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footer19.xml" ContentType="application/vnd.openxmlformats-officedocument.wordprocessingml.footer+xml"/>
  <Override PartName="/word/header26.xml" ContentType="application/vnd.openxmlformats-officedocument.wordprocessingml.header+xml"/>
  <Override PartName="/word/footer20.xml" ContentType="application/vnd.openxmlformats-officedocument.wordprocessingml.footer+xml"/>
  <Override PartName="/word/header27.xml" ContentType="application/vnd.openxmlformats-officedocument.wordprocessingml.header+xml"/>
  <Override PartName="/word/footer21.xml" ContentType="application/vnd.openxmlformats-officedocument.wordprocessingml.footer+xml"/>
  <Override PartName="/word/header28.xml" ContentType="application/vnd.openxmlformats-officedocument.wordprocessingml.header+xml"/>
  <Override PartName="/word/footer2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3.xml" ContentType="application/vnd.openxmlformats-officedocument.wordprocessingml.footer+xml"/>
  <Override PartName="/word/header38.xml" ContentType="application/vnd.openxmlformats-officedocument.wordprocessingml.header+xml"/>
  <Override PartName="/word/footer24.xml" ContentType="application/vnd.openxmlformats-officedocument.wordprocessingml.footer+xml"/>
  <Override PartName="/word/header39.xml" ContentType="application/vnd.openxmlformats-officedocument.wordprocessingml.header+xml"/>
  <Override PartName="/word/footer25.xml" ContentType="application/vnd.openxmlformats-officedocument.wordprocessingml.footer+xml"/>
  <Override PartName="/word/header40.xml" ContentType="application/vnd.openxmlformats-officedocument.wordprocessingml.header+xml"/>
  <Override PartName="/word/footer26.xml" ContentType="application/vnd.openxmlformats-officedocument.wordprocessingml.footer+xml"/>
  <Override PartName="/word/header41.xml" ContentType="application/vnd.openxmlformats-officedocument.wordprocessingml.header+xml"/>
  <Override PartName="/word/footer2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28.xml" ContentType="application/vnd.openxmlformats-officedocument.wordprocessingml.footer+xml"/>
  <Override PartName="/word/header55.xml" ContentType="application/vnd.openxmlformats-officedocument.wordprocessingml.header+xml"/>
  <Override PartName="/word/footer29.xml" ContentType="application/vnd.openxmlformats-officedocument.wordprocessingml.footer+xml"/>
  <Override PartName="/word/header56.xml" ContentType="application/vnd.openxmlformats-officedocument.wordprocessingml.header+xml"/>
  <Override PartName="/word/footer30.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31.xml" ContentType="application/vnd.openxmlformats-officedocument.wordprocessingml.footer+xml"/>
  <Override PartName="/word/header67.xml" ContentType="application/vnd.openxmlformats-officedocument.wordprocessingml.header+xml"/>
  <Override PartName="/word/footer32.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33.xml" ContentType="application/vnd.openxmlformats-officedocument.wordprocessingml.footer+xml"/>
  <Override PartName="/word/header71.xml" ContentType="application/vnd.openxmlformats-officedocument.wordprocessingml.header+xml"/>
  <Override PartName="/word/footer34.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35.xml" ContentType="application/vnd.openxmlformats-officedocument.wordprocessingml.footer+xml"/>
  <Override PartName="/word/header74.xml" ContentType="application/vnd.openxmlformats-officedocument.wordprocessingml.header+xml"/>
  <Override PartName="/word/footer36.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37.xml" ContentType="application/vnd.openxmlformats-officedocument.wordprocessingml.footer+xml"/>
  <Override PartName="/word/header78.xml" ContentType="application/vnd.openxmlformats-officedocument.wordprocessingml.header+xml"/>
  <Override PartName="/word/footer38.xml" ContentType="application/vnd.openxmlformats-officedocument.wordprocessingml.footer+xml"/>
  <Override PartName="/word/header79.xml" ContentType="application/vnd.openxmlformats-officedocument.wordprocessingml.header+xml"/>
  <Override PartName="/word/footer39.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4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15pt;width:595.3pt;height:841.9pt;mso-position-horizontal-relative:page;mso-position-vertical-relative:page;z-index:-1183000" coordorigin="0,0" coordsize="11906,16838">
            <v:shape style="position:absolute;left:0;top:0;width:11906;height:16838" type="#_x0000_t75" stroked="false">
              <v:imagedata r:id="rId5" o:title=""/>
            </v:shape>
            <v:shape style="position:absolute;left:4855;top:1134;width:2095;height:509" type="#_x0000_t75" stroked="false">
              <v:imagedata r:id="rId6" o:title=""/>
            </v:shape>
            <v:shape style="position:absolute;left:4536;top:1136;width:318;height:244" coordorigin="4536,1136" coordsize="318,244" path="m4589,1137l4536,1137,4605,1379,4650,1379,4674,1296,4629,1296,4589,1137xm4742,1226l4694,1226,4738,1379,4784,1379,4808,1296,4761,1296,4742,1226xm4717,1136l4673,1136,4629,1296,4674,1296,4694,1226,4742,1226,4717,1136xm4853,1137l4801,1137,4761,1296,4808,1296,4853,1137xe" filled="true" fillcolor="#231f20" stroked="false">
              <v:path arrowok="t"/>
              <v:fill type="solid"/>
            </v:shape>
            <v:line style="position:absolute" from="4878,1306" to="4928,1306" stroked="true" strokeweight="2.7pt" strokecolor="#231f20"/>
            <v:line style="position:absolute" from="4878,1209" to="4928,1209" stroked="true" strokeweight="2.6pt" strokecolor="#231f20"/>
            <v:shape style="position:absolute;left:6962;top:1137;width:408;height:242" type="#_x0000_t75" stroked="false">
              <v:imagedata r:id="rId7" o:title=""/>
            </v:shape>
            <v:shape style="position:absolute;left:3084;top:1840;width:5738;height:10166" coordorigin="3084,1840" coordsize="5738,10166" path="m6112,1840l6079,1840,6079,1904,6026,2130,6017,2125,6006,2121,5995,2117,5984,2115,5951,1975,5917,2115,5906,2117,5895,2121,5885,2125,5875,2130,5822,1904,5855,1904,5896,2073,5936,1904,5965,1904,6006,2073,6046,1904,6079,1904,6079,1840,5790,1840,5790,2082,5815,2145,5870,2196,5925,2230,5951,2243,5976,2230,6031,2196,6087,2145,6093,2130,6112,2082,6112,1904,6112,1840m8821,4833l8243,4833,8243,5981,7295,9998,7229,9962,7160,9928,7089,9896,7017,9865,6942,9837,6866,9811,6788,9787,6708,9764,6626,9745,6543,9727,5950,7248,5359,9727,5276,9745,5195,9764,5115,9787,5037,9811,4960,9837,4886,9865,4813,9896,4743,9928,4674,9962,4607,9998,3658,5981,4254,5981,4978,8989,5697,5981,6204,5981,6938,8989,7649,5981,8243,5981,8243,4833,3084,4833,3084,9147,3087,9228,3094,9307,3106,9387,3122,9465,3142,9543,3167,9620,3196,9697,3228,9772,3264,9847,3303,9922,3346,9995,3392,10068,3440,10139,3492,10210,3546,10280,3602,10349,3661,10417,3722,10484,3784,10549,3849,10614,3915,10678,3983,10740,4051,10802,4121,10862,4192,10921,4264,10979,4336,11035,4408,11090,4481,11144,4554,11197,4627,11248,4699,11298,4772,11346,4843,11393,4914,11438,4984,11482,5053,11524,5120,11565,5186,11604,5251,11641,5314,11677,5433,11744,5544,11803,5644,11855,5733,11900,5808,11937,5894,11978,5943,12001,5950,12004,5953,12005,5955,12004,5963,12001,6012,11978,6097,11937,6173,11900,6261,11855,6362,11803,6472,11744,6592,11677,6655,11641,6719,11604,6785,11565,6853,11524,6922,11482,6992,11438,7062,11393,7134,11346,7206,11298,7279,11248,7352,11197,7424,11144,7497,11090,7570,11035,7642,10979,7713,10921,7784,10862,7854,10802,7923,10740,7990,10678,8057,10614,8121,10549,8184,10484,8245,10417,8303,10349,8360,10280,8414,10210,8465,10139,8514,10068,8558,9998,8560,9995,8602,9922,8642,9847,8678,9772,8710,9697,8739,9620,8763,9543,8784,9465,8800,9387,8812,9307,8819,9228,8821,9147,8821,5981,8821,4833e" filled="true" fillcolor="#231f20"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300" w:lineRule="exact" w:before="219"/>
        <w:ind w:left="3029" w:right="3027" w:firstLine="0"/>
        <w:jc w:val="center"/>
        <w:rPr>
          <w:rFonts w:ascii="Tahoma"/>
          <w:sz w:val="28"/>
        </w:rPr>
      </w:pPr>
      <w:r>
        <w:rPr>
          <w:rFonts w:ascii="Tahoma"/>
          <w:color w:val="231F20"/>
          <w:sz w:val="28"/>
        </w:rPr>
        <w:t>ANNUAL REPORT 2017</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spacing w:before="126"/>
        <w:ind w:left="1273" w:right="1273" w:firstLine="0"/>
        <w:jc w:val="center"/>
        <w:rPr>
          <w:rFonts w:ascii="Chronicle Text G1"/>
          <w:b w:val="0"/>
          <w:sz w:val="72"/>
        </w:rPr>
      </w:pPr>
      <w:r>
        <w:rPr>
          <w:rFonts w:ascii="Chronicle Text G1"/>
          <w:b w:val="0"/>
          <w:color w:val="FFFFFF"/>
          <w:sz w:val="72"/>
        </w:rPr>
        <w:t>The Year in Review</w:t>
      </w:r>
    </w:p>
    <w:p>
      <w:pPr>
        <w:spacing w:before="93"/>
        <w:ind w:left="3029" w:right="3029" w:firstLine="0"/>
        <w:jc w:val="center"/>
        <w:rPr>
          <w:rFonts w:ascii="Tahoma"/>
          <w:sz w:val="48"/>
        </w:rPr>
      </w:pPr>
      <w:r>
        <w:rPr>
          <w:rFonts w:ascii="Tahoma"/>
          <w:color w:val="FFFFFF"/>
          <w:spacing w:val="-13"/>
          <w:sz w:val="48"/>
        </w:rPr>
        <w:t>Volume</w:t>
      </w:r>
      <w:r>
        <w:rPr>
          <w:rFonts w:ascii="Tahoma"/>
          <w:color w:val="FFFFFF"/>
          <w:spacing w:val="-69"/>
          <w:sz w:val="48"/>
        </w:rPr>
        <w:t> </w:t>
      </w:r>
      <w:r>
        <w:rPr>
          <w:rFonts w:ascii="Tahoma"/>
          <w:color w:val="FFFFFF"/>
          <w:sz w:val="48"/>
        </w:rPr>
        <w:t>2</w:t>
      </w:r>
    </w:p>
    <w:p>
      <w:pPr>
        <w:spacing w:after="0"/>
        <w:jc w:val="center"/>
        <w:rPr>
          <w:rFonts w:ascii="Tahoma"/>
          <w:sz w:val="48"/>
        </w:rPr>
        <w:sectPr>
          <w:type w:val="continuous"/>
          <w:pgSz w:w="11910" w:h="16840"/>
          <w:pgMar w:top="1580" w:bottom="280" w:left="1680" w:right="1680"/>
        </w:sectPr>
      </w:pPr>
    </w:p>
    <w:p>
      <w:pPr>
        <w:pStyle w:val="Heading6"/>
        <w:spacing w:before="60"/>
        <w:ind w:left="117"/>
      </w:pPr>
      <w:bookmarkStart w:name="1. 2017 Contents Page - page 1 to 2" w:id="1"/>
      <w:bookmarkEnd w:id="1"/>
      <w:r>
        <w:rPr>
          <w:b w:val="0"/>
        </w:rPr>
      </w:r>
      <w:bookmarkStart w:name="1. 2015 Contents Page.pdf" w:id="2"/>
      <w:bookmarkEnd w:id="2"/>
      <w:r>
        <w:rPr>
          <w:b w:val="0"/>
        </w:rPr>
      </w:r>
      <w:r>
        <w:rPr/>
        <w:t>Financial Statements and Independent Audit Reports</w:t>
      </w:r>
    </w:p>
    <w:p>
      <w:pPr>
        <w:pStyle w:val="BodyText"/>
        <w:spacing w:before="6"/>
        <w:rPr>
          <w:b/>
        </w:rPr>
      </w:pPr>
    </w:p>
    <w:p>
      <w:pPr>
        <w:pStyle w:val="BodyText"/>
        <w:spacing w:before="1"/>
        <w:ind w:left="117"/>
      </w:pPr>
      <w:r>
        <w:rPr/>
        <w:t>Western Sydney University</w:t>
      </w:r>
    </w:p>
    <w:p>
      <w:pPr>
        <w:pStyle w:val="BodyText"/>
        <w:spacing w:before="10"/>
        <w:rPr>
          <w:sz w:val="17"/>
        </w:rPr>
      </w:pPr>
    </w:p>
    <w:p>
      <w:pPr>
        <w:pStyle w:val="BodyText"/>
        <w:spacing w:line="480" w:lineRule="auto"/>
        <w:ind w:left="117"/>
      </w:pPr>
      <w:r>
        <w:rPr/>
        <w:t>Western</w:t>
      </w:r>
      <w:r>
        <w:rPr>
          <w:spacing w:val="-8"/>
        </w:rPr>
        <w:t> </w:t>
      </w:r>
      <w:r>
        <w:rPr/>
        <w:t>Sydney</w:t>
      </w:r>
      <w:r>
        <w:rPr>
          <w:spacing w:val="-8"/>
        </w:rPr>
        <w:t> </w:t>
      </w:r>
      <w:r>
        <w:rPr/>
        <w:t>University</w:t>
      </w:r>
      <w:r>
        <w:rPr>
          <w:spacing w:val="-8"/>
        </w:rPr>
        <w:t> </w:t>
      </w:r>
      <w:r>
        <w:rPr/>
        <w:t>Enterprises</w:t>
      </w:r>
      <w:r>
        <w:rPr>
          <w:spacing w:val="-7"/>
        </w:rPr>
        <w:t> </w:t>
      </w:r>
      <w:r>
        <w:rPr/>
        <w:t>Pty</w:t>
      </w:r>
      <w:r>
        <w:rPr>
          <w:spacing w:val="-8"/>
        </w:rPr>
        <w:t> </w:t>
      </w:r>
      <w:r>
        <w:rPr/>
        <w:t>Limited</w:t>
      </w:r>
      <w:r>
        <w:rPr>
          <w:spacing w:val="-8"/>
        </w:rPr>
        <w:t> </w:t>
      </w:r>
      <w:r>
        <w:rPr/>
        <w:t>trading</w:t>
      </w:r>
      <w:r>
        <w:rPr>
          <w:spacing w:val="-7"/>
        </w:rPr>
        <w:t> </w:t>
      </w:r>
      <w:r>
        <w:rPr/>
        <w:t>as</w:t>
      </w:r>
      <w:r>
        <w:rPr>
          <w:spacing w:val="-8"/>
        </w:rPr>
        <w:t> </w:t>
      </w:r>
      <w:r>
        <w:rPr/>
        <w:t>Western</w:t>
      </w:r>
      <w:r>
        <w:rPr>
          <w:spacing w:val="-7"/>
        </w:rPr>
        <w:t> </w:t>
      </w:r>
      <w:r>
        <w:rPr/>
        <w:t>Sydney</w:t>
      </w:r>
      <w:r>
        <w:rPr>
          <w:spacing w:val="-7"/>
        </w:rPr>
        <w:t> </w:t>
      </w:r>
      <w:r>
        <w:rPr/>
        <w:t>University</w:t>
      </w:r>
      <w:r>
        <w:rPr>
          <w:spacing w:val="-6"/>
        </w:rPr>
        <w:t> </w:t>
      </w:r>
      <w:r>
        <w:rPr/>
        <w:t>The</w:t>
      </w:r>
      <w:r>
        <w:rPr>
          <w:spacing w:val="-7"/>
        </w:rPr>
        <w:t> </w:t>
      </w:r>
      <w:r>
        <w:rPr/>
        <w:t>College Western Unlimited</w:t>
      </w:r>
      <w:r>
        <w:rPr>
          <w:spacing w:val="-18"/>
        </w:rPr>
        <w:t> </w:t>
      </w:r>
      <w:r>
        <w:rPr/>
        <w:t>Ltd</w:t>
      </w:r>
    </w:p>
    <w:p>
      <w:pPr>
        <w:pStyle w:val="BodyText"/>
        <w:spacing w:line="480" w:lineRule="auto" w:before="5"/>
        <w:ind w:left="117" w:right="3441"/>
      </w:pPr>
      <w:r>
        <w:rPr/>
        <w:t>Western Sydney University Early Learning Limited Whitlam</w:t>
      </w:r>
      <w:r>
        <w:rPr>
          <w:spacing w:val="-6"/>
        </w:rPr>
        <w:t> </w:t>
      </w:r>
      <w:r>
        <w:rPr/>
        <w:t>Institute</w:t>
      </w:r>
      <w:r>
        <w:rPr>
          <w:spacing w:val="-7"/>
        </w:rPr>
        <w:t> </w:t>
      </w:r>
      <w:r>
        <w:rPr/>
        <w:t>within</w:t>
      </w:r>
      <w:r>
        <w:rPr>
          <w:spacing w:val="-6"/>
        </w:rPr>
        <w:t> </w:t>
      </w:r>
      <w:r>
        <w:rPr/>
        <w:t>Western</w:t>
      </w:r>
      <w:r>
        <w:rPr>
          <w:spacing w:val="-8"/>
        </w:rPr>
        <w:t> </w:t>
      </w:r>
      <w:r>
        <w:rPr/>
        <w:t>Sydney</w:t>
      </w:r>
      <w:r>
        <w:rPr>
          <w:spacing w:val="-8"/>
        </w:rPr>
        <w:t> </w:t>
      </w:r>
      <w:r>
        <w:rPr/>
        <w:t>University</w:t>
      </w:r>
      <w:r>
        <w:rPr>
          <w:spacing w:val="-6"/>
        </w:rPr>
        <w:t> </w:t>
      </w:r>
      <w:r>
        <w:rPr/>
        <w:t>Limited Whitlam</w:t>
      </w:r>
      <w:r>
        <w:rPr>
          <w:spacing w:val="-9"/>
        </w:rPr>
        <w:t> </w:t>
      </w:r>
      <w:r>
        <w:rPr/>
        <w:t>Institute</w:t>
      </w:r>
      <w:r>
        <w:rPr>
          <w:spacing w:val="-7"/>
        </w:rPr>
        <w:t> </w:t>
      </w:r>
      <w:r>
        <w:rPr/>
        <w:t>within</w:t>
      </w:r>
      <w:r>
        <w:rPr>
          <w:spacing w:val="-7"/>
        </w:rPr>
        <w:t> </w:t>
      </w:r>
      <w:r>
        <w:rPr/>
        <w:t>Western</w:t>
      </w:r>
      <w:r>
        <w:rPr>
          <w:spacing w:val="-7"/>
        </w:rPr>
        <w:t> </w:t>
      </w:r>
      <w:r>
        <w:rPr/>
        <w:t>Sydney</w:t>
      </w:r>
      <w:r>
        <w:rPr>
          <w:spacing w:val="-7"/>
        </w:rPr>
        <w:t> </w:t>
      </w:r>
      <w:r>
        <w:rPr/>
        <w:t>University</w:t>
      </w:r>
      <w:r>
        <w:rPr>
          <w:spacing w:val="-7"/>
        </w:rPr>
        <w:t> </w:t>
      </w:r>
      <w:r>
        <w:rPr/>
        <w:t>Trust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pPr>
    </w:p>
    <w:p>
      <w:pPr>
        <w:pStyle w:val="Heading6"/>
        <w:spacing w:before="1"/>
        <w:ind w:left="120"/>
      </w:pPr>
      <w:r>
        <w:rPr/>
        <w:t>Supporting data</w:t>
      </w:r>
    </w:p>
    <w:p>
      <w:pPr>
        <w:spacing w:before="59"/>
        <w:ind w:left="0" w:right="137" w:firstLine="0"/>
        <w:jc w:val="right"/>
        <w:rPr>
          <w:b/>
          <w:sz w:val="22"/>
        </w:rPr>
      </w:pPr>
      <w:r>
        <w:rPr/>
        <w:br w:type="column"/>
      </w:r>
      <w:r>
        <w:rPr>
          <w:b/>
          <w:w w:val="95"/>
          <w:sz w:val="22"/>
        </w:rPr>
        <w:t>Page</w:t>
      </w:r>
    </w:p>
    <w:p>
      <w:pPr>
        <w:pStyle w:val="BodyText"/>
        <w:spacing w:before="10"/>
        <w:rPr>
          <w:b/>
          <w:sz w:val="17"/>
        </w:rPr>
      </w:pPr>
    </w:p>
    <w:p>
      <w:pPr>
        <w:pStyle w:val="BodyText"/>
        <w:ind w:right="136"/>
        <w:jc w:val="right"/>
      </w:pPr>
      <w:r>
        <w:rPr>
          <w:w w:val="99"/>
        </w:rPr>
        <w:t>3</w:t>
      </w:r>
    </w:p>
    <w:p>
      <w:pPr>
        <w:pStyle w:val="BodyText"/>
      </w:pPr>
    </w:p>
    <w:p>
      <w:pPr>
        <w:pStyle w:val="BodyText"/>
        <w:ind w:left="324" w:right="21"/>
        <w:jc w:val="center"/>
      </w:pPr>
      <w:r>
        <w:rPr/>
        <w:t>95</w:t>
      </w:r>
    </w:p>
    <w:p>
      <w:pPr>
        <w:pStyle w:val="BodyText"/>
        <w:spacing w:before="7"/>
      </w:pPr>
    </w:p>
    <w:p>
      <w:pPr>
        <w:pStyle w:val="BodyText"/>
        <w:ind w:left="316" w:right="115"/>
        <w:jc w:val="center"/>
      </w:pPr>
      <w:r>
        <w:rPr/>
        <w:t>141</w:t>
      </w:r>
    </w:p>
    <w:p>
      <w:pPr>
        <w:pStyle w:val="BodyText"/>
        <w:spacing w:before="4"/>
        <w:rPr>
          <w:sz w:val="17"/>
        </w:rPr>
      </w:pPr>
    </w:p>
    <w:p>
      <w:pPr>
        <w:pStyle w:val="BodyText"/>
        <w:ind w:left="324" w:right="107"/>
        <w:jc w:val="center"/>
      </w:pPr>
      <w:r>
        <w:rPr/>
        <w:t>175</w:t>
      </w:r>
    </w:p>
    <w:p>
      <w:pPr>
        <w:pStyle w:val="BodyText"/>
        <w:spacing w:before="1"/>
        <w:rPr>
          <w:sz w:val="16"/>
        </w:rPr>
      </w:pPr>
    </w:p>
    <w:p>
      <w:pPr>
        <w:pStyle w:val="BodyText"/>
        <w:ind w:left="317" w:right="115"/>
        <w:jc w:val="center"/>
      </w:pPr>
      <w:r>
        <w:rPr/>
        <w:t>199</w:t>
      </w:r>
    </w:p>
    <w:p>
      <w:pPr>
        <w:pStyle w:val="BodyText"/>
        <w:spacing w:before="10"/>
        <w:rPr>
          <w:sz w:val="19"/>
        </w:rPr>
      </w:pPr>
    </w:p>
    <w:p>
      <w:pPr>
        <w:pStyle w:val="BodyText"/>
        <w:ind w:left="343" w:right="-7"/>
      </w:pPr>
      <w:r>
        <w:rPr/>
        <w:t>219</w:t>
      </w:r>
    </w:p>
    <w:p>
      <w:pPr>
        <w:spacing w:after="0"/>
        <w:sectPr>
          <w:footerReference w:type="default" r:id="rId8"/>
          <w:pgSz w:w="11910" w:h="16840"/>
          <w:pgMar w:footer="495" w:header="0" w:top="1380" w:bottom="680" w:left="1320" w:right="1300"/>
          <w:pgNumType w:start="1"/>
          <w:cols w:num="2" w:equalWidth="0">
            <w:col w:w="8230" w:space="272"/>
            <w:col w:w="788"/>
          </w:cols>
        </w:sectPr>
      </w:pPr>
    </w:p>
    <w:p>
      <w:pPr>
        <w:pStyle w:val="BodyText"/>
        <w:spacing w:before="7"/>
        <w:rPr>
          <w:sz w:val="14"/>
        </w:rPr>
      </w:pPr>
    </w:p>
    <w:p>
      <w:pPr>
        <w:pStyle w:val="BodyText"/>
        <w:tabs>
          <w:tab w:pos="9165" w:val="right" w:leader="none"/>
        </w:tabs>
        <w:spacing w:before="74"/>
        <w:ind w:left="120"/>
      </w:pPr>
      <w:r>
        <w:rPr/>
        <w:t>Appendices</w:t>
      </w:r>
      <w:r>
        <w:rPr>
          <w:rFonts w:ascii="Times New Roman"/>
          <w:position w:val="1"/>
        </w:rPr>
        <w:tab/>
      </w:r>
      <w:r>
        <w:rPr>
          <w:position w:val="1"/>
        </w:rPr>
        <w:t>245</w:t>
      </w:r>
    </w:p>
    <w:p>
      <w:pPr>
        <w:spacing w:after="0"/>
        <w:sectPr>
          <w:type w:val="continuous"/>
          <w:pgSz w:w="11910" w:h="16840"/>
          <w:pgMar w:top="1580" w:bottom="280" w:left="1320" w:right="13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ind w:left="3029" w:right="3029"/>
        <w:jc w:val="center"/>
      </w:pPr>
      <w:bookmarkStart w:name="Blank page with text.pdf" w:id="3"/>
      <w:bookmarkEnd w:id="3"/>
      <w:r>
        <w:rPr/>
      </w:r>
      <w:r>
        <w:rPr/>
        <w:t>This page is intentionally blank</w:t>
      </w:r>
    </w:p>
    <w:p>
      <w:pPr>
        <w:spacing w:after="0"/>
        <w:jc w:val="center"/>
        <w:sectPr>
          <w:pgSz w:w="11910" w:h="16840"/>
          <w:pgMar w:header="0" w:footer="495" w:top="1580" w:bottom="700" w:left="168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5"/>
        </w:rPr>
      </w:pPr>
    </w:p>
    <w:p>
      <w:pPr>
        <w:pStyle w:val="Heading1"/>
        <w:ind w:right="113"/>
      </w:pPr>
      <w:bookmarkStart w:name="Cover page" w:id="4"/>
      <w:bookmarkEnd w:id="4"/>
      <w:r>
        <w:rPr>
          <w:b w:val="0"/>
        </w:rPr>
      </w:r>
      <w:r>
        <w:rPr/>
        <w:t>Western Sydney University</w:t>
      </w:r>
    </w:p>
    <w:p>
      <w:pPr>
        <w:pStyle w:val="BodyText"/>
        <w:spacing w:before="1"/>
        <w:rPr>
          <w:b/>
          <w:sz w:val="49"/>
        </w:rPr>
      </w:pPr>
    </w:p>
    <w:p>
      <w:pPr>
        <w:pStyle w:val="Heading2"/>
      </w:pPr>
      <w:r>
        <w:rPr/>
        <w:t>Consolidated Financial Statements</w:t>
      </w:r>
    </w:p>
    <w:p>
      <w:pPr>
        <w:pStyle w:val="Heading6"/>
        <w:spacing w:before="282"/>
        <w:ind w:left="107" w:right="113"/>
      </w:pPr>
      <w:r>
        <w:rPr/>
        <w:t>For the year ended 31 December 2017</w:t>
      </w:r>
    </w:p>
    <w:p>
      <w:pPr>
        <w:spacing w:after="0"/>
        <w:sectPr>
          <w:pgSz w:w="11910" w:h="16840"/>
          <w:pgMar w:header="0" w:footer="495" w:top="1580" w:bottom="700" w:left="900" w:right="1680"/>
        </w:sectPr>
      </w:pPr>
    </w:p>
    <w:p>
      <w:pPr>
        <w:spacing w:before="52"/>
        <w:ind w:left="127" w:right="194" w:firstLine="0"/>
        <w:jc w:val="left"/>
        <w:rPr>
          <w:b/>
          <w:sz w:val="22"/>
        </w:rPr>
      </w:pPr>
      <w:bookmarkStart w:name="Statement by the Members of the Board of" w:id="5"/>
      <w:bookmarkEnd w:id="5"/>
      <w:r>
        <w:rPr/>
      </w:r>
      <w:r>
        <w:rPr>
          <w:b/>
          <w:sz w:val="22"/>
        </w:rPr>
        <w:t>Western Sydney University</w:t>
      </w:r>
    </w:p>
    <w:p>
      <w:pPr>
        <w:pStyle w:val="BodyText"/>
        <w:spacing w:before="5"/>
        <w:rPr>
          <w:b/>
          <w:sz w:val="29"/>
        </w:rPr>
      </w:pPr>
    </w:p>
    <w:p>
      <w:pPr>
        <w:spacing w:before="0"/>
        <w:ind w:left="127" w:right="194" w:firstLine="0"/>
        <w:jc w:val="left"/>
        <w:rPr>
          <w:b/>
          <w:sz w:val="28"/>
        </w:rPr>
      </w:pPr>
      <w:r>
        <w:rPr>
          <w:b/>
          <w:sz w:val="28"/>
        </w:rPr>
        <w:t>Statement by the Members of the Board of Trustees</w:t>
      </w:r>
    </w:p>
    <w:p>
      <w:pPr>
        <w:spacing w:before="53"/>
        <w:ind w:left="127" w:right="194" w:firstLine="0"/>
        <w:jc w:val="left"/>
        <w:rPr>
          <w:b/>
          <w:sz w:val="22"/>
        </w:rPr>
      </w:pPr>
      <w:r>
        <w:rPr>
          <w:b/>
          <w:sz w:val="22"/>
        </w:rPr>
        <w:t>For the year ended 31 December 2017</w:t>
      </w:r>
    </w:p>
    <w:p>
      <w:pPr>
        <w:pStyle w:val="BodyText"/>
        <w:rPr>
          <w:b/>
          <w:sz w:val="22"/>
        </w:rPr>
      </w:pPr>
    </w:p>
    <w:p>
      <w:pPr>
        <w:pStyle w:val="BodyText"/>
        <w:rPr>
          <w:b/>
          <w:sz w:val="22"/>
        </w:rPr>
      </w:pPr>
    </w:p>
    <w:p>
      <w:pPr>
        <w:pStyle w:val="BodyText"/>
        <w:spacing w:before="1"/>
        <w:rPr>
          <w:b/>
          <w:sz w:val="24"/>
        </w:rPr>
      </w:pPr>
    </w:p>
    <w:p>
      <w:pPr>
        <w:pStyle w:val="BodyText"/>
        <w:ind w:left="127" w:right="194"/>
      </w:pPr>
      <w:r>
        <w:rPr/>
        <w:t>In accordance with a resolution of the Board of Trustees of Western Sydney University dated 4 April 2018 and pursuant to Section 41C (1B) and (1C) of the </w:t>
      </w:r>
      <w:r>
        <w:rPr>
          <w:i/>
        </w:rPr>
        <w:t>Public Finance and Audit Act 1983</w:t>
      </w:r>
      <w:r>
        <w:rPr/>
        <w:t>, we state that to the best of our knowledge and belief:</w:t>
      </w:r>
    </w:p>
    <w:p>
      <w:pPr>
        <w:pStyle w:val="BodyText"/>
        <w:spacing w:before="11"/>
        <w:rPr>
          <w:sz w:val="24"/>
        </w:rPr>
      </w:pPr>
    </w:p>
    <w:p>
      <w:pPr>
        <w:pStyle w:val="ListParagraph"/>
        <w:numPr>
          <w:ilvl w:val="0"/>
          <w:numId w:val="1"/>
        </w:numPr>
        <w:tabs>
          <w:tab w:pos="400" w:val="left" w:leader="none"/>
        </w:tabs>
        <w:spacing w:line="240" w:lineRule="auto" w:before="0" w:after="0"/>
        <w:ind w:left="128" w:right="401" w:firstLine="0"/>
        <w:jc w:val="left"/>
        <w:rPr>
          <w:sz w:val="18"/>
        </w:rPr>
      </w:pPr>
      <w:r>
        <w:rPr>
          <w:sz w:val="18"/>
        </w:rPr>
        <w:t>The financial statements for Western Sydney University and its controlled entities (the Group) present a true and fair view of the Group's financial position as at 31 December 2017 and the financial performance for the year then</w:t>
      </w:r>
      <w:r>
        <w:rPr>
          <w:spacing w:val="10"/>
          <w:sz w:val="18"/>
        </w:rPr>
        <w:t> </w:t>
      </w:r>
      <w:r>
        <w:rPr>
          <w:sz w:val="18"/>
        </w:rPr>
        <w:t>ended.</w:t>
      </w:r>
    </w:p>
    <w:p>
      <w:pPr>
        <w:pStyle w:val="BodyText"/>
        <w:spacing w:before="11"/>
        <w:rPr>
          <w:sz w:val="24"/>
        </w:rPr>
      </w:pPr>
    </w:p>
    <w:p>
      <w:pPr>
        <w:pStyle w:val="ListParagraph"/>
        <w:numPr>
          <w:ilvl w:val="0"/>
          <w:numId w:val="1"/>
        </w:numPr>
        <w:tabs>
          <w:tab w:pos="400" w:val="left" w:leader="none"/>
        </w:tabs>
        <w:spacing w:line="240" w:lineRule="auto" w:before="0" w:after="0"/>
        <w:ind w:left="128" w:right="306" w:firstLine="0"/>
        <w:jc w:val="left"/>
        <w:rPr>
          <w:sz w:val="18"/>
        </w:rPr>
      </w:pPr>
      <w:r>
        <w:rPr>
          <w:sz w:val="18"/>
        </w:rPr>
        <w:t>The financial statements have been prepared in accordance with the provisions of the </w:t>
      </w:r>
      <w:r>
        <w:rPr>
          <w:i/>
          <w:sz w:val="18"/>
        </w:rPr>
        <w:t>Public Finance and Audit Act </w:t>
      </w:r>
      <w:r>
        <w:rPr>
          <w:i/>
          <w:sz w:val="18"/>
        </w:rPr>
        <w:t>1983 </w:t>
      </w:r>
      <w:r>
        <w:rPr>
          <w:sz w:val="18"/>
        </w:rPr>
        <w:t>and Regulation, the </w:t>
      </w:r>
      <w:r>
        <w:rPr>
          <w:i/>
          <w:sz w:val="18"/>
        </w:rPr>
        <w:t>Australian Charities and Not-for-profits Commission Act 2012 </w:t>
      </w:r>
      <w:r>
        <w:rPr>
          <w:sz w:val="18"/>
        </w:rPr>
        <w:t>and Regulation and the </w:t>
      </w:r>
      <w:r>
        <w:rPr>
          <w:i/>
          <w:sz w:val="18"/>
        </w:rPr>
        <w:t>Financial </w:t>
      </w:r>
      <w:r>
        <w:rPr>
          <w:i/>
          <w:sz w:val="18"/>
        </w:rPr>
        <w:t>Statement Guidelines for the Australian Higher Education Providers for the 2017 Reporting Period </w:t>
      </w:r>
      <w:r>
        <w:rPr>
          <w:sz w:val="18"/>
        </w:rPr>
        <w:t>issued by the Department of Education and</w:t>
      </w:r>
      <w:r>
        <w:rPr>
          <w:spacing w:val="3"/>
          <w:sz w:val="18"/>
        </w:rPr>
        <w:t> </w:t>
      </w:r>
      <w:r>
        <w:rPr>
          <w:sz w:val="18"/>
        </w:rPr>
        <w:t>Training.</w:t>
      </w:r>
    </w:p>
    <w:p>
      <w:pPr>
        <w:pStyle w:val="BodyText"/>
        <w:spacing w:before="11"/>
        <w:rPr>
          <w:sz w:val="24"/>
        </w:rPr>
      </w:pPr>
    </w:p>
    <w:p>
      <w:pPr>
        <w:pStyle w:val="ListParagraph"/>
        <w:numPr>
          <w:ilvl w:val="0"/>
          <w:numId w:val="1"/>
        </w:numPr>
        <w:tabs>
          <w:tab w:pos="390" w:val="left" w:leader="none"/>
        </w:tabs>
        <w:spacing w:line="240" w:lineRule="auto" w:before="0" w:after="0"/>
        <w:ind w:left="128" w:right="158" w:firstLine="0"/>
        <w:jc w:val="both"/>
        <w:rPr>
          <w:sz w:val="18"/>
        </w:rPr>
      </w:pPr>
      <w:r>
        <w:rPr>
          <w:sz w:val="18"/>
        </w:rPr>
        <w:t>The financial statements have been prepared in accordance with applicable Australian Accounting Standards and other mandatory authoritative pronouncements and interpretations of the Australian Accounting Standards Board, some of which contain requirements specific to not-for-profit entities that are inconsistent with IFRS</w:t>
      </w:r>
      <w:r>
        <w:rPr>
          <w:spacing w:val="10"/>
          <w:sz w:val="18"/>
        </w:rPr>
        <w:t> </w:t>
      </w:r>
      <w:r>
        <w:rPr>
          <w:sz w:val="18"/>
        </w:rPr>
        <w:t>requirements.</w:t>
      </w:r>
    </w:p>
    <w:p>
      <w:pPr>
        <w:pStyle w:val="BodyText"/>
        <w:spacing w:before="11"/>
        <w:rPr>
          <w:sz w:val="24"/>
        </w:rPr>
      </w:pPr>
    </w:p>
    <w:p>
      <w:pPr>
        <w:pStyle w:val="ListParagraph"/>
        <w:numPr>
          <w:ilvl w:val="0"/>
          <w:numId w:val="1"/>
        </w:numPr>
        <w:tabs>
          <w:tab w:pos="400" w:val="left" w:leader="none"/>
        </w:tabs>
        <w:spacing w:line="240" w:lineRule="auto" w:before="0" w:after="0"/>
        <w:ind w:left="128" w:right="113" w:firstLine="0"/>
        <w:jc w:val="both"/>
        <w:rPr>
          <w:sz w:val="18"/>
        </w:rPr>
      </w:pPr>
      <w:r>
        <w:rPr>
          <w:sz w:val="18"/>
        </w:rPr>
        <w:t>The amount of Australian Government financial assistance expended during the period was for the purposes for which it was intended and Western Sydney University has complied with applicable legislation, contracts, agreements and program guidelines in making</w:t>
      </w:r>
      <w:r>
        <w:rPr>
          <w:spacing w:val="2"/>
          <w:sz w:val="18"/>
        </w:rPr>
        <w:t> </w:t>
      </w:r>
      <w:r>
        <w:rPr>
          <w:sz w:val="18"/>
        </w:rPr>
        <w:t>expenditure.</w:t>
      </w:r>
    </w:p>
    <w:p>
      <w:pPr>
        <w:pStyle w:val="BodyText"/>
        <w:spacing w:before="11"/>
        <w:rPr>
          <w:sz w:val="24"/>
        </w:rPr>
      </w:pPr>
    </w:p>
    <w:p>
      <w:pPr>
        <w:pStyle w:val="ListParagraph"/>
        <w:numPr>
          <w:ilvl w:val="0"/>
          <w:numId w:val="1"/>
        </w:numPr>
        <w:tabs>
          <w:tab w:pos="450" w:val="left" w:leader="none"/>
        </w:tabs>
        <w:spacing w:line="240" w:lineRule="auto" w:before="0" w:after="0"/>
        <w:ind w:left="128" w:right="222" w:firstLine="0"/>
        <w:jc w:val="left"/>
        <w:rPr>
          <w:sz w:val="18"/>
        </w:rPr>
      </w:pPr>
      <w:r>
        <w:rPr>
          <w:sz w:val="18"/>
        </w:rPr>
        <w:t>Western Sydney University charged Student Services and Amenities Fees strictly in accordance with the Higher Education Support Act 2003 (the Act) and the Administration Guidelines made under the Act. Revenue from the fees were spent strictly in accordance with the Act and only on services and amenities specified in subsection 19-38(4) of the</w:t>
      </w:r>
      <w:r>
        <w:rPr>
          <w:spacing w:val="17"/>
          <w:sz w:val="18"/>
        </w:rPr>
        <w:t> </w:t>
      </w:r>
      <w:r>
        <w:rPr>
          <w:sz w:val="18"/>
        </w:rPr>
        <w:t>Act.</w:t>
      </w:r>
    </w:p>
    <w:p>
      <w:pPr>
        <w:pStyle w:val="BodyText"/>
        <w:spacing w:before="11"/>
        <w:rPr>
          <w:sz w:val="24"/>
        </w:rPr>
      </w:pPr>
    </w:p>
    <w:p>
      <w:pPr>
        <w:pStyle w:val="ListParagraph"/>
        <w:numPr>
          <w:ilvl w:val="0"/>
          <w:numId w:val="1"/>
        </w:numPr>
        <w:tabs>
          <w:tab w:pos="400" w:val="left" w:leader="none"/>
        </w:tabs>
        <w:spacing w:line="240" w:lineRule="auto" w:before="0" w:after="0"/>
        <w:ind w:left="128" w:right="351" w:firstLine="0"/>
        <w:jc w:val="left"/>
        <w:rPr>
          <w:sz w:val="18"/>
        </w:rPr>
      </w:pPr>
      <w:r>
        <w:rPr>
          <w:spacing w:val="5"/>
          <w:sz w:val="18"/>
        </w:rPr>
        <w:t>We </w:t>
      </w:r>
      <w:r>
        <w:rPr>
          <w:sz w:val="18"/>
        </w:rPr>
        <w:t>are not aware of any circumstances which would render any particulars included in the financial statements to be misleading or</w:t>
      </w:r>
      <w:r>
        <w:rPr>
          <w:spacing w:val="1"/>
          <w:sz w:val="18"/>
        </w:rPr>
        <w:t> </w:t>
      </w:r>
      <w:r>
        <w:rPr>
          <w:sz w:val="18"/>
        </w:rPr>
        <w:t>inaccurate.</w:t>
      </w:r>
    </w:p>
    <w:p>
      <w:pPr>
        <w:pStyle w:val="BodyText"/>
        <w:spacing w:before="11"/>
        <w:rPr>
          <w:sz w:val="24"/>
        </w:rPr>
      </w:pPr>
    </w:p>
    <w:p>
      <w:pPr>
        <w:pStyle w:val="ListParagraph"/>
        <w:numPr>
          <w:ilvl w:val="0"/>
          <w:numId w:val="1"/>
        </w:numPr>
        <w:tabs>
          <w:tab w:pos="400" w:val="left" w:leader="none"/>
        </w:tabs>
        <w:spacing w:line="240" w:lineRule="auto" w:before="0" w:after="0"/>
        <w:ind w:left="399" w:right="0" w:hanging="271"/>
        <w:jc w:val="left"/>
        <w:rPr>
          <w:sz w:val="18"/>
        </w:rPr>
      </w:pPr>
      <w:r>
        <w:rPr/>
        <w:pict>
          <v:shape style="position:absolute;margin-left:49.356628pt;margin-top:10.447128pt;width:482.95pt;height:128.9pt;mso-position-horizontal-relative:page;mso-position-vertical-relative:paragraph;z-index:-1182928"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tabs>
                      <w:tab w:pos="5019" w:val="left" w:leader="none"/>
                    </w:tabs>
                    <w:spacing w:before="138"/>
                    <w:ind w:left="61"/>
                  </w:pPr>
                  <w:r>
                    <w:rPr/>
                    <w:t>Professor Peter</w:t>
                  </w:r>
                  <w:r>
                    <w:rPr>
                      <w:spacing w:val="-1"/>
                    </w:rPr>
                    <w:t> </w:t>
                  </w:r>
                  <w:r>
                    <w:rPr/>
                    <w:t>Shergold,</w:t>
                  </w:r>
                  <w:r>
                    <w:rPr>
                      <w:spacing w:val="-1"/>
                    </w:rPr>
                    <w:t> </w:t>
                  </w:r>
                  <w:r>
                    <w:rPr/>
                    <w:t>AC</w:t>
                    <w:tab/>
                    <w:t>Professor Barney</w:t>
                  </w:r>
                  <w:r>
                    <w:rPr>
                      <w:spacing w:val="-1"/>
                    </w:rPr>
                    <w:t> </w:t>
                  </w:r>
                  <w:r>
                    <w:rPr/>
                    <w:t>Glover</w:t>
                  </w:r>
                </w:p>
                <w:p>
                  <w:pPr>
                    <w:pStyle w:val="BodyText"/>
                    <w:tabs>
                      <w:tab w:pos="5019" w:val="left" w:leader="none"/>
                    </w:tabs>
                    <w:spacing w:before="52"/>
                    <w:ind w:left="61"/>
                  </w:pPr>
                  <w:r>
                    <w:rPr/>
                    <w:t>Chancellor</w:t>
                    <w:tab/>
                    <w:t>Vice Chancellor and</w:t>
                  </w:r>
                  <w:r>
                    <w:rPr>
                      <w:spacing w:val="2"/>
                    </w:rPr>
                    <w:t> </w:t>
                  </w:r>
                  <w:r>
                    <w:rPr/>
                    <w:t>President</w:t>
                  </w:r>
                </w:p>
              </w:txbxContent>
            </v:textbox>
            <w10:wrap type="none"/>
          </v:shape>
        </w:pict>
      </w:r>
      <w:r>
        <w:rPr>
          <w:sz w:val="18"/>
        </w:rPr>
        <w:t>There are reasonable grounds to believe that the Group will be able to pay its debts as and when they fall</w:t>
      </w:r>
      <w:r>
        <w:rPr>
          <w:spacing w:val="-2"/>
          <w:sz w:val="18"/>
        </w:rPr>
        <w:t> </w:t>
      </w:r>
      <w:r>
        <w:rPr>
          <w:sz w:val="18"/>
        </w:rPr>
        <w:t>due.</w:t>
      </w:r>
    </w:p>
    <w:p>
      <w:pPr>
        <w:pStyle w:val="BodyText"/>
        <w:ind w:left="107"/>
        <w:rPr>
          <w:sz w:val="20"/>
        </w:rPr>
      </w:pPr>
      <w:r>
        <w:rPr>
          <w:sz w:val="20"/>
        </w:rPr>
        <w:drawing>
          <wp:inline distT="0" distB="0" distL="0" distR="0">
            <wp:extent cx="6071496" cy="1620202"/>
            <wp:effectExtent l="0" t="0" r="0" b="0"/>
            <wp:docPr id="1" name="image4.jpeg" descr=""/>
            <wp:cNvGraphicFramePr>
              <a:graphicFrameLocks noChangeAspect="1"/>
            </wp:cNvGraphicFramePr>
            <a:graphic>
              <a:graphicData uri="http://schemas.openxmlformats.org/drawingml/2006/picture">
                <pic:pic>
                  <pic:nvPicPr>
                    <pic:cNvPr id="2" name="image4.jpeg"/>
                    <pic:cNvPicPr/>
                  </pic:nvPicPr>
                  <pic:blipFill>
                    <a:blip r:embed="rId9" cstate="print"/>
                    <a:stretch>
                      <a:fillRect/>
                    </a:stretch>
                  </pic:blipFill>
                  <pic:spPr>
                    <a:xfrm>
                      <a:off x="0" y="0"/>
                      <a:ext cx="6071496" cy="1620202"/>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10"/>
        <w:rPr>
          <w:sz w:val="11"/>
        </w:rPr>
      </w:pPr>
      <w:r>
        <w:rPr/>
        <w:drawing>
          <wp:anchor distT="0" distB="0" distL="0" distR="0" allowOverlap="1" layoutInCell="1" locked="0" behindDoc="0" simplePos="0" relativeHeight="1048">
            <wp:simplePos x="0" y="0"/>
            <wp:positionH relativeFrom="page">
              <wp:posOffset>631763</wp:posOffset>
            </wp:positionH>
            <wp:positionV relativeFrom="paragraph">
              <wp:posOffset>111708</wp:posOffset>
            </wp:positionV>
            <wp:extent cx="1572983" cy="290798"/>
            <wp:effectExtent l="0" t="0" r="0" b="0"/>
            <wp:wrapTopAndBottom/>
            <wp:docPr id="3" name="image5.jpeg" descr=""/>
            <wp:cNvGraphicFramePr>
              <a:graphicFrameLocks noChangeAspect="1"/>
            </wp:cNvGraphicFramePr>
            <a:graphic>
              <a:graphicData uri="http://schemas.openxmlformats.org/drawingml/2006/picture">
                <pic:pic>
                  <pic:nvPicPr>
                    <pic:cNvPr id="4" name="image5.jpeg"/>
                    <pic:cNvPicPr/>
                  </pic:nvPicPr>
                  <pic:blipFill>
                    <a:blip r:embed="rId10" cstate="print"/>
                    <a:stretch>
                      <a:fillRect/>
                    </a:stretch>
                  </pic:blipFill>
                  <pic:spPr>
                    <a:xfrm>
                      <a:off x="0" y="0"/>
                      <a:ext cx="1572983" cy="290798"/>
                    </a:xfrm>
                    <a:prstGeom prst="rect">
                      <a:avLst/>
                    </a:prstGeom>
                  </pic:spPr>
                </pic:pic>
              </a:graphicData>
            </a:graphic>
          </wp:anchor>
        </w:drawing>
      </w:r>
    </w:p>
    <w:p>
      <w:pPr>
        <w:pStyle w:val="BodyText"/>
      </w:pPr>
    </w:p>
    <w:p>
      <w:pPr>
        <w:pStyle w:val="BodyText"/>
        <w:rPr>
          <w:sz w:val="23"/>
        </w:rPr>
      </w:pPr>
    </w:p>
    <w:p>
      <w:pPr>
        <w:pStyle w:val="BodyText"/>
        <w:ind w:left="127" w:right="194"/>
      </w:pPr>
      <w:r>
        <w:rPr/>
        <w:pict>
          <v:shape style="position:absolute;margin-left:49.745178pt;margin-top:-47.956894pt;width:124.65pt;height:23.05pt;mso-position-horizontal-relative:page;mso-position-vertical-relative:paragraph;z-index:-1182952" type="#_x0000_t202" filled="false" stroked="false">
            <v:textbox inset="0,0,0,0">
              <w:txbxContent>
                <w:p>
                  <w:pPr>
                    <w:pStyle w:val="BodyText"/>
                    <w:spacing w:before="88"/>
                    <w:ind w:left="54"/>
                  </w:pPr>
                  <w:r>
                    <w:rPr/>
                    <w:t>Dated at Sydney 4 April 2018</w:t>
                  </w:r>
                </w:p>
              </w:txbxContent>
            </v:textbox>
            <w10:wrap type="none"/>
          </v:shape>
        </w:pict>
      </w:r>
      <w:r>
        <w:rPr/>
        <w:t>This page is unaudited</w:t>
      </w:r>
    </w:p>
    <w:p>
      <w:pPr>
        <w:spacing w:after="0"/>
        <w:sectPr>
          <w:pgSz w:w="11910" w:h="16840"/>
          <w:pgMar w:header="0" w:footer="495" w:top="940" w:bottom="700" w:left="880" w:right="920"/>
        </w:sectPr>
      </w:pPr>
    </w:p>
    <w:p>
      <w:pPr>
        <w:pStyle w:val="Heading6"/>
        <w:spacing w:before="52"/>
        <w:ind w:left="107" w:right="258"/>
      </w:pPr>
      <w:bookmarkStart w:name="Auditors Independence Declaration under " w:id="6"/>
      <w:bookmarkEnd w:id="6"/>
      <w:r>
        <w:rPr>
          <w:b w:val="0"/>
        </w:rPr>
      </w:r>
      <w:r>
        <w:rPr/>
        <w:t>Western Sydney University</w:t>
      </w:r>
    </w:p>
    <w:p>
      <w:pPr>
        <w:pStyle w:val="BodyText"/>
        <w:spacing w:before="5"/>
        <w:rPr>
          <w:b/>
          <w:sz w:val="29"/>
        </w:rPr>
      </w:pPr>
    </w:p>
    <w:p>
      <w:pPr>
        <w:spacing w:before="0"/>
        <w:ind w:left="107" w:right="258" w:firstLine="0"/>
        <w:jc w:val="left"/>
        <w:rPr>
          <w:b/>
          <w:sz w:val="28"/>
        </w:rPr>
      </w:pPr>
      <w:r>
        <w:rPr>
          <w:b/>
          <w:sz w:val="28"/>
        </w:rPr>
        <w:t>Responsible Entities Declaration</w:t>
      </w:r>
    </w:p>
    <w:p>
      <w:pPr>
        <w:spacing w:before="53"/>
        <w:ind w:left="107" w:right="258" w:firstLine="0"/>
        <w:jc w:val="left"/>
        <w:rPr>
          <w:b/>
          <w:sz w:val="22"/>
        </w:rPr>
      </w:pPr>
      <w:r>
        <w:rPr>
          <w:b/>
          <w:sz w:val="22"/>
        </w:rPr>
        <w:t>For the year ended 31 December 2017</w:t>
      </w:r>
    </w:p>
    <w:p>
      <w:pPr>
        <w:pStyle w:val="BodyText"/>
        <w:spacing w:before="1"/>
        <w:rPr>
          <w:b/>
          <w:sz w:val="25"/>
        </w:rPr>
      </w:pPr>
    </w:p>
    <w:p>
      <w:pPr>
        <w:pStyle w:val="BodyText"/>
        <w:ind w:left="107" w:right="258"/>
      </w:pPr>
      <w:r>
        <w:rPr/>
        <w:t>The responsible persons declare that in the responsible person's opinion:</w:t>
      </w:r>
    </w:p>
    <w:p>
      <w:pPr>
        <w:pStyle w:val="BodyText"/>
        <w:spacing w:before="11"/>
        <w:rPr>
          <w:sz w:val="24"/>
        </w:rPr>
      </w:pPr>
    </w:p>
    <w:p>
      <w:pPr>
        <w:pStyle w:val="ListParagraph"/>
        <w:numPr>
          <w:ilvl w:val="1"/>
          <w:numId w:val="1"/>
        </w:numPr>
        <w:tabs>
          <w:tab w:pos="900" w:val="left" w:leader="none"/>
        </w:tabs>
        <w:spacing w:line="240" w:lineRule="auto" w:before="0" w:after="0"/>
        <w:ind w:left="900" w:right="168" w:hanging="396"/>
        <w:jc w:val="left"/>
        <w:rPr>
          <w:sz w:val="18"/>
        </w:rPr>
      </w:pPr>
      <w:r>
        <w:rPr>
          <w:sz w:val="18"/>
        </w:rPr>
        <w:t>there are reasonable grounds to believe that the registered entity is able to pay all of its debts, as and when they become due and payable;</w:t>
      </w:r>
      <w:r>
        <w:rPr>
          <w:spacing w:val="3"/>
          <w:sz w:val="18"/>
        </w:rPr>
        <w:t> </w:t>
      </w:r>
      <w:r>
        <w:rPr>
          <w:sz w:val="18"/>
        </w:rPr>
        <w:t>and</w:t>
      </w:r>
    </w:p>
    <w:p>
      <w:pPr>
        <w:pStyle w:val="BodyText"/>
        <w:spacing w:before="11"/>
        <w:rPr>
          <w:sz w:val="24"/>
        </w:rPr>
      </w:pPr>
    </w:p>
    <w:p>
      <w:pPr>
        <w:pStyle w:val="ListParagraph"/>
        <w:numPr>
          <w:ilvl w:val="1"/>
          <w:numId w:val="1"/>
        </w:numPr>
        <w:tabs>
          <w:tab w:pos="900" w:val="left" w:leader="none"/>
        </w:tabs>
        <w:spacing w:line="240" w:lineRule="auto" w:before="0" w:after="0"/>
        <w:ind w:left="900" w:right="798" w:hanging="396"/>
        <w:jc w:val="left"/>
        <w:rPr>
          <w:sz w:val="18"/>
        </w:rPr>
      </w:pPr>
      <w:r>
        <w:rPr/>
        <w:pict>
          <v:shape style="position:absolute;margin-left:50.056pt;margin-top:53.38208pt;width:493.35pt;height:127.65pt;mso-position-horizontal-relative:page;mso-position-vertical-relative:paragraph;z-index:-1182880" type="#_x0000_t202" filled="false" stroked="false">
            <v:textbox inset="0,0,0,0">
              <w:txbxContent>
                <w:p>
                  <w:pPr>
                    <w:spacing w:before="127"/>
                    <w:ind w:left="6" w:right="0" w:firstLine="0"/>
                    <w:jc w:val="left"/>
                    <w:rPr>
                      <w:sz w:val="18"/>
                    </w:rPr>
                  </w:pPr>
                  <w:r>
                    <w:rPr>
                      <w:sz w:val="18"/>
                    </w:rPr>
                    <w:t>Signed in accordance with subsection 60.15(2) of the </w:t>
                  </w:r>
                  <w:r>
                    <w:rPr>
                      <w:i/>
                      <w:sz w:val="18"/>
                    </w:rPr>
                    <w:t>Australian Charities and Not-for-profits Commission Regulation 201</w:t>
                  </w:r>
                  <w:r>
                    <w:rPr>
                      <w:sz w:val="18"/>
                    </w:rPr>
                    <w:t>3.</w:t>
                  </w:r>
                </w:p>
                <w:p>
                  <w:pPr>
                    <w:pStyle w:val="BodyText"/>
                  </w:pPr>
                </w:p>
                <w:p>
                  <w:pPr>
                    <w:pStyle w:val="BodyText"/>
                  </w:pPr>
                </w:p>
                <w:p>
                  <w:pPr>
                    <w:pStyle w:val="BodyText"/>
                  </w:pPr>
                </w:p>
                <w:p>
                  <w:pPr>
                    <w:pStyle w:val="BodyText"/>
                    <w:spacing w:before="3"/>
                    <w:rPr>
                      <w:sz w:val="26"/>
                    </w:rPr>
                  </w:pPr>
                </w:p>
                <w:p>
                  <w:pPr>
                    <w:pStyle w:val="BodyText"/>
                    <w:ind w:left="6"/>
                  </w:pPr>
                  <w:r>
                    <w:rPr/>
                    <w:t>............................................................................................</w:t>
                  </w:r>
                </w:p>
                <w:p>
                  <w:pPr>
                    <w:pStyle w:val="BodyText"/>
                    <w:spacing w:before="26"/>
                    <w:ind w:left="6"/>
                  </w:pPr>
                  <w:r>
                    <w:rPr/>
                    <w:t>Professor Barney Glover</w:t>
                  </w:r>
                </w:p>
                <w:p>
                  <w:pPr>
                    <w:pStyle w:val="BodyText"/>
                    <w:spacing w:before="52"/>
                    <w:ind w:left="6"/>
                  </w:pPr>
                  <w:r>
                    <w:rPr/>
                    <w:t>Vice Chancellor and President</w:t>
                  </w:r>
                </w:p>
                <w:p>
                  <w:pPr>
                    <w:pStyle w:val="BodyText"/>
                  </w:pPr>
                </w:p>
                <w:p>
                  <w:pPr>
                    <w:pStyle w:val="BodyText"/>
                    <w:spacing w:before="107"/>
                    <w:ind w:left="6"/>
                  </w:pPr>
                  <w:r>
                    <w:rPr/>
                    <w:t>Dated at Sydney 4 April 2018</w:t>
                  </w:r>
                </w:p>
              </w:txbxContent>
            </v:textbox>
            <w10:wrap type="none"/>
          </v:shape>
        </w:pict>
      </w:r>
      <w:r>
        <w:rPr>
          <w:sz w:val="18"/>
        </w:rPr>
        <w:t>the financial statements and notes satisfy the requirements of the </w:t>
      </w:r>
      <w:r>
        <w:rPr>
          <w:i/>
          <w:sz w:val="18"/>
        </w:rPr>
        <w:t>Australian Charities and Not-for-profits </w:t>
      </w:r>
      <w:r>
        <w:rPr>
          <w:i/>
          <w:sz w:val="18"/>
        </w:rPr>
        <w:t>Commission Act 2012</w:t>
      </w:r>
      <w:r>
        <w:rPr>
          <w:sz w:val="18"/>
        </w:rPr>
        <w:t>.</w:t>
      </w:r>
    </w:p>
    <w:p>
      <w:pPr>
        <w:pStyle w:val="BodyText"/>
        <w:rPr>
          <w:sz w:val="20"/>
        </w:rPr>
      </w:pPr>
    </w:p>
    <w:p>
      <w:pPr>
        <w:pStyle w:val="BodyText"/>
        <w:rPr>
          <w:sz w:val="20"/>
        </w:rPr>
      </w:pPr>
    </w:p>
    <w:p>
      <w:pPr>
        <w:pStyle w:val="BodyText"/>
        <w:spacing w:before="5"/>
        <w:rPr>
          <w:sz w:val="13"/>
        </w:rPr>
      </w:pPr>
      <w:r>
        <w:rPr/>
        <w:drawing>
          <wp:anchor distT="0" distB="0" distL="0" distR="0" allowOverlap="1" layoutInCell="1" locked="0" behindDoc="0" simplePos="0" relativeHeight="1120">
            <wp:simplePos x="0" y="0"/>
            <wp:positionH relativeFrom="page">
              <wp:posOffset>635711</wp:posOffset>
            </wp:positionH>
            <wp:positionV relativeFrom="paragraph">
              <wp:posOffset>123379</wp:posOffset>
            </wp:positionV>
            <wp:extent cx="6138762" cy="1588389"/>
            <wp:effectExtent l="0" t="0" r="0" b="0"/>
            <wp:wrapTopAndBottom/>
            <wp:docPr id="5" name="image6.jpeg" descr=""/>
            <wp:cNvGraphicFramePr>
              <a:graphicFrameLocks noChangeAspect="1"/>
            </wp:cNvGraphicFramePr>
            <a:graphic>
              <a:graphicData uri="http://schemas.openxmlformats.org/drawingml/2006/picture">
                <pic:pic>
                  <pic:nvPicPr>
                    <pic:cNvPr id="6" name="image6.jpeg"/>
                    <pic:cNvPicPr/>
                  </pic:nvPicPr>
                  <pic:blipFill>
                    <a:blip r:embed="rId11" cstate="print"/>
                    <a:stretch>
                      <a:fillRect/>
                    </a:stretch>
                  </pic:blipFill>
                  <pic:spPr>
                    <a:xfrm>
                      <a:off x="0" y="0"/>
                      <a:ext cx="6138762" cy="1588389"/>
                    </a:xfrm>
                    <a:prstGeom prst="rect">
                      <a:avLst/>
                    </a:prstGeom>
                  </pic:spPr>
                </pic:pic>
              </a:graphicData>
            </a:graphic>
          </wp:anchor>
        </w:drawing>
      </w:r>
    </w:p>
    <w:p>
      <w:pPr>
        <w:spacing w:after="0"/>
        <w:rPr>
          <w:sz w:val="13"/>
        </w:rPr>
        <w:sectPr>
          <w:pgSz w:w="11910" w:h="16840"/>
          <w:pgMar w:header="0" w:footer="495" w:top="940" w:bottom="700" w:left="900" w:right="940"/>
        </w:sectPr>
      </w:pPr>
    </w:p>
    <w:p>
      <w:pPr>
        <w:pStyle w:val="BodyText"/>
        <w:ind w:left="4428"/>
        <w:rPr>
          <w:sz w:val="20"/>
        </w:rPr>
      </w:pPr>
      <w:r>
        <w:rPr>
          <w:sz w:val="20"/>
        </w:rPr>
        <w:drawing>
          <wp:inline distT="0" distB="0" distL="0" distR="0">
            <wp:extent cx="987552" cy="1060703"/>
            <wp:effectExtent l="0" t="0" r="0" b="0"/>
            <wp:docPr id="7" name="image7.png" descr=""/>
            <wp:cNvGraphicFramePr>
              <a:graphicFrameLocks noChangeAspect="1"/>
            </wp:cNvGraphicFramePr>
            <a:graphic>
              <a:graphicData uri="http://schemas.openxmlformats.org/drawingml/2006/picture">
                <pic:pic>
                  <pic:nvPicPr>
                    <pic:cNvPr id="8" name="image7.png"/>
                    <pic:cNvPicPr/>
                  </pic:nvPicPr>
                  <pic:blipFill>
                    <a:blip r:embed="rId12" cstate="print"/>
                    <a:stretch>
                      <a:fillRect/>
                    </a:stretch>
                  </pic:blipFill>
                  <pic:spPr>
                    <a:xfrm>
                      <a:off x="0" y="0"/>
                      <a:ext cx="987552" cy="1060703"/>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10"/>
        <w:rPr>
          <w:sz w:val="29"/>
        </w:rPr>
      </w:pPr>
    </w:p>
    <w:p>
      <w:pPr>
        <w:pStyle w:val="Heading8"/>
        <w:spacing w:line="259" w:lineRule="auto" w:before="76"/>
        <w:ind w:left="693" w:right="7093" w:firstLine="4"/>
      </w:pPr>
      <w:r>
        <w:rPr/>
        <w:t>To the Vice Chancellor Western  Sydney University</w:t>
      </w:r>
    </w:p>
    <w:p>
      <w:pPr>
        <w:pStyle w:val="BodyText"/>
        <w:spacing w:before="9"/>
        <w:rPr>
          <w:sz w:val="29"/>
        </w:rPr>
      </w:pPr>
    </w:p>
    <w:p>
      <w:pPr>
        <w:spacing w:before="71"/>
        <w:ind w:left="96" w:right="125" w:firstLine="0"/>
        <w:jc w:val="center"/>
        <w:rPr>
          <w:b/>
          <w:sz w:val="23"/>
        </w:rPr>
      </w:pPr>
      <w:r>
        <w:rPr>
          <w:b/>
          <w:sz w:val="23"/>
        </w:rPr>
        <w:t>Auditor's  Independence  Declaration</w:t>
      </w:r>
    </w:p>
    <w:p>
      <w:pPr>
        <w:pStyle w:val="BodyText"/>
        <w:rPr>
          <w:b/>
          <w:sz w:val="22"/>
        </w:rPr>
      </w:pPr>
    </w:p>
    <w:p>
      <w:pPr>
        <w:pStyle w:val="BodyText"/>
        <w:spacing w:before="7"/>
        <w:rPr>
          <w:b/>
          <w:sz w:val="29"/>
        </w:rPr>
      </w:pPr>
    </w:p>
    <w:p>
      <w:pPr>
        <w:spacing w:line="266" w:lineRule="auto" w:before="0"/>
        <w:ind w:left="693" w:right="969" w:hanging="10"/>
        <w:jc w:val="left"/>
        <w:rPr>
          <w:sz w:val="19"/>
        </w:rPr>
      </w:pPr>
      <w:r>
        <w:rPr>
          <w:w w:val="105"/>
          <w:sz w:val="19"/>
        </w:rPr>
        <w:t>As auditor for the audit of the financial statements of Western Sydney University for the year ended 31 December 2017, I declare, to the best of my knowledge and belief, there have been no contraventions of any applicable code of professional conduct in relation to the audit</w:t>
      </w:r>
    </w:p>
    <w:p>
      <w:pPr>
        <w:pStyle w:val="BodyText"/>
        <w:rPr>
          <w:sz w:val="20"/>
        </w:rPr>
      </w:pPr>
    </w:p>
    <w:p>
      <w:pPr>
        <w:pStyle w:val="BodyText"/>
        <w:rPr>
          <w:sz w:val="20"/>
        </w:rPr>
      </w:pPr>
    </w:p>
    <w:p>
      <w:pPr>
        <w:pStyle w:val="BodyText"/>
        <w:rPr>
          <w:sz w:val="20"/>
        </w:rPr>
      </w:pPr>
    </w:p>
    <w:p>
      <w:pPr>
        <w:pStyle w:val="BodyText"/>
        <w:rPr>
          <w:sz w:val="12"/>
        </w:rPr>
      </w:pPr>
      <w:r>
        <w:rPr/>
        <w:drawing>
          <wp:anchor distT="0" distB="0" distL="0" distR="0" allowOverlap="1" layoutInCell="1" locked="0" behindDoc="0" simplePos="0" relativeHeight="1168">
            <wp:simplePos x="0" y="0"/>
            <wp:positionH relativeFrom="page">
              <wp:posOffset>670559</wp:posOffset>
            </wp:positionH>
            <wp:positionV relativeFrom="paragraph">
              <wp:posOffset>112974</wp:posOffset>
            </wp:positionV>
            <wp:extent cx="1670304" cy="585215"/>
            <wp:effectExtent l="0" t="0" r="0" b="0"/>
            <wp:wrapTopAndBottom/>
            <wp:docPr id="9" name="image8.png" descr=""/>
            <wp:cNvGraphicFramePr>
              <a:graphicFrameLocks noChangeAspect="1"/>
            </wp:cNvGraphicFramePr>
            <a:graphic>
              <a:graphicData uri="http://schemas.openxmlformats.org/drawingml/2006/picture">
                <pic:pic>
                  <pic:nvPicPr>
                    <pic:cNvPr id="10" name="image8.png"/>
                    <pic:cNvPicPr/>
                  </pic:nvPicPr>
                  <pic:blipFill>
                    <a:blip r:embed="rId13" cstate="print"/>
                    <a:stretch>
                      <a:fillRect/>
                    </a:stretch>
                  </pic:blipFill>
                  <pic:spPr>
                    <a:xfrm>
                      <a:off x="0" y="0"/>
                      <a:ext cx="1670304" cy="585215"/>
                    </a:xfrm>
                    <a:prstGeom prst="rect">
                      <a:avLst/>
                    </a:prstGeom>
                  </pic:spPr>
                </pic:pic>
              </a:graphicData>
            </a:graphic>
          </wp:anchor>
        </w:drawing>
      </w:r>
    </w:p>
    <w:p>
      <w:pPr>
        <w:spacing w:before="0"/>
        <w:ind w:left="698" w:right="7093" w:firstLine="0"/>
        <w:jc w:val="left"/>
        <w:rPr>
          <w:sz w:val="19"/>
        </w:rPr>
      </w:pPr>
      <w:r>
        <w:rPr>
          <w:sz w:val="19"/>
        </w:rPr>
        <w:t>Ian Goodwin</w:t>
      </w:r>
    </w:p>
    <w:p>
      <w:pPr>
        <w:spacing w:before="12"/>
        <w:ind w:left="683" w:right="969" w:firstLine="0"/>
        <w:jc w:val="left"/>
        <w:rPr>
          <w:sz w:val="19"/>
        </w:rPr>
      </w:pPr>
      <w:r>
        <w:rPr>
          <w:sz w:val="19"/>
        </w:rPr>
        <w:t>Acting  Auditor-General  of NSW</w:t>
      </w:r>
    </w:p>
    <w:p>
      <w:pPr>
        <w:pStyle w:val="BodyText"/>
      </w:pPr>
    </w:p>
    <w:p>
      <w:pPr>
        <w:spacing w:line="252" w:lineRule="auto" w:before="155"/>
        <w:ind w:left="693" w:right="8567" w:hanging="246"/>
        <w:jc w:val="left"/>
        <w:rPr>
          <w:sz w:val="19"/>
        </w:rPr>
      </w:pPr>
      <w:r>
        <w:rPr>
          <w:w w:val="124"/>
          <w:sz w:val="19"/>
        </w:rPr>
        <w:t>0..&gt;April </w:t>
      </w:r>
      <w:r>
        <w:rPr>
          <w:w w:val="100"/>
          <w:sz w:val="19"/>
        </w:rPr>
        <w:t>2018 </w:t>
      </w:r>
      <w:r>
        <w:rPr>
          <w:w w:val="110"/>
          <w:sz w:val="19"/>
        </w:rPr>
        <w:t>SYDNEY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r>
        <w:rPr/>
        <w:pict>
          <v:line style="position:absolute;mso-position-horizontal-relative:page;mso-position-vertical-relative:paragraph;z-index:1192;mso-wrap-distance-left:0;mso-wrap-distance-right:0" from="38.994759pt,15.747768pt" to="546.646499pt,15.747768pt" stroked="true" strokeweight=".719903pt" strokecolor="#000000">
            <w10:wrap type="topAndBottom"/>
          </v:line>
        </w:pict>
      </w:r>
    </w:p>
    <w:p>
      <w:pPr>
        <w:spacing w:before="136"/>
        <w:ind w:left="117" w:right="125" w:firstLine="0"/>
        <w:jc w:val="center"/>
        <w:rPr>
          <w:b/>
          <w:sz w:val="15"/>
        </w:rPr>
      </w:pPr>
      <w:r>
        <w:rPr>
          <w:b/>
          <w:w w:val="95"/>
          <w:sz w:val="15"/>
        </w:rPr>
        <w:t>Level</w:t>
      </w:r>
      <w:r>
        <w:rPr>
          <w:b/>
          <w:spacing w:val="-20"/>
          <w:w w:val="95"/>
          <w:sz w:val="15"/>
        </w:rPr>
        <w:t> </w:t>
      </w:r>
      <w:r>
        <w:rPr>
          <w:b/>
          <w:w w:val="95"/>
          <w:sz w:val="15"/>
        </w:rPr>
        <w:t>15,</w:t>
      </w:r>
      <w:r>
        <w:rPr>
          <w:b/>
          <w:spacing w:val="-22"/>
          <w:w w:val="95"/>
          <w:sz w:val="15"/>
        </w:rPr>
        <w:t> </w:t>
      </w:r>
      <w:r>
        <w:rPr>
          <w:b/>
          <w:w w:val="95"/>
          <w:sz w:val="15"/>
        </w:rPr>
        <w:t>1</w:t>
      </w:r>
      <w:r>
        <w:rPr>
          <w:b/>
          <w:spacing w:val="-27"/>
          <w:w w:val="95"/>
          <w:sz w:val="15"/>
        </w:rPr>
        <w:t> </w:t>
      </w:r>
      <w:r>
        <w:rPr>
          <w:b/>
          <w:w w:val="95"/>
          <w:sz w:val="15"/>
        </w:rPr>
        <w:t>Margaret</w:t>
      </w:r>
      <w:r>
        <w:rPr>
          <w:b/>
          <w:spacing w:val="-17"/>
          <w:w w:val="95"/>
          <w:sz w:val="15"/>
        </w:rPr>
        <w:t> </w:t>
      </w:r>
      <w:r>
        <w:rPr>
          <w:b/>
          <w:w w:val="95"/>
          <w:sz w:val="15"/>
        </w:rPr>
        <w:t>Straet,</w:t>
      </w:r>
      <w:r>
        <w:rPr>
          <w:b/>
          <w:spacing w:val="-16"/>
          <w:w w:val="95"/>
          <w:sz w:val="15"/>
        </w:rPr>
        <w:t> </w:t>
      </w:r>
      <w:r>
        <w:rPr>
          <w:b/>
          <w:w w:val="95"/>
          <w:sz w:val="15"/>
        </w:rPr>
        <w:t>Sydney</w:t>
      </w:r>
      <w:r>
        <w:rPr>
          <w:b/>
          <w:spacing w:val="-17"/>
          <w:w w:val="95"/>
          <w:sz w:val="15"/>
        </w:rPr>
        <w:t> </w:t>
      </w:r>
      <w:r>
        <w:rPr>
          <w:b/>
          <w:w w:val="95"/>
          <w:sz w:val="15"/>
        </w:rPr>
        <w:t>NSW</w:t>
      </w:r>
      <w:r>
        <w:rPr>
          <w:b/>
          <w:spacing w:val="-13"/>
          <w:w w:val="95"/>
          <w:sz w:val="15"/>
        </w:rPr>
        <w:t> </w:t>
      </w:r>
      <w:r>
        <w:rPr>
          <w:b/>
          <w:w w:val="95"/>
          <w:sz w:val="15"/>
        </w:rPr>
        <w:t>2000</w:t>
      </w:r>
      <w:r>
        <w:rPr>
          <w:b/>
          <w:spacing w:val="10"/>
          <w:w w:val="95"/>
          <w:sz w:val="15"/>
        </w:rPr>
        <w:t> </w:t>
      </w:r>
      <w:r>
        <w:rPr>
          <w:w w:val="95"/>
          <w:sz w:val="15"/>
        </w:rPr>
        <w:t>I</w:t>
      </w:r>
      <w:r>
        <w:rPr>
          <w:spacing w:val="-5"/>
          <w:w w:val="95"/>
          <w:sz w:val="15"/>
        </w:rPr>
        <w:t> </w:t>
      </w:r>
      <w:r>
        <w:rPr>
          <w:w w:val="95"/>
          <w:sz w:val="15"/>
        </w:rPr>
        <w:t>GPO</w:t>
      </w:r>
      <w:r>
        <w:rPr>
          <w:spacing w:val="-16"/>
          <w:w w:val="95"/>
          <w:sz w:val="15"/>
        </w:rPr>
        <w:t> </w:t>
      </w:r>
      <w:r>
        <w:rPr>
          <w:w w:val="95"/>
          <w:sz w:val="15"/>
        </w:rPr>
        <w:t>Box</w:t>
      </w:r>
      <w:r>
        <w:rPr>
          <w:spacing w:val="-16"/>
          <w:w w:val="95"/>
          <w:sz w:val="15"/>
        </w:rPr>
        <w:t> </w:t>
      </w:r>
      <w:r>
        <w:rPr>
          <w:w w:val="95"/>
          <w:sz w:val="15"/>
        </w:rPr>
        <w:t>12,</w:t>
      </w:r>
      <w:r>
        <w:rPr>
          <w:spacing w:val="-23"/>
          <w:w w:val="95"/>
          <w:sz w:val="15"/>
        </w:rPr>
        <w:t> </w:t>
      </w:r>
      <w:r>
        <w:rPr>
          <w:w w:val="95"/>
          <w:sz w:val="15"/>
        </w:rPr>
        <w:t>Sydney</w:t>
      </w:r>
      <w:r>
        <w:rPr>
          <w:spacing w:val="-16"/>
          <w:w w:val="95"/>
          <w:sz w:val="15"/>
        </w:rPr>
        <w:t> </w:t>
      </w:r>
      <w:r>
        <w:rPr>
          <w:b/>
          <w:w w:val="95"/>
          <w:sz w:val="15"/>
        </w:rPr>
        <w:t>NSW</w:t>
      </w:r>
      <w:r>
        <w:rPr>
          <w:b/>
          <w:spacing w:val="-20"/>
          <w:w w:val="95"/>
          <w:sz w:val="15"/>
        </w:rPr>
        <w:t> </w:t>
      </w:r>
      <w:r>
        <w:rPr>
          <w:w w:val="95"/>
          <w:sz w:val="15"/>
        </w:rPr>
        <w:t>2001</w:t>
      </w:r>
      <w:r>
        <w:rPr>
          <w:spacing w:val="10"/>
          <w:w w:val="95"/>
          <w:sz w:val="15"/>
        </w:rPr>
        <w:t> </w:t>
      </w:r>
      <w:r>
        <w:rPr>
          <w:w w:val="95"/>
          <w:sz w:val="15"/>
        </w:rPr>
        <w:t>I</w:t>
      </w:r>
      <w:r>
        <w:rPr>
          <w:spacing w:val="-5"/>
          <w:w w:val="95"/>
          <w:sz w:val="15"/>
        </w:rPr>
        <w:t> </w:t>
      </w:r>
      <w:r>
        <w:rPr>
          <w:b/>
          <w:w w:val="95"/>
          <w:sz w:val="14"/>
        </w:rPr>
        <w:t>t</w:t>
      </w:r>
      <w:r>
        <w:rPr>
          <w:b/>
          <w:spacing w:val="-14"/>
          <w:w w:val="95"/>
          <w:sz w:val="14"/>
        </w:rPr>
        <w:t> </w:t>
      </w:r>
      <w:r>
        <w:rPr>
          <w:w w:val="95"/>
          <w:sz w:val="15"/>
        </w:rPr>
        <w:t>02</w:t>
      </w:r>
      <w:r>
        <w:rPr>
          <w:spacing w:val="-20"/>
          <w:w w:val="95"/>
          <w:sz w:val="15"/>
        </w:rPr>
        <w:t> </w:t>
      </w:r>
      <w:r>
        <w:rPr>
          <w:w w:val="95"/>
          <w:sz w:val="15"/>
        </w:rPr>
        <w:t>9275</w:t>
      </w:r>
      <w:r>
        <w:rPr>
          <w:spacing w:val="-18"/>
          <w:w w:val="95"/>
          <w:sz w:val="15"/>
        </w:rPr>
        <w:t> </w:t>
      </w:r>
      <w:r>
        <w:rPr>
          <w:w w:val="95"/>
          <w:sz w:val="15"/>
        </w:rPr>
        <w:t>7101</w:t>
      </w:r>
      <w:r>
        <w:rPr>
          <w:spacing w:val="13"/>
          <w:w w:val="95"/>
          <w:sz w:val="15"/>
        </w:rPr>
        <w:t> </w:t>
      </w:r>
      <w:r>
        <w:rPr>
          <w:w w:val="95"/>
          <w:sz w:val="15"/>
        </w:rPr>
        <w:t>I</w:t>
      </w:r>
      <w:r>
        <w:rPr>
          <w:spacing w:val="-10"/>
          <w:w w:val="95"/>
          <w:sz w:val="15"/>
        </w:rPr>
        <w:t> </w:t>
      </w:r>
      <w:r>
        <w:rPr>
          <w:b/>
          <w:w w:val="95"/>
          <w:sz w:val="15"/>
        </w:rPr>
        <w:t>f</w:t>
      </w:r>
      <w:r>
        <w:rPr>
          <w:b/>
          <w:spacing w:val="-15"/>
          <w:w w:val="95"/>
          <w:sz w:val="15"/>
        </w:rPr>
        <w:t> </w:t>
      </w:r>
      <w:r>
        <w:rPr>
          <w:w w:val="95"/>
          <w:sz w:val="15"/>
        </w:rPr>
        <w:t>02</w:t>
      </w:r>
      <w:r>
        <w:rPr>
          <w:spacing w:val="-24"/>
          <w:w w:val="95"/>
          <w:sz w:val="15"/>
        </w:rPr>
        <w:t> </w:t>
      </w:r>
      <w:r>
        <w:rPr>
          <w:w w:val="95"/>
          <w:sz w:val="15"/>
        </w:rPr>
        <w:t>9275</w:t>
      </w:r>
      <w:r>
        <w:rPr>
          <w:spacing w:val="-21"/>
          <w:w w:val="95"/>
          <w:sz w:val="15"/>
        </w:rPr>
        <w:t> </w:t>
      </w:r>
      <w:r>
        <w:rPr>
          <w:w w:val="95"/>
          <w:sz w:val="15"/>
        </w:rPr>
        <w:t>7179</w:t>
      </w:r>
      <w:r>
        <w:rPr>
          <w:spacing w:val="4"/>
          <w:w w:val="95"/>
          <w:sz w:val="15"/>
        </w:rPr>
        <w:t> </w:t>
      </w:r>
      <w:r>
        <w:rPr>
          <w:w w:val="95"/>
          <w:sz w:val="15"/>
        </w:rPr>
        <w:t>I</w:t>
      </w:r>
      <w:r>
        <w:rPr>
          <w:spacing w:val="-13"/>
          <w:w w:val="95"/>
          <w:sz w:val="15"/>
        </w:rPr>
        <w:t> </w:t>
      </w:r>
      <w:r>
        <w:rPr>
          <w:w w:val="95"/>
          <w:sz w:val="15"/>
        </w:rPr>
        <w:t>e</w:t>
      </w:r>
      <w:r>
        <w:rPr>
          <w:spacing w:val="-24"/>
          <w:w w:val="95"/>
          <w:sz w:val="15"/>
        </w:rPr>
        <w:t> </w:t>
      </w:r>
      <w:hyperlink r:id="rId14">
        <w:r>
          <w:rPr>
            <w:w w:val="95"/>
            <w:sz w:val="15"/>
          </w:rPr>
          <w:t>mail@audit.nsw.gov.au</w:t>
        </w:r>
      </w:hyperlink>
      <w:r>
        <w:rPr>
          <w:spacing w:val="14"/>
          <w:w w:val="95"/>
          <w:sz w:val="15"/>
        </w:rPr>
        <w:t> </w:t>
      </w:r>
      <w:r>
        <w:rPr>
          <w:w w:val="95"/>
          <w:sz w:val="15"/>
        </w:rPr>
        <w:t>I</w:t>
      </w:r>
      <w:r>
        <w:rPr>
          <w:spacing w:val="-2"/>
          <w:w w:val="95"/>
          <w:sz w:val="15"/>
        </w:rPr>
        <w:t> </w:t>
      </w:r>
      <w:r>
        <w:rPr>
          <w:b/>
          <w:w w:val="95"/>
          <w:sz w:val="15"/>
        </w:rPr>
        <w:t>audit.nsw.gov.au</w:t>
      </w:r>
    </w:p>
    <w:p>
      <w:pPr>
        <w:spacing w:after="0"/>
        <w:jc w:val="center"/>
        <w:rPr>
          <w:sz w:val="15"/>
        </w:rPr>
        <w:sectPr>
          <w:pgSz w:w="11900" w:h="16840"/>
          <w:pgMar w:header="0" w:footer="495" w:top="660" w:bottom="680" w:left="660" w:right="840"/>
        </w:sectPr>
      </w:pPr>
    </w:p>
    <w:p>
      <w:pPr>
        <w:pStyle w:val="Heading6"/>
        <w:spacing w:before="48"/>
        <w:ind w:left="100" w:right="220"/>
      </w:pPr>
      <w:r>
        <w:rPr/>
        <w:t>Western Sydney University</w:t>
      </w:r>
    </w:p>
    <w:p>
      <w:pPr>
        <w:pStyle w:val="BodyText"/>
        <w:rPr>
          <w:b/>
          <w:sz w:val="22"/>
        </w:rPr>
      </w:pPr>
    </w:p>
    <w:p>
      <w:pPr>
        <w:spacing w:before="150"/>
        <w:ind w:left="107" w:right="220" w:firstLine="0"/>
        <w:jc w:val="left"/>
        <w:rPr>
          <w:b/>
          <w:sz w:val="28"/>
        </w:rPr>
      </w:pPr>
      <w:bookmarkStart w:name="Income Statement" w:id="7"/>
      <w:bookmarkEnd w:id="7"/>
      <w:r>
        <w:rPr/>
      </w:r>
      <w:r>
        <w:rPr>
          <w:b/>
          <w:sz w:val="28"/>
        </w:rPr>
        <w:t>Income Statement</w:t>
      </w:r>
    </w:p>
    <w:p>
      <w:pPr>
        <w:spacing w:before="53"/>
        <w:ind w:left="107" w:right="220" w:firstLine="0"/>
        <w:jc w:val="left"/>
        <w:rPr>
          <w:b/>
          <w:sz w:val="22"/>
        </w:rPr>
      </w:pPr>
      <w:r>
        <w:rPr>
          <w:b/>
          <w:sz w:val="22"/>
        </w:rPr>
        <w:t>For the Year Ended 31 December 2017</w:t>
      </w:r>
    </w:p>
    <w:p>
      <w:pPr>
        <w:pStyle w:val="BodyText"/>
        <w:spacing w:before="2"/>
        <w:rPr>
          <w:b/>
          <w:sz w:val="29"/>
        </w:rPr>
      </w:pPr>
    </w:p>
    <w:p>
      <w:pPr>
        <w:pStyle w:val="Heading9"/>
        <w:tabs>
          <w:tab w:pos="8351" w:val="left" w:leader="none"/>
        </w:tabs>
        <w:spacing w:before="78"/>
        <w:ind w:left="5301" w:right="220"/>
      </w:pPr>
      <w:r>
        <w:rPr/>
        <w:t>Consolidated</w:t>
        <w:tab/>
        <w:t>Parent</w:t>
      </w:r>
    </w:p>
    <w:p>
      <w:pPr>
        <w:spacing w:after="0"/>
        <w:sectPr>
          <w:pgSz w:w="11910" w:h="16840"/>
          <w:pgMar w:header="0" w:footer="495" w:top="1340" w:bottom="700" w:left="900" w:right="880"/>
        </w:sectPr>
      </w:pPr>
    </w:p>
    <w:p>
      <w:pPr>
        <w:pStyle w:val="BodyText"/>
        <w:rPr>
          <w:b/>
        </w:rPr>
      </w:pPr>
    </w:p>
    <w:p>
      <w:pPr>
        <w:pStyle w:val="BodyText"/>
        <w:rPr>
          <w:b/>
        </w:rPr>
      </w:pPr>
    </w:p>
    <w:p>
      <w:pPr>
        <w:pStyle w:val="BodyText"/>
        <w:spacing w:before="6"/>
        <w:rPr>
          <w:b/>
          <w:sz w:val="26"/>
        </w:rPr>
      </w:pPr>
    </w:p>
    <w:p>
      <w:pPr>
        <w:spacing w:before="0"/>
        <w:ind w:left="148" w:right="640" w:firstLine="0"/>
        <w:jc w:val="left"/>
        <w:rPr>
          <w:b/>
          <w:sz w:val="18"/>
        </w:rPr>
      </w:pPr>
      <w:r>
        <w:rPr>
          <w:b/>
          <w:sz w:val="18"/>
        </w:rPr>
        <w:t>Income from continuing operations</w:t>
      </w:r>
    </w:p>
    <w:p>
      <w:pPr>
        <w:pStyle w:val="BodyText"/>
        <w:spacing w:before="112"/>
        <w:ind w:left="290" w:right="-4"/>
      </w:pPr>
      <w:r>
        <w:rPr/>
        <w:t>Australian Government financial assistance</w:t>
      </w:r>
    </w:p>
    <w:p>
      <w:pPr>
        <w:pStyle w:val="BodyText"/>
      </w:pPr>
      <w:r>
        <w:rPr/>
        <w:br w:type="column"/>
      </w:r>
      <w:r>
        <w:rPr/>
      </w:r>
    </w:p>
    <w:p>
      <w:pPr>
        <w:pStyle w:val="Heading9"/>
        <w:spacing w:before="159"/>
        <w:ind w:left="148" w:right="-19"/>
      </w:pPr>
      <w:r>
        <w:rPr/>
        <w:t>Notes</w:t>
      </w:r>
    </w:p>
    <w:p>
      <w:pPr>
        <w:spacing w:before="93"/>
        <w:ind w:left="170" w:right="-17" w:firstLine="0"/>
        <w:jc w:val="left"/>
        <w:rPr>
          <w:b/>
          <w:sz w:val="18"/>
        </w:rPr>
      </w:pPr>
      <w:r>
        <w:rPr/>
        <w:br w:type="column"/>
      </w:r>
      <w:r>
        <w:rPr>
          <w:b/>
          <w:sz w:val="18"/>
        </w:rPr>
        <w:t>2017</w:t>
      </w:r>
    </w:p>
    <w:p>
      <w:pPr>
        <w:spacing w:before="66"/>
        <w:ind w:left="148" w:right="-17" w:firstLine="0"/>
        <w:jc w:val="left"/>
        <w:rPr>
          <w:b/>
          <w:sz w:val="18"/>
        </w:rPr>
      </w:pPr>
      <w:r>
        <w:rPr>
          <w:b/>
          <w:sz w:val="18"/>
        </w:rPr>
        <w:t>$'000</w:t>
      </w:r>
    </w:p>
    <w:p>
      <w:pPr>
        <w:spacing w:before="93"/>
        <w:ind w:left="170" w:right="-17" w:firstLine="0"/>
        <w:jc w:val="left"/>
        <w:rPr>
          <w:b/>
          <w:sz w:val="18"/>
        </w:rPr>
      </w:pPr>
      <w:r>
        <w:rPr/>
        <w:br w:type="column"/>
      </w:r>
      <w:r>
        <w:rPr>
          <w:b/>
          <w:sz w:val="18"/>
        </w:rPr>
        <w:t>2016</w:t>
      </w:r>
    </w:p>
    <w:p>
      <w:pPr>
        <w:spacing w:before="66"/>
        <w:ind w:left="148" w:right="-17" w:firstLine="0"/>
        <w:jc w:val="left"/>
        <w:rPr>
          <w:b/>
          <w:sz w:val="18"/>
        </w:rPr>
      </w:pPr>
      <w:r>
        <w:rPr>
          <w:b/>
          <w:sz w:val="18"/>
        </w:rPr>
        <w:t>$'000</w:t>
      </w:r>
    </w:p>
    <w:p>
      <w:pPr>
        <w:spacing w:before="66"/>
        <w:ind w:left="170" w:right="-17" w:firstLine="0"/>
        <w:jc w:val="left"/>
        <w:rPr>
          <w:b/>
          <w:sz w:val="18"/>
        </w:rPr>
      </w:pPr>
      <w:r>
        <w:rPr/>
        <w:br w:type="column"/>
      </w:r>
      <w:r>
        <w:rPr>
          <w:b/>
          <w:sz w:val="18"/>
        </w:rPr>
        <w:t>2017</w:t>
      </w:r>
    </w:p>
    <w:p>
      <w:pPr>
        <w:spacing w:before="64"/>
        <w:ind w:left="148" w:right="-17" w:firstLine="0"/>
        <w:jc w:val="left"/>
        <w:rPr>
          <w:b/>
          <w:sz w:val="18"/>
        </w:rPr>
      </w:pPr>
      <w:r>
        <w:rPr>
          <w:b/>
          <w:sz w:val="18"/>
        </w:rPr>
        <w:t>$'000</w:t>
      </w:r>
    </w:p>
    <w:p>
      <w:pPr>
        <w:spacing w:before="66"/>
        <w:ind w:left="170" w:right="0" w:firstLine="0"/>
        <w:jc w:val="left"/>
        <w:rPr>
          <w:b/>
          <w:sz w:val="18"/>
        </w:rPr>
      </w:pPr>
      <w:r>
        <w:rPr/>
        <w:br w:type="column"/>
      </w:r>
      <w:r>
        <w:rPr>
          <w:b/>
          <w:sz w:val="18"/>
        </w:rPr>
        <w:t>2016</w:t>
      </w:r>
    </w:p>
    <w:p>
      <w:pPr>
        <w:spacing w:before="64"/>
        <w:ind w:left="148" w:right="0" w:firstLine="0"/>
        <w:jc w:val="left"/>
        <w:rPr>
          <w:b/>
          <w:sz w:val="18"/>
        </w:rPr>
      </w:pPr>
      <w:r>
        <w:rPr>
          <w:b/>
          <w:sz w:val="18"/>
        </w:rPr>
        <w:t>$'000</w:t>
      </w:r>
    </w:p>
    <w:p>
      <w:pPr>
        <w:spacing w:after="0"/>
        <w:jc w:val="left"/>
        <w:rPr>
          <w:sz w:val="18"/>
        </w:rPr>
        <w:sectPr>
          <w:type w:val="continuous"/>
          <w:pgSz w:w="11910" w:h="16840"/>
          <w:pgMar w:top="1580" w:bottom="280" w:left="900" w:right="880"/>
          <w:cols w:num="6" w:equalWidth="0">
            <w:col w:w="2858" w:space="953"/>
            <w:col w:w="650" w:space="492"/>
            <w:col w:w="595" w:space="686"/>
            <w:col w:w="595" w:space="885"/>
            <w:col w:w="595" w:space="686"/>
            <w:col w:w="1135"/>
          </w:cols>
        </w:sectPr>
      </w:pPr>
    </w:p>
    <w:p>
      <w:pPr>
        <w:pStyle w:val="BodyText"/>
        <w:spacing w:before="1"/>
        <w:rPr>
          <w:b/>
          <w:sz w:val="3"/>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67"/>
        <w:gridCol w:w="1010"/>
        <w:gridCol w:w="1726"/>
        <w:gridCol w:w="1380"/>
        <w:gridCol w:w="1350"/>
        <w:gridCol w:w="1064"/>
      </w:tblGrid>
      <w:tr>
        <w:trPr>
          <w:trHeight w:val="469" w:hRule="exact"/>
        </w:trPr>
        <w:tc>
          <w:tcPr>
            <w:tcW w:w="3367" w:type="dxa"/>
          </w:tcPr>
          <w:p>
            <w:pPr>
              <w:pStyle w:val="TableParagraph"/>
              <w:spacing w:line="307" w:lineRule="auto"/>
              <w:ind w:left="318" w:right="558"/>
              <w:rPr>
                <w:sz w:val="18"/>
              </w:rPr>
            </w:pPr>
            <w:r>
              <w:rPr>
                <w:sz w:val="18"/>
              </w:rPr>
              <w:t>Australian Government grants HELP - Australian Government</w:t>
            </w:r>
          </w:p>
        </w:tc>
        <w:tc>
          <w:tcPr>
            <w:tcW w:w="1010" w:type="dxa"/>
          </w:tcPr>
          <w:p>
            <w:pPr>
              <w:pStyle w:val="TableParagraph"/>
              <w:spacing w:line="199" w:lineRule="exact"/>
              <w:ind w:right="229"/>
              <w:jc w:val="right"/>
              <w:rPr>
                <w:sz w:val="18"/>
              </w:rPr>
            </w:pPr>
            <w:r>
              <w:rPr>
                <w:w w:val="99"/>
                <w:sz w:val="18"/>
              </w:rPr>
              <w:t>2</w:t>
            </w:r>
          </w:p>
        </w:tc>
        <w:tc>
          <w:tcPr>
            <w:tcW w:w="1726" w:type="dxa"/>
          </w:tcPr>
          <w:p>
            <w:pPr>
              <w:pStyle w:val="TableParagraph"/>
              <w:spacing w:line="199" w:lineRule="exact"/>
              <w:ind w:right="348"/>
              <w:jc w:val="right"/>
              <w:rPr>
                <w:b/>
                <w:sz w:val="18"/>
              </w:rPr>
            </w:pPr>
            <w:r>
              <w:rPr>
                <w:b/>
                <w:w w:val="95"/>
                <w:sz w:val="18"/>
              </w:rPr>
              <w:t>334,413</w:t>
            </w:r>
          </w:p>
        </w:tc>
        <w:tc>
          <w:tcPr>
            <w:tcW w:w="1380" w:type="dxa"/>
          </w:tcPr>
          <w:p>
            <w:pPr>
              <w:pStyle w:val="TableParagraph"/>
              <w:spacing w:line="199" w:lineRule="exact"/>
              <w:ind w:left="290"/>
              <w:rPr>
                <w:sz w:val="18"/>
              </w:rPr>
            </w:pPr>
            <w:r>
              <w:rPr>
                <w:sz w:val="18"/>
              </w:rPr>
              <w:t>345,493</w:t>
            </w:r>
          </w:p>
        </w:tc>
        <w:tc>
          <w:tcPr>
            <w:tcW w:w="1350" w:type="dxa"/>
          </w:tcPr>
          <w:p>
            <w:pPr>
              <w:pStyle w:val="TableParagraph"/>
              <w:spacing w:line="199" w:lineRule="exact"/>
              <w:ind w:right="318"/>
              <w:jc w:val="right"/>
              <w:rPr>
                <w:b/>
                <w:sz w:val="18"/>
              </w:rPr>
            </w:pPr>
            <w:r>
              <w:rPr>
                <w:b/>
                <w:w w:val="95"/>
                <w:sz w:val="18"/>
              </w:rPr>
              <w:t>334,413</w:t>
            </w:r>
          </w:p>
        </w:tc>
        <w:tc>
          <w:tcPr>
            <w:tcW w:w="1064" w:type="dxa"/>
          </w:tcPr>
          <w:p>
            <w:pPr>
              <w:pStyle w:val="TableParagraph"/>
              <w:spacing w:line="199" w:lineRule="exact"/>
              <w:ind w:left="320"/>
              <w:rPr>
                <w:sz w:val="18"/>
              </w:rPr>
            </w:pPr>
            <w:r>
              <w:rPr>
                <w:sz w:val="18"/>
              </w:rPr>
              <w:t>345,493</w:t>
            </w:r>
          </w:p>
        </w:tc>
      </w:tr>
      <w:tr>
        <w:trPr>
          <w:trHeight w:val="234" w:hRule="exact"/>
        </w:trPr>
        <w:tc>
          <w:tcPr>
            <w:tcW w:w="3367" w:type="dxa"/>
          </w:tcPr>
          <w:p>
            <w:pPr>
              <w:pStyle w:val="TableParagraph"/>
              <w:spacing w:line="198" w:lineRule="exact"/>
              <w:ind w:left="318" w:right="558"/>
              <w:rPr>
                <w:sz w:val="18"/>
              </w:rPr>
            </w:pPr>
            <w:r>
              <w:rPr>
                <w:sz w:val="18"/>
              </w:rPr>
              <w:t>payments</w:t>
            </w:r>
          </w:p>
        </w:tc>
        <w:tc>
          <w:tcPr>
            <w:tcW w:w="1010" w:type="dxa"/>
          </w:tcPr>
          <w:p>
            <w:pPr>
              <w:pStyle w:val="TableParagraph"/>
              <w:spacing w:line="196" w:lineRule="exact"/>
              <w:ind w:right="117"/>
              <w:jc w:val="right"/>
              <w:rPr>
                <w:sz w:val="18"/>
              </w:rPr>
            </w:pPr>
            <w:r>
              <w:rPr>
                <w:w w:val="95"/>
                <w:sz w:val="18"/>
              </w:rPr>
              <w:t>2(b)</w:t>
            </w:r>
          </w:p>
        </w:tc>
        <w:tc>
          <w:tcPr>
            <w:tcW w:w="1726" w:type="dxa"/>
          </w:tcPr>
          <w:p>
            <w:pPr>
              <w:pStyle w:val="TableParagraph"/>
              <w:spacing w:line="196" w:lineRule="exact"/>
              <w:ind w:right="348"/>
              <w:jc w:val="right"/>
              <w:rPr>
                <w:b/>
                <w:sz w:val="18"/>
              </w:rPr>
            </w:pPr>
            <w:r>
              <w:rPr>
                <w:b/>
                <w:w w:val="95"/>
                <w:sz w:val="18"/>
              </w:rPr>
              <w:t>218,750</w:t>
            </w:r>
          </w:p>
        </w:tc>
        <w:tc>
          <w:tcPr>
            <w:tcW w:w="1380" w:type="dxa"/>
          </w:tcPr>
          <w:p>
            <w:pPr>
              <w:pStyle w:val="TableParagraph"/>
              <w:spacing w:line="196" w:lineRule="exact"/>
              <w:ind w:left="290"/>
              <w:rPr>
                <w:sz w:val="18"/>
              </w:rPr>
            </w:pPr>
            <w:r>
              <w:rPr>
                <w:sz w:val="18"/>
              </w:rPr>
              <w:t>223,757</w:t>
            </w:r>
          </w:p>
        </w:tc>
        <w:tc>
          <w:tcPr>
            <w:tcW w:w="1350" w:type="dxa"/>
          </w:tcPr>
          <w:p>
            <w:pPr>
              <w:pStyle w:val="TableParagraph"/>
              <w:spacing w:line="196" w:lineRule="exact"/>
              <w:ind w:right="318"/>
              <w:jc w:val="right"/>
              <w:rPr>
                <w:b/>
                <w:sz w:val="18"/>
              </w:rPr>
            </w:pPr>
            <w:r>
              <w:rPr>
                <w:b/>
                <w:w w:val="95"/>
                <w:sz w:val="18"/>
              </w:rPr>
              <w:t>218,750</w:t>
            </w:r>
          </w:p>
        </w:tc>
        <w:tc>
          <w:tcPr>
            <w:tcW w:w="1064" w:type="dxa"/>
          </w:tcPr>
          <w:p>
            <w:pPr>
              <w:pStyle w:val="TableParagraph"/>
              <w:spacing w:line="196" w:lineRule="exact"/>
              <w:ind w:left="320"/>
              <w:rPr>
                <w:sz w:val="18"/>
              </w:rPr>
            </w:pPr>
            <w:r>
              <w:rPr>
                <w:sz w:val="18"/>
              </w:rPr>
              <w:t>223,757</w:t>
            </w:r>
          </w:p>
        </w:tc>
      </w:tr>
      <w:tr>
        <w:trPr>
          <w:trHeight w:val="466" w:hRule="exact"/>
        </w:trPr>
        <w:tc>
          <w:tcPr>
            <w:tcW w:w="3367" w:type="dxa"/>
          </w:tcPr>
          <w:p>
            <w:pPr>
              <w:pStyle w:val="TableParagraph"/>
              <w:spacing w:before="16"/>
              <w:ind w:left="176" w:right="879"/>
              <w:rPr>
                <w:sz w:val="18"/>
              </w:rPr>
            </w:pPr>
            <w:r>
              <w:rPr>
                <w:sz w:val="18"/>
              </w:rPr>
              <w:t>State and Local Government financial assistance</w:t>
            </w:r>
          </w:p>
        </w:tc>
        <w:tc>
          <w:tcPr>
            <w:tcW w:w="1010" w:type="dxa"/>
          </w:tcPr>
          <w:p>
            <w:pPr>
              <w:pStyle w:val="TableParagraph"/>
              <w:spacing w:before="2"/>
              <w:rPr>
                <w:b/>
                <w:sz w:val="19"/>
              </w:rPr>
            </w:pPr>
          </w:p>
          <w:p>
            <w:pPr>
              <w:pStyle w:val="TableParagraph"/>
              <w:ind w:right="229"/>
              <w:jc w:val="right"/>
              <w:rPr>
                <w:sz w:val="18"/>
              </w:rPr>
            </w:pPr>
            <w:r>
              <w:rPr>
                <w:w w:val="99"/>
                <w:sz w:val="18"/>
              </w:rPr>
              <w:t>3</w:t>
            </w:r>
          </w:p>
        </w:tc>
        <w:tc>
          <w:tcPr>
            <w:tcW w:w="1726" w:type="dxa"/>
          </w:tcPr>
          <w:p>
            <w:pPr>
              <w:pStyle w:val="TableParagraph"/>
              <w:spacing w:before="2"/>
              <w:rPr>
                <w:b/>
                <w:sz w:val="19"/>
              </w:rPr>
            </w:pPr>
          </w:p>
          <w:p>
            <w:pPr>
              <w:pStyle w:val="TableParagraph"/>
              <w:ind w:right="348"/>
              <w:jc w:val="right"/>
              <w:rPr>
                <w:b/>
                <w:sz w:val="18"/>
              </w:rPr>
            </w:pPr>
            <w:r>
              <w:rPr>
                <w:b/>
                <w:sz w:val="18"/>
              </w:rPr>
              <w:t>19</w:t>
            </w:r>
          </w:p>
        </w:tc>
        <w:tc>
          <w:tcPr>
            <w:tcW w:w="1380" w:type="dxa"/>
          </w:tcPr>
          <w:p>
            <w:pPr>
              <w:pStyle w:val="TableParagraph"/>
              <w:spacing w:before="2"/>
              <w:rPr>
                <w:b/>
                <w:sz w:val="19"/>
              </w:rPr>
            </w:pPr>
          </w:p>
          <w:p>
            <w:pPr>
              <w:pStyle w:val="TableParagraph"/>
              <w:ind w:right="433"/>
              <w:jc w:val="right"/>
              <w:rPr>
                <w:sz w:val="18"/>
              </w:rPr>
            </w:pPr>
            <w:r>
              <w:rPr>
                <w:w w:val="99"/>
                <w:sz w:val="18"/>
              </w:rPr>
              <w:t>6</w:t>
            </w:r>
          </w:p>
        </w:tc>
        <w:tc>
          <w:tcPr>
            <w:tcW w:w="1350" w:type="dxa"/>
          </w:tcPr>
          <w:p>
            <w:pPr>
              <w:pStyle w:val="TableParagraph"/>
              <w:spacing w:before="2"/>
              <w:rPr>
                <w:b/>
                <w:sz w:val="19"/>
              </w:rPr>
            </w:pPr>
          </w:p>
          <w:p>
            <w:pPr>
              <w:pStyle w:val="TableParagraph"/>
              <w:ind w:right="318"/>
              <w:jc w:val="right"/>
              <w:rPr>
                <w:b/>
                <w:sz w:val="18"/>
              </w:rPr>
            </w:pPr>
            <w:r>
              <w:rPr>
                <w:b/>
                <w:sz w:val="18"/>
              </w:rPr>
              <w:t>19</w:t>
            </w:r>
          </w:p>
        </w:tc>
        <w:tc>
          <w:tcPr>
            <w:tcW w:w="1064" w:type="dxa"/>
          </w:tcPr>
          <w:p>
            <w:pPr>
              <w:pStyle w:val="TableParagraph"/>
              <w:spacing w:before="2"/>
              <w:rPr>
                <w:b/>
                <w:sz w:val="19"/>
              </w:rPr>
            </w:pPr>
          </w:p>
          <w:p>
            <w:pPr>
              <w:pStyle w:val="TableParagraph"/>
              <w:ind w:right="87"/>
              <w:jc w:val="right"/>
              <w:rPr>
                <w:sz w:val="18"/>
              </w:rPr>
            </w:pPr>
            <w:r>
              <w:rPr>
                <w:w w:val="99"/>
                <w:sz w:val="18"/>
              </w:rPr>
              <w:t>6</w:t>
            </w:r>
          </w:p>
        </w:tc>
      </w:tr>
      <w:tr>
        <w:trPr>
          <w:trHeight w:val="263" w:hRule="exact"/>
        </w:trPr>
        <w:tc>
          <w:tcPr>
            <w:tcW w:w="3367" w:type="dxa"/>
          </w:tcPr>
          <w:p>
            <w:pPr>
              <w:pStyle w:val="TableParagraph"/>
              <w:spacing w:before="16"/>
              <w:ind w:left="176"/>
              <w:rPr>
                <w:sz w:val="18"/>
              </w:rPr>
            </w:pPr>
            <w:r>
              <w:rPr>
                <w:sz w:val="18"/>
              </w:rPr>
              <w:t>HECS-HELP - student payments</w:t>
            </w:r>
          </w:p>
        </w:tc>
        <w:tc>
          <w:tcPr>
            <w:tcW w:w="1010" w:type="dxa"/>
          </w:tcPr>
          <w:p>
            <w:pPr/>
          </w:p>
        </w:tc>
        <w:tc>
          <w:tcPr>
            <w:tcW w:w="1726" w:type="dxa"/>
          </w:tcPr>
          <w:p>
            <w:pPr>
              <w:pStyle w:val="TableParagraph"/>
              <w:spacing w:before="19"/>
              <w:ind w:right="348"/>
              <w:jc w:val="right"/>
              <w:rPr>
                <w:b/>
                <w:sz w:val="18"/>
              </w:rPr>
            </w:pPr>
            <w:r>
              <w:rPr>
                <w:b/>
                <w:w w:val="95"/>
                <w:sz w:val="18"/>
              </w:rPr>
              <w:t>13,700</w:t>
            </w:r>
          </w:p>
        </w:tc>
        <w:tc>
          <w:tcPr>
            <w:tcW w:w="1380" w:type="dxa"/>
          </w:tcPr>
          <w:p>
            <w:pPr>
              <w:pStyle w:val="TableParagraph"/>
              <w:spacing w:before="19"/>
              <w:ind w:left="391"/>
              <w:rPr>
                <w:sz w:val="18"/>
              </w:rPr>
            </w:pPr>
            <w:r>
              <w:rPr>
                <w:sz w:val="18"/>
              </w:rPr>
              <w:t>14,594</w:t>
            </w:r>
          </w:p>
        </w:tc>
        <w:tc>
          <w:tcPr>
            <w:tcW w:w="1350" w:type="dxa"/>
          </w:tcPr>
          <w:p>
            <w:pPr>
              <w:pStyle w:val="TableParagraph"/>
              <w:spacing w:before="19"/>
              <w:ind w:right="318"/>
              <w:jc w:val="right"/>
              <w:rPr>
                <w:b/>
                <w:sz w:val="18"/>
              </w:rPr>
            </w:pPr>
            <w:r>
              <w:rPr>
                <w:b/>
                <w:w w:val="95"/>
                <w:sz w:val="18"/>
              </w:rPr>
              <w:t>13,700</w:t>
            </w:r>
          </w:p>
        </w:tc>
        <w:tc>
          <w:tcPr>
            <w:tcW w:w="1064" w:type="dxa"/>
          </w:tcPr>
          <w:p>
            <w:pPr>
              <w:pStyle w:val="TableParagraph"/>
              <w:spacing w:before="19"/>
              <w:ind w:right="87"/>
              <w:jc w:val="right"/>
              <w:rPr>
                <w:sz w:val="18"/>
              </w:rPr>
            </w:pPr>
            <w:r>
              <w:rPr>
                <w:w w:val="95"/>
                <w:sz w:val="18"/>
              </w:rPr>
              <w:t>14,594</w:t>
            </w:r>
          </w:p>
        </w:tc>
      </w:tr>
      <w:tr>
        <w:trPr>
          <w:trHeight w:val="264" w:hRule="exact"/>
        </w:trPr>
        <w:tc>
          <w:tcPr>
            <w:tcW w:w="3367" w:type="dxa"/>
          </w:tcPr>
          <w:p>
            <w:pPr>
              <w:pStyle w:val="TableParagraph"/>
              <w:spacing w:before="18"/>
              <w:ind w:left="176" w:right="558"/>
              <w:rPr>
                <w:sz w:val="18"/>
              </w:rPr>
            </w:pPr>
            <w:r>
              <w:rPr>
                <w:sz w:val="18"/>
              </w:rPr>
              <w:t>Fees and charges</w:t>
            </w:r>
          </w:p>
        </w:tc>
        <w:tc>
          <w:tcPr>
            <w:tcW w:w="1010" w:type="dxa"/>
          </w:tcPr>
          <w:p>
            <w:pPr>
              <w:pStyle w:val="TableParagraph"/>
              <w:spacing w:before="20"/>
              <w:ind w:right="229"/>
              <w:jc w:val="right"/>
              <w:rPr>
                <w:sz w:val="18"/>
              </w:rPr>
            </w:pPr>
            <w:r>
              <w:rPr>
                <w:w w:val="99"/>
                <w:sz w:val="18"/>
              </w:rPr>
              <w:t>4</w:t>
            </w:r>
          </w:p>
        </w:tc>
        <w:tc>
          <w:tcPr>
            <w:tcW w:w="1726" w:type="dxa"/>
          </w:tcPr>
          <w:p>
            <w:pPr>
              <w:pStyle w:val="TableParagraph"/>
              <w:spacing w:before="20"/>
              <w:ind w:right="348"/>
              <w:jc w:val="right"/>
              <w:rPr>
                <w:b/>
                <w:sz w:val="18"/>
              </w:rPr>
            </w:pPr>
            <w:r>
              <w:rPr>
                <w:b/>
                <w:w w:val="95"/>
                <w:sz w:val="18"/>
              </w:rPr>
              <w:t>115,291</w:t>
            </w:r>
          </w:p>
        </w:tc>
        <w:tc>
          <w:tcPr>
            <w:tcW w:w="1380" w:type="dxa"/>
          </w:tcPr>
          <w:p>
            <w:pPr>
              <w:pStyle w:val="TableParagraph"/>
              <w:spacing w:before="20"/>
              <w:ind w:left="391"/>
              <w:rPr>
                <w:sz w:val="18"/>
              </w:rPr>
            </w:pPr>
            <w:r>
              <w:rPr>
                <w:sz w:val="18"/>
              </w:rPr>
              <w:t>96,688</w:t>
            </w:r>
          </w:p>
        </w:tc>
        <w:tc>
          <w:tcPr>
            <w:tcW w:w="1350" w:type="dxa"/>
          </w:tcPr>
          <w:p>
            <w:pPr>
              <w:pStyle w:val="TableParagraph"/>
              <w:spacing w:before="20"/>
              <w:ind w:right="318"/>
              <w:jc w:val="right"/>
              <w:rPr>
                <w:b/>
                <w:sz w:val="18"/>
              </w:rPr>
            </w:pPr>
            <w:r>
              <w:rPr>
                <w:b/>
                <w:w w:val="95"/>
                <w:sz w:val="18"/>
              </w:rPr>
              <w:t>106,600</w:t>
            </w:r>
          </w:p>
        </w:tc>
        <w:tc>
          <w:tcPr>
            <w:tcW w:w="1064" w:type="dxa"/>
          </w:tcPr>
          <w:p>
            <w:pPr>
              <w:pStyle w:val="TableParagraph"/>
              <w:spacing w:before="20"/>
              <w:ind w:right="87"/>
              <w:jc w:val="right"/>
              <w:rPr>
                <w:sz w:val="18"/>
              </w:rPr>
            </w:pPr>
            <w:r>
              <w:rPr>
                <w:w w:val="95"/>
                <w:sz w:val="18"/>
              </w:rPr>
              <w:t>87,660</w:t>
            </w:r>
          </w:p>
        </w:tc>
      </w:tr>
      <w:tr>
        <w:trPr>
          <w:trHeight w:val="264" w:hRule="exact"/>
        </w:trPr>
        <w:tc>
          <w:tcPr>
            <w:tcW w:w="3367" w:type="dxa"/>
          </w:tcPr>
          <w:p>
            <w:pPr>
              <w:pStyle w:val="TableParagraph"/>
              <w:spacing w:before="18"/>
              <w:ind w:left="176" w:right="558"/>
              <w:rPr>
                <w:sz w:val="18"/>
              </w:rPr>
            </w:pPr>
            <w:r>
              <w:rPr>
                <w:sz w:val="18"/>
              </w:rPr>
              <w:t>Investment revenue</w:t>
            </w:r>
          </w:p>
        </w:tc>
        <w:tc>
          <w:tcPr>
            <w:tcW w:w="1010" w:type="dxa"/>
          </w:tcPr>
          <w:p>
            <w:pPr>
              <w:pStyle w:val="TableParagraph"/>
              <w:spacing w:before="20"/>
              <w:ind w:right="229"/>
              <w:jc w:val="right"/>
              <w:rPr>
                <w:sz w:val="18"/>
              </w:rPr>
            </w:pPr>
            <w:r>
              <w:rPr>
                <w:w w:val="99"/>
                <w:sz w:val="18"/>
              </w:rPr>
              <w:t>5</w:t>
            </w:r>
          </w:p>
        </w:tc>
        <w:tc>
          <w:tcPr>
            <w:tcW w:w="1726" w:type="dxa"/>
          </w:tcPr>
          <w:p>
            <w:pPr>
              <w:pStyle w:val="TableParagraph"/>
              <w:spacing w:before="20"/>
              <w:ind w:right="348"/>
              <w:jc w:val="right"/>
              <w:rPr>
                <w:b/>
                <w:sz w:val="18"/>
              </w:rPr>
            </w:pPr>
            <w:r>
              <w:rPr>
                <w:b/>
                <w:w w:val="95"/>
                <w:sz w:val="18"/>
              </w:rPr>
              <w:t>14,047</w:t>
            </w:r>
          </w:p>
        </w:tc>
        <w:tc>
          <w:tcPr>
            <w:tcW w:w="1380" w:type="dxa"/>
          </w:tcPr>
          <w:p>
            <w:pPr>
              <w:pStyle w:val="TableParagraph"/>
              <w:spacing w:before="20"/>
              <w:ind w:left="491"/>
              <w:rPr>
                <w:sz w:val="18"/>
              </w:rPr>
            </w:pPr>
            <w:r>
              <w:rPr>
                <w:sz w:val="18"/>
              </w:rPr>
              <w:t>8,535</w:t>
            </w:r>
          </w:p>
        </w:tc>
        <w:tc>
          <w:tcPr>
            <w:tcW w:w="1350" w:type="dxa"/>
          </w:tcPr>
          <w:p>
            <w:pPr>
              <w:pStyle w:val="TableParagraph"/>
              <w:spacing w:before="20"/>
              <w:ind w:right="318"/>
              <w:jc w:val="right"/>
              <w:rPr>
                <w:b/>
                <w:sz w:val="18"/>
              </w:rPr>
            </w:pPr>
            <w:r>
              <w:rPr>
                <w:b/>
                <w:w w:val="95"/>
                <w:sz w:val="18"/>
              </w:rPr>
              <w:t>13,939</w:t>
            </w:r>
          </w:p>
        </w:tc>
        <w:tc>
          <w:tcPr>
            <w:tcW w:w="1064" w:type="dxa"/>
          </w:tcPr>
          <w:p>
            <w:pPr>
              <w:pStyle w:val="TableParagraph"/>
              <w:spacing w:before="20"/>
              <w:ind w:right="87"/>
              <w:jc w:val="right"/>
              <w:rPr>
                <w:sz w:val="18"/>
              </w:rPr>
            </w:pPr>
            <w:r>
              <w:rPr>
                <w:w w:val="95"/>
                <w:sz w:val="18"/>
              </w:rPr>
              <w:t>8,456</w:t>
            </w:r>
          </w:p>
        </w:tc>
      </w:tr>
      <w:tr>
        <w:trPr>
          <w:trHeight w:val="467" w:hRule="exact"/>
        </w:trPr>
        <w:tc>
          <w:tcPr>
            <w:tcW w:w="3367" w:type="dxa"/>
          </w:tcPr>
          <w:p>
            <w:pPr>
              <w:pStyle w:val="TableParagraph"/>
              <w:spacing w:before="18"/>
              <w:ind w:left="176" w:right="1020"/>
              <w:rPr>
                <w:sz w:val="18"/>
              </w:rPr>
            </w:pPr>
            <w:r>
              <w:rPr>
                <w:sz w:val="18"/>
              </w:rPr>
              <w:t>Royalties, Trademarks and Licences</w:t>
            </w:r>
          </w:p>
        </w:tc>
        <w:tc>
          <w:tcPr>
            <w:tcW w:w="1010" w:type="dxa"/>
          </w:tcPr>
          <w:p>
            <w:pPr>
              <w:pStyle w:val="TableParagraph"/>
              <w:spacing w:before="3"/>
              <w:rPr>
                <w:b/>
                <w:sz w:val="19"/>
              </w:rPr>
            </w:pPr>
          </w:p>
          <w:p>
            <w:pPr>
              <w:pStyle w:val="TableParagraph"/>
              <w:ind w:right="229"/>
              <w:jc w:val="right"/>
              <w:rPr>
                <w:sz w:val="18"/>
              </w:rPr>
            </w:pPr>
            <w:r>
              <w:rPr>
                <w:w w:val="99"/>
                <w:sz w:val="18"/>
              </w:rPr>
              <w:t>6</w:t>
            </w:r>
          </w:p>
        </w:tc>
        <w:tc>
          <w:tcPr>
            <w:tcW w:w="1726" w:type="dxa"/>
          </w:tcPr>
          <w:p>
            <w:pPr>
              <w:pStyle w:val="TableParagraph"/>
              <w:spacing w:before="3"/>
              <w:rPr>
                <w:b/>
                <w:sz w:val="19"/>
              </w:rPr>
            </w:pPr>
          </w:p>
          <w:p>
            <w:pPr>
              <w:pStyle w:val="TableParagraph"/>
              <w:ind w:right="348"/>
              <w:jc w:val="right"/>
              <w:rPr>
                <w:b/>
                <w:sz w:val="18"/>
              </w:rPr>
            </w:pPr>
            <w:r>
              <w:rPr>
                <w:b/>
                <w:w w:val="95"/>
                <w:sz w:val="18"/>
              </w:rPr>
              <w:t>263</w:t>
            </w:r>
          </w:p>
        </w:tc>
        <w:tc>
          <w:tcPr>
            <w:tcW w:w="1380" w:type="dxa"/>
          </w:tcPr>
          <w:p>
            <w:pPr>
              <w:pStyle w:val="TableParagraph"/>
              <w:spacing w:before="3"/>
              <w:rPr>
                <w:b/>
                <w:sz w:val="19"/>
              </w:rPr>
            </w:pPr>
          </w:p>
          <w:p>
            <w:pPr>
              <w:pStyle w:val="TableParagraph"/>
              <w:ind w:left="643"/>
              <w:rPr>
                <w:sz w:val="18"/>
              </w:rPr>
            </w:pPr>
            <w:r>
              <w:rPr>
                <w:sz w:val="18"/>
              </w:rPr>
              <w:t>262</w:t>
            </w:r>
          </w:p>
        </w:tc>
        <w:tc>
          <w:tcPr>
            <w:tcW w:w="1350" w:type="dxa"/>
          </w:tcPr>
          <w:p>
            <w:pPr>
              <w:pStyle w:val="TableParagraph"/>
              <w:spacing w:before="3"/>
              <w:rPr>
                <w:b/>
                <w:sz w:val="19"/>
              </w:rPr>
            </w:pPr>
          </w:p>
          <w:p>
            <w:pPr>
              <w:pStyle w:val="TableParagraph"/>
              <w:ind w:right="318"/>
              <w:jc w:val="right"/>
              <w:rPr>
                <w:b/>
                <w:sz w:val="18"/>
              </w:rPr>
            </w:pPr>
            <w:r>
              <w:rPr>
                <w:b/>
                <w:w w:val="95"/>
                <w:sz w:val="18"/>
              </w:rPr>
              <w:t>260</w:t>
            </w:r>
          </w:p>
        </w:tc>
        <w:tc>
          <w:tcPr>
            <w:tcW w:w="1064" w:type="dxa"/>
          </w:tcPr>
          <w:p>
            <w:pPr>
              <w:pStyle w:val="TableParagraph"/>
              <w:spacing w:before="3"/>
              <w:rPr>
                <w:b/>
                <w:sz w:val="19"/>
              </w:rPr>
            </w:pPr>
          </w:p>
          <w:p>
            <w:pPr>
              <w:pStyle w:val="TableParagraph"/>
              <w:ind w:right="86"/>
              <w:jc w:val="right"/>
              <w:rPr>
                <w:sz w:val="18"/>
              </w:rPr>
            </w:pPr>
            <w:r>
              <w:rPr>
                <w:w w:val="95"/>
                <w:sz w:val="18"/>
              </w:rPr>
              <w:t>262</w:t>
            </w:r>
          </w:p>
        </w:tc>
      </w:tr>
      <w:tr>
        <w:trPr>
          <w:trHeight w:val="263" w:hRule="exact"/>
        </w:trPr>
        <w:tc>
          <w:tcPr>
            <w:tcW w:w="3367" w:type="dxa"/>
          </w:tcPr>
          <w:p>
            <w:pPr>
              <w:pStyle w:val="TableParagraph"/>
              <w:spacing w:before="16"/>
              <w:ind w:left="176" w:right="558"/>
              <w:rPr>
                <w:sz w:val="18"/>
              </w:rPr>
            </w:pPr>
            <w:r>
              <w:rPr>
                <w:sz w:val="18"/>
              </w:rPr>
              <w:t>Consultancy and contracts</w:t>
            </w:r>
          </w:p>
        </w:tc>
        <w:tc>
          <w:tcPr>
            <w:tcW w:w="1010" w:type="dxa"/>
          </w:tcPr>
          <w:p>
            <w:pPr>
              <w:pStyle w:val="TableParagraph"/>
              <w:spacing w:before="19"/>
              <w:ind w:right="229"/>
              <w:jc w:val="right"/>
              <w:rPr>
                <w:sz w:val="18"/>
              </w:rPr>
            </w:pPr>
            <w:r>
              <w:rPr>
                <w:w w:val="99"/>
                <w:sz w:val="18"/>
              </w:rPr>
              <w:t>7</w:t>
            </w:r>
          </w:p>
        </w:tc>
        <w:tc>
          <w:tcPr>
            <w:tcW w:w="1726" w:type="dxa"/>
          </w:tcPr>
          <w:p>
            <w:pPr>
              <w:pStyle w:val="TableParagraph"/>
              <w:spacing w:before="19"/>
              <w:ind w:right="348"/>
              <w:jc w:val="right"/>
              <w:rPr>
                <w:b/>
                <w:sz w:val="18"/>
              </w:rPr>
            </w:pPr>
            <w:r>
              <w:rPr>
                <w:b/>
                <w:w w:val="95"/>
                <w:sz w:val="18"/>
              </w:rPr>
              <w:t>23,074</w:t>
            </w:r>
          </w:p>
        </w:tc>
        <w:tc>
          <w:tcPr>
            <w:tcW w:w="1380" w:type="dxa"/>
          </w:tcPr>
          <w:p>
            <w:pPr>
              <w:pStyle w:val="TableParagraph"/>
              <w:spacing w:before="19"/>
              <w:ind w:left="391"/>
              <w:rPr>
                <w:sz w:val="18"/>
              </w:rPr>
            </w:pPr>
            <w:r>
              <w:rPr>
                <w:sz w:val="18"/>
              </w:rPr>
              <w:t>17,927</w:t>
            </w:r>
          </w:p>
        </w:tc>
        <w:tc>
          <w:tcPr>
            <w:tcW w:w="1350" w:type="dxa"/>
          </w:tcPr>
          <w:p>
            <w:pPr>
              <w:pStyle w:val="TableParagraph"/>
              <w:spacing w:before="19"/>
              <w:ind w:right="318"/>
              <w:jc w:val="right"/>
              <w:rPr>
                <w:b/>
                <w:sz w:val="18"/>
              </w:rPr>
            </w:pPr>
            <w:r>
              <w:rPr>
                <w:b/>
                <w:w w:val="95"/>
                <w:sz w:val="18"/>
              </w:rPr>
              <w:t>23,068</w:t>
            </w:r>
          </w:p>
        </w:tc>
        <w:tc>
          <w:tcPr>
            <w:tcW w:w="1064" w:type="dxa"/>
          </w:tcPr>
          <w:p>
            <w:pPr>
              <w:pStyle w:val="TableParagraph"/>
              <w:spacing w:before="19"/>
              <w:ind w:right="87"/>
              <w:jc w:val="right"/>
              <w:rPr>
                <w:sz w:val="18"/>
              </w:rPr>
            </w:pPr>
            <w:r>
              <w:rPr>
                <w:w w:val="95"/>
                <w:sz w:val="18"/>
              </w:rPr>
              <w:t>17,923</w:t>
            </w:r>
          </w:p>
        </w:tc>
      </w:tr>
      <w:tr>
        <w:trPr>
          <w:trHeight w:val="234" w:hRule="exact"/>
        </w:trPr>
        <w:tc>
          <w:tcPr>
            <w:tcW w:w="3367" w:type="dxa"/>
          </w:tcPr>
          <w:p>
            <w:pPr>
              <w:pStyle w:val="TableParagraph"/>
              <w:spacing w:before="18"/>
              <w:ind w:left="176" w:right="558"/>
              <w:rPr>
                <w:sz w:val="18"/>
              </w:rPr>
            </w:pPr>
            <w:r>
              <w:rPr>
                <w:sz w:val="18"/>
              </w:rPr>
              <w:t>Share of net profit or loss on</w:t>
            </w:r>
          </w:p>
        </w:tc>
        <w:tc>
          <w:tcPr>
            <w:tcW w:w="1010" w:type="dxa"/>
          </w:tcPr>
          <w:p>
            <w:pPr/>
          </w:p>
        </w:tc>
        <w:tc>
          <w:tcPr>
            <w:tcW w:w="1726" w:type="dxa"/>
          </w:tcPr>
          <w:p>
            <w:pPr/>
          </w:p>
        </w:tc>
        <w:tc>
          <w:tcPr>
            <w:tcW w:w="1380" w:type="dxa"/>
          </w:tcPr>
          <w:p>
            <w:pPr/>
          </w:p>
        </w:tc>
        <w:tc>
          <w:tcPr>
            <w:tcW w:w="1350" w:type="dxa"/>
          </w:tcPr>
          <w:p>
            <w:pPr/>
          </w:p>
        </w:tc>
        <w:tc>
          <w:tcPr>
            <w:tcW w:w="1064" w:type="dxa"/>
          </w:tcPr>
          <w:p>
            <w:pPr/>
          </w:p>
        </w:tc>
      </w:tr>
      <w:tr>
        <w:trPr>
          <w:trHeight w:val="439" w:hRule="exact"/>
        </w:trPr>
        <w:tc>
          <w:tcPr>
            <w:tcW w:w="3367" w:type="dxa"/>
          </w:tcPr>
          <w:p>
            <w:pPr>
              <w:pStyle w:val="TableParagraph"/>
              <w:ind w:left="176" w:right="558"/>
              <w:rPr>
                <w:sz w:val="18"/>
              </w:rPr>
            </w:pPr>
            <w:r>
              <w:rPr>
                <w:sz w:val="18"/>
              </w:rPr>
              <w:t>investments accounted for using the equity method</w:t>
            </w:r>
          </w:p>
        </w:tc>
        <w:tc>
          <w:tcPr>
            <w:tcW w:w="1010" w:type="dxa"/>
          </w:tcPr>
          <w:p>
            <w:pPr>
              <w:pStyle w:val="TableParagraph"/>
              <w:spacing w:before="10"/>
              <w:rPr>
                <w:b/>
                <w:sz w:val="16"/>
              </w:rPr>
            </w:pPr>
          </w:p>
          <w:p>
            <w:pPr>
              <w:pStyle w:val="TableParagraph"/>
              <w:ind w:right="229"/>
              <w:jc w:val="right"/>
              <w:rPr>
                <w:sz w:val="18"/>
              </w:rPr>
            </w:pPr>
            <w:r>
              <w:rPr>
                <w:w w:val="99"/>
                <w:sz w:val="18"/>
              </w:rPr>
              <w:t>8</w:t>
            </w:r>
          </w:p>
        </w:tc>
        <w:tc>
          <w:tcPr>
            <w:tcW w:w="1726" w:type="dxa"/>
          </w:tcPr>
          <w:p>
            <w:pPr>
              <w:pStyle w:val="TableParagraph"/>
              <w:spacing w:before="10"/>
              <w:rPr>
                <w:b/>
                <w:sz w:val="16"/>
              </w:rPr>
            </w:pPr>
          </w:p>
          <w:p>
            <w:pPr>
              <w:pStyle w:val="TableParagraph"/>
              <w:ind w:right="288"/>
              <w:jc w:val="right"/>
              <w:rPr>
                <w:b/>
                <w:sz w:val="18"/>
              </w:rPr>
            </w:pPr>
            <w:r>
              <w:rPr>
                <w:b/>
                <w:w w:val="95"/>
                <w:sz w:val="18"/>
              </w:rPr>
              <w:t>(834)</w:t>
            </w:r>
          </w:p>
        </w:tc>
        <w:tc>
          <w:tcPr>
            <w:tcW w:w="1380" w:type="dxa"/>
          </w:tcPr>
          <w:p>
            <w:pPr>
              <w:pStyle w:val="TableParagraph"/>
              <w:spacing w:before="10"/>
              <w:rPr>
                <w:b/>
                <w:sz w:val="16"/>
              </w:rPr>
            </w:pPr>
          </w:p>
          <w:p>
            <w:pPr>
              <w:pStyle w:val="TableParagraph"/>
              <w:ind w:right="372"/>
              <w:jc w:val="right"/>
              <w:rPr>
                <w:sz w:val="18"/>
              </w:rPr>
            </w:pPr>
            <w:r>
              <w:rPr>
                <w:w w:val="95"/>
                <w:sz w:val="18"/>
              </w:rPr>
              <w:t>(1,052)</w:t>
            </w:r>
          </w:p>
        </w:tc>
        <w:tc>
          <w:tcPr>
            <w:tcW w:w="1350" w:type="dxa"/>
          </w:tcPr>
          <w:p>
            <w:pPr>
              <w:pStyle w:val="TableParagraph"/>
              <w:spacing w:before="10"/>
              <w:rPr>
                <w:b/>
                <w:sz w:val="16"/>
              </w:rPr>
            </w:pPr>
          </w:p>
          <w:p>
            <w:pPr>
              <w:pStyle w:val="TableParagraph"/>
              <w:ind w:right="318"/>
              <w:jc w:val="right"/>
              <w:rPr>
                <w:b/>
                <w:sz w:val="18"/>
              </w:rPr>
            </w:pPr>
            <w:r>
              <w:rPr>
                <w:b/>
                <w:w w:val="99"/>
                <w:sz w:val="18"/>
              </w:rPr>
              <w:t>-</w:t>
            </w:r>
          </w:p>
        </w:tc>
        <w:tc>
          <w:tcPr>
            <w:tcW w:w="1064" w:type="dxa"/>
          </w:tcPr>
          <w:p>
            <w:pPr>
              <w:pStyle w:val="TableParagraph"/>
              <w:spacing w:before="10"/>
              <w:rPr>
                <w:b/>
                <w:sz w:val="16"/>
              </w:rPr>
            </w:pPr>
          </w:p>
          <w:p>
            <w:pPr>
              <w:pStyle w:val="TableParagraph"/>
              <w:ind w:right="86"/>
              <w:jc w:val="right"/>
              <w:rPr>
                <w:sz w:val="18"/>
              </w:rPr>
            </w:pPr>
            <w:r>
              <w:rPr>
                <w:w w:val="99"/>
                <w:sz w:val="18"/>
              </w:rPr>
              <w:t>-</w:t>
            </w:r>
          </w:p>
        </w:tc>
      </w:tr>
      <w:tr>
        <w:trPr>
          <w:trHeight w:val="263" w:hRule="exact"/>
        </w:trPr>
        <w:tc>
          <w:tcPr>
            <w:tcW w:w="3367" w:type="dxa"/>
          </w:tcPr>
          <w:p>
            <w:pPr>
              <w:pStyle w:val="TableParagraph"/>
              <w:spacing w:before="16"/>
              <w:ind w:left="176" w:right="558"/>
              <w:rPr>
                <w:sz w:val="18"/>
              </w:rPr>
            </w:pPr>
            <w:r>
              <w:rPr>
                <w:sz w:val="18"/>
              </w:rPr>
              <w:t>Other income</w:t>
            </w:r>
          </w:p>
        </w:tc>
        <w:tc>
          <w:tcPr>
            <w:tcW w:w="1010" w:type="dxa"/>
          </w:tcPr>
          <w:p>
            <w:pPr>
              <w:pStyle w:val="TableParagraph"/>
              <w:spacing w:before="19"/>
              <w:ind w:right="229"/>
              <w:jc w:val="right"/>
              <w:rPr>
                <w:sz w:val="18"/>
              </w:rPr>
            </w:pPr>
            <w:r>
              <w:rPr>
                <w:w w:val="99"/>
                <w:sz w:val="18"/>
              </w:rPr>
              <w:t>9</w:t>
            </w:r>
          </w:p>
        </w:tc>
        <w:tc>
          <w:tcPr>
            <w:tcW w:w="1726" w:type="dxa"/>
          </w:tcPr>
          <w:p>
            <w:pPr>
              <w:pStyle w:val="TableParagraph"/>
              <w:spacing w:before="19"/>
              <w:ind w:right="348"/>
              <w:jc w:val="right"/>
              <w:rPr>
                <w:b/>
                <w:sz w:val="18"/>
              </w:rPr>
            </w:pPr>
            <w:r>
              <w:rPr>
                <w:b/>
                <w:w w:val="95"/>
                <w:sz w:val="18"/>
              </w:rPr>
              <w:t>44,359</w:t>
            </w:r>
          </w:p>
        </w:tc>
        <w:tc>
          <w:tcPr>
            <w:tcW w:w="1380" w:type="dxa"/>
          </w:tcPr>
          <w:p>
            <w:pPr>
              <w:pStyle w:val="TableParagraph"/>
              <w:spacing w:before="19"/>
              <w:ind w:left="391"/>
              <w:rPr>
                <w:sz w:val="18"/>
              </w:rPr>
            </w:pPr>
            <w:r>
              <w:rPr>
                <w:sz w:val="18"/>
              </w:rPr>
              <w:t>55,433</w:t>
            </w:r>
          </w:p>
        </w:tc>
        <w:tc>
          <w:tcPr>
            <w:tcW w:w="1350" w:type="dxa"/>
          </w:tcPr>
          <w:p>
            <w:pPr>
              <w:pStyle w:val="TableParagraph"/>
              <w:spacing w:before="19"/>
              <w:ind w:right="318"/>
              <w:jc w:val="right"/>
              <w:rPr>
                <w:b/>
                <w:sz w:val="18"/>
              </w:rPr>
            </w:pPr>
            <w:r>
              <w:rPr>
                <w:b/>
                <w:w w:val="95"/>
                <w:sz w:val="18"/>
              </w:rPr>
              <w:t>53,800</w:t>
            </w:r>
          </w:p>
        </w:tc>
        <w:tc>
          <w:tcPr>
            <w:tcW w:w="1064" w:type="dxa"/>
          </w:tcPr>
          <w:p>
            <w:pPr>
              <w:pStyle w:val="TableParagraph"/>
              <w:spacing w:before="19"/>
              <w:ind w:right="87"/>
              <w:jc w:val="right"/>
              <w:rPr>
                <w:sz w:val="18"/>
              </w:rPr>
            </w:pPr>
            <w:r>
              <w:rPr>
                <w:w w:val="95"/>
                <w:sz w:val="18"/>
              </w:rPr>
              <w:t>52,674</w:t>
            </w:r>
          </w:p>
        </w:tc>
      </w:tr>
      <w:tr>
        <w:trPr>
          <w:trHeight w:val="262" w:hRule="exact"/>
        </w:trPr>
        <w:tc>
          <w:tcPr>
            <w:tcW w:w="3367" w:type="dxa"/>
          </w:tcPr>
          <w:p>
            <w:pPr>
              <w:pStyle w:val="TableParagraph"/>
              <w:spacing w:before="18"/>
              <w:ind w:left="176" w:right="558"/>
              <w:rPr>
                <w:sz w:val="18"/>
              </w:rPr>
            </w:pPr>
            <w:r>
              <w:rPr>
                <w:sz w:val="18"/>
              </w:rPr>
              <w:t>Gain on disposal of assets</w:t>
            </w:r>
          </w:p>
        </w:tc>
        <w:tc>
          <w:tcPr>
            <w:tcW w:w="1010" w:type="dxa"/>
          </w:tcPr>
          <w:p>
            <w:pPr>
              <w:pStyle w:val="TableParagraph"/>
              <w:spacing w:before="20"/>
              <w:ind w:right="178"/>
              <w:jc w:val="right"/>
              <w:rPr>
                <w:sz w:val="18"/>
              </w:rPr>
            </w:pPr>
            <w:r>
              <w:rPr>
                <w:sz w:val="18"/>
              </w:rPr>
              <w:t>10</w:t>
            </w:r>
          </w:p>
        </w:tc>
        <w:tc>
          <w:tcPr>
            <w:tcW w:w="1726" w:type="dxa"/>
            <w:tcBorders>
              <w:bottom w:val="single" w:sz="1" w:space="0" w:color="000000"/>
            </w:tcBorders>
          </w:tcPr>
          <w:p>
            <w:pPr>
              <w:pStyle w:val="TableParagraph"/>
              <w:spacing w:before="20"/>
              <w:ind w:right="348"/>
              <w:jc w:val="right"/>
              <w:rPr>
                <w:b/>
                <w:sz w:val="18"/>
              </w:rPr>
            </w:pPr>
            <w:r>
              <w:rPr>
                <w:b/>
                <w:w w:val="95"/>
                <w:sz w:val="18"/>
              </w:rPr>
              <w:t>36,023</w:t>
            </w:r>
          </w:p>
        </w:tc>
        <w:tc>
          <w:tcPr>
            <w:tcW w:w="1380" w:type="dxa"/>
            <w:tcBorders>
              <w:bottom w:val="single" w:sz="1" w:space="0" w:color="000000"/>
            </w:tcBorders>
          </w:tcPr>
          <w:p>
            <w:pPr>
              <w:pStyle w:val="TableParagraph"/>
              <w:spacing w:before="20"/>
              <w:ind w:left="391"/>
              <w:rPr>
                <w:sz w:val="18"/>
              </w:rPr>
            </w:pPr>
            <w:r>
              <w:rPr>
                <w:sz w:val="18"/>
              </w:rPr>
              <w:t>13,191</w:t>
            </w:r>
          </w:p>
        </w:tc>
        <w:tc>
          <w:tcPr>
            <w:tcW w:w="1350" w:type="dxa"/>
            <w:tcBorders>
              <w:bottom w:val="single" w:sz="1" w:space="0" w:color="000000"/>
            </w:tcBorders>
          </w:tcPr>
          <w:p>
            <w:pPr>
              <w:pStyle w:val="TableParagraph"/>
              <w:spacing w:before="20"/>
              <w:ind w:right="318"/>
              <w:jc w:val="right"/>
              <w:rPr>
                <w:b/>
                <w:sz w:val="18"/>
              </w:rPr>
            </w:pPr>
            <w:r>
              <w:rPr>
                <w:b/>
                <w:w w:val="95"/>
                <w:sz w:val="18"/>
              </w:rPr>
              <w:t>35,940</w:t>
            </w:r>
          </w:p>
        </w:tc>
        <w:tc>
          <w:tcPr>
            <w:tcW w:w="1064" w:type="dxa"/>
            <w:tcBorders>
              <w:bottom w:val="single" w:sz="1" w:space="0" w:color="000000"/>
            </w:tcBorders>
          </w:tcPr>
          <w:p>
            <w:pPr>
              <w:pStyle w:val="TableParagraph"/>
              <w:spacing w:before="20"/>
              <w:ind w:right="87"/>
              <w:jc w:val="right"/>
              <w:rPr>
                <w:sz w:val="18"/>
              </w:rPr>
            </w:pPr>
            <w:r>
              <w:rPr>
                <w:w w:val="95"/>
                <w:sz w:val="18"/>
              </w:rPr>
              <w:t>12,842</w:t>
            </w:r>
          </w:p>
        </w:tc>
      </w:tr>
      <w:tr>
        <w:trPr>
          <w:trHeight w:val="341" w:hRule="exact"/>
        </w:trPr>
        <w:tc>
          <w:tcPr>
            <w:tcW w:w="3367" w:type="dxa"/>
          </w:tcPr>
          <w:p>
            <w:pPr>
              <w:pStyle w:val="TableParagraph"/>
              <w:spacing w:before="115"/>
              <w:ind w:left="35" w:right="558"/>
              <w:rPr>
                <w:b/>
                <w:sz w:val="18"/>
              </w:rPr>
            </w:pPr>
            <w:r>
              <w:rPr>
                <w:b/>
                <w:sz w:val="18"/>
              </w:rPr>
              <w:t>Total income from continuing</w:t>
            </w:r>
          </w:p>
        </w:tc>
        <w:tc>
          <w:tcPr>
            <w:tcW w:w="1010" w:type="dxa"/>
          </w:tcPr>
          <w:p>
            <w:pPr/>
          </w:p>
        </w:tc>
        <w:tc>
          <w:tcPr>
            <w:tcW w:w="5520" w:type="dxa"/>
            <w:gridSpan w:val="4"/>
          </w:tcPr>
          <w:p>
            <w:pPr/>
          </w:p>
        </w:tc>
      </w:tr>
      <w:tr>
        <w:trPr>
          <w:trHeight w:val="273" w:hRule="exact"/>
        </w:trPr>
        <w:tc>
          <w:tcPr>
            <w:tcW w:w="3367" w:type="dxa"/>
          </w:tcPr>
          <w:p>
            <w:pPr>
              <w:pStyle w:val="TableParagraph"/>
              <w:spacing w:line="197" w:lineRule="exact"/>
              <w:ind w:left="35" w:right="558"/>
              <w:rPr>
                <w:b/>
                <w:sz w:val="18"/>
              </w:rPr>
            </w:pPr>
            <w:r>
              <w:rPr>
                <w:b/>
                <w:sz w:val="18"/>
              </w:rPr>
              <w:t>operations</w:t>
            </w:r>
          </w:p>
        </w:tc>
        <w:tc>
          <w:tcPr>
            <w:tcW w:w="1010" w:type="dxa"/>
          </w:tcPr>
          <w:p>
            <w:pPr/>
          </w:p>
        </w:tc>
        <w:tc>
          <w:tcPr>
            <w:tcW w:w="5520" w:type="dxa"/>
            <w:gridSpan w:val="4"/>
          </w:tcPr>
          <w:p>
            <w:pPr>
              <w:pStyle w:val="TableParagraph"/>
              <w:tabs>
                <w:tab w:pos="719" w:val="left" w:leader="none"/>
                <w:tab w:pos="2015" w:val="left" w:leader="none"/>
                <w:tab w:pos="3479" w:val="left" w:leader="none"/>
                <w:tab w:pos="4775" w:val="left" w:leader="none"/>
              </w:tabs>
              <w:spacing w:line="197" w:lineRule="exact"/>
              <w:rPr>
                <w:sz w:val="18"/>
              </w:rPr>
            </w:pPr>
            <w:r>
              <w:rPr>
                <w:rFonts w:ascii="Times New Roman"/>
                <w:sz w:val="18"/>
                <w:u w:val="single"/>
              </w:rPr>
              <w:t> </w:t>
              <w:tab/>
            </w:r>
            <w:r>
              <w:rPr>
                <w:b/>
                <w:sz w:val="18"/>
                <w:u w:val="single"/>
              </w:rPr>
              <w:t>799,105</w:t>
              <w:tab/>
            </w:r>
            <w:r>
              <w:rPr>
                <w:sz w:val="18"/>
                <w:u w:val="single"/>
              </w:rPr>
              <w:t>774,834</w:t>
              <w:tab/>
            </w:r>
            <w:r>
              <w:rPr>
                <w:b/>
                <w:sz w:val="18"/>
                <w:u w:val="single"/>
              </w:rPr>
              <w:t>800,489</w:t>
              <w:tab/>
            </w:r>
            <w:r>
              <w:rPr>
                <w:sz w:val="18"/>
                <w:u w:val="single"/>
              </w:rPr>
              <w:t>763,667</w:t>
            </w:r>
          </w:p>
        </w:tc>
      </w:tr>
      <w:tr>
        <w:trPr>
          <w:trHeight w:val="272" w:hRule="exact"/>
        </w:trPr>
        <w:tc>
          <w:tcPr>
            <w:tcW w:w="3367" w:type="dxa"/>
          </w:tcPr>
          <w:p>
            <w:pPr>
              <w:pStyle w:val="TableParagraph"/>
              <w:spacing w:before="55"/>
              <w:ind w:left="35" w:right="558"/>
              <w:rPr>
                <w:b/>
                <w:sz w:val="18"/>
              </w:rPr>
            </w:pPr>
            <w:r>
              <w:rPr>
                <w:b/>
                <w:sz w:val="18"/>
              </w:rPr>
              <w:t>Expenses from continuing</w:t>
            </w:r>
          </w:p>
        </w:tc>
        <w:tc>
          <w:tcPr>
            <w:tcW w:w="1010" w:type="dxa"/>
          </w:tcPr>
          <w:p>
            <w:pPr/>
          </w:p>
        </w:tc>
        <w:tc>
          <w:tcPr>
            <w:tcW w:w="5520" w:type="dxa"/>
            <w:gridSpan w:val="4"/>
          </w:tcPr>
          <w:p>
            <w:pPr/>
          </w:p>
        </w:tc>
      </w:tr>
      <w:tr>
        <w:trPr>
          <w:trHeight w:val="220" w:hRule="exact"/>
        </w:trPr>
        <w:tc>
          <w:tcPr>
            <w:tcW w:w="3367" w:type="dxa"/>
          </w:tcPr>
          <w:p>
            <w:pPr>
              <w:pStyle w:val="TableParagraph"/>
              <w:spacing w:line="197" w:lineRule="exact"/>
              <w:ind w:left="35" w:right="558"/>
              <w:rPr>
                <w:b/>
                <w:sz w:val="18"/>
              </w:rPr>
            </w:pPr>
            <w:r>
              <w:rPr>
                <w:b/>
                <w:sz w:val="18"/>
              </w:rPr>
              <w:t>operations</w:t>
            </w:r>
          </w:p>
        </w:tc>
        <w:tc>
          <w:tcPr>
            <w:tcW w:w="1010" w:type="dxa"/>
          </w:tcPr>
          <w:p>
            <w:pPr/>
          </w:p>
        </w:tc>
        <w:tc>
          <w:tcPr>
            <w:tcW w:w="5520" w:type="dxa"/>
            <w:gridSpan w:val="4"/>
          </w:tcPr>
          <w:p>
            <w:pPr/>
          </w:p>
        </w:tc>
      </w:tr>
      <w:tr>
        <w:trPr>
          <w:trHeight w:val="250" w:hRule="exact"/>
        </w:trPr>
        <w:tc>
          <w:tcPr>
            <w:tcW w:w="3367" w:type="dxa"/>
          </w:tcPr>
          <w:p>
            <w:pPr>
              <w:pStyle w:val="TableParagraph"/>
              <w:spacing w:before="3"/>
              <w:ind w:left="35" w:right="558"/>
              <w:rPr>
                <w:sz w:val="18"/>
              </w:rPr>
            </w:pPr>
            <w:r>
              <w:rPr>
                <w:sz w:val="18"/>
              </w:rPr>
              <w:t>Employee related expenses</w:t>
            </w:r>
          </w:p>
        </w:tc>
        <w:tc>
          <w:tcPr>
            <w:tcW w:w="1010" w:type="dxa"/>
          </w:tcPr>
          <w:p>
            <w:pPr>
              <w:pStyle w:val="TableParagraph"/>
              <w:spacing w:before="6"/>
              <w:ind w:right="178"/>
              <w:jc w:val="right"/>
              <w:rPr>
                <w:sz w:val="18"/>
              </w:rPr>
            </w:pPr>
            <w:r>
              <w:rPr>
                <w:sz w:val="18"/>
              </w:rPr>
              <w:t>11</w:t>
            </w:r>
          </w:p>
        </w:tc>
        <w:tc>
          <w:tcPr>
            <w:tcW w:w="1726" w:type="dxa"/>
          </w:tcPr>
          <w:p>
            <w:pPr>
              <w:pStyle w:val="TableParagraph"/>
              <w:spacing w:before="6"/>
              <w:ind w:right="348"/>
              <w:jc w:val="right"/>
              <w:rPr>
                <w:b/>
                <w:sz w:val="18"/>
              </w:rPr>
            </w:pPr>
            <w:r>
              <w:rPr>
                <w:b/>
                <w:w w:val="95"/>
                <w:sz w:val="18"/>
              </w:rPr>
              <w:t>444,098</w:t>
            </w:r>
          </w:p>
        </w:tc>
        <w:tc>
          <w:tcPr>
            <w:tcW w:w="1380" w:type="dxa"/>
          </w:tcPr>
          <w:p>
            <w:pPr>
              <w:pStyle w:val="TableParagraph"/>
              <w:spacing w:before="6"/>
              <w:ind w:left="290"/>
              <w:rPr>
                <w:sz w:val="18"/>
              </w:rPr>
            </w:pPr>
            <w:r>
              <w:rPr>
                <w:sz w:val="18"/>
              </w:rPr>
              <w:t>466,003</w:t>
            </w:r>
          </w:p>
        </w:tc>
        <w:tc>
          <w:tcPr>
            <w:tcW w:w="1350" w:type="dxa"/>
          </w:tcPr>
          <w:p>
            <w:pPr>
              <w:pStyle w:val="TableParagraph"/>
              <w:spacing w:before="6"/>
              <w:ind w:right="318"/>
              <w:jc w:val="right"/>
              <w:rPr>
                <w:b/>
                <w:sz w:val="18"/>
              </w:rPr>
            </w:pPr>
            <w:r>
              <w:rPr>
                <w:b/>
                <w:w w:val="95"/>
                <w:sz w:val="18"/>
              </w:rPr>
              <w:t>404,032</w:t>
            </w:r>
          </w:p>
        </w:tc>
        <w:tc>
          <w:tcPr>
            <w:tcW w:w="1064" w:type="dxa"/>
          </w:tcPr>
          <w:p>
            <w:pPr>
              <w:pStyle w:val="TableParagraph"/>
              <w:spacing w:before="6"/>
              <w:ind w:left="320"/>
              <w:rPr>
                <w:sz w:val="18"/>
              </w:rPr>
            </w:pPr>
            <w:r>
              <w:rPr>
                <w:sz w:val="18"/>
              </w:rPr>
              <w:t>420,814</w:t>
            </w:r>
          </w:p>
        </w:tc>
      </w:tr>
      <w:tr>
        <w:trPr>
          <w:trHeight w:val="264" w:hRule="exact"/>
        </w:trPr>
        <w:tc>
          <w:tcPr>
            <w:tcW w:w="3367" w:type="dxa"/>
          </w:tcPr>
          <w:p>
            <w:pPr>
              <w:pStyle w:val="TableParagraph"/>
              <w:spacing w:before="18"/>
              <w:ind w:left="35" w:right="558"/>
              <w:rPr>
                <w:sz w:val="18"/>
              </w:rPr>
            </w:pPr>
            <w:r>
              <w:rPr>
                <w:sz w:val="18"/>
              </w:rPr>
              <w:t>Depreciation and amortisation</w:t>
            </w:r>
          </w:p>
        </w:tc>
        <w:tc>
          <w:tcPr>
            <w:tcW w:w="1010" w:type="dxa"/>
          </w:tcPr>
          <w:p>
            <w:pPr>
              <w:pStyle w:val="TableParagraph"/>
              <w:spacing w:before="20"/>
              <w:ind w:right="178"/>
              <w:jc w:val="right"/>
              <w:rPr>
                <w:sz w:val="18"/>
              </w:rPr>
            </w:pPr>
            <w:r>
              <w:rPr>
                <w:sz w:val="18"/>
              </w:rPr>
              <w:t>12</w:t>
            </w:r>
          </w:p>
        </w:tc>
        <w:tc>
          <w:tcPr>
            <w:tcW w:w="1726" w:type="dxa"/>
          </w:tcPr>
          <w:p>
            <w:pPr>
              <w:pStyle w:val="TableParagraph"/>
              <w:spacing w:before="20"/>
              <w:ind w:right="348"/>
              <w:jc w:val="right"/>
              <w:rPr>
                <w:b/>
                <w:sz w:val="18"/>
              </w:rPr>
            </w:pPr>
            <w:r>
              <w:rPr>
                <w:b/>
                <w:w w:val="95"/>
                <w:sz w:val="18"/>
              </w:rPr>
              <w:t>50,525</w:t>
            </w:r>
          </w:p>
        </w:tc>
        <w:tc>
          <w:tcPr>
            <w:tcW w:w="1380" w:type="dxa"/>
          </w:tcPr>
          <w:p>
            <w:pPr>
              <w:pStyle w:val="TableParagraph"/>
              <w:spacing w:before="20"/>
              <w:ind w:left="391"/>
              <w:rPr>
                <w:sz w:val="18"/>
              </w:rPr>
            </w:pPr>
            <w:r>
              <w:rPr>
                <w:sz w:val="18"/>
              </w:rPr>
              <w:t>43,874</w:t>
            </w:r>
          </w:p>
        </w:tc>
        <w:tc>
          <w:tcPr>
            <w:tcW w:w="1350" w:type="dxa"/>
          </w:tcPr>
          <w:p>
            <w:pPr>
              <w:pStyle w:val="TableParagraph"/>
              <w:spacing w:before="20"/>
              <w:ind w:right="318"/>
              <w:jc w:val="right"/>
              <w:rPr>
                <w:b/>
                <w:sz w:val="18"/>
              </w:rPr>
            </w:pPr>
            <w:r>
              <w:rPr>
                <w:b/>
                <w:w w:val="95"/>
                <w:sz w:val="18"/>
              </w:rPr>
              <w:t>48,835</w:t>
            </w:r>
          </w:p>
        </w:tc>
        <w:tc>
          <w:tcPr>
            <w:tcW w:w="1064" w:type="dxa"/>
          </w:tcPr>
          <w:p>
            <w:pPr>
              <w:pStyle w:val="TableParagraph"/>
              <w:spacing w:before="20"/>
              <w:ind w:right="87"/>
              <w:jc w:val="right"/>
              <w:rPr>
                <w:sz w:val="18"/>
              </w:rPr>
            </w:pPr>
            <w:r>
              <w:rPr>
                <w:w w:val="95"/>
                <w:sz w:val="18"/>
              </w:rPr>
              <w:t>42,580</w:t>
            </w:r>
          </w:p>
        </w:tc>
      </w:tr>
      <w:tr>
        <w:trPr>
          <w:trHeight w:val="264" w:hRule="exact"/>
        </w:trPr>
        <w:tc>
          <w:tcPr>
            <w:tcW w:w="3367" w:type="dxa"/>
          </w:tcPr>
          <w:p>
            <w:pPr>
              <w:pStyle w:val="TableParagraph"/>
              <w:spacing w:before="18"/>
              <w:ind w:left="35" w:right="558"/>
              <w:rPr>
                <w:sz w:val="18"/>
              </w:rPr>
            </w:pPr>
            <w:r>
              <w:rPr>
                <w:sz w:val="18"/>
              </w:rPr>
              <w:t>Repairs and maintenance</w:t>
            </w:r>
          </w:p>
        </w:tc>
        <w:tc>
          <w:tcPr>
            <w:tcW w:w="1010" w:type="dxa"/>
          </w:tcPr>
          <w:p>
            <w:pPr>
              <w:pStyle w:val="TableParagraph"/>
              <w:spacing w:before="20"/>
              <w:ind w:right="178"/>
              <w:jc w:val="right"/>
              <w:rPr>
                <w:sz w:val="18"/>
              </w:rPr>
            </w:pPr>
            <w:r>
              <w:rPr>
                <w:sz w:val="18"/>
              </w:rPr>
              <w:t>13</w:t>
            </w:r>
          </w:p>
        </w:tc>
        <w:tc>
          <w:tcPr>
            <w:tcW w:w="1726" w:type="dxa"/>
          </w:tcPr>
          <w:p>
            <w:pPr>
              <w:pStyle w:val="TableParagraph"/>
              <w:spacing w:before="20"/>
              <w:ind w:right="348"/>
              <w:jc w:val="right"/>
              <w:rPr>
                <w:b/>
                <w:sz w:val="18"/>
              </w:rPr>
            </w:pPr>
            <w:r>
              <w:rPr>
                <w:b/>
                <w:w w:val="95"/>
                <w:sz w:val="18"/>
              </w:rPr>
              <w:t>25,561</w:t>
            </w:r>
          </w:p>
        </w:tc>
        <w:tc>
          <w:tcPr>
            <w:tcW w:w="1380" w:type="dxa"/>
          </w:tcPr>
          <w:p>
            <w:pPr>
              <w:pStyle w:val="TableParagraph"/>
              <w:spacing w:before="20"/>
              <w:ind w:left="391"/>
              <w:rPr>
                <w:sz w:val="18"/>
              </w:rPr>
            </w:pPr>
            <w:r>
              <w:rPr>
                <w:sz w:val="18"/>
              </w:rPr>
              <w:t>27,107</w:t>
            </w:r>
          </w:p>
        </w:tc>
        <w:tc>
          <w:tcPr>
            <w:tcW w:w="1350" w:type="dxa"/>
          </w:tcPr>
          <w:p>
            <w:pPr>
              <w:pStyle w:val="TableParagraph"/>
              <w:spacing w:before="20"/>
              <w:ind w:right="318"/>
              <w:jc w:val="right"/>
              <w:rPr>
                <w:b/>
                <w:sz w:val="18"/>
              </w:rPr>
            </w:pPr>
            <w:r>
              <w:rPr>
                <w:b/>
                <w:w w:val="95"/>
                <w:sz w:val="18"/>
              </w:rPr>
              <w:t>25,351</w:t>
            </w:r>
          </w:p>
        </w:tc>
        <w:tc>
          <w:tcPr>
            <w:tcW w:w="1064" w:type="dxa"/>
          </w:tcPr>
          <w:p>
            <w:pPr>
              <w:pStyle w:val="TableParagraph"/>
              <w:spacing w:before="20"/>
              <w:ind w:right="87"/>
              <w:jc w:val="right"/>
              <w:rPr>
                <w:sz w:val="18"/>
              </w:rPr>
            </w:pPr>
            <w:r>
              <w:rPr>
                <w:w w:val="95"/>
                <w:sz w:val="18"/>
              </w:rPr>
              <w:t>26,844</w:t>
            </w:r>
          </w:p>
        </w:tc>
      </w:tr>
      <w:tr>
        <w:trPr>
          <w:trHeight w:val="264" w:hRule="exact"/>
        </w:trPr>
        <w:tc>
          <w:tcPr>
            <w:tcW w:w="3367" w:type="dxa"/>
          </w:tcPr>
          <w:p>
            <w:pPr>
              <w:pStyle w:val="TableParagraph"/>
              <w:spacing w:before="18"/>
              <w:ind w:left="35" w:right="558"/>
              <w:rPr>
                <w:sz w:val="18"/>
              </w:rPr>
            </w:pPr>
            <w:r>
              <w:rPr>
                <w:sz w:val="18"/>
              </w:rPr>
              <w:t>Borrowing costs</w:t>
            </w:r>
          </w:p>
        </w:tc>
        <w:tc>
          <w:tcPr>
            <w:tcW w:w="1010" w:type="dxa"/>
          </w:tcPr>
          <w:p>
            <w:pPr>
              <w:pStyle w:val="TableParagraph"/>
              <w:spacing w:before="20"/>
              <w:ind w:right="178"/>
              <w:jc w:val="right"/>
              <w:rPr>
                <w:sz w:val="18"/>
              </w:rPr>
            </w:pPr>
            <w:r>
              <w:rPr>
                <w:sz w:val="18"/>
              </w:rPr>
              <w:t>14</w:t>
            </w:r>
          </w:p>
        </w:tc>
        <w:tc>
          <w:tcPr>
            <w:tcW w:w="1726" w:type="dxa"/>
          </w:tcPr>
          <w:p>
            <w:pPr>
              <w:pStyle w:val="TableParagraph"/>
              <w:spacing w:before="20"/>
              <w:ind w:right="348"/>
              <w:jc w:val="right"/>
              <w:rPr>
                <w:b/>
                <w:sz w:val="18"/>
              </w:rPr>
            </w:pPr>
            <w:r>
              <w:rPr>
                <w:b/>
                <w:w w:val="95"/>
                <w:sz w:val="18"/>
              </w:rPr>
              <w:t>4,276</w:t>
            </w:r>
          </w:p>
        </w:tc>
        <w:tc>
          <w:tcPr>
            <w:tcW w:w="1380" w:type="dxa"/>
          </w:tcPr>
          <w:p>
            <w:pPr>
              <w:pStyle w:val="TableParagraph"/>
              <w:spacing w:before="20"/>
              <w:ind w:left="491"/>
              <w:rPr>
                <w:sz w:val="18"/>
              </w:rPr>
            </w:pPr>
            <w:r>
              <w:rPr>
                <w:sz w:val="18"/>
              </w:rPr>
              <w:t>2,558</w:t>
            </w:r>
          </w:p>
        </w:tc>
        <w:tc>
          <w:tcPr>
            <w:tcW w:w="1350" w:type="dxa"/>
          </w:tcPr>
          <w:p>
            <w:pPr>
              <w:pStyle w:val="TableParagraph"/>
              <w:spacing w:before="20"/>
              <w:ind w:right="318"/>
              <w:jc w:val="right"/>
              <w:rPr>
                <w:b/>
                <w:sz w:val="18"/>
              </w:rPr>
            </w:pPr>
            <w:r>
              <w:rPr>
                <w:b/>
                <w:w w:val="95"/>
                <w:sz w:val="18"/>
              </w:rPr>
              <w:t>4,476</w:t>
            </w:r>
          </w:p>
        </w:tc>
        <w:tc>
          <w:tcPr>
            <w:tcW w:w="1064" w:type="dxa"/>
          </w:tcPr>
          <w:p>
            <w:pPr>
              <w:pStyle w:val="TableParagraph"/>
              <w:spacing w:before="20"/>
              <w:ind w:right="87"/>
              <w:jc w:val="right"/>
              <w:rPr>
                <w:sz w:val="18"/>
              </w:rPr>
            </w:pPr>
            <w:r>
              <w:rPr>
                <w:w w:val="95"/>
                <w:sz w:val="18"/>
              </w:rPr>
              <w:t>2,689</w:t>
            </w:r>
          </w:p>
        </w:tc>
      </w:tr>
      <w:tr>
        <w:trPr>
          <w:trHeight w:val="264" w:hRule="exact"/>
        </w:trPr>
        <w:tc>
          <w:tcPr>
            <w:tcW w:w="3367" w:type="dxa"/>
          </w:tcPr>
          <w:p>
            <w:pPr>
              <w:pStyle w:val="TableParagraph"/>
              <w:spacing w:before="18"/>
              <w:ind w:left="35" w:right="558"/>
              <w:rPr>
                <w:sz w:val="18"/>
              </w:rPr>
            </w:pPr>
            <w:r>
              <w:rPr>
                <w:sz w:val="18"/>
              </w:rPr>
              <w:t>Impairment of assets</w:t>
            </w:r>
          </w:p>
        </w:tc>
        <w:tc>
          <w:tcPr>
            <w:tcW w:w="1010" w:type="dxa"/>
          </w:tcPr>
          <w:p>
            <w:pPr>
              <w:pStyle w:val="TableParagraph"/>
              <w:spacing w:before="20"/>
              <w:ind w:right="178"/>
              <w:jc w:val="right"/>
              <w:rPr>
                <w:sz w:val="18"/>
              </w:rPr>
            </w:pPr>
            <w:r>
              <w:rPr>
                <w:sz w:val="18"/>
              </w:rPr>
              <w:t>15</w:t>
            </w:r>
          </w:p>
        </w:tc>
        <w:tc>
          <w:tcPr>
            <w:tcW w:w="1726" w:type="dxa"/>
          </w:tcPr>
          <w:p>
            <w:pPr>
              <w:pStyle w:val="TableParagraph"/>
              <w:spacing w:before="20"/>
              <w:ind w:right="288"/>
              <w:jc w:val="right"/>
              <w:rPr>
                <w:b/>
                <w:sz w:val="18"/>
              </w:rPr>
            </w:pPr>
            <w:r>
              <w:rPr>
                <w:b/>
                <w:w w:val="95"/>
                <w:sz w:val="18"/>
              </w:rPr>
              <w:t>(62)</w:t>
            </w:r>
          </w:p>
        </w:tc>
        <w:tc>
          <w:tcPr>
            <w:tcW w:w="1380" w:type="dxa"/>
          </w:tcPr>
          <w:p>
            <w:pPr>
              <w:pStyle w:val="TableParagraph"/>
              <w:spacing w:before="20"/>
              <w:ind w:right="372"/>
              <w:jc w:val="right"/>
              <w:rPr>
                <w:sz w:val="18"/>
              </w:rPr>
            </w:pPr>
            <w:r>
              <w:rPr>
                <w:sz w:val="18"/>
              </w:rPr>
              <w:t>(183)</w:t>
            </w:r>
          </w:p>
        </w:tc>
        <w:tc>
          <w:tcPr>
            <w:tcW w:w="1350" w:type="dxa"/>
          </w:tcPr>
          <w:p>
            <w:pPr>
              <w:pStyle w:val="TableParagraph"/>
              <w:spacing w:before="20"/>
              <w:ind w:right="318"/>
              <w:jc w:val="right"/>
              <w:rPr>
                <w:b/>
                <w:sz w:val="18"/>
              </w:rPr>
            </w:pPr>
            <w:r>
              <w:rPr>
                <w:b/>
                <w:w w:val="95"/>
                <w:sz w:val="18"/>
              </w:rPr>
              <w:t>3,872</w:t>
            </w:r>
          </w:p>
        </w:tc>
        <w:tc>
          <w:tcPr>
            <w:tcW w:w="1064" w:type="dxa"/>
          </w:tcPr>
          <w:p>
            <w:pPr>
              <w:pStyle w:val="TableParagraph"/>
              <w:spacing w:before="20"/>
              <w:ind w:right="26"/>
              <w:jc w:val="right"/>
              <w:rPr>
                <w:sz w:val="18"/>
              </w:rPr>
            </w:pPr>
            <w:r>
              <w:rPr>
                <w:sz w:val="18"/>
              </w:rPr>
              <w:t>(214)</w:t>
            </w:r>
          </w:p>
        </w:tc>
      </w:tr>
      <w:tr>
        <w:trPr>
          <w:trHeight w:val="262" w:hRule="exact"/>
        </w:trPr>
        <w:tc>
          <w:tcPr>
            <w:tcW w:w="3367" w:type="dxa"/>
          </w:tcPr>
          <w:p>
            <w:pPr>
              <w:pStyle w:val="TableParagraph"/>
              <w:spacing w:before="18"/>
              <w:ind w:left="35" w:right="558"/>
              <w:rPr>
                <w:sz w:val="18"/>
              </w:rPr>
            </w:pPr>
            <w:r>
              <w:rPr>
                <w:sz w:val="18"/>
              </w:rPr>
              <w:t>Other expenses</w:t>
            </w:r>
          </w:p>
        </w:tc>
        <w:tc>
          <w:tcPr>
            <w:tcW w:w="1010" w:type="dxa"/>
          </w:tcPr>
          <w:p>
            <w:pPr>
              <w:pStyle w:val="TableParagraph"/>
              <w:spacing w:before="20"/>
              <w:ind w:right="178"/>
              <w:jc w:val="right"/>
              <w:rPr>
                <w:sz w:val="18"/>
              </w:rPr>
            </w:pPr>
            <w:r>
              <w:rPr>
                <w:sz w:val="18"/>
              </w:rPr>
              <w:t>16</w:t>
            </w:r>
          </w:p>
        </w:tc>
        <w:tc>
          <w:tcPr>
            <w:tcW w:w="1726" w:type="dxa"/>
            <w:tcBorders>
              <w:bottom w:val="single" w:sz="1" w:space="0" w:color="000000"/>
            </w:tcBorders>
          </w:tcPr>
          <w:p>
            <w:pPr>
              <w:pStyle w:val="TableParagraph"/>
              <w:spacing w:before="20"/>
              <w:ind w:right="348"/>
              <w:jc w:val="right"/>
              <w:rPr>
                <w:b/>
                <w:sz w:val="18"/>
              </w:rPr>
            </w:pPr>
            <w:r>
              <w:rPr>
                <w:b/>
                <w:w w:val="95"/>
                <w:sz w:val="18"/>
              </w:rPr>
              <w:t>222,643</w:t>
            </w:r>
          </w:p>
        </w:tc>
        <w:tc>
          <w:tcPr>
            <w:tcW w:w="1380" w:type="dxa"/>
            <w:tcBorders>
              <w:bottom w:val="single" w:sz="1" w:space="0" w:color="000000"/>
            </w:tcBorders>
          </w:tcPr>
          <w:p>
            <w:pPr>
              <w:pStyle w:val="TableParagraph"/>
              <w:spacing w:before="20"/>
              <w:ind w:left="290"/>
              <w:rPr>
                <w:sz w:val="18"/>
              </w:rPr>
            </w:pPr>
            <w:r>
              <w:rPr>
                <w:sz w:val="18"/>
              </w:rPr>
              <w:t>200,638</w:t>
            </w:r>
          </w:p>
        </w:tc>
        <w:tc>
          <w:tcPr>
            <w:tcW w:w="1350" w:type="dxa"/>
            <w:tcBorders>
              <w:bottom w:val="single" w:sz="1" w:space="0" w:color="000000"/>
            </w:tcBorders>
          </w:tcPr>
          <w:p>
            <w:pPr>
              <w:pStyle w:val="TableParagraph"/>
              <w:spacing w:before="20"/>
              <w:ind w:right="318"/>
              <w:jc w:val="right"/>
              <w:rPr>
                <w:b/>
                <w:sz w:val="18"/>
              </w:rPr>
            </w:pPr>
            <w:r>
              <w:rPr>
                <w:b/>
                <w:w w:val="95"/>
                <w:sz w:val="18"/>
              </w:rPr>
              <w:t>265,461</w:t>
            </w:r>
          </w:p>
        </w:tc>
        <w:tc>
          <w:tcPr>
            <w:tcW w:w="1064" w:type="dxa"/>
            <w:tcBorders>
              <w:bottom w:val="single" w:sz="1" w:space="0" w:color="000000"/>
            </w:tcBorders>
          </w:tcPr>
          <w:p>
            <w:pPr>
              <w:pStyle w:val="TableParagraph"/>
              <w:spacing w:before="20"/>
              <w:ind w:left="320"/>
              <w:rPr>
                <w:sz w:val="18"/>
              </w:rPr>
            </w:pPr>
            <w:r>
              <w:rPr>
                <w:sz w:val="18"/>
              </w:rPr>
              <w:t>234,936</w:t>
            </w:r>
          </w:p>
        </w:tc>
      </w:tr>
      <w:tr>
        <w:trPr>
          <w:trHeight w:val="341" w:hRule="exact"/>
        </w:trPr>
        <w:tc>
          <w:tcPr>
            <w:tcW w:w="3367" w:type="dxa"/>
          </w:tcPr>
          <w:p>
            <w:pPr>
              <w:pStyle w:val="TableParagraph"/>
              <w:spacing w:before="125"/>
              <w:ind w:left="35" w:right="558"/>
              <w:rPr>
                <w:b/>
                <w:sz w:val="18"/>
              </w:rPr>
            </w:pPr>
            <w:r>
              <w:rPr>
                <w:b/>
                <w:sz w:val="18"/>
              </w:rPr>
              <w:t>Total expenses from continuing</w:t>
            </w:r>
          </w:p>
        </w:tc>
        <w:tc>
          <w:tcPr>
            <w:tcW w:w="1010" w:type="dxa"/>
          </w:tcPr>
          <w:p>
            <w:pPr/>
          </w:p>
        </w:tc>
        <w:tc>
          <w:tcPr>
            <w:tcW w:w="1726" w:type="dxa"/>
            <w:tcBorders>
              <w:top w:val="single" w:sz="1" w:space="0" w:color="000000"/>
            </w:tcBorders>
          </w:tcPr>
          <w:p>
            <w:pPr/>
          </w:p>
        </w:tc>
        <w:tc>
          <w:tcPr>
            <w:tcW w:w="1380" w:type="dxa"/>
            <w:tcBorders>
              <w:top w:val="single" w:sz="1" w:space="0" w:color="000000"/>
            </w:tcBorders>
          </w:tcPr>
          <w:p>
            <w:pPr/>
          </w:p>
        </w:tc>
        <w:tc>
          <w:tcPr>
            <w:tcW w:w="1350" w:type="dxa"/>
            <w:tcBorders>
              <w:top w:val="single" w:sz="1" w:space="0" w:color="000000"/>
            </w:tcBorders>
          </w:tcPr>
          <w:p>
            <w:pPr/>
          </w:p>
        </w:tc>
        <w:tc>
          <w:tcPr>
            <w:tcW w:w="1064" w:type="dxa"/>
            <w:tcBorders>
              <w:top w:val="single" w:sz="1" w:space="0" w:color="000000"/>
            </w:tcBorders>
          </w:tcPr>
          <w:p>
            <w:pPr/>
          </w:p>
        </w:tc>
      </w:tr>
      <w:tr>
        <w:trPr>
          <w:trHeight w:val="273" w:hRule="exact"/>
        </w:trPr>
        <w:tc>
          <w:tcPr>
            <w:tcW w:w="4377" w:type="dxa"/>
            <w:gridSpan w:val="2"/>
          </w:tcPr>
          <w:p>
            <w:pPr>
              <w:pStyle w:val="TableParagraph"/>
              <w:spacing w:line="184" w:lineRule="exact"/>
              <w:ind w:left="35"/>
              <w:rPr>
                <w:b/>
                <w:sz w:val="18"/>
              </w:rPr>
            </w:pPr>
            <w:r>
              <w:rPr>
                <w:b/>
                <w:sz w:val="18"/>
              </w:rPr>
              <w:t>operations</w:t>
            </w:r>
          </w:p>
        </w:tc>
        <w:tc>
          <w:tcPr>
            <w:tcW w:w="5520" w:type="dxa"/>
            <w:gridSpan w:val="4"/>
          </w:tcPr>
          <w:p>
            <w:pPr>
              <w:pStyle w:val="TableParagraph"/>
              <w:tabs>
                <w:tab w:pos="719" w:val="left" w:leader="none"/>
                <w:tab w:pos="2015" w:val="left" w:leader="none"/>
                <w:tab w:pos="3479" w:val="left" w:leader="none"/>
                <w:tab w:pos="4775" w:val="left" w:leader="none"/>
              </w:tabs>
              <w:spacing w:line="184" w:lineRule="exact"/>
              <w:rPr>
                <w:sz w:val="18"/>
              </w:rPr>
            </w:pPr>
            <w:r>
              <w:rPr>
                <w:rFonts w:ascii="Times New Roman"/>
                <w:sz w:val="18"/>
                <w:u w:val="single"/>
              </w:rPr>
              <w:t> </w:t>
              <w:tab/>
            </w:r>
            <w:r>
              <w:rPr>
                <w:b/>
                <w:sz w:val="18"/>
                <w:u w:val="single"/>
              </w:rPr>
              <w:t>747,041</w:t>
              <w:tab/>
            </w:r>
            <w:r>
              <w:rPr>
                <w:sz w:val="18"/>
                <w:u w:val="single"/>
              </w:rPr>
              <w:t>739,997</w:t>
              <w:tab/>
            </w:r>
            <w:r>
              <w:rPr>
                <w:b/>
                <w:sz w:val="18"/>
                <w:u w:val="single"/>
              </w:rPr>
              <w:t>752,027</w:t>
              <w:tab/>
            </w:r>
            <w:r>
              <w:rPr>
                <w:sz w:val="18"/>
                <w:u w:val="single"/>
              </w:rPr>
              <w:t>727,649</w:t>
            </w:r>
          </w:p>
        </w:tc>
      </w:tr>
      <w:tr>
        <w:trPr>
          <w:trHeight w:val="272" w:hRule="exact"/>
        </w:trPr>
        <w:tc>
          <w:tcPr>
            <w:tcW w:w="4377" w:type="dxa"/>
            <w:gridSpan w:val="2"/>
          </w:tcPr>
          <w:p>
            <w:pPr>
              <w:pStyle w:val="TableParagraph"/>
              <w:spacing w:before="55"/>
              <w:ind w:left="35"/>
              <w:rPr>
                <w:b/>
                <w:sz w:val="18"/>
              </w:rPr>
            </w:pPr>
            <w:r>
              <w:rPr>
                <w:b/>
                <w:sz w:val="18"/>
              </w:rPr>
              <w:t>Net result from continuing</w:t>
            </w:r>
          </w:p>
        </w:tc>
        <w:tc>
          <w:tcPr>
            <w:tcW w:w="5520" w:type="dxa"/>
            <w:gridSpan w:val="4"/>
          </w:tcPr>
          <w:p>
            <w:pPr/>
          </w:p>
        </w:tc>
      </w:tr>
      <w:tr>
        <w:trPr>
          <w:trHeight w:val="218" w:hRule="exact"/>
        </w:trPr>
        <w:tc>
          <w:tcPr>
            <w:tcW w:w="4377" w:type="dxa"/>
            <w:gridSpan w:val="2"/>
          </w:tcPr>
          <w:p>
            <w:pPr>
              <w:pStyle w:val="TableParagraph"/>
              <w:spacing w:line="197" w:lineRule="exact"/>
              <w:ind w:left="35"/>
              <w:rPr>
                <w:b/>
                <w:sz w:val="18"/>
              </w:rPr>
            </w:pPr>
            <w:r>
              <w:rPr>
                <w:b/>
                <w:sz w:val="18"/>
              </w:rPr>
              <w:t>operations</w:t>
            </w:r>
          </w:p>
        </w:tc>
        <w:tc>
          <w:tcPr>
            <w:tcW w:w="5520" w:type="dxa"/>
            <w:gridSpan w:val="4"/>
            <w:tcBorders>
              <w:bottom w:val="single" w:sz="1" w:space="0" w:color="000000"/>
            </w:tcBorders>
          </w:tcPr>
          <w:p>
            <w:pPr>
              <w:pStyle w:val="TableParagraph"/>
              <w:tabs>
                <w:tab w:pos="2116" w:val="left" w:leader="none"/>
                <w:tab w:pos="3580" w:val="left" w:leader="none"/>
                <w:tab w:pos="4876" w:val="left" w:leader="none"/>
              </w:tabs>
              <w:spacing w:line="197" w:lineRule="exact"/>
              <w:ind w:left="820"/>
              <w:rPr>
                <w:sz w:val="18"/>
              </w:rPr>
            </w:pPr>
            <w:r>
              <w:rPr>
                <w:b/>
                <w:sz w:val="18"/>
              </w:rPr>
              <w:t>52,064</w:t>
              <w:tab/>
            </w:r>
            <w:r>
              <w:rPr>
                <w:sz w:val="18"/>
              </w:rPr>
              <w:t>34,837</w:t>
              <w:tab/>
            </w:r>
            <w:r>
              <w:rPr>
                <w:b/>
                <w:sz w:val="18"/>
              </w:rPr>
              <w:t>48,462</w:t>
              <w:tab/>
            </w:r>
            <w:r>
              <w:rPr>
                <w:sz w:val="18"/>
              </w:rPr>
              <w:t>36,018</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9"/>
        </w:rPr>
      </w:pPr>
    </w:p>
    <w:p>
      <w:pPr>
        <w:pStyle w:val="BodyText"/>
        <w:ind w:left="107" w:right="220"/>
      </w:pPr>
      <w:r>
        <w:rPr/>
        <w:t>The accompanying notes form part of these financial statements.</w:t>
      </w:r>
    </w:p>
    <w:p>
      <w:pPr>
        <w:spacing w:after="0"/>
        <w:sectPr>
          <w:type w:val="continuous"/>
          <w:pgSz w:w="11910" w:h="16840"/>
          <w:pgMar w:top="1580" w:bottom="280" w:left="900" w:right="880"/>
        </w:sectPr>
      </w:pPr>
    </w:p>
    <w:p>
      <w:pPr>
        <w:pStyle w:val="Heading6"/>
        <w:spacing w:before="52"/>
        <w:ind w:left="127" w:right="161"/>
      </w:pPr>
      <w:r>
        <w:rPr/>
        <w:t>Western Sydney University</w:t>
      </w:r>
    </w:p>
    <w:p>
      <w:pPr>
        <w:pStyle w:val="BodyText"/>
        <w:spacing w:before="5"/>
        <w:rPr>
          <w:b/>
          <w:sz w:val="29"/>
        </w:rPr>
      </w:pPr>
    </w:p>
    <w:p>
      <w:pPr>
        <w:spacing w:before="0"/>
        <w:ind w:left="127" w:right="161" w:firstLine="0"/>
        <w:jc w:val="left"/>
        <w:rPr>
          <w:b/>
          <w:sz w:val="28"/>
        </w:rPr>
      </w:pPr>
      <w:bookmarkStart w:name="Statement of Comprehensive Income" w:id="8"/>
      <w:bookmarkEnd w:id="8"/>
      <w:r>
        <w:rPr/>
      </w:r>
      <w:r>
        <w:rPr>
          <w:b/>
          <w:sz w:val="28"/>
        </w:rPr>
        <w:t>Statement of Comprehensive Income</w:t>
      </w:r>
    </w:p>
    <w:p>
      <w:pPr>
        <w:spacing w:before="53"/>
        <w:ind w:left="127" w:right="161" w:firstLine="0"/>
        <w:jc w:val="left"/>
        <w:rPr>
          <w:b/>
          <w:sz w:val="22"/>
        </w:rPr>
      </w:pPr>
      <w:r>
        <w:rPr>
          <w:b/>
          <w:sz w:val="22"/>
        </w:rPr>
        <w:t>For the Year Ended 31 December 2017</w:t>
      </w:r>
    </w:p>
    <w:p>
      <w:pPr>
        <w:pStyle w:val="BodyText"/>
        <w:spacing w:before="2"/>
        <w:rPr>
          <w:b/>
          <w:sz w:val="29"/>
        </w:rPr>
      </w:pPr>
    </w:p>
    <w:p>
      <w:pPr>
        <w:pStyle w:val="Heading9"/>
        <w:tabs>
          <w:tab w:pos="8374" w:val="left" w:leader="none"/>
        </w:tabs>
        <w:spacing w:before="78" w:after="36"/>
        <w:ind w:left="5321" w:right="161"/>
      </w:pPr>
      <w:r>
        <w:rPr/>
        <w:t>Consolidated</w:t>
        <w:tab/>
        <w:t>Parent</w:t>
      </w: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557"/>
        <w:gridCol w:w="834"/>
        <w:gridCol w:w="1661"/>
        <w:gridCol w:w="1380"/>
        <w:gridCol w:w="1380"/>
        <w:gridCol w:w="1099"/>
      </w:tblGrid>
      <w:tr>
        <w:trPr>
          <w:trHeight w:val="606" w:hRule="exact"/>
        </w:trPr>
        <w:tc>
          <w:tcPr>
            <w:tcW w:w="3557" w:type="dxa"/>
          </w:tcPr>
          <w:p>
            <w:pPr/>
          </w:p>
        </w:tc>
        <w:tc>
          <w:tcPr>
            <w:tcW w:w="834" w:type="dxa"/>
          </w:tcPr>
          <w:p>
            <w:pPr>
              <w:pStyle w:val="TableParagraph"/>
              <w:rPr>
                <w:b/>
                <w:sz w:val="18"/>
              </w:rPr>
            </w:pPr>
          </w:p>
          <w:p>
            <w:pPr>
              <w:pStyle w:val="TableParagraph"/>
              <w:spacing w:before="123"/>
              <w:ind w:right="36"/>
              <w:jc w:val="right"/>
              <w:rPr>
                <w:b/>
                <w:sz w:val="18"/>
              </w:rPr>
            </w:pPr>
            <w:r>
              <w:rPr>
                <w:b/>
                <w:sz w:val="18"/>
              </w:rPr>
              <w:t>Notes</w:t>
            </w:r>
          </w:p>
        </w:tc>
        <w:tc>
          <w:tcPr>
            <w:tcW w:w="1661" w:type="dxa"/>
          </w:tcPr>
          <w:p>
            <w:pPr>
              <w:pStyle w:val="TableParagraph"/>
              <w:spacing w:before="57"/>
              <w:ind w:left="573" w:right="604"/>
              <w:jc w:val="center"/>
              <w:rPr>
                <w:b/>
                <w:sz w:val="18"/>
              </w:rPr>
            </w:pPr>
            <w:r>
              <w:rPr>
                <w:b/>
                <w:sz w:val="18"/>
              </w:rPr>
              <w:t>2017</w:t>
            </w:r>
          </w:p>
          <w:p>
            <w:pPr>
              <w:pStyle w:val="TableParagraph"/>
              <w:spacing w:before="66"/>
              <w:ind w:left="573" w:right="604"/>
              <w:jc w:val="center"/>
              <w:rPr>
                <w:b/>
                <w:sz w:val="18"/>
              </w:rPr>
            </w:pPr>
            <w:r>
              <w:rPr>
                <w:b/>
                <w:sz w:val="18"/>
              </w:rPr>
              <w:t>$'000</w:t>
            </w:r>
          </w:p>
        </w:tc>
        <w:tc>
          <w:tcPr>
            <w:tcW w:w="1380" w:type="dxa"/>
          </w:tcPr>
          <w:p>
            <w:pPr>
              <w:pStyle w:val="TableParagraph"/>
              <w:spacing w:before="57"/>
              <w:ind w:left="247"/>
              <w:rPr>
                <w:b/>
                <w:sz w:val="18"/>
              </w:rPr>
            </w:pPr>
            <w:r>
              <w:rPr>
                <w:b/>
                <w:sz w:val="18"/>
              </w:rPr>
              <w:t>2016</w:t>
            </w:r>
          </w:p>
          <w:p>
            <w:pPr>
              <w:pStyle w:val="TableParagraph"/>
              <w:spacing w:before="66"/>
              <w:ind w:left="225"/>
              <w:rPr>
                <w:b/>
                <w:sz w:val="18"/>
              </w:rPr>
            </w:pPr>
            <w:r>
              <w:rPr>
                <w:b/>
                <w:sz w:val="18"/>
              </w:rPr>
              <w:t>$'000</w:t>
            </w:r>
          </w:p>
        </w:tc>
        <w:tc>
          <w:tcPr>
            <w:tcW w:w="1380" w:type="dxa"/>
          </w:tcPr>
          <w:p>
            <w:pPr>
              <w:pStyle w:val="TableParagraph"/>
              <w:spacing w:before="30"/>
              <w:ind w:left="331"/>
              <w:rPr>
                <w:b/>
                <w:sz w:val="18"/>
              </w:rPr>
            </w:pPr>
            <w:r>
              <w:rPr>
                <w:b/>
                <w:sz w:val="18"/>
              </w:rPr>
              <w:t>2017</w:t>
            </w:r>
          </w:p>
          <w:p>
            <w:pPr>
              <w:pStyle w:val="TableParagraph"/>
              <w:spacing w:before="64"/>
              <w:ind w:left="309"/>
              <w:rPr>
                <w:b/>
                <w:sz w:val="18"/>
              </w:rPr>
            </w:pPr>
            <w:r>
              <w:rPr>
                <w:b/>
                <w:sz w:val="18"/>
              </w:rPr>
              <w:t>$'000</w:t>
            </w:r>
          </w:p>
        </w:tc>
        <w:tc>
          <w:tcPr>
            <w:tcW w:w="1099" w:type="dxa"/>
          </w:tcPr>
          <w:p>
            <w:pPr>
              <w:pStyle w:val="TableParagraph"/>
              <w:spacing w:before="30"/>
              <w:ind w:left="247"/>
              <w:rPr>
                <w:b/>
                <w:sz w:val="18"/>
              </w:rPr>
            </w:pPr>
            <w:r>
              <w:rPr>
                <w:b/>
                <w:sz w:val="18"/>
              </w:rPr>
              <w:t>2016</w:t>
            </w:r>
          </w:p>
          <w:p>
            <w:pPr>
              <w:pStyle w:val="TableParagraph"/>
              <w:spacing w:before="64"/>
              <w:ind w:left="225"/>
              <w:rPr>
                <w:b/>
                <w:sz w:val="18"/>
              </w:rPr>
            </w:pPr>
            <w:r>
              <w:rPr>
                <w:b/>
                <w:sz w:val="18"/>
              </w:rPr>
              <w:t>$'000</w:t>
            </w:r>
          </w:p>
        </w:tc>
      </w:tr>
      <w:tr>
        <w:trPr>
          <w:trHeight w:val="437" w:hRule="exact"/>
        </w:trPr>
        <w:tc>
          <w:tcPr>
            <w:tcW w:w="3557" w:type="dxa"/>
          </w:tcPr>
          <w:p>
            <w:pPr>
              <w:pStyle w:val="TableParagraph"/>
              <w:spacing w:before="78"/>
              <w:ind w:left="35" w:right="328"/>
              <w:rPr>
                <w:b/>
                <w:sz w:val="18"/>
              </w:rPr>
            </w:pPr>
            <w:r>
              <w:rPr>
                <w:b/>
                <w:sz w:val="18"/>
              </w:rPr>
              <w:t>Net result for the period</w:t>
            </w:r>
          </w:p>
        </w:tc>
        <w:tc>
          <w:tcPr>
            <w:tcW w:w="834" w:type="dxa"/>
          </w:tcPr>
          <w:p>
            <w:pPr/>
          </w:p>
        </w:tc>
        <w:tc>
          <w:tcPr>
            <w:tcW w:w="1661" w:type="dxa"/>
          </w:tcPr>
          <w:p>
            <w:pPr>
              <w:pStyle w:val="TableParagraph"/>
              <w:spacing w:before="49"/>
              <w:ind w:right="283"/>
              <w:jc w:val="right"/>
              <w:rPr>
                <w:b/>
                <w:sz w:val="18"/>
              </w:rPr>
            </w:pPr>
            <w:r>
              <w:rPr>
                <w:b/>
                <w:w w:val="95"/>
                <w:sz w:val="18"/>
              </w:rPr>
              <w:t>52,064</w:t>
            </w:r>
          </w:p>
        </w:tc>
        <w:tc>
          <w:tcPr>
            <w:tcW w:w="1380" w:type="dxa"/>
          </w:tcPr>
          <w:p>
            <w:pPr>
              <w:pStyle w:val="TableParagraph"/>
              <w:spacing w:before="49"/>
              <w:ind w:left="455"/>
              <w:rPr>
                <w:sz w:val="18"/>
              </w:rPr>
            </w:pPr>
            <w:r>
              <w:rPr>
                <w:sz w:val="18"/>
              </w:rPr>
              <w:t>34,837</w:t>
            </w:r>
          </w:p>
        </w:tc>
        <w:tc>
          <w:tcPr>
            <w:tcW w:w="1380" w:type="dxa"/>
          </w:tcPr>
          <w:p>
            <w:pPr>
              <w:pStyle w:val="TableParagraph"/>
              <w:spacing w:before="49"/>
              <w:ind w:right="283"/>
              <w:jc w:val="right"/>
              <w:rPr>
                <w:b/>
                <w:sz w:val="18"/>
              </w:rPr>
            </w:pPr>
            <w:r>
              <w:rPr>
                <w:b/>
                <w:w w:val="95"/>
                <w:sz w:val="18"/>
              </w:rPr>
              <w:t>48,462</w:t>
            </w:r>
          </w:p>
        </w:tc>
        <w:tc>
          <w:tcPr>
            <w:tcW w:w="1099" w:type="dxa"/>
          </w:tcPr>
          <w:p>
            <w:pPr>
              <w:pStyle w:val="TableParagraph"/>
              <w:spacing w:before="49"/>
              <w:ind w:right="87"/>
              <w:jc w:val="right"/>
              <w:rPr>
                <w:sz w:val="18"/>
              </w:rPr>
            </w:pPr>
            <w:r>
              <w:rPr>
                <w:w w:val="95"/>
                <w:sz w:val="18"/>
              </w:rPr>
              <w:t>36,018</w:t>
            </w:r>
          </w:p>
        </w:tc>
      </w:tr>
      <w:tr>
        <w:trPr>
          <w:trHeight w:val="349" w:hRule="exact"/>
        </w:trPr>
        <w:tc>
          <w:tcPr>
            <w:tcW w:w="3557" w:type="dxa"/>
          </w:tcPr>
          <w:p>
            <w:pPr>
              <w:pStyle w:val="TableParagraph"/>
              <w:spacing w:before="133"/>
              <w:ind w:left="35" w:right="328"/>
              <w:rPr>
                <w:i/>
                <w:sz w:val="18"/>
              </w:rPr>
            </w:pPr>
            <w:r>
              <w:rPr>
                <w:i/>
                <w:sz w:val="18"/>
              </w:rPr>
              <w:t>Items that will be reclassified to Income</w:t>
            </w:r>
          </w:p>
        </w:tc>
        <w:tc>
          <w:tcPr>
            <w:tcW w:w="834" w:type="dxa"/>
          </w:tcPr>
          <w:p>
            <w:pPr/>
          </w:p>
        </w:tc>
        <w:tc>
          <w:tcPr>
            <w:tcW w:w="1661" w:type="dxa"/>
          </w:tcPr>
          <w:p>
            <w:pPr/>
          </w:p>
        </w:tc>
        <w:tc>
          <w:tcPr>
            <w:tcW w:w="1380" w:type="dxa"/>
          </w:tcPr>
          <w:p>
            <w:pPr/>
          </w:p>
        </w:tc>
        <w:tc>
          <w:tcPr>
            <w:tcW w:w="1380" w:type="dxa"/>
          </w:tcPr>
          <w:p>
            <w:pPr/>
          </w:p>
        </w:tc>
        <w:tc>
          <w:tcPr>
            <w:tcW w:w="1099" w:type="dxa"/>
          </w:tcPr>
          <w:p>
            <w:pPr/>
          </w:p>
        </w:tc>
      </w:tr>
      <w:tr>
        <w:trPr>
          <w:trHeight w:val="233" w:hRule="exact"/>
        </w:trPr>
        <w:tc>
          <w:tcPr>
            <w:tcW w:w="3557" w:type="dxa"/>
          </w:tcPr>
          <w:p>
            <w:pPr>
              <w:pStyle w:val="TableParagraph"/>
              <w:spacing w:line="197" w:lineRule="exact"/>
              <w:ind w:left="35" w:right="328"/>
              <w:rPr>
                <w:i/>
                <w:sz w:val="18"/>
              </w:rPr>
            </w:pPr>
            <w:r>
              <w:rPr>
                <w:i/>
                <w:sz w:val="18"/>
              </w:rPr>
              <w:t>Statement</w:t>
            </w:r>
          </w:p>
        </w:tc>
        <w:tc>
          <w:tcPr>
            <w:tcW w:w="834" w:type="dxa"/>
          </w:tcPr>
          <w:p>
            <w:pPr/>
          </w:p>
        </w:tc>
        <w:tc>
          <w:tcPr>
            <w:tcW w:w="1661" w:type="dxa"/>
          </w:tcPr>
          <w:p>
            <w:pPr/>
          </w:p>
        </w:tc>
        <w:tc>
          <w:tcPr>
            <w:tcW w:w="1380" w:type="dxa"/>
          </w:tcPr>
          <w:p>
            <w:pPr/>
          </w:p>
        </w:tc>
        <w:tc>
          <w:tcPr>
            <w:tcW w:w="1380" w:type="dxa"/>
          </w:tcPr>
          <w:p>
            <w:pPr/>
          </w:p>
        </w:tc>
        <w:tc>
          <w:tcPr>
            <w:tcW w:w="1099" w:type="dxa"/>
          </w:tcPr>
          <w:p>
            <w:pPr/>
          </w:p>
        </w:tc>
      </w:tr>
      <w:tr>
        <w:trPr>
          <w:trHeight w:val="463" w:hRule="exact"/>
        </w:trPr>
        <w:tc>
          <w:tcPr>
            <w:tcW w:w="3557" w:type="dxa"/>
          </w:tcPr>
          <w:p>
            <w:pPr>
              <w:pStyle w:val="TableParagraph"/>
              <w:spacing w:before="16"/>
              <w:ind w:left="35" w:right="328"/>
              <w:rPr>
                <w:sz w:val="18"/>
              </w:rPr>
            </w:pPr>
            <w:r>
              <w:rPr>
                <w:sz w:val="18"/>
              </w:rPr>
              <w:t>Gain / (loss) on revaluation of available- for-sale financial assets</w:t>
            </w:r>
          </w:p>
        </w:tc>
        <w:tc>
          <w:tcPr>
            <w:tcW w:w="834" w:type="dxa"/>
          </w:tcPr>
          <w:p>
            <w:pPr>
              <w:pStyle w:val="TableParagraph"/>
              <w:spacing w:before="2"/>
              <w:rPr>
                <w:b/>
                <w:sz w:val="19"/>
              </w:rPr>
            </w:pPr>
          </w:p>
          <w:p>
            <w:pPr>
              <w:pStyle w:val="TableParagraph"/>
              <w:ind w:right="76"/>
              <w:jc w:val="right"/>
              <w:rPr>
                <w:sz w:val="18"/>
              </w:rPr>
            </w:pPr>
            <w:r>
              <w:rPr>
                <w:sz w:val="18"/>
              </w:rPr>
              <w:t>29(b)</w:t>
            </w:r>
          </w:p>
        </w:tc>
        <w:tc>
          <w:tcPr>
            <w:tcW w:w="1661" w:type="dxa"/>
            <w:tcBorders>
              <w:bottom w:val="single" w:sz="1" w:space="0" w:color="000000"/>
            </w:tcBorders>
          </w:tcPr>
          <w:p>
            <w:pPr>
              <w:pStyle w:val="TableParagraph"/>
              <w:spacing w:before="2"/>
              <w:rPr>
                <w:b/>
                <w:sz w:val="19"/>
              </w:rPr>
            </w:pPr>
          </w:p>
          <w:p>
            <w:pPr>
              <w:pStyle w:val="TableParagraph"/>
              <w:ind w:right="283"/>
              <w:jc w:val="right"/>
              <w:rPr>
                <w:b/>
                <w:sz w:val="18"/>
              </w:rPr>
            </w:pPr>
            <w:r>
              <w:rPr>
                <w:b/>
                <w:w w:val="95"/>
                <w:sz w:val="18"/>
              </w:rPr>
              <w:t>2,733</w:t>
            </w:r>
          </w:p>
        </w:tc>
        <w:tc>
          <w:tcPr>
            <w:tcW w:w="1380" w:type="dxa"/>
            <w:tcBorders>
              <w:bottom w:val="single" w:sz="1" w:space="0" w:color="000000"/>
            </w:tcBorders>
          </w:tcPr>
          <w:p>
            <w:pPr>
              <w:pStyle w:val="TableParagraph"/>
              <w:spacing w:before="2"/>
              <w:rPr>
                <w:b/>
                <w:sz w:val="19"/>
              </w:rPr>
            </w:pPr>
          </w:p>
          <w:p>
            <w:pPr>
              <w:pStyle w:val="TableParagraph"/>
              <w:ind w:left="556"/>
              <w:rPr>
                <w:sz w:val="18"/>
              </w:rPr>
            </w:pPr>
            <w:r>
              <w:rPr>
                <w:sz w:val="18"/>
              </w:rPr>
              <w:t>4,724</w:t>
            </w:r>
          </w:p>
        </w:tc>
        <w:tc>
          <w:tcPr>
            <w:tcW w:w="1380" w:type="dxa"/>
            <w:tcBorders>
              <w:bottom w:val="single" w:sz="1" w:space="0" w:color="000000"/>
            </w:tcBorders>
          </w:tcPr>
          <w:p>
            <w:pPr>
              <w:pStyle w:val="TableParagraph"/>
              <w:spacing w:before="2"/>
              <w:rPr>
                <w:b/>
                <w:sz w:val="19"/>
              </w:rPr>
            </w:pPr>
          </w:p>
          <w:p>
            <w:pPr>
              <w:pStyle w:val="TableParagraph"/>
              <w:ind w:right="283"/>
              <w:jc w:val="right"/>
              <w:rPr>
                <w:b/>
                <w:sz w:val="18"/>
              </w:rPr>
            </w:pPr>
            <w:r>
              <w:rPr>
                <w:b/>
                <w:w w:val="95"/>
                <w:sz w:val="18"/>
              </w:rPr>
              <w:t>2,733</w:t>
            </w:r>
          </w:p>
        </w:tc>
        <w:tc>
          <w:tcPr>
            <w:tcW w:w="1099" w:type="dxa"/>
            <w:tcBorders>
              <w:bottom w:val="single" w:sz="1" w:space="0" w:color="000000"/>
            </w:tcBorders>
          </w:tcPr>
          <w:p>
            <w:pPr>
              <w:pStyle w:val="TableParagraph"/>
              <w:spacing w:before="2"/>
              <w:rPr>
                <w:b/>
                <w:sz w:val="19"/>
              </w:rPr>
            </w:pPr>
          </w:p>
          <w:p>
            <w:pPr>
              <w:pStyle w:val="TableParagraph"/>
              <w:ind w:right="87"/>
              <w:jc w:val="right"/>
              <w:rPr>
                <w:sz w:val="18"/>
              </w:rPr>
            </w:pPr>
            <w:r>
              <w:rPr>
                <w:w w:val="95"/>
                <w:sz w:val="18"/>
              </w:rPr>
              <w:t>4,724</w:t>
            </w:r>
          </w:p>
        </w:tc>
      </w:tr>
      <w:tr>
        <w:trPr>
          <w:trHeight w:val="338" w:hRule="exact"/>
        </w:trPr>
        <w:tc>
          <w:tcPr>
            <w:tcW w:w="3557" w:type="dxa"/>
          </w:tcPr>
          <w:p>
            <w:pPr>
              <w:pStyle w:val="TableParagraph"/>
              <w:spacing w:before="125"/>
              <w:ind w:left="35" w:right="328"/>
              <w:rPr>
                <w:b/>
                <w:sz w:val="18"/>
              </w:rPr>
            </w:pPr>
            <w:r>
              <w:rPr>
                <w:b/>
                <w:sz w:val="18"/>
              </w:rPr>
              <w:t>Total</w:t>
            </w:r>
          </w:p>
        </w:tc>
        <w:tc>
          <w:tcPr>
            <w:tcW w:w="834" w:type="dxa"/>
          </w:tcPr>
          <w:p>
            <w:pPr/>
          </w:p>
        </w:tc>
        <w:tc>
          <w:tcPr>
            <w:tcW w:w="1661" w:type="dxa"/>
            <w:tcBorders>
              <w:top w:val="single" w:sz="1" w:space="0" w:color="000000"/>
              <w:bottom w:val="single" w:sz="1" w:space="0" w:color="000000"/>
            </w:tcBorders>
          </w:tcPr>
          <w:p>
            <w:pPr>
              <w:pStyle w:val="TableParagraph"/>
              <w:spacing w:before="124"/>
              <w:ind w:right="283"/>
              <w:jc w:val="right"/>
              <w:rPr>
                <w:b/>
                <w:sz w:val="18"/>
              </w:rPr>
            </w:pPr>
            <w:r>
              <w:rPr>
                <w:b/>
                <w:w w:val="95"/>
                <w:sz w:val="18"/>
              </w:rPr>
              <w:t>2,733</w:t>
            </w:r>
          </w:p>
        </w:tc>
        <w:tc>
          <w:tcPr>
            <w:tcW w:w="1380" w:type="dxa"/>
            <w:tcBorders>
              <w:top w:val="single" w:sz="1" w:space="0" w:color="000000"/>
              <w:bottom w:val="single" w:sz="1" w:space="0" w:color="000000"/>
            </w:tcBorders>
          </w:tcPr>
          <w:p>
            <w:pPr>
              <w:pStyle w:val="TableParagraph"/>
              <w:spacing w:before="124"/>
              <w:ind w:left="556"/>
              <w:rPr>
                <w:sz w:val="18"/>
              </w:rPr>
            </w:pPr>
            <w:r>
              <w:rPr>
                <w:sz w:val="18"/>
              </w:rPr>
              <w:t>4,724</w:t>
            </w:r>
          </w:p>
        </w:tc>
        <w:tc>
          <w:tcPr>
            <w:tcW w:w="1380" w:type="dxa"/>
            <w:tcBorders>
              <w:top w:val="single" w:sz="1" w:space="0" w:color="000000"/>
              <w:bottom w:val="single" w:sz="1" w:space="0" w:color="000000"/>
            </w:tcBorders>
          </w:tcPr>
          <w:p>
            <w:pPr>
              <w:pStyle w:val="TableParagraph"/>
              <w:spacing w:before="124"/>
              <w:ind w:right="283"/>
              <w:jc w:val="right"/>
              <w:rPr>
                <w:b/>
                <w:sz w:val="18"/>
              </w:rPr>
            </w:pPr>
            <w:r>
              <w:rPr>
                <w:b/>
                <w:w w:val="95"/>
                <w:sz w:val="18"/>
              </w:rPr>
              <w:t>2,733</w:t>
            </w:r>
          </w:p>
        </w:tc>
        <w:tc>
          <w:tcPr>
            <w:tcW w:w="1099" w:type="dxa"/>
            <w:tcBorders>
              <w:top w:val="single" w:sz="1" w:space="0" w:color="000000"/>
              <w:bottom w:val="single" w:sz="1" w:space="0" w:color="000000"/>
            </w:tcBorders>
          </w:tcPr>
          <w:p>
            <w:pPr>
              <w:pStyle w:val="TableParagraph"/>
              <w:spacing w:before="124"/>
              <w:ind w:right="87"/>
              <w:jc w:val="right"/>
              <w:rPr>
                <w:sz w:val="18"/>
              </w:rPr>
            </w:pPr>
            <w:r>
              <w:rPr>
                <w:w w:val="95"/>
                <w:sz w:val="18"/>
              </w:rPr>
              <w:t>4,724</w:t>
            </w:r>
          </w:p>
        </w:tc>
      </w:tr>
      <w:tr>
        <w:trPr>
          <w:trHeight w:val="514" w:hRule="exact"/>
        </w:trPr>
        <w:tc>
          <w:tcPr>
            <w:tcW w:w="3557" w:type="dxa"/>
          </w:tcPr>
          <w:p>
            <w:pPr>
              <w:pStyle w:val="TableParagraph"/>
              <w:spacing w:before="10"/>
              <w:rPr>
                <w:b/>
                <w:sz w:val="25"/>
              </w:rPr>
            </w:pPr>
          </w:p>
          <w:p>
            <w:pPr>
              <w:pStyle w:val="TableParagraph"/>
              <w:ind w:left="35" w:right="328"/>
              <w:rPr>
                <w:i/>
                <w:sz w:val="18"/>
              </w:rPr>
            </w:pPr>
            <w:r>
              <w:rPr>
                <w:i/>
                <w:sz w:val="18"/>
              </w:rPr>
              <w:t>Items that will not be reclassified to</w:t>
            </w:r>
          </w:p>
        </w:tc>
        <w:tc>
          <w:tcPr>
            <w:tcW w:w="834" w:type="dxa"/>
          </w:tcPr>
          <w:p>
            <w:pPr/>
          </w:p>
        </w:tc>
        <w:tc>
          <w:tcPr>
            <w:tcW w:w="1661"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99" w:type="dxa"/>
            <w:tcBorders>
              <w:top w:val="single" w:sz="1" w:space="0" w:color="000000"/>
            </w:tcBorders>
          </w:tcPr>
          <w:p>
            <w:pPr/>
          </w:p>
        </w:tc>
      </w:tr>
      <w:tr>
        <w:trPr>
          <w:trHeight w:val="233" w:hRule="exact"/>
        </w:trPr>
        <w:tc>
          <w:tcPr>
            <w:tcW w:w="3557" w:type="dxa"/>
          </w:tcPr>
          <w:p>
            <w:pPr>
              <w:pStyle w:val="TableParagraph"/>
              <w:spacing w:line="197" w:lineRule="exact"/>
              <w:ind w:left="35" w:right="328"/>
              <w:rPr>
                <w:i/>
                <w:sz w:val="18"/>
              </w:rPr>
            </w:pPr>
            <w:r>
              <w:rPr>
                <w:i/>
                <w:sz w:val="18"/>
              </w:rPr>
              <w:t>Income Statement</w:t>
            </w:r>
          </w:p>
        </w:tc>
        <w:tc>
          <w:tcPr>
            <w:tcW w:w="834" w:type="dxa"/>
          </w:tcPr>
          <w:p>
            <w:pPr/>
          </w:p>
        </w:tc>
        <w:tc>
          <w:tcPr>
            <w:tcW w:w="1661" w:type="dxa"/>
          </w:tcPr>
          <w:p>
            <w:pPr/>
          </w:p>
        </w:tc>
        <w:tc>
          <w:tcPr>
            <w:tcW w:w="1380" w:type="dxa"/>
          </w:tcPr>
          <w:p>
            <w:pPr/>
          </w:p>
        </w:tc>
        <w:tc>
          <w:tcPr>
            <w:tcW w:w="1380" w:type="dxa"/>
          </w:tcPr>
          <w:p>
            <w:pPr/>
          </w:p>
        </w:tc>
        <w:tc>
          <w:tcPr>
            <w:tcW w:w="1099" w:type="dxa"/>
          </w:tcPr>
          <w:p>
            <w:pPr/>
          </w:p>
        </w:tc>
      </w:tr>
      <w:tr>
        <w:trPr>
          <w:trHeight w:val="466" w:hRule="exact"/>
        </w:trPr>
        <w:tc>
          <w:tcPr>
            <w:tcW w:w="3557" w:type="dxa"/>
          </w:tcPr>
          <w:p>
            <w:pPr>
              <w:pStyle w:val="TableParagraph"/>
              <w:spacing w:before="16"/>
              <w:ind w:left="35" w:right="328"/>
              <w:rPr>
                <w:sz w:val="18"/>
              </w:rPr>
            </w:pPr>
            <w:r>
              <w:rPr>
                <w:sz w:val="18"/>
              </w:rPr>
              <w:t>Gain / (loss) on revaluation of land and buildings</w:t>
            </w:r>
          </w:p>
        </w:tc>
        <w:tc>
          <w:tcPr>
            <w:tcW w:w="834" w:type="dxa"/>
          </w:tcPr>
          <w:p>
            <w:pPr>
              <w:pStyle w:val="TableParagraph"/>
              <w:spacing w:before="2"/>
              <w:rPr>
                <w:b/>
                <w:sz w:val="19"/>
              </w:rPr>
            </w:pPr>
          </w:p>
          <w:p>
            <w:pPr>
              <w:pStyle w:val="TableParagraph"/>
              <w:ind w:right="76"/>
              <w:jc w:val="right"/>
              <w:rPr>
                <w:sz w:val="18"/>
              </w:rPr>
            </w:pPr>
            <w:r>
              <w:rPr>
                <w:sz w:val="18"/>
              </w:rPr>
              <w:t>29(b)</w:t>
            </w:r>
          </w:p>
        </w:tc>
        <w:tc>
          <w:tcPr>
            <w:tcW w:w="1661" w:type="dxa"/>
          </w:tcPr>
          <w:p>
            <w:pPr>
              <w:pStyle w:val="TableParagraph"/>
              <w:spacing w:before="2"/>
              <w:rPr>
                <w:b/>
                <w:sz w:val="19"/>
              </w:rPr>
            </w:pPr>
          </w:p>
          <w:p>
            <w:pPr>
              <w:pStyle w:val="TableParagraph"/>
              <w:ind w:right="283"/>
              <w:jc w:val="right"/>
              <w:rPr>
                <w:b/>
                <w:sz w:val="18"/>
              </w:rPr>
            </w:pPr>
            <w:r>
              <w:rPr>
                <w:b/>
                <w:w w:val="95"/>
                <w:sz w:val="18"/>
              </w:rPr>
              <w:t>200,303</w:t>
            </w:r>
          </w:p>
        </w:tc>
        <w:tc>
          <w:tcPr>
            <w:tcW w:w="1380" w:type="dxa"/>
          </w:tcPr>
          <w:p>
            <w:pPr>
              <w:pStyle w:val="TableParagraph"/>
              <w:spacing w:before="2"/>
              <w:rPr>
                <w:b/>
                <w:sz w:val="19"/>
              </w:rPr>
            </w:pPr>
          </w:p>
          <w:p>
            <w:pPr>
              <w:pStyle w:val="TableParagraph"/>
              <w:ind w:left="455"/>
              <w:rPr>
                <w:sz w:val="18"/>
              </w:rPr>
            </w:pPr>
            <w:r>
              <w:rPr>
                <w:sz w:val="18"/>
              </w:rPr>
              <w:t>18,900</w:t>
            </w:r>
          </w:p>
        </w:tc>
        <w:tc>
          <w:tcPr>
            <w:tcW w:w="1380" w:type="dxa"/>
          </w:tcPr>
          <w:p>
            <w:pPr>
              <w:pStyle w:val="TableParagraph"/>
              <w:spacing w:before="2"/>
              <w:rPr>
                <w:b/>
                <w:sz w:val="19"/>
              </w:rPr>
            </w:pPr>
          </w:p>
          <w:p>
            <w:pPr>
              <w:pStyle w:val="TableParagraph"/>
              <w:ind w:right="283"/>
              <w:jc w:val="right"/>
              <w:rPr>
                <w:b/>
                <w:sz w:val="18"/>
              </w:rPr>
            </w:pPr>
            <w:r>
              <w:rPr>
                <w:b/>
                <w:w w:val="95"/>
                <w:sz w:val="18"/>
              </w:rPr>
              <w:t>200,303</w:t>
            </w:r>
          </w:p>
        </w:tc>
        <w:tc>
          <w:tcPr>
            <w:tcW w:w="1099" w:type="dxa"/>
          </w:tcPr>
          <w:p>
            <w:pPr>
              <w:pStyle w:val="TableParagraph"/>
              <w:spacing w:before="2"/>
              <w:rPr>
                <w:b/>
                <w:sz w:val="19"/>
              </w:rPr>
            </w:pPr>
          </w:p>
          <w:p>
            <w:pPr>
              <w:pStyle w:val="TableParagraph"/>
              <w:ind w:right="87"/>
              <w:jc w:val="right"/>
              <w:rPr>
                <w:sz w:val="18"/>
              </w:rPr>
            </w:pPr>
            <w:r>
              <w:rPr>
                <w:w w:val="95"/>
                <w:sz w:val="18"/>
              </w:rPr>
              <w:t>18,879</w:t>
            </w:r>
          </w:p>
        </w:tc>
      </w:tr>
      <w:tr>
        <w:trPr>
          <w:trHeight w:val="466" w:hRule="exact"/>
        </w:trPr>
        <w:tc>
          <w:tcPr>
            <w:tcW w:w="3557" w:type="dxa"/>
          </w:tcPr>
          <w:p>
            <w:pPr>
              <w:pStyle w:val="TableParagraph"/>
              <w:spacing w:before="16"/>
              <w:ind w:left="35" w:right="890"/>
              <w:rPr>
                <w:sz w:val="18"/>
              </w:rPr>
            </w:pPr>
            <w:r>
              <w:rPr>
                <w:sz w:val="18"/>
              </w:rPr>
              <w:t>Gain / (loss) on revaluation of art collection</w:t>
            </w:r>
          </w:p>
        </w:tc>
        <w:tc>
          <w:tcPr>
            <w:tcW w:w="834" w:type="dxa"/>
          </w:tcPr>
          <w:p>
            <w:pPr>
              <w:pStyle w:val="TableParagraph"/>
              <w:spacing w:before="2"/>
              <w:rPr>
                <w:b/>
                <w:sz w:val="19"/>
              </w:rPr>
            </w:pPr>
          </w:p>
          <w:p>
            <w:pPr>
              <w:pStyle w:val="TableParagraph"/>
              <w:ind w:right="76"/>
              <w:jc w:val="right"/>
              <w:rPr>
                <w:sz w:val="18"/>
              </w:rPr>
            </w:pPr>
            <w:r>
              <w:rPr>
                <w:sz w:val="18"/>
              </w:rPr>
              <w:t>29(b)</w:t>
            </w:r>
          </w:p>
        </w:tc>
        <w:tc>
          <w:tcPr>
            <w:tcW w:w="1661" w:type="dxa"/>
          </w:tcPr>
          <w:p>
            <w:pPr>
              <w:pStyle w:val="TableParagraph"/>
              <w:spacing w:before="2"/>
              <w:rPr>
                <w:b/>
                <w:sz w:val="19"/>
              </w:rPr>
            </w:pPr>
          </w:p>
          <w:p>
            <w:pPr>
              <w:pStyle w:val="TableParagraph"/>
              <w:ind w:right="223"/>
              <w:jc w:val="right"/>
              <w:rPr>
                <w:b/>
                <w:sz w:val="18"/>
              </w:rPr>
            </w:pPr>
            <w:r>
              <w:rPr>
                <w:b/>
                <w:sz w:val="18"/>
              </w:rPr>
              <w:t>(3)</w:t>
            </w:r>
          </w:p>
        </w:tc>
        <w:tc>
          <w:tcPr>
            <w:tcW w:w="1380" w:type="dxa"/>
          </w:tcPr>
          <w:p>
            <w:pPr>
              <w:pStyle w:val="TableParagraph"/>
              <w:spacing w:before="2"/>
              <w:rPr>
                <w:b/>
                <w:sz w:val="19"/>
              </w:rPr>
            </w:pPr>
          </w:p>
          <w:p>
            <w:pPr>
              <w:pStyle w:val="TableParagraph"/>
              <w:ind w:right="367"/>
              <w:jc w:val="right"/>
              <w:rPr>
                <w:sz w:val="18"/>
              </w:rPr>
            </w:pPr>
            <w:r>
              <w:rPr>
                <w:w w:val="95"/>
                <w:sz w:val="18"/>
              </w:rPr>
              <w:t>986</w:t>
            </w:r>
          </w:p>
        </w:tc>
        <w:tc>
          <w:tcPr>
            <w:tcW w:w="1380" w:type="dxa"/>
          </w:tcPr>
          <w:p>
            <w:pPr>
              <w:pStyle w:val="TableParagraph"/>
              <w:spacing w:before="2"/>
              <w:rPr>
                <w:b/>
                <w:sz w:val="19"/>
              </w:rPr>
            </w:pPr>
          </w:p>
          <w:p>
            <w:pPr>
              <w:pStyle w:val="TableParagraph"/>
              <w:ind w:right="223"/>
              <w:jc w:val="right"/>
              <w:rPr>
                <w:b/>
                <w:sz w:val="18"/>
              </w:rPr>
            </w:pPr>
            <w:r>
              <w:rPr>
                <w:b/>
                <w:sz w:val="18"/>
              </w:rPr>
              <w:t>(3)</w:t>
            </w:r>
          </w:p>
        </w:tc>
        <w:tc>
          <w:tcPr>
            <w:tcW w:w="1099" w:type="dxa"/>
          </w:tcPr>
          <w:p>
            <w:pPr>
              <w:pStyle w:val="TableParagraph"/>
              <w:spacing w:before="2"/>
              <w:rPr>
                <w:b/>
                <w:sz w:val="19"/>
              </w:rPr>
            </w:pPr>
          </w:p>
          <w:p>
            <w:pPr>
              <w:pStyle w:val="TableParagraph"/>
              <w:ind w:right="86"/>
              <w:jc w:val="right"/>
              <w:rPr>
                <w:sz w:val="18"/>
              </w:rPr>
            </w:pPr>
            <w:r>
              <w:rPr>
                <w:w w:val="95"/>
                <w:sz w:val="18"/>
              </w:rPr>
              <w:t>986</w:t>
            </w:r>
          </w:p>
        </w:tc>
      </w:tr>
      <w:tr>
        <w:trPr>
          <w:trHeight w:val="263" w:hRule="exact"/>
        </w:trPr>
        <w:tc>
          <w:tcPr>
            <w:tcW w:w="3557" w:type="dxa"/>
          </w:tcPr>
          <w:p>
            <w:pPr>
              <w:pStyle w:val="TableParagraph"/>
              <w:spacing w:before="16"/>
              <w:ind w:left="35" w:right="328"/>
              <w:rPr>
                <w:sz w:val="18"/>
              </w:rPr>
            </w:pPr>
            <w:r>
              <w:rPr>
                <w:sz w:val="18"/>
              </w:rPr>
              <w:t>Gain / (loss) on revaluation of livestock</w:t>
            </w:r>
          </w:p>
        </w:tc>
        <w:tc>
          <w:tcPr>
            <w:tcW w:w="834" w:type="dxa"/>
          </w:tcPr>
          <w:p>
            <w:pPr>
              <w:pStyle w:val="TableParagraph"/>
              <w:spacing w:before="19"/>
              <w:ind w:right="76"/>
              <w:jc w:val="right"/>
              <w:rPr>
                <w:sz w:val="18"/>
              </w:rPr>
            </w:pPr>
            <w:r>
              <w:rPr>
                <w:sz w:val="18"/>
              </w:rPr>
              <w:t>29(b)</w:t>
            </w:r>
          </w:p>
        </w:tc>
        <w:tc>
          <w:tcPr>
            <w:tcW w:w="1661" w:type="dxa"/>
          </w:tcPr>
          <w:p>
            <w:pPr>
              <w:pStyle w:val="TableParagraph"/>
              <w:spacing w:before="19"/>
              <w:ind w:right="283"/>
              <w:jc w:val="right"/>
              <w:rPr>
                <w:b/>
                <w:sz w:val="18"/>
              </w:rPr>
            </w:pPr>
            <w:r>
              <w:rPr>
                <w:b/>
                <w:sz w:val="18"/>
              </w:rPr>
              <w:t>48</w:t>
            </w:r>
          </w:p>
        </w:tc>
        <w:tc>
          <w:tcPr>
            <w:tcW w:w="1380" w:type="dxa"/>
          </w:tcPr>
          <w:p>
            <w:pPr>
              <w:pStyle w:val="TableParagraph"/>
              <w:spacing w:before="19"/>
              <w:ind w:right="307"/>
              <w:jc w:val="right"/>
              <w:rPr>
                <w:sz w:val="18"/>
              </w:rPr>
            </w:pPr>
            <w:r>
              <w:rPr>
                <w:sz w:val="18"/>
              </w:rPr>
              <w:t>(214)</w:t>
            </w:r>
          </w:p>
        </w:tc>
        <w:tc>
          <w:tcPr>
            <w:tcW w:w="1380" w:type="dxa"/>
          </w:tcPr>
          <w:p>
            <w:pPr>
              <w:pStyle w:val="TableParagraph"/>
              <w:spacing w:before="19"/>
              <w:ind w:right="283"/>
              <w:jc w:val="right"/>
              <w:rPr>
                <w:b/>
                <w:sz w:val="18"/>
              </w:rPr>
            </w:pPr>
            <w:r>
              <w:rPr>
                <w:b/>
                <w:sz w:val="18"/>
              </w:rPr>
              <w:t>48</w:t>
            </w:r>
          </w:p>
        </w:tc>
        <w:tc>
          <w:tcPr>
            <w:tcW w:w="1099" w:type="dxa"/>
          </w:tcPr>
          <w:p>
            <w:pPr>
              <w:pStyle w:val="TableParagraph"/>
              <w:spacing w:before="19"/>
              <w:ind w:right="26"/>
              <w:jc w:val="right"/>
              <w:rPr>
                <w:sz w:val="18"/>
              </w:rPr>
            </w:pPr>
            <w:r>
              <w:rPr>
                <w:w w:val="95"/>
                <w:sz w:val="18"/>
              </w:rPr>
              <w:t>(214)</w:t>
            </w:r>
          </w:p>
        </w:tc>
      </w:tr>
      <w:tr>
        <w:trPr>
          <w:trHeight w:val="464" w:hRule="exact"/>
        </w:trPr>
        <w:tc>
          <w:tcPr>
            <w:tcW w:w="3557" w:type="dxa"/>
          </w:tcPr>
          <w:p>
            <w:pPr>
              <w:pStyle w:val="TableParagraph"/>
              <w:spacing w:before="18"/>
              <w:ind w:left="35" w:right="200"/>
              <w:rPr>
                <w:sz w:val="18"/>
              </w:rPr>
            </w:pPr>
            <w:r>
              <w:rPr>
                <w:sz w:val="18"/>
              </w:rPr>
              <w:t>Net actuarial gains / (losses) recognised in respect of Defined Benefit Plans</w:t>
            </w:r>
          </w:p>
        </w:tc>
        <w:tc>
          <w:tcPr>
            <w:tcW w:w="834" w:type="dxa"/>
          </w:tcPr>
          <w:p>
            <w:pPr>
              <w:pStyle w:val="TableParagraph"/>
              <w:spacing w:before="3"/>
              <w:rPr>
                <w:b/>
                <w:sz w:val="19"/>
              </w:rPr>
            </w:pPr>
          </w:p>
          <w:p>
            <w:pPr>
              <w:pStyle w:val="TableParagraph"/>
              <w:ind w:right="76"/>
              <w:jc w:val="right"/>
              <w:rPr>
                <w:sz w:val="18"/>
              </w:rPr>
            </w:pPr>
            <w:r>
              <w:rPr>
                <w:sz w:val="18"/>
              </w:rPr>
              <w:t>29(b)</w:t>
            </w:r>
          </w:p>
        </w:tc>
        <w:tc>
          <w:tcPr>
            <w:tcW w:w="1661" w:type="dxa"/>
            <w:tcBorders>
              <w:bottom w:val="single" w:sz="1" w:space="0" w:color="000000"/>
            </w:tcBorders>
          </w:tcPr>
          <w:p>
            <w:pPr>
              <w:pStyle w:val="TableParagraph"/>
              <w:spacing w:before="3"/>
              <w:rPr>
                <w:b/>
                <w:sz w:val="19"/>
              </w:rPr>
            </w:pPr>
          </w:p>
          <w:p>
            <w:pPr>
              <w:pStyle w:val="TableParagraph"/>
              <w:ind w:right="223"/>
              <w:jc w:val="right"/>
              <w:rPr>
                <w:b/>
                <w:sz w:val="18"/>
              </w:rPr>
            </w:pPr>
            <w:r>
              <w:rPr>
                <w:b/>
                <w:w w:val="95"/>
                <w:sz w:val="18"/>
              </w:rPr>
              <w:t>(1,447)</w:t>
            </w:r>
          </w:p>
        </w:tc>
        <w:tc>
          <w:tcPr>
            <w:tcW w:w="1380" w:type="dxa"/>
            <w:tcBorders>
              <w:bottom w:val="single" w:sz="1" w:space="0" w:color="000000"/>
            </w:tcBorders>
          </w:tcPr>
          <w:p>
            <w:pPr>
              <w:pStyle w:val="TableParagraph"/>
              <w:spacing w:before="3"/>
              <w:rPr>
                <w:b/>
                <w:sz w:val="19"/>
              </w:rPr>
            </w:pPr>
          </w:p>
          <w:p>
            <w:pPr>
              <w:pStyle w:val="TableParagraph"/>
              <w:ind w:right="307"/>
              <w:jc w:val="right"/>
              <w:rPr>
                <w:sz w:val="18"/>
              </w:rPr>
            </w:pPr>
            <w:r>
              <w:rPr>
                <w:sz w:val="18"/>
              </w:rPr>
              <w:t>(366)</w:t>
            </w:r>
          </w:p>
        </w:tc>
        <w:tc>
          <w:tcPr>
            <w:tcW w:w="1380" w:type="dxa"/>
            <w:tcBorders>
              <w:bottom w:val="single" w:sz="1" w:space="0" w:color="000000"/>
            </w:tcBorders>
          </w:tcPr>
          <w:p>
            <w:pPr>
              <w:pStyle w:val="TableParagraph"/>
              <w:spacing w:before="3"/>
              <w:rPr>
                <w:b/>
                <w:sz w:val="19"/>
              </w:rPr>
            </w:pPr>
          </w:p>
          <w:p>
            <w:pPr>
              <w:pStyle w:val="TableParagraph"/>
              <w:ind w:right="223"/>
              <w:jc w:val="right"/>
              <w:rPr>
                <w:b/>
                <w:sz w:val="18"/>
              </w:rPr>
            </w:pPr>
            <w:r>
              <w:rPr>
                <w:b/>
                <w:w w:val="95"/>
                <w:sz w:val="18"/>
              </w:rPr>
              <w:t>(1,447)</w:t>
            </w:r>
          </w:p>
        </w:tc>
        <w:tc>
          <w:tcPr>
            <w:tcW w:w="1099" w:type="dxa"/>
            <w:tcBorders>
              <w:bottom w:val="single" w:sz="1" w:space="0" w:color="000000"/>
            </w:tcBorders>
          </w:tcPr>
          <w:p>
            <w:pPr>
              <w:pStyle w:val="TableParagraph"/>
              <w:spacing w:before="3"/>
              <w:rPr>
                <w:b/>
                <w:sz w:val="19"/>
              </w:rPr>
            </w:pPr>
          </w:p>
          <w:p>
            <w:pPr>
              <w:pStyle w:val="TableParagraph"/>
              <w:ind w:right="26"/>
              <w:jc w:val="right"/>
              <w:rPr>
                <w:sz w:val="18"/>
              </w:rPr>
            </w:pPr>
            <w:r>
              <w:rPr>
                <w:w w:val="95"/>
                <w:sz w:val="18"/>
              </w:rPr>
              <w:t>(366)</w:t>
            </w:r>
          </w:p>
        </w:tc>
      </w:tr>
      <w:tr>
        <w:trPr>
          <w:trHeight w:val="338" w:hRule="exact"/>
        </w:trPr>
        <w:tc>
          <w:tcPr>
            <w:tcW w:w="3557" w:type="dxa"/>
          </w:tcPr>
          <w:p>
            <w:pPr>
              <w:pStyle w:val="TableParagraph"/>
              <w:spacing w:before="125"/>
              <w:ind w:left="35" w:right="328"/>
              <w:rPr>
                <w:b/>
                <w:sz w:val="18"/>
              </w:rPr>
            </w:pPr>
            <w:r>
              <w:rPr>
                <w:b/>
                <w:sz w:val="18"/>
              </w:rPr>
              <w:t>Total</w:t>
            </w:r>
          </w:p>
        </w:tc>
        <w:tc>
          <w:tcPr>
            <w:tcW w:w="834" w:type="dxa"/>
          </w:tcPr>
          <w:p>
            <w:pPr/>
          </w:p>
        </w:tc>
        <w:tc>
          <w:tcPr>
            <w:tcW w:w="1661" w:type="dxa"/>
            <w:tcBorders>
              <w:top w:val="single" w:sz="1" w:space="0" w:color="000000"/>
              <w:bottom w:val="single" w:sz="1" w:space="0" w:color="000000"/>
            </w:tcBorders>
          </w:tcPr>
          <w:p>
            <w:pPr>
              <w:pStyle w:val="TableParagraph"/>
              <w:spacing w:before="124"/>
              <w:ind w:right="283"/>
              <w:jc w:val="right"/>
              <w:rPr>
                <w:b/>
                <w:sz w:val="18"/>
              </w:rPr>
            </w:pPr>
            <w:r>
              <w:rPr>
                <w:b/>
                <w:w w:val="95"/>
                <w:sz w:val="18"/>
              </w:rPr>
              <w:t>198,901</w:t>
            </w:r>
          </w:p>
        </w:tc>
        <w:tc>
          <w:tcPr>
            <w:tcW w:w="1380" w:type="dxa"/>
            <w:tcBorders>
              <w:top w:val="single" w:sz="1" w:space="0" w:color="000000"/>
              <w:bottom w:val="single" w:sz="1" w:space="0" w:color="000000"/>
            </w:tcBorders>
          </w:tcPr>
          <w:p>
            <w:pPr>
              <w:pStyle w:val="TableParagraph"/>
              <w:spacing w:before="124"/>
              <w:ind w:left="455"/>
              <w:rPr>
                <w:sz w:val="18"/>
              </w:rPr>
            </w:pPr>
            <w:r>
              <w:rPr>
                <w:sz w:val="18"/>
              </w:rPr>
              <w:t>19,306</w:t>
            </w:r>
          </w:p>
        </w:tc>
        <w:tc>
          <w:tcPr>
            <w:tcW w:w="1380" w:type="dxa"/>
            <w:tcBorders>
              <w:top w:val="single" w:sz="1" w:space="0" w:color="000000"/>
              <w:bottom w:val="single" w:sz="1" w:space="0" w:color="000000"/>
            </w:tcBorders>
          </w:tcPr>
          <w:p>
            <w:pPr>
              <w:pStyle w:val="TableParagraph"/>
              <w:spacing w:before="124"/>
              <w:ind w:right="283"/>
              <w:jc w:val="right"/>
              <w:rPr>
                <w:b/>
                <w:sz w:val="18"/>
              </w:rPr>
            </w:pPr>
            <w:r>
              <w:rPr>
                <w:b/>
                <w:w w:val="95"/>
                <w:sz w:val="18"/>
              </w:rPr>
              <w:t>198,901</w:t>
            </w:r>
          </w:p>
        </w:tc>
        <w:tc>
          <w:tcPr>
            <w:tcW w:w="1099" w:type="dxa"/>
            <w:tcBorders>
              <w:top w:val="single" w:sz="1" w:space="0" w:color="000000"/>
              <w:bottom w:val="single" w:sz="1" w:space="0" w:color="000000"/>
            </w:tcBorders>
          </w:tcPr>
          <w:p>
            <w:pPr>
              <w:pStyle w:val="TableParagraph"/>
              <w:spacing w:before="124"/>
              <w:ind w:right="87"/>
              <w:jc w:val="right"/>
              <w:rPr>
                <w:sz w:val="18"/>
              </w:rPr>
            </w:pPr>
            <w:r>
              <w:rPr>
                <w:w w:val="95"/>
                <w:sz w:val="18"/>
              </w:rPr>
              <w:t>19,285</w:t>
            </w:r>
          </w:p>
        </w:tc>
      </w:tr>
      <w:tr>
        <w:trPr>
          <w:trHeight w:val="338" w:hRule="exact"/>
        </w:trPr>
        <w:tc>
          <w:tcPr>
            <w:tcW w:w="3557" w:type="dxa"/>
          </w:tcPr>
          <w:p>
            <w:pPr>
              <w:pStyle w:val="TableParagraph"/>
              <w:spacing w:before="125"/>
              <w:ind w:left="35" w:right="328"/>
              <w:rPr>
                <w:b/>
                <w:sz w:val="18"/>
              </w:rPr>
            </w:pPr>
            <w:r>
              <w:rPr>
                <w:b/>
                <w:sz w:val="18"/>
              </w:rPr>
              <w:t>Total other comprehensive income</w:t>
            </w:r>
          </w:p>
        </w:tc>
        <w:tc>
          <w:tcPr>
            <w:tcW w:w="834" w:type="dxa"/>
          </w:tcPr>
          <w:p>
            <w:pPr/>
          </w:p>
        </w:tc>
        <w:tc>
          <w:tcPr>
            <w:tcW w:w="1661" w:type="dxa"/>
            <w:tcBorders>
              <w:top w:val="single" w:sz="1" w:space="0" w:color="000000"/>
              <w:bottom w:val="single" w:sz="1" w:space="0" w:color="000000"/>
            </w:tcBorders>
          </w:tcPr>
          <w:p>
            <w:pPr>
              <w:pStyle w:val="TableParagraph"/>
              <w:spacing w:before="124"/>
              <w:ind w:right="283"/>
              <w:jc w:val="right"/>
              <w:rPr>
                <w:b/>
                <w:sz w:val="18"/>
              </w:rPr>
            </w:pPr>
            <w:r>
              <w:rPr>
                <w:b/>
                <w:w w:val="95"/>
                <w:sz w:val="18"/>
              </w:rPr>
              <w:t>201,634</w:t>
            </w:r>
          </w:p>
        </w:tc>
        <w:tc>
          <w:tcPr>
            <w:tcW w:w="1380" w:type="dxa"/>
            <w:tcBorders>
              <w:top w:val="single" w:sz="1" w:space="0" w:color="000000"/>
              <w:bottom w:val="single" w:sz="1" w:space="0" w:color="000000"/>
            </w:tcBorders>
          </w:tcPr>
          <w:p>
            <w:pPr>
              <w:pStyle w:val="TableParagraph"/>
              <w:spacing w:before="124"/>
              <w:ind w:left="455"/>
              <w:rPr>
                <w:sz w:val="18"/>
              </w:rPr>
            </w:pPr>
            <w:r>
              <w:rPr>
                <w:sz w:val="18"/>
              </w:rPr>
              <w:t>24,030</w:t>
            </w:r>
          </w:p>
        </w:tc>
        <w:tc>
          <w:tcPr>
            <w:tcW w:w="1380" w:type="dxa"/>
            <w:tcBorders>
              <w:top w:val="single" w:sz="1" w:space="0" w:color="000000"/>
              <w:bottom w:val="single" w:sz="1" w:space="0" w:color="000000"/>
            </w:tcBorders>
          </w:tcPr>
          <w:p>
            <w:pPr>
              <w:pStyle w:val="TableParagraph"/>
              <w:spacing w:before="124"/>
              <w:ind w:right="283"/>
              <w:jc w:val="right"/>
              <w:rPr>
                <w:b/>
                <w:sz w:val="18"/>
              </w:rPr>
            </w:pPr>
            <w:r>
              <w:rPr>
                <w:b/>
                <w:w w:val="95"/>
                <w:sz w:val="18"/>
              </w:rPr>
              <w:t>201,634</w:t>
            </w:r>
          </w:p>
        </w:tc>
        <w:tc>
          <w:tcPr>
            <w:tcW w:w="1099" w:type="dxa"/>
            <w:tcBorders>
              <w:top w:val="single" w:sz="1" w:space="0" w:color="000000"/>
              <w:bottom w:val="single" w:sz="1" w:space="0" w:color="000000"/>
            </w:tcBorders>
          </w:tcPr>
          <w:p>
            <w:pPr>
              <w:pStyle w:val="TableParagraph"/>
              <w:spacing w:before="124"/>
              <w:ind w:right="87"/>
              <w:jc w:val="right"/>
              <w:rPr>
                <w:sz w:val="18"/>
              </w:rPr>
            </w:pPr>
            <w:r>
              <w:rPr>
                <w:w w:val="95"/>
                <w:sz w:val="18"/>
              </w:rPr>
              <w:t>24,009</w:t>
            </w:r>
          </w:p>
        </w:tc>
      </w:tr>
      <w:tr>
        <w:trPr>
          <w:trHeight w:val="347" w:hRule="exact"/>
        </w:trPr>
        <w:tc>
          <w:tcPr>
            <w:tcW w:w="3557" w:type="dxa"/>
          </w:tcPr>
          <w:p>
            <w:pPr>
              <w:pStyle w:val="TableParagraph"/>
              <w:spacing w:before="125"/>
              <w:ind w:left="35" w:right="328"/>
              <w:rPr>
                <w:b/>
                <w:sz w:val="18"/>
              </w:rPr>
            </w:pPr>
            <w:r>
              <w:rPr>
                <w:b/>
                <w:sz w:val="18"/>
              </w:rPr>
              <w:t>Comprehensive result</w:t>
            </w:r>
          </w:p>
        </w:tc>
        <w:tc>
          <w:tcPr>
            <w:tcW w:w="834" w:type="dxa"/>
          </w:tcPr>
          <w:p>
            <w:pPr/>
          </w:p>
        </w:tc>
        <w:tc>
          <w:tcPr>
            <w:tcW w:w="1661" w:type="dxa"/>
            <w:tcBorders>
              <w:top w:val="single" w:sz="1" w:space="0" w:color="000000"/>
              <w:bottom w:val="single" w:sz="1" w:space="0" w:color="000000"/>
            </w:tcBorders>
          </w:tcPr>
          <w:p>
            <w:pPr>
              <w:pStyle w:val="TableParagraph"/>
              <w:spacing w:before="124"/>
              <w:ind w:right="283"/>
              <w:jc w:val="right"/>
              <w:rPr>
                <w:b/>
                <w:sz w:val="18"/>
              </w:rPr>
            </w:pPr>
            <w:r>
              <w:rPr>
                <w:b/>
                <w:w w:val="95"/>
                <w:sz w:val="18"/>
              </w:rPr>
              <w:t>253,698</w:t>
            </w:r>
          </w:p>
        </w:tc>
        <w:tc>
          <w:tcPr>
            <w:tcW w:w="1380" w:type="dxa"/>
            <w:tcBorders>
              <w:top w:val="single" w:sz="1" w:space="0" w:color="000000"/>
              <w:bottom w:val="single" w:sz="1" w:space="0" w:color="000000"/>
            </w:tcBorders>
          </w:tcPr>
          <w:p>
            <w:pPr>
              <w:pStyle w:val="TableParagraph"/>
              <w:spacing w:before="124"/>
              <w:ind w:left="455"/>
              <w:rPr>
                <w:sz w:val="18"/>
              </w:rPr>
            </w:pPr>
            <w:r>
              <w:rPr>
                <w:sz w:val="18"/>
              </w:rPr>
              <w:t>58,867</w:t>
            </w:r>
          </w:p>
        </w:tc>
        <w:tc>
          <w:tcPr>
            <w:tcW w:w="1380" w:type="dxa"/>
            <w:tcBorders>
              <w:top w:val="single" w:sz="1" w:space="0" w:color="000000"/>
              <w:bottom w:val="single" w:sz="1" w:space="0" w:color="000000"/>
            </w:tcBorders>
          </w:tcPr>
          <w:p>
            <w:pPr>
              <w:pStyle w:val="TableParagraph"/>
              <w:spacing w:before="124"/>
              <w:ind w:right="283"/>
              <w:jc w:val="right"/>
              <w:rPr>
                <w:b/>
                <w:sz w:val="18"/>
              </w:rPr>
            </w:pPr>
            <w:r>
              <w:rPr>
                <w:b/>
                <w:w w:val="95"/>
                <w:sz w:val="18"/>
              </w:rPr>
              <w:t>250,096</w:t>
            </w:r>
          </w:p>
        </w:tc>
        <w:tc>
          <w:tcPr>
            <w:tcW w:w="1099" w:type="dxa"/>
            <w:tcBorders>
              <w:top w:val="single" w:sz="1" w:space="0" w:color="000000"/>
              <w:bottom w:val="single" w:sz="1" w:space="0" w:color="000000"/>
            </w:tcBorders>
          </w:tcPr>
          <w:p>
            <w:pPr>
              <w:pStyle w:val="TableParagraph"/>
              <w:spacing w:before="124"/>
              <w:ind w:right="87"/>
              <w:jc w:val="right"/>
              <w:rPr>
                <w:sz w:val="18"/>
              </w:rPr>
            </w:pPr>
            <w:r>
              <w:rPr>
                <w:w w:val="95"/>
                <w:sz w:val="18"/>
              </w:rPr>
              <w:t>60,027</w:t>
            </w:r>
          </w:p>
        </w:tc>
      </w:tr>
      <w:tr>
        <w:trPr>
          <w:trHeight w:val="362" w:hRule="exact"/>
        </w:trPr>
        <w:tc>
          <w:tcPr>
            <w:tcW w:w="3557" w:type="dxa"/>
          </w:tcPr>
          <w:p>
            <w:pPr>
              <w:pStyle w:val="TableParagraph"/>
              <w:spacing w:before="145"/>
              <w:ind w:left="35" w:right="328"/>
              <w:rPr>
                <w:b/>
                <w:sz w:val="18"/>
              </w:rPr>
            </w:pPr>
            <w:r>
              <w:rPr>
                <w:b/>
                <w:sz w:val="18"/>
              </w:rPr>
              <w:t>Total comprehensive income</w:t>
            </w:r>
          </w:p>
        </w:tc>
        <w:tc>
          <w:tcPr>
            <w:tcW w:w="834" w:type="dxa"/>
          </w:tcPr>
          <w:p>
            <w:pPr/>
          </w:p>
        </w:tc>
        <w:tc>
          <w:tcPr>
            <w:tcW w:w="1661"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99" w:type="dxa"/>
            <w:tcBorders>
              <w:top w:val="single" w:sz="1" w:space="0" w:color="000000"/>
            </w:tcBorders>
          </w:tcPr>
          <w:p>
            <w:pPr/>
          </w:p>
        </w:tc>
      </w:tr>
      <w:tr>
        <w:trPr>
          <w:trHeight w:val="206" w:hRule="exact"/>
        </w:trPr>
        <w:tc>
          <w:tcPr>
            <w:tcW w:w="3557" w:type="dxa"/>
          </w:tcPr>
          <w:p>
            <w:pPr>
              <w:pStyle w:val="TableParagraph"/>
              <w:spacing w:line="197" w:lineRule="exact"/>
              <w:ind w:left="35" w:right="328"/>
              <w:rPr>
                <w:b/>
                <w:sz w:val="18"/>
              </w:rPr>
            </w:pPr>
            <w:r>
              <w:rPr>
                <w:b/>
                <w:sz w:val="18"/>
              </w:rPr>
              <w:t>attributable to members of the</w:t>
            </w:r>
          </w:p>
        </w:tc>
        <w:tc>
          <w:tcPr>
            <w:tcW w:w="834" w:type="dxa"/>
          </w:tcPr>
          <w:p>
            <w:pPr/>
          </w:p>
        </w:tc>
        <w:tc>
          <w:tcPr>
            <w:tcW w:w="1661" w:type="dxa"/>
          </w:tcPr>
          <w:p>
            <w:pPr/>
          </w:p>
        </w:tc>
        <w:tc>
          <w:tcPr>
            <w:tcW w:w="1380" w:type="dxa"/>
          </w:tcPr>
          <w:p>
            <w:pPr/>
          </w:p>
        </w:tc>
        <w:tc>
          <w:tcPr>
            <w:tcW w:w="1380" w:type="dxa"/>
          </w:tcPr>
          <w:p>
            <w:pPr/>
          </w:p>
        </w:tc>
        <w:tc>
          <w:tcPr>
            <w:tcW w:w="1099" w:type="dxa"/>
          </w:tcPr>
          <w:p>
            <w:pPr/>
          </w:p>
        </w:tc>
      </w:tr>
      <w:tr>
        <w:trPr>
          <w:trHeight w:val="218" w:hRule="exact"/>
        </w:trPr>
        <w:tc>
          <w:tcPr>
            <w:tcW w:w="3557" w:type="dxa"/>
          </w:tcPr>
          <w:p>
            <w:pPr>
              <w:pStyle w:val="TableParagraph"/>
              <w:spacing w:line="197" w:lineRule="exact"/>
              <w:ind w:left="35" w:right="328"/>
              <w:rPr>
                <w:b/>
                <w:sz w:val="18"/>
              </w:rPr>
            </w:pPr>
            <w:r>
              <w:rPr>
                <w:b/>
                <w:sz w:val="18"/>
              </w:rPr>
              <w:t>University</w:t>
            </w:r>
          </w:p>
        </w:tc>
        <w:tc>
          <w:tcPr>
            <w:tcW w:w="834" w:type="dxa"/>
          </w:tcPr>
          <w:p>
            <w:pPr/>
          </w:p>
        </w:tc>
        <w:tc>
          <w:tcPr>
            <w:tcW w:w="1661" w:type="dxa"/>
            <w:tcBorders>
              <w:bottom w:val="single" w:sz="1" w:space="0" w:color="000000"/>
            </w:tcBorders>
          </w:tcPr>
          <w:p>
            <w:pPr>
              <w:pStyle w:val="TableParagraph"/>
              <w:spacing w:line="197" w:lineRule="exact"/>
              <w:ind w:right="283"/>
              <w:jc w:val="right"/>
              <w:rPr>
                <w:b/>
                <w:sz w:val="18"/>
              </w:rPr>
            </w:pPr>
            <w:r>
              <w:rPr>
                <w:b/>
                <w:w w:val="95"/>
                <w:sz w:val="18"/>
              </w:rPr>
              <w:t>253,698</w:t>
            </w:r>
          </w:p>
        </w:tc>
        <w:tc>
          <w:tcPr>
            <w:tcW w:w="1380" w:type="dxa"/>
            <w:tcBorders>
              <w:bottom w:val="single" w:sz="1" w:space="0" w:color="000000"/>
            </w:tcBorders>
          </w:tcPr>
          <w:p>
            <w:pPr>
              <w:pStyle w:val="TableParagraph"/>
              <w:spacing w:line="197" w:lineRule="exact"/>
              <w:ind w:left="455"/>
              <w:rPr>
                <w:sz w:val="18"/>
              </w:rPr>
            </w:pPr>
            <w:r>
              <w:rPr>
                <w:sz w:val="18"/>
              </w:rPr>
              <w:t>58,867</w:t>
            </w:r>
          </w:p>
        </w:tc>
        <w:tc>
          <w:tcPr>
            <w:tcW w:w="1380" w:type="dxa"/>
            <w:tcBorders>
              <w:bottom w:val="single" w:sz="1" w:space="0" w:color="000000"/>
            </w:tcBorders>
          </w:tcPr>
          <w:p>
            <w:pPr>
              <w:pStyle w:val="TableParagraph"/>
              <w:spacing w:line="197" w:lineRule="exact"/>
              <w:ind w:right="283"/>
              <w:jc w:val="right"/>
              <w:rPr>
                <w:b/>
                <w:sz w:val="18"/>
              </w:rPr>
            </w:pPr>
            <w:r>
              <w:rPr>
                <w:b/>
                <w:w w:val="95"/>
                <w:sz w:val="18"/>
              </w:rPr>
              <w:t>250,096</w:t>
            </w:r>
          </w:p>
        </w:tc>
        <w:tc>
          <w:tcPr>
            <w:tcW w:w="1099" w:type="dxa"/>
            <w:tcBorders>
              <w:bottom w:val="single" w:sz="1" w:space="0" w:color="000000"/>
            </w:tcBorders>
          </w:tcPr>
          <w:p>
            <w:pPr>
              <w:pStyle w:val="TableParagraph"/>
              <w:spacing w:line="197" w:lineRule="exact"/>
              <w:ind w:right="87"/>
              <w:jc w:val="right"/>
              <w:rPr>
                <w:sz w:val="18"/>
              </w:rPr>
            </w:pPr>
            <w:r>
              <w:rPr>
                <w:w w:val="95"/>
                <w:sz w:val="18"/>
              </w:rPr>
              <w:t>60,027</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6"/>
        </w:rPr>
      </w:pPr>
    </w:p>
    <w:p>
      <w:pPr>
        <w:pStyle w:val="BodyText"/>
        <w:spacing w:before="77"/>
        <w:ind w:left="127" w:right="161"/>
      </w:pPr>
      <w:r>
        <w:rPr/>
        <w:t>The accompanying notes form part of these financial statements.</w:t>
      </w:r>
    </w:p>
    <w:p>
      <w:pPr>
        <w:spacing w:after="0"/>
        <w:sectPr>
          <w:pgSz w:w="11910" w:h="16840"/>
          <w:pgMar w:header="0" w:footer="495" w:top="940" w:bottom="700" w:left="880" w:right="880"/>
        </w:sectPr>
      </w:pPr>
    </w:p>
    <w:p>
      <w:pPr>
        <w:pStyle w:val="Heading6"/>
        <w:spacing w:before="52"/>
        <w:ind w:left="107" w:right="220"/>
      </w:pPr>
      <w:r>
        <w:rPr/>
        <w:t>Western Sydney University</w:t>
      </w:r>
    </w:p>
    <w:p>
      <w:pPr>
        <w:pStyle w:val="BodyText"/>
        <w:spacing w:before="5"/>
        <w:rPr>
          <w:b/>
          <w:sz w:val="29"/>
        </w:rPr>
      </w:pPr>
    </w:p>
    <w:p>
      <w:pPr>
        <w:spacing w:before="0"/>
        <w:ind w:left="107" w:right="220" w:firstLine="0"/>
        <w:jc w:val="left"/>
        <w:rPr>
          <w:b/>
          <w:sz w:val="28"/>
        </w:rPr>
      </w:pPr>
      <w:bookmarkStart w:name="Statement of Financial Position" w:id="9"/>
      <w:bookmarkEnd w:id="9"/>
      <w:r>
        <w:rPr/>
      </w:r>
      <w:r>
        <w:rPr>
          <w:b/>
          <w:sz w:val="28"/>
        </w:rPr>
        <w:t>Statement of Financial Position</w:t>
      </w:r>
    </w:p>
    <w:p>
      <w:pPr>
        <w:spacing w:before="53"/>
        <w:ind w:left="107" w:right="220" w:firstLine="0"/>
        <w:jc w:val="left"/>
        <w:rPr>
          <w:b/>
          <w:sz w:val="22"/>
        </w:rPr>
      </w:pPr>
      <w:r>
        <w:rPr>
          <w:b/>
          <w:sz w:val="22"/>
        </w:rPr>
        <w:t>As at 31 December 2017</w:t>
      </w:r>
    </w:p>
    <w:p>
      <w:pPr>
        <w:pStyle w:val="BodyText"/>
        <w:spacing w:before="2"/>
        <w:rPr>
          <w:b/>
          <w:sz w:val="29"/>
        </w:rPr>
      </w:pPr>
    </w:p>
    <w:p>
      <w:pPr>
        <w:pStyle w:val="Heading9"/>
        <w:tabs>
          <w:tab w:pos="8373" w:val="left" w:leader="none"/>
        </w:tabs>
        <w:spacing w:before="78"/>
        <w:ind w:left="5320" w:right="220"/>
      </w:pPr>
      <w:r>
        <w:rPr/>
        <w:t>Consolidated</w:t>
        <w:tab/>
        <w:t>Parent</w:t>
      </w:r>
    </w:p>
    <w:p>
      <w:pPr>
        <w:spacing w:after="0"/>
        <w:sectPr>
          <w:pgSz w:w="11910" w:h="16840"/>
          <w:pgMar w:header="0" w:footer="495" w:top="940" w:bottom="700" w:left="900" w:right="880"/>
        </w:sectPr>
      </w:pPr>
    </w:p>
    <w:p>
      <w:pPr>
        <w:pStyle w:val="BodyText"/>
        <w:rPr>
          <w:b/>
        </w:rPr>
      </w:pPr>
    </w:p>
    <w:p>
      <w:pPr>
        <w:spacing w:before="159"/>
        <w:ind w:left="0" w:right="0" w:firstLine="0"/>
        <w:jc w:val="right"/>
        <w:rPr>
          <w:b/>
          <w:sz w:val="18"/>
        </w:rPr>
      </w:pPr>
      <w:r>
        <w:rPr>
          <w:b/>
          <w:sz w:val="18"/>
        </w:rPr>
        <w:t>Notes</w:t>
      </w:r>
    </w:p>
    <w:p>
      <w:pPr>
        <w:spacing w:before="93"/>
        <w:ind w:left="625" w:right="-17" w:firstLine="0"/>
        <w:jc w:val="left"/>
        <w:rPr>
          <w:b/>
          <w:sz w:val="18"/>
        </w:rPr>
      </w:pPr>
      <w:r>
        <w:rPr/>
        <w:br w:type="column"/>
      </w:r>
      <w:r>
        <w:rPr>
          <w:b/>
          <w:sz w:val="18"/>
        </w:rPr>
        <w:t>2017</w:t>
      </w:r>
    </w:p>
    <w:p>
      <w:pPr>
        <w:spacing w:before="66"/>
        <w:ind w:left="603" w:right="-17" w:firstLine="0"/>
        <w:jc w:val="left"/>
        <w:rPr>
          <w:b/>
          <w:sz w:val="18"/>
        </w:rPr>
      </w:pPr>
      <w:r>
        <w:rPr>
          <w:b/>
          <w:sz w:val="18"/>
        </w:rPr>
        <w:t>$'000</w:t>
      </w:r>
    </w:p>
    <w:p>
      <w:pPr>
        <w:spacing w:before="93"/>
        <w:ind w:left="819" w:right="-17" w:firstLine="0"/>
        <w:jc w:val="left"/>
        <w:rPr>
          <w:b/>
          <w:sz w:val="18"/>
        </w:rPr>
      </w:pPr>
      <w:r>
        <w:rPr/>
        <w:br w:type="column"/>
      </w:r>
      <w:r>
        <w:rPr>
          <w:b/>
          <w:sz w:val="18"/>
        </w:rPr>
        <w:t>2016</w:t>
      </w:r>
    </w:p>
    <w:p>
      <w:pPr>
        <w:spacing w:before="66"/>
        <w:ind w:left="797" w:right="-17"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4"/>
        <w:ind w:left="0" w:right="0" w:firstLine="0"/>
        <w:jc w:val="right"/>
        <w:rPr>
          <w:b/>
          <w:sz w:val="18"/>
        </w:rPr>
      </w:pPr>
      <w:r>
        <w:rPr>
          <w:b/>
          <w:w w:val="95"/>
          <w:sz w:val="18"/>
        </w:rPr>
        <w:t>$'000</w:t>
      </w:r>
    </w:p>
    <w:p>
      <w:pPr>
        <w:spacing w:before="66"/>
        <w:ind w:left="819" w:right="0" w:firstLine="0"/>
        <w:jc w:val="left"/>
        <w:rPr>
          <w:b/>
          <w:sz w:val="18"/>
        </w:rPr>
      </w:pPr>
      <w:r>
        <w:rPr/>
        <w:br w:type="column"/>
      </w:r>
      <w:r>
        <w:rPr>
          <w:b/>
          <w:sz w:val="18"/>
        </w:rPr>
        <w:t>2016</w:t>
      </w:r>
    </w:p>
    <w:p>
      <w:pPr>
        <w:spacing w:before="64"/>
        <w:ind w:left="797" w:right="0" w:firstLine="0"/>
        <w:jc w:val="left"/>
        <w:rPr>
          <w:b/>
          <w:sz w:val="18"/>
        </w:rPr>
      </w:pPr>
      <w:r>
        <w:rPr>
          <w:b/>
          <w:sz w:val="18"/>
        </w:rPr>
        <w:t>$'000</w:t>
      </w:r>
    </w:p>
    <w:p>
      <w:pPr>
        <w:spacing w:after="0"/>
        <w:jc w:val="left"/>
        <w:rPr>
          <w:sz w:val="18"/>
        </w:rPr>
        <w:sectPr>
          <w:type w:val="continuous"/>
          <w:pgSz w:w="11910" w:h="16840"/>
          <w:pgMar w:top="1580" w:bottom="280" w:left="900" w:right="880"/>
          <w:cols w:num="5" w:equalWidth="0">
            <w:col w:w="4459" w:space="40"/>
            <w:col w:w="1050" w:space="40"/>
            <w:col w:w="1244" w:space="40"/>
            <w:col w:w="1437" w:space="40"/>
            <w:col w:w="1780"/>
          </w:cols>
        </w:sectPr>
      </w:pPr>
    </w:p>
    <w:p>
      <w:pPr>
        <w:pStyle w:val="BodyText"/>
        <w:spacing w:before="11"/>
        <w:rPr>
          <w:b/>
          <w:sz w:val="5"/>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94"/>
        <w:gridCol w:w="981"/>
        <w:gridCol w:w="1620"/>
        <w:gridCol w:w="1380"/>
        <w:gridCol w:w="1380"/>
        <w:gridCol w:w="1140"/>
      </w:tblGrid>
      <w:tr>
        <w:trPr>
          <w:trHeight w:val="626" w:hRule="exact"/>
        </w:trPr>
        <w:tc>
          <w:tcPr>
            <w:tcW w:w="3394" w:type="dxa"/>
          </w:tcPr>
          <w:p>
            <w:pPr>
              <w:pStyle w:val="TableParagraph"/>
              <w:spacing w:before="77"/>
              <w:ind w:left="35" w:right="6"/>
              <w:rPr>
                <w:b/>
                <w:sz w:val="18"/>
              </w:rPr>
            </w:pPr>
            <w:r>
              <w:rPr>
                <w:b/>
                <w:sz w:val="18"/>
              </w:rPr>
              <w:t>ASSETS</w:t>
            </w:r>
          </w:p>
          <w:p>
            <w:pPr>
              <w:pStyle w:val="TableParagraph"/>
              <w:spacing w:before="112"/>
              <w:ind w:left="35" w:right="6"/>
              <w:rPr>
                <w:b/>
                <w:sz w:val="18"/>
              </w:rPr>
            </w:pPr>
            <w:r>
              <w:rPr>
                <w:b/>
                <w:sz w:val="18"/>
              </w:rPr>
              <w:t>Current assets</w:t>
            </w:r>
          </w:p>
        </w:tc>
        <w:tc>
          <w:tcPr>
            <w:tcW w:w="6501" w:type="dxa"/>
            <w:gridSpan w:val="5"/>
          </w:tcPr>
          <w:p>
            <w:pPr/>
          </w:p>
        </w:tc>
      </w:tr>
      <w:tr>
        <w:trPr>
          <w:trHeight w:val="250" w:hRule="exact"/>
        </w:trPr>
        <w:tc>
          <w:tcPr>
            <w:tcW w:w="3394" w:type="dxa"/>
          </w:tcPr>
          <w:p>
            <w:pPr>
              <w:pStyle w:val="TableParagraph"/>
              <w:spacing w:before="3"/>
              <w:ind w:left="35" w:right="6"/>
              <w:rPr>
                <w:sz w:val="18"/>
              </w:rPr>
            </w:pPr>
            <w:r>
              <w:rPr>
                <w:sz w:val="18"/>
              </w:rPr>
              <w:t>Cash and cash equivalents</w:t>
            </w:r>
          </w:p>
        </w:tc>
        <w:tc>
          <w:tcPr>
            <w:tcW w:w="981" w:type="dxa"/>
          </w:tcPr>
          <w:p>
            <w:pPr>
              <w:pStyle w:val="TableParagraph"/>
              <w:spacing w:before="6"/>
              <w:ind w:left="445"/>
              <w:rPr>
                <w:sz w:val="18"/>
              </w:rPr>
            </w:pPr>
            <w:r>
              <w:rPr>
                <w:sz w:val="18"/>
              </w:rPr>
              <w:t>17</w:t>
            </w:r>
          </w:p>
        </w:tc>
        <w:tc>
          <w:tcPr>
            <w:tcW w:w="1620" w:type="dxa"/>
          </w:tcPr>
          <w:p>
            <w:pPr>
              <w:pStyle w:val="TableParagraph"/>
              <w:spacing w:before="6"/>
              <w:ind w:right="242"/>
              <w:jc w:val="right"/>
              <w:rPr>
                <w:b/>
                <w:sz w:val="18"/>
              </w:rPr>
            </w:pPr>
            <w:r>
              <w:rPr>
                <w:b/>
                <w:w w:val="95"/>
                <w:sz w:val="18"/>
              </w:rPr>
              <w:t>221,748</w:t>
            </w:r>
          </w:p>
        </w:tc>
        <w:tc>
          <w:tcPr>
            <w:tcW w:w="1380" w:type="dxa"/>
          </w:tcPr>
          <w:p>
            <w:pPr>
              <w:pStyle w:val="TableParagraph"/>
              <w:spacing w:before="6"/>
              <w:ind w:right="326"/>
              <w:jc w:val="right"/>
              <w:rPr>
                <w:sz w:val="18"/>
              </w:rPr>
            </w:pPr>
            <w:r>
              <w:rPr>
                <w:w w:val="95"/>
                <w:sz w:val="18"/>
              </w:rPr>
              <w:t>139,225</w:t>
            </w:r>
          </w:p>
        </w:tc>
        <w:tc>
          <w:tcPr>
            <w:tcW w:w="1380" w:type="dxa"/>
          </w:tcPr>
          <w:p>
            <w:pPr>
              <w:pStyle w:val="TableParagraph"/>
              <w:spacing w:before="6"/>
              <w:ind w:right="242"/>
              <w:jc w:val="right"/>
              <w:rPr>
                <w:b/>
                <w:sz w:val="18"/>
              </w:rPr>
            </w:pPr>
            <w:r>
              <w:rPr>
                <w:b/>
                <w:w w:val="95"/>
                <w:sz w:val="18"/>
              </w:rPr>
              <w:t>219,554</w:t>
            </w:r>
          </w:p>
        </w:tc>
        <w:tc>
          <w:tcPr>
            <w:tcW w:w="1140" w:type="dxa"/>
          </w:tcPr>
          <w:p>
            <w:pPr>
              <w:pStyle w:val="TableParagraph"/>
              <w:spacing w:before="6"/>
              <w:ind w:right="88"/>
              <w:jc w:val="right"/>
              <w:rPr>
                <w:sz w:val="18"/>
              </w:rPr>
            </w:pPr>
            <w:r>
              <w:rPr>
                <w:w w:val="95"/>
                <w:sz w:val="18"/>
              </w:rPr>
              <w:t>136,397</w:t>
            </w:r>
          </w:p>
        </w:tc>
      </w:tr>
      <w:tr>
        <w:trPr>
          <w:trHeight w:val="264" w:hRule="exact"/>
        </w:trPr>
        <w:tc>
          <w:tcPr>
            <w:tcW w:w="3394" w:type="dxa"/>
          </w:tcPr>
          <w:p>
            <w:pPr>
              <w:pStyle w:val="TableParagraph"/>
              <w:spacing w:before="18"/>
              <w:ind w:left="35" w:right="6"/>
              <w:rPr>
                <w:sz w:val="18"/>
              </w:rPr>
            </w:pPr>
            <w:r>
              <w:rPr>
                <w:sz w:val="18"/>
              </w:rPr>
              <w:t>Receivables</w:t>
            </w:r>
          </w:p>
        </w:tc>
        <w:tc>
          <w:tcPr>
            <w:tcW w:w="981" w:type="dxa"/>
          </w:tcPr>
          <w:p>
            <w:pPr>
              <w:pStyle w:val="TableParagraph"/>
              <w:spacing w:before="20"/>
              <w:ind w:left="445"/>
              <w:rPr>
                <w:sz w:val="18"/>
              </w:rPr>
            </w:pPr>
            <w:r>
              <w:rPr>
                <w:sz w:val="18"/>
              </w:rPr>
              <w:t>18</w:t>
            </w:r>
          </w:p>
        </w:tc>
        <w:tc>
          <w:tcPr>
            <w:tcW w:w="1620" w:type="dxa"/>
          </w:tcPr>
          <w:p>
            <w:pPr>
              <w:pStyle w:val="TableParagraph"/>
              <w:spacing w:before="20"/>
              <w:ind w:right="243"/>
              <w:jc w:val="right"/>
              <w:rPr>
                <w:b/>
                <w:sz w:val="18"/>
              </w:rPr>
            </w:pPr>
            <w:r>
              <w:rPr>
                <w:b/>
                <w:w w:val="95"/>
                <w:sz w:val="18"/>
              </w:rPr>
              <w:t>56,069</w:t>
            </w:r>
          </w:p>
        </w:tc>
        <w:tc>
          <w:tcPr>
            <w:tcW w:w="1380" w:type="dxa"/>
          </w:tcPr>
          <w:p>
            <w:pPr>
              <w:pStyle w:val="TableParagraph"/>
              <w:spacing w:before="20"/>
              <w:ind w:right="327"/>
              <w:jc w:val="right"/>
              <w:rPr>
                <w:sz w:val="18"/>
              </w:rPr>
            </w:pPr>
            <w:r>
              <w:rPr>
                <w:w w:val="95"/>
                <w:sz w:val="18"/>
              </w:rPr>
              <w:t>61,525</w:t>
            </w:r>
          </w:p>
        </w:tc>
        <w:tc>
          <w:tcPr>
            <w:tcW w:w="1380" w:type="dxa"/>
          </w:tcPr>
          <w:p>
            <w:pPr>
              <w:pStyle w:val="TableParagraph"/>
              <w:spacing w:before="20"/>
              <w:ind w:right="243"/>
              <w:jc w:val="right"/>
              <w:rPr>
                <w:b/>
                <w:sz w:val="18"/>
              </w:rPr>
            </w:pPr>
            <w:r>
              <w:rPr>
                <w:b/>
                <w:w w:val="95"/>
                <w:sz w:val="18"/>
              </w:rPr>
              <w:t>54,395</w:t>
            </w:r>
          </w:p>
        </w:tc>
        <w:tc>
          <w:tcPr>
            <w:tcW w:w="1140" w:type="dxa"/>
          </w:tcPr>
          <w:p>
            <w:pPr>
              <w:pStyle w:val="TableParagraph"/>
              <w:spacing w:before="20"/>
              <w:ind w:right="87"/>
              <w:jc w:val="right"/>
              <w:rPr>
                <w:sz w:val="18"/>
              </w:rPr>
            </w:pPr>
            <w:r>
              <w:rPr>
                <w:w w:val="95"/>
                <w:sz w:val="18"/>
              </w:rPr>
              <w:t>64,151</w:t>
            </w:r>
          </w:p>
        </w:tc>
      </w:tr>
      <w:tr>
        <w:trPr>
          <w:trHeight w:val="264" w:hRule="exact"/>
        </w:trPr>
        <w:tc>
          <w:tcPr>
            <w:tcW w:w="3394" w:type="dxa"/>
          </w:tcPr>
          <w:p>
            <w:pPr>
              <w:pStyle w:val="TableParagraph"/>
              <w:spacing w:before="18"/>
              <w:ind w:left="35" w:right="6"/>
              <w:rPr>
                <w:sz w:val="18"/>
              </w:rPr>
            </w:pPr>
            <w:r>
              <w:rPr>
                <w:sz w:val="18"/>
              </w:rPr>
              <w:t>Inventories</w:t>
            </w:r>
          </w:p>
        </w:tc>
        <w:tc>
          <w:tcPr>
            <w:tcW w:w="981" w:type="dxa"/>
          </w:tcPr>
          <w:p>
            <w:pPr>
              <w:pStyle w:val="TableParagraph"/>
              <w:spacing w:before="20"/>
              <w:ind w:left="445"/>
              <w:rPr>
                <w:sz w:val="18"/>
              </w:rPr>
            </w:pPr>
            <w:r>
              <w:rPr>
                <w:sz w:val="18"/>
              </w:rPr>
              <w:t>19</w:t>
            </w:r>
          </w:p>
        </w:tc>
        <w:tc>
          <w:tcPr>
            <w:tcW w:w="1620" w:type="dxa"/>
          </w:tcPr>
          <w:p>
            <w:pPr>
              <w:pStyle w:val="TableParagraph"/>
              <w:spacing w:before="20"/>
              <w:ind w:right="242"/>
              <w:jc w:val="right"/>
              <w:rPr>
                <w:b/>
                <w:sz w:val="18"/>
              </w:rPr>
            </w:pPr>
            <w:r>
              <w:rPr>
                <w:b/>
                <w:sz w:val="18"/>
              </w:rPr>
              <w:t>58</w:t>
            </w:r>
          </w:p>
        </w:tc>
        <w:tc>
          <w:tcPr>
            <w:tcW w:w="1380" w:type="dxa"/>
          </w:tcPr>
          <w:p>
            <w:pPr>
              <w:pStyle w:val="TableParagraph"/>
              <w:spacing w:before="20"/>
              <w:ind w:right="326"/>
              <w:jc w:val="right"/>
              <w:rPr>
                <w:sz w:val="18"/>
              </w:rPr>
            </w:pPr>
            <w:r>
              <w:rPr>
                <w:sz w:val="18"/>
              </w:rPr>
              <w:t>15</w:t>
            </w:r>
          </w:p>
        </w:tc>
        <w:tc>
          <w:tcPr>
            <w:tcW w:w="1380" w:type="dxa"/>
          </w:tcPr>
          <w:p>
            <w:pPr>
              <w:pStyle w:val="TableParagraph"/>
              <w:spacing w:before="20"/>
              <w:ind w:right="242"/>
              <w:jc w:val="right"/>
              <w:rPr>
                <w:b/>
                <w:sz w:val="18"/>
              </w:rPr>
            </w:pPr>
            <w:r>
              <w:rPr>
                <w:b/>
                <w:w w:val="99"/>
                <w:sz w:val="18"/>
              </w:rPr>
              <w:t>-</w:t>
            </w:r>
          </w:p>
        </w:tc>
        <w:tc>
          <w:tcPr>
            <w:tcW w:w="1140" w:type="dxa"/>
          </w:tcPr>
          <w:p>
            <w:pPr>
              <w:pStyle w:val="TableParagraph"/>
              <w:spacing w:before="20"/>
              <w:ind w:right="86"/>
              <w:jc w:val="right"/>
              <w:rPr>
                <w:sz w:val="18"/>
              </w:rPr>
            </w:pPr>
            <w:r>
              <w:rPr>
                <w:w w:val="99"/>
                <w:sz w:val="18"/>
              </w:rPr>
              <w:t>-</w:t>
            </w:r>
          </w:p>
        </w:tc>
      </w:tr>
      <w:tr>
        <w:trPr>
          <w:trHeight w:val="264" w:hRule="exact"/>
        </w:trPr>
        <w:tc>
          <w:tcPr>
            <w:tcW w:w="3394" w:type="dxa"/>
          </w:tcPr>
          <w:p>
            <w:pPr>
              <w:pStyle w:val="TableParagraph"/>
              <w:spacing w:before="18"/>
              <w:ind w:left="35" w:right="6"/>
              <w:rPr>
                <w:sz w:val="18"/>
              </w:rPr>
            </w:pPr>
            <w:r>
              <w:rPr>
                <w:sz w:val="18"/>
              </w:rPr>
              <w:t>Other non-financial assets</w:t>
            </w:r>
          </w:p>
        </w:tc>
        <w:tc>
          <w:tcPr>
            <w:tcW w:w="981" w:type="dxa"/>
          </w:tcPr>
          <w:p>
            <w:pPr>
              <w:pStyle w:val="TableParagraph"/>
              <w:spacing w:before="20"/>
              <w:ind w:left="445"/>
              <w:rPr>
                <w:sz w:val="18"/>
              </w:rPr>
            </w:pPr>
            <w:r>
              <w:rPr>
                <w:sz w:val="18"/>
              </w:rPr>
              <w:t>24</w:t>
            </w:r>
          </w:p>
        </w:tc>
        <w:tc>
          <w:tcPr>
            <w:tcW w:w="1620" w:type="dxa"/>
          </w:tcPr>
          <w:p>
            <w:pPr>
              <w:pStyle w:val="TableParagraph"/>
              <w:spacing w:before="20"/>
              <w:ind w:right="243"/>
              <w:jc w:val="right"/>
              <w:rPr>
                <w:b/>
                <w:sz w:val="18"/>
              </w:rPr>
            </w:pPr>
            <w:r>
              <w:rPr>
                <w:b/>
                <w:w w:val="95"/>
                <w:sz w:val="18"/>
              </w:rPr>
              <w:t>1,196</w:t>
            </w:r>
          </w:p>
        </w:tc>
        <w:tc>
          <w:tcPr>
            <w:tcW w:w="1380" w:type="dxa"/>
          </w:tcPr>
          <w:p>
            <w:pPr>
              <w:pStyle w:val="TableParagraph"/>
              <w:spacing w:before="20"/>
              <w:ind w:right="326"/>
              <w:jc w:val="right"/>
              <w:rPr>
                <w:sz w:val="18"/>
              </w:rPr>
            </w:pPr>
            <w:r>
              <w:rPr>
                <w:w w:val="95"/>
                <w:sz w:val="18"/>
              </w:rPr>
              <w:t>244</w:t>
            </w:r>
          </w:p>
        </w:tc>
        <w:tc>
          <w:tcPr>
            <w:tcW w:w="1380" w:type="dxa"/>
          </w:tcPr>
          <w:p>
            <w:pPr>
              <w:pStyle w:val="TableParagraph"/>
              <w:spacing w:before="20"/>
              <w:ind w:right="243"/>
              <w:jc w:val="right"/>
              <w:rPr>
                <w:b/>
                <w:sz w:val="18"/>
              </w:rPr>
            </w:pPr>
            <w:r>
              <w:rPr>
                <w:b/>
                <w:w w:val="95"/>
                <w:sz w:val="18"/>
              </w:rPr>
              <w:t>1,196</w:t>
            </w:r>
          </w:p>
        </w:tc>
        <w:tc>
          <w:tcPr>
            <w:tcW w:w="1140" w:type="dxa"/>
          </w:tcPr>
          <w:p>
            <w:pPr>
              <w:pStyle w:val="TableParagraph"/>
              <w:spacing w:before="20"/>
              <w:ind w:right="86"/>
              <w:jc w:val="right"/>
              <w:rPr>
                <w:sz w:val="18"/>
              </w:rPr>
            </w:pPr>
            <w:r>
              <w:rPr>
                <w:w w:val="95"/>
                <w:sz w:val="18"/>
              </w:rPr>
              <w:t>244</w:t>
            </w:r>
          </w:p>
        </w:tc>
      </w:tr>
      <w:tr>
        <w:trPr>
          <w:trHeight w:val="262" w:hRule="exact"/>
        </w:trPr>
        <w:tc>
          <w:tcPr>
            <w:tcW w:w="3394" w:type="dxa"/>
          </w:tcPr>
          <w:p>
            <w:pPr>
              <w:pStyle w:val="TableParagraph"/>
              <w:spacing w:before="18"/>
              <w:ind w:left="35" w:right="6"/>
              <w:rPr>
                <w:sz w:val="18"/>
              </w:rPr>
            </w:pPr>
            <w:r>
              <w:rPr>
                <w:sz w:val="18"/>
              </w:rPr>
              <w:t>Non-current assets held for sale</w:t>
            </w:r>
          </w:p>
        </w:tc>
        <w:tc>
          <w:tcPr>
            <w:tcW w:w="981" w:type="dxa"/>
          </w:tcPr>
          <w:p>
            <w:pPr>
              <w:pStyle w:val="TableParagraph"/>
              <w:spacing w:before="20"/>
              <w:ind w:left="445"/>
              <w:rPr>
                <w:sz w:val="18"/>
              </w:rPr>
            </w:pPr>
            <w:r>
              <w:rPr>
                <w:sz w:val="18"/>
              </w:rPr>
              <w:t>20</w:t>
            </w:r>
          </w:p>
        </w:tc>
        <w:tc>
          <w:tcPr>
            <w:tcW w:w="1620" w:type="dxa"/>
            <w:tcBorders>
              <w:bottom w:val="single" w:sz="1" w:space="0" w:color="000000"/>
            </w:tcBorders>
          </w:tcPr>
          <w:p>
            <w:pPr>
              <w:pStyle w:val="TableParagraph"/>
              <w:spacing w:before="20"/>
              <w:ind w:right="243"/>
              <w:jc w:val="right"/>
              <w:rPr>
                <w:b/>
                <w:sz w:val="18"/>
              </w:rPr>
            </w:pPr>
            <w:r>
              <w:rPr>
                <w:b/>
                <w:w w:val="95"/>
                <w:sz w:val="18"/>
              </w:rPr>
              <w:t>40,358</w:t>
            </w:r>
          </w:p>
        </w:tc>
        <w:tc>
          <w:tcPr>
            <w:tcW w:w="1380" w:type="dxa"/>
            <w:tcBorders>
              <w:bottom w:val="single" w:sz="1" w:space="0" w:color="000000"/>
            </w:tcBorders>
          </w:tcPr>
          <w:p>
            <w:pPr>
              <w:pStyle w:val="TableParagraph"/>
              <w:spacing w:before="20"/>
              <w:ind w:right="327"/>
              <w:jc w:val="right"/>
              <w:rPr>
                <w:sz w:val="18"/>
              </w:rPr>
            </w:pPr>
            <w:r>
              <w:rPr>
                <w:w w:val="95"/>
                <w:sz w:val="18"/>
              </w:rPr>
              <w:t>85,460</w:t>
            </w:r>
          </w:p>
        </w:tc>
        <w:tc>
          <w:tcPr>
            <w:tcW w:w="1380" w:type="dxa"/>
            <w:tcBorders>
              <w:bottom w:val="single" w:sz="1" w:space="0" w:color="000000"/>
            </w:tcBorders>
          </w:tcPr>
          <w:p>
            <w:pPr>
              <w:pStyle w:val="TableParagraph"/>
              <w:spacing w:before="20"/>
              <w:ind w:right="243"/>
              <w:jc w:val="right"/>
              <w:rPr>
                <w:b/>
                <w:sz w:val="18"/>
              </w:rPr>
            </w:pPr>
            <w:r>
              <w:rPr>
                <w:b/>
                <w:w w:val="95"/>
                <w:sz w:val="18"/>
              </w:rPr>
              <w:t>40,358</w:t>
            </w:r>
          </w:p>
        </w:tc>
        <w:tc>
          <w:tcPr>
            <w:tcW w:w="1140" w:type="dxa"/>
            <w:tcBorders>
              <w:bottom w:val="single" w:sz="1" w:space="0" w:color="000000"/>
            </w:tcBorders>
          </w:tcPr>
          <w:p>
            <w:pPr>
              <w:pStyle w:val="TableParagraph"/>
              <w:spacing w:before="20"/>
              <w:ind w:right="87"/>
              <w:jc w:val="right"/>
              <w:rPr>
                <w:sz w:val="18"/>
              </w:rPr>
            </w:pPr>
            <w:r>
              <w:rPr>
                <w:w w:val="95"/>
                <w:sz w:val="18"/>
              </w:rPr>
              <w:t>85,330</w:t>
            </w:r>
          </w:p>
        </w:tc>
      </w:tr>
      <w:tr>
        <w:trPr>
          <w:trHeight w:val="338" w:hRule="exact"/>
        </w:trPr>
        <w:tc>
          <w:tcPr>
            <w:tcW w:w="3394" w:type="dxa"/>
          </w:tcPr>
          <w:p>
            <w:pPr>
              <w:pStyle w:val="TableParagraph"/>
              <w:spacing w:before="125"/>
              <w:ind w:left="35" w:right="6"/>
              <w:rPr>
                <w:b/>
                <w:sz w:val="18"/>
              </w:rPr>
            </w:pPr>
            <w:r>
              <w:rPr>
                <w:b/>
                <w:sz w:val="18"/>
              </w:rPr>
              <w:t>Total current assets</w:t>
            </w:r>
          </w:p>
        </w:tc>
        <w:tc>
          <w:tcPr>
            <w:tcW w:w="981" w:type="dxa"/>
          </w:tcPr>
          <w:p>
            <w:pPr/>
          </w:p>
        </w:tc>
        <w:tc>
          <w:tcPr>
            <w:tcW w:w="1620" w:type="dxa"/>
            <w:tcBorders>
              <w:top w:val="single" w:sz="1" w:space="0" w:color="000000"/>
              <w:bottom w:val="single" w:sz="1" w:space="0" w:color="000000"/>
            </w:tcBorders>
          </w:tcPr>
          <w:p>
            <w:pPr>
              <w:pStyle w:val="TableParagraph"/>
              <w:spacing w:before="124"/>
              <w:ind w:right="242"/>
              <w:jc w:val="right"/>
              <w:rPr>
                <w:b/>
                <w:sz w:val="18"/>
              </w:rPr>
            </w:pPr>
            <w:r>
              <w:rPr>
                <w:b/>
                <w:w w:val="95"/>
                <w:sz w:val="18"/>
              </w:rPr>
              <w:t>319,429</w:t>
            </w:r>
          </w:p>
        </w:tc>
        <w:tc>
          <w:tcPr>
            <w:tcW w:w="1380" w:type="dxa"/>
            <w:tcBorders>
              <w:top w:val="single" w:sz="1" w:space="0" w:color="000000"/>
              <w:bottom w:val="single" w:sz="1" w:space="0" w:color="000000"/>
            </w:tcBorders>
          </w:tcPr>
          <w:p>
            <w:pPr>
              <w:pStyle w:val="TableParagraph"/>
              <w:spacing w:before="124"/>
              <w:ind w:right="326"/>
              <w:jc w:val="right"/>
              <w:rPr>
                <w:sz w:val="18"/>
              </w:rPr>
            </w:pPr>
            <w:r>
              <w:rPr>
                <w:w w:val="95"/>
                <w:sz w:val="18"/>
              </w:rPr>
              <w:t>286,469</w:t>
            </w:r>
          </w:p>
        </w:tc>
        <w:tc>
          <w:tcPr>
            <w:tcW w:w="1380" w:type="dxa"/>
            <w:tcBorders>
              <w:top w:val="single" w:sz="1" w:space="0" w:color="000000"/>
              <w:bottom w:val="single" w:sz="1" w:space="0" w:color="000000"/>
            </w:tcBorders>
          </w:tcPr>
          <w:p>
            <w:pPr>
              <w:pStyle w:val="TableParagraph"/>
              <w:spacing w:before="124"/>
              <w:ind w:right="242"/>
              <w:jc w:val="right"/>
              <w:rPr>
                <w:b/>
                <w:sz w:val="18"/>
              </w:rPr>
            </w:pPr>
            <w:r>
              <w:rPr>
                <w:b/>
                <w:w w:val="95"/>
                <w:sz w:val="18"/>
              </w:rPr>
              <w:t>315,503</w:t>
            </w:r>
          </w:p>
        </w:tc>
        <w:tc>
          <w:tcPr>
            <w:tcW w:w="1140" w:type="dxa"/>
            <w:tcBorders>
              <w:top w:val="single" w:sz="1" w:space="0" w:color="000000"/>
              <w:bottom w:val="single" w:sz="1" w:space="0" w:color="000000"/>
            </w:tcBorders>
          </w:tcPr>
          <w:p>
            <w:pPr>
              <w:pStyle w:val="TableParagraph"/>
              <w:spacing w:before="124"/>
              <w:ind w:right="88"/>
              <w:jc w:val="right"/>
              <w:rPr>
                <w:sz w:val="18"/>
              </w:rPr>
            </w:pPr>
            <w:r>
              <w:rPr>
                <w:w w:val="95"/>
                <w:sz w:val="18"/>
              </w:rPr>
              <w:t>286,122</w:t>
            </w:r>
          </w:p>
        </w:tc>
      </w:tr>
      <w:tr>
        <w:trPr>
          <w:trHeight w:val="355" w:hRule="exact"/>
        </w:trPr>
        <w:tc>
          <w:tcPr>
            <w:tcW w:w="3394" w:type="dxa"/>
          </w:tcPr>
          <w:p>
            <w:pPr>
              <w:pStyle w:val="TableParagraph"/>
              <w:spacing w:before="125"/>
              <w:ind w:left="35" w:right="6"/>
              <w:rPr>
                <w:b/>
                <w:sz w:val="18"/>
              </w:rPr>
            </w:pPr>
            <w:r>
              <w:rPr>
                <w:b/>
                <w:sz w:val="18"/>
              </w:rPr>
              <w:t>Non-current assets</w:t>
            </w:r>
          </w:p>
        </w:tc>
        <w:tc>
          <w:tcPr>
            <w:tcW w:w="981" w:type="dxa"/>
          </w:tcPr>
          <w:p>
            <w:pPr/>
          </w:p>
        </w:tc>
        <w:tc>
          <w:tcPr>
            <w:tcW w:w="1620"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140" w:type="dxa"/>
            <w:tcBorders>
              <w:top w:val="single" w:sz="1" w:space="0" w:color="000000"/>
            </w:tcBorders>
          </w:tcPr>
          <w:p>
            <w:pPr/>
          </w:p>
        </w:tc>
      </w:tr>
      <w:tr>
        <w:trPr>
          <w:trHeight w:val="250" w:hRule="exact"/>
        </w:trPr>
        <w:tc>
          <w:tcPr>
            <w:tcW w:w="3394" w:type="dxa"/>
          </w:tcPr>
          <w:p>
            <w:pPr>
              <w:pStyle w:val="TableParagraph"/>
              <w:spacing w:before="3"/>
              <w:ind w:left="35" w:right="6"/>
              <w:rPr>
                <w:sz w:val="18"/>
              </w:rPr>
            </w:pPr>
            <w:r>
              <w:rPr>
                <w:sz w:val="18"/>
              </w:rPr>
              <w:t>Receivables</w:t>
            </w:r>
          </w:p>
        </w:tc>
        <w:tc>
          <w:tcPr>
            <w:tcW w:w="981" w:type="dxa"/>
          </w:tcPr>
          <w:p>
            <w:pPr>
              <w:pStyle w:val="TableParagraph"/>
              <w:spacing w:before="6"/>
              <w:ind w:left="445"/>
              <w:rPr>
                <w:sz w:val="18"/>
              </w:rPr>
            </w:pPr>
            <w:r>
              <w:rPr>
                <w:sz w:val="18"/>
              </w:rPr>
              <w:t>18</w:t>
            </w:r>
          </w:p>
        </w:tc>
        <w:tc>
          <w:tcPr>
            <w:tcW w:w="1620" w:type="dxa"/>
          </w:tcPr>
          <w:p>
            <w:pPr>
              <w:pStyle w:val="TableParagraph"/>
              <w:spacing w:before="6"/>
              <w:ind w:right="242"/>
              <w:jc w:val="right"/>
              <w:rPr>
                <w:b/>
                <w:sz w:val="18"/>
              </w:rPr>
            </w:pPr>
            <w:r>
              <w:rPr>
                <w:b/>
                <w:w w:val="95"/>
                <w:sz w:val="18"/>
              </w:rPr>
              <w:t>388,045</w:t>
            </w:r>
          </w:p>
        </w:tc>
        <w:tc>
          <w:tcPr>
            <w:tcW w:w="1380" w:type="dxa"/>
          </w:tcPr>
          <w:p>
            <w:pPr>
              <w:pStyle w:val="TableParagraph"/>
              <w:spacing w:before="6"/>
              <w:ind w:right="326"/>
              <w:jc w:val="right"/>
              <w:rPr>
                <w:sz w:val="18"/>
              </w:rPr>
            </w:pPr>
            <w:r>
              <w:rPr>
                <w:w w:val="95"/>
                <w:sz w:val="18"/>
              </w:rPr>
              <w:t>353,345</w:t>
            </w:r>
          </w:p>
        </w:tc>
        <w:tc>
          <w:tcPr>
            <w:tcW w:w="1380" w:type="dxa"/>
          </w:tcPr>
          <w:p>
            <w:pPr>
              <w:pStyle w:val="TableParagraph"/>
              <w:spacing w:before="6"/>
              <w:ind w:right="242"/>
              <w:jc w:val="right"/>
              <w:rPr>
                <w:b/>
                <w:sz w:val="18"/>
              </w:rPr>
            </w:pPr>
            <w:r>
              <w:rPr>
                <w:b/>
                <w:w w:val="95"/>
                <w:sz w:val="18"/>
              </w:rPr>
              <w:t>388,045</w:t>
            </w:r>
          </w:p>
        </w:tc>
        <w:tc>
          <w:tcPr>
            <w:tcW w:w="1140" w:type="dxa"/>
          </w:tcPr>
          <w:p>
            <w:pPr>
              <w:pStyle w:val="TableParagraph"/>
              <w:spacing w:before="6"/>
              <w:ind w:right="88"/>
              <w:jc w:val="right"/>
              <w:rPr>
                <w:sz w:val="18"/>
              </w:rPr>
            </w:pPr>
            <w:r>
              <w:rPr>
                <w:w w:val="95"/>
                <w:sz w:val="18"/>
              </w:rPr>
              <w:t>353,345</w:t>
            </w:r>
          </w:p>
        </w:tc>
      </w:tr>
      <w:tr>
        <w:trPr>
          <w:trHeight w:val="467" w:hRule="exact"/>
        </w:trPr>
        <w:tc>
          <w:tcPr>
            <w:tcW w:w="3394" w:type="dxa"/>
          </w:tcPr>
          <w:p>
            <w:pPr>
              <w:pStyle w:val="TableParagraph"/>
              <w:spacing w:before="18"/>
              <w:ind w:left="35" w:right="6"/>
              <w:rPr>
                <w:sz w:val="18"/>
              </w:rPr>
            </w:pPr>
            <w:r>
              <w:rPr>
                <w:sz w:val="18"/>
              </w:rPr>
              <w:t>Investments accounted for using the equity method</w:t>
            </w:r>
          </w:p>
        </w:tc>
        <w:tc>
          <w:tcPr>
            <w:tcW w:w="981" w:type="dxa"/>
          </w:tcPr>
          <w:p>
            <w:pPr>
              <w:pStyle w:val="TableParagraph"/>
              <w:spacing w:before="3"/>
              <w:rPr>
                <w:b/>
                <w:sz w:val="19"/>
              </w:rPr>
            </w:pPr>
          </w:p>
          <w:p>
            <w:pPr>
              <w:pStyle w:val="TableParagraph"/>
              <w:ind w:left="445"/>
              <w:rPr>
                <w:sz w:val="18"/>
              </w:rPr>
            </w:pPr>
            <w:r>
              <w:rPr>
                <w:w w:val="99"/>
                <w:sz w:val="18"/>
              </w:rPr>
              <w:t>8</w:t>
            </w:r>
          </w:p>
        </w:tc>
        <w:tc>
          <w:tcPr>
            <w:tcW w:w="1620" w:type="dxa"/>
          </w:tcPr>
          <w:p>
            <w:pPr>
              <w:pStyle w:val="TableParagraph"/>
              <w:spacing w:before="3"/>
              <w:rPr>
                <w:b/>
                <w:sz w:val="19"/>
              </w:rPr>
            </w:pPr>
          </w:p>
          <w:p>
            <w:pPr>
              <w:pStyle w:val="TableParagraph"/>
              <w:ind w:right="242"/>
              <w:jc w:val="right"/>
              <w:rPr>
                <w:b/>
                <w:sz w:val="18"/>
              </w:rPr>
            </w:pPr>
            <w:r>
              <w:rPr>
                <w:b/>
                <w:w w:val="99"/>
                <w:sz w:val="18"/>
              </w:rPr>
              <w:t>-</w:t>
            </w:r>
          </w:p>
        </w:tc>
        <w:tc>
          <w:tcPr>
            <w:tcW w:w="1380" w:type="dxa"/>
          </w:tcPr>
          <w:p>
            <w:pPr>
              <w:pStyle w:val="TableParagraph"/>
              <w:spacing w:before="3"/>
              <w:rPr>
                <w:b/>
                <w:sz w:val="19"/>
              </w:rPr>
            </w:pPr>
          </w:p>
          <w:p>
            <w:pPr>
              <w:pStyle w:val="TableParagraph"/>
              <w:ind w:right="326"/>
              <w:jc w:val="right"/>
              <w:rPr>
                <w:sz w:val="18"/>
              </w:rPr>
            </w:pPr>
            <w:r>
              <w:rPr>
                <w:w w:val="99"/>
                <w:sz w:val="18"/>
              </w:rPr>
              <w:t>-</w:t>
            </w:r>
          </w:p>
        </w:tc>
        <w:tc>
          <w:tcPr>
            <w:tcW w:w="1380" w:type="dxa"/>
          </w:tcPr>
          <w:p>
            <w:pPr>
              <w:pStyle w:val="TableParagraph"/>
              <w:spacing w:before="3"/>
              <w:rPr>
                <w:b/>
                <w:sz w:val="19"/>
              </w:rPr>
            </w:pPr>
          </w:p>
          <w:p>
            <w:pPr>
              <w:pStyle w:val="TableParagraph"/>
              <w:ind w:right="242"/>
              <w:jc w:val="right"/>
              <w:rPr>
                <w:b/>
                <w:sz w:val="18"/>
              </w:rPr>
            </w:pPr>
            <w:r>
              <w:rPr>
                <w:b/>
                <w:w w:val="99"/>
                <w:sz w:val="18"/>
              </w:rPr>
              <w:t>-</w:t>
            </w:r>
          </w:p>
        </w:tc>
        <w:tc>
          <w:tcPr>
            <w:tcW w:w="1140" w:type="dxa"/>
          </w:tcPr>
          <w:p>
            <w:pPr>
              <w:pStyle w:val="TableParagraph"/>
              <w:spacing w:before="3"/>
              <w:rPr>
                <w:b/>
                <w:sz w:val="19"/>
              </w:rPr>
            </w:pPr>
          </w:p>
          <w:p>
            <w:pPr>
              <w:pStyle w:val="TableParagraph"/>
              <w:ind w:right="86"/>
              <w:jc w:val="right"/>
              <w:rPr>
                <w:sz w:val="18"/>
              </w:rPr>
            </w:pPr>
            <w:r>
              <w:rPr>
                <w:w w:val="99"/>
                <w:sz w:val="18"/>
              </w:rPr>
              <w:t>-</w:t>
            </w:r>
          </w:p>
        </w:tc>
      </w:tr>
      <w:tr>
        <w:trPr>
          <w:trHeight w:val="263" w:hRule="exact"/>
        </w:trPr>
        <w:tc>
          <w:tcPr>
            <w:tcW w:w="3394" w:type="dxa"/>
          </w:tcPr>
          <w:p>
            <w:pPr>
              <w:pStyle w:val="TableParagraph"/>
              <w:spacing w:before="16"/>
              <w:ind w:left="35" w:right="6"/>
              <w:rPr>
                <w:sz w:val="18"/>
              </w:rPr>
            </w:pPr>
            <w:r>
              <w:rPr>
                <w:sz w:val="18"/>
              </w:rPr>
              <w:t>Property, plant and equipment</w:t>
            </w:r>
          </w:p>
        </w:tc>
        <w:tc>
          <w:tcPr>
            <w:tcW w:w="981" w:type="dxa"/>
          </w:tcPr>
          <w:p>
            <w:pPr>
              <w:pStyle w:val="TableParagraph"/>
              <w:spacing w:before="19"/>
              <w:ind w:left="445"/>
              <w:rPr>
                <w:sz w:val="18"/>
              </w:rPr>
            </w:pPr>
            <w:r>
              <w:rPr>
                <w:sz w:val="18"/>
              </w:rPr>
              <w:t>21</w:t>
            </w:r>
          </w:p>
        </w:tc>
        <w:tc>
          <w:tcPr>
            <w:tcW w:w="1620" w:type="dxa"/>
          </w:tcPr>
          <w:p>
            <w:pPr>
              <w:pStyle w:val="TableParagraph"/>
              <w:spacing w:before="19"/>
              <w:ind w:right="243"/>
              <w:jc w:val="right"/>
              <w:rPr>
                <w:b/>
                <w:sz w:val="18"/>
              </w:rPr>
            </w:pPr>
            <w:r>
              <w:rPr>
                <w:b/>
                <w:w w:val="95"/>
                <w:sz w:val="18"/>
              </w:rPr>
              <w:t>1,841,078</w:t>
            </w:r>
          </w:p>
        </w:tc>
        <w:tc>
          <w:tcPr>
            <w:tcW w:w="1380" w:type="dxa"/>
          </w:tcPr>
          <w:p>
            <w:pPr>
              <w:pStyle w:val="TableParagraph"/>
              <w:spacing w:before="19"/>
              <w:ind w:right="327"/>
              <w:jc w:val="right"/>
              <w:rPr>
                <w:sz w:val="18"/>
              </w:rPr>
            </w:pPr>
            <w:r>
              <w:rPr>
                <w:w w:val="95"/>
                <w:sz w:val="18"/>
              </w:rPr>
              <w:t>1,600,066</w:t>
            </w:r>
          </w:p>
        </w:tc>
        <w:tc>
          <w:tcPr>
            <w:tcW w:w="1380" w:type="dxa"/>
          </w:tcPr>
          <w:p>
            <w:pPr>
              <w:pStyle w:val="TableParagraph"/>
              <w:spacing w:before="19"/>
              <w:ind w:right="243"/>
              <w:jc w:val="right"/>
              <w:rPr>
                <w:b/>
                <w:sz w:val="18"/>
              </w:rPr>
            </w:pPr>
            <w:r>
              <w:rPr>
                <w:b/>
                <w:w w:val="95"/>
                <w:sz w:val="18"/>
              </w:rPr>
              <w:t>1,835,517</w:t>
            </w:r>
          </w:p>
        </w:tc>
        <w:tc>
          <w:tcPr>
            <w:tcW w:w="1140" w:type="dxa"/>
          </w:tcPr>
          <w:p>
            <w:pPr>
              <w:pStyle w:val="TableParagraph"/>
              <w:spacing w:before="19"/>
              <w:ind w:right="87"/>
              <w:jc w:val="right"/>
              <w:rPr>
                <w:sz w:val="18"/>
              </w:rPr>
            </w:pPr>
            <w:r>
              <w:rPr>
                <w:w w:val="95"/>
                <w:sz w:val="18"/>
              </w:rPr>
              <w:t>1,593,034</w:t>
            </w:r>
          </w:p>
        </w:tc>
      </w:tr>
      <w:tr>
        <w:trPr>
          <w:trHeight w:val="264" w:hRule="exact"/>
        </w:trPr>
        <w:tc>
          <w:tcPr>
            <w:tcW w:w="3394" w:type="dxa"/>
          </w:tcPr>
          <w:p>
            <w:pPr>
              <w:pStyle w:val="TableParagraph"/>
              <w:spacing w:before="18"/>
              <w:ind w:left="35" w:right="6"/>
              <w:rPr>
                <w:sz w:val="18"/>
              </w:rPr>
            </w:pPr>
            <w:r>
              <w:rPr>
                <w:sz w:val="18"/>
              </w:rPr>
              <w:t>Intangible assets</w:t>
            </w:r>
          </w:p>
        </w:tc>
        <w:tc>
          <w:tcPr>
            <w:tcW w:w="981" w:type="dxa"/>
          </w:tcPr>
          <w:p>
            <w:pPr>
              <w:pStyle w:val="TableParagraph"/>
              <w:spacing w:before="20"/>
              <w:ind w:left="445"/>
              <w:rPr>
                <w:sz w:val="18"/>
              </w:rPr>
            </w:pPr>
            <w:r>
              <w:rPr>
                <w:sz w:val="18"/>
              </w:rPr>
              <w:t>22</w:t>
            </w:r>
          </w:p>
        </w:tc>
        <w:tc>
          <w:tcPr>
            <w:tcW w:w="1620" w:type="dxa"/>
          </w:tcPr>
          <w:p>
            <w:pPr>
              <w:pStyle w:val="TableParagraph"/>
              <w:spacing w:before="20"/>
              <w:ind w:right="243"/>
              <w:jc w:val="right"/>
              <w:rPr>
                <w:b/>
                <w:sz w:val="18"/>
              </w:rPr>
            </w:pPr>
            <w:r>
              <w:rPr>
                <w:b/>
                <w:w w:val="95"/>
                <w:sz w:val="18"/>
              </w:rPr>
              <w:t>14,788</w:t>
            </w:r>
          </w:p>
        </w:tc>
        <w:tc>
          <w:tcPr>
            <w:tcW w:w="1380" w:type="dxa"/>
          </w:tcPr>
          <w:p>
            <w:pPr>
              <w:pStyle w:val="TableParagraph"/>
              <w:spacing w:before="20"/>
              <w:ind w:right="327"/>
              <w:jc w:val="right"/>
              <w:rPr>
                <w:sz w:val="18"/>
              </w:rPr>
            </w:pPr>
            <w:r>
              <w:rPr>
                <w:w w:val="95"/>
                <w:sz w:val="18"/>
              </w:rPr>
              <w:t>10,294</w:t>
            </w:r>
          </w:p>
        </w:tc>
        <w:tc>
          <w:tcPr>
            <w:tcW w:w="1380" w:type="dxa"/>
          </w:tcPr>
          <w:p>
            <w:pPr>
              <w:pStyle w:val="TableParagraph"/>
              <w:spacing w:before="20"/>
              <w:ind w:right="243"/>
              <w:jc w:val="right"/>
              <w:rPr>
                <w:b/>
                <w:sz w:val="18"/>
              </w:rPr>
            </w:pPr>
            <w:r>
              <w:rPr>
                <w:b/>
                <w:w w:val="95"/>
                <w:sz w:val="18"/>
              </w:rPr>
              <w:t>14,788</w:t>
            </w:r>
          </w:p>
        </w:tc>
        <w:tc>
          <w:tcPr>
            <w:tcW w:w="1140" w:type="dxa"/>
          </w:tcPr>
          <w:p>
            <w:pPr>
              <w:pStyle w:val="TableParagraph"/>
              <w:spacing w:before="20"/>
              <w:ind w:right="87"/>
              <w:jc w:val="right"/>
              <w:rPr>
                <w:sz w:val="18"/>
              </w:rPr>
            </w:pPr>
            <w:r>
              <w:rPr>
                <w:w w:val="95"/>
                <w:sz w:val="18"/>
              </w:rPr>
              <w:t>10,140</w:t>
            </w:r>
          </w:p>
        </w:tc>
      </w:tr>
      <w:tr>
        <w:trPr>
          <w:trHeight w:val="264" w:hRule="exact"/>
        </w:trPr>
        <w:tc>
          <w:tcPr>
            <w:tcW w:w="3394" w:type="dxa"/>
          </w:tcPr>
          <w:p>
            <w:pPr>
              <w:pStyle w:val="TableParagraph"/>
              <w:spacing w:before="18"/>
              <w:ind w:left="35" w:right="6"/>
              <w:rPr>
                <w:sz w:val="18"/>
              </w:rPr>
            </w:pPr>
            <w:r>
              <w:rPr>
                <w:sz w:val="18"/>
              </w:rPr>
              <w:t>Other financial assets</w:t>
            </w:r>
          </w:p>
        </w:tc>
        <w:tc>
          <w:tcPr>
            <w:tcW w:w="981" w:type="dxa"/>
          </w:tcPr>
          <w:p>
            <w:pPr>
              <w:pStyle w:val="TableParagraph"/>
              <w:spacing w:before="20"/>
              <w:ind w:left="445"/>
              <w:rPr>
                <w:sz w:val="18"/>
              </w:rPr>
            </w:pPr>
            <w:r>
              <w:rPr>
                <w:sz w:val="18"/>
              </w:rPr>
              <w:t>23</w:t>
            </w:r>
          </w:p>
        </w:tc>
        <w:tc>
          <w:tcPr>
            <w:tcW w:w="1620" w:type="dxa"/>
          </w:tcPr>
          <w:p>
            <w:pPr>
              <w:pStyle w:val="TableParagraph"/>
              <w:spacing w:before="20"/>
              <w:ind w:right="242"/>
              <w:jc w:val="right"/>
              <w:rPr>
                <w:b/>
                <w:sz w:val="18"/>
              </w:rPr>
            </w:pPr>
            <w:r>
              <w:rPr>
                <w:b/>
                <w:w w:val="95"/>
                <w:sz w:val="18"/>
              </w:rPr>
              <w:t>107,897</w:t>
            </w:r>
          </w:p>
        </w:tc>
        <w:tc>
          <w:tcPr>
            <w:tcW w:w="1380" w:type="dxa"/>
          </w:tcPr>
          <w:p>
            <w:pPr>
              <w:pStyle w:val="TableParagraph"/>
              <w:spacing w:before="20"/>
              <w:ind w:right="327"/>
              <w:jc w:val="right"/>
              <w:rPr>
                <w:sz w:val="18"/>
              </w:rPr>
            </w:pPr>
            <w:r>
              <w:rPr>
                <w:w w:val="95"/>
                <w:sz w:val="18"/>
              </w:rPr>
              <w:t>98,175</w:t>
            </w:r>
          </w:p>
        </w:tc>
        <w:tc>
          <w:tcPr>
            <w:tcW w:w="1380" w:type="dxa"/>
          </w:tcPr>
          <w:p>
            <w:pPr>
              <w:pStyle w:val="TableParagraph"/>
              <w:spacing w:before="20"/>
              <w:ind w:right="242"/>
              <w:jc w:val="right"/>
              <w:rPr>
                <w:b/>
                <w:sz w:val="18"/>
              </w:rPr>
            </w:pPr>
            <w:r>
              <w:rPr>
                <w:b/>
                <w:w w:val="95"/>
                <w:sz w:val="18"/>
              </w:rPr>
              <w:t>107,897</w:t>
            </w:r>
          </w:p>
        </w:tc>
        <w:tc>
          <w:tcPr>
            <w:tcW w:w="1140" w:type="dxa"/>
          </w:tcPr>
          <w:p>
            <w:pPr>
              <w:pStyle w:val="TableParagraph"/>
              <w:spacing w:before="20"/>
              <w:ind w:right="87"/>
              <w:jc w:val="right"/>
              <w:rPr>
                <w:sz w:val="18"/>
              </w:rPr>
            </w:pPr>
            <w:r>
              <w:rPr>
                <w:w w:val="95"/>
                <w:sz w:val="18"/>
              </w:rPr>
              <w:t>98,175</w:t>
            </w:r>
          </w:p>
        </w:tc>
      </w:tr>
      <w:tr>
        <w:trPr>
          <w:trHeight w:val="262" w:hRule="exact"/>
        </w:trPr>
        <w:tc>
          <w:tcPr>
            <w:tcW w:w="3394" w:type="dxa"/>
          </w:tcPr>
          <w:p>
            <w:pPr>
              <w:pStyle w:val="TableParagraph"/>
              <w:spacing w:before="18"/>
              <w:ind w:left="35" w:right="6"/>
              <w:rPr>
                <w:sz w:val="18"/>
              </w:rPr>
            </w:pPr>
            <w:r>
              <w:rPr>
                <w:sz w:val="18"/>
              </w:rPr>
              <w:t>Other non-financial assets</w:t>
            </w:r>
          </w:p>
        </w:tc>
        <w:tc>
          <w:tcPr>
            <w:tcW w:w="981" w:type="dxa"/>
          </w:tcPr>
          <w:p>
            <w:pPr>
              <w:pStyle w:val="TableParagraph"/>
              <w:spacing w:before="20"/>
              <w:ind w:left="445"/>
              <w:rPr>
                <w:sz w:val="18"/>
              </w:rPr>
            </w:pPr>
            <w:r>
              <w:rPr>
                <w:sz w:val="18"/>
              </w:rPr>
              <w:t>24</w:t>
            </w:r>
          </w:p>
        </w:tc>
        <w:tc>
          <w:tcPr>
            <w:tcW w:w="1620" w:type="dxa"/>
            <w:tcBorders>
              <w:bottom w:val="single" w:sz="1" w:space="0" w:color="000000"/>
            </w:tcBorders>
          </w:tcPr>
          <w:p>
            <w:pPr>
              <w:pStyle w:val="TableParagraph"/>
              <w:spacing w:before="20"/>
              <w:ind w:right="243"/>
              <w:jc w:val="right"/>
              <w:rPr>
                <w:b/>
                <w:sz w:val="18"/>
              </w:rPr>
            </w:pPr>
            <w:r>
              <w:rPr>
                <w:b/>
                <w:w w:val="95"/>
                <w:sz w:val="18"/>
              </w:rPr>
              <w:t>5,281</w:t>
            </w:r>
          </w:p>
        </w:tc>
        <w:tc>
          <w:tcPr>
            <w:tcW w:w="1380" w:type="dxa"/>
            <w:tcBorders>
              <w:bottom w:val="single" w:sz="1" w:space="0" w:color="000000"/>
            </w:tcBorders>
          </w:tcPr>
          <w:p>
            <w:pPr>
              <w:pStyle w:val="TableParagraph"/>
              <w:spacing w:before="20"/>
              <w:ind w:right="327"/>
              <w:jc w:val="right"/>
              <w:rPr>
                <w:sz w:val="18"/>
              </w:rPr>
            </w:pPr>
            <w:r>
              <w:rPr>
                <w:w w:val="95"/>
                <w:sz w:val="18"/>
              </w:rPr>
              <w:t>1,002</w:t>
            </w:r>
          </w:p>
        </w:tc>
        <w:tc>
          <w:tcPr>
            <w:tcW w:w="1380" w:type="dxa"/>
            <w:tcBorders>
              <w:bottom w:val="single" w:sz="1" w:space="0" w:color="000000"/>
            </w:tcBorders>
          </w:tcPr>
          <w:p>
            <w:pPr>
              <w:pStyle w:val="TableParagraph"/>
              <w:spacing w:before="20"/>
              <w:ind w:right="243"/>
              <w:jc w:val="right"/>
              <w:rPr>
                <w:b/>
                <w:sz w:val="18"/>
              </w:rPr>
            </w:pPr>
            <w:r>
              <w:rPr>
                <w:b/>
                <w:w w:val="95"/>
                <w:sz w:val="18"/>
              </w:rPr>
              <w:t>5,281</w:t>
            </w:r>
          </w:p>
        </w:tc>
        <w:tc>
          <w:tcPr>
            <w:tcW w:w="1140" w:type="dxa"/>
            <w:tcBorders>
              <w:bottom w:val="single" w:sz="1" w:space="0" w:color="000000"/>
            </w:tcBorders>
          </w:tcPr>
          <w:p>
            <w:pPr>
              <w:pStyle w:val="TableParagraph"/>
              <w:spacing w:before="20"/>
              <w:ind w:right="87"/>
              <w:jc w:val="right"/>
              <w:rPr>
                <w:sz w:val="18"/>
              </w:rPr>
            </w:pPr>
            <w:r>
              <w:rPr>
                <w:w w:val="95"/>
                <w:sz w:val="18"/>
              </w:rPr>
              <w:t>1,002</w:t>
            </w:r>
          </w:p>
        </w:tc>
      </w:tr>
      <w:tr>
        <w:trPr>
          <w:trHeight w:val="338" w:hRule="exact"/>
        </w:trPr>
        <w:tc>
          <w:tcPr>
            <w:tcW w:w="3394" w:type="dxa"/>
          </w:tcPr>
          <w:p>
            <w:pPr>
              <w:pStyle w:val="TableParagraph"/>
              <w:spacing w:before="125"/>
              <w:ind w:left="35" w:right="6"/>
              <w:rPr>
                <w:b/>
                <w:sz w:val="18"/>
              </w:rPr>
            </w:pPr>
            <w:r>
              <w:rPr>
                <w:b/>
                <w:sz w:val="18"/>
              </w:rPr>
              <w:t>Total non-current assets</w:t>
            </w:r>
          </w:p>
        </w:tc>
        <w:tc>
          <w:tcPr>
            <w:tcW w:w="981" w:type="dxa"/>
          </w:tcPr>
          <w:p>
            <w:pPr/>
          </w:p>
        </w:tc>
        <w:tc>
          <w:tcPr>
            <w:tcW w:w="1620" w:type="dxa"/>
            <w:tcBorders>
              <w:top w:val="single" w:sz="1" w:space="0" w:color="000000"/>
              <w:bottom w:val="single" w:sz="1" w:space="0" w:color="000000"/>
            </w:tcBorders>
          </w:tcPr>
          <w:p>
            <w:pPr>
              <w:pStyle w:val="TableParagraph"/>
              <w:spacing w:before="124"/>
              <w:ind w:right="243"/>
              <w:jc w:val="right"/>
              <w:rPr>
                <w:b/>
                <w:sz w:val="18"/>
              </w:rPr>
            </w:pPr>
            <w:r>
              <w:rPr>
                <w:b/>
                <w:w w:val="95"/>
                <w:sz w:val="18"/>
              </w:rPr>
              <w:t>2,357,089</w:t>
            </w:r>
          </w:p>
        </w:tc>
        <w:tc>
          <w:tcPr>
            <w:tcW w:w="1380" w:type="dxa"/>
            <w:tcBorders>
              <w:top w:val="single" w:sz="1" w:space="0" w:color="000000"/>
              <w:bottom w:val="single" w:sz="1" w:space="0" w:color="000000"/>
            </w:tcBorders>
          </w:tcPr>
          <w:p>
            <w:pPr>
              <w:pStyle w:val="TableParagraph"/>
              <w:spacing w:before="124"/>
              <w:ind w:right="327"/>
              <w:jc w:val="right"/>
              <w:rPr>
                <w:sz w:val="18"/>
              </w:rPr>
            </w:pPr>
            <w:r>
              <w:rPr>
                <w:w w:val="95"/>
                <w:sz w:val="18"/>
              </w:rPr>
              <w:t>2,062,882</w:t>
            </w:r>
          </w:p>
        </w:tc>
        <w:tc>
          <w:tcPr>
            <w:tcW w:w="1380" w:type="dxa"/>
            <w:tcBorders>
              <w:top w:val="single" w:sz="1" w:space="0" w:color="000000"/>
              <w:bottom w:val="single" w:sz="1" w:space="0" w:color="000000"/>
            </w:tcBorders>
          </w:tcPr>
          <w:p>
            <w:pPr>
              <w:pStyle w:val="TableParagraph"/>
              <w:spacing w:before="124"/>
              <w:ind w:right="243"/>
              <w:jc w:val="right"/>
              <w:rPr>
                <w:b/>
                <w:sz w:val="18"/>
              </w:rPr>
            </w:pPr>
            <w:r>
              <w:rPr>
                <w:b/>
                <w:w w:val="95"/>
                <w:sz w:val="18"/>
              </w:rPr>
              <w:t>2,351,528</w:t>
            </w:r>
          </w:p>
        </w:tc>
        <w:tc>
          <w:tcPr>
            <w:tcW w:w="1140" w:type="dxa"/>
            <w:tcBorders>
              <w:top w:val="single" w:sz="1" w:space="0" w:color="000000"/>
              <w:bottom w:val="single" w:sz="1" w:space="0" w:color="000000"/>
            </w:tcBorders>
          </w:tcPr>
          <w:p>
            <w:pPr>
              <w:pStyle w:val="TableParagraph"/>
              <w:spacing w:before="124"/>
              <w:ind w:right="87"/>
              <w:jc w:val="right"/>
              <w:rPr>
                <w:sz w:val="18"/>
              </w:rPr>
            </w:pPr>
            <w:r>
              <w:rPr>
                <w:w w:val="95"/>
                <w:sz w:val="18"/>
              </w:rPr>
              <w:t>2,055,696</w:t>
            </w:r>
          </w:p>
        </w:tc>
      </w:tr>
      <w:tr>
        <w:trPr>
          <w:trHeight w:val="338" w:hRule="exact"/>
        </w:trPr>
        <w:tc>
          <w:tcPr>
            <w:tcW w:w="3394" w:type="dxa"/>
          </w:tcPr>
          <w:p>
            <w:pPr>
              <w:pStyle w:val="TableParagraph"/>
              <w:spacing w:before="125"/>
              <w:ind w:left="35" w:right="6"/>
              <w:rPr>
                <w:b/>
                <w:sz w:val="18"/>
              </w:rPr>
            </w:pPr>
            <w:r>
              <w:rPr>
                <w:b/>
                <w:sz w:val="18"/>
              </w:rPr>
              <w:t>Total assets</w:t>
            </w:r>
          </w:p>
        </w:tc>
        <w:tc>
          <w:tcPr>
            <w:tcW w:w="981" w:type="dxa"/>
          </w:tcPr>
          <w:p>
            <w:pPr/>
          </w:p>
        </w:tc>
        <w:tc>
          <w:tcPr>
            <w:tcW w:w="1620" w:type="dxa"/>
            <w:tcBorders>
              <w:top w:val="single" w:sz="1" w:space="0" w:color="000000"/>
              <w:bottom w:val="single" w:sz="1" w:space="0" w:color="000000"/>
            </w:tcBorders>
          </w:tcPr>
          <w:p>
            <w:pPr>
              <w:pStyle w:val="TableParagraph"/>
              <w:spacing w:before="124"/>
              <w:ind w:right="243"/>
              <w:jc w:val="right"/>
              <w:rPr>
                <w:b/>
                <w:sz w:val="18"/>
              </w:rPr>
            </w:pPr>
            <w:r>
              <w:rPr>
                <w:b/>
                <w:w w:val="95"/>
                <w:sz w:val="18"/>
              </w:rPr>
              <w:t>2,676,518</w:t>
            </w:r>
          </w:p>
        </w:tc>
        <w:tc>
          <w:tcPr>
            <w:tcW w:w="1380" w:type="dxa"/>
            <w:tcBorders>
              <w:top w:val="single" w:sz="1" w:space="0" w:color="000000"/>
              <w:bottom w:val="single" w:sz="1" w:space="0" w:color="000000"/>
            </w:tcBorders>
          </w:tcPr>
          <w:p>
            <w:pPr>
              <w:pStyle w:val="TableParagraph"/>
              <w:spacing w:before="124"/>
              <w:ind w:right="327"/>
              <w:jc w:val="right"/>
              <w:rPr>
                <w:sz w:val="18"/>
              </w:rPr>
            </w:pPr>
            <w:r>
              <w:rPr>
                <w:w w:val="95"/>
                <w:sz w:val="18"/>
              </w:rPr>
              <w:t>2,349,351</w:t>
            </w:r>
          </w:p>
        </w:tc>
        <w:tc>
          <w:tcPr>
            <w:tcW w:w="1380" w:type="dxa"/>
            <w:tcBorders>
              <w:top w:val="single" w:sz="1" w:space="0" w:color="000000"/>
              <w:bottom w:val="single" w:sz="1" w:space="0" w:color="000000"/>
            </w:tcBorders>
          </w:tcPr>
          <w:p>
            <w:pPr>
              <w:pStyle w:val="TableParagraph"/>
              <w:spacing w:before="124"/>
              <w:ind w:right="243"/>
              <w:jc w:val="right"/>
              <w:rPr>
                <w:b/>
                <w:sz w:val="18"/>
              </w:rPr>
            </w:pPr>
            <w:r>
              <w:rPr>
                <w:b/>
                <w:w w:val="95"/>
                <w:sz w:val="18"/>
              </w:rPr>
              <w:t>2,667,031</w:t>
            </w:r>
          </w:p>
        </w:tc>
        <w:tc>
          <w:tcPr>
            <w:tcW w:w="1140" w:type="dxa"/>
            <w:tcBorders>
              <w:top w:val="single" w:sz="1" w:space="0" w:color="000000"/>
              <w:bottom w:val="single" w:sz="1" w:space="0" w:color="000000"/>
            </w:tcBorders>
          </w:tcPr>
          <w:p>
            <w:pPr>
              <w:pStyle w:val="TableParagraph"/>
              <w:spacing w:before="124"/>
              <w:ind w:right="87"/>
              <w:jc w:val="right"/>
              <w:rPr>
                <w:sz w:val="18"/>
              </w:rPr>
            </w:pPr>
            <w:r>
              <w:rPr>
                <w:w w:val="95"/>
                <w:sz w:val="18"/>
              </w:rPr>
              <w:t>2,341,818</w:t>
            </w:r>
          </w:p>
        </w:tc>
      </w:tr>
      <w:tr>
        <w:trPr>
          <w:trHeight w:val="398" w:hRule="exact"/>
        </w:trPr>
        <w:tc>
          <w:tcPr>
            <w:tcW w:w="3394" w:type="dxa"/>
          </w:tcPr>
          <w:p>
            <w:pPr>
              <w:pStyle w:val="TableParagraph"/>
              <w:spacing w:before="125"/>
              <w:ind w:left="35" w:right="6"/>
              <w:rPr>
                <w:b/>
                <w:sz w:val="18"/>
              </w:rPr>
            </w:pPr>
            <w:r>
              <w:rPr>
                <w:b/>
                <w:sz w:val="18"/>
              </w:rPr>
              <w:t>LIABILITIES</w:t>
            </w:r>
          </w:p>
        </w:tc>
        <w:tc>
          <w:tcPr>
            <w:tcW w:w="981" w:type="dxa"/>
          </w:tcPr>
          <w:p>
            <w:pPr/>
          </w:p>
        </w:tc>
        <w:tc>
          <w:tcPr>
            <w:tcW w:w="1620"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140" w:type="dxa"/>
            <w:tcBorders>
              <w:top w:val="single" w:sz="1" w:space="0" w:color="000000"/>
            </w:tcBorders>
          </w:tcPr>
          <w:p>
            <w:pPr/>
          </w:p>
        </w:tc>
      </w:tr>
      <w:tr>
        <w:trPr>
          <w:trHeight w:val="276" w:hRule="exact"/>
        </w:trPr>
        <w:tc>
          <w:tcPr>
            <w:tcW w:w="3394" w:type="dxa"/>
          </w:tcPr>
          <w:p>
            <w:pPr>
              <w:pStyle w:val="TableParagraph"/>
              <w:spacing w:before="46"/>
              <w:ind w:left="35" w:right="6"/>
              <w:rPr>
                <w:b/>
                <w:sz w:val="18"/>
              </w:rPr>
            </w:pPr>
            <w:r>
              <w:rPr>
                <w:b/>
                <w:sz w:val="18"/>
              </w:rPr>
              <w:t>Current liabilities</w:t>
            </w:r>
          </w:p>
        </w:tc>
        <w:tc>
          <w:tcPr>
            <w:tcW w:w="981" w:type="dxa"/>
          </w:tcPr>
          <w:p>
            <w:pPr/>
          </w:p>
        </w:tc>
        <w:tc>
          <w:tcPr>
            <w:tcW w:w="1620" w:type="dxa"/>
          </w:tcPr>
          <w:p>
            <w:pPr/>
          </w:p>
        </w:tc>
        <w:tc>
          <w:tcPr>
            <w:tcW w:w="1380" w:type="dxa"/>
          </w:tcPr>
          <w:p>
            <w:pPr/>
          </w:p>
        </w:tc>
        <w:tc>
          <w:tcPr>
            <w:tcW w:w="1380" w:type="dxa"/>
          </w:tcPr>
          <w:p>
            <w:pPr/>
          </w:p>
        </w:tc>
        <w:tc>
          <w:tcPr>
            <w:tcW w:w="1140" w:type="dxa"/>
          </w:tcPr>
          <w:p>
            <w:pPr/>
          </w:p>
        </w:tc>
      </w:tr>
      <w:tr>
        <w:trPr>
          <w:trHeight w:val="250" w:hRule="exact"/>
        </w:trPr>
        <w:tc>
          <w:tcPr>
            <w:tcW w:w="3394" w:type="dxa"/>
          </w:tcPr>
          <w:p>
            <w:pPr>
              <w:pStyle w:val="TableParagraph"/>
              <w:spacing w:before="3"/>
              <w:ind w:left="35" w:right="6"/>
              <w:rPr>
                <w:sz w:val="18"/>
              </w:rPr>
            </w:pPr>
            <w:r>
              <w:rPr>
                <w:sz w:val="18"/>
              </w:rPr>
              <w:t>Trade and other payables</w:t>
            </w:r>
          </w:p>
        </w:tc>
        <w:tc>
          <w:tcPr>
            <w:tcW w:w="981" w:type="dxa"/>
          </w:tcPr>
          <w:p>
            <w:pPr>
              <w:pStyle w:val="TableParagraph"/>
              <w:spacing w:before="6"/>
              <w:ind w:left="445"/>
              <w:rPr>
                <w:sz w:val="18"/>
              </w:rPr>
            </w:pPr>
            <w:r>
              <w:rPr>
                <w:sz w:val="18"/>
              </w:rPr>
              <w:t>25</w:t>
            </w:r>
          </w:p>
        </w:tc>
        <w:tc>
          <w:tcPr>
            <w:tcW w:w="1620" w:type="dxa"/>
          </w:tcPr>
          <w:p>
            <w:pPr>
              <w:pStyle w:val="TableParagraph"/>
              <w:spacing w:before="6"/>
              <w:ind w:right="243"/>
              <w:jc w:val="right"/>
              <w:rPr>
                <w:b/>
                <w:sz w:val="18"/>
              </w:rPr>
            </w:pPr>
            <w:r>
              <w:rPr>
                <w:b/>
                <w:w w:val="95"/>
                <w:sz w:val="18"/>
              </w:rPr>
              <w:t>56,403</w:t>
            </w:r>
          </w:p>
        </w:tc>
        <w:tc>
          <w:tcPr>
            <w:tcW w:w="1380" w:type="dxa"/>
          </w:tcPr>
          <w:p>
            <w:pPr>
              <w:pStyle w:val="TableParagraph"/>
              <w:spacing w:before="6"/>
              <w:ind w:right="327"/>
              <w:jc w:val="right"/>
              <w:rPr>
                <w:sz w:val="18"/>
              </w:rPr>
            </w:pPr>
            <w:r>
              <w:rPr>
                <w:w w:val="95"/>
                <w:sz w:val="18"/>
              </w:rPr>
              <w:t>47,695</w:t>
            </w:r>
          </w:p>
        </w:tc>
        <w:tc>
          <w:tcPr>
            <w:tcW w:w="1380" w:type="dxa"/>
          </w:tcPr>
          <w:p>
            <w:pPr>
              <w:pStyle w:val="TableParagraph"/>
              <w:spacing w:before="6"/>
              <w:ind w:right="243"/>
              <w:jc w:val="right"/>
              <w:rPr>
                <w:b/>
                <w:sz w:val="18"/>
              </w:rPr>
            </w:pPr>
            <w:r>
              <w:rPr>
                <w:b/>
                <w:w w:val="95"/>
                <w:sz w:val="18"/>
              </w:rPr>
              <w:t>55,911</w:t>
            </w:r>
          </w:p>
        </w:tc>
        <w:tc>
          <w:tcPr>
            <w:tcW w:w="1140" w:type="dxa"/>
          </w:tcPr>
          <w:p>
            <w:pPr>
              <w:pStyle w:val="TableParagraph"/>
              <w:spacing w:before="6"/>
              <w:ind w:right="87"/>
              <w:jc w:val="right"/>
              <w:rPr>
                <w:sz w:val="18"/>
              </w:rPr>
            </w:pPr>
            <w:r>
              <w:rPr>
                <w:w w:val="95"/>
                <w:sz w:val="18"/>
              </w:rPr>
              <w:t>47,297</w:t>
            </w:r>
          </w:p>
        </w:tc>
      </w:tr>
      <w:tr>
        <w:trPr>
          <w:trHeight w:val="264" w:hRule="exact"/>
        </w:trPr>
        <w:tc>
          <w:tcPr>
            <w:tcW w:w="3394" w:type="dxa"/>
          </w:tcPr>
          <w:p>
            <w:pPr>
              <w:pStyle w:val="TableParagraph"/>
              <w:spacing w:before="18"/>
              <w:ind w:left="35" w:right="6"/>
              <w:rPr>
                <w:sz w:val="18"/>
              </w:rPr>
            </w:pPr>
            <w:r>
              <w:rPr>
                <w:sz w:val="18"/>
              </w:rPr>
              <w:t>Borrowings</w:t>
            </w:r>
          </w:p>
        </w:tc>
        <w:tc>
          <w:tcPr>
            <w:tcW w:w="981" w:type="dxa"/>
          </w:tcPr>
          <w:p>
            <w:pPr>
              <w:pStyle w:val="TableParagraph"/>
              <w:spacing w:before="20"/>
              <w:ind w:left="445"/>
              <w:rPr>
                <w:sz w:val="18"/>
              </w:rPr>
            </w:pPr>
            <w:r>
              <w:rPr>
                <w:sz w:val="18"/>
              </w:rPr>
              <w:t>26</w:t>
            </w:r>
          </w:p>
        </w:tc>
        <w:tc>
          <w:tcPr>
            <w:tcW w:w="1620" w:type="dxa"/>
          </w:tcPr>
          <w:p>
            <w:pPr>
              <w:pStyle w:val="TableParagraph"/>
              <w:spacing w:before="20"/>
              <w:ind w:right="242"/>
              <w:jc w:val="right"/>
              <w:rPr>
                <w:b/>
                <w:sz w:val="18"/>
              </w:rPr>
            </w:pPr>
            <w:r>
              <w:rPr>
                <w:b/>
                <w:w w:val="99"/>
                <w:sz w:val="18"/>
              </w:rPr>
              <w:t>-</w:t>
            </w:r>
          </w:p>
        </w:tc>
        <w:tc>
          <w:tcPr>
            <w:tcW w:w="1380" w:type="dxa"/>
          </w:tcPr>
          <w:p>
            <w:pPr>
              <w:pStyle w:val="TableParagraph"/>
              <w:spacing w:before="20"/>
              <w:ind w:right="327"/>
              <w:jc w:val="right"/>
              <w:rPr>
                <w:sz w:val="18"/>
              </w:rPr>
            </w:pPr>
            <w:r>
              <w:rPr>
                <w:w w:val="95"/>
                <w:sz w:val="18"/>
              </w:rPr>
              <w:t>72,000</w:t>
            </w:r>
          </w:p>
        </w:tc>
        <w:tc>
          <w:tcPr>
            <w:tcW w:w="1380" w:type="dxa"/>
          </w:tcPr>
          <w:p>
            <w:pPr>
              <w:pStyle w:val="TableParagraph"/>
              <w:spacing w:before="20"/>
              <w:ind w:right="243"/>
              <w:jc w:val="right"/>
              <w:rPr>
                <w:b/>
                <w:sz w:val="18"/>
              </w:rPr>
            </w:pPr>
            <w:r>
              <w:rPr>
                <w:b/>
                <w:w w:val="95"/>
                <w:sz w:val="18"/>
              </w:rPr>
              <w:t>9,201</w:t>
            </w:r>
          </w:p>
        </w:tc>
        <w:tc>
          <w:tcPr>
            <w:tcW w:w="1140" w:type="dxa"/>
          </w:tcPr>
          <w:p>
            <w:pPr>
              <w:pStyle w:val="TableParagraph"/>
              <w:spacing w:before="20"/>
              <w:ind w:right="87"/>
              <w:jc w:val="right"/>
              <w:rPr>
                <w:sz w:val="18"/>
              </w:rPr>
            </w:pPr>
            <w:r>
              <w:rPr>
                <w:w w:val="95"/>
                <w:sz w:val="18"/>
              </w:rPr>
              <w:t>79,228</w:t>
            </w:r>
          </w:p>
        </w:tc>
      </w:tr>
      <w:tr>
        <w:trPr>
          <w:trHeight w:val="264" w:hRule="exact"/>
        </w:trPr>
        <w:tc>
          <w:tcPr>
            <w:tcW w:w="3394" w:type="dxa"/>
          </w:tcPr>
          <w:p>
            <w:pPr>
              <w:pStyle w:val="TableParagraph"/>
              <w:spacing w:before="18"/>
              <w:ind w:left="35" w:right="6"/>
              <w:rPr>
                <w:sz w:val="18"/>
              </w:rPr>
            </w:pPr>
            <w:r>
              <w:rPr>
                <w:sz w:val="18"/>
              </w:rPr>
              <w:t>Employee benefit provisions</w:t>
            </w:r>
          </w:p>
        </w:tc>
        <w:tc>
          <w:tcPr>
            <w:tcW w:w="981" w:type="dxa"/>
          </w:tcPr>
          <w:p>
            <w:pPr>
              <w:pStyle w:val="TableParagraph"/>
              <w:spacing w:before="20"/>
              <w:ind w:left="445"/>
              <w:rPr>
                <w:sz w:val="18"/>
              </w:rPr>
            </w:pPr>
            <w:r>
              <w:rPr>
                <w:sz w:val="18"/>
              </w:rPr>
              <w:t>27</w:t>
            </w:r>
          </w:p>
        </w:tc>
        <w:tc>
          <w:tcPr>
            <w:tcW w:w="1620" w:type="dxa"/>
          </w:tcPr>
          <w:p>
            <w:pPr>
              <w:pStyle w:val="TableParagraph"/>
              <w:spacing w:before="20"/>
              <w:ind w:right="243"/>
              <w:jc w:val="right"/>
              <w:rPr>
                <w:b/>
                <w:sz w:val="18"/>
              </w:rPr>
            </w:pPr>
            <w:r>
              <w:rPr>
                <w:b/>
                <w:w w:val="95"/>
                <w:sz w:val="18"/>
              </w:rPr>
              <w:t>72,881</w:t>
            </w:r>
          </w:p>
        </w:tc>
        <w:tc>
          <w:tcPr>
            <w:tcW w:w="1380" w:type="dxa"/>
          </w:tcPr>
          <w:p>
            <w:pPr>
              <w:pStyle w:val="TableParagraph"/>
              <w:spacing w:before="20"/>
              <w:ind w:right="327"/>
              <w:jc w:val="right"/>
              <w:rPr>
                <w:sz w:val="18"/>
              </w:rPr>
            </w:pPr>
            <w:r>
              <w:rPr>
                <w:w w:val="95"/>
                <w:sz w:val="18"/>
              </w:rPr>
              <w:t>68,421</w:t>
            </w:r>
          </w:p>
        </w:tc>
        <w:tc>
          <w:tcPr>
            <w:tcW w:w="1380" w:type="dxa"/>
          </w:tcPr>
          <w:p>
            <w:pPr>
              <w:pStyle w:val="TableParagraph"/>
              <w:spacing w:before="20"/>
              <w:ind w:right="243"/>
              <w:jc w:val="right"/>
              <w:rPr>
                <w:b/>
                <w:sz w:val="18"/>
              </w:rPr>
            </w:pPr>
            <w:r>
              <w:rPr>
                <w:b/>
                <w:w w:val="95"/>
                <w:sz w:val="18"/>
              </w:rPr>
              <w:t>69,727</w:t>
            </w:r>
          </w:p>
        </w:tc>
        <w:tc>
          <w:tcPr>
            <w:tcW w:w="1140" w:type="dxa"/>
          </w:tcPr>
          <w:p>
            <w:pPr>
              <w:pStyle w:val="TableParagraph"/>
              <w:spacing w:before="20"/>
              <w:ind w:right="87"/>
              <w:jc w:val="right"/>
              <w:rPr>
                <w:sz w:val="18"/>
              </w:rPr>
            </w:pPr>
            <w:r>
              <w:rPr>
                <w:w w:val="95"/>
                <w:sz w:val="18"/>
              </w:rPr>
              <w:t>65,819</w:t>
            </w:r>
          </w:p>
        </w:tc>
      </w:tr>
      <w:tr>
        <w:trPr>
          <w:trHeight w:val="262" w:hRule="exact"/>
        </w:trPr>
        <w:tc>
          <w:tcPr>
            <w:tcW w:w="3394" w:type="dxa"/>
          </w:tcPr>
          <w:p>
            <w:pPr>
              <w:pStyle w:val="TableParagraph"/>
              <w:spacing w:before="18"/>
              <w:ind w:left="35" w:right="6"/>
              <w:rPr>
                <w:sz w:val="18"/>
              </w:rPr>
            </w:pPr>
            <w:r>
              <w:rPr>
                <w:sz w:val="18"/>
              </w:rPr>
              <w:t>Other liabilities</w:t>
            </w:r>
          </w:p>
        </w:tc>
        <w:tc>
          <w:tcPr>
            <w:tcW w:w="981" w:type="dxa"/>
          </w:tcPr>
          <w:p>
            <w:pPr>
              <w:pStyle w:val="TableParagraph"/>
              <w:spacing w:before="20"/>
              <w:ind w:left="445"/>
              <w:rPr>
                <w:sz w:val="18"/>
              </w:rPr>
            </w:pPr>
            <w:r>
              <w:rPr>
                <w:sz w:val="18"/>
              </w:rPr>
              <w:t>28</w:t>
            </w:r>
          </w:p>
        </w:tc>
        <w:tc>
          <w:tcPr>
            <w:tcW w:w="1620" w:type="dxa"/>
            <w:tcBorders>
              <w:bottom w:val="single" w:sz="1" w:space="0" w:color="000000"/>
            </w:tcBorders>
          </w:tcPr>
          <w:p>
            <w:pPr>
              <w:pStyle w:val="TableParagraph"/>
              <w:spacing w:before="20"/>
              <w:ind w:right="243"/>
              <w:jc w:val="right"/>
              <w:rPr>
                <w:b/>
                <w:sz w:val="18"/>
              </w:rPr>
            </w:pPr>
            <w:r>
              <w:rPr>
                <w:b/>
                <w:w w:val="95"/>
                <w:sz w:val="18"/>
              </w:rPr>
              <w:t>50,524</w:t>
            </w:r>
          </w:p>
        </w:tc>
        <w:tc>
          <w:tcPr>
            <w:tcW w:w="1380" w:type="dxa"/>
            <w:tcBorders>
              <w:bottom w:val="single" w:sz="1" w:space="0" w:color="000000"/>
            </w:tcBorders>
          </w:tcPr>
          <w:p>
            <w:pPr>
              <w:pStyle w:val="TableParagraph"/>
              <w:spacing w:before="20"/>
              <w:ind w:right="327"/>
              <w:jc w:val="right"/>
              <w:rPr>
                <w:sz w:val="18"/>
              </w:rPr>
            </w:pPr>
            <w:r>
              <w:rPr>
                <w:w w:val="95"/>
                <w:sz w:val="18"/>
              </w:rPr>
              <w:t>48,850</w:t>
            </w:r>
          </w:p>
        </w:tc>
        <w:tc>
          <w:tcPr>
            <w:tcW w:w="1380" w:type="dxa"/>
            <w:tcBorders>
              <w:bottom w:val="single" w:sz="1" w:space="0" w:color="000000"/>
            </w:tcBorders>
          </w:tcPr>
          <w:p>
            <w:pPr>
              <w:pStyle w:val="TableParagraph"/>
              <w:spacing w:before="20"/>
              <w:ind w:right="243"/>
              <w:jc w:val="right"/>
              <w:rPr>
                <w:b/>
                <w:sz w:val="18"/>
              </w:rPr>
            </w:pPr>
            <w:r>
              <w:rPr>
                <w:b/>
                <w:w w:val="95"/>
                <w:sz w:val="18"/>
              </w:rPr>
              <w:t>48,757</w:t>
            </w:r>
          </w:p>
        </w:tc>
        <w:tc>
          <w:tcPr>
            <w:tcW w:w="1140" w:type="dxa"/>
            <w:tcBorders>
              <w:bottom w:val="single" w:sz="1" w:space="0" w:color="000000"/>
            </w:tcBorders>
          </w:tcPr>
          <w:p>
            <w:pPr>
              <w:pStyle w:val="TableParagraph"/>
              <w:spacing w:before="20"/>
              <w:ind w:right="87"/>
              <w:jc w:val="right"/>
              <w:rPr>
                <w:sz w:val="18"/>
              </w:rPr>
            </w:pPr>
            <w:r>
              <w:rPr>
                <w:w w:val="95"/>
                <w:sz w:val="18"/>
              </w:rPr>
              <w:t>47,052</w:t>
            </w:r>
          </w:p>
        </w:tc>
      </w:tr>
      <w:tr>
        <w:trPr>
          <w:trHeight w:val="338" w:hRule="exact"/>
        </w:trPr>
        <w:tc>
          <w:tcPr>
            <w:tcW w:w="3394" w:type="dxa"/>
          </w:tcPr>
          <w:p>
            <w:pPr>
              <w:pStyle w:val="TableParagraph"/>
              <w:spacing w:before="125"/>
              <w:ind w:left="35" w:right="6"/>
              <w:rPr>
                <w:b/>
                <w:sz w:val="18"/>
              </w:rPr>
            </w:pPr>
            <w:r>
              <w:rPr>
                <w:b/>
                <w:sz w:val="18"/>
              </w:rPr>
              <w:t>Total current liabilities</w:t>
            </w:r>
          </w:p>
        </w:tc>
        <w:tc>
          <w:tcPr>
            <w:tcW w:w="981" w:type="dxa"/>
          </w:tcPr>
          <w:p>
            <w:pPr/>
          </w:p>
        </w:tc>
        <w:tc>
          <w:tcPr>
            <w:tcW w:w="1620" w:type="dxa"/>
            <w:tcBorders>
              <w:top w:val="single" w:sz="1" w:space="0" w:color="000000"/>
              <w:bottom w:val="single" w:sz="1" w:space="0" w:color="000000"/>
            </w:tcBorders>
          </w:tcPr>
          <w:p>
            <w:pPr>
              <w:pStyle w:val="TableParagraph"/>
              <w:spacing w:before="124"/>
              <w:ind w:right="242"/>
              <w:jc w:val="right"/>
              <w:rPr>
                <w:b/>
                <w:sz w:val="18"/>
              </w:rPr>
            </w:pPr>
            <w:r>
              <w:rPr>
                <w:b/>
                <w:w w:val="95"/>
                <w:sz w:val="18"/>
              </w:rPr>
              <w:t>179,808</w:t>
            </w:r>
          </w:p>
        </w:tc>
        <w:tc>
          <w:tcPr>
            <w:tcW w:w="1380" w:type="dxa"/>
            <w:tcBorders>
              <w:top w:val="single" w:sz="1" w:space="0" w:color="000000"/>
              <w:bottom w:val="single" w:sz="1" w:space="0" w:color="000000"/>
            </w:tcBorders>
          </w:tcPr>
          <w:p>
            <w:pPr>
              <w:pStyle w:val="TableParagraph"/>
              <w:spacing w:before="124"/>
              <w:ind w:right="326"/>
              <w:jc w:val="right"/>
              <w:rPr>
                <w:sz w:val="18"/>
              </w:rPr>
            </w:pPr>
            <w:r>
              <w:rPr>
                <w:w w:val="95"/>
                <w:sz w:val="18"/>
              </w:rPr>
              <w:t>236,966</w:t>
            </w:r>
          </w:p>
        </w:tc>
        <w:tc>
          <w:tcPr>
            <w:tcW w:w="1380" w:type="dxa"/>
            <w:tcBorders>
              <w:top w:val="single" w:sz="1" w:space="0" w:color="000000"/>
              <w:bottom w:val="single" w:sz="1" w:space="0" w:color="000000"/>
            </w:tcBorders>
          </w:tcPr>
          <w:p>
            <w:pPr>
              <w:pStyle w:val="TableParagraph"/>
              <w:spacing w:before="124"/>
              <w:ind w:right="242"/>
              <w:jc w:val="right"/>
              <w:rPr>
                <w:b/>
                <w:sz w:val="18"/>
              </w:rPr>
            </w:pPr>
            <w:r>
              <w:rPr>
                <w:b/>
                <w:w w:val="95"/>
                <w:sz w:val="18"/>
              </w:rPr>
              <w:t>183,596</w:t>
            </w:r>
          </w:p>
        </w:tc>
        <w:tc>
          <w:tcPr>
            <w:tcW w:w="1140" w:type="dxa"/>
            <w:tcBorders>
              <w:top w:val="single" w:sz="1" w:space="0" w:color="000000"/>
              <w:bottom w:val="single" w:sz="1" w:space="0" w:color="000000"/>
            </w:tcBorders>
          </w:tcPr>
          <w:p>
            <w:pPr>
              <w:pStyle w:val="TableParagraph"/>
              <w:spacing w:before="124"/>
              <w:ind w:right="88"/>
              <w:jc w:val="right"/>
              <w:rPr>
                <w:sz w:val="18"/>
              </w:rPr>
            </w:pPr>
            <w:r>
              <w:rPr>
                <w:w w:val="95"/>
                <w:sz w:val="18"/>
              </w:rPr>
              <w:t>239,396</w:t>
            </w:r>
          </w:p>
        </w:tc>
      </w:tr>
      <w:tr>
        <w:trPr>
          <w:trHeight w:val="355" w:hRule="exact"/>
        </w:trPr>
        <w:tc>
          <w:tcPr>
            <w:tcW w:w="3394" w:type="dxa"/>
          </w:tcPr>
          <w:p>
            <w:pPr>
              <w:pStyle w:val="TableParagraph"/>
              <w:spacing w:before="125"/>
              <w:ind w:left="35" w:right="6"/>
              <w:rPr>
                <w:b/>
                <w:sz w:val="18"/>
              </w:rPr>
            </w:pPr>
            <w:r>
              <w:rPr>
                <w:b/>
                <w:sz w:val="18"/>
              </w:rPr>
              <w:t>Non-current liabilities</w:t>
            </w:r>
          </w:p>
        </w:tc>
        <w:tc>
          <w:tcPr>
            <w:tcW w:w="981" w:type="dxa"/>
          </w:tcPr>
          <w:p>
            <w:pPr/>
          </w:p>
        </w:tc>
        <w:tc>
          <w:tcPr>
            <w:tcW w:w="1620"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140" w:type="dxa"/>
            <w:tcBorders>
              <w:top w:val="single" w:sz="1" w:space="0" w:color="000000"/>
            </w:tcBorders>
          </w:tcPr>
          <w:p>
            <w:pPr/>
          </w:p>
        </w:tc>
      </w:tr>
      <w:tr>
        <w:trPr>
          <w:trHeight w:val="250" w:hRule="exact"/>
        </w:trPr>
        <w:tc>
          <w:tcPr>
            <w:tcW w:w="3394" w:type="dxa"/>
          </w:tcPr>
          <w:p>
            <w:pPr>
              <w:pStyle w:val="TableParagraph"/>
              <w:spacing w:before="3"/>
              <w:ind w:left="35" w:right="6"/>
              <w:rPr>
                <w:sz w:val="18"/>
              </w:rPr>
            </w:pPr>
            <w:r>
              <w:rPr>
                <w:sz w:val="18"/>
              </w:rPr>
              <w:t>Trade and other payables</w:t>
            </w:r>
          </w:p>
        </w:tc>
        <w:tc>
          <w:tcPr>
            <w:tcW w:w="981" w:type="dxa"/>
          </w:tcPr>
          <w:p>
            <w:pPr>
              <w:pStyle w:val="TableParagraph"/>
              <w:spacing w:before="6"/>
              <w:ind w:left="445"/>
              <w:rPr>
                <w:sz w:val="18"/>
              </w:rPr>
            </w:pPr>
            <w:r>
              <w:rPr>
                <w:sz w:val="18"/>
              </w:rPr>
              <w:t>25</w:t>
            </w:r>
          </w:p>
        </w:tc>
        <w:tc>
          <w:tcPr>
            <w:tcW w:w="1620" w:type="dxa"/>
          </w:tcPr>
          <w:p>
            <w:pPr>
              <w:pStyle w:val="TableParagraph"/>
              <w:spacing w:before="6"/>
              <w:ind w:right="243"/>
              <w:jc w:val="right"/>
              <w:rPr>
                <w:b/>
                <w:sz w:val="18"/>
              </w:rPr>
            </w:pPr>
            <w:r>
              <w:rPr>
                <w:b/>
                <w:w w:val="95"/>
                <w:sz w:val="18"/>
              </w:rPr>
              <w:t>3,520</w:t>
            </w:r>
          </w:p>
        </w:tc>
        <w:tc>
          <w:tcPr>
            <w:tcW w:w="1380" w:type="dxa"/>
          </w:tcPr>
          <w:p>
            <w:pPr>
              <w:pStyle w:val="TableParagraph"/>
              <w:spacing w:before="6"/>
              <w:ind w:right="326"/>
              <w:jc w:val="right"/>
              <w:rPr>
                <w:sz w:val="18"/>
              </w:rPr>
            </w:pPr>
            <w:r>
              <w:rPr>
                <w:w w:val="99"/>
                <w:sz w:val="18"/>
              </w:rPr>
              <w:t>-</w:t>
            </w:r>
          </w:p>
        </w:tc>
        <w:tc>
          <w:tcPr>
            <w:tcW w:w="1380" w:type="dxa"/>
          </w:tcPr>
          <w:p>
            <w:pPr>
              <w:pStyle w:val="TableParagraph"/>
              <w:spacing w:before="6"/>
              <w:ind w:right="243"/>
              <w:jc w:val="right"/>
              <w:rPr>
                <w:b/>
                <w:sz w:val="18"/>
              </w:rPr>
            </w:pPr>
            <w:r>
              <w:rPr>
                <w:b/>
                <w:w w:val="95"/>
                <w:sz w:val="18"/>
              </w:rPr>
              <w:t>3,520</w:t>
            </w:r>
          </w:p>
        </w:tc>
        <w:tc>
          <w:tcPr>
            <w:tcW w:w="1140" w:type="dxa"/>
          </w:tcPr>
          <w:p>
            <w:pPr>
              <w:pStyle w:val="TableParagraph"/>
              <w:spacing w:before="6"/>
              <w:ind w:right="86"/>
              <w:jc w:val="right"/>
              <w:rPr>
                <w:sz w:val="18"/>
              </w:rPr>
            </w:pPr>
            <w:r>
              <w:rPr>
                <w:w w:val="99"/>
                <w:sz w:val="18"/>
              </w:rPr>
              <w:t>-</w:t>
            </w:r>
          </w:p>
        </w:tc>
      </w:tr>
      <w:tr>
        <w:trPr>
          <w:trHeight w:val="264" w:hRule="exact"/>
        </w:trPr>
        <w:tc>
          <w:tcPr>
            <w:tcW w:w="3394" w:type="dxa"/>
          </w:tcPr>
          <w:p>
            <w:pPr>
              <w:pStyle w:val="TableParagraph"/>
              <w:spacing w:before="18"/>
              <w:ind w:left="35" w:right="6"/>
              <w:rPr>
                <w:sz w:val="18"/>
              </w:rPr>
            </w:pPr>
            <w:r>
              <w:rPr>
                <w:sz w:val="18"/>
              </w:rPr>
              <w:t>Borrowings</w:t>
            </w:r>
          </w:p>
        </w:tc>
        <w:tc>
          <w:tcPr>
            <w:tcW w:w="981" w:type="dxa"/>
          </w:tcPr>
          <w:p>
            <w:pPr>
              <w:pStyle w:val="TableParagraph"/>
              <w:spacing w:before="20"/>
              <w:ind w:left="445"/>
              <w:rPr>
                <w:sz w:val="18"/>
              </w:rPr>
            </w:pPr>
            <w:r>
              <w:rPr>
                <w:sz w:val="18"/>
              </w:rPr>
              <w:t>26</w:t>
            </w:r>
          </w:p>
        </w:tc>
        <w:tc>
          <w:tcPr>
            <w:tcW w:w="1620" w:type="dxa"/>
          </w:tcPr>
          <w:p>
            <w:pPr>
              <w:pStyle w:val="TableParagraph"/>
              <w:spacing w:before="20"/>
              <w:ind w:right="242"/>
              <w:jc w:val="right"/>
              <w:rPr>
                <w:b/>
                <w:sz w:val="18"/>
              </w:rPr>
            </w:pPr>
            <w:r>
              <w:rPr>
                <w:b/>
                <w:w w:val="95"/>
                <w:sz w:val="18"/>
              </w:rPr>
              <w:t>163,500</w:t>
            </w:r>
          </w:p>
        </w:tc>
        <w:tc>
          <w:tcPr>
            <w:tcW w:w="1380" w:type="dxa"/>
          </w:tcPr>
          <w:p>
            <w:pPr>
              <w:pStyle w:val="TableParagraph"/>
              <w:spacing w:before="20"/>
              <w:ind w:right="327"/>
              <w:jc w:val="right"/>
              <w:rPr>
                <w:sz w:val="18"/>
              </w:rPr>
            </w:pPr>
            <w:r>
              <w:rPr>
                <w:w w:val="95"/>
                <w:sz w:val="18"/>
              </w:rPr>
              <w:t>83,000</w:t>
            </w:r>
          </w:p>
        </w:tc>
        <w:tc>
          <w:tcPr>
            <w:tcW w:w="1380" w:type="dxa"/>
          </w:tcPr>
          <w:p>
            <w:pPr>
              <w:pStyle w:val="TableParagraph"/>
              <w:spacing w:before="20"/>
              <w:ind w:right="242"/>
              <w:jc w:val="right"/>
              <w:rPr>
                <w:b/>
                <w:sz w:val="18"/>
              </w:rPr>
            </w:pPr>
            <w:r>
              <w:rPr>
                <w:b/>
                <w:w w:val="95"/>
                <w:sz w:val="18"/>
              </w:rPr>
              <w:t>163,500</w:t>
            </w:r>
          </w:p>
        </w:tc>
        <w:tc>
          <w:tcPr>
            <w:tcW w:w="1140" w:type="dxa"/>
          </w:tcPr>
          <w:p>
            <w:pPr>
              <w:pStyle w:val="TableParagraph"/>
              <w:spacing w:before="20"/>
              <w:ind w:right="87"/>
              <w:jc w:val="right"/>
              <w:rPr>
                <w:sz w:val="18"/>
              </w:rPr>
            </w:pPr>
            <w:r>
              <w:rPr>
                <w:w w:val="95"/>
                <w:sz w:val="18"/>
              </w:rPr>
              <w:t>83,000</w:t>
            </w:r>
          </w:p>
        </w:tc>
      </w:tr>
      <w:tr>
        <w:trPr>
          <w:trHeight w:val="264" w:hRule="exact"/>
        </w:trPr>
        <w:tc>
          <w:tcPr>
            <w:tcW w:w="3394" w:type="dxa"/>
          </w:tcPr>
          <w:p>
            <w:pPr>
              <w:pStyle w:val="TableParagraph"/>
              <w:spacing w:before="18"/>
              <w:ind w:left="35" w:right="6"/>
              <w:rPr>
                <w:sz w:val="18"/>
              </w:rPr>
            </w:pPr>
            <w:r>
              <w:rPr>
                <w:sz w:val="18"/>
              </w:rPr>
              <w:t>Employee benefit provisions</w:t>
            </w:r>
          </w:p>
        </w:tc>
        <w:tc>
          <w:tcPr>
            <w:tcW w:w="981" w:type="dxa"/>
          </w:tcPr>
          <w:p>
            <w:pPr>
              <w:pStyle w:val="TableParagraph"/>
              <w:spacing w:before="20"/>
              <w:ind w:left="445"/>
              <w:rPr>
                <w:sz w:val="18"/>
              </w:rPr>
            </w:pPr>
            <w:r>
              <w:rPr>
                <w:sz w:val="18"/>
              </w:rPr>
              <w:t>27</w:t>
            </w:r>
          </w:p>
        </w:tc>
        <w:tc>
          <w:tcPr>
            <w:tcW w:w="1620" w:type="dxa"/>
          </w:tcPr>
          <w:p>
            <w:pPr>
              <w:pStyle w:val="TableParagraph"/>
              <w:spacing w:before="20"/>
              <w:ind w:right="242"/>
              <w:jc w:val="right"/>
              <w:rPr>
                <w:b/>
                <w:sz w:val="18"/>
              </w:rPr>
            </w:pPr>
            <w:r>
              <w:rPr>
                <w:b/>
                <w:w w:val="95"/>
                <w:sz w:val="18"/>
              </w:rPr>
              <w:t>359,821</w:t>
            </w:r>
          </w:p>
        </w:tc>
        <w:tc>
          <w:tcPr>
            <w:tcW w:w="1380" w:type="dxa"/>
          </w:tcPr>
          <w:p>
            <w:pPr>
              <w:pStyle w:val="TableParagraph"/>
              <w:spacing w:before="20"/>
              <w:ind w:right="326"/>
              <w:jc w:val="right"/>
              <w:rPr>
                <w:sz w:val="18"/>
              </w:rPr>
            </w:pPr>
            <w:r>
              <w:rPr>
                <w:w w:val="95"/>
                <w:sz w:val="18"/>
              </w:rPr>
              <w:t>349,713</w:t>
            </w:r>
          </w:p>
        </w:tc>
        <w:tc>
          <w:tcPr>
            <w:tcW w:w="1380" w:type="dxa"/>
          </w:tcPr>
          <w:p>
            <w:pPr>
              <w:pStyle w:val="TableParagraph"/>
              <w:spacing w:before="20"/>
              <w:ind w:right="242"/>
              <w:jc w:val="right"/>
              <w:rPr>
                <w:b/>
                <w:sz w:val="18"/>
              </w:rPr>
            </w:pPr>
            <w:r>
              <w:rPr>
                <w:b/>
                <w:w w:val="95"/>
                <w:sz w:val="18"/>
              </w:rPr>
              <w:t>358,911</w:t>
            </w:r>
          </w:p>
        </w:tc>
        <w:tc>
          <w:tcPr>
            <w:tcW w:w="1140" w:type="dxa"/>
          </w:tcPr>
          <w:p>
            <w:pPr>
              <w:pStyle w:val="TableParagraph"/>
              <w:spacing w:before="20"/>
              <w:ind w:right="88"/>
              <w:jc w:val="right"/>
              <w:rPr>
                <w:sz w:val="18"/>
              </w:rPr>
            </w:pPr>
            <w:r>
              <w:rPr>
                <w:w w:val="95"/>
                <w:sz w:val="18"/>
              </w:rPr>
              <w:t>348,513</w:t>
            </w:r>
          </w:p>
        </w:tc>
      </w:tr>
      <w:tr>
        <w:trPr>
          <w:trHeight w:val="264" w:hRule="exact"/>
        </w:trPr>
        <w:tc>
          <w:tcPr>
            <w:tcW w:w="3394" w:type="dxa"/>
          </w:tcPr>
          <w:p>
            <w:pPr>
              <w:pStyle w:val="TableParagraph"/>
              <w:spacing w:before="18"/>
              <w:ind w:left="35" w:right="6"/>
              <w:rPr>
                <w:sz w:val="18"/>
              </w:rPr>
            </w:pPr>
            <w:r>
              <w:rPr>
                <w:sz w:val="18"/>
              </w:rPr>
              <w:t>Provisions</w:t>
            </w:r>
          </w:p>
        </w:tc>
        <w:tc>
          <w:tcPr>
            <w:tcW w:w="981" w:type="dxa"/>
          </w:tcPr>
          <w:p>
            <w:pPr>
              <w:pStyle w:val="TableParagraph"/>
              <w:spacing w:before="20"/>
              <w:ind w:left="445"/>
              <w:rPr>
                <w:sz w:val="18"/>
              </w:rPr>
            </w:pPr>
            <w:r>
              <w:rPr>
                <w:sz w:val="18"/>
              </w:rPr>
              <w:t>27</w:t>
            </w:r>
          </w:p>
        </w:tc>
        <w:tc>
          <w:tcPr>
            <w:tcW w:w="1620" w:type="dxa"/>
          </w:tcPr>
          <w:p>
            <w:pPr>
              <w:pStyle w:val="TableParagraph"/>
              <w:spacing w:before="20"/>
              <w:ind w:right="242"/>
              <w:jc w:val="right"/>
              <w:rPr>
                <w:b/>
                <w:sz w:val="18"/>
              </w:rPr>
            </w:pPr>
            <w:r>
              <w:rPr>
                <w:b/>
                <w:w w:val="95"/>
                <w:sz w:val="18"/>
              </w:rPr>
              <w:t>826</w:t>
            </w:r>
          </w:p>
        </w:tc>
        <w:tc>
          <w:tcPr>
            <w:tcW w:w="1380" w:type="dxa"/>
          </w:tcPr>
          <w:p>
            <w:pPr>
              <w:pStyle w:val="TableParagraph"/>
              <w:spacing w:before="20"/>
              <w:ind w:right="326"/>
              <w:jc w:val="right"/>
              <w:rPr>
                <w:sz w:val="18"/>
              </w:rPr>
            </w:pPr>
            <w:r>
              <w:rPr>
                <w:w w:val="95"/>
                <w:sz w:val="18"/>
              </w:rPr>
              <w:t>707</w:t>
            </w:r>
          </w:p>
        </w:tc>
        <w:tc>
          <w:tcPr>
            <w:tcW w:w="1380" w:type="dxa"/>
          </w:tcPr>
          <w:p>
            <w:pPr>
              <w:pStyle w:val="TableParagraph"/>
              <w:spacing w:before="20"/>
              <w:ind w:right="242"/>
              <w:jc w:val="right"/>
              <w:rPr>
                <w:b/>
                <w:sz w:val="18"/>
              </w:rPr>
            </w:pPr>
            <w:r>
              <w:rPr>
                <w:b/>
                <w:w w:val="95"/>
                <w:sz w:val="18"/>
              </w:rPr>
              <w:t>826</w:t>
            </w:r>
          </w:p>
        </w:tc>
        <w:tc>
          <w:tcPr>
            <w:tcW w:w="1140" w:type="dxa"/>
          </w:tcPr>
          <w:p>
            <w:pPr>
              <w:pStyle w:val="TableParagraph"/>
              <w:spacing w:before="20"/>
              <w:ind w:right="86"/>
              <w:jc w:val="right"/>
              <w:rPr>
                <w:sz w:val="18"/>
              </w:rPr>
            </w:pPr>
            <w:r>
              <w:rPr>
                <w:w w:val="95"/>
                <w:sz w:val="18"/>
              </w:rPr>
              <w:t>707</w:t>
            </w:r>
          </w:p>
        </w:tc>
      </w:tr>
      <w:tr>
        <w:trPr>
          <w:trHeight w:val="262" w:hRule="exact"/>
        </w:trPr>
        <w:tc>
          <w:tcPr>
            <w:tcW w:w="3394" w:type="dxa"/>
          </w:tcPr>
          <w:p>
            <w:pPr>
              <w:pStyle w:val="TableParagraph"/>
              <w:spacing w:before="18"/>
              <w:ind w:left="35" w:right="6"/>
              <w:rPr>
                <w:sz w:val="18"/>
              </w:rPr>
            </w:pPr>
            <w:r>
              <w:rPr>
                <w:sz w:val="18"/>
              </w:rPr>
              <w:t>Other liabilities</w:t>
            </w:r>
          </w:p>
        </w:tc>
        <w:tc>
          <w:tcPr>
            <w:tcW w:w="981" w:type="dxa"/>
          </w:tcPr>
          <w:p>
            <w:pPr>
              <w:pStyle w:val="TableParagraph"/>
              <w:spacing w:before="20"/>
              <w:ind w:left="445"/>
              <w:rPr>
                <w:sz w:val="18"/>
              </w:rPr>
            </w:pPr>
            <w:r>
              <w:rPr>
                <w:sz w:val="18"/>
              </w:rPr>
              <w:t>28</w:t>
            </w:r>
          </w:p>
        </w:tc>
        <w:tc>
          <w:tcPr>
            <w:tcW w:w="1620" w:type="dxa"/>
            <w:tcBorders>
              <w:bottom w:val="single" w:sz="1" w:space="0" w:color="000000"/>
            </w:tcBorders>
          </w:tcPr>
          <w:p>
            <w:pPr>
              <w:pStyle w:val="TableParagraph"/>
              <w:spacing w:before="20"/>
              <w:ind w:right="243"/>
              <w:jc w:val="right"/>
              <w:rPr>
                <w:b/>
                <w:sz w:val="18"/>
              </w:rPr>
            </w:pPr>
            <w:r>
              <w:rPr>
                <w:b/>
                <w:w w:val="95"/>
                <w:sz w:val="18"/>
              </w:rPr>
              <w:t>49,125</w:t>
            </w:r>
          </w:p>
        </w:tc>
        <w:tc>
          <w:tcPr>
            <w:tcW w:w="1380" w:type="dxa"/>
            <w:tcBorders>
              <w:bottom w:val="single" w:sz="1" w:space="0" w:color="000000"/>
            </w:tcBorders>
          </w:tcPr>
          <w:p>
            <w:pPr>
              <w:pStyle w:val="TableParagraph"/>
              <w:spacing w:before="20"/>
              <w:ind w:right="327"/>
              <w:jc w:val="right"/>
              <w:rPr>
                <w:sz w:val="18"/>
              </w:rPr>
            </w:pPr>
            <w:r>
              <w:rPr>
                <w:w w:val="95"/>
                <w:sz w:val="18"/>
              </w:rPr>
              <w:t>12,745</w:t>
            </w:r>
          </w:p>
        </w:tc>
        <w:tc>
          <w:tcPr>
            <w:tcW w:w="1380" w:type="dxa"/>
            <w:tcBorders>
              <w:bottom w:val="single" w:sz="1" w:space="0" w:color="000000"/>
            </w:tcBorders>
          </w:tcPr>
          <w:p>
            <w:pPr>
              <w:pStyle w:val="TableParagraph"/>
              <w:spacing w:before="20"/>
              <w:ind w:right="243"/>
              <w:jc w:val="right"/>
              <w:rPr>
                <w:b/>
                <w:sz w:val="18"/>
              </w:rPr>
            </w:pPr>
            <w:r>
              <w:rPr>
                <w:b/>
                <w:w w:val="95"/>
                <w:sz w:val="18"/>
              </w:rPr>
              <w:t>49,125</w:t>
            </w:r>
          </w:p>
        </w:tc>
        <w:tc>
          <w:tcPr>
            <w:tcW w:w="1140" w:type="dxa"/>
            <w:tcBorders>
              <w:bottom w:val="single" w:sz="1" w:space="0" w:color="000000"/>
            </w:tcBorders>
          </w:tcPr>
          <w:p>
            <w:pPr>
              <w:pStyle w:val="TableParagraph"/>
              <w:spacing w:before="20"/>
              <w:ind w:right="87"/>
              <w:jc w:val="right"/>
              <w:rPr>
                <w:sz w:val="18"/>
              </w:rPr>
            </w:pPr>
            <w:r>
              <w:rPr>
                <w:w w:val="95"/>
                <w:sz w:val="18"/>
              </w:rPr>
              <w:t>12,745</w:t>
            </w:r>
          </w:p>
        </w:tc>
      </w:tr>
      <w:tr>
        <w:trPr>
          <w:trHeight w:val="338" w:hRule="exact"/>
        </w:trPr>
        <w:tc>
          <w:tcPr>
            <w:tcW w:w="3394" w:type="dxa"/>
          </w:tcPr>
          <w:p>
            <w:pPr>
              <w:pStyle w:val="TableParagraph"/>
              <w:spacing w:before="125"/>
              <w:ind w:left="35" w:right="6"/>
              <w:rPr>
                <w:b/>
                <w:sz w:val="18"/>
              </w:rPr>
            </w:pPr>
            <w:r>
              <w:rPr>
                <w:b/>
                <w:sz w:val="18"/>
              </w:rPr>
              <w:t>Total non-current liabilities</w:t>
            </w:r>
          </w:p>
        </w:tc>
        <w:tc>
          <w:tcPr>
            <w:tcW w:w="981" w:type="dxa"/>
          </w:tcPr>
          <w:p>
            <w:pPr/>
          </w:p>
        </w:tc>
        <w:tc>
          <w:tcPr>
            <w:tcW w:w="1620" w:type="dxa"/>
            <w:tcBorders>
              <w:top w:val="single" w:sz="1" w:space="0" w:color="000000"/>
              <w:bottom w:val="single" w:sz="1" w:space="0" w:color="000000"/>
            </w:tcBorders>
          </w:tcPr>
          <w:p>
            <w:pPr>
              <w:pStyle w:val="TableParagraph"/>
              <w:spacing w:before="124"/>
              <w:ind w:right="242"/>
              <w:jc w:val="right"/>
              <w:rPr>
                <w:b/>
                <w:sz w:val="18"/>
              </w:rPr>
            </w:pPr>
            <w:r>
              <w:rPr>
                <w:b/>
                <w:w w:val="95"/>
                <w:sz w:val="18"/>
              </w:rPr>
              <w:t>576,792</w:t>
            </w:r>
          </w:p>
        </w:tc>
        <w:tc>
          <w:tcPr>
            <w:tcW w:w="1380" w:type="dxa"/>
            <w:tcBorders>
              <w:top w:val="single" w:sz="1" w:space="0" w:color="000000"/>
              <w:bottom w:val="single" w:sz="1" w:space="0" w:color="000000"/>
            </w:tcBorders>
          </w:tcPr>
          <w:p>
            <w:pPr>
              <w:pStyle w:val="TableParagraph"/>
              <w:spacing w:before="124"/>
              <w:ind w:right="326"/>
              <w:jc w:val="right"/>
              <w:rPr>
                <w:sz w:val="18"/>
              </w:rPr>
            </w:pPr>
            <w:r>
              <w:rPr>
                <w:w w:val="95"/>
                <w:sz w:val="18"/>
              </w:rPr>
              <w:t>446,165</w:t>
            </w:r>
          </w:p>
        </w:tc>
        <w:tc>
          <w:tcPr>
            <w:tcW w:w="1380" w:type="dxa"/>
            <w:tcBorders>
              <w:top w:val="single" w:sz="1" w:space="0" w:color="000000"/>
              <w:bottom w:val="single" w:sz="1" w:space="0" w:color="000000"/>
            </w:tcBorders>
          </w:tcPr>
          <w:p>
            <w:pPr>
              <w:pStyle w:val="TableParagraph"/>
              <w:spacing w:before="124"/>
              <w:ind w:right="242"/>
              <w:jc w:val="right"/>
              <w:rPr>
                <w:b/>
                <w:sz w:val="18"/>
              </w:rPr>
            </w:pPr>
            <w:r>
              <w:rPr>
                <w:b/>
                <w:w w:val="95"/>
                <w:sz w:val="18"/>
              </w:rPr>
              <w:t>575,882</w:t>
            </w:r>
          </w:p>
        </w:tc>
        <w:tc>
          <w:tcPr>
            <w:tcW w:w="1140" w:type="dxa"/>
            <w:tcBorders>
              <w:top w:val="single" w:sz="1" w:space="0" w:color="000000"/>
              <w:bottom w:val="single" w:sz="1" w:space="0" w:color="000000"/>
            </w:tcBorders>
          </w:tcPr>
          <w:p>
            <w:pPr>
              <w:pStyle w:val="TableParagraph"/>
              <w:spacing w:before="124"/>
              <w:ind w:right="88"/>
              <w:jc w:val="right"/>
              <w:rPr>
                <w:sz w:val="18"/>
              </w:rPr>
            </w:pPr>
            <w:r>
              <w:rPr>
                <w:w w:val="95"/>
                <w:sz w:val="18"/>
              </w:rPr>
              <w:t>444,965</w:t>
            </w:r>
          </w:p>
        </w:tc>
      </w:tr>
      <w:tr>
        <w:trPr>
          <w:trHeight w:val="338" w:hRule="exact"/>
        </w:trPr>
        <w:tc>
          <w:tcPr>
            <w:tcW w:w="3394" w:type="dxa"/>
          </w:tcPr>
          <w:p>
            <w:pPr>
              <w:pStyle w:val="TableParagraph"/>
              <w:spacing w:before="125"/>
              <w:ind w:left="35" w:right="6"/>
              <w:rPr>
                <w:b/>
                <w:sz w:val="18"/>
              </w:rPr>
            </w:pPr>
            <w:r>
              <w:rPr>
                <w:b/>
                <w:sz w:val="18"/>
              </w:rPr>
              <w:t>Total liabilities</w:t>
            </w:r>
          </w:p>
        </w:tc>
        <w:tc>
          <w:tcPr>
            <w:tcW w:w="981" w:type="dxa"/>
          </w:tcPr>
          <w:p>
            <w:pPr/>
          </w:p>
        </w:tc>
        <w:tc>
          <w:tcPr>
            <w:tcW w:w="1620" w:type="dxa"/>
            <w:tcBorders>
              <w:top w:val="single" w:sz="1" w:space="0" w:color="000000"/>
              <w:bottom w:val="single" w:sz="1" w:space="0" w:color="000000"/>
            </w:tcBorders>
          </w:tcPr>
          <w:p>
            <w:pPr>
              <w:pStyle w:val="TableParagraph"/>
              <w:spacing w:before="124"/>
              <w:ind w:right="242"/>
              <w:jc w:val="right"/>
              <w:rPr>
                <w:b/>
                <w:sz w:val="18"/>
              </w:rPr>
            </w:pPr>
            <w:r>
              <w:rPr>
                <w:b/>
                <w:w w:val="95"/>
                <w:sz w:val="18"/>
              </w:rPr>
              <w:t>756,600</w:t>
            </w:r>
          </w:p>
        </w:tc>
        <w:tc>
          <w:tcPr>
            <w:tcW w:w="1380" w:type="dxa"/>
            <w:tcBorders>
              <w:top w:val="single" w:sz="1" w:space="0" w:color="000000"/>
              <w:bottom w:val="single" w:sz="1" w:space="0" w:color="000000"/>
            </w:tcBorders>
          </w:tcPr>
          <w:p>
            <w:pPr>
              <w:pStyle w:val="TableParagraph"/>
              <w:spacing w:before="124"/>
              <w:ind w:right="326"/>
              <w:jc w:val="right"/>
              <w:rPr>
                <w:sz w:val="18"/>
              </w:rPr>
            </w:pPr>
            <w:r>
              <w:rPr>
                <w:w w:val="95"/>
                <w:sz w:val="18"/>
              </w:rPr>
              <w:t>683,131</w:t>
            </w:r>
          </w:p>
        </w:tc>
        <w:tc>
          <w:tcPr>
            <w:tcW w:w="1380" w:type="dxa"/>
            <w:tcBorders>
              <w:top w:val="single" w:sz="1" w:space="0" w:color="000000"/>
              <w:bottom w:val="single" w:sz="1" w:space="0" w:color="000000"/>
            </w:tcBorders>
          </w:tcPr>
          <w:p>
            <w:pPr>
              <w:pStyle w:val="TableParagraph"/>
              <w:spacing w:before="124"/>
              <w:ind w:right="242"/>
              <w:jc w:val="right"/>
              <w:rPr>
                <w:b/>
                <w:sz w:val="18"/>
              </w:rPr>
            </w:pPr>
            <w:r>
              <w:rPr>
                <w:b/>
                <w:w w:val="95"/>
                <w:sz w:val="18"/>
              </w:rPr>
              <w:t>759,478</w:t>
            </w:r>
          </w:p>
        </w:tc>
        <w:tc>
          <w:tcPr>
            <w:tcW w:w="1140" w:type="dxa"/>
            <w:tcBorders>
              <w:top w:val="single" w:sz="1" w:space="0" w:color="000000"/>
              <w:bottom w:val="single" w:sz="1" w:space="0" w:color="000000"/>
            </w:tcBorders>
          </w:tcPr>
          <w:p>
            <w:pPr>
              <w:pStyle w:val="TableParagraph"/>
              <w:spacing w:before="124"/>
              <w:ind w:right="88"/>
              <w:jc w:val="right"/>
              <w:rPr>
                <w:sz w:val="18"/>
              </w:rPr>
            </w:pPr>
            <w:r>
              <w:rPr>
                <w:w w:val="95"/>
                <w:sz w:val="18"/>
              </w:rPr>
              <w:t>684,361</w:t>
            </w:r>
          </w:p>
        </w:tc>
      </w:tr>
    </w:tbl>
    <w:p>
      <w:pPr>
        <w:pStyle w:val="BodyText"/>
        <w:rPr>
          <w:b/>
          <w:sz w:val="20"/>
        </w:rPr>
      </w:pPr>
    </w:p>
    <w:p>
      <w:pPr>
        <w:pStyle w:val="BodyText"/>
        <w:spacing w:before="10" w:after="1"/>
        <w:rPr>
          <w:b/>
          <w:sz w:val="20"/>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73"/>
        <w:gridCol w:w="1701"/>
        <w:gridCol w:w="1620"/>
        <w:gridCol w:w="1380"/>
        <w:gridCol w:w="1380"/>
        <w:gridCol w:w="1140"/>
      </w:tblGrid>
      <w:tr>
        <w:trPr>
          <w:trHeight w:val="305" w:hRule="exact"/>
        </w:trPr>
        <w:tc>
          <w:tcPr>
            <w:tcW w:w="2673" w:type="dxa"/>
          </w:tcPr>
          <w:p>
            <w:pPr>
              <w:pStyle w:val="TableParagraph"/>
              <w:spacing w:before="77"/>
              <w:ind w:left="35"/>
              <w:rPr>
                <w:b/>
                <w:sz w:val="18"/>
              </w:rPr>
            </w:pPr>
            <w:r>
              <w:rPr>
                <w:b/>
                <w:sz w:val="18"/>
              </w:rPr>
              <w:t>Net assets</w:t>
            </w:r>
          </w:p>
        </w:tc>
        <w:tc>
          <w:tcPr>
            <w:tcW w:w="1701" w:type="dxa"/>
          </w:tcPr>
          <w:p>
            <w:pPr/>
          </w:p>
        </w:tc>
        <w:tc>
          <w:tcPr>
            <w:tcW w:w="1620" w:type="dxa"/>
            <w:tcBorders>
              <w:bottom w:val="single" w:sz="1" w:space="0" w:color="000000"/>
            </w:tcBorders>
          </w:tcPr>
          <w:p>
            <w:pPr>
              <w:pStyle w:val="TableParagraph"/>
              <w:spacing w:before="77"/>
              <w:ind w:right="243"/>
              <w:jc w:val="right"/>
              <w:rPr>
                <w:b/>
                <w:sz w:val="18"/>
              </w:rPr>
            </w:pPr>
            <w:r>
              <w:rPr>
                <w:b/>
                <w:w w:val="95"/>
                <w:sz w:val="18"/>
              </w:rPr>
              <w:t>1,919,918</w:t>
            </w:r>
          </w:p>
        </w:tc>
        <w:tc>
          <w:tcPr>
            <w:tcW w:w="1380" w:type="dxa"/>
            <w:tcBorders>
              <w:bottom w:val="single" w:sz="1" w:space="0" w:color="000000"/>
            </w:tcBorders>
          </w:tcPr>
          <w:p>
            <w:pPr>
              <w:pStyle w:val="TableParagraph"/>
              <w:spacing w:before="77"/>
              <w:ind w:right="327"/>
              <w:jc w:val="right"/>
              <w:rPr>
                <w:sz w:val="18"/>
              </w:rPr>
            </w:pPr>
            <w:r>
              <w:rPr>
                <w:w w:val="95"/>
                <w:sz w:val="18"/>
              </w:rPr>
              <w:t>1,666,220</w:t>
            </w:r>
          </w:p>
        </w:tc>
        <w:tc>
          <w:tcPr>
            <w:tcW w:w="1380" w:type="dxa"/>
            <w:tcBorders>
              <w:bottom w:val="single" w:sz="1" w:space="0" w:color="000000"/>
            </w:tcBorders>
          </w:tcPr>
          <w:p>
            <w:pPr>
              <w:pStyle w:val="TableParagraph"/>
              <w:spacing w:before="77"/>
              <w:ind w:right="243"/>
              <w:jc w:val="right"/>
              <w:rPr>
                <w:b/>
                <w:sz w:val="18"/>
              </w:rPr>
            </w:pPr>
            <w:r>
              <w:rPr>
                <w:b/>
                <w:w w:val="95"/>
                <w:sz w:val="18"/>
              </w:rPr>
              <w:t>1,907,553</w:t>
            </w:r>
          </w:p>
        </w:tc>
        <w:tc>
          <w:tcPr>
            <w:tcW w:w="1140" w:type="dxa"/>
            <w:tcBorders>
              <w:bottom w:val="single" w:sz="1" w:space="0" w:color="000000"/>
            </w:tcBorders>
          </w:tcPr>
          <w:p>
            <w:pPr>
              <w:pStyle w:val="TableParagraph"/>
              <w:spacing w:before="77"/>
              <w:ind w:right="87"/>
              <w:jc w:val="right"/>
              <w:rPr>
                <w:sz w:val="18"/>
              </w:rPr>
            </w:pPr>
            <w:r>
              <w:rPr>
                <w:w w:val="95"/>
                <w:sz w:val="18"/>
              </w:rPr>
              <w:t>1,657,457</w:t>
            </w:r>
          </w:p>
        </w:tc>
      </w:tr>
      <w:tr>
        <w:trPr>
          <w:trHeight w:val="619" w:hRule="exact"/>
        </w:trPr>
        <w:tc>
          <w:tcPr>
            <w:tcW w:w="2673" w:type="dxa"/>
          </w:tcPr>
          <w:p>
            <w:pPr>
              <w:pStyle w:val="TableParagraph"/>
              <w:spacing w:before="139"/>
              <w:ind w:left="35"/>
              <w:rPr>
                <w:b/>
                <w:sz w:val="18"/>
              </w:rPr>
            </w:pPr>
            <w:r>
              <w:rPr>
                <w:b/>
                <w:sz w:val="18"/>
              </w:rPr>
              <w:t>EQUITY</w:t>
            </w:r>
          </w:p>
          <w:p>
            <w:pPr>
              <w:pStyle w:val="TableParagraph"/>
              <w:spacing w:before="26"/>
              <w:ind w:left="35"/>
              <w:rPr>
                <w:sz w:val="18"/>
              </w:rPr>
            </w:pPr>
            <w:r>
              <w:rPr>
                <w:sz w:val="18"/>
              </w:rPr>
              <w:t>Reserves</w:t>
            </w:r>
          </w:p>
        </w:tc>
        <w:tc>
          <w:tcPr>
            <w:tcW w:w="1701" w:type="dxa"/>
          </w:tcPr>
          <w:p>
            <w:pPr>
              <w:pStyle w:val="TableParagraph"/>
              <w:rPr>
                <w:b/>
                <w:sz w:val="18"/>
              </w:rPr>
            </w:pPr>
          </w:p>
          <w:p>
            <w:pPr>
              <w:pStyle w:val="TableParagraph"/>
              <w:spacing w:before="6"/>
              <w:rPr>
                <w:b/>
                <w:sz w:val="14"/>
              </w:rPr>
            </w:pPr>
          </w:p>
          <w:p>
            <w:pPr>
              <w:pStyle w:val="TableParagraph"/>
              <w:ind w:right="329"/>
              <w:jc w:val="right"/>
              <w:rPr>
                <w:sz w:val="18"/>
              </w:rPr>
            </w:pPr>
            <w:r>
              <w:rPr>
                <w:sz w:val="18"/>
              </w:rPr>
              <w:t>29</w:t>
            </w:r>
          </w:p>
        </w:tc>
        <w:tc>
          <w:tcPr>
            <w:tcW w:w="1620" w:type="dxa"/>
            <w:tcBorders>
              <w:top w:val="single" w:sz="1" w:space="0" w:color="000000"/>
            </w:tcBorders>
          </w:tcPr>
          <w:p>
            <w:pPr>
              <w:pStyle w:val="TableParagraph"/>
              <w:rPr>
                <w:b/>
                <w:sz w:val="18"/>
              </w:rPr>
            </w:pPr>
          </w:p>
          <w:p>
            <w:pPr>
              <w:pStyle w:val="TableParagraph"/>
              <w:spacing w:before="5"/>
              <w:rPr>
                <w:b/>
                <w:sz w:val="14"/>
              </w:rPr>
            </w:pPr>
          </w:p>
          <w:p>
            <w:pPr>
              <w:pStyle w:val="TableParagraph"/>
              <w:ind w:right="242"/>
              <w:jc w:val="right"/>
              <w:rPr>
                <w:b/>
                <w:sz w:val="18"/>
              </w:rPr>
            </w:pPr>
            <w:r>
              <w:rPr>
                <w:b/>
                <w:w w:val="95"/>
                <w:sz w:val="18"/>
              </w:rPr>
              <w:t>865,790</w:t>
            </w:r>
          </w:p>
        </w:tc>
        <w:tc>
          <w:tcPr>
            <w:tcW w:w="1380" w:type="dxa"/>
            <w:tcBorders>
              <w:top w:val="single" w:sz="1" w:space="0" w:color="000000"/>
            </w:tcBorders>
          </w:tcPr>
          <w:p>
            <w:pPr>
              <w:pStyle w:val="TableParagraph"/>
              <w:rPr>
                <w:b/>
                <w:sz w:val="18"/>
              </w:rPr>
            </w:pPr>
          </w:p>
          <w:p>
            <w:pPr>
              <w:pStyle w:val="TableParagraph"/>
              <w:spacing w:before="5"/>
              <w:rPr>
                <w:b/>
                <w:sz w:val="14"/>
              </w:rPr>
            </w:pPr>
          </w:p>
          <w:p>
            <w:pPr>
              <w:pStyle w:val="TableParagraph"/>
              <w:ind w:right="326"/>
              <w:jc w:val="right"/>
              <w:rPr>
                <w:sz w:val="18"/>
              </w:rPr>
            </w:pPr>
            <w:r>
              <w:rPr>
                <w:w w:val="95"/>
                <w:sz w:val="18"/>
              </w:rPr>
              <w:t>708,004</w:t>
            </w:r>
          </w:p>
        </w:tc>
        <w:tc>
          <w:tcPr>
            <w:tcW w:w="1380" w:type="dxa"/>
            <w:tcBorders>
              <w:top w:val="single" w:sz="1" w:space="0" w:color="000000"/>
            </w:tcBorders>
          </w:tcPr>
          <w:p>
            <w:pPr>
              <w:pStyle w:val="TableParagraph"/>
              <w:rPr>
                <w:b/>
                <w:sz w:val="18"/>
              </w:rPr>
            </w:pPr>
          </w:p>
          <w:p>
            <w:pPr>
              <w:pStyle w:val="TableParagraph"/>
              <w:spacing w:before="5"/>
              <w:rPr>
                <w:b/>
                <w:sz w:val="14"/>
              </w:rPr>
            </w:pPr>
          </w:p>
          <w:p>
            <w:pPr>
              <w:pStyle w:val="TableParagraph"/>
              <w:ind w:right="242"/>
              <w:jc w:val="right"/>
              <w:rPr>
                <w:b/>
                <w:sz w:val="18"/>
              </w:rPr>
            </w:pPr>
            <w:r>
              <w:rPr>
                <w:b/>
                <w:w w:val="95"/>
                <w:sz w:val="18"/>
              </w:rPr>
              <w:t>861,541</w:t>
            </w:r>
          </w:p>
        </w:tc>
        <w:tc>
          <w:tcPr>
            <w:tcW w:w="1140" w:type="dxa"/>
            <w:tcBorders>
              <w:top w:val="single" w:sz="1" w:space="0" w:color="000000"/>
            </w:tcBorders>
          </w:tcPr>
          <w:p>
            <w:pPr>
              <w:pStyle w:val="TableParagraph"/>
              <w:rPr>
                <w:b/>
                <w:sz w:val="18"/>
              </w:rPr>
            </w:pPr>
          </w:p>
          <w:p>
            <w:pPr>
              <w:pStyle w:val="TableParagraph"/>
              <w:spacing w:before="5"/>
              <w:rPr>
                <w:b/>
                <w:sz w:val="14"/>
              </w:rPr>
            </w:pPr>
          </w:p>
          <w:p>
            <w:pPr>
              <w:pStyle w:val="TableParagraph"/>
              <w:ind w:right="88"/>
              <w:jc w:val="right"/>
              <w:rPr>
                <w:sz w:val="18"/>
              </w:rPr>
            </w:pPr>
            <w:r>
              <w:rPr>
                <w:w w:val="95"/>
                <w:sz w:val="18"/>
              </w:rPr>
              <w:t>703,755</w:t>
            </w:r>
          </w:p>
        </w:tc>
      </w:tr>
      <w:tr>
        <w:trPr>
          <w:trHeight w:val="262" w:hRule="exact"/>
        </w:trPr>
        <w:tc>
          <w:tcPr>
            <w:tcW w:w="2673" w:type="dxa"/>
          </w:tcPr>
          <w:p>
            <w:pPr>
              <w:pStyle w:val="TableParagraph"/>
              <w:spacing w:before="18"/>
              <w:ind w:left="35"/>
              <w:rPr>
                <w:sz w:val="18"/>
              </w:rPr>
            </w:pPr>
            <w:r>
              <w:rPr>
                <w:sz w:val="18"/>
              </w:rPr>
              <w:t>Retained earnings</w:t>
            </w:r>
          </w:p>
        </w:tc>
        <w:tc>
          <w:tcPr>
            <w:tcW w:w="1701" w:type="dxa"/>
          </w:tcPr>
          <w:p>
            <w:pPr>
              <w:pStyle w:val="TableParagraph"/>
              <w:spacing w:before="20"/>
              <w:ind w:right="329"/>
              <w:jc w:val="right"/>
              <w:rPr>
                <w:sz w:val="18"/>
              </w:rPr>
            </w:pPr>
            <w:r>
              <w:rPr>
                <w:sz w:val="18"/>
              </w:rPr>
              <w:t>29</w:t>
            </w:r>
          </w:p>
        </w:tc>
        <w:tc>
          <w:tcPr>
            <w:tcW w:w="1620" w:type="dxa"/>
            <w:tcBorders>
              <w:bottom w:val="single" w:sz="1" w:space="0" w:color="000000"/>
            </w:tcBorders>
          </w:tcPr>
          <w:p>
            <w:pPr>
              <w:pStyle w:val="TableParagraph"/>
              <w:spacing w:before="20"/>
              <w:ind w:right="243"/>
              <w:jc w:val="right"/>
              <w:rPr>
                <w:b/>
                <w:sz w:val="18"/>
              </w:rPr>
            </w:pPr>
            <w:r>
              <w:rPr>
                <w:b/>
                <w:w w:val="95"/>
                <w:sz w:val="18"/>
              </w:rPr>
              <w:t>1,054,128</w:t>
            </w:r>
          </w:p>
        </w:tc>
        <w:tc>
          <w:tcPr>
            <w:tcW w:w="1380" w:type="dxa"/>
            <w:tcBorders>
              <w:bottom w:val="single" w:sz="1" w:space="0" w:color="000000"/>
            </w:tcBorders>
          </w:tcPr>
          <w:p>
            <w:pPr>
              <w:pStyle w:val="TableParagraph"/>
              <w:spacing w:before="20"/>
              <w:ind w:right="326"/>
              <w:jc w:val="right"/>
              <w:rPr>
                <w:sz w:val="18"/>
              </w:rPr>
            </w:pPr>
            <w:r>
              <w:rPr>
                <w:w w:val="95"/>
                <w:sz w:val="18"/>
              </w:rPr>
              <w:t>958,216</w:t>
            </w:r>
          </w:p>
        </w:tc>
        <w:tc>
          <w:tcPr>
            <w:tcW w:w="1380" w:type="dxa"/>
            <w:tcBorders>
              <w:bottom w:val="single" w:sz="1" w:space="0" w:color="000000"/>
            </w:tcBorders>
          </w:tcPr>
          <w:p>
            <w:pPr>
              <w:pStyle w:val="TableParagraph"/>
              <w:spacing w:before="20"/>
              <w:ind w:right="243"/>
              <w:jc w:val="right"/>
              <w:rPr>
                <w:b/>
                <w:sz w:val="18"/>
              </w:rPr>
            </w:pPr>
            <w:r>
              <w:rPr>
                <w:b/>
                <w:w w:val="95"/>
                <w:sz w:val="18"/>
              </w:rPr>
              <w:t>1,046,012</w:t>
            </w:r>
          </w:p>
        </w:tc>
        <w:tc>
          <w:tcPr>
            <w:tcW w:w="1140" w:type="dxa"/>
            <w:tcBorders>
              <w:bottom w:val="single" w:sz="1" w:space="0" w:color="000000"/>
            </w:tcBorders>
          </w:tcPr>
          <w:p>
            <w:pPr>
              <w:pStyle w:val="TableParagraph"/>
              <w:spacing w:before="20"/>
              <w:ind w:right="88"/>
              <w:jc w:val="right"/>
              <w:rPr>
                <w:sz w:val="18"/>
              </w:rPr>
            </w:pPr>
            <w:r>
              <w:rPr>
                <w:w w:val="95"/>
                <w:sz w:val="18"/>
              </w:rPr>
              <w:t>953,702</w:t>
            </w:r>
          </w:p>
        </w:tc>
      </w:tr>
      <w:tr>
        <w:trPr>
          <w:trHeight w:val="353" w:hRule="exact"/>
        </w:trPr>
        <w:tc>
          <w:tcPr>
            <w:tcW w:w="2673" w:type="dxa"/>
          </w:tcPr>
          <w:p>
            <w:pPr>
              <w:pStyle w:val="TableParagraph"/>
              <w:spacing w:before="125"/>
              <w:ind w:left="35"/>
              <w:rPr>
                <w:b/>
                <w:sz w:val="18"/>
              </w:rPr>
            </w:pPr>
            <w:r>
              <w:rPr>
                <w:b/>
                <w:sz w:val="18"/>
              </w:rPr>
              <w:t>Total equity</w:t>
            </w:r>
          </w:p>
        </w:tc>
        <w:tc>
          <w:tcPr>
            <w:tcW w:w="1701" w:type="dxa"/>
          </w:tcPr>
          <w:p>
            <w:pPr/>
          </w:p>
        </w:tc>
        <w:tc>
          <w:tcPr>
            <w:tcW w:w="1620" w:type="dxa"/>
            <w:tcBorders>
              <w:top w:val="single" w:sz="1" w:space="0" w:color="000000"/>
              <w:bottom w:val="single" w:sz="1" w:space="0" w:color="000000"/>
            </w:tcBorders>
          </w:tcPr>
          <w:p>
            <w:pPr>
              <w:pStyle w:val="TableParagraph"/>
              <w:spacing w:before="124"/>
              <w:ind w:right="243"/>
              <w:jc w:val="right"/>
              <w:rPr>
                <w:b/>
                <w:sz w:val="18"/>
              </w:rPr>
            </w:pPr>
            <w:r>
              <w:rPr>
                <w:b/>
                <w:w w:val="95"/>
                <w:sz w:val="18"/>
              </w:rPr>
              <w:t>1,919,918</w:t>
            </w:r>
          </w:p>
        </w:tc>
        <w:tc>
          <w:tcPr>
            <w:tcW w:w="1380" w:type="dxa"/>
            <w:tcBorders>
              <w:top w:val="single" w:sz="1" w:space="0" w:color="000000"/>
              <w:bottom w:val="single" w:sz="1" w:space="0" w:color="000000"/>
            </w:tcBorders>
          </w:tcPr>
          <w:p>
            <w:pPr>
              <w:pStyle w:val="TableParagraph"/>
              <w:spacing w:before="124"/>
              <w:ind w:right="327"/>
              <w:jc w:val="right"/>
              <w:rPr>
                <w:sz w:val="18"/>
              </w:rPr>
            </w:pPr>
            <w:r>
              <w:rPr>
                <w:w w:val="95"/>
                <w:sz w:val="18"/>
              </w:rPr>
              <w:t>1,666,220</w:t>
            </w:r>
          </w:p>
        </w:tc>
        <w:tc>
          <w:tcPr>
            <w:tcW w:w="1380" w:type="dxa"/>
            <w:tcBorders>
              <w:top w:val="single" w:sz="1" w:space="0" w:color="000000"/>
              <w:bottom w:val="single" w:sz="1" w:space="0" w:color="000000"/>
            </w:tcBorders>
          </w:tcPr>
          <w:p>
            <w:pPr>
              <w:pStyle w:val="TableParagraph"/>
              <w:spacing w:before="124"/>
              <w:ind w:right="243"/>
              <w:jc w:val="right"/>
              <w:rPr>
                <w:b/>
                <w:sz w:val="18"/>
              </w:rPr>
            </w:pPr>
            <w:r>
              <w:rPr>
                <w:b/>
                <w:w w:val="95"/>
                <w:sz w:val="18"/>
              </w:rPr>
              <w:t>1,907,553</w:t>
            </w:r>
          </w:p>
        </w:tc>
        <w:tc>
          <w:tcPr>
            <w:tcW w:w="1140" w:type="dxa"/>
            <w:tcBorders>
              <w:top w:val="single" w:sz="1" w:space="0" w:color="000000"/>
              <w:bottom w:val="single" w:sz="1" w:space="0" w:color="000000"/>
            </w:tcBorders>
          </w:tcPr>
          <w:p>
            <w:pPr>
              <w:pStyle w:val="TableParagraph"/>
              <w:spacing w:before="124"/>
              <w:ind w:right="87"/>
              <w:jc w:val="right"/>
              <w:rPr>
                <w:sz w:val="18"/>
              </w:rPr>
            </w:pPr>
            <w:r>
              <w:rPr>
                <w:w w:val="95"/>
                <w:sz w:val="18"/>
              </w:rPr>
              <w:t>1,657,457</w:t>
            </w:r>
          </w:p>
        </w:tc>
      </w:tr>
    </w:tbl>
    <w:p>
      <w:pPr>
        <w:pStyle w:val="BodyText"/>
        <w:rPr>
          <w:b/>
          <w:sz w:val="20"/>
        </w:rPr>
      </w:pPr>
    </w:p>
    <w:p>
      <w:pPr>
        <w:pStyle w:val="BodyText"/>
        <w:spacing w:before="6"/>
        <w:rPr>
          <w:b/>
          <w:sz w:val="20"/>
        </w:rPr>
      </w:pPr>
    </w:p>
    <w:p>
      <w:pPr>
        <w:pStyle w:val="BodyText"/>
        <w:ind w:left="107" w:right="220"/>
      </w:pPr>
      <w:r>
        <w:rPr/>
        <w:t>The accompanying notes form part of these financial statements.</w:t>
      </w:r>
    </w:p>
    <w:p>
      <w:pPr>
        <w:spacing w:after="0"/>
        <w:sectPr>
          <w:type w:val="continuous"/>
          <w:pgSz w:w="11910" w:h="16840"/>
          <w:pgMar w:top="1580" w:bottom="280" w:left="900" w:right="880"/>
        </w:sectPr>
      </w:pPr>
    </w:p>
    <w:p>
      <w:pPr>
        <w:pStyle w:val="BodyText"/>
        <w:spacing w:before="5"/>
        <w:rPr>
          <w:sz w:val="3"/>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39"/>
        <w:gridCol w:w="1041"/>
        <w:gridCol w:w="1540"/>
        <w:gridCol w:w="1195"/>
        <w:gridCol w:w="1105"/>
      </w:tblGrid>
      <w:tr>
        <w:trPr>
          <w:trHeight w:val="277" w:hRule="exact"/>
        </w:trPr>
        <w:tc>
          <w:tcPr>
            <w:tcW w:w="5039" w:type="dxa"/>
          </w:tcPr>
          <w:p>
            <w:pPr/>
          </w:p>
        </w:tc>
        <w:tc>
          <w:tcPr>
            <w:tcW w:w="1041" w:type="dxa"/>
          </w:tcPr>
          <w:p>
            <w:pPr>
              <w:pStyle w:val="TableParagraph"/>
              <w:spacing w:before="30"/>
              <w:ind w:right="36"/>
              <w:jc w:val="right"/>
              <w:rPr>
                <w:b/>
                <w:sz w:val="18"/>
              </w:rPr>
            </w:pPr>
            <w:bookmarkStart w:name="Statement of Changes in Equity" w:id="10"/>
            <w:bookmarkEnd w:id="10"/>
            <w:r>
              <w:rPr/>
            </w:r>
            <w:r>
              <w:rPr>
                <w:b/>
                <w:sz w:val="18"/>
              </w:rPr>
              <w:t>Notes</w:t>
            </w:r>
          </w:p>
        </w:tc>
        <w:tc>
          <w:tcPr>
            <w:tcW w:w="1540" w:type="dxa"/>
            <w:tcBorders>
              <w:bottom w:val="single" w:sz="1" w:space="0" w:color="000000"/>
            </w:tcBorders>
          </w:tcPr>
          <w:p>
            <w:pPr>
              <w:pStyle w:val="TableParagraph"/>
              <w:spacing w:before="30"/>
              <w:ind w:left="535" w:right="520"/>
              <w:jc w:val="center"/>
              <w:rPr>
                <w:b/>
                <w:sz w:val="18"/>
              </w:rPr>
            </w:pPr>
            <w:r>
              <w:rPr>
                <w:b/>
                <w:sz w:val="18"/>
              </w:rPr>
              <w:t>$'000</w:t>
            </w:r>
          </w:p>
        </w:tc>
        <w:tc>
          <w:tcPr>
            <w:tcW w:w="1195" w:type="dxa"/>
            <w:tcBorders>
              <w:bottom w:val="single" w:sz="1" w:space="0" w:color="000000"/>
            </w:tcBorders>
          </w:tcPr>
          <w:p>
            <w:pPr>
              <w:pStyle w:val="TableParagraph"/>
              <w:spacing w:before="30"/>
              <w:ind w:left="238"/>
              <w:rPr>
                <w:b/>
                <w:sz w:val="18"/>
              </w:rPr>
            </w:pPr>
            <w:r>
              <w:rPr>
                <w:b/>
                <w:sz w:val="18"/>
              </w:rPr>
              <w:t>$'000</w:t>
            </w:r>
          </w:p>
        </w:tc>
        <w:tc>
          <w:tcPr>
            <w:tcW w:w="1105" w:type="dxa"/>
            <w:tcBorders>
              <w:bottom w:val="single" w:sz="1" w:space="0" w:color="000000"/>
            </w:tcBorders>
          </w:tcPr>
          <w:p>
            <w:pPr>
              <w:pStyle w:val="TableParagraph"/>
              <w:spacing w:before="30"/>
              <w:ind w:left="255"/>
              <w:rPr>
                <w:b/>
                <w:sz w:val="18"/>
              </w:rPr>
            </w:pPr>
            <w:r>
              <w:rPr>
                <w:b/>
                <w:sz w:val="18"/>
              </w:rPr>
              <w:t>$'000</w:t>
            </w:r>
          </w:p>
        </w:tc>
      </w:tr>
      <w:tr>
        <w:trPr>
          <w:trHeight w:val="365" w:hRule="exact"/>
        </w:trPr>
        <w:tc>
          <w:tcPr>
            <w:tcW w:w="5039" w:type="dxa"/>
          </w:tcPr>
          <w:p>
            <w:pPr>
              <w:pStyle w:val="TableParagraph"/>
              <w:spacing w:before="46"/>
              <w:ind w:left="35" w:right="281"/>
              <w:rPr>
                <w:b/>
                <w:sz w:val="18"/>
              </w:rPr>
            </w:pPr>
            <w:r>
              <w:rPr>
                <w:b/>
                <w:sz w:val="18"/>
              </w:rPr>
              <w:t>Balance at 1 January 2017</w:t>
            </w:r>
          </w:p>
        </w:tc>
        <w:tc>
          <w:tcPr>
            <w:tcW w:w="1041" w:type="dxa"/>
          </w:tcPr>
          <w:p>
            <w:pPr/>
          </w:p>
        </w:tc>
        <w:tc>
          <w:tcPr>
            <w:tcW w:w="1540" w:type="dxa"/>
            <w:tcBorders>
              <w:top w:val="single" w:sz="1" w:space="0" w:color="000000"/>
            </w:tcBorders>
          </w:tcPr>
          <w:p>
            <w:pPr>
              <w:pStyle w:val="TableParagraph"/>
              <w:spacing w:before="49"/>
              <w:ind w:right="237"/>
              <w:jc w:val="right"/>
              <w:rPr>
                <w:b/>
                <w:sz w:val="18"/>
              </w:rPr>
            </w:pPr>
            <w:r>
              <w:rPr>
                <w:b/>
                <w:w w:val="95"/>
                <w:sz w:val="18"/>
              </w:rPr>
              <w:t>703,755</w:t>
            </w:r>
          </w:p>
        </w:tc>
        <w:tc>
          <w:tcPr>
            <w:tcW w:w="1195" w:type="dxa"/>
            <w:tcBorders>
              <w:top w:val="single" w:sz="1" w:space="0" w:color="000000"/>
            </w:tcBorders>
          </w:tcPr>
          <w:p>
            <w:pPr>
              <w:pStyle w:val="TableParagraph"/>
              <w:spacing w:before="49"/>
              <w:ind w:right="208"/>
              <w:jc w:val="right"/>
              <w:rPr>
                <w:b/>
                <w:sz w:val="18"/>
              </w:rPr>
            </w:pPr>
            <w:r>
              <w:rPr>
                <w:b/>
                <w:w w:val="95"/>
                <w:sz w:val="18"/>
              </w:rPr>
              <w:t>953,702</w:t>
            </w:r>
          </w:p>
        </w:tc>
        <w:tc>
          <w:tcPr>
            <w:tcW w:w="1105" w:type="dxa"/>
            <w:tcBorders>
              <w:top w:val="single" w:sz="1" w:space="0" w:color="000000"/>
            </w:tcBorders>
          </w:tcPr>
          <w:p>
            <w:pPr>
              <w:pStyle w:val="TableParagraph"/>
              <w:spacing w:before="49"/>
              <w:ind w:left="210"/>
              <w:rPr>
                <w:b/>
                <w:sz w:val="18"/>
              </w:rPr>
            </w:pPr>
            <w:r>
              <w:rPr>
                <w:b/>
                <w:sz w:val="18"/>
              </w:rPr>
              <w:t>1,657,457</w:t>
            </w:r>
          </w:p>
        </w:tc>
      </w:tr>
      <w:tr>
        <w:trPr>
          <w:trHeight w:val="406" w:hRule="exact"/>
        </w:trPr>
        <w:tc>
          <w:tcPr>
            <w:tcW w:w="5039" w:type="dxa"/>
          </w:tcPr>
          <w:p>
            <w:pPr>
              <w:pStyle w:val="TableParagraph"/>
              <w:spacing w:before="91"/>
              <w:ind w:left="35" w:right="281"/>
              <w:rPr>
                <w:sz w:val="18"/>
              </w:rPr>
            </w:pPr>
            <w:r>
              <w:rPr>
                <w:sz w:val="18"/>
              </w:rPr>
              <w:t>Net result</w:t>
            </w:r>
          </w:p>
        </w:tc>
        <w:tc>
          <w:tcPr>
            <w:tcW w:w="1041" w:type="dxa"/>
          </w:tcPr>
          <w:p>
            <w:pPr>
              <w:pStyle w:val="TableParagraph"/>
              <w:spacing w:before="88"/>
              <w:ind w:right="134"/>
              <w:jc w:val="right"/>
              <w:rPr>
                <w:sz w:val="18"/>
              </w:rPr>
            </w:pPr>
            <w:r>
              <w:rPr>
                <w:w w:val="95"/>
                <w:sz w:val="18"/>
              </w:rPr>
              <w:t>29(c)</w:t>
            </w:r>
          </w:p>
        </w:tc>
        <w:tc>
          <w:tcPr>
            <w:tcW w:w="1540" w:type="dxa"/>
          </w:tcPr>
          <w:p>
            <w:pPr>
              <w:pStyle w:val="TableParagraph"/>
              <w:spacing w:before="88"/>
              <w:ind w:right="237"/>
              <w:jc w:val="right"/>
              <w:rPr>
                <w:b/>
                <w:sz w:val="18"/>
              </w:rPr>
            </w:pPr>
            <w:r>
              <w:rPr>
                <w:b/>
                <w:w w:val="99"/>
                <w:sz w:val="18"/>
              </w:rPr>
              <w:t>-</w:t>
            </w:r>
          </w:p>
        </w:tc>
        <w:tc>
          <w:tcPr>
            <w:tcW w:w="1195" w:type="dxa"/>
          </w:tcPr>
          <w:p>
            <w:pPr>
              <w:pStyle w:val="TableParagraph"/>
              <w:spacing w:before="88"/>
              <w:ind w:right="208"/>
              <w:jc w:val="right"/>
              <w:rPr>
                <w:b/>
                <w:sz w:val="18"/>
              </w:rPr>
            </w:pPr>
            <w:r>
              <w:rPr>
                <w:b/>
                <w:w w:val="95"/>
                <w:sz w:val="18"/>
              </w:rPr>
              <w:t>48,462</w:t>
            </w:r>
          </w:p>
        </w:tc>
        <w:tc>
          <w:tcPr>
            <w:tcW w:w="1105" w:type="dxa"/>
          </w:tcPr>
          <w:p>
            <w:pPr>
              <w:pStyle w:val="TableParagraph"/>
              <w:spacing w:before="88"/>
              <w:ind w:left="462"/>
              <w:rPr>
                <w:b/>
                <w:sz w:val="18"/>
              </w:rPr>
            </w:pPr>
            <w:r>
              <w:rPr>
                <w:b/>
                <w:sz w:val="18"/>
              </w:rPr>
              <w:t>48,462</w:t>
            </w:r>
          </w:p>
        </w:tc>
      </w:tr>
      <w:tr>
        <w:trPr>
          <w:trHeight w:val="538" w:hRule="exact"/>
        </w:trPr>
        <w:tc>
          <w:tcPr>
            <w:tcW w:w="5039" w:type="dxa"/>
          </w:tcPr>
          <w:p>
            <w:pPr>
              <w:pStyle w:val="TableParagraph"/>
              <w:spacing w:before="88"/>
              <w:ind w:left="35" w:right="281"/>
              <w:rPr>
                <w:sz w:val="18"/>
              </w:rPr>
            </w:pPr>
            <w:r>
              <w:rPr>
                <w:sz w:val="18"/>
              </w:rPr>
              <w:t>Gain / (loss) on revaluation of property, plant and equipment</w:t>
            </w:r>
          </w:p>
        </w:tc>
        <w:tc>
          <w:tcPr>
            <w:tcW w:w="1041" w:type="dxa"/>
          </w:tcPr>
          <w:p>
            <w:pPr>
              <w:pStyle w:val="TableParagraph"/>
              <w:spacing w:before="5"/>
              <w:rPr>
                <w:sz w:val="25"/>
              </w:rPr>
            </w:pPr>
          </w:p>
          <w:p>
            <w:pPr>
              <w:pStyle w:val="TableParagraph"/>
              <w:ind w:right="124"/>
              <w:jc w:val="right"/>
              <w:rPr>
                <w:sz w:val="18"/>
              </w:rPr>
            </w:pPr>
            <w:r>
              <w:rPr>
                <w:sz w:val="18"/>
              </w:rPr>
              <w:t>29(b)</w:t>
            </w:r>
          </w:p>
        </w:tc>
        <w:tc>
          <w:tcPr>
            <w:tcW w:w="1540" w:type="dxa"/>
          </w:tcPr>
          <w:p>
            <w:pPr>
              <w:pStyle w:val="TableParagraph"/>
              <w:spacing w:before="5"/>
              <w:rPr>
                <w:sz w:val="25"/>
              </w:rPr>
            </w:pPr>
          </w:p>
          <w:p>
            <w:pPr>
              <w:pStyle w:val="TableParagraph"/>
              <w:ind w:right="237"/>
              <w:jc w:val="right"/>
              <w:rPr>
                <w:b/>
                <w:sz w:val="18"/>
              </w:rPr>
            </w:pPr>
            <w:r>
              <w:rPr>
                <w:b/>
                <w:w w:val="95"/>
                <w:sz w:val="18"/>
              </w:rPr>
              <w:t>200,303</w:t>
            </w:r>
          </w:p>
        </w:tc>
        <w:tc>
          <w:tcPr>
            <w:tcW w:w="1195" w:type="dxa"/>
          </w:tcPr>
          <w:p>
            <w:pPr>
              <w:pStyle w:val="TableParagraph"/>
              <w:spacing w:before="5"/>
              <w:rPr>
                <w:sz w:val="25"/>
              </w:rPr>
            </w:pPr>
          </w:p>
          <w:p>
            <w:pPr>
              <w:pStyle w:val="TableParagraph"/>
              <w:ind w:right="208"/>
              <w:jc w:val="right"/>
              <w:rPr>
                <w:b/>
                <w:sz w:val="18"/>
              </w:rPr>
            </w:pPr>
            <w:r>
              <w:rPr>
                <w:b/>
                <w:w w:val="99"/>
                <w:sz w:val="18"/>
              </w:rPr>
              <w:t>-</w:t>
            </w:r>
          </w:p>
        </w:tc>
        <w:tc>
          <w:tcPr>
            <w:tcW w:w="1105" w:type="dxa"/>
          </w:tcPr>
          <w:p>
            <w:pPr>
              <w:pStyle w:val="TableParagraph"/>
              <w:spacing w:before="5"/>
              <w:rPr>
                <w:sz w:val="25"/>
              </w:rPr>
            </w:pPr>
          </w:p>
          <w:p>
            <w:pPr>
              <w:pStyle w:val="TableParagraph"/>
              <w:ind w:left="361"/>
              <w:rPr>
                <w:b/>
                <w:sz w:val="18"/>
              </w:rPr>
            </w:pPr>
            <w:r>
              <w:rPr>
                <w:b/>
                <w:sz w:val="18"/>
              </w:rPr>
              <w:t>200,303</w:t>
            </w:r>
          </w:p>
        </w:tc>
      </w:tr>
      <w:tr>
        <w:trPr>
          <w:trHeight w:val="467" w:hRule="exact"/>
        </w:trPr>
        <w:tc>
          <w:tcPr>
            <w:tcW w:w="5039" w:type="dxa"/>
          </w:tcPr>
          <w:p>
            <w:pPr>
              <w:pStyle w:val="TableParagraph"/>
              <w:spacing w:before="16"/>
              <w:ind w:left="35" w:right="281"/>
              <w:rPr>
                <w:sz w:val="18"/>
              </w:rPr>
            </w:pPr>
            <w:r>
              <w:rPr>
                <w:sz w:val="18"/>
              </w:rPr>
              <w:t>Gain / (loss) on revaluation of available-for-sale financial assets</w:t>
            </w:r>
          </w:p>
        </w:tc>
        <w:tc>
          <w:tcPr>
            <w:tcW w:w="1041" w:type="dxa"/>
          </w:tcPr>
          <w:p>
            <w:pPr>
              <w:pStyle w:val="TableParagraph"/>
              <w:spacing w:before="2"/>
              <w:rPr>
                <w:sz w:val="19"/>
              </w:rPr>
            </w:pPr>
          </w:p>
          <w:p>
            <w:pPr>
              <w:pStyle w:val="TableParagraph"/>
              <w:ind w:right="124"/>
              <w:jc w:val="right"/>
              <w:rPr>
                <w:sz w:val="18"/>
              </w:rPr>
            </w:pPr>
            <w:r>
              <w:rPr>
                <w:sz w:val="18"/>
              </w:rPr>
              <w:t>29(b)</w:t>
            </w:r>
          </w:p>
        </w:tc>
        <w:tc>
          <w:tcPr>
            <w:tcW w:w="1540" w:type="dxa"/>
          </w:tcPr>
          <w:p>
            <w:pPr>
              <w:pStyle w:val="TableParagraph"/>
              <w:spacing w:before="2"/>
              <w:rPr>
                <w:sz w:val="19"/>
              </w:rPr>
            </w:pPr>
          </w:p>
          <w:p>
            <w:pPr>
              <w:pStyle w:val="TableParagraph"/>
              <w:ind w:right="237"/>
              <w:jc w:val="right"/>
              <w:rPr>
                <w:b/>
                <w:sz w:val="18"/>
              </w:rPr>
            </w:pPr>
            <w:r>
              <w:rPr>
                <w:b/>
                <w:w w:val="95"/>
                <w:sz w:val="18"/>
              </w:rPr>
              <w:t>2,733</w:t>
            </w:r>
          </w:p>
        </w:tc>
        <w:tc>
          <w:tcPr>
            <w:tcW w:w="1195" w:type="dxa"/>
          </w:tcPr>
          <w:p>
            <w:pPr>
              <w:pStyle w:val="TableParagraph"/>
              <w:spacing w:before="2"/>
              <w:rPr>
                <w:sz w:val="19"/>
              </w:rPr>
            </w:pPr>
          </w:p>
          <w:p>
            <w:pPr>
              <w:pStyle w:val="TableParagraph"/>
              <w:ind w:right="208"/>
              <w:jc w:val="right"/>
              <w:rPr>
                <w:b/>
                <w:sz w:val="18"/>
              </w:rPr>
            </w:pPr>
            <w:r>
              <w:rPr>
                <w:b/>
                <w:w w:val="99"/>
                <w:sz w:val="18"/>
              </w:rPr>
              <w:t>-</w:t>
            </w:r>
          </w:p>
        </w:tc>
        <w:tc>
          <w:tcPr>
            <w:tcW w:w="1105" w:type="dxa"/>
          </w:tcPr>
          <w:p>
            <w:pPr>
              <w:pStyle w:val="TableParagraph"/>
              <w:spacing w:before="2"/>
              <w:rPr>
                <w:sz w:val="19"/>
              </w:rPr>
            </w:pPr>
          </w:p>
          <w:p>
            <w:pPr>
              <w:pStyle w:val="TableParagraph"/>
              <w:ind w:right="87"/>
              <w:jc w:val="right"/>
              <w:rPr>
                <w:b/>
                <w:sz w:val="18"/>
              </w:rPr>
            </w:pPr>
            <w:r>
              <w:rPr>
                <w:b/>
                <w:w w:val="95"/>
                <w:sz w:val="18"/>
              </w:rPr>
              <w:t>2,733</w:t>
            </w:r>
          </w:p>
        </w:tc>
      </w:tr>
      <w:tr>
        <w:trPr>
          <w:trHeight w:val="264" w:hRule="exact"/>
        </w:trPr>
        <w:tc>
          <w:tcPr>
            <w:tcW w:w="5039" w:type="dxa"/>
          </w:tcPr>
          <w:p>
            <w:pPr>
              <w:pStyle w:val="TableParagraph"/>
              <w:spacing w:before="20"/>
              <w:ind w:left="35" w:right="281"/>
              <w:rPr>
                <w:sz w:val="18"/>
              </w:rPr>
            </w:pPr>
            <w:r>
              <w:rPr>
                <w:sz w:val="18"/>
              </w:rPr>
              <w:t>Gain / (loss) on revaluation of art collection</w:t>
            </w:r>
          </w:p>
        </w:tc>
        <w:tc>
          <w:tcPr>
            <w:tcW w:w="1041" w:type="dxa"/>
          </w:tcPr>
          <w:p>
            <w:pPr>
              <w:pStyle w:val="TableParagraph"/>
              <w:spacing w:before="18"/>
              <w:ind w:right="124"/>
              <w:jc w:val="right"/>
              <w:rPr>
                <w:sz w:val="18"/>
              </w:rPr>
            </w:pPr>
            <w:r>
              <w:rPr>
                <w:sz w:val="18"/>
              </w:rPr>
              <w:t>29(b)</w:t>
            </w:r>
          </w:p>
        </w:tc>
        <w:tc>
          <w:tcPr>
            <w:tcW w:w="1540" w:type="dxa"/>
          </w:tcPr>
          <w:p>
            <w:pPr>
              <w:pStyle w:val="TableParagraph"/>
              <w:spacing w:before="18"/>
              <w:ind w:right="176"/>
              <w:jc w:val="right"/>
              <w:rPr>
                <w:b/>
                <w:sz w:val="18"/>
              </w:rPr>
            </w:pPr>
            <w:r>
              <w:rPr>
                <w:b/>
                <w:sz w:val="18"/>
              </w:rPr>
              <w:t>(3)</w:t>
            </w:r>
          </w:p>
        </w:tc>
        <w:tc>
          <w:tcPr>
            <w:tcW w:w="1195" w:type="dxa"/>
          </w:tcPr>
          <w:p>
            <w:pPr>
              <w:pStyle w:val="TableParagraph"/>
              <w:spacing w:before="18"/>
              <w:ind w:right="208"/>
              <w:jc w:val="right"/>
              <w:rPr>
                <w:b/>
                <w:sz w:val="18"/>
              </w:rPr>
            </w:pPr>
            <w:r>
              <w:rPr>
                <w:b/>
                <w:w w:val="99"/>
                <w:sz w:val="18"/>
              </w:rPr>
              <w:t>-</w:t>
            </w:r>
          </w:p>
        </w:tc>
        <w:tc>
          <w:tcPr>
            <w:tcW w:w="1105" w:type="dxa"/>
          </w:tcPr>
          <w:p>
            <w:pPr>
              <w:pStyle w:val="TableParagraph"/>
              <w:spacing w:before="18"/>
              <w:ind w:right="26"/>
              <w:jc w:val="right"/>
              <w:rPr>
                <w:b/>
                <w:sz w:val="18"/>
              </w:rPr>
            </w:pPr>
            <w:r>
              <w:rPr>
                <w:b/>
                <w:sz w:val="18"/>
              </w:rPr>
              <w:t>(3)</w:t>
            </w:r>
          </w:p>
        </w:tc>
      </w:tr>
      <w:tr>
        <w:trPr>
          <w:trHeight w:val="264" w:hRule="exact"/>
        </w:trPr>
        <w:tc>
          <w:tcPr>
            <w:tcW w:w="5039" w:type="dxa"/>
          </w:tcPr>
          <w:p>
            <w:pPr>
              <w:pStyle w:val="TableParagraph"/>
              <w:spacing w:before="20"/>
              <w:ind w:left="35" w:right="281"/>
              <w:rPr>
                <w:sz w:val="18"/>
              </w:rPr>
            </w:pPr>
            <w:r>
              <w:rPr>
                <w:sz w:val="18"/>
              </w:rPr>
              <w:t>Gain / (loss) on revaluation of livestock</w:t>
            </w:r>
          </w:p>
        </w:tc>
        <w:tc>
          <w:tcPr>
            <w:tcW w:w="1041" w:type="dxa"/>
          </w:tcPr>
          <w:p>
            <w:pPr>
              <w:pStyle w:val="TableParagraph"/>
              <w:spacing w:before="18"/>
              <w:ind w:right="124"/>
              <w:jc w:val="right"/>
              <w:rPr>
                <w:sz w:val="18"/>
              </w:rPr>
            </w:pPr>
            <w:r>
              <w:rPr>
                <w:sz w:val="18"/>
              </w:rPr>
              <w:t>29(b)</w:t>
            </w:r>
          </w:p>
        </w:tc>
        <w:tc>
          <w:tcPr>
            <w:tcW w:w="1540" w:type="dxa"/>
          </w:tcPr>
          <w:p>
            <w:pPr>
              <w:pStyle w:val="TableParagraph"/>
              <w:spacing w:before="18"/>
              <w:ind w:right="237"/>
              <w:jc w:val="right"/>
              <w:rPr>
                <w:b/>
                <w:sz w:val="18"/>
              </w:rPr>
            </w:pPr>
            <w:r>
              <w:rPr>
                <w:b/>
                <w:sz w:val="18"/>
              </w:rPr>
              <w:t>48</w:t>
            </w:r>
          </w:p>
        </w:tc>
        <w:tc>
          <w:tcPr>
            <w:tcW w:w="1195" w:type="dxa"/>
          </w:tcPr>
          <w:p>
            <w:pPr>
              <w:pStyle w:val="TableParagraph"/>
              <w:spacing w:before="18"/>
              <w:ind w:right="208"/>
              <w:jc w:val="right"/>
              <w:rPr>
                <w:b/>
                <w:sz w:val="18"/>
              </w:rPr>
            </w:pPr>
            <w:r>
              <w:rPr>
                <w:b/>
                <w:w w:val="99"/>
                <w:sz w:val="18"/>
              </w:rPr>
              <w:t>-</w:t>
            </w:r>
          </w:p>
        </w:tc>
        <w:tc>
          <w:tcPr>
            <w:tcW w:w="1105" w:type="dxa"/>
          </w:tcPr>
          <w:p>
            <w:pPr>
              <w:pStyle w:val="TableParagraph"/>
              <w:spacing w:before="18"/>
              <w:ind w:right="86"/>
              <w:jc w:val="right"/>
              <w:rPr>
                <w:b/>
                <w:sz w:val="18"/>
              </w:rPr>
            </w:pPr>
            <w:r>
              <w:rPr>
                <w:b/>
                <w:sz w:val="18"/>
              </w:rPr>
              <w:t>48</w:t>
            </w:r>
          </w:p>
        </w:tc>
      </w:tr>
      <w:tr>
        <w:trPr>
          <w:trHeight w:val="260" w:hRule="exact"/>
        </w:trPr>
        <w:tc>
          <w:tcPr>
            <w:tcW w:w="5039" w:type="dxa"/>
          </w:tcPr>
          <w:p>
            <w:pPr>
              <w:pStyle w:val="TableParagraph"/>
              <w:spacing w:before="20"/>
              <w:ind w:left="35" w:right="281"/>
              <w:rPr>
                <w:sz w:val="18"/>
              </w:rPr>
            </w:pPr>
            <w:r>
              <w:rPr>
                <w:sz w:val="18"/>
              </w:rPr>
              <w:t>Remeasurements of Defined Benefit Plans</w:t>
            </w:r>
          </w:p>
        </w:tc>
        <w:tc>
          <w:tcPr>
            <w:tcW w:w="1041" w:type="dxa"/>
          </w:tcPr>
          <w:p>
            <w:pPr>
              <w:pStyle w:val="TableParagraph"/>
              <w:spacing w:before="18"/>
              <w:ind w:right="124"/>
              <w:jc w:val="right"/>
              <w:rPr>
                <w:sz w:val="18"/>
              </w:rPr>
            </w:pPr>
            <w:r>
              <w:rPr>
                <w:sz w:val="18"/>
              </w:rPr>
              <w:t>29(b)</w:t>
            </w:r>
          </w:p>
        </w:tc>
        <w:tc>
          <w:tcPr>
            <w:tcW w:w="1540" w:type="dxa"/>
            <w:tcBorders>
              <w:bottom w:val="single" w:sz="1" w:space="0" w:color="000000"/>
            </w:tcBorders>
          </w:tcPr>
          <w:p>
            <w:pPr>
              <w:pStyle w:val="TableParagraph"/>
              <w:spacing w:before="18"/>
              <w:ind w:right="176"/>
              <w:jc w:val="right"/>
              <w:rPr>
                <w:b/>
                <w:sz w:val="18"/>
              </w:rPr>
            </w:pPr>
            <w:r>
              <w:rPr>
                <w:b/>
                <w:w w:val="95"/>
                <w:sz w:val="18"/>
              </w:rPr>
              <w:t>(1,447)</w:t>
            </w:r>
          </w:p>
        </w:tc>
        <w:tc>
          <w:tcPr>
            <w:tcW w:w="1195" w:type="dxa"/>
            <w:tcBorders>
              <w:bottom w:val="single" w:sz="1" w:space="0" w:color="000000"/>
            </w:tcBorders>
          </w:tcPr>
          <w:p>
            <w:pPr>
              <w:pStyle w:val="TableParagraph"/>
              <w:spacing w:before="18"/>
              <w:ind w:right="208"/>
              <w:jc w:val="right"/>
              <w:rPr>
                <w:b/>
                <w:sz w:val="18"/>
              </w:rPr>
            </w:pPr>
            <w:r>
              <w:rPr>
                <w:b/>
                <w:w w:val="99"/>
                <w:sz w:val="18"/>
              </w:rPr>
              <w:t>-</w:t>
            </w:r>
          </w:p>
        </w:tc>
        <w:tc>
          <w:tcPr>
            <w:tcW w:w="1105" w:type="dxa"/>
            <w:tcBorders>
              <w:bottom w:val="single" w:sz="1" w:space="0" w:color="000000"/>
            </w:tcBorders>
          </w:tcPr>
          <w:p>
            <w:pPr>
              <w:pStyle w:val="TableParagraph"/>
              <w:spacing w:before="18"/>
              <w:ind w:right="26"/>
              <w:jc w:val="right"/>
              <w:rPr>
                <w:b/>
                <w:sz w:val="18"/>
              </w:rPr>
            </w:pPr>
            <w:r>
              <w:rPr>
                <w:b/>
                <w:w w:val="95"/>
                <w:sz w:val="18"/>
              </w:rPr>
              <w:t>(1,447)</w:t>
            </w:r>
          </w:p>
        </w:tc>
      </w:tr>
      <w:tr>
        <w:trPr>
          <w:trHeight w:val="338" w:hRule="exact"/>
        </w:trPr>
        <w:tc>
          <w:tcPr>
            <w:tcW w:w="5039" w:type="dxa"/>
          </w:tcPr>
          <w:p>
            <w:pPr>
              <w:pStyle w:val="TableParagraph"/>
              <w:spacing w:before="125"/>
              <w:ind w:left="35" w:right="281"/>
              <w:rPr>
                <w:b/>
                <w:sz w:val="18"/>
              </w:rPr>
            </w:pPr>
            <w:r>
              <w:rPr>
                <w:b/>
                <w:sz w:val="18"/>
              </w:rPr>
              <w:t>Other comprehensive income</w:t>
            </w:r>
          </w:p>
        </w:tc>
        <w:tc>
          <w:tcPr>
            <w:tcW w:w="1041" w:type="dxa"/>
          </w:tcPr>
          <w:p>
            <w:pPr/>
          </w:p>
        </w:tc>
        <w:tc>
          <w:tcPr>
            <w:tcW w:w="1540" w:type="dxa"/>
            <w:tcBorders>
              <w:top w:val="single" w:sz="1" w:space="0" w:color="000000"/>
              <w:bottom w:val="single" w:sz="1" w:space="0" w:color="000000"/>
            </w:tcBorders>
          </w:tcPr>
          <w:p>
            <w:pPr>
              <w:pStyle w:val="TableParagraph"/>
              <w:spacing w:before="124"/>
              <w:ind w:right="237"/>
              <w:jc w:val="right"/>
              <w:rPr>
                <w:b/>
                <w:sz w:val="18"/>
              </w:rPr>
            </w:pPr>
            <w:r>
              <w:rPr>
                <w:b/>
                <w:w w:val="95"/>
                <w:sz w:val="18"/>
              </w:rPr>
              <w:t>201,634</w:t>
            </w:r>
          </w:p>
        </w:tc>
        <w:tc>
          <w:tcPr>
            <w:tcW w:w="1195" w:type="dxa"/>
            <w:tcBorders>
              <w:top w:val="single" w:sz="1" w:space="0" w:color="000000"/>
              <w:bottom w:val="single" w:sz="1" w:space="0" w:color="000000"/>
            </w:tcBorders>
          </w:tcPr>
          <w:p>
            <w:pPr>
              <w:pStyle w:val="TableParagraph"/>
              <w:spacing w:before="124"/>
              <w:ind w:right="208"/>
              <w:jc w:val="right"/>
              <w:rPr>
                <w:b/>
                <w:sz w:val="18"/>
              </w:rPr>
            </w:pPr>
            <w:r>
              <w:rPr>
                <w:b/>
                <w:w w:val="95"/>
                <w:sz w:val="18"/>
              </w:rPr>
              <w:t>48,462</w:t>
            </w:r>
          </w:p>
        </w:tc>
        <w:tc>
          <w:tcPr>
            <w:tcW w:w="1105" w:type="dxa"/>
            <w:tcBorders>
              <w:top w:val="single" w:sz="1" w:space="0" w:color="000000"/>
              <w:bottom w:val="single" w:sz="1" w:space="0" w:color="000000"/>
            </w:tcBorders>
          </w:tcPr>
          <w:p>
            <w:pPr>
              <w:pStyle w:val="TableParagraph"/>
              <w:spacing w:before="124"/>
              <w:ind w:left="361"/>
              <w:rPr>
                <w:b/>
                <w:sz w:val="18"/>
              </w:rPr>
            </w:pPr>
            <w:r>
              <w:rPr>
                <w:b/>
                <w:sz w:val="18"/>
              </w:rPr>
              <w:t>250,096</w:t>
            </w:r>
          </w:p>
        </w:tc>
      </w:tr>
      <w:tr>
        <w:trPr>
          <w:trHeight w:val="338" w:hRule="exact"/>
        </w:trPr>
        <w:tc>
          <w:tcPr>
            <w:tcW w:w="5039" w:type="dxa"/>
          </w:tcPr>
          <w:p>
            <w:pPr>
              <w:pStyle w:val="TableParagraph"/>
              <w:spacing w:before="125"/>
              <w:ind w:left="35" w:right="281"/>
              <w:rPr>
                <w:b/>
                <w:sz w:val="18"/>
              </w:rPr>
            </w:pPr>
            <w:r>
              <w:rPr>
                <w:b/>
                <w:sz w:val="18"/>
              </w:rPr>
              <w:t>Total comprehensive income</w:t>
            </w:r>
          </w:p>
        </w:tc>
        <w:tc>
          <w:tcPr>
            <w:tcW w:w="1041" w:type="dxa"/>
          </w:tcPr>
          <w:p>
            <w:pPr/>
          </w:p>
        </w:tc>
        <w:tc>
          <w:tcPr>
            <w:tcW w:w="1540" w:type="dxa"/>
            <w:tcBorders>
              <w:top w:val="single" w:sz="1" w:space="0" w:color="000000"/>
              <w:bottom w:val="single" w:sz="1" w:space="0" w:color="000000"/>
            </w:tcBorders>
          </w:tcPr>
          <w:p>
            <w:pPr>
              <w:pStyle w:val="TableParagraph"/>
              <w:spacing w:before="124"/>
              <w:ind w:right="237"/>
              <w:jc w:val="right"/>
              <w:rPr>
                <w:b/>
                <w:sz w:val="18"/>
              </w:rPr>
            </w:pPr>
            <w:r>
              <w:rPr>
                <w:b/>
                <w:w w:val="95"/>
                <w:sz w:val="18"/>
              </w:rPr>
              <w:t>905,389</w:t>
            </w:r>
          </w:p>
        </w:tc>
        <w:tc>
          <w:tcPr>
            <w:tcW w:w="1195" w:type="dxa"/>
            <w:tcBorders>
              <w:top w:val="single" w:sz="1" w:space="0" w:color="000000"/>
              <w:bottom w:val="single" w:sz="1" w:space="0" w:color="000000"/>
            </w:tcBorders>
          </w:tcPr>
          <w:p>
            <w:pPr>
              <w:pStyle w:val="TableParagraph"/>
              <w:spacing w:before="124"/>
              <w:ind w:left="178"/>
              <w:rPr>
                <w:b/>
                <w:sz w:val="18"/>
              </w:rPr>
            </w:pPr>
            <w:r>
              <w:rPr>
                <w:b/>
                <w:sz w:val="18"/>
              </w:rPr>
              <w:t>1,002,164</w:t>
            </w:r>
          </w:p>
        </w:tc>
        <w:tc>
          <w:tcPr>
            <w:tcW w:w="1105" w:type="dxa"/>
            <w:tcBorders>
              <w:top w:val="single" w:sz="1" w:space="0" w:color="000000"/>
              <w:bottom w:val="single" w:sz="1" w:space="0" w:color="000000"/>
            </w:tcBorders>
          </w:tcPr>
          <w:p>
            <w:pPr>
              <w:pStyle w:val="TableParagraph"/>
              <w:spacing w:before="124"/>
              <w:ind w:left="210"/>
              <w:rPr>
                <w:b/>
                <w:sz w:val="18"/>
              </w:rPr>
            </w:pPr>
            <w:r>
              <w:rPr>
                <w:b/>
                <w:sz w:val="18"/>
              </w:rPr>
              <w:t>1,907,553</w:t>
            </w:r>
          </w:p>
        </w:tc>
      </w:tr>
      <w:tr>
        <w:trPr>
          <w:trHeight w:val="485" w:hRule="exact"/>
        </w:trPr>
        <w:tc>
          <w:tcPr>
            <w:tcW w:w="5039" w:type="dxa"/>
          </w:tcPr>
          <w:p>
            <w:pPr>
              <w:pStyle w:val="TableParagraph"/>
              <w:spacing w:before="38"/>
              <w:ind w:left="35" w:right="281"/>
              <w:rPr>
                <w:sz w:val="18"/>
              </w:rPr>
            </w:pPr>
            <w:r>
              <w:rPr>
                <w:sz w:val="18"/>
              </w:rPr>
              <w:t>Transfer from property plant and equipment reserve on disposal of assets</w:t>
            </w:r>
          </w:p>
        </w:tc>
        <w:tc>
          <w:tcPr>
            <w:tcW w:w="1041" w:type="dxa"/>
          </w:tcPr>
          <w:p>
            <w:pPr>
              <w:pStyle w:val="TableParagraph"/>
              <w:spacing w:before="41"/>
              <w:ind w:right="134"/>
              <w:jc w:val="right"/>
              <w:rPr>
                <w:sz w:val="18"/>
              </w:rPr>
            </w:pPr>
            <w:r>
              <w:rPr>
                <w:w w:val="95"/>
                <w:sz w:val="18"/>
              </w:rPr>
              <w:t>29(c)</w:t>
            </w:r>
          </w:p>
        </w:tc>
        <w:tc>
          <w:tcPr>
            <w:tcW w:w="1540" w:type="dxa"/>
            <w:tcBorders>
              <w:top w:val="single" w:sz="1" w:space="0" w:color="000000"/>
              <w:bottom w:val="single" w:sz="1" w:space="0" w:color="000000"/>
            </w:tcBorders>
          </w:tcPr>
          <w:p>
            <w:pPr>
              <w:pStyle w:val="TableParagraph"/>
              <w:rPr>
                <w:sz w:val="21"/>
              </w:rPr>
            </w:pPr>
          </w:p>
          <w:p>
            <w:pPr>
              <w:pStyle w:val="TableParagraph"/>
              <w:ind w:right="176"/>
              <w:jc w:val="right"/>
              <w:rPr>
                <w:b/>
                <w:sz w:val="18"/>
              </w:rPr>
            </w:pPr>
            <w:r>
              <w:rPr>
                <w:b/>
                <w:w w:val="95"/>
                <w:sz w:val="18"/>
              </w:rPr>
              <w:t>(43,848)</w:t>
            </w:r>
          </w:p>
        </w:tc>
        <w:tc>
          <w:tcPr>
            <w:tcW w:w="1195" w:type="dxa"/>
            <w:tcBorders>
              <w:top w:val="single" w:sz="1" w:space="0" w:color="000000"/>
              <w:bottom w:val="single" w:sz="1" w:space="0" w:color="000000"/>
            </w:tcBorders>
          </w:tcPr>
          <w:p>
            <w:pPr>
              <w:pStyle w:val="TableParagraph"/>
              <w:rPr>
                <w:sz w:val="21"/>
              </w:rPr>
            </w:pPr>
          </w:p>
          <w:p>
            <w:pPr>
              <w:pStyle w:val="TableParagraph"/>
              <w:ind w:right="208"/>
              <w:jc w:val="right"/>
              <w:rPr>
                <w:b/>
                <w:sz w:val="18"/>
              </w:rPr>
            </w:pPr>
            <w:r>
              <w:rPr>
                <w:b/>
                <w:w w:val="95"/>
                <w:sz w:val="18"/>
              </w:rPr>
              <w:t>43,848</w:t>
            </w:r>
          </w:p>
        </w:tc>
        <w:tc>
          <w:tcPr>
            <w:tcW w:w="1105" w:type="dxa"/>
            <w:tcBorders>
              <w:top w:val="single" w:sz="1" w:space="0" w:color="000000"/>
              <w:bottom w:val="single" w:sz="1" w:space="0" w:color="000000"/>
            </w:tcBorders>
          </w:tcPr>
          <w:p>
            <w:pPr>
              <w:pStyle w:val="TableParagraph"/>
              <w:rPr>
                <w:sz w:val="21"/>
              </w:rPr>
            </w:pPr>
          </w:p>
          <w:p>
            <w:pPr>
              <w:pStyle w:val="TableParagraph"/>
              <w:ind w:right="86"/>
              <w:jc w:val="right"/>
              <w:rPr>
                <w:b/>
                <w:sz w:val="18"/>
              </w:rPr>
            </w:pPr>
            <w:r>
              <w:rPr>
                <w:b/>
                <w:w w:val="99"/>
                <w:sz w:val="18"/>
              </w:rPr>
              <w:t>-</w:t>
            </w:r>
          </w:p>
        </w:tc>
      </w:tr>
      <w:tr>
        <w:trPr>
          <w:trHeight w:val="338" w:hRule="exact"/>
        </w:trPr>
        <w:tc>
          <w:tcPr>
            <w:tcW w:w="5039" w:type="dxa"/>
          </w:tcPr>
          <w:p>
            <w:pPr>
              <w:pStyle w:val="TableParagraph"/>
              <w:spacing w:before="125"/>
              <w:ind w:left="35" w:right="281"/>
              <w:rPr>
                <w:b/>
                <w:sz w:val="18"/>
              </w:rPr>
            </w:pPr>
            <w:r>
              <w:rPr>
                <w:b/>
                <w:sz w:val="18"/>
              </w:rPr>
              <w:t>Balance at 31 December 2017</w:t>
            </w:r>
          </w:p>
        </w:tc>
        <w:tc>
          <w:tcPr>
            <w:tcW w:w="1041" w:type="dxa"/>
          </w:tcPr>
          <w:p>
            <w:pPr/>
          </w:p>
        </w:tc>
        <w:tc>
          <w:tcPr>
            <w:tcW w:w="1540" w:type="dxa"/>
            <w:tcBorders>
              <w:top w:val="single" w:sz="1" w:space="0" w:color="000000"/>
              <w:bottom w:val="single" w:sz="1" w:space="0" w:color="000000"/>
            </w:tcBorders>
          </w:tcPr>
          <w:p>
            <w:pPr>
              <w:pStyle w:val="TableParagraph"/>
              <w:spacing w:before="124"/>
              <w:ind w:right="237"/>
              <w:jc w:val="right"/>
              <w:rPr>
                <w:b/>
                <w:sz w:val="18"/>
              </w:rPr>
            </w:pPr>
            <w:r>
              <w:rPr>
                <w:b/>
                <w:w w:val="95"/>
                <w:sz w:val="18"/>
              </w:rPr>
              <w:t>861,541</w:t>
            </w:r>
          </w:p>
        </w:tc>
        <w:tc>
          <w:tcPr>
            <w:tcW w:w="1195" w:type="dxa"/>
            <w:tcBorders>
              <w:top w:val="single" w:sz="1" w:space="0" w:color="000000"/>
              <w:bottom w:val="single" w:sz="1" w:space="0" w:color="000000"/>
            </w:tcBorders>
          </w:tcPr>
          <w:p>
            <w:pPr>
              <w:pStyle w:val="TableParagraph"/>
              <w:spacing w:before="124"/>
              <w:ind w:left="178"/>
              <w:rPr>
                <w:b/>
                <w:sz w:val="18"/>
              </w:rPr>
            </w:pPr>
            <w:r>
              <w:rPr>
                <w:b/>
                <w:sz w:val="18"/>
              </w:rPr>
              <w:t>1,046,012</w:t>
            </w:r>
          </w:p>
        </w:tc>
        <w:tc>
          <w:tcPr>
            <w:tcW w:w="1105" w:type="dxa"/>
            <w:tcBorders>
              <w:top w:val="single" w:sz="1" w:space="0" w:color="000000"/>
              <w:bottom w:val="single" w:sz="1" w:space="0" w:color="000000"/>
            </w:tcBorders>
          </w:tcPr>
          <w:p>
            <w:pPr>
              <w:pStyle w:val="TableParagraph"/>
              <w:spacing w:before="124"/>
              <w:ind w:left="210"/>
              <w:rPr>
                <w:b/>
                <w:sz w:val="18"/>
              </w:rPr>
            </w:pPr>
            <w:r>
              <w:rPr>
                <w:b/>
                <w:sz w:val="18"/>
              </w:rPr>
              <w:t>1,907,553</w:t>
            </w:r>
          </w:p>
        </w:tc>
      </w:tr>
    </w:tbl>
    <w:p>
      <w:pPr>
        <w:pStyle w:val="BodyText"/>
        <w:rPr>
          <w:sz w:val="20"/>
        </w:rPr>
      </w:pPr>
    </w:p>
    <w:p>
      <w:pPr>
        <w:pStyle w:val="BodyText"/>
        <w:rPr>
          <w:sz w:val="28"/>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39"/>
        <w:gridCol w:w="1041"/>
        <w:gridCol w:w="1488"/>
        <w:gridCol w:w="1247"/>
        <w:gridCol w:w="1105"/>
      </w:tblGrid>
      <w:tr>
        <w:trPr>
          <w:trHeight w:val="567" w:hRule="exact"/>
        </w:trPr>
        <w:tc>
          <w:tcPr>
            <w:tcW w:w="6081" w:type="dxa"/>
            <w:gridSpan w:val="2"/>
            <w:vMerge w:val="restart"/>
          </w:tcPr>
          <w:p>
            <w:pPr/>
          </w:p>
        </w:tc>
        <w:tc>
          <w:tcPr>
            <w:tcW w:w="1488" w:type="dxa"/>
          </w:tcPr>
          <w:p>
            <w:pPr/>
          </w:p>
        </w:tc>
        <w:tc>
          <w:tcPr>
            <w:tcW w:w="1247" w:type="dxa"/>
          </w:tcPr>
          <w:p>
            <w:pPr>
              <w:pStyle w:val="TableParagraph"/>
              <w:spacing w:line="316" w:lineRule="auto" w:before="77"/>
              <w:ind w:left="131" w:right="335" w:firstLine="19"/>
              <w:rPr>
                <w:b/>
                <w:sz w:val="18"/>
              </w:rPr>
            </w:pPr>
            <w:r>
              <w:rPr>
                <w:b/>
                <w:sz w:val="18"/>
              </w:rPr>
              <w:t>Parent Retained</w:t>
            </w:r>
          </w:p>
        </w:tc>
        <w:tc>
          <w:tcPr>
            <w:tcW w:w="1105" w:type="dxa"/>
          </w:tcPr>
          <w:p>
            <w:pPr/>
          </w:p>
        </w:tc>
      </w:tr>
      <w:tr>
        <w:trPr>
          <w:trHeight w:val="240" w:hRule="exact"/>
        </w:trPr>
        <w:tc>
          <w:tcPr>
            <w:tcW w:w="6081" w:type="dxa"/>
            <w:gridSpan w:val="2"/>
            <w:vMerge/>
          </w:tcPr>
          <w:p>
            <w:pPr/>
          </w:p>
        </w:tc>
        <w:tc>
          <w:tcPr>
            <w:tcW w:w="1488" w:type="dxa"/>
          </w:tcPr>
          <w:p>
            <w:pPr>
              <w:pStyle w:val="TableParagraph"/>
              <w:spacing w:line="197" w:lineRule="exact"/>
              <w:ind w:left="376"/>
              <w:rPr>
                <w:b/>
                <w:sz w:val="18"/>
              </w:rPr>
            </w:pPr>
            <w:r>
              <w:rPr>
                <w:b/>
                <w:sz w:val="18"/>
              </w:rPr>
              <w:t>Reserves</w:t>
            </w:r>
          </w:p>
        </w:tc>
        <w:tc>
          <w:tcPr>
            <w:tcW w:w="1247" w:type="dxa"/>
          </w:tcPr>
          <w:p>
            <w:pPr>
              <w:pStyle w:val="TableParagraph"/>
              <w:spacing w:line="197" w:lineRule="exact"/>
              <w:ind w:left="127"/>
              <w:rPr>
                <w:b/>
                <w:sz w:val="18"/>
              </w:rPr>
            </w:pPr>
            <w:r>
              <w:rPr>
                <w:b/>
                <w:sz w:val="18"/>
              </w:rPr>
              <w:t>Earnings</w:t>
            </w:r>
          </w:p>
        </w:tc>
        <w:tc>
          <w:tcPr>
            <w:tcW w:w="1105" w:type="dxa"/>
          </w:tcPr>
          <w:p>
            <w:pPr>
              <w:pStyle w:val="TableParagraph"/>
              <w:spacing w:line="197" w:lineRule="exact"/>
              <w:ind w:left="262"/>
              <w:rPr>
                <w:b/>
                <w:sz w:val="18"/>
              </w:rPr>
            </w:pPr>
            <w:r>
              <w:rPr>
                <w:b/>
                <w:sz w:val="18"/>
              </w:rPr>
              <w:t>Total</w:t>
            </w:r>
          </w:p>
        </w:tc>
      </w:tr>
      <w:tr>
        <w:trPr>
          <w:trHeight w:val="271" w:hRule="exact"/>
        </w:trPr>
        <w:tc>
          <w:tcPr>
            <w:tcW w:w="5039" w:type="dxa"/>
          </w:tcPr>
          <w:p>
            <w:pPr/>
          </w:p>
        </w:tc>
        <w:tc>
          <w:tcPr>
            <w:tcW w:w="1041" w:type="dxa"/>
          </w:tcPr>
          <w:p>
            <w:pPr>
              <w:pStyle w:val="TableParagraph"/>
              <w:spacing w:before="24"/>
              <w:ind w:right="36"/>
              <w:jc w:val="right"/>
              <w:rPr>
                <w:b/>
                <w:sz w:val="18"/>
              </w:rPr>
            </w:pPr>
            <w:r>
              <w:rPr>
                <w:b/>
                <w:sz w:val="18"/>
              </w:rPr>
              <w:t>Notes</w:t>
            </w:r>
          </w:p>
        </w:tc>
        <w:tc>
          <w:tcPr>
            <w:tcW w:w="1488" w:type="dxa"/>
            <w:tcBorders>
              <w:bottom w:val="single" w:sz="1" w:space="0" w:color="000000"/>
            </w:tcBorders>
          </w:tcPr>
          <w:p>
            <w:pPr>
              <w:pStyle w:val="TableParagraph"/>
              <w:spacing w:before="24"/>
              <w:ind w:left="554"/>
              <w:rPr>
                <w:b/>
                <w:sz w:val="18"/>
              </w:rPr>
            </w:pPr>
            <w:r>
              <w:rPr>
                <w:b/>
                <w:sz w:val="18"/>
              </w:rPr>
              <w:t>$'000</w:t>
            </w:r>
          </w:p>
        </w:tc>
        <w:tc>
          <w:tcPr>
            <w:tcW w:w="1247" w:type="dxa"/>
            <w:tcBorders>
              <w:bottom w:val="single" w:sz="1" w:space="0" w:color="000000"/>
            </w:tcBorders>
          </w:tcPr>
          <w:p>
            <w:pPr>
              <w:pStyle w:val="TableParagraph"/>
              <w:spacing w:before="24"/>
              <w:ind w:left="290" w:right="335"/>
              <w:rPr>
                <w:b/>
                <w:sz w:val="18"/>
              </w:rPr>
            </w:pPr>
            <w:r>
              <w:rPr>
                <w:b/>
                <w:sz w:val="18"/>
              </w:rPr>
              <w:t>$'000</w:t>
            </w:r>
          </w:p>
        </w:tc>
        <w:tc>
          <w:tcPr>
            <w:tcW w:w="1105" w:type="dxa"/>
            <w:tcBorders>
              <w:bottom w:val="single" w:sz="1" w:space="0" w:color="000000"/>
            </w:tcBorders>
          </w:tcPr>
          <w:p>
            <w:pPr>
              <w:pStyle w:val="TableParagraph"/>
              <w:spacing w:before="24"/>
              <w:ind w:left="255"/>
              <w:rPr>
                <w:b/>
                <w:sz w:val="18"/>
              </w:rPr>
            </w:pPr>
            <w:r>
              <w:rPr>
                <w:b/>
                <w:sz w:val="18"/>
              </w:rPr>
              <w:t>$'000</w:t>
            </w:r>
          </w:p>
        </w:tc>
      </w:tr>
      <w:tr>
        <w:trPr>
          <w:trHeight w:val="357" w:hRule="exact"/>
        </w:trPr>
        <w:tc>
          <w:tcPr>
            <w:tcW w:w="5039" w:type="dxa"/>
          </w:tcPr>
          <w:p>
            <w:pPr>
              <w:pStyle w:val="TableParagraph"/>
              <w:spacing w:before="43"/>
              <w:ind w:left="35" w:right="281"/>
              <w:rPr>
                <w:b/>
                <w:sz w:val="18"/>
              </w:rPr>
            </w:pPr>
            <w:r>
              <w:rPr>
                <w:b/>
                <w:sz w:val="18"/>
              </w:rPr>
              <w:t>Balance at 1 January 2016</w:t>
            </w:r>
          </w:p>
        </w:tc>
        <w:tc>
          <w:tcPr>
            <w:tcW w:w="1041" w:type="dxa"/>
          </w:tcPr>
          <w:p>
            <w:pPr/>
          </w:p>
        </w:tc>
        <w:tc>
          <w:tcPr>
            <w:tcW w:w="1488" w:type="dxa"/>
            <w:tcBorders>
              <w:top w:val="single" w:sz="1" w:space="0" w:color="000000"/>
            </w:tcBorders>
          </w:tcPr>
          <w:p>
            <w:pPr>
              <w:pStyle w:val="TableParagraph"/>
              <w:spacing w:before="40"/>
              <w:ind w:right="185"/>
              <w:jc w:val="right"/>
              <w:rPr>
                <w:sz w:val="18"/>
              </w:rPr>
            </w:pPr>
            <w:r>
              <w:rPr>
                <w:w w:val="95"/>
                <w:sz w:val="18"/>
              </w:rPr>
              <w:t>680,286</w:t>
            </w:r>
          </w:p>
        </w:tc>
        <w:tc>
          <w:tcPr>
            <w:tcW w:w="1247" w:type="dxa"/>
            <w:tcBorders>
              <w:top w:val="single" w:sz="1" w:space="0" w:color="000000"/>
            </w:tcBorders>
          </w:tcPr>
          <w:p>
            <w:pPr>
              <w:pStyle w:val="TableParagraph"/>
              <w:spacing w:before="40"/>
              <w:ind w:right="208"/>
              <w:jc w:val="right"/>
              <w:rPr>
                <w:sz w:val="18"/>
              </w:rPr>
            </w:pPr>
            <w:r>
              <w:rPr>
                <w:w w:val="95"/>
                <w:sz w:val="18"/>
              </w:rPr>
              <w:t>917,144</w:t>
            </w:r>
          </w:p>
        </w:tc>
        <w:tc>
          <w:tcPr>
            <w:tcW w:w="1105" w:type="dxa"/>
            <w:tcBorders>
              <w:top w:val="single" w:sz="1" w:space="0" w:color="000000"/>
            </w:tcBorders>
          </w:tcPr>
          <w:p>
            <w:pPr>
              <w:pStyle w:val="TableParagraph"/>
              <w:spacing w:before="40"/>
              <w:ind w:left="210"/>
              <w:rPr>
                <w:sz w:val="18"/>
              </w:rPr>
            </w:pPr>
            <w:r>
              <w:rPr>
                <w:sz w:val="18"/>
              </w:rPr>
              <w:t>1,597,430</w:t>
            </w:r>
          </w:p>
        </w:tc>
      </w:tr>
      <w:tr>
        <w:trPr>
          <w:trHeight w:val="404" w:hRule="exact"/>
        </w:trPr>
        <w:tc>
          <w:tcPr>
            <w:tcW w:w="5039" w:type="dxa"/>
          </w:tcPr>
          <w:p>
            <w:pPr>
              <w:pStyle w:val="TableParagraph"/>
              <w:spacing w:before="90"/>
              <w:ind w:left="35" w:right="281"/>
              <w:rPr>
                <w:sz w:val="18"/>
              </w:rPr>
            </w:pPr>
            <w:r>
              <w:rPr>
                <w:sz w:val="18"/>
              </w:rPr>
              <w:t>Net result</w:t>
            </w:r>
          </w:p>
        </w:tc>
        <w:tc>
          <w:tcPr>
            <w:tcW w:w="1041" w:type="dxa"/>
          </w:tcPr>
          <w:p>
            <w:pPr>
              <w:pStyle w:val="TableParagraph"/>
              <w:spacing w:before="87"/>
              <w:ind w:right="134"/>
              <w:jc w:val="right"/>
              <w:rPr>
                <w:sz w:val="18"/>
              </w:rPr>
            </w:pPr>
            <w:r>
              <w:rPr>
                <w:w w:val="95"/>
                <w:sz w:val="18"/>
              </w:rPr>
              <w:t>29(c)</w:t>
            </w:r>
          </w:p>
        </w:tc>
        <w:tc>
          <w:tcPr>
            <w:tcW w:w="1488" w:type="dxa"/>
          </w:tcPr>
          <w:p>
            <w:pPr>
              <w:pStyle w:val="TableParagraph"/>
              <w:spacing w:before="87"/>
              <w:ind w:right="185"/>
              <w:jc w:val="right"/>
              <w:rPr>
                <w:sz w:val="18"/>
              </w:rPr>
            </w:pPr>
            <w:r>
              <w:rPr>
                <w:w w:val="99"/>
                <w:sz w:val="18"/>
              </w:rPr>
              <w:t>-</w:t>
            </w:r>
          </w:p>
        </w:tc>
        <w:tc>
          <w:tcPr>
            <w:tcW w:w="1247" w:type="dxa"/>
          </w:tcPr>
          <w:p>
            <w:pPr>
              <w:pStyle w:val="TableParagraph"/>
              <w:spacing w:before="87"/>
              <w:ind w:right="208"/>
              <w:jc w:val="right"/>
              <w:rPr>
                <w:sz w:val="18"/>
              </w:rPr>
            </w:pPr>
            <w:r>
              <w:rPr>
                <w:w w:val="95"/>
                <w:sz w:val="18"/>
              </w:rPr>
              <w:t>36,018</w:t>
            </w:r>
          </w:p>
        </w:tc>
        <w:tc>
          <w:tcPr>
            <w:tcW w:w="1105" w:type="dxa"/>
          </w:tcPr>
          <w:p>
            <w:pPr>
              <w:pStyle w:val="TableParagraph"/>
              <w:spacing w:before="87"/>
              <w:ind w:left="462"/>
              <w:rPr>
                <w:sz w:val="18"/>
              </w:rPr>
            </w:pPr>
            <w:r>
              <w:rPr>
                <w:sz w:val="18"/>
              </w:rPr>
              <w:t>36,018</w:t>
            </w:r>
          </w:p>
        </w:tc>
      </w:tr>
      <w:tr>
        <w:trPr>
          <w:trHeight w:val="538" w:hRule="exact"/>
        </w:trPr>
        <w:tc>
          <w:tcPr>
            <w:tcW w:w="5039" w:type="dxa"/>
          </w:tcPr>
          <w:p>
            <w:pPr>
              <w:pStyle w:val="TableParagraph"/>
              <w:spacing w:before="88"/>
              <w:ind w:left="35" w:right="281"/>
              <w:rPr>
                <w:sz w:val="18"/>
              </w:rPr>
            </w:pPr>
            <w:r>
              <w:rPr>
                <w:sz w:val="18"/>
              </w:rPr>
              <w:t>Gain / (loss) on revaluation of property, plant and equipment</w:t>
            </w:r>
          </w:p>
        </w:tc>
        <w:tc>
          <w:tcPr>
            <w:tcW w:w="1041" w:type="dxa"/>
          </w:tcPr>
          <w:p>
            <w:pPr>
              <w:pStyle w:val="TableParagraph"/>
              <w:spacing w:before="5"/>
              <w:rPr>
                <w:sz w:val="25"/>
              </w:rPr>
            </w:pPr>
          </w:p>
          <w:p>
            <w:pPr>
              <w:pStyle w:val="TableParagraph"/>
              <w:ind w:right="124"/>
              <w:jc w:val="right"/>
              <w:rPr>
                <w:sz w:val="18"/>
              </w:rPr>
            </w:pPr>
            <w:r>
              <w:rPr>
                <w:sz w:val="18"/>
              </w:rPr>
              <w:t>29(b)</w:t>
            </w:r>
          </w:p>
        </w:tc>
        <w:tc>
          <w:tcPr>
            <w:tcW w:w="1488" w:type="dxa"/>
          </w:tcPr>
          <w:p>
            <w:pPr>
              <w:pStyle w:val="TableParagraph"/>
              <w:spacing w:before="5"/>
              <w:rPr>
                <w:sz w:val="25"/>
              </w:rPr>
            </w:pPr>
          </w:p>
          <w:p>
            <w:pPr>
              <w:pStyle w:val="TableParagraph"/>
              <w:ind w:right="185"/>
              <w:jc w:val="right"/>
              <w:rPr>
                <w:sz w:val="18"/>
              </w:rPr>
            </w:pPr>
            <w:r>
              <w:rPr>
                <w:w w:val="95"/>
                <w:sz w:val="18"/>
              </w:rPr>
              <w:t>18,879</w:t>
            </w:r>
          </w:p>
        </w:tc>
        <w:tc>
          <w:tcPr>
            <w:tcW w:w="1247" w:type="dxa"/>
          </w:tcPr>
          <w:p>
            <w:pPr>
              <w:pStyle w:val="TableParagraph"/>
              <w:spacing w:before="5"/>
              <w:rPr>
                <w:sz w:val="25"/>
              </w:rPr>
            </w:pPr>
          </w:p>
          <w:p>
            <w:pPr>
              <w:pStyle w:val="TableParagraph"/>
              <w:ind w:right="208"/>
              <w:jc w:val="right"/>
              <w:rPr>
                <w:sz w:val="18"/>
              </w:rPr>
            </w:pPr>
            <w:r>
              <w:rPr>
                <w:w w:val="99"/>
                <w:sz w:val="18"/>
              </w:rPr>
              <w:t>-</w:t>
            </w:r>
          </w:p>
        </w:tc>
        <w:tc>
          <w:tcPr>
            <w:tcW w:w="1105" w:type="dxa"/>
          </w:tcPr>
          <w:p>
            <w:pPr>
              <w:pStyle w:val="TableParagraph"/>
              <w:spacing w:before="5"/>
              <w:rPr>
                <w:sz w:val="25"/>
              </w:rPr>
            </w:pPr>
          </w:p>
          <w:p>
            <w:pPr>
              <w:pStyle w:val="TableParagraph"/>
              <w:ind w:left="462"/>
              <w:rPr>
                <w:sz w:val="18"/>
              </w:rPr>
            </w:pPr>
            <w:r>
              <w:rPr>
                <w:sz w:val="18"/>
              </w:rPr>
              <w:t>18,879</w:t>
            </w:r>
          </w:p>
        </w:tc>
      </w:tr>
      <w:tr>
        <w:trPr>
          <w:trHeight w:val="467" w:hRule="exact"/>
        </w:trPr>
        <w:tc>
          <w:tcPr>
            <w:tcW w:w="5039" w:type="dxa"/>
          </w:tcPr>
          <w:p>
            <w:pPr>
              <w:pStyle w:val="TableParagraph"/>
              <w:spacing w:before="16"/>
              <w:ind w:left="35" w:right="281"/>
              <w:rPr>
                <w:sz w:val="18"/>
              </w:rPr>
            </w:pPr>
            <w:r>
              <w:rPr>
                <w:sz w:val="18"/>
              </w:rPr>
              <w:t>Gain / (loss) on revaluation of available-for-sale financial assets</w:t>
            </w:r>
          </w:p>
        </w:tc>
        <w:tc>
          <w:tcPr>
            <w:tcW w:w="1041" w:type="dxa"/>
          </w:tcPr>
          <w:p>
            <w:pPr>
              <w:pStyle w:val="TableParagraph"/>
              <w:spacing w:before="2"/>
              <w:rPr>
                <w:sz w:val="19"/>
              </w:rPr>
            </w:pPr>
          </w:p>
          <w:p>
            <w:pPr>
              <w:pStyle w:val="TableParagraph"/>
              <w:ind w:right="124"/>
              <w:jc w:val="right"/>
              <w:rPr>
                <w:sz w:val="18"/>
              </w:rPr>
            </w:pPr>
            <w:r>
              <w:rPr>
                <w:sz w:val="18"/>
              </w:rPr>
              <w:t>29(b)</w:t>
            </w:r>
          </w:p>
        </w:tc>
        <w:tc>
          <w:tcPr>
            <w:tcW w:w="1488" w:type="dxa"/>
          </w:tcPr>
          <w:p>
            <w:pPr>
              <w:pStyle w:val="TableParagraph"/>
              <w:spacing w:before="2"/>
              <w:rPr>
                <w:sz w:val="19"/>
              </w:rPr>
            </w:pPr>
          </w:p>
          <w:p>
            <w:pPr>
              <w:pStyle w:val="TableParagraph"/>
              <w:ind w:right="185"/>
              <w:jc w:val="right"/>
              <w:rPr>
                <w:sz w:val="18"/>
              </w:rPr>
            </w:pPr>
            <w:r>
              <w:rPr>
                <w:w w:val="95"/>
                <w:sz w:val="18"/>
              </w:rPr>
              <w:t>4,724</w:t>
            </w:r>
          </w:p>
        </w:tc>
        <w:tc>
          <w:tcPr>
            <w:tcW w:w="1247" w:type="dxa"/>
          </w:tcPr>
          <w:p>
            <w:pPr>
              <w:pStyle w:val="TableParagraph"/>
              <w:spacing w:before="2"/>
              <w:rPr>
                <w:sz w:val="19"/>
              </w:rPr>
            </w:pPr>
          </w:p>
          <w:p>
            <w:pPr>
              <w:pStyle w:val="TableParagraph"/>
              <w:ind w:right="208"/>
              <w:jc w:val="right"/>
              <w:rPr>
                <w:sz w:val="18"/>
              </w:rPr>
            </w:pPr>
            <w:r>
              <w:rPr>
                <w:w w:val="99"/>
                <w:sz w:val="18"/>
              </w:rPr>
              <w:t>-</w:t>
            </w:r>
          </w:p>
        </w:tc>
        <w:tc>
          <w:tcPr>
            <w:tcW w:w="1105" w:type="dxa"/>
          </w:tcPr>
          <w:p>
            <w:pPr>
              <w:pStyle w:val="TableParagraph"/>
              <w:spacing w:before="2"/>
              <w:rPr>
                <w:sz w:val="19"/>
              </w:rPr>
            </w:pPr>
          </w:p>
          <w:p>
            <w:pPr>
              <w:pStyle w:val="TableParagraph"/>
              <w:ind w:right="87"/>
              <w:jc w:val="right"/>
              <w:rPr>
                <w:sz w:val="18"/>
              </w:rPr>
            </w:pPr>
            <w:r>
              <w:rPr>
                <w:w w:val="95"/>
                <w:sz w:val="18"/>
              </w:rPr>
              <w:t>4,724</w:t>
            </w:r>
          </w:p>
        </w:tc>
      </w:tr>
      <w:tr>
        <w:trPr>
          <w:trHeight w:val="264" w:hRule="exact"/>
        </w:trPr>
        <w:tc>
          <w:tcPr>
            <w:tcW w:w="5039" w:type="dxa"/>
          </w:tcPr>
          <w:p>
            <w:pPr>
              <w:pStyle w:val="TableParagraph"/>
              <w:spacing w:before="20"/>
              <w:ind w:left="35" w:right="281"/>
              <w:rPr>
                <w:sz w:val="18"/>
              </w:rPr>
            </w:pPr>
            <w:r>
              <w:rPr>
                <w:sz w:val="18"/>
              </w:rPr>
              <w:t>Gain / (loss) on revaluation of art collection</w:t>
            </w:r>
          </w:p>
        </w:tc>
        <w:tc>
          <w:tcPr>
            <w:tcW w:w="1041" w:type="dxa"/>
          </w:tcPr>
          <w:p>
            <w:pPr>
              <w:pStyle w:val="TableParagraph"/>
              <w:spacing w:before="18"/>
              <w:ind w:right="124"/>
              <w:jc w:val="right"/>
              <w:rPr>
                <w:sz w:val="18"/>
              </w:rPr>
            </w:pPr>
            <w:r>
              <w:rPr>
                <w:sz w:val="18"/>
              </w:rPr>
              <w:t>29(b)</w:t>
            </w:r>
          </w:p>
        </w:tc>
        <w:tc>
          <w:tcPr>
            <w:tcW w:w="1488" w:type="dxa"/>
          </w:tcPr>
          <w:p>
            <w:pPr>
              <w:pStyle w:val="TableParagraph"/>
              <w:spacing w:before="18"/>
              <w:ind w:right="185"/>
              <w:jc w:val="right"/>
              <w:rPr>
                <w:sz w:val="18"/>
              </w:rPr>
            </w:pPr>
            <w:r>
              <w:rPr>
                <w:w w:val="95"/>
                <w:sz w:val="18"/>
              </w:rPr>
              <w:t>986</w:t>
            </w:r>
          </w:p>
        </w:tc>
        <w:tc>
          <w:tcPr>
            <w:tcW w:w="1247" w:type="dxa"/>
          </w:tcPr>
          <w:p>
            <w:pPr>
              <w:pStyle w:val="TableParagraph"/>
              <w:spacing w:before="18"/>
              <w:ind w:right="208"/>
              <w:jc w:val="right"/>
              <w:rPr>
                <w:sz w:val="18"/>
              </w:rPr>
            </w:pPr>
            <w:r>
              <w:rPr>
                <w:w w:val="99"/>
                <w:sz w:val="18"/>
              </w:rPr>
              <w:t>-</w:t>
            </w:r>
          </w:p>
        </w:tc>
        <w:tc>
          <w:tcPr>
            <w:tcW w:w="1105" w:type="dxa"/>
          </w:tcPr>
          <w:p>
            <w:pPr>
              <w:pStyle w:val="TableParagraph"/>
              <w:spacing w:before="18"/>
              <w:ind w:right="86"/>
              <w:jc w:val="right"/>
              <w:rPr>
                <w:sz w:val="18"/>
              </w:rPr>
            </w:pPr>
            <w:r>
              <w:rPr>
                <w:w w:val="95"/>
                <w:sz w:val="18"/>
              </w:rPr>
              <w:t>986</w:t>
            </w:r>
          </w:p>
        </w:tc>
      </w:tr>
      <w:tr>
        <w:trPr>
          <w:trHeight w:val="264" w:hRule="exact"/>
        </w:trPr>
        <w:tc>
          <w:tcPr>
            <w:tcW w:w="5039" w:type="dxa"/>
          </w:tcPr>
          <w:p>
            <w:pPr>
              <w:pStyle w:val="TableParagraph"/>
              <w:spacing w:before="20"/>
              <w:ind w:left="35" w:right="281"/>
              <w:rPr>
                <w:sz w:val="18"/>
              </w:rPr>
            </w:pPr>
            <w:r>
              <w:rPr>
                <w:sz w:val="18"/>
              </w:rPr>
              <w:t>Gain / (loss) on revaluation of livestock</w:t>
            </w:r>
          </w:p>
        </w:tc>
        <w:tc>
          <w:tcPr>
            <w:tcW w:w="1041" w:type="dxa"/>
          </w:tcPr>
          <w:p>
            <w:pPr>
              <w:pStyle w:val="TableParagraph"/>
              <w:spacing w:before="18"/>
              <w:ind w:right="124"/>
              <w:jc w:val="right"/>
              <w:rPr>
                <w:sz w:val="18"/>
              </w:rPr>
            </w:pPr>
            <w:r>
              <w:rPr>
                <w:sz w:val="18"/>
              </w:rPr>
              <w:t>29(b)</w:t>
            </w:r>
          </w:p>
        </w:tc>
        <w:tc>
          <w:tcPr>
            <w:tcW w:w="1488" w:type="dxa"/>
          </w:tcPr>
          <w:p>
            <w:pPr>
              <w:pStyle w:val="TableParagraph"/>
              <w:spacing w:before="18"/>
              <w:ind w:right="125"/>
              <w:jc w:val="right"/>
              <w:rPr>
                <w:sz w:val="18"/>
              </w:rPr>
            </w:pPr>
            <w:r>
              <w:rPr>
                <w:w w:val="95"/>
                <w:sz w:val="18"/>
              </w:rPr>
              <w:t>(214)</w:t>
            </w:r>
          </w:p>
        </w:tc>
        <w:tc>
          <w:tcPr>
            <w:tcW w:w="1247" w:type="dxa"/>
          </w:tcPr>
          <w:p>
            <w:pPr>
              <w:pStyle w:val="TableParagraph"/>
              <w:spacing w:before="18"/>
              <w:ind w:right="208"/>
              <w:jc w:val="right"/>
              <w:rPr>
                <w:sz w:val="18"/>
              </w:rPr>
            </w:pPr>
            <w:r>
              <w:rPr>
                <w:w w:val="99"/>
                <w:sz w:val="18"/>
              </w:rPr>
              <w:t>-</w:t>
            </w:r>
          </w:p>
        </w:tc>
        <w:tc>
          <w:tcPr>
            <w:tcW w:w="1105" w:type="dxa"/>
          </w:tcPr>
          <w:p>
            <w:pPr>
              <w:pStyle w:val="TableParagraph"/>
              <w:spacing w:before="18"/>
              <w:ind w:right="26"/>
              <w:jc w:val="right"/>
              <w:rPr>
                <w:sz w:val="18"/>
              </w:rPr>
            </w:pPr>
            <w:r>
              <w:rPr>
                <w:w w:val="95"/>
                <w:sz w:val="18"/>
              </w:rPr>
              <w:t>(214)</w:t>
            </w:r>
          </w:p>
        </w:tc>
      </w:tr>
      <w:tr>
        <w:trPr>
          <w:trHeight w:val="260" w:hRule="exact"/>
        </w:trPr>
        <w:tc>
          <w:tcPr>
            <w:tcW w:w="5039" w:type="dxa"/>
          </w:tcPr>
          <w:p>
            <w:pPr>
              <w:pStyle w:val="TableParagraph"/>
              <w:spacing w:before="20"/>
              <w:ind w:left="35" w:right="281"/>
              <w:rPr>
                <w:sz w:val="18"/>
              </w:rPr>
            </w:pPr>
            <w:r>
              <w:rPr>
                <w:sz w:val="18"/>
              </w:rPr>
              <w:t>Remeasurements of Defined Benefit Plans</w:t>
            </w:r>
          </w:p>
        </w:tc>
        <w:tc>
          <w:tcPr>
            <w:tcW w:w="1041" w:type="dxa"/>
          </w:tcPr>
          <w:p>
            <w:pPr>
              <w:pStyle w:val="TableParagraph"/>
              <w:spacing w:before="18"/>
              <w:ind w:right="124"/>
              <w:jc w:val="right"/>
              <w:rPr>
                <w:sz w:val="18"/>
              </w:rPr>
            </w:pPr>
            <w:r>
              <w:rPr>
                <w:sz w:val="18"/>
              </w:rPr>
              <w:t>29(b)</w:t>
            </w:r>
          </w:p>
        </w:tc>
        <w:tc>
          <w:tcPr>
            <w:tcW w:w="1488" w:type="dxa"/>
            <w:tcBorders>
              <w:bottom w:val="single" w:sz="1" w:space="0" w:color="000000"/>
            </w:tcBorders>
          </w:tcPr>
          <w:p>
            <w:pPr>
              <w:pStyle w:val="TableParagraph"/>
              <w:spacing w:before="18"/>
              <w:ind w:right="125"/>
              <w:jc w:val="right"/>
              <w:rPr>
                <w:sz w:val="18"/>
              </w:rPr>
            </w:pPr>
            <w:r>
              <w:rPr>
                <w:w w:val="95"/>
                <w:sz w:val="18"/>
              </w:rPr>
              <w:t>(366)</w:t>
            </w:r>
          </w:p>
        </w:tc>
        <w:tc>
          <w:tcPr>
            <w:tcW w:w="1247" w:type="dxa"/>
            <w:tcBorders>
              <w:bottom w:val="single" w:sz="1" w:space="0" w:color="000000"/>
            </w:tcBorders>
          </w:tcPr>
          <w:p>
            <w:pPr>
              <w:pStyle w:val="TableParagraph"/>
              <w:spacing w:before="18"/>
              <w:ind w:right="208"/>
              <w:jc w:val="right"/>
              <w:rPr>
                <w:sz w:val="18"/>
              </w:rPr>
            </w:pPr>
            <w:r>
              <w:rPr>
                <w:w w:val="99"/>
                <w:sz w:val="18"/>
              </w:rPr>
              <w:t>-</w:t>
            </w:r>
          </w:p>
        </w:tc>
        <w:tc>
          <w:tcPr>
            <w:tcW w:w="1105" w:type="dxa"/>
            <w:tcBorders>
              <w:bottom w:val="single" w:sz="1" w:space="0" w:color="000000"/>
            </w:tcBorders>
          </w:tcPr>
          <w:p>
            <w:pPr>
              <w:pStyle w:val="TableParagraph"/>
              <w:spacing w:before="18"/>
              <w:ind w:right="26"/>
              <w:jc w:val="right"/>
              <w:rPr>
                <w:sz w:val="18"/>
              </w:rPr>
            </w:pPr>
            <w:r>
              <w:rPr>
                <w:w w:val="95"/>
                <w:sz w:val="18"/>
              </w:rPr>
              <w:t>(366)</w:t>
            </w:r>
          </w:p>
        </w:tc>
      </w:tr>
      <w:tr>
        <w:trPr>
          <w:trHeight w:val="338" w:hRule="exact"/>
        </w:trPr>
        <w:tc>
          <w:tcPr>
            <w:tcW w:w="5039" w:type="dxa"/>
          </w:tcPr>
          <w:p>
            <w:pPr>
              <w:pStyle w:val="TableParagraph"/>
              <w:spacing w:before="125"/>
              <w:ind w:left="35" w:right="281"/>
              <w:rPr>
                <w:b/>
                <w:sz w:val="18"/>
              </w:rPr>
            </w:pPr>
            <w:r>
              <w:rPr>
                <w:b/>
                <w:sz w:val="18"/>
              </w:rPr>
              <w:t>Other comprehensive income</w:t>
            </w:r>
          </w:p>
        </w:tc>
        <w:tc>
          <w:tcPr>
            <w:tcW w:w="1041" w:type="dxa"/>
          </w:tcPr>
          <w:p>
            <w:pPr>
              <w:pStyle w:val="TableParagraph"/>
              <w:spacing w:before="41"/>
              <w:ind w:right="124"/>
              <w:jc w:val="right"/>
              <w:rPr>
                <w:sz w:val="18"/>
              </w:rPr>
            </w:pPr>
            <w:r>
              <w:rPr>
                <w:sz w:val="18"/>
              </w:rPr>
              <w:t>29(b)</w:t>
            </w:r>
          </w:p>
        </w:tc>
        <w:tc>
          <w:tcPr>
            <w:tcW w:w="1488" w:type="dxa"/>
            <w:tcBorders>
              <w:top w:val="single" w:sz="1" w:space="0" w:color="000000"/>
              <w:bottom w:val="single" w:sz="1" w:space="0" w:color="000000"/>
            </w:tcBorders>
          </w:tcPr>
          <w:p>
            <w:pPr>
              <w:pStyle w:val="TableParagraph"/>
              <w:spacing w:before="124"/>
              <w:ind w:right="185"/>
              <w:jc w:val="right"/>
              <w:rPr>
                <w:sz w:val="18"/>
              </w:rPr>
            </w:pPr>
            <w:r>
              <w:rPr>
                <w:w w:val="95"/>
                <w:sz w:val="18"/>
              </w:rPr>
              <w:t>24,009</w:t>
            </w:r>
          </w:p>
        </w:tc>
        <w:tc>
          <w:tcPr>
            <w:tcW w:w="1247" w:type="dxa"/>
            <w:tcBorders>
              <w:top w:val="single" w:sz="1" w:space="0" w:color="000000"/>
              <w:bottom w:val="single" w:sz="1" w:space="0" w:color="000000"/>
            </w:tcBorders>
          </w:tcPr>
          <w:p>
            <w:pPr>
              <w:pStyle w:val="TableParagraph"/>
              <w:spacing w:before="124"/>
              <w:ind w:right="208"/>
              <w:jc w:val="right"/>
              <w:rPr>
                <w:sz w:val="18"/>
              </w:rPr>
            </w:pPr>
            <w:r>
              <w:rPr>
                <w:w w:val="99"/>
                <w:sz w:val="18"/>
              </w:rPr>
              <w:t>-</w:t>
            </w:r>
          </w:p>
        </w:tc>
        <w:tc>
          <w:tcPr>
            <w:tcW w:w="1105" w:type="dxa"/>
            <w:tcBorders>
              <w:top w:val="single" w:sz="1" w:space="0" w:color="000000"/>
              <w:bottom w:val="single" w:sz="1" w:space="0" w:color="000000"/>
            </w:tcBorders>
          </w:tcPr>
          <w:p>
            <w:pPr>
              <w:pStyle w:val="TableParagraph"/>
              <w:spacing w:before="124"/>
              <w:ind w:left="462"/>
              <w:rPr>
                <w:sz w:val="18"/>
              </w:rPr>
            </w:pPr>
            <w:r>
              <w:rPr>
                <w:sz w:val="18"/>
              </w:rPr>
              <w:t>24,009</w:t>
            </w:r>
          </w:p>
        </w:tc>
      </w:tr>
      <w:tr>
        <w:trPr>
          <w:trHeight w:val="338" w:hRule="exact"/>
        </w:trPr>
        <w:tc>
          <w:tcPr>
            <w:tcW w:w="5039" w:type="dxa"/>
          </w:tcPr>
          <w:p>
            <w:pPr>
              <w:pStyle w:val="TableParagraph"/>
              <w:spacing w:before="125"/>
              <w:ind w:left="35" w:right="281"/>
              <w:rPr>
                <w:b/>
                <w:sz w:val="18"/>
              </w:rPr>
            </w:pPr>
            <w:r>
              <w:rPr>
                <w:b/>
                <w:sz w:val="18"/>
              </w:rPr>
              <w:t>Total comprehensive income</w:t>
            </w:r>
          </w:p>
        </w:tc>
        <w:tc>
          <w:tcPr>
            <w:tcW w:w="1041" w:type="dxa"/>
          </w:tcPr>
          <w:p>
            <w:pPr/>
          </w:p>
        </w:tc>
        <w:tc>
          <w:tcPr>
            <w:tcW w:w="1488" w:type="dxa"/>
            <w:tcBorders>
              <w:top w:val="single" w:sz="1" w:space="0" w:color="000000"/>
              <w:bottom w:val="single" w:sz="1" w:space="0" w:color="000000"/>
            </w:tcBorders>
          </w:tcPr>
          <w:p>
            <w:pPr>
              <w:pStyle w:val="TableParagraph"/>
              <w:spacing w:before="124"/>
              <w:ind w:right="185"/>
              <w:jc w:val="right"/>
              <w:rPr>
                <w:sz w:val="18"/>
              </w:rPr>
            </w:pPr>
            <w:r>
              <w:rPr>
                <w:w w:val="95"/>
                <w:sz w:val="18"/>
              </w:rPr>
              <w:t>704,295</w:t>
            </w:r>
          </w:p>
        </w:tc>
        <w:tc>
          <w:tcPr>
            <w:tcW w:w="1247" w:type="dxa"/>
            <w:tcBorders>
              <w:top w:val="single" w:sz="1" w:space="0" w:color="000000"/>
              <w:bottom w:val="single" w:sz="1" w:space="0" w:color="000000"/>
            </w:tcBorders>
          </w:tcPr>
          <w:p>
            <w:pPr>
              <w:pStyle w:val="TableParagraph"/>
              <w:spacing w:before="124"/>
              <w:ind w:right="208"/>
              <w:jc w:val="right"/>
              <w:rPr>
                <w:sz w:val="18"/>
              </w:rPr>
            </w:pPr>
            <w:r>
              <w:rPr>
                <w:w w:val="95"/>
                <w:sz w:val="18"/>
              </w:rPr>
              <w:t>953,162</w:t>
            </w:r>
          </w:p>
        </w:tc>
        <w:tc>
          <w:tcPr>
            <w:tcW w:w="1105" w:type="dxa"/>
            <w:tcBorders>
              <w:top w:val="single" w:sz="1" w:space="0" w:color="000000"/>
              <w:bottom w:val="single" w:sz="1" w:space="0" w:color="000000"/>
            </w:tcBorders>
          </w:tcPr>
          <w:p>
            <w:pPr>
              <w:pStyle w:val="TableParagraph"/>
              <w:spacing w:before="124"/>
              <w:ind w:left="210"/>
              <w:rPr>
                <w:sz w:val="18"/>
              </w:rPr>
            </w:pPr>
            <w:r>
              <w:rPr>
                <w:sz w:val="18"/>
              </w:rPr>
              <w:t>1,657,457</w:t>
            </w:r>
          </w:p>
        </w:tc>
      </w:tr>
      <w:tr>
        <w:trPr>
          <w:trHeight w:val="485" w:hRule="exact"/>
        </w:trPr>
        <w:tc>
          <w:tcPr>
            <w:tcW w:w="5039" w:type="dxa"/>
          </w:tcPr>
          <w:p>
            <w:pPr>
              <w:pStyle w:val="TableParagraph"/>
              <w:spacing w:before="38"/>
              <w:ind w:left="35" w:right="281"/>
              <w:rPr>
                <w:sz w:val="18"/>
              </w:rPr>
            </w:pPr>
            <w:r>
              <w:rPr>
                <w:sz w:val="18"/>
              </w:rPr>
              <w:t>Transfer from property plant and equipment reserve on disposal of assets</w:t>
            </w:r>
          </w:p>
        </w:tc>
        <w:tc>
          <w:tcPr>
            <w:tcW w:w="1041" w:type="dxa"/>
          </w:tcPr>
          <w:p>
            <w:pPr>
              <w:pStyle w:val="TableParagraph"/>
              <w:spacing w:before="41"/>
              <w:ind w:right="134"/>
              <w:jc w:val="right"/>
              <w:rPr>
                <w:sz w:val="18"/>
              </w:rPr>
            </w:pPr>
            <w:r>
              <w:rPr>
                <w:w w:val="95"/>
                <w:sz w:val="18"/>
              </w:rPr>
              <w:t>29(c)</w:t>
            </w:r>
          </w:p>
        </w:tc>
        <w:tc>
          <w:tcPr>
            <w:tcW w:w="1488" w:type="dxa"/>
            <w:tcBorders>
              <w:top w:val="single" w:sz="1" w:space="0" w:color="000000"/>
              <w:bottom w:val="single" w:sz="1" w:space="0" w:color="000000"/>
            </w:tcBorders>
          </w:tcPr>
          <w:p>
            <w:pPr>
              <w:pStyle w:val="TableParagraph"/>
              <w:rPr>
                <w:sz w:val="21"/>
              </w:rPr>
            </w:pPr>
          </w:p>
          <w:p>
            <w:pPr>
              <w:pStyle w:val="TableParagraph"/>
              <w:ind w:right="125"/>
              <w:jc w:val="right"/>
              <w:rPr>
                <w:sz w:val="18"/>
              </w:rPr>
            </w:pPr>
            <w:r>
              <w:rPr>
                <w:w w:val="95"/>
                <w:sz w:val="18"/>
              </w:rPr>
              <w:t>(540)</w:t>
            </w:r>
          </w:p>
        </w:tc>
        <w:tc>
          <w:tcPr>
            <w:tcW w:w="1247" w:type="dxa"/>
            <w:tcBorders>
              <w:top w:val="single" w:sz="1" w:space="0" w:color="000000"/>
              <w:bottom w:val="single" w:sz="1" w:space="0" w:color="000000"/>
            </w:tcBorders>
          </w:tcPr>
          <w:p>
            <w:pPr>
              <w:pStyle w:val="TableParagraph"/>
              <w:rPr>
                <w:sz w:val="21"/>
              </w:rPr>
            </w:pPr>
          </w:p>
          <w:p>
            <w:pPr>
              <w:pStyle w:val="TableParagraph"/>
              <w:ind w:right="208"/>
              <w:jc w:val="right"/>
              <w:rPr>
                <w:sz w:val="18"/>
              </w:rPr>
            </w:pPr>
            <w:r>
              <w:rPr>
                <w:w w:val="95"/>
                <w:sz w:val="18"/>
              </w:rPr>
              <w:t>540</w:t>
            </w:r>
          </w:p>
        </w:tc>
        <w:tc>
          <w:tcPr>
            <w:tcW w:w="1105" w:type="dxa"/>
            <w:tcBorders>
              <w:top w:val="single" w:sz="1" w:space="0" w:color="000000"/>
              <w:bottom w:val="single" w:sz="1" w:space="0" w:color="000000"/>
            </w:tcBorders>
          </w:tcPr>
          <w:p>
            <w:pPr>
              <w:pStyle w:val="TableParagraph"/>
              <w:rPr>
                <w:sz w:val="21"/>
              </w:rPr>
            </w:pPr>
          </w:p>
          <w:p>
            <w:pPr>
              <w:pStyle w:val="TableParagraph"/>
              <w:ind w:right="86"/>
              <w:jc w:val="right"/>
              <w:rPr>
                <w:sz w:val="18"/>
              </w:rPr>
            </w:pPr>
            <w:r>
              <w:rPr>
                <w:w w:val="99"/>
                <w:sz w:val="18"/>
              </w:rPr>
              <w:t>-</w:t>
            </w:r>
          </w:p>
        </w:tc>
      </w:tr>
      <w:tr>
        <w:trPr>
          <w:trHeight w:val="338" w:hRule="exact"/>
        </w:trPr>
        <w:tc>
          <w:tcPr>
            <w:tcW w:w="5039" w:type="dxa"/>
          </w:tcPr>
          <w:p>
            <w:pPr>
              <w:pStyle w:val="TableParagraph"/>
              <w:spacing w:before="125"/>
              <w:ind w:left="35" w:right="281"/>
              <w:rPr>
                <w:b/>
                <w:sz w:val="18"/>
              </w:rPr>
            </w:pPr>
            <w:r>
              <w:rPr>
                <w:b/>
                <w:sz w:val="18"/>
              </w:rPr>
              <w:t>Balance at 31 December 2016</w:t>
            </w:r>
          </w:p>
        </w:tc>
        <w:tc>
          <w:tcPr>
            <w:tcW w:w="1041" w:type="dxa"/>
          </w:tcPr>
          <w:p>
            <w:pPr/>
          </w:p>
        </w:tc>
        <w:tc>
          <w:tcPr>
            <w:tcW w:w="1488" w:type="dxa"/>
            <w:tcBorders>
              <w:top w:val="single" w:sz="1" w:space="0" w:color="000000"/>
              <w:bottom w:val="single" w:sz="1" w:space="0" w:color="000000"/>
            </w:tcBorders>
          </w:tcPr>
          <w:p>
            <w:pPr>
              <w:pStyle w:val="TableParagraph"/>
              <w:spacing w:before="124"/>
              <w:ind w:right="185"/>
              <w:jc w:val="right"/>
              <w:rPr>
                <w:sz w:val="18"/>
              </w:rPr>
            </w:pPr>
            <w:r>
              <w:rPr>
                <w:w w:val="95"/>
                <w:sz w:val="18"/>
              </w:rPr>
              <w:t>703,755</w:t>
            </w:r>
          </w:p>
        </w:tc>
        <w:tc>
          <w:tcPr>
            <w:tcW w:w="1247" w:type="dxa"/>
            <w:tcBorders>
              <w:top w:val="single" w:sz="1" w:space="0" w:color="000000"/>
              <w:bottom w:val="single" w:sz="1" w:space="0" w:color="000000"/>
            </w:tcBorders>
          </w:tcPr>
          <w:p>
            <w:pPr>
              <w:pStyle w:val="TableParagraph"/>
              <w:spacing w:before="124"/>
              <w:ind w:right="208"/>
              <w:jc w:val="right"/>
              <w:rPr>
                <w:sz w:val="18"/>
              </w:rPr>
            </w:pPr>
            <w:r>
              <w:rPr>
                <w:w w:val="95"/>
                <w:sz w:val="18"/>
              </w:rPr>
              <w:t>953,702</w:t>
            </w:r>
          </w:p>
        </w:tc>
        <w:tc>
          <w:tcPr>
            <w:tcW w:w="1105" w:type="dxa"/>
            <w:tcBorders>
              <w:top w:val="single" w:sz="1" w:space="0" w:color="000000"/>
              <w:bottom w:val="single" w:sz="1" w:space="0" w:color="000000"/>
            </w:tcBorders>
          </w:tcPr>
          <w:p>
            <w:pPr>
              <w:pStyle w:val="TableParagraph"/>
              <w:spacing w:before="124"/>
              <w:ind w:left="210"/>
              <w:rPr>
                <w:sz w:val="18"/>
              </w:rPr>
            </w:pPr>
            <w:r>
              <w:rPr>
                <w:sz w:val="18"/>
              </w:rPr>
              <w:t>1,657,457</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ind w:left="127" w:right="161"/>
      </w:pPr>
      <w:r>
        <w:rPr/>
        <w:t>The accompanying notes form part of these financial statements.</w:t>
      </w:r>
    </w:p>
    <w:p>
      <w:pPr>
        <w:spacing w:after="0"/>
        <w:sectPr>
          <w:headerReference w:type="default" r:id="rId15"/>
          <w:pgSz w:w="11910" w:h="16840"/>
          <w:pgMar w:header="1037" w:footer="495" w:top="3320" w:bottom="700" w:left="880" w:right="880"/>
        </w:sectPr>
      </w:pPr>
    </w:p>
    <w:p>
      <w:pPr>
        <w:pStyle w:val="BodyText"/>
        <w:spacing w:before="5"/>
        <w:rPr>
          <w:sz w:val="3"/>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39"/>
        <w:gridCol w:w="1041"/>
        <w:gridCol w:w="1540"/>
        <w:gridCol w:w="1195"/>
        <w:gridCol w:w="1105"/>
      </w:tblGrid>
      <w:tr>
        <w:trPr>
          <w:trHeight w:val="277" w:hRule="exact"/>
        </w:trPr>
        <w:tc>
          <w:tcPr>
            <w:tcW w:w="5039" w:type="dxa"/>
          </w:tcPr>
          <w:p>
            <w:pPr/>
          </w:p>
        </w:tc>
        <w:tc>
          <w:tcPr>
            <w:tcW w:w="1041" w:type="dxa"/>
          </w:tcPr>
          <w:p>
            <w:pPr>
              <w:pStyle w:val="TableParagraph"/>
              <w:spacing w:before="30"/>
              <w:ind w:right="36"/>
              <w:jc w:val="right"/>
              <w:rPr>
                <w:b/>
                <w:sz w:val="18"/>
              </w:rPr>
            </w:pPr>
            <w:r>
              <w:rPr>
                <w:b/>
                <w:sz w:val="18"/>
              </w:rPr>
              <w:t>Notes</w:t>
            </w:r>
          </w:p>
        </w:tc>
        <w:tc>
          <w:tcPr>
            <w:tcW w:w="1540" w:type="dxa"/>
            <w:tcBorders>
              <w:bottom w:val="single" w:sz="1" w:space="0" w:color="000000"/>
            </w:tcBorders>
          </w:tcPr>
          <w:p>
            <w:pPr>
              <w:pStyle w:val="TableParagraph"/>
              <w:spacing w:before="30"/>
              <w:ind w:left="535" w:right="520"/>
              <w:jc w:val="center"/>
              <w:rPr>
                <w:b/>
                <w:sz w:val="18"/>
              </w:rPr>
            </w:pPr>
            <w:r>
              <w:rPr>
                <w:b/>
                <w:sz w:val="18"/>
              </w:rPr>
              <w:t>$'000</w:t>
            </w:r>
          </w:p>
        </w:tc>
        <w:tc>
          <w:tcPr>
            <w:tcW w:w="1195" w:type="dxa"/>
            <w:tcBorders>
              <w:bottom w:val="single" w:sz="1" w:space="0" w:color="000000"/>
            </w:tcBorders>
          </w:tcPr>
          <w:p>
            <w:pPr>
              <w:pStyle w:val="TableParagraph"/>
              <w:spacing w:before="30"/>
              <w:ind w:left="238"/>
              <w:rPr>
                <w:b/>
                <w:sz w:val="18"/>
              </w:rPr>
            </w:pPr>
            <w:r>
              <w:rPr>
                <w:b/>
                <w:sz w:val="18"/>
              </w:rPr>
              <w:t>$'000</w:t>
            </w:r>
          </w:p>
        </w:tc>
        <w:tc>
          <w:tcPr>
            <w:tcW w:w="1105" w:type="dxa"/>
            <w:tcBorders>
              <w:bottom w:val="single" w:sz="1" w:space="0" w:color="000000"/>
            </w:tcBorders>
          </w:tcPr>
          <w:p>
            <w:pPr>
              <w:pStyle w:val="TableParagraph"/>
              <w:spacing w:before="30"/>
              <w:ind w:left="255"/>
              <w:rPr>
                <w:b/>
                <w:sz w:val="18"/>
              </w:rPr>
            </w:pPr>
            <w:r>
              <w:rPr>
                <w:b/>
                <w:sz w:val="18"/>
              </w:rPr>
              <w:t>$'000</w:t>
            </w:r>
          </w:p>
        </w:tc>
      </w:tr>
      <w:tr>
        <w:trPr>
          <w:trHeight w:val="357" w:hRule="exact"/>
        </w:trPr>
        <w:tc>
          <w:tcPr>
            <w:tcW w:w="5039" w:type="dxa"/>
          </w:tcPr>
          <w:p>
            <w:pPr>
              <w:pStyle w:val="TableParagraph"/>
              <w:spacing w:before="43"/>
              <w:ind w:left="35" w:right="281"/>
              <w:rPr>
                <w:b/>
                <w:sz w:val="18"/>
              </w:rPr>
            </w:pPr>
            <w:r>
              <w:rPr>
                <w:b/>
                <w:sz w:val="18"/>
              </w:rPr>
              <w:t>Balance at 1 January 2017</w:t>
            </w:r>
          </w:p>
        </w:tc>
        <w:tc>
          <w:tcPr>
            <w:tcW w:w="1041" w:type="dxa"/>
          </w:tcPr>
          <w:p>
            <w:pPr/>
          </w:p>
        </w:tc>
        <w:tc>
          <w:tcPr>
            <w:tcW w:w="1540" w:type="dxa"/>
            <w:tcBorders>
              <w:top w:val="single" w:sz="1" w:space="0" w:color="000000"/>
            </w:tcBorders>
          </w:tcPr>
          <w:p>
            <w:pPr>
              <w:pStyle w:val="TableParagraph"/>
              <w:spacing w:before="40"/>
              <w:ind w:right="237"/>
              <w:jc w:val="right"/>
              <w:rPr>
                <w:b/>
                <w:sz w:val="18"/>
              </w:rPr>
            </w:pPr>
            <w:r>
              <w:rPr>
                <w:b/>
                <w:w w:val="95"/>
                <w:sz w:val="18"/>
              </w:rPr>
              <w:t>708,004</w:t>
            </w:r>
          </w:p>
        </w:tc>
        <w:tc>
          <w:tcPr>
            <w:tcW w:w="1195" w:type="dxa"/>
            <w:tcBorders>
              <w:top w:val="single" w:sz="1" w:space="0" w:color="000000"/>
            </w:tcBorders>
          </w:tcPr>
          <w:p>
            <w:pPr>
              <w:pStyle w:val="TableParagraph"/>
              <w:spacing w:before="40"/>
              <w:ind w:right="208"/>
              <w:jc w:val="right"/>
              <w:rPr>
                <w:b/>
                <w:sz w:val="18"/>
              </w:rPr>
            </w:pPr>
            <w:r>
              <w:rPr>
                <w:b/>
                <w:w w:val="95"/>
                <w:sz w:val="18"/>
              </w:rPr>
              <w:t>958,216</w:t>
            </w:r>
          </w:p>
        </w:tc>
        <w:tc>
          <w:tcPr>
            <w:tcW w:w="1105" w:type="dxa"/>
            <w:tcBorders>
              <w:top w:val="single" w:sz="1" w:space="0" w:color="000000"/>
            </w:tcBorders>
          </w:tcPr>
          <w:p>
            <w:pPr>
              <w:pStyle w:val="TableParagraph"/>
              <w:spacing w:before="40"/>
              <w:ind w:left="210"/>
              <w:rPr>
                <w:b/>
                <w:sz w:val="18"/>
              </w:rPr>
            </w:pPr>
            <w:r>
              <w:rPr>
                <w:b/>
                <w:sz w:val="18"/>
              </w:rPr>
              <w:t>1,666,220</w:t>
            </w:r>
          </w:p>
        </w:tc>
      </w:tr>
      <w:tr>
        <w:trPr>
          <w:trHeight w:val="404" w:hRule="exact"/>
        </w:trPr>
        <w:tc>
          <w:tcPr>
            <w:tcW w:w="5039" w:type="dxa"/>
          </w:tcPr>
          <w:p>
            <w:pPr>
              <w:pStyle w:val="TableParagraph"/>
              <w:spacing w:before="90"/>
              <w:ind w:left="35" w:right="281"/>
              <w:rPr>
                <w:sz w:val="18"/>
              </w:rPr>
            </w:pPr>
            <w:r>
              <w:rPr>
                <w:sz w:val="18"/>
              </w:rPr>
              <w:t>Net Result</w:t>
            </w:r>
          </w:p>
        </w:tc>
        <w:tc>
          <w:tcPr>
            <w:tcW w:w="1041" w:type="dxa"/>
          </w:tcPr>
          <w:p>
            <w:pPr>
              <w:pStyle w:val="TableParagraph"/>
              <w:spacing w:before="87"/>
              <w:ind w:right="134"/>
              <w:jc w:val="right"/>
              <w:rPr>
                <w:sz w:val="18"/>
              </w:rPr>
            </w:pPr>
            <w:r>
              <w:rPr>
                <w:w w:val="95"/>
                <w:sz w:val="18"/>
              </w:rPr>
              <w:t>29(c)</w:t>
            </w:r>
          </w:p>
        </w:tc>
        <w:tc>
          <w:tcPr>
            <w:tcW w:w="1540" w:type="dxa"/>
          </w:tcPr>
          <w:p>
            <w:pPr>
              <w:pStyle w:val="TableParagraph"/>
              <w:spacing w:before="87"/>
              <w:ind w:right="237"/>
              <w:jc w:val="right"/>
              <w:rPr>
                <w:b/>
                <w:sz w:val="18"/>
              </w:rPr>
            </w:pPr>
            <w:r>
              <w:rPr>
                <w:b/>
                <w:w w:val="99"/>
                <w:sz w:val="18"/>
              </w:rPr>
              <w:t>-</w:t>
            </w:r>
          </w:p>
        </w:tc>
        <w:tc>
          <w:tcPr>
            <w:tcW w:w="1195" w:type="dxa"/>
          </w:tcPr>
          <w:p>
            <w:pPr>
              <w:pStyle w:val="TableParagraph"/>
              <w:spacing w:before="87"/>
              <w:ind w:right="208"/>
              <w:jc w:val="right"/>
              <w:rPr>
                <w:b/>
                <w:sz w:val="18"/>
              </w:rPr>
            </w:pPr>
            <w:r>
              <w:rPr>
                <w:b/>
                <w:w w:val="95"/>
                <w:sz w:val="18"/>
              </w:rPr>
              <w:t>52,064</w:t>
            </w:r>
          </w:p>
        </w:tc>
        <w:tc>
          <w:tcPr>
            <w:tcW w:w="1105" w:type="dxa"/>
          </w:tcPr>
          <w:p>
            <w:pPr>
              <w:pStyle w:val="TableParagraph"/>
              <w:spacing w:before="87"/>
              <w:ind w:left="462"/>
              <w:rPr>
                <w:b/>
                <w:sz w:val="18"/>
              </w:rPr>
            </w:pPr>
            <w:r>
              <w:rPr>
                <w:b/>
                <w:sz w:val="18"/>
              </w:rPr>
              <w:t>52,064</w:t>
            </w:r>
          </w:p>
        </w:tc>
      </w:tr>
      <w:tr>
        <w:trPr>
          <w:trHeight w:val="538" w:hRule="exact"/>
        </w:trPr>
        <w:tc>
          <w:tcPr>
            <w:tcW w:w="5039" w:type="dxa"/>
          </w:tcPr>
          <w:p>
            <w:pPr>
              <w:pStyle w:val="TableParagraph"/>
              <w:spacing w:before="88"/>
              <w:ind w:left="35" w:right="281"/>
              <w:rPr>
                <w:sz w:val="18"/>
              </w:rPr>
            </w:pPr>
            <w:r>
              <w:rPr>
                <w:sz w:val="18"/>
              </w:rPr>
              <w:t>Gain / (loss) on revaluation of property, plant and equipment</w:t>
            </w:r>
          </w:p>
        </w:tc>
        <w:tc>
          <w:tcPr>
            <w:tcW w:w="1041" w:type="dxa"/>
          </w:tcPr>
          <w:p>
            <w:pPr>
              <w:pStyle w:val="TableParagraph"/>
              <w:spacing w:before="5"/>
              <w:rPr>
                <w:sz w:val="25"/>
              </w:rPr>
            </w:pPr>
          </w:p>
          <w:p>
            <w:pPr>
              <w:pStyle w:val="TableParagraph"/>
              <w:ind w:right="124"/>
              <w:jc w:val="right"/>
              <w:rPr>
                <w:sz w:val="18"/>
              </w:rPr>
            </w:pPr>
            <w:r>
              <w:rPr>
                <w:sz w:val="18"/>
              </w:rPr>
              <w:t>29(b)</w:t>
            </w:r>
          </w:p>
        </w:tc>
        <w:tc>
          <w:tcPr>
            <w:tcW w:w="1540" w:type="dxa"/>
          </w:tcPr>
          <w:p>
            <w:pPr>
              <w:pStyle w:val="TableParagraph"/>
              <w:spacing w:before="5"/>
              <w:rPr>
                <w:sz w:val="25"/>
              </w:rPr>
            </w:pPr>
          </w:p>
          <w:p>
            <w:pPr>
              <w:pStyle w:val="TableParagraph"/>
              <w:ind w:right="237"/>
              <w:jc w:val="right"/>
              <w:rPr>
                <w:b/>
                <w:sz w:val="18"/>
              </w:rPr>
            </w:pPr>
            <w:r>
              <w:rPr>
                <w:b/>
                <w:w w:val="95"/>
                <w:sz w:val="18"/>
              </w:rPr>
              <w:t>200,303</w:t>
            </w:r>
          </w:p>
        </w:tc>
        <w:tc>
          <w:tcPr>
            <w:tcW w:w="1195" w:type="dxa"/>
          </w:tcPr>
          <w:p>
            <w:pPr>
              <w:pStyle w:val="TableParagraph"/>
              <w:spacing w:before="5"/>
              <w:rPr>
                <w:sz w:val="25"/>
              </w:rPr>
            </w:pPr>
          </w:p>
          <w:p>
            <w:pPr>
              <w:pStyle w:val="TableParagraph"/>
              <w:ind w:right="208"/>
              <w:jc w:val="right"/>
              <w:rPr>
                <w:b/>
                <w:sz w:val="18"/>
              </w:rPr>
            </w:pPr>
            <w:r>
              <w:rPr>
                <w:b/>
                <w:w w:val="99"/>
                <w:sz w:val="18"/>
              </w:rPr>
              <w:t>-</w:t>
            </w:r>
          </w:p>
        </w:tc>
        <w:tc>
          <w:tcPr>
            <w:tcW w:w="1105" w:type="dxa"/>
          </w:tcPr>
          <w:p>
            <w:pPr>
              <w:pStyle w:val="TableParagraph"/>
              <w:spacing w:before="5"/>
              <w:rPr>
                <w:sz w:val="25"/>
              </w:rPr>
            </w:pPr>
          </w:p>
          <w:p>
            <w:pPr>
              <w:pStyle w:val="TableParagraph"/>
              <w:ind w:left="361"/>
              <w:rPr>
                <w:b/>
                <w:sz w:val="18"/>
              </w:rPr>
            </w:pPr>
            <w:r>
              <w:rPr>
                <w:b/>
                <w:sz w:val="18"/>
              </w:rPr>
              <w:t>200,303</w:t>
            </w:r>
          </w:p>
        </w:tc>
      </w:tr>
      <w:tr>
        <w:trPr>
          <w:trHeight w:val="467" w:hRule="exact"/>
        </w:trPr>
        <w:tc>
          <w:tcPr>
            <w:tcW w:w="5039" w:type="dxa"/>
          </w:tcPr>
          <w:p>
            <w:pPr>
              <w:pStyle w:val="TableParagraph"/>
              <w:spacing w:before="16"/>
              <w:ind w:left="35" w:right="281"/>
              <w:rPr>
                <w:sz w:val="18"/>
              </w:rPr>
            </w:pPr>
            <w:r>
              <w:rPr>
                <w:sz w:val="18"/>
              </w:rPr>
              <w:t>Gain / (loss) on revaluation of available-for-sale financial assets</w:t>
            </w:r>
          </w:p>
        </w:tc>
        <w:tc>
          <w:tcPr>
            <w:tcW w:w="1041" w:type="dxa"/>
          </w:tcPr>
          <w:p>
            <w:pPr>
              <w:pStyle w:val="TableParagraph"/>
              <w:spacing w:before="2"/>
              <w:rPr>
                <w:sz w:val="19"/>
              </w:rPr>
            </w:pPr>
          </w:p>
          <w:p>
            <w:pPr>
              <w:pStyle w:val="TableParagraph"/>
              <w:ind w:right="124"/>
              <w:jc w:val="right"/>
              <w:rPr>
                <w:sz w:val="18"/>
              </w:rPr>
            </w:pPr>
            <w:r>
              <w:rPr>
                <w:sz w:val="18"/>
              </w:rPr>
              <w:t>29(b)</w:t>
            </w:r>
          </w:p>
        </w:tc>
        <w:tc>
          <w:tcPr>
            <w:tcW w:w="1540" w:type="dxa"/>
          </w:tcPr>
          <w:p>
            <w:pPr>
              <w:pStyle w:val="TableParagraph"/>
              <w:spacing w:before="2"/>
              <w:rPr>
                <w:sz w:val="19"/>
              </w:rPr>
            </w:pPr>
          </w:p>
          <w:p>
            <w:pPr>
              <w:pStyle w:val="TableParagraph"/>
              <w:ind w:right="237"/>
              <w:jc w:val="right"/>
              <w:rPr>
                <w:b/>
                <w:sz w:val="18"/>
              </w:rPr>
            </w:pPr>
            <w:r>
              <w:rPr>
                <w:b/>
                <w:w w:val="95"/>
                <w:sz w:val="18"/>
              </w:rPr>
              <w:t>2,733</w:t>
            </w:r>
          </w:p>
        </w:tc>
        <w:tc>
          <w:tcPr>
            <w:tcW w:w="1195" w:type="dxa"/>
          </w:tcPr>
          <w:p>
            <w:pPr>
              <w:pStyle w:val="TableParagraph"/>
              <w:spacing w:before="2"/>
              <w:rPr>
                <w:sz w:val="19"/>
              </w:rPr>
            </w:pPr>
          </w:p>
          <w:p>
            <w:pPr>
              <w:pStyle w:val="TableParagraph"/>
              <w:ind w:right="208"/>
              <w:jc w:val="right"/>
              <w:rPr>
                <w:b/>
                <w:sz w:val="18"/>
              </w:rPr>
            </w:pPr>
            <w:r>
              <w:rPr>
                <w:b/>
                <w:w w:val="99"/>
                <w:sz w:val="18"/>
              </w:rPr>
              <w:t>-</w:t>
            </w:r>
          </w:p>
        </w:tc>
        <w:tc>
          <w:tcPr>
            <w:tcW w:w="1105" w:type="dxa"/>
          </w:tcPr>
          <w:p>
            <w:pPr>
              <w:pStyle w:val="TableParagraph"/>
              <w:spacing w:before="2"/>
              <w:rPr>
                <w:sz w:val="19"/>
              </w:rPr>
            </w:pPr>
          </w:p>
          <w:p>
            <w:pPr>
              <w:pStyle w:val="TableParagraph"/>
              <w:ind w:right="87"/>
              <w:jc w:val="right"/>
              <w:rPr>
                <w:b/>
                <w:sz w:val="18"/>
              </w:rPr>
            </w:pPr>
            <w:r>
              <w:rPr>
                <w:b/>
                <w:w w:val="95"/>
                <w:sz w:val="18"/>
              </w:rPr>
              <w:t>2,733</w:t>
            </w:r>
          </w:p>
        </w:tc>
      </w:tr>
      <w:tr>
        <w:trPr>
          <w:trHeight w:val="264" w:hRule="exact"/>
        </w:trPr>
        <w:tc>
          <w:tcPr>
            <w:tcW w:w="5039" w:type="dxa"/>
          </w:tcPr>
          <w:p>
            <w:pPr>
              <w:pStyle w:val="TableParagraph"/>
              <w:spacing w:before="20"/>
              <w:ind w:left="35" w:right="281"/>
              <w:rPr>
                <w:sz w:val="18"/>
              </w:rPr>
            </w:pPr>
            <w:r>
              <w:rPr>
                <w:sz w:val="18"/>
              </w:rPr>
              <w:t>Gain / (loss) on revaluation of art collection</w:t>
            </w:r>
          </w:p>
        </w:tc>
        <w:tc>
          <w:tcPr>
            <w:tcW w:w="1041" w:type="dxa"/>
          </w:tcPr>
          <w:p>
            <w:pPr>
              <w:pStyle w:val="TableParagraph"/>
              <w:spacing w:before="18"/>
              <w:ind w:right="124"/>
              <w:jc w:val="right"/>
              <w:rPr>
                <w:sz w:val="18"/>
              </w:rPr>
            </w:pPr>
            <w:r>
              <w:rPr>
                <w:sz w:val="18"/>
              </w:rPr>
              <w:t>29(b)</w:t>
            </w:r>
          </w:p>
        </w:tc>
        <w:tc>
          <w:tcPr>
            <w:tcW w:w="1540" w:type="dxa"/>
          </w:tcPr>
          <w:p>
            <w:pPr>
              <w:pStyle w:val="TableParagraph"/>
              <w:spacing w:before="18"/>
              <w:ind w:right="176"/>
              <w:jc w:val="right"/>
              <w:rPr>
                <w:b/>
                <w:sz w:val="18"/>
              </w:rPr>
            </w:pPr>
            <w:r>
              <w:rPr>
                <w:b/>
                <w:sz w:val="18"/>
              </w:rPr>
              <w:t>(3)</w:t>
            </w:r>
          </w:p>
        </w:tc>
        <w:tc>
          <w:tcPr>
            <w:tcW w:w="1195" w:type="dxa"/>
          </w:tcPr>
          <w:p>
            <w:pPr>
              <w:pStyle w:val="TableParagraph"/>
              <w:spacing w:before="18"/>
              <w:ind w:right="208"/>
              <w:jc w:val="right"/>
              <w:rPr>
                <w:b/>
                <w:sz w:val="18"/>
              </w:rPr>
            </w:pPr>
            <w:r>
              <w:rPr>
                <w:b/>
                <w:w w:val="99"/>
                <w:sz w:val="18"/>
              </w:rPr>
              <w:t>-</w:t>
            </w:r>
          </w:p>
        </w:tc>
        <w:tc>
          <w:tcPr>
            <w:tcW w:w="1105" w:type="dxa"/>
          </w:tcPr>
          <w:p>
            <w:pPr>
              <w:pStyle w:val="TableParagraph"/>
              <w:spacing w:before="18"/>
              <w:ind w:right="26"/>
              <w:jc w:val="right"/>
              <w:rPr>
                <w:b/>
                <w:sz w:val="18"/>
              </w:rPr>
            </w:pPr>
            <w:r>
              <w:rPr>
                <w:b/>
                <w:sz w:val="18"/>
              </w:rPr>
              <w:t>(3)</w:t>
            </w:r>
          </w:p>
        </w:tc>
      </w:tr>
      <w:tr>
        <w:trPr>
          <w:trHeight w:val="264" w:hRule="exact"/>
        </w:trPr>
        <w:tc>
          <w:tcPr>
            <w:tcW w:w="5039" w:type="dxa"/>
          </w:tcPr>
          <w:p>
            <w:pPr>
              <w:pStyle w:val="TableParagraph"/>
              <w:spacing w:before="20"/>
              <w:ind w:left="35" w:right="281"/>
              <w:rPr>
                <w:sz w:val="18"/>
              </w:rPr>
            </w:pPr>
            <w:r>
              <w:rPr>
                <w:sz w:val="18"/>
              </w:rPr>
              <w:t>Gain / (loss) on revaluation of livestock</w:t>
            </w:r>
          </w:p>
        </w:tc>
        <w:tc>
          <w:tcPr>
            <w:tcW w:w="1041" w:type="dxa"/>
          </w:tcPr>
          <w:p>
            <w:pPr>
              <w:pStyle w:val="TableParagraph"/>
              <w:spacing w:before="18"/>
              <w:ind w:right="124"/>
              <w:jc w:val="right"/>
              <w:rPr>
                <w:sz w:val="18"/>
              </w:rPr>
            </w:pPr>
            <w:r>
              <w:rPr>
                <w:sz w:val="18"/>
              </w:rPr>
              <w:t>29(b)</w:t>
            </w:r>
          </w:p>
        </w:tc>
        <w:tc>
          <w:tcPr>
            <w:tcW w:w="1540" w:type="dxa"/>
          </w:tcPr>
          <w:p>
            <w:pPr>
              <w:pStyle w:val="TableParagraph"/>
              <w:spacing w:before="18"/>
              <w:ind w:right="237"/>
              <w:jc w:val="right"/>
              <w:rPr>
                <w:b/>
                <w:sz w:val="18"/>
              </w:rPr>
            </w:pPr>
            <w:r>
              <w:rPr>
                <w:b/>
                <w:sz w:val="18"/>
              </w:rPr>
              <w:t>48</w:t>
            </w:r>
          </w:p>
        </w:tc>
        <w:tc>
          <w:tcPr>
            <w:tcW w:w="1195" w:type="dxa"/>
          </w:tcPr>
          <w:p>
            <w:pPr>
              <w:pStyle w:val="TableParagraph"/>
              <w:spacing w:before="18"/>
              <w:ind w:right="208"/>
              <w:jc w:val="right"/>
              <w:rPr>
                <w:b/>
                <w:sz w:val="18"/>
              </w:rPr>
            </w:pPr>
            <w:r>
              <w:rPr>
                <w:b/>
                <w:w w:val="99"/>
                <w:sz w:val="18"/>
              </w:rPr>
              <w:t>-</w:t>
            </w:r>
          </w:p>
        </w:tc>
        <w:tc>
          <w:tcPr>
            <w:tcW w:w="1105" w:type="dxa"/>
          </w:tcPr>
          <w:p>
            <w:pPr>
              <w:pStyle w:val="TableParagraph"/>
              <w:spacing w:before="18"/>
              <w:ind w:right="86"/>
              <w:jc w:val="right"/>
              <w:rPr>
                <w:b/>
                <w:sz w:val="18"/>
              </w:rPr>
            </w:pPr>
            <w:r>
              <w:rPr>
                <w:b/>
                <w:sz w:val="18"/>
              </w:rPr>
              <w:t>48</w:t>
            </w:r>
          </w:p>
        </w:tc>
      </w:tr>
      <w:tr>
        <w:trPr>
          <w:trHeight w:val="260" w:hRule="exact"/>
        </w:trPr>
        <w:tc>
          <w:tcPr>
            <w:tcW w:w="5039" w:type="dxa"/>
          </w:tcPr>
          <w:p>
            <w:pPr>
              <w:pStyle w:val="TableParagraph"/>
              <w:spacing w:before="20"/>
              <w:ind w:left="35" w:right="281"/>
              <w:rPr>
                <w:sz w:val="18"/>
              </w:rPr>
            </w:pPr>
            <w:r>
              <w:rPr>
                <w:sz w:val="18"/>
              </w:rPr>
              <w:t>Remeasurements of Defined Benefit Plans</w:t>
            </w:r>
          </w:p>
        </w:tc>
        <w:tc>
          <w:tcPr>
            <w:tcW w:w="1041" w:type="dxa"/>
          </w:tcPr>
          <w:p>
            <w:pPr>
              <w:pStyle w:val="TableParagraph"/>
              <w:spacing w:before="18"/>
              <w:ind w:right="124"/>
              <w:jc w:val="right"/>
              <w:rPr>
                <w:sz w:val="18"/>
              </w:rPr>
            </w:pPr>
            <w:r>
              <w:rPr>
                <w:sz w:val="18"/>
              </w:rPr>
              <w:t>29(b)</w:t>
            </w:r>
          </w:p>
        </w:tc>
        <w:tc>
          <w:tcPr>
            <w:tcW w:w="1540" w:type="dxa"/>
            <w:tcBorders>
              <w:bottom w:val="single" w:sz="1" w:space="0" w:color="000000"/>
            </w:tcBorders>
          </w:tcPr>
          <w:p>
            <w:pPr>
              <w:pStyle w:val="TableParagraph"/>
              <w:spacing w:before="18"/>
              <w:ind w:right="176"/>
              <w:jc w:val="right"/>
              <w:rPr>
                <w:b/>
                <w:sz w:val="18"/>
              </w:rPr>
            </w:pPr>
            <w:r>
              <w:rPr>
                <w:b/>
                <w:w w:val="95"/>
                <w:sz w:val="18"/>
              </w:rPr>
              <w:t>(1,447)</w:t>
            </w:r>
          </w:p>
        </w:tc>
        <w:tc>
          <w:tcPr>
            <w:tcW w:w="1195" w:type="dxa"/>
            <w:tcBorders>
              <w:bottom w:val="single" w:sz="1" w:space="0" w:color="000000"/>
            </w:tcBorders>
          </w:tcPr>
          <w:p>
            <w:pPr>
              <w:pStyle w:val="TableParagraph"/>
              <w:spacing w:before="18"/>
              <w:ind w:right="208"/>
              <w:jc w:val="right"/>
              <w:rPr>
                <w:b/>
                <w:sz w:val="18"/>
              </w:rPr>
            </w:pPr>
            <w:r>
              <w:rPr>
                <w:b/>
                <w:w w:val="99"/>
                <w:sz w:val="18"/>
              </w:rPr>
              <w:t>-</w:t>
            </w:r>
          </w:p>
        </w:tc>
        <w:tc>
          <w:tcPr>
            <w:tcW w:w="1105" w:type="dxa"/>
            <w:tcBorders>
              <w:bottom w:val="single" w:sz="1" w:space="0" w:color="000000"/>
            </w:tcBorders>
          </w:tcPr>
          <w:p>
            <w:pPr>
              <w:pStyle w:val="TableParagraph"/>
              <w:spacing w:before="18"/>
              <w:ind w:right="26"/>
              <w:jc w:val="right"/>
              <w:rPr>
                <w:b/>
                <w:sz w:val="18"/>
              </w:rPr>
            </w:pPr>
            <w:r>
              <w:rPr>
                <w:b/>
                <w:w w:val="95"/>
                <w:sz w:val="18"/>
              </w:rPr>
              <w:t>(1,447)</w:t>
            </w:r>
          </w:p>
        </w:tc>
      </w:tr>
      <w:tr>
        <w:trPr>
          <w:trHeight w:val="338" w:hRule="exact"/>
        </w:trPr>
        <w:tc>
          <w:tcPr>
            <w:tcW w:w="5039" w:type="dxa"/>
          </w:tcPr>
          <w:p>
            <w:pPr>
              <w:pStyle w:val="TableParagraph"/>
              <w:spacing w:before="125"/>
              <w:ind w:left="35" w:right="281"/>
              <w:rPr>
                <w:b/>
                <w:sz w:val="18"/>
              </w:rPr>
            </w:pPr>
            <w:r>
              <w:rPr>
                <w:b/>
                <w:sz w:val="18"/>
              </w:rPr>
              <w:t>Other comprehensive income</w:t>
            </w:r>
          </w:p>
        </w:tc>
        <w:tc>
          <w:tcPr>
            <w:tcW w:w="1041" w:type="dxa"/>
          </w:tcPr>
          <w:p>
            <w:pPr/>
          </w:p>
        </w:tc>
        <w:tc>
          <w:tcPr>
            <w:tcW w:w="1540" w:type="dxa"/>
            <w:tcBorders>
              <w:top w:val="single" w:sz="1" w:space="0" w:color="000000"/>
              <w:bottom w:val="single" w:sz="1" w:space="0" w:color="000000"/>
            </w:tcBorders>
          </w:tcPr>
          <w:p>
            <w:pPr>
              <w:pStyle w:val="TableParagraph"/>
              <w:spacing w:before="124"/>
              <w:ind w:right="237"/>
              <w:jc w:val="right"/>
              <w:rPr>
                <w:b/>
                <w:sz w:val="18"/>
              </w:rPr>
            </w:pPr>
            <w:r>
              <w:rPr>
                <w:b/>
                <w:w w:val="95"/>
                <w:sz w:val="18"/>
              </w:rPr>
              <w:t>201,634</w:t>
            </w:r>
          </w:p>
        </w:tc>
        <w:tc>
          <w:tcPr>
            <w:tcW w:w="1195" w:type="dxa"/>
            <w:tcBorders>
              <w:top w:val="single" w:sz="1" w:space="0" w:color="000000"/>
              <w:bottom w:val="single" w:sz="1" w:space="0" w:color="000000"/>
            </w:tcBorders>
          </w:tcPr>
          <w:p>
            <w:pPr>
              <w:pStyle w:val="TableParagraph"/>
              <w:spacing w:before="124"/>
              <w:ind w:right="208"/>
              <w:jc w:val="right"/>
              <w:rPr>
                <w:b/>
                <w:sz w:val="18"/>
              </w:rPr>
            </w:pPr>
            <w:r>
              <w:rPr>
                <w:b/>
                <w:w w:val="99"/>
                <w:sz w:val="18"/>
              </w:rPr>
              <w:t>-</w:t>
            </w:r>
          </w:p>
        </w:tc>
        <w:tc>
          <w:tcPr>
            <w:tcW w:w="1105" w:type="dxa"/>
            <w:tcBorders>
              <w:top w:val="single" w:sz="1" w:space="0" w:color="000000"/>
              <w:bottom w:val="single" w:sz="1" w:space="0" w:color="000000"/>
            </w:tcBorders>
          </w:tcPr>
          <w:p>
            <w:pPr>
              <w:pStyle w:val="TableParagraph"/>
              <w:spacing w:before="124"/>
              <w:ind w:left="361"/>
              <w:rPr>
                <w:b/>
                <w:sz w:val="18"/>
              </w:rPr>
            </w:pPr>
            <w:r>
              <w:rPr>
                <w:b/>
                <w:sz w:val="18"/>
              </w:rPr>
              <w:t>201,634</w:t>
            </w:r>
          </w:p>
        </w:tc>
      </w:tr>
      <w:tr>
        <w:trPr>
          <w:trHeight w:val="338" w:hRule="exact"/>
        </w:trPr>
        <w:tc>
          <w:tcPr>
            <w:tcW w:w="5039" w:type="dxa"/>
          </w:tcPr>
          <w:p>
            <w:pPr>
              <w:pStyle w:val="TableParagraph"/>
              <w:spacing w:before="125"/>
              <w:ind w:left="35" w:right="281"/>
              <w:rPr>
                <w:b/>
                <w:sz w:val="18"/>
              </w:rPr>
            </w:pPr>
            <w:r>
              <w:rPr>
                <w:b/>
                <w:sz w:val="18"/>
              </w:rPr>
              <w:t>Total comprehensive income</w:t>
            </w:r>
          </w:p>
        </w:tc>
        <w:tc>
          <w:tcPr>
            <w:tcW w:w="1041" w:type="dxa"/>
          </w:tcPr>
          <w:p>
            <w:pPr/>
          </w:p>
        </w:tc>
        <w:tc>
          <w:tcPr>
            <w:tcW w:w="1540" w:type="dxa"/>
            <w:tcBorders>
              <w:top w:val="single" w:sz="1" w:space="0" w:color="000000"/>
              <w:bottom w:val="single" w:sz="1" w:space="0" w:color="000000"/>
            </w:tcBorders>
          </w:tcPr>
          <w:p>
            <w:pPr>
              <w:pStyle w:val="TableParagraph"/>
              <w:spacing w:before="124"/>
              <w:ind w:right="237"/>
              <w:jc w:val="right"/>
              <w:rPr>
                <w:b/>
                <w:sz w:val="18"/>
              </w:rPr>
            </w:pPr>
            <w:r>
              <w:rPr>
                <w:b/>
                <w:w w:val="95"/>
                <w:sz w:val="18"/>
              </w:rPr>
              <w:t>909,638</w:t>
            </w:r>
          </w:p>
        </w:tc>
        <w:tc>
          <w:tcPr>
            <w:tcW w:w="1195" w:type="dxa"/>
            <w:tcBorders>
              <w:top w:val="single" w:sz="1" w:space="0" w:color="000000"/>
              <w:bottom w:val="single" w:sz="1" w:space="0" w:color="000000"/>
            </w:tcBorders>
          </w:tcPr>
          <w:p>
            <w:pPr>
              <w:pStyle w:val="TableParagraph"/>
              <w:spacing w:before="124"/>
              <w:ind w:left="178"/>
              <w:rPr>
                <w:b/>
                <w:sz w:val="18"/>
              </w:rPr>
            </w:pPr>
            <w:r>
              <w:rPr>
                <w:b/>
                <w:sz w:val="18"/>
              </w:rPr>
              <w:t>1,010,280</w:t>
            </w:r>
          </w:p>
        </w:tc>
        <w:tc>
          <w:tcPr>
            <w:tcW w:w="1105" w:type="dxa"/>
            <w:tcBorders>
              <w:top w:val="single" w:sz="1" w:space="0" w:color="000000"/>
              <w:bottom w:val="single" w:sz="1" w:space="0" w:color="000000"/>
            </w:tcBorders>
          </w:tcPr>
          <w:p>
            <w:pPr>
              <w:pStyle w:val="TableParagraph"/>
              <w:spacing w:before="124"/>
              <w:ind w:left="210"/>
              <w:rPr>
                <w:b/>
                <w:sz w:val="18"/>
              </w:rPr>
            </w:pPr>
            <w:r>
              <w:rPr>
                <w:b/>
                <w:sz w:val="18"/>
              </w:rPr>
              <w:t>1,919,918</w:t>
            </w:r>
          </w:p>
        </w:tc>
      </w:tr>
      <w:tr>
        <w:trPr>
          <w:trHeight w:val="485" w:hRule="exact"/>
        </w:trPr>
        <w:tc>
          <w:tcPr>
            <w:tcW w:w="5039" w:type="dxa"/>
          </w:tcPr>
          <w:p>
            <w:pPr>
              <w:pStyle w:val="TableParagraph"/>
              <w:spacing w:before="38"/>
              <w:ind w:left="35" w:right="281"/>
              <w:rPr>
                <w:sz w:val="18"/>
              </w:rPr>
            </w:pPr>
            <w:r>
              <w:rPr>
                <w:sz w:val="18"/>
              </w:rPr>
              <w:t>Transfer from property plant and equipment reserve on disposal of assets</w:t>
            </w:r>
          </w:p>
        </w:tc>
        <w:tc>
          <w:tcPr>
            <w:tcW w:w="1041" w:type="dxa"/>
          </w:tcPr>
          <w:p>
            <w:pPr>
              <w:pStyle w:val="TableParagraph"/>
              <w:spacing w:before="41"/>
              <w:ind w:right="134"/>
              <w:jc w:val="right"/>
              <w:rPr>
                <w:sz w:val="18"/>
              </w:rPr>
            </w:pPr>
            <w:r>
              <w:rPr>
                <w:w w:val="95"/>
                <w:sz w:val="18"/>
              </w:rPr>
              <w:t>29(c)</w:t>
            </w:r>
          </w:p>
        </w:tc>
        <w:tc>
          <w:tcPr>
            <w:tcW w:w="1540" w:type="dxa"/>
            <w:tcBorders>
              <w:top w:val="single" w:sz="1" w:space="0" w:color="000000"/>
              <w:bottom w:val="single" w:sz="1" w:space="0" w:color="000000"/>
            </w:tcBorders>
          </w:tcPr>
          <w:p>
            <w:pPr>
              <w:pStyle w:val="TableParagraph"/>
              <w:rPr>
                <w:sz w:val="21"/>
              </w:rPr>
            </w:pPr>
          </w:p>
          <w:p>
            <w:pPr>
              <w:pStyle w:val="TableParagraph"/>
              <w:ind w:right="176"/>
              <w:jc w:val="right"/>
              <w:rPr>
                <w:b/>
                <w:sz w:val="18"/>
              </w:rPr>
            </w:pPr>
            <w:r>
              <w:rPr>
                <w:b/>
                <w:w w:val="95"/>
                <w:sz w:val="18"/>
              </w:rPr>
              <w:t>(43,848)</w:t>
            </w:r>
          </w:p>
        </w:tc>
        <w:tc>
          <w:tcPr>
            <w:tcW w:w="1195" w:type="dxa"/>
            <w:tcBorders>
              <w:top w:val="single" w:sz="1" w:space="0" w:color="000000"/>
              <w:bottom w:val="single" w:sz="1" w:space="0" w:color="000000"/>
            </w:tcBorders>
          </w:tcPr>
          <w:p>
            <w:pPr>
              <w:pStyle w:val="TableParagraph"/>
              <w:rPr>
                <w:sz w:val="21"/>
              </w:rPr>
            </w:pPr>
          </w:p>
          <w:p>
            <w:pPr>
              <w:pStyle w:val="TableParagraph"/>
              <w:ind w:right="208"/>
              <w:jc w:val="right"/>
              <w:rPr>
                <w:b/>
                <w:sz w:val="18"/>
              </w:rPr>
            </w:pPr>
            <w:r>
              <w:rPr>
                <w:b/>
                <w:w w:val="95"/>
                <w:sz w:val="18"/>
              </w:rPr>
              <w:t>43,848</w:t>
            </w:r>
          </w:p>
        </w:tc>
        <w:tc>
          <w:tcPr>
            <w:tcW w:w="1105" w:type="dxa"/>
            <w:tcBorders>
              <w:top w:val="single" w:sz="1" w:space="0" w:color="000000"/>
              <w:bottom w:val="single" w:sz="1" w:space="0" w:color="000000"/>
            </w:tcBorders>
          </w:tcPr>
          <w:p>
            <w:pPr>
              <w:pStyle w:val="TableParagraph"/>
              <w:rPr>
                <w:sz w:val="21"/>
              </w:rPr>
            </w:pPr>
          </w:p>
          <w:p>
            <w:pPr>
              <w:pStyle w:val="TableParagraph"/>
              <w:ind w:right="86"/>
              <w:jc w:val="right"/>
              <w:rPr>
                <w:b/>
                <w:sz w:val="18"/>
              </w:rPr>
            </w:pPr>
            <w:r>
              <w:rPr>
                <w:b/>
                <w:w w:val="99"/>
                <w:sz w:val="18"/>
              </w:rPr>
              <w:t>-</w:t>
            </w:r>
          </w:p>
        </w:tc>
      </w:tr>
      <w:tr>
        <w:trPr>
          <w:trHeight w:val="338" w:hRule="exact"/>
        </w:trPr>
        <w:tc>
          <w:tcPr>
            <w:tcW w:w="5039" w:type="dxa"/>
          </w:tcPr>
          <w:p>
            <w:pPr>
              <w:pStyle w:val="TableParagraph"/>
              <w:spacing w:before="125"/>
              <w:ind w:left="35" w:right="281"/>
              <w:rPr>
                <w:b/>
                <w:sz w:val="18"/>
              </w:rPr>
            </w:pPr>
            <w:r>
              <w:rPr>
                <w:b/>
                <w:sz w:val="18"/>
              </w:rPr>
              <w:t>Balance at 31 December 2017</w:t>
            </w:r>
          </w:p>
        </w:tc>
        <w:tc>
          <w:tcPr>
            <w:tcW w:w="1041" w:type="dxa"/>
          </w:tcPr>
          <w:p>
            <w:pPr/>
          </w:p>
        </w:tc>
        <w:tc>
          <w:tcPr>
            <w:tcW w:w="1540" w:type="dxa"/>
            <w:tcBorders>
              <w:top w:val="single" w:sz="1" w:space="0" w:color="000000"/>
              <w:bottom w:val="single" w:sz="1" w:space="0" w:color="000000"/>
            </w:tcBorders>
          </w:tcPr>
          <w:p>
            <w:pPr>
              <w:pStyle w:val="TableParagraph"/>
              <w:spacing w:before="124"/>
              <w:ind w:right="237"/>
              <w:jc w:val="right"/>
              <w:rPr>
                <w:b/>
                <w:sz w:val="18"/>
              </w:rPr>
            </w:pPr>
            <w:r>
              <w:rPr>
                <w:b/>
                <w:w w:val="95"/>
                <w:sz w:val="18"/>
              </w:rPr>
              <w:t>865,790</w:t>
            </w:r>
          </w:p>
        </w:tc>
        <w:tc>
          <w:tcPr>
            <w:tcW w:w="1195" w:type="dxa"/>
            <w:tcBorders>
              <w:top w:val="single" w:sz="1" w:space="0" w:color="000000"/>
              <w:bottom w:val="single" w:sz="1" w:space="0" w:color="000000"/>
            </w:tcBorders>
          </w:tcPr>
          <w:p>
            <w:pPr>
              <w:pStyle w:val="TableParagraph"/>
              <w:spacing w:before="124"/>
              <w:ind w:left="178"/>
              <w:rPr>
                <w:b/>
                <w:sz w:val="18"/>
              </w:rPr>
            </w:pPr>
            <w:r>
              <w:rPr>
                <w:b/>
                <w:sz w:val="18"/>
              </w:rPr>
              <w:t>1,054,128</w:t>
            </w:r>
          </w:p>
        </w:tc>
        <w:tc>
          <w:tcPr>
            <w:tcW w:w="1105" w:type="dxa"/>
            <w:tcBorders>
              <w:top w:val="single" w:sz="1" w:space="0" w:color="000000"/>
              <w:bottom w:val="single" w:sz="1" w:space="0" w:color="000000"/>
            </w:tcBorders>
          </w:tcPr>
          <w:p>
            <w:pPr>
              <w:pStyle w:val="TableParagraph"/>
              <w:spacing w:before="124"/>
              <w:ind w:left="210"/>
              <w:rPr>
                <w:b/>
                <w:sz w:val="18"/>
              </w:rPr>
            </w:pPr>
            <w:r>
              <w:rPr>
                <w:b/>
                <w:sz w:val="18"/>
              </w:rPr>
              <w:t>1,919,918</w:t>
            </w:r>
          </w:p>
        </w:tc>
      </w:tr>
    </w:tbl>
    <w:p>
      <w:pPr>
        <w:pStyle w:val="BodyText"/>
        <w:rPr>
          <w:sz w:val="20"/>
        </w:rPr>
      </w:pPr>
    </w:p>
    <w:p>
      <w:pPr>
        <w:pStyle w:val="BodyText"/>
        <w:rPr>
          <w:sz w:val="28"/>
        </w:rPr>
      </w:pPr>
    </w:p>
    <w:p>
      <w:pPr>
        <w:pStyle w:val="Heading9"/>
        <w:spacing w:before="77" w:after="36"/>
        <w:ind w:right="1451"/>
        <w:jc w:val="right"/>
      </w:pPr>
      <w:r>
        <w:rPr/>
        <w:t>Consolidated</w:t>
      </w: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39"/>
        <w:gridCol w:w="1041"/>
        <w:gridCol w:w="1488"/>
        <w:gridCol w:w="1247"/>
        <w:gridCol w:w="1105"/>
      </w:tblGrid>
      <w:tr>
        <w:trPr>
          <w:trHeight w:val="487" w:hRule="exact"/>
        </w:trPr>
        <w:tc>
          <w:tcPr>
            <w:tcW w:w="5039" w:type="dxa"/>
            <w:vMerge w:val="restart"/>
          </w:tcPr>
          <w:p>
            <w:pPr/>
          </w:p>
        </w:tc>
        <w:tc>
          <w:tcPr>
            <w:tcW w:w="1041" w:type="dxa"/>
          </w:tcPr>
          <w:p>
            <w:pPr/>
          </w:p>
        </w:tc>
        <w:tc>
          <w:tcPr>
            <w:tcW w:w="1488" w:type="dxa"/>
          </w:tcPr>
          <w:p>
            <w:pPr>
              <w:pStyle w:val="TableParagraph"/>
              <w:spacing w:before="7"/>
              <w:rPr>
                <w:b/>
                <w:sz w:val="20"/>
              </w:rPr>
            </w:pPr>
          </w:p>
          <w:p>
            <w:pPr>
              <w:pStyle w:val="TableParagraph"/>
              <w:ind w:left="376"/>
              <w:rPr>
                <w:b/>
                <w:sz w:val="18"/>
              </w:rPr>
            </w:pPr>
            <w:r>
              <w:rPr>
                <w:b/>
                <w:sz w:val="18"/>
              </w:rPr>
              <w:t>Reserves</w:t>
            </w:r>
          </w:p>
        </w:tc>
        <w:tc>
          <w:tcPr>
            <w:tcW w:w="1247" w:type="dxa"/>
          </w:tcPr>
          <w:p>
            <w:pPr>
              <w:pStyle w:val="TableParagraph"/>
              <w:spacing w:before="30"/>
              <w:ind w:left="127" w:right="329" w:firstLine="4"/>
              <w:rPr>
                <w:b/>
                <w:sz w:val="18"/>
              </w:rPr>
            </w:pPr>
            <w:r>
              <w:rPr>
                <w:b/>
                <w:sz w:val="18"/>
              </w:rPr>
              <w:t>Retained Earnings</w:t>
            </w:r>
          </w:p>
        </w:tc>
        <w:tc>
          <w:tcPr>
            <w:tcW w:w="1105" w:type="dxa"/>
          </w:tcPr>
          <w:p>
            <w:pPr>
              <w:pStyle w:val="TableParagraph"/>
              <w:spacing w:before="7"/>
              <w:rPr>
                <w:b/>
                <w:sz w:val="20"/>
              </w:rPr>
            </w:pPr>
          </w:p>
          <w:p>
            <w:pPr>
              <w:pStyle w:val="TableParagraph"/>
              <w:ind w:left="262"/>
              <w:rPr>
                <w:b/>
                <w:sz w:val="18"/>
              </w:rPr>
            </w:pPr>
            <w:r>
              <w:rPr>
                <w:b/>
                <w:sz w:val="18"/>
              </w:rPr>
              <w:t>Total</w:t>
            </w:r>
          </w:p>
        </w:tc>
      </w:tr>
      <w:tr>
        <w:trPr>
          <w:trHeight w:val="271" w:hRule="exact"/>
        </w:trPr>
        <w:tc>
          <w:tcPr>
            <w:tcW w:w="5039" w:type="dxa"/>
            <w:vMerge/>
          </w:tcPr>
          <w:p>
            <w:pPr/>
          </w:p>
        </w:tc>
        <w:tc>
          <w:tcPr>
            <w:tcW w:w="1041" w:type="dxa"/>
          </w:tcPr>
          <w:p>
            <w:pPr>
              <w:pStyle w:val="TableParagraph"/>
              <w:spacing w:before="24"/>
              <w:ind w:right="36"/>
              <w:jc w:val="right"/>
              <w:rPr>
                <w:b/>
                <w:sz w:val="18"/>
              </w:rPr>
            </w:pPr>
            <w:r>
              <w:rPr>
                <w:b/>
                <w:sz w:val="18"/>
              </w:rPr>
              <w:t>Notes</w:t>
            </w:r>
          </w:p>
        </w:tc>
        <w:tc>
          <w:tcPr>
            <w:tcW w:w="1488" w:type="dxa"/>
            <w:tcBorders>
              <w:bottom w:val="single" w:sz="1" w:space="0" w:color="000000"/>
            </w:tcBorders>
          </w:tcPr>
          <w:p>
            <w:pPr>
              <w:pStyle w:val="TableParagraph"/>
              <w:spacing w:before="24"/>
              <w:ind w:left="554"/>
              <w:rPr>
                <w:b/>
                <w:sz w:val="18"/>
              </w:rPr>
            </w:pPr>
            <w:r>
              <w:rPr>
                <w:b/>
                <w:sz w:val="18"/>
              </w:rPr>
              <w:t>$'000</w:t>
            </w:r>
          </w:p>
        </w:tc>
        <w:tc>
          <w:tcPr>
            <w:tcW w:w="1247" w:type="dxa"/>
            <w:tcBorders>
              <w:bottom w:val="single" w:sz="1" w:space="0" w:color="000000"/>
            </w:tcBorders>
          </w:tcPr>
          <w:p>
            <w:pPr>
              <w:pStyle w:val="TableParagraph"/>
              <w:spacing w:before="24"/>
              <w:ind w:left="290" w:right="335"/>
              <w:rPr>
                <w:b/>
                <w:sz w:val="18"/>
              </w:rPr>
            </w:pPr>
            <w:r>
              <w:rPr>
                <w:b/>
                <w:sz w:val="18"/>
              </w:rPr>
              <w:t>$'000</w:t>
            </w:r>
          </w:p>
        </w:tc>
        <w:tc>
          <w:tcPr>
            <w:tcW w:w="1105" w:type="dxa"/>
            <w:tcBorders>
              <w:bottom w:val="single" w:sz="1" w:space="0" w:color="000000"/>
            </w:tcBorders>
          </w:tcPr>
          <w:p>
            <w:pPr>
              <w:pStyle w:val="TableParagraph"/>
              <w:spacing w:before="24"/>
              <w:ind w:left="255"/>
              <w:rPr>
                <w:b/>
                <w:sz w:val="18"/>
              </w:rPr>
            </w:pPr>
            <w:r>
              <w:rPr>
                <w:b/>
                <w:sz w:val="18"/>
              </w:rPr>
              <w:t>$'000</w:t>
            </w:r>
          </w:p>
        </w:tc>
      </w:tr>
      <w:tr>
        <w:trPr>
          <w:trHeight w:val="357" w:hRule="exact"/>
        </w:trPr>
        <w:tc>
          <w:tcPr>
            <w:tcW w:w="5039" w:type="dxa"/>
          </w:tcPr>
          <w:p>
            <w:pPr>
              <w:pStyle w:val="TableParagraph"/>
              <w:spacing w:before="43"/>
              <w:ind w:left="35" w:right="281"/>
              <w:rPr>
                <w:b/>
                <w:sz w:val="18"/>
              </w:rPr>
            </w:pPr>
            <w:r>
              <w:rPr>
                <w:b/>
                <w:sz w:val="18"/>
              </w:rPr>
              <w:t>Balance at 1 January 2016</w:t>
            </w:r>
          </w:p>
        </w:tc>
        <w:tc>
          <w:tcPr>
            <w:tcW w:w="1041" w:type="dxa"/>
          </w:tcPr>
          <w:p>
            <w:pPr/>
          </w:p>
        </w:tc>
        <w:tc>
          <w:tcPr>
            <w:tcW w:w="1488" w:type="dxa"/>
            <w:tcBorders>
              <w:top w:val="single" w:sz="1" w:space="0" w:color="000000"/>
            </w:tcBorders>
          </w:tcPr>
          <w:p>
            <w:pPr>
              <w:pStyle w:val="TableParagraph"/>
              <w:spacing w:before="40"/>
              <w:ind w:right="185"/>
              <w:jc w:val="right"/>
              <w:rPr>
                <w:sz w:val="18"/>
              </w:rPr>
            </w:pPr>
            <w:r>
              <w:rPr>
                <w:w w:val="95"/>
                <w:sz w:val="18"/>
              </w:rPr>
              <w:t>684,514</w:t>
            </w:r>
          </w:p>
        </w:tc>
        <w:tc>
          <w:tcPr>
            <w:tcW w:w="1247" w:type="dxa"/>
            <w:tcBorders>
              <w:top w:val="single" w:sz="1" w:space="0" w:color="000000"/>
            </w:tcBorders>
          </w:tcPr>
          <w:p>
            <w:pPr>
              <w:pStyle w:val="TableParagraph"/>
              <w:spacing w:before="40"/>
              <w:ind w:right="208"/>
              <w:jc w:val="right"/>
              <w:rPr>
                <w:sz w:val="18"/>
              </w:rPr>
            </w:pPr>
            <w:r>
              <w:rPr>
                <w:w w:val="95"/>
                <w:sz w:val="18"/>
              </w:rPr>
              <w:t>922,839</w:t>
            </w:r>
          </w:p>
        </w:tc>
        <w:tc>
          <w:tcPr>
            <w:tcW w:w="1105" w:type="dxa"/>
            <w:tcBorders>
              <w:top w:val="single" w:sz="1" w:space="0" w:color="000000"/>
            </w:tcBorders>
          </w:tcPr>
          <w:p>
            <w:pPr>
              <w:pStyle w:val="TableParagraph"/>
              <w:spacing w:before="40"/>
              <w:ind w:left="210"/>
              <w:rPr>
                <w:sz w:val="18"/>
              </w:rPr>
            </w:pPr>
            <w:r>
              <w:rPr>
                <w:sz w:val="18"/>
              </w:rPr>
              <w:t>1,607,353</w:t>
            </w:r>
          </w:p>
        </w:tc>
      </w:tr>
      <w:tr>
        <w:trPr>
          <w:trHeight w:val="404" w:hRule="exact"/>
        </w:trPr>
        <w:tc>
          <w:tcPr>
            <w:tcW w:w="5039" w:type="dxa"/>
          </w:tcPr>
          <w:p>
            <w:pPr>
              <w:pStyle w:val="TableParagraph"/>
              <w:spacing w:before="90"/>
              <w:ind w:left="35" w:right="281"/>
              <w:rPr>
                <w:sz w:val="18"/>
              </w:rPr>
            </w:pPr>
            <w:r>
              <w:rPr>
                <w:sz w:val="18"/>
              </w:rPr>
              <w:t>Net result</w:t>
            </w:r>
          </w:p>
        </w:tc>
        <w:tc>
          <w:tcPr>
            <w:tcW w:w="1041" w:type="dxa"/>
          </w:tcPr>
          <w:p>
            <w:pPr>
              <w:pStyle w:val="TableParagraph"/>
              <w:spacing w:before="87"/>
              <w:ind w:right="134"/>
              <w:jc w:val="right"/>
              <w:rPr>
                <w:sz w:val="18"/>
              </w:rPr>
            </w:pPr>
            <w:r>
              <w:rPr>
                <w:w w:val="95"/>
                <w:sz w:val="18"/>
              </w:rPr>
              <w:t>29(c)</w:t>
            </w:r>
          </w:p>
        </w:tc>
        <w:tc>
          <w:tcPr>
            <w:tcW w:w="1488" w:type="dxa"/>
          </w:tcPr>
          <w:p>
            <w:pPr>
              <w:pStyle w:val="TableParagraph"/>
              <w:spacing w:before="87"/>
              <w:ind w:right="185"/>
              <w:jc w:val="right"/>
              <w:rPr>
                <w:sz w:val="18"/>
              </w:rPr>
            </w:pPr>
            <w:r>
              <w:rPr>
                <w:w w:val="99"/>
                <w:sz w:val="18"/>
              </w:rPr>
              <w:t>-</w:t>
            </w:r>
          </w:p>
        </w:tc>
        <w:tc>
          <w:tcPr>
            <w:tcW w:w="1247" w:type="dxa"/>
          </w:tcPr>
          <w:p>
            <w:pPr>
              <w:pStyle w:val="TableParagraph"/>
              <w:spacing w:before="87"/>
              <w:ind w:right="208"/>
              <w:jc w:val="right"/>
              <w:rPr>
                <w:sz w:val="18"/>
              </w:rPr>
            </w:pPr>
            <w:r>
              <w:rPr>
                <w:w w:val="95"/>
                <w:sz w:val="18"/>
              </w:rPr>
              <w:t>34,837</w:t>
            </w:r>
          </w:p>
        </w:tc>
        <w:tc>
          <w:tcPr>
            <w:tcW w:w="1105" w:type="dxa"/>
          </w:tcPr>
          <w:p>
            <w:pPr>
              <w:pStyle w:val="TableParagraph"/>
              <w:spacing w:before="87"/>
              <w:ind w:left="462"/>
              <w:rPr>
                <w:sz w:val="18"/>
              </w:rPr>
            </w:pPr>
            <w:r>
              <w:rPr>
                <w:sz w:val="18"/>
              </w:rPr>
              <w:t>34,837</w:t>
            </w:r>
          </w:p>
        </w:tc>
      </w:tr>
      <w:tr>
        <w:trPr>
          <w:trHeight w:val="538" w:hRule="exact"/>
        </w:trPr>
        <w:tc>
          <w:tcPr>
            <w:tcW w:w="5039" w:type="dxa"/>
          </w:tcPr>
          <w:p>
            <w:pPr>
              <w:pStyle w:val="TableParagraph"/>
              <w:spacing w:before="88"/>
              <w:ind w:left="35" w:right="281"/>
              <w:rPr>
                <w:sz w:val="18"/>
              </w:rPr>
            </w:pPr>
            <w:r>
              <w:rPr>
                <w:sz w:val="18"/>
              </w:rPr>
              <w:t>Gain / (loss) on revaluation of property, plant and equipment</w:t>
            </w:r>
          </w:p>
        </w:tc>
        <w:tc>
          <w:tcPr>
            <w:tcW w:w="1041" w:type="dxa"/>
          </w:tcPr>
          <w:p>
            <w:pPr>
              <w:pStyle w:val="TableParagraph"/>
              <w:spacing w:before="5"/>
              <w:rPr>
                <w:b/>
                <w:sz w:val="25"/>
              </w:rPr>
            </w:pPr>
          </w:p>
          <w:p>
            <w:pPr>
              <w:pStyle w:val="TableParagraph"/>
              <w:ind w:right="124"/>
              <w:jc w:val="right"/>
              <w:rPr>
                <w:sz w:val="18"/>
              </w:rPr>
            </w:pPr>
            <w:r>
              <w:rPr>
                <w:sz w:val="18"/>
              </w:rPr>
              <w:t>29(b)</w:t>
            </w:r>
          </w:p>
        </w:tc>
        <w:tc>
          <w:tcPr>
            <w:tcW w:w="1488" w:type="dxa"/>
          </w:tcPr>
          <w:p>
            <w:pPr>
              <w:pStyle w:val="TableParagraph"/>
              <w:spacing w:before="5"/>
              <w:rPr>
                <w:b/>
                <w:sz w:val="25"/>
              </w:rPr>
            </w:pPr>
          </w:p>
          <w:p>
            <w:pPr>
              <w:pStyle w:val="TableParagraph"/>
              <w:ind w:right="185"/>
              <w:jc w:val="right"/>
              <w:rPr>
                <w:sz w:val="18"/>
              </w:rPr>
            </w:pPr>
            <w:r>
              <w:rPr>
                <w:w w:val="95"/>
                <w:sz w:val="18"/>
              </w:rPr>
              <w:t>18,900</w:t>
            </w:r>
          </w:p>
        </w:tc>
        <w:tc>
          <w:tcPr>
            <w:tcW w:w="1247" w:type="dxa"/>
          </w:tcPr>
          <w:p>
            <w:pPr>
              <w:pStyle w:val="TableParagraph"/>
              <w:spacing w:before="5"/>
              <w:rPr>
                <w:b/>
                <w:sz w:val="25"/>
              </w:rPr>
            </w:pPr>
          </w:p>
          <w:p>
            <w:pPr>
              <w:pStyle w:val="TableParagraph"/>
              <w:ind w:right="208"/>
              <w:jc w:val="right"/>
              <w:rPr>
                <w:sz w:val="18"/>
              </w:rPr>
            </w:pPr>
            <w:r>
              <w:rPr>
                <w:w w:val="99"/>
                <w:sz w:val="18"/>
              </w:rPr>
              <w:t>-</w:t>
            </w:r>
          </w:p>
        </w:tc>
        <w:tc>
          <w:tcPr>
            <w:tcW w:w="1105" w:type="dxa"/>
          </w:tcPr>
          <w:p>
            <w:pPr>
              <w:pStyle w:val="TableParagraph"/>
              <w:spacing w:before="5"/>
              <w:rPr>
                <w:b/>
                <w:sz w:val="25"/>
              </w:rPr>
            </w:pPr>
          </w:p>
          <w:p>
            <w:pPr>
              <w:pStyle w:val="TableParagraph"/>
              <w:ind w:left="462"/>
              <w:rPr>
                <w:sz w:val="18"/>
              </w:rPr>
            </w:pPr>
            <w:r>
              <w:rPr>
                <w:sz w:val="18"/>
              </w:rPr>
              <w:t>18,900</w:t>
            </w:r>
          </w:p>
        </w:tc>
      </w:tr>
      <w:tr>
        <w:trPr>
          <w:trHeight w:val="467" w:hRule="exact"/>
        </w:trPr>
        <w:tc>
          <w:tcPr>
            <w:tcW w:w="5039" w:type="dxa"/>
          </w:tcPr>
          <w:p>
            <w:pPr>
              <w:pStyle w:val="TableParagraph"/>
              <w:spacing w:before="16"/>
              <w:ind w:left="35" w:right="281"/>
              <w:rPr>
                <w:sz w:val="18"/>
              </w:rPr>
            </w:pPr>
            <w:r>
              <w:rPr>
                <w:sz w:val="18"/>
              </w:rPr>
              <w:t>Gain / (loss) on revaluation of available-for-sale financial assets</w:t>
            </w:r>
          </w:p>
        </w:tc>
        <w:tc>
          <w:tcPr>
            <w:tcW w:w="1041" w:type="dxa"/>
          </w:tcPr>
          <w:p>
            <w:pPr>
              <w:pStyle w:val="TableParagraph"/>
              <w:spacing w:before="2"/>
              <w:rPr>
                <w:b/>
                <w:sz w:val="19"/>
              </w:rPr>
            </w:pPr>
          </w:p>
          <w:p>
            <w:pPr>
              <w:pStyle w:val="TableParagraph"/>
              <w:ind w:right="124"/>
              <w:jc w:val="right"/>
              <w:rPr>
                <w:sz w:val="18"/>
              </w:rPr>
            </w:pPr>
            <w:r>
              <w:rPr>
                <w:sz w:val="18"/>
              </w:rPr>
              <w:t>29(b)</w:t>
            </w:r>
          </w:p>
        </w:tc>
        <w:tc>
          <w:tcPr>
            <w:tcW w:w="1488" w:type="dxa"/>
          </w:tcPr>
          <w:p>
            <w:pPr>
              <w:pStyle w:val="TableParagraph"/>
              <w:spacing w:before="2"/>
              <w:rPr>
                <w:b/>
                <w:sz w:val="19"/>
              </w:rPr>
            </w:pPr>
          </w:p>
          <w:p>
            <w:pPr>
              <w:pStyle w:val="TableParagraph"/>
              <w:ind w:right="185"/>
              <w:jc w:val="right"/>
              <w:rPr>
                <w:sz w:val="18"/>
              </w:rPr>
            </w:pPr>
            <w:r>
              <w:rPr>
                <w:w w:val="95"/>
                <w:sz w:val="18"/>
              </w:rPr>
              <w:t>4,724</w:t>
            </w:r>
          </w:p>
        </w:tc>
        <w:tc>
          <w:tcPr>
            <w:tcW w:w="1247" w:type="dxa"/>
          </w:tcPr>
          <w:p>
            <w:pPr>
              <w:pStyle w:val="TableParagraph"/>
              <w:spacing w:before="2"/>
              <w:rPr>
                <w:b/>
                <w:sz w:val="19"/>
              </w:rPr>
            </w:pPr>
          </w:p>
          <w:p>
            <w:pPr>
              <w:pStyle w:val="TableParagraph"/>
              <w:ind w:right="208"/>
              <w:jc w:val="right"/>
              <w:rPr>
                <w:sz w:val="18"/>
              </w:rPr>
            </w:pPr>
            <w:r>
              <w:rPr>
                <w:w w:val="99"/>
                <w:sz w:val="18"/>
              </w:rPr>
              <w:t>-</w:t>
            </w:r>
          </w:p>
        </w:tc>
        <w:tc>
          <w:tcPr>
            <w:tcW w:w="1105" w:type="dxa"/>
          </w:tcPr>
          <w:p>
            <w:pPr>
              <w:pStyle w:val="TableParagraph"/>
              <w:spacing w:before="2"/>
              <w:rPr>
                <w:b/>
                <w:sz w:val="19"/>
              </w:rPr>
            </w:pPr>
          </w:p>
          <w:p>
            <w:pPr>
              <w:pStyle w:val="TableParagraph"/>
              <w:ind w:right="87"/>
              <w:jc w:val="right"/>
              <w:rPr>
                <w:sz w:val="18"/>
              </w:rPr>
            </w:pPr>
            <w:r>
              <w:rPr>
                <w:w w:val="95"/>
                <w:sz w:val="18"/>
              </w:rPr>
              <w:t>4,724</w:t>
            </w:r>
          </w:p>
        </w:tc>
      </w:tr>
      <w:tr>
        <w:trPr>
          <w:trHeight w:val="264" w:hRule="exact"/>
        </w:trPr>
        <w:tc>
          <w:tcPr>
            <w:tcW w:w="5039" w:type="dxa"/>
          </w:tcPr>
          <w:p>
            <w:pPr>
              <w:pStyle w:val="TableParagraph"/>
              <w:spacing w:before="20"/>
              <w:ind w:left="35" w:right="281"/>
              <w:rPr>
                <w:sz w:val="18"/>
              </w:rPr>
            </w:pPr>
            <w:r>
              <w:rPr>
                <w:sz w:val="18"/>
              </w:rPr>
              <w:t>Gain / (loss) on revaluation of art collection</w:t>
            </w:r>
          </w:p>
        </w:tc>
        <w:tc>
          <w:tcPr>
            <w:tcW w:w="1041" w:type="dxa"/>
          </w:tcPr>
          <w:p>
            <w:pPr>
              <w:pStyle w:val="TableParagraph"/>
              <w:spacing w:before="18"/>
              <w:ind w:right="124"/>
              <w:jc w:val="right"/>
              <w:rPr>
                <w:sz w:val="18"/>
              </w:rPr>
            </w:pPr>
            <w:r>
              <w:rPr>
                <w:sz w:val="18"/>
              </w:rPr>
              <w:t>29(b)</w:t>
            </w:r>
          </w:p>
        </w:tc>
        <w:tc>
          <w:tcPr>
            <w:tcW w:w="1488" w:type="dxa"/>
          </w:tcPr>
          <w:p>
            <w:pPr>
              <w:pStyle w:val="TableParagraph"/>
              <w:spacing w:before="18"/>
              <w:ind w:right="185"/>
              <w:jc w:val="right"/>
              <w:rPr>
                <w:sz w:val="18"/>
              </w:rPr>
            </w:pPr>
            <w:r>
              <w:rPr>
                <w:w w:val="95"/>
                <w:sz w:val="18"/>
              </w:rPr>
              <w:t>986</w:t>
            </w:r>
          </w:p>
        </w:tc>
        <w:tc>
          <w:tcPr>
            <w:tcW w:w="1247" w:type="dxa"/>
          </w:tcPr>
          <w:p>
            <w:pPr>
              <w:pStyle w:val="TableParagraph"/>
              <w:spacing w:before="18"/>
              <w:ind w:right="208"/>
              <w:jc w:val="right"/>
              <w:rPr>
                <w:sz w:val="18"/>
              </w:rPr>
            </w:pPr>
            <w:r>
              <w:rPr>
                <w:w w:val="99"/>
                <w:sz w:val="18"/>
              </w:rPr>
              <w:t>-</w:t>
            </w:r>
          </w:p>
        </w:tc>
        <w:tc>
          <w:tcPr>
            <w:tcW w:w="1105" w:type="dxa"/>
          </w:tcPr>
          <w:p>
            <w:pPr>
              <w:pStyle w:val="TableParagraph"/>
              <w:spacing w:before="18"/>
              <w:ind w:right="86"/>
              <w:jc w:val="right"/>
              <w:rPr>
                <w:sz w:val="18"/>
              </w:rPr>
            </w:pPr>
            <w:r>
              <w:rPr>
                <w:w w:val="95"/>
                <w:sz w:val="18"/>
              </w:rPr>
              <w:t>986</w:t>
            </w:r>
          </w:p>
        </w:tc>
      </w:tr>
      <w:tr>
        <w:trPr>
          <w:trHeight w:val="264" w:hRule="exact"/>
        </w:trPr>
        <w:tc>
          <w:tcPr>
            <w:tcW w:w="5039" w:type="dxa"/>
          </w:tcPr>
          <w:p>
            <w:pPr>
              <w:pStyle w:val="TableParagraph"/>
              <w:spacing w:before="20"/>
              <w:ind w:left="35" w:right="281"/>
              <w:rPr>
                <w:sz w:val="18"/>
              </w:rPr>
            </w:pPr>
            <w:r>
              <w:rPr>
                <w:sz w:val="18"/>
              </w:rPr>
              <w:t>Gain / (loss) on revaluation of livestock</w:t>
            </w:r>
          </w:p>
        </w:tc>
        <w:tc>
          <w:tcPr>
            <w:tcW w:w="1041" w:type="dxa"/>
          </w:tcPr>
          <w:p>
            <w:pPr>
              <w:pStyle w:val="TableParagraph"/>
              <w:spacing w:before="18"/>
              <w:ind w:right="124"/>
              <w:jc w:val="right"/>
              <w:rPr>
                <w:sz w:val="18"/>
              </w:rPr>
            </w:pPr>
            <w:r>
              <w:rPr>
                <w:sz w:val="18"/>
              </w:rPr>
              <w:t>29(b)</w:t>
            </w:r>
          </w:p>
        </w:tc>
        <w:tc>
          <w:tcPr>
            <w:tcW w:w="1488" w:type="dxa"/>
          </w:tcPr>
          <w:p>
            <w:pPr>
              <w:pStyle w:val="TableParagraph"/>
              <w:spacing w:before="18"/>
              <w:ind w:right="125"/>
              <w:jc w:val="right"/>
              <w:rPr>
                <w:sz w:val="18"/>
              </w:rPr>
            </w:pPr>
            <w:r>
              <w:rPr>
                <w:w w:val="95"/>
                <w:sz w:val="18"/>
              </w:rPr>
              <w:t>(214)</w:t>
            </w:r>
          </w:p>
        </w:tc>
        <w:tc>
          <w:tcPr>
            <w:tcW w:w="1247" w:type="dxa"/>
          </w:tcPr>
          <w:p>
            <w:pPr>
              <w:pStyle w:val="TableParagraph"/>
              <w:spacing w:before="18"/>
              <w:ind w:right="208"/>
              <w:jc w:val="right"/>
              <w:rPr>
                <w:sz w:val="18"/>
              </w:rPr>
            </w:pPr>
            <w:r>
              <w:rPr>
                <w:w w:val="99"/>
                <w:sz w:val="18"/>
              </w:rPr>
              <w:t>-</w:t>
            </w:r>
          </w:p>
        </w:tc>
        <w:tc>
          <w:tcPr>
            <w:tcW w:w="1105" w:type="dxa"/>
          </w:tcPr>
          <w:p>
            <w:pPr>
              <w:pStyle w:val="TableParagraph"/>
              <w:spacing w:before="18"/>
              <w:ind w:right="26"/>
              <w:jc w:val="right"/>
              <w:rPr>
                <w:sz w:val="18"/>
              </w:rPr>
            </w:pPr>
            <w:r>
              <w:rPr>
                <w:w w:val="95"/>
                <w:sz w:val="18"/>
              </w:rPr>
              <w:t>(214)</w:t>
            </w:r>
          </w:p>
        </w:tc>
      </w:tr>
      <w:tr>
        <w:trPr>
          <w:trHeight w:val="260" w:hRule="exact"/>
        </w:trPr>
        <w:tc>
          <w:tcPr>
            <w:tcW w:w="5039" w:type="dxa"/>
          </w:tcPr>
          <w:p>
            <w:pPr>
              <w:pStyle w:val="TableParagraph"/>
              <w:spacing w:before="20"/>
              <w:ind w:left="35" w:right="281"/>
              <w:rPr>
                <w:sz w:val="18"/>
              </w:rPr>
            </w:pPr>
            <w:r>
              <w:rPr>
                <w:sz w:val="18"/>
              </w:rPr>
              <w:t>Remeasurements of Defined Benefit Plans</w:t>
            </w:r>
          </w:p>
        </w:tc>
        <w:tc>
          <w:tcPr>
            <w:tcW w:w="1041" w:type="dxa"/>
          </w:tcPr>
          <w:p>
            <w:pPr>
              <w:pStyle w:val="TableParagraph"/>
              <w:spacing w:before="18"/>
              <w:ind w:right="124"/>
              <w:jc w:val="right"/>
              <w:rPr>
                <w:sz w:val="18"/>
              </w:rPr>
            </w:pPr>
            <w:r>
              <w:rPr>
                <w:sz w:val="18"/>
              </w:rPr>
              <w:t>29(b)</w:t>
            </w:r>
          </w:p>
        </w:tc>
        <w:tc>
          <w:tcPr>
            <w:tcW w:w="1488" w:type="dxa"/>
            <w:tcBorders>
              <w:bottom w:val="single" w:sz="1" w:space="0" w:color="000000"/>
            </w:tcBorders>
          </w:tcPr>
          <w:p>
            <w:pPr>
              <w:pStyle w:val="TableParagraph"/>
              <w:spacing w:before="18"/>
              <w:ind w:right="125"/>
              <w:jc w:val="right"/>
              <w:rPr>
                <w:sz w:val="18"/>
              </w:rPr>
            </w:pPr>
            <w:r>
              <w:rPr>
                <w:w w:val="95"/>
                <w:sz w:val="18"/>
              </w:rPr>
              <w:t>(366)</w:t>
            </w:r>
          </w:p>
        </w:tc>
        <w:tc>
          <w:tcPr>
            <w:tcW w:w="1247" w:type="dxa"/>
            <w:tcBorders>
              <w:bottom w:val="single" w:sz="1" w:space="0" w:color="000000"/>
            </w:tcBorders>
          </w:tcPr>
          <w:p>
            <w:pPr>
              <w:pStyle w:val="TableParagraph"/>
              <w:spacing w:before="18"/>
              <w:ind w:right="208"/>
              <w:jc w:val="right"/>
              <w:rPr>
                <w:sz w:val="18"/>
              </w:rPr>
            </w:pPr>
            <w:r>
              <w:rPr>
                <w:w w:val="99"/>
                <w:sz w:val="18"/>
              </w:rPr>
              <w:t>-</w:t>
            </w:r>
          </w:p>
        </w:tc>
        <w:tc>
          <w:tcPr>
            <w:tcW w:w="1105" w:type="dxa"/>
            <w:tcBorders>
              <w:bottom w:val="single" w:sz="1" w:space="0" w:color="000000"/>
            </w:tcBorders>
          </w:tcPr>
          <w:p>
            <w:pPr>
              <w:pStyle w:val="TableParagraph"/>
              <w:spacing w:before="18"/>
              <w:ind w:right="26"/>
              <w:jc w:val="right"/>
              <w:rPr>
                <w:sz w:val="18"/>
              </w:rPr>
            </w:pPr>
            <w:r>
              <w:rPr>
                <w:w w:val="95"/>
                <w:sz w:val="18"/>
              </w:rPr>
              <w:t>(366)</w:t>
            </w:r>
          </w:p>
        </w:tc>
      </w:tr>
      <w:tr>
        <w:trPr>
          <w:trHeight w:val="338" w:hRule="exact"/>
        </w:trPr>
        <w:tc>
          <w:tcPr>
            <w:tcW w:w="5039" w:type="dxa"/>
          </w:tcPr>
          <w:p>
            <w:pPr>
              <w:pStyle w:val="TableParagraph"/>
              <w:spacing w:before="125"/>
              <w:ind w:left="35" w:right="281"/>
              <w:rPr>
                <w:b/>
                <w:sz w:val="18"/>
              </w:rPr>
            </w:pPr>
            <w:r>
              <w:rPr>
                <w:b/>
                <w:sz w:val="18"/>
              </w:rPr>
              <w:t>Other comprehensive income</w:t>
            </w:r>
          </w:p>
        </w:tc>
        <w:tc>
          <w:tcPr>
            <w:tcW w:w="1041" w:type="dxa"/>
          </w:tcPr>
          <w:p>
            <w:pPr/>
          </w:p>
        </w:tc>
        <w:tc>
          <w:tcPr>
            <w:tcW w:w="1488" w:type="dxa"/>
            <w:tcBorders>
              <w:top w:val="single" w:sz="1" w:space="0" w:color="000000"/>
              <w:bottom w:val="single" w:sz="1" w:space="0" w:color="000000"/>
            </w:tcBorders>
          </w:tcPr>
          <w:p>
            <w:pPr>
              <w:pStyle w:val="TableParagraph"/>
              <w:spacing w:before="124"/>
              <w:ind w:right="185"/>
              <w:jc w:val="right"/>
              <w:rPr>
                <w:sz w:val="18"/>
              </w:rPr>
            </w:pPr>
            <w:r>
              <w:rPr>
                <w:w w:val="95"/>
                <w:sz w:val="18"/>
              </w:rPr>
              <w:t>24,030</w:t>
            </w:r>
          </w:p>
        </w:tc>
        <w:tc>
          <w:tcPr>
            <w:tcW w:w="1247" w:type="dxa"/>
            <w:tcBorders>
              <w:top w:val="single" w:sz="1" w:space="0" w:color="000000"/>
              <w:bottom w:val="single" w:sz="1" w:space="0" w:color="000000"/>
            </w:tcBorders>
          </w:tcPr>
          <w:p>
            <w:pPr>
              <w:pStyle w:val="TableParagraph"/>
              <w:spacing w:before="124"/>
              <w:ind w:right="208"/>
              <w:jc w:val="right"/>
              <w:rPr>
                <w:sz w:val="18"/>
              </w:rPr>
            </w:pPr>
            <w:r>
              <w:rPr>
                <w:w w:val="99"/>
                <w:sz w:val="18"/>
              </w:rPr>
              <w:t>-</w:t>
            </w:r>
          </w:p>
        </w:tc>
        <w:tc>
          <w:tcPr>
            <w:tcW w:w="1105" w:type="dxa"/>
            <w:tcBorders>
              <w:top w:val="single" w:sz="1" w:space="0" w:color="000000"/>
              <w:bottom w:val="single" w:sz="1" w:space="0" w:color="000000"/>
            </w:tcBorders>
          </w:tcPr>
          <w:p>
            <w:pPr>
              <w:pStyle w:val="TableParagraph"/>
              <w:spacing w:before="124"/>
              <w:ind w:left="462"/>
              <w:rPr>
                <w:sz w:val="18"/>
              </w:rPr>
            </w:pPr>
            <w:r>
              <w:rPr>
                <w:sz w:val="18"/>
              </w:rPr>
              <w:t>24,030</w:t>
            </w:r>
          </w:p>
        </w:tc>
      </w:tr>
      <w:tr>
        <w:trPr>
          <w:trHeight w:val="338" w:hRule="exact"/>
        </w:trPr>
        <w:tc>
          <w:tcPr>
            <w:tcW w:w="5039" w:type="dxa"/>
          </w:tcPr>
          <w:p>
            <w:pPr>
              <w:pStyle w:val="TableParagraph"/>
              <w:spacing w:before="125"/>
              <w:ind w:left="35" w:right="281"/>
              <w:rPr>
                <w:b/>
                <w:sz w:val="18"/>
              </w:rPr>
            </w:pPr>
            <w:r>
              <w:rPr>
                <w:b/>
                <w:sz w:val="18"/>
              </w:rPr>
              <w:t>Total comprehensive income</w:t>
            </w:r>
          </w:p>
        </w:tc>
        <w:tc>
          <w:tcPr>
            <w:tcW w:w="1041" w:type="dxa"/>
          </w:tcPr>
          <w:p>
            <w:pPr/>
          </w:p>
        </w:tc>
        <w:tc>
          <w:tcPr>
            <w:tcW w:w="1488" w:type="dxa"/>
            <w:tcBorders>
              <w:top w:val="single" w:sz="1" w:space="0" w:color="000000"/>
              <w:bottom w:val="single" w:sz="1" w:space="0" w:color="000000"/>
            </w:tcBorders>
          </w:tcPr>
          <w:p>
            <w:pPr>
              <w:pStyle w:val="TableParagraph"/>
              <w:spacing w:before="124"/>
              <w:ind w:right="185"/>
              <w:jc w:val="right"/>
              <w:rPr>
                <w:sz w:val="18"/>
              </w:rPr>
            </w:pPr>
            <w:r>
              <w:rPr>
                <w:w w:val="95"/>
                <w:sz w:val="18"/>
              </w:rPr>
              <w:t>708,544</w:t>
            </w:r>
          </w:p>
        </w:tc>
        <w:tc>
          <w:tcPr>
            <w:tcW w:w="1247" w:type="dxa"/>
            <w:tcBorders>
              <w:top w:val="single" w:sz="1" w:space="0" w:color="000000"/>
              <w:bottom w:val="single" w:sz="1" w:space="0" w:color="000000"/>
            </w:tcBorders>
          </w:tcPr>
          <w:p>
            <w:pPr>
              <w:pStyle w:val="TableParagraph"/>
              <w:spacing w:before="124"/>
              <w:ind w:right="208"/>
              <w:jc w:val="right"/>
              <w:rPr>
                <w:sz w:val="18"/>
              </w:rPr>
            </w:pPr>
            <w:r>
              <w:rPr>
                <w:w w:val="95"/>
                <w:sz w:val="18"/>
              </w:rPr>
              <w:t>957,676</w:t>
            </w:r>
          </w:p>
        </w:tc>
        <w:tc>
          <w:tcPr>
            <w:tcW w:w="1105" w:type="dxa"/>
            <w:tcBorders>
              <w:top w:val="single" w:sz="1" w:space="0" w:color="000000"/>
              <w:bottom w:val="single" w:sz="1" w:space="0" w:color="000000"/>
            </w:tcBorders>
          </w:tcPr>
          <w:p>
            <w:pPr>
              <w:pStyle w:val="TableParagraph"/>
              <w:spacing w:before="124"/>
              <w:ind w:left="210"/>
              <w:rPr>
                <w:sz w:val="18"/>
              </w:rPr>
            </w:pPr>
            <w:r>
              <w:rPr>
                <w:sz w:val="18"/>
              </w:rPr>
              <w:t>1,666,220</w:t>
            </w:r>
          </w:p>
        </w:tc>
      </w:tr>
      <w:tr>
        <w:trPr>
          <w:trHeight w:val="485" w:hRule="exact"/>
        </w:trPr>
        <w:tc>
          <w:tcPr>
            <w:tcW w:w="5039" w:type="dxa"/>
          </w:tcPr>
          <w:p>
            <w:pPr>
              <w:pStyle w:val="TableParagraph"/>
              <w:spacing w:before="38"/>
              <w:ind w:left="35" w:right="281"/>
              <w:rPr>
                <w:sz w:val="18"/>
              </w:rPr>
            </w:pPr>
            <w:r>
              <w:rPr>
                <w:sz w:val="18"/>
              </w:rPr>
              <w:t>Transfer from property plant and equipment reserve on disposal of assets</w:t>
            </w:r>
          </w:p>
        </w:tc>
        <w:tc>
          <w:tcPr>
            <w:tcW w:w="1041" w:type="dxa"/>
          </w:tcPr>
          <w:p>
            <w:pPr>
              <w:pStyle w:val="TableParagraph"/>
              <w:spacing w:before="41"/>
              <w:ind w:right="134"/>
              <w:jc w:val="right"/>
              <w:rPr>
                <w:sz w:val="18"/>
              </w:rPr>
            </w:pPr>
            <w:r>
              <w:rPr>
                <w:w w:val="95"/>
                <w:sz w:val="18"/>
              </w:rPr>
              <w:t>29(c)</w:t>
            </w:r>
          </w:p>
        </w:tc>
        <w:tc>
          <w:tcPr>
            <w:tcW w:w="1488" w:type="dxa"/>
            <w:tcBorders>
              <w:top w:val="single" w:sz="1" w:space="0" w:color="000000"/>
              <w:bottom w:val="single" w:sz="1" w:space="0" w:color="000000"/>
            </w:tcBorders>
          </w:tcPr>
          <w:p>
            <w:pPr>
              <w:pStyle w:val="TableParagraph"/>
              <w:rPr>
                <w:b/>
                <w:sz w:val="21"/>
              </w:rPr>
            </w:pPr>
          </w:p>
          <w:p>
            <w:pPr>
              <w:pStyle w:val="TableParagraph"/>
              <w:ind w:right="125"/>
              <w:jc w:val="right"/>
              <w:rPr>
                <w:sz w:val="18"/>
              </w:rPr>
            </w:pPr>
            <w:r>
              <w:rPr>
                <w:w w:val="95"/>
                <w:sz w:val="18"/>
              </w:rPr>
              <w:t>(540)</w:t>
            </w:r>
          </w:p>
        </w:tc>
        <w:tc>
          <w:tcPr>
            <w:tcW w:w="1247" w:type="dxa"/>
            <w:tcBorders>
              <w:top w:val="single" w:sz="1" w:space="0" w:color="000000"/>
              <w:bottom w:val="single" w:sz="1" w:space="0" w:color="000000"/>
            </w:tcBorders>
          </w:tcPr>
          <w:p>
            <w:pPr>
              <w:pStyle w:val="TableParagraph"/>
              <w:rPr>
                <w:b/>
                <w:sz w:val="21"/>
              </w:rPr>
            </w:pPr>
          </w:p>
          <w:p>
            <w:pPr>
              <w:pStyle w:val="TableParagraph"/>
              <w:ind w:right="208"/>
              <w:jc w:val="right"/>
              <w:rPr>
                <w:sz w:val="18"/>
              </w:rPr>
            </w:pPr>
            <w:r>
              <w:rPr>
                <w:w w:val="95"/>
                <w:sz w:val="18"/>
              </w:rPr>
              <w:t>540</w:t>
            </w:r>
          </w:p>
        </w:tc>
        <w:tc>
          <w:tcPr>
            <w:tcW w:w="1105" w:type="dxa"/>
            <w:tcBorders>
              <w:top w:val="single" w:sz="1" w:space="0" w:color="000000"/>
              <w:bottom w:val="single" w:sz="1" w:space="0" w:color="000000"/>
            </w:tcBorders>
          </w:tcPr>
          <w:p>
            <w:pPr>
              <w:pStyle w:val="TableParagraph"/>
              <w:rPr>
                <w:b/>
                <w:sz w:val="21"/>
              </w:rPr>
            </w:pPr>
          </w:p>
          <w:p>
            <w:pPr>
              <w:pStyle w:val="TableParagraph"/>
              <w:ind w:right="86"/>
              <w:jc w:val="right"/>
              <w:rPr>
                <w:sz w:val="18"/>
              </w:rPr>
            </w:pPr>
            <w:r>
              <w:rPr>
                <w:w w:val="99"/>
                <w:sz w:val="18"/>
              </w:rPr>
              <w:t>-</w:t>
            </w:r>
          </w:p>
        </w:tc>
      </w:tr>
      <w:tr>
        <w:trPr>
          <w:trHeight w:val="338" w:hRule="exact"/>
        </w:trPr>
        <w:tc>
          <w:tcPr>
            <w:tcW w:w="5039" w:type="dxa"/>
          </w:tcPr>
          <w:p>
            <w:pPr>
              <w:pStyle w:val="TableParagraph"/>
              <w:spacing w:before="125"/>
              <w:ind w:left="35" w:right="281"/>
              <w:rPr>
                <w:b/>
                <w:sz w:val="18"/>
              </w:rPr>
            </w:pPr>
            <w:r>
              <w:rPr>
                <w:b/>
                <w:sz w:val="18"/>
              </w:rPr>
              <w:t>Balance at 31 December 2016</w:t>
            </w:r>
          </w:p>
        </w:tc>
        <w:tc>
          <w:tcPr>
            <w:tcW w:w="1041" w:type="dxa"/>
          </w:tcPr>
          <w:p>
            <w:pPr/>
          </w:p>
        </w:tc>
        <w:tc>
          <w:tcPr>
            <w:tcW w:w="1488" w:type="dxa"/>
            <w:tcBorders>
              <w:top w:val="single" w:sz="1" w:space="0" w:color="000000"/>
              <w:bottom w:val="single" w:sz="1" w:space="0" w:color="000000"/>
            </w:tcBorders>
          </w:tcPr>
          <w:p>
            <w:pPr>
              <w:pStyle w:val="TableParagraph"/>
              <w:spacing w:before="124"/>
              <w:ind w:right="185"/>
              <w:jc w:val="right"/>
              <w:rPr>
                <w:sz w:val="18"/>
              </w:rPr>
            </w:pPr>
            <w:r>
              <w:rPr>
                <w:w w:val="95"/>
                <w:sz w:val="18"/>
              </w:rPr>
              <w:t>708,004</w:t>
            </w:r>
          </w:p>
        </w:tc>
        <w:tc>
          <w:tcPr>
            <w:tcW w:w="1247" w:type="dxa"/>
            <w:tcBorders>
              <w:top w:val="single" w:sz="1" w:space="0" w:color="000000"/>
              <w:bottom w:val="single" w:sz="1" w:space="0" w:color="000000"/>
            </w:tcBorders>
          </w:tcPr>
          <w:p>
            <w:pPr>
              <w:pStyle w:val="TableParagraph"/>
              <w:spacing w:before="124"/>
              <w:ind w:right="208"/>
              <w:jc w:val="right"/>
              <w:rPr>
                <w:sz w:val="18"/>
              </w:rPr>
            </w:pPr>
            <w:r>
              <w:rPr>
                <w:w w:val="95"/>
                <w:sz w:val="18"/>
              </w:rPr>
              <w:t>958,216</w:t>
            </w:r>
          </w:p>
        </w:tc>
        <w:tc>
          <w:tcPr>
            <w:tcW w:w="1105" w:type="dxa"/>
            <w:tcBorders>
              <w:top w:val="single" w:sz="1" w:space="0" w:color="000000"/>
              <w:bottom w:val="single" w:sz="1" w:space="0" w:color="000000"/>
            </w:tcBorders>
          </w:tcPr>
          <w:p>
            <w:pPr>
              <w:pStyle w:val="TableParagraph"/>
              <w:spacing w:before="124"/>
              <w:ind w:left="210"/>
              <w:rPr>
                <w:sz w:val="18"/>
              </w:rPr>
            </w:pPr>
            <w:r>
              <w:rPr>
                <w:sz w:val="18"/>
              </w:rPr>
              <w:t>1,666,220</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7"/>
        </w:rPr>
      </w:pPr>
    </w:p>
    <w:p>
      <w:pPr>
        <w:pStyle w:val="BodyText"/>
        <w:ind w:left="127" w:right="161"/>
      </w:pPr>
      <w:r>
        <w:rPr/>
        <w:t>The accompanying notes form part of these financial statements.</w:t>
      </w:r>
    </w:p>
    <w:p>
      <w:pPr>
        <w:spacing w:after="0"/>
        <w:sectPr>
          <w:headerReference w:type="default" r:id="rId16"/>
          <w:footerReference w:type="default" r:id="rId17"/>
          <w:pgSz w:w="11910" w:h="16840"/>
          <w:pgMar w:header="1037" w:footer="507" w:top="3320" w:bottom="700" w:left="880" w:right="880"/>
          <w:pgNumType w:start="11"/>
        </w:sectPr>
      </w:pPr>
    </w:p>
    <w:p>
      <w:pPr>
        <w:pStyle w:val="BodyText"/>
        <w:spacing w:before="7"/>
        <w:rPr>
          <w:sz w:val="29"/>
        </w:rPr>
      </w:pPr>
    </w:p>
    <w:p>
      <w:pPr>
        <w:pStyle w:val="Heading9"/>
        <w:tabs>
          <w:tab w:pos="8371" w:val="left" w:leader="none"/>
        </w:tabs>
        <w:spacing w:before="77"/>
        <w:ind w:left="5321" w:right="161"/>
      </w:pPr>
      <w:bookmarkStart w:name="Statement of Cash Flows" w:id="11"/>
      <w:bookmarkEnd w:id="11"/>
      <w:r>
        <w:rPr>
          <w:b w:val="0"/>
        </w:rPr>
      </w:r>
      <w:r>
        <w:rPr/>
        <w:t>Consolidated</w:t>
        <w:tab/>
        <w:t>Parent</w:t>
      </w:r>
    </w:p>
    <w:p>
      <w:pPr>
        <w:spacing w:after="0"/>
        <w:sectPr>
          <w:headerReference w:type="default" r:id="rId18"/>
          <w:pgSz w:w="11910" w:h="16840"/>
          <w:pgMar w:header="1037" w:footer="507" w:top="2220" w:bottom="700" w:left="880" w:right="880"/>
        </w:sectPr>
      </w:pPr>
    </w:p>
    <w:p>
      <w:pPr>
        <w:pStyle w:val="BodyText"/>
        <w:rPr>
          <w:b/>
        </w:rPr>
      </w:pPr>
    </w:p>
    <w:p>
      <w:pPr>
        <w:spacing w:before="159"/>
        <w:ind w:left="0" w:right="0" w:firstLine="0"/>
        <w:jc w:val="right"/>
        <w:rPr>
          <w:b/>
          <w:sz w:val="18"/>
        </w:rPr>
      </w:pPr>
      <w:r>
        <w:rPr>
          <w:b/>
          <w:sz w:val="18"/>
        </w:rPr>
        <w:t>Notes</w:t>
      </w:r>
    </w:p>
    <w:p>
      <w:pPr>
        <w:spacing w:before="93"/>
        <w:ind w:left="610" w:right="-17" w:firstLine="0"/>
        <w:jc w:val="left"/>
        <w:rPr>
          <w:b/>
          <w:sz w:val="18"/>
        </w:rPr>
      </w:pPr>
      <w:r>
        <w:rPr/>
        <w:br w:type="column"/>
      </w:r>
      <w:r>
        <w:rPr>
          <w:b/>
          <w:sz w:val="18"/>
        </w:rPr>
        <w:t>2017</w:t>
      </w:r>
    </w:p>
    <w:p>
      <w:pPr>
        <w:spacing w:before="66"/>
        <w:ind w:left="589" w:right="-17" w:firstLine="0"/>
        <w:jc w:val="left"/>
        <w:rPr>
          <w:b/>
          <w:sz w:val="18"/>
        </w:rPr>
      </w:pPr>
      <w:r>
        <w:rPr>
          <w:b/>
          <w:sz w:val="18"/>
        </w:rPr>
        <w:t>$'000</w:t>
      </w:r>
    </w:p>
    <w:p>
      <w:pPr>
        <w:spacing w:before="93"/>
        <w:ind w:left="831" w:right="-16" w:firstLine="0"/>
        <w:jc w:val="left"/>
        <w:rPr>
          <w:b/>
          <w:sz w:val="18"/>
        </w:rPr>
      </w:pPr>
      <w:r>
        <w:rPr/>
        <w:br w:type="column"/>
      </w:r>
      <w:r>
        <w:rPr>
          <w:b/>
          <w:sz w:val="18"/>
        </w:rPr>
        <w:t>2016</w:t>
      </w:r>
    </w:p>
    <w:p>
      <w:pPr>
        <w:spacing w:before="66"/>
        <w:ind w:left="809" w:right="-16"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4"/>
        <w:ind w:left="0" w:right="0" w:firstLine="0"/>
        <w:jc w:val="right"/>
        <w:rPr>
          <w:b/>
          <w:sz w:val="18"/>
        </w:rPr>
      </w:pPr>
      <w:r>
        <w:rPr>
          <w:b/>
          <w:w w:val="95"/>
          <w:sz w:val="18"/>
        </w:rPr>
        <w:t>$'000</w:t>
      </w:r>
    </w:p>
    <w:p>
      <w:pPr>
        <w:spacing w:before="66"/>
        <w:ind w:left="831" w:right="0" w:firstLine="0"/>
        <w:jc w:val="left"/>
        <w:rPr>
          <w:b/>
          <w:sz w:val="18"/>
        </w:rPr>
      </w:pPr>
      <w:r>
        <w:rPr/>
        <w:br w:type="column"/>
      </w:r>
      <w:r>
        <w:rPr>
          <w:b/>
          <w:sz w:val="18"/>
        </w:rPr>
        <w:t>2016</w:t>
      </w:r>
    </w:p>
    <w:p>
      <w:pPr>
        <w:spacing w:before="64"/>
        <w:ind w:left="809" w:right="0" w:firstLine="0"/>
        <w:jc w:val="left"/>
        <w:rPr>
          <w:b/>
          <w:sz w:val="18"/>
        </w:rPr>
      </w:pPr>
      <w:r>
        <w:rPr>
          <w:b/>
          <w:sz w:val="18"/>
        </w:rPr>
        <w:t>$'000</w:t>
      </w:r>
    </w:p>
    <w:p>
      <w:pPr>
        <w:spacing w:after="0"/>
        <w:jc w:val="left"/>
        <w:rPr>
          <w:sz w:val="18"/>
        </w:rPr>
        <w:sectPr>
          <w:type w:val="continuous"/>
          <w:pgSz w:w="11910" w:h="16840"/>
          <w:pgMar w:top="1580" w:bottom="280" w:left="880" w:right="880"/>
          <w:cols w:num="5" w:equalWidth="0">
            <w:col w:w="4472" w:space="40"/>
            <w:col w:w="1036" w:space="40"/>
            <w:col w:w="1257" w:space="40"/>
            <w:col w:w="1424" w:space="40"/>
            <w:col w:w="1801"/>
          </w:cols>
        </w:sectPr>
      </w:pPr>
    </w:p>
    <w:p>
      <w:pPr>
        <w:pStyle w:val="BodyText"/>
        <w:spacing w:before="11"/>
        <w:rPr>
          <w:b/>
          <w:sz w:val="5"/>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00"/>
        <w:gridCol w:w="691"/>
        <w:gridCol w:w="1696"/>
        <w:gridCol w:w="1380"/>
        <w:gridCol w:w="1380"/>
        <w:gridCol w:w="1064"/>
      </w:tblGrid>
      <w:tr>
        <w:trPr>
          <w:trHeight w:val="513" w:hRule="exact"/>
        </w:trPr>
        <w:tc>
          <w:tcPr>
            <w:tcW w:w="3700" w:type="dxa"/>
          </w:tcPr>
          <w:p>
            <w:pPr>
              <w:pStyle w:val="TableParagraph"/>
              <w:spacing w:before="77"/>
              <w:ind w:left="35" w:right="41"/>
              <w:rPr>
                <w:b/>
                <w:sz w:val="18"/>
              </w:rPr>
            </w:pPr>
            <w:r>
              <w:rPr>
                <w:b/>
                <w:sz w:val="18"/>
              </w:rPr>
              <w:t>CASH FLOWS FROM OPERATING ACTIVITIES</w:t>
            </w:r>
          </w:p>
        </w:tc>
        <w:tc>
          <w:tcPr>
            <w:tcW w:w="6211" w:type="dxa"/>
            <w:gridSpan w:val="5"/>
          </w:tcPr>
          <w:p>
            <w:pPr/>
          </w:p>
        </w:tc>
      </w:tr>
      <w:tr>
        <w:trPr>
          <w:trHeight w:val="250" w:hRule="exact"/>
        </w:trPr>
        <w:tc>
          <w:tcPr>
            <w:tcW w:w="3700" w:type="dxa"/>
          </w:tcPr>
          <w:p>
            <w:pPr>
              <w:pStyle w:val="TableParagraph"/>
              <w:spacing w:before="3"/>
              <w:ind w:left="35" w:right="41"/>
              <w:rPr>
                <w:sz w:val="18"/>
              </w:rPr>
            </w:pPr>
            <w:r>
              <w:rPr>
                <w:sz w:val="18"/>
              </w:rPr>
              <w:t>Australian Government Grants</w:t>
            </w:r>
          </w:p>
        </w:tc>
        <w:tc>
          <w:tcPr>
            <w:tcW w:w="691" w:type="dxa"/>
          </w:tcPr>
          <w:p>
            <w:pPr/>
          </w:p>
        </w:tc>
        <w:tc>
          <w:tcPr>
            <w:tcW w:w="1696" w:type="dxa"/>
          </w:tcPr>
          <w:p>
            <w:pPr>
              <w:pStyle w:val="TableParagraph"/>
              <w:spacing w:before="6"/>
              <w:ind w:right="318"/>
              <w:jc w:val="right"/>
              <w:rPr>
                <w:b/>
                <w:sz w:val="18"/>
              </w:rPr>
            </w:pPr>
            <w:r>
              <w:rPr>
                <w:b/>
                <w:w w:val="95"/>
                <w:sz w:val="18"/>
              </w:rPr>
              <w:t>547,900</w:t>
            </w:r>
          </w:p>
        </w:tc>
        <w:tc>
          <w:tcPr>
            <w:tcW w:w="1380" w:type="dxa"/>
          </w:tcPr>
          <w:p>
            <w:pPr>
              <w:pStyle w:val="TableParagraph"/>
              <w:spacing w:before="6"/>
              <w:ind w:left="320"/>
              <w:rPr>
                <w:sz w:val="18"/>
              </w:rPr>
            </w:pPr>
            <w:r>
              <w:rPr>
                <w:sz w:val="18"/>
              </w:rPr>
              <w:t>567,636</w:t>
            </w:r>
          </w:p>
        </w:tc>
        <w:tc>
          <w:tcPr>
            <w:tcW w:w="1380" w:type="dxa"/>
          </w:tcPr>
          <w:p>
            <w:pPr>
              <w:pStyle w:val="TableParagraph"/>
              <w:spacing w:before="6"/>
              <w:ind w:right="318"/>
              <w:jc w:val="right"/>
              <w:rPr>
                <w:b/>
                <w:sz w:val="18"/>
              </w:rPr>
            </w:pPr>
            <w:r>
              <w:rPr>
                <w:b/>
                <w:w w:val="95"/>
                <w:sz w:val="18"/>
              </w:rPr>
              <w:t>547,900</w:t>
            </w:r>
          </w:p>
        </w:tc>
        <w:tc>
          <w:tcPr>
            <w:tcW w:w="1064" w:type="dxa"/>
          </w:tcPr>
          <w:p>
            <w:pPr>
              <w:pStyle w:val="TableParagraph"/>
              <w:spacing w:before="6"/>
              <w:ind w:left="320"/>
              <w:rPr>
                <w:sz w:val="18"/>
              </w:rPr>
            </w:pPr>
            <w:r>
              <w:rPr>
                <w:sz w:val="18"/>
              </w:rPr>
              <w:t>567,636</w:t>
            </w:r>
          </w:p>
        </w:tc>
      </w:tr>
      <w:tr>
        <w:trPr>
          <w:trHeight w:val="264" w:hRule="exact"/>
        </w:trPr>
        <w:tc>
          <w:tcPr>
            <w:tcW w:w="3700" w:type="dxa"/>
          </w:tcPr>
          <w:p>
            <w:pPr>
              <w:pStyle w:val="TableParagraph"/>
              <w:spacing w:before="18"/>
              <w:ind w:left="35" w:right="41"/>
              <w:rPr>
                <w:sz w:val="18"/>
              </w:rPr>
            </w:pPr>
            <w:r>
              <w:rPr>
                <w:sz w:val="18"/>
              </w:rPr>
              <w:t>State Government Grants</w:t>
            </w:r>
          </w:p>
        </w:tc>
        <w:tc>
          <w:tcPr>
            <w:tcW w:w="691" w:type="dxa"/>
          </w:tcPr>
          <w:p>
            <w:pPr/>
          </w:p>
        </w:tc>
        <w:tc>
          <w:tcPr>
            <w:tcW w:w="1696" w:type="dxa"/>
          </w:tcPr>
          <w:p>
            <w:pPr>
              <w:pStyle w:val="TableParagraph"/>
              <w:spacing w:before="20"/>
              <w:ind w:right="318"/>
              <w:jc w:val="right"/>
              <w:rPr>
                <w:b/>
                <w:sz w:val="18"/>
              </w:rPr>
            </w:pPr>
            <w:r>
              <w:rPr>
                <w:b/>
                <w:sz w:val="18"/>
              </w:rPr>
              <w:t>19</w:t>
            </w:r>
          </w:p>
        </w:tc>
        <w:tc>
          <w:tcPr>
            <w:tcW w:w="1380" w:type="dxa"/>
          </w:tcPr>
          <w:p>
            <w:pPr>
              <w:pStyle w:val="TableParagraph"/>
              <w:spacing w:before="20"/>
              <w:ind w:right="403"/>
              <w:jc w:val="right"/>
              <w:rPr>
                <w:sz w:val="18"/>
              </w:rPr>
            </w:pPr>
            <w:r>
              <w:rPr>
                <w:w w:val="99"/>
                <w:sz w:val="18"/>
              </w:rPr>
              <w:t>6</w:t>
            </w:r>
          </w:p>
        </w:tc>
        <w:tc>
          <w:tcPr>
            <w:tcW w:w="1380" w:type="dxa"/>
          </w:tcPr>
          <w:p>
            <w:pPr>
              <w:pStyle w:val="TableParagraph"/>
              <w:spacing w:before="20"/>
              <w:ind w:right="318"/>
              <w:jc w:val="right"/>
              <w:rPr>
                <w:b/>
                <w:sz w:val="18"/>
              </w:rPr>
            </w:pPr>
            <w:r>
              <w:rPr>
                <w:b/>
                <w:sz w:val="18"/>
              </w:rPr>
              <w:t>19</w:t>
            </w:r>
          </w:p>
        </w:tc>
        <w:tc>
          <w:tcPr>
            <w:tcW w:w="1064" w:type="dxa"/>
          </w:tcPr>
          <w:p>
            <w:pPr>
              <w:pStyle w:val="TableParagraph"/>
              <w:spacing w:before="20"/>
              <w:ind w:right="87"/>
              <w:jc w:val="right"/>
              <w:rPr>
                <w:sz w:val="18"/>
              </w:rPr>
            </w:pPr>
            <w:r>
              <w:rPr>
                <w:w w:val="99"/>
                <w:sz w:val="18"/>
              </w:rPr>
              <w:t>6</w:t>
            </w:r>
          </w:p>
        </w:tc>
      </w:tr>
      <w:tr>
        <w:trPr>
          <w:trHeight w:val="264" w:hRule="exact"/>
        </w:trPr>
        <w:tc>
          <w:tcPr>
            <w:tcW w:w="3700" w:type="dxa"/>
          </w:tcPr>
          <w:p>
            <w:pPr>
              <w:pStyle w:val="TableParagraph"/>
              <w:spacing w:before="18"/>
              <w:ind w:left="35" w:right="41"/>
              <w:rPr>
                <w:sz w:val="18"/>
              </w:rPr>
            </w:pPr>
            <w:r>
              <w:rPr>
                <w:sz w:val="18"/>
              </w:rPr>
              <w:t>HECS-HELP - Student payments</w:t>
            </w:r>
          </w:p>
        </w:tc>
        <w:tc>
          <w:tcPr>
            <w:tcW w:w="691" w:type="dxa"/>
          </w:tcPr>
          <w:p>
            <w:pPr/>
          </w:p>
        </w:tc>
        <w:tc>
          <w:tcPr>
            <w:tcW w:w="1696" w:type="dxa"/>
          </w:tcPr>
          <w:p>
            <w:pPr>
              <w:pStyle w:val="TableParagraph"/>
              <w:spacing w:before="20"/>
              <w:ind w:right="318"/>
              <w:jc w:val="right"/>
              <w:rPr>
                <w:b/>
                <w:sz w:val="18"/>
              </w:rPr>
            </w:pPr>
            <w:r>
              <w:rPr>
                <w:b/>
                <w:w w:val="95"/>
                <w:sz w:val="18"/>
              </w:rPr>
              <w:t>13,700</w:t>
            </w:r>
          </w:p>
        </w:tc>
        <w:tc>
          <w:tcPr>
            <w:tcW w:w="1380" w:type="dxa"/>
          </w:tcPr>
          <w:p>
            <w:pPr>
              <w:pStyle w:val="TableParagraph"/>
              <w:spacing w:before="20"/>
              <w:ind w:left="421"/>
              <w:rPr>
                <w:sz w:val="18"/>
              </w:rPr>
            </w:pPr>
            <w:r>
              <w:rPr>
                <w:sz w:val="18"/>
              </w:rPr>
              <w:t>14,594</w:t>
            </w:r>
          </w:p>
        </w:tc>
        <w:tc>
          <w:tcPr>
            <w:tcW w:w="1380" w:type="dxa"/>
          </w:tcPr>
          <w:p>
            <w:pPr>
              <w:pStyle w:val="TableParagraph"/>
              <w:spacing w:before="20"/>
              <w:ind w:right="318"/>
              <w:jc w:val="right"/>
              <w:rPr>
                <w:b/>
                <w:sz w:val="18"/>
              </w:rPr>
            </w:pPr>
            <w:r>
              <w:rPr>
                <w:b/>
                <w:w w:val="95"/>
                <w:sz w:val="18"/>
              </w:rPr>
              <w:t>13,700</w:t>
            </w:r>
          </w:p>
        </w:tc>
        <w:tc>
          <w:tcPr>
            <w:tcW w:w="1064" w:type="dxa"/>
          </w:tcPr>
          <w:p>
            <w:pPr>
              <w:pStyle w:val="TableParagraph"/>
              <w:spacing w:before="20"/>
              <w:ind w:right="87"/>
              <w:jc w:val="right"/>
              <w:rPr>
                <w:sz w:val="18"/>
              </w:rPr>
            </w:pPr>
            <w:r>
              <w:rPr>
                <w:w w:val="95"/>
                <w:sz w:val="18"/>
              </w:rPr>
              <w:t>14,594</w:t>
            </w:r>
          </w:p>
        </w:tc>
      </w:tr>
      <w:tr>
        <w:trPr>
          <w:trHeight w:val="467" w:hRule="exact"/>
        </w:trPr>
        <w:tc>
          <w:tcPr>
            <w:tcW w:w="3700" w:type="dxa"/>
          </w:tcPr>
          <w:p>
            <w:pPr>
              <w:pStyle w:val="TableParagraph"/>
              <w:spacing w:before="18"/>
              <w:ind w:left="35" w:right="41"/>
              <w:rPr>
                <w:sz w:val="18"/>
              </w:rPr>
            </w:pPr>
            <w:r>
              <w:rPr>
                <w:sz w:val="18"/>
              </w:rPr>
              <w:t>Receipts from student fees and other customers</w:t>
            </w:r>
          </w:p>
        </w:tc>
        <w:tc>
          <w:tcPr>
            <w:tcW w:w="691" w:type="dxa"/>
          </w:tcPr>
          <w:p>
            <w:pPr/>
          </w:p>
        </w:tc>
        <w:tc>
          <w:tcPr>
            <w:tcW w:w="1696" w:type="dxa"/>
          </w:tcPr>
          <w:p>
            <w:pPr>
              <w:pStyle w:val="TableParagraph"/>
              <w:spacing w:before="3"/>
              <w:rPr>
                <w:b/>
                <w:sz w:val="19"/>
              </w:rPr>
            </w:pPr>
          </w:p>
          <w:p>
            <w:pPr>
              <w:pStyle w:val="TableParagraph"/>
              <w:ind w:right="318"/>
              <w:jc w:val="right"/>
              <w:rPr>
                <w:b/>
                <w:sz w:val="18"/>
              </w:rPr>
            </w:pPr>
            <w:r>
              <w:rPr>
                <w:b/>
                <w:w w:val="95"/>
                <w:sz w:val="18"/>
              </w:rPr>
              <w:t>233,131</w:t>
            </w:r>
          </w:p>
        </w:tc>
        <w:tc>
          <w:tcPr>
            <w:tcW w:w="1380" w:type="dxa"/>
          </w:tcPr>
          <w:p>
            <w:pPr>
              <w:pStyle w:val="TableParagraph"/>
              <w:spacing w:before="3"/>
              <w:rPr>
                <w:b/>
                <w:sz w:val="19"/>
              </w:rPr>
            </w:pPr>
          </w:p>
          <w:p>
            <w:pPr>
              <w:pStyle w:val="TableParagraph"/>
              <w:ind w:left="320"/>
              <w:rPr>
                <w:sz w:val="18"/>
              </w:rPr>
            </w:pPr>
            <w:r>
              <w:rPr>
                <w:sz w:val="18"/>
              </w:rPr>
              <w:t>167,926</w:t>
            </w:r>
          </w:p>
        </w:tc>
        <w:tc>
          <w:tcPr>
            <w:tcW w:w="1380" w:type="dxa"/>
          </w:tcPr>
          <w:p>
            <w:pPr>
              <w:pStyle w:val="TableParagraph"/>
              <w:spacing w:before="3"/>
              <w:rPr>
                <w:b/>
                <w:sz w:val="19"/>
              </w:rPr>
            </w:pPr>
          </w:p>
          <w:p>
            <w:pPr>
              <w:pStyle w:val="TableParagraph"/>
              <w:ind w:right="318"/>
              <w:jc w:val="right"/>
              <w:rPr>
                <w:b/>
                <w:sz w:val="18"/>
              </w:rPr>
            </w:pPr>
            <w:r>
              <w:rPr>
                <w:b/>
                <w:w w:val="95"/>
                <w:sz w:val="18"/>
              </w:rPr>
              <w:t>233,461</w:t>
            </w:r>
          </w:p>
        </w:tc>
        <w:tc>
          <w:tcPr>
            <w:tcW w:w="1064" w:type="dxa"/>
          </w:tcPr>
          <w:p>
            <w:pPr>
              <w:pStyle w:val="TableParagraph"/>
              <w:spacing w:before="3"/>
              <w:rPr>
                <w:b/>
                <w:sz w:val="19"/>
              </w:rPr>
            </w:pPr>
          </w:p>
          <w:p>
            <w:pPr>
              <w:pStyle w:val="TableParagraph"/>
              <w:ind w:left="320"/>
              <w:rPr>
                <w:sz w:val="18"/>
              </w:rPr>
            </w:pPr>
            <w:r>
              <w:rPr>
                <w:sz w:val="18"/>
              </w:rPr>
              <w:t>156,864</w:t>
            </w:r>
          </w:p>
        </w:tc>
      </w:tr>
      <w:tr>
        <w:trPr>
          <w:trHeight w:val="263" w:hRule="exact"/>
        </w:trPr>
        <w:tc>
          <w:tcPr>
            <w:tcW w:w="3700" w:type="dxa"/>
          </w:tcPr>
          <w:p>
            <w:pPr>
              <w:pStyle w:val="TableParagraph"/>
              <w:spacing w:before="16"/>
              <w:ind w:left="35" w:right="41"/>
              <w:rPr>
                <w:sz w:val="18"/>
              </w:rPr>
            </w:pPr>
            <w:r>
              <w:rPr>
                <w:sz w:val="18"/>
              </w:rPr>
              <w:t>Dividends received</w:t>
            </w:r>
          </w:p>
        </w:tc>
        <w:tc>
          <w:tcPr>
            <w:tcW w:w="691" w:type="dxa"/>
          </w:tcPr>
          <w:p>
            <w:pPr/>
          </w:p>
        </w:tc>
        <w:tc>
          <w:tcPr>
            <w:tcW w:w="1696" w:type="dxa"/>
          </w:tcPr>
          <w:p>
            <w:pPr>
              <w:pStyle w:val="TableParagraph"/>
              <w:spacing w:before="19"/>
              <w:ind w:right="318"/>
              <w:jc w:val="right"/>
              <w:rPr>
                <w:b/>
                <w:sz w:val="18"/>
              </w:rPr>
            </w:pPr>
            <w:r>
              <w:rPr>
                <w:b/>
                <w:w w:val="95"/>
                <w:sz w:val="18"/>
              </w:rPr>
              <w:t>2,041</w:t>
            </w:r>
          </w:p>
        </w:tc>
        <w:tc>
          <w:tcPr>
            <w:tcW w:w="1380" w:type="dxa"/>
          </w:tcPr>
          <w:p>
            <w:pPr>
              <w:pStyle w:val="TableParagraph"/>
              <w:spacing w:before="19"/>
              <w:ind w:left="521"/>
              <w:rPr>
                <w:sz w:val="18"/>
              </w:rPr>
            </w:pPr>
            <w:r>
              <w:rPr>
                <w:sz w:val="18"/>
              </w:rPr>
              <w:t>1,258</w:t>
            </w:r>
          </w:p>
        </w:tc>
        <w:tc>
          <w:tcPr>
            <w:tcW w:w="1380" w:type="dxa"/>
          </w:tcPr>
          <w:p>
            <w:pPr>
              <w:pStyle w:val="TableParagraph"/>
              <w:spacing w:before="19"/>
              <w:ind w:right="318"/>
              <w:jc w:val="right"/>
              <w:rPr>
                <w:b/>
                <w:sz w:val="18"/>
              </w:rPr>
            </w:pPr>
            <w:r>
              <w:rPr>
                <w:b/>
                <w:w w:val="95"/>
                <w:sz w:val="18"/>
              </w:rPr>
              <w:t>2,041</w:t>
            </w:r>
          </w:p>
        </w:tc>
        <w:tc>
          <w:tcPr>
            <w:tcW w:w="1064" w:type="dxa"/>
          </w:tcPr>
          <w:p>
            <w:pPr>
              <w:pStyle w:val="TableParagraph"/>
              <w:spacing w:before="19"/>
              <w:ind w:right="87"/>
              <w:jc w:val="right"/>
              <w:rPr>
                <w:sz w:val="18"/>
              </w:rPr>
            </w:pPr>
            <w:r>
              <w:rPr>
                <w:w w:val="95"/>
                <w:sz w:val="18"/>
              </w:rPr>
              <w:t>1,258</w:t>
            </w:r>
          </w:p>
        </w:tc>
      </w:tr>
      <w:tr>
        <w:trPr>
          <w:trHeight w:val="264" w:hRule="exact"/>
        </w:trPr>
        <w:tc>
          <w:tcPr>
            <w:tcW w:w="3700" w:type="dxa"/>
          </w:tcPr>
          <w:p>
            <w:pPr>
              <w:pStyle w:val="TableParagraph"/>
              <w:spacing w:before="18"/>
              <w:ind w:left="35" w:right="41"/>
              <w:rPr>
                <w:sz w:val="18"/>
              </w:rPr>
            </w:pPr>
            <w:r>
              <w:rPr>
                <w:sz w:val="18"/>
              </w:rPr>
              <w:t>Interest received</w:t>
            </w:r>
          </w:p>
        </w:tc>
        <w:tc>
          <w:tcPr>
            <w:tcW w:w="691" w:type="dxa"/>
          </w:tcPr>
          <w:p>
            <w:pPr/>
          </w:p>
        </w:tc>
        <w:tc>
          <w:tcPr>
            <w:tcW w:w="1696" w:type="dxa"/>
          </w:tcPr>
          <w:p>
            <w:pPr>
              <w:pStyle w:val="TableParagraph"/>
              <w:spacing w:before="20"/>
              <w:ind w:right="318"/>
              <w:jc w:val="right"/>
              <w:rPr>
                <w:b/>
                <w:sz w:val="18"/>
              </w:rPr>
            </w:pPr>
            <w:r>
              <w:rPr>
                <w:b/>
                <w:w w:val="95"/>
                <w:sz w:val="18"/>
              </w:rPr>
              <w:t>11,389</w:t>
            </w:r>
          </w:p>
        </w:tc>
        <w:tc>
          <w:tcPr>
            <w:tcW w:w="1380" w:type="dxa"/>
          </w:tcPr>
          <w:p>
            <w:pPr>
              <w:pStyle w:val="TableParagraph"/>
              <w:spacing w:before="20"/>
              <w:ind w:left="521"/>
              <w:rPr>
                <w:sz w:val="18"/>
              </w:rPr>
            </w:pPr>
            <w:r>
              <w:rPr>
                <w:sz w:val="18"/>
              </w:rPr>
              <w:t>6,968</w:t>
            </w:r>
          </w:p>
        </w:tc>
        <w:tc>
          <w:tcPr>
            <w:tcW w:w="1380" w:type="dxa"/>
          </w:tcPr>
          <w:p>
            <w:pPr>
              <w:pStyle w:val="TableParagraph"/>
              <w:spacing w:before="20"/>
              <w:ind w:right="318"/>
              <w:jc w:val="right"/>
              <w:rPr>
                <w:b/>
                <w:sz w:val="18"/>
              </w:rPr>
            </w:pPr>
            <w:r>
              <w:rPr>
                <w:b/>
                <w:w w:val="95"/>
                <w:sz w:val="18"/>
              </w:rPr>
              <w:t>11,105</w:t>
            </w:r>
          </w:p>
        </w:tc>
        <w:tc>
          <w:tcPr>
            <w:tcW w:w="1064" w:type="dxa"/>
          </w:tcPr>
          <w:p>
            <w:pPr>
              <w:pStyle w:val="TableParagraph"/>
              <w:spacing w:before="20"/>
              <w:ind w:right="87"/>
              <w:jc w:val="right"/>
              <w:rPr>
                <w:sz w:val="18"/>
              </w:rPr>
            </w:pPr>
            <w:r>
              <w:rPr>
                <w:w w:val="95"/>
                <w:sz w:val="18"/>
              </w:rPr>
              <w:t>6,690</w:t>
            </w:r>
          </w:p>
        </w:tc>
      </w:tr>
      <w:tr>
        <w:trPr>
          <w:trHeight w:val="467" w:hRule="exact"/>
        </w:trPr>
        <w:tc>
          <w:tcPr>
            <w:tcW w:w="3700" w:type="dxa"/>
          </w:tcPr>
          <w:p>
            <w:pPr>
              <w:pStyle w:val="TableParagraph"/>
              <w:spacing w:before="18"/>
              <w:ind w:left="35" w:right="41"/>
              <w:rPr>
                <w:sz w:val="18"/>
              </w:rPr>
            </w:pPr>
            <w:r>
              <w:rPr>
                <w:sz w:val="18"/>
              </w:rPr>
              <w:t>Payments to suppliers and employees (inclusive of GST)</w:t>
            </w:r>
          </w:p>
        </w:tc>
        <w:tc>
          <w:tcPr>
            <w:tcW w:w="691" w:type="dxa"/>
          </w:tcPr>
          <w:p>
            <w:pPr/>
          </w:p>
        </w:tc>
        <w:tc>
          <w:tcPr>
            <w:tcW w:w="1696" w:type="dxa"/>
          </w:tcPr>
          <w:p>
            <w:pPr>
              <w:pStyle w:val="TableParagraph"/>
              <w:spacing w:before="3"/>
              <w:rPr>
                <w:b/>
                <w:sz w:val="19"/>
              </w:rPr>
            </w:pPr>
          </w:p>
          <w:p>
            <w:pPr>
              <w:pStyle w:val="TableParagraph"/>
              <w:ind w:right="258"/>
              <w:jc w:val="right"/>
              <w:rPr>
                <w:b/>
                <w:sz w:val="18"/>
              </w:rPr>
            </w:pPr>
            <w:r>
              <w:rPr>
                <w:b/>
                <w:w w:val="95"/>
                <w:sz w:val="18"/>
              </w:rPr>
              <w:t>(714,378)</w:t>
            </w:r>
          </w:p>
        </w:tc>
        <w:tc>
          <w:tcPr>
            <w:tcW w:w="1380" w:type="dxa"/>
          </w:tcPr>
          <w:p>
            <w:pPr>
              <w:pStyle w:val="TableParagraph"/>
              <w:spacing w:before="3"/>
              <w:rPr>
                <w:b/>
                <w:sz w:val="19"/>
              </w:rPr>
            </w:pPr>
          </w:p>
          <w:p>
            <w:pPr>
              <w:pStyle w:val="TableParagraph"/>
              <w:ind w:right="342"/>
              <w:jc w:val="right"/>
              <w:rPr>
                <w:sz w:val="18"/>
              </w:rPr>
            </w:pPr>
            <w:r>
              <w:rPr>
                <w:w w:val="95"/>
                <w:sz w:val="18"/>
              </w:rPr>
              <w:t>(740,153)</w:t>
            </w:r>
          </w:p>
        </w:tc>
        <w:tc>
          <w:tcPr>
            <w:tcW w:w="1380" w:type="dxa"/>
          </w:tcPr>
          <w:p>
            <w:pPr>
              <w:pStyle w:val="TableParagraph"/>
              <w:spacing w:before="3"/>
              <w:rPr>
                <w:b/>
                <w:sz w:val="19"/>
              </w:rPr>
            </w:pPr>
          </w:p>
          <w:p>
            <w:pPr>
              <w:pStyle w:val="TableParagraph"/>
              <w:ind w:right="258"/>
              <w:jc w:val="right"/>
              <w:rPr>
                <w:b/>
                <w:sz w:val="18"/>
              </w:rPr>
            </w:pPr>
            <w:r>
              <w:rPr>
                <w:b/>
                <w:w w:val="95"/>
                <w:sz w:val="18"/>
              </w:rPr>
              <w:t>(716,398)</w:t>
            </w:r>
          </w:p>
        </w:tc>
        <w:tc>
          <w:tcPr>
            <w:tcW w:w="1064" w:type="dxa"/>
          </w:tcPr>
          <w:p>
            <w:pPr>
              <w:pStyle w:val="TableParagraph"/>
              <w:spacing w:before="3"/>
              <w:rPr>
                <w:b/>
                <w:sz w:val="19"/>
              </w:rPr>
            </w:pPr>
          </w:p>
          <w:p>
            <w:pPr>
              <w:pStyle w:val="TableParagraph"/>
              <w:ind w:right="26"/>
              <w:jc w:val="right"/>
              <w:rPr>
                <w:sz w:val="18"/>
              </w:rPr>
            </w:pPr>
            <w:r>
              <w:rPr>
                <w:w w:val="95"/>
                <w:sz w:val="18"/>
              </w:rPr>
              <w:t>(730,058)</w:t>
            </w:r>
          </w:p>
        </w:tc>
      </w:tr>
      <w:tr>
        <w:trPr>
          <w:trHeight w:val="263" w:hRule="exact"/>
        </w:trPr>
        <w:tc>
          <w:tcPr>
            <w:tcW w:w="3700" w:type="dxa"/>
          </w:tcPr>
          <w:p>
            <w:pPr>
              <w:pStyle w:val="TableParagraph"/>
              <w:spacing w:before="16"/>
              <w:ind w:left="35" w:right="41"/>
              <w:rPr>
                <w:sz w:val="18"/>
              </w:rPr>
            </w:pPr>
            <w:r>
              <w:rPr>
                <w:sz w:val="18"/>
              </w:rPr>
              <w:t>Interest and other costs of finance</w:t>
            </w:r>
          </w:p>
        </w:tc>
        <w:tc>
          <w:tcPr>
            <w:tcW w:w="691" w:type="dxa"/>
          </w:tcPr>
          <w:p>
            <w:pPr/>
          </w:p>
        </w:tc>
        <w:tc>
          <w:tcPr>
            <w:tcW w:w="1696" w:type="dxa"/>
          </w:tcPr>
          <w:p>
            <w:pPr>
              <w:pStyle w:val="TableParagraph"/>
              <w:spacing w:before="19"/>
              <w:ind w:right="258"/>
              <w:jc w:val="right"/>
              <w:rPr>
                <w:b/>
                <w:sz w:val="18"/>
              </w:rPr>
            </w:pPr>
            <w:r>
              <w:rPr>
                <w:b/>
                <w:w w:val="95"/>
                <w:sz w:val="18"/>
              </w:rPr>
              <w:t>(4,276)</w:t>
            </w:r>
          </w:p>
        </w:tc>
        <w:tc>
          <w:tcPr>
            <w:tcW w:w="1380" w:type="dxa"/>
          </w:tcPr>
          <w:p>
            <w:pPr>
              <w:pStyle w:val="TableParagraph"/>
              <w:spacing w:before="19"/>
              <w:ind w:right="342"/>
              <w:jc w:val="right"/>
              <w:rPr>
                <w:sz w:val="18"/>
              </w:rPr>
            </w:pPr>
            <w:r>
              <w:rPr>
                <w:w w:val="95"/>
                <w:sz w:val="18"/>
              </w:rPr>
              <w:t>(2,558)</w:t>
            </w:r>
          </w:p>
        </w:tc>
        <w:tc>
          <w:tcPr>
            <w:tcW w:w="1380" w:type="dxa"/>
          </w:tcPr>
          <w:p>
            <w:pPr>
              <w:pStyle w:val="TableParagraph"/>
              <w:spacing w:before="19"/>
              <w:ind w:right="258"/>
              <w:jc w:val="right"/>
              <w:rPr>
                <w:b/>
                <w:sz w:val="18"/>
              </w:rPr>
            </w:pPr>
            <w:r>
              <w:rPr>
                <w:b/>
                <w:w w:val="95"/>
                <w:sz w:val="18"/>
              </w:rPr>
              <w:t>(4,277)</w:t>
            </w:r>
          </w:p>
        </w:tc>
        <w:tc>
          <w:tcPr>
            <w:tcW w:w="1064" w:type="dxa"/>
          </w:tcPr>
          <w:p>
            <w:pPr>
              <w:pStyle w:val="TableParagraph"/>
              <w:spacing w:before="19"/>
              <w:ind w:right="26"/>
              <w:jc w:val="right"/>
              <w:rPr>
                <w:sz w:val="18"/>
              </w:rPr>
            </w:pPr>
            <w:r>
              <w:rPr>
                <w:w w:val="95"/>
                <w:sz w:val="18"/>
              </w:rPr>
              <w:t>(2,550)</w:t>
            </w:r>
          </w:p>
        </w:tc>
      </w:tr>
      <w:tr>
        <w:trPr>
          <w:trHeight w:val="262" w:hRule="exact"/>
        </w:trPr>
        <w:tc>
          <w:tcPr>
            <w:tcW w:w="3700" w:type="dxa"/>
          </w:tcPr>
          <w:p>
            <w:pPr>
              <w:pStyle w:val="TableParagraph"/>
              <w:spacing w:before="18"/>
              <w:ind w:left="35" w:right="41"/>
              <w:rPr>
                <w:sz w:val="18"/>
              </w:rPr>
            </w:pPr>
            <w:r>
              <w:rPr>
                <w:sz w:val="18"/>
              </w:rPr>
              <w:t>GST recovered</w:t>
            </w:r>
          </w:p>
        </w:tc>
        <w:tc>
          <w:tcPr>
            <w:tcW w:w="691" w:type="dxa"/>
          </w:tcPr>
          <w:p>
            <w:pPr/>
          </w:p>
        </w:tc>
        <w:tc>
          <w:tcPr>
            <w:tcW w:w="1696" w:type="dxa"/>
            <w:tcBorders>
              <w:bottom w:val="single" w:sz="1" w:space="0" w:color="000000"/>
            </w:tcBorders>
          </w:tcPr>
          <w:p>
            <w:pPr>
              <w:pStyle w:val="TableParagraph"/>
              <w:spacing w:before="20"/>
              <w:ind w:right="318"/>
              <w:jc w:val="right"/>
              <w:rPr>
                <w:b/>
                <w:sz w:val="18"/>
              </w:rPr>
            </w:pPr>
            <w:r>
              <w:rPr>
                <w:b/>
                <w:w w:val="95"/>
                <w:sz w:val="18"/>
              </w:rPr>
              <w:t>27,766</w:t>
            </w:r>
          </w:p>
        </w:tc>
        <w:tc>
          <w:tcPr>
            <w:tcW w:w="1380" w:type="dxa"/>
            <w:tcBorders>
              <w:bottom w:val="single" w:sz="1" w:space="0" w:color="000000"/>
            </w:tcBorders>
          </w:tcPr>
          <w:p>
            <w:pPr>
              <w:pStyle w:val="TableParagraph"/>
              <w:spacing w:before="20"/>
              <w:ind w:left="421"/>
              <w:rPr>
                <w:sz w:val="18"/>
              </w:rPr>
            </w:pPr>
            <w:r>
              <w:rPr>
                <w:sz w:val="18"/>
              </w:rPr>
              <w:t>27,821</w:t>
            </w:r>
          </w:p>
        </w:tc>
        <w:tc>
          <w:tcPr>
            <w:tcW w:w="1380" w:type="dxa"/>
            <w:tcBorders>
              <w:bottom w:val="single" w:sz="1" w:space="0" w:color="000000"/>
            </w:tcBorders>
          </w:tcPr>
          <w:p>
            <w:pPr>
              <w:pStyle w:val="TableParagraph"/>
              <w:spacing w:before="20"/>
              <w:ind w:right="318"/>
              <w:jc w:val="right"/>
              <w:rPr>
                <w:b/>
                <w:sz w:val="18"/>
              </w:rPr>
            </w:pPr>
            <w:r>
              <w:rPr>
                <w:b/>
                <w:w w:val="95"/>
                <w:sz w:val="18"/>
              </w:rPr>
              <w:t>27,766</w:t>
            </w:r>
          </w:p>
        </w:tc>
        <w:tc>
          <w:tcPr>
            <w:tcW w:w="1064" w:type="dxa"/>
            <w:tcBorders>
              <w:bottom w:val="single" w:sz="1" w:space="0" w:color="000000"/>
            </w:tcBorders>
          </w:tcPr>
          <w:p>
            <w:pPr>
              <w:pStyle w:val="TableParagraph"/>
              <w:spacing w:before="20"/>
              <w:ind w:right="87"/>
              <w:jc w:val="right"/>
              <w:rPr>
                <w:sz w:val="18"/>
              </w:rPr>
            </w:pPr>
            <w:r>
              <w:rPr>
                <w:w w:val="95"/>
                <w:sz w:val="18"/>
              </w:rPr>
              <w:t>27,821</w:t>
            </w:r>
          </w:p>
        </w:tc>
      </w:tr>
      <w:tr>
        <w:trPr>
          <w:trHeight w:val="338" w:hRule="exact"/>
        </w:trPr>
        <w:tc>
          <w:tcPr>
            <w:tcW w:w="3700" w:type="dxa"/>
          </w:tcPr>
          <w:p>
            <w:pPr>
              <w:pStyle w:val="TableParagraph"/>
              <w:spacing w:before="38"/>
              <w:ind w:left="35" w:right="41"/>
              <w:rPr>
                <w:b/>
                <w:sz w:val="18"/>
              </w:rPr>
            </w:pPr>
            <w:r>
              <w:rPr>
                <w:b/>
                <w:sz w:val="18"/>
              </w:rPr>
              <w:t>Net cash provided by operating activities</w:t>
            </w:r>
          </w:p>
        </w:tc>
        <w:tc>
          <w:tcPr>
            <w:tcW w:w="691" w:type="dxa"/>
          </w:tcPr>
          <w:p>
            <w:pPr>
              <w:pStyle w:val="TableParagraph"/>
              <w:spacing w:before="41"/>
              <w:ind w:left="141"/>
              <w:rPr>
                <w:sz w:val="18"/>
              </w:rPr>
            </w:pPr>
            <w:r>
              <w:rPr>
                <w:sz w:val="18"/>
              </w:rPr>
              <w:t>39</w:t>
            </w:r>
          </w:p>
        </w:tc>
        <w:tc>
          <w:tcPr>
            <w:tcW w:w="1696" w:type="dxa"/>
            <w:tcBorders>
              <w:top w:val="single" w:sz="1" w:space="0" w:color="000000"/>
              <w:bottom w:val="single" w:sz="1" w:space="0" w:color="000000"/>
            </w:tcBorders>
          </w:tcPr>
          <w:p>
            <w:pPr>
              <w:pStyle w:val="TableParagraph"/>
              <w:spacing w:before="124"/>
              <w:ind w:right="318"/>
              <w:jc w:val="right"/>
              <w:rPr>
                <w:b/>
                <w:sz w:val="18"/>
              </w:rPr>
            </w:pPr>
            <w:r>
              <w:rPr>
                <w:b/>
                <w:w w:val="95"/>
                <w:sz w:val="18"/>
              </w:rPr>
              <w:t>117,292</w:t>
            </w:r>
          </w:p>
        </w:tc>
        <w:tc>
          <w:tcPr>
            <w:tcW w:w="1380" w:type="dxa"/>
            <w:tcBorders>
              <w:top w:val="single" w:sz="1" w:space="0" w:color="000000"/>
              <w:bottom w:val="single" w:sz="1" w:space="0" w:color="000000"/>
            </w:tcBorders>
          </w:tcPr>
          <w:p>
            <w:pPr>
              <w:pStyle w:val="TableParagraph"/>
              <w:spacing w:before="124"/>
              <w:ind w:left="421"/>
              <w:rPr>
                <w:sz w:val="18"/>
              </w:rPr>
            </w:pPr>
            <w:r>
              <w:rPr>
                <w:sz w:val="18"/>
              </w:rPr>
              <w:t>43,498</w:t>
            </w:r>
          </w:p>
        </w:tc>
        <w:tc>
          <w:tcPr>
            <w:tcW w:w="1380" w:type="dxa"/>
            <w:tcBorders>
              <w:top w:val="single" w:sz="1" w:space="0" w:color="000000"/>
              <w:bottom w:val="single" w:sz="1" w:space="0" w:color="000000"/>
            </w:tcBorders>
          </w:tcPr>
          <w:p>
            <w:pPr>
              <w:pStyle w:val="TableParagraph"/>
              <w:spacing w:before="124"/>
              <w:ind w:right="318"/>
              <w:jc w:val="right"/>
              <w:rPr>
                <w:b/>
                <w:sz w:val="18"/>
              </w:rPr>
            </w:pPr>
            <w:r>
              <w:rPr>
                <w:b/>
                <w:w w:val="95"/>
                <w:sz w:val="18"/>
              </w:rPr>
              <w:t>115,317</w:t>
            </w:r>
          </w:p>
        </w:tc>
        <w:tc>
          <w:tcPr>
            <w:tcW w:w="1064" w:type="dxa"/>
            <w:tcBorders>
              <w:top w:val="single" w:sz="1" w:space="0" w:color="000000"/>
              <w:bottom w:val="single" w:sz="1" w:space="0" w:color="000000"/>
            </w:tcBorders>
          </w:tcPr>
          <w:p>
            <w:pPr>
              <w:pStyle w:val="TableParagraph"/>
              <w:spacing w:before="124"/>
              <w:ind w:right="87"/>
              <w:jc w:val="right"/>
              <w:rPr>
                <w:sz w:val="18"/>
              </w:rPr>
            </w:pPr>
            <w:r>
              <w:rPr>
                <w:w w:val="95"/>
                <w:sz w:val="18"/>
              </w:rPr>
              <w:t>42,261</w:t>
            </w:r>
          </w:p>
        </w:tc>
      </w:tr>
      <w:tr>
        <w:trPr>
          <w:trHeight w:val="634" w:hRule="exact"/>
        </w:trPr>
        <w:tc>
          <w:tcPr>
            <w:tcW w:w="3700" w:type="dxa"/>
          </w:tcPr>
          <w:p>
            <w:pPr>
              <w:pStyle w:val="TableParagraph"/>
              <w:rPr>
                <w:b/>
                <w:sz w:val="18"/>
              </w:rPr>
            </w:pPr>
          </w:p>
          <w:p>
            <w:pPr>
              <w:pStyle w:val="TableParagraph"/>
              <w:spacing w:before="4"/>
              <w:rPr>
                <w:b/>
                <w:sz w:val="18"/>
              </w:rPr>
            </w:pPr>
          </w:p>
          <w:p>
            <w:pPr>
              <w:pStyle w:val="TableParagraph"/>
              <w:ind w:left="35" w:right="41"/>
              <w:rPr>
                <w:b/>
                <w:sz w:val="18"/>
              </w:rPr>
            </w:pPr>
            <w:r>
              <w:rPr>
                <w:b/>
                <w:sz w:val="18"/>
              </w:rPr>
              <w:t>CASH FLOWS FROM INVESTING</w:t>
            </w:r>
          </w:p>
        </w:tc>
        <w:tc>
          <w:tcPr>
            <w:tcW w:w="691" w:type="dxa"/>
          </w:tcPr>
          <w:p>
            <w:pPr/>
          </w:p>
        </w:tc>
        <w:tc>
          <w:tcPr>
            <w:tcW w:w="1696"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64" w:type="dxa"/>
            <w:tcBorders>
              <w:top w:val="single" w:sz="1" w:space="0" w:color="000000"/>
            </w:tcBorders>
          </w:tcPr>
          <w:p>
            <w:pPr/>
          </w:p>
        </w:tc>
      </w:tr>
      <w:tr>
        <w:trPr>
          <w:trHeight w:val="220" w:hRule="exact"/>
        </w:trPr>
        <w:tc>
          <w:tcPr>
            <w:tcW w:w="3700" w:type="dxa"/>
          </w:tcPr>
          <w:p>
            <w:pPr>
              <w:pStyle w:val="TableParagraph"/>
              <w:spacing w:line="197" w:lineRule="exact"/>
              <w:ind w:left="35" w:right="41"/>
              <w:rPr>
                <w:b/>
                <w:sz w:val="18"/>
              </w:rPr>
            </w:pPr>
            <w:r>
              <w:rPr>
                <w:b/>
                <w:sz w:val="18"/>
              </w:rPr>
              <w:t>ACTIVITIES</w:t>
            </w:r>
          </w:p>
        </w:tc>
        <w:tc>
          <w:tcPr>
            <w:tcW w:w="691" w:type="dxa"/>
          </w:tcPr>
          <w:p>
            <w:pPr/>
          </w:p>
        </w:tc>
        <w:tc>
          <w:tcPr>
            <w:tcW w:w="1696" w:type="dxa"/>
          </w:tcPr>
          <w:p>
            <w:pPr/>
          </w:p>
        </w:tc>
        <w:tc>
          <w:tcPr>
            <w:tcW w:w="1380" w:type="dxa"/>
          </w:tcPr>
          <w:p>
            <w:pPr/>
          </w:p>
        </w:tc>
        <w:tc>
          <w:tcPr>
            <w:tcW w:w="1380" w:type="dxa"/>
          </w:tcPr>
          <w:p>
            <w:pPr/>
          </w:p>
        </w:tc>
        <w:tc>
          <w:tcPr>
            <w:tcW w:w="1064" w:type="dxa"/>
          </w:tcPr>
          <w:p>
            <w:pPr/>
          </w:p>
        </w:tc>
      </w:tr>
      <w:tr>
        <w:trPr>
          <w:trHeight w:val="452" w:hRule="exact"/>
        </w:trPr>
        <w:tc>
          <w:tcPr>
            <w:tcW w:w="3700" w:type="dxa"/>
          </w:tcPr>
          <w:p>
            <w:pPr>
              <w:pStyle w:val="TableParagraph"/>
              <w:spacing w:before="3"/>
              <w:ind w:left="35" w:right="41"/>
              <w:rPr>
                <w:sz w:val="18"/>
              </w:rPr>
            </w:pPr>
            <w:r>
              <w:rPr>
                <w:sz w:val="18"/>
              </w:rPr>
              <w:t>Proceeds from sale of property, plant and equipment</w:t>
            </w:r>
          </w:p>
        </w:tc>
        <w:tc>
          <w:tcPr>
            <w:tcW w:w="691" w:type="dxa"/>
          </w:tcPr>
          <w:p>
            <w:pPr/>
          </w:p>
        </w:tc>
        <w:tc>
          <w:tcPr>
            <w:tcW w:w="1696" w:type="dxa"/>
          </w:tcPr>
          <w:p>
            <w:pPr>
              <w:pStyle w:val="TableParagraph"/>
              <w:rPr>
                <w:b/>
                <w:sz w:val="18"/>
              </w:rPr>
            </w:pPr>
          </w:p>
          <w:p>
            <w:pPr>
              <w:pStyle w:val="TableParagraph"/>
              <w:ind w:right="318"/>
              <w:jc w:val="right"/>
              <w:rPr>
                <w:b/>
                <w:sz w:val="18"/>
              </w:rPr>
            </w:pPr>
            <w:r>
              <w:rPr>
                <w:b/>
                <w:w w:val="95"/>
                <w:sz w:val="18"/>
              </w:rPr>
              <w:t>95,076</w:t>
            </w:r>
          </w:p>
        </w:tc>
        <w:tc>
          <w:tcPr>
            <w:tcW w:w="1380" w:type="dxa"/>
          </w:tcPr>
          <w:p>
            <w:pPr>
              <w:pStyle w:val="TableParagraph"/>
              <w:rPr>
                <w:b/>
                <w:sz w:val="18"/>
              </w:rPr>
            </w:pPr>
          </w:p>
          <w:p>
            <w:pPr>
              <w:pStyle w:val="TableParagraph"/>
              <w:ind w:left="421"/>
              <w:rPr>
                <w:sz w:val="18"/>
              </w:rPr>
            </w:pPr>
            <w:r>
              <w:rPr>
                <w:sz w:val="18"/>
              </w:rPr>
              <w:t>25,796</w:t>
            </w:r>
          </w:p>
        </w:tc>
        <w:tc>
          <w:tcPr>
            <w:tcW w:w="1380" w:type="dxa"/>
          </w:tcPr>
          <w:p>
            <w:pPr>
              <w:pStyle w:val="TableParagraph"/>
              <w:rPr>
                <w:b/>
                <w:sz w:val="18"/>
              </w:rPr>
            </w:pPr>
          </w:p>
          <w:p>
            <w:pPr>
              <w:pStyle w:val="TableParagraph"/>
              <w:ind w:right="318"/>
              <w:jc w:val="right"/>
              <w:rPr>
                <w:b/>
                <w:sz w:val="18"/>
              </w:rPr>
            </w:pPr>
            <w:r>
              <w:rPr>
                <w:b/>
                <w:w w:val="95"/>
                <w:sz w:val="18"/>
              </w:rPr>
              <w:t>94,841</w:t>
            </w:r>
          </w:p>
        </w:tc>
        <w:tc>
          <w:tcPr>
            <w:tcW w:w="1064" w:type="dxa"/>
          </w:tcPr>
          <w:p>
            <w:pPr>
              <w:pStyle w:val="TableParagraph"/>
              <w:rPr>
                <w:b/>
                <w:sz w:val="18"/>
              </w:rPr>
            </w:pPr>
          </w:p>
          <w:p>
            <w:pPr>
              <w:pStyle w:val="TableParagraph"/>
              <w:ind w:right="87"/>
              <w:jc w:val="right"/>
              <w:rPr>
                <w:sz w:val="18"/>
              </w:rPr>
            </w:pPr>
            <w:r>
              <w:rPr>
                <w:w w:val="95"/>
                <w:sz w:val="18"/>
              </w:rPr>
              <w:t>25,306</w:t>
            </w:r>
          </w:p>
        </w:tc>
      </w:tr>
      <w:tr>
        <w:trPr>
          <w:trHeight w:val="263" w:hRule="exact"/>
        </w:trPr>
        <w:tc>
          <w:tcPr>
            <w:tcW w:w="3700" w:type="dxa"/>
          </w:tcPr>
          <w:p>
            <w:pPr>
              <w:pStyle w:val="TableParagraph"/>
              <w:spacing w:before="16"/>
              <w:ind w:left="35" w:right="41"/>
              <w:rPr>
                <w:sz w:val="18"/>
              </w:rPr>
            </w:pPr>
            <w:r>
              <w:rPr>
                <w:sz w:val="18"/>
              </w:rPr>
              <w:t>Payments for property, plant and equipment</w:t>
            </w:r>
          </w:p>
        </w:tc>
        <w:tc>
          <w:tcPr>
            <w:tcW w:w="691" w:type="dxa"/>
          </w:tcPr>
          <w:p>
            <w:pPr/>
          </w:p>
        </w:tc>
        <w:tc>
          <w:tcPr>
            <w:tcW w:w="1696" w:type="dxa"/>
          </w:tcPr>
          <w:p>
            <w:pPr>
              <w:pStyle w:val="TableParagraph"/>
              <w:spacing w:before="19"/>
              <w:ind w:right="258"/>
              <w:jc w:val="right"/>
              <w:rPr>
                <w:b/>
                <w:sz w:val="18"/>
              </w:rPr>
            </w:pPr>
            <w:r>
              <w:rPr>
                <w:b/>
                <w:w w:val="95"/>
                <w:sz w:val="18"/>
              </w:rPr>
              <w:t>(131,356)</w:t>
            </w:r>
          </w:p>
        </w:tc>
        <w:tc>
          <w:tcPr>
            <w:tcW w:w="1380" w:type="dxa"/>
          </w:tcPr>
          <w:p>
            <w:pPr>
              <w:pStyle w:val="TableParagraph"/>
              <w:spacing w:before="19"/>
              <w:ind w:right="342"/>
              <w:jc w:val="right"/>
              <w:rPr>
                <w:sz w:val="18"/>
              </w:rPr>
            </w:pPr>
            <w:r>
              <w:rPr>
                <w:w w:val="95"/>
                <w:sz w:val="18"/>
              </w:rPr>
              <w:t>(134,198)</w:t>
            </w:r>
          </w:p>
        </w:tc>
        <w:tc>
          <w:tcPr>
            <w:tcW w:w="1380" w:type="dxa"/>
          </w:tcPr>
          <w:p>
            <w:pPr>
              <w:pStyle w:val="TableParagraph"/>
              <w:spacing w:before="19"/>
              <w:ind w:right="258"/>
              <w:jc w:val="right"/>
              <w:rPr>
                <w:b/>
                <w:sz w:val="18"/>
              </w:rPr>
            </w:pPr>
            <w:r>
              <w:rPr>
                <w:b/>
                <w:w w:val="95"/>
                <w:sz w:val="18"/>
              </w:rPr>
              <w:t>(131,268)</w:t>
            </w:r>
          </w:p>
        </w:tc>
        <w:tc>
          <w:tcPr>
            <w:tcW w:w="1064" w:type="dxa"/>
          </w:tcPr>
          <w:p>
            <w:pPr>
              <w:pStyle w:val="TableParagraph"/>
              <w:spacing w:before="19"/>
              <w:ind w:right="26"/>
              <w:jc w:val="right"/>
              <w:rPr>
                <w:sz w:val="18"/>
              </w:rPr>
            </w:pPr>
            <w:r>
              <w:rPr>
                <w:w w:val="95"/>
                <w:sz w:val="18"/>
              </w:rPr>
              <w:t>(132,566)</w:t>
            </w:r>
          </w:p>
        </w:tc>
      </w:tr>
      <w:tr>
        <w:trPr>
          <w:trHeight w:val="264" w:hRule="exact"/>
        </w:trPr>
        <w:tc>
          <w:tcPr>
            <w:tcW w:w="3700" w:type="dxa"/>
          </w:tcPr>
          <w:p>
            <w:pPr>
              <w:pStyle w:val="TableParagraph"/>
              <w:spacing w:before="18"/>
              <w:ind w:left="35" w:right="41"/>
              <w:rPr>
                <w:sz w:val="18"/>
              </w:rPr>
            </w:pPr>
            <w:r>
              <w:rPr>
                <w:sz w:val="18"/>
              </w:rPr>
              <w:t>Payments for financial assets</w:t>
            </w:r>
          </w:p>
        </w:tc>
        <w:tc>
          <w:tcPr>
            <w:tcW w:w="691" w:type="dxa"/>
          </w:tcPr>
          <w:p>
            <w:pPr/>
          </w:p>
        </w:tc>
        <w:tc>
          <w:tcPr>
            <w:tcW w:w="1696" w:type="dxa"/>
          </w:tcPr>
          <w:p>
            <w:pPr>
              <w:pStyle w:val="TableParagraph"/>
              <w:spacing w:before="20"/>
              <w:ind w:right="258"/>
              <w:jc w:val="right"/>
              <w:rPr>
                <w:b/>
                <w:sz w:val="18"/>
              </w:rPr>
            </w:pPr>
            <w:r>
              <w:rPr>
                <w:b/>
                <w:w w:val="95"/>
                <w:sz w:val="18"/>
              </w:rPr>
              <w:t>(6,989)</w:t>
            </w:r>
          </w:p>
        </w:tc>
        <w:tc>
          <w:tcPr>
            <w:tcW w:w="1380" w:type="dxa"/>
          </w:tcPr>
          <w:p>
            <w:pPr>
              <w:pStyle w:val="TableParagraph"/>
              <w:spacing w:before="20"/>
              <w:ind w:right="342"/>
              <w:jc w:val="right"/>
              <w:rPr>
                <w:sz w:val="18"/>
              </w:rPr>
            </w:pPr>
            <w:r>
              <w:rPr>
                <w:w w:val="95"/>
                <w:sz w:val="18"/>
              </w:rPr>
              <w:t>(7,915)</w:t>
            </w:r>
          </w:p>
        </w:tc>
        <w:tc>
          <w:tcPr>
            <w:tcW w:w="1380" w:type="dxa"/>
          </w:tcPr>
          <w:p>
            <w:pPr>
              <w:pStyle w:val="TableParagraph"/>
              <w:spacing w:before="20"/>
              <w:ind w:right="258"/>
              <w:jc w:val="right"/>
              <w:rPr>
                <w:b/>
                <w:sz w:val="18"/>
              </w:rPr>
            </w:pPr>
            <w:r>
              <w:rPr>
                <w:b/>
                <w:w w:val="95"/>
                <w:sz w:val="18"/>
              </w:rPr>
              <w:t>(6,989)</w:t>
            </w:r>
          </w:p>
        </w:tc>
        <w:tc>
          <w:tcPr>
            <w:tcW w:w="1064" w:type="dxa"/>
          </w:tcPr>
          <w:p>
            <w:pPr>
              <w:pStyle w:val="TableParagraph"/>
              <w:spacing w:before="20"/>
              <w:ind w:right="26"/>
              <w:jc w:val="right"/>
              <w:rPr>
                <w:sz w:val="18"/>
              </w:rPr>
            </w:pPr>
            <w:r>
              <w:rPr>
                <w:w w:val="95"/>
                <w:sz w:val="18"/>
              </w:rPr>
              <w:t>(7,915)</w:t>
            </w:r>
          </w:p>
        </w:tc>
      </w:tr>
      <w:tr>
        <w:trPr>
          <w:trHeight w:val="264" w:hRule="exact"/>
        </w:trPr>
        <w:tc>
          <w:tcPr>
            <w:tcW w:w="3700" w:type="dxa"/>
          </w:tcPr>
          <w:p>
            <w:pPr>
              <w:pStyle w:val="TableParagraph"/>
              <w:spacing w:before="18"/>
              <w:ind w:left="35" w:right="41"/>
              <w:rPr>
                <w:sz w:val="18"/>
              </w:rPr>
            </w:pPr>
            <w:r>
              <w:rPr>
                <w:sz w:val="18"/>
              </w:rPr>
              <w:t>Loans to related parties</w:t>
            </w:r>
          </w:p>
        </w:tc>
        <w:tc>
          <w:tcPr>
            <w:tcW w:w="691" w:type="dxa"/>
          </w:tcPr>
          <w:p>
            <w:pPr/>
          </w:p>
        </w:tc>
        <w:tc>
          <w:tcPr>
            <w:tcW w:w="1696" w:type="dxa"/>
          </w:tcPr>
          <w:p>
            <w:pPr>
              <w:pStyle w:val="TableParagraph"/>
              <w:spacing w:before="20"/>
              <w:ind w:right="318"/>
              <w:jc w:val="right"/>
              <w:rPr>
                <w:b/>
                <w:sz w:val="18"/>
              </w:rPr>
            </w:pPr>
            <w:r>
              <w:rPr>
                <w:b/>
                <w:w w:val="99"/>
                <w:sz w:val="18"/>
              </w:rPr>
              <w:t>-</w:t>
            </w:r>
          </w:p>
        </w:tc>
        <w:tc>
          <w:tcPr>
            <w:tcW w:w="1380" w:type="dxa"/>
          </w:tcPr>
          <w:p>
            <w:pPr>
              <w:pStyle w:val="TableParagraph"/>
              <w:spacing w:before="20"/>
              <w:ind w:right="402"/>
              <w:jc w:val="right"/>
              <w:rPr>
                <w:sz w:val="18"/>
              </w:rPr>
            </w:pPr>
            <w:r>
              <w:rPr>
                <w:w w:val="99"/>
                <w:sz w:val="18"/>
              </w:rPr>
              <w:t>-</w:t>
            </w:r>
          </w:p>
        </w:tc>
        <w:tc>
          <w:tcPr>
            <w:tcW w:w="1380" w:type="dxa"/>
          </w:tcPr>
          <w:p>
            <w:pPr>
              <w:pStyle w:val="TableParagraph"/>
              <w:spacing w:before="20"/>
              <w:ind w:right="258"/>
              <w:jc w:val="right"/>
              <w:rPr>
                <w:b/>
                <w:sz w:val="18"/>
              </w:rPr>
            </w:pPr>
            <w:r>
              <w:rPr>
                <w:b/>
                <w:sz w:val="18"/>
              </w:rPr>
              <w:t>(450)</w:t>
            </w:r>
          </w:p>
        </w:tc>
        <w:tc>
          <w:tcPr>
            <w:tcW w:w="1064" w:type="dxa"/>
          </w:tcPr>
          <w:p>
            <w:pPr>
              <w:pStyle w:val="TableParagraph"/>
              <w:spacing w:before="20"/>
              <w:ind w:right="26"/>
              <w:jc w:val="right"/>
              <w:rPr>
                <w:sz w:val="18"/>
              </w:rPr>
            </w:pPr>
            <w:r>
              <w:rPr>
                <w:sz w:val="18"/>
              </w:rPr>
              <w:t>(841)</w:t>
            </w:r>
          </w:p>
        </w:tc>
      </w:tr>
      <w:tr>
        <w:trPr>
          <w:trHeight w:val="262" w:hRule="exact"/>
        </w:trPr>
        <w:tc>
          <w:tcPr>
            <w:tcW w:w="3700" w:type="dxa"/>
          </w:tcPr>
          <w:p>
            <w:pPr>
              <w:pStyle w:val="TableParagraph"/>
              <w:spacing w:before="18"/>
              <w:ind w:left="35" w:right="41"/>
              <w:rPr>
                <w:sz w:val="18"/>
              </w:rPr>
            </w:pPr>
            <w:r>
              <w:rPr>
                <w:sz w:val="18"/>
              </w:rPr>
              <w:t>Repayment of loans by related parties</w:t>
            </w:r>
          </w:p>
        </w:tc>
        <w:tc>
          <w:tcPr>
            <w:tcW w:w="691" w:type="dxa"/>
          </w:tcPr>
          <w:p>
            <w:pPr/>
          </w:p>
        </w:tc>
        <w:tc>
          <w:tcPr>
            <w:tcW w:w="1696" w:type="dxa"/>
            <w:tcBorders>
              <w:bottom w:val="single" w:sz="1" w:space="0" w:color="000000"/>
            </w:tcBorders>
          </w:tcPr>
          <w:p>
            <w:pPr>
              <w:pStyle w:val="TableParagraph"/>
              <w:spacing w:before="20"/>
              <w:ind w:right="318"/>
              <w:jc w:val="right"/>
              <w:rPr>
                <w:b/>
                <w:sz w:val="18"/>
              </w:rPr>
            </w:pPr>
            <w:r>
              <w:rPr>
                <w:b/>
                <w:w w:val="99"/>
                <w:sz w:val="18"/>
              </w:rPr>
              <w:t>-</w:t>
            </w:r>
          </w:p>
        </w:tc>
        <w:tc>
          <w:tcPr>
            <w:tcW w:w="1380" w:type="dxa"/>
            <w:tcBorders>
              <w:bottom w:val="single" w:sz="1" w:space="0" w:color="000000"/>
            </w:tcBorders>
          </w:tcPr>
          <w:p>
            <w:pPr>
              <w:pStyle w:val="TableParagraph"/>
              <w:spacing w:before="20"/>
              <w:ind w:right="402"/>
              <w:jc w:val="right"/>
              <w:rPr>
                <w:sz w:val="18"/>
              </w:rPr>
            </w:pPr>
            <w:r>
              <w:rPr>
                <w:w w:val="99"/>
                <w:sz w:val="18"/>
              </w:rPr>
              <w:t>-</w:t>
            </w:r>
          </w:p>
        </w:tc>
        <w:tc>
          <w:tcPr>
            <w:tcW w:w="1380" w:type="dxa"/>
            <w:tcBorders>
              <w:bottom w:val="single" w:sz="1" w:space="0" w:color="000000"/>
            </w:tcBorders>
          </w:tcPr>
          <w:p>
            <w:pPr>
              <w:pStyle w:val="TableParagraph"/>
              <w:spacing w:before="20"/>
              <w:ind w:right="318"/>
              <w:jc w:val="right"/>
              <w:rPr>
                <w:b/>
                <w:sz w:val="18"/>
              </w:rPr>
            </w:pPr>
            <w:r>
              <w:rPr>
                <w:b/>
                <w:w w:val="95"/>
                <w:sz w:val="18"/>
              </w:rPr>
              <w:t>1,432</w:t>
            </w:r>
          </w:p>
        </w:tc>
        <w:tc>
          <w:tcPr>
            <w:tcW w:w="1064" w:type="dxa"/>
            <w:tcBorders>
              <w:bottom w:val="single" w:sz="1" w:space="0" w:color="000000"/>
            </w:tcBorders>
          </w:tcPr>
          <w:p>
            <w:pPr>
              <w:pStyle w:val="TableParagraph"/>
              <w:spacing w:before="20"/>
              <w:ind w:right="87"/>
              <w:jc w:val="right"/>
              <w:rPr>
                <w:sz w:val="18"/>
              </w:rPr>
            </w:pPr>
            <w:r>
              <w:rPr>
                <w:w w:val="95"/>
                <w:sz w:val="18"/>
              </w:rPr>
              <w:t>1,191</w:t>
            </w:r>
          </w:p>
        </w:tc>
      </w:tr>
      <w:tr>
        <w:trPr>
          <w:trHeight w:val="338" w:hRule="exact"/>
        </w:trPr>
        <w:tc>
          <w:tcPr>
            <w:tcW w:w="3700" w:type="dxa"/>
          </w:tcPr>
          <w:p>
            <w:pPr>
              <w:pStyle w:val="TableParagraph"/>
              <w:spacing w:before="38"/>
              <w:ind w:left="34" w:right="41"/>
              <w:rPr>
                <w:b/>
                <w:sz w:val="18"/>
              </w:rPr>
            </w:pPr>
            <w:r>
              <w:rPr>
                <w:b/>
                <w:sz w:val="18"/>
              </w:rPr>
              <w:t>Net cash used in investing activities</w:t>
            </w:r>
          </w:p>
        </w:tc>
        <w:tc>
          <w:tcPr>
            <w:tcW w:w="691" w:type="dxa"/>
          </w:tcPr>
          <w:p>
            <w:pPr/>
          </w:p>
        </w:tc>
        <w:tc>
          <w:tcPr>
            <w:tcW w:w="1696" w:type="dxa"/>
            <w:tcBorders>
              <w:top w:val="single" w:sz="1" w:space="0" w:color="000000"/>
              <w:bottom w:val="single" w:sz="1" w:space="0" w:color="000000"/>
            </w:tcBorders>
          </w:tcPr>
          <w:p>
            <w:pPr>
              <w:pStyle w:val="TableParagraph"/>
              <w:spacing w:before="124"/>
              <w:ind w:right="258"/>
              <w:jc w:val="right"/>
              <w:rPr>
                <w:b/>
                <w:sz w:val="18"/>
              </w:rPr>
            </w:pPr>
            <w:r>
              <w:rPr>
                <w:b/>
                <w:w w:val="95"/>
                <w:sz w:val="18"/>
              </w:rPr>
              <w:t>(43,269)</w:t>
            </w:r>
          </w:p>
        </w:tc>
        <w:tc>
          <w:tcPr>
            <w:tcW w:w="1380" w:type="dxa"/>
            <w:tcBorders>
              <w:top w:val="single" w:sz="1" w:space="0" w:color="000000"/>
              <w:bottom w:val="single" w:sz="1" w:space="0" w:color="000000"/>
            </w:tcBorders>
          </w:tcPr>
          <w:p>
            <w:pPr>
              <w:pStyle w:val="TableParagraph"/>
              <w:spacing w:before="124"/>
              <w:ind w:right="342"/>
              <w:jc w:val="right"/>
              <w:rPr>
                <w:sz w:val="18"/>
              </w:rPr>
            </w:pPr>
            <w:r>
              <w:rPr>
                <w:w w:val="95"/>
                <w:sz w:val="18"/>
              </w:rPr>
              <w:t>(116,317)</w:t>
            </w:r>
          </w:p>
        </w:tc>
        <w:tc>
          <w:tcPr>
            <w:tcW w:w="1380" w:type="dxa"/>
            <w:tcBorders>
              <w:top w:val="single" w:sz="1" w:space="0" w:color="000000"/>
              <w:bottom w:val="single" w:sz="1" w:space="0" w:color="000000"/>
            </w:tcBorders>
          </w:tcPr>
          <w:p>
            <w:pPr>
              <w:pStyle w:val="TableParagraph"/>
              <w:spacing w:before="124"/>
              <w:ind w:right="258"/>
              <w:jc w:val="right"/>
              <w:rPr>
                <w:b/>
                <w:sz w:val="18"/>
              </w:rPr>
            </w:pPr>
            <w:r>
              <w:rPr>
                <w:b/>
                <w:w w:val="95"/>
                <w:sz w:val="18"/>
              </w:rPr>
              <w:t>(42,434)</w:t>
            </w:r>
          </w:p>
        </w:tc>
        <w:tc>
          <w:tcPr>
            <w:tcW w:w="1064" w:type="dxa"/>
            <w:tcBorders>
              <w:top w:val="single" w:sz="1" w:space="0" w:color="000000"/>
              <w:bottom w:val="single" w:sz="1" w:space="0" w:color="000000"/>
            </w:tcBorders>
          </w:tcPr>
          <w:p>
            <w:pPr>
              <w:pStyle w:val="TableParagraph"/>
              <w:spacing w:before="124"/>
              <w:ind w:right="26"/>
              <w:jc w:val="right"/>
              <w:rPr>
                <w:sz w:val="18"/>
              </w:rPr>
            </w:pPr>
            <w:r>
              <w:rPr>
                <w:w w:val="95"/>
                <w:sz w:val="18"/>
              </w:rPr>
              <w:t>(114,825)</w:t>
            </w:r>
          </w:p>
        </w:tc>
      </w:tr>
      <w:tr>
        <w:trPr>
          <w:trHeight w:val="634" w:hRule="exact"/>
        </w:trPr>
        <w:tc>
          <w:tcPr>
            <w:tcW w:w="3700" w:type="dxa"/>
          </w:tcPr>
          <w:p>
            <w:pPr>
              <w:pStyle w:val="TableParagraph"/>
              <w:rPr>
                <w:b/>
                <w:sz w:val="18"/>
              </w:rPr>
            </w:pPr>
          </w:p>
          <w:p>
            <w:pPr>
              <w:pStyle w:val="TableParagraph"/>
              <w:spacing w:before="4"/>
              <w:rPr>
                <w:b/>
                <w:sz w:val="18"/>
              </w:rPr>
            </w:pPr>
          </w:p>
          <w:p>
            <w:pPr>
              <w:pStyle w:val="TableParagraph"/>
              <w:ind w:left="35" w:right="41"/>
              <w:rPr>
                <w:b/>
                <w:sz w:val="18"/>
              </w:rPr>
            </w:pPr>
            <w:r>
              <w:rPr>
                <w:b/>
                <w:sz w:val="18"/>
              </w:rPr>
              <w:t>CASH FLOWS FROM FINANCING</w:t>
            </w:r>
          </w:p>
        </w:tc>
        <w:tc>
          <w:tcPr>
            <w:tcW w:w="691" w:type="dxa"/>
          </w:tcPr>
          <w:p>
            <w:pPr/>
          </w:p>
        </w:tc>
        <w:tc>
          <w:tcPr>
            <w:tcW w:w="1696"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64" w:type="dxa"/>
            <w:tcBorders>
              <w:top w:val="single" w:sz="1" w:space="0" w:color="000000"/>
            </w:tcBorders>
          </w:tcPr>
          <w:p>
            <w:pPr/>
          </w:p>
        </w:tc>
      </w:tr>
      <w:tr>
        <w:trPr>
          <w:trHeight w:val="220" w:hRule="exact"/>
        </w:trPr>
        <w:tc>
          <w:tcPr>
            <w:tcW w:w="3700" w:type="dxa"/>
          </w:tcPr>
          <w:p>
            <w:pPr>
              <w:pStyle w:val="TableParagraph"/>
              <w:spacing w:line="197" w:lineRule="exact"/>
              <w:ind w:left="35" w:right="41"/>
              <w:rPr>
                <w:b/>
                <w:sz w:val="18"/>
              </w:rPr>
            </w:pPr>
            <w:r>
              <w:rPr>
                <w:b/>
                <w:sz w:val="18"/>
              </w:rPr>
              <w:t>ACTIVITIES</w:t>
            </w:r>
          </w:p>
        </w:tc>
        <w:tc>
          <w:tcPr>
            <w:tcW w:w="691" w:type="dxa"/>
          </w:tcPr>
          <w:p>
            <w:pPr/>
          </w:p>
        </w:tc>
        <w:tc>
          <w:tcPr>
            <w:tcW w:w="1696" w:type="dxa"/>
          </w:tcPr>
          <w:p>
            <w:pPr/>
          </w:p>
        </w:tc>
        <w:tc>
          <w:tcPr>
            <w:tcW w:w="1380" w:type="dxa"/>
          </w:tcPr>
          <w:p>
            <w:pPr/>
          </w:p>
        </w:tc>
        <w:tc>
          <w:tcPr>
            <w:tcW w:w="1380" w:type="dxa"/>
          </w:tcPr>
          <w:p>
            <w:pPr/>
          </w:p>
        </w:tc>
        <w:tc>
          <w:tcPr>
            <w:tcW w:w="1064" w:type="dxa"/>
          </w:tcPr>
          <w:p>
            <w:pPr/>
          </w:p>
        </w:tc>
      </w:tr>
      <w:tr>
        <w:trPr>
          <w:trHeight w:val="250" w:hRule="exact"/>
        </w:trPr>
        <w:tc>
          <w:tcPr>
            <w:tcW w:w="3700" w:type="dxa"/>
          </w:tcPr>
          <w:p>
            <w:pPr>
              <w:pStyle w:val="TableParagraph"/>
              <w:spacing w:before="3"/>
              <w:ind w:left="35" w:right="41"/>
              <w:rPr>
                <w:sz w:val="18"/>
              </w:rPr>
            </w:pPr>
            <w:r>
              <w:rPr>
                <w:sz w:val="18"/>
              </w:rPr>
              <w:t>Proceeds from borrowings</w:t>
            </w:r>
          </w:p>
        </w:tc>
        <w:tc>
          <w:tcPr>
            <w:tcW w:w="691" w:type="dxa"/>
          </w:tcPr>
          <w:p>
            <w:pPr/>
          </w:p>
        </w:tc>
        <w:tc>
          <w:tcPr>
            <w:tcW w:w="1696" w:type="dxa"/>
          </w:tcPr>
          <w:p>
            <w:pPr>
              <w:pStyle w:val="TableParagraph"/>
              <w:spacing w:before="6"/>
              <w:ind w:right="318"/>
              <w:jc w:val="right"/>
              <w:rPr>
                <w:b/>
                <w:sz w:val="18"/>
              </w:rPr>
            </w:pPr>
            <w:r>
              <w:rPr>
                <w:b/>
                <w:w w:val="95"/>
                <w:sz w:val="18"/>
              </w:rPr>
              <w:t>437,500</w:t>
            </w:r>
          </w:p>
        </w:tc>
        <w:tc>
          <w:tcPr>
            <w:tcW w:w="1380" w:type="dxa"/>
          </w:tcPr>
          <w:p>
            <w:pPr>
              <w:pStyle w:val="TableParagraph"/>
              <w:spacing w:before="6"/>
              <w:ind w:left="320"/>
              <w:rPr>
                <w:sz w:val="18"/>
              </w:rPr>
            </w:pPr>
            <w:r>
              <w:rPr>
                <w:sz w:val="18"/>
              </w:rPr>
              <w:t>493,500</w:t>
            </w:r>
          </w:p>
        </w:tc>
        <w:tc>
          <w:tcPr>
            <w:tcW w:w="1380" w:type="dxa"/>
          </w:tcPr>
          <w:p>
            <w:pPr>
              <w:pStyle w:val="TableParagraph"/>
              <w:spacing w:before="6"/>
              <w:ind w:right="318"/>
              <w:jc w:val="right"/>
              <w:rPr>
                <w:b/>
                <w:sz w:val="18"/>
              </w:rPr>
            </w:pPr>
            <w:r>
              <w:rPr>
                <w:b/>
                <w:w w:val="95"/>
                <w:sz w:val="18"/>
              </w:rPr>
              <w:t>448,159</w:t>
            </w:r>
          </w:p>
        </w:tc>
        <w:tc>
          <w:tcPr>
            <w:tcW w:w="1064" w:type="dxa"/>
          </w:tcPr>
          <w:p>
            <w:pPr>
              <w:pStyle w:val="TableParagraph"/>
              <w:spacing w:before="6"/>
              <w:ind w:left="320"/>
              <w:rPr>
                <w:sz w:val="18"/>
              </w:rPr>
            </w:pPr>
            <w:r>
              <w:rPr>
                <w:sz w:val="18"/>
              </w:rPr>
              <w:t>498,572</w:t>
            </w:r>
          </w:p>
        </w:tc>
      </w:tr>
      <w:tr>
        <w:trPr>
          <w:trHeight w:val="262" w:hRule="exact"/>
        </w:trPr>
        <w:tc>
          <w:tcPr>
            <w:tcW w:w="3700" w:type="dxa"/>
          </w:tcPr>
          <w:p>
            <w:pPr>
              <w:pStyle w:val="TableParagraph"/>
              <w:spacing w:before="18"/>
              <w:ind w:left="35" w:right="41"/>
              <w:rPr>
                <w:sz w:val="18"/>
              </w:rPr>
            </w:pPr>
            <w:r>
              <w:rPr>
                <w:sz w:val="18"/>
              </w:rPr>
              <w:t>Repayment of borrowings</w:t>
            </w:r>
          </w:p>
        </w:tc>
        <w:tc>
          <w:tcPr>
            <w:tcW w:w="691" w:type="dxa"/>
          </w:tcPr>
          <w:p>
            <w:pPr/>
          </w:p>
        </w:tc>
        <w:tc>
          <w:tcPr>
            <w:tcW w:w="1696" w:type="dxa"/>
            <w:tcBorders>
              <w:bottom w:val="single" w:sz="1" w:space="0" w:color="000000"/>
            </w:tcBorders>
          </w:tcPr>
          <w:p>
            <w:pPr>
              <w:pStyle w:val="TableParagraph"/>
              <w:spacing w:before="20"/>
              <w:ind w:right="258"/>
              <w:jc w:val="right"/>
              <w:rPr>
                <w:b/>
                <w:sz w:val="18"/>
              </w:rPr>
            </w:pPr>
            <w:r>
              <w:rPr>
                <w:b/>
                <w:w w:val="95"/>
                <w:sz w:val="18"/>
              </w:rPr>
              <w:t>(429,000)</w:t>
            </w:r>
          </w:p>
        </w:tc>
        <w:tc>
          <w:tcPr>
            <w:tcW w:w="1380" w:type="dxa"/>
            <w:tcBorders>
              <w:bottom w:val="single" w:sz="1" w:space="0" w:color="000000"/>
            </w:tcBorders>
          </w:tcPr>
          <w:p>
            <w:pPr>
              <w:pStyle w:val="TableParagraph"/>
              <w:spacing w:before="20"/>
              <w:ind w:right="342"/>
              <w:jc w:val="right"/>
              <w:rPr>
                <w:sz w:val="18"/>
              </w:rPr>
            </w:pPr>
            <w:r>
              <w:rPr>
                <w:w w:val="95"/>
                <w:sz w:val="18"/>
              </w:rPr>
              <w:t>(414,000)</w:t>
            </w:r>
          </w:p>
        </w:tc>
        <w:tc>
          <w:tcPr>
            <w:tcW w:w="1380" w:type="dxa"/>
            <w:tcBorders>
              <w:bottom w:val="single" w:sz="1" w:space="0" w:color="000000"/>
            </w:tcBorders>
          </w:tcPr>
          <w:p>
            <w:pPr>
              <w:pStyle w:val="TableParagraph"/>
              <w:spacing w:before="20"/>
              <w:ind w:right="258"/>
              <w:jc w:val="right"/>
              <w:rPr>
                <w:b/>
                <w:sz w:val="18"/>
              </w:rPr>
            </w:pPr>
            <w:r>
              <w:rPr>
                <w:b/>
                <w:w w:val="95"/>
                <w:sz w:val="18"/>
              </w:rPr>
              <w:t>(437,885)</w:t>
            </w:r>
          </w:p>
        </w:tc>
        <w:tc>
          <w:tcPr>
            <w:tcW w:w="1064" w:type="dxa"/>
            <w:tcBorders>
              <w:bottom w:val="single" w:sz="1" w:space="0" w:color="000000"/>
            </w:tcBorders>
          </w:tcPr>
          <w:p>
            <w:pPr>
              <w:pStyle w:val="TableParagraph"/>
              <w:spacing w:before="20"/>
              <w:ind w:right="26"/>
              <w:jc w:val="right"/>
              <w:rPr>
                <w:sz w:val="18"/>
              </w:rPr>
            </w:pPr>
            <w:r>
              <w:rPr>
                <w:w w:val="95"/>
                <w:sz w:val="18"/>
              </w:rPr>
              <w:t>(419,664)</w:t>
            </w:r>
          </w:p>
        </w:tc>
      </w:tr>
      <w:tr>
        <w:trPr>
          <w:trHeight w:val="338" w:hRule="exact"/>
        </w:trPr>
        <w:tc>
          <w:tcPr>
            <w:tcW w:w="3700" w:type="dxa"/>
          </w:tcPr>
          <w:p>
            <w:pPr>
              <w:pStyle w:val="TableParagraph"/>
              <w:spacing w:before="38"/>
              <w:ind w:left="35" w:right="41"/>
              <w:rPr>
                <w:b/>
                <w:sz w:val="18"/>
              </w:rPr>
            </w:pPr>
            <w:r>
              <w:rPr>
                <w:b/>
                <w:sz w:val="18"/>
              </w:rPr>
              <w:t>Net cash provided by financing activities</w:t>
            </w:r>
          </w:p>
        </w:tc>
        <w:tc>
          <w:tcPr>
            <w:tcW w:w="691" w:type="dxa"/>
          </w:tcPr>
          <w:p>
            <w:pPr>
              <w:pStyle w:val="TableParagraph"/>
              <w:spacing w:before="41"/>
              <w:ind w:left="141"/>
              <w:rPr>
                <w:sz w:val="18"/>
              </w:rPr>
            </w:pPr>
            <w:r>
              <w:rPr>
                <w:sz w:val="18"/>
              </w:rPr>
              <w:t>26</w:t>
            </w:r>
          </w:p>
        </w:tc>
        <w:tc>
          <w:tcPr>
            <w:tcW w:w="1696" w:type="dxa"/>
            <w:tcBorders>
              <w:top w:val="single" w:sz="1" w:space="0" w:color="000000"/>
              <w:bottom w:val="single" w:sz="1" w:space="0" w:color="000000"/>
            </w:tcBorders>
          </w:tcPr>
          <w:p>
            <w:pPr>
              <w:pStyle w:val="TableParagraph"/>
              <w:spacing w:before="124"/>
              <w:ind w:right="318"/>
              <w:jc w:val="right"/>
              <w:rPr>
                <w:b/>
                <w:sz w:val="18"/>
              </w:rPr>
            </w:pPr>
            <w:r>
              <w:rPr>
                <w:b/>
                <w:w w:val="95"/>
                <w:sz w:val="18"/>
              </w:rPr>
              <w:t>8,500</w:t>
            </w:r>
          </w:p>
        </w:tc>
        <w:tc>
          <w:tcPr>
            <w:tcW w:w="1380" w:type="dxa"/>
            <w:tcBorders>
              <w:top w:val="single" w:sz="1" w:space="0" w:color="000000"/>
              <w:bottom w:val="single" w:sz="1" w:space="0" w:color="000000"/>
            </w:tcBorders>
          </w:tcPr>
          <w:p>
            <w:pPr>
              <w:pStyle w:val="TableParagraph"/>
              <w:spacing w:before="124"/>
              <w:ind w:left="421"/>
              <w:rPr>
                <w:sz w:val="18"/>
              </w:rPr>
            </w:pPr>
            <w:r>
              <w:rPr>
                <w:sz w:val="18"/>
              </w:rPr>
              <w:t>79,500</w:t>
            </w:r>
          </w:p>
        </w:tc>
        <w:tc>
          <w:tcPr>
            <w:tcW w:w="1380" w:type="dxa"/>
            <w:tcBorders>
              <w:top w:val="single" w:sz="1" w:space="0" w:color="000000"/>
              <w:bottom w:val="single" w:sz="1" w:space="0" w:color="000000"/>
            </w:tcBorders>
          </w:tcPr>
          <w:p>
            <w:pPr>
              <w:pStyle w:val="TableParagraph"/>
              <w:spacing w:before="124"/>
              <w:ind w:right="318"/>
              <w:jc w:val="right"/>
              <w:rPr>
                <w:b/>
                <w:sz w:val="18"/>
              </w:rPr>
            </w:pPr>
            <w:r>
              <w:rPr>
                <w:b/>
                <w:w w:val="95"/>
                <w:sz w:val="18"/>
              </w:rPr>
              <w:t>10,274</w:t>
            </w:r>
          </w:p>
        </w:tc>
        <w:tc>
          <w:tcPr>
            <w:tcW w:w="1064" w:type="dxa"/>
            <w:tcBorders>
              <w:top w:val="single" w:sz="1" w:space="0" w:color="000000"/>
              <w:bottom w:val="single" w:sz="1" w:space="0" w:color="000000"/>
            </w:tcBorders>
          </w:tcPr>
          <w:p>
            <w:pPr>
              <w:pStyle w:val="TableParagraph"/>
              <w:spacing w:before="124"/>
              <w:ind w:right="87"/>
              <w:jc w:val="right"/>
              <w:rPr>
                <w:sz w:val="18"/>
              </w:rPr>
            </w:pPr>
            <w:r>
              <w:rPr>
                <w:w w:val="95"/>
                <w:sz w:val="18"/>
              </w:rPr>
              <w:t>78,908</w:t>
            </w:r>
          </w:p>
        </w:tc>
      </w:tr>
      <w:tr>
        <w:trPr>
          <w:trHeight w:val="781" w:hRule="exact"/>
        </w:trPr>
        <w:tc>
          <w:tcPr>
            <w:tcW w:w="3700" w:type="dxa"/>
          </w:tcPr>
          <w:p>
            <w:pPr>
              <w:pStyle w:val="TableParagraph"/>
              <w:rPr>
                <w:b/>
                <w:sz w:val="18"/>
              </w:rPr>
            </w:pPr>
          </w:p>
          <w:p>
            <w:pPr>
              <w:pStyle w:val="TableParagraph"/>
              <w:spacing w:before="124"/>
              <w:ind w:left="35" w:right="1073"/>
              <w:rPr>
                <w:b/>
                <w:sz w:val="18"/>
              </w:rPr>
            </w:pPr>
            <w:r>
              <w:rPr>
                <w:b/>
                <w:sz w:val="18"/>
              </w:rPr>
              <w:t>Net increase in cash and cash equivalents</w:t>
            </w:r>
          </w:p>
        </w:tc>
        <w:tc>
          <w:tcPr>
            <w:tcW w:w="691" w:type="dxa"/>
          </w:tcPr>
          <w:p>
            <w:pPr/>
          </w:p>
        </w:tc>
        <w:tc>
          <w:tcPr>
            <w:tcW w:w="1696" w:type="dxa"/>
            <w:tcBorders>
              <w:top w:val="single" w:sz="1" w:space="0" w:color="000000"/>
            </w:tcBorders>
          </w:tcPr>
          <w:p>
            <w:pPr>
              <w:pStyle w:val="TableParagraph"/>
              <w:rPr>
                <w:b/>
                <w:sz w:val="18"/>
              </w:rPr>
            </w:pPr>
          </w:p>
          <w:p>
            <w:pPr>
              <w:pStyle w:val="TableParagraph"/>
              <w:rPr>
                <w:b/>
                <w:sz w:val="18"/>
              </w:rPr>
            </w:pPr>
          </w:p>
          <w:p>
            <w:pPr>
              <w:pStyle w:val="TableParagraph"/>
              <w:spacing w:before="120"/>
              <w:ind w:right="318"/>
              <w:jc w:val="right"/>
              <w:rPr>
                <w:b/>
                <w:sz w:val="18"/>
              </w:rPr>
            </w:pPr>
            <w:r>
              <w:rPr>
                <w:b/>
                <w:w w:val="95"/>
                <w:sz w:val="18"/>
              </w:rPr>
              <w:t>82,523</w:t>
            </w:r>
          </w:p>
        </w:tc>
        <w:tc>
          <w:tcPr>
            <w:tcW w:w="1380" w:type="dxa"/>
            <w:tcBorders>
              <w:top w:val="single" w:sz="1" w:space="0" w:color="000000"/>
            </w:tcBorders>
          </w:tcPr>
          <w:p>
            <w:pPr>
              <w:pStyle w:val="TableParagraph"/>
              <w:rPr>
                <w:b/>
                <w:sz w:val="18"/>
              </w:rPr>
            </w:pPr>
          </w:p>
          <w:p>
            <w:pPr>
              <w:pStyle w:val="TableParagraph"/>
              <w:rPr>
                <w:b/>
                <w:sz w:val="18"/>
              </w:rPr>
            </w:pPr>
          </w:p>
          <w:p>
            <w:pPr>
              <w:pStyle w:val="TableParagraph"/>
              <w:spacing w:before="120"/>
              <w:ind w:left="521"/>
              <w:rPr>
                <w:sz w:val="18"/>
              </w:rPr>
            </w:pPr>
            <w:r>
              <w:rPr>
                <w:sz w:val="18"/>
              </w:rPr>
              <w:t>6,681</w:t>
            </w:r>
          </w:p>
        </w:tc>
        <w:tc>
          <w:tcPr>
            <w:tcW w:w="1380" w:type="dxa"/>
            <w:tcBorders>
              <w:top w:val="single" w:sz="1" w:space="0" w:color="000000"/>
            </w:tcBorders>
          </w:tcPr>
          <w:p>
            <w:pPr>
              <w:pStyle w:val="TableParagraph"/>
              <w:rPr>
                <w:b/>
                <w:sz w:val="18"/>
              </w:rPr>
            </w:pPr>
          </w:p>
          <w:p>
            <w:pPr>
              <w:pStyle w:val="TableParagraph"/>
              <w:rPr>
                <w:b/>
                <w:sz w:val="18"/>
              </w:rPr>
            </w:pPr>
          </w:p>
          <w:p>
            <w:pPr>
              <w:pStyle w:val="TableParagraph"/>
              <w:spacing w:before="120"/>
              <w:ind w:right="318"/>
              <w:jc w:val="right"/>
              <w:rPr>
                <w:b/>
                <w:sz w:val="18"/>
              </w:rPr>
            </w:pPr>
            <w:r>
              <w:rPr>
                <w:b/>
                <w:w w:val="95"/>
                <w:sz w:val="18"/>
              </w:rPr>
              <w:t>83,157</w:t>
            </w:r>
          </w:p>
        </w:tc>
        <w:tc>
          <w:tcPr>
            <w:tcW w:w="1064" w:type="dxa"/>
            <w:tcBorders>
              <w:top w:val="single" w:sz="1" w:space="0" w:color="000000"/>
            </w:tcBorders>
          </w:tcPr>
          <w:p>
            <w:pPr>
              <w:pStyle w:val="TableParagraph"/>
              <w:rPr>
                <w:b/>
                <w:sz w:val="18"/>
              </w:rPr>
            </w:pPr>
          </w:p>
          <w:p>
            <w:pPr>
              <w:pStyle w:val="TableParagraph"/>
              <w:rPr>
                <w:b/>
                <w:sz w:val="18"/>
              </w:rPr>
            </w:pPr>
          </w:p>
          <w:p>
            <w:pPr>
              <w:pStyle w:val="TableParagraph"/>
              <w:spacing w:before="120"/>
              <w:ind w:right="87"/>
              <w:jc w:val="right"/>
              <w:rPr>
                <w:sz w:val="18"/>
              </w:rPr>
            </w:pPr>
            <w:r>
              <w:rPr>
                <w:w w:val="95"/>
                <w:sz w:val="18"/>
              </w:rPr>
              <w:t>6,344</w:t>
            </w:r>
          </w:p>
        </w:tc>
      </w:tr>
      <w:tr>
        <w:trPr>
          <w:trHeight w:val="463" w:hRule="exact"/>
        </w:trPr>
        <w:tc>
          <w:tcPr>
            <w:tcW w:w="3700" w:type="dxa"/>
          </w:tcPr>
          <w:p>
            <w:pPr>
              <w:pStyle w:val="TableParagraph"/>
              <w:spacing w:before="16"/>
              <w:ind w:left="35" w:right="41"/>
              <w:rPr>
                <w:sz w:val="18"/>
              </w:rPr>
            </w:pPr>
            <w:r>
              <w:rPr>
                <w:sz w:val="18"/>
              </w:rPr>
              <w:t>Cash and cash equivalents at beginning of the financial year</w:t>
            </w:r>
          </w:p>
        </w:tc>
        <w:tc>
          <w:tcPr>
            <w:tcW w:w="691" w:type="dxa"/>
          </w:tcPr>
          <w:p>
            <w:pPr/>
          </w:p>
        </w:tc>
        <w:tc>
          <w:tcPr>
            <w:tcW w:w="1696" w:type="dxa"/>
            <w:tcBorders>
              <w:bottom w:val="single" w:sz="1" w:space="0" w:color="000000"/>
            </w:tcBorders>
          </w:tcPr>
          <w:p>
            <w:pPr>
              <w:pStyle w:val="TableParagraph"/>
              <w:spacing w:before="2"/>
              <w:rPr>
                <w:b/>
                <w:sz w:val="19"/>
              </w:rPr>
            </w:pPr>
          </w:p>
          <w:p>
            <w:pPr>
              <w:pStyle w:val="TableParagraph"/>
              <w:ind w:right="318"/>
              <w:jc w:val="right"/>
              <w:rPr>
                <w:b/>
                <w:sz w:val="18"/>
              </w:rPr>
            </w:pPr>
            <w:r>
              <w:rPr>
                <w:b/>
                <w:w w:val="95"/>
                <w:sz w:val="18"/>
              </w:rPr>
              <w:t>139,225</w:t>
            </w:r>
          </w:p>
        </w:tc>
        <w:tc>
          <w:tcPr>
            <w:tcW w:w="1380" w:type="dxa"/>
            <w:tcBorders>
              <w:bottom w:val="single" w:sz="1" w:space="0" w:color="000000"/>
            </w:tcBorders>
          </w:tcPr>
          <w:p>
            <w:pPr>
              <w:pStyle w:val="TableParagraph"/>
              <w:spacing w:before="2"/>
              <w:rPr>
                <w:b/>
                <w:sz w:val="19"/>
              </w:rPr>
            </w:pPr>
          </w:p>
          <w:p>
            <w:pPr>
              <w:pStyle w:val="TableParagraph"/>
              <w:ind w:left="320"/>
              <w:rPr>
                <w:sz w:val="18"/>
              </w:rPr>
            </w:pPr>
            <w:r>
              <w:rPr>
                <w:sz w:val="18"/>
              </w:rPr>
              <w:t>132,544</w:t>
            </w:r>
          </w:p>
        </w:tc>
        <w:tc>
          <w:tcPr>
            <w:tcW w:w="1380" w:type="dxa"/>
            <w:tcBorders>
              <w:bottom w:val="single" w:sz="1" w:space="0" w:color="000000"/>
            </w:tcBorders>
          </w:tcPr>
          <w:p>
            <w:pPr>
              <w:pStyle w:val="TableParagraph"/>
              <w:spacing w:before="2"/>
              <w:rPr>
                <w:b/>
                <w:sz w:val="19"/>
              </w:rPr>
            </w:pPr>
          </w:p>
          <w:p>
            <w:pPr>
              <w:pStyle w:val="TableParagraph"/>
              <w:ind w:right="318"/>
              <w:jc w:val="right"/>
              <w:rPr>
                <w:b/>
                <w:sz w:val="18"/>
              </w:rPr>
            </w:pPr>
            <w:r>
              <w:rPr>
                <w:b/>
                <w:w w:val="95"/>
                <w:sz w:val="18"/>
              </w:rPr>
              <w:t>136,397</w:t>
            </w:r>
          </w:p>
        </w:tc>
        <w:tc>
          <w:tcPr>
            <w:tcW w:w="1064" w:type="dxa"/>
            <w:tcBorders>
              <w:bottom w:val="single" w:sz="1" w:space="0" w:color="000000"/>
            </w:tcBorders>
          </w:tcPr>
          <w:p>
            <w:pPr>
              <w:pStyle w:val="TableParagraph"/>
              <w:spacing w:before="2"/>
              <w:rPr>
                <w:b/>
                <w:sz w:val="19"/>
              </w:rPr>
            </w:pPr>
          </w:p>
          <w:p>
            <w:pPr>
              <w:pStyle w:val="TableParagraph"/>
              <w:ind w:left="320"/>
              <w:rPr>
                <w:sz w:val="18"/>
              </w:rPr>
            </w:pPr>
            <w:r>
              <w:rPr>
                <w:sz w:val="18"/>
              </w:rPr>
              <w:t>130,053</w:t>
            </w:r>
          </w:p>
        </w:tc>
      </w:tr>
      <w:tr>
        <w:trPr>
          <w:trHeight w:val="499" w:hRule="exact"/>
        </w:trPr>
        <w:tc>
          <w:tcPr>
            <w:tcW w:w="3700" w:type="dxa"/>
          </w:tcPr>
          <w:p>
            <w:pPr>
              <w:pStyle w:val="TableParagraph"/>
              <w:spacing w:before="38"/>
              <w:ind w:left="35" w:right="533"/>
              <w:rPr>
                <w:b/>
                <w:sz w:val="18"/>
              </w:rPr>
            </w:pPr>
            <w:r>
              <w:rPr>
                <w:b/>
                <w:sz w:val="18"/>
              </w:rPr>
              <w:t>Cash and cash equivalents at end of financial year</w:t>
            </w:r>
          </w:p>
        </w:tc>
        <w:tc>
          <w:tcPr>
            <w:tcW w:w="691" w:type="dxa"/>
          </w:tcPr>
          <w:p>
            <w:pPr>
              <w:pStyle w:val="TableParagraph"/>
              <w:spacing w:before="41"/>
              <w:ind w:left="141"/>
              <w:rPr>
                <w:sz w:val="18"/>
              </w:rPr>
            </w:pPr>
            <w:r>
              <w:rPr>
                <w:sz w:val="18"/>
              </w:rPr>
              <w:t>17</w:t>
            </w:r>
          </w:p>
        </w:tc>
        <w:tc>
          <w:tcPr>
            <w:tcW w:w="1696" w:type="dxa"/>
            <w:tcBorders>
              <w:top w:val="single" w:sz="1" w:space="0" w:color="000000"/>
              <w:bottom w:val="single" w:sz="1" w:space="0" w:color="000000"/>
            </w:tcBorders>
          </w:tcPr>
          <w:p>
            <w:pPr>
              <w:pStyle w:val="TableParagraph"/>
              <w:spacing w:before="5"/>
              <w:rPr>
                <w:b/>
                <w:sz w:val="23"/>
              </w:rPr>
            </w:pPr>
          </w:p>
          <w:p>
            <w:pPr>
              <w:pStyle w:val="TableParagraph"/>
              <w:spacing w:before="1"/>
              <w:ind w:right="318"/>
              <w:jc w:val="right"/>
              <w:rPr>
                <w:b/>
                <w:sz w:val="18"/>
              </w:rPr>
            </w:pPr>
            <w:r>
              <w:rPr>
                <w:b/>
                <w:w w:val="95"/>
                <w:sz w:val="18"/>
              </w:rPr>
              <w:t>221,748</w:t>
            </w:r>
          </w:p>
        </w:tc>
        <w:tc>
          <w:tcPr>
            <w:tcW w:w="1380" w:type="dxa"/>
            <w:tcBorders>
              <w:top w:val="single" w:sz="1" w:space="0" w:color="000000"/>
              <w:bottom w:val="single" w:sz="1" w:space="0" w:color="000000"/>
            </w:tcBorders>
          </w:tcPr>
          <w:p>
            <w:pPr>
              <w:pStyle w:val="TableParagraph"/>
              <w:spacing w:before="5"/>
              <w:rPr>
                <w:b/>
                <w:sz w:val="23"/>
              </w:rPr>
            </w:pPr>
          </w:p>
          <w:p>
            <w:pPr>
              <w:pStyle w:val="TableParagraph"/>
              <w:spacing w:before="1"/>
              <w:ind w:left="320"/>
              <w:rPr>
                <w:sz w:val="18"/>
              </w:rPr>
            </w:pPr>
            <w:r>
              <w:rPr>
                <w:sz w:val="18"/>
              </w:rPr>
              <w:t>139,225</w:t>
            </w:r>
          </w:p>
        </w:tc>
        <w:tc>
          <w:tcPr>
            <w:tcW w:w="1380" w:type="dxa"/>
            <w:tcBorders>
              <w:top w:val="single" w:sz="1" w:space="0" w:color="000000"/>
              <w:bottom w:val="single" w:sz="1" w:space="0" w:color="000000"/>
            </w:tcBorders>
          </w:tcPr>
          <w:p>
            <w:pPr>
              <w:pStyle w:val="TableParagraph"/>
              <w:spacing w:before="5"/>
              <w:rPr>
                <w:b/>
                <w:sz w:val="23"/>
              </w:rPr>
            </w:pPr>
          </w:p>
          <w:p>
            <w:pPr>
              <w:pStyle w:val="TableParagraph"/>
              <w:spacing w:before="1"/>
              <w:ind w:right="318"/>
              <w:jc w:val="right"/>
              <w:rPr>
                <w:b/>
                <w:sz w:val="18"/>
              </w:rPr>
            </w:pPr>
            <w:r>
              <w:rPr>
                <w:b/>
                <w:w w:val="95"/>
                <w:sz w:val="18"/>
              </w:rPr>
              <w:t>219,554</w:t>
            </w:r>
          </w:p>
        </w:tc>
        <w:tc>
          <w:tcPr>
            <w:tcW w:w="1064" w:type="dxa"/>
            <w:tcBorders>
              <w:top w:val="single" w:sz="1" w:space="0" w:color="000000"/>
              <w:bottom w:val="single" w:sz="1" w:space="0" w:color="000000"/>
            </w:tcBorders>
          </w:tcPr>
          <w:p>
            <w:pPr>
              <w:pStyle w:val="TableParagraph"/>
              <w:spacing w:before="5"/>
              <w:rPr>
                <w:b/>
                <w:sz w:val="23"/>
              </w:rPr>
            </w:pPr>
          </w:p>
          <w:p>
            <w:pPr>
              <w:pStyle w:val="TableParagraph"/>
              <w:spacing w:before="1"/>
              <w:ind w:left="320"/>
              <w:rPr>
                <w:sz w:val="18"/>
              </w:rPr>
            </w:pPr>
            <w:r>
              <w:rPr>
                <w:sz w:val="18"/>
              </w:rPr>
              <w:t>136,397</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2"/>
        </w:rPr>
      </w:pPr>
    </w:p>
    <w:p>
      <w:pPr>
        <w:pStyle w:val="BodyText"/>
        <w:spacing w:before="77"/>
        <w:ind w:left="127" w:right="161"/>
      </w:pPr>
      <w:r>
        <w:rPr/>
        <w:t>The accompanying notes form part of these financial statements.</w:t>
      </w:r>
    </w:p>
    <w:p>
      <w:pPr>
        <w:spacing w:after="0"/>
        <w:sectPr>
          <w:type w:val="continuous"/>
          <w:pgSz w:w="11910" w:h="16840"/>
          <w:pgMar w:top="1580" w:bottom="280" w:left="880" w:right="880"/>
        </w:sectPr>
      </w:pPr>
    </w:p>
    <w:p>
      <w:pPr>
        <w:pStyle w:val="BodyText"/>
        <w:rPr>
          <w:sz w:val="20"/>
        </w:rPr>
      </w:pPr>
    </w:p>
    <w:p>
      <w:pPr>
        <w:pStyle w:val="BodyText"/>
        <w:rPr>
          <w:sz w:val="20"/>
        </w:rPr>
      </w:pPr>
    </w:p>
    <w:p>
      <w:pPr>
        <w:pStyle w:val="BodyText"/>
        <w:spacing w:before="5"/>
      </w:pPr>
    </w:p>
    <w:p>
      <w:pPr>
        <w:pStyle w:val="Heading9"/>
        <w:tabs>
          <w:tab w:pos="503" w:val="left" w:leader="none"/>
        </w:tabs>
        <w:ind w:left="110" w:right="220"/>
      </w:pPr>
      <w:bookmarkStart w:name="Notes to the Financial Statements" w:id="12"/>
      <w:bookmarkEnd w:id="12"/>
      <w:r>
        <w:rPr>
          <w:b w:val="0"/>
        </w:rPr>
      </w:r>
      <w:bookmarkStart w:name="1 Summary of Significant Accounting Poli" w:id="13"/>
      <w:bookmarkEnd w:id="13"/>
      <w:r>
        <w:rPr>
          <w:b w:val="0"/>
        </w:rPr>
      </w:r>
      <w:r>
        <w:rPr/>
        <w:t>1</w:t>
        <w:tab/>
        <w:t>Summary of Significant Accounting</w:t>
      </w:r>
      <w:r>
        <w:rPr>
          <w:spacing w:val="-9"/>
        </w:rPr>
        <w:t> </w:t>
      </w:r>
      <w:r>
        <w:rPr/>
        <w:t>Policies</w:t>
      </w:r>
    </w:p>
    <w:p>
      <w:pPr>
        <w:pStyle w:val="BodyText"/>
        <w:spacing w:before="11"/>
        <w:rPr>
          <w:b/>
          <w:sz w:val="24"/>
        </w:rPr>
      </w:pPr>
    </w:p>
    <w:p>
      <w:pPr>
        <w:pStyle w:val="BodyText"/>
        <w:ind w:left="110" w:right="220"/>
      </w:pPr>
      <w:r>
        <w:rPr/>
        <w:t>The principal accounting policies adopted in the preparation of these financial statements are set out below. These policies </w:t>
      </w:r>
      <w:bookmarkStart w:name="(a) Basis of preparation " w:id="14"/>
      <w:bookmarkEnd w:id="14"/>
      <w:r>
        <w:rPr/>
      </w:r>
      <w:r>
        <w:rPr/>
        <w:t>have been consistently applied to all the years reported, unless otherwise stated. The financial statements include the separate financial statements for Western Sydney University as the parent entity (the 'University') and the consolidated entity consisting of Western Sydney University and its subsidiaries (the</w:t>
      </w:r>
      <w:r>
        <w:rPr>
          <w:spacing w:val="15"/>
        </w:rPr>
        <w:t> </w:t>
      </w:r>
      <w:r>
        <w:rPr/>
        <w:t>'Group').</w:t>
      </w:r>
    </w:p>
    <w:p>
      <w:pPr>
        <w:pStyle w:val="BodyText"/>
        <w:spacing w:before="11"/>
        <w:rPr>
          <w:sz w:val="24"/>
        </w:rPr>
      </w:pPr>
    </w:p>
    <w:p>
      <w:pPr>
        <w:pStyle w:val="BodyText"/>
        <w:ind w:left="110" w:right="220"/>
      </w:pPr>
      <w:r>
        <w:rPr/>
        <w:t>The principal place of business for Western Sydney University is Great Western Highway Kingswood NSW 2747.</w:t>
      </w:r>
    </w:p>
    <w:p>
      <w:pPr>
        <w:pStyle w:val="BodyText"/>
        <w:spacing w:before="11"/>
        <w:rPr>
          <w:sz w:val="24"/>
        </w:rPr>
      </w:pPr>
    </w:p>
    <w:p>
      <w:pPr>
        <w:pStyle w:val="Heading9"/>
        <w:numPr>
          <w:ilvl w:val="0"/>
          <w:numId w:val="2"/>
        </w:numPr>
        <w:tabs>
          <w:tab w:pos="1071" w:val="left" w:leader="none"/>
        </w:tabs>
        <w:spacing w:line="240" w:lineRule="auto" w:before="0" w:after="0"/>
        <w:ind w:left="1070" w:right="0" w:hanging="566"/>
        <w:jc w:val="both"/>
      </w:pPr>
      <w:r>
        <w:rPr/>
        <w:t>Basis of</w:t>
      </w:r>
      <w:r>
        <w:rPr>
          <w:spacing w:val="-1"/>
        </w:rPr>
        <w:t> </w:t>
      </w:r>
      <w:r>
        <w:rPr/>
        <w:t>preparation</w:t>
      </w:r>
    </w:p>
    <w:p>
      <w:pPr>
        <w:pStyle w:val="BodyText"/>
        <w:spacing w:before="11"/>
        <w:rPr>
          <w:b/>
          <w:sz w:val="24"/>
        </w:rPr>
      </w:pPr>
    </w:p>
    <w:p>
      <w:pPr>
        <w:pStyle w:val="BodyText"/>
        <w:ind w:left="503" w:right="220"/>
      </w:pPr>
      <w:r>
        <w:rPr/>
        <w:t>The annual financial statements represent the audited general purpose financial statements of Western Sydney University. They have been prepared on an accrual basis and comply with the Australian Accounting Standards.</w:t>
      </w:r>
    </w:p>
    <w:p>
      <w:pPr>
        <w:pStyle w:val="BodyText"/>
        <w:spacing w:before="11"/>
        <w:rPr>
          <w:sz w:val="24"/>
        </w:rPr>
      </w:pPr>
    </w:p>
    <w:p>
      <w:pPr>
        <w:pStyle w:val="BodyText"/>
        <w:ind w:left="503"/>
        <w:jc w:val="both"/>
      </w:pPr>
      <w:r>
        <w:rPr/>
        <w:t>The University applies Tier 1 reporting requirements.</w:t>
      </w:r>
    </w:p>
    <w:p>
      <w:pPr>
        <w:pStyle w:val="BodyText"/>
        <w:spacing w:before="11"/>
        <w:rPr>
          <w:sz w:val="24"/>
        </w:rPr>
      </w:pPr>
    </w:p>
    <w:p>
      <w:pPr>
        <w:pStyle w:val="BodyText"/>
        <w:ind w:left="503"/>
        <w:jc w:val="both"/>
      </w:pPr>
      <w:r>
        <w:rPr/>
        <w:t>Additionally the statements have been prepared to comply with the following statutory requirements:</w:t>
      </w:r>
    </w:p>
    <w:p>
      <w:pPr>
        <w:pStyle w:val="BodyText"/>
        <w:spacing w:before="11"/>
        <w:rPr>
          <w:sz w:val="24"/>
        </w:rPr>
      </w:pPr>
    </w:p>
    <w:p>
      <w:pPr>
        <w:pStyle w:val="ListParagraph"/>
        <w:numPr>
          <w:ilvl w:val="0"/>
          <w:numId w:val="3"/>
        </w:numPr>
        <w:tabs>
          <w:tab w:pos="615" w:val="left" w:leader="none"/>
        </w:tabs>
        <w:spacing w:line="240" w:lineRule="auto" w:before="0" w:after="0"/>
        <w:ind w:left="504" w:right="0" w:firstLine="0"/>
        <w:jc w:val="both"/>
        <w:rPr>
          <w:sz w:val="18"/>
        </w:rPr>
      </w:pPr>
      <w:r>
        <w:rPr>
          <w:i/>
          <w:sz w:val="18"/>
        </w:rPr>
        <w:t>Public Finance and Audit Act 1983 </w:t>
      </w:r>
      <w:r>
        <w:rPr>
          <w:sz w:val="18"/>
        </w:rPr>
        <w:t>and</w:t>
      </w:r>
      <w:r>
        <w:rPr>
          <w:spacing w:val="6"/>
          <w:sz w:val="18"/>
        </w:rPr>
        <w:t> </w:t>
      </w:r>
      <w:r>
        <w:rPr>
          <w:sz w:val="18"/>
        </w:rPr>
        <w:t>Regulation;</w:t>
      </w:r>
    </w:p>
    <w:p>
      <w:pPr>
        <w:pStyle w:val="BodyText"/>
        <w:spacing w:before="11"/>
        <w:rPr>
          <w:sz w:val="24"/>
        </w:rPr>
      </w:pPr>
    </w:p>
    <w:p>
      <w:pPr>
        <w:pStyle w:val="ListParagraph"/>
        <w:numPr>
          <w:ilvl w:val="0"/>
          <w:numId w:val="3"/>
        </w:numPr>
        <w:tabs>
          <w:tab w:pos="615" w:val="left" w:leader="none"/>
        </w:tabs>
        <w:spacing w:line="240" w:lineRule="auto" w:before="0" w:after="0"/>
        <w:ind w:left="504" w:right="114" w:firstLine="0"/>
        <w:jc w:val="left"/>
        <w:rPr>
          <w:sz w:val="18"/>
        </w:rPr>
      </w:pPr>
      <w:r>
        <w:rPr>
          <w:i/>
          <w:sz w:val="18"/>
        </w:rPr>
        <w:t>Higher Education Support Act 2003 </w:t>
      </w:r>
      <w:r>
        <w:rPr>
          <w:sz w:val="18"/>
        </w:rPr>
        <w:t>(Financial Statement Guidelines for Australian Higher Education Providers for the 2017 Reporting Period);</w:t>
      </w:r>
    </w:p>
    <w:p>
      <w:pPr>
        <w:pStyle w:val="BodyText"/>
        <w:spacing w:before="11"/>
        <w:rPr>
          <w:sz w:val="24"/>
        </w:rPr>
      </w:pPr>
    </w:p>
    <w:p>
      <w:pPr>
        <w:spacing w:before="0"/>
        <w:ind w:left="504" w:right="0" w:firstLine="0"/>
        <w:jc w:val="both"/>
        <w:rPr>
          <w:i/>
          <w:sz w:val="18"/>
        </w:rPr>
      </w:pPr>
      <w:r>
        <w:rPr>
          <w:i/>
          <w:sz w:val="18"/>
        </w:rPr>
        <w:t>- </w:t>
      </w:r>
      <w:r>
        <w:rPr>
          <w:sz w:val="18"/>
        </w:rPr>
        <w:t>The </w:t>
      </w:r>
      <w:r>
        <w:rPr>
          <w:i/>
          <w:sz w:val="18"/>
        </w:rPr>
        <w:t>Australian Charities and Not-for-profits Commission Act </w:t>
      </w:r>
      <w:r>
        <w:rPr>
          <w:sz w:val="18"/>
        </w:rPr>
        <w:t>and Regulation</w:t>
      </w:r>
      <w:r>
        <w:rPr>
          <w:i/>
          <w:sz w:val="18"/>
        </w:rPr>
        <w:t>.</w:t>
      </w:r>
    </w:p>
    <w:p>
      <w:pPr>
        <w:pStyle w:val="BodyText"/>
        <w:spacing w:before="11"/>
        <w:rPr>
          <w:i/>
          <w:sz w:val="24"/>
        </w:rPr>
      </w:pPr>
    </w:p>
    <w:p>
      <w:pPr>
        <w:pStyle w:val="BodyText"/>
        <w:ind w:left="503" w:right="220"/>
      </w:pPr>
      <w:r>
        <w:rPr/>
        <w:t>Western Sydney University is a not-for-profit entity and these statements have been prepared on that basis. Some of the Australian Accounting Standards requirements for not-for-profit entities are inconsistent with IFRS requirements.</w:t>
      </w:r>
    </w:p>
    <w:p>
      <w:pPr>
        <w:pStyle w:val="BodyText"/>
        <w:spacing w:before="11"/>
        <w:rPr>
          <w:sz w:val="24"/>
        </w:rPr>
      </w:pPr>
    </w:p>
    <w:p>
      <w:pPr>
        <w:pStyle w:val="Heading9"/>
        <w:ind w:left="503"/>
        <w:jc w:val="both"/>
      </w:pPr>
      <w:r>
        <w:rPr/>
        <w:t>Date of authorisation for issue</w:t>
      </w:r>
    </w:p>
    <w:p>
      <w:pPr>
        <w:pStyle w:val="BodyText"/>
        <w:spacing w:before="11"/>
        <w:rPr>
          <w:b/>
          <w:sz w:val="24"/>
        </w:rPr>
      </w:pPr>
    </w:p>
    <w:p>
      <w:pPr>
        <w:pStyle w:val="BodyText"/>
        <w:ind w:left="503"/>
        <w:jc w:val="both"/>
      </w:pPr>
      <w:r>
        <w:rPr/>
        <w:t>The financial statements were authorised for issue by the members of Western Sydney University on 4 April 2018.</w:t>
      </w:r>
    </w:p>
    <w:p>
      <w:pPr>
        <w:pStyle w:val="BodyText"/>
        <w:spacing w:before="11"/>
        <w:rPr>
          <w:sz w:val="24"/>
        </w:rPr>
      </w:pPr>
    </w:p>
    <w:p>
      <w:pPr>
        <w:pStyle w:val="Heading9"/>
        <w:ind w:left="503"/>
        <w:jc w:val="both"/>
      </w:pPr>
      <w:r>
        <w:rPr/>
        <w:t>Historical cost convention</w:t>
      </w:r>
    </w:p>
    <w:p>
      <w:pPr>
        <w:pStyle w:val="BodyText"/>
        <w:spacing w:before="11"/>
        <w:rPr>
          <w:b/>
          <w:sz w:val="24"/>
        </w:rPr>
      </w:pPr>
    </w:p>
    <w:p>
      <w:pPr>
        <w:pStyle w:val="BodyText"/>
        <w:ind w:left="503" w:right="160"/>
        <w:jc w:val="both"/>
      </w:pPr>
      <w:r>
        <w:rPr/>
        <w:t>These financial statements have been prepared under the historical cost convention, as modified by the revaluation of available-for-sale financial assets, financial assets and liabilities (including derivative instruments) at fair value through profit or loss, and certain classes of property, plant and equipment.</w:t>
      </w:r>
    </w:p>
    <w:p>
      <w:pPr>
        <w:spacing w:after="0"/>
        <w:jc w:val="both"/>
        <w:sectPr>
          <w:headerReference w:type="default" r:id="rId19"/>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pStyle w:val="Heading9"/>
        <w:tabs>
          <w:tab w:pos="503" w:val="left" w:leader="none"/>
        </w:tabs>
        <w:ind w:left="110" w:right="220"/>
      </w:pPr>
      <w:r>
        <w:rPr/>
        <w:t>1</w:t>
        <w:tab/>
        <w:t>Summary of Significant Accounting Policies</w:t>
      </w:r>
      <w:r>
        <w:rPr>
          <w:spacing w:val="-9"/>
        </w:rPr>
        <w:t> </w:t>
      </w:r>
      <w:r>
        <w:rPr/>
        <w:t>(continued)</w:t>
      </w:r>
    </w:p>
    <w:p>
      <w:pPr>
        <w:pStyle w:val="BodyText"/>
        <w:spacing w:before="11"/>
        <w:rPr>
          <w:b/>
          <w:sz w:val="24"/>
        </w:rPr>
      </w:pPr>
    </w:p>
    <w:p>
      <w:pPr>
        <w:pStyle w:val="ListParagraph"/>
        <w:numPr>
          <w:ilvl w:val="0"/>
          <w:numId w:val="4"/>
        </w:numPr>
        <w:tabs>
          <w:tab w:pos="1071" w:val="left" w:leader="none"/>
        </w:tabs>
        <w:spacing w:line="240" w:lineRule="auto" w:before="0" w:after="0"/>
        <w:ind w:left="1070" w:right="0" w:hanging="566"/>
        <w:jc w:val="left"/>
        <w:rPr>
          <w:b/>
          <w:sz w:val="18"/>
        </w:rPr>
      </w:pPr>
      <w:r>
        <w:rPr>
          <w:b/>
          <w:sz w:val="18"/>
        </w:rPr>
        <w:t>Basis of preparation (continued)</w:t>
      </w:r>
    </w:p>
    <w:p>
      <w:pPr>
        <w:pStyle w:val="BodyText"/>
        <w:spacing w:before="11"/>
        <w:rPr>
          <w:b/>
          <w:sz w:val="24"/>
        </w:rPr>
      </w:pPr>
    </w:p>
    <w:p>
      <w:pPr>
        <w:spacing w:before="0"/>
        <w:ind w:left="504" w:right="220" w:firstLine="0"/>
        <w:jc w:val="left"/>
        <w:rPr>
          <w:b/>
          <w:sz w:val="18"/>
        </w:rPr>
      </w:pPr>
      <w:r>
        <w:rPr>
          <w:b/>
          <w:sz w:val="18"/>
        </w:rPr>
        <w:t>Critical accounting estimates and significant judgements</w:t>
      </w:r>
    </w:p>
    <w:p>
      <w:pPr>
        <w:pStyle w:val="BodyText"/>
        <w:spacing w:before="11"/>
        <w:rPr>
          <w:b/>
          <w:sz w:val="24"/>
        </w:rPr>
      </w:pPr>
    </w:p>
    <w:p>
      <w:pPr>
        <w:pStyle w:val="BodyText"/>
        <w:ind w:left="503" w:right="220"/>
      </w:pPr>
      <w:r>
        <w:rPr/>
        <w:t>The preparation of financial statements in conformity with Australian Accounting Standards requires the use of certain critical accounting estimates. It also requires management to exercise its judgement in the process of applying Western Sydney University’s accounting policies. The estimates and underlying assumptions are reviewed on an ongoing basis.The areas involving a higher degree of judgement or complexity, or areas where assumptions and estimates are significant to the financial statements, are disclosed below:</w:t>
      </w:r>
    </w:p>
    <w:p>
      <w:pPr>
        <w:pStyle w:val="BodyText"/>
        <w:spacing w:before="11"/>
        <w:rPr>
          <w:sz w:val="24"/>
        </w:rPr>
      </w:pPr>
    </w:p>
    <w:p>
      <w:pPr>
        <w:pStyle w:val="ListParagraph"/>
        <w:numPr>
          <w:ilvl w:val="1"/>
          <w:numId w:val="4"/>
        </w:numPr>
        <w:tabs>
          <w:tab w:pos="788" w:val="left" w:leader="none"/>
        </w:tabs>
        <w:spacing w:line="240" w:lineRule="auto" w:before="0" w:after="0"/>
        <w:ind w:left="504" w:right="272" w:firstLine="101"/>
        <w:jc w:val="left"/>
        <w:rPr>
          <w:sz w:val="18"/>
        </w:rPr>
      </w:pPr>
      <w:r>
        <w:rPr>
          <w:sz w:val="18"/>
        </w:rPr>
        <w:t>Management has elected to measure land and buildings at fair value as determined by licensed valuers being Australian Valuations who have performed an independent valuation as at 31 August 2017. Plant and equipment has been measured at the written down historical costs of these assets. The valuation of land, building, plant and equipment is shown in property, plant and equipment (note 21).  For further details refer also note</w:t>
      </w:r>
      <w:r>
        <w:rPr>
          <w:spacing w:val="15"/>
          <w:sz w:val="18"/>
        </w:rPr>
        <w:t> </w:t>
      </w:r>
      <w:r>
        <w:rPr>
          <w:sz w:val="18"/>
        </w:rPr>
        <w:t>1(p).</w:t>
      </w:r>
    </w:p>
    <w:p>
      <w:pPr>
        <w:pStyle w:val="BodyText"/>
        <w:spacing w:before="11"/>
        <w:rPr>
          <w:sz w:val="24"/>
        </w:rPr>
      </w:pPr>
    </w:p>
    <w:p>
      <w:pPr>
        <w:pStyle w:val="ListParagraph"/>
        <w:numPr>
          <w:ilvl w:val="1"/>
          <w:numId w:val="4"/>
        </w:numPr>
        <w:tabs>
          <w:tab w:pos="788" w:val="left" w:leader="none"/>
        </w:tabs>
        <w:spacing w:line="240" w:lineRule="auto" w:before="0" w:after="0"/>
        <w:ind w:left="504" w:right="134" w:firstLine="101"/>
        <w:jc w:val="left"/>
        <w:rPr>
          <w:sz w:val="18"/>
        </w:rPr>
      </w:pPr>
      <w:r>
        <w:rPr>
          <w:sz w:val="18"/>
        </w:rPr>
        <w:t>Trade debtors (note 18) would generally be measured at amortised cost which will be approximated by the related nominal value. Management has assumed that there are no significant receivables with fair value materially different from nominal value and that there will be no significant delays in collecting outstanding</w:t>
      </w:r>
      <w:r>
        <w:rPr>
          <w:spacing w:val="12"/>
          <w:sz w:val="18"/>
        </w:rPr>
        <w:t> </w:t>
      </w:r>
      <w:r>
        <w:rPr>
          <w:sz w:val="18"/>
        </w:rPr>
        <w:t>amounts.</w:t>
      </w:r>
    </w:p>
    <w:p>
      <w:pPr>
        <w:pStyle w:val="BodyText"/>
        <w:spacing w:before="11"/>
        <w:rPr>
          <w:sz w:val="24"/>
        </w:rPr>
      </w:pPr>
    </w:p>
    <w:p>
      <w:pPr>
        <w:pStyle w:val="ListParagraph"/>
        <w:numPr>
          <w:ilvl w:val="1"/>
          <w:numId w:val="4"/>
        </w:numPr>
        <w:tabs>
          <w:tab w:pos="788" w:val="left" w:leader="none"/>
        </w:tabs>
        <w:spacing w:line="240" w:lineRule="auto" w:before="0" w:after="0"/>
        <w:ind w:left="504" w:right="326" w:firstLine="101"/>
        <w:jc w:val="left"/>
        <w:rPr>
          <w:sz w:val="18"/>
        </w:rPr>
      </w:pPr>
      <w:r>
        <w:rPr>
          <w:sz w:val="18"/>
        </w:rPr>
        <w:t>The University has entered into a Joint Operation with Urban Growth (note 38). Cost of goods sold has been calculated on a percentage of completion basis, taking into account lot area sold and total costs to completion of the development.</w:t>
      </w:r>
    </w:p>
    <w:p>
      <w:pPr>
        <w:pStyle w:val="BodyText"/>
        <w:spacing w:before="11"/>
        <w:rPr>
          <w:sz w:val="24"/>
        </w:rPr>
      </w:pPr>
    </w:p>
    <w:p>
      <w:pPr>
        <w:pStyle w:val="BodyText"/>
        <w:ind w:left="503" w:right="220"/>
      </w:pPr>
      <w:r>
        <w:rPr/>
        <w:t>Determining the carrying amount of provisions for employee long service leave entitlements (note 27), provision for annual leave entitlements (note 27), deferred superannuation (note 27), depreciation and useful life of buildings (note </w:t>
      </w:r>
      <w:bookmarkStart w:name="(b) Basis of consolidation " w:id="15"/>
      <w:bookmarkEnd w:id="15"/>
      <w:r>
        <w:rPr/>
      </w:r>
      <w:r>
        <w:rPr/>
        <w:t>21), and allowance for impaired receivables (note 18(a)) requires estimation of the uncertain future events on those assets and liabilities at the reporting date.</w:t>
      </w:r>
    </w:p>
    <w:p>
      <w:pPr>
        <w:pStyle w:val="BodyText"/>
        <w:spacing w:before="11"/>
        <w:rPr>
          <w:sz w:val="24"/>
        </w:rPr>
      </w:pPr>
    </w:p>
    <w:p>
      <w:pPr>
        <w:pStyle w:val="BodyText"/>
        <w:ind w:left="504" w:right="130"/>
      </w:pPr>
      <w:r>
        <w:rPr/>
        <w:t>The assumptions made in the assessment of each of the financial assets and liabilities are shown in the relevant notes to the accounts and  note 1(j), note 1(m), note 1(o), note 1(p) and note 1(x).</w:t>
      </w:r>
    </w:p>
    <w:p>
      <w:pPr>
        <w:pStyle w:val="BodyText"/>
        <w:spacing w:before="11"/>
        <w:rPr>
          <w:sz w:val="24"/>
        </w:rPr>
      </w:pPr>
    </w:p>
    <w:p>
      <w:pPr>
        <w:pStyle w:val="Heading9"/>
        <w:numPr>
          <w:ilvl w:val="0"/>
          <w:numId w:val="4"/>
        </w:numPr>
        <w:tabs>
          <w:tab w:pos="1071" w:val="left" w:leader="none"/>
        </w:tabs>
        <w:spacing w:line="240" w:lineRule="auto" w:before="0" w:after="0"/>
        <w:ind w:left="1070" w:right="0" w:hanging="566"/>
        <w:jc w:val="left"/>
      </w:pPr>
      <w:r>
        <w:rPr/>
        <w:t>Basis of consolidation</w:t>
      </w:r>
    </w:p>
    <w:p>
      <w:pPr>
        <w:pStyle w:val="BodyText"/>
        <w:spacing w:before="11"/>
        <w:rPr>
          <w:b/>
          <w:sz w:val="24"/>
        </w:rPr>
      </w:pPr>
    </w:p>
    <w:p>
      <w:pPr>
        <w:pStyle w:val="ListParagraph"/>
        <w:numPr>
          <w:ilvl w:val="0"/>
          <w:numId w:val="5"/>
        </w:numPr>
        <w:tabs>
          <w:tab w:pos="716" w:val="left" w:leader="none"/>
        </w:tabs>
        <w:spacing w:line="240" w:lineRule="auto" w:before="0" w:after="0"/>
        <w:ind w:left="715" w:right="0" w:hanging="211"/>
        <w:jc w:val="left"/>
        <w:rPr>
          <w:sz w:val="18"/>
        </w:rPr>
      </w:pPr>
      <w:r>
        <w:rPr>
          <w:sz w:val="18"/>
        </w:rPr>
        <w:t>Subsidiaries</w:t>
      </w:r>
    </w:p>
    <w:p>
      <w:pPr>
        <w:pStyle w:val="BodyText"/>
        <w:spacing w:before="11"/>
        <w:rPr>
          <w:sz w:val="24"/>
        </w:rPr>
      </w:pPr>
    </w:p>
    <w:p>
      <w:pPr>
        <w:pStyle w:val="BodyText"/>
        <w:ind w:left="504" w:right="130"/>
      </w:pPr>
      <w:r>
        <w:rPr/>
        <w:t>The consolidated financial statements incorporate the assets and liabilities of all subsidiaries of Western Sydney University (''parent entity'') as at 31 December 2017 and the results of all subsidiaries for the year then ended. Western Sydney University and its subsidiaries together are referred to in these financial statements as the Group or the Consolidated Entity.</w:t>
      </w:r>
    </w:p>
    <w:p>
      <w:pPr>
        <w:pStyle w:val="BodyText"/>
        <w:spacing w:before="11"/>
        <w:rPr>
          <w:sz w:val="24"/>
        </w:rPr>
      </w:pPr>
    </w:p>
    <w:p>
      <w:pPr>
        <w:pStyle w:val="BodyText"/>
        <w:ind w:left="503" w:right="130"/>
      </w:pPr>
      <w:r>
        <w:rPr/>
        <w:t>Subsidiaries are all those entities (including structured entities) over which the Group has control. The Group has control over an investee when it is exposed, or has rights to variable returns from its involvement with the investee and has the ability to affect those returns through its power over the investee. Power over the investee exists when the Group has existing rights that give it current ability to direct the relevant activities of the investee. The existence and effect of potential voting rights that are currently exercisable or convertible are considered when assessing whether the Group controls another entity. Returns are not necessarily monetary and can be only positive, only negative, or both positive and negative.</w:t>
      </w:r>
    </w:p>
    <w:p>
      <w:pPr>
        <w:pStyle w:val="BodyText"/>
        <w:spacing w:before="11"/>
        <w:rPr>
          <w:sz w:val="24"/>
        </w:rPr>
      </w:pPr>
    </w:p>
    <w:p>
      <w:pPr>
        <w:pStyle w:val="BodyText"/>
        <w:ind w:left="503" w:right="220"/>
      </w:pPr>
      <w:r>
        <w:rPr/>
        <w:t>Subsidiaries are fully consolidated from the date on which control is transferred to the Group. They are de- consolidated from the date control ceases.</w:t>
      </w:r>
    </w:p>
    <w:p>
      <w:pPr>
        <w:spacing w:after="0"/>
        <w:sectPr>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pStyle w:val="Heading9"/>
        <w:tabs>
          <w:tab w:pos="503" w:val="left" w:leader="none"/>
        </w:tabs>
        <w:ind w:left="110" w:right="159"/>
      </w:pPr>
      <w:r>
        <w:rPr/>
        <w:t>1</w:t>
        <w:tab/>
        <w:t>Summary of Significant Accounting Policies</w:t>
      </w:r>
      <w:r>
        <w:rPr>
          <w:spacing w:val="-9"/>
        </w:rPr>
        <w:t> </w:t>
      </w:r>
      <w:r>
        <w:rPr/>
        <w:t>(continued)</w:t>
      </w:r>
    </w:p>
    <w:p>
      <w:pPr>
        <w:pStyle w:val="BodyText"/>
        <w:spacing w:before="11"/>
        <w:rPr>
          <w:b/>
          <w:sz w:val="24"/>
        </w:rPr>
      </w:pPr>
    </w:p>
    <w:p>
      <w:pPr>
        <w:pStyle w:val="ListParagraph"/>
        <w:numPr>
          <w:ilvl w:val="0"/>
          <w:numId w:val="6"/>
        </w:numPr>
        <w:tabs>
          <w:tab w:pos="1071" w:val="left" w:leader="none"/>
        </w:tabs>
        <w:spacing w:line="240" w:lineRule="auto" w:before="0" w:after="0"/>
        <w:ind w:left="1070" w:right="0" w:hanging="566"/>
        <w:jc w:val="left"/>
        <w:rPr>
          <w:b/>
          <w:sz w:val="18"/>
        </w:rPr>
      </w:pPr>
      <w:r>
        <w:rPr>
          <w:b/>
          <w:sz w:val="18"/>
        </w:rPr>
        <w:t>Basis of consolidation (continued)</w:t>
      </w:r>
    </w:p>
    <w:p>
      <w:pPr>
        <w:pStyle w:val="BodyText"/>
        <w:spacing w:before="11"/>
        <w:rPr>
          <w:b/>
          <w:sz w:val="24"/>
        </w:rPr>
      </w:pPr>
    </w:p>
    <w:p>
      <w:pPr>
        <w:pStyle w:val="BodyText"/>
        <w:ind w:left="504" w:right="159"/>
      </w:pPr>
      <w:r>
        <w:rPr/>
        <w:t>Intercompany transactions, balances and unrealised gains on transactions between Group entities are eliminated. Unrealised losses are also eliminated unless the transaction provides evidence of the impairment of the asset transferred. Accounting policies of subsidiaries have been changed where necessary to ensure consistency with the policies adopted by the Group.</w:t>
      </w:r>
    </w:p>
    <w:p>
      <w:pPr>
        <w:pStyle w:val="BodyText"/>
        <w:spacing w:before="11"/>
        <w:rPr>
          <w:sz w:val="24"/>
        </w:rPr>
      </w:pPr>
    </w:p>
    <w:p>
      <w:pPr>
        <w:pStyle w:val="BodyText"/>
        <w:spacing w:line="573" w:lineRule="auto"/>
        <w:ind w:left="504" w:right="1158"/>
      </w:pPr>
      <w:r>
        <w:rPr/>
        <w:t>The acquisition method of accounting is used to account for the acquisition of subsidiaries by the Group. The subsidiaries of the University as at 31 December 2017 are:</w:t>
      </w:r>
    </w:p>
    <w:p>
      <w:pPr>
        <w:pStyle w:val="ListParagraph"/>
        <w:numPr>
          <w:ilvl w:val="0"/>
          <w:numId w:val="7"/>
        </w:numPr>
        <w:tabs>
          <w:tab w:pos="788" w:val="left" w:leader="none"/>
        </w:tabs>
        <w:spacing w:line="240" w:lineRule="auto" w:before="8" w:after="0"/>
        <w:ind w:left="787" w:right="0" w:hanging="283"/>
        <w:jc w:val="left"/>
        <w:rPr>
          <w:sz w:val="18"/>
        </w:rPr>
      </w:pPr>
      <w:r>
        <w:rPr>
          <w:sz w:val="18"/>
        </w:rPr>
        <w:t>Western Sydney University Enterprises Pty Limited trading as Western Sydney University The</w:t>
      </w:r>
      <w:r>
        <w:rPr>
          <w:spacing w:val="20"/>
          <w:sz w:val="18"/>
        </w:rPr>
        <w:t> </w:t>
      </w:r>
      <w:r>
        <w:rPr>
          <w:sz w:val="18"/>
        </w:rPr>
        <w:t>College</w:t>
      </w:r>
    </w:p>
    <w:p>
      <w:pPr>
        <w:pStyle w:val="BodyText"/>
        <w:spacing w:before="11"/>
        <w:rPr>
          <w:sz w:val="24"/>
        </w:rPr>
      </w:pPr>
    </w:p>
    <w:p>
      <w:pPr>
        <w:pStyle w:val="ListParagraph"/>
        <w:numPr>
          <w:ilvl w:val="0"/>
          <w:numId w:val="7"/>
        </w:numPr>
        <w:tabs>
          <w:tab w:pos="788" w:val="left" w:leader="none"/>
        </w:tabs>
        <w:spacing w:line="240" w:lineRule="auto" w:before="0" w:after="0"/>
        <w:ind w:left="787" w:right="0" w:hanging="283"/>
        <w:jc w:val="left"/>
        <w:rPr>
          <w:sz w:val="18"/>
        </w:rPr>
      </w:pPr>
      <w:r>
        <w:rPr>
          <w:sz w:val="18"/>
        </w:rPr>
        <w:t>Western Unlimited</w:t>
      </w:r>
      <w:r>
        <w:rPr>
          <w:spacing w:val="11"/>
          <w:sz w:val="18"/>
        </w:rPr>
        <w:t> </w:t>
      </w:r>
      <w:r>
        <w:rPr>
          <w:sz w:val="18"/>
        </w:rPr>
        <w:t>Ltd.</w:t>
      </w:r>
    </w:p>
    <w:p>
      <w:pPr>
        <w:pStyle w:val="BodyText"/>
        <w:spacing w:before="11"/>
        <w:rPr>
          <w:sz w:val="24"/>
        </w:rPr>
      </w:pPr>
    </w:p>
    <w:p>
      <w:pPr>
        <w:pStyle w:val="ListParagraph"/>
        <w:numPr>
          <w:ilvl w:val="0"/>
          <w:numId w:val="7"/>
        </w:numPr>
        <w:tabs>
          <w:tab w:pos="788" w:val="left" w:leader="none"/>
        </w:tabs>
        <w:spacing w:line="240" w:lineRule="auto" w:before="0" w:after="0"/>
        <w:ind w:left="787" w:right="0" w:hanging="283"/>
        <w:jc w:val="left"/>
        <w:rPr>
          <w:sz w:val="18"/>
        </w:rPr>
      </w:pPr>
      <w:r>
        <w:rPr>
          <w:sz w:val="18"/>
        </w:rPr>
        <w:t>Whitlam Institute (within Western Sydney University) Limited and</w:t>
      </w:r>
      <w:r>
        <w:rPr>
          <w:spacing w:val="19"/>
          <w:sz w:val="18"/>
        </w:rPr>
        <w:t> </w:t>
      </w:r>
      <w:r>
        <w:rPr>
          <w:sz w:val="18"/>
        </w:rPr>
        <w:t>Trust</w:t>
      </w:r>
    </w:p>
    <w:p>
      <w:pPr>
        <w:pStyle w:val="BodyText"/>
        <w:spacing w:before="11"/>
        <w:rPr>
          <w:sz w:val="24"/>
        </w:rPr>
      </w:pPr>
    </w:p>
    <w:p>
      <w:pPr>
        <w:pStyle w:val="ListParagraph"/>
        <w:numPr>
          <w:ilvl w:val="0"/>
          <w:numId w:val="7"/>
        </w:numPr>
        <w:tabs>
          <w:tab w:pos="788" w:val="left" w:leader="none"/>
        </w:tabs>
        <w:spacing w:line="240" w:lineRule="auto" w:before="0" w:after="0"/>
        <w:ind w:left="787" w:right="0" w:hanging="283"/>
        <w:jc w:val="left"/>
        <w:rPr>
          <w:sz w:val="18"/>
        </w:rPr>
      </w:pPr>
      <w:r>
        <w:rPr>
          <w:sz w:val="18"/>
        </w:rPr>
        <w:t>Western Sydney University Early Learning</w:t>
      </w:r>
      <w:r>
        <w:rPr>
          <w:spacing w:val="9"/>
          <w:sz w:val="18"/>
        </w:rPr>
        <w:t> </w:t>
      </w:r>
      <w:r>
        <w:rPr>
          <w:sz w:val="18"/>
        </w:rPr>
        <w:t>Limited</w:t>
      </w:r>
    </w:p>
    <w:p>
      <w:pPr>
        <w:pStyle w:val="BodyText"/>
        <w:spacing w:before="11"/>
        <w:rPr>
          <w:sz w:val="24"/>
        </w:rPr>
      </w:pPr>
    </w:p>
    <w:p>
      <w:pPr>
        <w:pStyle w:val="BodyText"/>
        <w:ind w:left="503" w:right="159"/>
      </w:pPr>
      <w:r>
        <w:rPr/>
        <w:t>Separate financial statements are prepared by the University’s subsidiaries. The Audit Office of NSW audits these financial statements.</w:t>
      </w:r>
    </w:p>
    <w:p>
      <w:pPr>
        <w:pStyle w:val="BodyText"/>
        <w:spacing w:before="11"/>
        <w:rPr>
          <w:sz w:val="24"/>
        </w:rPr>
      </w:pPr>
    </w:p>
    <w:p>
      <w:pPr>
        <w:pStyle w:val="ListParagraph"/>
        <w:numPr>
          <w:ilvl w:val="0"/>
          <w:numId w:val="5"/>
        </w:numPr>
        <w:tabs>
          <w:tab w:pos="757" w:val="left" w:leader="none"/>
        </w:tabs>
        <w:spacing w:line="240" w:lineRule="auto" w:before="0" w:after="0"/>
        <w:ind w:left="756" w:right="0" w:hanging="252"/>
        <w:jc w:val="left"/>
        <w:rPr>
          <w:sz w:val="18"/>
        </w:rPr>
      </w:pPr>
      <w:r>
        <w:rPr>
          <w:sz w:val="18"/>
        </w:rPr>
        <w:t>Joint Arrangements</w:t>
      </w:r>
    </w:p>
    <w:p>
      <w:pPr>
        <w:pStyle w:val="BodyText"/>
        <w:spacing w:before="11"/>
        <w:rPr>
          <w:sz w:val="24"/>
        </w:rPr>
      </w:pPr>
    </w:p>
    <w:p>
      <w:pPr>
        <w:pStyle w:val="BodyText"/>
        <w:ind w:left="503" w:right="159"/>
      </w:pPr>
      <w:r>
        <w:rPr/>
        <w:t>AASB 11 </w:t>
      </w:r>
      <w:r>
        <w:rPr>
          <w:i/>
        </w:rPr>
        <w:t>Joint Arrangements </w:t>
      </w:r>
      <w:r>
        <w:rPr/>
        <w:t>defines a joint arrangement as an arrangement of which two or more parties have joint control and classifies these arrangements as either joint ventures or joint operations.</w:t>
      </w:r>
    </w:p>
    <w:p>
      <w:pPr>
        <w:pStyle w:val="BodyText"/>
        <w:spacing w:before="11"/>
        <w:rPr>
          <w:sz w:val="24"/>
        </w:rPr>
      </w:pPr>
    </w:p>
    <w:p>
      <w:pPr>
        <w:pStyle w:val="BodyText"/>
        <w:ind w:left="504" w:right="159"/>
      </w:pPr>
      <w:r>
        <w:rPr/>
        <w:t>Western Sydney University has determined that it has both joint venture and joint operations.</w:t>
      </w:r>
    </w:p>
    <w:p>
      <w:pPr>
        <w:pStyle w:val="BodyText"/>
        <w:spacing w:before="11"/>
        <w:rPr>
          <w:sz w:val="24"/>
        </w:rPr>
      </w:pPr>
    </w:p>
    <w:p>
      <w:pPr>
        <w:spacing w:before="0"/>
        <w:ind w:left="503" w:right="159" w:firstLine="0"/>
        <w:jc w:val="left"/>
        <w:rPr>
          <w:i/>
          <w:sz w:val="18"/>
        </w:rPr>
      </w:pPr>
      <w:r>
        <w:rPr>
          <w:i/>
          <w:sz w:val="18"/>
        </w:rPr>
        <w:t>Joint operations:</w:t>
      </w:r>
    </w:p>
    <w:p>
      <w:pPr>
        <w:pStyle w:val="BodyText"/>
        <w:spacing w:before="11"/>
        <w:rPr>
          <w:i/>
          <w:sz w:val="24"/>
        </w:rPr>
      </w:pPr>
    </w:p>
    <w:p>
      <w:pPr>
        <w:pStyle w:val="BodyText"/>
        <w:ind w:left="503" w:right="159"/>
      </w:pPr>
      <w:r>
        <w:rPr/>
        <w:t>The University's share of assets, liabilities, revenue and expenses of a joint operation have been incorporated in the financial statements under the appropriate headings.  Details of the joint operation are set out in note 38.</w:t>
      </w:r>
    </w:p>
    <w:p>
      <w:pPr>
        <w:pStyle w:val="BodyText"/>
        <w:spacing w:before="11"/>
        <w:rPr>
          <w:sz w:val="24"/>
        </w:rPr>
      </w:pPr>
    </w:p>
    <w:p>
      <w:pPr>
        <w:spacing w:before="0"/>
        <w:ind w:left="504" w:right="159" w:firstLine="0"/>
        <w:jc w:val="left"/>
        <w:rPr>
          <w:i/>
          <w:sz w:val="18"/>
        </w:rPr>
      </w:pPr>
      <w:r>
        <w:rPr>
          <w:i/>
          <w:sz w:val="18"/>
        </w:rPr>
        <w:t>Joint venture:</w:t>
      </w:r>
    </w:p>
    <w:p>
      <w:pPr>
        <w:pStyle w:val="BodyText"/>
        <w:spacing w:before="11"/>
        <w:rPr>
          <w:i/>
          <w:sz w:val="24"/>
        </w:rPr>
      </w:pPr>
    </w:p>
    <w:p>
      <w:pPr>
        <w:pStyle w:val="BodyText"/>
        <w:ind w:left="504" w:right="159"/>
      </w:pPr>
      <w:r>
        <w:rPr/>
        <w:t>The interest in a joint venture entity is accounted for in the consolidated financial statements using the equity method and is carried at cost by the parent entity. Under the equity method, the share of the profits or losses of the entity is recognised in the income statement, and the share of movements in reserves is recognised in reserves in the statement of comprehensive income and the statement of changes in equity. If the venturer's share of losses of a joint venture equals or exceeds its interest in the joint venture, the venturer discontinues recognising its share of further losses.  Details relating to the entity are set out in note</w:t>
      </w:r>
      <w:r>
        <w:rPr>
          <w:spacing w:val="10"/>
        </w:rPr>
        <w:t> </w:t>
      </w:r>
      <w:r>
        <w:rPr/>
        <w:t>8.</w:t>
      </w:r>
    </w:p>
    <w:p>
      <w:pPr>
        <w:spacing w:after="0"/>
        <w:sectPr>
          <w:pgSz w:w="11910" w:h="16840"/>
          <w:pgMar w:header="1037" w:footer="507" w:top="2220" w:bottom="700" w:left="900" w:right="920"/>
        </w:sectPr>
      </w:pPr>
    </w:p>
    <w:p>
      <w:pPr>
        <w:pStyle w:val="BodyText"/>
        <w:rPr>
          <w:sz w:val="20"/>
        </w:rPr>
      </w:pPr>
    </w:p>
    <w:p>
      <w:pPr>
        <w:pStyle w:val="BodyText"/>
        <w:rPr>
          <w:sz w:val="20"/>
        </w:rPr>
      </w:pPr>
    </w:p>
    <w:p>
      <w:pPr>
        <w:pStyle w:val="BodyText"/>
        <w:spacing w:before="5"/>
      </w:pPr>
    </w:p>
    <w:p>
      <w:pPr>
        <w:pStyle w:val="Heading9"/>
        <w:tabs>
          <w:tab w:pos="503" w:val="left" w:leader="none"/>
        </w:tabs>
        <w:ind w:left="110" w:right="159"/>
      </w:pPr>
      <w:bookmarkStart w:name="Foreign currency transactions and balanc" w:id="16"/>
      <w:bookmarkEnd w:id="16"/>
      <w:r>
        <w:rPr>
          <w:b w:val="0"/>
        </w:rPr>
      </w:r>
      <w:bookmarkStart w:name="(c) Foreign currency transactions and ba" w:id="17"/>
      <w:bookmarkEnd w:id="17"/>
      <w:r>
        <w:rPr>
          <w:b w:val="0"/>
        </w:rPr>
      </w:r>
      <w:r>
        <w:rPr/>
        <w:t>1</w:t>
        <w:tab/>
        <w:t>Summary of Significant Accounting Policies</w:t>
      </w:r>
      <w:r>
        <w:rPr>
          <w:spacing w:val="-9"/>
        </w:rPr>
        <w:t> </w:t>
      </w:r>
      <w:r>
        <w:rPr/>
        <w:t>(continued)</w:t>
      </w:r>
    </w:p>
    <w:p>
      <w:pPr>
        <w:pStyle w:val="BodyText"/>
        <w:spacing w:before="11"/>
        <w:rPr>
          <w:b/>
          <w:sz w:val="24"/>
        </w:rPr>
      </w:pPr>
    </w:p>
    <w:p>
      <w:pPr>
        <w:pStyle w:val="ListParagraph"/>
        <w:numPr>
          <w:ilvl w:val="0"/>
          <w:numId w:val="6"/>
        </w:numPr>
        <w:tabs>
          <w:tab w:pos="1071" w:val="left" w:leader="none"/>
        </w:tabs>
        <w:spacing w:line="240" w:lineRule="auto" w:before="0" w:after="0"/>
        <w:ind w:left="1070" w:right="0" w:hanging="566"/>
        <w:jc w:val="left"/>
        <w:rPr>
          <w:b/>
          <w:sz w:val="18"/>
        </w:rPr>
      </w:pPr>
      <w:r>
        <w:rPr>
          <w:b/>
          <w:sz w:val="18"/>
        </w:rPr>
        <w:t>Foreign currency transactions and</w:t>
      </w:r>
      <w:r>
        <w:rPr>
          <w:b/>
          <w:spacing w:val="-9"/>
          <w:sz w:val="18"/>
        </w:rPr>
        <w:t> </w:t>
      </w:r>
      <w:r>
        <w:rPr>
          <w:b/>
          <w:sz w:val="18"/>
        </w:rPr>
        <w:t>balances</w:t>
      </w:r>
    </w:p>
    <w:p>
      <w:pPr>
        <w:pStyle w:val="BodyText"/>
        <w:spacing w:before="11"/>
        <w:rPr>
          <w:b/>
          <w:sz w:val="24"/>
        </w:rPr>
      </w:pPr>
    </w:p>
    <w:p>
      <w:pPr>
        <w:pStyle w:val="BodyText"/>
        <w:ind w:left="504" w:right="159"/>
      </w:pPr>
      <w:r>
        <w:rPr/>
        <w:t>Both the functional and presentation currency of the Group is Australian Dollars.</w:t>
      </w:r>
    </w:p>
    <w:p>
      <w:pPr>
        <w:pStyle w:val="BodyText"/>
        <w:spacing w:before="11"/>
        <w:rPr>
          <w:sz w:val="24"/>
        </w:rPr>
      </w:pPr>
    </w:p>
    <w:p>
      <w:pPr>
        <w:pStyle w:val="BodyText"/>
        <w:ind w:left="504" w:right="159"/>
      </w:pPr>
      <w:bookmarkStart w:name="(d) Revenue recognition " w:id="18"/>
      <w:bookmarkEnd w:id="18"/>
      <w:r>
        <w:rPr/>
      </w:r>
      <w:r>
        <w:rPr/>
        <w:t>Transactions in foreign currencies are recorded in the functional currency at the exchange rates prevailing at the date of the transaction. Foreign exchange gains and losses resulting from the settlement of such transactions and from the translation at year-end exchange rates of monetary assets and liabilities denominated in foreign currencies are recognised in the income statement.</w:t>
      </w:r>
    </w:p>
    <w:p>
      <w:pPr>
        <w:pStyle w:val="BodyText"/>
        <w:spacing w:before="11"/>
        <w:rPr>
          <w:sz w:val="24"/>
        </w:rPr>
      </w:pPr>
    </w:p>
    <w:p>
      <w:pPr>
        <w:pStyle w:val="Heading9"/>
        <w:numPr>
          <w:ilvl w:val="0"/>
          <w:numId w:val="6"/>
        </w:numPr>
        <w:tabs>
          <w:tab w:pos="1071" w:val="left" w:leader="none"/>
        </w:tabs>
        <w:spacing w:line="240" w:lineRule="auto" w:before="0" w:after="0"/>
        <w:ind w:left="1070" w:right="0" w:hanging="566"/>
        <w:jc w:val="left"/>
      </w:pPr>
      <w:r>
        <w:rPr/>
        <w:t>Revenue recognition</w:t>
      </w:r>
    </w:p>
    <w:p>
      <w:pPr>
        <w:pStyle w:val="BodyText"/>
        <w:spacing w:before="11"/>
        <w:rPr>
          <w:b/>
          <w:sz w:val="24"/>
        </w:rPr>
      </w:pPr>
    </w:p>
    <w:p>
      <w:pPr>
        <w:pStyle w:val="BodyText"/>
        <w:ind w:left="504" w:right="159"/>
      </w:pPr>
      <w:r>
        <w:rPr/>
        <w:t>Revenue is measured at the fair value of the consideration received or receivable. Amounts disclosed as revenue are net of returns, trade allowances, rebates and amounts collected on behalf of third parties.</w:t>
      </w:r>
    </w:p>
    <w:p>
      <w:pPr>
        <w:pStyle w:val="BodyText"/>
        <w:spacing w:before="11"/>
        <w:rPr>
          <w:sz w:val="24"/>
        </w:rPr>
      </w:pPr>
    </w:p>
    <w:p>
      <w:pPr>
        <w:pStyle w:val="BodyText"/>
        <w:ind w:left="503" w:right="159"/>
      </w:pPr>
      <w:r>
        <w:rPr/>
        <w:t>The Group recognises revenue when the amount of revenue can be reliably measured, it is probable that future economic benefits will flow to the Group and specific criteria have been met for each of the Group’s activities as described below. The amount of revenue is not considered to be reliably measurable until all contingencies relating to the sale have been resolved. The Group bases its estimates on historical results, taking into consideration the type of customer, the type of transaction and the specifics of each arrangement.</w:t>
      </w:r>
    </w:p>
    <w:p>
      <w:pPr>
        <w:pStyle w:val="BodyText"/>
        <w:spacing w:before="11"/>
        <w:rPr>
          <w:sz w:val="24"/>
        </w:rPr>
      </w:pPr>
    </w:p>
    <w:p>
      <w:pPr>
        <w:pStyle w:val="BodyText"/>
        <w:ind w:left="503" w:right="159"/>
      </w:pPr>
      <w:r>
        <w:rPr/>
        <w:t>Revenue is recognised for the major business activities as follows:</w:t>
      </w:r>
    </w:p>
    <w:p>
      <w:pPr>
        <w:pStyle w:val="BodyText"/>
        <w:spacing w:before="11"/>
        <w:rPr>
          <w:sz w:val="24"/>
        </w:rPr>
      </w:pPr>
    </w:p>
    <w:p>
      <w:pPr>
        <w:pStyle w:val="ListParagraph"/>
        <w:numPr>
          <w:ilvl w:val="0"/>
          <w:numId w:val="8"/>
        </w:numPr>
        <w:tabs>
          <w:tab w:pos="716" w:val="left" w:leader="none"/>
        </w:tabs>
        <w:spacing w:line="240" w:lineRule="auto" w:before="0" w:after="0"/>
        <w:ind w:left="715" w:right="0" w:hanging="211"/>
        <w:jc w:val="left"/>
        <w:rPr>
          <w:sz w:val="18"/>
        </w:rPr>
      </w:pPr>
      <w:r>
        <w:rPr>
          <w:sz w:val="18"/>
        </w:rPr>
        <w:t>) Government</w:t>
      </w:r>
      <w:r>
        <w:rPr>
          <w:spacing w:val="-1"/>
          <w:sz w:val="18"/>
        </w:rPr>
        <w:t> </w:t>
      </w:r>
      <w:r>
        <w:rPr>
          <w:sz w:val="18"/>
        </w:rPr>
        <w:t>grants</w:t>
      </w:r>
    </w:p>
    <w:p>
      <w:pPr>
        <w:pStyle w:val="BodyText"/>
        <w:spacing w:before="11"/>
        <w:rPr>
          <w:sz w:val="24"/>
        </w:rPr>
      </w:pPr>
    </w:p>
    <w:p>
      <w:pPr>
        <w:pStyle w:val="BodyText"/>
        <w:ind w:left="503" w:right="159"/>
      </w:pPr>
      <w:r>
        <w:rPr/>
        <w:t>Grants from the government are recognised at their fair value where the Group obtains control of the right to receive the grant, it is probable that economic benefits will flow to the Group and it can be reliably measured.</w:t>
      </w:r>
    </w:p>
    <w:p>
      <w:pPr>
        <w:pStyle w:val="BodyText"/>
        <w:spacing w:before="11"/>
        <w:rPr>
          <w:sz w:val="24"/>
        </w:rPr>
      </w:pPr>
    </w:p>
    <w:p>
      <w:pPr>
        <w:pStyle w:val="BodyText"/>
        <w:ind w:left="504" w:right="372"/>
      </w:pPr>
      <w:r>
        <w:rPr/>
        <w:t>In practice, Western Sydney University treats operating grants received from Australian Government entities as income in the year of receipt.</w:t>
      </w:r>
    </w:p>
    <w:p>
      <w:pPr>
        <w:pStyle w:val="BodyText"/>
        <w:spacing w:before="11"/>
        <w:rPr>
          <w:sz w:val="24"/>
        </w:rPr>
      </w:pPr>
    </w:p>
    <w:p>
      <w:pPr>
        <w:pStyle w:val="ListParagraph"/>
        <w:numPr>
          <w:ilvl w:val="0"/>
          <w:numId w:val="8"/>
        </w:numPr>
        <w:tabs>
          <w:tab w:pos="757" w:val="left" w:leader="none"/>
        </w:tabs>
        <w:spacing w:line="240" w:lineRule="auto" w:before="0" w:after="0"/>
        <w:ind w:left="756" w:right="0" w:hanging="252"/>
        <w:jc w:val="left"/>
        <w:rPr>
          <w:sz w:val="18"/>
        </w:rPr>
      </w:pPr>
      <w:r>
        <w:rPr>
          <w:sz w:val="18"/>
        </w:rPr>
        <w:t>) HELP</w:t>
      </w:r>
      <w:r>
        <w:rPr>
          <w:spacing w:val="-1"/>
          <w:sz w:val="18"/>
        </w:rPr>
        <w:t> </w:t>
      </w:r>
      <w:r>
        <w:rPr>
          <w:sz w:val="18"/>
        </w:rPr>
        <w:t>payments</w:t>
      </w:r>
    </w:p>
    <w:p>
      <w:pPr>
        <w:pStyle w:val="BodyText"/>
        <w:spacing w:before="11"/>
        <w:rPr>
          <w:sz w:val="24"/>
        </w:rPr>
      </w:pPr>
    </w:p>
    <w:p>
      <w:pPr>
        <w:pStyle w:val="BodyText"/>
        <w:ind w:left="504" w:right="159"/>
      </w:pPr>
      <w:r>
        <w:rPr/>
        <w:t>Revenue from HELP is categorised into those received from the Australian Government and those received directly from students.  Revenue is recognised and measured in accordance with the above disclosure.</w:t>
      </w:r>
    </w:p>
    <w:p>
      <w:pPr>
        <w:pStyle w:val="BodyText"/>
        <w:spacing w:before="11"/>
        <w:rPr>
          <w:sz w:val="24"/>
        </w:rPr>
      </w:pPr>
    </w:p>
    <w:p>
      <w:pPr>
        <w:pStyle w:val="ListParagraph"/>
        <w:numPr>
          <w:ilvl w:val="0"/>
          <w:numId w:val="8"/>
        </w:numPr>
        <w:tabs>
          <w:tab w:pos="798" w:val="left" w:leader="none"/>
        </w:tabs>
        <w:spacing w:line="240" w:lineRule="auto" w:before="0" w:after="0"/>
        <w:ind w:left="797" w:right="0" w:hanging="293"/>
        <w:jc w:val="left"/>
        <w:rPr>
          <w:sz w:val="18"/>
        </w:rPr>
      </w:pPr>
      <w:r>
        <w:rPr>
          <w:sz w:val="18"/>
        </w:rPr>
        <w:t>Student fees and</w:t>
      </w:r>
      <w:r>
        <w:rPr>
          <w:spacing w:val="2"/>
          <w:sz w:val="18"/>
        </w:rPr>
        <w:t> </w:t>
      </w:r>
      <w:r>
        <w:rPr>
          <w:sz w:val="18"/>
        </w:rPr>
        <w:t>charges</w:t>
      </w:r>
    </w:p>
    <w:p>
      <w:pPr>
        <w:pStyle w:val="BodyText"/>
        <w:spacing w:before="11"/>
        <w:rPr>
          <w:sz w:val="24"/>
        </w:rPr>
      </w:pPr>
    </w:p>
    <w:p>
      <w:pPr>
        <w:pStyle w:val="BodyText"/>
        <w:ind w:left="503" w:right="159"/>
      </w:pPr>
      <w:r>
        <w:rPr/>
        <w:t>Fees and charges are recognised as income in the year of receipt, except to the extent that fees and charges relate to courses to be held in future periods. Such income is treated as income in advance in liabilities. Conversely, fees and charges relating to debtors are recognised as revenue in the year to which the prescribed course relates.</w:t>
      </w:r>
    </w:p>
    <w:p>
      <w:pPr>
        <w:pStyle w:val="BodyText"/>
        <w:spacing w:before="11"/>
        <w:rPr>
          <w:sz w:val="24"/>
        </w:rPr>
      </w:pPr>
    </w:p>
    <w:p>
      <w:pPr>
        <w:pStyle w:val="ListParagraph"/>
        <w:numPr>
          <w:ilvl w:val="0"/>
          <w:numId w:val="8"/>
        </w:numPr>
        <w:tabs>
          <w:tab w:pos="805" w:val="left" w:leader="none"/>
        </w:tabs>
        <w:spacing w:line="240" w:lineRule="auto" w:before="0" w:after="0"/>
        <w:ind w:left="804" w:right="0" w:hanging="300"/>
        <w:jc w:val="left"/>
        <w:rPr>
          <w:sz w:val="18"/>
        </w:rPr>
      </w:pPr>
      <w:r>
        <w:rPr>
          <w:sz w:val="18"/>
        </w:rPr>
        <w:t>Royalties, trademarks and</w:t>
      </w:r>
      <w:r>
        <w:rPr>
          <w:spacing w:val="2"/>
          <w:sz w:val="18"/>
        </w:rPr>
        <w:t> </w:t>
      </w:r>
      <w:r>
        <w:rPr>
          <w:sz w:val="18"/>
        </w:rPr>
        <w:t>licences</w:t>
      </w:r>
    </w:p>
    <w:p>
      <w:pPr>
        <w:pStyle w:val="BodyText"/>
        <w:spacing w:before="11"/>
        <w:rPr>
          <w:sz w:val="24"/>
        </w:rPr>
      </w:pPr>
    </w:p>
    <w:p>
      <w:pPr>
        <w:pStyle w:val="BodyText"/>
        <w:ind w:left="504" w:right="159"/>
      </w:pPr>
      <w:r>
        <w:rPr/>
        <w:t>Revenue from royalties, trademarks and licences is recognised as income when earned.</w:t>
      </w:r>
    </w:p>
    <w:p>
      <w:pPr>
        <w:pStyle w:val="BodyText"/>
        <w:spacing w:before="11"/>
        <w:rPr>
          <w:sz w:val="24"/>
        </w:rPr>
      </w:pPr>
    </w:p>
    <w:p>
      <w:pPr>
        <w:pStyle w:val="ListParagraph"/>
        <w:numPr>
          <w:ilvl w:val="0"/>
          <w:numId w:val="8"/>
        </w:numPr>
        <w:tabs>
          <w:tab w:pos="764" w:val="left" w:leader="none"/>
        </w:tabs>
        <w:spacing w:line="240" w:lineRule="auto" w:before="0" w:after="0"/>
        <w:ind w:left="764" w:right="0" w:hanging="260"/>
        <w:jc w:val="left"/>
        <w:rPr>
          <w:sz w:val="18"/>
        </w:rPr>
      </w:pPr>
      <w:r>
        <w:rPr>
          <w:sz w:val="18"/>
        </w:rPr>
        <w:t>Consulting and</w:t>
      </w:r>
      <w:r>
        <w:rPr>
          <w:spacing w:val="1"/>
          <w:sz w:val="18"/>
        </w:rPr>
        <w:t> </w:t>
      </w:r>
      <w:r>
        <w:rPr>
          <w:sz w:val="18"/>
        </w:rPr>
        <w:t>contracting</w:t>
      </w:r>
    </w:p>
    <w:p>
      <w:pPr>
        <w:pStyle w:val="BodyText"/>
        <w:spacing w:before="11"/>
        <w:rPr>
          <w:sz w:val="24"/>
        </w:rPr>
      </w:pPr>
    </w:p>
    <w:p>
      <w:pPr>
        <w:pStyle w:val="BodyText"/>
        <w:ind w:left="504" w:right="159"/>
      </w:pPr>
      <w:r>
        <w:rPr/>
        <w:t>Contract revenue is recognised in accordance with the percentage of completion method. The stage of completion is measured by reference to labour hours incurred to date as a percentage of estimated total labour hours for each contract.</w:t>
      </w:r>
    </w:p>
    <w:p>
      <w:pPr>
        <w:spacing w:after="0"/>
        <w:sectPr>
          <w:pgSz w:w="11910" w:h="16840"/>
          <w:pgMar w:header="1037" w:footer="507" w:top="2220" w:bottom="700" w:left="900" w:right="920"/>
        </w:sectPr>
      </w:pPr>
    </w:p>
    <w:p>
      <w:pPr>
        <w:pStyle w:val="BodyText"/>
        <w:rPr>
          <w:sz w:val="20"/>
        </w:rPr>
      </w:pPr>
    </w:p>
    <w:p>
      <w:pPr>
        <w:pStyle w:val="BodyText"/>
        <w:rPr>
          <w:sz w:val="20"/>
        </w:rPr>
      </w:pPr>
    </w:p>
    <w:p>
      <w:pPr>
        <w:pStyle w:val="BodyText"/>
        <w:spacing w:before="5"/>
      </w:pPr>
    </w:p>
    <w:p>
      <w:pPr>
        <w:pStyle w:val="Heading9"/>
        <w:tabs>
          <w:tab w:pos="503" w:val="left" w:leader="none"/>
        </w:tabs>
        <w:ind w:left="110" w:right="220"/>
      </w:pPr>
      <w:r>
        <w:rPr/>
        <w:t>1</w:t>
        <w:tab/>
        <w:t>Summary of Significant Accounting Policies</w:t>
      </w:r>
      <w:r>
        <w:rPr>
          <w:spacing w:val="-9"/>
        </w:rPr>
        <w:t> </w:t>
      </w:r>
      <w:r>
        <w:rPr/>
        <w:t>(continued)</w:t>
      </w:r>
    </w:p>
    <w:p>
      <w:pPr>
        <w:pStyle w:val="BodyText"/>
        <w:spacing w:before="11"/>
        <w:rPr>
          <w:b/>
          <w:sz w:val="24"/>
        </w:rPr>
      </w:pPr>
    </w:p>
    <w:p>
      <w:pPr>
        <w:pStyle w:val="ListParagraph"/>
        <w:numPr>
          <w:ilvl w:val="0"/>
          <w:numId w:val="9"/>
        </w:numPr>
        <w:tabs>
          <w:tab w:pos="1071" w:val="left" w:leader="none"/>
        </w:tabs>
        <w:spacing w:line="240" w:lineRule="auto" w:before="0" w:after="0"/>
        <w:ind w:left="1070" w:right="0" w:hanging="566"/>
        <w:jc w:val="left"/>
        <w:rPr>
          <w:b/>
          <w:sz w:val="18"/>
        </w:rPr>
      </w:pPr>
      <w:r>
        <w:rPr>
          <w:b/>
          <w:sz w:val="18"/>
        </w:rPr>
        <w:t>Revenue recognition (continued)</w:t>
      </w:r>
    </w:p>
    <w:p>
      <w:pPr>
        <w:pStyle w:val="BodyText"/>
        <w:spacing w:before="11"/>
        <w:rPr>
          <w:b/>
          <w:sz w:val="24"/>
        </w:rPr>
      </w:pPr>
    </w:p>
    <w:p>
      <w:pPr>
        <w:pStyle w:val="ListParagraph"/>
        <w:numPr>
          <w:ilvl w:val="0"/>
          <w:numId w:val="8"/>
        </w:numPr>
        <w:tabs>
          <w:tab w:pos="806" w:val="left" w:leader="none"/>
        </w:tabs>
        <w:spacing w:line="240" w:lineRule="auto" w:before="0" w:after="0"/>
        <w:ind w:left="805" w:right="0" w:hanging="301"/>
        <w:jc w:val="left"/>
        <w:rPr>
          <w:sz w:val="18"/>
        </w:rPr>
      </w:pPr>
      <w:r>
        <w:rPr>
          <w:sz w:val="18"/>
        </w:rPr>
        <w:t>Lease income</w:t>
      </w:r>
    </w:p>
    <w:p>
      <w:pPr>
        <w:pStyle w:val="BodyText"/>
        <w:spacing w:before="11"/>
        <w:rPr>
          <w:sz w:val="24"/>
        </w:rPr>
      </w:pPr>
    </w:p>
    <w:p>
      <w:pPr>
        <w:pStyle w:val="BodyText"/>
        <w:ind w:left="504" w:right="220"/>
      </w:pPr>
      <w:r>
        <w:rPr/>
        <w:t>Lease income from operating leases is recognised as income on a straight-line basis over the lease term.</w:t>
      </w:r>
    </w:p>
    <w:p>
      <w:pPr>
        <w:pStyle w:val="BodyText"/>
        <w:spacing w:before="11"/>
        <w:rPr>
          <w:sz w:val="24"/>
        </w:rPr>
      </w:pPr>
    </w:p>
    <w:p>
      <w:pPr>
        <w:pStyle w:val="ListParagraph"/>
        <w:numPr>
          <w:ilvl w:val="0"/>
          <w:numId w:val="8"/>
        </w:numPr>
        <w:tabs>
          <w:tab w:pos="846" w:val="left" w:leader="none"/>
        </w:tabs>
        <w:spacing w:line="240" w:lineRule="auto" w:before="0" w:after="0"/>
        <w:ind w:left="845" w:right="0" w:hanging="341"/>
        <w:jc w:val="left"/>
        <w:rPr>
          <w:sz w:val="18"/>
        </w:rPr>
      </w:pPr>
      <w:r>
        <w:rPr>
          <w:sz w:val="18"/>
        </w:rPr>
        <w:t>Investment income</w:t>
      </w:r>
    </w:p>
    <w:p>
      <w:pPr>
        <w:pStyle w:val="BodyText"/>
        <w:spacing w:before="11"/>
        <w:rPr>
          <w:sz w:val="24"/>
        </w:rPr>
      </w:pPr>
    </w:p>
    <w:p>
      <w:pPr>
        <w:pStyle w:val="BodyText"/>
        <w:ind w:left="504" w:right="220"/>
      </w:pPr>
      <w:bookmarkStart w:name="(e) Research grants and contracts " w:id="19"/>
      <w:bookmarkEnd w:id="19"/>
      <w:r>
        <w:rPr/>
      </w:r>
      <w:r>
        <w:rPr/>
        <w:t>Revenue is recognised as the interest accrues using the effective interest method.</w:t>
      </w:r>
    </w:p>
    <w:p>
      <w:pPr>
        <w:pStyle w:val="BodyText"/>
        <w:spacing w:before="11"/>
        <w:rPr>
          <w:sz w:val="24"/>
        </w:rPr>
      </w:pPr>
    </w:p>
    <w:p>
      <w:pPr>
        <w:pStyle w:val="BodyText"/>
        <w:spacing w:line="573" w:lineRule="auto"/>
        <w:ind w:left="504" w:right="791"/>
      </w:pPr>
      <w:r>
        <w:rPr/>
        <w:t>Dividend revenue is recognised when the dividend is declared and the right to receive payment is established. All other material revenue is accounted for on an accrual basis.</w:t>
      </w:r>
    </w:p>
    <w:p>
      <w:pPr>
        <w:pStyle w:val="Heading9"/>
        <w:numPr>
          <w:ilvl w:val="0"/>
          <w:numId w:val="9"/>
        </w:numPr>
        <w:tabs>
          <w:tab w:pos="1071" w:val="left" w:leader="none"/>
        </w:tabs>
        <w:spacing w:line="240" w:lineRule="auto" w:before="8" w:after="0"/>
        <w:ind w:left="1070" w:right="0" w:hanging="566"/>
        <w:jc w:val="left"/>
      </w:pPr>
      <w:r>
        <w:rPr/>
        <w:t>Research grants and</w:t>
      </w:r>
      <w:r>
        <w:rPr>
          <w:spacing w:val="-1"/>
        </w:rPr>
        <w:t> </w:t>
      </w:r>
      <w:r>
        <w:rPr/>
        <w:t>contracts</w:t>
      </w:r>
    </w:p>
    <w:p>
      <w:pPr>
        <w:pStyle w:val="BodyText"/>
        <w:spacing w:before="11"/>
        <w:rPr>
          <w:b/>
          <w:sz w:val="24"/>
        </w:rPr>
      </w:pPr>
    </w:p>
    <w:p>
      <w:pPr>
        <w:pStyle w:val="BodyText"/>
        <w:ind w:left="503" w:right="172"/>
      </w:pPr>
      <w:r>
        <w:rPr/>
        <w:t>Private (Non Education) research grants and contracts are received by the University in advance of research services </w:t>
      </w:r>
      <w:bookmarkStart w:name="(f) Income Tax exemption  " w:id="20"/>
      <w:bookmarkEnd w:id="20"/>
      <w:r>
        <w:rPr/>
      </w:r>
      <w:r>
        <w:rPr/>
        <w:t>being provided and represent reciprocal transfers as specific research services are agreed between the University and the research contractee, with an acquittal process following the provision of the research service. The University treats unspent private research grants as a liability (note 28). In 2017 this amounted to $8.105M (2016: $9.840M). In the 2017 reporting period the $9.840M deferred in the prior year has been treated as income (2016: $7.649M). The net </w:t>
      </w:r>
      <w:bookmarkStart w:name="(g) Leases " w:id="21"/>
      <w:bookmarkEnd w:id="21"/>
      <w:r>
        <w:rPr/>
      </w:r>
      <w:r>
        <w:rPr/>
        <w:t>impact on income in 2017 was therefore a decrease of $1.735M (2016: increase of</w:t>
      </w:r>
      <w:r>
        <w:rPr>
          <w:spacing w:val="3"/>
        </w:rPr>
        <w:t> </w:t>
      </w:r>
      <w:r>
        <w:rPr/>
        <w:t>$2.191M).</w:t>
      </w:r>
    </w:p>
    <w:p>
      <w:pPr>
        <w:pStyle w:val="BodyText"/>
        <w:spacing w:before="11"/>
        <w:rPr>
          <w:sz w:val="24"/>
        </w:rPr>
      </w:pPr>
    </w:p>
    <w:p>
      <w:pPr>
        <w:pStyle w:val="Heading9"/>
        <w:numPr>
          <w:ilvl w:val="0"/>
          <w:numId w:val="9"/>
        </w:numPr>
        <w:tabs>
          <w:tab w:pos="1071" w:val="left" w:leader="none"/>
        </w:tabs>
        <w:spacing w:line="240" w:lineRule="auto" w:before="0" w:after="0"/>
        <w:ind w:left="1070" w:right="0" w:hanging="566"/>
        <w:jc w:val="left"/>
      </w:pPr>
      <w:r>
        <w:rPr/>
        <w:t>Income Tax</w:t>
      </w:r>
      <w:r>
        <w:rPr>
          <w:spacing w:val="1"/>
        </w:rPr>
        <w:t> </w:t>
      </w:r>
      <w:r>
        <w:rPr/>
        <w:t>exemption</w:t>
      </w:r>
    </w:p>
    <w:p>
      <w:pPr>
        <w:pStyle w:val="BodyText"/>
        <w:spacing w:before="11"/>
        <w:rPr>
          <w:b/>
          <w:sz w:val="24"/>
        </w:rPr>
      </w:pPr>
    </w:p>
    <w:p>
      <w:pPr>
        <w:spacing w:before="0"/>
        <w:ind w:left="504" w:right="220" w:firstLine="0"/>
        <w:jc w:val="left"/>
        <w:rPr>
          <w:sz w:val="18"/>
        </w:rPr>
      </w:pPr>
      <w:r>
        <w:rPr>
          <w:sz w:val="18"/>
        </w:rPr>
        <w:t>The Group is exempt from income tax under section 50-B of the </w:t>
      </w:r>
      <w:r>
        <w:rPr>
          <w:i/>
          <w:sz w:val="18"/>
        </w:rPr>
        <w:t>Income Tax Assessment Act 1997</w:t>
      </w:r>
      <w:r>
        <w:rPr>
          <w:sz w:val="18"/>
        </w:rPr>
        <w:t>.</w:t>
      </w:r>
    </w:p>
    <w:p>
      <w:pPr>
        <w:pStyle w:val="BodyText"/>
        <w:spacing w:before="11"/>
        <w:rPr>
          <w:sz w:val="24"/>
        </w:rPr>
      </w:pPr>
    </w:p>
    <w:p>
      <w:pPr>
        <w:pStyle w:val="Heading9"/>
        <w:numPr>
          <w:ilvl w:val="0"/>
          <w:numId w:val="9"/>
        </w:numPr>
        <w:tabs>
          <w:tab w:pos="1071" w:val="left" w:leader="none"/>
        </w:tabs>
        <w:spacing w:line="240" w:lineRule="auto" w:before="0" w:after="0"/>
        <w:ind w:left="1070" w:right="0" w:hanging="566"/>
        <w:jc w:val="left"/>
      </w:pPr>
      <w:r>
        <w:rPr/>
        <w:t>Leases</w:t>
      </w:r>
    </w:p>
    <w:p>
      <w:pPr>
        <w:pStyle w:val="BodyText"/>
        <w:spacing w:before="11"/>
        <w:rPr>
          <w:b/>
          <w:sz w:val="24"/>
        </w:rPr>
      </w:pPr>
    </w:p>
    <w:p>
      <w:pPr>
        <w:pStyle w:val="BodyText"/>
        <w:ind w:left="504" w:right="98"/>
      </w:pPr>
      <w:r>
        <w:rPr/>
        <w:t>Leases of property, plant and equipment where the Group, as lessee, has substantially all the risks and rewards of ownership are classified as finance leases.  Finance leases are capitalised at the lease’s inception at the lower of the fair value of the leased property and the present value of the minimum lease payments. The corresponding rental obligations, net of finance charges, are included in other short term and long term payables. Each lease payment is allocated between the liability and finance cost. The finance cost is charged to the income statement over the lease period so as to produce a constant periodic rate of interest on the remaining balance of the liability for each period.   The property, plant and equipment acquired under finance leases are depreciated over the shorter of the asset’s useful life and the lease</w:t>
      </w:r>
      <w:r>
        <w:rPr>
          <w:spacing w:val="3"/>
        </w:rPr>
        <w:t> </w:t>
      </w:r>
      <w:r>
        <w:rPr/>
        <w:t>term.</w:t>
      </w:r>
    </w:p>
    <w:p>
      <w:pPr>
        <w:pStyle w:val="BodyText"/>
        <w:spacing w:before="11"/>
        <w:rPr>
          <w:sz w:val="24"/>
        </w:rPr>
      </w:pPr>
    </w:p>
    <w:p>
      <w:pPr>
        <w:pStyle w:val="BodyText"/>
        <w:ind w:left="504" w:right="220"/>
      </w:pPr>
      <w:r>
        <w:rPr/>
        <w:t>Leases in which a significant portion of the risks and rewards of ownership are retained by the lessor are classified as operating leases (note 33). Payments made under operating leases (net of any incentives received from the lessor) are charged to the income statement on a straight-line basis over the period of the lease.</w:t>
      </w:r>
    </w:p>
    <w:p>
      <w:pPr>
        <w:pStyle w:val="BodyText"/>
        <w:spacing w:before="11"/>
        <w:rPr>
          <w:sz w:val="24"/>
        </w:rPr>
      </w:pPr>
    </w:p>
    <w:p>
      <w:pPr>
        <w:pStyle w:val="BodyText"/>
        <w:ind w:left="503" w:right="220"/>
      </w:pPr>
      <w:r>
        <w:rPr/>
        <w:t>Lease income from operating leases is recognised in income on a straight-line basis over the lease term.</w:t>
      </w:r>
    </w:p>
    <w:p>
      <w:pPr>
        <w:pStyle w:val="BodyText"/>
        <w:spacing w:before="11"/>
        <w:rPr>
          <w:sz w:val="24"/>
        </w:rPr>
      </w:pPr>
    </w:p>
    <w:p>
      <w:pPr>
        <w:pStyle w:val="BodyText"/>
        <w:ind w:left="503" w:right="261"/>
      </w:pPr>
      <w:r>
        <w:rPr/>
        <w:t>Lease incentives under operating leases are recognised as a liability and amortised on a straight-line basis over the life of the lease term.</w:t>
      </w:r>
    </w:p>
    <w:p>
      <w:pPr>
        <w:spacing w:after="0"/>
        <w:sectPr>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pStyle w:val="Heading9"/>
        <w:tabs>
          <w:tab w:pos="503" w:val="left" w:leader="none"/>
        </w:tabs>
        <w:ind w:left="110" w:right="220"/>
      </w:pPr>
      <w:bookmarkStart w:name="(h) Impairment of assets " w:id="22"/>
      <w:bookmarkEnd w:id="22"/>
      <w:r>
        <w:rPr>
          <w:b w:val="0"/>
        </w:rPr>
      </w:r>
      <w:r>
        <w:rPr/>
        <w:t>1</w:t>
        <w:tab/>
        <w:t>Summary of Significant Accounting Policies</w:t>
      </w:r>
      <w:r>
        <w:rPr>
          <w:spacing w:val="-9"/>
        </w:rPr>
        <w:t> </w:t>
      </w:r>
      <w:r>
        <w:rPr/>
        <w:t>(continued)</w:t>
      </w:r>
    </w:p>
    <w:p>
      <w:pPr>
        <w:pStyle w:val="BodyText"/>
        <w:spacing w:before="11"/>
        <w:rPr>
          <w:b/>
          <w:sz w:val="24"/>
        </w:rPr>
      </w:pPr>
    </w:p>
    <w:p>
      <w:pPr>
        <w:pStyle w:val="ListParagraph"/>
        <w:numPr>
          <w:ilvl w:val="0"/>
          <w:numId w:val="9"/>
        </w:numPr>
        <w:tabs>
          <w:tab w:pos="1071" w:val="left" w:leader="none"/>
        </w:tabs>
        <w:spacing w:line="240" w:lineRule="auto" w:before="0" w:after="0"/>
        <w:ind w:left="1070" w:right="0" w:hanging="566"/>
        <w:jc w:val="left"/>
        <w:rPr>
          <w:b/>
          <w:sz w:val="18"/>
        </w:rPr>
      </w:pPr>
      <w:r>
        <w:rPr>
          <w:b/>
          <w:sz w:val="18"/>
        </w:rPr>
        <w:t>Impairment of</w:t>
      </w:r>
      <w:r>
        <w:rPr>
          <w:b/>
          <w:spacing w:val="-1"/>
          <w:sz w:val="18"/>
        </w:rPr>
        <w:t> </w:t>
      </w:r>
      <w:r>
        <w:rPr>
          <w:b/>
          <w:sz w:val="18"/>
        </w:rPr>
        <w:t>assets</w:t>
      </w:r>
    </w:p>
    <w:p>
      <w:pPr>
        <w:pStyle w:val="BodyText"/>
        <w:spacing w:before="11"/>
        <w:rPr>
          <w:b/>
          <w:sz w:val="24"/>
        </w:rPr>
      </w:pPr>
    </w:p>
    <w:p>
      <w:pPr>
        <w:pStyle w:val="BodyText"/>
        <w:ind w:left="504" w:right="220"/>
      </w:pPr>
      <w:r>
        <w:rPr/>
        <w:t>Intangible assets that have an indefinite useful life are not subject to amortisation and are tested annually for impairment. Other assets are reviewed for impairment wherever events or changes in circumstances indicate that the carrying amount may not be recoverable. The recoverable amount is the higher of the asset’s fair value less costs to sell and value in use.</w:t>
      </w:r>
    </w:p>
    <w:p>
      <w:pPr>
        <w:pStyle w:val="BodyText"/>
        <w:spacing w:before="11"/>
        <w:rPr>
          <w:sz w:val="24"/>
        </w:rPr>
      </w:pPr>
    </w:p>
    <w:p>
      <w:pPr>
        <w:pStyle w:val="BodyText"/>
        <w:ind w:left="503" w:right="130"/>
      </w:pPr>
      <w:bookmarkStart w:name="(i) Cash and cash equivalents " w:id="23"/>
      <w:bookmarkEnd w:id="23"/>
      <w:r>
        <w:rPr/>
      </w:r>
      <w:r>
        <w:rPr/>
        <w:t>An impairment loss is recognised for the amount by which the asset’s carrying amount exceeds its recoverable amount (note 15). For the purposes of assessing impairment, assets are grouped at the lowest levels for which there are separately identifiable cash flows which are largely independent of the cash inflows from other assets or groups of assets (cash generating unit).</w:t>
      </w:r>
    </w:p>
    <w:p>
      <w:pPr>
        <w:pStyle w:val="BodyText"/>
        <w:spacing w:before="11"/>
        <w:rPr>
          <w:sz w:val="24"/>
        </w:rPr>
      </w:pPr>
    </w:p>
    <w:p>
      <w:pPr>
        <w:pStyle w:val="Heading9"/>
        <w:numPr>
          <w:ilvl w:val="0"/>
          <w:numId w:val="9"/>
        </w:numPr>
        <w:tabs>
          <w:tab w:pos="1071" w:val="left" w:leader="none"/>
        </w:tabs>
        <w:spacing w:line="240" w:lineRule="auto" w:before="0" w:after="0"/>
        <w:ind w:left="1070" w:right="0" w:hanging="566"/>
        <w:jc w:val="left"/>
      </w:pPr>
      <w:r>
        <w:rPr/>
        <w:t>Cash and cash</w:t>
      </w:r>
      <w:r>
        <w:rPr>
          <w:spacing w:val="-1"/>
        </w:rPr>
        <w:t> </w:t>
      </w:r>
      <w:r>
        <w:rPr/>
        <w:t>equivalents</w:t>
      </w:r>
    </w:p>
    <w:p>
      <w:pPr>
        <w:pStyle w:val="BodyText"/>
        <w:spacing w:before="11"/>
        <w:rPr>
          <w:b/>
          <w:sz w:val="24"/>
        </w:rPr>
      </w:pPr>
    </w:p>
    <w:p>
      <w:pPr>
        <w:pStyle w:val="BodyText"/>
        <w:ind w:left="504" w:right="200"/>
      </w:pPr>
      <w:bookmarkStart w:name="(j) Trade receivables " w:id="24"/>
      <w:bookmarkEnd w:id="24"/>
      <w:r>
        <w:rPr/>
      </w:r>
      <w:r>
        <w:rPr/>
        <w:t>For statement of cash flows presentation purposes, cash and cash equivalents includes cash on hand, deposits held  at call with financial institutions, other short term, highly liquid investments with original maturities of six months or less that are readily convertible to known amounts of cash and which are subject to an insignificant risk of changes in  value.</w:t>
      </w:r>
    </w:p>
    <w:p>
      <w:pPr>
        <w:pStyle w:val="BodyText"/>
        <w:spacing w:before="11"/>
        <w:rPr>
          <w:sz w:val="24"/>
        </w:rPr>
      </w:pPr>
    </w:p>
    <w:p>
      <w:pPr>
        <w:pStyle w:val="Heading9"/>
        <w:numPr>
          <w:ilvl w:val="0"/>
          <w:numId w:val="9"/>
        </w:numPr>
        <w:tabs>
          <w:tab w:pos="1071" w:val="left" w:leader="none"/>
        </w:tabs>
        <w:spacing w:line="240" w:lineRule="auto" w:before="0" w:after="0"/>
        <w:ind w:left="1070" w:right="0" w:hanging="566"/>
        <w:jc w:val="left"/>
      </w:pPr>
      <w:r>
        <w:rPr/>
        <w:t>Trade</w:t>
      </w:r>
      <w:r>
        <w:rPr>
          <w:spacing w:val="-1"/>
        </w:rPr>
        <w:t> </w:t>
      </w:r>
      <w:r>
        <w:rPr/>
        <w:t>receivables</w:t>
      </w:r>
    </w:p>
    <w:p>
      <w:pPr>
        <w:pStyle w:val="BodyText"/>
        <w:spacing w:before="11"/>
        <w:rPr>
          <w:b/>
          <w:sz w:val="24"/>
        </w:rPr>
      </w:pPr>
    </w:p>
    <w:p>
      <w:pPr>
        <w:pStyle w:val="BodyText"/>
        <w:ind w:left="504" w:right="220"/>
      </w:pPr>
      <w:r>
        <w:rPr/>
        <w:t>Trade receivables are recognised initially at fair value and subsequently measured at amortised cost using the effective interest method, less provision for impairment. The Group's standard terms of trade is 14 days from the date of recognition with the exception of the deferred government contribution for superannuation.</w:t>
      </w:r>
    </w:p>
    <w:p>
      <w:pPr>
        <w:pStyle w:val="BodyText"/>
        <w:spacing w:before="11"/>
        <w:rPr>
          <w:sz w:val="24"/>
        </w:rPr>
      </w:pPr>
    </w:p>
    <w:p>
      <w:pPr>
        <w:pStyle w:val="BodyText"/>
        <w:ind w:left="504" w:right="130"/>
      </w:pPr>
      <w:r>
        <w:rPr/>
        <w:t>Collectability of trade receivables is reviewed on an ongoing basis. Debts which are known to be uncollectible are written off. A provision for impairment of receivables is established when there is objective evidence that the Group will not be able to collect all amounts due according to the original terms of receivables. Significant financial difficulties of the debtor, probability that the debtor will enter bankruptcy or financial reorganisation, and default or delinquency in payments are considered indicators that the trade receivable is impaired. The amount of the provision is the difference between the asset’s carrying amount and the present value of estimated future cash flows, discounted at the effective interest rate.  The amount of the movement in the provision is recognised in the income statement.</w:t>
      </w:r>
    </w:p>
    <w:p>
      <w:pPr>
        <w:pStyle w:val="BodyText"/>
        <w:spacing w:before="11"/>
        <w:rPr>
          <w:sz w:val="24"/>
        </w:rPr>
      </w:pPr>
    </w:p>
    <w:p>
      <w:pPr>
        <w:pStyle w:val="BodyText"/>
        <w:ind w:left="503" w:right="220"/>
      </w:pPr>
      <w:bookmarkStart w:name="(k) Prepayments " w:id="25"/>
      <w:bookmarkEnd w:id="25"/>
      <w:r>
        <w:rPr/>
      </w:r>
      <w:r>
        <w:rPr/>
        <w:t>When a trade receivable is uncollectable the amount of the loss is recognised in the income statement within ‘impairment of assets’. Subsequent recoveries of amounts previously written off are credited to ‘other revenue’ in the income statement.</w:t>
      </w:r>
    </w:p>
    <w:p>
      <w:pPr>
        <w:pStyle w:val="BodyText"/>
        <w:spacing w:before="11"/>
        <w:rPr>
          <w:sz w:val="24"/>
        </w:rPr>
      </w:pPr>
    </w:p>
    <w:p>
      <w:pPr>
        <w:pStyle w:val="BodyText"/>
        <w:ind w:left="503" w:right="220"/>
      </w:pPr>
      <w:r>
        <w:rPr/>
        <w:t>Cash flows relating to short term receivables are not discounted if the effect of discounting is immaterial.</w:t>
      </w:r>
    </w:p>
    <w:p>
      <w:pPr>
        <w:pStyle w:val="BodyText"/>
        <w:spacing w:before="11"/>
        <w:rPr>
          <w:sz w:val="24"/>
        </w:rPr>
      </w:pPr>
    </w:p>
    <w:p>
      <w:pPr>
        <w:pStyle w:val="Heading9"/>
        <w:numPr>
          <w:ilvl w:val="0"/>
          <w:numId w:val="9"/>
        </w:numPr>
        <w:tabs>
          <w:tab w:pos="1071" w:val="left" w:leader="none"/>
        </w:tabs>
        <w:spacing w:line="240" w:lineRule="auto" w:before="0" w:after="0"/>
        <w:ind w:left="1070" w:right="0" w:hanging="566"/>
        <w:jc w:val="left"/>
      </w:pPr>
      <w:bookmarkStart w:name="(l) Inventories " w:id="26"/>
      <w:bookmarkEnd w:id="26"/>
      <w:r>
        <w:rPr>
          <w:b w:val="0"/>
        </w:rPr>
      </w:r>
      <w:bookmarkStart w:name="(l) Inventories " w:id="27"/>
      <w:bookmarkEnd w:id="27"/>
      <w:r>
        <w:rPr/>
        <w:t>Prepa</w:t>
      </w:r>
      <w:r>
        <w:rPr/>
        <w:t>yments</w:t>
      </w:r>
    </w:p>
    <w:p>
      <w:pPr>
        <w:pStyle w:val="BodyText"/>
        <w:spacing w:before="11"/>
        <w:rPr>
          <w:b/>
          <w:sz w:val="24"/>
        </w:rPr>
      </w:pPr>
    </w:p>
    <w:p>
      <w:pPr>
        <w:pStyle w:val="BodyText"/>
        <w:ind w:left="504" w:right="220"/>
      </w:pPr>
      <w:r>
        <w:rPr/>
        <w:t>Payments for goods and services which are to be provided in future years are recognised as prepayments. Prepayments are recorded in trade and other receivables in the statement of financial position.</w:t>
      </w:r>
    </w:p>
    <w:p>
      <w:pPr>
        <w:pStyle w:val="BodyText"/>
        <w:spacing w:before="11"/>
        <w:rPr>
          <w:sz w:val="24"/>
        </w:rPr>
      </w:pPr>
    </w:p>
    <w:p>
      <w:pPr>
        <w:pStyle w:val="Heading9"/>
        <w:numPr>
          <w:ilvl w:val="0"/>
          <w:numId w:val="9"/>
        </w:numPr>
        <w:tabs>
          <w:tab w:pos="1071" w:val="left" w:leader="none"/>
        </w:tabs>
        <w:spacing w:line="240" w:lineRule="auto" w:before="0" w:after="0"/>
        <w:ind w:left="1070" w:right="0" w:hanging="566"/>
        <w:jc w:val="left"/>
      </w:pPr>
      <w:r>
        <w:rPr/>
        <w:t>Inventories</w:t>
      </w:r>
    </w:p>
    <w:p>
      <w:pPr>
        <w:pStyle w:val="BodyText"/>
        <w:spacing w:before="11"/>
        <w:rPr>
          <w:b/>
          <w:sz w:val="24"/>
        </w:rPr>
      </w:pPr>
    </w:p>
    <w:p>
      <w:pPr>
        <w:pStyle w:val="BodyText"/>
        <w:ind w:left="504" w:right="261"/>
      </w:pPr>
      <w:r>
        <w:rPr/>
        <w:t>A stocktake of inventories on hand at year end was performed. All inventories are measured at the lower of cost and net realisable value. Textbooks and retail stock are valued at a weighted average price and other stock is valued at last purchase price.</w:t>
      </w:r>
    </w:p>
    <w:p>
      <w:pPr>
        <w:spacing w:after="0"/>
        <w:sectPr>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pStyle w:val="Heading9"/>
        <w:tabs>
          <w:tab w:pos="503" w:val="left" w:leader="none"/>
        </w:tabs>
        <w:ind w:left="110" w:right="194"/>
      </w:pPr>
      <w:bookmarkStart w:name="(m) Investments and other financial asse" w:id="28"/>
      <w:bookmarkEnd w:id="28"/>
      <w:r>
        <w:rPr>
          <w:b w:val="0"/>
        </w:rPr>
      </w:r>
      <w:bookmarkStart w:name="Classification" w:id="29"/>
      <w:bookmarkEnd w:id="29"/>
      <w:r>
        <w:rPr>
          <w:b w:val="0"/>
        </w:rPr>
      </w:r>
      <w:r>
        <w:rPr/>
        <w:t>1</w:t>
        <w:tab/>
        <w:t>Summary of Significant Accounting Policies</w:t>
      </w:r>
      <w:r>
        <w:rPr>
          <w:spacing w:val="-9"/>
        </w:rPr>
        <w:t> </w:t>
      </w:r>
      <w:r>
        <w:rPr/>
        <w:t>(continued)</w:t>
      </w:r>
    </w:p>
    <w:p>
      <w:pPr>
        <w:pStyle w:val="BodyText"/>
        <w:spacing w:before="11"/>
        <w:rPr>
          <w:b/>
          <w:sz w:val="24"/>
        </w:rPr>
      </w:pPr>
    </w:p>
    <w:p>
      <w:pPr>
        <w:pStyle w:val="ListParagraph"/>
        <w:numPr>
          <w:ilvl w:val="0"/>
          <w:numId w:val="9"/>
        </w:numPr>
        <w:tabs>
          <w:tab w:pos="1071" w:val="left" w:leader="none"/>
        </w:tabs>
        <w:spacing w:line="595" w:lineRule="auto" w:before="0" w:after="0"/>
        <w:ind w:left="1070" w:right="5707" w:hanging="566"/>
        <w:jc w:val="left"/>
        <w:rPr>
          <w:b/>
          <w:sz w:val="18"/>
        </w:rPr>
      </w:pPr>
      <w:r>
        <w:rPr>
          <w:b/>
          <w:sz w:val="18"/>
        </w:rPr>
        <w:t>Investments and other financial assets Classification</w:t>
      </w:r>
    </w:p>
    <w:p>
      <w:pPr>
        <w:pStyle w:val="BodyText"/>
        <w:ind w:left="504" w:right="194"/>
      </w:pPr>
      <w:r>
        <w:rPr/>
        <w:t>The Group classifies its investments in the following categories: held to maturity investments, loans and receivables and available-for-sale financial assets. The classification depends on the purpose for which the investments were acquired. Management determines the classification of its investments at initial recognition and in the case of assets classified as held-to-maturity, re-evaluate this designation at each reporting date.</w:t>
      </w:r>
    </w:p>
    <w:p>
      <w:pPr>
        <w:pStyle w:val="BodyText"/>
        <w:spacing w:before="11"/>
        <w:rPr>
          <w:sz w:val="24"/>
        </w:rPr>
      </w:pPr>
    </w:p>
    <w:p>
      <w:pPr>
        <w:pStyle w:val="ListParagraph"/>
        <w:numPr>
          <w:ilvl w:val="0"/>
          <w:numId w:val="10"/>
        </w:numPr>
        <w:tabs>
          <w:tab w:pos="716" w:val="left" w:leader="none"/>
        </w:tabs>
        <w:spacing w:line="240" w:lineRule="auto" w:before="0" w:after="0"/>
        <w:ind w:left="715" w:right="0" w:hanging="211"/>
        <w:jc w:val="left"/>
        <w:rPr>
          <w:sz w:val="18"/>
        </w:rPr>
      </w:pPr>
      <w:r>
        <w:rPr>
          <w:sz w:val="18"/>
        </w:rPr>
        <w:t>) Held-to-maturity</w:t>
      </w:r>
      <w:r>
        <w:rPr>
          <w:spacing w:val="-1"/>
          <w:sz w:val="18"/>
        </w:rPr>
        <w:t> </w:t>
      </w:r>
      <w:r>
        <w:rPr>
          <w:sz w:val="18"/>
        </w:rPr>
        <w:t>investments</w:t>
      </w:r>
    </w:p>
    <w:p>
      <w:pPr>
        <w:pStyle w:val="BodyText"/>
        <w:spacing w:before="11"/>
        <w:rPr>
          <w:sz w:val="24"/>
        </w:rPr>
      </w:pPr>
    </w:p>
    <w:p>
      <w:pPr>
        <w:pStyle w:val="BodyText"/>
        <w:ind w:left="503" w:right="194"/>
      </w:pPr>
      <w:r>
        <w:rPr/>
        <w:t>Held-to-maturity investments are non-derivative financial assets with fixed or determinable payments and fixed maturities that the Group's management has the positive intention and ability to hold to maturity.</w:t>
      </w:r>
    </w:p>
    <w:p>
      <w:pPr>
        <w:pStyle w:val="BodyText"/>
        <w:spacing w:before="11"/>
        <w:rPr>
          <w:sz w:val="24"/>
        </w:rPr>
      </w:pPr>
    </w:p>
    <w:p>
      <w:pPr>
        <w:pStyle w:val="BodyText"/>
        <w:ind w:left="503" w:right="194"/>
      </w:pPr>
      <w:r>
        <w:rPr/>
        <w:t>The Group has designated as held-to-maturity investments its investment in a fixed income portfolio managed by JB Were Limited.  The investments are included as non-current assets in the statement of financial position (note 23).</w:t>
      </w:r>
    </w:p>
    <w:p>
      <w:pPr>
        <w:pStyle w:val="BodyText"/>
        <w:spacing w:before="11"/>
        <w:rPr>
          <w:sz w:val="24"/>
        </w:rPr>
      </w:pPr>
    </w:p>
    <w:p>
      <w:pPr>
        <w:pStyle w:val="ListParagraph"/>
        <w:numPr>
          <w:ilvl w:val="0"/>
          <w:numId w:val="10"/>
        </w:numPr>
        <w:tabs>
          <w:tab w:pos="757" w:val="left" w:leader="none"/>
        </w:tabs>
        <w:spacing w:line="240" w:lineRule="auto" w:before="0" w:after="0"/>
        <w:ind w:left="756" w:right="0" w:hanging="252"/>
        <w:jc w:val="left"/>
        <w:rPr>
          <w:sz w:val="18"/>
        </w:rPr>
      </w:pPr>
      <w:r>
        <w:rPr>
          <w:sz w:val="18"/>
        </w:rPr>
        <w:t>Loans and</w:t>
      </w:r>
      <w:r>
        <w:rPr>
          <w:spacing w:val="1"/>
          <w:sz w:val="18"/>
        </w:rPr>
        <w:t> </w:t>
      </w:r>
      <w:r>
        <w:rPr>
          <w:sz w:val="18"/>
        </w:rPr>
        <w:t>receivables</w:t>
      </w:r>
    </w:p>
    <w:p>
      <w:pPr>
        <w:pStyle w:val="BodyText"/>
        <w:spacing w:before="11"/>
        <w:rPr>
          <w:sz w:val="24"/>
        </w:rPr>
      </w:pPr>
    </w:p>
    <w:p>
      <w:pPr>
        <w:pStyle w:val="BodyText"/>
        <w:ind w:left="504" w:right="141"/>
      </w:pPr>
      <w:r>
        <w:rPr/>
        <w:t>Loans and receivables are non-derivative financial assets with fixed or determinable payments that are not quoted in an active market. They are included in current assets, except for those with maturities greater than 12 months after the reporting date which are classified as non-current assets. Loans and receivables are included in receivables in the statement of financial</w:t>
      </w:r>
      <w:r>
        <w:rPr>
          <w:spacing w:val="3"/>
        </w:rPr>
        <w:t> </w:t>
      </w:r>
      <w:r>
        <w:rPr/>
        <w:t>position.</w:t>
      </w:r>
    </w:p>
    <w:p>
      <w:pPr>
        <w:pStyle w:val="BodyText"/>
        <w:spacing w:before="11"/>
        <w:rPr>
          <w:sz w:val="24"/>
        </w:rPr>
      </w:pPr>
    </w:p>
    <w:p>
      <w:pPr>
        <w:pStyle w:val="ListParagraph"/>
        <w:numPr>
          <w:ilvl w:val="0"/>
          <w:numId w:val="10"/>
        </w:numPr>
        <w:tabs>
          <w:tab w:pos="798" w:val="left" w:leader="none"/>
        </w:tabs>
        <w:spacing w:line="240" w:lineRule="auto" w:before="0" w:after="0"/>
        <w:ind w:left="797" w:right="0" w:hanging="293"/>
        <w:jc w:val="left"/>
        <w:rPr>
          <w:sz w:val="18"/>
        </w:rPr>
      </w:pPr>
      <w:r>
        <w:rPr>
          <w:sz w:val="18"/>
        </w:rPr>
        <w:t>Available-for-sale financial</w:t>
      </w:r>
      <w:r>
        <w:rPr>
          <w:spacing w:val="1"/>
          <w:sz w:val="18"/>
        </w:rPr>
        <w:t> </w:t>
      </w:r>
      <w:r>
        <w:rPr>
          <w:sz w:val="18"/>
        </w:rPr>
        <w:t>assets</w:t>
      </w:r>
    </w:p>
    <w:p>
      <w:pPr>
        <w:pStyle w:val="BodyText"/>
        <w:spacing w:before="11"/>
        <w:rPr>
          <w:sz w:val="24"/>
        </w:rPr>
      </w:pPr>
    </w:p>
    <w:p>
      <w:pPr>
        <w:pStyle w:val="BodyText"/>
        <w:ind w:left="503" w:right="194"/>
      </w:pPr>
      <w:r>
        <w:rPr/>
        <w:t>Available-for-sale financial assets, comprising principally marketable equity securities, are non-derivatives that are designated in this category.</w:t>
      </w:r>
    </w:p>
    <w:p>
      <w:pPr>
        <w:pStyle w:val="BodyText"/>
        <w:spacing w:before="11"/>
        <w:rPr>
          <w:sz w:val="24"/>
        </w:rPr>
      </w:pPr>
    </w:p>
    <w:p>
      <w:pPr>
        <w:pStyle w:val="BodyText"/>
        <w:ind w:left="503" w:right="194"/>
      </w:pPr>
      <w:r>
        <w:rPr/>
        <w:t>The Group has designated as available-for-sale:</w:t>
      </w:r>
    </w:p>
    <w:p>
      <w:pPr>
        <w:pStyle w:val="BodyText"/>
        <w:spacing w:before="11"/>
        <w:rPr>
          <w:sz w:val="24"/>
        </w:rPr>
      </w:pPr>
    </w:p>
    <w:p>
      <w:pPr>
        <w:pStyle w:val="ListParagraph"/>
        <w:numPr>
          <w:ilvl w:val="0"/>
          <w:numId w:val="11"/>
        </w:numPr>
        <w:tabs>
          <w:tab w:pos="717" w:val="left" w:leader="none"/>
        </w:tabs>
        <w:spacing w:line="240" w:lineRule="auto" w:before="0" w:after="0"/>
        <w:ind w:left="716" w:right="0" w:hanging="162"/>
        <w:jc w:val="left"/>
        <w:rPr>
          <w:sz w:val="18"/>
        </w:rPr>
      </w:pPr>
      <w:r>
        <w:rPr>
          <w:sz w:val="18"/>
        </w:rPr>
        <w:t>units held in Acadian Australian Equity High Yield Fund, a managed investment fund;</w:t>
      </w:r>
      <w:r>
        <w:rPr>
          <w:spacing w:val="11"/>
          <w:sz w:val="18"/>
        </w:rPr>
        <w:t> </w:t>
      </w:r>
      <w:r>
        <w:rPr>
          <w:sz w:val="18"/>
        </w:rPr>
        <w:t>and</w:t>
      </w:r>
    </w:p>
    <w:p>
      <w:pPr>
        <w:pStyle w:val="BodyText"/>
        <w:spacing w:before="11"/>
        <w:rPr>
          <w:sz w:val="24"/>
        </w:rPr>
      </w:pPr>
    </w:p>
    <w:p>
      <w:pPr>
        <w:pStyle w:val="ListParagraph"/>
        <w:numPr>
          <w:ilvl w:val="0"/>
          <w:numId w:val="11"/>
        </w:numPr>
        <w:tabs>
          <w:tab w:pos="717" w:val="left" w:leader="none"/>
        </w:tabs>
        <w:spacing w:line="240" w:lineRule="auto" w:before="0" w:after="0"/>
        <w:ind w:left="716" w:right="0" w:hanging="162"/>
        <w:jc w:val="left"/>
        <w:rPr>
          <w:sz w:val="18"/>
        </w:rPr>
      </w:pPr>
      <w:r>
        <w:rPr>
          <w:sz w:val="18"/>
        </w:rPr>
        <w:t>unlisted securities</w:t>
      </w:r>
    </w:p>
    <w:p>
      <w:pPr>
        <w:pStyle w:val="BodyText"/>
        <w:spacing w:before="11"/>
        <w:rPr>
          <w:sz w:val="24"/>
        </w:rPr>
      </w:pPr>
    </w:p>
    <w:p>
      <w:pPr>
        <w:pStyle w:val="BodyText"/>
        <w:ind w:left="503" w:right="194"/>
      </w:pPr>
      <w:r>
        <w:rPr/>
        <w:t>The Acadian Australian Equity High Yield Fund units and unlisted securities are included as non-current assets in the statement of financial position (note 23).</w:t>
      </w:r>
    </w:p>
    <w:p>
      <w:pPr>
        <w:pStyle w:val="BodyText"/>
        <w:spacing w:before="11"/>
        <w:rPr>
          <w:sz w:val="24"/>
        </w:rPr>
      </w:pPr>
    </w:p>
    <w:p>
      <w:pPr>
        <w:pStyle w:val="BodyText"/>
        <w:ind w:left="503" w:right="194"/>
      </w:pPr>
      <w:r>
        <w:rPr/>
        <w:t>Unrealised gains and losses arising from changes in the fair value of financial assets classified as available-for-sale are recognised in equity in the available-for-sale investments revaluation reserve (note 29(a)).</w:t>
      </w:r>
    </w:p>
    <w:p>
      <w:pPr>
        <w:pStyle w:val="BodyText"/>
        <w:spacing w:before="11"/>
        <w:rPr>
          <w:sz w:val="24"/>
        </w:rPr>
      </w:pPr>
    </w:p>
    <w:p>
      <w:pPr>
        <w:pStyle w:val="ListParagraph"/>
        <w:numPr>
          <w:ilvl w:val="0"/>
          <w:numId w:val="10"/>
        </w:numPr>
        <w:tabs>
          <w:tab w:pos="805" w:val="left" w:leader="none"/>
        </w:tabs>
        <w:spacing w:line="240" w:lineRule="auto" w:before="0" w:after="0"/>
        <w:ind w:left="804" w:right="0" w:hanging="300"/>
        <w:jc w:val="left"/>
        <w:rPr>
          <w:sz w:val="18"/>
        </w:rPr>
      </w:pPr>
      <w:r>
        <w:rPr>
          <w:sz w:val="18"/>
        </w:rPr>
        <w:t>Recognition and derecognition of financial</w:t>
      </w:r>
      <w:r>
        <w:rPr>
          <w:spacing w:val="4"/>
          <w:sz w:val="18"/>
        </w:rPr>
        <w:t> </w:t>
      </w:r>
      <w:r>
        <w:rPr>
          <w:sz w:val="18"/>
        </w:rPr>
        <w:t>assets</w:t>
      </w:r>
    </w:p>
    <w:p>
      <w:pPr>
        <w:pStyle w:val="BodyText"/>
        <w:spacing w:before="11"/>
        <w:rPr>
          <w:sz w:val="24"/>
        </w:rPr>
      </w:pPr>
    </w:p>
    <w:p>
      <w:pPr>
        <w:pStyle w:val="BodyText"/>
        <w:ind w:left="504" w:right="194"/>
      </w:pPr>
      <w:r>
        <w:rPr/>
        <w:t>Purchases and sales of investments are recognised on 'trade date' which is the date on which the Group commits to purchase or sell the asset. Investments are initially recognised at fair value plus transaction costs for all financial assets not carried at fair value through profit and loss. Financial assets carried at fair value through profit and loss are initially recognised at fair value and transaction costs are expensed in the income statement. Financial assets are derecognised when the rights to receive cash flows from the financial assets have expired or have been transferred and the Group has transferred substantially all the risks and rewards of ownership.</w:t>
      </w:r>
    </w:p>
    <w:p>
      <w:pPr>
        <w:spacing w:after="0"/>
        <w:sectPr>
          <w:pgSz w:w="11910" w:h="16840"/>
          <w:pgMar w:header="1037" w:footer="507" w:top="2220" w:bottom="700" w:left="900" w:right="900"/>
        </w:sectPr>
      </w:pPr>
    </w:p>
    <w:p>
      <w:pPr>
        <w:pStyle w:val="BodyText"/>
        <w:rPr>
          <w:sz w:val="20"/>
        </w:rPr>
      </w:pPr>
    </w:p>
    <w:p>
      <w:pPr>
        <w:pStyle w:val="BodyText"/>
        <w:rPr>
          <w:sz w:val="20"/>
        </w:rPr>
      </w:pPr>
    </w:p>
    <w:p>
      <w:pPr>
        <w:pStyle w:val="BodyText"/>
        <w:spacing w:before="5"/>
      </w:pPr>
    </w:p>
    <w:p>
      <w:pPr>
        <w:pStyle w:val="Heading9"/>
        <w:tabs>
          <w:tab w:pos="503" w:val="left" w:leader="none"/>
        </w:tabs>
        <w:ind w:left="110" w:right="161"/>
      </w:pPr>
      <w:r>
        <w:rPr/>
        <w:t>1</w:t>
        <w:tab/>
        <w:t>Summary of Significant Accounting Policies</w:t>
      </w:r>
      <w:r>
        <w:rPr>
          <w:spacing w:val="-9"/>
        </w:rPr>
        <w:t> </w:t>
      </w:r>
      <w:r>
        <w:rPr/>
        <w:t>(continued)</w:t>
      </w:r>
    </w:p>
    <w:p>
      <w:pPr>
        <w:pStyle w:val="BodyText"/>
        <w:spacing w:before="11"/>
        <w:rPr>
          <w:b/>
          <w:sz w:val="24"/>
        </w:rPr>
      </w:pPr>
    </w:p>
    <w:p>
      <w:pPr>
        <w:pStyle w:val="ListParagraph"/>
        <w:numPr>
          <w:ilvl w:val="0"/>
          <w:numId w:val="12"/>
        </w:numPr>
        <w:tabs>
          <w:tab w:pos="1071" w:val="left" w:leader="none"/>
        </w:tabs>
        <w:spacing w:line="595" w:lineRule="auto" w:before="0" w:after="0"/>
        <w:ind w:left="1636" w:right="4713" w:hanging="1132"/>
        <w:jc w:val="left"/>
        <w:rPr>
          <w:b/>
          <w:sz w:val="18"/>
        </w:rPr>
      </w:pPr>
      <w:r>
        <w:rPr>
          <w:b/>
          <w:sz w:val="18"/>
        </w:rPr>
        <w:t>Investments and other financial assets (continued) Classification (continued)</w:t>
      </w:r>
    </w:p>
    <w:p>
      <w:pPr>
        <w:pStyle w:val="BodyText"/>
        <w:ind w:left="504" w:right="161"/>
      </w:pPr>
      <w:r>
        <w:rPr/>
        <w:t>When investments classified as available-for-sale are sold, the accumulated fair value adjustments recognised in other comprehensive income are included in the income statement as gains and losses from sale of available-for-sale financial assets (note 5).</w:t>
      </w:r>
    </w:p>
    <w:p>
      <w:pPr>
        <w:pStyle w:val="BodyText"/>
        <w:spacing w:before="11"/>
        <w:rPr>
          <w:sz w:val="24"/>
        </w:rPr>
      </w:pPr>
    </w:p>
    <w:p>
      <w:pPr>
        <w:pStyle w:val="ListParagraph"/>
        <w:numPr>
          <w:ilvl w:val="0"/>
          <w:numId w:val="10"/>
        </w:numPr>
        <w:tabs>
          <w:tab w:pos="765" w:val="left" w:leader="none"/>
        </w:tabs>
        <w:spacing w:line="240" w:lineRule="auto" w:before="0" w:after="0"/>
        <w:ind w:left="764" w:right="0" w:hanging="260"/>
        <w:jc w:val="left"/>
        <w:rPr>
          <w:sz w:val="18"/>
        </w:rPr>
      </w:pPr>
      <w:r>
        <w:rPr>
          <w:sz w:val="18"/>
        </w:rPr>
        <w:t>Recognition and derecognition of financial</w:t>
      </w:r>
      <w:r>
        <w:rPr>
          <w:spacing w:val="4"/>
          <w:sz w:val="18"/>
        </w:rPr>
        <w:t> </w:t>
      </w:r>
      <w:r>
        <w:rPr>
          <w:sz w:val="18"/>
        </w:rPr>
        <w:t>assets</w:t>
      </w:r>
    </w:p>
    <w:p>
      <w:pPr>
        <w:pStyle w:val="BodyText"/>
        <w:spacing w:before="11"/>
        <w:rPr>
          <w:sz w:val="24"/>
        </w:rPr>
      </w:pPr>
    </w:p>
    <w:p>
      <w:pPr>
        <w:pStyle w:val="BodyText"/>
        <w:ind w:left="504" w:right="161"/>
      </w:pPr>
      <w:r>
        <w:rPr/>
        <w:t>Available-for-sale financial assets are subsequently carried at fair value. Loans and receivables and held-to-maturity investments are carried at amortised cost using the effective interest method.</w:t>
      </w:r>
    </w:p>
    <w:p>
      <w:pPr>
        <w:pStyle w:val="BodyText"/>
        <w:spacing w:before="11"/>
        <w:rPr>
          <w:sz w:val="24"/>
        </w:rPr>
      </w:pPr>
    </w:p>
    <w:p>
      <w:pPr>
        <w:pStyle w:val="ListParagraph"/>
        <w:numPr>
          <w:ilvl w:val="0"/>
          <w:numId w:val="10"/>
        </w:numPr>
        <w:tabs>
          <w:tab w:pos="805" w:val="left" w:leader="none"/>
        </w:tabs>
        <w:spacing w:line="240" w:lineRule="auto" w:before="0" w:after="0"/>
        <w:ind w:left="804" w:right="0" w:hanging="300"/>
        <w:jc w:val="left"/>
        <w:rPr>
          <w:sz w:val="18"/>
        </w:rPr>
      </w:pPr>
      <w:r>
        <w:rPr>
          <w:sz w:val="18"/>
        </w:rPr>
        <w:t>value</w:t>
      </w:r>
    </w:p>
    <w:p>
      <w:pPr>
        <w:pStyle w:val="BodyText"/>
        <w:spacing w:before="11"/>
        <w:rPr>
          <w:sz w:val="24"/>
        </w:rPr>
      </w:pPr>
    </w:p>
    <w:p>
      <w:pPr>
        <w:pStyle w:val="BodyText"/>
        <w:ind w:left="503" w:right="161"/>
      </w:pPr>
      <w:r>
        <w:rPr/>
        <w:t>The fair values of investments and other financial assets are based on quoted prices in an active market. If the market for a financial asset is not active (and for unlisted securities), the Group establishes fair value by using valuation techniques that maximise the use of relevant data. These include reference to the estimated price in an orderly transaction that would take place between market participants at the measurement date. Other valuation techniques used are the cost approach and the income approach based on characteristics of the asset and the assumptions made by market participants.</w:t>
      </w:r>
    </w:p>
    <w:p>
      <w:pPr>
        <w:pStyle w:val="BodyText"/>
        <w:spacing w:before="11"/>
        <w:rPr>
          <w:sz w:val="24"/>
        </w:rPr>
      </w:pPr>
    </w:p>
    <w:p>
      <w:pPr>
        <w:pStyle w:val="ListParagraph"/>
        <w:numPr>
          <w:ilvl w:val="0"/>
          <w:numId w:val="10"/>
        </w:numPr>
        <w:tabs>
          <w:tab w:pos="846" w:val="left" w:leader="none"/>
        </w:tabs>
        <w:spacing w:line="240" w:lineRule="auto" w:before="0" w:after="0"/>
        <w:ind w:left="845" w:right="0" w:hanging="341"/>
        <w:jc w:val="left"/>
        <w:rPr>
          <w:sz w:val="18"/>
        </w:rPr>
      </w:pPr>
      <w:r>
        <w:rPr>
          <w:sz w:val="18"/>
        </w:rPr>
        <w:t>value</w:t>
      </w:r>
    </w:p>
    <w:p>
      <w:pPr>
        <w:pStyle w:val="BodyText"/>
        <w:spacing w:before="11"/>
        <w:rPr>
          <w:sz w:val="24"/>
        </w:rPr>
      </w:pPr>
    </w:p>
    <w:p>
      <w:pPr>
        <w:pStyle w:val="BodyText"/>
        <w:ind w:left="504" w:right="161"/>
      </w:pPr>
      <w:r>
        <w:rPr/>
        <w:t>The Group assesses at each balance date whether there is objective evidence that a financial asset or group of financial assets is impaired. In the case of equity securities classified as available-for-sale, a significant or prolonged </w:t>
      </w:r>
      <w:bookmarkStart w:name="(n) Non-current assets (or disposal grou" w:id="30"/>
      <w:bookmarkEnd w:id="30"/>
      <w:r>
        <w:rPr/>
      </w:r>
      <w:r>
        <w:rPr/>
        <w:t>decline in the fair value of a security below its cost is considered in determining whether the security is impaired. If any such evidence exists for available-for-sale financial assets, the cumulative loss - measured as the difference between the acquisition cost and the current fair value, less any impairment loss on that financial asset previously recognised in profit and loss - is removed from equity and recognised in the income statement. Impairment losses recognised in the income statement on equity instruments are not reversed through the income</w:t>
      </w:r>
      <w:r>
        <w:rPr>
          <w:spacing w:val="11"/>
        </w:rPr>
        <w:t> </w:t>
      </w:r>
      <w:r>
        <w:rPr/>
        <w:t>statement.</w:t>
      </w:r>
    </w:p>
    <w:p>
      <w:pPr>
        <w:pStyle w:val="BodyText"/>
        <w:spacing w:before="11"/>
        <w:rPr>
          <w:sz w:val="24"/>
        </w:rPr>
      </w:pPr>
    </w:p>
    <w:p>
      <w:pPr>
        <w:pStyle w:val="Heading9"/>
        <w:numPr>
          <w:ilvl w:val="0"/>
          <w:numId w:val="12"/>
        </w:numPr>
        <w:tabs>
          <w:tab w:pos="1071" w:val="left" w:leader="none"/>
        </w:tabs>
        <w:spacing w:line="240" w:lineRule="auto" w:before="0" w:after="0"/>
        <w:ind w:left="1070" w:right="0" w:hanging="566"/>
        <w:jc w:val="left"/>
      </w:pPr>
      <w:r>
        <w:rPr/>
        <w:t>Non-current assets (or disposal groups) held for sale and discontinued operations</w:t>
      </w:r>
    </w:p>
    <w:p>
      <w:pPr>
        <w:pStyle w:val="BodyText"/>
        <w:spacing w:before="11"/>
        <w:rPr>
          <w:b/>
          <w:sz w:val="24"/>
        </w:rPr>
      </w:pPr>
    </w:p>
    <w:p>
      <w:pPr>
        <w:pStyle w:val="BodyText"/>
        <w:ind w:left="504" w:right="161"/>
      </w:pPr>
      <w:r>
        <w:rPr/>
        <w:t>Non-current assets (or disposal groups) are classified as held for sale and stated at the lower of their carrying amount and fair value less costs of disposal, if their carrying amount will be recovered principally through a sale transaction rather than through continuing use.</w:t>
      </w:r>
    </w:p>
    <w:p>
      <w:pPr>
        <w:pStyle w:val="BodyText"/>
        <w:spacing w:before="11"/>
        <w:rPr>
          <w:sz w:val="24"/>
        </w:rPr>
      </w:pPr>
    </w:p>
    <w:p>
      <w:pPr>
        <w:pStyle w:val="BodyText"/>
        <w:ind w:left="504" w:right="161"/>
      </w:pPr>
      <w:r>
        <w:rPr/>
        <w:t>An impairment loss is recognised for any initial or subsequent write down of the asset (or disposal group) to fair value less costs to sell. A gain is recognised for any subsequent increases in fair value less costs to sell of an asset (or disposal group), but not in excess of any cumulative impairment loss previously recognised. A gain or loss not previously recognised by the date of the sale of the non-current asset (or disposal group) is recognised at the date of derecognition.</w:t>
      </w:r>
    </w:p>
    <w:p>
      <w:pPr>
        <w:pStyle w:val="BodyText"/>
        <w:spacing w:before="11"/>
        <w:rPr>
          <w:sz w:val="24"/>
        </w:rPr>
      </w:pPr>
    </w:p>
    <w:p>
      <w:pPr>
        <w:pStyle w:val="BodyText"/>
        <w:ind w:left="504" w:right="252"/>
      </w:pPr>
      <w:r>
        <w:rPr/>
        <w:t>Non-current assets (including those that are part of a disposal group) are not depreciated or amortised while they are classified as held for sale. Interest and other expenses attributable to the liabilities of a disposal group classified as held for sale continue to be recognised.</w:t>
      </w:r>
    </w:p>
    <w:p>
      <w:pPr>
        <w:pStyle w:val="BodyText"/>
        <w:spacing w:before="11"/>
        <w:rPr>
          <w:sz w:val="24"/>
        </w:rPr>
      </w:pPr>
    </w:p>
    <w:p>
      <w:pPr>
        <w:pStyle w:val="BodyText"/>
        <w:ind w:left="503" w:right="161"/>
      </w:pPr>
      <w:r>
        <w:rPr/>
        <w:t>Non-current assets classified as held for sale and the assets of a disposal group classified as held for sale are presented separately from the other assets in the statement of financial position. The liabilities of a disposal group classified as held for sale are presented separately from other liabilities in the statement of financial position.</w:t>
      </w:r>
    </w:p>
    <w:p>
      <w:pPr>
        <w:spacing w:after="0"/>
        <w:sectPr>
          <w:pgSz w:w="11910" w:h="16840"/>
          <w:pgMar w:header="1037" w:footer="507" w:top="2220" w:bottom="700" w:left="900" w:right="860"/>
        </w:sectPr>
      </w:pPr>
    </w:p>
    <w:p>
      <w:pPr>
        <w:pStyle w:val="BodyText"/>
        <w:rPr>
          <w:sz w:val="20"/>
        </w:rPr>
      </w:pPr>
    </w:p>
    <w:p>
      <w:pPr>
        <w:pStyle w:val="BodyText"/>
        <w:rPr>
          <w:sz w:val="20"/>
        </w:rPr>
      </w:pPr>
    </w:p>
    <w:p>
      <w:pPr>
        <w:pStyle w:val="BodyText"/>
        <w:spacing w:before="5"/>
      </w:pPr>
    </w:p>
    <w:p>
      <w:pPr>
        <w:pStyle w:val="Heading9"/>
        <w:tabs>
          <w:tab w:pos="503" w:val="left" w:leader="none"/>
        </w:tabs>
        <w:ind w:left="110" w:right="194"/>
      </w:pPr>
      <w:bookmarkStart w:name="(o) Fair value measurement " w:id="31"/>
      <w:bookmarkEnd w:id="31"/>
      <w:r>
        <w:rPr>
          <w:b w:val="0"/>
        </w:rPr>
      </w:r>
      <w:r>
        <w:rPr/>
        <w:t>1</w:t>
        <w:tab/>
        <w:t>Summary of Significant Accounting Policies</w:t>
      </w:r>
      <w:r>
        <w:rPr>
          <w:spacing w:val="-9"/>
        </w:rPr>
        <w:t> </w:t>
      </w:r>
      <w:r>
        <w:rPr/>
        <w:t>(continued)</w:t>
      </w:r>
    </w:p>
    <w:p>
      <w:pPr>
        <w:pStyle w:val="BodyText"/>
        <w:spacing w:before="11"/>
        <w:rPr>
          <w:b/>
          <w:sz w:val="24"/>
        </w:rPr>
      </w:pPr>
    </w:p>
    <w:p>
      <w:pPr>
        <w:pStyle w:val="ListParagraph"/>
        <w:numPr>
          <w:ilvl w:val="0"/>
          <w:numId w:val="12"/>
        </w:numPr>
        <w:tabs>
          <w:tab w:pos="1071" w:val="left" w:leader="none"/>
        </w:tabs>
        <w:spacing w:line="240" w:lineRule="auto" w:before="0" w:after="0"/>
        <w:ind w:left="1070" w:right="0" w:hanging="566"/>
        <w:jc w:val="left"/>
        <w:rPr>
          <w:b/>
          <w:sz w:val="18"/>
        </w:rPr>
      </w:pPr>
      <w:r>
        <w:rPr>
          <w:b/>
          <w:sz w:val="18"/>
        </w:rPr>
        <w:t>Fair value</w:t>
      </w:r>
      <w:r>
        <w:rPr>
          <w:b/>
          <w:spacing w:val="-1"/>
          <w:sz w:val="18"/>
        </w:rPr>
        <w:t> </w:t>
      </w:r>
      <w:r>
        <w:rPr>
          <w:b/>
          <w:sz w:val="18"/>
        </w:rPr>
        <w:t>measurement</w:t>
      </w:r>
    </w:p>
    <w:p>
      <w:pPr>
        <w:pStyle w:val="BodyText"/>
        <w:spacing w:before="11"/>
        <w:rPr>
          <w:b/>
          <w:sz w:val="24"/>
        </w:rPr>
      </w:pPr>
    </w:p>
    <w:p>
      <w:pPr>
        <w:pStyle w:val="BodyText"/>
        <w:ind w:left="504" w:right="194"/>
      </w:pPr>
      <w:r>
        <w:rPr/>
        <w:t>The fair value of assets and liabilities must be measured for recognition and disclosure purposes.</w:t>
      </w:r>
    </w:p>
    <w:p>
      <w:pPr>
        <w:pStyle w:val="BodyText"/>
        <w:spacing w:before="11"/>
        <w:rPr>
          <w:sz w:val="24"/>
        </w:rPr>
      </w:pPr>
    </w:p>
    <w:p>
      <w:pPr>
        <w:pStyle w:val="BodyText"/>
        <w:ind w:left="504" w:right="194"/>
      </w:pPr>
      <w:r>
        <w:rPr/>
        <w:t>The Group classifies fair value measurements using a fair value hierarchy that reflects the significance of the inputs used in making the measurements.</w:t>
      </w:r>
    </w:p>
    <w:p>
      <w:pPr>
        <w:pStyle w:val="BodyText"/>
        <w:spacing w:before="11"/>
        <w:rPr>
          <w:sz w:val="24"/>
        </w:rPr>
      </w:pPr>
    </w:p>
    <w:p>
      <w:pPr>
        <w:pStyle w:val="BodyText"/>
        <w:ind w:left="504" w:right="263"/>
      </w:pPr>
      <w:r>
        <w:rPr/>
        <w:t>The fair value of assets or liabilities traded in active markets (such as publicly traded derivatives, and trading and available-for-sale securities) is based on quoted market prices for identical assets or liabilities at the end of the reporting date (Level 1). The quoted market price used for assets held by the Group is the most representative of fair value in the circumstances within the bid-ask spread.</w:t>
      </w:r>
    </w:p>
    <w:p>
      <w:pPr>
        <w:pStyle w:val="BodyText"/>
        <w:spacing w:before="11"/>
        <w:rPr>
          <w:sz w:val="24"/>
        </w:rPr>
      </w:pPr>
    </w:p>
    <w:p>
      <w:pPr>
        <w:pStyle w:val="BodyText"/>
        <w:ind w:left="504" w:right="194"/>
      </w:pPr>
      <w:r>
        <w:rPr/>
        <w:t>The fair value of assets or liabilities that are not traded in an active market are determined using valuation techniques. The Group uses a variety of methods and makes assumptions that are based on market conditions existing at each balance date. Quoted market prices or dealer quotes for similar instruments (Level 2) are used for long-term debt instruments held. Other techniques that are not based on observable market data (Level 3) such as estimated discounted cash flows, are used to determine fair value for the remaining assets and liabilities. The level in the fair value hierarchy shall be determined on the basis of the lowest level input that is significant to the fair value measurement in its entirety.</w:t>
      </w:r>
    </w:p>
    <w:p>
      <w:pPr>
        <w:pStyle w:val="BodyText"/>
        <w:spacing w:before="11"/>
        <w:rPr>
          <w:sz w:val="24"/>
        </w:rPr>
      </w:pPr>
    </w:p>
    <w:p>
      <w:pPr>
        <w:pStyle w:val="BodyText"/>
        <w:ind w:left="504" w:right="148"/>
      </w:pPr>
      <w:r>
        <w:rPr/>
        <w:t>Fair value measurement of non-financial assets is based on the highest and best use of the asset. The Group considers market participants' use of, or purchase price, of the asset to be in a manner that would be highest and best use.</w:t>
      </w:r>
    </w:p>
    <w:p>
      <w:pPr>
        <w:pStyle w:val="BodyText"/>
        <w:spacing w:before="11"/>
        <w:rPr>
          <w:sz w:val="24"/>
        </w:rPr>
      </w:pPr>
    </w:p>
    <w:p>
      <w:pPr>
        <w:pStyle w:val="BodyText"/>
        <w:ind w:left="504" w:right="51"/>
      </w:pPr>
      <w:bookmarkStart w:name="(p) Property, Plant and Equipment " w:id="32"/>
      <w:bookmarkEnd w:id="32"/>
      <w:r>
        <w:rPr/>
      </w:r>
      <w:r>
        <w:rPr/>
        <w:t>The carrying value less impairment provision of trade receivables and payables are assumed to approximate their fair values due to their short-term nature. The fair value of financial liabilities for disclosure purposes is estimated by discounting the future contractual cash flows at the current market interest rate that is available to the Group for similar financial instruments.</w:t>
      </w:r>
    </w:p>
    <w:p>
      <w:pPr>
        <w:pStyle w:val="BodyText"/>
        <w:spacing w:before="11"/>
        <w:rPr>
          <w:sz w:val="24"/>
        </w:rPr>
      </w:pPr>
    </w:p>
    <w:p>
      <w:pPr>
        <w:pStyle w:val="Heading9"/>
        <w:numPr>
          <w:ilvl w:val="0"/>
          <w:numId w:val="12"/>
        </w:numPr>
        <w:tabs>
          <w:tab w:pos="1071" w:val="left" w:leader="none"/>
        </w:tabs>
        <w:spacing w:line="240" w:lineRule="auto" w:before="0" w:after="0"/>
        <w:ind w:left="1070" w:right="0" w:hanging="566"/>
        <w:jc w:val="left"/>
      </w:pPr>
      <w:r>
        <w:rPr/>
        <w:t>Property, Plant and</w:t>
      </w:r>
      <w:r>
        <w:rPr>
          <w:spacing w:val="-9"/>
        </w:rPr>
        <w:t> </w:t>
      </w:r>
      <w:r>
        <w:rPr/>
        <w:t>Equipment</w:t>
      </w:r>
    </w:p>
    <w:p>
      <w:pPr>
        <w:pStyle w:val="BodyText"/>
        <w:spacing w:before="11"/>
        <w:rPr>
          <w:b/>
          <w:sz w:val="24"/>
        </w:rPr>
      </w:pPr>
    </w:p>
    <w:p>
      <w:pPr>
        <w:pStyle w:val="BodyText"/>
        <w:ind w:left="504" w:right="148"/>
      </w:pPr>
      <w:r>
        <w:rPr/>
        <w:t>Land, buildings and the art collection are capitalised and shown at fair value, based on periodic, but at least triennial, valuations by external independent valuers, less subsequent depreciation for buildings. Any accumulated depreciation at the date of revaluation is eliminated against the gross carrying amount of the asset and the carrying amount is restated to the revalued amount of the asset.</w:t>
      </w:r>
    </w:p>
    <w:p>
      <w:pPr>
        <w:pStyle w:val="BodyText"/>
        <w:spacing w:before="11"/>
        <w:rPr>
          <w:sz w:val="24"/>
        </w:rPr>
      </w:pPr>
    </w:p>
    <w:p>
      <w:pPr>
        <w:pStyle w:val="BodyText"/>
        <w:ind w:left="503" w:right="194"/>
      </w:pPr>
      <w:r>
        <w:rPr/>
        <w:t>Valuation for land and new or refurbished buildings was undertaken as at 31 August 2017 by external experts in accordance with AASB 13. Land and buildings were revalued on the basis of highest and best use.</w:t>
      </w:r>
    </w:p>
    <w:p>
      <w:pPr>
        <w:pStyle w:val="BodyText"/>
        <w:spacing w:before="11"/>
        <w:rPr>
          <w:sz w:val="24"/>
        </w:rPr>
      </w:pPr>
    </w:p>
    <w:p>
      <w:pPr>
        <w:pStyle w:val="BodyText"/>
        <w:ind w:left="503" w:right="194"/>
      </w:pPr>
      <w:r>
        <w:rPr/>
        <w:t>For non-completed assets, construction costs totalling $7.594M incurred up to the reporting date were capitalised subsequent to the buildings revaluation. The scope of the valuation did not include revaluation of these buildings. The value of these refurbished buildings is based on the 30 September 2016 revaluation by the Valuer plus the construction costs capitalised in</w:t>
      </w:r>
      <w:r>
        <w:rPr>
          <w:spacing w:val="3"/>
        </w:rPr>
        <w:t> </w:t>
      </w:r>
      <w:r>
        <w:rPr/>
        <w:t>2017.</w:t>
      </w:r>
    </w:p>
    <w:p>
      <w:pPr>
        <w:pStyle w:val="BodyText"/>
        <w:spacing w:before="11"/>
        <w:rPr>
          <w:sz w:val="24"/>
        </w:rPr>
      </w:pPr>
    </w:p>
    <w:p>
      <w:pPr>
        <w:pStyle w:val="BodyText"/>
        <w:ind w:left="504" w:right="251"/>
      </w:pPr>
      <w:r>
        <w:rPr/>
        <w:t>The Group undertakes a regular review of its land holdings in light of the future academic footprint of the University. Re-evaluation may be undertaken from time to time on land originally designated for educational use with a view to realising monies to fund infrastructure requirements via sale and or joint development, following appropriate rezoning of the land to allow alternate uses.</w:t>
      </w:r>
    </w:p>
    <w:p>
      <w:pPr>
        <w:spacing w:after="0"/>
        <w:sectPr>
          <w:pgSz w:w="11910" w:h="16840"/>
          <w:pgMar w:header="1037" w:footer="507" w:top="2220" w:bottom="700" w:left="900" w:right="900"/>
        </w:sectPr>
      </w:pPr>
    </w:p>
    <w:p>
      <w:pPr>
        <w:pStyle w:val="BodyText"/>
        <w:rPr>
          <w:sz w:val="20"/>
        </w:rPr>
      </w:pPr>
    </w:p>
    <w:p>
      <w:pPr>
        <w:pStyle w:val="BodyText"/>
        <w:rPr>
          <w:sz w:val="20"/>
        </w:rPr>
      </w:pPr>
    </w:p>
    <w:p>
      <w:pPr>
        <w:pStyle w:val="BodyText"/>
        <w:spacing w:before="5"/>
      </w:pPr>
    </w:p>
    <w:p>
      <w:pPr>
        <w:pStyle w:val="Heading9"/>
        <w:tabs>
          <w:tab w:pos="503" w:val="left" w:leader="none"/>
        </w:tabs>
        <w:ind w:left="110" w:right="194"/>
      </w:pPr>
      <w:r>
        <w:rPr/>
        <w:t>1</w:t>
        <w:tab/>
        <w:t>Summary of Significant Accounting Policies</w:t>
      </w:r>
      <w:r>
        <w:rPr>
          <w:spacing w:val="-9"/>
        </w:rPr>
        <w:t> </w:t>
      </w:r>
      <w:r>
        <w:rPr/>
        <w:t>(continued)</w:t>
      </w:r>
    </w:p>
    <w:p>
      <w:pPr>
        <w:pStyle w:val="BodyText"/>
        <w:spacing w:before="11"/>
        <w:rPr>
          <w:b/>
          <w:sz w:val="24"/>
        </w:rPr>
      </w:pPr>
    </w:p>
    <w:p>
      <w:pPr>
        <w:tabs>
          <w:tab w:pos="1070" w:val="left" w:leader="none"/>
        </w:tabs>
        <w:spacing w:before="0"/>
        <w:ind w:left="504" w:right="194" w:firstLine="0"/>
        <w:jc w:val="left"/>
        <w:rPr>
          <w:b/>
          <w:sz w:val="18"/>
        </w:rPr>
      </w:pPr>
      <w:r>
        <w:rPr>
          <w:b/>
          <w:sz w:val="18"/>
        </w:rPr>
        <w:t>(p)</w:t>
        <w:tab/>
        <w:t>Property, Plant and Equipment</w:t>
      </w:r>
      <w:r>
        <w:rPr>
          <w:b/>
          <w:spacing w:val="-9"/>
          <w:sz w:val="18"/>
        </w:rPr>
        <w:t> </w:t>
      </w:r>
      <w:r>
        <w:rPr>
          <w:b/>
          <w:sz w:val="18"/>
        </w:rPr>
        <w:t>(continued)</w:t>
      </w:r>
    </w:p>
    <w:p>
      <w:pPr>
        <w:pStyle w:val="BodyText"/>
        <w:spacing w:before="11"/>
        <w:rPr>
          <w:b/>
          <w:sz w:val="24"/>
        </w:rPr>
      </w:pPr>
    </w:p>
    <w:p>
      <w:pPr>
        <w:pStyle w:val="BodyText"/>
        <w:ind w:left="504" w:right="148"/>
      </w:pPr>
      <w:r>
        <w:rPr/>
        <w:t>The fair value of land is the amount for which the land could be exchanged between willing parties in an arms length transaction, based on market prices for similar properties, with similar zoning, in comparable locations and condition. The Group expects that the fair value of land already rezoned to allow for alternate use shall be different to land available for educational use only. Valuers engaged to determine the fair value of the land have taken into account the intended use and ultimate disposal of the land, as applicable.</w:t>
      </w:r>
    </w:p>
    <w:p>
      <w:pPr>
        <w:pStyle w:val="BodyText"/>
        <w:spacing w:before="11"/>
        <w:rPr>
          <w:sz w:val="24"/>
        </w:rPr>
      </w:pPr>
    </w:p>
    <w:p>
      <w:pPr>
        <w:pStyle w:val="BodyText"/>
        <w:ind w:left="504" w:right="194"/>
      </w:pPr>
      <w:r>
        <w:rPr/>
        <w:t>Due to the specialised nature of buildings and the lack of directly comparable sales evidence, the 31 August 2017 valuation for new and refurbished buildings was undertaken utilising the Summation Valuation approach, whereby the cost to construct improvements as new is estimated and that amount depreciated, after taking into consideration the nature and design of the improvements, their age and the current condition. In determining the value for each building the exterior dimensions of each building were calculated from the detailed room specifications maintained by the University and extrapolated by the valuer's knowledge of current building rates on a square metre basis. The resultant value as at reporting date was then adjusted for the estimated remaining useful life of each building. The depreciated replacement cost of the improvements was then added to the underlying land value, which was derived after analysis of comparable sales evidence.</w:t>
      </w:r>
    </w:p>
    <w:p>
      <w:pPr>
        <w:pStyle w:val="BodyText"/>
        <w:spacing w:before="11"/>
        <w:rPr>
          <w:sz w:val="24"/>
        </w:rPr>
      </w:pPr>
    </w:p>
    <w:p>
      <w:pPr>
        <w:pStyle w:val="BodyText"/>
        <w:ind w:left="504" w:right="148"/>
      </w:pPr>
      <w:r>
        <w:rPr/>
        <w:t>In valuing the art collection, the Valuer utilised certain historical facts and relevant market data available up to the date of the valuation. The most recent valuation was completed as at 31 December 2016.</w:t>
      </w:r>
    </w:p>
    <w:p>
      <w:pPr>
        <w:pStyle w:val="BodyText"/>
        <w:spacing w:before="11"/>
        <w:rPr>
          <w:sz w:val="24"/>
        </w:rPr>
      </w:pPr>
    </w:p>
    <w:p>
      <w:pPr>
        <w:pStyle w:val="BodyText"/>
        <w:ind w:left="504" w:right="194"/>
      </w:pPr>
      <w:r>
        <w:rPr/>
        <w:t>All other plant and equipment is stated at historical cost less depreciation. Historical cost includes expenditure that is directly attributable to the acquisition of the items.</w:t>
      </w:r>
    </w:p>
    <w:p>
      <w:pPr>
        <w:pStyle w:val="BodyText"/>
        <w:spacing w:before="11"/>
        <w:rPr>
          <w:sz w:val="24"/>
        </w:rPr>
      </w:pPr>
    </w:p>
    <w:p>
      <w:pPr>
        <w:pStyle w:val="BodyText"/>
        <w:ind w:left="504" w:right="194"/>
      </w:pPr>
      <w:r>
        <w:rPr/>
        <w:t>Subsequent costs are included in the asset’s carrying amount or recognised as a separate asset, as appropriate, only when it is probable that future economic benefits associated with the item will flow to the Group and the cost of the item can be measured reliably. All other repairs and maintenance are charged to the income statement during the financial period in which they are incurred.</w:t>
      </w:r>
    </w:p>
    <w:p>
      <w:pPr>
        <w:pStyle w:val="BodyText"/>
        <w:spacing w:before="11"/>
        <w:rPr>
          <w:sz w:val="24"/>
        </w:rPr>
      </w:pPr>
    </w:p>
    <w:p>
      <w:pPr>
        <w:pStyle w:val="BodyText"/>
        <w:ind w:left="504" w:right="194"/>
      </w:pPr>
      <w:r>
        <w:rPr/>
        <w:t>Increases in the carrying amounts arising on revaluation of land and buildings are recognised in other comprehensive income and accumulated equity under the heading of revaluation surplus. To the extent that the increase reverses a decrease previously recognised in the income statement, the increase is first recognised in the income statement.</w:t>
      </w:r>
    </w:p>
    <w:p>
      <w:pPr>
        <w:pStyle w:val="BodyText"/>
        <w:ind w:left="504" w:right="51"/>
      </w:pPr>
      <w:r>
        <w:rPr/>
        <w:t>Decreases that reverse previous increases of the same class of asset are firstly recognised in other comprehensive income to the extent of the remaining reserve attributable to the asset. All other decreases are expensed in the income statement.</w:t>
      </w:r>
    </w:p>
    <w:p>
      <w:pPr>
        <w:spacing w:after="0"/>
        <w:sectPr>
          <w:pgSz w:w="11910" w:h="16840"/>
          <w:pgMar w:header="1037" w:footer="507" w:top="2220" w:bottom="700" w:left="900" w:right="900"/>
        </w:sectPr>
      </w:pPr>
    </w:p>
    <w:p>
      <w:pPr>
        <w:pStyle w:val="BodyText"/>
        <w:rPr>
          <w:sz w:val="20"/>
        </w:rPr>
      </w:pPr>
    </w:p>
    <w:p>
      <w:pPr>
        <w:pStyle w:val="BodyText"/>
        <w:rPr>
          <w:sz w:val="20"/>
        </w:rPr>
      </w:pPr>
    </w:p>
    <w:p>
      <w:pPr>
        <w:pStyle w:val="BodyText"/>
        <w:spacing w:before="5"/>
      </w:pPr>
    </w:p>
    <w:p>
      <w:pPr>
        <w:pStyle w:val="Heading9"/>
        <w:tabs>
          <w:tab w:pos="503" w:val="left" w:leader="none"/>
        </w:tabs>
        <w:ind w:left="110" w:right="220"/>
      </w:pPr>
      <w:r>
        <w:rPr/>
        <w:t>1</w:t>
        <w:tab/>
        <w:t>Summary of Significant Accounting Policies</w:t>
      </w:r>
      <w:r>
        <w:rPr>
          <w:spacing w:val="-9"/>
        </w:rPr>
        <w:t> </w:t>
      </w:r>
      <w:r>
        <w:rPr/>
        <w:t>(continued)</w:t>
      </w:r>
    </w:p>
    <w:p>
      <w:pPr>
        <w:pStyle w:val="BodyText"/>
        <w:spacing w:before="11"/>
        <w:rPr>
          <w:b/>
          <w:sz w:val="24"/>
        </w:rPr>
      </w:pPr>
    </w:p>
    <w:p>
      <w:pPr>
        <w:pStyle w:val="ListParagraph"/>
        <w:numPr>
          <w:ilvl w:val="0"/>
          <w:numId w:val="13"/>
        </w:numPr>
        <w:tabs>
          <w:tab w:pos="1071" w:val="left" w:leader="none"/>
        </w:tabs>
        <w:spacing w:line="240" w:lineRule="auto" w:before="0" w:after="0"/>
        <w:ind w:left="1070" w:right="0" w:hanging="566"/>
        <w:jc w:val="left"/>
        <w:rPr>
          <w:b/>
          <w:sz w:val="18"/>
        </w:rPr>
      </w:pPr>
      <w:r>
        <w:rPr>
          <w:b/>
          <w:sz w:val="18"/>
        </w:rPr>
        <w:t>Property, Plant and Equipment</w:t>
      </w:r>
      <w:r>
        <w:rPr>
          <w:b/>
          <w:spacing w:val="-9"/>
          <w:sz w:val="18"/>
        </w:rPr>
        <w:t> </w:t>
      </w:r>
      <w:r>
        <w:rPr>
          <w:b/>
          <w:sz w:val="18"/>
        </w:rPr>
        <w:t>(continued)</w:t>
      </w:r>
    </w:p>
    <w:p>
      <w:pPr>
        <w:pStyle w:val="BodyText"/>
        <w:spacing w:before="11"/>
        <w:rPr>
          <w:b/>
          <w:sz w:val="24"/>
        </w:rPr>
      </w:pPr>
    </w:p>
    <w:p>
      <w:pPr>
        <w:pStyle w:val="BodyText"/>
        <w:ind w:left="504" w:right="220"/>
      </w:pPr>
      <w:r>
        <w:rPr/>
        <w:t>Land and the art collection are not depreciated. Depreciation on other assets is calculated using the straight line method to allocate their cost or revalued amounts, over their estimated useful lives, as follows:</w:t>
      </w:r>
    </w:p>
    <w:p>
      <w:pPr>
        <w:pStyle w:val="BodyText"/>
        <w:rPr>
          <w:sz w:val="20"/>
        </w:rPr>
      </w:pPr>
    </w:p>
    <w:p>
      <w:pPr>
        <w:pStyle w:val="BodyText"/>
        <w:spacing w:before="8"/>
      </w:pPr>
    </w:p>
    <w:tbl>
      <w:tblPr>
        <w:tblW w:w="0" w:type="auto"/>
        <w:jc w:val="left"/>
        <w:tblInd w:w="10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14"/>
        <w:gridCol w:w="1342"/>
        <w:gridCol w:w="1161"/>
      </w:tblGrid>
      <w:tr>
        <w:trPr>
          <w:trHeight w:val="323" w:hRule="exact"/>
        </w:trPr>
        <w:tc>
          <w:tcPr>
            <w:tcW w:w="3714" w:type="dxa"/>
          </w:tcPr>
          <w:p>
            <w:pPr>
              <w:pStyle w:val="TableParagraph"/>
              <w:spacing w:before="79"/>
              <w:ind w:left="35" w:right="107"/>
              <w:rPr>
                <w:b/>
                <w:sz w:val="18"/>
              </w:rPr>
            </w:pPr>
            <w:r>
              <w:rPr>
                <w:b/>
                <w:sz w:val="18"/>
              </w:rPr>
              <w:t>Life</w:t>
            </w:r>
          </w:p>
        </w:tc>
        <w:tc>
          <w:tcPr>
            <w:tcW w:w="1342" w:type="dxa"/>
          </w:tcPr>
          <w:p>
            <w:pPr>
              <w:pStyle w:val="TableParagraph"/>
              <w:spacing w:before="77"/>
              <w:ind w:right="168"/>
              <w:jc w:val="right"/>
              <w:rPr>
                <w:b/>
                <w:sz w:val="18"/>
              </w:rPr>
            </w:pPr>
            <w:r>
              <w:rPr>
                <w:b/>
                <w:w w:val="95"/>
                <w:sz w:val="18"/>
              </w:rPr>
              <w:t>2017</w:t>
            </w:r>
          </w:p>
        </w:tc>
        <w:tc>
          <w:tcPr>
            <w:tcW w:w="1161" w:type="dxa"/>
          </w:tcPr>
          <w:p>
            <w:pPr>
              <w:pStyle w:val="TableParagraph"/>
              <w:spacing w:before="77"/>
              <w:ind w:right="33"/>
              <w:jc w:val="right"/>
              <w:rPr>
                <w:b/>
                <w:sz w:val="18"/>
              </w:rPr>
            </w:pPr>
            <w:r>
              <w:rPr>
                <w:b/>
                <w:w w:val="95"/>
                <w:sz w:val="18"/>
              </w:rPr>
              <w:t>2016</w:t>
            </w:r>
          </w:p>
        </w:tc>
      </w:tr>
      <w:tr>
        <w:trPr>
          <w:trHeight w:val="264" w:hRule="exact"/>
        </w:trPr>
        <w:tc>
          <w:tcPr>
            <w:tcW w:w="3714" w:type="dxa"/>
          </w:tcPr>
          <w:p>
            <w:pPr>
              <w:pStyle w:val="TableParagraph"/>
              <w:spacing w:before="20"/>
              <w:ind w:left="35" w:right="107"/>
              <w:rPr>
                <w:sz w:val="18"/>
              </w:rPr>
            </w:pPr>
            <w:r>
              <w:rPr>
                <w:sz w:val="18"/>
              </w:rPr>
              <w:t>Computing (Mainframe &amp; Networking)</w:t>
            </w:r>
          </w:p>
        </w:tc>
        <w:tc>
          <w:tcPr>
            <w:tcW w:w="1342" w:type="dxa"/>
          </w:tcPr>
          <w:p>
            <w:pPr>
              <w:pStyle w:val="TableParagraph"/>
              <w:spacing w:before="18"/>
              <w:ind w:right="169"/>
              <w:jc w:val="right"/>
              <w:rPr>
                <w:sz w:val="18"/>
              </w:rPr>
            </w:pPr>
            <w:r>
              <w:rPr>
                <w:sz w:val="18"/>
              </w:rPr>
              <w:t>4 years</w:t>
            </w:r>
          </w:p>
        </w:tc>
        <w:tc>
          <w:tcPr>
            <w:tcW w:w="1161" w:type="dxa"/>
          </w:tcPr>
          <w:p>
            <w:pPr>
              <w:pStyle w:val="TableParagraph"/>
              <w:spacing w:before="18"/>
              <w:ind w:right="33"/>
              <w:jc w:val="right"/>
              <w:rPr>
                <w:sz w:val="18"/>
              </w:rPr>
            </w:pPr>
            <w:r>
              <w:rPr>
                <w:sz w:val="18"/>
              </w:rPr>
              <w:t>4 years</w:t>
            </w:r>
          </w:p>
        </w:tc>
      </w:tr>
      <w:tr>
        <w:trPr>
          <w:trHeight w:val="264" w:hRule="exact"/>
        </w:trPr>
        <w:tc>
          <w:tcPr>
            <w:tcW w:w="3714" w:type="dxa"/>
          </w:tcPr>
          <w:p>
            <w:pPr>
              <w:pStyle w:val="TableParagraph"/>
              <w:spacing w:before="20"/>
              <w:ind w:left="35" w:right="107"/>
              <w:rPr>
                <w:sz w:val="18"/>
              </w:rPr>
            </w:pPr>
            <w:r>
              <w:rPr>
                <w:sz w:val="18"/>
              </w:rPr>
              <w:t>Computing (Other)</w:t>
            </w:r>
          </w:p>
        </w:tc>
        <w:tc>
          <w:tcPr>
            <w:tcW w:w="1342" w:type="dxa"/>
          </w:tcPr>
          <w:p>
            <w:pPr>
              <w:pStyle w:val="TableParagraph"/>
              <w:spacing w:before="18"/>
              <w:ind w:right="169"/>
              <w:jc w:val="right"/>
              <w:rPr>
                <w:sz w:val="18"/>
              </w:rPr>
            </w:pPr>
            <w:r>
              <w:rPr>
                <w:sz w:val="18"/>
              </w:rPr>
              <w:t>3 years</w:t>
            </w:r>
          </w:p>
        </w:tc>
        <w:tc>
          <w:tcPr>
            <w:tcW w:w="1161" w:type="dxa"/>
          </w:tcPr>
          <w:p>
            <w:pPr>
              <w:pStyle w:val="TableParagraph"/>
              <w:spacing w:before="18"/>
              <w:ind w:right="33"/>
              <w:jc w:val="right"/>
              <w:rPr>
                <w:sz w:val="18"/>
              </w:rPr>
            </w:pPr>
            <w:r>
              <w:rPr>
                <w:sz w:val="18"/>
              </w:rPr>
              <w:t>3 years</w:t>
            </w:r>
          </w:p>
        </w:tc>
      </w:tr>
      <w:tr>
        <w:trPr>
          <w:trHeight w:val="264" w:hRule="exact"/>
        </w:trPr>
        <w:tc>
          <w:tcPr>
            <w:tcW w:w="3714" w:type="dxa"/>
          </w:tcPr>
          <w:p>
            <w:pPr>
              <w:pStyle w:val="TableParagraph"/>
              <w:spacing w:before="20"/>
              <w:ind w:left="35" w:right="107"/>
              <w:rPr>
                <w:sz w:val="18"/>
              </w:rPr>
            </w:pPr>
            <w:r>
              <w:rPr>
                <w:sz w:val="18"/>
              </w:rPr>
              <w:t>Vehicles</w:t>
            </w:r>
          </w:p>
        </w:tc>
        <w:tc>
          <w:tcPr>
            <w:tcW w:w="1342" w:type="dxa"/>
          </w:tcPr>
          <w:p>
            <w:pPr>
              <w:pStyle w:val="TableParagraph"/>
              <w:spacing w:before="18"/>
              <w:ind w:right="169"/>
              <w:jc w:val="right"/>
              <w:rPr>
                <w:sz w:val="18"/>
              </w:rPr>
            </w:pPr>
            <w:r>
              <w:rPr>
                <w:sz w:val="18"/>
              </w:rPr>
              <w:t>6-7 years</w:t>
            </w:r>
          </w:p>
        </w:tc>
        <w:tc>
          <w:tcPr>
            <w:tcW w:w="1161" w:type="dxa"/>
          </w:tcPr>
          <w:p>
            <w:pPr>
              <w:pStyle w:val="TableParagraph"/>
              <w:spacing w:before="18"/>
              <w:ind w:right="33"/>
              <w:jc w:val="right"/>
              <w:rPr>
                <w:sz w:val="18"/>
              </w:rPr>
            </w:pPr>
            <w:r>
              <w:rPr>
                <w:sz w:val="18"/>
              </w:rPr>
              <w:t>6-7 years</w:t>
            </w:r>
          </w:p>
        </w:tc>
      </w:tr>
      <w:tr>
        <w:trPr>
          <w:trHeight w:val="264" w:hRule="exact"/>
        </w:trPr>
        <w:tc>
          <w:tcPr>
            <w:tcW w:w="3714" w:type="dxa"/>
          </w:tcPr>
          <w:p>
            <w:pPr>
              <w:pStyle w:val="TableParagraph"/>
              <w:spacing w:before="20"/>
              <w:ind w:left="35" w:right="107"/>
              <w:rPr>
                <w:sz w:val="18"/>
              </w:rPr>
            </w:pPr>
            <w:r>
              <w:rPr>
                <w:sz w:val="18"/>
              </w:rPr>
              <w:t>Scientific</w:t>
            </w:r>
          </w:p>
        </w:tc>
        <w:tc>
          <w:tcPr>
            <w:tcW w:w="1342" w:type="dxa"/>
          </w:tcPr>
          <w:p>
            <w:pPr>
              <w:pStyle w:val="TableParagraph"/>
              <w:spacing w:before="18"/>
              <w:ind w:right="169"/>
              <w:jc w:val="right"/>
              <w:rPr>
                <w:sz w:val="18"/>
              </w:rPr>
            </w:pPr>
            <w:r>
              <w:rPr>
                <w:sz w:val="18"/>
              </w:rPr>
              <w:t>10 years</w:t>
            </w:r>
          </w:p>
        </w:tc>
        <w:tc>
          <w:tcPr>
            <w:tcW w:w="1161" w:type="dxa"/>
          </w:tcPr>
          <w:p>
            <w:pPr>
              <w:pStyle w:val="TableParagraph"/>
              <w:spacing w:before="18"/>
              <w:ind w:right="33"/>
              <w:jc w:val="right"/>
              <w:rPr>
                <w:sz w:val="18"/>
              </w:rPr>
            </w:pPr>
            <w:r>
              <w:rPr>
                <w:sz w:val="18"/>
              </w:rPr>
              <w:t>10 years</w:t>
            </w:r>
          </w:p>
        </w:tc>
      </w:tr>
      <w:tr>
        <w:trPr>
          <w:trHeight w:val="264" w:hRule="exact"/>
        </w:trPr>
        <w:tc>
          <w:tcPr>
            <w:tcW w:w="3714" w:type="dxa"/>
          </w:tcPr>
          <w:p>
            <w:pPr>
              <w:pStyle w:val="TableParagraph"/>
              <w:spacing w:before="20"/>
              <w:ind w:left="35" w:right="107"/>
              <w:rPr>
                <w:sz w:val="18"/>
              </w:rPr>
            </w:pPr>
            <w:r>
              <w:rPr>
                <w:sz w:val="18"/>
              </w:rPr>
              <w:t>Audio Visual</w:t>
            </w:r>
          </w:p>
        </w:tc>
        <w:tc>
          <w:tcPr>
            <w:tcW w:w="1342" w:type="dxa"/>
          </w:tcPr>
          <w:p>
            <w:pPr>
              <w:pStyle w:val="TableParagraph"/>
              <w:spacing w:before="18"/>
              <w:ind w:right="169"/>
              <w:jc w:val="right"/>
              <w:rPr>
                <w:sz w:val="18"/>
              </w:rPr>
            </w:pPr>
            <w:r>
              <w:rPr>
                <w:sz w:val="18"/>
              </w:rPr>
              <w:t>10 years</w:t>
            </w:r>
          </w:p>
        </w:tc>
        <w:tc>
          <w:tcPr>
            <w:tcW w:w="1161" w:type="dxa"/>
          </w:tcPr>
          <w:p>
            <w:pPr>
              <w:pStyle w:val="TableParagraph"/>
              <w:spacing w:before="18"/>
              <w:ind w:right="33"/>
              <w:jc w:val="right"/>
              <w:rPr>
                <w:sz w:val="18"/>
              </w:rPr>
            </w:pPr>
            <w:r>
              <w:rPr>
                <w:sz w:val="18"/>
              </w:rPr>
              <w:t>10 years</w:t>
            </w:r>
          </w:p>
        </w:tc>
      </w:tr>
      <w:tr>
        <w:trPr>
          <w:trHeight w:val="264" w:hRule="exact"/>
        </w:trPr>
        <w:tc>
          <w:tcPr>
            <w:tcW w:w="3714" w:type="dxa"/>
          </w:tcPr>
          <w:p>
            <w:pPr>
              <w:pStyle w:val="TableParagraph"/>
              <w:spacing w:before="20"/>
              <w:ind w:left="35" w:right="107"/>
              <w:rPr>
                <w:sz w:val="18"/>
              </w:rPr>
            </w:pPr>
            <w:r>
              <w:rPr>
                <w:sz w:val="18"/>
              </w:rPr>
              <w:t>Printing</w:t>
            </w:r>
          </w:p>
        </w:tc>
        <w:tc>
          <w:tcPr>
            <w:tcW w:w="1342" w:type="dxa"/>
          </w:tcPr>
          <w:p>
            <w:pPr>
              <w:pStyle w:val="TableParagraph"/>
              <w:spacing w:before="18"/>
              <w:ind w:right="169"/>
              <w:jc w:val="right"/>
              <w:rPr>
                <w:sz w:val="18"/>
              </w:rPr>
            </w:pPr>
            <w:r>
              <w:rPr>
                <w:sz w:val="18"/>
              </w:rPr>
              <w:t>10 years</w:t>
            </w:r>
          </w:p>
        </w:tc>
        <w:tc>
          <w:tcPr>
            <w:tcW w:w="1161" w:type="dxa"/>
          </w:tcPr>
          <w:p>
            <w:pPr>
              <w:pStyle w:val="TableParagraph"/>
              <w:spacing w:before="18"/>
              <w:ind w:right="33"/>
              <w:jc w:val="right"/>
              <w:rPr>
                <w:sz w:val="18"/>
              </w:rPr>
            </w:pPr>
            <w:r>
              <w:rPr>
                <w:sz w:val="18"/>
              </w:rPr>
              <w:t>10 years</w:t>
            </w:r>
          </w:p>
        </w:tc>
      </w:tr>
      <w:tr>
        <w:trPr>
          <w:trHeight w:val="263" w:hRule="exact"/>
        </w:trPr>
        <w:tc>
          <w:tcPr>
            <w:tcW w:w="3714" w:type="dxa"/>
          </w:tcPr>
          <w:p>
            <w:pPr>
              <w:pStyle w:val="TableParagraph"/>
              <w:spacing w:before="20"/>
              <w:ind w:left="35" w:right="107"/>
              <w:rPr>
                <w:sz w:val="18"/>
              </w:rPr>
            </w:pPr>
            <w:r>
              <w:rPr>
                <w:sz w:val="18"/>
              </w:rPr>
              <w:t>Other</w:t>
            </w:r>
          </w:p>
        </w:tc>
        <w:tc>
          <w:tcPr>
            <w:tcW w:w="1342" w:type="dxa"/>
          </w:tcPr>
          <w:p>
            <w:pPr>
              <w:pStyle w:val="TableParagraph"/>
              <w:spacing w:before="18"/>
              <w:ind w:right="169"/>
              <w:jc w:val="right"/>
              <w:rPr>
                <w:sz w:val="18"/>
              </w:rPr>
            </w:pPr>
            <w:r>
              <w:rPr>
                <w:sz w:val="18"/>
              </w:rPr>
              <w:t>10-20 years</w:t>
            </w:r>
          </w:p>
        </w:tc>
        <w:tc>
          <w:tcPr>
            <w:tcW w:w="1161" w:type="dxa"/>
          </w:tcPr>
          <w:p>
            <w:pPr>
              <w:pStyle w:val="TableParagraph"/>
              <w:spacing w:before="18"/>
              <w:ind w:right="33"/>
              <w:jc w:val="right"/>
              <w:rPr>
                <w:sz w:val="18"/>
              </w:rPr>
            </w:pPr>
            <w:r>
              <w:rPr>
                <w:sz w:val="18"/>
              </w:rPr>
              <w:t>10-20 years</w:t>
            </w:r>
          </w:p>
        </w:tc>
      </w:tr>
      <w:tr>
        <w:trPr>
          <w:trHeight w:val="467" w:hRule="exact"/>
        </w:trPr>
        <w:tc>
          <w:tcPr>
            <w:tcW w:w="3714" w:type="dxa"/>
          </w:tcPr>
          <w:p>
            <w:pPr>
              <w:pStyle w:val="TableParagraph"/>
              <w:spacing w:before="16"/>
              <w:ind w:left="35" w:right="107"/>
              <w:rPr>
                <w:sz w:val="18"/>
              </w:rPr>
            </w:pPr>
            <w:r>
              <w:rPr>
                <w:sz w:val="18"/>
              </w:rPr>
              <w:t>Buildings (except where a limit of useful life of a building has been identified)</w:t>
            </w:r>
          </w:p>
        </w:tc>
        <w:tc>
          <w:tcPr>
            <w:tcW w:w="1342" w:type="dxa"/>
          </w:tcPr>
          <w:p>
            <w:pPr>
              <w:pStyle w:val="TableParagraph"/>
              <w:spacing w:before="2"/>
              <w:rPr>
                <w:sz w:val="19"/>
              </w:rPr>
            </w:pPr>
          </w:p>
          <w:p>
            <w:pPr>
              <w:pStyle w:val="TableParagraph"/>
              <w:ind w:right="169"/>
              <w:jc w:val="right"/>
              <w:rPr>
                <w:sz w:val="18"/>
              </w:rPr>
            </w:pPr>
            <w:r>
              <w:rPr>
                <w:sz w:val="18"/>
              </w:rPr>
              <w:t>5-60 years</w:t>
            </w:r>
          </w:p>
        </w:tc>
        <w:tc>
          <w:tcPr>
            <w:tcW w:w="1161" w:type="dxa"/>
          </w:tcPr>
          <w:p>
            <w:pPr>
              <w:pStyle w:val="TableParagraph"/>
              <w:spacing w:before="2"/>
              <w:rPr>
                <w:sz w:val="19"/>
              </w:rPr>
            </w:pPr>
          </w:p>
          <w:p>
            <w:pPr>
              <w:pStyle w:val="TableParagraph"/>
              <w:ind w:right="33"/>
              <w:jc w:val="right"/>
              <w:rPr>
                <w:sz w:val="18"/>
              </w:rPr>
            </w:pPr>
            <w:r>
              <w:rPr>
                <w:sz w:val="18"/>
              </w:rPr>
              <w:t>5-60 years</w:t>
            </w:r>
          </w:p>
        </w:tc>
      </w:tr>
      <w:tr>
        <w:trPr>
          <w:trHeight w:val="264" w:hRule="exact"/>
        </w:trPr>
        <w:tc>
          <w:tcPr>
            <w:tcW w:w="3714" w:type="dxa"/>
          </w:tcPr>
          <w:p>
            <w:pPr>
              <w:pStyle w:val="TableParagraph"/>
              <w:spacing w:before="20"/>
              <w:ind w:left="35" w:right="107"/>
              <w:rPr>
                <w:sz w:val="18"/>
              </w:rPr>
            </w:pPr>
            <w:r>
              <w:rPr>
                <w:sz w:val="18"/>
              </w:rPr>
              <w:t>Library Collection</w:t>
            </w:r>
          </w:p>
        </w:tc>
        <w:tc>
          <w:tcPr>
            <w:tcW w:w="1342" w:type="dxa"/>
          </w:tcPr>
          <w:p>
            <w:pPr>
              <w:pStyle w:val="TableParagraph"/>
              <w:spacing w:before="18"/>
              <w:ind w:right="169"/>
              <w:jc w:val="right"/>
              <w:rPr>
                <w:sz w:val="18"/>
              </w:rPr>
            </w:pPr>
            <w:r>
              <w:rPr>
                <w:sz w:val="18"/>
              </w:rPr>
              <w:t>5 years</w:t>
            </w:r>
          </w:p>
        </w:tc>
        <w:tc>
          <w:tcPr>
            <w:tcW w:w="1161" w:type="dxa"/>
          </w:tcPr>
          <w:p>
            <w:pPr>
              <w:pStyle w:val="TableParagraph"/>
              <w:spacing w:before="18"/>
              <w:ind w:right="33"/>
              <w:jc w:val="right"/>
              <w:rPr>
                <w:sz w:val="18"/>
              </w:rPr>
            </w:pPr>
            <w:r>
              <w:rPr>
                <w:sz w:val="18"/>
              </w:rPr>
              <w:t>5 years</w:t>
            </w:r>
          </w:p>
        </w:tc>
      </w:tr>
      <w:tr>
        <w:trPr>
          <w:trHeight w:val="323" w:hRule="exact"/>
        </w:trPr>
        <w:tc>
          <w:tcPr>
            <w:tcW w:w="3714" w:type="dxa"/>
          </w:tcPr>
          <w:p>
            <w:pPr>
              <w:pStyle w:val="TableParagraph"/>
              <w:spacing w:before="20"/>
              <w:ind w:left="35" w:right="107"/>
              <w:rPr>
                <w:sz w:val="18"/>
              </w:rPr>
            </w:pPr>
            <w:r>
              <w:rPr>
                <w:sz w:val="18"/>
              </w:rPr>
              <w:t>Leasehold Improvements</w:t>
            </w:r>
          </w:p>
        </w:tc>
        <w:tc>
          <w:tcPr>
            <w:tcW w:w="1342" w:type="dxa"/>
          </w:tcPr>
          <w:p>
            <w:pPr>
              <w:pStyle w:val="TableParagraph"/>
              <w:spacing w:before="18"/>
              <w:ind w:right="169"/>
              <w:jc w:val="right"/>
              <w:rPr>
                <w:sz w:val="18"/>
              </w:rPr>
            </w:pPr>
            <w:r>
              <w:rPr>
                <w:sz w:val="18"/>
              </w:rPr>
              <w:t>2-6 years</w:t>
            </w:r>
          </w:p>
        </w:tc>
        <w:tc>
          <w:tcPr>
            <w:tcW w:w="1161" w:type="dxa"/>
          </w:tcPr>
          <w:p>
            <w:pPr>
              <w:pStyle w:val="TableParagraph"/>
              <w:spacing w:before="18"/>
              <w:ind w:right="33"/>
              <w:jc w:val="right"/>
              <w:rPr>
                <w:sz w:val="18"/>
              </w:rPr>
            </w:pPr>
            <w:r>
              <w:rPr>
                <w:sz w:val="18"/>
              </w:rPr>
              <w:t>2-6 years</w:t>
            </w:r>
          </w:p>
        </w:tc>
      </w:tr>
    </w:tbl>
    <w:p>
      <w:pPr>
        <w:pStyle w:val="BodyText"/>
        <w:spacing w:before="2"/>
        <w:rPr>
          <w:sz w:val="12"/>
        </w:rPr>
      </w:pPr>
    </w:p>
    <w:p>
      <w:pPr>
        <w:pStyle w:val="BodyText"/>
        <w:spacing w:before="78"/>
        <w:ind w:left="504" w:right="220"/>
      </w:pPr>
      <w:r>
        <w:rPr/>
        <w:t>Leasehold improvements are depreciated over the shorter of the unexpired period of the lease or the estimated life of the improvements.</w:t>
      </w:r>
    </w:p>
    <w:p>
      <w:pPr>
        <w:pStyle w:val="BodyText"/>
        <w:spacing w:before="11"/>
        <w:rPr>
          <w:sz w:val="24"/>
        </w:rPr>
      </w:pPr>
    </w:p>
    <w:p>
      <w:pPr>
        <w:pStyle w:val="BodyText"/>
        <w:ind w:left="504" w:right="220"/>
      </w:pPr>
      <w:r>
        <w:rPr/>
        <w:t>The assets’ residual values and useful lives are reviewed, and adjusted if appropriate, at each reporting date.</w:t>
      </w:r>
    </w:p>
    <w:p>
      <w:pPr>
        <w:pStyle w:val="BodyText"/>
        <w:spacing w:before="11"/>
        <w:rPr>
          <w:sz w:val="24"/>
        </w:rPr>
      </w:pPr>
    </w:p>
    <w:p>
      <w:pPr>
        <w:pStyle w:val="BodyText"/>
        <w:ind w:left="504" w:right="220"/>
      </w:pPr>
      <w:r>
        <w:rPr/>
        <w:t>An asset’s carrying amount is written down immediately to its recoverable amount if the asset’s carrying amount is </w:t>
      </w:r>
      <w:bookmarkStart w:name="(q) Repairs and Maintenance " w:id="33"/>
      <w:bookmarkEnd w:id="33"/>
      <w:r>
        <w:rPr/>
      </w:r>
      <w:r>
        <w:rPr/>
        <w:t>greater than its estimated recoverable amount.</w:t>
      </w:r>
    </w:p>
    <w:p>
      <w:pPr>
        <w:pStyle w:val="BodyText"/>
        <w:spacing w:before="11"/>
        <w:rPr>
          <w:sz w:val="24"/>
        </w:rPr>
      </w:pPr>
    </w:p>
    <w:p>
      <w:pPr>
        <w:pStyle w:val="BodyText"/>
        <w:ind w:left="504" w:right="130"/>
      </w:pPr>
      <w:r>
        <w:rPr/>
        <w:t>Gains and losses on disposals are determined by comparing proceeds with carrying amounts.  These are included in the income statement. When revalued assets are sold, it is Group policy to transfer the amounts in reserves in respect of those assets to retained earnings.</w:t>
      </w:r>
    </w:p>
    <w:p>
      <w:pPr>
        <w:pStyle w:val="BodyText"/>
        <w:spacing w:before="11"/>
        <w:rPr>
          <w:sz w:val="24"/>
        </w:rPr>
      </w:pPr>
    </w:p>
    <w:p>
      <w:pPr>
        <w:pStyle w:val="Heading9"/>
        <w:numPr>
          <w:ilvl w:val="0"/>
          <w:numId w:val="13"/>
        </w:numPr>
        <w:tabs>
          <w:tab w:pos="1071" w:val="left" w:leader="none"/>
        </w:tabs>
        <w:spacing w:line="240" w:lineRule="auto" w:before="0" w:after="0"/>
        <w:ind w:left="1070" w:right="0" w:hanging="566"/>
        <w:jc w:val="left"/>
      </w:pPr>
      <w:bookmarkStart w:name="(r) Livestock " w:id="34"/>
      <w:bookmarkEnd w:id="34"/>
      <w:r>
        <w:rPr>
          <w:b w:val="0"/>
        </w:rPr>
      </w:r>
      <w:bookmarkStart w:name="(r) Livestock " w:id="35"/>
      <w:bookmarkEnd w:id="35"/>
      <w:r>
        <w:rPr/>
        <w:t>Repairs</w:t>
      </w:r>
      <w:r>
        <w:rPr/>
        <w:t> and</w:t>
      </w:r>
      <w:r>
        <w:rPr>
          <w:spacing w:val="-1"/>
        </w:rPr>
        <w:t> </w:t>
      </w:r>
      <w:r>
        <w:rPr/>
        <w:t>Maintenance</w:t>
      </w:r>
    </w:p>
    <w:p>
      <w:pPr>
        <w:pStyle w:val="BodyText"/>
        <w:spacing w:before="11"/>
        <w:rPr>
          <w:b/>
          <w:sz w:val="24"/>
        </w:rPr>
      </w:pPr>
    </w:p>
    <w:p>
      <w:pPr>
        <w:pStyle w:val="BodyText"/>
        <w:ind w:left="504" w:right="130"/>
      </w:pPr>
      <w:r>
        <w:rPr/>
        <w:t>Repairs and maintenance costs are recognised as expenses as incurred, except where they relate to the replacement of a component of an asset, in which case, the costs are capitalised and depreciated. Other routine operating maintenance, repair and minor renewal costs are also recognised as expenses as incurred.</w:t>
      </w:r>
    </w:p>
    <w:p>
      <w:pPr>
        <w:pStyle w:val="BodyText"/>
        <w:spacing w:before="11"/>
        <w:rPr>
          <w:sz w:val="24"/>
        </w:rPr>
      </w:pPr>
    </w:p>
    <w:p>
      <w:pPr>
        <w:pStyle w:val="Heading9"/>
        <w:numPr>
          <w:ilvl w:val="0"/>
          <w:numId w:val="13"/>
        </w:numPr>
        <w:tabs>
          <w:tab w:pos="1071" w:val="left" w:leader="none"/>
        </w:tabs>
        <w:spacing w:line="240" w:lineRule="auto" w:before="0" w:after="0"/>
        <w:ind w:left="1070" w:right="0" w:hanging="566"/>
        <w:jc w:val="left"/>
      </w:pPr>
      <w:bookmarkStart w:name="(s) Intangible Assets " w:id="36"/>
      <w:bookmarkEnd w:id="36"/>
      <w:r>
        <w:rPr>
          <w:b w:val="0"/>
        </w:rPr>
      </w:r>
      <w:bookmarkStart w:name="(s) Intangible Assets " w:id="37"/>
      <w:bookmarkEnd w:id="37"/>
      <w:r>
        <w:rPr/>
        <w:t>Livestock</w:t>
      </w:r>
    </w:p>
    <w:p>
      <w:pPr>
        <w:pStyle w:val="BodyText"/>
        <w:spacing w:before="11"/>
        <w:rPr>
          <w:b/>
          <w:sz w:val="24"/>
        </w:rPr>
      </w:pPr>
    </w:p>
    <w:p>
      <w:pPr>
        <w:pStyle w:val="BodyText"/>
        <w:ind w:left="504" w:right="220"/>
      </w:pPr>
      <w:r>
        <w:rPr/>
        <w:t>The University maintains livestock for research, teaching and commercial purposes. Livestock is valued on the fair value basis based on current market price. A stocktake of livestock holdings was undertaken at year end.</w:t>
      </w:r>
    </w:p>
    <w:p>
      <w:pPr>
        <w:pStyle w:val="BodyText"/>
        <w:spacing w:before="11"/>
        <w:rPr>
          <w:sz w:val="24"/>
        </w:rPr>
      </w:pPr>
    </w:p>
    <w:p>
      <w:pPr>
        <w:pStyle w:val="Heading9"/>
        <w:numPr>
          <w:ilvl w:val="0"/>
          <w:numId w:val="13"/>
        </w:numPr>
        <w:tabs>
          <w:tab w:pos="1071" w:val="left" w:leader="none"/>
        </w:tabs>
        <w:spacing w:line="240" w:lineRule="auto" w:before="0" w:after="0"/>
        <w:ind w:left="1070" w:right="0" w:hanging="566"/>
        <w:jc w:val="left"/>
      </w:pPr>
      <w:r>
        <w:rPr/>
        <w:t>Intangible Assets</w:t>
      </w:r>
    </w:p>
    <w:p>
      <w:pPr>
        <w:pStyle w:val="BodyText"/>
        <w:spacing w:before="11"/>
        <w:rPr>
          <w:b/>
          <w:sz w:val="24"/>
        </w:rPr>
      </w:pPr>
    </w:p>
    <w:p>
      <w:pPr>
        <w:pStyle w:val="ListParagraph"/>
        <w:numPr>
          <w:ilvl w:val="0"/>
          <w:numId w:val="14"/>
        </w:numPr>
        <w:tabs>
          <w:tab w:pos="717" w:val="left" w:leader="none"/>
        </w:tabs>
        <w:spacing w:line="240" w:lineRule="auto" w:before="0" w:after="0"/>
        <w:ind w:left="716" w:right="0" w:hanging="212"/>
        <w:jc w:val="left"/>
        <w:rPr>
          <w:sz w:val="18"/>
        </w:rPr>
      </w:pPr>
      <w:r>
        <w:rPr>
          <w:sz w:val="18"/>
        </w:rPr>
        <w:t>Licences</w:t>
      </w:r>
    </w:p>
    <w:p>
      <w:pPr>
        <w:pStyle w:val="BodyText"/>
        <w:spacing w:before="11"/>
        <w:rPr>
          <w:sz w:val="24"/>
        </w:rPr>
      </w:pPr>
    </w:p>
    <w:p>
      <w:pPr>
        <w:pStyle w:val="BodyText"/>
        <w:ind w:left="503" w:right="220"/>
      </w:pPr>
      <w:r>
        <w:rPr/>
        <w:t>Licences have a finite useful life and are carried at cost less accumulated amortisation and impairment losses. Amortisation is calculated using the straight-line method to allocate the cost of licences across their estimated useful life of 5 years (note 22).</w:t>
      </w:r>
    </w:p>
    <w:p>
      <w:pPr>
        <w:spacing w:after="0"/>
        <w:sectPr>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pStyle w:val="Heading9"/>
        <w:tabs>
          <w:tab w:pos="503" w:val="left" w:leader="none"/>
        </w:tabs>
        <w:ind w:left="110" w:right="220"/>
      </w:pPr>
      <w:r>
        <w:rPr/>
        <w:t>1</w:t>
        <w:tab/>
        <w:t>Summary of Significant Accounting Policies</w:t>
      </w:r>
      <w:r>
        <w:rPr>
          <w:spacing w:val="-9"/>
        </w:rPr>
        <w:t> </w:t>
      </w:r>
      <w:r>
        <w:rPr/>
        <w:t>(continued)</w:t>
      </w:r>
    </w:p>
    <w:p>
      <w:pPr>
        <w:pStyle w:val="BodyText"/>
        <w:spacing w:before="11"/>
        <w:rPr>
          <w:b/>
          <w:sz w:val="24"/>
        </w:rPr>
      </w:pPr>
    </w:p>
    <w:p>
      <w:pPr>
        <w:pStyle w:val="ListParagraph"/>
        <w:numPr>
          <w:ilvl w:val="0"/>
          <w:numId w:val="15"/>
        </w:numPr>
        <w:tabs>
          <w:tab w:pos="1071" w:val="left" w:leader="none"/>
        </w:tabs>
        <w:spacing w:line="240" w:lineRule="auto" w:before="0" w:after="0"/>
        <w:ind w:left="1070" w:right="0" w:hanging="566"/>
        <w:jc w:val="left"/>
        <w:rPr>
          <w:b/>
          <w:sz w:val="18"/>
        </w:rPr>
      </w:pPr>
      <w:r>
        <w:rPr>
          <w:b/>
          <w:sz w:val="18"/>
        </w:rPr>
        <w:t>Intangible Assets (continued)</w:t>
      </w:r>
    </w:p>
    <w:p>
      <w:pPr>
        <w:pStyle w:val="BodyText"/>
        <w:spacing w:before="11"/>
        <w:rPr>
          <w:b/>
          <w:sz w:val="24"/>
        </w:rPr>
      </w:pPr>
    </w:p>
    <w:p>
      <w:pPr>
        <w:pStyle w:val="ListParagraph"/>
        <w:numPr>
          <w:ilvl w:val="0"/>
          <w:numId w:val="14"/>
        </w:numPr>
        <w:tabs>
          <w:tab w:pos="757" w:val="left" w:leader="none"/>
        </w:tabs>
        <w:spacing w:line="240" w:lineRule="auto" w:before="0" w:after="0"/>
        <w:ind w:left="756" w:right="0" w:hanging="252"/>
        <w:jc w:val="left"/>
        <w:rPr>
          <w:sz w:val="18"/>
        </w:rPr>
      </w:pPr>
      <w:bookmarkStart w:name="(t) Trade and other payables " w:id="38"/>
      <w:bookmarkEnd w:id="38"/>
      <w:r>
        <w:rPr/>
      </w:r>
      <w:bookmarkStart w:name="(t) Trade and other payables " w:id="39"/>
      <w:bookmarkEnd w:id="39"/>
      <w:r>
        <w:rPr>
          <w:sz w:val="18"/>
        </w:rPr>
        <w:t>Electronic</w:t>
      </w:r>
      <w:r>
        <w:rPr>
          <w:sz w:val="18"/>
        </w:rPr>
        <w:t> materials</w:t>
      </w:r>
    </w:p>
    <w:p>
      <w:pPr>
        <w:pStyle w:val="BodyText"/>
        <w:spacing w:before="11"/>
        <w:rPr>
          <w:sz w:val="24"/>
        </w:rPr>
      </w:pPr>
    </w:p>
    <w:p>
      <w:pPr>
        <w:pStyle w:val="BodyText"/>
        <w:ind w:left="504" w:right="130"/>
      </w:pPr>
      <w:r>
        <w:rPr/>
        <w:t>Electronic materials have a finite useful life and are carried at cost less accumulated amortisation and impairment losses. Amortisation is calculated using the straight-line method to allocate the cost of electronic materials across their estimated useful life of 5 years (note 22).</w:t>
      </w:r>
    </w:p>
    <w:p>
      <w:pPr>
        <w:pStyle w:val="BodyText"/>
        <w:spacing w:before="11"/>
        <w:rPr>
          <w:sz w:val="24"/>
        </w:rPr>
      </w:pPr>
    </w:p>
    <w:p>
      <w:pPr>
        <w:pStyle w:val="Heading9"/>
        <w:numPr>
          <w:ilvl w:val="0"/>
          <w:numId w:val="15"/>
        </w:numPr>
        <w:tabs>
          <w:tab w:pos="1071" w:val="left" w:leader="none"/>
        </w:tabs>
        <w:spacing w:line="240" w:lineRule="auto" w:before="0" w:after="0"/>
        <w:ind w:left="1070" w:right="0" w:hanging="566"/>
        <w:jc w:val="left"/>
      </w:pPr>
      <w:r>
        <w:rPr/>
        <w:t>Trade and other</w:t>
      </w:r>
      <w:r>
        <w:rPr>
          <w:spacing w:val="-9"/>
        </w:rPr>
        <w:t> </w:t>
      </w:r>
      <w:r>
        <w:rPr/>
        <w:t>payables</w:t>
      </w:r>
    </w:p>
    <w:p>
      <w:pPr>
        <w:pStyle w:val="BodyText"/>
        <w:spacing w:before="11"/>
        <w:rPr>
          <w:b/>
          <w:sz w:val="24"/>
        </w:rPr>
      </w:pPr>
    </w:p>
    <w:p>
      <w:pPr>
        <w:pStyle w:val="BodyText"/>
        <w:ind w:left="503" w:right="131"/>
      </w:pPr>
      <w:bookmarkStart w:name="(u) Borrowings " w:id="40"/>
      <w:bookmarkEnd w:id="40"/>
      <w:r>
        <w:rPr/>
      </w:r>
      <w:r>
        <w:rPr/>
        <w:t>Trade and other payables are carried at amortised cost and due to their short term nature they are not discounted.  They represent liabilities for goods and services provided to the Group prior to the end of the financial year, that are unpaid and arise when the Group becomes obliged to make future payments in respect of the purchase of these goods and services.  The Group's standard terms of payment are 30 days from date of</w:t>
      </w:r>
      <w:r>
        <w:rPr>
          <w:spacing w:val="13"/>
        </w:rPr>
        <w:t> </w:t>
      </w:r>
      <w:r>
        <w:rPr/>
        <w:t>recognition.</w:t>
      </w:r>
    </w:p>
    <w:p>
      <w:pPr>
        <w:pStyle w:val="BodyText"/>
        <w:spacing w:before="11"/>
        <w:rPr>
          <w:sz w:val="24"/>
        </w:rPr>
      </w:pPr>
    </w:p>
    <w:p>
      <w:pPr>
        <w:pStyle w:val="Heading9"/>
        <w:numPr>
          <w:ilvl w:val="0"/>
          <w:numId w:val="15"/>
        </w:numPr>
        <w:tabs>
          <w:tab w:pos="1071" w:val="left" w:leader="none"/>
        </w:tabs>
        <w:spacing w:line="240" w:lineRule="auto" w:before="0" w:after="0"/>
        <w:ind w:left="1070" w:right="0" w:hanging="566"/>
        <w:jc w:val="left"/>
      </w:pPr>
      <w:r>
        <w:rPr/>
        <w:t>Borrowings</w:t>
      </w:r>
    </w:p>
    <w:p>
      <w:pPr>
        <w:pStyle w:val="BodyText"/>
        <w:spacing w:before="11"/>
        <w:rPr>
          <w:b/>
          <w:sz w:val="24"/>
        </w:rPr>
      </w:pPr>
    </w:p>
    <w:p>
      <w:pPr>
        <w:pStyle w:val="BodyText"/>
        <w:ind w:left="504" w:right="130"/>
      </w:pPr>
      <w:r>
        <w:rPr/>
        <w:t>Borrowings are initially recognised at fair value, net of transaction costs incurred. Borrowings are subsequently measured at amortised cost. Any difference between the proceeds (net of transaction costs) and the redemption amount is recognised in the income statement over the period of the borrowings using the effective interest method. Fees paid on the establishment of loan facilities, which are not an incremental cost relating to the actual draw-down of the facility, are recognised as prepayments and amortised on a straight-line basis over the term of the facility.</w:t>
      </w:r>
    </w:p>
    <w:p>
      <w:pPr>
        <w:pStyle w:val="BodyText"/>
        <w:spacing w:before="11"/>
        <w:rPr>
          <w:sz w:val="24"/>
        </w:rPr>
      </w:pPr>
    </w:p>
    <w:p>
      <w:pPr>
        <w:pStyle w:val="BodyText"/>
        <w:ind w:left="503" w:right="220"/>
      </w:pPr>
      <w:r>
        <w:rPr/>
        <w:t>Borrowings are removed from the statement of financial position when the obligation specified in the contract is discharged, cancelled or expired. The difference between the carrying amount of a financial liability that has been extinguished or transferred to another party and the consideration paid, including any non-cash assets transferred or </w:t>
      </w:r>
      <w:bookmarkStart w:name="(v) Borrowing costs " w:id="41"/>
      <w:bookmarkEnd w:id="41"/>
      <w:r>
        <w:rPr/>
      </w:r>
      <w:r>
        <w:rPr/>
        <w:t>liabilities assumed, is recognised in other income or other expenses.</w:t>
      </w:r>
    </w:p>
    <w:p>
      <w:pPr>
        <w:pStyle w:val="BodyText"/>
        <w:spacing w:before="11"/>
        <w:rPr>
          <w:sz w:val="24"/>
        </w:rPr>
      </w:pPr>
    </w:p>
    <w:p>
      <w:pPr>
        <w:pStyle w:val="BodyText"/>
        <w:ind w:left="503" w:right="220"/>
      </w:pPr>
      <w:r>
        <w:rPr/>
        <w:t>Borrowings are classified as current liabilities unless the Group has an unconditional right to defer settlement of the liability for at least 12 months after the end of the reporting period and does not expect to settle the liability for at least 12 months after the end of the reporting period.</w:t>
      </w:r>
    </w:p>
    <w:p>
      <w:pPr>
        <w:pStyle w:val="BodyText"/>
        <w:spacing w:before="11"/>
        <w:rPr>
          <w:sz w:val="24"/>
        </w:rPr>
      </w:pPr>
    </w:p>
    <w:p>
      <w:pPr>
        <w:pStyle w:val="Heading9"/>
        <w:numPr>
          <w:ilvl w:val="0"/>
          <w:numId w:val="15"/>
        </w:numPr>
        <w:tabs>
          <w:tab w:pos="1071" w:val="left" w:leader="none"/>
        </w:tabs>
        <w:spacing w:line="240" w:lineRule="auto" w:before="0" w:after="0"/>
        <w:ind w:left="1070" w:right="0" w:hanging="566"/>
        <w:jc w:val="left"/>
      </w:pPr>
      <w:bookmarkStart w:name="(w) Provisions " w:id="42"/>
      <w:bookmarkEnd w:id="42"/>
      <w:r>
        <w:rPr>
          <w:b w:val="0"/>
        </w:rPr>
      </w:r>
      <w:bookmarkStart w:name="(w) Provisions " w:id="43"/>
      <w:bookmarkEnd w:id="43"/>
      <w:r>
        <w:rPr/>
        <w:t>Borrowing</w:t>
      </w:r>
      <w:r>
        <w:rPr/>
        <w:t> costs</w:t>
      </w:r>
    </w:p>
    <w:p>
      <w:pPr>
        <w:pStyle w:val="BodyText"/>
        <w:spacing w:before="11"/>
        <w:rPr>
          <w:b/>
          <w:sz w:val="24"/>
        </w:rPr>
      </w:pPr>
    </w:p>
    <w:p>
      <w:pPr>
        <w:pStyle w:val="BodyText"/>
        <w:ind w:left="504" w:right="225"/>
        <w:jc w:val="both"/>
      </w:pPr>
      <w:r>
        <w:rPr/>
        <w:t>Borrowing costs are expensed. Finance charges in respect of finance leases, and exchange differences arising from foreign currency borrowings to the extent that they are regarded as an adjustment to interest costs are included in the definition of borrowing costs.</w:t>
      </w:r>
    </w:p>
    <w:p>
      <w:pPr>
        <w:pStyle w:val="BodyText"/>
        <w:spacing w:before="11"/>
        <w:rPr>
          <w:sz w:val="24"/>
        </w:rPr>
      </w:pPr>
    </w:p>
    <w:p>
      <w:pPr>
        <w:pStyle w:val="Heading9"/>
        <w:numPr>
          <w:ilvl w:val="0"/>
          <w:numId w:val="15"/>
        </w:numPr>
        <w:tabs>
          <w:tab w:pos="1071" w:val="left" w:leader="none"/>
        </w:tabs>
        <w:spacing w:line="240" w:lineRule="auto" w:before="0" w:after="0"/>
        <w:ind w:left="1070" w:right="0" w:hanging="566"/>
        <w:jc w:val="left"/>
      </w:pPr>
      <w:r>
        <w:rPr/>
        <w:t>Provisions</w:t>
      </w:r>
    </w:p>
    <w:p>
      <w:pPr>
        <w:pStyle w:val="BodyText"/>
        <w:spacing w:before="11"/>
        <w:rPr>
          <w:b/>
          <w:sz w:val="24"/>
        </w:rPr>
      </w:pPr>
    </w:p>
    <w:p>
      <w:pPr>
        <w:pStyle w:val="BodyText"/>
        <w:ind w:left="504" w:right="130"/>
      </w:pPr>
      <w:r>
        <w:rPr/>
        <w:t>Provisions are recognised when the Group has a present legal or constructive obligation as a result of past events, it is probable that an outflow of resources will be required to settle the obligation and the amount can be reliably estimated.</w:t>
      </w:r>
    </w:p>
    <w:p>
      <w:pPr>
        <w:pStyle w:val="BodyText"/>
        <w:spacing w:before="11"/>
        <w:rPr>
          <w:sz w:val="24"/>
        </w:rPr>
      </w:pPr>
    </w:p>
    <w:p>
      <w:pPr>
        <w:pStyle w:val="BodyText"/>
        <w:ind w:left="504" w:right="220"/>
      </w:pPr>
      <w:r>
        <w:rPr/>
        <w:t>Provisions are not recognised for future operating losses. Where there are a number of similar obligations, the likelihood that an outflow will be required in settlement is determined by considering the class of obligations as a whole. A provision is recognised even if the likelihood of an outflow with respect to any one item included in the same class of obligations may be small.</w:t>
      </w:r>
    </w:p>
    <w:p>
      <w:pPr>
        <w:pStyle w:val="BodyText"/>
        <w:spacing w:before="11"/>
        <w:rPr>
          <w:sz w:val="24"/>
        </w:rPr>
      </w:pPr>
    </w:p>
    <w:p>
      <w:pPr>
        <w:pStyle w:val="BodyText"/>
        <w:ind w:left="504" w:right="220"/>
      </w:pPr>
      <w:r>
        <w:rPr/>
        <w:t>Provisions are measured at the present value of management’s best estimate of the expenditure required to settle the present obligation at the reporting date. The discount rate used to determine the present value reflects current market assessments of the time value of money and the risks specific to the liability. The increase in the provision due to the passage of time is recognised as a finance cost.</w:t>
      </w:r>
    </w:p>
    <w:p>
      <w:pPr>
        <w:spacing w:after="0"/>
        <w:sectPr>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pStyle w:val="Heading9"/>
        <w:tabs>
          <w:tab w:pos="503" w:val="left" w:leader="none"/>
        </w:tabs>
        <w:ind w:left="110" w:right="161"/>
      </w:pPr>
      <w:bookmarkStart w:name="(x) Employee benefits " w:id="44"/>
      <w:bookmarkEnd w:id="44"/>
      <w:r>
        <w:rPr>
          <w:b w:val="0"/>
        </w:rPr>
      </w:r>
      <w:r>
        <w:rPr/>
        <w:t>1</w:t>
        <w:tab/>
        <w:t>Summary of Significant Accounting Policies</w:t>
      </w:r>
      <w:r>
        <w:rPr>
          <w:spacing w:val="-9"/>
        </w:rPr>
        <w:t> </w:t>
      </w:r>
      <w:r>
        <w:rPr/>
        <w:t>(continued)</w:t>
      </w:r>
    </w:p>
    <w:p>
      <w:pPr>
        <w:pStyle w:val="BodyText"/>
        <w:spacing w:before="11"/>
        <w:rPr>
          <w:b/>
          <w:sz w:val="24"/>
        </w:rPr>
      </w:pPr>
    </w:p>
    <w:p>
      <w:pPr>
        <w:pStyle w:val="ListParagraph"/>
        <w:numPr>
          <w:ilvl w:val="0"/>
          <w:numId w:val="15"/>
        </w:numPr>
        <w:tabs>
          <w:tab w:pos="1071" w:val="left" w:leader="none"/>
        </w:tabs>
        <w:spacing w:line="240" w:lineRule="auto" w:before="0" w:after="0"/>
        <w:ind w:left="1070" w:right="0" w:hanging="566"/>
        <w:jc w:val="left"/>
        <w:rPr>
          <w:b/>
          <w:sz w:val="18"/>
        </w:rPr>
      </w:pPr>
      <w:r>
        <w:rPr>
          <w:b/>
          <w:sz w:val="18"/>
        </w:rPr>
        <w:t>Employee</w:t>
      </w:r>
      <w:r>
        <w:rPr>
          <w:b/>
          <w:spacing w:val="-10"/>
          <w:sz w:val="18"/>
        </w:rPr>
        <w:t> </w:t>
      </w:r>
      <w:r>
        <w:rPr>
          <w:b/>
          <w:sz w:val="18"/>
        </w:rPr>
        <w:t>benefits</w:t>
      </w:r>
    </w:p>
    <w:p>
      <w:pPr>
        <w:pStyle w:val="BodyText"/>
        <w:spacing w:before="11"/>
        <w:rPr>
          <w:b/>
          <w:sz w:val="24"/>
        </w:rPr>
      </w:pPr>
    </w:p>
    <w:p>
      <w:pPr>
        <w:pStyle w:val="BodyText"/>
        <w:ind w:left="504" w:right="161"/>
      </w:pPr>
      <w:r>
        <w:rPr/>
        <w:t>Provision is made for benefits accruing to employees in respect of wages and salaries, annual leave and long service leave when it is probable that settlement will be required and they are capable of being measured reliably. The calculation of employee benefits includes all relevant on-costs and is calculated as follows at reporting date.</w:t>
      </w:r>
    </w:p>
    <w:p>
      <w:pPr>
        <w:pStyle w:val="BodyText"/>
        <w:spacing w:before="11"/>
        <w:rPr>
          <w:sz w:val="24"/>
        </w:rPr>
      </w:pPr>
    </w:p>
    <w:p>
      <w:pPr>
        <w:pStyle w:val="ListParagraph"/>
        <w:numPr>
          <w:ilvl w:val="0"/>
          <w:numId w:val="16"/>
        </w:numPr>
        <w:tabs>
          <w:tab w:pos="716" w:val="left" w:leader="none"/>
        </w:tabs>
        <w:spacing w:line="240" w:lineRule="auto" w:before="0" w:after="0"/>
        <w:ind w:left="715" w:right="0" w:hanging="211"/>
        <w:jc w:val="left"/>
        <w:rPr>
          <w:sz w:val="18"/>
        </w:rPr>
      </w:pPr>
      <w:r>
        <w:rPr>
          <w:sz w:val="18"/>
        </w:rPr>
        <w:t>Wages and</w:t>
      </w:r>
      <w:r>
        <w:rPr>
          <w:spacing w:val="11"/>
          <w:sz w:val="18"/>
        </w:rPr>
        <w:t> </w:t>
      </w:r>
      <w:r>
        <w:rPr>
          <w:sz w:val="18"/>
        </w:rPr>
        <w:t>salaries</w:t>
      </w:r>
    </w:p>
    <w:p>
      <w:pPr>
        <w:pStyle w:val="BodyText"/>
        <w:spacing w:before="11"/>
        <w:rPr>
          <w:sz w:val="24"/>
        </w:rPr>
      </w:pPr>
    </w:p>
    <w:p>
      <w:pPr>
        <w:pStyle w:val="BodyText"/>
        <w:ind w:left="503" w:right="288"/>
        <w:jc w:val="both"/>
      </w:pPr>
      <w:r>
        <w:rPr/>
        <w:t>Liabilities for short-term employee benefits including wages and salaries and non-monetary benefits are measured at the amount expected to be paid when the liability is settled, if it is expected to be settled wholly before twelve months after the end of the reporting period, and is recognised in other payables.</w:t>
      </w:r>
    </w:p>
    <w:p>
      <w:pPr>
        <w:pStyle w:val="BodyText"/>
        <w:spacing w:before="11"/>
        <w:rPr>
          <w:sz w:val="24"/>
        </w:rPr>
      </w:pPr>
    </w:p>
    <w:p>
      <w:pPr>
        <w:pStyle w:val="ListParagraph"/>
        <w:numPr>
          <w:ilvl w:val="0"/>
          <w:numId w:val="16"/>
        </w:numPr>
        <w:tabs>
          <w:tab w:pos="757" w:val="left" w:leader="none"/>
        </w:tabs>
        <w:spacing w:line="240" w:lineRule="auto" w:before="0" w:after="0"/>
        <w:ind w:left="756" w:right="0" w:hanging="252"/>
        <w:jc w:val="left"/>
        <w:rPr>
          <w:sz w:val="18"/>
        </w:rPr>
      </w:pPr>
      <w:r>
        <w:rPr>
          <w:sz w:val="18"/>
        </w:rPr>
        <w:t>Annual leave and sick</w:t>
      </w:r>
      <w:r>
        <w:rPr>
          <w:spacing w:val="3"/>
          <w:sz w:val="18"/>
        </w:rPr>
        <w:t> </w:t>
      </w:r>
      <w:r>
        <w:rPr>
          <w:sz w:val="18"/>
        </w:rPr>
        <w:t>leave</w:t>
      </w:r>
    </w:p>
    <w:p>
      <w:pPr>
        <w:pStyle w:val="BodyText"/>
        <w:spacing w:before="11"/>
        <w:rPr>
          <w:sz w:val="24"/>
        </w:rPr>
      </w:pPr>
    </w:p>
    <w:p>
      <w:pPr>
        <w:pStyle w:val="BodyText"/>
        <w:ind w:left="504" w:right="161"/>
      </w:pPr>
      <w:r>
        <w:rPr/>
        <w:t>Annual leave is measured at the amount expected to be paid when the liability is settled.</w:t>
      </w:r>
    </w:p>
    <w:p>
      <w:pPr>
        <w:pStyle w:val="BodyText"/>
        <w:spacing w:before="11"/>
        <w:rPr>
          <w:sz w:val="24"/>
        </w:rPr>
      </w:pPr>
    </w:p>
    <w:p>
      <w:pPr>
        <w:pStyle w:val="BodyText"/>
        <w:ind w:left="504" w:right="252"/>
      </w:pPr>
      <w:r>
        <w:rPr/>
        <w:t>Sick leave is cumulative but not vesting and therefore is not recognised in employee provisions. Liabilities for sick leave are recognised when the leave is taken and measured at the rates paid or payable.</w:t>
      </w:r>
    </w:p>
    <w:p>
      <w:pPr>
        <w:pStyle w:val="BodyText"/>
        <w:spacing w:before="11"/>
        <w:rPr>
          <w:sz w:val="24"/>
        </w:rPr>
      </w:pPr>
    </w:p>
    <w:p>
      <w:pPr>
        <w:pStyle w:val="ListParagraph"/>
        <w:numPr>
          <w:ilvl w:val="0"/>
          <w:numId w:val="16"/>
        </w:numPr>
        <w:tabs>
          <w:tab w:pos="798" w:val="left" w:leader="none"/>
        </w:tabs>
        <w:spacing w:line="240" w:lineRule="auto" w:before="0" w:after="0"/>
        <w:ind w:left="797" w:right="0" w:hanging="293"/>
        <w:jc w:val="left"/>
        <w:rPr>
          <w:sz w:val="18"/>
        </w:rPr>
      </w:pPr>
      <w:r>
        <w:rPr>
          <w:sz w:val="18"/>
        </w:rPr>
        <w:t>Long service</w:t>
      </w:r>
      <w:r>
        <w:rPr>
          <w:spacing w:val="-1"/>
          <w:sz w:val="18"/>
        </w:rPr>
        <w:t> </w:t>
      </w:r>
      <w:r>
        <w:rPr>
          <w:sz w:val="18"/>
        </w:rPr>
        <w:t>leave</w:t>
      </w:r>
    </w:p>
    <w:p>
      <w:pPr>
        <w:pStyle w:val="BodyText"/>
        <w:spacing w:before="11"/>
        <w:rPr>
          <w:sz w:val="24"/>
        </w:rPr>
      </w:pPr>
    </w:p>
    <w:p>
      <w:pPr>
        <w:pStyle w:val="BodyText"/>
        <w:ind w:left="503" w:right="184"/>
      </w:pPr>
      <w:r>
        <w:rPr/>
        <w:t>The liability for long service leave is recognised in the provision for employee benefits and measured at the present value of expected future payments to be made in respect of services provided by employees up to the reporting date using the projected unit credit method. Consideration is given to expected future wage and salary levels, experience of employee departures and periods of service. Expected future payments are discounted using market yields at the reporting date on national government bonds with terms to maturity and currency that match, as closely as possible,  the estimated future cash</w:t>
      </w:r>
      <w:r>
        <w:rPr>
          <w:spacing w:val="3"/>
        </w:rPr>
        <w:t> </w:t>
      </w:r>
      <w:r>
        <w:rPr/>
        <w:t>outflows.</w:t>
      </w:r>
    </w:p>
    <w:p>
      <w:pPr>
        <w:pStyle w:val="BodyText"/>
        <w:spacing w:before="11"/>
        <w:rPr>
          <w:sz w:val="24"/>
        </w:rPr>
      </w:pPr>
    </w:p>
    <w:p>
      <w:pPr>
        <w:pStyle w:val="BodyText"/>
        <w:ind w:left="503" w:right="161"/>
      </w:pPr>
      <w:r>
        <w:rPr/>
        <w:t>Regardless of the expected timing of settlements, provisions made in respect of employee benefits are classified as a current liability, unless there is an unconditional right to defer the settlement of the liability for at least twelve months after the reporting date, in which case it would be classified as a non-current liability.</w:t>
      </w:r>
    </w:p>
    <w:p>
      <w:pPr>
        <w:pStyle w:val="BodyText"/>
        <w:spacing w:before="11"/>
        <w:rPr>
          <w:sz w:val="24"/>
        </w:rPr>
      </w:pPr>
    </w:p>
    <w:p>
      <w:pPr>
        <w:pStyle w:val="ListParagraph"/>
        <w:numPr>
          <w:ilvl w:val="0"/>
          <w:numId w:val="16"/>
        </w:numPr>
        <w:tabs>
          <w:tab w:pos="805" w:val="left" w:leader="none"/>
        </w:tabs>
        <w:spacing w:line="240" w:lineRule="auto" w:before="0" w:after="0"/>
        <w:ind w:left="804" w:right="0" w:hanging="300"/>
        <w:jc w:val="left"/>
        <w:rPr>
          <w:sz w:val="18"/>
        </w:rPr>
      </w:pPr>
      <w:r>
        <w:rPr>
          <w:sz w:val="18"/>
        </w:rPr>
        <w:t>Retirement benefit</w:t>
      </w:r>
      <w:r>
        <w:rPr>
          <w:spacing w:val="1"/>
          <w:sz w:val="18"/>
        </w:rPr>
        <w:t> </w:t>
      </w:r>
      <w:r>
        <w:rPr>
          <w:sz w:val="18"/>
        </w:rPr>
        <w:t>obligations</w:t>
      </w:r>
    </w:p>
    <w:p>
      <w:pPr>
        <w:pStyle w:val="BodyText"/>
        <w:spacing w:before="11"/>
        <w:rPr>
          <w:sz w:val="24"/>
        </w:rPr>
      </w:pPr>
    </w:p>
    <w:p>
      <w:pPr>
        <w:pStyle w:val="BodyText"/>
        <w:ind w:left="503" w:right="252"/>
      </w:pPr>
      <w:r>
        <w:rPr/>
        <w:t>Employees of the Group that are members of UniSuper are entitled to benefits on retirement, disability or death from the Group’s superannuation plan. The Group has a defined benefit section and defined contribution section within its plan. The defined benefit section provides defined lump sum benefits based on years of service and final average salary. The defined contribution section receives fixed contributions from Group companies and the Group’s legal or constructive obligation is limited to these contributions.</w:t>
      </w:r>
    </w:p>
    <w:p>
      <w:pPr>
        <w:pStyle w:val="BodyText"/>
        <w:spacing w:before="11"/>
        <w:rPr>
          <w:sz w:val="24"/>
        </w:rPr>
      </w:pPr>
    </w:p>
    <w:p>
      <w:pPr>
        <w:pStyle w:val="BodyText"/>
        <w:ind w:left="503" w:right="252"/>
      </w:pPr>
      <w:r>
        <w:rPr/>
        <w:t>A liability or asset in respect of defined benefit superannuation plans is recognised in the statement of financial position, and is measured at the present value of the defined benefit obligation at the reporting date less the fair value of the superannuation fund’s assets at that date. The present value of the defined benefit obligation is based on expected future payments which arise from membership of the fund to the reporting date, calculated annually by independent actuaries using the projected unit credit method. Consideration is given to expected future wage and salary levels, experience of employee departures and periods of service.</w:t>
      </w:r>
    </w:p>
    <w:p>
      <w:pPr>
        <w:pStyle w:val="BodyText"/>
        <w:spacing w:before="11"/>
        <w:rPr>
          <w:sz w:val="24"/>
        </w:rPr>
      </w:pPr>
    </w:p>
    <w:p>
      <w:pPr>
        <w:pStyle w:val="BodyText"/>
        <w:ind w:left="503" w:right="161"/>
      </w:pPr>
      <w:r>
        <w:rPr/>
        <w:t>Expected future payments are discounted using market yields at the reporting date on national government bonds with terms to maturity and currency that match, as closely as possible, the estimated future cash outflows.</w:t>
      </w:r>
    </w:p>
    <w:p>
      <w:pPr>
        <w:spacing w:after="0"/>
        <w:sectPr>
          <w:pgSz w:w="11910" w:h="16840"/>
          <w:pgMar w:header="1037" w:footer="507" w:top="2220" w:bottom="700" w:left="900" w:right="860"/>
        </w:sectPr>
      </w:pPr>
    </w:p>
    <w:p>
      <w:pPr>
        <w:pStyle w:val="BodyText"/>
        <w:rPr>
          <w:sz w:val="20"/>
        </w:rPr>
      </w:pPr>
    </w:p>
    <w:p>
      <w:pPr>
        <w:pStyle w:val="BodyText"/>
        <w:rPr>
          <w:sz w:val="20"/>
        </w:rPr>
      </w:pPr>
    </w:p>
    <w:p>
      <w:pPr>
        <w:pStyle w:val="BodyText"/>
        <w:spacing w:before="5"/>
      </w:pPr>
    </w:p>
    <w:p>
      <w:pPr>
        <w:pStyle w:val="Heading9"/>
        <w:tabs>
          <w:tab w:pos="503" w:val="left" w:leader="none"/>
        </w:tabs>
        <w:ind w:left="110" w:right="194"/>
      </w:pPr>
      <w:r>
        <w:rPr/>
        <w:t>1</w:t>
        <w:tab/>
        <w:t>Summary of Significant Accounting Policies</w:t>
      </w:r>
      <w:r>
        <w:rPr>
          <w:spacing w:val="-9"/>
        </w:rPr>
        <w:t> </w:t>
      </w:r>
      <w:r>
        <w:rPr/>
        <w:t>(continued)</w:t>
      </w:r>
    </w:p>
    <w:p>
      <w:pPr>
        <w:pStyle w:val="BodyText"/>
        <w:spacing w:before="11"/>
        <w:rPr>
          <w:b/>
          <w:sz w:val="24"/>
        </w:rPr>
      </w:pPr>
    </w:p>
    <w:p>
      <w:pPr>
        <w:pStyle w:val="ListParagraph"/>
        <w:numPr>
          <w:ilvl w:val="0"/>
          <w:numId w:val="17"/>
        </w:numPr>
        <w:tabs>
          <w:tab w:pos="1071" w:val="left" w:leader="none"/>
        </w:tabs>
        <w:spacing w:line="240" w:lineRule="auto" w:before="0" w:after="0"/>
        <w:ind w:left="1070" w:right="0" w:hanging="566"/>
        <w:jc w:val="left"/>
        <w:rPr>
          <w:b/>
          <w:sz w:val="18"/>
        </w:rPr>
      </w:pPr>
      <w:r>
        <w:rPr>
          <w:b/>
          <w:sz w:val="18"/>
        </w:rPr>
        <w:t>Employee benefits</w:t>
      </w:r>
      <w:r>
        <w:rPr>
          <w:b/>
          <w:spacing w:val="-9"/>
          <w:sz w:val="18"/>
        </w:rPr>
        <w:t> </w:t>
      </w:r>
      <w:r>
        <w:rPr>
          <w:b/>
          <w:sz w:val="18"/>
        </w:rPr>
        <w:t>(continued)</w:t>
      </w:r>
    </w:p>
    <w:p>
      <w:pPr>
        <w:pStyle w:val="BodyText"/>
        <w:spacing w:before="11"/>
        <w:rPr>
          <w:b/>
          <w:sz w:val="24"/>
        </w:rPr>
      </w:pPr>
    </w:p>
    <w:p>
      <w:pPr>
        <w:pStyle w:val="BodyText"/>
        <w:ind w:left="504" w:right="263"/>
      </w:pPr>
      <w:r>
        <w:rPr/>
        <w:t>Remeasurement gains and losses arising from experience adjustments and changes in actuarial assumptions are recognised in the period in which they occur, directly in other comprehensive income. They are included in the retained earnings in the statement of changes in equity and in the statement of financial position.</w:t>
      </w:r>
    </w:p>
    <w:p>
      <w:pPr>
        <w:pStyle w:val="BodyText"/>
        <w:spacing w:before="11"/>
        <w:rPr>
          <w:sz w:val="24"/>
        </w:rPr>
      </w:pPr>
    </w:p>
    <w:p>
      <w:pPr>
        <w:pStyle w:val="BodyText"/>
        <w:ind w:left="504" w:right="194"/>
      </w:pPr>
      <w:r>
        <w:rPr/>
        <w:t>Past service costs are recognised in profit or loss immediately.</w:t>
      </w:r>
    </w:p>
    <w:p>
      <w:pPr>
        <w:pStyle w:val="BodyText"/>
        <w:spacing w:before="11"/>
        <w:rPr>
          <w:sz w:val="24"/>
        </w:rPr>
      </w:pPr>
    </w:p>
    <w:p>
      <w:pPr>
        <w:pStyle w:val="BodyText"/>
        <w:ind w:left="503" w:right="194"/>
      </w:pPr>
      <w:r>
        <w:rPr/>
        <w:t>Contributions to the defined contributions section of Western Sydney University's superannuation fund and other independent defined contribution superannuation funds are recognised as an expense as they become payable.</w:t>
      </w:r>
    </w:p>
    <w:p>
      <w:pPr>
        <w:pStyle w:val="BodyText"/>
        <w:spacing w:before="11"/>
        <w:rPr>
          <w:sz w:val="24"/>
        </w:rPr>
      </w:pPr>
    </w:p>
    <w:p>
      <w:pPr>
        <w:pStyle w:val="ListParagraph"/>
        <w:numPr>
          <w:ilvl w:val="0"/>
          <w:numId w:val="18"/>
        </w:numPr>
        <w:tabs>
          <w:tab w:pos="764" w:val="left" w:leader="none"/>
        </w:tabs>
        <w:spacing w:line="240" w:lineRule="auto" w:before="0" w:after="0"/>
        <w:ind w:left="763" w:right="0" w:hanging="259"/>
        <w:jc w:val="left"/>
        <w:rPr>
          <w:sz w:val="18"/>
        </w:rPr>
      </w:pPr>
      <w:r>
        <w:rPr>
          <w:sz w:val="18"/>
        </w:rPr>
        <w:t>Deferred government benefit for</w:t>
      </w:r>
      <w:r>
        <w:rPr>
          <w:spacing w:val="3"/>
          <w:sz w:val="18"/>
        </w:rPr>
        <w:t> </w:t>
      </w:r>
      <w:r>
        <w:rPr>
          <w:sz w:val="18"/>
        </w:rPr>
        <w:t>superannuation</w:t>
      </w:r>
    </w:p>
    <w:p>
      <w:pPr>
        <w:pStyle w:val="BodyText"/>
        <w:spacing w:before="11"/>
        <w:rPr>
          <w:sz w:val="24"/>
        </w:rPr>
      </w:pPr>
    </w:p>
    <w:p>
      <w:pPr>
        <w:pStyle w:val="BodyText"/>
        <w:ind w:left="504" w:right="194"/>
      </w:pPr>
      <w:r>
        <w:rPr/>
        <w:t>In accordance with the 1998 instructions issued by the Department of Education, Training and Youth Affairs (DETYA) now known as the Department of Education (Education), the effects of the unfunded superannuation liabilities of Western Sydney University and its controlled entities were recorded in the income statement and the statement of financial position for the first time in 1998. The prior years’ practice had been to disclose liabilities by way of a note to the financial statements.</w:t>
      </w:r>
    </w:p>
    <w:p>
      <w:pPr>
        <w:pStyle w:val="BodyText"/>
        <w:spacing w:before="11"/>
        <w:rPr>
          <w:sz w:val="24"/>
        </w:rPr>
      </w:pPr>
    </w:p>
    <w:p>
      <w:pPr>
        <w:pStyle w:val="BodyText"/>
        <w:ind w:left="503" w:right="194"/>
      </w:pPr>
      <w:r>
        <w:rPr/>
        <w:t>The unfunded liabilities recorded in the statement of financial position under Provisions have been determined by Mercer Human Resource Consulting Ltd and relate to the State Superannuation Scheme, the State Authorities Superannuation Scheme and the State Authorities Non Contributory Scheme. This assessment was based on the full requirements of AASB 119.</w:t>
      </w:r>
    </w:p>
    <w:p>
      <w:pPr>
        <w:pStyle w:val="BodyText"/>
        <w:spacing w:before="11"/>
        <w:rPr>
          <w:sz w:val="24"/>
        </w:rPr>
      </w:pPr>
    </w:p>
    <w:p>
      <w:pPr>
        <w:pStyle w:val="BodyText"/>
        <w:ind w:left="503" w:right="51"/>
      </w:pPr>
      <w:r>
        <w:rPr/>
        <w:t>Deferred government benefits for superannuation are the amounts recognised as reimbursement rights as they are the amounts expected to be received from the Australian Government for the emerging costs of the superannuation funds for the life of the liability.</w:t>
      </w:r>
    </w:p>
    <w:p>
      <w:pPr>
        <w:pStyle w:val="BodyText"/>
        <w:spacing w:before="11"/>
        <w:rPr>
          <w:sz w:val="24"/>
        </w:rPr>
      </w:pPr>
    </w:p>
    <w:p>
      <w:pPr>
        <w:pStyle w:val="BodyText"/>
        <w:ind w:left="503" w:right="194"/>
      </w:pPr>
      <w:r>
        <w:rPr/>
        <w:t>Note 41 discloses specific treatment.</w:t>
      </w:r>
    </w:p>
    <w:p>
      <w:pPr>
        <w:pStyle w:val="BodyText"/>
        <w:spacing w:before="11"/>
        <w:rPr>
          <w:sz w:val="24"/>
        </w:rPr>
      </w:pPr>
    </w:p>
    <w:p>
      <w:pPr>
        <w:pStyle w:val="ListParagraph"/>
        <w:numPr>
          <w:ilvl w:val="0"/>
          <w:numId w:val="18"/>
        </w:numPr>
        <w:tabs>
          <w:tab w:pos="805" w:val="left" w:leader="none"/>
        </w:tabs>
        <w:spacing w:line="240" w:lineRule="auto" w:before="0" w:after="0"/>
        <w:ind w:left="804" w:right="0" w:hanging="300"/>
        <w:jc w:val="left"/>
        <w:rPr>
          <w:sz w:val="18"/>
        </w:rPr>
      </w:pPr>
      <w:r>
        <w:rPr>
          <w:sz w:val="18"/>
        </w:rPr>
        <w:t>Termination</w:t>
      </w:r>
      <w:r>
        <w:rPr>
          <w:spacing w:val="-1"/>
          <w:sz w:val="18"/>
        </w:rPr>
        <w:t> </w:t>
      </w:r>
      <w:r>
        <w:rPr>
          <w:sz w:val="18"/>
        </w:rPr>
        <w:t>Benefits</w:t>
      </w:r>
    </w:p>
    <w:p>
      <w:pPr>
        <w:pStyle w:val="BodyText"/>
        <w:spacing w:before="11"/>
        <w:rPr>
          <w:sz w:val="24"/>
        </w:rPr>
      </w:pPr>
    </w:p>
    <w:p>
      <w:pPr>
        <w:pStyle w:val="BodyText"/>
        <w:ind w:left="503" w:right="51"/>
      </w:pPr>
      <w:r>
        <w:rPr/>
        <w:t>Termination benefits are payable when employment is terminated before the normal retirement date, or when an employee accepts an offer of benefits in exchange for the termination of employment. The Group recognises the expense and liability for termination benefits either when it can no longer withdraw the offer of those benefits or when it has recognised costs for restructuring within the scope of AASB 137 that involves the payment of termination benefits. The expense and liability are recognised when the Group is demonstrably committed to either terminating the employment of current employees according to a detailed formal plan without possibility of withdrawal or providing termination benefits as a result of an offer made to encourage voluntary redundancy.</w:t>
      </w:r>
    </w:p>
    <w:p>
      <w:pPr>
        <w:pStyle w:val="BodyText"/>
        <w:spacing w:before="11"/>
        <w:rPr>
          <w:sz w:val="24"/>
        </w:rPr>
      </w:pPr>
    </w:p>
    <w:p>
      <w:pPr>
        <w:pStyle w:val="BodyText"/>
        <w:ind w:left="504" w:right="194"/>
      </w:pPr>
      <w:r>
        <w:rPr/>
        <w:t>Termination benefits are measured on initial recognition and subsequent changes are measured and recognised in accordance with the nature of the employee benefit. Benefits expected to be settled wholly within twelve months are measured at the undiscounted amount expected to be paid. Benefits not expected to be settled before twelve months after the end of the reporting period are discounted to present value.</w:t>
      </w:r>
    </w:p>
    <w:p>
      <w:pPr>
        <w:spacing w:after="0"/>
        <w:sectPr>
          <w:pgSz w:w="11910" w:h="16840"/>
          <w:pgMar w:header="1037" w:footer="507" w:top="2220" w:bottom="700" w:left="900" w:right="900"/>
        </w:sectPr>
      </w:pPr>
    </w:p>
    <w:p>
      <w:pPr>
        <w:pStyle w:val="BodyText"/>
        <w:rPr>
          <w:sz w:val="20"/>
        </w:rPr>
      </w:pPr>
    </w:p>
    <w:p>
      <w:pPr>
        <w:pStyle w:val="BodyText"/>
        <w:rPr>
          <w:sz w:val="20"/>
        </w:rPr>
      </w:pPr>
    </w:p>
    <w:p>
      <w:pPr>
        <w:pStyle w:val="BodyText"/>
        <w:spacing w:before="5"/>
      </w:pPr>
    </w:p>
    <w:p>
      <w:pPr>
        <w:pStyle w:val="Heading9"/>
        <w:tabs>
          <w:tab w:pos="503" w:val="left" w:leader="none"/>
        </w:tabs>
        <w:ind w:left="110" w:right="161"/>
      </w:pPr>
      <w:bookmarkStart w:name="Financial guarantee contracts" w:id="45"/>
      <w:bookmarkEnd w:id="45"/>
      <w:r>
        <w:rPr>
          <w:b w:val="0"/>
        </w:rPr>
      </w:r>
      <w:bookmarkStart w:name="(y) Financial guarantee contracts " w:id="46"/>
      <w:bookmarkEnd w:id="46"/>
      <w:r>
        <w:rPr>
          <w:b w:val="0"/>
        </w:rPr>
      </w:r>
      <w:r>
        <w:rPr/>
        <w:t>1</w:t>
        <w:tab/>
        <w:t>Summary of Significant Accounting Policies</w:t>
      </w:r>
      <w:r>
        <w:rPr>
          <w:spacing w:val="-9"/>
        </w:rPr>
        <w:t> </w:t>
      </w:r>
      <w:r>
        <w:rPr/>
        <w:t>(continued)</w:t>
      </w:r>
    </w:p>
    <w:p>
      <w:pPr>
        <w:pStyle w:val="BodyText"/>
        <w:spacing w:before="11"/>
        <w:rPr>
          <w:b/>
          <w:sz w:val="24"/>
        </w:rPr>
      </w:pPr>
    </w:p>
    <w:p>
      <w:pPr>
        <w:pStyle w:val="ListParagraph"/>
        <w:numPr>
          <w:ilvl w:val="0"/>
          <w:numId w:val="17"/>
        </w:numPr>
        <w:tabs>
          <w:tab w:pos="1071" w:val="left" w:leader="none"/>
        </w:tabs>
        <w:spacing w:line="240" w:lineRule="auto" w:before="0" w:after="0"/>
        <w:ind w:left="1070" w:right="0" w:hanging="566"/>
        <w:jc w:val="left"/>
        <w:rPr>
          <w:b/>
          <w:sz w:val="18"/>
        </w:rPr>
      </w:pPr>
      <w:r>
        <w:rPr>
          <w:b/>
          <w:sz w:val="18"/>
        </w:rPr>
        <w:t>Financial guarantee contracts</w:t>
      </w:r>
    </w:p>
    <w:p>
      <w:pPr>
        <w:pStyle w:val="BodyText"/>
        <w:spacing w:before="11"/>
        <w:rPr>
          <w:b/>
          <w:sz w:val="24"/>
        </w:rPr>
      </w:pPr>
    </w:p>
    <w:p>
      <w:pPr>
        <w:pStyle w:val="BodyText"/>
        <w:ind w:left="504" w:right="161"/>
      </w:pPr>
      <w:r>
        <w:rPr/>
        <w:t>Financial guarantee contracts are recognised as a liability at the time the guarantee is issued. The liability is initially measured at fair value, and subsequently at the higher of the amount determined in accordance with AASB 137 Provisions, Contingent Liabilities and Contingent Assets and the amount initially recognised less cumulative amortisation, where appropriate.</w:t>
      </w:r>
    </w:p>
    <w:p>
      <w:pPr>
        <w:pStyle w:val="BodyText"/>
        <w:spacing w:before="11"/>
        <w:rPr>
          <w:sz w:val="24"/>
        </w:rPr>
      </w:pPr>
    </w:p>
    <w:p>
      <w:pPr>
        <w:pStyle w:val="BodyText"/>
        <w:ind w:left="504" w:right="325"/>
        <w:jc w:val="both"/>
      </w:pPr>
      <w:r>
        <w:rPr/>
        <w:t>The fair value of financial guarantees is determined as the present value of the difference in net cash flows between </w:t>
      </w:r>
      <w:bookmarkStart w:name="(z) Rounding of amounts " w:id="47"/>
      <w:bookmarkEnd w:id="47"/>
      <w:r>
        <w:rPr/>
      </w:r>
      <w:r>
        <w:rPr/>
        <w:t>the contractual payments under the debt instrument and the payments that would be required without the guarantee, or the estimated amount that would be payable to a third party for assuming the obligations.</w:t>
      </w:r>
    </w:p>
    <w:p>
      <w:pPr>
        <w:pStyle w:val="BodyText"/>
        <w:spacing w:before="11"/>
        <w:rPr>
          <w:sz w:val="24"/>
        </w:rPr>
      </w:pPr>
    </w:p>
    <w:p>
      <w:pPr>
        <w:pStyle w:val="BodyText"/>
        <w:ind w:left="504" w:right="252"/>
      </w:pPr>
      <w:r>
        <w:rPr/>
        <w:t>Where guarantees in relation to loans or other payables of subsidiaries or associates are provided for no compensation, the fair values are accounted for as contributions and recognised as part of the cost of the investment.</w:t>
      </w:r>
    </w:p>
    <w:p>
      <w:pPr>
        <w:pStyle w:val="BodyText"/>
        <w:spacing w:before="11"/>
        <w:rPr>
          <w:sz w:val="24"/>
        </w:rPr>
      </w:pPr>
    </w:p>
    <w:p>
      <w:pPr>
        <w:pStyle w:val="Heading9"/>
        <w:numPr>
          <w:ilvl w:val="0"/>
          <w:numId w:val="17"/>
        </w:numPr>
        <w:tabs>
          <w:tab w:pos="1071" w:val="left" w:leader="none"/>
        </w:tabs>
        <w:spacing w:line="240" w:lineRule="auto" w:before="0" w:after="0"/>
        <w:ind w:left="1070" w:right="0" w:hanging="566"/>
        <w:jc w:val="left"/>
      </w:pPr>
      <w:r>
        <w:rPr/>
        <w:t>Rounding of amounts</w:t>
      </w:r>
    </w:p>
    <w:p>
      <w:pPr>
        <w:pStyle w:val="BodyText"/>
        <w:spacing w:before="11"/>
        <w:rPr>
          <w:b/>
          <w:sz w:val="24"/>
        </w:rPr>
      </w:pPr>
    </w:p>
    <w:p>
      <w:pPr>
        <w:pStyle w:val="BodyText"/>
        <w:ind w:left="504" w:right="161"/>
      </w:pPr>
      <w:bookmarkStart w:name="(aa) Goods and Services Tax (GST) " w:id="48"/>
      <w:bookmarkEnd w:id="48"/>
      <w:r>
        <w:rPr/>
      </w:r>
      <w:r>
        <w:rPr/>
        <w:t>Amounts in the financial statements have been rounded off in accordance with ASIC Corporations (Rounding in Financial /Directors' Reports) Instrument 2016/191 relating to the 'rounding off' of amounts in the financial statements. Amounts in the financial report have been rounded off to the nearest thousand dollars, or in certain cases, the nearest dollar.</w:t>
      </w:r>
    </w:p>
    <w:p>
      <w:pPr>
        <w:pStyle w:val="BodyText"/>
        <w:spacing w:before="11"/>
        <w:rPr>
          <w:sz w:val="24"/>
        </w:rPr>
      </w:pPr>
    </w:p>
    <w:p>
      <w:pPr>
        <w:pStyle w:val="Heading9"/>
        <w:tabs>
          <w:tab w:pos="1070" w:val="left" w:leader="none"/>
        </w:tabs>
        <w:ind w:left="504" w:right="161"/>
      </w:pPr>
      <w:r>
        <w:rPr/>
        <w:t>(aa)</w:t>
        <w:tab/>
        <w:t>Goods and Services Tax (GST)</w:t>
      </w:r>
    </w:p>
    <w:p>
      <w:pPr>
        <w:pStyle w:val="BodyText"/>
        <w:spacing w:before="11"/>
        <w:rPr>
          <w:b/>
          <w:sz w:val="24"/>
        </w:rPr>
      </w:pPr>
    </w:p>
    <w:p>
      <w:pPr>
        <w:pStyle w:val="BodyText"/>
        <w:ind w:left="504" w:right="161"/>
      </w:pPr>
      <w:r>
        <w:rPr/>
        <w:t>Revenues, expenses and assets are recognised net of the amount of associated GST, unless the GST incurred is not recoverable from the taxation authority. In this case, it is recognised as part of the cost acquisition of the asset or as part of the expense.</w:t>
      </w:r>
    </w:p>
    <w:p>
      <w:pPr>
        <w:pStyle w:val="BodyText"/>
        <w:spacing w:before="11"/>
        <w:rPr>
          <w:sz w:val="24"/>
        </w:rPr>
      </w:pPr>
    </w:p>
    <w:p>
      <w:pPr>
        <w:pStyle w:val="BodyText"/>
        <w:ind w:left="504" w:right="94"/>
      </w:pPr>
      <w:r>
        <w:rPr/>
        <w:t>Receivables and payables are stated inclusive of the amount of GST receivable or payable. The net amount of GST recoverable from, or payable to, the taxation authority is included with other receivables or payables in the statement of financial position.</w:t>
      </w:r>
    </w:p>
    <w:p>
      <w:pPr>
        <w:pStyle w:val="BodyText"/>
        <w:spacing w:before="11"/>
        <w:rPr>
          <w:sz w:val="24"/>
        </w:rPr>
      </w:pPr>
    </w:p>
    <w:p>
      <w:pPr>
        <w:pStyle w:val="BodyText"/>
        <w:ind w:left="504" w:right="161"/>
      </w:pPr>
      <w:bookmarkStart w:name="(ab) Insurance " w:id="49"/>
      <w:bookmarkEnd w:id="49"/>
      <w:r>
        <w:rPr/>
      </w:r>
      <w:r>
        <w:rPr/>
        <w:t>Cash flows are presented on a gross basis. The GST components of cash flows arising from investing or financing activities which are recoverable from, or payable to the taxation authority, are presented as operating cash flows.</w:t>
      </w:r>
    </w:p>
    <w:p>
      <w:pPr>
        <w:pStyle w:val="BodyText"/>
        <w:spacing w:before="11"/>
        <w:rPr>
          <w:sz w:val="24"/>
        </w:rPr>
      </w:pPr>
    </w:p>
    <w:p>
      <w:pPr>
        <w:pStyle w:val="BodyText"/>
        <w:ind w:left="504" w:right="161"/>
      </w:pPr>
      <w:r>
        <w:rPr/>
        <w:t>The Group, excluding Western Unlimited Ltd and Western Sydney University Early Learning Limited, is a Charitable Institution endorsed to access GST concessions on a range of transactions.</w:t>
      </w:r>
    </w:p>
    <w:p>
      <w:pPr>
        <w:pStyle w:val="BodyText"/>
        <w:spacing w:before="11"/>
        <w:rPr>
          <w:sz w:val="24"/>
        </w:rPr>
      </w:pPr>
    </w:p>
    <w:p>
      <w:pPr>
        <w:pStyle w:val="Heading9"/>
        <w:tabs>
          <w:tab w:pos="1070" w:val="left" w:leader="none"/>
        </w:tabs>
        <w:ind w:left="504" w:right="161"/>
      </w:pPr>
      <w:r>
        <w:rPr/>
        <w:t>(ab)</w:t>
        <w:tab/>
        <w:t>Insurance</w:t>
      </w:r>
    </w:p>
    <w:p>
      <w:pPr>
        <w:pStyle w:val="BodyText"/>
        <w:spacing w:before="11"/>
        <w:rPr>
          <w:b/>
          <w:sz w:val="24"/>
        </w:rPr>
      </w:pPr>
    </w:p>
    <w:p>
      <w:pPr>
        <w:pStyle w:val="BodyText"/>
        <w:ind w:left="503" w:right="161"/>
      </w:pPr>
      <w:r>
        <w:rPr/>
        <w:t>Western Sydney University insures externally for all significant areas of risk exposure and accordingly is not a self </w:t>
      </w:r>
      <w:bookmarkStart w:name="(ac) Foreign operations " w:id="50"/>
      <w:bookmarkEnd w:id="50"/>
      <w:r>
        <w:rPr/>
      </w:r>
      <w:r>
        <w:rPr/>
        <w:t>insurer and makes no provision in its financial statements for internal coverage.</w:t>
      </w:r>
    </w:p>
    <w:p>
      <w:pPr>
        <w:pStyle w:val="BodyText"/>
        <w:spacing w:before="11"/>
        <w:rPr>
          <w:sz w:val="24"/>
        </w:rPr>
      </w:pPr>
    </w:p>
    <w:p>
      <w:pPr>
        <w:pStyle w:val="BodyText"/>
        <w:ind w:left="503" w:right="161"/>
      </w:pPr>
      <w:r>
        <w:rPr/>
        <w:t>Workers’ Compensation insurance is currently held with Employers Mutual Insurance. Property and liability protections (including General and Products Liability, Professional Liability, Medical Malpractice, Clinical Trials and Directors and Officers) are arranged with Unimutual.</w:t>
      </w:r>
    </w:p>
    <w:p>
      <w:pPr>
        <w:pStyle w:val="BodyText"/>
        <w:spacing w:before="11"/>
        <w:rPr>
          <w:sz w:val="24"/>
        </w:rPr>
      </w:pPr>
    </w:p>
    <w:p>
      <w:pPr>
        <w:pStyle w:val="Heading9"/>
        <w:tabs>
          <w:tab w:pos="1070" w:val="left" w:leader="none"/>
        </w:tabs>
        <w:ind w:left="504" w:right="161"/>
      </w:pPr>
      <w:r>
        <w:rPr/>
        <w:t>(ac)</w:t>
        <w:tab/>
        <w:t>Foreign operations</w:t>
      </w:r>
    </w:p>
    <w:p>
      <w:pPr>
        <w:pStyle w:val="BodyText"/>
        <w:spacing w:before="11"/>
        <w:rPr>
          <w:b/>
          <w:sz w:val="24"/>
        </w:rPr>
      </w:pPr>
    </w:p>
    <w:p>
      <w:pPr>
        <w:pStyle w:val="BodyText"/>
        <w:ind w:left="503" w:right="161"/>
      </w:pPr>
      <w:r>
        <w:rPr/>
        <w:t>Western Sydney University operates a small number of teaching programs in the Asia region. There are no University entities registered overseas.</w:t>
      </w:r>
    </w:p>
    <w:p>
      <w:pPr>
        <w:spacing w:after="0"/>
        <w:sectPr>
          <w:pgSz w:w="11910" w:h="16840"/>
          <w:pgMar w:header="1037" w:footer="507" w:top="2220" w:bottom="700" w:left="900" w:right="860"/>
        </w:sectPr>
      </w:pPr>
    </w:p>
    <w:p>
      <w:pPr>
        <w:pStyle w:val="BodyText"/>
        <w:rPr>
          <w:sz w:val="20"/>
        </w:rPr>
      </w:pPr>
    </w:p>
    <w:p>
      <w:pPr>
        <w:pStyle w:val="BodyText"/>
        <w:rPr>
          <w:sz w:val="20"/>
        </w:rPr>
      </w:pPr>
    </w:p>
    <w:p>
      <w:pPr>
        <w:pStyle w:val="BodyText"/>
        <w:spacing w:before="5"/>
      </w:pPr>
    </w:p>
    <w:p>
      <w:pPr>
        <w:pStyle w:val="Heading9"/>
        <w:tabs>
          <w:tab w:pos="503" w:val="left" w:leader="none"/>
          <w:tab w:pos="1070" w:val="left" w:leader="none"/>
        </w:tabs>
        <w:spacing w:line="573" w:lineRule="auto"/>
        <w:ind w:left="504" w:right="4780" w:hanging="394"/>
      </w:pPr>
      <w:bookmarkStart w:name="New Accounting Standards and Interpretat" w:id="51"/>
      <w:bookmarkEnd w:id="51"/>
      <w:r>
        <w:rPr>
          <w:b w:val="0"/>
        </w:rPr>
      </w:r>
      <w:bookmarkStart w:name="(ad) New Accounting Standards and Interp" w:id="52"/>
      <w:bookmarkEnd w:id="52"/>
      <w:r>
        <w:rPr>
          <w:b w:val="0"/>
        </w:rPr>
      </w:r>
      <w:r>
        <w:rPr/>
        <w:t>1</w:t>
        <w:tab/>
        <w:t>Summary of Significant Accounting</w:t>
      </w:r>
      <w:r>
        <w:rPr>
          <w:spacing w:val="-9"/>
        </w:rPr>
        <w:t> </w:t>
      </w:r>
      <w:r>
        <w:rPr/>
        <w:t>Policies (continued)</w:t>
      </w:r>
      <w:r>
        <w:rPr>
          <w:w w:val="100"/>
        </w:rPr>
        <w:t> </w:t>
      </w:r>
      <w:r>
        <w:rPr/>
        <w:t>(ad)</w:t>
        <w:tab/>
        <w:t>New Accounting Standards and Interpretations</w:t>
      </w:r>
    </w:p>
    <w:p>
      <w:pPr>
        <w:pStyle w:val="BodyText"/>
        <w:spacing w:before="8"/>
        <w:ind w:left="504" w:right="194"/>
      </w:pPr>
      <w:r>
        <w:rPr/>
        <w:t>Certain new Accounting Standards and Interpretations have been published that are not mandatory for 31 December 2017 reporting periods. Western Sydney University's assessment of the impact of these new Standards and Interpretations is set out below:</w:t>
      </w:r>
    </w:p>
    <w:p>
      <w:pPr>
        <w:pStyle w:val="BodyText"/>
        <w:spacing w:before="11"/>
        <w:rPr>
          <w:sz w:val="24"/>
        </w:rPr>
      </w:pPr>
    </w:p>
    <w:p>
      <w:pPr>
        <w:pStyle w:val="ListParagraph"/>
        <w:numPr>
          <w:ilvl w:val="0"/>
          <w:numId w:val="19"/>
        </w:numPr>
        <w:tabs>
          <w:tab w:pos="767" w:val="left" w:leader="none"/>
        </w:tabs>
        <w:spacing w:line="240" w:lineRule="auto" w:before="0" w:after="0"/>
        <w:ind w:left="766" w:right="0" w:hanging="212"/>
        <w:jc w:val="left"/>
        <w:rPr>
          <w:i/>
          <w:sz w:val="18"/>
        </w:rPr>
      </w:pPr>
      <w:r>
        <w:rPr>
          <w:i/>
          <w:sz w:val="18"/>
        </w:rPr>
        <w:t>AASB 15 Revenue from contracts with customers; and AASB 1058 Income of not-for-profit</w:t>
      </w:r>
      <w:r>
        <w:rPr>
          <w:i/>
          <w:spacing w:val="-1"/>
          <w:sz w:val="18"/>
        </w:rPr>
        <w:t> </w:t>
      </w:r>
      <w:r>
        <w:rPr>
          <w:i/>
          <w:sz w:val="18"/>
        </w:rPr>
        <w:t>entities</w:t>
      </w:r>
    </w:p>
    <w:p>
      <w:pPr>
        <w:pStyle w:val="BodyText"/>
        <w:spacing w:before="11"/>
        <w:rPr>
          <w:i/>
          <w:sz w:val="24"/>
        </w:rPr>
      </w:pPr>
    </w:p>
    <w:p>
      <w:pPr>
        <w:pStyle w:val="BodyText"/>
        <w:ind w:left="504" w:right="148"/>
      </w:pPr>
      <w:r>
        <w:rPr/>
        <w:t>Australian Accounting Standard AASB 15 'Revenue from contracts with customers' and AASB 1058 'Income of not-for- profit entities' are mandatory from 1 January 2019. The standards replace AASB 118 'Revenue', AASB 111 'Construction Contracts' and AASB 1004 'Contributions'.</w:t>
      </w:r>
    </w:p>
    <w:p>
      <w:pPr>
        <w:pStyle w:val="BodyText"/>
        <w:spacing w:before="11"/>
        <w:rPr>
          <w:sz w:val="24"/>
        </w:rPr>
      </w:pPr>
    </w:p>
    <w:p>
      <w:pPr>
        <w:pStyle w:val="BodyText"/>
        <w:ind w:left="504" w:right="150"/>
      </w:pPr>
      <w:r>
        <w:rPr/>
        <w:t>AASB 15 establishes a single and comprehensive framework which sets out how and when revenue is recognised.  The core principle of AASB 15 is that revenue is recognised when transfers of goods or services to customers occurs in exchange for consideration which the vendor expects to be entitled to in exchange for the provision of those goods or services (i.e. fulfilment of performance obligations). Revenue will only be recognised when control over the goods or services is transferred to the customer, which is either over time or at a point in</w:t>
      </w:r>
      <w:r>
        <w:rPr>
          <w:spacing w:val="15"/>
        </w:rPr>
        <w:t> </w:t>
      </w:r>
      <w:r>
        <w:rPr/>
        <w:t>time.</w:t>
      </w:r>
    </w:p>
    <w:p>
      <w:pPr>
        <w:pStyle w:val="BodyText"/>
        <w:spacing w:before="11"/>
        <w:rPr>
          <w:sz w:val="24"/>
        </w:rPr>
      </w:pPr>
    </w:p>
    <w:p>
      <w:pPr>
        <w:pStyle w:val="BodyText"/>
        <w:ind w:left="504" w:right="194"/>
      </w:pPr>
      <w:r>
        <w:rPr/>
        <w:t>Furthermore, AASB 1058 amends the income recognition requirements that apply to not-for-profit entities and establishes principles for not-for-profit entities that apply to:</w:t>
      </w:r>
    </w:p>
    <w:p>
      <w:pPr>
        <w:pStyle w:val="BodyText"/>
        <w:spacing w:before="11"/>
        <w:rPr>
          <w:sz w:val="24"/>
        </w:rPr>
      </w:pPr>
    </w:p>
    <w:p>
      <w:pPr>
        <w:pStyle w:val="ListParagraph"/>
        <w:numPr>
          <w:ilvl w:val="0"/>
          <w:numId w:val="20"/>
        </w:numPr>
        <w:tabs>
          <w:tab w:pos="777" w:val="left" w:leader="none"/>
        </w:tabs>
        <w:spacing w:line="240" w:lineRule="auto" w:before="0" w:after="0"/>
        <w:ind w:left="504" w:right="257" w:firstLine="0"/>
        <w:jc w:val="left"/>
        <w:rPr>
          <w:sz w:val="18"/>
        </w:rPr>
      </w:pPr>
      <w:r>
        <w:rPr>
          <w:sz w:val="18"/>
        </w:rPr>
        <w:t>transactions where the consideration to acquire an asset is significantly less than fair value principally to enable a not-for-profit entity to further its</w:t>
      </w:r>
      <w:r>
        <w:rPr>
          <w:spacing w:val="-1"/>
          <w:sz w:val="18"/>
        </w:rPr>
        <w:t> </w:t>
      </w:r>
      <w:r>
        <w:rPr>
          <w:sz w:val="18"/>
        </w:rPr>
        <w:t>objectives;</w:t>
      </w:r>
    </w:p>
    <w:p>
      <w:pPr>
        <w:pStyle w:val="BodyText"/>
        <w:spacing w:before="11"/>
        <w:rPr>
          <w:sz w:val="24"/>
        </w:rPr>
      </w:pPr>
    </w:p>
    <w:p>
      <w:pPr>
        <w:pStyle w:val="ListParagraph"/>
        <w:numPr>
          <w:ilvl w:val="0"/>
          <w:numId w:val="20"/>
        </w:numPr>
        <w:tabs>
          <w:tab w:pos="776" w:val="left" w:leader="none"/>
        </w:tabs>
        <w:spacing w:line="240" w:lineRule="auto" w:before="0" w:after="0"/>
        <w:ind w:left="776" w:right="0" w:hanging="272"/>
        <w:jc w:val="left"/>
        <w:rPr>
          <w:sz w:val="18"/>
        </w:rPr>
      </w:pPr>
      <w:r>
        <w:rPr>
          <w:sz w:val="18"/>
        </w:rPr>
        <w:t>the receipt of volunteer services;</w:t>
      </w:r>
      <w:r>
        <w:rPr>
          <w:spacing w:val="4"/>
          <w:sz w:val="18"/>
        </w:rPr>
        <w:t> </w:t>
      </w:r>
      <w:r>
        <w:rPr>
          <w:sz w:val="18"/>
        </w:rPr>
        <w:t>and</w:t>
      </w:r>
    </w:p>
    <w:p>
      <w:pPr>
        <w:pStyle w:val="BodyText"/>
        <w:spacing w:before="11"/>
        <w:rPr>
          <w:sz w:val="24"/>
        </w:rPr>
      </w:pPr>
    </w:p>
    <w:p>
      <w:pPr>
        <w:pStyle w:val="ListParagraph"/>
        <w:numPr>
          <w:ilvl w:val="0"/>
          <w:numId w:val="20"/>
        </w:numPr>
        <w:tabs>
          <w:tab w:pos="767" w:val="left" w:leader="none"/>
        </w:tabs>
        <w:spacing w:line="240" w:lineRule="auto" w:before="0" w:after="0"/>
        <w:ind w:left="766" w:right="0" w:hanging="262"/>
        <w:jc w:val="left"/>
        <w:rPr>
          <w:sz w:val="18"/>
        </w:rPr>
      </w:pPr>
      <w:r>
        <w:rPr>
          <w:sz w:val="18"/>
        </w:rPr>
        <w:t>transfers made to enable an entity to acquire or construct a non-financial asset for its own</w:t>
      </w:r>
      <w:r>
        <w:rPr>
          <w:spacing w:val="15"/>
          <w:sz w:val="18"/>
        </w:rPr>
        <w:t> </w:t>
      </w:r>
      <w:r>
        <w:rPr>
          <w:sz w:val="18"/>
        </w:rPr>
        <w:t>use.</w:t>
      </w:r>
    </w:p>
    <w:p>
      <w:pPr>
        <w:pStyle w:val="BodyText"/>
        <w:spacing w:before="11"/>
        <w:rPr>
          <w:sz w:val="24"/>
        </w:rPr>
      </w:pPr>
    </w:p>
    <w:p>
      <w:pPr>
        <w:pStyle w:val="BodyText"/>
        <w:ind w:left="504" w:right="194"/>
      </w:pPr>
      <w:r>
        <w:rPr/>
        <w:t>The University is in the process of assessing the changes, if any, to its revenue recognition policies upon adoption of AASB 15 and AASB 1058. Until management completes that process, the University is unable to reasonably quantify the expected financial impacts of those Standards in future periods.</w:t>
      </w:r>
    </w:p>
    <w:p>
      <w:pPr>
        <w:pStyle w:val="BodyText"/>
        <w:spacing w:before="11"/>
        <w:rPr>
          <w:sz w:val="24"/>
        </w:rPr>
      </w:pPr>
    </w:p>
    <w:p>
      <w:pPr>
        <w:pStyle w:val="ListParagraph"/>
        <w:numPr>
          <w:ilvl w:val="0"/>
          <w:numId w:val="19"/>
        </w:numPr>
        <w:tabs>
          <w:tab w:pos="756" w:val="left" w:leader="none"/>
        </w:tabs>
        <w:spacing w:line="240" w:lineRule="auto" w:before="0" w:after="0"/>
        <w:ind w:left="755" w:right="0" w:hanging="251"/>
        <w:jc w:val="left"/>
        <w:rPr>
          <w:sz w:val="18"/>
        </w:rPr>
      </w:pPr>
      <w:r>
        <w:rPr>
          <w:i/>
          <w:sz w:val="18"/>
        </w:rPr>
        <w:t>AASB 16 Lease</w:t>
      </w:r>
      <w:r>
        <w:rPr>
          <w:sz w:val="18"/>
        </w:rPr>
        <w:t>s</w:t>
      </w:r>
    </w:p>
    <w:p>
      <w:pPr>
        <w:pStyle w:val="BodyText"/>
        <w:spacing w:before="11"/>
        <w:rPr>
          <w:sz w:val="24"/>
        </w:rPr>
      </w:pPr>
    </w:p>
    <w:p>
      <w:pPr>
        <w:pStyle w:val="BodyText"/>
        <w:ind w:left="504" w:right="194"/>
      </w:pPr>
      <w:r>
        <w:rPr/>
        <w:t>The Australian Accounting Standard AASB 16 'Leases' is mandatory from 1 January 2019, and replaces AASB 117 'Leases'.</w:t>
      </w:r>
    </w:p>
    <w:p>
      <w:pPr>
        <w:pStyle w:val="BodyText"/>
        <w:spacing w:before="11"/>
        <w:rPr>
          <w:sz w:val="24"/>
        </w:rPr>
      </w:pPr>
    </w:p>
    <w:p>
      <w:pPr>
        <w:pStyle w:val="BodyText"/>
        <w:ind w:left="504" w:right="194"/>
      </w:pPr>
      <w:r>
        <w:rPr/>
        <w:t>The definition of a lease in AASB 16 is essentially the same as AASB 117. The definition attempts to differentiate between controlling the underlying asset and arrangements that transfer to a lessee the right to obtain substantially all of the economic benefits from use of the asset throughout the period of use (for example, by having exclusive use of the asset throughout that period).</w:t>
      </w:r>
    </w:p>
    <w:p>
      <w:pPr>
        <w:pStyle w:val="BodyText"/>
        <w:spacing w:before="11"/>
        <w:rPr>
          <w:sz w:val="24"/>
        </w:rPr>
      </w:pPr>
    </w:p>
    <w:p>
      <w:pPr>
        <w:pStyle w:val="BodyText"/>
        <w:ind w:left="504" w:right="194"/>
      </w:pPr>
      <w:r>
        <w:rPr/>
        <w:t>AASB 16 requires all leases to be recognised on balance sheet, as a right of use asset and corresponding liability.</w:t>
      </w:r>
    </w:p>
    <w:p>
      <w:pPr>
        <w:pStyle w:val="BodyText"/>
        <w:spacing w:before="11"/>
        <w:rPr>
          <w:sz w:val="24"/>
        </w:rPr>
      </w:pPr>
    </w:p>
    <w:p>
      <w:pPr>
        <w:pStyle w:val="BodyText"/>
        <w:ind w:left="504" w:right="194"/>
      </w:pPr>
      <w:r>
        <w:rPr/>
        <w:t>The new standard will have a material impact for the University, with existing arrangements currently recognised through profit and loss as operating leases. The University is in the process of assessing the changes to its lease recognition and measurement policies upon the adoption of AASB 16. Until management completes that process, the University is unable to reasonably quantify the expected financial impacts of the Standard in future periods.</w:t>
      </w:r>
    </w:p>
    <w:p>
      <w:pPr>
        <w:spacing w:after="0"/>
        <w:sectPr>
          <w:pgSz w:w="11910" w:h="16840"/>
          <w:pgMar w:header="1037" w:footer="507" w:top="2220" w:bottom="700" w:left="900" w:right="900"/>
        </w:sectPr>
      </w:pPr>
    </w:p>
    <w:p>
      <w:pPr>
        <w:pStyle w:val="BodyText"/>
        <w:rPr>
          <w:sz w:val="20"/>
        </w:rPr>
      </w:pPr>
    </w:p>
    <w:p>
      <w:pPr>
        <w:pStyle w:val="BodyText"/>
        <w:rPr>
          <w:sz w:val="20"/>
        </w:rPr>
      </w:pPr>
    </w:p>
    <w:p>
      <w:pPr>
        <w:pStyle w:val="BodyText"/>
        <w:spacing w:before="5"/>
      </w:pPr>
    </w:p>
    <w:p>
      <w:pPr>
        <w:pStyle w:val="Heading9"/>
        <w:tabs>
          <w:tab w:pos="503" w:val="left" w:leader="none"/>
        </w:tabs>
        <w:ind w:left="110" w:right="201"/>
      </w:pPr>
      <w:r>
        <w:rPr/>
        <w:t>1</w:t>
        <w:tab/>
        <w:t>Summary of Significant Accounting Policies</w:t>
      </w:r>
      <w:r>
        <w:rPr>
          <w:spacing w:val="-9"/>
        </w:rPr>
        <w:t> </w:t>
      </w:r>
      <w:r>
        <w:rPr/>
        <w:t>(continued)</w:t>
      </w:r>
    </w:p>
    <w:p>
      <w:pPr>
        <w:pStyle w:val="BodyText"/>
        <w:spacing w:before="11"/>
        <w:rPr>
          <w:b/>
          <w:sz w:val="24"/>
        </w:rPr>
      </w:pPr>
    </w:p>
    <w:p>
      <w:pPr>
        <w:tabs>
          <w:tab w:pos="1070" w:val="left" w:leader="none"/>
        </w:tabs>
        <w:spacing w:before="0"/>
        <w:ind w:left="504" w:right="201" w:firstLine="0"/>
        <w:jc w:val="left"/>
        <w:rPr>
          <w:b/>
          <w:sz w:val="18"/>
        </w:rPr>
      </w:pPr>
      <w:r>
        <w:rPr>
          <w:b/>
          <w:sz w:val="18"/>
        </w:rPr>
        <w:t>(ad)</w:t>
        <w:tab/>
        <w:t>New Accounting Standards and Interpretations (continued)</w:t>
      </w:r>
    </w:p>
    <w:p>
      <w:pPr>
        <w:pStyle w:val="BodyText"/>
        <w:spacing w:before="11"/>
        <w:rPr>
          <w:b/>
          <w:sz w:val="24"/>
        </w:rPr>
      </w:pPr>
    </w:p>
    <w:p>
      <w:pPr>
        <w:pStyle w:val="ListParagraph"/>
        <w:numPr>
          <w:ilvl w:val="0"/>
          <w:numId w:val="19"/>
        </w:numPr>
        <w:tabs>
          <w:tab w:pos="797" w:val="left" w:leader="none"/>
        </w:tabs>
        <w:spacing w:line="240" w:lineRule="auto" w:before="0" w:after="0"/>
        <w:ind w:left="796" w:right="0" w:hanging="292"/>
        <w:jc w:val="left"/>
        <w:rPr>
          <w:i/>
          <w:sz w:val="18"/>
        </w:rPr>
      </w:pPr>
      <w:r>
        <w:rPr>
          <w:i/>
          <w:sz w:val="18"/>
        </w:rPr>
        <w:t>AASB 9 Financial</w:t>
      </w:r>
      <w:r>
        <w:rPr>
          <w:i/>
          <w:spacing w:val="-1"/>
          <w:sz w:val="18"/>
        </w:rPr>
        <w:t> </w:t>
      </w:r>
      <w:r>
        <w:rPr>
          <w:i/>
          <w:sz w:val="18"/>
        </w:rPr>
        <w:t>Instruments</w:t>
      </w:r>
    </w:p>
    <w:p>
      <w:pPr>
        <w:pStyle w:val="BodyText"/>
        <w:spacing w:before="11"/>
        <w:rPr>
          <w:i/>
          <w:sz w:val="24"/>
        </w:rPr>
      </w:pPr>
    </w:p>
    <w:p>
      <w:pPr>
        <w:pStyle w:val="BodyText"/>
        <w:ind w:left="504" w:right="201"/>
      </w:pPr>
      <w:r>
        <w:rPr/>
        <w:t>AASB 9 replaces AASB 139 effective 1 January 2018 and introduces a new classification model for financial assets which is more principles based than current requirements. Financial assets are classified according to their contractual cash flow characteristics and the business models under which they are held.</w:t>
      </w:r>
    </w:p>
    <w:p>
      <w:pPr>
        <w:pStyle w:val="BodyText"/>
        <w:spacing w:before="11"/>
        <w:rPr>
          <w:sz w:val="24"/>
        </w:rPr>
      </w:pPr>
    </w:p>
    <w:p>
      <w:pPr>
        <w:pStyle w:val="BodyText"/>
        <w:ind w:left="504" w:right="201"/>
      </w:pPr>
      <w:r>
        <w:rPr/>
        <w:t>AASB 9 reduces the number of categories of financial assets from 4 to 3 and removes the available for sale and held to maturity categories. The categories of financial assets under AASB 9 are:</w:t>
      </w:r>
    </w:p>
    <w:p>
      <w:pPr>
        <w:pStyle w:val="BodyText"/>
        <w:spacing w:before="11"/>
        <w:rPr>
          <w:sz w:val="24"/>
        </w:rPr>
      </w:pPr>
    </w:p>
    <w:p>
      <w:pPr>
        <w:pStyle w:val="ListParagraph"/>
        <w:numPr>
          <w:ilvl w:val="0"/>
          <w:numId w:val="21"/>
        </w:numPr>
        <w:tabs>
          <w:tab w:pos="777" w:val="left" w:leader="none"/>
        </w:tabs>
        <w:spacing w:line="240" w:lineRule="auto" w:before="0" w:after="0"/>
        <w:ind w:left="776" w:right="0" w:hanging="272"/>
        <w:jc w:val="left"/>
        <w:rPr>
          <w:sz w:val="18"/>
        </w:rPr>
      </w:pPr>
      <w:r>
        <w:rPr>
          <w:sz w:val="18"/>
        </w:rPr>
        <w:t>Amortised cost;</w:t>
      </w:r>
    </w:p>
    <w:p>
      <w:pPr>
        <w:pStyle w:val="BodyText"/>
        <w:spacing w:before="11"/>
        <w:rPr>
          <w:sz w:val="24"/>
        </w:rPr>
      </w:pPr>
    </w:p>
    <w:p>
      <w:pPr>
        <w:pStyle w:val="ListParagraph"/>
        <w:numPr>
          <w:ilvl w:val="0"/>
          <w:numId w:val="21"/>
        </w:numPr>
        <w:tabs>
          <w:tab w:pos="777" w:val="left" w:leader="none"/>
        </w:tabs>
        <w:spacing w:line="240" w:lineRule="auto" w:before="0" w:after="0"/>
        <w:ind w:left="776" w:right="0" w:hanging="272"/>
        <w:jc w:val="left"/>
        <w:rPr>
          <w:sz w:val="18"/>
        </w:rPr>
      </w:pPr>
      <w:r>
        <w:rPr>
          <w:sz w:val="18"/>
        </w:rPr>
        <w:t>Fair value through other comprehensive</w:t>
      </w:r>
      <w:r>
        <w:rPr>
          <w:spacing w:val="4"/>
          <w:sz w:val="18"/>
        </w:rPr>
        <w:t> </w:t>
      </w:r>
      <w:r>
        <w:rPr>
          <w:sz w:val="18"/>
        </w:rPr>
        <w:t>income;</w:t>
      </w:r>
    </w:p>
    <w:p>
      <w:pPr>
        <w:pStyle w:val="BodyText"/>
        <w:spacing w:before="11"/>
        <w:rPr>
          <w:sz w:val="24"/>
        </w:rPr>
      </w:pPr>
    </w:p>
    <w:p>
      <w:pPr>
        <w:pStyle w:val="ListParagraph"/>
        <w:numPr>
          <w:ilvl w:val="0"/>
          <w:numId w:val="21"/>
        </w:numPr>
        <w:tabs>
          <w:tab w:pos="766" w:val="left" w:leader="none"/>
        </w:tabs>
        <w:spacing w:line="240" w:lineRule="auto" w:before="0" w:after="0"/>
        <w:ind w:left="765" w:right="0" w:hanging="261"/>
        <w:jc w:val="left"/>
        <w:rPr>
          <w:sz w:val="18"/>
        </w:rPr>
      </w:pPr>
      <w:r>
        <w:rPr>
          <w:sz w:val="18"/>
        </w:rPr>
        <w:t>Fair value through profit or</w:t>
      </w:r>
      <w:r>
        <w:rPr>
          <w:spacing w:val="4"/>
          <w:sz w:val="18"/>
        </w:rPr>
        <w:t> </w:t>
      </w:r>
      <w:r>
        <w:rPr>
          <w:sz w:val="18"/>
        </w:rPr>
        <w:t>loss.</w:t>
      </w:r>
    </w:p>
    <w:p>
      <w:pPr>
        <w:pStyle w:val="BodyText"/>
        <w:spacing w:before="11"/>
        <w:rPr>
          <w:sz w:val="24"/>
        </w:rPr>
      </w:pPr>
    </w:p>
    <w:p>
      <w:pPr>
        <w:pStyle w:val="BodyText"/>
        <w:ind w:left="504" w:right="201"/>
      </w:pPr>
      <w:r>
        <w:rPr/>
        <w:t>AASB 9 introduces a 3 staged approach to the impairment of financial assets (including trade receivables), based on changes in expected credit losses of a financial instrument.</w:t>
      </w:r>
    </w:p>
    <w:p>
      <w:pPr>
        <w:pStyle w:val="BodyText"/>
        <w:spacing w:before="11"/>
        <w:rPr>
          <w:sz w:val="24"/>
        </w:rPr>
      </w:pPr>
    </w:p>
    <w:p>
      <w:pPr>
        <w:pStyle w:val="BodyText"/>
        <w:ind w:left="504"/>
      </w:pPr>
      <w:r>
        <w:rPr/>
        <w:t>The University is in the process of assessing the changes to its classification of financial instruments upon adoption of AASB 9. Until management completes that process, the University is unable to reasonably quantify the expected financial impacts of the Standard in future periods.</w:t>
      </w:r>
    </w:p>
    <w:p>
      <w:pPr>
        <w:spacing w:after="0"/>
        <w:sectPr>
          <w:pgSz w:w="11910" w:h="16840"/>
          <w:pgMar w:header="1037" w:footer="507" w:top="2220" w:bottom="700" w:left="900" w:right="960"/>
        </w:sectPr>
      </w:pPr>
    </w:p>
    <w:p>
      <w:pPr>
        <w:pStyle w:val="BodyText"/>
        <w:rPr>
          <w:sz w:val="20"/>
        </w:rPr>
      </w:pPr>
    </w:p>
    <w:p>
      <w:pPr>
        <w:pStyle w:val="BodyText"/>
        <w:rPr>
          <w:sz w:val="20"/>
        </w:rPr>
      </w:pPr>
    </w:p>
    <w:p>
      <w:pPr>
        <w:pStyle w:val="BodyText"/>
        <w:spacing w:before="5"/>
      </w:pPr>
    </w:p>
    <w:p>
      <w:pPr>
        <w:pStyle w:val="Heading9"/>
        <w:numPr>
          <w:ilvl w:val="0"/>
          <w:numId w:val="22"/>
        </w:numPr>
        <w:tabs>
          <w:tab w:pos="504" w:val="left" w:leader="none"/>
          <w:tab w:pos="1070" w:val="left" w:leader="none"/>
        </w:tabs>
        <w:spacing w:line="573" w:lineRule="auto" w:before="0" w:after="0"/>
        <w:ind w:left="504" w:right="4800" w:hanging="394"/>
        <w:jc w:val="left"/>
      </w:pPr>
      <w:bookmarkStart w:name="Comparative Amounts" w:id="53"/>
      <w:bookmarkEnd w:id="53"/>
      <w:r>
        <w:rPr>
          <w:b w:val="0"/>
        </w:rPr>
      </w:r>
      <w:bookmarkStart w:name="(ae) Comparative Amounts " w:id="54"/>
      <w:bookmarkEnd w:id="54"/>
      <w:r>
        <w:rPr>
          <w:b w:val="0"/>
        </w:rPr>
      </w:r>
      <w:bookmarkStart w:name="(ae) Comparative Amounts " w:id="55"/>
      <w:bookmarkEnd w:id="55"/>
      <w:r>
        <w:rPr/>
        <w:t>Summary</w:t>
      </w:r>
      <w:r>
        <w:rPr/>
        <w:t> of Significant Accounting Policies (continued) (ae)</w:t>
        <w:tab/>
        <w:t>Comparative</w:t>
      </w:r>
      <w:r>
        <w:rPr>
          <w:spacing w:val="-1"/>
        </w:rPr>
        <w:t> </w:t>
      </w:r>
      <w:r>
        <w:rPr/>
        <w:t>Amounts</w:t>
      </w:r>
    </w:p>
    <w:p>
      <w:pPr>
        <w:pStyle w:val="BodyText"/>
        <w:spacing w:before="8"/>
        <w:ind w:left="504" w:right="220"/>
      </w:pPr>
      <w:r>
        <w:rPr/>
        <w:t>When required by Accounting Standards, comparative figures have been adjusted to conform to changes in presentation for the current financial year.</w:t>
      </w:r>
    </w:p>
    <w:p>
      <w:pPr>
        <w:pStyle w:val="BodyText"/>
        <w:spacing w:before="11"/>
        <w:rPr>
          <w:sz w:val="24"/>
        </w:rPr>
      </w:pPr>
    </w:p>
    <w:p>
      <w:pPr>
        <w:pStyle w:val="BodyText"/>
        <w:ind w:left="504" w:right="219"/>
        <w:jc w:val="both"/>
      </w:pPr>
      <w:r>
        <w:rPr/>
        <w:t>When the Group applies an accounting policy retrospectively, makes a retrospective restatement or reclassifies items in the financial statements, a statement of financial position as at the beginning of the earliest comparative period will be presented.</w:t>
      </w:r>
    </w:p>
    <w:p>
      <w:pPr>
        <w:pStyle w:val="BodyText"/>
        <w:spacing w:before="11"/>
        <w:rPr>
          <w:sz w:val="24"/>
        </w:rPr>
      </w:pPr>
    </w:p>
    <w:p>
      <w:pPr>
        <w:pStyle w:val="BodyText"/>
        <w:spacing w:after="36"/>
        <w:ind w:left="504" w:right="143"/>
        <w:jc w:val="both"/>
      </w:pPr>
      <w:r>
        <w:rPr/>
        <w:t>During the preparation of the current year financial statements, the following items have been adjusted to conform with the current years presentation, resulting in more relevant reliable financial information and classification.</w:t>
      </w:r>
    </w:p>
    <w:tbl>
      <w:tblPr>
        <w:tblW w:w="0" w:type="auto"/>
        <w:jc w:val="left"/>
        <w:tblInd w:w="46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41"/>
        <w:gridCol w:w="686"/>
        <w:gridCol w:w="1284"/>
        <w:gridCol w:w="1343"/>
        <w:gridCol w:w="1139"/>
        <w:gridCol w:w="1058"/>
      </w:tblGrid>
      <w:tr>
        <w:trPr>
          <w:trHeight w:val="1150" w:hRule="exact"/>
        </w:trPr>
        <w:tc>
          <w:tcPr>
            <w:tcW w:w="4041" w:type="dxa"/>
          </w:tcPr>
          <w:p>
            <w:pPr/>
          </w:p>
        </w:tc>
        <w:tc>
          <w:tcPr>
            <w:tcW w:w="686" w:type="dxa"/>
          </w:tcPr>
          <w:p>
            <w:pPr>
              <w:pStyle w:val="TableParagraph"/>
              <w:rPr>
                <w:sz w:val="18"/>
              </w:rPr>
            </w:pPr>
          </w:p>
          <w:p>
            <w:pPr>
              <w:pStyle w:val="TableParagraph"/>
              <w:rPr>
                <w:sz w:val="18"/>
              </w:rPr>
            </w:pPr>
          </w:p>
          <w:p>
            <w:pPr>
              <w:pStyle w:val="TableParagraph"/>
              <w:rPr>
                <w:sz w:val="18"/>
              </w:rPr>
            </w:pPr>
          </w:p>
          <w:p>
            <w:pPr>
              <w:pStyle w:val="TableParagraph"/>
              <w:spacing w:before="7"/>
              <w:rPr>
                <w:sz w:val="19"/>
              </w:rPr>
            </w:pPr>
          </w:p>
          <w:p>
            <w:pPr>
              <w:pStyle w:val="TableParagraph"/>
              <w:ind w:left="225"/>
              <w:rPr>
                <w:b/>
                <w:sz w:val="18"/>
              </w:rPr>
            </w:pPr>
            <w:r>
              <w:rPr>
                <w:b/>
                <w:sz w:val="18"/>
              </w:rPr>
              <w:t>Note</w:t>
            </w:r>
          </w:p>
        </w:tc>
        <w:tc>
          <w:tcPr>
            <w:tcW w:w="1284" w:type="dxa"/>
          </w:tcPr>
          <w:p>
            <w:pPr>
              <w:pStyle w:val="TableParagraph"/>
              <w:spacing w:before="26"/>
              <w:ind w:left="390" w:right="409"/>
              <w:jc w:val="center"/>
              <w:rPr>
                <w:b/>
                <w:sz w:val="18"/>
              </w:rPr>
            </w:pPr>
            <w:r>
              <w:rPr>
                <w:b/>
                <w:sz w:val="18"/>
              </w:rPr>
              <w:t>2016</w:t>
            </w:r>
          </w:p>
          <w:p>
            <w:pPr>
              <w:pStyle w:val="TableParagraph"/>
              <w:spacing w:line="316" w:lineRule="auto" w:before="66"/>
              <w:ind w:left="59" w:right="77" w:hanging="3"/>
              <w:jc w:val="center"/>
              <w:rPr>
                <w:b/>
                <w:sz w:val="18"/>
              </w:rPr>
            </w:pPr>
            <w:r>
              <w:rPr>
                <w:b/>
                <w:sz w:val="18"/>
              </w:rPr>
              <w:t>Reported Consolidated</w:t>
            </w:r>
          </w:p>
          <w:p>
            <w:pPr>
              <w:pStyle w:val="TableParagraph"/>
              <w:spacing w:before="2"/>
              <w:ind w:left="390" w:right="409"/>
              <w:jc w:val="center"/>
              <w:rPr>
                <w:b/>
                <w:sz w:val="18"/>
              </w:rPr>
            </w:pPr>
            <w:r>
              <w:rPr>
                <w:b/>
                <w:sz w:val="18"/>
              </w:rPr>
              <w:t>$'000</w:t>
            </w:r>
          </w:p>
        </w:tc>
        <w:tc>
          <w:tcPr>
            <w:tcW w:w="1343" w:type="dxa"/>
          </w:tcPr>
          <w:p>
            <w:pPr>
              <w:pStyle w:val="TableParagraph"/>
              <w:spacing w:before="26"/>
              <w:ind w:left="409" w:right="449"/>
              <w:jc w:val="center"/>
              <w:rPr>
                <w:b/>
                <w:sz w:val="18"/>
              </w:rPr>
            </w:pPr>
            <w:r>
              <w:rPr>
                <w:b/>
                <w:sz w:val="18"/>
              </w:rPr>
              <w:t>2016</w:t>
            </w:r>
          </w:p>
          <w:p>
            <w:pPr>
              <w:pStyle w:val="TableParagraph"/>
              <w:spacing w:line="316" w:lineRule="auto" w:before="66"/>
              <w:ind w:left="79" w:right="116" w:hanging="3"/>
              <w:jc w:val="center"/>
              <w:rPr>
                <w:b/>
                <w:sz w:val="18"/>
              </w:rPr>
            </w:pPr>
            <w:r>
              <w:rPr>
                <w:b/>
                <w:sz w:val="18"/>
              </w:rPr>
              <w:t>Revised Consolidated</w:t>
            </w:r>
          </w:p>
          <w:p>
            <w:pPr>
              <w:pStyle w:val="TableParagraph"/>
              <w:spacing w:before="2"/>
              <w:ind w:left="409" w:right="449"/>
              <w:jc w:val="center"/>
              <w:rPr>
                <w:b/>
                <w:sz w:val="18"/>
              </w:rPr>
            </w:pPr>
            <w:r>
              <w:rPr>
                <w:b/>
                <w:sz w:val="18"/>
              </w:rPr>
              <w:t>$'000</w:t>
            </w:r>
          </w:p>
        </w:tc>
        <w:tc>
          <w:tcPr>
            <w:tcW w:w="1139" w:type="dxa"/>
          </w:tcPr>
          <w:p>
            <w:pPr>
              <w:pStyle w:val="TableParagraph"/>
              <w:spacing w:before="26"/>
              <w:ind w:left="118" w:right="225"/>
              <w:jc w:val="center"/>
              <w:rPr>
                <w:b/>
                <w:sz w:val="18"/>
              </w:rPr>
            </w:pPr>
            <w:r>
              <w:rPr>
                <w:b/>
                <w:sz w:val="18"/>
              </w:rPr>
              <w:t>2016</w:t>
            </w:r>
          </w:p>
          <w:p>
            <w:pPr>
              <w:pStyle w:val="TableParagraph"/>
              <w:spacing w:line="316" w:lineRule="auto" w:before="66"/>
              <w:ind w:left="118" w:right="226"/>
              <w:jc w:val="center"/>
              <w:rPr>
                <w:b/>
                <w:sz w:val="18"/>
              </w:rPr>
            </w:pPr>
            <w:r>
              <w:rPr>
                <w:b/>
                <w:sz w:val="18"/>
              </w:rPr>
              <w:t>Reported Parent</w:t>
            </w:r>
          </w:p>
          <w:p>
            <w:pPr>
              <w:pStyle w:val="TableParagraph"/>
              <w:spacing w:before="2"/>
              <w:ind w:left="118" w:right="225"/>
              <w:jc w:val="center"/>
              <w:rPr>
                <w:b/>
                <w:sz w:val="18"/>
              </w:rPr>
            </w:pPr>
            <w:r>
              <w:rPr>
                <w:b/>
                <w:sz w:val="18"/>
              </w:rPr>
              <w:t>$'000</w:t>
            </w:r>
          </w:p>
        </w:tc>
        <w:tc>
          <w:tcPr>
            <w:tcW w:w="1058" w:type="dxa"/>
          </w:tcPr>
          <w:p>
            <w:pPr>
              <w:pStyle w:val="TableParagraph"/>
              <w:spacing w:before="26"/>
              <w:ind w:left="151" w:right="213"/>
              <w:jc w:val="center"/>
              <w:rPr>
                <w:b/>
                <w:sz w:val="18"/>
              </w:rPr>
            </w:pPr>
            <w:r>
              <w:rPr>
                <w:b/>
                <w:sz w:val="18"/>
              </w:rPr>
              <w:t>2016</w:t>
            </w:r>
          </w:p>
          <w:p>
            <w:pPr>
              <w:pStyle w:val="TableParagraph"/>
              <w:spacing w:line="316" w:lineRule="auto" w:before="66"/>
              <w:ind w:left="151" w:right="214"/>
              <w:jc w:val="center"/>
              <w:rPr>
                <w:b/>
                <w:sz w:val="18"/>
              </w:rPr>
            </w:pPr>
            <w:r>
              <w:rPr>
                <w:b/>
                <w:sz w:val="18"/>
              </w:rPr>
              <w:t>Revised</w:t>
            </w:r>
            <w:r>
              <w:rPr>
                <w:b/>
                <w:w w:val="99"/>
                <w:sz w:val="18"/>
              </w:rPr>
              <w:t> </w:t>
            </w:r>
            <w:r>
              <w:rPr>
                <w:b/>
                <w:sz w:val="18"/>
              </w:rPr>
              <w:t>Parent</w:t>
            </w:r>
          </w:p>
          <w:p>
            <w:pPr>
              <w:pStyle w:val="TableParagraph"/>
              <w:spacing w:before="2"/>
              <w:ind w:left="151" w:right="214"/>
              <w:jc w:val="center"/>
              <w:rPr>
                <w:b/>
                <w:sz w:val="18"/>
              </w:rPr>
            </w:pPr>
            <w:r>
              <w:rPr>
                <w:b/>
                <w:sz w:val="18"/>
              </w:rPr>
              <w:t>$'000</w:t>
            </w:r>
          </w:p>
        </w:tc>
      </w:tr>
      <w:tr>
        <w:trPr>
          <w:trHeight w:val="294" w:hRule="exact"/>
        </w:trPr>
        <w:tc>
          <w:tcPr>
            <w:tcW w:w="4041" w:type="dxa"/>
          </w:tcPr>
          <w:p>
            <w:pPr>
              <w:pStyle w:val="TableParagraph"/>
              <w:spacing w:before="78"/>
              <w:ind w:left="35" w:right="11"/>
              <w:rPr>
                <w:b/>
                <w:sz w:val="18"/>
              </w:rPr>
            </w:pPr>
            <w:r>
              <w:rPr>
                <w:b/>
                <w:sz w:val="18"/>
              </w:rPr>
              <w:t>Note 2 - Australian Government financial</w:t>
            </w:r>
          </w:p>
        </w:tc>
        <w:tc>
          <w:tcPr>
            <w:tcW w:w="686" w:type="dxa"/>
          </w:tcPr>
          <w:p>
            <w:pPr/>
          </w:p>
        </w:tc>
        <w:tc>
          <w:tcPr>
            <w:tcW w:w="1284" w:type="dxa"/>
          </w:tcPr>
          <w:p>
            <w:pPr/>
          </w:p>
        </w:tc>
        <w:tc>
          <w:tcPr>
            <w:tcW w:w="1343" w:type="dxa"/>
          </w:tcPr>
          <w:p>
            <w:pPr/>
          </w:p>
        </w:tc>
        <w:tc>
          <w:tcPr>
            <w:tcW w:w="1139" w:type="dxa"/>
          </w:tcPr>
          <w:p>
            <w:pPr/>
          </w:p>
        </w:tc>
        <w:tc>
          <w:tcPr>
            <w:tcW w:w="1058" w:type="dxa"/>
          </w:tcPr>
          <w:p>
            <w:pPr/>
          </w:p>
        </w:tc>
      </w:tr>
      <w:tr>
        <w:trPr>
          <w:trHeight w:val="206" w:hRule="exact"/>
        </w:trPr>
        <w:tc>
          <w:tcPr>
            <w:tcW w:w="4041" w:type="dxa"/>
          </w:tcPr>
          <w:p>
            <w:pPr>
              <w:pStyle w:val="TableParagraph"/>
              <w:spacing w:line="197" w:lineRule="exact"/>
              <w:ind w:left="35" w:right="11"/>
              <w:rPr>
                <w:b/>
                <w:sz w:val="18"/>
              </w:rPr>
            </w:pPr>
            <w:r>
              <w:rPr>
                <w:b/>
                <w:sz w:val="18"/>
              </w:rPr>
              <w:t>assistance including HECS-HELP &amp; other</w:t>
            </w:r>
          </w:p>
        </w:tc>
        <w:tc>
          <w:tcPr>
            <w:tcW w:w="686" w:type="dxa"/>
          </w:tcPr>
          <w:p>
            <w:pPr/>
          </w:p>
        </w:tc>
        <w:tc>
          <w:tcPr>
            <w:tcW w:w="1284" w:type="dxa"/>
          </w:tcPr>
          <w:p>
            <w:pPr/>
          </w:p>
        </w:tc>
        <w:tc>
          <w:tcPr>
            <w:tcW w:w="1343" w:type="dxa"/>
          </w:tcPr>
          <w:p>
            <w:pPr/>
          </w:p>
        </w:tc>
        <w:tc>
          <w:tcPr>
            <w:tcW w:w="1139" w:type="dxa"/>
          </w:tcPr>
          <w:p>
            <w:pPr/>
          </w:p>
        </w:tc>
        <w:tc>
          <w:tcPr>
            <w:tcW w:w="1058" w:type="dxa"/>
          </w:tcPr>
          <w:p>
            <w:pPr/>
          </w:p>
        </w:tc>
      </w:tr>
      <w:tr>
        <w:trPr>
          <w:trHeight w:val="263" w:hRule="exact"/>
        </w:trPr>
        <w:tc>
          <w:tcPr>
            <w:tcW w:w="4041" w:type="dxa"/>
          </w:tcPr>
          <w:p>
            <w:pPr>
              <w:pStyle w:val="TableParagraph"/>
              <w:spacing w:line="197" w:lineRule="exact"/>
              <w:ind w:left="35" w:right="11"/>
              <w:rPr>
                <w:b/>
                <w:sz w:val="18"/>
              </w:rPr>
            </w:pPr>
            <w:r>
              <w:rPr>
                <w:b/>
                <w:sz w:val="18"/>
              </w:rPr>
              <w:t>Australian Goverment loan programs</w:t>
            </w:r>
          </w:p>
        </w:tc>
        <w:tc>
          <w:tcPr>
            <w:tcW w:w="686" w:type="dxa"/>
          </w:tcPr>
          <w:p>
            <w:pPr/>
          </w:p>
        </w:tc>
        <w:tc>
          <w:tcPr>
            <w:tcW w:w="1284" w:type="dxa"/>
          </w:tcPr>
          <w:p>
            <w:pPr/>
          </w:p>
        </w:tc>
        <w:tc>
          <w:tcPr>
            <w:tcW w:w="1343" w:type="dxa"/>
          </w:tcPr>
          <w:p>
            <w:pPr/>
          </w:p>
        </w:tc>
        <w:tc>
          <w:tcPr>
            <w:tcW w:w="1139" w:type="dxa"/>
          </w:tcPr>
          <w:p>
            <w:pPr/>
          </w:p>
        </w:tc>
        <w:tc>
          <w:tcPr>
            <w:tcW w:w="1058" w:type="dxa"/>
          </w:tcPr>
          <w:p>
            <w:pPr/>
          </w:p>
        </w:tc>
      </w:tr>
      <w:tr>
        <w:trPr>
          <w:trHeight w:val="263" w:hRule="exact"/>
        </w:trPr>
        <w:tc>
          <w:tcPr>
            <w:tcW w:w="4041" w:type="dxa"/>
          </w:tcPr>
          <w:p>
            <w:pPr>
              <w:pStyle w:val="TableParagraph"/>
              <w:spacing w:before="46"/>
              <w:ind w:left="248" w:right="11"/>
              <w:rPr>
                <w:b/>
                <w:sz w:val="18"/>
              </w:rPr>
            </w:pPr>
            <w:r>
              <w:rPr>
                <w:b/>
                <w:sz w:val="18"/>
              </w:rPr>
              <w:t>Commonwealth Grants Scheme and Other</w:t>
            </w:r>
          </w:p>
        </w:tc>
        <w:tc>
          <w:tcPr>
            <w:tcW w:w="686" w:type="dxa"/>
          </w:tcPr>
          <w:p>
            <w:pPr/>
          </w:p>
        </w:tc>
        <w:tc>
          <w:tcPr>
            <w:tcW w:w="1284" w:type="dxa"/>
          </w:tcPr>
          <w:p>
            <w:pPr/>
          </w:p>
        </w:tc>
        <w:tc>
          <w:tcPr>
            <w:tcW w:w="1343" w:type="dxa"/>
          </w:tcPr>
          <w:p>
            <w:pPr/>
          </w:p>
        </w:tc>
        <w:tc>
          <w:tcPr>
            <w:tcW w:w="1139" w:type="dxa"/>
          </w:tcPr>
          <w:p>
            <w:pPr/>
          </w:p>
        </w:tc>
        <w:tc>
          <w:tcPr>
            <w:tcW w:w="1058" w:type="dxa"/>
          </w:tcPr>
          <w:p>
            <w:pPr/>
          </w:p>
        </w:tc>
      </w:tr>
      <w:tr>
        <w:trPr>
          <w:trHeight w:val="220" w:hRule="exact"/>
        </w:trPr>
        <w:tc>
          <w:tcPr>
            <w:tcW w:w="4041" w:type="dxa"/>
          </w:tcPr>
          <w:p>
            <w:pPr>
              <w:pStyle w:val="TableParagraph"/>
              <w:spacing w:line="197" w:lineRule="exact"/>
              <w:ind w:left="248" w:right="11"/>
              <w:rPr>
                <w:b/>
                <w:sz w:val="18"/>
              </w:rPr>
            </w:pPr>
            <w:r>
              <w:rPr>
                <w:b/>
                <w:sz w:val="18"/>
              </w:rPr>
              <w:t>Grants</w:t>
            </w:r>
          </w:p>
        </w:tc>
        <w:tc>
          <w:tcPr>
            <w:tcW w:w="686" w:type="dxa"/>
          </w:tcPr>
          <w:p>
            <w:pPr/>
          </w:p>
        </w:tc>
        <w:tc>
          <w:tcPr>
            <w:tcW w:w="1284" w:type="dxa"/>
          </w:tcPr>
          <w:p>
            <w:pPr/>
          </w:p>
        </w:tc>
        <w:tc>
          <w:tcPr>
            <w:tcW w:w="1343" w:type="dxa"/>
          </w:tcPr>
          <w:p>
            <w:pPr/>
          </w:p>
        </w:tc>
        <w:tc>
          <w:tcPr>
            <w:tcW w:w="1139" w:type="dxa"/>
          </w:tcPr>
          <w:p>
            <w:pPr/>
          </w:p>
        </w:tc>
        <w:tc>
          <w:tcPr>
            <w:tcW w:w="1058" w:type="dxa"/>
          </w:tcPr>
          <w:p>
            <w:pPr/>
          </w:p>
        </w:tc>
      </w:tr>
      <w:tr>
        <w:trPr>
          <w:trHeight w:val="251" w:hRule="exact"/>
        </w:trPr>
        <w:tc>
          <w:tcPr>
            <w:tcW w:w="4041" w:type="dxa"/>
          </w:tcPr>
          <w:p>
            <w:pPr>
              <w:pStyle w:val="TableParagraph"/>
              <w:spacing w:before="8"/>
              <w:ind w:left="248" w:right="11"/>
              <w:rPr>
                <w:sz w:val="18"/>
              </w:rPr>
            </w:pPr>
            <w:r>
              <w:rPr>
                <w:sz w:val="18"/>
              </w:rPr>
              <w:t>Higher Education Participation Fund</w:t>
            </w:r>
          </w:p>
        </w:tc>
        <w:tc>
          <w:tcPr>
            <w:tcW w:w="686" w:type="dxa"/>
          </w:tcPr>
          <w:p>
            <w:pPr>
              <w:pStyle w:val="TableParagraph"/>
              <w:spacing w:before="3"/>
              <w:ind w:left="165"/>
              <w:rPr>
                <w:sz w:val="18"/>
              </w:rPr>
            </w:pPr>
            <w:r>
              <w:rPr>
                <w:sz w:val="18"/>
              </w:rPr>
              <w:t>2(a)</w:t>
            </w:r>
          </w:p>
        </w:tc>
        <w:tc>
          <w:tcPr>
            <w:tcW w:w="1284" w:type="dxa"/>
          </w:tcPr>
          <w:p>
            <w:pPr>
              <w:pStyle w:val="TableParagraph"/>
              <w:spacing w:before="6"/>
              <w:ind w:right="79"/>
              <w:jc w:val="right"/>
              <w:rPr>
                <w:sz w:val="18"/>
              </w:rPr>
            </w:pPr>
            <w:r>
              <w:rPr>
                <w:w w:val="95"/>
                <w:sz w:val="18"/>
              </w:rPr>
              <w:t>11,625</w:t>
            </w:r>
          </w:p>
        </w:tc>
        <w:tc>
          <w:tcPr>
            <w:tcW w:w="1343" w:type="dxa"/>
          </w:tcPr>
          <w:p>
            <w:pPr>
              <w:pStyle w:val="TableParagraph"/>
              <w:spacing w:before="6"/>
              <w:ind w:right="131"/>
              <w:jc w:val="right"/>
              <w:rPr>
                <w:sz w:val="18"/>
              </w:rPr>
            </w:pPr>
            <w:r>
              <w:rPr>
                <w:w w:val="99"/>
                <w:sz w:val="18"/>
              </w:rPr>
              <w:t>-</w:t>
            </w:r>
          </w:p>
        </w:tc>
        <w:tc>
          <w:tcPr>
            <w:tcW w:w="1139" w:type="dxa"/>
          </w:tcPr>
          <w:p>
            <w:pPr>
              <w:pStyle w:val="TableParagraph"/>
              <w:spacing w:before="6"/>
              <w:ind w:right="149"/>
              <w:jc w:val="right"/>
              <w:rPr>
                <w:sz w:val="18"/>
              </w:rPr>
            </w:pPr>
            <w:r>
              <w:rPr>
                <w:w w:val="95"/>
                <w:sz w:val="18"/>
              </w:rPr>
              <w:t>11,625</w:t>
            </w:r>
          </w:p>
        </w:tc>
        <w:tc>
          <w:tcPr>
            <w:tcW w:w="1058" w:type="dxa"/>
          </w:tcPr>
          <w:p>
            <w:pPr>
              <w:pStyle w:val="TableParagraph"/>
              <w:spacing w:before="6"/>
              <w:ind w:right="86"/>
              <w:jc w:val="right"/>
              <w:rPr>
                <w:sz w:val="18"/>
              </w:rPr>
            </w:pPr>
            <w:r>
              <w:rPr>
                <w:w w:val="99"/>
                <w:sz w:val="18"/>
              </w:rPr>
              <w:t>-</w:t>
            </w:r>
          </w:p>
        </w:tc>
      </w:tr>
      <w:tr>
        <w:trPr>
          <w:trHeight w:val="264" w:hRule="exact"/>
        </w:trPr>
        <w:tc>
          <w:tcPr>
            <w:tcW w:w="4041" w:type="dxa"/>
          </w:tcPr>
          <w:p>
            <w:pPr>
              <w:pStyle w:val="TableParagraph"/>
              <w:spacing w:before="21"/>
              <w:ind w:left="248" w:right="11"/>
              <w:rPr>
                <w:sz w:val="18"/>
              </w:rPr>
            </w:pPr>
            <w:r>
              <w:rPr>
                <w:sz w:val="18"/>
              </w:rPr>
              <w:t>Access and Participation Fund</w:t>
            </w:r>
          </w:p>
        </w:tc>
        <w:tc>
          <w:tcPr>
            <w:tcW w:w="686" w:type="dxa"/>
          </w:tcPr>
          <w:p>
            <w:pPr>
              <w:pStyle w:val="TableParagraph"/>
              <w:spacing w:before="16"/>
              <w:ind w:left="165"/>
              <w:rPr>
                <w:sz w:val="18"/>
              </w:rPr>
            </w:pPr>
            <w:r>
              <w:rPr>
                <w:sz w:val="18"/>
              </w:rPr>
              <w:t>2(a)</w:t>
            </w:r>
          </w:p>
        </w:tc>
        <w:tc>
          <w:tcPr>
            <w:tcW w:w="1284" w:type="dxa"/>
          </w:tcPr>
          <w:p>
            <w:pPr>
              <w:pStyle w:val="TableParagraph"/>
              <w:spacing w:before="19"/>
              <w:ind w:right="79"/>
              <w:jc w:val="right"/>
              <w:rPr>
                <w:sz w:val="18"/>
              </w:rPr>
            </w:pPr>
            <w:r>
              <w:rPr>
                <w:w w:val="99"/>
                <w:sz w:val="18"/>
              </w:rPr>
              <w:t>-</w:t>
            </w:r>
          </w:p>
        </w:tc>
        <w:tc>
          <w:tcPr>
            <w:tcW w:w="1343" w:type="dxa"/>
          </w:tcPr>
          <w:p>
            <w:pPr>
              <w:pStyle w:val="TableParagraph"/>
              <w:spacing w:before="19"/>
              <w:ind w:right="131"/>
              <w:jc w:val="right"/>
              <w:rPr>
                <w:sz w:val="18"/>
              </w:rPr>
            </w:pPr>
            <w:r>
              <w:rPr>
                <w:w w:val="95"/>
                <w:sz w:val="18"/>
              </w:rPr>
              <w:t>11,494</w:t>
            </w:r>
          </w:p>
        </w:tc>
        <w:tc>
          <w:tcPr>
            <w:tcW w:w="1139" w:type="dxa"/>
          </w:tcPr>
          <w:p>
            <w:pPr>
              <w:pStyle w:val="TableParagraph"/>
              <w:spacing w:before="19"/>
              <w:ind w:right="149"/>
              <w:jc w:val="right"/>
              <w:rPr>
                <w:sz w:val="18"/>
              </w:rPr>
            </w:pPr>
            <w:r>
              <w:rPr>
                <w:w w:val="99"/>
                <w:sz w:val="18"/>
              </w:rPr>
              <w:t>-</w:t>
            </w:r>
          </w:p>
        </w:tc>
        <w:tc>
          <w:tcPr>
            <w:tcW w:w="1058" w:type="dxa"/>
          </w:tcPr>
          <w:p>
            <w:pPr>
              <w:pStyle w:val="TableParagraph"/>
              <w:spacing w:before="19"/>
              <w:ind w:right="87"/>
              <w:jc w:val="right"/>
              <w:rPr>
                <w:sz w:val="18"/>
              </w:rPr>
            </w:pPr>
            <w:r>
              <w:rPr>
                <w:w w:val="95"/>
                <w:sz w:val="18"/>
              </w:rPr>
              <w:t>11,494</w:t>
            </w:r>
          </w:p>
        </w:tc>
      </w:tr>
      <w:tr>
        <w:trPr>
          <w:trHeight w:val="264" w:hRule="exact"/>
        </w:trPr>
        <w:tc>
          <w:tcPr>
            <w:tcW w:w="4041" w:type="dxa"/>
          </w:tcPr>
          <w:p>
            <w:pPr>
              <w:pStyle w:val="TableParagraph"/>
              <w:spacing w:before="21"/>
              <w:ind w:left="248" w:right="11"/>
              <w:rPr>
                <w:sz w:val="18"/>
              </w:rPr>
            </w:pPr>
            <w:r>
              <w:rPr>
                <w:sz w:val="18"/>
              </w:rPr>
              <w:t>National Priorities Pool</w:t>
            </w:r>
          </w:p>
        </w:tc>
        <w:tc>
          <w:tcPr>
            <w:tcW w:w="686" w:type="dxa"/>
          </w:tcPr>
          <w:p>
            <w:pPr>
              <w:pStyle w:val="TableParagraph"/>
              <w:spacing w:before="16"/>
              <w:ind w:left="165"/>
              <w:rPr>
                <w:sz w:val="18"/>
              </w:rPr>
            </w:pPr>
            <w:r>
              <w:rPr>
                <w:sz w:val="18"/>
              </w:rPr>
              <w:t>2(a)</w:t>
            </w:r>
          </w:p>
        </w:tc>
        <w:tc>
          <w:tcPr>
            <w:tcW w:w="1284" w:type="dxa"/>
          </w:tcPr>
          <w:p>
            <w:pPr>
              <w:pStyle w:val="TableParagraph"/>
              <w:spacing w:before="19"/>
              <w:ind w:right="79"/>
              <w:jc w:val="right"/>
              <w:rPr>
                <w:sz w:val="18"/>
              </w:rPr>
            </w:pPr>
            <w:r>
              <w:rPr>
                <w:w w:val="99"/>
                <w:sz w:val="18"/>
              </w:rPr>
              <w:t>-</w:t>
            </w:r>
          </w:p>
        </w:tc>
        <w:tc>
          <w:tcPr>
            <w:tcW w:w="1343" w:type="dxa"/>
          </w:tcPr>
          <w:p>
            <w:pPr>
              <w:pStyle w:val="TableParagraph"/>
              <w:spacing w:before="19"/>
              <w:ind w:right="131"/>
              <w:jc w:val="right"/>
              <w:rPr>
                <w:sz w:val="18"/>
              </w:rPr>
            </w:pPr>
            <w:r>
              <w:rPr>
                <w:w w:val="95"/>
                <w:sz w:val="18"/>
              </w:rPr>
              <w:t>131</w:t>
            </w:r>
          </w:p>
        </w:tc>
        <w:tc>
          <w:tcPr>
            <w:tcW w:w="1139" w:type="dxa"/>
          </w:tcPr>
          <w:p>
            <w:pPr>
              <w:pStyle w:val="TableParagraph"/>
              <w:spacing w:before="19"/>
              <w:ind w:right="149"/>
              <w:jc w:val="right"/>
              <w:rPr>
                <w:sz w:val="18"/>
              </w:rPr>
            </w:pPr>
            <w:r>
              <w:rPr>
                <w:w w:val="99"/>
                <w:sz w:val="18"/>
              </w:rPr>
              <w:t>-</w:t>
            </w:r>
          </w:p>
        </w:tc>
        <w:tc>
          <w:tcPr>
            <w:tcW w:w="1058" w:type="dxa"/>
          </w:tcPr>
          <w:p>
            <w:pPr>
              <w:pStyle w:val="TableParagraph"/>
              <w:spacing w:before="19"/>
              <w:ind w:right="86"/>
              <w:jc w:val="right"/>
              <w:rPr>
                <w:sz w:val="18"/>
              </w:rPr>
            </w:pPr>
            <w:r>
              <w:rPr>
                <w:w w:val="95"/>
                <w:sz w:val="18"/>
              </w:rPr>
              <w:t>131</w:t>
            </w:r>
          </w:p>
        </w:tc>
      </w:tr>
      <w:tr>
        <w:trPr>
          <w:trHeight w:val="261" w:hRule="exact"/>
        </w:trPr>
        <w:tc>
          <w:tcPr>
            <w:tcW w:w="4041" w:type="dxa"/>
          </w:tcPr>
          <w:p>
            <w:pPr>
              <w:pStyle w:val="TableParagraph"/>
              <w:spacing w:before="21"/>
              <w:ind w:left="248" w:right="11"/>
              <w:rPr>
                <w:sz w:val="18"/>
              </w:rPr>
            </w:pPr>
            <w:r>
              <w:rPr>
                <w:sz w:val="18"/>
              </w:rPr>
              <w:t>Indigenous Support Program</w:t>
            </w:r>
          </w:p>
        </w:tc>
        <w:tc>
          <w:tcPr>
            <w:tcW w:w="686" w:type="dxa"/>
          </w:tcPr>
          <w:p>
            <w:pPr>
              <w:pStyle w:val="TableParagraph"/>
              <w:spacing w:before="16"/>
              <w:ind w:left="165"/>
              <w:rPr>
                <w:sz w:val="18"/>
              </w:rPr>
            </w:pPr>
            <w:r>
              <w:rPr>
                <w:sz w:val="18"/>
              </w:rPr>
              <w:t>2(a)</w:t>
            </w:r>
          </w:p>
        </w:tc>
        <w:tc>
          <w:tcPr>
            <w:tcW w:w="1284" w:type="dxa"/>
            <w:tcBorders>
              <w:bottom w:val="single" w:sz="1" w:space="0" w:color="000000"/>
            </w:tcBorders>
          </w:tcPr>
          <w:p>
            <w:pPr>
              <w:pStyle w:val="TableParagraph"/>
              <w:spacing w:before="19"/>
              <w:ind w:right="79"/>
              <w:jc w:val="right"/>
              <w:rPr>
                <w:sz w:val="18"/>
              </w:rPr>
            </w:pPr>
            <w:r>
              <w:rPr>
                <w:w w:val="95"/>
                <w:sz w:val="18"/>
              </w:rPr>
              <w:t>1,758</w:t>
            </w:r>
          </w:p>
        </w:tc>
        <w:tc>
          <w:tcPr>
            <w:tcW w:w="1343" w:type="dxa"/>
            <w:tcBorders>
              <w:bottom w:val="single" w:sz="1" w:space="0" w:color="000000"/>
            </w:tcBorders>
          </w:tcPr>
          <w:p>
            <w:pPr>
              <w:pStyle w:val="TableParagraph"/>
              <w:spacing w:before="19"/>
              <w:ind w:right="131"/>
              <w:jc w:val="right"/>
              <w:rPr>
                <w:sz w:val="18"/>
              </w:rPr>
            </w:pPr>
            <w:r>
              <w:rPr>
                <w:w w:val="95"/>
                <w:sz w:val="18"/>
              </w:rPr>
              <w:t>1,927</w:t>
            </w:r>
          </w:p>
        </w:tc>
        <w:tc>
          <w:tcPr>
            <w:tcW w:w="1139" w:type="dxa"/>
            <w:tcBorders>
              <w:bottom w:val="single" w:sz="1" w:space="0" w:color="000000"/>
            </w:tcBorders>
          </w:tcPr>
          <w:p>
            <w:pPr>
              <w:pStyle w:val="TableParagraph"/>
              <w:spacing w:before="19"/>
              <w:ind w:right="149"/>
              <w:jc w:val="right"/>
              <w:rPr>
                <w:sz w:val="18"/>
              </w:rPr>
            </w:pPr>
            <w:r>
              <w:rPr>
                <w:w w:val="95"/>
                <w:sz w:val="18"/>
              </w:rPr>
              <w:t>1,758</w:t>
            </w:r>
          </w:p>
        </w:tc>
        <w:tc>
          <w:tcPr>
            <w:tcW w:w="1058" w:type="dxa"/>
            <w:tcBorders>
              <w:bottom w:val="single" w:sz="1" w:space="0" w:color="000000"/>
            </w:tcBorders>
          </w:tcPr>
          <w:p>
            <w:pPr>
              <w:pStyle w:val="TableParagraph"/>
              <w:spacing w:before="19"/>
              <w:ind w:right="87"/>
              <w:jc w:val="right"/>
              <w:rPr>
                <w:sz w:val="18"/>
              </w:rPr>
            </w:pPr>
            <w:r>
              <w:rPr>
                <w:w w:val="95"/>
                <w:sz w:val="18"/>
              </w:rPr>
              <w:t>1,927</w:t>
            </w:r>
          </w:p>
        </w:tc>
      </w:tr>
      <w:tr>
        <w:trPr>
          <w:trHeight w:val="338" w:hRule="exact"/>
        </w:trPr>
        <w:tc>
          <w:tcPr>
            <w:tcW w:w="4041" w:type="dxa"/>
          </w:tcPr>
          <w:p>
            <w:pPr/>
          </w:p>
        </w:tc>
        <w:tc>
          <w:tcPr>
            <w:tcW w:w="686" w:type="dxa"/>
          </w:tcPr>
          <w:p>
            <w:pPr/>
          </w:p>
        </w:tc>
        <w:tc>
          <w:tcPr>
            <w:tcW w:w="1284" w:type="dxa"/>
            <w:tcBorders>
              <w:top w:val="single" w:sz="1" w:space="0" w:color="000000"/>
              <w:bottom w:val="single" w:sz="1" w:space="0" w:color="000000"/>
            </w:tcBorders>
          </w:tcPr>
          <w:p>
            <w:pPr>
              <w:pStyle w:val="TableParagraph"/>
              <w:spacing w:before="124"/>
              <w:ind w:right="79"/>
              <w:jc w:val="right"/>
              <w:rPr>
                <w:sz w:val="18"/>
              </w:rPr>
            </w:pPr>
            <w:r>
              <w:rPr>
                <w:w w:val="95"/>
                <w:sz w:val="18"/>
              </w:rPr>
              <w:t>13,383</w:t>
            </w:r>
          </w:p>
        </w:tc>
        <w:tc>
          <w:tcPr>
            <w:tcW w:w="1343" w:type="dxa"/>
            <w:tcBorders>
              <w:top w:val="single" w:sz="1" w:space="0" w:color="000000"/>
              <w:bottom w:val="single" w:sz="1" w:space="0" w:color="000000"/>
            </w:tcBorders>
          </w:tcPr>
          <w:p>
            <w:pPr>
              <w:pStyle w:val="TableParagraph"/>
              <w:spacing w:before="124"/>
              <w:ind w:right="131"/>
              <w:jc w:val="right"/>
              <w:rPr>
                <w:sz w:val="18"/>
              </w:rPr>
            </w:pPr>
            <w:r>
              <w:rPr>
                <w:w w:val="95"/>
                <w:sz w:val="18"/>
              </w:rPr>
              <w:t>13,552</w:t>
            </w:r>
          </w:p>
        </w:tc>
        <w:tc>
          <w:tcPr>
            <w:tcW w:w="1139" w:type="dxa"/>
            <w:tcBorders>
              <w:top w:val="single" w:sz="1" w:space="0" w:color="000000"/>
              <w:bottom w:val="single" w:sz="1" w:space="0" w:color="000000"/>
            </w:tcBorders>
          </w:tcPr>
          <w:p>
            <w:pPr>
              <w:pStyle w:val="TableParagraph"/>
              <w:spacing w:before="124"/>
              <w:ind w:right="149"/>
              <w:jc w:val="right"/>
              <w:rPr>
                <w:sz w:val="18"/>
              </w:rPr>
            </w:pPr>
            <w:r>
              <w:rPr>
                <w:w w:val="95"/>
                <w:sz w:val="18"/>
              </w:rPr>
              <w:t>13,383</w:t>
            </w:r>
          </w:p>
        </w:tc>
        <w:tc>
          <w:tcPr>
            <w:tcW w:w="1058" w:type="dxa"/>
            <w:tcBorders>
              <w:top w:val="single" w:sz="1" w:space="0" w:color="000000"/>
              <w:bottom w:val="single" w:sz="1" w:space="0" w:color="000000"/>
            </w:tcBorders>
          </w:tcPr>
          <w:p>
            <w:pPr>
              <w:pStyle w:val="TableParagraph"/>
              <w:spacing w:before="124"/>
              <w:ind w:right="87"/>
              <w:jc w:val="right"/>
              <w:rPr>
                <w:sz w:val="18"/>
              </w:rPr>
            </w:pPr>
            <w:r>
              <w:rPr>
                <w:w w:val="95"/>
                <w:sz w:val="18"/>
              </w:rPr>
              <w:t>13,552</w:t>
            </w:r>
          </w:p>
        </w:tc>
      </w:tr>
      <w:tr>
        <w:trPr>
          <w:trHeight w:val="355" w:hRule="exact"/>
        </w:trPr>
        <w:tc>
          <w:tcPr>
            <w:tcW w:w="4041" w:type="dxa"/>
          </w:tcPr>
          <w:p>
            <w:pPr>
              <w:pStyle w:val="TableParagraph"/>
              <w:spacing w:before="125"/>
              <w:ind w:left="236" w:right="11"/>
              <w:rPr>
                <w:b/>
                <w:sz w:val="18"/>
              </w:rPr>
            </w:pPr>
            <w:r>
              <w:rPr>
                <w:b/>
                <w:sz w:val="18"/>
              </w:rPr>
              <w:t>Scholarships</w:t>
            </w:r>
          </w:p>
        </w:tc>
        <w:tc>
          <w:tcPr>
            <w:tcW w:w="686" w:type="dxa"/>
          </w:tcPr>
          <w:p>
            <w:pPr/>
          </w:p>
        </w:tc>
        <w:tc>
          <w:tcPr>
            <w:tcW w:w="1284" w:type="dxa"/>
            <w:tcBorders>
              <w:top w:val="single" w:sz="1" w:space="0" w:color="000000"/>
            </w:tcBorders>
          </w:tcPr>
          <w:p>
            <w:pPr/>
          </w:p>
        </w:tc>
        <w:tc>
          <w:tcPr>
            <w:tcW w:w="1343" w:type="dxa"/>
            <w:tcBorders>
              <w:top w:val="single" w:sz="1" w:space="0" w:color="000000"/>
            </w:tcBorders>
          </w:tcPr>
          <w:p>
            <w:pPr/>
          </w:p>
        </w:tc>
        <w:tc>
          <w:tcPr>
            <w:tcW w:w="1139" w:type="dxa"/>
            <w:tcBorders>
              <w:top w:val="single" w:sz="1" w:space="0" w:color="000000"/>
            </w:tcBorders>
          </w:tcPr>
          <w:p>
            <w:pPr/>
          </w:p>
        </w:tc>
        <w:tc>
          <w:tcPr>
            <w:tcW w:w="1058" w:type="dxa"/>
            <w:tcBorders>
              <w:top w:val="single" w:sz="1" w:space="0" w:color="000000"/>
            </w:tcBorders>
          </w:tcPr>
          <w:p>
            <w:pPr/>
          </w:p>
        </w:tc>
      </w:tr>
      <w:tr>
        <w:trPr>
          <w:trHeight w:val="251" w:hRule="exact"/>
        </w:trPr>
        <w:tc>
          <w:tcPr>
            <w:tcW w:w="4041" w:type="dxa"/>
          </w:tcPr>
          <w:p>
            <w:pPr>
              <w:pStyle w:val="TableParagraph"/>
              <w:spacing w:before="8"/>
              <w:ind w:left="248" w:right="11"/>
              <w:rPr>
                <w:sz w:val="18"/>
              </w:rPr>
            </w:pPr>
            <w:r>
              <w:rPr>
                <w:sz w:val="18"/>
              </w:rPr>
              <w:t>Australian Postgraduate Awards</w:t>
            </w:r>
          </w:p>
        </w:tc>
        <w:tc>
          <w:tcPr>
            <w:tcW w:w="686" w:type="dxa"/>
          </w:tcPr>
          <w:p>
            <w:pPr>
              <w:pStyle w:val="TableParagraph"/>
              <w:spacing w:before="3"/>
              <w:ind w:left="165"/>
              <w:rPr>
                <w:sz w:val="18"/>
              </w:rPr>
            </w:pPr>
            <w:r>
              <w:rPr>
                <w:sz w:val="18"/>
              </w:rPr>
              <w:t>2(c)</w:t>
            </w:r>
          </w:p>
        </w:tc>
        <w:tc>
          <w:tcPr>
            <w:tcW w:w="1284" w:type="dxa"/>
          </w:tcPr>
          <w:p>
            <w:pPr>
              <w:pStyle w:val="TableParagraph"/>
              <w:spacing w:before="6"/>
              <w:ind w:right="79"/>
              <w:jc w:val="right"/>
              <w:rPr>
                <w:sz w:val="18"/>
              </w:rPr>
            </w:pPr>
            <w:r>
              <w:rPr>
                <w:w w:val="95"/>
                <w:sz w:val="18"/>
              </w:rPr>
              <w:t>3,361</w:t>
            </w:r>
          </w:p>
        </w:tc>
        <w:tc>
          <w:tcPr>
            <w:tcW w:w="1343" w:type="dxa"/>
          </w:tcPr>
          <w:p>
            <w:pPr>
              <w:pStyle w:val="TableParagraph"/>
              <w:spacing w:before="6"/>
              <w:ind w:right="131"/>
              <w:jc w:val="right"/>
              <w:rPr>
                <w:sz w:val="18"/>
              </w:rPr>
            </w:pPr>
            <w:r>
              <w:rPr>
                <w:w w:val="99"/>
                <w:sz w:val="18"/>
              </w:rPr>
              <w:t>-</w:t>
            </w:r>
          </w:p>
        </w:tc>
        <w:tc>
          <w:tcPr>
            <w:tcW w:w="1139" w:type="dxa"/>
          </w:tcPr>
          <w:p>
            <w:pPr>
              <w:pStyle w:val="TableParagraph"/>
              <w:spacing w:before="6"/>
              <w:ind w:right="149"/>
              <w:jc w:val="right"/>
              <w:rPr>
                <w:sz w:val="18"/>
              </w:rPr>
            </w:pPr>
            <w:r>
              <w:rPr>
                <w:w w:val="95"/>
                <w:sz w:val="18"/>
              </w:rPr>
              <w:t>3,361</w:t>
            </w:r>
          </w:p>
        </w:tc>
        <w:tc>
          <w:tcPr>
            <w:tcW w:w="1058" w:type="dxa"/>
          </w:tcPr>
          <w:p>
            <w:pPr>
              <w:pStyle w:val="TableParagraph"/>
              <w:spacing w:before="6"/>
              <w:ind w:right="86"/>
              <w:jc w:val="right"/>
              <w:rPr>
                <w:sz w:val="18"/>
              </w:rPr>
            </w:pPr>
            <w:r>
              <w:rPr>
                <w:w w:val="99"/>
                <w:sz w:val="18"/>
              </w:rPr>
              <w:t>-</w:t>
            </w:r>
          </w:p>
        </w:tc>
      </w:tr>
      <w:tr>
        <w:trPr>
          <w:trHeight w:val="466" w:hRule="exact"/>
        </w:trPr>
        <w:tc>
          <w:tcPr>
            <w:tcW w:w="4041" w:type="dxa"/>
          </w:tcPr>
          <w:p>
            <w:pPr>
              <w:pStyle w:val="TableParagraph"/>
              <w:spacing w:before="16"/>
              <w:ind w:left="248" w:right="11"/>
              <w:rPr>
                <w:sz w:val="18"/>
              </w:rPr>
            </w:pPr>
            <w:r>
              <w:rPr>
                <w:sz w:val="18"/>
              </w:rPr>
              <w:t>International Postgraduate Research Scholarships</w:t>
            </w:r>
          </w:p>
        </w:tc>
        <w:tc>
          <w:tcPr>
            <w:tcW w:w="686" w:type="dxa"/>
          </w:tcPr>
          <w:p>
            <w:pPr>
              <w:pStyle w:val="TableParagraph"/>
              <w:spacing w:before="16"/>
              <w:ind w:left="165"/>
              <w:rPr>
                <w:sz w:val="18"/>
              </w:rPr>
            </w:pPr>
            <w:r>
              <w:rPr>
                <w:sz w:val="18"/>
              </w:rPr>
              <w:t>2(c)</w:t>
            </w:r>
          </w:p>
        </w:tc>
        <w:tc>
          <w:tcPr>
            <w:tcW w:w="1284" w:type="dxa"/>
          </w:tcPr>
          <w:p>
            <w:pPr>
              <w:pStyle w:val="TableParagraph"/>
              <w:spacing w:before="19"/>
              <w:ind w:right="79"/>
              <w:jc w:val="right"/>
              <w:rPr>
                <w:sz w:val="18"/>
              </w:rPr>
            </w:pPr>
            <w:r>
              <w:rPr>
                <w:w w:val="95"/>
                <w:sz w:val="18"/>
              </w:rPr>
              <w:t>274</w:t>
            </w:r>
          </w:p>
        </w:tc>
        <w:tc>
          <w:tcPr>
            <w:tcW w:w="1343" w:type="dxa"/>
          </w:tcPr>
          <w:p>
            <w:pPr>
              <w:pStyle w:val="TableParagraph"/>
              <w:spacing w:before="19"/>
              <w:ind w:right="131"/>
              <w:jc w:val="right"/>
              <w:rPr>
                <w:sz w:val="18"/>
              </w:rPr>
            </w:pPr>
            <w:r>
              <w:rPr>
                <w:w w:val="99"/>
                <w:sz w:val="18"/>
              </w:rPr>
              <w:t>-</w:t>
            </w:r>
          </w:p>
        </w:tc>
        <w:tc>
          <w:tcPr>
            <w:tcW w:w="1139" w:type="dxa"/>
          </w:tcPr>
          <w:p>
            <w:pPr>
              <w:pStyle w:val="TableParagraph"/>
              <w:spacing w:before="19"/>
              <w:ind w:right="149"/>
              <w:jc w:val="right"/>
              <w:rPr>
                <w:sz w:val="18"/>
              </w:rPr>
            </w:pPr>
            <w:r>
              <w:rPr>
                <w:w w:val="95"/>
                <w:sz w:val="18"/>
              </w:rPr>
              <w:t>274</w:t>
            </w:r>
          </w:p>
        </w:tc>
        <w:tc>
          <w:tcPr>
            <w:tcW w:w="1058" w:type="dxa"/>
          </w:tcPr>
          <w:p>
            <w:pPr>
              <w:pStyle w:val="TableParagraph"/>
              <w:spacing w:before="19"/>
              <w:ind w:right="86"/>
              <w:jc w:val="right"/>
              <w:rPr>
                <w:sz w:val="18"/>
              </w:rPr>
            </w:pPr>
            <w:r>
              <w:rPr>
                <w:w w:val="99"/>
                <w:sz w:val="18"/>
              </w:rPr>
              <w:t>-</w:t>
            </w:r>
          </w:p>
        </w:tc>
      </w:tr>
      <w:tr>
        <w:trPr>
          <w:trHeight w:val="466" w:hRule="exact"/>
        </w:trPr>
        <w:tc>
          <w:tcPr>
            <w:tcW w:w="4041" w:type="dxa"/>
          </w:tcPr>
          <w:p>
            <w:pPr>
              <w:pStyle w:val="TableParagraph"/>
              <w:spacing w:before="16"/>
              <w:ind w:left="248" w:right="1161"/>
              <w:rPr>
                <w:sz w:val="18"/>
              </w:rPr>
            </w:pPr>
            <w:r>
              <w:rPr>
                <w:sz w:val="18"/>
              </w:rPr>
              <w:t>Commonwealth Education Costs Scholarships</w:t>
            </w:r>
          </w:p>
        </w:tc>
        <w:tc>
          <w:tcPr>
            <w:tcW w:w="686" w:type="dxa"/>
          </w:tcPr>
          <w:p>
            <w:pPr>
              <w:pStyle w:val="TableParagraph"/>
              <w:spacing w:before="16"/>
              <w:ind w:left="165"/>
              <w:rPr>
                <w:sz w:val="18"/>
              </w:rPr>
            </w:pPr>
            <w:r>
              <w:rPr>
                <w:sz w:val="18"/>
              </w:rPr>
              <w:t>2(c)</w:t>
            </w:r>
          </w:p>
        </w:tc>
        <w:tc>
          <w:tcPr>
            <w:tcW w:w="1284" w:type="dxa"/>
          </w:tcPr>
          <w:p>
            <w:pPr>
              <w:pStyle w:val="TableParagraph"/>
              <w:spacing w:before="19"/>
              <w:ind w:right="79"/>
              <w:jc w:val="right"/>
              <w:rPr>
                <w:sz w:val="18"/>
              </w:rPr>
            </w:pPr>
            <w:r>
              <w:rPr>
                <w:w w:val="95"/>
                <w:sz w:val="18"/>
              </w:rPr>
              <w:t>109</w:t>
            </w:r>
          </w:p>
        </w:tc>
        <w:tc>
          <w:tcPr>
            <w:tcW w:w="1343" w:type="dxa"/>
          </w:tcPr>
          <w:p>
            <w:pPr>
              <w:pStyle w:val="TableParagraph"/>
              <w:spacing w:before="19"/>
              <w:ind w:right="131"/>
              <w:jc w:val="right"/>
              <w:rPr>
                <w:sz w:val="18"/>
              </w:rPr>
            </w:pPr>
            <w:r>
              <w:rPr>
                <w:w w:val="99"/>
                <w:sz w:val="18"/>
              </w:rPr>
              <w:t>-</w:t>
            </w:r>
          </w:p>
        </w:tc>
        <w:tc>
          <w:tcPr>
            <w:tcW w:w="1139" w:type="dxa"/>
          </w:tcPr>
          <w:p>
            <w:pPr>
              <w:pStyle w:val="TableParagraph"/>
              <w:spacing w:before="19"/>
              <w:ind w:right="149"/>
              <w:jc w:val="right"/>
              <w:rPr>
                <w:sz w:val="18"/>
              </w:rPr>
            </w:pPr>
            <w:r>
              <w:rPr>
                <w:w w:val="95"/>
                <w:sz w:val="18"/>
              </w:rPr>
              <w:t>109</w:t>
            </w:r>
          </w:p>
        </w:tc>
        <w:tc>
          <w:tcPr>
            <w:tcW w:w="1058" w:type="dxa"/>
          </w:tcPr>
          <w:p>
            <w:pPr>
              <w:pStyle w:val="TableParagraph"/>
              <w:spacing w:before="19"/>
              <w:ind w:right="86"/>
              <w:jc w:val="right"/>
              <w:rPr>
                <w:sz w:val="18"/>
              </w:rPr>
            </w:pPr>
            <w:r>
              <w:rPr>
                <w:w w:val="99"/>
                <w:sz w:val="18"/>
              </w:rPr>
              <w:t>-</w:t>
            </w:r>
          </w:p>
        </w:tc>
      </w:tr>
      <w:tr>
        <w:trPr>
          <w:trHeight w:val="466" w:hRule="exact"/>
        </w:trPr>
        <w:tc>
          <w:tcPr>
            <w:tcW w:w="4041" w:type="dxa"/>
          </w:tcPr>
          <w:p>
            <w:pPr>
              <w:pStyle w:val="TableParagraph"/>
              <w:spacing w:before="16"/>
              <w:ind w:left="248" w:right="1181"/>
              <w:rPr>
                <w:sz w:val="18"/>
              </w:rPr>
            </w:pPr>
            <w:r>
              <w:rPr>
                <w:sz w:val="18"/>
              </w:rPr>
              <w:t>Commonwealth Accommodation Scholarships</w:t>
            </w:r>
          </w:p>
        </w:tc>
        <w:tc>
          <w:tcPr>
            <w:tcW w:w="686" w:type="dxa"/>
          </w:tcPr>
          <w:p>
            <w:pPr>
              <w:pStyle w:val="TableParagraph"/>
              <w:spacing w:before="16"/>
              <w:ind w:left="165"/>
              <w:rPr>
                <w:sz w:val="18"/>
              </w:rPr>
            </w:pPr>
            <w:r>
              <w:rPr>
                <w:sz w:val="18"/>
              </w:rPr>
              <w:t>2(c)</w:t>
            </w:r>
          </w:p>
        </w:tc>
        <w:tc>
          <w:tcPr>
            <w:tcW w:w="1284" w:type="dxa"/>
          </w:tcPr>
          <w:p>
            <w:pPr>
              <w:pStyle w:val="TableParagraph"/>
              <w:spacing w:before="19"/>
              <w:ind w:right="79"/>
              <w:jc w:val="right"/>
              <w:rPr>
                <w:sz w:val="18"/>
              </w:rPr>
            </w:pPr>
            <w:r>
              <w:rPr>
                <w:sz w:val="18"/>
              </w:rPr>
              <w:t>21</w:t>
            </w:r>
          </w:p>
        </w:tc>
        <w:tc>
          <w:tcPr>
            <w:tcW w:w="1343" w:type="dxa"/>
          </w:tcPr>
          <w:p>
            <w:pPr>
              <w:pStyle w:val="TableParagraph"/>
              <w:spacing w:before="19"/>
              <w:ind w:right="131"/>
              <w:jc w:val="right"/>
              <w:rPr>
                <w:sz w:val="18"/>
              </w:rPr>
            </w:pPr>
            <w:r>
              <w:rPr>
                <w:w w:val="99"/>
                <w:sz w:val="18"/>
              </w:rPr>
              <w:t>-</w:t>
            </w:r>
          </w:p>
        </w:tc>
        <w:tc>
          <w:tcPr>
            <w:tcW w:w="1139" w:type="dxa"/>
          </w:tcPr>
          <w:p>
            <w:pPr>
              <w:pStyle w:val="TableParagraph"/>
              <w:spacing w:before="19"/>
              <w:ind w:right="149"/>
              <w:jc w:val="right"/>
              <w:rPr>
                <w:sz w:val="18"/>
              </w:rPr>
            </w:pPr>
            <w:r>
              <w:rPr>
                <w:sz w:val="18"/>
              </w:rPr>
              <w:t>21</w:t>
            </w:r>
          </w:p>
        </w:tc>
        <w:tc>
          <w:tcPr>
            <w:tcW w:w="1058" w:type="dxa"/>
          </w:tcPr>
          <w:p>
            <w:pPr>
              <w:pStyle w:val="TableParagraph"/>
              <w:spacing w:before="19"/>
              <w:ind w:right="86"/>
              <w:jc w:val="right"/>
              <w:rPr>
                <w:sz w:val="18"/>
              </w:rPr>
            </w:pPr>
            <w:r>
              <w:rPr>
                <w:w w:val="99"/>
                <w:sz w:val="18"/>
              </w:rPr>
              <w:t>-</w:t>
            </w:r>
          </w:p>
        </w:tc>
      </w:tr>
      <w:tr>
        <w:trPr>
          <w:trHeight w:val="261" w:hRule="exact"/>
        </w:trPr>
        <w:tc>
          <w:tcPr>
            <w:tcW w:w="4041" w:type="dxa"/>
          </w:tcPr>
          <w:p>
            <w:pPr>
              <w:pStyle w:val="TableParagraph"/>
              <w:spacing w:before="21"/>
              <w:ind w:left="248" w:right="11"/>
              <w:rPr>
                <w:sz w:val="18"/>
              </w:rPr>
            </w:pPr>
            <w:r>
              <w:rPr>
                <w:sz w:val="18"/>
              </w:rPr>
              <w:t>Indigenous Access Scholarships</w:t>
            </w:r>
          </w:p>
        </w:tc>
        <w:tc>
          <w:tcPr>
            <w:tcW w:w="686" w:type="dxa"/>
          </w:tcPr>
          <w:p>
            <w:pPr>
              <w:pStyle w:val="TableParagraph"/>
              <w:spacing w:before="16"/>
              <w:ind w:left="165"/>
              <w:rPr>
                <w:sz w:val="18"/>
              </w:rPr>
            </w:pPr>
            <w:r>
              <w:rPr>
                <w:sz w:val="18"/>
              </w:rPr>
              <w:t>2(c)</w:t>
            </w:r>
          </w:p>
        </w:tc>
        <w:tc>
          <w:tcPr>
            <w:tcW w:w="1284" w:type="dxa"/>
            <w:tcBorders>
              <w:bottom w:val="single" w:sz="1" w:space="0" w:color="000000"/>
            </w:tcBorders>
          </w:tcPr>
          <w:p>
            <w:pPr>
              <w:pStyle w:val="TableParagraph"/>
              <w:spacing w:before="19"/>
              <w:ind w:right="79"/>
              <w:jc w:val="right"/>
              <w:rPr>
                <w:sz w:val="18"/>
              </w:rPr>
            </w:pPr>
            <w:r>
              <w:rPr>
                <w:sz w:val="18"/>
              </w:rPr>
              <w:t>39</w:t>
            </w:r>
          </w:p>
        </w:tc>
        <w:tc>
          <w:tcPr>
            <w:tcW w:w="1343" w:type="dxa"/>
            <w:tcBorders>
              <w:bottom w:val="single" w:sz="1" w:space="0" w:color="000000"/>
            </w:tcBorders>
          </w:tcPr>
          <w:p>
            <w:pPr>
              <w:pStyle w:val="TableParagraph"/>
              <w:spacing w:before="19"/>
              <w:ind w:right="131"/>
              <w:jc w:val="right"/>
              <w:rPr>
                <w:sz w:val="18"/>
              </w:rPr>
            </w:pPr>
            <w:r>
              <w:rPr>
                <w:w w:val="99"/>
                <w:sz w:val="18"/>
              </w:rPr>
              <w:t>-</w:t>
            </w:r>
          </w:p>
        </w:tc>
        <w:tc>
          <w:tcPr>
            <w:tcW w:w="1139" w:type="dxa"/>
            <w:tcBorders>
              <w:bottom w:val="single" w:sz="1" w:space="0" w:color="000000"/>
            </w:tcBorders>
          </w:tcPr>
          <w:p>
            <w:pPr>
              <w:pStyle w:val="TableParagraph"/>
              <w:spacing w:before="19"/>
              <w:ind w:right="149"/>
              <w:jc w:val="right"/>
              <w:rPr>
                <w:sz w:val="18"/>
              </w:rPr>
            </w:pPr>
            <w:r>
              <w:rPr>
                <w:sz w:val="18"/>
              </w:rPr>
              <w:t>39</w:t>
            </w:r>
          </w:p>
        </w:tc>
        <w:tc>
          <w:tcPr>
            <w:tcW w:w="1058" w:type="dxa"/>
            <w:tcBorders>
              <w:bottom w:val="single" w:sz="1" w:space="0" w:color="000000"/>
            </w:tcBorders>
          </w:tcPr>
          <w:p>
            <w:pPr>
              <w:pStyle w:val="TableParagraph"/>
              <w:spacing w:before="19"/>
              <w:ind w:right="86"/>
              <w:jc w:val="right"/>
              <w:rPr>
                <w:sz w:val="18"/>
              </w:rPr>
            </w:pPr>
            <w:r>
              <w:rPr>
                <w:w w:val="99"/>
                <w:sz w:val="18"/>
              </w:rPr>
              <w:t>-</w:t>
            </w:r>
          </w:p>
        </w:tc>
      </w:tr>
      <w:tr>
        <w:trPr>
          <w:trHeight w:val="338" w:hRule="exact"/>
        </w:trPr>
        <w:tc>
          <w:tcPr>
            <w:tcW w:w="4041" w:type="dxa"/>
          </w:tcPr>
          <w:p>
            <w:pPr/>
          </w:p>
        </w:tc>
        <w:tc>
          <w:tcPr>
            <w:tcW w:w="686" w:type="dxa"/>
          </w:tcPr>
          <w:p>
            <w:pPr/>
          </w:p>
        </w:tc>
        <w:tc>
          <w:tcPr>
            <w:tcW w:w="1284" w:type="dxa"/>
            <w:tcBorders>
              <w:top w:val="single" w:sz="1" w:space="0" w:color="000000"/>
              <w:bottom w:val="single" w:sz="1" w:space="0" w:color="000000"/>
            </w:tcBorders>
          </w:tcPr>
          <w:p>
            <w:pPr>
              <w:pStyle w:val="TableParagraph"/>
              <w:spacing w:before="124"/>
              <w:ind w:right="79"/>
              <w:jc w:val="right"/>
              <w:rPr>
                <w:sz w:val="18"/>
              </w:rPr>
            </w:pPr>
            <w:r>
              <w:rPr>
                <w:w w:val="95"/>
                <w:sz w:val="18"/>
              </w:rPr>
              <w:t>3,804</w:t>
            </w:r>
          </w:p>
        </w:tc>
        <w:tc>
          <w:tcPr>
            <w:tcW w:w="1343" w:type="dxa"/>
            <w:tcBorders>
              <w:top w:val="single" w:sz="1" w:space="0" w:color="000000"/>
              <w:bottom w:val="single" w:sz="1" w:space="0" w:color="000000"/>
            </w:tcBorders>
          </w:tcPr>
          <w:p>
            <w:pPr>
              <w:pStyle w:val="TableParagraph"/>
              <w:spacing w:before="124"/>
              <w:ind w:right="131"/>
              <w:jc w:val="right"/>
              <w:rPr>
                <w:sz w:val="18"/>
              </w:rPr>
            </w:pPr>
            <w:r>
              <w:rPr>
                <w:w w:val="99"/>
                <w:sz w:val="18"/>
              </w:rPr>
              <w:t>-</w:t>
            </w:r>
          </w:p>
        </w:tc>
        <w:tc>
          <w:tcPr>
            <w:tcW w:w="1139" w:type="dxa"/>
            <w:tcBorders>
              <w:top w:val="single" w:sz="1" w:space="0" w:color="000000"/>
              <w:bottom w:val="single" w:sz="1" w:space="0" w:color="000000"/>
            </w:tcBorders>
          </w:tcPr>
          <w:p>
            <w:pPr>
              <w:pStyle w:val="TableParagraph"/>
              <w:spacing w:before="124"/>
              <w:ind w:right="149"/>
              <w:jc w:val="right"/>
              <w:rPr>
                <w:sz w:val="18"/>
              </w:rPr>
            </w:pPr>
            <w:r>
              <w:rPr>
                <w:w w:val="95"/>
                <w:sz w:val="18"/>
              </w:rPr>
              <w:t>3,804</w:t>
            </w:r>
          </w:p>
        </w:tc>
        <w:tc>
          <w:tcPr>
            <w:tcW w:w="1058" w:type="dxa"/>
            <w:tcBorders>
              <w:top w:val="single" w:sz="1" w:space="0" w:color="000000"/>
              <w:bottom w:val="single" w:sz="1" w:space="0" w:color="000000"/>
            </w:tcBorders>
          </w:tcPr>
          <w:p>
            <w:pPr>
              <w:pStyle w:val="TableParagraph"/>
              <w:spacing w:before="124"/>
              <w:ind w:right="86"/>
              <w:jc w:val="right"/>
              <w:rPr>
                <w:sz w:val="18"/>
              </w:rPr>
            </w:pPr>
            <w:r>
              <w:rPr>
                <w:w w:val="99"/>
                <w:sz w:val="18"/>
              </w:rPr>
              <w:t>-</w:t>
            </w:r>
          </w:p>
        </w:tc>
      </w:tr>
      <w:tr>
        <w:trPr>
          <w:trHeight w:val="355" w:hRule="exact"/>
        </w:trPr>
        <w:tc>
          <w:tcPr>
            <w:tcW w:w="4041" w:type="dxa"/>
          </w:tcPr>
          <w:p>
            <w:pPr>
              <w:pStyle w:val="TableParagraph"/>
              <w:spacing w:before="125"/>
              <w:ind w:left="236" w:right="11"/>
              <w:rPr>
                <w:b/>
                <w:sz w:val="18"/>
              </w:rPr>
            </w:pPr>
            <w:r>
              <w:rPr>
                <w:b/>
                <w:sz w:val="18"/>
              </w:rPr>
              <w:t>Education Research</w:t>
            </w:r>
          </w:p>
        </w:tc>
        <w:tc>
          <w:tcPr>
            <w:tcW w:w="686" w:type="dxa"/>
          </w:tcPr>
          <w:p>
            <w:pPr/>
          </w:p>
        </w:tc>
        <w:tc>
          <w:tcPr>
            <w:tcW w:w="1284" w:type="dxa"/>
            <w:tcBorders>
              <w:top w:val="single" w:sz="1" w:space="0" w:color="000000"/>
            </w:tcBorders>
          </w:tcPr>
          <w:p>
            <w:pPr/>
          </w:p>
        </w:tc>
        <w:tc>
          <w:tcPr>
            <w:tcW w:w="1343" w:type="dxa"/>
            <w:tcBorders>
              <w:top w:val="single" w:sz="1" w:space="0" w:color="000000"/>
            </w:tcBorders>
          </w:tcPr>
          <w:p>
            <w:pPr/>
          </w:p>
        </w:tc>
        <w:tc>
          <w:tcPr>
            <w:tcW w:w="1139" w:type="dxa"/>
            <w:tcBorders>
              <w:top w:val="single" w:sz="1" w:space="0" w:color="000000"/>
            </w:tcBorders>
          </w:tcPr>
          <w:p>
            <w:pPr/>
          </w:p>
        </w:tc>
        <w:tc>
          <w:tcPr>
            <w:tcW w:w="1058" w:type="dxa"/>
            <w:tcBorders>
              <w:top w:val="single" w:sz="1" w:space="0" w:color="000000"/>
            </w:tcBorders>
          </w:tcPr>
          <w:p>
            <w:pPr/>
          </w:p>
        </w:tc>
      </w:tr>
      <w:tr>
        <w:trPr>
          <w:trHeight w:val="251" w:hRule="exact"/>
        </w:trPr>
        <w:tc>
          <w:tcPr>
            <w:tcW w:w="4041" w:type="dxa"/>
          </w:tcPr>
          <w:p>
            <w:pPr>
              <w:pStyle w:val="TableParagraph"/>
              <w:spacing w:before="8"/>
              <w:ind w:left="248" w:right="11"/>
              <w:rPr>
                <w:sz w:val="18"/>
              </w:rPr>
            </w:pPr>
            <w:r>
              <w:rPr>
                <w:sz w:val="18"/>
              </w:rPr>
              <w:t>Joint Research Engagement Program</w:t>
            </w:r>
          </w:p>
        </w:tc>
        <w:tc>
          <w:tcPr>
            <w:tcW w:w="686" w:type="dxa"/>
          </w:tcPr>
          <w:p>
            <w:pPr>
              <w:pStyle w:val="TableParagraph"/>
              <w:spacing w:before="3"/>
              <w:ind w:left="165"/>
              <w:rPr>
                <w:sz w:val="18"/>
              </w:rPr>
            </w:pPr>
            <w:r>
              <w:rPr>
                <w:sz w:val="18"/>
              </w:rPr>
              <w:t>2(c)</w:t>
            </w:r>
          </w:p>
        </w:tc>
        <w:tc>
          <w:tcPr>
            <w:tcW w:w="1284" w:type="dxa"/>
          </w:tcPr>
          <w:p>
            <w:pPr>
              <w:pStyle w:val="TableParagraph"/>
              <w:spacing w:before="6"/>
              <w:ind w:right="79"/>
              <w:jc w:val="right"/>
              <w:rPr>
                <w:sz w:val="18"/>
              </w:rPr>
            </w:pPr>
            <w:r>
              <w:rPr>
                <w:w w:val="95"/>
                <w:sz w:val="18"/>
              </w:rPr>
              <w:t>3,813</w:t>
            </w:r>
          </w:p>
        </w:tc>
        <w:tc>
          <w:tcPr>
            <w:tcW w:w="1343" w:type="dxa"/>
          </w:tcPr>
          <w:p>
            <w:pPr>
              <w:pStyle w:val="TableParagraph"/>
              <w:spacing w:before="6"/>
              <w:ind w:right="131"/>
              <w:jc w:val="right"/>
              <w:rPr>
                <w:sz w:val="18"/>
              </w:rPr>
            </w:pPr>
            <w:r>
              <w:rPr>
                <w:w w:val="99"/>
                <w:sz w:val="18"/>
              </w:rPr>
              <w:t>-</w:t>
            </w:r>
          </w:p>
        </w:tc>
        <w:tc>
          <w:tcPr>
            <w:tcW w:w="1139" w:type="dxa"/>
          </w:tcPr>
          <w:p>
            <w:pPr>
              <w:pStyle w:val="TableParagraph"/>
              <w:spacing w:before="6"/>
              <w:ind w:right="149"/>
              <w:jc w:val="right"/>
              <w:rPr>
                <w:sz w:val="18"/>
              </w:rPr>
            </w:pPr>
            <w:r>
              <w:rPr>
                <w:w w:val="95"/>
                <w:sz w:val="18"/>
              </w:rPr>
              <w:t>3,813</w:t>
            </w:r>
          </w:p>
        </w:tc>
        <w:tc>
          <w:tcPr>
            <w:tcW w:w="1058" w:type="dxa"/>
          </w:tcPr>
          <w:p>
            <w:pPr>
              <w:pStyle w:val="TableParagraph"/>
              <w:spacing w:before="6"/>
              <w:ind w:right="86"/>
              <w:jc w:val="right"/>
              <w:rPr>
                <w:sz w:val="18"/>
              </w:rPr>
            </w:pPr>
            <w:r>
              <w:rPr>
                <w:w w:val="99"/>
                <w:sz w:val="18"/>
              </w:rPr>
              <w:t>-</w:t>
            </w:r>
          </w:p>
        </w:tc>
      </w:tr>
      <w:tr>
        <w:trPr>
          <w:trHeight w:val="264" w:hRule="exact"/>
        </w:trPr>
        <w:tc>
          <w:tcPr>
            <w:tcW w:w="4041" w:type="dxa"/>
          </w:tcPr>
          <w:p>
            <w:pPr>
              <w:pStyle w:val="TableParagraph"/>
              <w:spacing w:before="21"/>
              <w:ind w:left="248" w:right="11"/>
              <w:rPr>
                <w:sz w:val="18"/>
              </w:rPr>
            </w:pPr>
            <w:r>
              <w:rPr>
                <w:sz w:val="18"/>
              </w:rPr>
              <w:t>Research Training Scheme</w:t>
            </w:r>
          </w:p>
        </w:tc>
        <w:tc>
          <w:tcPr>
            <w:tcW w:w="686" w:type="dxa"/>
          </w:tcPr>
          <w:p>
            <w:pPr>
              <w:pStyle w:val="TableParagraph"/>
              <w:spacing w:before="16"/>
              <w:ind w:left="165"/>
              <w:rPr>
                <w:sz w:val="18"/>
              </w:rPr>
            </w:pPr>
            <w:r>
              <w:rPr>
                <w:sz w:val="18"/>
              </w:rPr>
              <w:t>2(c)</w:t>
            </w:r>
          </w:p>
        </w:tc>
        <w:tc>
          <w:tcPr>
            <w:tcW w:w="1284" w:type="dxa"/>
          </w:tcPr>
          <w:p>
            <w:pPr>
              <w:pStyle w:val="TableParagraph"/>
              <w:spacing w:before="19"/>
              <w:ind w:right="79"/>
              <w:jc w:val="right"/>
              <w:rPr>
                <w:sz w:val="18"/>
              </w:rPr>
            </w:pPr>
            <w:r>
              <w:rPr>
                <w:w w:val="95"/>
                <w:sz w:val="18"/>
              </w:rPr>
              <w:t>7,070</w:t>
            </w:r>
          </w:p>
        </w:tc>
        <w:tc>
          <w:tcPr>
            <w:tcW w:w="1343" w:type="dxa"/>
          </w:tcPr>
          <w:p>
            <w:pPr>
              <w:pStyle w:val="TableParagraph"/>
              <w:spacing w:before="19"/>
              <w:ind w:right="131"/>
              <w:jc w:val="right"/>
              <w:rPr>
                <w:sz w:val="18"/>
              </w:rPr>
            </w:pPr>
            <w:r>
              <w:rPr>
                <w:w w:val="99"/>
                <w:sz w:val="18"/>
              </w:rPr>
              <w:t>-</w:t>
            </w:r>
          </w:p>
        </w:tc>
        <w:tc>
          <w:tcPr>
            <w:tcW w:w="1139" w:type="dxa"/>
          </w:tcPr>
          <w:p>
            <w:pPr>
              <w:pStyle w:val="TableParagraph"/>
              <w:spacing w:before="19"/>
              <w:ind w:right="149"/>
              <w:jc w:val="right"/>
              <w:rPr>
                <w:sz w:val="18"/>
              </w:rPr>
            </w:pPr>
            <w:r>
              <w:rPr>
                <w:w w:val="95"/>
                <w:sz w:val="18"/>
              </w:rPr>
              <w:t>7,070</w:t>
            </w:r>
          </w:p>
        </w:tc>
        <w:tc>
          <w:tcPr>
            <w:tcW w:w="1058" w:type="dxa"/>
          </w:tcPr>
          <w:p>
            <w:pPr>
              <w:pStyle w:val="TableParagraph"/>
              <w:spacing w:before="19"/>
              <w:ind w:right="86"/>
              <w:jc w:val="right"/>
              <w:rPr>
                <w:sz w:val="18"/>
              </w:rPr>
            </w:pPr>
            <w:r>
              <w:rPr>
                <w:w w:val="99"/>
                <w:sz w:val="18"/>
              </w:rPr>
              <w:t>-</w:t>
            </w:r>
          </w:p>
        </w:tc>
      </w:tr>
      <w:tr>
        <w:trPr>
          <w:trHeight w:val="264" w:hRule="exact"/>
        </w:trPr>
        <w:tc>
          <w:tcPr>
            <w:tcW w:w="4041" w:type="dxa"/>
          </w:tcPr>
          <w:p>
            <w:pPr>
              <w:pStyle w:val="TableParagraph"/>
              <w:spacing w:before="21"/>
              <w:ind w:left="248" w:right="11"/>
              <w:rPr>
                <w:sz w:val="18"/>
              </w:rPr>
            </w:pPr>
            <w:r>
              <w:rPr>
                <w:sz w:val="18"/>
              </w:rPr>
              <w:t>Research Infrastructure Block Grants</w:t>
            </w:r>
          </w:p>
        </w:tc>
        <w:tc>
          <w:tcPr>
            <w:tcW w:w="686" w:type="dxa"/>
          </w:tcPr>
          <w:p>
            <w:pPr>
              <w:pStyle w:val="TableParagraph"/>
              <w:spacing w:before="16"/>
              <w:ind w:left="165"/>
              <w:rPr>
                <w:sz w:val="18"/>
              </w:rPr>
            </w:pPr>
            <w:r>
              <w:rPr>
                <w:sz w:val="18"/>
              </w:rPr>
              <w:t>2(c)</w:t>
            </w:r>
          </w:p>
        </w:tc>
        <w:tc>
          <w:tcPr>
            <w:tcW w:w="1284" w:type="dxa"/>
          </w:tcPr>
          <w:p>
            <w:pPr>
              <w:pStyle w:val="TableParagraph"/>
              <w:spacing w:before="19"/>
              <w:ind w:right="79"/>
              <w:jc w:val="right"/>
              <w:rPr>
                <w:sz w:val="18"/>
              </w:rPr>
            </w:pPr>
            <w:r>
              <w:rPr>
                <w:w w:val="95"/>
                <w:sz w:val="18"/>
              </w:rPr>
              <w:t>1,896</w:t>
            </w:r>
          </w:p>
        </w:tc>
        <w:tc>
          <w:tcPr>
            <w:tcW w:w="1343" w:type="dxa"/>
          </w:tcPr>
          <w:p>
            <w:pPr>
              <w:pStyle w:val="TableParagraph"/>
              <w:spacing w:before="19"/>
              <w:ind w:right="131"/>
              <w:jc w:val="right"/>
              <w:rPr>
                <w:sz w:val="18"/>
              </w:rPr>
            </w:pPr>
            <w:r>
              <w:rPr>
                <w:w w:val="99"/>
                <w:sz w:val="18"/>
              </w:rPr>
              <w:t>-</w:t>
            </w:r>
          </w:p>
        </w:tc>
        <w:tc>
          <w:tcPr>
            <w:tcW w:w="1139" w:type="dxa"/>
          </w:tcPr>
          <w:p>
            <w:pPr>
              <w:pStyle w:val="TableParagraph"/>
              <w:spacing w:before="19"/>
              <w:ind w:right="149"/>
              <w:jc w:val="right"/>
              <w:rPr>
                <w:sz w:val="18"/>
              </w:rPr>
            </w:pPr>
            <w:r>
              <w:rPr>
                <w:w w:val="95"/>
                <w:sz w:val="18"/>
              </w:rPr>
              <w:t>1,896</w:t>
            </w:r>
          </w:p>
        </w:tc>
        <w:tc>
          <w:tcPr>
            <w:tcW w:w="1058" w:type="dxa"/>
          </w:tcPr>
          <w:p>
            <w:pPr>
              <w:pStyle w:val="TableParagraph"/>
              <w:spacing w:before="19"/>
              <w:ind w:right="86"/>
              <w:jc w:val="right"/>
              <w:rPr>
                <w:sz w:val="18"/>
              </w:rPr>
            </w:pPr>
            <w:r>
              <w:rPr>
                <w:w w:val="99"/>
                <w:sz w:val="18"/>
              </w:rPr>
              <w:t>-</w:t>
            </w:r>
          </w:p>
        </w:tc>
      </w:tr>
      <w:tr>
        <w:trPr>
          <w:trHeight w:val="466" w:hRule="exact"/>
        </w:trPr>
        <w:tc>
          <w:tcPr>
            <w:tcW w:w="4041" w:type="dxa"/>
          </w:tcPr>
          <w:p>
            <w:pPr>
              <w:pStyle w:val="TableParagraph"/>
              <w:spacing w:before="16"/>
              <w:ind w:left="248" w:right="11"/>
              <w:rPr>
                <w:sz w:val="18"/>
              </w:rPr>
            </w:pPr>
            <w:r>
              <w:rPr>
                <w:sz w:val="18"/>
              </w:rPr>
              <w:t>Sustainable Research Excellence in Universities</w:t>
            </w:r>
          </w:p>
        </w:tc>
        <w:tc>
          <w:tcPr>
            <w:tcW w:w="686" w:type="dxa"/>
          </w:tcPr>
          <w:p>
            <w:pPr>
              <w:pStyle w:val="TableParagraph"/>
              <w:spacing w:before="16"/>
              <w:ind w:left="165"/>
              <w:rPr>
                <w:sz w:val="18"/>
              </w:rPr>
            </w:pPr>
            <w:r>
              <w:rPr>
                <w:sz w:val="18"/>
              </w:rPr>
              <w:t>2(c)</w:t>
            </w:r>
          </w:p>
        </w:tc>
        <w:tc>
          <w:tcPr>
            <w:tcW w:w="1284" w:type="dxa"/>
          </w:tcPr>
          <w:p>
            <w:pPr>
              <w:pStyle w:val="TableParagraph"/>
              <w:spacing w:before="19"/>
              <w:ind w:right="79"/>
              <w:jc w:val="right"/>
              <w:rPr>
                <w:sz w:val="18"/>
              </w:rPr>
            </w:pPr>
            <w:r>
              <w:rPr>
                <w:w w:val="95"/>
                <w:sz w:val="18"/>
              </w:rPr>
              <w:t>1,753</w:t>
            </w:r>
          </w:p>
        </w:tc>
        <w:tc>
          <w:tcPr>
            <w:tcW w:w="1343" w:type="dxa"/>
          </w:tcPr>
          <w:p>
            <w:pPr>
              <w:pStyle w:val="TableParagraph"/>
              <w:spacing w:before="19"/>
              <w:ind w:right="131"/>
              <w:jc w:val="right"/>
              <w:rPr>
                <w:sz w:val="18"/>
              </w:rPr>
            </w:pPr>
            <w:r>
              <w:rPr>
                <w:w w:val="99"/>
                <w:sz w:val="18"/>
              </w:rPr>
              <w:t>-</w:t>
            </w:r>
          </w:p>
        </w:tc>
        <w:tc>
          <w:tcPr>
            <w:tcW w:w="1139" w:type="dxa"/>
          </w:tcPr>
          <w:p>
            <w:pPr>
              <w:pStyle w:val="TableParagraph"/>
              <w:spacing w:before="19"/>
              <w:ind w:right="149"/>
              <w:jc w:val="right"/>
              <w:rPr>
                <w:sz w:val="18"/>
              </w:rPr>
            </w:pPr>
            <w:r>
              <w:rPr>
                <w:w w:val="95"/>
                <w:sz w:val="18"/>
              </w:rPr>
              <w:t>1,753</w:t>
            </w:r>
          </w:p>
        </w:tc>
        <w:tc>
          <w:tcPr>
            <w:tcW w:w="1058" w:type="dxa"/>
          </w:tcPr>
          <w:p>
            <w:pPr>
              <w:pStyle w:val="TableParagraph"/>
              <w:spacing w:before="19"/>
              <w:ind w:right="86"/>
              <w:jc w:val="right"/>
              <w:rPr>
                <w:sz w:val="18"/>
              </w:rPr>
            </w:pPr>
            <w:r>
              <w:rPr>
                <w:w w:val="99"/>
                <w:sz w:val="18"/>
              </w:rPr>
              <w:t>-</w:t>
            </w:r>
          </w:p>
        </w:tc>
      </w:tr>
      <w:tr>
        <w:trPr>
          <w:trHeight w:val="264" w:hRule="exact"/>
        </w:trPr>
        <w:tc>
          <w:tcPr>
            <w:tcW w:w="4041" w:type="dxa"/>
          </w:tcPr>
          <w:p>
            <w:pPr>
              <w:pStyle w:val="TableParagraph"/>
              <w:spacing w:before="21"/>
              <w:ind w:left="248" w:right="11"/>
              <w:rPr>
                <w:sz w:val="18"/>
              </w:rPr>
            </w:pPr>
            <w:r>
              <w:rPr>
                <w:sz w:val="18"/>
              </w:rPr>
              <w:t>Research Training Program</w:t>
            </w:r>
          </w:p>
        </w:tc>
        <w:tc>
          <w:tcPr>
            <w:tcW w:w="686" w:type="dxa"/>
          </w:tcPr>
          <w:p>
            <w:pPr>
              <w:pStyle w:val="TableParagraph"/>
              <w:spacing w:before="16"/>
              <w:ind w:left="165"/>
              <w:rPr>
                <w:sz w:val="18"/>
              </w:rPr>
            </w:pPr>
            <w:r>
              <w:rPr>
                <w:sz w:val="18"/>
              </w:rPr>
              <w:t>2(c)</w:t>
            </w:r>
          </w:p>
        </w:tc>
        <w:tc>
          <w:tcPr>
            <w:tcW w:w="1284" w:type="dxa"/>
          </w:tcPr>
          <w:p>
            <w:pPr>
              <w:pStyle w:val="TableParagraph"/>
              <w:spacing w:before="19"/>
              <w:ind w:right="79"/>
              <w:jc w:val="right"/>
              <w:rPr>
                <w:sz w:val="18"/>
              </w:rPr>
            </w:pPr>
            <w:r>
              <w:rPr>
                <w:w w:val="99"/>
                <w:sz w:val="18"/>
              </w:rPr>
              <w:t>-</w:t>
            </w:r>
          </w:p>
        </w:tc>
        <w:tc>
          <w:tcPr>
            <w:tcW w:w="1343" w:type="dxa"/>
          </w:tcPr>
          <w:p>
            <w:pPr>
              <w:pStyle w:val="TableParagraph"/>
              <w:spacing w:before="19"/>
              <w:ind w:right="131"/>
              <w:jc w:val="right"/>
              <w:rPr>
                <w:sz w:val="18"/>
              </w:rPr>
            </w:pPr>
            <w:r>
              <w:rPr>
                <w:w w:val="95"/>
                <w:sz w:val="18"/>
              </w:rPr>
              <w:t>10,705</w:t>
            </w:r>
          </w:p>
        </w:tc>
        <w:tc>
          <w:tcPr>
            <w:tcW w:w="1139" w:type="dxa"/>
          </w:tcPr>
          <w:p>
            <w:pPr>
              <w:pStyle w:val="TableParagraph"/>
              <w:spacing w:before="19"/>
              <w:ind w:right="149"/>
              <w:jc w:val="right"/>
              <w:rPr>
                <w:sz w:val="18"/>
              </w:rPr>
            </w:pPr>
            <w:r>
              <w:rPr>
                <w:w w:val="99"/>
                <w:sz w:val="18"/>
              </w:rPr>
              <w:t>-</w:t>
            </w:r>
          </w:p>
        </w:tc>
        <w:tc>
          <w:tcPr>
            <w:tcW w:w="1058" w:type="dxa"/>
          </w:tcPr>
          <w:p>
            <w:pPr>
              <w:pStyle w:val="TableParagraph"/>
              <w:spacing w:before="19"/>
              <w:ind w:right="87"/>
              <w:jc w:val="right"/>
              <w:rPr>
                <w:sz w:val="18"/>
              </w:rPr>
            </w:pPr>
            <w:r>
              <w:rPr>
                <w:w w:val="95"/>
                <w:sz w:val="18"/>
              </w:rPr>
              <w:t>10,705</w:t>
            </w:r>
          </w:p>
        </w:tc>
      </w:tr>
      <w:tr>
        <w:trPr>
          <w:trHeight w:val="261" w:hRule="exact"/>
        </w:trPr>
        <w:tc>
          <w:tcPr>
            <w:tcW w:w="4041" w:type="dxa"/>
          </w:tcPr>
          <w:p>
            <w:pPr>
              <w:pStyle w:val="TableParagraph"/>
              <w:spacing w:before="21"/>
              <w:ind w:left="248" w:right="11"/>
              <w:rPr>
                <w:sz w:val="18"/>
              </w:rPr>
            </w:pPr>
            <w:r>
              <w:rPr>
                <w:sz w:val="18"/>
              </w:rPr>
              <w:t>Research Support Program</w:t>
            </w:r>
          </w:p>
        </w:tc>
        <w:tc>
          <w:tcPr>
            <w:tcW w:w="686" w:type="dxa"/>
          </w:tcPr>
          <w:p>
            <w:pPr>
              <w:pStyle w:val="TableParagraph"/>
              <w:spacing w:before="16"/>
              <w:ind w:left="165"/>
              <w:rPr>
                <w:sz w:val="18"/>
              </w:rPr>
            </w:pPr>
            <w:r>
              <w:rPr>
                <w:sz w:val="18"/>
              </w:rPr>
              <w:t>2(c)</w:t>
            </w:r>
          </w:p>
        </w:tc>
        <w:tc>
          <w:tcPr>
            <w:tcW w:w="1284" w:type="dxa"/>
            <w:tcBorders>
              <w:bottom w:val="single" w:sz="1" w:space="0" w:color="000000"/>
            </w:tcBorders>
          </w:tcPr>
          <w:p>
            <w:pPr>
              <w:pStyle w:val="TableParagraph"/>
              <w:spacing w:before="19"/>
              <w:ind w:right="79"/>
              <w:jc w:val="right"/>
              <w:rPr>
                <w:sz w:val="18"/>
              </w:rPr>
            </w:pPr>
            <w:r>
              <w:rPr>
                <w:w w:val="99"/>
                <w:sz w:val="18"/>
              </w:rPr>
              <w:t>-</w:t>
            </w:r>
          </w:p>
        </w:tc>
        <w:tc>
          <w:tcPr>
            <w:tcW w:w="1343" w:type="dxa"/>
            <w:tcBorders>
              <w:bottom w:val="single" w:sz="1" w:space="0" w:color="000000"/>
            </w:tcBorders>
          </w:tcPr>
          <w:p>
            <w:pPr>
              <w:pStyle w:val="TableParagraph"/>
              <w:spacing w:before="19"/>
              <w:ind w:right="131"/>
              <w:jc w:val="right"/>
              <w:rPr>
                <w:sz w:val="18"/>
              </w:rPr>
            </w:pPr>
            <w:r>
              <w:rPr>
                <w:w w:val="95"/>
                <w:sz w:val="18"/>
              </w:rPr>
              <w:t>7,462</w:t>
            </w:r>
          </w:p>
        </w:tc>
        <w:tc>
          <w:tcPr>
            <w:tcW w:w="1139" w:type="dxa"/>
            <w:tcBorders>
              <w:bottom w:val="single" w:sz="1" w:space="0" w:color="000000"/>
            </w:tcBorders>
          </w:tcPr>
          <w:p>
            <w:pPr>
              <w:pStyle w:val="TableParagraph"/>
              <w:spacing w:before="19"/>
              <w:ind w:right="149"/>
              <w:jc w:val="right"/>
              <w:rPr>
                <w:sz w:val="18"/>
              </w:rPr>
            </w:pPr>
            <w:r>
              <w:rPr>
                <w:w w:val="99"/>
                <w:sz w:val="18"/>
              </w:rPr>
              <w:t>-</w:t>
            </w:r>
          </w:p>
        </w:tc>
        <w:tc>
          <w:tcPr>
            <w:tcW w:w="1058" w:type="dxa"/>
            <w:tcBorders>
              <w:bottom w:val="single" w:sz="1" w:space="0" w:color="000000"/>
            </w:tcBorders>
          </w:tcPr>
          <w:p>
            <w:pPr>
              <w:pStyle w:val="TableParagraph"/>
              <w:spacing w:before="19"/>
              <w:ind w:right="87"/>
              <w:jc w:val="right"/>
              <w:rPr>
                <w:sz w:val="18"/>
              </w:rPr>
            </w:pPr>
            <w:r>
              <w:rPr>
                <w:w w:val="95"/>
                <w:sz w:val="18"/>
              </w:rPr>
              <w:t>7,462</w:t>
            </w:r>
          </w:p>
        </w:tc>
      </w:tr>
      <w:tr>
        <w:trPr>
          <w:trHeight w:val="338" w:hRule="exact"/>
        </w:trPr>
        <w:tc>
          <w:tcPr>
            <w:tcW w:w="4041" w:type="dxa"/>
          </w:tcPr>
          <w:p>
            <w:pPr/>
          </w:p>
        </w:tc>
        <w:tc>
          <w:tcPr>
            <w:tcW w:w="686" w:type="dxa"/>
          </w:tcPr>
          <w:p>
            <w:pPr/>
          </w:p>
        </w:tc>
        <w:tc>
          <w:tcPr>
            <w:tcW w:w="1284" w:type="dxa"/>
            <w:tcBorders>
              <w:top w:val="single" w:sz="1" w:space="0" w:color="000000"/>
              <w:bottom w:val="single" w:sz="1" w:space="0" w:color="000000"/>
            </w:tcBorders>
          </w:tcPr>
          <w:p>
            <w:pPr>
              <w:pStyle w:val="TableParagraph"/>
              <w:spacing w:before="124"/>
              <w:ind w:right="79"/>
              <w:jc w:val="right"/>
              <w:rPr>
                <w:sz w:val="18"/>
              </w:rPr>
            </w:pPr>
            <w:r>
              <w:rPr>
                <w:w w:val="95"/>
                <w:sz w:val="18"/>
              </w:rPr>
              <w:t>14,532</w:t>
            </w:r>
          </w:p>
        </w:tc>
        <w:tc>
          <w:tcPr>
            <w:tcW w:w="1343" w:type="dxa"/>
            <w:tcBorders>
              <w:top w:val="single" w:sz="1" w:space="0" w:color="000000"/>
              <w:bottom w:val="single" w:sz="1" w:space="0" w:color="000000"/>
            </w:tcBorders>
          </w:tcPr>
          <w:p>
            <w:pPr>
              <w:pStyle w:val="TableParagraph"/>
              <w:spacing w:before="124"/>
              <w:ind w:right="131"/>
              <w:jc w:val="right"/>
              <w:rPr>
                <w:sz w:val="18"/>
              </w:rPr>
            </w:pPr>
            <w:r>
              <w:rPr>
                <w:w w:val="95"/>
                <w:sz w:val="18"/>
              </w:rPr>
              <w:t>18,167</w:t>
            </w:r>
          </w:p>
        </w:tc>
        <w:tc>
          <w:tcPr>
            <w:tcW w:w="1139" w:type="dxa"/>
            <w:tcBorders>
              <w:top w:val="single" w:sz="1" w:space="0" w:color="000000"/>
              <w:bottom w:val="single" w:sz="1" w:space="0" w:color="000000"/>
            </w:tcBorders>
          </w:tcPr>
          <w:p>
            <w:pPr>
              <w:pStyle w:val="TableParagraph"/>
              <w:spacing w:before="124"/>
              <w:ind w:right="149"/>
              <w:jc w:val="right"/>
              <w:rPr>
                <w:sz w:val="18"/>
              </w:rPr>
            </w:pPr>
            <w:r>
              <w:rPr>
                <w:w w:val="95"/>
                <w:sz w:val="18"/>
              </w:rPr>
              <w:t>14,532</w:t>
            </w:r>
          </w:p>
        </w:tc>
        <w:tc>
          <w:tcPr>
            <w:tcW w:w="1058" w:type="dxa"/>
            <w:tcBorders>
              <w:top w:val="single" w:sz="1" w:space="0" w:color="000000"/>
              <w:bottom w:val="single" w:sz="1" w:space="0" w:color="000000"/>
            </w:tcBorders>
          </w:tcPr>
          <w:p>
            <w:pPr>
              <w:pStyle w:val="TableParagraph"/>
              <w:spacing w:before="124"/>
              <w:ind w:right="87"/>
              <w:jc w:val="right"/>
              <w:rPr>
                <w:sz w:val="18"/>
              </w:rPr>
            </w:pPr>
            <w:r>
              <w:rPr>
                <w:w w:val="95"/>
                <w:sz w:val="18"/>
              </w:rPr>
              <w:t>18,167</w:t>
            </w:r>
          </w:p>
        </w:tc>
      </w:tr>
      <w:tr>
        <w:trPr>
          <w:trHeight w:val="353" w:hRule="exact"/>
        </w:trPr>
        <w:tc>
          <w:tcPr>
            <w:tcW w:w="4041" w:type="dxa"/>
          </w:tcPr>
          <w:p>
            <w:pPr/>
          </w:p>
        </w:tc>
        <w:tc>
          <w:tcPr>
            <w:tcW w:w="686" w:type="dxa"/>
          </w:tcPr>
          <w:p>
            <w:pPr/>
          </w:p>
        </w:tc>
        <w:tc>
          <w:tcPr>
            <w:tcW w:w="1284" w:type="dxa"/>
            <w:tcBorders>
              <w:top w:val="single" w:sz="1" w:space="0" w:color="000000"/>
              <w:bottom w:val="single" w:sz="1" w:space="0" w:color="000000"/>
            </w:tcBorders>
          </w:tcPr>
          <w:p>
            <w:pPr>
              <w:pStyle w:val="TableParagraph"/>
              <w:spacing w:before="124"/>
              <w:ind w:right="79"/>
              <w:jc w:val="right"/>
              <w:rPr>
                <w:sz w:val="18"/>
              </w:rPr>
            </w:pPr>
            <w:r>
              <w:rPr>
                <w:w w:val="95"/>
                <w:sz w:val="18"/>
              </w:rPr>
              <w:t>31,719</w:t>
            </w:r>
          </w:p>
        </w:tc>
        <w:tc>
          <w:tcPr>
            <w:tcW w:w="1343" w:type="dxa"/>
            <w:tcBorders>
              <w:top w:val="single" w:sz="1" w:space="0" w:color="000000"/>
              <w:bottom w:val="single" w:sz="1" w:space="0" w:color="000000"/>
            </w:tcBorders>
          </w:tcPr>
          <w:p>
            <w:pPr>
              <w:pStyle w:val="TableParagraph"/>
              <w:spacing w:before="124"/>
              <w:ind w:right="131"/>
              <w:jc w:val="right"/>
              <w:rPr>
                <w:sz w:val="18"/>
              </w:rPr>
            </w:pPr>
            <w:r>
              <w:rPr>
                <w:w w:val="95"/>
                <w:sz w:val="18"/>
              </w:rPr>
              <w:t>31,719</w:t>
            </w:r>
          </w:p>
        </w:tc>
        <w:tc>
          <w:tcPr>
            <w:tcW w:w="1139" w:type="dxa"/>
            <w:tcBorders>
              <w:top w:val="single" w:sz="1" w:space="0" w:color="000000"/>
              <w:bottom w:val="single" w:sz="1" w:space="0" w:color="000000"/>
            </w:tcBorders>
          </w:tcPr>
          <w:p>
            <w:pPr>
              <w:pStyle w:val="TableParagraph"/>
              <w:spacing w:before="124"/>
              <w:ind w:right="149"/>
              <w:jc w:val="right"/>
              <w:rPr>
                <w:sz w:val="18"/>
              </w:rPr>
            </w:pPr>
            <w:r>
              <w:rPr>
                <w:w w:val="95"/>
                <w:sz w:val="18"/>
              </w:rPr>
              <w:t>31,719</w:t>
            </w:r>
          </w:p>
        </w:tc>
        <w:tc>
          <w:tcPr>
            <w:tcW w:w="1058" w:type="dxa"/>
            <w:tcBorders>
              <w:top w:val="single" w:sz="1" w:space="0" w:color="000000"/>
              <w:bottom w:val="single" w:sz="1" w:space="0" w:color="000000"/>
            </w:tcBorders>
          </w:tcPr>
          <w:p>
            <w:pPr>
              <w:pStyle w:val="TableParagraph"/>
              <w:spacing w:before="124"/>
              <w:ind w:right="87"/>
              <w:jc w:val="right"/>
              <w:rPr>
                <w:sz w:val="18"/>
              </w:rPr>
            </w:pPr>
            <w:r>
              <w:rPr>
                <w:w w:val="95"/>
                <w:sz w:val="18"/>
              </w:rPr>
              <w:t>31,719</w:t>
            </w:r>
          </w:p>
        </w:tc>
      </w:tr>
    </w:tbl>
    <w:p>
      <w:pPr>
        <w:spacing w:after="0"/>
        <w:jc w:val="right"/>
        <w:rPr>
          <w:sz w:val="18"/>
        </w:rPr>
        <w:sectPr>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pStyle w:val="Heading9"/>
        <w:numPr>
          <w:ilvl w:val="0"/>
          <w:numId w:val="22"/>
        </w:numPr>
        <w:tabs>
          <w:tab w:pos="504" w:val="left" w:leader="none"/>
        </w:tabs>
        <w:spacing w:line="240" w:lineRule="auto" w:before="0" w:after="0"/>
        <w:ind w:left="504" w:right="583" w:hanging="394"/>
        <w:jc w:val="left"/>
      </w:pPr>
      <w:bookmarkStart w:name="Australian Government financial assistan" w:id="56"/>
      <w:bookmarkEnd w:id="56"/>
      <w:r>
        <w:rPr>
          <w:b w:val="0"/>
        </w:rPr>
      </w:r>
      <w:bookmarkStart w:name="2 Australian Government financial assist" w:id="57"/>
      <w:bookmarkEnd w:id="57"/>
      <w:r>
        <w:rPr>
          <w:b w:val="0"/>
        </w:rPr>
      </w:r>
      <w:bookmarkStart w:name="(a) Commonwealth Grants Scheme and Other" w:id="58"/>
      <w:bookmarkEnd w:id="58"/>
      <w:r>
        <w:rPr>
          <w:b w:val="0"/>
        </w:rPr>
      </w:r>
      <w:bookmarkStart w:name="(a) Commonwealth Grants Scheme and Other" w:id="59"/>
      <w:bookmarkEnd w:id="59"/>
      <w:r>
        <w:rPr/>
        <w:t>Australian</w:t>
      </w:r>
      <w:r>
        <w:rPr/>
        <w:t> Government financial assistance including HECS-HELP and other Australian Government loan programs</w:t>
      </w:r>
    </w:p>
    <w:p>
      <w:pPr>
        <w:pStyle w:val="BodyText"/>
        <w:spacing w:before="11"/>
        <w:rPr>
          <w:b/>
          <w:sz w:val="19"/>
        </w:rPr>
      </w:pPr>
    </w:p>
    <w:p>
      <w:pPr>
        <w:pStyle w:val="ListParagraph"/>
        <w:numPr>
          <w:ilvl w:val="1"/>
          <w:numId w:val="22"/>
        </w:numPr>
        <w:tabs>
          <w:tab w:pos="1071" w:val="left" w:leader="none"/>
        </w:tabs>
        <w:spacing w:line="240" w:lineRule="auto" w:before="77" w:after="0"/>
        <w:ind w:left="1070" w:right="0" w:hanging="566"/>
        <w:jc w:val="left"/>
        <w:rPr>
          <w:sz w:val="18"/>
        </w:rPr>
      </w:pPr>
      <w:r>
        <w:rPr>
          <w:sz w:val="18"/>
        </w:rPr>
        <w:t>Commonwealth Grants Scheme and Other</w:t>
      </w:r>
      <w:r>
        <w:rPr>
          <w:spacing w:val="-1"/>
          <w:sz w:val="18"/>
        </w:rPr>
        <w:t> </w:t>
      </w:r>
      <w:r>
        <w:rPr>
          <w:sz w:val="18"/>
        </w:rPr>
        <w:t>Grants</w:t>
      </w:r>
    </w:p>
    <w:p>
      <w:pPr>
        <w:pStyle w:val="Heading9"/>
        <w:tabs>
          <w:tab w:pos="8351" w:val="left" w:leader="none"/>
        </w:tabs>
        <w:spacing w:before="38" w:after="36"/>
        <w:ind w:left="5316" w:right="220"/>
      </w:pPr>
      <w:r>
        <w:rPr/>
        <w:t>Consolidated</w:t>
        <w:tab/>
        <w:t>Parent</w:t>
      </w: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
        <w:gridCol w:w="3067"/>
        <w:gridCol w:w="526"/>
        <w:gridCol w:w="1626"/>
        <w:gridCol w:w="1387"/>
        <w:gridCol w:w="1373"/>
        <w:gridCol w:w="1136"/>
      </w:tblGrid>
      <w:tr>
        <w:trPr>
          <w:trHeight w:val="566" w:hRule="exact"/>
        </w:trPr>
        <w:tc>
          <w:tcPr>
            <w:tcW w:w="429" w:type="dxa"/>
            <w:vMerge w:val="restart"/>
          </w:tcPr>
          <w:p>
            <w:pPr/>
          </w:p>
        </w:tc>
        <w:tc>
          <w:tcPr>
            <w:tcW w:w="3067" w:type="dxa"/>
          </w:tcPr>
          <w:p>
            <w:pPr/>
          </w:p>
        </w:tc>
        <w:tc>
          <w:tcPr>
            <w:tcW w:w="526" w:type="dxa"/>
          </w:tcPr>
          <w:p>
            <w:pPr>
              <w:pStyle w:val="TableParagraph"/>
              <w:spacing w:before="5"/>
              <w:rPr>
                <w:b/>
                <w:sz w:val="26"/>
              </w:rPr>
            </w:pPr>
          </w:p>
          <w:p>
            <w:pPr>
              <w:pStyle w:val="TableParagraph"/>
              <w:ind w:left="33" w:right="29"/>
              <w:jc w:val="center"/>
              <w:rPr>
                <w:b/>
                <w:sz w:val="18"/>
              </w:rPr>
            </w:pPr>
            <w:r>
              <w:rPr>
                <w:b/>
                <w:sz w:val="18"/>
              </w:rPr>
              <w:t>Note</w:t>
            </w:r>
          </w:p>
        </w:tc>
        <w:tc>
          <w:tcPr>
            <w:tcW w:w="1626" w:type="dxa"/>
          </w:tcPr>
          <w:p>
            <w:pPr>
              <w:pStyle w:val="TableParagraph"/>
              <w:spacing w:before="30"/>
              <w:ind w:left="571" w:right="570"/>
              <w:jc w:val="center"/>
              <w:rPr>
                <w:b/>
                <w:sz w:val="18"/>
              </w:rPr>
            </w:pPr>
            <w:r>
              <w:rPr>
                <w:b/>
                <w:sz w:val="18"/>
              </w:rPr>
              <w:t>2017</w:t>
            </w:r>
          </w:p>
          <w:p>
            <w:pPr>
              <w:pStyle w:val="TableParagraph"/>
              <w:spacing w:before="66"/>
              <w:ind w:left="571" w:right="570"/>
              <w:jc w:val="center"/>
              <w:rPr>
                <w:b/>
                <w:sz w:val="18"/>
              </w:rPr>
            </w:pPr>
            <w:r>
              <w:rPr>
                <w:b/>
                <w:sz w:val="18"/>
              </w:rPr>
              <w:t>$'000</w:t>
            </w:r>
          </w:p>
        </w:tc>
        <w:tc>
          <w:tcPr>
            <w:tcW w:w="1387" w:type="dxa"/>
          </w:tcPr>
          <w:p>
            <w:pPr>
              <w:pStyle w:val="TableParagraph"/>
              <w:spacing w:before="30"/>
              <w:ind w:left="270"/>
              <w:rPr>
                <w:b/>
                <w:sz w:val="18"/>
              </w:rPr>
            </w:pPr>
            <w:r>
              <w:rPr>
                <w:b/>
                <w:sz w:val="18"/>
              </w:rPr>
              <w:t>2016</w:t>
            </w:r>
          </w:p>
          <w:p>
            <w:pPr>
              <w:pStyle w:val="TableParagraph"/>
              <w:spacing w:before="66"/>
              <w:ind w:left="248"/>
              <w:rPr>
                <w:b/>
                <w:sz w:val="18"/>
              </w:rPr>
            </w:pPr>
            <w:r>
              <w:rPr>
                <w:b/>
                <w:sz w:val="18"/>
              </w:rPr>
              <w:t>$'000</w:t>
            </w:r>
          </w:p>
        </w:tc>
        <w:tc>
          <w:tcPr>
            <w:tcW w:w="1373" w:type="dxa"/>
          </w:tcPr>
          <w:p>
            <w:pPr>
              <w:pStyle w:val="TableParagraph"/>
              <w:spacing w:before="30"/>
              <w:ind w:left="358"/>
              <w:rPr>
                <w:b/>
                <w:sz w:val="18"/>
              </w:rPr>
            </w:pPr>
            <w:r>
              <w:rPr>
                <w:b/>
                <w:sz w:val="18"/>
              </w:rPr>
              <w:t>2017</w:t>
            </w:r>
          </w:p>
          <w:p>
            <w:pPr>
              <w:pStyle w:val="TableParagraph"/>
              <w:spacing w:before="66"/>
              <w:ind w:left="337"/>
              <w:rPr>
                <w:b/>
                <w:sz w:val="18"/>
              </w:rPr>
            </w:pPr>
            <w:r>
              <w:rPr>
                <w:b/>
                <w:sz w:val="18"/>
              </w:rPr>
              <w:t>$'000</w:t>
            </w:r>
          </w:p>
        </w:tc>
        <w:tc>
          <w:tcPr>
            <w:tcW w:w="1136" w:type="dxa"/>
          </w:tcPr>
          <w:p>
            <w:pPr>
              <w:pStyle w:val="TableParagraph"/>
              <w:spacing w:before="30"/>
              <w:ind w:left="270"/>
              <w:rPr>
                <w:b/>
                <w:sz w:val="18"/>
              </w:rPr>
            </w:pPr>
            <w:r>
              <w:rPr>
                <w:b/>
                <w:sz w:val="18"/>
              </w:rPr>
              <w:t>2016</w:t>
            </w:r>
          </w:p>
          <w:p>
            <w:pPr>
              <w:pStyle w:val="TableParagraph"/>
              <w:spacing w:before="66"/>
              <w:ind w:left="248"/>
              <w:rPr>
                <w:b/>
                <w:sz w:val="18"/>
              </w:rPr>
            </w:pPr>
            <w:r>
              <w:rPr>
                <w:b/>
                <w:sz w:val="18"/>
              </w:rPr>
              <w:t>$'000</w:t>
            </w:r>
          </w:p>
        </w:tc>
      </w:tr>
      <w:tr>
        <w:trPr>
          <w:trHeight w:val="282" w:hRule="exact"/>
        </w:trPr>
        <w:tc>
          <w:tcPr>
            <w:tcW w:w="429" w:type="dxa"/>
            <w:vMerge/>
          </w:tcPr>
          <w:p>
            <w:pPr/>
          </w:p>
        </w:tc>
        <w:tc>
          <w:tcPr>
            <w:tcW w:w="3067" w:type="dxa"/>
          </w:tcPr>
          <w:p>
            <w:pPr>
              <w:pStyle w:val="TableParagraph"/>
              <w:spacing w:before="38"/>
              <w:ind w:left="199"/>
              <w:rPr>
                <w:sz w:val="18"/>
              </w:rPr>
            </w:pPr>
            <w:r>
              <w:rPr>
                <w:sz w:val="18"/>
              </w:rPr>
              <w:t>Commonwealth Grants Scheme #1</w:t>
            </w:r>
          </w:p>
        </w:tc>
        <w:tc>
          <w:tcPr>
            <w:tcW w:w="526" w:type="dxa"/>
          </w:tcPr>
          <w:p>
            <w:pPr/>
          </w:p>
        </w:tc>
        <w:tc>
          <w:tcPr>
            <w:tcW w:w="1626" w:type="dxa"/>
          </w:tcPr>
          <w:p>
            <w:pPr>
              <w:pStyle w:val="TableParagraph"/>
              <w:spacing w:before="36"/>
              <w:ind w:right="248"/>
              <w:jc w:val="right"/>
              <w:rPr>
                <w:b/>
                <w:sz w:val="18"/>
              </w:rPr>
            </w:pPr>
            <w:r>
              <w:rPr>
                <w:b/>
                <w:w w:val="95"/>
                <w:sz w:val="18"/>
              </w:rPr>
              <w:t>286,995</w:t>
            </w:r>
          </w:p>
        </w:tc>
        <w:tc>
          <w:tcPr>
            <w:tcW w:w="1387" w:type="dxa"/>
          </w:tcPr>
          <w:p>
            <w:pPr>
              <w:pStyle w:val="TableParagraph"/>
              <w:spacing w:before="36"/>
              <w:ind w:right="337"/>
              <w:jc w:val="right"/>
              <w:rPr>
                <w:sz w:val="18"/>
              </w:rPr>
            </w:pPr>
            <w:r>
              <w:rPr>
                <w:w w:val="95"/>
                <w:sz w:val="18"/>
              </w:rPr>
              <w:t>297,511</w:t>
            </w:r>
          </w:p>
        </w:tc>
        <w:tc>
          <w:tcPr>
            <w:tcW w:w="1373" w:type="dxa"/>
          </w:tcPr>
          <w:p>
            <w:pPr>
              <w:pStyle w:val="TableParagraph"/>
              <w:spacing w:before="36"/>
              <w:ind w:right="248"/>
              <w:jc w:val="right"/>
              <w:rPr>
                <w:b/>
                <w:sz w:val="18"/>
              </w:rPr>
            </w:pPr>
            <w:r>
              <w:rPr>
                <w:b/>
                <w:w w:val="95"/>
                <w:sz w:val="18"/>
              </w:rPr>
              <w:t>286,995</w:t>
            </w:r>
          </w:p>
        </w:tc>
        <w:tc>
          <w:tcPr>
            <w:tcW w:w="1136" w:type="dxa"/>
          </w:tcPr>
          <w:p>
            <w:pPr>
              <w:pStyle w:val="TableParagraph"/>
              <w:spacing w:before="36"/>
              <w:ind w:right="88"/>
              <w:jc w:val="right"/>
              <w:rPr>
                <w:sz w:val="18"/>
              </w:rPr>
            </w:pPr>
            <w:r>
              <w:rPr>
                <w:w w:val="95"/>
                <w:sz w:val="18"/>
              </w:rPr>
              <w:t>297,511</w:t>
            </w:r>
          </w:p>
        </w:tc>
      </w:tr>
      <w:tr>
        <w:trPr>
          <w:trHeight w:val="264" w:hRule="exact"/>
        </w:trPr>
        <w:tc>
          <w:tcPr>
            <w:tcW w:w="429" w:type="dxa"/>
            <w:vMerge/>
          </w:tcPr>
          <w:p>
            <w:pPr/>
          </w:p>
        </w:tc>
        <w:tc>
          <w:tcPr>
            <w:tcW w:w="3067" w:type="dxa"/>
          </w:tcPr>
          <w:p>
            <w:pPr>
              <w:pStyle w:val="TableParagraph"/>
              <w:spacing w:before="20"/>
              <w:ind w:left="199"/>
              <w:rPr>
                <w:sz w:val="18"/>
              </w:rPr>
            </w:pPr>
            <w:r>
              <w:rPr>
                <w:sz w:val="18"/>
              </w:rPr>
              <w:t>Access and Participation Fund</w:t>
            </w:r>
          </w:p>
        </w:tc>
        <w:tc>
          <w:tcPr>
            <w:tcW w:w="526" w:type="dxa"/>
          </w:tcPr>
          <w:p>
            <w:pPr/>
          </w:p>
        </w:tc>
        <w:tc>
          <w:tcPr>
            <w:tcW w:w="1626" w:type="dxa"/>
          </w:tcPr>
          <w:p>
            <w:pPr>
              <w:pStyle w:val="TableParagraph"/>
              <w:spacing w:before="18"/>
              <w:ind w:right="248"/>
              <w:jc w:val="right"/>
              <w:rPr>
                <w:b/>
                <w:sz w:val="18"/>
              </w:rPr>
            </w:pPr>
            <w:r>
              <w:rPr>
                <w:b/>
                <w:w w:val="95"/>
                <w:sz w:val="18"/>
              </w:rPr>
              <w:t>10,231</w:t>
            </w:r>
          </w:p>
        </w:tc>
        <w:tc>
          <w:tcPr>
            <w:tcW w:w="1387" w:type="dxa"/>
          </w:tcPr>
          <w:p>
            <w:pPr>
              <w:pStyle w:val="TableParagraph"/>
              <w:spacing w:before="18"/>
              <w:ind w:right="337"/>
              <w:jc w:val="right"/>
              <w:rPr>
                <w:sz w:val="18"/>
              </w:rPr>
            </w:pPr>
            <w:r>
              <w:rPr>
                <w:w w:val="95"/>
                <w:sz w:val="18"/>
              </w:rPr>
              <w:t>11,494</w:t>
            </w:r>
          </w:p>
        </w:tc>
        <w:tc>
          <w:tcPr>
            <w:tcW w:w="1373" w:type="dxa"/>
          </w:tcPr>
          <w:p>
            <w:pPr>
              <w:pStyle w:val="TableParagraph"/>
              <w:spacing w:before="18"/>
              <w:ind w:right="248"/>
              <w:jc w:val="right"/>
              <w:rPr>
                <w:b/>
                <w:sz w:val="18"/>
              </w:rPr>
            </w:pPr>
            <w:r>
              <w:rPr>
                <w:b/>
                <w:w w:val="95"/>
                <w:sz w:val="18"/>
              </w:rPr>
              <w:t>10,231</w:t>
            </w:r>
          </w:p>
        </w:tc>
        <w:tc>
          <w:tcPr>
            <w:tcW w:w="1136" w:type="dxa"/>
          </w:tcPr>
          <w:p>
            <w:pPr>
              <w:pStyle w:val="TableParagraph"/>
              <w:spacing w:before="18"/>
              <w:ind w:right="87"/>
              <w:jc w:val="right"/>
              <w:rPr>
                <w:sz w:val="18"/>
              </w:rPr>
            </w:pPr>
            <w:r>
              <w:rPr>
                <w:w w:val="95"/>
                <w:sz w:val="18"/>
              </w:rPr>
              <w:t>11,494</w:t>
            </w:r>
          </w:p>
        </w:tc>
      </w:tr>
      <w:tr>
        <w:trPr>
          <w:trHeight w:val="263" w:hRule="exact"/>
        </w:trPr>
        <w:tc>
          <w:tcPr>
            <w:tcW w:w="429" w:type="dxa"/>
            <w:vMerge/>
          </w:tcPr>
          <w:p>
            <w:pPr/>
          </w:p>
        </w:tc>
        <w:tc>
          <w:tcPr>
            <w:tcW w:w="3067" w:type="dxa"/>
          </w:tcPr>
          <w:p>
            <w:pPr>
              <w:pStyle w:val="TableParagraph"/>
              <w:spacing w:before="20"/>
              <w:ind w:left="199"/>
              <w:rPr>
                <w:sz w:val="18"/>
              </w:rPr>
            </w:pPr>
            <w:r>
              <w:rPr>
                <w:sz w:val="18"/>
              </w:rPr>
              <w:t>Disability Performance Funding #2</w:t>
            </w:r>
          </w:p>
        </w:tc>
        <w:tc>
          <w:tcPr>
            <w:tcW w:w="526" w:type="dxa"/>
          </w:tcPr>
          <w:p>
            <w:pPr/>
          </w:p>
        </w:tc>
        <w:tc>
          <w:tcPr>
            <w:tcW w:w="1626" w:type="dxa"/>
          </w:tcPr>
          <w:p>
            <w:pPr>
              <w:pStyle w:val="TableParagraph"/>
              <w:spacing w:before="18"/>
              <w:ind w:right="248"/>
              <w:jc w:val="right"/>
              <w:rPr>
                <w:b/>
                <w:sz w:val="18"/>
              </w:rPr>
            </w:pPr>
            <w:r>
              <w:rPr>
                <w:b/>
                <w:w w:val="95"/>
                <w:sz w:val="18"/>
              </w:rPr>
              <w:t>970</w:t>
            </w:r>
          </w:p>
        </w:tc>
        <w:tc>
          <w:tcPr>
            <w:tcW w:w="1387" w:type="dxa"/>
          </w:tcPr>
          <w:p>
            <w:pPr>
              <w:pStyle w:val="TableParagraph"/>
              <w:spacing w:before="18"/>
              <w:ind w:right="337"/>
              <w:jc w:val="right"/>
              <w:rPr>
                <w:sz w:val="18"/>
              </w:rPr>
            </w:pPr>
            <w:r>
              <w:rPr>
                <w:w w:val="95"/>
                <w:sz w:val="18"/>
              </w:rPr>
              <w:t>924</w:t>
            </w:r>
          </w:p>
        </w:tc>
        <w:tc>
          <w:tcPr>
            <w:tcW w:w="1373" w:type="dxa"/>
          </w:tcPr>
          <w:p>
            <w:pPr>
              <w:pStyle w:val="TableParagraph"/>
              <w:spacing w:before="18"/>
              <w:ind w:right="248"/>
              <w:jc w:val="right"/>
              <w:rPr>
                <w:b/>
                <w:sz w:val="18"/>
              </w:rPr>
            </w:pPr>
            <w:r>
              <w:rPr>
                <w:b/>
                <w:w w:val="95"/>
                <w:sz w:val="18"/>
              </w:rPr>
              <w:t>970</w:t>
            </w:r>
          </w:p>
        </w:tc>
        <w:tc>
          <w:tcPr>
            <w:tcW w:w="1136" w:type="dxa"/>
          </w:tcPr>
          <w:p>
            <w:pPr>
              <w:pStyle w:val="TableParagraph"/>
              <w:spacing w:before="18"/>
              <w:ind w:right="86"/>
              <w:jc w:val="right"/>
              <w:rPr>
                <w:sz w:val="18"/>
              </w:rPr>
            </w:pPr>
            <w:r>
              <w:rPr>
                <w:w w:val="95"/>
                <w:sz w:val="18"/>
              </w:rPr>
              <w:t>924</w:t>
            </w:r>
          </w:p>
        </w:tc>
      </w:tr>
      <w:tr>
        <w:trPr>
          <w:trHeight w:val="232" w:hRule="exact"/>
        </w:trPr>
        <w:tc>
          <w:tcPr>
            <w:tcW w:w="429" w:type="dxa"/>
            <w:vMerge/>
          </w:tcPr>
          <w:p>
            <w:pPr/>
          </w:p>
        </w:tc>
        <w:tc>
          <w:tcPr>
            <w:tcW w:w="3067" w:type="dxa"/>
          </w:tcPr>
          <w:p>
            <w:pPr>
              <w:pStyle w:val="TableParagraph"/>
              <w:spacing w:before="16"/>
              <w:ind w:left="199"/>
              <w:rPr>
                <w:sz w:val="18"/>
              </w:rPr>
            </w:pPr>
            <w:r>
              <w:rPr>
                <w:sz w:val="18"/>
              </w:rPr>
              <w:t>Indigenous Student Success</w:t>
            </w:r>
          </w:p>
        </w:tc>
        <w:tc>
          <w:tcPr>
            <w:tcW w:w="526" w:type="dxa"/>
          </w:tcPr>
          <w:p>
            <w:pPr/>
          </w:p>
        </w:tc>
        <w:tc>
          <w:tcPr>
            <w:tcW w:w="1626" w:type="dxa"/>
          </w:tcPr>
          <w:p>
            <w:pPr/>
          </w:p>
        </w:tc>
        <w:tc>
          <w:tcPr>
            <w:tcW w:w="1387" w:type="dxa"/>
          </w:tcPr>
          <w:p>
            <w:pPr/>
          </w:p>
        </w:tc>
        <w:tc>
          <w:tcPr>
            <w:tcW w:w="1373" w:type="dxa"/>
          </w:tcPr>
          <w:p>
            <w:pPr/>
          </w:p>
        </w:tc>
        <w:tc>
          <w:tcPr>
            <w:tcW w:w="1136" w:type="dxa"/>
          </w:tcPr>
          <w:p>
            <w:pPr/>
          </w:p>
        </w:tc>
      </w:tr>
      <w:tr>
        <w:trPr>
          <w:trHeight w:val="235" w:hRule="exact"/>
        </w:trPr>
        <w:tc>
          <w:tcPr>
            <w:tcW w:w="429" w:type="dxa"/>
            <w:vMerge/>
          </w:tcPr>
          <w:p>
            <w:pPr/>
          </w:p>
        </w:tc>
        <w:tc>
          <w:tcPr>
            <w:tcW w:w="3067" w:type="dxa"/>
          </w:tcPr>
          <w:p>
            <w:pPr>
              <w:pStyle w:val="TableParagraph"/>
              <w:spacing w:line="198" w:lineRule="exact"/>
              <w:ind w:left="199"/>
              <w:rPr>
                <w:sz w:val="18"/>
              </w:rPr>
            </w:pPr>
            <w:r>
              <w:rPr>
                <w:sz w:val="18"/>
              </w:rPr>
              <w:t>Program #3</w:t>
            </w:r>
          </w:p>
        </w:tc>
        <w:tc>
          <w:tcPr>
            <w:tcW w:w="526" w:type="dxa"/>
          </w:tcPr>
          <w:p>
            <w:pPr/>
          </w:p>
        </w:tc>
        <w:tc>
          <w:tcPr>
            <w:tcW w:w="1626" w:type="dxa"/>
          </w:tcPr>
          <w:p>
            <w:pPr>
              <w:pStyle w:val="TableParagraph"/>
              <w:spacing w:line="196" w:lineRule="exact"/>
              <w:ind w:right="248"/>
              <w:jc w:val="right"/>
              <w:rPr>
                <w:b/>
                <w:sz w:val="18"/>
              </w:rPr>
            </w:pPr>
            <w:r>
              <w:rPr>
                <w:b/>
                <w:w w:val="95"/>
                <w:sz w:val="18"/>
              </w:rPr>
              <w:t>2,643</w:t>
            </w:r>
          </w:p>
        </w:tc>
        <w:tc>
          <w:tcPr>
            <w:tcW w:w="1387" w:type="dxa"/>
          </w:tcPr>
          <w:p>
            <w:pPr>
              <w:pStyle w:val="TableParagraph"/>
              <w:spacing w:line="196" w:lineRule="exact"/>
              <w:ind w:right="337"/>
              <w:jc w:val="right"/>
              <w:rPr>
                <w:sz w:val="18"/>
              </w:rPr>
            </w:pPr>
            <w:r>
              <w:rPr>
                <w:w w:val="95"/>
                <w:sz w:val="18"/>
              </w:rPr>
              <w:t>1,927</w:t>
            </w:r>
          </w:p>
        </w:tc>
        <w:tc>
          <w:tcPr>
            <w:tcW w:w="1373" w:type="dxa"/>
          </w:tcPr>
          <w:p>
            <w:pPr>
              <w:pStyle w:val="TableParagraph"/>
              <w:spacing w:line="196" w:lineRule="exact"/>
              <w:ind w:right="248"/>
              <w:jc w:val="right"/>
              <w:rPr>
                <w:b/>
                <w:sz w:val="18"/>
              </w:rPr>
            </w:pPr>
            <w:r>
              <w:rPr>
                <w:b/>
                <w:w w:val="95"/>
                <w:sz w:val="18"/>
              </w:rPr>
              <w:t>2,643</w:t>
            </w:r>
          </w:p>
        </w:tc>
        <w:tc>
          <w:tcPr>
            <w:tcW w:w="1136" w:type="dxa"/>
          </w:tcPr>
          <w:p>
            <w:pPr>
              <w:pStyle w:val="TableParagraph"/>
              <w:spacing w:line="196" w:lineRule="exact"/>
              <w:ind w:right="87"/>
              <w:jc w:val="right"/>
              <w:rPr>
                <w:sz w:val="18"/>
              </w:rPr>
            </w:pPr>
            <w:r>
              <w:rPr>
                <w:w w:val="95"/>
                <w:sz w:val="18"/>
              </w:rPr>
              <w:t>1,927</w:t>
            </w:r>
          </w:p>
        </w:tc>
      </w:tr>
      <w:tr>
        <w:trPr>
          <w:trHeight w:val="263" w:hRule="exact"/>
        </w:trPr>
        <w:tc>
          <w:tcPr>
            <w:tcW w:w="429" w:type="dxa"/>
            <w:vMerge/>
          </w:tcPr>
          <w:p>
            <w:pPr/>
          </w:p>
        </w:tc>
        <w:tc>
          <w:tcPr>
            <w:tcW w:w="3067" w:type="dxa"/>
          </w:tcPr>
          <w:p>
            <w:pPr>
              <w:pStyle w:val="TableParagraph"/>
              <w:spacing w:before="20"/>
              <w:ind w:left="199"/>
              <w:rPr>
                <w:sz w:val="18"/>
              </w:rPr>
            </w:pPr>
            <w:r>
              <w:rPr>
                <w:sz w:val="18"/>
              </w:rPr>
              <w:t>National Priorities Pool</w:t>
            </w:r>
          </w:p>
        </w:tc>
        <w:tc>
          <w:tcPr>
            <w:tcW w:w="526" w:type="dxa"/>
          </w:tcPr>
          <w:p>
            <w:pPr/>
          </w:p>
        </w:tc>
        <w:tc>
          <w:tcPr>
            <w:tcW w:w="1626" w:type="dxa"/>
          </w:tcPr>
          <w:p>
            <w:pPr>
              <w:pStyle w:val="TableParagraph"/>
              <w:spacing w:before="18"/>
              <w:ind w:right="248"/>
              <w:jc w:val="right"/>
              <w:rPr>
                <w:b/>
                <w:sz w:val="18"/>
              </w:rPr>
            </w:pPr>
            <w:r>
              <w:rPr>
                <w:b/>
                <w:w w:val="95"/>
                <w:sz w:val="18"/>
              </w:rPr>
              <w:t>100</w:t>
            </w:r>
          </w:p>
        </w:tc>
        <w:tc>
          <w:tcPr>
            <w:tcW w:w="1387" w:type="dxa"/>
          </w:tcPr>
          <w:p>
            <w:pPr>
              <w:pStyle w:val="TableParagraph"/>
              <w:spacing w:before="18"/>
              <w:ind w:right="337"/>
              <w:jc w:val="right"/>
              <w:rPr>
                <w:sz w:val="18"/>
              </w:rPr>
            </w:pPr>
            <w:r>
              <w:rPr>
                <w:w w:val="95"/>
                <w:sz w:val="18"/>
              </w:rPr>
              <w:t>131</w:t>
            </w:r>
          </w:p>
        </w:tc>
        <w:tc>
          <w:tcPr>
            <w:tcW w:w="1373" w:type="dxa"/>
          </w:tcPr>
          <w:p>
            <w:pPr>
              <w:pStyle w:val="TableParagraph"/>
              <w:spacing w:before="18"/>
              <w:ind w:right="248"/>
              <w:jc w:val="right"/>
              <w:rPr>
                <w:b/>
                <w:sz w:val="18"/>
              </w:rPr>
            </w:pPr>
            <w:r>
              <w:rPr>
                <w:b/>
                <w:w w:val="95"/>
                <w:sz w:val="18"/>
              </w:rPr>
              <w:t>100</w:t>
            </w:r>
          </w:p>
        </w:tc>
        <w:tc>
          <w:tcPr>
            <w:tcW w:w="1136" w:type="dxa"/>
          </w:tcPr>
          <w:p>
            <w:pPr>
              <w:pStyle w:val="TableParagraph"/>
              <w:spacing w:before="18"/>
              <w:ind w:right="86"/>
              <w:jc w:val="right"/>
              <w:rPr>
                <w:sz w:val="18"/>
              </w:rPr>
            </w:pPr>
            <w:r>
              <w:rPr>
                <w:w w:val="95"/>
                <w:sz w:val="18"/>
              </w:rPr>
              <w:t>131</w:t>
            </w:r>
          </w:p>
        </w:tc>
      </w:tr>
      <w:tr>
        <w:trPr>
          <w:trHeight w:val="232" w:hRule="exact"/>
        </w:trPr>
        <w:tc>
          <w:tcPr>
            <w:tcW w:w="429" w:type="dxa"/>
            <w:vMerge/>
          </w:tcPr>
          <w:p>
            <w:pPr/>
          </w:p>
        </w:tc>
        <w:tc>
          <w:tcPr>
            <w:tcW w:w="3067" w:type="dxa"/>
          </w:tcPr>
          <w:p>
            <w:pPr>
              <w:pStyle w:val="TableParagraph"/>
              <w:spacing w:before="16"/>
              <w:ind w:left="199"/>
              <w:rPr>
                <w:sz w:val="18"/>
              </w:rPr>
            </w:pPr>
            <w:bookmarkStart w:name="(b) Higher Education Loan Programs" w:id="60"/>
            <w:bookmarkEnd w:id="60"/>
            <w:r>
              <w:rPr/>
            </w:r>
            <w:r>
              <w:rPr>
                <w:sz w:val="18"/>
              </w:rPr>
              <w:t>Promotion of Excellence in</w:t>
            </w:r>
          </w:p>
        </w:tc>
        <w:tc>
          <w:tcPr>
            <w:tcW w:w="526" w:type="dxa"/>
          </w:tcPr>
          <w:p>
            <w:pPr/>
          </w:p>
        </w:tc>
        <w:tc>
          <w:tcPr>
            <w:tcW w:w="1626" w:type="dxa"/>
          </w:tcPr>
          <w:p>
            <w:pPr/>
          </w:p>
        </w:tc>
        <w:tc>
          <w:tcPr>
            <w:tcW w:w="1387" w:type="dxa"/>
          </w:tcPr>
          <w:p>
            <w:pPr/>
          </w:p>
        </w:tc>
        <w:tc>
          <w:tcPr>
            <w:tcW w:w="1373" w:type="dxa"/>
          </w:tcPr>
          <w:p>
            <w:pPr/>
          </w:p>
        </w:tc>
        <w:tc>
          <w:tcPr>
            <w:tcW w:w="1136" w:type="dxa"/>
          </w:tcPr>
          <w:p>
            <w:pPr/>
          </w:p>
        </w:tc>
      </w:tr>
      <w:tr>
        <w:trPr>
          <w:trHeight w:val="231" w:hRule="exact"/>
        </w:trPr>
        <w:tc>
          <w:tcPr>
            <w:tcW w:w="429" w:type="dxa"/>
            <w:vMerge/>
          </w:tcPr>
          <w:p>
            <w:pPr/>
          </w:p>
        </w:tc>
        <w:tc>
          <w:tcPr>
            <w:tcW w:w="3067" w:type="dxa"/>
          </w:tcPr>
          <w:p>
            <w:pPr>
              <w:pStyle w:val="TableParagraph"/>
              <w:spacing w:line="198" w:lineRule="exact"/>
              <w:ind w:left="199"/>
              <w:rPr>
                <w:sz w:val="18"/>
              </w:rPr>
            </w:pPr>
            <w:r>
              <w:rPr>
                <w:sz w:val="18"/>
              </w:rPr>
              <w:t>Learning and Teaching</w:t>
            </w:r>
          </w:p>
        </w:tc>
        <w:tc>
          <w:tcPr>
            <w:tcW w:w="526" w:type="dxa"/>
          </w:tcPr>
          <w:p>
            <w:pPr/>
          </w:p>
        </w:tc>
        <w:tc>
          <w:tcPr>
            <w:tcW w:w="1626" w:type="dxa"/>
            <w:tcBorders>
              <w:bottom w:val="single" w:sz="1" w:space="0" w:color="000000"/>
            </w:tcBorders>
          </w:tcPr>
          <w:p>
            <w:pPr>
              <w:pStyle w:val="TableParagraph"/>
              <w:spacing w:line="196" w:lineRule="exact"/>
              <w:ind w:right="248"/>
              <w:jc w:val="right"/>
              <w:rPr>
                <w:b/>
                <w:sz w:val="18"/>
              </w:rPr>
            </w:pPr>
            <w:r>
              <w:rPr>
                <w:b/>
                <w:sz w:val="18"/>
              </w:rPr>
              <w:t>31</w:t>
            </w:r>
          </w:p>
        </w:tc>
        <w:tc>
          <w:tcPr>
            <w:tcW w:w="1387" w:type="dxa"/>
            <w:tcBorders>
              <w:bottom w:val="single" w:sz="1" w:space="0" w:color="000000"/>
            </w:tcBorders>
          </w:tcPr>
          <w:p>
            <w:pPr>
              <w:pStyle w:val="TableParagraph"/>
              <w:spacing w:line="196" w:lineRule="exact"/>
              <w:ind w:right="337"/>
              <w:jc w:val="right"/>
              <w:rPr>
                <w:sz w:val="18"/>
              </w:rPr>
            </w:pPr>
            <w:r>
              <w:rPr>
                <w:w w:val="95"/>
                <w:sz w:val="18"/>
              </w:rPr>
              <w:t>155</w:t>
            </w:r>
          </w:p>
        </w:tc>
        <w:tc>
          <w:tcPr>
            <w:tcW w:w="1373" w:type="dxa"/>
            <w:tcBorders>
              <w:bottom w:val="single" w:sz="1" w:space="0" w:color="000000"/>
            </w:tcBorders>
          </w:tcPr>
          <w:p>
            <w:pPr>
              <w:pStyle w:val="TableParagraph"/>
              <w:spacing w:line="196" w:lineRule="exact"/>
              <w:ind w:right="248"/>
              <w:jc w:val="right"/>
              <w:rPr>
                <w:b/>
                <w:sz w:val="18"/>
              </w:rPr>
            </w:pPr>
            <w:r>
              <w:rPr>
                <w:b/>
                <w:sz w:val="18"/>
              </w:rPr>
              <w:t>31</w:t>
            </w:r>
          </w:p>
        </w:tc>
        <w:tc>
          <w:tcPr>
            <w:tcW w:w="1136" w:type="dxa"/>
            <w:tcBorders>
              <w:bottom w:val="single" w:sz="1" w:space="0" w:color="000000"/>
            </w:tcBorders>
          </w:tcPr>
          <w:p>
            <w:pPr>
              <w:pStyle w:val="TableParagraph"/>
              <w:spacing w:line="196" w:lineRule="exact"/>
              <w:ind w:right="86"/>
              <w:jc w:val="right"/>
              <w:rPr>
                <w:sz w:val="18"/>
              </w:rPr>
            </w:pPr>
            <w:r>
              <w:rPr>
                <w:w w:val="95"/>
                <w:sz w:val="18"/>
              </w:rPr>
              <w:t>155</w:t>
            </w:r>
          </w:p>
        </w:tc>
      </w:tr>
      <w:tr>
        <w:trPr>
          <w:trHeight w:val="328" w:hRule="exact"/>
        </w:trPr>
        <w:tc>
          <w:tcPr>
            <w:tcW w:w="429" w:type="dxa"/>
            <w:vMerge/>
          </w:tcPr>
          <w:p>
            <w:pPr/>
          </w:p>
        </w:tc>
        <w:tc>
          <w:tcPr>
            <w:tcW w:w="3067" w:type="dxa"/>
          </w:tcPr>
          <w:p>
            <w:pPr>
              <w:pStyle w:val="TableParagraph"/>
              <w:spacing w:before="125"/>
              <w:ind w:left="199"/>
              <w:rPr>
                <w:b/>
                <w:sz w:val="18"/>
              </w:rPr>
            </w:pPr>
            <w:r>
              <w:rPr>
                <w:b/>
                <w:sz w:val="18"/>
              </w:rPr>
              <w:t>Total Commonwealth Grants</w:t>
            </w:r>
          </w:p>
        </w:tc>
        <w:tc>
          <w:tcPr>
            <w:tcW w:w="526" w:type="dxa"/>
          </w:tcPr>
          <w:p>
            <w:pPr/>
          </w:p>
        </w:tc>
        <w:tc>
          <w:tcPr>
            <w:tcW w:w="1626" w:type="dxa"/>
            <w:tcBorders>
              <w:top w:val="single" w:sz="1" w:space="0" w:color="000000"/>
            </w:tcBorders>
          </w:tcPr>
          <w:p>
            <w:pPr/>
          </w:p>
        </w:tc>
        <w:tc>
          <w:tcPr>
            <w:tcW w:w="1387" w:type="dxa"/>
            <w:tcBorders>
              <w:top w:val="single" w:sz="1" w:space="0" w:color="000000"/>
            </w:tcBorders>
          </w:tcPr>
          <w:p>
            <w:pPr/>
          </w:p>
        </w:tc>
        <w:tc>
          <w:tcPr>
            <w:tcW w:w="1373" w:type="dxa"/>
            <w:tcBorders>
              <w:top w:val="single" w:sz="1" w:space="0" w:color="000000"/>
            </w:tcBorders>
          </w:tcPr>
          <w:p>
            <w:pPr/>
          </w:p>
        </w:tc>
        <w:tc>
          <w:tcPr>
            <w:tcW w:w="1136" w:type="dxa"/>
            <w:tcBorders>
              <w:top w:val="single" w:sz="1" w:space="0" w:color="000000"/>
            </w:tcBorders>
          </w:tcPr>
          <w:p>
            <w:pPr/>
          </w:p>
        </w:tc>
      </w:tr>
      <w:tr>
        <w:trPr>
          <w:trHeight w:val="231" w:hRule="exact"/>
        </w:trPr>
        <w:tc>
          <w:tcPr>
            <w:tcW w:w="429" w:type="dxa"/>
            <w:vMerge/>
          </w:tcPr>
          <w:p>
            <w:pPr/>
          </w:p>
        </w:tc>
        <w:tc>
          <w:tcPr>
            <w:tcW w:w="3067" w:type="dxa"/>
          </w:tcPr>
          <w:p>
            <w:pPr>
              <w:pStyle w:val="TableParagraph"/>
              <w:spacing w:before="3"/>
              <w:ind w:left="199"/>
              <w:rPr>
                <w:b/>
                <w:sz w:val="18"/>
              </w:rPr>
            </w:pPr>
            <w:r>
              <w:rPr>
                <w:b/>
                <w:sz w:val="18"/>
              </w:rPr>
              <w:t>Scheme and Other Grants</w:t>
            </w:r>
          </w:p>
        </w:tc>
        <w:tc>
          <w:tcPr>
            <w:tcW w:w="526" w:type="dxa"/>
          </w:tcPr>
          <w:p>
            <w:pPr>
              <w:pStyle w:val="TableParagraph"/>
              <w:spacing w:line="184" w:lineRule="exact"/>
              <w:ind w:left="33" w:right="31"/>
              <w:jc w:val="center"/>
              <w:rPr>
                <w:sz w:val="18"/>
              </w:rPr>
            </w:pPr>
            <w:r>
              <w:rPr>
                <w:sz w:val="18"/>
              </w:rPr>
              <w:t>40(a)</w:t>
            </w:r>
          </w:p>
        </w:tc>
        <w:tc>
          <w:tcPr>
            <w:tcW w:w="1626" w:type="dxa"/>
            <w:tcBorders>
              <w:bottom w:val="single" w:sz="1" w:space="0" w:color="000000"/>
            </w:tcBorders>
          </w:tcPr>
          <w:p>
            <w:pPr>
              <w:pStyle w:val="TableParagraph"/>
              <w:spacing w:before="3"/>
              <w:ind w:right="248"/>
              <w:jc w:val="right"/>
              <w:rPr>
                <w:b/>
                <w:sz w:val="18"/>
              </w:rPr>
            </w:pPr>
            <w:r>
              <w:rPr>
                <w:b/>
                <w:w w:val="95"/>
                <w:sz w:val="18"/>
              </w:rPr>
              <w:t>300,970</w:t>
            </w:r>
          </w:p>
        </w:tc>
        <w:tc>
          <w:tcPr>
            <w:tcW w:w="1387" w:type="dxa"/>
            <w:tcBorders>
              <w:bottom w:val="single" w:sz="1" w:space="0" w:color="000000"/>
            </w:tcBorders>
          </w:tcPr>
          <w:p>
            <w:pPr>
              <w:pStyle w:val="TableParagraph"/>
              <w:spacing w:before="3"/>
              <w:ind w:right="337"/>
              <w:jc w:val="right"/>
              <w:rPr>
                <w:sz w:val="18"/>
              </w:rPr>
            </w:pPr>
            <w:r>
              <w:rPr>
                <w:w w:val="95"/>
                <w:sz w:val="18"/>
              </w:rPr>
              <w:t>312,142</w:t>
            </w:r>
          </w:p>
        </w:tc>
        <w:tc>
          <w:tcPr>
            <w:tcW w:w="1373" w:type="dxa"/>
            <w:tcBorders>
              <w:bottom w:val="single" w:sz="1" w:space="0" w:color="000000"/>
            </w:tcBorders>
          </w:tcPr>
          <w:p>
            <w:pPr>
              <w:pStyle w:val="TableParagraph"/>
              <w:spacing w:before="3"/>
              <w:ind w:right="248"/>
              <w:jc w:val="right"/>
              <w:rPr>
                <w:b/>
                <w:sz w:val="18"/>
              </w:rPr>
            </w:pPr>
            <w:r>
              <w:rPr>
                <w:b/>
                <w:w w:val="95"/>
                <w:sz w:val="18"/>
              </w:rPr>
              <w:t>300,970</w:t>
            </w:r>
          </w:p>
        </w:tc>
        <w:tc>
          <w:tcPr>
            <w:tcW w:w="1136" w:type="dxa"/>
            <w:tcBorders>
              <w:bottom w:val="single" w:sz="1" w:space="0" w:color="000000"/>
            </w:tcBorders>
          </w:tcPr>
          <w:p>
            <w:pPr>
              <w:pStyle w:val="TableParagraph"/>
              <w:spacing w:before="3"/>
              <w:ind w:right="88"/>
              <w:jc w:val="right"/>
              <w:rPr>
                <w:sz w:val="18"/>
              </w:rPr>
            </w:pPr>
            <w:r>
              <w:rPr>
                <w:w w:val="95"/>
                <w:sz w:val="18"/>
              </w:rPr>
              <w:t>312,142</w:t>
            </w:r>
          </w:p>
        </w:tc>
      </w:tr>
      <w:tr>
        <w:trPr>
          <w:trHeight w:val="567" w:hRule="exact"/>
        </w:trPr>
        <w:tc>
          <w:tcPr>
            <w:tcW w:w="429" w:type="dxa"/>
          </w:tcPr>
          <w:p>
            <w:pPr>
              <w:pStyle w:val="TableParagraph"/>
              <w:rPr>
                <w:b/>
                <w:sz w:val="18"/>
              </w:rPr>
            </w:pPr>
          </w:p>
          <w:p>
            <w:pPr>
              <w:pStyle w:val="TableParagraph"/>
              <w:spacing w:before="127"/>
              <w:ind w:left="35"/>
              <w:rPr>
                <w:sz w:val="18"/>
              </w:rPr>
            </w:pPr>
            <w:r>
              <w:rPr>
                <w:sz w:val="18"/>
              </w:rPr>
              <w:t>(b)</w:t>
            </w:r>
          </w:p>
        </w:tc>
        <w:tc>
          <w:tcPr>
            <w:tcW w:w="3067" w:type="dxa"/>
          </w:tcPr>
          <w:p>
            <w:pPr>
              <w:pStyle w:val="TableParagraph"/>
              <w:rPr>
                <w:b/>
                <w:sz w:val="18"/>
              </w:rPr>
            </w:pPr>
          </w:p>
          <w:p>
            <w:pPr>
              <w:pStyle w:val="TableParagraph"/>
              <w:spacing w:before="127"/>
              <w:ind w:left="172"/>
              <w:rPr>
                <w:sz w:val="18"/>
              </w:rPr>
            </w:pPr>
            <w:r>
              <w:rPr>
                <w:sz w:val="18"/>
              </w:rPr>
              <w:t>Higher Education Loan Programs</w:t>
            </w:r>
          </w:p>
        </w:tc>
        <w:tc>
          <w:tcPr>
            <w:tcW w:w="526" w:type="dxa"/>
          </w:tcPr>
          <w:p>
            <w:pPr/>
          </w:p>
        </w:tc>
        <w:tc>
          <w:tcPr>
            <w:tcW w:w="1626" w:type="dxa"/>
            <w:tcBorders>
              <w:top w:val="single" w:sz="1" w:space="0" w:color="000000"/>
            </w:tcBorders>
          </w:tcPr>
          <w:p>
            <w:pPr/>
          </w:p>
        </w:tc>
        <w:tc>
          <w:tcPr>
            <w:tcW w:w="1387" w:type="dxa"/>
            <w:tcBorders>
              <w:top w:val="single" w:sz="1" w:space="0" w:color="000000"/>
            </w:tcBorders>
          </w:tcPr>
          <w:p>
            <w:pPr/>
          </w:p>
        </w:tc>
        <w:tc>
          <w:tcPr>
            <w:tcW w:w="1373" w:type="dxa"/>
            <w:tcBorders>
              <w:top w:val="single" w:sz="1" w:space="0" w:color="000000"/>
            </w:tcBorders>
          </w:tcPr>
          <w:p>
            <w:pPr/>
          </w:p>
        </w:tc>
        <w:tc>
          <w:tcPr>
            <w:tcW w:w="1136" w:type="dxa"/>
            <w:tcBorders>
              <w:top w:val="single" w:sz="1" w:space="0" w:color="000000"/>
            </w:tcBorders>
          </w:tcPr>
          <w:p>
            <w:pPr/>
          </w:p>
        </w:tc>
      </w:tr>
      <w:tr>
        <w:trPr>
          <w:trHeight w:val="253" w:hRule="exact"/>
        </w:trPr>
        <w:tc>
          <w:tcPr>
            <w:tcW w:w="429" w:type="dxa"/>
          </w:tcPr>
          <w:p>
            <w:pPr/>
          </w:p>
        </w:tc>
        <w:tc>
          <w:tcPr>
            <w:tcW w:w="3067" w:type="dxa"/>
          </w:tcPr>
          <w:p>
            <w:pPr>
              <w:pStyle w:val="TableParagraph"/>
              <w:spacing w:before="9"/>
              <w:ind w:left="196"/>
              <w:rPr>
                <w:sz w:val="18"/>
              </w:rPr>
            </w:pPr>
            <w:r>
              <w:rPr>
                <w:sz w:val="18"/>
              </w:rPr>
              <w:t>HECS - HELP</w:t>
            </w:r>
          </w:p>
        </w:tc>
        <w:tc>
          <w:tcPr>
            <w:tcW w:w="526" w:type="dxa"/>
          </w:tcPr>
          <w:p>
            <w:pPr/>
          </w:p>
        </w:tc>
        <w:tc>
          <w:tcPr>
            <w:tcW w:w="1626" w:type="dxa"/>
          </w:tcPr>
          <w:p>
            <w:pPr>
              <w:pStyle w:val="TableParagraph"/>
              <w:spacing w:before="7"/>
              <w:ind w:right="246"/>
              <w:jc w:val="right"/>
              <w:rPr>
                <w:b/>
                <w:sz w:val="18"/>
              </w:rPr>
            </w:pPr>
            <w:r>
              <w:rPr>
                <w:b/>
                <w:w w:val="95"/>
                <w:sz w:val="18"/>
              </w:rPr>
              <w:t>199,580</w:t>
            </w:r>
          </w:p>
        </w:tc>
        <w:tc>
          <w:tcPr>
            <w:tcW w:w="1387" w:type="dxa"/>
          </w:tcPr>
          <w:p>
            <w:pPr>
              <w:pStyle w:val="TableParagraph"/>
              <w:spacing w:before="7"/>
              <w:ind w:right="335"/>
              <w:jc w:val="right"/>
              <w:rPr>
                <w:sz w:val="18"/>
              </w:rPr>
            </w:pPr>
            <w:r>
              <w:rPr>
                <w:w w:val="95"/>
                <w:sz w:val="18"/>
              </w:rPr>
              <w:t>204,836</w:t>
            </w:r>
          </w:p>
        </w:tc>
        <w:tc>
          <w:tcPr>
            <w:tcW w:w="1373" w:type="dxa"/>
          </w:tcPr>
          <w:p>
            <w:pPr>
              <w:pStyle w:val="TableParagraph"/>
              <w:spacing w:before="7"/>
              <w:ind w:right="246"/>
              <w:jc w:val="right"/>
              <w:rPr>
                <w:b/>
                <w:sz w:val="18"/>
              </w:rPr>
            </w:pPr>
            <w:r>
              <w:rPr>
                <w:b/>
                <w:w w:val="95"/>
                <w:sz w:val="18"/>
              </w:rPr>
              <w:t>199,580</w:t>
            </w:r>
          </w:p>
        </w:tc>
        <w:tc>
          <w:tcPr>
            <w:tcW w:w="1136" w:type="dxa"/>
          </w:tcPr>
          <w:p>
            <w:pPr>
              <w:pStyle w:val="TableParagraph"/>
              <w:spacing w:before="7"/>
              <w:ind w:right="84"/>
              <w:jc w:val="right"/>
              <w:rPr>
                <w:sz w:val="18"/>
              </w:rPr>
            </w:pPr>
            <w:r>
              <w:rPr>
                <w:w w:val="95"/>
                <w:sz w:val="18"/>
              </w:rPr>
              <w:t>204,836</w:t>
            </w:r>
          </w:p>
        </w:tc>
      </w:tr>
      <w:tr>
        <w:trPr>
          <w:trHeight w:val="264" w:hRule="exact"/>
        </w:trPr>
        <w:tc>
          <w:tcPr>
            <w:tcW w:w="429" w:type="dxa"/>
          </w:tcPr>
          <w:p>
            <w:pPr/>
          </w:p>
        </w:tc>
        <w:tc>
          <w:tcPr>
            <w:tcW w:w="3067" w:type="dxa"/>
          </w:tcPr>
          <w:p>
            <w:pPr>
              <w:pStyle w:val="TableParagraph"/>
              <w:spacing w:before="20"/>
              <w:ind w:left="196"/>
              <w:rPr>
                <w:sz w:val="18"/>
              </w:rPr>
            </w:pPr>
            <w:bookmarkStart w:name="(c) Education Research" w:id="61"/>
            <w:bookmarkEnd w:id="61"/>
            <w:r>
              <w:rPr/>
            </w:r>
            <w:r>
              <w:rPr>
                <w:sz w:val="18"/>
              </w:rPr>
              <w:t>FEE - HELP #4</w:t>
            </w:r>
          </w:p>
        </w:tc>
        <w:tc>
          <w:tcPr>
            <w:tcW w:w="526" w:type="dxa"/>
          </w:tcPr>
          <w:p>
            <w:pPr/>
          </w:p>
        </w:tc>
        <w:tc>
          <w:tcPr>
            <w:tcW w:w="1626" w:type="dxa"/>
          </w:tcPr>
          <w:p>
            <w:pPr>
              <w:pStyle w:val="TableParagraph"/>
              <w:spacing w:before="18"/>
              <w:ind w:right="246"/>
              <w:jc w:val="right"/>
              <w:rPr>
                <w:b/>
                <w:sz w:val="18"/>
              </w:rPr>
            </w:pPr>
            <w:r>
              <w:rPr>
                <w:b/>
                <w:w w:val="95"/>
                <w:sz w:val="18"/>
              </w:rPr>
              <w:t>12,286</w:t>
            </w:r>
          </w:p>
        </w:tc>
        <w:tc>
          <w:tcPr>
            <w:tcW w:w="1387" w:type="dxa"/>
          </w:tcPr>
          <w:p>
            <w:pPr>
              <w:pStyle w:val="TableParagraph"/>
              <w:spacing w:before="18"/>
              <w:ind w:right="335"/>
              <w:jc w:val="right"/>
              <w:rPr>
                <w:sz w:val="18"/>
              </w:rPr>
            </w:pPr>
            <w:r>
              <w:rPr>
                <w:w w:val="95"/>
                <w:sz w:val="18"/>
              </w:rPr>
              <w:t>11,862</w:t>
            </w:r>
          </w:p>
        </w:tc>
        <w:tc>
          <w:tcPr>
            <w:tcW w:w="1373" w:type="dxa"/>
          </w:tcPr>
          <w:p>
            <w:pPr>
              <w:pStyle w:val="TableParagraph"/>
              <w:spacing w:before="18"/>
              <w:ind w:right="246"/>
              <w:jc w:val="right"/>
              <w:rPr>
                <w:b/>
                <w:sz w:val="18"/>
              </w:rPr>
            </w:pPr>
            <w:r>
              <w:rPr>
                <w:b/>
                <w:w w:val="95"/>
                <w:sz w:val="18"/>
              </w:rPr>
              <w:t>12,286</w:t>
            </w:r>
          </w:p>
        </w:tc>
        <w:tc>
          <w:tcPr>
            <w:tcW w:w="1136" w:type="dxa"/>
          </w:tcPr>
          <w:p>
            <w:pPr>
              <w:pStyle w:val="TableParagraph"/>
              <w:spacing w:before="18"/>
              <w:ind w:right="84"/>
              <w:jc w:val="right"/>
              <w:rPr>
                <w:sz w:val="18"/>
              </w:rPr>
            </w:pPr>
            <w:r>
              <w:rPr>
                <w:w w:val="95"/>
                <w:sz w:val="18"/>
              </w:rPr>
              <w:t>11,862</w:t>
            </w:r>
          </w:p>
        </w:tc>
      </w:tr>
      <w:tr>
        <w:trPr>
          <w:trHeight w:val="260" w:hRule="exact"/>
        </w:trPr>
        <w:tc>
          <w:tcPr>
            <w:tcW w:w="429" w:type="dxa"/>
          </w:tcPr>
          <w:p>
            <w:pPr/>
          </w:p>
        </w:tc>
        <w:tc>
          <w:tcPr>
            <w:tcW w:w="3067" w:type="dxa"/>
          </w:tcPr>
          <w:p>
            <w:pPr>
              <w:pStyle w:val="TableParagraph"/>
              <w:spacing w:before="20"/>
              <w:ind w:left="196"/>
              <w:rPr>
                <w:sz w:val="18"/>
              </w:rPr>
            </w:pPr>
            <w:r>
              <w:rPr>
                <w:sz w:val="18"/>
              </w:rPr>
              <w:t>SA - HELP</w:t>
            </w:r>
          </w:p>
        </w:tc>
        <w:tc>
          <w:tcPr>
            <w:tcW w:w="526" w:type="dxa"/>
          </w:tcPr>
          <w:p>
            <w:pPr/>
          </w:p>
        </w:tc>
        <w:tc>
          <w:tcPr>
            <w:tcW w:w="1626" w:type="dxa"/>
            <w:tcBorders>
              <w:bottom w:val="single" w:sz="1" w:space="0" w:color="000000"/>
            </w:tcBorders>
          </w:tcPr>
          <w:p>
            <w:pPr>
              <w:pStyle w:val="TableParagraph"/>
              <w:spacing w:before="18"/>
              <w:ind w:right="246"/>
              <w:jc w:val="right"/>
              <w:rPr>
                <w:b/>
                <w:sz w:val="18"/>
              </w:rPr>
            </w:pPr>
            <w:r>
              <w:rPr>
                <w:b/>
                <w:w w:val="95"/>
                <w:sz w:val="18"/>
              </w:rPr>
              <w:t>6,884</w:t>
            </w:r>
          </w:p>
        </w:tc>
        <w:tc>
          <w:tcPr>
            <w:tcW w:w="1387" w:type="dxa"/>
            <w:tcBorders>
              <w:bottom w:val="single" w:sz="1" w:space="0" w:color="000000"/>
            </w:tcBorders>
          </w:tcPr>
          <w:p>
            <w:pPr>
              <w:pStyle w:val="TableParagraph"/>
              <w:spacing w:before="18"/>
              <w:ind w:right="335"/>
              <w:jc w:val="right"/>
              <w:rPr>
                <w:sz w:val="18"/>
              </w:rPr>
            </w:pPr>
            <w:r>
              <w:rPr>
                <w:w w:val="95"/>
                <w:sz w:val="18"/>
              </w:rPr>
              <w:t>7,059</w:t>
            </w:r>
          </w:p>
        </w:tc>
        <w:tc>
          <w:tcPr>
            <w:tcW w:w="1373" w:type="dxa"/>
            <w:tcBorders>
              <w:bottom w:val="single" w:sz="1" w:space="0" w:color="000000"/>
            </w:tcBorders>
          </w:tcPr>
          <w:p>
            <w:pPr>
              <w:pStyle w:val="TableParagraph"/>
              <w:spacing w:before="18"/>
              <w:ind w:right="246"/>
              <w:jc w:val="right"/>
              <w:rPr>
                <w:b/>
                <w:sz w:val="18"/>
              </w:rPr>
            </w:pPr>
            <w:r>
              <w:rPr>
                <w:b/>
                <w:w w:val="95"/>
                <w:sz w:val="18"/>
              </w:rPr>
              <w:t>6,884</w:t>
            </w:r>
          </w:p>
        </w:tc>
        <w:tc>
          <w:tcPr>
            <w:tcW w:w="1136" w:type="dxa"/>
            <w:tcBorders>
              <w:bottom w:val="single" w:sz="1" w:space="0" w:color="000000"/>
            </w:tcBorders>
          </w:tcPr>
          <w:p>
            <w:pPr>
              <w:pStyle w:val="TableParagraph"/>
              <w:spacing w:before="18"/>
              <w:ind w:right="84"/>
              <w:jc w:val="right"/>
              <w:rPr>
                <w:sz w:val="18"/>
              </w:rPr>
            </w:pPr>
            <w:r>
              <w:rPr>
                <w:w w:val="95"/>
                <w:sz w:val="18"/>
              </w:rPr>
              <w:t>7,059</w:t>
            </w:r>
          </w:p>
        </w:tc>
      </w:tr>
      <w:tr>
        <w:trPr>
          <w:trHeight w:val="341" w:hRule="exact"/>
        </w:trPr>
        <w:tc>
          <w:tcPr>
            <w:tcW w:w="429" w:type="dxa"/>
          </w:tcPr>
          <w:p>
            <w:pPr/>
          </w:p>
        </w:tc>
        <w:tc>
          <w:tcPr>
            <w:tcW w:w="3067" w:type="dxa"/>
          </w:tcPr>
          <w:p>
            <w:pPr>
              <w:pStyle w:val="TableParagraph"/>
              <w:spacing w:before="125"/>
              <w:ind w:left="196"/>
              <w:rPr>
                <w:b/>
                <w:sz w:val="18"/>
              </w:rPr>
            </w:pPr>
            <w:r>
              <w:rPr>
                <w:b/>
                <w:sz w:val="18"/>
              </w:rPr>
              <w:t>Total Higher Education Loan</w:t>
            </w:r>
          </w:p>
        </w:tc>
        <w:tc>
          <w:tcPr>
            <w:tcW w:w="526" w:type="dxa"/>
          </w:tcPr>
          <w:p>
            <w:pPr/>
          </w:p>
        </w:tc>
        <w:tc>
          <w:tcPr>
            <w:tcW w:w="1626" w:type="dxa"/>
            <w:tcBorders>
              <w:top w:val="single" w:sz="1" w:space="0" w:color="000000"/>
            </w:tcBorders>
          </w:tcPr>
          <w:p>
            <w:pPr/>
          </w:p>
        </w:tc>
        <w:tc>
          <w:tcPr>
            <w:tcW w:w="1387" w:type="dxa"/>
            <w:tcBorders>
              <w:top w:val="single" w:sz="1" w:space="0" w:color="000000"/>
            </w:tcBorders>
          </w:tcPr>
          <w:p>
            <w:pPr/>
          </w:p>
        </w:tc>
        <w:tc>
          <w:tcPr>
            <w:tcW w:w="1373" w:type="dxa"/>
            <w:tcBorders>
              <w:top w:val="single" w:sz="1" w:space="0" w:color="000000"/>
            </w:tcBorders>
          </w:tcPr>
          <w:p>
            <w:pPr/>
          </w:p>
        </w:tc>
        <w:tc>
          <w:tcPr>
            <w:tcW w:w="1136" w:type="dxa"/>
            <w:tcBorders>
              <w:top w:val="single" w:sz="1" w:space="0" w:color="000000"/>
            </w:tcBorders>
          </w:tcPr>
          <w:p>
            <w:pPr/>
          </w:p>
        </w:tc>
      </w:tr>
      <w:tr>
        <w:trPr>
          <w:trHeight w:val="218" w:hRule="exact"/>
        </w:trPr>
        <w:tc>
          <w:tcPr>
            <w:tcW w:w="5647" w:type="dxa"/>
            <w:gridSpan w:val="4"/>
          </w:tcPr>
          <w:p>
            <w:pPr>
              <w:pStyle w:val="TableParagraph"/>
              <w:tabs>
                <w:tab w:pos="3452" w:val="left" w:leader="none"/>
                <w:tab w:pos="4743" w:val="left" w:leader="none"/>
              </w:tabs>
              <w:spacing w:line="184" w:lineRule="exact"/>
              <w:ind w:left="625"/>
              <w:rPr>
                <w:b/>
                <w:sz w:val="18"/>
              </w:rPr>
            </w:pPr>
            <w:r>
              <w:rPr>
                <w:b/>
                <w:sz w:val="18"/>
              </w:rPr>
              <w:t>Programs</w:t>
              <w:tab/>
            </w:r>
            <w:r>
              <w:rPr>
                <w:position w:val="3"/>
                <w:sz w:val="18"/>
              </w:rPr>
              <w:t>40(b)</w:t>
              <w:tab/>
            </w:r>
            <w:r>
              <w:rPr>
                <w:b/>
                <w:sz w:val="18"/>
              </w:rPr>
              <w:t>218,750</w:t>
            </w:r>
          </w:p>
        </w:tc>
        <w:tc>
          <w:tcPr>
            <w:tcW w:w="1387" w:type="dxa"/>
            <w:tcBorders>
              <w:bottom w:val="single" w:sz="1" w:space="0" w:color="000000"/>
            </w:tcBorders>
          </w:tcPr>
          <w:p>
            <w:pPr>
              <w:pStyle w:val="TableParagraph"/>
              <w:spacing w:line="184" w:lineRule="exact"/>
              <w:ind w:right="335"/>
              <w:jc w:val="right"/>
              <w:rPr>
                <w:sz w:val="18"/>
              </w:rPr>
            </w:pPr>
            <w:r>
              <w:rPr>
                <w:w w:val="95"/>
                <w:sz w:val="18"/>
              </w:rPr>
              <w:t>223,757</w:t>
            </w:r>
          </w:p>
        </w:tc>
        <w:tc>
          <w:tcPr>
            <w:tcW w:w="1373" w:type="dxa"/>
            <w:tcBorders>
              <w:bottom w:val="single" w:sz="1" w:space="0" w:color="000000"/>
            </w:tcBorders>
          </w:tcPr>
          <w:p>
            <w:pPr>
              <w:pStyle w:val="TableParagraph"/>
              <w:spacing w:line="184" w:lineRule="exact"/>
              <w:ind w:right="246"/>
              <w:jc w:val="right"/>
              <w:rPr>
                <w:b/>
                <w:sz w:val="18"/>
              </w:rPr>
            </w:pPr>
            <w:r>
              <w:rPr>
                <w:b/>
                <w:w w:val="95"/>
                <w:sz w:val="18"/>
              </w:rPr>
              <w:t>218,750</w:t>
            </w:r>
          </w:p>
        </w:tc>
        <w:tc>
          <w:tcPr>
            <w:tcW w:w="1136" w:type="dxa"/>
            <w:tcBorders>
              <w:bottom w:val="single" w:sz="1" w:space="0" w:color="000000"/>
            </w:tcBorders>
          </w:tcPr>
          <w:p>
            <w:pPr>
              <w:pStyle w:val="TableParagraph"/>
              <w:spacing w:line="184" w:lineRule="exact"/>
              <w:ind w:right="84"/>
              <w:jc w:val="right"/>
              <w:rPr>
                <w:sz w:val="18"/>
              </w:rPr>
            </w:pPr>
            <w:r>
              <w:rPr>
                <w:w w:val="95"/>
                <w:sz w:val="18"/>
              </w:rPr>
              <w:t>223,757</w:t>
            </w:r>
          </w:p>
        </w:tc>
      </w:tr>
    </w:tbl>
    <w:p>
      <w:pPr>
        <w:pStyle w:val="BodyText"/>
        <w:spacing w:before="1"/>
        <w:rPr>
          <w:b/>
          <w:sz w:val="22"/>
        </w:rPr>
      </w:pPr>
    </w:p>
    <w:p>
      <w:pPr>
        <w:pStyle w:val="ListParagraph"/>
        <w:numPr>
          <w:ilvl w:val="0"/>
          <w:numId w:val="23"/>
        </w:numPr>
        <w:tabs>
          <w:tab w:pos="1071" w:val="left" w:leader="none"/>
        </w:tabs>
        <w:spacing w:line="240" w:lineRule="auto" w:before="77" w:after="0"/>
        <w:ind w:left="1070" w:right="0" w:hanging="566"/>
        <w:jc w:val="left"/>
        <w:rPr>
          <w:sz w:val="18"/>
        </w:rPr>
      </w:pPr>
      <w:r>
        <w:rPr>
          <w:sz w:val="18"/>
        </w:rPr>
        <w:t>Education Research</w:t>
      </w:r>
    </w:p>
    <w:p>
      <w:pPr>
        <w:pStyle w:val="BodyText"/>
        <w:rPr>
          <w:sz w:val="17"/>
        </w:rPr>
      </w:pPr>
    </w:p>
    <w:p>
      <w:pPr>
        <w:tabs>
          <w:tab w:pos="5313" w:val="left" w:leader="none"/>
          <w:tab w:pos="6609" w:val="left" w:leader="none"/>
          <w:tab w:pos="8073" w:val="left" w:leader="none"/>
          <w:tab w:pos="9369" w:val="left" w:leader="none"/>
        </w:tabs>
        <w:spacing w:before="0"/>
        <w:ind w:left="1099" w:right="130" w:firstLine="0"/>
        <w:jc w:val="left"/>
        <w:rPr>
          <w:sz w:val="18"/>
        </w:rPr>
      </w:pPr>
      <w:bookmarkStart w:name="(d) Australian Research Council" w:id="62"/>
      <w:bookmarkEnd w:id="62"/>
      <w:r>
        <w:rPr/>
      </w:r>
      <w:r>
        <w:rPr>
          <w:sz w:val="18"/>
        </w:rPr>
        <w:t>Research</w:t>
      </w:r>
      <w:r>
        <w:rPr>
          <w:spacing w:val="-1"/>
          <w:sz w:val="18"/>
        </w:rPr>
        <w:t> </w:t>
      </w:r>
      <w:r>
        <w:rPr>
          <w:sz w:val="18"/>
        </w:rPr>
        <w:t>Training</w:t>
      </w:r>
      <w:r>
        <w:rPr>
          <w:spacing w:val="-1"/>
          <w:sz w:val="18"/>
        </w:rPr>
        <w:t> </w:t>
      </w:r>
      <w:r>
        <w:rPr>
          <w:sz w:val="18"/>
        </w:rPr>
        <w:t>Program</w:t>
        <w:tab/>
      </w:r>
      <w:r>
        <w:rPr>
          <w:b/>
          <w:sz w:val="18"/>
        </w:rPr>
        <w:t>10,632</w:t>
        <w:tab/>
      </w:r>
      <w:r>
        <w:rPr>
          <w:sz w:val="18"/>
        </w:rPr>
        <w:t>10,705</w:t>
        <w:tab/>
      </w:r>
      <w:r>
        <w:rPr>
          <w:b/>
          <w:sz w:val="18"/>
        </w:rPr>
        <w:t>10,632</w:t>
        <w:tab/>
      </w:r>
      <w:r>
        <w:rPr>
          <w:sz w:val="18"/>
        </w:rPr>
        <w:t>10,705</w:t>
      </w:r>
    </w:p>
    <w:p>
      <w:pPr>
        <w:tabs>
          <w:tab w:pos="5414" w:val="left" w:leader="none"/>
          <w:tab w:pos="6710" w:val="left" w:leader="none"/>
          <w:tab w:pos="8174" w:val="left" w:leader="none"/>
          <w:tab w:pos="9470" w:val="left" w:leader="none"/>
        </w:tabs>
        <w:spacing w:before="57" w:after="23"/>
        <w:ind w:left="1099" w:right="130" w:firstLine="0"/>
        <w:jc w:val="left"/>
        <w:rPr>
          <w:sz w:val="18"/>
        </w:rPr>
      </w:pPr>
      <w:r>
        <w:rPr>
          <w:sz w:val="18"/>
        </w:rPr>
        <w:t>Research</w:t>
      </w:r>
      <w:r>
        <w:rPr>
          <w:spacing w:val="-1"/>
          <w:sz w:val="18"/>
        </w:rPr>
        <w:t> </w:t>
      </w:r>
      <w:r>
        <w:rPr>
          <w:sz w:val="18"/>
        </w:rPr>
        <w:t>Support</w:t>
      </w:r>
      <w:r>
        <w:rPr>
          <w:spacing w:val="-1"/>
          <w:sz w:val="18"/>
        </w:rPr>
        <w:t> </w:t>
      </w:r>
      <w:r>
        <w:rPr>
          <w:sz w:val="18"/>
        </w:rPr>
        <w:t>Program</w:t>
        <w:tab/>
      </w:r>
      <w:r>
        <w:rPr>
          <w:b/>
          <w:sz w:val="18"/>
        </w:rPr>
        <w:t>7,623</w:t>
        <w:tab/>
      </w:r>
      <w:r>
        <w:rPr>
          <w:sz w:val="18"/>
        </w:rPr>
        <w:t>7,462</w:t>
        <w:tab/>
      </w:r>
      <w:r>
        <w:rPr>
          <w:b/>
          <w:sz w:val="18"/>
        </w:rPr>
        <w:t>7,623</w:t>
        <w:tab/>
      </w:r>
      <w:r>
        <w:rPr>
          <w:sz w:val="18"/>
        </w:rPr>
        <w:t>7,462</w:t>
      </w:r>
    </w:p>
    <w:p>
      <w:pPr>
        <w:pStyle w:val="BodyText"/>
        <w:spacing w:line="20" w:lineRule="exact"/>
        <w:ind w:left="4491"/>
        <w:rPr>
          <w:sz w:val="2"/>
        </w:rPr>
      </w:pPr>
      <w:r>
        <w:rPr>
          <w:sz w:val="2"/>
        </w:rPr>
        <w:pict>
          <v:group style="width:276.150pt;height:1pt;mso-position-horizontal-relative:char;mso-position-vertical-relative:line" coordorigin="0,0" coordsize="5523,20">
            <v:line style="position:absolute" from="2,2" to="170,2" stroked="true" strokeweight=".12pt" strokecolor="#000000"/>
            <v:line style="position:absolute" from="2,4" to="170,4" stroked="true" strokeweight=".12pt" strokecolor="#000000"/>
            <v:line style="position:absolute" from="2,6" to="170,6" stroked="true" strokeweight=".12pt" strokecolor="#000000"/>
            <v:line style="position:absolute" from="2,9" to="170,9" stroked="true" strokeweight=".12pt" strokecolor="#000000"/>
            <v:line style="position:absolute" from="2,11" to="170,11" stroked="true" strokeweight=".12pt" strokecolor="#000000"/>
            <v:line style="position:absolute" from="2,14" to="170,14" stroked="true" strokeweight=".12pt" strokecolor="#000000"/>
            <v:line style="position:absolute" from="2,16" to="170,16" stroked="true" strokeweight=".12pt" strokecolor="#000000"/>
            <v:line style="position:absolute" from="2,18" to="170,18" stroked="true" strokeweight=".12pt" strokecolor="#000000"/>
            <v:line style="position:absolute" from="170,2" to="1466,2" stroked="true" strokeweight=".12pt" strokecolor="#000000"/>
            <v:line style="position:absolute" from="170,4" to="1466,4" stroked="true" strokeweight=".12pt" strokecolor="#000000"/>
            <v:line style="position:absolute" from="170,6" to="1466,6" stroked="true" strokeweight=".12pt" strokecolor="#000000"/>
            <v:line style="position:absolute" from="170,9" to="1466,9" stroked="true" strokeweight=".12pt" strokecolor="#000000"/>
            <v:line style="position:absolute" from="170,11" to="1466,11" stroked="true" strokeweight=".12pt" strokecolor="#000000"/>
            <v:line style="position:absolute" from="170,14" to="1466,14" stroked="true" strokeweight=".12pt" strokecolor="#000000"/>
            <v:line style="position:absolute" from="170,16" to="1466,16" stroked="true" strokeweight=".12pt" strokecolor="#000000"/>
            <v:line style="position:absolute" from="170,18" to="1466,18" stroked="true" strokeweight=".12pt" strokecolor="#000000"/>
            <v:line style="position:absolute" from="1466,2" to="2762,2" stroked="true" strokeweight=".12pt" strokecolor="#000000"/>
            <v:line style="position:absolute" from="1466,4" to="2762,4" stroked="true" strokeweight=".12pt" strokecolor="#000000"/>
            <v:line style="position:absolute" from="1466,6" to="2762,6" stroked="true" strokeweight=".12pt" strokecolor="#000000"/>
            <v:line style="position:absolute" from="1466,9" to="2762,9" stroked="true" strokeweight=".12pt" strokecolor="#000000"/>
            <v:line style="position:absolute" from="1466,11" to="2762,11" stroked="true" strokeweight=".12pt" strokecolor="#000000"/>
            <v:line style="position:absolute" from="1466,14" to="2762,14" stroked="true" strokeweight=".12pt" strokecolor="#000000"/>
            <v:line style="position:absolute" from="1466,16" to="2762,16" stroked="true" strokeweight=".12pt" strokecolor="#000000"/>
            <v:line style="position:absolute" from="1466,18" to="2762,18" stroked="true" strokeweight=".12pt" strokecolor="#000000"/>
            <v:line style="position:absolute" from="2761,2" to="2929,2" stroked="true" strokeweight=".12pt" strokecolor="#000000"/>
            <v:line style="position:absolute" from="2761,4" to="2929,4" stroked="true" strokeweight=".12pt" strokecolor="#000000"/>
            <v:line style="position:absolute" from="2761,6" to="2929,6" stroked="true" strokeweight=".12pt" strokecolor="#000000"/>
            <v:line style="position:absolute" from="2761,9" to="2929,9" stroked="true" strokeweight=".12pt" strokecolor="#000000"/>
            <v:line style="position:absolute" from="2761,11" to="2929,11" stroked="true" strokeweight=".12pt" strokecolor="#000000"/>
            <v:line style="position:absolute" from="2761,14" to="2929,14" stroked="true" strokeweight=".12pt" strokecolor="#000000"/>
            <v:line style="position:absolute" from="2761,16" to="2929,16" stroked="true" strokeweight=".12pt" strokecolor="#000000"/>
            <v:line style="position:absolute" from="2761,18" to="2929,18" stroked="true" strokeweight=".12pt" strokecolor="#000000"/>
            <v:line style="position:absolute" from="2930,2" to="4226,2" stroked="true" strokeweight=".12pt" strokecolor="#000000"/>
            <v:line style="position:absolute" from="2930,4" to="4226,4" stroked="true" strokeweight=".12pt" strokecolor="#000000"/>
            <v:line style="position:absolute" from="2930,6" to="4226,6" stroked="true" strokeweight=".12pt" strokecolor="#000000"/>
            <v:line style="position:absolute" from="2930,9" to="4226,9" stroked="true" strokeweight=".12pt" strokecolor="#000000"/>
            <v:line style="position:absolute" from="2930,11" to="4226,11" stroked="true" strokeweight=".12pt" strokecolor="#000000"/>
            <v:line style="position:absolute" from="2930,14" to="4226,14" stroked="true" strokeweight=".12pt" strokecolor="#000000"/>
            <v:line style="position:absolute" from="2930,16" to="4226,16" stroked="true" strokeweight=".12pt" strokecolor="#000000"/>
            <v:line style="position:absolute" from="2930,18" to="4226,18" stroked="true" strokeweight=".12pt" strokecolor="#000000"/>
            <v:line style="position:absolute" from="4225,2" to="5521,2" stroked="true" strokeweight=".12pt" strokecolor="#000000"/>
            <v:line style="position:absolute" from="4225,4" to="5521,4" stroked="true" strokeweight=".12pt" strokecolor="#000000"/>
            <v:line style="position:absolute" from="4225,6" to="5521,6" stroked="true" strokeweight=".12pt" strokecolor="#000000"/>
            <v:line style="position:absolute" from="4225,9" to="5521,9" stroked="true" strokeweight=".12pt" strokecolor="#000000"/>
            <v:line style="position:absolute" from="4225,11" to="5521,11" stroked="true" strokeweight=".12pt" strokecolor="#000000"/>
            <v:line style="position:absolute" from="4225,14" to="5521,14" stroked="true" strokeweight=".12pt" strokecolor="#000000"/>
            <v:line style="position:absolute" from="4225,16" to="5521,16" stroked="true" strokeweight=".12pt" strokecolor="#000000"/>
            <v:line style="position:absolute" from="4225,18" to="5521,18" stroked="true" strokeweight=".12pt" strokecolor="#000000"/>
          </v:group>
        </w:pict>
      </w:r>
      <w:r>
        <w:rPr>
          <w:sz w:val="2"/>
        </w:rPr>
      </w:r>
    </w:p>
    <w:p>
      <w:pPr>
        <w:tabs>
          <w:tab w:pos="4000" w:val="left" w:leader="none"/>
          <w:tab w:pos="5313" w:val="left" w:leader="none"/>
          <w:tab w:pos="6609" w:val="left" w:leader="none"/>
          <w:tab w:pos="8073" w:val="left" w:leader="none"/>
          <w:tab w:pos="9369" w:val="left" w:leader="none"/>
        </w:tabs>
        <w:spacing w:before="85"/>
        <w:ind w:left="1099" w:right="130" w:firstLine="0"/>
        <w:jc w:val="left"/>
        <w:rPr>
          <w:sz w:val="18"/>
        </w:rPr>
      </w:pPr>
      <w:r>
        <w:rPr>
          <w:b/>
          <w:sz w:val="18"/>
        </w:rPr>
        <w:t>Total Education Research</w:t>
        <w:tab/>
      </w:r>
      <w:r>
        <w:rPr>
          <w:position w:val="3"/>
          <w:sz w:val="18"/>
        </w:rPr>
        <w:t>40(c)</w:t>
        <w:tab/>
      </w:r>
      <w:r>
        <w:rPr>
          <w:b/>
          <w:sz w:val="18"/>
        </w:rPr>
        <w:t>18,255</w:t>
        <w:tab/>
      </w:r>
      <w:r>
        <w:rPr>
          <w:sz w:val="18"/>
        </w:rPr>
        <w:t>18,167</w:t>
        <w:tab/>
      </w:r>
      <w:r>
        <w:rPr>
          <w:b/>
          <w:sz w:val="18"/>
        </w:rPr>
        <w:t>18,255</w:t>
        <w:tab/>
      </w:r>
      <w:r>
        <w:rPr>
          <w:sz w:val="18"/>
        </w:rPr>
        <w:t>18,167</w:t>
      </w:r>
    </w:p>
    <w:p>
      <w:pPr>
        <w:pStyle w:val="BodyText"/>
        <w:spacing w:line="48" w:lineRule="exact"/>
        <w:ind w:left="4491"/>
        <w:rPr>
          <w:sz w:val="4"/>
        </w:rPr>
      </w:pPr>
      <w:r>
        <w:rPr>
          <w:position w:val="0"/>
          <w:sz w:val="4"/>
        </w:rPr>
        <w:pict>
          <v:group style="width:276.150pt;height:2.450pt;mso-position-horizontal-relative:char;mso-position-vertical-relative:line" coordorigin="0,0" coordsize="5523,49">
            <v:line style="position:absolute" from="2,2" to="170,2" stroked="true" strokeweight=".12pt" strokecolor="#000000"/>
            <v:line style="position:absolute" from="2,4" to="170,4" stroked="true" strokeweight=".12pt" strokecolor="#000000"/>
            <v:line style="position:absolute" from="2,6" to="170,6" stroked="true" strokeweight=".12pt" strokecolor="#000000"/>
            <v:line style="position:absolute" from="2,9" to="170,9" stroked="true" strokeweight=".12pt" strokecolor="#000000"/>
            <v:line style="position:absolute" from="2,11" to="170,11" stroked="true" strokeweight=".12pt" strokecolor="#000000"/>
            <v:line style="position:absolute" from="2,14" to="170,14" stroked="true" strokeweight=".12pt" strokecolor="#000000"/>
            <v:line style="position:absolute" from="2,35" to="170,35" stroked="true" strokeweight=".12pt" strokecolor="#000000"/>
            <v:line style="position:absolute" from="2,37" to="170,37" stroked="true" strokeweight=".12pt" strokecolor="#000000"/>
            <v:line style="position:absolute" from="2,40" to="170,40" stroked="true" strokeweight=".12pt" strokecolor="#000000"/>
            <v:line style="position:absolute" from="2,42" to="170,42" stroked="true" strokeweight=".12pt" strokecolor="#000000"/>
            <v:line style="position:absolute" from="2,45" to="170,45" stroked="true" strokeweight=".12pt" strokecolor="#000000"/>
            <v:line style="position:absolute" from="2,47" to="170,47" stroked="true" strokeweight=".12pt" strokecolor="#000000"/>
            <v:line style="position:absolute" from="170,2" to="1466,2" stroked="true" strokeweight=".12pt" strokecolor="#000000"/>
            <v:line style="position:absolute" from="170,4" to="1466,4" stroked="true" strokeweight=".12pt" strokecolor="#000000"/>
            <v:line style="position:absolute" from="170,6" to="1466,6" stroked="true" strokeweight=".12pt" strokecolor="#000000"/>
            <v:line style="position:absolute" from="170,9" to="1466,9" stroked="true" strokeweight=".12pt" strokecolor="#000000"/>
            <v:line style="position:absolute" from="170,11" to="1466,11" stroked="true" strokeweight=".12pt" strokecolor="#000000"/>
            <v:line style="position:absolute" from="170,14" to="1466,14" stroked="true" strokeweight=".12pt" strokecolor="#000000"/>
            <v:line style="position:absolute" from="170,35" to="1466,35" stroked="true" strokeweight=".12pt" strokecolor="#000000"/>
            <v:line style="position:absolute" from="170,37" to="1466,37" stroked="true" strokeweight=".12pt" strokecolor="#000000"/>
            <v:line style="position:absolute" from="170,40" to="1466,40" stroked="true" strokeweight=".12pt" strokecolor="#000000"/>
            <v:line style="position:absolute" from="170,42" to="1466,42" stroked="true" strokeweight=".12pt" strokecolor="#000000"/>
            <v:line style="position:absolute" from="170,45" to="1466,45" stroked="true" strokeweight=".12pt" strokecolor="#000000"/>
            <v:line style="position:absolute" from="170,47" to="1466,47" stroked="true" strokeweight=".12pt" strokecolor="#000000"/>
            <v:line style="position:absolute" from="1466,2" to="2762,2" stroked="true" strokeweight=".12pt" strokecolor="#000000"/>
            <v:line style="position:absolute" from="1466,4" to="2762,4" stroked="true" strokeweight=".12pt" strokecolor="#000000"/>
            <v:line style="position:absolute" from="1466,6" to="2762,6" stroked="true" strokeweight=".12pt" strokecolor="#000000"/>
            <v:line style="position:absolute" from="1466,9" to="2762,9" stroked="true" strokeweight=".12pt" strokecolor="#000000"/>
            <v:line style="position:absolute" from="1466,11" to="2762,11" stroked="true" strokeweight=".12pt" strokecolor="#000000"/>
            <v:line style="position:absolute" from="1466,14" to="2762,14" stroked="true" strokeweight=".12pt" strokecolor="#000000"/>
            <v:line style="position:absolute" from="1466,35" to="2762,35" stroked="true" strokeweight=".12pt" strokecolor="#000000"/>
            <v:line style="position:absolute" from="1466,37" to="2762,37" stroked="true" strokeweight=".12pt" strokecolor="#000000"/>
            <v:line style="position:absolute" from="1466,40" to="2762,40" stroked="true" strokeweight=".12pt" strokecolor="#000000"/>
            <v:line style="position:absolute" from="1466,42" to="2762,42" stroked="true" strokeweight=".12pt" strokecolor="#000000"/>
            <v:line style="position:absolute" from="1466,45" to="2762,45" stroked="true" strokeweight=".12pt" strokecolor="#000000"/>
            <v:line style="position:absolute" from="1466,47" to="2762,47" stroked="true" strokeweight=".12pt" strokecolor="#000000"/>
            <v:line style="position:absolute" from="2761,2" to="2929,2" stroked="true" strokeweight=".12pt" strokecolor="#000000"/>
            <v:line style="position:absolute" from="2761,4" to="2929,4" stroked="true" strokeweight=".12pt" strokecolor="#000000"/>
            <v:line style="position:absolute" from="2761,6" to="2929,6" stroked="true" strokeweight=".12pt" strokecolor="#000000"/>
            <v:line style="position:absolute" from="2761,9" to="2929,9" stroked="true" strokeweight=".12pt" strokecolor="#000000"/>
            <v:line style="position:absolute" from="2761,11" to="2929,11" stroked="true" strokeweight=".12pt" strokecolor="#000000"/>
            <v:line style="position:absolute" from="2761,14" to="2929,14" stroked="true" strokeweight=".12pt" strokecolor="#000000"/>
            <v:line style="position:absolute" from="2761,35" to="2929,35" stroked="true" strokeweight=".12pt" strokecolor="#000000"/>
            <v:line style="position:absolute" from="2761,37" to="2929,37" stroked="true" strokeweight=".12pt" strokecolor="#000000"/>
            <v:line style="position:absolute" from="2761,40" to="2929,40" stroked="true" strokeweight=".12pt" strokecolor="#000000"/>
            <v:line style="position:absolute" from="2761,42" to="2929,42" stroked="true" strokeweight=".12pt" strokecolor="#000000"/>
            <v:line style="position:absolute" from="2761,45" to="2929,45" stroked="true" strokeweight=".12pt" strokecolor="#000000"/>
            <v:line style="position:absolute" from="2761,47" to="2929,47" stroked="true" strokeweight=".12pt" strokecolor="#000000"/>
            <v:line style="position:absolute" from="2930,2" to="4226,2" stroked="true" strokeweight=".12pt" strokecolor="#000000"/>
            <v:line style="position:absolute" from="2930,4" to="4226,4" stroked="true" strokeweight=".12pt" strokecolor="#000000"/>
            <v:line style="position:absolute" from="2930,6" to="4226,6" stroked="true" strokeweight=".12pt" strokecolor="#000000"/>
            <v:line style="position:absolute" from="2930,9" to="4226,9" stroked="true" strokeweight=".12pt" strokecolor="#000000"/>
            <v:line style="position:absolute" from="2930,11" to="4226,11" stroked="true" strokeweight=".12pt" strokecolor="#000000"/>
            <v:line style="position:absolute" from="2930,14" to="4226,14" stroked="true" strokeweight=".12pt" strokecolor="#000000"/>
            <v:line style="position:absolute" from="2930,35" to="4226,35" stroked="true" strokeweight=".12pt" strokecolor="#000000"/>
            <v:line style="position:absolute" from="2930,37" to="4226,37" stroked="true" strokeweight=".12pt" strokecolor="#000000"/>
            <v:line style="position:absolute" from="2930,40" to="4226,40" stroked="true" strokeweight=".12pt" strokecolor="#000000"/>
            <v:line style="position:absolute" from="2930,42" to="4226,42" stroked="true" strokeweight=".12pt" strokecolor="#000000"/>
            <v:line style="position:absolute" from="2930,45" to="4226,45" stroked="true" strokeweight=".12pt" strokecolor="#000000"/>
            <v:line style="position:absolute" from="2930,47" to="4226,47" stroked="true" strokeweight=".12pt" strokecolor="#000000"/>
            <v:line style="position:absolute" from="4225,2" to="5521,2" stroked="true" strokeweight=".12pt" strokecolor="#000000"/>
            <v:line style="position:absolute" from="4225,4" to="5521,4" stroked="true" strokeweight=".12pt" strokecolor="#000000"/>
            <v:line style="position:absolute" from="4225,6" to="5521,6" stroked="true" strokeweight=".12pt" strokecolor="#000000"/>
            <v:line style="position:absolute" from="4225,9" to="5521,9" stroked="true" strokeweight=".12pt" strokecolor="#000000"/>
            <v:line style="position:absolute" from="4225,11" to="5521,11" stroked="true" strokeweight=".12pt" strokecolor="#000000"/>
            <v:line style="position:absolute" from="4225,14" to="5521,14" stroked="true" strokeweight=".12pt" strokecolor="#000000"/>
            <v:line style="position:absolute" from="4225,35" to="5521,35" stroked="true" strokeweight=".12pt" strokecolor="#000000"/>
            <v:line style="position:absolute" from="4225,37" to="5521,37" stroked="true" strokeweight=".12pt" strokecolor="#000000"/>
            <v:line style="position:absolute" from="4225,40" to="5521,40" stroked="true" strokeweight=".12pt" strokecolor="#000000"/>
            <v:line style="position:absolute" from="4225,42" to="5521,42" stroked="true" strokeweight=".12pt" strokecolor="#000000"/>
            <v:line style="position:absolute" from="4225,45" to="5521,45" stroked="true" strokeweight=".12pt" strokecolor="#000000"/>
            <v:line style="position:absolute" from="4225,47" to="5521,47" stroked="true" strokeweight=".12pt" strokecolor="#000000"/>
          </v:group>
        </w:pict>
      </w:r>
      <w:r>
        <w:rPr>
          <w:position w:val="0"/>
          <w:sz w:val="4"/>
        </w:rPr>
      </w:r>
    </w:p>
    <w:p>
      <w:pPr>
        <w:pStyle w:val="BodyText"/>
        <w:spacing w:before="11"/>
        <w:rPr>
          <w:sz w:val="19"/>
        </w:rPr>
      </w:pPr>
    </w:p>
    <w:p>
      <w:pPr>
        <w:pStyle w:val="ListParagraph"/>
        <w:numPr>
          <w:ilvl w:val="0"/>
          <w:numId w:val="23"/>
        </w:numPr>
        <w:tabs>
          <w:tab w:pos="1071" w:val="left" w:leader="none"/>
        </w:tabs>
        <w:spacing w:line="240" w:lineRule="auto" w:before="77" w:after="0"/>
        <w:ind w:left="1070" w:right="0" w:hanging="566"/>
        <w:jc w:val="left"/>
        <w:rPr>
          <w:sz w:val="18"/>
        </w:rPr>
      </w:pPr>
      <w:r>
        <w:rPr>
          <w:sz w:val="18"/>
        </w:rPr>
        <w:t>Australian Research</w:t>
      </w:r>
      <w:r>
        <w:rPr>
          <w:spacing w:val="1"/>
          <w:sz w:val="18"/>
        </w:rPr>
        <w:t> </w:t>
      </w:r>
      <w:r>
        <w:rPr>
          <w:sz w:val="18"/>
        </w:rPr>
        <w:t>Council</w:t>
      </w:r>
    </w:p>
    <w:p>
      <w:pPr>
        <w:pStyle w:val="BodyText"/>
        <w:spacing w:before="6"/>
        <w:rPr>
          <w:sz w:val="10"/>
        </w:rPr>
      </w:pPr>
    </w:p>
    <w:p>
      <w:pPr>
        <w:pStyle w:val="Heading9"/>
        <w:tabs>
          <w:tab w:pos="8354" w:val="left" w:leader="none"/>
        </w:tabs>
        <w:spacing w:before="77" w:after="36"/>
        <w:ind w:left="5316" w:right="220"/>
      </w:pPr>
      <w:r>
        <w:rPr/>
        <w:t>Consolidated</w:t>
        <w:tab/>
        <w:t>Parent</w:t>
      </w:r>
    </w:p>
    <w:tbl>
      <w:tblPr>
        <w:tblW w:w="0" w:type="auto"/>
        <w:jc w:val="left"/>
        <w:tblInd w:w="106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96"/>
        <w:gridCol w:w="832"/>
        <w:gridCol w:w="1627"/>
        <w:gridCol w:w="1386"/>
        <w:gridCol w:w="1374"/>
        <w:gridCol w:w="1133"/>
      </w:tblGrid>
      <w:tr>
        <w:trPr>
          <w:trHeight w:val="566" w:hRule="exact"/>
        </w:trPr>
        <w:tc>
          <w:tcPr>
            <w:tcW w:w="3429" w:type="dxa"/>
            <w:gridSpan w:val="2"/>
          </w:tcPr>
          <w:p>
            <w:pPr/>
          </w:p>
        </w:tc>
        <w:tc>
          <w:tcPr>
            <w:tcW w:w="1627" w:type="dxa"/>
          </w:tcPr>
          <w:p>
            <w:pPr>
              <w:pStyle w:val="TableParagraph"/>
              <w:spacing w:before="30"/>
              <w:ind w:left="573" w:right="569"/>
              <w:jc w:val="center"/>
              <w:rPr>
                <w:b/>
                <w:sz w:val="18"/>
              </w:rPr>
            </w:pPr>
            <w:r>
              <w:rPr>
                <w:b/>
                <w:sz w:val="18"/>
              </w:rPr>
              <w:t>2017</w:t>
            </w:r>
          </w:p>
          <w:p>
            <w:pPr>
              <w:pStyle w:val="TableParagraph"/>
              <w:spacing w:before="66"/>
              <w:ind w:left="573" w:right="569"/>
              <w:jc w:val="center"/>
              <w:rPr>
                <w:b/>
                <w:sz w:val="18"/>
              </w:rPr>
            </w:pPr>
            <w:r>
              <w:rPr>
                <w:b/>
                <w:sz w:val="18"/>
              </w:rPr>
              <w:t>$'000</w:t>
            </w:r>
          </w:p>
        </w:tc>
        <w:tc>
          <w:tcPr>
            <w:tcW w:w="1386" w:type="dxa"/>
          </w:tcPr>
          <w:p>
            <w:pPr>
              <w:pStyle w:val="TableParagraph"/>
              <w:spacing w:before="30"/>
              <w:ind w:left="271"/>
              <w:rPr>
                <w:b/>
                <w:sz w:val="18"/>
              </w:rPr>
            </w:pPr>
            <w:r>
              <w:rPr>
                <w:b/>
                <w:sz w:val="18"/>
              </w:rPr>
              <w:t>2016</w:t>
            </w:r>
          </w:p>
          <w:p>
            <w:pPr>
              <w:pStyle w:val="TableParagraph"/>
              <w:spacing w:before="66"/>
              <w:ind w:left="249"/>
              <w:rPr>
                <w:b/>
                <w:sz w:val="18"/>
              </w:rPr>
            </w:pPr>
            <w:r>
              <w:rPr>
                <w:b/>
                <w:sz w:val="18"/>
              </w:rPr>
              <w:t>$'000</w:t>
            </w:r>
          </w:p>
        </w:tc>
        <w:tc>
          <w:tcPr>
            <w:tcW w:w="1374" w:type="dxa"/>
          </w:tcPr>
          <w:p>
            <w:pPr>
              <w:pStyle w:val="TableParagraph"/>
              <w:spacing w:before="30"/>
              <w:ind w:left="361"/>
              <w:rPr>
                <w:b/>
                <w:sz w:val="18"/>
              </w:rPr>
            </w:pPr>
            <w:r>
              <w:rPr>
                <w:b/>
                <w:sz w:val="18"/>
              </w:rPr>
              <w:t>2017</w:t>
            </w:r>
          </w:p>
          <w:p>
            <w:pPr>
              <w:pStyle w:val="TableParagraph"/>
              <w:spacing w:before="66"/>
              <w:ind w:left="339"/>
              <w:rPr>
                <w:b/>
                <w:sz w:val="18"/>
              </w:rPr>
            </w:pPr>
            <w:r>
              <w:rPr>
                <w:b/>
                <w:sz w:val="18"/>
              </w:rPr>
              <w:t>$'000</w:t>
            </w:r>
          </w:p>
        </w:tc>
        <w:tc>
          <w:tcPr>
            <w:tcW w:w="1133" w:type="dxa"/>
          </w:tcPr>
          <w:p>
            <w:pPr>
              <w:pStyle w:val="TableParagraph"/>
              <w:spacing w:before="30"/>
              <w:ind w:left="271"/>
              <w:rPr>
                <w:b/>
                <w:sz w:val="18"/>
              </w:rPr>
            </w:pPr>
            <w:r>
              <w:rPr>
                <w:b/>
                <w:sz w:val="18"/>
              </w:rPr>
              <w:t>2016</w:t>
            </w:r>
          </w:p>
          <w:p>
            <w:pPr>
              <w:pStyle w:val="TableParagraph"/>
              <w:spacing w:before="66"/>
              <w:ind w:left="249"/>
              <w:rPr>
                <w:b/>
                <w:sz w:val="18"/>
              </w:rPr>
            </w:pPr>
            <w:r>
              <w:rPr>
                <w:b/>
                <w:sz w:val="18"/>
              </w:rPr>
              <w:t>$'000</w:t>
            </w:r>
          </w:p>
        </w:tc>
      </w:tr>
      <w:tr>
        <w:trPr>
          <w:trHeight w:val="282" w:hRule="exact"/>
        </w:trPr>
        <w:tc>
          <w:tcPr>
            <w:tcW w:w="2596" w:type="dxa"/>
          </w:tcPr>
          <w:p>
            <w:pPr>
              <w:pStyle w:val="TableParagraph"/>
              <w:spacing w:before="38"/>
              <w:ind w:left="35"/>
              <w:rPr>
                <w:sz w:val="18"/>
              </w:rPr>
            </w:pPr>
            <w:r>
              <w:rPr>
                <w:sz w:val="18"/>
              </w:rPr>
              <w:t>Discovery</w:t>
            </w:r>
          </w:p>
        </w:tc>
        <w:tc>
          <w:tcPr>
            <w:tcW w:w="832" w:type="dxa"/>
          </w:tcPr>
          <w:p>
            <w:pPr/>
          </w:p>
        </w:tc>
        <w:tc>
          <w:tcPr>
            <w:tcW w:w="1627" w:type="dxa"/>
          </w:tcPr>
          <w:p>
            <w:pPr>
              <w:pStyle w:val="TableParagraph"/>
              <w:spacing w:before="36"/>
              <w:ind w:right="247"/>
              <w:jc w:val="right"/>
              <w:rPr>
                <w:b/>
                <w:sz w:val="18"/>
              </w:rPr>
            </w:pPr>
            <w:r>
              <w:rPr>
                <w:b/>
                <w:w w:val="95"/>
                <w:sz w:val="18"/>
              </w:rPr>
              <w:t>5,857</w:t>
            </w:r>
          </w:p>
        </w:tc>
        <w:tc>
          <w:tcPr>
            <w:tcW w:w="1386" w:type="dxa"/>
          </w:tcPr>
          <w:p>
            <w:pPr>
              <w:pStyle w:val="TableParagraph"/>
              <w:spacing w:before="36"/>
              <w:ind w:right="337"/>
              <w:jc w:val="right"/>
              <w:rPr>
                <w:sz w:val="18"/>
              </w:rPr>
            </w:pPr>
            <w:r>
              <w:rPr>
                <w:w w:val="95"/>
                <w:sz w:val="18"/>
              </w:rPr>
              <w:t>5,423</w:t>
            </w:r>
          </w:p>
        </w:tc>
        <w:tc>
          <w:tcPr>
            <w:tcW w:w="1374" w:type="dxa"/>
          </w:tcPr>
          <w:p>
            <w:pPr>
              <w:pStyle w:val="TableParagraph"/>
              <w:spacing w:before="36"/>
              <w:ind w:right="247"/>
              <w:jc w:val="right"/>
              <w:rPr>
                <w:b/>
                <w:sz w:val="18"/>
              </w:rPr>
            </w:pPr>
            <w:r>
              <w:rPr>
                <w:b/>
                <w:w w:val="95"/>
                <w:sz w:val="18"/>
              </w:rPr>
              <w:t>5,857</w:t>
            </w:r>
          </w:p>
        </w:tc>
        <w:tc>
          <w:tcPr>
            <w:tcW w:w="1133" w:type="dxa"/>
          </w:tcPr>
          <w:p>
            <w:pPr>
              <w:pStyle w:val="TableParagraph"/>
              <w:spacing w:before="36"/>
              <w:ind w:right="84"/>
              <w:jc w:val="right"/>
              <w:rPr>
                <w:sz w:val="18"/>
              </w:rPr>
            </w:pPr>
            <w:r>
              <w:rPr>
                <w:w w:val="95"/>
                <w:sz w:val="18"/>
              </w:rPr>
              <w:t>5,423</w:t>
            </w:r>
          </w:p>
        </w:tc>
      </w:tr>
      <w:tr>
        <w:trPr>
          <w:trHeight w:val="264" w:hRule="exact"/>
        </w:trPr>
        <w:tc>
          <w:tcPr>
            <w:tcW w:w="2596" w:type="dxa"/>
          </w:tcPr>
          <w:p>
            <w:pPr>
              <w:pStyle w:val="TableParagraph"/>
              <w:spacing w:before="20"/>
              <w:ind w:left="35"/>
              <w:rPr>
                <w:sz w:val="18"/>
              </w:rPr>
            </w:pPr>
            <w:r>
              <w:rPr>
                <w:sz w:val="18"/>
              </w:rPr>
              <w:t>Linkages</w:t>
            </w:r>
          </w:p>
        </w:tc>
        <w:tc>
          <w:tcPr>
            <w:tcW w:w="832" w:type="dxa"/>
          </w:tcPr>
          <w:p>
            <w:pPr/>
          </w:p>
        </w:tc>
        <w:tc>
          <w:tcPr>
            <w:tcW w:w="1627" w:type="dxa"/>
          </w:tcPr>
          <w:p>
            <w:pPr>
              <w:pStyle w:val="TableParagraph"/>
              <w:spacing w:before="18"/>
              <w:ind w:right="247"/>
              <w:jc w:val="right"/>
              <w:rPr>
                <w:b/>
                <w:sz w:val="18"/>
              </w:rPr>
            </w:pPr>
            <w:r>
              <w:rPr>
                <w:b/>
                <w:w w:val="95"/>
                <w:sz w:val="18"/>
              </w:rPr>
              <w:t>1,028</w:t>
            </w:r>
          </w:p>
        </w:tc>
        <w:tc>
          <w:tcPr>
            <w:tcW w:w="1386" w:type="dxa"/>
          </w:tcPr>
          <w:p>
            <w:pPr>
              <w:pStyle w:val="TableParagraph"/>
              <w:spacing w:before="18"/>
              <w:ind w:right="337"/>
              <w:jc w:val="right"/>
              <w:rPr>
                <w:sz w:val="18"/>
              </w:rPr>
            </w:pPr>
            <w:r>
              <w:rPr>
                <w:w w:val="95"/>
                <w:sz w:val="18"/>
              </w:rPr>
              <w:t>1,146</w:t>
            </w:r>
          </w:p>
        </w:tc>
        <w:tc>
          <w:tcPr>
            <w:tcW w:w="1374" w:type="dxa"/>
          </w:tcPr>
          <w:p>
            <w:pPr>
              <w:pStyle w:val="TableParagraph"/>
              <w:spacing w:before="18"/>
              <w:ind w:right="247"/>
              <w:jc w:val="right"/>
              <w:rPr>
                <w:b/>
                <w:sz w:val="18"/>
              </w:rPr>
            </w:pPr>
            <w:r>
              <w:rPr>
                <w:b/>
                <w:w w:val="95"/>
                <w:sz w:val="18"/>
              </w:rPr>
              <w:t>1,028</w:t>
            </w:r>
          </w:p>
        </w:tc>
        <w:tc>
          <w:tcPr>
            <w:tcW w:w="1133" w:type="dxa"/>
          </w:tcPr>
          <w:p>
            <w:pPr>
              <w:pStyle w:val="TableParagraph"/>
              <w:spacing w:before="18"/>
              <w:ind w:right="84"/>
              <w:jc w:val="right"/>
              <w:rPr>
                <w:sz w:val="18"/>
              </w:rPr>
            </w:pPr>
            <w:r>
              <w:rPr>
                <w:w w:val="95"/>
                <w:sz w:val="18"/>
              </w:rPr>
              <w:t>1,146</w:t>
            </w:r>
          </w:p>
        </w:tc>
      </w:tr>
      <w:tr>
        <w:trPr>
          <w:trHeight w:val="264" w:hRule="exact"/>
        </w:trPr>
        <w:tc>
          <w:tcPr>
            <w:tcW w:w="2596" w:type="dxa"/>
          </w:tcPr>
          <w:p>
            <w:pPr>
              <w:pStyle w:val="TableParagraph"/>
              <w:spacing w:before="20"/>
              <w:ind w:left="35"/>
              <w:rPr>
                <w:sz w:val="18"/>
              </w:rPr>
            </w:pPr>
            <w:r>
              <w:rPr>
                <w:sz w:val="18"/>
              </w:rPr>
              <w:t>Networks and Centres</w:t>
            </w:r>
          </w:p>
        </w:tc>
        <w:tc>
          <w:tcPr>
            <w:tcW w:w="832" w:type="dxa"/>
          </w:tcPr>
          <w:p>
            <w:pPr/>
          </w:p>
        </w:tc>
        <w:tc>
          <w:tcPr>
            <w:tcW w:w="1627" w:type="dxa"/>
          </w:tcPr>
          <w:p>
            <w:pPr>
              <w:pStyle w:val="TableParagraph"/>
              <w:spacing w:before="18"/>
              <w:ind w:right="247"/>
              <w:jc w:val="right"/>
              <w:rPr>
                <w:b/>
                <w:sz w:val="18"/>
              </w:rPr>
            </w:pPr>
            <w:r>
              <w:rPr>
                <w:b/>
                <w:w w:val="95"/>
                <w:sz w:val="18"/>
              </w:rPr>
              <w:t>1,161</w:t>
            </w:r>
          </w:p>
        </w:tc>
        <w:tc>
          <w:tcPr>
            <w:tcW w:w="1386" w:type="dxa"/>
          </w:tcPr>
          <w:p>
            <w:pPr>
              <w:pStyle w:val="TableParagraph"/>
              <w:spacing w:before="18"/>
              <w:ind w:right="337"/>
              <w:jc w:val="right"/>
              <w:rPr>
                <w:sz w:val="18"/>
              </w:rPr>
            </w:pPr>
            <w:r>
              <w:rPr>
                <w:w w:val="95"/>
                <w:sz w:val="18"/>
              </w:rPr>
              <w:t>1,136</w:t>
            </w:r>
          </w:p>
        </w:tc>
        <w:tc>
          <w:tcPr>
            <w:tcW w:w="1374" w:type="dxa"/>
          </w:tcPr>
          <w:p>
            <w:pPr>
              <w:pStyle w:val="TableParagraph"/>
              <w:spacing w:before="18"/>
              <w:ind w:right="247"/>
              <w:jc w:val="right"/>
              <w:rPr>
                <w:b/>
                <w:sz w:val="18"/>
              </w:rPr>
            </w:pPr>
            <w:r>
              <w:rPr>
                <w:b/>
                <w:w w:val="95"/>
                <w:sz w:val="18"/>
              </w:rPr>
              <w:t>1,161</w:t>
            </w:r>
          </w:p>
        </w:tc>
        <w:tc>
          <w:tcPr>
            <w:tcW w:w="1133" w:type="dxa"/>
          </w:tcPr>
          <w:p>
            <w:pPr>
              <w:pStyle w:val="TableParagraph"/>
              <w:spacing w:before="18"/>
              <w:ind w:right="84"/>
              <w:jc w:val="right"/>
              <w:rPr>
                <w:sz w:val="18"/>
              </w:rPr>
            </w:pPr>
            <w:r>
              <w:rPr>
                <w:w w:val="95"/>
                <w:sz w:val="18"/>
              </w:rPr>
              <w:t>1,136</w:t>
            </w:r>
          </w:p>
        </w:tc>
      </w:tr>
      <w:tr>
        <w:trPr>
          <w:trHeight w:val="260" w:hRule="exact"/>
        </w:trPr>
        <w:tc>
          <w:tcPr>
            <w:tcW w:w="2596" w:type="dxa"/>
          </w:tcPr>
          <w:p>
            <w:pPr>
              <w:pStyle w:val="TableParagraph"/>
              <w:spacing w:before="20"/>
              <w:ind w:left="35"/>
              <w:rPr>
                <w:sz w:val="18"/>
              </w:rPr>
            </w:pPr>
            <w:r>
              <w:rPr>
                <w:sz w:val="18"/>
              </w:rPr>
              <w:t>Special Research Initiatives</w:t>
            </w:r>
          </w:p>
        </w:tc>
        <w:tc>
          <w:tcPr>
            <w:tcW w:w="832" w:type="dxa"/>
          </w:tcPr>
          <w:p>
            <w:pPr/>
          </w:p>
        </w:tc>
        <w:tc>
          <w:tcPr>
            <w:tcW w:w="1627" w:type="dxa"/>
            <w:tcBorders>
              <w:bottom w:val="single" w:sz="1" w:space="0" w:color="000000"/>
            </w:tcBorders>
          </w:tcPr>
          <w:p>
            <w:pPr>
              <w:pStyle w:val="TableParagraph"/>
              <w:spacing w:before="18"/>
              <w:ind w:right="247"/>
              <w:jc w:val="right"/>
              <w:rPr>
                <w:b/>
                <w:sz w:val="18"/>
              </w:rPr>
            </w:pPr>
            <w:r>
              <w:rPr>
                <w:b/>
                <w:w w:val="95"/>
                <w:sz w:val="18"/>
              </w:rPr>
              <w:t>249</w:t>
            </w:r>
          </w:p>
        </w:tc>
        <w:tc>
          <w:tcPr>
            <w:tcW w:w="1386" w:type="dxa"/>
            <w:tcBorders>
              <w:bottom w:val="single" w:sz="1" w:space="0" w:color="000000"/>
            </w:tcBorders>
          </w:tcPr>
          <w:p>
            <w:pPr>
              <w:pStyle w:val="TableParagraph"/>
              <w:spacing w:before="18"/>
              <w:ind w:right="337"/>
              <w:jc w:val="right"/>
              <w:rPr>
                <w:sz w:val="18"/>
              </w:rPr>
            </w:pPr>
            <w:r>
              <w:rPr>
                <w:w w:val="99"/>
                <w:sz w:val="18"/>
              </w:rPr>
              <w:t>-</w:t>
            </w:r>
          </w:p>
        </w:tc>
        <w:tc>
          <w:tcPr>
            <w:tcW w:w="1374" w:type="dxa"/>
            <w:tcBorders>
              <w:bottom w:val="single" w:sz="1" w:space="0" w:color="000000"/>
            </w:tcBorders>
          </w:tcPr>
          <w:p>
            <w:pPr>
              <w:pStyle w:val="TableParagraph"/>
              <w:spacing w:before="18"/>
              <w:ind w:right="247"/>
              <w:jc w:val="right"/>
              <w:rPr>
                <w:b/>
                <w:sz w:val="18"/>
              </w:rPr>
            </w:pPr>
            <w:r>
              <w:rPr>
                <w:b/>
                <w:w w:val="95"/>
                <w:sz w:val="18"/>
              </w:rPr>
              <w:t>249</w:t>
            </w:r>
          </w:p>
        </w:tc>
        <w:tc>
          <w:tcPr>
            <w:tcW w:w="1133" w:type="dxa"/>
            <w:tcBorders>
              <w:bottom w:val="single" w:sz="1" w:space="0" w:color="000000"/>
            </w:tcBorders>
          </w:tcPr>
          <w:p>
            <w:pPr>
              <w:pStyle w:val="TableParagraph"/>
              <w:spacing w:before="18"/>
              <w:ind w:right="84"/>
              <w:jc w:val="right"/>
              <w:rPr>
                <w:sz w:val="18"/>
              </w:rPr>
            </w:pPr>
            <w:r>
              <w:rPr>
                <w:w w:val="99"/>
                <w:sz w:val="18"/>
              </w:rPr>
              <w:t>-</w:t>
            </w:r>
          </w:p>
        </w:tc>
      </w:tr>
      <w:tr>
        <w:trPr>
          <w:trHeight w:val="353" w:hRule="exact"/>
        </w:trPr>
        <w:tc>
          <w:tcPr>
            <w:tcW w:w="2596" w:type="dxa"/>
          </w:tcPr>
          <w:p>
            <w:pPr>
              <w:pStyle w:val="TableParagraph"/>
              <w:spacing w:before="125"/>
              <w:ind w:left="35"/>
              <w:rPr>
                <w:b/>
                <w:sz w:val="18"/>
              </w:rPr>
            </w:pPr>
            <w:r>
              <w:rPr>
                <w:b/>
                <w:sz w:val="18"/>
              </w:rPr>
              <w:t>Total ARC</w:t>
            </w:r>
          </w:p>
        </w:tc>
        <w:tc>
          <w:tcPr>
            <w:tcW w:w="832" w:type="dxa"/>
          </w:tcPr>
          <w:p>
            <w:pPr>
              <w:pStyle w:val="TableParagraph"/>
              <w:spacing w:before="98"/>
              <w:ind w:left="335"/>
              <w:rPr>
                <w:sz w:val="18"/>
              </w:rPr>
            </w:pPr>
            <w:r>
              <w:rPr>
                <w:sz w:val="18"/>
              </w:rPr>
              <w:t>40(d)</w:t>
            </w:r>
          </w:p>
        </w:tc>
        <w:tc>
          <w:tcPr>
            <w:tcW w:w="1627" w:type="dxa"/>
            <w:tcBorders>
              <w:top w:val="single" w:sz="1" w:space="0" w:color="000000"/>
              <w:bottom w:val="single" w:sz="1" w:space="0" w:color="000000"/>
            </w:tcBorders>
          </w:tcPr>
          <w:p>
            <w:pPr>
              <w:pStyle w:val="TableParagraph"/>
              <w:spacing w:before="124"/>
              <w:ind w:right="247"/>
              <w:jc w:val="right"/>
              <w:rPr>
                <w:b/>
                <w:sz w:val="18"/>
              </w:rPr>
            </w:pPr>
            <w:r>
              <w:rPr>
                <w:b/>
                <w:w w:val="95"/>
                <w:sz w:val="18"/>
              </w:rPr>
              <w:t>8,295</w:t>
            </w:r>
          </w:p>
        </w:tc>
        <w:tc>
          <w:tcPr>
            <w:tcW w:w="1386" w:type="dxa"/>
            <w:tcBorders>
              <w:top w:val="single" w:sz="1" w:space="0" w:color="000000"/>
              <w:bottom w:val="single" w:sz="1" w:space="0" w:color="000000"/>
            </w:tcBorders>
          </w:tcPr>
          <w:p>
            <w:pPr>
              <w:pStyle w:val="TableParagraph"/>
              <w:spacing w:before="124"/>
              <w:ind w:right="337"/>
              <w:jc w:val="right"/>
              <w:rPr>
                <w:sz w:val="18"/>
              </w:rPr>
            </w:pPr>
            <w:r>
              <w:rPr>
                <w:w w:val="95"/>
                <w:sz w:val="18"/>
              </w:rPr>
              <w:t>7,705</w:t>
            </w:r>
          </w:p>
        </w:tc>
        <w:tc>
          <w:tcPr>
            <w:tcW w:w="1374" w:type="dxa"/>
            <w:tcBorders>
              <w:top w:val="single" w:sz="1" w:space="0" w:color="000000"/>
              <w:bottom w:val="single" w:sz="1" w:space="0" w:color="000000"/>
            </w:tcBorders>
          </w:tcPr>
          <w:p>
            <w:pPr>
              <w:pStyle w:val="TableParagraph"/>
              <w:spacing w:before="124"/>
              <w:ind w:right="247"/>
              <w:jc w:val="right"/>
              <w:rPr>
                <w:b/>
                <w:sz w:val="18"/>
              </w:rPr>
            </w:pPr>
            <w:r>
              <w:rPr>
                <w:b/>
                <w:w w:val="95"/>
                <w:sz w:val="18"/>
              </w:rPr>
              <w:t>8,295</w:t>
            </w:r>
          </w:p>
        </w:tc>
        <w:tc>
          <w:tcPr>
            <w:tcW w:w="1133" w:type="dxa"/>
            <w:tcBorders>
              <w:top w:val="single" w:sz="1" w:space="0" w:color="000000"/>
              <w:bottom w:val="single" w:sz="1" w:space="0" w:color="000000"/>
            </w:tcBorders>
          </w:tcPr>
          <w:p>
            <w:pPr>
              <w:pStyle w:val="TableParagraph"/>
              <w:spacing w:before="124"/>
              <w:ind w:right="84"/>
              <w:jc w:val="right"/>
              <w:rPr>
                <w:sz w:val="18"/>
              </w:rPr>
            </w:pPr>
            <w:r>
              <w:rPr>
                <w:w w:val="95"/>
                <w:sz w:val="18"/>
              </w:rPr>
              <w:t>7,705</w:t>
            </w:r>
          </w:p>
        </w:tc>
      </w:tr>
    </w:tbl>
    <w:p>
      <w:pPr>
        <w:spacing w:after="0"/>
        <w:jc w:val="right"/>
        <w:rPr>
          <w:sz w:val="18"/>
        </w:rPr>
        <w:sectPr>
          <w:pgSz w:w="11910" w:h="16840"/>
          <w:pgMar w:header="1037" w:footer="507" w:top="2220" w:bottom="700" w:left="900" w:right="880"/>
        </w:sectPr>
      </w:pPr>
    </w:p>
    <w:p>
      <w:pPr>
        <w:pStyle w:val="BodyText"/>
        <w:rPr>
          <w:b/>
          <w:sz w:val="20"/>
        </w:rPr>
      </w:pPr>
    </w:p>
    <w:p>
      <w:pPr>
        <w:pStyle w:val="BodyText"/>
        <w:rPr>
          <w:b/>
          <w:sz w:val="20"/>
        </w:rPr>
      </w:pPr>
    </w:p>
    <w:p>
      <w:pPr>
        <w:pStyle w:val="BodyText"/>
        <w:spacing w:before="5"/>
        <w:rPr>
          <w:b/>
        </w:rPr>
      </w:pPr>
    </w:p>
    <w:p>
      <w:pPr>
        <w:tabs>
          <w:tab w:pos="1070" w:val="left" w:leader="none"/>
        </w:tabs>
        <w:spacing w:before="0"/>
        <w:ind w:left="1070" w:right="440" w:hanging="567"/>
        <w:jc w:val="left"/>
        <w:rPr>
          <w:b/>
          <w:sz w:val="18"/>
        </w:rPr>
      </w:pPr>
      <w:bookmarkStart w:name="(e) Other Australian Government Financia" w:id="63"/>
      <w:bookmarkEnd w:id="63"/>
      <w:r>
        <w:rPr/>
      </w:r>
      <w:r>
        <w:rPr>
          <w:b/>
          <w:sz w:val="18"/>
        </w:rPr>
        <w:t>2</w:t>
        <w:tab/>
        <w:t>Australian Government financial assistance including HECS-HELP and other Australian Government </w:t>
      </w:r>
      <w:r>
        <w:rPr>
          <w:b/>
          <w:sz w:val="18"/>
        </w:rPr>
        <w:t>loan programs (continued)</w:t>
      </w:r>
    </w:p>
    <w:p>
      <w:pPr>
        <w:pStyle w:val="BodyText"/>
        <w:spacing w:before="11"/>
        <w:rPr>
          <w:b/>
          <w:sz w:val="19"/>
        </w:rPr>
      </w:pPr>
    </w:p>
    <w:p>
      <w:pPr>
        <w:pStyle w:val="ListParagraph"/>
        <w:numPr>
          <w:ilvl w:val="0"/>
          <w:numId w:val="23"/>
        </w:numPr>
        <w:tabs>
          <w:tab w:pos="1071" w:val="left" w:leader="none"/>
        </w:tabs>
        <w:spacing w:line="240" w:lineRule="auto" w:before="77" w:after="0"/>
        <w:ind w:left="1070" w:right="0" w:hanging="566"/>
        <w:jc w:val="left"/>
        <w:rPr>
          <w:sz w:val="18"/>
        </w:rPr>
      </w:pPr>
      <w:r>
        <w:rPr>
          <w:sz w:val="18"/>
        </w:rPr>
        <w:t>Other Australian Government Financial</w:t>
      </w:r>
      <w:r>
        <w:rPr>
          <w:spacing w:val="3"/>
          <w:sz w:val="18"/>
        </w:rPr>
        <w:t> </w:t>
      </w:r>
      <w:r>
        <w:rPr>
          <w:sz w:val="18"/>
        </w:rPr>
        <w:t>Assistance</w:t>
      </w:r>
    </w:p>
    <w:p>
      <w:pPr>
        <w:pStyle w:val="Heading9"/>
        <w:tabs>
          <w:tab w:pos="8354" w:val="left" w:leader="none"/>
        </w:tabs>
        <w:spacing w:before="38"/>
        <w:ind w:left="5316" w:right="220"/>
      </w:pPr>
      <w:r>
        <w:rPr/>
        <w:t>Consolidated</w:t>
        <w:tab/>
        <w:t>Parent</w:t>
      </w:r>
    </w:p>
    <w:p>
      <w:pPr>
        <w:spacing w:after="0"/>
        <w:sectPr>
          <w:pgSz w:w="11910" w:h="16840"/>
          <w:pgMar w:header="1037" w:footer="507" w:top="2220" w:bottom="700" w:left="900" w:right="880"/>
        </w:sectPr>
      </w:pPr>
    </w:p>
    <w:p>
      <w:pPr>
        <w:spacing w:before="66"/>
        <w:ind w:left="0" w:right="19" w:firstLine="0"/>
        <w:jc w:val="right"/>
        <w:rPr>
          <w:b/>
          <w:sz w:val="18"/>
        </w:rPr>
      </w:pPr>
      <w:r>
        <w:rPr>
          <w:b/>
          <w:w w:val="95"/>
          <w:sz w:val="18"/>
        </w:rPr>
        <w:t>2017</w:t>
      </w:r>
    </w:p>
    <w:p>
      <w:pPr>
        <w:spacing w:before="66"/>
        <w:ind w:left="0" w:right="0" w:firstLine="0"/>
        <w:jc w:val="right"/>
        <w:rPr>
          <w:b/>
          <w:sz w:val="18"/>
        </w:rPr>
      </w:pPr>
      <w:r>
        <w:rPr>
          <w:b/>
          <w:sz w:val="18"/>
        </w:rPr>
        <w:t>$'000</w:t>
      </w:r>
    </w:p>
    <w:p>
      <w:pPr>
        <w:spacing w:before="66"/>
        <w:ind w:left="819" w:right="-16" w:firstLine="0"/>
        <w:jc w:val="left"/>
        <w:rPr>
          <w:b/>
          <w:sz w:val="18"/>
        </w:rPr>
      </w:pPr>
      <w:r>
        <w:rPr/>
        <w:br w:type="column"/>
      </w:r>
      <w:r>
        <w:rPr>
          <w:b/>
          <w:sz w:val="18"/>
        </w:rPr>
        <w:t>2016</w:t>
      </w:r>
    </w:p>
    <w:p>
      <w:pPr>
        <w:spacing w:before="66"/>
        <w:ind w:left="797" w:right="-16"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19" w:right="0" w:firstLine="0"/>
        <w:jc w:val="left"/>
        <w:rPr>
          <w:b/>
          <w:sz w:val="18"/>
        </w:rPr>
      </w:pPr>
      <w:r>
        <w:rPr/>
        <w:br w:type="column"/>
      </w:r>
      <w:r>
        <w:rPr>
          <w:b/>
          <w:sz w:val="18"/>
        </w:rPr>
        <w:t>2016</w:t>
      </w:r>
    </w:p>
    <w:p>
      <w:pPr>
        <w:spacing w:before="66"/>
        <w:ind w:left="797" w:right="0" w:firstLine="0"/>
        <w:jc w:val="left"/>
        <w:rPr>
          <w:b/>
          <w:sz w:val="18"/>
        </w:rPr>
      </w:pPr>
      <w:r>
        <w:rPr>
          <w:b/>
          <w:sz w:val="18"/>
        </w:rPr>
        <w:t>$'000</w:t>
      </w:r>
    </w:p>
    <w:p>
      <w:pPr>
        <w:spacing w:after="0"/>
        <w:jc w:val="left"/>
        <w:rPr>
          <w:sz w:val="18"/>
        </w:rPr>
        <w:sectPr>
          <w:type w:val="continuous"/>
          <w:pgSz w:w="11910" w:h="16840"/>
          <w:pgMar w:top="1580" w:bottom="280" w:left="900" w:right="880"/>
          <w:cols w:num="4" w:equalWidth="0">
            <w:col w:w="5530" w:space="40"/>
            <w:col w:w="1245" w:space="40"/>
            <w:col w:w="1437" w:space="40"/>
            <w:col w:w="1798"/>
          </w:cols>
        </w:sectPr>
      </w:pPr>
    </w:p>
    <w:p>
      <w:pPr>
        <w:pStyle w:val="BodyText"/>
        <w:spacing w:before="5"/>
        <w:rPr>
          <w:b/>
          <w:sz w:val="8"/>
        </w:rPr>
      </w:pPr>
    </w:p>
    <w:tbl>
      <w:tblPr>
        <w:tblW w:w="0" w:type="auto"/>
        <w:jc w:val="left"/>
        <w:tblInd w:w="105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33"/>
        <w:gridCol w:w="1798"/>
        <w:gridCol w:w="1380"/>
        <w:gridCol w:w="1380"/>
        <w:gridCol w:w="962"/>
      </w:tblGrid>
      <w:tr>
        <w:trPr>
          <w:trHeight w:val="558" w:hRule="exact"/>
        </w:trPr>
        <w:tc>
          <w:tcPr>
            <w:tcW w:w="3433" w:type="dxa"/>
          </w:tcPr>
          <w:p>
            <w:pPr>
              <w:pStyle w:val="TableParagraph"/>
              <w:spacing w:before="77"/>
              <w:ind w:left="35" w:right="617"/>
              <w:rPr>
                <w:b/>
                <w:sz w:val="18"/>
              </w:rPr>
            </w:pPr>
            <w:r>
              <w:rPr>
                <w:b/>
                <w:sz w:val="18"/>
              </w:rPr>
              <w:t>Non-capital</w:t>
            </w:r>
          </w:p>
          <w:p>
            <w:pPr>
              <w:pStyle w:val="TableParagraph"/>
              <w:spacing w:before="30"/>
              <w:ind w:left="35" w:right="617"/>
              <w:rPr>
                <w:sz w:val="18"/>
              </w:rPr>
            </w:pPr>
            <w:r>
              <w:rPr>
                <w:sz w:val="18"/>
              </w:rPr>
              <w:t>Department of Health</w:t>
            </w:r>
          </w:p>
        </w:tc>
        <w:tc>
          <w:tcPr>
            <w:tcW w:w="1798" w:type="dxa"/>
          </w:tcPr>
          <w:p>
            <w:pPr>
              <w:pStyle w:val="TableParagraph"/>
              <w:rPr>
                <w:b/>
                <w:sz w:val="18"/>
              </w:rPr>
            </w:pPr>
          </w:p>
          <w:p>
            <w:pPr>
              <w:pStyle w:val="TableParagraph"/>
              <w:spacing w:before="105"/>
              <w:ind w:right="420"/>
              <w:jc w:val="right"/>
              <w:rPr>
                <w:b/>
                <w:sz w:val="18"/>
              </w:rPr>
            </w:pPr>
            <w:r>
              <w:rPr>
                <w:b/>
                <w:w w:val="95"/>
                <w:sz w:val="18"/>
              </w:rPr>
              <w:t>3,715</w:t>
            </w:r>
          </w:p>
        </w:tc>
        <w:tc>
          <w:tcPr>
            <w:tcW w:w="1380" w:type="dxa"/>
          </w:tcPr>
          <w:p>
            <w:pPr>
              <w:pStyle w:val="TableParagraph"/>
              <w:rPr>
                <w:b/>
                <w:sz w:val="18"/>
              </w:rPr>
            </w:pPr>
          </w:p>
          <w:p>
            <w:pPr>
              <w:pStyle w:val="TableParagraph"/>
              <w:spacing w:before="105"/>
              <w:ind w:right="502"/>
              <w:jc w:val="right"/>
              <w:rPr>
                <w:sz w:val="18"/>
              </w:rPr>
            </w:pPr>
            <w:r>
              <w:rPr>
                <w:w w:val="95"/>
                <w:sz w:val="18"/>
              </w:rPr>
              <w:t>3,649</w:t>
            </w:r>
          </w:p>
        </w:tc>
        <w:tc>
          <w:tcPr>
            <w:tcW w:w="1380" w:type="dxa"/>
          </w:tcPr>
          <w:p>
            <w:pPr>
              <w:pStyle w:val="TableParagraph"/>
              <w:rPr>
                <w:b/>
                <w:sz w:val="18"/>
              </w:rPr>
            </w:pPr>
          </w:p>
          <w:p>
            <w:pPr>
              <w:pStyle w:val="TableParagraph"/>
              <w:spacing w:before="105"/>
              <w:ind w:right="420"/>
              <w:jc w:val="right"/>
              <w:rPr>
                <w:b/>
                <w:sz w:val="18"/>
              </w:rPr>
            </w:pPr>
            <w:r>
              <w:rPr>
                <w:b/>
                <w:w w:val="95"/>
                <w:sz w:val="18"/>
              </w:rPr>
              <w:t>3,715</w:t>
            </w:r>
          </w:p>
        </w:tc>
        <w:tc>
          <w:tcPr>
            <w:tcW w:w="962" w:type="dxa"/>
          </w:tcPr>
          <w:p>
            <w:pPr>
              <w:pStyle w:val="TableParagraph"/>
              <w:rPr>
                <w:b/>
                <w:sz w:val="18"/>
              </w:rPr>
            </w:pPr>
          </w:p>
          <w:p>
            <w:pPr>
              <w:pStyle w:val="TableParagraph"/>
              <w:spacing w:before="105"/>
              <w:ind w:right="84"/>
              <w:jc w:val="right"/>
              <w:rPr>
                <w:sz w:val="18"/>
              </w:rPr>
            </w:pPr>
            <w:r>
              <w:rPr>
                <w:w w:val="95"/>
                <w:sz w:val="18"/>
              </w:rPr>
              <w:t>3,649</w:t>
            </w:r>
          </w:p>
        </w:tc>
      </w:tr>
      <w:tr>
        <w:trPr>
          <w:trHeight w:val="263" w:hRule="exact"/>
        </w:trPr>
        <w:tc>
          <w:tcPr>
            <w:tcW w:w="3433" w:type="dxa"/>
          </w:tcPr>
          <w:p>
            <w:pPr>
              <w:pStyle w:val="TableParagraph"/>
              <w:spacing w:before="20"/>
              <w:ind w:left="35" w:right="617"/>
              <w:rPr>
                <w:sz w:val="18"/>
              </w:rPr>
            </w:pPr>
            <w:r>
              <w:rPr>
                <w:sz w:val="18"/>
              </w:rPr>
              <w:t>Away-from-base assistance</w:t>
            </w:r>
          </w:p>
        </w:tc>
        <w:tc>
          <w:tcPr>
            <w:tcW w:w="1798" w:type="dxa"/>
          </w:tcPr>
          <w:p>
            <w:pPr>
              <w:pStyle w:val="TableParagraph"/>
              <w:spacing w:before="18"/>
              <w:ind w:right="420"/>
              <w:jc w:val="right"/>
              <w:rPr>
                <w:b/>
                <w:sz w:val="18"/>
              </w:rPr>
            </w:pPr>
            <w:r>
              <w:rPr>
                <w:b/>
                <w:w w:val="95"/>
                <w:sz w:val="18"/>
              </w:rPr>
              <w:t>387</w:t>
            </w:r>
          </w:p>
        </w:tc>
        <w:tc>
          <w:tcPr>
            <w:tcW w:w="1380" w:type="dxa"/>
          </w:tcPr>
          <w:p>
            <w:pPr>
              <w:pStyle w:val="TableParagraph"/>
              <w:spacing w:before="18"/>
              <w:ind w:right="502"/>
              <w:jc w:val="right"/>
              <w:rPr>
                <w:sz w:val="18"/>
              </w:rPr>
            </w:pPr>
            <w:r>
              <w:rPr>
                <w:w w:val="95"/>
                <w:sz w:val="18"/>
              </w:rPr>
              <w:t>404</w:t>
            </w:r>
          </w:p>
        </w:tc>
        <w:tc>
          <w:tcPr>
            <w:tcW w:w="1380" w:type="dxa"/>
          </w:tcPr>
          <w:p>
            <w:pPr>
              <w:pStyle w:val="TableParagraph"/>
              <w:spacing w:before="18"/>
              <w:ind w:right="420"/>
              <w:jc w:val="right"/>
              <w:rPr>
                <w:b/>
                <w:sz w:val="18"/>
              </w:rPr>
            </w:pPr>
            <w:r>
              <w:rPr>
                <w:b/>
                <w:w w:val="95"/>
                <w:sz w:val="18"/>
              </w:rPr>
              <w:t>387</w:t>
            </w:r>
          </w:p>
        </w:tc>
        <w:tc>
          <w:tcPr>
            <w:tcW w:w="962" w:type="dxa"/>
          </w:tcPr>
          <w:p>
            <w:pPr>
              <w:pStyle w:val="TableParagraph"/>
              <w:spacing w:before="18"/>
              <w:ind w:right="84"/>
              <w:jc w:val="right"/>
              <w:rPr>
                <w:sz w:val="18"/>
              </w:rPr>
            </w:pPr>
            <w:r>
              <w:rPr>
                <w:w w:val="95"/>
                <w:sz w:val="18"/>
              </w:rPr>
              <w:t>404</w:t>
            </w:r>
          </w:p>
        </w:tc>
      </w:tr>
      <w:tr>
        <w:trPr>
          <w:trHeight w:val="466" w:hRule="exact"/>
        </w:trPr>
        <w:tc>
          <w:tcPr>
            <w:tcW w:w="3433" w:type="dxa"/>
          </w:tcPr>
          <w:p>
            <w:pPr>
              <w:pStyle w:val="TableParagraph"/>
              <w:spacing w:before="16"/>
              <w:ind w:left="35" w:right="617"/>
              <w:rPr>
                <w:sz w:val="18"/>
              </w:rPr>
            </w:pPr>
            <w:r>
              <w:rPr>
                <w:sz w:val="18"/>
              </w:rPr>
              <w:t>Indigenous Tutorial Assistance Scheme</w:t>
            </w:r>
          </w:p>
        </w:tc>
        <w:tc>
          <w:tcPr>
            <w:tcW w:w="1798" w:type="dxa"/>
          </w:tcPr>
          <w:p>
            <w:pPr>
              <w:pStyle w:val="TableParagraph"/>
              <w:spacing w:before="2"/>
              <w:rPr>
                <w:b/>
                <w:sz w:val="19"/>
              </w:rPr>
            </w:pPr>
          </w:p>
          <w:p>
            <w:pPr>
              <w:pStyle w:val="TableParagraph"/>
              <w:ind w:right="420"/>
              <w:jc w:val="right"/>
              <w:rPr>
                <w:b/>
                <w:sz w:val="18"/>
              </w:rPr>
            </w:pPr>
            <w:r>
              <w:rPr>
                <w:b/>
                <w:w w:val="99"/>
                <w:sz w:val="18"/>
              </w:rPr>
              <w:t>-</w:t>
            </w:r>
          </w:p>
        </w:tc>
        <w:tc>
          <w:tcPr>
            <w:tcW w:w="1380" w:type="dxa"/>
          </w:tcPr>
          <w:p>
            <w:pPr>
              <w:pStyle w:val="TableParagraph"/>
              <w:spacing w:before="2"/>
              <w:rPr>
                <w:b/>
                <w:sz w:val="19"/>
              </w:rPr>
            </w:pPr>
          </w:p>
          <w:p>
            <w:pPr>
              <w:pStyle w:val="TableParagraph"/>
              <w:ind w:right="502"/>
              <w:jc w:val="right"/>
              <w:rPr>
                <w:sz w:val="18"/>
              </w:rPr>
            </w:pPr>
            <w:r>
              <w:rPr>
                <w:w w:val="95"/>
                <w:sz w:val="18"/>
              </w:rPr>
              <w:t>480</w:t>
            </w:r>
          </w:p>
        </w:tc>
        <w:tc>
          <w:tcPr>
            <w:tcW w:w="1380" w:type="dxa"/>
          </w:tcPr>
          <w:p>
            <w:pPr>
              <w:pStyle w:val="TableParagraph"/>
              <w:spacing w:before="2"/>
              <w:rPr>
                <w:b/>
                <w:sz w:val="19"/>
              </w:rPr>
            </w:pPr>
          </w:p>
          <w:p>
            <w:pPr>
              <w:pStyle w:val="TableParagraph"/>
              <w:ind w:right="420"/>
              <w:jc w:val="right"/>
              <w:rPr>
                <w:b/>
                <w:sz w:val="18"/>
              </w:rPr>
            </w:pPr>
            <w:r>
              <w:rPr>
                <w:b/>
                <w:w w:val="99"/>
                <w:sz w:val="18"/>
              </w:rPr>
              <w:t>-</w:t>
            </w:r>
          </w:p>
        </w:tc>
        <w:tc>
          <w:tcPr>
            <w:tcW w:w="962" w:type="dxa"/>
          </w:tcPr>
          <w:p>
            <w:pPr>
              <w:pStyle w:val="TableParagraph"/>
              <w:spacing w:before="2"/>
              <w:rPr>
                <w:b/>
                <w:sz w:val="19"/>
              </w:rPr>
            </w:pPr>
          </w:p>
          <w:p>
            <w:pPr>
              <w:pStyle w:val="TableParagraph"/>
              <w:ind w:right="84"/>
              <w:jc w:val="right"/>
              <w:rPr>
                <w:sz w:val="18"/>
              </w:rPr>
            </w:pPr>
            <w:r>
              <w:rPr>
                <w:w w:val="95"/>
                <w:sz w:val="18"/>
              </w:rPr>
              <w:t>480</w:t>
            </w:r>
          </w:p>
        </w:tc>
      </w:tr>
      <w:tr>
        <w:trPr>
          <w:trHeight w:val="467" w:hRule="exact"/>
        </w:trPr>
        <w:tc>
          <w:tcPr>
            <w:tcW w:w="3433" w:type="dxa"/>
          </w:tcPr>
          <w:p>
            <w:pPr>
              <w:pStyle w:val="TableParagraph"/>
              <w:spacing w:before="16"/>
              <w:ind w:left="35" w:right="617"/>
              <w:rPr>
                <w:sz w:val="18"/>
              </w:rPr>
            </w:pPr>
            <w:r>
              <w:rPr>
                <w:sz w:val="18"/>
              </w:rPr>
              <w:t>Study overseas short term mobility project</w:t>
            </w:r>
          </w:p>
        </w:tc>
        <w:tc>
          <w:tcPr>
            <w:tcW w:w="1798" w:type="dxa"/>
          </w:tcPr>
          <w:p>
            <w:pPr>
              <w:pStyle w:val="TableParagraph"/>
              <w:spacing w:before="2"/>
              <w:rPr>
                <w:b/>
                <w:sz w:val="19"/>
              </w:rPr>
            </w:pPr>
          </w:p>
          <w:p>
            <w:pPr>
              <w:pStyle w:val="TableParagraph"/>
              <w:ind w:right="420"/>
              <w:jc w:val="right"/>
              <w:rPr>
                <w:b/>
                <w:sz w:val="18"/>
              </w:rPr>
            </w:pPr>
            <w:r>
              <w:rPr>
                <w:b/>
                <w:w w:val="95"/>
                <w:sz w:val="18"/>
              </w:rPr>
              <w:t>1,773</w:t>
            </w:r>
          </w:p>
        </w:tc>
        <w:tc>
          <w:tcPr>
            <w:tcW w:w="1380" w:type="dxa"/>
          </w:tcPr>
          <w:p>
            <w:pPr>
              <w:pStyle w:val="TableParagraph"/>
              <w:spacing w:before="2"/>
              <w:rPr>
                <w:b/>
                <w:sz w:val="19"/>
              </w:rPr>
            </w:pPr>
          </w:p>
          <w:p>
            <w:pPr>
              <w:pStyle w:val="TableParagraph"/>
              <w:ind w:right="502"/>
              <w:jc w:val="right"/>
              <w:rPr>
                <w:sz w:val="18"/>
              </w:rPr>
            </w:pPr>
            <w:r>
              <w:rPr>
                <w:w w:val="95"/>
                <w:sz w:val="18"/>
              </w:rPr>
              <w:t>1,877</w:t>
            </w:r>
          </w:p>
        </w:tc>
        <w:tc>
          <w:tcPr>
            <w:tcW w:w="1380" w:type="dxa"/>
          </w:tcPr>
          <w:p>
            <w:pPr>
              <w:pStyle w:val="TableParagraph"/>
              <w:spacing w:before="2"/>
              <w:rPr>
                <w:b/>
                <w:sz w:val="19"/>
              </w:rPr>
            </w:pPr>
          </w:p>
          <w:p>
            <w:pPr>
              <w:pStyle w:val="TableParagraph"/>
              <w:ind w:right="420"/>
              <w:jc w:val="right"/>
              <w:rPr>
                <w:b/>
                <w:sz w:val="18"/>
              </w:rPr>
            </w:pPr>
            <w:r>
              <w:rPr>
                <w:b/>
                <w:w w:val="95"/>
                <w:sz w:val="18"/>
              </w:rPr>
              <w:t>1,773</w:t>
            </w:r>
          </w:p>
        </w:tc>
        <w:tc>
          <w:tcPr>
            <w:tcW w:w="962" w:type="dxa"/>
          </w:tcPr>
          <w:p>
            <w:pPr>
              <w:pStyle w:val="TableParagraph"/>
              <w:spacing w:before="2"/>
              <w:rPr>
                <w:b/>
                <w:sz w:val="19"/>
              </w:rPr>
            </w:pPr>
          </w:p>
          <w:p>
            <w:pPr>
              <w:pStyle w:val="TableParagraph"/>
              <w:ind w:right="84"/>
              <w:jc w:val="right"/>
              <w:rPr>
                <w:sz w:val="18"/>
              </w:rPr>
            </w:pPr>
            <w:r>
              <w:rPr>
                <w:w w:val="95"/>
                <w:sz w:val="18"/>
              </w:rPr>
              <w:t>1,877</w:t>
            </w:r>
          </w:p>
        </w:tc>
      </w:tr>
      <w:tr>
        <w:trPr>
          <w:trHeight w:val="260" w:hRule="exact"/>
        </w:trPr>
        <w:tc>
          <w:tcPr>
            <w:tcW w:w="3433" w:type="dxa"/>
          </w:tcPr>
          <w:p>
            <w:pPr>
              <w:pStyle w:val="TableParagraph"/>
              <w:spacing w:before="20"/>
              <w:ind w:left="35" w:right="617"/>
              <w:rPr>
                <w:sz w:val="18"/>
              </w:rPr>
            </w:pPr>
            <w:r>
              <w:rPr>
                <w:sz w:val="18"/>
              </w:rPr>
              <w:t>Other</w:t>
            </w:r>
          </w:p>
        </w:tc>
        <w:tc>
          <w:tcPr>
            <w:tcW w:w="1798" w:type="dxa"/>
            <w:tcBorders>
              <w:bottom w:val="single" w:sz="1" w:space="0" w:color="000000"/>
            </w:tcBorders>
          </w:tcPr>
          <w:p>
            <w:pPr>
              <w:pStyle w:val="TableParagraph"/>
              <w:spacing w:before="18"/>
              <w:ind w:right="420"/>
              <w:jc w:val="right"/>
              <w:rPr>
                <w:b/>
                <w:sz w:val="18"/>
              </w:rPr>
            </w:pPr>
            <w:r>
              <w:rPr>
                <w:b/>
                <w:w w:val="95"/>
                <w:sz w:val="18"/>
              </w:rPr>
              <w:t>321</w:t>
            </w:r>
          </w:p>
        </w:tc>
        <w:tc>
          <w:tcPr>
            <w:tcW w:w="1380" w:type="dxa"/>
            <w:tcBorders>
              <w:bottom w:val="single" w:sz="1" w:space="0" w:color="000000"/>
            </w:tcBorders>
          </w:tcPr>
          <w:p>
            <w:pPr>
              <w:pStyle w:val="TableParagraph"/>
              <w:spacing w:before="18"/>
              <w:ind w:right="502"/>
              <w:jc w:val="right"/>
              <w:rPr>
                <w:sz w:val="18"/>
              </w:rPr>
            </w:pPr>
            <w:r>
              <w:rPr>
                <w:w w:val="95"/>
                <w:sz w:val="18"/>
              </w:rPr>
              <w:t>319</w:t>
            </w:r>
          </w:p>
        </w:tc>
        <w:tc>
          <w:tcPr>
            <w:tcW w:w="1380" w:type="dxa"/>
            <w:tcBorders>
              <w:bottom w:val="single" w:sz="1" w:space="0" w:color="000000"/>
            </w:tcBorders>
          </w:tcPr>
          <w:p>
            <w:pPr>
              <w:pStyle w:val="TableParagraph"/>
              <w:spacing w:before="18"/>
              <w:ind w:right="420"/>
              <w:jc w:val="right"/>
              <w:rPr>
                <w:b/>
                <w:sz w:val="18"/>
              </w:rPr>
            </w:pPr>
            <w:r>
              <w:rPr>
                <w:b/>
                <w:w w:val="95"/>
                <w:sz w:val="18"/>
              </w:rPr>
              <w:t>321</w:t>
            </w:r>
          </w:p>
        </w:tc>
        <w:tc>
          <w:tcPr>
            <w:tcW w:w="962" w:type="dxa"/>
            <w:tcBorders>
              <w:bottom w:val="single" w:sz="1" w:space="0" w:color="000000"/>
            </w:tcBorders>
          </w:tcPr>
          <w:p>
            <w:pPr>
              <w:pStyle w:val="TableParagraph"/>
              <w:spacing w:before="18"/>
              <w:ind w:right="84"/>
              <w:jc w:val="right"/>
              <w:rPr>
                <w:sz w:val="18"/>
              </w:rPr>
            </w:pPr>
            <w:r>
              <w:rPr>
                <w:w w:val="95"/>
                <w:sz w:val="18"/>
              </w:rPr>
              <w:t>319</w:t>
            </w:r>
          </w:p>
        </w:tc>
      </w:tr>
      <w:tr>
        <w:trPr>
          <w:trHeight w:val="338" w:hRule="exact"/>
        </w:trPr>
        <w:tc>
          <w:tcPr>
            <w:tcW w:w="3433" w:type="dxa"/>
          </w:tcPr>
          <w:p>
            <w:pPr>
              <w:pStyle w:val="TableParagraph"/>
              <w:spacing w:before="125"/>
              <w:ind w:left="35" w:right="617"/>
              <w:rPr>
                <w:b/>
                <w:sz w:val="18"/>
              </w:rPr>
            </w:pPr>
            <w:r>
              <w:rPr>
                <w:b/>
                <w:sz w:val="18"/>
              </w:rPr>
              <w:t>Total Non-capital</w:t>
            </w:r>
          </w:p>
        </w:tc>
        <w:tc>
          <w:tcPr>
            <w:tcW w:w="1798" w:type="dxa"/>
            <w:tcBorders>
              <w:top w:val="single" w:sz="1" w:space="0" w:color="000000"/>
              <w:bottom w:val="single" w:sz="1" w:space="0" w:color="000000"/>
            </w:tcBorders>
          </w:tcPr>
          <w:p>
            <w:pPr>
              <w:pStyle w:val="TableParagraph"/>
              <w:spacing w:before="124"/>
              <w:ind w:right="420"/>
              <w:jc w:val="right"/>
              <w:rPr>
                <w:b/>
                <w:sz w:val="18"/>
              </w:rPr>
            </w:pPr>
            <w:r>
              <w:rPr>
                <w:b/>
                <w:w w:val="95"/>
                <w:sz w:val="18"/>
              </w:rPr>
              <w:t>6,196</w:t>
            </w:r>
          </w:p>
        </w:tc>
        <w:tc>
          <w:tcPr>
            <w:tcW w:w="1380" w:type="dxa"/>
            <w:tcBorders>
              <w:top w:val="single" w:sz="1" w:space="0" w:color="000000"/>
              <w:bottom w:val="single" w:sz="1" w:space="0" w:color="000000"/>
            </w:tcBorders>
          </w:tcPr>
          <w:p>
            <w:pPr>
              <w:pStyle w:val="TableParagraph"/>
              <w:spacing w:before="124"/>
              <w:ind w:right="502"/>
              <w:jc w:val="right"/>
              <w:rPr>
                <w:sz w:val="18"/>
              </w:rPr>
            </w:pPr>
            <w:r>
              <w:rPr>
                <w:w w:val="95"/>
                <w:sz w:val="18"/>
              </w:rPr>
              <w:t>6,729</w:t>
            </w:r>
          </w:p>
        </w:tc>
        <w:tc>
          <w:tcPr>
            <w:tcW w:w="1380" w:type="dxa"/>
            <w:tcBorders>
              <w:top w:val="single" w:sz="1" w:space="0" w:color="000000"/>
              <w:bottom w:val="single" w:sz="1" w:space="0" w:color="000000"/>
            </w:tcBorders>
          </w:tcPr>
          <w:p>
            <w:pPr>
              <w:pStyle w:val="TableParagraph"/>
              <w:spacing w:before="124"/>
              <w:ind w:right="420"/>
              <w:jc w:val="right"/>
              <w:rPr>
                <w:b/>
                <w:sz w:val="18"/>
              </w:rPr>
            </w:pPr>
            <w:r>
              <w:rPr>
                <w:b/>
                <w:w w:val="95"/>
                <w:sz w:val="18"/>
              </w:rPr>
              <w:t>6,196</w:t>
            </w:r>
          </w:p>
        </w:tc>
        <w:tc>
          <w:tcPr>
            <w:tcW w:w="962" w:type="dxa"/>
            <w:tcBorders>
              <w:top w:val="single" w:sz="1" w:space="0" w:color="000000"/>
              <w:bottom w:val="single" w:sz="1" w:space="0" w:color="000000"/>
            </w:tcBorders>
          </w:tcPr>
          <w:p>
            <w:pPr>
              <w:pStyle w:val="TableParagraph"/>
              <w:spacing w:before="124"/>
              <w:ind w:right="84"/>
              <w:jc w:val="right"/>
              <w:rPr>
                <w:sz w:val="18"/>
              </w:rPr>
            </w:pPr>
            <w:r>
              <w:rPr>
                <w:w w:val="95"/>
                <w:sz w:val="18"/>
              </w:rPr>
              <w:t>6,729</w:t>
            </w:r>
          </w:p>
        </w:tc>
      </w:tr>
      <w:tr>
        <w:trPr>
          <w:trHeight w:val="356" w:hRule="exact"/>
        </w:trPr>
        <w:tc>
          <w:tcPr>
            <w:tcW w:w="3433" w:type="dxa"/>
          </w:tcPr>
          <w:p>
            <w:pPr>
              <w:pStyle w:val="TableParagraph"/>
              <w:spacing w:before="125"/>
              <w:ind w:left="35" w:right="617"/>
              <w:rPr>
                <w:b/>
                <w:sz w:val="18"/>
              </w:rPr>
            </w:pPr>
            <w:r>
              <w:rPr>
                <w:b/>
                <w:sz w:val="18"/>
              </w:rPr>
              <w:t>Capital</w:t>
            </w:r>
          </w:p>
        </w:tc>
        <w:tc>
          <w:tcPr>
            <w:tcW w:w="1798"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962" w:type="dxa"/>
            <w:tcBorders>
              <w:top w:val="single" w:sz="1" w:space="0" w:color="000000"/>
            </w:tcBorders>
          </w:tcPr>
          <w:p>
            <w:pPr/>
          </w:p>
        </w:tc>
      </w:tr>
      <w:tr>
        <w:trPr>
          <w:trHeight w:val="247" w:hRule="exact"/>
        </w:trPr>
        <w:tc>
          <w:tcPr>
            <w:tcW w:w="3433" w:type="dxa"/>
          </w:tcPr>
          <w:p>
            <w:pPr>
              <w:pStyle w:val="TableParagraph"/>
              <w:spacing w:before="7"/>
              <w:ind w:left="35" w:right="617"/>
              <w:rPr>
                <w:sz w:val="18"/>
              </w:rPr>
            </w:pPr>
            <w:r>
              <w:rPr>
                <w:sz w:val="18"/>
              </w:rPr>
              <w:t>Horticulture Innovation Australia</w:t>
            </w:r>
          </w:p>
        </w:tc>
        <w:tc>
          <w:tcPr>
            <w:tcW w:w="1798" w:type="dxa"/>
            <w:tcBorders>
              <w:bottom w:val="single" w:sz="1" w:space="0" w:color="000000"/>
            </w:tcBorders>
          </w:tcPr>
          <w:p>
            <w:pPr>
              <w:pStyle w:val="TableParagraph"/>
              <w:spacing w:before="4"/>
              <w:ind w:right="420"/>
              <w:jc w:val="right"/>
              <w:rPr>
                <w:b/>
                <w:sz w:val="18"/>
              </w:rPr>
            </w:pPr>
            <w:r>
              <w:rPr>
                <w:b/>
                <w:w w:val="95"/>
                <w:sz w:val="18"/>
              </w:rPr>
              <w:t>697</w:t>
            </w:r>
          </w:p>
        </w:tc>
        <w:tc>
          <w:tcPr>
            <w:tcW w:w="1380" w:type="dxa"/>
            <w:tcBorders>
              <w:bottom w:val="single" w:sz="1" w:space="0" w:color="000000"/>
            </w:tcBorders>
          </w:tcPr>
          <w:p>
            <w:pPr>
              <w:pStyle w:val="TableParagraph"/>
              <w:spacing w:before="4"/>
              <w:ind w:right="502"/>
              <w:jc w:val="right"/>
              <w:rPr>
                <w:sz w:val="18"/>
              </w:rPr>
            </w:pPr>
            <w:r>
              <w:rPr>
                <w:w w:val="95"/>
                <w:sz w:val="18"/>
              </w:rPr>
              <w:t>750</w:t>
            </w:r>
          </w:p>
        </w:tc>
        <w:tc>
          <w:tcPr>
            <w:tcW w:w="1380" w:type="dxa"/>
            <w:tcBorders>
              <w:bottom w:val="single" w:sz="1" w:space="0" w:color="000000"/>
            </w:tcBorders>
          </w:tcPr>
          <w:p>
            <w:pPr>
              <w:pStyle w:val="TableParagraph"/>
              <w:spacing w:before="4"/>
              <w:ind w:right="420"/>
              <w:jc w:val="right"/>
              <w:rPr>
                <w:b/>
                <w:sz w:val="18"/>
              </w:rPr>
            </w:pPr>
            <w:r>
              <w:rPr>
                <w:b/>
                <w:w w:val="95"/>
                <w:sz w:val="18"/>
              </w:rPr>
              <w:t>697</w:t>
            </w:r>
          </w:p>
        </w:tc>
        <w:tc>
          <w:tcPr>
            <w:tcW w:w="962" w:type="dxa"/>
            <w:tcBorders>
              <w:bottom w:val="single" w:sz="1" w:space="0" w:color="000000"/>
            </w:tcBorders>
          </w:tcPr>
          <w:p>
            <w:pPr>
              <w:pStyle w:val="TableParagraph"/>
              <w:spacing w:before="4"/>
              <w:ind w:right="84"/>
              <w:jc w:val="right"/>
              <w:rPr>
                <w:sz w:val="18"/>
              </w:rPr>
            </w:pPr>
            <w:r>
              <w:rPr>
                <w:w w:val="95"/>
                <w:sz w:val="18"/>
              </w:rPr>
              <w:t>750</w:t>
            </w:r>
          </w:p>
        </w:tc>
      </w:tr>
      <w:tr>
        <w:trPr>
          <w:trHeight w:val="338" w:hRule="exact"/>
        </w:trPr>
        <w:tc>
          <w:tcPr>
            <w:tcW w:w="3433" w:type="dxa"/>
          </w:tcPr>
          <w:p>
            <w:pPr>
              <w:pStyle w:val="TableParagraph"/>
              <w:spacing w:before="125"/>
              <w:ind w:left="35" w:right="617"/>
              <w:rPr>
                <w:b/>
                <w:sz w:val="18"/>
              </w:rPr>
            </w:pPr>
            <w:r>
              <w:rPr>
                <w:b/>
                <w:sz w:val="18"/>
              </w:rPr>
              <w:t>Total Capital</w:t>
            </w:r>
          </w:p>
        </w:tc>
        <w:tc>
          <w:tcPr>
            <w:tcW w:w="1798" w:type="dxa"/>
            <w:tcBorders>
              <w:top w:val="single" w:sz="1" w:space="0" w:color="000000"/>
              <w:bottom w:val="single" w:sz="1" w:space="0" w:color="000000"/>
            </w:tcBorders>
          </w:tcPr>
          <w:p>
            <w:pPr>
              <w:pStyle w:val="TableParagraph"/>
              <w:spacing w:before="124"/>
              <w:ind w:right="420"/>
              <w:jc w:val="right"/>
              <w:rPr>
                <w:b/>
                <w:sz w:val="18"/>
              </w:rPr>
            </w:pPr>
            <w:r>
              <w:rPr>
                <w:b/>
                <w:w w:val="95"/>
                <w:sz w:val="18"/>
              </w:rPr>
              <w:t>697</w:t>
            </w:r>
          </w:p>
        </w:tc>
        <w:tc>
          <w:tcPr>
            <w:tcW w:w="1380" w:type="dxa"/>
            <w:tcBorders>
              <w:top w:val="single" w:sz="1" w:space="0" w:color="000000"/>
              <w:bottom w:val="single" w:sz="1" w:space="0" w:color="000000"/>
            </w:tcBorders>
          </w:tcPr>
          <w:p>
            <w:pPr>
              <w:pStyle w:val="TableParagraph"/>
              <w:spacing w:before="124"/>
              <w:ind w:right="502"/>
              <w:jc w:val="right"/>
              <w:rPr>
                <w:sz w:val="18"/>
              </w:rPr>
            </w:pPr>
            <w:r>
              <w:rPr>
                <w:w w:val="95"/>
                <w:sz w:val="18"/>
              </w:rPr>
              <w:t>750</w:t>
            </w:r>
          </w:p>
        </w:tc>
        <w:tc>
          <w:tcPr>
            <w:tcW w:w="1380" w:type="dxa"/>
            <w:tcBorders>
              <w:top w:val="single" w:sz="1" w:space="0" w:color="000000"/>
              <w:bottom w:val="single" w:sz="1" w:space="0" w:color="000000"/>
            </w:tcBorders>
          </w:tcPr>
          <w:p>
            <w:pPr>
              <w:pStyle w:val="TableParagraph"/>
              <w:spacing w:before="124"/>
              <w:ind w:right="420"/>
              <w:jc w:val="right"/>
              <w:rPr>
                <w:b/>
                <w:sz w:val="18"/>
              </w:rPr>
            </w:pPr>
            <w:r>
              <w:rPr>
                <w:b/>
                <w:w w:val="95"/>
                <w:sz w:val="18"/>
              </w:rPr>
              <w:t>697</w:t>
            </w:r>
          </w:p>
        </w:tc>
        <w:tc>
          <w:tcPr>
            <w:tcW w:w="962" w:type="dxa"/>
            <w:tcBorders>
              <w:top w:val="single" w:sz="1" w:space="0" w:color="000000"/>
              <w:bottom w:val="single" w:sz="1" w:space="0" w:color="000000"/>
            </w:tcBorders>
          </w:tcPr>
          <w:p>
            <w:pPr>
              <w:pStyle w:val="TableParagraph"/>
              <w:spacing w:before="124"/>
              <w:ind w:right="84"/>
              <w:jc w:val="right"/>
              <w:rPr>
                <w:sz w:val="18"/>
              </w:rPr>
            </w:pPr>
            <w:r>
              <w:rPr>
                <w:w w:val="95"/>
                <w:sz w:val="18"/>
              </w:rPr>
              <w:t>750</w:t>
            </w:r>
          </w:p>
        </w:tc>
      </w:tr>
      <w:tr>
        <w:trPr>
          <w:trHeight w:val="341" w:hRule="exact"/>
        </w:trPr>
        <w:tc>
          <w:tcPr>
            <w:tcW w:w="3433" w:type="dxa"/>
          </w:tcPr>
          <w:p>
            <w:pPr>
              <w:pStyle w:val="TableParagraph"/>
              <w:spacing w:before="125"/>
              <w:ind w:left="35" w:right="617"/>
              <w:rPr>
                <w:b/>
                <w:sz w:val="18"/>
              </w:rPr>
            </w:pPr>
            <w:r>
              <w:rPr>
                <w:b/>
                <w:sz w:val="18"/>
              </w:rPr>
              <w:t>Total Other Australian</w:t>
            </w:r>
          </w:p>
        </w:tc>
        <w:tc>
          <w:tcPr>
            <w:tcW w:w="1798"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962" w:type="dxa"/>
            <w:tcBorders>
              <w:top w:val="single" w:sz="1" w:space="0" w:color="000000"/>
            </w:tcBorders>
          </w:tcPr>
          <w:p>
            <w:pPr/>
          </w:p>
        </w:tc>
      </w:tr>
      <w:tr>
        <w:trPr>
          <w:trHeight w:val="206" w:hRule="exact"/>
        </w:trPr>
        <w:tc>
          <w:tcPr>
            <w:tcW w:w="3433" w:type="dxa"/>
          </w:tcPr>
          <w:p>
            <w:pPr>
              <w:pStyle w:val="TableParagraph"/>
              <w:spacing w:line="197" w:lineRule="exact"/>
              <w:ind w:left="35" w:right="617"/>
              <w:rPr>
                <w:b/>
                <w:sz w:val="18"/>
              </w:rPr>
            </w:pPr>
            <w:r>
              <w:rPr>
                <w:b/>
                <w:sz w:val="18"/>
              </w:rPr>
              <w:t>Government Financial</w:t>
            </w:r>
          </w:p>
        </w:tc>
        <w:tc>
          <w:tcPr>
            <w:tcW w:w="1798" w:type="dxa"/>
          </w:tcPr>
          <w:p>
            <w:pPr/>
          </w:p>
        </w:tc>
        <w:tc>
          <w:tcPr>
            <w:tcW w:w="1380" w:type="dxa"/>
          </w:tcPr>
          <w:p>
            <w:pPr/>
          </w:p>
        </w:tc>
        <w:tc>
          <w:tcPr>
            <w:tcW w:w="1380" w:type="dxa"/>
          </w:tcPr>
          <w:p>
            <w:pPr/>
          </w:p>
        </w:tc>
        <w:tc>
          <w:tcPr>
            <w:tcW w:w="962" w:type="dxa"/>
          </w:tcPr>
          <w:p>
            <w:pPr/>
          </w:p>
        </w:tc>
      </w:tr>
      <w:tr>
        <w:trPr>
          <w:trHeight w:val="218" w:hRule="exact"/>
        </w:trPr>
        <w:tc>
          <w:tcPr>
            <w:tcW w:w="3433" w:type="dxa"/>
          </w:tcPr>
          <w:p>
            <w:pPr>
              <w:pStyle w:val="TableParagraph"/>
              <w:spacing w:line="197" w:lineRule="exact"/>
              <w:ind w:left="35" w:right="617"/>
              <w:rPr>
                <w:b/>
                <w:sz w:val="18"/>
              </w:rPr>
            </w:pPr>
            <w:r>
              <w:rPr>
                <w:b/>
                <w:sz w:val="18"/>
              </w:rPr>
              <w:t>Assistance</w:t>
            </w:r>
          </w:p>
        </w:tc>
        <w:tc>
          <w:tcPr>
            <w:tcW w:w="1798" w:type="dxa"/>
            <w:tcBorders>
              <w:bottom w:val="single" w:sz="1" w:space="0" w:color="000000"/>
            </w:tcBorders>
          </w:tcPr>
          <w:p>
            <w:pPr>
              <w:pStyle w:val="TableParagraph"/>
              <w:spacing w:line="197" w:lineRule="exact"/>
              <w:ind w:right="420"/>
              <w:jc w:val="right"/>
              <w:rPr>
                <w:b/>
                <w:sz w:val="18"/>
              </w:rPr>
            </w:pPr>
            <w:r>
              <w:rPr>
                <w:b/>
                <w:w w:val="95"/>
                <w:sz w:val="18"/>
              </w:rPr>
              <w:t>6,893</w:t>
            </w:r>
          </w:p>
        </w:tc>
        <w:tc>
          <w:tcPr>
            <w:tcW w:w="1380" w:type="dxa"/>
            <w:tcBorders>
              <w:bottom w:val="single" w:sz="1" w:space="0" w:color="000000"/>
            </w:tcBorders>
          </w:tcPr>
          <w:p>
            <w:pPr>
              <w:pStyle w:val="TableParagraph"/>
              <w:spacing w:line="197" w:lineRule="exact"/>
              <w:ind w:right="502"/>
              <w:jc w:val="right"/>
              <w:rPr>
                <w:sz w:val="18"/>
              </w:rPr>
            </w:pPr>
            <w:r>
              <w:rPr>
                <w:w w:val="95"/>
                <w:sz w:val="18"/>
              </w:rPr>
              <w:t>7,479</w:t>
            </w:r>
          </w:p>
        </w:tc>
        <w:tc>
          <w:tcPr>
            <w:tcW w:w="1380" w:type="dxa"/>
            <w:tcBorders>
              <w:bottom w:val="single" w:sz="1" w:space="0" w:color="000000"/>
            </w:tcBorders>
          </w:tcPr>
          <w:p>
            <w:pPr>
              <w:pStyle w:val="TableParagraph"/>
              <w:spacing w:line="197" w:lineRule="exact"/>
              <w:ind w:right="420"/>
              <w:jc w:val="right"/>
              <w:rPr>
                <w:b/>
                <w:sz w:val="18"/>
              </w:rPr>
            </w:pPr>
            <w:r>
              <w:rPr>
                <w:b/>
                <w:w w:val="95"/>
                <w:sz w:val="18"/>
              </w:rPr>
              <w:t>6,893</w:t>
            </w:r>
          </w:p>
        </w:tc>
        <w:tc>
          <w:tcPr>
            <w:tcW w:w="962" w:type="dxa"/>
            <w:tcBorders>
              <w:bottom w:val="single" w:sz="1" w:space="0" w:color="000000"/>
            </w:tcBorders>
          </w:tcPr>
          <w:p>
            <w:pPr>
              <w:pStyle w:val="TableParagraph"/>
              <w:spacing w:line="197" w:lineRule="exact"/>
              <w:ind w:right="84"/>
              <w:jc w:val="right"/>
              <w:rPr>
                <w:sz w:val="18"/>
              </w:rPr>
            </w:pPr>
            <w:r>
              <w:rPr>
                <w:w w:val="95"/>
                <w:sz w:val="18"/>
              </w:rPr>
              <w:t>7,479</w:t>
            </w:r>
          </w:p>
        </w:tc>
      </w:tr>
    </w:tbl>
    <w:p>
      <w:pPr>
        <w:pStyle w:val="BodyText"/>
        <w:rPr>
          <w:b/>
          <w:sz w:val="20"/>
        </w:rPr>
      </w:pPr>
    </w:p>
    <w:p>
      <w:pPr>
        <w:pStyle w:val="BodyText"/>
        <w:spacing w:before="8"/>
        <w:rPr>
          <w:b/>
          <w:sz w:val="20"/>
        </w:rPr>
      </w:pPr>
    </w:p>
    <w:tbl>
      <w:tblPr>
        <w:tblW w:w="0" w:type="auto"/>
        <w:jc w:val="left"/>
        <w:tblInd w:w="10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7"/>
        <w:gridCol w:w="1696"/>
        <w:gridCol w:w="1380"/>
        <w:gridCol w:w="1380"/>
        <w:gridCol w:w="1064"/>
      </w:tblGrid>
      <w:tr>
        <w:trPr>
          <w:trHeight w:val="292" w:hRule="exact"/>
        </w:trPr>
        <w:tc>
          <w:tcPr>
            <w:tcW w:w="3417" w:type="dxa"/>
          </w:tcPr>
          <w:p>
            <w:pPr>
              <w:pStyle w:val="TableParagraph"/>
              <w:spacing w:before="77"/>
              <w:ind w:left="35"/>
              <w:rPr>
                <w:b/>
                <w:sz w:val="18"/>
              </w:rPr>
            </w:pPr>
            <w:r>
              <w:rPr>
                <w:b/>
                <w:sz w:val="18"/>
              </w:rPr>
              <w:t>Total Australian Government Financial</w:t>
            </w:r>
          </w:p>
        </w:tc>
        <w:tc>
          <w:tcPr>
            <w:tcW w:w="5520" w:type="dxa"/>
            <w:gridSpan w:val="4"/>
          </w:tcPr>
          <w:p>
            <w:pPr/>
          </w:p>
        </w:tc>
      </w:tr>
      <w:tr>
        <w:trPr>
          <w:trHeight w:val="245" w:hRule="exact"/>
        </w:trPr>
        <w:tc>
          <w:tcPr>
            <w:tcW w:w="3417" w:type="dxa"/>
          </w:tcPr>
          <w:p>
            <w:pPr>
              <w:pStyle w:val="TableParagraph"/>
              <w:spacing w:line="198" w:lineRule="exact"/>
              <w:ind w:left="35"/>
              <w:rPr>
                <w:b/>
                <w:sz w:val="18"/>
              </w:rPr>
            </w:pPr>
            <w:r>
              <w:rPr>
                <w:b/>
                <w:sz w:val="18"/>
              </w:rPr>
              <w:t>Assistance</w:t>
            </w:r>
          </w:p>
        </w:tc>
        <w:tc>
          <w:tcPr>
            <w:tcW w:w="1696" w:type="dxa"/>
            <w:tcBorders>
              <w:bottom w:val="single" w:sz="1" w:space="0" w:color="000000"/>
            </w:tcBorders>
          </w:tcPr>
          <w:p>
            <w:pPr>
              <w:pStyle w:val="TableParagraph"/>
              <w:spacing w:line="196" w:lineRule="exact"/>
              <w:ind w:left="720"/>
              <w:rPr>
                <w:b/>
                <w:sz w:val="18"/>
              </w:rPr>
            </w:pPr>
            <w:r>
              <w:rPr>
                <w:b/>
                <w:sz w:val="18"/>
              </w:rPr>
              <w:t>553,163</w:t>
            </w:r>
          </w:p>
        </w:tc>
        <w:tc>
          <w:tcPr>
            <w:tcW w:w="1380" w:type="dxa"/>
            <w:tcBorders>
              <w:bottom w:val="single" w:sz="1" w:space="0" w:color="000000"/>
            </w:tcBorders>
          </w:tcPr>
          <w:p>
            <w:pPr>
              <w:pStyle w:val="TableParagraph"/>
              <w:spacing w:line="196" w:lineRule="exact"/>
              <w:ind w:left="320"/>
              <w:rPr>
                <w:sz w:val="18"/>
              </w:rPr>
            </w:pPr>
            <w:r>
              <w:rPr>
                <w:sz w:val="18"/>
              </w:rPr>
              <w:t>569,250</w:t>
            </w:r>
          </w:p>
        </w:tc>
        <w:tc>
          <w:tcPr>
            <w:tcW w:w="1380" w:type="dxa"/>
            <w:tcBorders>
              <w:bottom w:val="single" w:sz="1" w:space="0" w:color="000000"/>
            </w:tcBorders>
          </w:tcPr>
          <w:p>
            <w:pPr>
              <w:pStyle w:val="TableParagraph"/>
              <w:spacing w:line="196" w:lineRule="exact"/>
              <w:ind w:left="404"/>
              <w:rPr>
                <w:b/>
                <w:sz w:val="18"/>
              </w:rPr>
            </w:pPr>
            <w:r>
              <w:rPr>
                <w:b/>
                <w:sz w:val="18"/>
              </w:rPr>
              <w:t>553,163</w:t>
            </w:r>
          </w:p>
        </w:tc>
        <w:tc>
          <w:tcPr>
            <w:tcW w:w="1064" w:type="dxa"/>
            <w:tcBorders>
              <w:bottom w:val="single" w:sz="1" w:space="0" w:color="000000"/>
            </w:tcBorders>
          </w:tcPr>
          <w:p>
            <w:pPr>
              <w:pStyle w:val="TableParagraph"/>
              <w:spacing w:line="196" w:lineRule="exact"/>
              <w:ind w:left="320"/>
              <w:rPr>
                <w:sz w:val="18"/>
              </w:rPr>
            </w:pPr>
            <w:r>
              <w:rPr>
                <w:sz w:val="18"/>
              </w:rPr>
              <w:t>569,250</w:t>
            </w:r>
          </w:p>
        </w:tc>
      </w:tr>
    </w:tbl>
    <w:p>
      <w:pPr>
        <w:pStyle w:val="BodyText"/>
        <w:rPr>
          <w:b/>
          <w:sz w:val="20"/>
        </w:rPr>
      </w:pPr>
    </w:p>
    <w:p>
      <w:pPr>
        <w:pStyle w:val="BodyText"/>
        <w:rPr>
          <w:b/>
          <w:sz w:val="20"/>
        </w:rPr>
      </w:pPr>
    </w:p>
    <w:p>
      <w:pPr>
        <w:pStyle w:val="BodyText"/>
        <w:spacing w:before="5"/>
        <w:rPr>
          <w:b/>
          <w:sz w:val="23"/>
        </w:rPr>
      </w:pPr>
    </w:p>
    <w:p>
      <w:pPr>
        <w:pStyle w:val="BodyText"/>
        <w:spacing w:before="77"/>
        <w:ind w:left="1070" w:right="220"/>
      </w:pPr>
      <w:r>
        <w:rPr/>
        <w:t>#1 Includes the basic CGS grant amount, CGS - Regional Loading, CGS - Enabling Loading, CGS - Medical Student Loading, Allocated Places, Non Designated Courses and CGS - Special Advances from Future Years.</w:t>
      </w:r>
    </w:p>
    <w:p>
      <w:pPr>
        <w:pStyle w:val="BodyText"/>
        <w:spacing w:before="11"/>
        <w:rPr>
          <w:sz w:val="24"/>
        </w:rPr>
      </w:pPr>
    </w:p>
    <w:p>
      <w:pPr>
        <w:pStyle w:val="BodyText"/>
        <w:ind w:left="1070" w:right="220"/>
      </w:pPr>
      <w:r>
        <w:rPr/>
        <w:t>#2 Disability Performance Funding includes Additional Support for Students with Disabilities and Australian Disability Clearing.</w:t>
      </w:r>
    </w:p>
    <w:p>
      <w:pPr>
        <w:pStyle w:val="BodyText"/>
        <w:spacing w:before="11"/>
        <w:rPr>
          <w:sz w:val="24"/>
        </w:rPr>
      </w:pPr>
    </w:p>
    <w:p>
      <w:pPr>
        <w:pStyle w:val="BodyText"/>
        <w:ind w:left="1070" w:right="220"/>
      </w:pPr>
      <w:r>
        <w:rPr/>
        <w:t>#3 Indigenous Student Success Program has replaced the Indigenous Commonwealth Scholarships Program and the Indigenous Support Program as of 1 January 2017. Prior year programs have been combined and reported in Indigenous Student Success Program for 2016.</w:t>
      </w:r>
    </w:p>
    <w:p>
      <w:pPr>
        <w:pStyle w:val="BodyText"/>
        <w:spacing w:before="11"/>
        <w:rPr>
          <w:sz w:val="24"/>
        </w:rPr>
      </w:pPr>
    </w:p>
    <w:p>
      <w:pPr>
        <w:pStyle w:val="BodyText"/>
        <w:ind w:left="1070" w:right="220"/>
      </w:pPr>
      <w:r>
        <w:rPr/>
        <w:t>#4 Program is in respect of FEE-HELP for Higher Education only and excludes funds received in respect of VET FEE-HELP.</w:t>
      </w:r>
    </w:p>
    <w:p>
      <w:pPr>
        <w:spacing w:after="0"/>
        <w:sectPr>
          <w:type w:val="continuous"/>
          <w:pgSz w:w="11910" w:h="16840"/>
          <w:pgMar w:top="1580" w:bottom="280" w:left="900" w:right="880"/>
        </w:sectPr>
      </w:pPr>
    </w:p>
    <w:p>
      <w:pPr>
        <w:pStyle w:val="BodyText"/>
        <w:rPr>
          <w:sz w:val="20"/>
        </w:rPr>
      </w:pPr>
    </w:p>
    <w:p>
      <w:pPr>
        <w:pStyle w:val="BodyText"/>
        <w:rPr>
          <w:sz w:val="20"/>
        </w:rPr>
      </w:pPr>
    </w:p>
    <w:p>
      <w:pPr>
        <w:pStyle w:val="BodyText"/>
        <w:spacing w:before="5"/>
      </w:pPr>
    </w:p>
    <w:p>
      <w:pPr>
        <w:pStyle w:val="Heading9"/>
        <w:tabs>
          <w:tab w:pos="1070" w:val="left" w:leader="none"/>
        </w:tabs>
        <w:ind w:left="1070" w:right="440" w:hanging="567"/>
      </w:pPr>
      <w:r>
        <w:rPr/>
        <w:t>2</w:t>
        <w:tab/>
        <w:t>Australian Government financial assistance including HECS-HELP and other Australian Government </w:t>
      </w:r>
      <w:r>
        <w:rPr/>
        <w:t>loan programs (continued)</w:t>
      </w:r>
    </w:p>
    <w:p>
      <w:pPr>
        <w:pStyle w:val="BodyText"/>
        <w:rPr>
          <w:b/>
        </w:rPr>
      </w:pPr>
    </w:p>
    <w:p>
      <w:pPr>
        <w:pStyle w:val="BodyText"/>
        <w:rPr>
          <w:b/>
        </w:rPr>
      </w:pPr>
    </w:p>
    <w:p>
      <w:pPr>
        <w:tabs>
          <w:tab w:pos="8366" w:val="left" w:leader="none"/>
        </w:tabs>
        <w:spacing w:before="113"/>
        <w:ind w:left="5318" w:right="220" w:firstLine="0"/>
        <w:jc w:val="left"/>
        <w:rPr>
          <w:b/>
          <w:sz w:val="18"/>
        </w:rPr>
      </w:pPr>
      <w:r>
        <w:rPr>
          <w:b/>
          <w:sz w:val="18"/>
        </w:rPr>
        <w:t>Consolidated</w:t>
        <w:tab/>
        <w:t>Parent</w:t>
      </w:r>
    </w:p>
    <w:p>
      <w:pPr>
        <w:spacing w:after="0"/>
        <w:jc w:val="left"/>
        <w:rPr>
          <w:sz w:val="18"/>
        </w:rPr>
        <w:sectPr>
          <w:pgSz w:w="11910" w:h="16840"/>
          <w:pgMar w:header="1037" w:footer="507" w:top="2220" w:bottom="700" w:left="900" w:right="880"/>
        </w:sectPr>
      </w:pPr>
    </w:p>
    <w:p>
      <w:pPr>
        <w:spacing w:before="66"/>
        <w:ind w:left="0" w:right="19" w:firstLine="0"/>
        <w:jc w:val="right"/>
        <w:rPr>
          <w:b/>
          <w:sz w:val="18"/>
        </w:rPr>
      </w:pPr>
      <w:r>
        <w:rPr>
          <w:b/>
          <w:w w:val="95"/>
          <w:sz w:val="18"/>
        </w:rPr>
        <w:t>2017</w:t>
      </w:r>
    </w:p>
    <w:p>
      <w:pPr>
        <w:spacing w:before="66"/>
        <w:ind w:left="0" w:right="0" w:firstLine="0"/>
        <w:jc w:val="right"/>
        <w:rPr>
          <w:b/>
          <w:sz w:val="18"/>
        </w:rPr>
      </w:pPr>
      <w:r>
        <w:rPr>
          <w:b/>
          <w:sz w:val="18"/>
        </w:rPr>
        <w:t>$'000</w:t>
      </w:r>
    </w:p>
    <w:p>
      <w:pPr>
        <w:spacing w:before="66"/>
        <w:ind w:left="819" w:right="-16" w:firstLine="0"/>
        <w:jc w:val="left"/>
        <w:rPr>
          <w:b/>
          <w:sz w:val="18"/>
        </w:rPr>
      </w:pPr>
      <w:r>
        <w:rPr/>
        <w:br w:type="column"/>
      </w:r>
      <w:r>
        <w:rPr>
          <w:b/>
          <w:sz w:val="18"/>
        </w:rPr>
        <w:t>2016</w:t>
      </w:r>
    </w:p>
    <w:p>
      <w:pPr>
        <w:spacing w:before="66"/>
        <w:ind w:left="797" w:right="-16"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19" w:right="0" w:firstLine="0"/>
        <w:jc w:val="left"/>
        <w:rPr>
          <w:b/>
          <w:sz w:val="18"/>
        </w:rPr>
      </w:pPr>
      <w:r>
        <w:rPr/>
        <w:br w:type="column"/>
      </w:r>
      <w:r>
        <w:rPr>
          <w:b/>
          <w:sz w:val="18"/>
        </w:rPr>
        <w:t>2016</w:t>
      </w:r>
    </w:p>
    <w:p>
      <w:pPr>
        <w:spacing w:before="66"/>
        <w:ind w:left="797" w:right="0" w:firstLine="0"/>
        <w:jc w:val="left"/>
        <w:rPr>
          <w:b/>
          <w:sz w:val="18"/>
        </w:rPr>
      </w:pPr>
      <w:r>
        <w:rPr>
          <w:b/>
          <w:sz w:val="18"/>
        </w:rPr>
        <w:t>$'000</w:t>
      </w:r>
    </w:p>
    <w:p>
      <w:pPr>
        <w:spacing w:after="0"/>
        <w:jc w:val="left"/>
        <w:rPr>
          <w:sz w:val="18"/>
        </w:rPr>
        <w:sectPr>
          <w:type w:val="continuous"/>
          <w:pgSz w:w="11910" w:h="16840"/>
          <w:pgMar w:top="1580" w:bottom="280" w:left="900" w:right="880"/>
          <w:cols w:num="4" w:equalWidth="0">
            <w:col w:w="5530" w:space="40"/>
            <w:col w:w="1245" w:space="40"/>
            <w:col w:w="1437" w:space="40"/>
            <w:col w:w="1798"/>
          </w:cols>
        </w:sectPr>
      </w:pPr>
    </w:p>
    <w:p>
      <w:pPr>
        <w:pStyle w:val="BodyText"/>
        <w:spacing w:before="5"/>
        <w:rPr>
          <w:b/>
          <w:sz w:val="8"/>
        </w:rPr>
      </w:pPr>
    </w:p>
    <w:tbl>
      <w:tblPr>
        <w:tblW w:w="0" w:type="auto"/>
        <w:jc w:val="left"/>
        <w:tblInd w:w="4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97"/>
        <w:gridCol w:w="1697"/>
        <w:gridCol w:w="1380"/>
        <w:gridCol w:w="1380"/>
        <w:gridCol w:w="1063"/>
      </w:tblGrid>
      <w:tr>
        <w:trPr>
          <w:trHeight w:val="525" w:hRule="exact"/>
        </w:trPr>
        <w:tc>
          <w:tcPr>
            <w:tcW w:w="3997" w:type="dxa"/>
          </w:tcPr>
          <w:p>
            <w:pPr>
              <w:pStyle w:val="TableParagraph"/>
              <w:spacing w:before="77"/>
              <w:ind w:left="35"/>
              <w:rPr>
                <w:b/>
                <w:sz w:val="18"/>
              </w:rPr>
            </w:pPr>
            <w:r>
              <w:rPr>
                <w:b/>
                <w:sz w:val="18"/>
              </w:rPr>
              <w:t>Reconciliation</w:t>
            </w:r>
          </w:p>
          <w:p>
            <w:pPr>
              <w:pStyle w:val="TableParagraph"/>
              <w:spacing w:before="26"/>
              <w:ind w:left="35"/>
              <w:rPr>
                <w:sz w:val="18"/>
              </w:rPr>
            </w:pPr>
            <w:r>
              <w:rPr>
                <w:sz w:val="18"/>
              </w:rPr>
              <w:t>Australian Government Grants</w:t>
            </w:r>
          </w:p>
        </w:tc>
        <w:tc>
          <w:tcPr>
            <w:tcW w:w="5520" w:type="dxa"/>
            <w:gridSpan w:val="4"/>
          </w:tcPr>
          <w:p>
            <w:pPr/>
          </w:p>
        </w:tc>
      </w:tr>
      <w:tr>
        <w:trPr>
          <w:trHeight w:val="235" w:hRule="exact"/>
        </w:trPr>
        <w:tc>
          <w:tcPr>
            <w:tcW w:w="3997" w:type="dxa"/>
          </w:tcPr>
          <w:p>
            <w:pPr>
              <w:pStyle w:val="TableParagraph"/>
              <w:spacing w:line="198" w:lineRule="exact"/>
              <w:ind w:left="35"/>
              <w:rPr>
                <w:sz w:val="18"/>
              </w:rPr>
            </w:pPr>
            <w:r>
              <w:rPr>
                <w:sz w:val="18"/>
              </w:rPr>
              <w:t>(Note 2: a + c + d + e )</w:t>
            </w:r>
          </w:p>
        </w:tc>
        <w:tc>
          <w:tcPr>
            <w:tcW w:w="1697" w:type="dxa"/>
          </w:tcPr>
          <w:p>
            <w:pPr>
              <w:pStyle w:val="TableParagraph"/>
              <w:spacing w:line="196" w:lineRule="exact"/>
              <w:ind w:right="319"/>
              <w:jc w:val="right"/>
              <w:rPr>
                <w:b/>
                <w:sz w:val="18"/>
              </w:rPr>
            </w:pPr>
            <w:r>
              <w:rPr>
                <w:b/>
                <w:w w:val="95"/>
                <w:sz w:val="18"/>
              </w:rPr>
              <w:t>334,413</w:t>
            </w:r>
          </w:p>
        </w:tc>
        <w:tc>
          <w:tcPr>
            <w:tcW w:w="1380" w:type="dxa"/>
          </w:tcPr>
          <w:p>
            <w:pPr>
              <w:pStyle w:val="TableParagraph"/>
              <w:spacing w:line="196" w:lineRule="exact"/>
              <w:ind w:left="321"/>
              <w:rPr>
                <w:sz w:val="18"/>
              </w:rPr>
            </w:pPr>
            <w:r>
              <w:rPr>
                <w:sz w:val="18"/>
              </w:rPr>
              <w:t>345,493</w:t>
            </w:r>
          </w:p>
        </w:tc>
        <w:tc>
          <w:tcPr>
            <w:tcW w:w="1380" w:type="dxa"/>
          </w:tcPr>
          <w:p>
            <w:pPr>
              <w:pStyle w:val="TableParagraph"/>
              <w:spacing w:line="196" w:lineRule="exact"/>
              <w:ind w:right="319"/>
              <w:jc w:val="right"/>
              <w:rPr>
                <w:b/>
                <w:sz w:val="18"/>
              </w:rPr>
            </w:pPr>
            <w:r>
              <w:rPr>
                <w:b/>
                <w:w w:val="95"/>
                <w:sz w:val="18"/>
              </w:rPr>
              <w:t>334,413</w:t>
            </w:r>
          </w:p>
        </w:tc>
        <w:tc>
          <w:tcPr>
            <w:tcW w:w="1063" w:type="dxa"/>
          </w:tcPr>
          <w:p>
            <w:pPr>
              <w:pStyle w:val="TableParagraph"/>
              <w:spacing w:line="196" w:lineRule="exact"/>
              <w:ind w:right="84"/>
              <w:jc w:val="right"/>
              <w:rPr>
                <w:sz w:val="18"/>
              </w:rPr>
            </w:pPr>
            <w:r>
              <w:rPr>
                <w:w w:val="95"/>
                <w:sz w:val="18"/>
              </w:rPr>
              <w:t>345,493</w:t>
            </w:r>
          </w:p>
        </w:tc>
      </w:tr>
      <w:tr>
        <w:trPr>
          <w:trHeight w:val="260" w:hRule="exact"/>
        </w:trPr>
        <w:tc>
          <w:tcPr>
            <w:tcW w:w="3997" w:type="dxa"/>
          </w:tcPr>
          <w:p>
            <w:pPr>
              <w:pStyle w:val="TableParagraph"/>
              <w:spacing w:before="20"/>
              <w:ind w:left="35"/>
              <w:rPr>
                <w:sz w:val="18"/>
              </w:rPr>
            </w:pPr>
            <w:r>
              <w:rPr>
                <w:sz w:val="18"/>
              </w:rPr>
              <w:t>Higher Education Loan Programs (2b)</w:t>
            </w:r>
          </w:p>
        </w:tc>
        <w:tc>
          <w:tcPr>
            <w:tcW w:w="1697" w:type="dxa"/>
            <w:tcBorders>
              <w:bottom w:val="single" w:sz="1" w:space="0" w:color="000000"/>
            </w:tcBorders>
          </w:tcPr>
          <w:p>
            <w:pPr>
              <w:pStyle w:val="TableParagraph"/>
              <w:spacing w:before="18"/>
              <w:ind w:right="319"/>
              <w:jc w:val="right"/>
              <w:rPr>
                <w:b/>
                <w:sz w:val="18"/>
              </w:rPr>
            </w:pPr>
            <w:r>
              <w:rPr>
                <w:b/>
                <w:w w:val="95"/>
                <w:sz w:val="18"/>
              </w:rPr>
              <w:t>218,750</w:t>
            </w:r>
          </w:p>
        </w:tc>
        <w:tc>
          <w:tcPr>
            <w:tcW w:w="1380" w:type="dxa"/>
            <w:tcBorders>
              <w:bottom w:val="single" w:sz="1" w:space="0" w:color="000000"/>
            </w:tcBorders>
          </w:tcPr>
          <w:p>
            <w:pPr>
              <w:pStyle w:val="TableParagraph"/>
              <w:spacing w:before="18"/>
              <w:ind w:left="321"/>
              <w:rPr>
                <w:sz w:val="18"/>
              </w:rPr>
            </w:pPr>
            <w:r>
              <w:rPr>
                <w:sz w:val="18"/>
              </w:rPr>
              <w:t>223,757</w:t>
            </w:r>
          </w:p>
        </w:tc>
        <w:tc>
          <w:tcPr>
            <w:tcW w:w="1380" w:type="dxa"/>
            <w:tcBorders>
              <w:bottom w:val="single" w:sz="1" w:space="0" w:color="000000"/>
            </w:tcBorders>
          </w:tcPr>
          <w:p>
            <w:pPr>
              <w:pStyle w:val="TableParagraph"/>
              <w:spacing w:before="18"/>
              <w:ind w:right="319"/>
              <w:jc w:val="right"/>
              <w:rPr>
                <w:b/>
                <w:sz w:val="18"/>
              </w:rPr>
            </w:pPr>
            <w:r>
              <w:rPr>
                <w:b/>
                <w:w w:val="95"/>
                <w:sz w:val="18"/>
              </w:rPr>
              <w:t>218,750</w:t>
            </w:r>
          </w:p>
        </w:tc>
        <w:tc>
          <w:tcPr>
            <w:tcW w:w="1063" w:type="dxa"/>
            <w:tcBorders>
              <w:bottom w:val="single" w:sz="1" w:space="0" w:color="000000"/>
            </w:tcBorders>
          </w:tcPr>
          <w:p>
            <w:pPr>
              <w:pStyle w:val="TableParagraph"/>
              <w:spacing w:before="18"/>
              <w:ind w:right="84"/>
              <w:jc w:val="right"/>
              <w:rPr>
                <w:sz w:val="18"/>
              </w:rPr>
            </w:pPr>
            <w:r>
              <w:rPr>
                <w:w w:val="95"/>
                <w:sz w:val="18"/>
              </w:rPr>
              <w:t>223,757</w:t>
            </w:r>
          </w:p>
        </w:tc>
      </w:tr>
      <w:tr>
        <w:trPr>
          <w:trHeight w:val="341" w:hRule="exact"/>
        </w:trPr>
        <w:tc>
          <w:tcPr>
            <w:tcW w:w="3997" w:type="dxa"/>
          </w:tcPr>
          <w:p>
            <w:pPr>
              <w:pStyle w:val="TableParagraph"/>
              <w:spacing w:before="125"/>
              <w:ind w:left="35"/>
              <w:rPr>
                <w:b/>
                <w:sz w:val="18"/>
              </w:rPr>
            </w:pPr>
            <w:bookmarkStart w:name="(f) Australian Government Grants receive" w:id="64"/>
            <w:bookmarkEnd w:id="64"/>
            <w:r>
              <w:rPr/>
            </w:r>
            <w:r>
              <w:rPr>
                <w:b/>
                <w:sz w:val="18"/>
              </w:rPr>
              <w:t>Total Australian Government Financial</w:t>
            </w:r>
          </w:p>
        </w:tc>
        <w:tc>
          <w:tcPr>
            <w:tcW w:w="1697"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63" w:type="dxa"/>
            <w:tcBorders>
              <w:top w:val="single" w:sz="1" w:space="0" w:color="000000"/>
            </w:tcBorders>
          </w:tcPr>
          <w:p>
            <w:pPr/>
          </w:p>
        </w:tc>
      </w:tr>
      <w:tr>
        <w:trPr>
          <w:trHeight w:val="218" w:hRule="exact"/>
        </w:trPr>
        <w:tc>
          <w:tcPr>
            <w:tcW w:w="3997" w:type="dxa"/>
          </w:tcPr>
          <w:p>
            <w:pPr>
              <w:pStyle w:val="TableParagraph"/>
              <w:spacing w:line="197" w:lineRule="exact"/>
              <w:ind w:left="35"/>
              <w:rPr>
                <w:b/>
                <w:sz w:val="18"/>
              </w:rPr>
            </w:pPr>
            <w:r>
              <w:rPr>
                <w:b/>
                <w:sz w:val="18"/>
              </w:rPr>
              <w:t>Assistance</w:t>
            </w:r>
          </w:p>
        </w:tc>
        <w:tc>
          <w:tcPr>
            <w:tcW w:w="1697" w:type="dxa"/>
            <w:tcBorders>
              <w:bottom w:val="single" w:sz="1" w:space="0" w:color="000000"/>
            </w:tcBorders>
          </w:tcPr>
          <w:p>
            <w:pPr>
              <w:pStyle w:val="TableParagraph"/>
              <w:spacing w:line="197" w:lineRule="exact"/>
              <w:ind w:right="319"/>
              <w:jc w:val="right"/>
              <w:rPr>
                <w:b/>
                <w:sz w:val="18"/>
              </w:rPr>
            </w:pPr>
            <w:r>
              <w:rPr>
                <w:b/>
                <w:w w:val="95"/>
                <w:sz w:val="18"/>
              </w:rPr>
              <w:t>553,163</w:t>
            </w:r>
          </w:p>
        </w:tc>
        <w:tc>
          <w:tcPr>
            <w:tcW w:w="1380" w:type="dxa"/>
            <w:tcBorders>
              <w:bottom w:val="single" w:sz="1" w:space="0" w:color="000000"/>
            </w:tcBorders>
          </w:tcPr>
          <w:p>
            <w:pPr>
              <w:pStyle w:val="TableParagraph"/>
              <w:spacing w:line="197" w:lineRule="exact"/>
              <w:ind w:left="321"/>
              <w:rPr>
                <w:sz w:val="18"/>
              </w:rPr>
            </w:pPr>
            <w:r>
              <w:rPr>
                <w:sz w:val="18"/>
              </w:rPr>
              <w:t>569,250</w:t>
            </w:r>
          </w:p>
        </w:tc>
        <w:tc>
          <w:tcPr>
            <w:tcW w:w="1380" w:type="dxa"/>
            <w:tcBorders>
              <w:bottom w:val="single" w:sz="1" w:space="0" w:color="000000"/>
            </w:tcBorders>
          </w:tcPr>
          <w:p>
            <w:pPr>
              <w:pStyle w:val="TableParagraph"/>
              <w:spacing w:line="197" w:lineRule="exact"/>
              <w:ind w:right="319"/>
              <w:jc w:val="right"/>
              <w:rPr>
                <w:b/>
                <w:sz w:val="18"/>
              </w:rPr>
            </w:pPr>
            <w:r>
              <w:rPr>
                <w:b/>
                <w:w w:val="95"/>
                <w:sz w:val="18"/>
              </w:rPr>
              <w:t>553,163</w:t>
            </w:r>
          </w:p>
        </w:tc>
        <w:tc>
          <w:tcPr>
            <w:tcW w:w="1063" w:type="dxa"/>
            <w:tcBorders>
              <w:bottom w:val="single" w:sz="1" w:space="0" w:color="000000"/>
            </w:tcBorders>
          </w:tcPr>
          <w:p>
            <w:pPr>
              <w:pStyle w:val="TableParagraph"/>
              <w:spacing w:line="197" w:lineRule="exact"/>
              <w:ind w:right="84"/>
              <w:jc w:val="right"/>
              <w:rPr>
                <w:sz w:val="18"/>
              </w:rPr>
            </w:pPr>
            <w:r>
              <w:rPr>
                <w:w w:val="95"/>
                <w:sz w:val="18"/>
              </w:rPr>
              <w:t>569,250</w:t>
            </w:r>
          </w:p>
        </w:tc>
      </w:tr>
    </w:tbl>
    <w:p>
      <w:pPr>
        <w:pStyle w:val="BodyText"/>
        <w:rPr>
          <w:b/>
          <w:sz w:val="20"/>
        </w:rPr>
      </w:pPr>
    </w:p>
    <w:p>
      <w:pPr>
        <w:pStyle w:val="BodyText"/>
        <w:rPr>
          <w:b/>
          <w:sz w:val="20"/>
        </w:rPr>
      </w:pPr>
    </w:p>
    <w:p>
      <w:pPr>
        <w:pStyle w:val="BodyText"/>
        <w:rPr>
          <w:b/>
          <w:sz w:val="20"/>
        </w:rPr>
      </w:pPr>
    </w:p>
    <w:p>
      <w:pPr>
        <w:pStyle w:val="BodyText"/>
        <w:spacing w:before="2"/>
        <w:rPr>
          <w:b/>
          <w:sz w:val="20"/>
        </w:rPr>
      </w:pPr>
    </w:p>
    <w:p>
      <w:pPr>
        <w:pStyle w:val="ListParagraph"/>
        <w:numPr>
          <w:ilvl w:val="0"/>
          <w:numId w:val="23"/>
        </w:numPr>
        <w:tabs>
          <w:tab w:pos="1071" w:val="left" w:leader="none"/>
        </w:tabs>
        <w:spacing w:line="240" w:lineRule="auto" w:before="77" w:after="0"/>
        <w:ind w:left="1070" w:right="0" w:hanging="566"/>
        <w:jc w:val="left"/>
        <w:rPr>
          <w:sz w:val="18"/>
        </w:rPr>
      </w:pPr>
      <w:r>
        <w:rPr>
          <w:sz w:val="18"/>
        </w:rPr>
        <w:t>Australian Government Grants received - cash</w:t>
      </w:r>
      <w:r>
        <w:rPr>
          <w:spacing w:val="5"/>
          <w:sz w:val="18"/>
        </w:rPr>
        <w:t> </w:t>
      </w:r>
      <w:r>
        <w:rPr>
          <w:sz w:val="18"/>
        </w:rPr>
        <w:t>basis</w:t>
      </w:r>
    </w:p>
    <w:p>
      <w:pPr>
        <w:pStyle w:val="BodyText"/>
        <w:rPr>
          <w:sz w:val="20"/>
        </w:rPr>
      </w:pPr>
    </w:p>
    <w:p>
      <w:pPr>
        <w:pStyle w:val="BodyText"/>
        <w:spacing w:before="6"/>
        <w:rPr>
          <w:sz w:val="19"/>
        </w:rPr>
      </w:pPr>
    </w:p>
    <w:p>
      <w:pPr>
        <w:pStyle w:val="Heading9"/>
        <w:tabs>
          <w:tab w:pos="8373" w:val="left" w:leader="none"/>
        </w:tabs>
        <w:spacing w:before="77" w:after="36"/>
        <w:ind w:left="5335" w:right="220"/>
      </w:pPr>
      <w:r>
        <w:rPr/>
        <w:t>Consolidated</w:t>
        <w:tab/>
        <w:t>Parent</w:t>
      </w:r>
    </w:p>
    <w:tbl>
      <w:tblPr>
        <w:tblW w:w="0" w:type="auto"/>
        <w:jc w:val="left"/>
        <w:tblInd w:w="10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03"/>
        <w:gridCol w:w="609"/>
        <w:gridCol w:w="1636"/>
        <w:gridCol w:w="1387"/>
        <w:gridCol w:w="1373"/>
        <w:gridCol w:w="1124"/>
      </w:tblGrid>
      <w:tr>
        <w:trPr>
          <w:trHeight w:val="565" w:hRule="exact"/>
        </w:trPr>
        <w:tc>
          <w:tcPr>
            <w:tcW w:w="2803" w:type="dxa"/>
          </w:tcPr>
          <w:p>
            <w:pPr/>
          </w:p>
        </w:tc>
        <w:tc>
          <w:tcPr>
            <w:tcW w:w="609" w:type="dxa"/>
          </w:tcPr>
          <w:p>
            <w:pPr>
              <w:pStyle w:val="TableParagraph"/>
              <w:spacing w:before="5"/>
              <w:rPr>
                <w:b/>
                <w:sz w:val="26"/>
              </w:rPr>
            </w:pPr>
          </w:p>
          <w:p>
            <w:pPr>
              <w:pStyle w:val="TableParagraph"/>
              <w:ind w:left="93" w:right="-5"/>
              <w:rPr>
                <w:b/>
                <w:sz w:val="18"/>
              </w:rPr>
            </w:pPr>
            <w:r>
              <w:rPr>
                <w:b/>
                <w:sz w:val="18"/>
              </w:rPr>
              <w:t>Notes</w:t>
            </w:r>
          </w:p>
        </w:tc>
        <w:tc>
          <w:tcPr>
            <w:tcW w:w="1636" w:type="dxa"/>
          </w:tcPr>
          <w:p>
            <w:pPr>
              <w:pStyle w:val="TableParagraph"/>
              <w:spacing w:before="30"/>
              <w:ind w:left="595" w:right="556"/>
              <w:jc w:val="center"/>
              <w:rPr>
                <w:b/>
                <w:sz w:val="18"/>
              </w:rPr>
            </w:pPr>
            <w:r>
              <w:rPr>
                <w:b/>
                <w:sz w:val="18"/>
              </w:rPr>
              <w:t>2017</w:t>
            </w:r>
          </w:p>
          <w:p>
            <w:pPr>
              <w:pStyle w:val="TableParagraph"/>
              <w:spacing w:before="66"/>
              <w:ind w:left="595" w:right="556"/>
              <w:jc w:val="center"/>
              <w:rPr>
                <w:b/>
                <w:sz w:val="18"/>
              </w:rPr>
            </w:pPr>
            <w:r>
              <w:rPr>
                <w:b/>
                <w:sz w:val="18"/>
              </w:rPr>
              <w:t>$'000</w:t>
            </w:r>
          </w:p>
        </w:tc>
        <w:tc>
          <w:tcPr>
            <w:tcW w:w="1387" w:type="dxa"/>
          </w:tcPr>
          <w:p>
            <w:pPr>
              <w:pStyle w:val="TableParagraph"/>
              <w:spacing w:before="30"/>
              <w:ind w:left="282"/>
              <w:rPr>
                <w:b/>
                <w:sz w:val="18"/>
              </w:rPr>
            </w:pPr>
            <w:r>
              <w:rPr>
                <w:b/>
                <w:sz w:val="18"/>
              </w:rPr>
              <w:t>2016</w:t>
            </w:r>
          </w:p>
          <w:p>
            <w:pPr>
              <w:pStyle w:val="TableParagraph"/>
              <w:spacing w:before="66"/>
              <w:ind w:left="260"/>
              <w:rPr>
                <w:b/>
                <w:sz w:val="18"/>
              </w:rPr>
            </w:pPr>
            <w:r>
              <w:rPr>
                <w:b/>
                <w:sz w:val="18"/>
              </w:rPr>
              <w:t>$'000</w:t>
            </w:r>
          </w:p>
        </w:tc>
        <w:tc>
          <w:tcPr>
            <w:tcW w:w="1373" w:type="dxa"/>
          </w:tcPr>
          <w:p>
            <w:pPr>
              <w:pStyle w:val="TableParagraph"/>
              <w:spacing w:before="30"/>
              <w:ind w:left="373"/>
              <w:rPr>
                <w:b/>
                <w:sz w:val="18"/>
              </w:rPr>
            </w:pPr>
            <w:r>
              <w:rPr>
                <w:b/>
                <w:sz w:val="18"/>
              </w:rPr>
              <w:t>2017</w:t>
            </w:r>
          </w:p>
          <w:p>
            <w:pPr>
              <w:pStyle w:val="TableParagraph"/>
              <w:spacing w:before="66"/>
              <w:ind w:left="351"/>
              <w:rPr>
                <w:b/>
                <w:sz w:val="18"/>
              </w:rPr>
            </w:pPr>
            <w:r>
              <w:rPr>
                <w:b/>
                <w:sz w:val="18"/>
              </w:rPr>
              <w:t>$'000</w:t>
            </w:r>
          </w:p>
        </w:tc>
        <w:tc>
          <w:tcPr>
            <w:tcW w:w="1124" w:type="dxa"/>
          </w:tcPr>
          <w:p>
            <w:pPr>
              <w:pStyle w:val="TableParagraph"/>
              <w:spacing w:before="30"/>
              <w:ind w:left="282"/>
              <w:rPr>
                <w:b/>
                <w:sz w:val="18"/>
              </w:rPr>
            </w:pPr>
            <w:r>
              <w:rPr>
                <w:b/>
                <w:sz w:val="18"/>
              </w:rPr>
              <w:t>2016</w:t>
            </w:r>
          </w:p>
          <w:p>
            <w:pPr>
              <w:pStyle w:val="TableParagraph"/>
              <w:spacing w:before="66"/>
              <w:ind w:left="260"/>
              <w:rPr>
                <w:b/>
                <w:sz w:val="18"/>
              </w:rPr>
            </w:pPr>
            <w:r>
              <w:rPr>
                <w:b/>
                <w:sz w:val="18"/>
              </w:rPr>
              <w:t>$'000</w:t>
            </w:r>
          </w:p>
        </w:tc>
      </w:tr>
      <w:tr>
        <w:trPr>
          <w:trHeight w:val="282" w:hRule="exact"/>
        </w:trPr>
        <w:tc>
          <w:tcPr>
            <w:tcW w:w="2803" w:type="dxa"/>
          </w:tcPr>
          <w:p>
            <w:pPr>
              <w:pStyle w:val="TableParagraph"/>
              <w:spacing w:before="39"/>
              <w:ind w:left="35"/>
              <w:rPr>
                <w:sz w:val="18"/>
              </w:rPr>
            </w:pPr>
            <w:r>
              <w:rPr>
                <w:sz w:val="18"/>
              </w:rPr>
              <w:t>CGS and Other Education Grants</w:t>
            </w:r>
          </w:p>
        </w:tc>
        <w:tc>
          <w:tcPr>
            <w:tcW w:w="609" w:type="dxa"/>
          </w:tcPr>
          <w:p>
            <w:pPr>
              <w:pStyle w:val="TableParagraph"/>
              <w:spacing w:before="34"/>
              <w:ind w:left="76" w:right="-5"/>
              <w:rPr>
                <w:sz w:val="18"/>
              </w:rPr>
            </w:pPr>
            <w:r>
              <w:rPr>
                <w:sz w:val="18"/>
              </w:rPr>
              <w:t>40(a)</w:t>
            </w:r>
          </w:p>
        </w:tc>
        <w:tc>
          <w:tcPr>
            <w:tcW w:w="1636" w:type="dxa"/>
          </w:tcPr>
          <w:p>
            <w:pPr>
              <w:pStyle w:val="TableParagraph"/>
              <w:spacing w:before="37"/>
              <w:ind w:right="258"/>
              <w:jc w:val="right"/>
              <w:rPr>
                <w:b/>
                <w:sz w:val="18"/>
              </w:rPr>
            </w:pPr>
            <w:r>
              <w:rPr>
                <w:b/>
                <w:w w:val="95"/>
                <w:sz w:val="18"/>
              </w:rPr>
              <w:t>301,161</w:t>
            </w:r>
          </w:p>
        </w:tc>
        <w:tc>
          <w:tcPr>
            <w:tcW w:w="1387" w:type="dxa"/>
          </w:tcPr>
          <w:p>
            <w:pPr>
              <w:pStyle w:val="TableParagraph"/>
              <w:spacing w:before="37"/>
              <w:ind w:right="349"/>
              <w:jc w:val="right"/>
              <w:rPr>
                <w:sz w:val="18"/>
              </w:rPr>
            </w:pPr>
            <w:r>
              <w:rPr>
                <w:w w:val="95"/>
                <w:sz w:val="18"/>
              </w:rPr>
              <w:t>312,940</w:t>
            </w:r>
          </w:p>
        </w:tc>
        <w:tc>
          <w:tcPr>
            <w:tcW w:w="1373" w:type="dxa"/>
          </w:tcPr>
          <w:p>
            <w:pPr>
              <w:pStyle w:val="TableParagraph"/>
              <w:spacing w:before="37"/>
              <w:ind w:right="258"/>
              <w:jc w:val="right"/>
              <w:rPr>
                <w:b/>
                <w:sz w:val="18"/>
              </w:rPr>
            </w:pPr>
            <w:r>
              <w:rPr>
                <w:b/>
                <w:w w:val="95"/>
                <w:sz w:val="18"/>
              </w:rPr>
              <w:t>301,161</w:t>
            </w:r>
          </w:p>
        </w:tc>
        <w:tc>
          <w:tcPr>
            <w:tcW w:w="1124" w:type="dxa"/>
          </w:tcPr>
          <w:p>
            <w:pPr>
              <w:pStyle w:val="TableParagraph"/>
              <w:spacing w:before="37"/>
              <w:ind w:right="88"/>
              <w:jc w:val="right"/>
              <w:rPr>
                <w:sz w:val="18"/>
              </w:rPr>
            </w:pPr>
            <w:r>
              <w:rPr>
                <w:w w:val="95"/>
                <w:sz w:val="18"/>
              </w:rPr>
              <w:t>312,940</w:t>
            </w:r>
          </w:p>
        </w:tc>
      </w:tr>
      <w:tr>
        <w:trPr>
          <w:trHeight w:val="466" w:hRule="exact"/>
        </w:trPr>
        <w:tc>
          <w:tcPr>
            <w:tcW w:w="2803" w:type="dxa"/>
          </w:tcPr>
          <w:p>
            <w:pPr>
              <w:pStyle w:val="TableParagraph"/>
              <w:spacing w:before="16"/>
              <w:ind w:left="35" w:right="916"/>
              <w:rPr>
                <w:sz w:val="18"/>
              </w:rPr>
            </w:pPr>
            <w:r>
              <w:rPr>
                <w:sz w:val="18"/>
              </w:rPr>
              <w:t>Higher Education Loan Programmes</w:t>
            </w:r>
          </w:p>
        </w:tc>
        <w:tc>
          <w:tcPr>
            <w:tcW w:w="609" w:type="dxa"/>
          </w:tcPr>
          <w:p>
            <w:pPr>
              <w:pStyle w:val="TableParagraph"/>
              <w:spacing w:before="16"/>
              <w:ind w:left="76" w:right="-5"/>
              <w:rPr>
                <w:sz w:val="18"/>
              </w:rPr>
            </w:pPr>
            <w:r>
              <w:rPr>
                <w:sz w:val="18"/>
              </w:rPr>
              <w:t>40(b)</w:t>
            </w:r>
          </w:p>
        </w:tc>
        <w:tc>
          <w:tcPr>
            <w:tcW w:w="1636" w:type="dxa"/>
          </w:tcPr>
          <w:p>
            <w:pPr>
              <w:pStyle w:val="TableParagraph"/>
              <w:spacing w:before="2"/>
              <w:rPr>
                <w:b/>
                <w:sz w:val="19"/>
              </w:rPr>
            </w:pPr>
          </w:p>
          <w:p>
            <w:pPr>
              <w:pStyle w:val="TableParagraph"/>
              <w:ind w:right="258"/>
              <w:jc w:val="right"/>
              <w:rPr>
                <w:b/>
                <w:sz w:val="18"/>
              </w:rPr>
            </w:pPr>
            <w:r>
              <w:rPr>
                <w:b/>
                <w:w w:val="95"/>
                <w:sz w:val="18"/>
              </w:rPr>
              <w:t>215,418</w:t>
            </w:r>
          </w:p>
        </w:tc>
        <w:tc>
          <w:tcPr>
            <w:tcW w:w="1387" w:type="dxa"/>
          </w:tcPr>
          <w:p>
            <w:pPr>
              <w:pStyle w:val="TableParagraph"/>
              <w:spacing w:before="2"/>
              <w:rPr>
                <w:b/>
                <w:sz w:val="19"/>
              </w:rPr>
            </w:pPr>
          </w:p>
          <w:p>
            <w:pPr>
              <w:pStyle w:val="TableParagraph"/>
              <w:ind w:right="349"/>
              <w:jc w:val="right"/>
              <w:rPr>
                <w:sz w:val="18"/>
              </w:rPr>
            </w:pPr>
            <w:r>
              <w:rPr>
                <w:w w:val="95"/>
                <w:sz w:val="18"/>
              </w:rPr>
              <w:t>222,891</w:t>
            </w:r>
          </w:p>
        </w:tc>
        <w:tc>
          <w:tcPr>
            <w:tcW w:w="1373" w:type="dxa"/>
          </w:tcPr>
          <w:p>
            <w:pPr>
              <w:pStyle w:val="TableParagraph"/>
              <w:spacing w:before="2"/>
              <w:rPr>
                <w:b/>
                <w:sz w:val="19"/>
              </w:rPr>
            </w:pPr>
          </w:p>
          <w:p>
            <w:pPr>
              <w:pStyle w:val="TableParagraph"/>
              <w:ind w:right="258"/>
              <w:jc w:val="right"/>
              <w:rPr>
                <w:b/>
                <w:sz w:val="18"/>
              </w:rPr>
            </w:pPr>
            <w:r>
              <w:rPr>
                <w:b/>
                <w:w w:val="95"/>
                <w:sz w:val="18"/>
              </w:rPr>
              <w:t>215,418</w:t>
            </w:r>
          </w:p>
        </w:tc>
        <w:tc>
          <w:tcPr>
            <w:tcW w:w="1124" w:type="dxa"/>
          </w:tcPr>
          <w:p>
            <w:pPr>
              <w:pStyle w:val="TableParagraph"/>
              <w:spacing w:before="2"/>
              <w:rPr>
                <w:b/>
                <w:sz w:val="19"/>
              </w:rPr>
            </w:pPr>
          </w:p>
          <w:p>
            <w:pPr>
              <w:pStyle w:val="TableParagraph"/>
              <w:ind w:right="88"/>
              <w:jc w:val="right"/>
              <w:rPr>
                <w:sz w:val="18"/>
              </w:rPr>
            </w:pPr>
            <w:r>
              <w:rPr>
                <w:w w:val="95"/>
                <w:sz w:val="18"/>
              </w:rPr>
              <w:t>222,891</w:t>
            </w:r>
          </w:p>
        </w:tc>
      </w:tr>
      <w:tr>
        <w:trPr>
          <w:trHeight w:val="264" w:hRule="exact"/>
        </w:trPr>
        <w:tc>
          <w:tcPr>
            <w:tcW w:w="2803" w:type="dxa"/>
          </w:tcPr>
          <w:p>
            <w:pPr>
              <w:pStyle w:val="TableParagraph"/>
              <w:spacing w:before="21"/>
              <w:ind w:left="35"/>
              <w:rPr>
                <w:sz w:val="18"/>
              </w:rPr>
            </w:pPr>
            <w:r>
              <w:rPr>
                <w:sz w:val="18"/>
              </w:rPr>
              <w:t>Education Research</w:t>
            </w:r>
          </w:p>
        </w:tc>
        <w:tc>
          <w:tcPr>
            <w:tcW w:w="609" w:type="dxa"/>
          </w:tcPr>
          <w:p>
            <w:pPr>
              <w:pStyle w:val="TableParagraph"/>
              <w:spacing w:before="16"/>
              <w:ind w:left="76" w:right="-5"/>
              <w:rPr>
                <w:sz w:val="18"/>
              </w:rPr>
            </w:pPr>
            <w:r>
              <w:rPr>
                <w:sz w:val="18"/>
              </w:rPr>
              <w:t>40(c)</w:t>
            </w:r>
          </w:p>
        </w:tc>
        <w:tc>
          <w:tcPr>
            <w:tcW w:w="1636" w:type="dxa"/>
          </w:tcPr>
          <w:p>
            <w:pPr>
              <w:pStyle w:val="TableParagraph"/>
              <w:spacing w:before="19"/>
              <w:ind w:right="258"/>
              <w:jc w:val="right"/>
              <w:rPr>
                <w:b/>
                <w:sz w:val="18"/>
              </w:rPr>
            </w:pPr>
            <w:r>
              <w:rPr>
                <w:b/>
                <w:w w:val="95"/>
                <w:sz w:val="18"/>
              </w:rPr>
              <w:t>18,255</w:t>
            </w:r>
          </w:p>
        </w:tc>
        <w:tc>
          <w:tcPr>
            <w:tcW w:w="1387" w:type="dxa"/>
          </w:tcPr>
          <w:p>
            <w:pPr>
              <w:pStyle w:val="TableParagraph"/>
              <w:spacing w:before="19"/>
              <w:ind w:right="349"/>
              <w:jc w:val="right"/>
              <w:rPr>
                <w:sz w:val="18"/>
              </w:rPr>
            </w:pPr>
            <w:r>
              <w:rPr>
                <w:w w:val="95"/>
                <w:sz w:val="18"/>
              </w:rPr>
              <w:t>16,589</w:t>
            </w:r>
          </w:p>
        </w:tc>
        <w:tc>
          <w:tcPr>
            <w:tcW w:w="1373" w:type="dxa"/>
          </w:tcPr>
          <w:p>
            <w:pPr>
              <w:pStyle w:val="TableParagraph"/>
              <w:spacing w:before="19"/>
              <w:ind w:right="258"/>
              <w:jc w:val="right"/>
              <w:rPr>
                <w:b/>
                <w:sz w:val="18"/>
              </w:rPr>
            </w:pPr>
            <w:r>
              <w:rPr>
                <w:b/>
                <w:w w:val="95"/>
                <w:sz w:val="18"/>
              </w:rPr>
              <w:t>18,255</w:t>
            </w:r>
          </w:p>
        </w:tc>
        <w:tc>
          <w:tcPr>
            <w:tcW w:w="1124" w:type="dxa"/>
          </w:tcPr>
          <w:p>
            <w:pPr>
              <w:pStyle w:val="TableParagraph"/>
              <w:spacing w:before="19"/>
              <w:ind w:right="87"/>
              <w:jc w:val="right"/>
              <w:rPr>
                <w:sz w:val="18"/>
              </w:rPr>
            </w:pPr>
            <w:r>
              <w:rPr>
                <w:w w:val="95"/>
                <w:sz w:val="18"/>
              </w:rPr>
              <w:t>16,589</w:t>
            </w:r>
          </w:p>
        </w:tc>
      </w:tr>
      <w:tr>
        <w:trPr>
          <w:trHeight w:val="264" w:hRule="exact"/>
        </w:trPr>
        <w:tc>
          <w:tcPr>
            <w:tcW w:w="2803" w:type="dxa"/>
          </w:tcPr>
          <w:p>
            <w:pPr>
              <w:pStyle w:val="TableParagraph"/>
              <w:spacing w:before="21"/>
              <w:ind w:left="35"/>
              <w:rPr>
                <w:sz w:val="18"/>
              </w:rPr>
            </w:pPr>
            <w:r>
              <w:rPr>
                <w:sz w:val="18"/>
              </w:rPr>
              <w:t>ARC Grants - Discovery</w:t>
            </w:r>
          </w:p>
        </w:tc>
        <w:tc>
          <w:tcPr>
            <w:tcW w:w="609" w:type="dxa"/>
          </w:tcPr>
          <w:p>
            <w:pPr>
              <w:pStyle w:val="TableParagraph"/>
              <w:spacing w:before="16"/>
              <w:ind w:left="76" w:right="-5"/>
              <w:rPr>
                <w:sz w:val="18"/>
              </w:rPr>
            </w:pPr>
            <w:r>
              <w:rPr>
                <w:sz w:val="18"/>
              </w:rPr>
              <w:t>40(d)</w:t>
            </w:r>
          </w:p>
        </w:tc>
        <w:tc>
          <w:tcPr>
            <w:tcW w:w="1636" w:type="dxa"/>
          </w:tcPr>
          <w:p>
            <w:pPr>
              <w:pStyle w:val="TableParagraph"/>
              <w:spacing w:before="19"/>
              <w:ind w:right="258"/>
              <w:jc w:val="right"/>
              <w:rPr>
                <w:b/>
                <w:sz w:val="18"/>
              </w:rPr>
            </w:pPr>
            <w:r>
              <w:rPr>
                <w:b/>
                <w:w w:val="95"/>
                <w:sz w:val="18"/>
              </w:rPr>
              <w:t>5,484</w:t>
            </w:r>
          </w:p>
        </w:tc>
        <w:tc>
          <w:tcPr>
            <w:tcW w:w="1387" w:type="dxa"/>
          </w:tcPr>
          <w:p>
            <w:pPr>
              <w:pStyle w:val="TableParagraph"/>
              <w:spacing w:before="19"/>
              <w:ind w:right="349"/>
              <w:jc w:val="right"/>
              <w:rPr>
                <w:sz w:val="18"/>
              </w:rPr>
            </w:pPr>
            <w:r>
              <w:rPr>
                <w:w w:val="95"/>
                <w:sz w:val="18"/>
              </w:rPr>
              <w:t>5,133</w:t>
            </w:r>
          </w:p>
        </w:tc>
        <w:tc>
          <w:tcPr>
            <w:tcW w:w="1373" w:type="dxa"/>
          </w:tcPr>
          <w:p>
            <w:pPr>
              <w:pStyle w:val="TableParagraph"/>
              <w:spacing w:before="19"/>
              <w:ind w:right="258"/>
              <w:jc w:val="right"/>
              <w:rPr>
                <w:b/>
                <w:sz w:val="18"/>
              </w:rPr>
            </w:pPr>
            <w:r>
              <w:rPr>
                <w:b/>
                <w:w w:val="95"/>
                <w:sz w:val="18"/>
              </w:rPr>
              <w:t>5,484</w:t>
            </w:r>
          </w:p>
        </w:tc>
        <w:tc>
          <w:tcPr>
            <w:tcW w:w="1124" w:type="dxa"/>
          </w:tcPr>
          <w:p>
            <w:pPr>
              <w:pStyle w:val="TableParagraph"/>
              <w:spacing w:before="19"/>
              <w:ind w:right="87"/>
              <w:jc w:val="right"/>
              <w:rPr>
                <w:sz w:val="18"/>
              </w:rPr>
            </w:pPr>
            <w:r>
              <w:rPr>
                <w:w w:val="95"/>
                <w:sz w:val="18"/>
              </w:rPr>
              <w:t>5,133</w:t>
            </w:r>
          </w:p>
        </w:tc>
      </w:tr>
      <w:tr>
        <w:trPr>
          <w:trHeight w:val="264" w:hRule="exact"/>
        </w:trPr>
        <w:tc>
          <w:tcPr>
            <w:tcW w:w="2803" w:type="dxa"/>
          </w:tcPr>
          <w:p>
            <w:pPr>
              <w:pStyle w:val="TableParagraph"/>
              <w:spacing w:before="21"/>
              <w:ind w:left="35"/>
              <w:rPr>
                <w:sz w:val="18"/>
              </w:rPr>
            </w:pPr>
            <w:r>
              <w:rPr>
                <w:sz w:val="18"/>
              </w:rPr>
              <w:t>ARC Grants - Linkages</w:t>
            </w:r>
          </w:p>
        </w:tc>
        <w:tc>
          <w:tcPr>
            <w:tcW w:w="609" w:type="dxa"/>
          </w:tcPr>
          <w:p>
            <w:pPr>
              <w:pStyle w:val="TableParagraph"/>
              <w:spacing w:before="16"/>
              <w:ind w:left="76" w:right="-5"/>
              <w:rPr>
                <w:sz w:val="18"/>
              </w:rPr>
            </w:pPr>
            <w:r>
              <w:rPr>
                <w:sz w:val="18"/>
              </w:rPr>
              <w:t>40(d)</w:t>
            </w:r>
          </w:p>
        </w:tc>
        <w:tc>
          <w:tcPr>
            <w:tcW w:w="1636" w:type="dxa"/>
          </w:tcPr>
          <w:p>
            <w:pPr>
              <w:pStyle w:val="TableParagraph"/>
              <w:spacing w:before="19"/>
              <w:ind w:right="258"/>
              <w:jc w:val="right"/>
              <w:rPr>
                <w:b/>
                <w:sz w:val="18"/>
              </w:rPr>
            </w:pPr>
            <w:r>
              <w:rPr>
                <w:b/>
                <w:w w:val="95"/>
                <w:sz w:val="18"/>
              </w:rPr>
              <w:t>583</w:t>
            </w:r>
          </w:p>
        </w:tc>
        <w:tc>
          <w:tcPr>
            <w:tcW w:w="1387" w:type="dxa"/>
          </w:tcPr>
          <w:p>
            <w:pPr>
              <w:pStyle w:val="TableParagraph"/>
              <w:spacing w:before="19"/>
              <w:ind w:right="349"/>
              <w:jc w:val="right"/>
              <w:rPr>
                <w:sz w:val="18"/>
              </w:rPr>
            </w:pPr>
            <w:r>
              <w:rPr>
                <w:w w:val="95"/>
                <w:sz w:val="18"/>
              </w:rPr>
              <w:t>1,146</w:t>
            </w:r>
          </w:p>
        </w:tc>
        <w:tc>
          <w:tcPr>
            <w:tcW w:w="1373" w:type="dxa"/>
          </w:tcPr>
          <w:p>
            <w:pPr>
              <w:pStyle w:val="TableParagraph"/>
              <w:spacing w:before="19"/>
              <w:ind w:right="258"/>
              <w:jc w:val="right"/>
              <w:rPr>
                <w:b/>
                <w:sz w:val="18"/>
              </w:rPr>
            </w:pPr>
            <w:r>
              <w:rPr>
                <w:b/>
                <w:w w:val="95"/>
                <w:sz w:val="18"/>
              </w:rPr>
              <w:t>583</w:t>
            </w:r>
          </w:p>
        </w:tc>
        <w:tc>
          <w:tcPr>
            <w:tcW w:w="1124" w:type="dxa"/>
          </w:tcPr>
          <w:p>
            <w:pPr>
              <w:pStyle w:val="TableParagraph"/>
              <w:spacing w:before="19"/>
              <w:ind w:right="87"/>
              <w:jc w:val="right"/>
              <w:rPr>
                <w:sz w:val="18"/>
              </w:rPr>
            </w:pPr>
            <w:r>
              <w:rPr>
                <w:w w:val="95"/>
                <w:sz w:val="18"/>
              </w:rPr>
              <w:t>1,146</w:t>
            </w:r>
          </w:p>
        </w:tc>
      </w:tr>
      <w:tr>
        <w:trPr>
          <w:trHeight w:val="466" w:hRule="exact"/>
        </w:trPr>
        <w:tc>
          <w:tcPr>
            <w:tcW w:w="2803" w:type="dxa"/>
          </w:tcPr>
          <w:p>
            <w:pPr>
              <w:pStyle w:val="TableParagraph"/>
              <w:spacing w:before="16"/>
              <w:ind w:left="35" w:right="517"/>
              <w:rPr>
                <w:sz w:val="18"/>
              </w:rPr>
            </w:pPr>
            <w:r>
              <w:rPr>
                <w:sz w:val="18"/>
              </w:rPr>
              <w:t>ARC Grants - Networks and Centres</w:t>
            </w:r>
          </w:p>
        </w:tc>
        <w:tc>
          <w:tcPr>
            <w:tcW w:w="609" w:type="dxa"/>
          </w:tcPr>
          <w:p>
            <w:pPr>
              <w:pStyle w:val="TableParagraph"/>
              <w:spacing w:before="16"/>
              <w:ind w:left="76" w:right="-5"/>
              <w:rPr>
                <w:sz w:val="18"/>
              </w:rPr>
            </w:pPr>
            <w:r>
              <w:rPr>
                <w:sz w:val="18"/>
              </w:rPr>
              <w:t>40(d)</w:t>
            </w:r>
          </w:p>
        </w:tc>
        <w:tc>
          <w:tcPr>
            <w:tcW w:w="1636" w:type="dxa"/>
          </w:tcPr>
          <w:p>
            <w:pPr>
              <w:pStyle w:val="TableParagraph"/>
              <w:spacing w:before="2"/>
              <w:rPr>
                <w:b/>
                <w:sz w:val="19"/>
              </w:rPr>
            </w:pPr>
          </w:p>
          <w:p>
            <w:pPr>
              <w:pStyle w:val="TableParagraph"/>
              <w:ind w:right="258"/>
              <w:jc w:val="right"/>
              <w:rPr>
                <w:b/>
                <w:sz w:val="18"/>
              </w:rPr>
            </w:pPr>
            <w:r>
              <w:rPr>
                <w:b/>
                <w:w w:val="99"/>
                <w:sz w:val="18"/>
              </w:rPr>
              <w:t>-</w:t>
            </w:r>
          </w:p>
        </w:tc>
        <w:tc>
          <w:tcPr>
            <w:tcW w:w="1387" w:type="dxa"/>
          </w:tcPr>
          <w:p>
            <w:pPr>
              <w:pStyle w:val="TableParagraph"/>
              <w:spacing w:before="2"/>
              <w:rPr>
                <w:b/>
                <w:sz w:val="19"/>
              </w:rPr>
            </w:pPr>
          </w:p>
          <w:p>
            <w:pPr>
              <w:pStyle w:val="TableParagraph"/>
              <w:ind w:right="349"/>
              <w:jc w:val="right"/>
              <w:rPr>
                <w:sz w:val="18"/>
              </w:rPr>
            </w:pPr>
            <w:r>
              <w:rPr>
                <w:w w:val="95"/>
                <w:sz w:val="18"/>
              </w:rPr>
              <w:t>1,136</w:t>
            </w:r>
          </w:p>
        </w:tc>
        <w:tc>
          <w:tcPr>
            <w:tcW w:w="1373" w:type="dxa"/>
          </w:tcPr>
          <w:p>
            <w:pPr>
              <w:pStyle w:val="TableParagraph"/>
              <w:spacing w:before="2"/>
              <w:rPr>
                <w:b/>
                <w:sz w:val="19"/>
              </w:rPr>
            </w:pPr>
          </w:p>
          <w:p>
            <w:pPr>
              <w:pStyle w:val="TableParagraph"/>
              <w:ind w:right="258"/>
              <w:jc w:val="right"/>
              <w:rPr>
                <w:b/>
                <w:sz w:val="18"/>
              </w:rPr>
            </w:pPr>
            <w:r>
              <w:rPr>
                <w:b/>
                <w:w w:val="99"/>
                <w:sz w:val="18"/>
              </w:rPr>
              <w:t>-</w:t>
            </w:r>
          </w:p>
        </w:tc>
        <w:tc>
          <w:tcPr>
            <w:tcW w:w="1124" w:type="dxa"/>
          </w:tcPr>
          <w:p>
            <w:pPr>
              <w:pStyle w:val="TableParagraph"/>
              <w:spacing w:before="2"/>
              <w:rPr>
                <w:b/>
                <w:sz w:val="19"/>
              </w:rPr>
            </w:pPr>
          </w:p>
          <w:p>
            <w:pPr>
              <w:pStyle w:val="TableParagraph"/>
              <w:ind w:right="87"/>
              <w:jc w:val="right"/>
              <w:rPr>
                <w:sz w:val="18"/>
              </w:rPr>
            </w:pPr>
            <w:r>
              <w:rPr>
                <w:w w:val="95"/>
                <w:sz w:val="18"/>
              </w:rPr>
              <w:t>1,136</w:t>
            </w:r>
          </w:p>
        </w:tc>
      </w:tr>
      <w:tr>
        <w:trPr>
          <w:trHeight w:val="463" w:hRule="exact"/>
        </w:trPr>
        <w:tc>
          <w:tcPr>
            <w:tcW w:w="2803" w:type="dxa"/>
          </w:tcPr>
          <w:p>
            <w:pPr>
              <w:pStyle w:val="TableParagraph"/>
              <w:spacing w:before="16"/>
              <w:ind w:left="35" w:right="406"/>
              <w:rPr>
                <w:sz w:val="18"/>
              </w:rPr>
            </w:pPr>
            <w:r>
              <w:rPr>
                <w:sz w:val="18"/>
              </w:rPr>
              <w:t>Other Australian Government Grants</w:t>
            </w:r>
          </w:p>
        </w:tc>
        <w:tc>
          <w:tcPr>
            <w:tcW w:w="609" w:type="dxa"/>
          </w:tcPr>
          <w:p>
            <w:pPr>
              <w:pStyle w:val="TableParagraph"/>
              <w:spacing w:before="16"/>
              <w:ind w:left="76" w:right="-5"/>
              <w:rPr>
                <w:sz w:val="18"/>
              </w:rPr>
            </w:pPr>
            <w:r>
              <w:rPr>
                <w:sz w:val="18"/>
              </w:rPr>
              <w:t>2(e)</w:t>
            </w:r>
          </w:p>
        </w:tc>
        <w:tc>
          <w:tcPr>
            <w:tcW w:w="1636" w:type="dxa"/>
            <w:tcBorders>
              <w:bottom w:val="single" w:sz="1" w:space="0" w:color="000000"/>
            </w:tcBorders>
          </w:tcPr>
          <w:p>
            <w:pPr>
              <w:pStyle w:val="TableParagraph"/>
              <w:spacing w:before="2"/>
              <w:rPr>
                <w:b/>
                <w:sz w:val="19"/>
              </w:rPr>
            </w:pPr>
          </w:p>
          <w:p>
            <w:pPr>
              <w:pStyle w:val="TableParagraph"/>
              <w:ind w:right="258"/>
              <w:jc w:val="right"/>
              <w:rPr>
                <w:b/>
                <w:sz w:val="18"/>
              </w:rPr>
            </w:pPr>
            <w:r>
              <w:rPr>
                <w:b/>
                <w:w w:val="95"/>
                <w:sz w:val="18"/>
              </w:rPr>
              <w:t>6,893</w:t>
            </w:r>
          </w:p>
        </w:tc>
        <w:tc>
          <w:tcPr>
            <w:tcW w:w="1387" w:type="dxa"/>
            <w:tcBorders>
              <w:bottom w:val="single" w:sz="1" w:space="0" w:color="000000"/>
            </w:tcBorders>
          </w:tcPr>
          <w:p>
            <w:pPr>
              <w:pStyle w:val="TableParagraph"/>
              <w:spacing w:before="2"/>
              <w:rPr>
                <w:b/>
                <w:sz w:val="19"/>
              </w:rPr>
            </w:pPr>
          </w:p>
          <w:p>
            <w:pPr>
              <w:pStyle w:val="TableParagraph"/>
              <w:ind w:right="349"/>
              <w:jc w:val="right"/>
              <w:rPr>
                <w:sz w:val="18"/>
              </w:rPr>
            </w:pPr>
            <w:r>
              <w:rPr>
                <w:w w:val="95"/>
                <w:sz w:val="18"/>
              </w:rPr>
              <w:t>7,479</w:t>
            </w:r>
          </w:p>
        </w:tc>
        <w:tc>
          <w:tcPr>
            <w:tcW w:w="1373" w:type="dxa"/>
            <w:tcBorders>
              <w:bottom w:val="single" w:sz="1" w:space="0" w:color="000000"/>
            </w:tcBorders>
          </w:tcPr>
          <w:p>
            <w:pPr>
              <w:pStyle w:val="TableParagraph"/>
              <w:spacing w:before="2"/>
              <w:rPr>
                <w:b/>
                <w:sz w:val="19"/>
              </w:rPr>
            </w:pPr>
          </w:p>
          <w:p>
            <w:pPr>
              <w:pStyle w:val="TableParagraph"/>
              <w:ind w:right="258"/>
              <w:jc w:val="right"/>
              <w:rPr>
                <w:b/>
                <w:sz w:val="18"/>
              </w:rPr>
            </w:pPr>
            <w:r>
              <w:rPr>
                <w:b/>
                <w:w w:val="95"/>
                <w:sz w:val="18"/>
              </w:rPr>
              <w:t>6,893</w:t>
            </w:r>
          </w:p>
        </w:tc>
        <w:tc>
          <w:tcPr>
            <w:tcW w:w="1124" w:type="dxa"/>
            <w:tcBorders>
              <w:bottom w:val="single" w:sz="1" w:space="0" w:color="000000"/>
            </w:tcBorders>
          </w:tcPr>
          <w:p>
            <w:pPr>
              <w:pStyle w:val="TableParagraph"/>
              <w:spacing w:before="2"/>
              <w:rPr>
                <w:b/>
                <w:sz w:val="19"/>
              </w:rPr>
            </w:pPr>
          </w:p>
          <w:p>
            <w:pPr>
              <w:pStyle w:val="TableParagraph"/>
              <w:ind w:right="87"/>
              <w:jc w:val="right"/>
              <w:rPr>
                <w:sz w:val="18"/>
              </w:rPr>
            </w:pPr>
            <w:r>
              <w:rPr>
                <w:w w:val="95"/>
                <w:sz w:val="18"/>
              </w:rPr>
              <w:t>7,479</w:t>
            </w:r>
          </w:p>
        </w:tc>
      </w:tr>
      <w:tr>
        <w:trPr>
          <w:trHeight w:val="328" w:hRule="exact"/>
        </w:trPr>
        <w:tc>
          <w:tcPr>
            <w:tcW w:w="2803" w:type="dxa"/>
          </w:tcPr>
          <w:p>
            <w:pPr>
              <w:pStyle w:val="TableParagraph"/>
              <w:spacing w:before="125"/>
              <w:ind w:left="35"/>
              <w:rPr>
                <w:b/>
                <w:sz w:val="18"/>
              </w:rPr>
            </w:pPr>
            <w:r>
              <w:rPr>
                <w:b/>
                <w:sz w:val="18"/>
              </w:rPr>
              <w:t>Total Australian Government</w:t>
            </w:r>
          </w:p>
        </w:tc>
        <w:tc>
          <w:tcPr>
            <w:tcW w:w="609" w:type="dxa"/>
          </w:tcPr>
          <w:p>
            <w:pPr/>
          </w:p>
        </w:tc>
        <w:tc>
          <w:tcPr>
            <w:tcW w:w="1636" w:type="dxa"/>
            <w:tcBorders>
              <w:top w:val="single" w:sz="1" w:space="0" w:color="000000"/>
            </w:tcBorders>
          </w:tcPr>
          <w:p>
            <w:pPr/>
          </w:p>
        </w:tc>
        <w:tc>
          <w:tcPr>
            <w:tcW w:w="1387" w:type="dxa"/>
            <w:tcBorders>
              <w:top w:val="single" w:sz="1" w:space="0" w:color="000000"/>
            </w:tcBorders>
          </w:tcPr>
          <w:p>
            <w:pPr/>
          </w:p>
        </w:tc>
        <w:tc>
          <w:tcPr>
            <w:tcW w:w="1373" w:type="dxa"/>
            <w:tcBorders>
              <w:top w:val="single" w:sz="1" w:space="0" w:color="000000"/>
            </w:tcBorders>
          </w:tcPr>
          <w:p>
            <w:pPr/>
          </w:p>
        </w:tc>
        <w:tc>
          <w:tcPr>
            <w:tcW w:w="1124" w:type="dxa"/>
            <w:tcBorders>
              <w:top w:val="single" w:sz="1" w:space="0" w:color="000000"/>
            </w:tcBorders>
          </w:tcPr>
          <w:p>
            <w:pPr/>
          </w:p>
        </w:tc>
      </w:tr>
      <w:tr>
        <w:trPr>
          <w:trHeight w:val="242" w:hRule="exact"/>
        </w:trPr>
        <w:tc>
          <w:tcPr>
            <w:tcW w:w="8932" w:type="dxa"/>
            <w:gridSpan w:val="6"/>
          </w:tcPr>
          <w:p>
            <w:pPr>
              <w:pStyle w:val="TableParagraph"/>
              <w:tabs>
                <w:tab w:pos="3411" w:val="left" w:leader="none"/>
                <w:tab w:pos="4131" w:val="left" w:leader="none"/>
                <w:tab w:pos="5427" w:val="left" w:leader="none"/>
                <w:tab w:pos="6891" w:val="left" w:leader="none"/>
                <w:tab w:pos="8187" w:val="left" w:leader="none"/>
              </w:tabs>
              <w:spacing w:before="3"/>
              <w:ind w:left="35"/>
              <w:rPr>
                <w:sz w:val="18"/>
              </w:rPr>
            </w:pPr>
            <w:r>
              <w:rPr>
                <w:b/>
                <w:sz w:val="18"/>
              </w:rPr>
              <w:t>Grants received -</w:t>
            </w:r>
            <w:r>
              <w:rPr>
                <w:b/>
                <w:spacing w:val="-1"/>
                <w:sz w:val="18"/>
              </w:rPr>
              <w:t> </w:t>
            </w:r>
            <w:r>
              <w:rPr>
                <w:b/>
                <w:sz w:val="18"/>
              </w:rPr>
              <w:t>cash</w:t>
            </w:r>
            <w:r>
              <w:rPr>
                <w:b/>
                <w:spacing w:val="-1"/>
                <w:sz w:val="18"/>
              </w:rPr>
              <w:t> </w:t>
            </w:r>
            <w:r>
              <w:rPr>
                <w:b/>
                <w:sz w:val="18"/>
              </w:rPr>
              <w:t>basis</w:t>
              <w:tab/>
            </w:r>
            <w:r>
              <w:rPr>
                <w:rFonts w:ascii="Times New Roman"/>
                <w:sz w:val="18"/>
                <w:u w:val="single"/>
              </w:rPr>
              <w:t> </w:t>
              <w:tab/>
            </w:r>
            <w:r>
              <w:rPr>
                <w:b/>
                <w:sz w:val="18"/>
                <w:u w:val="single"/>
              </w:rPr>
              <w:t>547,794</w:t>
              <w:tab/>
            </w:r>
            <w:r>
              <w:rPr>
                <w:sz w:val="18"/>
                <w:u w:val="single"/>
              </w:rPr>
              <w:t>567,314</w:t>
              <w:tab/>
            </w:r>
            <w:r>
              <w:rPr>
                <w:b/>
                <w:sz w:val="18"/>
                <w:u w:val="single"/>
              </w:rPr>
              <w:t>547,794</w:t>
              <w:tab/>
            </w:r>
            <w:r>
              <w:rPr>
                <w:sz w:val="18"/>
                <w:u w:val="single"/>
              </w:rPr>
              <w:t>567,314</w:t>
            </w:r>
          </w:p>
        </w:tc>
      </w:tr>
      <w:tr>
        <w:trPr>
          <w:trHeight w:val="257" w:hRule="exact"/>
        </w:trPr>
        <w:tc>
          <w:tcPr>
            <w:tcW w:w="2803" w:type="dxa"/>
          </w:tcPr>
          <w:p>
            <w:pPr>
              <w:pStyle w:val="TableParagraph"/>
              <w:spacing w:before="18"/>
              <w:ind w:left="35"/>
              <w:rPr>
                <w:sz w:val="18"/>
              </w:rPr>
            </w:pPr>
            <w:r>
              <w:rPr>
                <w:sz w:val="18"/>
              </w:rPr>
              <w:t>OS-Help (Net)</w:t>
            </w:r>
          </w:p>
        </w:tc>
        <w:tc>
          <w:tcPr>
            <w:tcW w:w="609" w:type="dxa"/>
          </w:tcPr>
          <w:p>
            <w:pPr>
              <w:pStyle w:val="TableParagraph"/>
              <w:spacing w:before="13"/>
              <w:ind w:left="76" w:right="-5"/>
              <w:rPr>
                <w:sz w:val="18"/>
              </w:rPr>
            </w:pPr>
            <w:r>
              <w:rPr>
                <w:sz w:val="18"/>
              </w:rPr>
              <w:t>40(e)</w:t>
            </w:r>
          </w:p>
        </w:tc>
        <w:tc>
          <w:tcPr>
            <w:tcW w:w="1636" w:type="dxa"/>
            <w:tcBorders>
              <w:bottom w:val="single" w:sz="1" w:space="0" w:color="000000"/>
            </w:tcBorders>
          </w:tcPr>
          <w:p>
            <w:pPr>
              <w:pStyle w:val="TableParagraph"/>
              <w:spacing w:before="15"/>
              <w:ind w:right="258"/>
              <w:jc w:val="right"/>
              <w:rPr>
                <w:b/>
                <w:sz w:val="18"/>
              </w:rPr>
            </w:pPr>
            <w:r>
              <w:rPr>
                <w:b/>
                <w:w w:val="95"/>
                <w:sz w:val="18"/>
              </w:rPr>
              <w:t>106</w:t>
            </w:r>
          </w:p>
        </w:tc>
        <w:tc>
          <w:tcPr>
            <w:tcW w:w="1387" w:type="dxa"/>
            <w:tcBorders>
              <w:bottom w:val="single" w:sz="1" w:space="0" w:color="000000"/>
            </w:tcBorders>
          </w:tcPr>
          <w:p>
            <w:pPr>
              <w:pStyle w:val="TableParagraph"/>
              <w:spacing w:before="15"/>
              <w:ind w:right="349"/>
              <w:jc w:val="right"/>
              <w:rPr>
                <w:sz w:val="18"/>
              </w:rPr>
            </w:pPr>
            <w:r>
              <w:rPr>
                <w:w w:val="95"/>
                <w:sz w:val="18"/>
              </w:rPr>
              <w:t>322</w:t>
            </w:r>
          </w:p>
        </w:tc>
        <w:tc>
          <w:tcPr>
            <w:tcW w:w="1373" w:type="dxa"/>
            <w:tcBorders>
              <w:bottom w:val="single" w:sz="1" w:space="0" w:color="000000"/>
            </w:tcBorders>
          </w:tcPr>
          <w:p>
            <w:pPr>
              <w:pStyle w:val="TableParagraph"/>
              <w:spacing w:before="15"/>
              <w:ind w:right="258"/>
              <w:jc w:val="right"/>
              <w:rPr>
                <w:b/>
                <w:sz w:val="18"/>
              </w:rPr>
            </w:pPr>
            <w:r>
              <w:rPr>
                <w:b/>
                <w:w w:val="95"/>
                <w:sz w:val="18"/>
              </w:rPr>
              <w:t>106</w:t>
            </w:r>
          </w:p>
        </w:tc>
        <w:tc>
          <w:tcPr>
            <w:tcW w:w="1124" w:type="dxa"/>
            <w:tcBorders>
              <w:bottom w:val="single" w:sz="1" w:space="0" w:color="000000"/>
            </w:tcBorders>
          </w:tcPr>
          <w:p>
            <w:pPr>
              <w:pStyle w:val="TableParagraph"/>
              <w:spacing w:before="15"/>
              <w:ind w:right="86"/>
              <w:jc w:val="right"/>
              <w:rPr>
                <w:sz w:val="18"/>
              </w:rPr>
            </w:pPr>
            <w:r>
              <w:rPr>
                <w:w w:val="95"/>
                <w:sz w:val="18"/>
              </w:rPr>
              <w:t>322</w:t>
            </w:r>
          </w:p>
        </w:tc>
      </w:tr>
      <w:tr>
        <w:trPr>
          <w:trHeight w:val="341" w:hRule="exact"/>
        </w:trPr>
        <w:tc>
          <w:tcPr>
            <w:tcW w:w="2803" w:type="dxa"/>
          </w:tcPr>
          <w:p>
            <w:pPr>
              <w:pStyle w:val="TableParagraph"/>
              <w:spacing w:before="125"/>
              <w:ind w:left="35"/>
              <w:rPr>
                <w:b/>
                <w:sz w:val="18"/>
              </w:rPr>
            </w:pPr>
            <w:r>
              <w:rPr>
                <w:b/>
                <w:sz w:val="18"/>
              </w:rPr>
              <w:t>Total Australian Government</w:t>
            </w:r>
          </w:p>
        </w:tc>
        <w:tc>
          <w:tcPr>
            <w:tcW w:w="609" w:type="dxa"/>
          </w:tcPr>
          <w:p>
            <w:pPr/>
          </w:p>
        </w:tc>
        <w:tc>
          <w:tcPr>
            <w:tcW w:w="1636" w:type="dxa"/>
            <w:tcBorders>
              <w:top w:val="single" w:sz="1" w:space="0" w:color="000000"/>
            </w:tcBorders>
          </w:tcPr>
          <w:p>
            <w:pPr/>
          </w:p>
        </w:tc>
        <w:tc>
          <w:tcPr>
            <w:tcW w:w="1387" w:type="dxa"/>
            <w:tcBorders>
              <w:top w:val="single" w:sz="1" w:space="0" w:color="000000"/>
            </w:tcBorders>
          </w:tcPr>
          <w:p>
            <w:pPr/>
          </w:p>
        </w:tc>
        <w:tc>
          <w:tcPr>
            <w:tcW w:w="1373" w:type="dxa"/>
            <w:tcBorders>
              <w:top w:val="single" w:sz="1" w:space="0" w:color="000000"/>
            </w:tcBorders>
          </w:tcPr>
          <w:p>
            <w:pPr/>
          </w:p>
        </w:tc>
        <w:tc>
          <w:tcPr>
            <w:tcW w:w="1124" w:type="dxa"/>
            <w:tcBorders>
              <w:top w:val="single" w:sz="1" w:space="0" w:color="000000"/>
            </w:tcBorders>
          </w:tcPr>
          <w:p>
            <w:pPr/>
          </w:p>
        </w:tc>
      </w:tr>
      <w:tr>
        <w:trPr>
          <w:trHeight w:val="218" w:hRule="exact"/>
        </w:trPr>
        <w:tc>
          <w:tcPr>
            <w:tcW w:w="2803" w:type="dxa"/>
          </w:tcPr>
          <w:p>
            <w:pPr>
              <w:pStyle w:val="TableParagraph"/>
              <w:spacing w:line="197" w:lineRule="exact"/>
              <w:ind w:left="35"/>
              <w:rPr>
                <w:b/>
                <w:sz w:val="18"/>
              </w:rPr>
            </w:pPr>
            <w:r>
              <w:rPr>
                <w:b/>
                <w:sz w:val="18"/>
              </w:rPr>
              <w:t>funding received - cash basis</w:t>
            </w:r>
          </w:p>
        </w:tc>
        <w:tc>
          <w:tcPr>
            <w:tcW w:w="609" w:type="dxa"/>
          </w:tcPr>
          <w:p>
            <w:pPr/>
          </w:p>
        </w:tc>
        <w:tc>
          <w:tcPr>
            <w:tcW w:w="1636" w:type="dxa"/>
            <w:tcBorders>
              <w:bottom w:val="single" w:sz="1" w:space="0" w:color="000000"/>
            </w:tcBorders>
          </w:tcPr>
          <w:p>
            <w:pPr>
              <w:pStyle w:val="TableParagraph"/>
              <w:spacing w:line="197" w:lineRule="exact"/>
              <w:ind w:right="258"/>
              <w:jc w:val="right"/>
              <w:rPr>
                <w:b/>
                <w:sz w:val="18"/>
              </w:rPr>
            </w:pPr>
            <w:r>
              <w:rPr>
                <w:b/>
                <w:w w:val="95"/>
                <w:sz w:val="18"/>
              </w:rPr>
              <w:t>547,900</w:t>
            </w:r>
          </w:p>
        </w:tc>
        <w:tc>
          <w:tcPr>
            <w:tcW w:w="1387" w:type="dxa"/>
            <w:tcBorders>
              <w:bottom w:val="single" w:sz="1" w:space="0" w:color="000000"/>
            </w:tcBorders>
          </w:tcPr>
          <w:p>
            <w:pPr>
              <w:pStyle w:val="TableParagraph"/>
              <w:spacing w:line="197" w:lineRule="exact"/>
              <w:ind w:right="349"/>
              <w:jc w:val="right"/>
              <w:rPr>
                <w:sz w:val="18"/>
              </w:rPr>
            </w:pPr>
            <w:r>
              <w:rPr>
                <w:w w:val="95"/>
                <w:sz w:val="18"/>
              </w:rPr>
              <w:t>567,636</w:t>
            </w:r>
          </w:p>
        </w:tc>
        <w:tc>
          <w:tcPr>
            <w:tcW w:w="1373" w:type="dxa"/>
            <w:tcBorders>
              <w:bottom w:val="single" w:sz="1" w:space="0" w:color="000000"/>
            </w:tcBorders>
          </w:tcPr>
          <w:p>
            <w:pPr>
              <w:pStyle w:val="TableParagraph"/>
              <w:spacing w:line="197" w:lineRule="exact"/>
              <w:ind w:right="258"/>
              <w:jc w:val="right"/>
              <w:rPr>
                <w:b/>
                <w:sz w:val="18"/>
              </w:rPr>
            </w:pPr>
            <w:r>
              <w:rPr>
                <w:b/>
                <w:w w:val="95"/>
                <w:sz w:val="18"/>
              </w:rPr>
              <w:t>547,900</w:t>
            </w:r>
          </w:p>
        </w:tc>
        <w:tc>
          <w:tcPr>
            <w:tcW w:w="1124" w:type="dxa"/>
            <w:tcBorders>
              <w:bottom w:val="single" w:sz="1" w:space="0" w:color="000000"/>
            </w:tcBorders>
          </w:tcPr>
          <w:p>
            <w:pPr>
              <w:pStyle w:val="TableParagraph"/>
              <w:spacing w:line="197" w:lineRule="exact"/>
              <w:ind w:right="88"/>
              <w:jc w:val="right"/>
              <w:rPr>
                <w:sz w:val="18"/>
              </w:rPr>
            </w:pPr>
            <w:r>
              <w:rPr>
                <w:w w:val="95"/>
                <w:sz w:val="18"/>
              </w:rPr>
              <w:t>567,636</w:t>
            </w:r>
          </w:p>
        </w:tc>
      </w:tr>
    </w:tbl>
    <w:p>
      <w:pPr>
        <w:spacing w:after="0" w:line="197" w:lineRule="exact"/>
        <w:jc w:val="right"/>
        <w:rPr>
          <w:sz w:val="18"/>
        </w:rPr>
        <w:sectPr>
          <w:type w:val="continuous"/>
          <w:pgSz w:w="11910" w:h="16840"/>
          <w:pgMar w:top="1580" w:bottom="280" w:left="900" w:right="880"/>
        </w:sectPr>
      </w:pPr>
    </w:p>
    <w:p>
      <w:pPr>
        <w:pStyle w:val="BodyText"/>
        <w:rPr>
          <w:b/>
          <w:sz w:val="20"/>
        </w:rPr>
      </w:pPr>
    </w:p>
    <w:p>
      <w:pPr>
        <w:pStyle w:val="BodyText"/>
        <w:rPr>
          <w:b/>
          <w:sz w:val="20"/>
        </w:rPr>
      </w:pPr>
    </w:p>
    <w:p>
      <w:pPr>
        <w:pStyle w:val="BodyText"/>
        <w:spacing w:before="5"/>
        <w:rPr>
          <w:b/>
        </w:rPr>
      </w:pPr>
    </w:p>
    <w:p>
      <w:pPr>
        <w:pStyle w:val="ListParagraph"/>
        <w:numPr>
          <w:ilvl w:val="0"/>
          <w:numId w:val="22"/>
        </w:numPr>
        <w:tabs>
          <w:tab w:pos="504" w:val="left" w:leader="none"/>
        </w:tabs>
        <w:spacing w:line="240" w:lineRule="auto" w:before="0" w:after="0"/>
        <w:ind w:left="504" w:right="0" w:hanging="394"/>
        <w:jc w:val="left"/>
        <w:rPr>
          <w:b/>
          <w:sz w:val="18"/>
        </w:rPr>
      </w:pPr>
      <w:bookmarkStart w:name="3 State and local government financial a" w:id="65"/>
      <w:bookmarkEnd w:id="65"/>
      <w:r>
        <w:rPr/>
      </w:r>
      <w:bookmarkStart w:name="3 State and local government financial a" w:id="66"/>
      <w:bookmarkEnd w:id="66"/>
      <w:r>
        <w:rPr>
          <w:b/>
          <w:sz w:val="18"/>
        </w:rPr>
        <w:t>State</w:t>
      </w:r>
      <w:r>
        <w:rPr>
          <w:b/>
          <w:sz w:val="18"/>
        </w:rPr>
        <w:t> and local government financial</w:t>
      </w:r>
      <w:r>
        <w:rPr>
          <w:b/>
          <w:spacing w:val="-1"/>
          <w:sz w:val="18"/>
        </w:rPr>
        <w:t> </w:t>
      </w:r>
      <w:r>
        <w:rPr>
          <w:b/>
          <w:sz w:val="18"/>
        </w:rPr>
        <w:t>assistance</w:t>
      </w:r>
    </w:p>
    <w:p>
      <w:pPr>
        <w:pStyle w:val="BodyText"/>
        <w:spacing w:before="11"/>
        <w:rPr>
          <w:b/>
          <w:sz w:val="24"/>
        </w:rPr>
      </w:pPr>
    </w:p>
    <w:p>
      <w:pPr>
        <w:pStyle w:val="BodyText"/>
        <w:ind w:left="504" w:right="220"/>
      </w:pPr>
      <w:r>
        <w:rPr/>
        <w:t>Government grants were received during the reporting period for the following purposes:</w:t>
      </w:r>
    </w:p>
    <w:p>
      <w:pPr>
        <w:pStyle w:val="BodyText"/>
      </w:pPr>
    </w:p>
    <w:p>
      <w:pPr>
        <w:pStyle w:val="BodyText"/>
      </w:pPr>
    </w:p>
    <w:p>
      <w:pPr>
        <w:pStyle w:val="Heading9"/>
        <w:tabs>
          <w:tab w:pos="8366" w:val="left" w:leader="none"/>
        </w:tabs>
        <w:spacing w:before="113"/>
        <w:ind w:left="5318" w:right="220"/>
      </w:pPr>
      <w:r>
        <w:rPr/>
        <w:t>Consolidated</w:t>
        <w:tab/>
        <w:t>Parent</w:t>
      </w:r>
    </w:p>
    <w:p>
      <w:pPr>
        <w:spacing w:after="0"/>
        <w:sectPr>
          <w:pgSz w:w="11910" w:h="16840"/>
          <w:pgMar w:header="1037" w:footer="507" w:top="2220" w:bottom="700" w:left="900" w:right="880"/>
        </w:sectPr>
      </w:pPr>
    </w:p>
    <w:p>
      <w:pPr>
        <w:pStyle w:val="BodyText"/>
        <w:rPr>
          <w:b/>
        </w:rPr>
      </w:pPr>
    </w:p>
    <w:p>
      <w:pPr>
        <w:pStyle w:val="BodyText"/>
        <w:rPr>
          <w:b/>
        </w:rPr>
      </w:pPr>
    </w:p>
    <w:p>
      <w:pPr>
        <w:pStyle w:val="BodyText"/>
        <w:spacing w:before="3"/>
        <w:rPr>
          <w:b/>
          <w:sz w:val="24"/>
        </w:rPr>
      </w:pPr>
    </w:p>
    <w:p>
      <w:pPr>
        <w:spacing w:before="0"/>
        <w:ind w:left="530" w:right="-16" w:firstLine="0"/>
        <w:jc w:val="left"/>
        <w:rPr>
          <w:b/>
          <w:sz w:val="18"/>
        </w:rPr>
      </w:pPr>
      <w:r>
        <w:rPr>
          <w:b/>
          <w:sz w:val="18"/>
        </w:rPr>
        <w:t>Non-capital</w:t>
      </w:r>
    </w:p>
    <w:p>
      <w:pPr>
        <w:spacing w:before="66"/>
        <w:ind w:left="551" w:right="-17" w:firstLine="0"/>
        <w:jc w:val="left"/>
        <w:rPr>
          <w:b/>
          <w:sz w:val="18"/>
        </w:rPr>
      </w:pPr>
      <w:r>
        <w:rPr/>
        <w:br w:type="column"/>
      </w:r>
      <w:r>
        <w:rPr>
          <w:b/>
          <w:sz w:val="18"/>
        </w:rPr>
        <w:t>2017</w:t>
      </w:r>
    </w:p>
    <w:p>
      <w:pPr>
        <w:spacing w:before="66"/>
        <w:ind w:left="530" w:right="-17" w:firstLine="0"/>
        <w:jc w:val="left"/>
        <w:rPr>
          <w:b/>
          <w:sz w:val="18"/>
        </w:rPr>
      </w:pPr>
      <w:r>
        <w:rPr>
          <w:b/>
          <w:sz w:val="18"/>
        </w:rPr>
        <w:t>$'000</w:t>
      </w:r>
    </w:p>
    <w:p>
      <w:pPr>
        <w:spacing w:before="66"/>
        <w:ind w:left="551" w:right="-17" w:firstLine="0"/>
        <w:jc w:val="left"/>
        <w:rPr>
          <w:b/>
          <w:sz w:val="18"/>
        </w:rPr>
      </w:pPr>
      <w:r>
        <w:rPr/>
        <w:br w:type="column"/>
      </w:r>
      <w:r>
        <w:rPr>
          <w:b/>
          <w:sz w:val="18"/>
        </w:rPr>
        <w:t>2016</w:t>
      </w:r>
    </w:p>
    <w:p>
      <w:pPr>
        <w:spacing w:before="66"/>
        <w:ind w:left="530" w:right="-17" w:firstLine="0"/>
        <w:jc w:val="left"/>
        <w:rPr>
          <w:b/>
          <w:sz w:val="18"/>
        </w:rPr>
      </w:pPr>
      <w:r>
        <w:rPr>
          <w:b/>
          <w:sz w:val="18"/>
        </w:rPr>
        <w:t>$'000</w:t>
      </w:r>
    </w:p>
    <w:p>
      <w:pPr>
        <w:spacing w:before="66"/>
        <w:ind w:left="551" w:right="-17" w:firstLine="0"/>
        <w:jc w:val="left"/>
        <w:rPr>
          <w:b/>
          <w:sz w:val="18"/>
        </w:rPr>
      </w:pPr>
      <w:r>
        <w:rPr/>
        <w:br w:type="column"/>
      </w:r>
      <w:r>
        <w:rPr>
          <w:b/>
          <w:sz w:val="18"/>
        </w:rPr>
        <w:t>2017</w:t>
      </w:r>
    </w:p>
    <w:p>
      <w:pPr>
        <w:spacing w:before="66"/>
        <w:ind w:left="530" w:right="-17" w:firstLine="0"/>
        <w:jc w:val="left"/>
        <w:rPr>
          <w:b/>
          <w:sz w:val="18"/>
        </w:rPr>
      </w:pPr>
      <w:r>
        <w:rPr>
          <w:b/>
          <w:sz w:val="18"/>
        </w:rPr>
        <w:t>$'000</w:t>
      </w:r>
    </w:p>
    <w:p>
      <w:pPr>
        <w:spacing w:before="66"/>
        <w:ind w:left="515" w:right="534" w:firstLine="0"/>
        <w:jc w:val="center"/>
        <w:rPr>
          <w:b/>
          <w:sz w:val="18"/>
        </w:rPr>
      </w:pPr>
      <w:r>
        <w:rPr/>
        <w:br w:type="column"/>
      </w:r>
      <w:r>
        <w:rPr>
          <w:b/>
          <w:sz w:val="18"/>
        </w:rPr>
        <w:t>2016</w:t>
      </w:r>
    </w:p>
    <w:p>
      <w:pPr>
        <w:spacing w:before="66"/>
        <w:ind w:left="515" w:right="534" w:firstLine="0"/>
        <w:jc w:val="center"/>
        <w:rPr>
          <w:b/>
          <w:sz w:val="18"/>
        </w:rPr>
      </w:pPr>
      <w:r>
        <w:rPr>
          <w:b/>
          <w:sz w:val="18"/>
        </w:rPr>
        <w:t>$'000</w:t>
      </w:r>
    </w:p>
    <w:p>
      <w:pPr>
        <w:spacing w:after="0"/>
        <w:jc w:val="center"/>
        <w:rPr>
          <w:sz w:val="18"/>
        </w:rPr>
        <w:sectPr>
          <w:type w:val="continuous"/>
          <w:pgSz w:w="11910" w:h="16840"/>
          <w:pgMar w:top="1580" w:bottom="280" w:left="900" w:right="880"/>
          <w:cols w:num="5" w:equalWidth="0">
            <w:col w:w="1515" w:space="3038"/>
            <w:col w:w="977" w:space="307"/>
            <w:col w:w="977" w:space="499"/>
            <w:col w:w="977" w:space="307"/>
            <w:col w:w="1533"/>
          </w:cols>
        </w:sectPr>
      </w:pPr>
    </w:p>
    <w:p>
      <w:pPr>
        <w:pStyle w:val="BodyText"/>
        <w:tabs>
          <w:tab w:pos="5666" w:val="left" w:leader="none"/>
          <w:tab w:pos="7065" w:val="left" w:leader="none"/>
          <w:tab w:pos="8426" w:val="left" w:leader="none"/>
          <w:tab w:pos="9925" w:val="right" w:leader="none"/>
        </w:tabs>
        <w:spacing w:before="30"/>
        <w:ind w:left="530"/>
      </w:pPr>
      <w:r>
        <w:rPr/>
        <w:pict>
          <v:group style="position:absolute;margin-left:269.565002pt;margin-top:12.986885pt;width:276.150pt;height:1pt;mso-position-horizontal-relative:page;mso-position-vertical-relative:paragraph;z-index:1264" coordorigin="5391,260" coordsize="5523,20">
            <v:line style="position:absolute" from="5393,261" to="5561,261" stroked="true" strokeweight=".12pt" strokecolor="#000000"/>
            <v:line style="position:absolute" from="5393,264" to="5561,264" stroked="true" strokeweight=".12pt" strokecolor="#000000"/>
            <v:line style="position:absolute" from="5393,266" to="5561,266" stroked="true" strokeweight=".12pt" strokecolor="#000000"/>
            <v:line style="position:absolute" from="5393,268" to="5561,268" stroked="true" strokeweight=".12pt" strokecolor="#000000"/>
            <v:line style="position:absolute" from="5393,271" to="5561,271" stroked="true" strokeweight=".12pt" strokecolor="#000000"/>
            <v:line style="position:absolute" from="5393,273" to="5561,273" stroked="true" strokeweight=".12pt" strokecolor="#000000"/>
            <v:line style="position:absolute" from="5393,276" to="5561,276" stroked="true" strokeweight=".12pt" strokecolor="#000000"/>
            <v:line style="position:absolute" from="5393,278" to="5561,278" stroked="true" strokeweight=".12pt" strokecolor="#000000"/>
            <v:line style="position:absolute" from="5561,261" to="6857,261" stroked="true" strokeweight=".12pt" strokecolor="#000000"/>
            <v:line style="position:absolute" from="5561,264" to="6857,264" stroked="true" strokeweight=".12pt" strokecolor="#000000"/>
            <v:line style="position:absolute" from="5561,266" to="6857,266" stroked="true" strokeweight=".12pt" strokecolor="#000000"/>
            <v:line style="position:absolute" from="5561,268" to="6857,268" stroked="true" strokeweight=".12pt" strokecolor="#000000"/>
            <v:line style="position:absolute" from="5561,271" to="6857,271" stroked="true" strokeweight=".12pt" strokecolor="#000000"/>
            <v:line style="position:absolute" from="5561,273" to="6857,273" stroked="true" strokeweight=".12pt" strokecolor="#000000"/>
            <v:line style="position:absolute" from="5561,276" to="6857,276" stroked="true" strokeweight=".12pt" strokecolor="#000000"/>
            <v:line style="position:absolute" from="5561,278" to="6857,278" stroked="true" strokeweight=".12pt" strokecolor="#000000"/>
            <v:line style="position:absolute" from="6857,261" to="8153,261" stroked="true" strokeweight=".12pt" strokecolor="#000000"/>
            <v:line style="position:absolute" from="6857,264" to="8153,264" stroked="true" strokeweight=".12pt" strokecolor="#000000"/>
            <v:line style="position:absolute" from="6857,266" to="8153,266" stroked="true" strokeweight=".12pt" strokecolor="#000000"/>
            <v:line style="position:absolute" from="6857,268" to="8153,268" stroked="true" strokeweight=".12pt" strokecolor="#000000"/>
            <v:line style="position:absolute" from="6857,271" to="8153,271" stroked="true" strokeweight=".12pt" strokecolor="#000000"/>
            <v:line style="position:absolute" from="6857,273" to="8153,273" stroked="true" strokeweight=".12pt" strokecolor="#000000"/>
            <v:line style="position:absolute" from="6857,276" to="8153,276" stroked="true" strokeweight=".12pt" strokecolor="#000000"/>
            <v:line style="position:absolute" from="6857,278" to="8153,278" stroked="true" strokeweight=".12pt" strokecolor="#000000"/>
            <v:line style="position:absolute" from="8153,261" to="8321,261" stroked="true" strokeweight=".12pt" strokecolor="#000000"/>
            <v:line style="position:absolute" from="8153,264" to="8321,264" stroked="true" strokeweight=".12pt" strokecolor="#000000"/>
            <v:line style="position:absolute" from="8153,266" to="8321,266" stroked="true" strokeweight=".12pt" strokecolor="#000000"/>
            <v:line style="position:absolute" from="8153,268" to="8321,268" stroked="true" strokeweight=".12pt" strokecolor="#000000"/>
            <v:line style="position:absolute" from="8153,271" to="8321,271" stroked="true" strokeweight=".12pt" strokecolor="#000000"/>
            <v:line style="position:absolute" from="8153,273" to="8321,273" stroked="true" strokeweight=".12pt" strokecolor="#000000"/>
            <v:line style="position:absolute" from="8153,276" to="8321,276" stroked="true" strokeweight=".12pt" strokecolor="#000000"/>
            <v:line style="position:absolute" from="8153,278" to="8321,278" stroked="true" strokeweight=".12pt" strokecolor="#000000"/>
            <v:line style="position:absolute" from="8321,261" to="9617,261" stroked="true" strokeweight=".12pt" strokecolor="#000000"/>
            <v:line style="position:absolute" from="8321,264" to="9617,264" stroked="true" strokeweight=".12pt" strokecolor="#000000"/>
            <v:line style="position:absolute" from="8321,266" to="9617,266" stroked="true" strokeweight=".12pt" strokecolor="#000000"/>
            <v:line style="position:absolute" from="8321,268" to="9617,268" stroked="true" strokeweight=".12pt" strokecolor="#000000"/>
            <v:line style="position:absolute" from="8321,271" to="9617,271" stroked="true" strokeweight=".12pt" strokecolor="#000000"/>
            <v:line style="position:absolute" from="8321,273" to="9617,273" stroked="true" strokeweight=".12pt" strokecolor="#000000"/>
            <v:line style="position:absolute" from="8321,276" to="9617,276" stroked="true" strokeweight=".12pt" strokecolor="#000000"/>
            <v:line style="position:absolute" from="8321,278" to="9617,278" stroked="true" strokeweight=".12pt" strokecolor="#000000"/>
            <v:line style="position:absolute" from="9617,261" to="10913,261" stroked="true" strokeweight=".12pt" strokecolor="#000000"/>
            <v:line style="position:absolute" from="9617,264" to="10913,264" stroked="true" strokeweight=".12pt" strokecolor="#000000"/>
            <v:line style="position:absolute" from="9617,266" to="10913,266" stroked="true" strokeweight=".12pt" strokecolor="#000000"/>
            <v:line style="position:absolute" from="9617,268" to="10913,268" stroked="true" strokeweight=".12pt" strokecolor="#000000"/>
            <v:line style="position:absolute" from="9617,271" to="10913,271" stroked="true" strokeweight=".12pt" strokecolor="#000000"/>
            <v:line style="position:absolute" from="9617,273" to="10913,273" stroked="true" strokeweight=".12pt" strokecolor="#000000"/>
            <v:line style="position:absolute" from="9617,276" to="10913,276" stroked="true" strokeweight=".12pt" strokecolor="#000000"/>
            <v:line style="position:absolute" from="9617,278" to="10913,278" stroked="true" strokeweight=".12pt" strokecolor="#000000"/>
            <w10:wrap type="none"/>
          </v:group>
        </w:pict>
      </w:r>
      <w:r>
        <w:rPr/>
        <w:t>NSW Department of</w:t>
      </w:r>
      <w:r>
        <w:rPr>
          <w:spacing w:val="8"/>
        </w:rPr>
        <w:t> </w:t>
      </w:r>
      <w:r>
        <w:rPr/>
        <w:t>Primary</w:t>
      </w:r>
      <w:r>
        <w:rPr>
          <w:spacing w:val="-1"/>
        </w:rPr>
        <w:t> </w:t>
      </w:r>
      <w:r>
        <w:rPr/>
        <w:t>Industries</w:t>
        <w:tab/>
      </w:r>
      <w:r>
        <w:rPr>
          <w:b/>
        </w:rPr>
        <w:t>19</w:t>
        <w:tab/>
      </w:r>
      <w:r>
        <w:rPr/>
        <w:t>6</w:t>
        <w:tab/>
      </w:r>
      <w:r>
        <w:rPr>
          <w:b/>
        </w:rPr>
        <w:t>19</w:t>
      </w:r>
      <w:r>
        <w:rPr>
          <w:rFonts w:ascii="Times New Roman"/>
        </w:rPr>
        <w:tab/>
      </w:r>
      <w:r>
        <w:rPr/>
        <w:t>6</w:t>
      </w:r>
    </w:p>
    <w:p>
      <w:pPr>
        <w:pStyle w:val="Heading9"/>
        <w:tabs>
          <w:tab w:pos="5666" w:val="left" w:leader="none"/>
          <w:tab w:pos="7065" w:val="left" w:leader="none"/>
          <w:tab w:pos="8426" w:val="left" w:leader="none"/>
          <w:tab w:pos="9925" w:val="right" w:leader="none"/>
        </w:tabs>
        <w:spacing w:before="128"/>
        <w:ind w:left="530"/>
        <w:rPr>
          <w:b w:val="0"/>
        </w:rPr>
      </w:pPr>
      <w:r>
        <w:rPr/>
        <w:pict>
          <v:group style="position:absolute;margin-left:269.565002pt;margin-top:18.066895pt;width:276.150pt;height:1pt;mso-position-horizontal-relative:page;mso-position-vertical-relative:paragraph;z-index:-1182736" coordorigin="5391,361" coordsize="5523,20">
            <v:line style="position:absolute" from="5393,363" to="5561,363" stroked="true" strokeweight=".12pt" strokecolor="#000000"/>
            <v:line style="position:absolute" from="5393,365" to="5561,365" stroked="true" strokeweight=".12pt" strokecolor="#000000"/>
            <v:line style="position:absolute" from="5393,368" to="5561,368" stroked="true" strokeweight=".12pt" strokecolor="#000000"/>
            <v:line style="position:absolute" from="5393,370" to="5561,370" stroked="true" strokeweight=".12pt" strokecolor="#000000"/>
            <v:line style="position:absolute" from="5393,372" to="5561,372" stroked="true" strokeweight=".12pt" strokecolor="#000000"/>
            <v:line style="position:absolute" from="5393,375" to="5561,375" stroked="true" strokeweight=".12pt" strokecolor="#000000"/>
            <v:line style="position:absolute" from="5393,377" to="5561,377" stroked="true" strokeweight=".12pt" strokecolor="#000000"/>
            <v:line style="position:absolute" from="5393,380" to="5561,380" stroked="true" strokeweight=".12pt" strokecolor="#000000"/>
            <v:line style="position:absolute" from="5561,363" to="6857,363" stroked="true" strokeweight=".12pt" strokecolor="#000000"/>
            <v:line style="position:absolute" from="5561,365" to="6857,365" stroked="true" strokeweight=".12pt" strokecolor="#000000"/>
            <v:line style="position:absolute" from="5561,368" to="6857,368" stroked="true" strokeweight=".12pt" strokecolor="#000000"/>
            <v:line style="position:absolute" from="5561,370" to="6857,370" stroked="true" strokeweight=".12pt" strokecolor="#000000"/>
            <v:line style="position:absolute" from="5561,372" to="6857,372" stroked="true" strokeweight=".12pt" strokecolor="#000000"/>
            <v:line style="position:absolute" from="5561,375" to="6857,375" stroked="true" strokeweight=".12pt" strokecolor="#000000"/>
            <v:line style="position:absolute" from="5561,377" to="6857,377" stroked="true" strokeweight=".12pt" strokecolor="#000000"/>
            <v:line style="position:absolute" from="5561,380" to="6857,380" stroked="true" strokeweight=".12pt" strokecolor="#000000"/>
            <v:line style="position:absolute" from="6857,363" to="8153,363" stroked="true" strokeweight=".12pt" strokecolor="#000000"/>
            <v:line style="position:absolute" from="6857,365" to="8153,365" stroked="true" strokeweight=".12pt" strokecolor="#000000"/>
            <v:line style="position:absolute" from="6857,368" to="8153,368" stroked="true" strokeweight=".12pt" strokecolor="#000000"/>
            <v:line style="position:absolute" from="6857,370" to="8153,370" stroked="true" strokeweight=".12pt" strokecolor="#000000"/>
            <v:line style="position:absolute" from="6857,372" to="8153,372" stroked="true" strokeweight=".12pt" strokecolor="#000000"/>
            <v:line style="position:absolute" from="6857,375" to="8153,375" stroked="true" strokeweight=".12pt" strokecolor="#000000"/>
            <v:line style="position:absolute" from="6857,377" to="8153,377" stroked="true" strokeweight=".12pt" strokecolor="#000000"/>
            <v:line style="position:absolute" from="6857,380" to="8153,380" stroked="true" strokeweight=".12pt" strokecolor="#000000"/>
            <v:line style="position:absolute" from="8153,363" to="8321,363" stroked="true" strokeweight=".12pt" strokecolor="#000000"/>
            <v:line style="position:absolute" from="8153,365" to="8321,365" stroked="true" strokeweight=".12pt" strokecolor="#000000"/>
            <v:line style="position:absolute" from="8153,368" to="8321,368" stroked="true" strokeweight=".12pt" strokecolor="#000000"/>
            <v:line style="position:absolute" from="8153,370" to="8321,370" stroked="true" strokeweight=".12pt" strokecolor="#000000"/>
            <v:line style="position:absolute" from="8153,372" to="8321,372" stroked="true" strokeweight=".12pt" strokecolor="#000000"/>
            <v:line style="position:absolute" from="8153,375" to="8321,375" stroked="true" strokeweight=".12pt" strokecolor="#000000"/>
            <v:line style="position:absolute" from="8153,377" to="8321,377" stroked="true" strokeweight=".12pt" strokecolor="#000000"/>
            <v:line style="position:absolute" from="8153,380" to="8321,380" stroked="true" strokeweight=".12pt" strokecolor="#000000"/>
            <v:line style="position:absolute" from="8321,363" to="9617,363" stroked="true" strokeweight=".12pt" strokecolor="#000000"/>
            <v:line style="position:absolute" from="8321,365" to="9617,365" stroked="true" strokeweight=".12pt" strokecolor="#000000"/>
            <v:line style="position:absolute" from="8321,368" to="9617,368" stroked="true" strokeweight=".12pt" strokecolor="#000000"/>
            <v:line style="position:absolute" from="8321,370" to="9617,370" stroked="true" strokeweight=".12pt" strokecolor="#000000"/>
            <v:line style="position:absolute" from="8321,372" to="9617,372" stroked="true" strokeweight=".12pt" strokecolor="#000000"/>
            <v:line style="position:absolute" from="8321,375" to="9617,375" stroked="true" strokeweight=".12pt" strokecolor="#000000"/>
            <v:line style="position:absolute" from="8321,377" to="9617,377" stroked="true" strokeweight=".12pt" strokecolor="#000000"/>
            <v:line style="position:absolute" from="8321,380" to="9617,380" stroked="true" strokeweight=".12pt" strokecolor="#000000"/>
            <v:line style="position:absolute" from="9617,363" to="10913,363" stroked="true" strokeweight=".12pt" strokecolor="#000000"/>
            <v:line style="position:absolute" from="9617,365" to="10913,365" stroked="true" strokeweight=".12pt" strokecolor="#000000"/>
            <v:line style="position:absolute" from="9617,368" to="10913,368" stroked="true" strokeweight=".12pt" strokecolor="#000000"/>
            <v:line style="position:absolute" from="9617,370" to="10913,370" stroked="true" strokeweight=".12pt" strokecolor="#000000"/>
            <v:line style="position:absolute" from="9617,372" to="10913,372" stroked="true" strokeweight=".12pt" strokecolor="#000000"/>
            <v:line style="position:absolute" from="9617,375" to="10913,375" stroked="true" strokeweight=".12pt" strokecolor="#000000"/>
            <v:line style="position:absolute" from="9617,377" to="10913,377" stroked="true" strokeweight=".12pt" strokecolor="#000000"/>
            <v:line style="position:absolute" from="9617,380" to="10913,380" stroked="true" strokeweight=".12pt" strokecolor="#000000"/>
            <v:line style="position:absolute" from="5393,363" to="5561,363" stroked="true" strokeweight=".12pt" strokecolor="#000000"/>
            <v:line style="position:absolute" from="5393,365" to="5561,365" stroked="true" strokeweight=".12pt" strokecolor="#000000"/>
            <v:line style="position:absolute" from="5393,368" to="5561,368" stroked="true" strokeweight=".12pt" strokecolor="#000000"/>
            <v:line style="position:absolute" from="5393,370" to="5561,370" stroked="true" strokeweight=".12pt" strokecolor="#000000"/>
            <v:line style="position:absolute" from="5393,372" to="5561,372" stroked="true" strokeweight=".12pt" strokecolor="#000000"/>
            <v:line style="position:absolute" from="5393,375" to="5561,375" stroked="true" strokeweight=".12pt" strokecolor="#000000"/>
            <v:line style="position:absolute" from="5393,377" to="5561,377" stroked="true" strokeweight=".12pt" strokecolor="#000000"/>
            <v:line style="position:absolute" from="5393,380" to="5561,380" stroked="true" strokeweight=".12pt" strokecolor="#000000"/>
            <v:line style="position:absolute" from="5561,363" to="6857,363" stroked="true" strokeweight=".12pt" strokecolor="#000000"/>
            <v:line style="position:absolute" from="5561,365" to="6857,365" stroked="true" strokeweight=".12pt" strokecolor="#000000"/>
            <v:line style="position:absolute" from="5561,368" to="6857,368" stroked="true" strokeweight=".12pt" strokecolor="#000000"/>
            <v:line style="position:absolute" from="5561,370" to="6857,370" stroked="true" strokeweight=".12pt" strokecolor="#000000"/>
            <v:line style="position:absolute" from="5561,372" to="6857,372" stroked="true" strokeweight=".12pt" strokecolor="#000000"/>
            <v:line style="position:absolute" from="5561,375" to="6857,375" stroked="true" strokeweight=".12pt" strokecolor="#000000"/>
            <v:line style="position:absolute" from="5561,377" to="6857,377" stroked="true" strokeweight=".12pt" strokecolor="#000000"/>
            <v:line style="position:absolute" from="5561,380" to="6857,380" stroked="true" strokeweight=".12pt" strokecolor="#000000"/>
            <v:line style="position:absolute" from="6857,363" to="8153,363" stroked="true" strokeweight=".12pt" strokecolor="#000000"/>
            <v:line style="position:absolute" from="6857,365" to="8153,365" stroked="true" strokeweight=".12pt" strokecolor="#000000"/>
            <v:line style="position:absolute" from="6857,368" to="8153,368" stroked="true" strokeweight=".12pt" strokecolor="#000000"/>
            <v:line style="position:absolute" from="6857,370" to="8153,370" stroked="true" strokeweight=".12pt" strokecolor="#000000"/>
            <v:line style="position:absolute" from="6857,372" to="8153,372" stroked="true" strokeweight=".12pt" strokecolor="#000000"/>
            <v:line style="position:absolute" from="6857,375" to="8153,375" stroked="true" strokeweight=".12pt" strokecolor="#000000"/>
            <v:line style="position:absolute" from="6857,377" to="8153,377" stroked="true" strokeweight=".12pt" strokecolor="#000000"/>
            <v:line style="position:absolute" from="6857,380" to="8153,380" stroked="true" strokeweight=".12pt" strokecolor="#000000"/>
            <v:line style="position:absolute" from="8153,363" to="8321,363" stroked="true" strokeweight=".12pt" strokecolor="#000000"/>
            <v:line style="position:absolute" from="8153,365" to="8321,365" stroked="true" strokeweight=".12pt" strokecolor="#000000"/>
            <v:line style="position:absolute" from="8153,368" to="8321,368" stroked="true" strokeweight=".12pt" strokecolor="#000000"/>
            <v:line style="position:absolute" from="8153,370" to="8321,370" stroked="true" strokeweight=".12pt" strokecolor="#000000"/>
            <v:line style="position:absolute" from="8153,372" to="8321,372" stroked="true" strokeweight=".12pt" strokecolor="#000000"/>
            <v:line style="position:absolute" from="8153,375" to="8321,375" stroked="true" strokeweight=".12pt" strokecolor="#000000"/>
            <v:line style="position:absolute" from="8153,377" to="8321,377" stroked="true" strokeweight=".12pt" strokecolor="#000000"/>
            <v:line style="position:absolute" from="8153,380" to="8321,380" stroked="true" strokeweight=".12pt" strokecolor="#000000"/>
            <v:line style="position:absolute" from="8321,363" to="9617,363" stroked="true" strokeweight=".12pt" strokecolor="#000000"/>
            <v:line style="position:absolute" from="8321,365" to="9617,365" stroked="true" strokeweight=".12pt" strokecolor="#000000"/>
            <v:line style="position:absolute" from="8321,368" to="9617,368" stroked="true" strokeweight=".12pt" strokecolor="#000000"/>
            <v:line style="position:absolute" from="8321,370" to="9617,370" stroked="true" strokeweight=".12pt" strokecolor="#000000"/>
            <v:line style="position:absolute" from="8321,372" to="9617,372" stroked="true" strokeweight=".12pt" strokecolor="#000000"/>
            <v:line style="position:absolute" from="8321,375" to="9617,375" stroked="true" strokeweight=".12pt" strokecolor="#000000"/>
            <v:line style="position:absolute" from="8321,377" to="9617,377" stroked="true" strokeweight=".12pt" strokecolor="#000000"/>
            <v:line style="position:absolute" from="8321,380" to="9617,380" stroked="true" strokeweight=".12pt" strokecolor="#000000"/>
            <v:line style="position:absolute" from="9617,363" to="10913,363" stroked="true" strokeweight=".12pt" strokecolor="#000000"/>
            <v:line style="position:absolute" from="9617,365" to="10913,365" stroked="true" strokeweight=".12pt" strokecolor="#000000"/>
            <v:line style="position:absolute" from="9617,368" to="10913,368" stroked="true" strokeweight=".12pt" strokecolor="#000000"/>
            <v:line style="position:absolute" from="9617,370" to="10913,370" stroked="true" strokeweight=".12pt" strokecolor="#000000"/>
            <v:line style="position:absolute" from="9617,372" to="10913,372" stroked="true" strokeweight=".12pt" strokecolor="#000000"/>
            <v:line style="position:absolute" from="9617,375" to="10913,375" stroked="true" strokeweight=".12pt" strokecolor="#000000"/>
            <v:line style="position:absolute" from="9617,377" to="10913,377" stroked="true" strokeweight=".12pt" strokecolor="#000000"/>
            <v:line style="position:absolute" from="9617,380" to="10913,380" stroked="true" strokeweight=".12pt" strokecolor="#000000"/>
            <w10:wrap type="none"/>
          </v:group>
        </w:pict>
      </w:r>
      <w:bookmarkStart w:name="4 Fees and charges " w:id="67"/>
      <w:bookmarkEnd w:id="67"/>
      <w:r>
        <w:rPr>
          <w:b w:val="0"/>
        </w:rPr>
      </w:r>
      <w:r>
        <w:rPr/>
        <w:t>Total Non-capital</w:t>
        <w:tab/>
      </w:r>
      <w:r>
        <w:rPr>
          <w:position w:val="3"/>
        </w:rPr>
        <w:t>19</w:t>
        <w:tab/>
      </w:r>
      <w:r>
        <w:rPr>
          <w:b w:val="0"/>
          <w:position w:val="3"/>
        </w:rPr>
        <w:t>6</w:t>
        <w:tab/>
      </w:r>
      <w:r>
        <w:rPr>
          <w:position w:val="3"/>
        </w:rPr>
        <w:t>19</w:t>
      </w:r>
      <w:r>
        <w:rPr>
          <w:rFonts w:ascii="Times New Roman"/>
          <w:b w:val="0"/>
          <w:position w:val="3"/>
        </w:rPr>
        <w:tab/>
      </w:r>
      <w:r>
        <w:rPr>
          <w:b w:val="0"/>
          <w:position w:val="3"/>
        </w:rPr>
        <w:t>6</w:t>
      </w:r>
    </w:p>
    <w:p>
      <w:pPr>
        <w:pStyle w:val="Heading9"/>
        <w:spacing w:line="192" w:lineRule="exact" w:before="131"/>
        <w:ind w:left="530" w:right="220"/>
      </w:pPr>
      <w:r>
        <w:rPr/>
        <w:t>Total State and Local Government Financial</w:t>
      </w:r>
    </w:p>
    <w:p>
      <w:pPr>
        <w:pStyle w:val="Heading9"/>
        <w:tabs>
          <w:tab w:pos="5666" w:val="left" w:leader="none"/>
          <w:tab w:pos="7065" w:val="left" w:leader="none"/>
          <w:tab w:pos="8426" w:val="left" w:leader="none"/>
          <w:tab w:pos="9925" w:val="right" w:leader="none"/>
        </w:tabs>
        <w:spacing w:line="222" w:lineRule="exact"/>
        <w:ind w:left="530"/>
        <w:rPr>
          <w:b w:val="0"/>
        </w:rPr>
      </w:pPr>
      <w:r>
        <w:rPr/>
        <w:pict>
          <v:group style="position:absolute;margin-left:269.565002pt;margin-top:10.902348pt;width:276.150pt;height:2.450pt;mso-position-horizontal-relative:page;mso-position-vertical-relative:paragraph;z-index:-1182712" coordorigin="5391,218" coordsize="5523,49">
            <v:line style="position:absolute" from="5393,220" to="5561,220" stroked="true" strokeweight=".12pt" strokecolor="#000000"/>
            <v:line style="position:absolute" from="5393,222" to="5561,222" stroked="true" strokeweight=".12pt" strokecolor="#000000"/>
            <v:line style="position:absolute" from="5393,224" to="5561,224" stroked="true" strokeweight=".12pt" strokecolor="#000000"/>
            <v:line style="position:absolute" from="5393,227" to="5561,227" stroked="true" strokeweight=".12pt" strokecolor="#000000"/>
            <v:line style="position:absolute" from="5393,229" to="5561,229" stroked="true" strokeweight=".12pt" strokecolor="#000000"/>
            <v:line style="position:absolute" from="5393,232" to="5561,232" stroked="true" strokeweight=".12pt" strokecolor="#000000"/>
            <v:line style="position:absolute" from="5393,253" to="5561,253" stroked="true" strokeweight=".12pt" strokecolor="#000000"/>
            <v:line style="position:absolute" from="5393,256" to="5561,256" stroked="true" strokeweight=".12pt" strokecolor="#000000"/>
            <v:line style="position:absolute" from="5393,258" to="5561,258" stroked="true" strokeweight=".12pt" strokecolor="#000000"/>
            <v:line style="position:absolute" from="5393,260" to="5561,260" stroked="true" strokeweight=".12pt" strokecolor="#000000"/>
            <v:line style="position:absolute" from="5393,263" to="5561,263" stroked="true" strokeweight=".12pt" strokecolor="#000000"/>
            <v:line style="position:absolute" from="5393,265" to="5561,265" stroked="true" strokeweight=".12pt" strokecolor="#000000"/>
            <v:line style="position:absolute" from="5561,220" to="6857,220" stroked="true" strokeweight=".12pt" strokecolor="#000000"/>
            <v:line style="position:absolute" from="5561,222" to="6857,222" stroked="true" strokeweight=".12pt" strokecolor="#000000"/>
            <v:line style="position:absolute" from="5561,224" to="6857,224" stroked="true" strokeweight=".12pt" strokecolor="#000000"/>
            <v:line style="position:absolute" from="5561,227" to="6857,227" stroked="true" strokeweight=".12pt" strokecolor="#000000"/>
            <v:line style="position:absolute" from="5561,229" to="6857,229" stroked="true" strokeweight=".12pt" strokecolor="#000000"/>
            <v:line style="position:absolute" from="5561,232" to="6857,232" stroked="true" strokeweight=".12pt" strokecolor="#000000"/>
            <v:line style="position:absolute" from="5561,253" to="6857,253" stroked="true" strokeweight=".12pt" strokecolor="#000000"/>
            <v:line style="position:absolute" from="5561,256" to="6857,256" stroked="true" strokeweight=".12pt" strokecolor="#000000"/>
            <v:line style="position:absolute" from="5561,258" to="6857,258" stroked="true" strokeweight=".12pt" strokecolor="#000000"/>
            <v:line style="position:absolute" from="5561,260" to="6857,260" stroked="true" strokeweight=".12pt" strokecolor="#000000"/>
            <v:line style="position:absolute" from="5561,263" to="6857,263" stroked="true" strokeweight=".12pt" strokecolor="#000000"/>
            <v:line style="position:absolute" from="5561,265" to="6857,265" stroked="true" strokeweight=".12pt" strokecolor="#000000"/>
            <v:line style="position:absolute" from="6857,220" to="8153,220" stroked="true" strokeweight=".12pt" strokecolor="#000000"/>
            <v:line style="position:absolute" from="6857,222" to="8153,222" stroked="true" strokeweight=".12pt" strokecolor="#000000"/>
            <v:line style="position:absolute" from="6857,224" to="8153,224" stroked="true" strokeweight=".12pt" strokecolor="#000000"/>
            <v:line style="position:absolute" from="6857,227" to="8153,227" stroked="true" strokeweight=".12pt" strokecolor="#000000"/>
            <v:line style="position:absolute" from="6857,229" to="8153,229" stroked="true" strokeweight=".12pt" strokecolor="#000000"/>
            <v:line style="position:absolute" from="6857,232" to="8153,232" stroked="true" strokeweight=".12pt" strokecolor="#000000"/>
            <v:line style="position:absolute" from="6857,253" to="8153,253" stroked="true" strokeweight=".12pt" strokecolor="#000000"/>
            <v:line style="position:absolute" from="6857,256" to="8153,256" stroked="true" strokeweight=".12pt" strokecolor="#000000"/>
            <v:line style="position:absolute" from="6857,258" to="8153,258" stroked="true" strokeweight=".12pt" strokecolor="#000000"/>
            <v:line style="position:absolute" from="6857,260" to="8153,260" stroked="true" strokeweight=".12pt" strokecolor="#000000"/>
            <v:line style="position:absolute" from="6857,263" to="8153,263" stroked="true" strokeweight=".12pt" strokecolor="#000000"/>
            <v:line style="position:absolute" from="6857,265" to="8153,265" stroked="true" strokeweight=".12pt" strokecolor="#000000"/>
            <v:line style="position:absolute" from="8153,220" to="8321,220" stroked="true" strokeweight=".12pt" strokecolor="#000000"/>
            <v:line style="position:absolute" from="8153,222" to="8321,222" stroked="true" strokeweight=".12pt" strokecolor="#000000"/>
            <v:line style="position:absolute" from="8153,224" to="8321,224" stroked="true" strokeweight=".12pt" strokecolor="#000000"/>
            <v:line style="position:absolute" from="8153,227" to="8321,227" stroked="true" strokeweight=".12pt" strokecolor="#000000"/>
            <v:line style="position:absolute" from="8153,229" to="8321,229" stroked="true" strokeweight=".12pt" strokecolor="#000000"/>
            <v:line style="position:absolute" from="8153,232" to="8321,232" stroked="true" strokeweight=".12pt" strokecolor="#000000"/>
            <v:line style="position:absolute" from="8153,253" to="8321,253" stroked="true" strokeweight=".12pt" strokecolor="#000000"/>
            <v:line style="position:absolute" from="8153,256" to="8321,256" stroked="true" strokeweight=".12pt" strokecolor="#000000"/>
            <v:line style="position:absolute" from="8153,258" to="8321,258" stroked="true" strokeweight=".12pt" strokecolor="#000000"/>
            <v:line style="position:absolute" from="8153,260" to="8321,260" stroked="true" strokeweight=".12pt" strokecolor="#000000"/>
            <v:line style="position:absolute" from="8153,263" to="8321,263" stroked="true" strokeweight=".12pt" strokecolor="#000000"/>
            <v:line style="position:absolute" from="8153,265" to="8321,265" stroked="true" strokeweight=".12pt" strokecolor="#000000"/>
            <v:line style="position:absolute" from="8321,220" to="9617,220" stroked="true" strokeweight=".12pt" strokecolor="#000000"/>
            <v:line style="position:absolute" from="8321,222" to="9617,222" stroked="true" strokeweight=".12pt" strokecolor="#000000"/>
            <v:line style="position:absolute" from="8321,224" to="9617,224" stroked="true" strokeweight=".12pt" strokecolor="#000000"/>
            <v:line style="position:absolute" from="8321,227" to="9617,227" stroked="true" strokeweight=".12pt" strokecolor="#000000"/>
            <v:line style="position:absolute" from="8321,229" to="9617,229" stroked="true" strokeweight=".12pt" strokecolor="#000000"/>
            <v:line style="position:absolute" from="8321,232" to="9617,232" stroked="true" strokeweight=".12pt" strokecolor="#000000"/>
            <v:line style="position:absolute" from="8321,253" to="9617,253" stroked="true" strokeweight=".12pt" strokecolor="#000000"/>
            <v:line style="position:absolute" from="8321,256" to="9617,256" stroked="true" strokeweight=".12pt" strokecolor="#000000"/>
            <v:line style="position:absolute" from="8321,258" to="9617,258" stroked="true" strokeweight=".12pt" strokecolor="#000000"/>
            <v:line style="position:absolute" from="8321,260" to="9617,260" stroked="true" strokeweight=".12pt" strokecolor="#000000"/>
            <v:line style="position:absolute" from="8321,263" to="9617,263" stroked="true" strokeweight=".12pt" strokecolor="#000000"/>
            <v:line style="position:absolute" from="8321,265" to="9617,265" stroked="true" strokeweight=".12pt" strokecolor="#000000"/>
            <v:line style="position:absolute" from="9617,220" to="10913,220" stroked="true" strokeweight=".12pt" strokecolor="#000000"/>
            <v:line style="position:absolute" from="9617,222" to="10913,222" stroked="true" strokeweight=".12pt" strokecolor="#000000"/>
            <v:line style="position:absolute" from="9617,224" to="10913,224" stroked="true" strokeweight=".12pt" strokecolor="#000000"/>
            <v:line style="position:absolute" from="9617,227" to="10913,227" stroked="true" strokeweight=".12pt" strokecolor="#000000"/>
            <v:line style="position:absolute" from="9617,229" to="10913,229" stroked="true" strokeweight=".12pt" strokecolor="#000000"/>
            <v:line style="position:absolute" from="9617,232" to="10913,232" stroked="true" strokeweight=".12pt" strokecolor="#000000"/>
            <v:line style="position:absolute" from="9617,253" to="10913,253" stroked="true" strokeweight=".12pt" strokecolor="#000000"/>
            <v:line style="position:absolute" from="9617,256" to="10913,256" stroked="true" strokeweight=".12pt" strokecolor="#000000"/>
            <v:line style="position:absolute" from="9617,258" to="10913,258" stroked="true" strokeweight=".12pt" strokecolor="#000000"/>
            <v:line style="position:absolute" from="9617,260" to="10913,260" stroked="true" strokeweight=".12pt" strokecolor="#000000"/>
            <v:line style="position:absolute" from="9617,263" to="10913,263" stroked="true" strokeweight=".12pt" strokecolor="#000000"/>
            <v:line style="position:absolute" from="9617,265" to="10913,265" stroked="true" strokeweight=".12pt" strokecolor="#000000"/>
            <w10:wrap type="none"/>
          </v:group>
        </w:pict>
      </w:r>
      <w:r>
        <w:rPr/>
        <w:t>Assistance</w:t>
        <w:tab/>
      </w:r>
      <w:r>
        <w:rPr>
          <w:position w:val="3"/>
        </w:rPr>
        <w:t>19</w:t>
        <w:tab/>
      </w:r>
      <w:r>
        <w:rPr>
          <w:b w:val="0"/>
          <w:position w:val="3"/>
        </w:rPr>
        <w:t>6</w:t>
        <w:tab/>
      </w:r>
      <w:r>
        <w:rPr>
          <w:position w:val="3"/>
        </w:rPr>
        <w:t>19</w:t>
      </w:r>
      <w:r>
        <w:rPr>
          <w:rFonts w:ascii="Times New Roman"/>
          <w:b w:val="0"/>
          <w:position w:val="3"/>
        </w:rPr>
        <w:tab/>
      </w:r>
      <w:r>
        <w:rPr>
          <w:b w:val="0"/>
          <w:position w:val="3"/>
        </w:rPr>
        <w:t>6</w:t>
      </w:r>
    </w:p>
    <w:p>
      <w:pPr>
        <w:pStyle w:val="ListParagraph"/>
        <w:numPr>
          <w:ilvl w:val="0"/>
          <w:numId w:val="22"/>
        </w:numPr>
        <w:tabs>
          <w:tab w:pos="504" w:val="left" w:leader="none"/>
        </w:tabs>
        <w:spacing w:line="240" w:lineRule="auto" w:before="520" w:after="0"/>
        <w:ind w:left="504" w:right="0" w:hanging="394"/>
        <w:jc w:val="left"/>
        <w:rPr>
          <w:b/>
          <w:sz w:val="18"/>
        </w:rPr>
      </w:pPr>
      <w:r>
        <w:rPr>
          <w:b/>
          <w:sz w:val="18"/>
        </w:rPr>
        <w:t>Fees and</w:t>
      </w:r>
      <w:r>
        <w:rPr>
          <w:b/>
          <w:spacing w:val="1"/>
          <w:sz w:val="18"/>
        </w:rPr>
        <w:t> </w:t>
      </w:r>
      <w:r>
        <w:rPr>
          <w:b/>
          <w:sz w:val="18"/>
        </w:rPr>
        <w:t>charges</w:t>
      </w:r>
    </w:p>
    <w:p>
      <w:pPr>
        <w:tabs>
          <w:tab w:pos="8366" w:val="left" w:leader="none"/>
        </w:tabs>
        <w:spacing w:before="33"/>
        <w:ind w:left="5318" w:right="220" w:firstLine="0"/>
        <w:jc w:val="left"/>
        <w:rPr>
          <w:b/>
          <w:sz w:val="18"/>
        </w:rPr>
      </w:pPr>
      <w:r>
        <w:rPr>
          <w:b/>
          <w:sz w:val="18"/>
        </w:rPr>
        <w:t>Consolidated</w:t>
        <w:tab/>
        <w:t>Parent</w:t>
      </w:r>
    </w:p>
    <w:p>
      <w:pPr>
        <w:spacing w:after="0"/>
        <w:jc w:val="left"/>
        <w:rPr>
          <w:sz w:val="18"/>
        </w:rPr>
        <w:sectPr>
          <w:type w:val="continuous"/>
          <w:pgSz w:w="11910" w:h="16840"/>
          <w:pgMar w:top="1580" w:bottom="280" w:left="900" w:right="880"/>
        </w:sectPr>
      </w:pPr>
    </w:p>
    <w:p>
      <w:pPr>
        <w:spacing w:before="66"/>
        <w:ind w:left="0" w:right="19" w:firstLine="0"/>
        <w:jc w:val="right"/>
        <w:rPr>
          <w:b/>
          <w:sz w:val="18"/>
        </w:rPr>
      </w:pPr>
      <w:r>
        <w:rPr>
          <w:b/>
          <w:w w:val="95"/>
          <w:sz w:val="18"/>
        </w:rPr>
        <w:t>2017</w:t>
      </w:r>
    </w:p>
    <w:p>
      <w:pPr>
        <w:spacing w:before="66"/>
        <w:ind w:left="0" w:right="0" w:firstLine="0"/>
        <w:jc w:val="right"/>
        <w:rPr>
          <w:b/>
          <w:sz w:val="18"/>
        </w:rPr>
      </w:pPr>
      <w:r>
        <w:rPr>
          <w:b/>
          <w:sz w:val="18"/>
        </w:rPr>
        <w:t>$'000</w:t>
      </w:r>
    </w:p>
    <w:p>
      <w:pPr>
        <w:spacing w:before="66"/>
        <w:ind w:left="819" w:right="-16" w:firstLine="0"/>
        <w:jc w:val="left"/>
        <w:rPr>
          <w:b/>
          <w:sz w:val="18"/>
        </w:rPr>
      </w:pPr>
      <w:r>
        <w:rPr/>
        <w:br w:type="column"/>
      </w:r>
      <w:r>
        <w:rPr>
          <w:b/>
          <w:sz w:val="18"/>
        </w:rPr>
        <w:t>2016</w:t>
      </w:r>
    </w:p>
    <w:p>
      <w:pPr>
        <w:spacing w:before="66"/>
        <w:ind w:left="797" w:right="-16"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19" w:right="0" w:firstLine="0"/>
        <w:jc w:val="left"/>
        <w:rPr>
          <w:b/>
          <w:sz w:val="18"/>
        </w:rPr>
      </w:pPr>
      <w:r>
        <w:rPr/>
        <w:br w:type="column"/>
      </w:r>
      <w:r>
        <w:rPr>
          <w:b/>
          <w:sz w:val="18"/>
        </w:rPr>
        <w:t>2016</w:t>
      </w:r>
    </w:p>
    <w:p>
      <w:pPr>
        <w:spacing w:before="66"/>
        <w:ind w:left="797" w:right="0" w:firstLine="0"/>
        <w:jc w:val="left"/>
        <w:rPr>
          <w:b/>
          <w:sz w:val="18"/>
        </w:rPr>
      </w:pPr>
      <w:r>
        <w:rPr>
          <w:b/>
          <w:sz w:val="18"/>
        </w:rPr>
        <w:t>$'000</w:t>
      </w:r>
    </w:p>
    <w:p>
      <w:pPr>
        <w:spacing w:after="0"/>
        <w:jc w:val="left"/>
        <w:rPr>
          <w:sz w:val="18"/>
        </w:rPr>
        <w:sectPr>
          <w:type w:val="continuous"/>
          <w:pgSz w:w="11910" w:h="16840"/>
          <w:pgMar w:top="1580" w:bottom="280" w:left="900" w:right="880"/>
          <w:cols w:num="4" w:equalWidth="0">
            <w:col w:w="5530" w:space="40"/>
            <w:col w:w="1245" w:space="40"/>
            <w:col w:w="1437" w:space="40"/>
            <w:col w:w="1798"/>
          </w:cols>
        </w:sectPr>
      </w:pPr>
    </w:p>
    <w:p>
      <w:pPr>
        <w:pStyle w:val="BodyText"/>
        <w:spacing w:before="11"/>
        <w:rPr>
          <w:b/>
          <w:sz w:val="5"/>
        </w:rPr>
      </w:pPr>
    </w:p>
    <w:tbl>
      <w:tblPr>
        <w:tblW w:w="0" w:type="auto"/>
        <w:jc w:val="left"/>
        <w:tblInd w:w="4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97"/>
        <w:gridCol w:w="1777"/>
        <w:gridCol w:w="1330"/>
        <w:gridCol w:w="1430"/>
        <w:gridCol w:w="983"/>
      </w:tblGrid>
      <w:tr>
        <w:trPr>
          <w:trHeight w:val="558" w:hRule="exact"/>
        </w:trPr>
        <w:tc>
          <w:tcPr>
            <w:tcW w:w="3997" w:type="dxa"/>
          </w:tcPr>
          <w:p>
            <w:pPr>
              <w:pStyle w:val="TableParagraph"/>
              <w:spacing w:before="77"/>
              <w:ind w:left="35"/>
              <w:rPr>
                <w:b/>
                <w:sz w:val="18"/>
              </w:rPr>
            </w:pPr>
            <w:r>
              <w:rPr>
                <w:b/>
                <w:sz w:val="18"/>
              </w:rPr>
              <w:t>Course Fees and Charges</w:t>
            </w:r>
          </w:p>
          <w:p>
            <w:pPr>
              <w:pStyle w:val="TableParagraph"/>
              <w:spacing w:before="30"/>
              <w:ind w:left="35"/>
              <w:rPr>
                <w:sz w:val="18"/>
              </w:rPr>
            </w:pPr>
            <w:r>
              <w:rPr>
                <w:sz w:val="18"/>
              </w:rPr>
              <w:t>Fee-paying onshore overseas students</w:t>
            </w:r>
          </w:p>
        </w:tc>
        <w:tc>
          <w:tcPr>
            <w:tcW w:w="1777" w:type="dxa"/>
          </w:tcPr>
          <w:p>
            <w:pPr>
              <w:pStyle w:val="TableParagraph"/>
              <w:rPr>
                <w:b/>
                <w:sz w:val="18"/>
              </w:rPr>
            </w:pPr>
          </w:p>
          <w:p>
            <w:pPr>
              <w:pStyle w:val="TableParagraph"/>
              <w:spacing w:before="105"/>
              <w:ind w:right="400"/>
              <w:jc w:val="right"/>
              <w:rPr>
                <w:b/>
                <w:sz w:val="18"/>
              </w:rPr>
            </w:pPr>
            <w:r>
              <w:rPr>
                <w:b/>
                <w:w w:val="95"/>
                <w:sz w:val="18"/>
              </w:rPr>
              <w:t>97,191</w:t>
            </w:r>
          </w:p>
        </w:tc>
        <w:tc>
          <w:tcPr>
            <w:tcW w:w="1330" w:type="dxa"/>
          </w:tcPr>
          <w:p>
            <w:pPr>
              <w:pStyle w:val="TableParagraph"/>
              <w:rPr>
                <w:b/>
                <w:sz w:val="18"/>
              </w:rPr>
            </w:pPr>
          </w:p>
          <w:p>
            <w:pPr>
              <w:pStyle w:val="TableParagraph"/>
              <w:spacing w:before="105"/>
              <w:ind w:left="341"/>
              <w:rPr>
                <w:sz w:val="18"/>
              </w:rPr>
            </w:pPr>
            <w:r>
              <w:rPr>
                <w:sz w:val="18"/>
              </w:rPr>
              <w:t>79,643</w:t>
            </w:r>
          </w:p>
        </w:tc>
        <w:tc>
          <w:tcPr>
            <w:tcW w:w="1430" w:type="dxa"/>
          </w:tcPr>
          <w:p>
            <w:pPr>
              <w:pStyle w:val="TableParagraph"/>
              <w:rPr>
                <w:b/>
                <w:sz w:val="18"/>
              </w:rPr>
            </w:pPr>
          </w:p>
          <w:p>
            <w:pPr>
              <w:pStyle w:val="TableParagraph"/>
              <w:spacing w:before="105"/>
              <w:ind w:right="400"/>
              <w:jc w:val="right"/>
              <w:rPr>
                <w:b/>
                <w:sz w:val="18"/>
              </w:rPr>
            </w:pPr>
            <w:r>
              <w:rPr>
                <w:b/>
                <w:w w:val="95"/>
                <w:sz w:val="18"/>
              </w:rPr>
              <w:t>96,362</w:t>
            </w:r>
          </w:p>
        </w:tc>
        <w:tc>
          <w:tcPr>
            <w:tcW w:w="983" w:type="dxa"/>
          </w:tcPr>
          <w:p>
            <w:pPr>
              <w:pStyle w:val="TableParagraph"/>
              <w:rPr>
                <w:b/>
                <w:sz w:val="18"/>
              </w:rPr>
            </w:pPr>
          </w:p>
          <w:p>
            <w:pPr>
              <w:pStyle w:val="TableParagraph"/>
              <w:spacing w:before="105"/>
              <w:ind w:left="341"/>
              <w:rPr>
                <w:sz w:val="18"/>
              </w:rPr>
            </w:pPr>
            <w:r>
              <w:rPr>
                <w:sz w:val="18"/>
              </w:rPr>
              <w:t>77,728</w:t>
            </w:r>
          </w:p>
        </w:tc>
      </w:tr>
      <w:tr>
        <w:trPr>
          <w:trHeight w:val="264" w:hRule="exact"/>
        </w:trPr>
        <w:tc>
          <w:tcPr>
            <w:tcW w:w="3997" w:type="dxa"/>
          </w:tcPr>
          <w:p>
            <w:pPr>
              <w:pStyle w:val="TableParagraph"/>
              <w:spacing w:before="20"/>
              <w:ind w:left="35"/>
              <w:rPr>
                <w:sz w:val="18"/>
              </w:rPr>
            </w:pPr>
            <w:r>
              <w:rPr>
                <w:sz w:val="18"/>
              </w:rPr>
              <w:t>Fee-paying offshore overseas students</w:t>
            </w:r>
          </w:p>
        </w:tc>
        <w:tc>
          <w:tcPr>
            <w:tcW w:w="1777" w:type="dxa"/>
          </w:tcPr>
          <w:p>
            <w:pPr>
              <w:pStyle w:val="TableParagraph"/>
              <w:spacing w:before="18"/>
              <w:ind w:right="400"/>
              <w:jc w:val="right"/>
              <w:rPr>
                <w:b/>
                <w:sz w:val="18"/>
              </w:rPr>
            </w:pPr>
            <w:r>
              <w:rPr>
                <w:b/>
                <w:w w:val="95"/>
                <w:sz w:val="18"/>
              </w:rPr>
              <w:t>746</w:t>
            </w:r>
          </w:p>
        </w:tc>
        <w:tc>
          <w:tcPr>
            <w:tcW w:w="1330" w:type="dxa"/>
          </w:tcPr>
          <w:p>
            <w:pPr>
              <w:pStyle w:val="TableParagraph"/>
              <w:spacing w:before="18"/>
              <w:ind w:left="442"/>
              <w:rPr>
                <w:sz w:val="18"/>
              </w:rPr>
            </w:pPr>
            <w:r>
              <w:rPr>
                <w:sz w:val="18"/>
              </w:rPr>
              <w:t>1,099</w:t>
            </w:r>
          </w:p>
        </w:tc>
        <w:tc>
          <w:tcPr>
            <w:tcW w:w="1430" w:type="dxa"/>
          </w:tcPr>
          <w:p>
            <w:pPr>
              <w:pStyle w:val="TableParagraph"/>
              <w:spacing w:before="18"/>
              <w:ind w:right="400"/>
              <w:jc w:val="right"/>
              <w:rPr>
                <w:b/>
                <w:sz w:val="18"/>
              </w:rPr>
            </w:pPr>
            <w:r>
              <w:rPr>
                <w:b/>
                <w:w w:val="95"/>
                <w:sz w:val="18"/>
              </w:rPr>
              <w:t>598</w:t>
            </w:r>
          </w:p>
        </w:tc>
        <w:tc>
          <w:tcPr>
            <w:tcW w:w="983" w:type="dxa"/>
          </w:tcPr>
          <w:p>
            <w:pPr>
              <w:pStyle w:val="TableParagraph"/>
              <w:spacing w:before="18"/>
              <w:ind w:right="84"/>
              <w:jc w:val="right"/>
              <w:rPr>
                <w:sz w:val="18"/>
              </w:rPr>
            </w:pPr>
            <w:r>
              <w:rPr>
                <w:w w:val="95"/>
                <w:sz w:val="18"/>
              </w:rPr>
              <w:t>822</w:t>
            </w:r>
          </w:p>
        </w:tc>
      </w:tr>
      <w:tr>
        <w:trPr>
          <w:trHeight w:val="264" w:hRule="exact"/>
        </w:trPr>
        <w:tc>
          <w:tcPr>
            <w:tcW w:w="3997" w:type="dxa"/>
          </w:tcPr>
          <w:p>
            <w:pPr>
              <w:pStyle w:val="TableParagraph"/>
              <w:spacing w:before="20"/>
              <w:ind w:left="35"/>
              <w:rPr>
                <w:sz w:val="18"/>
              </w:rPr>
            </w:pPr>
            <w:r>
              <w:rPr>
                <w:sz w:val="18"/>
              </w:rPr>
              <w:t>Fee-paying domestic postgraduate students</w:t>
            </w:r>
          </w:p>
        </w:tc>
        <w:tc>
          <w:tcPr>
            <w:tcW w:w="1777" w:type="dxa"/>
          </w:tcPr>
          <w:p>
            <w:pPr>
              <w:pStyle w:val="TableParagraph"/>
              <w:spacing w:before="18"/>
              <w:ind w:right="400"/>
              <w:jc w:val="right"/>
              <w:rPr>
                <w:b/>
                <w:sz w:val="18"/>
              </w:rPr>
            </w:pPr>
            <w:r>
              <w:rPr>
                <w:b/>
                <w:w w:val="95"/>
                <w:sz w:val="18"/>
              </w:rPr>
              <w:t>2,674</w:t>
            </w:r>
          </w:p>
        </w:tc>
        <w:tc>
          <w:tcPr>
            <w:tcW w:w="1330" w:type="dxa"/>
          </w:tcPr>
          <w:p>
            <w:pPr>
              <w:pStyle w:val="TableParagraph"/>
              <w:spacing w:before="18"/>
              <w:ind w:left="442"/>
              <w:rPr>
                <w:sz w:val="18"/>
              </w:rPr>
            </w:pPr>
            <w:r>
              <w:rPr>
                <w:sz w:val="18"/>
              </w:rPr>
              <w:t>2,771</w:t>
            </w:r>
          </w:p>
        </w:tc>
        <w:tc>
          <w:tcPr>
            <w:tcW w:w="1430" w:type="dxa"/>
          </w:tcPr>
          <w:p>
            <w:pPr>
              <w:pStyle w:val="TableParagraph"/>
              <w:spacing w:before="18"/>
              <w:ind w:right="400"/>
              <w:jc w:val="right"/>
              <w:rPr>
                <w:b/>
                <w:sz w:val="18"/>
              </w:rPr>
            </w:pPr>
            <w:r>
              <w:rPr>
                <w:b/>
                <w:w w:val="95"/>
                <w:sz w:val="18"/>
              </w:rPr>
              <w:t>2,674</w:t>
            </w:r>
          </w:p>
        </w:tc>
        <w:tc>
          <w:tcPr>
            <w:tcW w:w="983" w:type="dxa"/>
          </w:tcPr>
          <w:p>
            <w:pPr>
              <w:pStyle w:val="TableParagraph"/>
              <w:spacing w:before="18"/>
              <w:ind w:right="84"/>
              <w:jc w:val="right"/>
              <w:rPr>
                <w:sz w:val="18"/>
              </w:rPr>
            </w:pPr>
            <w:r>
              <w:rPr>
                <w:w w:val="95"/>
                <w:sz w:val="18"/>
              </w:rPr>
              <w:t>2,771</w:t>
            </w:r>
          </w:p>
        </w:tc>
      </w:tr>
      <w:tr>
        <w:trPr>
          <w:trHeight w:val="264" w:hRule="exact"/>
        </w:trPr>
        <w:tc>
          <w:tcPr>
            <w:tcW w:w="3997" w:type="dxa"/>
          </w:tcPr>
          <w:p>
            <w:pPr>
              <w:pStyle w:val="TableParagraph"/>
              <w:spacing w:before="20"/>
              <w:ind w:left="35"/>
              <w:rPr>
                <w:sz w:val="18"/>
              </w:rPr>
            </w:pPr>
            <w:r>
              <w:rPr>
                <w:sz w:val="18"/>
              </w:rPr>
              <w:t>Fee-paying domestic undergraduate students</w:t>
            </w:r>
          </w:p>
        </w:tc>
        <w:tc>
          <w:tcPr>
            <w:tcW w:w="1777" w:type="dxa"/>
          </w:tcPr>
          <w:p>
            <w:pPr>
              <w:pStyle w:val="TableParagraph"/>
              <w:spacing w:before="18"/>
              <w:ind w:right="400"/>
              <w:jc w:val="right"/>
              <w:rPr>
                <w:b/>
                <w:sz w:val="18"/>
              </w:rPr>
            </w:pPr>
            <w:r>
              <w:rPr>
                <w:b/>
                <w:w w:val="95"/>
                <w:sz w:val="18"/>
              </w:rPr>
              <w:t>443</w:t>
            </w:r>
          </w:p>
        </w:tc>
        <w:tc>
          <w:tcPr>
            <w:tcW w:w="1330" w:type="dxa"/>
          </w:tcPr>
          <w:p>
            <w:pPr>
              <w:pStyle w:val="TableParagraph"/>
              <w:spacing w:before="18"/>
              <w:ind w:left="593"/>
              <w:rPr>
                <w:sz w:val="18"/>
              </w:rPr>
            </w:pPr>
            <w:r>
              <w:rPr>
                <w:sz w:val="18"/>
              </w:rPr>
              <w:t>454</w:t>
            </w:r>
          </w:p>
        </w:tc>
        <w:tc>
          <w:tcPr>
            <w:tcW w:w="1430" w:type="dxa"/>
          </w:tcPr>
          <w:p>
            <w:pPr>
              <w:pStyle w:val="TableParagraph"/>
              <w:spacing w:before="18"/>
              <w:ind w:right="400"/>
              <w:jc w:val="right"/>
              <w:rPr>
                <w:b/>
                <w:sz w:val="18"/>
              </w:rPr>
            </w:pPr>
            <w:r>
              <w:rPr>
                <w:b/>
                <w:w w:val="95"/>
                <w:sz w:val="18"/>
              </w:rPr>
              <w:t>333</w:t>
            </w:r>
          </w:p>
        </w:tc>
        <w:tc>
          <w:tcPr>
            <w:tcW w:w="983" w:type="dxa"/>
          </w:tcPr>
          <w:p>
            <w:pPr>
              <w:pStyle w:val="TableParagraph"/>
              <w:spacing w:before="18"/>
              <w:ind w:right="84"/>
              <w:jc w:val="right"/>
              <w:rPr>
                <w:sz w:val="18"/>
              </w:rPr>
            </w:pPr>
            <w:r>
              <w:rPr>
                <w:w w:val="95"/>
                <w:sz w:val="18"/>
              </w:rPr>
              <w:t>291</w:t>
            </w:r>
          </w:p>
        </w:tc>
      </w:tr>
      <w:tr>
        <w:trPr>
          <w:trHeight w:val="264" w:hRule="exact"/>
        </w:trPr>
        <w:tc>
          <w:tcPr>
            <w:tcW w:w="3997" w:type="dxa"/>
          </w:tcPr>
          <w:p>
            <w:pPr>
              <w:pStyle w:val="TableParagraph"/>
              <w:spacing w:before="20"/>
              <w:ind w:left="35"/>
              <w:rPr>
                <w:sz w:val="18"/>
              </w:rPr>
            </w:pPr>
            <w:r>
              <w:rPr>
                <w:sz w:val="18"/>
              </w:rPr>
              <w:t>Fee-paying domestic non-award students</w:t>
            </w:r>
          </w:p>
        </w:tc>
        <w:tc>
          <w:tcPr>
            <w:tcW w:w="1777" w:type="dxa"/>
          </w:tcPr>
          <w:p>
            <w:pPr>
              <w:pStyle w:val="TableParagraph"/>
              <w:spacing w:before="18"/>
              <w:ind w:right="400"/>
              <w:jc w:val="right"/>
              <w:rPr>
                <w:b/>
                <w:sz w:val="18"/>
              </w:rPr>
            </w:pPr>
            <w:r>
              <w:rPr>
                <w:b/>
                <w:w w:val="95"/>
                <w:sz w:val="18"/>
              </w:rPr>
              <w:t>1,011</w:t>
            </w:r>
          </w:p>
        </w:tc>
        <w:tc>
          <w:tcPr>
            <w:tcW w:w="1330" w:type="dxa"/>
          </w:tcPr>
          <w:p>
            <w:pPr>
              <w:pStyle w:val="TableParagraph"/>
              <w:spacing w:before="18"/>
              <w:ind w:left="593"/>
              <w:rPr>
                <w:sz w:val="18"/>
              </w:rPr>
            </w:pPr>
            <w:r>
              <w:rPr>
                <w:sz w:val="18"/>
              </w:rPr>
              <w:t>868</w:t>
            </w:r>
          </w:p>
        </w:tc>
        <w:tc>
          <w:tcPr>
            <w:tcW w:w="1430" w:type="dxa"/>
          </w:tcPr>
          <w:p>
            <w:pPr>
              <w:pStyle w:val="TableParagraph"/>
              <w:spacing w:before="18"/>
              <w:ind w:right="400"/>
              <w:jc w:val="right"/>
              <w:rPr>
                <w:b/>
                <w:sz w:val="18"/>
              </w:rPr>
            </w:pPr>
            <w:r>
              <w:rPr>
                <w:b/>
                <w:w w:val="95"/>
                <w:sz w:val="18"/>
              </w:rPr>
              <w:t>840</w:t>
            </w:r>
          </w:p>
        </w:tc>
        <w:tc>
          <w:tcPr>
            <w:tcW w:w="983" w:type="dxa"/>
          </w:tcPr>
          <w:p>
            <w:pPr>
              <w:pStyle w:val="TableParagraph"/>
              <w:spacing w:before="18"/>
              <w:ind w:right="84"/>
              <w:jc w:val="right"/>
              <w:rPr>
                <w:sz w:val="18"/>
              </w:rPr>
            </w:pPr>
            <w:r>
              <w:rPr>
                <w:w w:val="95"/>
                <w:sz w:val="18"/>
              </w:rPr>
              <w:t>730</w:t>
            </w:r>
          </w:p>
        </w:tc>
      </w:tr>
      <w:tr>
        <w:trPr>
          <w:trHeight w:val="264" w:hRule="exact"/>
        </w:trPr>
        <w:tc>
          <w:tcPr>
            <w:tcW w:w="3997" w:type="dxa"/>
          </w:tcPr>
          <w:p>
            <w:pPr>
              <w:pStyle w:val="TableParagraph"/>
              <w:spacing w:before="20"/>
              <w:ind w:left="35"/>
              <w:rPr>
                <w:sz w:val="18"/>
              </w:rPr>
            </w:pPr>
            <w:r>
              <w:rPr>
                <w:sz w:val="18"/>
              </w:rPr>
              <w:t>Continuing education</w:t>
            </w:r>
          </w:p>
        </w:tc>
        <w:tc>
          <w:tcPr>
            <w:tcW w:w="1777" w:type="dxa"/>
          </w:tcPr>
          <w:p>
            <w:pPr>
              <w:pStyle w:val="TableParagraph"/>
              <w:spacing w:before="18"/>
              <w:ind w:right="400"/>
              <w:jc w:val="right"/>
              <w:rPr>
                <w:b/>
                <w:sz w:val="18"/>
              </w:rPr>
            </w:pPr>
            <w:r>
              <w:rPr>
                <w:b/>
                <w:w w:val="95"/>
                <w:sz w:val="18"/>
              </w:rPr>
              <w:t>4,007</w:t>
            </w:r>
          </w:p>
        </w:tc>
        <w:tc>
          <w:tcPr>
            <w:tcW w:w="1330" w:type="dxa"/>
          </w:tcPr>
          <w:p>
            <w:pPr>
              <w:pStyle w:val="TableParagraph"/>
              <w:spacing w:before="18"/>
              <w:ind w:left="442"/>
              <w:rPr>
                <w:sz w:val="18"/>
              </w:rPr>
            </w:pPr>
            <w:r>
              <w:rPr>
                <w:sz w:val="18"/>
              </w:rPr>
              <w:t>3,044</w:t>
            </w:r>
          </w:p>
        </w:tc>
        <w:tc>
          <w:tcPr>
            <w:tcW w:w="1430" w:type="dxa"/>
          </w:tcPr>
          <w:p>
            <w:pPr>
              <w:pStyle w:val="TableParagraph"/>
              <w:spacing w:before="18"/>
              <w:ind w:right="400"/>
              <w:jc w:val="right"/>
              <w:rPr>
                <w:b/>
                <w:sz w:val="18"/>
              </w:rPr>
            </w:pPr>
            <w:r>
              <w:rPr>
                <w:b/>
                <w:sz w:val="18"/>
              </w:rPr>
              <w:t>67</w:t>
            </w:r>
          </w:p>
        </w:tc>
        <w:tc>
          <w:tcPr>
            <w:tcW w:w="983" w:type="dxa"/>
          </w:tcPr>
          <w:p>
            <w:pPr>
              <w:pStyle w:val="TableParagraph"/>
              <w:spacing w:before="18"/>
              <w:ind w:right="85"/>
              <w:jc w:val="right"/>
              <w:rPr>
                <w:sz w:val="18"/>
              </w:rPr>
            </w:pPr>
            <w:r>
              <w:rPr>
                <w:w w:val="99"/>
                <w:sz w:val="18"/>
              </w:rPr>
              <w:t>9</w:t>
            </w:r>
          </w:p>
        </w:tc>
      </w:tr>
      <w:tr>
        <w:trPr>
          <w:trHeight w:val="260" w:hRule="exact"/>
        </w:trPr>
        <w:tc>
          <w:tcPr>
            <w:tcW w:w="3997" w:type="dxa"/>
          </w:tcPr>
          <w:p>
            <w:pPr>
              <w:pStyle w:val="TableParagraph"/>
              <w:spacing w:before="20"/>
              <w:ind w:left="35"/>
              <w:rPr>
                <w:sz w:val="18"/>
              </w:rPr>
            </w:pPr>
            <w:r>
              <w:rPr>
                <w:sz w:val="18"/>
              </w:rPr>
              <w:t>Other domestic course fees and charges</w:t>
            </w:r>
          </w:p>
        </w:tc>
        <w:tc>
          <w:tcPr>
            <w:tcW w:w="1777" w:type="dxa"/>
            <w:tcBorders>
              <w:bottom w:val="single" w:sz="1" w:space="0" w:color="000000"/>
            </w:tcBorders>
          </w:tcPr>
          <w:p>
            <w:pPr>
              <w:pStyle w:val="TableParagraph"/>
              <w:spacing w:before="18"/>
              <w:ind w:right="400"/>
              <w:jc w:val="right"/>
              <w:rPr>
                <w:b/>
                <w:sz w:val="18"/>
              </w:rPr>
            </w:pPr>
            <w:r>
              <w:rPr>
                <w:b/>
                <w:sz w:val="18"/>
              </w:rPr>
              <w:t>47</w:t>
            </w:r>
          </w:p>
        </w:tc>
        <w:tc>
          <w:tcPr>
            <w:tcW w:w="1330" w:type="dxa"/>
            <w:tcBorders>
              <w:bottom w:val="single" w:sz="1" w:space="0" w:color="000000"/>
            </w:tcBorders>
          </w:tcPr>
          <w:p>
            <w:pPr>
              <w:pStyle w:val="TableParagraph"/>
              <w:spacing w:before="18"/>
              <w:ind w:left="634"/>
              <w:rPr>
                <w:sz w:val="18"/>
              </w:rPr>
            </w:pPr>
            <w:r>
              <w:rPr>
                <w:sz w:val="18"/>
              </w:rPr>
              <w:t>(25)</w:t>
            </w:r>
          </w:p>
        </w:tc>
        <w:tc>
          <w:tcPr>
            <w:tcW w:w="1430" w:type="dxa"/>
            <w:tcBorders>
              <w:bottom w:val="single" w:sz="1" w:space="0" w:color="000000"/>
            </w:tcBorders>
          </w:tcPr>
          <w:p>
            <w:pPr>
              <w:pStyle w:val="TableParagraph"/>
              <w:spacing w:before="18"/>
              <w:ind w:right="400"/>
              <w:jc w:val="right"/>
              <w:rPr>
                <w:b/>
                <w:sz w:val="18"/>
              </w:rPr>
            </w:pPr>
            <w:r>
              <w:rPr>
                <w:b/>
                <w:sz w:val="18"/>
              </w:rPr>
              <w:t>47</w:t>
            </w:r>
          </w:p>
        </w:tc>
        <w:tc>
          <w:tcPr>
            <w:tcW w:w="983" w:type="dxa"/>
            <w:tcBorders>
              <w:bottom w:val="single" w:sz="1" w:space="0" w:color="000000"/>
            </w:tcBorders>
          </w:tcPr>
          <w:p>
            <w:pPr>
              <w:pStyle w:val="TableParagraph"/>
              <w:spacing w:before="18"/>
              <w:ind w:right="24"/>
              <w:jc w:val="right"/>
              <w:rPr>
                <w:sz w:val="18"/>
              </w:rPr>
            </w:pPr>
            <w:r>
              <w:rPr>
                <w:w w:val="95"/>
                <w:sz w:val="18"/>
              </w:rPr>
              <w:t>(25)</w:t>
            </w:r>
          </w:p>
        </w:tc>
      </w:tr>
      <w:tr>
        <w:trPr>
          <w:trHeight w:val="338" w:hRule="exact"/>
        </w:trPr>
        <w:tc>
          <w:tcPr>
            <w:tcW w:w="3997" w:type="dxa"/>
          </w:tcPr>
          <w:p>
            <w:pPr>
              <w:pStyle w:val="TableParagraph"/>
              <w:spacing w:before="125"/>
              <w:ind w:left="35"/>
              <w:rPr>
                <w:b/>
                <w:sz w:val="18"/>
              </w:rPr>
            </w:pPr>
            <w:r>
              <w:rPr>
                <w:b/>
                <w:sz w:val="18"/>
              </w:rPr>
              <w:t>Total Course Fees and Charges</w:t>
            </w:r>
          </w:p>
        </w:tc>
        <w:tc>
          <w:tcPr>
            <w:tcW w:w="1777" w:type="dxa"/>
            <w:tcBorders>
              <w:top w:val="single" w:sz="1" w:space="0" w:color="000000"/>
              <w:bottom w:val="single" w:sz="1" w:space="0" w:color="000000"/>
            </w:tcBorders>
          </w:tcPr>
          <w:p>
            <w:pPr>
              <w:pStyle w:val="TableParagraph"/>
              <w:spacing w:before="95"/>
              <w:ind w:right="400"/>
              <w:jc w:val="right"/>
              <w:rPr>
                <w:b/>
                <w:sz w:val="18"/>
              </w:rPr>
            </w:pPr>
            <w:r>
              <w:rPr>
                <w:b/>
                <w:w w:val="95"/>
                <w:sz w:val="18"/>
              </w:rPr>
              <w:t>106,119</w:t>
            </w:r>
          </w:p>
        </w:tc>
        <w:tc>
          <w:tcPr>
            <w:tcW w:w="1330" w:type="dxa"/>
            <w:tcBorders>
              <w:top w:val="single" w:sz="1" w:space="0" w:color="000000"/>
              <w:bottom w:val="single" w:sz="1" w:space="0" w:color="000000"/>
            </w:tcBorders>
          </w:tcPr>
          <w:p>
            <w:pPr>
              <w:pStyle w:val="TableParagraph"/>
              <w:spacing w:before="95"/>
              <w:ind w:left="341"/>
              <w:rPr>
                <w:sz w:val="18"/>
              </w:rPr>
            </w:pPr>
            <w:r>
              <w:rPr>
                <w:sz w:val="18"/>
              </w:rPr>
              <w:t>87,854</w:t>
            </w:r>
          </w:p>
        </w:tc>
        <w:tc>
          <w:tcPr>
            <w:tcW w:w="1430" w:type="dxa"/>
            <w:tcBorders>
              <w:top w:val="single" w:sz="1" w:space="0" w:color="000000"/>
              <w:bottom w:val="single" w:sz="1" w:space="0" w:color="000000"/>
            </w:tcBorders>
          </w:tcPr>
          <w:p>
            <w:pPr>
              <w:pStyle w:val="TableParagraph"/>
              <w:spacing w:before="95"/>
              <w:ind w:right="400"/>
              <w:jc w:val="right"/>
              <w:rPr>
                <w:b/>
                <w:sz w:val="18"/>
              </w:rPr>
            </w:pPr>
            <w:r>
              <w:rPr>
                <w:b/>
                <w:w w:val="95"/>
                <w:sz w:val="18"/>
              </w:rPr>
              <w:t>100,921</w:t>
            </w:r>
          </w:p>
        </w:tc>
        <w:tc>
          <w:tcPr>
            <w:tcW w:w="983" w:type="dxa"/>
            <w:tcBorders>
              <w:top w:val="single" w:sz="1" w:space="0" w:color="000000"/>
              <w:bottom w:val="single" w:sz="1" w:space="0" w:color="000000"/>
            </w:tcBorders>
          </w:tcPr>
          <w:p>
            <w:pPr>
              <w:pStyle w:val="TableParagraph"/>
              <w:spacing w:before="95"/>
              <w:ind w:left="341"/>
              <w:rPr>
                <w:sz w:val="18"/>
              </w:rPr>
            </w:pPr>
            <w:r>
              <w:rPr>
                <w:sz w:val="18"/>
              </w:rPr>
              <w:t>82,326</w:t>
            </w:r>
          </w:p>
        </w:tc>
      </w:tr>
      <w:tr>
        <w:trPr>
          <w:trHeight w:val="607" w:hRule="exact"/>
        </w:trPr>
        <w:tc>
          <w:tcPr>
            <w:tcW w:w="3997" w:type="dxa"/>
          </w:tcPr>
          <w:p>
            <w:pPr>
              <w:pStyle w:val="TableParagraph"/>
              <w:spacing w:before="125"/>
              <w:ind w:left="35"/>
              <w:rPr>
                <w:b/>
                <w:sz w:val="18"/>
              </w:rPr>
            </w:pPr>
            <w:r>
              <w:rPr>
                <w:b/>
                <w:sz w:val="18"/>
              </w:rPr>
              <w:t>Other Non-Course Fees and Charges</w:t>
            </w:r>
          </w:p>
          <w:p>
            <w:pPr>
              <w:pStyle w:val="TableParagraph"/>
              <w:spacing w:before="30"/>
              <w:ind w:left="35"/>
              <w:rPr>
                <w:sz w:val="18"/>
              </w:rPr>
            </w:pPr>
            <w:r>
              <w:rPr>
                <w:sz w:val="18"/>
              </w:rPr>
              <w:t>Student services fees from students</w:t>
            </w:r>
          </w:p>
        </w:tc>
        <w:tc>
          <w:tcPr>
            <w:tcW w:w="1777" w:type="dxa"/>
            <w:tcBorders>
              <w:top w:val="single" w:sz="1" w:space="0" w:color="000000"/>
            </w:tcBorders>
          </w:tcPr>
          <w:p>
            <w:pPr>
              <w:pStyle w:val="TableParagraph"/>
              <w:rPr>
                <w:b/>
                <w:sz w:val="18"/>
              </w:rPr>
            </w:pPr>
          </w:p>
          <w:p>
            <w:pPr>
              <w:pStyle w:val="TableParagraph"/>
              <w:spacing w:before="152"/>
              <w:ind w:right="400"/>
              <w:jc w:val="right"/>
              <w:rPr>
                <w:b/>
                <w:sz w:val="18"/>
              </w:rPr>
            </w:pPr>
            <w:r>
              <w:rPr>
                <w:b/>
                <w:w w:val="95"/>
                <w:sz w:val="18"/>
              </w:rPr>
              <w:t>3,176</w:t>
            </w:r>
          </w:p>
        </w:tc>
        <w:tc>
          <w:tcPr>
            <w:tcW w:w="1330" w:type="dxa"/>
            <w:tcBorders>
              <w:top w:val="single" w:sz="1" w:space="0" w:color="000000"/>
            </w:tcBorders>
          </w:tcPr>
          <w:p>
            <w:pPr>
              <w:pStyle w:val="TableParagraph"/>
              <w:rPr>
                <w:b/>
                <w:sz w:val="18"/>
              </w:rPr>
            </w:pPr>
          </w:p>
          <w:p>
            <w:pPr>
              <w:pStyle w:val="TableParagraph"/>
              <w:spacing w:before="152"/>
              <w:ind w:left="442"/>
              <w:rPr>
                <w:sz w:val="18"/>
              </w:rPr>
            </w:pPr>
            <w:r>
              <w:rPr>
                <w:sz w:val="18"/>
              </w:rPr>
              <w:t>2,781</w:t>
            </w:r>
          </w:p>
        </w:tc>
        <w:tc>
          <w:tcPr>
            <w:tcW w:w="1430" w:type="dxa"/>
            <w:tcBorders>
              <w:top w:val="single" w:sz="1" w:space="0" w:color="000000"/>
            </w:tcBorders>
          </w:tcPr>
          <w:p>
            <w:pPr>
              <w:pStyle w:val="TableParagraph"/>
              <w:rPr>
                <w:b/>
                <w:sz w:val="18"/>
              </w:rPr>
            </w:pPr>
          </w:p>
          <w:p>
            <w:pPr>
              <w:pStyle w:val="TableParagraph"/>
              <w:spacing w:before="152"/>
              <w:ind w:right="400"/>
              <w:jc w:val="right"/>
              <w:rPr>
                <w:b/>
                <w:sz w:val="18"/>
              </w:rPr>
            </w:pPr>
            <w:r>
              <w:rPr>
                <w:b/>
                <w:w w:val="95"/>
                <w:sz w:val="18"/>
              </w:rPr>
              <w:t>3,176</w:t>
            </w:r>
          </w:p>
        </w:tc>
        <w:tc>
          <w:tcPr>
            <w:tcW w:w="983" w:type="dxa"/>
            <w:tcBorders>
              <w:top w:val="single" w:sz="1" w:space="0" w:color="000000"/>
            </w:tcBorders>
          </w:tcPr>
          <w:p>
            <w:pPr>
              <w:pStyle w:val="TableParagraph"/>
              <w:rPr>
                <w:b/>
                <w:sz w:val="18"/>
              </w:rPr>
            </w:pPr>
          </w:p>
          <w:p>
            <w:pPr>
              <w:pStyle w:val="TableParagraph"/>
              <w:spacing w:before="152"/>
              <w:ind w:right="84"/>
              <w:jc w:val="right"/>
              <w:rPr>
                <w:sz w:val="18"/>
              </w:rPr>
            </w:pPr>
            <w:r>
              <w:rPr>
                <w:w w:val="95"/>
                <w:sz w:val="18"/>
              </w:rPr>
              <w:t>2,781</w:t>
            </w:r>
          </w:p>
        </w:tc>
      </w:tr>
      <w:tr>
        <w:trPr>
          <w:trHeight w:val="264" w:hRule="exact"/>
        </w:trPr>
        <w:tc>
          <w:tcPr>
            <w:tcW w:w="3997" w:type="dxa"/>
          </w:tcPr>
          <w:p>
            <w:pPr>
              <w:pStyle w:val="TableParagraph"/>
              <w:spacing w:before="20"/>
              <w:ind w:left="35"/>
              <w:rPr>
                <w:sz w:val="18"/>
              </w:rPr>
            </w:pPr>
            <w:r>
              <w:rPr>
                <w:sz w:val="18"/>
              </w:rPr>
              <w:t>Deferral fees</w:t>
            </w:r>
          </w:p>
        </w:tc>
        <w:tc>
          <w:tcPr>
            <w:tcW w:w="1777" w:type="dxa"/>
          </w:tcPr>
          <w:p>
            <w:pPr>
              <w:pStyle w:val="TableParagraph"/>
              <w:spacing w:before="18"/>
              <w:ind w:right="339"/>
              <w:jc w:val="right"/>
              <w:rPr>
                <w:b/>
                <w:sz w:val="18"/>
              </w:rPr>
            </w:pPr>
            <w:r>
              <w:rPr>
                <w:b/>
                <w:sz w:val="18"/>
              </w:rPr>
              <w:t>(2)</w:t>
            </w:r>
          </w:p>
        </w:tc>
        <w:tc>
          <w:tcPr>
            <w:tcW w:w="1330" w:type="dxa"/>
          </w:tcPr>
          <w:p>
            <w:pPr>
              <w:pStyle w:val="TableParagraph"/>
              <w:spacing w:before="18"/>
              <w:ind w:left="593"/>
              <w:rPr>
                <w:sz w:val="18"/>
              </w:rPr>
            </w:pPr>
            <w:r>
              <w:rPr>
                <w:sz w:val="18"/>
              </w:rPr>
              <w:t>144</w:t>
            </w:r>
          </w:p>
        </w:tc>
        <w:tc>
          <w:tcPr>
            <w:tcW w:w="1430" w:type="dxa"/>
          </w:tcPr>
          <w:p>
            <w:pPr>
              <w:pStyle w:val="TableParagraph"/>
              <w:spacing w:before="18"/>
              <w:ind w:right="339"/>
              <w:jc w:val="right"/>
              <w:rPr>
                <w:b/>
                <w:sz w:val="18"/>
              </w:rPr>
            </w:pPr>
            <w:r>
              <w:rPr>
                <w:b/>
                <w:sz w:val="18"/>
              </w:rPr>
              <w:t>(2)</w:t>
            </w:r>
          </w:p>
        </w:tc>
        <w:tc>
          <w:tcPr>
            <w:tcW w:w="983" w:type="dxa"/>
          </w:tcPr>
          <w:p>
            <w:pPr>
              <w:pStyle w:val="TableParagraph"/>
              <w:spacing w:before="18"/>
              <w:ind w:right="84"/>
              <w:jc w:val="right"/>
              <w:rPr>
                <w:sz w:val="18"/>
              </w:rPr>
            </w:pPr>
            <w:r>
              <w:rPr>
                <w:w w:val="95"/>
                <w:sz w:val="18"/>
              </w:rPr>
              <w:t>144</w:t>
            </w:r>
          </w:p>
        </w:tc>
      </w:tr>
      <w:tr>
        <w:trPr>
          <w:trHeight w:val="264" w:hRule="exact"/>
        </w:trPr>
        <w:tc>
          <w:tcPr>
            <w:tcW w:w="3997" w:type="dxa"/>
          </w:tcPr>
          <w:p>
            <w:pPr>
              <w:pStyle w:val="TableParagraph"/>
              <w:spacing w:before="20"/>
              <w:ind w:left="35"/>
              <w:rPr>
                <w:sz w:val="18"/>
              </w:rPr>
            </w:pPr>
            <w:r>
              <w:rPr>
                <w:sz w:val="18"/>
              </w:rPr>
              <w:t>Library fines</w:t>
            </w:r>
          </w:p>
        </w:tc>
        <w:tc>
          <w:tcPr>
            <w:tcW w:w="1777" w:type="dxa"/>
          </w:tcPr>
          <w:p>
            <w:pPr>
              <w:pStyle w:val="TableParagraph"/>
              <w:spacing w:before="18"/>
              <w:ind w:right="400"/>
              <w:jc w:val="right"/>
              <w:rPr>
                <w:b/>
                <w:sz w:val="18"/>
              </w:rPr>
            </w:pPr>
            <w:r>
              <w:rPr>
                <w:b/>
                <w:w w:val="95"/>
                <w:sz w:val="18"/>
              </w:rPr>
              <w:t>180</w:t>
            </w:r>
          </w:p>
        </w:tc>
        <w:tc>
          <w:tcPr>
            <w:tcW w:w="1330" w:type="dxa"/>
          </w:tcPr>
          <w:p>
            <w:pPr>
              <w:pStyle w:val="TableParagraph"/>
              <w:spacing w:before="18"/>
              <w:ind w:left="593"/>
              <w:rPr>
                <w:sz w:val="18"/>
              </w:rPr>
            </w:pPr>
            <w:r>
              <w:rPr>
                <w:sz w:val="18"/>
              </w:rPr>
              <w:t>215</w:t>
            </w:r>
          </w:p>
        </w:tc>
        <w:tc>
          <w:tcPr>
            <w:tcW w:w="1430" w:type="dxa"/>
          </w:tcPr>
          <w:p>
            <w:pPr>
              <w:pStyle w:val="TableParagraph"/>
              <w:spacing w:before="18"/>
              <w:ind w:right="400"/>
              <w:jc w:val="right"/>
              <w:rPr>
                <w:b/>
                <w:sz w:val="18"/>
              </w:rPr>
            </w:pPr>
            <w:r>
              <w:rPr>
                <w:b/>
                <w:w w:val="95"/>
                <w:sz w:val="18"/>
              </w:rPr>
              <w:t>180</w:t>
            </w:r>
          </w:p>
        </w:tc>
        <w:tc>
          <w:tcPr>
            <w:tcW w:w="983" w:type="dxa"/>
          </w:tcPr>
          <w:p>
            <w:pPr>
              <w:pStyle w:val="TableParagraph"/>
              <w:spacing w:before="18"/>
              <w:ind w:right="84"/>
              <w:jc w:val="right"/>
              <w:rPr>
                <w:sz w:val="18"/>
              </w:rPr>
            </w:pPr>
            <w:r>
              <w:rPr>
                <w:w w:val="95"/>
                <w:sz w:val="18"/>
              </w:rPr>
              <w:t>215</w:t>
            </w:r>
          </w:p>
        </w:tc>
      </w:tr>
      <w:tr>
        <w:trPr>
          <w:trHeight w:val="264" w:hRule="exact"/>
        </w:trPr>
        <w:tc>
          <w:tcPr>
            <w:tcW w:w="3997" w:type="dxa"/>
          </w:tcPr>
          <w:p>
            <w:pPr>
              <w:pStyle w:val="TableParagraph"/>
              <w:spacing w:before="20"/>
              <w:ind w:left="35"/>
              <w:rPr>
                <w:sz w:val="18"/>
              </w:rPr>
            </w:pPr>
            <w:r>
              <w:rPr>
                <w:sz w:val="18"/>
              </w:rPr>
              <w:t>Student accommodation</w:t>
            </w:r>
          </w:p>
        </w:tc>
        <w:tc>
          <w:tcPr>
            <w:tcW w:w="1777" w:type="dxa"/>
          </w:tcPr>
          <w:p>
            <w:pPr>
              <w:pStyle w:val="TableParagraph"/>
              <w:spacing w:before="18"/>
              <w:ind w:right="400"/>
              <w:jc w:val="right"/>
              <w:rPr>
                <w:b/>
                <w:sz w:val="18"/>
              </w:rPr>
            </w:pPr>
            <w:r>
              <w:rPr>
                <w:b/>
                <w:w w:val="95"/>
                <w:sz w:val="18"/>
              </w:rPr>
              <w:t>817</w:t>
            </w:r>
          </w:p>
        </w:tc>
        <w:tc>
          <w:tcPr>
            <w:tcW w:w="1330" w:type="dxa"/>
          </w:tcPr>
          <w:p>
            <w:pPr>
              <w:pStyle w:val="TableParagraph"/>
              <w:spacing w:before="18"/>
              <w:ind w:left="593"/>
              <w:rPr>
                <w:sz w:val="18"/>
              </w:rPr>
            </w:pPr>
            <w:r>
              <w:rPr>
                <w:sz w:val="18"/>
              </w:rPr>
              <w:t>824</w:t>
            </w:r>
          </w:p>
        </w:tc>
        <w:tc>
          <w:tcPr>
            <w:tcW w:w="1430" w:type="dxa"/>
          </w:tcPr>
          <w:p>
            <w:pPr>
              <w:pStyle w:val="TableParagraph"/>
              <w:spacing w:before="18"/>
              <w:ind w:right="400"/>
              <w:jc w:val="right"/>
              <w:rPr>
                <w:b/>
                <w:sz w:val="18"/>
              </w:rPr>
            </w:pPr>
            <w:r>
              <w:rPr>
                <w:b/>
                <w:w w:val="95"/>
                <w:sz w:val="18"/>
              </w:rPr>
              <w:t>817</w:t>
            </w:r>
          </w:p>
        </w:tc>
        <w:tc>
          <w:tcPr>
            <w:tcW w:w="983" w:type="dxa"/>
          </w:tcPr>
          <w:p>
            <w:pPr>
              <w:pStyle w:val="TableParagraph"/>
              <w:spacing w:before="18"/>
              <w:ind w:right="84"/>
              <w:jc w:val="right"/>
              <w:rPr>
                <w:sz w:val="18"/>
              </w:rPr>
            </w:pPr>
            <w:r>
              <w:rPr>
                <w:w w:val="95"/>
                <w:sz w:val="18"/>
              </w:rPr>
              <w:t>824</w:t>
            </w:r>
          </w:p>
        </w:tc>
      </w:tr>
      <w:tr>
        <w:trPr>
          <w:trHeight w:val="264" w:hRule="exact"/>
        </w:trPr>
        <w:tc>
          <w:tcPr>
            <w:tcW w:w="3997" w:type="dxa"/>
          </w:tcPr>
          <w:p>
            <w:pPr>
              <w:pStyle w:val="TableParagraph"/>
              <w:spacing w:before="20"/>
              <w:ind w:left="35"/>
              <w:rPr>
                <w:sz w:val="18"/>
              </w:rPr>
            </w:pPr>
            <w:r>
              <w:rPr>
                <w:sz w:val="18"/>
              </w:rPr>
              <w:t>Academic transcripts</w:t>
            </w:r>
          </w:p>
        </w:tc>
        <w:tc>
          <w:tcPr>
            <w:tcW w:w="1777" w:type="dxa"/>
          </w:tcPr>
          <w:p>
            <w:pPr>
              <w:pStyle w:val="TableParagraph"/>
              <w:spacing w:before="18"/>
              <w:ind w:right="400"/>
              <w:jc w:val="right"/>
              <w:rPr>
                <w:b/>
                <w:sz w:val="18"/>
              </w:rPr>
            </w:pPr>
            <w:r>
              <w:rPr>
                <w:b/>
                <w:w w:val="95"/>
                <w:sz w:val="18"/>
              </w:rPr>
              <w:t>250</w:t>
            </w:r>
          </w:p>
        </w:tc>
        <w:tc>
          <w:tcPr>
            <w:tcW w:w="1330" w:type="dxa"/>
          </w:tcPr>
          <w:p>
            <w:pPr>
              <w:pStyle w:val="TableParagraph"/>
              <w:spacing w:before="18"/>
              <w:ind w:left="593"/>
              <w:rPr>
                <w:sz w:val="18"/>
              </w:rPr>
            </w:pPr>
            <w:r>
              <w:rPr>
                <w:sz w:val="18"/>
              </w:rPr>
              <w:t>261</w:t>
            </w:r>
          </w:p>
        </w:tc>
        <w:tc>
          <w:tcPr>
            <w:tcW w:w="1430" w:type="dxa"/>
          </w:tcPr>
          <w:p>
            <w:pPr>
              <w:pStyle w:val="TableParagraph"/>
              <w:spacing w:before="18"/>
              <w:ind w:right="400"/>
              <w:jc w:val="right"/>
              <w:rPr>
                <w:b/>
                <w:sz w:val="18"/>
              </w:rPr>
            </w:pPr>
            <w:r>
              <w:rPr>
                <w:b/>
                <w:w w:val="95"/>
                <w:sz w:val="18"/>
              </w:rPr>
              <w:t>250</w:t>
            </w:r>
          </w:p>
        </w:tc>
        <w:tc>
          <w:tcPr>
            <w:tcW w:w="983" w:type="dxa"/>
          </w:tcPr>
          <w:p>
            <w:pPr>
              <w:pStyle w:val="TableParagraph"/>
              <w:spacing w:before="18"/>
              <w:ind w:right="84"/>
              <w:jc w:val="right"/>
              <w:rPr>
                <w:sz w:val="18"/>
              </w:rPr>
            </w:pPr>
            <w:r>
              <w:rPr>
                <w:w w:val="95"/>
                <w:sz w:val="18"/>
              </w:rPr>
              <w:t>261</w:t>
            </w:r>
          </w:p>
        </w:tc>
      </w:tr>
      <w:tr>
        <w:trPr>
          <w:trHeight w:val="264" w:hRule="exact"/>
        </w:trPr>
        <w:tc>
          <w:tcPr>
            <w:tcW w:w="3997" w:type="dxa"/>
          </w:tcPr>
          <w:p>
            <w:pPr>
              <w:pStyle w:val="TableParagraph"/>
              <w:spacing w:before="20"/>
              <w:ind w:left="35"/>
              <w:rPr>
                <w:sz w:val="18"/>
              </w:rPr>
            </w:pPr>
            <w:r>
              <w:rPr>
                <w:sz w:val="18"/>
              </w:rPr>
              <w:t>Graduation fees</w:t>
            </w:r>
          </w:p>
        </w:tc>
        <w:tc>
          <w:tcPr>
            <w:tcW w:w="1777" w:type="dxa"/>
          </w:tcPr>
          <w:p>
            <w:pPr>
              <w:pStyle w:val="TableParagraph"/>
              <w:spacing w:before="18"/>
              <w:ind w:right="400"/>
              <w:jc w:val="right"/>
              <w:rPr>
                <w:b/>
                <w:sz w:val="18"/>
              </w:rPr>
            </w:pPr>
            <w:r>
              <w:rPr>
                <w:b/>
                <w:w w:val="95"/>
                <w:sz w:val="18"/>
              </w:rPr>
              <w:t>389</w:t>
            </w:r>
          </w:p>
        </w:tc>
        <w:tc>
          <w:tcPr>
            <w:tcW w:w="1330" w:type="dxa"/>
          </w:tcPr>
          <w:p>
            <w:pPr>
              <w:pStyle w:val="TableParagraph"/>
              <w:spacing w:before="18"/>
              <w:ind w:left="593"/>
              <w:rPr>
                <w:sz w:val="18"/>
              </w:rPr>
            </w:pPr>
            <w:r>
              <w:rPr>
                <w:sz w:val="18"/>
              </w:rPr>
              <w:t>385</w:t>
            </w:r>
          </w:p>
        </w:tc>
        <w:tc>
          <w:tcPr>
            <w:tcW w:w="1430" w:type="dxa"/>
          </w:tcPr>
          <w:p>
            <w:pPr>
              <w:pStyle w:val="TableParagraph"/>
              <w:spacing w:before="18"/>
              <w:ind w:right="400"/>
              <w:jc w:val="right"/>
              <w:rPr>
                <w:b/>
                <w:sz w:val="18"/>
              </w:rPr>
            </w:pPr>
            <w:r>
              <w:rPr>
                <w:b/>
                <w:w w:val="95"/>
                <w:sz w:val="18"/>
              </w:rPr>
              <w:t>389</w:t>
            </w:r>
          </w:p>
        </w:tc>
        <w:tc>
          <w:tcPr>
            <w:tcW w:w="983" w:type="dxa"/>
          </w:tcPr>
          <w:p>
            <w:pPr>
              <w:pStyle w:val="TableParagraph"/>
              <w:spacing w:before="18"/>
              <w:ind w:right="84"/>
              <w:jc w:val="right"/>
              <w:rPr>
                <w:sz w:val="18"/>
              </w:rPr>
            </w:pPr>
            <w:r>
              <w:rPr>
                <w:w w:val="95"/>
                <w:sz w:val="18"/>
              </w:rPr>
              <w:t>385</w:t>
            </w:r>
          </w:p>
        </w:tc>
      </w:tr>
      <w:tr>
        <w:trPr>
          <w:trHeight w:val="264" w:hRule="exact"/>
        </w:trPr>
        <w:tc>
          <w:tcPr>
            <w:tcW w:w="3997" w:type="dxa"/>
          </w:tcPr>
          <w:p>
            <w:pPr>
              <w:pStyle w:val="TableParagraph"/>
              <w:spacing w:before="20"/>
              <w:ind w:left="35"/>
              <w:rPr>
                <w:sz w:val="18"/>
              </w:rPr>
            </w:pPr>
            <w:r>
              <w:rPr>
                <w:sz w:val="18"/>
              </w:rPr>
              <w:t>Academic dress hire</w:t>
            </w:r>
          </w:p>
        </w:tc>
        <w:tc>
          <w:tcPr>
            <w:tcW w:w="1777" w:type="dxa"/>
          </w:tcPr>
          <w:p>
            <w:pPr>
              <w:pStyle w:val="TableParagraph"/>
              <w:spacing w:before="18"/>
              <w:ind w:right="400"/>
              <w:jc w:val="right"/>
              <w:rPr>
                <w:b/>
                <w:sz w:val="18"/>
              </w:rPr>
            </w:pPr>
            <w:r>
              <w:rPr>
                <w:b/>
                <w:w w:val="95"/>
                <w:sz w:val="18"/>
              </w:rPr>
              <w:t>357</w:t>
            </w:r>
          </w:p>
        </w:tc>
        <w:tc>
          <w:tcPr>
            <w:tcW w:w="1330" w:type="dxa"/>
          </w:tcPr>
          <w:p>
            <w:pPr>
              <w:pStyle w:val="TableParagraph"/>
              <w:spacing w:before="18"/>
              <w:ind w:left="593"/>
              <w:rPr>
                <w:sz w:val="18"/>
              </w:rPr>
            </w:pPr>
            <w:r>
              <w:rPr>
                <w:sz w:val="18"/>
              </w:rPr>
              <w:t>367</w:t>
            </w:r>
          </w:p>
        </w:tc>
        <w:tc>
          <w:tcPr>
            <w:tcW w:w="1430" w:type="dxa"/>
          </w:tcPr>
          <w:p>
            <w:pPr>
              <w:pStyle w:val="TableParagraph"/>
              <w:spacing w:before="18"/>
              <w:ind w:right="400"/>
              <w:jc w:val="right"/>
              <w:rPr>
                <w:b/>
                <w:sz w:val="18"/>
              </w:rPr>
            </w:pPr>
            <w:r>
              <w:rPr>
                <w:b/>
                <w:w w:val="95"/>
                <w:sz w:val="18"/>
              </w:rPr>
              <w:t>357</w:t>
            </w:r>
          </w:p>
        </w:tc>
        <w:tc>
          <w:tcPr>
            <w:tcW w:w="983" w:type="dxa"/>
          </w:tcPr>
          <w:p>
            <w:pPr>
              <w:pStyle w:val="TableParagraph"/>
              <w:spacing w:before="18"/>
              <w:ind w:right="84"/>
              <w:jc w:val="right"/>
              <w:rPr>
                <w:sz w:val="18"/>
              </w:rPr>
            </w:pPr>
            <w:r>
              <w:rPr>
                <w:w w:val="95"/>
                <w:sz w:val="18"/>
              </w:rPr>
              <w:t>367</w:t>
            </w:r>
          </w:p>
        </w:tc>
      </w:tr>
      <w:tr>
        <w:trPr>
          <w:trHeight w:val="264" w:hRule="exact"/>
        </w:trPr>
        <w:tc>
          <w:tcPr>
            <w:tcW w:w="3997" w:type="dxa"/>
          </w:tcPr>
          <w:p>
            <w:pPr>
              <w:pStyle w:val="TableParagraph"/>
              <w:spacing w:before="20"/>
              <w:ind w:left="35"/>
              <w:rPr>
                <w:sz w:val="18"/>
              </w:rPr>
            </w:pPr>
            <w:r>
              <w:rPr>
                <w:sz w:val="18"/>
              </w:rPr>
              <w:t>Student test fees</w:t>
            </w:r>
          </w:p>
        </w:tc>
        <w:tc>
          <w:tcPr>
            <w:tcW w:w="1777" w:type="dxa"/>
          </w:tcPr>
          <w:p>
            <w:pPr>
              <w:pStyle w:val="TableParagraph"/>
              <w:spacing w:before="18"/>
              <w:ind w:right="400"/>
              <w:jc w:val="right"/>
              <w:rPr>
                <w:b/>
                <w:sz w:val="18"/>
              </w:rPr>
            </w:pPr>
            <w:r>
              <w:rPr>
                <w:b/>
                <w:w w:val="95"/>
                <w:sz w:val="18"/>
              </w:rPr>
              <w:t>3,266</w:t>
            </w:r>
          </w:p>
        </w:tc>
        <w:tc>
          <w:tcPr>
            <w:tcW w:w="1330" w:type="dxa"/>
          </w:tcPr>
          <w:p>
            <w:pPr>
              <w:pStyle w:val="TableParagraph"/>
              <w:spacing w:before="18"/>
              <w:ind w:left="442"/>
              <w:rPr>
                <w:sz w:val="18"/>
              </w:rPr>
            </w:pPr>
            <w:r>
              <w:rPr>
                <w:sz w:val="18"/>
              </w:rPr>
              <w:t>3,311</w:t>
            </w:r>
          </w:p>
        </w:tc>
        <w:tc>
          <w:tcPr>
            <w:tcW w:w="1430" w:type="dxa"/>
          </w:tcPr>
          <w:p>
            <w:pPr>
              <w:pStyle w:val="TableParagraph"/>
              <w:spacing w:before="18"/>
              <w:ind w:right="400"/>
              <w:jc w:val="right"/>
              <w:rPr>
                <w:b/>
                <w:sz w:val="18"/>
              </w:rPr>
            </w:pPr>
            <w:r>
              <w:rPr>
                <w:b/>
                <w:w w:val="99"/>
                <w:sz w:val="18"/>
              </w:rPr>
              <w:t>-</w:t>
            </w:r>
          </w:p>
        </w:tc>
        <w:tc>
          <w:tcPr>
            <w:tcW w:w="983" w:type="dxa"/>
          </w:tcPr>
          <w:p>
            <w:pPr>
              <w:pStyle w:val="TableParagraph"/>
              <w:spacing w:before="18"/>
              <w:ind w:right="84"/>
              <w:jc w:val="right"/>
              <w:rPr>
                <w:sz w:val="18"/>
              </w:rPr>
            </w:pPr>
            <w:r>
              <w:rPr>
                <w:w w:val="99"/>
                <w:sz w:val="18"/>
              </w:rPr>
              <w:t>-</w:t>
            </w:r>
          </w:p>
        </w:tc>
      </w:tr>
      <w:tr>
        <w:trPr>
          <w:trHeight w:val="260" w:hRule="exact"/>
        </w:trPr>
        <w:tc>
          <w:tcPr>
            <w:tcW w:w="3997" w:type="dxa"/>
          </w:tcPr>
          <w:p>
            <w:pPr>
              <w:pStyle w:val="TableParagraph"/>
              <w:spacing w:before="20"/>
              <w:ind w:left="35"/>
              <w:rPr>
                <w:sz w:val="18"/>
              </w:rPr>
            </w:pPr>
            <w:r>
              <w:rPr>
                <w:sz w:val="18"/>
              </w:rPr>
              <w:t>Other</w:t>
            </w:r>
          </w:p>
        </w:tc>
        <w:tc>
          <w:tcPr>
            <w:tcW w:w="1777" w:type="dxa"/>
            <w:tcBorders>
              <w:bottom w:val="single" w:sz="1" w:space="0" w:color="000000"/>
            </w:tcBorders>
          </w:tcPr>
          <w:p>
            <w:pPr>
              <w:pStyle w:val="TableParagraph"/>
              <w:spacing w:before="18"/>
              <w:ind w:right="400"/>
              <w:jc w:val="right"/>
              <w:rPr>
                <w:b/>
                <w:sz w:val="18"/>
              </w:rPr>
            </w:pPr>
            <w:r>
              <w:rPr>
                <w:b/>
                <w:w w:val="95"/>
                <w:sz w:val="18"/>
              </w:rPr>
              <w:t>739</w:t>
            </w:r>
          </w:p>
        </w:tc>
        <w:tc>
          <w:tcPr>
            <w:tcW w:w="1330" w:type="dxa"/>
            <w:tcBorders>
              <w:bottom w:val="single" w:sz="1" w:space="0" w:color="000000"/>
            </w:tcBorders>
          </w:tcPr>
          <w:p>
            <w:pPr>
              <w:pStyle w:val="TableParagraph"/>
              <w:spacing w:before="18"/>
              <w:ind w:left="593"/>
              <w:rPr>
                <w:sz w:val="18"/>
              </w:rPr>
            </w:pPr>
            <w:r>
              <w:rPr>
                <w:sz w:val="18"/>
              </w:rPr>
              <w:t>546</w:t>
            </w:r>
          </w:p>
        </w:tc>
        <w:tc>
          <w:tcPr>
            <w:tcW w:w="1430" w:type="dxa"/>
            <w:tcBorders>
              <w:bottom w:val="single" w:sz="1" w:space="0" w:color="000000"/>
            </w:tcBorders>
          </w:tcPr>
          <w:p>
            <w:pPr>
              <w:pStyle w:val="TableParagraph"/>
              <w:spacing w:before="18"/>
              <w:ind w:right="400"/>
              <w:jc w:val="right"/>
              <w:rPr>
                <w:b/>
                <w:sz w:val="18"/>
              </w:rPr>
            </w:pPr>
            <w:r>
              <w:rPr>
                <w:b/>
                <w:w w:val="95"/>
                <w:sz w:val="18"/>
              </w:rPr>
              <w:t>512</w:t>
            </w:r>
          </w:p>
        </w:tc>
        <w:tc>
          <w:tcPr>
            <w:tcW w:w="983" w:type="dxa"/>
            <w:tcBorders>
              <w:bottom w:val="single" w:sz="1" w:space="0" w:color="000000"/>
            </w:tcBorders>
          </w:tcPr>
          <w:p>
            <w:pPr>
              <w:pStyle w:val="TableParagraph"/>
              <w:spacing w:before="18"/>
              <w:ind w:right="84"/>
              <w:jc w:val="right"/>
              <w:rPr>
                <w:sz w:val="18"/>
              </w:rPr>
            </w:pPr>
            <w:r>
              <w:rPr>
                <w:w w:val="95"/>
                <w:sz w:val="18"/>
              </w:rPr>
              <w:t>357</w:t>
            </w:r>
          </w:p>
        </w:tc>
      </w:tr>
      <w:tr>
        <w:trPr>
          <w:trHeight w:val="338" w:hRule="exact"/>
        </w:trPr>
        <w:tc>
          <w:tcPr>
            <w:tcW w:w="3997" w:type="dxa"/>
          </w:tcPr>
          <w:p>
            <w:pPr>
              <w:pStyle w:val="TableParagraph"/>
              <w:spacing w:before="125"/>
              <w:ind w:left="35"/>
              <w:rPr>
                <w:b/>
                <w:sz w:val="18"/>
              </w:rPr>
            </w:pPr>
            <w:r>
              <w:rPr>
                <w:b/>
                <w:sz w:val="18"/>
              </w:rPr>
              <w:t>Total Other Fees and Charges</w:t>
            </w:r>
          </w:p>
        </w:tc>
        <w:tc>
          <w:tcPr>
            <w:tcW w:w="1777" w:type="dxa"/>
            <w:tcBorders>
              <w:top w:val="single" w:sz="1" w:space="0" w:color="000000"/>
              <w:bottom w:val="single" w:sz="1" w:space="0" w:color="000000"/>
            </w:tcBorders>
          </w:tcPr>
          <w:p>
            <w:pPr>
              <w:pStyle w:val="TableParagraph"/>
              <w:spacing w:before="95"/>
              <w:ind w:right="400"/>
              <w:jc w:val="right"/>
              <w:rPr>
                <w:b/>
                <w:sz w:val="18"/>
              </w:rPr>
            </w:pPr>
            <w:r>
              <w:rPr>
                <w:b/>
                <w:w w:val="95"/>
                <w:sz w:val="18"/>
              </w:rPr>
              <w:t>9,172</w:t>
            </w:r>
          </w:p>
        </w:tc>
        <w:tc>
          <w:tcPr>
            <w:tcW w:w="1330" w:type="dxa"/>
            <w:tcBorders>
              <w:top w:val="single" w:sz="1" w:space="0" w:color="000000"/>
              <w:bottom w:val="single" w:sz="1" w:space="0" w:color="000000"/>
            </w:tcBorders>
          </w:tcPr>
          <w:p>
            <w:pPr>
              <w:pStyle w:val="TableParagraph"/>
              <w:spacing w:before="95"/>
              <w:ind w:left="442"/>
              <w:rPr>
                <w:sz w:val="18"/>
              </w:rPr>
            </w:pPr>
            <w:r>
              <w:rPr>
                <w:sz w:val="18"/>
              </w:rPr>
              <w:t>8,834</w:t>
            </w:r>
          </w:p>
        </w:tc>
        <w:tc>
          <w:tcPr>
            <w:tcW w:w="1430" w:type="dxa"/>
            <w:tcBorders>
              <w:top w:val="single" w:sz="1" w:space="0" w:color="000000"/>
              <w:bottom w:val="single" w:sz="1" w:space="0" w:color="000000"/>
            </w:tcBorders>
          </w:tcPr>
          <w:p>
            <w:pPr>
              <w:pStyle w:val="TableParagraph"/>
              <w:spacing w:before="95"/>
              <w:ind w:right="400"/>
              <w:jc w:val="right"/>
              <w:rPr>
                <w:b/>
                <w:sz w:val="18"/>
              </w:rPr>
            </w:pPr>
            <w:r>
              <w:rPr>
                <w:b/>
                <w:w w:val="95"/>
                <w:sz w:val="18"/>
              </w:rPr>
              <w:t>5,679</w:t>
            </w:r>
          </w:p>
        </w:tc>
        <w:tc>
          <w:tcPr>
            <w:tcW w:w="983" w:type="dxa"/>
            <w:tcBorders>
              <w:top w:val="single" w:sz="1" w:space="0" w:color="000000"/>
              <w:bottom w:val="single" w:sz="1" w:space="0" w:color="000000"/>
            </w:tcBorders>
          </w:tcPr>
          <w:p>
            <w:pPr>
              <w:pStyle w:val="TableParagraph"/>
              <w:spacing w:before="95"/>
              <w:ind w:right="84"/>
              <w:jc w:val="right"/>
              <w:rPr>
                <w:sz w:val="18"/>
              </w:rPr>
            </w:pPr>
            <w:r>
              <w:rPr>
                <w:w w:val="95"/>
                <w:sz w:val="18"/>
              </w:rPr>
              <w:t>5,334</w:t>
            </w:r>
          </w:p>
        </w:tc>
      </w:tr>
      <w:tr>
        <w:trPr>
          <w:trHeight w:val="353" w:hRule="exact"/>
        </w:trPr>
        <w:tc>
          <w:tcPr>
            <w:tcW w:w="3997" w:type="dxa"/>
          </w:tcPr>
          <w:p>
            <w:pPr>
              <w:pStyle w:val="TableParagraph"/>
              <w:spacing w:before="125"/>
              <w:ind w:left="35"/>
              <w:rPr>
                <w:b/>
                <w:sz w:val="18"/>
              </w:rPr>
            </w:pPr>
            <w:r>
              <w:rPr>
                <w:b/>
                <w:sz w:val="18"/>
              </w:rPr>
              <w:t>Total Fees and Charges</w:t>
            </w:r>
          </w:p>
        </w:tc>
        <w:tc>
          <w:tcPr>
            <w:tcW w:w="1777" w:type="dxa"/>
            <w:tcBorders>
              <w:top w:val="single" w:sz="1" w:space="0" w:color="000000"/>
              <w:bottom w:val="single" w:sz="1" w:space="0" w:color="000000"/>
            </w:tcBorders>
          </w:tcPr>
          <w:p>
            <w:pPr>
              <w:pStyle w:val="TableParagraph"/>
              <w:spacing w:before="95"/>
              <w:ind w:right="400"/>
              <w:jc w:val="right"/>
              <w:rPr>
                <w:b/>
                <w:sz w:val="18"/>
              </w:rPr>
            </w:pPr>
            <w:r>
              <w:rPr>
                <w:b/>
                <w:w w:val="95"/>
                <w:sz w:val="18"/>
              </w:rPr>
              <w:t>115,291</w:t>
            </w:r>
          </w:p>
        </w:tc>
        <w:tc>
          <w:tcPr>
            <w:tcW w:w="1330" w:type="dxa"/>
            <w:tcBorders>
              <w:top w:val="single" w:sz="1" w:space="0" w:color="000000"/>
              <w:bottom w:val="single" w:sz="1" w:space="0" w:color="000000"/>
            </w:tcBorders>
          </w:tcPr>
          <w:p>
            <w:pPr>
              <w:pStyle w:val="TableParagraph"/>
              <w:spacing w:before="95"/>
              <w:ind w:left="341"/>
              <w:rPr>
                <w:sz w:val="18"/>
              </w:rPr>
            </w:pPr>
            <w:r>
              <w:rPr>
                <w:sz w:val="18"/>
              </w:rPr>
              <w:t>96,688</w:t>
            </w:r>
          </w:p>
        </w:tc>
        <w:tc>
          <w:tcPr>
            <w:tcW w:w="1430" w:type="dxa"/>
            <w:tcBorders>
              <w:top w:val="single" w:sz="1" w:space="0" w:color="000000"/>
              <w:bottom w:val="single" w:sz="1" w:space="0" w:color="000000"/>
            </w:tcBorders>
          </w:tcPr>
          <w:p>
            <w:pPr>
              <w:pStyle w:val="TableParagraph"/>
              <w:spacing w:before="95"/>
              <w:ind w:right="400"/>
              <w:jc w:val="right"/>
              <w:rPr>
                <w:b/>
                <w:sz w:val="18"/>
              </w:rPr>
            </w:pPr>
            <w:r>
              <w:rPr>
                <w:b/>
                <w:w w:val="95"/>
                <w:sz w:val="18"/>
              </w:rPr>
              <w:t>106,600</w:t>
            </w:r>
          </w:p>
        </w:tc>
        <w:tc>
          <w:tcPr>
            <w:tcW w:w="983" w:type="dxa"/>
            <w:tcBorders>
              <w:top w:val="single" w:sz="1" w:space="0" w:color="000000"/>
              <w:bottom w:val="single" w:sz="1" w:space="0" w:color="000000"/>
            </w:tcBorders>
          </w:tcPr>
          <w:p>
            <w:pPr>
              <w:pStyle w:val="TableParagraph"/>
              <w:spacing w:before="95"/>
              <w:ind w:left="341"/>
              <w:rPr>
                <w:sz w:val="18"/>
              </w:rPr>
            </w:pPr>
            <w:r>
              <w:rPr>
                <w:sz w:val="18"/>
              </w:rPr>
              <w:t>87,660</w:t>
            </w:r>
          </w:p>
        </w:tc>
      </w:tr>
    </w:tbl>
    <w:p>
      <w:pPr>
        <w:spacing w:after="0"/>
        <w:rPr>
          <w:sz w:val="18"/>
        </w:rPr>
        <w:sectPr>
          <w:type w:val="continuous"/>
          <w:pgSz w:w="11910" w:h="16840"/>
          <w:pgMar w:top="1580" w:bottom="280" w:left="900" w:right="880"/>
        </w:sectPr>
      </w:pPr>
    </w:p>
    <w:p>
      <w:pPr>
        <w:pStyle w:val="BodyText"/>
        <w:rPr>
          <w:b/>
          <w:sz w:val="20"/>
        </w:rPr>
      </w:pPr>
    </w:p>
    <w:p>
      <w:pPr>
        <w:pStyle w:val="BodyText"/>
        <w:rPr>
          <w:b/>
          <w:sz w:val="20"/>
        </w:rPr>
      </w:pPr>
    </w:p>
    <w:p>
      <w:pPr>
        <w:pStyle w:val="BodyText"/>
        <w:spacing w:before="5"/>
        <w:rPr>
          <w:b/>
        </w:rPr>
      </w:pPr>
    </w:p>
    <w:p>
      <w:pPr>
        <w:pStyle w:val="ListParagraph"/>
        <w:numPr>
          <w:ilvl w:val="0"/>
          <w:numId w:val="22"/>
        </w:numPr>
        <w:tabs>
          <w:tab w:pos="504" w:val="left" w:leader="none"/>
        </w:tabs>
        <w:spacing w:line="240" w:lineRule="auto" w:before="0" w:after="0"/>
        <w:ind w:left="504" w:right="0" w:hanging="394"/>
        <w:jc w:val="left"/>
        <w:rPr>
          <w:b/>
          <w:sz w:val="18"/>
        </w:rPr>
      </w:pPr>
      <w:bookmarkStart w:name="5 Investment revenue and other investmen" w:id="68"/>
      <w:bookmarkEnd w:id="68"/>
      <w:r>
        <w:rPr/>
      </w:r>
      <w:bookmarkStart w:name="5 Investment revenue and other investmen" w:id="69"/>
      <w:bookmarkEnd w:id="69"/>
      <w:r>
        <w:rPr>
          <w:b/>
          <w:sz w:val="18"/>
        </w:rPr>
        <w:t>Investment</w:t>
      </w:r>
      <w:r>
        <w:rPr>
          <w:b/>
          <w:sz w:val="18"/>
        </w:rPr>
        <w:t> revenue and other investment</w:t>
      </w:r>
      <w:r>
        <w:rPr>
          <w:b/>
          <w:spacing w:val="-1"/>
          <w:sz w:val="18"/>
        </w:rPr>
        <w:t> </w:t>
      </w:r>
      <w:r>
        <w:rPr>
          <w:b/>
          <w:sz w:val="18"/>
        </w:rPr>
        <w:t>income</w:t>
      </w:r>
    </w:p>
    <w:p>
      <w:pPr>
        <w:tabs>
          <w:tab w:pos="8354" w:val="left" w:leader="none"/>
        </w:tabs>
        <w:spacing w:before="33" w:after="36"/>
        <w:ind w:left="5316" w:right="220" w:firstLine="0"/>
        <w:jc w:val="left"/>
        <w:rPr>
          <w:b/>
          <w:sz w:val="18"/>
        </w:rPr>
      </w:pPr>
      <w:r>
        <w:rPr>
          <w:b/>
          <w:sz w:val="18"/>
        </w:rPr>
        <w:t>Consolidated</w:t>
        <w:tab/>
        <w:t>Parent</w:t>
      </w:r>
    </w:p>
    <w:tbl>
      <w:tblPr>
        <w:tblW w:w="0" w:type="auto"/>
        <w:jc w:val="left"/>
        <w:tblInd w:w="4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97"/>
        <w:gridCol w:w="1625"/>
        <w:gridCol w:w="1387"/>
        <w:gridCol w:w="1373"/>
        <w:gridCol w:w="1135"/>
      </w:tblGrid>
      <w:tr>
        <w:trPr>
          <w:trHeight w:val="594" w:hRule="exact"/>
        </w:trPr>
        <w:tc>
          <w:tcPr>
            <w:tcW w:w="3997" w:type="dxa"/>
          </w:tcPr>
          <w:p>
            <w:pPr/>
          </w:p>
        </w:tc>
        <w:tc>
          <w:tcPr>
            <w:tcW w:w="1625" w:type="dxa"/>
          </w:tcPr>
          <w:p>
            <w:pPr>
              <w:pStyle w:val="TableParagraph"/>
              <w:spacing w:before="30"/>
              <w:ind w:left="571" w:right="569"/>
              <w:jc w:val="center"/>
              <w:rPr>
                <w:b/>
                <w:sz w:val="18"/>
              </w:rPr>
            </w:pPr>
            <w:r>
              <w:rPr>
                <w:b/>
                <w:sz w:val="18"/>
              </w:rPr>
              <w:t>2017</w:t>
            </w:r>
          </w:p>
          <w:p>
            <w:pPr>
              <w:pStyle w:val="TableParagraph"/>
              <w:spacing w:before="66"/>
              <w:ind w:left="571" w:right="569"/>
              <w:jc w:val="center"/>
              <w:rPr>
                <w:b/>
                <w:sz w:val="18"/>
              </w:rPr>
            </w:pPr>
            <w:r>
              <w:rPr>
                <w:b/>
                <w:sz w:val="18"/>
              </w:rPr>
              <w:t>$'000</w:t>
            </w:r>
          </w:p>
        </w:tc>
        <w:tc>
          <w:tcPr>
            <w:tcW w:w="1387" w:type="dxa"/>
          </w:tcPr>
          <w:p>
            <w:pPr>
              <w:pStyle w:val="TableParagraph"/>
              <w:spacing w:before="30"/>
              <w:ind w:left="271"/>
              <w:rPr>
                <w:b/>
                <w:sz w:val="18"/>
              </w:rPr>
            </w:pPr>
            <w:r>
              <w:rPr>
                <w:b/>
                <w:sz w:val="18"/>
              </w:rPr>
              <w:t>2016</w:t>
            </w:r>
          </w:p>
          <w:p>
            <w:pPr>
              <w:pStyle w:val="TableParagraph"/>
              <w:spacing w:before="66"/>
              <w:ind w:left="249"/>
              <w:rPr>
                <w:b/>
                <w:sz w:val="18"/>
              </w:rPr>
            </w:pPr>
            <w:r>
              <w:rPr>
                <w:b/>
                <w:sz w:val="18"/>
              </w:rPr>
              <w:t>$'000</w:t>
            </w:r>
          </w:p>
        </w:tc>
        <w:tc>
          <w:tcPr>
            <w:tcW w:w="1373" w:type="dxa"/>
          </w:tcPr>
          <w:p>
            <w:pPr>
              <w:pStyle w:val="TableParagraph"/>
              <w:spacing w:before="30"/>
              <w:ind w:left="360"/>
              <w:rPr>
                <w:b/>
                <w:sz w:val="18"/>
              </w:rPr>
            </w:pPr>
            <w:r>
              <w:rPr>
                <w:b/>
                <w:sz w:val="18"/>
              </w:rPr>
              <w:t>2017</w:t>
            </w:r>
          </w:p>
          <w:p>
            <w:pPr>
              <w:pStyle w:val="TableParagraph"/>
              <w:spacing w:before="66"/>
              <w:ind w:left="338"/>
              <w:rPr>
                <w:b/>
                <w:sz w:val="18"/>
              </w:rPr>
            </w:pPr>
            <w:r>
              <w:rPr>
                <w:b/>
                <w:sz w:val="18"/>
              </w:rPr>
              <w:t>$'000</w:t>
            </w:r>
          </w:p>
        </w:tc>
        <w:tc>
          <w:tcPr>
            <w:tcW w:w="1135" w:type="dxa"/>
          </w:tcPr>
          <w:p>
            <w:pPr>
              <w:pStyle w:val="TableParagraph"/>
              <w:spacing w:before="30"/>
              <w:ind w:left="271"/>
              <w:rPr>
                <w:b/>
                <w:sz w:val="18"/>
              </w:rPr>
            </w:pPr>
            <w:r>
              <w:rPr>
                <w:b/>
                <w:sz w:val="18"/>
              </w:rPr>
              <w:t>2016</w:t>
            </w:r>
          </w:p>
          <w:p>
            <w:pPr>
              <w:pStyle w:val="TableParagraph"/>
              <w:spacing w:before="66"/>
              <w:ind w:left="249"/>
              <w:rPr>
                <w:b/>
                <w:sz w:val="18"/>
              </w:rPr>
            </w:pPr>
            <w:r>
              <w:rPr>
                <w:b/>
                <w:sz w:val="18"/>
              </w:rPr>
              <w:t>$'000</w:t>
            </w:r>
          </w:p>
        </w:tc>
      </w:tr>
      <w:tr>
        <w:trPr>
          <w:trHeight w:val="545" w:hRule="exact"/>
        </w:trPr>
        <w:tc>
          <w:tcPr>
            <w:tcW w:w="3997" w:type="dxa"/>
          </w:tcPr>
          <w:p>
            <w:pPr>
              <w:pStyle w:val="TableParagraph"/>
              <w:spacing w:before="63"/>
              <w:ind w:left="35"/>
              <w:rPr>
                <w:b/>
                <w:sz w:val="18"/>
              </w:rPr>
            </w:pPr>
            <w:r>
              <w:rPr>
                <w:b/>
                <w:sz w:val="18"/>
              </w:rPr>
              <w:t>Interest income</w:t>
            </w:r>
          </w:p>
          <w:p>
            <w:pPr>
              <w:pStyle w:val="TableParagraph"/>
              <w:spacing w:before="30"/>
              <w:ind w:left="248"/>
              <w:rPr>
                <w:sz w:val="18"/>
              </w:rPr>
            </w:pPr>
            <w:r>
              <w:rPr>
                <w:sz w:val="18"/>
              </w:rPr>
              <w:t>Bank deposits</w:t>
            </w:r>
          </w:p>
        </w:tc>
        <w:tc>
          <w:tcPr>
            <w:tcW w:w="1625" w:type="dxa"/>
          </w:tcPr>
          <w:p>
            <w:pPr>
              <w:pStyle w:val="TableParagraph"/>
              <w:spacing w:before="11"/>
              <w:rPr>
                <w:b/>
                <w:sz w:val="25"/>
              </w:rPr>
            </w:pPr>
          </w:p>
          <w:p>
            <w:pPr>
              <w:pStyle w:val="TableParagraph"/>
              <w:ind w:right="247"/>
              <w:jc w:val="right"/>
              <w:rPr>
                <w:b/>
                <w:sz w:val="18"/>
              </w:rPr>
            </w:pPr>
            <w:r>
              <w:rPr>
                <w:b/>
                <w:w w:val="95"/>
                <w:sz w:val="18"/>
              </w:rPr>
              <w:t>3,888</w:t>
            </w:r>
          </w:p>
        </w:tc>
        <w:tc>
          <w:tcPr>
            <w:tcW w:w="1387" w:type="dxa"/>
          </w:tcPr>
          <w:p>
            <w:pPr>
              <w:pStyle w:val="TableParagraph"/>
              <w:spacing w:before="11"/>
              <w:rPr>
                <w:b/>
                <w:sz w:val="25"/>
              </w:rPr>
            </w:pPr>
          </w:p>
          <w:p>
            <w:pPr>
              <w:pStyle w:val="TableParagraph"/>
              <w:ind w:right="336"/>
              <w:jc w:val="right"/>
              <w:rPr>
                <w:sz w:val="18"/>
              </w:rPr>
            </w:pPr>
            <w:r>
              <w:rPr>
                <w:w w:val="95"/>
                <w:sz w:val="18"/>
              </w:rPr>
              <w:t>3,634</w:t>
            </w:r>
          </w:p>
        </w:tc>
        <w:tc>
          <w:tcPr>
            <w:tcW w:w="1373" w:type="dxa"/>
          </w:tcPr>
          <w:p>
            <w:pPr>
              <w:pStyle w:val="TableParagraph"/>
              <w:spacing w:before="11"/>
              <w:rPr>
                <w:b/>
                <w:sz w:val="25"/>
              </w:rPr>
            </w:pPr>
          </w:p>
          <w:p>
            <w:pPr>
              <w:pStyle w:val="TableParagraph"/>
              <w:ind w:right="247"/>
              <w:jc w:val="right"/>
              <w:rPr>
                <w:b/>
                <w:sz w:val="18"/>
              </w:rPr>
            </w:pPr>
            <w:r>
              <w:rPr>
                <w:b/>
                <w:w w:val="95"/>
                <w:sz w:val="18"/>
              </w:rPr>
              <w:t>3,850</w:t>
            </w:r>
          </w:p>
        </w:tc>
        <w:tc>
          <w:tcPr>
            <w:tcW w:w="1135" w:type="dxa"/>
          </w:tcPr>
          <w:p>
            <w:pPr>
              <w:pStyle w:val="TableParagraph"/>
              <w:spacing w:before="11"/>
              <w:rPr>
                <w:b/>
                <w:sz w:val="25"/>
              </w:rPr>
            </w:pPr>
          </w:p>
          <w:p>
            <w:pPr>
              <w:pStyle w:val="TableParagraph"/>
              <w:ind w:right="84"/>
              <w:jc w:val="right"/>
              <w:rPr>
                <w:sz w:val="18"/>
              </w:rPr>
            </w:pPr>
            <w:r>
              <w:rPr>
                <w:w w:val="95"/>
                <w:sz w:val="18"/>
              </w:rPr>
              <w:t>3,555</w:t>
            </w:r>
          </w:p>
        </w:tc>
      </w:tr>
      <w:tr>
        <w:trPr>
          <w:trHeight w:val="306" w:hRule="exact"/>
        </w:trPr>
        <w:tc>
          <w:tcPr>
            <w:tcW w:w="3997" w:type="dxa"/>
          </w:tcPr>
          <w:p>
            <w:pPr>
              <w:pStyle w:val="TableParagraph"/>
              <w:spacing w:before="20"/>
              <w:ind w:right="1492"/>
              <w:jc w:val="right"/>
              <w:rPr>
                <w:sz w:val="18"/>
              </w:rPr>
            </w:pPr>
            <w:r>
              <w:rPr>
                <w:sz w:val="18"/>
              </w:rPr>
              <w:t>Other loans and receivables</w:t>
            </w:r>
          </w:p>
        </w:tc>
        <w:tc>
          <w:tcPr>
            <w:tcW w:w="1625" w:type="dxa"/>
          </w:tcPr>
          <w:p>
            <w:pPr>
              <w:pStyle w:val="TableParagraph"/>
              <w:spacing w:before="18"/>
              <w:ind w:right="247"/>
              <w:jc w:val="right"/>
              <w:rPr>
                <w:b/>
                <w:sz w:val="18"/>
              </w:rPr>
            </w:pPr>
            <w:r>
              <w:rPr>
                <w:b/>
                <w:w w:val="95"/>
                <w:sz w:val="18"/>
              </w:rPr>
              <w:t>600</w:t>
            </w:r>
          </w:p>
        </w:tc>
        <w:tc>
          <w:tcPr>
            <w:tcW w:w="1387" w:type="dxa"/>
          </w:tcPr>
          <w:p>
            <w:pPr>
              <w:pStyle w:val="TableParagraph"/>
              <w:spacing w:before="18"/>
              <w:ind w:right="336"/>
              <w:jc w:val="right"/>
              <w:rPr>
                <w:sz w:val="18"/>
              </w:rPr>
            </w:pPr>
            <w:r>
              <w:rPr>
                <w:w w:val="95"/>
                <w:sz w:val="18"/>
              </w:rPr>
              <w:t>438</w:t>
            </w:r>
          </w:p>
        </w:tc>
        <w:tc>
          <w:tcPr>
            <w:tcW w:w="1373" w:type="dxa"/>
          </w:tcPr>
          <w:p>
            <w:pPr>
              <w:pStyle w:val="TableParagraph"/>
              <w:spacing w:before="18"/>
              <w:ind w:right="247"/>
              <w:jc w:val="right"/>
              <w:rPr>
                <w:b/>
                <w:sz w:val="18"/>
              </w:rPr>
            </w:pPr>
            <w:r>
              <w:rPr>
                <w:b/>
                <w:w w:val="95"/>
                <w:sz w:val="18"/>
              </w:rPr>
              <w:t>530</w:t>
            </w:r>
          </w:p>
        </w:tc>
        <w:tc>
          <w:tcPr>
            <w:tcW w:w="1135" w:type="dxa"/>
          </w:tcPr>
          <w:p>
            <w:pPr>
              <w:pStyle w:val="TableParagraph"/>
              <w:spacing w:before="18"/>
              <w:ind w:right="84"/>
              <w:jc w:val="right"/>
              <w:rPr>
                <w:sz w:val="18"/>
              </w:rPr>
            </w:pPr>
            <w:r>
              <w:rPr>
                <w:w w:val="95"/>
                <w:sz w:val="18"/>
              </w:rPr>
              <w:t>438</w:t>
            </w:r>
          </w:p>
        </w:tc>
      </w:tr>
      <w:tr>
        <w:trPr>
          <w:trHeight w:val="541" w:hRule="exact"/>
        </w:trPr>
        <w:tc>
          <w:tcPr>
            <w:tcW w:w="3997" w:type="dxa"/>
          </w:tcPr>
          <w:p>
            <w:pPr>
              <w:pStyle w:val="TableParagraph"/>
              <w:spacing w:before="60"/>
              <w:ind w:left="35"/>
              <w:rPr>
                <w:b/>
                <w:sz w:val="18"/>
              </w:rPr>
            </w:pPr>
            <w:r>
              <w:rPr>
                <w:b/>
                <w:sz w:val="18"/>
              </w:rPr>
              <w:t>Distribution from managed funds</w:t>
            </w:r>
          </w:p>
          <w:p>
            <w:pPr>
              <w:pStyle w:val="TableParagraph"/>
              <w:spacing w:before="30"/>
              <w:ind w:left="248"/>
              <w:rPr>
                <w:sz w:val="18"/>
              </w:rPr>
            </w:pPr>
            <w:r>
              <w:rPr>
                <w:sz w:val="18"/>
              </w:rPr>
              <w:t>Available-for-sale financial assets</w:t>
            </w:r>
          </w:p>
        </w:tc>
        <w:tc>
          <w:tcPr>
            <w:tcW w:w="1625" w:type="dxa"/>
          </w:tcPr>
          <w:p>
            <w:pPr>
              <w:pStyle w:val="TableParagraph"/>
              <w:spacing w:before="7"/>
              <w:rPr>
                <w:b/>
                <w:sz w:val="25"/>
              </w:rPr>
            </w:pPr>
          </w:p>
          <w:p>
            <w:pPr>
              <w:pStyle w:val="TableParagraph"/>
              <w:ind w:right="247"/>
              <w:jc w:val="right"/>
              <w:rPr>
                <w:b/>
                <w:sz w:val="18"/>
              </w:rPr>
            </w:pPr>
            <w:r>
              <w:rPr>
                <w:b/>
                <w:w w:val="95"/>
                <w:sz w:val="18"/>
              </w:rPr>
              <w:t>6,631</w:t>
            </w:r>
          </w:p>
        </w:tc>
        <w:tc>
          <w:tcPr>
            <w:tcW w:w="1387" w:type="dxa"/>
          </w:tcPr>
          <w:p>
            <w:pPr>
              <w:pStyle w:val="TableParagraph"/>
              <w:spacing w:before="7"/>
              <w:rPr>
                <w:b/>
                <w:sz w:val="25"/>
              </w:rPr>
            </w:pPr>
          </w:p>
          <w:p>
            <w:pPr>
              <w:pStyle w:val="TableParagraph"/>
              <w:ind w:right="336"/>
              <w:jc w:val="right"/>
              <w:rPr>
                <w:sz w:val="18"/>
              </w:rPr>
            </w:pPr>
            <w:r>
              <w:rPr>
                <w:w w:val="95"/>
                <w:sz w:val="18"/>
              </w:rPr>
              <w:t>2,947</w:t>
            </w:r>
          </w:p>
        </w:tc>
        <w:tc>
          <w:tcPr>
            <w:tcW w:w="1373" w:type="dxa"/>
          </w:tcPr>
          <w:p>
            <w:pPr>
              <w:pStyle w:val="TableParagraph"/>
              <w:spacing w:before="7"/>
              <w:rPr>
                <w:b/>
                <w:sz w:val="25"/>
              </w:rPr>
            </w:pPr>
          </w:p>
          <w:p>
            <w:pPr>
              <w:pStyle w:val="TableParagraph"/>
              <w:ind w:right="247"/>
              <w:jc w:val="right"/>
              <w:rPr>
                <w:b/>
                <w:sz w:val="18"/>
              </w:rPr>
            </w:pPr>
            <w:r>
              <w:rPr>
                <w:b/>
                <w:w w:val="95"/>
                <w:sz w:val="18"/>
              </w:rPr>
              <w:t>6,631</w:t>
            </w:r>
          </w:p>
        </w:tc>
        <w:tc>
          <w:tcPr>
            <w:tcW w:w="1135" w:type="dxa"/>
          </w:tcPr>
          <w:p>
            <w:pPr>
              <w:pStyle w:val="TableParagraph"/>
              <w:spacing w:before="7"/>
              <w:rPr>
                <w:b/>
                <w:sz w:val="25"/>
              </w:rPr>
            </w:pPr>
          </w:p>
          <w:p>
            <w:pPr>
              <w:pStyle w:val="TableParagraph"/>
              <w:ind w:right="84"/>
              <w:jc w:val="right"/>
              <w:rPr>
                <w:sz w:val="18"/>
              </w:rPr>
            </w:pPr>
            <w:r>
              <w:rPr>
                <w:w w:val="95"/>
                <w:sz w:val="18"/>
              </w:rPr>
              <w:t>2,947</w:t>
            </w:r>
          </w:p>
        </w:tc>
      </w:tr>
      <w:tr>
        <w:trPr>
          <w:trHeight w:val="264" w:hRule="exact"/>
        </w:trPr>
        <w:tc>
          <w:tcPr>
            <w:tcW w:w="3997" w:type="dxa"/>
          </w:tcPr>
          <w:p>
            <w:pPr>
              <w:pStyle w:val="TableParagraph"/>
              <w:spacing w:before="20"/>
              <w:ind w:right="1443"/>
              <w:jc w:val="right"/>
              <w:rPr>
                <w:sz w:val="18"/>
              </w:rPr>
            </w:pPr>
            <w:bookmarkStart w:name="6 Royalties, trademarks and licences " w:id="70"/>
            <w:bookmarkEnd w:id="70"/>
            <w:r>
              <w:rPr/>
            </w:r>
            <w:r>
              <w:rPr>
                <w:sz w:val="18"/>
              </w:rPr>
              <w:t>Held-to-maturity investments</w:t>
            </w:r>
          </w:p>
        </w:tc>
        <w:tc>
          <w:tcPr>
            <w:tcW w:w="1625" w:type="dxa"/>
          </w:tcPr>
          <w:p>
            <w:pPr>
              <w:pStyle w:val="TableParagraph"/>
              <w:spacing w:before="18"/>
              <w:ind w:right="247"/>
              <w:jc w:val="right"/>
              <w:rPr>
                <w:b/>
                <w:sz w:val="18"/>
              </w:rPr>
            </w:pPr>
            <w:r>
              <w:rPr>
                <w:b/>
                <w:w w:val="95"/>
                <w:sz w:val="18"/>
              </w:rPr>
              <w:t>387</w:t>
            </w:r>
          </w:p>
        </w:tc>
        <w:tc>
          <w:tcPr>
            <w:tcW w:w="1387" w:type="dxa"/>
          </w:tcPr>
          <w:p>
            <w:pPr>
              <w:pStyle w:val="TableParagraph"/>
              <w:spacing w:before="18"/>
              <w:ind w:right="336"/>
              <w:jc w:val="right"/>
              <w:rPr>
                <w:sz w:val="18"/>
              </w:rPr>
            </w:pPr>
            <w:r>
              <w:rPr>
                <w:w w:val="95"/>
                <w:sz w:val="18"/>
              </w:rPr>
              <w:t>258</w:t>
            </w:r>
          </w:p>
        </w:tc>
        <w:tc>
          <w:tcPr>
            <w:tcW w:w="1373" w:type="dxa"/>
          </w:tcPr>
          <w:p>
            <w:pPr>
              <w:pStyle w:val="TableParagraph"/>
              <w:spacing w:before="18"/>
              <w:ind w:right="247"/>
              <w:jc w:val="right"/>
              <w:rPr>
                <w:b/>
                <w:sz w:val="18"/>
              </w:rPr>
            </w:pPr>
            <w:r>
              <w:rPr>
                <w:b/>
                <w:w w:val="95"/>
                <w:sz w:val="18"/>
              </w:rPr>
              <w:t>387</w:t>
            </w:r>
          </w:p>
        </w:tc>
        <w:tc>
          <w:tcPr>
            <w:tcW w:w="1135" w:type="dxa"/>
          </w:tcPr>
          <w:p>
            <w:pPr>
              <w:pStyle w:val="TableParagraph"/>
              <w:spacing w:before="18"/>
              <w:ind w:right="84"/>
              <w:jc w:val="right"/>
              <w:rPr>
                <w:sz w:val="18"/>
              </w:rPr>
            </w:pPr>
            <w:r>
              <w:rPr>
                <w:w w:val="95"/>
                <w:sz w:val="18"/>
              </w:rPr>
              <w:t>258</w:t>
            </w:r>
          </w:p>
        </w:tc>
      </w:tr>
      <w:tr>
        <w:trPr>
          <w:trHeight w:val="260" w:hRule="exact"/>
        </w:trPr>
        <w:tc>
          <w:tcPr>
            <w:tcW w:w="3997" w:type="dxa"/>
          </w:tcPr>
          <w:p>
            <w:pPr>
              <w:pStyle w:val="TableParagraph"/>
              <w:spacing w:before="20"/>
              <w:ind w:left="248"/>
              <w:rPr>
                <w:sz w:val="18"/>
              </w:rPr>
            </w:pPr>
            <w:r>
              <w:rPr>
                <w:sz w:val="18"/>
              </w:rPr>
              <w:t>Dividends received</w:t>
            </w:r>
          </w:p>
        </w:tc>
        <w:tc>
          <w:tcPr>
            <w:tcW w:w="1625" w:type="dxa"/>
            <w:tcBorders>
              <w:bottom w:val="single" w:sz="1" w:space="0" w:color="000000"/>
            </w:tcBorders>
          </w:tcPr>
          <w:p>
            <w:pPr>
              <w:pStyle w:val="TableParagraph"/>
              <w:spacing w:before="18"/>
              <w:ind w:right="247"/>
              <w:jc w:val="right"/>
              <w:rPr>
                <w:b/>
                <w:sz w:val="18"/>
              </w:rPr>
            </w:pPr>
            <w:r>
              <w:rPr>
                <w:b/>
                <w:w w:val="95"/>
                <w:sz w:val="18"/>
              </w:rPr>
              <w:t>2,541</w:t>
            </w:r>
          </w:p>
        </w:tc>
        <w:tc>
          <w:tcPr>
            <w:tcW w:w="1387" w:type="dxa"/>
            <w:tcBorders>
              <w:bottom w:val="single" w:sz="1" w:space="0" w:color="000000"/>
            </w:tcBorders>
          </w:tcPr>
          <w:p>
            <w:pPr>
              <w:pStyle w:val="TableParagraph"/>
              <w:spacing w:before="18"/>
              <w:ind w:right="336"/>
              <w:jc w:val="right"/>
              <w:rPr>
                <w:sz w:val="18"/>
              </w:rPr>
            </w:pPr>
            <w:r>
              <w:rPr>
                <w:w w:val="95"/>
                <w:sz w:val="18"/>
              </w:rPr>
              <w:t>1,258</w:t>
            </w:r>
          </w:p>
        </w:tc>
        <w:tc>
          <w:tcPr>
            <w:tcW w:w="1373" w:type="dxa"/>
            <w:tcBorders>
              <w:bottom w:val="single" w:sz="1" w:space="0" w:color="000000"/>
            </w:tcBorders>
          </w:tcPr>
          <w:p>
            <w:pPr>
              <w:pStyle w:val="TableParagraph"/>
              <w:spacing w:before="18"/>
              <w:ind w:right="247"/>
              <w:jc w:val="right"/>
              <w:rPr>
                <w:b/>
                <w:sz w:val="18"/>
              </w:rPr>
            </w:pPr>
            <w:r>
              <w:rPr>
                <w:b/>
                <w:w w:val="95"/>
                <w:sz w:val="18"/>
              </w:rPr>
              <w:t>2,541</w:t>
            </w:r>
          </w:p>
        </w:tc>
        <w:tc>
          <w:tcPr>
            <w:tcW w:w="1135" w:type="dxa"/>
            <w:tcBorders>
              <w:bottom w:val="single" w:sz="1" w:space="0" w:color="000000"/>
            </w:tcBorders>
          </w:tcPr>
          <w:p>
            <w:pPr>
              <w:pStyle w:val="TableParagraph"/>
              <w:spacing w:before="18"/>
              <w:ind w:right="84"/>
              <w:jc w:val="right"/>
              <w:rPr>
                <w:sz w:val="18"/>
              </w:rPr>
            </w:pPr>
            <w:r>
              <w:rPr>
                <w:w w:val="95"/>
                <w:sz w:val="18"/>
              </w:rPr>
              <w:t>1,258</w:t>
            </w:r>
          </w:p>
        </w:tc>
      </w:tr>
      <w:tr>
        <w:trPr>
          <w:trHeight w:val="353" w:hRule="exact"/>
        </w:trPr>
        <w:tc>
          <w:tcPr>
            <w:tcW w:w="3997" w:type="dxa"/>
          </w:tcPr>
          <w:p>
            <w:pPr>
              <w:pStyle w:val="TableParagraph"/>
              <w:spacing w:before="125"/>
              <w:ind w:left="35"/>
              <w:rPr>
                <w:b/>
                <w:sz w:val="18"/>
              </w:rPr>
            </w:pPr>
            <w:r>
              <w:rPr>
                <w:b/>
                <w:sz w:val="18"/>
              </w:rPr>
              <w:t>Total investment income</w:t>
            </w:r>
          </w:p>
        </w:tc>
        <w:tc>
          <w:tcPr>
            <w:tcW w:w="1625" w:type="dxa"/>
            <w:tcBorders>
              <w:top w:val="single" w:sz="1" w:space="0" w:color="000000"/>
              <w:bottom w:val="single" w:sz="1" w:space="0" w:color="000000"/>
            </w:tcBorders>
          </w:tcPr>
          <w:p>
            <w:pPr>
              <w:pStyle w:val="TableParagraph"/>
              <w:spacing w:before="124"/>
              <w:ind w:right="247"/>
              <w:jc w:val="right"/>
              <w:rPr>
                <w:b/>
                <w:sz w:val="18"/>
              </w:rPr>
            </w:pPr>
            <w:r>
              <w:rPr>
                <w:b/>
                <w:w w:val="95"/>
                <w:sz w:val="18"/>
              </w:rPr>
              <w:t>14,047</w:t>
            </w:r>
          </w:p>
        </w:tc>
        <w:tc>
          <w:tcPr>
            <w:tcW w:w="1387" w:type="dxa"/>
            <w:tcBorders>
              <w:top w:val="single" w:sz="1" w:space="0" w:color="000000"/>
              <w:bottom w:val="single" w:sz="1" w:space="0" w:color="000000"/>
            </w:tcBorders>
          </w:tcPr>
          <w:p>
            <w:pPr>
              <w:pStyle w:val="TableParagraph"/>
              <w:spacing w:before="124"/>
              <w:ind w:right="336"/>
              <w:jc w:val="right"/>
              <w:rPr>
                <w:sz w:val="18"/>
              </w:rPr>
            </w:pPr>
            <w:r>
              <w:rPr>
                <w:w w:val="95"/>
                <w:sz w:val="18"/>
              </w:rPr>
              <w:t>8,535</w:t>
            </w:r>
          </w:p>
        </w:tc>
        <w:tc>
          <w:tcPr>
            <w:tcW w:w="1373" w:type="dxa"/>
            <w:tcBorders>
              <w:top w:val="single" w:sz="1" w:space="0" w:color="000000"/>
              <w:bottom w:val="single" w:sz="1" w:space="0" w:color="000000"/>
            </w:tcBorders>
          </w:tcPr>
          <w:p>
            <w:pPr>
              <w:pStyle w:val="TableParagraph"/>
              <w:spacing w:before="124"/>
              <w:ind w:right="247"/>
              <w:jc w:val="right"/>
              <w:rPr>
                <w:b/>
                <w:sz w:val="18"/>
              </w:rPr>
            </w:pPr>
            <w:r>
              <w:rPr>
                <w:b/>
                <w:w w:val="95"/>
                <w:sz w:val="18"/>
              </w:rPr>
              <w:t>13,939</w:t>
            </w:r>
          </w:p>
        </w:tc>
        <w:tc>
          <w:tcPr>
            <w:tcW w:w="1135" w:type="dxa"/>
            <w:tcBorders>
              <w:top w:val="single" w:sz="1" w:space="0" w:color="000000"/>
              <w:bottom w:val="single" w:sz="1" w:space="0" w:color="000000"/>
            </w:tcBorders>
          </w:tcPr>
          <w:p>
            <w:pPr>
              <w:pStyle w:val="TableParagraph"/>
              <w:spacing w:before="124"/>
              <w:ind w:right="84"/>
              <w:jc w:val="right"/>
              <w:rPr>
                <w:sz w:val="18"/>
              </w:rPr>
            </w:pPr>
            <w:r>
              <w:rPr>
                <w:w w:val="95"/>
                <w:sz w:val="18"/>
              </w:rPr>
              <w:t>8,456</w:t>
            </w:r>
          </w:p>
        </w:tc>
      </w:tr>
    </w:tbl>
    <w:p>
      <w:pPr>
        <w:pStyle w:val="BodyText"/>
        <w:rPr>
          <w:b/>
          <w:sz w:val="20"/>
        </w:rPr>
      </w:pPr>
    </w:p>
    <w:p>
      <w:pPr>
        <w:pStyle w:val="BodyText"/>
        <w:spacing w:before="6"/>
        <w:rPr>
          <w:b/>
          <w:sz w:val="16"/>
        </w:rPr>
      </w:pPr>
    </w:p>
    <w:p>
      <w:pPr>
        <w:pStyle w:val="ListParagraph"/>
        <w:numPr>
          <w:ilvl w:val="0"/>
          <w:numId w:val="22"/>
        </w:numPr>
        <w:tabs>
          <w:tab w:pos="504" w:val="left" w:leader="none"/>
        </w:tabs>
        <w:spacing w:line="240" w:lineRule="auto" w:before="77" w:after="0"/>
        <w:ind w:left="504" w:right="0" w:hanging="394"/>
        <w:jc w:val="left"/>
        <w:rPr>
          <w:b/>
          <w:sz w:val="18"/>
        </w:rPr>
      </w:pPr>
      <w:r>
        <w:rPr>
          <w:b/>
          <w:sz w:val="18"/>
        </w:rPr>
        <w:t>Royalties, trademarks and</w:t>
      </w:r>
      <w:r>
        <w:rPr>
          <w:b/>
          <w:spacing w:val="-10"/>
          <w:sz w:val="18"/>
        </w:rPr>
        <w:t> </w:t>
      </w:r>
      <w:r>
        <w:rPr>
          <w:b/>
          <w:sz w:val="18"/>
        </w:rPr>
        <w:t>licences</w:t>
      </w:r>
    </w:p>
    <w:p>
      <w:pPr>
        <w:tabs>
          <w:tab w:pos="8354" w:val="left" w:leader="none"/>
        </w:tabs>
        <w:spacing w:before="33"/>
        <w:ind w:left="5316" w:right="220" w:firstLine="0"/>
        <w:jc w:val="left"/>
        <w:rPr>
          <w:b/>
          <w:sz w:val="18"/>
        </w:rPr>
      </w:pPr>
      <w:r>
        <w:rPr>
          <w:b/>
          <w:sz w:val="18"/>
        </w:rPr>
        <w:t>Consolidated</w:t>
        <w:tab/>
        <w:t>Parent</w:t>
      </w:r>
    </w:p>
    <w:p>
      <w:pPr>
        <w:spacing w:after="0"/>
        <w:jc w:val="left"/>
        <w:rPr>
          <w:sz w:val="18"/>
        </w:rPr>
        <w:sectPr>
          <w:pgSz w:w="11910" w:h="16840"/>
          <w:pgMar w:header="1037" w:footer="507" w:top="2220" w:bottom="700" w:left="900" w:right="880"/>
        </w:sectPr>
      </w:pPr>
    </w:p>
    <w:p>
      <w:pPr>
        <w:spacing w:before="66"/>
        <w:ind w:left="0" w:right="19" w:firstLine="0"/>
        <w:jc w:val="right"/>
        <w:rPr>
          <w:b/>
          <w:sz w:val="18"/>
        </w:rPr>
      </w:pPr>
      <w:r>
        <w:rPr>
          <w:b/>
          <w:w w:val="95"/>
          <w:sz w:val="18"/>
        </w:rPr>
        <w:t>2017</w:t>
      </w:r>
    </w:p>
    <w:p>
      <w:pPr>
        <w:spacing w:before="66"/>
        <w:ind w:left="0" w:right="0" w:firstLine="0"/>
        <w:jc w:val="right"/>
        <w:rPr>
          <w:b/>
          <w:sz w:val="18"/>
        </w:rPr>
      </w:pPr>
      <w:bookmarkStart w:name="7 Consultancy and contracts " w:id="71"/>
      <w:bookmarkEnd w:id="71"/>
      <w:r>
        <w:rPr/>
      </w:r>
      <w:r>
        <w:rPr>
          <w:b/>
          <w:sz w:val="18"/>
        </w:rPr>
        <w:t>$'000</w:t>
      </w:r>
    </w:p>
    <w:p>
      <w:pPr>
        <w:spacing w:before="66"/>
        <w:ind w:left="831" w:right="-16" w:firstLine="0"/>
        <w:jc w:val="left"/>
        <w:rPr>
          <w:b/>
          <w:sz w:val="18"/>
        </w:rPr>
      </w:pPr>
      <w:r>
        <w:rPr/>
        <w:br w:type="column"/>
      </w:r>
      <w:r>
        <w:rPr>
          <w:b/>
          <w:sz w:val="18"/>
        </w:rPr>
        <w:t>2016</w:t>
      </w:r>
    </w:p>
    <w:p>
      <w:pPr>
        <w:spacing w:before="66"/>
        <w:ind w:left="809" w:right="-16"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31" w:right="0" w:firstLine="0"/>
        <w:jc w:val="left"/>
        <w:rPr>
          <w:b/>
          <w:sz w:val="18"/>
        </w:rPr>
      </w:pPr>
      <w:r>
        <w:rPr/>
        <w:br w:type="column"/>
      </w:r>
      <w:r>
        <w:rPr>
          <w:b/>
          <w:sz w:val="18"/>
        </w:rPr>
        <w:t>2016</w:t>
      </w:r>
    </w:p>
    <w:p>
      <w:pPr>
        <w:spacing w:before="66"/>
        <w:ind w:left="809" w:right="0" w:firstLine="0"/>
        <w:jc w:val="left"/>
        <w:rPr>
          <w:b/>
          <w:sz w:val="18"/>
        </w:rPr>
      </w:pPr>
      <w:r>
        <w:rPr>
          <w:b/>
          <w:sz w:val="18"/>
        </w:rPr>
        <w:t>$'000</w:t>
      </w:r>
    </w:p>
    <w:p>
      <w:pPr>
        <w:spacing w:after="0"/>
        <w:jc w:val="left"/>
        <w:rPr>
          <w:sz w:val="18"/>
        </w:rPr>
        <w:sectPr>
          <w:type w:val="continuous"/>
          <w:pgSz w:w="11910" w:h="16840"/>
          <w:pgMar w:top="1580" w:bottom="280" w:left="900" w:right="880"/>
          <w:cols w:num="4" w:equalWidth="0">
            <w:col w:w="5532" w:space="40"/>
            <w:col w:w="1257" w:space="40"/>
            <w:col w:w="1424" w:space="40"/>
            <w:col w:w="1797"/>
          </w:cols>
        </w:sectPr>
      </w:pPr>
    </w:p>
    <w:p>
      <w:pPr>
        <w:pStyle w:val="BodyText"/>
        <w:tabs>
          <w:tab w:pos="5560" w:val="left" w:leader="none"/>
          <w:tab w:pos="6856" w:val="left" w:leader="none"/>
          <w:tab w:pos="8320" w:val="left" w:leader="none"/>
          <w:tab w:pos="9919" w:val="right" w:leader="none"/>
        </w:tabs>
        <w:spacing w:before="64"/>
        <w:ind w:left="537"/>
      </w:pPr>
      <w:r>
        <w:rPr/>
        <w:pict>
          <v:group style="position:absolute;margin-left:269.565002pt;margin-top:14.686889pt;width:276.150pt;height:1pt;mso-position-horizontal-relative:page;mso-position-vertical-relative:paragraph;z-index:1336" coordorigin="5391,294" coordsize="5523,20">
            <v:line style="position:absolute" from="5393,295" to="5561,295" stroked="true" strokeweight=".12pt" strokecolor="#000000"/>
            <v:line style="position:absolute" from="5393,298" to="5561,298" stroked="true" strokeweight=".12pt" strokecolor="#000000"/>
            <v:line style="position:absolute" from="5393,300" to="5561,300" stroked="true" strokeweight=".12pt" strokecolor="#000000"/>
            <v:line style="position:absolute" from="5393,302" to="5561,302" stroked="true" strokeweight=".12pt" strokecolor="#000000"/>
            <v:line style="position:absolute" from="5393,305" to="5561,305" stroked="true" strokeweight=".12pt" strokecolor="#000000"/>
            <v:line style="position:absolute" from="5393,307" to="5561,307" stroked="true" strokeweight=".12pt" strokecolor="#000000"/>
            <v:line style="position:absolute" from="5393,310" to="5561,310" stroked="true" strokeweight=".12pt" strokecolor="#000000"/>
            <v:line style="position:absolute" from="5393,312" to="5561,312" stroked="true" strokeweight=".12pt" strokecolor="#000000"/>
            <v:line style="position:absolute" from="5561,295" to="6857,295" stroked="true" strokeweight=".12pt" strokecolor="#000000"/>
            <v:line style="position:absolute" from="5561,298" to="6857,298" stroked="true" strokeweight=".12pt" strokecolor="#000000"/>
            <v:line style="position:absolute" from="5561,300" to="6857,300" stroked="true" strokeweight=".12pt" strokecolor="#000000"/>
            <v:line style="position:absolute" from="5561,302" to="6857,302" stroked="true" strokeweight=".12pt" strokecolor="#000000"/>
            <v:line style="position:absolute" from="5561,305" to="6857,305" stroked="true" strokeweight=".12pt" strokecolor="#000000"/>
            <v:line style="position:absolute" from="5561,307" to="6857,307" stroked="true" strokeweight=".12pt" strokecolor="#000000"/>
            <v:line style="position:absolute" from="5561,310" to="6857,310" stroked="true" strokeweight=".12pt" strokecolor="#000000"/>
            <v:line style="position:absolute" from="5561,312" to="6857,312" stroked="true" strokeweight=".12pt" strokecolor="#000000"/>
            <v:line style="position:absolute" from="6857,295" to="8153,295" stroked="true" strokeweight=".12pt" strokecolor="#000000"/>
            <v:line style="position:absolute" from="6857,298" to="8153,298" stroked="true" strokeweight=".12pt" strokecolor="#000000"/>
            <v:line style="position:absolute" from="6857,300" to="8153,300" stroked="true" strokeweight=".12pt" strokecolor="#000000"/>
            <v:line style="position:absolute" from="6857,302" to="8153,302" stroked="true" strokeweight=".12pt" strokecolor="#000000"/>
            <v:line style="position:absolute" from="6857,305" to="8153,305" stroked="true" strokeweight=".12pt" strokecolor="#000000"/>
            <v:line style="position:absolute" from="6857,307" to="8153,307" stroked="true" strokeweight=".12pt" strokecolor="#000000"/>
            <v:line style="position:absolute" from="6857,310" to="8153,310" stroked="true" strokeweight=".12pt" strokecolor="#000000"/>
            <v:line style="position:absolute" from="6857,312" to="8153,312" stroked="true" strokeweight=".12pt" strokecolor="#000000"/>
            <v:line style="position:absolute" from="8153,295" to="8321,295" stroked="true" strokeweight=".12pt" strokecolor="#000000"/>
            <v:line style="position:absolute" from="8153,298" to="8321,298" stroked="true" strokeweight=".12pt" strokecolor="#000000"/>
            <v:line style="position:absolute" from="8153,300" to="8321,300" stroked="true" strokeweight=".12pt" strokecolor="#000000"/>
            <v:line style="position:absolute" from="8153,302" to="8321,302" stroked="true" strokeweight=".12pt" strokecolor="#000000"/>
            <v:line style="position:absolute" from="8153,305" to="8321,305" stroked="true" strokeweight=".12pt" strokecolor="#000000"/>
            <v:line style="position:absolute" from="8153,307" to="8321,307" stroked="true" strokeweight=".12pt" strokecolor="#000000"/>
            <v:line style="position:absolute" from="8153,310" to="8321,310" stroked="true" strokeweight=".12pt" strokecolor="#000000"/>
            <v:line style="position:absolute" from="8153,312" to="8321,312" stroked="true" strokeweight=".12pt" strokecolor="#000000"/>
            <v:line style="position:absolute" from="8321,295" to="9617,295" stroked="true" strokeweight=".12pt" strokecolor="#000000"/>
            <v:line style="position:absolute" from="8321,298" to="9617,298" stroked="true" strokeweight=".12pt" strokecolor="#000000"/>
            <v:line style="position:absolute" from="8321,300" to="9617,300" stroked="true" strokeweight=".12pt" strokecolor="#000000"/>
            <v:line style="position:absolute" from="8321,302" to="9617,302" stroked="true" strokeweight=".12pt" strokecolor="#000000"/>
            <v:line style="position:absolute" from="8321,305" to="9617,305" stroked="true" strokeweight=".12pt" strokecolor="#000000"/>
            <v:line style="position:absolute" from="8321,307" to="9617,307" stroked="true" strokeweight=".12pt" strokecolor="#000000"/>
            <v:line style="position:absolute" from="8321,310" to="9617,310" stroked="true" strokeweight=".12pt" strokecolor="#000000"/>
            <v:line style="position:absolute" from="8321,312" to="9617,312" stroked="true" strokeweight=".12pt" strokecolor="#000000"/>
            <v:line style="position:absolute" from="9617,295" to="10913,295" stroked="true" strokeweight=".12pt" strokecolor="#000000"/>
            <v:line style="position:absolute" from="9617,298" to="10913,298" stroked="true" strokeweight=".12pt" strokecolor="#000000"/>
            <v:line style="position:absolute" from="9617,300" to="10913,300" stroked="true" strokeweight=".12pt" strokecolor="#000000"/>
            <v:line style="position:absolute" from="9617,302" to="10913,302" stroked="true" strokeweight=".12pt" strokecolor="#000000"/>
            <v:line style="position:absolute" from="9617,305" to="10913,305" stroked="true" strokeweight=".12pt" strokecolor="#000000"/>
            <v:line style="position:absolute" from="9617,307" to="10913,307" stroked="true" strokeweight=".12pt" strokecolor="#000000"/>
            <v:line style="position:absolute" from="9617,310" to="10913,310" stroked="true" strokeweight=".12pt" strokecolor="#000000"/>
            <v:line style="position:absolute" from="9617,312" to="10913,312" stroked="true" strokeweight=".12pt" strokecolor="#000000"/>
            <w10:wrap type="none"/>
          </v:group>
        </w:pict>
      </w:r>
      <w:r>
        <w:rPr/>
        <w:t>Royalties and</w:t>
      </w:r>
      <w:r>
        <w:rPr>
          <w:spacing w:val="1"/>
        </w:rPr>
        <w:t> </w:t>
      </w:r>
      <w:r>
        <w:rPr/>
        <w:t>intellectual property</w:t>
        <w:tab/>
      </w:r>
      <w:r>
        <w:rPr>
          <w:b/>
        </w:rPr>
        <w:t>263</w:t>
        <w:tab/>
      </w:r>
      <w:r>
        <w:rPr/>
        <w:t>262</w:t>
        <w:tab/>
      </w:r>
      <w:r>
        <w:rPr>
          <w:b/>
        </w:rPr>
        <w:t>260</w:t>
      </w:r>
      <w:r>
        <w:rPr>
          <w:rFonts w:ascii="Times New Roman"/>
        </w:rPr>
        <w:tab/>
      </w:r>
      <w:r>
        <w:rPr/>
        <w:t>262</w:t>
      </w:r>
    </w:p>
    <w:p>
      <w:pPr>
        <w:pStyle w:val="Heading9"/>
        <w:spacing w:line="207" w:lineRule="exact" w:before="158"/>
        <w:ind w:left="537" w:right="220"/>
      </w:pPr>
      <w:r>
        <w:rPr/>
        <w:t>Total royalties, trademarks and</w:t>
      </w:r>
    </w:p>
    <w:p>
      <w:pPr>
        <w:tabs>
          <w:tab w:pos="5560" w:val="left" w:leader="none"/>
          <w:tab w:pos="6856" w:val="left" w:leader="none"/>
          <w:tab w:pos="8320" w:val="left" w:leader="none"/>
          <w:tab w:pos="9919" w:val="right" w:leader="none"/>
        </w:tabs>
        <w:spacing w:line="207" w:lineRule="exact" w:before="0"/>
        <w:ind w:left="537" w:right="0" w:firstLine="0"/>
        <w:jc w:val="left"/>
        <w:rPr>
          <w:sz w:val="18"/>
        </w:rPr>
      </w:pPr>
      <w:r>
        <w:rPr/>
        <w:pict>
          <v:group style="position:absolute;margin-left:269.565002pt;margin-top:10.152334pt;width:276.150pt;height:2.450pt;mso-position-horizontal-relative:page;mso-position-vertical-relative:paragraph;z-index:-1182664" coordorigin="5391,203" coordsize="5523,49">
            <v:line style="position:absolute" from="5393,205" to="5561,205" stroked="true" strokeweight=".12pt" strokecolor="#000000"/>
            <v:line style="position:absolute" from="5393,207" to="5561,207" stroked="true" strokeweight=".12pt" strokecolor="#000000"/>
            <v:line style="position:absolute" from="5393,209" to="5561,209" stroked="true" strokeweight=".12pt" strokecolor="#000000"/>
            <v:line style="position:absolute" from="5393,212" to="5561,212" stroked="true" strokeweight=".12pt" strokecolor="#000000"/>
            <v:line style="position:absolute" from="5393,214" to="5561,214" stroked="true" strokeweight=".12pt" strokecolor="#000000"/>
            <v:line style="position:absolute" from="5393,217" to="5561,217" stroked="true" strokeweight=".12pt" strokecolor="#000000"/>
            <v:line style="position:absolute" from="5393,238" to="5561,238" stroked="true" strokeweight=".12pt" strokecolor="#000000"/>
            <v:line style="position:absolute" from="5393,241" to="5561,241" stroked="true" strokeweight=".12pt" strokecolor="#000000"/>
            <v:line style="position:absolute" from="5393,243" to="5561,243" stroked="true" strokeweight=".12pt" strokecolor="#000000"/>
            <v:line style="position:absolute" from="5393,245" to="5561,245" stroked="true" strokeweight=".12pt" strokecolor="#000000"/>
            <v:line style="position:absolute" from="5393,248" to="5561,248" stroked="true" strokeweight=".12pt" strokecolor="#000000"/>
            <v:line style="position:absolute" from="5393,250" to="5561,250" stroked="true" strokeweight=".12pt" strokecolor="#000000"/>
            <v:line style="position:absolute" from="5561,205" to="6857,205" stroked="true" strokeweight=".12pt" strokecolor="#000000"/>
            <v:line style="position:absolute" from="5561,207" to="6857,207" stroked="true" strokeweight=".12pt" strokecolor="#000000"/>
            <v:line style="position:absolute" from="5561,209" to="6857,209" stroked="true" strokeweight=".12pt" strokecolor="#000000"/>
            <v:line style="position:absolute" from="5561,212" to="6857,212" stroked="true" strokeweight=".12pt" strokecolor="#000000"/>
            <v:line style="position:absolute" from="5561,214" to="6857,214" stroked="true" strokeweight=".12pt" strokecolor="#000000"/>
            <v:line style="position:absolute" from="5561,217" to="6857,217" stroked="true" strokeweight=".12pt" strokecolor="#000000"/>
            <v:line style="position:absolute" from="5561,238" to="6857,238" stroked="true" strokeweight=".12pt" strokecolor="#000000"/>
            <v:line style="position:absolute" from="5561,241" to="6857,241" stroked="true" strokeweight=".12pt" strokecolor="#000000"/>
            <v:line style="position:absolute" from="5561,243" to="6857,243" stroked="true" strokeweight=".12pt" strokecolor="#000000"/>
            <v:line style="position:absolute" from="5561,245" to="6857,245" stroked="true" strokeweight=".12pt" strokecolor="#000000"/>
            <v:line style="position:absolute" from="5561,248" to="6857,248" stroked="true" strokeweight=".12pt" strokecolor="#000000"/>
            <v:line style="position:absolute" from="5561,250" to="6857,250" stroked="true" strokeweight=".12pt" strokecolor="#000000"/>
            <v:line style="position:absolute" from="6857,205" to="8153,205" stroked="true" strokeweight=".12pt" strokecolor="#000000"/>
            <v:line style="position:absolute" from="6857,207" to="8153,207" stroked="true" strokeweight=".12pt" strokecolor="#000000"/>
            <v:line style="position:absolute" from="6857,209" to="8153,209" stroked="true" strokeweight=".12pt" strokecolor="#000000"/>
            <v:line style="position:absolute" from="6857,212" to="8153,212" stroked="true" strokeweight=".12pt" strokecolor="#000000"/>
            <v:line style="position:absolute" from="6857,214" to="8153,214" stroked="true" strokeweight=".12pt" strokecolor="#000000"/>
            <v:line style="position:absolute" from="6857,217" to="8153,217" stroked="true" strokeweight=".12pt" strokecolor="#000000"/>
            <v:line style="position:absolute" from="6857,238" to="8153,238" stroked="true" strokeweight=".12pt" strokecolor="#000000"/>
            <v:line style="position:absolute" from="6857,241" to="8153,241" stroked="true" strokeweight=".12pt" strokecolor="#000000"/>
            <v:line style="position:absolute" from="6857,243" to="8153,243" stroked="true" strokeweight=".12pt" strokecolor="#000000"/>
            <v:line style="position:absolute" from="6857,245" to="8153,245" stroked="true" strokeweight=".12pt" strokecolor="#000000"/>
            <v:line style="position:absolute" from="6857,248" to="8153,248" stroked="true" strokeweight=".12pt" strokecolor="#000000"/>
            <v:line style="position:absolute" from="6857,250" to="8153,250" stroked="true" strokeweight=".12pt" strokecolor="#000000"/>
            <v:line style="position:absolute" from="8153,205" to="8321,205" stroked="true" strokeweight=".12pt" strokecolor="#000000"/>
            <v:line style="position:absolute" from="8153,207" to="8321,207" stroked="true" strokeweight=".12pt" strokecolor="#000000"/>
            <v:line style="position:absolute" from="8153,209" to="8321,209" stroked="true" strokeweight=".12pt" strokecolor="#000000"/>
            <v:line style="position:absolute" from="8153,212" to="8321,212" stroked="true" strokeweight=".12pt" strokecolor="#000000"/>
            <v:line style="position:absolute" from="8153,214" to="8321,214" stroked="true" strokeweight=".12pt" strokecolor="#000000"/>
            <v:line style="position:absolute" from="8153,217" to="8321,217" stroked="true" strokeweight=".12pt" strokecolor="#000000"/>
            <v:line style="position:absolute" from="8153,238" to="8321,238" stroked="true" strokeweight=".12pt" strokecolor="#000000"/>
            <v:line style="position:absolute" from="8153,241" to="8321,241" stroked="true" strokeweight=".12pt" strokecolor="#000000"/>
            <v:line style="position:absolute" from="8153,243" to="8321,243" stroked="true" strokeweight=".12pt" strokecolor="#000000"/>
            <v:line style="position:absolute" from="8153,245" to="8321,245" stroked="true" strokeweight=".12pt" strokecolor="#000000"/>
            <v:line style="position:absolute" from="8153,248" to="8321,248" stroked="true" strokeweight=".12pt" strokecolor="#000000"/>
            <v:line style="position:absolute" from="8153,250" to="8321,250" stroked="true" strokeweight=".12pt" strokecolor="#000000"/>
            <v:line style="position:absolute" from="8321,205" to="9617,205" stroked="true" strokeweight=".12pt" strokecolor="#000000"/>
            <v:line style="position:absolute" from="8321,207" to="9617,207" stroked="true" strokeweight=".12pt" strokecolor="#000000"/>
            <v:line style="position:absolute" from="8321,209" to="9617,209" stroked="true" strokeweight=".12pt" strokecolor="#000000"/>
            <v:line style="position:absolute" from="8321,212" to="9617,212" stroked="true" strokeweight=".12pt" strokecolor="#000000"/>
            <v:line style="position:absolute" from="8321,214" to="9617,214" stroked="true" strokeweight=".12pt" strokecolor="#000000"/>
            <v:line style="position:absolute" from="8321,217" to="9617,217" stroked="true" strokeweight=".12pt" strokecolor="#000000"/>
            <v:line style="position:absolute" from="8321,238" to="9617,238" stroked="true" strokeweight=".12pt" strokecolor="#000000"/>
            <v:line style="position:absolute" from="8321,241" to="9617,241" stroked="true" strokeweight=".12pt" strokecolor="#000000"/>
            <v:line style="position:absolute" from="8321,243" to="9617,243" stroked="true" strokeweight=".12pt" strokecolor="#000000"/>
            <v:line style="position:absolute" from="8321,245" to="9617,245" stroked="true" strokeweight=".12pt" strokecolor="#000000"/>
            <v:line style="position:absolute" from="8321,248" to="9617,248" stroked="true" strokeweight=".12pt" strokecolor="#000000"/>
            <v:line style="position:absolute" from="8321,250" to="9617,250" stroked="true" strokeweight=".12pt" strokecolor="#000000"/>
            <v:line style="position:absolute" from="9617,205" to="10913,205" stroked="true" strokeweight=".12pt" strokecolor="#000000"/>
            <v:line style="position:absolute" from="9617,207" to="10913,207" stroked="true" strokeweight=".12pt" strokecolor="#000000"/>
            <v:line style="position:absolute" from="9617,209" to="10913,209" stroked="true" strokeweight=".12pt" strokecolor="#000000"/>
            <v:line style="position:absolute" from="9617,212" to="10913,212" stroked="true" strokeweight=".12pt" strokecolor="#000000"/>
            <v:line style="position:absolute" from="9617,214" to="10913,214" stroked="true" strokeweight=".12pt" strokecolor="#000000"/>
            <v:line style="position:absolute" from="9617,217" to="10913,217" stroked="true" strokeweight=".12pt" strokecolor="#000000"/>
            <v:line style="position:absolute" from="9617,238" to="10913,238" stroked="true" strokeweight=".12pt" strokecolor="#000000"/>
            <v:line style="position:absolute" from="9617,241" to="10913,241" stroked="true" strokeweight=".12pt" strokecolor="#000000"/>
            <v:line style="position:absolute" from="9617,243" to="10913,243" stroked="true" strokeweight=".12pt" strokecolor="#000000"/>
            <v:line style="position:absolute" from="9617,245" to="10913,245" stroked="true" strokeweight=".12pt" strokecolor="#000000"/>
            <v:line style="position:absolute" from="9617,248" to="10913,248" stroked="true" strokeweight=".12pt" strokecolor="#000000"/>
            <v:line style="position:absolute" from="9617,250" to="10913,250" stroked="true" strokeweight=".12pt" strokecolor="#000000"/>
            <w10:wrap type="none"/>
          </v:group>
        </w:pict>
      </w:r>
      <w:r>
        <w:rPr>
          <w:b/>
          <w:sz w:val="18"/>
        </w:rPr>
        <w:t>licences</w:t>
        <w:tab/>
        <w:t>263</w:t>
        <w:tab/>
      </w:r>
      <w:r>
        <w:rPr>
          <w:sz w:val="18"/>
        </w:rPr>
        <w:t>262</w:t>
        <w:tab/>
      </w:r>
      <w:r>
        <w:rPr>
          <w:b/>
          <w:sz w:val="18"/>
        </w:rPr>
        <w:t>260</w:t>
      </w:r>
      <w:r>
        <w:rPr>
          <w:rFonts w:ascii="Times New Roman"/>
          <w:sz w:val="18"/>
        </w:rPr>
        <w:tab/>
      </w:r>
      <w:r>
        <w:rPr>
          <w:sz w:val="18"/>
        </w:rPr>
        <w:t>262</w:t>
      </w:r>
    </w:p>
    <w:p>
      <w:pPr>
        <w:pStyle w:val="ListParagraph"/>
        <w:numPr>
          <w:ilvl w:val="0"/>
          <w:numId w:val="22"/>
        </w:numPr>
        <w:tabs>
          <w:tab w:pos="504" w:val="left" w:leader="none"/>
        </w:tabs>
        <w:spacing w:line="240" w:lineRule="auto" w:before="335" w:after="0"/>
        <w:ind w:left="504" w:right="0" w:hanging="394"/>
        <w:jc w:val="left"/>
        <w:rPr>
          <w:b/>
          <w:sz w:val="18"/>
        </w:rPr>
      </w:pPr>
      <w:r>
        <w:rPr>
          <w:b/>
          <w:sz w:val="18"/>
        </w:rPr>
        <w:t>Consultancy and</w:t>
      </w:r>
      <w:r>
        <w:rPr>
          <w:b/>
          <w:spacing w:val="-10"/>
          <w:sz w:val="18"/>
        </w:rPr>
        <w:t> </w:t>
      </w:r>
      <w:r>
        <w:rPr>
          <w:b/>
          <w:sz w:val="18"/>
        </w:rPr>
        <w:t>contracts</w:t>
      </w:r>
    </w:p>
    <w:p>
      <w:pPr>
        <w:tabs>
          <w:tab w:pos="8375" w:val="left" w:leader="none"/>
        </w:tabs>
        <w:spacing w:before="33" w:after="36"/>
        <w:ind w:left="5340" w:right="220" w:firstLine="0"/>
        <w:jc w:val="left"/>
        <w:rPr>
          <w:b/>
          <w:sz w:val="18"/>
        </w:rPr>
      </w:pPr>
      <w:r>
        <w:rPr>
          <w:b/>
          <w:sz w:val="18"/>
        </w:rPr>
        <w:t>Consolidated</w:t>
        <w:tab/>
        <w:t>Parent</w:t>
      </w:r>
    </w:p>
    <w:tbl>
      <w:tblPr>
        <w:tblW w:w="0" w:type="auto"/>
        <w:jc w:val="left"/>
        <w:tblInd w:w="5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81"/>
        <w:gridCol w:w="1635"/>
        <w:gridCol w:w="1387"/>
        <w:gridCol w:w="1373"/>
        <w:gridCol w:w="1125"/>
      </w:tblGrid>
      <w:tr>
        <w:trPr>
          <w:trHeight w:val="819" w:hRule="exact"/>
        </w:trPr>
        <w:tc>
          <w:tcPr>
            <w:tcW w:w="3981" w:type="dxa"/>
          </w:tcPr>
          <w:p>
            <w:pPr>
              <w:pStyle w:val="TableParagraph"/>
              <w:spacing w:before="575"/>
              <w:ind w:left="35" w:right="750"/>
              <w:rPr>
                <w:sz w:val="18"/>
              </w:rPr>
            </w:pPr>
            <w:r>
              <w:rPr>
                <w:sz w:val="18"/>
              </w:rPr>
              <w:t>Consultancy</w:t>
            </w:r>
          </w:p>
        </w:tc>
        <w:tc>
          <w:tcPr>
            <w:tcW w:w="1635" w:type="dxa"/>
          </w:tcPr>
          <w:p>
            <w:pPr>
              <w:pStyle w:val="TableParagraph"/>
              <w:spacing w:before="30"/>
              <w:ind w:left="595" w:right="556"/>
              <w:jc w:val="center"/>
              <w:rPr>
                <w:b/>
                <w:sz w:val="18"/>
              </w:rPr>
            </w:pPr>
            <w:r>
              <w:rPr>
                <w:b/>
                <w:sz w:val="18"/>
              </w:rPr>
              <w:t>2017</w:t>
            </w:r>
          </w:p>
          <w:p>
            <w:pPr>
              <w:pStyle w:val="TableParagraph"/>
              <w:spacing w:before="66"/>
              <w:ind w:left="595" w:right="556"/>
              <w:jc w:val="center"/>
              <w:rPr>
                <w:b/>
                <w:sz w:val="18"/>
              </w:rPr>
            </w:pPr>
            <w:r>
              <w:rPr>
                <w:b/>
                <w:sz w:val="18"/>
              </w:rPr>
              <w:t>$'000</w:t>
            </w:r>
          </w:p>
          <w:p>
            <w:pPr>
              <w:pStyle w:val="TableParagraph"/>
              <w:spacing w:before="62"/>
              <w:ind w:left="921"/>
              <w:rPr>
                <w:b/>
                <w:sz w:val="18"/>
              </w:rPr>
            </w:pPr>
            <w:r>
              <w:rPr>
                <w:b/>
                <w:sz w:val="18"/>
              </w:rPr>
              <w:t>2,881</w:t>
            </w:r>
          </w:p>
        </w:tc>
        <w:tc>
          <w:tcPr>
            <w:tcW w:w="1387" w:type="dxa"/>
          </w:tcPr>
          <w:p>
            <w:pPr>
              <w:pStyle w:val="TableParagraph"/>
              <w:spacing w:before="30"/>
              <w:ind w:left="282"/>
              <w:rPr>
                <w:b/>
                <w:sz w:val="18"/>
              </w:rPr>
            </w:pPr>
            <w:r>
              <w:rPr>
                <w:b/>
                <w:sz w:val="18"/>
              </w:rPr>
              <w:t>2016</w:t>
            </w:r>
          </w:p>
          <w:p>
            <w:pPr>
              <w:pStyle w:val="TableParagraph"/>
              <w:spacing w:before="66"/>
              <w:ind w:left="260"/>
              <w:rPr>
                <w:b/>
                <w:sz w:val="18"/>
              </w:rPr>
            </w:pPr>
            <w:r>
              <w:rPr>
                <w:b/>
                <w:sz w:val="18"/>
              </w:rPr>
              <w:t>$'000</w:t>
            </w:r>
          </w:p>
          <w:p>
            <w:pPr>
              <w:pStyle w:val="TableParagraph"/>
              <w:spacing w:before="62"/>
              <w:ind w:left="582"/>
              <w:rPr>
                <w:sz w:val="18"/>
              </w:rPr>
            </w:pPr>
            <w:r>
              <w:rPr>
                <w:sz w:val="18"/>
              </w:rPr>
              <w:t>4,230</w:t>
            </w:r>
          </w:p>
        </w:tc>
        <w:tc>
          <w:tcPr>
            <w:tcW w:w="1373" w:type="dxa"/>
          </w:tcPr>
          <w:p>
            <w:pPr>
              <w:pStyle w:val="TableParagraph"/>
              <w:spacing w:before="30"/>
              <w:ind w:left="373"/>
              <w:rPr>
                <w:b/>
                <w:sz w:val="18"/>
              </w:rPr>
            </w:pPr>
            <w:r>
              <w:rPr>
                <w:b/>
                <w:sz w:val="18"/>
              </w:rPr>
              <w:t>2017</w:t>
            </w:r>
          </w:p>
          <w:p>
            <w:pPr>
              <w:pStyle w:val="TableParagraph"/>
              <w:spacing w:before="66"/>
              <w:ind w:left="351"/>
              <w:rPr>
                <w:b/>
                <w:sz w:val="18"/>
              </w:rPr>
            </w:pPr>
            <w:r>
              <w:rPr>
                <w:b/>
                <w:sz w:val="18"/>
              </w:rPr>
              <w:t>$'000</w:t>
            </w:r>
          </w:p>
          <w:p>
            <w:pPr>
              <w:pStyle w:val="TableParagraph"/>
              <w:spacing w:before="62"/>
              <w:ind w:left="658"/>
              <w:rPr>
                <w:b/>
                <w:sz w:val="18"/>
              </w:rPr>
            </w:pPr>
            <w:r>
              <w:rPr>
                <w:b/>
                <w:sz w:val="18"/>
              </w:rPr>
              <w:t>2,875</w:t>
            </w:r>
          </w:p>
        </w:tc>
        <w:tc>
          <w:tcPr>
            <w:tcW w:w="1125" w:type="dxa"/>
          </w:tcPr>
          <w:p>
            <w:pPr>
              <w:pStyle w:val="TableParagraph"/>
              <w:spacing w:before="30"/>
              <w:ind w:left="282"/>
              <w:rPr>
                <w:b/>
                <w:sz w:val="18"/>
              </w:rPr>
            </w:pPr>
            <w:r>
              <w:rPr>
                <w:b/>
                <w:sz w:val="18"/>
              </w:rPr>
              <w:t>2016</w:t>
            </w:r>
          </w:p>
          <w:p>
            <w:pPr>
              <w:pStyle w:val="TableParagraph"/>
              <w:spacing w:before="66"/>
              <w:ind w:left="260"/>
              <w:rPr>
                <w:b/>
                <w:sz w:val="18"/>
              </w:rPr>
            </w:pPr>
            <w:r>
              <w:rPr>
                <w:b/>
                <w:sz w:val="18"/>
              </w:rPr>
              <w:t>$'000</w:t>
            </w:r>
          </w:p>
          <w:p>
            <w:pPr>
              <w:pStyle w:val="TableParagraph"/>
              <w:spacing w:before="62"/>
              <w:ind w:left="582"/>
              <w:rPr>
                <w:sz w:val="18"/>
              </w:rPr>
            </w:pPr>
            <w:r>
              <w:rPr>
                <w:sz w:val="18"/>
              </w:rPr>
              <w:t>4,226</w:t>
            </w:r>
          </w:p>
        </w:tc>
      </w:tr>
      <w:tr>
        <w:trPr>
          <w:trHeight w:val="260" w:hRule="exact"/>
        </w:trPr>
        <w:tc>
          <w:tcPr>
            <w:tcW w:w="3981" w:type="dxa"/>
          </w:tcPr>
          <w:p>
            <w:pPr>
              <w:pStyle w:val="TableParagraph"/>
              <w:spacing w:before="20"/>
              <w:ind w:left="35" w:right="750"/>
              <w:rPr>
                <w:sz w:val="18"/>
              </w:rPr>
            </w:pPr>
            <w:r>
              <w:rPr>
                <w:sz w:val="18"/>
              </w:rPr>
              <w:t>Contract research</w:t>
            </w:r>
          </w:p>
        </w:tc>
        <w:tc>
          <w:tcPr>
            <w:tcW w:w="1635" w:type="dxa"/>
            <w:tcBorders>
              <w:bottom w:val="single" w:sz="1" w:space="0" w:color="000000"/>
            </w:tcBorders>
          </w:tcPr>
          <w:p>
            <w:pPr>
              <w:pStyle w:val="TableParagraph"/>
              <w:spacing w:before="18"/>
              <w:ind w:right="258"/>
              <w:jc w:val="right"/>
              <w:rPr>
                <w:b/>
                <w:sz w:val="18"/>
              </w:rPr>
            </w:pPr>
            <w:r>
              <w:rPr>
                <w:b/>
                <w:w w:val="95"/>
                <w:sz w:val="18"/>
              </w:rPr>
              <w:t>20,193</w:t>
            </w:r>
          </w:p>
        </w:tc>
        <w:tc>
          <w:tcPr>
            <w:tcW w:w="1387" w:type="dxa"/>
            <w:tcBorders>
              <w:bottom w:val="single" w:sz="1" w:space="0" w:color="000000"/>
            </w:tcBorders>
          </w:tcPr>
          <w:p>
            <w:pPr>
              <w:pStyle w:val="TableParagraph"/>
              <w:spacing w:before="18"/>
              <w:ind w:right="349"/>
              <w:jc w:val="right"/>
              <w:rPr>
                <w:sz w:val="18"/>
              </w:rPr>
            </w:pPr>
            <w:r>
              <w:rPr>
                <w:w w:val="95"/>
                <w:sz w:val="18"/>
              </w:rPr>
              <w:t>13,697</w:t>
            </w:r>
          </w:p>
        </w:tc>
        <w:tc>
          <w:tcPr>
            <w:tcW w:w="1373" w:type="dxa"/>
            <w:tcBorders>
              <w:bottom w:val="single" w:sz="1" w:space="0" w:color="000000"/>
            </w:tcBorders>
          </w:tcPr>
          <w:p>
            <w:pPr>
              <w:pStyle w:val="TableParagraph"/>
              <w:spacing w:before="18"/>
              <w:ind w:right="258"/>
              <w:jc w:val="right"/>
              <w:rPr>
                <w:b/>
                <w:sz w:val="18"/>
              </w:rPr>
            </w:pPr>
            <w:r>
              <w:rPr>
                <w:b/>
                <w:w w:val="95"/>
                <w:sz w:val="18"/>
              </w:rPr>
              <w:t>20,193</w:t>
            </w:r>
          </w:p>
        </w:tc>
        <w:tc>
          <w:tcPr>
            <w:tcW w:w="1125" w:type="dxa"/>
            <w:tcBorders>
              <w:bottom w:val="single" w:sz="1" w:space="0" w:color="000000"/>
            </w:tcBorders>
          </w:tcPr>
          <w:p>
            <w:pPr>
              <w:pStyle w:val="TableParagraph"/>
              <w:spacing w:before="18"/>
              <w:ind w:right="87"/>
              <w:jc w:val="right"/>
              <w:rPr>
                <w:sz w:val="18"/>
              </w:rPr>
            </w:pPr>
            <w:r>
              <w:rPr>
                <w:w w:val="95"/>
                <w:sz w:val="18"/>
              </w:rPr>
              <w:t>13,697</w:t>
            </w:r>
          </w:p>
        </w:tc>
      </w:tr>
      <w:tr>
        <w:trPr>
          <w:trHeight w:val="353" w:hRule="exact"/>
        </w:trPr>
        <w:tc>
          <w:tcPr>
            <w:tcW w:w="3981" w:type="dxa"/>
          </w:tcPr>
          <w:p>
            <w:pPr>
              <w:pStyle w:val="TableParagraph"/>
              <w:spacing w:before="125"/>
              <w:ind w:left="35" w:right="750"/>
              <w:rPr>
                <w:b/>
                <w:sz w:val="18"/>
              </w:rPr>
            </w:pPr>
            <w:r>
              <w:rPr>
                <w:b/>
                <w:sz w:val="18"/>
              </w:rPr>
              <w:t>Total consultancy and contracts</w:t>
            </w:r>
          </w:p>
        </w:tc>
        <w:tc>
          <w:tcPr>
            <w:tcW w:w="1635" w:type="dxa"/>
            <w:tcBorders>
              <w:top w:val="single" w:sz="1" w:space="0" w:color="000000"/>
              <w:bottom w:val="single" w:sz="1" w:space="0" w:color="000000"/>
            </w:tcBorders>
          </w:tcPr>
          <w:p>
            <w:pPr>
              <w:pStyle w:val="TableParagraph"/>
              <w:spacing w:before="95"/>
              <w:ind w:right="258"/>
              <w:jc w:val="right"/>
              <w:rPr>
                <w:b/>
                <w:sz w:val="18"/>
              </w:rPr>
            </w:pPr>
            <w:r>
              <w:rPr>
                <w:b/>
                <w:w w:val="95"/>
                <w:sz w:val="18"/>
              </w:rPr>
              <w:t>23,074</w:t>
            </w:r>
          </w:p>
        </w:tc>
        <w:tc>
          <w:tcPr>
            <w:tcW w:w="1387" w:type="dxa"/>
            <w:tcBorders>
              <w:top w:val="single" w:sz="1" w:space="0" w:color="000000"/>
              <w:bottom w:val="single" w:sz="1" w:space="0" w:color="000000"/>
            </w:tcBorders>
          </w:tcPr>
          <w:p>
            <w:pPr>
              <w:pStyle w:val="TableParagraph"/>
              <w:spacing w:before="95"/>
              <w:ind w:right="349"/>
              <w:jc w:val="right"/>
              <w:rPr>
                <w:sz w:val="18"/>
              </w:rPr>
            </w:pPr>
            <w:r>
              <w:rPr>
                <w:w w:val="95"/>
                <w:sz w:val="18"/>
              </w:rPr>
              <w:t>17,927</w:t>
            </w:r>
          </w:p>
        </w:tc>
        <w:tc>
          <w:tcPr>
            <w:tcW w:w="1373" w:type="dxa"/>
            <w:tcBorders>
              <w:top w:val="single" w:sz="1" w:space="0" w:color="000000"/>
              <w:bottom w:val="single" w:sz="1" w:space="0" w:color="000000"/>
            </w:tcBorders>
          </w:tcPr>
          <w:p>
            <w:pPr>
              <w:pStyle w:val="TableParagraph"/>
              <w:spacing w:before="95"/>
              <w:ind w:right="258"/>
              <w:jc w:val="right"/>
              <w:rPr>
                <w:b/>
                <w:sz w:val="18"/>
              </w:rPr>
            </w:pPr>
            <w:r>
              <w:rPr>
                <w:b/>
                <w:w w:val="95"/>
                <w:sz w:val="18"/>
              </w:rPr>
              <w:t>23,068</w:t>
            </w:r>
          </w:p>
        </w:tc>
        <w:tc>
          <w:tcPr>
            <w:tcW w:w="1125" w:type="dxa"/>
            <w:tcBorders>
              <w:top w:val="single" w:sz="1" w:space="0" w:color="000000"/>
              <w:bottom w:val="single" w:sz="1" w:space="0" w:color="000000"/>
            </w:tcBorders>
          </w:tcPr>
          <w:p>
            <w:pPr>
              <w:pStyle w:val="TableParagraph"/>
              <w:spacing w:before="95"/>
              <w:ind w:right="87"/>
              <w:jc w:val="right"/>
              <w:rPr>
                <w:sz w:val="18"/>
              </w:rPr>
            </w:pPr>
            <w:r>
              <w:rPr>
                <w:w w:val="95"/>
                <w:sz w:val="18"/>
              </w:rPr>
              <w:t>17,923</w:t>
            </w:r>
          </w:p>
        </w:tc>
      </w:tr>
    </w:tbl>
    <w:p>
      <w:pPr>
        <w:spacing w:after="0"/>
        <w:jc w:val="right"/>
        <w:rPr>
          <w:sz w:val="18"/>
        </w:rPr>
        <w:sectPr>
          <w:type w:val="continuous"/>
          <w:pgSz w:w="11910" w:h="16840"/>
          <w:pgMar w:top="1580" w:bottom="280" w:left="900" w:right="880"/>
        </w:sectPr>
      </w:pPr>
    </w:p>
    <w:p>
      <w:pPr>
        <w:pStyle w:val="BodyText"/>
        <w:rPr>
          <w:b/>
          <w:sz w:val="20"/>
        </w:rPr>
      </w:pPr>
    </w:p>
    <w:p>
      <w:pPr>
        <w:pStyle w:val="BodyText"/>
        <w:rPr>
          <w:b/>
          <w:sz w:val="20"/>
        </w:rPr>
      </w:pPr>
    </w:p>
    <w:p>
      <w:pPr>
        <w:pStyle w:val="BodyText"/>
        <w:spacing w:before="5"/>
        <w:rPr>
          <w:b/>
        </w:rPr>
      </w:pPr>
    </w:p>
    <w:p>
      <w:pPr>
        <w:pStyle w:val="ListParagraph"/>
        <w:numPr>
          <w:ilvl w:val="0"/>
          <w:numId w:val="22"/>
        </w:numPr>
        <w:tabs>
          <w:tab w:pos="544" w:val="left" w:leader="none"/>
        </w:tabs>
        <w:spacing w:line="240" w:lineRule="auto" w:before="0" w:after="0"/>
        <w:ind w:left="544" w:right="0" w:hanging="394"/>
        <w:jc w:val="left"/>
        <w:rPr>
          <w:b/>
          <w:sz w:val="18"/>
        </w:rPr>
      </w:pPr>
      <w:bookmarkStart w:name="8 Investments accounted for using the eq" w:id="72"/>
      <w:bookmarkEnd w:id="72"/>
      <w:r>
        <w:rPr/>
      </w:r>
      <w:bookmarkStart w:name="(a) Restrictions" w:id="73"/>
      <w:bookmarkEnd w:id="73"/>
      <w:r>
        <w:rPr/>
      </w:r>
      <w:bookmarkStart w:name="(b) Individually immaterial joint ventur" w:id="74"/>
      <w:bookmarkEnd w:id="74"/>
      <w:r>
        <w:rPr/>
      </w:r>
      <w:bookmarkStart w:name="(b) Individually immaterial joint ventur" w:id="75"/>
      <w:bookmarkEnd w:id="75"/>
      <w:r>
        <w:rPr>
          <w:b/>
          <w:sz w:val="18"/>
        </w:rPr>
        <w:t>Investments</w:t>
      </w:r>
      <w:r>
        <w:rPr>
          <w:b/>
          <w:sz w:val="18"/>
        </w:rPr>
        <w:t> accounted for using the equity</w:t>
      </w:r>
      <w:r>
        <w:rPr>
          <w:b/>
          <w:spacing w:val="-8"/>
          <w:sz w:val="18"/>
        </w:rPr>
        <w:t> </w:t>
      </w:r>
      <w:r>
        <w:rPr>
          <w:b/>
          <w:sz w:val="18"/>
        </w:rPr>
        <w:t>method</w:t>
      </w:r>
    </w:p>
    <w:p>
      <w:pPr>
        <w:pStyle w:val="BodyText"/>
        <w:spacing w:before="7"/>
        <w:rPr>
          <w:b/>
          <w:sz w:val="26"/>
        </w:rPr>
      </w:pPr>
    </w:p>
    <w:p>
      <w:pPr>
        <w:pStyle w:val="ListParagraph"/>
        <w:numPr>
          <w:ilvl w:val="1"/>
          <w:numId w:val="22"/>
        </w:numPr>
        <w:tabs>
          <w:tab w:pos="1111" w:val="left" w:leader="none"/>
        </w:tabs>
        <w:spacing w:line="240" w:lineRule="auto" w:before="0" w:after="0"/>
        <w:ind w:left="1110" w:right="0" w:hanging="566"/>
        <w:jc w:val="left"/>
        <w:rPr>
          <w:sz w:val="18"/>
        </w:rPr>
      </w:pPr>
      <w:r>
        <w:rPr>
          <w:sz w:val="18"/>
        </w:rPr>
        <w:t>Restrictions</w:t>
      </w:r>
    </w:p>
    <w:p>
      <w:pPr>
        <w:pStyle w:val="BodyText"/>
        <w:spacing w:before="4"/>
        <w:rPr>
          <w:sz w:val="25"/>
        </w:rPr>
      </w:pPr>
    </w:p>
    <w:p>
      <w:pPr>
        <w:pStyle w:val="BodyText"/>
        <w:ind w:left="1110" w:right="105"/>
      </w:pPr>
      <w:r>
        <w:rPr/>
        <w:t>The Group has nil restrictions from the joint venture with Navitas Ltd.</w:t>
      </w:r>
    </w:p>
    <w:p>
      <w:pPr>
        <w:pStyle w:val="BodyText"/>
        <w:spacing w:before="7"/>
        <w:rPr>
          <w:sz w:val="26"/>
        </w:rPr>
      </w:pPr>
    </w:p>
    <w:p>
      <w:pPr>
        <w:pStyle w:val="ListParagraph"/>
        <w:numPr>
          <w:ilvl w:val="1"/>
          <w:numId w:val="22"/>
        </w:numPr>
        <w:tabs>
          <w:tab w:pos="1111" w:val="left" w:leader="none"/>
        </w:tabs>
        <w:spacing w:line="240" w:lineRule="auto" w:before="0" w:after="0"/>
        <w:ind w:left="1110" w:right="0" w:hanging="566"/>
        <w:jc w:val="left"/>
        <w:rPr>
          <w:sz w:val="18"/>
        </w:rPr>
      </w:pPr>
      <w:r>
        <w:rPr>
          <w:sz w:val="18"/>
        </w:rPr>
        <w:t>Individually immaterial joint venture or</w:t>
      </w:r>
      <w:r>
        <w:rPr>
          <w:spacing w:val="4"/>
          <w:sz w:val="18"/>
        </w:rPr>
        <w:t> </w:t>
      </w:r>
      <w:r>
        <w:rPr>
          <w:sz w:val="18"/>
        </w:rPr>
        <w:t>associate</w:t>
      </w:r>
    </w:p>
    <w:p>
      <w:pPr>
        <w:pStyle w:val="BodyText"/>
        <w:spacing w:before="4"/>
        <w:rPr>
          <w:sz w:val="25"/>
        </w:rPr>
      </w:pPr>
    </w:p>
    <w:p>
      <w:pPr>
        <w:pStyle w:val="BodyText"/>
        <w:ind w:left="1110" w:right="105"/>
      </w:pPr>
      <w:r>
        <w:rPr/>
        <w:t>Aggregate carrying amount of interests in joint ventures and associates accounted for using the equity method that is not individually material in the consolidated financial statements:</w:t>
      </w:r>
    </w:p>
    <w:p>
      <w:pPr>
        <w:pStyle w:val="Heading9"/>
        <w:spacing w:line="316" w:lineRule="auto" w:before="33"/>
        <w:ind w:left="8161" w:right="738" w:firstLine="55"/>
      </w:pPr>
      <w:r>
        <w:rPr/>
        <w:pict>
          <v:shape style="position:absolute;margin-left:99.050003pt;margin-top:27.479084pt;width:447.1pt;height:84.95pt;mso-position-horizontal-relative:page;mso-position-vertical-relative:paragraph;z-index:138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49"/>
                    <w:gridCol w:w="1505"/>
                    <w:gridCol w:w="1087"/>
                  </w:tblGrid>
                  <w:tr>
                    <w:trPr>
                      <w:trHeight w:val="819" w:hRule="exact"/>
                    </w:trPr>
                    <w:tc>
                      <w:tcPr>
                        <w:tcW w:w="6349" w:type="dxa"/>
                      </w:tcPr>
                      <w:p>
                        <w:pPr>
                          <w:pStyle w:val="TableParagraph"/>
                          <w:rPr>
                            <w:sz w:val="18"/>
                          </w:rPr>
                        </w:pPr>
                      </w:p>
                      <w:p>
                        <w:pPr>
                          <w:pStyle w:val="TableParagraph"/>
                          <w:rPr>
                            <w:sz w:val="18"/>
                          </w:rPr>
                        </w:pPr>
                      </w:p>
                      <w:p>
                        <w:pPr>
                          <w:pStyle w:val="TableParagraph"/>
                          <w:spacing w:before="161"/>
                          <w:ind w:left="35"/>
                          <w:rPr>
                            <w:sz w:val="18"/>
                          </w:rPr>
                        </w:pPr>
                        <w:r>
                          <w:rPr>
                            <w:sz w:val="18"/>
                          </w:rPr>
                          <w:t>Profit/(loss) from continuing operations</w:t>
                        </w:r>
                      </w:p>
                    </w:tc>
                    <w:tc>
                      <w:tcPr>
                        <w:tcW w:w="1505" w:type="dxa"/>
                      </w:tcPr>
                      <w:p>
                        <w:pPr>
                          <w:pStyle w:val="TableParagraph"/>
                          <w:spacing w:before="30"/>
                          <w:ind w:left="468"/>
                          <w:rPr>
                            <w:b/>
                            <w:sz w:val="18"/>
                          </w:rPr>
                        </w:pPr>
                        <w:r>
                          <w:rPr>
                            <w:b/>
                            <w:sz w:val="18"/>
                          </w:rPr>
                          <w:t>2017</w:t>
                        </w:r>
                      </w:p>
                      <w:p>
                        <w:pPr>
                          <w:pStyle w:val="TableParagraph"/>
                          <w:spacing w:before="66"/>
                          <w:ind w:left="446"/>
                          <w:rPr>
                            <w:b/>
                            <w:sz w:val="18"/>
                          </w:rPr>
                        </w:pPr>
                        <w:r>
                          <w:rPr>
                            <w:b/>
                            <w:sz w:val="18"/>
                          </w:rPr>
                          <w:t>$'000</w:t>
                        </w:r>
                      </w:p>
                      <w:p>
                        <w:pPr>
                          <w:pStyle w:val="TableParagraph"/>
                          <w:spacing w:before="62"/>
                          <w:ind w:left="844"/>
                          <w:rPr>
                            <w:b/>
                            <w:sz w:val="18"/>
                          </w:rPr>
                        </w:pPr>
                        <w:r>
                          <w:rPr>
                            <w:b/>
                            <w:sz w:val="18"/>
                          </w:rPr>
                          <w:t>(834)</w:t>
                        </w:r>
                      </w:p>
                    </w:tc>
                    <w:tc>
                      <w:tcPr>
                        <w:tcW w:w="1087" w:type="dxa"/>
                      </w:tcPr>
                      <w:p>
                        <w:pPr>
                          <w:pStyle w:val="TableParagraph"/>
                          <w:spacing w:before="30"/>
                          <w:ind w:left="259"/>
                          <w:rPr>
                            <w:b/>
                            <w:sz w:val="18"/>
                          </w:rPr>
                        </w:pPr>
                        <w:r>
                          <w:rPr>
                            <w:b/>
                            <w:sz w:val="18"/>
                          </w:rPr>
                          <w:t>2016</w:t>
                        </w:r>
                      </w:p>
                      <w:p>
                        <w:pPr>
                          <w:pStyle w:val="TableParagraph"/>
                          <w:spacing w:before="66"/>
                          <w:ind w:left="237"/>
                          <w:rPr>
                            <w:b/>
                            <w:sz w:val="18"/>
                          </w:rPr>
                        </w:pPr>
                        <w:r>
                          <w:rPr>
                            <w:b/>
                            <w:sz w:val="18"/>
                          </w:rPr>
                          <w:t>$'000</w:t>
                        </w:r>
                      </w:p>
                      <w:p>
                        <w:pPr>
                          <w:pStyle w:val="TableParagraph"/>
                          <w:spacing w:before="62"/>
                          <w:ind w:left="484"/>
                          <w:rPr>
                            <w:sz w:val="18"/>
                          </w:rPr>
                        </w:pPr>
                        <w:r>
                          <w:rPr>
                            <w:sz w:val="18"/>
                          </w:rPr>
                          <w:t>(1,052)</w:t>
                        </w:r>
                      </w:p>
                    </w:tc>
                  </w:tr>
                  <w:tr>
                    <w:trPr>
                      <w:trHeight w:val="264" w:hRule="exact"/>
                    </w:trPr>
                    <w:tc>
                      <w:tcPr>
                        <w:tcW w:w="6349" w:type="dxa"/>
                      </w:tcPr>
                      <w:p>
                        <w:pPr>
                          <w:pStyle w:val="TableParagraph"/>
                          <w:spacing w:before="20"/>
                          <w:ind w:left="35"/>
                          <w:rPr>
                            <w:sz w:val="18"/>
                          </w:rPr>
                        </w:pPr>
                        <w:r>
                          <w:rPr>
                            <w:sz w:val="18"/>
                          </w:rPr>
                          <w:t>Profit/(loss) from continuing operations after income tax</w:t>
                        </w:r>
                      </w:p>
                    </w:tc>
                    <w:tc>
                      <w:tcPr>
                        <w:tcW w:w="1505" w:type="dxa"/>
                      </w:tcPr>
                      <w:p>
                        <w:pPr>
                          <w:pStyle w:val="TableParagraph"/>
                          <w:spacing w:before="18"/>
                          <w:ind w:right="235"/>
                          <w:jc w:val="right"/>
                          <w:rPr>
                            <w:b/>
                            <w:sz w:val="18"/>
                          </w:rPr>
                        </w:pPr>
                        <w:r>
                          <w:rPr>
                            <w:b/>
                            <w:w w:val="95"/>
                            <w:sz w:val="18"/>
                          </w:rPr>
                          <w:t>(834)</w:t>
                        </w:r>
                      </w:p>
                    </w:tc>
                    <w:tc>
                      <w:tcPr>
                        <w:tcW w:w="1087" w:type="dxa"/>
                      </w:tcPr>
                      <w:p>
                        <w:pPr>
                          <w:pStyle w:val="TableParagraph"/>
                          <w:spacing w:before="18"/>
                          <w:ind w:right="26"/>
                          <w:jc w:val="right"/>
                          <w:rPr>
                            <w:sz w:val="18"/>
                          </w:rPr>
                        </w:pPr>
                        <w:r>
                          <w:rPr>
                            <w:w w:val="95"/>
                            <w:sz w:val="18"/>
                          </w:rPr>
                          <w:t>(1,052)</w:t>
                        </w:r>
                      </w:p>
                    </w:tc>
                  </w:tr>
                  <w:tr>
                    <w:trPr>
                      <w:trHeight w:val="260" w:hRule="exact"/>
                    </w:trPr>
                    <w:tc>
                      <w:tcPr>
                        <w:tcW w:w="6349" w:type="dxa"/>
                      </w:tcPr>
                      <w:p>
                        <w:pPr>
                          <w:pStyle w:val="TableParagraph"/>
                          <w:spacing w:before="20"/>
                          <w:ind w:left="35"/>
                          <w:rPr>
                            <w:sz w:val="18"/>
                          </w:rPr>
                        </w:pPr>
                        <w:r>
                          <w:rPr>
                            <w:sz w:val="18"/>
                          </w:rPr>
                          <w:t>Other comprehensive income</w:t>
                        </w:r>
                      </w:p>
                    </w:tc>
                    <w:tc>
                      <w:tcPr>
                        <w:tcW w:w="1505" w:type="dxa"/>
                        <w:tcBorders>
                          <w:bottom w:val="single" w:sz="1" w:space="0" w:color="000000"/>
                        </w:tcBorders>
                      </w:tcPr>
                      <w:p>
                        <w:pPr>
                          <w:pStyle w:val="TableParagraph"/>
                          <w:spacing w:before="18"/>
                          <w:ind w:right="295"/>
                          <w:jc w:val="right"/>
                          <w:rPr>
                            <w:b/>
                            <w:sz w:val="18"/>
                          </w:rPr>
                        </w:pPr>
                        <w:r>
                          <w:rPr>
                            <w:b/>
                            <w:w w:val="99"/>
                            <w:sz w:val="18"/>
                          </w:rPr>
                          <w:t>-</w:t>
                        </w:r>
                      </w:p>
                    </w:tc>
                    <w:tc>
                      <w:tcPr>
                        <w:tcW w:w="1087" w:type="dxa"/>
                        <w:tcBorders>
                          <w:bottom w:val="single" w:sz="1" w:space="0" w:color="000000"/>
                        </w:tcBorders>
                      </w:tcPr>
                      <w:p>
                        <w:pPr>
                          <w:pStyle w:val="TableParagraph"/>
                          <w:spacing w:before="18"/>
                          <w:ind w:right="86"/>
                          <w:jc w:val="right"/>
                          <w:rPr>
                            <w:sz w:val="18"/>
                          </w:rPr>
                        </w:pPr>
                        <w:r>
                          <w:rPr>
                            <w:w w:val="99"/>
                            <w:sz w:val="18"/>
                          </w:rPr>
                          <w:t>-</w:t>
                        </w:r>
                      </w:p>
                    </w:tc>
                  </w:tr>
                  <w:tr>
                    <w:trPr>
                      <w:trHeight w:val="353" w:hRule="exact"/>
                    </w:trPr>
                    <w:tc>
                      <w:tcPr>
                        <w:tcW w:w="6349" w:type="dxa"/>
                      </w:tcPr>
                      <w:p>
                        <w:pPr>
                          <w:pStyle w:val="TableParagraph"/>
                          <w:spacing w:before="125"/>
                          <w:ind w:left="35"/>
                          <w:rPr>
                            <w:b/>
                            <w:sz w:val="18"/>
                          </w:rPr>
                        </w:pPr>
                        <w:r>
                          <w:rPr>
                            <w:b/>
                            <w:sz w:val="18"/>
                          </w:rPr>
                          <w:t>Total comprehensive income</w:t>
                        </w:r>
                      </w:p>
                    </w:tc>
                    <w:tc>
                      <w:tcPr>
                        <w:tcW w:w="1505" w:type="dxa"/>
                        <w:tcBorders>
                          <w:top w:val="single" w:sz="1" w:space="0" w:color="000000"/>
                          <w:bottom w:val="single" w:sz="1" w:space="0" w:color="000000"/>
                        </w:tcBorders>
                      </w:tcPr>
                      <w:p>
                        <w:pPr>
                          <w:pStyle w:val="TableParagraph"/>
                          <w:spacing w:before="124"/>
                          <w:ind w:right="235"/>
                          <w:jc w:val="right"/>
                          <w:rPr>
                            <w:b/>
                            <w:sz w:val="18"/>
                          </w:rPr>
                        </w:pPr>
                        <w:r>
                          <w:rPr>
                            <w:b/>
                            <w:w w:val="95"/>
                            <w:sz w:val="18"/>
                          </w:rPr>
                          <w:t>(834)</w:t>
                        </w:r>
                      </w:p>
                    </w:tc>
                    <w:tc>
                      <w:tcPr>
                        <w:tcW w:w="1087" w:type="dxa"/>
                        <w:tcBorders>
                          <w:top w:val="single" w:sz="1" w:space="0" w:color="000000"/>
                          <w:bottom w:val="single" w:sz="1" w:space="0" w:color="000000"/>
                        </w:tcBorders>
                      </w:tcPr>
                      <w:p>
                        <w:pPr>
                          <w:pStyle w:val="TableParagraph"/>
                          <w:spacing w:before="124"/>
                          <w:ind w:right="26"/>
                          <w:jc w:val="right"/>
                          <w:rPr>
                            <w:sz w:val="18"/>
                          </w:rPr>
                        </w:pPr>
                        <w:r>
                          <w:rPr>
                            <w:w w:val="95"/>
                            <w:sz w:val="18"/>
                          </w:rPr>
                          <w:t>(1,052)</w:t>
                        </w:r>
                      </w:p>
                    </w:tc>
                  </w:tr>
                </w:tbl>
                <w:p>
                  <w:pPr>
                    <w:pStyle w:val="BodyText"/>
                  </w:pPr>
                </w:p>
              </w:txbxContent>
            </v:textbox>
            <w10:wrap type="none"/>
          </v:shape>
        </w:pict>
      </w:r>
      <w:r>
        <w:rPr/>
        <w:t>Consolidated Joint Ventures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5"/>
        </w:rPr>
      </w:pPr>
    </w:p>
    <w:p>
      <w:pPr>
        <w:pStyle w:val="BodyText"/>
        <w:spacing w:before="78"/>
        <w:ind w:left="1110" w:right="105"/>
      </w:pPr>
      <w:bookmarkStart w:name="9 Other revenue and income  " w:id="76"/>
      <w:bookmarkEnd w:id="76"/>
      <w:r>
        <w:rPr/>
      </w:r>
      <w:r>
        <w:rPr/>
        <w:t>Contingent liabilities arising from the Group's interests in associates and joint arrangements, and capital commitments arising from the Group's interests in joint arrangements are disclosed in notes 32 and 33 respectively.</w:t>
      </w:r>
    </w:p>
    <w:p>
      <w:pPr>
        <w:pStyle w:val="BodyText"/>
        <w:spacing w:before="3"/>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3296"/>
        <w:gridCol w:w="837"/>
        <w:gridCol w:w="1625"/>
        <w:gridCol w:w="1387"/>
        <w:gridCol w:w="1517"/>
        <w:gridCol w:w="991"/>
      </w:tblGrid>
      <w:tr>
        <w:trPr>
          <w:trHeight w:val="567" w:hRule="exact"/>
        </w:trPr>
        <w:tc>
          <w:tcPr>
            <w:tcW w:w="282" w:type="dxa"/>
          </w:tcPr>
          <w:p>
            <w:pPr>
              <w:pStyle w:val="TableParagraph"/>
              <w:spacing w:before="77"/>
              <w:ind w:left="35"/>
              <w:rPr>
                <w:b/>
                <w:sz w:val="18"/>
              </w:rPr>
            </w:pPr>
            <w:r>
              <w:rPr>
                <w:b/>
                <w:w w:val="99"/>
                <w:sz w:val="18"/>
              </w:rPr>
              <w:t>9</w:t>
            </w:r>
          </w:p>
        </w:tc>
        <w:tc>
          <w:tcPr>
            <w:tcW w:w="3296" w:type="dxa"/>
          </w:tcPr>
          <w:p>
            <w:pPr>
              <w:pStyle w:val="TableParagraph"/>
              <w:spacing w:before="77"/>
              <w:ind w:left="146"/>
              <w:rPr>
                <w:b/>
                <w:sz w:val="18"/>
              </w:rPr>
            </w:pPr>
            <w:r>
              <w:rPr>
                <w:b/>
                <w:sz w:val="18"/>
              </w:rPr>
              <w:t>Other revenue and income</w:t>
            </w:r>
          </w:p>
        </w:tc>
        <w:tc>
          <w:tcPr>
            <w:tcW w:w="837" w:type="dxa"/>
          </w:tcPr>
          <w:p>
            <w:pPr/>
          </w:p>
        </w:tc>
        <w:tc>
          <w:tcPr>
            <w:tcW w:w="3012" w:type="dxa"/>
            <w:gridSpan w:val="2"/>
          </w:tcPr>
          <w:p>
            <w:pPr>
              <w:pStyle w:val="TableParagraph"/>
              <w:rPr>
                <w:sz w:val="18"/>
              </w:rPr>
            </w:pPr>
          </w:p>
          <w:p>
            <w:pPr>
              <w:pStyle w:val="TableParagraph"/>
              <w:spacing w:before="110"/>
              <w:ind w:left="823"/>
              <w:rPr>
                <w:b/>
                <w:sz w:val="18"/>
              </w:rPr>
            </w:pPr>
            <w:r>
              <w:rPr>
                <w:b/>
                <w:sz w:val="18"/>
              </w:rPr>
              <w:t>Consolidated</w:t>
            </w:r>
          </w:p>
        </w:tc>
        <w:tc>
          <w:tcPr>
            <w:tcW w:w="1517" w:type="dxa"/>
          </w:tcPr>
          <w:p>
            <w:pPr>
              <w:pStyle w:val="TableParagraph"/>
              <w:rPr>
                <w:sz w:val="18"/>
              </w:rPr>
            </w:pPr>
          </w:p>
          <w:p>
            <w:pPr>
              <w:pStyle w:val="TableParagraph"/>
              <w:spacing w:before="110"/>
              <w:ind w:left="849"/>
              <w:rPr>
                <w:b/>
                <w:sz w:val="18"/>
              </w:rPr>
            </w:pPr>
            <w:r>
              <w:rPr>
                <w:b/>
                <w:sz w:val="18"/>
              </w:rPr>
              <w:t>Parent</w:t>
            </w:r>
          </w:p>
        </w:tc>
        <w:tc>
          <w:tcPr>
            <w:tcW w:w="991" w:type="dxa"/>
          </w:tcPr>
          <w:p>
            <w:pPr/>
          </w:p>
        </w:tc>
      </w:tr>
      <w:tr>
        <w:trPr>
          <w:trHeight w:val="274" w:hRule="exact"/>
        </w:trPr>
        <w:tc>
          <w:tcPr>
            <w:tcW w:w="282" w:type="dxa"/>
          </w:tcPr>
          <w:p>
            <w:pPr/>
          </w:p>
        </w:tc>
        <w:tc>
          <w:tcPr>
            <w:tcW w:w="3296" w:type="dxa"/>
          </w:tcPr>
          <w:p>
            <w:pPr/>
          </w:p>
        </w:tc>
        <w:tc>
          <w:tcPr>
            <w:tcW w:w="837" w:type="dxa"/>
          </w:tcPr>
          <w:p>
            <w:pPr/>
          </w:p>
        </w:tc>
        <w:tc>
          <w:tcPr>
            <w:tcW w:w="1625" w:type="dxa"/>
          </w:tcPr>
          <w:p>
            <w:pPr>
              <w:pStyle w:val="TableParagraph"/>
              <w:spacing w:before="24"/>
              <w:ind w:left="612"/>
              <w:rPr>
                <w:b/>
                <w:sz w:val="18"/>
              </w:rPr>
            </w:pPr>
            <w:r>
              <w:rPr>
                <w:b/>
                <w:sz w:val="18"/>
              </w:rPr>
              <w:t>2017</w:t>
            </w:r>
          </w:p>
        </w:tc>
        <w:tc>
          <w:tcPr>
            <w:tcW w:w="1387" w:type="dxa"/>
          </w:tcPr>
          <w:p>
            <w:pPr>
              <w:pStyle w:val="TableParagraph"/>
              <w:spacing w:before="24"/>
              <w:ind w:left="271"/>
              <w:rPr>
                <w:b/>
                <w:sz w:val="18"/>
              </w:rPr>
            </w:pPr>
            <w:r>
              <w:rPr>
                <w:b/>
                <w:sz w:val="18"/>
              </w:rPr>
              <w:t>2016</w:t>
            </w:r>
          </w:p>
        </w:tc>
        <w:tc>
          <w:tcPr>
            <w:tcW w:w="1517" w:type="dxa"/>
          </w:tcPr>
          <w:p>
            <w:pPr>
              <w:pStyle w:val="TableParagraph"/>
              <w:spacing w:before="24"/>
              <w:ind w:left="360"/>
              <w:rPr>
                <w:b/>
                <w:sz w:val="18"/>
              </w:rPr>
            </w:pPr>
            <w:r>
              <w:rPr>
                <w:b/>
                <w:sz w:val="18"/>
              </w:rPr>
              <w:t>2017</w:t>
            </w:r>
          </w:p>
        </w:tc>
        <w:tc>
          <w:tcPr>
            <w:tcW w:w="991" w:type="dxa"/>
          </w:tcPr>
          <w:p>
            <w:pPr>
              <w:pStyle w:val="TableParagraph"/>
              <w:spacing w:before="24"/>
              <w:ind w:left="127"/>
              <w:rPr>
                <w:b/>
                <w:sz w:val="18"/>
              </w:rPr>
            </w:pPr>
            <w:r>
              <w:rPr>
                <w:b/>
                <w:sz w:val="18"/>
              </w:rPr>
              <w:t>2016</w:t>
            </w:r>
          </w:p>
        </w:tc>
      </w:tr>
      <w:tr>
        <w:trPr>
          <w:trHeight w:val="286" w:hRule="exact"/>
        </w:trPr>
        <w:tc>
          <w:tcPr>
            <w:tcW w:w="282" w:type="dxa"/>
          </w:tcPr>
          <w:p>
            <w:pPr/>
          </w:p>
        </w:tc>
        <w:tc>
          <w:tcPr>
            <w:tcW w:w="3296" w:type="dxa"/>
          </w:tcPr>
          <w:p>
            <w:pPr/>
          </w:p>
        </w:tc>
        <w:tc>
          <w:tcPr>
            <w:tcW w:w="837" w:type="dxa"/>
          </w:tcPr>
          <w:p>
            <w:pPr>
              <w:pStyle w:val="TableParagraph"/>
              <w:spacing w:before="24"/>
              <w:ind w:left="349"/>
              <w:rPr>
                <w:b/>
                <w:sz w:val="18"/>
              </w:rPr>
            </w:pPr>
            <w:r>
              <w:rPr>
                <w:b/>
                <w:sz w:val="18"/>
              </w:rPr>
              <w:t>Note</w:t>
            </w:r>
          </w:p>
        </w:tc>
        <w:tc>
          <w:tcPr>
            <w:tcW w:w="1625" w:type="dxa"/>
          </w:tcPr>
          <w:p>
            <w:pPr>
              <w:pStyle w:val="TableParagraph"/>
              <w:spacing w:before="24"/>
              <w:ind w:left="590"/>
              <w:rPr>
                <w:b/>
                <w:sz w:val="18"/>
              </w:rPr>
            </w:pPr>
            <w:r>
              <w:rPr>
                <w:b/>
                <w:sz w:val="18"/>
              </w:rPr>
              <w:t>$'000</w:t>
            </w:r>
          </w:p>
        </w:tc>
        <w:tc>
          <w:tcPr>
            <w:tcW w:w="1387" w:type="dxa"/>
          </w:tcPr>
          <w:p>
            <w:pPr>
              <w:pStyle w:val="TableParagraph"/>
              <w:spacing w:before="24"/>
              <w:ind w:left="249"/>
              <w:rPr>
                <w:b/>
                <w:sz w:val="18"/>
              </w:rPr>
            </w:pPr>
            <w:r>
              <w:rPr>
                <w:b/>
                <w:sz w:val="18"/>
              </w:rPr>
              <w:t>$'000</w:t>
            </w:r>
          </w:p>
        </w:tc>
        <w:tc>
          <w:tcPr>
            <w:tcW w:w="1517" w:type="dxa"/>
          </w:tcPr>
          <w:p>
            <w:pPr>
              <w:pStyle w:val="TableParagraph"/>
              <w:spacing w:before="24"/>
              <w:ind w:left="338"/>
              <w:rPr>
                <w:b/>
                <w:sz w:val="18"/>
              </w:rPr>
            </w:pPr>
            <w:r>
              <w:rPr>
                <w:b/>
                <w:sz w:val="18"/>
              </w:rPr>
              <w:t>$'000</w:t>
            </w:r>
          </w:p>
        </w:tc>
        <w:tc>
          <w:tcPr>
            <w:tcW w:w="991" w:type="dxa"/>
          </w:tcPr>
          <w:p>
            <w:pPr>
              <w:pStyle w:val="TableParagraph"/>
              <w:spacing w:before="24"/>
              <w:ind w:left="105"/>
              <w:rPr>
                <w:b/>
                <w:sz w:val="18"/>
              </w:rPr>
            </w:pPr>
            <w:r>
              <w:rPr>
                <w:b/>
                <w:sz w:val="18"/>
              </w:rPr>
              <w:t>$'000</w:t>
            </w:r>
          </w:p>
        </w:tc>
      </w:tr>
      <w:tr>
        <w:trPr>
          <w:trHeight w:val="282" w:hRule="exact"/>
        </w:trPr>
        <w:tc>
          <w:tcPr>
            <w:tcW w:w="282" w:type="dxa"/>
          </w:tcPr>
          <w:p>
            <w:pPr/>
          </w:p>
        </w:tc>
        <w:tc>
          <w:tcPr>
            <w:tcW w:w="3296" w:type="dxa"/>
          </w:tcPr>
          <w:p>
            <w:pPr>
              <w:pStyle w:val="TableParagraph"/>
              <w:spacing w:before="38"/>
              <w:ind w:left="173"/>
              <w:rPr>
                <w:sz w:val="18"/>
              </w:rPr>
            </w:pPr>
            <w:r>
              <w:rPr>
                <w:sz w:val="18"/>
              </w:rPr>
              <w:t>Sale of goods</w:t>
            </w:r>
          </w:p>
        </w:tc>
        <w:tc>
          <w:tcPr>
            <w:tcW w:w="837" w:type="dxa"/>
          </w:tcPr>
          <w:p>
            <w:pPr/>
          </w:p>
        </w:tc>
        <w:tc>
          <w:tcPr>
            <w:tcW w:w="1625" w:type="dxa"/>
          </w:tcPr>
          <w:p>
            <w:pPr>
              <w:pStyle w:val="TableParagraph"/>
              <w:spacing w:before="36"/>
              <w:ind w:right="247"/>
              <w:jc w:val="right"/>
              <w:rPr>
                <w:b/>
                <w:sz w:val="18"/>
              </w:rPr>
            </w:pPr>
            <w:r>
              <w:rPr>
                <w:b/>
                <w:w w:val="95"/>
                <w:sz w:val="18"/>
              </w:rPr>
              <w:t>4,694</w:t>
            </w:r>
          </w:p>
        </w:tc>
        <w:tc>
          <w:tcPr>
            <w:tcW w:w="1387" w:type="dxa"/>
          </w:tcPr>
          <w:p>
            <w:pPr>
              <w:pStyle w:val="TableParagraph"/>
              <w:spacing w:before="36"/>
              <w:ind w:right="336"/>
              <w:jc w:val="right"/>
              <w:rPr>
                <w:sz w:val="18"/>
              </w:rPr>
            </w:pPr>
            <w:r>
              <w:rPr>
                <w:w w:val="95"/>
                <w:sz w:val="18"/>
              </w:rPr>
              <w:t>15,584</w:t>
            </w:r>
          </w:p>
        </w:tc>
        <w:tc>
          <w:tcPr>
            <w:tcW w:w="1517" w:type="dxa"/>
          </w:tcPr>
          <w:p>
            <w:pPr>
              <w:pStyle w:val="TableParagraph"/>
              <w:spacing w:before="36"/>
              <w:ind w:left="820"/>
              <w:rPr>
                <w:b/>
                <w:sz w:val="18"/>
              </w:rPr>
            </w:pPr>
            <w:r>
              <w:rPr>
                <w:b/>
                <w:sz w:val="18"/>
              </w:rPr>
              <w:t>924</w:t>
            </w:r>
          </w:p>
        </w:tc>
        <w:tc>
          <w:tcPr>
            <w:tcW w:w="991" w:type="dxa"/>
          </w:tcPr>
          <w:p>
            <w:pPr>
              <w:pStyle w:val="TableParagraph"/>
              <w:spacing w:before="36"/>
              <w:ind w:right="84"/>
              <w:jc w:val="right"/>
              <w:rPr>
                <w:sz w:val="18"/>
              </w:rPr>
            </w:pPr>
            <w:r>
              <w:rPr>
                <w:w w:val="95"/>
                <w:sz w:val="18"/>
              </w:rPr>
              <w:t>993</w:t>
            </w:r>
          </w:p>
        </w:tc>
      </w:tr>
      <w:tr>
        <w:trPr>
          <w:trHeight w:val="264" w:hRule="exact"/>
        </w:trPr>
        <w:tc>
          <w:tcPr>
            <w:tcW w:w="282" w:type="dxa"/>
          </w:tcPr>
          <w:p>
            <w:pPr/>
          </w:p>
        </w:tc>
        <w:tc>
          <w:tcPr>
            <w:tcW w:w="3296" w:type="dxa"/>
          </w:tcPr>
          <w:p>
            <w:pPr>
              <w:pStyle w:val="TableParagraph"/>
              <w:spacing w:before="20"/>
              <w:ind w:left="173"/>
              <w:rPr>
                <w:sz w:val="18"/>
              </w:rPr>
            </w:pPr>
            <w:r>
              <w:rPr>
                <w:sz w:val="18"/>
              </w:rPr>
              <w:t>Parking fees</w:t>
            </w:r>
          </w:p>
        </w:tc>
        <w:tc>
          <w:tcPr>
            <w:tcW w:w="837" w:type="dxa"/>
          </w:tcPr>
          <w:p>
            <w:pPr/>
          </w:p>
        </w:tc>
        <w:tc>
          <w:tcPr>
            <w:tcW w:w="1625" w:type="dxa"/>
          </w:tcPr>
          <w:p>
            <w:pPr>
              <w:pStyle w:val="TableParagraph"/>
              <w:spacing w:before="18"/>
              <w:ind w:right="247"/>
              <w:jc w:val="right"/>
              <w:rPr>
                <w:b/>
                <w:sz w:val="18"/>
              </w:rPr>
            </w:pPr>
            <w:r>
              <w:rPr>
                <w:b/>
                <w:w w:val="95"/>
                <w:sz w:val="18"/>
              </w:rPr>
              <w:t>3,437</w:t>
            </w:r>
          </w:p>
        </w:tc>
        <w:tc>
          <w:tcPr>
            <w:tcW w:w="1387" w:type="dxa"/>
          </w:tcPr>
          <w:p>
            <w:pPr>
              <w:pStyle w:val="TableParagraph"/>
              <w:spacing w:before="18"/>
              <w:ind w:right="336"/>
              <w:jc w:val="right"/>
              <w:rPr>
                <w:sz w:val="18"/>
              </w:rPr>
            </w:pPr>
            <w:r>
              <w:rPr>
                <w:w w:val="95"/>
                <w:sz w:val="18"/>
              </w:rPr>
              <w:t>4,048</w:t>
            </w:r>
          </w:p>
        </w:tc>
        <w:tc>
          <w:tcPr>
            <w:tcW w:w="1517" w:type="dxa"/>
          </w:tcPr>
          <w:p>
            <w:pPr>
              <w:pStyle w:val="TableParagraph"/>
              <w:spacing w:before="18"/>
              <w:ind w:left="669"/>
              <w:rPr>
                <w:b/>
                <w:sz w:val="18"/>
              </w:rPr>
            </w:pPr>
            <w:r>
              <w:rPr>
                <w:b/>
                <w:sz w:val="18"/>
              </w:rPr>
              <w:t>3,437</w:t>
            </w:r>
          </w:p>
        </w:tc>
        <w:tc>
          <w:tcPr>
            <w:tcW w:w="991" w:type="dxa"/>
          </w:tcPr>
          <w:p>
            <w:pPr>
              <w:pStyle w:val="TableParagraph"/>
              <w:spacing w:before="18"/>
              <w:ind w:right="84"/>
              <w:jc w:val="right"/>
              <w:rPr>
                <w:sz w:val="18"/>
              </w:rPr>
            </w:pPr>
            <w:r>
              <w:rPr>
                <w:w w:val="95"/>
                <w:sz w:val="18"/>
              </w:rPr>
              <w:t>4,049</w:t>
            </w:r>
          </w:p>
        </w:tc>
      </w:tr>
      <w:tr>
        <w:trPr>
          <w:trHeight w:val="263" w:hRule="exact"/>
        </w:trPr>
        <w:tc>
          <w:tcPr>
            <w:tcW w:w="282" w:type="dxa"/>
          </w:tcPr>
          <w:p>
            <w:pPr/>
          </w:p>
        </w:tc>
        <w:tc>
          <w:tcPr>
            <w:tcW w:w="3296" w:type="dxa"/>
          </w:tcPr>
          <w:p>
            <w:pPr>
              <w:pStyle w:val="TableParagraph"/>
              <w:spacing w:before="20"/>
              <w:ind w:left="173"/>
              <w:rPr>
                <w:sz w:val="18"/>
              </w:rPr>
            </w:pPr>
            <w:r>
              <w:rPr>
                <w:sz w:val="18"/>
              </w:rPr>
              <w:t>Donations and bequests</w:t>
            </w:r>
          </w:p>
        </w:tc>
        <w:tc>
          <w:tcPr>
            <w:tcW w:w="837" w:type="dxa"/>
          </w:tcPr>
          <w:p>
            <w:pPr/>
          </w:p>
        </w:tc>
        <w:tc>
          <w:tcPr>
            <w:tcW w:w="1625" w:type="dxa"/>
          </w:tcPr>
          <w:p>
            <w:pPr>
              <w:pStyle w:val="TableParagraph"/>
              <w:spacing w:before="18"/>
              <w:ind w:right="247"/>
              <w:jc w:val="right"/>
              <w:rPr>
                <w:b/>
                <w:sz w:val="18"/>
              </w:rPr>
            </w:pPr>
            <w:r>
              <w:rPr>
                <w:b/>
                <w:w w:val="95"/>
                <w:sz w:val="18"/>
              </w:rPr>
              <w:t>4,537</w:t>
            </w:r>
          </w:p>
        </w:tc>
        <w:tc>
          <w:tcPr>
            <w:tcW w:w="1387" w:type="dxa"/>
          </w:tcPr>
          <w:p>
            <w:pPr>
              <w:pStyle w:val="TableParagraph"/>
              <w:spacing w:before="18"/>
              <w:ind w:right="336"/>
              <w:jc w:val="right"/>
              <w:rPr>
                <w:sz w:val="18"/>
              </w:rPr>
            </w:pPr>
            <w:r>
              <w:rPr>
                <w:w w:val="95"/>
                <w:sz w:val="18"/>
              </w:rPr>
              <w:t>7,283</w:t>
            </w:r>
          </w:p>
        </w:tc>
        <w:tc>
          <w:tcPr>
            <w:tcW w:w="1517" w:type="dxa"/>
          </w:tcPr>
          <w:p>
            <w:pPr>
              <w:pStyle w:val="TableParagraph"/>
              <w:spacing w:before="18"/>
              <w:ind w:left="669"/>
              <w:rPr>
                <w:b/>
                <w:sz w:val="18"/>
              </w:rPr>
            </w:pPr>
            <w:r>
              <w:rPr>
                <w:b/>
                <w:sz w:val="18"/>
              </w:rPr>
              <w:t>4,382</w:t>
            </w:r>
          </w:p>
        </w:tc>
        <w:tc>
          <w:tcPr>
            <w:tcW w:w="991" w:type="dxa"/>
          </w:tcPr>
          <w:p>
            <w:pPr>
              <w:pStyle w:val="TableParagraph"/>
              <w:spacing w:before="18"/>
              <w:ind w:right="84"/>
              <w:jc w:val="right"/>
              <w:rPr>
                <w:sz w:val="18"/>
              </w:rPr>
            </w:pPr>
            <w:r>
              <w:rPr>
                <w:w w:val="95"/>
                <w:sz w:val="18"/>
              </w:rPr>
              <w:t>7,153</w:t>
            </w:r>
          </w:p>
        </w:tc>
      </w:tr>
      <w:tr>
        <w:trPr>
          <w:trHeight w:val="467" w:hRule="exact"/>
        </w:trPr>
        <w:tc>
          <w:tcPr>
            <w:tcW w:w="282" w:type="dxa"/>
          </w:tcPr>
          <w:p>
            <w:pPr/>
          </w:p>
        </w:tc>
        <w:tc>
          <w:tcPr>
            <w:tcW w:w="3296" w:type="dxa"/>
          </w:tcPr>
          <w:p>
            <w:pPr>
              <w:pStyle w:val="TableParagraph"/>
              <w:spacing w:before="16"/>
              <w:ind w:left="173"/>
              <w:rPr>
                <w:sz w:val="18"/>
              </w:rPr>
            </w:pPr>
            <w:r>
              <w:rPr>
                <w:sz w:val="18"/>
              </w:rPr>
              <w:t>Commercial leases and other rental income</w:t>
            </w:r>
          </w:p>
        </w:tc>
        <w:tc>
          <w:tcPr>
            <w:tcW w:w="837" w:type="dxa"/>
          </w:tcPr>
          <w:p>
            <w:pPr/>
          </w:p>
        </w:tc>
        <w:tc>
          <w:tcPr>
            <w:tcW w:w="1625" w:type="dxa"/>
          </w:tcPr>
          <w:p>
            <w:pPr>
              <w:pStyle w:val="TableParagraph"/>
              <w:spacing w:before="2"/>
              <w:rPr>
                <w:sz w:val="19"/>
              </w:rPr>
            </w:pPr>
          </w:p>
          <w:p>
            <w:pPr>
              <w:pStyle w:val="TableParagraph"/>
              <w:ind w:right="247"/>
              <w:jc w:val="right"/>
              <w:rPr>
                <w:b/>
                <w:sz w:val="18"/>
              </w:rPr>
            </w:pPr>
            <w:r>
              <w:rPr>
                <w:b/>
                <w:w w:val="95"/>
                <w:sz w:val="18"/>
              </w:rPr>
              <w:t>10,799</w:t>
            </w:r>
          </w:p>
        </w:tc>
        <w:tc>
          <w:tcPr>
            <w:tcW w:w="1387" w:type="dxa"/>
          </w:tcPr>
          <w:p>
            <w:pPr>
              <w:pStyle w:val="TableParagraph"/>
              <w:spacing w:before="2"/>
              <w:rPr>
                <w:sz w:val="19"/>
              </w:rPr>
            </w:pPr>
          </w:p>
          <w:p>
            <w:pPr>
              <w:pStyle w:val="TableParagraph"/>
              <w:ind w:right="336"/>
              <w:jc w:val="right"/>
              <w:rPr>
                <w:sz w:val="18"/>
              </w:rPr>
            </w:pPr>
            <w:r>
              <w:rPr>
                <w:w w:val="95"/>
                <w:sz w:val="18"/>
              </w:rPr>
              <w:t>5,778</w:t>
            </w:r>
          </w:p>
        </w:tc>
        <w:tc>
          <w:tcPr>
            <w:tcW w:w="1517" w:type="dxa"/>
          </w:tcPr>
          <w:p>
            <w:pPr>
              <w:pStyle w:val="TableParagraph"/>
              <w:spacing w:before="2"/>
              <w:rPr>
                <w:sz w:val="19"/>
              </w:rPr>
            </w:pPr>
          </w:p>
          <w:p>
            <w:pPr>
              <w:pStyle w:val="TableParagraph"/>
              <w:ind w:left="568"/>
              <w:rPr>
                <w:b/>
                <w:sz w:val="18"/>
              </w:rPr>
            </w:pPr>
            <w:r>
              <w:rPr>
                <w:b/>
                <w:sz w:val="18"/>
              </w:rPr>
              <w:t>10,577</w:t>
            </w:r>
          </w:p>
        </w:tc>
        <w:tc>
          <w:tcPr>
            <w:tcW w:w="991" w:type="dxa"/>
          </w:tcPr>
          <w:p>
            <w:pPr>
              <w:pStyle w:val="TableParagraph"/>
              <w:spacing w:before="2"/>
              <w:rPr>
                <w:sz w:val="19"/>
              </w:rPr>
            </w:pPr>
          </w:p>
          <w:p>
            <w:pPr>
              <w:pStyle w:val="TableParagraph"/>
              <w:ind w:right="84"/>
              <w:jc w:val="right"/>
              <w:rPr>
                <w:sz w:val="18"/>
              </w:rPr>
            </w:pPr>
            <w:r>
              <w:rPr>
                <w:w w:val="95"/>
                <w:sz w:val="18"/>
              </w:rPr>
              <w:t>5,536</w:t>
            </w:r>
          </w:p>
        </w:tc>
      </w:tr>
      <w:tr>
        <w:trPr>
          <w:trHeight w:val="264" w:hRule="exact"/>
        </w:trPr>
        <w:tc>
          <w:tcPr>
            <w:tcW w:w="282" w:type="dxa"/>
          </w:tcPr>
          <w:p>
            <w:pPr/>
          </w:p>
        </w:tc>
        <w:tc>
          <w:tcPr>
            <w:tcW w:w="3296" w:type="dxa"/>
          </w:tcPr>
          <w:p>
            <w:pPr>
              <w:pStyle w:val="TableParagraph"/>
              <w:spacing w:before="20"/>
              <w:ind w:left="173"/>
              <w:rPr>
                <w:sz w:val="18"/>
              </w:rPr>
            </w:pPr>
            <w:r>
              <w:rPr>
                <w:sz w:val="18"/>
              </w:rPr>
              <w:t>Salary recoveries</w:t>
            </w:r>
          </w:p>
        </w:tc>
        <w:tc>
          <w:tcPr>
            <w:tcW w:w="837" w:type="dxa"/>
          </w:tcPr>
          <w:p>
            <w:pPr/>
          </w:p>
        </w:tc>
        <w:tc>
          <w:tcPr>
            <w:tcW w:w="1625" w:type="dxa"/>
          </w:tcPr>
          <w:p>
            <w:pPr>
              <w:pStyle w:val="TableParagraph"/>
              <w:spacing w:before="18"/>
              <w:ind w:right="247"/>
              <w:jc w:val="right"/>
              <w:rPr>
                <w:b/>
                <w:sz w:val="18"/>
              </w:rPr>
            </w:pPr>
            <w:r>
              <w:rPr>
                <w:b/>
                <w:w w:val="95"/>
                <w:sz w:val="18"/>
              </w:rPr>
              <w:t>4,863</w:t>
            </w:r>
          </w:p>
        </w:tc>
        <w:tc>
          <w:tcPr>
            <w:tcW w:w="1387" w:type="dxa"/>
          </w:tcPr>
          <w:p>
            <w:pPr>
              <w:pStyle w:val="TableParagraph"/>
              <w:spacing w:before="18"/>
              <w:ind w:right="336"/>
              <w:jc w:val="right"/>
              <w:rPr>
                <w:sz w:val="18"/>
              </w:rPr>
            </w:pPr>
            <w:r>
              <w:rPr>
                <w:w w:val="95"/>
                <w:sz w:val="18"/>
              </w:rPr>
              <w:t>4,288</w:t>
            </w:r>
          </w:p>
        </w:tc>
        <w:tc>
          <w:tcPr>
            <w:tcW w:w="1517" w:type="dxa"/>
          </w:tcPr>
          <w:p>
            <w:pPr>
              <w:pStyle w:val="TableParagraph"/>
              <w:spacing w:before="18"/>
              <w:ind w:left="669"/>
              <w:rPr>
                <w:b/>
                <w:sz w:val="18"/>
              </w:rPr>
            </w:pPr>
            <w:r>
              <w:rPr>
                <w:b/>
                <w:sz w:val="18"/>
              </w:rPr>
              <w:t>4,839</w:t>
            </w:r>
          </w:p>
        </w:tc>
        <w:tc>
          <w:tcPr>
            <w:tcW w:w="991" w:type="dxa"/>
          </w:tcPr>
          <w:p>
            <w:pPr>
              <w:pStyle w:val="TableParagraph"/>
              <w:spacing w:before="18"/>
              <w:ind w:right="84"/>
              <w:jc w:val="right"/>
              <w:rPr>
                <w:sz w:val="18"/>
              </w:rPr>
            </w:pPr>
            <w:r>
              <w:rPr>
                <w:w w:val="95"/>
                <w:sz w:val="18"/>
              </w:rPr>
              <w:t>4,461</w:t>
            </w:r>
          </w:p>
        </w:tc>
      </w:tr>
      <w:tr>
        <w:trPr>
          <w:trHeight w:val="264" w:hRule="exact"/>
        </w:trPr>
        <w:tc>
          <w:tcPr>
            <w:tcW w:w="282" w:type="dxa"/>
          </w:tcPr>
          <w:p>
            <w:pPr/>
          </w:p>
        </w:tc>
        <w:tc>
          <w:tcPr>
            <w:tcW w:w="3296" w:type="dxa"/>
          </w:tcPr>
          <w:p>
            <w:pPr>
              <w:pStyle w:val="TableParagraph"/>
              <w:spacing w:before="20"/>
              <w:ind w:left="173"/>
              <w:rPr>
                <w:sz w:val="18"/>
              </w:rPr>
            </w:pPr>
            <w:r>
              <w:rPr>
                <w:sz w:val="18"/>
              </w:rPr>
              <w:t>Childcare centre fees and grants</w:t>
            </w:r>
          </w:p>
        </w:tc>
        <w:tc>
          <w:tcPr>
            <w:tcW w:w="837" w:type="dxa"/>
          </w:tcPr>
          <w:p>
            <w:pPr/>
          </w:p>
        </w:tc>
        <w:tc>
          <w:tcPr>
            <w:tcW w:w="1625" w:type="dxa"/>
          </w:tcPr>
          <w:p>
            <w:pPr>
              <w:pStyle w:val="TableParagraph"/>
              <w:spacing w:before="18"/>
              <w:ind w:right="247"/>
              <w:jc w:val="right"/>
              <w:rPr>
                <w:b/>
                <w:sz w:val="18"/>
              </w:rPr>
            </w:pPr>
            <w:r>
              <w:rPr>
                <w:b/>
                <w:w w:val="95"/>
                <w:sz w:val="18"/>
              </w:rPr>
              <w:t>6,720</w:t>
            </w:r>
          </w:p>
        </w:tc>
        <w:tc>
          <w:tcPr>
            <w:tcW w:w="1387" w:type="dxa"/>
          </w:tcPr>
          <w:p>
            <w:pPr>
              <w:pStyle w:val="TableParagraph"/>
              <w:spacing w:before="18"/>
              <w:ind w:right="336"/>
              <w:jc w:val="right"/>
              <w:rPr>
                <w:sz w:val="18"/>
              </w:rPr>
            </w:pPr>
            <w:r>
              <w:rPr>
                <w:w w:val="95"/>
                <w:sz w:val="18"/>
              </w:rPr>
              <w:t>5,972</w:t>
            </w:r>
          </w:p>
        </w:tc>
        <w:tc>
          <w:tcPr>
            <w:tcW w:w="1517" w:type="dxa"/>
          </w:tcPr>
          <w:p>
            <w:pPr>
              <w:pStyle w:val="TableParagraph"/>
              <w:spacing w:before="18"/>
              <w:ind w:right="391"/>
              <w:jc w:val="right"/>
              <w:rPr>
                <w:b/>
                <w:sz w:val="18"/>
              </w:rPr>
            </w:pPr>
            <w:r>
              <w:rPr>
                <w:b/>
                <w:w w:val="99"/>
                <w:sz w:val="18"/>
              </w:rPr>
              <w:t>-</w:t>
            </w:r>
          </w:p>
        </w:tc>
        <w:tc>
          <w:tcPr>
            <w:tcW w:w="991" w:type="dxa"/>
          </w:tcPr>
          <w:p>
            <w:pPr>
              <w:pStyle w:val="TableParagraph"/>
              <w:spacing w:before="18"/>
              <w:ind w:right="84"/>
              <w:jc w:val="right"/>
              <w:rPr>
                <w:sz w:val="18"/>
              </w:rPr>
            </w:pPr>
            <w:r>
              <w:rPr>
                <w:w w:val="99"/>
                <w:sz w:val="18"/>
              </w:rPr>
              <w:t>-</w:t>
            </w:r>
          </w:p>
        </w:tc>
      </w:tr>
      <w:tr>
        <w:trPr>
          <w:trHeight w:val="264" w:hRule="exact"/>
        </w:trPr>
        <w:tc>
          <w:tcPr>
            <w:tcW w:w="282" w:type="dxa"/>
          </w:tcPr>
          <w:p>
            <w:pPr/>
          </w:p>
        </w:tc>
        <w:tc>
          <w:tcPr>
            <w:tcW w:w="3296" w:type="dxa"/>
          </w:tcPr>
          <w:p>
            <w:pPr>
              <w:pStyle w:val="TableParagraph"/>
              <w:spacing w:before="20"/>
              <w:ind w:left="173"/>
              <w:rPr>
                <w:sz w:val="18"/>
              </w:rPr>
            </w:pPr>
            <w:r>
              <w:rPr>
                <w:sz w:val="18"/>
              </w:rPr>
              <w:t>Non-salary recoveries</w:t>
            </w:r>
          </w:p>
        </w:tc>
        <w:tc>
          <w:tcPr>
            <w:tcW w:w="837" w:type="dxa"/>
          </w:tcPr>
          <w:p>
            <w:pPr/>
          </w:p>
        </w:tc>
        <w:tc>
          <w:tcPr>
            <w:tcW w:w="1625" w:type="dxa"/>
          </w:tcPr>
          <w:p>
            <w:pPr>
              <w:pStyle w:val="TableParagraph"/>
              <w:spacing w:before="18"/>
              <w:ind w:right="247"/>
              <w:jc w:val="right"/>
              <w:rPr>
                <w:b/>
                <w:sz w:val="18"/>
              </w:rPr>
            </w:pPr>
            <w:r>
              <w:rPr>
                <w:b/>
                <w:w w:val="95"/>
                <w:sz w:val="18"/>
              </w:rPr>
              <w:t>1,160</w:t>
            </w:r>
          </w:p>
        </w:tc>
        <w:tc>
          <w:tcPr>
            <w:tcW w:w="1387" w:type="dxa"/>
          </w:tcPr>
          <w:p>
            <w:pPr>
              <w:pStyle w:val="TableParagraph"/>
              <w:spacing w:before="18"/>
              <w:ind w:right="336"/>
              <w:jc w:val="right"/>
              <w:rPr>
                <w:sz w:val="18"/>
              </w:rPr>
            </w:pPr>
            <w:r>
              <w:rPr>
                <w:w w:val="95"/>
                <w:sz w:val="18"/>
              </w:rPr>
              <w:t>4,200</w:t>
            </w:r>
          </w:p>
        </w:tc>
        <w:tc>
          <w:tcPr>
            <w:tcW w:w="1517" w:type="dxa"/>
          </w:tcPr>
          <w:p>
            <w:pPr>
              <w:pStyle w:val="TableParagraph"/>
              <w:spacing w:before="18"/>
              <w:ind w:left="669"/>
              <w:rPr>
                <w:b/>
                <w:sz w:val="18"/>
              </w:rPr>
            </w:pPr>
            <w:r>
              <w:rPr>
                <w:b/>
                <w:sz w:val="18"/>
              </w:rPr>
              <w:t>1,139</w:t>
            </w:r>
          </w:p>
        </w:tc>
        <w:tc>
          <w:tcPr>
            <w:tcW w:w="991" w:type="dxa"/>
          </w:tcPr>
          <w:p>
            <w:pPr>
              <w:pStyle w:val="TableParagraph"/>
              <w:spacing w:before="18"/>
              <w:ind w:right="84"/>
              <w:jc w:val="right"/>
              <w:rPr>
                <w:sz w:val="18"/>
              </w:rPr>
            </w:pPr>
            <w:r>
              <w:rPr>
                <w:w w:val="95"/>
                <w:sz w:val="18"/>
              </w:rPr>
              <w:t>4,186</w:t>
            </w:r>
          </w:p>
        </w:tc>
      </w:tr>
      <w:tr>
        <w:trPr>
          <w:trHeight w:val="264" w:hRule="exact"/>
        </w:trPr>
        <w:tc>
          <w:tcPr>
            <w:tcW w:w="282" w:type="dxa"/>
          </w:tcPr>
          <w:p>
            <w:pPr/>
          </w:p>
        </w:tc>
        <w:tc>
          <w:tcPr>
            <w:tcW w:w="3296" w:type="dxa"/>
          </w:tcPr>
          <w:p>
            <w:pPr>
              <w:pStyle w:val="TableParagraph"/>
              <w:spacing w:before="20"/>
              <w:ind w:left="173"/>
              <w:rPr>
                <w:sz w:val="18"/>
              </w:rPr>
            </w:pPr>
            <w:r>
              <w:rPr>
                <w:sz w:val="18"/>
              </w:rPr>
              <w:t>Scholarships and prizes</w:t>
            </w:r>
          </w:p>
        </w:tc>
        <w:tc>
          <w:tcPr>
            <w:tcW w:w="837" w:type="dxa"/>
          </w:tcPr>
          <w:p>
            <w:pPr/>
          </w:p>
        </w:tc>
        <w:tc>
          <w:tcPr>
            <w:tcW w:w="1625" w:type="dxa"/>
          </w:tcPr>
          <w:p>
            <w:pPr>
              <w:pStyle w:val="TableParagraph"/>
              <w:spacing w:before="18"/>
              <w:ind w:right="247"/>
              <w:jc w:val="right"/>
              <w:rPr>
                <w:b/>
                <w:sz w:val="18"/>
              </w:rPr>
            </w:pPr>
            <w:r>
              <w:rPr>
                <w:b/>
                <w:w w:val="95"/>
                <w:sz w:val="18"/>
              </w:rPr>
              <w:t>1,268</w:t>
            </w:r>
          </w:p>
        </w:tc>
        <w:tc>
          <w:tcPr>
            <w:tcW w:w="1387" w:type="dxa"/>
          </w:tcPr>
          <w:p>
            <w:pPr>
              <w:pStyle w:val="TableParagraph"/>
              <w:spacing w:before="18"/>
              <w:ind w:right="336"/>
              <w:jc w:val="right"/>
              <w:rPr>
                <w:sz w:val="18"/>
              </w:rPr>
            </w:pPr>
            <w:r>
              <w:rPr>
                <w:w w:val="95"/>
                <w:sz w:val="18"/>
              </w:rPr>
              <w:t>1,587</w:t>
            </w:r>
          </w:p>
        </w:tc>
        <w:tc>
          <w:tcPr>
            <w:tcW w:w="1517" w:type="dxa"/>
          </w:tcPr>
          <w:p>
            <w:pPr>
              <w:pStyle w:val="TableParagraph"/>
              <w:spacing w:before="18"/>
              <w:ind w:left="669"/>
              <w:rPr>
                <w:b/>
                <w:sz w:val="18"/>
              </w:rPr>
            </w:pPr>
            <w:r>
              <w:rPr>
                <w:b/>
                <w:sz w:val="18"/>
              </w:rPr>
              <w:t>1,259</w:t>
            </w:r>
          </w:p>
        </w:tc>
        <w:tc>
          <w:tcPr>
            <w:tcW w:w="991" w:type="dxa"/>
          </w:tcPr>
          <w:p>
            <w:pPr>
              <w:pStyle w:val="TableParagraph"/>
              <w:spacing w:before="18"/>
              <w:ind w:right="84"/>
              <w:jc w:val="right"/>
              <w:rPr>
                <w:sz w:val="18"/>
              </w:rPr>
            </w:pPr>
            <w:r>
              <w:rPr>
                <w:w w:val="95"/>
                <w:sz w:val="18"/>
              </w:rPr>
              <w:t>1,587</w:t>
            </w:r>
          </w:p>
        </w:tc>
      </w:tr>
      <w:tr>
        <w:trPr>
          <w:trHeight w:val="263" w:hRule="exact"/>
        </w:trPr>
        <w:tc>
          <w:tcPr>
            <w:tcW w:w="282" w:type="dxa"/>
          </w:tcPr>
          <w:p>
            <w:pPr/>
          </w:p>
        </w:tc>
        <w:tc>
          <w:tcPr>
            <w:tcW w:w="3296" w:type="dxa"/>
          </w:tcPr>
          <w:p>
            <w:pPr>
              <w:pStyle w:val="TableParagraph"/>
              <w:spacing w:before="20"/>
              <w:ind w:left="173"/>
              <w:rPr>
                <w:sz w:val="18"/>
              </w:rPr>
            </w:pPr>
            <w:r>
              <w:rPr>
                <w:sz w:val="18"/>
              </w:rPr>
              <w:t>Commission income</w:t>
            </w:r>
          </w:p>
        </w:tc>
        <w:tc>
          <w:tcPr>
            <w:tcW w:w="837" w:type="dxa"/>
          </w:tcPr>
          <w:p>
            <w:pPr/>
          </w:p>
        </w:tc>
        <w:tc>
          <w:tcPr>
            <w:tcW w:w="1625" w:type="dxa"/>
          </w:tcPr>
          <w:p>
            <w:pPr>
              <w:pStyle w:val="TableParagraph"/>
              <w:spacing w:before="18"/>
              <w:ind w:right="247"/>
              <w:jc w:val="right"/>
              <w:rPr>
                <w:b/>
                <w:sz w:val="18"/>
              </w:rPr>
            </w:pPr>
            <w:r>
              <w:rPr>
                <w:b/>
                <w:w w:val="95"/>
                <w:sz w:val="18"/>
              </w:rPr>
              <w:t>859</w:t>
            </w:r>
          </w:p>
        </w:tc>
        <w:tc>
          <w:tcPr>
            <w:tcW w:w="1387" w:type="dxa"/>
          </w:tcPr>
          <w:p>
            <w:pPr>
              <w:pStyle w:val="TableParagraph"/>
              <w:spacing w:before="18"/>
              <w:ind w:right="336"/>
              <w:jc w:val="right"/>
              <w:rPr>
                <w:sz w:val="18"/>
              </w:rPr>
            </w:pPr>
            <w:r>
              <w:rPr>
                <w:w w:val="95"/>
                <w:sz w:val="18"/>
              </w:rPr>
              <w:t>715</w:t>
            </w:r>
          </w:p>
        </w:tc>
        <w:tc>
          <w:tcPr>
            <w:tcW w:w="1517" w:type="dxa"/>
          </w:tcPr>
          <w:p>
            <w:pPr>
              <w:pStyle w:val="TableParagraph"/>
              <w:spacing w:before="18"/>
              <w:ind w:left="820"/>
              <w:rPr>
                <w:b/>
                <w:sz w:val="18"/>
              </w:rPr>
            </w:pPr>
            <w:r>
              <w:rPr>
                <w:b/>
                <w:sz w:val="18"/>
              </w:rPr>
              <w:t>834</w:t>
            </w:r>
          </w:p>
        </w:tc>
        <w:tc>
          <w:tcPr>
            <w:tcW w:w="991" w:type="dxa"/>
          </w:tcPr>
          <w:p>
            <w:pPr>
              <w:pStyle w:val="TableParagraph"/>
              <w:spacing w:before="18"/>
              <w:ind w:right="84"/>
              <w:jc w:val="right"/>
              <w:rPr>
                <w:sz w:val="18"/>
              </w:rPr>
            </w:pPr>
            <w:r>
              <w:rPr>
                <w:w w:val="95"/>
                <w:sz w:val="18"/>
              </w:rPr>
              <w:t>715</w:t>
            </w:r>
          </w:p>
        </w:tc>
      </w:tr>
      <w:tr>
        <w:trPr>
          <w:trHeight w:val="265" w:hRule="exact"/>
        </w:trPr>
        <w:tc>
          <w:tcPr>
            <w:tcW w:w="282" w:type="dxa"/>
          </w:tcPr>
          <w:p>
            <w:pPr/>
          </w:p>
        </w:tc>
        <w:tc>
          <w:tcPr>
            <w:tcW w:w="3296" w:type="dxa"/>
          </w:tcPr>
          <w:p>
            <w:pPr>
              <w:pStyle w:val="TableParagraph"/>
              <w:spacing w:before="21"/>
              <w:ind w:left="173"/>
              <w:rPr>
                <w:sz w:val="18"/>
              </w:rPr>
            </w:pPr>
            <w:r>
              <w:rPr>
                <w:sz w:val="18"/>
              </w:rPr>
              <w:t>Service income</w:t>
            </w:r>
          </w:p>
        </w:tc>
        <w:tc>
          <w:tcPr>
            <w:tcW w:w="837" w:type="dxa"/>
          </w:tcPr>
          <w:p>
            <w:pPr>
              <w:pStyle w:val="TableParagraph"/>
              <w:spacing w:before="16"/>
              <w:ind w:left="260"/>
              <w:rPr>
                <w:sz w:val="18"/>
              </w:rPr>
            </w:pPr>
            <w:r>
              <w:rPr>
                <w:sz w:val="18"/>
              </w:rPr>
              <w:t>34(d)</w:t>
            </w:r>
          </w:p>
        </w:tc>
        <w:tc>
          <w:tcPr>
            <w:tcW w:w="1625" w:type="dxa"/>
          </w:tcPr>
          <w:p>
            <w:pPr>
              <w:pStyle w:val="TableParagraph"/>
              <w:spacing w:before="19"/>
              <w:ind w:right="247"/>
              <w:jc w:val="right"/>
              <w:rPr>
                <w:b/>
                <w:sz w:val="18"/>
              </w:rPr>
            </w:pPr>
            <w:r>
              <w:rPr>
                <w:b/>
                <w:w w:val="95"/>
                <w:sz w:val="18"/>
              </w:rPr>
              <w:t>705</w:t>
            </w:r>
          </w:p>
        </w:tc>
        <w:tc>
          <w:tcPr>
            <w:tcW w:w="1387" w:type="dxa"/>
          </w:tcPr>
          <w:p>
            <w:pPr>
              <w:pStyle w:val="TableParagraph"/>
              <w:spacing w:before="19"/>
              <w:ind w:right="336"/>
              <w:jc w:val="right"/>
              <w:rPr>
                <w:sz w:val="18"/>
              </w:rPr>
            </w:pPr>
            <w:r>
              <w:rPr>
                <w:w w:val="95"/>
                <w:sz w:val="18"/>
              </w:rPr>
              <w:t>651</w:t>
            </w:r>
          </w:p>
        </w:tc>
        <w:tc>
          <w:tcPr>
            <w:tcW w:w="1517" w:type="dxa"/>
          </w:tcPr>
          <w:p>
            <w:pPr>
              <w:pStyle w:val="TableParagraph"/>
              <w:spacing w:before="19"/>
              <w:ind w:left="568"/>
              <w:rPr>
                <w:b/>
                <w:sz w:val="18"/>
              </w:rPr>
            </w:pPr>
            <w:r>
              <w:rPr>
                <w:b/>
                <w:sz w:val="18"/>
              </w:rPr>
              <w:t>23,027</w:t>
            </w:r>
          </w:p>
        </w:tc>
        <w:tc>
          <w:tcPr>
            <w:tcW w:w="991" w:type="dxa"/>
          </w:tcPr>
          <w:p>
            <w:pPr>
              <w:pStyle w:val="TableParagraph"/>
              <w:spacing w:before="19"/>
              <w:ind w:right="84"/>
              <w:jc w:val="right"/>
              <w:rPr>
                <w:sz w:val="18"/>
              </w:rPr>
            </w:pPr>
            <w:r>
              <w:rPr>
                <w:w w:val="95"/>
                <w:sz w:val="18"/>
              </w:rPr>
              <w:t>20,170</w:t>
            </w:r>
          </w:p>
        </w:tc>
      </w:tr>
      <w:tr>
        <w:trPr>
          <w:trHeight w:val="264" w:hRule="exact"/>
        </w:trPr>
        <w:tc>
          <w:tcPr>
            <w:tcW w:w="282" w:type="dxa"/>
          </w:tcPr>
          <w:p>
            <w:pPr/>
          </w:p>
        </w:tc>
        <w:tc>
          <w:tcPr>
            <w:tcW w:w="3296" w:type="dxa"/>
          </w:tcPr>
          <w:p>
            <w:pPr>
              <w:pStyle w:val="TableParagraph"/>
              <w:spacing w:before="20"/>
              <w:ind w:left="173"/>
              <w:rPr>
                <w:sz w:val="18"/>
              </w:rPr>
            </w:pPr>
            <w:r>
              <w:rPr>
                <w:sz w:val="18"/>
              </w:rPr>
              <w:t>Non-government grants</w:t>
            </w:r>
          </w:p>
        </w:tc>
        <w:tc>
          <w:tcPr>
            <w:tcW w:w="837" w:type="dxa"/>
          </w:tcPr>
          <w:p>
            <w:pPr/>
          </w:p>
        </w:tc>
        <w:tc>
          <w:tcPr>
            <w:tcW w:w="1625" w:type="dxa"/>
          </w:tcPr>
          <w:p>
            <w:pPr>
              <w:pStyle w:val="TableParagraph"/>
              <w:spacing w:before="18"/>
              <w:ind w:right="247"/>
              <w:jc w:val="right"/>
              <w:rPr>
                <w:b/>
                <w:sz w:val="18"/>
              </w:rPr>
            </w:pPr>
            <w:r>
              <w:rPr>
                <w:b/>
                <w:sz w:val="18"/>
              </w:rPr>
              <w:t>62</w:t>
            </w:r>
          </w:p>
        </w:tc>
        <w:tc>
          <w:tcPr>
            <w:tcW w:w="1387" w:type="dxa"/>
          </w:tcPr>
          <w:p>
            <w:pPr>
              <w:pStyle w:val="TableParagraph"/>
              <w:spacing w:before="18"/>
              <w:ind w:right="336"/>
              <w:jc w:val="right"/>
              <w:rPr>
                <w:sz w:val="18"/>
              </w:rPr>
            </w:pPr>
            <w:r>
              <w:rPr>
                <w:w w:val="95"/>
                <w:sz w:val="18"/>
              </w:rPr>
              <w:t>260</w:t>
            </w:r>
          </w:p>
        </w:tc>
        <w:tc>
          <w:tcPr>
            <w:tcW w:w="1517" w:type="dxa"/>
          </w:tcPr>
          <w:p>
            <w:pPr>
              <w:pStyle w:val="TableParagraph"/>
              <w:spacing w:before="18"/>
              <w:ind w:left="921"/>
              <w:rPr>
                <w:b/>
                <w:sz w:val="18"/>
              </w:rPr>
            </w:pPr>
            <w:r>
              <w:rPr>
                <w:b/>
                <w:sz w:val="18"/>
              </w:rPr>
              <w:t>62</w:t>
            </w:r>
          </w:p>
        </w:tc>
        <w:tc>
          <w:tcPr>
            <w:tcW w:w="991" w:type="dxa"/>
          </w:tcPr>
          <w:p>
            <w:pPr>
              <w:pStyle w:val="TableParagraph"/>
              <w:spacing w:before="18"/>
              <w:ind w:right="84"/>
              <w:jc w:val="right"/>
              <w:rPr>
                <w:sz w:val="18"/>
              </w:rPr>
            </w:pPr>
            <w:r>
              <w:rPr>
                <w:w w:val="95"/>
                <w:sz w:val="18"/>
              </w:rPr>
              <w:t>260</w:t>
            </w:r>
          </w:p>
        </w:tc>
      </w:tr>
      <w:tr>
        <w:trPr>
          <w:trHeight w:val="264" w:hRule="exact"/>
        </w:trPr>
        <w:tc>
          <w:tcPr>
            <w:tcW w:w="282" w:type="dxa"/>
          </w:tcPr>
          <w:p>
            <w:pPr/>
          </w:p>
        </w:tc>
        <w:tc>
          <w:tcPr>
            <w:tcW w:w="3296" w:type="dxa"/>
          </w:tcPr>
          <w:p>
            <w:pPr>
              <w:pStyle w:val="TableParagraph"/>
              <w:spacing w:before="20"/>
              <w:ind w:left="173"/>
              <w:rPr>
                <w:sz w:val="18"/>
              </w:rPr>
            </w:pPr>
            <w:r>
              <w:rPr>
                <w:sz w:val="18"/>
              </w:rPr>
              <w:t>Conference and seminar income</w:t>
            </w:r>
          </w:p>
        </w:tc>
        <w:tc>
          <w:tcPr>
            <w:tcW w:w="837" w:type="dxa"/>
          </w:tcPr>
          <w:p>
            <w:pPr/>
          </w:p>
        </w:tc>
        <w:tc>
          <w:tcPr>
            <w:tcW w:w="1625" w:type="dxa"/>
          </w:tcPr>
          <w:p>
            <w:pPr>
              <w:pStyle w:val="TableParagraph"/>
              <w:spacing w:before="18"/>
              <w:ind w:right="247"/>
              <w:jc w:val="right"/>
              <w:rPr>
                <w:b/>
                <w:sz w:val="18"/>
              </w:rPr>
            </w:pPr>
            <w:r>
              <w:rPr>
                <w:b/>
                <w:w w:val="95"/>
                <w:sz w:val="18"/>
              </w:rPr>
              <w:t>282</w:t>
            </w:r>
          </w:p>
        </w:tc>
        <w:tc>
          <w:tcPr>
            <w:tcW w:w="1387" w:type="dxa"/>
          </w:tcPr>
          <w:p>
            <w:pPr>
              <w:pStyle w:val="TableParagraph"/>
              <w:spacing w:before="18"/>
              <w:ind w:right="336"/>
              <w:jc w:val="right"/>
              <w:rPr>
                <w:sz w:val="18"/>
              </w:rPr>
            </w:pPr>
            <w:r>
              <w:rPr>
                <w:w w:val="95"/>
                <w:sz w:val="18"/>
              </w:rPr>
              <w:t>604</w:t>
            </w:r>
          </w:p>
        </w:tc>
        <w:tc>
          <w:tcPr>
            <w:tcW w:w="1517" w:type="dxa"/>
          </w:tcPr>
          <w:p>
            <w:pPr>
              <w:pStyle w:val="TableParagraph"/>
              <w:spacing w:before="18"/>
              <w:ind w:left="820"/>
              <w:rPr>
                <w:b/>
                <w:sz w:val="18"/>
              </w:rPr>
            </w:pPr>
            <w:r>
              <w:rPr>
                <w:b/>
                <w:sz w:val="18"/>
              </w:rPr>
              <w:t>258</w:t>
            </w:r>
          </w:p>
        </w:tc>
        <w:tc>
          <w:tcPr>
            <w:tcW w:w="991" w:type="dxa"/>
          </w:tcPr>
          <w:p>
            <w:pPr>
              <w:pStyle w:val="TableParagraph"/>
              <w:spacing w:before="18"/>
              <w:ind w:right="84"/>
              <w:jc w:val="right"/>
              <w:rPr>
                <w:sz w:val="18"/>
              </w:rPr>
            </w:pPr>
            <w:r>
              <w:rPr>
                <w:w w:val="95"/>
                <w:sz w:val="18"/>
              </w:rPr>
              <w:t>604</w:t>
            </w:r>
          </w:p>
        </w:tc>
      </w:tr>
      <w:tr>
        <w:trPr>
          <w:trHeight w:val="260" w:hRule="exact"/>
        </w:trPr>
        <w:tc>
          <w:tcPr>
            <w:tcW w:w="282" w:type="dxa"/>
          </w:tcPr>
          <w:p>
            <w:pPr/>
          </w:p>
        </w:tc>
        <w:tc>
          <w:tcPr>
            <w:tcW w:w="3296" w:type="dxa"/>
          </w:tcPr>
          <w:p>
            <w:pPr>
              <w:pStyle w:val="TableParagraph"/>
              <w:spacing w:before="20"/>
              <w:ind w:left="173"/>
              <w:rPr>
                <w:sz w:val="18"/>
              </w:rPr>
            </w:pPr>
            <w:r>
              <w:rPr>
                <w:sz w:val="18"/>
              </w:rPr>
              <w:t>Other</w:t>
            </w:r>
          </w:p>
        </w:tc>
        <w:tc>
          <w:tcPr>
            <w:tcW w:w="837" w:type="dxa"/>
          </w:tcPr>
          <w:p>
            <w:pPr/>
          </w:p>
        </w:tc>
        <w:tc>
          <w:tcPr>
            <w:tcW w:w="1625" w:type="dxa"/>
            <w:tcBorders>
              <w:bottom w:val="single" w:sz="1" w:space="0" w:color="000000"/>
            </w:tcBorders>
          </w:tcPr>
          <w:p>
            <w:pPr>
              <w:pStyle w:val="TableParagraph"/>
              <w:spacing w:before="18"/>
              <w:ind w:right="247"/>
              <w:jc w:val="right"/>
              <w:rPr>
                <w:b/>
                <w:sz w:val="18"/>
              </w:rPr>
            </w:pPr>
            <w:r>
              <w:rPr>
                <w:b/>
                <w:w w:val="95"/>
                <w:sz w:val="18"/>
              </w:rPr>
              <w:t>4,973</w:t>
            </w:r>
          </w:p>
        </w:tc>
        <w:tc>
          <w:tcPr>
            <w:tcW w:w="1387" w:type="dxa"/>
            <w:tcBorders>
              <w:bottom w:val="single" w:sz="1" w:space="0" w:color="000000"/>
            </w:tcBorders>
          </w:tcPr>
          <w:p>
            <w:pPr>
              <w:pStyle w:val="TableParagraph"/>
              <w:spacing w:before="18"/>
              <w:ind w:right="336"/>
              <w:jc w:val="right"/>
              <w:rPr>
                <w:sz w:val="18"/>
              </w:rPr>
            </w:pPr>
            <w:r>
              <w:rPr>
                <w:w w:val="95"/>
                <w:sz w:val="18"/>
              </w:rPr>
              <w:t>4,463</w:t>
            </w:r>
          </w:p>
        </w:tc>
        <w:tc>
          <w:tcPr>
            <w:tcW w:w="1517" w:type="dxa"/>
            <w:tcBorders>
              <w:bottom w:val="single" w:sz="1" w:space="0" w:color="000000"/>
            </w:tcBorders>
          </w:tcPr>
          <w:p>
            <w:pPr>
              <w:pStyle w:val="TableParagraph"/>
              <w:spacing w:before="18"/>
              <w:ind w:left="669"/>
              <w:rPr>
                <w:b/>
                <w:sz w:val="18"/>
              </w:rPr>
            </w:pPr>
            <w:r>
              <w:rPr>
                <w:b/>
                <w:sz w:val="18"/>
              </w:rPr>
              <w:t>3,062</w:t>
            </w:r>
          </w:p>
        </w:tc>
        <w:tc>
          <w:tcPr>
            <w:tcW w:w="991" w:type="dxa"/>
            <w:tcBorders>
              <w:bottom w:val="single" w:sz="1" w:space="0" w:color="000000"/>
            </w:tcBorders>
          </w:tcPr>
          <w:p>
            <w:pPr>
              <w:pStyle w:val="TableParagraph"/>
              <w:spacing w:before="18"/>
              <w:ind w:right="84"/>
              <w:jc w:val="right"/>
              <w:rPr>
                <w:sz w:val="18"/>
              </w:rPr>
            </w:pPr>
            <w:r>
              <w:rPr>
                <w:w w:val="95"/>
                <w:sz w:val="18"/>
              </w:rPr>
              <w:t>2,960</w:t>
            </w:r>
          </w:p>
        </w:tc>
      </w:tr>
      <w:tr>
        <w:trPr>
          <w:trHeight w:val="353" w:hRule="exact"/>
        </w:trPr>
        <w:tc>
          <w:tcPr>
            <w:tcW w:w="282" w:type="dxa"/>
          </w:tcPr>
          <w:p>
            <w:pPr/>
          </w:p>
        </w:tc>
        <w:tc>
          <w:tcPr>
            <w:tcW w:w="3296" w:type="dxa"/>
          </w:tcPr>
          <w:p>
            <w:pPr>
              <w:pStyle w:val="TableParagraph"/>
              <w:spacing w:before="125"/>
              <w:ind w:left="173"/>
              <w:rPr>
                <w:b/>
                <w:sz w:val="18"/>
              </w:rPr>
            </w:pPr>
            <w:r>
              <w:rPr>
                <w:b/>
                <w:sz w:val="18"/>
              </w:rPr>
              <w:t>Total other revenue and income</w:t>
            </w:r>
          </w:p>
        </w:tc>
        <w:tc>
          <w:tcPr>
            <w:tcW w:w="837" w:type="dxa"/>
          </w:tcPr>
          <w:p>
            <w:pPr/>
          </w:p>
        </w:tc>
        <w:tc>
          <w:tcPr>
            <w:tcW w:w="1625" w:type="dxa"/>
            <w:tcBorders>
              <w:top w:val="single" w:sz="1" w:space="0" w:color="000000"/>
              <w:bottom w:val="single" w:sz="1" w:space="0" w:color="000000"/>
            </w:tcBorders>
          </w:tcPr>
          <w:p>
            <w:pPr>
              <w:pStyle w:val="TableParagraph"/>
              <w:spacing w:before="124"/>
              <w:ind w:right="247"/>
              <w:jc w:val="right"/>
              <w:rPr>
                <w:b/>
                <w:sz w:val="18"/>
              </w:rPr>
            </w:pPr>
            <w:r>
              <w:rPr>
                <w:b/>
                <w:w w:val="95"/>
                <w:sz w:val="18"/>
              </w:rPr>
              <w:t>44,359</w:t>
            </w:r>
          </w:p>
        </w:tc>
        <w:tc>
          <w:tcPr>
            <w:tcW w:w="1387" w:type="dxa"/>
            <w:tcBorders>
              <w:top w:val="single" w:sz="1" w:space="0" w:color="000000"/>
              <w:bottom w:val="single" w:sz="1" w:space="0" w:color="000000"/>
            </w:tcBorders>
          </w:tcPr>
          <w:p>
            <w:pPr>
              <w:pStyle w:val="TableParagraph"/>
              <w:spacing w:before="124"/>
              <w:ind w:right="336"/>
              <w:jc w:val="right"/>
              <w:rPr>
                <w:sz w:val="18"/>
              </w:rPr>
            </w:pPr>
            <w:r>
              <w:rPr>
                <w:w w:val="95"/>
                <w:sz w:val="18"/>
              </w:rPr>
              <w:t>55,433</w:t>
            </w:r>
          </w:p>
        </w:tc>
        <w:tc>
          <w:tcPr>
            <w:tcW w:w="1517" w:type="dxa"/>
            <w:tcBorders>
              <w:top w:val="single" w:sz="1" w:space="0" w:color="000000"/>
              <w:bottom w:val="single" w:sz="1" w:space="0" w:color="000000"/>
            </w:tcBorders>
          </w:tcPr>
          <w:p>
            <w:pPr>
              <w:pStyle w:val="TableParagraph"/>
              <w:spacing w:before="124"/>
              <w:ind w:left="568"/>
              <w:rPr>
                <w:b/>
                <w:sz w:val="18"/>
              </w:rPr>
            </w:pPr>
            <w:r>
              <w:rPr>
                <w:b/>
                <w:sz w:val="18"/>
              </w:rPr>
              <w:t>53,800</w:t>
            </w:r>
          </w:p>
        </w:tc>
        <w:tc>
          <w:tcPr>
            <w:tcW w:w="991" w:type="dxa"/>
            <w:tcBorders>
              <w:top w:val="single" w:sz="1" w:space="0" w:color="000000"/>
              <w:bottom w:val="single" w:sz="1" w:space="0" w:color="000000"/>
            </w:tcBorders>
          </w:tcPr>
          <w:p>
            <w:pPr>
              <w:pStyle w:val="TableParagraph"/>
              <w:spacing w:before="124"/>
              <w:ind w:right="84"/>
              <w:jc w:val="right"/>
              <w:rPr>
                <w:sz w:val="18"/>
              </w:rPr>
            </w:pPr>
            <w:r>
              <w:rPr>
                <w:w w:val="95"/>
                <w:sz w:val="18"/>
              </w:rPr>
              <w:t>52,674</w:t>
            </w:r>
          </w:p>
        </w:tc>
      </w:tr>
    </w:tbl>
    <w:p>
      <w:pPr>
        <w:spacing w:after="0"/>
        <w:jc w:val="right"/>
        <w:rPr>
          <w:sz w:val="18"/>
        </w:rPr>
        <w:sectPr>
          <w:pgSz w:w="11910" w:h="16840"/>
          <w:pgMar w:header="1037" w:footer="507" w:top="2220" w:bottom="700" w:left="860" w:right="880"/>
        </w:sectPr>
      </w:pPr>
    </w:p>
    <w:p>
      <w:pPr>
        <w:pStyle w:val="BodyText"/>
        <w:rPr>
          <w:sz w:val="20"/>
        </w:rPr>
      </w:pPr>
    </w:p>
    <w:p>
      <w:pPr>
        <w:pStyle w:val="BodyText"/>
        <w:rPr>
          <w:sz w:val="20"/>
        </w:rPr>
      </w:pPr>
    </w:p>
    <w:p>
      <w:pPr>
        <w:pStyle w:val="BodyText"/>
        <w:spacing w:before="5"/>
      </w:pPr>
    </w:p>
    <w:p>
      <w:pPr>
        <w:pStyle w:val="Heading9"/>
        <w:ind w:left="150" w:right="105"/>
      </w:pPr>
      <w:bookmarkStart w:name="10 Gain on disposal of assets " w:id="77"/>
      <w:bookmarkEnd w:id="77"/>
      <w:r>
        <w:rPr>
          <w:b w:val="0"/>
        </w:rPr>
      </w:r>
      <w:r>
        <w:rPr/>
        <w:t>10    Gain on disposal of assets</w:t>
      </w:r>
    </w:p>
    <w:p>
      <w:pPr>
        <w:tabs>
          <w:tab w:pos="8415" w:val="left" w:leader="none"/>
        </w:tabs>
        <w:spacing w:before="62"/>
        <w:ind w:left="5380" w:right="105" w:firstLine="0"/>
        <w:jc w:val="left"/>
        <w:rPr>
          <w:b/>
          <w:sz w:val="18"/>
        </w:rPr>
      </w:pPr>
      <w:r>
        <w:rPr>
          <w:b/>
          <w:sz w:val="18"/>
        </w:rPr>
        <w:t>Consolidated</w:t>
        <w:tab/>
        <w:t>Parent</w:t>
      </w:r>
    </w:p>
    <w:p>
      <w:pPr>
        <w:spacing w:after="0"/>
        <w:jc w:val="left"/>
        <w:rPr>
          <w:sz w:val="18"/>
        </w:rPr>
        <w:sectPr>
          <w:pgSz w:w="11910" w:h="16840"/>
          <w:pgMar w:header="1037" w:footer="507" w:top="2220" w:bottom="700" w:left="860" w:right="880"/>
        </w:sectPr>
      </w:pPr>
    </w:p>
    <w:p>
      <w:pPr>
        <w:spacing w:before="95"/>
        <w:ind w:left="0" w:right="19" w:firstLine="0"/>
        <w:jc w:val="right"/>
        <w:rPr>
          <w:b/>
          <w:sz w:val="18"/>
        </w:rPr>
      </w:pPr>
      <w:r>
        <w:rPr>
          <w:b/>
          <w:sz w:val="18"/>
        </w:rPr>
        <w:t>2017</w:t>
      </w:r>
    </w:p>
    <w:p>
      <w:pPr>
        <w:spacing w:before="66"/>
        <w:ind w:left="0" w:right="0" w:firstLine="0"/>
        <w:jc w:val="right"/>
        <w:rPr>
          <w:b/>
          <w:sz w:val="18"/>
        </w:rPr>
      </w:pPr>
      <w:r>
        <w:rPr>
          <w:b/>
          <w:sz w:val="18"/>
        </w:rPr>
        <w:t>$'000</w:t>
      </w:r>
    </w:p>
    <w:p>
      <w:pPr>
        <w:spacing w:before="95"/>
        <w:ind w:left="817" w:right="-17" w:firstLine="0"/>
        <w:jc w:val="left"/>
        <w:rPr>
          <w:b/>
          <w:sz w:val="18"/>
        </w:rPr>
      </w:pPr>
      <w:r>
        <w:rPr/>
        <w:br w:type="column"/>
      </w:r>
      <w:r>
        <w:rPr>
          <w:b/>
          <w:sz w:val="18"/>
        </w:rPr>
        <w:t>2016</w:t>
      </w:r>
    </w:p>
    <w:p>
      <w:pPr>
        <w:spacing w:before="66"/>
        <w:ind w:left="795" w:right="-17" w:firstLine="0"/>
        <w:jc w:val="left"/>
        <w:rPr>
          <w:b/>
          <w:sz w:val="18"/>
        </w:rPr>
      </w:pPr>
      <w:r>
        <w:rPr>
          <w:b/>
          <w:sz w:val="18"/>
        </w:rPr>
        <w:t>$'000</w:t>
      </w:r>
    </w:p>
    <w:p>
      <w:pPr>
        <w:spacing w:before="95"/>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95"/>
        <w:ind w:left="817" w:right="0" w:firstLine="0"/>
        <w:jc w:val="left"/>
        <w:rPr>
          <w:b/>
          <w:sz w:val="18"/>
        </w:rPr>
      </w:pPr>
      <w:r>
        <w:rPr/>
        <w:br w:type="column"/>
      </w:r>
      <w:r>
        <w:rPr>
          <w:b/>
          <w:sz w:val="18"/>
        </w:rPr>
        <w:t>2016</w:t>
      </w:r>
    </w:p>
    <w:p>
      <w:pPr>
        <w:spacing w:before="66"/>
        <w:ind w:left="795" w:right="0" w:firstLine="0"/>
        <w:jc w:val="left"/>
        <w:rPr>
          <w:b/>
          <w:sz w:val="18"/>
        </w:rPr>
      </w:pPr>
      <w:r>
        <w:rPr>
          <w:b/>
          <w:sz w:val="18"/>
        </w:rPr>
        <w:t>$'000</w:t>
      </w:r>
    </w:p>
    <w:p>
      <w:pPr>
        <w:spacing w:after="0"/>
        <w:jc w:val="left"/>
        <w:rPr>
          <w:sz w:val="18"/>
        </w:rPr>
        <w:sectPr>
          <w:type w:val="continuous"/>
          <w:pgSz w:w="11910" w:h="16840"/>
          <w:pgMar w:top="1580" w:bottom="280" w:left="860" w:right="880"/>
          <w:cols w:num="4" w:equalWidth="0">
            <w:col w:w="5594" w:space="40"/>
            <w:col w:w="1242" w:space="40"/>
            <w:col w:w="1439" w:space="40"/>
            <w:col w:w="1775"/>
          </w:cols>
        </w:sectPr>
      </w:pPr>
    </w:p>
    <w:p>
      <w:pPr>
        <w:pStyle w:val="BodyText"/>
        <w:spacing w:before="1"/>
        <w:rPr>
          <w:b/>
          <w:sz w:val="3"/>
        </w:rPr>
      </w:pPr>
    </w:p>
    <w:tbl>
      <w:tblPr>
        <w:tblW w:w="0" w:type="auto"/>
        <w:jc w:val="left"/>
        <w:tblInd w:w="55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81"/>
        <w:gridCol w:w="1746"/>
        <w:gridCol w:w="1380"/>
        <w:gridCol w:w="1380"/>
        <w:gridCol w:w="1014"/>
      </w:tblGrid>
      <w:tr>
        <w:trPr>
          <w:trHeight w:val="301" w:hRule="exact"/>
        </w:trPr>
        <w:tc>
          <w:tcPr>
            <w:tcW w:w="3981" w:type="dxa"/>
          </w:tcPr>
          <w:p>
            <w:pPr>
              <w:pStyle w:val="TableParagraph"/>
              <w:spacing w:before="57"/>
              <w:ind w:left="35" w:right="750"/>
              <w:rPr>
                <w:sz w:val="18"/>
              </w:rPr>
            </w:pPr>
            <w:bookmarkStart w:name="11 Employee related expenses " w:id="78"/>
            <w:bookmarkEnd w:id="78"/>
            <w:r>
              <w:rPr/>
            </w:r>
            <w:r>
              <w:rPr>
                <w:sz w:val="18"/>
              </w:rPr>
              <w:t>Proceeds from sale</w:t>
            </w:r>
          </w:p>
        </w:tc>
        <w:tc>
          <w:tcPr>
            <w:tcW w:w="1746" w:type="dxa"/>
          </w:tcPr>
          <w:p>
            <w:pPr>
              <w:pStyle w:val="TableParagraph"/>
              <w:spacing w:before="54"/>
              <w:ind w:right="369"/>
              <w:jc w:val="right"/>
              <w:rPr>
                <w:b/>
                <w:sz w:val="18"/>
              </w:rPr>
            </w:pPr>
            <w:r>
              <w:rPr>
                <w:b/>
                <w:w w:val="95"/>
                <w:sz w:val="18"/>
              </w:rPr>
              <w:t>95,076</w:t>
            </w:r>
          </w:p>
        </w:tc>
        <w:tc>
          <w:tcPr>
            <w:tcW w:w="1380" w:type="dxa"/>
          </w:tcPr>
          <w:p>
            <w:pPr>
              <w:pStyle w:val="TableParagraph"/>
              <w:spacing w:before="54"/>
              <w:ind w:left="210" w:right="292"/>
              <w:jc w:val="center"/>
              <w:rPr>
                <w:sz w:val="18"/>
              </w:rPr>
            </w:pPr>
            <w:r>
              <w:rPr>
                <w:sz w:val="18"/>
              </w:rPr>
              <w:t>25,771</w:t>
            </w:r>
          </w:p>
        </w:tc>
        <w:tc>
          <w:tcPr>
            <w:tcW w:w="1380" w:type="dxa"/>
          </w:tcPr>
          <w:p>
            <w:pPr>
              <w:pStyle w:val="TableParagraph"/>
              <w:spacing w:before="54"/>
              <w:ind w:left="293" w:right="210"/>
              <w:jc w:val="center"/>
              <w:rPr>
                <w:b/>
                <w:sz w:val="18"/>
              </w:rPr>
            </w:pPr>
            <w:r>
              <w:rPr>
                <w:b/>
                <w:sz w:val="18"/>
              </w:rPr>
              <w:t>94,841</w:t>
            </w:r>
          </w:p>
        </w:tc>
        <w:tc>
          <w:tcPr>
            <w:tcW w:w="1014" w:type="dxa"/>
          </w:tcPr>
          <w:p>
            <w:pPr>
              <w:pStyle w:val="TableParagraph"/>
              <w:spacing w:before="54"/>
              <w:ind w:left="370"/>
              <w:rPr>
                <w:sz w:val="18"/>
              </w:rPr>
            </w:pPr>
            <w:r>
              <w:rPr>
                <w:sz w:val="18"/>
              </w:rPr>
              <w:t>25,306</w:t>
            </w:r>
          </w:p>
        </w:tc>
      </w:tr>
      <w:tr>
        <w:trPr>
          <w:trHeight w:val="260" w:hRule="exact"/>
        </w:trPr>
        <w:tc>
          <w:tcPr>
            <w:tcW w:w="3981" w:type="dxa"/>
          </w:tcPr>
          <w:p>
            <w:pPr>
              <w:pStyle w:val="TableParagraph"/>
              <w:spacing w:before="20"/>
              <w:ind w:left="35" w:right="750"/>
              <w:rPr>
                <w:sz w:val="18"/>
              </w:rPr>
            </w:pPr>
            <w:r>
              <w:rPr>
                <w:sz w:val="18"/>
              </w:rPr>
              <w:t>Carrying amount of assets sold</w:t>
            </w:r>
          </w:p>
        </w:tc>
        <w:tc>
          <w:tcPr>
            <w:tcW w:w="1746" w:type="dxa"/>
            <w:tcBorders>
              <w:bottom w:val="single" w:sz="1" w:space="0" w:color="000000"/>
            </w:tcBorders>
          </w:tcPr>
          <w:p>
            <w:pPr>
              <w:pStyle w:val="TableParagraph"/>
              <w:spacing w:before="18"/>
              <w:ind w:right="308"/>
              <w:jc w:val="right"/>
              <w:rPr>
                <w:b/>
                <w:sz w:val="18"/>
              </w:rPr>
            </w:pPr>
            <w:r>
              <w:rPr>
                <w:b/>
                <w:w w:val="95"/>
                <w:sz w:val="18"/>
              </w:rPr>
              <w:t>(59,053)</w:t>
            </w:r>
          </w:p>
        </w:tc>
        <w:tc>
          <w:tcPr>
            <w:tcW w:w="1380" w:type="dxa"/>
            <w:tcBorders>
              <w:bottom w:val="single" w:sz="1" w:space="0" w:color="000000"/>
            </w:tcBorders>
          </w:tcPr>
          <w:p>
            <w:pPr>
              <w:pStyle w:val="TableParagraph"/>
              <w:spacing w:before="18"/>
              <w:ind w:left="209" w:right="292"/>
              <w:jc w:val="center"/>
              <w:rPr>
                <w:sz w:val="18"/>
              </w:rPr>
            </w:pPr>
            <w:r>
              <w:rPr>
                <w:sz w:val="18"/>
              </w:rPr>
              <w:t>(12,580)</w:t>
            </w:r>
          </w:p>
        </w:tc>
        <w:tc>
          <w:tcPr>
            <w:tcW w:w="1380" w:type="dxa"/>
            <w:tcBorders>
              <w:bottom w:val="single" w:sz="1" w:space="0" w:color="000000"/>
            </w:tcBorders>
          </w:tcPr>
          <w:p>
            <w:pPr>
              <w:pStyle w:val="TableParagraph"/>
              <w:spacing w:before="18"/>
              <w:ind w:left="293" w:right="209"/>
              <w:jc w:val="center"/>
              <w:rPr>
                <w:b/>
                <w:sz w:val="18"/>
              </w:rPr>
            </w:pPr>
            <w:r>
              <w:rPr>
                <w:b/>
                <w:sz w:val="18"/>
              </w:rPr>
              <w:t>(58,901)</w:t>
            </w:r>
          </w:p>
        </w:tc>
        <w:tc>
          <w:tcPr>
            <w:tcW w:w="1014" w:type="dxa"/>
            <w:tcBorders>
              <w:bottom w:val="single" w:sz="1" w:space="0" w:color="000000"/>
            </w:tcBorders>
          </w:tcPr>
          <w:p>
            <w:pPr>
              <w:pStyle w:val="TableParagraph"/>
              <w:spacing w:before="18"/>
              <w:ind w:left="310"/>
              <w:rPr>
                <w:sz w:val="18"/>
              </w:rPr>
            </w:pPr>
            <w:r>
              <w:rPr>
                <w:sz w:val="18"/>
              </w:rPr>
              <w:t>(12,464)</w:t>
            </w:r>
          </w:p>
        </w:tc>
      </w:tr>
      <w:tr>
        <w:trPr>
          <w:trHeight w:val="353" w:hRule="exact"/>
        </w:trPr>
        <w:tc>
          <w:tcPr>
            <w:tcW w:w="3981" w:type="dxa"/>
          </w:tcPr>
          <w:p>
            <w:pPr>
              <w:pStyle w:val="TableParagraph"/>
              <w:spacing w:before="125"/>
              <w:ind w:left="35" w:right="750"/>
              <w:rPr>
                <w:b/>
                <w:sz w:val="18"/>
              </w:rPr>
            </w:pPr>
            <w:r>
              <w:rPr>
                <w:b/>
                <w:sz w:val="18"/>
              </w:rPr>
              <w:t>Total gain on disposal of assets</w:t>
            </w:r>
          </w:p>
        </w:tc>
        <w:tc>
          <w:tcPr>
            <w:tcW w:w="1746" w:type="dxa"/>
            <w:tcBorders>
              <w:top w:val="single" w:sz="1" w:space="0" w:color="000000"/>
              <w:bottom w:val="single" w:sz="1" w:space="0" w:color="000000"/>
            </w:tcBorders>
          </w:tcPr>
          <w:p>
            <w:pPr>
              <w:pStyle w:val="TableParagraph"/>
              <w:spacing w:before="124"/>
              <w:ind w:right="369"/>
              <w:jc w:val="right"/>
              <w:rPr>
                <w:b/>
                <w:sz w:val="18"/>
              </w:rPr>
            </w:pPr>
            <w:r>
              <w:rPr>
                <w:b/>
                <w:w w:val="95"/>
                <w:sz w:val="18"/>
              </w:rPr>
              <w:t>36,023</w:t>
            </w:r>
          </w:p>
        </w:tc>
        <w:tc>
          <w:tcPr>
            <w:tcW w:w="1380" w:type="dxa"/>
            <w:tcBorders>
              <w:top w:val="single" w:sz="1" w:space="0" w:color="000000"/>
              <w:bottom w:val="single" w:sz="1" w:space="0" w:color="000000"/>
            </w:tcBorders>
          </w:tcPr>
          <w:p>
            <w:pPr>
              <w:pStyle w:val="TableParagraph"/>
              <w:spacing w:before="124"/>
              <w:ind w:left="210" w:right="292"/>
              <w:jc w:val="center"/>
              <w:rPr>
                <w:sz w:val="18"/>
              </w:rPr>
            </w:pPr>
            <w:r>
              <w:rPr>
                <w:sz w:val="18"/>
              </w:rPr>
              <w:t>13,191</w:t>
            </w:r>
          </w:p>
        </w:tc>
        <w:tc>
          <w:tcPr>
            <w:tcW w:w="1380" w:type="dxa"/>
            <w:tcBorders>
              <w:top w:val="single" w:sz="1" w:space="0" w:color="000000"/>
              <w:bottom w:val="single" w:sz="1" w:space="0" w:color="000000"/>
            </w:tcBorders>
          </w:tcPr>
          <w:p>
            <w:pPr>
              <w:pStyle w:val="TableParagraph"/>
              <w:spacing w:before="124"/>
              <w:ind w:left="293" w:right="210"/>
              <w:jc w:val="center"/>
              <w:rPr>
                <w:b/>
                <w:sz w:val="18"/>
              </w:rPr>
            </w:pPr>
            <w:r>
              <w:rPr>
                <w:b/>
                <w:sz w:val="18"/>
              </w:rPr>
              <w:t>35,940</w:t>
            </w:r>
          </w:p>
        </w:tc>
        <w:tc>
          <w:tcPr>
            <w:tcW w:w="1014" w:type="dxa"/>
            <w:tcBorders>
              <w:top w:val="single" w:sz="1" w:space="0" w:color="000000"/>
              <w:bottom w:val="single" w:sz="1" w:space="0" w:color="000000"/>
            </w:tcBorders>
          </w:tcPr>
          <w:p>
            <w:pPr>
              <w:pStyle w:val="TableParagraph"/>
              <w:spacing w:before="124"/>
              <w:ind w:left="370"/>
              <w:rPr>
                <w:sz w:val="18"/>
              </w:rPr>
            </w:pPr>
            <w:r>
              <w:rPr>
                <w:sz w:val="18"/>
              </w:rPr>
              <w:t>12,842</w:t>
            </w:r>
          </w:p>
        </w:tc>
      </w:tr>
    </w:tbl>
    <w:p>
      <w:pPr>
        <w:pStyle w:val="BodyText"/>
        <w:rPr>
          <w:b/>
          <w:sz w:val="20"/>
        </w:rPr>
      </w:pPr>
    </w:p>
    <w:p>
      <w:pPr>
        <w:pStyle w:val="BodyText"/>
        <w:spacing w:before="6"/>
        <w:rPr>
          <w:b/>
          <w:sz w:val="16"/>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7"/>
        <w:gridCol w:w="4011"/>
        <w:gridCol w:w="1627"/>
        <w:gridCol w:w="1386"/>
        <w:gridCol w:w="1523"/>
        <w:gridCol w:w="984"/>
      </w:tblGrid>
      <w:tr>
        <w:trPr>
          <w:trHeight w:val="567" w:hRule="exact"/>
        </w:trPr>
        <w:tc>
          <w:tcPr>
            <w:tcW w:w="407" w:type="dxa"/>
          </w:tcPr>
          <w:p>
            <w:pPr>
              <w:pStyle w:val="TableParagraph"/>
              <w:spacing w:before="77"/>
              <w:ind w:left="35"/>
              <w:rPr>
                <w:b/>
                <w:sz w:val="18"/>
              </w:rPr>
            </w:pPr>
            <w:r>
              <w:rPr>
                <w:b/>
                <w:sz w:val="18"/>
              </w:rPr>
              <w:t>11</w:t>
            </w:r>
          </w:p>
        </w:tc>
        <w:tc>
          <w:tcPr>
            <w:tcW w:w="4011" w:type="dxa"/>
          </w:tcPr>
          <w:p>
            <w:pPr>
              <w:pStyle w:val="TableParagraph"/>
              <w:spacing w:before="77"/>
              <w:ind w:left="21"/>
              <w:rPr>
                <w:b/>
                <w:sz w:val="18"/>
              </w:rPr>
            </w:pPr>
            <w:r>
              <w:rPr>
                <w:b/>
                <w:sz w:val="18"/>
              </w:rPr>
              <w:t>Employee related expenses</w:t>
            </w:r>
          </w:p>
        </w:tc>
        <w:tc>
          <w:tcPr>
            <w:tcW w:w="3013" w:type="dxa"/>
            <w:gridSpan w:val="2"/>
          </w:tcPr>
          <w:p>
            <w:pPr>
              <w:pStyle w:val="TableParagraph"/>
              <w:rPr>
                <w:b/>
                <w:sz w:val="18"/>
              </w:rPr>
            </w:pPr>
          </w:p>
          <w:p>
            <w:pPr>
              <w:pStyle w:val="TableParagraph"/>
              <w:spacing w:before="110"/>
              <w:ind w:left="825"/>
              <w:rPr>
                <w:b/>
                <w:sz w:val="18"/>
              </w:rPr>
            </w:pPr>
            <w:r>
              <w:rPr>
                <w:b/>
                <w:sz w:val="18"/>
              </w:rPr>
              <w:t>Consolidated</w:t>
            </w:r>
          </w:p>
        </w:tc>
        <w:tc>
          <w:tcPr>
            <w:tcW w:w="1523" w:type="dxa"/>
          </w:tcPr>
          <w:p>
            <w:pPr>
              <w:pStyle w:val="TableParagraph"/>
              <w:rPr>
                <w:b/>
                <w:sz w:val="18"/>
              </w:rPr>
            </w:pPr>
          </w:p>
          <w:p>
            <w:pPr>
              <w:pStyle w:val="TableParagraph"/>
              <w:spacing w:before="110"/>
              <w:ind w:left="860"/>
              <w:rPr>
                <w:b/>
                <w:sz w:val="18"/>
              </w:rPr>
            </w:pPr>
            <w:r>
              <w:rPr>
                <w:b/>
                <w:sz w:val="18"/>
              </w:rPr>
              <w:t>Parent</w:t>
            </w:r>
          </w:p>
        </w:tc>
        <w:tc>
          <w:tcPr>
            <w:tcW w:w="984" w:type="dxa"/>
          </w:tcPr>
          <w:p>
            <w:pPr/>
          </w:p>
        </w:tc>
      </w:tr>
      <w:tr>
        <w:trPr>
          <w:trHeight w:val="274" w:hRule="exact"/>
        </w:trPr>
        <w:tc>
          <w:tcPr>
            <w:tcW w:w="407" w:type="dxa"/>
          </w:tcPr>
          <w:p>
            <w:pPr/>
          </w:p>
        </w:tc>
        <w:tc>
          <w:tcPr>
            <w:tcW w:w="4011" w:type="dxa"/>
          </w:tcPr>
          <w:p>
            <w:pPr/>
          </w:p>
        </w:tc>
        <w:tc>
          <w:tcPr>
            <w:tcW w:w="1627" w:type="dxa"/>
          </w:tcPr>
          <w:p>
            <w:pPr>
              <w:pStyle w:val="TableParagraph"/>
              <w:spacing w:before="24"/>
              <w:ind w:left="614"/>
              <w:rPr>
                <w:b/>
                <w:sz w:val="18"/>
              </w:rPr>
            </w:pPr>
            <w:r>
              <w:rPr>
                <w:b/>
                <w:sz w:val="18"/>
              </w:rPr>
              <w:t>2017</w:t>
            </w:r>
          </w:p>
        </w:tc>
        <w:tc>
          <w:tcPr>
            <w:tcW w:w="1386" w:type="dxa"/>
          </w:tcPr>
          <w:p>
            <w:pPr>
              <w:pStyle w:val="TableParagraph"/>
              <w:spacing w:before="24"/>
              <w:ind w:left="271"/>
              <w:rPr>
                <w:b/>
                <w:sz w:val="18"/>
              </w:rPr>
            </w:pPr>
            <w:r>
              <w:rPr>
                <w:b/>
                <w:sz w:val="18"/>
              </w:rPr>
              <w:t>2016</w:t>
            </w:r>
          </w:p>
        </w:tc>
        <w:tc>
          <w:tcPr>
            <w:tcW w:w="1523" w:type="dxa"/>
          </w:tcPr>
          <w:p>
            <w:pPr>
              <w:pStyle w:val="TableParagraph"/>
              <w:spacing w:before="24"/>
              <w:ind w:left="361"/>
              <w:rPr>
                <w:b/>
                <w:sz w:val="18"/>
              </w:rPr>
            </w:pPr>
            <w:r>
              <w:rPr>
                <w:b/>
                <w:sz w:val="18"/>
              </w:rPr>
              <w:t>2017</w:t>
            </w:r>
          </w:p>
        </w:tc>
        <w:tc>
          <w:tcPr>
            <w:tcW w:w="984" w:type="dxa"/>
          </w:tcPr>
          <w:p>
            <w:pPr>
              <w:pStyle w:val="TableParagraph"/>
              <w:spacing w:before="24"/>
              <w:ind w:left="122"/>
              <w:rPr>
                <w:b/>
                <w:sz w:val="18"/>
              </w:rPr>
            </w:pPr>
            <w:r>
              <w:rPr>
                <w:b/>
                <w:sz w:val="18"/>
              </w:rPr>
              <w:t>2016</w:t>
            </w:r>
          </w:p>
        </w:tc>
      </w:tr>
      <w:tr>
        <w:trPr>
          <w:trHeight w:val="313" w:hRule="exact"/>
        </w:trPr>
        <w:tc>
          <w:tcPr>
            <w:tcW w:w="407" w:type="dxa"/>
          </w:tcPr>
          <w:p>
            <w:pPr/>
          </w:p>
        </w:tc>
        <w:tc>
          <w:tcPr>
            <w:tcW w:w="4011" w:type="dxa"/>
          </w:tcPr>
          <w:p>
            <w:pPr/>
          </w:p>
        </w:tc>
        <w:tc>
          <w:tcPr>
            <w:tcW w:w="1627" w:type="dxa"/>
          </w:tcPr>
          <w:p>
            <w:pPr>
              <w:pStyle w:val="TableParagraph"/>
              <w:spacing w:before="24"/>
              <w:ind w:left="592"/>
              <w:rPr>
                <w:b/>
                <w:sz w:val="18"/>
              </w:rPr>
            </w:pPr>
            <w:r>
              <w:rPr>
                <w:b/>
                <w:sz w:val="18"/>
              </w:rPr>
              <w:t>$'000</w:t>
            </w:r>
          </w:p>
        </w:tc>
        <w:tc>
          <w:tcPr>
            <w:tcW w:w="1386" w:type="dxa"/>
          </w:tcPr>
          <w:p>
            <w:pPr>
              <w:pStyle w:val="TableParagraph"/>
              <w:spacing w:before="24"/>
              <w:ind w:left="249"/>
              <w:rPr>
                <w:b/>
                <w:sz w:val="18"/>
              </w:rPr>
            </w:pPr>
            <w:r>
              <w:rPr>
                <w:b/>
                <w:sz w:val="18"/>
              </w:rPr>
              <w:t>$'000</w:t>
            </w:r>
          </w:p>
        </w:tc>
        <w:tc>
          <w:tcPr>
            <w:tcW w:w="1523" w:type="dxa"/>
          </w:tcPr>
          <w:p>
            <w:pPr>
              <w:pStyle w:val="TableParagraph"/>
              <w:spacing w:before="24"/>
              <w:ind w:left="339"/>
              <w:rPr>
                <w:b/>
                <w:sz w:val="18"/>
              </w:rPr>
            </w:pPr>
            <w:r>
              <w:rPr>
                <w:b/>
                <w:sz w:val="18"/>
              </w:rPr>
              <w:t>$'000</w:t>
            </w:r>
          </w:p>
        </w:tc>
        <w:tc>
          <w:tcPr>
            <w:tcW w:w="984" w:type="dxa"/>
          </w:tcPr>
          <w:p>
            <w:pPr>
              <w:pStyle w:val="TableParagraph"/>
              <w:spacing w:before="24"/>
              <w:ind w:left="100"/>
              <w:rPr>
                <w:b/>
                <w:sz w:val="18"/>
              </w:rPr>
            </w:pPr>
            <w:r>
              <w:rPr>
                <w:b/>
                <w:sz w:val="18"/>
              </w:rPr>
              <w:t>$'000</w:t>
            </w:r>
          </w:p>
        </w:tc>
      </w:tr>
      <w:tr>
        <w:trPr>
          <w:trHeight w:val="294" w:hRule="exact"/>
        </w:trPr>
        <w:tc>
          <w:tcPr>
            <w:tcW w:w="407" w:type="dxa"/>
          </w:tcPr>
          <w:p>
            <w:pPr/>
          </w:p>
        </w:tc>
        <w:tc>
          <w:tcPr>
            <w:tcW w:w="4011" w:type="dxa"/>
          </w:tcPr>
          <w:p>
            <w:pPr>
              <w:pStyle w:val="TableParagraph"/>
              <w:spacing w:before="63"/>
              <w:ind w:left="48"/>
              <w:rPr>
                <w:b/>
                <w:sz w:val="18"/>
              </w:rPr>
            </w:pPr>
            <w:r>
              <w:rPr>
                <w:b/>
                <w:sz w:val="18"/>
              </w:rPr>
              <w:t>Academic</w:t>
            </w:r>
          </w:p>
        </w:tc>
        <w:tc>
          <w:tcPr>
            <w:tcW w:w="1627" w:type="dxa"/>
          </w:tcPr>
          <w:p>
            <w:pPr/>
          </w:p>
        </w:tc>
        <w:tc>
          <w:tcPr>
            <w:tcW w:w="1386" w:type="dxa"/>
          </w:tcPr>
          <w:p>
            <w:pPr/>
          </w:p>
        </w:tc>
        <w:tc>
          <w:tcPr>
            <w:tcW w:w="1523" w:type="dxa"/>
          </w:tcPr>
          <w:p>
            <w:pPr/>
          </w:p>
        </w:tc>
        <w:tc>
          <w:tcPr>
            <w:tcW w:w="984" w:type="dxa"/>
          </w:tcPr>
          <w:p>
            <w:pPr/>
          </w:p>
        </w:tc>
      </w:tr>
      <w:tr>
        <w:trPr>
          <w:trHeight w:val="250" w:hRule="exact"/>
        </w:trPr>
        <w:tc>
          <w:tcPr>
            <w:tcW w:w="407" w:type="dxa"/>
          </w:tcPr>
          <w:p>
            <w:pPr/>
          </w:p>
        </w:tc>
        <w:tc>
          <w:tcPr>
            <w:tcW w:w="4011" w:type="dxa"/>
          </w:tcPr>
          <w:p>
            <w:pPr>
              <w:pStyle w:val="TableParagraph"/>
              <w:spacing w:before="7"/>
              <w:ind w:left="261"/>
              <w:rPr>
                <w:sz w:val="18"/>
              </w:rPr>
            </w:pPr>
            <w:r>
              <w:rPr>
                <w:sz w:val="18"/>
              </w:rPr>
              <w:t>Salaries</w:t>
            </w:r>
          </w:p>
        </w:tc>
        <w:tc>
          <w:tcPr>
            <w:tcW w:w="1627" w:type="dxa"/>
          </w:tcPr>
          <w:p>
            <w:pPr>
              <w:pStyle w:val="TableParagraph"/>
              <w:spacing w:before="4"/>
              <w:ind w:right="247"/>
              <w:jc w:val="right"/>
              <w:rPr>
                <w:b/>
                <w:sz w:val="18"/>
              </w:rPr>
            </w:pPr>
            <w:r>
              <w:rPr>
                <w:b/>
                <w:w w:val="95"/>
                <w:sz w:val="18"/>
              </w:rPr>
              <w:t>186,204</w:t>
            </w:r>
          </w:p>
        </w:tc>
        <w:tc>
          <w:tcPr>
            <w:tcW w:w="1386" w:type="dxa"/>
          </w:tcPr>
          <w:p>
            <w:pPr>
              <w:pStyle w:val="TableParagraph"/>
              <w:spacing w:before="4"/>
              <w:ind w:right="337"/>
              <w:jc w:val="right"/>
              <w:rPr>
                <w:sz w:val="18"/>
              </w:rPr>
            </w:pPr>
            <w:r>
              <w:rPr>
                <w:w w:val="95"/>
                <w:sz w:val="18"/>
              </w:rPr>
              <w:t>191,081</w:t>
            </w:r>
          </w:p>
        </w:tc>
        <w:tc>
          <w:tcPr>
            <w:tcW w:w="1523" w:type="dxa"/>
          </w:tcPr>
          <w:p>
            <w:pPr>
              <w:pStyle w:val="TableParagraph"/>
              <w:spacing w:before="4"/>
              <w:ind w:left="469"/>
              <w:rPr>
                <w:b/>
                <w:sz w:val="18"/>
              </w:rPr>
            </w:pPr>
            <w:r>
              <w:rPr>
                <w:b/>
                <w:sz w:val="18"/>
              </w:rPr>
              <w:t>166,257</w:t>
            </w:r>
          </w:p>
        </w:tc>
        <w:tc>
          <w:tcPr>
            <w:tcW w:w="984" w:type="dxa"/>
          </w:tcPr>
          <w:p>
            <w:pPr>
              <w:pStyle w:val="TableParagraph"/>
              <w:spacing w:before="4"/>
              <w:ind w:right="84"/>
              <w:jc w:val="right"/>
              <w:rPr>
                <w:sz w:val="18"/>
              </w:rPr>
            </w:pPr>
            <w:r>
              <w:rPr>
                <w:w w:val="95"/>
                <w:sz w:val="18"/>
              </w:rPr>
              <w:t>170,181</w:t>
            </w:r>
          </w:p>
        </w:tc>
      </w:tr>
      <w:tr>
        <w:trPr>
          <w:trHeight w:val="232" w:hRule="exact"/>
        </w:trPr>
        <w:tc>
          <w:tcPr>
            <w:tcW w:w="407" w:type="dxa"/>
          </w:tcPr>
          <w:p>
            <w:pPr/>
          </w:p>
        </w:tc>
        <w:tc>
          <w:tcPr>
            <w:tcW w:w="4011" w:type="dxa"/>
          </w:tcPr>
          <w:p>
            <w:pPr>
              <w:pStyle w:val="TableParagraph"/>
              <w:spacing w:before="16"/>
              <w:ind w:left="261"/>
              <w:rPr>
                <w:sz w:val="18"/>
              </w:rPr>
            </w:pPr>
            <w:r>
              <w:rPr>
                <w:sz w:val="18"/>
              </w:rPr>
              <w:t>Contribution to superannuation</w:t>
            </w:r>
          </w:p>
        </w:tc>
        <w:tc>
          <w:tcPr>
            <w:tcW w:w="1627" w:type="dxa"/>
          </w:tcPr>
          <w:p>
            <w:pPr/>
          </w:p>
        </w:tc>
        <w:tc>
          <w:tcPr>
            <w:tcW w:w="1386" w:type="dxa"/>
          </w:tcPr>
          <w:p>
            <w:pPr/>
          </w:p>
        </w:tc>
        <w:tc>
          <w:tcPr>
            <w:tcW w:w="1523" w:type="dxa"/>
          </w:tcPr>
          <w:p>
            <w:pPr/>
          </w:p>
        </w:tc>
        <w:tc>
          <w:tcPr>
            <w:tcW w:w="984" w:type="dxa"/>
          </w:tcPr>
          <w:p>
            <w:pPr/>
          </w:p>
        </w:tc>
      </w:tr>
      <w:tr>
        <w:trPr>
          <w:trHeight w:val="235" w:hRule="exact"/>
        </w:trPr>
        <w:tc>
          <w:tcPr>
            <w:tcW w:w="407" w:type="dxa"/>
          </w:tcPr>
          <w:p>
            <w:pPr/>
          </w:p>
        </w:tc>
        <w:tc>
          <w:tcPr>
            <w:tcW w:w="4011" w:type="dxa"/>
          </w:tcPr>
          <w:p>
            <w:pPr>
              <w:pStyle w:val="TableParagraph"/>
              <w:spacing w:line="198" w:lineRule="exact"/>
              <w:ind w:left="261"/>
              <w:rPr>
                <w:sz w:val="18"/>
              </w:rPr>
            </w:pPr>
            <w:r>
              <w:rPr>
                <w:sz w:val="18"/>
              </w:rPr>
              <w:t>&amp; pension schemes - funded</w:t>
            </w:r>
          </w:p>
        </w:tc>
        <w:tc>
          <w:tcPr>
            <w:tcW w:w="1627" w:type="dxa"/>
          </w:tcPr>
          <w:p>
            <w:pPr>
              <w:pStyle w:val="TableParagraph"/>
              <w:spacing w:line="196" w:lineRule="exact"/>
              <w:ind w:right="247"/>
              <w:jc w:val="right"/>
              <w:rPr>
                <w:b/>
                <w:sz w:val="18"/>
              </w:rPr>
            </w:pPr>
            <w:r>
              <w:rPr>
                <w:b/>
                <w:w w:val="95"/>
                <w:sz w:val="18"/>
              </w:rPr>
              <w:t>26,576</w:t>
            </w:r>
          </w:p>
        </w:tc>
        <w:tc>
          <w:tcPr>
            <w:tcW w:w="1386" w:type="dxa"/>
          </w:tcPr>
          <w:p>
            <w:pPr>
              <w:pStyle w:val="TableParagraph"/>
              <w:spacing w:line="196" w:lineRule="exact"/>
              <w:ind w:right="337"/>
              <w:jc w:val="right"/>
              <w:rPr>
                <w:sz w:val="18"/>
              </w:rPr>
            </w:pPr>
            <w:r>
              <w:rPr>
                <w:w w:val="95"/>
                <w:sz w:val="18"/>
              </w:rPr>
              <w:t>26,771</w:t>
            </w:r>
          </w:p>
        </w:tc>
        <w:tc>
          <w:tcPr>
            <w:tcW w:w="1523" w:type="dxa"/>
          </w:tcPr>
          <w:p>
            <w:pPr>
              <w:pStyle w:val="TableParagraph"/>
              <w:spacing w:line="196" w:lineRule="exact"/>
              <w:ind w:left="570"/>
              <w:rPr>
                <w:b/>
                <w:sz w:val="18"/>
              </w:rPr>
            </w:pPr>
            <w:r>
              <w:rPr>
                <w:b/>
                <w:sz w:val="18"/>
              </w:rPr>
              <w:t>24,488</w:t>
            </w:r>
          </w:p>
        </w:tc>
        <w:tc>
          <w:tcPr>
            <w:tcW w:w="984" w:type="dxa"/>
          </w:tcPr>
          <w:p>
            <w:pPr>
              <w:pStyle w:val="TableParagraph"/>
              <w:spacing w:line="196" w:lineRule="exact"/>
              <w:ind w:right="84"/>
              <w:jc w:val="right"/>
              <w:rPr>
                <w:sz w:val="18"/>
              </w:rPr>
            </w:pPr>
            <w:r>
              <w:rPr>
                <w:w w:val="95"/>
                <w:sz w:val="18"/>
              </w:rPr>
              <w:t>24,734</w:t>
            </w:r>
          </w:p>
        </w:tc>
      </w:tr>
      <w:tr>
        <w:trPr>
          <w:trHeight w:val="264" w:hRule="exact"/>
        </w:trPr>
        <w:tc>
          <w:tcPr>
            <w:tcW w:w="407" w:type="dxa"/>
          </w:tcPr>
          <w:p>
            <w:pPr/>
          </w:p>
        </w:tc>
        <w:tc>
          <w:tcPr>
            <w:tcW w:w="4011" w:type="dxa"/>
          </w:tcPr>
          <w:p>
            <w:pPr>
              <w:pStyle w:val="TableParagraph"/>
              <w:spacing w:before="20"/>
              <w:ind w:left="261"/>
              <w:rPr>
                <w:sz w:val="18"/>
              </w:rPr>
            </w:pPr>
            <w:r>
              <w:rPr>
                <w:sz w:val="18"/>
              </w:rPr>
              <w:t>Payroll tax</w:t>
            </w:r>
          </w:p>
        </w:tc>
        <w:tc>
          <w:tcPr>
            <w:tcW w:w="1627" w:type="dxa"/>
          </w:tcPr>
          <w:p>
            <w:pPr>
              <w:pStyle w:val="TableParagraph"/>
              <w:spacing w:before="18"/>
              <w:ind w:right="247"/>
              <w:jc w:val="right"/>
              <w:rPr>
                <w:b/>
                <w:sz w:val="18"/>
              </w:rPr>
            </w:pPr>
            <w:r>
              <w:rPr>
                <w:b/>
                <w:w w:val="95"/>
                <w:sz w:val="18"/>
              </w:rPr>
              <w:t>11,447</w:t>
            </w:r>
          </w:p>
        </w:tc>
        <w:tc>
          <w:tcPr>
            <w:tcW w:w="1386" w:type="dxa"/>
          </w:tcPr>
          <w:p>
            <w:pPr>
              <w:pStyle w:val="TableParagraph"/>
              <w:spacing w:before="18"/>
              <w:ind w:right="337"/>
              <w:jc w:val="right"/>
              <w:rPr>
                <w:sz w:val="18"/>
              </w:rPr>
            </w:pPr>
            <w:r>
              <w:rPr>
                <w:w w:val="95"/>
                <w:sz w:val="18"/>
              </w:rPr>
              <w:t>11,554</w:t>
            </w:r>
          </w:p>
        </w:tc>
        <w:tc>
          <w:tcPr>
            <w:tcW w:w="1523" w:type="dxa"/>
          </w:tcPr>
          <w:p>
            <w:pPr>
              <w:pStyle w:val="TableParagraph"/>
              <w:spacing w:before="18"/>
              <w:ind w:left="570"/>
              <w:rPr>
                <w:b/>
                <w:sz w:val="18"/>
              </w:rPr>
            </w:pPr>
            <w:r>
              <w:rPr>
                <w:b/>
                <w:sz w:val="18"/>
              </w:rPr>
              <w:t>10,160</w:t>
            </w:r>
          </w:p>
        </w:tc>
        <w:tc>
          <w:tcPr>
            <w:tcW w:w="984" w:type="dxa"/>
          </w:tcPr>
          <w:p>
            <w:pPr>
              <w:pStyle w:val="TableParagraph"/>
              <w:spacing w:before="18"/>
              <w:ind w:right="84"/>
              <w:jc w:val="right"/>
              <w:rPr>
                <w:sz w:val="18"/>
              </w:rPr>
            </w:pPr>
            <w:r>
              <w:rPr>
                <w:w w:val="95"/>
                <w:sz w:val="18"/>
              </w:rPr>
              <w:t>10,229</w:t>
            </w:r>
          </w:p>
        </w:tc>
      </w:tr>
      <w:tr>
        <w:trPr>
          <w:trHeight w:val="264" w:hRule="exact"/>
        </w:trPr>
        <w:tc>
          <w:tcPr>
            <w:tcW w:w="407" w:type="dxa"/>
          </w:tcPr>
          <w:p>
            <w:pPr/>
          </w:p>
        </w:tc>
        <w:tc>
          <w:tcPr>
            <w:tcW w:w="4011" w:type="dxa"/>
          </w:tcPr>
          <w:p>
            <w:pPr>
              <w:pStyle w:val="TableParagraph"/>
              <w:spacing w:before="20"/>
              <w:ind w:left="261"/>
              <w:rPr>
                <w:sz w:val="18"/>
              </w:rPr>
            </w:pPr>
            <w:r>
              <w:rPr>
                <w:sz w:val="18"/>
              </w:rPr>
              <w:t>Worker's compensation</w:t>
            </w:r>
          </w:p>
        </w:tc>
        <w:tc>
          <w:tcPr>
            <w:tcW w:w="1627" w:type="dxa"/>
          </w:tcPr>
          <w:p>
            <w:pPr>
              <w:pStyle w:val="TableParagraph"/>
              <w:spacing w:before="18"/>
              <w:ind w:right="247"/>
              <w:jc w:val="right"/>
              <w:rPr>
                <w:b/>
                <w:sz w:val="18"/>
              </w:rPr>
            </w:pPr>
            <w:r>
              <w:rPr>
                <w:b/>
                <w:w w:val="95"/>
                <w:sz w:val="18"/>
              </w:rPr>
              <w:t>993</w:t>
            </w:r>
          </w:p>
        </w:tc>
        <w:tc>
          <w:tcPr>
            <w:tcW w:w="1386" w:type="dxa"/>
          </w:tcPr>
          <w:p>
            <w:pPr>
              <w:pStyle w:val="TableParagraph"/>
              <w:spacing w:before="18"/>
              <w:ind w:right="337"/>
              <w:jc w:val="right"/>
              <w:rPr>
                <w:sz w:val="18"/>
              </w:rPr>
            </w:pPr>
            <w:r>
              <w:rPr>
                <w:w w:val="95"/>
                <w:sz w:val="18"/>
              </w:rPr>
              <w:t>783</w:t>
            </w:r>
          </w:p>
        </w:tc>
        <w:tc>
          <w:tcPr>
            <w:tcW w:w="1523" w:type="dxa"/>
          </w:tcPr>
          <w:p>
            <w:pPr>
              <w:pStyle w:val="TableParagraph"/>
              <w:spacing w:before="18"/>
              <w:ind w:left="822"/>
              <w:rPr>
                <w:b/>
                <w:sz w:val="18"/>
              </w:rPr>
            </w:pPr>
            <w:r>
              <w:rPr>
                <w:b/>
                <w:sz w:val="18"/>
              </w:rPr>
              <w:t>920</w:t>
            </w:r>
          </w:p>
        </w:tc>
        <w:tc>
          <w:tcPr>
            <w:tcW w:w="984" w:type="dxa"/>
          </w:tcPr>
          <w:p>
            <w:pPr>
              <w:pStyle w:val="TableParagraph"/>
              <w:spacing w:before="18"/>
              <w:ind w:right="84"/>
              <w:jc w:val="right"/>
              <w:rPr>
                <w:sz w:val="18"/>
              </w:rPr>
            </w:pPr>
            <w:r>
              <w:rPr>
                <w:w w:val="95"/>
                <w:sz w:val="18"/>
              </w:rPr>
              <w:t>699</w:t>
            </w:r>
          </w:p>
        </w:tc>
      </w:tr>
      <w:tr>
        <w:trPr>
          <w:trHeight w:val="264" w:hRule="exact"/>
        </w:trPr>
        <w:tc>
          <w:tcPr>
            <w:tcW w:w="407" w:type="dxa"/>
          </w:tcPr>
          <w:p>
            <w:pPr/>
          </w:p>
        </w:tc>
        <w:tc>
          <w:tcPr>
            <w:tcW w:w="4011" w:type="dxa"/>
          </w:tcPr>
          <w:p>
            <w:pPr>
              <w:pStyle w:val="TableParagraph"/>
              <w:spacing w:before="20"/>
              <w:ind w:left="261"/>
              <w:rPr>
                <w:sz w:val="18"/>
              </w:rPr>
            </w:pPr>
            <w:r>
              <w:rPr>
                <w:sz w:val="18"/>
              </w:rPr>
              <w:t>Long service leave expense</w:t>
            </w:r>
          </w:p>
        </w:tc>
        <w:tc>
          <w:tcPr>
            <w:tcW w:w="1627" w:type="dxa"/>
          </w:tcPr>
          <w:p>
            <w:pPr>
              <w:pStyle w:val="TableParagraph"/>
              <w:spacing w:before="18"/>
              <w:ind w:right="247"/>
              <w:jc w:val="right"/>
              <w:rPr>
                <w:b/>
                <w:sz w:val="18"/>
              </w:rPr>
            </w:pPr>
            <w:r>
              <w:rPr>
                <w:b/>
                <w:w w:val="95"/>
                <w:sz w:val="18"/>
              </w:rPr>
              <w:t>2,483</w:t>
            </w:r>
          </w:p>
        </w:tc>
        <w:tc>
          <w:tcPr>
            <w:tcW w:w="1386" w:type="dxa"/>
          </w:tcPr>
          <w:p>
            <w:pPr>
              <w:pStyle w:val="TableParagraph"/>
              <w:spacing w:before="18"/>
              <w:ind w:right="337"/>
              <w:jc w:val="right"/>
              <w:rPr>
                <w:sz w:val="18"/>
              </w:rPr>
            </w:pPr>
            <w:r>
              <w:rPr>
                <w:w w:val="95"/>
                <w:sz w:val="18"/>
              </w:rPr>
              <w:t>5,194</w:t>
            </w:r>
          </w:p>
        </w:tc>
        <w:tc>
          <w:tcPr>
            <w:tcW w:w="1523" w:type="dxa"/>
          </w:tcPr>
          <w:p>
            <w:pPr>
              <w:pStyle w:val="TableParagraph"/>
              <w:spacing w:before="18"/>
              <w:ind w:left="670"/>
              <w:rPr>
                <w:b/>
                <w:sz w:val="18"/>
              </w:rPr>
            </w:pPr>
            <w:r>
              <w:rPr>
                <w:b/>
                <w:sz w:val="18"/>
              </w:rPr>
              <w:t>2,211</w:t>
            </w:r>
          </w:p>
        </w:tc>
        <w:tc>
          <w:tcPr>
            <w:tcW w:w="984" w:type="dxa"/>
          </w:tcPr>
          <w:p>
            <w:pPr>
              <w:pStyle w:val="TableParagraph"/>
              <w:spacing w:before="18"/>
              <w:ind w:right="84"/>
              <w:jc w:val="right"/>
              <w:rPr>
                <w:sz w:val="18"/>
              </w:rPr>
            </w:pPr>
            <w:r>
              <w:rPr>
                <w:w w:val="95"/>
                <w:sz w:val="18"/>
              </w:rPr>
              <w:t>5,032</w:t>
            </w:r>
          </w:p>
        </w:tc>
      </w:tr>
      <w:tr>
        <w:trPr>
          <w:trHeight w:val="260" w:hRule="exact"/>
        </w:trPr>
        <w:tc>
          <w:tcPr>
            <w:tcW w:w="407" w:type="dxa"/>
          </w:tcPr>
          <w:p>
            <w:pPr/>
          </w:p>
        </w:tc>
        <w:tc>
          <w:tcPr>
            <w:tcW w:w="4011" w:type="dxa"/>
          </w:tcPr>
          <w:p>
            <w:pPr>
              <w:pStyle w:val="TableParagraph"/>
              <w:spacing w:before="20"/>
              <w:ind w:left="261"/>
              <w:rPr>
                <w:sz w:val="18"/>
              </w:rPr>
            </w:pPr>
            <w:r>
              <w:rPr>
                <w:sz w:val="18"/>
              </w:rPr>
              <w:t>Annual leave</w:t>
            </w:r>
          </w:p>
        </w:tc>
        <w:tc>
          <w:tcPr>
            <w:tcW w:w="1627" w:type="dxa"/>
            <w:tcBorders>
              <w:bottom w:val="single" w:sz="1" w:space="0" w:color="000000"/>
            </w:tcBorders>
          </w:tcPr>
          <w:p>
            <w:pPr>
              <w:pStyle w:val="TableParagraph"/>
              <w:spacing w:before="18"/>
              <w:ind w:right="247"/>
              <w:jc w:val="right"/>
              <w:rPr>
                <w:b/>
                <w:sz w:val="18"/>
              </w:rPr>
            </w:pPr>
            <w:r>
              <w:rPr>
                <w:b/>
                <w:w w:val="95"/>
                <w:sz w:val="18"/>
              </w:rPr>
              <w:t>809</w:t>
            </w:r>
          </w:p>
        </w:tc>
        <w:tc>
          <w:tcPr>
            <w:tcW w:w="1386" w:type="dxa"/>
            <w:tcBorders>
              <w:bottom w:val="single" w:sz="1" w:space="0" w:color="000000"/>
            </w:tcBorders>
          </w:tcPr>
          <w:p>
            <w:pPr>
              <w:pStyle w:val="TableParagraph"/>
              <w:spacing w:before="18"/>
              <w:ind w:right="337"/>
              <w:jc w:val="right"/>
              <w:rPr>
                <w:sz w:val="18"/>
              </w:rPr>
            </w:pPr>
            <w:r>
              <w:rPr>
                <w:w w:val="95"/>
                <w:sz w:val="18"/>
              </w:rPr>
              <w:t>1,012</w:t>
            </w:r>
          </w:p>
        </w:tc>
        <w:tc>
          <w:tcPr>
            <w:tcW w:w="1523" w:type="dxa"/>
            <w:tcBorders>
              <w:bottom w:val="single" w:sz="1" w:space="0" w:color="000000"/>
            </w:tcBorders>
          </w:tcPr>
          <w:p>
            <w:pPr>
              <w:pStyle w:val="TableParagraph"/>
              <w:spacing w:before="18"/>
              <w:ind w:left="822"/>
              <w:rPr>
                <w:b/>
                <w:sz w:val="18"/>
              </w:rPr>
            </w:pPr>
            <w:r>
              <w:rPr>
                <w:b/>
                <w:sz w:val="18"/>
              </w:rPr>
              <w:t>754</w:t>
            </w:r>
          </w:p>
        </w:tc>
        <w:tc>
          <w:tcPr>
            <w:tcW w:w="984" w:type="dxa"/>
            <w:tcBorders>
              <w:bottom w:val="single" w:sz="1" w:space="0" w:color="000000"/>
            </w:tcBorders>
          </w:tcPr>
          <w:p>
            <w:pPr>
              <w:pStyle w:val="TableParagraph"/>
              <w:spacing w:before="18"/>
              <w:ind w:right="84"/>
              <w:jc w:val="right"/>
              <w:rPr>
                <w:sz w:val="18"/>
              </w:rPr>
            </w:pPr>
            <w:r>
              <w:rPr>
                <w:w w:val="95"/>
                <w:sz w:val="18"/>
              </w:rPr>
              <w:t>949</w:t>
            </w:r>
          </w:p>
        </w:tc>
      </w:tr>
      <w:tr>
        <w:trPr>
          <w:trHeight w:val="338" w:hRule="exact"/>
        </w:trPr>
        <w:tc>
          <w:tcPr>
            <w:tcW w:w="6045" w:type="dxa"/>
            <w:gridSpan w:val="3"/>
          </w:tcPr>
          <w:p>
            <w:pPr>
              <w:pStyle w:val="TableParagraph"/>
              <w:tabs>
                <w:tab w:pos="5139" w:val="left" w:leader="none"/>
              </w:tabs>
              <w:spacing w:before="85"/>
              <w:ind w:left="454"/>
              <w:rPr>
                <w:b/>
                <w:sz w:val="18"/>
              </w:rPr>
            </w:pPr>
            <w:r>
              <w:rPr>
                <w:b/>
                <w:sz w:val="18"/>
              </w:rPr>
              <w:t>Total</w:t>
            </w:r>
            <w:r>
              <w:rPr>
                <w:b/>
                <w:spacing w:val="1"/>
                <w:sz w:val="18"/>
              </w:rPr>
              <w:t> </w:t>
            </w:r>
            <w:r>
              <w:rPr>
                <w:b/>
                <w:sz w:val="18"/>
              </w:rPr>
              <w:t>academic</w:t>
              <w:tab/>
            </w:r>
            <w:r>
              <w:rPr>
                <w:b/>
                <w:position w:val="3"/>
                <w:sz w:val="18"/>
              </w:rPr>
              <w:t>228,512</w:t>
            </w:r>
          </w:p>
        </w:tc>
        <w:tc>
          <w:tcPr>
            <w:tcW w:w="1386" w:type="dxa"/>
            <w:tcBorders>
              <w:bottom w:val="single" w:sz="1" w:space="0" w:color="000000"/>
            </w:tcBorders>
          </w:tcPr>
          <w:p>
            <w:pPr>
              <w:pStyle w:val="TableParagraph"/>
              <w:spacing w:before="86"/>
              <w:ind w:right="337"/>
              <w:jc w:val="right"/>
              <w:rPr>
                <w:sz w:val="18"/>
              </w:rPr>
            </w:pPr>
            <w:r>
              <w:rPr>
                <w:w w:val="95"/>
                <w:sz w:val="18"/>
              </w:rPr>
              <w:t>236,395</w:t>
            </w:r>
          </w:p>
        </w:tc>
        <w:tc>
          <w:tcPr>
            <w:tcW w:w="1523" w:type="dxa"/>
            <w:tcBorders>
              <w:bottom w:val="single" w:sz="1" w:space="0" w:color="000000"/>
            </w:tcBorders>
          </w:tcPr>
          <w:p>
            <w:pPr>
              <w:pStyle w:val="TableParagraph"/>
              <w:spacing w:before="86"/>
              <w:ind w:left="469"/>
              <w:rPr>
                <w:b/>
                <w:sz w:val="18"/>
              </w:rPr>
            </w:pPr>
            <w:r>
              <w:rPr>
                <w:b/>
                <w:sz w:val="18"/>
              </w:rPr>
              <w:t>204,790</w:t>
            </w:r>
          </w:p>
        </w:tc>
        <w:tc>
          <w:tcPr>
            <w:tcW w:w="984" w:type="dxa"/>
            <w:tcBorders>
              <w:bottom w:val="single" w:sz="1" w:space="0" w:color="000000"/>
            </w:tcBorders>
          </w:tcPr>
          <w:p>
            <w:pPr>
              <w:pStyle w:val="TableParagraph"/>
              <w:spacing w:before="86"/>
              <w:ind w:right="84"/>
              <w:jc w:val="right"/>
              <w:rPr>
                <w:sz w:val="18"/>
              </w:rPr>
            </w:pPr>
            <w:r>
              <w:rPr>
                <w:w w:val="95"/>
                <w:sz w:val="18"/>
              </w:rPr>
              <w:t>211,824</w:t>
            </w:r>
          </w:p>
        </w:tc>
      </w:tr>
      <w:tr>
        <w:trPr>
          <w:trHeight w:val="356" w:hRule="exact"/>
        </w:trPr>
        <w:tc>
          <w:tcPr>
            <w:tcW w:w="4417" w:type="dxa"/>
            <w:gridSpan w:val="2"/>
          </w:tcPr>
          <w:p>
            <w:pPr>
              <w:pStyle w:val="TableParagraph"/>
              <w:spacing w:before="115"/>
              <w:ind w:left="454"/>
              <w:rPr>
                <w:b/>
                <w:sz w:val="18"/>
              </w:rPr>
            </w:pPr>
            <w:r>
              <w:rPr>
                <w:b/>
                <w:sz w:val="18"/>
              </w:rPr>
              <w:t>Non-academic</w:t>
            </w:r>
          </w:p>
        </w:tc>
        <w:tc>
          <w:tcPr>
            <w:tcW w:w="1627" w:type="dxa"/>
          </w:tcPr>
          <w:p>
            <w:pPr/>
          </w:p>
        </w:tc>
        <w:tc>
          <w:tcPr>
            <w:tcW w:w="1386" w:type="dxa"/>
          </w:tcPr>
          <w:p>
            <w:pPr/>
          </w:p>
        </w:tc>
        <w:tc>
          <w:tcPr>
            <w:tcW w:w="1523" w:type="dxa"/>
          </w:tcPr>
          <w:p>
            <w:pPr/>
          </w:p>
        </w:tc>
        <w:tc>
          <w:tcPr>
            <w:tcW w:w="984" w:type="dxa"/>
          </w:tcPr>
          <w:p>
            <w:pPr/>
          </w:p>
        </w:tc>
      </w:tr>
      <w:tr>
        <w:trPr>
          <w:trHeight w:val="250" w:hRule="exact"/>
        </w:trPr>
        <w:tc>
          <w:tcPr>
            <w:tcW w:w="4417" w:type="dxa"/>
            <w:gridSpan w:val="2"/>
          </w:tcPr>
          <w:p>
            <w:pPr>
              <w:pStyle w:val="TableParagraph"/>
              <w:spacing w:before="7"/>
              <w:ind w:left="668"/>
              <w:rPr>
                <w:sz w:val="18"/>
              </w:rPr>
            </w:pPr>
            <w:r>
              <w:rPr>
                <w:sz w:val="18"/>
              </w:rPr>
              <w:t>Salaries</w:t>
            </w:r>
          </w:p>
        </w:tc>
        <w:tc>
          <w:tcPr>
            <w:tcW w:w="1627" w:type="dxa"/>
          </w:tcPr>
          <w:p>
            <w:pPr>
              <w:pStyle w:val="TableParagraph"/>
              <w:spacing w:before="4"/>
              <w:ind w:right="247"/>
              <w:jc w:val="right"/>
              <w:rPr>
                <w:b/>
                <w:sz w:val="18"/>
              </w:rPr>
            </w:pPr>
            <w:r>
              <w:rPr>
                <w:b/>
                <w:w w:val="95"/>
                <w:sz w:val="18"/>
              </w:rPr>
              <w:t>175,782</w:t>
            </w:r>
          </w:p>
        </w:tc>
        <w:tc>
          <w:tcPr>
            <w:tcW w:w="1386" w:type="dxa"/>
          </w:tcPr>
          <w:p>
            <w:pPr>
              <w:pStyle w:val="TableParagraph"/>
              <w:spacing w:before="4"/>
              <w:ind w:right="337"/>
              <w:jc w:val="right"/>
              <w:rPr>
                <w:sz w:val="18"/>
              </w:rPr>
            </w:pPr>
            <w:r>
              <w:rPr>
                <w:w w:val="95"/>
                <w:sz w:val="18"/>
              </w:rPr>
              <w:t>187,058</w:t>
            </w:r>
          </w:p>
        </w:tc>
        <w:tc>
          <w:tcPr>
            <w:tcW w:w="1523" w:type="dxa"/>
          </w:tcPr>
          <w:p>
            <w:pPr>
              <w:pStyle w:val="TableParagraph"/>
              <w:spacing w:before="4"/>
              <w:ind w:left="469"/>
              <w:rPr>
                <w:b/>
                <w:sz w:val="18"/>
              </w:rPr>
            </w:pPr>
            <w:r>
              <w:rPr>
                <w:b/>
                <w:sz w:val="18"/>
              </w:rPr>
              <w:t>161,484</w:t>
            </w:r>
          </w:p>
        </w:tc>
        <w:tc>
          <w:tcPr>
            <w:tcW w:w="984" w:type="dxa"/>
          </w:tcPr>
          <w:p>
            <w:pPr>
              <w:pStyle w:val="TableParagraph"/>
              <w:spacing w:before="4"/>
              <w:ind w:right="84"/>
              <w:jc w:val="right"/>
              <w:rPr>
                <w:sz w:val="18"/>
              </w:rPr>
            </w:pPr>
            <w:r>
              <w:rPr>
                <w:w w:val="95"/>
                <w:sz w:val="18"/>
              </w:rPr>
              <w:t>169,125</w:t>
            </w:r>
          </w:p>
        </w:tc>
      </w:tr>
      <w:tr>
        <w:trPr>
          <w:trHeight w:val="232" w:hRule="exact"/>
        </w:trPr>
        <w:tc>
          <w:tcPr>
            <w:tcW w:w="4417" w:type="dxa"/>
            <w:gridSpan w:val="2"/>
          </w:tcPr>
          <w:p>
            <w:pPr>
              <w:pStyle w:val="TableParagraph"/>
              <w:spacing w:before="16"/>
              <w:ind w:left="668"/>
              <w:rPr>
                <w:sz w:val="18"/>
              </w:rPr>
            </w:pPr>
            <w:r>
              <w:rPr>
                <w:sz w:val="18"/>
              </w:rPr>
              <w:t>Contribution to superannuation</w:t>
            </w:r>
          </w:p>
        </w:tc>
        <w:tc>
          <w:tcPr>
            <w:tcW w:w="1627" w:type="dxa"/>
          </w:tcPr>
          <w:p>
            <w:pPr/>
          </w:p>
        </w:tc>
        <w:tc>
          <w:tcPr>
            <w:tcW w:w="1386" w:type="dxa"/>
          </w:tcPr>
          <w:p>
            <w:pPr/>
          </w:p>
        </w:tc>
        <w:tc>
          <w:tcPr>
            <w:tcW w:w="1523" w:type="dxa"/>
          </w:tcPr>
          <w:p>
            <w:pPr/>
          </w:p>
        </w:tc>
        <w:tc>
          <w:tcPr>
            <w:tcW w:w="984" w:type="dxa"/>
          </w:tcPr>
          <w:p>
            <w:pPr/>
          </w:p>
        </w:tc>
      </w:tr>
      <w:tr>
        <w:trPr>
          <w:trHeight w:val="235" w:hRule="exact"/>
        </w:trPr>
        <w:tc>
          <w:tcPr>
            <w:tcW w:w="4417" w:type="dxa"/>
            <w:gridSpan w:val="2"/>
          </w:tcPr>
          <w:p>
            <w:pPr>
              <w:pStyle w:val="TableParagraph"/>
              <w:spacing w:line="198" w:lineRule="exact"/>
              <w:ind w:left="668"/>
              <w:rPr>
                <w:sz w:val="18"/>
              </w:rPr>
            </w:pPr>
            <w:r>
              <w:rPr>
                <w:sz w:val="18"/>
              </w:rPr>
              <w:t>&amp; pension schemes - funded</w:t>
            </w:r>
          </w:p>
        </w:tc>
        <w:tc>
          <w:tcPr>
            <w:tcW w:w="1627" w:type="dxa"/>
          </w:tcPr>
          <w:p>
            <w:pPr>
              <w:pStyle w:val="TableParagraph"/>
              <w:spacing w:line="196" w:lineRule="exact"/>
              <w:ind w:right="247"/>
              <w:jc w:val="right"/>
              <w:rPr>
                <w:b/>
                <w:sz w:val="18"/>
              </w:rPr>
            </w:pPr>
            <w:r>
              <w:rPr>
                <w:b/>
                <w:w w:val="95"/>
                <w:sz w:val="18"/>
              </w:rPr>
              <w:t>24,884</w:t>
            </w:r>
          </w:p>
        </w:tc>
        <w:tc>
          <w:tcPr>
            <w:tcW w:w="1386" w:type="dxa"/>
          </w:tcPr>
          <w:p>
            <w:pPr>
              <w:pStyle w:val="TableParagraph"/>
              <w:spacing w:line="196" w:lineRule="exact"/>
              <w:ind w:right="337"/>
              <w:jc w:val="right"/>
              <w:rPr>
                <w:sz w:val="18"/>
              </w:rPr>
            </w:pPr>
            <w:r>
              <w:rPr>
                <w:w w:val="95"/>
                <w:sz w:val="18"/>
              </w:rPr>
              <w:t>25,359</w:t>
            </w:r>
          </w:p>
        </w:tc>
        <w:tc>
          <w:tcPr>
            <w:tcW w:w="1523" w:type="dxa"/>
          </w:tcPr>
          <w:p>
            <w:pPr>
              <w:pStyle w:val="TableParagraph"/>
              <w:spacing w:line="196" w:lineRule="exact"/>
              <w:ind w:left="570"/>
              <w:rPr>
                <w:b/>
                <w:sz w:val="18"/>
              </w:rPr>
            </w:pPr>
            <w:r>
              <w:rPr>
                <w:b/>
                <w:sz w:val="18"/>
              </w:rPr>
              <w:t>23,543</w:t>
            </w:r>
          </w:p>
        </w:tc>
        <w:tc>
          <w:tcPr>
            <w:tcW w:w="984" w:type="dxa"/>
          </w:tcPr>
          <w:p>
            <w:pPr>
              <w:pStyle w:val="TableParagraph"/>
              <w:spacing w:line="196" w:lineRule="exact"/>
              <w:ind w:right="84"/>
              <w:jc w:val="right"/>
              <w:rPr>
                <w:sz w:val="18"/>
              </w:rPr>
            </w:pPr>
            <w:r>
              <w:rPr>
                <w:w w:val="95"/>
                <w:sz w:val="18"/>
              </w:rPr>
              <w:t>23,821</w:t>
            </w:r>
          </w:p>
        </w:tc>
      </w:tr>
      <w:tr>
        <w:trPr>
          <w:trHeight w:val="264" w:hRule="exact"/>
        </w:trPr>
        <w:tc>
          <w:tcPr>
            <w:tcW w:w="4417" w:type="dxa"/>
            <w:gridSpan w:val="2"/>
          </w:tcPr>
          <w:p>
            <w:pPr>
              <w:pStyle w:val="TableParagraph"/>
              <w:spacing w:before="20"/>
              <w:ind w:left="668"/>
              <w:rPr>
                <w:sz w:val="18"/>
              </w:rPr>
            </w:pPr>
            <w:r>
              <w:rPr>
                <w:sz w:val="18"/>
              </w:rPr>
              <w:t>Payroll tax</w:t>
            </w:r>
          </w:p>
        </w:tc>
        <w:tc>
          <w:tcPr>
            <w:tcW w:w="1627" w:type="dxa"/>
          </w:tcPr>
          <w:p>
            <w:pPr>
              <w:pStyle w:val="TableParagraph"/>
              <w:spacing w:before="18"/>
              <w:ind w:right="247"/>
              <w:jc w:val="right"/>
              <w:rPr>
                <w:b/>
                <w:sz w:val="18"/>
              </w:rPr>
            </w:pPr>
            <w:r>
              <w:rPr>
                <w:b/>
                <w:w w:val="95"/>
                <w:sz w:val="18"/>
              </w:rPr>
              <w:t>9,964</w:t>
            </w:r>
          </w:p>
        </w:tc>
        <w:tc>
          <w:tcPr>
            <w:tcW w:w="1386" w:type="dxa"/>
          </w:tcPr>
          <w:p>
            <w:pPr>
              <w:pStyle w:val="TableParagraph"/>
              <w:spacing w:before="18"/>
              <w:ind w:right="337"/>
              <w:jc w:val="right"/>
              <w:rPr>
                <w:sz w:val="18"/>
              </w:rPr>
            </w:pPr>
            <w:r>
              <w:rPr>
                <w:w w:val="95"/>
                <w:sz w:val="18"/>
              </w:rPr>
              <w:t>10,363</w:t>
            </w:r>
          </w:p>
        </w:tc>
        <w:tc>
          <w:tcPr>
            <w:tcW w:w="1523" w:type="dxa"/>
          </w:tcPr>
          <w:p>
            <w:pPr>
              <w:pStyle w:val="TableParagraph"/>
              <w:spacing w:before="18"/>
              <w:ind w:left="670"/>
              <w:rPr>
                <w:b/>
                <w:sz w:val="18"/>
              </w:rPr>
            </w:pPr>
            <w:r>
              <w:rPr>
                <w:b/>
                <w:sz w:val="18"/>
              </w:rPr>
              <w:t>9,670</w:t>
            </w:r>
          </w:p>
        </w:tc>
        <w:tc>
          <w:tcPr>
            <w:tcW w:w="984" w:type="dxa"/>
          </w:tcPr>
          <w:p>
            <w:pPr>
              <w:pStyle w:val="TableParagraph"/>
              <w:spacing w:before="18"/>
              <w:ind w:right="84"/>
              <w:jc w:val="right"/>
              <w:rPr>
                <w:sz w:val="18"/>
              </w:rPr>
            </w:pPr>
            <w:r>
              <w:rPr>
                <w:w w:val="95"/>
                <w:sz w:val="18"/>
              </w:rPr>
              <w:t>9,993</w:t>
            </w:r>
          </w:p>
        </w:tc>
      </w:tr>
      <w:tr>
        <w:trPr>
          <w:trHeight w:val="264" w:hRule="exact"/>
        </w:trPr>
        <w:tc>
          <w:tcPr>
            <w:tcW w:w="4417" w:type="dxa"/>
            <w:gridSpan w:val="2"/>
          </w:tcPr>
          <w:p>
            <w:pPr>
              <w:pStyle w:val="TableParagraph"/>
              <w:spacing w:before="20"/>
              <w:ind w:left="668"/>
              <w:rPr>
                <w:sz w:val="18"/>
              </w:rPr>
            </w:pPr>
            <w:r>
              <w:rPr>
                <w:sz w:val="18"/>
              </w:rPr>
              <w:t>Worker's compensation</w:t>
            </w:r>
          </w:p>
        </w:tc>
        <w:tc>
          <w:tcPr>
            <w:tcW w:w="1627" w:type="dxa"/>
          </w:tcPr>
          <w:p>
            <w:pPr>
              <w:pStyle w:val="TableParagraph"/>
              <w:spacing w:before="18"/>
              <w:ind w:right="247"/>
              <w:jc w:val="right"/>
              <w:rPr>
                <w:b/>
                <w:sz w:val="18"/>
              </w:rPr>
            </w:pPr>
            <w:r>
              <w:rPr>
                <w:b/>
                <w:w w:val="95"/>
                <w:sz w:val="18"/>
              </w:rPr>
              <w:t>923</w:t>
            </w:r>
          </w:p>
        </w:tc>
        <w:tc>
          <w:tcPr>
            <w:tcW w:w="1386" w:type="dxa"/>
          </w:tcPr>
          <w:p>
            <w:pPr>
              <w:pStyle w:val="TableParagraph"/>
              <w:spacing w:before="18"/>
              <w:ind w:right="337"/>
              <w:jc w:val="right"/>
              <w:rPr>
                <w:sz w:val="18"/>
              </w:rPr>
            </w:pPr>
            <w:r>
              <w:rPr>
                <w:w w:val="95"/>
                <w:sz w:val="18"/>
              </w:rPr>
              <w:t>940</w:t>
            </w:r>
          </w:p>
        </w:tc>
        <w:tc>
          <w:tcPr>
            <w:tcW w:w="1523" w:type="dxa"/>
          </w:tcPr>
          <w:p>
            <w:pPr>
              <w:pStyle w:val="TableParagraph"/>
              <w:spacing w:before="18"/>
              <w:ind w:left="822"/>
              <w:rPr>
                <w:b/>
                <w:sz w:val="18"/>
              </w:rPr>
            </w:pPr>
            <w:r>
              <w:rPr>
                <w:b/>
                <w:sz w:val="18"/>
              </w:rPr>
              <w:t>810</w:t>
            </w:r>
          </w:p>
        </w:tc>
        <w:tc>
          <w:tcPr>
            <w:tcW w:w="984" w:type="dxa"/>
          </w:tcPr>
          <w:p>
            <w:pPr>
              <w:pStyle w:val="TableParagraph"/>
              <w:spacing w:before="18"/>
              <w:ind w:right="84"/>
              <w:jc w:val="right"/>
              <w:rPr>
                <w:sz w:val="18"/>
              </w:rPr>
            </w:pPr>
            <w:r>
              <w:rPr>
                <w:w w:val="95"/>
                <w:sz w:val="18"/>
              </w:rPr>
              <w:t>651</w:t>
            </w:r>
          </w:p>
        </w:tc>
      </w:tr>
      <w:tr>
        <w:trPr>
          <w:trHeight w:val="264" w:hRule="exact"/>
        </w:trPr>
        <w:tc>
          <w:tcPr>
            <w:tcW w:w="4417" w:type="dxa"/>
            <w:gridSpan w:val="2"/>
          </w:tcPr>
          <w:p>
            <w:pPr>
              <w:pStyle w:val="TableParagraph"/>
              <w:spacing w:before="20"/>
              <w:ind w:left="668"/>
              <w:rPr>
                <w:sz w:val="18"/>
              </w:rPr>
            </w:pPr>
            <w:r>
              <w:rPr>
                <w:sz w:val="18"/>
              </w:rPr>
              <w:t>Long service leave expense</w:t>
            </w:r>
          </w:p>
        </w:tc>
        <w:tc>
          <w:tcPr>
            <w:tcW w:w="1627" w:type="dxa"/>
          </w:tcPr>
          <w:p>
            <w:pPr>
              <w:pStyle w:val="TableParagraph"/>
              <w:spacing w:before="18"/>
              <w:ind w:right="247"/>
              <w:jc w:val="right"/>
              <w:rPr>
                <w:b/>
                <w:sz w:val="18"/>
              </w:rPr>
            </w:pPr>
            <w:r>
              <w:rPr>
                <w:b/>
                <w:w w:val="95"/>
                <w:sz w:val="18"/>
              </w:rPr>
              <w:t>3,412</w:t>
            </w:r>
          </w:p>
        </w:tc>
        <w:tc>
          <w:tcPr>
            <w:tcW w:w="1386" w:type="dxa"/>
          </w:tcPr>
          <w:p>
            <w:pPr>
              <w:pStyle w:val="TableParagraph"/>
              <w:spacing w:before="18"/>
              <w:ind w:right="337"/>
              <w:jc w:val="right"/>
              <w:rPr>
                <w:sz w:val="18"/>
              </w:rPr>
            </w:pPr>
            <w:r>
              <w:rPr>
                <w:w w:val="95"/>
                <w:sz w:val="18"/>
              </w:rPr>
              <w:t>5,391</w:t>
            </w:r>
          </w:p>
        </w:tc>
        <w:tc>
          <w:tcPr>
            <w:tcW w:w="1523" w:type="dxa"/>
          </w:tcPr>
          <w:p>
            <w:pPr>
              <w:pStyle w:val="TableParagraph"/>
              <w:spacing w:before="18"/>
              <w:ind w:left="670"/>
              <w:rPr>
                <w:b/>
                <w:sz w:val="18"/>
              </w:rPr>
            </w:pPr>
            <w:r>
              <w:rPr>
                <w:b/>
                <w:sz w:val="18"/>
              </w:rPr>
              <w:t>3,116</w:t>
            </w:r>
          </w:p>
        </w:tc>
        <w:tc>
          <w:tcPr>
            <w:tcW w:w="984" w:type="dxa"/>
          </w:tcPr>
          <w:p>
            <w:pPr>
              <w:pStyle w:val="TableParagraph"/>
              <w:spacing w:before="18"/>
              <w:ind w:right="84"/>
              <w:jc w:val="right"/>
              <w:rPr>
                <w:sz w:val="18"/>
              </w:rPr>
            </w:pPr>
            <w:r>
              <w:rPr>
                <w:w w:val="95"/>
                <w:sz w:val="18"/>
              </w:rPr>
              <w:t>5,158</w:t>
            </w:r>
          </w:p>
        </w:tc>
      </w:tr>
      <w:tr>
        <w:trPr>
          <w:trHeight w:val="260" w:hRule="exact"/>
        </w:trPr>
        <w:tc>
          <w:tcPr>
            <w:tcW w:w="4417" w:type="dxa"/>
            <w:gridSpan w:val="2"/>
          </w:tcPr>
          <w:p>
            <w:pPr>
              <w:pStyle w:val="TableParagraph"/>
              <w:spacing w:before="20"/>
              <w:ind w:left="668"/>
              <w:rPr>
                <w:sz w:val="18"/>
              </w:rPr>
            </w:pPr>
            <w:r>
              <w:rPr>
                <w:sz w:val="18"/>
              </w:rPr>
              <w:t>Annual leave</w:t>
            </w:r>
          </w:p>
        </w:tc>
        <w:tc>
          <w:tcPr>
            <w:tcW w:w="1627" w:type="dxa"/>
            <w:tcBorders>
              <w:bottom w:val="single" w:sz="1" w:space="0" w:color="000000"/>
            </w:tcBorders>
          </w:tcPr>
          <w:p>
            <w:pPr>
              <w:pStyle w:val="TableParagraph"/>
              <w:spacing w:before="18"/>
              <w:ind w:right="247"/>
              <w:jc w:val="right"/>
              <w:rPr>
                <w:b/>
                <w:sz w:val="18"/>
              </w:rPr>
            </w:pPr>
            <w:r>
              <w:rPr>
                <w:b/>
                <w:w w:val="95"/>
                <w:sz w:val="18"/>
              </w:rPr>
              <w:t>621</w:t>
            </w:r>
          </w:p>
        </w:tc>
        <w:tc>
          <w:tcPr>
            <w:tcW w:w="1386" w:type="dxa"/>
            <w:tcBorders>
              <w:bottom w:val="single" w:sz="1" w:space="0" w:color="000000"/>
            </w:tcBorders>
          </w:tcPr>
          <w:p>
            <w:pPr>
              <w:pStyle w:val="TableParagraph"/>
              <w:spacing w:before="18"/>
              <w:ind w:right="337"/>
              <w:jc w:val="right"/>
              <w:rPr>
                <w:sz w:val="18"/>
              </w:rPr>
            </w:pPr>
            <w:r>
              <w:rPr>
                <w:w w:val="95"/>
                <w:sz w:val="18"/>
              </w:rPr>
              <w:t>497</w:t>
            </w:r>
          </w:p>
        </w:tc>
        <w:tc>
          <w:tcPr>
            <w:tcW w:w="1523" w:type="dxa"/>
            <w:tcBorders>
              <w:bottom w:val="single" w:sz="1" w:space="0" w:color="000000"/>
            </w:tcBorders>
          </w:tcPr>
          <w:p>
            <w:pPr>
              <w:pStyle w:val="TableParagraph"/>
              <w:spacing w:before="18"/>
              <w:ind w:left="822"/>
              <w:rPr>
                <w:b/>
                <w:sz w:val="18"/>
              </w:rPr>
            </w:pPr>
            <w:r>
              <w:rPr>
                <w:b/>
                <w:sz w:val="18"/>
              </w:rPr>
              <w:t>619</w:t>
            </w:r>
          </w:p>
        </w:tc>
        <w:tc>
          <w:tcPr>
            <w:tcW w:w="984" w:type="dxa"/>
            <w:tcBorders>
              <w:bottom w:val="single" w:sz="1" w:space="0" w:color="000000"/>
            </w:tcBorders>
          </w:tcPr>
          <w:p>
            <w:pPr>
              <w:pStyle w:val="TableParagraph"/>
              <w:spacing w:before="18"/>
              <w:ind w:right="84"/>
              <w:jc w:val="right"/>
              <w:rPr>
                <w:sz w:val="18"/>
              </w:rPr>
            </w:pPr>
            <w:r>
              <w:rPr>
                <w:w w:val="95"/>
                <w:sz w:val="18"/>
              </w:rPr>
              <w:t>242</w:t>
            </w:r>
          </w:p>
        </w:tc>
      </w:tr>
      <w:tr>
        <w:trPr>
          <w:trHeight w:val="338" w:hRule="exact"/>
        </w:trPr>
        <w:tc>
          <w:tcPr>
            <w:tcW w:w="4417" w:type="dxa"/>
            <w:gridSpan w:val="2"/>
          </w:tcPr>
          <w:p>
            <w:pPr>
              <w:pStyle w:val="TableParagraph"/>
              <w:spacing w:before="125"/>
              <w:ind w:left="454"/>
              <w:rPr>
                <w:b/>
                <w:sz w:val="18"/>
              </w:rPr>
            </w:pPr>
            <w:r>
              <w:rPr>
                <w:b/>
                <w:sz w:val="18"/>
              </w:rPr>
              <w:t>Total non-academic</w:t>
            </w:r>
          </w:p>
        </w:tc>
        <w:tc>
          <w:tcPr>
            <w:tcW w:w="1627" w:type="dxa"/>
            <w:tcBorders>
              <w:top w:val="single" w:sz="1" w:space="0" w:color="000000"/>
              <w:bottom w:val="single" w:sz="1" w:space="0" w:color="000000"/>
            </w:tcBorders>
          </w:tcPr>
          <w:p>
            <w:pPr>
              <w:pStyle w:val="TableParagraph"/>
              <w:spacing w:before="95"/>
              <w:ind w:right="247"/>
              <w:jc w:val="right"/>
              <w:rPr>
                <w:b/>
                <w:sz w:val="18"/>
              </w:rPr>
            </w:pPr>
            <w:r>
              <w:rPr>
                <w:b/>
                <w:w w:val="95"/>
                <w:sz w:val="18"/>
              </w:rPr>
              <w:t>215,586</w:t>
            </w:r>
          </w:p>
        </w:tc>
        <w:tc>
          <w:tcPr>
            <w:tcW w:w="1386" w:type="dxa"/>
            <w:tcBorders>
              <w:top w:val="single" w:sz="1" w:space="0" w:color="000000"/>
              <w:bottom w:val="single" w:sz="1" w:space="0" w:color="000000"/>
            </w:tcBorders>
          </w:tcPr>
          <w:p>
            <w:pPr>
              <w:pStyle w:val="TableParagraph"/>
              <w:spacing w:before="95"/>
              <w:ind w:right="337"/>
              <w:jc w:val="right"/>
              <w:rPr>
                <w:sz w:val="18"/>
              </w:rPr>
            </w:pPr>
            <w:r>
              <w:rPr>
                <w:w w:val="95"/>
                <w:sz w:val="18"/>
              </w:rPr>
              <w:t>229,608</w:t>
            </w:r>
          </w:p>
        </w:tc>
        <w:tc>
          <w:tcPr>
            <w:tcW w:w="1523" w:type="dxa"/>
            <w:tcBorders>
              <w:top w:val="single" w:sz="1" w:space="0" w:color="000000"/>
              <w:bottom w:val="single" w:sz="1" w:space="0" w:color="000000"/>
            </w:tcBorders>
          </w:tcPr>
          <w:p>
            <w:pPr>
              <w:pStyle w:val="TableParagraph"/>
              <w:spacing w:before="95"/>
              <w:ind w:left="469"/>
              <w:rPr>
                <w:b/>
                <w:sz w:val="18"/>
              </w:rPr>
            </w:pPr>
            <w:r>
              <w:rPr>
                <w:b/>
                <w:sz w:val="18"/>
              </w:rPr>
              <w:t>199,242</w:t>
            </w:r>
          </w:p>
        </w:tc>
        <w:tc>
          <w:tcPr>
            <w:tcW w:w="984" w:type="dxa"/>
            <w:tcBorders>
              <w:top w:val="single" w:sz="1" w:space="0" w:color="000000"/>
              <w:bottom w:val="single" w:sz="1" w:space="0" w:color="000000"/>
            </w:tcBorders>
          </w:tcPr>
          <w:p>
            <w:pPr>
              <w:pStyle w:val="TableParagraph"/>
              <w:spacing w:before="95"/>
              <w:ind w:right="84"/>
              <w:jc w:val="right"/>
              <w:rPr>
                <w:sz w:val="18"/>
              </w:rPr>
            </w:pPr>
            <w:r>
              <w:rPr>
                <w:w w:val="95"/>
                <w:sz w:val="18"/>
              </w:rPr>
              <w:t>208,990</w:t>
            </w:r>
          </w:p>
        </w:tc>
      </w:tr>
      <w:tr>
        <w:trPr>
          <w:trHeight w:val="327" w:hRule="exact"/>
        </w:trPr>
        <w:tc>
          <w:tcPr>
            <w:tcW w:w="4417" w:type="dxa"/>
            <w:gridSpan w:val="2"/>
          </w:tcPr>
          <w:p>
            <w:pPr>
              <w:pStyle w:val="TableParagraph"/>
              <w:spacing w:before="125"/>
              <w:ind w:left="454"/>
              <w:rPr>
                <w:b/>
                <w:sz w:val="18"/>
              </w:rPr>
            </w:pPr>
            <w:r>
              <w:rPr>
                <w:b/>
                <w:sz w:val="18"/>
              </w:rPr>
              <w:t>Total employee related</w:t>
            </w:r>
          </w:p>
        </w:tc>
        <w:tc>
          <w:tcPr>
            <w:tcW w:w="1627" w:type="dxa"/>
            <w:tcBorders>
              <w:top w:val="single" w:sz="1" w:space="0" w:color="000000"/>
            </w:tcBorders>
          </w:tcPr>
          <w:p>
            <w:pPr/>
          </w:p>
        </w:tc>
        <w:tc>
          <w:tcPr>
            <w:tcW w:w="1386" w:type="dxa"/>
            <w:tcBorders>
              <w:top w:val="single" w:sz="1" w:space="0" w:color="000000"/>
            </w:tcBorders>
          </w:tcPr>
          <w:p>
            <w:pPr/>
          </w:p>
        </w:tc>
        <w:tc>
          <w:tcPr>
            <w:tcW w:w="1523" w:type="dxa"/>
            <w:tcBorders>
              <w:top w:val="single" w:sz="1" w:space="0" w:color="000000"/>
            </w:tcBorders>
          </w:tcPr>
          <w:p>
            <w:pPr/>
          </w:p>
        </w:tc>
        <w:tc>
          <w:tcPr>
            <w:tcW w:w="984" w:type="dxa"/>
            <w:tcBorders>
              <w:top w:val="single" w:sz="1" w:space="0" w:color="000000"/>
            </w:tcBorders>
          </w:tcPr>
          <w:p>
            <w:pPr/>
          </w:p>
        </w:tc>
      </w:tr>
      <w:tr>
        <w:trPr>
          <w:trHeight w:val="226" w:hRule="exact"/>
        </w:trPr>
        <w:tc>
          <w:tcPr>
            <w:tcW w:w="4417" w:type="dxa"/>
            <w:gridSpan w:val="2"/>
          </w:tcPr>
          <w:p>
            <w:pPr>
              <w:pStyle w:val="TableParagraph"/>
              <w:spacing w:before="4"/>
              <w:ind w:left="454"/>
              <w:rPr>
                <w:b/>
                <w:sz w:val="18"/>
              </w:rPr>
            </w:pPr>
            <w:r>
              <w:rPr>
                <w:b/>
                <w:sz w:val="18"/>
              </w:rPr>
              <w:t>expenses</w:t>
            </w:r>
          </w:p>
        </w:tc>
        <w:tc>
          <w:tcPr>
            <w:tcW w:w="1627" w:type="dxa"/>
            <w:tcBorders>
              <w:bottom w:val="single" w:sz="1" w:space="0" w:color="000000"/>
            </w:tcBorders>
          </w:tcPr>
          <w:p>
            <w:pPr>
              <w:pStyle w:val="TableParagraph"/>
              <w:spacing w:line="183" w:lineRule="exact"/>
              <w:ind w:right="247"/>
              <w:jc w:val="right"/>
              <w:rPr>
                <w:b/>
                <w:sz w:val="18"/>
              </w:rPr>
            </w:pPr>
            <w:r>
              <w:rPr>
                <w:b/>
                <w:w w:val="95"/>
                <w:sz w:val="18"/>
              </w:rPr>
              <w:t>444,098</w:t>
            </w:r>
          </w:p>
        </w:tc>
        <w:tc>
          <w:tcPr>
            <w:tcW w:w="1386" w:type="dxa"/>
            <w:tcBorders>
              <w:bottom w:val="single" w:sz="1" w:space="0" w:color="000000"/>
            </w:tcBorders>
          </w:tcPr>
          <w:p>
            <w:pPr>
              <w:pStyle w:val="TableParagraph"/>
              <w:spacing w:line="183" w:lineRule="exact"/>
              <w:ind w:right="337"/>
              <w:jc w:val="right"/>
              <w:rPr>
                <w:sz w:val="18"/>
              </w:rPr>
            </w:pPr>
            <w:r>
              <w:rPr>
                <w:w w:val="95"/>
                <w:sz w:val="18"/>
              </w:rPr>
              <w:t>466,003</w:t>
            </w:r>
          </w:p>
        </w:tc>
        <w:tc>
          <w:tcPr>
            <w:tcW w:w="1523" w:type="dxa"/>
            <w:tcBorders>
              <w:bottom w:val="single" w:sz="1" w:space="0" w:color="000000"/>
            </w:tcBorders>
          </w:tcPr>
          <w:p>
            <w:pPr>
              <w:pStyle w:val="TableParagraph"/>
              <w:spacing w:line="183" w:lineRule="exact"/>
              <w:ind w:left="469"/>
              <w:rPr>
                <w:b/>
                <w:sz w:val="18"/>
              </w:rPr>
            </w:pPr>
            <w:r>
              <w:rPr>
                <w:b/>
                <w:sz w:val="18"/>
              </w:rPr>
              <w:t>404,032</w:t>
            </w:r>
          </w:p>
        </w:tc>
        <w:tc>
          <w:tcPr>
            <w:tcW w:w="984" w:type="dxa"/>
            <w:tcBorders>
              <w:bottom w:val="single" w:sz="1" w:space="0" w:color="000000"/>
            </w:tcBorders>
          </w:tcPr>
          <w:p>
            <w:pPr>
              <w:pStyle w:val="TableParagraph"/>
              <w:spacing w:line="183" w:lineRule="exact"/>
              <w:ind w:right="84"/>
              <w:jc w:val="right"/>
              <w:rPr>
                <w:sz w:val="18"/>
              </w:rPr>
            </w:pPr>
            <w:r>
              <w:rPr>
                <w:w w:val="95"/>
                <w:sz w:val="18"/>
              </w:rPr>
              <w:t>420,814</w:t>
            </w:r>
          </w:p>
        </w:tc>
      </w:tr>
      <w:tr>
        <w:trPr>
          <w:trHeight w:val="362" w:hRule="exact"/>
        </w:trPr>
        <w:tc>
          <w:tcPr>
            <w:tcW w:w="4417" w:type="dxa"/>
            <w:gridSpan w:val="2"/>
          </w:tcPr>
          <w:p>
            <w:pPr>
              <w:pStyle w:val="TableParagraph"/>
              <w:spacing w:before="145"/>
              <w:ind w:left="454"/>
              <w:rPr>
                <w:b/>
                <w:sz w:val="18"/>
              </w:rPr>
            </w:pPr>
            <w:r>
              <w:rPr>
                <w:b/>
                <w:sz w:val="18"/>
              </w:rPr>
              <w:t>Total employee related</w:t>
            </w:r>
          </w:p>
        </w:tc>
        <w:tc>
          <w:tcPr>
            <w:tcW w:w="1627" w:type="dxa"/>
            <w:tcBorders>
              <w:top w:val="single" w:sz="1" w:space="0" w:color="000000"/>
            </w:tcBorders>
          </w:tcPr>
          <w:p>
            <w:pPr/>
          </w:p>
        </w:tc>
        <w:tc>
          <w:tcPr>
            <w:tcW w:w="1386" w:type="dxa"/>
            <w:tcBorders>
              <w:top w:val="single" w:sz="1" w:space="0" w:color="000000"/>
            </w:tcBorders>
          </w:tcPr>
          <w:p>
            <w:pPr/>
          </w:p>
        </w:tc>
        <w:tc>
          <w:tcPr>
            <w:tcW w:w="1523" w:type="dxa"/>
            <w:tcBorders>
              <w:top w:val="single" w:sz="1" w:space="0" w:color="000000"/>
            </w:tcBorders>
          </w:tcPr>
          <w:p>
            <w:pPr/>
          </w:p>
        </w:tc>
        <w:tc>
          <w:tcPr>
            <w:tcW w:w="984" w:type="dxa"/>
            <w:tcBorders>
              <w:top w:val="single" w:sz="1" w:space="0" w:color="000000"/>
            </w:tcBorders>
          </w:tcPr>
          <w:p>
            <w:pPr/>
          </w:p>
        </w:tc>
      </w:tr>
      <w:tr>
        <w:trPr>
          <w:trHeight w:val="206" w:hRule="exact"/>
        </w:trPr>
        <w:tc>
          <w:tcPr>
            <w:tcW w:w="4417" w:type="dxa"/>
            <w:gridSpan w:val="2"/>
          </w:tcPr>
          <w:p>
            <w:pPr>
              <w:pStyle w:val="TableParagraph"/>
              <w:spacing w:line="197" w:lineRule="exact"/>
              <w:ind w:left="454"/>
              <w:rPr>
                <w:b/>
                <w:sz w:val="18"/>
              </w:rPr>
            </w:pPr>
            <w:r>
              <w:rPr>
                <w:b/>
                <w:sz w:val="18"/>
              </w:rPr>
              <w:t>expenses, including deferred</w:t>
            </w:r>
          </w:p>
        </w:tc>
        <w:tc>
          <w:tcPr>
            <w:tcW w:w="1627" w:type="dxa"/>
          </w:tcPr>
          <w:p>
            <w:pPr/>
          </w:p>
        </w:tc>
        <w:tc>
          <w:tcPr>
            <w:tcW w:w="1386" w:type="dxa"/>
          </w:tcPr>
          <w:p>
            <w:pPr/>
          </w:p>
        </w:tc>
        <w:tc>
          <w:tcPr>
            <w:tcW w:w="1523" w:type="dxa"/>
          </w:tcPr>
          <w:p>
            <w:pPr/>
          </w:p>
        </w:tc>
        <w:tc>
          <w:tcPr>
            <w:tcW w:w="984" w:type="dxa"/>
          </w:tcPr>
          <w:p>
            <w:pPr/>
          </w:p>
        </w:tc>
      </w:tr>
      <w:tr>
        <w:trPr>
          <w:trHeight w:val="192" w:hRule="exact"/>
        </w:trPr>
        <w:tc>
          <w:tcPr>
            <w:tcW w:w="4417" w:type="dxa"/>
            <w:gridSpan w:val="2"/>
          </w:tcPr>
          <w:p>
            <w:pPr>
              <w:pStyle w:val="TableParagraph"/>
              <w:spacing w:line="197" w:lineRule="exact"/>
              <w:ind w:left="454"/>
              <w:rPr>
                <w:b/>
                <w:sz w:val="18"/>
              </w:rPr>
            </w:pPr>
            <w:r>
              <w:rPr>
                <w:b/>
                <w:sz w:val="18"/>
              </w:rPr>
              <w:t>Government Employee Benefits</w:t>
            </w:r>
          </w:p>
        </w:tc>
        <w:tc>
          <w:tcPr>
            <w:tcW w:w="1627" w:type="dxa"/>
          </w:tcPr>
          <w:p>
            <w:pPr/>
          </w:p>
        </w:tc>
        <w:tc>
          <w:tcPr>
            <w:tcW w:w="1386" w:type="dxa"/>
          </w:tcPr>
          <w:p>
            <w:pPr/>
          </w:p>
        </w:tc>
        <w:tc>
          <w:tcPr>
            <w:tcW w:w="1523" w:type="dxa"/>
          </w:tcPr>
          <w:p>
            <w:pPr/>
          </w:p>
        </w:tc>
        <w:tc>
          <w:tcPr>
            <w:tcW w:w="984" w:type="dxa"/>
          </w:tcPr>
          <w:p>
            <w:pPr/>
          </w:p>
        </w:tc>
      </w:tr>
      <w:tr>
        <w:trPr>
          <w:trHeight w:val="232" w:hRule="exact"/>
        </w:trPr>
        <w:tc>
          <w:tcPr>
            <w:tcW w:w="4417" w:type="dxa"/>
            <w:gridSpan w:val="2"/>
          </w:tcPr>
          <w:p>
            <w:pPr>
              <w:pStyle w:val="TableParagraph"/>
              <w:spacing w:before="4"/>
              <w:ind w:left="454"/>
              <w:rPr>
                <w:b/>
                <w:sz w:val="18"/>
              </w:rPr>
            </w:pPr>
            <w:r>
              <w:rPr>
                <w:b/>
                <w:sz w:val="18"/>
              </w:rPr>
              <w:t>for Superannuation</w:t>
            </w:r>
          </w:p>
        </w:tc>
        <w:tc>
          <w:tcPr>
            <w:tcW w:w="1627" w:type="dxa"/>
            <w:tcBorders>
              <w:bottom w:val="single" w:sz="1" w:space="0" w:color="000000"/>
            </w:tcBorders>
          </w:tcPr>
          <w:p>
            <w:pPr>
              <w:pStyle w:val="TableParagraph"/>
              <w:spacing w:line="183" w:lineRule="exact"/>
              <w:ind w:right="247"/>
              <w:jc w:val="right"/>
              <w:rPr>
                <w:b/>
                <w:sz w:val="18"/>
              </w:rPr>
            </w:pPr>
            <w:r>
              <w:rPr>
                <w:b/>
                <w:w w:val="95"/>
                <w:sz w:val="18"/>
              </w:rPr>
              <w:t>444,098</w:t>
            </w:r>
          </w:p>
        </w:tc>
        <w:tc>
          <w:tcPr>
            <w:tcW w:w="1386" w:type="dxa"/>
            <w:tcBorders>
              <w:bottom w:val="single" w:sz="1" w:space="0" w:color="000000"/>
            </w:tcBorders>
          </w:tcPr>
          <w:p>
            <w:pPr>
              <w:pStyle w:val="TableParagraph"/>
              <w:spacing w:line="183" w:lineRule="exact"/>
              <w:ind w:right="337"/>
              <w:jc w:val="right"/>
              <w:rPr>
                <w:sz w:val="18"/>
              </w:rPr>
            </w:pPr>
            <w:r>
              <w:rPr>
                <w:w w:val="95"/>
                <w:sz w:val="18"/>
              </w:rPr>
              <w:t>466,003</w:t>
            </w:r>
          </w:p>
        </w:tc>
        <w:tc>
          <w:tcPr>
            <w:tcW w:w="1523" w:type="dxa"/>
            <w:tcBorders>
              <w:bottom w:val="single" w:sz="1" w:space="0" w:color="000000"/>
            </w:tcBorders>
          </w:tcPr>
          <w:p>
            <w:pPr>
              <w:pStyle w:val="TableParagraph"/>
              <w:spacing w:line="183" w:lineRule="exact"/>
              <w:ind w:left="469"/>
              <w:rPr>
                <w:b/>
                <w:sz w:val="18"/>
              </w:rPr>
            </w:pPr>
            <w:r>
              <w:rPr>
                <w:b/>
                <w:sz w:val="18"/>
              </w:rPr>
              <w:t>404,032</w:t>
            </w:r>
          </w:p>
        </w:tc>
        <w:tc>
          <w:tcPr>
            <w:tcW w:w="984" w:type="dxa"/>
            <w:tcBorders>
              <w:bottom w:val="single" w:sz="1" w:space="0" w:color="000000"/>
            </w:tcBorders>
          </w:tcPr>
          <w:p>
            <w:pPr>
              <w:pStyle w:val="TableParagraph"/>
              <w:spacing w:line="183" w:lineRule="exact"/>
              <w:ind w:right="84"/>
              <w:jc w:val="right"/>
              <w:rPr>
                <w:sz w:val="18"/>
              </w:rPr>
            </w:pPr>
            <w:r>
              <w:rPr>
                <w:w w:val="95"/>
                <w:sz w:val="18"/>
              </w:rPr>
              <w:t>420,814</w:t>
            </w:r>
          </w:p>
        </w:tc>
      </w:tr>
    </w:tbl>
    <w:p>
      <w:pPr>
        <w:spacing w:after="0" w:line="183" w:lineRule="exact"/>
        <w:jc w:val="right"/>
        <w:rPr>
          <w:sz w:val="18"/>
        </w:rPr>
        <w:sectPr>
          <w:type w:val="continuous"/>
          <w:pgSz w:w="11910" w:h="16840"/>
          <w:pgMar w:top="1580" w:bottom="280" w:left="860" w:right="88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3035"/>
        <w:gridCol w:w="1050"/>
        <w:gridCol w:w="1625"/>
        <w:gridCol w:w="1417"/>
        <w:gridCol w:w="1487"/>
        <w:gridCol w:w="991"/>
      </w:tblGrid>
      <w:tr>
        <w:trPr>
          <w:trHeight w:val="567" w:hRule="exact"/>
        </w:trPr>
        <w:tc>
          <w:tcPr>
            <w:tcW w:w="333" w:type="dxa"/>
          </w:tcPr>
          <w:p>
            <w:pPr>
              <w:pStyle w:val="TableParagraph"/>
              <w:spacing w:before="77"/>
              <w:ind w:left="16" w:right="75"/>
              <w:jc w:val="center"/>
              <w:rPr>
                <w:b/>
                <w:sz w:val="18"/>
              </w:rPr>
            </w:pPr>
            <w:bookmarkStart w:name="12 Depreciation and amortisation " w:id="79"/>
            <w:bookmarkEnd w:id="79"/>
            <w:r>
              <w:rPr/>
            </w:r>
            <w:r>
              <w:rPr>
                <w:b/>
                <w:sz w:val="18"/>
              </w:rPr>
              <w:t>12</w:t>
            </w:r>
          </w:p>
        </w:tc>
        <w:tc>
          <w:tcPr>
            <w:tcW w:w="4085" w:type="dxa"/>
            <w:gridSpan w:val="2"/>
          </w:tcPr>
          <w:p>
            <w:pPr>
              <w:pStyle w:val="TableParagraph"/>
              <w:spacing w:before="77"/>
              <w:ind w:left="96"/>
              <w:rPr>
                <w:b/>
                <w:sz w:val="18"/>
              </w:rPr>
            </w:pPr>
            <w:r>
              <w:rPr>
                <w:b/>
                <w:sz w:val="18"/>
              </w:rPr>
              <w:t>Depreciation and amortisation</w:t>
            </w:r>
          </w:p>
        </w:tc>
        <w:tc>
          <w:tcPr>
            <w:tcW w:w="3042" w:type="dxa"/>
            <w:gridSpan w:val="2"/>
          </w:tcPr>
          <w:p>
            <w:pPr>
              <w:pStyle w:val="TableParagraph"/>
              <w:rPr>
                <w:rFonts w:ascii="Times New Roman"/>
                <w:sz w:val="18"/>
              </w:rPr>
            </w:pPr>
          </w:p>
          <w:p>
            <w:pPr>
              <w:pStyle w:val="TableParagraph"/>
              <w:spacing w:before="110"/>
              <w:ind w:left="823"/>
              <w:rPr>
                <w:b/>
                <w:sz w:val="18"/>
              </w:rPr>
            </w:pPr>
            <w:r>
              <w:rPr>
                <w:b/>
                <w:sz w:val="18"/>
              </w:rPr>
              <w:t>Consolidated</w:t>
            </w:r>
          </w:p>
        </w:tc>
        <w:tc>
          <w:tcPr>
            <w:tcW w:w="1487" w:type="dxa"/>
          </w:tcPr>
          <w:p>
            <w:pPr>
              <w:pStyle w:val="TableParagraph"/>
              <w:rPr>
                <w:rFonts w:ascii="Times New Roman"/>
                <w:sz w:val="18"/>
              </w:rPr>
            </w:pPr>
          </w:p>
          <w:p>
            <w:pPr>
              <w:pStyle w:val="TableParagraph"/>
              <w:spacing w:before="110"/>
              <w:ind w:right="103"/>
              <w:jc w:val="right"/>
              <w:rPr>
                <w:b/>
                <w:sz w:val="18"/>
              </w:rPr>
            </w:pPr>
            <w:r>
              <w:rPr>
                <w:b/>
                <w:w w:val="95"/>
                <w:sz w:val="18"/>
              </w:rPr>
              <w:t>Parent</w:t>
            </w:r>
          </w:p>
        </w:tc>
        <w:tc>
          <w:tcPr>
            <w:tcW w:w="991" w:type="dxa"/>
          </w:tcPr>
          <w:p>
            <w:pPr/>
          </w:p>
        </w:tc>
      </w:tr>
      <w:tr>
        <w:trPr>
          <w:trHeight w:val="274" w:hRule="exact"/>
        </w:trPr>
        <w:tc>
          <w:tcPr>
            <w:tcW w:w="333" w:type="dxa"/>
          </w:tcPr>
          <w:p>
            <w:pPr/>
          </w:p>
        </w:tc>
        <w:tc>
          <w:tcPr>
            <w:tcW w:w="4085" w:type="dxa"/>
            <w:gridSpan w:val="2"/>
          </w:tcPr>
          <w:p>
            <w:pPr/>
          </w:p>
        </w:tc>
        <w:tc>
          <w:tcPr>
            <w:tcW w:w="1625" w:type="dxa"/>
          </w:tcPr>
          <w:p>
            <w:pPr>
              <w:pStyle w:val="TableParagraph"/>
              <w:spacing w:before="24"/>
              <w:ind w:left="612"/>
              <w:rPr>
                <w:b/>
                <w:sz w:val="18"/>
              </w:rPr>
            </w:pPr>
            <w:r>
              <w:rPr>
                <w:b/>
                <w:sz w:val="18"/>
              </w:rPr>
              <w:t>2017</w:t>
            </w:r>
          </w:p>
        </w:tc>
        <w:tc>
          <w:tcPr>
            <w:tcW w:w="1417" w:type="dxa"/>
          </w:tcPr>
          <w:p>
            <w:pPr>
              <w:pStyle w:val="TableParagraph"/>
              <w:spacing w:before="24"/>
              <w:ind w:left="271"/>
              <w:rPr>
                <w:b/>
                <w:sz w:val="18"/>
              </w:rPr>
            </w:pPr>
            <w:r>
              <w:rPr>
                <w:b/>
                <w:sz w:val="18"/>
              </w:rPr>
              <w:t>2016</w:t>
            </w:r>
          </w:p>
        </w:tc>
        <w:tc>
          <w:tcPr>
            <w:tcW w:w="1487" w:type="dxa"/>
          </w:tcPr>
          <w:p>
            <w:pPr>
              <w:pStyle w:val="TableParagraph"/>
              <w:spacing w:before="24"/>
              <w:ind w:left="329"/>
              <w:rPr>
                <w:b/>
                <w:sz w:val="18"/>
              </w:rPr>
            </w:pPr>
            <w:r>
              <w:rPr>
                <w:b/>
                <w:sz w:val="18"/>
              </w:rPr>
              <w:t>2017</w:t>
            </w:r>
          </w:p>
        </w:tc>
        <w:tc>
          <w:tcPr>
            <w:tcW w:w="991" w:type="dxa"/>
          </w:tcPr>
          <w:p>
            <w:pPr>
              <w:pStyle w:val="TableParagraph"/>
              <w:spacing w:before="24"/>
              <w:ind w:left="127"/>
              <w:rPr>
                <w:b/>
                <w:sz w:val="18"/>
              </w:rPr>
            </w:pPr>
            <w:r>
              <w:rPr>
                <w:b/>
                <w:sz w:val="18"/>
              </w:rPr>
              <w:t>2016</w:t>
            </w:r>
          </w:p>
        </w:tc>
      </w:tr>
      <w:tr>
        <w:trPr>
          <w:trHeight w:val="313" w:hRule="exact"/>
        </w:trPr>
        <w:tc>
          <w:tcPr>
            <w:tcW w:w="333" w:type="dxa"/>
          </w:tcPr>
          <w:p>
            <w:pPr/>
          </w:p>
        </w:tc>
        <w:tc>
          <w:tcPr>
            <w:tcW w:w="4085" w:type="dxa"/>
            <w:gridSpan w:val="2"/>
          </w:tcPr>
          <w:p>
            <w:pPr/>
          </w:p>
        </w:tc>
        <w:tc>
          <w:tcPr>
            <w:tcW w:w="1625" w:type="dxa"/>
          </w:tcPr>
          <w:p>
            <w:pPr>
              <w:pStyle w:val="TableParagraph"/>
              <w:spacing w:before="24"/>
              <w:ind w:left="590"/>
              <w:rPr>
                <w:b/>
                <w:sz w:val="18"/>
              </w:rPr>
            </w:pPr>
            <w:r>
              <w:rPr>
                <w:b/>
                <w:sz w:val="18"/>
              </w:rPr>
              <w:t>$'000</w:t>
            </w:r>
          </w:p>
        </w:tc>
        <w:tc>
          <w:tcPr>
            <w:tcW w:w="1417" w:type="dxa"/>
          </w:tcPr>
          <w:p>
            <w:pPr>
              <w:pStyle w:val="TableParagraph"/>
              <w:spacing w:before="24"/>
              <w:ind w:left="249"/>
              <w:rPr>
                <w:b/>
                <w:sz w:val="18"/>
              </w:rPr>
            </w:pPr>
            <w:r>
              <w:rPr>
                <w:b/>
                <w:sz w:val="18"/>
              </w:rPr>
              <w:t>$'000</w:t>
            </w:r>
          </w:p>
        </w:tc>
        <w:tc>
          <w:tcPr>
            <w:tcW w:w="1487" w:type="dxa"/>
          </w:tcPr>
          <w:p>
            <w:pPr>
              <w:pStyle w:val="TableParagraph"/>
              <w:spacing w:before="24"/>
              <w:ind w:left="308"/>
              <w:rPr>
                <w:b/>
                <w:sz w:val="18"/>
              </w:rPr>
            </w:pPr>
            <w:r>
              <w:rPr>
                <w:b/>
                <w:sz w:val="18"/>
              </w:rPr>
              <w:t>$'000</w:t>
            </w:r>
          </w:p>
        </w:tc>
        <w:tc>
          <w:tcPr>
            <w:tcW w:w="991" w:type="dxa"/>
          </w:tcPr>
          <w:p>
            <w:pPr>
              <w:pStyle w:val="TableParagraph"/>
              <w:spacing w:before="24"/>
              <w:ind w:left="105"/>
              <w:rPr>
                <w:b/>
                <w:sz w:val="18"/>
              </w:rPr>
            </w:pPr>
            <w:r>
              <w:rPr>
                <w:b/>
                <w:sz w:val="18"/>
              </w:rPr>
              <w:t>$'000</w:t>
            </w:r>
          </w:p>
        </w:tc>
      </w:tr>
      <w:tr>
        <w:trPr>
          <w:trHeight w:val="294" w:hRule="exact"/>
        </w:trPr>
        <w:tc>
          <w:tcPr>
            <w:tcW w:w="333" w:type="dxa"/>
          </w:tcPr>
          <w:p>
            <w:pPr/>
          </w:p>
        </w:tc>
        <w:tc>
          <w:tcPr>
            <w:tcW w:w="4085" w:type="dxa"/>
            <w:gridSpan w:val="2"/>
          </w:tcPr>
          <w:p>
            <w:pPr>
              <w:pStyle w:val="TableParagraph"/>
              <w:spacing w:before="63"/>
              <w:ind w:left="122"/>
              <w:rPr>
                <w:b/>
                <w:sz w:val="18"/>
              </w:rPr>
            </w:pPr>
            <w:r>
              <w:rPr>
                <w:b/>
                <w:sz w:val="18"/>
              </w:rPr>
              <w:t>Depreciation</w:t>
            </w:r>
          </w:p>
        </w:tc>
        <w:tc>
          <w:tcPr>
            <w:tcW w:w="1625" w:type="dxa"/>
          </w:tcPr>
          <w:p>
            <w:pPr/>
          </w:p>
        </w:tc>
        <w:tc>
          <w:tcPr>
            <w:tcW w:w="1417" w:type="dxa"/>
          </w:tcPr>
          <w:p>
            <w:pPr/>
          </w:p>
        </w:tc>
        <w:tc>
          <w:tcPr>
            <w:tcW w:w="1487" w:type="dxa"/>
          </w:tcPr>
          <w:p>
            <w:pPr/>
          </w:p>
        </w:tc>
        <w:tc>
          <w:tcPr>
            <w:tcW w:w="991" w:type="dxa"/>
          </w:tcPr>
          <w:p>
            <w:pPr/>
          </w:p>
        </w:tc>
      </w:tr>
      <w:tr>
        <w:trPr>
          <w:trHeight w:val="251" w:hRule="exact"/>
        </w:trPr>
        <w:tc>
          <w:tcPr>
            <w:tcW w:w="333" w:type="dxa"/>
          </w:tcPr>
          <w:p>
            <w:pPr/>
          </w:p>
        </w:tc>
        <w:tc>
          <w:tcPr>
            <w:tcW w:w="4085" w:type="dxa"/>
            <w:gridSpan w:val="2"/>
          </w:tcPr>
          <w:p>
            <w:pPr>
              <w:pStyle w:val="TableParagraph"/>
              <w:spacing w:before="7"/>
              <w:ind w:left="336"/>
              <w:rPr>
                <w:sz w:val="18"/>
              </w:rPr>
            </w:pPr>
            <w:r>
              <w:rPr>
                <w:sz w:val="18"/>
              </w:rPr>
              <w:t>Buildings and Infrastructure</w:t>
            </w:r>
          </w:p>
        </w:tc>
        <w:tc>
          <w:tcPr>
            <w:tcW w:w="1625" w:type="dxa"/>
          </w:tcPr>
          <w:p>
            <w:pPr>
              <w:pStyle w:val="TableParagraph"/>
              <w:spacing w:before="4"/>
              <w:ind w:right="247"/>
              <w:jc w:val="right"/>
              <w:rPr>
                <w:b/>
                <w:sz w:val="18"/>
              </w:rPr>
            </w:pPr>
            <w:r>
              <w:rPr>
                <w:b/>
                <w:w w:val="95"/>
                <w:sz w:val="18"/>
              </w:rPr>
              <w:t>26,358</w:t>
            </w:r>
          </w:p>
        </w:tc>
        <w:tc>
          <w:tcPr>
            <w:tcW w:w="1417" w:type="dxa"/>
          </w:tcPr>
          <w:p>
            <w:pPr>
              <w:pStyle w:val="TableParagraph"/>
              <w:spacing w:before="4"/>
              <w:ind w:right="366"/>
              <w:jc w:val="right"/>
              <w:rPr>
                <w:sz w:val="18"/>
              </w:rPr>
            </w:pPr>
            <w:r>
              <w:rPr>
                <w:w w:val="95"/>
                <w:sz w:val="18"/>
              </w:rPr>
              <w:t>25,924</w:t>
            </w:r>
          </w:p>
        </w:tc>
        <w:tc>
          <w:tcPr>
            <w:tcW w:w="1487" w:type="dxa"/>
          </w:tcPr>
          <w:p>
            <w:pPr>
              <w:pStyle w:val="TableParagraph"/>
              <w:spacing w:before="4"/>
              <w:ind w:left="538"/>
              <w:rPr>
                <w:b/>
                <w:sz w:val="18"/>
              </w:rPr>
            </w:pPr>
            <w:r>
              <w:rPr>
                <w:b/>
                <w:sz w:val="18"/>
              </w:rPr>
              <w:t>26,358</w:t>
            </w:r>
          </w:p>
        </w:tc>
        <w:tc>
          <w:tcPr>
            <w:tcW w:w="991" w:type="dxa"/>
          </w:tcPr>
          <w:p>
            <w:pPr>
              <w:pStyle w:val="TableParagraph"/>
              <w:spacing w:before="4"/>
              <w:ind w:left="350"/>
              <w:rPr>
                <w:sz w:val="18"/>
              </w:rPr>
            </w:pPr>
            <w:r>
              <w:rPr>
                <w:sz w:val="18"/>
              </w:rPr>
              <w:t>25,924</w:t>
            </w:r>
          </w:p>
        </w:tc>
      </w:tr>
      <w:tr>
        <w:trPr>
          <w:trHeight w:val="264" w:hRule="exact"/>
        </w:trPr>
        <w:tc>
          <w:tcPr>
            <w:tcW w:w="333" w:type="dxa"/>
          </w:tcPr>
          <w:p>
            <w:pPr/>
          </w:p>
        </w:tc>
        <w:tc>
          <w:tcPr>
            <w:tcW w:w="4085" w:type="dxa"/>
            <w:gridSpan w:val="2"/>
          </w:tcPr>
          <w:p>
            <w:pPr>
              <w:pStyle w:val="TableParagraph"/>
              <w:spacing w:before="20"/>
              <w:ind w:left="336"/>
              <w:rPr>
                <w:sz w:val="18"/>
              </w:rPr>
            </w:pPr>
            <w:r>
              <w:rPr>
                <w:sz w:val="18"/>
              </w:rPr>
              <w:t>Plant and equipment</w:t>
            </w:r>
          </w:p>
        </w:tc>
        <w:tc>
          <w:tcPr>
            <w:tcW w:w="1625" w:type="dxa"/>
          </w:tcPr>
          <w:p>
            <w:pPr>
              <w:pStyle w:val="TableParagraph"/>
              <w:spacing w:before="18"/>
              <w:ind w:right="247"/>
              <w:jc w:val="right"/>
              <w:rPr>
                <w:b/>
                <w:sz w:val="18"/>
              </w:rPr>
            </w:pPr>
            <w:r>
              <w:rPr>
                <w:b/>
                <w:w w:val="95"/>
                <w:sz w:val="18"/>
              </w:rPr>
              <w:t>11,994</w:t>
            </w:r>
          </w:p>
        </w:tc>
        <w:tc>
          <w:tcPr>
            <w:tcW w:w="1417" w:type="dxa"/>
          </w:tcPr>
          <w:p>
            <w:pPr>
              <w:pStyle w:val="TableParagraph"/>
              <w:spacing w:before="18"/>
              <w:ind w:right="366"/>
              <w:jc w:val="right"/>
              <w:rPr>
                <w:sz w:val="18"/>
              </w:rPr>
            </w:pPr>
            <w:r>
              <w:rPr>
                <w:w w:val="95"/>
                <w:sz w:val="18"/>
              </w:rPr>
              <w:t>10,974</w:t>
            </w:r>
          </w:p>
        </w:tc>
        <w:tc>
          <w:tcPr>
            <w:tcW w:w="1487" w:type="dxa"/>
          </w:tcPr>
          <w:p>
            <w:pPr>
              <w:pStyle w:val="TableParagraph"/>
              <w:spacing w:before="18"/>
              <w:ind w:left="538"/>
              <w:rPr>
                <w:b/>
                <w:sz w:val="18"/>
              </w:rPr>
            </w:pPr>
            <w:r>
              <w:rPr>
                <w:b/>
                <w:sz w:val="18"/>
              </w:rPr>
              <w:t>11,878</w:t>
            </w:r>
          </w:p>
        </w:tc>
        <w:tc>
          <w:tcPr>
            <w:tcW w:w="991" w:type="dxa"/>
          </w:tcPr>
          <w:p>
            <w:pPr>
              <w:pStyle w:val="TableParagraph"/>
              <w:spacing w:before="18"/>
              <w:ind w:left="350"/>
              <w:rPr>
                <w:sz w:val="18"/>
              </w:rPr>
            </w:pPr>
            <w:r>
              <w:rPr>
                <w:sz w:val="18"/>
              </w:rPr>
              <w:t>10,826</w:t>
            </w:r>
          </w:p>
        </w:tc>
      </w:tr>
      <w:tr>
        <w:trPr>
          <w:trHeight w:val="260" w:hRule="exact"/>
        </w:trPr>
        <w:tc>
          <w:tcPr>
            <w:tcW w:w="333" w:type="dxa"/>
          </w:tcPr>
          <w:p>
            <w:pPr/>
          </w:p>
        </w:tc>
        <w:tc>
          <w:tcPr>
            <w:tcW w:w="4085" w:type="dxa"/>
            <w:gridSpan w:val="2"/>
          </w:tcPr>
          <w:p>
            <w:pPr>
              <w:pStyle w:val="TableParagraph"/>
              <w:spacing w:before="20"/>
              <w:ind w:left="336"/>
              <w:rPr>
                <w:sz w:val="18"/>
              </w:rPr>
            </w:pPr>
            <w:r>
              <w:rPr>
                <w:sz w:val="18"/>
              </w:rPr>
              <w:t>Library collection</w:t>
            </w:r>
          </w:p>
        </w:tc>
        <w:tc>
          <w:tcPr>
            <w:tcW w:w="1625" w:type="dxa"/>
            <w:tcBorders>
              <w:bottom w:val="single" w:sz="1" w:space="0" w:color="000000"/>
            </w:tcBorders>
          </w:tcPr>
          <w:p>
            <w:pPr>
              <w:pStyle w:val="TableParagraph"/>
              <w:spacing w:before="18"/>
              <w:ind w:right="247"/>
              <w:jc w:val="right"/>
              <w:rPr>
                <w:b/>
                <w:sz w:val="18"/>
              </w:rPr>
            </w:pPr>
            <w:r>
              <w:rPr>
                <w:b/>
                <w:w w:val="95"/>
                <w:sz w:val="18"/>
              </w:rPr>
              <w:t>2,569</w:t>
            </w:r>
          </w:p>
        </w:tc>
        <w:tc>
          <w:tcPr>
            <w:tcW w:w="1417" w:type="dxa"/>
            <w:tcBorders>
              <w:bottom w:val="single" w:sz="1" w:space="0" w:color="000000"/>
            </w:tcBorders>
          </w:tcPr>
          <w:p>
            <w:pPr>
              <w:pStyle w:val="TableParagraph"/>
              <w:spacing w:before="18"/>
              <w:ind w:right="366"/>
              <w:jc w:val="right"/>
              <w:rPr>
                <w:sz w:val="18"/>
              </w:rPr>
            </w:pPr>
            <w:r>
              <w:rPr>
                <w:w w:val="95"/>
                <w:sz w:val="18"/>
              </w:rPr>
              <w:t>2,945</w:t>
            </w:r>
          </w:p>
        </w:tc>
        <w:tc>
          <w:tcPr>
            <w:tcW w:w="1487" w:type="dxa"/>
            <w:tcBorders>
              <w:bottom w:val="single" w:sz="1" w:space="0" w:color="000000"/>
            </w:tcBorders>
          </w:tcPr>
          <w:p>
            <w:pPr>
              <w:pStyle w:val="TableParagraph"/>
              <w:spacing w:before="18"/>
              <w:ind w:left="639"/>
              <w:rPr>
                <w:b/>
                <w:sz w:val="18"/>
              </w:rPr>
            </w:pPr>
            <w:r>
              <w:rPr>
                <w:b/>
                <w:sz w:val="18"/>
              </w:rPr>
              <w:t>2,569</w:t>
            </w:r>
          </w:p>
        </w:tc>
        <w:tc>
          <w:tcPr>
            <w:tcW w:w="991" w:type="dxa"/>
            <w:tcBorders>
              <w:bottom w:val="single" w:sz="1" w:space="0" w:color="000000"/>
            </w:tcBorders>
          </w:tcPr>
          <w:p>
            <w:pPr>
              <w:pStyle w:val="TableParagraph"/>
              <w:spacing w:before="18"/>
              <w:ind w:right="84"/>
              <w:jc w:val="right"/>
              <w:rPr>
                <w:sz w:val="18"/>
              </w:rPr>
            </w:pPr>
            <w:r>
              <w:rPr>
                <w:w w:val="95"/>
                <w:sz w:val="18"/>
              </w:rPr>
              <w:t>2,945</w:t>
            </w:r>
          </w:p>
        </w:tc>
      </w:tr>
      <w:tr>
        <w:trPr>
          <w:trHeight w:val="338" w:hRule="exact"/>
        </w:trPr>
        <w:tc>
          <w:tcPr>
            <w:tcW w:w="333" w:type="dxa"/>
          </w:tcPr>
          <w:p>
            <w:pPr/>
          </w:p>
        </w:tc>
        <w:tc>
          <w:tcPr>
            <w:tcW w:w="4085" w:type="dxa"/>
            <w:gridSpan w:val="2"/>
          </w:tcPr>
          <w:p>
            <w:pPr>
              <w:pStyle w:val="TableParagraph"/>
              <w:spacing w:before="125"/>
              <w:ind w:left="122"/>
              <w:rPr>
                <w:b/>
                <w:sz w:val="18"/>
              </w:rPr>
            </w:pPr>
            <w:r>
              <w:rPr>
                <w:b/>
                <w:sz w:val="18"/>
              </w:rPr>
              <w:t>Total depreciation</w:t>
            </w:r>
          </w:p>
        </w:tc>
        <w:tc>
          <w:tcPr>
            <w:tcW w:w="1625" w:type="dxa"/>
            <w:tcBorders>
              <w:top w:val="single" w:sz="1" w:space="0" w:color="000000"/>
              <w:bottom w:val="single" w:sz="1" w:space="0" w:color="000000"/>
            </w:tcBorders>
          </w:tcPr>
          <w:p>
            <w:pPr>
              <w:pStyle w:val="TableParagraph"/>
              <w:spacing w:before="95"/>
              <w:ind w:right="247"/>
              <w:jc w:val="right"/>
              <w:rPr>
                <w:b/>
                <w:sz w:val="18"/>
              </w:rPr>
            </w:pPr>
            <w:r>
              <w:rPr>
                <w:b/>
                <w:w w:val="95"/>
                <w:sz w:val="18"/>
              </w:rPr>
              <w:t>40,921</w:t>
            </w:r>
          </w:p>
        </w:tc>
        <w:tc>
          <w:tcPr>
            <w:tcW w:w="1417" w:type="dxa"/>
            <w:tcBorders>
              <w:top w:val="single" w:sz="1" w:space="0" w:color="000000"/>
              <w:bottom w:val="single" w:sz="1" w:space="0" w:color="000000"/>
            </w:tcBorders>
          </w:tcPr>
          <w:p>
            <w:pPr>
              <w:pStyle w:val="TableParagraph"/>
              <w:spacing w:before="95"/>
              <w:ind w:right="366"/>
              <w:jc w:val="right"/>
              <w:rPr>
                <w:sz w:val="18"/>
              </w:rPr>
            </w:pPr>
            <w:r>
              <w:rPr>
                <w:w w:val="95"/>
                <w:sz w:val="18"/>
              </w:rPr>
              <w:t>39,843</w:t>
            </w:r>
          </w:p>
        </w:tc>
        <w:tc>
          <w:tcPr>
            <w:tcW w:w="1487" w:type="dxa"/>
            <w:tcBorders>
              <w:top w:val="single" w:sz="1" w:space="0" w:color="000000"/>
              <w:bottom w:val="single" w:sz="1" w:space="0" w:color="000000"/>
            </w:tcBorders>
          </w:tcPr>
          <w:p>
            <w:pPr>
              <w:pStyle w:val="TableParagraph"/>
              <w:spacing w:before="95"/>
              <w:ind w:left="538"/>
              <w:rPr>
                <w:b/>
                <w:sz w:val="18"/>
              </w:rPr>
            </w:pPr>
            <w:r>
              <w:rPr>
                <w:b/>
                <w:sz w:val="18"/>
              </w:rPr>
              <w:t>40,805</w:t>
            </w:r>
          </w:p>
        </w:tc>
        <w:tc>
          <w:tcPr>
            <w:tcW w:w="991" w:type="dxa"/>
            <w:tcBorders>
              <w:top w:val="single" w:sz="1" w:space="0" w:color="000000"/>
              <w:bottom w:val="single" w:sz="1" w:space="0" w:color="000000"/>
            </w:tcBorders>
          </w:tcPr>
          <w:p>
            <w:pPr>
              <w:pStyle w:val="TableParagraph"/>
              <w:spacing w:before="95"/>
              <w:ind w:left="350"/>
              <w:rPr>
                <w:sz w:val="18"/>
              </w:rPr>
            </w:pPr>
            <w:r>
              <w:rPr>
                <w:sz w:val="18"/>
              </w:rPr>
              <w:t>39,695</w:t>
            </w:r>
          </w:p>
        </w:tc>
      </w:tr>
      <w:tr>
        <w:trPr>
          <w:trHeight w:val="356" w:hRule="exact"/>
        </w:trPr>
        <w:tc>
          <w:tcPr>
            <w:tcW w:w="333" w:type="dxa"/>
          </w:tcPr>
          <w:p>
            <w:pPr/>
          </w:p>
        </w:tc>
        <w:tc>
          <w:tcPr>
            <w:tcW w:w="4085" w:type="dxa"/>
            <w:gridSpan w:val="2"/>
          </w:tcPr>
          <w:p>
            <w:pPr>
              <w:pStyle w:val="TableParagraph"/>
              <w:spacing w:before="125"/>
              <w:ind w:left="122"/>
              <w:rPr>
                <w:b/>
                <w:sz w:val="18"/>
              </w:rPr>
            </w:pPr>
            <w:r>
              <w:rPr>
                <w:b/>
                <w:sz w:val="18"/>
              </w:rPr>
              <w:t>Amortisation</w:t>
            </w:r>
          </w:p>
        </w:tc>
        <w:tc>
          <w:tcPr>
            <w:tcW w:w="1625" w:type="dxa"/>
            <w:tcBorders>
              <w:top w:val="single" w:sz="1" w:space="0" w:color="000000"/>
            </w:tcBorders>
          </w:tcPr>
          <w:p>
            <w:pPr/>
          </w:p>
        </w:tc>
        <w:tc>
          <w:tcPr>
            <w:tcW w:w="1417" w:type="dxa"/>
            <w:tcBorders>
              <w:top w:val="single" w:sz="1" w:space="0" w:color="000000"/>
            </w:tcBorders>
          </w:tcPr>
          <w:p>
            <w:pPr/>
          </w:p>
        </w:tc>
        <w:tc>
          <w:tcPr>
            <w:tcW w:w="1487" w:type="dxa"/>
            <w:tcBorders>
              <w:top w:val="single" w:sz="1" w:space="0" w:color="000000"/>
            </w:tcBorders>
          </w:tcPr>
          <w:p>
            <w:pPr/>
          </w:p>
        </w:tc>
        <w:tc>
          <w:tcPr>
            <w:tcW w:w="991" w:type="dxa"/>
            <w:tcBorders>
              <w:top w:val="single" w:sz="1" w:space="0" w:color="000000"/>
            </w:tcBorders>
          </w:tcPr>
          <w:p>
            <w:pPr/>
          </w:p>
        </w:tc>
      </w:tr>
      <w:tr>
        <w:trPr>
          <w:trHeight w:val="251" w:hRule="exact"/>
        </w:trPr>
        <w:tc>
          <w:tcPr>
            <w:tcW w:w="333" w:type="dxa"/>
          </w:tcPr>
          <w:p>
            <w:pPr/>
          </w:p>
        </w:tc>
        <w:tc>
          <w:tcPr>
            <w:tcW w:w="4085" w:type="dxa"/>
            <w:gridSpan w:val="2"/>
          </w:tcPr>
          <w:p>
            <w:pPr>
              <w:pStyle w:val="TableParagraph"/>
              <w:spacing w:before="7"/>
              <w:ind w:left="336"/>
              <w:rPr>
                <w:sz w:val="18"/>
              </w:rPr>
            </w:pPr>
            <w:r>
              <w:rPr>
                <w:sz w:val="18"/>
              </w:rPr>
              <w:t>Leasehold property</w:t>
            </w:r>
          </w:p>
        </w:tc>
        <w:tc>
          <w:tcPr>
            <w:tcW w:w="1625" w:type="dxa"/>
          </w:tcPr>
          <w:p>
            <w:pPr>
              <w:pStyle w:val="TableParagraph"/>
              <w:spacing w:before="4"/>
              <w:ind w:right="247"/>
              <w:jc w:val="right"/>
              <w:rPr>
                <w:b/>
                <w:sz w:val="18"/>
              </w:rPr>
            </w:pPr>
            <w:r>
              <w:rPr>
                <w:b/>
                <w:w w:val="95"/>
                <w:sz w:val="18"/>
              </w:rPr>
              <w:t>7,136</w:t>
            </w:r>
          </w:p>
        </w:tc>
        <w:tc>
          <w:tcPr>
            <w:tcW w:w="1417" w:type="dxa"/>
          </w:tcPr>
          <w:p>
            <w:pPr>
              <w:pStyle w:val="TableParagraph"/>
              <w:spacing w:before="4"/>
              <w:ind w:right="366"/>
              <w:jc w:val="right"/>
              <w:rPr>
                <w:sz w:val="18"/>
              </w:rPr>
            </w:pPr>
            <w:r>
              <w:rPr>
                <w:w w:val="95"/>
                <w:sz w:val="18"/>
              </w:rPr>
              <w:t>2,828</w:t>
            </w:r>
          </w:p>
        </w:tc>
        <w:tc>
          <w:tcPr>
            <w:tcW w:w="1487" w:type="dxa"/>
          </w:tcPr>
          <w:p>
            <w:pPr>
              <w:pStyle w:val="TableParagraph"/>
              <w:spacing w:before="4"/>
              <w:ind w:left="639"/>
              <w:rPr>
                <w:b/>
                <w:sz w:val="18"/>
              </w:rPr>
            </w:pPr>
            <w:r>
              <w:rPr>
                <w:b/>
                <w:sz w:val="18"/>
              </w:rPr>
              <w:t>5,716</w:t>
            </w:r>
          </w:p>
        </w:tc>
        <w:tc>
          <w:tcPr>
            <w:tcW w:w="991" w:type="dxa"/>
          </w:tcPr>
          <w:p>
            <w:pPr>
              <w:pStyle w:val="TableParagraph"/>
              <w:spacing w:before="4"/>
              <w:ind w:right="84"/>
              <w:jc w:val="right"/>
              <w:rPr>
                <w:sz w:val="18"/>
              </w:rPr>
            </w:pPr>
            <w:r>
              <w:rPr>
                <w:w w:val="95"/>
                <w:sz w:val="18"/>
              </w:rPr>
              <w:t>1,803</w:t>
            </w:r>
          </w:p>
        </w:tc>
      </w:tr>
      <w:tr>
        <w:trPr>
          <w:trHeight w:val="260" w:hRule="exact"/>
        </w:trPr>
        <w:tc>
          <w:tcPr>
            <w:tcW w:w="333" w:type="dxa"/>
          </w:tcPr>
          <w:p>
            <w:pPr/>
          </w:p>
        </w:tc>
        <w:tc>
          <w:tcPr>
            <w:tcW w:w="4085" w:type="dxa"/>
            <w:gridSpan w:val="2"/>
          </w:tcPr>
          <w:p>
            <w:pPr>
              <w:pStyle w:val="TableParagraph"/>
              <w:spacing w:before="20"/>
              <w:ind w:left="336"/>
              <w:rPr>
                <w:sz w:val="18"/>
              </w:rPr>
            </w:pPr>
            <w:bookmarkStart w:name="13 Repairs and maintenance " w:id="80"/>
            <w:bookmarkEnd w:id="80"/>
            <w:r>
              <w:rPr/>
            </w:r>
            <w:r>
              <w:rPr>
                <w:sz w:val="18"/>
              </w:rPr>
              <w:t>Intangible assets</w:t>
            </w:r>
          </w:p>
        </w:tc>
        <w:tc>
          <w:tcPr>
            <w:tcW w:w="1625" w:type="dxa"/>
            <w:tcBorders>
              <w:bottom w:val="single" w:sz="1" w:space="0" w:color="000000"/>
            </w:tcBorders>
          </w:tcPr>
          <w:p>
            <w:pPr>
              <w:pStyle w:val="TableParagraph"/>
              <w:spacing w:before="18"/>
              <w:ind w:right="247"/>
              <w:jc w:val="right"/>
              <w:rPr>
                <w:b/>
                <w:sz w:val="18"/>
              </w:rPr>
            </w:pPr>
            <w:r>
              <w:rPr>
                <w:b/>
                <w:w w:val="95"/>
                <w:sz w:val="18"/>
              </w:rPr>
              <w:t>2,468</w:t>
            </w:r>
          </w:p>
        </w:tc>
        <w:tc>
          <w:tcPr>
            <w:tcW w:w="1417" w:type="dxa"/>
            <w:tcBorders>
              <w:bottom w:val="single" w:sz="1" w:space="0" w:color="000000"/>
            </w:tcBorders>
          </w:tcPr>
          <w:p>
            <w:pPr>
              <w:pStyle w:val="TableParagraph"/>
              <w:spacing w:before="18"/>
              <w:ind w:right="366"/>
              <w:jc w:val="right"/>
              <w:rPr>
                <w:sz w:val="18"/>
              </w:rPr>
            </w:pPr>
            <w:r>
              <w:rPr>
                <w:w w:val="95"/>
                <w:sz w:val="18"/>
              </w:rPr>
              <w:t>1,203</w:t>
            </w:r>
          </w:p>
        </w:tc>
        <w:tc>
          <w:tcPr>
            <w:tcW w:w="1487" w:type="dxa"/>
            <w:tcBorders>
              <w:bottom w:val="single" w:sz="1" w:space="0" w:color="000000"/>
            </w:tcBorders>
          </w:tcPr>
          <w:p>
            <w:pPr>
              <w:pStyle w:val="TableParagraph"/>
              <w:spacing w:before="18"/>
              <w:ind w:left="639"/>
              <w:rPr>
                <w:b/>
                <w:sz w:val="18"/>
              </w:rPr>
            </w:pPr>
            <w:r>
              <w:rPr>
                <w:b/>
                <w:sz w:val="18"/>
              </w:rPr>
              <w:t>2,314</w:t>
            </w:r>
          </w:p>
        </w:tc>
        <w:tc>
          <w:tcPr>
            <w:tcW w:w="991" w:type="dxa"/>
            <w:tcBorders>
              <w:bottom w:val="single" w:sz="1" w:space="0" w:color="000000"/>
            </w:tcBorders>
          </w:tcPr>
          <w:p>
            <w:pPr>
              <w:pStyle w:val="TableParagraph"/>
              <w:spacing w:before="18"/>
              <w:ind w:right="84"/>
              <w:jc w:val="right"/>
              <w:rPr>
                <w:sz w:val="18"/>
              </w:rPr>
            </w:pPr>
            <w:r>
              <w:rPr>
                <w:w w:val="95"/>
                <w:sz w:val="18"/>
              </w:rPr>
              <w:t>1,082</w:t>
            </w:r>
          </w:p>
        </w:tc>
      </w:tr>
      <w:tr>
        <w:trPr>
          <w:trHeight w:val="338" w:hRule="exact"/>
        </w:trPr>
        <w:tc>
          <w:tcPr>
            <w:tcW w:w="333" w:type="dxa"/>
          </w:tcPr>
          <w:p>
            <w:pPr/>
          </w:p>
        </w:tc>
        <w:tc>
          <w:tcPr>
            <w:tcW w:w="4085" w:type="dxa"/>
            <w:gridSpan w:val="2"/>
          </w:tcPr>
          <w:p>
            <w:pPr>
              <w:pStyle w:val="TableParagraph"/>
              <w:spacing w:before="125"/>
              <w:ind w:left="122"/>
              <w:rPr>
                <w:b/>
                <w:sz w:val="18"/>
              </w:rPr>
            </w:pPr>
            <w:r>
              <w:rPr>
                <w:b/>
                <w:sz w:val="18"/>
              </w:rPr>
              <w:t>Total amortisation</w:t>
            </w:r>
          </w:p>
        </w:tc>
        <w:tc>
          <w:tcPr>
            <w:tcW w:w="1625" w:type="dxa"/>
            <w:tcBorders>
              <w:top w:val="single" w:sz="1" w:space="0" w:color="000000"/>
              <w:bottom w:val="single" w:sz="1" w:space="0" w:color="000000"/>
            </w:tcBorders>
          </w:tcPr>
          <w:p>
            <w:pPr>
              <w:pStyle w:val="TableParagraph"/>
              <w:spacing w:before="124"/>
              <w:ind w:right="247"/>
              <w:jc w:val="right"/>
              <w:rPr>
                <w:b/>
                <w:sz w:val="18"/>
              </w:rPr>
            </w:pPr>
            <w:r>
              <w:rPr>
                <w:b/>
                <w:w w:val="95"/>
                <w:sz w:val="18"/>
              </w:rPr>
              <w:t>9,604</w:t>
            </w:r>
          </w:p>
        </w:tc>
        <w:tc>
          <w:tcPr>
            <w:tcW w:w="1417" w:type="dxa"/>
            <w:tcBorders>
              <w:top w:val="single" w:sz="1" w:space="0" w:color="000000"/>
              <w:bottom w:val="single" w:sz="1" w:space="0" w:color="000000"/>
            </w:tcBorders>
          </w:tcPr>
          <w:p>
            <w:pPr>
              <w:pStyle w:val="TableParagraph"/>
              <w:spacing w:before="124"/>
              <w:ind w:right="366"/>
              <w:jc w:val="right"/>
              <w:rPr>
                <w:sz w:val="18"/>
              </w:rPr>
            </w:pPr>
            <w:r>
              <w:rPr>
                <w:w w:val="95"/>
                <w:sz w:val="18"/>
              </w:rPr>
              <w:t>4,031</w:t>
            </w:r>
          </w:p>
        </w:tc>
        <w:tc>
          <w:tcPr>
            <w:tcW w:w="1487" w:type="dxa"/>
            <w:tcBorders>
              <w:top w:val="single" w:sz="1" w:space="0" w:color="000000"/>
              <w:bottom w:val="single" w:sz="1" w:space="0" w:color="000000"/>
            </w:tcBorders>
          </w:tcPr>
          <w:p>
            <w:pPr>
              <w:pStyle w:val="TableParagraph"/>
              <w:spacing w:before="124"/>
              <w:ind w:left="639"/>
              <w:rPr>
                <w:b/>
                <w:sz w:val="18"/>
              </w:rPr>
            </w:pPr>
            <w:r>
              <w:rPr>
                <w:b/>
                <w:sz w:val="18"/>
              </w:rPr>
              <w:t>8,030</w:t>
            </w:r>
          </w:p>
        </w:tc>
        <w:tc>
          <w:tcPr>
            <w:tcW w:w="991" w:type="dxa"/>
            <w:tcBorders>
              <w:top w:val="single" w:sz="1" w:space="0" w:color="000000"/>
              <w:bottom w:val="single" w:sz="1" w:space="0" w:color="000000"/>
            </w:tcBorders>
          </w:tcPr>
          <w:p>
            <w:pPr>
              <w:pStyle w:val="TableParagraph"/>
              <w:spacing w:before="124"/>
              <w:ind w:right="84"/>
              <w:jc w:val="right"/>
              <w:rPr>
                <w:sz w:val="18"/>
              </w:rPr>
            </w:pPr>
            <w:r>
              <w:rPr>
                <w:w w:val="95"/>
                <w:sz w:val="18"/>
              </w:rPr>
              <w:t>2,885</w:t>
            </w:r>
          </w:p>
        </w:tc>
      </w:tr>
      <w:tr>
        <w:trPr>
          <w:trHeight w:val="353" w:hRule="exact"/>
        </w:trPr>
        <w:tc>
          <w:tcPr>
            <w:tcW w:w="333" w:type="dxa"/>
          </w:tcPr>
          <w:p>
            <w:pPr/>
          </w:p>
        </w:tc>
        <w:tc>
          <w:tcPr>
            <w:tcW w:w="4085" w:type="dxa"/>
            <w:gridSpan w:val="2"/>
          </w:tcPr>
          <w:p>
            <w:pPr>
              <w:pStyle w:val="TableParagraph"/>
              <w:spacing w:before="125"/>
              <w:ind w:left="122"/>
              <w:rPr>
                <w:b/>
                <w:sz w:val="18"/>
              </w:rPr>
            </w:pPr>
            <w:r>
              <w:rPr>
                <w:b/>
                <w:sz w:val="18"/>
              </w:rPr>
              <w:t>Total depreciation and amortisation</w:t>
            </w:r>
          </w:p>
        </w:tc>
        <w:tc>
          <w:tcPr>
            <w:tcW w:w="1625" w:type="dxa"/>
            <w:tcBorders>
              <w:top w:val="single" w:sz="1" w:space="0" w:color="000000"/>
              <w:bottom w:val="single" w:sz="1" w:space="0" w:color="000000"/>
            </w:tcBorders>
          </w:tcPr>
          <w:p>
            <w:pPr>
              <w:pStyle w:val="TableParagraph"/>
              <w:spacing w:before="95"/>
              <w:ind w:right="247"/>
              <w:jc w:val="right"/>
              <w:rPr>
                <w:b/>
                <w:sz w:val="18"/>
              </w:rPr>
            </w:pPr>
            <w:r>
              <w:rPr>
                <w:b/>
                <w:w w:val="95"/>
                <w:sz w:val="18"/>
              </w:rPr>
              <w:t>50,525</w:t>
            </w:r>
          </w:p>
        </w:tc>
        <w:tc>
          <w:tcPr>
            <w:tcW w:w="1417" w:type="dxa"/>
            <w:tcBorders>
              <w:top w:val="single" w:sz="1" w:space="0" w:color="000000"/>
              <w:bottom w:val="single" w:sz="1" w:space="0" w:color="000000"/>
            </w:tcBorders>
          </w:tcPr>
          <w:p>
            <w:pPr>
              <w:pStyle w:val="TableParagraph"/>
              <w:spacing w:before="95"/>
              <w:ind w:right="366"/>
              <w:jc w:val="right"/>
              <w:rPr>
                <w:sz w:val="18"/>
              </w:rPr>
            </w:pPr>
            <w:r>
              <w:rPr>
                <w:w w:val="95"/>
                <w:sz w:val="18"/>
              </w:rPr>
              <w:t>43,874</w:t>
            </w:r>
          </w:p>
        </w:tc>
        <w:tc>
          <w:tcPr>
            <w:tcW w:w="1487" w:type="dxa"/>
            <w:tcBorders>
              <w:top w:val="single" w:sz="1" w:space="0" w:color="000000"/>
              <w:bottom w:val="single" w:sz="1" w:space="0" w:color="000000"/>
            </w:tcBorders>
          </w:tcPr>
          <w:p>
            <w:pPr>
              <w:pStyle w:val="TableParagraph"/>
              <w:spacing w:before="95"/>
              <w:ind w:left="538"/>
              <w:rPr>
                <w:b/>
                <w:sz w:val="18"/>
              </w:rPr>
            </w:pPr>
            <w:r>
              <w:rPr>
                <w:b/>
                <w:sz w:val="18"/>
              </w:rPr>
              <w:t>48,835</w:t>
            </w:r>
          </w:p>
        </w:tc>
        <w:tc>
          <w:tcPr>
            <w:tcW w:w="991" w:type="dxa"/>
            <w:tcBorders>
              <w:top w:val="single" w:sz="1" w:space="0" w:color="000000"/>
              <w:bottom w:val="single" w:sz="1" w:space="0" w:color="000000"/>
            </w:tcBorders>
          </w:tcPr>
          <w:p>
            <w:pPr>
              <w:pStyle w:val="TableParagraph"/>
              <w:spacing w:before="95"/>
              <w:ind w:left="350"/>
              <w:rPr>
                <w:sz w:val="18"/>
              </w:rPr>
            </w:pPr>
            <w:r>
              <w:rPr>
                <w:sz w:val="18"/>
              </w:rPr>
              <w:t>42,580</w:t>
            </w:r>
          </w:p>
        </w:tc>
      </w:tr>
      <w:tr>
        <w:trPr>
          <w:trHeight w:val="518" w:hRule="exact"/>
        </w:trPr>
        <w:tc>
          <w:tcPr>
            <w:tcW w:w="333" w:type="dxa"/>
          </w:tcPr>
          <w:p>
            <w:pPr>
              <w:pStyle w:val="TableParagraph"/>
              <w:rPr>
                <w:rFonts w:ascii="Times New Roman"/>
                <w:sz w:val="18"/>
              </w:rPr>
            </w:pPr>
          </w:p>
          <w:p>
            <w:pPr>
              <w:pStyle w:val="TableParagraph"/>
              <w:spacing w:before="107"/>
              <w:ind w:left="16" w:right="75"/>
              <w:jc w:val="center"/>
              <w:rPr>
                <w:b/>
                <w:sz w:val="18"/>
              </w:rPr>
            </w:pPr>
            <w:r>
              <w:rPr>
                <w:b/>
                <w:sz w:val="18"/>
              </w:rPr>
              <w:t>13</w:t>
            </w:r>
          </w:p>
        </w:tc>
        <w:tc>
          <w:tcPr>
            <w:tcW w:w="4085" w:type="dxa"/>
            <w:gridSpan w:val="2"/>
          </w:tcPr>
          <w:p>
            <w:pPr>
              <w:pStyle w:val="TableParagraph"/>
              <w:rPr>
                <w:rFonts w:ascii="Times New Roman"/>
                <w:sz w:val="18"/>
              </w:rPr>
            </w:pPr>
          </w:p>
          <w:p>
            <w:pPr>
              <w:pStyle w:val="TableParagraph"/>
              <w:spacing w:before="107"/>
              <w:ind w:left="96"/>
              <w:rPr>
                <w:b/>
                <w:sz w:val="18"/>
              </w:rPr>
            </w:pPr>
            <w:r>
              <w:rPr>
                <w:b/>
                <w:sz w:val="18"/>
              </w:rPr>
              <w:t>Repairs and maintenance</w:t>
            </w:r>
          </w:p>
        </w:tc>
        <w:tc>
          <w:tcPr>
            <w:tcW w:w="1625" w:type="dxa"/>
            <w:tcBorders>
              <w:top w:val="single" w:sz="1" w:space="0" w:color="000000"/>
            </w:tcBorders>
          </w:tcPr>
          <w:p>
            <w:pPr/>
          </w:p>
        </w:tc>
        <w:tc>
          <w:tcPr>
            <w:tcW w:w="1417" w:type="dxa"/>
            <w:tcBorders>
              <w:top w:val="single" w:sz="1" w:space="0" w:color="000000"/>
            </w:tcBorders>
          </w:tcPr>
          <w:p>
            <w:pPr/>
          </w:p>
        </w:tc>
        <w:tc>
          <w:tcPr>
            <w:tcW w:w="1487" w:type="dxa"/>
            <w:tcBorders>
              <w:top w:val="single" w:sz="1" w:space="0" w:color="000000"/>
            </w:tcBorders>
          </w:tcPr>
          <w:p>
            <w:pPr/>
          </w:p>
        </w:tc>
        <w:tc>
          <w:tcPr>
            <w:tcW w:w="991" w:type="dxa"/>
            <w:tcBorders>
              <w:top w:val="single" w:sz="1" w:space="0" w:color="000000"/>
            </w:tcBorders>
          </w:tcPr>
          <w:p>
            <w:pPr/>
          </w:p>
        </w:tc>
      </w:tr>
      <w:tr>
        <w:trPr>
          <w:trHeight w:val="287" w:hRule="exact"/>
        </w:trPr>
        <w:tc>
          <w:tcPr>
            <w:tcW w:w="9937" w:type="dxa"/>
            <w:gridSpan w:val="7"/>
          </w:tcPr>
          <w:p>
            <w:pPr>
              <w:pStyle w:val="TableParagraph"/>
              <w:tabs>
                <w:tab w:pos="8278" w:val="left" w:leader="none"/>
              </w:tabs>
              <w:spacing w:before="37"/>
              <w:ind w:left="5240"/>
              <w:rPr>
                <w:b/>
                <w:sz w:val="18"/>
              </w:rPr>
            </w:pPr>
            <w:r>
              <w:rPr>
                <w:b/>
                <w:sz w:val="18"/>
              </w:rPr>
              <w:t>Consolidated</w:t>
              <w:tab/>
              <w:t>Parent</w:t>
            </w:r>
          </w:p>
        </w:tc>
      </w:tr>
      <w:tr>
        <w:trPr>
          <w:trHeight w:val="274" w:hRule="exact"/>
        </w:trPr>
        <w:tc>
          <w:tcPr>
            <w:tcW w:w="333" w:type="dxa"/>
          </w:tcPr>
          <w:p>
            <w:pPr/>
          </w:p>
        </w:tc>
        <w:tc>
          <w:tcPr>
            <w:tcW w:w="4085" w:type="dxa"/>
            <w:gridSpan w:val="2"/>
          </w:tcPr>
          <w:p>
            <w:pPr/>
          </w:p>
        </w:tc>
        <w:tc>
          <w:tcPr>
            <w:tcW w:w="1625" w:type="dxa"/>
          </w:tcPr>
          <w:p>
            <w:pPr>
              <w:pStyle w:val="TableParagraph"/>
              <w:spacing w:before="24"/>
              <w:ind w:left="612"/>
              <w:rPr>
                <w:b/>
                <w:sz w:val="18"/>
              </w:rPr>
            </w:pPr>
            <w:r>
              <w:rPr>
                <w:b/>
                <w:sz w:val="18"/>
              </w:rPr>
              <w:t>2017</w:t>
            </w:r>
          </w:p>
        </w:tc>
        <w:tc>
          <w:tcPr>
            <w:tcW w:w="1417" w:type="dxa"/>
          </w:tcPr>
          <w:p>
            <w:pPr>
              <w:pStyle w:val="TableParagraph"/>
              <w:spacing w:before="24"/>
              <w:ind w:left="271"/>
              <w:rPr>
                <w:b/>
                <w:sz w:val="18"/>
              </w:rPr>
            </w:pPr>
            <w:r>
              <w:rPr>
                <w:b/>
                <w:sz w:val="18"/>
              </w:rPr>
              <w:t>2016</w:t>
            </w:r>
          </w:p>
        </w:tc>
        <w:tc>
          <w:tcPr>
            <w:tcW w:w="1487" w:type="dxa"/>
          </w:tcPr>
          <w:p>
            <w:pPr>
              <w:pStyle w:val="TableParagraph"/>
              <w:spacing w:before="24"/>
              <w:ind w:left="329"/>
              <w:rPr>
                <w:b/>
                <w:sz w:val="18"/>
              </w:rPr>
            </w:pPr>
            <w:r>
              <w:rPr>
                <w:b/>
                <w:sz w:val="18"/>
              </w:rPr>
              <w:t>2017</w:t>
            </w:r>
          </w:p>
        </w:tc>
        <w:tc>
          <w:tcPr>
            <w:tcW w:w="991" w:type="dxa"/>
          </w:tcPr>
          <w:p>
            <w:pPr>
              <w:pStyle w:val="TableParagraph"/>
              <w:spacing w:before="24"/>
              <w:ind w:left="127"/>
              <w:rPr>
                <w:b/>
                <w:sz w:val="18"/>
              </w:rPr>
            </w:pPr>
            <w:r>
              <w:rPr>
                <w:b/>
                <w:sz w:val="18"/>
              </w:rPr>
              <w:t>2016</w:t>
            </w:r>
          </w:p>
        </w:tc>
      </w:tr>
      <w:tr>
        <w:trPr>
          <w:trHeight w:val="271" w:hRule="exact"/>
        </w:trPr>
        <w:tc>
          <w:tcPr>
            <w:tcW w:w="333" w:type="dxa"/>
          </w:tcPr>
          <w:p>
            <w:pPr/>
          </w:p>
        </w:tc>
        <w:tc>
          <w:tcPr>
            <w:tcW w:w="4085" w:type="dxa"/>
            <w:gridSpan w:val="2"/>
          </w:tcPr>
          <w:p>
            <w:pPr/>
          </w:p>
        </w:tc>
        <w:tc>
          <w:tcPr>
            <w:tcW w:w="1625" w:type="dxa"/>
          </w:tcPr>
          <w:p>
            <w:pPr>
              <w:pStyle w:val="TableParagraph"/>
              <w:spacing w:before="24"/>
              <w:ind w:left="590"/>
              <w:rPr>
                <w:b/>
                <w:sz w:val="18"/>
              </w:rPr>
            </w:pPr>
            <w:r>
              <w:rPr>
                <w:b/>
                <w:sz w:val="18"/>
              </w:rPr>
              <w:t>$'000</w:t>
            </w:r>
          </w:p>
        </w:tc>
        <w:tc>
          <w:tcPr>
            <w:tcW w:w="1417" w:type="dxa"/>
          </w:tcPr>
          <w:p>
            <w:pPr>
              <w:pStyle w:val="TableParagraph"/>
              <w:spacing w:before="24"/>
              <w:ind w:left="249"/>
              <w:rPr>
                <w:b/>
                <w:sz w:val="18"/>
              </w:rPr>
            </w:pPr>
            <w:r>
              <w:rPr>
                <w:b/>
                <w:sz w:val="18"/>
              </w:rPr>
              <w:t>$'000</w:t>
            </w:r>
          </w:p>
        </w:tc>
        <w:tc>
          <w:tcPr>
            <w:tcW w:w="1487" w:type="dxa"/>
          </w:tcPr>
          <w:p>
            <w:pPr>
              <w:pStyle w:val="TableParagraph"/>
              <w:spacing w:before="24"/>
              <w:ind w:left="308"/>
              <w:rPr>
                <w:b/>
                <w:sz w:val="18"/>
              </w:rPr>
            </w:pPr>
            <w:r>
              <w:rPr>
                <w:b/>
                <w:sz w:val="18"/>
              </w:rPr>
              <w:t>$'000</w:t>
            </w:r>
          </w:p>
        </w:tc>
        <w:tc>
          <w:tcPr>
            <w:tcW w:w="991" w:type="dxa"/>
          </w:tcPr>
          <w:p>
            <w:pPr>
              <w:pStyle w:val="TableParagraph"/>
              <w:spacing w:before="24"/>
              <w:ind w:left="105"/>
              <w:rPr>
                <w:b/>
                <w:sz w:val="18"/>
              </w:rPr>
            </w:pPr>
            <w:r>
              <w:rPr>
                <w:b/>
                <w:sz w:val="18"/>
              </w:rPr>
              <w:t>$'000</w:t>
            </w:r>
          </w:p>
        </w:tc>
      </w:tr>
      <w:tr>
        <w:trPr>
          <w:trHeight w:val="268" w:hRule="exact"/>
        </w:trPr>
        <w:tc>
          <w:tcPr>
            <w:tcW w:w="333" w:type="dxa"/>
          </w:tcPr>
          <w:p>
            <w:pPr/>
          </w:p>
        </w:tc>
        <w:tc>
          <w:tcPr>
            <w:tcW w:w="4085" w:type="dxa"/>
            <w:gridSpan w:val="2"/>
          </w:tcPr>
          <w:p>
            <w:pPr>
              <w:pStyle w:val="TableParagraph"/>
              <w:spacing w:before="24"/>
              <w:ind w:left="122"/>
              <w:rPr>
                <w:sz w:val="18"/>
              </w:rPr>
            </w:pPr>
            <w:r>
              <w:rPr>
                <w:sz w:val="18"/>
              </w:rPr>
              <w:t>Buildings</w:t>
            </w:r>
          </w:p>
        </w:tc>
        <w:tc>
          <w:tcPr>
            <w:tcW w:w="1625" w:type="dxa"/>
          </w:tcPr>
          <w:p>
            <w:pPr>
              <w:pStyle w:val="TableParagraph"/>
              <w:spacing w:before="21"/>
              <w:ind w:right="247"/>
              <w:jc w:val="right"/>
              <w:rPr>
                <w:b/>
                <w:sz w:val="18"/>
              </w:rPr>
            </w:pPr>
            <w:r>
              <w:rPr>
                <w:b/>
                <w:w w:val="95"/>
                <w:sz w:val="18"/>
              </w:rPr>
              <w:t>19,836</w:t>
            </w:r>
          </w:p>
        </w:tc>
        <w:tc>
          <w:tcPr>
            <w:tcW w:w="1417" w:type="dxa"/>
          </w:tcPr>
          <w:p>
            <w:pPr>
              <w:pStyle w:val="TableParagraph"/>
              <w:spacing w:before="21"/>
              <w:ind w:right="366"/>
              <w:jc w:val="right"/>
              <w:rPr>
                <w:sz w:val="18"/>
              </w:rPr>
            </w:pPr>
            <w:r>
              <w:rPr>
                <w:w w:val="95"/>
                <w:sz w:val="18"/>
              </w:rPr>
              <w:t>21,692</w:t>
            </w:r>
          </w:p>
        </w:tc>
        <w:tc>
          <w:tcPr>
            <w:tcW w:w="1487" w:type="dxa"/>
          </w:tcPr>
          <w:p>
            <w:pPr>
              <w:pStyle w:val="TableParagraph"/>
              <w:spacing w:before="21"/>
              <w:ind w:left="538"/>
              <w:rPr>
                <w:b/>
                <w:sz w:val="18"/>
              </w:rPr>
            </w:pPr>
            <w:r>
              <w:rPr>
                <w:b/>
                <w:sz w:val="18"/>
              </w:rPr>
              <w:t>19,788</w:t>
            </w:r>
          </w:p>
        </w:tc>
        <w:tc>
          <w:tcPr>
            <w:tcW w:w="991" w:type="dxa"/>
          </w:tcPr>
          <w:p>
            <w:pPr>
              <w:pStyle w:val="TableParagraph"/>
              <w:spacing w:before="21"/>
              <w:ind w:left="350"/>
              <w:rPr>
                <w:sz w:val="18"/>
              </w:rPr>
            </w:pPr>
            <w:r>
              <w:rPr>
                <w:sz w:val="18"/>
              </w:rPr>
              <w:t>21,616</w:t>
            </w:r>
          </w:p>
        </w:tc>
      </w:tr>
      <w:tr>
        <w:trPr>
          <w:trHeight w:val="264" w:hRule="exact"/>
        </w:trPr>
        <w:tc>
          <w:tcPr>
            <w:tcW w:w="333" w:type="dxa"/>
          </w:tcPr>
          <w:p>
            <w:pPr/>
          </w:p>
        </w:tc>
        <w:tc>
          <w:tcPr>
            <w:tcW w:w="4085" w:type="dxa"/>
            <w:gridSpan w:val="2"/>
          </w:tcPr>
          <w:p>
            <w:pPr>
              <w:pStyle w:val="TableParagraph"/>
              <w:spacing w:before="20"/>
              <w:ind w:left="122"/>
              <w:rPr>
                <w:sz w:val="18"/>
              </w:rPr>
            </w:pPr>
            <w:bookmarkStart w:name="14 Borrowing costs " w:id="81"/>
            <w:bookmarkEnd w:id="81"/>
            <w:r>
              <w:rPr/>
            </w:r>
            <w:r>
              <w:rPr>
                <w:sz w:val="18"/>
              </w:rPr>
              <w:t>Plant and equipment</w:t>
            </w:r>
          </w:p>
        </w:tc>
        <w:tc>
          <w:tcPr>
            <w:tcW w:w="1625" w:type="dxa"/>
          </w:tcPr>
          <w:p>
            <w:pPr>
              <w:pStyle w:val="TableParagraph"/>
              <w:spacing w:before="18"/>
              <w:ind w:right="247"/>
              <w:jc w:val="right"/>
              <w:rPr>
                <w:b/>
                <w:sz w:val="18"/>
              </w:rPr>
            </w:pPr>
            <w:r>
              <w:rPr>
                <w:b/>
                <w:w w:val="95"/>
                <w:sz w:val="18"/>
              </w:rPr>
              <w:t>5,116</w:t>
            </w:r>
          </w:p>
        </w:tc>
        <w:tc>
          <w:tcPr>
            <w:tcW w:w="1417" w:type="dxa"/>
          </w:tcPr>
          <w:p>
            <w:pPr>
              <w:pStyle w:val="TableParagraph"/>
              <w:spacing w:before="18"/>
              <w:ind w:right="366"/>
              <w:jc w:val="right"/>
              <w:rPr>
                <w:sz w:val="18"/>
              </w:rPr>
            </w:pPr>
            <w:r>
              <w:rPr>
                <w:w w:val="95"/>
                <w:sz w:val="18"/>
              </w:rPr>
              <w:t>4,784</w:t>
            </w:r>
          </w:p>
        </w:tc>
        <w:tc>
          <w:tcPr>
            <w:tcW w:w="1487" w:type="dxa"/>
          </w:tcPr>
          <w:p>
            <w:pPr>
              <w:pStyle w:val="TableParagraph"/>
              <w:spacing w:before="18"/>
              <w:ind w:left="639"/>
              <w:rPr>
                <w:b/>
                <w:sz w:val="18"/>
              </w:rPr>
            </w:pPr>
            <w:r>
              <w:rPr>
                <w:b/>
                <w:sz w:val="18"/>
              </w:rPr>
              <w:t>5,029</w:t>
            </w:r>
          </w:p>
        </w:tc>
        <w:tc>
          <w:tcPr>
            <w:tcW w:w="991" w:type="dxa"/>
          </w:tcPr>
          <w:p>
            <w:pPr>
              <w:pStyle w:val="TableParagraph"/>
              <w:spacing w:before="18"/>
              <w:ind w:right="84"/>
              <w:jc w:val="right"/>
              <w:rPr>
                <w:sz w:val="18"/>
              </w:rPr>
            </w:pPr>
            <w:r>
              <w:rPr>
                <w:w w:val="95"/>
                <w:sz w:val="18"/>
              </w:rPr>
              <w:t>4,676</w:t>
            </w:r>
          </w:p>
        </w:tc>
      </w:tr>
      <w:tr>
        <w:trPr>
          <w:trHeight w:val="264" w:hRule="exact"/>
        </w:trPr>
        <w:tc>
          <w:tcPr>
            <w:tcW w:w="333" w:type="dxa"/>
          </w:tcPr>
          <w:p>
            <w:pPr/>
          </w:p>
        </w:tc>
        <w:tc>
          <w:tcPr>
            <w:tcW w:w="4085" w:type="dxa"/>
            <w:gridSpan w:val="2"/>
          </w:tcPr>
          <w:p>
            <w:pPr>
              <w:pStyle w:val="TableParagraph"/>
              <w:spacing w:before="20"/>
              <w:ind w:left="122"/>
              <w:rPr>
                <w:sz w:val="18"/>
              </w:rPr>
            </w:pPr>
            <w:r>
              <w:rPr>
                <w:sz w:val="18"/>
              </w:rPr>
              <w:t>Information technology</w:t>
            </w:r>
          </w:p>
        </w:tc>
        <w:tc>
          <w:tcPr>
            <w:tcW w:w="1625" w:type="dxa"/>
          </w:tcPr>
          <w:p>
            <w:pPr>
              <w:pStyle w:val="TableParagraph"/>
              <w:spacing w:before="18"/>
              <w:ind w:right="247"/>
              <w:jc w:val="right"/>
              <w:rPr>
                <w:b/>
                <w:sz w:val="18"/>
              </w:rPr>
            </w:pPr>
            <w:r>
              <w:rPr>
                <w:b/>
                <w:sz w:val="18"/>
              </w:rPr>
              <w:t>45</w:t>
            </w:r>
          </w:p>
        </w:tc>
        <w:tc>
          <w:tcPr>
            <w:tcW w:w="1417" w:type="dxa"/>
          </w:tcPr>
          <w:p>
            <w:pPr>
              <w:pStyle w:val="TableParagraph"/>
              <w:spacing w:before="18"/>
              <w:ind w:right="366"/>
              <w:jc w:val="right"/>
              <w:rPr>
                <w:sz w:val="18"/>
              </w:rPr>
            </w:pPr>
            <w:r>
              <w:rPr>
                <w:sz w:val="18"/>
              </w:rPr>
              <w:t>34</w:t>
            </w:r>
          </w:p>
        </w:tc>
        <w:tc>
          <w:tcPr>
            <w:tcW w:w="1487" w:type="dxa"/>
          </w:tcPr>
          <w:p>
            <w:pPr>
              <w:pStyle w:val="TableParagraph"/>
              <w:spacing w:before="18"/>
              <w:ind w:left="891"/>
              <w:rPr>
                <w:b/>
                <w:sz w:val="18"/>
              </w:rPr>
            </w:pPr>
            <w:r>
              <w:rPr>
                <w:b/>
                <w:sz w:val="18"/>
              </w:rPr>
              <w:t>45</w:t>
            </w:r>
          </w:p>
        </w:tc>
        <w:tc>
          <w:tcPr>
            <w:tcW w:w="991" w:type="dxa"/>
          </w:tcPr>
          <w:p>
            <w:pPr>
              <w:pStyle w:val="TableParagraph"/>
              <w:spacing w:before="18"/>
              <w:ind w:right="84"/>
              <w:jc w:val="right"/>
              <w:rPr>
                <w:sz w:val="18"/>
              </w:rPr>
            </w:pPr>
            <w:r>
              <w:rPr>
                <w:sz w:val="18"/>
              </w:rPr>
              <w:t>32</w:t>
            </w:r>
          </w:p>
        </w:tc>
      </w:tr>
      <w:tr>
        <w:trPr>
          <w:trHeight w:val="260" w:hRule="exact"/>
        </w:trPr>
        <w:tc>
          <w:tcPr>
            <w:tcW w:w="333" w:type="dxa"/>
          </w:tcPr>
          <w:p>
            <w:pPr/>
          </w:p>
        </w:tc>
        <w:tc>
          <w:tcPr>
            <w:tcW w:w="4085" w:type="dxa"/>
            <w:gridSpan w:val="2"/>
          </w:tcPr>
          <w:p>
            <w:pPr>
              <w:pStyle w:val="TableParagraph"/>
              <w:spacing w:before="20"/>
              <w:ind w:left="122"/>
              <w:rPr>
                <w:sz w:val="18"/>
              </w:rPr>
            </w:pPr>
            <w:r>
              <w:rPr>
                <w:sz w:val="18"/>
              </w:rPr>
              <w:t>Motor vehicles</w:t>
            </w:r>
          </w:p>
        </w:tc>
        <w:tc>
          <w:tcPr>
            <w:tcW w:w="1625" w:type="dxa"/>
            <w:tcBorders>
              <w:bottom w:val="single" w:sz="1" w:space="0" w:color="000000"/>
            </w:tcBorders>
          </w:tcPr>
          <w:p>
            <w:pPr>
              <w:pStyle w:val="TableParagraph"/>
              <w:spacing w:before="18"/>
              <w:ind w:right="247"/>
              <w:jc w:val="right"/>
              <w:rPr>
                <w:b/>
                <w:sz w:val="18"/>
              </w:rPr>
            </w:pPr>
            <w:r>
              <w:rPr>
                <w:b/>
                <w:w w:val="95"/>
                <w:sz w:val="18"/>
              </w:rPr>
              <w:t>564</w:t>
            </w:r>
          </w:p>
        </w:tc>
        <w:tc>
          <w:tcPr>
            <w:tcW w:w="1417" w:type="dxa"/>
            <w:tcBorders>
              <w:bottom w:val="single" w:sz="1" w:space="0" w:color="000000"/>
            </w:tcBorders>
          </w:tcPr>
          <w:p>
            <w:pPr>
              <w:pStyle w:val="TableParagraph"/>
              <w:spacing w:before="18"/>
              <w:ind w:right="366"/>
              <w:jc w:val="right"/>
              <w:rPr>
                <w:sz w:val="18"/>
              </w:rPr>
            </w:pPr>
            <w:r>
              <w:rPr>
                <w:w w:val="95"/>
                <w:sz w:val="18"/>
              </w:rPr>
              <w:t>597</w:t>
            </w:r>
          </w:p>
        </w:tc>
        <w:tc>
          <w:tcPr>
            <w:tcW w:w="1487" w:type="dxa"/>
            <w:tcBorders>
              <w:bottom w:val="single" w:sz="1" w:space="0" w:color="000000"/>
            </w:tcBorders>
          </w:tcPr>
          <w:p>
            <w:pPr>
              <w:pStyle w:val="TableParagraph"/>
              <w:spacing w:before="18"/>
              <w:ind w:left="790"/>
              <w:rPr>
                <w:b/>
                <w:sz w:val="18"/>
              </w:rPr>
            </w:pPr>
            <w:r>
              <w:rPr>
                <w:b/>
                <w:sz w:val="18"/>
              </w:rPr>
              <w:t>489</w:t>
            </w:r>
          </w:p>
        </w:tc>
        <w:tc>
          <w:tcPr>
            <w:tcW w:w="991" w:type="dxa"/>
            <w:tcBorders>
              <w:bottom w:val="single" w:sz="1" w:space="0" w:color="000000"/>
            </w:tcBorders>
          </w:tcPr>
          <w:p>
            <w:pPr>
              <w:pStyle w:val="TableParagraph"/>
              <w:spacing w:before="18"/>
              <w:ind w:right="84"/>
              <w:jc w:val="right"/>
              <w:rPr>
                <w:sz w:val="18"/>
              </w:rPr>
            </w:pPr>
            <w:r>
              <w:rPr>
                <w:w w:val="95"/>
                <w:sz w:val="18"/>
              </w:rPr>
              <w:t>520</w:t>
            </w:r>
          </w:p>
        </w:tc>
      </w:tr>
      <w:tr>
        <w:trPr>
          <w:trHeight w:val="353" w:hRule="exact"/>
        </w:trPr>
        <w:tc>
          <w:tcPr>
            <w:tcW w:w="333" w:type="dxa"/>
          </w:tcPr>
          <w:p>
            <w:pPr/>
          </w:p>
        </w:tc>
        <w:tc>
          <w:tcPr>
            <w:tcW w:w="4085" w:type="dxa"/>
            <w:gridSpan w:val="2"/>
          </w:tcPr>
          <w:p>
            <w:pPr>
              <w:pStyle w:val="TableParagraph"/>
              <w:spacing w:before="125"/>
              <w:ind w:left="122"/>
              <w:rPr>
                <w:b/>
                <w:sz w:val="18"/>
              </w:rPr>
            </w:pPr>
            <w:r>
              <w:rPr>
                <w:b/>
                <w:sz w:val="18"/>
              </w:rPr>
              <w:t>Total repairs and maintenance</w:t>
            </w:r>
          </w:p>
        </w:tc>
        <w:tc>
          <w:tcPr>
            <w:tcW w:w="1625" w:type="dxa"/>
            <w:tcBorders>
              <w:top w:val="single" w:sz="1" w:space="0" w:color="000000"/>
              <w:bottom w:val="single" w:sz="1" w:space="0" w:color="000000"/>
            </w:tcBorders>
          </w:tcPr>
          <w:p>
            <w:pPr>
              <w:pStyle w:val="TableParagraph"/>
              <w:spacing w:before="95"/>
              <w:ind w:right="247"/>
              <w:jc w:val="right"/>
              <w:rPr>
                <w:b/>
                <w:sz w:val="18"/>
              </w:rPr>
            </w:pPr>
            <w:r>
              <w:rPr>
                <w:b/>
                <w:w w:val="95"/>
                <w:sz w:val="18"/>
              </w:rPr>
              <w:t>25,561</w:t>
            </w:r>
          </w:p>
        </w:tc>
        <w:tc>
          <w:tcPr>
            <w:tcW w:w="1417" w:type="dxa"/>
            <w:tcBorders>
              <w:top w:val="single" w:sz="1" w:space="0" w:color="000000"/>
              <w:bottom w:val="single" w:sz="1" w:space="0" w:color="000000"/>
            </w:tcBorders>
          </w:tcPr>
          <w:p>
            <w:pPr>
              <w:pStyle w:val="TableParagraph"/>
              <w:spacing w:before="95"/>
              <w:ind w:right="366"/>
              <w:jc w:val="right"/>
              <w:rPr>
                <w:sz w:val="18"/>
              </w:rPr>
            </w:pPr>
            <w:r>
              <w:rPr>
                <w:w w:val="95"/>
                <w:sz w:val="18"/>
              </w:rPr>
              <w:t>27,107</w:t>
            </w:r>
          </w:p>
        </w:tc>
        <w:tc>
          <w:tcPr>
            <w:tcW w:w="1487" w:type="dxa"/>
            <w:tcBorders>
              <w:top w:val="single" w:sz="1" w:space="0" w:color="000000"/>
              <w:bottom w:val="single" w:sz="1" w:space="0" w:color="000000"/>
            </w:tcBorders>
          </w:tcPr>
          <w:p>
            <w:pPr>
              <w:pStyle w:val="TableParagraph"/>
              <w:spacing w:before="95"/>
              <w:ind w:left="538"/>
              <w:rPr>
                <w:b/>
                <w:sz w:val="18"/>
              </w:rPr>
            </w:pPr>
            <w:r>
              <w:rPr>
                <w:b/>
                <w:sz w:val="18"/>
              </w:rPr>
              <w:t>25,351</w:t>
            </w:r>
          </w:p>
        </w:tc>
        <w:tc>
          <w:tcPr>
            <w:tcW w:w="991" w:type="dxa"/>
            <w:tcBorders>
              <w:top w:val="single" w:sz="1" w:space="0" w:color="000000"/>
              <w:bottom w:val="single" w:sz="1" w:space="0" w:color="000000"/>
            </w:tcBorders>
          </w:tcPr>
          <w:p>
            <w:pPr>
              <w:pStyle w:val="TableParagraph"/>
              <w:spacing w:before="95"/>
              <w:ind w:left="350"/>
              <w:rPr>
                <w:sz w:val="18"/>
              </w:rPr>
            </w:pPr>
            <w:r>
              <w:rPr>
                <w:sz w:val="18"/>
              </w:rPr>
              <w:t>26,844</w:t>
            </w:r>
          </w:p>
        </w:tc>
      </w:tr>
      <w:tr>
        <w:trPr>
          <w:trHeight w:val="518" w:hRule="exact"/>
        </w:trPr>
        <w:tc>
          <w:tcPr>
            <w:tcW w:w="333" w:type="dxa"/>
          </w:tcPr>
          <w:p>
            <w:pPr>
              <w:pStyle w:val="TableParagraph"/>
              <w:rPr>
                <w:rFonts w:ascii="Times New Roman"/>
                <w:sz w:val="18"/>
              </w:rPr>
            </w:pPr>
          </w:p>
          <w:p>
            <w:pPr>
              <w:pStyle w:val="TableParagraph"/>
              <w:spacing w:before="107"/>
              <w:ind w:left="16" w:right="75"/>
              <w:jc w:val="center"/>
              <w:rPr>
                <w:b/>
                <w:sz w:val="18"/>
              </w:rPr>
            </w:pPr>
            <w:r>
              <w:rPr>
                <w:b/>
                <w:sz w:val="18"/>
              </w:rPr>
              <w:t>14</w:t>
            </w:r>
          </w:p>
        </w:tc>
        <w:tc>
          <w:tcPr>
            <w:tcW w:w="4085" w:type="dxa"/>
            <w:gridSpan w:val="2"/>
          </w:tcPr>
          <w:p>
            <w:pPr>
              <w:pStyle w:val="TableParagraph"/>
              <w:rPr>
                <w:rFonts w:ascii="Times New Roman"/>
                <w:sz w:val="18"/>
              </w:rPr>
            </w:pPr>
          </w:p>
          <w:p>
            <w:pPr>
              <w:pStyle w:val="TableParagraph"/>
              <w:spacing w:before="107"/>
              <w:ind w:left="96"/>
              <w:rPr>
                <w:b/>
                <w:sz w:val="18"/>
              </w:rPr>
            </w:pPr>
            <w:r>
              <w:rPr>
                <w:b/>
                <w:sz w:val="18"/>
              </w:rPr>
              <w:t>Borrowing costs</w:t>
            </w:r>
          </w:p>
        </w:tc>
        <w:tc>
          <w:tcPr>
            <w:tcW w:w="1625" w:type="dxa"/>
            <w:tcBorders>
              <w:top w:val="single" w:sz="1" w:space="0" w:color="000000"/>
            </w:tcBorders>
          </w:tcPr>
          <w:p>
            <w:pPr/>
          </w:p>
        </w:tc>
        <w:tc>
          <w:tcPr>
            <w:tcW w:w="1417" w:type="dxa"/>
            <w:tcBorders>
              <w:top w:val="single" w:sz="1" w:space="0" w:color="000000"/>
            </w:tcBorders>
          </w:tcPr>
          <w:p>
            <w:pPr/>
          </w:p>
        </w:tc>
        <w:tc>
          <w:tcPr>
            <w:tcW w:w="1487" w:type="dxa"/>
            <w:tcBorders>
              <w:top w:val="single" w:sz="1" w:space="0" w:color="000000"/>
            </w:tcBorders>
          </w:tcPr>
          <w:p>
            <w:pPr/>
          </w:p>
        </w:tc>
        <w:tc>
          <w:tcPr>
            <w:tcW w:w="991" w:type="dxa"/>
            <w:tcBorders>
              <w:top w:val="single" w:sz="1" w:space="0" w:color="000000"/>
            </w:tcBorders>
          </w:tcPr>
          <w:p>
            <w:pPr/>
          </w:p>
        </w:tc>
      </w:tr>
      <w:tr>
        <w:trPr>
          <w:trHeight w:val="448" w:hRule="exact"/>
        </w:trPr>
        <w:tc>
          <w:tcPr>
            <w:tcW w:w="9937" w:type="dxa"/>
            <w:gridSpan w:val="7"/>
          </w:tcPr>
          <w:p>
            <w:pPr>
              <w:pStyle w:val="TableParagraph"/>
              <w:spacing w:before="2"/>
              <w:rPr>
                <w:rFonts w:ascii="Times New Roman"/>
                <w:sz w:val="17"/>
              </w:rPr>
            </w:pPr>
          </w:p>
          <w:p>
            <w:pPr>
              <w:pStyle w:val="TableParagraph"/>
              <w:tabs>
                <w:tab w:pos="8290" w:val="left" w:leader="none"/>
              </w:tabs>
              <w:ind w:left="5243"/>
              <w:rPr>
                <w:b/>
                <w:sz w:val="18"/>
              </w:rPr>
            </w:pPr>
            <w:r>
              <w:rPr>
                <w:b/>
                <w:sz w:val="18"/>
              </w:rPr>
              <w:t>Consolidated</w:t>
              <w:tab/>
              <w:t>Parent</w:t>
            </w:r>
          </w:p>
        </w:tc>
      </w:tr>
      <w:tr>
        <w:trPr>
          <w:trHeight w:val="274" w:hRule="exact"/>
        </w:trPr>
        <w:tc>
          <w:tcPr>
            <w:tcW w:w="333" w:type="dxa"/>
          </w:tcPr>
          <w:p>
            <w:pPr/>
          </w:p>
        </w:tc>
        <w:tc>
          <w:tcPr>
            <w:tcW w:w="3035" w:type="dxa"/>
          </w:tcPr>
          <w:p>
            <w:pPr/>
          </w:p>
        </w:tc>
        <w:tc>
          <w:tcPr>
            <w:tcW w:w="1050" w:type="dxa"/>
          </w:tcPr>
          <w:p>
            <w:pPr/>
          </w:p>
        </w:tc>
        <w:tc>
          <w:tcPr>
            <w:tcW w:w="3042" w:type="dxa"/>
            <w:gridSpan w:val="2"/>
          </w:tcPr>
          <w:p>
            <w:pPr>
              <w:pStyle w:val="TableParagraph"/>
              <w:tabs>
                <w:tab w:pos="1898" w:val="left" w:leader="none"/>
              </w:tabs>
              <w:spacing w:before="24"/>
              <w:ind w:left="614"/>
              <w:rPr>
                <w:b/>
                <w:sz w:val="18"/>
              </w:rPr>
            </w:pPr>
            <w:r>
              <w:rPr>
                <w:b/>
                <w:sz w:val="18"/>
              </w:rPr>
              <w:t>2017</w:t>
              <w:tab/>
              <w:t>2016</w:t>
            </w:r>
          </w:p>
        </w:tc>
        <w:tc>
          <w:tcPr>
            <w:tcW w:w="1487" w:type="dxa"/>
          </w:tcPr>
          <w:p>
            <w:pPr>
              <w:pStyle w:val="TableParagraph"/>
              <w:spacing w:before="24"/>
              <w:ind w:left="332"/>
              <w:rPr>
                <w:b/>
                <w:sz w:val="18"/>
              </w:rPr>
            </w:pPr>
            <w:r>
              <w:rPr>
                <w:b/>
                <w:sz w:val="18"/>
              </w:rPr>
              <w:t>2017</w:t>
            </w:r>
          </w:p>
        </w:tc>
        <w:tc>
          <w:tcPr>
            <w:tcW w:w="991" w:type="dxa"/>
          </w:tcPr>
          <w:p>
            <w:pPr>
              <w:pStyle w:val="TableParagraph"/>
              <w:spacing w:before="24"/>
              <w:ind w:left="129"/>
              <w:rPr>
                <w:b/>
                <w:sz w:val="18"/>
              </w:rPr>
            </w:pPr>
            <w:r>
              <w:rPr>
                <w:b/>
                <w:sz w:val="18"/>
              </w:rPr>
              <w:t>2016</w:t>
            </w:r>
          </w:p>
        </w:tc>
      </w:tr>
      <w:tr>
        <w:trPr>
          <w:trHeight w:val="271" w:hRule="exact"/>
        </w:trPr>
        <w:tc>
          <w:tcPr>
            <w:tcW w:w="333" w:type="dxa"/>
          </w:tcPr>
          <w:p>
            <w:pPr/>
          </w:p>
        </w:tc>
        <w:tc>
          <w:tcPr>
            <w:tcW w:w="3035" w:type="dxa"/>
          </w:tcPr>
          <w:p>
            <w:pPr/>
          </w:p>
        </w:tc>
        <w:tc>
          <w:tcPr>
            <w:tcW w:w="1050" w:type="dxa"/>
          </w:tcPr>
          <w:p>
            <w:pPr/>
          </w:p>
        </w:tc>
        <w:tc>
          <w:tcPr>
            <w:tcW w:w="3042" w:type="dxa"/>
            <w:gridSpan w:val="2"/>
          </w:tcPr>
          <w:p>
            <w:pPr>
              <w:pStyle w:val="TableParagraph"/>
              <w:tabs>
                <w:tab w:pos="1876" w:val="left" w:leader="none"/>
              </w:tabs>
              <w:spacing w:before="24"/>
              <w:ind w:left="592"/>
              <w:rPr>
                <w:b/>
                <w:sz w:val="18"/>
              </w:rPr>
            </w:pPr>
            <w:bookmarkStart w:name="15 Impairment of assets " w:id="82"/>
            <w:bookmarkEnd w:id="82"/>
            <w:r>
              <w:rPr/>
            </w:r>
            <w:r>
              <w:rPr>
                <w:b/>
                <w:sz w:val="18"/>
              </w:rPr>
              <w:t>$'000</w:t>
              <w:tab/>
              <w:t>$'000</w:t>
            </w:r>
          </w:p>
        </w:tc>
        <w:tc>
          <w:tcPr>
            <w:tcW w:w="1487" w:type="dxa"/>
          </w:tcPr>
          <w:p>
            <w:pPr>
              <w:pStyle w:val="TableParagraph"/>
              <w:spacing w:before="24"/>
              <w:ind w:left="310"/>
              <w:rPr>
                <w:b/>
                <w:sz w:val="18"/>
              </w:rPr>
            </w:pPr>
            <w:r>
              <w:rPr>
                <w:b/>
                <w:sz w:val="18"/>
              </w:rPr>
              <w:t>$'000</w:t>
            </w:r>
          </w:p>
        </w:tc>
        <w:tc>
          <w:tcPr>
            <w:tcW w:w="991" w:type="dxa"/>
          </w:tcPr>
          <w:p>
            <w:pPr>
              <w:pStyle w:val="TableParagraph"/>
              <w:spacing w:before="24"/>
              <w:ind w:left="107"/>
              <w:rPr>
                <w:b/>
                <w:sz w:val="18"/>
              </w:rPr>
            </w:pPr>
            <w:r>
              <w:rPr>
                <w:b/>
                <w:sz w:val="18"/>
              </w:rPr>
              <w:t>$'000</w:t>
            </w:r>
          </w:p>
        </w:tc>
      </w:tr>
      <w:tr>
        <w:trPr>
          <w:trHeight w:val="263" w:hRule="exact"/>
        </w:trPr>
        <w:tc>
          <w:tcPr>
            <w:tcW w:w="333" w:type="dxa"/>
          </w:tcPr>
          <w:p>
            <w:pPr/>
          </w:p>
        </w:tc>
        <w:tc>
          <w:tcPr>
            <w:tcW w:w="3035" w:type="dxa"/>
          </w:tcPr>
          <w:p>
            <w:pPr>
              <w:pStyle w:val="TableParagraph"/>
              <w:spacing w:before="24"/>
              <w:ind w:left="122" w:right="1012"/>
              <w:rPr>
                <w:sz w:val="18"/>
              </w:rPr>
            </w:pPr>
            <w:r>
              <w:rPr>
                <w:sz w:val="18"/>
              </w:rPr>
              <w:t>Interest expense</w:t>
            </w:r>
          </w:p>
        </w:tc>
        <w:tc>
          <w:tcPr>
            <w:tcW w:w="1050" w:type="dxa"/>
          </w:tcPr>
          <w:p>
            <w:pPr/>
          </w:p>
        </w:tc>
        <w:tc>
          <w:tcPr>
            <w:tcW w:w="3042" w:type="dxa"/>
            <w:gridSpan w:val="2"/>
            <w:tcBorders>
              <w:bottom w:val="single" w:sz="1" w:space="0" w:color="000000"/>
            </w:tcBorders>
          </w:tcPr>
          <w:p>
            <w:pPr>
              <w:pStyle w:val="TableParagraph"/>
              <w:tabs>
                <w:tab w:pos="2219" w:val="left" w:leader="none"/>
              </w:tabs>
              <w:spacing w:before="21"/>
              <w:ind w:left="924"/>
              <w:rPr>
                <w:sz w:val="18"/>
              </w:rPr>
            </w:pPr>
            <w:r>
              <w:rPr>
                <w:b/>
                <w:sz w:val="18"/>
              </w:rPr>
              <w:t>4,276</w:t>
              <w:tab/>
            </w:r>
            <w:r>
              <w:rPr>
                <w:sz w:val="18"/>
              </w:rPr>
              <w:t>2,558</w:t>
            </w:r>
          </w:p>
        </w:tc>
        <w:tc>
          <w:tcPr>
            <w:tcW w:w="1487" w:type="dxa"/>
            <w:tcBorders>
              <w:bottom w:val="single" w:sz="1" w:space="0" w:color="000000"/>
            </w:tcBorders>
          </w:tcPr>
          <w:p>
            <w:pPr>
              <w:pStyle w:val="TableParagraph"/>
              <w:spacing w:before="21"/>
              <w:ind w:left="641"/>
              <w:rPr>
                <w:b/>
                <w:sz w:val="18"/>
              </w:rPr>
            </w:pPr>
            <w:r>
              <w:rPr>
                <w:b/>
                <w:sz w:val="18"/>
              </w:rPr>
              <w:t>4,476</w:t>
            </w:r>
          </w:p>
        </w:tc>
        <w:tc>
          <w:tcPr>
            <w:tcW w:w="991" w:type="dxa"/>
            <w:tcBorders>
              <w:bottom w:val="single" w:sz="1" w:space="0" w:color="000000"/>
            </w:tcBorders>
          </w:tcPr>
          <w:p>
            <w:pPr>
              <w:pStyle w:val="TableParagraph"/>
              <w:spacing w:before="21"/>
              <w:ind w:right="84"/>
              <w:jc w:val="right"/>
              <w:rPr>
                <w:sz w:val="18"/>
              </w:rPr>
            </w:pPr>
            <w:r>
              <w:rPr>
                <w:w w:val="95"/>
                <w:sz w:val="18"/>
              </w:rPr>
              <w:t>2,689</w:t>
            </w:r>
          </w:p>
        </w:tc>
      </w:tr>
      <w:tr>
        <w:trPr>
          <w:trHeight w:val="559" w:hRule="exact"/>
        </w:trPr>
        <w:tc>
          <w:tcPr>
            <w:tcW w:w="333" w:type="dxa"/>
          </w:tcPr>
          <w:p>
            <w:pPr/>
          </w:p>
        </w:tc>
        <w:tc>
          <w:tcPr>
            <w:tcW w:w="3035" w:type="dxa"/>
          </w:tcPr>
          <w:p>
            <w:pPr>
              <w:pStyle w:val="TableParagraph"/>
              <w:spacing w:before="125"/>
              <w:ind w:left="122" w:right="1012"/>
              <w:rPr>
                <w:b/>
                <w:sz w:val="18"/>
              </w:rPr>
            </w:pPr>
            <w:r>
              <w:rPr>
                <w:b/>
                <w:sz w:val="18"/>
              </w:rPr>
              <w:t>Total borrowing costs expensed</w:t>
            </w:r>
          </w:p>
        </w:tc>
        <w:tc>
          <w:tcPr>
            <w:tcW w:w="1050" w:type="dxa"/>
          </w:tcPr>
          <w:p>
            <w:pPr/>
          </w:p>
        </w:tc>
        <w:tc>
          <w:tcPr>
            <w:tcW w:w="3042" w:type="dxa"/>
            <w:gridSpan w:val="2"/>
            <w:tcBorders>
              <w:top w:val="single" w:sz="1" w:space="0" w:color="000000"/>
              <w:bottom w:val="single" w:sz="1" w:space="0" w:color="000000"/>
            </w:tcBorders>
          </w:tcPr>
          <w:p>
            <w:pPr>
              <w:pStyle w:val="TableParagraph"/>
              <w:rPr>
                <w:rFonts w:ascii="Times New Roman"/>
                <w:sz w:val="18"/>
              </w:rPr>
            </w:pPr>
          </w:p>
          <w:p>
            <w:pPr>
              <w:pStyle w:val="TableParagraph"/>
              <w:tabs>
                <w:tab w:pos="2219" w:val="left" w:leader="none"/>
              </w:tabs>
              <w:spacing w:before="123"/>
              <w:ind w:left="923"/>
              <w:rPr>
                <w:sz w:val="18"/>
              </w:rPr>
            </w:pPr>
            <w:r>
              <w:rPr>
                <w:b/>
                <w:sz w:val="18"/>
              </w:rPr>
              <w:t>4,276</w:t>
              <w:tab/>
            </w:r>
            <w:r>
              <w:rPr>
                <w:sz w:val="18"/>
              </w:rPr>
              <w:t>2,558</w:t>
            </w:r>
          </w:p>
        </w:tc>
        <w:tc>
          <w:tcPr>
            <w:tcW w:w="1487" w:type="dxa"/>
            <w:tcBorders>
              <w:top w:val="single" w:sz="1" w:space="0" w:color="000000"/>
              <w:bottom w:val="single" w:sz="1" w:space="0" w:color="000000"/>
            </w:tcBorders>
          </w:tcPr>
          <w:p>
            <w:pPr>
              <w:pStyle w:val="TableParagraph"/>
              <w:rPr>
                <w:rFonts w:ascii="Times New Roman"/>
                <w:sz w:val="18"/>
              </w:rPr>
            </w:pPr>
          </w:p>
          <w:p>
            <w:pPr>
              <w:pStyle w:val="TableParagraph"/>
              <w:spacing w:before="123"/>
              <w:ind w:left="641"/>
              <w:rPr>
                <w:b/>
                <w:sz w:val="18"/>
              </w:rPr>
            </w:pPr>
            <w:r>
              <w:rPr>
                <w:b/>
                <w:sz w:val="18"/>
              </w:rPr>
              <w:t>4,476</w:t>
            </w:r>
          </w:p>
        </w:tc>
        <w:tc>
          <w:tcPr>
            <w:tcW w:w="991" w:type="dxa"/>
            <w:tcBorders>
              <w:top w:val="single" w:sz="1" w:space="0" w:color="000000"/>
              <w:bottom w:val="single" w:sz="1" w:space="0" w:color="000000"/>
            </w:tcBorders>
          </w:tcPr>
          <w:p>
            <w:pPr>
              <w:pStyle w:val="TableParagraph"/>
              <w:rPr>
                <w:rFonts w:ascii="Times New Roman"/>
                <w:sz w:val="18"/>
              </w:rPr>
            </w:pPr>
          </w:p>
          <w:p>
            <w:pPr>
              <w:pStyle w:val="TableParagraph"/>
              <w:spacing w:before="123"/>
              <w:ind w:right="84"/>
              <w:jc w:val="right"/>
              <w:rPr>
                <w:sz w:val="18"/>
              </w:rPr>
            </w:pPr>
            <w:r>
              <w:rPr>
                <w:w w:val="95"/>
                <w:sz w:val="18"/>
              </w:rPr>
              <w:t>2,689</w:t>
            </w:r>
          </w:p>
        </w:tc>
      </w:tr>
      <w:tr>
        <w:trPr>
          <w:trHeight w:val="548" w:hRule="exact"/>
        </w:trPr>
        <w:tc>
          <w:tcPr>
            <w:tcW w:w="333" w:type="dxa"/>
          </w:tcPr>
          <w:p>
            <w:pPr>
              <w:pStyle w:val="TableParagraph"/>
              <w:rPr>
                <w:rFonts w:ascii="Times New Roman"/>
                <w:sz w:val="18"/>
              </w:rPr>
            </w:pPr>
          </w:p>
          <w:p>
            <w:pPr>
              <w:pStyle w:val="TableParagraph"/>
              <w:spacing w:before="107"/>
              <w:ind w:left="16" w:right="75"/>
              <w:jc w:val="center"/>
              <w:rPr>
                <w:b/>
                <w:sz w:val="18"/>
              </w:rPr>
            </w:pPr>
            <w:r>
              <w:rPr>
                <w:b/>
                <w:sz w:val="18"/>
              </w:rPr>
              <w:t>15</w:t>
            </w:r>
          </w:p>
        </w:tc>
        <w:tc>
          <w:tcPr>
            <w:tcW w:w="3035" w:type="dxa"/>
          </w:tcPr>
          <w:p>
            <w:pPr>
              <w:pStyle w:val="TableParagraph"/>
              <w:rPr>
                <w:rFonts w:ascii="Times New Roman"/>
                <w:sz w:val="18"/>
              </w:rPr>
            </w:pPr>
          </w:p>
          <w:p>
            <w:pPr>
              <w:pStyle w:val="TableParagraph"/>
              <w:spacing w:before="107"/>
              <w:ind w:left="96" w:right="1012"/>
              <w:rPr>
                <w:b/>
                <w:sz w:val="18"/>
              </w:rPr>
            </w:pPr>
            <w:r>
              <w:rPr>
                <w:b/>
                <w:sz w:val="18"/>
              </w:rPr>
              <w:t>Impairment of assets</w:t>
            </w:r>
          </w:p>
        </w:tc>
        <w:tc>
          <w:tcPr>
            <w:tcW w:w="1050" w:type="dxa"/>
          </w:tcPr>
          <w:p>
            <w:pPr/>
          </w:p>
        </w:tc>
        <w:tc>
          <w:tcPr>
            <w:tcW w:w="3042" w:type="dxa"/>
            <w:gridSpan w:val="2"/>
            <w:tcBorders>
              <w:top w:val="single" w:sz="1" w:space="0" w:color="000000"/>
            </w:tcBorders>
          </w:tcPr>
          <w:p>
            <w:pPr/>
          </w:p>
        </w:tc>
        <w:tc>
          <w:tcPr>
            <w:tcW w:w="1487" w:type="dxa"/>
            <w:tcBorders>
              <w:top w:val="single" w:sz="1" w:space="0" w:color="000000"/>
            </w:tcBorders>
          </w:tcPr>
          <w:p>
            <w:pPr/>
          </w:p>
        </w:tc>
        <w:tc>
          <w:tcPr>
            <w:tcW w:w="991" w:type="dxa"/>
            <w:tcBorders>
              <w:top w:val="single" w:sz="1" w:space="0" w:color="000000"/>
            </w:tcBorders>
          </w:tcPr>
          <w:p>
            <w:pPr/>
          </w:p>
        </w:tc>
      </w:tr>
      <w:tr>
        <w:trPr>
          <w:trHeight w:val="257" w:hRule="exact"/>
        </w:trPr>
        <w:tc>
          <w:tcPr>
            <w:tcW w:w="333" w:type="dxa"/>
          </w:tcPr>
          <w:p>
            <w:pPr/>
          </w:p>
        </w:tc>
        <w:tc>
          <w:tcPr>
            <w:tcW w:w="3035" w:type="dxa"/>
          </w:tcPr>
          <w:p>
            <w:pPr/>
          </w:p>
        </w:tc>
        <w:tc>
          <w:tcPr>
            <w:tcW w:w="1050" w:type="dxa"/>
          </w:tcPr>
          <w:p>
            <w:pPr/>
          </w:p>
        </w:tc>
        <w:tc>
          <w:tcPr>
            <w:tcW w:w="3042" w:type="dxa"/>
            <w:gridSpan w:val="2"/>
          </w:tcPr>
          <w:p>
            <w:pPr>
              <w:pStyle w:val="TableParagraph"/>
              <w:spacing w:before="7"/>
              <w:ind w:left="823"/>
              <w:rPr>
                <w:b/>
                <w:sz w:val="18"/>
              </w:rPr>
            </w:pPr>
            <w:r>
              <w:rPr>
                <w:b/>
                <w:sz w:val="18"/>
              </w:rPr>
              <w:t>Consolidated</w:t>
            </w:r>
          </w:p>
        </w:tc>
        <w:tc>
          <w:tcPr>
            <w:tcW w:w="1487" w:type="dxa"/>
          </w:tcPr>
          <w:p>
            <w:pPr>
              <w:pStyle w:val="TableParagraph"/>
              <w:spacing w:before="7"/>
              <w:ind w:right="103"/>
              <w:jc w:val="right"/>
              <w:rPr>
                <w:b/>
                <w:sz w:val="18"/>
              </w:rPr>
            </w:pPr>
            <w:r>
              <w:rPr>
                <w:b/>
                <w:w w:val="95"/>
                <w:sz w:val="18"/>
              </w:rPr>
              <w:t>Parent</w:t>
            </w:r>
          </w:p>
        </w:tc>
        <w:tc>
          <w:tcPr>
            <w:tcW w:w="991" w:type="dxa"/>
          </w:tcPr>
          <w:p>
            <w:pPr/>
          </w:p>
        </w:tc>
      </w:tr>
      <w:tr>
        <w:trPr>
          <w:trHeight w:val="274" w:hRule="exact"/>
        </w:trPr>
        <w:tc>
          <w:tcPr>
            <w:tcW w:w="333" w:type="dxa"/>
          </w:tcPr>
          <w:p>
            <w:pPr/>
          </w:p>
        </w:tc>
        <w:tc>
          <w:tcPr>
            <w:tcW w:w="3035" w:type="dxa"/>
          </w:tcPr>
          <w:p>
            <w:pPr/>
          </w:p>
        </w:tc>
        <w:tc>
          <w:tcPr>
            <w:tcW w:w="1050" w:type="dxa"/>
          </w:tcPr>
          <w:p>
            <w:pPr/>
          </w:p>
        </w:tc>
        <w:tc>
          <w:tcPr>
            <w:tcW w:w="3042" w:type="dxa"/>
            <w:gridSpan w:val="2"/>
          </w:tcPr>
          <w:p>
            <w:pPr>
              <w:pStyle w:val="TableParagraph"/>
              <w:tabs>
                <w:tab w:pos="1895" w:val="left" w:leader="none"/>
              </w:tabs>
              <w:spacing w:before="24"/>
              <w:ind w:left="612"/>
              <w:rPr>
                <w:b/>
                <w:sz w:val="18"/>
              </w:rPr>
            </w:pPr>
            <w:r>
              <w:rPr>
                <w:b/>
                <w:sz w:val="18"/>
              </w:rPr>
              <w:t>2017</w:t>
              <w:tab/>
              <w:t>2016</w:t>
            </w:r>
          </w:p>
        </w:tc>
        <w:tc>
          <w:tcPr>
            <w:tcW w:w="1487" w:type="dxa"/>
          </w:tcPr>
          <w:p>
            <w:pPr>
              <w:pStyle w:val="TableParagraph"/>
              <w:spacing w:before="24"/>
              <w:ind w:left="329"/>
              <w:rPr>
                <w:b/>
                <w:sz w:val="18"/>
              </w:rPr>
            </w:pPr>
            <w:r>
              <w:rPr>
                <w:b/>
                <w:sz w:val="18"/>
              </w:rPr>
              <w:t>2017</w:t>
            </w:r>
          </w:p>
        </w:tc>
        <w:tc>
          <w:tcPr>
            <w:tcW w:w="991" w:type="dxa"/>
          </w:tcPr>
          <w:p>
            <w:pPr>
              <w:pStyle w:val="TableParagraph"/>
              <w:spacing w:before="24"/>
              <w:ind w:left="127"/>
              <w:rPr>
                <w:b/>
                <w:sz w:val="18"/>
              </w:rPr>
            </w:pPr>
            <w:r>
              <w:rPr>
                <w:b/>
                <w:sz w:val="18"/>
              </w:rPr>
              <w:t>2016</w:t>
            </w:r>
          </w:p>
        </w:tc>
      </w:tr>
      <w:tr>
        <w:trPr>
          <w:trHeight w:val="270" w:hRule="exact"/>
        </w:trPr>
        <w:tc>
          <w:tcPr>
            <w:tcW w:w="333" w:type="dxa"/>
          </w:tcPr>
          <w:p>
            <w:pPr/>
          </w:p>
        </w:tc>
        <w:tc>
          <w:tcPr>
            <w:tcW w:w="3035" w:type="dxa"/>
          </w:tcPr>
          <w:p>
            <w:pPr/>
          </w:p>
        </w:tc>
        <w:tc>
          <w:tcPr>
            <w:tcW w:w="1050" w:type="dxa"/>
          </w:tcPr>
          <w:p>
            <w:pPr/>
          </w:p>
        </w:tc>
        <w:tc>
          <w:tcPr>
            <w:tcW w:w="3042" w:type="dxa"/>
            <w:gridSpan w:val="2"/>
          </w:tcPr>
          <w:p>
            <w:pPr>
              <w:pStyle w:val="TableParagraph"/>
              <w:tabs>
                <w:tab w:pos="1874" w:val="left" w:leader="none"/>
              </w:tabs>
              <w:spacing w:before="24"/>
              <w:ind w:left="590"/>
              <w:rPr>
                <w:b/>
                <w:sz w:val="18"/>
              </w:rPr>
            </w:pPr>
            <w:r>
              <w:rPr>
                <w:b/>
                <w:sz w:val="18"/>
              </w:rPr>
              <w:t>$'000</w:t>
              <w:tab/>
              <w:t>$'000</w:t>
            </w:r>
          </w:p>
        </w:tc>
        <w:tc>
          <w:tcPr>
            <w:tcW w:w="1487" w:type="dxa"/>
          </w:tcPr>
          <w:p>
            <w:pPr>
              <w:pStyle w:val="TableParagraph"/>
              <w:spacing w:before="24"/>
              <w:ind w:left="308"/>
              <w:rPr>
                <w:b/>
                <w:sz w:val="18"/>
              </w:rPr>
            </w:pPr>
            <w:r>
              <w:rPr>
                <w:b/>
                <w:sz w:val="18"/>
              </w:rPr>
              <w:t>$'000</w:t>
            </w:r>
          </w:p>
        </w:tc>
        <w:tc>
          <w:tcPr>
            <w:tcW w:w="991" w:type="dxa"/>
          </w:tcPr>
          <w:p>
            <w:pPr>
              <w:pStyle w:val="TableParagraph"/>
              <w:spacing w:before="24"/>
              <w:ind w:left="105"/>
              <w:rPr>
                <w:b/>
                <w:sz w:val="18"/>
              </w:rPr>
            </w:pPr>
            <w:r>
              <w:rPr>
                <w:b/>
                <w:sz w:val="18"/>
              </w:rPr>
              <w:t>$'000</w:t>
            </w:r>
          </w:p>
        </w:tc>
      </w:tr>
      <w:tr>
        <w:trPr>
          <w:trHeight w:val="269" w:hRule="exact"/>
        </w:trPr>
        <w:tc>
          <w:tcPr>
            <w:tcW w:w="333" w:type="dxa"/>
          </w:tcPr>
          <w:p>
            <w:pPr/>
          </w:p>
        </w:tc>
        <w:tc>
          <w:tcPr>
            <w:tcW w:w="3035" w:type="dxa"/>
          </w:tcPr>
          <w:p>
            <w:pPr>
              <w:pStyle w:val="TableParagraph"/>
              <w:spacing w:before="25"/>
              <w:ind w:left="122" w:right="1012"/>
              <w:rPr>
                <w:sz w:val="18"/>
              </w:rPr>
            </w:pPr>
            <w:r>
              <w:rPr>
                <w:sz w:val="18"/>
              </w:rPr>
              <w:t>Bad debts</w:t>
            </w:r>
          </w:p>
        </w:tc>
        <w:tc>
          <w:tcPr>
            <w:tcW w:w="1050" w:type="dxa"/>
          </w:tcPr>
          <w:p>
            <w:pPr>
              <w:pStyle w:val="TableParagraph"/>
              <w:spacing w:before="20"/>
              <w:ind w:left="620" w:right="-10"/>
              <w:rPr>
                <w:sz w:val="18"/>
              </w:rPr>
            </w:pPr>
            <w:r>
              <w:rPr>
                <w:sz w:val="18"/>
              </w:rPr>
              <w:t>34(e)</w:t>
            </w:r>
          </w:p>
        </w:tc>
        <w:tc>
          <w:tcPr>
            <w:tcW w:w="3042" w:type="dxa"/>
            <w:gridSpan w:val="2"/>
          </w:tcPr>
          <w:p>
            <w:pPr>
              <w:pStyle w:val="TableParagraph"/>
              <w:tabs>
                <w:tab w:pos="2371" w:val="left" w:leader="none"/>
              </w:tabs>
              <w:spacing w:before="22"/>
              <w:ind w:left="1012"/>
              <w:rPr>
                <w:sz w:val="18"/>
              </w:rPr>
            </w:pPr>
            <w:r>
              <w:rPr>
                <w:b/>
                <w:sz w:val="18"/>
              </w:rPr>
              <w:t>(205)</w:t>
              <w:tab/>
            </w:r>
            <w:r>
              <w:rPr>
                <w:sz w:val="18"/>
              </w:rPr>
              <w:t>127</w:t>
            </w:r>
          </w:p>
        </w:tc>
        <w:tc>
          <w:tcPr>
            <w:tcW w:w="1487" w:type="dxa"/>
          </w:tcPr>
          <w:p>
            <w:pPr>
              <w:pStyle w:val="TableParagraph"/>
              <w:spacing w:before="22"/>
              <w:ind w:left="639"/>
              <w:rPr>
                <w:b/>
                <w:sz w:val="18"/>
              </w:rPr>
            </w:pPr>
            <w:r>
              <w:rPr>
                <w:b/>
                <w:sz w:val="18"/>
              </w:rPr>
              <w:t>3,722</w:t>
            </w:r>
          </w:p>
        </w:tc>
        <w:tc>
          <w:tcPr>
            <w:tcW w:w="991" w:type="dxa"/>
          </w:tcPr>
          <w:p>
            <w:pPr>
              <w:pStyle w:val="TableParagraph"/>
              <w:spacing w:before="22"/>
              <w:ind w:right="84"/>
              <w:jc w:val="right"/>
              <w:rPr>
                <w:sz w:val="18"/>
              </w:rPr>
            </w:pPr>
            <w:r>
              <w:rPr>
                <w:w w:val="95"/>
                <w:sz w:val="18"/>
              </w:rPr>
              <w:t>112</w:t>
            </w:r>
          </w:p>
        </w:tc>
      </w:tr>
      <w:tr>
        <w:trPr>
          <w:trHeight w:val="260" w:hRule="exact"/>
        </w:trPr>
        <w:tc>
          <w:tcPr>
            <w:tcW w:w="333" w:type="dxa"/>
          </w:tcPr>
          <w:p>
            <w:pPr/>
          </w:p>
        </w:tc>
        <w:tc>
          <w:tcPr>
            <w:tcW w:w="3035" w:type="dxa"/>
          </w:tcPr>
          <w:p>
            <w:pPr>
              <w:pStyle w:val="TableParagraph"/>
              <w:spacing w:before="20"/>
              <w:ind w:left="122" w:right="1012"/>
              <w:rPr>
                <w:sz w:val="18"/>
              </w:rPr>
            </w:pPr>
            <w:r>
              <w:rPr>
                <w:sz w:val="18"/>
              </w:rPr>
              <w:t>Doubtful debts</w:t>
            </w:r>
          </w:p>
        </w:tc>
        <w:tc>
          <w:tcPr>
            <w:tcW w:w="1050" w:type="dxa"/>
          </w:tcPr>
          <w:p>
            <w:pPr/>
          </w:p>
        </w:tc>
        <w:tc>
          <w:tcPr>
            <w:tcW w:w="3042" w:type="dxa"/>
            <w:gridSpan w:val="2"/>
            <w:tcBorders>
              <w:bottom w:val="single" w:sz="1" w:space="0" w:color="000000"/>
            </w:tcBorders>
          </w:tcPr>
          <w:p>
            <w:pPr>
              <w:pStyle w:val="TableParagraph"/>
              <w:tabs>
                <w:tab w:pos="2311" w:val="left" w:leader="none"/>
              </w:tabs>
              <w:spacing w:before="18"/>
              <w:ind w:left="1072"/>
              <w:rPr>
                <w:sz w:val="18"/>
              </w:rPr>
            </w:pPr>
            <w:r>
              <w:rPr>
                <w:b/>
                <w:sz w:val="18"/>
              </w:rPr>
              <w:t>143</w:t>
              <w:tab/>
            </w:r>
            <w:r>
              <w:rPr>
                <w:sz w:val="18"/>
              </w:rPr>
              <w:t>(310)</w:t>
            </w:r>
          </w:p>
        </w:tc>
        <w:tc>
          <w:tcPr>
            <w:tcW w:w="1487" w:type="dxa"/>
            <w:tcBorders>
              <w:bottom w:val="single" w:sz="1" w:space="0" w:color="000000"/>
            </w:tcBorders>
          </w:tcPr>
          <w:p>
            <w:pPr>
              <w:pStyle w:val="TableParagraph"/>
              <w:spacing w:before="18"/>
              <w:ind w:left="790"/>
              <w:rPr>
                <w:b/>
                <w:sz w:val="18"/>
              </w:rPr>
            </w:pPr>
            <w:r>
              <w:rPr>
                <w:b/>
                <w:sz w:val="18"/>
              </w:rPr>
              <w:t>150</w:t>
            </w:r>
          </w:p>
        </w:tc>
        <w:tc>
          <w:tcPr>
            <w:tcW w:w="991" w:type="dxa"/>
            <w:tcBorders>
              <w:bottom w:val="single" w:sz="1" w:space="0" w:color="000000"/>
            </w:tcBorders>
          </w:tcPr>
          <w:p>
            <w:pPr>
              <w:pStyle w:val="TableParagraph"/>
              <w:spacing w:before="18"/>
              <w:ind w:right="24"/>
              <w:jc w:val="right"/>
              <w:rPr>
                <w:sz w:val="18"/>
              </w:rPr>
            </w:pPr>
            <w:r>
              <w:rPr>
                <w:sz w:val="18"/>
              </w:rPr>
              <w:t>(326)</w:t>
            </w:r>
          </w:p>
        </w:tc>
      </w:tr>
      <w:tr>
        <w:trPr>
          <w:trHeight w:val="353" w:hRule="exact"/>
        </w:trPr>
        <w:tc>
          <w:tcPr>
            <w:tcW w:w="333" w:type="dxa"/>
          </w:tcPr>
          <w:p>
            <w:pPr/>
          </w:p>
        </w:tc>
        <w:tc>
          <w:tcPr>
            <w:tcW w:w="3035" w:type="dxa"/>
          </w:tcPr>
          <w:p>
            <w:pPr>
              <w:pStyle w:val="TableParagraph"/>
              <w:spacing w:before="125"/>
              <w:ind w:left="122"/>
              <w:rPr>
                <w:b/>
                <w:sz w:val="18"/>
              </w:rPr>
            </w:pPr>
            <w:r>
              <w:rPr>
                <w:b/>
                <w:sz w:val="18"/>
              </w:rPr>
              <w:t>Total impairment of assets</w:t>
            </w:r>
          </w:p>
        </w:tc>
        <w:tc>
          <w:tcPr>
            <w:tcW w:w="1050" w:type="dxa"/>
          </w:tcPr>
          <w:p>
            <w:pPr/>
          </w:p>
        </w:tc>
        <w:tc>
          <w:tcPr>
            <w:tcW w:w="3042" w:type="dxa"/>
            <w:gridSpan w:val="2"/>
            <w:tcBorders>
              <w:top w:val="single" w:sz="1" w:space="0" w:color="000000"/>
              <w:bottom w:val="single" w:sz="1" w:space="0" w:color="000000"/>
            </w:tcBorders>
          </w:tcPr>
          <w:p>
            <w:pPr>
              <w:pStyle w:val="TableParagraph"/>
              <w:tabs>
                <w:tab w:pos="2311" w:val="left" w:leader="none"/>
              </w:tabs>
              <w:spacing w:before="124"/>
              <w:ind w:left="1113"/>
              <w:rPr>
                <w:sz w:val="18"/>
              </w:rPr>
            </w:pPr>
            <w:r>
              <w:rPr>
                <w:b/>
                <w:sz w:val="18"/>
              </w:rPr>
              <w:t>(62)</w:t>
              <w:tab/>
            </w:r>
            <w:r>
              <w:rPr>
                <w:sz w:val="18"/>
              </w:rPr>
              <w:t>(183)</w:t>
            </w:r>
          </w:p>
        </w:tc>
        <w:tc>
          <w:tcPr>
            <w:tcW w:w="1487" w:type="dxa"/>
            <w:tcBorders>
              <w:top w:val="single" w:sz="1" w:space="0" w:color="000000"/>
              <w:bottom w:val="single" w:sz="1" w:space="0" w:color="000000"/>
            </w:tcBorders>
          </w:tcPr>
          <w:p>
            <w:pPr>
              <w:pStyle w:val="TableParagraph"/>
              <w:spacing w:before="124"/>
              <w:ind w:left="639"/>
              <w:rPr>
                <w:b/>
                <w:sz w:val="18"/>
              </w:rPr>
            </w:pPr>
            <w:r>
              <w:rPr>
                <w:b/>
                <w:sz w:val="18"/>
              </w:rPr>
              <w:t>3,872</w:t>
            </w:r>
          </w:p>
        </w:tc>
        <w:tc>
          <w:tcPr>
            <w:tcW w:w="991" w:type="dxa"/>
            <w:tcBorders>
              <w:top w:val="single" w:sz="1" w:space="0" w:color="000000"/>
              <w:bottom w:val="single" w:sz="1" w:space="0" w:color="000000"/>
            </w:tcBorders>
          </w:tcPr>
          <w:p>
            <w:pPr>
              <w:pStyle w:val="TableParagraph"/>
              <w:spacing w:before="124"/>
              <w:ind w:right="24"/>
              <w:jc w:val="right"/>
              <w:rPr>
                <w:sz w:val="18"/>
              </w:rPr>
            </w:pPr>
            <w:r>
              <w:rPr>
                <w:sz w:val="18"/>
              </w:rPr>
              <w:t>(214)</w:t>
            </w:r>
          </w:p>
        </w:tc>
      </w:tr>
    </w:tbl>
    <w:p>
      <w:pPr>
        <w:spacing w:after="0"/>
        <w:jc w:val="right"/>
        <w:rPr>
          <w:sz w:val="18"/>
        </w:rPr>
        <w:sectPr>
          <w:pgSz w:w="11910" w:h="16840"/>
          <w:pgMar w:header="1037" w:footer="507" w:top="2220" w:bottom="700" w:left="860" w:right="88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3051"/>
        <w:gridCol w:w="1034"/>
        <w:gridCol w:w="1625"/>
        <w:gridCol w:w="1387"/>
        <w:gridCol w:w="1517"/>
        <w:gridCol w:w="991"/>
      </w:tblGrid>
      <w:tr>
        <w:trPr>
          <w:trHeight w:val="567" w:hRule="exact"/>
        </w:trPr>
        <w:tc>
          <w:tcPr>
            <w:tcW w:w="333" w:type="dxa"/>
          </w:tcPr>
          <w:p>
            <w:pPr>
              <w:pStyle w:val="TableParagraph"/>
              <w:spacing w:before="77"/>
              <w:ind w:left="35"/>
              <w:rPr>
                <w:b/>
                <w:sz w:val="18"/>
              </w:rPr>
            </w:pPr>
            <w:bookmarkStart w:name="16 Other expenses " w:id="83"/>
            <w:bookmarkEnd w:id="83"/>
            <w:r>
              <w:rPr/>
            </w:r>
            <w:r>
              <w:rPr>
                <w:b/>
                <w:sz w:val="18"/>
              </w:rPr>
              <w:t>16</w:t>
            </w:r>
          </w:p>
        </w:tc>
        <w:tc>
          <w:tcPr>
            <w:tcW w:w="3051" w:type="dxa"/>
          </w:tcPr>
          <w:p>
            <w:pPr>
              <w:pStyle w:val="TableParagraph"/>
              <w:spacing w:before="77"/>
              <w:ind w:left="96"/>
              <w:rPr>
                <w:b/>
                <w:sz w:val="18"/>
              </w:rPr>
            </w:pPr>
            <w:r>
              <w:rPr>
                <w:b/>
                <w:sz w:val="18"/>
              </w:rPr>
              <w:t>Other expenses</w:t>
            </w:r>
          </w:p>
        </w:tc>
        <w:tc>
          <w:tcPr>
            <w:tcW w:w="1034" w:type="dxa"/>
          </w:tcPr>
          <w:p>
            <w:pPr/>
          </w:p>
        </w:tc>
        <w:tc>
          <w:tcPr>
            <w:tcW w:w="3012" w:type="dxa"/>
            <w:gridSpan w:val="2"/>
          </w:tcPr>
          <w:p>
            <w:pPr>
              <w:pStyle w:val="TableParagraph"/>
              <w:rPr>
                <w:rFonts w:ascii="Times New Roman"/>
                <w:sz w:val="18"/>
              </w:rPr>
            </w:pPr>
          </w:p>
          <w:p>
            <w:pPr>
              <w:pStyle w:val="TableParagraph"/>
              <w:spacing w:before="110"/>
              <w:ind w:left="823"/>
              <w:rPr>
                <w:b/>
                <w:sz w:val="18"/>
              </w:rPr>
            </w:pPr>
            <w:r>
              <w:rPr>
                <w:b/>
                <w:sz w:val="18"/>
              </w:rPr>
              <w:t>Consolidated</w:t>
            </w:r>
          </w:p>
        </w:tc>
        <w:tc>
          <w:tcPr>
            <w:tcW w:w="1517" w:type="dxa"/>
          </w:tcPr>
          <w:p>
            <w:pPr>
              <w:pStyle w:val="TableParagraph"/>
              <w:rPr>
                <w:rFonts w:ascii="Times New Roman"/>
                <w:sz w:val="18"/>
              </w:rPr>
            </w:pPr>
          </w:p>
          <w:p>
            <w:pPr>
              <w:pStyle w:val="TableParagraph"/>
              <w:spacing w:before="110"/>
              <w:ind w:left="849"/>
              <w:rPr>
                <w:b/>
                <w:sz w:val="18"/>
              </w:rPr>
            </w:pPr>
            <w:r>
              <w:rPr>
                <w:b/>
                <w:sz w:val="18"/>
              </w:rPr>
              <w:t>Parent</w:t>
            </w:r>
          </w:p>
        </w:tc>
        <w:tc>
          <w:tcPr>
            <w:tcW w:w="991" w:type="dxa"/>
          </w:tcPr>
          <w:p>
            <w:pPr/>
          </w:p>
        </w:tc>
      </w:tr>
      <w:tr>
        <w:trPr>
          <w:trHeight w:val="274" w:hRule="exact"/>
        </w:trPr>
        <w:tc>
          <w:tcPr>
            <w:tcW w:w="333" w:type="dxa"/>
          </w:tcPr>
          <w:p>
            <w:pPr/>
          </w:p>
        </w:tc>
        <w:tc>
          <w:tcPr>
            <w:tcW w:w="3051" w:type="dxa"/>
          </w:tcPr>
          <w:p>
            <w:pPr/>
          </w:p>
        </w:tc>
        <w:tc>
          <w:tcPr>
            <w:tcW w:w="1034" w:type="dxa"/>
          </w:tcPr>
          <w:p>
            <w:pPr/>
          </w:p>
        </w:tc>
        <w:tc>
          <w:tcPr>
            <w:tcW w:w="1625" w:type="dxa"/>
          </w:tcPr>
          <w:p>
            <w:pPr>
              <w:pStyle w:val="TableParagraph"/>
              <w:spacing w:before="24"/>
              <w:ind w:left="612"/>
              <w:rPr>
                <w:b/>
                <w:sz w:val="18"/>
              </w:rPr>
            </w:pPr>
            <w:r>
              <w:rPr>
                <w:b/>
                <w:sz w:val="18"/>
              </w:rPr>
              <w:t>2017</w:t>
            </w:r>
          </w:p>
        </w:tc>
        <w:tc>
          <w:tcPr>
            <w:tcW w:w="1387" w:type="dxa"/>
          </w:tcPr>
          <w:p>
            <w:pPr>
              <w:pStyle w:val="TableParagraph"/>
              <w:spacing w:before="24"/>
              <w:ind w:left="271"/>
              <w:rPr>
                <w:b/>
                <w:sz w:val="18"/>
              </w:rPr>
            </w:pPr>
            <w:r>
              <w:rPr>
                <w:b/>
                <w:sz w:val="18"/>
              </w:rPr>
              <w:t>2016</w:t>
            </w:r>
          </w:p>
        </w:tc>
        <w:tc>
          <w:tcPr>
            <w:tcW w:w="1517" w:type="dxa"/>
          </w:tcPr>
          <w:p>
            <w:pPr>
              <w:pStyle w:val="TableParagraph"/>
              <w:spacing w:before="24"/>
              <w:ind w:left="360"/>
              <w:rPr>
                <w:b/>
                <w:sz w:val="18"/>
              </w:rPr>
            </w:pPr>
            <w:r>
              <w:rPr>
                <w:b/>
                <w:sz w:val="18"/>
              </w:rPr>
              <w:t>2017</w:t>
            </w:r>
          </w:p>
        </w:tc>
        <w:tc>
          <w:tcPr>
            <w:tcW w:w="991" w:type="dxa"/>
          </w:tcPr>
          <w:p>
            <w:pPr>
              <w:pStyle w:val="TableParagraph"/>
              <w:spacing w:before="24"/>
              <w:ind w:left="127"/>
              <w:rPr>
                <w:b/>
                <w:sz w:val="18"/>
              </w:rPr>
            </w:pPr>
            <w:r>
              <w:rPr>
                <w:b/>
                <w:sz w:val="18"/>
              </w:rPr>
              <w:t>2016</w:t>
            </w:r>
          </w:p>
        </w:tc>
      </w:tr>
      <w:tr>
        <w:trPr>
          <w:trHeight w:val="301" w:hRule="exact"/>
        </w:trPr>
        <w:tc>
          <w:tcPr>
            <w:tcW w:w="333" w:type="dxa"/>
          </w:tcPr>
          <w:p>
            <w:pPr/>
          </w:p>
        </w:tc>
        <w:tc>
          <w:tcPr>
            <w:tcW w:w="3051" w:type="dxa"/>
          </w:tcPr>
          <w:p>
            <w:pPr/>
          </w:p>
        </w:tc>
        <w:tc>
          <w:tcPr>
            <w:tcW w:w="1034" w:type="dxa"/>
          </w:tcPr>
          <w:p>
            <w:pPr>
              <w:pStyle w:val="TableParagraph"/>
              <w:spacing w:before="24"/>
              <w:ind w:left="517"/>
              <w:rPr>
                <w:b/>
                <w:sz w:val="18"/>
              </w:rPr>
            </w:pPr>
            <w:r>
              <w:rPr>
                <w:b/>
                <w:sz w:val="18"/>
              </w:rPr>
              <w:t>Note</w:t>
            </w:r>
          </w:p>
        </w:tc>
        <w:tc>
          <w:tcPr>
            <w:tcW w:w="1625" w:type="dxa"/>
          </w:tcPr>
          <w:p>
            <w:pPr>
              <w:pStyle w:val="TableParagraph"/>
              <w:spacing w:before="24"/>
              <w:ind w:left="590"/>
              <w:rPr>
                <w:b/>
                <w:sz w:val="18"/>
              </w:rPr>
            </w:pPr>
            <w:r>
              <w:rPr>
                <w:b/>
                <w:sz w:val="18"/>
              </w:rPr>
              <w:t>$'000</w:t>
            </w:r>
          </w:p>
        </w:tc>
        <w:tc>
          <w:tcPr>
            <w:tcW w:w="1387" w:type="dxa"/>
          </w:tcPr>
          <w:p>
            <w:pPr>
              <w:pStyle w:val="TableParagraph"/>
              <w:spacing w:before="24"/>
              <w:ind w:left="249"/>
              <w:rPr>
                <w:b/>
                <w:sz w:val="18"/>
              </w:rPr>
            </w:pPr>
            <w:r>
              <w:rPr>
                <w:b/>
                <w:sz w:val="18"/>
              </w:rPr>
              <w:t>$'000</w:t>
            </w:r>
          </w:p>
        </w:tc>
        <w:tc>
          <w:tcPr>
            <w:tcW w:w="1517" w:type="dxa"/>
          </w:tcPr>
          <w:p>
            <w:pPr>
              <w:pStyle w:val="TableParagraph"/>
              <w:spacing w:before="24"/>
              <w:ind w:left="338"/>
              <w:rPr>
                <w:b/>
                <w:sz w:val="18"/>
              </w:rPr>
            </w:pPr>
            <w:r>
              <w:rPr>
                <w:b/>
                <w:sz w:val="18"/>
              </w:rPr>
              <w:t>$'000</w:t>
            </w:r>
          </w:p>
        </w:tc>
        <w:tc>
          <w:tcPr>
            <w:tcW w:w="991" w:type="dxa"/>
          </w:tcPr>
          <w:p>
            <w:pPr>
              <w:pStyle w:val="TableParagraph"/>
              <w:spacing w:before="24"/>
              <w:ind w:left="105"/>
              <w:rPr>
                <w:b/>
                <w:sz w:val="18"/>
              </w:rPr>
            </w:pPr>
            <w:r>
              <w:rPr>
                <w:b/>
                <w:sz w:val="18"/>
              </w:rPr>
              <w:t>$'000</w:t>
            </w:r>
          </w:p>
        </w:tc>
      </w:tr>
      <w:tr>
        <w:trPr>
          <w:trHeight w:val="502" w:hRule="exact"/>
        </w:trPr>
        <w:tc>
          <w:tcPr>
            <w:tcW w:w="333" w:type="dxa"/>
          </w:tcPr>
          <w:p>
            <w:pPr/>
          </w:p>
        </w:tc>
        <w:tc>
          <w:tcPr>
            <w:tcW w:w="3051" w:type="dxa"/>
          </w:tcPr>
          <w:p>
            <w:pPr>
              <w:pStyle w:val="TableParagraph"/>
              <w:spacing w:before="4"/>
              <w:rPr>
                <w:rFonts w:ascii="Times New Roman"/>
                <w:sz w:val="22"/>
              </w:rPr>
            </w:pPr>
          </w:p>
          <w:p>
            <w:pPr>
              <w:pStyle w:val="TableParagraph"/>
              <w:spacing w:before="1"/>
              <w:ind w:left="122"/>
              <w:rPr>
                <w:sz w:val="18"/>
              </w:rPr>
            </w:pPr>
            <w:r>
              <w:rPr>
                <w:sz w:val="18"/>
              </w:rPr>
              <w:t>Fees for service #1</w:t>
            </w:r>
          </w:p>
        </w:tc>
        <w:tc>
          <w:tcPr>
            <w:tcW w:w="1034" w:type="dxa"/>
          </w:tcPr>
          <w:p>
            <w:pPr>
              <w:pStyle w:val="TableParagraph"/>
              <w:spacing w:line="207" w:lineRule="exact" w:before="51"/>
              <w:ind w:left="261" w:right="192"/>
              <w:jc w:val="center"/>
              <w:rPr>
                <w:sz w:val="18"/>
              </w:rPr>
            </w:pPr>
            <w:r>
              <w:rPr>
                <w:sz w:val="18"/>
              </w:rPr>
              <w:t>31</w:t>
            </w:r>
          </w:p>
          <w:p>
            <w:pPr>
              <w:pStyle w:val="TableParagraph"/>
              <w:spacing w:line="207" w:lineRule="exact"/>
              <w:ind w:left="380" w:right="192"/>
              <w:jc w:val="center"/>
              <w:rPr>
                <w:sz w:val="18"/>
              </w:rPr>
            </w:pPr>
            <w:r>
              <w:rPr>
                <w:sz w:val="18"/>
              </w:rPr>
              <w:t>34(d)</w:t>
            </w:r>
          </w:p>
        </w:tc>
        <w:tc>
          <w:tcPr>
            <w:tcW w:w="1625" w:type="dxa"/>
          </w:tcPr>
          <w:p>
            <w:pPr>
              <w:pStyle w:val="TableParagraph"/>
              <w:spacing w:before="2"/>
              <w:rPr>
                <w:rFonts w:ascii="Times New Roman"/>
                <w:sz w:val="22"/>
              </w:rPr>
            </w:pPr>
          </w:p>
          <w:p>
            <w:pPr>
              <w:pStyle w:val="TableParagraph"/>
              <w:ind w:right="247"/>
              <w:jc w:val="right"/>
              <w:rPr>
                <w:b/>
                <w:sz w:val="18"/>
              </w:rPr>
            </w:pPr>
            <w:r>
              <w:rPr>
                <w:b/>
                <w:w w:val="95"/>
                <w:sz w:val="18"/>
              </w:rPr>
              <w:t>84,023</w:t>
            </w:r>
          </w:p>
        </w:tc>
        <w:tc>
          <w:tcPr>
            <w:tcW w:w="1387" w:type="dxa"/>
          </w:tcPr>
          <w:p>
            <w:pPr>
              <w:pStyle w:val="TableParagraph"/>
              <w:spacing w:before="2"/>
              <w:rPr>
                <w:rFonts w:ascii="Times New Roman"/>
                <w:sz w:val="22"/>
              </w:rPr>
            </w:pPr>
          </w:p>
          <w:p>
            <w:pPr>
              <w:pStyle w:val="TableParagraph"/>
              <w:ind w:right="336"/>
              <w:jc w:val="right"/>
              <w:rPr>
                <w:sz w:val="18"/>
              </w:rPr>
            </w:pPr>
            <w:r>
              <w:rPr>
                <w:w w:val="95"/>
                <w:sz w:val="18"/>
              </w:rPr>
              <w:t>74,121</w:t>
            </w:r>
          </w:p>
        </w:tc>
        <w:tc>
          <w:tcPr>
            <w:tcW w:w="1517" w:type="dxa"/>
          </w:tcPr>
          <w:p>
            <w:pPr>
              <w:pStyle w:val="TableParagraph"/>
              <w:spacing w:before="2"/>
              <w:rPr>
                <w:rFonts w:ascii="Times New Roman"/>
                <w:sz w:val="22"/>
              </w:rPr>
            </w:pPr>
          </w:p>
          <w:p>
            <w:pPr>
              <w:pStyle w:val="TableParagraph"/>
              <w:ind w:left="468"/>
              <w:rPr>
                <w:b/>
                <w:sz w:val="18"/>
              </w:rPr>
            </w:pPr>
            <w:r>
              <w:rPr>
                <w:b/>
                <w:sz w:val="18"/>
              </w:rPr>
              <w:t>132,088</w:t>
            </w:r>
          </w:p>
        </w:tc>
        <w:tc>
          <w:tcPr>
            <w:tcW w:w="991" w:type="dxa"/>
          </w:tcPr>
          <w:p>
            <w:pPr>
              <w:pStyle w:val="TableParagraph"/>
              <w:spacing w:before="2"/>
              <w:rPr>
                <w:rFonts w:ascii="Times New Roman"/>
                <w:sz w:val="22"/>
              </w:rPr>
            </w:pPr>
          </w:p>
          <w:p>
            <w:pPr>
              <w:pStyle w:val="TableParagraph"/>
              <w:ind w:right="84"/>
              <w:jc w:val="right"/>
              <w:rPr>
                <w:sz w:val="18"/>
              </w:rPr>
            </w:pPr>
            <w:r>
              <w:rPr>
                <w:w w:val="95"/>
                <w:sz w:val="18"/>
              </w:rPr>
              <w:t>122,796</w:t>
            </w:r>
          </w:p>
        </w:tc>
      </w:tr>
      <w:tr>
        <w:trPr>
          <w:trHeight w:val="264" w:hRule="exact"/>
        </w:trPr>
        <w:tc>
          <w:tcPr>
            <w:tcW w:w="333" w:type="dxa"/>
          </w:tcPr>
          <w:p>
            <w:pPr/>
          </w:p>
        </w:tc>
        <w:tc>
          <w:tcPr>
            <w:tcW w:w="3051" w:type="dxa"/>
          </w:tcPr>
          <w:p>
            <w:pPr>
              <w:pStyle w:val="TableParagraph"/>
              <w:spacing w:before="20"/>
              <w:ind w:left="122"/>
              <w:rPr>
                <w:sz w:val="18"/>
              </w:rPr>
            </w:pPr>
            <w:r>
              <w:rPr>
                <w:sz w:val="18"/>
              </w:rPr>
              <w:t>Consumables &amp; supplies</w:t>
            </w:r>
          </w:p>
        </w:tc>
        <w:tc>
          <w:tcPr>
            <w:tcW w:w="1034" w:type="dxa"/>
          </w:tcPr>
          <w:p>
            <w:pPr/>
          </w:p>
        </w:tc>
        <w:tc>
          <w:tcPr>
            <w:tcW w:w="1625" w:type="dxa"/>
          </w:tcPr>
          <w:p>
            <w:pPr>
              <w:pStyle w:val="TableParagraph"/>
              <w:spacing w:before="18"/>
              <w:ind w:right="247"/>
              <w:jc w:val="right"/>
              <w:rPr>
                <w:b/>
                <w:sz w:val="18"/>
              </w:rPr>
            </w:pPr>
            <w:r>
              <w:rPr>
                <w:b/>
                <w:w w:val="95"/>
                <w:sz w:val="18"/>
              </w:rPr>
              <w:t>19,293</w:t>
            </w:r>
          </w:p>
        </w:tc>
        <w:tc>
          <w:tcPr>
            <w:tcW w:w="1387" w:type="dxa"/>
          </w:tcPr>
          <w:p>
            <w:pPr>
              <w:pStyle w:val="TableParagraph"/>
              <w:spacing w:before="18"/>
              <w:ind w:right="336"/>
              <w:jc w:val="right"/>
              <w:rPr>
                <w:sz w:val="18"/>
              </w:rPr>
            </w:pPr>
            <w:r>
              <w:rPr>
                <w:w w:val="95"/>
                <w:sz w:val="18"/>
              </w:rPr>
              <w:t>28,032</w:t>
            </w:r>
          </w:p>
        </w:tc>
        <w:tc>
          <w:tcPr>
            <w:tcW w:w="1517" w:type="dxa"/>
          </w:tcPr>
          <w:p>
            <w:pPr>
              <w:pStyle w:val="TableParagraph"/>
              <w:spacing w:before="18"/>
              <w:ind w:left="568"/>
              <w:rPr>
                <w:b/>
                <w:sz w:val="18"/>
              </w:rPr>
            </w:pPr>
            <w:r>
              <w:rPr>
                <w:b/>
                <w:sz w:val="18"/>
              </w:rPr>
              <w:t>16,735</w:t>
            </w:r>
          </w:p>
        </w:tc>
        <w:tc>
          <w:tcPr>
            <w:tcW w:w="991" w:type="dxa"/>
          </w:tcPr>
          <w:p>
            <w:pPr>
              <w:pStyle w:val="TableParagraph"/>
              <w:spacing w:before="18"/>
              <w:ind w:right="84"/>
              <w:jc w:val="right"/>
              <w:rPr>
                <w:sz w:val="18"/>
              </w:rPr>
            </w:pPr>
            <w:r>
              <w:rPr>
                <w:w w:val="95"/>
                <w:sz w:val="18"/>
              </w:rPr>
              <w:t>16,729</w:t>
            </w:r>
          </w:p>
        </w:tc>
      </w:tr>
      <w:tr>
        <w:trPr>
          <w:trHeight w:val="264" w:hRule="exact"/>
        </w:trPr>
        <w:tc>
          <w:tcPr>
            <w:tcW w:w="333" w:type="dxa"/>
          </w:tcPr>
          <w:p>
            <w:pPr/>
          </w:p>
        </w:tc>
        <w:tc>
          <w:tcPr>
            <w:tcW w:w="3051" w:type="dxa"/>
          </w:tcPr>
          <w:p>
            <w:pPr>
              <w:pStyle w:val="TableParagraph"/>
              <w:spacing w:before="20"/>
              <w:ind w:left="122"/>
              <w:rPr>
                <w:sz w:val="18"/>
              </w:rPr>
            </w:pPr>
            <w:r>
              <w:rPr>
                <w:sz w:val="18"/>
              </w:rPr>
              <w:t>Scholarships, grants and prizes</w:t>
            </w:r>
          </w:p>
        </w:tc>
        <w:tc>
          <w:tcPr>
            <w:tcW w:w="1034" w:type="dxa"/>
          </w:tcPr>
          <w:p>
            <w:pPr/>
          </w:p>
        </w:tc>
        <w:tc>
          <w:tcPr>
            <w:tcW w:w="1625" w:type="dxa"/>
          </w:tcPr>
          <w:p>
            <w:pPr>
              <w:pStyle w:val="TableParagraph"/>
              <w:spacing w:before="18"/>
              <w:ind w:right="247"/>
              <w:jc w:val="right"/>
              <w:rPr>
                <w:b/>
                <w:sz w:val="18"/>
              </w:rPr>
            </w:pPr>
            <w:r>
              <w:rPr>
                <w:b/>
                <w:w w:val="95"/>
                <w:sz w:val="18"/>
              </w:rPr>
              <w:t>22,868</w:t>
            </w:r>
          </w:p>
        </w:tc>
        <w:tc>
          <w:tcPr>
            <w:tcW w:w="1387" w:type="dxa"/>
          </w:tcPr>
          <w:p>
            <w:pPr>
              <w:pStyle w:val="TableParagraph"/>
              <w:spacing w:before="18"/>
              <w:ind w:right="336"/>
              <w:jc w:val="right"/>
              <w:rPr>
                <w:sz w:val="18"/>
              </w:rPr>
            </w:pPr>
            <w:r>
              <w:rPr>
                <w:w w:val="95"/>
                <w:sz w:val="18"/>
              </w:rPr>
              <w:t>20,243</w:t>
            </w:r>
          </w:p>
        </w:tc>
        <w:tc>
          <w:tcPr>
            <w:tcW w:w="1517" w:type="dxa"/>
          </w:tcPr>
          <w:p>
            <w:pPr>
              <w:pStyle w:val="TableParagraph"/>
              <w:spacing w:before="18"/>
              <w:ind w:left="568"/>
              <w:rPr>
                <w:b/>
                <w:sz w:val="18"/>
              </w:rPr>
            </w:pPr>
            <w:r>
              <w:rPr>
                <w:b/>
                <w:sz w:val="18"/>
              </w:rPr>
              <w:t>22,445</w:t>
            </w:r>
          </w:p>
        </w:tc>
        <w:tc>
          <w:tcPr>
            <w:tcW w:w="991" w:type="dxa"/>
          </w:tcPr>
          <w:p>
            <w:pPr>
              <w:pStyle w:val="TableParagraph"/>
              <w:spacing w:before="18"/>
              <w:ind w:right="84"/>
              <w:jc w:val="right"/>
              <w:rPr>
                <w:sz w:val="18"/>
              </w:rPr>
            </w:pPr>
            <w:r>
              <w:rPr>
                <w:w w:val="95"/>
                <w:sz w:val="18"/>
              </w:rPr>
              <w:t>20,176</w:t>
            </w:r>
          </w:p>
        </w:tc>
      </w:tr>
      <w:tr>
        <w:trPr>
          <w:trHeight w:val="263" w:hRule="exact"/>
        </w:trPr>
        <w:tc>
          <w:tcPr>
            <w:tcW w:w="333" w:type="dxa"/>
          </w:tcPr>
          <w:p>
            <w:pPr/>
          </w:p>
        </w:tc>
        <w:tc>
          <w:tcPr>
            <w:tcW w:w="3051" w:type="dxa"/>
          </w:tcPr>
          <w:p>
            <w:pPr>
              <w:pStyle w:val="TableParagraph"/>
              <w:spacing w:before="20"/>
              <w:ind w:left="122"/>
              <w:rPr>
                <w:sz w:val="18"/>
              </w:rPr>
            </w:pPr>
            <w:r>
              <w:rPr>
                <w:sz w:val="18"/>
              </w:rPr>
              <w:t>Overheads</w:t>
            </w:r>
          </w:p>
        </w:tc>
        <w:tc>
          <w:tcPr>
            <w:tcW w:w="1034" w:type="dxa"/>
          </w:tcPr>
          <w:p>
            <w:pPr/>
          </w:p>
        </w:tc>
        <w:tc>
          <w:tcPr>
            <w:tcW w:w="1625" w:type="dxa"/>
          </w:tcPr>
          <w:p>
            <w:pPr>
              <w:pStyle w:val="TableParagraph"/>
              <w:spacing w:before="18"/>
              <w:ind w:right="247"/>
              <w:jc w:val="right"/>
              <w:rPr>
                <w:b/>
                <w:sz w:val="18"/>
              </w:rPr>
            </w:pPr>
            <w:r>
              <w:rPr>
                <w:b/>
                <w:w w:val="95"/>
                <w:sz w:val="18"/>
              </w:rPr>
              <w:t>14,789</w:t>
            </w:r>
          </w:p>
        </w:tc>
        <w:tc>
          <w:tcPr>
            <w:tcW w:w="1387" w:type="dxa"/>
          </w:tcPr>
          <w:p>
            <w:pPr>
              <w:pStyle w:val="TableParagraph"/>
              <w:spacing w:before="18"/>
              <w:ind w:right="336"/>
              <w:jc w:val="right"/>
              <w:rPr>
                <w:sz w:val="18"/>
              </w:rPr>
            </w:pPr>
            <w:r>
              <w:rPr>
                <w:w w:val="95"/>
                <w:sz w:val="18"/>
              </w:rPr>
              <w:t>12,006</w:t>
            </w:r>
          </w:p>
        </w:tc>
        <w:tc>
          <w:tcPr>
            <w:tcW w:w="1517" w:type="dxa"/>
          </w:tcPr>
          <w:p>
            <w:pPr>
              <w:pStyle w:val="TableParagraph"/>
              <w:spacing w:before="18"/>
              <w:ind w:left="568"/>
              <w:rPr>
                <w:b/>
                <w:sz w:val="18"/>
              </w:rPr>
            </w:pPr>
            <w:r>
              <w:rPr>
                <w:b/>
                <w:sz w:val="18"/>
              </w:rPr>
              <w:t>14,782</w:t>
            </w:r>
          </w:p>
        </w:tc>
        <w:tc>
          <w:tcPr>
            <w:tcW w:w="991" w:type="dxa"/>
          </w:tcPr>
          <w:p>
            <w:pPr>
              <w:pStyle w:val="TableParagraph"/>
              <w:spacing w:before="18"/>
              <w:ind w:right="84"/>
              <w:jc w:val="right"/>
              <w:rPr>
                <w:sz w:val="18"/>
              </w:rPr>
            </w:pPr>
            <w:r>
              <w:rPr>
                <w:w w:val="95"/>
                <w:sz w:val="18"/>
              </w:rPr>
              <w:t>12,012</w:t>
            </w:r>
          </w:p>
        </w:tc>
      </w:tr>
      <w:tr>
        <w:trPr>
          <w:trHeight w:val="466" w:hRule="exact"/>
        </w:trPr>
        <w:tc>
          <w:tcPr>
            <w:tcW w:w="333" w:type="dxa"/>
          </w:tcPr>
          <w:p>
            <w:pPr/>
          </w:p>
        </w:tc>
        <w:tc>
          <w:tcPr>
            <w:tcW w:w="3051" w:type="dxa"/>
          </w:tcPr>
          <w:p>
            <w:pPr>
              <w:pStyle w:val="TableParagraph"/>
              <w:spacing w:before="16"/>
              <w:ind w:left="122" w:right="777"/>
              <w:rPr>
                <w:sz w:val="18"/>
              </w:rPr>
            </w:pPr>
            <w:r>
              <w:rPr>
                <w:sz w:val="18"/>
              </w:rPr>
              <w:t>Advertising, marketing and promotional expenses</w:t>
            </w:r>
          </w:p>
        </w:tc>
        <w:tc>
          <w:tcPr>
            <w:tcW w:w="1034" w:type="dxa"/>
          </w:tcPr>
          <w:p>
            <w:pPr/>
          </w:p>
        </w:tc>
        <w:tc>
          <w:tcPr>
            <w:tcW w:w="1625" w:type="dxa"/>
          </w:tcPr>
          <w:p>
            <w:pPr>
              <w:pStyle w:val="TableParagraph"/>
              <w:spacing w:before="2"/>
              <w:rPr>
                <w:rFonts w:ascii="Times New Roman"/>
                <w:sz w:val="19"/>
              </w:rPr>
            </w:pPr>
          </w:p>
          <w:p>
            <w:pPr>
              <w:pStyle w:val="TableParagraph"/>
              <w:ind w:right="247"/>
              <w:jc w:val="right"/>
              <w:rPr>
                <w:b/>
                <w:sz w:val="18"/>
              </w:rPr>
            </w:pPr>
            <w:r>
              <w:rPr>
                <w:b/>
                <w:w w:val="95"/>
                <w:sz w:val="18"/>
              </w:rPr>
              <w:t>13,682</w:t>
            </w:r>
          </w:p>
        </w:tc>
        <w:tc>
          <w:tcPr>
            <w:tcW w:w="1387" w:type="dxa"/>
          </w:tcPr>
          <w:p>
            <w:pPr>
              <w:pStyle w:val="TableParagraph"/>
              <w:spacing w:before="2"/>
              <w:rPr>
                <w:rFonts w:ascii="Times New Roman"/>
                <w:sz w:val="19"/>
              </w:rPr>
            </w:pPr>
          </w:p>
          <w:p>
            <w:pPr>
              <w:pStyle w:val="TableParagraph"/>
              <w:ind w:right="336"/>
              <w:jc w:val="right"/>
              <w:rPr>
                <w:sz w:val="18"/>
              </w:rPr>
            </w:pPr>
            <w:r>
              <w:rPr>
                <w:w w:val="95"/>
                <w:sz w:val="18"/>
              </w:rPr>
              <w:t>13,708</w:t>
            </w:r>
          </w:p>
        </w:tc>
        <w:tc>
          <w:tcPr>
            <w:tcW w:w="1517" w:type="dxa"/>
          </w:tcPr>
          <w:p>
            <w:pPr>
              <w:pStyle w:val="TableParagraph"/>
              <w:spacing w:before="2"/>
              <w:rPr>
                <w:rFonts w:ascii="Times New Roman"/>
                <w:sz w:val="19"/>
              </w:rPr>
            </w:pPr>
          </w:p>
          <w:p>
            <w:pPr>
              <w:pStyle w:val="TableParagraph"/>
              <w:ind w:left="568"/>
              <w:rPr>
                <w:b/>
                <w:sz w:val="18"/>
              </w:rPr>
            </w:pPr>
            <w:r>
              <w:rPr>
                <w:b/>
                <w:sz w:val="18"/>
              </w:rPr>
              <w:t>13,253</w:t>
            </w:r>
          </w:p>
        </w:tc>
        <w:tc>
          <w:tcPr>
            <w:tcW w:w="991" w:type="dxa"/>
          </w:tcPr>
          <w:p>
            <w:pPr>
              <w:pStyle w:val="TableParagraph"/>
              <w:spacing w:before="2"/>
              <w:rPr>
                <w:rFonts w:ascii="Times New Roman"/>
                <w:sz w:val="19"/>
              </w:rPr>
            </w:pPr>
          </w:p>
          <w:p>
            <w:pPr>
              <w:pStyle w:val="TableParagraph"/>
              <w:ind w:right="84"/>
              <w:jc w:val="right"/>
              <w:rPr>
                <w:sz w:val="18"/>
              </w:rPr>
            </w:pPr>
            <w:r>
              <w:rPr>
                <w:w w:val="95"/>
                <w:sz w:val="18"/>
              </w:rPr>
              <w:t>13,737</w:t>
            </w:r>
          </w:p>
        </w:tc>
      </w:tr>
      <w:tr>
        <w:trPr>
          <w:trHeight w:val="467" w:hRule="exact"/>
        </w:trPr>
        <w:tc>
          <w:tcPr>
            <w:tcW w:w="333" w:type="dxa"/>
          </w:tcPr>
          <w:p>
            <w:pPr/>
          </w:p>
        </w:tc>
        <w:tc>
          <w:tcPr>
            <w:tcW w:w="3051" w:type="dxa"/>
          </w:tcPr>
          <w:p>
            <w:pPr>
              <w:pStyle w:val="TableParagraph"/>
              <w:spacing w:before="16"/>
              <w:ind w:left="122" w:right="618"/>
              <w:rPr>
                <w:sz w:val="18"/>
              </w:rPr>
            </w:pPr>
            <w:r>
              <w:rPr>
                <w:sz w:val="18"/>
              </w:rPr>
              <w:t>Minimum lease payments on operating leases</w:t>
            </w:r>
          </w:p>
        </w:tc>
        <w:tc>
          <w:tcPr>
            <w:tcW w:w="1034" w:type="dxa"/>
          </w:tcPr>
          <w:p>
            <w:pPr/>
          </w:p>
        </w:tc>
        <w:tc>
          <w:tcPr>
            <w:tcW w:w="1625" w:type="dxa"/>
          </w:tcPr>
          <w:p>
            <w:pPr>
              <w:pStyle w:val="TableParagraph"/>
              <w:spacing w:before="2"/>
              <w:rPr>
                <w:rFonts w:ascii="Times New Roman"/>
                <w:sz w:val="19"/>
              </w:rPr>
            </w:pPr>
          </w:p>
          <w:p>
            <w:pPr>
              <w:pStyle w:val="TableParagraph"/>
              <w:ind w:right="247"/>
              <w:jc w:val="right"/>
              <w:rPr>
                <w:b/>
                <w:sz w:val="18"/>
              </w:rPr>
            </w:pPr>
            <w:r>
              <w:rPr>
                <w:b/>
                <w:w w:val="95"/>
                <w:sz w:val="18"/>
              </w:rPr>
              <w:t>27,235</w:t>
            </w:r>
          </w:p>
        </w:tc>
        <w:tc>
          <w:tcPr>
            <w:tcW w:w="1387" w:type="dxa"/>
          </w:tcPr>
          <w:p>
            <w:pPr>
              <w:pStyle w:val="TableParagraph"/>
              <w:spacing w:before="2"/>
              <w:rPr>
                <w:rFonts w:ascii="Times New Roman"/>
                <w:sz w:val="19"/>
              </w:rPr>
            </w:pPr>
          </w:p>
          <w:p>
            <w:pPr>
              <w:pStyle w:val="TableParagraph"/>
              <w:ind w:right="336"/>
              <w:jc w:val="right"/>
              <w:rPr>
                <w:sz w:val="18"/>
              </w:rPr>
            </w:pPr>
            <w:r>
              <w:rPr>
                <w:w w:val="95"/>
                <w:sz w:val="18"/>
              </w:rPr>
              <w:t>12,309</w:t>
            </w:r>
          </w:p>
        </w:tc>
        <w:tc>
          <w:tcPr>
            <w:tcW w:w="1517" w:type="dxa"/>
          </w:tcPr>
          <w:p>
            <w:pPr>
              <w:pStyle w:val="TableParagraph"/>
              <w:spacing w:before="2"/>
              <w:rPr>
                <w:rFonts w:ascii="Times New Roman"/>
                <w:sz w:val="19"/>
              </w:rPr>
            </w:pPr>
          </w:p>
          <w:p>
            <w:pPr>
              <w:pStyle w:val="TableParagraph"/>
              <w:ind w:left="568"/>
              <w:rPr>
                <w:b/>
                <w:sz w:val="18"/>
              </w:rPr>
            </w:pPr>
            <w:r>
              <w:rPr>
                <w:b/>
                <w:sz w:val="18"/>
              </w:rPr>
              <w:t>26,838</w:t>
            </w:r>
          </w:p>
        </w:tc>
        <w:tc>
          <w:tcPr>
            <w:tcW w:w="991" w:type="dxa"/>
          </w:tcPr>
          <w:p>
            <w:pPr>
              <w:pStyle w:val="TableParagraph"/>
              <w:spacing w:before="2"/>
              <w:rPr>
                <w:rFonts w:ascii="Times New Roman"/>
                <w:sz w:val="19"/>
              </w:rPr>
            </w:pPr>
          </w:p>
          <w:p>
            <w:pPr>
              <w:pStyle w:val="TableParagraph"/>
              <w:ind w:right="84"/>
              <w:jc w:val="right"/>
              <w:rPr>
                <w:sz w:val="18"/>
              </w:rPr>
            </w:pPr>
            <w:r>
              <w:rPr>
                <w:w w:val="95"/>
                <w:sz w:val="18"/>
              </w:rPr>
              <w:t>11,844</w:t>
            </w:r>
          </w:p>
        </w:tc>
      </w:tr>
      <w:tr>
        <w:trPr>
          <w:trHeight w:val="264" w:hRule="exact"/>
        </w:trPr>
        <w:tc>
          <w:tcPr>
            <w:tcW w:w="333" w:type="dxa"/>
          </w:tcPr>
          <w:p>
            <w:pPr/>
          </w:p>
        </w:tc>
        <w:tc>
          <w:tcPr>
            <w:tcW w:w="3051" w:type="dxa"/>
          </w:tcPr>
          <w:p>
            <w:pPr>
              <w:pStyle w:val="TableParagraph"/>
              <w:spacing w:before="20"/>
              <w:ind w:left="122"/>
              <w:rPr>
                <w:sz w:val="18"/>
              </w:rPr>
            </w:pPr>
            <w:r>
              <w:rPr>
                <w:sz w:val="18"/>
              </w:rPr>
              <w:t>Non-capitalised equipment</w:t>
            </w:r>
          </w:p>
        </w:tc>
        <w:tc>
          <w:tcPr>
            <w:tcW w:w="1034" w:type="dxa"/>
          </w:tcPr>
          <w:p>
            <w:pPr/>
          </w:p>
        </w:tc>
        <w:tc>
          <w:tcPr>
            <w:tcW w:w="1625" w:type="dxa"/>
          </w:tcPr>
          <w:p>
            <w:pPr>
              <w:pStyle w:val="TableParagraph"/>
              <w:spacing w:before="18"/>
              <w:ind w:right="247"/>
              <w:jc w:val="right"/>
              <w:rPr>
                <w:b/>
                <w:sz w:val="18"/>
              </w:rPr>
            </w:pPr>
            <w:r>
              <w:rPr>
                <w:b/>
                <w:w w:val="95"/>
                <w:sz w:val="18"/>
              </w:rPr>
              <w:t>3,151</w:t>
            </w:r>
          </w:p>
        </w:tc>
        <w:tc>
          <w:tcPr>
            <w:tcW w:w="1387" w:type="dxa"/>
          </w:tcPr>
          <w:p>
            <w:pPr>
              <w:pStyle w:val="TableParagraph"/>
              <w:spacing w:before="18"/>
              <w:ind w:right="336"/>
              <w:jc w:val="right"/>
              <w:rPr>
                <w:sz w:val="18"/>
              </w:rPr>
            </w:pPr>
            <w:r>
              <w:rPr>
                <w:w w:val="95"/>
                <w:sz w:val="18"/>
              </w:rPr>
              <w:t>4,456</w:t>
            </w:r>
          </w:p>
        </w:tc>
        <w:tc>
          <w:tcPr>
            <w:tcW w:w="1517" w:type="dxa"/>
          </w:tcPr>
          <w:p>
            <w:pPr>
              <w:pStyle w:val="TableParagraph"/>
              <w:spacing w:before="18"/>
              <w:ind w:left="669"/>
              <w:rPr>
                <w:b/>
                <w:sz w:val="18"/>
              </w:rPr>
            </w:pPr>
            <w:r>
              <w:rPr>
                <w:b/>
                <w:sz w:val="18"/>
              </w:rPr>
              <w:t>3,021</w:t>
            </w:r>
          </w:p>
        </w:tc>
        <w:tc>
          <w:tcPr>
            <w:tcW w:w="991" w:type="dxa"/>
          </w:tcPr>
          <w:p>
            <w:pPr>
              <w:pStyle w:val="TableParagraph"/>
              <w:spacing w:before="18"/>
              <w:ind w:right="84"/>
              <w:jc w:val="right"/>
              <w:rPr>
                <w:sz w:val="18"/>
              </w:rPr>
            </w:pPr>
            <w:r>
              <w:rPr>
                <w:w w:val="95"/>
                <w:sz w:val="18"/>
              </w:rPr>
              <w:t>4,165</w:t>
            </w:r>
          </w:p>
        </w:tc>
      </w:tr>
      <w:tr>
        <w:trPr>
          <w:trHeight w:val="264" w:hRule="exact"/>
        </w:trPr>
        <w:tc>
          <w:tcPr>
            <w:tcW w:w="333" w:type="dxa"/>
          </w:tcPr>
          <w:p>
            <w:pPr/>
          </w:p>
        </w:tc>
        <w:tc>
          <w:tcPr>
            <w:tcW w:w="3051" w:type="dxa"/>
          </w:tcPr>
          <w:p>
            <w:pPr>
              <w:pStyle w:val="TableParagraph"/>
              <w:spacing w:before="20"/>
              <w:ind w:left="122"/>
              <w:rPr>
                <w:sz w:val="18"/>
              </w:rPr>
            </w:pPr>
            <w:r>
              <w:rPr>
                <w:sz w:val="18"/>
              </w:rPr>
              <w:t>Travel and entertainment</w:t>
            </w:r>
          </w:p>
        </w:tc>
        <w:tc>
          <w:tcPr>
            <w:tcW w:w="1034" w:type="dxa"/>
          </w:tcPr>
          <w:p>
            <w:pPr/>
          </w:p>
        </w:tc>
        <w:tc>
          <w:tcPr>
            <w:tcW w:w="1625" w:type="dxa"/>
          </w:tcPr>
          <w:p>
            <w:pPr>
              <w:pStyle w:val="TableParagraph"/>
              <w:spacing w:before="18"/>
              <w:ind w:right="247"/>
              <w:jc w:val="right"/>
              <w:rPr>
                <w:b/>
                <w:sz w:val="18"/>
              </w:rPr>
            </w:pPr>
            <w:r>
              <w:rPr>
                <w:b/>
                <w:w w:val="95"/>
                <w:sz w:val="18"/>
              </w:rPr>
              <w:t>7,931</w:t>
            </w:r>
          </w:p>
        </w:tc>
        <w:tc>
          <w:tcPr>
            <w:tcW w:w="1387" w:type="dxa"/>
          </w:tcPr>
          <w:p>
            <w:pPr>
              <w:pStyle w:val="TableParagraph"/>
              <w:spacing w:before="18"/>
              <w:ind w:right="336"/>
              <w:jc w:val="right"/>
              <w:rPr>
                <w:sz w:val="18"/>
              </w:rPr>
            </w:pPr>
            <w:r>
              <w:rPr>
                <w:w w:val="95"/>
                <w:sz w:val="18"/>
              </w:rPr>
              <w:t>7,516</w:t>
            </w:r>
          </w:p>
        </w:tc>
        <w:tc>
          <w:tcPr>
            <w:tcW w:w="1517" w:type="dxa"/>
          </w:tcPr>
          <w:p>
            <w:pPr>
              <w:pStyle w:val="TableParagraph"/>
              <w:spacing w:before="18"/>
              <w:ind w:left="669"/>
              <w:rPr>
                <w:b/>
                <w:sz w:val="18"/>
              </w:rPr>
            </w:pPr>
            <w:r>
              <w:rPr>
                <w:b/>
                <w:sz w:val="18"/>
              </w:rPr>
              <w:t>7,841</w:t>
            </w:r>
          </w:p>
        </w:tc>
        <w:tc>
          <w:tcPr>
            <w:tcW w:w="991" w:type="dxa"/>
          </w:tcPr>
          <w:p>
            <w:pPr>
              <w:pStyle w:val="TableParagraph"/>
              <w:spacing w:before="18"/>
              <w:ind w:right="84"/>
              <w:jc w:val="right"/>
              <w:rPr>
                <w:sz w:val="18"/>
              </w:rPr>
            </w:pPr>
            <w:r>
              <w:rPr>
                <w:w w:val="95"/>
                <w:sz w:val="18"/>
              </w:rPr>
              <w:t>7,288</w:t>
            </w:r>
          </w:p>
        </w:tc>
      </w:tr>
      <w:tr>
        <w:trPr>
          <w:trHeight w:val="264" w:hRule="exact"/>
        </w:trPr>
        <w:tc>
          <w:tcPr>
            <w:tcW w:w="333" w:type="dxa"/>
          </w:tcPr>
          <w:p>
            <w:pPr/>
          </w:p>
        </w:tc>
        <w:tc>
          <w:tcPr>
            <w:tcW w:w="3051" w:type="dxa"/>
          </w:tcPr>
          <w:p>
            <w:pPr>
              <w:pStyle w:val="TableParagraph"/>
              <w:spacing w:before="20"/>
              <w:ind w:left="122"/>
              <w:rPr>
                <w:sz w:val="18"/>
              </w:rPr>
            </w:pPr>
            <w:r>
              <w:rPr>
                <w:sz w:val="18"/>
              </w:rPr>
              <w:t>Cleaning and waste removal</w:t>
            </w:r>
          </w:p>
        </w:tc>
        <w:tc>
          <w:tcPr>
            <w:tcW w:w="1034" w:type="dxa"/>
          </w:tcPr>
          <w:p>
            <w:pPr/>
          </w:p>
        </w:tc>
        <w:tc>
          <w:tcPr>
            <w:tcW w:w="1625" w:type="dxa"/>
          </w:tcPr>
          <w:p>
            <w:pPr>
              <w:pStyle w:val="TableParagraph"/>
              <w:spacing w:before="18"/>
              <w:ind w:right="247"/>
              <w:jc w:val="right"/>
              <w:rPr>
                <w:b/>
                <w:sz w:val="18"/>
              </w:rPr>
            </w:pPr>
            <w:r>
              <w:rPr>
                <w:b/>
                <w:w w:val="95"/>
                <w:sz w:val="18"/>
              </w:rPr>
              <w:t>8,830</w:t>
            </w:r>
          </w:p>
        </w:tc>
        <w:tc>
          <w:tcPr>
            <w:tcW w:w="1387" w:type="dxa"/>
          </w:tcPr>
          <w:p>
            <w:pPr>
              <w:pStyle w:val="TableParagraph"/>
              <w:spacing w:before="18"/>
              <w:ind w:right="336"/>
              <w:jc w:val="right"/>
              <w:rPr>
                <w:sz w:val="18"/>
              </w:rPr>
            </w:pPr>
            <w:r>
              <w:rPr>
                <w:w w:val="95"/>
                <w:sz w:val="18"/>
              </w:rPr>
              <w:t>9,059</w:t>
            </w:r>
          </w:p>
        </w:tc>
        <w:tc>
          <w:tcPr>
            <w:tcW w:w="1517" w:type="dxa"/>
          </w:tcPr>
          <w:p>
            <w:pPr>
              <w:pStyle w:val="TableParagraph"/>
              <w:spacing w:before="18"/>
              <w:ind w:left="669"/>
              <w:rPr>
                <w:b/>
                <w:sz w:val="18"/>
              </w:rPr>
            </w:pPr>
            <w:r>
              <w:rPr>
                <w:b/>
                <w:sz w:val="18"/>
              </w:rPr>
              <w:t>8,582</w:t>
            </w:r>
          </w:p>
        </w:tc>
        <w:tc>
          <w:tcPr>
            <w:tcW w:w="991" w:type="dxa"/>
          </w:tcPr>
          <w:p>
            <w:pPr>
              <w:pStyle w:val="TableParagraph"/>
              <w:spacing w:before="18"/>
              <w:ind w:right="84"/>
              <w:jc w:val="right"/>
              <w:rPr>
                <w:sz w:val="18"/>
              </w:rPr>
            </w:pPr>
            <w:r>
              <w:rPr>
                <w:w w:val="95"/>
                <w:sz w:val="18"/>
              </w:rPr>
              <w:t>8,780</w:t>
            </w:r>
          </w:p>
        </w:tc>
      </w:tr>
      <w:tr>
        <w:trPr>
          <w:trHeight w:val="264" w:hRule="exact"/>
        </w:trPr>
        <w:tc>
          <w:tcPr>
            <w:tcW w:w="333" w:type="dxa"/>
          </w:tcPr>
          <w:p>
            <w:pPr/>
          </w:p>
        </w:tc>
        <w:tc>
          <w:tcPr>
            <w:tcW w:w="3051" w:type="dxa"/>
          </w:tcPr>
          <w:p>
            <w:pPr>
              <w:pStyle w:val="TableParagraph"/>
              <w:spacing w:before="20"/>
              <w:ind w:left="122"/>
              <w:rPr>
                <w:sz w:val="18"/>
              </w:rPr>
            </w:pPr>
            <w:r>
              <w:rPr>
                <w:sz w:val="18"/>
              </w:rPr>
              <w:t>Student education support</w:t>
            </w:r>
          </w:p>
        </w:tc>
        <w:tc>
          <w:tcPr>
            <w:tcW w:w="1034" w:type="dxa"/>
          </w:tcPr>
          <w:p>
            <w:pPr/>
          </w:p>
        </w:tc>
        <w:tc>
          <w:tcPr>
            <w:tcW w:w="1625" w:type="dxa"/>
          </w:tcPr>
          <w:p>
            <w:pPr>
              <w:pStyle w:val="TableParagraph"/>
              <w:spacing w:before="18"/>
              <w:ind w:right="247"/>
              <w:jc w:val="right"/>
              <w:rPr>
                <w:b/>
                <w:sz w:val="18"/>
              </w:rPr>
            </w:pPr>
            <w:r>
              <w:rPr>
                <w:b/>
                <w:w w:val="95"/>
                <w:sz w:val="18"/>
              </w:rPr>
              <w:t>3,689</w:t>
            </w:r>
          </w:p>
        </w:tc>
        <w:tc>
          <w:tcPr>
            <w:tcW w:w="1387" w:type="dxa"/>
          </w:tcPr>
          <w:p>
            <w:pPr>
              <w:pStyle w:val="TableParagraph"/>
              <w:spacing w:before="18"/>
              <w:ind w:right="336"/>
              <w:jc w:val="right"/>
              <w:rPr>
                <w:sz w:val="18"/>
              </w:rPr>
            </w:pPr>
            <w:r>
              <w:rPr>
                <w:w w:val="95"/>
                <w:sz w:val="18"/>
              </w:rPr>
              <w:t>445</w:t>
            </w:r>
          </w:p>
        </w:tc>
        <w:tc>
          <w:tcPr>
            <w:tcW w:w="1517" w:type="dxa"/>
          </w:tcPr>
          <w:p>
            <w:pPr>
              <w:pStyle w:val="TableParagraph"/>
              <w:spacing w:before="18"/>
              <w:ind w:left="669"/>
              <w:rPr>
                <w:b/>
                <w:sz w:val="18"/>
              </w:rPr>
            </w:pPr>
            <w:r>
              <w:rPr>
                <w:b/>
                <w:sz w:val="18"/>
              </w:rPr>
              <w:t>3,689</w:t>
            </w:r>
          </w:p>
        </w:tc>
        <w:tc>
          <w:tcPr>
            <w:tcW w:w="991" w:type="dxa"/>
          </w:tcPr>
          <w:p>
            <w:pPr>
              <w:pStyle w:val="TableParagraph"/>
              <w:spacing w:before="18"/>
              <w:ind w:right="84"/>
              <w:jc w:val="right"/>
              <w:rPr>
                <w:sz w:val="18"/>
              </w:rPr>
            </w:pPr>
            <w:r>
              <w:rPr>
                <w:w w:val="95"/>
                <w:sz w:val="18"/>
              </w:rPr>
              <w:t>445</w:t>
            </w:r>
          </w:p>
        </w:tc>
      </w:tr>
      <w:tr>
        <w:trPr>
          <w:trHeight w:val="264" w:hRule="exact"/>
        </w:trPr>
        <w:tc>
          <w:tcPr>
            <w:tcW w:w="333" w:type="dxa"/>
          </w:tcPr>
          <w:p>
            <w:pPr/>
          </w:p>
        </w:tc>
        <w:tc>
          <w:tcPr>
            <w:tcW w:w="3051" w:type="dxa"/>
          </w:tcPr>
          <w:p>
            <w:pPr>
              <w:pStyle w:val="TableParagraph"/>
              <w:spacing w:before="20"/>
              <w:ind w:left="122"/>
              <w:rPr>
                <w:sz w:val="18"/>
              </w:rPr>
            </w:pPr>
            <w:r>
              <w:rPr>
                <w:sz w:val="18"/>
              </w:rPr>
              <w:t>Communication costs</w:t>
            </w:r>
          </w:p>
        </w:tc>
        <w:tc>
          <w:tcPr>
            <w:tcW w:w="1034" w:type="dxa"/>
          </w:tcPr>
          <w:p>
            <w:pPr/>
          </w:p>
        </w:tc>
        <w:tc>
          <w:tcPr>
            <w:tcW w:w="1625" w:type="dxa"/>
          </w:tcPr>
          <w:p>
            <w:pPr>
              <w:pStyle w:val="TableParagraph"/>
              <w:spacing w:before="18"/>
              <w:ind w:right="247"/>
              <w:jc w:val="right"/>
              <w:rPr>
                <w:b/>
                <w:sz w:val="18"/>
              </w:rPr>
            </w:pPr>
            <w:r>
              <w:rPr>
                <w:b/>
                <w:w w:val="95"/>
                <w:sz w:val="18"/>
              </w:rPr>
              <w:t>2,775</w:t>
            </w:r>
          </w:p>
        </w:tc>
        <w:tc>
          <w:tcPr>
            <w:tcW w:w="1387" w:type="dxa"/>
          </w:tcPr>
          <w:p>
            <w:pPr>
              <w:pStyle w:val="TableParagraph"/>
              <w:spacing w:before="18"/>
              <w:ind w:right="336"/>
              <w:jc w:val="right"/>
              <w:rPr>
                <w:sz w:val="18"/>
              </w:rPr>
            </w:pPr>
            <w:r>
              <w:rPr>
                <w:w w:val="95"/>
                <w:sz w:val="18"/>
              </w:rPr>
              <w:t>3,370</w:t>
            </w:r>
          </w:p>
        </w:tc>
        <w:tc>
          <w:tcPr>
            <w:tcW w:w="1517" w:type="dxa"/>
          </w:tcPr>
          <w:p>
            <w:pPr>
              <w:pStyle w:val="TableParagraph"/>
              <w:spacing w:before="18"/>
              <w:ind w:left="669"/>
              <w:rPr>
                <w:b/>
                <w:sz w:val="18"/>
              </w:rPr>
            </w:pPr>
            <w:r>
              <w:rPr>
                <w:b/>
                <w:sz w:val="18"/>
              </w:rPr>
              <w:t>2,681</w:t>
            </w:r>
          </w:p>
        </w:tc>
        <w:tc>
          <w:tcPr>
            <w:tcW w:w="991" w:type="dxa"/>
          </w:tcPr>
          <w:p>
            <w:pPr>
              <w:pStyle w:val="TableParagraph"/>
              <w:spacing w:before="18"/>
              <w:ind w:right="84"/>
              <w:jc w:val="right"/>
              <w:rPr>
                <w:sz w:val="18"/>
              </w:rPr>
            </w:pPr>
            <w:r>
              <w:rPr>
                <w:w w:val="95"/>
                <w:sz w:val="18"/>
              </w:rPr>
              <w:t>3,169</w:t>
            </w:r>
          </w:p>
        </w:tc>
      </w:tr>
      <w:tr>
        <w:trPr>
          <w:trHeight w:val="264" w:hRule="exact"/>
        </w:trPr>
        <w:tc>
          <w:tcPr>
            <w:tcW w:w="333" w:type="dxa"/>
          </w:tcPr>
          <w:p>
            <w:pPr/>
          </w:p>
        </w:tc>
        <w:tc>
          <w:tcPr>
            <w:tcW w:w="3051" w:type="dxa"/>
          </w:tcPr>
          <w:p>
            <w:pPr>
              <w:pStyle w:val="TableParagraph"/>
              <w:spacing w:before="20"/>
              <w:ind w:left="122"/>
              <w:rPr>
                <w:sz w:val="18"/>
              </w:rPr>
            </w:pPr>
            <w:r>
              <w:rPr>
                <w:sz w:val="18"/>
              </w:rPr>
              <w:t>Staff development</w:t>
            </w:r>
          </w:p>
        </w:tc>
        <w:tc>
          <w:tcPr>
            <w:tcW w:w="1034" w:type="dxa"/>
          </w:tcPr>
          <w:p>
            <w:pPr/>
          </w:p>
        </w:tc>
        <w:tc>
          <w:tcPr>
            <w:tcW w:w="1625" w:type="dxa"/>
          </w:tcPr>
          <w:p>
            <w:pPr>
              <w:pStyle w:val="TableParagraph"/>
              <w:spacing w:before="18"/>
              <w:ind w:right="247"/>
              <w:jc w:val="right"/>
              <w:rPr>
                <w:b/>
                <w:sz w:val="18"/>
              </w:rPr>
            </w:pPr>
            <w:r>
              <w:rPr>
                <w:b/>
                <w:w w:val="95"/>
                <w:sz w:val="18"/>
              </w:rPr>
              <w:t>2,097</w:t>
            </w:r>
          </w:p>
        </w:tc>
        <w:tc>
          <w:tcPr>
            <w:tcW w:w="1387" w:type="dxa"/>
          </w:tcPr>
          <w:p>
            <w:pPr>
              <w:pStyle w:val="TableParagraph"/>
              <w:spacing w:before="18"/>
              <w:ind w:right="336"/>
              <w:jc w:val="right"/>
              <w:rPr>
                <w:sz w:val="18"/>
              </w:rPr>
            </w:pPr>
            <w:r>
              <w:rPr>
                <w:w w:val="95"/>
                <w:sz w:val="18"/>
              </w:rPr>
              <w:t>2,703</w:t>
            </w:r>
          </w:p>
        </w:tc>
        <w:tc>
          <w:tcPr>
            <w:tcW w:w="1517" w:type="dxa"/>
          </w:tcPr>
          <w:p>
            <w:pPr>
              <w:pStyle w:val="TableParagraph"/>
              <w:spacing w:before="18"/>
              <w:ind w:left="669"/>
              <w:rPr>
                <w:b/>
                <w:sz w:val="18"/>
              </w:rPr>
            </w:pPr>
            <w:r>
              <w:rPr>
                <w:b/>
                <w:sz w:val="18"/>
              </w:rPr>
              <w:t>2,007</w:t>
            </w:r>
          </w:p>
        </w:tc>
        <w:tc>
          <w:tcPr>
            <w:tcW w:w="991" w:type="dxa"/>
          </w:tcPr>
          <w:p>
            <w:pPr>
              <w:pStyle w:val="TableParagraph"/>
              <w:spacing w:before="18"/>
              <w:ind w:right="84"/>
              <w:jc w:val="right"/>
              <w:rPr>
                <w:sz w:val="18"/>
              </w:rPr>
            </w:pPr>
            <w:r>
              <w:rPr>
                <w:w w:val="95"/>
                <w:sz w:val="18"/>
              </w:rPr>
              <w:t>2,509</w:t>
            </w:r>
          </w:p>
        </w:tc>
      </w:tr>
      <w:tr>
        <w:trPr>
          <w:trHeight w:val="264" w:hRule="exact"/>
        </w:trPr>
        <w:tc>
          <w:tcPr>
            <w:tcW w:w="333" w:type="dxa"/>
          </w:tcPr>
          <w:p>
            <w:pPr/>
          </w:p>
        </w:tc>
        <w:tc>
          <w:tcPr>
            <w:tcW w:w="3051" w:type="dxa"/>
          </w:tcPr>
          <w:p>
            <w:pPr>
              <w:pStyle w:val="TableParagraph"/>
              <w:spacing w:before="20"/>
              <w:ind w:left="122"/>
              <w:rPr>
                <w:sz w:val="18"/>
              </w:rPr>
            </w:pPr>
            <w:r>
              <w:rPr>
                <w:sz w:val="18"/>
              </w:rPr>
              <w:t>Security costs</w:t>
            </w:r>
          </w:p>
        </w:tc>
        <w:tc>
          <w:tcPr>
            <w:tcW w:w="1034" w:type="dxa"/>
          </w:tcPr>
          <w:p>
            <w:pPr/>
          </w:p>
        </w:tc>
        <w:tc>
          <w:tcPr>
            <w:tcW w:w="1625" w:type="dxa"/>
          </w:tcPr>
          <w:p>
            <w:pPr>
              <w:pStyle w:val="TableParagraph"/>
              <w:spacing w:before="18"/>
              <w:ind w:right="247"/>
              <w:jc w:val="right"/>
              <w:rPr>
                <w:b/>
                <w:sz w:val="18"/>
              </w:rPr>
            </w:pPr>
            <w:r>
              <w:rPr>
                <w:b/>
                <w:w w:val="95"/>
                <w:sz w:val="18"/>
              </w:rPr>
              <w:t>3,965</w:t>
            </w:r>
          </w:p>
        </w:tc>
        <w:tc>
          <w:tcPr>
            <w:tcW w:w="1387" w:type="dxa"/>
          </w:tcPr>
          <w:p>
            <w:pPr>
              <w:pStyle w:val="TableParagraph"/>
              <w:spacing w:before="18"/>
              <w:ind w:right="336"/>
              <w:jc w:val="right"/>
              <w:rPr>
                <w:sz w:val="18"/>
              </w:rPr>
            </w:pPr>
            <w:r>
              <w:rPr>
                <w:w w:val="95"/>
                <w:sz w:val="18"/>
              </w:rPr>
              <w:t>3,570</w:t>
            </w:r>
          </w:p>
        </w:tc>
        <w:tc>
          <w:tcPr>
            <w:tcW w:w="1517" w:type="dxa"/>
          </w:tcPr>
          <w:p>
            <w:pPr>
              <w:pStyle w:val="TableParagraph"/>
              <w:spacing w:before="18"/>
              <w:ind w:left="669"/>
              <w:rPr>
                <w:b/>
                <w:sz w:val="18"/>
              </w:rPr>
            </w:pPr>
            <w:r>
              <w:rPr>
                <w:b/>
                <w:sz w:val="18"/>
              </w:rPr>
              <w:t>3,906</w:t>
            </w:r>
          </w:p>
        </w:tc>
        <w:tc>
          <w:tcPr>
            <w:tcW w:w="991" w:type="dxa"/>
          </w:tcPr>
          <w:p>
            <w:pPr>
              <w:pStyle w:val="TableParagraph"/>
              <w:spacing w:before="18"/>
              <w:ind w:right="84"/>
              <w:jc w:val="right"/>
              <w:rPr>
                <w:sz w:val="18"/>
              </w:rPr>
            </w:pPr>
            <w:r>
              <w:rPr>
                <w:w w:val="95"/>
                <w:sz w:val="18"/>
              </w:rPr>
              <w:t>3,524</w:t>
            </w:r>
          </w:p>
        </w:tc>
      </w:tr>
      <w:tr>
        <w:trPr>
          <w:trHeight w:val="264" w:hRule="exact"/>
        </w:trPr>
        <w:tc>
          <w:tcPr>
            <w:tcW w:w="333" w:type="dxa"/>
          </w:tcPr>
          <w:p>
            <w:pPr/>
          </w:p>
        </w:tc>
        <w:tc>
          <w:tcPr>
            <w:tcW w:w="3051" w:type="dxa"/>
          </w:tcPr>
          <w:p>
            <w:pPr>
              <w:pStyle w:val="TableParagraph"/>
              <w:spacing w:before="20"/>
              <w:ind w:left="122"/>
              <w:rPr>
                <w:sz w:val="18"/>
              </w:rPr>
            </w:pPr>
            <w:r>
              <w:rPr>
                <w:sz w:val="18"/>
              </w:rPr>
              <w:t>Student service fees</w:t>
            </w:r>
          </w:p>
        </w:tc>
        <w:tc>
          <w:tcPr>
            <w:tcW w:w="1034" w:type="dxa"/>
          </w:tcPr>
          <w:p>
            <w:pPr/>
          </w:p>
        </w:tc>
        <w:tc>
          <w:tcPr>
            <w:tcW w:w="1625" w:type="dxa"/>
          </w:tcPr>
          <w:p>
            <w:pPr>
              <w:pStyle w:val="TableParagraph"/>
              <w:spacing w:before="18"/>
              <w:ind w:right="247"/>
              <w:jc w:val="right"/>
              <w:rPr>
                <w:b/>
                <w:sz w:val="18"/>
              </w:rPr>
            </w:pPr>
            <w:r>
              <w:rPr>
                <w:b/>
                <w:w w:val="95"/>
                <w:sz w:val="18"/>
              </w:rPr>
              <w:t>404</w:t>
            </w:r>
          </w:p>
        </w:tc>
        <w:tc>
          <w:tcPr>
            <w:tcW w:w="1387" w:type="dxa"/>
          </w:tcPr>
          <w:p>
            <w:pPr>
              <w:pStyle w:val="TableParagraph"/>
              <w:spacing w:before="18"/>
              <w:ind w:right="336"/>
              <w:jc w:val="right"/>
              <w:rPr>
                <w:sz w:val="18"/>
              </w:rPr>
            </w:pPr>
            <w:r>
              <w:rPr>
                <w:w w:val="95"/>
                <w:sz w:val="18"/>
              </w:rPr>
              <w:t>297</w:t>
            </w:r>
          </w:p>
        </w:tc>
        <w:tc>
          <w:tcPr>
            <w:tcW w:w="1517" w:type="dxa"/>
          </w:tcPr>
          <w:p>
            <w:pPr>
              <w:pStyle w:val="TableParagraph"/>
              <w:spacing w:before="18"/>
              <w:ind w:right="392"/>
              <w:jc w:val="right"/>
              <w:rPr>
                <w:b/>
                <w:sz w:val="18"/>
              </w:rPr>
            </w:pPr>
            <w:r>
              <w:rPr>
                <w:b/>
                <w:w w:val="99"/>
                <w:sz w:val="18"/>
              </w:rPr>
              <w:t>3</w:t>
            </w:r>
          </w:p>
        </w:tc>
        <w:tc>
          <w:tcPr>
            <w:tcW w:w="991" w:type="dxa"/>
          </w:tcPr>
          <w:p>
            <w:pPr>
              <w:pStyle w:val="TableParagraph"/>
              <w:spacing w:before="18"/>
              <w:ind w:right="85"/>
              <w:jc w:val="right"/>
              <w:rPr>
                <w:sz w:val="18"/>
              </w:rPr>
            </w:pPr>
            <w:r>
              <w:rPr>
                <w:w w:val="99"/>
                <w:sz w:val="18"/>
              </w:rPr>
              <w:t>9</w:t>
            </w:r>
          </w:p>
        </w:tc>
      </w:tr>
      <w:tr>
        <w:trPr>
          <w:trHeight w:val="260" w:hRule="exact"/>
        </w:trPr>
        <w:tc>
          <w:tcPr>
            <w:tcW w:w="333" w:type="dxa"/>
          </w:tcPr>
          <w:p>
            <w:pPr/>
          </w:p>
        </w:tc>
        <w:tc>
          <w:tcPr>
            <w:tcW w:w="3051" w:type="dxa"/>
          </w:tcPr>
          <w:p>
            <w:pPr>
              <w:pStyle w:val="TableParagraph"/>
              <w:spacing w:before="20"/>
              <w:ind w:left="122"/>
              <w:rPr>
                <w:sz w:val="18"/>
              </w:rPr>
            </w:pPr>
            <w:r>
              <w:rPr>
                <w:sz w:val="18"/>
              </w:rPr>
              <w:t>Other expenses</w:t>
            </w:r>
          </w:p>
        </w:tc>
        <w:tc>
          <w:tcPr>
            <w:tcW w:w="1034" w:type="dxa"/>
          </w:tcPr>
          <w:p>
            <w:pPr/>
          </w:p>
        </w:tc>
        <w:tc>
          <w:tcPr>
            <w:tcW w:w="1625" w:type="dxa"/>
            <w:tcBorders>
              <w:bottom w:val="single" w:sz="1" w:space="0" w:color="000000"/>
            </w:tcBorders>
          </w:tcPr>
          <w:p>
            <w:pPr>
              <w:pStyle w:val="TableParagraph"/>
              <w:spacing w:before="18"/>
              <w:ind w:right="247"/>
              <w:jc w:val="right"/>
              <w:rPr>
                <w:b/>
                <w:sz w:val="18"/>
              </w:rPr>
            </w:pPr>
            <w:r>
              <w:rPr>
                <w:b/>
                <w:w w:val="95"/>
                <w:sz w:val="18"/>
              </w:rPr>
              <w:t>7,911</w:t>
            </w:r>
          </w:p>
        </w:tc>
        <w:tc>
          <w:tcPr>
            <w:tcW w:w="1387" w:type="dxa"/>
            <w:tcBorders>
              <w:bottom w:val="single" w:sz="1" w:space="0" w:color="000000"/>
            </w:tcBorders>
          </w:tcPr>
          <w:p>
            <w:pPr>
              <w:pStyle w:val="TableParagraph"/>
              <w:spacing w:before="18"/>
              <w:ind w:right="336"/>
              <w:jc w:val="right"/>
              <w:rPr>
                <w:sz w:val="18"/>
              </w:rPr>
            </w:pPr>
            <w:r>
              <w:rPr>
                <w:w w:val="95"/>
                <w:sz w:val="18"/>
              </w:rPr>
              <w:t>8,803</w:t>
            </w:r>
          </w:p>
        </w:tc>
        <w:tc>
          <w:tcPr>
            <w:tcW w:w="1517" w:type="dxa"/>
            <w:tcBorders>
              <w:bottom w:val="single" w:sz="1" w:space="0" w:color="000000"/>
            </w:tcBorders>
          </w:tcPr>
          <w:p>
            <w:pPr>
              <w:pStyle w:val="TableParagraph"/>
              <w:spacing w:before="18"/>
              <w:ind w:left="669"/>
              <w:rPr>
                <w:b/>
                <w:sz w:val="18"/>
              </w:rPr>
            </w:pPr>
            <w:r>
              <w:rPr>
                <w:b/>
                <w:sz w:val="18"/>
              </w:rPr>
              <w:t>7,590</w:t>
            </w:r>
          </w:p>
        </w:tc>
        <w:tc>
          <w:tcPr>
            <w:tcW w:w="991" w:type="dxa"/>
            <w:tcBorders>
              <w:bottom w:val="single" w:sz="1" w:space="0" w:color="000000"/>
            </w:tcBorders>
          </w:tcPr>
          <w:p>
            <w:pPr>
              <w:pStyle w:val="TableParagraph"/>
              <w:spacing w:before="18"/>
              <w:ind w:right="84"/>
              <w:jc w:val="right"/>
              <w:rPr>
                <w:sz w:val="18"/>
              </w:rPr>
            </w:pPr>
            <w:r>
              <w:rPr>
                <w:w w:val="95"/>
                <w:sz w:val="18"/>
              </w:rPr>
              <w:t>7,753</w:t>
            </w:r>
          </w:p>
        </w:tc>
      </w:tr>
      <w:tr>
        <w:trPr>
          <w:trHeight w:val="353" w:hRule="exact"/>
        </w:trPr>
        <w:tc>
          <w:tcPr>
            <w:tcW w:w="333" w:type="dxa"/>
          </w:tcPr>
          <w:p>
            <w:pPr/>
          </w:p>
        </w:tc>
        <w:tc>
          <w:tcPr>
            <w:tcW w:w="3051" w:type="dxa"/>
          </w:tcPr>
          <w:p>
            <w:pPr>
              <w:pStyle w:val="TableParagraph"/>
              <w:spacing w:before="125"/>
              <w:ind w:left="122"/>
              <w:rPr>
                <w:b/>
                <w:sz w:val="18"/>
              </w:rPr>
            </w:pPr>
            <w:r>
              <w:rPr>
                <w:b/>
                <w:sz w:val="18"/>
              </w:rPr>
              <w:t>Total other expenses</w:t>
            </w:r>
          </w:p>
        </w:tc>
        <w:tc>
          <w:tcPr>
            <w:tcW w:w="1034" w:type="dxa"/>
          </w:tcPr>
          <w:p>
            <w:pPr/>
          </w:p>
        </w:tc>
        <w:tc>
          <w:tcPr>
            <w:tcW w:w="1625" w:type="dxa"/>
            <w:tcBorders>
              <w:top w:val="single" w:sz="1" w:space="0" w:color="000000"/>
              <w:bottom w:val="single" w:sz="1" w:space="0" w:color="000000"/>
            </w:tcBorders>
          </w:tcPr>
          <w:p>
            <w:pPr>
              <w:pStyle w:val="TableParagraph"/>
              <w:spacing w:before="95"/>
              <w:ind w:right="247"/>
              <w:jc w:val="right"/>
              <w:rPr>
                <w:b/>
                <w:sz w:val="18"/>
              </w:rPr>
            </w:pPr>
            <w:r>
              <w:rPr>
                <w:b/>
                <w:w w:val="95"/>
                <w:sz w:val="18"/>
              </w:rPr>
              <w:t>222,643</w:t>
            </w:r>
          </w:p>
        </w:tc>
        <w:tc>
          <w:tcPr>
            <w:tcW w:w="1387" w:type="dxa"/>
            <w:tcBorders>
              <w:top w:val="single" w:sz="1" w:space="0" w:color="000000"/>
              <w:bottom w:val="single" w:sz="1" w:space="0" w:color="000000"/>
            </w:tcBorders>
          </w:tcPr>
          <w:p>
            <w:pPr>
              <w:pStyle w:val="TableParagraph"/>
              <w:spacing w:before="95"/>
              <w:ind w:right="336"/>
              <w:jc w:val="right"/>
              <w:rPr>
                <w:sz w:val="18"/>
              </w:rPr>
            </w:pPr>
            <w:r>
              <w:rPr>
                <w:w w:val="95"/>
                <w:sz w:val="18"/>
              </w:rPr>
              <w:t>200,638</w:t>
            </w:r>
          </w:p>
        </w:tc>
        <w:tc>
          <w:tcPr>
            <w:tcW w:w="1517" w:type="dxa"/>
            <w:tcBorders>
              <w:top w:val="single" w:sz="1" w:space="0" w:color="000000"/>
              <w:bottom w:val="single" w:sz="1" w:space="0" w:color="000000"/>
            </w:tcBorders>
          </w:tcPr>
          <w:p>
            <w:pPr>
              <w:pStyle w:val="TableParagraph"/>
              <w:spacing w:before="95"/>
              <w:ind w:left="468"/>
              <w:rPr>
                <w:b/>
                <w:sz w:val="18"/>
              </w:rPr>
            </w:pPr>
            <w:r>
              <w:rPr>
                <w:b/>
                <w:sz w:val="18"/>
              </w:rPr>
              <w:t>265,461</w:t>
            </w:r>
          </w:p>
        </w:tc>
        <w:tc>
          <w:tcPr>
            <w:tcW w:w="991" w:type="dxa"/>
            <w:tcBorders>
              <w:top w:val="single" w:sz="1" w:space="0" w:color="000000"/>
              <w:bottom w:val="single" w:sz="1" w:space="0" w:color="000000"/>
            </w:tcBorders>
          </w:tcPr>
          <w:p>
            <w:pPr>
              <w:pStyle w:val="TableParagraph"/>
              <w:spacing w:before="95"/>
              <w:ind w:right="84"/>
              <w:jc w:val="right"/>
              <w:rPr>
                <w:sz w:val="18"/>
              </w:rPr>
            </w:pPr>
            <w:r>
              <w:rPr>
                <w:w w:val="95"/>
                <w:sz w:val="18"/>
              </w:rPr>
              <w:t>234,936</w:t>
            </w:r>
          </w:p>
        </w:tc>
      </w:tr>
    </w:tbl>
    <w:p>
      <w:pPr>
        <w:pStyle w:val="BodyText"/>
        <w:spacing w:before="5"/>
        <w:rPr>
          <w:rFonts w:ascii="Times New Roman"/>
          <w:sz w:val="20"/>
        </w:rPr>
      </w:pPr>
    </w:p>
    <w:p>
      <w:pPr>
        <w:pStyle w:val="BodyText"/>
        <w:spacing w:before="77"/>
        <w:ind w:left="544" w:right="105"/>
      </w:pPr>
      <w:r>
        <w:rPr/>
        <w:t>#1 Audit remuneration included in amount and disclosed under note 31.</w:t>
      </w:r>
    </w:p>
    <w:p>
      <w:pPr>
        <w:spacing w:after="0"/>
        <w:sectPr>
          <w:pgSz w:w="11910" w:h="16840"/>
          <w:pgMar w:header="1037" w:footer="507" w:top="2220" w:bottom="700" w:left="860" w:right="880"/>
        </w:sectPr>
      </w:pPr>
    </w:p>
    <w:p>
      <w:pPr>
        <w:pStyle w:val="BodyText"/>
        <w:rPr>
          <w:sz w:val="20"/>
        </w:rPr>
      </w:pPr>
    </w:p>
    <w:p>
      <w:pPr>
        <w:pStyle w:val="BodyText"/>
        <w:rPr>
          <w:sz w:val="20"/>
        </w:rPr>
      </w:pPr>
    </w:p>
    <w:p>
      <w:pPr>
        <w:pStyle w:val="BodyText"/>
        <w:spacing w:before="5"/>
      </w:pPr>
    </w:p>
    <w:p>
      <w:pPr>
        <w:pStyle w:val="Heading9"/>
        <w:ind w:left="110" w:right="220"/>
      </w:pPr>
      <w:bookmarkStart w:name="17 Cash and cash equivalents " w:id="84"/>
      <w:bookmarkEnd w:id="84"/>
      <w:r>
        <w:rPr>
          <w:b w:val="0"/>
        </w:rPr>
      </w:r>
      <w:r>
        <w:rPr/>
        <w:t>17    Cash and cash equivalents</w:t>
      </w:r>
    </w:p>
    <w:p>
      <w:pPr>
        <w:tabs>
          <w:tab w:pos="8366" w:val="left" w:leader="none"/>
        </w:tabs>
        <w:spacing w:before="33"/>
        <w:ind w:left="5316" w:right="220" w:firstLine="0"/>
        <w:jc w:val="left"/>
        <w:rPr>
          <w:b/>
          <w:sz w:val="18"/>
        </w:rPr>
      </w:pPr>
      <w:r>
        <w:rPr>
          <w:b/>
          <w:sz w:val="18"/>
        </w:rPr>
        <w:t>Consolidated</w:t>
        <w:tab/>
        <w:t>Parent</w:t>
      </w:r>
    </w:p>
    <w:p>
      <w:pPr>
        <w:spacing w:after="0"/>
        <w:jc w:val="left"/>
        <w:rPr>
          <w:sz w:val="18"/>
        </w:rPr>
        <w:sectPr>
          <w:pgSz w:w="11910" w:h="16840"/>
          <w:pgMar w:header="1037" w:footer="507" w:top="2220" w:bottom="700" w:left="900" w:right="880"/>
        </w:sectPr>
      </w:pPr>
    </w:p>
    <w:p>
      <w:pPr>
        <w:spacing w:before="66"/>
        <w:ind w:left="0" w:right="19" w:firstLine="0"/>
        <w:jc w:val="right"/>
        <w:rPr>
          <w:b/>
          <w:sz w:val="18"/>
        </w:rPr>
      </w:pPr>
      <w:r>
        <w:rPr>
          <w:b/>
          <w:w w:val="95"/>
          <w:sz w:val="18"/>
        </w:rPr>
        <w:t>2017</w:t>
      </w:r>
    </w:p>
    <w:p>
      <w:pPr>
        <w:spacing w:before="66"/>
        <w:ind w:left="0" w:right="0" w:firstLine="0"/>
        <w:jc w:val="right"/>
        <w:rPr>
          <w:b/>
          <w:sz w:val="18"/>
        </w:rPr>
      </w:pPr>
      <w:bookmarkStart w:name="(a) Reconciliation to cash at the end of" w:id="85"/>
      <w:bookmarkEnd w:id="85"/>
      <w:r>
        <w:rPr/>
      </w:r>
      <w:r>
        <w:rPr>
          <w:b/>
          <w:sz w:val="18"/>
        </w:rPr>
        <w:t>$'000</w:t>
      </w:r>
    </w:p>
    <w:p>
      <w:pPr>
        <w:spacing w:before="66"/>
        <w:ind w:left="819" w:right="-16" w:firstLine="0"/>
        <w:jc w:val="left"/>
        <w:rPr>
          <w:b/>
          <w:sz w:val="18"/>
        </w:rPr>
      </w:pPr>
      <w:r>
        <w:rPr/>
        <w:br w:type="column"/>
      </w:r>
      <w:r>
        <w:rPr>
          <w:b/>
          <w:sz w:val="18"/>
        </w:rPr>
        <w:t>2016</w:t>
      </w:r>
    </w:p>
    <w:p>
      <w:pPr>
        <w:spacing w:before="66"/>
        <w:ind w:left="797" w:right="-16"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19" w:right="0" w:firstLine="0"/>
        <w:jc w:val="left"/>
        <w:rPr>
          <w:b/>
          <w:sz w:val="18"/>
        </w:rPr>
      </w:pPr>
      <w:r>
        <w:rPr/>
        <w:br w:type="column"/>
      </w:r>
      <w:r>
        <w:rPr>
          <w:b/>
          <w:sz w:val="18"/>
        </w:rPr>
        <w:t>2016</w:t>
      </w:r>
    </w:p>
    <w:p>
      <w:pPr>
        <w:spacing w:before="66"/>
        <w:ind w:left="797" w:right="0" w:firstLine="0"/>
        <w:jc w:val="left"/>
        <w:rPr>
          <w:b/>
          <w:sz w:val="18"/>
        </w:rPr>
      </w:pPr>
      <w:r>
        <w:rPr>
          <w:b/>
          <w:sz w:val="18"/>
        </w:rPr>
        <w:t>$'000</w:t>
      </w:r>
    </w:p>
    <w:p>
      <w:pPr>
        <w:spacing w:after="0"/>
        <w:jc w:val="left"/>
        <w:rPr>
          <w:sz w:val="18"/>
        </w:rPr>
        <w:sectPr>
          <w:type w:val="continuous"/>
          <w:pgSz w:w="11910" w:h="16840"/>
          <w:pgMar w:top="1580" w:bottom="280" w:left="900" w:right="880"/>
          <w:cols w:num="4" w:equalWidth="0">
            <w:col w:w="5532" w:space="40"/>
            <w:col w:w="1245" w:space="40"/>
            <w:col w:w="1437" w:space="40"/>
            <w:col w:w="1796"/>
          </w:cols>
        </w:sectPr>
      </w:pPr>
    </w:p>
    <w:p>
      <w:pPr>
        <w:pStyle w:val="BodyText"/>
        <w:spacing w:before="7"/>
        <w:rPr>
          <w:b/>
          <w:sz w:val="3"/>
        </w:rPr>
      </w:pPr>
    </w:p>
    <w:tbl>
      <w:tblPr>
        <w:tblW w:w="0" w:type="auto"/>
        <w:jc w:val="left"/>
        <w:tblInd w:w="47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21"/>
        <w:gridCol w:w="1698"/>
        <w:gridCol w:w="1380"/>
        <w:gridCol w:w="1380"/>
        <w:gridCol w:w="1062"/>
      </w:tblGrid>
      <w:tr>
        <w:trPr>
          <w:trHeight w:val="334" w:hRule="exact"/>
        </w:trPr>
        <w:tc>
          <w:tcPr>
            <w:tcW w:w="4021" w:type="dxa"/>
          </w:tcPr>
          <w:p>
            <w:pPr>
              <w:pStyle w:val="TableParagraph"/>
              <w:spacing w:before="77"/>
              <w:ind w:left="35" w:right="855"/>
              <w:rPr>
                <w:sz w:val="18"/>
              </w:rPr>
            </w:pPr>
            <w:r>
              <w:rPr>
                <w:sz w:val="18"/>
              </w:rPr>
              <w:t>Cash at bank and on hand</w:t>
            </w:r>
          </w:p>
        </w:tc>
        <w:tc>
          <w:tcPr>
            <w:tcW w:w="1698" w:type="dxa"/>
          </w:tcPr>
          <w:p>
            <w:pPr>
              <w:pStyle w:val="TableParagraph"/>
              <w:spacing w:before="103"/>
              <w:ind w:right="318"/>
              <w:jc w:val="right"/>
              <w:rPr>
                <w:b/>
                <w:sz w:val="18"/>
              </w:rPr>
            </w:pPr>
            <w:r>
              <w:rPr>
                <w:b/>
                <w:w w:val="95"/>
                <w:sz w:val="18"/>
              </w:rPr>
              <w:t>124,030</w:t>
            </w:r>
          </w:p>
        </w:tc>
        <w:tc>
          <w:tcPr>
            <w:tcW w:w="1380" w:type="dxa"/>
          </w:tcPr>
          <w:p>
            <w:pPr>
              <w:pStyle w:val="TableParagraph"/>
              <w:spacing w:before="103"/>
              <w:ind w:right="402"/>
              <w:jc w:val="right"/>
              <w:rPr>
                <w:sz w:val="18"/>
              </w:rPr>
            </w:pPr>
            <w:r>
              <w:rPr>
                <w:w w:val="95"/>
                <w:sz w:val="18"/>
              </w:rPr>
              <w:t>51,125</w:t>
            </w:r>
          </w:p>
        </w:tc>
        <w:tc>
          <w:tcPr>
            <w:tcW w:w="1380" w:type="dxa"/>
          </w:tcPr>
          <w:p>
            <w:pPr>
              <w:pStyle w:val="TableParagraph"/>
              <w:spacing w:before="103"/>
              <w:ind w:right="318"/>
              <w:jc w:val="right"/>
              <w:rPr>
                <w:b/>
                <w:sz w:val="18"/>
              </w:rPr>
            </w:pPr>
            <w:r>
              <w:rPr>
                <w:b/>
                <w:w w:val="95"/>
                <w:sz w:val="18"/>
              </w:rPr>
              <w:t>122,246</w:t>
            </w:r>
          </w:p>
        </w:tc>
        <w:tc>
          <w:tcPr>
            <w:tcW w:w="1062" w:type="dxa"/>
          </w:tcPr>
          <w:p>
            <w:pPr>
              <w:pStyle w:val="TableParagraph"/>
              <w:spacing w:before="103"/>
              <w:ind w:right="84"/>
              <w:jc w:val="right"/>
              <w:rPr>
                <w:sz w:val="18"/>
              </w:rPr>
            </w:pPr>
            <w:r>
              <w:rPr>
                <w:w w:val="95"/>
                <w:sz w:val="18"/>
              </w:rPr>
              <w:t>48,697</w:t>
            </w:r>
          </w:p>
        </w:tc>
      </w:tr>
      <w:tr>
        <w:trPr>
          <w:trHeight w:val="247" w:hRule="exact"/>
        </w:trPr>
        <w:tc>
          <w:tcPr>
            <w:tcW w:w="4021" w:type="dxa"/>
          </w:tcPr>
          <w:p>
            <w:pPr>
              <w:pStyle w:val="TableParagraph"/>
              <w:spacing w:before="7"/>
              <w:ind w:left="35" w:right="855"/>
              <w:rPr>
                <w:sz w:val="18"/>
              </w:rPr>
            </w:pPr>
            <w:r>
              <w:rPr>
                <w:sz w:val="18"/>
              </w:rPr>
              <w:t>Short-term deposits</w:t>
            </w:r>
          </w:p>
        </w:tc>
        <w:tc>
          <w:tcPr>
            <w:tcW w:w="1698" w:type="dxa"/>
            <w:tcBorders>
              <w:bottom w:val="single" w:sz="1" w:space="0" w:color="000000"/>
            </w:tcBorders>
          </w:tcPr>
          <w:p>
            <w:pPr>
              <w:pStyle w:val="TableParagraph"/>
              <w:spacing w:before="4"/>
              <w:ind w:right="318"/>
              <w:jc w:val="right"/>
              <w:rPr>
                <w:b/>
                <w:sz w:val="18"/>
              </w:rPr>
            </w:pPr>
            <w:r>
              <w:rPr>
                <w:b/>
                <w:w w:val="95"/>
                <w:sz w:val="18"/>
              </w:rPr>
              <w:t>97,718</w:t>
            </w:r>
          </w:p>
        </w:tc>
        <w:tc>
          <w:tcPr>
            <w:tcW w:w="1380" w:type="dxa"/>
            <w:tcBorders>
              <w:bottom w:val="single" w:sz="1" w:space="0" w:color="000000"/>
            </w:tcBorders>
          </w:tcPr>
          <w:p>
            <w:pPr>
              <w:pStyle w:val="TableParagraph"/>
              <w:spacing w:before="4"/>
              <w:ind w:right="402"/>
              <w:jc w:val="right"/>
              <w:rPr>
                <w:sz w:val="18"/>
              </w:rPr>
            </w:pPr>
            <w:r>
              <w:rPr>
                <w:w w:val="95"/>
                <w:sz w:val="18"/>
              </w:rPr>
              <w:t>88,100</w:t>
            </w:r>
          </w:p>
        </w:tc>
        <w:tc>
          <w:tcPr>
            <w:tcW w:w="1380" w:type="dxa"/>
            <w:tcBorders>
              <w:bottom w:val="single" w:sz="1" w:space="0" w:color="000000"/>
            </w:tcBorders>
          </w:tcPr>
          <w:p>
            <w:pPr>
              <w:pStyle w:val="TableParagraph"/>
              <w:spacing w:before="4"/>
              <w:ind w:right="318"/>
              <w:jc w:val="right"/>
              <w:rPr>
                <w:b/>
                <w:sz w:val="18"/>
              </w:rPr>
            </w:pPr>
            <w:r>
              <w:rPr>
                <w:b/>
                <w:w w:val="95"/>
                <w:sz w:val="18"/>
              </w:rPr>
              <w:t>97,308</w:t>
            </w:r>
          </w:p>
        </w:tc>
        <w:tc>
          <w:tcPr>
            <w:tcW w:w="1062" w:type="dxa"/>
            <w:tcBorders>
              <w:bottom w:val="single" w:sz="1" w:space="0" w:color="000000"/>
            </w:tcBorders>
          </w:tcPr>
          <w:p>
            <w:pPr>
              <w:pStyle w:val="TableParagraph"/>
              <w:spacing w:before="4"/>
              <w:ind w:right="84"/>
              <w:jc w:val="right"/>
              <w:rPr>
                <w:sz w:val="18"/>
              </w:rPr>
            </w:pPr>
            <w:r>
              <w:rPr>
                <w:w w:val="95"/>
                <w:sz w:val="18"/>
              </w:rPr>
              <w:t>87,700</w:t>
            </w:r>
          </w:p>
        </w:tc>
      </w:tr>
      <w:tr>
        <w:trPr>
          <w:trHeight w:val="353" w:hRule="exact"/>
        </w:trPr>
        <w:tc>
          <w:tcPr>
            <w:tcW w:w="4021" w:type="dxa"/>
          </w:tcPr>
          <w:p>
            <w:pPr>
              <w:pStyle w:val="TableParagraph"/>
              <w:spacing w:before="125"/>
              <w:ind w:left="35" w:right="855"/>
              <w:rPr>
                <w:b/>
                <w:sz w:val="18"/>
              </w:rPr>
            </w:pPr>
            <w:r>
              <w:rPr>
                <w:b/>
                <w:sz w:val="18"/>
              </w:rPr>
              <w:t>Total cash and cash equivalents</w:t>
            </w:r>
          </w:p>
        </w:tc>
        <w:tc>
          <w:tcPr>
            <w:tcW w:w="1698" w:type="dxa"/>
            <w:tcBorders>
              <w:top w:val="single" w:sz="1" w:space="0" w:color="000000"/>
              <w:bottom w:val="single" w:sz="1" w:space="0" w:color="000000"/>
            </w:tcBorders>
          </w:tcPr>
          <w:p>
            <w:pPr>
              <w:pStyle w:val="TableParagraph"/>
              <w:spacing w:before="124"/>
              <w:ind w:right="318"/>
              <w:jc w:val="right"/>
              <w:rPr>
                <w:b/>
                <w:sz w:val="18"/>
              </w:rPr>
            </w:pPr>
            <w:r>
              <w:rPr>
                <w:b/>
                <w:w w:val="95"/>
                <w:sz w:val="18"/>
              </w:rPr>
              <w:t>221,748</w:t>
            </w:r>
          </w:p>
        </w:tc>
        <w:tc>
          <w:tcPr>
            <w:tcW w:w="1380" w:type="dxa"/>
            <w:tcBorders>
              <w:top w:val="single" w:sz="1" w:space="0" w:color="000000"/>
              <w:bottom w:val="single" w:sz="1" w:space="0" w:color="000000"/>
            </w:tcBorders>
          </w:tcPr>
          <w:p>
            <w:pPr>
              <w:pStyle w:val="TableParagraph"/>
              <w:spacing w:before="124"/>
              <w:ind w:right="402"/>
              <w:jc w:val="right"/>
              <w:rPr>
                <w:sz w:val="18"/>
              </w:rPr>
            </w:pPr>
            <w:r>
              <w:rPr>
                <w:w w:val="95"/>
                <w:sz w:val="18"/>
              </w:rPr>
              <w:t>139,225</w:t>
            </w:r>
          </w:p>
        </w:tc>
        <w:tc>
          <w:tcPr>
            <w:tcW w:w="1380" w:type="dxa"/>
            <w:tcBorders>
              <w:top w:val="single" w:sz="1" w:space="0" w:color="000000"/>
              <w:bottom w:val="single" w:sz="1" w:space="0" w:color="000000"/>
            </w:tcBorders>
          </w:tcPr>
          <w:p>
            <w:pPr>
              <w:pStyle w:val="TableParagraph"/>
              <w:spacing w:before="124"/>
              <w:ind w:right="318"/>
              <w:jc w:val="right"/>
              <w:rPr>
                <w:b/>
                <w:sz w:val="18"/>
              </w:rPr>
            </w:pPr>
            <w:r>
              <w:rPr>
                <w:b/>
                <w:w w:val="95"/>
                <w:sz w:val="18"/>
              </w:rPr>
              <w:t>219,554</w:t>
            </w:r>
          </w:p>
        </w:tc>
        <w:tc>
          <w:tcPr>
            <w:tcW w:w="1062" w:type="dxa"/>
            <w:tcBorders>
              <w:top w:val="single" w:sz="1" w:space="0" w:color="000000"/>
              <w:bottom w:val="single" w:sz="1" w:space="0" w:color="000000"/>
            </w:tcBorders>
          </w:tcPr>
          <w:p>
            <w:pPr>
              <w:pStyle w:val="TableParagraph"/>
              <w:spacing w:before="124"/>
              <w:ind w:right="84"/>
              <w:jc w:val="right"/>
              <w:rPr>
                <w:sz w:val="18"/>
              </w:rPr>
            </w:pPr>
            <w:r>
              <w:rPr>
                <w:w w:val="95"/>
                <w:sz w:val="18"/>
              </w:rPr>
              <w:t>136,397</w:t>
            </w:r>
          </w:p>
        </w:tc>
      </w:tr>
    </w:tbl>
    <w:p>
      <w:pPr>
        <w:pStyle w:val="BodyText"/>
        <w:spacing w:before="2"/>
        <w:rPr>
          <w:b/>
          <w:sz w:val="22"/>
        </w:rPr>
      </w:pPr>
    </w:p>
    <w:p>
      <w:pPr>
        <w:pStyle w:val="ListParagraph"/>
        <w:numPr>
          <w:ilvl w:val="0"/>
          <w:numId w:val="24"/>
        </w:numPr>
        <w:tabs>
          <w:tab w:pos="1071" w:val="left" w:leader="none"/>
        </w:tabs>
        <w:spacing w:line="240" w:lineRule="auto" w:before="77" w:after="0"/>
        <w:ind w:left="1070" w:right="0" w:hanging="566"/>
        <w:jc w:val="left"/>
        <w:rPr>
          <w:sz w:val="18"/>
        </w:rPr>
      </w:pPr>
      <w:r>
        <w:rPr>
          <w:sz w:val="18"/>
        </w:rPr>
        <w:t>Reconciliation to cash at the end of the</w:t>
      </w:r>
      <w:r>
        <w:rPr>
          <w:spacing w:val="7"/>
          <w:sz w:val="18"/>
        </w:rPr>
        <w:t> </w:t>
      </w:r>
      <w:r>
        <w:rPr>
          <w:sz w:val="18"/>
        </w:rPr>
        <w:t>year</w:t>
      </w:r>
    </w:p>
    <w:p>
      <w:pPr>
        <w:pStyle w:val="BodyText"/>
        <w:spacing w:before="4"/>
        <w:rPr>
          <w:sz w:val="25"/>
        </w:rPr>
      </w:pPr>
    </w:p>
    <w:p>
      <w:pPr>
        <w:pStyle w:val="BodyText"/>
        <w:spacing w:after="36"/>
        <w:ind w:left="1070" w:right="220"/>
      </w:pPr>
      <w:r>
        <w:rPr/>
        <w:t>The above figures are reconciled to cash at the end of the year as shown in the statement of cash flows as </w:t>
      </w:r>
      <w:bookmarkStart w:name="(b) Cash at bank and on hand" w:id="86"/>
      <w:bookmarkEnd w:id="86"/>
      <w:r>
        <w:rPr/>
      </w:r>
      <w:r>
        <w:rPr/>
        <w:t>follows:</w:t>
      </w: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
        <w:gridCol w:w="3597"/>
        <w:gridCol w:w="1698"/>
        <w:gridCol w:w="1380"/>
        <w:gridCol w:w="1380"/>
        <w:gridCol w:w="1062"/>
      </w:tblGrid>
      <w:tr>
        <w:trPr>
          <w:trHeight w:val="234" w:hRule="exact"/>
        </w:trPr>
        <w:tc>
          <w:tcPr>
            <w:tcW w:w="429" w:type="dxa"/>
            <w:vMerge w:val="restart"/>
          </w:tcPr>
          <w:p>
            <w:pPr/>
          </w:p>
        </w:tc>
        <w:tc>
          <w:tcPr>
            <w:tcW w:w="3597" w:type="dxa"/>
          </w:tcPr>
          <w:p>
            <w:pPr>
              <w:pStyle w:val="TableParagraph"/>
              <w:spacing w:line="202" w:lineRule="exact"/>
              <w:ind w:left="177" w:right="799"/>
              <w:rPr>
                <w:sz w:val="18"/>
              </w:rPr>
            </w:pPr>
            <w:r>
              <w:rPr>
                <w:sz w:val="18"/>
              </w:rPr>
              <w:t>Balances as above</w:t>
            </w:r>
          </w:p>
        </w:tc>
        <w:tc>
          <w:tcPr>
            <w:tcW w:w="1698" w:type="dxa"/>
            <w:tcBorders>
              <w:bottom w:val="single" w:sz="1" w:space="0" w:color="000000"/>
            </w:tcBorders>
          </w:tcPr>
          <w:p>
            <w:pPr>
              <w:pStyle w:val="TableParagraph"/>
              <w:spacing w:line="199" w:lineRule="exact"/>
              <w:ind w:right="318"/>
              <w:jc w:val="right"/>
              <w:rPr>
                <w:b/>
                <w:sz w:val="18"/>
              </w:rPr>
            </w:pPr>
            <w:r>
              <w:rPr>
                <w:b/>
                <w:w w:val="95"/>
                <w:sz w:val="18"/>
              </w:rPr>
              <w:t>221,748</w:t>
            </w:r>
          </w:p>
        </w:tc>
        <w:tc>
          <w:tcPr>
            <w:tcW w:w="1380" w:type="dxa"/>
            <w:tcBorders>
              <w:bottom w:val="single" w:sz="1" w:space="0" w:color="000000"/>
            </w:tcBorders>
          </w:tcPr>
          <w:p>
            <w:pPr>
              <w:pStyle w:val="TableParagraph"/>
              <w:spacing w:line="199" w:lineRule="exact"/>
              <w:ind w:left="320"/>
              <w:rPr>
                <w:sz w:val="18"/>
              </w:rPr>
            </w:pPr>
            <w:r>
              <w:rPr>
                <w:sz w:val="18"/>
              </w:rPr>
              <w:t>139,225</w:t>
            </w:r>
          </w:p>
        </w:tc>
        <w:tc>
          <w:tcPr>
            <w:tcW w:w="1380" w:type="dxa"/>
            <w:tcBorders>
              <w:bottom w:val="single" w:sz="1" w:space="0" w:color="000000"/>
            </w:tcBorders>
          </w:tcPr>
          <w:p>
            <w:pPr>
              <w:pStyle w:val="TableParagraph"/>
              <w:spacing w:line="199" w:lineRule="exact"/>
              <w:ind w:right="318"/>
              <w:jc w:val="right"/>
              <w:rPr>
                <w:b/>
                <w:sz w:val="18"/>
              </w:rPr>
            </w:pPr>
            <w:r>
              <w:rPr>
                <w:b/>
                <w:w w:val="95"/>
                <w:sz w:val="18"/>
              </w:rPr>
              <w:t>219,554</w:t>
            </w:r>
          </w:p>
        </w:tc>
        <w:tc>
          <w:tcPr>
            <w:tcW w:w="1062" w:type="dxa"/>
            <w:tcBorders>
              <w:bottom w:val="single" w:sz="1" w:space="0" w:color="000000"/>
            </w:tcBorders>
          </w:tcPr>
          <w:p>
            <w:pPr>
              <w:pStyle w:val="TableParagraph"/>
              <w:spacing w:line="199" w:lineRule="exact"/>
              <w:ind w:right="84"/>
              <w:jc w:val="right"/>
              <w:rPr>
                <w:sz w:val="18"/>
              </w:rPr>
            </w:pPr>
            <w:r>
              <w:rPr>
                <w:w w:val="95"/>
                <w:sz w:val="18"/>
              </w:rPr>
              <w:t>136,397</w:t>
            </w:r>
          </w:p>
        </w:tc>
      </w:tr>
      <w:tr>
        <w:trPr>
          <w:trHeight w:val="559" w:hRule="exact"/>
        </w:trPr>
        <w:tc>
          <w:tcPr>
            <w:tcW w:w="429" w:type="dxa"/>
            <w:vMerge/>
          </w:tcPr>
          <w:p>
            <w:pPr/>
          </w:p>
        </w:tc>
        <w:tc>
          <w:tcPr>
            <w:tcW w:w="3597" w:type="dxa"/>
          </w:tcPr>
          <w:p>
            <w:pPr>
              <w:pStyle w:val="TableParagraph"/>
              <w:spacing w:before="125"/>
              <w:ind w:left="177" w:right="799"/>
              <w:rPr>
                <w:b/>
                <w:sz w:val="18"/>
              </w:rPr>
            </w:pPr>
            <w:r>
              <w:rPr>
                <w:b/>
                <w:sz w:val="18"/>
              </w:rPr>
              <w:t>Balance per statement of cash flows</w:t>
            </w:r>
          </w:p>
        </w:tc>
        <w:tc>
          <w:tcPr>
            <w:tcW w:w="1698" w:type="dxa"/>
            <w:tcBorders>
              <w:top w:val="single" w:sz="1" w:space="0" w:color="000000"/>
              <w:bottom w:val="single" w:sz="1" w:space="0" w:color="000000"/>
            </w:tcBorders>
          </w:tcPr>
          <w:p>
            <w:pPr>
              <w:pStyle w:val="TableParagraph"/>
              <w:rPr>
                <w:sz w:val="18"/>
              </w:rPr>
            </w:pPr>
          </w:p>
          <w:p>
            <w:pPr>
              <w:pStyle w:val="TableParagraph"/>
              <w:spacing w:before="123"/>
              <w:ind w:right="318"/>
              <w:jc w:val="right"/>
              <w:rPr>
                <w:b/>
                <w:sz w:val="18"/>
              </w:rPr>
            </w:pPr>
            <w:r>
              <w:rPr>
                <w:b/>
                <w:w w:val="95"/>
                <w:sz w:val="18"/>
              </w:rPr>
              <w:t>221,748</w:t>
            </w:r>
          </w:p>
        </w:tc>
        <w:tc>
          <w:tcPr>
            <w:tcW w:w="1380" w:type="dxa"/>
            <w:tcBorders>
              <w:top w:val="single" w:sz="1" w:space="0" w:color="000000"/>
              <w:bottom w:val="single" w:sz="1" w:space="0" w:color="000000"/>
            </w:tcBorders>
          </w:tcPr>
          <w:p>
            <w:pPr>
              <w:pStyle w:val="TableParagraph"/>
              <w:rPr>
                <w:sz w:val="18"/>
              </w:rPr>
            </w:pPr>
          </w:p>
          <w:p>
            <w:pPr>
              <w:pStyle w:val="TableParagraph"/>
              <w:spacing w:before="123"/>
              <w:ind w:left="320"/>
              <w:rPr>
                <w:sz w:val="18"/>
              </w:rPr>
            </w:pPr>
            <w:r>
              <w:rPr>
                <w:sz w:val="18"/>
              </w:rPr>
              <w:t>139,225</w:t>
            </w:r>
          </w:p>
        </w:tc>
        <w:tc>
          <w:tcPr>
            <w:tcW w:w="1380" w:type="dxa"/>
            <w:tcBorders>
              <w:top w:val="single" w:sz="1" w:space="0" w:color="000000"/>
              <w:bottom w:val="single" w:sz="1" w:space="0" w:color="000000"/>
            </w:tcBorders>
          </w:tcPr>
          <w:p>
            <w:pPr>
              <w:pStyle w:val="TableParagraph"/>
              <w:rPr>
                <w:sz w:val="18"/>
              </w:rPr>
            </w:pPr>
          </w:p>
          <w:p>
            <w:pPr>
              <w:pStyle w:val="TableParagraph"/>
              <w:spacing w:before="123"/>
              <w:ind w:right="318"/>
              <w:jc w:val="right"/>
              <w:rPr>
                <w:b/>
                <w:sz w:val="18"/>
              </w:rPr>
            </w:pPr>
            <w:r>
              <w:rPr>
                <w:b/>
                <w:w w:val="95"/>
                <w:sz w:val="18"/>
              </w:rPr>
              <w:t>219,554</w:t>
            </w:r>
          </w:p>
        </w:tc>
        <w:tc>
          <w:tcPr>
            <w:tcW w:w="1062" w:type="dxa"/>
            <w:tcBorders>
              <w:top w:val="single" w:sz="1" w:space="0" w:color="000000"/>
              <w:bottom w:val="single" w:sz="1" w:space="0" w:color="000000"/>
            </w:tcBorders>
          </w:tcPr>
          <w:p>
            <w:pPr>
              <w:pStyle w:val="TableParagraph"/>
              <w:rPr>
                <w:sz w:val="18"/>
              </w:rPr>
            </w:pPr>
          </w:p>
          <w:p>
            <w:pPr>
              <w:pStyle w:val="TableParagraph"/>
              <w:spacing w:before="123"/>
              <w:ind w:right="84"/>
              <w:jc w:val="right"/>
              <w:rPr>
                <w:sz w:val="18"/>
              </w:rPr>
            </w:pPr>
            <w:r>
              <w:rPr>
                <w:w w:val="95"/>
                <w:sz w:val="18"/>
              </w:rPr>
              <w:t>136,397</w:t>
            </w:r>
          </w:p>
        </w:tc>
      </w:tr>
      <w:tr>
        <w:trPr>
          <w:trHeight w:val="637" w:hRule="exact"/>
        </w:trPr>
        <w:tc>
          <w:tcPr>
            <w:tcW w:w="429" w:type="dxa"/>
          </w:tcPr>
          <w:p>
            <w:pPr>
              <w:pStyle w:val="TableParagraph"/>
              <w:rPr>
                <w:sz w:val="18"/>
              </w:rPr>
            </w:pPr>
          </w:p>
          <w:p>
            <w:pPr>
              <w:pStyle w:val="TableParagraph"/>
              <w:spacing w:before="127"/>
              <w:ind w:left="35"/>
              <w:rPr>
                <w:sz w:val="18"/>
              </w:rPr>
            </w:pPr>
            <w:bookmarkStart w:name="(c) Short term deposits" w:id="87"/>
            <w:bookmarkEnd w:id="87"/>
            <w:r>
              <w:rPr/>
            </w:r>
            <w:r>
              <w:rPr>
                <w:sz w:val="18"/>
              </w:rPr>
              <w:t>(b)</w:t>
            </w:r>
          </w:p>
        </w:tc>
        <w:tc>
          <w:tcPr>
            <w:tcW w:w="3597" w:type="dxa"/>
          </w:tcPr>
          <w:p>
            <w:pPr>
              <w:pStyle w:val="TableParagraph"/>
              <w:rPr>
                <w:sz w:val="18"/>
              </w:rPr>
            </w:pPr>
          </w:p>
          <w:p>
            <w:pPr>
              <w:pStyle w:val="TableParagraph"/>
              <w:spacing w:before="127"/>
              <w:ind w:left="172" w:right="799"/>
              <w:rPr>
                <w:sz w:val="18"/>
              </w:rPr>
            </w:pPr>
            <w:r>
              <w:rPr>
                <w:sz w:val="18"/>
              </w:rPr>
              <w:t>Cash at bank and on hand</w:t>
            </w:r>
          </w:p>
        </w:tc>
        <w:tc>
          <w:tcPr>
            <w:tcW w:w="1698"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62" w:type="dxa"/>
            <w:tcBorders>
              <w:top w:val="single" w:sz="1" w:space="0" w:color="000000"/>
            </w:tcBorders>
          </w:tcPr>
          <w:p>
            <w:pPr/>
          </w:p>
        </w:tc>
      </w:tr>
    </w:tbl>
    <w:p>
      <w:pPr>
        <w:pStyle w:val="BodyText"/>
        <w:spacing w:before="4"/>
        <w:rPr>
          <w:sz w:val="10"/>
        </w:rPr>
      </w:pPr>
    </w:p>
    <w:p>
      <w:pPr>
        <w:pStyle w:val="BodyText"/>
        <w:spacing w:before="77"/>
        <w:ind w:left="1070" w:right="220"/>
      </w:pPr>
      <w:r>
        <w:rPr/>
        <w:t>The average interest rate during 2017 on bank accounts included in cash at bank and on hand was 2.05% (2016: 2.11%).</w:t>
      </w:r>
    </w:p>
    <w:p>
      <w:pPr>
        <w:pStyle w:val="BodyText"/>
        <w:spacing w:before="7"/>
        <w:rPr>
          <w:sz w:val="26"/>
        </w:rPr>
      </w:pPr>
    </w:p>
    <w:p>
      <w:pPr>
        <w:pStyle w:val="BodyText"/>
        <w:tabs>
          <w:tab w:pos="1070" w:val="left" w:leader="none"/>
        </w:tabs>
        <w:ind w:left="504" w:right="220"/>
      </w:pPr>
      <w:r>
        <w:rPr/>
        <w:t>(c)</w:t>
        <w:tab/>
        <w:t>Short term</w:t>
      </w:r>
      <w:r>
        <w:rPr>
          <w:spacing w:val="1"/>
        </w:rPr>
        <w:t> </w:t>
      </w:r>
      <w:r>
        <w:rPr/>
        <w:t>deposits</w:t>
      </w:r>
    </w:p>
    <w:p>
      <w:pPr>
        <w:pStyle w:val="BodyText"/>
        <w:spacing w:before="4"/>
        <w:rPr>
          <w:sz w:val="25"/>
        </w:rPr>
      </w:pPr>
    </w:p>
    <w:p>
      <w:pPr>
        <w:pStyle w:val="BodyText"/>
        <w:ind w:left="1070" w:right="220"/>
      </w:pPr>
      <w:r>
        <w:rPr/>
        <w:t>The deposits are at fixed interest rates ranging between 2.20% and 2.60%.</w:t>
      </w:r>
    </w:p>
    <w:p>
      <w:pPr>
        <w:spacing w:after="0"/>
        <w:sectPr>
          <w:type w:val="continuous"/>
          <w:pgSz w:w="11910" w:h="16840"/>
          <w:pgMar w:top="1580" w:bottom="280" w:left="900" w:right="880"/>
        </w:sectPr>
      </w:pPr>
    </w:p>
    <w:p>
      <w:pPr>
        <w:pStyle w:val="BodyText"/>
        <w:rPr>
          <w:sz w:val="20"/>
        </w:rPr>
      </w:pPr>
    </w:p>
    <w:p>
      <w:pPr>
        <w:pStyle w:val="BodyText"/>
        <w:rPr>
          <w:sz w:val="20"/>
        </w:rPr>
      </w:pPr>
    </w:p>
    <w:p>
      <w:pPr>
        <w:pStyle w:val="BodyText"/>
        <w:spacing w:before="9"/>
        <w:rPr>
          <w:sz w:val="1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3399"/>
        <w:gridCol w:w="684"/>
        <w:gridCol w:w="1666"/>
        <w:gridCol w:w="1387"/>
        <w:gridCol w:w="1498"/>
        <w:gridCol w:w="970"/>
      </w:tblGrid>
      <w:tr>
        <w:trPr>
          <w:trHeight w:val="567" w:hRule="exact"/>
        </w:trPr>
        <w:tc>
          <w:tcPr>
            <w:tcW w:w="333" w:type="dxa"/>
          </w:tcPr>
          <w:p>
            <w:pPr>
              <w:pStyle w:val="TableParagraph"/>
              <w:spacing w:before="77"/>
              <w:ind w:left="35"/>
              <w:rPr>
                <w:b/>
                <w:sz w:val="18"/>
              </w:rPr>
            </w:pPr>
            <w:bookmarkStart w:name="18 Receivables " w:id="88"/>
            <w:bookmarkEnd w:id="88"/>
            <w:r>
              <w:rPr/>
            </w:r>
            <w:r>
              <w:rPr>
                <w:b/>
                <w:sz w:val="18"/>
              </w:rPr>
              <w:t>18</w:t>
            </w:r>
          </w:p>
        </w:tc>
        <w:tc>
          <w:tcPr>
            <w:tcW w:w="3399" w:type="dxa"/>
          </w:tcPr>
          <w:p>
            <w:pPr>
              <w:pStyle w:val="TableParagraph"/>
              <w:spacing w:before="77"/>
              <w:ind w:left="96"/>
              <w:rPr>
                <w:b/>
                <w:sz w:val="18"/>
              </w:rPr>
            </w:pPr>
            <w:r>
              <w:rPr>
                <w:b/>
                <w:sz w:val="18"/>
              </w:rPr>
              <w:t>Receivables</w:t>
            </w:r>
          </w:p>
        </w:tc>
        <w:tc>
          <w:tcPr>
            <w:tcW w:w="684" w:type="dxa"/>
          </w:tcPr>
          <w:p>
            <w:pPr/>
          </w:p>
        </w:tc>
        <w:tc>
          <w:tcPr>
            <w:tcW w:w="3053" w:type="dxa"/>
            <w:gridSpan w:val="2"/>
          </w:tcPr>
          <w:p>
            <w:pPr>
              <w:pStyle w:val="TableParagraph"/>
              <w:rPr>
                <w:sz w:val="18"/>
              </w:rPr>
            </w:pPr>
          </w:p>
          <w:p>
            <w:pPr>
              <w:pStyle w:val="TableParagraph"/>
              <w:spacing w:before="110"/>
              <w:ind w:left="832"/>
              <w:rPr>
                <w:b/>
                <w:sz w:val="18"/>
              </w:rPr>
            </w:pPr>
            <w:r>
              <w:rPr>
                <w:b/>
                <w:sz w:val="18"/>
              </w:rPr>
              <w:t>Consolidated</w:t>
            </w:r>
          </w:p>
        </w:tc>
        <w:tc>
          <w:tcPr>
            <w:tcW w:w="1498" w:type="dxa"/>
          </w:tcPr>
          <w:p>
            <w:pPr>
              <w:pStyle w:val="TableParagraph"/>
              <w:rPr>
                <w:sz w:val="18"/>
              </w:rPr>
            </w:pPr>
          </w:p>
          <w:p>
            <w:pPr>
              <w:pStyle w:val="TableParagraph"/>
              <w:spacing w:before="110"/>
              <w:ind w:left="830"/>
              <w:rPr>
                <w:b/>
                <w:sz w:val="18"/>
              </w:rPr>
            </w:pPr>
            <w:r>
              <w:rPr>
                <w:b/>
                <w:sz w:val="18"/>
              </w:rPr>
              <w:t>Parent</w:t>
            </w:r>
          </w:p>
        </w:tc>
        <w:tc>
          <w:tcPr>
            <w:tcW w:w="970" w:type="dxa"/>
          </w:tcPr>
          <w:p>
            <w:pPr/>
          </w:p>
        </w:tc>
      </w:tr>
      <w:tr>
        <w:trPr>
          <w:trHeight w:val="274" w:hRule="exact"/>
        </w:trPr>
        <w:tc>
          <w:tcPr>
            <w:tcW w:w="333" w:type="dxa"/>
          </w:tcPr>
          <w:p>
            <w:pPr/>
          </w:p>
        </w:tc>
        <w:tc>
          <w:tcPr>
            <w:tcW w:w="3399" w:type="dxa"/>
          </w:tcPr>
          <w:p>
            <w:pPr/>
          </w:p>
        </w:tc>
        <w:tc>
          <w:tcPr>
            <w:tcW w:w="684" w:type="dxa"/>
          </w:tcPr>
          <w:p>
            <w:pPr/>
          </w:p>
        </w:tc>
        <w:tc>
          <w:tcPr>
            <w:tcW w:w="1666" w:type="dxa"/>
          </w:tcPr>
          <w:p>
            <w:pPr>
              <w:pStyle w:val="TableParagraph"/>
              <w:spacing w:before="24"/>
              <w:ind w:left="636"/>
              <w:rPr>
                <w:b/>
                <w:sz w:val="18"/>
              </w:rPr>
            </w:pPr>
            <w:r>
              <w:rPr>
                <w:b/>
                <w:sz w:val="18"/>
              </w:rPr>
              <w:t>2017</w:t>
            </w:r>
          </w:p>
        </w:tc>
        <w:tc>
          <w:tcPr>
            <w:tcW w:w="1387" w:type="dxa"/>
          </w:tcPr>
          <w:p>
            <w:pPr>
              <w:pStyle w:val="TableParagraph"/>
              <w:spacing w:before="24"/>
              <w:ind w:left="251"/>
              <w:rPr>
                <w:b/>
                <w:sz w:val="18"/>
              </w:rPr>
            </w:pPr>
            <w:r>
              <w:rPr>
                <w:b/>
                <w:sz w:val="18"/>
              </w:rPr>
              <w:t>2016</w:t>
            </w:r>
          </w:p>
        </w:tc>
        <w:tc>
          <w:tcPr>
            <w:tcW w:w="1498" w:type="dxa"/>
          </w:tcPr>
          <w:p>
            <w:pPr>
              <w:pStyle w:val="TableParagraph"/>
              <w:spacing w:before="24"/>
              <w:ind w:left="343"/>
              <w:rPr>
                <w:b/>
                <w:sz w:val="18"/>
              </w:rPr>
            </w:pPr>
            <w:r>
              <w:rPr>
                <w:b/>
                <w:sz w:val="18"/>
              </w:rPr>
              <w:t>2017</w:t>
            </w:r>
          </w:p>
        </w:tc>
        <w:tc>
          <w:tcPr>
            <w:tcW w:w="970" w:type="dxa"/>
          </w:tcPr>
          <w:p>
            <w:pPr>
              <w:pStyle w:val="TableParagraph"/>
              <w:spacing w:before="24"/>
              <w:ind w:left="127"/>
              <w:rPr>
                <w:b/>
                <w:sz w:val="18"/>
              </w:rPr>
            </w:pPr>
            <w:r>
              <w:rPr>
                <w:b/>
                <w:sz w:val="18"/>
              </w:rPr>
              <w:t>2016</w:t>
            </w:r>
          </w:p>
        </w:tc>
      </w:tr>
      <w:tr>
        <w:trPr>
          <w:trHeight w:val="313" w:hRule="exact"/>
        </w:trPr>
        <w:tc>
          <w:tcPr>
            <w:tcW w:w="333" w:type="dxa"/>
          </w:tcPr>
          <w:p>
            <w:pPr/>
          </w:p>
        </w:tc>
        <w:tc>
          <w:tcPr>
            <w:tcW w:w="3399" w:type="dxa"/>
          </w:tcPr>
          <w:p>
            <w:pPr/>
          </w:p>
        </w:tc>
        <w:tc>
          <w:tcPr>
            <w:tcW w:w="684" w:type="dxa"/>
          </w:tcPr>
          <w:p>
            <w:pPr>
              <w:pStyle w:val="TableParagraph"/>
              <w:spacing w:before="24"/>
              <w:ind w:left="153"/>
              <w:rPr>
                <w:b/>
                <w:sz w:val="18"/>
              </w:rPr>
            </w:pPr>
            <w:r>
              <w:rPr>
                <w:b/>
                <w:sz w:val="18"/>
              </w:rPr>
              <w:t>Notes</w:t>
            </w:r>
          </w:p>
        </w:tc>
        <w:tc>
          <w:tcPr>
            <w:tcW w:w="1666" w:type="dxa"/>
          </w:tcPr>
          <w:p>
            <w:pPr>
              <w:pStyle w:val="TableParagraph"/>
              <w:spacing w:before="24"/>
              <w:ind w:left="614"/>
              <w:rPr>
                <w:b/>
                <w:sz w:val="18"/>
              </w:rPr>
            </w:pPr>
            <w:r>
              <w:rPr>
                <w:b/>
                <w:sz w:val="18"/>
              </w:rPr>
              <w:t>$'000</w:t>
            </w:r>
          </w:p>
        </w:tc>
        <w:tc>
          <w:tcPr>
            <w:tcW w:w="1387" w:type="dxa"/>
          </w:tcPr>
          <w:p>
            <w:pPr>
              <w:pStyle w:val="TableParagraph"/>
              <w:spacing w:before="24"/>
              <w:ind w:left="230"/>
              <w:rPr>
                <w:b/>
                <w:sz w:val="18"/>
              </w:rPr>
            </w:pPr>
            <w:r>
              <w:rPr>
                <w:b/>
                <w:sz w:val="18"/>
              </w:rPr>
              <w:t>$'000</w:t>
            </w:r>
          </w:p>
        </w:tc>
        <w:tc>
          <w:tcPr>
            <w:tcW w:w="1498" w:type="dxa"/>
          </w:tcPr>
          <w:p>
            <w:pPr>
              <w:pStyle w:val="TableParagraph"/>
              <w:spacing w:before="24"/>
              <w:ind w:left="321"/>
              <w:rPr>
                <w:b/>
                <w:sz w:val="18"/>
              </w:rPr>
            </w:pPr>
            <w:r>
              <w:rPr>
                <w:b/>
                <w:sz w:val="18"/>
              </w:rPr>
              <w:t>$'000</w:t>
            </w:r>
          </w:p>
        </w:tc>
        <w:tc>
          <w:tcPr>
            <w:tcW w:w="970" w:type="dxa"/>
          </w:tcPr>
          <w:p>
            <w:pPr>
              <w:pStyle w:val="TableParagraph"/>
              <w:spacing w:before="24"/>
              <w:ind w:left="105"/>
              <w:rPr>
                <w:b/>
                <w:sz w:val="18"/>
              </w:rPr>
            </w:pPr>
            <w:r>
              <w:rPr>
                <w:b/>
                <w:sz w:val="18"/>
              </w:rPr>
              <w:t>$'000</w:t>
            </w:r>
          </w:p>
        </w:tc>
      </w:tr>
      <w:tr>
        <w:trPr>
          <w:trHeight w:val="293" w:hRule="exact"/>
        </w:trPr>
        <w:tc>
          <w:tcPr>
            <w:tcW w:w="333" w:type="dxa"/>
          </w:tcPr>
          <w:p>
            <w:pPr/>
          </w:p>
        </w:tc>
        <w:tc>
          <w:tcPr>
            <w:tcW w:w="3399" w:type="dxa"/>
          </w:tcPr>
          <w:p>
            <w:pPr>
              <w:pStyle w:val="TableParagraph"/>
              <w:spacing w:before="63"/>
              <w:ind w:left="139"/>
              <w:rPr>
                <w:b/>
                <w:sz w:val="18"/>
              </w:rPr>
            </w:pPr>
            <w:r>
              <w:rPr>
                <w:b/>
                <w:sz w:val="18"/>
              </w:rPr>
              <w:t>Current</w:t>
            </w:r>
          </w:p>
        </w:tc>
        <w:tc>
          <w:tcPr>
            <w:tcW w:w="684" w:type="dxa"/>
          </w:tcPr>
          <w:p>
            <w:pPr/>
          </w:p>
        </w:tc>
        <w:tc>
          <w:tcPr>
            <w:tcW w:w="1666" w:type="dxa"/>
          </w:tcPr>
          <w:p>
            <w:pPr/>
          </w:p>
        </w:tc>
        <w:tc>
          <w:tcPr>
            <w:tcW w:w="1387" w:type="dxa"/>
          </w:tcPr>
          <w:p>
            <w:pPr/>
          </w:p>
        </w:tc>
        <w:tc>
          <w:tcPr>
            <w:tcW w:w="1498" w:type="dxa"/>
          </w:tcPr>
          <w:p>
            <w:pPr/>
          </w:p>
        </w:tc>
        <w:tc>
          <w:tcPr>
            <w:tcW w:w="970" w:type="dxa"/>
          </w:tcPr>
          <w:p>
            <w:pPr/>
          </w:p>
        </w:tc>
      </w:tr>
      <w:tr>
        <w:trPr>
          <w:trHeight w:val="250" w:hRule="exact"/>
        </w:trPr>
        <w:tc>
          <w:tcPr>
            <w:tcW w:w="333" w:type="dxa"/>
          </w:tcPr>
          <w:p>
            <w:pPr/>
          </w:p>
        </w:tc>
        <w:tc>
          <w:tcPr>
            <w:tcW w:w="3399" w:type="dxa"/>
          </w:tcPr>
          <w:p>
            <w:pPr>
              <w:pStyle w:val="TableParagraph"/>
              <w:spacing w:before="3"/>
              <w:ind w:left="139"/>
              <w:rPr>
                <w:sz w:val="18"/>
              </w:rPr>
            </w:pPr>
            <w:r>
              <w:rPr>
                <w:sz w:val="18"/>
              </w:rPr>
              <w:t>Student fees</w:t>
            </w:r>
          </w:p>
        </w:tc>
        <w:tc>
          <w:tcPr>
            <w:tcW w:w="684" w:type="dxa"/>
          </w:tcPr>
          <w:p>
            <w:pPr/>
          </w:p>
        </w:tc>
        <w:tc>
          <w:tcPr>
            <w:tcW w:w="1666" w:type="dxa"/>
          </w:tcPr>
          <w:p>
            <w:pPr>
              <w:pStyle w:val="TableParagraph"/>
              <w:spacing w:before="6"/>
              <w:ind w:right="288"/>
              <w:jc w:val="right"/>
              <w:rPr>
                <w:b/>
                <w:sz w:val="18"/>
              </w:rPr>
            </w:pPr>
            <w:r>
              <w:rPr>
                <w:b/>
                <w:w w:val="95"/>
                <w:sz w:val="18"/>
              </w:rPr>
              <w:t>4,496</w:t>
            </w:r>
          </w:p>
        </w:tc>
        <w:tc>
          <w:tcPr>
            <w:tcW w:w="1387" w:type="dxa"/>
          </w:tcPr>
          <w:p>
            <w:pPr>
              <w:pStyle w:val="TableParagraph"/>
              <w:spacing w:before="6"/>
              <w:ind w:left="551"/>
              <w:rPr>
                <w:sz w:val="18"/>
              </w:rPr>
            </w:pPr>
            <w:r>
              <w:rPr>
                <w:sz w:val="18"/>
              </w:rPr>
              <w:t>2,326</w:t>
            </w:r>
          </w:p>
        </w:tc>
        <w:tc>
          <w:tcPr>
            <w:tcW w:w="1498" w:type="dxa"/>
          </w:tcPr>
          <w:p>
            <w:pPr>
              <w:pStyle w:val="TableParagraph"/>
              <w:spacing w:before="6"/>
              <w:ind w:left="628"/>
              <w:rPr>
                <w:b/>
                <w:sz w:val="18"/>
              </w:rPr>
            </w:pPr>
            <w:r>
              <w:rPr>
                <w:b/>
                <w:sz w:val="18"/>
              </w:rPr>
              <w:t>4,345</w:t>
            </w:r>
          </w:p>
        </w:tc>
        <w:tc>
          <w:tcPr>
            <w:tcW w:w="970" w:type="dxa"/>
          </w:tcPr>
          <w:p>
            <w:pPr>
              <w:pStyle w:val="TableParagraph"/>
              <w:spacing w:before="6"/>
              <w:ind w:right="87"/>
              <w:jc w:val="right"/>
              <w:rPr>
                <w:sz w:val="18"/>
              </w:rPr>
            </w:pPr>
            <w:r>
              <w:rPr>
                <w:w w:val="95"/>
                <w:sz w:val="18"/>
              </w:rPr>
              <w:t>2,186</w:t>
            </w:r>
          </w:p>
        </w:tc>
      </w:tr>
      <w:tr>
        <w:trPr>
          <w:trHeight w:val="264" w:hRule="exact"/>
        </w:trPr>
        <w:tc>
          <w:tcPr>
            <w:tcW w:w="333" w:type="dxa"/>
          </w:tcPr>
          <w:p>
            <w:pPr/>
          </w:p>
        </w:tc>
        <w:tc>
          <w:tcPr>
            <w:tcW w:w="3399" w:type="dxa"/>
          </w:tcPr>
          <w:p>
            <w:pPr>
              <w:pStyle w:val="TableParagraph"/>
              <w:spacing w:before="18"/>
              <w:ind w:left="139"/>
              <w:rPr>
                <w:sz w:val="18"/>
              </w:rPr>
            </w:pPr>
            <w:r>
              <w:rPr>
                <w:sz w:val="18"/>
              </w:rPr>
              <w:t>Trade receivables</w:t>
            </w:r>
          </w:p>
        </w:tc>
        <w:tc>
          <w:tcPr>
            <w:tcW w:w="684" w:type="dxa"/>
          </w:tcPr>
          <w:p>
            <w:pPr/>
          </w:p>
        </w:tc>
        <w:tc>
          <w:tcPr>
            <w:tcW w:w="1666" w:type="dxa"/>
          </w:tcPr>
          <w:p>
            <w:pPr>
              <w:pStyle w:val="TableParagraph"/>
              <w:spacing w:before="20"/>
              <w:ind w:right="288"/>
              <w:jc w:val="right"/>
              <w:rPr>
                <w:b/>
                <w:sz w:val="18"/>
              </w:rPr>
            </w:pPr>
            <w:r>
              <w:rPr>
                <w:b/>
                <w:w w:val="95"/>
                <w:sz w:val="18"/>
              </w:rPr>
              <w:t>22,330</w:t>
            </w:r>
          </w:p>
        </w:tc>
        <w:tc>
          <w:tcPr>
            <w:tcW w:w="1387" w:type="dxa"/>
          </w:tcPr>
          <w:p>
            <w:pPr>
              <w:pStyle w:val="TableParagraph"/>
              <w:spacing w:before="20"/>
              <w:ind w:left="451"/>
              <w:rPr>
                <w:sz w:val="18"/>
              </w:rPr>
            </w:pPr>
            <w:r>
              <w:rPr>
                <w:sz w:val="18"/>
              </w:rPr>
              <w:t>21,494</w:t>
            </w:r>
          </w:p>
        </w:tc>
        <w:tc>
          <w:tcPr>
            <w:tcW w:w="1498" w:type="dxa"/>
          </w:tcPr>
          <w:p>
            <w:pPr>
              <w:pStyle w:val="TableParagraph"/>
              <w:spacing w:before="20"/>
              <w:ind w:left="527"/>
              <w:rPr>
                <w:b/>
                <w:sz w:val="18"/>
              </w:rPr>
            </w:pPr>
            <w:r>
              <w:rPr>
                <w:b/>
                <w:sz w:val="18"/>
              </w:rPr>
              <w:t>20,845</w:t>
            </w:r>
          </w:p>
        </w:tc>
        <w:tc>
          <w:tcPr>
            <w:tcW w:w="970" w:type="dxa"/>
          </w:tcPr>
          <w:p>
            <w:pPr>
              <w:pStyle w:val="TableParagraph"/>
              <w:spacing w:before="20"/>
              <w:ind w:left="326"/>
              <w:rPr>
                <w:sz w:val="18"/>
              </w:rPr>
            </w:pPr>
            <w:r>
              <w:rPr>
                <w:sz w:val="18"/>
              </w:rPr>
              <w:t>24,284</w:t>
            </w:r>
          </w:p>
        </w:tc>
      </w:tr>
      <w:tr>
        <w:trPr>
          <w:trHeight w:val="262" w:hRule="exact"/>
        </w:trPr>
        <w:tc>
          <w:tcPr>
            <w:tcW w:w="333" w:type="dxa"/>
          </w:tcPr>
          <w:p>
            <w:pPr/>
          </w:p>
        </w:tc>
        <w:tc>
          <w:tcPr>
            <w:tcW w:w="3399" w:type="dxa"/>
          </w:tcPr>
          <w:p>
            <w:pPr>
              <w:pStyle w:val="TableParagraph"/>
              <w:spacing w:before="18"/>
              <w:ind w:left="139"/>
              <w:rPr>
                <w:sz w:val="18"/>
              </w:rPr>
            </w:pPr>
            <w:r>
              <w:rPr>
                <w:sz w:val="18"/>
              </w:rPr>
              <w:t>Less Provision for impaired receivables</w:t>
            </w:r>
          </w:p>
        </w:tc>
        <w:tc>
          <w:tcPr>
            <w:tcW w:w="684" w:type="dxa"/>
          </w:tcPr>
          <w:p>
            <w:pPr/>
          </w:p>
        </w:tc>
        <w:tc>
          <w:tcPr>
            <w:tcW w:w="1666" w:type="dxa"/>
            <w:tcBorders>
              <w:bottom w:val="single" w:sz="1" w:space="0" w:color="000000"/>
            </w:tcBorders>
          </w:tcPr>
          <w:p>
            <w:pPr>
              <w:pStyle w:val="TableParagraph"/>
              <w:spacing w:before="20"/>
              <w:ind w:right="228"/>
              <w:jc w:val="right"/>
              <w:rPr>
                <w:b/>
                <w:sz w:val="18"/>
              </w:rPr>
            </w:pPr>
            <w:r>
              <w:rPr>
                <w:b/>
                <w:w w:val="95"/>
                <w:sz w:val="18"/>
              </w:rPr>
              <w:t>(770)</w:t>
            </w:r>
          </w:p>
        </w:tc>
        <w:tc>
          <w:tcPr>
            <w:tcW w:w="1387" w:type="dxa"/>
            <w:tcBorders>
              <w:bottom w:val="single" w:sz="1" w:space="0" w:color="000000"/>
            </w:tcBorders>
          </w:tcPr>
          <w:p>
            <w:pPr>
              <w:pStyle w:val="TableParagraph"/>
              <w:spacing w:before="20"/>
              <w:ind w:left="643"/>
              <w:rPr>
                <w:sz w:val="18"/>
              </w:rPr>
            </w:pPr>
            <w:r>
              <w:rPr>
                <w:sz w:val="18"/>
              </w:rPr>
              <w:t>(618)</w:t>
            </w:r>
          </w:p>
        </w:tc>
        <w:tc>
          <w:tcPr>
            <w:tcW w:w="1498" w:type="dxa"/>
            <w:tcBorders>
              <w:bottom w:val="single" w:sz="1" w:space="0" w:color="000000"/>
            </w:tcBorders>
          </w:tcPr>
          <w:p>
            <w:pPr>
              <w:pStyle w:val="TableParagraph"/>
              <w:spacing w:before="20"/>
              <w:ind w:left="719"/>
              <w:rPr>
                <w:b/>
                <w:sz w:val="18"/>
              </w:rPr>
            </w:pPr>
            <w:r>
              <w:rPr>
                <w:b/>
                <w:sz w:val="18"/>
              </w:rPr>
              <w:t>(738)</w:t>
            </w:r>
          </w:p>
        </w:tc>
        <w:tc>
          <w:tcPr>
            <w:tcW w:w="970" w:type="dxa"/>
            <w:tcBorders>
              <w:bottom w:val="single" w:sz="1" w:space="0" w:color="000000"/>
            </w:tcBorders>
          </w:tcPr>
          <w:p>
            <w:pPr>
              <w:pStyle w:val="TableParagraph"/>
              <w:spacing w:before="20"/>
              <w:ind w:right="26"/>
              <w:jc w:val="right"/>
              <w:rPr>
                <w:sz w:val="18"/>
              </w:rPr>
            </w:pPr>
            <w:r>
              <w:rPr>
                <w:sz w:val="18"/>
              </w:rPr>
              <w:t>(586)</w:t>
            </w:r>
          </w:p>
        </w:tc>
      </w:tr>
      <w:tr>
        <w:trPr>
          <w:trHeight w:val="355" w:hRule="exact"/>
        </w:trPr>
        <w:tc>
          <w:tcPr>
            <w:tcW w:w="333" w:type="dxa"/>
          </w:tcPr>
          <w:p>
            <w:pPr/>
          </w:p>
        </w:tc>
        <w:tc>
          <w:tcPr>
            <w:tcW w:w="3399" w:type="dxa"/>
          </w:tcPr>
          <w:p>
            <w:pPr/>
          </w:p>
        </w:tc>
        <w:tc>
          <w:tcPr>
            <w:tcW w:w="684" w:type="dxa"/>
          </w:tcPr>
          <w:p>
            <w:pPr/>
          </w:p>
        </w:tc>
        <w:tc>
          <w:tcPr>
            <w:tcW w:w="1666" w:type="dxa"/>
            <w:tcBorders>
              <w:top w:val="single" w:sz="1" w:space="0" w:color="000000"/>
            </w:tcBorders>
          </w:tcPr>
          <w:p>
            <w:pPr>
              <w:pStyle w:val="TableParagraph"/>
              <w:spacing w:before="124"/>
              <w:ind w:right="288"/>
              <w:jc w:val="right"/>
              <w:rPr>
                <w:b/>
                <w:sz w:val="18"/>
              </w:rPr>
            </w:pPr>
            <w:r>
              <w:rPr>
                <w:b/>
                <w:w w:val="95"/>
                <w:sz w:val="18"/>
              </w:rPr>
              <w:t>26,056</w:t>
            </w:r>
          </w:p>
        </w:tc>
        <w:tc>
          <w:tcPr>
            <w:tcW w:w="1387" w:type="dxa"/>
            <w:tcBorders>
              <w:top w:val="single" w:sz="1" w:space="0" w:color="000000"/>
            </w:tcBorders>
          </w:tcPr>
          <w:p>
            <w:pPr>
              <w:pStyle w:val="TableParagraph"/>
              <w:spacing w:before="124"/>
              <w:ind w:left="451"/>
              <w:rPr>
                <w:sz w:val="18"/>
              </w:rPr>
            </w:pPr>
            <w:r>
              <w:rPr>
                <w:sz w:val="18"/>
              </w:rPr>
              <w:t>23,202</w:t>
            </w:r>
          </w:p>
        </w:tc>
        <w:tc>
          <w:tcPr>
            <w:tcW w:w="1498" w:type="dxa"/>
            <w:tcBorders>
              <w:top w:val="single" w:sz="1" w:space="0" w:color="000000"/>
            </w:tcBorders>
          </w:tcPr>
          <w:p>
            <w:pPr>
              <w:pStyle w:val="TableParagraph"/>
              <w:spacing w:before="124"/>
              <w:ind w:left="527"/>
              <w:rPr>
                <w:b/>
                <w:sz w:val="18"/>
              </w:rPr>
            </w:pPr>
            <w:r>
              <w:rPr>
                <w:b/>
                <w:sz w:val="18"/>
              </w:rPr>
              <w:t>24,452</w:t>
            </w:r>
          </w:p>
        </w:tc>
        <w:tc>
          <w:tcPr>
            <w:tcW w:w="970" w:type="dxa"/>
            <w:tcBorders>
              <w:top w:val="single" w:sz="1" w:space="0" w:color="000000"/>
            </w:tcBorders>
          </w:tcPr>
          <w:p>
            <w:pPr>
              <w:pStyle w:val="TableParagraph"/>
              <w:spacing w:before="124"/>
              <w:ind w:left="326"/>
              <w:rPr>
                <w:sz w:val="18"/>
              </w:rPr>
            </w:pPr>
            <w:r>
              <w:rPr>
                <w:sz w:val="18"/>
              </w:rPr>
              <w:t>25,884</w:t>
            </w:r>
          </w:p>
        </w:tc>
      </w:tr>
      <w:tr>
        <w:trPr>
          <w:trHeight w:val="250" w:hRule="exact"/>
        </w:trPr>
        <w:tc>
          <w:tcPr>
            <w:tcW w:w="333" w:type="dxa"/>
          </w:tcPr>
          <w:p>
            <w:pPr/>
          </w:p>
        </w:tc>
        <w:tc>
          <w:tcPr>
            <w:tcW w:w="3399" w:type="dxa"/>
          </w:tcPr>
          <w:p>
            <w:pPr>
              <w:pStyle w:val="TableParagraph"/>
              <w:spacing w:before="3"/>
              <w:ind w:left="139"/>
              <w:rPr>
                <w:sz w:val="18"/>
              </w:rPr>
            </w:pPr>
            <w:r>
              <w:rPr>
                <w:sz w:val="18"/>
              </w:rPr>
              <w:t>Other</w:t>
            </w:r>
          </w:p>
        </w:tc>
        <w:tc>
          <w:tcPr>
            <w:tcW w:w="684" w:type="dxa"/>
          </w:tcPr>
          <w:p>
            <w:pPr/>
          </w:p>
        </w:tc>
        <w:tc>
          <w:tcPr>
            <w:tcW w:w="1666" w:type="dxa"/>
          </w:tcPr>
          <w:p>
            <w:pPr>
              <w:pStyle w:val="TableParagraph"/>
              <w:spacing w:before="6"/>
              <w:ind w:right="288"/>
              <w:jc w:val="right"/>
              <w:rPr>
                <w:b/>
                <w:sz w:val="18"/>
              </w:rPr>
            </w:pPr>
            <w:r>
              <w:rPr>
                <w:b/>
                <w:w w:val="95"/>
                <w:sz w:val="18"/>
              </w:rPr>
              <w:t>8,357</w:t>
            </w:r>
          </w:p>
        </w:tc>
        <w:tc>
          <w:tcPr>
            <w:tcW w:w="1387" w:type="dxa"/>
          </w:tcPr>
          <w:p>
            <w:pPr>
              <w:pStyle w:val="TableParagraph"/>
              <w:spacing w:before="6"/>
              <w:ind w:left="451"/>
              <w:rPr>
                <w:sz w:val="18"/>
              </w:rPr>
            </w:pPr>
            <w:r>
              <w:rPr>
                <w:sz w:val="18"/>
              </w:rPr>
              <w:t>14,624</w:t>
            </w:r>
          </w:p>
        </w:tc>
        <w:tc>
          <w:tcPr>
            <w:tcW w:w="1498" w:type="dxa"/>
          </w:tcPr>
          <w:p>
            <w:pPr>
              <w:pStyle w:val="TableParagraph"/>
              <w:spacing w:before="6"/>
              <w:ind w:left="628"/>
              <w:rPr>
                <w:b/>
                <w:sz w:val="18"/>
              </w:rPr>
            </w:pPr>
            <w:r>
              <w:rPr>
                <w:b/>
                <w:sz w:val="18"/>
              </w:rPr>
              <w:t>8,357</w:t>
            </w:r>
          </w:p>
        </w:tc>
        <w:tc>
          <w:tcPr>
            <w:tcW w:w="970" w:type="dxa"/>
          </w:tcPr>
          <w:p>
            <w:pPr>
              <w:pStyle w:val="TableParagraph"/>
              <w:spacing w:before="6"/>
              <w:ind w:left="326"/>
              <w:rPr>
                <w:sz w:val="18"/>
              </w:rPr>
            </w:pPr>
            <w:r>
              <w:rPr>
                <w:sz w:val="18"/>
              </w:rPr>
              <w:t>14,624</w:t>
            </w:r>
          </w:p>
        </w:tc>
      </w:tr>
      <w:tr>
        <w:trPr>
          <w:trHeight w:val="262" w:hRule="exact"/>
        </w:trPr>
        <w:tc>
          <w:tcPr>
            <w:tcW w:w="333" w:type="dxa"/>
          </w:tcPr>
          <w:p>
            <w:pPr/>
          </w:p>
        </w:tc>
        <w:tc>
          <w:tcPr>
            <w:tcW w:w="3399" w:type="dxa"/>
          </w:tcPr>
          <w:p>
            <w:pPr>
              <w:pStyle w:val="TableParagraph"/>
              <w:spacing w:before="18"/>
              <w:ind w:left="139"/>
              <w:rPr>
                <w:sz w:val="18"/>
              </w:rPr>
            </w:pPr>
            <w:r>
              <w:rPr>
                <w:sz w:val="18"/>
              </w:rPr>
              <w:t>Prepayments</w:t>
            </w:r>
          </w:p>
        </w:tc>
        <w:tc>
          <w:tcPr>
            <w:tcW w:w="684" w:type="dxa"/>
          </w:tcPr>
          <w:p>
            <w:pPr/>
          </w:p>
        </w:tc>
        <w:tc>
          <w:tcPr>
            <w:tcW w:w="1666" w:type="dxa"/>
            <w:tcBorders>
              <w:bottom w:val="single" w:sz="1" w:space="0" w:color="000000"/>
            </w:tcBorders>
          </w:tcPr>
          <w:p>
            <w:pPr>
              <w:pStyle w:val="TableParagraph"/>
              <w:spacing w:before="20"/>
              <w:ind w:right="288"/>
              <w:jc w:val="right"/>
              <w:rPr>
                <w:b/>
                <w:sz w:val="18"/>
              </w:rPr>
            </w:pPr>
            <w:r>
              <w:rPr>
                <w:b/>
                <w:w w:val="95"/>
                <w:sz w:val="18"/>
              </w:rPr>
              <w:t>21,656</w:t>
            </w:r>
          </w:p>
        </w:tc>
        <w:tc>
          <w:tcPr>
            <w:tcW w:w="1387" w:type="dxa"/>
            <w:tcBorders>
              <w:bottom w:val="single" w:sz="1" w:space="0" w:color="000000"/>
            </w:tcBorders>
          </w:tcPr>
          <w:p>
            <w:pPr>
              <w:pStyle w:val="TableParagraph"/>
              <w:spacing w:before="20"/>
              <w:ind w:left="451"/>
              <w:rPr>
                <w:sz w:val="18"/>
              </w:rPr>
            </w:pPr>
            <w:r>
              <w:rPr>
                <w:sz w:val="18"/>
              </w:rPr>
              <w:t>23,699</w:t>
            </w:r>
          </w:p>
        </w:tc>
        <w:tc>
          <w:tcPr>
            <w:tcW w:w="1498" w:type="dxa"/>
            <w:tcBorders>
              <w:bottom w:val="single" w:sz="1" w:space="0" w:color="000000"/>
            </w:tcBorders>
          </w:tcPr>
          <w:p>
            <w:pPr>
              <w:pStyle w:val="TableParagraph"/>
              <w:spacing w:before="20"/>
              <w:ind w:left="527"/>
              <w:rPr>
                <w:b/>
                <w:sz w:val="18"/>
              </w:rPr>
            </w:pPr>
            <w:r>
              <w:rPr>
                <w:b/>
                <w:sz w:val="18"/>
              </w:rPr>
              <w:t>21,586</w:t>
            </w:r>
          </w:p>
        </w:tc>
        <w:tc>
          <w:tcPr>
            <w:tcW w:w="970" w:type="dxa"/>
            <w:tcBorders>
              <w:bottom w:val="single" w:sz="1" w:space="0" w:color="000000"/>
            </w:tcBorders>
          </w:tcPr>
          <w:p>
            <w:pPr>
              <w:pStyle w:val="TableParagraph"/>
              <w:spacing w:before="20"/>
              <w:ind w:left="326"/>
              <w:rPr>
                <w:sz w:val="18"/>
              </w:rPr>
            </w:pPr>
            <w:r>
              <w:rPr>
                <w:sz w:val="18"/>
              </w:rPr>
              <w:t>23,643</w:t>
            </w:r>
          </w:p>
        </w:tc>
      </w:tr>
      <w:tr>
        <w:trPr>
          <w:trHeight w:val="338" w:hRule="exact"/>
        </w:trPr>
        <w:tc>
          <w:tcPr>
            <w:tcW w:w="333" w:type="dxa"/>
          </w:tcPr>
          <w:p>
            <w:pPr/>
          </w:p>
        </w:tc>
        <w:tc>
          <w:tcPr>
            <w:tcW w:w="3399" w:type="dxa"/>
          </w:tcPr>
          <w:p>
            <w:pPr>
              <w:pStyle w:val="TableParagraph"/>
              <w:spacing w:before="125"/>
              <w:ind w:left="139"/>
              <w:rPr>
                <w:b/>
                <w:sz w:val="18"/>
              </w:rPr>
            </w:pPr>
            <w:r>
              <w:rPr>
                <w:b/>
                <w:sz w:val="18"/>
              </w:rPr>
              <w:t>Total current receivables</w:t>
            </w:r>
          </w:p>
        </w:tc>
        <w:tc>
          <w:tcPr>
            <w:tcW w:w="684" w:type="dxa"/>
          </w:tcPr>
          <w:p>
            <w:pPr/>
          </w:p>
        </w:tc>
        <w:tc>
          <w:tcPr>
            <w:tcW w:w="1666" w:type="dxa"/>
            <w:tcBorders>
              <w:top w:val="single" w:sz="1" w:space="0" w:color="000000"/>
              <w:bottom w:val="single" w:sz="1" w:space="0" w:color="000000"/>
            </w:tcBorders>
          </w:tcPr>
          <w:p>
            <w:pPr>
              <w:pStyle w:val="TableParagraph"/>
              <w:spacing w:before="124"/>
              <w:ind w:right="288"/>
              <w:jc w:val="right"/>
              <w:rPr>
                <w:b/>
                <w:sz w:val="18"/>
              </w:rPr>
            </w:pPr>
            <w:r>
              <w:rPr>
                <w:b/>
                <w:w w:val="95"/>
                <w:sz w:val="18"/>
              </w:rPr>
              <w:t>56,069</w:t>
            </w:r>
          </w:p>
        </w:tc>
        <w:tc>
          <w:tcPr>
            <w:tcW w:w="1387" w:type="dxa"/>
            <w:tcBorders>
              <w:top w:val="single" w:sz="1" w:space="0" w:color="000000"/>
              <w:bottom w:val="single" w:sz="1" w:space="0" w:color="000000"/>
            </w:tcBorders>
          </w:tcPr>
          <w:p>
            <w:pPr>
              <w:pStyle w:val="TableParagraph"/>
              <w:spacing w:before="124"/>
              <w:ind w:left="451"/>
              <w:rPr>
                <w:sz w:val="18"/>
              </w:rPr>
            </w:pPr>
            <w:r>
              <w:rPr>
                <w:sz w:val="18"/>
              </w:rPr>
              <w:t>61,525</w:t>
            </w:r>
          </w:p>
        </w:tc>
        <w:tc>
          <w:tcPr>
            <w:tcW w:w="1498" w:type="dxa"/>
            <w:tcBorders>
              <w:top w:val="single" w:sz="1" w:space="0" w:color="000000"/>
              <w:bottom w:val="single" w:sz="1" w:space="0" w:color="000000"/>
            </w:tcBorders>
          </w:tcPr>
          <w:p>
            <w:pPr>
              <w:pStyle w:val="TableParagraph"/>
              <w:spacing w:before="124"/>
              <w:ind w:left="527"/>
              <w:rPr>
                <w:b/>
                <w:sz w:val="18"/>
              </w:rPr>
            </w:pPr>
            <w:r>
              <w:rPr>
                <w:b/>
                <w:sz w:val="18"/>
              </w:rPr>
              <w:t>54,395</w:t>
            </w:r>
          </w:p>
        </w:tc>
        <w:tc>
          <w:tcPr>
            <w:tcW w:w="970" w:type="dxa"/>
            <w:tcBorders>
              <w:top w:val="single" w:sz="1" w:space="0" w:color="000000"/>
              <w:bottom w:val="single" w:sz="1" w:space="0" w:color="000000"/>
            </w:tcBorders>
          </w:tcPr>
          <w:p>
            <w:pPr>
              <w:pStyle w:val="TableParagraph"/>
              <w:spacing w:before="124"/>
              <w:ind w:left="326"/>
              <w:rPr>
                <w:sz w:val="18"/>
              </w:rPr>
            </w:pPr>
            <w:r>
              <w:rPr>
                <w:sz w:val="18"/>
              </w:rPr>
              <w:t>64,151</w:t>
            </w:r>
          </w:p>
        </w:tc>
      </w:tr>
      <w:tr>
        <w:trPr>
          <w:trHeight w:val="355" w:hRule="exact"/>
        </w:trPr>
        <w:tc>
          <w:tcPr>
            <w:tcW w:w="333" w:type="dxa"/>
          </w:tcPr>
          <w:p>
            <w:pPr/>
          </w:p>
        </w:tc>
        <w:tc>
          <w:tcPr>
            <w:tcW w:w="3399" w:type="dxa"/>
          </w:tcPr>
          <w:p>
            <w:pPr>
              <w:pStyle w:val="TableParagraph"/>
              <w:spacing w:before="125"/>
              <w:ind w:left="96"/>
              <w:rPr>
                <w:b/>
                <w:sz w:val="18"/>
              </w:rPr>
            </w:pPr>
            <w:r>
              <w:rPr>
                <w:b/>
                <w:sz w:val="18"/>
              </w:rPr>
              <w:t>Non-current</w:t>
            </w:r>
          </w:p>
        </w:tc>
        <w:tc>
          <w:tcPr>
            <w:tcW w:w="684" w:type="dxa"/>
          </w:tcPr>
          <w:p>
            <w:pPr/>
          </w:p>
        </w:tc>
        <w:tc>
          <w:tcPr>
            <w:tcW w:w="1666" w:type="dxa"/>
            <w:tcBorders>
              <w:top w:val="single" w:sz="1" w:space="0" w:color="000000"/>
            </w:tcBorders>
          </w:tcPr>
          <w:p>
            <w:pPr/>
          </w:p>
        </w:tc>
        <w:tc>
          <w:tcPr>
            <w:tcW w:w="1387" w:type="dxa"/>
            <w:tcBorders>
              <w:top w:val="single" w:sz="1" w:space="0" w:color="000000"/>
            </w:tcBorders>
          </w:tcPr>
          <w:p>
            <w:pPr/>
          </w:p>
        </w:tc>
        <w:tc>
          <w:tcPr>
            <w:tcW w:w="1498" w:type="dxa"/>
            <w:tcBorders>
              <w:top w:val="single" w:sz="1" w:space="0" w:color="000000"/>
            </w:tcBorders>
          </w:tcPr>
          <w:p>
            <w:pPr/>
          </w:p>
        </w:tc>
        <w:tc>
          <w:tcPr>
            <w:tcW w:w="970" w:type="dxa"/>
            <w:tcBorders>
              <w:top w:val="single" w:sz="1" w:space="0" w:color="000000"/>
            </w:tcBorders>
          </w:tcPr>
          <w:p>
            <w:pPr/>
          </w:p>
        </w:tc>
      </w:tr>
      <w:tr>
        <w:trPr>
          <w:trHeight w:val="452" w:hRule="exact"/>
        </w:trPr>
        <w:tc>
          <w:tcPr>
            <w:tcW w:w="333" w:type="dxa"/>
          </w:tcPr>
          <w:p>
            <w:pPr/>
          </w:p>
        </w:tc>
        <w:tc>
          <w:tcPr>
            <w:tcW w:w="3399" w:type="dxa"/>
          </w:tcPr>
          <w:p>
            <w:pPr>
              <w:pStyle w:val="TableParagraph"/>
              <w:spacing w:before="3"/>
              <w:ind w:left="96" w:right="731"/>
              <w:rPr>
                <w:sz w:val="18"/>
              </w:rPr>
            </w:pPr>
            <w:r>
              <w:rPr>
                <w:sz w:val="18"/>
              </w:rPr>
              <w:t>Deferred government benefit for superannuation</w:t>
            </w:r>
          </w:p>
        </w:tc>
        <w:tc>
          <w:tcPr>
            <w:tcW w:w="684" w:type="dxa"/>
          </w:tcPr>
          <w:p>
            <w:pPr>
              <w:pStyle w:val="TableParagraph"/>
              <w:spacing w:before="3"/>
              <w:ind w:left="107"/>
              <w:rPr>
                <w:sz w:val="18"/>
              </w:rPr>
            </w:pPr>
            <w:r>
              <w:rPr>
                <w:sz w:val="18"/>
              </w:rPr>
              <w:t>41</w:t>
            </w:r>
          </w:p>
        </w:tc>
        <w:tc>
          <w:tcPr>
            <w:tcW w:w="1666" w:type="dxa"/>
          </w:tcPr>
          <w:p>
            <w:pPr>
              <w:pStyle w:val="TableParagraph"/>
              <w:spacing w:before="6"/>
              <w:ind w:right="288"/>
              <w:jc w:val="right"/>
              <w:rPr>
                <w:b/>
                <w:sz w:val="18"/>
              </w:rPr>
            </w:pPr>
            <w:r>
              <w:rPr>
                <w:b/>
                <w:w w:val="95"/>
                <w:sz w:val="18"/>
              </w:rPr>
              <w:t>345,703</w:t>
            </w:r>
          </w:p>
        </w:tc>
        <w:tc>
          <w:tcPr>
            <w:tcW w:w="1387" w:type="dxa"/>
          </w:tcPr>
          <w:p>
            <w:pPr>
              <w:pStyle w:val="TableParagraph"/>
              <w:spacing w:before="6"/>
              <w:ind w:left="352"/>
              <w:rPr>
                <w:sz w:val="18"/>
              </w:rPr>
            </w:pPr>
            <w:r>
              <w:rPr>
                <w:sz w:val="18"/>
              </w:rPr>
              <w:t>332,281</w:t>
            </w:r>
          </w:p>
        </w:tc>
        <w:tc>
          <w:tcPr>
            <w:tcW w:w="1498" w:type="dxa"/>
          </w:tcPr>
          <w:p>
            <w:pPr>
              <w:pStyle w:val="TableParagraph"/>
              <w:spacing w:before="6"/>
              <w:ind w:left="427"/>
              <w:rPr>
                <w:b/>
                <w:sz w:val="18"/>
              </w:rPr>
            </w:pPr>
            <w:r>
              <w:rPr>
                <w:b/>
                <w:sz w:val="18"/>
              </w:rPr>
              <w:t>345,703</w:t>
            </w:r>
          </w:p>
        </w:tc>
        <w:tc>
          <w:tcPr>
            <w:tcW w:w="970" w:type="dxa"/>
          </w:tcPr>
          <w:p>
            <w:pPr>
              <w:pStyle w:val="TableParagraph"/>
              <w:spacing w:before="6"/>
              <w:ind w:left="227"/>
              <w:rPr>
                <w:sz w:val="18"/>
              </w:rPr>
            </w:pPr>
            <w:r>
              <w:rPr>
                <w:sz w:val="18"/>
              </w:rPr>
              <w:t>332,281</w:t>
            </w:r>
          </w:p>
        </w:tc>
      </w:tr>
      <w:tr>
        <w:trPr>
          <w:trHeight w:val="263" w:hRule="exact"/>
        </w:trPr>
        <w:tc>
          <w:tcPr>
            <w:tcW w:w="333" w:type="dxa"/>
          </w:tcPr>
          <w:p>
            <w:pPr/>
          </w:p>
        </w:tc>
        <w:tc>
          <w:tcPr>
            <w:tcW w:w="3399" w:type="dxa"/>
          </w:tcPr>
          <w:p>
            <w:pPr>
              <w:pStyle w:val="TableParagraph"/>
              <w:spacing w:before="16"/>
              <w:ind w:left="96"/>
              <w:rPr>
                <w:sz w:val="18"/>
              </w:rPr>
            </w:pPr>
            <w:bookmarkStart w:name="(a) Impaired receivables" w:id="89"/>
            <w:bookmarkEnd w:id="89"/>
            <w:r>
              <w:rPr/>
            </w:r>
            <w:r>
              <w:rPr>
                <w:sz w:val="18"/>
              </w:rPr>
              <w:t>Finance lease receivables</w:t>
            </w:r>
          </w:p>
        </w:tc>
        <w:tc>
          <w:tcPr>
            <w:tcW w:w="684" w:type="dxa"/>
          </w:tcPr>
          <w:p>
            <w:pPr>
              <w:pStyle w:val="TableParagraph"/>
              <w:spacing w:before="16"/>
              <w:ind w:left="107"/>
              <w:rPr>
                <w:sz w:val="18"/>
              </w:rPr>
            </w:pPr>
            <w:r>
              <w:rPr>
                <w:sz w:val="18"/>
              </w:rPr>
              <w:t>18(c)</w:t>
            </w:r>
          </w:p>
        </w:tc>
        <w:tc>
          <w:tcPr>
            <w:tcW w:w="1666" w:type="dxa"/>
          </w:tcPr>
          <w:p>
            <w:pPr>
              <w:pStyle w:val="TableParagraph"/>
              <w:spacing w:before="19"/>
              <w:ind w:right="288"/>
              <w:jc w:val="right"/>
              <w:rPr>
                <w:b/>
                <w:sz w:val="18"/>
              </w:rPr>
            </w:pPr>
            <w:r>
              <w:rPr>
                <w:b/>
                <w:w w:val="95"/>
                <w:sz w:val="18"/>
              </w:rPr>
              <w:t>18,115</w:t>
            </w:r>
          </w:p>
        </w:tc>
        <w:tc>
          <w:tcPr>
            <w:tcW w:w="1387" w:type="dxa"/>
          </w:tcPr>
          <w:p>
            <w:pPr>
              <w:pStyle w:val="TableParagraph"/>
              <w:spacing w:before="19"/>
              <w:ind w:left="453"/>
              <w:rPr>
                <w:sz w:val="18"/>
              </w:rPr>
            </w:pPr>
            <w:r>
              <w:rPr>
                <w:sz w:val="18"/>
              </w:rPr>
              <w:t>17,673</w:t>
            </w:r>
          </w:p>
        </w:tc>
        <w:tc>
          <w:tcPr>
            <w:tcW w:w="1498" w:type="dxa"/>
          </w:tcPr>
          <w:p>
            <w:pPr>
              <w:pStyle w:val="TableParagraph"/>
              <w:spacing w:before="19"/>
              <w:ind w:left="527"/>
              <w:rPr>
                <w:b/>
                <w:sz w:val="18"/>
              </w:rPr>
            </w:pPr>
            <w:r>
              <w:rPr>
                <w:b/>
                <w:sz w:val="18"/>
              </w:rPr>
              <w:t>18,115</w:t>
            </w:r>
          </w:p>
        </w:tc>
        <w:tc>
          <w:tcPr>
            <w:tcW w:w="970" w:type="dxa"/>
          </w:tcPr>
          <w:p>
            <w:pPr>
              <w:pStyle w:val="TableParagraph"/>
              <w:spacing w:before="19"/>
              <w:ind w:left="328"/>
              <w:rPr>
                <w:sz w:val="18"/>
              </w:rPr>
            </w:pPr>
            <w:r>
              <w:rPr>
                <w:sz w:val="18"/>
              </w:rPr>
              <w:t>17,673</w:t>
            </w:r>
          </w:p>
        </w:tc>
      </w:tr>
      <w:tr>
        <w:trPr>
          <w:trHeight w:val="262" w:hRule="exact"/>
        </w:trPr>
        <w:tc>
          <w:tcPr>
            <w:tcW w:w="333" w:type="dxa"/>
          </w:tcPr>
          <w:p>
            <w:pPr/>
          </w:p>
        </w:tc>
        <w:tc>
          <w:tcPr>
            <w:tcW w:w="3399" w:type="dxa"/>
          </w:tcPr>
          <w:p>
            <w:pPr>
              <w:pStyle w:val="TableParagraph"/>
              <w:spacing w:before="18"/>
              <w:ind w:left="96"/>
              <w:rPr>
                <w:sz w:val="18"/>
              </w:rPr>
            </w:pPr>
            <w:r>
              <w:rPr>
                <w:sz w:val="18"/>
              </w:rPr>
              <w:t>Prepayments</w:t>
            </w:r>
          </w:p>
        </w:tc>
        <w:tc>
          <w:tcPr>
            <w:tcW w:w="684" w:type="dxa"/>
          </w:tcPr>
          <w:p>
            <w:pPr/>
          </w:p>
        </w:tc>
        <w:tc>
          <w:tcPr>
            <w:tcW w:w="1666" w:type="dxa"/>
            <w:tcBorders>
              <w:bottom w:val="single" w:sz="1" w:space="0" w:color="000000"/>
            </w:tcBorders>
          </w:tcPr>
          <w:p>
            <w:pPr>
              <w:pStyle w:val="TableParagraph"/>
              <w:spacing w:before="20"/>
              <w:ind w:right="288"/>
              <w:jc w:val="right"/>
              <w:rPr>
                <w:b/>
                <w:sz w:val="18"/>
              </w:rPr>
            </w:pPr>
            <w:r>
              <w:rPr>
                <w:b/>
                <w:w w:val="95"/>
                <w:sz w:val="18"/>
              </w:rPr>
              <w:t>24,227</w:t>
            </w:r>
          </w:p>
        </w:tc>
        <w:tc>
          <w:tcPr>
            <w:tcW w:w="1387" w:type="dxa"/>
            <w:tcBorders>
              <w:bottom w:val="single" w:sz="1" w:space="0" w:color="000000"/>
            </w:tcBorders>
          </w:tcPr>
          <w:p>
            <w:pPr>
              <w:pStyle w:val="TableParagraph"/>
              <w:spacing w:before="20"/>
              <w:ind w:left="554"/>
              <w:rPr>
                <w:sz w:val="18"/>
              </w:rPr>
            </w:pPr>
            <w:r>
              <w:rPr>
                <w:sz w:val="18"/>
              </w:rPr>
              <w:t>3,391</w:t>
            </w:r>
          </w:p>
        </w:tc>
        <w:tc>
          <w:tcPr>
            <w:tcW w:w="1498" w:type="dxa"/>
            <w:tcBorders>
              <w:bottom w:val="single" w:sz="1" w:space="0" w:color="000000"/>
            </w:tcBorders>
          </w:tcPr>
          <w:p>
            <w:pPr>
              <w:pStyle w:val="TableParagraph"/>
              <w:spacing w:before="20"/>
              <w:ind w:left="527"/>
              <w:rPr>
                <w:b/>
                <w:sz w:val="18"/>
              </w:rPr>
            </w:pPr>
            <w:r>
              <w:rPr>
                <w:b/>
                <w:sz w:val="18"/>
              </w:rPr>
              <w:t>24,227</w:t>
            </w:r>
          </w:p>
        </w:tc>
        <w:tc>
          <w:tcPr>
            <w:tcW w:w="970" w:type="dxa"/>
            <w:tcBorders>
              <w:bottom w:val="single" w:sz="1" w:space="0" w:color="000000"/>
            </w:tcBorders>
          </w:tcPr>
          <w:p>
            <w:pPr>
              <w:pStyle w:val="TableParagraph"/>
              <w:spacing w:before="20"/>
              <w:ind w:right="84"/>
              <w:jc w:val="right"/>
              <w:rPr>
                <w:sz w:val="18"/>
              </w:rPr>
            </w:pPr>
            <w:r>
              <w:rPr>
                <w:w w:val="95"/>
                <w:sz w:val="18"/>
              </w:rPr>
              <w:t>3,391</w:t>
            </w:r>
          </w:p>
        </w:tc>
      </w:tr>
      <w:tr>
        <w:trPr>
          <w:trHeight w:val="338" w:hRule="exact"/>
        </w:trPr>
        <w:tc>
          <w:tcPr>
            <w:tcW w:w="333" w:type="dxa"/>
          </w:tcPr>
          <w:p>
            <w:pPr/>
          </w:p>
        </w:tc>
        <w:tc>
          <w:tcPr>
            <w:tcW w:w="3399" w:type="dxa"/>
          </w:tcPr>
          <w:p>
            <w:pPr>
              <w:pStyle w:val="TableParagraph"/>
              <w:spacing w:before="125"/>
              <w:ind w:left="96"/>
              <w:rPr>
                <w:b/>
                <w:sz w:val="18"/>
              </w:rPr>
            </w:pPr>
            <w:r>
              <w:rPr>
                <w:b/>
                <w:sz w:val="18"/>
              </w:rPr>
              <w:t>Total non-current receivables</w:t>
            </w:r>
          </w:p>
        </w:tc>
        <w:tc>
          <w:tcPr>
            <w:tcW w:w="684" w:type="dxa"/>
          </w:tcPr>
          <w:p>
            <w:pPr/>
          </w:p>
        </w:tc>
        <w:tc>
          <w:tcPr>
            <w:tcW w:w="1666" w:type="dxa"/>
            <w:tcBorders>
              <w:top w:val="single" w:sz="1" w:space="0" w:color="000000"/>
              <w:bottom w:val="single" w:sz="1" w:space="0" w:color="000000"/>
            </w:tcBorders>
          </w:tcPr>
          <w:p>
            <w:pPr>
              <w:pStyle w:val="TableParagraph"/>
              <w:spacing w:before="124"/>
              <w:ind w:right="288"/>
              <w:jc w:val="right"/>
              <w:rPr>
                <w:b/>
                <w:sz w:val="18"/>
              </w:rPr>
            </w:pPr>
            <w:r>
              <w:rPr>
                <w:b/>
                <w:w w:val="95"/>
                <w:sz w:val="18"/>
              </w:rPr>
              <w:t>388,045</w:t>
            </w:r>
          </w:p>
        </w:tc>
        <w:tc>
          <w:tcPr>
            <w:tcW w:w="1387" w:type="dxa"/>
            <w:tcBorders>
              <w:top w:val="single" w:sz="1" w:space="0" w:color="000000"/>
              <w:bottom w:val="single" w:sz="1" w:space="0" w:color="000000"/>
            </w:tcBorders>
          </w:tcPr>
          <w:p>
            <w:pPr>
              <w:pStyle w:val="TableParagraph"/>
              <w:spacing w:before="124"/>
              <w:ind w:left="352"/>
              <w:rPr>
                <w:sz w:val="18"/>
              </w:rPr>
            </w:pPr>
            <w:r>
              <w:rPr>
                <w:sz w:val="18"/>
              </w:rPr>
              <w:t>353,345</w:t>
            </w:r>
          </w:p>
        </w:tc>
        <w:tc>
          <w:tcPr>
            <w:tcW w:w="1498" w:type="dxa"/>
            <w:tcBorders>
              <w:top w:val="single" w:sz="1" w:space="0" w:color="000000"/>
              <w:bottom w:val="single" w:sz="1" w:space="0" w:color="000000"/>
            </w:tcBorders>
          </w:tcPr>
          <w:p>
            <w:pPr>
              <w:pStyle w:val="TableParagraph"/>
              <w:spacing w:before="124"/>
              <w:ind w:left="427"/>
              <w:rPr>
                <w:b/>
                <w:sz w:val="18"/>
              </w:rPr>
            </w:pPr>
            <w:r>
              <w:rPr>
                <w:b/>
                <w:sz w:val="18"/>
              </w:rPr>
              <w:t>388,045</w:t>
            </w:r>
          </w:p>
        </w:tc>
        <w:tc>
          <w:tcPr>
            <w:tcW w:w="970" w:type="dxa"/>
            <w:tcBorders>
              <w:top w:val="single" w:sz="1" w:space="0" w:color="000000"/>
              <w:bottom w:val="single" w:sz="1" w:space="0" w:color="000000"/>
            </w:tcBorders>
          </w:tcPr>
          <w:p>
            <w:pPr>
              <w:pStyle w:val="TableParagraph"/>
              <w:spacing w:before="124"/>
              <w:ind w:left="227"/>
              <w:rPr>
                <w:sz w:val="18"/>
              </w:rPr>
            </w:pPr>
            <w:r>
              <w:rPr>
                <w:sz w:val="18"/>
              </w:rPr>
              <w:t>353,345</w:t>
            </w:r>
          </w:p>
        </w:tc>
      </w:tr>
      <w:tr>
        <w:trPr>
          <w:trHeight w:val="298" w:hRule="exact"/>
        </w:trPr>
        <w:tc>
          <w:tcPr>
            <w:tcW w:w="333" w:type="dxa"/>
          </w:tcPr>
          <w:p>
            <w:pPr/>
          </w:p>
        </w:tc>
        <w:tc>
          <w:tcPr>
            <w:tcW w:w="3399" w:type="dxa"/>
          </w:tcPr>
          <w:p>
            <w:pPr>
              <w:pStyle w:val="TableParagraph"/>
              <w:spacing w:before="43"/>
              <w:ind w:left="122"/>
              <w:rPr>
                <w:b/>
                <w:sz w:val="18"/>
              </w:rPr>
            </w:pPr>
            <w:r>
              <w:rPr>
                <w:b/>
                <w:sz w:val="18"/>
              </w:rPr>
              <w:t>Total receivables</w:t>
            </w:r>
          </w:p>
        </w:tc>
        <w:tc>
          <w:tcPr>
            <w:tcW w:w="684" w:type="dxa"/>
          </w:tcPr>
          <w:p>
            <w:pPr/>
          </w:p>
        </w:tc>
        <w:tc>
          <w:tcPr>
            <w:tcW w:w="1666" w:type="dxa"/>
            <w:tcBorders>
              <w:top w:val="single" w:sz="1" w:space="0" w:color="000000"/>
              <w:bottom w:val="single" w:sz="1" w:space="0" w:color="000000"/>
            </w:tcBorders>
          </w:tcPr>
          <w:p>
            <w:pPr>
              <w:pStyle w:val="TableParagraph"/>
              <w:spacing w:before="40"/>
              <w:ind w:right="286"/>
              <w:jc w:val="right"/>
              <w:rPr>
                <w:b/>
                <w:sz w:val="18"/>
              </w:rPr>
            </w:pPr>
            <w:r>
              <w:rPr>
                <w:b/>
                <w:w w:val="95"/>
                <w:sz w:val="18"/>
              </w:rPr>
              <w:t>444,114</w:t>
            </w:r>
          </w:p>
        </w:tc>
        <w:tc>
          <w:tcPr>
            <w:tcW w:w="1387" w:type="dxa"/>
            <w:tcBorders>
              <w:top w:val="single" w:sz="1" w:space="0" w:color="000000"/>
              <w:bottom w:val="single" w:sz="1" w:space="0" w:color="000000"/>
            </w:tcBorders>
          </w:tcPr>
          <w:p>
            <w:pPr>
              <w:pStyle w:val="TableParagraph"/>
              <w:spacing w:before="40"/>
              <w:ind w:left="355"/>
              <w:rPr>
                <w:sz w:val="18"/>
              </w:rPr>
            </w:pPr>
            <w:r>
              <w:rPr>
                <w:sz w:val="18"/>
              </w:rPr>
              <w:t>414,870</w:t>
            </w:r>
          </w:p>
        </w:tc>
        <w:tc>
          <w:tcPr>
            <w:tcW w:w="1498" w:type="dxa"/>
            <w:tcBorders>
              <w:top w:val="single" w:sz="1" w:space="0" w:color="000000"/>
              <w:bottom w:val="single" w:sz="1" w:space="0" w:color="000000"/>
            </w:tcBorders>
          </w:tcPr>
          <w:p>
            <w:pPr>
              <w:pStyle w:val="TableParagraph"/>
              <w:spacing w:before="40"/>
              <w:ind w:left="429"/>
              <w:rPr>
                <w:b/>
                <w:sz w:val="18"/>
              </w:rPr>
            </w:pPr>
            <w:r>
              <w:rPr>
                <w:b/>
                <w:sz w:val="18"/>
              </w:rPr>
              <w:t>442,440</w:t>
            </w:r>
          </w:p>
        </w:tc>
        <w:tc>
          <w:tcPr>
            <w:tcW w:w="970" w:type="dxa"/>
            <w:tcBorders>
              <w:top w:val="single" w:sz="1" w:space="0" w:color="000000"/>
              <w:bottom w:val="single" w:sz="1" w:space="0" w:color="000000"/>
            </w:tcBorders>
          </w:tcPr>
          <w:p>
            <w:pPr>
              <w:pStyle w:val="TableParagraph"/>
              <w:spacing w:before="40"/>
              <w:ind w:left="230"/>
              <w:rPr>
                <w:sz w:val="18"/>
              </w:rPr>
            </w:pPr>
            <w:r>
              <w:rPr>
                <w:sz w:val="18"/>
              </w:rPr>
              <w:t>417,496</w:t>
            </w:r>
          </w:p>
        </w:tc>
      </w:tr>
    </w:tbl>
    <w:p>
      <w:pPr>
        <w:pStyle w:val="BodyText"/>
        <w:spacing w:before="1"/>
        <w:rPr>
          <w:sz w:val="22"/>
        </w:rPr>
      </w:pPr>
    </w:p>
    <w:p>
      <w:pPr>
        <w:pStyle w:val="BodyText"/>
        <w:tabs>
          <w:tab w:pos="1110" w:val="left" w:leader="none"/>
        </w:tabs>
        <w:spacing w:before="77"/>
        <w:ind w:left="544" w:right="105"/>
      </w:pPr>
      <w:r>
        <w:rPr/>
        <w:t>(a)</w:t>
        <w:tab/>
        <w:t>Impaired receivables</w:t>
      </w:r>
    </w:p>
    <w:p>
      <w:pPr>
        <w:pStyle w:val="BodyText"/>
        <w:spacing w:before="4"/>
        <w:rPr>
          <w:sz w:val="25"/>
        </w:rPr>
      </w:pPr>
    </w:p>
    <w:p>
      <w:pPr>
        <w:pStyle w:val="BodyText"/>
        <w:ind w:left="599" w:right="105"/>
      </w:pPr>
      <w:r>
        <w:rPr/>
        <w:t>As at 31 December 2017 current receivables of the Group with a nominal value of $0.770M (2016: $0.618M) were impaired. The amount of the provision was $0.770M (2016: $0.618M). The individually impaired receivables mainly relate to individual debtors with balances aged greater than 180 days.</w:t>
      </w:r>
    </w:p>
    <w:p>
      <w:pPr>
        <w:pStyle w:val="BodyText"/>
        <w:spacing w:before="3"/>
      </w:pPr>
    </w:p>
    <w:tbl>
      <w:tblPr>
        <w:tblW w:w="0" w:type="auto"/>
        <w:jc w:val="left"/>
        <w:tblInd w:w="5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97"/>
        <w:gridCol w:w="2311"/>
        <w:gridCol w:w="731"/>
        <w:gridCol w:w="1493"/>
        <w:gridCol w:w="985"/>
      </w:tblGrid>
      <w:tr>
        <w:trPr>
          <w:trHeight w:val="567" w:hRule="exact"/>
        </w:trPr>
        <w:tc>
          <w:tcPr>
            <w:tcW w:w="3997" w:type="dxa"/>
          </w:tcPr>
          <w:p>
            <w:pPr>
              <w:pStyle w:val="TableParagraph"/>
              <w:spacing w:before="77"/>
              <w:ind w:left="63"/>
              <w:rPr>
                <w:sz w:val="18"/>
              </w:rPr>
            </w:pPr>
            <w:r>
              <w:rPr>
                <w:sz w:val="18"/>
              </w:rPr>
              <w:t>The ageing of these receivables is as follows:</w:t>
            </w:r>
          </w:p>
        </w:tc>
        <w:tc>
          <w:tcPr>
            <w:tcW w:w="2311" w:type="dxa"/>
          </w:tcPr>
          <w:p>
            <w:pPr>
              <w:pStyle w:val="TableParagraph"/>
              <w:rPr>
                <w:sz w:val="18"/>
              </w:rPr>
            </w:pPr>
          </w:p>
          <w:p>
            <w:pPr>
              <w:pStyle w:val="TableParagraph"/>
              <w:spacing w:before="110"/>
              <w:ind w:left="823"/>
              <w:rPr>
                <w:b/>
                <w:sz w:val="18"/>
              </w:rPr>
            </w:pPr>
            <w:r>
              <w:rPr>
                <w:b/>
                <w:sz w:val="18"/>
              </w:rPr>
              <w:t>Consolidated</w:t>
            </w:r>
          </w:p>
        </w:tc>
        <w:tc>
          <w:tcPr>
            <w:tcW w:w="731" w:type="dxa"/>
          </w:tcPr>
          <w:p>
            <w:pPr/>
          </w:p>
        </w:tc>
        <w:tc>
          <w:tcPr>
            <w:tcW w:w="1493" w:type="dxa"/>
          </w:tcPr>
          <w:p>
            <w:pPr>
              <w:pStyle w:val="TableParagraph"/>
              <w:rPr>
                <w:sz w:val="18"/>
              </w:rPr>
            </w:pPr>
          </w:p>
          <w:p>
            <w:pPr>
              <w:pStyle w:val="TableParagraph"/>
              <w:spacing w:before="110"/>
              <w:ind w:left="831"/>
              <w:rPr>
                <w:b/>
                <w:sz w:val="18"/>
              </w:rPr>
            </w:pPr>
            <w:r>
              <w:rPr>
                <w:b/>
                <w:sz w:val="18"/>
              </w:rPr>
              <w:t>Parent</w:t>
            </w:r>
          </w:p>
        </w:tc>
        <w:tc>
          <w:tcPr>
            <w:tcW w:w="985" w:type="dxa"/>
          </w:tcPr>
          <w:p>
            <w:pPr/>
          </w:p>
        </w:tc>
      </w:tr>
      <w:tr>
        <w:trPr>
          <w:trHeight w:val="274" w:hRule="exact"/>
        </w:trPr>
        <w:tc>
          <w:tcPr>
            <w:tcW w:w="3997" w:type="dxa"/>
          </w:tcPr>
          <w:p>
            <w:pPr/>
          </w:p>
        </w:tc>
        <w:tc>
          <w:tcPr>
            <w:tcW w:w="2311" w:type="dxa"/>
          </w:tcPr>
          <w:p>
            <w:pPr>
              <w:pStyle w:val="TableParagraph"/>
              <w:tabs>
                <w:tab w:pos="1283" w:val="left" w:leader="none"/>
              </w:tabs>
              <w:spacing w:before="24"/>
              <w:ind w:right="10"/>
              <w:jc w:val="right"/>
              <w:rPr>
                <w:b/>
                <w:sz w:val="18"/>
              </w:rPr>
            </w:pPr>
            <w:r>
              <w:rPr>
                <w:b/>
                <w:sz w:val="18"/>
              </w:rPr>
              <w:t>2017</w:t>
              <w:tab/>
            </w:r>
            <w:r>
              <w:rPr>
                <w:b/>
                <w:spacing w:val="-1"/>
                <w:sz w:val="18"/>
              </w:rPr>
              <w:t>2016</w:t>
            </w:r>
          </w:p>
        </w:tc>
        <w:tc>
          <w:tcPr>
            <w:tcW w:w="731" w:type="dxa"/>
          </w:tcPr>
          <w:p>
            <w:pPr/>
          </w:p>
        </w:tc>
        <w:tc>
          <w:tcPr>
            <w:tcW w:w="1493" w:type="dxa"/>
          </w:tcPr>
          <w:p>
            <w:pPr>
              <w:pStyle w:val="TableParagraph"/>
              <w:spacing w:before="24"/>
              <w:ind w:left="329"/>
              <w:rPr>
                <w:b/>
                <w:sz w:val="18"/>
              </w:rPr>
            </w:pPr>
            <w:r>
              <w:rPr>
                <w:b/>
                <w:sz w:val="18"/>
              </w:rPr>
              <w:t>2017</w:t>
            </w:r>
          </w:p>
        </w:tc>
        <w:tc>
          <w:tcPr>
            <w:tcW w:w="985" w:type="dxa"/>
          </w:tcPr>
          <w:p>
            <w:pPr>
              <w:pStyle w:val="TableParagraph"/>
              <w:spacing w:before="24"/>
              <w:ind w:left="121"/>
              <w:rPr>
                <w:b/>
                <w:sz w:val="18"/>
              </w:rPr>
            </w:pPr>
            <w:r>
              <w:rPr>
                <w:b/>
                <w:sz w:val="18"/>
              </w:rPr>
              <w:t>2016</w:t>
            </w:r>
          </w:p>
        </w:tc>
      </w:tr>
      <w:tr>
        <w:trPr>
          <w:trHeight w:val="271" w:hRule="exact"/>
        </w:trPr>
        <w:tc>
          <w:tcPr>
            <w:tcW w:w="3997" w:type="dxa"/>
          </w:tcPr>
          <w:p>
            <w:pPr/>
          </w:p>
        </w:tc>
        <w:tc>
          <w:tcPr>
            <w:tcW w:w="2311" w:type="dxa"/>
          </w:tcPr>
          <w:p>
            <w:pPr>
              <w:pStyle w:val="TableParagraph"/>
              <w:tabs>
                <w:tab w:pos="1283" w:val="left" w:leader="none"/>
              </w:tabs>
              <w:spacing w:before="24"/>
              <w:ind w:right="-10"/>
              <w:jc w:val="right"/>
              <w:rPr>
                <w:b/>
                <w:sz w:val="18"/>
              </w:rPr>
            </w:pPr>
            <w:r>
              <w:rPr>
                <w:b/>
                <w:sz w:val="18"/>
              </w:rPr>
              <w:t>$'000</w:t>
              <w:tab/>
            </w:r>
            <w:r>
              <w:rPr>
                <w:b/>
                <w:w w:val="95"/>
                <w:sz w:val="18"/>
              </w:rPr>
              <w:t>$'000</w:t>
            </w:r>
          </w:p>
        </w:tc>
        <w:tc>
          <w:tcPr>
            <w:tcW w:w="731" w:type="dxa"/>
          </w:tcPr>
          <w:p>
            <w:pPr/>
          </w:p>
        </w:tc>
        <w:tc>
          <w:tcPr>
            <w:tcW w:w="1493" w:type="dxa"/>
          </w:tcPr>
          <w:p>
            <w:pPr>
              <w:pStyle w:val="TableParagraph"/>
              <w:spacing w:before="24"/>
              <w:ind w:left="308"/>
              <w:rPr>
                <w:b/>
                <w:sz w:val="18"/>
              </w:rPr>
            </w:pPr>
            <w:r>
              <w:rPr>
                <w:b/>
                <w:sz w:val="18"/>
              </w:rPr>
              <w:t>$'000</w:t>
            </w:r>
          </w:p>
        </w:tc>
        <w:tc>
          <w:tcPr>
            <w:tcW w:w="985" w:type="dxa"/>
          </w:tcPr>
          <w:p>
            <w:pPr>
              <w:pStyle w:val="TableParagraph"/>
              <w:spacing w:before="24"/>
              <w:ind w:left="99"/>
              <w:rPr>
                <w:b/>
                <w:sz w:val="18"/>
              </w:rPr>
            </w:pPr>
            <w:r>
              <w:rPr>
                <w:b/>
                <w:sz w:val="18"/>
              </w:rPr>
              <w:t>$'000</w:t>
            </w:r>
          </w:p>
        </w:tc>
      </w:tr>
      <w:tr>
        <w:trPr>
          <w:trHeight w:val="268" w:hRule="exact"/>
        </w:trPr>
        <w:tc>
          <w:tcPr>
            <w:tcW w:w="3997" w:type="dxa"/>
          </w:tcPr>
          <w:p>
            <w:pPr>
              <w:pStyle w:val="TableParagraph"/>
              <w:spacing w:before="24"/>
              <w:ind w:left="35"/>
              <w:rPr>
                <w:sz w:val="18"/>
              </w:rPr>
            </w:pPr>
            <w:r>
              <w:rPr>
                <w:sz w:val="18"/>
              </w:rPr>
              <w:t>0 to 3 months</w:t>
            </w:r>
          </w:p>
        </w:tc>
        <w:tc>
          <w:tcPr>
            <w:tcW w:w="2311" w:type="dxa"/>
          </w:tcPr>
          <w:p>
            <w:pPr>
              <w:pStyle w:val="TableParagraph"/>
              <w:spacing w:before="21"/>
              <w:ind w:left="379"/>
              <w:jc w:val="center"/>
              <w:rPr>
                <w:b/>
                <w:sz w:val="18"/>
              </w:rPr>
            </w:pPr>
            <w:r>
              <w:rPr>
                <w:b/>
                <w:w w:val="99"/>
                <w:sz w:val="18"/>
              </w:rPr>
              <w:t>-</w:t>
            </w:r>
          </w:p>
        </w:tc>
        <w:tc>
          <w:tcPr>
            <w:tcW w:w="731" w:type="dxa"/>
          </w:tcPr>
          <w:p>
            <w:pPr>
              <w:pStyle w:val="TableParagraph"/>
              <w:spacing w:before="21"/>
              <w:ind w:right="64"/>
              <w:jc w:val="center"/>
              <w:rPr>
                <w:sz w:val="18"/>
              </w:rPr>
            </w:pPr>
            <w:r>
              <w:rPr>
                <w:w w:val="99"/>
                <w:sz w:val="18"/>
              </w:rPr>
              <w:t>-</w:t>
            </w:r>
          </w:p>
        </w:tc>
        <w:tc>
          <w:tcPr>
            <w:tcW w:w="1493" w:type="dxa"/>
          </w:tcPr>
          <w:p>
            <w:pPr>
              <w:pStyle w:val="TableParagraph"/>
              <w:spacing w:before="21"/>
              <w:ind w:right="397"/>
              <w:jc w:val="right"/>
              <w:rPr>
                <w:b/>
                <w:sz w:val="18"/>
              </w:rPr>
            </w:pPr>
            <w:r>
              <w:rPr>
                <w:b/>
                <w:w w:val="99"/>
                <w:sz w:val="18"/>
              </w:rPr>
              <w:t>-</w:t>
            </w:r>
          </w:p>
        </w:tc>
        <w:tc>
          <w:tcPr>
            <w:tcW w:w="985" w:type="dxa"/>
          </w:tcPr>
          <w:p>
            <w:pPr>
              <w:pStyle w:val="TableParagraph"/>
              <w:spacing w:before="21"/>
              <w:ind w:right="84"/>
              <w:jc w:val="right"/>
              <w:rPr>
                <w:sz w:val="18"/>
              </w:rPr>
            </w:pPr>
            <w:r>
              <w:rPr>
                <w:w w:val="99"/>
                <w:sz w:val="18"/>
              </w:rPr>
              <w:t>-</w:t>
            </w:r>
          </w:p>
        </w:tc>
      </w:tr>
      <w:tr>
        <w:trPr>
          <w:trHeight w:val="264" w:hRule="exact"/>
        </w:trPr>
        <w:tc>
          <w:tcPr>
            <w:tcW w:w="3997" w:type="dxa"/>
          </w:tcPr>
          <w:p>
            <w:pPr>
              <w:pStyle w:val="TableParagraph"/>
              <w:spacing w:before="20"/>
              <w:ind w:left="35"/>
              <w:rPr>
                <w:sz w:val="18"/>
              </w:rPr>
            </w:pPr>
            <w:r>
              <w:rPr>
                <w:sz w:val="18"/>
              </w:rPr>
              <w:t>3 to 6 months</w:t>
            </w:r>
          </w:p>
        </w:tc>
        <w:tc>
          <w:tcPr>
            <w:tcW w:w="2311" w:type="dxa"/>
          </w:tcPr>
          <w:p>
            <w:pPr>
              <w:pStyle w:val="TableParagraph"/>
              <w:spacing w:before="18"/>
              <w:ind w:left="379"/>
              <w:jc w:val="center"/>
              <w:rPr>
                <w:b/>
                <w:sz w:val="18"/>
              </w:rPr>
            </w:pPr>
            <w:r>
              <w:rPr>
                <w:b/>
                <w:w w:val="99"/>
                <w:sz w:val="18"/>
              </w:rPr>
              <w:t>-</w:t>
            </w:r>
          </w:p>
        </w:tc>
        <w:tc>
          <w:tcPr>
            <w:tcW w:w="731" w:type="dxa"/>
          </w:tcPr>
          <w:p>
            <w:pPr>
              <w:pStyle w:val="TableParagraph"/>
              <w:spacing w:before="18"/>
              <w:ind w:right="64"/>
              <w:jc w:val="center"/>
              <w:rPr>
                <w:sz w:val="18"/>
              </w:rPr>
            </w:pPr>
            <w:r>
              <w:rPr>
                <w:w w:val="99"/>
                <w:sz w:val="18"/>
              </w:rPr>
              <w:t>-</w:t>
            </w:r>
          </w:p>
        </w:tc>
        <w:tc>
          <w:tcPr>
            <w:tcW w:w="1493" w:type="dxa"/>
          </w:tcPr>
          <w:p>
            <w:pPr>
              <w:pStyle w:val="TableParagraph"/>
              <w:spacing w:before="18"/>
              <w:ind w:right="397"/>
              <w:jc w:val="right"/>
              <w:rPr>
                <w:b/>
                <w:sz w:val="18"/>
              </w:rPr>
            </w:pPr>
            <w:r>
              <w:rPr>
                <w:b/>
                <w:w w:val="99"/>
                <w:sz w:val="18"/>
              </w:rPr>
              <w:t>-</w:t>
            </w:r>
          </w:p>
        </w:tc>
        <w:tc>
          <w:tcPr>
            <w:tcW w:w="985" w:type="dxa"/>
          </w:tcPr>
          <w:p>
            <w:pPr>
              <w:pStyle w:val="TableParagraph"/>
              <w:spacing w:before="18"/>
              <w:ind w:right="84"/>
              <w:jc w:val="right"/>
              <w:rPr>
                <w:sz w:val="18"/>
              </w:rPr>
            </w:pPr>
            <w:r>
              <w:rPr>
                <w:w w:val="99"/>
                <w:sz w:val="18"/>
              </w:rPr>
              <w:t>-</w:t>
            </w:r>
          </w:p>
        </w:tc>
      </w:tr>
      <w:tr>
        <w:trPr>
          <w:trHeight w:val="260" w:hRule="exact"/>
        </w:trPr>
        <w:tc>
          <w:tcPr>
            <w:tcW w:w="3997" w:type="dxa"/>
          </w:tcPr>
          <w:p>
            <w:pPr>
              <w:pStyle w:val="TableParagraph"/>
              <w:spacing w:before="20"/>
              <w:ind w:left="35"/>
              <w:rPr>
                <w:sz w:val="18"/>
              </w:rPr>
            </w:pPr>
            <w:r>
              <w:rPr>
                <w:sz w:val="18"/>
              </w:rPr>
              <w:t>Over 6 months</w:t>
            </w:r>
          </w:p>
        </w:tc>
        <w:tc>
          <w:tcPr>
            <w:tcW w:w="2311" w:type="dxa"/>
            <w:tcBorders>
              <w:bottom w:val="single" w:sz="1" w:space="0" w:color="000000"/>
            </w:tcBorders>
          </w:tcPr>
          <w:p>
            <w:pPr>
              <w:pStyle w:val="TableParagraph"/>
              <w:spacing w:before="18"/>
              <w:ind w:left="994" w:right="857"/>
              <w:jc w:val="center"/>
              <w:rPr>
                <w:b/>
                <w:sz w:val="18"/>
              </w:rPr>
            </w:pPr>
            <w:r>
              <w:rPr>
                <w:b/>
                <w:sz w:val="18"/>
              </w:rPr>
              <w:t>(770)</w:t>
            </w:r>
          </w:p>
        </w:tc>
        <w:tc>
          <w:tcPr>
            <w:tcW w:w="731" w:type="dxa"/>
            <w:tcBorders>
              <w:bottom w:val="single" w:sz="1" w:space="0" w:color="000000"/>
            </w:tcBorders>
          </w:tcPr>
          <w:p>
            <w:pPr>
              <w:pStyle w:val="TableParagraph"/>
              <w:spacing w:before="18"/>
              <w:rPr>
                <w:sz w:val="18"/>
              </w:rPr>
            </w:pPr>
            <w:r>
              <w:rPr>
                <w:sz w:val="18"/>
              </w:rPr>
              <w:t>(618)</w:t>
            </w:r>
          </w:p>
        </w:tc>
        <w:tc>
          <w:tcPr>
            <w:tcW w:w="1493" w:type="dxa"/>
            <w:tcBorders>
              <w:bottom w:val="single" w:sz="1" w:space="0" w:color="000000"/>
            </w:tcBorders>
          </w:tcPr>
          <w:p>
            <w:pPr>
              <w:pStyle w:val="TableParagraph"/>
              <w:spacing w:before="18"/>
              <w:ind w:left="730"/>
              <w:rPr>
                <w:b/>
                <w:sz w:val="18"/>
              </w:rPr>
            </w:pPr>
            <w:r>
              <w:rPr>
                <w:b/>
                <w:sz w:val="18"/>
              </w:rPr>
              <w:t>(738)</w:t>
            </w:r>
          </w:p>
        </w:tc>
        <w:tc>
          <w:tcPr>
            <w:tcW w:w="985" w:type="dxa"/>
            <w:tcBorders>
              <w:bottom w:val="single" w:sz="1" w:space="0" w:color="000000"/>
            </w:tcBorders>
          </w:tcPr>
          <w:p>
            <w:pPr>
              <w:pStyle w:val="TableParagraph"/>
              <w:spacing w:before="18"/>
              <w:ind w:right="24"/>
              <w:jc w:val="right"/>
              <w:rPr>
                <w:sz w:val="18"/>
              </w:rPr>
            </w:pPr>
            <w:r>
              <w:rPr>
                <w:sz w:val="18"/>
              </w:rPr>
              <w:t>(586)</w:t>
            </w:r>
          </w:p>
        </w:tc>
      </w:tr>
      <w:tr>
        <w:trPr>
          <w:trHeight w:val="328" w:hRule="exact"/>
        </w:trPr>
        <w:tc>
          <w:tcPr>
            <w:tcW w:w="3997" w:type="dxa"/>
          </w:tcPr>
          <w:p>
            <w:pPr>
              <w:pStyle w:val="TableParagraph"/>
              <w:spacing w:before="125"/>
              <w:ind w:left="35"/>
              <w:rPr>
                <w:b/>
                <w:sz w:val="18"/>
              </w:rPr>
            </w:pPr>
            <w:r>
              <w:rPr>
                <w:b/>
                <w:sz w:val="18"/>
              </w:rPr>
              <w:t>Total current impaired</w:t>
            </w:r>
          </w:p>
        </w:tc>
        <w:tc>
          <w:tcPr>
            <w:tcW w:w="2311" w:type="dxa"/>
            <w:tcBorders>
              <w:top w:val="single" w:sz="1" w:space="0" w:color="000000"/>
            </w:tcBorders>
          </w:tcPr>
          <w:p>
            <w:pPr/>
          </w:p>
        </w:tc>
        <w:tc>
          <w:tcPr>
            <w:tcW w:w="731" w:type="dxa"/>
            <w:tcBorders>
              <w:top w:val="single" w:sz="1" w:space="0" w:color="000000"/>
            </w:tcBorders>
          </w:tcPr>
          <w:p>
            <w:pPr/>
          </w:p>
        </w:tc>
        <w:tc>
          <w:tcPr>
            <w:tcW w:w="1493" w:type="dxa"/>
            <w:tcBorders>
              <w:top w:val="single" w:sz="1" w:space="0" w:color="000000"/>
            </w:tcBorders>
          </w:tcPr>
          <w:p>
            <w:pPr/>
          </w:p>
        </w:tc>
        <w:tc>
          <w:tcPr>
            <w:tcW w:w="985" w:type="dxa"/>
            <w:tcBorders>
              <w:top w:val="single" w:sz="1" w:space="0" w:color="000000"/>
            </w:tcBorders>
          </w:tcPr>
          <w:p>
            <w:pPr/>
          </w:p>
        </w:tc>
      </w:tr>
    </w:tbl>
    <w:p>
      <w:pPr>
        <w:tabs>
          <w:tab w:pos="4532" w:val="left" w:leader="none"/>
          <w:tab w:pos="5545" w:val="left" w:leader="none"/>
          <w:tab w:pos="6843" w:val="left" w:leader="none"/>
          <w:tab w:pos="8305" w:val="left" w:leader="none"/>
          <w:tab w:pos="9603" w:val="left" w:leader="none"/>
        </w:tabs>
        <w:spacing w:before="3"/>
        <w:ind w:left="570" w:right="105" w:firstLine="0"/>
        <w:jc w:val="left"/>
        <w:rPr>
          <w:sz w:val="18"/>
        </w:rPr>
      </w:pPr>
      <w:r>
        <w:rPr>
          <w:b/>
          <w:sz w:val="18"/>
        </w:rPr>
        <w:t>receivables</w:t>
        <w:tab/>
      </w:r>
      <w:r>
        <w:rPr>
          <w:rFonts w:ascii="Times New Roman"/>
          <w:sz w:val="18"/>
          <w:u w:val="single"/>
        </w:rPr>
        <w:t> </w:t>
        <w:tab/>
      </w:r>
      <w:r>
        <w:rPr>
          <w:b/>
          <w:sz w:val="18"/>
          <w:u w:val="single"/>
        </w:rPr>
        <w:t>(770)</w:t>
        <w:tab/>
      </w:r>
      <w:r>
        <w:rPr>
          <w:sz w:val="18"/>
          <w:u w:val="single"/>
        </w:rPr>
        <w:t>(618)</w:t>
        <w:tab/>
      </w:r>
      <w:r>
        <w:rPr>
          <w:b/>
          <w:sz w:val="18"/>
          <w:u w:val="single"/>
        </w:rPr>
        <w:t>(738)</w:t>
        <w:tab/>
      </w:r>
      <w:r>
        <w:rPr>
          <w:sz w:val="18"/>
          <w:u w:val="single"/>
        </w:rPr>
        <w:t>(586)</w:t>
      </w:r>
    </w:p>
    <w:p>
      <w:pPr>
        <w:spacing w:after="0"/>
        <w:jc w:val="left"/>
        <w:rPr>
          <w:sz w:val="18"/>
        </w:rPr>
        <w:sectPr>
          <w:pgSz w:w="11910" w:h="16840"/>
          <w:pgMar w:header="1037" w:footer="507" w:top="2220" w:bottom="700" w:left="860" w:right="880"/>
        </w:sectPr>
      </w:pPr>
    </w:p>
    <w:p>
      <w:pPr>
        <w:pStyle w:val="BodyText"/>
        <w:rPr>
          <w:sz w:val="20"/>
        </w:rPr>
      </w:pPr>
    </w:p>
    <w:p>
      <w:pPr>
        <w:pStyle w:val="BodyText"/>
        <w:rPr>
          <w:sz w:val="20"/>
        </w:rPr>
      </w:pPr>
    </w:p>
    <w:p>
      <w:pPr>
        <w:pStyle w:val="BodyText"/>
        <w:spacing w:before="5"/>
      </w:pPr>
    </w:p>
    <w:p>
      <w:pPr>
        <w:pStyle w:val="Heading9"/>
        <w:tabs>
          <w:tab w:pos="1070" w:val="left" w:leader="none"/>
        </w:tabs>
        <w:ind w:left="504" w:right="220"/>
      </w:pPr>
      <w:r>
        <w:rPr/>
        <w:t>18</w:t>
        <w:tab/>
        <w:t>Receivables</w:t>
      </w:r>
      <w:r>
        <w:rPr>
          <w:spacing w:val="-1"/>
        </w:rPr>
        <w:t> </w:t>
      </w:r>
      <w:r>
        <w:rPr/>
        <w:t>(continued)</w:t>
      </w:r>
    </w:p>
    <w:p>
      <w:pPr>
        <w:pStyle w:val="BodyText"/>
        <w:spacing w:before="7"/>
        <w:rPr>
          <w:b/>
          <w:sz w:val="26"/>
        </w:rPr>
      </w:pPr>
    </w:p>
    <w:p>
      <w:pPr>
        <w:pStyle w:val="ListParagraph"/>
        <w:numPr>
          <w:ilvl w:val="0"/>
          <w:numId w:val="25"/>
        </w:numPr>
        <w:tabs>
          <w:tab w:pos="1071" w:val="left" w:leader="none"/>
        </w:tabs>
        <w:spacing w:line="240" w:lineRule="auto" w:before="0" w:after="0"/>
        <w:ind w:left="1070" w:right="0" w:hanging="566"/>
        <w:jc w:val="left"/>
        <w:rPr>
          <w:sz w:val="18"/>
        </w:rPr>
      </w:pPr>
      <w:r>
        <w:rPr>
          <w:sz w:val="18"/>
        </w:rPr>
        <w:t>Impaired receivables</w:t>
      </w:r>
      <w:r>
        <w:rPr>
          <w:spacing w:val="1"/>
          <w:sz w:val="18"/>
        </w:rPr>
        <w:t> </w:t>
      </w:r>
      <w:r>
        <w:rPr>
          <w:sz w:val="18"/>
        </w:rPr>
        <w:t>(continued)</w:t>
      </w:r>
    </w:p>
    <w:p>
      <w:pPr>
        <w:pStyle w:val="BodyText"/>
        <w:spacing w:before="4"/>
        <w:rPr>
          <w:sz w:val="25"/>
        </w:rPr>
      </w:pPr>
    </w:p>
    <w:p>
      <w:pPr>
        <w:pStyle w:val="BodyText"/>
        <w:ind w:left="559" w:right="220"/>
      </w:pPr>
      <w:r>
        <w:rPr/>
        <w:t>As at 31 December 2017 trade receivables of the Group totalling $5.380M (2016: $10.575M) were past due but not impaired. These relate to a number of individual customers for whom there is no recent history of default. The ageing analysis of these receivables is as follows:</w:t>
      </w:r>
    </w:p>
    <w:p>
      <w:pPr>
        <w:pStyle w:val="Heading9"/>
        <w:tabs>
          <w:tab w:pos="8375" w:val="left" w:leader="none"/>
        </w:tabs>
        <w:spacing w:before="33"/>
        <w:ind w:left="5340" w:right="220"/>
      </w:pPr>
      <w:r>
        <w:rPr/>
        <w:t>Consolidated</w:t>
        <w:tab/>
        <w:t>Parent</w:t>
      </w:r>
    </w:p>
    <w:p>
      <w:pPr>
        <w:spacing w:after="0"/>
        <w:sectPr>
          <w:pgSz w:w="11910" w:h="16840"/>
          <w:pgMar w:header="1037" w:footer="507" w:top="2220" w:bottom="700" w:left="900" w:right="880"/>
        </w:sectPr>
      </w:pPr>
    </w:p>
    <w:p>
      <w:pPr>
        <w:spacing w:before="66"/>
        <w:ind w:left="0" w:right="19" w:firstLine="0"/>
        <w:jc w:val="right"/>
        <w:rPr>
          <w:b/>
          <w:sz w:val="18"/>
        </w:rPr>
      </w:pPr>
      <w:r>
        <w:rPr>
          <w:b/>
          <w:w w:val="95"/>
          <w:sz w:val="18"/>
        </w:rPr>
        <w:t>2017</w:t>
      </w:r>
    </w:p>
    <w:p>
      <w:pPr>
        <w:spacing w:before="66"/>
        <w:ind w:left="0" w:right="0" w:firstLine="0"/>
        <w:jc w:val="right"/>
        <w:rPr>
          <w:b/>
          <w:sz w:val="18"/>
        </w:rPr>
      </w:pPr>
      <w:r>
        <w:rPr>
          <w:b/>
          <w:sz w:val="18"/>
        </w:rPr>
        <w:t>$'000</w:t>
      </w:r>
    </w:p>
    <w:p>
      <w:pPr>
        <w:spacing w:before="66"/>
        <w:ind w:left="819" w:right="-16" w:firstLine="0"/>
        <w:jc w:val="left"/>
        <w:rPr>
          <w:b/>
          <w:sz w:val="18"/>
        </w:rPr>
      </w:pPr>
      <w:r>
        <w:rPr/>
        <w:br w:type="column"/>
      </w:r>
      <w:r>
        <w:rPr>
          <w:b/>
          <w:sz w:val="18"/>
        </w:rPr>
        <w:t>2016</w:t>
      </w:r>
    </w:p>
    <w:p>
      <w:pPr>
        <w:spacing w:before="66"/>
        <w:ind w:left="797" w:right="-16"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19" w:right="0" w:firstLine="0"/>
        <w:jc w:val="left"/>
        <w:rPr>
          <w:b/>
          <w:sz w:val="18"/>
        </w:rPr>
      </w:pPr>
      <w:r>
        <w:rPr/>
        <w:br w:type="column"/>
      </w:r>
      <w:r>
        <w:rPr>
          <w:b/>
          <w:sz w:val="18"/>
        </w:rPr>
        <w:t>2016</w:t>
      </w:r>
    </w:p>
    <w:p>
      <w:pPr>
        <w:spacing w:before="66"/>
        <w:ind w:left="797" w:right="0" w:firstLine="0"/>
        <w:jc w:val="left"/>
        <w:rPr>
          <w:b/>
          <w:sz w:val="18"/>
        </w:rPr>
      </w:pPr>
      <w:r>
        <w:rPr>
          <w:b/>
          <w:sz w:val="18"/>
        </w:rPr>
        <w:t>$'000</w:t>
      </w:r>
    </w:p>
    <w:p>
      <w:pPr>
        <w:spacing w:after="0"/>
        <w:jc w:val="left"/>
        <w:rPr>
          <w:sz w:val="18"/>
        </w:rPr>
        <w:sectPr>
          <w:type w:val="continuous"/>
          <w:pgSz w:w="11910" w:h="16840"/>
          <w:pgMar w:top="1580" w:bottom="280" w:left="900" w:right="880"/>
          <w:cols w:num="4" w:equalWidth="0">
            <w:col w:w="5530" w:space="40"/>
            <w:col w:w="1245" w:space="40"/>
            <w:col w:w="1437" w:space="40"/>
            <w:col w:w="1798"/>
          </w:cols>
        </w:sectPr>
      </w:pPr>
    </w:p>
    <w:p>
      <w:pPr>
        <w:pStyle w:val="BodyText"/>
        <w:spacing w:before="11"/>
        <w:rPr>
          <w:b/>
          <w:sz w:val="5"/>
        </w:rPr>
      </w:pPr>
    </w:p>
    <w:tbl>
      <w:tblPr>
        <w:tblW w:w="0" w:type="auto"/>
        <w:jc w:val="left"/>
        <w:tblInd w:w="4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97"/>
        <w:gridCol w:w="1798"/>
        <w:gridCol w:w="1380"/>
        <w:gridCol w:w="1380"/>
        <w:gridCol w:w="962"/>
      </w:tblGrid>
      <w:tr>
        <w:trPr>
          <w:trHeight w:val="558" w:hRule="exact"/>
        </w:trPr>
        <w:tc>
          <w:tcPr>
            <w:tcW w:w="3997" w:type="dxa"/>
          </w:tcPr>
          <w:p>
            <w:pPr>
              <w:pStyle w:val="TableParagraph"/>
              <w:spacing w:before="77"/>
              <w:ind w:left="35"/>
              <w:rPr>
                <w:b/>
                <w:sz w:val="18"/>
              </w:rPr>
            </w:pPr>
            <w:r>
              <w:rPr>
                <w:b/>
                <w:sz w:val="18"/>
              </w:rPr>
              <w:t>Trade Receivables</w:t>
            </w:r>
          </w:p>
          <w:p>
            <w:pPr>
              <w:pStyle w:val="TableParagraph"/>
              <w:spacing w:before="30"/>
              <w:ind w:left="35"/>
              <w:rPr>
                <w:sz w:val="18"/>
              </w:rPr>
            </w:pPr>
            <w:r>
              <w:rPr>
                <w:sz w:val="18"/>
              </w:rPr>
              <w:t>0 to 3 months</w:t>
            </w:r>
          </w:p>
        </w:tc>
        <w:tc>
          <w:tcPr>
            <w:tcW w:w="1798" w:type="dxa"/>
          </w:tcPr>
          <w:p>
            <w:pPr>
              <w:pStyle w:val="TableParagraph"/>
              <w:rPr>
                <w:b/>
                <w:sz w:val="18"/>
              </w:rPr>
            </w:pPr>
          </w:p>
          <w:p>
            <w:pPr>
              <w:pStyle w:val="TableParagraph"/>
              <w:spacing w:before="105"/>
              <w:ind w:right="420"/>
              <w:jc w:val="right"/>
              <w:rPr>
                <w:b/>
                <w:sz w:val="18"/>
              </w:rPr>
            </w:pPr>
            <w:r>
              <w:rPr>
                <w:b/>
                <w:w w:val="95"/>
                <w:sz w:val="18"/>
              </w:rPr>
              <w:t>4,280</w:t>
            </w:r>
          </w:p>
        </w:tc>
        <w:tc>
          <w:tcPr>
            <w:tcW w:w="1380" w:type="dxa"/>
          </w:tcPr>
          <w:p>
            <w:pPr>
              <w:pStyle w:val="TableParagraph"/>
              <w:rPr>
                <w:b/>
                <w:sz w:val="18"/>
              </w:rPr>
            </w:pPr>
          </w:p>
          <w:p>
            <w:pPr>
              <w:pStyle w:val="TableParagraph"/>
              <w:spacing w:before="105"/>
              <w:ind w:right="502"/>
              <w:jc w:val="right"/>
              <w:rPr>
                <w:sz w:val="18"/>
              </w:rPr>
            </w:pPr>
            <w:r>
              <w:rPr>
                <w:w w:val="95"/>
                <w:sz w:val="18"/>
              </w:rPr>
              <w:t>7,554</w:t>
            </w:r>
          </w:p>
        </w:tc>
        <w:tc>
          <w:tcPr>
            <w:tcW w:w="1380" w:type="dxa"/>
          </w:tcPr>
          <w:p>
            <w:pPr>
              <w:pStyle w:val="TableParagraph"/>
              <w:rPr>
                <w:b/>
                <w:sz w:val="18"/>
              </w:rPr>
            </w:pPr>
          </w:p>
          <w:p>
            <w:pPr>
              <w:pStyle w:val="TableParagraph"/>
              <w:spacing w:before="105"/>
              <w:ind w:right="420"/>
              <w:jc w:val="right"/>
              <w:rPr>
                <w:b/>
                <w:sz w:val="18"/>
              </w:rPr>
            </w:pPr>
            <w:r>
              <w:rPr>
                <w:b/>
                <w:w w:val="95"/>
                <w:sz w:val="18"/>
              </w:rPr>
              <w:t>3,959</w:t>
            </w:r>
          </w:p>
        </w:tc>
        <w:tc>
          <w:tcPr>
            <w:tcW w:w="962" w:type="dxa"/>
          </w:tcPr>
          <w:p>
            <w:pPr>
              <w:pStyle w:val="TableParagraph"/>
              <w:rPr>
                <w:b/>
                <w:sz w:val="18"/>
              </w:rPr>
            </w:pPr>
          </w:p>
          <w:p>
            <w:pPr>
              <w:pStyle w:val="TableParagraph"/>
              <w:spacing w:before="105"/>
              <w:ind w:right="84"/>
              <w:jc w:val="right"/>
              <w:rPr>
                <w:sz w:val="18"/>
              </w:rPr>
            </w:pPr>
            <w:r>
              <w:rPr>
                <w:w w:val="95"/>
                <w:sz w:val="18"/>
              </w:rPr>
              <w:t>7,118</w:t>
            </w:r>
          </w:p>
        </w:tc>
      </w:tr>
      <w:tr>
        <w:trPr>
          <w:trHeight w:val="264" w:hRule="exact"/>
        </w:trPr>
        <w:tc>
          <w:tcPr>
            <w:tcW w:w="3997" w:type="dxa"/>
          </w:tcPr>
          <w:p>
            <w:pPr>
              <w:pStyle w:val="TableParagraph"/>
              <w:spacing w:before="20"/>
              <w:ind w:left="35"/>
              <w:rPr>
                <w:sz w:val="18"/>
              </w:rPr>
            </w:pPr>
            <w:r>
              <w:rPr>
                <w:sz w:val="18"/>
              </w:rPr>
              <w:t>3 to 6 months</w:t>
            </w:r>
          </w:p>
        </w:tc>
        <w:tc>
          <w:tcPr>
            <w:tcW w:w="1798" w:type="dxa"/>
          </w:tcPr>
          <w:p>
            <w:pPr>
              <w:pStyle w:val="TableParagraph"/>
              <w:spacing w:before="18"/>
              <w:ind w:right="420"/>
              <w:jc w:val="right"/>
              <w:rPr>
                <w:b/>
                <w:sz w:val="18"/>
              </w:rPr>
            </w:pPr>
            <w:r>
              <w:rPr>
                <w:b/>
                <w:w w:val="95"/>
                <w:sz w:val="18"/>
              </w:rPr>
              <w:t>784</w:t>
            </w:r>
          </w:p>
        </w:tc>
        <w:tc>
          <w:tcPr>
            <w:tcW w:w="1380" w:type="dxa"/>
          </w:tcPr>
          <w:p>
            <w:pPr>
              <w:pStyle w:val="TableParagraph"/>
              <w:spacing w:before="18"/>
              <w:ind w:right="502"/>
              <w:jc w:val="right"/>
              <w:rPr>
                <w:sz w:val="18"/>
              </w:rPr>
            </w:pPr>
            <w:r>
              <w:rPr>
                <w:w w:val="95"/>
                <w:sz w:val="18"/>
              </w:rPr>
              <w:t>2,473</w:t>
            </w:r>
          </w:p>
        </w:tc>
        <w:tc>
          <w:tcPr>
            <w:tcW w:w="1380" w:type="dxa"/>
          </w:tcPr>
          <w:p>
            <w:pPr>
              <w:pStyle w:val="TableParagraph"/>
              <w:spacing w:before="18"/>
              <w:ind w:right="420"/>
              <w:jc w:val="right"/>
              <w:rPr>
                <w:b/>
                <w:sz w:val="18"/>
              </w:rPr>
            </w:pPr>
            <w:r>
              <w:rPr>
                <w:b/>
                <w:w w:val="95"/>
                <w:sz w:val="18"/>
              </w:rPr>
              <w:t>737</w:t>
            </w:r>
          </w:p>
        </w:tc>
        <w:tc>
          <w:tcPr>
            <w:tcW w:w="962" w:type="dxa"/>
          </w:tcPr>
          <w:p>
            <w:pPr>
              <w:pStyle w:val="TableParagraph"/>
              <w:spacing w:before="18"/>
              <w:ind w:right="84"/>
              <w:jc w:val="right"/>
              <w:rPr>
                <w:sz w:val="18"/>
              </w:rPr>
            </w:pPr>
            <w:r>
              <w:rPr>
                <w:w w:val="95"/>
                <w:sz w:val="18"/>
              </w:rPr>
              <w:t>1,855</w:t>
            </w:r>
          </w:p>
        </w:tc>
      </w:tr>
      <w:tr>
        <w:trPr>
          <w:trHeight w:val="260" w:hRule="exact"/>
        </w:trPr>
        <w:tc>
          <w:tcPr>
            <w:tcW w:w="3997" w:type="dxa"/>
          </w:tcPr>
          <w:p>
            <w:pPr>
              <w:pStyle w:val="TableParagraph"/>
              <w:spacing w:before="20"/>
              <w:ind w:left="35"/>
              <w:rPr>
                <w:sz w:val="18"/>
              </w:rPr>
            </w:pPr>
            <w:r>
              <w:rPr>
                <w:sz w:val="18"/>
              </w:rPr>
              <w:t>Over 6 months</w:t>
            </w:r>
          </w:p>
        </w:tc>
        <w:tc>
          <w:tcPr>
            <w:tcW w:w="1798" w:type="dxa"/>
            <w:tcBorders>
              <w:bottom w:val="single" w:sz="1" w:space="0" w:color="000000"/>
            </w:tcBorders>
          </w:tcPr>
          <w:p>
            <w:pPr>
              <w:pStyle w:val="TableParagraph"/>
              <w:spacing w:before="18"/>
              <w:ind w:right="420"/>
              <w:jc w:val="right"/>
              <w:rPr>
                <w:b/>
                <w:sz w:val="18"/>
              </w:rPr>
            </w:pPr>
            <w:r>
              <w:rPr>
                <w:b/>
                <w:w w:val="95"/>
                <w:sz w:val="18"/>
              </w:rPr>
              <w:t>316</w:t>
            </w:r>
          </w:p>
        </w:tc>
        <w:tc>
          <w:tcPr>
            <w:tcW w:w="1380" w:type="dxa"/>
            <w:tcBorders>
              <w:bottom w:val="single" w:sz="1" w:space="0" w:color="000000"/>
            </w:tcBorders>
          </w:tcPr>
          <w:p>
            <w:pPr>
              <w:pStyle w:val="TableParagraph"/>
              <w:spacing w:before="18"/>
              <w:ind w:right="502"/>
              <w:jc w:val="right"/>
              <w:rPr>
                <w:sz w:val="18"/>
              </w:rPr>
            </w:pPr>
            <w:r>
              <w:rPr>
                <w:w w:val="95"/>
                <w:sz w:val="18"/>
              </w:rPr>
              <w:t>548</w:t>
            </w:r>
          </w:p>
        </w:tc>
        <w:tc>
          <w:tcPr>
            <w:tcW w:w="1380" w:type="dxa"/>
            <w:tcBorders>
              <w:bottom w:val="single" w:sz="1" w:space="0" w:color="000000"/>
            </w:tcBorders>
          </w:tcPr>
          <w:p>
            <w:pPr>
              <w:pStyle w:val="TableParagraph"/>
              <w:spacing w:before="18"/>
              <w:ind w:right="420"/>
              <w:jc w:val="right"/>
              <w:rPr>
                <w:b/>
                <w:sz w:val="18"/>
              </w:rPr>
            </w:pPr>
            <w:r>
              <w:rPr>
                <w:b/>
                <w:w w:val="95"/>
                <w:sz w:val="18"/>
              </w:rPr>
              <w:t>307</w:t>
            </w:r>
          </w:p>
        </w:tc>
        <w:tc>
          <w:tcPr>
            <w:tcW w:w="962" w:type="dxa"/>
            <w:tcBorders>
              <w:bottom w:val="single" w:sz="1" w:space="0" w:color="000000"/>
            </w:tcBorders>
          </w:tcPr>
          <w:p>
            <w:pPr>
              <w:pStyle w:val="TableParagraph"/>
              <w:spacing w:before="18"/>
              <w:ind w:right="84"/>
              <w:jc w:val="right"/>
              <w:rPr>
                <w:sz w:val="18"/>
              </w:rPr>
            </w:pPr>
            <w:r>
              <w:rPr>
                <w:w w:val="95"/>
                <w:sz w:val="18"/>
              </w:rPr>
              <w:t>501</w:t>
            </w:r>
          </w:p>
        </w:tc>
      </w:tr>
      <w:tr>
        <w:trPr>
          <w:trHeight w:val="328" w:hRule="exact"/>
        </w:trPr>
        <w:tc>
          <w:tcPr>
            <w:tcW w:w="3997" w:type="dxa"/>
          </w:tcPr>
          <w:p>
            <w:pPr>
              <w:pStyle w:val="TableParagraph"/>
              <w:spacing w:before="125"/>
              <w:ind w:left="35"/>
              <w:rPr>
                <w:b/>
                <w:sz w:val="18"/>
              </w:rPr>
            </w:pPr>
            <w:r>
              <w:rPr>
                <w:b/>
                <w:sz w:val="18"/>
              </w:rPr>
              <w:t>Total past due but not impaired</w:t>
            </w:r>
          </w:p>
        </w:tc>
        <w:tc>
          <w:tcPr>
            <w:tcW w:w="1798"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962" w:type="dxa"/>
            <w:tcBorders>
              <w:top w:val="single" w:sz="1" w:space="0" w:color="000000"/>
            </w:tcBorders>
          </w:tcPr>
          <w:p>
            <w:pPr/>
          </w:p>
        </w:tc>
      </w:tr>
    </w:tbl>
    <w:p>
      <w:pPr>
        <w:tabs>
          <w:tab w:pos="4492" w:val="left" w:leader="none"/>
          <w:tab w:pos="5414" w:val="left" w:leader="none"/>
          <w:tab w:pos="6611" w:val="left" w:leader="none"/>
          <w:tab w:pos="8174" w:val="left" w:leader="none"/>
          <w:tab w:pos="9472" w:val="left" w:leader="none"/>
        </w:tabs>
        <w:spacing w:before="3"/>
        <w:ind w:left="530" w:right="130" w:firstLine="0"/>
        <w:jc w:val="left"/>
        <w:rPr>
          <w:sz w:val="18"/>
        </w:rPr>
      </w:pPr>
      <w:r>
        <w:rPr>
          <w:b/>
          <w:sz w:val="18"/>
        </w:rPr>
        <w:t>receivables</w:t>
        <w:tab/>
      </w:r>
      <w:r>
        <w:rPr>
          <w:rFonts w:ascii="Times New Roman"/>
          <w:sz w:val="18"/>
          <w:u w:val="single"/>
        </w:rPr>
        <w:t> </w:t>
        <w:tab/>
      </w:r>
      <w:r>
        <w:rPr>
          <w:b/>
          <w:sz w:val="18"/>
          <w:u w:val="single"/>
        </w:rPr>
        <w:t>5,380</w:t>
        <w:tab/>
      </w:r>
      <w:r>
        <w:rPr>
          <w:sz w:val="18"/>
          <w:u w:val="single"/>
        </w:rPr>
        <w:t>10,575</w:t>
        <w:tab/>
      </w:r>
      <w:r>
        <w:rPr>
          <w:b/>
          <w:sz w:val="18"/>
          <w:u w:val="single"/>
        </w:rPr>
        <w:t>5,003</w:t>
        <w:tab/>
      </w:r>
      <w:r>
        <w:rPr>
          <w:sz w:val="18"/>
          <w:u w:val="single"/>
        </w:rPr>
        <w:t>9,474</w:t>
      </w:r>
    </w:p>
    <w:p>
      <w:pPr>
        <w:pStyle w:val="BodyText"/>
        <w:rPr>
          <w:sz w:val="20"/>
        </w:rPr>
      </w:pPr>
    </w:p>
    <w:p>
      <w:pPr>
        <w:pStyle w:val="BodyText"/>
        <w:spacing w:before="9"/>
        <w:rPr>
          <w:sz w:val="20"/>
        </w:rPr>
      </w:pPr>
    </w:p>
    <w:p>
      <w:pPr>
        <w:pStyle w:val="Heading9"/>
        <w:tabs>
          <w:tab w:pos="8375" w:val="left" w:leader="none"/>
        </w:tabs>
        <w:spacing w:before="77"/>
        <w:ind w:left="5340" w:right="220"/>
      </w:pPr>
      <w:r>
        <w:rPr/>
        <w:t>Consolidated</w:t>
        <w:tab/>
        <w:t>Parent</w:t>
      </w:r>
    </w:p>
    <w:p>
      <w:pPr>
        <w:spacing w:after="0"/>
        <w:sectPr>
          <w:type w:val="continuous"/>
          <w:pgSz w:w="11910" w:h="16840"/>
          <w:pgMar w:top="1580" w:bottom="280" w:left="900" w:right="880"/>
        </w:sectPr>
      </w:pPr>
    </w:p>
    <w:p>
      <w:pPr>
        <w:spacing w:before="66"/>
        <w:ind w:left="0" w:right="19" w:firstLine="0"/>
        <w:jc w:val="right"/>
        <w:rPr>
          <w:b/>
          <w:sz w:val="18"/>
        </w:rPr>
      </w:pPr>
      <w:r>
        <w:rPr>
          <w:b/>
          <w:w w:val="95"/>
          <w:sz w:val="18"/>
        </w:rPr>
        <w:t>2017</w:t>
      </w:r>
    </w:p>
    <w:p>
      <w:pPr>
        <w:spacing w:before="66"/>
        <w:ind w:left="0" w:right="0" w:firstLine="0"/>
        <w:jc w:val="right"/>
        <w:rPr>
          <w:b/>
          <w:sz w:val="18"/>
        </w:rPr>
      </w:pPr>
      <w:r>
        <w:rPr>
          <w:b/>
          <w:sz w:val="18"/>
        </w:rPr>
        <w:t>$'000</w:t>
      </w:r>
    </w:p>
    <w:p>
      <w:pPr>
        <w:spacing w:before="66"/>
        <w:ind w:left="819" w:right="-16" w:firstLine="0"/>
        <w:jc w:val="left"/>
        <w:rPr>
          <w:b/>
          <w:sz w:val="18"/>
        </w:rPr>
      </w:pPr>
      <w:r>
        <w:rPr/>
        <w:br w:type="column"/>
      </w:r>
      <w:r>
        <w:rPr>
          <w:b/>
          <w:sz w:val="18"/>
        </w:rPr>
        <w:t>2016</w:t>
      </w:r>
    </w:p>
    <w:p>
      <w:pPr>
        <w:spacing w:before="66"/>
        <w:ind w:left="797" w:right="-16"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19" w:right="0" w:firstLine="0"/>
        <w:jc w:val="left"/>
        <w:rPr>
          <w:b/>
          <w:sz w:val="18"/>
        </w:rPr>
      </w:pPr>
      <w:r>
        <w:rPr/>
        <w:br w:type="column"/>
      </w:r>
      <w:r>
        <w:rPr>
          <w:b/>
          <w:sz w:val="18"/>
        </w:rPr>
        <w:t>2016</w:t>
      </w:r>
    </w:p>
    <w:p>
      <w:pPr>
        <w:spacing w:before="66"/>
        <w:ind w:left="797" w:right="0" w:firstLine="0"/>
        <w:jc w:val="left"/>
        <w:rPr>
          <w:b/>
          <w:sz w:val="18"/>
        </w:rPr>
      </w:pPr>
      <w:r>
        <w:rPr>
          <w:b/>
          <w:sz w:val="18"/>
        </w:rPr>
        <w:t>$'000</w:t>
      </w:r>
    </w:p>
    <w:p>
      <w:pPr>
        <w:spacing w:after="0"/>
        <w:jc w:val="left"/>
        <w:rPr>
          <w:sz w:val="18"/>
        </w:rPr>
        <w:sectPr>
          <w:type w:val="continuous"/>
          <w:pgSz w:w="11910" w:h="16840"/>
          <w:pgMar w:top="1580" w:bottom="280" w:left="900" w:right="880"/>
          <w:cols w:num="4" w:equalWidth="0">
            <w:col w:w="5530" w:space="40"/>
            <w:col w:w="1245" w:space="40"/>
            <w:col w:w="1437" w:space="40"/>
            <w:col w:w="1798"/>
          </w:cols>
        </w:sectPr>
      </w:pPr>
    </w:p>
    <w:p>
      <w:pPr>
        <w:pStyle w:val="BodyText"/>
        <w:spacing w:before="11"/>
        <w:rPr>
          <w:b/>
          <w:sz w:val="5"/>
        </w:rPr>
      </w:pPr>
    </w:p>
    <w:tbl>
      <w:tblPr>
        <w:tblW w:w="0" w:type="auto"/>
        <w:jc w:val="left"/>
        <w:tblInd w:w="4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97"/>
        <w:gridCol w:w="1798"/>
        <w:gridCol w:w="1380"/>
        <w:gridCol w:w="1456"/>
        <w:gridCol w:w="887"/>
      </w:tblGrid>
      <w:tr>
        <w:trPr>
          <w:trHeight w:val="720" w:hRule="exact"/>
        </w:trPr>
        <w:tc>
          <w:tcPr>
            <w:tcW w:w="3997" w:type="dxa"/>
          </w:tcPr>
          <w:p>
            <w:pPr>
              <w:pStyle w:val="TableParagraph"/>
              <w:spacing w:before="77"/>
              <w:ind w:left="35" w:right="1272"/>
              <w:rPr>
                <w:b/>
                <w:sz w:val="18"/>
              </w:rPr>
            </w:pPr>
            <w:r>
              <w:rPr>
                <w:b/>
                <w:sz w:val="18"/>
              </w:rPr>
              <w:t>Movements in the provision for impaired receivables are as follows:</w:t>
            </w:r>
          </w:p>
        </w:tc>
        <w:tc>
          <w:tcPr>
            <w:tcW w:w="5520" w:type="dxa"/>
            <w:gridSpan w:val="4"/>
          </w:tcPr>
          <w:p>
            <w:pPr/>
          </w:p>
        </w:tc>
      </w:tr>
      <w:tr>
        <w:trPr>
          <w:trHeight w:val="250" w:hRule="exact"/>
        </w:trPr>
        <w:tc>
          <w:tcPr>
            <w:tcW w:w="3997" w:type="dxa"/>
          </w:tcPr>
          <w:p>
            <w:pPr>
              <w:pStyle w:val="TableParagraph"/>
              <w:spacing w:before="7"/>
              <w:ind w:left="35"/>
              <w:rPr>
                <w:sz w:val="18"/>
              </w:rPr>
            </w:pPr>
            <w:r>
              <w:rPr>
                <w:sz w:val="18"/>
              </w:rPr>
              <w:t>At 1 January</w:t>
            </w:r>
          </w:p>
        </w:tc>
        <w:tc>
          <w:tcPr>
            <w:tcW w:w="1798" w:type="dxa"/>
          </w:tcPr>
          <w:p>
            <w:pPr>
              <w:pStyle w:val="TableParagraph"/>
              <w:spacing w:before="4"/>
              <w:ind w:right="420"/>
              <w:jc w:val="right"/>
              <w:rPr>
                <w:b/>
                <w:sz w:val="18"/>
              </w:rPr>
            </w:pPr>
            <w:r>
              <w:rPr>
                <w:b/>
                <w:w w:val="95"/>
                <w:sz w:val="18"/>
              </w:rPr>
              <w:t>618</w:t>
            </w:r>
          </w:p>
        </w:tc>
        <w:tc>
          <w:tcPr>
            <w:tcW w:w="1380" w:type="dxa"/>
          </w:tcPr>
          <w:p>
            <w:pPr>
              <w:pStyle w:val="TableParagraph"/>
              <w:spacing w:before="4"/>
              <w:ind w:left="422"/>
              <w:rPr>
                <w:sz w:val="18"/>
              </w:rPr>
            </w:pPr>
            <w:r>
              <w:rPr>
                <w:sz w:val="18"/>
              </w:rPr>
              <w:t>1,176</w:t>
            </w:r>
          </w:p>
        </w:tc>
        <w:tc>
          <w:tcPr>
            <w:tcW w:w="1456" w:type="dxa"/>
          </w:tcPr>
          <w:p>
            <w:pPr>
              <w:pStyle w:val="TableParagraph"/>
              <w:spacing w:before="4"/>
              <w:ind w:right="496"/>
              <w:jc w:val="right"/>
              <w:rPr>
                <w:b/>
                <w:sz w:val="18"/>
              </w:rPr>
            </w:pPr>
            <w:r>
              <w:rPr>
                <w:b/>
                <w:w w:val="95"/>
                <w:sz w:val="18"/>
              </w:rPr>
              <w:t>586</w:t>
            </w:r>
          </w:p>
        </w:tc>
        <w:tc>
          <w:tcPr>
            <w:tcW w:w="887" w:type="dxa"/>
          </w:tcPr>
          <w:p>
            <w:pPr>
              <w:pStyle w:val="TableParagraph"/>
              <w:spacing w:before="4"/>
              <w:ind w:right="84"/>
              <w:jc w:val="right"/>
              <w:rPr>
                <w:sz w:val="18"/>
              </w:rPr>
            </w:pPr>
            <w:r>
              <w:rPr>
                <w:w w:val="95"/>
                <w:sz w:val="18"/>
              </w:rPr>
              <w:t>897</w:t>
            </w:r>
          </w:p>
        </w:tc>
      </w:tr>
      <w:tr>
        <w:trPr>
          <w:trHeight w:val="233" w:hRule="exact"/>
        </w:trPr>
        <w:tc>
          <w:tcPr>
            <w:tcW w:w="3997" w:type="dxa"/>
          </w:tcPr>
          <w:p>
            <w:pPr>
              <w:pStyle w:val="TableParagraph"/>
              <w:spacing w:before="16"/>
              <w:ind w:left="35"/>
              <w:rPr>
                <w:sz w:val="18"/>
              </w:rPr>
            </w:pPr>
            <w:r>
              <w:rPr>
                <w:sz w:val="18"/>
              </w:rPr>
              <w:t>Provision for impairment</w:t>
            </w:r>
          </w:p>
        </w:tc>
        <w:tc>
          <w:tcPr>
            <w:tcW w:w="1798" w:type="dxa"/>
          </w:tcPr>
          <w:p>
            <w:pPr/>
          </w:p>
        </w:tc>
        <w:tc>
          <w:tcPr>
            <w:tcW w:w="1380" w:type="dxa"/>
          </w:tcPr>
          <w:p>
            <w:pPr/>
          </w:p>
        </w:tc>
        <w:tc>
          <w:tcPr>
            <w:tcW w:w="1456" w:type="dxa"/>
          </w:tcPr>
          <w:p>
            <w:pPr/>
          </w:p>
        </w:tc>
        <w:tc>
          <w:tcPr>
            <w:tcW w:w="887" w:type="dxa"/>
          </w:tcPr>
          <w:p>
            <w:pPr/>
          </w:p>
        </w:tc>
      </w:tr>
      <w:tr>
        <w:trPr>
          <w:trHeight w:val="439" w:hRule="exact"/>
        </w:trPr>
        <w:tc>
          <w:tcPr>
            <w:tcW w:w="3997" w:type="dxa"/>
          </w:tcPr>
          <w:p>
            <w:pPr>
              <w:pStyle w:val="TableParagraph"/>
              <w:ind w:left="35" w:right="1241"/>
              <w:rPr>
                <w:sz w:val="18"/>
              </w:rPr>
            </w:pPr>
            <w:r>
              <w:rPr>
                <w:sz w:val="18"/>
              </w:rPr>
              <w:t>recognised / (reversed) during the year</w:t>
            </w:r>
          </w:p>
        </w:tc>
        <w:tc>
          <w:tcPr>
            <w:tcW w:w="1798" w:type="dxa"/>
          </w:tcPr>
          <w:p>
            <w:pPr>
              <w:pStyle w:val="TableParagraph"/>
              <w:spacing w:before="10"/>
              <w:rPr>
                <w:b/>
                <w:sz w:val="16"/>
              </w:rPr>
            </w:pPr>
          </w:p>
          <w:p>
            <w:pPr>
              <w:pStyle w:val="TableParagraph"/>
              <w:ind w:right="420"/>
              <w:jc w:val="right"/>
              <w:rPr>
                <w:b/>
                <w:sz w:val="18"/>
              </w:rPr>
            </w:pPr>
            <w:r>
              <w:rPr>
                <w:b/>
                <w:w w:val="95"/>
                <w:sz w:val="18"/>
              </w:rPr>
              <w:t>118</w:t>
            </w:r>
          </w:p>
        </w:tc>
        <w:tc>
          <w:tcPr>
            <w:tcW w:w="1380" w:type="dxa"/>
          </w:tcPr>
          <w:p>
            <w:pPr>
              <w:pStyle w:val="TableParagraph"/>
              <w:spacing w:before="10"/>
              <w:rPr>
                <w:b/>
                <w:sz w:val="16"/>
              </w:rPr>
            </w:pPr>
          </w:p>
          <w:p>
            <w:pPr>
              <w:pStyle w:val="TableParagraph"/>
              <w:ind w:right="441"/>
              <w:jc w:val="right"/>
              <w:rPr>
                <w:sz w:val="18"/>
              </w:rPr>
            </w:pPr>
            <w:r>
              <w:rPr>
                <w:sz w:val="18"/>
              </w:rPr>
              <w:t>(685)</w:t>
            </w:r>
          </w:p>
        </w:tc>
        <w:tc>
          <w:tcPr>
            <w:tcW w:w="1456" w:type="dxa"/>
          </w:tcPr>
          <w:p>
            <w:pPr>
              <w:pStyle w:val="TableParagraph"/>
              <w:spacing w:before="10"/>
              <w:rPr>
                <w:b/>
                <w:sz w:val="16"/>
              </w:rPr>
            </w:pPr>
          </w:p>
          <w:p>
            <w:pPr>
              <w:pStyle w:val="TableParagraph"/>
              <w:ind w:right="496"/>
              <w:jc w:val="right"/>
              <w:rPr>
                <w:b/>
                <w:sz w:val="18"/>
              </w:rPr>
            </w:pPr>
            <w:r>
              <w:rPr>
                <w:b/>
                <w:w w:val="95"/>
                <w:sz w:val="18"/>
              </w:rPr>
              <w:t>4,061</w:t>
            </w:r>
          </w:p>
        </w:tc>
        <w:tc>
          <w:tcPr>
            <w:tcW w:w="887" w:type="dxa"/>
          </w:tcPr>
          <w:p>
            <w:pPr>
              <w:pStyle w:val="TableParagraph"/>
              <w:spacing w:before="10"/>
              <w:rPr>
                <w:b/>
                <w:sz w:val="16"/>
              </w:rPr>
            </w:pPr>
          </w:p>
          <w:p>
            <w:pPr>
              <w:pStyle w:val="TableParagraph"/>
              <w:ind w:right="24"/>
              <w:jc w:val="right"/>
              <w:rPr>
                <w:sz w:val="18"/>
              </w:rPr>
            </w:pPr>
            <w:r>
              <w:rPr>
                <w:sz w:val="18"/>
              </w:rPr>
              <w:t>(423)</w:t>
            </w:r>
          </w:p>
        </w:tc>
      </w:tr>
      <w:tr>
        <w:trPr>
          <w:trHeight w:val="233" w:hRule="exact"/>
        </w:trPr>
        <w:tc>
          <w:tcPr>
            <w:tcW w:w="3997" w:type="dxa"/>
          </w:tcPr>
          <w:p>
            <w:pPr>
              <w:pStyle w:val="TableParagraph"/>
              <w:spacing w:before="16"/>
              <w:ind w:left="35"/>
              <w:rPr>
                <w:sz w:val="18"/>
              </w:rPr>
            </w:pPr>
            <w:r>
              <w:rPr>
                <w:sz w:val="18"/>
              </w:rPr>
              <w:t>Receivables written off /</w:t>
            </w:r>
          </w:p>
        </w:tc>
        <w:tc>
          <w:tcPr>
            <w:tcW w:w="1798" w:type="dxa"/>
          </w:tcPr>
          <w:p>
            <w:pPr/>
          </w:p>
        </w:tc>
        <w:tc>
          <w:tcPr>
            <w:tcW w:w="1380" w:type="dxa"/>
          </w:tcPr>
          <w:p>
            <w:pPr/>
          </w:p>
        </w:tc>
        <w:tc>
          <w:tcPr>
            <w:tcW w:w="1456" w:type="dxa"/>
          </w:tcPr>
          <w:p>
            <w:pPr/>
          </w:p>
        </w:tc>
        <w:tc>
          <w:tcPr>
            <w:tcW w:w="887" w:type="dxa"/>
          </w:tcPr>
          <w:p>
            <w:pPr/>
          </w:p>
        </w:tc>
      </w:tr>
      <w:tr>
        <w:trPr>
          <w:trHeight w:val="440" w:hRule="exact"/>
        </w:trPr>
        <w:tc>
          <w:tcPr>
            <w:tcW w:w="3997" w:type="dxa"/>
          </w:tcPr>
          <w:p>
            <w:pPr>
              <w:pStyle w:val="TableParagraph"/>
              <w:ind w:left="35" w:right="1631"/>
              <w:rPr>
                <w:sz w:val="18"/>
              </w:rPr>
            </w:pPr>
            <w:r>
              <w:rPr>
                <w:sz w:val="18"/>
              </w:rPr>
              <w:t>(reversed) during the year as uncollectable</w:t>
            </w:r>
          </w:p>
        </w:tc>
        <w:tc>
          <w:tcPr>
            <w:tcW w:w="1798" w:type="dxa"/>
          </w:tcPr>
          <w:p>
            <w:pPr>
              <w:pStyle w:val="TableParagraph"/>
              <w:spacing w:before="10"/>
              <w:rPr>
                <w:b/>
                <w:sz w:val="16"/>
              </w:rPr>
            </w:pPr>
          </w:p>
          <w:p>
            <w:pPr>
              <w:pStyle w:val="TableParagraph"/>
              <w:ind w:right="420"/>
              <w:jc w:val="right"/>
              <w:rPr>
                <w:b/>
                <w:sz w:val="18"/>
              </w:rPr>
            </w:pPr>
            <w:r>
              <w:rPr>
                <w:b/>
                <w:sz w:val="18"/>
              </w:rPr>
              <w:t>34</w:t>
            </w:r>
          </w:p>
        </w:tc>
        <w:tc>
          <w:tcPr>
            <w:tcW w:w="1380" w:type="dxa"/>
          </w:tcPr>
          <w:p>
            <w:pPr>
              <w:pStyle w:val="TableParagraph"/>
              <w:spacing w:before="10"/>
              <w:rPr>
                <w:b/>
                <w:sz w:val="16"/>
              </w:rPr>
            </w:pPr>
          </w:p>
          <w:p>
            <w:pPr>
              <w:pStyle w:val="TableParagraph"/>
              <w:ind w:left="554" w:right="485"/>
              <w:jc w:val="center"/>
              <w:rPr>
                <w:sz w:val="18"/>
              </w:rPr>
            </w:pPr>
            <w:r>
              <w:rPr>
                <w:sz w:val="18"/>
              </w:rPr>
              <w:t>127</w:t>
            </w:r>
          </w:p>
        </w:tc>
        <w:tc>
          <w:tcPr>
            <w:tcW w:w="1456" w:type="dxa"/>
          </w:tcPr>
          <w:p>
            <w:pPr>
              <w:pStyle w:val="TableParagraph"/>
              <w:spacing w:before="10"/>
              <w:rPr>
                <w:b/>
                <w:sz w:val="16"/>
              </w:rPr>
            </w:pPr>
          </w:p>
          <w:p>
            <w:pPr>
              <w:pStyle w:val="TableParagraph"/>
              <w:ind w:right="496"/>
              <w:jc w:val="right"/>
              <w:rPr>
                <w:b/>
                <w:sz w:val="18"/>
              </w:rPr>
            </w:pPr>
            <w:r>
              <w:rPr>
                <w:b/>
                <w:sz w:val="18"/>
              </w:rPr>
              <w:t>26</w:t>
            </w:r>
          </w:p>
        </w:tc>
        <w:tc>
          <w:tcPr>
            <w:tcW w:w="887" w:type="dxa"/>
          </w:tcPr>
          <w:p>
            <w:pPr>
              <w:pStyle w:val="TableParagraph"/>
              <w:spacing w:before="10"/>
              <w:rPr>
                <w:b/>
                <w:sz w:val="16"/>
              </w:rPr>
            </w:pPr>
          </w:p>
          <w:p>
            <w:pPr>
              <w:pStyle w:val="TableParagraph"/>
              <w:ind w:right="84"/>
              <w:jc w:val="right"/>
              <w:rPr>
                <w:sz w:val="18"/>
              </w:rPr>
            </w:pPr>
            <w:r>
              <w:rPr>
                <w:w w:val="95"/>
                <w:sz w:val="18"/>
              </w:rPr>
              <w:t>112</w:t>
            </w:r>
          </w:p>
        </w:tc>
      </w:tr>
      <w:tr>
        <w:trPr>
          <w:trHeight w:val="260" w:hRule="exact"/>
        </w:trPr>
        <w:tc>
          <w:tcPr>
            <w:tcW w:w="3997" w:type="dxa"/>
          </w:tcPr>
          <w:p>
            <w:pPr>
              <w:pStyle w:val="TableParagraph"/>
              <w:spacing w:before="20"/>
              <w:ind w:left="35"/>
              <w:rPr>
                <w:sz w:val="18"/>
              </w:rPr>
            </w:pPr>
            <w:r>
              <w:rPr>
                <w:sz w:val="18"/>
              </w:rPr>
              <w:t>Related party loan forgiven</w:t>
            </w:r>
          </w:p>
        </w:tc>
        <w:tc>
          <w:tcPr>
            <w:tcW w:w="1798" w:type="dxa"/>
            <w:tcBorders>
              <w:bottom w:val="single" w:sz="1" w:space="0" w:color="000000"/>
            </w:tcBorders>
          </w:tcPr>
          <w:p>
            <w:pPr>
              <w:pStyle w:val="TableParagraph"/>
              <w:spacing w:before="18"/>
              <w:ind w:right="420"/>
              <w:jc w:val="right"/>
              <w:rPr>
                <w:b/>
                <w:sz w:val="18"/>
              </w:rPr>
            </w:pPr>
            <w:r>
              <w:rPr>
                <w:b/>
                <w:w w:val="99"/>
                <w:sz w:val="18"/>
              </w:rPr>
              <w:t>-</w:t>
            </w:r>
          </w:p>
        </w:tc>
        <w:tc>
          <w:tcPr>
            <w:tcW w:w="1380" w:type="dxa"/>
            <w:tcBorders>
              <w:bottom w:val="single" w:sz="1" w:space="0" w:color="000000"/>
            </w:tcBorders>
          </w:tcPr>
          <w:p>
            <w:pPr>
              <w:pStyle w:val="TableParagraph"/>
              <w:spacing w:before="18"/>
              <w:ind w:right="502"/>
              <w:jc w:val="right"/>
              <w:rPr>
                <w:sz w:val="18"/>
              </w:rPr>
            </w:pPr>
            <w:r>
              <w:rPr>
                <w:w w:val="99"/>
                <w:sz w:val="18"/>
              </w:rPr>
              <w:t>-</w:t>
            </w:r>
          </w:p>
        </w:tc>
        <w:tc>
          <w:tcPr>
            <w:tcW w:w="1456" w:type="dxa"/>
            <w:tcBorders>
              <w:bottom w:val="single" w:sz="1" w:space="0" w:color="000000"/>
            </w:tcBorders>
          </w:tcPr>
          <w:p>
            <w:pPr>
              <w:pStyle w:val="TableParagraph"/>
              <w:spacing w:before="18"/>
              <w:ind w:right="435"/>
              <w:jc w:val="right"/>
              <w:rPr>
                <w:b/>
                <w:sz w:val="18"/>
              </w:rPr>
            </w:pPr>
            <w:r>
              <w:rPr>
                <w:b/>
                <w:w w:val="95"/>
                <w:sz w:val="18"/>
              </w:rPr>
              <w:t>(3,935)</w:t>
            </w:r>
          </w:p>
        </w:tc>
        <w:tc>
          <w:tcPr>
            <w:tcW w:w="887" w:type="dxa"/>
            <w:tcBorders>
              <w:bottom w:val="single" w:sz="1" w:space="0" w:color="000000"/>
            </w:tcBorders>
          </w:tcPr>
          <w:p>
            <w:pPr>
              <w:pStyle w:val="TableParagraph"/>
              <w:spacing w:before="18"/>
              <w:ind w:right="84"/>
              <w:jc w:val="right"/>
              <w:rPr>
                <w:sz w:val="18"/>
              </w:rPr>
            </w:pPr>
            <w:r>
              <w:rPr>
                <w:w w:val="99"/>
                <w:sz w:val="18"/>
              </w:rPr>
              <w:t>-</w:t>
            </w:r>
          </w:p>
        </w:tc>
      </w:tr>
      <w:tr>
        <w:trPr>
          <w:trHeight w:val="338" w:hRule="exact"/>
        </w:trPr>
        <w:tc>
          <w:tcPr>
            <w:tcW w:w="3997" w:type="dxa"/>
          </w:tcPr>
          <w:p>
            <w:pPr>
              <w:pStyle w:val="TableParagraph"/>
              <w:spacing w:before="125"/>
              <w:ind w:left="35"/>
              <w:rPr>
                <w:b/>
                <w:sz w:val="18"/>
              </w:rPr>
            </w:pPr>
            <w:r>
              <w:rPr>
                <w:b/>
                <w:sz w:val="18"/>
              </w:rPr>
              <w:t>At 31 December</w:t>
            </w:r>
          </w:p>
        </w:tc>
        <w:tc>
          <w:tcPr>
            <w:tcW w:w="1798" w:type="dxa"/>
            <w:tcBorders>
              <w:top w:val="single" w:sz="1" w:space="0" w:color="000000"/>
              <w:bottom w:val="single" w:sz="1" w:space="0" w:color="000000"/>
            </w:tcBorders>
          </w:tcPr>
          <w:p>
            <w:pPr>
              <w:pStyle w:val="TableParagraph"/>
              <w:spacing w:before="124"/>
              <w:ind w:right="420"/>
              <w:jc w:val="right"/>
              <w:rPr>
                <w:b/>
                <w:sz w:val="18"/>
              </w:rPr>
            </w:pPr>
            <w:r>
              <w:rPr>
                <w:b/>
                <w:w w:val="95"/>
                <w:sz w:val="18"/>
              </w:rPr>
              <w:t>770</w:t>
            </w:r>
          </w:p>
        </w:tc>
        <w:tc>
          <w:tcPr>
            <w:tcW w:w="1380" w:type="dxa"/>
            <w:tcBorders>
              <w:top w:val="single" w:sz="1" w:space="0" w:color="000000"/>
              <w:bottom w:val="single" w:sz="1" w:space="0" w:color="000000"/>
            </w:tcBorders>
          </w:tcPr>
          <w:p>
            <w:pPr>
              <w:pStyle w:val="TableParagraph"/>
              <w:spacing w:before="124"/>
              <w:ind w:left="554" w:right="485"/>
              <w:jc w:val="center"/>
              <w:rPr>
                <w:sz w:val="18"/>
              </w:rPr>
            </w:pPr>
            <w:r>
              <w:rPr>
                <w:sz w:val="18"/>
              </w:rPr>
              <w:t>618</w:t>
            </w:r>
          </w:p>
        </w:tc>
        <w:tc>
          <w:tcPr>
            <w:tcW w:w="1456" w:type="dxa"/>
            <w:tcBorders>
              <w:top w:val="single" w:sz="1" w:space="0" w:color="000000"/>
              <w:bottom w:val="single" w:sz="1" w:space="0" w:color="000000"/>
            </w:tcBorders>
          </w:tcPr>
          <w:p>
            <w:pPr>
              <w:pStyle w:val="TableParagraph"/>
              <w:spacing w:before="124"/>
              <w:ind w:right="496"/>
              <w:jc w:val="right"/>
              <w:rPr>
                <w:b/>
                <w:sz w:val="18"/>
              </w:rPr>
            </w:pPr>
            <w:r>
              <w:rPr>
                <w:b/>
                <w:w w:val="95"/>
                <w:sz w:val="18"/>
              </w:rPr>
              <w:t>738</w:t>
            </w:r>
          </w:p>
        </w:tc>
        <w:tc>
          <w:tcPr>
            <w:tcW w:w="887" w:type="dxa"/>
            <w:tcBorders>
              <w:top w:val="single" w:sz="1" w:space="0" w:color="000000"/>
              <w:bottom w:val="single" w:sz="1" w:space="0" w:color="000000"/>
            </w:tcBorders>
          </w:tcPr>
          <w:p>
            <w:pPr>
              <w:pStyle w:val="TableParagraph"/>
              <w:spacing w:before="124"/>
              <w:ind w:right="84"/>
              <w:jc w:val="right"/>
              <w:rPr>
                <w:sz w:val="18"/>
              </w:rPr>
            </w:pPr>
            <w:r>
              <w:rPr>
                <w:w w:val="95"/>
                <w:sz w:val="18"/>
              </w:rPr>
              <w:t>586</w:t>
            </w:r>
          </w:p>
        </w:tc>
      </w:tr>
    </w:tbl>
    <w:p>
      <w:pPr>
        <w:pStyle w:val="BodyText"/>
        <w:spacing w:before="2"/>
        <w:rPr>
          <w:b/>
          <w:sz w:val="19"/>
        </w:rPr>
      </w:pPr>
    </w:p>
    <w:p>
      <w:pPr>
        <w:pStyle w:val="BodyText"/>
        <w:spacing w:before="77"/>
        <w:ind w:left="559" w:right="130"/>
      </w:pPr>
      <w:r>
        <w:rPr/>
        <w:t>The creation and release of the provision for impaired receivables has been included in ‘impairment of assets’ in the </w:t>
      </w:r>
      <w:bookmarkStart w:name="(b) Leasing Arrangements" w:id="90"/>
      <w:bookmarkEnd w:id="90"/>
      <w:r>
        <w:rPr/>
      </w:r>
      <w:r>
        <w:rPr/>
        <w:t>income statement. Amounts charged to the provision account are generally written off when there is no expectation of recovering additional cash.</w:t>
      </w:r>
    </w:p>
    <w:p>
      <w:pPr>
        <w:pStyle w:val="BodyText"/>
        <w:spacing w:before="11"/>
        <w:rPr>
          <w:sz w:val="24"/>
        </w:rPr>
      </w:pPr>
    </w:p>
    <w:p>
      <w:pPr>
        <w:pStyle w:val="BodyText"/>
        <w:ind w:left="559" w:right="220"/>
      </w:pPr>
      <w:r>
        <w:rPr/>
        <w:t>The other amounts within receivables do not contain impaired assets and are not past due. Based on credit history, it is expected that these amounts will be received when due.</w:t>
      </w:r>
    </w:p>
    <w:p>
      <w:pPr>
        <w:pStyle w:val="BodyText"/>
        <w:spacing w:before="7"/>
        <w:rPr>
          <w:sz w:val="26"/>
        </w:rPr>
      </w:pPr>
    </w:p>
    <w:p>
      <w:pPr>
        <w:pStyle w:val="ListParagraph"/>
        <w:numPr>
          <w:ilvl w:val="0"/>
          <w:numId w:val="25"/>
        </w:numPr>
        <w:tabs>
          <w:tab w:pos="1071" w:val="left" w:leader="none"/>
        </w:tabs>
        <w:spacing w:line="240" w:lineRule="auto" w:before="0" w:after="0"/>
        <w:ind w:left="1070" w:right="0" w:hanging="566"/>
        <w:jc w:val="left"/>
        <w:rPr>
          <w:sz w:val="18"/>
        </w:rPr>
      </w:pPr>
      <w:r>
        <w:rPr>
          <w:sz w:val="18"/>
        </w:rPr>
        <w:t>Leasing Arrangements</w:t>
      </w:r>
    </w:p>
    <w:p>
      <w:pPr>
        <w:pStyle w:val="BodyText"/>
        <w:spacing w:before="4"/>
        <w:rPr>
          <w:sz w:val="25"/>
        </w:rPr>
      </w:pPr>
    </w:p>
    <w:p>
      <w:pPr>
        <w:pStyle w:val="BodyText"/>
        <w:ind w:left="559" w:right="220"/>
      </w:pPr>
      <w:r>
        <w:rPr/>
        <w:t>The University, as lessor, has entered into a lease with Campus Living Villages Pty Limited to manage student residence accommodation for a period of 40 years.</w:t>
      </w:r>
    </w:p>
    <w:p>
      <w:pPr>
        <w:spacing w:after="0"/>
        <w:sectPr>
          <w:type w:val="continuous"/>
          <w:pgSz w:w="11910" w:h="16840"/>
          <w:pgMar w:top="1580" w:bottom="280" w:left="900" w:right="880"/>
        </w:sectPr>
      </w:pPr>
    </w:p>
    <w:p>
      <w:pPr>
        <w:pStyle w:val="BodyText"/>
        <w:rPr>
          <w:sz w:val="20"/>
        </w:rPr>
      </w:pPr>
    </w:p>
    <w:p>
      <w:pPr>
        <w:pStyle w:val="BodyText"/>
        <w:rPr>
          <w:sz w:val="20"/>
        </w:rPr>
      </w:pPr>
    </w:p>
    <w:p>
      <w:pPr>
        <w:pStyle w:val="BodyText"/>
        <w:spacing w:before="5"/>
      </w:pPr>
    </w:p>
    <w:p>
      <w:pPr>
        <w:pStyle w:val="Heading9"/>
        <w:tabs>
          <w:tab w:pos="1070" w:val="left" w:leader="none"/>
        </w:tabs>
        <w:ind w:left="504" w:right="220"/>
      </w:pPr>
      <w:bookmarkStart w:name="(c) Amounts receivable under finance lea" w:id="91"/>
      <w:bookmarkEnd w:id="91"/>
      <w:r>
        <w:rPr>
          <w:b w:val="0"/>
        </w:rPr>
      </w:r>
      <w:r>
        <w:rPr/>
        <w:t>18</w:t>
        <w:tab/>
        <w:t>Receivables</w:t>
      </w:r>
      <w:r>
        <w:rPr>
          <w:spacing w:val="-1"/>
        </w:rPr>
        <w:t> </w:t>
      </w:r>
      <w:r>
        <w:rPr/>
        <w:t>(continued)</w:t>
      </w:r>
    </w:p>
    <w:p>
      <w:pPr>
        <w:pStyle w:val="BodyText"/>
        <w:spacing w:before="11"/>
        <w:rPr>
          <w:b/>
          <w:sz w:val="19"/>
        </w:rPr>
      </w:pPr>
    </w:p>
    <w:p>
      <w:pPr>
        <w:spacing w:after="0"/>
        <w:rPr>
          <w:sz w:val="19"/>
        </w:rPr>
        <w:sectPr>
          <w:pgSz w:w="11910" w:h="16840"/>
          <w:pgMar w:header="1037" w:footer="507" w:top="2220" w:bottom="700" w:left="900" w:right="880"/>
        </w:sectPr>
      </w:pPr>
    </w:p>
    <w:p>
      <w:pPr>
        <w:pStyle w:val="ListParagraph"/>
        <w:numPr>
          <w:ilvl w:val="0"/>
          <w:numId w:val="25"/>
        </w:numPr>
        <w:tabs>
          <w:tab w:pos="1071" w:val="left" w:leader="none"/>
        </w:tabs>
        <w:spacing w:line="240" w:lineRule="auto" w:before="77" w:after="0"/>
        <w:ind w:left="1070" w:right="0" w:hanging="566"/>
        <w:jc w:val="left"/>
        <w:rPr>
          <w:sz w:val="18"/>
        </w:rPr>
      </w:pPr>
      <w:r>
        <w:rPr>
          <w:sz w:val="18"/>
        </w:rPr>
        <w:t>Amounts receivable under finance</w:t>
      </w:r>
      <w:r>
        <w:rPr>
          <w:spacing w:val="3"/>
          <w:sz w:val="18"/>
        </w:rPr>
        <w:t> </w:t>
      </w:r>
      <w:r>
        <w:rPr>
          <w:sz w:val="18"/>
        </w:rPr>
        <w:t>leases</w:t>
      </w:r>
    </w:p>
    <w:p>
      <w:pPr>
        <w:pStyle w:val="BodyText"/>
      </w:pPr>
      <w:r>
        <w:rPr/>
        <w:br w:type="column"/>
      </w:r>
      <w:r>
        <w:rPr/>
      </w:r>
    </w:p>
    <w:p>
      <w:pPr>
        <w:pStyle w:val="Heading9"/>
        <w:tabs>
          <w:tab w:pos="2831" w:val="left" w:leader="none"/>
        </w:tabs>
        <w:spacing w:line="207" w:lineRule="exact" w:before="115"/>
        <w:ind w:left="354"/>
      </w:pPr>
      <w:r>
        <w:rPr/>
        <w:t>Minimum</w:t>
      </w:r>
      <w:r>
        <w:rPr>
          <w:spacing w:val="-2"/>
        </w:rPr>
        <w:t> </w:t>
      </w:r>
      <w:r>
        <w:rPr/>
        <w:t>lease</w:t>
      </w:r>
      <w:r>
        <w:rPr>
          <w:spacing w:val="-2"/>
        </w:rPr>
        <w:t> </w:t>
      </w:r>
      <w:r>
        <w:rPr/>
        <w:t>payments</w:t>
        <w:tab/>
        <w:t>Present value of minimum</w:t>
      </w:r>
      <w:r>
        <w:rPr>
          <w:spacing w:val="-1"/>
        </w:rPr>
        <w:t> </w:t>
      </w:r>
      <w:r>
        <w:rPr/>
        <w:t>lease</w:t>
      </w:r>
    </w:p>
    <w:p>
      <w:pPr>
        <w:spacing w:line="207" w:lineRule="exact" w:before="0"/>
        <w:ind w:left="3789" w:right="0" w:firstLine="0"/>
        <w:jc w:val="left"/>
        <w:rPr>
          <w:b/>
          <w:sz w:val="18"/>
        </w:rPr>
      </w:pPr>
      <w:r>
        <w:rPr>
          <w:b/>
          <w:sz w:val="18"/>
        </w:rPr>
        <w:t>payments</w:t>
      </w:r>
    </w:p>
    <w:p>
      <w:pPr>
        <w:spacing w:after="0" w:line="207" w:lineRule="exact"/>
        <w:jc w:val="left"/>
        <w:rPr>
          <w:sz w:val="18"/>
        </w:rPr>
        <w:sectPr>
          <w:type w:val="continuous"/>
          <w:pgSz w:w="11910" w:h="16840"/>
          <w:pgMar w:top="1580" w:bottom="280" w:left="900" w:right="880"/>
          <w:cols w:num="2" w:equalWidth="0">
            <w:col w:w="4387" w:space="40"/>
            <w:col w:w="5703"/>
          </w:cols>
        </w:sectPr>
      </w:pPr>
    </w:p>
    <w:p>
      <w:pPr>
        <w:spacing w:before="66"/>
        <w:ind w:left="0" w:right="0" w:firstLine="0"/>
        <w:jc w:val="right"/>
        <w:rPr>
          <w:b/>
          <w:sz w:val="18"/>
        </w:rPr>
      </w:pPr>
      <w:r>
        <w:rPr>
          <w:b/>
          <w:w w:val="95"/>
          <w:sz w:val="18"/>
        </w:rPr>
        <w:t>2017</w:t>
      </w:r>
    </w:p>
    <w:p>
      <w:pPr>
        <w:spacing w:before="66"/>
        <w:ind w:left="0" w:right="0" w:firstLine="0"/>
        <w:jc w:val="right"/>
        <w:rPr>
          <w:b/>
          <w:sz w:val="18"/>
        </w:rPr>
      </w:pPr>
      <w:r>
        <w:rPr/>
        <w:br w:type="column"/>
      </w:r>
      <w:r>
        <w:rPr>
          <w:b/>
          <w:sz w:val="18"/>
        </w:rPr>
        <w:t>2016</w:t>
      </w:r>
    </w:p>
    <w:p>
      <w:pPr>
        <w:spacing w:before="66"/>
        <w:ind w:left="0" w:right="0" w:firstLine="0"/>
        <w:jc w:val="right"/>
        <w:rPr>
          <w:b/>
          <w:sz w:val="18"/>
        </w:rPr>
      </w:pPr>
      <w:r>
        <w:rPr/>
        <w:br w:type="column"/>
      </w:r>
      <w:r>
        <w:rPr>
          <w:b/>
          <w:sz w:val="18"/>
        </w:rPr>
        <w:t>2017</w:t>
      </w:r>
    </w:p>
    <w:p>
      <w:pPr>
        <w:spacing w:before="66"/>
        <w:ind w:left="852" w:right="0" w:firstLine="0"/>
        <w:jc w:val="left"/>
        <w:rPr>
          <w:b/>
          <w:sz w:val="18"/>
        </w:rPr>
      </w:pPr>
      <w:r>
        <w:rPr/>
        <w:br w:type="column"/>
      </w:r>
      <w:r>
        <w:rPr>
          <w:b/>
          <w:sz w:val="18"/>
        </w:rPr>
        <w:t>2016</w:t>
      </w:r>
    </w:p>
    <w:p>
      <w:pPr>
        <w:spacing w:after="0"/>
        <w:jc w:val="left"/>
        <w:rPr>
          <w:sz w:val="18"/>
        </w:rPr>
        <w:sectPr>
          <w:type w:val="continuous"/>
          <w:pgSz w:w="11910" w:h="16840"/>
          <w:pgMar w:top="1580" w:bottom="280" w:left="900" w:right="880"/>
          <w:cols w:num="4" w:equalWidth="0">
            <w:col w:w="5506" w:space="40"/>
            <w:col w:w="1257" w:space="40"/>
            <w:col w:w="1424" w:space="40"/>
            <w:col w:w="1823"/>
          </w:cols>
        </w:sectPr>
      </w:pPr>
    </w:p>
    <w:p>
      <w:pPr>
        <w:pStyle w:val="BodyText"/>
        <w:spacing w:before="1"/>
        <w:rPr>
          <w:b/>
          <w:sz w:val="3"/>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21"/>
        <w:gridCol w:w="1746"/>
        <w:gridCol w:w="1410"/>
        <w:gridCol w:w="1350"/>
        <w:gridCol w:w="1014"/>
      </w:tblGrid>
      <w:tr>
        <w:trPr>
          <w:trHeight w:val="544" w:hRule="exact"/>
        </w:trPr>
        <w:tc>
          <w:tcPr>
            <w:tcW w:w="4021" w:type="dxa"/>
          </w:tcPr>
          <w:p>
            <w:pPr>
              <w:pStyle w:val="TableParagraph"/>
              <w:spacing w:before="2"/>
              <w:rPr>
                <w:b/>
                <w:sz w:val="26"/>
              </w:rPr>
            </w:pPr>
          </w:p>
          <w:p>
            <w:pPr>
              <w:pStyle w:val="TableParagraph"/>
              <w:spacing w:before="1"/>
              <w:ind w:left="35" w:right="855"/>
              <w:rPr>
                <w:sz w:val="18"/>
              </w:rPr>
            </w:pPr>
            <w:r>
              <w:rPr>
                <w:sz w:val="18"/>
              </w:rPr>
              <w:t>Not later than 1 year</w:t>
            </w:r>
          </w:p>
        </w:tc>
        <w:tc>
          <w:tcPr>
            <w:tcW w:w="1746" w:type="dxa"/>
          </w:tcPr>
          <w:p>
            <w:pPr>
              <w:pStyle w:val="TableParagraph"/>
              <w:spacing w:before="30"/>
              <w:ind w:left="572" w:right="689"/>
              <w:jc w:val="center"/>
              <w:rPr>
                <w:b/>
                <w:sz w:val="18"/>
              </w:rPr>
            </w:pPr>
            <w:r>
              <w:rPr>
                <w:b/>
                <w:sz w:val="18"/>
              </w:rPr>
              <w:t>$'000</w:t>
            </w:r>
          </w:p>
          <w:p>
            <w:pPr>
              <w:pStyle w:val="TableParagraph"/>
              <w:spacing w:before="62"/>
              <w:ind w:right="370"/>
              <w:jc w:val="right"/>
              <w:rPr>
                <w:b/>
                <w:sz w:val="18"/>
              </w:rPr>
            </w:pPr>
            <w:r>
              <w:rPr>
                <w:b/>
                <w:w w:val="99"/>
                <w:sz w:val="18"/>
              </w:rPr>
              <w:t>-</w:t>
            </w:r>
          </w:p>
        </w:tc>
        <w:tc>
          <w:tcPr>
            <w:tcW w:w="1410" w:type="dxa"/>
          </w:tcPr>
          <w:p>
            <w:pPr>
              <w:pStyle w:val="TableParagraph"/>
              <w:spacing w:before="30"/>
              <w:ind w:left="140" w:right="-10"/>
              <w:rPr>
                <w:b/>
                <w:sz w:val="18"/>
              </w:rPr>
            </w:pPr>
            <w:r>
              <w:rPr>
                <w:b/>
                <w:sz w:val="18"/>
              </w:rPr>
              <w:t>$'000</w:t>
            </w:r>
          </w:p>
          <w:p>
            <w:pPr>
              <w:pStyle w:val="TableParagraph"/>
              <w:spacing w:before="62"/>
              <w:ind w:left="380"/>
              <w:jc w:val="center"/>
              <w:rPr>
                <w:sz w:val="18"/>
              </w:rPr>
            </w:pPr>
            <w:r>
              <w:rPr>
                <w:w w:val="99"/>
                <w:sz w:val="18"/>
              </w:rPr>
              <w:t>-</w:t>
            </w:r>
          </w:p>
        </w:tc>
        <w:tc>
          <w:tcPr>
            <w:tcW w:w="1350" w:type="dxa"/>
          </w:tcPr>
          <w:p>
            <w:pPr>
              <w:pStyle w:val="TableParagraph"/>
              <w:spacing w:before="30"/>
              <w:ind w:left="194"/>
              <w:rPr>
                <w:b/>
                <w:sz w:val="18"/>
              </w:rPr>
            </w:pPr>
            <w:r>
              <w:rPr>
                <w:b/>
                <w:sz w:val="18"/>
              </w:rPr>
              <w:t>$'000</w:t>
            </w:r>
          </w:p>
          <w:p>
            <w:pPr>
              <w:pStyle w:val="TableParagraph"/>
              <w:spacing w:before="62"/>
              <w:ind w:right="368"/>
              <w:jc w:val="right"/>
              <w:rPr>
                <w:b/>
                <w:sz w:val="18"/>
              </w:rPr>
            </w:pPr>
            <w:r>
              <w:rPr>
                <w:b/>
                <w:w w:val="99"/>
                <w:sz w:val="18"/>
              </w:rPr>
              <w:t>-</w:t>
            </w:r>
          </w:p>
        </w:tc>
        <w:tc>
          <w:tcPr>
            <w:tcW w:w="1014" w:type="dxa"/>
          </w:tcPr>
          <w:p>
            <w:pPr>
              <w:pStyle w:val="TableParagraph"/>
              <w:spacing w:before="30"/>
              <w:ind w:left="140"/>
              <w:rPr>
                <w:b/>
                <w:sz w:val="18"/>
              </w:rPr>
            </w:pPr>
            <w:r>
              <w:rPr>
                <w:b/>
                <w:sz w:val="18"/>
              </w:rPr>
              <w:t>$'000</w:t>
            </w:r>
          </w:p>
          <w:p>
            <w:pPr>
              <w:pStyle w:val="TableParagraph"/>
              <w:spacing w:before="62"/>
              <w:ind w:right="86"/>
              <w:jc w:val="right"/>
              <w:rPr>
                <w:sz w:val="18"/>
              </w:rPr>
            </w:pPr>
            <w:r>
              <w:rPr>
                <w:w w:val="99"/>
                <w:sz w:val="18"/>
              </w:rPr>
              <w:t>-</w:t>
            </w:r>
          </w:p>
        </w:tc>
      </w:tr>
      <w:tr>
        <w:trPr>
          <w:trHeight w:val="467" w:hRule="exact"/>
        </w:trPr>
        <w:tc>
          <w:tcPr>
            <w:tcW w:w="4021" w:type="dxa"/>
          </w:tcPr>
          <w:p>
            <w:pPr>
              <w:pStyle w:val="TableParagraph"/>
              <w:spacing w:before="16"/>
              <w:ind w:left="35" w:right="1554"/>
              <w:rPr>
                <w:sz w:val="18"/>
              </w:rPr>
            </w:pPr>
            <w:r>
              <w:rPr>
                <w:sz w:val="18"/>
              </w:rPr>
              <w:t>Later than 1 year and not later than 5 years</w:t>
            </w:r>
          </w:p>
        </w:tc>
        <w:tc>
          <w:tcPr>
            <w:tcW w:w="1746" w:type="dxa"/>
          </w:tcPr>
          <w:p>
            <w:pPr>
              <w:pStyle w:val="TableParagraph"/>
              <w:spacing w:before="2"/>
              <w:rPr>
                <w:b/>
                <w:sz w:val="19"/>
              </w:rPr>
            </w:pPr>
          </w:p>
          <w:p>
            <w:pPr>
              <w:pStyle w:val="TableParagraph"/>
              <w:ind w:right="370"/>
              <w:jc w:val="right"/>
              <w:rPr>
                <w:b/>
                <w:sz w:val="18"/>
              </w:rPr>
            </w:pPr>
            <w:r>
              <w:rPr>
                <w:b/>
                <w:w w:val="99"/>
                <w:sz w:val="18"/>
              </w:rPr>
              <w:t>-</w:t>
            </w:r>
          </w:p>
        </w:tc>
        <w:tc>
          <w:tcPr>
            <w:tcW w:w="1410" w:type="dxa"/>
          </w:tcPr>
          <w:p>
            <w:pPr>
              <w:pStyle w:val="TableParagraph"/>
              <w:spacing w:before="2"/>
              <w:rPr>
                <w:b/>
                <w:sz w:val="19"/>
              </w:rPr>
            </w:pPr>
          </w:p>
          <w:p>
            <w:pPr>
              <w:pStyle w:val="TableParagraph"/>
              <w:ind w:right="484"/>
              <w:jc w:val="right"/>
              <w:rPr>
                <w:sz w:val="18"/>
              </w:rPr>
            </w:pPr>
            <w:r>
              <w:rPr>
                <w:w w:val="99"/>
                <w:sz w:val="18"/>
              </w:rPr>
              <w:t>-</w:t>
            </w:r>
          </w:p>
        </w:tc>
        <w:tc>
          <w:tcPr>
            <w:tcW w:w="1350" w:type="dxa"/>
          </w:tcPr>
          <w:p>
            <w:pPr>
              <w:pStyle w:val="TableParagraph"/>
              <w:spacing w:before="2"/>
              <w:rPr>
                <w:b/>
                <w:sz w:val="19"/>
              </w:rPr>
            </w:pPr>
          </w:p>
          <w:p>
            <w:pPr>
              <w:pStyle w:val="TableParagraph"/>
              <w:ind w:right="368"/>
              <w:jc w:val="right"/>
              <w:rPr>
                <w:b/>
                <w:sz w:val="18"/>
              </w:rPr>
            </w:pPr>
            <w:r>
              <w:rPr>
                <w:b/>
                <w:w w:val="99"/>
                <w:sz w:val="18"/>
              </w:rPr>
              <w:t>-</w:t>
            </w:r>
          </w:p>
        </w:tc>
        <w:tc>
          <w:tcPr>
            <w:tcW w:w="1014" w:type="dxa"/>
          </w:tcPr>
          <w:p>
            <w:pPr>
              <w:pStyle w:val="TableParagraph"/>
              <w:spacing w:before="2"/>
              <w:rPr>
                <w:b/>
                <w:sz w:val="19"/>
              </w:rPr>
            </w:pPr>
          </w:p>
          <w:p>
            <w:pPr>
              <w:pStyle w:val="TableParagraph"/>
              <w:ind w:right="86"/>
              <w:jc w:val="right"/>
              <w:rPr>
                <w:sz w:val="18"/>
              </w:rPr>
            </w:pPr>
            <w:r>
              <w:rPr>
                <w:w w:val="99"/>
                <w:sz w:val="18"/>
              </w:rPr>
              <w:t>-</w:t>
            </w:r>
          </w:p>
        </w:tc>
      </w:tr>
      <w:tr>
        <w:trPr>
          <w:trHeight w:val="260" w:hRule="exact"/>
        </w:trPr>
        <w:tc>
          <w:tcPr>
            <w:tcW w:w="4021" w:type="dxa"/>
          </w:tcPr>
          <w:p>
            <w:pPr>
              <w:pStyle w:val="TableParagraph"/>
              <w:spacing w:before="20"/>
              <w:ind w:left="35" w:right="855"/>
              <w:rPr>
                <w:sz w:val="18"/>
              </w:rPr>
            </w:pPr>
            <w:r>
              <w:rPr>
                <w:sz w:val="18"/>
              </w:rPr>
              <w:t>Later than 5 years</w:t>
            </w:r>
          </w:p>
        </w:tc>
        <w:tc>
          <w:tcPr>
            <w:tcW w:w="1746" w:type="dxa"/>
            <w:tcBorders>
              <w:bottom w:val="single" w:sz="1" w:space="0" w:color="000000"/>
            </w:tcBorders>
          </w:tcPr>
          <w:p>
            <w:pPr>
              <w:pStyle w:val="TableParagraph"/>
              <w:spacing w:before="18"/>
              <w:ind w:right="369"/>
              <w:jc w:val="right"/>
              <w:rPr>
                <w:b/>
                <w:sz w:val="18"/>
              </w:rPr>
            </w:pPr>
            <w:r>
              <w:rPr>
                <w:b/>
                <w:w w:val="95"/>
                <w:sz w:val="18"/>
              </w:rPr>
              <w:t>42,990</w:t>
            </w:r>
          </w:p>
        </w:tc>
        <w:tc>
          <w:tcPr>
            <w:tcW w:w="1410" w:type="dxa"/>
            <w:tcBorders>
              <w:bottom w:val="single" w:sz="1" w:space="0" w:color="000000"/>
            </w:tcBorders>
          </w:tcPr>
          <w:p>
            <w:pPr>
              <w:pStyle w:val="TableParagraph"/>
              <w:spacing w:before="18"/>
              <w:ind w:left="370" w:right="-10"/>
              <w:rPr>
                <w:sz w:val="18"/>
              </w:rPr>
            </w:pPr>
            <w:r>
              <w:rPr>
                <w:sz w:val="18"/>
              </w:rPr>
              <w:t>42,990</w:t>
            </w:r>
          </w:p>
        </w:tc>
        <w:tc>
          <w:tcPr>
            <w:tcW w:w="1350" w:type="dxa"/>
            <w:tcBorders>
              <w:bottom w:val="single" w:sz="1" w:space="0" w:color="000000"/>
            </w:tcBorders>
          </w:tcPr>
          <w:p>
            <w:pPr>
              <w:pStyle w:val="TableParagraph"/>
              <w:spacing w:before="18"/>
              <w:ind w:right="369"/>
              <w:jc w:val="right"/>
              <w:rPr>
                <w:b/>
                <w:sz w:val="18"/>
              </w:rPr>
            </w:pPr>
            <w:r>
              <w:rPr>
                <w:b/>
                <w:w w:val="95"/>
                <w:sz w:val="18"/>
              </w:rPr>
              <w:t>18,115</w:t>
            </w:r>
          </w:p>
        </w:tc>
        <w:tc>
          <w:tcPr>
            <w:tcW w:w="1014" w:type="dxa"/>
            <w:tcBorders>
              <w:bottom w:val="single" w:sz="1" w:space="0" w:color="000000"/>
            </w:tcBorders>
          </w:tcPr>
          <w:p>
            <w:pPr>
              <w:pStyle w:val="TableParagraph"/>
              <w:spacing w:before="18"/>
              <w:ind w:right="87"/>
              <w:jc w:val="right"/>
              <w:rPr>
                <w:sz w:val="18"/>
              </w:rPr>
            </w:pPr>
            <w:r>
              <w:rPr>
                <w:w w:val="95"/>
                <w:sz w:val="18"/>
              </w:rPr>
              <w:t>17,673</w:t>
            </w:r>
          </w:p>
        </w:tc>
      </w:tr>
      <w:tr>
        <w:trPr>
          <w:trHeight w:val="328" w:hRule="exact"/>
        </w:trPr>
        <w:tc>
          <w:tcPr>
            <w:tcW w:w="4021" w:type="dxa"/>
          </w:tcPr>
          <w:p>
            <w:pPr>
              <w:pStyle w:val="TableParagraph"/>
              <w:spacing w:before="125"/>
              <w:ind w:left="35" w:right="855"/>
              <w:rPr>
                <w:b/>
                <w:sz w:val="18"/>
              </w:rPr>
            </w:pPr>
            <w:r>
              <w:rPr>
                <w:b/>
                <w:sz w:val="18"/>
              </w:rPr>
              <w:t>Amounts receivable under</w:t>
            </w:r>
          </w:p>
        </w:tc>
        <w:tc>
          <w:tcPr>
            <w:tcW w:w="1746" w:type="dxa"/>
            <w:tcBorders>
              <w:top w:val="single" w:sz="1" w:space="0" w:color="000000"/>
            </w:tcBorders>
          </w:tcPr>
          <w:p>
            <w:pPr/>
          </w:p>
        </w:tc>
        <w:tc>
          <w:tcPr>
            <w:tcW w:w="1410" w:type="dxa"/>
            <w:tcBorders>
              <w:top w:val="single" w:sz="1" w:space="0" w:color="000000"/>
            </w:tcBorders>
          </w:tcPr>
          <w:p>
            <w:pPr/>
          </w:p>
        </w:tc>
        <w:tc>
          <w:tcPr>
            <w:tcW w:w="1350" w:type="dxa"/>
            <w:tcBorders>
              <w:top w:val="single" w:sz="1" w:space="0" w:color="000000"/>
            </w:tcBorders>
          </w:tcPr>
          <w:p>
            <w:pPr/>
          </w:p>
        </w:tc>
        <w:tc>
          <w:tcPr>
            <w:tcW w:w="1014" w:type="dxa"/>
            <w:tcBorders>
              <w:top w:val="single" w:sz="1" w:space="0" w:color="000000"/>
            </w:tcBorders>
          </w:tcPr>
          <w:p>
            <w:pPr/>
          </w:p>
        </w:tc>
      </w:tr>
      <w:tr>
        <w:trPr>
          <w:trHeight w:val="244" w:hRule="exact"/>
        </w:trPr>
        <w:tc>
          <w:tcPr>
            <w:tcW w:w="9541" w:type="dxa"/>
            <w:gridSpan w:val="5"/>
          </w:tcPr>
          <w:p>
            <w:pPr>
              <w:pStyle w:val="TableParagraph"/>
              <w:tabs>
                <w:tab w:pos="4021" w:val="left" w:leader="none"/>
                <w:tab w:pos="4842" w:val="left" w:leader="none"/>
                <w:tab w:pos="6138" w:val="left" w:leader="none"/>
                <w:tab w:pos="7602" w:val="left" w:leader="none"/>
                <w:tab w:pos="8898" w:val="left" w:leader="none"/>
              </w:tabs>
              <w:spacing w:before="3"/>
              <w:ind w:left="35"/>
              <w:rPr>
                <w:sz w:val="18"/>
              </w:rPr>
            </w:pPr>
            <w:r>
              <w:rPr>
                <w:b/>
                <w:sz w:val="18"/>
              </w:rPr>
              <w:t>finance leases</w:t>
              <w:tab/>
            </w:r>
            <w:r>
              <w:rPr>
                <w:rFonts w:ascii="Times New Roman"/>
                <w:sz w:val="18"/>
                <w:u w:val="single"/>
              </w:rPr>
              <w:t> </w:t>
              <w:tab/>
            </w:r>
            <w:r>
              <w:rPr>
                <w:b/>
                <w:sz w:val="18"/>
                <w:u w:val="single"/>
              </w:rPr>
              <w:t>42,990</w:t>
              <w:tab/>
            </w:r>
            <w:r>
              <w:rPr>
                <w:sz w:val="18"/>
                <w:u w:val="single"/>
              </w:rPr>
              <w:t>42,990</w:t>
              <w:tab/>
            </w:r>
            <w:r>
              <w:rPr>
                <w:b/>
                <w:sz w:val="18"/>
                <w:u w:val="single"/>
              </w:rPr>
              <w:t>18,115</w:t>
              <w:tab/>
            </w:r>
            <w:r>
              <w:rPr>
                <w:sz w:val="18"/>
                <w:u w:val="single"/>
              </w:rPr>
              <w:t>17,673</w:t>
            </w:r>
          </w:p>
        </w:tc>
      </w:tr>
      <w:tr>
        <w:trPr>
          <w:trHeight w:val="256" w:hRule="exact"/>
        </w:trPr>
        <w:tc>
          <w:tcPr>
            <w:tcW w:w="4021" w:type="dxa"/>
          </w:tcPr>
          <w:p>
            <w:pPr>
              <w:pStyle w:val="TableParagraph"/>
              <w:spacing w:before="16"/>
              <w:ind w:left="35" w:right="855"/>
              <w:rPr>
                <w:sz w:val="18"/>
              </w:rPr>
            </w:pPr>
            <w:r>
              <w:rPr>
                <w:sz w:val="18"/>
              </w:rPr>
              <w:t>Less unearned finance income</w:t>
            </w:r>
          </w:p>
        </w:tc>
        <w:tc>
          <w:tcPr>
            <w:tcW w:w="1746" w:type="dxa"/>
            <w:tcBorders>
              <w:bottom w:val="single" w:sz="1" w:space="0" w:color="000000"/>
            </w:tcBorders>
          </w:tcPr>
          <w:p>
            <w:pPr>
              <w:pStyle w:val="TableParagraph"/>
              <w:spacing w:before="14"/>
              <w:ind w:right="308"/>
              <w:jc w:val="right"/>
              <w:rPr>
                <w:b/>
                <w:sz w:val="18"/>
              </w:rPr>
            </w:pPr>
            <w:r>
              <w:rPr>
                <w:b/>
                <w:w w:val="95"/>
                <w:sz w:val="18"/>
              </w:rPr>
              <w:t>(24,875)</w:t>
            </w:r>
          </w:p>
        </w:tc>
        <w:tc>
          <w:tcPr>
            <w:tcW w:w="1410" w:type="dxa"/>
            <w:tcBorders>
              <w:bottom w:val="single" w:sz="1" w:space="0" w:color="000000"/>
            </w:tcBorders>
          </w:tcPr>
          <w:p>
            <w:pPr>
              <w:pStyle w:val="TableParagraph"/>
              <w:spacing w:before="14"/>
              <w:ind w:left="310" w:right="-10"/>
              <w:rPr>
                <w:sz w:val="18"/>
              </w:rPr>
            </w:pPr>
            <w:r>
              <w:rPr>
                <w:sz w:val="18"/>
              </w:rPr>
              <w:t>(25,317)</w:t>
            </w:r>
          </w:p>
        </w:tc>
        <w:tc>
          <w:tcPr>
            <w:tcW w:w="1350" w:type="dxa"/>
            <w:tcBorders>
              <w:bottom w:val="single" w:sz="1" w:space="0" w:color="000000"/>
            </w:tcBorders>
          </w:tcPr>
          <w:p>
            <w:pPr>
              <w:pStyle w:val="TableParagraph"/>
              <w:spacing w:before="14"/>
              <w:ind w:right="368"/>
              <w:jc w:val="right"/>
              <w:rPr>
                <w:b/>
                <w:sz w:val="18"/>
              </w:rPr>
            </w:pPr>
            <w:r>
              <w:rPr>
                <w:b/>
                <w:w w:val="99"/>
                <w:sz w:val="18"/>
              </w:rPr>
              <w:t>-</w:t>
            </w:r>
          </w:p>
        </w:tc>
        <w:tc>
          <w:tcPr>
            <w:tcW w:w="1014" w:type="dxa"/>
            <w:tcBorders>
              <w:bottom w:val="single" w:sz="1" w:space="0" w:color="000000"/>
            </w:tcBorders>
          </w:tcPr>
          <w:p>
            <w:pPr>
              <w:pStyle w:val="TableParagraph"/>
              <w:spacing w:before="14"/>
              <w:ind w:right="86"/>
              <w:jc w:val="right"/>
              <w:rPr>
                <w:sz w:val="18"/>
              </w:rPr>
            </w:pPr>
            <w:r>
              <w:rPr>
                <w:w w:val="99"/>
                <w:sz w:val="18"/>
              </w:rPr>
              <w:t>-</w:t>
            </w:r>
          </w:p>
        </w:tc>
      </w:tr>
      <w:tr>
        <w:trPr>
          <w:trHeight w:val="341" w:hRule="exact"/>
        </w:trPr>
        <w:tc>
          <w:tcPr>
            <w:tcW w:w="4021" w:type="dxa"/>
          </w:tcPr>
          <w:p>
            <w:pPr>
              <w:pStyle w:val="TableParagraph"/>
              <w:spacing w:before="125"/>
              <w:ind w:left="35" w:right="855"/>
              <w:rPr>
                <w:sz w:val="18"/>
              </w:rPr>
            </w:pPr>
            <w:r>
              <w:rPr>
                <w:sz w:val="18"/>
              </w:rPr>
              <w:t>Present value of minimum lease</w:t>
            </w:r>
          </w:p>
        </w:tc>
        <w:tc>
          <w:tcPr>
            <w:tcW w:w="1746" w:type="dxa"/>
            <w:tcBorders>
              <w:top w:val="single" w:sz="1" w:space="0" w:color="000000"/>
            </w:tcBorders>
          </w:tcPr>
          <w:p>
            <w:pPr/>
          </w:p>
        </w:tc>
        <w:tc>
          <w:tcPr>
            <w:tcW w:w="1410" w:type="dxa"/>
            <w:tcBorders>
              <w:top w:val="single" w:sz="1" w:space="0" w:color="000000"/>
            </w:tcBorders>
          </w:tcPr>
          <w:p>
            <w:pPr/>
          </w:p>
        </w:tc>
        <w:tc>
          <w:tcPr>
            <w:tcW w:w="1350" w:type="dxa"/>
            <w:tcBorders>
              <w:top w:val="single" w:sz="1" w:space="0" w:color="000000"/>
            </w:tcBorders>
          </w:tcPr>
          <w:p>
            <w:pPr/>
          </w:p>
        </w:tc>
        <w:tc>
          <w:tcPr>
            <w:tcW w:w="1014" w:type="dxa"/>
            <w:tcBorders>
              <w:top w:val="single" w:sz="1" w:space="0" w:color="000000"/>
            </w:tcBorders>
          </w:tcPr>
          <w:p>
            <w:pPr/>
          </w:p>
        </w:tc>
      </w:tr>
      <w:tr>
        <w:trPr>
          <w:trHeight w:val="220" w:hRule="exact"/>
        </w:trPr>
        <w:tc>
          <w:tcPr>
            <w:tcW w:w="4021" w:type="dxa"/>
          </w:tcPr>
          <w:p>
            <w:pPr>
              <w:pStyle w:val="TableParagraph"/>
              <w:spacing w:line="197" w:lineRule="exact"/>
              <w:ind w:left="35" w:right="855"/>
              <w:rPr>
                <w:sz w:val="18"/>
              </w:rPr>
            </w:pPr>
            <w:r>
              <w:rPr>
                <w:sz w:val="18"/>
              </w:rPr>
              <w:t>payments receivable</w:t>
            </w:r>
          </w:p>
        </w:tc>
        <w:tc>
          <w:tcPr>
            <w:tcW w:w="1746" w:type="dxa"/>
          </w:tcPr>
          <w:p>
            <w:pPr>
              <w:pStyle w:val="TableParagraph"/>
              <w:spacing w:line="197" w:lineRule="exact"/>
              <w:ind w:right="369"/>
              <w:jc w:val="right"/>
              <w:rPr>
                <w:b/>
                <w:sz w:val="18"/>
              </w:rPr>
            </w:pPr>
            <w:r>
              <w:rPr>
                <w:b/>
                <w:w w:val="95"/>
                <w:sz w:val="18"/>
              </w:rPr>
              <w:t>18,115</w:t>
            </w:r>
          </w:p>
        </w:tc>
        <w:tc>
          <w:tcPr>
            <w:tcW w:w="1410" w:type="dxa"/>
          </w:tcPr>
          <w:p>
            <w:pPr>
              <w:pStyle w:val="TableParagraph"/>
              <w:spacing w:line="197" w:lineRule="exact"/>
              <w:ind w:left="370" w:right="-10"/>
              <w:rPr>
                <w:sz w:val="18"/>
              </w:rPr>
            </w:pPr>
            <w:r>
              <w:rPr>
                <w:sz w:val="18"/>
              </w:rPr>
              <w:t>17,673</w:t>
            </w:r>
          </w:p>
        </w:tc>
        <w:tc>
          <w:tcPr>
            <w:tcW w:w="1350" w:type="dxa"/>
          </w:tcPr>
          <w:p>
            <w:pPr>
              <w:pStyle w:val="TableParagraph"/>
              <w:spacing w:line="197" w:lineRule="exact"/>
              <w:ind w:right="369"/>
              <w:jc w:val="right"/>
              <w:rPr>
                <w:b/>
                <w:sz w:val="18"/>
              </w:rPr>
            </w:pPr>
            <w:r>
              <w:rPr>
                <w:b/>
                <w:w w:val="95"/>
                <w:sz w:val="18"/>
              </w:rPr>
              <w:t>18,115</w:t>
            </w:r>
          </w:p>
        </w:tc>
        <w:tc>
          <w:tcPr>
            <w:tcW w:w="1014" w:type="dxa"/>
          </w:tcPr>
          <w:p>
            <w:pPr>
              <w:pStyle w:val="TableParagraph"/>
              <w:spacing w:line="197" w:lineRule="exact"/>
              <w:ind w:right="87"/>
              <w:jc w:val="right"/>
              <w:rPr>
                <w:sz w:val="18"/>
              </w:rPr>
            </w:pPr>
            <w:r>
              <w:rPr>
                <w:w w:val="95"/>
                <w:sz w:val="18"/>
              </w:rPr>
              <w:t>17,673</w:t>
            </w:r>
          </w:p>
        </w:tc>
      </w:tr>
      <w:tr>
        <w:trPr>
          <w:trHeight w:val="449" w:hRule="exact"/>
        </w:trPr>
        <w:tc>
          <w:tcPr>
            <w:tcW w:w="4021" w:type="dxa"/>
          </w:tcPr>
          <w:p>
            <w:pPr>
              <w:pStyle w:val="TableParagraph"/>
              <w:spacing w:before="3"/>
              <w:ind w:left="35" w:right="855"/>
              <w:rPr>
                <w:sz w:val="18"/>
              </w:rPr>
            </w:pPr>
            <w:r>
              <w:rPr>
                <w:sz w:val="18"/>
              </w:rPr>
              <w:t>Allowance for uncollectable lease payments</w:t>
            </w:r>
          </w:p>
        </w:tc>
        <w:tc>
          <w:tcPr>
            <w:tcW w:w="1746" w:type="dxa"/>
            <w:tcBorders>
              <w:bottom w:val="single" w:sz="1" w:space="0" w:color="000000"/>
            </w:tcBorders>
          </w:tcPr>
          <w:p>
            <w:pPr>
              <w:pStyle w:val="TableParagraph"/>
              <w:rPr>
                <w:b/>
                <w:sz w:val="18"/>
              </w:rPr>
            </w:pPr>
          </w:p>
          <w:p>
            <w:pPr>
              <w:pStyle w:val="TableParagraph"/>
              <w:ind w:right="370"/>
              <w:jc w:val="right"/>
              <w:rPr>
                <w:b/>
                <w:sz w:val="18"/>
              </w:rPr>
            </w:pPr>
            <w:r>
              <w:rPr>
                <w:b/>
                <w:w w:val="99"/>
                <w:sz w:val="18"/>
              </w:rPr>
              <w:t>-</w:t>
            </w:r>
          </w:p>
        </w:tc>
        <w:tc>
          <w:tcPr>
            <w:tcW w:w="1410" w:type="dxa"/>
            <w:tcBorders>
              <w:bottom w:val="single" w:sz="1" w:space="0" w:color="000000"/>
            </w:tcBorders>
          </w:tcPr>
          <w:p>
            <w:pPr>
              <w:pStyle w:val="TableParagraph"/>
              <w:rPr>
                <w:b/>
                <w:sz w:val="18"/>
              </w:rPr>
            </w:pPr>
          </w:p>
          <w:p>
            <w:pPr>
              <w:pStyle w:val="TableParagraph"/>
              <w:ind w:right="484"/>
              <w:jc w:val="right"/>
              <w:rPr>
                <w:sz w:val="18"/>
              </w:rPr>
            </w:pPr>
            <w:r>
              <w:rPr>
                <w:w w:val="99"/>
                <w:sz w:val="18"/>
              </w:rPr>
              <w:t>-</w:t>
            </w:r>
          </w:p>
        </w:tc>
        <w:tc>
          <w:tcPr>
            <w:tcW w:w="1350" w:type="dxa"/>
            <w:tcBorders>
              <w:bottom w:val="single" w:sz="1" w:space="0" w:color="000000"/>
            </w:tcBorders>
          </w:tcPr>
          <w:p>
            <w:pPr>
              <w:pStyle w:val="TableParagraph"/>
              <w:rPr>
                <w:b/>
                <w:sz w:val="18"/>
              </w:rPr>
            </w:pPr>
          </w:p>
          <w:p>
            <w:pPr>
              <w:pStyle w:val="TableParagraph"/>
              <w:ind w:right="368"/>
              <w:jc w:val="right"/>
              <w:rPr>
                <w:b/>
                <w:sz w:val="18"/>
              </w:rPr>
            </w:pPr>
            <w:r>
              <w:rPr>
                <w:b/>
                <w:w w:val="99"/>
                <w:sz w:val="18"/>
              </w:rPr>
              <w:t>-</w:t>
            </w:r>
          </w:p>
        </w:tc>
        <w:tc>
          <w:tcPr>
            <w:tcW w:w="1014" w:type="dxa"/>
            <w:tcBorders>
              <w:bottom w:val="single" w:sz="1" w:space="0" w:color="000000"/>
            </w:tcBorders>
          </w:tcPr>
          <w:p>
            <w:pPr>
              <w:pStyle w:val="TableParagraph"/>
              <w:rPr>
                <w:b/>
                <w:sz w:val="18"/>
              </w:rPr>
            </w:pPr>
          </w:p>
          <w:p>
            <w:pPr>
              <w:pStyle w:val="TableParagraph"/>
              <w:ind w:right="86"/>
              <w:jc w:val="right"/>
              <w:rPr>
                <w:sz w:val="18"/>
              </w:rPr>
            </w:pPr>
            <w:r>
              <w:rPr>
                <w:w w:val="99"/>
                <w:sz w:val="18"/>
              </w:rPr>
              <w:t>-</w:t>
            </w:r>
          </w:p>
        </w:tc>
      </w:tr>
      <w:tr>
        <w:trPr>
          <w:trHeight w:val="353" w:hRule="exact"/>
        </w:trPr>
        <w:tc>
          <w:tcPr>
            <w:tcW w:w="4021" w:type="dxa"/>
          </w:tcPr>
          <w:p>
            <w:pPr>
              <w:pStyle w:val="TableParagraph"/>
              <w:spacing w:before="125"/>
              <w:ind w:left="35" w:right="855"/>
              <w:rPr>
                <w:b/>
                <w:sz w:val="18"/>
              </w:rPr>
            </w:pPr>
            <w:r>
              <w:rPr>
                <w:b/>
                <w:sz w:val="18"/>
              </w:rPr>
              <w:t>Finance lease receivable</w:t>
            </w:r>
          </w:p>
        </w:tc>
        <w:tc>
          <w:tcPr>
            <w:tcW w:w="1746" w:type="dxa"/>
            <w:tcBorders>
              <w:top w:val="single" w:sz="1" w:space="0" w:color="000000"/>
              <w:bottom w:val="single" w:sz="1" w:space="0" w:color="000000"/>
            </w:tcBorders>
          </w:tcPr>
          <w:p>
            <w:pPr>
              <w:pStyle w:val="TableParagraph"/>
              <w:spacing w:before="124"/>
              <w:ind w:right="369"/>
              <w:jc w:val="right"/>
              <w:rPr>
                <w:b/>
                <w:sz w:val="18"/>
              </w:rPr>
            </w:pPr>
            <w:r>
              <w:rPr>
                <w:b/>
                <w:w w:val="95"/>
                <w:sz w:val="18"/>
              </w:rPr>
              <w:t>18,115</w:t>
            </w:r>
          </w:p>
        </w:tc>
        <w:tc>
          <w:tcPr>
            <w:tcW w:w="1410" w:type="dxa"/>
            <w:tcBorders>
              <w:top w:val="single" w:sz="1" w:space="0" w:color="000000"/>
              <w:bottom w:val="single" w:sz="1" w:space="0" w:color="000000"/>
            </w:tcBorders>
          </w:tcPr>
          <w:p>
            <w:pPr>
              <w:pStyle w:val="TableParagraph"/>
              <w:spacing w:before="124"/>
              <w:ind w:left="370" w:right="-10"/>
              <w:rPr>
                <w:sz w:val="18"/>
              </w:rPr>
            </w:pPr>
            <w:r>
              <w:rPr>
                <w:sz w:val="18"/>
              </w:rPr>
              <w:t>17,673</w:t>
            </w:r>
          </w:p>
        </w:tc>
        <w:tc>
          <w:tcPr>
            <w:tcW w:w="1350" w:type="dxa"/>
            <w:tcBorders>
              <w:top w:val="single" w:sz="1" w:space="0" w:color="000000"/>
              <w:bottom w:val="single" w:sz="1" w:space="0" w:color="000000"/>
            </w:tcBorders>
          </w:tcPr>
          <w:p>
            <w:pPr>
              <w:pStyle w:val="TableParagraph"/>
              <w:spacing w:before="124"/>
              <w:ind w:right="369"/>
              <w:jc w:val="right"/>
              <w:rPr>
                <w:b/>
                <w:sz w:val="18"/>
              </w:rPr>
            </w:pPr>
            <w:r>
              <w:rPr>
                <w:b/>
                <w:w w:val="95"/>
                <w:sz w:val="18"/>
              </w:rPr>
              <w:t>18,115</w:t>
            </w:r>
          </w:p>
        </w:tc>
        <w:tc>
          <w:tcPr>
            <w:tcW w:w="1014" w:type="dxa"/>
            <w:tcBorders>
              <w:top w:val="single" w:sz="1" w:space="0" w:color="000000"/>
              <w:bottom w:val="single" w:sz="1" w:space="0" w:color="000000"/>
            </w:tcBorders>
          </w:tcPr>
          <w:p>
            <w:pPr>
              <w:pStyle w:val="TableParagraph"/>
              <w:spacing w:before="124"/>
              <w:ind w:right="87"/>
              <w:jc w:val="right"/>
              <w:rPr>
                <w:sz w:val="18"/>
              </w:rPr>
            </w:pPr>
            <w:r>
              <w:rPr>
                <w:w w:val="95"/>
                <w:sz w:val="18"/>
              </w:rPr>
              <w:t>17,673</w:t>
            </w:r>
          </w:p>
        </w:tc>
      </w:tr>
    </w:tbl>
    <w:p>
      <w:pPr>
        <w:pStyle w:val="BodyText"/>
        <w:spacing w:before="5"/>
        <w:rPr>
          <w:b/>
          <w:sz w:val="20"/>
        </w:rPr>
      </w:pPr>
    </w:p>
    <w:p>
      <w:pPr>
        <w:pStyle w:val="BodyText"/>
        <w:spacing w:before="78"/>
        <w:ind w:left="559" w:right="220"/>
      </w:pPr>
      <w:r>
        <w:rPr/>
        <w:t>Unguaranteed residual values of assets leased under finance leases at the end of the reporting period are estimated </w:t>
      </w:r>
      <w:bookmarkStart w:name="19 Inventories " w:id="92"/>
      <w:bookmarkEnd w:id="92"/>
      <w:r>
        <w:rPr/>
      </w:r>
      <w:r>
        <w:rPr/>
        <w:t>at $42.990M (2016: $42.990M).</w:t>
      </w:r>
    </w:p>
    <w:p>
      <w:pPr>
        <w:pStyle w:val="BodyText"/>
        <w:spacing w:before="11"/>
        <w:rPr>
          <w:sz w:val="24"/>
        </w:rPr>
      </w:pPr>
    </w:p>
    <w:p>
      <w:pPr>
        <w:pStyle w:val="BodyText"/>
        <w:ind w:left="559" w:right="220"/>
      </w:pPr>
      <w:r>
        <w:rPr/>
        <w:t>Contingent rents of $0.773M (2016: $0.810M) have been recognised as income in the year.</w:t>
      </w:r>
    </w:p>
    <w:p>
      <w:pPr>
        <w:pStyle w:val="BodyText"/>
        <w:spacing w:before="11"/>
        <w:rPr>
          <w:sz w:val="24"/>
        </w:rPr>
      </w:pPr>
    </w:p>
    <w:p>
      <w:pPr>
        <w:pStyle w:val="BodyText"/>
        <w:ind w:left="559" w:right="220"/>
      </w:pPr>
      <w:r>
        <w:rPr/>
        <w:t>The finance lease receivables at the end of the reporting period are neither past due nor impaired.</w:t>
      </w:r>
    </w:p>
    <w:p>
      <w:pPr>
        <w:pStyle w:val="BodyText"/>
        <w:spacing w:before="3"/>
      </w:pPr>
    </w:p>
    <w:p>
      <w:pPr>
        <w:pStyle w:val="Heading9"/>
        <w:numPr>
          <w:ilvl w:val="0"/>
          <w:numId w:val="26"/>
        </w:numPr>
        <w:tabs>
          <w:tab w:pos="504" w:val="left" w:leader="none"/>
        </w:tabs>
        <w:spacing w:line="240" w:lineRule="auto" w:before="77" w:after="0"/>
        <w:ind w:left="504" w:right="0" w:hanging="394"/>
        <w:jc w:val="left"/>
      </w:pPr>
      <w:r>
        <w:rPr/>
        <w:t>Inventories</w:t>
      </w:r>
    </w:p>
    <w:p>
      <w:pPr>
        <w:tabs>
          <w:tab w:pos="8375" w:val="left" w:leader="none"/>
        </w:tabs>
        <w:spacing w:before="33"/>
        <w:ind w:left="5325" w:right="220" w:firstLine="0"/>
        <w:jc w:val="left"/>
        <w:rPr>
          <w:b/>
          <w:sz w:val="18"/>
        </w:rPr>
      </w:pPr>
      <w:r>
        <w:rPr>
          <w:b/>
          <w:sz w:val="18"/>
        </w:rPr>
        <w:t>Consolidated</w:t>
        <w:tab/>
        <w:t>Parent</w:t>
      </w:r>
    </w:p>
    <w:p>
      <w:pPr>
        <w:spacing w:after="0"/>
        <w:jc w:val="left"/>
        <w:rPr>
          <w:sz w:val="18"/>
        </w:rPr>
        <w:sectPr>
          <w:type w:val="continuous"/>
          <w:pgSz w:w="11910" w:h="16840"/>
          <w:pgMar w:top="1580" w:bottom="280" w:left="900" w:right="880"/>
        </w:sectPr>
      </w:pPr>
    </w:p>
    <w:p>
      <w:pPr>
        <w:pStyle w:val="BodyText"/>
        <w:rPr>
          <w:b/>
        </w:rPr>
      </w:pPr>
    </w:p>
    <w:p>
      <w:pPr>
        <w:pStyle w:val="BodyText"/>
        <w:rPr>
          <w:b/>
        </w:rPr>
      </w:pPr>
    </w:p>
    <w:p>
      <w:pPr>
        <w:pStyle w:val="BodyText"/>
        <w:spacing w:before="3"/>
        <w:rPr>
          <w:b/>
          <w:sz w:val="24"/>
        </w:rPr>
      </w:pPr>
    </w:p>
    <w:p>
      <w:pPr>
        <w:spacing w:before="0"/>
        <w:ind w:left="547" w:right="-20" w:firstLine="0"/>
        <w:jc w:val="left"/>
        <w:rPr>
          <w:b/>
          <w:sz w:val="18"/>
        </w:rPr>
      </w:pPr>
      <w:r>
        <w:rPr>
          <w:b/>
          <w:sz w:val="18"/>
        </w:rPr>
        <w:t>Current</w:t>
      </w:r>
    </w:p>
    <w:p>
      <w:pPr>
        <w:pStyle w:val="BodyText"/>
        <w:spacing w:before="112"/>
        <w:ind w:left="547" w:right="-20"/>
      </w:pPr>
      <w:r>
        <w:rPr/>
        <w:t>At cost:</w:t>
      </w:r>
    </w:p>
    <w:p>
      <w:pPr>
        <w:pStyle w:val="Heading9"/>
        <w:spacing w:before="66"/>
        <w:ind w:left="568" w:right="-17"/>
      </w:pPr>
      <w:r>
        <w:rPr>
          <w:b w:val="0"/>
        </w:rPr>
        <w:br w:type="column"/>
      </w:r>
      <w:r>
        <w:rPr/>
        <w:t>2017</w:t>
      </w:r>
    </w:p>
    <w:p>
      <w:pPr>
        <w:spacing w:before="66"/>
        <w:ind w:left="547" w:right="-17" w:firstLine="0"/>
        <w:jc w:val="left"/>
        <w:rPr>
          <w:b/>
          <w:sz w:val="18"/>
        </w:rPr>
      </w:pPr>
      <w:r>
        <w:rPr>
          <w:b/>
          <w:sz w:val="18"/>
        </w:rPr>
        <w:t>$'000</w:t>
      </w:r>
    </w:p>
    <w:p>
      <w:pPr>
        <w:spacing w:before="66"/>
        <w:ind w:left="568" w:right="-17" w:firstLine="0"/>
        <w:jc w:val="left"/>
        <w:rPr>
          <w:b/>
          <w:sz w:val="18"/>
        </w:rPr>
      </w:pPr>
      <w:r>
        <w:rPr/>
        <w:br w:type="column"/>
      </w:r>
      <w:r>
        <w:rPr>
          <w:b/>
          <w:sz w:val="18"/>
        </w:rPr>
        <w:t>2016</w:t>
      </w:r>
    </w:p>
    <w:p>
      <w:pPr>
        <w:spacing w:before="66"/>
        <w:ind w:left="547" w:right="-17" w:firstLine="0"/>
        <w:jc w:val="left"/>
        <w:rPr>
          <w:b/>
          <w:sz w:val="18"/>
        </w:rPr>
      </w:pPr>
      <w:r>
        <w:rPr>
          <w:b/>
          <w:sz w:val="18"/>
        </w:rPr>
        <w:t>$'000</w:t>
      </w:r>
    </w:p>
    <w:p>
      <w:pPr>
        <w:spacing w:before="66"/>
        <w:ind w:left="568" w:right="-17" w:firstLine="0"/>
        <w:jc w:val="left"/>
        <w:rPr>
          <w:b/>
          <w:sz w:val="18"/>
        </w:rPr>
      </w:pPr>
      <w:r>
        <w:rPr/>
        <w:br w:type="column"/>
      </w:r>
      <w:r>
        <w:rPr>
          <w:b/>
          <w:sz w:val="18"/>
        </w:rPr>
        <w:t>2017</w:t>
      </w:r>
    </w:p>
    <w:p>
      <w:pPr>
        <w:spacing w:before="66"/>
        <w:ind w:left="547" w:right="-17" w:firstLine="0"/>
        <w:jc w:val="left"/>
        <w:rPr>
          <w:b/>
          <w:sz w:val="18"/>
        </w:rPr>
      </w:pPr>
      <w:r>
        <w:rPr>
          <w:b/>
          <w:sz w:val="18"/>
        </w:rPr>
        <w:t>$'000</w:t>
      </w:r>
    </w:p>
    <w:p>
      <w:pPr>
        <w:spacing w:before="66"/>
        <w:ind w:left="529" w:right="513" w:firstLine="0"/>
        <w:jc w:val="center"/>
        <w:rPr>
          <w:b/>
          <w:sz w:val="18"/>
        </w:rPr>
      </w:pPr>
      <w:r>
        <w:rPr/>
        <w:br w:type="column"/>
      </w:r>
      <w:r>
        <w:rPr>
          <w:b/>
          <w:sz w:val="18"/>
        </w:rPr>
        <w:t>2016</w:t>
      </w:r>
    </w:p>
    <w:p>
      <w:pPr>
        <w:spacing w:before="66"/>
        <w:ind w:left="529" w:right="513" w:firstLine="0"/>
        <w:jc w:val="center"/>
        <w:rPr>
          <w:b/>
          <w:sz w:val="18"/>
        </w:rPr>
      </w:pPr>
      <w:r>
        <w:rPr>
          <w:b/>
          <w:sz w:val="18"/>
        </w:rPr>
        <w:t>$'000</w:t>
      </w:r>
    </w:p>
    <w:p>
      <w:pPr>
        <w:spacing w:after="0"/>
        <w:jc w:val="center"/>
        <w:rPr>
          <w:sz w:val="18"/>
        </w:rPr>
        <w:sectPr>
          <w:type w:val="continuous"/>
          <w:pgSz w:w="11910" w:h="16840"/>
          <w:pgMar w:top="1580" w:bottom="280" w:left="900" w:right="880"/>
          <w:cols w:num="5" w:equalWidth="0">
            <w:col w:w="1198" w:space="3362"/>
            <w:col w:w="994" w:space="288"/>
            <w:col w:w="994" w:space="485"/>
            <w:col w:w="994" w:space="288"/>
            <w:col w:w="1527"/>
          </w:cols>
        </w:sectPr>
      </w:pPr>
    </w:p>
    <w:p>
      <w:pPr>
        <w:tabs>
          <w:tab w:pos="5668" w:val="left" w:leader="none"/>
          <w:tab w:pos="6962" w:val="left" w:leader="none"/>
          <w:tab w:pos="8570" w:val="left" w:leader="none"/>
          <w:tab w:pos="9863" w:val="left" w:leader="none"/>
        </w:tabs>
        <w:spacing w:before="28"/>
        <w:ind w:left="547" w:right="130" w:firstLine="0"/>
        <w:jc w:val="left"/>
        <w:rPr>
          <w:sz w:val="18"/>
        </w:rPr>
      </w:pPr>
      <w:r>
        <w:rPr/>
        <w:pict>
          <v:group style="position:absolute;margin-left:269.565002pt;margin-top:13.006897pt;width:276.150pt;height:1pt;mso-position-horizontal-relative:page;mso-position-vertical-relative:paragraph;z-index:1408;mso-wrap-distance-left:0;mso-wrap-distance-right:0" coordorigin="5391,260" coordsize="5523,20">
            <v:line style="position:absolute" from="5393,262" to="5561,262" stroked="true" strokeweight=".12pt" strokecolor="#000000"/>
            <v:line style="position:absolute" from="5393,264" to="5561,264" stroked="true" strokeweight=".12pt" strokecolor="#000000"/>
            <v:line style="position:absolute" from="5393,266" to="5561,266" stroked="true" strokeweight=".12pt" strokecolor="#000000"/>
            <v:line style="position:absolute" from="5393,269" to="5561,269" stroked="true" strokeweight=".12pt" strokecolor="#000000"/>
            <v:line style="position:absolute" from="5393,271" to="5561,271" stroked="true" strokeweight=".12pt" strokecolor="#000000"/>
            <v:line style="position:absolute" from="5393,274" to="5561,274" stroked="true" strokeweight=".12pt" strokecolor="#000000"/>
            <v:line style="position:absolute" from="5393,276" to="5561,276" stroked="true" strokeweight=".12pt" strokecolor="#000000"/>
            <v:line style="position:absolute" from="5393,278" to="5561,278" stroked="true" strokeweight=".12pt" strokecolor="#000000"/>
            <v:line style="position:absolute" from="5561,262" to="6857,262" stroked="true" strokeweight=".12pt" strokecolor="#000000"/>
            <v:line style="position:absolute" from="5561,264" to="6857,264" stroked="true" strokeweight=".12pt" strokecolor="#000000"/>
            <v:line style="position:absolute" from="5561,266" to="6857,266" stroked="true" strokeweight=".12pt" strokecolor="#000000"/>
            <v:line style="position:absolute" from="5561,269" to="6857,269" stroked="true" strokeweight=".12pt" strokecolor="#000000"/>
            <v:line style="position:absolute" from="5561,271" to="6857,271" stroked="true" strokeweight=".12pt" strokecolor="#000000"/>
            <v:line style="position:absolute" from="5561,274" to="6857,274" stroked="true" strokeweight=".12pt" strokecolor="#000000"/>
            <v:line style="position:absolute" from="5561,276" to="6857,276" stroked="true" strokeweight=".12pt" strokecolor="#000000"/>
            <v:line style="position:absolute" from="5561,278" to="6857,278" stroked="true" strokeweight=".12pt" strokecolor="#000000"/>
            <v:line style="position:absolute" from="6857,262" to="8153,262" stroked="true" strokeweight=".12pt" strokecolor="#000000"/>
            <v:line style="position:absolute" from="6857,264" to="8153,264" stroked="true" strokeweight=".12pt" strokecolor="#000000"/>
            <v:line style="position:absolute" from="6857,266" to="8153,266" stroked="true" strokeweight=".12pt" strokecolor="#000000"/>
            <v:line style="position:absolute" from="6857,269" to="8153,269" stroked="true" strokeweight=".12pt" strokecolor="#000000"/>
            <v:line style="position:absolute" from="6857,271" to="8153,271" stroked="true" strokeweight=".12pt" strokecolor="#000000"/>
            <v:line style="position:absolute" from="6857,274" to="8153,274" stroked="true" strokeweight=".12pt" strokecolor="#000000"/>
            <v:line style="position:absolute" from="6857,276" to="8153,276" stroked="true" strokeweight=".12pt" strokecolor="#000000"/>
            <v:line style="position:absolute" from="6857,278" to="8153,278" stroked="true" strokeweight=".12pt" strokecolor="#000000"/>
            <v:line style="position:absolute" from="8153,262" to="8321,262" stroked="true" strokeweight=".12pt" strokecolor="#000000"/>
            <v:line style="position:absolute" from="8153,264" to="8321,264" stroked="true" strokeweight=".12pt" strokecolor="#000000"/>
            <v:line style="position:absolute" from="8153,266" to="8321,266" stroked="true" strokeweight=".12pt" strokecolor="#000000"/>
            <v:line style="position:absolute" from="8153,269" to="8321,269" stroked="true" strokeweight=".12pt" strokecolor="#000000"/>
            <v:line style="position:absolute" from="8153,271" to="8321,271" stroked="true" strokeweight=".12pt" strokecolor="#000000"/>
            <v:line style="position:absolute" from="8153,274" to="8321,274" stroked="true" strokeweight=".12pt" strokecolor="#000000"/>
            <v:line style="position:absolute" from="8153,276" to="8321,276" stroked="true" strokeweight=".12pt" strokecolor="#000000"/>
            <v:line style="position:absolute" from="8153,278" to="8321,278" stroked="true" strokeweight=".12pt" strokecolor="#000000"/>
            <v:line style="position:absolute" from="8321,262" to="9617,262" stroked="true" strokeweight=".12pt" strokecolor="#000000"/>
            <v:line style="position:absolute" from="8321,264" to="9617,264" stroked="true" strokeweight=".12pt" strokecolor="#000000"/>
            <v:line style="position:absolute" from="8321,266" to="9617,266" stroked="true" strokeweight=".12pt" strokecolor="#000000"/>
            <v:line style="position:absolute" from="8321,269" to="9617,269" stroked="true" strokeweight=".12pt" strokecolor="#000000"/>
            <v:line style="position:absolute" from="8321,271" to="9617,271" stroked="true" strokeweight=".12pt" strokecolor="#000000"/>
            <v:line style="position:absolute" from="8321,274" to="9617,274" stroked="true" strokeweight=".12pt" strokecolor="#000000"/>
            <v:line style="position:absolute" from="8321,276" to="9617,276" stroked="true" strokeweight=".12pt" strokecolor="#000000"/>
            <v:line style="position:absolute" from="8321,278" to="9617,278" stroked="true" strokeweight=".12pt" strokecolor="#000000"/>
            <v:line style="position:absolute" from="9617,262" to="10913,262" stroked="true" strokeweight=".12pt" strokecolor="#000000"/>
            <v:line style="position:absolute" from="9617,264" to="10913,264" stroked="true" strokeweight=".12pt" strokecolor="#000000"/>
            <v:line style="position:absolute" from="9617,266" to="10913,266" stroked="true" strokeweight=".12pt" strokecolor="#000000"/>
            <v:line style="position:absolute" from="9617,269" to="10913,269" stroked="true" strokeweight=".12pt" strokecolor="#000000"/>
            <v:line style="position:absolute" from="9617,271" to="10913,271" stroked="true" strokeweight=".12pt" strokecolor="#000000"/>
            <v:line style="position:absolute" from="9617,274" to="10913,274" stroked="true" strokeweight=".12pt" strokecolor="#000000"/>
            <v:line style="position:absolute" from="9617,276" to="10913,276" stroked="true" strokeweight=".12pt" strokecolor="#000000"/>
            <v:line style="position:absolute" from="9617,278" to="10913,278" stroked="true" strokeweight=".12pt" strokecolor="#000000"/>
            <w10:wrap type="topAndBottom"/>
          </v:group>
        </w:pict>
      </w:r>
      <w:r>
        <w:rPr>
          <w:sz w:val="18"/>
        </w:rPr>
        <w:t>Stock on hand</w:t>
        <w:tab/>
      </w:r>
      <w:r>
        <w:rPr>
          <w:b/>
          <w:sz w:val="18"/>
        </w:rPr>
        <w:t>58</w:t>
        <w:tab/>
      </w:r>
      <w:r>
        <w:rPr>
          <w:sz w:val="18"/>
        </w:rPr>
        <w:t>15</w:t>
        <w:tab/>
      </w:r>
      <w:r>
        <w:rPr>
          <w:b/>
          <w:sz w:val="18"/>
        </w:rPr>
        <w:t>-</w:t>
        <w:tab/>
      </w:r>
      <w:r>
        <w:rPr>
          <w:sz w:val="18"/>
        </w:rPr>
        <w:t>-</w:t>
      </w:r>
    </w:p>
    <w:p>
      <w:pPr>
        <w:pStyle w:val="Heading9"/>
        <w:tabs>
          <w:tab w:pos="5668" w:val="left" w:leader="none"/>
          <w:tab w:pos="6962" w:val="left" w:leader="none"/>
          <w:tab w:pos="8570" w:val="left" w:leader="none"/>
          <w:tab w:pos="9863" w:val="left" w:leader="none"/>
        </w:tabs>
        <w:spacing w:before="86"/>
        <w:ind w:left="547" w:right="130"/>
        <w:rPr>
          <w:b w:val="0"/>
        </w:rPr>
      </w:pPr>
      <w:r>
        <w:rPr/>
        <w:t>Total inventories</w:t>
        <w:tab/>
        <w:t>58</w:t>
        <w:tab/>
      </w:r>
      <w:r>
        <w:rPr>
          <w:b w:val="0"/>
        </w:rPr>
        <w:t>15</w:t>
        <w:tab/>
      </w:r>
      <w:r>
        <w:rPr/>
        <w:t>-</w:t>
        <w:tab/>
      </w:r>
      <w:r>
        <w:rPr>
          <w:b w:val="0"/>
        </w:rPr>
        <w:t>-</w:t>
      </w:r>
    </w:p>
    <w:p>
      <w:pPr>
        <w:pStyle w:val="BodyText"/>
        <w:spacing w:line="48" w:lineRule="exact"/>
        <w:ind w:left="4491"/>
        <w:rPr>
          <w:sz w:val="4"/>
        </w:rPr>
      </w:pPr>
      <w:r>
        <w:rPr>
          <w:position w:val="0"/>
          <w:sz w:val="4"/>
        </w:rPr>
        <w:pict>
          <v:group style="width:276.150pt;height:2.450pt;mso-position-horizontal-relative:char;mso-position-vertical-relative:line" coordorigin="0,0" coordsize="5523,49">
            <v:line style="position:absolute" from="2,2" to="170,2" stroked="true" strokeweight=".12pt" strokecolor="#000000"/>
            <v:line style="position:absolute" from="2,4" to="170,4" stroked="true" strokeweight=".12pt" strokecolor="#000000"/>
            <v:line style="position:absolute" from="2,6" to="170,6" stroked="true" strokeweight=".12pt" strokecolor="#000000"/>
            <v:line style="position:absolute" from="2,9" to="170,9" stroked="true" strokeweight=".12pt" strokecolor="#000000"/>
            <v:line style="position:absolute" from="2,11" to="170,11" stroked="true" strokeweight=".12pt" strokecolor="#000000"/>
            <v:line style="position:absolute" from="2,14" to="170,14" stroked="true" strokeweight=".12pt" strokecolor="#000000"/>
            <v:line style="position:absolute" from="2,35" to="170,35" stroked="true" strokeweight=".12pt" strokecolor="#000000"/>
            <v:line style="position:absolute" from="2,38" to="170,38" stroked="true" strokeweight=".12pt" strokecolor="#000000"/>
            <v:line style="position:absolute" from="2,40" to="170,40" stroked="true" strokeweight=".12pt" strokecolor="#000000"/>
            <v:line style="position:absolute" from="2,42" to="170,42" stroked="true" strokeweight=".12pt" strokecolor="#000000"/>
            <v:line style="position:absolute" from="2,45" to="170,45" stroked="true" strokeweight=".12pt" strokecolor="#000000"/>
            <v:line style="position:absolute" from="2,47" to="170,47" stroked="true" strokeweight=".12pt" strokecolor="#000000"/>
            <v:line style="position:absolute" from="170,2" to="1466,2" stroked="true" strokeweight=".12pt" strokecolor="#000000"/>
            <v:line style="position:absolute" from="170,4" to="1466,4" stroked="true" strokeweight=".12pt" strokecolor="#000000"/>
            <v:line style="position:absolute" from="170,6" to="1466,6" stroked="true" strokeweight=".12pt" strokecolor="#000000"/>
            <v:line style="position:absolute" from="170,9" to="1466,9" stroked="true" strokeweight=".12pt" strokecolor="#000000"/>
            <v:line style="position:absolute" from="170,11" to="1466,11" stroked="true" strokeweight=".12pt" strokecolor="#000000"/>
            <v:line style="position:absolute" from="170,14" to="1466,14" stroked="true" strokeweight=".12pt" strokecolor="#000000"/>
            <v:line style="position:absolute" from="170,35" to="1466,35" stroked="true" strokeweight=".12pt" strokecolor="#000000"/>
            <v:line style="position:absolute" from="170,38" to="1466,38" stroked="true" strokeweight=".12pt" strokecolor="#000000"/>
            <v:line style="position:absolute" from="170,40" to="1466,40" stroked="true" strokeweight=".12pt" strokecolor="#000000"/>
            <v:line style="position:absolute" from="170,42" to="1466,42" stroked="true" strokeweight=".12pt" strokecolor="#000000"/>
            <v:line style="position:absolute" from="170,45" to="1466,45" stroked="true" strokeweight=".12pt" strokecolor="#000000"/>
            <v:line style="position:absolute" from="170,47" to="1466,47" stroked="true" strokeweight=".12pt" strokecolor="#000000"/>
            <v:line style="position:absolute" from="1466,2" to="2762,2" stroked="true" strokeweight=".12pt" strokecolor="#000000"/>
            <v:line style="position:absolute" from="1466,4" to="2762,4" stroked="true" strokeweight=".12pt" strokecolor="#000000"/>
            <v:line style="position:absolute" from="1466,6" to="2762,6" stroked="true" strokeweight=".12pt" strokecolor="#000000"/>
            <v:line style="position:absolute" from="1466,9" to="2762,9" stroked="true" strokeweight=".12pt" strokecolor="#000000"/>
            <v:line style="position:absolute" from="1466,11" to="2762,11" stroked="true" strokeweight=".12pt" strokecolor="#000000"/>
            <v:line style="position:absolute" from="1466,14" to="2762,14" stroked="true" strokeweight=".12pt" strokecolor="#000000"/>
            <v:line style="position:absolute" from="1466,35" to="2762,35" stroked="true" strokeweight=".12pt" strokecolor="#000000"/>
            <v:line style="position:absolute" from="1466,38" to="2762,38" stroked="true" strokeweight=".12pt" strokecolor="#000000"/>
            <v:line style="position:absolute" from="1466,40" to="2762,40" stroked="true" strokeweight=".12pt" strokecolor="#000000"/>
            <v:line style="position:absolute" from="1466,42" to="2762,42" stroked="true" strokeweight=".12pt" strokecolor="#000000"/>
            <v:line style="position:absolute" from="1466,45" to="2762,45" stroked="true" strokeweight=".12pt" strokecolor="#000000"/>
            <v:line style="position:absolute" from="1466,47" to="2762,47" stroked="true" strokeweight=".12pt" strokecolor="#000000"/>
            <v:line style="position:absolute" from="2761,2" to="2929,2" stroked="true" strokeweight=".12pt" strokecolor="#000000"/>
            <v:line style="position:absolute" from="2761,4" to="2929,4" stroked="true" strokeweight=".12pt" strokecolor="#000000"/>
            <v:line style="position:absolute" from="2761,6" to="2929,6" stroked="true" strokeweight=".12pt" strokecolor="#000000"/>
            <v:line style="position:absolute" from="2761,9" to="2929,9" stroked="true" strokeweight=".12pt" strokecolor="#000000"/>
            <v:line style="position:absolute" from="2761,11" to="2929,11" stroked="true" strokeweight=".12pt" strokecolor="#000000"/>
            <v:line style="position:absolute" from="2761,14" to="2929,14" stroked="true" strokeweight=".12pt" strokecolor="#000000"/>
            <v:line style="position:absolute" from="2761,35" to="2929,35" stroked="true" strokeweight=".12pt" strokecolor="#000000"/>
            <v:line style="position:absolute" from="2761,38" to="2929,38" stroked="true" strokeweight=".12pt" strokecolor="#000000"/>
            <v:line style="position:absolute" from="2761,40" to="2929,40" stroked="true" strokeweight=".12pt" strokecolor="#000000"/>
            <v:line style="position:absolute" from="2761,42" to="2929,42" stroked="true" strokeweight=".12pt" strokecolor="#000000"/>
            <v:line style="position:absolute" from="2761,45" to="2929,45" stroked="true" strokeweight=".12pt" strokecolor="#000000"/>
            <v:line style="position:absolute" from="2761,47" to="2929,47" stroked="true" strokeweight=".12pt" strokecolor="#000000"/>
            <v:line style="position:absolute" from="2930,2" to="4226,2" stroked="true" strokeweight=".12pt" strokecolor="#000000"/>
            <v:line style="position:absolute" from="2930,4" to="4226,4" stroked="true" strokeweight=".12pt" strokecolor="#000000"/>
            <v:line style="position:absolute" from="2930,6" to="4226,6" stroked="true" strokeweight=".12pt" strokecolor="#000000"/>
            <v:line style="position:absolute" from="2930,9" to="4226,9" stroked="true" strokeweight=".12pt" strokecolor="#000000"/>
            <v:line style="position:absolute" from="2930,11" to="4226,11" stroked="true" strokeweight=".12pt" strokecolor="#000000"/>
            <v:line style="position:absolute" from="2930,14" to="4226,14" stroked="true" strokeweight=".12pt" strokecolor="#000000"/>
            <v:line style="position:absolute" from="2930,35" to="4226,35" stroked="true" strokeweight=".12pt" strokecolor="#000000"/>
            <v:line style="position:absolute" from="2930,38" to="4226,38" stroked="true" strokeweight=".12pt" strokecolor="#000000"/>
            <v:line style="position:absolute" from="2930,40" to="4226,40" stroked="true" strokeweight=".12pt" strokecolor="#000000"/>
            <v:line style="position:absolute" from="2930,42" to="4226,42" stroked="true" strokeweight=".12pt" strokecolor="#000000"/>
            <v:line style="position:absolute" from="2930,45" to="4226,45" stroked="true" strokeweight=".12pt" strokecolor="#000000"/>
            <v:line style="position:absolute" from="2930,47" to="4226,47" stroked="true" strokeweight=".12pt" strokecolor="#000000"/>
            <v:line style="position:absolute" from="4225,2" to="5521,2" stroked="true" strokeweight=".12pt" strokecolor="#000000"/>
            <v:line style="position:absolute" from="4225,4" to="5521,4" stroked="true" strokeweight=".12pt" strokecolor="#000000"/>
            <v:line style="position:absolute" from="4225,6" to="5521,6" stroked="true" strokeweight=".12pt" strokecolor="#000000"/>
            <v:line style="position:absolute" from="4225,9" to="5521,9" stroked="true" strokeweight=".12pt" strokecolor="#000000"/>
            <v:line style="position:absolute" from="4225,11" to="5521,11" stroked="true" strokeweight=".12pt" strokecolor="#000000"/>
            <v:line style="position:absolute" from="4225,14" to="5521,14" stroked="true" strokeweight=".12pt" strokecolor="#000000"/>
            <v:line style="position:absolute" from="4225,35" to="5521,35" stroked="true" strokeweight=".12pt" strokecolor="#000000"/>
            <v:line style="position:absolute" from="4225,38" to="5521,38" stroked="true" strokeweight=".12pt" strokecolor="#000000"/>
            <v:line style="position:absolute" from="4225,40" to="5521,40" stroked="true" strokeweight=".12pt" strokecolor="#000000"/>
            <v:line style="position:absolute" from="4225,42" to="5521,42" stroked="true" strokeweight=".12pt" strokecolor="#000000"/>
            <v:line style="position:absolute" from="4225,45" to="5521,45" stroked="true" strokeweight=".12pt" strokecolor="#000000"/>
            <v:line style="position:absolute" from="4225,47" to="5521,47" stroked="true" strokeweight=".12pt" strokecolor="#000000"/>
          </v:group>
        </w:pict>
      </w:r>
      <w:r>
        <w:rPr>
          <w:position w:val="0"/>
          <w:sz w:val="4"/>
        </w:rPr>
      </w:r>
    </w:p>
    <w:p>
      <w:pPr>
        <w:spacing w:after="0" w:line="48" w:lineRule="exact"/>
        <w:rPr>
          <w:sz w:val="4"/>
        </w:rPr>
        <w:sectPr>
          <w:type w:val="continuous"/>
          <w:pgSz w:w="11910" w:h="16840"/>
          <w:pgMar w:top="1580" w:bottom="280" w:left="900" w:right="880"/>
        </w:sectPr>
      </w:pPr>
    </w:p>
    <w:p>
      <w:pPr>
        <w:pStyle w:val="BodyText"/>
        <w:rPr>
          <w:sz w:val="20"/>
        </w:rPr>
      </w:pPr>
    </w:p>
    <w:p>
      <w:pPr>
        <w:pStyle w:val="BodyText"/>
        <w:rPr>
          <w:sz w:val="20"/>
        </w:rPr>
      </w:pPr>
    </w:p>
    <w:p>
      <w:pPr>
        <w:pStyle w:val="BodyText"/>
        <w:spacing w:before="5"/>
      </w:pPr>
    </w:p>
    <w:p>
      <w:pPr>
        <w:pStyle w:val="ListParagraph"/>
        <w:numPr>
          <w:ilvl w:val="0"/>
          <w:numId w:val="26"/>
        </w:numPr>
        <w:tabs>
          <w:tab w:pos="504" w:val="left" w:leader="none"/>
        </w:tabs>
        <w:spacing w:line="240" w:lineRule="auto" w:before="0" w:after="0"/>
        <w:ind w:left="504" w:right="0" w:hanging="394"/>
        <w:jc w:val="left"/>
        <w:rPr>
          <w:b/>
          <w:sz w:val="18"/>
        </w:rPr>
      </w:pPr>
      <w:bookmarkStart w:name="20 Non-current assets classified as held" w:id="93"/>
      <w:bookmarkEnd w:id="93"/>
      <w:r>
        <w:rPr/>
      </w:r>
      <w:bookmarkStart w:name="20 Non-current assets classified as held" w:id="94"/>
      <w:bookmarkEnd w:id="94"/>
      <w:r>
        <w:rPr>
          <w:b/>
          <w:sz w:val="18"/>
        </w:rPr>
        <w:t>Non-current</w:t>
      </w:r>
      <w:r>
        <w:rPr>
          <w:b/>
          <w:sz w:val="18"/>
        </w:rPr>
        <w:t> assets classified as held for sale</w:t>
      </w:r>
      <w:r>
        <w:rPr>
          <w:b/>
          <w:spacing w:val="-1"/>
          <w:sz w:val="18"/>
        </w:rPr>
        <w:t> </w:t>
      </w:r>
      <w:r>
        <w:rPr>
          <w:b/>
          <w:sz w:val="18"/>
        </w:rPr>
        <w:t>('NCA')</w:t>
      </w:r>
    </w:p>
    <w:p>
      <w:pPr>
        <w:tabs>
          <w:tab w:pos="8366" w:val="left" w:leader="none"/>
        </w:tabs>
        <w:spacing w:before="33"/>
        <w:ind w:left="5316" w:right="220" w:firstLine="0"/>
        <w:jc w:val="left"/>
        <w:rPr>
          <w:b/>
          <w:sz w:val="18"/>
        </w:rPr>
      </w:pPr>
      <w:r>
        <w:rPr>
          <w:b/>
          <w:sz w:val="18"/>
        </w:rPr>
        <w:t>Consolidated</w:t>
        <w:tab/>
        <w:t>Parent</w:t>
      </w:r>
    </w:p>
    <w:p>
      <w:pPr>
        <w:spacing w:after="0"/>
        <w:jc w:val="left"/>
        <w:rPr>
          <w:sz w:val="18"/>
        </w:rPr>
        <w:sectPr>
          <w:pgSz w:w="11910" w:h="16840"/>
          <w:pgMar w:header="1037" w:footer="507" w:top="2220" w:bottom="700" w:left="900" w:right="880"/>
        </w:sectPr>
      </w:pPr>
    </w:p>
    <w:p>
      <w:pPr>
        <w:spacing w:before="66"/>
        <w:ind w:left="0" w:right="19" w:firstLine="0"/>
        <w:jc w:val="right"/>
        <w:rPr>
          <w:b/>
          <w:sz w:val="18"/>
        </w:rPr>
      </w:pPr>
      <w:r>
        <w:rPr>
          <w:b/>
          <w:w w:val="95"/>
          <w:sz w:val="18"/>
        </w:rPr>
        <w:t>2017</w:t>
      </w:r>
    </w:p>
    <w:p>
      <w:pPr>
        <w:spacing w:before="66"/>
        <w:ind w:left="0" w:right="0" w:firstLine="0"/>
        <w:jc w:val="right"/>
        <w:rPr>
          <w:b/>
          <w:sz w:val="18"/>
        </w:rPr>
      </w:pPr>
      <w:r>
        <w:rPr>
          <w:b/>
          <w:sz w:val="18"/>
        </w:rPr>
        <w:t>$'000</w:t>
      </w:r>
    </w:p>
    <w:p>
      <w:pPr>
        <w:spacing w:before="66"/>
        <w:ind w:left="819" w:right="-16" w:firstLine="0"/>
        <w:jc w:val="left"/>
        <w:rPr>
          <w:b/>
          <w:sz w:val="18"/>
        </w:rPr>
      </w:pPr>
      <w:r>
        <w:rPr/>
        <w:br w:type="column"/>
      </w:r>
      <w:r>
        <w:rPr>
          <w:b/>
          <w:sz w:val="18"/>
        </w:rPr>
        <w:t>2016</w:t>
      </w:r>
    </w:p>
    <w:p>
      <w:pPr>
        <w:spacing w:before="66"/>
        <w:ind w:left="797" w:right="-16"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19" w:right="0" w:firstLine="0"/>
        <w:jc w:val="left"/>
        <w:rPr>
          <w:b/>
          <w:sz w:val="18"/>
        </w:rPr>
      </w:pPr>
      <w:r>
        <w:rPr/>
        <w:br w:type="column"/>
      </w:r>
      <w:r>
        <w:rPr>
          <w:b/>
          <w:sz w:val="18"/>
        </w:rPr>
        <w:t>2016</w:t>
      </w:r>
    </w:p>
    <w:p>
      <w:pPr>
        <w:spacing w:before="66"/>
        <w:ind w:left="797" w:right="0" w:firstLine="0"/>
        <w:jc w:val="left"/>
        <w:rPr>
          <w:b/>
          <w:sz w:val="18"/>
        </w:rPr>
      </w:pPr>
      <w:r>
        <w:rPr>
          <w:b/>
          <w:sz w:val="18"/>
        </w:rPr>
        <w:t>$'000</w:t>
      </w:r>
    </w:p>
    <w:p>
      <w:pPr>
        <w:spacing w:after="0"/>
        <w:jc w:val="left"/>
        <w:rPr>
          <w:sz w:val="18"/>
        </w:rPr>
        <w:sectPr>
          <w:type w:val="continuous"/>
          <w:pgSz w:w="11910" w:h="16840"/>
          <w:pgMar w:top="1580" w:bottom="280" w:left="900" w:right="880"/>
          <w:cols w:num="4" w:equalWidth="0">
            <w:col w:w="5532" w:space="40"/>
            <w:col w:w="1245" w:space="40"/>
            <w:col w:w="1437" w:space="40"/>
            <w:col w:w="1796"/>
          </w:cols>
        </w:sectPr>
      </w:pPr>
    </w:p>
    <w:p>
      <w:pPr>
        <w:pStyle w:val="BodyText"/>
        <w:spacing w:before="11"/>
        <w:rPr>
          <w:b/>
          <w:sz w:val="5"/>
        </w:rPr>
      </w:pPr>
    </w:p>
    <w:tbl>
      <w:tblPr>
        <w:tblW w:w="0" w:type="auto"/>
        <w:jc w:val="left"/>
        <w:tblInd w:w="47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21"/>
        <w:gridCol w:w="1748"/>
        <w:gridCol w:w="1380"/>
        <w:gridCol w:w="1380"/>
        <w:gridCol w:w="1012"/>
      </w:tblGrid>
      <w:tr>
        <w:trPr>
          <w:trHeight w:val="556" w:hRule="exact"/>
        </w:trPr>
        <w:tc>
          <w:tcPr>
            <w:tcW w:w="4021" w:type="dxa"/>
          </w:tcPr>
          <w:p>
            <w:pPr>
              <w:pStyle w:val="TableParagraph"/>
              <w:spacing w:before="77"/>
              <w:ind w:left="35" w:right="855"/>
              <w:rPr>
                <w:b/>
                <w:sz w:val="18"/>
              </w:rPr>
            </w:pPr>
            <w:r>
              <w:rPr>
                <w:b/>
                <w:sz w:val="18"/>
              </w:rPr>
              <w:t>Current</w:t>
            </w:r>
          </w:p>
          <w:p>
            <w:pPr>
              <w:pStyle w:val="TableParagraph"/>
              <w:spacing w:before="26"/>
              <w:ind w:left="35" w:right="855"/>
              <w:rPr>
                <w:sz w:val="18"/>
              </w:rPr>
            </w:pPr>
            <w:r>
              <w:rPr>
                <w:sz w:val="18"/>
              </w:rPr>
              <w:t>Land</w:t>
            </w:r>
          </w:p>
        </w:tc>
        <w:tc>
          <w:tcPr>
            <w:tcW w:w="1748" w:type="dxa"/>
          </w:tcPr>
          <w:p>
            <w:pPr>
              <w:pStyle w:val="TableParagraph"/>
              <w:rPr>
                <w:b/>
                <w:sz w:val="18"/>
              </w:rPr>
            </w:pPr>
          </w:p>
          <w:p>
            <w:pPr>
              <w:pStyle w:val="TableParagraph"/>
              <w:spacing w:before="105"/>
              <w:ind w:right="369"/>
              <w:jc w:val="right"/>
              <w:rPr>
                <w:b/>
                <w:sz w:val="18"/>
              </w:rPr>
            </w:pPr>
            <w:r>
              <w:rPr>
                <w:b/>
                <w:w w:val="95"/>
                <w:sz w:val="18"/>
              </w:rPr>
              <w:t>39,671</w:t>
            </w:r>
          </w:p>
        </w:tc>
        <w:tc>
          <w:tcPr>
            <w:tcW w:w="1380" w:type="dxa"/>
          </w:tcPr>
          <w:p>
            <w:pPr>
              <w:pStyle w:val="TableParagraph"/>
              <w:rPr>
                <w:b/>
                <w:sz w:val="18"/>
              </w:rPr>
            </w:pPr>
          </w:p>
          <w:p>
            <w:pPr>
              <w:pStyle w:val="TableParagraph"/>
              <w:spacing w:before="105"/>
              <w:ind w:right="453"/>
              <w:jc w:val="right"/>
              <w:rPr>
                <w:sz w:val="18"/>
              </w:rPr>
            </w:pPr>
            <w:r>
              <w:rPr>
                <w:w w:val="95"/>
                <w:sz w:val="18"/>
              </w:rPr>
              <w:t>85,330</w:t>
            </w:r>
          </w:p>
        </w:tc>
        <w:tc>
          <w:tcPr>
            <w:tcW w:w="1380" w:type="dxa"/>
          </w:tcPr>
          <w:p>
            <w:pPr>
              <w:pStyle w:val="TableParagraph"/>
              <w:rPr>
                <w:b/>
                <w:sz w:val="18"/>
              </w:rPr>
            </w:pPr>
          </w:p>
          <w:p>
            <w:pPr>
              <w:pStyle w:val="TableParagraph"/>
              <w:spacing w:before="105"/>
              <w:ind w:right="369"/>
              <w:jc w:val="right"/>
              <w:rPr>
                <w:b/>
                <w:sz w:val="18"/>
              </w:rPr>
            </w:pPr>
            <w:r>
              <w:rPr>
                <w:b/>
                <w:w w:val="95"/>
                <w:sz w:val="18"/>
              </w:rPr>
              <w:t>39,671</w:t>
            </w:r>
          </w:p>
        </w:tc>
        <w:tc>
          <w:tcPr>
            <w:tcW w:w="1012" w:type="dxa"/>
          </w:tcPr>
          <w:p>
            <w:pPr>
              <w:pStyle w:val="TableParagraph"/>
              <w:rPr>
                <w:b/>
                <w:sz w:val="18"/>
              </w:rPr>
            </w:pPr>
          </w:p>
          <w:p>
            <w:pPr>
              <w:pStyle w:val="TableParagraph"/>
              <w:spacing w:before="105"/>
              <w:ind w:right="84"/>
              <w:jc w:val="right"/>
              <w:rPr>
                <w:sz w:val="18"/>
              </w:rPr>
            </w:pPr>
            <w:r>
              <w:rPr>
                <w:w w:val="95"/>
                <w:sz w:val="18"/>
              </w:rPr>
              <w:t>85,330</w:t>
            </w:r>
          </w:p>
        </w:tc>
      </w:tr>
      <w:tr>
        <w:trPr>
          <w:trHeight w:val="264" w:hRule="exact"/>
        </w:trPr>
        <w:tc>
          <w:tcPr>
            <w:tcW w:w="4021" w:type="dxa"/>
          </w:tcPr>
          <w:p>
            <w:pPr>
              <w:pStyle w:val="TableParagraph"/>
              <w:spacing w:before="18"/>
              <w:ind w:left="35" w:right="855"/>
              <w:rPr>
                <w:sz w:val="18"/>
              </w:rPr>
            </w:pPr>
            <w:r>
              <w:rPr>
                <w:sz w:val="18"/>
              </w:rPr>
              <w:t>Buildings</w:t>
            </w:r>
          </w:p>
        </w:tc>
        <w:tc>
          <w:tcPr>
            <w:tcW w:w="1748" w:type="dxa"/>
          </w:tcPr>
          <w:p>
            <w:pPr>
              <w:pStyle w:val="TableParagraph"/>
              <w:spacing w:before="20"/>
              <w:ind w:right="368"/>
              <w:jc w:val="right"/>
              <w:rPr>
                <w:b/>
                <w:sz w:val="18"/>
              </w:rPr>
            </w:pPr>
            <w:r>
              <w:rPr>
                <w:b/>
                <w:w w:val="95"/>
                <w:sz w:val="18"/>
              </w:rPr>
              <w:t>687</w:t>
            </w:r>
          </w:p>
        </w:tc>
        <w:tc>
          <w:tcPr>
            <w:tcW w:w="1380" w:type="dxa"/>
          </w:tcPr>
          <w:p>
            <w:pPr>
              <w:pStyle w:val="TableParagraph"/>
              <w:spacing w:before="20"/>
              <w:ind w:right="452"/>
              <w:jc w:val="right"/>
              <w:rPr>
                <w:sz w:val="18"/>
              </w:rPr>
            </w:pPr>
            <w:r>
              <w:rPr>
                <w:w w:val="99"/>
                <w:sz w:val="18"/>
              </w:rPr>
              <w:t>-</w:t>
            </w:r>
          </w:p>
        </w:tc>
        <w:tc>
          <w:tcPr>
            <w:tcW w:w="1380" w:type="dxa"/>
          </w:tcPr>
          <w:p>
            <w:pPr>
              <w:pStyle w:val="TableParagraph"/>
              <w:spacing w:before="20"/>
              <w:ind w:right="368"/>
              <w:jc w:val="right"/>
              <w:rPr>
                <w:b/>
                <w:sz w:val="18"/>
              </w:rPr>
            </w:pPr>
            <w:r>
              <w:rPr>
                <w:b/>
                <w:w w:val="95"/>
                <w:sz w:val="18"/>
              </w:rPr>
              <w:t>687</w:t>
            </w:r>
          </w:p>
        </w:tc>
        <w:tc>
          <w:tcPr>
            <w:tcW w:w="1012" w:type="dxa"/>
          </w:tcPr>
          <w:p>
            <w:pPr>
              <w:pStyle w:val="TableParagraph"/>
              <w:spacing w:before="20"/>
              <w:ind w:right="84"/>
              <w:jc w:val="right"/>
              <w:rPr>
                <w:sz w:val="18"/>
              </w:rPr>
            </w:pPr>
            <w:r>
              <w:rPr>
                <w:w w:val="99"/>
                <w:sz w:val="18"/>
              </w:rPr>
              <w:t>-</w:t>
            </w:r>
          </w:p>
        </w:tc>
      </w:tr>
      <w:tr>
        <w:trPr>
          <w:trHeight w:val="262" w:hRule="exact"/>
        </w:trPr>
        <w:tc>
          <w:tcPr>
            <w:tcW w:w="4021" w:type="dxa"/>
          </w:tcPr>
          <w:p>
            <w:pPr>
              <w:pStyle w:val="TableParagraph"/>
              <w:spacing w:before="18"/>
              <w:ind w:left="35" w:right="855"/>
              <w:rPr>
                <w:sz w:val="18"/>
              </w:rPr>
            </w:pPr>
            <w:r>
              <w:rPr>
                <w:sz w:val="18"/>
              </w:rPr>
              <w:t>Subway Franchise</w:t>
            </w:r>
          </w:p>
        </w:tc>
        <w:tc>
          <w:tcPr>
            <w:tcW w:w="1748" w:type="dxa"/>
            <w:tcBorders>
              <w:bottom w:val="single" w:sz="1" w:space="0" w:color="000000"/>
            </w:tcBorders>
          </w:tcPr>
          <w:p>
            <w:pPr>
              <w:pStyle w:val="TableParagraph"/>
              <w:spacing w:before="20"/>
              <w:ind w:right="368"/>
              <w:jc w:val="right"/>
              <w:rPr>
                <w:b/>
                <w:sz w:val="18"/>
              </w:rPr>
            </w:pPr>
            <w:r>
              <w:rPr>
                <w:b/>
                <w:w w:val="99"/>
                <w:sz w:val="18"/>
              </w:rPr>
              <w:t>-</w:t>
            </w:r>
          </w:p>
        </w:tc>
        <w:tc>
          <w:tcPr>
            <w:tcW w:w="1380" w:type="dxa"/>
            <w:tcBorders>
              <w:bottom w:val="single" w:sz="1" w:space="0" w:color="000000"/>
            </w:tcBorders>
          </w:tcPr>
          <w:p>
            <w:pPr>
              <w:pStyle w:val="TableParagraph"/>
              <w:spacing w:before="20"/>
              <w:ind w:right="452"/>
              <w:jc w:val="right"/>
              <w:rPr>
                <w:sz w:val="18"/>
              </w:rPr>
            </w:pPr>
            <w:r>
              <w:rPr>
                <w:w w:val="95"/>
                <w:sz w:val="18"/>
              </w:rPr>
              <w:t>130</w:t>
            </w:r>
          </w:p>
        </w:tc>
        <w:tc>
          <w:tcPr>
            <w:tcW w:w="1380" w:type="dxa"/>
            <w:tcBorders>
              <w:bottom w:val="single" w:sz="1" w:space="0" w:color="000000"/>
            </w:tcBorders>
          </w:tcPr>
          <w:p>
            <w:pPr>
              <w:pStyle w:val="TableParagraph"/>
              <w:spacing w:before="20"/>
              <w:ind w:right="368"/>
              <w:jc w:val="right"/>
              <w:rPr>
                <w:b/>
                <w:sz w:val="18"/>
              </w:rPr>
            </w:pPr>
            <w:r>
              <w:rPr>
                <w:b/>
                <w:w w:val="99"/>
                <w:sz w:val="18"/>
              </w:rPr>
              <w:t>-</w:t>
            </w:r>
          </w:p>
        </w:tc>
        <w:tc>
          <w:tcPr>
            <w:tcW w:w="1012" w:type="dxa"/>
            <w:tcBorders>
              <w:bottom w:val="single" w:sz="1" w:space="0" w:color="000000"/>
            </w:tcBorders>
          </w:tcPr>
          <w:p>
            <w:pPr>
              <w:pStyle w:val="TableParagraph"/>
              <w:spacing w:before="20"/>
              <w:ind w:right="84"/>
              <w:jc w:val="right"/>
              <w:rPr>
                <w:sz w:val="18"/>
              </w:rPr>
            </w:pPr>
            <w:r>
              <w:rPr>
                <w:w w:val="99"/>
                <w:sz w:val="18"/>
              </w:rPr>
              <w:t>-</w:t>
            </w:r>
          </w:p>
        </w:tc>
      </w:tr>
      <w:tr>
        <w:trPr>
          <w:trHeight w:val="559" w:hRule="exact"/>
        </w:trPr>
        <w:tc>
          <w:tcPr>
            <w:tcW w:w="4021" w:type="dxa"/>
          </w:tcPr>
          <w:p>
            <w:pPr>
              <w:pStyle w:val="TableParagraph"/>
              <w:spacing w:before="125"/>
              <w:ind w:left="35" w:right="855"/>
              <w:rPr>
                <w:b/>
                <w:sz w:val="18"/>
              </w:rPr>
            </w:pPr>
            <w:r>
              <w:rPr>
                <w:b/>
                <w:sz w:val="18"/>
              </w:rPr>
              <w:t>Total non-current assets or disposal groups classified as held for sale</w:t>
            </w:r>
          </w:p>
        </w:tc>
        <w:tc>
          <w:tcPr>
            <w:tcW w:w="1748" w:type="dxa"/>
            <w:tcBorders>
              <w:top w:val="single" w:sz="1" w:space="0" w:color="000000"/>
              <w:bottom w:val="single" w:sz="1" w:space="0" w:color="000000"/>
            </w:tcBorders>
          </w:tcPr>
          <w:p>
            <w:pPr>
              <w:pStyle w:val="TableParagraph"/>
              <w:rPr>
                <w:b/>
                <w:sz w:val="18"/>
              </w:rPr>
            </w:pPr>
          </w:p>
          <w:p>
            <w:pPr>
              <w:pStyle w:val="TableParagraph"/>
              <w:spacing w:before="123"/>
              <w:ind w:right="369"/>
              <w:jc w:val="right"/>
              <w:rPr>
                <w:b/>
                <w:sz w:val="18"/>
              </w:rPr>
            </w:pPr>
            <w:r>
              <w:rPr>
                <w:b/>
                <w:w w:val="95"/>
                <w:sz w:val="18"/>
              </w:rPr>
              <w:t>40,358</w:t>
            </w:r>
          </w:p>
        </w:tc>
        <w:tc>
          <w:tcPr>
            <w:tcW w:w="1380" w:type="dxa"/>
            <w:tcBorders>
              <w:top w:val="single" w:sz="1" w:space="0" w:color="000000"/>
              <w:bottom w:val="single" w:sz="1" w:space="0" w:color="000000"/>
            </w:tcBorders>
          </w:tcPr>
          <w:p>
            <w:pPr>
              <w:pStyle w:val="TableParagraph"/>
              <w:rPr>
                <w:b/>
                <w:sz w:val="18"/>
              </w:rPr>
            </w:pPr>
          </w:p>
          <w:p>
            <w:pPr>
              <w:pStyle w:val="TableParagraph"/>
              <w:spacing w:before="123"/>
              <w:ind w:right="453"/>
              <w:jc w:val="right"/>
              <w:rPr>
                <w:sz w:val="18"/>
              </w:rPr>
            </w:pPr>
            <w:r>
              <w:rPr>
                <w:w w:val="95"/>
                <w:sz w:val="18"/>
              </w:rPr>
              <w:t>85,460</w:t>
            </w:r>
          </w:p>
        </w:tc>
        <w:tc>
          <w:tcPr>
            <w:tcW w:w="1380" w:type="dxa"/>
            <w:tcBorders>
              <w:top w:val="single" w:sz="1" w:space="0" w:color="000000"/>
              <w:bottom w:val="single" w:sz="1" w:space="0" w:color="000000"/>
            </w:tcBorders>
          </w:tcPr>
          <w:p>
            <w:pPr>
              <w:pStyle w:val="TableParagraph"/>
              <w:rPr>
                <w:b/>
                <w:sz w:val="18"/>
              </w:rPr>
            </w:pPr>
          </w:p>
          <w:p>
            <w:pPr>
              <w:pStyle w:val="TableParagraph"/>
              <w:spacing w:before="123"/>
              <w:ind w:right="369"/>
              <w:jc w:val="right"/>
              <w:rPr>
                <w:b/>
                <w:sz w:val="18"/>
              </w:rPr>
            </w:pPr>
            <w:r>
              <w:rPr>
                <w:b/>
                <w:w w:val="95"/>
                <w:sz w:val="18"/>
              </w:rPr>
              <w:t>40,358</w:t>
            </w:r>
          </w:p>
        </w:tc>
        <w:tc>
          <w:tcPr>
            <w:tcW w:w="1012" w:type="dxa"/>
            <w:tcBorders>
              <w:top w:val="single" w:sz="1" w:space="0" w:color="000000"/>
              <w:bottom w:val="single" w:sz="1" w:space="0" w:color="000000"/>
            </w:tcBorders>
          </w:tcPr>
          <w:p>
            <w:pPr>
              <w:pStyle w:val="TableParagraph"/>
              <w:rPr>
                <w:b/>
                <w:sz w:val="18"/>
              </w:rPr>
            </w:pPr>
          </w:p>
          <w:p>
            <w:pPr>
              <w:pStyle w:val="TableParagraph"/>
              <w:spacing w:before="123"/>
              <w:ind w:right="84"/>
              <w:jc w:val="right"/>
              <w:rPr>
                <w:sz w:val="18"/>
              </w:rPr>
            </w:pPr>
            <w:r>
              <w:rPr>
                <w:w w:val="95"/>
                <w:sz w:val="18"/>
              </w:rPr>
              <w:t>85,330</w:t>
            </w:r>
          </w:p>
        </w:tc>
      </w:tr>
    </w:tbl>
    <w:p>
      <w:pPr>
        <w:pStyle w:val="BodyText"/>
        <w:spacing w:before="5"/>
        <w:rPr>
          <w:b/>
          <w:sz w:val="20"/>
        </w:rPr>
      </w:pPr>
    </w:p>
    <w:p>
      <w:pPr>
        <w:pStyle w:val="BodyText"/>
        <w:spacing w:before="77"/>
        <w:ind w:left="504" w:right="220"/>
      </w:pPr>
      <w:r>
        <w:rPr/>
        <w:t>NCAs (or disposal groups) held for sale are carried at the lower of the carrying amount or the fair value less costs to sell. For the fair value of the NCA (or disposal group) see note 36(b).</w:t>
      </w:r>
    </w:p>
    <w:p>
      <w:pPr>
        <w:pStyle w:val="BodyText"/>
        <w:spacing w:before="11"/>
        <w:rPr>
          <w:sz w:val="24"/>
        </w:rPr>
      </w:pPr>
    </w:p>
    <w:p>
      <w:pPr>
        <w:pStyle w:val="BodyText"/>
        <w:ind w:left="504" w:right="130"/>
      </w:pPr>
      <w:r>
        <w:rPr/>
        <w:t>In 2017, the University entered into a sales agreement to sell land at it's Nirimba campus. Settlement is expected to occur by 1 December 2018. A gain on settlement of $3.8M will be recognised in 2018. A gain on revaluation of $4.5M was recognised in 2017 in the property development reserve and will be transferred to retained earnings in 2018 when the asset is de-recognised.</w:t>
      </w:r>
    </w:p>
    <w:p>
      <w:pPr>
        <w:pStyle w:val="BodyText"/>
        <w:spacing w:before="11"/>
        <w:rPr>
          <w:sz w:val="24"/>
        </w:rPr>
      </w:pPr>
    </w:p>
    <w:p>
      <w:pPr>
        <w:pStyle w:val="BodyText"/>
        <w:ind w:left="504" w:right="106"/>
      </w:pPr>
      <w:r>
        <w:rPr/>
        <w:t>In 2016, the University entered into a sales agreement to sell land at it's Westmead campus. Settlement of Lot 5 occurred in October 2017, with a gain of $26.4M recognised in the Statement of Comprehensive Income. In 2016 a gain on revaluation of $43.8M was recognised in the property development reserve, once settlement occurred</w:t>
      </w:r>
      <w:r>
        <w:rPr>
          <w:spacing w:val="13"/>
        </w:rPr>
        <w:t> </w:t>
      </w:r>
      <w:r>
        <w:rPr/>
        <w:t>the</w:t>
      </w:r>
      <w:r>
        <w:rPr>
          <w:spacing w:val="-1"/>
        </w:rPr>
        <w:t> </w:t>
      </w:r>
      <w:r>
        <w:rPr/>
        <w:t>asset</w:t>
      </w:r>
      <w:r>
        <w:rPr>
          <w:spacing w:val="1"/>
        </w:rPr>
        <w:t> </w:t>
      </w:r>
      <w:r>
        <w:rPr/>
        <w:t>was de-recognised and the reserve was transferred to retained earnings. Settlement of Lot 4 was deferred until  January 2018, a gain on settlement of $15.0M will be recognised in 2018. The remaining gain on revaluation of $27.6M recognised in 2016 in the property development reserve will be transferred to retained earnings in 2018 when the   asset is</w:t>
      </w:r>
      <w:r>
        <w:rPr>
          <w:spacing w:val="1"/>
        </w:rPr>
        <w:t> </w:t>
      </w:r>
      <w:r>
        <w:rPr/>
        <w:t>de-recognised.</w:t>
      </w:r>
    </w:p>
    <w:p>
      <w:pPr>
        <w:spacing w:after="0"/>
        <w:sectPr>
          <w:type w:val="continuous"/>
          <w:pgSz w:w="11910" w:h="16840"/>
          <w:pgMar w:top="1580" w:bottom="280" w:left="900" w:right="880"/>
        </w:sectPr>
      </w:pPr>
    </w:p>
    <w:p>
      <w:pPr>
        <w:pStyle w:val="BodyText"/>
        <w:rPr>
          <w:sz w:val="20"/>
        </w:rPr>
      </w:pPr>
    </w:p>
    <w:p>
      <w:pPr>
        <w:pStyle w:val="BodyText"/>
        <w:rPr>
          <w:sz w:val="20"/>
        </w:rPr>
      </w:pPr>
    </w:p>
    <w:p>
      <w:pPr>
        <w:pStyle w:val="BodyText"/>
        <w:spacing w:before="5"/>
      </w:pPr>
    </w:p>
    <w:p>
      <w:pPr>
        <w:pStyle w:val="Heading9"/>
        <w:numPr>
          <w:ilvl w:val="0"/>
          <w:numId w:val="26"/>
        </w:numPr>
        <w:tabs>
          <w:tab w:pos="504" w:val="left" w:leader="none"/>
        </w:tabs>
        <w:spacing w:line="240" w:lineRule="auto" w:before="0" w:after="0"/>
        <w:ind w:left="504" w:right="0" w:hanging="394"/>
        <w:jc w:val="left"/>
      </w:pPr>
      <w:bookmarkStart w:name="21 Property, plant and equipment " w:id="95"/>
      <w:bookmarkEnd w:id="95"/>
      <w:r>
        <w:rPr>
          <w:b w:val="0"/>
        </w:rPr>
      </w:r>
      <w:bookmarkStart w:name="21 Property, plant and equipment " w:id="96"/>
      <w:bookmarkEnd w:id="96"/>
      <w:r>
        <w:rPr/>
        <w:t>Propert</w:t>
      </w:r>
      <w:r>
        <w:rPr/>
        <w:t>y, plant and</w:t>
      </w:r>
      <w:r>
        <w:rPr>
          <w:spacing w:val="-9"/>
        </w:rPr>
        <w:t> </w:t>
      </w:r>
      <w:r>
        <w:rPr/>
        <w:t>equipment</w:t>
      </w:r>
    </w:p>
    <w:p>
      <w:pPr>
        <w:pStyle w:val="BodyText"/>
        <w:rPr>
          <w:b/>
          <w:sz w:val="20"/>
        </w:rPr>
      </w:pPr>
    </w:p>
    <w:p>
      <w:pPr>
        <w:pStyle w:val="BodyText"/>
        <w:spacing w:before="8"/>
        <w:rPr>
          <w:b/>
        </w:rPr>
      </w:pPr>
    </w:p>
    <w:tbl>
      <w:tblPr>
        <w:tblW w:w="0" w:type="auto"/>
        <w:jc w:val="left"/>
        <w:tblInd w:w="5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85"/>
        <w:gridCol w:w="1068"/>
        <w:gridCol w:w="1087"/>
        <w:gridCol w:w="1068"/>
        <w:gridCol w:w="1004"/>
        <w:gridCol w:w="1094"/>
        <w:gridCol w:w="1013"/>
        <w:gridCol w:w="1182"/>
        <w:gridCol w:w="1084"/>
        <w:gridCol w:w="1068"/>
        <w:gridCol w:w="903"/>
      </w:tblGrid>
      <w:tr>
        <w:trPr>
          <w:trHeight w:val="444" w:hRule="exact"/>
        </w:trPr>
        <w:tc>
          <w:tcPr>
            <w:tcW w:w="3885" w:type="dxa"/>
          </w:tcPr>
          <w:p>
            <w:pPr/>
          </w:p>
        </w:tc>
        <w:tc>
          <w:tcPr>
            <w:tcW w:w="1068" w:type="dxa"/>
          </w:tcPr>
          <w:p>
            <w:pPr>
              <w:pStyle w:val="TableParagraph"/>
              <w:spacing w:before="81"/>
              <w:ind w:left="158" w:hanging="48"/>
              <w:rPr>
                <w:b/>
                <w:sz w:val="14"/>
              </w:rPr>
            </w:pPr>
            <w:r>
              <w:rPr>
                <w:b/>
                <w:sz w:val="14"/>
              </w:rPr>
              <w:t>Construction in Progress</w:t>
            </w:r>
          </w:p>
        </w:tc>
        <w:tc>
          <w:tcPr>
            <w:tcW w:w="1087" w:type="dxa"/>
          </w:tcPr>
          <w:p>
            <w:pPr>
              <w:pStyle w:val="TableParagraph"/>
              <w:rPr>
                <w:b/>
                <w:sz w:val="14"/>
              </w:rPr>
            </w:pPr>
          </w:p>
          <w:p>
            <w:pPr>
              <w:pStyle w:val="TableParagraph"/>
              <w:spacing w:before="81"/>
              <w:ind w:right="88"/>
              <w:jc w:val="right"/>
              <w:rPr>
                <w:b/>
                <w:sz w:val="14"/>
              </w:rPr>
            </w:pPr>
            <w:r>
              <w:rPr>
                <w:b/>
                <w:sz w:val="14"/>
              </w:rPr>
              <w:t>Freehold Land</w:t>
            </w:r>
          </w:p>
        </w:tc>
        <w:tc>
          <w:tcPr>
            <w:tcW w:w="1068" w:type="dxa"/>
          </w:tcPr>
          <w:p>
            <w:pPr>
              <w:pStyle w:val="TableParagraph"/>
              <w:rPr>
                <w:b/>
                <w:sz w:val="14"/>
              </w:rPr>
            </w:pPr>
          </w:p>
          <w:p>
            <w:pPr>
              <w:pStyle w:val="TableParagraph"/>
              <w:spacing w:before="81"/>
              <w:ind w:right="182"/>
              <w:jc w:val="right"/>
              <w:rPr>
                <w:b/>
                <w:sz w:val="14"/>
              </w:rPr>
            </w:pPr>
            <w:r>
              <w:rPr>
                <w:b/>
                <w:sz w:val="14"/>
              </w:rPr>
              <w:t>Crown Land</w:t>
            </w:r>
          </w:p>
        </w:tc>
        <w:tc>
          <w:tcPr>
            <w:tcW w:w="1004" w:type="dxa"/>
          </w:tcPr>
          <w:p>
            <w:pPr>
              <w:pStyle w:val="TableParagraph"/>
              <w:rPr>
                <w:b/>
                <w:sz w:val="14"/>
              </w:rPr>
            </w:pPr>
          </w:p>
          <w:p>
            <w:pPr>
              <w:pStyle w:val="TableParagraph"/>
              <w:spacing w:before="81"/>
              <w:ind w:left="148"/>
              <w:rPr>
                <w:b/>
                <w:sz w:val="14"/>
              </w:rPr>
            </w:pPr>
            <w:r>
              <w:rPr>
                <w:b/>
                <w:sz w:val="14"/>
              </w:rPr>
              <w:t>Buildings</w:t>
            </w:r>
          </w:p>
        </w:tc>
        <w:tc>
          <w:tcPr>
            <w:tcW w:w="1094" w:type="dxa"/>
          </w:tcPr>
          <w:p>
            <w:pPr>
              <w:pStyle w:val="TableParagraph"/>
              <w:rPr>
                <w:b/>
                <w:sz w:val="14"/>
              </w:rPr>
            </w:pPr>
          </w:p>
          <w:p>
            <w:pPr>
              <w:pStyle w:val="TableParagraph"/>
              <w:spacing w:before="81"/>
              <w:ind w:right="133"/>
              <w:jc w:val="right"/>
              <w:rPr>
                <w:b/>
                <w:sz w:val="14"/>
              </w:rPr>
            </w:pPr>
            <w:r>
              <w:rPr>
                <w:b/>
                <w:w w:val="95"/>
                <w:sz w:val="14"/>
              </w:rPr>
              <w:t>Infrastructure</w:t>
            </w:r>
          </w:p>
        </w:tc>
        <w:tc>
          <w:tcPr>
            <w:tcW w:w="1013" w:type="dxa"/>
          </w:tcPr>
          <w:p>
            <w:pPr>
              <w:pStyle w:val="TableParagraph"/>
              <w:spacing w:before="81"/>
              <w:ind w:left="104" w:firstLine="48"/>
              <w:rPr>
                <w:b/>
                <w:sz w:val="14"/>
              </w:rPr>
            </w:pPr>
            <w:r>
              <w:rPr>
                <w:b/>
                <w:sz w:val="14"/>
              </w:rPr>
              <w:t>Plant and Equipment</w:t>
            </w:r>
          </w:p>
        </w:tc>
        <w:tc>
          <w:tcPr>
            <w:tcW w:w="1182" w:type="dxa"/>
          </w:tcPr>
          <w:p>
            <w:pPr>
              <w:pStyle w:val="TableParagraph"/>
              <w:spacing w:before="81"/>
              <w:ind w:left="68" w:firstLine="132"/>
              <w:rPr>
                <w:b/>
                <w:sz w:val="14"/>
              </w:rPr>
            </w:pPr>
            <w:r>
              <w:rPr>
                <w:b/>
                <w:sz w:val="14"/>
              </w:rPr>
              <w:t>Leasehold </w:t>
            </w:r>
            <w:r>
              <w:rPr>
                <w:b/>
                <w:w w:val="95"/>
                <w:sz w:val="14"/>
              </w:rPr>
              <w:t>Improvements</w:t>
            </w:r>
          </w:p>
        </w:tc>
        <w:tc>
          <w:tcPr>
            <w:tcW w:w="1084" w:type="dxa"/>
          </w:tcPr>
          <w:p>
            <w:pPr>
              <w:pStyle w:val="TableParagraph"/>
              <w:spacing w:before="81"/>
              <w:ind w:left="115" w:firstLine="100"/>
              <w:rPr>
                <w:b/>
                <w:sz w:val="14"/>
              </w:rPr>
            </w:pPr>
            <w:r>
              <w:rPr>
                <w:b/>
                <w:sz w:val="14"/>
              </w:rPr>
              <w:t>Library Collection</w:t>
            </w:r>
          </w:p>
        </w:tc>
        <w:tc>
          <w:tcPr>
            <w:tcW w:w="1068" w:type="dxa"/>
          </w:tcPr>
          <w:p>
            <w:pPr>
              <w:pStyle w:val="TableParagraph"/>
              <w:rPr>
                <w:b/>
                <w:sz w:val="14"/>
              </w:rPr>
            </w:pPr>
          </w:p>
          <w:p>
            <w:pPr>
              <w:pStyle w:val="TableParagraph"/>
              <w:spacing w:before="81"/>
              <w:ind w:left="152"/>
              <w:rPr>
                <w:b/>
                <w:sz w:val="14"/>
              </w:rPr>
            </w:pPr>
            <w:r>
              <w:rPr>
                <w:b/>
                <w:sz w:val="14"/>
              </w:rPr>
              <w:t>Artwork</w:t>
            </w:r>
          </w:p>
        </w:tc>
        <w:tc>
          <w:tcPr>
            <w:tcW w:w="903" w:type="dxa"/>
          </w:tcPr>
          <w:p>
            <w:pPr>
              <w:pStyle w:val="TableParagraph"/>
              <w:rPr>
                <w:b/>
                <w:sz w:val="14"/>
              </w:rPr>
            </w:pPr>
          </w:p>
          <w:p>
            <w:pPr>
              <w:pStyle w:val="TableParagraph"/>
              <w:spacing w:before="81"/>
              <w:ind w:left="231"/>
              <w:rPr>
                <w:b/>
                <w:sz w:val="14"/>
              </w:rPr>
            </w:pPr>
            <w:r>
              <w:rPr>
                <w:b/>
                <w:sz w:val="14"/>
              </w:rPr>
              <w:t>Total</w:t>
            </w:r>
          </w:p>
        </w:tc>
      </w:tr>
      <w:tr>
        <w:trPr>
          <w:trHeight w:val="268" w:hRule="exact"/>
        </w:trPr>
        <w:tc>
          <w:tcPr>
            <w:tcW w:w="3885" w:type="dxa"/>
          </w:tcPr>
          <w:p>
            <w:pPr>
              <w:pStyle w:val="TableParagraph"/>
              <w:spacing w:before="26"/>
              <w:ind w:left="35"/>
              <w:rPr>
                <w:b/>
                <w:sz w:val="14"/>
              </w:rPr>
            </w:pPr>
            <w:r>
              <w:rPr>
                <w:b/>
                <w:sz w:val="14"/>
              </w:rPr>
              <w:t>Consolidated</w:t>
            </w:r>
          </w:p>
        </w:tc>
        <w:tc>
          <w:tcPr>
            <w:tcW w:w="1068" w:type="dxa"/>
          </w:tcPr>
          <w:p>
            <w:pPr>
              <w:pStyle w:val="TableParagraph"/>
              <w:spacing w:before="26"/>
              <w:ind w:left="347" w:right="335"/>
              <w:jc w:val="center"/>
              <w:rPr>
                <w:b/>
                <w:sz w:val="14"/>
              </w:rPr>
            </w:pPr>
            <w:r>
              <w:rPr>
                <w:b/>
                <w:sz w:val="14"/>
              </w:rPr>
              <w:t>$'000</w:t>
            </w:r>
          </w:p>
        </w:tc>
        <w:tc>
          <w:tcPr>
            <w:tcW w:w="1087" w:type="dxa"/>
          </w:tcPr>
          <w:p>
            <w:pPr>
              <w:pStyle w:val="TableParagraph"/>
              <w:spacing w:before="26"/>
              <w:ind w:left="350"/>
              <w:rPr>
                <w:b/>
                <w:sz w:val="14"/>
              </w:rPr>
            </w:pPr>
            <w:r>
              <w:rPr>
                <w:b/>
                <w:sz w:val="14"/>
              </w:rPr>
              <w:t>$'000</w:t>
            </w:r>
          </w:p>
        </w:tc>
        <w:tc>
          <w:tcPr>
            <w:tcW w:w="1068" w:type="dxa"/>
          </w:tcPr>
          <w:p>
            <w:pPr>
              <w:pStyle w:val="TableParagraph"/>
              <w:spacing w:before="26"/>
              <w:ind w:left="311"/>
              <w:rPr>
                <w:b/>
                <w:sz w:val="14"/>
              </w:rPr>
            </w:pPr>
            <w:r>
              <w:rPr>
                <w:b/>
                <w:sz w:val="14"/>
              </w:rPr>
              <w:t>$'000</w:t>
            </w:r>
          </w:p>
        </w:tc>
        <w:tc>
          <w:tcPr>
            <w:tcW w:w="1004" w:type="dxa"/>
          </w:tcPr>
          <w:p>
            <w:pPr>
              <w:pStyle w:val="TableParagraph"/>
              <w:spacing w:before="26"/>
              <w:ind w:left="292"/>
              <w:rPr>
                <w:b/>
                <w:sz w:val="14"/>
              </w:rPr>
            </w:pPr>
            <w:r>
              <w:rPr>
                <w:b/>
                <w:sz w:val="14"/>
              </w:rPr>
              <w:t>$'000</w:t>
            </w:r>
          </w:p>
        </w:tc>
        <w:tc>
          <w:tcPr>
            <w:tcW w:w="1094" w:type="dxa"/>
          </w:tcPr>
          <w:p>
            <w:pPr>
              <w:pStyle w:val="TableParagraph"/>
              <w:spacing w:before="26"/>
              <w:ind w:left="337"/>
              <w:rPr>
                <w:b/>
                <w:sz w:val="14"/>
              </w:rPr>
            </w:pPr>
            <w:r>
              <w:rPr>
                <w:b/>
                <w:sz w:val="14"/>
              </w:rPr>
              <w:t>$'000</w:t>
            </w:r>
          </w:p>
        </w:tc>
        <w:tc>
          <w:tcPr>
            <w:tcW w:w="1013" w:type="dxa"/>
          </w:tcPr>
          <w:p>
            <w:pPr>
              <w:pStyle w:val="TableParagraph"/>
              <w:spacing w:before="26"/>
              <w:ind w:left="291"/>
              <w:rPr>
                <w:b/>
                <w:sz w:val="14"/>
              </w:rPr>
            </w:pPr>
            <w:r>
              <w:rPr>
                <w:b/>
                <w:sz w:val="14"/>
              </w:rPr>
              <w:t>$'000</w:t>
            </w:r>
          </w:p>
        </w:tc>
        <w:tc>
          <w:tcPr>
            <w:tcW w:w="1182" w:type="dxa"/>
          </w:tcPr>
          <w:p>
            <w:pPr>
              <w:pStyle w:val="TableParagraph"/>
              <w:spacing w:before="26"/>
              <w:ind w:left="370"/>
              <w:rPr>
                <w:b/>
                <w:sz w:val="14"/>
              </w:rPr>
            </w:pPr>
            <w:r>
              <w:rPr>
                <w:b/>
                <w:sz w:val="14"/>
              </w:rPr>
              <w:t>$'000</w:t>
            </w:r>
          </w:p>
        </w:tc>
        <w:tc>
          <w:tcPr>
            <w:tcW w:w="1084" w:type="dxa"/>
          </w:tcPr>
          <w:p>
            <w:pPr>
              <w:pStyle w:val="TableParagraph"/>
              <w:spacing w:before="26"/>
              <w:ind w:left="278"/>
              <w:rPr>
                <w:b/>
                <w:sz w:val="14"/>
              </w:rPr>
            </w:pPr>
            <w:r>
              <w:rPr>
                <w:b/>
                <w:sz w:val="14"/>
              </w:rPr>
              <w:t>$'000</w:t>
            </w:r>
          </w:p>
        </w:tc>
        <w:tc>
          <w:tcPr>
            <w:tcW w:w="1068" w:type="dxa"/>
          </w:tcPr>
          <w:p>
            <w:pPr>
              <w:pStyle w:val="TableParagraph"/>
              <w:spacing w:before="26"/>
              <w:ind w:left="243"/>
              <w:rPr>
                <w:b/>
                <w:sz w:val="14"/>
              </w:rPr>
            </w:pPr>
            <w:r>
              <w:rPr>
                <w:b/>
                <w:sz w:val="14"/>
              </w:rPr>
              <w:t>$'000</w:t>
            </w:r>
          </w:p>
        </w:tc>
        <w:tc>
          <w:tcPr>
            <w:tcW w:w="903" w:type="dxa"/>
          </w:tcPr>
          <w:p>
            <w:pPr>
              <w:pStyle w:val="TableParagraph"/>
              <w:spacing w:before="26"/>
              <w:ind w:left="224"/>
              <w:rPr>
                <w:b/>
                <w:sz w:val="14"/>
              </w:rPr>
            </w:pPr>
            <w:r>
              <w:rPr>
                <w:b/>
                <w:sz w:val="14"/>
              </w:rPr>
              <w:t>$'000</w:t>
            </w:r>
          </w:p>
        </w:tc>
      </w:tr>
      <w:tr>
        <w:trPr>
          <w:trHeight w:val="454" w:hRule="exact"/>
        </w:trPr>
        <w:tc>
          <w:tcPr>
            <w:tcW w:w="3885" w:type="dxa"/>
          </w:tcPr>
          <w:p>
            <w:pPr>
              <w:pStyle w:val="TableParagraph"/>
              <w:spacing w:before="65"/>
              <w:ind w:left="35"/>
              <w:rPr>
                <w:b/>
                <w:sz w:val="14"/>
              </w:rPr>
            </w:pPr>
            <w:r>
              <w:rPr>
                <w:b/>
                <w:sz w:val="14"/>
              </w:rPr>
              <w:t>At 1 January 2016</w:t>
            </w:r>
          </w:p>
          <w:p>
            <w:pPr>
              <w:pStyle w:val="TableParagraph"/>
              <w:spacing w:before="31"/>
              <w:ind w:left="35"/>
              <w:rPr>
                <w:sz w:val="14"/>
              </w:rPr>
            </w:pPr>
            <w:r>
              <w:rPr>
                <w:sz w:val="14"/>
              </w:rPr>
              <w:t>- Cost</w:t>
            </w:r>
          </w:p>
        </w:tc>
        <w:tc>
          <w:tcPr>
            <w:tcW w:w="1068" w:type="dxa"/>
          </w:tcPr>
          <w:p>
            <w:pPr>
              <w:pStyle w:val="TableParagraph"/>
              <w:rPr>
                <w:b/>
                <w:sz w:val="14"/>
              </w:rPr>
            </w:pPr>
          </w:p>
          <w:p>
            <w:pPr>
              <w:pStyle w:val="TableParagraph"/>
              <w:spacing w:before="94"/>
              <w:ind w:right="89"/>
              <w:jc w:val="right"/>
              <w:rPr>
                <w:sz w:val="14"/>
              </w:rPr>
            </w:pPr>
            <w:r>
              <w:rPr>
                <w:w w:val="95"/>
                <w:sz w:val="14"/>
              </w:rPr>
              <w:t>62,261</w:t>
            </w:r>
          </w:p>
        </w:tc>
        <w:tc>
          <w:tcPr>
            <w:tcW w:w="1087" w:type="dxa"/>
          </w:tcPr>
          <w:p>
            <w:pPr>
              <w:pStyle w:val="TableParagraph"/>
              <w:rPr>
                <w:b/>
                <w:sz w:val="14"/>
              </w:rPr>
            </w:pPr>
          </w:p>
          <w:p>
            <w:pPr>
              <w:pStyle w:val="TableParagraph"/>
              <w:spacing w:before="94"/>
              <w:ind w:right="126"/>
              <w:jc w:val="right"/>
              <w:rPr>
                <w:sz w:val="14"/>
              </w:rPr>
            </w:pPr>
            <w:r>
              <w:rPr>
                <w:w w:val="99"/>
                <w:sz w:val="14"/>
              </w:rPr>
              <w:t>-</w:t>
            </w:r>
          </w:p>
        </w:tc>
        <w:tc>
          <w:tcPr>
            <w:tcW w:w="1068" w:type="dxa"/>
          </w:tcPr>
          <w:p>
            <w:pPr>
              <w:pStyle w:val="TableParagraph"/>
              <w:rPr>
                <w:b/>
                <w:sz w:val="14"/>
              </w:rPr>
            </w:pPr>
          </w:p>
          <w:p>
            <w:pPr>
              <w:pStyle w:val="TableParagraph"/>
              <w:spacing w:before="94"/>
              <w:ind w:right="146"/>
              <w:jc w:val="right"/>
              <w:rPr>
                <w:sz w:val="14"/>
              </w:rPr>
            </w:pPr>
            <w:r>
              <w:rPr>
                <w:w w:val="99"/>
                <w:sz w:val="14"/>
              </w:rPr>
              <w:t>-</w:t>
            </w:r>
          </w:p>
        </w:tc>
        <w:tc>
          <w:tcPr>
            <w:tcW w:w="1004" w:type="dxa"/>
          </w:tcPr>
          <w:p>
            <w:pPr>
              <w:pStyle w:val="TableParagraph"/>
              <w:rPr>
                <w:b/>
                <w:sz w:val="14"/>
              </w:rPr>
            </w:pPr>
          </w:p>
          <w:p>
            <w:pPr>
              <w:pStyle w:val="TableParagraph"/>
              <w:spacing w:before="94"/>
              <w:ind w:right="102"/>
              <w:jc w:val="right"/>
              <w:rPr>
                <w:sz w:val="14"/>
              </w:rPr>
            </w:pPr>
            <w:r>
              <w:rPr>
                <w:sz w:val="14"/>
              </w:rPr>
              <w:t>7,929</w:t>
            </w:r>
          </w:p>
        </w:tc>
        <w:tc>
          <w:tcPr>
            <w:tcW w:w="1094" w:type="dxa"/>
          </w:tcPr>
          <w:p>
            <w:pPr>
              <w:pStyle w:val="TableParagraph"/>
              <w:rPr>
                <w:b/>
                <w:sz w:val="14"/>
              </w:rPr>
            </w:pPr>
          </w:p>
          <w:p>
            <w:pPr>
              <w:pStyle w:val="TableParagraph"/>
              <w:spacing w:before="94"/>
              <w:ind w:right="149"/>
              <w:jc w:val="right"/>
              <w:rPr>
                <w:sz w:val="14"/>
              </w:rPr>
            </w:pPr>
            <w:r>
              <w:rPr>
                <w:sz w:val="14"/>
              </w:rPr>
              <w:t>1,637</w:t>
            </w:r>
          </w:p>
        </w:tc>
        <w:tc>
          <w:tcPr>
            <w:tcW w:w="1013" w:type="dxa"/>
          </w:tcPr>
          <w:p>
            <w:pPr>
              <w:pStyle w:val="TableParagraph"/>
              <w:rPr>
                <w:b/>
                <w:sz w:val="14"/>
              </w:rPr>
            </w:pPr>
          </w:p>
          <w:p>
            <w:pPr>
              <w:pStyle w:val="TableParagraph"/>
              <w:spacing w:before="94"/>
              <w:ind w:right="112"/>
              <w:jc w:val="right"/>
              <w:rPr>
                <w:sz w:val="14"/>
              </w:rPr>
            </w:pPr>
            <w:r>
              <w:rPr>
                <w:w w:val="95"/>
                <w:sz w:val="14"/>
              </w:rPr>
              <w:t>132,831</w:t>
            </w:r>
          </w:p>
        </w:tc>
        <w:tc>
          <w:tcPr>
            <w:tcW w:w="1182" w:type="dxa"/>
          </w:tcPr>
          <w:p>
            <w:pPr>
              <w:pStyle w:val="TableParagraph"/>
              <w:rPr>
                <w:b/>
                <w:sz w:val="14"/>
              </w:rPr>
            </w:pPr>
          </w:p>
          <w:p>
            <w:pPr>
              <w:pStyle w:val="TableParagraph"/>
              <w:spacing w:before="94"/>
              <w:ind w:right="158"/>
              <w:jc w:val="right"/>
              <w:rPr>
                <w:sz w:val="14"/>
              </w:rPr>
            </w:pPr>
            <w:r>
              <w:rPr>
                <w:w w:val="95"/>
                <w:sz w:val="14"/>
              </w:rPr>
              <w:t>23,242</w:t>
            </w:r>
          </w:p>
        </w:tc>
        <w:tc>
          <w:tcPr>
            <w:tcW w:w="1084" w:type="dxa"/>
          </w:tcPr>
          <w:p>
            <w:pPr>
              <w:pStyle w:val="TableParagraph"/>
              <w:rPr>
                <w:b/>
                <w:sz w:val="14"/>
              </w:rPr>
            </w:pPr>
          </w:p>
          <w:p>
            <w:pPr>
              <w:pStyle w:val="TableParagraph"/>
              <w:spacing w:before="94"/>
              <w:ind w:right="196"/>
              <w:jc w:val="right"/>
              <w:rPr>
                <w:sz w:val="14"/>
              </w:rPr>
            </w:pPr>
            <w:r>
              <w:rPr>
                <w:w w:val="95"/>
                <w:sz w:val="14"/>
              </w:rPr>
              <w:t>82,713</w:t>
            </w:r>
          </w:p>
        </w:tc>
        <w:tc>
          <w:tcPr>
            <w:tcW w:w="1068" w:type="dxa"/>
          </w:tcPr>
          <w:p>
            <w:pPr>
              <w:pStyle w:val="TableParagraph"/>
              <w:rPr>
                <w:b/>
                <w:sz w:val="14"/>
              </w:rPr>
            </w:pPr>
          </w:p>
          <w:p>
            <w:pPr>
              <w:pStyle w:val="TableParagraph"/>
              <w:spacing w:before="94"/>
              <w:ind w:right="214"/>
              <w:jc w:val="right"/>
              <w:rPr>
                <w:sz w:val="14"/>
              </w:rPr>
            </w:pPr>
            <w:r>
              <w:rPr>
                <w:w w:val="99"/>
                <w:sz w:val="14"/>
              </w:rPr>
              <w:t>-</w:t>
            </w:r>
          </w:p>
        </w:tc>
        <w:tc>
          <w:tcPr>
            <w:tcW w:w="903" w:type="dxa"/>
          </w:tcPr>
          <w:p>
            <w:pPr>
              <w:pStyle w:val="TableParagraph"/>
              <w:rPr>
                <w:b/>
                <w:sz w:val="14"/>
              </w:rPr>
            </w:pPr>
          </w:p>
          <w:p>
            <w:pPr>
              <w:pStyle w:val="TableParagraph"/>
              <w:spacing w:before="94"/>
              <w:ind w:right="70"/>
              <w:jc w:val="right"/>
              <w:rPr>
                <w:sz w:val="14"/>
              </w:rPr>
            </w:pPr>
            <w:r>
              <w:rPr>
                <w:w w:val="95"/>
                <w:sz w:val="14"/>
              </w:rPr>
              <w:t>310,613</w:t>
            </w:r>
          </w:p>
        </w:tc>
      </w:tr>
      <w:tr>
        <w:trPr>
          <w:trHeight w:val="218" w:hRule="exact"/>
        </w:trPr>
        <w:tc>
          <w:tcPr>
            <w:tcW w:w="3885" w:type="dxa"/>
          </w:tcPr>
          <w:p>
            <w:pPr>
              <w:pStyle w:val="TableParagraph"/>
              <w:spacing w:before="22"/>
              <w:ind w:left="35"/>
              <w:rPr>
                <w:sz w:val="14"/>
              </w:rPr>
            </w:pPr>
            <w:r>
              <w:rPr>
                <w:sz w:val="14"/>
              </w:rPr>
              <w:t>- Valuation</w:t>
            </w:r>
          </w:p>
        </w:tc>
        <w:tc>
          <w:tcPr>
            <w:tcW w:w="1068" w:type="dxa"/>
          </w:tcPr>
          <w:p>
            <w:pPr>
              <w:pStyle w:val="TableParagraph"/>
              <w:spacing w:before="20"/>
              <w:ind w:right="88"/>
              <w:jc w:val="right"/>
              <w:rPr>
                <w:sz w:val="14"/>
              </w:rPr>
            </w:pPr>
            <w:r>
              <w:rPr>
                <w:w w:val="99"/>
                <w:sz w:val="14"/>
              </w:rPr>
              <w:t>-</w:t>
            </w:r>
          </w:p>
        </w:tc>
        <w:tc>
          <w:tcPr>
            <w:tcW w:w="1087" w:type="dxa"/>
          </w:tcPr>
          <w:p>
            <w:pPr>
              <w:pStyle w:val="TableParagraph"/>
              <w:spacing w:before="20"/>
              <w:ind w:right="127"/>
              <w:jc w:val="right"/>
              <w:rPr>
                <w:sz w:val="14"/>
              </w:rPr>
            </w:pPr>
            <w:r>
              <w:rPr>
                <w:w w:val="95"/>
                <w:sz w:val="14"/>
              </w:rPr>
              <w:t>214,596</w:t>
            </w:r>
          </w:p>
        </w:tc>
        <w:tc>
          <w:tcPr>
            <w:tcW w:w="1068" w:type="dxa"/>
          </w:tcPr>
          <w:p>
            <w:pPr>
              <w:pStyle w:val="TableParagraph"/>
              <w:spacing w:before="20"/>
              <w:ind w:right="147"/>
              <w:jc w:val="right"/>
              <w:rPr>
                <w:sz w:val="14"/>
              </w:rPr>
            </w:pPr>
            <w:r>
              <w:rPr>
                <w:w w:val="95"/>
                <w:sz w:val="14"/>
              </w:rPr>
              <w:t>162,335</w:t>
            </w:r>
          </w:p>
        </w:tc>
        <w:tc>
          <w:tcPr>
            <w:tcW w:w="1004" w:type="dxa"/>
          </w:tcPr>
          <w:p>
            <w:pPr>
              <w:pStyle w:val="TableParagraph"/>
              <w:spacing w:before="20"/>
              <w:ind w:right="102"/>
              <w:jc w:val="right"/>
              <w:rPr>
                <w:sz w:val="14"/>
              </w:rPr>
            </w:pPr>
            <w:r>
              <w:rPr>
                <w:w w:val="95"/>
                <w:sz w:val="14"/>
              </w:rPr>
              <w:t>905,781</w:t>
            </w:r>
          </w:p>
        </w:tc>
        <w:tc>
          <w:tcPr>
            <w:tcW w:w="1094" w:type="dxa"/>
          </w:tcPr>
          <w:p>
            <w:pPr>
              <w:pStyle w:val="TableParagraph"/>
              <w:spacing w:before="20"/>
              <w:ind w:right="148"/>
              <w:jc w:val="right"/>
              <w:rPr>
                <w:sz w:val="14"/>
              </w:rPr>
            </w:pPr>
            <w:r>
              <w:rPr>
                <w:w w:val="95"/>
                <w:sz w:val="14"/>
              </w:rPr>
              <w:t>85,557</w:t>
            </w:r>
          </w:p>
        </w:tc>
        <w:tc>
          <w:tcPr>
            <w:tcW w:w="1013" w:type="dxa"/>
          </w:tcPr>
          <w:p>
            <w:pPr>
              <w:pStyle w:val="TableParagraph"/>
              <w:spacing w:before="20"/>
              <w:ind w:right="111"/>
              <w:jc w:val="right"/>
              <w:rPr>
                <w:sz w:val="14"/>
              </w:rPr>
            </w:pPr>
            <w:r>
              <w:rPr>
                <w:w w:val="99"/>
                <w:sz w:val="14"/>
              </w:rPr>
              <w:t>-</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97"/>
              <w:jc w:val="right"/>
              <w:rPr>
                <w:sz w:val="14"/>
              </w:rPr>
            </w:pPr>
            <w:r>
              <w:rPr>
                <w:sz w:val="14"/>
              </w:rPr>
              <w:t>1,651</w:t>
            </w:r>
          </w:p>
        </w:tc>
        <w:tc>
          <w:tcPr>
            <w:tcW w:w="1068" w:type="dxa"/>
          </w:tcPr>
          <w:p>
            <w:pPr>
              <w:pStyle w:val="TableParagraph"/>
              <w:spacing w:before="20"/>
              <w:ind w:right="215"/>
              <w:jc w:val="right"/>
              <w:rPr>
                <w:sz w:val="14"/>
              </w:rPr>
            </w:pPr>
            <w:r>
              <w:rPr>
                <w:sz w:val="14"/>
              </w:rPr>
              <w:t>3,152</w:t>
            </w:r>
          </w:p>
        </w:tc>
        <w:tc>
          <w:tcPr>
            <w:tcW w:w="903" w:type="dxa"/>
          </w:tcPr>
          <w:p>
            <w:pPr>
              <w:pStyle w:val="TableParagraph"/>
              <w:spacing w:before="20"/>
              <w:ind w:right="69"/>
              <w:jc w:val="right"/>
              <w:rPr>
                <w:sz w:val="14"/>
              </w:rPr>
            </w:pPr>
            <w:r>
              <w:rPr>
                <w:w w:val="95"/>
                <w:sz w:val="14"/>
              </w:rPr>
              <w:t>1,373,072</w:t>
            </w:r>
          </w:p>
        </w:tc>
      </w:tr>
      <w:tr>
        <w:trPr>
          <w:trHeight w:val="217" w:hRule="exact"/>
        </w:trPr>
        <w:tc>
          <w:tcPr>
            <w:tcW w:w="3885" w:type="dxa"/>
          </w:tcPr>
          <w:p>
            <w:pPr>
              <w:pStyle w:val="TableParagraph"/>
              <w:spacing w:before="22"/>
              <w:ind w:left="35"/>
              <w:rPr>
                <w:sz w:val="14"/>
              </w:rPr>
            </w:pPr>
            <w:r>
              <w:rPr>
                <w:sz w:val="14"/>
              </w:rPr>
              <w:t>Accumulated depreciation and impairment</w:t>
            </w:r>
          </w:p>
        </w:tc>
        <w:tc>
          <w:tcPr>
            <w:tcW w:w="1068" w:type="dxa"/>
            <w:tcBorders>
              <w:bottom w:val="single" w:sz="1" w:space="0" w:color="000000"/>
            </w:tcBorders>
          </w:tcPr>
          <w:p>
            <w:pPr>
              <w:pStyle w:val="TableParagraph"/>
              <w:spacing w:before="20"/>
              <w:ind w:right="88"/>
              <w:jc w:val="right"/>
              <w:rPr>
                <w:sz w:val="14"/>
              </w:rPr>
            </w:pPr>
            <w:r>
              <w:rPr>
                <w:w w:val="99"/>
                <w:sz w:val="14"/>
              </w:rPr>
              <w:t>-</w:t>
            </w:r>
          </w:p>
        </w:tc>
        <w:tc>
          <w:tcPr>
            <w:tcW w:w="1087" w:type="dxa"/>
            <w:tcBorders>
              <w:bottom w:val="single" w:sz="1" w:space="0" w:color="000000"/>
            </w:tcBorders>
          </w:tcPr>
          <w:p>
            <w:pPr>
              <w:pStyle w:val="TableParagraph"/>
              <w:spacing w:before="20"/>
              <w:ind w:right="126"/>
              <w:jc w:val="right"/>
              <w:rPr>
                <w:sz w:val="14"/>
              </w:rPr>
            </w:pPr>
            <w:r>
              <w:rPr>
                <w:w w:val="99"/>
                <w:sz w:val="14"/>
              </w:rPr>
              <w:t>-</w:t>
            </w:r>
          </w:p>
        </w:tc>
        <w:tc>
          <w:tcPr>
            <w:tcW w:w="1068" w:type="dxa"/>
            <w:tcBorders>
              <w:bottom w:val="single" w:sz="1" w:space="0" w:color="000000"/>
            </w:tcBorders>
          </w:tcPr>
          <w:p>
            <w:pPr>
              <w:pStyle w:val="TableParagraph"/>
              <w:spacing w:before="20"/>
              <w:ind w:right="146"/>
              <w:jc w:val="right"/>
              <w:rPr>
                <w:sz w:val="14"/>
              </w:rPr>
            </w:pPr>
            <w:r>
              <w:rPr>
                <w:w w:val="99"/>
                <w:sz w:val="14"/>
              </w:rPr>
              <w:t>-</w:t>
            </w:r>
          </w:p>
        </w:tc>
        <w:tc>
          <w:tcPr>
            <w:tcW w:w="1004" w:type="dxa"/>
            <w:tcBorders>
              <w:bottom w:val="single" w:sz="1" w:space="0" w:color="000000"/>
            </w:tcBorders>
          </w:tcPr>
          <w:p>
            <w:pPr>
              <w:pStyle w:val="TableParagraph"/>
              <w:spacing w:before="20"/>
              <w:ind w:right="56"/>
              <w:jc w:val="right"/>
              <w:rPr>
                <w:sz w:val="14"/>
              </w:rPr>
            </w:pPr>
            <w:r>
              <w:rPr>
                <w:w w:val="95"/>
                <w:sz w:val="14"/>
              </w:rPr>
              <w:t>(3,049)</w:t>
            </w:r>
          </w:p>
        </w:tc>
        <w:tc>
          <w:tcPr>
            <w:tcW w:w="1094" w:type="dxa"/>
            <w:tcBorders>
              <w:bottom w:val="single" w:sz="1" w:space="0" w:color="000000"/>
            </w:tcBorders>
          </w:tcPr>
          <w:p>
            <w:pPr>
              <w:pStyle w:val="TableParagraph"/>
              <w:spacing w:before="20"/>
              <w:ind w:right="102"/>
              <w:jc w:val="right"/>
              <w:rPr>
                <w:sz w:val="14"/>
              </w:rPr>
            </w:pPr>
            <w:r>
              <w:rPr>
                <w:w w:val="95"/>
                <w:sz w:val="14"/>
              </w:rPr>
              <w:t>(1,799)</w:t>
            </w:r>
          </w:p>
        </w:tc>
        <w:tc>
          <w:tcPr>
            <w:tcW w:w="1013" w:type="dxa"/>
            <w:tcBorders>
              <w:bottom w:val="single" w:sz="1" w:space="0" w:color="000000"/>
            </w:tcBorders>
          </w:tcPr>
          <w:p>
            <w:pPr>
              <w:pStyle w:val="TableParagraph"/>
              <w:spacing w:before="20"/>
              <w:ind w:right="66"/>
              <w:jc w:val="right"/>
              <w:rPr>
                <w:sz w:val="14"/>
              </w:rPr>
            </w:pPr>
            <w:r>
              <w:rPr>
                <w:w w:val="95"/>
                <w:sz w:val="14"/>
              </w:rPr>
              <w:t>(72,612)</w:t>
            </w:r>
          </w:p>
        </w:tc>
        <w:tc>
          <w:tcPr>
            <w:tcW w:w="1182" w:type="dxa"/>
            <w:tcBorders>
              <w:bottom w:val="single" w:sz="1" w:space="0" w:color="000000"/>
            </w:tcBorders>
          </w:tcPr>
          <w:p>
            <w:pPr>
              <w:pStyle w:val="TableParagraph"/>
              <w:spacing w:before="20"/>
              <w:ind w:right="113"/>
              <w:jc w:val="right"/>
              <w:rPr>
                <w:sz w:val="14"/>
              </w:rPr>
            </w:pPr>
            <w:r>
              <w:rPr>
                <w:w w:val="95"/>
                <w:sz w:val="14"/>
              </w:rPr>
              <w:t>(8,166)</w:t>
            </w:r>
          </w:p>
        </w:tc>
        <w:tc>
          <w:tcPr>
            <w:tcW w:w="1084" w:type="dxa"/>
            <w:tcBorders>
              <w:bottom w:val="single" w:sz="1" w:space="0" w:color="000000"/>
            </w:tcBorders>
          </w:tcPr>
          <w:p>
            <w:pPr>
              <w:pStyle w:val="TableParagraph"/>
              <w:spacing w:before="20"/>
              <w:ind w:right="150"/>
              <w:jc w:val="right"/>
              <w:rPr>
                <w:sz w:val="14"/>
              </w:rPr>
            </w:pPr>
            <w:r>
              <w:rPr>
                <w:w w:val="95"/>
                <w:sz w:val="14"/>
              </w:rPr>
              <w:t>(74,691)</w:t>
            </w:r>
          </w:p>
        </w:tc>
        <w:tc>
          <w:tcPr>
            <w:tcW w:w="1068" w:type="dxa"/>
            <w:tcBorders>
              <w:bottom w:val="single" w:sz="1" w:space="0" w:color="000000"/>
            </w:tcBorders>
          </w:tcPr>
          <w:p>
            <w:pPr>
              <w:pStyle w:val="TableParagraph"/>
              <w:spacing w:before="20"/>
              <w:ind w:right="214"/>
              <w:jc w:val="right"/>
              <w:rPr>
                <w:sz w:val="14"/>
              </w:rPr>
            </w:pPr>
            <w:r>
              <w:rPr>
                <w:w w:val="99"/>
                <w:sz w:val="14"/>
              </w:rPr>
              <w:t>-</w:t>
            </w:r>
          </w:p>
        </w:tc>
        <w:tc>
          <w:tcPr>
            <w:tcW w:w="903" w:type="dxa"/>
            <w:tcBorders>
              <w:bottom w:val="single" w:sz="1" w:space="0" w:color="000000"/>
            </w:tcBorders>
          </w:tcPr>
          <w:p>
            <w:pPr>
              <w:pStyle w:val="TableParagraph"/>
              <w:spacing w:before="20"/>
              <w:ind w:right="24"/>
              <w:jc w:val="right"/>
              <w:rPr>
                <w:sz w:val="14"/>
              </w:rPr>
            </w:pPr>
            <w:r>
              <w:rPr>
                <w:w w:val="95"/>
                <w:sz w:val="14"/>
              </w:rPr>
              <w:t>(160,317)</w:t>
            </w:r>
          </w:p>
        </w:tc>
      </w:tr>
      <w:tr>
        <w:trPr>
          <w:trHeight w:val="293" w:hRule="exact"/>
        </w:trPr>
        <w:tc>
          <w:tcPr>
            <w:tcW w:w="3885" w:type="dxa"/>
          </w:tcPr>
          <w:p>
            <w:pPr>
              <w:pStyle w:val="TableParagraph"/>
              <w:spacing w:before="124"/>
              <w:ind w:left="35"/>
              <w:rPr>
                <w:b/>
                <w:sz w:val="14"/>
              </w:rPr>
            </w:pPr>
            <w:r>
              <w:rPr>
                <w:b/>
                <w:sz w:val="14"/>
              </w:rPr>
              <w:t>Net Book Amount</w:t>
            </w:r>
          </w:p>
        </w:tc>
        <w:tc>
          <w:tcPr>
            <w:tcW w:w="1068" w:type="dxa"/>
            <w:tcBorders>
              <w:top w:val="single" w:sz="1" w:space="0" w:color="000000"/>
              <w:bottom w:val="single" w:sz="1" w:space="0" w:color="000000"/>
            </w:tcBorders>
          </w:tcPr>
          <w:p>
            <w:pPr>
              <w:pStyle w:val="TableParagraph"/>
              <w:spacing w:before="123"/>
              <w:ind w:right="89"/>
              <w:jc w:val="right"/>
              <w:rPr>
                <w:sz w:val="14"/>
              </w:rPr>
            </w:pPr>
            <w:r>
              <w:rPr>
                <w:w w:val="95"/>
                <w:sz w:val="14"/>
              </w:rPr>
              <w:t>62,261</w:t>
            </w:r>
          </w:p>
        </w:tc>
        <w:tc>
          <w:tcPr>
            <w:tcW w:w="1087" w:type="dxa"/>
            <w:tcBorders>
              <w:top w:val="single" w:sz="1" w:space="0" w:color="000000"/>
              <w:bottom w:val="single" w:sz="1" w:space="0" w:color="000000"/>
            </w:tcBorders>
          </w:tcPr>
          <w:p>
            <w:pPr>
              <w:pStyle w:val="TableParagraph"/>
              <w:spacing w:before="123"/>
              <w:ind w:right="127"/>
              <w:jc w:val="right"/>
              <w:rPr>
                <w:sz w:val="14"/>
              </w:rPr>
            </w:pPr>
            <w:r>
              <w:rPr>
                <w:w w:val="95"/>
                <w:sz w:val="14"/>
              </w:rPr>
              <w:t>214,596</w:t>
            </w:r>
          </w:p>
        </w:tc>
        <w:tc>
          <w:tcPr>
            <w:tcW w:w="1068" w:type="dxa"/>
            <w:tcBorders>
              <w:top w:val="single" w:sz="1" w:space="0" w:color="000000"/>
              <w:bottom w:val="single" w:sz="1" w:space="0" w:color="000000"/>
            </w:tcBorders>
          </w:tcPr>
          <w:p>
            <w:pPr>
              <w:pStyle w:val="TableParagraph"/>
              <w:spacing w:before="123"/>
              <w:ind w:right="147"/>
              <w:jc w:val="right"/>
              <w:rPr>
                <w:sz w:val="14"/>
              </w:rPr>
            </w:pPr>
            <w:r>
              <w:rPr>
                <w:w w:val="95"/>
                <w:sz w:val="14"/>
              </w:rPr>
              <w:t>162,335</w:t>
            </w:r>
          </w:p>
        </w:tc>
        <w:tc>
          <w:tcPr>
            <w:tcW w:w="1004" w:type="dxa"/>
            <w:tcBorders>
              <w:top w:val="single" w:sz="1" w:space="0" w:color="000000"/>
              <w:bottom w:val="single" w:sz="1" w:space="0" w:color="000000"/>
            </w:tcBorders>
          </w:tcPr>
          <w:p>
            <w:pPr>
              <w:pStyle w:val="TableParagraph"/>
              <w:spacing w:before="123"/>
              <w:ind w:right="102"/>
              <w:jc w:val="right"/>
              <w:rPr>
                <w:sz w:val="14"/>
              </w:rPr>
            </w:pPr>
            <w:r>
              <w:rPr>
                <w:w w:val="95"/>
                <w:sz w:val="14"/>
              </w:rPr>
              <w:t>910,661</w:t>
            </w:r>
          </w:p>
        </w:tc>
        <w:tc>
          <w:tcPr>
            <w:tcW w:w="1094" w:type="dxa"/>
            <w:tcBorders>
              <w:top w:val="single" w:sz="1" w:space="0" w:color="000000"/>
              <w:bottom w:val="single" w:sz="1" w:space="0" w:color="000000"/>
            </w:tcBorders>
          </w:tcPr>
          <w:p>
            <w:pPr>
              <w:pStyle w:val="TableParagraph"/>
              <w:spacing w:before="123"/>
              <w:ind w:right="148"/>
              <w:jc w:val="right"/>
              <w:rPr>
                <w:sz w:val="14"/>
              </w:rPr>
            </w:pPr>
            <w:r>
              <w:rPr>
                <w:w w:val="95"/>
                <w:sz w:val="14"/>
              </w:rPr>
              <w:t>85,395</w:t>
            </w:r>
          </w:p>
        </w:tc>
        <w:tc>
          <w:tcPr>
            <w:tcW w:w="1013" w:type="dxa"/>
            <w:tcBorders>
              <w:top w:val="single" w:sz="1" w:space="0" w:color="000000"/>
              <w:bottom w:val="single" w:sz="1" w:space="0" w:color="000000"/>
            </w:tcBorders>
          </w:tcPr>
          <w:p>
            <w:pPr>
              <w:pStyle w:val="TableParagraph"/>
              <w:spacing w:before="123"/>
              <w:ind w:right="112"/>
              <w:jc w:val="right"/>
              <w:rPr>
                <w:sz w:val="14"/>
              </w:rPr>
            </w:pPr>
            <w:r>
              <w:rPr>
                <w:w w:val="95"/>
                <w:sz w:val="14"/>
              </w:rPr>
              <w:t>60,219</w:t>
            </w:r>
          </w:p>
        </w:tc>
        <w:tc>
          <w:tcPr>
            <w:tcW w:w="1182" w:type="dxa"/>
            <w:tcBorders>
              <w:top w:val="single" w:sz="1" w:space="0" w:color="000000"/>
              <w:bottom w:val="single" w:sz="1" w:space="0" w:color="000000"/>
            </w:tcBorders>
          </w:tcPr>
          <w:p>
            <w:pPr>
              <w:pStyle w:val="TableParagraph"/>
              <w:spacing w:before="123"/>
              <w:ind w:right="158"/>
              <w:jc w:val="right"/>
              <w:rPr>
                <w:sz w:val="14"/>
              </w:rPr>
            </w:pPr>
            <w:r>
              <w:rPr>
                <w:w w:val="95"/>
                <w:sz w:val="14"/>
              </w:rPr>
              <w:t>15,076</w:t>
            </w:r>
          </w:p>
        </w:tc>
        <w:tc>
          <w:tcPr>
            <w:tcW w:w="1084" w:type="dxa"/>
            <w:tcBorders>
              <w:top w:val="single" w:sz="1" w:space="0" w:color="000000"/>
              <w:bottom w:val="single" w:sz="1" w:space="0" w:color="000000"/>
            </w:tcBorders>
          </w:tcPr>
          <w:p>
            <w:pPr>
              <w:pStyle w:val="TableParagraph"/>
              <w:spacing w:before="123"/>
              <w:ind w:right="197"/>
              <w:jc w:val="right"/>
              <w:rPr>
                <w:sz w:val="14"/>
              </w:rPr>
            </w:pPr>
            <w:r>
              <w:rPr>
                <w:sz w:val="14"/>
              </w:rPr>
              <w:t>9,673</w:t>
            </w:r>
          </w:p>
        </w:tc>
        <w:tc>
          <w:tcPr>
            <w:tcW w:w="1068" w:type="dxa"/>
            <w:tcBorders>
              <w:top w:val="single" w:sz="1" w:space="0" w:color="000000"/>
              <w:bottom w:val="single" w:sz="1" w:space="0" w:color="000000"/>
            </w:tcBorders>
          </w:tcPr>
          <w:p>
            <w:pPr>
              <w:pStyle w:val="TableParagraph"/>
              <w:spacing w:before="123"/>
              <w:ind w:right="215"/>
              <w:jc w:val="right"/>
              <w:rPr>
                <w:sz w:val="14"/>
              </w:rPr>
            </w:pPr>
            <w:r>
              <w:rPr>
                <w:sz w:val="14"/>
              </w:rPr>
              <w:t>3,152</w:t>
            </w:r>
          </w:p>
        </w:tc>
        <w:tc>
          <w:tcPr>
            <w:tcW w:w="903" w:type="dxa"/>
            <w:tcBorders>
              <w:top w:val="single" w:sz="1" w:space="0" w:color="000000"/>
              <w:bottom w:val="single" w:sz="1" w:space="0" w:color="000000"/>
            </w:tcBorders>
          </w:tcPr>
          <w:p>
            <w:pPr>
              <w:pStyle w:val="TableParagraph"/>
              <w:spacing w:before="123"/>
              <w:ind w:right="69"/>
              <w:jc w:val="right"/>
              <w:rPr>
                <w:sz w:val="14"/>
              </w:rPr>
            </w:pPr>
            <w:r>
              <w:rPr>
                <w:w w:val="95"/>
                <w:sz w:val="14"/>
              </w:rPr>
              <w:t>1,523,368</w:t>
            </w:r>
          </w:p>
        </w:tc>
      </w:tr>
      <w:tr>
        <w:trPr>
          <w:trHeight w:val="512" w:hRule="exact"/>
        </w:trPr>
        <w:tc>
          <w:tcPr>
            <w:tcW w:w="3885" w:type="dxa"/>
          </w:tcPr>
          <w:p>
            <w:pPr>
              <w:pStyle w:val="TableParagraph"/>
              <w:spacing w:before="124"/>
              <w:ind w:left="35"/>
              <w:rPr>
                <w:b/>
                <w:sz w:val="14"/>
              </w:rPr>
            </w:pPr>
            <w:r>
              <w:rPr>
                <w:b/>
                <w:sz w:val="14"/>
              </w:rPr>
              <w:t>Year Ended 31 December 2016</w:t>
            </w:r>
          </w:p>
          <w:p>
            <w:pPr>
              <w:pStyle w:val="TableParagraph"/>
              <w:spacing w:before="31"/>
              <w:ind w:left="35"/>
              <w:rPr>
                <w:sz w:val="14"/>
              </w:rPr>
            </w:pPr>
            <w:r>
              <w:rPr>
                <w:sz w:val="14"/>
              </w:rPr>
              <w:t>Opening Net Book Amount</w:t>
            </w:r>
          </w:p>
        </w:tc>
        <w:tc>
          <w:tcPr>
            <w:tcW w:w="1068" w:type="dxa"/>
            <w:tcBorders>
              <w:top w:val="single" w:sz="1" w:space="0" w:color="000000"/>
            </w:tcBorders>
          </w:tcPr>
          <w:p>
            <w:pPr>
              <w:pStyle w:val="TableParagraph"/>
              <w:rPr>
                <w:b/>
                <w:sz w:val="14"/>
              </w:rPr>
            </w:pPr>
          </w:p>
          <w:p>
            <w:pPr>
              <w:pStyle w:val="TableParagraph"/>
              <w:spacing w:before="2"/>
              <w:rPr>
                <w:b/>
                <w:sz w:val="13"/>
              </w:rPr>
            </w:pPr>
          </w:p>
          <w:p>
            <w:pPr>
              <w:pStyle w:val="TableParagraph"/>
              <w:ind w:right="89"/>
              <w:jc w:val="right"/>
              <w:rPr>
                <w:sz w:val="14"/>
              </w:rPr>
            </w:pPr>
            <w:r>
              <w:rPr>
                <w:w w:val="95"/>
                <w:sz w:val="14"/>
              </w:rPr>
              <w:t>62,261</w:t>
            </w:r>
          </w:p>
        </w:tc>
        <w:tc>
          <w:tcPr>
            <w:tcW w:w="1087" w:type="dxa"/>
            <w:tcBorders>
              <w:top w:val="single" w:sz="1" w:space="0" w:color="000000"/>
            </w:tcBorders>
          </w:tcPr>
          <w:p>
            <w:pPr>
              <w:pStyle w:val="TableParagraph"/>
              <w:rPr>
                <w:b/>
                <w:sz w:val="14"/>
              </w:rPr>
            </w:pPr>
          </w:p>
          <w:p>
            <w:pPr>
              <w:pStyle w:val="TableParagraph"/>
              <w:spacing w:before="2"/>
              <w:rPr>
                <w:b/>
                <w:sz w:val="13"/>
              </w:rPr>
            </w:pPr>
          </w:p>
          <w:p>
            <w:pPr>
              <w:pStyle w:val="TableParagraph"/>
              <w:ind w:right="127"/>
              <w:jc w:val="right"/>
              <w:rPr>
                <w:sz w:val="14"/>
              </w:rPr>
            </w:pPr>
            <w:r>
              <w:rPr>
                <w:w w:val="95"/>
                <w:sz w:val="14"/>
              </w:rPr>
              <w:t>214,596</w:t>
            </w:r>
          </w:p>
        </w:tc>
        <w:tc>
          <w:tcPr>
            <w:tcW w:w="1068" w:type="dxa"/>
            <w:tcBorders>
              <w:top w:val="single" w:sz="1" w:space="0" w:color="000000"/>
            </w:tcBorders>
          </w:tcPr>
          <w:p>
            <w:pPr>
              <w:pStyle w:val="TableParagraph"/>
              <w:rPr>
                <w:b/>
                <w:sz w:val="14"/>
              </w:rPr>
            </w:pPr>
          </w:p>
          <w:p>
            <w:pPr>
              <w:pStyle w:val="TableParagraph"/>
              <w:spacing w:before="2"/>
              <w:rPr>
                <w:b/>
                <w:sz w:val="13"/>
              </w:rPr>
            </w:pPr>
          </w:p>
          <w:p>
            <w:pPr>
              <w:pStyle w:val="TableParagraph"/>
              <w:ind w:right="147"/>
              <w:jc w:val="right"/>
              <w:rPr>
                <w:sz w:val="14"/>
              </w:rPr>
            </w:pPr>
            <w:r>
              <w:rPr>
                <w:w w:val="95"/>
                <w:sz w:val="14"/>
              </w:rPr>
              <w:t>162,335</w:t>
            </w:r>
          </w:p>
        </w:tc>
        <w:tc>
          <w:tcPr>
            <w:tcW w:w="100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02"/>
              <w:jc w:val="right"/>
              <w:rPr>
                <w:sz w:val="14"/>
              </w:rPr>
            </w:pPr>
            <w:r>
              <w:rPr>
                <w:w w:val="95"/>
                <w:sz w:val="14"/>
              </w:rPr>
              <w:t>910,661</w:t>
            </w:r>
          </w:p>
        </w:tc>
        <w:tc>
          <w:tcPr>
            <w:tcW w:w="109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48"/>
              <w:jc w:val="right"/>
              <w:rPr>
                <w:sz w:val="14"/>
              </w:rPr>
            </w:pPr>
            <w:r>
              <w:rPr>
                <w:w w:val="95"/>
                <w:sz w:val="14"/>
              </w:rPr>
              <w:t>85,395</w:t>
            </w:r>
          </w:p>
        </w:tc>
        <w:tc>
          <w:tcPr>
            <w:tcW w:w="1013" w:type="dxa"/>
            <w:tcBorders>
              <w:top w:val="single" w:sz="1" w:space="0" w:color="000000"/>
            </w:tcBorders>
          </w:tcPr>
          <w:p>
            <w:pPr>
              <w:pStyle w:val="TableParagraph"/>
              <w:rPr>
                <w:b/>
                <w:sz w:val="14"/>
              </w:rPr>
            </w:pPr>
          </w:p>
          <w:p>
            <w:pPr>
              <w:pStyle w:val="TableParagraph"/>
              <w:spacing w:before="2"/>
              <w:rPr>
                <w:b/>
                <w:sz w:val="13"/>
              </w:rPr>
            </w:pPr>
          </w:p>
          <w:p>
            <w:pPr>
              <w:pStyle w:val="TableParagraph"/>
              <w:ind w:right="112"/>
              <w:jc w:val="right"/>
              <w:rPr>
                <w:sz w:val="14"/>
              </w:rPr>
            </w:pPr>
            <w:r>
              <w:rPr>
                <w:w w:val="95"/>
                <w:sz w:val="14"/>
              </w:rPr>
              <w:t>60,219</w:t>
            </w:r>
          </w:p>
        </w:tc>
        <w:tc>
          <w:tcPr>
            <w:tcW w:w="1182" w:type="dxa"/>
            <w:tcBorders>
              <w:top w:val="single" w:sz="1" w:space="0" w:color="000000"/>
            </w:tcBorders>
          </w:tcPr>
          <w:p>
            <w:pPr>
              <w:pStyle w:val="TableParagraph"/>
              <w:rPr>
                <w:b/>
                <w:sz w:val="14"/>
              </w:rPr>
            </w:pPr>
          </w:p>
          <w:p>
            <w:pPr>
              <w:pStyle w:val="TableParagraph"/>
              <w:spacing w:before="2"/>
              <w:rPr>
                <w:b/>
                <w:sz w:val="13"/>
              </w:rPr>
            </w:pPr>
          </w:p>
          <w:p>
            <w:pPr>
              <w:pStyle w:val="TableParagraph"/>
              <w:ind w:right="158"/>
              <w:jc w:val="right"/>
              <w:rPr>
                <w:sz w:val="14"/>
              </w:rPr>
            </w:pPr>
            <w:r>
              <w:rPr>
                <w:w w:val="95"/>
                <w:sz w:val="14"/>
              </w:rPr>
              <w:t>15,076</w:t>
            </w:r>
          </w:p>
        </w:tc>
        <w:tc>
          <w:tcPr>
            <w:tcW w:w="108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97"/>
              <w:jc w:val="right"/>
              <w:rPr>
                <w:sz w:val="14"/>
              </w:rPr>
            </w:pPr>
            <w:r>
              <w:rPr>
                <w:sz w:val="14"/>
              </w:rPr>
              <w:t>9,673</w:t>
            </w:r>
          </w:p>
        </w:tc>
        <w:tc>
          <w:tcPr>
            <w:tcW w:w="1068" w:type="dxa"/>
            <w:tcBorders>
              <w:top w:val="single" w:sz="1" w:space="0" w:color="000000"/>
            </w:tcBorders>
          </w:tcPr>
          <w:p>
            <w:pPr>
              <w:pStyle w:val="TableParagraph"/>
              <w:rPr>
                <w:b/>
                <w:sz w:val="14"/>
              </w:rPr>
            </w:pPr>
          </w:p>
          <w:p>
            <w:pPr>
              <w:pStyle w:val="TableParagraph"/>
              <w:spacing w:before="2"/>
              <w:rPr>
                <w:b/>
                <w:sz w:val="13"/>
              </w:rPr>
            </w:pPr>
          </w:p>
          <w:p>
            <w:pPr>
              <w:pStyle w:val="TableParagraph"/>
              <w:ind w:right="215"/>
              <w:jc w:val="right"/>
              <w:rPr>
                <w:sz w:val="14"/>
              </w:rPr>
            </w:pPr>
            <w:r>
              <w:rPr>
                <w:sz w:val="14"/>
              </w:rPr>
              <w:t>3,152</w:t>
            </w:r>
          </w:p>
        </w:tc>
        <w:tc>
          <w:tcPr>
            <w:tcW w:w="903" w:type="dxa"/>
            <w:tcBorders>
              <w:top w:val="single" w:sz="1" w:space="0" w:color="000000"/>
            </w:tcBorders>
          </w:tcPr>
          <w:p>
            <w:pPr>
              <w:pStyle w:val="TableParagraph"/>
              <w:rPr>
                <w:b/>
                <w:sz w:val="14"/>
              </w:rPr>
            </w:pPr>
          </w:p>
          <w:p>
            <w:pPr>
              <w:pStyle w:val="TableParagraph"/>
              <w:spacing w:before="2"/>
              <w:rPr>
                <w:b/>
                <w:sz w:val="13"/>
              </w:rPr>
            </w:pPr>
          </w:p>
          <w:p>
            <w:pPr>
              <w:pStyle w:val="TableParagraph"/>
              <w:ind w:right="69"/>
              <w:jc w:val="right"/>
              <w:rPr>
                <w:sz w:val="14"/>
              </w:rPr>
            </w:pPr>
            <w:r>
              <w:rPr>
                <w:w w:val="95"/>
                <w:sz w:val="14"/>
              </w:rPr>
              <w:t>1,523,368</w:t>
            </w:r>
          </w:p>
        </w:tc>
      </w:tr>
      <w:tr>
        <w:trPr>
          <w:trHeight w:val="218" w:hRule="exact"/>
        </w:trPr>
        <w:tc>
          <w:tcPr>
            <w:tcW w:w="3885" w:type="dxa"/>
          </w:tcPr>
          <w:p>
            <w:pPr>
              <w:pStyle w:val="TableParagraph"/>
              <w:spacing w:before="22"/>
              <w:ind w:left="35"/>
              <w:rPr>
                <w:sz w:val="14"/>
              </w:rPr>
            </w:pPr>
            <w:r>
              <w:rPr>
                <w:sz w:val="14"/>
              </w:rPr>
              <w:t>Revaluation Surplus</w:t>
            </w:r>
          </w:p>
        </w:tc>
        <w:tc>
          <w:tcPr>
            <w:tcW w:w="1068" w:type="dxa"/>
          </w:tcPr>
          <w:p>
            <w:pPr>
              <w:pStyle w:val="TableParagraph"/>
              <w:spacing w:before="20"/>
              <w:ind w:right="88"/>
              <w:jc w:val="right"/>
              <w:rPr>
                <w:sz w:val="14"/>
              </w:rPr>
            </w:pPr>
            <w:r>
              <w:rPr>
                <w:w w:val="99"/>
                <w:sz w:val="14"/>
              </w:rPr>
              <w:t>-</w:t>
            </w:r>
          </w:p>
        </w:tc>
        <w:tc>
          <w:tcPr>
            <w:tcW w:w="1087" w:type="dxa"/>
          </w:tcPr>
          <w:p>
            <w:pPr>
              <w:pStyle w:val="TableParagraph"/>
              <w:spacing w:before="20"/>
              <w:ind w:right="81"/>
              <w:jc w:val="right"/>
              <w:rPr>
                <w:sz w:val="14"/>
              </w:rPr>
            </w:pPr>
            <w:r>
              <w:rPr>
                <w:w w:val="95"/>
                <w:sz w:val="14"/>
              </w:rPr>
              <w:t>(3,055)</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102"/>
              <w:jc w:val="right"/>
              <w:rPr>
                <w:sz w:val="14"/>
              </w:rPr>
            </w:pPr>
            <w:r>
              <w:rPr>
                <w:w w:val="95"/>
                <w:sz w:val="14"/>
              </w:rPr>
              <w:t>19,722</w:t>
            </w:r>
          </w:p>
        </w:tc>
        <w:tc>
          <w:tcPr>
            <w:tcW w:w="1094" w:type="dxa"/>
          </w:tcPr>
          <w:p>
            <w:pPr>
              <w:pStyle w:val="TableParagraph"/>
              <w:spacing w:before="20"/>
              <w:ind w:right="149"/>
              <w:jc w:val="right"/>
              <w:rPr>
                <w:sz w:val="14"/>
              </w:rPr>
            </w:pPr>
            <w:r>
              <w:rPr>
                <w:sz w:val="14"/>
              </w:rPr>
              <w:t>2,203</w:t>
            </w:r>
          </w:p>
        </w:tc>
        <w:tc>
          <w:tcPr>
            <w:tcW w:w="1013" w:type="dxa"/>
          </w:tcPr>
          <w:p>
            <w:pPr>
              <w:pStyle w:val="TableParagraph"/>
              <w:spacing w:before="20"/>
              <w:ind w:right="111"/>
              <w:jc w:val="right"/>
              <w:rPr>
                <w:sz w:val="14"/>
              </w:rPr>
            </w:pPr>
            <w:r>
              <w:rPr>
                <w:w w:val="99"/>
                <w:sz w:val="14"/>
              </w:rPr>
              <w:t>-</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96"/>
              <w:jc w:val="right"/>
              <w:rPr>
                <w:sz w:val="14"/>
              </w:rPr>
            </w:pPr>
            <w:r>
              <w:rPr>
                <w:sz w:val="14"/>
              </w:rPr>
              <w:t>30</w:t>
            </w:r>
          </w:p>
        </w:tc>
        <w:tc>
          <w:tcPr>
            <w:tcW w:w="1068" w:type="dxa"/>
          </w:tcPr>
          <w:p>
            <w:pPr>
              <w:pStyle w:val="TableParagraph"/>
              <w:spacing w:before="20"/>
              <w:ind w:right="215"/>
              <w:jc w:val="right"/>
              <w:rPr>
                <w:sz w:val="14"/>
              </w:rPr>
            </w:pPr>
            <w:r>
              <w:rPr>
                <w:sz w:val="14"/>
              </w:rPr>
              <w:t>986</w:t>
            </w:r>
          </w:p>
        </w:tc>
        <w:tc>
          <w:tcPr>
            <w:tcW w:w="903" w:type="dxa"/>
          </w:tcPr>
          <w:p>
            <w:pPr>
              <w:pStyle w:val="TableParagraph"/>
              <w:spacing w:before="20"/>
              <w:ind w:right="69"/>
              <w:jc w:val="right"/>
              <w:rPr>
                <w:sz w:val="14"/>
              </w:rPr>
            </w:pPr>
            <w:r>
              <w:rPr>
                <w:w w:val="95"/>
                <w:sz w:val="14"/>
              </w:rPr>
              <w:t>19,886</w:t>
            </w:r>
          </w:p>
        </w:tc>
      </w:tr>
      <w:tr>
        <w:trPr>
          <w:trHeight w:val="218" w:hRule="exact"/>
        </w:trPr>
        <w:tc>
          <w:tcPr>
            <w:tcW w:w="3885" w:type="dxa"/>
          </w:tcPr>
          <w:p>
            <w:pPr>
              <w:pStyle w:val="TableParagraph"/>
              <w:spacing w:before="22"/>
              <w:ind w:left="35"/>
              <w:rPr>
                <w:sz w:val="14"/>
              </w:rPr>
            </w:pPr>
            <w:r>
              <w:rPr>
                <w:sz w:val="14"/>
              </w:rPr>
              <w:t>Additions</w:t>
            </w:r>
          </w:p>
        </w:tc>
        <w:tc>
          <w:tcPr>
            <w:tcW w:w="1068" w:type="dxa"/>
          </w:tcPr>
          <w:p>
            <w:pPr>
              <w:pStyle w:val="TableParagraph"/>
              <w:spacing w:before="20"/>
              <w:ind w:right="89"/>
              <w:jc w:val="right"/>
              <w:rPr>
                <w:sz w:val="14"/>
              </w:rPr>
            </w:pPr>
            <w:r>
              <w:rPr>
                <w:w w:val="95"/>
                <w:sz w:val="14"/>
              </w:rPr>
              <w:t>114,688</w:t>
            </w:r>
          </w:p>
        </w:tc>
        <w:tc>
          <w:tcPr>
            <w:tcW w:w="1087" w:type="dxa"/>
          </w:tcPr>
          <w:p>
            <w:pPr>
              <w:pStyle w:val="TableParagraph"/>
              <w:spacing w:before="20"/>
              <w:ind w:right="127"/>
              <w:jc w:val="right"/>
              <w:rPr>
                <w:sz w:val="14"/>
              </w:rPr>
            </w:pPr>
            <w:r>
              <w:rPr>
                <w:sz w:val="14"/>
              </w:rPr>
              <w:t>3,950</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101"/>
              <w:jc w:val="right"/>
              <w:rPr>
                <w:sz w:val="14"/>
              </w:rPr>
            </w:pPr>
            <w:r>
              <w:rPr>
                <w:w w:val="99"/>
                <w:sz w:val="14"/>
              </w:rPr>
              <w:t>-</w:t>
            </w:r>
          </w:p>
        </w:tc>
        <w:tc>
          <w:tcPr>
            <w:tcW w:w="1094" w:type="dxa"/>
          </w:tcPr>
          <w:p>
            <w:pPr>
              <w:pStyle w:val="TableParagraph"/>
              <w:spacing w:before="20"/>
              <w:ind w:right="147"/>
              <w:jc w:val="right"/>
              <w:rPr>
                <w:sz w:val="14"/>
              </w:rPr>
            </w:pPr>
            <w:r>
              <w:rPr>
                <w:w w:val="99"/>
                <w:sz w:val="14"/>
              </w:rPr>
              <w:t>-</w:t>
            </w:r>
          </w:p>
        </w:tc>
        <w:tc>
          <w:tcPr>
            <w:tcW w:w="1013" w:type="dxa"/>
          </w:tcPr>
          <w:p>
            <w:pPr>
              <w:pStyle w:val="TableParagraph"/>
              <w:spacing w:before="20"/>
              <w:ind w:right="113"/>
              <w:jc w:val="right"/>
              <w:rPr>
                <w:sz w:val="14"/>
              </w:rPr>
            </w:pPr>
            <w:r>
              <w:rPr>
                <w:sz w:val="14"/>
              </w:rPr>
              <w:t>7,182</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97"/>
              <w:jc w:val="right"/>
              <w:rPr>
                <w:sz w:val="14"/>
              </w:rPr>
            </w:pPr>
            <w:r>
              <w:rPr>
                <w:sz w:val="14"/>
              </w:rPr>
              <w:t>2,179</w:t>
            </w:r>
          </w:p>
        </w:tc>
        <w:tc>
          <w:tcPr>
            <w:tcW w:w="1068" w:type="dxa"/>
          </w:tcPr>
          <w:p>
            <w:pPr>
              <w:pStyle w:val="TableParagraph"/>
              <w:spacing w:before="20"/>
              <w:ind w:right="215"/>
              <w:jc w:val="right"/>
              <w:rPr>
                <w:sz w:val="14"/>
              </w:rPr>
            </w:pPr>
            <w:r>
              <w:rPr>
                <w:sz w:val="14"/>
              </w:rPr>
              <w:t>66</w:t>
            </w:r>
          </w:p>
        </w:tc>
        <w:tc>
          <w:tcPr>
            <w:tcW w:w="903" w:type="dxa"/>
          </w:tcPr>
          <w:p>
            <w:pPr>
              <w:pStyle w:val="TableParagraph"/>
              <w:spacing w:before="20"/>
              <w:ind w:right="70"/>
              <w:jc w:val="right"/>
              <w:rPr>
                <w:sz w:val="14"/>
              </w:rPr>
            </w:pPr>
            <w:r>
              <w:rPr>
                <w:w w:val="95"/>
                <w:sz w:val="14"/>
              </w:rPr>
              <w:t>128,065</w:t>
            </w:r>
          </w:p>
        </w:tc>
      </w:tr>
      <w:tr>
        <w:trPr>
          <w:trHeight w:val="218" w:hRule="exact"/>
        </w:trPr>
        <w:tc>
          <w:tcPr>
            <w:tcW w:w="3885" w:type="dxa"/>
          </w:tcPr>
          <w:p>
            <w:pPr>
              <w:pStyle w:val="TableParagraph"/>
              <w:spacing w:before="22"/>
              <w:ind w:left="35"/>
              <w:rPr>
                <w:sz w:val="14"/>
              </w:rPr>
            </w:pPr>
            <w:r>
              <w:rPr>
                <w:sz w:val="14"/>
              </w:rPr>
              <w:t>Disposals</w:t>
            </w:r>
          </w:p>
        </w:tc>
        <w:tc>
          <w:tcPr>
            <w:tcW w:w="1068" w:type="dxa"/>
          </w:tcPr>
          <w:p>
            <w:pPr>
              <w:pStyle w:val="TableParagraph"/>
              <w:spacing w:before="20"/>
              <w:ind w:right="43"/>
              <w:jc w:val="right"/>
              <w:rPr>
                <w:sz w:val="14"/>
              </w:rPr>
            </w:pPr>
            <w:r>
              <w:rPr>
                <w:w w:val="95"/>
                <w:sz w:val="14"/>
              </w:rPr>
              <w:t>(11,310)</w:t>
            </w:r>
          </w:p>
        </w:tc>
        <w:tc>
          <w:tcPr>
            <w:tcW w:w="108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56"/>
              <w:jc w:val="right"/>
              <w:rPr>
                <w:sz w:val="14"/>
              </w:rPr>
            </w:pPr>
            <w:r>
              <w:rPr>
                <w:sz w:val="14"/>
              </w:rPr>
              <w:t>(758)</w:t>
            </w:r>
          </w:p>
        </w:tc>
        <w:tc>
          <w:tcPr>
            <w:tcW w:w="1094" w:type="dxa"/>
          </w:tcPr>
          <w:p>
            <w:pPr>
              <w:pStyle w:val="TableParagraph"/>
              <w:spacing w:before="20"/>
              <w:ind w:right="147"/>
              <w:jc w:val="right"/>
              <w:rPr>
                <w:sz w:val="14"/>
              </w:rPr>
            </w:pPr>
            <w:r>
              <w:rPr>
                <w:w w:val="99"/>
                <w:sz w:val="14"/>
              </w:rPr>
              <w:t>-</w:t>
            </w:r>
          </w:p>
        </w:tc>
        <w:tc>
          <w:tcPr>
            <w:tcW w:w="1013" w:type="dxa"/>
          </w:tcPr>
          <w:p>
            <w:pPr>
              <w:pStyle w:val="TableParagraph"/>
              <w:spacing w:before="20"/>
              <w:ind w:right="66"/>
              <w:jc w:val="right"/>
              <w:rPr>
                <w:sz w:val="14"/>
              </w:rPr>
            </w:pPr>
            <w:r>
              <w:rPr>
                <w:sz w:val="14"/>
              </w:rPr>
              <w:t>(284)</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50"/>
              <w:jc w:val="right"/>
              <w:rPr>
                <w:sz w:val="14"/>
              </w:rPr>
            </w:pPr>
            <w:r>
              <w:rPr>
                <w:sz w:val="14"/>
              </w:rPr>
              <w:t>(228)</w:t>
            </w:r>
          </w:p>
        </w:tc>
        <w:tc>
          <w:tcPr>
            <w:tcW w:w="1068" w:type="dxa"/>
          </w:tcPr>
          <w:p>
            <w:pPr>
              <w:pStyle w:val="TableParagraph"/>
              <w:spacing w:before="20"/>
              <w:ind w:right="214"/>
              <w:jc w:val="right"/>
              <w:rPr>
                <w:sz w:val="14"/>
              </w:rPr>
            </w:pPr>
            <w:r>
              <w:rPr>
                <w:w w:val="99"/>
                <w:sz w:val="14"/>
              </w:rPr>
              <w:t>-</w:t>
            </w:r>
          </w:p>
        </w:tc>
        <w:tc>
          <w:tcPr>
            <w:tcW w:w="903" w:type="dxa"/>
          </w:tcPr>
          <w:p>
            <w:pPr>
              <w:pStyle w:val="TableParagraph"/>
              <w:spacing w:before="20"/>
              <w:ind w:right="24"/>
              <w:jc w:val="right"/>
              <w:rPr>
                <w:sz w:val="14"/>
              </w:rPr>
            </w:pPr>
            <w:r>
              <w:rPr>
                <w:w w:val="95"/>
                <w:sz w:val="14"/>
              </w:rPr>
              <w:t>(12,580)</w:t>
            </w:r>
          </w:p>
        </w:tc>
      </w:tr>
      <w:tr>
        <w:trPr>
          <w:trHeight w:val="218" w:hRule="exact"/>
        </w:trPr>
        <w:tc>
          <w:tcPr>
            <w:tcW w:w="3885" w:type="dxa"/>
          </w:tcPr>
          <w:p>
            <w:pPr>
              <w:pStyle w:val="TableParagraph"/>
              <w:spacing w:before="22"/>
              <w:ind w:left="35"/>
              <w:rPr>
                <w:sz w:val="14"/>
              </w:rPr>
            </w:pPr>
            <w:r>
              <w:rPr>
                <w:sz w:val="14"/>
              </w:rPr>
              <w:t>Depreciation Charge</w:t>
            </w:r>
          </w:p>
        </w:tc>
        <w:tc>
          <w:tcPr>
            <w:tcW w:w="1068" w:type="dxa"/>
          </w:tcPr>
          <w:p>
            <w:pPr>
              <w:pStyle w:val="TableParagraph"/>
              <w:spacing w:before="20"/>
              <w:ind w:right="88"/>
              <w:jc w:val="right"/>
              <w:rPr>
                <w:sz w:val="14"/>
              </w:rPr>
            </w:pPr>
            <w:r>
              <w:rPr>
                <w:w w:val="99"/>
                <w:sz w:val="14"/>
              </w:rPr>
              <w:t>-</w:t>
            </w:r>
          </w:p>
        </w:tc>
        <w:tc>
          <w:tcPr>
            <w:tcW w:w="108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56"/>
              <w:jc w:val="right"/>
              <w:rPr>
                <w:sz w:val="14"/>
              </w:rPr>
            </w:pPr>
            <w:r>
              <w:rPr>
                <w:w w:val="95"/>
                <w:sz w:val="14"/>
              </w:rPr>
              <w:t>(23,172)</w:t>
            </w:r>
          </w:p>
        </w:tc>
        <w:tc>
          <w:tcPr>
            <w:tcW w:w="1094" w:type="dxa"/>
          </w:tcPr>
          <w:p>
            <w:pPr>
              <w:pStyle w:val="TableParagraph"/>
              <w:spacing w:before="20"/>
              <w:ind w:right="102"/>
              <w:jc w:val="right"/>
              <w:rPr>
                <w:sz w:val="14"/>
              </w:rPr>
            </w:pPr>
            <w:r>
              <w:rPr>
                <w:w w:val="95"/>
                <w:sz w:val="14"/>
              </w:rPr>
              <w:t>(2,752)</w:t>
            </w:r>
          </w:p>
        </w:tc>
        <w:tc>
          <w:tcPr>
            <w:tcW w:w="1013" w:type="dxa"/>
          </w:tcPr>
          <w:p>
            <w:pPr>
              <w:pStyle w:val="TableParagraph"/>
              <w:spacing w:before="20"/>
              <w:ind w:right="66"/>
              <w:jc w:val="right"/>
              <w:rPr>
                <w:sz w:val="14"/>
              </w:rPr>
            </w:pPr>
            <w:r>
              <w:rPr>
                <w:w w:val="95"/>
                <w:sz w:val="14"/>
              </w:rPr>
              <w:t>(10,974)</w:t>
            </w:r>
          </w:p>
        </w:tc>
        <w:tc>
          <w:tcPr>
            <w:tcW w:w="1182" w:type="dxa"/>
          </w:tcPr>
          <w:p>
            <w:pPr>
              <w:pStyle w:val="TableParagraph"/>
              <w:spacing w:before="20"/>
              <w:ind w:right="113"/>
              <w:jc w:val="right"/>
              <w:rPr>
                <w:sz w:val="14"/>
              </w:rPr>
            </w:pPr>
            <w:r>
              <w:rPr>
                <w:w w:val="95"/>
                <w:sz w:val="14"/>
              </w:rPr>
              <w:t>(2,828)</w:t>
            </w:r>
          </w:p>
        </w:tc>
        <w:tc>
          <w:tcPr>
            <w:tcW w:w="1084" w:type="dxa"/>
          </w:tcPr>
          <w:p>
            <w:pPr>
              <w:pStyle w:val="TableParagraph"/>
              <w:spacing w:before="20"/>
              <w:ind w:right="150"/>
              <w:jc w:val="right"/>
              <w:rPr>
                <w:sz w:val="14"/>
              </w:rPr>
            </w:pPr>
            <w:r>
              <w:rPr>
                <w:w w:val="95"/>
                <w:sz w:val="14"/>
              </w:rPr>
              <w:t>(2,945)</w:t>
            </w:r>
          </w:p>
        </w:tc>
        <w:tc>
          <w:tcPr>
            <w:tcW w:w="1068" w:type="dxa"/>
          </w:tcPr>
          <w:p>
            <w:pPr>
              <w:pStyle w:val="TableParagraph"/>
              <w:spacing w:before="20"/>
              <w:ind w:right="214"/>
              <w:jc w:val="right"/>
              <w:rPr>
                <w:sz w:val="14"/>
              </w:rPr>
            </w:pPr>
            <w:r>
              <w:rPr>
                <w:w w:val="99"/>
                <w:sz w:val="14"/>
              </w:rPr>
              <w:t>-</w:t>
            </w:r>
          </w:p>
        </w:tc>
        <w:tc>
          <w:tcPr>
            <w:tcW w:w="903" w:type="dxa"/>
          </w:tcPr>
          <w:p>
            <w:pPr>
              <w:pStyle w:val="TableParagraph"/>
              <w:spacing w:before="20"/>
              <w:ind w:right="24"/>
              <w:jc w:val="right"/>
              <w:rPr>
                <w:sz w:val="14"/>
              </w:rPr>
            </w:pPr>
            <w:r>
              <w:rPr>
                <w:w w:val="95"/>
                <w:sz w:val="14"/>
              </w:rPr>
              <w:t>(42,671)</w:t>
            </w:r>
          </w:p>
        </w:tc>
      </w:tr>
      <w:tr>
        <w:trPr>
          <w:trHeight w:val="218" w:hRule="exact"/>
        </w:trPr>
        <w:tc>
          <w:tcPr>
            <w:tcW w:w="3885" w:type="dxa"/>
          </w:tcPr>
          <w:p>
            <w:pPr>
              <w:pStyle w:val="TableParagraph"/>
              <w:spacing w:before="22"/>
              <w:ind w:left="35"/>
              <w:rPr>
                <w:sz w:val="14"/>
              </w:rPr>
            </w:pPr>
            <w:r>
              <w:rPr>
                <w:w w:val="95"/>
                <w:sz w:val="14"/>
              </w:rPr>
              <w:t>Non-Cash  Adjustments</w:t>
            </w:r>
          </w:p>
        </w:tc>
        <w:tc>
          <w:tcPr>
            <w:tcW w:w="1068" w:type="dxa"/>
          </w:tcPr>
          <w:p>
            <w:pPr>
              <w:pStyle w:val="TableParagraph"/>
              <w:spacing w:before="20"/>
              <w:ind w:right="88"/>
              <w:jc w:val="right"/>
              <w:rPr>
                <w:sz w:val="14"/>
              </w:rPr>
            </w:pPr>
            <w:r>
              <w:rPr>
                <w:w w:val="99"/>
                <w:sz w:val="14"/>
              </w:rPr>
              <w:t>-</w:t>
            </w:r>
          </w:p>
        </w:tc>
        <w:tc>
          <w:tcPr>
            <w:tcW w:w="108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101"/>
              <w:jc w:val="right"/>
              <w:rPr>
                <w:sz w:val="14"/>
              </w:rPr>
            </w:pPr>
            <w:r>
              <w:rPr>
                <w:w w:val="99"/>
                <w:sz w:val="14"/>
              </w:rPr>
              <w:t>-</w:t>
            </w:r>
          </w:p>
        </w:tc>
        <w:tc>
          <w:tcPr>
            <w:tcW w:w="1094" w:type="dxa"/>
          </w:tcPr>
          <w:p>
            <w:pPr>
              <w:pStyle w:val="TableParagraph"/>
              <w:spacing w:before="20"/>
              <w:ind w:right="147"/>
              <w:jc w:val="right"/>
              <w:rPr>
                <w:sz w:val="14"/>
              </w:rPr>
            </w:pPr>
            <w:r>
              <w:rPr>
                <w:w w:val="99"/>
                <w:sz w:val="14"/>
              </w:rPr>
              <w:t>-</w:t>
            </w:r>
          </w:p>
        </w:tc>
        <w:tc>
          <w:tcPr>
            <w:tcW w:w="1013" w:type="dxa"/>
          </w:tcPr>
          <w:p>
            <w:pPr>
              <w:pStyle w:val="TableParagraph"/>
              <w:spacing w:before="20"/>
              <w:ind w:right="111"/>
              <w:jc w:val="right"/>
              <w:rPr>
                <w:sz w:val="14"/>
              </w:rPr>
            </w:pPr>
            <w:r>
              <w:rPr>
                <w:w w:val="99"/>
                <w:sz w:val="14"/>
              </w:rPr>
              <w:t>-</w:t>
            </w:r>
          </w:p>
        </w:tc>
        <w:tc>
          <w:tcPr>
            <w:tcW w:w="1182" w:type="dxa"/>
          </w:tcPr>
          <w:p>
            <w:pPr>
              <w:pStyle w:val="TableParagraph"/>
              <w:spacing w:before="20"/>
              <w:ind w:right="158"/>
              <w:jc w:val="right"/>
              <w:rPr>
                <w:sz w:val="14"/>
              </w:rPr>
            </w:pPr>
            <w:r>
              <w:rPr>
                <w:sz w:val="14"/>
              </w:rPr>
              <w:t>28</w:t>
            </w:r>
          </w:p>
        </w:tc>
        <w:tc>
          <w:tcPr>
            <w:tcW w:w="1084" w:type="dxa"/>
          </w:tcPr>
          <w:p>
            <w:pPr>
              <w:pStyle w:val="TableParagraph"/>
              <w:spacing w:before="20"/>
              <w:ind w:right="195"/>
              <w:jc w:val="right"/>
              <w:rPr>
                <w:sz w:val="14"/>
              </w:rPr>
            </w:pPr>
            <w:r>
              <w:rPr>
                <w:w w:val="99"/>
                <w:sz w:val="14"/>
              </w:rPr>
              <w:t>-</w:t>
            </w:r>
          </w:p>
        </w:tc>
        <w:tc>
          <w:tcPr>
            <w:tcW w:w="1068" w:type="dxa"/>
          </w:tcPr>
          <w:p>
            <w:pPr>
              <w:pStyle w:val="TableParagraph"/>
              <w:spacing w:before="20"/>
              <w:ind w:right="214"/>
              <w:jc w:val="right"/>
              <w:rPr>
                <w:sz w:val="14"/>
              </w:rPr>
            </w:pPr>
            <w:r>
              <w:rPr>
                <w:w w:val="99"/>
                <w:sz w:val="14"/>
              </w:rPr>
              <w:t>-</w:t>
            </w:r>
          </w:p>
        </w:tc>
        <w:tc>
          <w:tcPr>
            <w:tcW w:w="903" w:type="dxa"/>
          </w:tcPr>
          <w:p>
            <w:pPr>
              <w:pStyle w:val="TableParagraph"/>
              <w:spacing w:before="20"/>
              <w:ind w:right="70"/>
              <w:jc w:val="right"/>
              <w:rPr>
                <w:sz w:val="14"/>
              </w:rPr>
            </w:pPr>
            <w:r>
              <w:rPr>
                <w:sz w:val="14"/>
              </w:rPr>
              <w:t>28</w:t>
            </w:r>
          </w:p>
        </w:tc>
      </w:tr>
      <w:tr>
        <w:trPr>
          <w:trHeight w:val="218" w:hRule="exact"/>
        </w:trPr>
        <w:tc>
          <w:tcPr>
            <w:tcW w:w="3885" w:type="dxa"/>
          </w:tcPr>
          <w:p>
            <w:pPr>
              <w:pStyle w:val="TableParagraph"/>
              <w:spacing w:before="22"/>
              <w:ind w:left="35"/>
              <w:rPr>
                <w:sz w:val="14"/>
              </w:rPr>
            </w:pPr>
            <w:r>
              <w:rPr>
                <w:sz w:val="14"/>
              </w:rPr>
              <w:t>Assets capitalsed from Construction in Progress</w:t>
            </w:r>
          </w:p>
        </w:tc>
        <w:tc>
          <w:tcPr>
            <w:tcW w:w="1068" w:type="dxa"/>
          </w:tcPr>
          <w:p>
            <w:pPr>
              <w:pStyle w:val="TableParagraph"/>
              <w:spacing w:before="20"/>
              <w:ind w:right="43"/>
              <w:jc w:val="right"/>
              <w:rPr>
                <w:sz w:val="14"/>
              </w:rPr>
            </w:pPr>
            <w:r>
              <w:rPr>
                <w:w w:val="95"/>
                <w:sz w:val="14"/>
              </w:rPr>
              <w:t>(80,595)</w:t>
            </w:r>
          </w:p>
        </w:tc>
        <w:tc>
          <w:tcPr>
            <w:tcW w:w="108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102"/>
              <w:jc w:val="right"/>
              <w:rPr>
                <w:sz w:val="14"/>
              </w:rPr>
            </w:pPr>
            <w:r>
              <w:rPr>
                <w:w w:val="95"/>
                <w:sz w:val="14"/>
              </w:rPr>
              <w:t>54,304</w:t>
            </w:r>
          </w:p>
        </w:tc>
        <w:tc>
          <w:tcPr>
            <w:tcW w:w="1094" w:type="dxa"/>
          </w:tcPr>
          <w:p>
            <w:pPr>
              <w:pStyle w:val="TableParagraph"/>
              <w:spacing w:before="20"/>
              <w:ind w:right="148"/>
              <w:jc w:val="right"/>
              <w:rPr>
                <w:sz w:val="14"/>
              </w:rPr>
            </w:pPr>
            <w:r>
              <w:rPr>
                <w:w w:val="95"/>
                <w:sz w:val="14"/>
              </w:rPr>
              <w:t>11,674</w:t>
            </w:r>
          </w:p>
        </w:tc>
        <w:tc>
          <w:tcPr>
            <w:tcW w:w="1013" w:type="dxa"/>
          </w:tcPr>
          <w:p>
            <w:pPr>
              <w:pStyle w:val="TableParagraph"/>
              <w:spacing w:before="20"/>
              <w:ind w:right="112"/>
              <w:jc w:val="right"/>
              <w:rPr>
                <w:sz w:val="14"/>
              </w:rPr>
            </w:pPr>
            <w:r>
              <w:rPr>
                <w:w w:val="95"/>
                <w:sz w:val="14"/>
              </w:rPr>
              <w:t>10,022</w:t>
            </w:r>
          </w:p>
        </w:tc>
        <w:tc>
          <w:tcPr>
            <w:tcW w:w="1182" w:type="dxa"/>
          </w:tcPr>
          <w:p>
            <w:pPr>
              <w:pStyle w:val="TableParagraph"/>
              <w:spacing w:before="20"/>
              <w:ind w:right="158"/>
              <w:jc w:val="right"/>
              <w:rPr>
                <w:sz w:val="14"/>
              </w:rPr>
            </w:pPr>
            <w:r>
              <w:rPr>
                <w:sz w:val="14"/>
              </w:rPr>
              <w:t>4,595</w:t>
            </w:r>
          </w:p>
        </w:tc>
        <w:tc>
          <w:tcPr>
            <w:tcW w:w="1084" w:type="dxa"/>
          </w:tcPr>
          <w:p>
            <w:pPr>
              <w:pStyle w:val="TableParagraph"/>
              <w:spacing w:before="20"/>
              <w:ind w:right="195"/>
              <w:jc w:val="right"/>
              <w:rPr>
                <w:sz w:val="14"/>
              </w:rPr>
            </w:pPr>
            <w:r>
              <w:rPr>
                <w:w w:val="99"/>
                <w:sz w:val="14"/>
              </w:rPr>
              <w:t>-</w:t>
            </w:r>
          </w:p>
        </w:tc>
        <w:tc>
          <w:tcPr>
            <w:tcW w:w="1068" w:type="dxa"/>
          </w:tcPr>
          <w:p>
            <w:pPr>
              <w:pStyle w:val="TableParagraph"/>
              <w:spacing w:before="20"/>
              <w:ind w:right="214"/>
              <w:jc w:val="right"/>
              <w:rPr>
                <w:sz w:val="14"/>
              </w:rPr>
            </w:pPr>
            <w:r>
              <w:rPr>
                <w:w w:val="99"/>
                <w:sz w:val="14"/>
              </w:rPr>
              <w:t>-</w:t>
            </w:r>
          </w:p>
        </w:tc>
        <w:tc>
          <w:tcPr>
            <w:tcW w:w="903" w:type="dxa"/>
          </w:tcPr>
          <w:p>
            <w:pPr>
              <w:pStyle w:val="TableParagraph"/>
              <w:spacing w:before="20"/>
              <w:ind w:right="69"/>
              <w:jc w:val="right"/>
              <w:rPr>
                <w:sz w:val="14"/>
              </w:rPr>
            </w:pPr>
            <w:r>
              <w:rPr>
                <w:w w:val="99"/>
                <w:sz w:val="14"/>
              </w:rPr>
              <w:t>-</w:t>
            </w:r>
          </w:p>
        </w:tc>
      </w:tr>
      <w:tr>
        <w:trPr>
          <w:trHeight w:val="217" w:hRule="exact"/>
        </w:trPr>
        <w:tc>
          <w:tcPr>
            <w:tcW w:w="3885" w:type="dxa"/>
          </w:tcPr>
          <w:p>
            <w:pPr>
              <w:pStyle w:val="TableParagraph"/>
              <w:spacing w:before="22"/>
              <w:ind w:left="35"/>
              <w:rPr>
                <w:sz w:val="14"/>
              </w:rPr>
            </w:pPr>
            <w:r>
              <w:rPr>
                <w:sz w:val="14"/>
              </w:rPr>
              <w:t>Transfers to Held for Sale Assets</w:t>
            </w:r>
          </w:p>
        </w:tc>
        <w:tc>
          <w:tcPr>
            <w:tcW w:w="1068" w:type="dxa"/>
            <w:tcBorders>
              <w:bottom w:val="single" w:sz="1" w:space="0" w:color="000000"/>
            </w:tcBorders>
          </w:tcPr>
          <w:p>
            <w:pPr>
              <w:pStyle w:val="TableParagraph"/>
              <w:spacing w:before="20"/>
              <w:ind w:right="88"/>
              <w:jc w:val="right"/>
              <w:rPr>
                <w:sz w:val="14"/>
              </w:rPr>
            </w:pPr>
            <w:r>
              <w:rPr>
                <w:w w:val="99"/>
                <w:sz w:val="14"/>
              </w:rPr>
              <w:t>-</w:t>
            </w:r>
          </w:p>
        </w:tc>
        <w:tc>
          <w:tcPr>
            <w:tcW w:w="1087" w:type="dxa"/>
            <w:tcBorders>
              <w:bottom w:val="single" w:sz="1" w:space="0" w:color="000000"/>
            </w:tcBorders>
          </w:tcPr>
          <w:p>
            <w:pPr>
              <w:pStyle w:val="TableParagraph"/>
              <w:spacing w:before="20"/>
              <w:ind w:right="81"/>
              <w:jc w:val="right"/>
              <w:rPr>
                <w:sz w:val="14"/>
              </w:rPr>
            </w:pPr>
            <w:r>
              <w:rPr>
                <w:w w:val="95"/>
                <w:sz w:val="14"/>
              </w:rPr>
              <w:t>(10,859)</w:t>
            </w:r>
          </w:p>
        </w:tc>
        <w:tc>
          <w:tcPr>
            <w:tcW w:w="1068" w:type="dxa"/>
            <w:tcBorders>
              <w:bottom w:val="single" w:sz="1" w:space="0" w:color="000000"/>
            </w:tcBorders>
          </w:tcPr>
          <w:p>
            <w:pPr>
              <w:pStyle w:val="TableParagraph"/>
              <w:spacing w:before="20"/>
              <w:ind w:right="146"/>
              <w:jc w:val="right"/>
              <w:rPr>
                <w:sz w:val="14"/>
              </w:rPr>
            </w:pPr>
            <w:r>
              <w:rPr>
                <w:w w:val="99"/>
                <w:sz w:val="14"/>
              </w:rPr>
              <w:t>-</w:t>
            </w:r>
          </w:p>
        </w:tc>
        <w:tc>
          <w:tcPr>
            <w:tcW w:w="1004" w:type="dxa"/>
            <w:tcBorders>
              <w:bottom w:val="single" w:sz="1" w:space="0" w:color="000000"/>
            </w:tcBorders>
          </w:tcPr>
          <w:p>
            <w:pPr>
              <w:pStyle w:val="TableParagraph"/>
              <w:spacing w:before="20"/>
              <w:ind w:right="101"/>
              <w:jc w:val="right"/>
              <w:rPr>
                <w:sz w:val="14"/>
              </w:rPr>
            </w:pPr>
            <w:r>
              <w:rPr>
                <w:w w:val="99"/>
                <w:sz w:val="14"/>
              </w:rPr>
              <w:t>-</w:t>
            </w:r>
          </w:p>
        </w:tc>
        <w:tc>
          <w:tcPr>
            <w:tcW w:w="1094" w:type="dxa"/>
            <w:tcBorders>
              <w:bottom w:val="single" w:sz="1" w:space="0" w:color="000000"/>
            </w:tcBorders>
          </w:tcPr>
          <w:p>
            <w:pPr>
              <w:pStyle w:val="TableParagraph"/>
              <w:spacing w:before="20"/>
              <w:ind w:right="102"/>
              <w:jc w:val="right"/>
              <w:rPr>
                <w:sz w:val="14"/>
              </w:rPr>
            </w:pPr>
            <w:r>
              <w:rPr>
                <w:w w:val="95"/>
                <w:sz w:val="14"/>
              </w:rPr>
              <w:t>(5,171)</w:t>
            </w:r>
          </w:p>
        </w:tc>
        <w:tc>
          <w:tcPr>
            <w:tcW w:w="1013" w:type="dxa"/>
            <w:tcBorders>
              <w:bottom w:val="single" w:sz="1" w:space="0" w:color="000000"/>
            </w:tcBorders>
          </w:tcPr>
          <w:p>
            <w:pPr>
              <w:pStyle w:val="TableParagraph"/>
              <w:spacing w:before="20"/>
              <w:ind w:right="111"/>
              <w:jc w:val="right"/>
              <w:rPr>
                <w:sz w:val="14"/>
              </w:rPr>
            </w:pPr>
            <w:r>
              <w:rPr>
                <w:w w:val="99"/>
                <w:sz w:val="14"/>
              </w:rPr>
              <w:t>-</w:t>
            </w:r>
          </w:p>
        </w:tc>
        <w:tc>
          <w:tcPr>
            <w:tcW w:w="1182" w:type="dxa"/>
            <w:tcBorders>
              <w:bottom w:val="single" w:sz="1" w:space="0" w:color="000000"/>
            </w:tcBorders>
          </w:tcPr>
          <w:p>
            <w:pPr>
              <w:pStyle w:val="TableParagraph"/>
              <w:spacing w:before="20"/>
              <w:ind w:right="158"/>
              <w:jc w:val="right"/>
              <w:rPr>
                <w:sz w:val="14"/>
              </w:rPr>
            </w:pPr>
            <w:r>
              <w:rPr>
                <w:w w:val="99"/>
                <w:sz w:val="14"/>
              </w:rPr>
              <w:t>-</w:t>
            </w:r>
          </w:p>
        </w:tc>
        <w:tc>
          <w:tcPr>
            <w:tcW w:w="1084" w:type="dxa"/>
            <w:tcBorders>
              <w:bottom w:val="single" w:sz="1" w:space="0" w:color="000000"/>
            </w:tcBorders>
          </w:tcPr>
          <w:p>
            <w:pPr>
              <w:pStyle w:val="TableParagraph"/>
              <w:spacing w:before="20"/>
              <w:ind w:right="195"/>
              <w:jc w:val="right"/>
              <w:rPr>
                <w:sz w:val="14"/>
              </w:rPr>
            </w:pPr>
            <w:r>
              <w:rPr>
                <w:w w:val="99"/>
                <w:sz w:val="14"/>
              </w:rPr>
              <w:t>-</w:t>
            </w:r>
          </w:p>
        </w:tc>
        <w:tc>
          <w:tcPr>
            <w:tcW w:w="1068" w:type="dxa"/>
            <w:tcBorders>
              <w:bottom w:val="single" w:sz="1" w:space="0" w:color="000000"/>
            </w:tcBorders>
          </w:tcPr>
          <w:p>
            <w:pPr>
              <w:pStyle w:val="TableParagraph"/>
              <w:spacing w:before="20"/>
              <w:ind w:right="214"/>
              <w:jc w:val="right"/>
              <w:rPr>
                <w:sz w:val="14"/>
              </w:rPr>
            </w:pPr>
            <w:r>
              <w:rPr>
                <w:w w:val="99"/>
                <w:sz w:val="14"/>
              </w:rPr>
              <w:t>-</w:t>
            </w:r>
          </w:p>
        </w:tc>
        <w:tc>
          <w:tcPr>
            <w:tcW w:w="903" w:type="dxa"/>
            <w:tcBorders>
              <w:bottom w:val="single" w:sz="1" w:space="0" w:color="000000"/>
            </w:tcBorders>
          </w:tcPr>
          <w:p>
            <w:pPr>
              <w:pStyle w:val="TableParagraph"/>
              <w:spacing w:before="20"/>
              <w:ind w:right="24"/>
              <w:jc w:val="right"/>
              <w:rPr>
                <w:sz w:val="14"/>
              </w:rPr>
            </w:pPr>
            <w:r>
              <w:rPr>
                <w:w w:val="95"/>
                <w:sz w:val="14"/>
              </w:rPr>
              <w:t>(16,030)</w:t>
            </w:r>
          </w:p>
        </w:tc>
      </w:tr>
      <w:tr>
        <w:trPr>
          <w:trHeight w:val="293" w:hRule="exact"/>
        </w:trPr>
        <w:tc>
          <w:tcPr>
            <w:tcW w:w="3885" w:type="dxa"/>
          </w:tcPr>
          <w:p>
            <w:pPr>
              <w:pStyle w:val="TableParagraph"/>
              <w:spacing w:before="124"/>
              <w:ind w:left="35"/>
              <w:rPr>
                <w:b/>
                <w:sz w:val="14"/>
              </w:rPr>
            </w:pPr>
            <w:r>
              <w:rPr>
                <w:b/>
                <w:sz w:val="14"/>
              </w:rPr>
              <w:t>Closing Net Book Amount</w:t>
            </w:r>
          </w:p>
        </w:tc>
        <w:tc>
          <w:tcPr>
            <w:tcW w:w="1068" w:type="dxa"/>
            <w:tcBorders>
              <w:top w:val="single" w:sz="1" w:space="0" w:color="000000"/>
              <w:bottom w:val="single" w:sz="1" w:space="0" w:color="000000"/>
            </w:tcBorders>
          </w:tcPr>
          <w:p>
            <w:pPr>
              <w:pStyle w:val="TableParagraph"/>
              <w:spacing w:before="123"/>
              <w:ind w:right="89"/>
              <w:jc w:val="right"/>
              <w:rPr>
                <w:sz w:val="14"/>
              </w:rPr>
            </w:pPr>
            <w:r>
              <w:rPr>
                <w:w w:val="95"/>
                <w:sz w:val="14"/>
              </w:rPr>
              <w:t>85,044</w:t>
            </w:r>
          </w:p>
        </w:tc>
        <w:tc>
          <w:tcPr>
            <w:tcW w:w="1087" w:type="dxa"/>
            <w:tcBorders>
              <w:top w:val="single" w:sz="1" w:space="0" w:color="000000"/>
              <w:bottom w:val="single" w:sz="1" w:space="0" w:color="000000"/>
            </w:tcBorders>
          </w:tcPr>
          <w:p>
            <w:pPr>
              <w:pStyle w:val="TableParagraph"/>
              <w:spacing w:before="123"/>
              <w:ind w:right="127"/>
              <w:jc w:val="right"/>
              <w:rPr>
                <w:sz w:val="14"/>
              </w:rPr>
            </w:pPr>
            <w:r>
              <w:rPr>
                <w:w w:val="95"/>
                <w:sz w:val="14"/>
              </w:rPr>
              <w:t>204,632</w:t>
            </w:r>
          </w:p>
        </w:tc>
        <w:tc>
          <w:tcPr>
            <w:tcW w:w="1068" w:type="dxa"/>
            <w:tcBorders>
              <w:top w:val="single" w:sz="1" w:space="0" w:color="000000"/>
              <w:bottom w:val="single" w:sz="1" w:space="0" w:color="000000"/>
            </w:tcBorders>
          </w:tcPr>
          <w:p>
            <w:pPr>
              <w:pStyle w:val="TableParagraph"/>
              <w:spacing w:before="123"/>
              <w:ind w:right="147"/>
              <w:jc w:val="right"/>
              <w:rPr>
                <w:sz w:val="14"/>
              </w:rPr>
            </w:pPr>
            <w:r>
              <w:rPr>
                <w:w w:val="95"/>
                <w:sz w:val="14"/>
              </w:rPr>
              <w:t>162,335</w:t>
            </w:r>
          </w:p>
        </w:tc>
        <w:tc>
          <w:tcPr>
            <w:tcW w:w="1004" w:type="dxa"/>
            <w:tcBorders>
              <w:top w:val="single" w:sz="1" w:space="0" w:color="000000"/>
              <w:bottom w:val="single" w:sz="1" w:space="0" w:color="000000"/>
            </w:tcBorders>
          </w:tcPr>
          <w:p>
            <w:pPr>
              <w:pStyle w:val="TableParagraph"/>
              <w:spacing w:before="123"/>
              <w:ind w:right="102"/>
              <w:jc w:val="right"/>
              <w:rPr>
                <w:sz w:val="14"/>
              </w:rPr>
            </w:pPr>
            <w:r>
              <w:rPr>
                <w:w w:val="95"/>
                <w:sz w:val="14"/>
              </w:rPr>
              <w:t>960,757</w:t>
            </w:r>
          </w:p>
        </w:tc>
        <w:tc>
          <w:tcPr>
            <w:tcW w:w="1094" w:type="dxa"/>
            <w:tcBorders>
              <w:top w:val="single" w:sz="1" w:space="0" w:color="000000"/>
              <w:bottom w:val="single" w:sz="1" w:space="0" w:color="000000"/>
            </w:tcBorders>
          </w:tcPr>
          <w:p>
            <w:pPr>
              <w:pStyle w:val="TableParagraph"/>
              <w:spacing w:before="123"/>
              <w:ind w:right="148"/>
              <w:jc w:val="right"/>
              <w:rPr>
                <w:sz w:val="14"/>
              </w:rPr>
            </w:pPr>
            <w:r>
              <w:rPr>
                <w:w w:val="95"/>
                <w:sz w:val="14"/>
              </w:rPr>
              <w:t>91,349</w:t>
            </w:r>
          </w:p>
        </w:tc>
        <w:tc>
          <w:tcPr>
            <w:tcW w:w="1013" w:type="dxa"/>
            <w:tcBorders>
              <w:top w:val="single" w:sz="1" w:space="0" w:color="000000"/>
              <w:bottom w:val="single" w:sz="1" w:space="0" w:color="000000"/>
            </w:tcBorders>
          </w:tcPr>
          <w:p>
            <w:pPr>
              <w:pStyle w:val="TableParagraph"/>
              <w:spacing w:before="123"/>
              <w:ind w:right="112"/>
              <w:jc w:val="right"/>
              <w:rPr>
                <w:sz w:val="14"/>
              </w:rPr>
            </w:pPr>
            <w:r>
              <w:rPr>
                <w:w w:val="95"/>
                <w:sz w:val="14"/>
              </w:rPr>
              <w:t>66,165</w:t>
            </w:r>
          </w:p>
        </w:tc>
        <w:tc>
          <w:tcPr>
            <w:tcW w:w="1182" w:type="dxa"/>
            <w:tcBorders>
              <w:top w:val="single" w:sz="1" w:space="0" w:color="000000"/>
              <w:bottom w:val="single" w:sz="1" w:space="0" w:color="000000"/>
            </w:tcBorders>
          </w:tcPr>
          <w:p>
            <w:pPr>
              <w:pStyle w:val="TableParagraph"/>
              <w:spacing w:before="123"/>
              <w:ind w:right="158"/>
              <w:jc w:val="right"/>
              <w:rPr>
                <w:sz w:val="14"/>
              </w:rPr>
            </w:pPr>
            <w:r>
              <w:rPr>
                <w:w w:val="95"/>
                <w:sz w:val="14"/>
              </w:rPr>
              <w:t>16,871</w:t>
            </w:r>
          </w:p>
        </w:tc>
        <w:tc>
          <w:tcPr>
            <w:tcW w:w="1084" w:type="dxa"/>
            <w:tcBorders>
              <w:top w:val="single" w:sz="1" w:space="0" w:color="000000"/>
              <w:bottom w:val="single" w:sz="1" w:space="0" w:color="000000"/>
            </w:tcBorders>
          </w:tcPr>
          <w:p>
            <w:pPr>
              <w:pStyle w:val="TableParagraph"/>
              <w:spacing w:before="123"/>
              <w:ind w:right="197"/>
              <w:jc w:val="right"/>
              <w:rPr>
                <w:sz w:val="14"/>
              </w:rPr>
            </w:pPr>
            <w:r>
              <w:rPr>
                <w:sz w:val="14"/>
              </w:rPr>
              <w:t>8,709</w:t>
            </w:r>
          </w:p>
        </w:tc>
        <w:tc>
          <w:tcPr>
            <w:tcW w:w="1068" w:type="dxa"/>
            <w:tcBorders>
              <w:top w:val="single" w:sz="1" w:space="0" w:color="000000"/>
              <w:bottom w:val="single" w:sz="1" w:space="0" w:color="000000"/>
            </w:tcBorders>
          </w:tcPr>
          <w:p>
            <w:pPr>
              <w:pStyle w:val="TableParagraph"/>
              <w:spacing w:before="123"/>
              <w:ind w:right="215"/>
              <w:jc w:val="right"/>
              <w:rPr>
                <w:sz w:val="14"/>
              </w:rPr>
            </w:pPr>
            <w:r>
              <w:rPr>
                <w:sz w:val="14"/>
              </w:rPr>
              <w:t>4,204</w:t>
            </w:r>
          </w:p>
        </w:tc>
        <w:tc>
          <w:tcPr>
            <w:tcW w:w="903" w:type="dxa"/>
            <w:tcBorders>
              <w:top w:val="single" w:sz="1" w:space="0" w:color="000000"/>
              <w:bottom w:val="single" w:sz="1" w:space="0" w:color="000000"/>
            </w:tcBorders>
          </w:tcPr>
          <w:p>
            <w:pPr>
              <w:pStyle w:val="TableParagraph"/>
              <w:spacing w:before="123"/>
              <w:ind w:right="69"/>
              <w:jc w:val="right"/>
              <w:rPr>
                <w:sz w:val="14"/>
              </w:rPr>
            </w:pPr>
            <w:r>
              <w:rPr>
                <w:w w:val="95"/>
                <w:sz w:val="14"/>
              </w:rPr>
              <w:t>1,600,066</w:t>
            </w:r>
          </w:p>
        </w:tc>
      </w:tr>
      <w:tr>
        <w:trPr>
          <w:trHeight w:val="512" w:hRule="exact"/>
        </w:trPr>
        <w:tc>
          <w:tcPr>
            <w:tcW w:w="3885" w:type="dxa"/>
          </w:tcPr>
          <w:p>
            <w:pPr>
              <w:pStyle w:val="TableParagraph"/>
              <w:spacing w:before="124"/>
              <w:ind w:left="35"/>
              <w:rPr>
                <w:b/>
                <w:sz w:val="14"/>
              </w:rPr>
            </w:pPr>
            <w:r>
              <w:rPr>
                <w:b/>
                <w:sz w:val="14"/>
              </w:rPr>
              <w:t>At 31 December 2016</w:t>
            </w:r>
          </w:p>
          <w:p>
            <w:pPr>
              <w:pStyle w:val="TableParagraph"/>
              <w:spacing w:before="31"/>
              <w:ind w:left="35"/>
              <w:rPr>
                <w:sz w:val="14"/>
              </w:rPr>
            </w:pPr>
            <w:r>
              <w:rPr>
                <w:sz w:val="14"/>
              </w:rPr>
              <w:t>- Cost</w:t>
            </w:r>
          </w:p>
        </w:tc>
        <w:tc>
          <w:tcPr>
            <w:tcW w:w="1068" w:type="dxa"/>
            <w:tcBorders>
              <w:top w:val="single" w:sz="1" w:space="0" w:color="000000"/>
            </w:tcBorders>
          </w:tcPr>
          <w:p>
            <w:pPr>
              <w:pStyle w:val="TableParagraph"/>
              <w:rPr>
                <w:b/>
                <w:sz w:val="14"/>
              </w:rPr>
            </w:pPr>
          </w:p>
          <w:p>
            <w:pPr>
              <w:pStyle w:val="TableParagraph"/>
              <w:spacing w:before="2"/>
              <w:rPr>
                <w:b/>
                <w:sz w:val="13"/>
              </w:rPr>
            </w:pPr>
          </w:p>
          <w:p>
            <w:pPr>
              <w:pStyle w:val="TableParagraph"/>
              <w:ind w:right="89"/>
              <w:jc w:val="right"/>
              <w:rPr>
                <w:sz w:val="14"/>
              </w:rPr>
            </w:pPr>
            <w:r>
              <w:rPr>
                <w:w w:val="95"/>
                <w:sz w:val="14"/>
              </w:rPr>
              <w:t>85,044</w:t>
            </w:r>
          </w:p>
        </w:tc>
        <w:tc>
          <w:tcPr>
            <w:tcW w:w="1087" w:type="dxa"/>
            <w:tcBorders>
              <w:top w:val="single" w:sz="1" w:space="0" w:color="000000"/>
            </w:tcBorders>
          </w:tcPr>
          <w:p>
            <w:pPr>
              <w:pStyle w:val="TableParagraph"/>
              <w:rPr>
                <w:b/>
                <w:sz w:val="14"/>
              </w:rPr>
            </w:pPr>
          </w:p>
          <w:p>
            <w:pPr>
              <w:pStyle w:val="TableParagraph"/>
              <w:spacing w:before="2"/>
              <w:rPr>
                <w:b/>
                <w:sz w:val="13"/>
              </w:rPr>
            </w:pPr>
          </w:p>
          <w:p>
            <w:pPr>
              <w:pStyle w:val="TableParagraph"/>
              <w:ind w:right="126"/>
              <w:jc w:val="right"/>
              <w:rPr>
                <w:sz w:val="14"/>
              </w:rPr>
            </w:pPr>
            <w:r>
              <w:rPr>
                <w:w w:val="99"/>
                <w:sz w:val="14"/>
              </w:rPr>
              <w:t>-</w:t>
            </w:r>
          </w:p>
        </w:tc>
        <w:tc>
          <w:tcPr>
            <w:tcW w:w="1068" w:type="dxa"/>
            <w:tcBorders>
              <w:top w:val="single" w:sz="1" w:space="0" w:color="000000"/>
            </w:tcBorders>
          </w:tcPr>
          <w:p>
            <w:pPr>
              <w:pStyle w:val="TableParagraph"/>
              <w:rPr>
                <w:b/>
                <w:sz w:val="14"/>
              </w:rPr>
            </w:pPr>
          </w:p>
          <w:p>
            <w:pPr>
              <w:pStyle w:val="TableParagraph"/>
              <w:spacing w:before="2"/>
              <w:rPr>
                <w:b/>
                <w:sz w:val="13"/>
              </w:rPr>
            </w:pPr>
          </w:p>
          <w:p>
            <w:pPr>
              <w:pStyle w:val="TableParagraph"/>
              <w:ind w:right="146"/>
              <w:jc w:val="right"/>
              <w:rPr>
                <w:sz w:val="14"/>
              </w:rPr>
            </w:pPr>
            <w:r>
              <w:rPr>
                <w:w w:val="99"/>
                <w:sz w:val="14"/>
              </w:rPr>
              <w:t>-</w:t>
            </w:r>
          </w:p>
        </w:tc>
        <w:tc>
          <w:tcPr>
            <w:tcW w:w="100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02"/>
              <w:jc w:val="right"/>
              <w:rPr>
                <w:sz w:val="14"/>
              </w:rPr>
            </w:pPr>
            <w:r>
              <w:rPr>
                <w:w w:val="95"/>
                <w:sz w:val="14"/>
              </w:rPr>
              <w:t>47,788</w:t>
            </w:r>
          </w:p>
        </w:tc>
        <w:tc>
          <w:tcPr>
            <w:tcW w:w="109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49"/>
              <w:jc w:val="right"/>
              <w:rPr>
                <w:sz w:val="14"/>
              </w:rPr>
            </w:pPr>
            <w:r>
              <w:rPr>
                <w:sz w:val="14"/>
              </w:rPr>
              <w:t>2,518</w:t>
            </w:r>
          </w:p>
        </w:tc>
        <w:tc>
          <w:tcPr>
            <w:tcW w:w="1013" w:type="dxa"/>
            <w:tcBorders>
              <w:top w:val="single" w:sz="1" w:space="0" w:color="000000"/>
            </w:tcBorders>
          </w:tcPr>
          <w:p>
            <w:pPr>
              <w:pStyle w:val="TableParagraph"/>
              <w:rPr>
                <w:b/>
                <w:sz w:val="14"/>
              </w:rPr>
            </w:pPr>
          </w:p>
          <w:p>
            <w:pPr>
              <w:pStyle w:val="TableParagraph"/>
              <w:spacing w:before="2"/>
              <w:rPr>
                <w:b/>
                <w:sz w:val="13"/>
              </w:rPr>
            </w:pPr>
          </w:p>
          <w:p>
            <w:pPr>
              <w:pStyle w:val="TableParagraph"/>
              <w:ind w:right="112"/>
              <w:jc w:val="right"/>
              <w:rPr>
                <w:sz w:val="14"/>
              </w:rPr>
            </w:pPr>
            <w:r>
              <w:rPr>
                <w:w w:val="95"/>
                <w:sz w:val="14"/>
              </w:rPr>
              <w:t>148,577</w:t>
            </w:r>
          </w:p>
        </w:tc>
        <w:tc>
          <w:tcPr>
            <w:tcW w:w="1182" w:type="dxa"/>
            <w:tcBorders>
              <w:top w:val="single" w:sz="1" w:space="0" w:color="000000"/>
            </w:tcBorders>
          </w:tcPr>
          <w:p>
            <w:pPr>
              <w:pStyle w:val="TableParagraph"/>
              <w:rPr>
                <w:b/>
                <w:sz w:val="14"/>
              </w:rPr>
            </w:pPr>
          </w:p>
          <w:p>
            <w:pPr>
              <w:pStyle w:val="TableParagraph"/>
              <w:spacing w:before="2"/>
              <w:rPr>
                <w:b/>
                <w:sz w:val="13"/>
              </w:rPr>
            </w:pPr>
          </w:p>
          <w:p>
            <w:pPr>
              <w:pStyle w:val="TableParagraph"/>
              <w:ind w:right="158"/>
              <w:jc w:val="right"/>
              <w:rPr>
                <w:sz w:val="14"/>
              </w:rPr>
            </w:pPr>
            <w:r>
              <w:rPr>
                <w:w w:val="95"/>
                <w:sz w:val="14"/>
              </w:rPr>
              <w:t>27,865</w:t>
            </w:r>
          </w:p>
        </w:tc>
        <w:tc>
          <w:tcPr>
            <w:tcW w:w="108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96"/>
              <w:jc w:val="right"/>
              <w:rPr>
                <w:sz w:val="14"/>
              </w:rPr>
            </w:pPr>
            <w:r>
              <w:rPr>
                <w:w w:val="95"/>
                <w:sz w:val="14"/>
              </w:rPr>
              <w:t>81,139</w:t>
            </w:r>
          </w:p>
        </w:tc>
        <w:tc>
          <w:tcPr>
            <w:tcW w:w="1068" w:type="dxa"/>
            <w:tcBorders>
              <w:top w:val="single" w:sz="1" w:space="0" w:color="000000"/>
            </w:tcBorders>
          </w:tcPr>
          <w:p>
            <w:pPr>
              <w:pStyle w:val="TableParagraph"/>
              <w:rPr>
                <w:b/>
                <w:sz w:val="14"/>
              </w:rPr>
            </w:pPr>
          </w:p>
          <w:p>
            <w:pPr>
              <w:pStyle w:val="TableParagraph"/>
              <w:spacing w:before="2"/>
              <w:rPr>
                <w:b/>
                <w:sz w:val="13"/>
              </w:rPr>
            </w:pPr>
          </w:p>
          <w:p>
            <w:pPr>
              <w:pStyle w:val="TableParagraph"/>
              <w:ind w:right="214"/>
              <w:jc w:val="right"/>
              <w:rPr>
                <w:sz w:val="14"/>
              </w:rPr>
            </w:pPr>
            <w:r>
              <w:rPr>
                <w:w w:val="99"/>
                <w:sz w:val="14"/>
              </w:rPr>
              <w:t>-</w:t>
            </w:r>
          </w:p>
        </w:tc>
        <w:tc>
          <w:tcPr>
            <w:tcW w:w="903" w:type="dxa"/>
            <w:tcBorders>
              <w:top w:val="single" w:sz="1" w:space="0" w:color="000000"/>
            </w:tcBorders>
          </w:tcPr>
          <w:p>
            <w:pPr>
              <w:pStyle w:val="TableParagraph"/>
              <w:rPr>
                <w:b/>
                <w:sz w:val="14"/>
              </w:rPr>
            </w:pPr>
          </w:p>
          <w:p>
            <w:pPr>
              <w:pStyle w:val="TableParagraph"/>
              <w:spacing w:before="2"/>
              <w:rPr>
                <w:b/>
                <w:sz w:val="13"/>
              </w:rPr>
            </w:pPr>
          </w:p>
          <w:p>
            <w:pPr>
              <w:pStyle w:val="TableParagraph"/>
              <w:ind w:right="70"/>
              <w:jc w:val="right"/>
              <w:rPr>
                <w:sz w:val="14"/>
              </w:rPr>
            </w:pPr>
            <w:r>
              <w:rPr>
                <w:w w:val="95"/>
                <w:sz w:val="14"/>
              </w:rPr>
              <w:t>392,931</w:t>
            </w:r>
          </w:p>
        </w:tc>
      </w:tr>
      <w:tr>
        <w:trPr>
          <w:trHeight w:val="218" w:hRule="exact"/>
        </w:trPr>
        <w:tc>
          <w:tcPr>
            <w:tcW w:w="3885" w:type="dxa"/>
          </w:tcPr>
          <w:p>
            <w:pPr>
              <w:pStyle w:val="TableParagraph"/>
              <w:spacing w:before="22"/>
              <w:ind w:left="35"/>
              <w:rPr>
                <w:sz w:val="14"/>
              </w:rPr>
            </w:pPr>
            <w:r>
              <w:rPr>
                <w:sz w:val="14"/>
              </w:rPr>
              <w:t>- Valuation</w:t>
            </w:r>
          </w:p>
        </w:tc>
        <w:tc>
          <w:tcPr>
            <w:tcW w:w="1068" w:type="dxa"/>
          </w:tcPr>
          <w:p>
            <w:pPr>
              <w:pStyle w:val="TableParagraph"/>
              <w:spacing w:before="20"/>
              <w:ind w:right="88"/>
              <w:jc w:val="right"/>
              <w:rPr>
                <w:sz w:val="14"/>
              </w:rPr>
            </w:pPr>
            <w:r>
              <w:rPr>
                <w:w w:val="99"/>
                <w:sz w:val="14"/>
              </w:rPr>
              <w:t>-</w:t>
            </w:r>
          </w:p>
        </w:tc>
        <w:tc>
          <w:tcPr>
            <w:tcW w:w="1087" w:type="dxa"/>
          </w:tcPr>
          <w:p>
            <w:pPr>
              <w:pStyle w:val="TableParagraph"/>
              <w:spacing w:before="20"/>
              <w:ind w:right="127"/>
              <w:jc w:val="right"/>
              <w:rPr>
                <w:sz w:val="14"/>
              </w:rPr>
            </w:pPr>
            <w:r>
              <w:rPr>
                <w:w w:val="95"/>
                <w:sz w:val="14"/>
              </w:rPr>
              <w:t>204,632</w:t>
            </w:r>
          </w:p>
        </w:tc>
        <w:tc>
          <w:tcPr>
            <w:tcW w:w="1068" w:type="dxa"/>
          </w:tcPr>
          <w:p>
            <w:pPr>
              <w:pStyle w:val="TableParagraph"/>
              <w:spacing w:before="20"/>
              <w:ind w:right="147"/>
              <w:jc w:val="right"/>
              <w:rPr>
                <w:sz w:val="14"/>
              </w:rPr>
            </w:pPr>
            <w:r>
              <w:rPr>
                <w:w w:val="95"/>
                <w:sz w:val="14"/>
              </w:rPr>
              <w:t>162,335</w:t>
            </w:r>
          </w:p>
        </w:tc>
        <w:tc>
          <w:tcPr>
            <w:tcW w:w="1004" w:type="dxa"/>
          </w:tcPr>
          <w:p>
            <w:pPr>
              <w:pStyle w:val="TableParagraph"/>
              <w:spacing w:before="20"/>
              <w:ind w:right="102"/>
              <w:jc w:val="right"/>
              <w:rPr>
                <w:sz w:val="14"/>
              </w:rPr>
            </w:pPr>
            <w:r>
              <w:rPr>
                <w:w w:val="95"/>
                <w:sz w:val="14"/>
              </w:rPr>
              <w:t>920,514</w:t>
            </w:r>
          </w:p>
        </w:tc>
        <w:tc>
          <w:tcPr>
            <w:tcW w:w="1094" w:type="dxa"/>
          </w:tcPr>
          <w:p>
            <w:pPr>
              <w:pStyle w:val="TableParagraph"/>
              <w:spacing w:before="20"/>
              <w:ind w:right="148"/>
              <w:jc w:val="right"/>
              <w:rPr>
                <w:sz w:val="14"/>
              </w:rPr>
            </w:pPr>
            <w:r>
              <w:rPr>
                <w:w w:val="95"/>
                <w:sz w:val="14"/>
              </w:rPr>
              <w:t>90,256</w:t>
            </w:r>
          </w:p>
        </w:tc>
        <w:tc>
          <w:tcPr>
            <w:tcW w:w="1013" w:type="dxa"/>
          </w:tcPr>
          <w:p>
            <w:pPr>
              <w:pStyle w:val="TableParagraph"/>
              <w:spacing w:before="20"/>
              <w:ind w:right="111"/>
              <w:jc w:val="right"/>
              <w:rPr>
                <w:sz w:val="14"/>
              </w:rPr>
            </w:pPr>
            <w:r>
              <w:rPr>
                <w:w w:val="99"/>
                <w:sz w:val="14"/>
              </w:rPr>
              <w:t>-</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97"/>
              <w:jc w:val="right"/>
              <w:rPr>
                <w:sz w:val="14"/>
              </w:rPr>
            </w:pPr>
            <w:r>
              <w:rPr>
                <w:sz w:val="14"/>
              </w:rPr>
              <w:t>1,712</w:t>
            </w:r>
          </w:p>
        </w:tc>
        <w:tc>
          <w:tcPr>
            <w:tcW w:w="1068" w:type="dxa"/>
          </w:tcPr>
          <w:p>
            <w:pPr>
              <w:pStyle w:val="TableParagraph"/>
              <w:spacing w:before="20"/>
              <w:ind w:right="215"/>
              <w:jc w:val="right"/>
              <w:rPr>
                <w:sz w:val="14"/>
              </w:rPr>
            </w:pPr>
            <w:r>
              <w:rPr>
                <w:sz w:val="14"/>
              </w:rPr>
              <w:t>4,204</w:t>
            </w:r>
          </w:p>
        </w:tc>
        <w:tc>
          <w:tcPr>
            <w:tcW w:w="903" w:type="dxa"/>
          </w:tcPr>
          <w:p>
            <w:pPr>
              <w:pStyle w:val="TableParagraph"/>
              <w:spacing w:before="20"/>
              <w:ind w:right="69"/>
              <w:jc w:val="right"/>
              <w:rPr>
                <w:sz w:val="14"/>
              </w:rPr>
            </w:pPr>
            <w:r>
              <w:rPr>
                <w:w w:val="95"/>
                <w:sz w:val="14"/>
              </w:rPr>
              <w:t>1,383,653</w:t>
            </w:r>
          </w:p>
        </w:tc>
      </w:tr>
      <w:tr>
        <w:trPr>
          <w:trHeight w:val="217" w:hRule="exact"/>
        </w:trPr>
        <w:tc>
          <w:tcPr>
            <w:tcW w:w="3885" w:type="dxa"/>
          </w:tcPr>
          <w:p>
            <w:pPr>
              <w:pStyle w:val="TableParagraph"/>
              <w:spacing w:before="22"/>
              <w:ind w:left="35"/>
              <w:rPr>
                <w:sz w:val="14"/>
              </w:rPr>
            </w:pPr>
            <w:r>
              <w:rPr>
                <w:sz w:val="14"/>
              </w:rPr>
              <w:t>Accumulated depreciation and impairment</w:t>
            </w:r>
          </w:p>
        </w:tc>
        <w:tc>
          <w:tcPr>
            <w:tcW w:w="1068" w:type="dxa"/>
            <w:tcBorders>
              <w:bottom w:val="single" w:sz="1" w:space="0" w:color="000000"/>
            </w:tcBorders>
          </w:tcPr>
          <w:p>
            <w:pPr>
              <w:pStyle w:val="TableParagraph"/>
              <w:spacing w:before="20"/>
              <w:ind w:right="88"/>
              <w:jc w:val="right"/>
              <w:rPr>
                <w:sz w:val="14"/>
              </w:rPr>
            </w:pPr>
            <w:r>
              <w:rPr>
                <w:w w:val="99"/>
                <w:sz w:val="14"/>
              </w:rPr>
              <w:t>-</w:t>
            </w:r>
          </w:p>
        </w:tc>
        <w:tc>
          <w:tcPr>
            <w:tcW w:w="1087" w:type="dxa"/>
            <w:tcBorders>
              <w:bottom w:val="single" w:sz="1" w:space="0" w:color="000000"/>
            </w:tcBorders>
          </w:tcPr>
          <w:p>
            <w:pPr>
              <w:pStyle w:val="TableParagraph"/>
              <w:spacing w:before="20"/>
              <w:ind w:right="126"/>
              <w:jc w:val="right"/>
              <w:rPr>
                <w:sz w:val="14"/>
              </w:rPr>
            </w:pPr>
            <w:r>
              <w:rPr>
                <w:w w:val="99"/>
                <w:sz w:val="14"/>
              </w:rPr>
              <w:t>-</w:t>
            </w:r>
          </w:p>
        </w:tc>
        <w:tc>
          <w:tcPr>
            <w:tcW w:w="1068" w:type="dxa"/>
            <w:tcBorders>
              <w:bottom w:val="single" w:sz="1" w:space="0" w:color="000000"/>
            </w:tcBorders>
          </w:tcPr>
          <w:p>
            <w:pPr>
              <w:pStyle w:val="TableParagraph"/>
              <w:spacing w:before="20"/>
              <w:ind w:right="146"/>
              <w:jc w:val="right"/>
              <w:rPr>
                <w:sz w:val="14"/>
              </w:rPr>
            </w:pPr>
            <w:r>
              <w:rPr>
                <w:w w:val="99"/>
                <w:sz w:val="14"/>
              </w:rPr>
              <w:t>-</w:t>
            </w:r>
          </w:p>
        </w:tc>
        <w:tc>
          <w:tcPr>
            <w:tcW w:w="1004" w:type="dxa"/>
            <w:tcBorders>
              <w:bottom w:val="single" w:sz="1" w:space="0" w:color="000000"/>
            </w:tcBorders>
          </w:tcPr>
          <w:p>
            <w:pPr>
              <w:pStyle w:val="TableParagraph"/>
              <w:spacing w:before="20"/>
              <w:ind w:right="56"/>
              <w:jc w:val="right"/>
              <w:rPr>
                <w:sz w:val="14"/>
              </w:rPr>
            </w:pPr>
            <w:r>
              <w:rPr>
                <w:w w:val="95"/>
                <w:sz w:val="14"/>
              </w:rPr>
              <w:t>(7,545)</w:t>
            </w:r>
          </w:p>
        </w:tc>
        <w:tc>
          <w:tcPr>
            <w:tcW w:w="1094" w:type="dxa"/>
            <w:tcBorders>
              <w:bottom w:val="single" w:sz="1" w:space="0" w:color="000000"/>
            </w:tcBorders>
          </w:tcPr>
          <w:p>
            <w:pPr>
              <w:pStyle w:val="TableParagraph"/>
              <w:spacing w:before="20"/>
              <w:ind w:right="102"/>
              <w:jc w:val="right"/>
              <w:rPr>
                <w:sz w:val="14"/>
              </w:rPr>
            </w:pPr>
            <w:r>
              <w:rPr>
                <w:w w:val="95"/>
                <w:sz w:val="14"/>
              </w:rPr>
              <w:t>(1,425)</w:t>
            </w:r>
          </w:p>
        </w:tc>
        <w:tc>
          <w:tcPr>
            <w:tcW w:w="1013" w:type="dxa"/>
            <w:tcBorders>
              <w:bottom w:val="single" w:sz="1" w:space="0" w:color="000000"/>
            </w:tcBorders>
          </w:tcPr>
          <w:p>
            <w:pPr>
              <w:pStyle w:val="TableParagraph"/>
              <w:spacing w:before="20"/>
              <w:ind w:right="66"/>
              <w:jc w:val="right"/>
              <w:rPr>
                <w:sz w:val="14"/>
              </w:rPr>
            </w:pPr>
            <w:r>
              <w:rPr>
                <w:w w:val="95"/>
                <w:sz w:val="14"/>
              </w:rPr>
              <w:t>(82,412)</w:t>
            </w:r>
          </w:p>
        </w:tc>
        <w:tc>
          <w:tcPr>
            <w:tcW w:w="1182" w:type="dxa"/>
            <w:tcBorders>
              <w:bottom w:val="single" w:sz="1" w:space="0" w:color="000000"/>
            </w:tcBorders>
          </w:tcPr>
          <w:p>
            <w:pPr>
              <w:pStyle w:val="TableParagraph"/>
              <w:spacing w:before="20"/>
              <w:ind w:right="113"/>
              <w:jc w:val="right"/>
              <w:rPr>
                <w:sz w:val="14"/>
              </w:rPr>
            </w:pPr>
            <w:r>
              <w:rPr>
                <w:w w:val="95"/>
                <w:sz w:val="14"/>
              </w:rPr>
              <w:t>(10,994)</w:t>
            </w:r>
          </w:p>
        </w:tc>
        <w:tc>
          <w:tcPr>
            <w:tcW w:w="1084" w:type="dxa"/>
            <w:tcBorders>
              <w:bottom w:val="single" w:sz="1" w:space="0" w:color="000000"/>
            </w:tcBorders>
          </w:tcPr>
          <w:p>
            <w:pPr>
              <w:pStyle w:val="TableParagraph"/>
              <w:spacing w:before="20"/>
              <w:ind w:right="150"/>
              <w:jc w:val="right"/>
              <w:rPr>
                <w:sz w:val="14"/>
              </w:rPr>
            </w:pPr>
            <w:r>
              <w:rPr>
                <w:w w:val="95"/>
                <w:sz w:val="14"/>
              </w:rPr>
              <w:t>(74,142)</w:t>
            </w:r>
          </w:p>
        </w:tc>
        <w:tc>
          <w:tcPr>
            <w:tcW w:w="1068" w:type="dxa"/>
            <w:tcBorders>
              <w:bottom w:val="single" w:sz="1" w:space="0" w:color="000000"/>
            </w:tcBorders>
          </w:tcPr>
          <w:p>
            <w:pPr>
              <w:pStyle w:val="TableParagraph"/>
              <w:spacing w:before="20"/>
              <w:ind w:right="214"/>
              <w:jc w:val="right"/>
              <w:rPr>
                <w:sz w:val="14"/>
              </w:rPr>
            </w:pPr>
            <w:r>
              <w:rPr>
                <w:w w:val="99"/>
                <w:sz w:val="14"/>
              </w:rPr>
              <w:t>-</w:t>
            </w:r>
          </w:p>
        </w:tc>
        <w:tc>
          <w:tcPr>
            <w:tcW w:w="903" w:type="dxa"/>
            <w:tcBorders>
              <w:bottom w:val="single" w:sz="1" w:space="0" w:color="000000"/>
            </w:tcBorders>
          </w:tcPr>
          <w:p>
            <w:pPr>
              <w:pStyle w:val="TableParagraph"/>
              <w:spacing w:before="20"/>
              <w:ind w:right="24"/>
              <w:jc w:val="right"/>
              <w:rPr>
                <w:sz w:val="14"/>
              </w:rPr>
            </w:pPr>
            <w:r>
              <w:rPr>
                <w:w w:val="95"/>
                <w:sz w:val="14"/>
              </w:rPr>
              <w:t>(176,518)</w:t>
            </w:r>
          </w:p>
        </w:tc>
      </w:tr>
      <w:tr>
        <w:trPr>
          <w:trHeight w:val="307" w:hRule="exact"/>
        </w:trPr>
        <w:tc>
          <w:tcPr>
            <w:tcW w:w="3885" w:type="dxa"/>
          </w:tcPr>
          <w:p>
            <w:pPr>
              <w:pStyle w:val="TableParagraph"/>
              <w:spacing w:before="124"/>
              <w:ind w:left="35"/>
              <w:rPr>
                <w:b/>
                <w:sz w:val="14"/>
              </w:rPr>
            </w:pPr>
            <w:r>
              <w:rPr>
                <w:b/>
                <w:sz w:val="14"/>
              </w:rPr>
              <w:t>Net Book Amount</w:t>
            </w:r>
          </w:p>
        </w:tc>
        <w:tc>
          <w:tcPr>
            <w:tcW w:w="1068" w:type="dxa"/>
            <w:tcBorders>
              <w:top w:val="single" w:sz="1" w:space="0" w:color="000000"/>
              <w:bottom w:val="single" w:sz="1" w:space="0" w:color="000000"/>
            </w:tcBorders>
          </w:tcPr>
          <w:p>
            <w:pPr>
              <w:pStyle w:val="TableParagraph"/>
              <w:spacing w:before="123"/>
              <w:ind w:right="89"/>
              <w:jc w:val="right"/>
              <w:rPr>
                <w:sz w:val="14"/>
              </w:rPr>
            </w:pPr>
            <w:r>
              <w:rPr>
                <w:w w:val="95"/>
                <w:sz w:val="14"/>
              </w:rPr>
              <w:t>85,044</w:t>
            </w:r>
          </w:p>
        </w:tc>
        <w:tc>
          <w:tcPr>
            <w:tcW w:w="1087" w:type="dxa"/>
            <w:tcBorders>
              <w:top w:val="single" w:sz="1" w:space="0" w:color="000000"/>
              <w:bottom w:val="single" w:sz="1" w:space="0" w:color="000000"/>
            </w:tcBorders>
          </w:tcPr>
          <w:p>
            <w:pPr>
              <w:pStyle w:val="TableParagraph"/>
              <w:spacing w:before="123"/>
              <w:ind w:right="127"/>
              <w:jc w:val="right"/>
              <w:rPr>
                <w:sz w:val="14"/>
              </w:rPr>
            </w:pPr>
            <w:r>
              <w:rPr>
                <w:w w:val="95"/>
                <w:sz w:val="14"/>
              </w:rPr>
              <w:t>204,632</w:t>
            </w:r>
          </w:p>
        </w:tc>
        <w:tc>
          <w:tcPr>
            <w:tcW w:w="1068" w:type="dxa"/>
            <w:tcBorders>
              <w:top w:val="single" w:sz="1" w:space="0" w:color="000000"/>
              <w:bottom w:val="single" w:sz="1" w:space="0" w:color="000000"/>
            </w:tcBorders>
          </w:tcPr>
          <w:p>
            <w:pPr>
              <w:pStyle w:val="TableParagraph"/>
              <w:spacing w:before="123"/>
              <w:ind w:right="147"/>
              <w:jc w:val="right"/>
              <w:rPr>
                <w:sz w:val="14"/>
              </w:rPr>
            </w:pPr>
            <w:r>
              <w:rPr>
                <w:w w:val="95"/>
                <w:sz w:val="14"/>
              </w:rPr>
              <w:t>162,335</w:t>
            </w:r>
          </w:p>
        </w:tc>
        <w:tc>
          <w:tcPr>
            <w:tcW w:w="1004" w:type="dxa"/>
            <w:tcBorders>
              <w:top w:val="single" w:sz="1" w:space="0" w:color="000000"/>
              <w:bottom w:val="single" w:sz="1" w:space="0" w:color="000000"/>
            </w:tcBorders>
          </w:tcPr>
          <w:p>
            <w:pPr>
              <w:pStyle w:val="TableParagraph"/>
              <w:spacing w:before="123"/>
              <w:ind w:right="102"/>
              <w:jc w:val="right"/>
              <w:rPr>
                <w:sz w:val="14"/>
              </w:rPr>
            </w:pPr>
            <w:r>
              <w:rPr>
                <w:w w:val="95"/>
                <w:sz w:val="14"/>
              </w:rPr>
              <w:t>960,757</w:t>
            </w:r>
          </w:p>
        </w:tc>
        <w:tc>
          <w:tcPr>
            <w:tcW w:w="1094" w:type="dxa"/>
            <w:tcBorders>
              <w:top w:val="single" w:sz="1" w:space="0" w:color="000000"/>
              <w:bottom w:val="single" w:sz="1" w:space="0" w:color="000000"/>
            </w:tcBorders>
          </w:tcPr>
          <w:p>
            <w:pPr>
              <w:pStyle w:val="TableParagraph"/>
              <w:spacing w:before="123"/>
              <w:ind w:right="148"/>
              <w:jc w:val="right"/>
              <w:rPr>
                <w:sz w:val="14"/>
              </w:rPr>
            </w:pPr>
            <w:r>
              <w:rPr>
                <w:w w:val="95"/>
                <w:sz w:val="14"/>
              </w:rPr>
              <w:t>91,349</w:t>
            </w:r>
          </w:p>
        </w:tc>
        <w:tc>
          <w:tcPr>
            <w:tcW w:w="1013" w:type="dxa"/>
            <w:tcBorders>
              <w:top w:val="single" w:sz="1" w:space="0" w:color="000000"/>
              <w:bottom w:val="single" w:sz="1" w:space="0" w:color="000000"/>
            </w:tcBorders>
          </w:tcPr>
          <w:p>
            <w:pPr>
              <w:pStyle w:val="TableParagraph"/>
              <w:spacing w:before="123"/>
              <w:ind w:right="112"/>
              <w:jc w:val="right"/>
              <w:rPr>
                <w:sz w:val="14"/>
              </w:rPr>
            </w:pPr>
            <w:r>
              <w:rPr>
                <w:w w:val="95"/>
                <w:sz w:val="14"/>
              </w:rPr>
              <w:t>66,165</w:t>
            </w:r>
          </w:p>
        </w:tc>
        <w:tc>
          <w:tcPr>
            <w:tcW w:w="1182" w:type="dxa"/>
            <w:tcBorders>
              <w:top w:val="single" w:sz="1" w:space="0" w:color="000000"/>
              <w:bottom w:val="single" w:sz="1" w:space="0" w:color="000000"/>
            </w:tcBorders>
          </w:tcPr>
          <w:p>
            <w:pPr>
              <w:pStyle w:val="TableParagraph"/>
              <w:spacing w:before="123"/>
              <w:ind w:right="158"/>
              <w:jc w:val="right"/>
              <w:rPr>
                <w:sz w:val="14"/>
              </w:rPr>
            </w:pPr>
            <w:r>
              <w:rPr>
                <w:w w:val="95"/>
                <w:sz w:val="14"/>
              </w:rPr>
              <w:t>16,871</w:t>
            </w:r>
          </w:p>
        </w:tc>
        <w:tc>
          <w:tcPr>
            <w:tcW w:w="1084" w:type="dxa"/>
            <w:tcBorders>
              <w:top w:val="single" w:sz="1" w:space="0" w:color="000000"/>
              <w:bottom w:val="single" w:sz="1" w:space="0" w:color="000000"/>
            </w:tcBorders>
          </w:tcPr>
          <w:p>
            <w:pPr>
              <w:pStyle w:val="TableParagraph"/>
              <w:spacing w:before="123"/>
              <w:ind w:right="197"/>
              <w:jc w:val="right"/>
              <w:rPr>
                <w:sz w:val="14"/>
              </w:rPr>
            </w:pPr>
            <w:r>
              <w:rPr>
                <w:sz w:val="14"/>
              </w:rPr>
              <w:t>8,709</w:t>
            </w:r>
          </w:p>
        </w:tc>
        <w:tc>
          <w:tcPr>
            <w:tcW w:w="1068" w:type="dxa"/>
            <w:tcBorders>
              <w:top w:val="single" w:sz="1" w:space="0" w:color="000000"/>
              <w:bottom w:val="single" w:sz="1" w:space="0" w:color="000000"/>
            </w:tcBorders>
          </w:tcPr>
          <w:p>
            <w:pPr>
              <w:pStyle w:val="TableParagraph"/>
              <w:spacing w:before="123"/>
              <w:ind w:right="215"/>
              <w:jc w:val="right"/>
              <w:rPr>
                <w:sz w:val="14"/>
              </w:rPr>
            </w:pPr>
            <w:r>
              <w:rPr>
                <w:sz w:val="14"/>
              </w:rPr>
              <w:t>4,204</w:t>
            </w:r>
          </w:p>
        </w:tc>
        <w:tc>
          <w:tcPr>
            <w:tcW w:w="903" w:type="dxa"/>
            <w:tcBorders>
              <w:top w:val="single" w:sz="1" w:space="0" w:color="000000"/>
              <w:bottom w:val="single" w:sz="1" w:space="0" w:color="000000"/>
            </w:tcBorders>
          </w:tcPr>
          <w:p>
            <w:pPr>
              <w:pStyle w:val="TableParagraph"/>
              <w:spacing w:before="123"/>
              <w:ind w:right="69"/>
              <w:jc w:val="right"/>
              <w:rPr>
                <w:sz w:val="14"/>
              </w:rPr>
            </w:pPr>
            <w:r>
              <w:rPr>
                <w:w w:val="95"/>
                <w:sz w:val="14"/>
              </w:rPr>
              <w:t>1,600,066</w:t>
            </w:r>
          </w:p>
        </w:tc>
      </w:tr>
    </w:tbl>
    <w:p>
      <w:pPr>
        <w:spacing w:after="0"/>
        <w:jc w:val="right"/>
        <w:rPr>
          <w:sz w:val="14"/>
        </w:rPr>
        <w:sectPr>
          <w:headerReference w:type="default" r:id="rId20"/>
          <w:footerReference w:type="default" r:id="rId21"/>
          <w:pgSz w:w="16840" w:h="11910" w:orient="landscape"/>
          <w:pgMar w:header="1037" w:footer="507" w:top="2220" w:bottom="700" w:left="900" w:right="860"/>
          <w:pgNumType w:start="45"/>
        </w:sectPr>
      </w:pPr>
    </w:p>
    <w:p>
      <w:pPr>
        <w:pStyle w:val="BodyText"/>
        <w:rPr>
          <w:b/>
          <w:sz w:val="20"/>
        </w:rPr>
      </w:pPr>
    </w:p>
    <w:p>
      <w:pPr>
        <w:pStyle w:val="BodyText"/>
        <w:rPr>
          <w:b/>
          <w:sz w:val="20"/>
        </w:rPr>
      </w:pPr>
    </w:p>
    <w:p>
      <w:pPr>
        <w:pStyle w:val="BodyText"/>
        <w:spacing w:before="5"/>
        <w:rPr>
          <w:b/>
        </w:rPr>
      </w:pPr>
    </w:p>
    <w:p>
      <w:pPr>
        <w:tabs>
          <w:tab w:pos="1070" w:val="left" w:leader="none"/>
        </w:tabs>
        <w:spacing w:before="0" w:after="36"/>
        <w:ind w:left="504" w:right="0" w:firstLine="0"/>
        <w:jc w:val="left"/>
        <w:rPr>
          <w:b/>
          <w:sz w:val="18"/>
        </w:rPr>
      </w:pPr>
      <w:r>
        <w:rPr>
          <w:b/>
          <w:sz w:val="18"/>
        </w:rPr>
        <w:t>21</w:t>
        <w:tab/>
        <w:t>Property, plant and equipment</w:t>
      </w:r>
      <w:r>
        <w:rPr>
          <w:b/>
          <w:spacing w:val="-9"/>
          <w:sz w:val="18"/>
        </w:rPr>
        <w:t> </w:t>
      </w:r>
      <w:r>
        <w:rPr>
          <w:b/>
          <w:sz w:val="18"/>
        </w:rPr>
        <w:t>(continued)</w:t>
      </w:r>
    </w:p>
    <w:tbl>
      <w:tblPr>
        <w:tblW w:w="0" w:type="auto"/>
        <w:jc w:val="left"/>
        <w:tblInd w:w="5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85"/>
        <w:gridCol w:w="1079"/>
        <w:gridCol w:w="1077"/>
        <w:gridCol w:w="1068"/>
        <w:gridCol w:w="1004"/>
        <w:gridCol w:w="1094"/>
        <w:gridCol w:w="1013"/>
        <w:gridCol w:w="1182"/>
        <w:gridCol w:w="1084"/>
        <w:gridCol w:w="1091"/>
        <w:gridCol w:w="881"/>
      </w:tblGrid>
      <w:tr>
        <w:trPr>
          <w:trHeight w:val="359" w:hRule="exact"/>
        </w:trPr>
        <w:tc>
          <w:tcPr>
            <w:tcW w:w="6040" w:type="dxa"/>
            <w:gridSpan w:val="3"/>
          </w:tcPr>
          <w:p>
            <w:pPr>
              <w:pStyle w:val="TableParagraph"/>
              <w:spacing w:line="157" w:lineRule="exact"/>
              <w:ind w:left="3995"/>
              <w:rPr>
                <w:b/>
                <w:sz w:val="14"/>
              </w:rPr>
            </w:pPr>
            <w:r>
              <w:rPr>
                <w:b/>
                <w:sz w:val="14"/>
              </w:rPr>
              <w:t>Construction</w:t>
            </w:r>
          </w:p>
          <w:p>
            <w:pPr>
              <w:pStyle w:val="TableParagraph"/>
              <w:ind w:right="88"/>
              <w:jc w:val="right"/>
              <w:rPr>
                <w:b/>
                <w:sz w:val="14"/>
              </w:rPr>
            </w:pPr>
            <w:r>
              <w:rPr>
                <w:b/>
                <w:sz w:val="14"/>
              </w:rPr>
              <w:t>in Progress    Freehold Land</w:t>
            </w:r>
          </w:p>
        </w:tc>
        <w:tc>
          <w:tcPr>
            <w:tcW w:w="1068" w:type="dxa"/>
          </w:tcPr>
          <w:p>
            <w:pPr>
              <w:pStyle w:val="TableParagraph"/>
              <w:spacing w:before="7"/>
              <w:rPr>
                <w:b/>
                <w:sz w:val="13"/>
              </w:rPr>
            </w:pPr>
          </w:p>
          <w:p>
            <w:pPr>
              <w:pStyle w:val="TableParagraph"/>
              <w:ind w:right="182"/>
              <w:jc w:val="right"/>
              <w:rPr>
                <w:b/>
                <w:sz w:val="14"/>
              </w:rPr>
            </w:pPr>
            <w:r>
              <w:rPr>
                <w:b/>
                <w:sz w:val="14"/>
              </w:rPr>
              <w:t>Crown Land</w:t>
            </w:r>
          </w:p>
        </w:tc>
        <w:tc>
          <w:tcPr>
            <w:tcW w:w="1004" w:type="dxa"/>
          </w:tcPr>
          <w:p>
            <w:pPr>
              <w:pStyle w:val="TableParagraph"/>
              <w:spacing w:before="7"/>
              <w:rPr>
                <w:b/>
                <w:sz w:val="13"/>
              </w:rPr>
            </w:pPr>
          </w:p>
          <w:p>
            <w:pPr>
              <w:pStyle w:val="TableParagraph"/>
              <w:ind w:left="148"/>
              <w:rPr>
                <w:b/>
                <w:sz w:val="14"/>
              </w:rPr>
            </w:pPr>
            <w:r>
              <w:rPr>
                <w:b/>
                <w:sz w:val="14"/>
              </w:rPr>
              <w:t>Buildings</w:t>
            </w:r>
          </w:p>
        </w:tc>
        <w:tc>
          <w:tcPr>
            <w:tcW w:w="1094" w:type="dxa"/>
          </w:tcPr>
          <w:p>
            <w:pPr>
              <w:pStyle w:val="TableParagraph"/>
              <w:spacing w:before="7"/>
              <w:rPr>
                <w:b/>
                <w:sz w:val="13"/>
              </w:rPr>
            </w:pPr>
          </w:p>
          <w:p>
            <w:pPr>
              <w:pStyle w:val="TableParagraph"/>
              <w:ind w:right="133"/>
              <w:jc w:val="right"/>
              <w:rPr>
                <w:b/>
                <w:sz w:val="14"/>
              </w:rPr>
            </w:pPr>
            <w:r>
              <w:rPr>
                <w:b/>
                <w:w w:val="95"/>
                <w:sz w:val="14"/>
              </w:rPr>
              <w:t>Infrastructure</w:t>
            </w:r>
          </w:p>
        </w:tc>
        <w:tc>
          <w:tcPr>
            <w:tcW w:w="1013" w:type="dxa"/>
          </w:tcPr>
          <w:p>
            <w:pPr>
              <w:pStyle w:val="TableParagraph"/>
              <w:ind w:left="104" w:firstLine="48"/>
              <w:rPr>
                <w:b/>
                <w:sz w:val="14"/>
              </w:rPr>
            </w:pPr>
            <w:r>
              <w:rPr>
                <w:b/>
                <w:sz w:val="14"/>
              </w:rPr>
              <w:t>Plant and Equipment</w:t>
            </w:r>
          </w:p>
        </w:tc>
        <w:tc>
          <w:tcPr>
            <w:tcW w:w="1182" w:type="dxa"/>
          </w:tcPr>
          <w:p>
            <w:pPr>
              <w:pStyle w:val="TableParagraph"/>
              <w:ind w:left="68" w:firstLine="132"/>
              <w:rPr>
                <w:b/>
                <w:sz w:val="14"/>
              </w:rPr>
            </w:pPr>
            <w:r>
              <w:rPr>
                <w:b/>
                <w:sz w:val="14"/>
              </w:rPr>
              <w:t>Leasehold </w:t>
            </w:r>
            <w:r>
              <w:rPr>
                <w:b/>
                <w:w w:val="95"/>
                <w:sz w:val="14"/>
              </w:rPr>
              <w:t>Improvements</w:t>
            </w:r>
          </w:p>
        </w:tc>
        <w:tc>
          <w:tcPr>
            <w:tcW w:w="1084" w:type="dxa"/>
          </w:tcPr>
          <w:p>
            <w:pPr>
              <w:pStyle w:val="TableParagraph"/>
              <w:ind w:left="115" w:firstLine="100"/>
              <w:rPr>
                <w:b/>
                <w:sz w:val="14"/>
              </w:rPr>
            </w:pPr>
            <w:r>
              <w:rPr>
                <w:b/>
                <w:sz w:val="14"/>
              </w:rPr>
              <w:t>Library Collection</w:t>
            </w:r>
          </w:p>
        </w:tc>
        <w:tc>
          <w:tcPr>
            <w:tcW w:w="1091" w:type="dxa"/>
          </w:tcPr>
          <w:p>
            <w:pPr>
              <w:pStyle w:val="TableParagraph"/>
              <w:spacing w:before="7"/>
              <w:rPr>
                <w:b/>
                <w:sz w:val="13"/>
              </w:rPr>
            </w:pPr>
          </w:p>
          <w:p>
            <w:pPr>
              <w:pStyle w:val="TableParagraph"/>
              <w:ind w:left="152"/>
              <w:rPr>
                <w:b/>
                <w:sz w:val="14"/>
              </w:rPr>
            </w:pPr>
            <w:r>
              <w:rPr>
                <w:b/>
                <w:sz w:val="14"/>
              </w:rPr>
              <w:t>Artwork</w:t>
            </w:r>
          </w:p>
        </w:tc>
        <w:tc>
          <w:tcPr>
            <w:tcW w:w="881" w:type="dxa"/>
          </w:tcPr>
          <w:p>
            <w:pPr>
              <w:pStyle w:val="TableParagraph"/>
              <w:spacing w:before="7"/>
              <w:rPr>
                <w:b/>
                <w:sz w:val="13"/>
              </w:rPr>
            </w:pPr>
          </w:p>
          <w:p>
            <w:pPr>
              <w:pStyle w:val="TableParagraph"/>
              <w:ind w:left="208"/>
              <w:rPr>
                <w:b/>
                <w:sz w:val="14"/>
              </w:rPr>
            </w:pPr>
            <w:r>
              <w:rPr>
                <w:b/>
                <w:sz w:val="14"/>
              </w:rPr>
              <w:t>Total</w:t>
            </w:r>
          </w:p>
        </w:tc>
      </w:tr>
      <w:tr>
        <w:trPr>
          <w:trHeight w:val="211" w:hRule="exact"/>
        </w:trPr>
        <w:tc>
          <w:tcPr>
            <w:tcW w:w="6040" w:type="dxa"/>
            <w:gridSpan w:val="3"/>
          </w:tcPr>
          <w:p>
            <w:pPr>
              <w:pStyle w:val="TableParagraph"/>
              <w:tabs>
                <w:tab w:pos="4254" w:val="left" w:leader="none"/>
                <w:tab w:pos="5302" w:val="left" w:leader="none"/>
              </w:tabs>
              <w:spacing w:before="26"/>
              <w:ind w:left="35"/>
              <w:rPr>
                <w:b/>
                <w:sz w:val="14"/>
              </w:rPr>
            </w:pPr>
            <w:r>
              <w:rPr>
                <w:b/>
                <w:sz w:val="14"/>
              </w:rPr>
              <w:t>Consolidated</w:t>
              <w:tab/>
              <w:t>$'000</w:t>
              <w:tab/>
              <w:t>$'000</w:t>
            </w:r>
          </w:p>
        </w:tc>
        <w:tc>
          <w:tcPr>
            <w:tcW w:w="1068" w:type="dxa"/>
          </w:tcPr>
          <w:p>
            <w:pPr>
              <w:pStyle w:val="TableParagraph"/>
              <w:spacing w:before="26"/>
              <w:ind w:left="311"/>
              <w:rPr>
                <w:b/>
                <w:sz w:val="14"/>
              </w:rPr>
            </w:pPr>
            <w:r>
              <w:rPr>
                <w:b/>
                <w:sz w:val="14"/>
              </w:rPr>
              <w:t>$'000</w:t>
            </w:r>
          </w:p>
        </w:tc>
        <w:tc>
          <w:tcPr>
            <w:tcW w:w="1004" w:type="dxa"/>
          </w:tcPr>
          <w:p>
            <w:pPr>
              <w:pStyle w:val="TableParagraph"/>
              <w:spacing w:before="26"/>
              <w:ind w:left="292"/>
              <w:rPr>
                <w:b/>
                <w:sz w:val="14"/>
              </w:rPr>
            </w:pPr>
            <w:r>
              <w:rPr>
                <w:b/>
                <w:sz w:val="14"/>
              </w:rPr>
              <w:t>$'000</w:t>
            </w:r>
          </w:p>
        </w:tc>
        <w:tc>
          <w:tcPr>
            <w:tcW w:w="1094" w:type="dxa"/>
          </w:tcPr>
          <w:p>
            <w:pPr>
              <w:pStyle w:val="TableParagraph"/>
              <w:spacing w:before="26"/>
              <w:ind w:left="337"/>
              <w:rPr>
                <w:b/>
                <w:sz w:val="14"/>
              </w:rPr>
            </w:pPr>
            <w:r>
              <w:rPr>
                <w:b/>
                <w:sz w:val="14"/>
              </w:rPr>
              <w:t>$'000</w:t>
            </w:r>
          </w:p>
        </w:tc>
        <w:tc>
          <w:tcPr>
            <w:tcW w:w="1013" w:type="dxa"/>
          </w:tcPr>
          <w:p>
            <w:pPr>
              <w:pStyle w:val="TableParagraph"/>
              <w:spacing w:before="26"/>
              <w:ind w:left="291"/>
              <w:rPr>
                <w:b/>
                <w:sz w:val="14"/>
              </w:rPr>
            </w:pPr>
            <w:r>
              <w:rPr>
                <w:b/>
                <w:sz w:val="14"/>
              </w:rPr>
              <w:t>$'000</w:t>
            </w:r>
          </w:p>
        </w:tc>
        <w:tc>
          <w:tcPr>
            <w:tcW w:w="1182" w:type="dxa"/>
          </w:tcPr>
          <w:p>
            <w:pPr>
              <w:pStyle w:val="TableParagraph"/>
              <w:spacing w:before="26"/>
              <w:ind w:left="370"/>
              <w:rPr>
                <w:b/>
                <w:sz w:val="14"/>
              </w:rPr>
            </w:pPr>
            <w:r>
              <w:rPr>
                <w:b/>
                <w:sz w:val="14"/>
              </w:rPr>
              <w:t>$'000</w:t>
            </w:r>
          </w:p>
        </w:tc>
        <w:tc>
          <w:tcPr>
            <w:tcW w:w="1084" w:type="dxa"/>
          </w:tcPr>
          <w:p>
            <w:pPr>
              <w:pStyle w:val="TableParagraph"/>
              <w:spacing w:before="26"/>
              <w:ind w:left="278"/>
              <w:rPr>
                <w:b/>
                <w:sz w:val="14"/>
              </w:rPr>
            </w:pPr>
            <w:r>
              <w:rPr>
                <w:b/>
                <w:sz w:val="14"/>
              </w:rPr>
              <w:t>$'000</w:t>
            </w:r>
          </w:p>
        </w:tc>
        <w:tc>
          <w:tcPr>
            <w:tcW w:w="1091" w:type="dxa"/>
          </w:tcPr>
          <w:p>
            <w:pPr>
              <w:pStyle w:val="TableParagraph"/>
              <w:spacing w:before="26"/>
              <w:ind w:left="243"/>
              <w:rPr>
                <w:b/>
                <w:sz w:val="14"/>
              </w:rPr>
            </w:pPr>
            <w:r>
              <w:rPr>
                <w:b/>
                <w:sz w:val="14"/>
              </w:rPr>
              <w:t>$'000</w:t>
            </w:r>
          </w:p>
        </w:tc>
        <w:tc>
          <w:tcPr>
            <w:tcW w:w="881" w:type="dxa"/>
          </w:tcPr>
          <w:p>
            <w:pPr>
              <w:pStyle w:val="TableParagraph"/>
              <w:spacing w:before="26"/>
              <w:ind w:left="201"/>
              <w:rPr>
                <w:b/>
                <w:sz w:val="14"/>
              </w:rPr>
            </w:pPr>
            <w:r>
              <w:rPr>
                <w:b/>
                <w:sz w:val="14"/>
              </w:rPr>
              <w:t>$'000</w:t>
            </w:r>
          </w:p>
        </w:tc>
      </w:tr>
      <w:tr>
        <w:trPr>
          <w:trHeight w:val="397" w:hRule="exact"/>
        </w:trPr>
        <w:tc>
          <w:tcPr>
            <w:tcW w:w="3885" w:type="dxa"/>
          </w:tcPr>
          <w:p>
            <w:pPr>
              <w:pStyle w:val="TableParagraph"/>
              <w:spacing w:before="9"/>
              <w:ind w:left="35"/>
              <w:rPr>
                <w:b/>
                <w:sz w:val="14"/>
              </w:rPr>
            </w:pPr>
            <w:r>
              <w:rPr>
                <w:b/>
                <w:sz w:val="14"/>
              </w:rPr>
              <w:t>Year ended 31 December 2017</w:t>
            </w:r>
          </w:p>
          <w:p>
            <w:pPr>
              <w:pStyle w:val="TableParagraph"/>
              <w:spacing w:before="31"/>
              <w:ind w:left="35"/>
              <w:rPr>
                <w:sz w:val="14"/>
              </w:rPr>
            </w:pPr>
            <w:r>
              <w:rPr>
                <w:sz w:val="14"/>
              </w:rPr>
              <w:t>Opening Net Book Amount</w:t>
            </w:r>
          </w:p>
        </w:tc>
        <w:tc>
          <w:tcPr>
            <w:tcW w:w="1079" w:type="dxa"/>
          </w:tcPr>
          <w:p>
            <w:pPr>
              <w:pStyle w:val="TableParagraph"/>
              <w:spacing w:before="3"/>
              <w:rPr>
                <w:b/>
                <w:sz w:val="17"/>
              </w:rPr>
            </w:pPr>
          </w:p>
          <w:p>
            <w:pPr>
              <w:pStyle w:val="TableParagraph"/>
              <w:ind w:right="99"/>
              <w:jc w:val="right"/>
              <w:rPr>
                <w:sz w:val="14"/>
              </w:rPr>
            </w:pPr>
            <w:r>
              <w:rPr>
                <w:w w:val="95"/>
                <w:sz w:val="14"/>
              </w:rPr>
              <w:t>85,044</w:t>
            </w:r>
          </w:p>
        </w:tc>
        <w:tc>
          <w:tcPr>
            <w:tcW w:w="1077" w:type="dxa"/>
          </w:tcPr>
          <w:p>
            <w:pPr>
              <w:pStyle w:val="TableParagraph"/>
              <w:spacing w:before="3"/>
              <w:rPr>
                <w:b/>
                <w:sz w:val="17"/>
              </w:rPr>
            </w:pPr>
          </w:p>
          <w:p>
            <w:pPr>
              <w:pStyle w:val="TableParagraph"/>
              <w:ind w:right="127"/>
              <w:jc w:val="right"/>
              <w:rPr>
                <w:sz w:val="14"/>
              </w:rPr>
            </w:pPr>
            <w:r>
              <w:rPr>
                <w:w w:val="95"/>
                <w:sz w:val="14"/>
              </w:rPr>
              <w:t>204,632</w:t>
            </w:r>
          </w:p>
        </w:tc>
        <w:tc>
          <w:tcPr>
            <w:tcW w:w="1068" w:type="dxa"/>
          </w:tcPr>
          <w:p>
            <w:pPr>
              <w:pStyle w:val="TableParagraph"/>
              <w:spacing w:before="3"/>
              <w:rPr>
                <w:b/>
                <w:sz w:val="17"/>
              </w:rPr>
            </w:pPr>
          </w:p>
          <w:p>
            <w:pPr>
              <w:pStyle w:val="TableParagraph"/>
              <w:ind w:right="147"/>
              <w:jc w:val="right"/>
              <w:rPr>
                <w:sz w:val="14"/>
              </w:rPr>
            </w:pPr>
            <w:r>
              <w:rPr>
                <w:w w:val="95"/>
                <w:sz w:val="14"/>
              </w:rPr>
              <w:t>162,335</w:t>
            </w:r>
          </w:p>
        </w:tc>
        <w:tc>
          <w:tcPr>
            <w:tcW w:w="1004" w:type="dxa"/>
          </w:tcPr>
          <w:p>
            <w:pPr>
              <w:pStyle w:val="TableParagraph"/>
              <w:spacing w:before="3"/>
              <w:rPr>
                <w:b/>
                <w:sz w:val="17"/>
              </w:rPr>
            </w:pPr>
          </w:p>
          <w:p>
            <w:pPr>
              <w:pStyle w:val="TableParagraph"/>
              <w:ind w:right="102"/>
              <w:jc w:val="right"/>
              <w:rPr>
                <w:sz w:val="14"/>
              </w:rPr>
            </w:pPr>
            <w:r>
              <w:rPr>
                <w:w w:val="95"/>
                <w:sz w:val="14"/>
              </w:rPr>
              <w:t>960,757</w:t>
            </w:r>
          </w:p>
        </w:tc>
        <w:tc>
          <w:tcPr>
            <w:tcW w:w="1094" w:type="dxa"/>
          </w:tcPr>
          <w:p>
            <w:pPr>
              <w:pStyle w:val="TableParagraph"/>
              <w:spacing w:before="3"/>
              <w:rPr>
                <w:b/>
                <w:sz w:val="17"/>
              </w:rPr>
            </w:pPr>
          </w:p>
          <w:p>
            <w:pPr>
              <w:pStyle w:val="TableParagraph"/>
              <w:ind w:right="148"/>
              <w:jc w:val="right"/>
              <w:rPr>
                <w:sz w:val="14"/>
              </w:rPr>
            </w:pPr>
            <w:r>
              <w:rPr>
                <w:w w:val="95"/>
                <w:sz w:val="14"/>
              </w:rPr>
              <w:t>91,349</w:t>
            </w:r>
          </w:p>
        </w:tc>
        <w:tc>
          <w:tcPr>
            <w:tcW w:w="1013" w:type="dxa"/>
          </w:tcPr>
          <w:p>
            <w:pPr>
              <w:pStyle w:val="TableParagraph"/>
              <w:spacing w:before="3"/>
              <w:rPr>
                <w:b/>
                <w:sz w:val="17"/>
              </w:rPr>
            </w:pPr>
          </w:p>
          <w:p>
            <w:pPr>
              <w:pStyle w:val="TableParagraph"/>
              <w:ind w:right="112"/>
              <w:jc w:val="right"/>
              <w:rPr>
                <w:sz w:val="14"/>
              </w:rPr>
            </w:pPr>
            <w:r>
              <w:rPr>
                <w:w w:val="95"/>
                <w:sz w:val="14"/>
              </w:rPr>
              <w:t>66,165</w:t>
            </w:r>
          </w:p>
        </w:tc>
        <w:tc>
          <w:tcPr>
            <w:tcW w:w="1182" w:type="dxa"/>
          </w:tcPr>
          <w:p>
            <w:pPr>
              <w:pStyle w:val="TableParagraph"/>
              <w:spacing w:before="3"/>
              <w:rPr>
                <w:b/>
                <w:sz w:val="17"/>
              </w:rPr>
            </w:pPr>
          </w:p>
          <w:p>
            <w:pPr>
              <w:pStyle w:val="TableParagraph"/>
              <w:ind w:right="158"/>
              <w:jc w:val="right"/>
              <w:rPr>
                <w:sz w:val="14"/>
              </w:rPr>
            </w:pPr>
            <w:r>
              <w:rPr>
                <w:w w:val="95"/>
                <w:sz w:val="14"/>
              </w:rPr>
              <w:t>16,871</w:t>
            </w:r>
          </w:p>
        </w:tc>
        <w:tc>
          <w:tcPr>
            <w:tcW w:w="1084" w:type="dxa"/>
          </w:tcPr>
          <w:p>
            <w:pPr>
              <w:pStyle w:val="TableParagraph"/>
              <w:spacing w:before="3"/>
              <w:rPr>
                <w:b/>
                <w:sz w:val="17"/>
              </w:rPr>
            </w:pPr>
          </w:p>
          <w:p>
            <w:pPr>
              <w:pStyle w:val="TableParagraph"/>
              <w:ind w:right="197"/>
              <w:jc w:val="right"/>
              <w:rPr>
                <w:sz w:val="14"/>
              </w:rPr>
            </w:pPr>
            <w:r>
              <w:rPr>
                <w:sz w:val="14"/>
              </w:rPr>
              <w:t>8,709</w:t>
            </w:r>
          </w:p>
        </w:tc>
        <w:tc>
          <w:tcPr>
            <w:tcW w:w="1091" w:type="dxa"/>
          </w:tcPr>
          <w:p>
            <w:pPr>
              <w:pStyle w:val="TableParagraph"/>
              <w:spacing w:before="3"/>
              <w:rPr>
                <w:b/>
                <w:sz w:val="17"/>
              </w:rPr>
            </w:pPr>
          </w:p>
          <w:p>
            <w:pPr>
              <w:pStyle w:val="TableParagraph"/>
              <w:ind w:right="237"/>
              <w:jc w:val="right"/>
              <w:rPr>
                <w:sz w:val="14"/>
              </w:rPr>
            </w:pPr>
            <w:r>
              <w:rPr>
                <w:sz w:val="14"/>
              </w:rPr>
              <w:t>4,204</w:t>
            </w:r>
          </w:p>
        </w:tc>
        <w:tc>
          <w:tcPr>
            <w:tcW w:w="881" w:type="dxa"/>
          </w:tcPr>
          <w:p>
            <w:pPr>
              <w:pStyle w:val="TableParagraph"/>
              <w:spacing w:before="3"/>
              <w:rPr>
                <w:b/>
                <w:sz w:val="17"/>
              </w:rPr>
            </w:pPr>
          </w:p>
          <w:p>
            <w:pPr>
              <w:pStyle w:val="TableParagraph"/>
              <w:ind w:right="69"/>
              <w:jc w:val="right"/>
              <w:rPr>
                <w:sz w:val="14"/>
              </w:rPr>
            </w:pPr>
            <w:r>
              <w:rPr>
                <w:w w:val="95"/>
                <w:sz w:val="14"/>
              </w:rPr>
              <w:t>1,600,066</w:t>
            </w:r>
          </w:p>
        </w:tc>
      </w:tr>
      <w:tr>
        <w:trPr>
          <w:trHeight w:val="218" w:hRule="exact"/>
        </w:trPr>
        <w:tc>
          <w:tcPr>
            <w:tcW w:w="3885" w:type="dxa"/>
          </w:tcPr>
          <w:p>
            <w:pPr>
              <w:pStyle w:val="TableParagraph"/>
              <w:spacing w:before="22"/>
              <w:ind w:left="35"/>
              <w:rPr>
                <w:sz w:val="14"/>
              </w:rPr>
            </w:pPr>
            <w:r>
              <w:rPr>
                <w:sz w:val="14"/>
              </w:rPr>
              <w:t>Revaluation Surplus</w:t>
            </w:r>
          </w:p>
        </w:tc>
        <w:tc>
          <w:tcPr>
            <w:tcW w:w="1079" w:type="dxa"/>
          </w:tcPr>
          <w:p>
            <w:pPr>
              <w:pStyle w:val="TableParagraph"/>
              <w:spacing w:before="20"/>
              <w:ind w:right="99"/>
              <w:jc w:val="right"/>
              <w:rPr>
                <w:sz w:val="14"/>
              </w:rPr>
            </w:pPr>
            <w:r>
              <w:rPr>
                <w:w w:val="99"/>
                <w:sz w:val="14"/>
              </w:rPr>
              <w:t>-</w:t>
            </w:r>
          </w:p>
        </w:tc>
        <w:tc>
          <w:tcPr>
            <w:tcW w:w="1077" w:type="dxa"/>
          </w:tcPr>
          <w:p>
            <w:pPr>
              <w:pStyle w:val="TableParagraph"/>
              <w:spacing w:before="20"/>
              <w:ind w:right="127"/>
              <w:jc w:val="right"/>
              <w:rPr>
                <w:sz w:val="14"/>
              </w:rPr>
            </w:pPr>
            <w:r>
              <w:rPr>
                <w:w w:val="95"/>
                <w:sz w:val="14"/>
              </w:rPr>
              <w:t>107,122</w:t>
            </w:r>
          </w:p>
        </w:tc>
        <w:tc>
          <w:tcPr>
            <w:tcW w:w="1068" w:type="dxa"/>
          </w:tcPr>
          <w:p>
            <w:pPr>
              <w:pStyle w:val="TableParagraph"/>
              <w:spacing w:before="20"/>
              <w:ind w:right="147"/>
              <w:jc w:val="right"/>
              <w:rPr>
                <w:sz w:val="14"/>
              </w:rPr>
            </w:pPr>
            <w:r>
              <w:rPr>
                <w:w w:val="95"/>
                <w:sz w:val="14"/>
              </w:rPr>
              <w:t>59,405</w:t>
            </w:r>
          </w:p>
        </w:tc>
        <w:tc>
          <w:tcPr>
            <w:tcW w:w="1004" w:type="dxa"/>
          </w:tcPr>
          <w:p>
            <w:pPr>
              <w:pStyle w:val="TableParagraph"/>
              <w:spacing w:before="20"/>
              <w:ind w:right="102"/>
              <w:jc w:val="right"/>
              <w:rPr>
                <w:sz w:val="14"/>
              </w:rPr>
            </w:pPr>
            <w:r>
              <w:rPr>
                <w:w w:val="95"/>
                <w:sz w:val="14"/>
              </w:rPr>
              <w:t>19,269</w:t>
            </w:r>
          </w:p>
        </w:tc>
        <w:tc>
          <w:tcPr>
            <w:tcW w:w="1094" w:type="dxa"/>
          </w:tcPr>
          <w:p>
            <w:pPr>
              <w:pStyle w:val="TableParagraph"/>
              <w:spacing w:before="20"/>
              <w:ind w:right="148"/>
              <w:jc w:val="right"/>
              <w:rPr>
                <w:sz w:val="14"/>
              </w:rPr>
            </w:pPr>
            <w:r>
              <w:rPr>
                <w:w w:val="95"/>
                <w:sz w:val="14"/>
              </w:rPr>
              <w:t>14,507</w:t>
            </w:r>
          </w:p>
        </w:tc>
        <w:tc>
          <w:tcPr>
            <w:tcW w:w="1013" w:type="dxa"/>
          </w:tcPr>
          <w:p>
            <w:pPr>
              <w:pStyle w:val="TableParagraph"/>
              <w:spacing w:before="20"/>
              <w:ind w:right="111"/>
              <w:jc w:val="right"/>
              <w:rPr>
                <w:sz w:val="14"/>
              </w:rPr>
            </w:pPr>
            <w:r>
              <w:rPr>
                <w:w w:val="99"/>
                <w:sz w:val="14"/>
              </w:rPr>
              <w:t>-</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95"/>
              <w:jc w:val="right"/>
              <w:rPr>
                <w:sz w:val="14"/>
              </w:rPr>
            </w:pPr>
            <w:r>
              <w:rPr>
                <w:w w:val="99"/>
                <w:sz w:val="14"/>
              </w:rPr>
              <w:t>-</w:t>
            </w:r>
          </w:p>
        </w:tc>
        <w:tc>
          <w:tcPr>
            <w:tcW w:w="1091" w:type="dxa"/>
          </w:tcPr>
          <w:p>
            <w:pPr>
              <w:pStyle w:val="TableParagraph"/>
              <w:spacing w:before="20"/>
              <w:ind w:right="237"/>
              <w:jc w:val="right"/>
              <w:rPr>
                <w:sz w:val="14"/>
              </w:rPr>
            </w:pPr>
            <w:r>
              <w:rPr>
                <w:w w:val="99"/>
                <w:sz w:val="14"/>
              </w:rPr>
              <w:t>-</w:t>
            </w:r>
          </w:p>
        </w:tc>
        <w:tc>
          <w:tcPr>
            <w:tcW w:w="881" w:type="dxa"/>
          </w:tcPr>
          <w:p>
            <w:pPr>
              <w:pStyle w:val="TableParagraph"/>
              <w:spacing w:before="20"/>
              <w:ind w:right="70"/>
              <w:jc w:val="right"/>
              <w:rPr>
                <w:sz w:val="14"/>
              </w:rPr>
            </w:pPr>
            <w:r>
              <w:rPr>
                <w:w w:val="95"/>
                <w:sz w:val="14"/>
              </w:rPr>
              <w:t>200,303</w:t>
            </w:r>
          </w:p>
        </w:tc>
      </w:tr>
      <w:tr>
        <w:trPr>
          <w:trHeight w:val="218" w:hRule="exact"/>
        </w:trPr>
        <w:tc>
          <w:tcPr>
            <w:tcW w:w="3885" w:type="dxa"/>
          </w:tcPr>
          <w:p>
            <w:pPr>
              <w:pStyle w:val="TableParagraph"/>
              <w:spacing w:before="22"/>
              <w:ind w:left="35"/>
              <w:rPr>
                <w:sz w:val="14"/>
              </w:rPr>
            </w:pPr>
            <w:r>
              <w:rPr>
                <w:sz w:val="14"/>
              </w:rPr>
              <w:t>Additions</w:t>
            </w:r>
          </w:p>
        </w:tc>
        <w:tc>
          <w:tcPr>
            <w:tcW w:w="1079" w:type="dxa"/>
          </w:tcPr>
          <w:p>
            <w:pPr>
              <w:pStyle w:val="TableParagraph"/>
              <w:spacing w:before="20"/>
              <w:ind w:right="99"/>
              <w:jc w:val="right"/>
              <w:rPr>
                <w:sz w:val="14"/>
              </w:rPr>
            </w:pPr>
            <w:r>
              <w:rPr>
                <w:w w:val="95"/>
                <w:sz w:val="14"/>
              </w:rPr>
              <w:t>91,531</w:t>
            </w:r>
          </w:p>
        </w:tc>
        <w:tc>
          <w:tcPr>
            <w:tcW w:w="107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101"/>
              <w:jc w:val="right"/>
              <w:rPr>
                <w:sz w:val="14"/>
              </w:rPr>
            </w:pPr>
            <w:r>
              <w:rPr>
                <w:w w:val="99"/>
                <w:sz w:val="14"/>
              </w:rPr>
              <w:t>-</w:t>
            </w:r>
          </w:p>
        </w:tc>
        <w:tc>
          <w:tcPr>
            <w:tcW w:w="1094" w:type="dxa"/>
          </w:tcPr>
          <w:p>
            <w:pPr>
              <w:pStyle w:val="TableParagraph"/>
              <w:spacing w:before="20"/>
              <w:ind w:right="147"/>
              <w:jc w:val="right"/>
              <w:rPr>
                <w:sz w:val="14"/>
              </w:rPr>
            </w:pPr>
            <w:r>
              <w:rPr>
                <w:w w:val="99"/>
                <w:sz w:val="14"/>
              </w:rPr>
              <w:t>-</w:t>
            </w:r>
          </w:p>
        </w:tc>
        <w:tc>
          <w:tcPr>
            <w:tcW w:w="1013" w:type="dxa"/>
          </w:tcPr>
          <w:p>
            <w:pPr>
              <w:pStyle w:val="TableParagraph"/>
              <w:spacing w:before="20"/>
              <w:ind w:right="113"/>
              <w:jc w:val="right"/>
              <w:rPr>
                <w:sz w:val="14"/>
              </w:rPr>
            </w:pPr>
            <w:r>
              <w:rPr>
                <w:sz w:val="14"/>
              </w:rPr>
              <w:t>8,359</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97"/>
              <w:jc w:val="right"/>
              <w:rPr>
                <w:sz w:val="14"/>
              </w:rPr>
            </w:pPr>
            <w:r>
              <w:rPr>
                <w:sz w:val="14"/>
              </w:rPr>
              <w:t>1,991</w:t>
            </w:r>
          </w:p>
        </w:tc>
        <w:tc>
          <w:tcPr>
            <w:tcW w:w="1091" w:type="dxa"/>
          </w:tcPr>
          <w:p>
            <w:pPr>
              <w:pStyle w:val="TableParagraph"/>
              <w:spacing w:before="20"/>
              <w:ind w:right="238"/>
              <w:jc w:val="right"/>
              <w:rPr>
                <w:sz w:val="14"/>
              </w:rPr>
            </w:pPr>
            <w:r>
              <w:rPr>
                <w:sz w:val="14"/>
              </w:rPr>
              <w:t>87</w:t>
            </w:r>
          </w:p>
        </w:tc>
        <w:tc>
          <w:tcPr>
            <w:tcW w:w="881" w:type="dxa"/>
          </w:tcPr>
          <w:p>
            <w:pPr>
              <w:pStyle w:val="TableParagraph"/>
              <w:spacing w:before="20"/>
              <w:ind w:right="70"/>
              <w:jc w:val="right"/>
              <w:rPr>
                <w:sz w:val="14"/>
              </w:rPr>
            </w:pPr>
            <w:r>
              <w:rPr>
                <w:w w:val="95"/>
                <w:sz w:val="14"/>
              </w:rPr>
              <w:t>101,968</w:t>
            </w:r>
          </w:p>
        </w:tc>
      </w:tr>
      <w:tr>
        <w:trPr>
          <w:trHeight w:val="218" w:hRule="exact"/>
        </w:trPr>
        <w:tc>
          <w:tcPr>
            <w:tcW w:w="3885" w:type="dxa"/>
          </w:tcPr>
          <w:p>
            <w:pPr>
              <w:pStyle w:val="TableParagraph"/>
              <w:spacing w:before="22"/>
              <w:ind w:left="35"/>
              <w:rPr>
                <w:sz w:val="14"/>
              </w:rPr>
            </w:pPr>
            <w:r>
              <w:rPr>
                <w:sz w:val="14"/>
              </w:rPr>
              <w:t>Disposals</w:t>
            </w:r>
          </w:p>
        </w:tc>
        <w:tc>
          <w:tcPr>
            <w:tcW w:w="1079" w:type="dxa"/>
          </w:tcPr>
          <w:p>
            <w:pPr>
              <w:pStyle w:val="TableParagraph"/>
              <w:spacing w:before="20"/>
              <w:ind w:right="54"/>
              <w:jc w:val="right"/>
              <w:rPr>
                <w:sz w:val="14"/>
              </w:rPr>
            </w:pPr>
            <w:r>
              <w:rPr>
                <w:w w:val="95"/>
                <w:sz w:val="14"/>
              </w:rPr>
              <w:t>(6,803)</w:t>
            </w:r>
          </w:p>
        </w:tc>
        <w:tc>
          <w:tcPr>
            <w:tcW w:w="107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101"/>
              <w:jc w:val="right"/>
              <w:rPr>
                <w:sz w:val="14"/>
              </w:rPr>
            </w:pPr>
            <w:r>
              <w:rPr>
                <w:w w:val="99"/>
                <w:sz w:val="14"/>
              </w:rPr>
              <w:t>-</w:t>
            </w:r>
          </w:p>
        </w:tc>
        <w:tc>
          <w:tcPr>
            <w:tcW w:w="1094" w:type="dxa"/>
          </w:tcPr>
          <w:p>
            <w:pPr>
              <w:pStyle w:val="TableParagraph"/>
              <w:spacing w:before="20"/>
              <w:ind w:right="147"/>
              <w:jc w:val="right"/>
              <w:rPr>
                <w:sz w:val="14"/>
              </w:rPr>
            </w:pPr>
            <w:r>
              <w:rPr>
                <w:w w:val="99"/>
                <w:sz w:val="14"/>
              </w:rPr>
              <w:t>-</w:t>
            </w:r>
          </w:p>
        </w:tc>
        <w:tc>
          <w:tcPr>
            <w:tcW w:w="1013" w:type="dxa"/>
          </w:tcPr>
          <w:p>
            <w:pPr>
              <w:pStyle w:val="TableParagraph"/>
              <w:spacing w:before="20"/>
              <w:ind w:right="66"/>
              <w:jc w:val="right"/>
              <w:rPr>
                <w:sz w:val="14"/>
              </w:rPr>
            </w:pPr>
            <w:r>
              <w:rPr>
                <w:sz w:val="14"/>
              </w:rPr>
              <w:t>(240)</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50"/>
              <w:jc w:val="right"/>
              <w:rPr>
                <w:sz w:val="14"/>
              </w:rPr>
            </w:pPr>
            <w:r>
              <w:rPr>
                <w:sz w:val="14"/>
              </w:rPr>
              <w:t>(285)</w:t>
            </w:r>
          </w:p>
        </w:tc>
        <w:tc>
          <w:tcPr>
            <w:tcW w:w="1091" w:type="dxa"/>
          </w:tcPr>
          <w:p>
            <w:pPr>
              <w:pStyle w:val="TableParagraph"/>
              <w:spacing w:before="20"/>
              <w:ind w:right="192"/>
              <w:jc w:val="right"/>
              <w:rPr>
                <w:sz w:val="14"/>
              </w:rPr>
            </w:pPr>
            <w:r>
              <w:rPr>
                <w:sz w:val="14"/>
              </w:rPr>
              <w:t>(13)</w:t>
            </w:r>
          </w:p>
        </w:tc>
        <w:tc>
          <w:tcPr>
            <w:tcW w:w="881" w:type="dxa"/>
          </w:tcPr>
          <w:p>
            <w:pPr>
              <w:pStyle w:val="TableParagraph"/>
              <w:spacing w:before="20"/>
              <w:ind w:right="24"/>
              <w:jc w:val="right"/>
              <w:rPr>
                <w:sz w:val="14"/>
              </w:rPr>
            </w:pPr>
            <w:r>
              <w:rPr>
                <w:w w:val="95"/>
                <w:sz w:val="14"/>
              </w:rPr>
              <w:t>(7,341)</w:t>
            </w:r>
          </w:p>
        </w:tc>
      </w:tr>
      <w:tr>
        <w:trPr>
          <w:trHeight w:val="218" w:hRule="exact"/>
        </w:trPr>
        <w:tc>
          <w:tcPr>
            <w:tcW w:w="3885" w:type="dxa"/>
          </w:tcPr>
          <w:p>
            <w:pPr>
              <w:pStyle w:val="TableParagraph"/>
              <w:spacing w:before="22"/>
              <w:ind w:left="35"/>
              <w:rPr>
                <w:sz w:val="14"/>
              </w:rPr>
            </w:pPr>
            <w:r>
              <w:rPr>
                <w:sz w:val="14"/>
              </w:rPr>
              <w:t>Depreciation Charge</w:t>
            </w:r>
          </w:p>
        </w:tc>
        <w:tc>
          <w:tcPr>
            <w:tcW w:w="1079" w:type="dxa"/>
          </w:tcPr>
          <w:p>
            <w:pPr>
              <w:pStyle w:val="TableParagraph"/>
              <w:spacing w:before="20"/>
              <w:ind w:right="99"/>
              <w:jc w:val="right"/>
              <w:rPr>
                <w:sz w:val="14"/>
              </w:rPr>
            </w:pPr>
            <w:r>
              <w:rPr>
                <w:w w:val="99"/>
                <w:sz w:val="14"/>
              </w:rPr>
              <w:t>-</w:t>
            </w:r>
          </w:p>
        </w:tc>
        <w:tc>
          <w:tcPr>
            <w:tcW w:w="107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56"/>
              <w:jc w:val="right"/>
              <w:rPr>
                <w:sz w:val="14"/>
              </w:rPr>
            </w:pPr>
            <w:r>
              <w:rPr>
                <w:w w:val="95"/>
                <w:sz w:val="14"/>
              </w:rPr>
              <w:t>(23,179)</w:t>
            </w:r>
          </w:p>
        </w:tc>
        <w:tc>
          <w:tcPr>
            <w:tcW w:w="1094" w:type="dxa"/>
          </w:tcPr>
          <w:p>
            <w:pPr>
              <w:pStyle w:val="TableParagraph"/>
              <w:spacing w:before="20"/>
              <w:ind w:right="102"/>
              <w:jc w:val="right"/>
              <w:rPr>
                <w:sz w:val="14"/>
              </w:rPr>
            </w:pPr>
            <w:r>
              <w:rPr>
                <w:w w:val="95"/>
                <w:sz w:val="14"/>
              </w:rPr>
              <w:t>(3,179)</w:t>
            </w:r>
          </w:p>
        </w:tc>
        <w:tc>
          <w:tcPr>
            <w:tcW w:w="1013" w:type="dxa"/>
          </w:tcPr>
          <w:p>
            <w:pPr>
              <w:pStyle w:val="TableParagraph"/>
              <w:spacing w:before="20"/>
              <w:ind w:right="66"/>
              <w:jc w:val="right"/>
              <w:rPr>
                <w:sz w:val="14"/>
              </w:rPr>
            </w:pPr>
            <w:r>
              <w:rPr>
                <w:w w:val="95"/>
                <w:sz w:val="14"/>
              </w:rPr>
              <w:t>(11,994)</w:t>
            </w:r>
          </w:p>
        </w:tc>
        <w:tc>
          <w:tcPr>
            <w:tcW w:w="1182" w:type="dxa"/>
          </w:tcPr>
          <w:p>
            <w:pPr>
              <w:pStyle w:val="TableParagraph"/>
              <w:spacing w:before="20"/>
              <w:ind w:right="113"/>
              <w:jc w:val="right"/>
              <w:rPr>
                <w:sz w:val="14"/>
              </w:rPr>
            </w:pPr>
            <w:r>
              <w:rPr>
                <w:w w:val="95"/>
                <w:sz w:val="14"/>
              </w:rPr>
              <w:t>(7,136)</w:t>
            </w:r>
          </w:p>
        </w:tc>
        <w:tc>
          <w:tcPr>
            <w:tcW w:w="1084" w:type="dxa"/>
          </w:tcPr>
          <w:p>
            <w:pPr>
              <w:pStyle w:val="TableParagraph"/>
              <w:spacing w:before="20"/>
              <w:ind w:right="150"/>
              <w:jc w:val="right"/>
              <w:rPr>
                <w:sz w:val="14"/>
              </w:rPr>
            </w:pPr>
            <w:r>
              <w:rPr>
                <w:w w:val="95"/>
                <w:sz w:val="14"/>
              </w:rPr>
              <w:t>(2,569)</w:t>
            </w:r>
          </w:p>
        </w:tc>
        <w:tc>
          <w:tcPr>
            <w:tcW w:w="1091" w:type="dxa"/>
          </w:tcPr>
          <w:p>
            <w:pPr>
              <w:pStyle w:val="TableParagraph"/>
              <w:spacing w:before="20"/>
              <w:ind w:right="237"/>
              <w:jc w:val="right"/>
              <w:rPr>
                <w:sz w:val="14"/>
              </w:rPr>
            </w:pPr>
            <w:r>
              <w:rPr>
                <w:w w:val="99"/>
                <w:sz w:val="14"/>
              </w:rPr>
              <w:t>-</w:t>
            </w:r>
          </w:p>
        </w:tc>
        <w:tc>
          <w:tcPr>
            <w:tcW w:w="881" w:type="dxa"/>
          </w:tcPr>
          <w:p>
            <w:pPr>
              <w:pStyle w:val="TableParagraph"/>
              <w:spacing w:before="20"/>
              <w:ind w:right="24"/>
              <w:jc w:val="right"/>
              <w:rPr>
                <w:sz w:val="14"/>
              </w:rPr>
            </w:pPr>
            <w:r>
              <w:rPr>
                <w:w w:val="95"/>
                <w:sz w:val="14"/>
              </w:rPr>
              <w:t>(48,057)</w:t>
            </w:r>
          </w:p>
        </w:tc>
      </w:tr>
      <w:tr>
        <w:trPr>
          <w:trHeight w:val="218" w:hRule="exact"/>
        </w:trPr>
        <w:tc>
          <w:tcPr>
            <w:tcW w:w="3885" w:type="dxa"/>
          </w:tcPr>
          <w:p>
            <w:pPr>
              <w:pStyle w:val="TableParagraph"/>
              <w:spacing w:before="22"/>
              <w:ind w:left="35"/>
              <w:rPr>
                <w:sz w:val="14"/>
              </w:rPr>
            </w:pPr>
            <w:r>
              <w:rPr>
                <w:w w:val="95"/>
                <w:sz w:val="14"/>
              </w:rPr>
              <w:t>Non-Cash  Adjustments</w:t>
            </w:r>
          </w:p>
        </w:tc>
        <w:tc>
          <w:tcPr>
            <w:tcW w:w="1079" w:type="dxa"/>
          </w:tcPr>
          <w:p>
            <w:pPr>
              <w:pStyle w:val="TableParagraph"/>
              <w:spacing w:before="20"/>
              <w:ind w:right="99"/>
              <w:jc w:val="right"/>
              <w:rPr>
                <w:sz w:val="14"/>
              </w:rPr>
            </w:pPr>
            <w:r>
              <w:rPr>
                <w:w w:val="99"/>
                <w:sz w:val="14"/>
              </w:rPr>
              <w:t>-</w:t>
            </w:r>
          </w:p>
        </w:tc>
        <w:tc>
          <w:tcPr>
            <w:tcW w:w="107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101"/>
              <w:jc w:val="right"/>
              <w:rPr>
                <w:sz w:val="14"/>
              </w:rPr>
            </w:pPr>
            <w:r>
              <w:rPr>
                <w:w w:val="99"/>
                <w:sz w:val="14"/>
              </w:rPr>
              <w:t>-</w:t>
            </w:r>
          </w:p>
        </w:tc>
        <w:tc>
          <w:tcPr>
            <w:tcW w:w="1094" w:type="dxa"/>
          </w:tcPr>
          <w:p>
            <w:pPr>
              <w:pStyle w:val="TableParagraph"/>
              <w:spacing w:before="20"/>
              <w:ind w:right="147"/>
              <w:jc w:val="right"/>
              <w:rPr>
                <w:sz w:val="14"/>
              </w:rPr>
            </w:pPr>
            <w:r>
              <w:rPr>
                <w:w w:val="99"/>
                <w:sz w:val="14"/>
              </w:rPr>
              <w:t>-</w:t>
            </w:r>
          </w:p>
        </w:tc>
        <w:tc>
          <w:tcPr>
            <w:tcW w:w="1013" w:type="dxa"/>
          </w:tcPr>
          <w:p>
            <w:pPr>
              <w:pStyle w:val="TableParagraph"/>
              <w:spacing w:before="20"/>
              <w:ind w:right="111"/>
              <w:jc w:val="right"/>
              <w:rPr>
                <w:sz w:val="14"/>
              </w:rPr>
            </w:pPr>
            <w:r>
              <w:rPr>
                <w:w w:val="99"/>
                <w:sz w:val="14"/>
              </w:rPr>
              <w:t>7</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50"/>
              <w:jc w:val="right"/>
              <w:rPr>
                <w:sz w:val="14"/>
              </w:rPr>
            </w:pPr>
            <w:r>
              <w:rPr>
                <w:sz w:val="14"/>
              </w:rPr>
              <w:t>(1)</w:t>
            </w:r>
          </w:p>
        </w:tc>
        <w:tc>
          <w:tcPr>
            <w:tcW w:w="1091" w:type="dxa"/>
          </w:tcPr>
          <w:p>
            <w:pPr>
              <w:pStyle w:val="TableParagraph"/>
              <w:spacing w:before="20"/>
              <w:ind w:right="237"/>
              <w:jc w:val="right"/>
              <w:rPr>
                <w:sz w:val="14"/>
              </w:rPr>
            </w:pPr>
            <w:r>
              <w:rPr>
                <w:w w:val="99"/>
                <w:sz w:val="14"/>
              </w:rPr>
              <w:t>-</w:t>
            </w:r>
          </w:p>
        </w:tc>
        <w:tc>
          <w:tcPr>
            <w:tcW w:w="881" w:type="dxa"/>
          </w:tcPr>
          <w:p>
            <w:pPr>
              <w:pStyle w:val="TableParagraph"/>
              <w:spacing w:before="20"/>
              <w:ind w:right="69"/>
              <w:jc w:val="right"/>
              <w:rPr>
                <w:sz w:val="14"/>
              </w:rPr>
            </w:pPr>
            <w:r>
              <w:rPr>
                <w:w w:val="99"/>
                <w:sz w:val="14"/>
              </w:rPr>
              <w:t>6</w:t>
            </w:r>
          </w:p>
        </w:tc>
      </w:tr>
      <w:tr>
        <w:trPr>
          <w:trHeight w:val="218" w:hRule="exact"/>
        </w:trPr>
        <w:tc>
          <w:tcPr>
            <w:tcW w:w="3885" w:type="dxa"/>
          </w:tcPr>
          <w:p>
            <w:pPr>
              <w:pStyle w:val="TableParagraph"/>
              <w:spacing w:before="22"/>
              <w:ind w:left="35"/>
              <w:rPr>
                <w:sz w:val="14"/>
              </w:rPr>
            </w:pPr>
            <w:r>
              <w:rPr>
                <w:sz w:val="14"/>
              </w:rPr>
              <w:t>Assets capitalised from Construction in Progress</w:t>
            </w:r>
          </w:p>
        </w:tc>
        <w:tc>
          <w:tcPr>
            <w:tcW w:w="1079" w:type="dxa"/>
          </w:tcPr>
          <w:p>
            <w:pPr>
              <w:pStyle w:val="TableParagraph"/>
              <w:spacing w:before="20"/>
              <w:ind w:right="54"/>
              <w:jc w:val="right"/>
              <w:rPr>
                <w:sz w:val="14"/>
              </w:rPr>
            </w:pPr>
            <w:r>
              <w:rPr>
                <w:w w:val="95"/>
                <w:sz w:val="14"/>
              </w:rPr>
              <w:t>(88,821)</w:t>
            </w:r>
          </w:p>
        </w:tc>
        <w:tc>
          <w:tcPr>
            <w:tcW w:w="107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102"/>
              <w:jc w:val="right"/>
              <w:rPr>
                <w:sz w:val="14"/>
              </w:rPr>
            </w:pPr>
            <w:r>
              <w:rPr>
                <w:w w:val="95"/>
                <w:sz w:val="14"/>
              </w:rPr>
              <w:t>25,364</w:t>
            </w:r>
          </w:p>
        </w:tc>
        <w:tc>
          <w:tcPr>
            <w:tcW w:w="1094" w:type="dxa"/>
          </w:tcPr>
          <w:p>
            <w:pPr>
              <w:pStyle w:val="TableParagraph"/>
              <w:spacing w:before="20"/>
              <w:ind w:right="149"/>
              <w:jc w:val="right"/>
              <w:rPr>
                <w:sz w:val="14"/>
              </w:rPr>
            </w:pPr>
            <w:r>
              <w:rPr>
                <w:sz w:val="14"/>
              </w:rPr>
              <w:t>6,358</w:t>
            </w:r>
          </w:p>
        </w:tc>
        <w:tc>
          <w:tcPr>
            <w:tcW w:w="1013" w:type="dxa"/>
          </w:tcPr>
          <w:p>
            <w:pPr>
              <w:pStyle w:val="TableParagraph"/>
              <w:spacing w:before="20"/>
              <w:ind w:right="113"/>
              <w:jc w:val="right"/>
              <w:rPr>
                <w:sz w:val="14"/>
              </w:rPr>
            </w:pPr>
            <w:r>
              <w:rPr>
                <w:sz w:val="14"/>
              </w:rPr>
              <w:t>1,369</w:t>
            </w:r>
          </w:p>
        </w:tc>
        <w:tc>
          <w:tcPr>
            <w:tcW w:w="1182" w:type="dxa"/>
          </w:tcPr>
          <w:p>
            <w:pPr>
              <w:pStyle w:val="TableParagraph"/>
              <w:spacing w:before="20"/>
              <w:ind w:right="158"/>
              <w:jc w:val="right"/>
              <w:rPr>
                <w:sz w:val="14"/>
              </w:rPr>
            </w:pPr>
            <w:r>
              <w:rPr>
                <w:w w:val="95"/>
                <w:sz w:val="14"/>
              </w:rPr>
              <w:t>55,598</w:t>
            </w:r>
          </w:p>
        </w:tc>
        <w:tc>
          <w:tcPr>
            <w:tcW w:w="1084" w:type="dxa"/>
          </w:tcPr>
          <w:p>
            <w:pPr>
              <w:pStyle w:val="TableParagraph"/>
              <w:spacing w:before="20"/>
              <w:ind w:right="195"/>
              <w:jc w:val="right"/>
              <w:rPr>
                <w:sz w:val="14"/>
              </w:rPr>
            </w:pPr>
            <w:r>
              <w:rPr>
                <w:w w:val="99"/>
                <w:sz w:val="14"/>
              </w:rPr>
              <w:t>-</w:t>
            </w:r>
          </w:p>
        </w:tc>
        <w:tc>
          <w:tcPr>
            <w:tcW w:w="1091" w:type="dxa"/>
          </w:tcPr>
          <w:p>
            <w:pPr>
              <w:pStyle w:val="TableParagraph"/>
              <w:spacing w:before="20"/>
              <w:ind w:right="238"/>
              <w:jc w:val="right"/>
              <w:rPr>
                <w:sz w:val="14"/>
              </w:rPr>
            </w:pPr>
            <w:r>
              <w:rPr>
                <w:sz w:val="14"/>
              </w:rPr>
              <w:t>132</w:t>
            </w:r>
          </w:p>
        </w:tc>
        <w:tc>
          <w:tcPr>
            <w:tcW w:w="881" w:type="dxa"/>
          </w:tcPr>
          <w:p>
            <w:pPr>
              <w:pStyle w:val="TableParagraph"/>
              <w:spacing w:before="20"/>
              <w:ind w:right="69"/>
              <w:jc w:val="right"/>
              <w:rPr>
                <w:sz w:val="14"/>
              </w:rPr>
            </w:pPr>
            <w:r>
              <w:rPr>
                <w:w w:val="99"/>
                <w:sz w:val="14"/>
              </w:rPr>
              <w:t>-</w:t>
            </w:r>
          </w:p>
        </w:tc>
      </w:tr>
      <w:tr>
        <w:trPr>
          <w:trHeight w:val="217" w:hRule="exact"/>
        </w:trPr>
        <w:tc>
          <w:tcPr>
            <w:tcW w:w="3885" w:type="dxa"/>
          </w:tcPr>
          <w:p>
            <w:pPr>
              <w:pStyle w:val="TableParagraph"/>
              <w:spacing w:before="22"/>
              <w:ind w:left="35"/>
              <w:rPr>
                <w:sz w:val="14"/>
              </w:rPr>
            </w:pPr>
            <w:r>
              <w:rPr>
                <w:sz w:val="14"/>
              </w:rPr>
              <w:t>Transfers to Held for Sale Assets</w:t>
            </w:r>
          </w:p>
        </w:tc>
        <w:tc>
          <w:tcPr>
            <w:tcW w:w="1079" w:type="dxa"/>
            <w:tcBorders>
              <w:bottom w:val="single" w:sz="1" w:space="0" w:color="000000"/>
            </w:tcBorders>
          </w:tcPr>
          <w:p>
            <w:pPr>
              <w:pStyle w:val="TableParagraph"/>
              <w:spacing w:before="20"/>
              <w:ind w:right="99"/>
              <w:jc w:val="right"/>
              <w:rPr>
                <w:sz w:val="14"/>
              </w:rPr>
            </w:pPr>
            <w:r>
              <w:rPr>
                <w:w w:val="99"/>
                <w:sz w:val="14"/>
              </w:rPr>
              <w:t>-</w:t>
            </w:r>
          </w:p>
        </w:tc>
        <w:tc>
          <w:tcPr>
            <w:tcW w:w="1077" w:type="dxa"/>
            <w:tcBorders>
              <w:bottom w:val="single" w:sz="1" w:space="0" w:color="000000"/>
            </w:tcBorders>
          </w:tcPr>
          <w:p>
            <w:pPr>
              <w:pStyle w:val="TableParagraph"/>
              <w:spacing w:before="20"/>
              <w:ind w:right="81"/>
              <w:jc w:val="right"/>
              <w:rPr>
                <w:sz w:val="14"/>
              </w:rPr>
            </w:pPr>
            <w:r>
              <w:rPr>
                <w:w w:val="95"/>
                <w:sz w:val="14"/>
              </w:rPr>
              <w:t>(5,180)</w:t>
            </w:r>
          </w:p>
        </w:tc>
        <w:tc>
          <w:tcPr>
            <w:tcW w:w="1068" w:type="dxa"/>
            <w:tcBorders>
              <w:bottom w:val="single" w:sz="1" w:space="0" w:color="000000"/>
            </w:tcBorders>
          </w:tcPr>
          <w:p>
            <w:pPr>
              <w:pStyle w:val="TableParagraph"/>
              <w:spacing w:before="20"/>
              <w:ind w:right="146"/>
              <w:jc w:val="right"/>
              <w:rPr>
                <w:sz w:val="14"/>
              </w:rPr>
            </w:pPr>
            <w:r>
              <w:rPr>
                <w:w w:val="99"/>
                <w:sz w:val="14"/>
              </w:rPr>
              <w:t>-</w:t>
            </w:r>
          </w:p>
        </w:tc>
        <w:tc>
          <w:tcPr>
            <w:tcW w:w="1004" w:type="dxa"/>
            <w:tcBorders>
              <w:bottom w:val="single" w:sz="1" w:space="0" w:color="000000"/>
            </w:tcBorders>
          </w:tcPr>
          <w:p>
            <w:pPr>
              <w:pStyle w:val="TableParagraph"/>
              <w:spacing w:before="20"/>
              <w:ind w:right="56"/>
              <w:jc w:val="right"/>
              <w:rPr>
                <w:sz w:val="14"/>
              </w:rPr>
            </w:pPr>
            <w:r>
              <w:rPr>
                <w:sz w:val="14"/>
              </w:rPr>
              <w:t>(687)</w:t>
            </w:r>
          </w:p>
        </w:tc>
        <w:tc>
          <w:tcPr>
            <w:tcW w:w="1094" w:type="dxa"/>
            <w:tcBorders>
              <w:bottom w:val="single" w:sz="1" w:space="0" w:color="000000"/>
            </w:tcBorders>
          </w:tcPr>
          <w:p>
            <w:pPr>
              <w:pStyle w:val="TableParagraph"/>
              <w:spacing w:before="20"/>
              <w:ind w:right="147"/>
              <w:jc w:val="right"/>
              <w:rPr>
                <w:sz w:val="14"/>
              </w:rPr>
            </w:pPr>
            <w:r>
              <w:rPr>
                <w:w w:val="99"/>
                <w:sz w:val="14"/>
              </w:rPr>
              <w:t>-</w:t>
            </w:r>
          </w:p>
        </w:tc>
        <w:tc>
          <w:tcPr>
            <w:tcW w:w="1013" w:type="dxa"/>
            <w:tcBorders>
              <w:bottom w:val="single" w:sz="1" w:space="0" w:color="000000"/>
            </w:tcBorders>
          </w:tcPr>
          <w:p>
            <w:pPr>
              <w:pStyle w:val="TableParagraph"/>
              <w:spacing w:before="20"/>
              <w:ind w:right="111"/>
              <w:jc w:val="right"/>
              <w:rPr>
                <w:sz w:val="14"/>
              </w:rPr>
            </w:pPr>
            <w:r>
              <w:rPr>
                <w:w w:val="99"/>
                <w:sz w:val="14"/>
              </w:rPr>
              <w:t>-</w:t>
            </w:r>
          </w:p>
        </w:tc>
        <w:tc>
          <w:tcPr>
            <w:tcW w:w="1182" w:type="dxa"/>
            <w:tcBorders>
              <w:bottom w:val="single" w:sz="1" w:space="0" w:color="000000"/>
            </w:tcBorders>
          </w:tcPr>
          <w:p>
            <w:pPr>
              <w:pStyle w:val="TableParagraph"/>
              <w:spacing w:before="20"/>
              <w:ind w:right="158"/>
              <w:jc w:val="right"/>
              <w:rPr>
                <w:sz w:val="14"/>
              </w:rPr>
            </w:pPr>
            <w:r>
              <w:rPr>
                <w:w w:val="99"/>
                <w:sz w:val="14"/>
              </w:rPr>
              <w:t>-</w:t>
            </w:r>
          </w:p>
        </w:tc>
        <w:tc>
          <w:tcPr>
            <w:tcW w:w="1084" w:type="dxa"/>
            <w:tcBorders>
              <w:bottom w:val="single" w:sz="1" w:space="0" w:color="000000"/>
            </w:tcBorders>
          </w:tcPr>
          <w:p>
            <w:pPr>
              <w:pStyle w:val="TableParagraph"/>
              <w:spacing w:before="20"/>
              <w:ind w:right="195"/>
              <w:jc w:val="right"/>
              <w:rPr>
                <w:sz w:val="14"/>
              </w:rPr>
            </w:pPr>
            <w:r>
              <w:rPr>
                <w:w w:val="99"/>
                <w:sz w:val="14"/>
              </w:rPr>
              <w:t>-</w:t>
            </w:r>
          </w:p>
        </w:tc>
        <w:tc>
          <w:tcPr>
            <w:tcW w:w="1091" w:type="dxa"/>
            <w:tcBorders>
              <w:bottom w:val="single" w:sz="1" w:space="0" w:color="000000"/>
            </w:tcBorders>
          </w:tcPr>
          <w:p>
            <w:pPr>
              <w:pStyle w:val="TableParagraph"/>
              <w:spacing w:before="20"/>
              <w:ind w:right="237"/>
              <w:jc w:val="right"/>
              <w:rPr>
                <w:sz w:val="14"/>
              </w:rPr>
            </w:pPr>
            <w:r>
              <w:rPr>
                <w:w w:val="99"/>
                <w:sz w:val="14"/>
              </w:rPr>
              <w:t>-</w:t>
            </w:r>
          </w:p>
        </w:tc>
        <w:tc>
          <w:tcPr>
            <w:tcW w:w="881" w:type="dxa"/>
            <w:tcBorders>
              <w:bottom w:val="single" w:sz="1" w:space="0" w:color="000000"/>
            </w:tcBorders>
          </w:tcPr>
          <w:p>
            <w:pPr>
              <w:pStyle w:val="TableParagraph"/>
              <w:spacing w:before="20"/>
              <w:ind w:right="24"/>
              <w:jc w:val="right"/>
              <w:rPr>
                <w:sz w:val="14"/>
              </w:rPr>
            </w:pPr>
            <w:r>
              <w:rPr>
                <w:w w:val="95"/>
                <w:sz w:val="14"/>
              </w:rPr>
              <w:t>(5,867)</w:t>
            </w:r>
          </w:p>
        </w:tc>
      </w:tr>
      <w:tr>
        <w:trPr>
          <w:trHeight w:val="293" w:hRule="exact"/>
        </w:trPr>
        <w:tc>
          <w:tcPr>
            <w:tcW w:w="3885" w:type="dxa"/>
          </w:tcPr>
          <w:p>
            <w:pPr>
              <w:pStyle w:val="TableParagraph"/>
              <w:spacing w:before="124"/>
              <w:ind w:left="35"/>
              <w:rPr>
                <w:b/>
                <w:sz w:val="14"/>
              </w:rPr>
            </w:pPr>
            <w:r>
              <w:rPr>
                <w:b/>
                <w:sz w:val="14"/>
              </w:rPr>
              <w:t>Closing Net Book Amount</w:t>
            </w:r>
          </w:p>
        </w:tc>
        <w:tc>
          <w:tcPr>
            <w:tcW w:w="1079" w:type="dxa"/>
            <w:tcBorders>
              <w:top w:val="single" w:sz="1" w:space="0" w:color="000000"/>
              <w:bottom w:val="single" w:sz="1" w:space="0" w:color="000000"/>
            </w:tcBorders>
          </w:tcPr>
          <w:p>
            <w:pPr>
              <w:pStyle w:val="TableParagraph"/>
              <w:spacing w:before="123"/>
              <w:ind w:right="99"/>
              <w:jc w:val="right"/>
              <w:rPr>
                <w:b/>
                <w:sz w:val="14"/>
              </w:rPr>
            </w:pPr>
            <w:r>
              <w:rPr>
                <w:b/>
                <w:w w:val="95"/>
                <w:sz w:val="14"/>
              </w:rPr>
              <w:t>80,951</w:t>
            </w:r>
          </w:p>
        </w:tc>
        <w:tc>
          <w:tcPr>
            <w:tcW w:w="1077" w:type="dxa"/>
            <w:tcBorders>
              <w:top w:val="single" w:sz="1" w:space="0" w:color="000000"/>
              <w:bottom w:val="single" w:sz="1" w:space="0" w:color="000000"/>
            </w:tcBorders>
          </w:tcPr>
          <w:p>
            <w:pPr>
              <w:pStyle w:val="TableParagraph"/>
              <w:spacing w:before="123"/>
              <w:ind w:right="127"/>
              <w:jc w:val="right"/>
              <w:rPr>
                <w:b/>
                <w:sz w:val="14"/>
              </w:rPr>
            </w:pPr>
            <w:r>
              <w:rPr>
                <w:b/>
                <w:w w:val="95"/>
                <w:sz w:val="14"/>
              </w:rPr>
              <w:t>306,574</w:t>
            </w:r>
          </w:p>
        </w:tc>
        <w:tc>
          <w:tcPr>
            <w:tcW w:w="1068" w:type="dxa"/>
            <w:tcBorders>
              <w:top w:val="single" w:sz="1" w:space="0" w:color="000000"/>
              <w:bottom w:val="single" w:sz="1" w:space="0" w:color="000000"/>
            </w:tcBorders>
          </w:tcPr>
          <w:p>
            <w:pPr>
              <w:pStyle w:val="TableParagraph"/>
              <w:spacing w:before="123"/>
              <w:ind w:right="147"/>
              <w:jc w:val="right"/>
              <w:rPr>
                <w:b/>
                <w:sz w:val="14"/>
              </w:rPr>
            </w:pPr>
            <w:r>
              <w:rPr>
                <w:b/>
                <w:w w:val="95"/>
                <w:sz w:val="14"/>
              </w:rPr>
              <w:t>221,740</w:t>
            </w:r>
          </w:p>
        </w:tc>
        <w:tc>
          <w:tcPr>
            <w:tcW w:w="1004" w:type="dxa"/>
            <w:tcBorders>
              <w:top w:val="single" w:sz="1" w:space="0" w:color="000000"/>
              <w:bottom w:val="single" w:sz="1" w:space="0" w:color="000000"/>
            </w:tcBorders>
          </w:tcPr>
          <w:p>
            <w:pPr>
              <w:pStyle w:val="TableParagraph"/>
              <w:spacing w:before="123"/>
              <w:ind w:right="102"/>
              <w:jc w:val="right"/>
              <w:rPr>
                <w:b/>
                <w:sz w:val="14"/>
              </w:rPr>
            </w:pPr>
            <w:r>
              <w:rPr>
                <w:b/>
                <w:w w:val="95"/>
                <w:sz w:val="14"/>
              </w:rPr>
              <w:t>981,524</w:t>
            </w:r>
          </w:p>
        </w:tc>
        <w:tc>
          <w:tcPr>
            <w:tcW w:w="1094" w:type="dxa"/>
            <w:tcBorders>
              <w:top w:val="single" w:sz="1" w:space="0" w:color="000000"/>
              <w:bottom w:val="single" w:sz="1" w:space="0" w:color="000000"/>
            </w:tcBorders>
          </w:tcPr>
          <w:p>
            <w:pPr>
              <w:pStyle w:val="TableParagraph"/>
              <w:spacing w:before="123"/>
              <w:ind w:right="148"/>
              <w:jc w:val="right"/>
              <w:rPr>
                <w:b/>
                <w:sz w:val="14"/>
              </w:rPr>
            </w:pPr>
            <w:r>
              <w:rPr>
                <w:b/>
                <w:w w:val="95"/>
                <w:sz w:val="14"/>
              </w:rPr>
              <w:t>109,035</w:t>
            </w:r>
          </w:p>
        </w:tc>
        <w:tc>
          <w:tcPr>
            <w:tcW w:w="1013" w:type="dxa"/>
            <w:tcBorders>
              <w:top w:val="single" w:sz="1" w:space="0" w:color="000000"/>
              <w:bottom w:val="single" w:sz="1" w:space="0" w:color="000000"/>
            </w:tcBorders>
          </w:tcPr>
          <w:p>
            <w:pPr>
              <w:pStyle w:val="TableParagraph"/>
              <w:spacing w:before="123"/>
              <w:ind w:right="112"/>
              <w:jc w:val="right"/>
              <w:rPr>
                <w:b/>
                <w:sz w:val="14"/>
              </w:rPr>
            </w:pPr>
            <w:r>
              <w:rPr>
                <w:b/>
                <w:w w:val="95"/>
                <w:sz w:val="14"/>
              </w:rPr>
              <w:t>63,666</w:t>
            </w:r>
          </w:p>
        </w:tc>
        <w:tc>
          <w:tcPr>
            <w:tcW w:w="1182" w:type="dxa"/>
            <w:tcBorders>
              <w:top w:val="single" w:sz="1" w:space="0" w:color="000000"/>
              <w:bottom w:val="single" w:sz="1" w:space="0" w:color="000000"/>
            </w:tcBorders>
          </w:tcPr>
          <w:p>
            <w:pPr>
              <w:pStyle w:val="TableParagraph"/>
              <w:spacing w:before="123"/>
              <w:ind w:right="158"/>
              <w:jc w:val="right"/>
              <w:rPr>
                <w:b/>
                <w:sz w:val="14"/>
              </w:rPr>
            </w:pPr>
            <w:r>
              <w:rPr>
                <w:b/>
                <w:w w:val="95"/>
                <w:sz w:val="14"/>
              </w:rPr>
              <w:t>65,333</w:t>
            </w:r>
          </w:p>
        </w:tc>
        <w:tc>
          <w:tcPr>
            <w:tcW w:w="1084" w:type="dxa"/>
            <w:tcBorders>
              <w:top w:val="single" w:sz="1" w:space="0" w:color="000000"/>
              <w:bottom w:val="single" w:sz="1" w:space="0" w:color="000000"/>
            </w:tcBorders>
          </w:tcPr>
          <w:p>
            <w:pPr>
              <w:pStyle w:val="TableParagraph"/>
              <w:spacing w:before="123"/>
              <w:ind w:right="197"/>
              <w:jc w:val="right"/>
              <w:rPr>
                <w:b/>
                <w:sz w:val="14"/>
              </w:rPr>
            </w:pPr>
            <w:r>
              <w:rPr>
                <w:b/>
                <w:sz w:val="14"/>
              </w:rPr>
              <w:t>7,845</w:t>
            </w:r>
          </w:p>
        </w:tc>
        <w:tc>
          <w:tcPr>
            <w:tcW w:w="1091" w:type="dxa"/>
            <w:tcBorders>
              <w:top w:val="single" w:sz="1" w:space="0" w:color="000000"/>
              <w:bottom w:val="single" w:sz="1" w:space="0" w:color="000000"/>
            </w:tcBorders>
          </w:tcPr>
          <w:p>
            <w:pPr>
              <w:pStyle w:val="TableParagraph"/>
              <w:spacing w:before="123"/>
              <w:ind w:right="237"/>
              <w:jc w:val="right"/>
              <w:rPr>
                <w:b/>
                <w:sz w:val="14"/>
              </w:rPr>
            </w:pPr>
            <w:r>
              <w:rPr>
                <w:b/>
                <w:sz w:val="14"/>
              </w:rPr>
              <w:t>4,410</w:t>
            </w:r>
          </w:p>
        </w:tc>
        <w:tc>
          <w:tcPr>
            <w:tcW w:w="881" w:type="dxa"/>
            <w:tcBorders>
              <w:top w:val="single" w:sz="1" w:space="0" w:color="000000"/>
              <w:bottom w:val="single" w:sz="1" w:space="0" w:color="000000"/>
            </w:tcBorders>
          </w:tcPr>
          <w:p>
            <w:pPr>
              <w:pStyle w:val="TableParagraph"/>
              <w:spacing w:before="123"/>
              <w:ind w:right="69"/>
              <w:jc w:val="right"/>
              <w:rPr>
                <w:b/>
                <w:sz w:val="14"/>
              </w:rPr>
            </w:pPr>
            <w:r>
              <w:rPr>
                <w:b/>
                <w:w w:val="95"/>
                <w:sz w:val="14"/>
              </w:rPr>
              <w:t>1,841,078</w:t>
            </w:r>
          </w:p>
        </w:tc>
      </w:tr>
      <w:tr>
        <w:trPr>
          <w:trHeight w:val="512" w:hRule="exact"/>
        </w:trPr>
        <w:tc>
          <w:tcPr>
            <w:tcW w:w="3885" w:type="dxa"/>
          </w:tcPr>
          <w:p>
            <w:pPr>
              <w:pStyle w:val="TableParagraph"/>
              <w:spacing w:before="124"/>
              <w:ind w:left="35"/>
              <w:rPr>
                <w:b/>
                <w:sz w:val="14"/>
              </w:rPr>
            </w:pPr>
            <w:r>
              <w:rPr>
                <w:b/>
                <w:sz w:val="14"/>
              </w:rPr>
              <w:t>At 31 December 2017</w:t>
            </w:r>
          </w:p>
          <w:p>
            <w:pPr>
              <w:pStyle w:val="TableParagraph"/>
              <w:spacing w:before="31"/>
              <w:ind w:left="35"/>
              <w:rPr>
                <w:sz w:val="14"/>
              </w:rPr>
            </w:pPr>
            <w:r>
              <w:rPr>
                <w:sz w:val="14"/>
              </w:rPr>
              <w:t>- Cost</w:t>
            </w:r>
          </w:p>
        </w:tc>
        <w:tc>
          <w:tcPr>
            <w:tcW w:w="1079" w:type="dxa"/>
            <w:tcBorders>
              <w:top w:val="single" w:sz="1" w:space="0" w:color="000000"/>
            </w:tcBorders>
          </w:tcPr>
          <w:p>
            <w:pPr>
              <w:pStyle w:val="TableParagraph"/>
              <w:rPr>
                <w:b/>
                <w:sz w:val="14"/>
              </w:rPr>
            </w:pPr>
          </w:p>
          <w:p>
            <w:pPr>
              <w:pStyle w:val="TableParagraph"/>
              <w:spacing w:before="2"/>
              <w:rPr>
                <w:b/>
                <w:sz w:val="13"/>
              </w:rPr>
            </w:pPr>
          </w:p>
          <w:p>
            <w:pPr>
              <w:pStyle w:val="TableParagraph"/>
              <w:ind w:right="99"/>
              <w:jc w:val="right"/>
              <w:rPr>
                <w:sz w:val="14"/>
              </w:rPr>
            </w:pPr>
            <w:r>
              <w:rPr>
                <w:w w:val="95"/>
                <w:sz w:val="14"/>
              </w:rPr>
              <w:t>80,951</w:t>
            </w:r>
          </w:p>
        </w:tc>
        <w:tc>
          <w:tcPr>
            <w:tcW w:w="1077" w:type="dxa"/>
            <w:tcBorders>
              <w:top w:val="single" w:sz="1" w:space="0" w:color="000000"/>
            </w:tcBorders>
          </w:tcPr>
          <w:p>
            <w:pPr>
              <w:pStyle w:val="TableParagraph"/>
              <w:rPr>
                <w:b/>
                <w:sz w:val="14"/>
              </w:rPr>
            </w:pPr>
          </w:p>
          <w:p>
            <w:pPr>
              <w:pStyle w:val="TableParagraph"/>
              <w:spacing w:before="2"/>
              <w:rPr>
                <w:b/>
                <w:sz w:val="13"/>
              </w:rPr>
            </w:pPr>
          </w:p>
          <w:p>
            <w:pPr>
              <w:pStyle w:val="TableParagraph"/>
              <w:ind w:right="126"/>
              <w:jc w:val="right"/>
              <w:rPr>
                <w:sz w:val="14"/>
              </w:rPr>
            </w:pPr>
            <w:r>
              <w:rPr>
                <w:w w:val="99"/>
                <w:sz w:val="14"/>
              </w:rPr>
              <w:t>-</w:t>
            </w:r>
          </w:p>
        </w:tc>
        <w:tc>
          <w:tcPr>
            <w:tcW w:w="1068" w:type="dxa"/>
            <w:tcBorders>
              <w:top w:val="single" w:sz="1" w:space="0" w:color="000000"/>
            </w:tcBorders>
          </w:tcPr>
          <w:p>
            <w:pPr>
              <w:pStyle w:val="TableParagraph"/>
              <w:rPr>
                <w:b/>
                <w:sz w:val="14"/>
              </w:rPr>
            </w:pPr>
          </w:p>
          <w:p>
            <w:pPr>
              <w:pStyle w:val="TableParagraph"/>
              <w:spacing w:before="2"/>
              <w:rPr>
                <w:b/>
                <w:sz w:val="13"/>
              </w:rPr>
            </w:pPr>
          </w:p>
          <w:p>
            <w:pPr>
              <w:pStyle w:val="TableParagraph"/>
              <w:ind w:right="146"/>
              <w:jc w:val="right"/>
              <w:rPr>
                <w:sz w:val="14"/>
              </w:rPr>
            </w:pPr>
            <w:r>
              <w:rPr>
                <w:w w:val="99"/>
                <w:sz w:val="14"/>
              </w:rPr>
              <w:t>-</w:t>
            </w:r>
          </w:p>
        </w:tc>
        <w:tc>
          <w:tcPr>
            <w:tcW w:w="100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02"/>
              <w:jc w:val="right"/>
              <w:rPr>
                <w:sz w:val="14"/>
              </w:rPr>
            </w:pPr>
            <w:r>
              <w:rPr>
                <w:sz w:val="14"/>
              </w:rPr>
              <w:t>7,576</w:t>
            </w:r>
          </w:p>
        </w:tc>
        <w:tc>
          <w:tcPr>
            <w:tcW w:w="109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48"/>
              <w:jc w:val="right"/>
              <w:rPr>
                <w:sz w:val="14"/>
              </w:rPr>
            </w:pPr>
            <w:r>
              <w:rPr>
                <w:sz w:val="14"/>
              </w:rPr>
              <w:t>18</w:t>
            </w:r>
          </w:p>
        </w:tc>
        <w:tc>
          <w:tcPr>
            <w:tcW w:w="1013" w:type="dxa"/>
            <w:tcBorders>
              <w:top w:val="single" w:sz="1" w:space="0" w:color="000000"/>
            </w:tcBorders>
          </w:tcPr>
          <w:p>
            <w:pPr>
              <w:pStyle w:val="TableParagraph"/>
              <w:rPr>
                <w:b/>
                <w:sz w:val="14"/>
              </w:rPr>
            </w:pPr>
          </w:p>
          <w:p>
            <w:pPr>
              <w:pStyle w:val="TableParagraph"/>
              <w:spacing w:before="2"/>
              <w:rPr>
                <w:b/>
                <w:sz w:val="13"/>
              </w:rPr>
            </w:pPr>
          </w:p>
          <w:p>
            <w:pPr>
              <w:pStyle w:val="TableParagraph"/>
              <w:ind w:right="112"/>
              <w:jc w:val="right"/>
              <w:rPr>
                <w:sz w:val="14"/>
              </w:rPr>
            </w:pPr>
            <w:r>
              <w:rPr>
                <w:w w:val="95"/>
                <w:sz w:val="14"/>
              </w:rPr>
              <w:t>147,465</w:t>
            </w:r>
          </w:p>
        </w:tc>
        <w:tc>
          <w:tcPr>
            <w:tcW w:w="1182" w:type="dxa"/>
            <w:tcBorders>
              <w:top w:val="single" w:sz="1" w:space="0" w:color="000000"/>
            </w:tcBorders>
          </w:tcPr>
          <w:p>
            <w:pPr>
              <w:pStyle w:val="TableParagraph"/>
              <w:rPr>
                <w:b/>
                <w:sz w:val="14"/>
              </w:rPr>
            </w:pPr>
          </w:p>
          <w:p>
            <w:pPr>
              <w:pStyle w:val="TableParagraph"/>
              <w:spacing w:before="2"/>
              <w:rPr>
                <w:b/>
                <w:sz w:val="13"/>
              </w:rPr>
            </w:pPr>
          </w:p>
          <w:p>
            <w:pPr>
              <w:pStyle w:val="TableParagraph"/>
              <w:ind w:right="158"/>
              <w:jc w:val="right"/>
              <w:rPr>
                <w:sz w:val="14"/>
              </w:rPr>
            </w:pPr>
            <w:r>
              <w:rPr>
                <w:w w:val="95"/>
                <w:sz w:val="14"/>
              </w:rPr>
              <w:t>82,283</w:t>
            </w:r>
          </w:p>
        </w:tc>
        <w:tc>
          <w:tcPr>
            <w:tcW w:w="108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96"/>
              <w:jc w:val="right"/>
              <w:rPr>
                <w:sz w:val="14"/>
              </w:rPr>
            </w:pPr>
            <w:r>
              <w:rPr>
                <w:w w:val="95"/>
                <w:sz w:val="14"/>
              </w:rPr>
              <w:t>77,877</w:t>
            </w:r>
          </w:p>
        </w:tc>
        <w:tc>
          <w:tcPr>
            <w:tcW w:w="1091" w:type="dxa"/>
            <w:tcBorders>
              <w:top w:val="single" w:sz="1" w:space="0" w:color="000000"/>
            </w:tcBorders>
          </w:tcPr>
          <w:p>
            <w:pPr>
              <w:pStyle w:val="TableParagraph"/>
              <w:rPr>
                <w:b/>
                <w:sz w:val="14"/>
              </w:rPr>
            </w:pPr>
          </w:p>
          <w:p>
            <w:pPr>
              <w:pStyle w:val="TableParagraph"/>
              <w:spacing w:before="2"/>
              <w:rPr>
                <w:b/>
                <w:sz w:val="13"/>
              </w:rPr>
            </w:pPr>
          </w:p>
          <w:p>
            <w:pPr>
              <w:pStyle w:val="TableParagraph"/>
              <w:ind w:right="237"/>
              <w:jc w:val="right"/>
              <w:rPr>
                <w:sz w:val="14"/>
              </w:rPr>
            </w:pPr>
            <w:r>
              <w:rPr>
                <w:w w:val="99"/>
                <w:sz w:val="14"/>
              </w:rPr>
              <w:t>-</w:t>
            </w:r>
          </w:p>
        </w:tc>
        <w:tc>
          <w:tcPr>
            <w:tcW w:w="881" w:type="dxa"/>
            <w:tcBorders>
              <w:top w:val="single" w:sz="1" w:space="0" w:color="000000"/>
            </w:tcBorders>
          </w:tcPr>
          <w:p>
            <w:pPr>
              <w:pStyle w:val="TableParagraph"/>
              <w:rPr>
                <w:b/>
                <w:sz w:val="14"/>
              </w:rPr>
            </w:pPr>
          </w:p>
          <w:p>
            <w:pPr>
              <w:pStyle w:val="TableParagraph"/>
              <w:spacing w:before="2"/>
              <w:rPr>
                <w:b/>
                <w:sz w:val="13"/>
              </w:rPr>
            </w:pPr>
          </w:p>
          <w:p>
            <w:pPr>
              <w:pStyle w:val="TableParagraph"/>
              <w:ind w:right="70"/>
              <w:jc w:val="right"/>
              <w:rPr>
                <w:sz w:val="14"/>
              </w:rPr>
            </w:pPr>
            <w:r>
              <w:rPr>
                <w:w w:val="95"/>
                <w:sz w:val="14"/>
              </w:rPr>
              <w:t>396,170</w:t>
            </w:r>
          </w:p>
        </w:tc>
      </w:tr>
      <w:tr>
        <w:trPr>
          <w:trHeight w:val="218" w:hRule="exact"/>
        </w:trPr>
        <w:tc>
          <w:tcPr>
            <w:tcW w:w="3885" w:type="dxa"/>
          </w:tcPr>
          <w:p>
            <w:pPr>
              <w:pStyle w:val="TableParagraph"/>
              <w:spacing w:before="22"/>
              <w:ind w:left="35"/>
              <w:rPr>
                <w:sz w:val="14"/>
              </w:rPr>
            </w:pPr>
            <w:r>
              <w:rPr>
                <w:sz w:val="14"/>
              </w:rPr>
              <w:t>- Valuation</w:t>
            </w:r>
          </w:p>
        </w:tc>
        <w:tc>
          <w:tcPr>
            <w:tcW w:w="1079" w:type="dxa"/>
          </w:tcPr>
          <w:p>
            <w:pPr>
              <w:pStyle w:val="TableParagraph"/>
              <w:spacing w:before="20"/>
              <w:ind w:right="99"/>
              <w:jc w:val="right"/>
              <w:rPr>
                <w:sz w:val="14"/>
              </w:rPr>
            </w:pPr>
            <w:r>
              <w:rPr>
                <w:w w:val="99"/>
                <w:sz w:val="14"/>
              </w:rPr>
              <w:t>-</w:t>
            </w:r>
          </w:p>
        </w:tc>
        <w:tc>
          <w:tcPr>
            <w:tcW w:w="1077" w:type="dxa"/>
          </w:tcPr>
          <w:p>
            <w:pPr>
              <w:pStyle w:val="TableParagraph"/>
              <w:spacing w:before="20"/>
              <w:ind w:right="127"/>
              <w:jc w:val="right"/>
              <w:rPr>
                <w:sz w:val="14"/>
              </w:rPr>
            </w:pPr>
            <w:r>
              <w:rPr>
                <w:w w:val="95"/>
                <w:sz w:val="14"/>
              </w:rPr>
              <w:t>306,574</w:t>
            </w:r>
          </w:p>
        </w:tc>
        <w:tc>
          <w:tcPr>
            <w:tcW w:w="1068" w:type="dxa"/>
          </w:tcPr>
          <w:p>
            <w:pPr>
              <w:pStyle w:val="TableParagraph"/>
              <w:spacing w:before="20"/>
              <w:ind w:right="147"/>
              <w:jc w:val="right"/>
              <w:rPr>
                <w:sz w:val="14"/>
              </w:rPr>
            </w:pPr>
            <w:r>
              <w:rPr>
                <w:w w:val="95"/>
                <w:sz w:val="14"/>
              </w:rPr>
              <w:t>221,740</w:t>
            </w:r>
          </w:p>
        </w:tc>
        <w:tc>
          <w:tcPr>
            <w:tcW w:w="1004" w:type="dxa"/>
          </w:tcPr>
          <w:p>
            <w:pPr>
              <w:pStyle w:val="TableParagraph"/>
              <w:spacing w:before="20"/>
              <w:ind w:right="102"/>
              <w:jc w:val="right"/>
              <w:rPr>
                <w:sz w:val="14"/>
              </w:rPr>
            </w:pPr>
            <w:r>
              <w:rPr>
                <w:w w:val="95"/>
                <w:sz w:val="14"/>
              </w:rPr>
              <w:t>983,669</w:t>
            </w:r>
          </w:p>
        </w:tc>
        <w:tc>
          <w:tcPr>
            <w:tcW w:w="1094" w:type="dxa"/>
          </w:tcPr>
          <w:p>
            <w:pPr>
              <w:pStyle w:val="TableParagraph"/>
              <w:spacing w:before="20"/>
              <w:ind w:right="148"/>
              <w:jc w:val="right"/>
              <w:rPr>
                <w:sz w:val="14"/>
              </w:rPr>
            </w:pPr>
            <w:r>
              <w:rPr>
                <w:w w:val="95"/>
                <w:sz w:val="14"/>
              </w:rPr>
              <w:t>110,808</w:t>
            </w:r>
          </w:p>
        </w:tc>
        <w:tc>
          <w:tcPr>
            <w:tcW w:w="1013" w:type="dxa"/>
          </w:tcPr>
          <w:p>
            <w:pPr>
              <w:pStyle w:val="TableParagraph"/>
              <w:spacing w:before="20"/>
              <w:ind w:right="111"/>
              <w:jc w:val="right"/>
              <w:rPr>
                <w:sz w:val="14"/>
              </w:rPr>
            </w:pPr>
            <w:r>
              <w:rPr>
                <w:w w:val="99"/>
                <w:sz w:val="14"/>
              </w:rPr>
              <w:t>-</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97"/>
              <w:jc w:val="right"/>
              <w:rPr>
                <w:sz w:val="14"/>
              </w:rPr>
            </w:pPr>
            <w:r>
              <w:rPr>
                <w:sz w:val="14"/>
              </w:rPr>
              <w:t>1,742</w:t>
            </w:r>
          </w:p>
        </w:tc>
        <w:tc>
          <w:tcPr>
            <w:tcW w:w="1091" w:type="dxa"/>
          </w:tcPr>
          <w:p>
            <w:pPr>
              <w:pStyle w:val="TableParagraph"/>
              <w:spacing w:before="20"/>
              <w:ind w:right="237"/>
              <w:jc w:val="right"/>
              <w:rPr>
                <w:sz w:val="14"/>
              </w:rPr>
            </w:pPr>
            <w:r>
              <w:rPr>
                <w:sz w:val="14"/>
              </w:rPr>
              <w:t>4,410</w:t>
            </w:r>
          </w:p>
        </w:tc>
        <w:tc>
          <w:tcPr>
            <w:tcW w:w="881" w:type="dxa"/>
          </w:tcPr>
          <w:p>
            <w:pPr>
              <w:pStyle w:val="TableParagraph"/>
              <w:spacing w:before="20"/>
              <w:ind w:right="69"/>
              <w:jc w:val="right"/>
              <w:rPr>
                <w:sz w:val="14"/>
              </w:rPr>
            </w:pPr>
            <w:r>
              <w:rPr>
                <w:w w:val="95"/>
                <w:sz w:val="14"/>
              </w:rPr>
              <w:t>1,628,943</w:t>
            </w:r>
          </w:p>
        </w:tc>
      </w:tr>
      <w:tr>
        <w:trPr>
          <w:trHeight w:val="217" w:hRule="exact"/>
        </w:trPr>
        <w:tc>
          <w:tcPr>
            <w:tcW w:w="3885" w:type="dxa"/>
          </w:tcPr>
          <w:p>
            <w:pPr>
              <w:pStyle w:val="TableParagraph"/>
              <w:spacing w:before="22"/>
              <w:ind w:left="35"/>
              <w:rPr>
                <w:sz w:val="14"/>
              </w:rPr>
            </w:pPr>
            <w:r>
              <w:rPr>
                <w:sz w:val="14"/>
              </w:rPr>
              <w:t>Accumulated depreciation and impairment</w:t>
            </w:r>
          </w:p>
        </w:tc>
        <w:tc>
          <w:tcPr>
            <w:tcW w:w="1079" w:type="dxa"/>
            <w:tcBorders>
              <w:bottom w:val="single" w:sz="1" w:space="0" w:color="000000"/>
            </w:tcBorders>
          </w:tcPr>
          <w:p>
            <w:pPr>
              <w:pStyle w:val="TableParagraph"/>
              <w:spacing w:before="20"/>
              <w:ind w:right="99"/>
              <w:jc w:val="right"/>
              <w:rPr>
                <w:sz w:val="14"/>
              </w:rPr>
            </w:pPr>
            <w:r>
              <w:rPr>
                <w:w w:val="99"/>
                <w:sz w:val="14"/>
              </w:rPr>
              <w:t>-</w:t>
            </w:r>
          </w:p>
        </w:tc>
        <w:tc>
          <w:tcPr>
            <w:tcW w:w="1077" w:type="dxa"/>
            <w:tcBorders>
              <w:bottom w:val="single" w:sz="1" w:space="0" w:color="000000"/>
            </w:tcBorders>
          </w:tcPr>
          <w:p>
            <w:pPr>
              <w:pStyle w:val="TableParagraph"/>
              <w:spacing w:before="20"/>
              <w:ind w:right="126"/>
              <w:jc w:val="right"/>
              <w:rPr>
                <w:sz w:val="14"/>
              </w:rPr>
            </w:pPr>
            <w:r>
              <w:rPr>
                <w:w w:val="99"/>
                <w:sz w:val="14"/>
              </w:rPr>
              <w:t>-</w:t>
            </w:r>
          </w:p>
        </w:tc>
        <w:tc>
          <w:tcPr>
            <w:tcW w:w="1068" w:type="dxa"/>
            <w:tcBorders>
              <w:bottom w:val="single" w:sz="1" w:space="0" w:color="000000"/>
            </w:tcBorders>
          </w:tcPr>
          <w:p>
            <w:pPr>
              <w:pStyle w:val="TableParagraph"/>
              <w:spacing w:before="20"/>
              <w:ind w:right="146"/>
              <w:jc w:val="right"/>
              <w:rPr>
                <w:sz w:val="14"/>
              </w:rPr>
            </w:pPr>
            <w:r>
              <w:rPr>
                <w:w w:val="99"/>
                <w:sz w:val="14"/>
              </w:rPr>
              <w:t>-</w:t>
            </w:r>
          </w:p>
        </w:tc>
        <w:tc>
          <w:tcPr>
            <w:tcW w:w="1004" w:type="dxa"/>
            <w:tcBorders>
              <w:bottom w:val="single" w:sz="1" w:space="0" w:color="000000"/>
            </w:tcBorders>
          </w:tcPr>
          <w:p>
            <w:pPr>
              <w:pStyle w:val="TableParagraph"/>
              <w:spacing w:before="20"/>
              <w:ind w:right="56"/>
              <w:jc w:val="right"/>
              <w:rPr>
                <w:sz w:val="14"/>
              </w:rPr>
            </w:pPr>
            <w:r>
              <w:rPr>
                <w:w w:val="95"/>
                <w:sz w:val="14"/>
              </w:rPr>
              <w:t>(9,721)</w:t>
            </w:r>
          </w:p>
        </w:tc>
        <w:tc>
          <w:tcPr>
            <w:tcW w:w="1094" w:type="dxa"/>
            <w:tcBorders>
              <w:bottom w:val="single" w:sz="1" w:space="0" w:color="000000"/>
            </w:tcBorders>
          </w:tcPr>
          <w:p>
            <w:pPr>
              <w:pStyle w:val="TableParagraph"/>
              <w:spacing w:before="20"/>
              <w:ind w:right="102"/>
              <w:jc w:val="right"/>
              <w:rPr>
                <w:sz w:val="14"/>
              </w:rPr>
            </w:pPr>
            <w:r>
              <w:rPr>
                <w:w w:val="95"/>
                <w:sz w:val="14"/>
              </w:rPr>
              <w:t>(1,791)</w:t>
            </w:r>
          </w:p>
        </w:tc>
        <w:tc>
          <w:tcPr>
            <w:tcW w:w="1013" w:type="dxa"/>
            <w:tcBorders>
              <w:bottom w:val="single" w:sz="1" w:space="0" w:color="000000"/>
            </w:tcBorders>
          </w:tcPr>
          <w:p>
            <w:pPr>
              <w:pStyle w:val="TableParagraph"/>
              <w:spacing w:before="20"/>
              <w:ind w:right="66"/>
              <w:jc w:val="right"/>
              <w:rPr>
                <w:sz w:val="14"/>
              </w:rPr>
            </w:pPr>
            <w:r>
              <w:rPr>
                <w:w w:val="95"/>
                <w:sz w:val="14"/>
              </w:rPr>
              <w:t>(83,799)</w:t>
            </w:r>
          </w:p>
        </w:tc>
        <w:tc>
          <w:tcPr>
            <w:tcW w:w="1182" w:type="dxa"/>
            <w:tcBorders>
              <w:bottom w:val="single" w:sz="1" w:space="0" w:color="000000"/>
            </w:tcBorders>
          </w:tcPr>
          <w:p>
            <w:pPr>
              <w:pStyle w:val="TableParagraph"/>
              <w:spacing w:before="20"/>
              <w:ind w:right="113"/>
              <w:jc w:val="right"/>
              <w:rPr>
                <w:sz w:val="14"/>
              </w:rPr>
            </w:pPr>
            <w:r>
              <w:rPr>
                <w:w w:val="95"/>
                <w:sz w:val="14"/>
              </w:rPr>
              <w:t>(16,950)</w:t>
            </w:r>
          </w:p>
        </w:tc>
        <w:tc>
          <w:tcPr>
            <w:tcW w:w="1084" w:type="dxa"/>
            <w:tcBorders>
              <w:bottom w:val="single" w:sz="1" w:space="0" w:color="000000"/>
            </w:tcBorders>
          </w:tcPr>
          <w:p>
            <w:pPr>
              <w:pStyle w:val="TableParagraph"/>
              <w:spacing w:before="20"/>
              <w:ind w:right="150"/>
              <w:jc w:val="right"/>
              <w:rPr>
                <w:sz w:val="14"/>
              </w:rPr>
            </w:pPr>
            <w:r>
              <w:rPr>
                <w:w w:val="95"/>
                <w:sz w:val="14"/>
              </w:rPr>
              <w:t>(71,774)</w:t>
            </w:r>
          </w:p>
        </w:tc>
        <w:tc>
          <w:tcPr>
            <w:tcW w:w="1091" w:type="dxa"/>
            <w:tcBorders>
              <w:bottom w:val="single" w:sz="1" w:space="0" w:color="000000"/>
            </w:tcBorders>
          </w:tcPr>
          <w:p>
            <w:pPr>
              <w:pStyle w:val="TableParagraph"/>
              <w:spacing w:before="20"/>
              <w:ind w:right="237"/>
              <w:jc w:val="right"/>
              <w:rPr>
                <w:sz w:val="14"/>
              </w:rPr>
            </w:pPr>
            <w:r>
              <w:rPr>
                <w:w w:val="99"/>
                <w:sz w:val="14"/>
              </w:rPr>
              <w:t>-</w:t>
            </w:r>
          </w:p>
        </w:tc>
        <w:tc>
          <w:tcPr>
            <w:tcW w:w="881" w:type="dxa"/>
            <w:tcBorders>
              <w:bottom w:val="single" w:sz="1" w:space="0" w:color="000000"/>
            </w:tcBorders>
          </w:tcPr>
          <w:p>
            <w:pPr>
              <w:pStyle w:val="TableParagraph"/>
              <w:spacing w:before="20"/>
              <w:ind w:right="24"/>
              <w:jc w:val="right"/>
              <w:rPr>
                <w:sz w:val="14"/>
              </w:rPr>
            </w:pPr>
            <w:r>
              <w:rPr>
                <w:w w:val="95"/>
                <w:sz w:val="14"/>
              </w:rPr>
              <w:t>(184,035)</w:t>
            </w:r>
          </w:p>
        </w:tc>
      </w:tr>
      <w:tr>
        <w:trPr>
          <w:trHeight w:val="307" w:hRule="exact"/>
        </w:trPr>
        <w:tc>
          <w:tcPr>
            <w:tcW w:w="3885" w:type="dxa"/>
          </w:tcPr>
          <w:p>
            <w:pPr>
              <w:pStyle w:val="TableParagraph"/>
              <w:spacing w:before="124"/>
              <w:ind w:left="35"/>
              <w:rPr>
                <w:b/>
                <w:sz w:val="14"/>
              </w:rPr>
            </w:pPr>
            <w:r>
              <w:rPr>
                <w:b/>
                <w:sz w:val="14"/>
              </w:rPr>
              <w:t>Net Book Amount</w:t>
            </w:r>
          </w:p>
        </w:tc>
        <w:tc>
          <w:tcPr>
            <w:tcW w:w="1079" w:type="dxa"/>
            <w:tcBorders>
              <w:top w:val="single" w:sz="1" w:space="0" w:color="000000"/>
              <w:bottom w:val="single" w:sz="1" w:space="0" w:color="000000"/>
            </w:tcBorders>
          </w:tcPr>
          <w:p>
            <w:pPr>
              <w:pStyle w:val="TableParagraph"/>
              <w:spacing w:before="123"/>
              <w:ind w:right="99"/>
              <w:jc w:val="right"/>
              <w:rPr>
                <w:b/>
                <w:sz w:val="14"/>
              </w:rPr>
            </w:pPr>
            <w:r>
              <w:rPr>
                <w:b/>
                <w:w w:val="95"/>
                <w:sz w:val="14"/>
              </w:rPr>
              <w:t>80,951</w:t>
            </w:r>
          </w:p>
        </w:tc>
        <w:tc>
          <w:tcPr>
            <w:tcW w:w="1077" w:type="dxa"/>
            <w:tcBorders>
              <w:top w:val="single" w:sz="1" w:space="0" w:color="000000"/>
              <w:bottom w:val="single" w:sz="1" w:space="0" w:color="000000"/>
            </w:tcBorders>
          </w:tcPr>
          <w:p>
            <w:pPr>
              <w:pStyle w:val="TableParagraph"/>
              <w:spacing w:before="123"/>
              <w:ind w:right="127"/>
              <w:jc w:val="right"/>
              <w:rPr>
                <w:b/>
                <w:sz w:val="14"/>
              </w:rPr>
            </w:pPr>
            <w:r>
              <w:rPr>
                <w:b/>
                <w:w w:val="95"/>
                <w:sz w:val="14"/>
              </w:rPr>
              <w:t>306,574</w:t>
            </w:r>
          </w:p>
        </w:tc>
        <w:tc>
          <w:tcPr>
            <w:tcW w:w="1068" w:type="dxa"/>
            <w:tcBorders>
              <w:top w:val="single" w:sz="1" w:space="0" w:color="000000"/>
              <w:bottom w:val="single" w:sz="1" w:space="0" w:color="000000"/>
            </w:tcBorders>
          </w:tcPr>
          <w:p>
            <w:pPr>
              <w:pStyle w:val="TableParagraph"/>
              <w:spacing w:before="123"/>
              <w:ind w:right="147"/>
              <w:jc w:val="right"/>
              <w:rPr>
                <w:b/>
                <w:sz w:val="14"/>
              </w:rPr>
            </w:pPr>
            <w:r>
              <w:rPr>
                <w:b/>
                <w:w w:val="95"/>
                <w:sz w:val="14"/>
              </w:rPr>
              <w:t>221,740</w:t>
            </w:r>
          </w:p>
        </w:tc>
        <w:tc>
          <w:tcPr>
            <w:tcW w:w="1004" w:type="dxa"/>
            <w:tcBorders>
              <w:top w:val="single" w:sz="1" w:space="0" w:color="000000"/>
              <w:bottom w:val="single" w:sz="1" w:space="0" w:color="000000"/>
            </w:tcBorders>
          </w:tcPr>
          <w:p>
            <w:pPr>
              <w:pStyle w:val="TableParagraph"/>
              <w:spacing w:before="123"/>
              <w:ind w:right="102"/>
              <w:jc w:val="right"/>
              <w:rPr>
                <w:b/>
                <w:sz w:val="14"/>
              </w:rPr>
            </w:pPr>
            <w:r>
              <w:rPr>
                <w:b/>
                <w:w w:val="95"/>
                <w:sz w:val="14"/>
              </w:rPr>
              <w:t>981,524</w:t>
            </w:r>
          </w:p>
        </w:tc>
        <w:tc>
          <w:tcPr>
            <w:tcW w:w="1094" w:type="dxa"/>
            <w:tcBorders>
              <w:top w:val="single" w:sz="1" w:space="0" w:color="000000"/>
              <w:bottom w:val="single" w:sz="1" w:space="0" w:color="000000"/>
            </w:tcBorders>
          </w:tcPr>
          <w:p>
            <w:pPr>
              <w:pStyle w:val="TableParagraph"/>
              <w:spacing w:before="123"/>
              <w:ind w:right="148"/>
              <w:jc w:val="right"/>
              <w:rPr>
                <w:b/>
                <w:sz w:val="14"/>
              </w:rPr>
            </w:pPr>
            <w:r>
              <w:rPr>
                <w:b/>
                <w:w w:val="95"/>
                <w:sz w:val="14"/>
              </w:rPr>
              <w:t>109,035</w:t>
            </w:r>
          </w:p>
        </w:tc>
        <w:tc>
          <w:tcPr>
            <w:tcW w:w="1013" w:type="dxa"/>
            <w:tcBorders>
              <w:top w:val="single" w:sz="1" w:space="0" w:color="000000"/>
              <w:bottom w:val="single" w:sz="1" w:space="0" w:color="000000"/>
            </w:tcBorders>
          </w:tcPr>
          <w:p>
            <w:pPr>
              <w:pStyle w:val="TableParagraph"/>
              <w:spacing w:before="123"/>
              <w:ind w:right="112"/>
              <w:jc w:val="right"/>
              <w:rPr>
                <w:b/>
                <w:sz w:val="14"/>
              </w:rPr>
            </w:pPr>
            <w:r>
              <w:rPr>
                <w:b/>
                <w:w w:val="95"/>
                <w:sz w:val="14"/>
              </w:rPr>
              <w:t>63,666</w:t>
            </w:r>
          </w:p>
        </w:tc>
        <w:tc>
          <w:tcPr>
            <w:tcW w:w="1182" w:type="dxa"/>
            <w:tcBorders>
              <w:top w:val="single" w:sz="1" w:space="0" w:color="000000"/>
              <w:bottom w:val="single" w:sz="1" w:space="0" w:color="000000"/>
            </w:tcBorders>
          </w:tcPr>
          <w:p>
            <w:pPr>
              <w:pStyle w:val="TableParagraph"/>
              <w:spacing w:before="123"/>
              <w:ind w:right="158"/>
              <w:jc w:val="right"/>
              <w:rPr>
                <w:b/>
                <w:sz w:val="14"/>
              </w:rPr>
            </w:pPr>
            <w:r>
              <w:rPr>
                <w:b/>
                <w:w w:val="95"/>
                <w:sz w:val="14"/>
              </w:rPr>
              <w:t>65,333</w:t>
            </w:r>
          </w:p>
        </w:tc>
        <w:tc>
          <w:tcPr>
            <w:tcW w:w="1084" w:type="dxa"/>
            <w:tcBorders>
              <w:top w:val="single" w:sz="1" w:space="0" w:color="000000"/>
              <w:bottom w:val="single" w:sz="1" w:space="0" w:color="000000"/>
            </w:tcBorders>
          </w:tcPr>
          <w:p>
            <w:pPr>
              <w:pStyle w:val="TableParagraph"/>
              <w:spacing w:before="123"/>
              <w:ind w:right="197"/>
              <w:jc w:val="right"/>
              <w:rPr>
                <w:b/>
                <w:sz w:val="14"/>
              </w:rPr>
            </w:pPr>
            <w:r>
              <w:rPr>
                <w:b/>
                <w:sz w:val="14"/>
              </w:rPr>
              <w:t>7,845</w:t>
            </w:r>
          </w:p>
        </w:tc>
        <w:tc>
          <w:tcPr>
            <w:tcW w:w="1091" w:type="dxa"/>
            <w:tcBorders>
              <w:top w:val="single" w:sz="1" w:space="0" w:color="000000"/>
              <w:bottom w:val="single" w:sz="1" w:space="0" w:color="000000"/>
            </w:tcBorders>
          </w:tcPr>
          <w:p>
            <w:pPr>
              <w:pStyle w:val="TableParagraph"/>
              <w:spacing w:before="123"/>
              <w:ind w:right="237"/>
              <w:jc w:val="right"/>
              <w:rPr>
                <w:b/>
                <w:sz w:val="14"/>
              </w:rPr>
            </w:pPr>
            <w:r>
              <w:rPr>
                <w:b/>
                <w:sz w:val="14"/>
              </w:rPr>
              <w:t>4,410</w:t>
            </w:r>
          </w:p>
        </w:tc>
        <w:tc>
          <w:tcPr>
            <w:tcW w:w="881" w:type="dxa"/>
            <w:tcBorders>
              <w:top w:val="single" w:sz="1" w:space="0" w:color="000000"/>
              <w:bottom w:val="single" w:sz="1" w:space="0" w:color="000000"/>
            </w:tcBorders>
          </w:tcPr>
          <w:p>
            <w:pPr>
              <w:pStyle w:val="TableParagraph"/>
              <w:spacing w:before="123"/>
              <w:ind w:right="69"/>
              <w:jc w:val="right"/>
              <w:rPr>
                <w:b/>
                <w:sz w:val="14"/>
              </w:rPr>
            </w:pPr>
            <w:r>
              <w:rPr>
                <w:b/>
                <w:w w:val="95"/>
                <w:sz w:val="14"/>
              </w:rPr>
              <w:t>1,841,078</w:t>
            </w:r>
          </w:p>
        </w:tc>
      </w:tr>
    </w:tbl>
    <w:p>
      <w:pPr>
        <w:spacing w:after="0"/>
        <w:jc w:val="right"/>
        <w:rPr>
          <w:sz w:val="14"/>
        </w:rPr>
        <w:sectPr>
          <w:pgSz w:w="16840" w:h="11910" w:orient="landscape"/>
          <w:pgMar w:header="1037" w:footer="507" w:top="2220" w:bottom="700" w:left="900" w:right="860"/>
        </w:sectPr>
      </w:pPr>
    </w:p>
    <w:p>
      <w:pPr>
        <w:pStyle w:val="BodyText"/>
        <w:rPr>
          <w:b/>
          <w:sz w:val="20"/>
        </w:rPr>
      </w:pPr>
    </w:p>
    <w:p>
      <w:pPr>
        <w:pStyle w:val="BodyText"/>
        <w:rPr>
          <w:b/>
          <w:sz w:val="20"/>
        </w:rPr>
      </w:pPr>
    </w:p>
    <w:p>
      <w:pPr>
        <w:pStyle w:val="BodyText"/>
        <w:spacing w:before="5"/>
        <w:rPr>
          <w:b/>
        </w:rPr>
      </w:pPr>
    </w:p>
    <w:p>
      <w:pPr>
        <w:tabs>
          <w:tab w:pos="1070" w:val="left" w:leader="none"/>
        </w:tabs>
        <w:spacing w:before="0" w:after="36"/>
        <w:ind w:left="504" w:right="0" w:firstLine="0"/>
        <w:jc w:val="left"/>
        <w:rPr>
          <w:b/>
          <w:sz w:val="18"/>
        </w:rPr>
      </w:pPr>
      <w:r>
        <w:rPr>
          <w:b/>
          <w:sz w:val="18"/>
        </w:rPr>
        <w:t>21</w:t>
        <w:tab/>
        <w:t>Property, plant and equipment</w:t>
      </w:r>
      <w:r>
        <w:rPr>
          <w:b/>
          <w:spacing w:val="-9"/>
          <w:sz w:val="18"/>
        </w:rPr>
        <w:t> </w:t>
      </w:r>
      <w:r>
        <w:rPr>
          <w:b/>
          <w:sz w:val="18"/>
        </w:rPr>
        <w:t>(continued)</w:t>
      </w:r>
    </w:p>
    <w:tbl>
      <w:tblPr>
        <w:tblW w:w="0" w:type="auto"/>
        <w:jc w:val="left"/>
        <w:tblInd w:w="5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85"/>
        <w:gridCol w:w="1079"/>
        <w:gridCol w:w="1077"/>
        <w:gridCol w:w="1068"/>
        <w:gridCol w:w="1004"/>
        <w:gridCol w:w="1094"/>
        <w:gridCol w:w="1013"/>
        <w:gridCol w:w="1182"/>
        <w:gridCol w:w="1084"/>
        <w:gridCol w:w="1068"/>
        <w:gridCol w:w="903"/>
      </w:tblGrid>
      <w:tr>
        <w:trPr>
          <w:trHeight w:val="359" w:hRule="exact"/>
        </w:trPr>
        <w:tc>
          <w:tcPr>
            <w:tcW w:w="6040" w:type="dxa"/>
            <w:gridSpan w:val="3"/>
          </w:tcPr>
          <w:p>
            <w:pPr>
              <w:pStyle w:val="TableParagraph"/>
              <w:spacing w:line="157" w:lineRule="exact"/>
              <w:ind w:left="3995"/>
              <w:rPr>
                <w:b/>
                <w:sz w:val="14"/>
              </w:rPr>
            </w:pPr>
            <w:r>
              <w:rPr>
                <w:b/>
                <w:sz w:val="14"/>
              </w:rPr>
              <w:t>Construction</w:t>
            </w:r>
          </w:p>
          <w:p>
            <w:pPr>
              <w:pStyle w:val="TableParagraph"/>
              <w:ind w:right="88"/>
              <w:jc w:val="right"/>
              <w:rPr>
                <w:b/>
                <w:sz w:val="14"/>
              </w:rPr>
            </w:pPr>
            <w:r>
              <w:rPr>
                <w:b/>
                <w:sz w:val="14"/>
              </w:rPr>
              <w:t>in Progress    Freehold Land</w:t>
            </w:r>
          </w:p>
        </w:tc>
        <w:tc>
          <w:tcPr>
            <w:tcW w:w="1068" w:type="dxa"/>
          </w:tcPr>
          <w:p>
            <w:pPr>
              <w:pStyle w:val="TableParagraph"/>
              <w:spacing w:before="7"/>
              <w:rPr>
                <w:b/>
                <w:sz w:val="13"/>
              </w:rPr>
            </w:pPr>
          </w:p>
          <w:p>
            <w:pPr>
              <w:pStyle w:val="TableParagraph"/>
              <w:ind w:right="182"/>
              <w:jc w:val="right"/>
              <w:rPr>
                <w:b/>
                <w:sz w:val="14"/>
              </w:rPr>
            </w:pPr>
            <w:r>
              <w:rPr>
                <w:b/>
                <w:sz w:val="14"/>
              </w:rPr>
              <w:t>Crown Land</w:t>
            </w:r>
          </w:p>
        </w:tc>
        <w:tc>
          <w:tcPr>
            <w:tcW w:w="1004" w:type="dxa"/>
          </w:tcPr>
          <w:p>
            <w:pPr>
              <w:pStyle w:val="TableParagraph"/>
              <w:spacing w:before="7"/>
              <w:rPr>
                <w:b/>
                <w:sz w:val="13"/>
              </w:rPr>
            </w:pPr>
          </w:p>
          <w:p>
            <w:pPr>
              <w:pStyle w:val="TableParagraph"/>
              <w:ind w:left="148"/>
              <w:rPr>
                <w:b/>
                <w:sz w:val="14"/>
              </w:rPr>
            </w:pPr>
            <w:r>
              <w:rPr>
                <w:b/>
                <w:sz w:val="14"/>
              </w:rPr>
              <w:t>Buildings</w:t>
            </w:r>
          </w:p>
        </w:tc>
        <w:tc>
          <w:tcPr>
            <w:tcW w:w="1094" w:type="dxa"/>
          </w:tcPr>
          <w:p>
            <w:pPr>
              <w:pStyle w:val="TableParagraph"/>
              <w:spacing w:before="7"/>
              <w:rPr>
                <w:b/>
                <w:sz w:val="13"/>
              </w:rPr>
            </w:pPr>
          </w:p>
          <w:p>
            <w:pPr>
              <w:pStyle w:val="TableParagraph"/>
              <w:ind w:right="133"/>
              <w:jc w:val="right"/>
              <w:rPr>
                <w:b/>
                <w:sz w:val="14"/>
              </w:rPr>
            </w:pPr>
            <w:r>
              <w:rPr>
                <w:b/>
                <w:w w:val="95"/>
                <w:sz w:val="14"/>
              </w:rPr>
              <w:t>Infrastructure</w:t>
            </w:r>
          </w:p>
        </w:tc>
        <w:tc>
          <w:tcPr>
            <w:tcW w:w="1013" w:type="dxa"/>
          </w:tcPr>
          <w:p>
            <w:pPr>
              <w:pStyle w:val="TableParagraph"/>
              <w:ind w:left="104" w:firstLine="48"/>
              <w:rPr>
                <w:b/>
                <w:sz w:val="14"/>
              </w:rPr>
            </w:pPr>
            <w:r>
              <w:rPr>
                <w:b/>
                <w:sz w:val="14"/>
              </w:rPr>
              <w:t>Plant and Equipment</w:t>
            </w:r>
          </w:p>
        </w:tc>
        <w:tc>
          <w:tcPr>
            <w:tcW w:w="1182" w:type="dxa"/>
          </w:tcPr>
          <w:p>
            <w:pPr>
              <w:pStyle w:val="TableParagraph"/>
              <w:ind w:left="68" w:firstLine="132"/>
              <w:rPr>
                <w:b/>
                <w:sz w:val="14"/>
              </w:rPr>
            </w:pPr>
            <w:r>
              <w:rPr>
                <w:b/>
                <w:sz w:val="14"/>
              </w:rPr>
              <w:t>Leasehold </w:t>
            </w:r>
            <w:r>
              <w:rPr>
                <w:b/>
                <w:w w:val="95"/>
                <w:sz w:val="14"/>
              </w:rPr>
              <w:t>Improvements</w:t>
            </w:r>
          </w:p>
        </w:tc>
        <w:tc>
          <w:tcPr>
            <w:tcW w:w="1084" w:type="dxa"/>
          </w:tcPr>
          <w:p>
            <w:pPr>
              <w:pStyle w:val="TableParagraph"/>
              <w:ind w:left="115" w:firstLine="100"/>
              <w:rPr>
                <w:b/>
                <w:sz w:val="14"/>
              </w:rPr>
            </w:pPr>
            <w:r>
              <w:rPr>
                <w:b/>
                <w:sz w:val="14"/>
              </w:rPr>
              <w:t>Library Collection</w:t>
            </w:r>
          </w:p>
        </w:tc>
        <w:tc>
          <w:tcPr>
            <w:tcW w:w="1068" w:type="dxa"/>
          </w:tcPr>
          <w:p>
            <w:pPr>
              <w:pStyle w:val="TableParagraph"/>
              <w:spacing w:before="7"/>
              <w:rPr>
                <w:b/>
                <w:sz w:val="13"/>
              </w:rPr>
            </w:pPr>
          </w:p>
          <w:p>
            <w:pPr>
              <w:pStyle w:val="TableParagraph"/>
              <w:ind w:left="152"/>
              <w:rPr>
                <w:b/>
                <w:sz w:val="14"/>
              </w:rPr>
            </w:pPr>
            <w:r>
              <w:rPr>
                <w:b/>
                <w:sz w:val="14"/>
              </w:rPr>
              <w:t>Artwork</w:t>
            </w:r>
          </w:p>
        </w:tc>
        <w:tc>
          <w:tcPr>
            <w:tcW w:w="903" w:type="dxa"/>
          </w:tcPr>
          <w:p>
            <w:pPr>
              <w:pStyle w:val="TableParagraph"/>
              <w:spacing w:before="7"/>
              <w:rPr>
                <w:b/>
                <w:sz w:val="13"/>
              </w:rPr>
            </w:pPr>
          </w:p>
          <w:p>
            <w:pPr>
              <w:pStyle w:val="TableParagraph"/>
              <w:ind w:left="231"/>
              <w:rPr>
                <w:b/>
                <w:sz w:val="14"/>
              </w:rPr>
            </w:pPr>
            <w:r>
              <w:rPr>
                <w:b/>
                <w:sz w:val="14"/>
              </w:rPr>
              <w:t>Total</w:t>
            </w:r>
          </w:p>
        </w:tc>
      </w:tr>
      <w:tr>
        <w:trPr>
          <w:trHeight w:val="268" w:hRule="exact"/>
        </w:trPr>
        <w:tc>
          <w:tcPr>
            <w:tcW w:w="6040" w:type="dxa"/>
            <w:gridSpan w:val="3"/>
          </w:tcPr>
          <w:p>
            <w:pPr>
              <w:pStyle w:val="TableParagraph"/>
              <w:tabs>
                <w:tab w:pos="4254" w:val="left" w:leader="none"/>
                <w:tab w:pos="5302" w:val="left" w:leader="none"/>
              </w:tabs>
              <w:spacing w:before="26"/>
              <w:ind w:left="35"/>
              <w:rPr>
                <w:b/>
                <w:sz w:val="14"/>
              </w:rPr>
            </w:pPr>
            <w:r>
              <w:rPr>
                <w:b/>
                <w:sz w:val="14"/>
              </w:rPr>
              <w:t>Parent</w:t>
              <w:tab/>
              <w:t>$'000</w:t>
              <w:tab/>
              <w:t>$'000</w:t>
            </w:r>
          </w:p>
        </w:tc>
        <w:tc>
          <w:tcPr>
            <w:tcW w:w="1068" w:type="dxa"/>
          </w:tcPr>
          <w:p>
            <w:pPr>
              <w:pStyle w:val="TableParagraph"/>
              <w:spacing w:before="26"/>
              <w:ind w:left="311"/>
              <w:rPr>
                <w:b/>
                <w:sz w:val="14"/>
              </w:rPr>
            </w:pPr>
            <w:r>
              <w:rPr>
                <w:b/>
                <w:sz w:val="14"/>
              </w:rPr>
              <w:t>$'000</w:t>
            </w:r>
          </w:p>
        </w:tc>
        <w:tc>
          <w:tcPr>
            <w:tcW w:w="1004" w:type="dxa"/>
          </w:tcPr>
          <w:p>
            <w:pPr>
              <w:pStyle w:val="TableParagraph"/>
              <w:spacing w:before="26"/>
              <w:ind w:left="292"/>
              <w:rPr>
                <w:b/>
                <w:sz w:val="14"/>
              </w:rPr>
            </w:pPr>
            <w:r>
              <w:rPr>
                <w:b/>
                <w:sz w:val="14"/>
              </w:rPr>
              <w:t>$'000</w:t>
            </w:r>
          </w:p>
        </w:tc>
        <w:tc>
          <w:tcPr>
            <w:tcW w:w="1094" w:type="dxa"/>
          </w:tcPr>
          <w:p>
            <w:pPr>
              <w:pStyle w:val="TableParagraph"/>
              <w:spacing w:before="26"/>
              <w:ind w:left="337"/>
              <w:rPr>
                <w:b/>
                <w:sz w:val="14"/>
              </w:rPr>
            </w:pPr>
            <w:r>
              <w:rPr>
                <w:b/>
                <w:sz w:val="14"/>
              </w:rPr>
              <w:t>$'000</w:t>
            </w:r>
          </w:p>
        </w:tc>
        <w:tc>
          <w:tcPr>
            <w:tcW w:w="1013" w:type="dxa"/>
          </w:tcPr>
          <w:p>
            <w:pPr>
              <w:pStyle w:val="TableParagraph"/>
              <w:spacing w:before="26"/>
              <w:ind w:left="291"/>
              <w:rPr>
                <w:b/>
                <w:sz w:val="14"/>
              </w:rPr>
            </w:pPr>
            <w:r>
              <w:rPr>
                <w:b/>
                <w:sz w:val="14"/>
              </w:rPr>
              <w:t>$'000</w:t>
            </w:r>
          </w:p>
        </w:tc>
        <w:tc>
          <w:tcPr>
            <w:tcW w:w="1182" w:type="dxa"/>
          </w:tcPr>
          <w:p>
            <w:pPr>
              <w:pStyle w:val="TableParagraph"/>
              <w:spacing w:before="26"/>
              <w:ind w:left="370"/>
              <w:rPr>
                <w:b/>
                <w:sz w:val="14"/>
              </w:rPr>
            </w:pPr>
            <w:r>
              <w:rPr>
                <w:b/>
                <w:sz w:val="14"/>
              </w:rPr>
              <w:t>$'000</w:t>
            </w:r>
          </w:p>
        </w:tc>
        <w:tc>
          <w:tcPr>
            <w:tcW w:w="1084" w:type="dxa"/>
          </w:tcPr>
          <w:p>
            <w:pPr>
              <w:pStyle w:val="TableParagraph"/>
              <w:spacing w:before="26"/>
              <w:ind w:left="278"/>
              <w:rPr>
                <w:b/>
                <w:sz w:val="14"/>
              </w:rPr>
            </w:pPr>
            <w:r>
              <w:rPr>
                <w:b/>
                <w:sz w:val="14"/>
              </w:rPr>
              <w:t>$'000</w:t>
            </w:r>
          </w:p>
        </w:tc>
        <w:tc>
          <w:tcPr>
            <w:tcW w:w="1068" w:type="dxa"/>
          </w:tcPr>
          <w:p>
            <w:pPr>
              <w:pStyle w:val="TableParagraph"/>
              <w:spacing w:before="26"/>
              <w:ind w:left="243"/>
              <w:rPr>
                <w:b/>
                <w:sz w:val="14"/>
              </w:rPr>
            </w:pPr>
            <w:r>
              <w:rPr>
                <w:b/>
                <w:sz w:val="14"/>
              </w:rPr>
              <w:t>$'000</w:t>
            </w:r>
          </w:p>
        </w:tc>
        <w:tc>
          <w:tcPr>
            <w:tcW w:w="903" w:type="dxa"/>
          </w:tcPr>
          <w:p>
            <w:pPr>
              <w:pStyle w:val="TableParagraph"/>
              <w:spacing w:before="26"/>
              <w:ind w:left="224"/>
              <w:rPr>
                <w:b/>
                <w:sz w:val="14"/>
              </w:rPr>
            </w:pPr>
            <w:r>
              <w:rPr>
                <w:b/>
                <w:sz w:val="14"/>
              </w:rPr>
              <w:t>$'000</w:t>
            </w:r>
          </w:p>
        </w:tc>
      </w:tr>
      <w:tr>
        <w:trPr>
          <w:trHeight w:val="454" w:hRule="exact"/>
        </w:trPr>
        <w:tc>
          <w:tcPr>
            <w:tcW w:w="3885" w:type="dxa"/>
          </w:tcPr>
          <w:p>
            <w:pPr>
              <w:pStyle w:val="TableParagraph"/>
              <w:spacing w:before="65"/>
              <w:ind w:left="35"/>
              <w:rPr>
                <w:b/>
                <w:sz w:val="14"/>
              </w:rPr>
            </w:pPr>
            <w:r>
              <w:rPr>
                <w:b/>
                <w:sz w:val="14"/>
              </w:rPr>
              <w:t>At 1 January 2016</w:t>
            </w:r>
          </w:p>
          <w:p>
            <w:pPr>
              <w:pStyle w:val="TableParagraph"/>
              <w:spacing w:before="31"/>
              <w:ind w:left="35"/>
              <w:rPr>
                <w:sz w:val="14"/>
              </w:rPr>
            </w:pPr>
            <w:r>
              <w:rPr>
                <w:sz w:val="14"/>
              </w:rPr>
              <w:t>- Cost</w:t>
            </w:r>
          </w:p>
        </w:tc>
        <w:tc>
          <w:tcPr>
            <w:tcW w:w="1079" w:type="dxa"/>
          </w:tcPr>
          <w:p>
            <w:pPr>
              <w:pStyle w:val="TableParagraph"/>
              <w:rPr>
                <w:b/>
                <w:sz w:val="14"/>
              </w:rPr>
            </w:pPr>
          </w:p>
          <w:p>
            <w:pPr>
              <w:pStyle w:val="TableParagraph"/>
              <w:spacing w:before="94"/>
              <w:ind w:right="99"/>
              <w:jc w:val="right"/>
              <w:rPr>
                <w:sz w:val="14"/>
              </w:rPr>
            </w:pPr>
            <w:r>
              <w:rPr>
                <w:w w:val="95"/>
                <w:sz w:val="14"/>
              </w:rPr>
              <w:t>58,778</w:t>
            </w:r>
          </w:p>
        </w:tc>
        <w:tc>
          <w:tcPr>
            <w:tcW w:w="1077" w:type="dxa"/>
          </w:tcPr>
          <w:p>
            <w:pPr>
              <w:pStyle w:val="TableParagraph"/>
              <w:rPr>
                <w:b/>
                <w:sz w:val="14"/>
              </w:rPr>
            </w:pPr>
          </w:p>
          <w:p>
            <w:pPr>
              <w:pStyle w:val="TableParagraph"/>
              <w:spacing w:before="94"/>
              <w:ind w:right="126"/>
              <w:jc w:val="right"/>
              <w:rPr>
                <w:sz w:val="14"/>
              </w:rPr>
            </w:pPr>
            <w:r>
              <w:rPr>
                <w:w w:val="99"/>
                <w:sz w:val="14"/>
              </w:rPr>
              <w:t>-</w:t>
            </w:r>
          </w:p>
        </w:tc>
        <w:tc>
          <w:tcPr>
            <w:tcW w:w="1068" w:type="dxa"/>
          </w:tcPr>
          <w:p>
            <w:pPr>
              <w:pStyle w:val="TableParagraph"/>
              <w:rPr>
                <w:b/>
                <w:sz w:val="14"/>
              </w:rPr>
            </w:pPr>
          </w:p>
          <w:p>
            <w:pPr>
              <w:pStyle w:val="TableParagraph"/>
              <w:spacing w:before="94"/>
              <w:ind w:right="146"/>
              <w:jc w:val="right"/>
              <w:rPr>
                <w:sz w:val="14"/>
              </w:rPr>
            </w:pPr>
            <w:r>
              <w:rPr>
                <w:w w:val="99"/>
                <w:sz w:val="14"/>
              </w:rPr>
              <w:t>-</w:t>
            </w:r>
          </w:p>
        </w:tc>
        <w:tc>
          <w:tcPr>
            <w:tcW w:w="1004" w:type="dxa"/>
          </w:tcPr>
          <w:p>
            <w:pPr>
              <w:pStyle w:val="TableParagraph"/>
              <w:rPr>
                <w:b/>
                <w:sz w:val="14"/>
              </w:rPr>
            </w:pPr>
          </w:p>
          <w:p>
            <w:pPr>
              <w:pStyle w:val="TableParagraph"/>
              <w:spacing w:before="94"/>
              <w:ind w:right="102"/>
              <w:jc w:val="right"/>
              <w:rPr>
                <w:sz w:val="14"/>
              </w:rPr>
            </w:pPr>
            <w:r>
              <w:rPr>
                <w:sz w:val="14"/>
              </w:rPr>
              <w:t>7,929</w:t>
            </w:r>
          </w:p>
        </w:tc>
        <w:tc>
          <w:tcPr>
            <w:tcW w:w="1094" w:type="dxa"/>
          </w:tcPr>
          <w:p>
            <w:pPr>
              <w:pStyle w:val="TableParagraph"/>
              <w:rPr>
                <w:b/>
                <w:sz w:val="14"/>
              </w:rPr>
            </w:pPr>
          </w:p>
          <w:p>
            <w:pPr>
              <w:pStyle w:val="TableParagraph"/>
              <w:spacing w:before="94"/>
              <w:ind w:right="149"/>
              <w:jc w:val="right"/>
              <w:rPr>
                <w:sz w:val="14"/>
              </w:rPr>
            </w:pPr>
            <w:r>
              <w:rPr>
                <w:sz w:val="14"/>
              </w:rPr>
              <w:t>1,637</w:t>
            </w:r>
          </w:p>
        </w:tc>
        <w:tc>
          <w:tcPr>
            <w:tcW w:w="1013" w:type="dxa"/>
          </w:tcPr>
          <w:p>
            <w:pPr>
              <w:pStyle w:val="TableParagraph"/>
              <w:rPr>
                <w:b/>
                <w:sz w:val="14"/>
              </w:rPr>
            </w:pPr>
          </w:p>
          <w:p>
            <w:pPr>
              <w:pStyle w:val="TableParagraph"/>
              <w:spacing w:before="94"/>
              <w:ind w:right="112"/>
              <w:jc w:val="right"/>
              <w:rPr>
                <w:sz w:val="14"/>
              </w:rPr>
            </w:pPr>
            <w:r>
              <w:rPr>
                <w:w w:val="95"/>
                <w:sz w:val="14"/>
              </w:rPr>
              <w:t>131,471</w:t>
            </w:r>
          </w:p>
        </w:tc>
        <w:tc>
          <w:tcPr>
            <w:tcW w:w="1182" w:type="dxa"/>
          </w:tcPr>
          <w:p>
            <w:pPr>
              <w:pStyle w:val="TableParagraph"/>
              <w:rPr>
                <w:b/>
                <w:sz w:val="14"/>
              </w:rPr>
            </w:pPr>
          </w:p>
          <w:p>
            <w:pPr>
              <w:pStyle w:val="TableParagraph"/>
              <w:spacing w:before="94"/>
              <w:ind w:right="158"/>
              <w:jc w:val="right"/>
              <w:rPr>
                <w:sz w:val="14"/>
              </w:rPr>
            </w:pPr>
            <w:r>
              <w:rPr>
                <w:w w:val="95"/>
                <w:sz w:val="14"/>
              </w:rPr>
              <w:t>18,412</w:t>
            </w:r>
          </w:p>
        </w:tc>
        <w:tc>
          <w:tcPr>
            <w:tcW w:w="1084" w:type="dxa"/>
          </w:tcPr>
          <w:p>
            <w:pPr>
              <w:pStyle w:val="TableParagraph"/>
              <w:rPr>
                <w:b/>
                <w:sz w:val="14"/>
              </w:rPr>
            </w:pPr>
          </w:p>
          <w:p>
            <w:pPr>
              <w:pStyle w:val="TableParagraph"/>
              <w:spacing w:before="94"/>
              <w:ind w:right="196"/>
              <w:jc w:val="right"/>
              <w:rPr>
                <w:sz w:val="14"/>
              </w:rPr>
            </w:pPr>
            <w:r>
              <w:rPr>
                <w:w w:val="95"/>
                <w:sz w:val="14"/>
              </w:rPr>
              <w:t>82,713</w:t>
            </w:r>
          </w:p>
        </w:tc>
        <w:tc>
          <w:tcPr>
            <w:tcW w:w="1068" w:type="dxa"/>
          </w:tcPr>
          <w:p>
            <w:pPr>
              <w:pStyle w:val="TableParagraph"/>
              <w:rPr>
                <w:b/>
                <w:sz w:val="14"/>
              </w:rPr>
            </w:pPr>
          </w:p>
          <w:p>
            <w:pPr>
              <w:pStyle w:val="TableParagraph"/>
              <w:spacing w:before="94"/>
              <w:ind w:right="214"/>
              <w:jc w:val="right"/>
              <w:rPr>
                <w:sz w:val="14"/>
              </w:rPr>
            </w:pPr>
            <w:r>
              <w:rPr>
                <w:w w:val="99"/>
                <w:sz w:val="14"/>
              </w:rPr>
              <w:t>-</w:t>
            </w:r>
          </w:p>
        </w:tc>
        <w:tc>
          <w:tcPr>
            <w:tcW w:w="903" w:type="dxa"/>
          </w:tcPr>
          <w:p>
            <w:pPr>
              <w:pStyle w:val="TableParagraph"/>
              <w:rPr>
                <w:b/>
                <w:sz w:val="14"/>
              </w:rPr>
            </w:pPr>
          </w:p>
          <w:p>
            <w:pPr>
              <w:pStyle w:val="TableParagraph"/>
              <w:spacing w:before="94"/>
              <w:ind w:right="70"/>
              <w:jc w:val="right"/>
              <w:rPr>
                <w:sz w:val="14"/>
              </w:rPr>
            </w:pPr>
            <w:r>
              <w:rPr>
                <w:w w:val="95"/>
                <w:sz w:val="14"/>
              </w:rPr>
              <w:t>300,940</w:t>
            </w:r>
          </w:p>
        </w:tc>
      </w:tr>
      <w:tr>
        <w:trPr>
          <w:trHeight w:val="218" w:hRule="exact"/>
        </w:trPr>
        <w:tc>
          <w:tcPr>
            <w:tcW w:w="3885" w:type="dxa"/>
          </w:tcPr>
          <w:p>
            <w:pPr>
              <w:pStyle w:val="TableParagraph"/>
              <w:spacing w:before="22"/>
              <w:ind w:left="35"/>
              <w:rPr>
                <w:sz w:val="14"/>
              </w:rPr>
            </w:pPr>
            <w:r>
              <w:rPr>
                <w:sz w:val="14"/>
              </w:rPr>
              <w:t>- Valuation</w:t>
            </w:r>
          </w:p>
        </w:tc>
        <w:tc>
          <w:tcPr>
            <w:tcW w:w="1079" w:type="dxa"/>
          </w:tcPr>
          <w:p>
            <w:pPr>
              <w:pStyle w:val="TableParagraph"/>
              <w:spacing w:before="20"/>
              <w:ind w:right="99"/>
              <w:jc w:val="right"/>
              <w:rPr>
                <w:sz w:val="14"/>
              </w:rPr>
            </w:pPr>
            <w:r>
              <w:rPr>
                <w:w w:val="99"/>
                <w:sz w:val="14"/>
              </w:rPr>
              <w:t>-</w:t>
            </w:r>
          </w:p>
        </w:tc>
        <w:tc>
          <w:tcPr>
            <w:tcW w:w="1077" w:type="dxa"/>
          </w:tcPr>
          <w:p>
            <w:pPr>
              <w:pStyle w:val="TableParagraph"/>
              <w:spacing w:before="20"/>
              <w:ind w:right="127"/>
              <w:jc w:val="right"/>
              <w:rPr>
                <w:sz w:val="14"/>
              </w:rPr>
            </w:pPr>
            <w:r>
              <w:rPr>
                <w:w w:val="95"/>
                <w:sz w:val="14"/>
              </w:rPr>
              <w:t>214,596</w:t>
            </w:r>
          </w:p>
        </w:tc>
        <w:tc>
          <w:tcPr>
            <w:tcW w:w="1068" w:type="dxa"/>
          </w:tcPr>
          <w:p>
            <w:pPr>
              <w:pStyle w:val="TableParagraph"/>
              <w:spacing w:before="20"/>
              <w:ind w:right="147"/>
              <w:jc w:val="right"/>
              <w:rPr>
                <w:sz w:val="14"/>
              </w:rPr>
            </w:pPr>
            <w:r>
              <w:rPr>
                <w:w w:val="95"/>
                <w:sz w:val="14"/>
              </w:rPr>
              <w:t>162,335</w:t>
            </w:r>
          </w:p>
        </w:tc>
        <w:tc>
          <w:tcPr>
            <w:tcW w:w="1004" w:type="dxa"/>
          </w:tcPr>
          <w:p>
            <w:pPr>
              <w:pStyle w:val="TableParagraph"/>
              <w:spacing w:before="20"/>
              <w:ind w:right="102"/>
              <w:jc w:val="right"/>
              <w:rPr>
                <w:sz w:val="14"/>
              </w:rPr>
            </w:pPr>
            <w:r>
              <w:rPr>
                <w:w w:val="95"/>
                <w:sz w:val="14"/>
              </w:rPr>
              <w:t>905,781</w:t>
            </w:r>
          </w:p>
        </w:tc>
        <w:tc>
          <w:tcPr>
            <w:tcW w:w="1094" w:type="dxa"/>
          </w:tcPr>
          <w:p>
            <w:pPr>
              <w:pStyle w:val="TableParagraph"/>
              <w:spacing w:before="20"/>
              <w:ind w:right="148"/>
              <w:jc w:val="right"/>
              <w:rPr>
                <w:sz w:val="14"/>
              </w:rPr>
            </w:pPr>
            <w:r>
              <w:rPr>
                <w:w w:val="95"/>
                <w:sz w:val="14"/>
              </w:rPr>
              <w:t>85,557</w:t>
            </w:r>
          </w:p>
        </w:tc>
        <w:tc>
          <w:tcPr>
            <w:tcW w:w="1013" w:type="dxa"/>
          </w:tcPr>
          <w:p>
            <w:pPr>
              <w:pStyle w:val="TableParagraph"/>
              <w:spacing w:before="20"/>
              <w:ind w:right="111"/>
              <w:jc w:val="right"/>
              <w:rPr>
                <w:sz w:val="14"/>
              </w:rPr>
            </w:pPr>
            <w:r>
              <w:rPr>
                <w:w w:val="99"/>
                <w:sz w:val="14"/>
              </w:rPr>
              <w:t>-</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96"/>
              <w:jc w:val="right"/>
              <w:rPr>
                <w:sz w:val="14"/>
              </w:rPr>
            </w:pPr>
            <w:r>
              <w:rPr>
                <w:sz w:val="14"/>
              </w:rPr>
              <w:t>872</w:t>
            </w:r>
          </w:p>
        </w:tc>
        <w:tc>
          <w:tcPr>
            <w:tcW w:w="1068" w:type="dxa"/>
          </w:tcPr>
          <w:p>
            <w:pPr>
              <w:pStyle w:val="TableParagraph"/>
              <w:spacing w:before="20"/>
              <w:ind w:right="215"/>
              <w:jc w:val="right"/>
              <w:rPr>
                <w:sz w:val="14"/>
              </w:rPr>
            </w:pPr>
            <w:r>
              <w:rPr>
                <w:sz w:val="14"/>
              </w:rPr>
              <w:t>3,140</w:t>
            </w:r>
          </w:p>
        </w:tc>
        <w:tc>
          <w:tcPr>
            <w:tcW w:w="903" w:type="dxa"/>
          </w:tcPr>
          <w:p>
            <w:pPr>
              <w:pStyle w:val="TableParagraph"/>
              <w:spacing w:before="20"/>
              <w:ind w:right="69"/>
              <w:jc w:val="right"/>
              <w:rPr>
                <w:sz w:val="14"/>
              </w:rPr>
            </w:pPr>
            <w:r>
              <w:rPr>
                <w:w w:val="95"/>
                <w:sz w:val="14"/>
              </w:rPr>
              <w:t>1,372,281</w:t>
            </w:r>
          </w:p>
        </w:tc>
      </w:tr>
      <w:tr>
        <w:trPr>
          <w:trHeight w:val="217" w:hRule="exact"/>
        </w:trPr>
        <w:tc>
          <w:tcPr>
            <w:tcW w:w="3885" w:type="dxa"/>
          </w:tcPr>
          <w:p>
            <w:pPr>
              <w:pStyle w:val="TableParagraph"/>
              <w:spacing w:before="22"/>
              <w:ind w:left="35"/>
              <w:rPr>
                <w:sz w:val="14"/>
              </w:rPr>
            </w:pPr>
            <w:r>
              <w:rPr>
                <w:sz w:val="14"/>
              </w:rPr>
              <w:t>Accumulated depreciation and impairment</w:t>
            </w:r>
          </w:p>
        </w:tc>
        <w:tc>
          <w:tcPr>
            <w:tcW w:w="1079" w:type="dxa"/>
            <w:tcBorders>
              <w:bottom w:val="single" w:sz="1" w:space="0" w:color="000000"/>
            </w:tcBorders>
          </w:tcPr>
          <w:p>
            <w:pPr>
              <w:pStyle w:val="TableParagraph"/>
              <w:spacing w:before="20"/>
              <w:ind w:right="99"/>
              <w:jc w:val="right"/>
              <w:rPr>
                <w:sz w:val="14"/>
              </w:rPr>
            </w:pPr>
            <w:r>
              <w:rPr>
                <w:w w:val="99"/>
                <w:sz w:val="14"/>
              </w:rPr>
              <w:t>-</w:t>
            </w:r>
          </w:p>
        </w:tc>
        <w:tc>
          <w:tcPr>
            <w:tcW w:w="1077" w:type="dxa"/>
            <w:tcBorders>
              <w:bottom w:val="single" w:sz="1" w:space="0" w:color="000000"/>
            </w:tcBorders>
          </w:tcPr>
          <w:p>
            <w:pPr>
              <w:pStyle w:val="TableParagraph"/>
              <w:spacing w:before="20"/>
              <w:ind w:right="126"/>
              <w:jc w:val="right"/>
              <w:rPr>
                <w:sz w:val="14"/>
              </w:rPr>
            </w:pPr>
            <w:r>
              <w:rPr>
                <w:w w:val="99"/>
                <w:sz w:val="14"/>
              </w:rPr>
              <w:t>-</w:t>
            </w:r>
          </w:p>
        </w:tc>
        <w:tc>
          <w:tcPr>
            <w:tcW w:w="1068" w:type="dxa"/>
            <w:tcBorders>
              <w:bottom w:val="single" w:sz="1" w:space="0" w:color="000000"/>
            </w:tcBorders>
          </w:tcPr>
          <w:p>
            <w:pPr>
              <w:pStyle w:val="TableParagraph"/>
              <w:spacing w:before="20"/>
              <w:ind w:right="146"/>
              <w:jc w:val="right"/>
              <w:rPr>
                <w:sz w:val="14"/>
              </w:rPr>
            </w:pPr>
            <w:r>
              <w:rPr>
                <w:w w:val="99"/>
                <w:sz w:val="14"/>
              </w:rPr>
              <w:t>-</w:t>
            </w:r>
          </w:p>
        </w:tc>
        <w:tc>
          <w:tcPr>
            <w:tcW w:w="1004" w:type="dxa"/>
            <w:tcBorders>
              <w:bottom w:val="single" w:sz="1" w:space="0" w:color="000000"/>
            </w:tcBorders>
          </w:tcPr>
          <w:p>
            <w:pPr>
              <w:pStyle w:val="TableParagraph"/>
              <w:spacing w:before="20"/>
              <w:ind w:right="56"/>
              <w:jc w:val="right"/>
              <w:rPr>
                <w:sz w:val="14"/>
              </w:rPr>
            </w:pPr>
            <w:r>
              <w:rPr>
                <w:w w:val="95"/>
                <w:sz w:val="14"/>
              </w:rPr>
              <w:t>(3,049)</w:t>
            </w:r>
          </w:p>
        </w:tc>
        <w:tc>
          <w:tcPr>
            <w:tcW w:w="1094" w:type="dxa"/>
            <w:tcBorders>
              <w:bottom w:val="single" w:sz="1" w:space="0" w:color="000000"/>
            </w:tcBorders>
          </w:tcPr>
          <w:p>
            <w:pPr>
              <w:pStyle w:val="TableParagraph"/>
              <w:spacing w:before="20"/>
              <w:ind w:right="102"/>
              <w:jc w:val="right"/>
              <w:rPr>
                <w:sz w:val="14"/>
              </w:rPr>
            </w:pPr>
            <w:r>
              <w:rPr>
                <w:w w:val="95"/>
                <w:sz w:val="14"/>
              </w:rPr>
              <w:t>(1,799)</w:t>
            </w:r>
          </w:p>
        </w:tc>
        <w:tc>
          <w:tcPr>
            <w:tcW w:w="1013" w:type="dxa"/>
            <w:tcBorders>
              <w:bottom w:val="single" w:sz="1" w:space="0" w:color="000000"/>
            </w:tcBorders>
          </w:tcPr>
          <w:p>
            <w:pPr>
              <w:pStyle w:val="TableParagraph"/>
              <w:spacing w:before="20"/>
              <w:ind w:right="66"/>
              <w:jc w:val="right"/>
              <w:rPr>
                <w:sz w:val="14"/>
              </w:rPr>
            </w:pPr>
            <w:r>
              <w:rPr>
                <w:w w:val="95"/>
                <w:sz w:val="14"/>
              </w:rPr>
              <w:t>(71,576)</w:t>
            </w:r>
          </w:p>
        </w:tc>
        <w:tc>
          <w:tcPr>
            <w:tcW w:w="1182" w:type="dxa"/>
            <w:tcBorders>
              <w:bottom w:val="single" w:sz="1" w:space="0" w:color="000000"/>
            </w:tcBorders>
          </w:tcPr>
          <w:p>
            <w:pPr>
              <w:pStyle w:val="TableParagraph"/>
              <w:spacing w:before="20"/>
              <w:ind w:right="113"/>
              <w:jc w:val="right"/>
              <w:rPr>
                <w:sz w:val="14"/>
              </w:rPr>
            </w:pPr>
            <w:r>
              <w:rPr>
                <w:w w:val="95"/>
                <w:sz w:val="14"/>
              </w:rPr>
              <w:t>(5,350)</w:t>
            </w:r>
          </w:p>
        </w:tc>
        <w:tc>
          <w:tcPr>
            <w:tcW w:w="1084" w:type="dxa"/>
            <w:tcBorders>
              <w:bottom w:val="single" w:sz="1" w:space="0" w:color="000000"/>
            </w:tcBorders>
          </w:tcPr>
          <w:p>
            <w:pPr>
              <w:pStyle w:val="TableParagraph"/>
              <w:spacing w:before="20"/>
              <w:ind w:right="150"/>
              <w:jc w:val="right"/>
              <w:rPr>
                <w:sz w:val="14"/>
              </w:rPr>
            </w:pPr>
            <w:r>
              <w:rPr>
                <w:w w:val="95"/>
                <w:sz w:val="14"/>
              </w:rPr>
              <w:t>(74,691)</w:t>
            </w:r>
          </w:p>
        </w:tc>
        <w:tc>
          <w:tcPr>
            <w:tcW w:w="1068" w:type="dxa"/>
            <w:tcBorders>
              <w:bottom w:val="single" w:sz="1" w:space="0" w:color="000000"/>
            </w:tcBorders>
          </w:tcPr>
          <w:p>
            <w:pPr>
              <w:pStyle w:val="TableParagraph"/>
              <w:spacing w:before="20"/>
              <w:ind w:right="214"/>
              <w:jc w:val="right"/>
              <w:rPr>
                <w:sz w:val="14"/>
              </w:rPr>
            </w:pPr>
            <w:r>
              <w:rPr>
                <w:w w:val="99"/>
                <w:sz w:val="14"/>
              </w:rPr>
              <w:t>-</w:t>
            </w:r>
          </w:p>
        </w:tc>
        <w:tc>
          <w:tcPr>
            <w:tcW w:w="903" w:type="dxa"/>
            <w:tcBorders>
              <w:bottom w:val="single" w:sz="1" w:space="0" w:color="000000"/>
            </w:tcBorders>
          </w:tcPr>
          <w:p>
            <w:pPr>
              <w:pStyle w:val="TableParagraph"/>
              <w:spacing w:before="20"/>
              <w:ind w:right="24"/>
              <w:jc w:val="right"/>
              <w:rPr>
                <w:sz w:val="14"/>
              </w:rPr>
            </w:pPr>
            <w:r>
              <w:rPr>
                <w:w w:val="95"/>
                <w:sz w:val="14"/>
              </w:rPr>
              <w:t>(156,465)</w:t>
            </w:r>
          </w:p>
        </w:tc>
      </w:tr>
      <w:tr>
        <w:trPr>
          <w:trHeight w:val="293" w:hRule="exact"/>
        </w:trPr>
        <w:tc>
          <w:tcPr>
            <w:tcW w:w="3885" w:type="dxa"/>
          </w:tcPr>
          <w:p>
            <w:pPr>
              <w:pStyle w:val="TableParagraph"/>
              <w:spacing w:before="124"/>
              <w:ind w:left="35"/>
              <w:rPr>
                <w:b/>
                <w:sz w:val="14"/>
              </w:rPr>
            </w:pPr>
            <w:r>
              <w:rPr>
                <w:b/>
                <w:sz w:val="14"/>
              </w:rPr>
              <w:t>Net Book Amount</w:t>
            </w:r>
          </w:p>
        </w:tc>
        <w:tc>
          <w:tcPr>
            <w:tcW w:w="1079" w:type="dxa"/>
            <w:tcBorders>
              <w:top w:val="single" w:sz="1" w:space="0" w:color="000000"/>
              <w:bottom w:val="single" w:sz="1" w:space="0" w:color="000000"/>
            </w:tcBorders>
          </w:tcPr>
          <w:p>
            <w:pPr>
              <w:pStyle w:val="TableParagraph"/>
              <w:spacing w:before="123"/>
              <w:ind w:right="99"/>
              <w:jc w:val="right"/>
              <w:rPr>
                <w:sz w:val="14"/>
              </w:rPr>
            </w:pPr>
            <w:r>
              <w:rPr>
                <w:w w:val="95"/>
                <w:sz w:val="14"/>
              </w:rPr>
              <w:t>58,778</w:t>
            </w:r>
          </w:p>
        </w:tc>
        <w:tc>
          <w:tcPr>
            <w:tcW w:w="1077" w:type="dxa"/>
            <w:tcBorders>
              <w:top w:val="single" w:sz="1" w:space="0" w:color="000000"/>
              <w:bottom w:val="single" w:sz="1" w:space="0" w:color="000000"/>
            </w:tcBorders>
          </w:tcPr>
          <w:p>
            <w:pPr>
              <w:pStyle w:val="TableParagraph"/>
              <w:spacing w:before="123"/>
              <w:ind w:right="127"/>
              <w:jc w:val="right"/>
              <w:rPr>
                <w:sz w:val="14"/>
              </w:rPr>
            </w:pPr>
            <w:r>
              <w:rPr>
                <w:w w:val="95"/>
                <w:sz w:val="14"/>
              </w:rPr>
              <w:t>214,596</w:t>
            </w:r>
          </w:p>
        </w:tc>
        <w:tc>
          <w:tcPr>
            <w:tcW w:w="1068" w:type="dxa"/>
            <w:tcBorders>
              <w:top w:val="single" w:sz="1" w:space="0" w:color="000000"/>
              <w:bottom w:val="single" w:sz="1" w:space="0" w:color="000000"/>
            </w:tcBorders>
          </w:tcPr>
          <w:p>
            <w:pPr>
              <w:pStyle w:val="TableParagraph"/>
              <w:spacing w:before="123"/>
              <w:ind w:right="147"/>
              <w:jc w:val="right"/>
              <w:rPr>
                <w:sz w:val="14"/>
              </w:rPr>
            </w:pPr>
            <w:r>
              <w:rPr>
                <w:w w:val="95"/>
                <w:sz w:val="14"/>
              </w:rPr>
              <w:t>162,335</w:t>
            </w:r>
          </w:p>
        </w:tc>
        <w:tc>
          <w:tcPr>
            <w:tcW w:w="1004" w:type="dxa"/>
            <w:tcBorders>
              <w:top w:val="single" w:sz="1" w:space="0" w:color="000000"/>
              <w:bottom w:val="single" w:sz="1" w:space="0" w:color="000000"/>
            </w:tcBorders>
          </w:tcPr>
          <w:p>
            <w:pPr>
              <w:pStyle w:val="TableParagraph"/>
              <w:spacing w:before="123"/>
              <w:ind w:right="102"/>
              <w:jc w:val="right"/>
              <w:rPr>
                <w:sz w:val="14"/>
              </w:rPr>
            </w:pPr>
            <w:r>
              <w:rPr>
                <w:w w:val="95"/>
                <w:sz w:val="14"/>
              </w:rPr>
              <w:t>910,661</w:t>
            </w:r>
          </w:p>
        </w:tc>
        <w:tc>
          <w:tcPr>
            <w:tcW w:w="1094" w:type="dxa"/>
            <w:tcBorders>
              <w:top w:val="single" w:sz="1" w:space="0" w:color="000000"/>
              <w:bottom w:val="single" w:sz="1" w:space="0" w:color="000000"/>
            </w:tcBorders>
          </w:tcPr>
          <w:p>
            <w:pPr>
              <w:pStyle w:val="TableParagraph"/>
              <w:spacing w:before="123"/>
              <w:ind w:right="148"/>
              <w:jc w:val="right"/>
              <w:rPr>
                <w:sz w:val="14"/>
              </w:rPr>
            </w:pPr>
            <w:r>
              <w:rPr>
                <w:w w:val="95"/>
                <w:sz w:val="14"/>
              </w:rPr>
              <w:t>85,395</w:t>
            </w:r>
          </w:p>
        </w:tc>
        <w:tc>
          <w:tcPr>
            <w:tcW w:w="1013" w:type="dxa"/>
            <w:tcBorders>
              <w:top w:val="single" w:sz="1" w:space="0" w:color="000000"/>
              <w:bottom w:val="single" w:sz="1" w:space="0" w:color="000000"/>
            </w:tcBorders>
          </w:tcPr>
          <w:p>
            <w:pPr>
              <w:pStyle w:val="TableParagraph"/>
              <w:spacing w:before="123"/>
              <w:ind w:right="112"/>
              <w:jc w:val="right"/>
              <w:rPr>
                <w:sz w:val="14"/>
              </w:rPr>
            </w:pPr>
            <w:r>
              <w:rPr>
                <w:w w:val="95"/>
                <w:sz w:val="14"/>
              </w:rPr>
              <w:t>59,895</w:t>
            </w:r>
          </w:p>
        </w:tc>
        <w:tc>
          <w:tcPr>
            <w:tcW w:w="1182" w:type="dxa"/>
            <w:tcBorders>
              <w:top w:val="single" w:sz="1" w:space="0" w:color="000000"/>
              <w:bottom w:val="single" w:sz="1" w:space="0" w:color="000000"/>
            </w:tcBorders>
          </w:tcPr>
          <w:p>
            <w:pPr>
              <w:pStyle w:val="TableParagraph"/>
              <w:spacing w:before="123"/>
              <w:ind w:right="158"/>
              <w:jc w:val="right"/>
              <w:rPr>
                <w:sz w:val="14"/>
              </w:rPr>
            </w:pPr>
            <w:r>
              <w:rPr>
                <w:w w:val="95"/>
                <w:sz w:val="14"/>
              </w:rPr>
              <w:t>13,062</w:t>
            </w:r>
          </w:p>
        </w:tc>
        <w:tc>
          <w:tcPr>
            <w:tcW w:w="1084" w:type="dxa"/>
            <w:tcBorders>
              <w:top w:val="single" w:sz="1" w:space="0" w:color="000000"/>
              <w:bottom w:val="single" w:sz="1" w:space="0" w:color="000000"/>
            </w:tcBorders>
          </w:tcPr>
          <w:p>
            <w:pPr>
              <w:pStyle w:val="TableParagraph"/>
              <w:spacing w:before="123"/>
              <w:ind w:right="197"/>
              <w:jc w:val="right"/>
              <w:rPr>
                <w:sz w:val="14"/>
              </w:rPr>
            </w:pPr>
            <w:r>
              <w:rPr>
                <w:sz w:val="14"/>
              </w:rPr>
              <w:t>8,894</w:t>
            </w:r>
          </w:p>
        </w:tc>
        <w:tc>
          <w:tcPr>
            <w:tcW w:w="1068" w:type="dxa"/>
            <w:tcBorders>
              <w:top w:val="single" w:sz="1" w:space="0" w:color="000000"/>
              <w:bottom w:val="single" w:sz="1" w:space="0" w:color="000000"/>
            </w:tcBorders>
          </w:tcPr>
          <w:p>
            <w:pPr>
              <w:pStyle w:val="TableParagraph"/>
              <w:spacing w:before="123"/>
              <w:ind w:right="215"/>
              <w:jc w:val="right"/>
              <w:rPr>
                <w:sz w:val="14"/>
              </w:rPr>
            </w:pPr>
            <w:r>
              <w:rPr>
                <w:sz w:val="14"/>
              </w:rPr>
              <w:t>3,140</w:t>
            </w:r>
          </w:p>
        </w:tc>
        <w:tc>
          <w:tcPr>
            <w:tcW w:w="903" w:type="dxa"/>
            <w:tcBorders>
              <w:top w:val="single" w:sz="1" w:space="0" w:color="000000"/>
              <w:bottom w:val="single" w:sz="1" w:space="0" w:color="000000"/>
            </w:tcBorders>
          </w:tcPr>
          <w:p>
            <w:pPr>
              <w:pStyle w:val="TableParagraph"/>
              <w:spacing w:before="123"/>
              <w:ind w:right="69"/>
              <w:jc w:val="right"/>
              <w:rPr>
                <w:sz w:val="14"/>
              </w:rPr>
            </w:pPr>
            <w:r>
              <w:rPr>
                <w:w w:val="95"/>
                <w:sz w:val="14"/>
              </w:rPr>
              <w:t>1,516,756</w:t>
            </w:r>
          </w:p>
        </w:tc>
      </w:tr>
      <w:tr>
        <w:trPr>
          <w:trHeight w:val="512" w:hRule="exact"/>
        </w:trPr>
        <w:tc>
          <w:tcPr>
            <w:tcW w:w="3885" w:type="dxa"/>
          </w:tcPr>
          <w:p>
            <w:pPr>
              <w:pStyle w:val="TableParagraph"/>
              <w:spacing w:before="124"/>
              <w:ind w:left="35"/>
              <w:rPr>
                <w:b/>
                <w:sz w:val="14"/>
              </w:rPr>
            </w:pPr>
            <w:r>
              <w:rPr>
                <w:b/>
                <w:sz w:val="14"/>
              </w:rPr>
              <w:t>Year Ended 31 December 2016</w:t>
            </w:r>
          </w:p>
          <w:p>
            <w:pPr>
              <w:pStyle w:val="TableParagraph"/>
              <w:spacing w:before="31"/>
              <w:ind w:left="35"/>
              <w:rPr>
                <w:sz w:val="14"/>
              </w:rPr>
            </w:pPr>
            <w:r>
              <w:rPr>
                <w:sz w:val="14"/>
              </w:rPr>
              <w:t>Opening Net Book Amount</w:t>
            </w:r>
          </w:p>
        </w:tc>
        <w:tc>
          <w:tcPr>
            <w:tcW w:w="1079" w:type="dxa"/>
            <w:tcBorders>
              <w:top w:val="single" w:sz="1" w:space="0" w:color="000000"/>
            </w:tcBorders>
          </w:tcPr>
          <w:p>
            <w:pPr>
              <w:pStyle w:val="TableParagraph"/>
              <w:rPr>
                <w:b/>
                <w:sz w:val="14"/>
              </w:rPr>
            </w:pPr>
          </w:p>
          <w:p>
            <w:pPr>
              <w:pStyle w:val="TableParagraph"/>
              <w:spacing w:before="2"/>
              <w:rPr>
                <w:b/>
                <w:sz w:val="13"/>
              </w:rPr>
            </w:pPr>
          </w:p>
          <w:p>
            <w:pPr>
              <w:pStyle w:val="TableParagraph"/>
              <w:ind w:right="99"/>
              <w:jc w:val="right"/>
              <w:rPr>
                <w:sz w:val="14"/>
              </w:rPr>
            </w:pPr>
            <w:r>
              <w:rPr>
                <w:w w:val="95"/>
                <w:sz w:val="14"/>
              </w:rPr>
              <w:t>58,778</w:t>
            </w:r>
          </w:p>
        </w:tc>
        <w:tc>
          <w:tcPr>
            <w:tcW w:w="1077" w:type="dxa"/>
            <w:tcBorders>
              <w:top w:val="single" w:sz="1" w:space="0" w:color="000000"/>
            </w:tcBorders>
          </w:tcPr>
          <w:p>
            <w:pPr>
              <w:pStyle w:val="TableParagraph"/>
              <w:rPr>
                <w:b/>
                <w:sz w:val="14"/>
              </w:rPr>
            </w:pPr>
          </w:p>
          <w:p>
            <w:pPr>
              <w:pStyle w:val="TableParagraph"/>
              <w:spacing w:before="2"/>
              <w:rPr>
                <w:b/>
                <w:sz w:val="13"/>
              </w:rPr>
            </w:pPr>
          </w:p>
          <w:p>
            <w:pPr>
              <w:pStyle w:val="TableParagraph"/>
              <w:ind w:right="127"/>
              <w:jc w:val="right"/>
              <w:rPr>
                <w:sz w:val="14"/>
              </w:rPr>
            </w:pPr>
            <w:r>
              <w:rPr>
                <w:w w:val="95"/>
                <w:sz w:val="14"/>
              </w:rPr>
              <w:t>214,596</w:t>
            </w:r>
          </w:p>
        </w:tc>
        <w:tc>
          <w:tcPr>
            <w:tcW w:w="1068" w:type="dxa"/>
            <w:tcBorders>
              <w:top w:val="single" w:sz="1" w:space="0" w:color="000000"/>
            </w:tcBorders>
          </w:tcPr>
          <w:p>
            <w:pPr>
              <w:pStyle w:val="TableParagraph"/>
              <w:rPr>
                <w:b/>
                <w:sz w:val="14"/>
              </w:rPr>
            </w:pPr>
          </w:p>
          <w:p>
            <w:pPr>
              <w:pStyle w:val="TableParagraph"/>
              <w:spacing w:before="2"/>
              <w:rPr>
                <w:b/>
                <w:sz w:val="13"/>
              </w:rPr>
            </w:pPr>
          </w:p>
          <w:p>
            <w:pPr>
              <w:pStyle w:val="TableParagraph"/>
              <w:ind w:right="147"/>
              <w:jc w:val="right"/>
              <w:rPr>
                <w:sz w:val="14"/>
              </w:rPr>
            </w:pPr>
            <w:r>
              <w:rPr>
                <w:w w:val="95"/>
                <w:sz w:val="14"/>
              </w:rPr>
              <w:t>162,335</w:t>
            </w:r>
          </w:p>
        </w:tc>
        <w:tc>
          <w:tcPr>
            <w:tcW w:w="100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02"/>
              <w:jc w:val="right"/>
              <w:rPr>
                <w:sz w:val="14"/>
              </w:rPr>
            </w:pPr>
            <w:r>
              <w:rPr>
                <w:w w:val="95"/>
                <w:sz w:val="14"/>
              </w:rPr>
              <w:t>910,661</w:t>
            </w:r>
          </w:p>
        </w:tc>
        <w:tc>
          <w:tcPr>
            <w:tcW w:w="109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48"/>
              <w:jc w:val="right"/>
              <w:rPr>
                <w:sz w:val="14"/>
              </w:rPr>
            </w:pPr>
            <w:r>
              <w:rPr>
                <w:w w:val="95"/>
                <w:sz w:val="14"/>
              </w:rPr>
              <w:t>85,395</w:t>
            </w:r>
          </w:p>
        </w:tc>
        <w:tc>
          <w:tcPr>
            <w:tcW w:w="1013" w:type="dxa"/>
            <w:tcBorders>
              <w:top w:val="single" w:sz="1" w:space="0" w:color="000000"/>
            </w:tcBorders>
          </w:tcPr>
          <w:p>
            <w:pPr>
              <w:pStyle w:val="TableParagraph"/>
              <w:rPr>
                <w:b/>
                <w:sz w:val="14"/>
              </w:rPr>
            </w:pPr>
          </w:p>
          <w:p>
            <w:pPr>
              <w:pStyle w:val="TableParagraph"/>
              <w:spacing w:before="2"/>
              <w:rPr>
                <w:b/>
                <w:sz w:val="13"/>
              </w:rPr>
            </w:pPr>
          </w:p>
          <w:p>
            <w:pPr>
              <w:pStyle w:val="TableParagraph"/>
              <w:ind w:right="112"/>
              <w:jc w:val="right"/>
              <w:rPr>
                <w:sz w:val="14"/>
              </w:rPr>
            </w:pPr>
            <w:r>
              <w:rPr>
                <w:w w:val="95"/>
                <w:sz w:val="14"/>
              </w:rPr>
              <w:t>59,895</w:t>
            </w:r>
          </w:p>
        </w:tc>
        <w:tc>
          <w:tcPr>
            <w:tcW w:w="1182" w:type="dxa"/>
            <w:tcBorders>
              <w:top w:val="single" w:sz="1" w:space="0" w:color="000000"/>
            </w:tcBorders>
          </w:tcPr>
          <w:p>
            <w:pPr>
              <w:pStyle w:val="TableParagraph"/>
              <w:rPr>
                <w:b/>
                <w:sz w:val="14"/>
              </w:rPr>
            </w:pPr>
          </w:p>
          <w:p>
            <w:pPr>
              <w:pStyle w:val="TableParagraph"/>
              <w:spacing w:before="2"/>
              <w:rPr>
                <w:b/>
                <w:sz w:val="13"/>
              </w:rPr>
            </w:pPr>
          </w:p>
          <w:p>
            <w:pPr>
              <w:pStyle w:val="TableParagraph"/>
              <w:ind w:right="158"/>
              <w:jc w:val="right"/>
              <w:rPr>
                <w:sz w:val="14"/>
              </w:rPr>
            </w:pPr>
            <w:r>
              <w:rPr>
                <w:w w:val="95"/>
                <w:sz w:val="14"/>
              </w:rPr>
              <w:t>13,062</w:t>
            </w:r>
          </w:p>
        </w:tc>
        <w:tc>
          <w:tcPr>
            <w:tcW w:w="108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97"/>
              <w:jc w:val="right"/>
              <w:rPr>
                <w:sz w:val="14"/>
              </w:rPr>
            </w:pPr>
            <w:r>
              <w:rPr>
                <w:sz w:val="14"/>
              </w:rPr>
              <w:t>8,894</w:t>
            </w:r>
          </w:p>
        </w:tc>
        <w:tc>
          <w:tcPr>
            <w:tcW w:w="1068" w:type="dxa"/>
            <w:tcBorders>
              <w:top w:val="single" w:sz="1" w:space="0" w:color="000000"/>
            </w:tcBorders>
          </w:tcPr>
          <w:p>
            <w:pPr>
              <w:pStyle w:val="TableParagraph"/>
              <w:rPr>
                <w:b/>
                <w:sz w:val="14"/>
              </w:rPr>
            </w:pPr>
          </w:p>
          <w:p>
            <w:pPr>
              <w:pStyle w:val="TableParagraph"/>
              <w:spacing w:before="2"/>
              <w:rPr>
                <w:b/>
                <w:sz w:val="13"/>
              </w:rPr>
            </w:pPr>
          </w:p>
          <w:p>
            <w:pPr>
              <w:pStyle w:val="TableParagraph"/>
              <w:ind w:right="215"/>
              <w:jc w:val="right"/>
              <w:rPr>
                <w:sz w:val="14"/>
              </w:rPr>
            </w:pPr>
            <w:r>
              <w:rPr>
                <w:sz w:val="14"/>
              </w:rPr>
              <w:t>3,140</w:t>
            </w:r>
          </w:p>
        </w:tc>
        <w:tc>
          <w:tcPr>
            <w:tcW w:w="903" w:type="dxa"/>
            <w:tcBorders>
              <w:top w:val="single" w:sz="1" w:space="0" w:color="000000"/>
            </w:tcBorders>
          </w:tcPr>
          <w:p>
            <w:pPr>
              <w:pStyle w:val="TableParagraph"/>
              <w:rPr>
                <w:b/>
                <w:sz w:val="14"/>
              </w:rPr>
            </w:pPr>
          </w:p>
          <w:p>
            <w:pPr>
              <w:pStyle w:val="TableParagraph"/>
              <w:spacing w:before="2"/>
              <w:rPr>
                <w:b/>
                <w:sz w:val="13"/>
              </w:rPr>
            </w:pPr>
          </w:p>
          <w:p>
            <w:pPr>
              <w:pStyle w:val="TableParagraph"/>
              <w:ind w:right="69"/>
              <w:jc w:val="right"/>
              <w:rPr>
                <w:sz w:val="14"/>
              </w:rPr>
            </w:pPr>
            <w:r>
              <w:rPr>
                <w:w w:val="95"/>
                <w:sz w:val="14"/>
              </w:rPr>
              <w:t>1,516,756</w:t>
            </w:r>
          </w:p>
        </w:tc>
      </w:tr>
      <w:tr>
        <w:trPr>
          <w:trHeight w:val="218" w:hRule="exact"/>
        </w:trPr>
        <w:tc>
          <w:tcPr>
            <w:tcW w:w="3885" w:type="dxa"/>
          </w:tcPr>
          <w:p>
            <w:pPr>
              <w:pStyle w:val="TableParagraph"/>
              <w:spacing w:before="22"/>
              <w:ind w:left="35"/>
              <w:rPr>
                <w:sz w:val="14"/>
              </w:rPr>
            </w:pPr>
            <w:r>
              <w:rPr>
                <w:sz w:val="14"/>
              </w:rPr>
              <w:t>Revaluation Surplus</w:t>
            </w:r>
          </w:p>
        </w:tc>
        <w:tc>
          <w:tcPr>
            <w:tcW w:w="1079" w:type="dxa"/>
          </w:tcPr>
          <w:p>
            <w:pPr>
              <w:pStyle w:val="TableParagraph"/>
              <w:spacing w:before="20"/>
              <w:ind w:right="99"/>
              <w:jc w:val="right"/>
              <w:rPr>
                <w:sz w:val="14"/>
              </w:rPr>
            </w:pPr>
            <w:r>
              <w:rPr>
                <w:w w:val="99"/>
                <w:sz w:val="14"/>
              </w:rPr>
              <w:t>-</w:t>
            </w:r>
          </w:p>
        </w:tc>
        <w:tc>
          <w:tcPr>
            <w:tcW w:w="1077" w:type="dxa"/>
          </w:tcPr>
          <w:p>
            <w:pPr>
              <w:pStyle w:val="TableParagraph"/>
              <w:spacing w:before="20"/>
              <w:ind w:right="81"/>
              <w:jc w:val="right"/>
              <w:rPr>
                <w:sz w:val="14"/>
              </w:rPr>
            </w:pPr>
            <w:r>
              <w:rPr>
                <w:w w:val="95"/>
                <w:sz w:val="14"/>
              </w:rPr>
              <w:t>(3,055)</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102"/>
              <w:jc w:val="right"/>
              <w:rPr>
                <w:sz w:val="14"/>
              </w:rPr>
            </w:pPr>
            <w:r>
              <w:rPr>
                <w:w w:val="95"/>
                <w:sz w:val="14"/>
              </w:rPr>
              <w:t>19,722</w:t>
            </w:r>
          </w:p>
        </w:tc>
        <w:tc>
          <w:tcPr>
            <w:tcW w:w="1094" w:type="dxa"/>
          </w:tcPr>
          <w:p>
            <w:pPr>
              <w:pStyle w:val="TableParagraph"/>
              <w:spacing w:before="20"/>
              <w:ind w:right="149"/>
              <w:jc w:val="right"/>
              <w:rPr>
                <w:sz w:val="14"/>
              </w:rPr>
            </w:pPr>
            <w:r>
              <w:rPr>
                <w:sz w:val="14"/>
              </w:rPr>
              <w:t>2,203</w:t>
            </w:r>
          </w:p>
        </w:tc>
        <w:tc>
          <w:tcPr>
            <w:tcW w:w="1013" w:type="dxa"/>
          </w:tcPr>
          <w:p>
            <w:pPr>
              <w:pStyle w:val="TableParagraph"/>
              <w:spacing w:before="20"/>
              <w:ind w:right="111"/>
              <w:jc w:val="right"/>
              <w:rPr>
                <w:sz w:val="14"/>
              </w:rPr>
            </w:pPr>
            <w:r>
              <w:rPr>
                <w:w w:val="99"/>
                <w:sz w:val="14"/>
              </w:rPr>
              <w:t>-</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95"/>
              <w:jc w:val="right"/>
              <w:rPr>
                <w:sz w:val="14"/>
              </w:rPr>
            </w:pPr>
            <w:r>
              <w:rPr>
                <w:w w:val="99"/>
                <w:sz w:val="14"/>
              </w:rPr>
              <w:t>9</w:t>
            </w:r>
          </w:p>
        </w:tc>
        <w:tc>
          <w:tcPr>
            <w:tcW w:w="1068" w:type="dxa"/>
          </w:tcPr>
          <w:p>
            <w:pPr>
              <w:pStyle w:val="TableParagraph"/>
              <w:spacing w:before="20"/>
              <w:ind w:right="215"/>
              <w:jc w:val="right"/>
              <w:rPr>
                <w:sz w:val="14"/>
              </w:rPr>
            </w:pPr>
            <w:r>
              <w:rPr>
                <w:sz w:val="14"/>
              </w:rPr>
              <w:t>986</w:t>
            </w:r>
          </w:p>
        </w:tc>
        <w:tc>
          <w:tcPr>
            <w:tcW w:w="903" w:type="dxa"/>
          </w:tcPr>
          <w:p>
            <w:pPr>
              <w:pStyle w:val="TableParagraph"/>
              <w:spacing w:before="20"/>
              <w:ind w:right="69"/>
              <w:jc w:val="right"/>
              <w:rPr>
                <w:sz w:val="14"/>
              </w:rPr>
            </w:pPr>
            <w:r>
              <w:rPr>
                <w:w w:val="95"/>
                <w:sz w:val="14"/>
              </w:rPr>
              <w:t>19,865</w:t>
            </w:r>
          </w:p>
        </w:tc>
      </w:tr>
      <w:tr>
        <w:trPr>
          <w:trHeight w:val="218" w:hRule="exact"/>
        </w:trPr>
        <w:tc>
          <w:tcPr>
            <w:tcW w:w="3885" w:type="dxa"/>
          </w:tcPr>
          <w:p>
            <w:pPr>
              <w:pStyle w:val="TableParagraph"/>
              <w:spacing w:before="22"/>
              <w:ind w:left="35"/>
              <w:rPr>
                <w:sz w:val="14"/>
              </w:rPr>
            </w:pPr>
            <w:r>
              <w:rPr>
                <w:sz w:val="14"/>
              </w:rPr>
              <w:t>Additions</w:t>
            </w:r>
          </w:p>
        </w:tc>
        <w:tc>
          <w:tcPr>
            <w:tcW w:w="1079" w:type="dxa"/>
          </w:tcPr>
          <w:p>
            <w:pPr>
              <w:pStyle w:val="TableParagraph"/>
              <w:spacing w:before="20"/>
              <w:ind w:right="99"/>
              <w:jc w:val="right"/>
              <w:rPr>
                <w:sz w:val="14"/>
              </w:rPr>
            </w:pPr>
            <w:r>
              <w:rPr>
                <w:w w:val="95"/>
                <w:sz w:val="14"/>
              </w:rPr>
              <w:t>113,124</w:t>
            </w:r>
          </w:p>
        </w:tc>
        <w:tc>
          <w:tcPr>
            <w:tcW w:w="1077" w:type="dxa"/>
          </w:tcPr>
          <w:p>
            <w:pPr>
              <w:pStyle w:val="TableParagraph"/>
              <w:spacing w:before="20"/>
              <w:ind w:right="127"/>
              <w:jc w:val="right"/>
              <w:rPr>
                <w:sz w:val="14"/>
              </w:rPr>
            </w:pPr>
            <w:r>
              <w:rPr>
                <w:sz w:val="14"/>
              </w:rPr>
              <w:t>3,950</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101"/>
              <w:jc w:val="right"/>
              <w:rPr>
                <w:sz w:val="14"/>
              </w:rPr>
            </w:pPr>
            <w:r>
              <w:rPr>
                <w:w w:val="99"/>
                <w:sz w:val="14"/>
              </w:rPr>
              <w:t>-</w:t>
            </w:r>
          </w:p>
        </w:tc>
        <w:tc>
          <w:tcPr>
            <w:tcW w:w="1094" w:type="dxa"/>
          </w:tcPr>
          <w:p>
            <w:pPr>
              <w:pStyle w:val="TableParagraph"/>
              <w:spacing w:before="20"/>
              <w:ind w:right="147"/>
              <w:jc w:val="right"/>
              <w:rPr>
                <w:sz w:val="14"/>
              </w:rPr>
            </w:pPr>
            <w:r>
              <w:rPr>
                <w:w w:val="99"/>
                <w:sz w:val="14"/>
              </w:rPr>
              <w:t>-</w:t>
            </w:r>
          </w:p>
        </w:tc>
        <w:tc>
          <w:tcPr>
            <w:tcW w:w="1013" w:type="dxa"/>
          </w:tcPr>
          <w:p>
            <w:pPr>
              <w:pStyle w:val="TableParagraph"/>
              <w:spacing w:before="20"/>
              <w:ind w:right="113"/>
              <w:jc w:val="right"/>
              <w:rPr>
                <w:sz w:val="14"/>
              </w:rPr>
            </w:pPr>
            <w:r>
              <w:rPr>
                <w:sz w:val="14"/>
              </w:rPr>
              <w:t>7,080</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97"/>
              <w:jc w:val="right"/>
              <w:rPr>
                <w:sz w:val="14"/>
              </w:rPr>
            </w:pPr>
            <w:r>
              <w:rPr>
                <w:sz w:val="14"/>
              </w:rPr>
              <w:t>2,148</w:t>
            </w:r>
          </w:p>
        </w:tc>
        <w:tc>
          <w:tcPr>
            <w:tcW w:w="1068" w:type="dxa"/>
          </w:tcPr>
          <w:p>
            <w:pPr>
              <w:pStyle w:val="TableParagraph"/>
              <w:spacing w:before="20"/>
              <w:ind w:right="215"/>
              <w:jc w:val="right"/>
              <w:rPr>
                <w:sz w:val="14"/>
              </w:rPr>
            </w:pPr>
            <w:r>
              <w:rPr>
                <w:sz w:val="14"/>
              </w:rPr>
              <w:t>66</w:t>
            </w:r>
          </w:p>
        </w:tc>
        <w:tc>
          <w:tcPr>
            <w:tcW w:w="903" w:type="dxa"/>
          </w:tcPr>
          <w:p>
            <w:pPr>
              <w:pStyle w:val="TableParagraph"/>
              <w:spacing w:before="20"/>
              <w:ind w:right="70"/>
              <w:jc w:val="right"/>
              <w:rPr>
                <w:sz w:val="14"/>
              </w:rPr>
            </w:pPr>
            <w:r>
              <w:rPr>
                <w:w w:val="95"/>
                <w:sz w:val="14"/>
              </w:rPr>
              <w:t>126,368</w:t>
            </w:r>
          </w:p>
        </w:tc>
      </w:tr>
      <w:tr>
        <w:trPr>
          <w:trHeight w:val="218" w:hRule="exact"/>
        </w:trPr>
        <w:tc>
          <w:tcPr>
            <w:tcW w:w="3885" w:type="dxa"/>
          </w:tcPr>
          <w:p>
            <w:pPr>
              <w:pStyle w:val="TableParagraph"/>
              <w:spacing w:before="22"/>
              <w:ind w:left="35"/>
              <w:rPr>
                <w:sz w:val="14"/>
              </w:rPr>
            </w:pPr>
            <w:r>
              <w:rPr>
                <w:sz w:val="14"/>
              </w:rPr>
              <w:t>Disposals</w:t>
            </w:r>
          </w:p>
        </w:tc>
        <w:tc>
          <w:tcPr>
            <w:tcW w:w="1079" w:type="dxa"/>
          </w:tcPr>
          <w:p>
            <w:pPr>
              <w:pStyle w:val="TableParagraph"/>
              <w:spacing w:before="20"/>
              <w:ind w:right="54"/>
              <w:jc w:val="right"/>
              <w:rPr>
                <w:sz w:val="14"/>
              </w:rPr>
            </w:pPr>
            <w:r>
              <w:rPr>
                <w:w w:val="95"/>
                <w:sz w:val="14"/>
              </w:rPr>
              <w:t>(11,310)</w:t>
            </w:r>
          </w:p>
        </w:tc>
        <w:tc>
          <w:tcPr>
            <w:tcW w:w="107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56"/>
              <w:jc w:val="right"/>
              <w:rPr>
                <w:sz w:val="14"/>
              </w:rPr>
            </w:pPr>
            <w:r>
              <w:rPr>
                <w:sz w:val="14"/>
              </w:rPr>
              <w:t>(758)</w:t>
            </w:r>
          </w:p>
        </w:tc>
        <w:tc>
          <w:tcPr>
            <w:tcW w:w="1094" w:type="dxa"/>
          </w:tcPr>
          <w:p>
            <w:pPr>
              <w:pStyle w:val="TableParagraph"/>
              <w:spacing w:before="20"/>
              <w:ind w:right="147"/>
              <w:jc w:val="right"/>
              <w:rPr>
                <w:sz w:val="14"/>
              </w:rPr>
            </w:pPr>
            <w:r>
              <w:rPr>
                <w:w w:val="99"/>
                <w:sz w:val="14"/>
              </w:rPr>
              <w:t>-</w:t>
            </w:r>
          </w:p>
        </w:tc>
        <w:tc>
          <w:tcPr>
            <w:tcW w:w="1013" w:type="dxa"/>
          </w:tcPr>
          <w:p>
            <w:pPr>
              <w:pStyle w:val="TableParagraph"/>
              <w:spacing w:before="20"/>
              <w:ind w:right="66"/>
              <w:jc w:val="right"/>
              <w:rPr>
                <w:sz w:val="14"/>
              </w:rPr>
            </w:pPr>
            <w:r>
              <w:rPr>
                <w:sz w:val="14"/>
              </w:rPr>
              <w:t>(168)</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50"/>
              <w:jc w:val="right"/>
              <w:rPr>
                <w:sz w:val="14"/>
              </w:rPr>
            </w:pPr>
            <w:r>
              <w:rPr>
                <w:sz w:val="14"/>
              </w:rPr>
              <w:t>(228)</w:t>
            </w:r>
          </w:p>
        </w:tc>
        <w:tc>
          <w:tcPr>
            <w:tcW w:w="1068" w:type="dxa"/>
          </w:tcPr>
          <w:p>
            <w:pPr>
              <w:pStyle w:val="TableParagraph"/>
              <w:spacing w:before="20"/>
              <w:ind w:right="214"/>
              <w:jc w:val="right"/>
              <w:rPr>
                <w:sz w:val="14"/>
              </w:rPr>
            </w:pPr>
            <w:r>
              <w:rPr>
                <w:w w:val="99"/>
                <w:sz w:val="14"/>
              </w:rPr>
              <w:t>-</w:t>
            </w:r>
          </w:p>
        </w:tc>
        <w:tc>
          <w:tcPr>
            <w:tcW w:w="903" w:type="dxa"/>
          </w:tcPr>
          <w:p>
            <w:pPr>
              <w:pStyle w:val="TableParagraph"/>
              <w:spacing w:before="20"/>
              <w:ind w:right="24"/>
              <w:jc w:val="right"/>
              <w:rPr>
                <w:sz w:val="14"/>
              </w:rPr>
            </w:pPr>
            <w:r>
              <w:rPr>
                <w:w w:val="95"/>
                <w:sz w:val="14"/>
              </w:rPr>
              <w:t>(12,464)</w:t>
            </w:r>
          </w:p>
        </w:tc>
      </w:tr>
      <w:tr>
        <w:trPr>
          <w:trHeight w:val="218" w:hRule="exact"/>
        </w:trPr>
        <w:tc>
          <w:tcPr>
            <w:tcW w:w="3885" w:type="dxa"/>
          </w:tcPr>
          <w:p>
            <w:pPr>
              <w:pStyle w:val="TableParagraph"/>
              <w:spacing w:before="22"/>
              <w:ind w:left="35"/>
              <w:rPr>
                <w:sz w:val="14"/>
              </w:rPr>
            </w:pPr>
            <w:r>
              <w:rPr>
                <w:sz w:val="14"/>
              </w:rPr>
              <w:t>Depreciation Charge</w:t>
            </w:r>
          </w:p>
        </w:tc>
        <w:tc>
          <w:tcPr>
            <w:tcW w:w="1079" w:type="dxa"/>
          </w:tcPr>
          <w:p>
            <w:pPr>
              <w:pStyle w:val="TableParagraph"/>
              <w:spacing w:before="20"/>
              <w:ind w:right="99"/>
              <w:jc w:val="right"/>
              <w:rPr>
                <w:sz w:val="14"/>
              </w:rPr>
            </w:pPr>
            <w:r>
              <w:rPr>
                <w:w w:val="99"/>
                <w:sz w:val="14"/>
              </w:rPr>
              <w:t>-</w:t>
            </w:r>
          </w:p>
        </w:tc>
        <w:tc>
          <w:tcPr>
            <w:tcW w:w="107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56"/>
              <w:jc w:val="right"/>
              <w:rPr>
                <w:sz w:val="14"/>
              </w:rPr>
            </w:pPr>
            <w:r>
              <w:rPr>
                <w:w w:val="95"/>
                <w:sz w:val="14"/>
              </w:rPr>
              <w:t>(23,172)</w:t>
            </w:r>
          </w:p>
        </w:tc>
        <w:tc>
          <w:tcPr>
            <w:tcW w:w="1094" w:type="dxa"/>
          </w:tcPr>
          <w:p>
            <w:pPr>
              <w:pStyle w:val="TableParagraph"/>
              <w:spacing w:before="20"/>
              <w:ind w:right="102"/>
              <w:jc w:val="right"/>
              <w:rPr>
                <w:sz w:val="14"/>
              </w:rPr>
            </w:pPr>
            <w:r>
              <w:rPr>
                <w:w w:val="95"/>
                <w:sz w:val="14"/>
              </w:rPr>
              <w:t>(2,752)</w:t>
            </w:r>
          </w:p>
        </w:tc>
        <w:tc>
          <w:tcPr>
            <w:tcW w:w="1013" w:type="dxa"/>
          </w:tcPr>
          <w:p>
            <w:pPr>
              <w:pStyle w:val="TableParagraph"/>
              <w:spacing w:before="20"/>
              <w:ind w:right="66"/>
              <w:jc w:val="right"/>
              <w:rPr>
                <w:sz w:val="14"/>
              </w:rPr>
            </w:pPr>
            <w:r>
              <w:rPr>
                <w:w w:val="95"/>
                <w:sz w:val="14"/>
              </w:rPr>
              <w:t>(10,826)</w:t>
            </w:r>
          </w:p>
        </w:tc>
        <w:tc>
          <w:tcPr>
            <w:tcW w:w="1182" w:type="dxa"/>
          </w:tcPr>
          <w:p>
            <w:pPr>
              <w:pStyle w:val="TableParagraph"/>
              <w:spacing w:before="20"/>
              <w:ind w:right="113"/>
              <w:jc w:val="right"/>
              <w:rPr>
                <w:sz w:val="14"/>
              </w:rPr>
            </w:pPr>
            <w:r>
              <w:rPr>
                <w:w w:val="95"/>
                <w:sz w:val="14"/>
              </w:rPr>
              <w:t>(1,803)</w:t>
            </w:r>
          </w:p>
        </w:tc>
        <w:tc>
          <w:tcPr>
            <w:tcW w:w="1084" w:type="dxa"/>
          </w:tcPr>
          <w:p>
            <w:pPr>
              <w:pStyle w:val="TableParagraph"/>
              <w:spacing w:before="20"/>
              <w:ind w:right="150"/>
              <w:jc w:val="right"/>
              <w:rPr>
                <w:sz w:val="14"/>
              </w:rPr>
            </w:pPr>
            <w:r>
              <w:rPr>
                <w:w w:val="95"/>
                <w:sz w:val="14"/>
              </w:rPr>
              <w:t>(2,945)</w:t>
            </w:r>
          </w:p>
        </w:tc>
        <w:tc>
          <w:tcPr>
            <w:tcW w:w="1068" w:type="dxa"/>
          </w:tcPr>
          <w:p>
            <w:pPr>
              <w:pStyle w:val="TableParagraph"/>
              <w:spacing w:before="20"/>
              <w:ind w:right="214"/>
              <w:jc w:val="right"/>
              <w:rPr>
                <w:sz w:val="14"/>
              </w:rPr>
            </w:pPr>
            <w:r>
              <w:rPr>
                <w:w w:val="99"/>
                <w:sz w:val="14"/>
              </w:rPr>
              <w:t>-</w:t>
            </w:r>
          </w:p>
        </w:tc>
        <w:tc>
          <w:tcPr>
            <w:tcW w:w="903" w:type="dxa"/>
          </w:tcPr>
          <w:p>
            <w:pPr>
              <w:pStyle w:val="TableParagraph"/>
              <w:spacing w:before="20"/>
              <w:ind w:right="24"/>
              <w:jc w:val="right"/>
              <w:rPr>
                <w:sz w:val="14"/>
              </w:rPr>
            </w:pPr>
            <w:r>
              <w:rPr>
                <w:w w:val="95"/>
                <w:sz w:val="14"/>
              </w:rPr>
              <w:t>(41,498)</w:t>
            </w:r>
          </w:p>
        </w:tc>
      </w:tr>
      <w:tr>
        <w:trPr>
          <w:trHeight w:val="218" w:hRule="exact"/>
        </w:trPr>
        <w:tc>
          <w:tcPr>
            <w:tcW w:w="3885" w:type="dxa"/>
          </w:tcPr>
          <w:p>
            <w:pPr>
              <w:pStyle w:val="TableParagraph"/>
              <w:spacing w:before="22"/>
              <w:ind w:left="35"/>
              <w:rPr>
                <w:sz w:val="14"/>
              </w:rPr>
            </w:pPr>
            <w:r>
              <w:rPr>
                <w:w w:val="95"/>
                <w:sz w:val="14"/>
              </w:rPr>
              <w:t>Non-Cash  Adjustments</w:t>
            </w:r>
          </w:p>
        </w:tc>
        <w:tc>
          <w:tcPr>
            <w:tcW w:w="1079" w:type="dxa"/>
          </w:tcPr>
          <w:p>
            <w:pPr>
              <w:pStyle w:val="TableParagraph"/>
              <w:spacing w:before="20"/>
              <w:ind w:right="99"/>
              <w:jc w:val="right"/>
              <w:rPr>
                <w:sz w:val="14"/>
              </w:rPr>
            </w:pPr>
            <w:r>
              <w:rPr>
                <w:w w:val="99"/>
                <w:sz w:val="14"/>
              </w:rPr>
              <w:t>-</w:t>
            </w:r>
          </w:p>
        </w:tc>
        <w:tc>
          <w:tcPr>
            <w:tcW w:w="107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101"/>
              <w:jc w:val="right"/>
              <w:rPr>
                <w:sz w:val="14"/>
              </w:rPr>
            </w:pPr>
            <w:r>
              <w:rPr>
                <w:w w:val="99"/>
                <w:sz w:val="14"/>
              </w:rPr>
              <w:t>-</w:t>
            </w:r>
          </w:p>
        </w:tc>
        <w:tc>
          <w:tcPr>
            <w:tcW w:w="1094" w:type="dxa"/>
          </w:tcPr>
          <w:p>
            <w:pPr>
              <w:pStyle w:val="TableParagraph"/>
              <w:spacing w:before="20"/>
              <w:ind w:right="147"/>
              <w:jc w:val="right"/>
              <w:rPr>
                <w:sz w:val="14"/>
              </w:rPr>
            </w:pPr>
            <w:r>
              <w:rPr>
                <w:w w:val="99"/>
                <w:sz w:val="14"/>
              </w:rPr>
              <w:t>-</w:t>
            </w:r>
          </w:p>
        </w:tc>
        <w:tc>
          <w:tcPr>
            <w:tcW w:w="1013" w:type="dxa"/>
          </w:tcPr>
          <w:p>
            <w:pPr>
              <w:pStyle w:val="TableParagraph"/>
              <w:spacing w:before="20"/>
              <w:ind w:right="111"/>
              <w:jc w:val="right"/>
              <w:rPr>
                <w:sz w:val="14"/>
              </w:rPr>
            </w:pPr>
            <w:r>
              <w:rPr>
                <w:w w:val="99"/>
                <w:sz w:val="14"/>
              </w:rPr>
              <w:t>9</w:t>
            </w:r>
          </w:p>
        </w:tc>
        <w:tc>
          <w:tcPr>
            <w:tcW w:w="1182" w:type="dxa"/>
          </w:tcPr>
          <w:p>
            <w:pPr>
              <w:pStyle w:val="TableParagraph"/>
              <w:spacing w:before="20"/>
              <w:ind w:right="158"/>
              <w:jc w:val="right"/>
              <w:rPr>
                <w:sz w:val="14"/>
              </w:rPr>
            </w:pPr>
            <w:r>
              <w:rPr>
                <w:sz w:val="14"/>
              </w:rPr>
              <w:t>28</w:t>
            </w:r>
          </w:p>
        </w:tc>
        <w:tc>
          <w:tcPr>
            <w:tcW w:w="1084" w:type="dxa"/>
          </w:tcPr>
          <w:p>
            <w:pPr>
              <w:pStyle w:val="TableParagraph"/>
              <w:spacing w:before="20"/>
              <w:ind w:right="195"/>
              <w:jc w:val="right"/>
              <w:rPr>
                <w:sz w:val="14"/>
              </w:rPr>
            </w:pPr>
            <w:r>
              <w:rPr>
                <w:w w:val="99"/>
                <w:sz w:val="14"/>
              </w:rPr>
              <w:t>-</w:t>
            </w:r>
          </w:p>
        </w:tc>
        <w:tc>
          <w:tcPr>
            <w:tcW w:w="1068" w:type="dxa"/>
          </w:tcPr>
          <w:p>
            <w:pPr>
              <w:pStyle w:val="TableParagraph"/>
              <w:spacing w:before="20"/>
              <w:ind w:right="214"/>
              <w:jc w:val="right"/>
              <w:rPr>
                <w:sz w:val="14"/>
              </w:rPr>
            </w:pPr>
            <w:r>
              <w:rPr>
                <w:w w:val="99"/>
                <w:sz w:val="14"/>
              </w:rPr>
              <w:t>-</w:t>
            </w:r>
          </w:p>
        </w:tc>
        <w:tc>
          <w:tcPr>
            <w:tcW w:w="903" w:type="dxa"/>
          </w:tcPr>
          <w:p>
            <w:pPr>
              <w:pStyle w:val="TableParagraph"/>
              <w:spacing w:before="20"/>
              <w:ind w:right="70"/>
              <w:jc w:val="right"/>
              <w:rPr>
                <w:sz w:val="14"/>
              </w:rPr>
            </w:pPr>
            <w:r>
              <w:rPr>
                <w:sz w:val="14"/>
              </w:rPr>
              <w:t>37</w:t>
            </w:r>
          </w:p>
        </w:tc>
      </w:tr>
      <w:tr>
        <w:trPr>
          <w:trHeight w:val="217" w:hRule="exact"/>
        </w:trPr>
        <w:tc>
          <w:tcPr>
            <w:tcW w:w="3885" w:type="dxa"/>
          </w:tcPr>
          <w:p>
            <w:pPr>
              <w:pStyle w:val="TableParagraph"/>
              <w:spacing w:before="20"/>
              <w:ind w:left="35"/>
              <w:rPr>
                <w:sz w:val="14"/>
              </w:rPr>
            </w:pPr>
            <w:r>
              <w:rPr>
                <w:sz w:val="14"/>
              </w:rPr>
              <w:t>Assets capitalised from Construction in Progress</w:t>
            </w:r>
          </w:p>
        </w:tc>
        <w:tc>
          <w:tcPr>
            <w:tcW w:w="1079" w:type="dxa"/>
          </w:tcPr>
          <w:p>
            <w:pPr>
              <w:pStyle w:val="TableParagraph"/>
              <w:spacing w:before="20"/>
              <w:ind w:right="54"/>
              <w:jc w:val="right"/>
              <w:rPr>
                <w:sz w:val="14"/>
              </w:rPr>
            </w:pPr>
            <w:r>
              <w:rPr>
                <w:w w:val="95"/>
                <w:sz w:val="14"/>
              </w:rPr>
              <w:t>(76,421)</w:t>
            </w:r>
          </w:p>
        </w:tc>
        <w:tc>
          <w:tcPr>
            <w:tcW w:w="107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102"/>
              <w:jc w:val="right"/>
              <w:rPr>
                <w:sz w:val="14"/>
              </w:rPr>
            </w:pPr>
            <w:r>
              <w:rPr>
                <w:w w:val="95"/>
                <w:sz w:val="14"/>
              </w:rPr>
              <w:t>54,304</w:t>
            </w:r>
          </w:p>
        </w:tc>
        <w:tc>
          <w:tcPr>
            <w:tcW w:w="1094" w:type="dxa"/>
          </w:tcPr>
          <w:p>
            <w:pPr>
              <w:pStyle w:val="TableParagraph"/>
              <w:spacing w:before="20"/>
              <w:ind w:right="148"/>
              <w:jc w:val="right"/>
              <w:rPr>
                <w:sz w:val="14"/>
              </w:rPr>
            </w:pPr>
            <w:r>
              <w:rPr>
                <w:w w:val="95"/>
                <w:sz w:val="14"/>
              </w:rPr>
              <w:t>11,674</w:t>
            </w:r>
          </w:p>
        </w:tc>
        <w:tc>
          <w:tcPr>
            <w:tcW w:w="1013" w:type="dxa"/>
          </w:tcPr>
          <w:p>
            <w:pPr>
              <w:pStyle w:val="TableParagraph"/>
              <w:spacing w:before="20"/>
              <w:ind w:right="113"/>
              <w:jc w:val="right"/>
              <w:rPr>
                <w:sz w:val="14"/>
              </w:rPr>
            </w:pPr>
            <w:r>
              <w:rPr>
                <w:sz w:val="14"/>
              </w:rPr>
              <w:t>9,760</w:t>
            </w:r>
          </w:p>
        </w:tc>
        <w:tc>
          <w:tcPr>
            <w:tcW w:w="1182" w:type="dxa"/>
          </w:tcPr>
          <w:p>
            <w:pPr>
              <w:pStyle w:val="TableParagraph"/>
              <w:spacing w:before="20"/>
              <w:ind w:right="158"/>
              <w:jc w:val="right"/>
              <w:rPr>
                <w:sz w:val="14"/>
              </w:rPr>
            </w:pPr>
            <w:r>
              <w:rPr>
                <w:sz w:val="14"/>
              </w:rPr>
              <w:t>683</w:t>
            </w:r>
          </w:p>
        </w:tc>
        <w:tc>
          <w:tcPr>
            <w:tcW w:w="1084" w:type="dxa"/>
          </w:tcPr>
          <w:p>
            <w:pPr>
              <w:pStyle w:val="TableParagraph"/>
              <w:spacing w:before="20"/>
              <w:ind w:right="195"/>
              <w:jc w:val="right"/>
              <w:rPr>
                <w:sz w:val="14"/>
              </w:rPr>
            </w:pPr>
            <w:r>
              <w:rPr>
                <w:w w:val="99"/>
                <w:sz w:val="14"/>
              </w:rPr>
              <w:t>-</w:t>
            </w:r>
          </w:p>
        </w:tc>
        <w:tc>
          <w:tcPr>
            <w:tcW w:w="1068" w:type="dxa"/>
          </w:tcPr>
          <w:p>
            <w:pPr>
              <w:pStyle w:val="TableParagraph"/>
              <w:spacing w:before="20"/>
              <w:ind w:right="214"/>
              <w:jc w:val="right"/>
              <w:rPr>
                <w:sz w:val="14"/>
              </w:rPr>
            </w:pPr>
            <w:r>
              <w:rPr>
                <w:w w:val="99"/>
                <w:sz w:val="14"/>
              </w:rPr>
              <w:t>-</w:t>
            </w:r>
          </w:p>
        </w:tc>
        <w:tc>
          <w:tcPr>
            <w:tcW w:w="903" w:type="dxa"/>
          </w:tcPr>
          <w:p>
            <w:pPr>
              <w:pStyle w:val="TableParagraph"/>
              <w:spacing w:before="20"/>
              <w:ind w:right="69"/>
              <w:jc w:val="right"/>
              <w:rPr>
                <w:sz w:val="14"/>
              </w:rPr>
            </w:pPr>
            <w:r>
              <w:rPr>
                <w:w w:val="99"/>
                <w:sz w:val="14"/>
              </w:rPr>
              <w:t>-</w:t>
            </w:r>
          </w:p>
        </w:tc>
      </w:tr>
      <w:tr>
        <w:trPr>
          <w:trHeight w:val="218" w:hRule="exact"/>
        </w:trPr>
        <w:tc>
          <w:tcPr>
            <w:tcW w:w="3885" w:type="dxa"/>
          </w:tcPr>
          <w:p>
            <w:pPr>
              <w:pStyle w:val="TableParagraph"/>
              <w:spacing w:before="23"/>
              <w:ind w:left="35"/>
              <w:rPr>
                <w:sz w:val="14"/>
              </w:rPr>
            </w:pPr>
            <w:r>
              <w:rPr>
                <w:sz w:val="14"/>
              </w:rPr>
              <w:t>Transfers to Held for Sale Assets</w:t>
            </w:r>
          </w:p>
        </w:tc>
        <w:tc>
          <w:tcPr>
            <w:tcW w:w="1079" w:type="dxa"/>
            <w:tcBorders>
              <w:bottom w:val="single" w:sz="1" w:space="0" w:color="000000"/>
            </w:tcBorders>
          </w:tcPr>
          <w:p>
            <w:pPr>
              <w:pStyle w:val="TableParagraph"/>
              <w:spacing w:before="21"/>
              <w:ind w:right="99"/>
              <w:jc w:val="right"/>
              <w:rPr>
                <w:sz w:val="14"/>
              </w:rPr>
            </w:pPr>
            <w:r>
              <w:rPr>
                <w:w w:val="99"/>
                <w:sz w:val="14"/>
              </w:rPr>
              <w:t>-</w:t>
            </w:r>
          </w:p>
        </w:tc>
        <w:tc>
          <w:tcPr>
            <w:tcW w:w="1077" w:type="dxa"/>
            <w:tcBorders>
              <w:bottom w:val="single" w:sz="1" w:space="0" w:color="000000"/>
            </w:tcBorders>
          </w:tcPr>
          <w:p>
            <w:pPr>
              <w:pStyle w:val="TableParagraph"/>
              <w:spacing w:before="21"/>
              <w:ind w:right="81"/>
              <w:jc w:val="right"/>
              <w:rPr>
                <w:sz w:val="14"/>
              </w:rPr>
            </w:pPr>
            <w:r>
              <w:rPr>
                <w:w w:val="95"/>
                <w:sz w:val="14"/>
              </w:rPr>
              <w:t>(10,859)</w:t>
            </w:r>
          </w:p>
        </w:tc>
        <w:tc>
          <w:tcPr>
            <w:tcW w:w="1068" w:type="dxa"/>
            <w:tcBorders>
              <w:bottom w:val="single" w:sz="1" w:space="0" w:color="000000"/>
            </w:tcBorders>
          </w:tcPr>
          <w:p>
            <w:pPr>
              <w:pStyle w:val="TableParagraph"/>
              <w:spacing w:before="21"/>
              <w:ind w:right="146"/>
              <w:jc w:val="right"/>
              <w:rPr>
                <w:sz w:val="14"/>
              </w:rPr>
            </w:pPr>
            <w:r>
              <w:rPr>
                <w:w w:val="99"/>
                <w:sz w:val="14"/>
              </w:rPr>
              <w:t>-</w:t>
            </w:r>
          </w:p>
        </w:tc>
        <w:tc>
          <w:tcPr>
            <w:tcW w:w="1004" w:type="dxa"/>
            <w:tcBorders>
              <w:bottom w:val="single" w:sz="1" w:space="0" w:color="000000"/>
            </w:tcBorders>
          </w:tcPr>
          <w:p>
            <w:pPr>
              <w:pStyle w:val="TableParagraph"/>
              <w:spacing w:before="21"/>
              <w:ind w:right="101"/>
              <w:jc w:val="right"/>
              <w:rPr>
                <w:sz w:val="14"/>
              </w:rPr>
            </w:pPr>
            <w:r>
              <w:rPr>
                <w:w w:val="99"/>
                <w:sz w:val="14"/>
              </w:rPr>
              <w:t>-</w:t>
            </w:r>
          </w:p>
        </w:tc>
        <w:tc>
          <w:tcPr>
            <w:tcW w:w="1094" w:type="dxa"/>
            <w:tcBorders>
              <w:bottom w:val="single" w:sz="1" w:space="0" w:color="000000"/>
            </w:tcBorders>
          </w:tcPr>
          <w:p>
            <w:pPr>
              <w:pStyle w:val="TableParagraph"/>
              <w:spacing w:before="21"/>
              <w:ind w:right="102"/>
              <w:jc w:val="right"/>
              <w:rPr>
                <w:sz w:val="14"/>
              </w:rPr>
            </w:pPr>
            <w:r>
              <w:rPr>
                <w:w w:val="95"/>
                <w:sz w:val="14"/>
              </w:rPr>
              <w:t>(5,171)</w:t>
            </w:r>
          </w:p>
        </w:tc>
        <w:tc>
          <w:tcPr>
            <w:tcW w:w="1013" w:type="dxa"/>
            <w:tcBorders>
              <w:bottom w:val="single" w:sz="1" w:space="0" w:color="000000"/>
            </w:tcBorders>
          </w:tcPr>
          <w:p>
            <w:pPr>
              <w:pStyle w:val="TableParagraph"/>
              <w:spacing w:before="21"/>
              <w:ind w:right="111"/>
              <w:jc w:val="right"/>
              <w:rPr>
                <w:sz w:val="14"/>
              </w:rPr>
            </w:pPr>
            <w:r>
              <w:rPr>
                <w:w w:val="99"/>
                <w:sz w:val="14"/>
              </w:rPr>
              <w:t>-</w:t>
            </w:r>
          </w:p>
        </w:tc>
        <w:tc>
          <w:tcPr>
            <w:tcW w:w="1182" w:type="dxa"/>
            <w:tcBorders>
              <w:bottom w:val="single" w:sz="1" w:space="0" w:color="000000"/>
            </w:tcBorders>
          </w:tcPr>
          <w:p>
            <w:pPr>
              <w:pStyle w:val="TableParagraph"/>
              <w:spacing w:before="21"/>
              <w:ind w:right="158"/>
              <w:jc w:val="right"/>
              <w:rPr>
                <w:sz w:val="14"/>
              </w:rPr>
            </w:pPr>
            <w:r>
              <w:rPr>
                <w:w w:val="99"/>
                <w:sz w:val="14"/>
              </w:rPr>
              <w:t>-</w:t>
            </w:r>
          </w:p>
        </w:tc>
        <w:tc>
          <w:tcPr>
            <w:tcW w:w="1084" w:type="dxa"/>
            <w:tcBorders>
              <w:bottom w:val="single" w:sz="1" w:space="0" w:color="000000"/>
            </w:tcBorders>
          </w:tcPr>
          <w:p>
            <w:pPr>
              <w:pStyle w:val="TableParagraph"/>
              <w:spacing w:before="21"/>
              <w:ind w:right="195"/>
              <w:jc w:val="right"/>
              <w:rPr>
                <w:sz w:val="14"/>
              </w:rPr>
            </w:pPr>
            <w:r>
              <w:rPr>
                <w:w w:val="99"/>
                <w:sz w:val="14"/>
              </w:rPr>
              <w:t>-</w:t>
            </w:r>
          </w:p>
        </w:tc>
        <w:tc>
          <w:tcPr>
            <w:tcW w:w="1068" w:type="dxa"/>
            <w:tcBorders>
              <w:bottom w:val="single" w:sz="1" w:space="0" w:color="000000"/>
            </w:tcBorders>
          </w:tcPr>
          <w:p>
            <w:pPr>
              <w:pStyle w:val="TableParagraph"/>
              <w:spacing w:before="21"/>
              <w:ind w:right="214"/>
              <w:jc w:val="right"/>
              <w:rPr>
                <w:sz w:val="14"/>
              </w:rPr>
            </w:pPr>
            <w:r>
              <w:rPr>
                <w:w w:val="99"/>
                <w:sz w:val="14"/>
              </w:rPr>
              <w:t>-</w:t>
            </w:r>
          </w:p>
        </w:tc>
        <w:tc>
          <w:tcPr>
            <w:tcW w:w="903" w:type="dxa"/>
            <w:tcBorders>
              <w:bottom w:val="single" w:sz="1" w:space="0" w:color="000000"/>
            </w:tcBorders>
          </w:tcPr>
          <w:p>
            <w:pPr>
              <w:pStyle w:val="TableParagraph"/>
              <w:spacing w:before="21"/>
              <w:ind w:right="24"/>
              <w:jc w:val="right"/>
              <w:rPr>
                <w:sz w:val="14"/>
              </w:rPr>
            </w:pPr>
            <w:r>
              <w:rPr>
                <w:w w:val="95"/>
                <w:sz w:val="14"/>
              </w:rPr>
              <w:t>(16,030)</w:t>
            </w:r>
          </w:p>
        </w:tc>
      </w:tr>
      <w:tr>
        <w:trPr>
          <w:trHeight w:val="293" w:hRule="exact"/>
        </w:trPr>
        <w:tc>
          <w:tcPr>
            <w:tcW w:w="3885" w:type="dxa"/>
          </w:tcPr>
          <w:p>
            <w:pPr>
              <w:pStyle w:val="TableParagraph"/>
              <w:spacing w:before="124"/>
              <w:ind w:left="35"/>
              <w:rPr>
                <w:b/>
                <w:sz w:val="14"/>
              </w:rPr>
            </w:pPr>
            <w:r>
              <w:rPr>
                <w:b/>
                <w:sz w:val="14"/>
              </w:rPr>
              <w:t>Closing Net Book Amount</w:t>
            </w:r>
          </w:p>
        </w:tc>
        <w:tc>
          <w:tcPr>
            <w:tcW w:w="1079" w:type="dxa"/>
            <w:tcBorders>
              <w:top w:val="single" w:sz="1" w:space="0" w:color="000000"/>
              <w:bottom w:val="single" w:sz="1" w:space="0" w:color="000000"/>
            </w:tcBorders>
          </w:tcPr>
          <w:p>
            <w:pPr>
              <w:pStyle w:val="TableParagraph"/>
              <w:spacing w:before="123"/>
              <w:ind w:right="99"/>
              <w:jc w:val="right"/>
              <w:rPr>
                <w:sz w:val="14"/>
              </w:rPr>
            </w:pPr>
            <w:r>
              <w:rPr>
                <w:w w:val="95"/>
                <w:sz w:val="14"/>
              </w:rPr>
              <w:t>84,171</w:t>
            </w:r>
          </w:p>
        </w:tc>
        <w:tc>
          <w:tcPr>
            <w:tcW w:w="1077" w:type="dxa"/>
            <w:tcBorders>
              <w:top w:val="single" w:sz="1" w:space="0" w:color="000000"/>
              <w:bottom w:val="single" w:sz="1" w:space="0" w:color="000000"/>
            </w:tcBorders>
          </w:tcPr>
          <w:p>
            <w:pPr>
              <w:pStyle w:val="TableParagraph"/>
              <w:spacing w:before="123"/>
              <w:ind w:right="127"/>
              <w:jc w:val="right"/>
              <w:rPr>
                <w:sz w:val="14"/>
              </w:rPr>
            </w:pPr>
            <w:r>
              <w:rPr>
                <w:w w:val="95"/>
                <w:sz w:val="14"/>
              </w:rPr>
              <w:t>204,632</w:t>
            </w:r>
          </w:p>
        </w:tc>
        <w:tc>
          <w:tcPr>
            <w:tcW w:w="1068" w:type="dxa"/>
            <w:tcBorders>
              <w:top w:val="single" w:sz="1" w:space="0" w:color="000000"/>
              <w:bottom w:val="single" w:sz="1" w:space="0" w:color="000000"/>
            </w:tcBorders>
          </w:tcPr>
          <w:p>
            <w:pPr>
              <w:pStyle w:val="TableParagraph"/>
              <w:spacing w:before="123"/>
              <w:ind w:right="147"/>
              <w:jc w:val="right"/>
              <w:rPr>
                <w:sz w:val="14"/>
              </w:rPr>
            </w:pPr>
            <w:r>
              <w:rPr>
                <w:w w:val="95"/>
                <w:sz w:val="14"/>
              </w:rPr>
              <w:t>162,335</w:t>
            </w:r>
          </w:p>
        </w:tc>
        <w:tc>
          <w:tcPr>
            <w:tcW w:w="1004" w:type="dxa"/>
            <w:tcBorders>
              <w:top w:val="single" w:sz="1" w:space="0" w:color="000000"/>
              <w:bottom w:val="single" w:sz="1" w:space="0" w:color="000000"/>
            </w:tcBorders>
          </w:tcPr>
          <w:p>
            <w:pPr>
              <w:pStyle w:val="TableParagraph"/>
              <w:spacing w:before="123"/>
              <w:ind w:right="102"/>
              <w:jc w:val="right"/>
              <w:rPr>
                <w:sz w:val="14"/>
              </w:rPr>
            </w:pPr>
            <w:r>
              <w:rPr>
                <w:w w:val="95"/>
                <w:sz w:val="14"/>
              </w:rPr>
              <w:t>960,757</w:t>
            </w:r>
          </w:p>
        </w:tc>
        <w:tc>
          <w:tcPr>
            <w:tcW w:w="1094" w:type="dxa"/>
            <w:tcBorders>
              <w:top w:val="single" w:sz="1" w:space="0" w:color="000000"/>
              <w:bottom w:val="single" w:sz="1" w:space="0" w:color="000000"/>
            </w:tcBorders>
          </w:tcPr>
          <w:p>
            <w:pPr>
              <w:pStyle w:val="TableParagraph"/>
              <w:spacing w:before="123"/>
              <w:ind w:right="148"/>
              <w:jc w:val="right"/>
              <w:rPr>
                <w:sz w:val="14"/>
              </w:rPr>
            </w:pPr>
            <w:r>
              <w:rPr>
                <w:w w:val="95"/>
                <w:sz w:val="14"/>
              </w:rPr>
              <w:t>91,349</w:t>
            </w:r>
          </w:p>
        </w:tc>
        <w:tc>
          <w:tcPr>
            <w:tcW w:w="1013" w:type="dxa"/>
            <w:tcBorders>
              <w:top w:val="single" w:sz="1" w:space="0" w:color="000000"/>
              <w:bottom w:val="single" w:sz="1" w:space="0" w:color="000000"/>
            </w:tcBorders>
          </w:tcPr>
          <w:p>
            <w:pPr>
              <w:pStyle w:val="TableParagraph"/>
              <w:spacing w:before="123"/>
              <w:ind w:right="112"/>
              <w:jc w:val="right"/>
              <w:rPr>
                <w:sz w:val="14"/>
              </w:rPr>
            </w:pPr>
            <w:r>
              <w:rPr>
                <w:w w:val="95"/>
                <w:sz w:val="14"/>
              </w:rPr>
              <w:t>65,750</w:t>
            </w:r>
          </w:p>
        </w:tc>
        <w:tc>
          <w:tcPr>
            <w:tcW w:w="1182" w:type="dxa"/>
            <w:tcBorders>
              <w:top w:val="single" w:sz="1" w:space="0" w:color="000000"/>
              <w:bottom w:val="single" w:sz="1" w:space="0" w:color="000000"/>
            </w:tcBorders>
          </w:tcPr>
          <w:p>
            <w:pPr>
              <w:pStyle w:val="TableParagraph"/>
              <w:spacing w:before="123"/>
              <w:ind w:right="158"/>
              <w:jc w:val="right"/>
              <w:rPr>
                <w:sz w:val="14"/>
              </w:rPr>
            </w:pPr>
            <w:r>
              <w:rPr>
                <w:w w:val="95"/>
                <w:sz w:val="14"/>
              </w:rPr>
              <w:t>11,970</w:t>
            </w:r>
          </w:p>
        </w:tc>
        <w:tc>
          <w:tcPr>
            <w:tcW w:w="1084" w:type="dxa"/>
            <w:tcBorders>
              <w:top w:val="single" w:sz="1" w:space="0" w:color="000000"/>
              <w:bottom w:val="single" w:sz="1" w:space="0" w:color="000000"/>
            </w:tcBorders>
          </w:tcPr>
          <w:p>
            <w:pPr>
              <w:pStyle w:val="TableParagraph"/>
              <w:spacing w:before="123"/>
              <w:ind w:right="197"/>
              <w:jc w:val="right"/>
              <w:rPr>
                <w:sz w:val="14"/>
              </w:rPr>
            </w:pPr>
            <w:r>
              <w:rPr>
                <w:sz w:val="14"/>
              </w:rPr>
              <w:t>7,878</w:t>
            </w:r>
          </w:p>
        </w:tc>
        <w:tc>
          <w:tcPr>
            <w:tcW w:w="1068" w:type="dxa"/>
            <w:tcBorders>
              <w:top w:val="single" w:sz="1" w:space="0" w:color="000000"/>
              <w:bottom w:val="single" w:sz="1" w:space="0" w:color="000000"/>
            </w:tcBorders>
          </w:tcPr>
          <w:p>
            <w:pPr>
              <w:pStyle w:val="TableParagraph"/>
              <w:spacing w:before="123"/>
              <w:ind w:right="215"/>
              <w:jc w:val="right"/>
              <w:rPr>
                <w:sz w:val="14"/>
              </w:rPr>
            </w:pPr>
            <w:r>
              <w:rPr>
                <w:sz w:val="14"/>
              </w:rPr>
              <w:t>4,192</w:t>
            </w:r>
          </w:p>
        </w:tc>
        <w:tc>
          <w:tcPr>
            <w:tcW w:w="903" w:type="dxa"/>
            <w:tcBorders>
              <w:top w:val="single" w:sz="1" w:space="0" w:color="000000"/>
              <w:bottom w:val="single" w:sz="1" w:space="0" w:color="000000"/>
            </w:tcBorders>
          </w:tcPr>
          <w:p>
            <w:pPr>
              <w:pStyle w:val="TableParagraph"/>
              <w:spacing w:before="123"/>
              <w:ind w:right="69"/>
              <w:jc w:val="right"/>
              <w:rPr>
                <w:sz w:val="14"/>
              </w:rPr>
            </w:pPr>
            <w:r>
              <w:rPr>
                <w:w w:val="95"/>
                <w:sz w:val="14"/>
              </w:rPr>
              <w:t>1,593,034</w:t>
            </w:r>
          </w:p>
        </w:tc>
      </w:tr>
      <w:tr>
        <w:trPr>
          <w:trHeight w:val="512" w:hRule="exact"/>
        </w:trPr>
        <w:tc>
          <w:tcPr>
            <w:tcW w:w="3885" w:type="dxa"/>
          </w:tcPr>
          <w:p>
            <w:pPr>
              <w:pStyle w:val="TableParagraph"/>
              <w:spacing w:before="124"/>
              <w:ind w:left="35"/>
              <w:rPr>
                <w:b/>
                <w:sz w:val="14"/>
              </w:rPr>
            </w:pPr>
            <w:r>
              <w:rPr>
                <w:b/>
                <w:sz w:val="14"/>
              </w:rPr>
              <w:t>At 31 December 2016</w:t>
            </w:r>
          </w:p>
          <w:p>
            <w:pPr>
              <w:pStyle w:val="TableParagraph"/>
              <w:spacing w:before="31"/>
              <w:ind w:left="35"/>
              <w:rPr>
                <w:sz w:val="14"/>
              </w:rPr>
            </w:pPr>
            <w:r>
              <w:rPr>
                <w:sz w:val="14"/>
              </w:rPr>
              <w:t>- Cost</w:t>
            </w:r>
          </w:p>
        </w:tc>
        <w:tc>
          <w:tcPr>
            <w:tcW w:w="1079" w:type="dxa"/>
            <w:tcBorders>
              <w:top w:val="single" w:sz="1" w:space="0" w:color="000000"/>
            </w:tcBorders>
          </w:tcPr>
          <w:p>
            <w:pPr>
              <w:pStyle w:val="TableParagraph"/>
              <w:rPr>
                <w:b/>
                <w:sz w:val="14"/>
              </w:rPr>
            </w:pPr>
          </w:p>
          <w:p>
            <w:pPr>
              <w:pStyle w:val="TableParagraph"/>
              <w:spacing w:before="2"/>
              <w:rPr>
                <w:b/>
                <w:sz w:val="13"/>
              </w:rPr>
            </w:pPr>
          </w:p>
          <w:p>
            <w:pPr>
              <w:pStyle w:val="TableParagraph"/>
              <w:ind w:right="99"/>
              <w:jc w:val="right"/>
              <w:rPr>
                <w:sz w:val="14"/>
              </w:rPr>
            </w:pPr>
            <w:r>
              <w:rPr>
                <w:w w:val="95"/>
                <w:sz w:val="14"/>
              </w:rPr>
              <w:t>84,171</w:t>
            </w:r>
          </w:p>
        </w:tc>
        <w:tc>
          <w:tcPr>
            <w:tcW w:w="1077" w:type="dxa"/>
            <w:tcBorders>
              <w:top w:val="single" w:sz="1" w:space="0" w:color="000000"/>
            </w:tcBorders>
          </w:tcPr>
          <w:p>
            <w:pPr>
              <w:pStyle w:val="TableParagraph"/>
              <w:rPr>
                <w:b/>
                <w:sz w:val="14"/>
              </w:rPr>
            </w:pPr>
          </w:p>
          <w:p>
            <w:pPr>
              <w:pStyle w:val="TableParagraph"/>
              <w:spacing w:before="2"/>
              <w:rPr>
                <w:b/>
                <w:sz w:val="13"/>
              </w:rPr>
            </w:pPr>
          </w:p>
          <w:p>
            <w:pPr>
              <w:pStyle w:val="TableParagraph"/>
              <w:ind w:right="126"/>
              <w:jc w:val="right"/>
              <w:rPr>
                <w:sz w:val="14"/>
              </w:rPr>
            </w:pPr>
            <w:r>
              <w:rPr>
                <w:w w:val="99"/>
                <w:sz w:val="14"/>
              </w:rPr>
              <w:t>-</w:t>
            </w:r>
          </w:p>
        </w:tc>
        <w:tc>
          <w:tcPr>
            <w:tcW w:w="1068" w:type="dxa"/>
            <w:tcBorders>
              <w:top w:val="single" w:sz="1" w:space="0" w:color="000000"/>
            </w:tcBorders>
          </w:tcPr>
          <w:p>
            <w:pPr>
              <w:pStyle w:val="TableParagraph"/>
              <w:rPr>
                <w:b/>
                <w:sz w:val="14"/>
              </w:rPr>
            </w:pPr>
          </w:p>
          <w:p>
            <w:pPr>
              <w:pStyle w:val="TableParagraph"/>
              <w:spacing w:before="2"/>
              <w:rPr>
                <w:b/>
                <w:sz w:val="13"/>
              </w:rPr>
            </w:pPr>
          </w:p>
          <w:p>
            <w:pPr>
              <w:pStyle w:val="TableParagraph"/>
              <w:ind w:right="146"/>
              <w:jc w:val="right"/>
              <w:rPr>
                <w:sz w:val="14"/>
              </w:rPr>
            </w:pPr>
            <w:r>
              <w:rPr>
                <w:w w:val="99"/>
                <w:sz w:val="14"/>
              </w:rPr>
              <w:t>-</w:t>
            </w:r>
          </w:p>
        </w:tc>
        <w:tc>
          <w:tcPr>
            <w:tcW w:w="100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02"/>
              <w:jc w:val="right"/>
              <w:rPr>
                <w:sz w:val="14"/>
              </w:rPr>
            </w:pPr>
            <w:r>
              <w:rPr>
                <w:w w:val="95"/>
                <w:sz w:val="14"/>
              </w:rPr>
              <w:t>47,788</w:t>
            </w:r>
          </w:p>
        </w:tc>
        <w:tc>
          <w:tcPr>
            <w:tcW w:w="109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49"/>
              <w:jc w:val="right"/>
              <w:rPr>
                <w:sz w:val="14"/>
              </w:rPr>
            </w:pPr>
            <w:r>
              <w:rPr>
                <w:sz w:val="14"/>
              </w:rPr>
              <w:t>2,518</w:t>
            </w:r>
          </w:p>
        </w:tc>
        <w:tc>
          <w:tcPr>
            <w:tcW w:w="1013" w:type="dxa"/>
            <w:tcBorders>
              <w:top w:val="single" w:sz="1" w:space="0" w:color="000000"/>
            </w:tcBorders>
          </w:tcPr>
          <w:p>
            <w:pPr>
              <w:pStyle w:val="TableParagraph"/>
              <w:rPr>
                <w:b/>
                <w:sz w:val="14"/>
              </w:rPr>
            </w:pPr>
          </w:p>
          <w:p>
            <w:pPr>
              <w:pStyle w:val="TableParagraph"/>
              <w:spacing w:before="2"/>
              <w:rPr>
                <w:b/>
                <w:sz w:val="13"/>
              </w:rPr>
            </w:pPr>
          </w:p>
          <w:p>
            <w:pPr>
              <w:pStyle w:val="TableParagraph"/>
              <w:ind w:right="112"/>
              <w:jc w:val="right"/>
              <w:rPr>
                <w:sz w:val="14"/>
              </w:rPr>
            </w:pPr>
            <w:r>
              <w:rPr>
                <w:w w:val="95"/>
                <w:sz w:val="14"/>
              </w:rPr>
              <w:t>147,150</w:t>
            </w:r>
          </w:p>
        </w:tc>
        <w:tc>
          <w:tcPr>
            <w:tcW w:w="1182" w:type="dxa"/>
            <w:tcBorders>
              <w:top w:val="single" w:sz="1" w:space="0" w:color="000000"/>
            </w:tcBorders>
          </w:tcPr>
          <w:p>
            <w:pPr>
              <w:pStyle w:val="TableParagraph"/>
              <w:rPr>
                <w:b/>
                <w:sz w:val="14"/>
              </w:rPr>
            </w:pPr>
          </w:p>
          <w:p>
            <w:pPr>
              <w:pStyle w:val="TableParagraph"/>
              <w:spacing w:before="2"/>
              <w:rPr>
                <w:b/>
                <w:sz w:val="13"/>
              </w:rPr>
            </w:pPr>
          </w:p>
          <w:p>
            <w:pPr>
              <w:pStyle w:val="TableParagraph"/>
              <w:ind w:right="158"/>
              <w:jc w:val="right"/>
              <w:rPr>
                <w:sz w:val="14"/>
              </w:rPr>
            </w:pPr>
            <w:r>
              <w:rPr>
                <w:w w:val="95"/>
                <w:sz w:val="14"/>
              </w:rPr>
              <w:t>19,122</w:t>
            </w:r>
          </w:p>
        </w:tc>
        <w:tc>
          <w:tcPr>
            <w:tcW w:w="108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96"/>
              <w:jc w:val="right"/>
              <w:rPr>
                <w:sz w:val="14"/>
              </w:rPr>
            </w:pPr>
            <w:r>
              <w:rPr>
                <w:w w:val="95"/>
                <w:sz w:val="14"/>
              </w:rPr>
              <w:t>81,139</w:t>
            </w:r>
          </w:p>
        </w:tc>
        <w:tc>
          <w:tcPr>
            <w:tcW w:w="1068" w:type="dxa"/>
            <w:tcBorders>
              <w:top w:val="single" w:sz="1" w:space="0" w:color="000000"/>
            </w:tcBorders>
          </w:tcPr>
          <w:p>
            <w:pPr>
              <w:pStyle w:val="TableParagraph"/>
              <w:rPr>
                <w:b/>
                <w:sz w:val="14"/>
              </w:rPr>
            </w:pPr>
          </w:p>
          <w:p>
            <w:pPr>
              <w:pStyle w:val="TableParagraph"/>
              <w:spacing w:before="2"/>
              <w:rPr>
                <w:b/>
                <w:sz w:val="13"/>
              </w:rPr>
            </w:pPr>
          </w:p>
          <w:p>
            <w:pPr>
              <w:pStyle w:val="TableParagraph"/>
              <w:ind w:right="214"/>
              <w:jc w:val="right"/>
              <w:rPr>
                <w:sz w:val="14"/>
              </w:rPr>
            </w:pPr>
            <w:r>
              <w:rPr>
                <w:w w:val="99"/>
                <w:sz w:val="14"/>
              </w:rPr>
              <w:t>-</w:t>
            </w:r>
          </w:p>
        </w:tc>
        <w:tc>
          <w:tcPr>
            <w:tcW w:w="903" w:type="dxa"/>
            <w:tcBorders>
              <w:top w:val="single" w:sz="1" w:space="0" w:color="000000"/>
            </w:tcBorders>
          </w:tcPr>
          <w:p>
            <w:pPr>
              <w:pStyle w:val="TableParagraph"/>
              <w:rPr>
                <w:b/>
                <w:sz w:val="14"/>
              </w:rPr>
            </w:pPr>
          </w:p>
          <w:p>
            <w:pPr>
              <w:pStyle w:val="TableParagraph"/>
              <w:spacing w:before="2"/>
              <w:rPr>
                <w:b/>
                <w:sz w:val="13"/>
              </w:rPr>
            </w:pPr>
          </w:p>
          <w:p>
            <w:pPr>
              <w:pStyle w:val="TableParagraph"/>
              <w:ind w:right="70"/>
              <w:jc w:val="right"/>
              <w:rPr>
                <w:sz w:val="14"/>
              </w:rPr>
            </w:pPr>
            <w:r>
              <w:rPr>
                <w:w w:val="95"/>
                <w:sz w:val="14"/>
              </w:rPr>
              <w:t>381,888</w:t>
            </w:r>
          </w:p>
        </w:tc>
      </w:tr>
      <w:tr>
        <w:trPr>
          <w:trHeight w:val="218" w:hRule="exact"/>
        </w:trPr>
        <w:tc>
          <w:tcPr>
            <w:tcW w:w="3885" w:type="dxa"/>
          </w:tcPr>
          <w:p>
            <w:pPr>
              <w:pStyle w:val="TableParagraph"/>
              <w:spacing w:before="22"/>
              <w:ind w:left="35"/>
              <w:rPr>
                <w:sz w:val="14"/>
              </w:rPr>
            </w:pPr>
            <w:r>
              <w:rPr>
                <w:sz w:val="14"/>
              </w:rPr>
              <w:t>- Valuation</w:t>
            </w:r>
          </w:p>
        </w:tc>
        <w:tc>
          <w:tcPr>
            <w:tcW w:w="1079" w:type="dxa"/>
          </w:tcPr>
          <w:p>
            <w:pPr>
              <w:pStyle w:val="TableParagraph"/>
              <w:spacing w:before="20"/>
              <w:ind w:right="99"/>
              <w:jc w:val="right"/>
              <w:rPr>
                <w:sz w:val="14"/>
              </w:rPr>
            </w:pPr>
            <w:r>
              <w:rPr>
                <w:w w:val="99"/>
                <w:sz w:val="14"/>
              </w:rPr>
              <w:t>-</w:t>
            </w:r>
          </w:p>
        </w:tc>
        <w:tc>
          <w:tcPr>
            <w:tcW w:w="1077" w:type="dxa"/>
          </w:tcPr>
          <w:p>
            <w:pPr>
              <w:pStyle w:val="TableParagraph"/>
              <w:spacing w:before="20"/>
              <w:ind w:right="127"/>
              <w:jc w:val="right"/>
              <w:rPr>
                <w:sz w:val="14"/>
              </w:rPr>
            </w:pPr>
            <w:r>
              <w:rPr>
                <w:w w:val="95"/>
                <w:sz w:val="14"/>
              </w:rPr>
              <w:t>204,632</w:t>
            </w:r>
          </w:p>
        </w:tc>
        <w:tc>
          <w:tcPr>
            <w:tcW w:w="1068" w:type="dxa"/>
          </w:tcPr>
          <w:p>
            <w:pPr>
              <w:pStyle w:val="TableParagraph"/>
              <w:spacing w:before="20"/>
              <w:ind w:right="147"/>
              <w:jc w:val="right"/>
              <w:rPr>
                <w:sz w:val="14"/>
              </w:rPr>
            </w:pPr>
            <w:r>
              <w:rPr>
                <w:w w:val="95"/>
                <w:sz w:val="14"/>
              </w:rPr>
              <w:t>162,335</w:t>
            </w:r>
          </w:p>
        </w:tc>
        <w:tc>
          <w:tcPr>
            <w:tcW w:w="1004" w:type="dxa"/>
          </w:tcPr>
          <w:p>
            <w:pPr>
              <w:pStyle w:val="TableParagraph"/>
              <w:spacing w:before="20"/>
              <w:ind w:right="102"/>
              <w:jc w:val="right"/>
              <w:rPr>
                <w:sz w:val="14"/>
              </w:rPr>
            </w:pPr>
            <w:r>
              <w:rPr>
                <w:w w:val="95"/>
                <w:sz w:val="14"/>
              </w:rPr>
              <w:t>920,514</w:t>
            </w:r>
          </w:p>
        </w:tc>
        <w:tc>
          <w:tcPr>
            <w:tcW w:w="1094" w:type="dxa"/>
          </w:tcPr>
          <w:p>
            <w:pPr>
              <w:pStyle w:val="TableParagraph"/>
              <w:spacing w:before="20"/>
              <w:ind w:right="148"/>
              <w:jc w:val="right"/>
              <w:rPr>
                <w:sz w:val="14"/>
              </w:rPr>
            </w:pPr>
            <w:r>
              <w:rPr>
                <w:w w:val="95"/>
                <w:sz w:val="14"/>
              </w:rPr>
              <w:t>90,256</w:t>
            </w:r>
          </w:p>
        </w:tc>
        <w:tc>
          <w:tcPr>
            <w:tcW w:w="1013" w:type="dxa"/>
          </w:tcPr>
          <w:p>
            <w:pPr>
              <w:pStyle w:val="TableParagraph"/>
              <w:spacing w:before="20"/>
              <w:ind w:right="111"/>
              <w:jc w:val="right"/>
              <w:rPr>
                <w:sz w:val="14"/>
              </w:rPr>
            </w:pPr>
            <w:r>
              <w:rPr>
                <w:w w:val="99"/>
                <w:sz w:val="14"/>
              </w:rPr>
              <w:t>-</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96"/>
              <w:jc w:val="right"/>
              <w:rPr>
                <w:sz w:val="14"/>
              </w:rPr>
            </w:pPr>
            <w:r>
              <w:rPr>
                <w:sz w:val="14"/>
              </w:rPr>
              <w:t>881</w:t>
            </w:r>
          </w:p>
        </w:tc>
        <w:tc>
          <w:tcPr>
            <w:tcW w:w="1068" w:type="dxa"/>
          </w:tcPr>
          <w:p>
            <w:pPr>
              <w:pStyle w:val="TableParagraph"/>
              <w:spacing w:before="20"/>
              <w:ind w:right="215"/>
              <w:jc w:val="right"/>
              <w:rPr>
                <w:sz w:val="14"/>
              </w:rPr>
            </w:pPr>
            <w:r>
              <w:rPr>
                <w:sz w:val="14"/>
              </w:rPr>
              <w:t>4,192</w:t>
            </w:r>
          </w:p>
        </w:tc>
        <w:tc>
          <w:tcPr>
            <w:tcW w:w="903" w:type="dxa"/>
          </w:tcPr>
          <w:p>
            <w:pPr>
              <w:pStyle w:val="TableParagraph"/>
              <w:spacing w:before="20"/>
              <w:ind w:right="69"/>
              <w:jc w:val="right"/>
              <w:rPr>
                <w:sz w:val="14"/>
              </w:rPr>
            </w:pPr>
            <w:r>
              <w:rPr>
                <w:w w:val="95"/>
                <w:sz w:val="14"/>
              </w:rPr>
              <w:t>1,382,810</w:t>
            </w:r>
          </w:p>
        </w:tc>
      </w:tr>
      <w:tr>
        <w:trPr>
          <w:trHeight w:val="217" w:hRule="exact"/>
        </w:trPr>
        <w:tc>
          <w:tcPr>
            <w:tcW w:w="3885" w:type="dxa"/>
          </w:tcPr>
          <w:p>
            <w:pPr>
              <w:pStyle w:val="TableParagraph"/>
              <w:spacing w:before="22"/>
              <w:ind w:left="35"/>
              <w:rPr>
                <w:sz w:val="14"/>
              </w:rPr>
            </w:pPr>
            <w:r>
              <w:rPr>
                <w:sz w:val="14"/>
              </w:rPr>
              <w:t>Accumulated depreciation and impairment</w:t>
            </w:r>
          </w:p>
        </w:tc>
        <w:tc>
          <w:tcPr>
            <w:tcW w:w="1079" w:type="dxa"/>
            <w:tcBorders>
              <w:bottom w:val="single" w:sz="1" w:space="0" w:color="000000"/>
            </w:tcBorders>
          </w:tcPr>
          <w:p>
            <w:pPr>
              <w:pStyle w:val="TableParagraph"/>
              <w:spacing w:before="20"/>
              <w:ind w:right="99"/>
              <w:jc w:val="right"/>
              <w:rPr>
                <w:sz w:val="14"/>
              </w:rPr>
            </w:pPr>
            <w:r>
              <w:rPr>
                <w:w w:val="99"/>
                <w:sz w:val="14"/>
              </w:rPr>
              <w:t>-</w:t>
            </w:r>
          </w:p>
        </w:tc>
        <w:tc>
          <w:tcPr>
            <w:tcW w:w="1077" w:type="dxa"/>
            <w:tcBorders>
              <w:bottom w:val="single" w:sz="1" w:space="0" w:color="000000"/>
            </w:tcBorders>
          </w:tcPr>
          <w:p>
            <w:pPr>
              <w:pStyle w:val="TableParagraph"/>
              <w:spacing w:before="20"/>
              <w:ind w:right="126"/>
              <w:jc w:val="right"/>
              <w:rPr>
                <w:sz w:val="14"/>
              </w:rPr>
            </w:pPr>
            <w:r>
              <w:rPr>
                <w:w w:val="99"/>
                <w:sz w:val="14"/>
              </w:rPr>
              <w:t>-</w:t>
            </w:r>
          </w:p>
        </w:tc>
        <w:tc>
          <w:tcPr>
            <w:tcW w:w="1068" w:type="dxa"/>
            <w:tcBorders>
              <w:bottom w:val="single" w:sz="1" w:space="0" w:color="000000"/>
            </w:tcBorders>
          </w:tcPr>
          <w:p>
            <w:pPr>
              <w:pStyle w:val="TableParagraph"/>
              <w:spacing w:before="20"/>
              <w:ind w:right="146"/>
              <w:jc w:val="right"/>
              <w:rPr>
                <w:sz w:val="14"/>
              </w:rPr>
            </w:pPr>
            <w:r>
              <w:rPr>
                <w:w w:val="99"/>
                <w:sz w:val="14"/>
              </w:rPr>
              <w:t>-</w:t>
            </w:r>
          </w:p>
        </w:tc>
        <w:tc>
          <w:tcPr>
            <w:tcW w:w="1004" w:type="dxa"/>
            <w:tcBorders>
              <w:bottom w:val="single" w:sz="1" w:space="0" w:color="000000"/>
            </w:tcBorders>
          </w:tcPr>
          <w:p>
            <w:pPr>
              <w:pStyle w:val="TableParagraph"/>
              <w:spacing w:before="20"/>
              <w:ind w:right="56"/>
              <w:jc w:val="right"/>
              <w:rPr>
                <w:sz w:val="14"/>
              </w:rPr>
            </w:pPr>
            <w:r>
              <w:rPr>
                <w:w w:val="95"/>
                <w:sz w:val="14"/>
              </w:rPr>
              <w:t>(7,545)</w:t>
            </w:r>
          </w:p>
        </w:tc>
        <w:tc>
          <w:tcPr>
            <w:tcW w:w="1094" w:type="dxa"/>
            <w:tcBorders>
              <w:bottom w:val="single" w:sz="1" w:space="0" w:color="000000"/>
            </w:tcBorders>
          </w:tcPr>
          <w:p>
            <w:pPr>
              <w:pStyle w:val="TableParagraph"/>
              <w:spacing w:before="20"/>
              <w:ind w:right="102"/>
              <w:jc w:val="right"/>
              <w:rPr>
                <w:sz w:val="14"/>
              </w:rPr>
            </w:pPr>
            <w:r>
              <w:rPr>
                <w:w w:val="95"/>
                <w:sz w:val="14"/>
              </w:rPr>
              <w:t>(1,425)</w:t>
            </w:r>
          </w:p>
        </w:tc>
        <w:tc>
          <w:tcPr>
            <w:tcW w:w="1013" w:type="dxa"/>
            <w:tcBorders>
              <w:bottom w:val="single" w:sz="1" w:space="0" w:color="000000"/>
            </w:tcBorders>
          </w:tcPr>
          <w:p>
            <w:pPr>
              <w:pStyle w:val="TableParagraph"/>
              <w:spacing w:before="20"/>
              <w:ind w:right="66"/>
              <w:jc w:val="right"/>
              <w:rPr>
                <w:sz w:val="14"/>
              </w:rPr>
            </w:pPr>
            <w:r>
              <w:rPr>
                <w:w w:val="95"/>
                <w:sz w:val="14"/>
              </w:rPr>
              <w:t>(81,400)</w:t>
            </w:r>
          </w:p>
        </w:tc>
        <w:tc>
          <w:tcPr>
            <w:tcW w:w="1182" w:type="dxa"/>
            <w:tcBorders>
              <w:bottom w:val="single" w:sz="1" w:space="0" w:color="000000"/>
            </w:tcBorders>
          </w:tcPr>
          <w:p>
            <w:pPr>
              <w:pStyle w:val="TableParagraph"/>
              <w:spacing w:before="20"/>
              <w:ind w:right="113"/>
              <w:jc w:val="right"/>
              <w:rPr>
                <w:sz w:val="14"/>
              </w:rPr>
            </w:pPr>
            <w:r>
              <w:rPr>
                <w:w w:val="95"/>
                <w:sz w:val="14"/>
              </w:rPr>
              <w:t>(7,152)</w:t>
            </w:r>
          </w:p>
        </w:tc>
        <w:tc>
          <w:tcPr>
            <w:tcW w:w="1084" w:type="dxa"/>
            <w:tcBorders>
              <w:bottom w:val="single" w:sz="1" w:space="0" w:color="000000"/>
            </w:tcBorders>
          </w:tcPr>
          <w:p>
            <w:pPr>
              <w:pStyle w:val="TableParagraph"/>
              <w:spacing w:before="20"/>
              <w:ind w:right="150"/>
              <w:jc w:val="right"/>
              <w:rPr>
                <w:sz w:val="14"/>
              </w:rPr>
            </w:pPr>
            <w:r>
              <w:rPr>
                <w:w w:val="95"/>
                <w:sz w:val="14"/>
              </w:rPr>
              <w:t>(74,142)</w:t>
            </w:r>
          </w:p>
        </w:tc>
        <w:tc>
          <w:tcPr>
            <w:tcW w:w="1068" w:type="dxa"/>
            <w:tcBorders>
              <w:bottom w:val="single" w:sz="1" w:space="0" w:color="000000"/>
            </w:tcBorders>
          </w:tcPr>
          <w:p>
            <w:pPr>
              <w:pStyle w:val="TableParagraph"/>
              <w:spacing w:before="20"/>
              <w:ind w:right="214"/>
              <w:jc w:val="right"/>
              <w:rPr>
                <w:sz w:val="14"/>
              </w:rPr>
            </w:pPr>
            <w:r>
              <w:rPr>
                <w:w w:val="99"/>
                <w:sz w:val="14"/>
              </w:rPr>
              <w:t>-</w:t>
            </w:r>
          </w:p>
        </w:tc>
        <w:tc>
          <w:tcPr>
            <w:tcW w:w="903" w:type="dxa"/>
            <w:tcBorders>
              <w:bottom w:val="single" w:sz="1" w:space="0" w:color="000000"/>
            </w:tcBorders>
          </w:tcPr>
          <w:p>
            <w:pPr>
              <w:pStyle w:val="TableParagraph"/>
              <w:spacing w:before="20"/>
              <w:ind w:right="24"/>
              <w:jc w:val="right"/>
              <w:rPr>
                <w:sz w:val="14"/>
              </w:rPr>
            </w:pPr>
            <w:r>
              <w:rPr>
                <w:w w:val="95"/>
                <w:sz w:val="14"/>
              </w:rPr>
              <w:t>(171,664)</w:t>
            </w:r>
          </w:p>
        </w:tc>
      </w:tr>
      <w:tr>
        <w:trPr>
          <w:trHeight w:val="307" w:hRule="exact"/>
        </w:trPr>
        <w:tc>
          <w:tcPr>
            <w:tcW w:w="3885" w:type="dxa"/>
          </w:tcPr>
          <w:p>
            <w:pPr>
              <w:pStyle w:val="TableParagraph"/>
              <w:spacing w:before="124"/>
              <w:ind w:left="35"/>
              <w:rPr>
                <w:b/>
                <w:sz w:val="14"/>
              </w:rPr>
            </w:pPr>
            <w:r>
              <w:rPr>
                <w:b/>
                <w:sz w:val="14"/>
              </w:rPr>
              <w:t>Net Book Amount</w:t>
            </w:r>
          </w:p>
        </w:tc>
        <w:tc>
          <w:tcPr>
            <w:tcW w:w="1079" w:type="dxa"/>
            <w:tcBorders>
              <w:top w:val="single" w:sz="1" w:space="0" w:color="000000"/>
              <w:bottom w:val="single" w:sz="1" w:space="0" w:color="000000"/>
            </w:tcBorders>
          </w:tcPr>
          <w:p>
            <w:pPr>
              <w:pStyle w:val="TableParagraph"/>
              <w:spacing w:before="123"/>
              <w:ind w:right="99"/>
              <w:jc w:val="right"/>
              <w:rPr>
                <w:sz w:val="14"/>
              </w:rPr>
            </w:pPr>
            <w:r>
              <w:rPr>
                <w:w w:val="95"/>
                <w:sz w:val="14"/>
              </w:rPr>
              <w:t>84,171</w:t>
            </w:r>
          </w:p>
        </w:tc>
        <w:tc>
          <w:tcPr>
            <w:tcW w:w="1077" w:type="dxa"/>
            <w:tcBorders>
              <w:top w:val="single" w:sz="1" w:space="0" w:color="000000"/>
              <w:bottom w:val="single" w:sz="1" w:space="0" w:color="000000"/>
            </w:tcBorders>
          </w:tcPr>
          <w:p>
            <w:pPr>
              <w:pStyle w:val="TableParagraph"/>
              <w:spacing w:before="123"/>
              <w:ind w:right="127"/>
              <w:jc w:val="right"/>
              <w:rPr>
                <w:sz w:val="14"/>
              </w:rPr>
            </w:pPr>
            <w:r>
              <w:rPr>
                <w:w w:val="95"/>
                <w:sz w:val="14"/>
              </w:rPr>
              <w:t>204,632</w:t>
            </w:r>
          </w:p>
        </w:tc>
        <w:tc>
          <w:tcPr>
            <w:tcW w:w="1068" w:type="dxa"/>
            <w:tcBorders>
              <w:top w:val="single" w:sz="1" w:space="0" w:color="000000"/>
              <w:bottom w:val="single" w:sz="1" w:space="0" w:color="000000"/>
            </w:tcBorders>
          </w:tcPr>
          <w:p>
            <w:pPr>
              <w:pStyle w:val="TableParagraph"/>
              <w:spacing w:before="123"/>
              <w:ind w:right="147"/>
              <w:jc w:val="right"/>
              <w:rPr>
                <w:sz w:val="14"/>
              </w:rPr>
            </w:pPr>
            <w:r>
              <w:rPr>
                <w:w w:val="95"/>
                <w:sz w:val="14"/>
              </w:rPr>
              <w:t>162,335</w:t>
            </w:r>
          </w:p>
        </w:tc>
        <w:tc>
          <w:tcPr>
            <w:tcW w:w="1004" w:type="dxa"/>
            <w:tcBorders>
              <w:top w:val="single" w:sz="1" w:space="0" w:color="000000"/>
              <w:bottom w:val="single" w:sz="1" w:space="0" w:color="000000"/>
            </w:tcBorders>
          </w:tcPr>
          <w:p>
            <w:pPr>
              <w:pStyle w:val="TableParagraph"/>
              <w:spacing w:before="123"/>
              <w:ind w:right="102"/>
              <w:jc w:val="right"/>
              <w:rPr>
                <w:sz w:val="14"/>
              </w:rPr>
            </w:pPr>
            <w:r>
              <w:rPr>
                <w:w w:val="95"/>
                <w:sz w:val="14"/>
              </w:rPr>
              <w:t>960,757</w:t>
            </w:r>
          </w:p>
        </w:tc>
        <w:tc>
          <w:tcPr>
            <w:tcW w:w="1094" w:type="dxa"/>
            <w:tcBorders>
              <w:top w:val="single" w:sz="1" w:space="0" w:color="000000"/>
              <w:bottom w:val="single" w:sz="1" w:space="0" w:color="000000"/>
            </w:tcBorders>
          </w:tcPr>
          <w:p>
            <w:pPr>
              <w:pStyle w:val="TableParagraph"/>
              <w:spacing w:before="123"/>
              <w:ind w:right="148"/>
              <w:jc w:val="right"/>
              <w:rPr>
                <w:sz w:val="14"/>
              </w:rPr>
            </w:pPr>
            <w:r>
              <w:rPr>
                <w:w w:val="95"/>
                <w:sz w:val="14"/>
              </w:rPr>
              <w:t>91,349</w:t>
            </w:r>
          </w:p>
        </w:tc>
        <w:tc>
          <w:tcPr>
            <w:tcW w:w="1013" w:type="dxa"/>
            <w:tcBorders>
              <w:top w:val="single" w:sz="1" w:space="0" w:color="000000"/>
              <w:bottom w:val="single" w:sz="1" w:space="0" w:color="000000"/>
            </w:tcBorders>
          </w:tcPr>
          <w:p>
            <w:pPr>
              <w:pStyle w:val="TableParagraph"/>
              <w:spacing w:before="123"/>
              <w:ind w:right="112"/>
              <w:jc w:val="right"/>
              <w:rPr>
                <w:sz w:val="14"/>
              </w:rPr>
            </w:pPr>
            <w:r>
              <w:rPr>
                <w:w w:val="95"/>
                <w:sz w:val="14"/>
              </w:rPr>
              <w:t>65,750</w:t>
            </w:r>
          </w:p>
        </w:tc>
        <w:tc>
          <w:tcPr>
            <w:tcW w:w="1182" w:type="dxa"/>
            <w:tcBorders>
              <w:top w:val="single" w:sz="1" w:space="0" w:color="000000"/>
              <w:bottom w:val="single" w:sz="1" w:space="0" w:color="000000"/>
            </w:tcBorders>
          </w:tcPr>
          <w:p>
            <w:pPr>
              <w:pStyle w:val="TableParagraph"/>
              <w:spacing w:before="123"/>
              <w:ind w:right="158"/>
              <w:jc w:val="right"/>
              <w:rPr>
                <w:sz w:val="14"/>
              </w:rPr>
            </w:pPr>
            <w:r>
              <w:rPr>
                <w:w w:val="95"/>
                <w:sz w:val="14"/>
              </w:rPr>
              <w:t>11,970</w:t>
            </w:r>
          </w:p>
        </w:tc>
        <w:tc>
          <w:tcPr>
            <w:tcW w:w="1084" w:type="dxa"/>
            <w:tcBorders>
              <w:top w:val="single" w:sz="1" w:space="0" w:color="000000"/>
              <w:bottom w:val="single" w:sz="1" w:space="0" w:color="000000"/>
            </w:tcBorders>
          </w:tcPr>
          <w:p>
            <w:pPr>
              <w:pStyle w:val="TableParagraph"/>
              <w:spacing w:before="123"/>
              <w:ind w:right="197"/>
              <w:jc w:val="right"/>
              <w:rPr>
                <w:sz w:val="14"/>
              </w:rPr>
            </w:pPr>
            <w:r>
              <w:rPr>
                <w:sz w:val="14"/>
              </w:rPr>
              <w:t>7,878</w:t>
            </w:r>
          </w:p>
        </w:tc>
        <w:tc>
          <w:tcPr>
            <w:tcW w:w="1068" w:type="dxa"/>
            <w:tcBorders>
              <w:top w:val="single" w:sz="1" w:space="0" w:color="000000"/>
              <w:bottom w:val="single" w:sz="1" w:space="0" w:color="000000"/>
            </w:tcBorders>
          </w:tcPr>
          <w:p>
            <w:pPr>
              <w:pStyle w:val="TableParagraph"/>
              <w:spacing w:before="123"/>
              <w:ind w:right="215"/>
              <w:jc w:val="right"/>
              <w:rPr>
                <w:sz w:val="14"/>
              </w:rPr>
            </w:pPr>
            <w:r>
              <w:rPr>
                <w:sz w:val="14"/>
              </w:rPr>
              <w:t>4,192</w:t>
            </w:r>
          </w:p>
        </w:tc>
        <w:tc>
          <w:tcPr>
            <w:tcW w:w="903" w:type="dxa"/>
            <w:tcBorders>
              <w:top w:val="single" w:sz="1" w:space="0" w:color="000000"/>
              <w:bottom w:val="single" w:sz="1" w:space="0" w:color="000000"/>
            </w:tcBorders>
          </w:tcPr>
          <w:p>
            <w:pPr>
              <w:pStyle w:val="TableParagraph"/>
              <w:spacing w:before="123"/>
              <w:ind w:right="69"/>
              <w:jc w:val="right"/>
              <w:rPr>
                <w:sz w:val="14"/>
              </w:rPr>
            </w:pPr>
            <w:r>
              <w:rPr>
                <w:w w:val="95"/>
                <w:sz w:val="14"/>
              </w:rPr>
              <w:t>1,593,034</w:t>
            </w:r>
          </w:p>
        </w:tc>
      </w:tr>
    </w:tbl>
    <w:p>
      <w:pPr>
        <w:spacing w:after="0"/>
        <w:jc w:val="right"/>
        <w:rPr>
          <w:sz w:val="14"/>
        </w:rPr>
        <w:sectPr>
          <w:pgSz w:w="16840" w:h="11910" w:orient="landscape"/>
          <w:pgMar w:header="1037" w:footer="507" w:top="2220" w:bottom="700" w:left="900" w:right="860"/>
        </w:sectPr>
      </w:pPr>
    </w:p>
    <w:p>
      <w:pPr>
        <w:pStyle w:val="BodyText"/>
        <w:rPr>
          <w:b/>
          <w:sz w:val="20"/>
        </w:rPr>
      </w:pPr>
    </w:p>
    <w:p>
      <w:pPr>
        <w:pStyle w:val="BodyText"/>
        <w:rPr>
          <w:b/>
          <w:sz w:val="20"/>
        </w:rPr>
      </w:pPr>
    </w:p>
    <w:p>
      <w:pPr>
        <w:pStyle w:val="BodyText"/>
        <w:spacing w:before="5"/>
        <w:rPr>
          <w:b/>
        </w:rPr>
      </w:pPr>
    </w:p>
    <w:p>
      <w:pPr>
        <w:tabs>
          <w:tab w:pos="1070" w:val="left" w:leader="none"/>
        </w:tabs>
        <w:spacing w:before="0" w:after="36"/>
        <w:ind w:left="504" w:right="0" w:firstLine="0"/>
        <w:jc w:val="left"/>
        <w:rPr>
          <w:b/>
          <w:sz w:val="18"/>
        </w:rPr>
      </w:pPr>
      <w:r>
        <w:rPr>
          <w:b/>
          <w:sz w:val="18"/>
        </w:rPr>
        <w:t>21</w:t>
        <w:tab/>
        <w:t>Property, plant and equipment</w:t>
      </w:r>
      <w:r>
        <w:rPr>
          <w:b/>
          <w:spacing w:val="-9"/>
          <w:sz w:val="18"/>
        </w:rPr>
        <w:t> </w:t>
      </w:r>
      <w:r>
        <w:rPr>
          <w:b/>
          <w:sz w:val="18"/>
        </w:rPr>
        <w:t>(continued)</w:t>
      </w:r>
    </w:p>
    <w:tbl>
      <w:tblPr>
        <w:tblW w:w="0" w:type="auto"/>
        <w:jc w:val="left"/>
        <w:tblInd w:w="5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85"/>
        <w:gridCol w:w="1079"/>
        <w:gridCol w:w="1077"/>
        <w:gridCol w:w="1068"/>
        <w:gridCol w:w="1004"/>
        <w:gridCol w:w="1094"/>
        <w:gridCol w:w="1013"/>
        <w:gridCol w:w="1182"/>
        <w:gridCol w:w="1084"/>
        <w:gridCol w:w="1091"/>
        <w:gridCol w:w="881"/>
      </w:tblGrid>
      <w:tr>
        <w:trPr>
          <w:trHeight w:val="359" w:hRule="exact"/>
        </w:trPr>
        <w:tc>
          <w:tcPr>
            <w:tcW w:w="6040" w:type="dxa"/>
            <w:gridSpan w:val="3"/>
          </w:tcPr>
          <w:p>
            <w:pPr>
              <w:pStyle w:val="TableParagraph"/>
              <w:spacing w:line="157" w:lineRule="exact"/>
              <w:ind w:left="3995"/>
              <w:rPr>
                <w:b/>
                <w:sz w:val="14"/>
              </w:rPr>
            </w:pPr>
            <w:r>
              <w:rPr>
                <w:b/>
                <w:sz w:val="14"/>
              </w:rPr>
              <w:t>Construction</w:t>
            </w:r>
          </w:p>
          <w:p>
            <w:pPr>
              <w:pStyle w:val="TableParagraph"/>
              <w:ind w:right="88"/>
              <w:jc w:val="right"/>
              <w:rPr>
                <w:b/>
                <w:sz w:val="14"/>
              </w:rPr>
            </w:pPr>
            <w:r>
              <w:rPr>
                <w:b/>
                <w:sz w:val="14"/>
              </w:rPr>
              <w:t>in Progress    Freehold Land</w:t>
            </w:r>
          </w:p>
        </w:tc>
        <w:tc>
          <w:tcPr>
            <w:tcW w:w="1068" w:type="dxa"/>
          </w:tcPr>
          <w:p>
            <w:pPr>
              <w:pStyle w:val="TableParagraph"/>
              <w:spacing w:before="7"/>
              <w:rPr>
                <w:b/>
                <w:sz w:val="13"/>
              </w:rPr>
            </w:pPr>
          </w:p>
          <w:p>
            <w:pPr>
              <w:pStyle w:val="TableParagraph"/>
              <w:ind w:right="182"/>
              <w:jc w:val="right"/>
              <w:rPr>
                <w:b/>
                <w:sz w:val="14"/>
              </w:rPr>
            </w:pPr>
            <w:r>
              <w:rPr>
                <w:b/>
                <w:sz w:val="14"/>
              </w:rPr>
              <w:t>Crown Land</w:t>
            </w:r>
          </w:p>
        </w:tc>
        <w:tc>
          <w:tcPr>
            <w:tcW w:w="1004" w:type="dxa"/>
          </w:tcPr>
          <w:p>
            <w:pPr>
              <w:pStyle w:val="TableParagraph"/>
              <w:spacing w:before="7"/>
              <w:rPr>
                <w:b/>
                <w:sz w:val="13"/>
              </w:rPr>
            </w:pPr>
          </w:p>
          <w:p>
            <w:pPr>
              <w:pStyle w:val="TableParagraph"/>
              <w:ind w:left="148"/>
              <w:rPr>
                <w:b/>
                <w:sz w:val="14"/>
              </w:rPr>
            </w:pPr>
            <w:r>
              <w:rPr>
                <w:b/>
                <w:sz w:val="14"/>
              </w:rPr>
              <w:t>Buildings</w:t>
            </w:r>
          </w:p>
        </w:tc>
        <w:tc>
          <w:tcPr>
            <w:tcW w:w="1094" w:type="dxa"/>
          </w:tcPr>
          <w:p>
            <w:pPr>
              <w:pStyle w:val="TableParagraph"/>
              <w:spacing w:before="7"/>
              <w:rPr>
                <w:b/>
                <w:sz w:val="13"/>
              </w:rPr>
            </w:pPr>
          </w:p>
          <w:p>
            <w:pPr>
              <w:pStyle w:val="TableParagraph"/>
              <w:ind w:right="133"/>
              <w:jc w:val="right"/>
              <w:rPr>
                <w:b/>
                <w:sz w:val="14"/>
              </w:rPr>
            </w:pPr>
            <w:r>
              <w:rPr>
                <w:b/>
                <w:w w:val="95"/>
                <w:sz w:val="14"/>
              </w:rPr>
              <w:t>Infrastructure</w:t>
            </w:r>
          </w:p>
        </w:tc>
        <w:tc>
          <w:tcPr>
            <w:tcW w:w="1013" w:type="dxa"/>
          </w:tcPr>
          <w:p>
            <w:pPr>
              <w:pStyle w:val="TableParagraph"/>
              <w:ind w:left="104" w:firstLine="48"/>
              <w:rPr>
                <w:b/>
                <w:sz w:val="14"/>
              </w:rPr>
            </w:pPr>
            <w:r>
              <w:rPr>
                <w:b/>
                <w:sz w:val="14"/>
              </w:rPr>
              <w:t>Plant and Equipment</w:t>
            </w:r>
          </w:p>
        </w:tc>
        <w:tc>
          <w:tcPr>
            <w:tcW w:w="1182" w:type="dxa"/>
          </w:tcPr>
          <w:p>
            <w:pPr>
              <w:pStyle w:val="TableParagraph"/>
              <w:ind w:left="68" w:firstLine="132"/>
              <w:rPr>
                <w:b/>
                <w:sz w:val="14"/>
              </w:rPr>
            </w:pPr>
            <w:r>
              <w:rPr>
                <w:b/>
                <w:sz w:val="14"/>
              </w:rPr>
              <w:t>Leasehold </w:t>
            </w:r>
            <w:r>
              <w:rPr>
                <w:b/>
                <w:w w:val="95"/>
                <w:sz w:val="14"/>
              </w:rPr>
              <w:t>Improvements</w:t>
            </w:r>
          </w:p>
        </w:tc>
        <w:tc>
          <w:tcPr>
            <w:tcW w:w="1084" w:type="dxa"/>
          </w:tcPr>
          <w:p>
            <w:pPr>
              <w:pStyle w:val="TableParagraph"/>
              <w:ind w:left="115" w:firstLine="100"/>
              <w:rPr>
                <w:b/>
                <w:sz w:val="14"/>
              </w:rPr>
            </w:pPr>
            <w:r>
              <w:rPr>
                <w:b/>
                <w:sz w:val="14"/>
              </w:rPr>
              <w:t>Library Collection</w:t>
            </w:r>
          </w:p>
        </w:tc>
        <w:tc>
          <w:tcPr>
            <w:tcW w:w="1091" w:type="dxa"/>
          </w:tcPr>
          <w:p>
            <w:pPr>
              <w:pStyle w:val="TableParagraph"/>
              <w:spacing w:before="7"/>
              <w:rPr>
                <w:b/>
                <w:sz w:val="13"/>
              </w:rPr>
            </w:pPr>
          </w:p>
          <w:p>
            <w:pPr>
              <w:pStyle w:val="TableParagraph"/>
              <w:ind w:left="152"/>
              <w:rPr>
                <w:b/>
                <w:sz w:val="14"/>
              </w:rPr>
            </w:pPr>
            <w:r>
              <w:rPr>
                <w:b/>
                <w:sz w:val="14"/>
              </w:rPr>
              <w:t>Artwork</w:t>
            </w:r>
          </w:p>
        </w:tc>
        <w:tc>
          <w:tcPr>
            <w:tcW w:w="881" w:type="dxa"/>
          </w:tcPr>
          <w:p>
            <w:pPr>
              <w:pStyle w:val="TableParagraph"/>
              <w:spacing w:before="7"/>
              <w:rPr>
                <w:b/>
                <w:sz w:val="13"/>
              </w:rPr>
            </w:pPr>
          </w:p>
          <w:p>
            <w:pPr>
              <w:pStyle w:val="TableParagraph"/>
              <w:ind w:left="208"/>
              <w:rPr>
                <w:b/>
                <w:sz w:val="14"/>
              </w:rPr>
            </w:pPr>
            <w:r>
              <w:rPr>
                <w:b/>
                <w:sz w:val="14"/>
              </w:rPr>
              <w:t>Total</w:t>
            </w:r>
          </w:p>
        </w:tc>
      </w:tr>
      <w:tr>
        <w:trPr>
          <w:trHeight w:val="211" w:hRule="exact"/>
        </w:trPr>
        <w:tc>
          <w:tcPr>
            <w:tcW w:w="6040" w:type="dxa"/>
            <w:gridSpan w:val="3"/>
          </w:tcPr>
          <w:p>
            <w:pPr>
              <w:pStyle w:val="TableParagraph"/>
              <w:tabs>
                <w:tab w:pos="4254" w:val="left" w:leader="none"/>
                <w:tab w:pos="5302" w:val="left" w:leader="none"/>
              </w:tabs>
              <w:spacing w:before="26"/>
              <w:ind w:left="35"/>
              <w:rPr>
                <w:b/>
                <w:sz w:val="14"/>
              </w:rPr>
            </w:pPr>
            <w:r>
              <w:rPr>
                <w:b/>
                <w:sz w:val="14"/>
              </w:rPr>
              <w:t>Parent</w:t>
              <w:tab/>
              <w:t>$'000</w:t>
              <w:tab/>
              <w:t>$'000</w:t>
            </w:r>
          </w:p>
        </w:tc>
        <w:tc>
          <w:tcPr>
            <w:tcW w:w="1068" w:type="dxa"/>
          </w:tcPr>
          <w:p>
            <w:pPr>
              <w:pStyle w:val="TableParagraph"/>
              <w:spacing w:before="26"/>
              <w:ind w:left="311"/>
              <w:rPr>
                <w:b/>
                <w:sz w:val="14"/>
              </w:rPr>
            </w:pPr>
            <w:r>
              <w:rPr>
                <w:b/>
                <w:sz w:val="14"/>
              </w:rPr>
              <w:t>$'000</w:t>
            </w:r>
          </w:p>
        </w:tc>
        <w:tc>
          <w:tcPr>
            <w:tcW w:w="1004" w:type="dxa"/>
          </w:tcPr>
          <w:p>
            <w:pPr>
              <w:pStyle w:val="TableParagraph"/>
              <w:spacing w:before="26"/>
              <w:ind w:left="292"/>
              <w:rPr>
                <w:b/>
                <w:sz w:val="14"/>
              </w:rPr>
            </w:pPr>
            <w:r>
              <w:rPr>
                <w:b/>
                <w:sz w:val="14"/>
              </w:rPr>
              <w:t>$'000</w:t>
            </w:r>
          </w:p>
        </w:tc>
        <w:tc>
          <w:tcPr>
            <w:tcW w:w="1094" w:type="dxa"/>
          </w:tcPr>
          <w:p>
            <w:pPr>
              <w:pStyle w:val="TableParagraph"/>
              <w:spacing w:before="26"/>
              <w:ind w:left="337"/>
              <w:rPr>
                <w:b/>
                <w:sz w:val="14"/>
              </w:rPr>
            </w:pPr>
            <w:r>
              <w:rPr>
                <w:b/>
                <w:sz w:val="14"/>
              </w:rPr>
              <w:t>$'000</w:t>
            </w:r>
          </w:p>
        </w:tc>
        <w:tc>
          <w:tcPr>
            <w:tcW w:w="1013" w:type="dxa"/>
          </w:tcPr>
          <w:p>
            <w:pPr>
              <w:pStyle w:val="TableParagraph"/>
              <w:spacing w:before="26"/>
              <w:ind w:left="291"/>
              <w:rPr>
                <w:b/>
                <w:sz w:val="14"/>
              </w:rPr>
            </w:pPr>
            <w:r>
              <w:rPr>
                <w:b/>
                <w:sz w:val="14"/>
              </w:rPr>
              <w:t>$'000</w:t>
            </w:r>
          </w:p>
        </w:tc>
        <w:tc>
          <w:tcPr>
            <w:tcW w:w="1182" w:type="dxa"/>
          </w:tcPr>
          <w:p>
            <w:pPr>
              <w:pStyle w:val="TableParagraph"/>
              <w:spacing w:before="26"/>
              <w:ind w:left="370"/>
              <w:rPr>
                <w:b/>
                <w:sz w:val="14"/>
              </w:rPr>
            </w:pPr>
            <w:r>
              <w:rPr>
                <w:b/>
                <w:sz w:val="14"/>
              </w:rPr>
              <w:t>$'000</w:t>
            </w:r>
          </w:p>
        </w:tc>
        <w:tc>
          <w:tcPr>
            <w:tcW w:w="1084" w:type="dxa"/>
          </w:tcPr>
          <w:p>
            <w:pPr>
              <w:pStyle w:val="TableParagraph"/>
              <w:spacing w:before="26"/>
              <w:ind w:left="278"/>
              <w:rPr>
                <w:b/>
                <w:sz w:val="14"/>
              </w:rPr>
            </w:pPr>
            <w:r>
              <w:rPr>
                <w:b/>
                <w:sz w:val="14"/>
              </w:rPr>
              <w:t>$'000</w:t>
            </w:r>
          </w:p>
        </w:tc>
        <w:tc>
          <w:tcPr>
            <w:tcW w:w="1091" w:type="dxa"/>
          </w:tcPr>
          <w:p>
            <w:pPr>
              <w:pStyle w:val="TableParagraph"/>
              <w:spacing w:before="26"/>
              <w:ind w:left="243"/>
              <w:rPr>
                <w:b/>
                <w:sz w:val="14"/>
              </w:rPr>
            </w:pPr>
            <w:r>
              <w:rPr>
                <w:b/>
                <w:sz w:val="14"/>
              </w:rPr>
              <w:t>$'000</w:t>
            </w:r>
          </w:p>
        </w:tc>
        <w:tc>
          <w:tcPr>
            <w:tcW w:w="881" w:type="dxa"/>
          </w:tcPr>
          <w:p>
            <w:pPr>
              <w:pStyle w:val="TableParagraph"/>
              <w:spacing w:before="26"/>
              <w:ind w:left="201"/>
              <w:rPr>
                <w:b/>
                <w:sz w:val="14"/>
              </w:rPr>
            </w:pPr>
            <w:r>
              <w:rPr>
                <w:b/>
                <w:sz w:val="14"/>
              </w:rPr>
              <w:t>$'000</w:t>
            </w:r>
          </w:p>
        </w:tc>
      </w:tr>
      <w:tr>
        <w:trPr>
          <w:trHeight w:val="397" w:hRule="exact"/>
        </w:trPr>
        <w:tc>
          <w:tcPr>
            <w:tcW w:w="3885" w:type="dxa"/>
          </w:tcPr>
          <w:p>
            <w:pPr>
              <w:pStyle w:val="TableParagraph"/>
              <w:spacing w:before="9"/>
              <w:ind w:left="35"/>
              <w:rPr>
                <w:b/>
                <w:sz w:val="14"/>
              </w:rPr>
            </w:pPr>
            <w:r>
              <w:rPr>
                <w:b/>
                <w:sz w:val="14"/>
              </w:rPr>
              <w:t>Year ended 31 December 2017</w:t>
            </w:r>
          </w:p>
          <w:p>
            <w:pPr>
              <w:pStyle w:val="TableParagraph"/>
              <w:spacing w:before="31"/>
              <w:ind w:left="35"/>
              <w:rPr>
                <w:sz w:val="14"/>
              </w:rPr>
            </w:pPr>
            <w:r>
              <w:rPr>
                <w:sz w:val="14"/>
              </w:rPr>
              <w:t>Opening Net Book Amount</w:t>
            </w:r>
          </w:p>
        </w:tc>
        <w:tc>
          <w:tcPr>
            <w:tcW w:w="1079" w:type="dxa"/>
          </w:tcPr>
          <w:p>
            <w:pPr>
              <w:pStyle w:val="TableParagraph"/>
              <w:spacing w:before="3"/>
              <w:rPr>
                <w:b/>
                <w:sz w:val="17"/>
              </w:rPr>
            </w:pPr>
          </w:p>
          <w:p>
            <w:pPr>
              <w:pStyle w:val="TableParagraph"/>
              <w:ind w:right="99"/>
              <w:jc w:val="right"/>
              <w:rPr>
                <w:sz w:val="14"/>
              </w:rPr>
            </w:pPr>
            <w:r>
              <w:rPr>
                <w:w w:val="95"/>
                <w:sz w:val="14"/>
              </w:rPr>
              <w:t>84,171</w:t>
            </w:r>
          </w:p>
        </w:tc>
        <w:tc>
          <w:tcPr>
            <w:tcW w:w="1077" w:type="dxa"/>
          </w:tcPr>
          <w:p>
            <w:pPr>
              <w:pStyle w:val="TableParagraph"/>
              <w:spacing w:before="3"/>
              <w:rPr>
                <w:b/>
                <w:sz w:val="17"/>
              </w:rPr>
            </w:pPr>
          </w:p>
          <w:p>
            <w:pPr>
              <w:pStyle w:val="TableParagraph"/>
              <w:ind w:right="127"/>
              <w:jc w:val="right"/>
              <w:rPr>
                <w:sz w:val="14"/>
              </w:rPr>
            </w:pPr>
            <w:r>
              <w:rPr>
                <w:w w:val="95"/>
                <w:sz w:val="14"/>
              </w:rPr>
              <w:t>204,632</w:t>
            </w:r>
          </w:p>
        </w:tc>
        <w:tc>
          <w:tcPr>
            <w:tcW w:w="1068" w:type="dxa"/>
          </w:tcPr>
          <w:p>
            <w:pPr>
              <w:pStyle w:val="TableParagraph"/>
              <w:spacing w:before="3"/>
              <w:rPr>
                <w:b/>
                <w:sz w:val="17"/>
              </w:rPr>
            </w:pPr>
          </w:p>
          <w:p>
            <w:pPr>
              <w:pStyle w:val="TableParagraph"/>
              <w:ind w:right="147"/>
              <w:jc w:val="right"/>
              <w:rPr>
                <w:sz w:val="14"/>
              </w:rPr>
            </w:pPr>
            <w:r>
              <w:rPr>
                <w:w w:val="95"/>
                <w:sz w:val="14"/>
              </w:rPr>
              <w:t>162,335</w:t>
            </w:r>
          </w:p>
        </w:tc>
        <w:tc>
          <w:tcPr>
            <w:tcW w:w="1004" w:type="dxa"/>
          </w:tcPr>
          <w:p>
            <w:pPr>
              <w:pStyle w:val="TableParagraph"/>
              <w:spacing w:before="3"/>
              <w:rPr>
                <w:b/>
                <w:sz w:val="17"/>
              </w:rPr>
            </w:pPr>
          </w:p>
          <w:p>
            <w:pPr>
              <w:pStyle w:val="TableParagraph"/>
              <w:ind w:right="102"/>
              <w:jc w:val="right"/>
              <w:rPr>
                <w:sz w:val="14"/>
              </w:rPr>
            </w:pPr>
            <w:r>
              <w:rPr>
                <w:w w:val="95"/>
                <w:sz w:val="14"/>
              </w:rPr>
              <w:t>960,757</w:t>
            </w:r>
          </w:p>
        </w:tc>
        <w:tc>
          <w:tcPr>
            <w:tcW w:w="1094" w:type="dxa"/>
          </w:tcPr>
          <w:p>
            <w:pPr>
              <w:pStyle w:val="TableParagraph"/>
              <w:spacing w:before="3"/>
              <w:rPr>
                <w:b/>
                <w:sz w:val="17"/>
              </w:rPr>
            </w:pPr>
          </w:p>
          <w:p>
            <w:pPr>
              <w:pStyle w:val="TableParagraph"/>
              <w:ind w:right="148"/>
              <w:jc w:val="right"/>
              <w:rPr>
                <w:sz w:val="14"/>
              </w:rPr>
            </w:pPr>
            <w:r>
              <w:rPr>
                <w:w w:val="95"/>
                <w:sz w:val="14"/>
              </w:rPr>
              <w:t>91,349</w:t>
            </w:r>
          </w:p>
        </w:tc>
        <w:tc>
          <w:tcPr>
            <w:tcW w:w="1013" w:type="dxa"/>
          </w:tcPr>
          <w:p>
            <w:pPr>
              <w:pStyle w:val="TableParagraph"/>
              <w:spacing w:before="3"/>
              <w:rPr>
                <w:b/>
                <w:sz w:val="17"/>
              </w:rPr>
            </w:pPr>
          </w:p>
          <w:p>
            <w:pPr>
              <w:pStyle w:val="TableParagraph"/>
              <w:ind w:right="112"/>
              <w:jc w:val="right"/>
              <w:rPr>
                <w:sz w:val="14"/>
              </w:rPr>
            </w:pPr>
            <w:r>
              <w:rPr>
                <w:w w:val="95"/>
                <w:sz w:val="14"/>
              </w:rPr>
              <w:t>65,750</w:t>
            </w:r>
          </w:p>
        </w:tc>
        <w:tc>
          <w:tcPr>
            <w:tcW w:w="1182" w:type="dxa"/>
          </w:tcPr>
          <w:p>
            <w:pPr>
              <w:pStyle w:val="TableParagraph"/>
              <w:spacing w:before="3"/>
              <w:rPr>
                <w:b/>
                <w:sz w:val="17"/>
              </w:rPr>
            </w:pPr>
          </w:p>
          <w:p>
            <w:pPr>
              <w:pStyle w:val="TableParagraph"/>
              <w:ind w:right="158"/>
              <w:jc w:val="right"/>
              <w:rPr>
                <w:sz w:val="14"/>
              </w:rPr>
            </w:pPr>
            <w:r>
              <w:rPr>
                <w:w w:val="95"/>
                <w:sz w:val="14"/>
              </w:rPr>
              <w:t>11,970</w:t>
            </w:r>
          </w:p>
        </w:tc>
        <w:tc>
          <w:tcPr>
            <w:tcW w:w="1084" w:type="dxa"/>
          </w:tcPr>
          <w:p>
            <w:pPr>
              <w:pStyle w:val="TableParagraph"/>
              <w:spacing w:before="3"/>
              <w:rPr>
                <w:b/>
                <w:sz w:val="17"/>
              </w:rPr>
            </w:pPr>
          </w:p>
          <w:p>
            <w:pPr>
              <w:pStyle w:val="TableParagraph"/>
              <w:ind w:right="197"/>
              <w:jc w:val="right"/>
              <w:rPr>
                <w:sz w:val="14"/>
              </w:rPr>
            </w:pPr>
            <w:r>
              <w:rPr>
                <w:sz w:val="14"/>
              </w:rPr>
              <w:t>7,878</w:t>
            </w:r>
          </w:p>
        </w:tc>
        <w:tc>
          <w:tcPr>
            <w:tcW w:w="1091" w:type="dxa"/>
          </w:tcPr>
          <w:p>
            <w:pPr>
              <w:pStyle w:val="TableParagraph"/>
              <w:spacing w:before="3"/>
              <w:rPr>
                <w:b/>
                <w:sz w:val="17"/>
              </w:rPr>
            </w:pPr>
          </w:p>
          <w:p>
            <w:pPr>
              <w:pStyle w:val="TableParagraph"/>
              <w:ind w:right="237"/>
              <w:jc w:val="right"/>
              <w:rPr>
                <w:sz w:val="14"/>
              </w:rPr>
            </w:pPr>
            <w:r>
              <w:rPr>
                <w:sz w:val="14"/>
              </w:rPr>
              <w:t>4,192</w:t>
            </w:r>
          </w:p>
        </w:tc>
        <w:tc>
          <w:tcPr>
            <w:tcW w:w="881" w:type="dxa"/>
          </w:tcPr>
          <w:p>
            <w:pPr>
              <w:pStyle w:val="TableParagraph"/>
              <w:spacing w:before="3"/>
              <w:rPr>
                <w:b/>
                <w:sz w:val="17"/>
              </w:rPr>
            </w:pPr>
          </w:p>
          <w:p>
            <w:pPr>
              <w:pStyle w:val="TableParagraph"/>
              <w:ind w:right="69"/>
              <w:jc w:val="right"/>
              <w:rPr>
                <w:sz w:val="14"/>
              </w:rPr>
            </w:pPr>
            <w:r>
              <w:rPr>
                <w:w w:val="95"/>
                <w:sz w:val="14"/>
              </w:rPr>
              <w:t>1,593,034</w:t>
            </w:r>
          </w:p>
        </w:tc>
      </w:tr>
      <w:tr>
        <w:trPr>
          <w:trHeight w:val="218" w:hRule="exact"/>
        </w:trPr>
        <w:tc>
          <w:tcPr>
            <w:tcW w:w="3885" w:type="dxa"/>
          </w:tcPr>
          <w:p>
            <w:pPr>
              <w:pStyle w:val="TableParagraph"/>
              <w:spacing w:before="22"/>
              <w:ind w:left="35"/>
              <w:rPr>
                <w:sz w:val="14"/>
              </w:rPr>
            </w:pPr>
            <w:r>
              <w:rPr>
                <w:sz w:val="14"/>
              </w:rPr>
              <w:t>Revaluation Surplus</w:t>
            </w:r>
          </w:p>
        </w:tc>
        <w:tc>
          <w:tcPr>
            <w:tcW w:w="1079" w:type="dxa"/>
          </w:tcPr>
          <w:p>
            <w:pPr>
              <w:pStyle w:val="TableParagraph"/>
              <w:spacing w:before="20"/>
              <w:ind w:right="99"/>
              <w:jc w:val="right"/>
              <w:rPr>
                <w:sz w:val="14"/>
              </w:rPr>
            </w:pPr>
            <w:r>
              <w:rPr>
                <w:w w:val="99"/>
                <w:sz w:val="14"/>
              </w:rPr>
              <w:t>-</w:t>
            </w:r>
          </w:p>
        </w:tc>
        <w:tc>
          <w:tcPr>
            <w:tcW w:w="1077" w:type="dxa"/>
          </w:tcPr>
          <w:p>
            <w:pPr>
              <w:pStyle w:val="TableParagraph"/>
              <w:spacing w:before="20"/>
              <w:ind w:right="127"/>
              <w:jc w:val="right"/>
              <w:rPr>
                <w:sz w:val="14"/>
              </w:rPr>
            </w:pPr>
            <w:r>
              <w:rPr>
                <w:w w:val="95"/>
                <w:sz w:val="14"/>
              </w:rPr>
              <w:t>107,122</w:t>
            </w:r>
          </w:p>
        </w:tc>
        <w:tc>
          <w:tcPr>
            <w:tcW w:w="1068" w:type="dxa"/>
          </w:tcPr>
          <w:p>
            <w:pPr>
              <w:pStyle w:val="TableParagraph"/>
              <w:spacing w:before="20"/>
              <w:ind w:right="147"/>
              <w:jc w:val="right"/>
              <w:rPr>
                <w:sz w:val="14"/>
              </w:rPr>
            </w:pPr>
            <w:r>
              <w:rPr>
                <w:w w:val="95"/>
                <w:sz w:val="14"/>
              </w:rPr>
              <w:t>59,405</w:t>
            </w:r>
          </w:p>
        </w:tc>
        <w:tc>
          <w:tcPr>
            <w:tcW w:w="1004" w:type="dxa"/>
          </w:tcPr>
          <w:p>
            <w:pPr>
              <w:pStyle w:val="TableParagraph"/>
              <w:spacing w:before="20"/>
              <w:ind w:right="102"/>
              <w:jc w:val="right"/>
              <w:rPr>
                <w:sz w:val="14"/>
              </w:rPr>
            </w:pPr>
            <w:r>
              <w:rPr>
                <w:w w:val="95"/>
                <w:sz w:val="14"/>
              </w:rPr>
              <w:t>19,269</w:t>
            </w:r>
          </w:p>
        </w:tc>
        <w:tc>
          <w:tcPr>
            <w:tcW w:w="1094" w:type="dxa"/>
          </w:tcPr>
          <w:p>
            <w:pPr>
              <w:pStyle w:val="TableParagraph"/>
              <w:spacing w:before="20"/>
              <w:ind w:right="148"/>
              <w:jc w:val="right"/>
              <w:rPr>
                <w:sz w:val="14"/>
              </w:rPr>
            </w:pPr>
            <w:r>
              <w:rPr>
                <w:w w:val="95"/>
                <w:sz w:val="14"/>
              </w:rPr>
              <w:t>14,507</w:t>
            </w:r>
          </w:p>
        </w:tc>
        <w:tc>
          <w:tcPr>
            <w:tcW w:w="1013" w:type="dxa"/>
          </w:tcPr>
          <w:p>
            <w:pPr>
              <w:pStyle w:val="TableParagraph"/>
              <w:spacing w:before="20"/>
              <w:ind w:right="111"/>
              <w:jc w:val="right"/>
              <w:rPr>
                <w:sz w:val="14"/>
              </w:rPr>
            </w:pPr>
            <w:r>
              <w:rPr>
                <w:w w:val="99"/>
                <w:sz w:val="14"/>
              </w:rPr>
              <w:t>-</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95"/>
              <w:jc w:val="right"/>
              <w:rPr>
                <w:sz w:val="14"/>
              </w:rPr>
            </w:pPr>
            <w:r>
              <w:rPr>
                <w:w w:val="99"/>
                <w:sz w:val="14"/>
              </w:rPr>
              <w:t>-</w:t>
            </w:r>
          </w:p>
        </w:tc>
        <w:tc>
          <w:tcPr>
            <w:tcW w:w="1091" w:type="dxa"/>
          </w:tcPr>
          <w:p>
            <w:pPr>
              <w:pStyle w:val="TableParagraph"/>
              <w:spacing w:before="20"/>
              <w:ind w:right="237"/>
              <w:jc w:val="right"/>
              <w:rPr>
                <w:sz w:val="14"/>
              </w:rPr>
            </w:pPr>
            <w:r>
              <w:rPr>
                <w:w w:val="99"/>
                <w:sz w:val="14"/>
              </w:rPr>
              <w:t>-</w:t>
            </w:r>
          </w:p>
        </w:tc>
        <w:tc>
          <w:tcPr>
            <w:tcW w:w="881" w:type="dxa"/>
          </w:tcPr>
          <w:p>
            <w:pPr>
              <w:pStyle w:val="TableParagraph"/>
              <w:spacing w:before="20"/>
              <w:ind w:right="70"/>
              <w:jc w:val="right"/>
              <w:rPr>
                <w:sz w:val="14"/>
              </w:rPr>
            </w:pPr>
            <w:r>
              <w:rPr>
                <w:w w:val="95"/>
                <w:sz w:val="14"/>
              </w:rPr>
              <w:t>200,303</w:t>
            </w:r>
          </w:p>
        </w:tc>
      </w:tr>
      <w:tr>
        <w:trPr>
          <w:trHeight w:val="218" w:hRule="exact"/>
        </w:trPr>
        <w:tc>
          <w:tcPr>
            <w:tcW w:w="3885" w:type="dxa"/>
          </w:tcPr>
          <w:p>
            <w:pPr>
              <w:pStyle w:val="TableParagraph"/>
              <w:spacing w:before="22"/>
              <w:ind w:left="35"/>
              <w:rPr>
                <w:sz w:val="14"/>
              </w:rPr>
            </w:pPr>
            <w:r>
              <w:rPr>
                <w:sz w:val="14"/>
              </w:rPr>
              <w:t>Additions</w:t>
            </w:r>
          </w:p>
        </w:tc>
        <w:tc>
          <w:tcPr>
            <w:tcW w:w="1079" w:type="dxa"/>
          </w:tcPr>
          <w:p>
            <w:pPr>
              <w:pStyle w:val="TableParagraph"/>
              <w:spacing w:before="20"/>
              <w:ind w:right="99"/>
              <w:jc w:val="right"/>
              <w:rPr>
                <w:sz w:val="14"/>
              </w:rPr>
            </w:pPr>
            <w:r>
              <w:rPr>
                <w:w w:val="95"/>
                <w:sz w:val="14"/>
              </w:rPr>
              <w:t>91,528</w:t>
            </w:r>
          </w:p>
        </w:tc>
        <w:tc>
          <w:tcPr>
            <w:tcW w:w="107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101"/>
              <w:jc w:val="right"/>
              <w:rPr>
                <w:sz w:val="14"/>
              </w:rPr>
            </w:pPr>
            <w:r>
              <w:rPr>
                <w:w w:val="99"/>
                <w:sz w:val="14"/>
              </w:rPr>
              <w:t>-</w:t>
            </w:r>
          </w:p>
        </w:tc>
        <w:tc>
          <w:tcPr>
            <w:tcW w:w="1094" w:type="dxa"/>
          </w:tcPr>
          <w:p>
            <w:pPr>
              <w:pStyle w:val="TableParagraph"/>
              <w:spacing w:before="20"/>
              <w:ind w:right="147"/>
              <w:jc w:val="right"/>
              <w:rPr>
                <w:sz w:val="14"/>
              </w:rPr>
            </w:pPr>
            <w:r>
              <w:rPr>
                <w:w w:val="99"/>
                <w:sz w:val="14"/>
              </w:rPr>
              <w:t>-</w:t>
            </w:r>
          </w:p>
        </w:tc>
        <w:tc>
          <w:tcPr>
            <w:tcW w:w="1013" w:type="dxa"/>
          </w:tcPr>
          <w:p>
            <w:pPr>
              <w:pStyle w:val="TableParagraph"/>
              <w:spacing w:before="20"/>
              <w:ind w:right="113"/>
              <w:jc w:val="right"/>
              <w:rPr>
                <w:sz w:val="14"/>
              </w:rPr>
            </w:pPr>
            <w:r>
              <w:rPr>
                <w:sz w:val="14"/>
              </w:rPr>
              <w:t>8,316</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97"/>
              <w:jc w:val="right"/>
              <w:rPr>
                <w:sz w:val="14"/>
              </w:rPr>
            </w:pPr>
            <w:r>
              <w:rPr>
                <w:sz w:val="14"/>
              </w:rPr>
              <w:t>1,960</w:t>
            </w:r>
          </w:p>
        </w:tc>
        <w:tc>
          <w:tcPr>
            <w:tcW w:w="1091" w:type="dxa"/>
          </w:tcPr>
          <w:p>
            <w:pPr>
              <w:pStyle w:val="TableParagraph"/>
              <w:spacing w:before="20"/>
              <w:ind w:right="238"/>
              <w:jc w:val="right"/>
              <w:rPr>
                <w:sz w:val="14"/>
              </w:rPr>
            </w:pPr>
            <w:r>
              <w:rPr>
                <w:sz w:val="14"/>
              </w:rPr>
              <w:t>87</w:t>
            </w:r>
          </w:p>
        </w:tc>
        <w:tc>
          <w:tcPr>
            <w:tcW w:w="881" w:type="dxa"/>
          </w:tcPr>
          <w:p>
            <w:pPr>
              <w:pStyle w:val="TableParagraph"/>
              <w:spacing w:before="20"/>
              <w:ind w:right="70"/>
              <w:jc w:val="right"/>
              <w:rPr>
                <w:sz w:val="14"/>
              </w:rPr>
            </w:pPr>
            <w:r>
              <w:rPr>
                <w:w w:val="95"/>
                <w:sz w:val="14"/>
              </w:rPr>
              <w:t>101,891</w:t>
            </w:r>
          </w:p>
        </w:tc>
      </w:tr>
      <w:tr>
        <w:trPr>
          <w:trHeight w:val="218" w:hRule="exact"/>
        </w:trPr>
        <w:tc>
          <w:tcPr>
            <w:tcW w:w="3885" w:type="dxa"/>
          </w:tcPr>
          <w:p>
            <w:pPr>
              <w:pStyle w:val="TableParagraph"/>
              <w:spacing w:before="22"/>
              <w:ind w:left="35"/>
              <w:rPr>
                <w:sz w:val="14"/>
              </w:rPr>
            </w:pPr>
            <w:r>
              <w:rPr>
                <w:sz w:val="14"/>
              </w:rPr>
              <w:t>Disposals</w:t>
            </w:r>
          </w:p>
        </w:tc>
        <w:tc>
          <w:tcPr>
            <w:tcW w:w="1079" w:type="dxa"/>
          </w:tcPr>
          <w:p>
            <w:pPr>
              <w:pStyle w:val="TableParagraph"/>
              <w:spacing w:before="20"/>
              <w:ind w:right="54"/>
              <w:jc w:val="right"/>
              <w:rPr>
                <w:sz w:val="14"/>
              </w:rPr>
            </w:pPr>
            <w:r>
              <w:rPr>
                <w:w w:val="95"/>
                <w:sz w:val="14"/>
              </w:rPr>
              <w:t>(6,803)</w:t>
            </w:r>
          </w:p>
        </w:tc>
        <w:tc>
          <w:tcPr>
            <w:tcW w:w="107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101"/>
              <w:jc w:val="right"/>
              <w:rPr>
                <w:sz w:val="14"/>
              </w:rPr>
            </w:pPr>
            <w:r>
              <w:rPr>
                <w:w w:val="99"/>
                <w:sz w:val="14"/>
              </w:rPr>
              <w:t>-</w:t>
            </w:r>
          </w:p>
        </w:tc>
        <w:tc>
          <w:tcPr>
            <w:tcW w:w="1094" w:type="dxa"/>
          </w:tcPr>
          <w:p>
            <w:pPr>
              <w:pStyle w:val="TableParagraph"/>
              <w:spacing w:before="20"/>
              <w:ind w:right="147"/>
              <w:jc w:val="right"/>
              <w:rPr>
                <w:sz w:val="14"/>
              </w:rPr>
            </w:pPr>
            <w:r>
              <w:rPr>
                <w:w w:val="99"/>
                <w:sz w:val="14"/>
              </w:rPr>
              <w:t>-</w:t>
            </w:r>
          </w:p>
        </w:tc>
        <w:tc>
          <w:tcPr>
            <w:tcW w:w="1013" w:type="dxa"/>
          </w:tcPr>
          <w:p>
            <w:pPr>
              <w:pStyle w:val="TableParagraph"/>
              <w:spacing w:before="20"/>
              <w:ind w:right="66"/>
              <w:jc w:val="right"/>
              <w:rPr>
                <w:sz w:val="14"/>
              </w:rPr>
            </w:pPr>
            <w:r>
              <w:rPr>
                <w:sz w:val="14"/>
              </w:rPr>
              <w:t>(223)</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50"/>
              <w:jc w:val="right"/>
              <w:rPr>
                <w:sz w:val="14"/>
              </w:rPr>
            </w:pPr>
            <w:r>
              <w:rPr>
                <w:sz w:val="14"/>
              </w:rPr>
              <w:t>(285)</w:t>
            </w:r>
          </w:p>
        </w:tc>
        <w:tc>
          <w:tcPr>
            <w:tcW w:w="1091" w:type="dxa"/>
          </w:tcPr>
          <w:p>
            <w:pPr>
              <w:pStyle w:val="TableParagraph"/>
              <w:spacing w:before="20"/>
              <w:ind w:right="192"/>
              <w:jc w:val="right"/>
              <w:rPr>
                <w:sz w:val="14"/>
              </w:rPr>
            </w:pPr>
            <w:r>
              <w:rPr>
                <w:sz w:val="14"/>
              </w:rPr>
              <w:t>(13)</w:t>
            </w:r>
          </w:p>
        </w:tc>
        <w:tc>
          <w:tcPr>
            <w:tcW w:w="881" w:type="dxa"/>
          </w:tcPr>
          <w:p>
            <w:pPr>
              <w:pStyle w:val="TableParagraph"/>
              <w:spacing w:before="20"/>
              <w:ind w:right="24"/>
              <w:jc w:val="right"/>
              <w:rPr>
                <w:sz w:val="14"/>
              </w:rPr>
            </w:pPr>
            <w:r>
              <w:rPr>
                <w:w w:val="95"/>
                <w:sz w:val="14"/>
              </w:rPr>
              <w:t>(7,324)</w:t>
            </w:r>
          </w:p>
        </w:tc>
      </w:tr>
      <w:tr>
        <w:trPr>
          <w:trHeight w:val="218" w:hRule="exact"/>
        </w:trPr>
        <w:tc>
          <w:tcPr>
            <w:tcW w:w="3885" w:type="dxa"/>
          </w:tcPr>
          <w:p>
            <w:pPr>
              <w:pStyle w:val="TableParagraph"/>
              <w:spacing w:before="22"/>
              <w:ind w:left="35"/>
              <w:rPr>
                <w:sz w:val="14"/>
              </w:rPr>
            </w:pPr>
            <w:r>
              <w:rPr>
                <w:sz w:val="14"/>
              </w:rPr>
              <w:t>Depreciation Charge</w:t>
            </w:r>
          </w:p>
        </w:tc>
        <w:tc>
          <w:tcPr>
            <w:tcW w:w="1079" w:type="dxa"/>
          </w:tcPr>
          <w:p>
            <w:pPr>
              <w:pStyle w:val="TableParagraph"/>
              <w:spacing w:before="20"/>
              <w:ind w:right="99"/>
              <w:jc w:val="right"/>
              <w:rPr>
                <w:sz w:val="14"/>
              </w:rPr>
            </w:pPr>
            <w:r>
              <w:rPr>
                <w:w w:val="99"/>
                <w:sz w:val="14"/>
              </w:rPr>
              <w:t>-</w:t>
            </w:r>
          </w:p>
        </w:tc>
        <w:tc>
          <w:tcPr>
            <w:tcW w:w="107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56"/>
              <w:jc w:val="right"/>
              <w:rPr>
                <w:sz w:val="14"/>
              </w:rPr>
            </w:pPr>
            <w:r>
              <w:rPr>
                <w:w w:val="95"/>
                <w:sz w:val="14"/>
              </w:rPr>
              <w:t>(23,179)</w:t>
            </w:r>
          </w:p>
        </w:tc>
        <w:tc>
          <w:tcPr>
            <w:tcW w:w="1094" w:type="dxa"/>
          </w:tcPr>
          <w:p>
            <w:pPr>
              <w:pStyle w:val="TableParagraph"/>
              <w:spacing w:before="20"/>
              <w:ind w:right="102"/>
              <w:jc w:val="right"/>
              <w:rPr>
                <w:sz w:val="14"/>
              </w:rPr>
            </w:pPr>
            <w:r>
              <w:rPr>
                <w:w w:val="95"/>
                <w:sz w:val="14"/>
              </w:rPr>
              <w:t>(3,179)</w:t>
            </w:r>
          </w:p>
        </w:tc>
        <w:tc>
          <w:tcPr>
            <w:tcW w:w="1013" w:type="dxa"/>
          </w:tcPr>
          <w:p>
            <w:pPr>
              <w:pStyle w:val="TableParagraph"/>
              <w:spacing w:before="20"/>
              <w:ind w:right="66"/>
              <w:jc w:val="right"/>
              <w:rPr>
                <w:sz w:val="14"/>
              </w:rPr>
            </w:pPr>
            <w:r>
              <w:rPr>
                <w:w w:val="95"/>
                <w:sz w:val="14"/>
              </w:rPr>
              <w:t>(11,878)</w:t>
            </w:r>
          </w:p>
        </w:tc>
        <w:tc>
          <w:tcPr>
            <w:tcW w:w="1182" w:type="dxa"/>
          </w:tcPr>
          <w:p>
            <w:pPr>
              <w:pStyle w:val="TableParagraph"/>
              <w:spacing w:before="20"/>
              <w:ind w:right="113"/>
              <w:jc w:val="right"/>
              <w:rPr>
                <w:sz w:val="14"/>
              </w:rPr>
            </w:pPr>
            <w:r>
              <w:rPr>
                <w:w w:val="95"/>
                <w:sz w:val="14"/>
              </w:rPr>
              <w:t>(5,716)</w:t>
            </w:r>
          </w:p>
        </w:tc>
        <w:tc>
          <w:tcPr>
            <w:tcW w:w="1084" w:type="dxa"/>
          </w:tcPr>
          <w:p>
            <w:pPr>
              <w:pStyle w:val="TableParagraph"/>
              <w:spacing w:before="20"/>
              <w:ind w:right="150"/>
              <w:jc w:val="right"/>
              <w:rPr>
                <w:sz w:val="14"/>
              </w:rPr>
            </w:pPr>
            <w:r>
              <w:rPr>
                <w:w w:val="95"/>
                <w:sz w:val="14"/>
              </w:rPr>
              <w:t>(2,569)</w:t>
            </w:r>
          </w:p>
        </w:tc>
        <w:tc>
          <w:tcPr>
            <w:tcW w:w="1091" w:type="dxa"/>
          </w:tcPr>
          <w:p>
            <w:pPr>
              <w:pStyle w:val="TableParagraph"/>
              <w:spacing w:before="20"/>
              <w:ind w:right="237"/>
              <w:jc w:val="right"/>
              <w:rPr>
                <w:sz w:val="14"/>
              </w:rPr>
            </w:pPr>
            <w:r>
              <w:rPr>
                <w:w w:val="99"/>
                <w:sz w:val="14"/>
              </w:rPr>
              <w:t>-</w:t>
            </w:r>
          </w:p>
        </w:tc>
        <w:tc>
          <w:tcPr>
            <w:tcW w:w="881" w:type="dxa"/>
          </w:tcPr>
          <w:p>
            <w:pPr>
              <w:pStyle w:val="TableParagraph"/>
              <w:spacing w:before="20"/>
              <w:ind w:right="24"/>
              <w:jc w:val="right"/>
              <w:rPr>
                <w:sz w:val="14"/>
              </w:rPr>
            </w:pPr>
            <w:r>
              <w:rPr>
                <w:w w:val="95"/>
                <w:sz w:val="14"/>
              </w:rPr>
              <w:t>(46,521)</w:t>
            </w:r>
          </w:p>
        </w:tc>
      </w:tr>
      <w:tr>
        <w:trPr>
          <w:trHeight w:val="218" w:hRule="exact"/>
        </w:trPr>
        <w:tc>
          <w:tcPr>
            <w:tcW w:w="3885" w:type="dxa"/>
          </w:tcPr>
          <w:p>
            <w:pPr>
              <w:pStyle w:val="TableParagraph"/>
              <w:spacing w:before="22"/>
              <w:ind w:left="35"/>
              <w:rPr>
                <w:sz w:val="14"/>
              </w:rPr>
            </w:pPr>
            <w:r>
              <w:rPr>
                <w:w w:val="95"/>
                <w:sz w:val="14"/>
              </w:rPr>
              <w:t>Non-Cash  Adjustments</w:t>
            </w:r>
          </w:p>
        </w:tc>
        <w:tc>
          <w:tcPr>
            <w:tcW w:w="1079" w:type="dxa"/>
          </w:tcPr>
          <w:p>
            <w:pPr>
              <w:pStyle w:val="TableParagraph"/>
              <w:spacing w:before="20"/>
              <w:ind w:right="99"/>
              <w:jc w:val="right"/>
              <w:rPr>
                <w:sz w:val="14"/>
              </w:rPr>
            </w:pPr>
            <w:r>
              <w:rPr>
                <w:w w:val="99"/>
                <w:sz w:val="14"/>
              </w:rPr>
              <w:t>-</w:t>
            </w:r>
          </w:p>
        </w:tc>
        <w:tc>
          <w:tcPr>
            <w:tcW w:w="107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101"/>
              <w:jc w:val="right"/>
              <w:rPr>
                <w:sz w:val="14"/>
              </w:rPr>
            </w:pPr>
            <w:r>
              <w:rPr>
                <w:w w:val="99"/>
                <w:sz w:val="14"/>
              </w:rPr>
              <w:t>-</w:t>
            </w:r>
          </w:p>
        </w:tc>
        <w:tc>
          <w:tcPr>
            <w:tcW w:w="1094" w:type="dxa"/>
          </w:tcPr>
          <w:p>
            <w:pPr>
              <w:pStyle w:val="TableParagraph"/>
              <w:spacing w:before="20"/>
              <w:ind w:right="147"/>
              <w:jc w:val="right"/>
              <w:rPr>
                <w:sz w:val="14"/>
              </w:rPr>
            </w:pPr>
            <w:r>
              <w:rPr>
                <w:w w:val="99"/>
                <w:sz w:val="14"/>
              </w:rPr>
              <w:t>-</w:t>
            </w:r>
          </w:p>
        </w:tc>
        <w:tc>
          <w:tcPr>
            <w:tcW w:w="1013" w:type="dxa"/>
          </w:tcPr>
          <w:p>
            <w:pPr>
              <w:pStyle w:val="TableParagraph"/>
              <w:spacing w:before="20"/>
              <w:ind w:right="111"/>
              <w:jc w:val="right"/>
              <w:rPr>
                <w:sz w:val="14"/>
              </w:rPr>
            </w:pPr>
            <w:r>
              <w:rPr>
                <w:w w:val="99"/>
                <w:sz w:val="14"/>
              </w:rPr>
              <w:t>-</w:t>
            </w:r>
          </w:p>
        </w:tc>
        <w:tc>
          <w:tcPr>
            <w:tcW w:w="1182" w:type="dxa"/>
          </w:tcPr>
          <w:p>
            <w:pPr>
              <w:pStyle w:val="TableParagraph"/>
              <w:spacing w:before="20"/>
              <w:ind w:right="158"/>
              <w:jc w:val="right"/>
              <w:rPr>
                <w:sz w:val="14"/>
              </w:rPr>
            </w:pPr>
            <w:r>
              <w:rPr>
                <w:w w:val="99"/>
                <w:sz w:val="14"/>
              </w:rPr>
              <w:t>1</w:t>
            </w:r>
          </w:p>
        </w:tc>
        <w:tc>
          <w:tcPr>
            <w:tcW w:w="1084" w:type="dxa"/>
          </w:tcPr>
          <w:p>
            <w:pPr>
              <w:pStyle w:val="TableParagraph"/>
              <w:spacing w:before="20"/>
              <w:ind w:right="195"/>
              <w:jc w:val="right"/>
              <w:rPr>
                <w:sz w:val="14"/>
              </w:rPr>
            </w:pPr>
            <w:r>
              <w:rPr>
                <w:w w:val="99"/>
                <w:sz w:val="14"/>
              </w:rPr>
              <w:t>-</w:t>
            </w:r>
          </w:p>
        </w:tc>
        <w:tc>
          <w:tcPr>
            <w:tcW w:w="1091" w:type="dxa"/>
          </w:tcPr>
          <w:p>
            <w:pPr>
              <w:pStyle w:val="TableParagraph"/>
              <w:spacing w:before="20"/>
              <w:ind w:right="237"/>
              <w:jc w:val="right"/>
              <w:rPr>
                <w:sz w:val="14"/>
              </w:rPr>
            </w:pPr>
            <w:r>
              <w:rPr>
                <w:w w:val="99"/>
                <w:sz w:val="14"/>
              </w:rPr>
              <w:t>-</w:t>
            </w:r>
          </w:p>
        </w:tc>
        <w:tc>
          <w:tcPr>
            <w:tcW w:w="881" w:type="dxa"/>
          </w:tcPr>
          <w:p>
            <w:pPr>
              <w:pStyle w:val="TableParagraph"/>
              <w:spacing w:before="20"/>
              <w:ind w:right="69"/>
              <w:jc w:val="right"/>
              <w:rPr>
                <w:sz w:val="14"/>
              </w:rPr>
            </w:pPr>
            <w:r>
              <w:rPr>
                <w:w w:val="99"/>
                <w:sz w:val="14"/>
              </w:rPr>
              <w:t>1</w:t>
            </w:r>
          </w:p>
        </w:tc>
      </w:tr>
      <w:tr>
        <w:trPr>
          <w:trHeight w:val="217" w:hRule="exact"/>
        </w:trPr>
        <w:tc>
          <w:tcPr>
            <w:tcW w:w="3885" w:type="dxa"/>
          </w:tcPr>
          <w:p>
            <w:pPr>
              <w:pStyle w:val="TableParagraph"/>
              <w:spacing w:before="20"/>
              <w:ind w:left="35"/>
              <w:rPr>
                <w:sz w:val="14"/>
              </w:rPr>
            </w:pPr>
            <w:r>
              <w:rPr>
                <w:sz w:val="14"/>
              </w:rPr>
              <w:t>Assets capitalised from Construction in Progress</w:t>
            </w:r>
          </w:p>
        </w:tc>
        <w:tc>
          <w:tcPr>
            <w:tcW w:w="1079" w:type="dxa"/>
          </w:tcPr>
          <w:p>
            <w:pPr>
              <w:pStyle w:val="TableParagraph"/>
              <w:spacing w:before="20"/>
              <w:ind w:right="54"/>
              <w:jc w:val="right"/>
              <w:rPr>
                <w:sz w:val="14"/>
              </w:rPr>
            </w:pPr>
            <w:r>
              <w:rPr>
                <w:w w:val="95"/>
                <w:sz w:val="14"/>
              </w:rPr>
              <w:t>(88,356)</w:t>
            </w:r>
          </w:p>
        </w:tc>
        <w:tc>
          <w:tcPr>
            <w:tcW w:w="1077" w:type="dxa"/>
          </w:tcPr>
          <w:p>
            <w:pPr>
              <w:pStyle w:val="TableParagraph"/>
              <w:spacing w:before="20"/>
              <w:ind w:right="126"/>
              <w:jc w:val="right"/>
              <w:rPr>
                <w:sz w:val="14"/>
              </w:rPr>
            </w:pPr>
            <w:r>
              <w:rPr>
                <w:w w:val="99"/>
                <w:sz w:val="14"/>
              </w:rPr>
              <w:t>-</w:t>
            </w:r>
          </w:p>
        </w:tc>
        <w:tc>
          <w:tcPr>
            <w:tcW w:w="1068" w:type="dxa"/>
          </w:tcPr>
          <w:p>
            <w:pPr>
              <w:pStyle w:val="TableParagraph"/>
              <w:spacing w:before="20"/>
              <w:ind w:right="146"/>
              <w:jc w:val="right"/>
              <w:rPr>
                <w:sz w:val="14"/>
              </w:rPr>
            </w:pPr>
            <w:r>
              <w:rPr>
                <w:w w:val="99"/>
                <w:sz w:val="14"/>
              </w:rPr>
              <w:t>-</w:t>
            </w:r>
          </w:p>
        </w:tc>
        <w:tc>
          <w:tcPr>
            <w:tcW w:w="1004" w:type="dxa"/>
          </w:tcPr>
          <w:p>
            <w:pPr>
              <w:pStyle w:val="TableParagraph"/>
              <w:spacing w:before="20"/>
              <w:ind w:right="102"/>
              <w:jc w:val="right"/>
              <w:rPr>
                <w:sz w:val="14"/>
              </w:rPr>
            </w:pPr>
            <w:r>
              <w:rPr>
                <w:w w:val="95"/>
                <w:sz w:val="14"/>
              </w:rPr>
              <w:t>25,364</w:t>
            </w:r>
          </w:p>
        </w:tc>
        <w:tc>
          <w:tcPr>
            <w:tcW w:w="1094" w:type="dxa"/>
          </w:tcPr>
          <w:p>
            <w:pPr>
              <w:pStyle w:val="TableParagraph"/>
              <w:spacing w:before="20"/>
              <w:ind w:right="149"/>
              <w:jc w:val="right"/>
              <w:rPr>
                <w:sz w:val="14"/>
              </w:rPr>
            </w:pPr>
            <w:r>
              <w:rPr>
                <w:sz w:val="14"/>
              </w:rPr>
              <w:t>6,358</w:t>
            </w:r>
          </w:p>
        </w:tc>
        <w:tc>
          <w:tcPr>
            <w:tcW w:w="1013" w:type="dxa"/>
          </w:tcPr>
          <w:p>
            <w:pPr>
              <w:pStyle w:val="TableParagraph"/>
              <w:spacing w:before="20"/>
              <w:ind w:right="113"/>
              <w:jc w:val="right"/>
              <w:rPr>
                <w:sz w:val="14"/>
              </w:rPr>
            </w:pPr>
            <w:r>
              <w:rPr>
                <w:sz w:val="14"/>
              </w:rPr>
              <w:t>1,368</w:t>
            </w:r>
          </w:p>
        </w:tc>
        <w:tc>
          <w:tcPr>
            <w:tcW w:w="1182" w:type="dxa"/>
          </w:tcPr>
          <w:p>
            <w:pPr>
              <w:pStyle w:val="TableParagraph"/>
              <w:spacing w:before="20"/>
              <w:ind w:right="158"/>
              <w:jc w:val="right"/>
              <w:rPr>
                <w:sz w:val="14"/>
              </w:rPr>
            </w:pPr>
            <w:r>
              <w:rPr>
                <w:w w:val="95"/>
                <w:sz w:val="14"/>
              </w:rPr>
              <w:t>55,134</w:t>
            </w:r>
          </w:p>
        </w:tc>
        <w:tc>
          <w:tcPr>
            <w:tcW w:w="1084" w:type="dxa"/>
          </w:tcPr>
          <w:p>
            <w:pPr>
              <w:pStyle w:val="TableParagraph"/>
              <w:spacing w:before="20"/>
              <w:ind w:right="195"/>
              <w:jc w:val="right"/>
              <w:rPr>
                <w:sz w:val="14"/>
              </w:rPr>
            </w:pPr>
            <w:r>
              <w:rPr>
                <w:w w:val="99"/>
                <w:sz w:val="14"/>
              </w:rPr>
              <w:t>-</w:t>
            </w:r>
          </w:p>
        </w:tc>
        <w:tc>
          <w:tcPr>
            <w:tcW w:w="1091" w:type="dxa"/>
          </w:tcPr>
          <w:p>
            <w:pPr>
              <w:pStyle w:val="TableParagraph"/>
              <w:spacing w:before="20"/>
              <w:ind w:right="238"/>
              <w:jc w:val="right"/>
              <w:rPr>
                <w:sz w:val="14"/>
              </w:rPr>
            </w:pPr>
            <w:r>
              <w:rPr>
                <w:sz w:val="14"/>
              </w:rPr>
              <w:t>132</w:t>
            </w:r>
          </w:p>
        </w:tc>
        <w:tc>
          <w:tcPr>
            <w:tcW w:w="881" w:type="dxa"/>
          </w:tcPr>
          <w:p>
            <w:pPr>
              <w:pStyle w:val="TableParagraph"/>
              <w:spacing w:before="20"/>
              <w:ind w:right="69"/>
              <w:jc w:val="right"/>
              <w:rPr>
                <w:sz w:val="14"/>
              </w:rPr>
            </w:pPr>
            <w:r>
              <w:rPr>
                <w:w w:val="99"/>
                <w:sz w:val="14"/>
              </w:rPr>
              <w:t>-</w:t>
            </w:r>
          </w:p>
        </w:tc>
      </w:tr>
      <w:tr>
        <w:trPr>
          <w:trHeight w:val="218" w:hRule="exact"/>
        </w:trPr>
        <w:tc>
          <w:tcPr>
            <w:tcW w:w="3885" w:type="dxa"/>
          </w:tcPr>
          <w:p>
            <w:pPr>
              <w:pStyle w:val="TableParagraph"/>
              <w:spacing w:before="23"/>
              <w:ind w:left="35"/>
              <w:rPr>
                <w:sz w:val="14"/>
              </w:rPr>
            </w:pPr>
            <w:r>
              <w:rPr>
                <w:sz w:val="14"/>
              </w:rPr>
              <w:t>Transfers to Held for Sale Assets</w:t>
            </w:r>
          </w:p>
        </w:tc>
        <w:tc>
          <w:tcPr>
            <w:tcW w:w="1079" w:type="dxa"/>
            <w:tcBorders>
              <w:bottom w:val="single" w:sz="1" w:space="0" w:color="000000"/>
            </w:tcBorders>
          </w:tcPr>
          <w:p>
            <w:pPr>
              <w:pStyle w:val="TableParagraph"/>
              <w:spacing w:before="21"/>
              <w:ind w:right="99"/>
              <w:jc w:val="right"/>
              <w:rPr>
                <w:sz w:val="14"/>
              </w:rPr>
            </w:pPr>
            <w:r>
              <w:rPr>
                <w:w w:val="99"/>
                <w:sz w:val="14"/>
              </w:rPr>
              <w:t>-</w:t>
            </w:r>
          </w:p>
        </w:tc>
        <w:tc>
          <w:tcPr>
            <w:tcW w:w="1077" w:type="dxa"/>
            <w:tcBorders>
              <w:bottom w:val="single" w:sz="1" w:space="0" w:color="000000"/>
            </w:tcBorders>
          </w:tcPr>
          <w:p>
            <w:pPr>
              <w:pStyle w:val="TableParagraph"/>
              <w:spacing w:before="21"/>
              <w:ind w:right="81"/>
              <w:jc w:val="right"/>
              <w:rPr>
                <w:sz w:val="14"/>
              </w:rPr>
            </w:pPr>
            <w:r>
              <w:rPr>
                <w:w w:val="95"/>
                <w:sz w:val="14"/>
              </w:rPr>
              <w:t>(5,180)</w:t>
            </w:r>
          </w:p>
        </w:tc>
        <w:tc>
          <w:tcPr>
            <w:tcW w:w="1068" w:type="dxa"/>
            <w:tcBorders>
              <w:bottom w:val="single" w:sz="1" w:space="0" w:color="000000"/>
            </w:tcBorders>
          </w:tcPr>
          <w:p>
            <w:pPr>
              <w:pStyle w:val="TableParagraph"/>
              <w:spacing w:before="21"/>
              <w:ind w:right="146"/>
              <w:jc w:val="right"/>
              <w:rPr>
                <w:sz w:val="14"/>
              </w:rPr>
            </w:pPr>
            <w:r>
              <w:rPr>
                <w:w w:val="99"/>
                <w:sz w:val="14"/>
              </w:rPr>
              <w:t>-</w:t>
            </w:r>
          </w:p>
        </w:tc>
        <w:tc>
          <w:tcPr>
            <w:tcW w:w="1004" w:type="dxa"/>
            <w:tcBorders>
              <w:bottom w:val="single" w:sz="1" w:space="0" w:color="000000"/>
            </w:tcBorders>
          </w:tcPr>
          <w:p>
            <w:pPr>
              <w:pStyle w:val="TableParagraph"/>
              <w:spacing w:before="21"/>
              <w:ind w:right="56"/>
              <w:jc w:val="right"/>
              <w:rPr>
                <w:sz w:val="14"/>
              </w:rPr>
            </w:pPr>
            <w:r>
              <w:rPr>
                <w:sz w:val="14"/>
              </w:rPr>
              <w:t>(687)</w:t>
            </w:r>
          </w:p>
        </w:tc>
        <w:tc>
          <w:tcPr>
            <w:tcW w:w="1094" w:type="dxa"/>
            <w:tcBorders>
              <w:bottom w:val="single" w:sz="1" w:space="0" w:color="000000"/>
            </w:tcBorders>
          </w:tcPr>
          <w:p>
            <w:pPr>
              <w:pStyle w:val="TableParagraph"/>
              <w:spacing w:before="21"/>
              <w:ind w:right="147"/>
              <w:jc w:val="right"/>
              <w:rPr>
                <w:sz w:val="14"/>
              </w:rPr>
            </w:pPr>
            <w:r>
              <w:rPr>
                <w:w w:val="99"/>
                <w:sz w:val="14"/>
              </w:rPr>
              <w:t>-</w:t>
            </w:r>
          </w:p>
        </w:tc>
        <w:tc>
          <w:tcPr>
            <w:tcW w:w="1013" w:type="dxa"/>
            <w:tcBorders>
              <w:bottom w:val="single" w:sz="1" w:space="0" w:color="000000"/>
            </w:tcBorders>
          </w:tcPr>
          <w:p>
            <w:pPr>
              <w:pStyle w:val="TableParagraph"/>
              <w:spacing w:before="21"/>
              <w:ind w:right="111"/>
              <w:jc w:val="right"/>
              <w:rPr>
                <w:sz w:val="14"/>
              </w:rPr>
            </w:pPr>
            <w:r>
              <w:rPr>
                <w:w w:val="99"/>
                <w:sz w:val="14"/>
              </w:rPr>
              <w:t>-</w:t>
            </w:r>
          </w:p>
        </w:tc>
        <w:tc>
          <w:tcPr>
            <w:tcW w:w="1182" w:type="dxa"/>
            <w:tcBorders>
              <w:bottom w:val="single" w:sz="1" w:space="0" w:color="000000"/>
            </w:tcBorders>
          </w:tcPr>
          <w:p>
            <w:pPr>
              <w:pStyle w:val="TableParagraph"/>
              <w:spacing w:before="21"/>
              <w:ind w:right="158"/>
              <w:jc w:val="right"/>
              <w:rPr>
                <w:sz w:val="14"/>
              </w:rPr>
            </w:pPr>
            <w:r>
              <w:rPr>
                <w:w w:val="99"/>
                <w:sz w:val="14"/>
              </w:rPr>
              <w:t>-</w:t>
            </w:r>
          </w:p>
        </w:tc>
        <w:tc>
          <w:tcPr>
            <w:tcW w:w="1084" w:type="dxa"/>
            <w:tcBorders>
              <w:bottom w:val="single" w:sz="1" w:space="0" w:color="000000"/>
            </w:tcBorders>
          </w:tcPr>
          <w:p>
            <w:pPr>
              <w:pStyle w:val="TableParagraph"/>
              <w:spacing w:before="21"/>
              <w:ind w:right="195"/>
              <w:jc w:val="right"/>
              <w:rPr>
                <w:sz w:val="14"/>
              </w:rPr>
            </w:pPr>
            <w:r>
              <w:rPr>
                <w:w w:val="99"/>
                <w:sz w:val="14"/>
              </w:rPr>
              <w:t>-</w:t>
            </w:r>
          </w:p>
        </w:tc>
        <w:tc>
          <w:tcPr>
            <w:tcW w:w="1091" w:type="dxa"/>
            <w:tcBorders>
              <w:bottom w:val="single" w:sz="1" w:space="0" w:color="000000"/>
            </w:tcBorders>
          </w:tcPr>
          <w:p>
            <w:pPr>
              <w:pStyle w:val="TableParagraph"/>
              <w:spacing w:before="21"/>
              <w:ind w:right="237"/>
              <w:jc w:val="right"/>
              <w:rPr>
                <w:sz w:val="14"/>
              </w:rPr>
            </w:pPr>
            <w:r>
              <w:rPr>
                <w:w w:val="99"/>
                <w:sz w:val="14"/>
              </w:rPr>
              <w:t>-</w:t>
            </w:r>
          </w:p>
        </w:tc>
        <w:tc>
          <w:tcPr>
            <w:tcW w:w="881" w:type="dxa"/>
            <w:tcBorders>
              <w:bottom w:val="single" w:sz="1" w:space="0" w:color="000000"/>
            </w:tcBorders>
          </w:tcPr>
          <w:p>
            <w:pPr>
              <w:pStyle w:val="TableParagraph"/>
              <w:spacing w:before="21"/>
              <w:ind w:right="24"/>
              <w:jc w:val="right"/>
              <w:rPr>
                <w:sz w:val="14"/>
              </w:rPr>
            </w:pPr>
            <w:r>
              <w:rPr>
                <w:w w:val="95"/>
                <w:sz w:val="14"/>
              </w:rPr>
              <w:t>(5,867)</w:t>
            </w:r>
          </w:p>
        </w:tc>
      </w:tr>
      <w:tr>
        <w:trPr>
          <w:trHeight w:val="293" w:hRule="exact"/>
        </w:trPr>
        <w:tc>
          <w:tcPr>
            <w:tcW w:w="3885" w:type="dxa"/>
          </w:tcPr>
          <w:p>
            <w:pPr>
              <w:pStyle w:val="TableParagraph"/>
              <w:spacing w:before="124"/>
              <w:ind w:left="35"/>
              <w:rPr>
                <w:b/>
                <w:sz w:val="14"/>
              </w:rPr>
            </w:pPr>
            <w:r>
              <w:rPr>
                <w:b/>
                <w:sz w:val="14"/>
              </w:rPr>
              <w:t>Closing Net Book Amount</w:t>
            </w:r>
          </w:p>
        </w:tc>
        <w:tc>
          <w:tcPr>
            <w:tcW w:w="1079" w:type="dxa"/>
            <w:tcBorders>
              <w:top w:val="single" w:sz="1" w:space="0" w:color="000000"/>
              <w:bottom w:val="single" w:sz="1" w:space="0" w:color="000000"/>
            </w:tcBorders>
          </w:tcPr>
          <w:p>
            <w:pPr>
              <w:pStyle w:val="TableParagraph"/>
              <w:spacing w:before="123"/>
              <w:ind w:right="99"/>
              <w:jc w:val="right"/>
              <w:rPr>
                <w:b/>
                <w:sz w:val="14"/>
              </w:rPr>
            </w:pPr>
            <w:r>
              <w:rPr>
                <w:b/>
                <w:w w:val="95"/>
                <w:sz w:val="14"/>
              </w:rPr>
              <w:t>80,540</w:t>
            </w:r>
          </w:p>
        </w:tc>
        <w:tc>
          <w:tcPr>
            <w:tcW w:w="1077" w:type="dxa"/>
            <w:tcBorders>
              <w:top w:val="single" w:sz="1" w:space="0" w:color="000000"/>
              <w:bottom w:val="single" w:sz="1" w:space="0" w:color="000000"/>
            </w:tcBorders>
          </w:tcPr>
          <w:p>
            <w:pPr>
              <w:pStyle w:val="TableParagraph"/>
              <w:spacing w:before="123"/>
              <w:ind w:right="127"/>
              <w:jc w:val="right"/>
              <w:rPr>
                <w:b/>
                <w:sz w:val="14"/>
              </w:rPr>
            </w:pPr>
            <w:r>
              <w:rPr>
                <w:b/>
                <w:w w:val="95"/>
                <w:sz w:val="14"/>
              </w:rPr>
              <w:t>306,574</w:t>
            </w:r>
          </w:p>
        </w:tc>
        <w:tc>
          <w:tcPr>
            <w:tcW w:w="1068" w:type="dxa"/>
            <w:tcBorders>
              <w:top w:val="single" w:sz="1" w:space="0" w:color="000000"/>
              <w:bottom w:val="single" w:sz="1" w:space="0" w:color="000000"/>
            </w:tcBorders>
          </w:tcPr>
          <w:p>
            <w:pPr>
              <w:pStyle w:val="TableParagraph"/>
              <w:spacing w:before="123"/>
              <w:ind w:right="147"/>
              <w:jc w:val="right"/>
              <w:rPr>
                <w:b/>
                <w:sz w:val="14"/>
              </w:rPr>
            </w:pPr>
            <w:r>
              <w:rPr>
                <w:b/>
                <w:w w:val="95"/>
                <w:sz w:val="14"/>
              </w:rPr>
              <w:t>221,740</w:t>
            </w:r>
          </w:p>
        </w:tc>
        <w:tc>
          <w:tcPr>
            <w:tcW w:w="1004" w:type="dxa"/>
            <w:tcBorders>
              <w:top w:val="single" w:sz="1" w:space="0" w:color="000000"/>
              <w:bottom w:val="single" w:sz="1" w:space="0" w:color="000000"/>
            </w:tcBorders>
          </w:tcPr>
          <w:p>
            <w:pPr>
              <w:pStyle w:val="TableParagraph"/>
              <w:spacing w:before="123"/>
              <w:ind w:right="102"/>
              <w:jc w:val="right"/>
              <w:rPr>
                <w:b/>
                <w:sz w:val="14"/>
              </w:rPr>
            </w:pPr>
            <w:r>
              <w:rPr>
                <w:b/>
                <w:w w:val="95"/>
                <w:sz w:val="14"/>
              </w:rPr>
              <w:t>981,524</w:t>
            </w:r>
          </w:p>
        </w:tc>
        <w:tc>
          <w:tcPr>
            <w:tcW w:w="1094" w:type="dxa"/>
            <w:tcBorders>
              <w:top w:val="single" w:sz="1" w:space="0" w:color="000000"/>
              <w:bottom w:val="single" w:sz="1" w:space="0" w:color="000000"/>
            </w:tcBorders>
          </w:tcPr>
          <w:p>
            <w:pPr>
              <w:pStyle w:val="TableParagraph"/>
              <w:spacing w:before="123"/>
              <w:ind w:right="148"/>
              <w:jc w:val="right"/>
              <w:rPr>
                <w:b/>
                <w:sz w:val="14"/>
              </w:rPr>
            </w:pPr>
            <w:r>
              <w:rPr>
                <w:b/>
                <w:w w:val="95"/>
                <w:sz w:val="14"/>
              </w:rPr>
              <w:t>109,035</w:t>
            </w:r>
          </w:p>
        </w:tc>
        <w:tc>
          <w:tcPr>
            <w:tcW w:w="1013" w:type="dxa"/>
            <w:tcBorders>
              <w:top w:val="single" w:sz="1" w:space="0" w:color="000000"/>
              <w:bottom w:val="single" w:sz="1" w:space="0" w:color="000000"/>
            </w:tcBorders>
          </w:tcPr>
          <w:p>
            <w:pPr>
              <w:pStyle w:val="TableParagraph"/>
              <w:spacing w:before="123"/>
              <w:ind w:right="112"/>
              <w:jc w:val="right"/>
              <w:rPr>
                <w:b/>
                <w:sz w:val="14"/>
              </w:rPr>
            </w:pPr>
            <w:r>
              <w:rPr>
                <w:b/>
                <w:w w:val="95"/>
                <w:sz w:val="14"/>
              </w:rPr>
              <w:t>63,333</w:t>
            </w:r>
          </w:p>
        </w:tc>
        <w:tc>
          <w:tcPr>
            <w:tcW w:w="1182" w:type="dxa"/>
            <w:tcBorders>
              <w:top w:val="single" w:sz="1" w:space="0" w:color="000000"/>
              <w:bottom w:val="single" w:sz="1" w:space="0" w:color="000000"/>
            </w:tcBorders>
          </w:tcPr>
          <w:p>
            <w:pPr>
              <w:pStyle w:val="TableParagraph"/>
              <w:spacing w:before="123"/>
              <w:ind w:right="158"/>
              <w:jc w:val="right"/>
              <w:rPr>
                <w:b/>
                <w:sz w:val="14"/>
              </w:rPr>
            </w:pPr>
            <w:r>
              <w:rPr>
                <w:b/>
                <w:w w:val="95"/>
                <w:sz w:val="14"/>
              </w:rPr>
              <w:t>61,389</w:t>
            </w:r>
          </w:p>
        </w:tc>
        <w:tc>
          <w:tcPr>
            <w:tcW w:w="1084" w:type="dxa"/>
            <w:tcBorders>
              <w:top w:val="single" w:sz="1" w:space="0" w:color="000000"/>
              <w:bottom w:val="single" w:sz="1" w:space="0" w:color="000000"/>
            </w:tcBorders>
          </w:tcPr>
          <w:p>
            <w:pPr>
              <w:pStyle w:val="TableParagraph"/>
              <w:spacing w:before="123"/>
              <w:ind w:right="197"/>
              <w:jc w:val="right"/>
              <w:rPr>
                <w:b/>
                <w:sz w:val="14"/>
              </w:rPr>
            </w:pPr>
            <w:r>
              <w:rPr>
                <w:b/>
                <w:sz w:val="14"/>
              </w:rPr>
              <w:t>6,984</w:t>
            </w:r>
          </w:p>
        </w:tc>
        <w:tc>
          <w:tcPr>
            <w:tcW w:w="1091" w:type="dxa"/>
            <w:tcBorders>
              <w:top w:val="single" w:sz="1" w:space="0" w:color="000000"/>
              <w:bottom w:val="single" w:sz="1" w:space="0" w:color="000000"/>
            </w:tcBorders>
          </w:tcPr>
          <w:p>
            <w:pPr>
              <w:pStyle w:val="TableParagraph"/>
              <w:spacing w:before="123"/>
              <w:ind w:right="237"/>
              <w:jc w:val="right"/>
              <w:rPr>
                <w:b/>
                <w:sz w:val="14"/>
              </w:rPr>
            </w:pPr>
            <w:r>
              <w:rPr>
                <w:b/>
                <w:sz w:val="14"/>
              </w:rPr>
              <w:t>4,398</w:t>
            </w:r>
          </w:p>
        </w:tc>
        <w:tc>
          <w:tcPr>
            <w:tcW w:w="881" w:type="dxa"/>
            <w:tcBorders>
              <w:top w:val="single" w:sz="1" w:space="0" w:color="000000"/>
              <w:bottom w:val="single" w:sz="1" w:space="0" w:color="000000"/>
            </w:tcBorders>
          </w:tcPr>
          <w:p>
            <w:pPr>
              <w:pStyle w:val="TableParagraph"/>
              <w:spacing w:before="123"/>
              <w:ind w:right="69"/>
              <w:jc w:val="right"/>
              <w:rPr>
                <w:b/>
                <w:sz w:val="14"/>
              </w:rPr>
            </w:pPr>
            <w:r>
              <w:rPr>
                <w:b/>
                <w:w w:val="95"/>
                <w:sz w:val="14"/>
              </w:rPr>
              <w:t>1,835,517</w:t>
            </w:r>
          </w:p>
        </w:tc>
      </w:tr>
      <w:tr>
        <w:trPr>
          <w:trHeight w:val="512" w:hRule="exact"/>
        </w:trPr>
        <w:tc>
          <w:tcPr>
            <w:tcW w:w="3885" w:type="dxa"/>
          </w:tcPr>
          <w:p>
            <w:pPr>
              <w:pStyle w:val="TableParagraph"/>
              <w:spacing w:before="124"/>
              <w:ind w:left="35"/>
              <w:rPr>
                <w:b/>
                <w:sz w:val="14"/>
              </w:rPr>
            </w:pPr>
            <w:r>
              <w:rPr>
                <w:b/>
                <w:sz w:val="14"/>
              </w:rPr>
              <w:t>At 31 December 2017</w:t>
            </w:r>
          </w:p>
          <w:p>
            <w:pPr>
              <w:pStyle w:val="TableParagraph"/>
              <w:spacing w:before="31"/>
              <w:ind w:left="35"/>
              <w:rPr>
                <w:sz w:val="14"/>
              </w:rPr>
            </w:pPr>
            <w:r>
              <w:rPr>
                <w:sz w:val="14"/>
              </w:rPr>
              <w:t>- Cost</w:t>
            </w:r>
          </w:p>
        </w:tc>
        <w:tc>
          <w:tcPr>
            <w:tcW w:w="1079" w:type="dxa"/>
            <w:tcBorders>
              <w:top w:val="single" w:sz="1" w:space="0" w:color="000000"/>
            </w:tcBorders>
          </w:tcPr>
          <w:p>
            <w:pPr>
              <w:pStyle w:val="TableParagraph"/>
              <w:rPr>
                <w:b/>
                <w:sz w:val="14"/>
              </w:rPr>
            </w:pPr>
          </w:p>
          <w:p>
            <w:pPr>
              <w:pStyle w:val="TableParagraph"/>
              <w:spacing w:before="2"/>
              <w:rPr>
                <w:b/>
                <w:sz w:val="13"/>
              </w:rPr>
            </w:pPr>
          </w:p>
          <w:p>
            <w:pPr>
              <w:pStyle w:val="TableParagraph"/>
              <w:ind w:right="99"/>
              <w:jc w:val="right"/>
              <w:rPr>
                <w:sz w:val="14"/>
              </w:rPr>
            </w:pPr>
            <w:r>
              <w:rPr>
                <w:w w:val="95"/>
                <w:sz w:val="14"/>
              </w:rPr>
              <w:t>80,540</w:t>
            </w:r>
          </w:p>
        </w:tc>
        <w:tc>
          <w:tcPr>
            <w:tcW w:w="1077" w:type="dxa"/>
            <w:tcBorders>
              <w:top w:val="single" w:sz="1" w:space="0" w:color="000000"/>
            </w:tcBorders>
          </w:tcPr>
          <w:p>
            <w:pPr>
              <w:pStyle w:val="TableParagraph"/>
              <w:rPr>
                <w:b/>
                <w:sz w:val="14"/>
              </w:rPr>
            </w:pPr>
          </w:p>
          <w:p>
            <w:pPr>
              <w:pStyle w:val="TableParagraph"/>
              <w:spacing w:before="2"/>
              <w:rPr>
                <w:b/>
                <w:sz w:val="13"/>
              </w:rPr>
            </w:pPr>
          </w:p>
          <w:p>
            <w:pPr>
              <w:pStyle w:val="TableParagraph"/>
              <w:ind w:right="126"/>
              <w:jc w:val="right"/>
              <w:rPr>
                <w:sz w:val="14"/>
              </w:rPr>
            </w:pPr>
            <w:r>
              <w:rPr>
                <w:w w:val="99"/>
                <w:sz w:val="14"/>
              </w:rPr>
              <w:t>-</w:t>
            </w:r>
          </w:p>
        </w:tc>
        <w:tc>
          <w:tcPr>
            <w:tcW w:w="1068" w:type="dxa"/>
            <w:tcBorders>
              <w:top w:val="single" w:sz="1" w:space="0" w:color="000000"/>
            </w:tcBorders>
          </w:tcPr>
          <w:p>
            <w:pPr>
              <w:pStyle w:val="TableParagraph"/>
              <w:rPr>
                <w:b/>
                <w:sz w:val="14"/>
              </w:rPr>
            </w:pPr>
          </w:p>
          <w:p>
            <w:pPr>
              <w:pStyle w:val="TableParagraph"/>
              <w:spacing w:before="2"/>
              <w:rPr>
                <w:b/>
                <w:sz w:val="13"/>
              </w:rPr>
            </w:pPr>
          </w:p>
          <w:p>
            <w:pPr>
              <w:pStyle w:val="TableParagraph"/>
              <w:ind w:right="146"/>
              <w:jc w:val="right"/>
              <w:rPr>
                <w:sz w:val="14"/>
              </w:rPr>
            </w:pPr>
            <w:r>
              <w:rPr>
                <w:w w:val="99"/>
                <w:sz w:val="14"/>
              </w:rPr>
              <w:t>-</w:t>
            </w:r>
          </w:p>
        </w:tc>
        <w:tc>
          <w:tcPr>
            <w:tcW w:w="100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02"/>
              <w:jc w:val="right"/>
              <w:rPr>
                <w:sz w:val="14"/>
              </w:rPr>
            </w:pPr>
            <w:r>
              <w:rPr>
                <w:sz w:val="14"/>
              </w:rPr>
              <w:t>7,576</w:t>
            </w:r>
          </w:p>
        </w:tc>
        <w:tc>
          <w:tcPr>
            <w:tcW w:w="109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48"/>
              <w:jc w:val="right"/>
              <w:rPr>
                <w:sz w:val="14"/>
              </w:rPr>
            </w:pPr>
            <w:r>
              <w:rPr>
                <w:sz w:val="14"/>
              </w:rPr>
              <w:t>18</w:t>
            </w:r>
          </w:p>
        </w:tc>
        <w:tc>
          <w:tcPr>
            <w:tcW w:w="1013" w:type="dxa"/>
            <w:tcBorders>
              <w:top w:val="single" w:sz="1" w:space="0" w:color="000000"/>
            </w:tcBorders>
          </w:tcPr>
          <w:p>
            <w:pPr>
              <w:pStyle w:val="TableParagraph"/>
              <w:rPr>
                <w:b/>
                <w:sz w:val="14"/>
              </w:rPr>
            </w:pPr>
          </w:p>
          <w:p>
            <w:pPr>
              <w:pStyle w:val="TableParagraph"/>
              <w:spacing w:before="2"/>
              <w:rPr>
                <w:b/>
                <w:sz w:val="13"/>
              </w:rPr>
            </w:pPr>
          </w:p>
          <w:p>
            <w:pPr>
              <w:pStyle w:val="TableParagraph"/>
              <w:ind w:right="112"/>
              <w:jc w:val="right"/>
              <w:rPr>
                <w:sz w:val="14"/>
              </w:rPr>
            </w:pPr>
            <w:r>
              <w:rPr>
                <w:w w:val="95"/>
                <w:sz w:val="14"/>
              </w:rPr>
              <w:t>146,268</w:t>
            </w:r>
          </w:p>
        </w:tc>
        <w:tc>
          <w:tcPr>
            <w:tcW w:w="1182" w:type="dxa"/>
            <w:tcBorders>
              <w:top w:val="single" w:sz="1" w:space="0" w:color="000000"/>
            </w:tcBorders>
          </w:tcPr>
          <w:p>
            <w:pPr>
              <w:pStyle w:val="TableParagraph"/>
              <w:rPr>
                <w:b/>
                <w:sz w:val="14"/>
              </w:rPr>
            </w:pPr>
          </w:p>
          <w:p>
            <w:pPr>
              <w:pStyle w:val="TableParagraph"/>
              <w:spacing w:before="2"/>
              <w:rPr>
                <w:b/>
                <w:sz w:val="13"/>
              </w:rPr>
            </w:pPr>
          </w:p>
          <w:p>
            <w:pPr>
              <w:pStyle w:val="TableParagraph"/>
              <w:ind w:right="158"/>
              <w:jc w:val="right"/>
              <w:rPr>
                <w:sz w:val="14"/>
              </w:rPr>
            </w:pPr>
            <w:r>
              <w:rPr>
                <w:w w:val="95"/>
                <w:sz w:val="14"/>
              </w:rPr>
              <w:t>74,257</w:t>
            </w:r>
          </w:p>
        </w:tc>
        <w:tc>
          <w:tcPr>
            <w:tcW w:w="1084" w:type="dxa"/>
            <w:tcBorders>
              <w:top w:val="single" w:sz="1" w:space="0" w:color="000000"/>
            </w:tcBorders>
          </w:tcPr>
          <w:p>
            <w:pPr>
              <w:pStyle w:val="TableParagraph"/>
              <w:rPr>
                <w:b/>
                <w:sz w:val="14"/>
              </w:rPr>
            </w:pPr>
          </w:p>
          <w:p>
            <w:pPr>
              <w:pStyle w:val="TableParagraph"/>
              <w:spacing w:before="2"/>
              <w:rPr>
                <w:b/>
                <w:sz w:val="13"/>
              </w:rPr>
            </w:pPr>
          </w:p>
          <w:p>
            <w:pPr>
              <w:pStyle w:val="TableParagraph"/>
              <w:ind w:right="196"/>
              <w:jc w:val="right"/>
              <w:rPr>
                <w:sz w:val="14"/>
              </w:rPr>
            </w:pPr>
            <w:r>
              <w:rPr>
                <w:w w:val="95"/>
                <w:sz w:val="14"/>
              </w:rPr>
              <w:t>77,877</w:t>
            </w:r>
          </w:p>
        </w:tc>
        <w:tc>
          <w:tcPr>
            <w:tcW w:w="1091" w:type="dxa"/>
            <w:tcBorders>
              <w:top w:val="single" w:sz="1" w:space="0" w:color="000000"/>
            </w:tcBorders>
          </w:tcPr>
          <w:p>
            <w:pPr>
              <w:pStyle w:val="TableParagraph"/>
              <w:rPr>
                <w:b/>
                <w:sz w:val="14"/>
              </w:rPr>
            </w:pPr>
          </w:p>
          <w:p>
            <w:pPr>
              <w:pStyle w:val="TableParagraph"/>
              <w:spacing w:before="2"/>
              <w:rPr>
                <w:b/>
                <w:sz w:val="13"/>
              </w:rPr>
            </w:pPr>
          </w:p>
          <w:p>
            <w:pPr>
              <w:pStyle w:val="TableParagraph"/>
              <w:ind w:right="237"/>
              <w:jc w:val="right"/>
              <w:rPr>
                <w:sz w:val="14"/>
              </w:rPr>
            </w:pPr>
            <w:r>
              <w:rPr>
                <w:w w:val="99"/>
                <w:sz w:val="14"/>
              </w:rPr>
              <w:t>-</w:t>
            </w:r>
          </w:p>
        </w:tc>
        <w:tc>
          <w:tcPr>
            <w:tcW w:w="881" w:type="dxa"/>
            <w:tcBorders>
              <w:top w:val="single" w:sz="1" w:space="0" w:color="000000"/>
            </w:tcBorders>
          </w:tcPr>
          <w:p>
            <w:pPr>
              <w:pStyle w:val="TableParagraph"/>
              <w:rPr>
                <w:b/>
                <w:sz w:val="14"/>
              </w:rPr>
            </w:pPr>
          </w:p>
          <w:p>
            <w:pPr>
              <w:pStyle w:val="TableParagraph"/>
              <w:spacing w:before="2"/>
              <w:rPr>
                <w:b/>
                <w:sz w:val="13"/>
              </w:rPr>
            </w:pPr>
          </w:p>
          <w:p>
            <w:pPr>
              <w:pStyle w:val="TableParagraph"/>
              <w:ind w:right="70"/>
              <w:jc w:val="right"/>
              <w:rPr>
                <w:sz w:val="14"/>
              </w:rPr>
            </w:pPr>
            <w:r>
              <w:rPr>
                <w:w w:val="95"/>
                <w:sz w:val="14"/>
              </w:rPr>
              <w:t>386,536</w:t>
            </w:r>
          </w:p>
        </w:tc>
      </w:tr>
      <w:tr>
        <w:trPr>
          <w:trHeight w:val="218" w:hRule="exact"/>
        </w:trPr>
        <w:tc>
          <w:tcPr>
            <w:tcW w:w="3885" w:type="dxa"/>
          </w:tcPr>
          <w:p>
            <w:pPr>
              <w:pStyle w:val="TableParagraph"/>
              <w:spacing w:before="22"/>
              <w:ind w:left="35"/>
              <w:rPr>
                <w:sz w:val="14"/>
              </w:rPr>
            </w:pPr>
            <w:r>
              <w:rPr>
                <w:sz w:val="14"/>
              </w:rPr>
              <w:t>- Valuation</w:t>
            </w:r>
          </w:p>
        </w:tc>
        <w:tc>
          <w:tcPr>
            <w:tcW w:w="1079" w:type="dxa"/>
          </w:tcPr>
          <w:p>
            <w:pPr>
              <w:pStyle w:val="TableParagraph"/>
              <w:spacing w:before="20"/>
              <w:ind w:right="99"/>
              <w:jc w:val="right"/>
              <w:rPr>
                <w:sz w:val="14"/>
              </w:rPr>
            </w:pPr>
            <w:r>
              <w:rPr>
                <w:w w:val="99"/>
                <w:sz w:val="14"/>
              </w:rPr>
              <w:t>-</w:t>
            </w:r>
          </w:p>
        </w:tc>
        <w:tc>
          <w:tcPr>
            <w:tcW w:w="1077" w:type="dxa"/>
          </w:tcPr>
          <w:p>
            <w:pPr>
              <w:pStyle w:val="TableParagraph"/>
              <w:spacing w:before="20"/>
              <w:ind w:right="127"/>
              <w:jc w:val="right"/>
              <w:rPr>
                <w:sz w:val="14"/>
              </w:rPr>
            </w:pPr>
            <w:r>
              <w:rPr>
                <w:w w:val="95"/>
                <w:sz w:val="14"/>
              </w:rPr>
              <w:t>306,574</w:t>
            </w:r>
          </w:p>
        </w:tc>
        <w:tc>
          <w:tcPr>
            <w:tcW w:w="1068" w:type="dxa"/>
          </w:tcPr>
          <w:p>
            <w:pPr>
              <w:pStyle w:val="TableParagraph"/>
              <w:spacing w:before="20"/>
              <w:ind w:right="147"/>
              <w:jc w:val="right"/>
              <w:rPr>
                <w:sz w:val="14"/>
              </w:rPr>
            </w:pPr>
            <w:r>
              <w:rPr>
                <w:w w:val="95"/>
                <w:sz w:val="14"/>
              </w:rPr>
              <w:t>221,740</w:t>
            </w:r>
          </w:p>
        </w:tc>
        <w:tc>
          <w:tcPr>
            <w:tcW w:w="1004" w:type="dxa"/>
          </w:tcPr>
          <w:p>
            <w:pPr>
              <w:pStyle w:val="TableParagraph"/>
              <w:spacing w:before="20"/>
              <w:ind w:right="102"/>
              <w:jc w:val="right"/>
              <w:rPr>
                <w:sz w:val="14"/>
              </w:rPr>
            </w:pPr>
            <w:r>
              <w:rPr>
                <w:w w:val="95"/>
                <w:sz w:val="14"/>
              </w:rPr>
              <w:t>983,669</w:t>
            </w:r>
          </w:p>
        </w:tc>
        <w:tc>
          <w:tcPr>
            <w:tcW w:w="1094" w:type="dxa"/>
          </w:tcPr>
          <w:p>
            <w:pPr>
              <w:pStyle w:val="TableParagraph"/>
              <w:spacing w:before="20"/>
              <w:ind w:right="148"/>
              <w:jc w:val="right"/>
              <w:rPr>
                <w:sz w:val="14"/>
              </w:rPr>
            </w:pPr>
            <w:r>
              <w:rPr>
                <w:w w:val="95"/>
                <w:sz w:val="14"/>
              </w:rPr>
              <w:t>110,808</w:t>
            </w:r>
          </w:p>
        </w:tc>
        <w:tc>
          <w:tcPr>
            <w:tcW w:w="1013" w:type="dxa"/>
          </w:tcPr>
          <w:p>
            <w:pPr>
              <w:pStyle w:val="TableParagraph"/>
              <w:spacing w:before="20"/>
              <w:ind w:right="111"/>
              <w:jc w:val="right"/>
              <w:rPr>
                <w:sz w:val="14"/>
              </w:rPr>
            </w:pPr>
            <w:r>
              <w:rPr>
                <w:w w:val="99"/>
                <w:sz w:val="14"/>
              </w:rPr>
              <w:t>-</w:t>
            </w:r>
          </w:p>
        </w:tc>
        <w:tc>
          <w:tcPr>
            <w:tcW w:w="1182" w:type="dxa"/>
          </w:tcPr>
          <w:p>
            <w:pPr>
              <w:pStyle w:val="TableParagraph"/>
              <w:spacing w:before="20"/>
              <w:ind w:right="158"/>
              <w:jc w:val="right"/>
              <w:rPr>
                <w:sz w:val="14"/>
              </w:rPr>
            </w:pPr>
            <w:r>
              <w:rPr>
                <w:w w:val="99"/>
                <w:sz w:val="14"/>
              </w:rPr>
              <w:t>-</w:t>
            </w:r>
          </w:p>
        </w:tc>
        <w:tc>
          <w:tcPr>
            <w:tcW w:w="1084" w:type="dxa"/>
          </w:tcPr>
          <w:p>
            <w:pPr>
              <w:pStyle w:val="TableParagraph"/>
              <w:spacing w:before="20"/>
              <w:ind w:right="196"/>
              <w:jc w:val="right"/>
              <w:rPr>
                <w:sz w:val="14"/>
              </w:rPr>
            </w:pPr>
            <w:r>
              <w:rPr>
                <w:sz w:val="14"/>
              </w:rPr>
              <w:t>881</w:t>
            </w:r>
          </w:p>
        </w:tc>
        <w:tc>
          <w:tcPr>
            <w:tcW w:w="1091" w:type="dxa"/>
          </w:tcPr>
          <w:p>
            <w:pPr>
              <w:pStyle w:val="TableParagraph"/>
              <w:spacing w:before="20"/>
              <w:ind w:right="237"/>
              <w:jc w:val="right"/>
              <w:rPr>
                <w:sz w:val="14"/>
              </w:rPr>
            </w:pPr>
            <w:r>
              <w:rPr>
                <w:sz w:val="14"/>
              </w:rPr>
              <w:t>4,398</w:t>
            </w:r>
          </w:p>
        </w:tc>
        <w:tc>
          <w:tcPr>
            <w:tcW w:w="881" w:type="dxa"/>
          </w:tcPr>
          <w:p>
            <w:pPr>
              <w:pStyle w:val="TableParagraph"/>
              <w:spacing w:before="20"/>
              <w:ind w:right="69"/>
              <w:jc w:val="right"/>
              <w:rPr>
                <w:sz w:val="14"/>
              </w:rPr>
            </w:pPr>
            <w:r>
              <w:rPr>
                <w:w w:val="95"/>
                <w:sz w:val="14"/>
              </w:rPr>
              <w:t>1,628,070</w:t>
            </w:r>
          </w:p>
        </w:tc>
      </w:tr>
      <w:tr>
        <w:trPr>
          <w:trHeight w:val="217" w:hRule="exact"/>
        </w:trPr>
        <w:tc>
          <w:tcPr>
            <w:tcW w:w="3885" w:type="dxa"/>
          </w:tcPr>
          <w:p>
            <w:pPr>
              <w:pStyle w:val="TableParagraph"/>
              <w:spacing w:before="22"/>
              <w:ind w:left="35"/>
              <w:rPr>
                <w:sz w:val="14"/>
              </w:rPr>
            </w:pPr>
            <w:r>
              <w:rPr>
                <w:sz w:val="14"/>
              </w:rPr>
              <w:t>Accumulated depreciation and impairment</w:t>
            </w:r>
          </w:p>
        </w:tc>
        <w:tc>
          <w:tcPr>
            <w:tcW w:w="1079" w:type="dxa"/>
            <w:tcBorders>
              <w:bottom w:val="single" w:sz="1" w:space="0" w:color="000000"/>
            </w:tcBorders>
          </w:tcPr>
          <w:p>
            <w:pPr>
              <w:pStyle w:val="TableParagraph"/>
              <w:spacing w:before="20"/>
              <w:ind w:right="99"/>
              <w:jc w:val="right"/>
              <w:rPr>
                <w:sz w:val="14"/>
              </w:rPr>
            </w:pPr>
            <w:r>
              <w:rPr>
                <w:w w:val="99"/>
                <w:sz w:val="14"/>
              </w:rPr>
              <w:t>-</w:t>
            </w:r>
          </w:p>
        </w:tc>
        <w:tc>
          <w:tcPr>
            <w:tcW w:w="1077" w:type="dxa"/>
            <w:tcBorders>
              <w:bottom w:val="single" w:sz="1" w:space="0" w:color="000000"/>
            </w:tcBorders>
          </w:tcPr>
          <w:p>
            <w:pPr>
              <w:pStyle w:val="TableParagraph"/>
              <w:spacing w:before="20"/>
              <w:ind w:right="126"/>
              <w:jc w:val="right"/>
              <w:rPr>
                <w:sz w:val="14"/>
              </w:rPr>
            </w:pPr>
            <w:r>
              <w:rPr>
                <w:w w:val="99"/>
                <w:sz w:val="14"/>
              </w:rPr>
              <w:t>-</w:t>
            </w:r>
          </w:p>
        </w:tc>
        <w:tc>
          <w:tcPr>
            <w:tcW w:w="1068" w:type="dxa"/>
            <w:tcBorders>
              <w:bottom w:val="single" w:sz="1" w:space="0" w:color="000000"/>
            </w:tcBorders>
          </w:tcPr>
          <w:p>
            <w:pPr>
              <w:pStyle w:val="TableParagraph"/>
              <w:spacing w:before="20"/>
              <w:ind w:right="146"/>
              <w:jc w:val="right"/>
              <w:rPr>
                <w:sz w:val="14"/>
              </w:rPr>
            </w:pPr>
            <w:r>
              <w:rPr>
                <w:w w:val="99"/>
                <w:sz w:val="14"/>
              </w:rPr>
              <w:t>-</w:t>
            </w:r>
          </w:p>
        </w:tc>
        <w:tc>
          <w:tcPr>
            <w:tcW w:w="1004" w:type="dxa"/>
            <w:tcBorders>
              <w:bottom w:val="single" w:sz="1" w:space="0" w:color="000000"/>
            </w:tcBorders>
          </w:tcPr>
          <w:p>
            <w:pPr>
              <w:pStyle w:val="TableParagraph"/>
              <w:spacing w:before="20"/>
              <w:ind w:right="56"/>
              <w:jc w:val="right"/>
              <w:rPr>
                <w:sz w:val="14"/>
              </w:rPr>
            </w:pPr>
            <w:r>
              <w:rPr>
                <w:w w:val="95"/>
                <w:sz w:val="14"/>
              </w:rPr>
              <w:t>(9,721)</w:t>
            </w:r>
          </w:p>
        </w:tc>
        <w:tc>
          <w:tcPr>
            <w:tcW w:w="1094" w:type="dxa"/>
            <w:tcBorders>
              <w:bottom w:val="single" w:sz="1" w:space="0" w:color="000000"/>
            </w:tcBorders>
          </w:tcPr>
          <w:p>
            <w:pPr>
              <w:pStyle w:val="TableParagraph"/>
              <w:spacing w:before="20"/>
              <w:ind w:right="102"/>
              <w:jc w:val="right"/>
              <w:rPr>
                <w:sz w:val="14"/>
              </w:rPr>
            </w:pPr>
            <w:r>
              <w:rPr>
                <w:w w:val="95"/>
                <w:sz w:val="14"/>
              </w:rPr>
              <w:t>(1,791)</w:t>
            </w:r>
          </w:p>
        </w:tc>
        <w:tc>
          <w:tcPr>
            <w:tcW w:w="1013" w:type="dxa"/>
            <w:tcBorders>
              <w:bottom w:val="single" w:sz="1" w:space="0" w:color="000000"/>
            </w:tcBorders>
          </w:tcPr>
          <w:p>
            <w:pPr>
              <w:pStyle w:val="TableParagraph"/>
              <w:spacing w:before="20"/>
              <w:ind w:right="66"/>
              <w:jc w:val="right"/>
              <w:rPr>
                <w:sz w:val="14"/>
              </w:rPr>
            </w:pPr>
            <w:r>
              <w:rPr>
                <w:w w:val="95"/>
                <w:sz w:val="14"/>
              </w:rPr>
              <w:t>(82,935)</w:t>
            </w:r>
          </w:p>
        </w:tc>
        <w:tc>
          <w:tcPr>
            <w:tcW w:w="1182" w:type="dxa"/>
            <w:tcBorders>
              <w:bottom w:val="single" w:sz="1" w:space="0" w:color="000000"/>
            </w:tcBorders>
          </w:tcPr>
          <w:p>
            <w:pPr>
              <w:pStyle w:val="TableParagraph"/>
              <w:spacing w:before="20"/>
              <w:ind w:right="113"/>
              <w:jc w:val="right"/>
              <w:rPr>
                <w:sz w:val="14"/>
              </w:rPr>
            </w:pPr>
            <w:r>
              <w:rPr>
                <w:w w:val="95"/>
                <w:sz w:val="14"/>
              </w:rPr>
              <w:t>(12,868)</w:t>
            </w:r>
          </w:p>
        </w:tc>
        <w:tc>
          <w:tcPr>
            <w:tcW w:w="1084" w:type="dxa"/>
            <w:tcBorders>
              <w:bottom w:val="single" w:sz="1" w:space="0" w:color="000000"/>
            </w:tcBorders>
          </w:tcPr>
          <w:p>
            <w:pPr>
              <w:pStyle w:val="TableParagraph"/>
              <w:spacing w:before="20"/>
              <w:ind w:right="150"/>
              <w:jc w:val="right"/>
              <w:rPr>
                <w:sz w:val="14"/>
              </w:rPr>
            </w:pPr>
            <w:r>
              <w:rPr>
                <w:w w:val="95"/>
                <w:sz w:val="14"/>
              </w:rPr>
              <w:t>(71,774)</w:t>
            </w:r>
          </w:p>
        </w:tc>
        <w:tc>
          <w:tcPr>
            <w:tcW w:w="1091" w:type="dxa"/>
            <w:tcBorders>
              <w:bottom w:val="single" w:sz="1" w:space="0" w:color="000000"/>
            </w:tcBorders>
          </w:tcPr>
          <w:p>
            <w:pPr>
              <w:pStyle w:val="TableParagraph"/>
              <w:spacing w:before="20"/>
              <w:ind w:right="237"/>
              <w:jc w:val="right"/>
              <w:rPr>
                <w:sz w:val="14"/>
              </w:rPr>
            </w:pPr>
            <w:r>
              <w:rPr>
                <w:w w:val="99"/>
                <w:sz w:val="14"/>
              </w:rPr>
              <w:t>-</w:t>
            </w:r>
          </w:p>
        </w:tc>
        <w:tc>
          <w:tcPr>
            <w:tcW w:w="881" w:type="dxa"/>
            <w:tcBorders>
              <w:bottom w:val="single" w:sz="1" w:space="0" w:color="000000"/>
            </w:tcBorders>
          </w:tcPr>
          <w:p>
            <w:pPr>
              <w:pStyle w:val="TableParagraph"/>
              <w:spacing w:before="20"/>
              <w:ind w:right="24"/>
              <w:jc w:val="right"/>
              <w:rPr>
                <w:sz w:val="14"/>
              </w:rPr>
            </w:pPr>
            <w:r>
              <w:rPr>
                <w:w w:val="95"/>
                <w:sz w:val="14"/>
              </w:rPr>
              <w:t>(179,089)</w:t>
            </w:r>
          </w:p>
        </w:tc>
      </w:tr>
      <w:tr>
        <w:trPr>
          <w:trHeight w:val="307" w:hRule="exact"/>
        </w:trPr>
        <w:tc>
          <w:tcPr>
            <w:tcW w:w="3885" w:type="dxa"/>
          </w:tcPr>
          <w:p>
            <w:pPr>
              <w:pStyle w:val="TableParagraph"/>
              <w:spacing w:before="124"/>
              <w:ind w:left="35"/>
              <w:rPr>
                <w:b/>
                <w:sz w:val="14"/>
              </w:rPr>
            </w:pPr>
            <w:r>
              <w:rPr>
                <w:b/>
                <w:sz w:val="14"/>
              </w:rPr>
              <w:t>Net Book Amount</w:t>
            </w:r>
          </w:p>
        </w:tc>
        <w:tc>
          <w:tcPr>
            <w:tcW w:w="1079" w:type="dxa"/>
            <w:tcBorders>
              <w:top w:val="single" w:sz="1" w:space="0" w:color="000000"/>
              <w:bottom w:val="single" w:sz="1" w:space="0" w:color="000000"/>
            </w:tcBorders>
          </w:tcPr>
          <w:p>
            <w:pPr>
              <w:pStyle w:val="TableParagraph"/>
              <w:spacing w:before="123"/>
              <w:ind w:right="99"/>
              <w:jc w:val="right"/>
              <w:rPr>
                <w:b/>
                <w:sz w:val="14"/>
              </w:rPr>
            </w:pPr>
            <w:r>
              <w:rPr>
                <w:b/>
                <w:w w:val="95"/>
                <w:sz w:val="14"/>
              </w:rPr>
              <w:t>80,540</w:t>
            </w:r>
          </w:p>
        </w:tc>
        <w:tc>
          <w:tcPr>
            <w:tcW w:w="1077" w:type="dxa"/>
            <w:tcBorders>
              <w:top w:val="single" w:sz="1" w:space="0" w:color="000000"/>
              <w:bottom w:val="single" w:sz="1" w:space="0" w:color="000000"/>
            </w:tcBorders>
          </w:tcPr>
          <w:p>
            <w:pPr>
              <w:pStyle w:val="TableParagraph"/>
              <w:spacing w:before="123"/>
              <w:ind w:right="127"/>
              <w:jc w:val="right"/>
              <w:rPr>
                <w:b/>
                <w:sz w:val="14"/>
              </w:rPr>
            </w:pPr>
            <w:r>
              <w:rPr>
                <w:b/>
                <w:w w:val="95"/>
                <w:sz w:val="14"/>
              </w:rPr>
              <w:t>306,574</w:t>
            </w:r>
          </w:p>
        </w:tc>
        <w:tc>
          <w:tcPr>
            <w:tcW w:w="1068" w:type="dxa"/>
            <w:tcBorders>
              <w:top w:val="single" w:sz="1" w:space="0" w:color="000000"/>
              <w:bottom w:val="single" w:sz="1" w:space="0" w:color="000000"/>
            </w:tcBorders>
          </w:tcPr>
          <w:p>
            <w:pPr>
              <w:pStyle w:val="TableParagraph"/>
              <w:spacing w:before="123"/>
              <w:ind w:right="147"/>
              <w:jc w:val="right"/>
              <w:rPr>
                <w:b/>
                <w:sz w:val="14"/>
              </w:rPr>
            </w:pPr>
            <w:r>
              <w:rPr>
                <w:b/>
                <w:w w:val="95"/>
                <w:sz w:val="14"/>
              </w:rPr>
              <w:t>221,740</w:t>
            </w:r>
          </w:p>
        </w:tc>
        <w:tc>
          <w:tcPr>
            <w:tcW w:w="1004" w:type="dxa"/>
            <w:tcBorders>
              <w:top w:val="single" w:sz="1" w:space="0" w:color="000000"/>
              <w:bottom w:val="single" w:sz="1" w:space="0" w:color="000000"/>
            </w:tcBorders>
          </w:tcPr>
          <w:p>
            <w:pPr>
              <w:pStyle w:val="TableParagraph"/>
              <w:spacing w:before="123"/>
              <w:ind w:right="102"/>
              <w:jc w:val="right"/>
              <w:rPr>
                <w:b/>
                <w:sz w:val="14"/>
              </w:rPr>
            </w:pPr>
            <w:r>
              <w:rPr>
                <w:b/>
                <w:w w:val="95"/>
                <w:sz w:val="14"/>
              </w:rPr>
              <w:t>981,524</w:t>
            </w:r>
          </w:p>
        </w:tc>
        <w:tc>
          <w:tcPr>
            <w:tcW w:w="1094" w:type="dxa"/>
            <w:tcBorders>
              <w:top w:val="single" w:sz="1" w:space="0" w:color="000000"/>
              <w:bottom w:val="single" w:sz="1" w:space="0" w:color="000000"/>
            </w:tcBorders>
          </w:tcPr>
          <w:p>
            <w:pPr>
              <w:pStyle w:val="TableParagraph"/>
              <w:spacing w:before="123"/>
              <w:ind w:right="148"/>
              <w:jc w:val="right"/>
              <w:rPr>
                <w:b/>
                <w:sz w:val="14"/>
              </w:rPr>
            </w:pPr>
            <w:r>
              <w:rPr>
                <w:b/>
                <w:w w:val="95"/>
                <w:sz w:val="14"/>
              </w:rPr>
              <w:t>109,035</w:t>
            </w:r>
          </w:p>
        </w:tc>
        <w:tc>
          <w:tcPr>
            <w:tcW w:w="1013" w:type="dxa"/>
            <w:tcBorders>
              <w:top w:val="single" w:sz="1" w:space="0" w:color="000000"/>
              <w:bottom w:val="single" w:sz="1" w:space="0" w:color="000000"/>
            </w:tcBorders>
          </w:tcPr>
          <w:p>
            <w:pPr>
              <w:pStyle w:val="TableParagraph"/>
              <w:spacing w:before="123"/>
              <w:ind w:right="112"/>
              <w:jc w:val="right"/>
              <w:rPr>
                <w:b/>
                <w:sz w:val="14"/>
              </w:rPr>
            </w:pPr>
            <w:r>
              <w:rPr>
                <w:b/>
                <w:w w:val="95"/>
                <w:sz w:val="14"/>
              </w:rPr>
              <w:t>63,333</w:t>
            </w:r>
          </w:p>
        </w:tc>
        <w:tc>
          <w:tcPr>
            <w:tcW w:w="1182" w:type="dxa"/>
            <w:tcBorders>
              <w:top w:val="single" w:sz="1" w:space="0" w:color="000000"/>
              <w:bottom w:val="single" w:sz="1" w:space="0" w:color="000000"/>
            </w:tcBorders>
          </w:tcPr>
          <w:p>
            <w:pPr>
              <w:pStyle w:val="TableParagraph"/>
              <w:spacing w:before="123"/>
              <w:ind w:right="158"/>
              <w:jc w:val="right"/>
              <w:rPr>
                <w:b/>
                <w:sz w:val="14"/>
              </w:rPr>
            </w:pPr>
            <w:r>
              <w:rPr>
                <w:b/>
                <w:w w:val="95"/>
                <w:sz w:val="14"/>
              </w:rPr>
              <w:t>61,389</w:t>
            </w:r>
          </w:p>
        </w:tc>
        <w:tc>
          <w:tcPr>
            <w:tcW w:w="1084" w:type="dxa"/>
            <w:tcBorders>
              <w:top w:val="single" w:sz="1" w:space="0" w:color="000000"/>
              <w:bottom w:val="single" w:sz="1" w:space="0" w:color="000000"/>
            </w:tcBorders>
          </w:tcPr>
          <w:p>
            <w:pPr>
              <w:pStyle w:val="TableParagraph"/>
              <w:spacing w:before="123"/>
              <w:ind w:right="197"/>
              <w:jc w:val="right"/>
              <w:rPr>
                <w:b/>
                <w:sz w:val="14"/>
              </w:rPr>
            </w:pPr>
            <w:r>
              <w:rPr>
                <w:b/>
                <w:sz w:val="14"/>
              </w:rPr>
              <w:t>6,984</w:t>
            </w:r>
          </w:p>
        </w:tc>
        <w:tc>
          <w:tcPr>
            <w:tcW w:w="1091" w:type="dxa"/>
            <w:tcBorders>
              <w:top w:val="single" w:sz="1" w:space="0" w:color="000000"/>
              <w:bottom w:val="single" w:sz="1" w:space="0" w:color="000000"/>
            </w:tcBorders>
          </w:tcPr>
          <w:p>
            <w:pPr>
              <w:pStyle w:val="TableParagraph"/>
              <w:spacing w:before="123"/>
              <w:ind w:right="237"/>
              <w:jc w:val="right"/>
              <w:rPr>
                <w:b/>
                <w:sz w:val="14"/>
              </w:rPr>
            </w:pPr>
            <w:r>
              <w:rPr>
                <w:b/>
                <w:sz w:val="14"/>
              </w:rPr>
              <w:t>4,398</w:t>
            </w:r>
          </w:p>
        </w:tc>
        <w:tc>
          <w:tcPr>
            <w:tcW w:w="881" w:type="dxa"/>
            <w:tcBorders>
              <w:top w:val="single" w:sz="1" w:space="0" w:color="000000"/>
              <w:bottom w:val="single" w:sz="1" w:space="0" w:color="000000"/>
            </w:tcBorders>
          </w:tcPr>
          <w:p>
            <w:pPr>
              <w:pStyle w:val="TableParagraph"/>
              <w:spacing w:before="123"/>
              <w:ind w:right="69"/>
              <w:jc w:val="right"/>
              <w:rPr>
                <w:b/>
                <w:sz w:val="14"/>
              </w:rPr>
            </w:pPr>
            <w:r>
              <w:rPr>
                <w:b/>
                <w:w w:val="95"/>
                <w:sz w:val="14"/>
              </w:rPr>
              <w:t>1,835,517</w:t>
            </w:r>
          </w:p>
        </w:tc>
      </w:tr>
    </w:tbl>
    <w:p>
      <w:pPr>
        <w:spacing w:after="0"/>
        <w:jc w:val="right"/>
        <w:rPr>
          <w:sz w:val="14"/>
        </w:rPr>
        <w:sectPr>
          <w:pgSz w:w="16840" w:h="11910" w:orient="landscape"/>
          <w:pgMar w:header="1037" w:footer="507" w:top="2220" w:bottom="700" w:left="900" w:right="860"/>
        </w:sectPr>
      </w:pPr>
    </w:p>
    <w:p>
      <w:pPr>
        <w:pStyle w:val="BodyText"/>
        <w:spacing w:before="8"/>
        <w:rPr>
          <w:rFonts w:ascii="Times New Roman"/>
          <w:sz w:val="26"/>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4946"/>
        <w:gridCol w:w="2425"/>
        <w:gridCol w:w="1263"/>
        <w:gridCol w:w="978"/>
      </w:tblGrid>
      <w:tr>
        <w:trPr>
          <w:trHeight w:val="1071" w:hRule="exact"/>
        </w:trPr>
        <w:tc>
          <w:tcPr>
            <w:tcW w:w="333" w:type="dxa"/>
          </w:tcPr>
          <w:p>
            <w:pPr>
              <w:pStyle w:val="TableParagraph"/>
              <w:spacing w:before="77"/>
              <w:ind w:left="35"/>
              <w:rPr>
                <w:b/>
                <w:sz w:val="18"/>
              </w:rPr>
            </w:pPr>
            <w:bookmarkStart w:name="22 Intangible Assets " w:id="97"/>
            <w:bookmarkEnd w:id="97"/>
            <w:r>
              <w:rPr/>
            </w:r>
            <w:r>
              <w:rPr>
                <w:b/>
                <w:sz w:val="18"/>
              </w:rPr>
              <w:t>22</w:t>
            </w:r>
          </w:p>
        </w:tc>
        <w:tc>
          <w:tcPr>
            <w:tcW w:w="4946" w:type="dxa"/>
          </w:tcPr>
          <w:p>
            <w:pPr>
              <w:pStyle w:val="TableParagraph"/>
              <w:spacing w:before="77"/>
              <w:ind w:left="96"/>
              <w:rPr>
                <w:b/>
                <w:sz w:val="18"/>
              </w:rPr>
            </w:pPr>
            <w:r>
              <w:rPr>
                <w:b/>
                <w:sz w:val="18"/>
              </w:rPr>
              <w:t>Intangible Assets</w:t>
            </w:r>
          </w:p>
          <w:p>
            <w:pPr>
              <w:pStyle w:val="TableParagraph"/>
              <w:rPr>
                <w:rFonts w:ascii="Times New Roman"/>
                <w:sz w:val="18"/>
              </w:rPr>
            </w:pPr>
          </w:p>
          <w:p>
            <w:pPr>
              <w:pStyle w:val="TableParagraph"/>
              <w:rPr>
                <w:rFonts w:ascii="Times New Roman"/>
                <w:sz w:val="18"/>
              </w:rPr>
            </w:pPr>
          </w:p>
          <w:p>
            <w:pPr>
              <w:pStyle w:val="TableParagraph"/>
              <w:spacing w:before="113"/>
              <w:ind w:left="134"/>
              <w:rPr>
                <w:b/>
                <w:sz w:val="16"/>
              </w:rPr>
            </w:pPr>
            <w:r>
              <w:rPr>
                <w:b/>
                <w:sz w:val="16"/>
              </w:rPr>
              <w:t>Parent</w:t>
            </w:r>
          </w:p>
        </w:tc>
        <w:tc>
          <w:tcPr>
            <w:tcW w:w="2425"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42"/>
              <w:ind w:left="98"/>
              <w:rPr>
                <w:b/>
                <w:sz w:val="16"/>
              </w:rPr>
            </w:pPr>
            <w:r>
              <w:rPr>
                <w:b/>
                <w:sz w:val="16"/>
              </w:rPr>
              <w:t>Development</w:t>
            </w:r>
          </w:p>
        </w:tc>
        <w:tc>
          <w:tcPr>
            <w:tcW w:w="1263"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42"/>
              <w:ind w:left="121"/>
              <w:rPr>
                <w:b/>
                <w:sz w:val="16"/>
              </w:rPr>
            </w:pPr>
            <w:r>
              <w:rPr>
                <w:b/>
                <w:sz w:val="16"/>
              </w:rPr>
              <w:t>Electronic</w:t>
            </w:r>
          </w:p>
        </w:tc>
        <w:tc>
          <w:tcPr>
            <w:tcW w:w="978" w:type="dxa"/>
          </w:tcPr>
          <w:p>
            <w:pPr/>
          </w:p>
        </w:tc>
      </w:tr>
      <w:tr>
        <w:trPr>
          <w:trHeight w:val="218" w:hRule="exact"/>
        </w:trPr>
        <w:tc>
          <w:tcPr>
            <w:tcW w:w="333" w:type="dxa"/>
          </w:tcPr>
          <w:p>
            <w:pPr/>
          </w:p>
        </w:tc>
        <w:tc>
          <w:tcPr>
            <w:tcW w:w="4946" w:type="dxa"/>
          </w:tcPr>
          <w:p>
            <w:pPr/>
          </w:p>
        </w:tc>
        <w:tc>
          <w:tcPr>
            <w:tcW w:w="2425" w:type="dxa"/>
          </w:tcPr>
          <w:p>
            <w:pPr>
              <w:pStyle w:val="TableParagraph"/>
              <w:tabs>
                <w:tab w:pos="1425" w:val="left" w:leader="none"/>
              </w:tabs>
              <w:spacing w:line="176" w:lineRule="exact"/>
              <w:ind w:left="393"/>
              <w:rPr>
                <w:b/>
                <w:sz w:val="16"/>
              </w:rPr>
            </w:pPr>
            <w:r>
              <w:rPr>
                <w:b/>
                <w:sz w:val="16"/>
              </w:rPr>
              <w:t>costs</w:t>
              <w:tab/>
              <w:t>Licences</w:t>
            </w:r>
          </w:p>
        </w:tc>
        <w:tc>
          <w:tcPr>
            <w:tcW w:w="1263" w:type="dxa"/>
          </w:tcPr>
          <w:p>
            <w:pPr>
              <w:pStyle w:val="TableParagraph"/>
              <w:spacing w:line="176" w:lineRule="exact"/>
              <w:ind w:left="161"/>
              <w:rPr>
                <w:b/>
                <w:sz w:val="16"/>
              </w:rPr>
            </w:pPr>
            <w:r>
              <w:rPr>
                <w:b/>
                <w:sz w:val="16"/>
              </w:rPr>
              <w:t>Materials</w:t>
            </w:r>
          </w:p>
        </w:tc>
        <w:tc>
          <w:tcPr>
            <w:tcW w:w="978" w:type="dxa"/>
          </w:tcPr>
          <w:p>
            <w:pPr>
              <w:pStyle w:val="TableParagraph"/>
              <w:spacing w:line="176" w:lineRule="exact"/>
              <w:ind w:left="224"/>
              <w:rPr>
                <w:b/>
                <w:sz w:val="16"/>
              </w:rPr>
            </w:pPr>
            <w:r>
              <w:rPr>
                <w:b/>
                <w:sz w:val="16"/>
              </w:rPr>
              <w:t>Total</w:t>
            </w:r>
          </w:p>
        </w:tc>
      </w:tr>
      <w:tr>
        <w:trPr>
          <w:trHeight w:val="292" w:hRule="exact"/>
        </w:trPr>
        <w:tc>
          <w:tcPr>
            <w:tcW w:w="333" w:type="dxa"/>
          </w:tcPr>
          <w:p>
            <w:pPr/>
          </w:p>
        </w:tc>
        <w:tc>
          <w:tcPr>
            <w:tcW w:w="4946" w:type="dxa"/>
          </w:tcPr>
          <w:p>
            <w:pPr/>
          </w:p>
        </w:tc>
        <w:tc>
          <w:tcPr>
            <w:tcW w:w="2425" w:type="dxa"/>
          </w:tcPr>
          <w:p>
            <w:pPr>
              <w:pStyle w:val="TableParagraph"/>
              <w:tabs>
                <w:tab w:pos="1571" w:val="left" w:leader="none"/>
              </w:tabs>
              <w:spacing w:before="26"/>
              <w:ind w:left="405"/>
              <w:rPr>
                <w:b/>
                <w:sz w:val="16"/>
              </w:rPr>
            </w:pPr>
            <w:r>
              <w:rPr>
                <w:b/>
                <w:sz w:val="16"/>
              </w:rPr>
              <w:t>$'000</w:t>
              <w:tab/>
              <w:t>$'000</w:t>
            </w:r>
          </w:p>
        </w:tc>
        <w:tc>
          <w:tcPr>
            <w:tcW w:w="1263" w:type="dxa"/>
          </w:tcPr>
          <w:p>
            <w:pPr>
              <w:pStyle w:val="TableParagraph"/>
              <w:spacing w:before="26"/>
              <w:ind w:left="313"/>
              <w:rPr>
                <w:b/>
                <w:sz w:val="16"/>
              </w:rPr>
            </w:pPr>
            <w:r>
              <w:rPr>
                <w:b/>
                <w:sz w:val="16"/>
              </w:rPr>
              <w:t>$'000</w:t>
            </w:r>
          </w:p>
        </w:tc>
        <w:tc>
          <w:tcPr>
            <w:tcW w:w="978" w:type="dxa"/>
          </w:tcPr>
          <w:p>
            <w:pPr>
              <w:pStyle w:val="TableParagraph"/>
              <w:spacing w:before="26"/>
              <w:ind w:left="217"/>
              <w:rPr>
                <w:b/>
                <w:sz w:val="16"/>
              </w:rPr>
            </w:pPr>
            <w:r>
              <w:rPr>
                <w:b/>
                <w:sz w:val="16"/>
              </w:rPr>
              <w:t>$'000</w:t>
            </w:r>
          </w:p>
        </w:tc>
      </w:tr>
      <w:tr>
        <w:trPr>
          <w:trHeight w:val="272" w:hRule="exact"/>
        </w:trPr>
        <w:tc>
          <w:tcPr>
            <w:tcW w:w="333" w:type="dxa"/>
          </w:tcPr>
          <w:p>
            <w:pPr/>
          </w:p>
        </w:tc>
        <w:tc>
          <w:tcPr>
            <w:tcW w:w="4946" w:type="dxa"/>
          </w:tcPr>
          <w:p>
            <w:pPr>
              <w:pStyle w:val="TableParagraph"/>
              <w:spacing w:before="65"/>
              <w:ind w:left="134"/>
              <w:rPr>
                <w:b/>
                <w:sz w:val="16"/>
              </w:rPr>
            </w:pPr>
            <w:r>
              <w:rPr>
                <w:b/>
                <w:sz w:val="16"/>
              </w:rPr>
              <w:t>At 1 January 2016</w:t>
            </w:r>
          </w:p>
        </w:tc>
        <w:tc>
          <w:tcPr>
            <w:tcW w:w="2425" w:type="dxa"/>
          </w:tcPr>
          <w:p>
            <w:pPr/>
          </w:p>
        </w:tc>
        <w:tc>
          <w:tcPr>
            <w:tcW w:w="1263" w:type="dxa"/>
          </w:tcPr>
          <w:p>
            <w:pPr/>
          </w:p>
        </w:tc>
        <w:tc>
          <w:tcPr>
            <w:tcW w:w="978" w:type="dxa"/>
          </w:tcPr>
          <w:p>
            <w:pPr/>
          </w:p>
        </w:tc>
      </w:tr>
      <w:tr>
        <w:trPr>
          <w:trHeight w:val="229" w:hRule="exact"/>
        </w:trPr>
        <w:tc>
          <w:tcPr>
            <w:tcW w:w="333" w:type="dxa"/>
          </w:tcPr>
          <w:p>
            <w:pPr/>
          </w:p>
        </w:tc>
        <w:tc>
          <w:tcPr>
            <w:tcW w:w="4946" w:type="dxa"/>
          </w:tcPr>
          <w:p>
            <w:pPr>
              <w:pStyle w:val="TableParagraph"/>
              <w:spacing w:before="9"/>
              <w:ind w:left="134"/>
              <w:rPr>
                <w:sz w:val="16"/>
              </w:rPr>
            </w:pPr>
            <w:r>
              <w:rPr>
                <w:sz w:val="16"/>
              </w:rPr>
              <w:t>- Cost</w:t>
            </w:r>
          </w:p>
        </w:tc>
        <w:tc>
          <w:tcPr>
            <w:tcW w:w="2425" w:type="dxa"/>
          </w:tcPr>
          <w:p>
            <w:pPr>
              <w:pStyle w:val="TableParagraph"/>
              <w:tabs>
                <w:tab w:pos="952" w:val="left" w:leader="none"/>
              </w:tabs>
              <w:spacing w:before="6"/>
              <w:ind w:right="172"/>
              <w:jc w:val="right"/>
              <w:rPr>
                <w:sz w:val="16"/>
              </w:rPr>
            </w:pPr>
            <w:r>
              <w:rPr>
                <w:sz w:val="16"/>
              </w:rPr>
              <w:t>-</w:t>
              <w:tab/>
            </w:r>
            <w:r>
              <w:rPr>
                <w:spacing w:val="-2"/>
                <w:sz w:val="16"/>
              </w:rPr>
              <w:t>250</w:t>
            </w:r>
          </w:p>
        </w:tc>
        <w:tc>
          <w:tcPr>
            <w:tcW w:w="1263" w:type="dxa"/>
          </w:tcPr>
          <w:p>
            <w:pPr>
              <w:pStyle w:val="TableParagraph"/>
              <w:spacing w:before="6"/>
              <w:ind w:right="267"/>
              <w:jc w:val="right"/>
              <w:rPr>
                <w:sz w:val="16"/>
              </w:rPr>
            </w:pPr>
            <w:r>
              <w:rPr>
                <w:sz w:val="16"/>
              </w:rPr>
              <w:t>5,264</w:t>
            </w:r>
          </w:p>
        </w:tc>
        <w:tc>
          <w:tcPr>
            <w:tcW w:w="978" w:type="dxa"/>
          </w:tcPr>
          <w:p>
            <w:pPr>
              <w:pStyle w:val="TableParagraph"/>
              <w:spacing w:before="6"/>
              <w:ind w:right="79"/>
              <w:jc w:val="right"/>
              <w:rPr>
                <w:sz w:val="16"/>
              </w:rPr>
            </w:pPr>
            <w:r>
              <w:rPr>
                <w:sz w:val="16"/>
              </w:rPr>
              <w:t>5,514</w:t>
            </w:r>
          </w:p>
        </w:tc>
      </w:tr>
      <w:tr>
        <w:trPr>
          <w:trHeight w:val="241" w:hRule="exact"/>
        </w:trPr>
        <w:tc>
          <w:tcPr>
            <w:tcW w:w="333" w:type="dxa"/>
          </w:tcPr>
          <w:p>
            <w:pPr/>
          </w:p>
        </w:tc>
        <w:tc>
          <w:tcPr>
            <w:tcW w:w="4946" w:type="dxa"/>
          </w:tcPr>
          <w:p>
            <w:pPr>
              <w:pStyle w:val="TableParagraph"/>
              <w:spacing w:before="20"/>
              <w:ind w:left="134"/>
              <w:rPr>
                <w:sz w:val="16"/>
              </w:rPr>
            </w:pPr>
            <w:r>
              <w:rPr>
                <w:sz w:val="16"/>
              </w:rPr>
              <w:t>- Accumulated amortisation and impairment</w:t>
            </w:r>
          </w:p>
        </w:tc>
        <w:tc>
          <w:tcPr>
            <w:tcW w:w="2425" w:type="dxa"/>
            <w:tcBorders>
              <w:bottom w:val="single" w:sz="1" w:space="0" w:color="000000"/>
            </w:tcBorders>
          </w:tcPr>
          <w:p>
            <w:pPr>
              <w:pStyle w:val="TableParagraph"/>
              <w:tabs>
                <w:tab w:pos="1166" w:val="left" w:leader="none"/>
              </w:tabs>
              <w:spacing w:before="20"/>
              <w:ind w:right="171"/>
              <w:jc w:val="right"/>
              <w:rPr>
                <w:sz w:val="16"/>
              </w:rPr>
            </w:pPr>
            <w:r>
              <w:rPr>
                <w:sz w:val="16"/>
              </w:rPr>
              <w:t>-</w:t>
              <w:tab/>
              <w:t>-</w:t>
            </w:r>
          </w:p>
        </w:tc>
        <w:tc>
          <w:tcPr>
            <w:tcW w:w="1263" w:type="dxa"/>
            <w:tcBorders>
              <w:bottom w:val="single" w:sz="1" w:space="0" w:color="000000"/>
            </w:tcBorders>
          </w:tcPr>
          <w:p>
            <w:pPr>
              <w:pStyle w:val="TableParagraph"/>
              <w:spacing w:before="20"/>
              <w:ind w:right="215"/>
              <w:jc w:val="right"/>
              <w:rPr>
                <w:sz w:val="16"/>
              </w:rPr>
            </w:pPr>
            <w:r>
              <w:rPr>
                <w:sz w:val="16"/>
              </w:rPr>
              <w:t>(453)</w:t>
            </w:r>
          </w:p>
        </w:tc>
        <w:tc>
          <w:tcPr>
            <w:tcW w:w="978" w:type="dxa"/>
            <w:tcBorders>
              <w:bottom w:val="single" w:sz="1" w:space="0" w:color="000000"/>
            </w:tcBorders>
          </w:tcPr>
          <w:p>
            <w:pPr>
              <w:pStyle w:val="TableParagraph"/>
              <w:spacing w:before="20"/>
              <w:ind w:right="26"/>
              <w:jc w:val="right"/>
              <w:rPr>
                <w:sz w:val="16"/>
              </w:rPr>
            </w:pPr>
            <w:r>
              <w:rPr>
                <w:sz w:val="16"/>
              </w:rPr>
              <w:t>(453)</w:t>
            </w:r>
          </w:p>
        </w:tc>
      </w:tr>
      <w:tr>
        <w:trPr>
          <w:trHeight w:val="317" w:hRule="exact"/>
        </w:trPr>
        <w:tc>
          <w:tcPr>
            <w:tcW w:w="333" w:type="dxa"/>
          </w:tcPr>
          <w:p>
            <w:pPr/>
          </w:p>
        </w:tc>
        <w:tc>
          <w:tcPr>
            <w:tcW w:w="4946" w:type="dxa"/>
          </w:tcPr>
          <w:p>
            <w:pPr>
              <w:pStyle w:val="TableParagraph"/>
              <w:spacing w:before="124"/>
              <w:ind w:left="134"/>
              <w:rPr>
                <w:b/>
                <w:sz w:val="16"/>
              </w:rPr>
            </w:pPr>
            <w:r>
              <w:rPr>
                <w:b/>
                <w:sz w:val="16"/>
              </w:rPr>
              <w:t>Net book amount at 1 January 2016</w:t>
            </w:r>
          </w:p>
        </w:tc>
        <w:tc>
          <w:tcPr>
            <w:tcW w:w="2425" w:type="dxa"/>
            <w:tcBorders>
              <w:top w:val="single" w:sz="1" w:space="0" w:color="000000"/>
              <w:bottom w:val="single" w:sz="1" w:space="0" w:color="000000"/>
            </w:tcBorders>
          </w:tcPr>
          <w:p>
            <w:pPr>
              <w:pStyle w:val="TableParagraph"/>
              <w:tabs>
                <w:tab w:pos="952" w:val="left" w:leader="none"/>
              </w:tabs>
              <w:spacing w:before="123"/>
              <w:ind w:right="172"/>
              <w:jc w:val="right"/>
              <w:rPr>
                <w:sz w:val="16"/>
              </w:rPr>
            </w:pPr>
            <w:r>
              <w:rPr>
                <w:sz w:val="16"/>
              </w:rPr>
              <w:t>-</w:t>
              <w:tab/>
            </w:r>
            <w:r>
              <w:rPr>
                <w:spacing w:val="-2"/>
                <w:sz w:val="16"/>
              </w:rPr>
              <w:t>250</w:t>
            </w:r>
          </w:p>
        </w:tc>
        <w:tc>
          <w:tcPr>
            <w:tcW w:w="1263" w:type="dxa"/>
            <w:tcBorders>
              <w:top w:val="single" w:sz="1" w:space="0" w:color="000000"/>
              <w:bottom w:val="single" w:sz="1" w:space="0" w:color="000000"/>
            </w:tcBorders>
          </w:tcPr>
          <w:p>
            <w:pPr>
              <w:pStyle w:val="TableParagraph"/>
              <w:spacing w:before="123"/>
              <w:ind w:right="267"/>
              <w:jc w:val="right"/>
              <w:rPr>
                <w:sz w:val="16"/>
              </w:rPr>
            </w:pPr>
            <w:r>
              <w:rPr>
                <w:sz w:val="16"/>
              </w:rPr>
              <w:t>4,811</w:t>
            </w:r>
          </w:p>
        </w:tc>
        <w:tc>
          <w:tcPr>
            <w:tcW w:w="978" w:type="dxa"/>
            <w:tcBorders>
              <w:top w:val="single" w:sz="1" w:space="0" w:color="000000"/>
              <w:bottom w:val="single" w:sz="1" w:space="0" w:color="000000"/>
            </w:tcBorders>
          </w:tcPr>
          <w:p>
            <w:pPr>
              <w:pStyle w:val="TableParagraph"/>
              <w:spacing w:before="123"/>
              <w:ind w:right="79"/>
              <w:jc w:val="right"/>
              <w:rPr>
                <w:sz w:val="16"/>
              </w:rPr>
            </w:pPr>
            <w:r>
              <w:rPr>
                <w:sz w:val="16"/>
              </w:rPr>
              <w:t>5,061</w:t>
            </w:r>
          </w:p>
        </w:tc>
      </w:tr>
      <w:tr>
        <w:trPr>
          <w:trHeight w:val="629" w:hRule="exact"/>
        </w:trPr>
        <w:tc>
          <w:tcPr>
            <w:tcW w:w="333" w:type="dxa"/>
          </w:tcPr>
          <w:p>
            <w:pPr/>
          </w:p>
        </w:tc>
        <w:tc>
          <w:tcPr>
            <w:tcW w:w="4946" w:type="dxa"/>
          </w:tcPr>
          <w:p>
            <w:pPr>
              <w:pStyle w:val="TableParagraph"/>
              <w:rPr>
                <w:rFonts w:ascii="Times New Roman"/>
                <w:sz w:val="16"/>
              </w:rPr>
            </w:pPr>
          </w:p>
          <w:p>
            <w:pPr>
              <w:pStyle w:val="TableParagraph"/>
              <w:spacing w:before="8"/>
              <w:rPr>
                <w:rFonts w:ascii="Times New Roman"/>
                <w:sz w:val="20"/>
              </w:rPr>
            </w:pPr>
          </w:p>
          <w:p>
            <w:pPr>
              <w:pStyle w:val="TableParagraph"/>
              <w:ind w:left="134"/>
              <w:rPr>
                <w:b/>
                <w:sz w:val="16"/>
              </w:rPr>
            </w:pPr>
            <w:r>
              <w:rPr>
                <w:b/>
                <w:sz w:val="16"/>
              </w:rPr>
              <w:t>Year ended 31 December 2016</w:t>
            </w:r>
          </w:p>
        </w:tc>
        <w:tc>
          <w:tcPr>
            <w:tcW w:w="2425" w:type="dxa"/>
            <w:tcBorders>
              <w:top w:val="single" w:sz="1" w:space="0" w:color="000000"/>
            </w:tcBorders>
          </w:tcPr>
          <w:p>
            <w:pPr/>
          </w:p>
        </w:tc>
        <w:tc>
          <w:tcPr>
            <w:tcW w:w="1263" w:type="dxa"/>
            <w:tcBorders>
              <w:top w:val="single" w:sz="1" w:space="0" w:color="000000"/>
            </w:tcBorders>
          </w:tcPr>
          <w:p>
            <w:pPr/>
          </w:p>
        </w:tc>
        <w:tc>
          <w:tcPr>
            <w:tcW w:w="978" w:type="dxa"/>
            <w:tcBorders>
              <w:top w:val="single" w:sz="1" w:space="0" w:color="000000"/>
            </w:tcBorders>
          </w:tcPr>
          <w:p>
            <w:pPr/>
          </w:p>
        </w:tc>
      </w:tr>
      <w:tr>
        <w:trPr>
          <w:trHeight w:val="229" w:hRule="exact"/>
        </w:trPr>
        <w:tc>
          <w:tcPr>
            <w:tcW w:w="333" w:type="dxa"/>
          </w:tcPr>
          <w:p>
            <w:pPr/>
          </w:p>
        </w:tc>
        <w:tc>
          <w:tcPr>
            <w:tcW w:w="4946" w:type="dxa"/>
          </w:tcPr>
          <w:p>
            <w:pPr>
              <w:pStyle w:val="TableParagraph"/>
              <w:spacing w:before="9"/>
              <w:ind w:left="134"/>
              <w:rPr>
                <w:sz w:val="16"/>
              </w:rPr>
            </w:pPr>
            <w:r>
              <w:rPr>
                <w:sz w:val="16"/>
              </w:rPr>
              <w:t>Opening net book value</w:t>
            </w:r>
          </w:p>
        </w:tc>
        <w:tc>
          <w:tcPr>
            <w:tcW w:w="2425" w:type="dxa"/>
          </w:tcPr>
          <w:p>
            <w:pPr>
              <w:pStyle w:val="TableParagraph"/>
              <w:tabs>
                <w:tab w:pos="952" w:val="left" w:leader="none"/>
              </w:tabs>
              <w:spacing w:before="6"/>
              <w:ind w:right="172"/>
              <w:jc w:val="right"/>
              <w:rPr>
                <w:sz w:val="16"/>
              </w:rPr>
            </w:pPr>
            <w:r>
              <w:rPr>
                <w:sz w:val="16"/>
              </w:rPr>
              <w:t>-</w:t>
              <w:tab/>
            </w:r>
            <w:r>
              <w:rPr>
                <w:spacing w:val="-2"/>
                <w:sz w:val="16"/>
              </w:rPr>
              <w:t>250</w:t>
            </w:r>
          </w:p>
        </w:tc>
        <w:tc>
          <w:tcPr>
            <w:tcW w:w="1263" w:type="dxa"/>
          </w:tcPr>
          <w:p>
            <w:pPr>
              <w:pStyle w:val="TableParagraph"/>
              <w:spacing w:before="6"/>
              <w:ind w:right="267"/>
              <w:jc w:val="right"/>
              <w:rPr>
                <w:sz w:val="16"/>
              </w:rPr>
            </w:pPr>
            <w:r>
              <w:rPr>
                <w:sz w:val="16"/>
              </w:rPr>
              <w:t>4,811</w:t>
            </w:r>
          </w:p>
        </w:tc>
        <w:tc>
          <w:tcPr>
            <w:tcW w:w="978" w:type="dxa"/>
          </w:tcPr>
          <w:p>
            <w:pPr>
              <w:pStyle w:val="TableParagraph"/>
              <w:spacing w:before="6"/>
              <w:ind w:right="79"/>
              <w:jc w:val="right"/>
              <w:rPr>
                <w:sz w:val="16"/>
              </w:rPr>
            </w:pPr>
            <w:r>
              <w:rPr>
                <w:sz w:val="16"/>
              </w:rPr>
              <w:t>5,061</w:t>
            </w:r>
          </w:p>
        </w:tc>
      </w:tr>
      <w:tr>
        <w:trPr>
          <w:trHeight w:val="242" w:hRule="exact"/>
        </w:trPr>
        <w:tc>
          <w:tcPr>
            <w:tcW w:w="333" w:type="dxa"/>
          </w:tcPr>
          <w:p>
            <w:pPr/>
          </w:p>
        </w:tc>
        <w:tc>
          <w:tcPr>
            <w:tcW w:w="4946" w:type="dxa"/>
          </w:tcPr>
          <w:p>
            <w:pPr>
              <w:pStyle w:val="TableParagraph"/>
              <w:spacing w:before="22"/>
              <w:ind w:left="134"/>
              <w:rPr>
                <w:sz w:val="16"/>
              </w:rPr>
            </w:pPr>
            <w:r>
              <w:rPr>
                <w:sz w:val="16"/>
              </w:rPr>
              <w:t>Additions</w:t>
            </w:r>
          </w:p>
        </w:tc>
        <w:tc>
          <w:tcPr>
            <w:tcW w:w="2425" w:type="dxa"/>
          </w:tcPr>
          <w:p>
            <w:pPr>
              <w:pStyle w:val="TableParagraph"/>
              <w:tabs>
                <w:tab w:pos="1166" w:val="left" w:leader="none"/>
              </w:tabs>
              <w:spacing w:before="20"/>
              <w:ind w:right="171"/>
              <w:jc w:val="right"/>
              <w:rPr>
                <w:sz w:val="16"/>
              </w:rPr>
            </w:pPr>
            <w:r>
              <w:rPr>
                <w:sz w:val="16"/>
              </w:rPr>
              <w:t>-</w:t>
              <w:tab/>
              <w:t>-</w:t>
            </w:r>
          </w:p>
        </w:tc>
        <w:tc>
          <w:tcPr>
            <w:tcW w:w="1263" w:type="dxa"/>
          </w:tcPr>
          <w:p>
            <w:pPr>
              <w:pStyle w:val="TableParagraph"/>
              <w:spacing w:before="20"/>
              <w:ind w:right="267"/>
              <w:jc w:val="right"/>
              <w:rPr>
                <w:sz w:val="16"/>
              </w:rPr>
            </w:pPr>
            <w:r>
              <w:rPr>
                <w:sz w:val="16"/>
              </w:rPr>
              <w:t>6,161</w:t>
            </w:r>
          </w:p>
        </w:tc>
        <w:tc>
          <w:tcPr>
            <w:tcW w:w="978" w:type="dxa"/>
          </w:tcPr>
          <w:p>
            <w:pPr>
              <w:pStyle w:val="TableParagraph"/>
              <w:spacing w:before="20"/>
              <w:ind w:right="79"/>
              <w:jc w:val="right"/>
              <w:rPr>
                <w:sz w:val="16"/>
              </w:rPr>
            </w:pPr>
            <w:r>
              <w:rPr>
                <w:sz w:val="16"/>
              </w:rPr>
              <w:t>6,161</w:t>
            </w:r>
          </w:p>
        </w:tc>
      </w:tr>
      <w:tr>
        <w:trPr>
          <w:trHeight w:val="241" w:hRule="exact"/>
        </w:trPr>
        <w:tc>
          <w:tcPr>
            <w:tcW w:w="333" w:type="dxa"/>
          </w:tcPr>
          <w:p>
            <w:pPr/>
          </w:p>
        </w:tc>
        <w:tc>
          <w:tcPr>
            <w:tcW w:w="4946" w:type="dxa"/>
          </w:tcPr>
          <w:p>
            <w:pPr>
              <w:pStyle w:val="TableParagraph"/>
              <w:spacing w:before="22"/>
              <w:ind w:left="134"/>
              <w:rPr>
                <w:sz w:val="16"/>
              </w:rPr>
            </w:pPr>
            <w:r>
              <w:rPr>
                <w:sz w:val="16"/>
              </w:rPr>
              <w:t>Amortisation charge</w:t>
            </w:r>
          </w:p>
        </w:tc>
        <w:tc>
          <w:tcPr>
            <w:tcW w:w="2425" w:type="dxa"/>
            <w:tcBorders>
              <w:bottom w:val="single" w:sz="1" w:space="0" w:color="000000"/>
            </w:tcBorders>
          </w:tcPr>
          <w:p>
            <w:pPr>
              <w:pStyle w:val="TableParagraph"/>
              <w:tabs>
                <w:tab w:pos="988" w:val="left" w:leader="none"/>
              </w:tabs>
              <w:spacing w:before="20"/>
              <w:ind w:right="119"/>
              <w:jc w:val="right"/>
              <w:rPr>
                <w:sz w:val="16"/>
              </w:rPr>
            </w:pPr>
            <w:r>
              <w:rPr>
                <w:sz w:val="16"/>
              </w:rPr>
              <w:t>-</w:t>
              <w:tab/>
            </w:r>
            <w:r>
              <w:rPr>
                <w:spacing w:val="-2"/>
                <w:sz w:val="16"/>
              </w:rPr>
              <w:t>(29)</w:t>
            </w:r>
          </w:p>
        </w:tc>
        <w:tc>
          <w:tcPr>
            <w:tcW w:w="1263" w:type="dxa"/>
            <w:tcBorders>
              <w:bottom w:val="single" w:sz="1" w:space="0" w:color="000000"/>
            </w:tcBorders>
          </w:tcPr>
          <w:p>
            <w:pPr>
              <w:pStyle w:val="TableParagraph"/>
              <w:spacing w:before="20"/>
              <w:ind w:right="215"/>
              <w:jc w:val="right"/>
              <w:rPr>
                <w:sz w:val="16"/>
              </w:rPr>
            </w:pPr>
            <w:r>
              <w:rPr>
                <w:sz w:val="16"/>
              </w:rPr>
              <w:t>(1,053)</w:t>
            </w:r>
          </w:p>
        </w:tc>
        <w:tc>
          <w:tcPr>
            <w:tcW w:w="978" w:type="dxa"/>
            <w:tcBorders>
              <w:bottom w:val="single" w:sz="1" w:space="0" w:color="000000"/>
            </w:tcBorders>
          </w:tcPr>
          <w:p>
            <w:pPr>
              <w:pStyle w:val="TableParagraph"/>
              <w:spacing w:before="20"/>
              <w:ind w:right="26"/>
              <w:jc w:val="right"/>
              <w:rPr>
                <w:sz w:val="16"/>
              </w:rPr>
            </w:pPr>
            <w:r>
              <w:rPr>
                <w:sz w:val="16"/>
              </w:rPr>
              <w:t>(1,082)</w:t>
            </w:r>
          </w:p>
        </w:tc>
      </w:tr>
      <w:tr>
        <w:trPr>
          <w:trHeight w:val="317" w:hRule="exact"/>
        </w:trPr>
        <w:tc>
          <w:tcPr>
            <w:tcW w:w="333" w:type="dxa"/>
          </w:tcPr>
          <w:p>
            <w:pPr/>
          </w:p>
        </w:tc>
        <w:tc>
          <w:tcPr>
            <w:tcW w:w="4946" w:type="dxa"/>
          </w:tcPr>
          <w:p>
            <w:pPr>
              <w:pStyle w:val="TableParagraph"/>
              <w:spacing w:before="124"/>
              <w:ind w:left="134"/>
              <w:rPr>
                <w:b/>
                <w:sz w:val="16"/>
              </w:rPr>
            </w:pPr>
            <w:r>
              <w:rPr>
                <w:b/>
                <w:sz w:val="16"/>
              </w:rPr>
              <w:t>Net book amount at 31 December 2016</w:t>
            </w:r>
          </w:p>
        </w:tc>
        <w:tc>
          <w:tcPr>
            <w:tcW w:w="2425" w:type="dxa"/>
            <w:tcBorders>
              <w:top w:val="single" w:sz="1" w:space="0" w:color="000000"/>
              <w:bottom w:val="single" w:sz="1" w:space="0" w:color="000000"/>
            </w:tcBorders>
          </w:tcPr>
          <w:p>
            <w:pPr>
              <w:pStyle w:val="TableParagraph"/>
              <w:tabs>
                <w:tab w:pos="952" w:val="left" w:leader="none"/>
              </w:tabs>
              <w:spacing w:before="123"/>
              <w:ind w:right="172"/>
              <w:jc w:val="right"/>
              <w:rPr>
                <w:sz w:val="16"/>
              </w:rPr>
            </w:pPr>
            <w:r>
              <w:rPr>
                <w:sz w:val="16"/>
              </w:rPr>
              <w:t>-</w:t>
              <w:tab/>
            </w:r>
            <w:r>
              <w:rPr>
                <w:spacing w:val="-2"/>
                <w:sz w:val="16"/>
              </w:rPr>
              <w:t>221</w:t>
            </w:r>
          </w:p>
        </w:tc>
        <w:tc>
          <w:tcPr>
            <w:tcW w:w="1263" w:type="dxa"/>
            <w:tcBorders>
              <w:top w:val="single" w:sz="1" w:space="0" w:color="000000"/>
              <w:bottom w:val="single" w:sz="1" w:space="0" w:color="000000"/>
            </w:tcBorders>
          </w:tcPr>
          <w:p>
            <w:pPr>
              <w:pStyle w:val="TableParagraph"/>
              <w:spacing w:before="123"/>
              <w:ind w:right="267"/>
              <w:jc w:val="right"/>
              <w:rPr>
                <w:sz w:val="16"/>
              </w:rPr>
            </w:pPr>
            <w:r>
              <w:rPr>
                <w:sz w:val="16"/>
              </w:rPr>
              <w:t>9,919</w:t>
            </w:r>
          </w:p>
        </w:tc>
        <w:tc>
          <w:tcPr>
            <w:tcW w:w="978" w:type="dxa"/>
            <w:tcBorders>
              <w:top w:val="single" w:sz="1" w:space="0" w:color="000000"/>
              <w:bottom w:val="single" w:sz="1" w:space="0" w:color="000000"/>
            </w:tcBorders>
          </w:tcPr>
          <w:p>
            <w:pPr>
              <w:pStyle w:val="TableParagraph"/>
              <w:spacing w:before="123"/>
              <w:ind w:left="406"/>
              <w:rPr>
                <w:sz w:val="16"/>
              </w:rPr>
            </w:pPr>
            <w:r>
              <w:rPr>
                <w:sz w:val="16"/>
              </w:rPr>
              <w:t>10,140</w:t>
            </w:r>
          </w:p>
        </w:tc>
      </w:tr>
      <w:tr>
        <w:trPr>
          <w:trHeight w:val="629" w:hRule="exact"/>
        </w:trPr>
        <w:tc>
          <w:tcPr>
            <w:tcW w:w="333" w:type="dxa"/>
          </w:tcPr>
          <w:p>
            <w:pPr/>
          </w:p>
        </w:tc>
        <w:tc>
          <w:tcPr>
            <w:tcW w:w="4946" w:type="dxa"/>
          </w:tcPr>
          <w:p>
            <w:pPr>
              <w:pStyle w:val="TableParagraph"/>
              <w:rPr>
                <w:rFonts w:ascii="Times New Roman"/>
                <w:sz w:val="16"/>
              </w:rPr>
            </w:pPr>
          </w:p>
          <w:p>
            <w:pPr>
              <w:pStyle w:val="TableParagraph"/>
              <w:spacing w:before="8"/>
              <w:rPr>
                <w:rFonts w:ascii="Times New Roman"/>
                <w:sz w:val="20"/>
              </w:rPr>
            </w:pPr>
          </w:p>
          <w:p>
            <w:pPr>
              <w:pStyle w:val="TableParagraph"/>
              <w:ind w:left="134"/>
              <w:rPr>
                <w:b/>
                <w:sz w:val="16"/>
              </w:rPr>
            </w:pPr>
            <w:r>
              <w:rPr>
                <w:b/>
                <w:sz w:val="16"/>
              </w:rPr>
              <w:t>At 31 December 2016</w:t>
            </w:r>
          </w:p>
        </w:tc>
        <w:tc>
          <w:tcPr>
            <w:tcW w:w="2425" w:type="dxa"/>
            <w:tcBorders>
              <w:top w:val="single" w:sz="1" w:space="0" w:color="000000"/>
            </w:tcBorders>
          </w:tcPr>
          <w:p>
            <w:pPr/>
          </w:p>
        </w:tc>
        <w:tc>
          <w:tcPr>
            <w:tcW w:w="1263" w:type="dxa"/>
            <w:tcBorders>
              <w:top w:val="single" w:sz="1" w:space="0" w:color="000000"/>
            </w:tcBorders>
          </w:tcPr>
          <w:p>
            <w:pPr/>
          </w:p>
        </w:tc>
        <w:tc>
          <w:tcPr>
            <w:tcW w:w="978" w:type="dxa"/>
            <w:tcBorders>
              <w:top w:val="single" w:sz="1" w:space="0" w:color="000000"/>
            </w:tcBorders>
          </w:tcPr>
          <w:p>
            <w:pPr/>
          </w:p>
        </w:tc>
      </w:tr>
      <w:tr>
        <w:trPr>
          <w:trHeight w:val="229" w:hRule="exact"/>
        </w:trPr>
        <w:tc>
          <w:tcPr>
            <w:tcW w:w="333" w:type="dxa"/>
          </w:tcPr>
          <w:p>
            <w:pPr/>
          </w:p>
        </w:tc>
        <w:tc>
          <w:tcPr>
            <w:tcW w:w="4946" w:type="dxa"/>
          </w:tcPr>
          <w:p>
            <w:pPr>
              <w:pStyle w:val="TableParagraph"/>
              <w:spacing w:before="9"/>
              <w:ind w:left="134"/>
              <w:rPr>
                <w:sz w:val="16"/>
              </w:rPr>
            </w:pPr>
            <w:r>
              <w:rPr>
                <w:sz w:val="16"/>
              </w:rPr>
              <w:t>- Cost</w:t>
            </w:r>
          </w:p>
        </w:tc>
        <w:tc>
          <w:tcPr>
            <w:tcW w:w="2425" w:type="dxa"/>
          </w:tcPr>
          <w:p>
            <w:pPr>
              <w:pStyle w:val="TableParagraph"/>
              <w:tabs>
                <w:tab w:pos="952" w:val="left" w:leader="none"/>
              </w:tabs>
              <w:spacing w:before="6"/>
              <w:ind w:right="172"/>
              <w:jc w:val="right"/>
              <w:rPr>
                <w:sz w:val="16"/>
              </w:rPr>
            </w:pPr>
            <w:r>
              <w:rPr>
                <w:sz w:val="16"/>
              </w:rPr>
              <w:t>-</w:t>
              <w:tab/>
            </w:r>
            <w:r>
              <w:rPr>
                <w:spacing w:val="-2"/>
                <w:sz w:val="16"/>
              </w:rPr>
              <w:t>250</w:t>
            </w:r>
          </w:p>
        </w:tc>
        <w:tc>
          <w:tcPr>
            <w:tcW w:w="1263" w:type="dxa"/>
          </w:tcPr>
          <w:p>
            <w:pPr>
              <w:pStyle w:val="TableParagraph"/>
              <w:spacing w:before="6"/>
              <w:ind w:right="267"/>
              <w:jc w:val="right"/>
              <w:rPr>
                <w:sz w:val="16"/>
              </w:rPr>
            </w:pPr>
            <w:r>
              <w:rPr>
                <w:sz w:val="16"/>
              </w:rPr>
              <w:t>11,425</w:t>
            </w:r>
          </w:p>
        </w:tc>
        <w:tc>
          <w:tcPr>
            <w:tcW w:w="978" w:type="dxa"/>
          </w:tcPr>
          <w:p>
            <w:pPr>
              <w:pStyle w:val="TableParagraph"/>
              <w:spacing w:before="6"/>
              <w:ind w:left="406"/>
              <w:rPr>
                <w:sz w:val="16"/>
              </w:rPr>
            </w:pPr>
            <w:r>
              <w:rPr>
                <w:sz w:val="16"/>
              </w:rPr>
              <w:t>11,675</w:t>
            </w:r>
          </w:p>
        </w:tc>
      </w:tr>
      <w:tr>
        <w:trPr>
          <w:trHeight w:val="241" w:hRule="exact"/>
        </w:trPr>
        <w:tc>
          <w:tcPr>
            <w:tcW w:w="333" w:type="dxa"/>
          </w:tcPr>
          <w:p>
            <w:pPr/>
          </w:p>
        </w:tc>
        <w:tc>
          <w:tcPr>
            <w:tcW w:w="4946" w:type="dxa"/>
          </w:tcPr>
          <w:p>
            <w:pPr>
              <w:pStyle w:val="TableParagraph"/>
              <w:spacing w:before="20"/>
              <w:ind w:left="134"/>
              <w:rPr>
                <w:sz w:val="16"/>
              </w:rPr>
            </w:pPr>
            <w:r>
              <w:rPr>
                <w:sz w:val="16"/>
              </w:rPr>
              <w:t>- Accumulated amortisation and impairment</w:t>
            </w:r>
          </w:p>
        </w:tc>
        <w:tc>
          <w:tcPr>
            <w:tcW w:w="2425" w:type="dxa"/>
            <w:tcBorders>
              <w:bottom w:val="single" w:sz="1" w:space="0" w:color="000000"/>
            </w:tcBorders>
          </w:tcPr>
          <w:p>
            <w:pPr>
              <w:pStyle w:val="TableParagraph"/>
              <w:tabs>
                <w:tab w:pos="988" w:val="left" w:leader="none"/>
              </w:tabs>
              <w:spacing w:before="20"/>
              <w:ind w:right="119"/>
              <w:jc w:val="right"/>
              <w:rPr>
                <w:sz w:val="16"/>
              </w:rPr>
            </w:pPr>
            <w:r>
              <w:rPr>
                <w:sz w:val="16"/>
              </w:rPr>
              <w:t>-</w:t>
              <w:tab/>
            </w:r>
            <w:r>
              <w:rPr>
                <w:spacing w:val="-2"/>
                <w:sz w:val="16"/>
              </w:rPr>
              <w:t>(29)</w:t>
            </w:r>
          </w:p>
        </w:tc>
        <w:tc>
          <w:tcPr>
            <w:tcW w:w="1263" w:type="dxa"/>
            <w:tcBorders>
              <w:bottom w:val="single" w:sz="1" w:space="0" w:color="000000"/>
            </w:tcBorders>
          </w:tcPr>
          <w:p>
            <w:pPr>
              <w:pStyle w:val="TableParagraph"/>
              <w:spacing w:before="20"/>
              <w:ind w:right="215"/>
              <w:jc w:val="right"/>
              <w:rPr>
                <w:sz w:val="16"/>
              </w:rPr>
            </w:pPr>
            <w:r>
              <w:rPr>
                <w:sz w:val="16"/>
              </w:rPr>
              <w:t>(1,506)</w:t>
            </w:r>
          </w:p>
        </w:tc>
        <w:tc>
          <w:tcPr>
            <w:tcW w:w="978" w:type="dxa"/>
            <w:tcBorders>
              <w:bottom w:val="single" w:sz="1" w:space="0" w:color="000000"/>
            </w:tcBorders>
          </w:tcPr>
          <w:p>
            <w:pPr>
              <w:pStyle w:val="TableParagraph"/>
              <w:spacing w:before="20"/>
              <w:ind w:right="26"/>
              <w:jc w:val="right"/>
              <w:rPr>
                <w:sz w:val="16"/>
              </w:rPr>
            </w:pPr>
            <w:r>
              <w:rPr>
                <w:sz w:val="16"/>
              </w:rPr>
              <w:t>(1,535)</w:t>
            </w:r>
          </w:p>
        </w:tc>
      </w:tr>
      <w:tr>
        <w:trPr>
          <w:trHeight w:val="317" w:hRule="exact"/>
        </w:trPr>
        <w:tc>
          <w:tcPr>
            <w:tcW w:w="333" w:type="dxa"/>
          </w:tcPr>
          <w:p>
            <w:pPr/>
          </w:p>
        </w:tc>
        <w:tc>
          <w:tcPr>
            <w:tcW w:w="4946" w:type="dxa"/>
          </w:tcPr>
          <w:p>
            <w:pPr>
              <w:pStyle w:val="TableParagraph"/>
              <w:spacing w:before="124"/>
              <w:ind w:left="134"/>
              <w:rPr>
                <w:b/>
                <w:sz w:val="16"/>
              </w:rPr>
            </w:pPr>
            <w:r>
              <w:rPr>
                <w:b/>
                <w:sz w:val="16"/>
              </w:rPr>
              <w:t>Net book amount at 31 December 2016</w:t>
            </w:r>
          </w:p>
        </w:tc>
        <w:tc>
          <w:tcPr>
            <w:tcW w:w="2425" w:type="dxa"/>
            <w:tcBorders>
              <w:top w:val="single" w:sz="1" w:space="0" w:color="000000"/>
              <w:bottom w:val="single" w:sz="1" w:space="0" w:color="000000"/>
            </w:tcBorders>
          </w:tcPr>
          <w:p>
            <w:pPr>
              <w:pStyle w:val="TableParagraph"/>
              <w:tabs>
                <w:tab w:pos="952" w:val="left" w:leader="none"/>
              </w:tabs>
              <w:spacing w:before="123"/>
              <w:ind w:right="172"/>
              <w:jc w:val="right"/>
              <w:rPr>
                <w:sz w:val="16"/>
              </w:rPr>
            </w:pPr>
            <w:r>
              <w:rPr>
                <w:sz w:val="16"/>
              </w:rPr>
              <w:t>-</w:t>
              <w:tab/>
            </w:r>
            <w:r>
              <w:rPr>
                <w:spacing w:val="-2"/>
                <w:sz w:val="16"/>
              </w:rPr>
              <w:t>221</w:t>
            </w:r>
          </w:p>
        </w:tc>
        <w:tc>
          <w:tcPr>
            <w:tcW w:w="1263" w:type="dxa"/>
            <w:tcBorders>
              <w:top w:val="single" w:sz="1" w:space="0" w:color="000000"/>
              <w:bottom w:val="single" w:sz="1" w:space="0" w:color="000000"/>
            </w:tcBorders>
          </w:tcPr>
          <w:p>
            <w:pPr>
              <w:pStyle w:val="TableParagraph"/>
              <w:spacing w:before="123"/>
              <w:ind w:right="267"/>
              <w:jc w:val="right"/>
              <w:rPr>
                <w:sz w:val="16"/>
              </w:rPr>
            </w:pPr>
            <w:r>
              <w:rPr>
                <w:sz w:val="16"/>
              </w:rPr>
              <w:t>9,919</w:t>
            </w:r>
          </w:p>
        </w:tc>
        <w:tc>
          <w:tcPr>
            <w:tcW w:w="978" w:type="dxa"/>
            <w:tcBorders>
              <w:top w:val="single" w:sz="1" w:space="0" w:color="000000"/>
              <w:bottom w:val="single" w:sz="1" w:space="0" w:color="000000"/>
            </w:tcBorders>
          </w:tcPr>
          <w:p>
            <w:pPr>
              <w:pStyle w:val="TableParagraph"/>
              <w:spacing w:before="123"/>
              <w:ind w:left="406"/>
              <w:rPr>
                <w:sz w:val="16"/>
              </w:rPr>
            </w:pPr>
            <w:r>
              <w:rPr>
                <w:sz w:val="16"/>
              </w:rPr>
              <w:t>10,140</w:t>
            </w:r>
          </w:p>
        </w:tc>
      </w:tr>
      <w:tr>
        <w:trPr>
          <w:trHeight w:val="927" w:hRule="exact"/>
        </w:trPr>
        <w:tc>
          <w:tcPr>
            <w:tcW w:w="333" w:type="dxa"/>
          </w:tcPr>
          <w:p>
            <w:pPr/>
          </w:p>
        </w:tc>
        <w:tc>
          <w:tcPr>
            <w:tcW w:w="4946"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7"/>
              <w:rPr>
                <w:rFonts w:ascii="Times New Roman"/>
                <w:sz w:val="14"/>
              </w:rPr>
            </w:pPr>
          </w:p>
          <w:p>
            <w:pPr>
              <w:pStyle w:val="TableParagraph"/>
              <w:ind w:left="134"/>
              <w:rPr>
                <w:b/>
                <w:sz w:val="16"/>
              </w:rPr>
            </w:pPr>
            <w:r>
              <w:rPr>
                <w:b/>
                <w:sz w:val="16"/>
              </w:rPr>
              <w:t>Year ended 31 December 2017</w:t>
            </w:r>
          </w:p>
        </w:tc>
        <w:tc>
          <w:tcPr>
            <w:tcW w:w="2425" w:type="dxa"/>
            <w:tcBorders>
              <w:top w:val="single" w:sz="1" w:space="0" w:color="000000"/>
            </w:tcBorders>
          </w:tcPr>
          <w:p>
            <w:pPr/>
          </w:p>
        </w:tc>
        <w:tc>
          <w:tcPr>
            <w:tcW w:w="1263" w:type="dxa"/>
            <w:tcBorders>
              <w:top w:val="single" w:sz="1" w:space="0" w:color="000000"/>
            </w:tcBorders>
          </w:tcPr>
          <w:p>
            <w:pPr/>
          </w:p>
        </w:tc>
        <w:tc>
          <w:tcPr>
            <w:tcW w:w="978" w:type="dxa"/>
            <w:tcBorders>
              <w:top w:val="single" w:sz="1" w:space="0" w:color="000000"/>
            </w:tcBorders>
          </w:tcPr>
          <w:p>
            <w:pPr/>
          </w:p>
        </w:tc>
      </w:tr>
      <w:tr>
        <w:trPr>
          <w:trHeight w:val="229" w:hRule="exact"/>
        </w:trPr>
        <w:tc>
          <w:tcPr>
            <w:tcW w:w="333" w:type="dxa"/>
          </w:tcPr>
          <w:p>
            <w:pPr/>
          </w:p>
        </w:tc>
        <w:tc>
          <w:tcPr>
            <w:tcW w:w="4946" w:type="dxa"/>
          </w:tcPr>
          <w:p>
            <w:pPr>
              <w:pStyle w:val="TableParagraph"/>
              <w:spacing w:before="9"/>
              <w:ind w:left="134"/>
              <w:rPr>
                <w:sz w:val="16"/>
              </w:rPr>
            </w:pPr>
            <w:r>
              <w:rPr>
                <w:sz w:val="16"/>
              </w:rPr>
              <w:t>Opening net book amount</w:t>
            </w:r>
          </w:p>
        </w:tc>
        <w:tc>
          <w:tcPr>
            <w:tcW w:w="2425" w:type="dxa"/>
          </w:tcPr>
          <w:p>
            <w:pPr>
              <w:pStyle w:val="TableParagraph"/>
              <w:tabs>
                <w:tab w:pos="952" w:val="left" w:leader="none"/>
              </w:tabs>
              <w:spacing w:before="6"/>
              <w:ind w:right="172"/>
              <w:jc w:val="right"/>
              <w:rPr>
                <w:sz w:val="16"/>
              </w:rPr>
            </w:pPr>
            <w:r>
              <w:rPr>
                <w:sz w:val="16"/>
              </w:rPr>
              <w:t>-</w:t>
              <w:tab/>
            </w:r>
            <w:r>
              <w:rPr>
                <w:spacing w:val="-2"/>
                <w:sz w:val="16"/>
              </w:rPr>
              <w:t>221</w:t>
            </w:r>
          </w:p>
        </w:tc>
        <w:tc>
          <w:tcPr>
            <w:tcW w:w="1263" w:type="dxa"/>
          </w:tcPr>
          <w:p>
            <w:pPr>
              <w:pStyle w:val="TableParagraph"/>
              <w:spacing w:before="6"/>
              <w:ind w:right="267"/>
              <w:jc w:val="right"/>
              <w:rPr>
                <w:sz w:val="16"/>
              </w:rPr>
            </w:pPr>
            <w:r>
              <w:rPr>
                <w:sz w:val="16"/>
              </w:rPr>
              <w:t>9,919</w:t>
            </w:r>
          </w:p>
        </w:tc>
        <w:tc>
          <w:tcPr>
            <w:tcW w:w="978" w:type="dxa"/>
          </w:tcPr>
          <w:p>
            <w:pPr>
              <w:pStyle w:val="TableParagraph"/>
              <w:spacing w:before="6"/>
              <w:ind w:left="406"/>
              <w:rPr>
                <w:sz w:val="16"/>
              </w:rPr>
            </w:pPr>
            <w:r>
              <w:rPr>
                <w:sz w:val="16"/>
              </w:rPr>
              <w:t>10,140</w:t>
            </w:r>
          </w:p>
        </w:tc>
      </w:tr>
      <w:tr>
        <w:trPr>
          <w:trHeight w:val="242" w:hRule="exact"/>
        </w:trPr>
        <w:tc>
          <w:tcPr>
            <w:tcW w:w="333" w:type="dxa"/>
          </w:tcPr>
          <w:p>
            <w:pPr/>
          </w:p>
        </w:tc>
        <w:tc>
          <w:tcPr>
            <w:tcW w:w="4946" w:type="dxa"/>
          </w:tcPr>
          <w:p>
            <w:pPr>
              <w:pStyle w:val="TableParagraph"/>
              <w:spacing w:before="22"/>
              <w:ind w:left="134"/>
              <w:rPr>
                <w:sz w:val="16"/>
              </w:rPr>
            </w:pPr>
            <w:r>
              <w:rPr>
                <w:sz w:val="16"/>
              </w:rPr>
              <w:t>Additions</w:t>
            </w:r>
          </w:p>
        </w:tc>
        <w:tc>
          <w:tcPr>
            <w:tcW w:w="2425" w:type="dxa"/>
          </w:tcPr>
          <w:p>
            <w:pPr>
              <w:pStyle w:val="TableParagraph"/>
              <w:tabs>
                <w:tab w:pos="1166" w:val="left" w:leader="none"/>
              </w:tabs>
              <w:spacing w:before="20"/>
              <w:ind w:right="171"/>
              <w:jc w:val="right"/>
              <w:rPr>
                <w:sz w:val="16"/>
              </w:rPr>
            </w:pPr>
            <w:r>
              <w:rPr>
                <w:sz w:val="16"/>
              </w:rPr>
              <w:t>-</w:t>
              <w:tab/>
              <w:t>-</w:t>
            </w:r>
          </w:p>
        </w:tc>
        <w:tc>
          <w:tcPr>
            <w:tcW w:w="1263" w:type="dxa"/>
          </w:tcPr>
          <w:p>
            <w:pPr>
              <w:pStyle w:val="TableParagraph"/>
              <w:spacing w:before="20"/>
              <w:ind w:right="267"/>
              <w:jc w:val="right"/>
              <w:rPr>
                <w:sz w:val="16"/>
              </w:rPr>
            </w:pPr>
            <w:r>
              <w:rPr>
                <w:sz w:val="16"/>
              </w:rPr>
              <w:t>6,962</w:t>
            </w:r>
          </w:p>
        </w:tc>
        <w:tc>
          <w:tcPr>
            <w:tcW w:w="978" w:type="dxa"/>
          </w:tcPr>
          <w:p>
            <w:pPr>
              <w:pStyle w:val="TableParagraph"/>
              <w:spacing w:before="20"/>
              <w:ind w:right="79"/>
              <w:jc w:val="right"/>
              <w:rPr>
                <w:sz w:val="16"/>
              </w:rPr>
            </w:pPr>
            <w:r>
              <w:rPr>
                <w:sz w:val="16"/>
              </w:rPr>
              <w:t>6,962</w:t>
            </w:r>
          </w:p>
        </w:tc>
      </w:tr>
      <w:tr>
        <w:trPr>
          <w:trHeight w:val="241" w:hRule="exact"/>
        </w:trPr>
        <w:tc>
          <w:tcPr>
            <w:tcW w:w="333" w:type="dxa"/>
          </w:tcPr>
          <w:p>
            <w:pPr/>
          </w:p>
        </w:tc>
        <w:tc>
          <w:tcPr>
            <w:tcW w:w="4946" w:type="dxa"/>
          </w:tcPr>
          <w:p>
            <w:pPr>
              <w:pStyle w:val="TableParagraph"/>
              <w:spacing w:before="22"/>
              <w:ind w:left="134"/>
              <w:rPr>
                <w:sz w:val="16"/>
              </w:rPr>
            </w:pPr>
            <w:r>
              <w:rPr>
                <w:sz w:val="16"/>
              </w:rPr>
              <w:t>Amortisation charge</w:t>
            </w:r>
          </w:p>
        </w:tc>
        <w:tc>
          <w:tcPr>
            <w:tcW w:w="2425" w:type="dxa"/>
            <w:tcBorders>
              <w:bottom w:val="single" w:sz="1" w:space="0" w:color="000000"/>
            </w:tcBorders>
          </w:tcPr>
          <w:p>
            <w:pPr>
              <w:pStyle w:val="TableParagraph"/>
              <w:tabs>
                <w:tab w:pos="988" w:val="left" w:leader="none"/>
              </w:tabs>
              <w:spacing w:before="20"/>
              <w:ind w:right="119"/>
              <w:jc w:val="right"/>
              <w:rPr>
                <w:sz w:val="16"/>
              </w:rPr>
            </w:pPr>
            <w:r>
              <w:rPr>
                <w:sz w:val="16"/>
              </w:rPr>
              <w:t>-</w:t>
              <w:tab/>
            </w:r>
            <w:r>
              <w:rPr>
                <w:spacing w:val="-2"/>
                <w:sz w:val="16"/>
              </w:rPr>
              <w:t>(30)</w:t>
            </w:r>
          </w:p>
        </w:tc>
        <w:tc>
          <w:tcPr>
            <w:tcW w:w="1263" w:type="dxa"/>
            <w:tcBorders>
              <w:bottom w:val="single" w:sz="1" w:space="0" w:color="000000"/>
            </w:tcBorders>
          </w:tcPr>
          <w:p>
            <w:pPr>
              <w:pStyle w:val="TableParagraph"/>
              <w:spacing w:before="20"/>
              <w:ind w:right="215"/>
              <w:jc w:val="right"/>
              <w:rPr>
                <w:sz w:val="16"/>
              </w:rPr>
            </w:pPr>
            <w:r>
              <w:rPr>
                <w:sz w:val="16"/>
              </w:rPr>
              <w:t>(2,284)</w:t>
            </w:r>
          </w:p>
        </w:tc>
        <w:tc>
          <w:tcPr>
            <w:tcW w:w="978" w:type="dxa"/>
            <w:tcBorders>
              <w:bottom w:val="single" w:sz="1" w:space="0" w:color="000000"/>
            </w:tcBorders>
          </w:tcPr>
          <w:p>
            <w:pPr>
              <w:pStyle w:val="TableParagraph"/>
              <w:spacing w:before="20"/>
              <w:ind w:right="26"/>
              <w:jc w:val="right"/>
              <w:rPr>
                <w:sz w:val="16"/>
              </w:rPr>
            </w:pPr>
            <w:r>
              <w:rPr>
                <w:sz w:val="16"/>
              </w:rPr>
              <w:t>(2,314)</w:t>
            </w:r>
          </w:p>
        </w:tc>
      </w:tr>
      <w:tr>
        <w:trPr>
          <w:trHeight w:val="317" w:hRule="exact"/>
        </w:trPr>
        <w:tc>
          <w:tcPr>
            <w:tcW w:w="333" w:type="dxa"/>
          </w:tcPr>
          <w:p>
            <w:pPr/>
          </w:p>
        </w:tc>
        <w:tc>
          <w:tcPr>
            <w:tcW w:w="4946" w:type="dxa"/>
          </w:tcPr>
          <w:p>
            <w:pPr>
              <w:pStyle w:val="TableParagraph"/>
              <w:spacing w:before="124"/>
              <w:ind w:left="134"/>
              <w:rPr>
                <w:b/>
                <w:sz w:val="16"/>
              </w:rPr>
            </w:pPr>
            <w:r>
              <w:rPr>
                <w:b/>
                <w:sz w:val="16"/>
              </w:rPr>
              <w:t>Net book amount at 31 December 2017</w:t>
            </w:r>
          </w:p>
        </w:tc>
        <w:tc>
          <w:tcPr>
            <w:tcW w:w="2425" w:type="dxa"/>
            <w:tcBorders>
              <w:top w:val="single" w:sz="1" w:space="0" w:color="000000"/>
              <w:bottom w:val="single" w:sz="1" w:space="0" w:color="000000"/>
            </w:tcBorders>
          </w:tcPr>
          <w:p>
            <w:pPr>
              <w:pStyle w:val="TableParagraph"/>
              <w:tabs>
                <w:tab w:pos="952" w:val="left" w:leader="none"/>
              </w:tabs>
              <w:spacing w:before="123"/>
              <w:ind w:right="172"/>
              <w:jc w:val="right"/>
              <w:rPr>
                <w:b/>
                <w:sz w:val="16"/>
              </w:rPr>
            </w:pPr>
            <w:r>
              <w:rPr>
                <w:b/>
                <w:sz w:val="16"/>
              </w:rPr>
              <w:t>-</w:t>
              <w:tab/>
            </w:r>
            <w:r>
              <w:rPr>
                <w:b/>
                <w:spacing w:val="-2"/>
                <w:sz w:val="16"/>
              </w:rPr>
              <w:t>191</w:t>
            </w:r>
          </w:p>
        </w:tc>
        <w:tc>
          <w:tcPr>
            <w:tcW w:w="1263" w:type="dxa"/>
            <w:tcBorders>
              <w:top w:val="single" w:sz="1" w:space="0" w:color="000000"/>
              <w:bottom w:val="single" w:sz="1" w:space="0" w:color="000000"/>
            </w:tcBorders>
          </w:tcPr>
          <w:p>
            <w:pPr>
              <w:pStyle w:val="TableParagraph"/>
              <w:spacing w:before="123"/>
              <w:ind w:right="267"/>
              <w:jc w:val="right"/>
              <w:rPr>
                <w:b/>
                <w:sz w:val="16"/>
              </w:rPr>
            </w:pPr>
            <w:r>
              <w:rPr>
                <w:b/>
                <w:sz w:val="16"/>
              </w:rPr>
              <w:t>14,597</w:t>
            </w:r>
          </w:p>
        </w:tc>
        <w:tc>
          <w:tcPr>
            <w:tcW w:w="978" w:type="dxa"/>
            <w:tcBorders>
              <w:top w:val="single" w:sz="1" w:space="0" w:color="000000"/>
              <w:bottom w:val="single" w:sz="1" w:space="0" w:color="000000"/>
            </w:tcBorders>
          </w:tcPr>
          <w:p>
            <w:pPr>
              <w:pStyle w:val="TableParagraph"/>
              <w:spacing w:before="123"/>
              <w:ind w:left="406"/>
              <w:rPr>
                <w:b/>
                <w:sz w:val="16"/>
              </w:rPr>
            </w:pPr>
            <w:r>
              <w:rPr>
                <w:b/>
                <w:sz w:val="16"/>
              </w:rPr>
              <w:t>14,788</w:t>
            </w:r>
          </w:p>
        </w:tc>
      </w:tr>
      <w:tr>
        <w:trPr>
          <w:trHeight w:val="629" w:hRule="exact"/>
        </w:trPr>
        <w:tc>
          <w:tcPr>
            <w:tcW w:w="333" w:type="dxa"/>
          </w:tcPr>
          <w:p>
            <w:pPr/>
          </w:p>
        </w:tc>
        <w:tc>
          <w:tcPr>
            <w:tcW w:w="4946" w:type="dxa"/>
          </w:tcPr>
          <w:p>
            <w:pPr>
              <w:pStyle w:val="TableParagraph"/>
              <w:rPr>
                <w:rFonts w:ascii="Times New Roman"/>
                <w:sz w:val="16"/>
              </w:rPr>
            </w:pPr>
          </w:p>
          <w:p>
            <w:pPr>
              <w:pStyle w:val="TableParagraph"/>
              <w:spacing w:before="8"/>
              <w:rPr>
                <w:rFonts w:ascii="Times New Roman"/>
                <w:sz w:val="20"/>
              </w:rPr>
            </w:pPr>
          </w:p>
          <w:p>
            <w:pPr>
              <w:pStyle w:val="TableParagraph"/>
              <w:ind w:left="134"/>
              <w:rPr>
                <w:b/>
                <w:sz w:val="16"/>
              </w:rPr>
            </w:pPr>
            <w:r>
              <w:rPr>
                <w:b/>
                <w:sz w:val="16"/>
              </w:rPr>
              <w:t>At 31 December 2017</w:t>
            </w:r>
          </w:p>
        </w:tc>
        <w:tc>
          <w:tcPr>
            <w:tcW w:w="2425" w:type="dxa"/>
            <w:tcBorders>
              <w:top w:val="single" w:sz="1" w:space="0" w:color="000000"/>
            </w:tcBorders>
          </w:tcPr>
          <w:p>
            <w:pPr/>
          </w:p>
        </w:tc>
        <w:tc>
          <w:tcPr>
            <w:tcW w:w="1263" w:type="dxa"/>
            <w:tcBorders>
              <w:top w:val="single" w:sz="1" w:space="0" w:color="000000"/>
            </w:tcBorders>
          </w:tcPr>
          <w:p>
            <w:pPr/>
          </w:p>
        </w:tc>
        <w:tc>
          <w:tcPr>
            <w:tcW w:w="978" w:type="dxa"/>
            <w:tcBorders>
              <w:top w:val="single" w:sz="1" w:space="0" w:color="000000"/>
            </w:tcBorders>
          </w:tcPr>
          <w:p>
            <w:pPr/>
          </w:p>
        </w:tc>
      </w:tr>
      <w:tr>
        <w:trPr>
          <w:trHeight w:val="229" w:hRule="exact"/>
        </w:trPr>
        <w:tc>
          <w:tcPr>
            <w:tcW w:w="333" w:type="dxa"/>
          </w:tcPr>
          <w:p>
            <w:pPr/>
          </w:p>
        </w:tc>
        <w:tc>
          <w:tcPr>
            <w:tcW w:w="4946" w:type="dxa"/>
          </w:tcPr>
          <w:p>
            <w:pPr>
              <w:pStyle w:val="TableParagraph"/>
              <w:spacing w:before="9"/>
              <w:ind w:left="134"/>
              <w:rPr>
                <w:sz w:val="16"/>
              </w:rPr>
            </w:pPr>
            <w:r>
              <w:rPr>
                <w:sz w:val="16"/>
              </w:rPr>
              <w:t>- Cost</w:t>
            </w:r>
          </w:p>
        </w:tc>
        <w:tc>
          <w:tcPr>
            <w:tcW w:w="2425" w:type="dxa"/>
          </w:tcPr>
          <w:p>
            <w:pPr>
              <w:pStyle w:val="TableParagraph"/>
              <w:tabs>
                <w:tab w:pos="952" w:val="left" w:leader="none"/>
              </w:tabs>
              <w:spacing w:before="6"/>
              <w:ind w:right="172"/>
              <w:jc w:val="right"/>
              <w:rPr>
                <w:sz w:val="16"/>
              </w:rPr>
            </w:pPr>
            <w:r>
              <w:rPr>
                <w:sz w:val="16"/>
              </w:rPr>
              <w:t>-</w:t>
              <w:tab/>
            </w:r>
            <w:r>
              <w:rPr>
                <w:spacing w:val="-2"/>
                <w:sz w:val="16"/>
              </w:rPr>
              <w:t>250</w:t>
            </w:r>
          </w:p>
        </w:tc>
        <w:tc>
          <w:tcPr>
            <w:tcW w:w="1263" w:type="dxa"/>
          </w:tcPr>
          <w:p>
            <w:pPr>
              <w:pStyle w:val="TableParagraph"/>
              <w:spacing w:before="6"/>
              <w:ind w:right="267"/>
              <w:jc w:val="right"/>
              <w:rPr>
                <w:sz w:val="16"/>
              </w:rPr>
            </w:pPr>
            <w:r>
              <w:rPr>
                <w:sz w:val="16"/>
              </w:rPr>
              <w:t>18,387</w:t>
            </w:r>
          </w:p>
        </w:tc>
        <w:tc>
          <w:tcPr>
            <w:tcW w:w="978" w:type="dxa"/>
          </w:tcPr>
          <w:p>
            <w:pPr>
              <w:pStyle w:val="TableParagraph"/>
              <w:spacing w:before="6"/>
              <w:ind w:left="406"/>
              <w:rPr>
                <w:sz w:val="16"/>
              </w:rPr>
            </w:pPr>
            <w:r>
              <w:rPr>
                <w:sz w:val="16"/>
              </w:rPr>
              <w:t>18,637</w:t>
            </w:r>
          </w:p>
        </w:tc>
      </w:tr>
      <w:tr>
        <w:trPr>
          <w:trHeight w:val="241" w:hRule="exact"/>
        </w:trPr>
        <w:tc>
          <w:tcPr>
            <w:tcW w:w="333" w:type="dxa"/>
          </w:tcPr>
          <w:p>
            <w:pPr/>
          </w:p>
        </w:tc>
        <w:tc>
          <w:tcPr>
            <w:tcW w:w="4946" w:type="dxa"/>
          </w:tcPr>
          <w:p>
            <w:pPr>
              <w:pStyle w:val="TableParagraph"/>
              <w:spacing w:before="22"/>
              <w:ind w:left="134"/>
              <w:rPr>
                <w:sz w:val="16"/>
              </w:rPr>
            </w:pPr>
            <w:r>
              <w:rPr>
                <w:sz w:val="16"/>
              </w:rPr>
              <w:t>- Accumulated amortisation and impairment</w:t>
            </w:r>
          </w:p>
        </w:tc>
        <w:tc>
          <w:tcPr>
            <w:tcW w:w="2425" w:type="dxa"/>
            <w:tcBorders>
              <w:bottom w:val="single" w:sz="1" w:space="0" w:color="000000"/>
            </w:tcBorders>
          </w:tcPr>
          <w:p>
            <w:pPr>
              <w:pStyle w:val="TableParagraph"/>
              <w:tabs>
                <w:tab w:pos="988" w:val="left" w:leader="none"/>
              </w:tabs>
              <w:spacing w:before="20"/>
              <w:ind w:right="119"/>
              <w:jc w:val="right"/>
              <w:rPr>
                <w:sz w:val="16"/>
              </w:rPr>
            </w:pPr>
            <w:r>
              <w:rPr>
                <w:sz w:val="16"/>
              </w:rPr>
              <w:t>-</w:t>
              <w:tab/>
            </w:r>
            <w:r>
              <w:rPr>
                <w:spacing w:val="-2"/>
                <w:sz w:val="16"/>
              </w:rPr>
              <w:t>(59)</w:t>
            </w:r>
          </w:p>
        </w:tc>
        <w:tc>
          <w:tcPr>
            <w:tcW w:w="1263" w:type="dxa"/>
            <w:tcBorders>
              <w:bottom w:val="single" w:sz="1" w:space="0" w:color="000000"/>
            </w:tcBorders>
          </w:tcPr>
          <w:p>
            <w:pPr>
              <w:pStyle w:val="TableParagraph"/>
              <w:spacing w:before="20"/>
              <w:ind w:right="215"/>
              <w:jc w:val="right"/>
              <w:rPr>
                <w:sz w:val="16"/>
              </w:rPr>
            </w:pPr>
            <w:r>
              <w:rPr>
                <w:sz w:val="16"/>
              </w:rPr>
              <w:t>(3,790)</w:t>
            </w:r>
          </w:p>
        </w:tc>
        <w:tc>
          <w:tcPr>
            <w:tcW w:w="978" w:type="dxa"/>
            <w:tcBorders>
              <w:bottom w:val="single" w:sz="1" w:space="0" w:color="000000"/>
            </w:tcBorders>
          </w:tcPr>
          <w:p>
            <w:pPr>
              <w:pStyle w:val="TableParagraph"/>
              <w:spacing w:before="20"/>
              <w:ind w:right="26"/>
              <w:jc w:val="right"/>
              <w:rPr>
                <w:sz w:val="16"/>
              </w:rPr>
            </w:pPr>
            <w:r>
              <w:rPr>
                <w:sz w:val="16"/>
              </w:rPr>
              <w:t>(3,849)</w:t>
            </w:r>
          </w:p>
        </w:tc>
      </w:tr>
      <w:tr>
        <w:trPr>
          <w:trHeight w:val="331" w:hRule="exact"/>
        </w:trPr>
        <w:tc>
          <w:tcPr>
            <w:tcW w:w="333" w:type="dxa"/>
          </w:tcPr>
          <w:p>
            <w:pPr/>
          </w:p>
        </w:tc>
        <w:tc>
          <w:tcPr>
            <w:tcW w:w="4946" w:type="dxa"/>
          </w:tcPr>
          <w:p>
            <w:pPr>
              <w:pStyle w:val="TableParagraph"/>
              <w:spacing w:before="124"/>
              <w:ind w:left="134"/>
              <w:rPr>
                <w:b/>
                <w:sz w:val="16"/>
              </w:rPr>
            </w:pPr>
            <w:r>
              <w:rPr>
                <w:b/>
                <w:sz w:val="16"/>
              </w:rPr>
              <w:t>Net book amount at 31 December 2017</w:t>
            </w:r>
          </w:p>
        </w:tc>
        <w:tc>
          <w:tcPr>
            <w:tcW w:w="2425" w:type="dxa"/>
            <w:tcBorders>
              <w:top w:val="single" w:sz="1" w:space="0" w:color="000000"/>
              <w:bottom w:val="single" w:sz="1" w:space="0" w:color="000000"/>
            </w:tcBorders>
          </w:tcPr>
          <w:p>
            <w:pPr>
              <w:pStyle w:val="TableParagraph"/>
              <w:tabs>
                <w:tab w:pos="952" w:val="left" w:leader="none"/>
              </w:tabs>
              <w:spacing w:before="123"/>
              <w:ind w:right="172"/>
              <w:jc w:val="right"/>
              <w:rPr>
                <w:b/>
                <w:sz w:val="16"/>
              </w:rPr>
            </w:pPr>
            <w:r>
              <w:rPr>
                <w:b/>
                <w:sz w:val="16"/>
              </w:rPr>
              <w:t>-</w:t>
              <w:tab/>
            </w:r>
            <w:r>
              <w:rPr>
                <w:b/>
                <w:spacing w:val="-2"/>
                <w:sz w:val="16"/>
              </w:rPr>
              <w:t>191</w:t>
            </w:r>
          </w:p>
        </w:tc>
        <w:tc>
          <w:tcPr>
            <w:tcW w:w="1263" w:type="dxa"/>
            <w:tcBorders>
              <w:top w:val="single" w:sz="1" w:space="0" w:color="000000"/>
              <w:bottom w:val="single" w:sz="1" w:space="0" w:color="000000"/>
            </w:tcBorders>
          </w:tcPr>
          <w:p>
            <w:pPr>
              <w:pStyle w:val="TableParagraph"/>
              <w:spacing w:before="123"/>
              <w:ind w:right="267"/>
              <w:jc w:val="right"/>
              <w:rPr>
                <w:b/>
                <w:sz w:val="16"/>
              </w:rPr>
            </w:pPr>
            <w:r>
              <w:rPr>
                <w:b/>
                <w:sz w:val="16"/>
              </w:rPr>
              <w:t>14,597</w:t>
            </w:r>
          </w:p>
        </w:tc>
        <w:tc>
          <w:tcPr>
            <w:tcW w:w="978" w:type="dxa"/>
            <w:tcBorders>
              <w:top w:val="single" w:sz="1" w:space="0" w:color="000000"/>
              <w:bottom w:val="single" w:sz="1" w:space="0" w:color="000000"/>
            </w:tcBorders>
          </w:tcPr>
          <w:p>
            <w:pPr>
              <w:pStyle w:val="TableParagraph"/>
              <w:spacing w:before="123"/>
              <w:ind w:left="406"/>
              <w:rPr>
                <w:b/>
                <w:sz w:val="16"/>
              </w:rPr>
            </w:pPr>
            <w:r>
              <w:rPr>
                <w:b/>
                <w:sz w:val="16"/>
              </w:rPr>
              <w:t>14,788</w:t>
            </w:r>
          </w:p>
        </w:tc>
      </w:tr>
    </w:tbl>
    <w:p>
      <w:pPr>
        <w:spacing w:after="0"/>
        <w:rPr>
          <w:sz w:val="16"/>
        </w:rPr>
        <w:sectPr>
          <w:headerReference w:type="default" r:id="rId22"/>
          <w:footerReference w:type="default" r:id="rId23"/>
          <w:pgSz w:w="11910" w:h="16840"/>
          <w:pgMar w:header="1037" w:footer="507" w:top="2220" w:bottom="700" w:left="860" w:right="880"/>
          <w:pgNumType w:start="49"/>
        </w:sectPr>
      </w:pPr>
    </w:p>
    <w:p>
      <w:pPr>
        <w:pStyle w:val="BodyText"/>
        <w:rPr>
          <w:rFonts w:ascii="Times New Roman"/>
          <w:sz w:val="20"/>
        </w:rPr>
      </w:pPr>
    </w:p>
    <w:p>
      <w:pPr>
        <w:pStyle w:val="BodyText"/>
        <w:rPr>
          <w:rFonts w:ascii="Times New Roman"/>
          <w:sz w:val="20"/>
        </w:rPr>
      </w:pPr>
    </w:p>
    <w:p>
      <w:pPr>
        <w:pStyle w:val="BodyText"/>
        <w:spacing w:before="5"/>
        <w:rPr>
          <w:rFonts w:ascii="Times New Roman"/>
        </w:rPr>
      </w:pPr>
    </w:p>
    <w:p>
      <w:pPr>
        <w:pStyle w:val="Heading9"/>
        <w:numPr>
          <w:ilvl w:val="0"/>
          <w:numId w:val="26"/>
        </w:numPr>
        <w:tabs>
          <w:tab w:pos="504" w:val="left" w:leader="none"/>
        </w:tabs>
        <w:spacing w:line="240" w:lineRule="auto" w:before="0" w:after="0"/>
        <w:ind w:left="504" w:right="0" w:hanging="394"/>
        <w:jc w:val="left"/>
      </w:pPr>
      <w:r>
        <w:rPr/>
        <w:t>Intangible Assets (continued)</w:t>
      </w:r>
    </w:p>
    <w:p>
      <w:pPr>
        <w:pStyle w:val="BodyText"/>
        <w:rPr>
          <w:b/>
          <w:sz w:val="20"/>
        </w:rPr>
      </w:pPr>
    </w:p>
    <w:p>
      <w:pPr>
        <w:pStyle w:val="BodyText"/>
        <w:rPr>
          <w:b/>
          <w:sz w:val="20"/>
        </w:rPr>
      </w:pPr>
    </w:p>
    <w:p>
      <w:pPr>
        <w:pStyle w:val="BodyText"/>
        <w:spacing w:before="4"/>
        <w:rPr>
          <w:b/>
          <w:sz w:val="13"/>
        </w:rPr>
      </w:pPr>
    </w:p>
    <w:tbl>
      <w:tblPr>
        <w:tblW w:w="0" w:type="auto"/>
        <w:jc w:val="left"/>
        <w:tblInd w:w="5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847"/>
        <w:gridCol w:w="1282"/>
        <w:gridCol w:w="1144"/>
        <w:gridCol w:w="1263"/>
        <w:gridCol w:w="978"/>
      </w:tblGrid>
      <w:tr>
        <w:trPr>
          <w:trHeight w:val="391" w:hRule="exact"/>
        </w:trPr>
        <w:tc>
          <w:tcPr>
            <w:tcW w:w="4847" w:type="dxa"/>
          </w:tcPr>
          <w:p>
            <w:pPr>
              <w:pStyle w:val="TableParagraph"/>
              <w:spacing w:line="97" w:lineRule="exact"/>
              <w:ind w:left="35"/>
              <w:rPr>
                <w:b/>
                <w:sz w:val="16"/>
              </w:rPr>
            </w:pPr>
            <w:r>
              <w:rPr>
                <w:b/>
                <w:sz w:val="16"/>
              </w:rPr>
              <w:t>Consolidated</w:t>
            </w:r>
          </w:p>
        </w:tc>
        <w:tc>
          <w:tcPr>
            <w:tcW w:w="1282" w:type="dxa"/>
          </w:tcPr>
          <w:p>
            <w:pPr>
              <w:pStyle w:val="TableParagraph"/>
              <w:spacing w:line="164" w:lineRule="exact"/>
              <w:ind w:left="81" w:right="155"/>
              <w:jc w:val="center"/>
              <w:rPr>
                <w:b/>
                <w:sz w:val="16"/>
              </w:rPr>
            </w:pPr>
            <w:r>
              <w:rPr>
                <w:b/>
                <w:sz w:val="16"/>
              </w:rPr>
              <w:t>Development</w:t>
            </w:r>
          </w:p>
          <w:p>
            <w:pPr>
              <w:pStyle w:val="TableParagraph"/>
              <w:spacing w:before="1"/>
              <w:ind w:left="81" w:right="155"/>
              <w:jc w:val="center"/>
              <w:rPr>
                <w:b/>
                <w:sz w:val="16"/>
              </w:rPr>
            </w:pPr>
            <w:r>
              <w:rPr>
                <w:b/>
                <w:sz w:val="16"/>
              </w:rPr>
              <w:t>costs</w:t>
            </w:r>
          </w:p>
        </w:tc>
        <w:tc>
          <w:tcPr>
            <w:tcW w:w="1144" w:type="dxa"/>
          </w:tcPr>
          <w:p>
            <w:pPr>
              <w:pStyle w:val="TableParagraph"/>
              <w:spacing w:before="4"/>
              <w:rPr>
                <w:b/>
                <w:sz w:val="14"/>
              </w:rPr>
            </w:pPr>
          </w:p>
          <w:p>
            <w:pPr>
              <w:pStyle w:val="TableParagraph"/>
              <w:ind w:left="143"/>
              <w:rPr>
                <w:b/>
                <w:sz w:val="16"/>
              </w:rPr>
            </w:pPr>
            <w:r>
              <w:rPr>
                <w:b/>
                <w:sz w:val="16"/>
              </w:rPr>
              <w:t>Licences</w:t>
            </w:r>
          </w:p>
        </w:tc>
        <w:tc>
          <w:tcPr>
            <w:tcW w:w="1263" w:type="dxa"/>
          </w:tcPr>
          <w:p>
            <w:pPr>
              <w:pStyle w:val="TableParagraph"/>
              <w:spacing w:line="164" w:lineRule="exact"/>
              <w:ind w:left="161" w:hanging="41"/>
              <w:rPr>
                <w:b/>
                <w:sz w:val="16"/>
              </w:rPr>
            </w:pPr>
            <w:r>
              <w:rPr>
                <w:b/>
                <w:sz w:val="16"/>
              </w:rPr>
              <w:t>Electronic</w:t>
            </w:r>
          </w:p>
          <w:p>
            <w:pPr>
              <w:pStyle w:val="TableParagraph"/>
              <w:spacing w:before="1"/>
              <w:ind w:left="161"/>
              <w:rPr>
                <w:b/>
                <w:sz w:val="16"/>
              </w:rPr>
            </w:pPr>
            <w:r>
              <w:rPr>
                <w:b/>
                <w:sz w:val="16"/>
              </w:rPr>
              <w:t>Materials</w:t>
            </w:r>
          </w:p>
        </w:tc>
        <w:tc>
          <w:tcPr>
            <w:tcW w:w="978" w:type="dxa"/>
          </w:tcPr>
          <w:p>
            <w:pPr>
              <w:pStyle w:val="TableParagraph"/>
              <w:spacing w:before="4"/>
              <w:rPr>
                <w:b/>
                <w:sz w:val="14"/>
              </w:rPr>
            </w:pPr>
          </w:p>
          <w:p>
            <w:pPr>
              <w:pStyle w:val="TableParagraph"/>
              <w:ind w:left="224"/>
              <w:rPr>
                <w:b/>
                <w:sz w:val="16"/>
              </w:rPr>
            </w:pPr>
            <w:r>
              <w:rPr>
                <w:b/>
                <w:sz w:val="16"/>
              </w:rPr>
              <w:t>Total</w:t>
            </w:r>
          </w:p>
        </w:tc>
      </w:tr>
      <w:tr>
        <w:trPr>
          <w:trHeight w:val="292" w:hRule="exact"/>
        </w:trPr>
        <w:tc>
          <w:tcPr>
            <w:tcW w:w="4847" w:type="dxa"/>
          </w:tcPr>
          <w:p>
            <w:pPr/>
          </w:p>
        </w:tc>
        <w:tc>
          <w:tcPr>
            <w:tcW w:w="1282" w:type="dxa"/>
          </w:tcPr>
          <w:p>
            <w:pPr>
              <w:pStyle w:val="TableParagraph"/>
              <w:spacing w:before="26"/>
              <w:ind w:left="405"/>
              <w:rPr>
                <w:b/>
                <w:sz w:val="16"/>
              </w:rPr>
            </w:pPr>
            <w:r>
              <w:rPr>
                <w:b/>
                <w:sz w:val="16"/>
              </w:rPr>
              <w:t>$'000</w:t>
            </w:r>
          </w:p>
        </w:tc>
        <w:tc>
          <w:tcPr>
            <w:tcW w:w="1144" w:type="dxa"/>
          </w:tcPr>
          <w:p>
            <w:pPr>
              <w:pStyle w:val="TableParagraph"/>
              <w:spacing w:before="26"/>
              <w:ind w:left="290"/>
              <w:rPr>
                <w:b/>
                <w:sz w:val="16"/>
              </w:rPr>
            </w:pPr>
            <w:r>
              <w:rPr>
                <w:b/>
                <w:sz w:val="16"/>
              </w:rPr>
              <w:t>$'000</w:t>
            </w:r>
          </w:p>
        </w:tc>
        <w:tc>
          <w:tcPr>
            <w:tcW w:w="1263" w:type="dxa"/>
          </w:tcPr>
          <w:p>
            <w:pPr>
              <w:pStyle w:val="TableParagraph"/>
              <w:spacing w:before="26"/>
              <w:ind w:left="313"/>
              <w:rPr>
                <w:b/>
                <w:sz w:val="16"/>
              </w:rPr>
            </w:pPr>
            <w:r>
              <w:rPr>
                <w:b/>
                <w:sz w:val="16"/>
              </w:rPr>
              <w:t>$'000</w:t>
            </w:r>
          </w:p>
        </w:tc>
        <w:tc>
          <w:tcPr>
            <w:tcW w:w="978" w:type="dxa"/>
          </w:tcPr>
          <w:p>
            <w:pPr>
              <w:pStyle w:val="TableParagraph"/>
              <w:spacing w:before="26"/>
              <w:ind w:left="217"/>
              <w:rPr>
                <w:b/>
                <w:sz w:val="16"/>
              </w:rPr>
            </w:pPr>
            <w:r>
              <w:rPr>
                <w:b/>
                <w:sz w:val="16"/>
              </w:rPr>
              <w:t>$'000</w:t>
            </w:r>
          </w:p>
        </w:tc>
      </w:tr>
      <w:tr>
        <w:trPr>
          <w:trHeight w:val="502" w:hRule="exact"/>
        </w:trPr>
        <w:tc>
          <w:tcPr>
            <w:tcW w:w="4847" w:type="dxa"/>
          </w:tcPr>
          <w:p>
            <w:pPr>
              <w:pStyle w:val="TableParagraph"/>
              <w:spacing w:before="65"/>
              <w:ind w:left="35"/>
              <w:rPr>
                <w:b/>
                <w:sz w:val="16"/>
              </w:rPr>
            </w:pPr>
            <w:r>
              <w:rPr>
                <w:b/>
                <w:sz w:val="16"/>
              </w:rPr>
              <w:t>At 1 January 2016</w:t>
            </w:r>
          </w:p>
          <w:p>
            <w:pPr>
              <w:pStyle w:val="TableParagraph"/>
              <w:spacing w:before="32"/>
              <w:ind w:left="35"/>
              <w:rPr>
                <w:sz w:val="16"/>
              </w:rPr>
            </w:pPr>
            <w:r>
              <w:rPr>
                <w:sz w:val="16"/>
              </w:rPr>
              <w:t>- Cost</w:t>
            </w:r>
          </w:p>
        </w:tc>
        <w:tc>
          <w:tcPr>
            <w:tcW w:w="1282" w:type="dxa"/>
          </w:tcPr>
          <w:p>
            <w:pPr>
              <w:pStyle w:val="TableParagraph"/>
              <w:rPr>
                <w:b/>
                <w:sz w:val="16"/>
              </w:rPr>
            </w:pPr>
          </w:p>
          <w:p>
            <w:pPr>
              <w:pStyle w:val="TableParagraph"/>
              <w:spacing w:before="95"/>
              <w:ind w:right="194"/>
              <w:jc w:val="right"/>
              <w:rPr>
                <w:sz w:val="16"/>
              </w:rPr>
            </w:pPr>
            <w:r>
              <w:rPr>
                <w:sz w:val="16"/>
              </w:rPr>
              <w:t>263</w:t>
            </w:r>
          </w:p>
        </w:tc>
        <w:tc>
          <w:tcPr>
            <w:tcW w:w="1144" w:type="dxa"/>
          </w:tcPr>
          <w:p>
            <w:pPr>
              <w:pStyle w:val="TableParagraph"/>
              <w:rPr>
                <w:b/>
                <w:sz w:val="16"/>
              </w:rPr>
            </w:pPr>
          </w:p>
          <w:p>
            <w:pPr>
              <w:pStyle w:val="TableParagraph"/>
              <w:spacing w:before="95"/>
              <w:ind w:right="172"/>
              <w:jc w:val="right"/>
              <w:rPr>
                <w:sz w:val="16"/>
              </w:rPr>
            </w:pPr>
            <w:r>
              <w:rPr>
                <w:sz w:val="16"/>
              </w:rPr>
              <w:t>330</w:t>
            </w:r>
          </w:p>
        </w:tc>
        <w:tc>
          <w:tcPr>
            <w:tcW w:w="1263" w:type="dxa"/>
          </w:tcPr>
          <w:p>
            <w:pPr>
              <w:pStyle w:val="TableParagraph"/>
              <w:rPr>
                <w:b/>
                <w:sz w:val="16"/>
              </w:rPr>
            </w:pPr>
          </w:p>
          <w:p>
            <w:pPr>
              <w:pStyle w:val="TableParagraph"/>
              <w:spacing w:before="95"/>
              <w:ind w:right="267"/>
              <w:jc w:val="right"/>
              <w:rPr>
                <w:sz w:val="16"/>
              </w:rPr>
            </w:pPr>
            <w:r>
              <w:rPr>
                <w:sz w:val="16"/>
              </w:rPr>
              <w:t>5,264</w:t>
            </w:r>
          </w:p>
        </w:tc>
        <w:tc>
          <w:tcPr>
            <w:tcW w:w="978" w:type="dxa"/>
          </w:tcPr>
          <w:p>
            <w:pPr>
              <w:pStyle w:val="TableParagraph"/>
              <w:rPr>
                <w:b/>
                <w:sz w:val="16"/>
              </w:rPr>
            </w:pPr>
          </w:p>
          <w:p>
            <w:pPr>
              <w:pStyle w:val="TableParagraph"/>
              <w:spacing w:before="95"/>
              <w:ind w:right="79"/>
              <w:jc w:val="right"/>
              <w:rPr>
                <w:sz w:val="16"/>
              </w:rPr>
            </w:pPr>
            <w:r>
              <w:rPr>
                <w:sz w:val="16"/>
              </w:rPr>
              <w:t>5,857</w:t>
            </w:r>
          </w:p>
        </w:tc>
      </w:tr>
      <w:tr>
        <w:trPr>
          <w:trHeight w:val="241" w:hRule="exact"/>
        </w:trPr>
        <w:tc>
          <w:tcPr>
            <w:tcW w:w="4847" w:type="dxa"/>
          </w:tcPr>
          <w:p>
            <w:pPr>
              <w:pStyle w:val="TableParagraph"/>
              <w:spacing w:before="20"/>
              <w:ind w:left="35"/>
              <w:rPr>
                <w:sz w:val="16"/>
              </w:rPr>
            </w:pPr>
            <w:r>
              <w:rPr>
                <w:sz w:val="16"/>
              </w:rPr>
              <w:t>- Accumulated amortisation and impairment</w:t>
            </w:r>
          </w:p>
        </w:tc>
        <w:tc>
          <w:tcPr>
            <w:tcW w:w="1282" w:type="dxa"/>
            <w:tcBorders>
              <w:bottom w:val="single" w:sz="1" w:space="0" w:color="000000"/>
            </w:tcBorders>
          </w:tcPr>
          <w:p>
            <w:pPr>
              <w:pStyle w:val="TableParagraph"/>
              <w:spacing w:before="20"/>
              <w:ind w:right="194"/>
              <w:jc w:val="right"/>
              <w:rPr>
                <w:sz w:val="16"/>
              </w:rPr>
            </w:pPr>
            <w:r>
              <w:rPr>
                <w:w w:val="100"/>
                <w:sz w:val="16"/>
              </w:rPr>
              <w:t>-</w:t>
            </w:r>
          </w:p>
        </w:tc>
        <w:tc>
          <w:tcPr>
            <w:tcW w:w="1144" w:type="dxa"/>
            <w:tcBorders>
              <w:bottom w:val="single" w:sz="1" w:space="0" w:color="000000"/>
            </w:tcBorders>
          </w:tcPr>
          <w:p>
            <w:pPr>
              <w:pStyle w:val="TableParagraph"/>
              <w:spacing w:before="20"/>
              <w:ind w:right="119"/>
              <w:jc w:val="right"/>
              <w:rPr>
                <w:sz w:val="16"/>
              </w:rPr>
            </w:pPr>
            <w:r>
              <w:rPr>
                <w:sz w:val="16"/>
              </w:rPr>
              <w:t>(70)</w:t>
            </w:r>
          </w:p>
        </w:tc>
        <w:tc>
          <w:tcPr>
            <w:tcW w:w="1263" w:type="dxa"/>
            <w:tcBorders>
              <w:bottom w:val="single" w:sz="1" w:space="0" w:color="000000"/>
            </w:tcBorders>
          </w:tcPr>
          <w:p>
            <w:pPr>
              <w:pStyle w:val="TableParagraph"/>
              <w:spacing w:before="20"/>
              <w:ind w:right="215"/>
              <w:jc w:val="right"/>
              <w:rPr>
                <w:sz w:val="16"/>
              </w:rPr>
            </w:pPr>
            <w:r>
              <w:rPr>
                <w:sz w:val="16"/>
              </w:rPr>
              <w:t>(453)</w:t>
            </w:r>
          </w:p>
        </w:tc>
        <w:tc>
          <w:tcPr>
            <w:tcW w:w="978" w:type="dxa"/>
            <w:tcBorders>
              <w:bottom w:val="single" w:sz="1" w:space="0" w:color="000000"/>
            </w:tcBorders>
          </w:tcPr>
          <w:p>
            <w:pPr>
              <w:pStyle w:val="TableParagraph"/>
              <w:spacing w:before="20"/>
              <w:ind w:right="26"/>
              <w:jc w:val="right"/>
              <w:rPr>
                <w:sz w:val="16"/>
              </w:rPr>
            </w:pPr>
            <w:r>
              <w:rPr>
                <w:sz w:val="16"/>
              </w:rPr>
              <w:t>(523)</w:t>
            </w:r>
          </w:p>
        </w:tc>
      </w:tr>
      <w:tr>
        <w:trPr>
          <w:trHeight w:val="317" w:hRule="exact"/>
        </w:trPr>
        <w:tc>
          <w:tcPr>
            <w:tcW w:w="4847" w:type="dxa"/>
          </w:tcPr>
          <w:p>
            <w:pPr>
              <w:pStyle w:val="TableParagraph"/>
              <w:spacing w:before="124"/>
              <w:ind w:left="35"/>
              <w:rPr>
                <w:b/>
                <w:sz w:val="16"/>
              </w:rPr>
            </w:pPr>
            <w:r>
              <w:rPr>
                <w:b/>
                <w:sz w:val="16"/>
              </w:rPr>
              <w:t>Net book amount at 1 January 2016</w:t>
            </w:r>
          </w:p>
        </w:tc>
        <w:tc>
          <w:tcPr>
            <w:tcW w:w="1282" w:type="dxa"/>
            <w:tcBorders>
              <w:top w:val="single" w:sz="1" w:space="0" w:color="000000"/>
              <w:bottom w:val="single" w:sz="1" w:space="0" w:color="000000"/>
            </w:tcBorders>
          </w:tcPr>
          <w:p>
            <w:pPr>
              <w:pStyle w:val="TableParagraph"/>
              <w:spacing w:before="123"/>
              <w:ind w:right="194"/>
              <w:jc w:val="right"/>
              <w:rPr>
                <w:sz w:val="16"/>
              </w:rPr>
            </w:pPr>
            <w:r>
              <w:rPr>
                <w:sz w:val="16"/>
              </w:rPr>
              <w:t>263</w:t>
            </w:r>
          </w:p>
        </w:tc>
        <w:tc>
          <w:tcPr>
            <w:tcW w:w="1144" w:type="dxa"/>
            <w:tcBorders>
              <w:top w:val="single" w:sz="1" w:space="0" w:color="000000"/>
              <w:bottom w:val="single" w:sz="1" w:space="0" w:color="000000"/>
            </w:tcBorders>
          </w:tcPr>
          <w:p>
            <w:pPr>
              <w:pStyle w:val="TableParagraph"/>
              <w:spacing w:before="123"/>
              <w:ind w:right="172"/>
              <w:jc w:val="right"/>
              <w:rPr>
                <w:sz w:val="16"/>
              </w:rPr>
            </w:pPr>
            <w:r>
              <w:rPr>
                <w:sz w:val="16"/>
              </w:rPr>
              <w:t>260</w:t>
            </w:r>
          </w:p>
        </w:tc>
        <w:tc>
          <w:tcPr>
            <w:tcW w:w="1263" w:type="dxa"/>
            <w:tcBorders>
              <w:top w:val="single" w:sz="1" w:space="0" w:color="000000"/>
              <w:bottom w:val="single" w:sz="1" w:space="0" w:color="000000"/>
            </w:tcBorders>
          </w:tcPr>
          <w:p>
            <w:pPr>
              <w:pStyle w:val="TableParagraph"/>
              <w:spacing w:before="123"/>
              <w:ind w:right="267"/>
              <w:jc w:val="right"/>
              <w:rPr>
                <w:sz w:val="16"/>
              </w:rPr>
            </w:pPr>
            <w:r>
              <w:rPr>
                <w:sz w:val="16"/>
              </w:rPr>
              <w:t>4,811</w:t>
            </w:r>
          </w:p>
        </w:tc>
        <w:tc>
          <w:tcPr>
            <w:tcW w:w="978" w:type="dxa"/>
            <w:tcBorders>
              <w:top w:val="single" w:sz="1" w:space="0" w:color="000000"/>
              <w:bottom w:val="single" w:sz="1" w:space="0" w:color="000000"/>
            </w:tcBorders>
          </w:tcPr>
          <w:p>
            <w:pPr>
              <w:pStyle w:val="TableParagraph"/>
              <w:spacing w:before="123"/>
              <w:ind w:right="79"/>
              <w:jc w:val="right"/>
              <w:rPr>
                <w:sz w:val="16"/>
              </w:rPr>
            </w:pPr>
            <w:r>
              <w:rPr>
                <w:sz w:val="16"/>
              </w:rPr>
              <w:t>5,334</w:t>
            </w:r>
          </w:p>
        </w:tc>
      </w:tr>
      <w:tr>
        <w:trPr>
          <w:trHeight w:val="859" w:hRule="exact"/>
        </w:trPr>
        <w:tc>
          <w:tcPr>
            <w:tcW w:w="4847" w:type="dxa"/>
          </w:tcPr>
          <w:p>
            <w:pPr>
              <w:pStyle w:val="TableParagraph"/>
              <w:rPr>
                <w:b/>
                <w:sz w:val="16"/>
              </w:rPr>
            </w:pPr>
          </w:p>
          <w:p>
            <w:pPr>
              <w:pStyle w:val="TableParagraph"/>
              <w:spacing w:before="8"/>
              <w:rPr>
                <w:b/>
                <w:sz w:val="20"/>
              </w:rPr>
            </w:pPr>
          </w:p>
          <w:p>
            <w:pPr>
              <w:pStyle w:val="TableParagraph"/>
              <w:ind w:left="35"/>
              <w:rPr>
                <w:b/>
                <w:sz w:val="16"/>
              </w:rPr>
            </w:pPr>
            <w:r>
              <w:rPr>
                <w:b/>
                <w:sz w:val="16"/>
              </w:rPr>
              <w:t>Year ended 31 December 2016</w:t>
            </w:r>
          </w:p>
          <w:p>
            <w:pPr>
              <w:pStyle w:val="TableParagraph"/>
              <w:spacing w:before="32"/>
              <w:ind w:left="35"/>
              <w:rPr>
                <w:sz w:val="16"/>
              </w:rPr>
            </w:pPr>
            <w:r>
              <w:rPr>
                <w:sz w:val="16"/>
              </w:rPr>
              <w:t>Opening net book amount</w:t>
            </w:r>
          </w:p>
        </w:tc>
        <w:tc>
          <w:tcPr>
            <w:tcW w:w="1282" w:type="dxa"/>
            <w:tcBorders>
              <w:top w:val="single" w:sz="1" w:space="0" w:color="000000"/>
            </w:tcBorders>
          </w:tcPr>
          <w:p>
            <w:pPr>
              <w:pStyle w:val="TableParagraph"/>
              <w:rPr>
                <w:b/>
                <w:sz w:val="16"/>
              </w:rPr>
            </w:pPr>
          </w:p>
          <w:p>
            <w:pPr>
              <w:pStyle w:val="TableParagraph"/>
              <w:rPr>
                <w:b/>
                <w:sz w:val="16"/>
              </w:rPr>
            </w:pPr>
          </w:p>
          <w:p>
            <w:pPr>
              <w:pStyle w:val="TableParagraph"/>
              <w:spacing w:before="2"/>
              <w:rPr>
                <w:b/>
                <w:sz w:val="23"/>
              </w:rPr>
            </w:pPr>
          </w:p>
          <w:p>
            <w:pPr>
              <w:pStyle w:val="TableParagraph"/>
              <w:ind w:right="194"/>
              <w:jc w:val="right"/>
              <w:rPr>
                <w:sz w:val="16"/>
              </w:rPr>
            </w:pPr>
            <w:r>
              <w:rPr>
                <w:sz w:val="16"/>
              </w:rPr>
              <w:t>263</w:t>
            </w:r>
          </w:p>
        </w:tc>
        <w:tc>
          <w:tcPr>
            <w:tcW w:w="1144" w:type="dxa"/>
            <w:tcBorders>
              <w:top w:val="single" w:sz="1" w:space="0" w:color="000000"/>
            </w:tcBorders>
          </w:tcPr>
          <w:p>
            <w:pPr>
              <w:pStyle w:val="TableParagraph"/>
              <w:rPr>
                <w:b/>
                <w:sz w:val="16"/>
              </w:rPr>
            </w:pPr>
          </w:p>
          <w:p>
            <w:pPr>
              <w:pStyle w:val="TableParagraph"/>
              <w:rPr>
                <w:b/>
                <w:sz w:val="16"/>
              </w:rPr>
            </w:pPr>
          </w:p>
          <w:p>
            <w:pPr>
              <w:pStyle w:val="TableParagraph"/>
              <w:spacing w:before="2"/>
              <w:rPr>
                <w:b/>
                <w:sz w:val="23"/>
              </w:rPr>
            </w:pPr>
          </w:p>
          <w:p>
            <w:pPr>
              <w:pStyle w:val="TableParagraph"/>
              <w:ind w:right="172"/>
              <w:jc w:val="right"/>
              <w:rPr>
                <w:sz w:val="16"/>
              </w:rPr>
            </w:pPr>
            <w:r>
              <w:rPr>
                <w:sz w:val="16"/>
              </w:rPr>
              <w:t>260</w:t>
            </w:r>
          </w:p>
        </w:tc>
        <w:tc>
          <w:tcPr>
            <w:tcW w:w="1263" w:type="dxa"/>
            <w:tcBorders>
              <w:top w:val="single" w:sz="1" w:space="0" w:color="000000"/>
            </w:tcBorders>
          </w:tcPr>
          <w:p>
            <w:pPr>
              <w:pStyle w:val="TableParagraph"/>
              <w:rPr>
                <w:b/>
                <w:sz w:val="16"/>
              </w:rPr>
            </w:pPr>
          </w:p>
          <w:p>
            <w:pPr>
              <w:pStyle w:val="TableParagraph"/>
              <w:rPr>
                <w:b/>
                <w:sz w:val="16"/>
              </w:rPr>
            </w:pPr>
          </w:p>
          <w:p>
            <w:pPr>
              <w:pStyle w:val="TableParagraph"/>
              <w:spacing w:before="2"/>
              <w:rPr>
                <w:b/>
                <w:sz w:val="23"/>
              </w:rPr>
            </w:pPr>
          </w:p>
          <w:p>
            <w:pPr>
              <w:pStyle w:val="TableParagraph"/>
              <w:ind w:right="267"/>
              <w:jc w:val="right"/>
              <w:rPr>
                <w:sz w:val="16"/>
              </w:rPr>
            </w:pPr>
            <w:r>
              <w:rPr>
                <w:sz w:val="16"/>
              </w:rPr>
              <w:t>4,811</w:t>
            </w:r>
          </w:p>
        </w:tc>
        <w:tc>
          <w:tcPr>
            <w:tcW w:w="978" w:type="dxa"/>
            <w:tcBorders>
              <w:top w:val="single" w:sz="1" w:space="0" w:color="000000"/>
            </w:tcBorders>
          </w:tcPr>
          <w:p>
            <w:pPr>
              <w:pStyle w:val="TableParagraph"/>
              <w:rPr>
                <w:b/>
                <w:sz w:val="16"/>
              </w:rPr>
            </w:pPr>
          </w:p>
          <w:p>
            <w:pPr>
              <w:pStyle w:val="TableParagraph"/>
              <w:rPr>
                <w:b/>
                <w:sz w:val="16"/>
              </w:rPr>
            </w:pPr>
          </w:p>
          <w:p>
            <w:pPr>
              <w:pStyle w:val="TableParagraph"/>
              <w:spacing w:before="2"/>
              <w:rPr>
                <w:b/>
                <w:sz w:val="23"/>
              </w:rPr>
            </w:pPr>
          </w:p>
          <w:p>
            <w:pPr>
              <w:pStyle w:val="TableParagraph"/>
              <w:ind w:right="79"/>
              <w:jc w:val="right"/>
              <w:rPr>
                <w:sz w:val="16"/>
              </w:rPr>
            </w:pPr>
            <w:r>
              <w:rPr>
                <w:sz w:val="16"/>
              </w:rPr>
              <w:t>5,334</w:t>
            </w:r>
          </w:p>
        </w:tc>
      </w:tr>
      <w:tr>
        <w:trPr>
          <w:trHeight w:val="242" w:hRule="exact"/>
        </w:trPr>
        <w:tc>
          <w:tcPr>
            <w:tcW w:w="4847" w:type="dxa"/>
          </w:tcPr>
          <w:p>
            <w:pPr>
              <w:pStyle w:val="TableParagraph"/>
              <w:spacing w:before="22"/>
              <w:ind w:left="35"/>
              <w:rPr>
                <w:sz w:val="16"/>
              </w:rPr>
            </w:pPr>
            <w:r>
              <w:rPr>
                <w:sz w:val="16"/>
              </w:rPr>
              <w:t>Additions</w:t>
            </w:r>
          </w:p>
        </w:tc>
        <w:tc>
          <w:tcPr>
            <w:tcW w:w="1282" w:type="dxa"/>
          </w:tcPr>
          <w:p>
            <w:pPr>
              <w:pStyle w:val="TableParagraph"/>
              <w:spacing w:before="20"/>
              <w:ind w:right="194"/>
              <w:jc w:val="right"/>
              <w:rPr>
                <w:sz w:val="16"/>
              </w:rPr>
            </w:pPr>
            <w:r>
              <w:rPr>
                <w:w w:val="100"/>
                <w:sz w:val="16"/>
              </w:rPr>
              <w:t>-</w:t>
            </w:r>
          </w:p>
        </w:tc>
        <w:tc>
          <w:tcPr>
            <w:tcW w:w="1144" w:type="dxa"/>
          </w:tcPr>
          <w:p>
            <w:pPr>
              <w:pStyle w:val="TableParagraph"/>
              <w:spacing w:before="20"/>
              <w:ind w:right="171"/>
              <w:jc w:val="right"/>
              <w:rPr>
                <w:sz w:val="16"/>
              </w:rPr>
            </w:pPr>
            <w:r>
              <w:rPr>
                <w:w w:val="100"/>
                <w:sz w:val="16"/>
              </w:rPr>
              <w:t>-</w:t>
            </w:r>
          </w:p>
        </w:tc>
        <w:tc>
          <w:tcPr>
            <w:tcW w:w="1263" w:type="dxa"/>
          </w:tcPr>
          <w:p>
            <w:pPr>
              <w:pStyle w:val="TableParagraph"/>
              <w:spacing w:before="20"/>
              <w:ind w:right="267"/>
              <w:jc w:val="right"/>
              <w:rPr>
                <w:sz w:val="16"/>
              </w:rPr>
            </w:pPr>
            <w:r>
              <w:rPr>
                <w:sz w:val="16"/>
              </w:rPr>
              <w:t>6,161</w:t>
            </w:r>
          </w:p>
        </w:tc>
        <w:tc>
          <w:tcPr>
            <w:tcW w:w="978" w:type="dxa"/>
          </w:tcPr>
          <w:p>
            <w:pPr>
              <w:pStyle w:val="TableParagraph"/>
              <w:spacing w:before="20"/>
              <w:ind w:right="79"/>
              <w:jc w:val="right"/>
              <w:rPr>
                <w:sz w:val="16"/>
              </w:rPr>
            </w:pPr>
            <w:r>
              <w:rPr>
                <w:sz w:val="16"/>
              </w:rPr>
              <w:t>6,161</w:t>
            </w:r>
          </w:p>
        </w:tc>
      </w:tr>
      <w:tr>
        <w:trPr>
          <w:trHeight w:val="242" w:hRule="exact"/>
        </w:trPr>
        <w:tc>
          <w:tcPr>
            <w:tcW w:w="4847" w:type="dxa"/>
          </w:tcPr>
          <w:p>
            <w:pPr>
              <w:pStyle w:val="TableParagraph"/>
              <w:spacing w:before="22"/>
              <w:ind w:left="35"/>
              <w:rPr>
                <w:sz w:val="16"/>
              </w:rPr>
            </w:pPr>
            <w:r>
              <w:rPr>
                <w:sz w:val="16"/>
              </w:rPr>
              <w:t>Amortisation charge</w:t>
            </w:r>
          </w:p>
        </w:tc>
        <w:tc>
          <w:tcPr>
            <w:tcW w:w="1282" w:type="dxa"/>
          </w:tcPr>
          <w:p>
            <w:pPr>
              <w:pStyle w:val="TableParagraph"/>
              <w:spacing w:before="20"/>
              <w:ind w:right="141"/>
              <w:jc w:val="right"/>
              <w:rPr>
                <w:sz w:val="16"/>
              </w:rPr>
            </w:pPr>
            <w:r>
              <w:rPr>
                <w:sz w:val="16"/>
              </w:rPr>
              <w:t>(110)</w:t>
            </w:r>
          </w:p>
        </w:tc>
        <w:tc>
          <w:tcPr>
            <w:tcW w:w="1144" w:type="dxa"/>
          </w:tcPr>
          <w:p>
            <w:pPr>
              <w:pStyle w:val="TableParagraph"/>
              <w:spacing w:before="20"/>
              <w:ind w:right="119"/>
              <w:jc w:val="right"/>
              <w:rPr>
                <w:sz w:val="16"/>
              </w:rPr>
            </w:pPr>
            <w:r>
              <w:rPr>
                <w:sz w:val="16"/>
              </w:rPr>
              <w:t>(40)</w:t>
            </w:r>
          </w:p>
        </w:tc>
        <w:tc>
          <w:tcPr>
            <w:tcW w:w="1263" w:type="dxa"/>
          </w:tcPr>
          <w:p>
            <w:pPr>
              <w:pStyle w:val="TableParagraph"/>
              <w:spacing w:before="20"/>
              <w:ind w:right="215"/>
              <w:jc w:val="right"/>
              <w:rPr>
                <w:sz w:val="16"/>
              </w:rPr>
            </w:pPr>
            <w:r>
              <w:rPr>
                <w:sz w:val="16"/>
              </w:rPr>
              <w:t>(1,053)</w:t>
            </w:r>
          </w:p>
        </w:tc>
        <w:tc>
          <w:tcPr>
            <w:tcW w:w="978" w:type="dxa"/>
          </w:tcPr>
          <w:p>
            <w:pPr>
              <w:pStyle w:val="TableParagraph"/>
              <w:spacing w:before="20"/>
              <w:ind w:right="26"/>
              <w:jc w:val="right"/>
              <w:rPr>
                <w:sz w:val="16"/>
              </w:rPr>
            </w:pPr>
            <w:r>
              <w:rPr>
                <w:sz w:val="16"/>
              </w:rPr>
              <w:t>(1,203)</w:t>
            </w:r>
          </w:p>
        </w:tc>
      </w:tr>
      <w:tr>
        <w:trPr>
          <w:trHeight w:val="241" w:hRule="exact"/>
        </w:trPr>
        <w:tc>
          <w:tcPr>
            <w:tcW w:w="4847" w:type="dxa"/>
          </w:tcPr>
          <w:p>
            <w:pPr>
              <w:pStyle w:val="TableParagraph"/>
              <w:spacing w:before="22"/>
              <w:ind w:left="35"/>
              <w:rPr>
                <w:sz w:val="16"/>
              </w:rPr>
            </w:pPr>
            <w:r>
              <w:rPr>
                <w:sz w:val="16"/>
              </w:rPr>
              <w:t>Non-Cash Adjustments</w:t>
            </w:r>
          </w:p>
        </w:tc>
        <w:tc>
          <w:tcPr>
            <w:tcW w:w="1282" w:type="dxa"/>
            <w:tcBorders>
              <w:bottom w:val="single" w:sz="1" w:space="0" w:color="000000"/>
            </w:tcBorders>
          </w:tcPr>
          <w:p>
            <w:pPr>
              <w:pStyle w:val="TableParagraph"/>
              <w:spacing w:before="20"/>
              <w:ind w:right="194"/>
              <w:jc w:val="right"/>
              <w:rPr>
                <w:sz w:val="16"/>
              </w:rPr>
            </w:pPr>
            <w:r>
              <w:rPr>
                <w:w w:val="100"/>
                <w:sz w:val="16"/>
              </w:rPr>
              <w:t>1</w:t>
            </w:r>
          </w:p>
        </w:tc>
        <w:tc>
          <w:tcPr>
            <w:tcW w:w="1144" w:type="dxa"/>
            <w:tcBorders>
              <w:bottom w:val="single" w:sz="1" w:space="0" w:color="000000"/>
            </w:tcBorders>
          </w:tcPr>
          <w:p>
            <w:pPr>
              <w:pStyle w:val="TableParagraph"/>
              <w:spacing w:before="20"/>
              <w:ind w:right="171"/>
              <w:jc w:val="right"/>
              <w:rPr>
                <w:sz w:val="16"/>
              </w:rPr>
            </w:pPr>
            <w:r>
              <w:rPr>
                <w:w w:val="100"/>
                <w:sz w:val="16"/>
              </w:rPr>
              <w:t>1</w:t>
            </w:r>
          </w:p>
        </w:tc>
        <w:tc>
          <w:tcPr>
            <w:tcW w:w="1263" w:type="dxa"/>
            <w:tcBorders>
              <w:bottom w:val="single" w:sz="1" w:space="0" w:color="000000"/>
            </w:tcBorders>
          </w:tcPr>
          <w:p>
            <w:pPr>
              <w:pStyle w:val="TableParagraph"/>
              <w:spacing w:before="20"/>
              <w:ind w:right="267"/>
              <w:jc w:val="right"/>
              <w:rPr>
                <w:sz w:val="16"/>
              </w:rPr>
            </w:pPr>
            <w:r>
              <w:rPr>
                <w:w w:val="100"/>
                <w:sz w:val="16"/>
              </w:rPr>
              <w:t>-</w:t>
            </w:r>
          </w:p>
        </w:tc>
        <w:tc>
          <w:tcPr>
            <w:tcW w:w="978" w:type="dxa"/>
            <w:tcBorders>
              <w:bottom w:val="single" w:sz="1" w:space="0" w:color="000000"/>
            </w:tcBorders>
          </w:tcPr>
          <w:p>
            <w:pPr>
              <w:pStyle w:val="TableParagraph"/>
              <w:spacing w:before="20"/>
              <w:ind w:right="80"/>
              <w:jc w:val="right"/>
              <w:rPr>
                <w:sz w:val="16"/>
              </w:rPr>
            </w:pPr>
            <w:r>
              <w:rPr>
                <w:w w:val="100"/>
                <w:sz w:val="16"/>
              </w:rPr>
              <w:t>2</w:t>
            </w:r>
          </w:p>
        </w:tc>
      </w:tr>
      <w:tr>
        <w:trPr>
          <w:trHeight w:val="317" w:hRule="exact"/>
        </w:trPr>
        <w:tc>
          <w:tcPr>
            <w:tcW w:w="4847" w:type="dxa"/>
          </w:tcPr>
          <w:p>
            <w:pPr>
              <w:pStyle w:val="TableParagraph"/>
              <w:spacing w:before="124"/>
              <w:ind w:left="35"/>
              <w:rPr>
                <w:b/>
                <w:sz w:val="16"/>
              </w:rPr>
            </w:pPr>
            <w:r>
              <w:rPr>
                <w:b/>
                <w:sz w:val="16"/>
              </w:rPr>
              <w:t>Net book amount at 31 December 2016</w:t>
            </w:r>
          </w:p>
        </w:tc>
        <w:tc>
          <w:tcPr>
            <w:tcW w:w="1282" w:type="dxa"/>
            <w:tcBorders>
              <w:top w:val="single" w:sz="1" w:space="0" w:color="000000"/>
              <w:bottom w:val="single" w:sz="1" w:space="0" w:color="000000"/>
            </w:tcBorders>
          </w:tcPr>
          <w:p>
            <w:pPr>
              <w:pStyle w:val="TableParagraph"/>
              <w:spacing w:before="123"/>
              <w:ind w:right="194"/>
              <w:jc w:val="right"/>
              <w:rPr>
                <w:sz w:val="16"/>
              </w:rPr>
            </w:pPr>
            <w:r>
              <w:rPr>
                <w:sz w:val="16"/>
              </w:rPr>
              <w:t>154</w:t>
            </w:r>
          </w:p>
        </w:tc>
        <w:tc>
          <w:tcPr>
            <w:tcW w:w="1144" w:type="dxa"/>
            <w:tcBorders>
              <w:top w:val="single" w:sz="1" w:space="0" w:color="000000"/>
              <w:bottom w:val="single" w:sz="1" w:space="0" w:color="000000"/>
            </w:tcBorders>
          </w:tcPr>
          <w:p>
            <w:pPr>
              <w:pStyle w:val="TableParagraph"/>
              <w:spacing w:before="123"/>
              <w:ind w:right="172"/>
              <w:jc w:val="right"/>
              <w:rPr>
                <w:sz w:val="16"/>
              </w:rPr>
            </w:pPr>
            <w:r>
              <w:rPr>
                <w:sz w:val="16"/>
              </w:rPr>
              <w:t>221</w:t>
            </w:r>
          </w:p>
        </w:tc>
        <w:tc>
          <w:tcPr>
            <w:tcW w:w="1263" w:type="dxa"/>
            <w:tcBorders>
              <w:top w:val="single" w:sz="1" w:space="0" w:color="000000"/>
              <w:bottom w:val="single" w:sz="1" w:space="0" w:color="000000"/>
            </w:tcBorders>
          </w:tcPr>
          <w:p>
            <w:pPr>
              <w:pStyle w:val="TableParagraph"/>
              <w:spacing w:before="123"/>
              <w:ind w:right="267"/>
              <w:jc w:val="right"/>
              <w:rPr>
                <w:sz w:val="16"/>
              </w:rPr>
            </w:pPr>
            <w:r>
              <w:rPr>
                <w:sz w:val="16"/>
              </w:rPr>
              <w:t>9,919</w:t>
            </w:r>
          </w:p>
        </w:tc>
        <w:tc>
          <w:tcPr>
            <w:tcW w:w="978" w:type="dxa"/>
            <w:tcBorders>
              <w:top w:val="single" w:sz="1" w:space="0" w:color="000000"/>
              <w:bottom w:val="single" w:sz="1" w:space="0" w:color="000000"/>
            </w:tcBorders>
          </w:tcPr>
          <w:p>
            <w:pPr>
              <w:pStyle w:val="TableParagraph"/>
              <w:spacing w:before="123"/>
              <w:ind w:left="406"/>
              <w:rPr>
                <w:sz w:val="16"/>
              </w:rPr>
            </w:pPr>
            <w:r>
              <w:rPr>
                <w:sz w:val="16"/>
              </w:rPr>
              <w:t>10,294</w:t>
            </w:r>
          </w:p>
        </w:tc>
      </w:tr>
      <w:tr>
        <w:trPr>
          <w:trHeight w:val="859" w:hRule="exact"/>
        </w:trPr>
        <w:tc>
          <w:tcPr>
            <w:tcW w:w="4847" w:type="dxa"/>
          </w:tcPr>
          <w:p>
            <w:pPr>
              <w:pStyle w:val="TableParagraph"/>
              <w:rPr>
                <w:b/>
                <w:sz w:val="16"/>
              </w:rPr>
            </w:pPr>
          </w:p>
          <w:p>
            <w:pPr>
              <w:pStyle w:val="TableParagraph"/>
              <w:spacing w:before="8"/>
              <w:rPr>
                <w:b/>
                <w:sz w:val="20"/>
              </w:rPr>
            </w:pPr>
          </w:p>
          <w:p>
            <w:pPr>
              <w:pStyle w:val="TableParagraph"/>
              <w:ind w:left="35"/>
              <w:rPr>
                <w:b/>
                <w:sz w:val="16"/>
              </w:rPr>
            </w:pPr>
            <w:r>
              <w:rPr>
                <w:b/>
                <w:sz w:val="16"/>
              </w:rPr>
              <w:t>At 31 December 2016</w:t>
            </w:r>
          </w:p>
          <w:p>
            <w:pPr>
              <w:pStyle w:val="TableParagraph"/>
              <w:spacing w:before="32"/>
              <w:ind w:left="35"/>
              <w:rPr>
                <w:sz w:val="16"/>
              </w:rPr>
            </w:pPr>
            <w:r>
              <w:rPr>
                <w:sz w:val="16"/>
              </w:rPr>
              <w:t>- Cost</w:t>
            </w:r>
          </w:p>
        </w:tc>
        <w:tc>
          <w:tcPr>
            <w:tcW w:w="1282" w:type="dxa"/>
            <w:tcBorders>
              <w:top w:val="single" w:sz="1" w:space="0" w:color="000000"/>
            </w:tcBorders>
          </w:tcPr>
          <w:p>
            <w:pPr>
              <w:pStyle w:val="TableParagraph"/>
              <w:rPr>
                <w:b/>
                <w:sz w:val="16"/>
              </w:rPr>
            </w:pPr>
          </w:p>
          <w:p>
            <w:pPr>
              <w:pStyle w:val="TableParagraph"/>
              <w:rPr>
                <w:b/>
                <w:sz w:val="16"/>
              </w:rPr>
            </w:pPr>
          </w:p>
          <w:p>
            <w:pPr>
              <w:pStyle w:val="TableParagraph"/>
              <w:spacing w:before="2"/>
              <w:rPr>
                <w:b/>
                <w:sz w:val="23"/>
              </w:rPr>
            </w:pPr>
          </w:p>
          <w:p>
            <w:pPr>
              <w:pStyle w:val="TableParagraph"/>
              <w:ind w:right="194"/>
              <w:jc w:val="right"/>
              <w:rPr>
                <w:sz w:val="16"/>
              </w:rPr>
            </w:pPr>
            <w:r>
              <w:rPr>
                <w:sz w:val="16"/>
              </w:rPr>
              <w:t>264</w:t>
            </w:r>
          </w:p>
        </w:tc>
        <w:tc>
          <w:tcPr>
            <w:tcW w:w="1144" w:type="dxa"/>
            <w:tcBorders>
              <w:top w:val="single" w:sz="1" w:space="0" w:color="000000"/>
            </w:tcBorders>
          </w:tcPr>
          <w:p>
            <w:pPr>
              <w:pStyle w:val="TableParagraph"/>
              <w:rPr>
                <w:b/>
                <w:sz w:val="16"/>
              </w:rPr>
            </w:pPr>
          </w:p>
          <w:p>
            <w:pPr>
              <w:pStyle w:val="TableParagraph"/>
              <w:rPr>
                <w:b/>
                <w:sz w:val="16"/>
              </w:rPr>
            </w:pPr>
          </w:p>
          <w:p>
            <w:pPr>
              <w:pStyle w:val="TableParagraph"/>
              <w:spacing w:before="2"/>
              <w:rPr>
                <w:b/>
                <w:sz w:val="23"/>
              </w:rPr>
            </w:pPr>
          </w:p>
          <w:p>
            <w:pPr>
              <w:pStyle w:val="TableParagraph"/>
              <w:ind w:right="172"/>
              <w:jc w:val="right"/>
              <w:rPr>
                <w:sz w:val="16"/>
              </w:rPr>
            </w:pPr>
            <w:r>
              <w:rPr>
                <w:sz w:val="16"/>
              </w:rPr>
              <w:t>331</w:t>
            </w:r>
          </w:p>
        </w:tc>
        <w:tc>
          <w:tcPr>
            <w:tcW w:w="1263" w:type="dxa"/>
            <w:tcBorders>
              <w:top w:val="single" w:sz="1" w:space="0" w:color="000000"/>
            </w:tcBorders>
          </w:tcPr>
          <w:p>
            <w:pPr>
              <w:pStyle w:val="TableParagraph"/>
              <w:rPr>
                <w:b/>
                <w:sz w:val="16"/>
              </w:rPr>
            </w:pPr>
          </w:p>
          <w:p>
            <w:pPr>
              <w:pStyle w:val="TableParagraph"/>
              <w:rPr>
                <w:b/>
                <w:sz w:val="16"/>
              </w:rPr>
            </w:pPr>
          </w:p>
          <w:p>
            <w:pPr>
              <w:pStyle w:val="TableParagraph"/>
              <w:spacing w:before="2"/>
              <w:rPr>
                <w:b/>
                <w:sz w:val="23"/>
              </w:rPr>
            </w:pPr>
          </w:p>
          <w:p>
            <w:pPr>
              <w:pStyle w:val="TableParagraph"/>
              <w:ind w:right="267"/>
              <w:jc w:val="right"/>
              <w:rPr>
                <w:sz w:val="16"/>
              </w:rPr>
            </w:pPr>
            <w:r>
              <w:rPr>
                <w:sz w:val="16"/>
              </w:rPr>
              <w:t>11,425</w:t>
            </w:r>
          </w:p>
        </w:tc>
        <w:tc>
          <w:tcPr>
            <w:tcW w:w="978" w:type="dxa"/>
            <w:tcBorders>
              <w:top w:val="single" w:sz="1" w:space="0" w:color="000000"/>
            </w:tcBorders>
          </w:tcPr>
          <w:p>
            <w:pPr>
              <w:pStyle w:val="TableParagraph"/>
              <w:rPr>
                <w:b/>
                <w:sz w:val="16"/>
              </w:rPr>
            </w:pPr>
          </w:p>
          <w:p>
            <w:pPr>
              <w:pStyle w:val="TableParagraph"/>
              <w:rPr>
                <w:b/>
                <w:sz w:val="16"/>
              </w:rPr>
            </w:pPr>
          </w:p>
          <w:p>
            <w:pPr>
              <w:pStyle w:val="TableParagraph"/>
              <w:spacing w:before="2"/>
              <w:rPr>
                <w:b/>
                <w:sz w:val="23"/>
              </w:rPr>
            </w:pPr>
          </w:p>
          <w:p>
            <w:pPr>
              <w:pStyle w:val="TableParagraph"/>
              <w:ind w:left="406"/>
              <w:rPr>
                <w:sz w:val="16"/>
              </w:rPr>
            </w:pPr>
            <w:r>
              <w:rPr>
                <w:sz w:val="16"/>
              </w:rPr>
              <w:t>12,020</w:t>
            </w:r>
          </w:p>
        </w:tc>
      </w:tr>
      <w:tr>
        <w:trPr>
          <w:trHeight w:val="241" w:hRule="exact"/>
        </w:trPr>
        <w:tc>
          <w:tcPr>
            <w:tcW w:w="4847" w:type="dxa"/>
          </w:tcPr>
          <w:p>
            <w:pPr>
              <w:pStyle w:val="TableParagraph"/>
              <w:spacing w:before="20"/>
              <w:ind w:left="35"/>
              <w:rPr>
                <w:sz w:val="16"/>
              </w:rPr>
            </w:pPr>
            <w:r>
              <w:rPr>
                <w:sz w:val="16"/>
              </w:rPr>
              <w:t>- Accumulated amortisation and impairment</w:t>
            </w:r>
          </w:p>
        </w:tc>
        <w:tc>
          <w:tcPr>
            <w:tcW w:w="1282" w:type="dxa"/>
            <w:tcBorders>
              <w:bottom w:val="single" w:sz="1" w:space="0" w:color="000000"/>
            </w:tcBorders>
          </w:tcPr>
          <w:p>
            <w:pPr>
              <w:pStyle w:val="TableParagraph"/>
              <w:spacing w:before="20"/>
              <w:ind w:right="141"/>
              <w:jc w:val="right"/>
              <w:rPr>
                <w:sz w:val="16"/>
              </w:rPr>
            </w:pPr>
            <w:r>
              <w:rPr>
                <w:sz w:val="16"/>
              </w:rPr>
              <w:t>(110)</w:t>
            </w:r>
          </w:p>
        </w:tc>
        <w:tc>
          <w:tcPr>
            <w:tcW w:w="1144" w:type="dxa"/>
            <w:tcBorders>
              <w:bottom w:val="single" w:sz="1" w:space="0" w:color="000000"/>
            </w:tcBorders>
          </w:tcPr>
          <w:p>
            <w:pPr>
              <w:pStyle w:val="TableParagraph"/>
              <w:spacing w:before="20"/>
              <w:ind w:right="119"/>
              <w:jc w:val="right"/>
              <w:rPr>
                <w:sz w:val="16"/>
              </w:rPr>
            </w:pPr>
            <w:r>
              <w:rPr>
                <w:sz w:val="16"/>
              </w:rPr>
              <w:t>(110)</w:t>
            </w:r>
          </w:p>
        </w:tc>
        <w:tc>
          <w:tcPr>
            <w:tcW w:w="1263" w:type="dxa"/>
            <w:tcBorders>
              <w:bottom w:val="single" w:sz="1" w:space="0" w:color="000000"/>
            </w:tcBorders>
          </w:tcPr>
          <w:p>
            <w:pPr>
              <w:pStyle w:val="TableParagraph"/>
              <w:spacing w:before="20"/>
              <w:ind w:right="215"/>
              <w:jc w:val="right"/>
              <w:rPr>
                <w:sz w:val="16"/>
              </w:rPr>
            </w:pPr>
            <w:r>
              <w:rPr>
                <w:sz w:val="16"/>
              </w:rPr>
              <w:t>(1,506)</w:t>
            </w:r>
          </w:p>
        </w:tc>
        <w:tc>
          <w:tcPr>
            <w:tcW w:w="978" w:type="dxa"/>
            <w:tcBorders>
              <w:bottom w:val="single" w:sz="1" w:space="0" w:color="000000"/>
            </w:tcBorders>
          </w:tcPr>
          <w:p>
            <w:pPr>
              <w:pStyle w:val="TableParagraph"/>
              <w:spacing w:before="20"/>
              <w:ind w:right="26"/>
              <w:jc w:val="right"/>
              <w:rPr>
                <w:sz w:val="16"/>
              </w:rPr>
            </w:pPr>
            <w:r>
              <w:rPr>
                <w:sz w:val="16"/>
              </w:rPr>
              <w:t>(1,726)</w:t>
            </w:r>
          </w:p>
        </w:tc>
      </w:tr>
      <w:tr>
        <w:trPr>
          <w:trHeight w:val="317" w:hRule="exact"/>
        </w:trPr>
        <w:tc>
          <w:tcPr>
            <w:tcW w:w="4847" w:type="dxa"/>
          </w:tcPr>
          <w:p>
            <w:pPr>
              <w:pStyle w:val="TableParagraph"/>
              <w:spacing w:before="124"/>
              <w:ind w:left="35"/>
              <w:rPr>
                <w:b/>
                <w:sz w:val="16"/>
              </w:rPr>
            </w:pPr>
            <w:r>
              <w:rPr>
                <w:b/>
                <w:sz w:val="16"/>
              </w:rPr>
              <w:t>Net book amount at 31 December 2016</w:t>
            </w:r>
          </w:p>
        </w:tc>
        <w:tc>
          <w:tcPr>
            <w:tcW w:w="1282" w:type="dxa"/>
            <w:tcBorders>
              <w:top w:val="single" w:sz="1" w:space="0" w:color="000000"/>
              <w:bottom w:val="single" w:sz="1" w:space="0" w:color="000000"/>
            </w:tcBorders>
          </w:tcPr>
          <w:p>
            <w:pPr>
              <w:pStyle w:val="TableParagraph"/>
              <w:spacing w:before="123"/>
              <w:ind w:right="194"/>
              <w:jc w:val="right"/>
              <w:rPr>
                <w:sz w:val="16"/>
              </w:rPr>
            </w:pPr>
            <w:r>
              <w:rPr>
                <w:sz w:val="16"/>
              </w:rPr>
              <w:t>154</w:t>
            </w:r>
          </w:p>
        </w:tc>
        <w:tc>
          <w:tcPr>
            <w:tcW w:w="1144" w:type="dxa"/>
            <w:tcBorders>
              <w:top w:val="single" w:sz="1" w:space="0" w:color="000000"/>
              <w:bottom w:val="single" w:sz="1" w:space="0" w:color="000000"/>
            </w:tcBorders>
          </w:tcPr>
          <w:p>
            <w:pPr>
              <w:pStyle w:val="TableParagraph"/>
              <w:spacing w:before="123"/>
              <w:ind w:right="172"/>
              <w:jc w:val="right"/>
              <w:rPr>
                <w:sz w:val="16"/>
              </w:rPr>
            </w:pPr>
            <w:r>
              <w:rPr>
                <w:sz w:val="16"/>
              </w:rPr>
              <w:t>221</w:t>
            </w:r>
          </w:p>
        </w:tc>
        <w:tc>
          <w:tcPr>
            <w:tcW w:w="1263" w:type="dxa"/>
            <w:tcBorders>
              <w:top w:val="single" w:sz="1" w:space="0" w:color="000000"/>
              <w:bottom w:val="single" w:sz="1" w:space="0" w:color="000000"/>
            </w:tcBorders>
          </w:tcPr>
          <w:p>
            <w:pPr>
              <w:pStyle w:val="TableParagraph"/>
              <w:spacing w:before="123"/>
              <w:ind w:right="267"/>
              <w:jc w:val="right"/>
              <w:rPr>
                <w:sz w:val="16"/>
              </w:rPr>
            </w:pPr>
            <w:r>
              <w:rPr>
                <w:sz w:val="16"/>
              </w:rPr>
              <w:t>9,919</w:t>
            </w:r>
          </w:p>
        </w:tc>
        <w:tc>
          <w:tcPr>
            <w:tcW w:w="978" w:type="dxa"/>
            <w:tcBorders>
              <w:top w:val="single" w:sz="1" w:space="0" w:color="000000"/>
              <w:bottom w:val="single" w:sz="1" w:space="0" w:color="000000"/>
            </w:tcBorders>
          </w:tcPr>
          <w:p>
            <w:pPr>
              <w:pStyle w:val="TableParagraph"/>
              <w:spacing w:before="123"/>
              <w:ind w:left="406"/>
              <w:rPr>
                <w:sz w:val="16"/>
              </w:rPr>
            </w:pPr>
            <w:r>
              <w:rPr>
                <w:sz w:val="16"/>
              </w:rPr>
              <w:t>10,294</w:t>
            </w:r>
          </w:p>
        </w:tc>
      </w:tr>
      <w:tr>
        <w:trPr>
          <w:trHeight w:val="859" w:hRule="exact"/>
        </w:trPr>
        <w:tc>
          <w:tcPr>
            <w:tcW w:w="4847" w:type="dxa"/>
          </w:tcPr>
          <w:p>
            <w:pPr>
              <w:pStyle w:val="TableParagraph"/>
              <w:rPr>
                <w:b/>
                <w:sz w:val="16"/>
              </w:rPr>
            </w:pPr>
          </w:p>
          <w:p>
            <w:pPr>
              <w:pStyle w:val="TableParagraph"/>
              <w:spacing w:before="8"/>
              <w:rPr>
                <w:b/>
                <w:sz w:val="20"/>
              </w:rPr>
            </w:pPr>
          </w:p>
          <w:p>
            <w:pPr>
              <w:pStyle w:val="TableParagraph"/>
              <w:ind w:left="35"/>
              <w:rPr>
                <w:b/>
                <w:sz w:val="16"/>
              </w:rPr>
            </w:pPr>
            <w:r>
              <w:rPr>
                <w:b/>
                <w:sz w:val="16"/>
              </w:rPr>
              <w:t>Year ended 31 December 2017</w:t>
            </w:r>
          </w:p>
          <w:p>
            <w:pPr>
              <w:pStyle w:val="TableParagraph"/>
              <w:spacing w:before="32"/>
              <w:ind w:left="35"/>
              <w:rPr>
                <w:sz w:val="16"/>
              </w:rPr>
            </w:pPr>
            <w:r>
              <w:rPr>
                <w:sz w:val="16"/>
              </w:rPr>
              <w:t>Opening net book amount</w:t>
            </w:r>
          </w:p>
        </w:tc>
        <w:tc>
          <w:tcPr>
            <w:tcW w:w="1282" w:type="dxa"/>
            <w:tcBorders>
              <w:top w:val="single" w:sz="1" w:space="0" w:color="000000"/>
            </w:tcBorders>
          </w:tcPr>
          <w:p>
            <w:pPr>
              <w:pStyle w:val="TableParagraph"/>
              <w:rPr>
                <w:b/>
                <w:sz w:val="16"/>
              </w:rPr>
            </w:pPr>
          </w:p>
          <w:p>
            <w:pPr>
              <w:pStyle w:val="TableParagraph"/>
              <w:rPr>
                <w:b/>
                <w:sz w:val="16"/>
              </w:rPr>
            </w:pPr>
          </w:p>
          <w:p>
            <w:pPr>
              <w:pStyle w:val="TableParagraph"/>
              <w:spacing w:before="2"/>
              <w:rPr>
                <w:b/>
                <w:sz w:val="23"/>
              </w:rPr>
            </w:pPr>
          </w:p>
          <w:p>
            <w:pPr>
              <w:pStyle w:val="TableParagraph"/>
              <w:ind w:right="194"/>
              <w:jc w:val="right"/>
              <w:rPr>
                <w:sz w:val="16"/>
              </w:rPr>
            </w:pPr>
            <w:r>
              <w:rPr>
                <w:sz w:val="16"/>
              </w:rPr>
              <w:t>154</w:t>
            </w:r>
          </w:p>
        </w:tc>
        <w:tc>
          <w:tcPr>
            <w:tcW w:w="1144" w:type="dxa"/>
            <w:tcBorders>
              <w:top w:val="single" w:sz="1" w:space="0" w:color="000000"/>
            </w:tcBorders>
          </w:tcPr>
          <w:p>
            <w:pPr>
              <w:pStyle w:val="TableParagraph"/>
              <w:rPr>
                <w:b/>
                <w:sz w:val="16"/>
              </w:rPr>
            </w:pPr>
          </w:p>
          <w:p>
            <w:pPr>
              <w:pStyle w:val="TableParagraph"/>
              <w:rPr>
                <w:b/>
                <w:sz w:val="16"/>
              </w:rPr>
            </w:pPr>
          </w:p>
          <w:p>
            <w:pPr>
              <w:pStyle w:val="TableParagraph"/>
              <w:spacing w:before="2"/>
              <w:rPr>
                <w:b/>
                <w:sz w:val="23"/>
              </w:rPr>
            </w:pPr>
          </w:p>
          <w:p>
            <w:pPr>
              <w:pStyle w:val="TableParagraph"/>
              <w:ind w:right="172"/>
              <w:jc w:val="right"/>
              <w:rPr>
                <w:sz w:val="16"/>
              </w:rPr>
            </w:pPr>
            <w:r>
              <w:rPr>
                <w:sz w:val="16"/>
              </w:rPr>
              <w:t>221</w:t>
            </w:r>
          </w:p>
        </w:tc>
        <w:tc>
          <w:tcPr>
            <w:tcW w:w="1263" w:type="dxa"/>
            <w:tcBorders>
              <w:top w:val="single" w:sz="1" w:space="0" w:color="000000"/>
            </w:tcBorders>
          </w:tcPr>
          <w:p>
            <w:pPr>
              <w:pStyle w:val="TableParagraph"/>
              <w:rPr>
                <w:b/>
                <w:sz w:val="16"/>
              </w:rPr>
            </w:pPr>
          </w:p>
          <w:p>
            <w:pPr>
              <w:pStyle w:val="TableParagraph"/>
              <w:rPr>
                <w:b/>
                <w:sz w:val="16"/>
              </w:rPr>
            </w:pPr>
          </w:p>
          <w:p>
            <w:pPr>
              <w:pStyle w:val="TableParagraph"/>
              <w:spacing w:before="2"/>
              <w:rPr>
                <w:b/>
                <w:sz w:val="23"/>
              </w:rPr>
            </w:pPr>
          </w:p>
          <w:p>
            <w:pPr>
              <w:pStyle w:val="TableParagraph"/>
              <w:ind w:right="267"/>
              <w:jc w:val="right"/>
              <w:rPr>
                <w:sz w:val="16"/>
              </w:rPr>
            </w:pPr>
            <w:r>
              <w:rPr>
                <w:sz w:val="16"/>
              </w:rPr>
              <w:t>9,919</w:t>
            </w:r>
          </w:p>
        </w:tc>
        <w:tc>
          <w:tcPr>
            <w:tcW w:w="978" w:type="dxa"/>
            <w:tcBorders>
              <w:top w:val="single" w:sz="1" w:space="0" w:color="000000"/>
            </w:tcBorders>
          </w:tcPr>
          <w:p>
            <w:pPr>
              <w:pStyle w:val="TableParagraph"/>
              <w:rPr>
                <w:b/>
                <w:sz w:val="16"/>
              </w:rPr>
            </w:pPr>
          </w:p>
          <w:p>
            <w:pPr>
              <w:pStyle w:val="TableParagraph"/>
              <w:rPr>
                <w:b/>
                <w:sz w:val="16"/>
              </w:rPr>
            </w:pPr>
          </w:p>
          <w:p>
            <w:pPr>
              <w:pStyle w:val="TableParagraph"/>
              <w:spacing w:before="2"/>
              <w:rPr>
                <w:b/>
                <w:sz w:val="23"/>
              </w:rPr>
            </w:pPr>
          </w:p>
          <w:p>
            <w:pPr>
              <w:pStyle w:val="TableParagraph"/>
              <w:ind w:left="406"/>
              <w:rPr>
                <w:sz w:val="16"/>
              </w:rPr>
            </w:pPr>
            <w:r>
              <w:rPr>
                <w:sz w:val="16"/>
              </w:rPr>
              <w:t>10,294</w:t>
            </w:r>
          </w:p>
        </w:tc>
      </w:tr>
      <w:tr>
        <w:trPr>
          <w:trHeight w:val="242" w:hRule="exact"/>
        </w:trPr>
        <w:tc>
          <w:tcPr>
            <w:tcW w:w="4847" w:type="dxa"/>
          </w:tcPr>
          <w:p>
            <w:pPr>
              <w:pStyle w:val="TableParagraph"/>
              <w:spacing w:before="22"/>
              <w:ind w:left="35"/>
              <w:rPr>
                <w:sz w:val="16"/>
              </w:rPr>
            </w:pPr>
            <w:r>
              <w:rPr>
                <w:sz w:val="16"/>
              </w:rPr>
              <w:t>Additions</w:t>
            </w:r>
          </w:p>
        </w:tc>
        <w:tc>
          <w:tcPr>
            <w:tcW w:w="1282" w:type="dxa"/>
          </w:tcPr>
          <w:p>
            <w:pPr>
              <w:pStyle w:val="TableParagraph"/>
              <w:spacing w:before="20"/>
              <w:ind w:right="194"/>
              <w:jc w:val="right"/>
              <w:rPr>
                <w:sz w:val="16"/>
              </w:rPr>
            </w:pPr>
            <w:r>
              <w:rPr>
                <w:w w:val="100"/>
                <w:sz w:val="16"/>
              </w:rPr>
              <w:t>-</w:t>
            </w:r>
          </w:p>
        </w:tc>
        <w:tc>
          <w:tcPr>
            <w:tcW w:w="1144" w:type="dxa"/>
          </w:tcPr>
          <w:p>
            <w:pPr>
              <w:pStyle w:val="TableParagraph"/>
              <w:spacing w:before="20"/>
              <w:ind w:right="171"/>
              <w:jc w:val="right"/>
              <w:rPr>
                <w:sz w:val="16"/>
              </w:rPr>
            </w:pPr>
            <w:r>
              <w:rPr>
                <w:w w:val="100"/>
                <w:sz w:val="16"/>
              </w:rPr>
              <w:t>-</w:t>
            </w:r>
          </w:p>
        </w:tc>
        <w:tc>
          <w:tcPr>
            <w:tcW w:w="1263" w:type="dxa"/>
          </w:tcPr>
          <w:p>
            <w:pPr>
              <w:pStyle w:val="TableParagraph"/>
              <w:spacing w:before="20"/>
              <w:ind w:right="267"/>
              <w:jc w:val="right"/>
              <w:rPr>
                <w:sz w:val="16"/>
              </w:rPr>
            </w:pPr>
            <w:r>
              <w:rPr>
                <w:sz w:val="16"/>
              </w:rPr>
              <w:t>6,962</w:t>
            </w:r>
          </w:p>
        </w:tc>
        <w:tc>
          <w:tcPr>
            <w:tcW w:w="978" w:type="dxa"/>
          </w:tcPr>
          <w:p>
            <w:pPr>
              <w:pStyle w:val="TableParagraph"/>
              <w:spacing w:before="20"/>
              <w:ind w:right="79"/>
              <w:jc w:val="right"/>
              <w:rPr>
                <w:sz w:val="16"/>
              </w:rPr>
            </w:pPr>
            <w:r>
              <w:rPr>
                <w:sz w:val="16"/>
              </w:rPr>
              <w:t>6,962</w:t>
            </w:r>
          </w:p>
        </w:tc>
      </w:tr>
      <w:tr>
        <w:trPr>
          <w:trHeight w:val="241" w:hRule="exact"/>
        </w:trPr>
        <w:tc>
          <w:tcPr>
            <w:tcW w:w="4847" w:type="dxa"/>
          </w:tcPr>
          <w:p>
            <w:pPr>
              <w:pStyle w:val="TableParagraph"/>
              <w:spacing w:before="22"/>
              <w:ind w:left="35"/>
              <w:rPr>
                <w:sz w:val="16"/>
              </w:rPr>
            </w:pPr>
            <w:r>
              <w:rPr>
                <w:sz w:val="16"/>
              </w:rPr>
              <w:t>Amortisation charge</w:t>
            </w:r>
          </w:p>
        </w:tc>
        <w:tc>
          <w:tcPr>
            <w:tcW w:w="1282" w:type="dxa"/>
            <w:tcBorders>
              <w:bottom w:val="single" w:sz="1" w:space="0" w:color="000000"/>
            </w:tcBorders>
          </w:tcPr>
          <w:p>
            <w:pPr>
              <w:pStyle w:val="TableParagraph"/>
              <w:spacing w:before="20"/>
              <w:ind w:right="141"/>
              <w:jc w:val="right"/>
              <w:rPr>
                <w:sz w:val="16"/>
              </w:rPr>
            </w:pPr>
            <w:r>
              <w:rPr>
                <w:sz w:val="16"/>
              </w:rPr>
              <w:t>(154)</w:t>
            </w:r>
          </w:p>
        </w:tc>
        <w:tc>
          <w:tcPr>
            <w:tcW w:w="1144" w:type="dxa"/>
            <w:tcBorders>
              <w:bottom w:val="single" w:sz="1" w:space="0" w:color="000000"/>
            </w:tcBorders>
          </w:tcPr>
          <w:p>
            <w:pPr>
              <w:pStyle w:val="TableParagraph"/>
              <w:spacing w:before="20"/>
              <w:ind w:right="119"/>
              <w:jc w:val="right"/>
              <w:rPr>
                <w:sz w:val="16"/>
              </w:rPr>
            </w:pPr>
            <w:r>
              <w:rPr>
                <w:sz w:val="16"/>
              </w:rPr>
              <w:t>(30)</w:t>
            </w:r>
          </w:p>
        </w:tc>
        <w:tc>
          <w:tcPr>
            <w:tcW w:w="1263" w:type="dxa"/>
            <w:tcBorders>
              <w:bottom w:val="single" w:sz="1" w:space="0" w:color="000000"/>
            </w:tcBorders>
          </w:tcPr>
          <w:p>
            <w:pPr>
              <w:pStyle w:val="TableParagraph"/>
              <w:spacing w:before="20"/>
              <w:ind w:right="215"/>
              <w:jc w:val="right"/>
              <w:rPr>
                <w:sz w:val="16"/>
              </w:rPr>
            </w:pPr>
            <w:r>
              <w:rPr>
                <w:sz w:val="16"/>
              </w:rPr>
              <w:t>(2,284)</w:t>
            </w:r>
          </w:p>
        </w:tc>
        <w:tc>
          <w:tcPr>
            <w:tcW w:w="978" w:type="dxa"/>
            <w:tcBorders>
              <w:bottom w:val="single" w:sz="1" w:space="0" w:color="000000"/>
            </w:tcBorders>
          </w:tcPr>
          <w:p>
            <w:pPr>
              <w:pStyle w:val="TableParagraph"/>
              <w:spacing w:before="20"/>
              <w:ind w:right="26"/>
              <w:jc w:val="right"/>
              <w:rPr>
                <w:sz w:val="16"/>
              </w:rPr>
            </w:pPr>
            <w:r>
              <w:rPr>
                <w:sz w:val="16"/>
              </w:rPr>
              <w:t>(2,468)</w:t>
            </w:r>
          </w:p>
        </w:tc>
      </w:tr>
      <w:tr>
        <w:trPr>
          <w:trHeight w:val="317" w:hRule="exact"/>
        </w:trPr>
        <w:tc>
          <w:tcPr>
            <w:tcW w:w="4847" w:type="dxa"/>
          </w:tcPr>
          <w:p>
            <w:pPr>
              <w:pStyle w:val="TableParagraph"/>
              <w:spacing w:before="124"/>
              <w:ind w:left="35"/>
              <w:rPr>
                <w:b/>
                <w:sz w:val="16"/>
              </w:rPr>
            </w:pPr>
            <w:r>
              <w:rPr>
                <w:b/>
                <w:sz w:val="16"/>
              </w:rPr>
              <w:t>Net book amount at 31 December 2017</w:t>
            </w:r>
          </w:p>
        </w:tc>
        <w:tc>
          <w:tcPr>
            <w:tcW w:w="1282" w:type="dxa"/>
            <w:tcBorders>
              <w:top w:val="single" w:sz="1" w:space="0" w:color="000000"/>
              <w:bottom w:val="single" w:sz="1" w:space="0" w:color="000000"/>
            </w:tcBorders>
          </w:tcPr>
          <w:p>
            <w:pPr>
              <w:pStyle w:val="TableParagraph"/>
              <w:spacing w:before="123"/>
              <w:ind w:right="194"/>
              <w:jc w:val="right"/>
              <w:rPr>
                <w:b/>
                <w:sz w:val="16"/>
              </w:rPr>
            </w:pPr>
            <w:r>
              <w:rPr>
                <w:b/>
                <w:w w:val="100"/>
                <w:sz w:val="16"/>
              </w:rPr>
              <w:t>-</w:t>
            </w:r>
          </w:p>
        </w:tc>
        <w:tc>
          <w:tcPr>
            <w:tcW w:w="1144" w:type="dxa"/>
            <w:tcBorders>
              <w:top w:val="single" w:sz="1" w:space="0" w:color="000000"/>
              <w:bottom w:val="single" w:sz="1" w:space="0" w:color="000000"/>
            </w:tcBorders>
          </w:tcPr>
          <w:p>
            <w:pPr>
              <w:pStyle w:val="TableParagraph"/>
              <w:spacing w:before="123"/>
              <w:ind w:right="172"/>
              <w:jc w:val="right"/>
              <w:rPr>
                <w:b/>
                <w:sz w:val="16"/>
              </w:rPr>
            </w:pPr>
            <w:r>
              <w:rPr>
                <w:b/>
                <w:sz w:val="16"/>
              </w:rPr>
              <w:t>191</w:t>
            </w:r>
          </w:p>
        </w:tc>
        <w:tc>
          <w:tcPr>
            <w:tcW w:w="1263" w:type="dxa"/>
            <w:tcBorders>
              <w:top w:val="single" w:sz="1" w:space="0" w:color="000000"/>
              <w:bottom w:val="single" w:sz="1" w:space="0" w:color="000000"/>
            </w:tcBorders>
          </w:tcPr>
          <w:p>
            <w:pPr>
              <w:pStyle w:val="TableParagraph"/>
              <w:spacing w:before="123"/>
              <w:ind w:right="267"/>
              <w:jc w:val="right"/>
              <w:rPr>
                <w:b/>
                <w:sz w:val="16"/>
              </w:rPr>
            </w:pPr>
            <w:r>
              <w:rPr>
                <w:b/>
                <w:sz w:val="16"/>
              </w:rPr>
              <w:t>14,597</w:t>
            </w:r>
          </w:p>
        </w:tc>
        <w:tc>
          <w:tcPr>
            <w:tcW w:w="978" w:type="dxa"/>
            <w:tcBorders>
              <w:top w:val="single" w:sz="1" w:space="0" w:color="000000"/>
              <w:bottom w:val="single" w:sz="1" w:space="0" w:color="000000"/>
            </w:tcBorders>
          </w:tcPr>
          <w:p>
            <w:pPr>
              <w:pStyle w:val="TableParagraph"/>
              <w:spacing w:before="123"/>
              <w:ind w:left="406"/>
              <w:rPr>
                <w:b/>
                <w:sz w:val="16"/>
              </w:rPr>
            </w:pPr>
            <w:r>
              <w:rPr>
                <w:b/>
                <w:sz w:val="16"/>
              </w:rPr>
              <w:t>14,788</w:t>
            </w:r>
          </w:p>
        </w:tc>
      </w:tr>
      <w:tr>
        <w:trPr>
          <w:trHeight w:val="859" w:hRule="exact"/>
        </w:trPr>
        <w:tc>
          <w:tcPr>
            <w:tcW w:w="4847" w:type="dxa"/>
          </w:tcPr>
          <w:p>
            <w:pPr>
              <w:pStyle w:val="TableParagraph"/>
              <w:rPr>
                <w:b/>
                <w:sz w:val="16"/>
              </w:rPr>
            </w:pPr>
          </w:p>
          <w:p>
            <w:pPr>
              <w:pStyle w:val="TableParagraph"/>
              <w:spacing w:before="8"/>
              <w:rPr>
                <w:b/>
                <w:sz w:val="20"/>
              </w:rPr>
            </w:pPr>
          </w:p>
          <w:p>
            <w:pPr>
              <w:pStyle w:val="TableParagraph"/>
              <w:ind w:left="35"/>
              <w:rPr>
                <w:b/>
                <w:sz w:val="16"/>
              </w:rPr>
            </w:pPr>
            <w:r>
              <w:rPr>
                <w:b/>
                <w:sz w:val="16"/>
              </w:rPr>
              <w:t>At 31 December 2017</w:t>
            </w:r>
          </w:p>
          <w:p>
            <w:pPr>
              <w:pStyle w:val="TableParagraph"/>
              <w:spacing w:before="32"/>
              <w:ind w:left="35"/>
              <w:rPr>
                <w:sz w:val="16"/>
              </w:rPr>
            </w:pPr>
            <w:r>
              <w:rPr>
                <w:sz w:val="16"/>
              </w:rPr>
              <w:t>- Cost</w:t>
            </w:r>
          </w:p>
        </w:tc>
        <w:tc>
          <w:tcPr>
            <w:tcW w:w="1282" w:type="dxa"/>
            <w:tcBorders>
              <w:top w:val="single" w:sz="1" w:space="0" w:color="000000"/>
            </w:tcBorders>
          </w:tcPr>
          <w:p>
            <w:pPr>
              <w:pStyle w:val="TableParagraph"/>
              <w:rPr>
                <w:b/>
                <w:sz w:val="16"/>
              </w:rPr>
            </w:pPr>
          </w:p>
          <w:p>
            <w:pPr>
              <w:pStyle w:val="TableParagraph"/>
              <w:rPr>
                <w:b/>
                <w:sz w:val="16"/>
              </w:rPr>
            </w:pPr>
          </w:p>
          <w:p>
            <w:pPr>
              <w:pStyle w:val="TableParagraph"/>
              <w:spacing w:before="2"/>
              <w:rPr>
                <w:b/>
                <w:sz w:val="23"/>
              </w:rPr>
            </w:pPr>
          </w:p>
          <w:p>
            <w:pPr>
              <w:pStyle w:val="TableParagraph"/>
              <w:ind w:right="194"/>
              <w:jc w:val="right"/>
              <w:rPr>
                <w:sz w:val="16"/>
              </w:rPr>
            </w:pPr>
            <w:r>
              <w:rPr>
                <w:sz w:val="16"/>
              </w:rPr>
              <w:t>264</w:t>
            </w:r>
          </w:p>
        </w:tc>
        <w:tc>
          <w:tcPr>
            <w:tcW w:w="1144" w:type="dxa"/>
            <w:tcBorders>
              <w:top w:val="single" w:sz="1" w:space="0" w:color="000000"/>
            </w:tcBorders>
          </w:tcPr>
          <w:p>
            <w:pPr>
              <w:pStyle w:val="TableParagraph"/>
              <w:rPr>
                <w:b/>
                <w:sz w:val="16"/>
              </w:rPr>
            </w:pPr>
          </w:p>
          <w:p>
            <w:pPr>
              <w:pStyle w:val="TableParagraph"/>
              <w:rPr>
                <w:b/>
                <w:sz w:val="16"/>
              </w:rPr>
            </w:pPr>
          </w:p>
          <w:p>
            <w:pPr>
              <w:pStyle w:val="TableParagraph"/>
              <w:spacing w:before="2"/>
              <w:rPr>
                <w:b/>
                <w:sz w:val="23"/>
              </w:rPr>
            </w:pPr>
          </w:p>
          <w:p>
            <w:pPr>
              <w:pStyle w:val="TableParagraph"/>
              <w:ind w:right="172"/>
              <w:jc w:val="right"/>
              <w:rPr>
                <w:sz w:val="16"/>
              </w:rPr>
            </w:pPr>
            <w:r>
              <w:rPr>
                <w:sz w:val="16"/>
              </w:rPr>
              <w:t>316</w:t>
            </w:r>
          </w:p>
        </w:tc>
        <w:tc>
          <w:tcPr>
            <w:tcW w:w="1263" w:type="dxa"/>
            <w:tcBorders>
              <w:top w:val="single" w:sz="1" w:space="0" w:color="000000"/>
            </w:tcBorders>
          </w:tcPr>
          <w:p>
            <w:pPr>
              <w:pStyle w:val="TableParagraph"/>
              <w:rPr>
                <w:b/>
                <w:sz w:val="16"/>
              </w:rPr>
            </w:pPr>
          </w:p>
          <w:p>
            <w:pPr>
              <w:pStyle w:val="TableParagraph"/>
              <w:rPr>
                <w:b/>
                <w:sz w:val="16"/>
              </w:rPr>
            </w:pPr>
          </w:p>
          <w:p>
            <w:pPr>
              <w:pStyle w:val="TableParagraph"/>
              <w:spacing w:before="2"/>
              <w:rPr>
                <w:b/>
                <w:sz w:val="23"/>
              </w:rPr>
            </w:pPr>
          </w:p>
          <w:p>
            <w:pPr>
              <w:pStyle w:val="TableParagraph"/>
              <w:ind w:right="267"/>
              <w:jc w:val="right"/>
              <w:rPr>
                <w:sz w:val="16"/>
              </w:rPr>
            </w:pPr>
            <w:r>
              <w:rPr>
                <w:sz w:val="16"/>
              </w:rPr>
              <w:t>18,387</w:t>
            </w:r>
          </w:p>
        </w:tc>
        <w:tc>
          <w:tcPr>
            <w:tcW w:w="978" w:type="dxa"/>
            <w:tcBorders>
              <w:top w:val="single" w:sz="1" w:space="0" w:color="000000"/>
            </w:tcBorders>
          </w:tcPr>
          <w:p>
            <w:pPr>
              <w:pStyle w:val="TableParagraph"/>
              <w:rPr>
                <w:b/>
                <w:sz w:val="16"/>
              </w:rPr>
            </w:pPr>
          </w:p>
          <w:p>
            <w:pPr>
              <w:pStyle w:val="TableParagraph"/>
              <w:rPr>
                <w:b/>
                <w:sz w:val="16"/>
              </w:rPr>
            </w:pPr>
          </w:p>
          <w:p>
            <w:pPr>
              <w:pStyle w:val="TableParagraph"/>
              <w:spacing w:before="2"/>
              <w:rPr>
                <w:b/>
                <w:sz w:val="23"/>
              </w:rPr>
            </w:pPr>
          </w:p>
          <w:p>
            <w:pPr>
              <w:pStyle w:val="TableParagraph"/>
              <w:ind w:left="406"/>
              <w:rPr>
                <w:sz w:val="16"/>
              </w:rPr>
            </w:pPr>
            <w:r>
              <w:rPr>
                <w:sz w:val="16"/>
              </w:rPr>
              <w:t>18,967</w:t>
            </w:r>
          </w:p>
        </w:tc>
      </w:tr>
      <w:tr>
        <w:trPr>
          <w:trHeight w:val="241" w:hRule="exact"/>
        </w:trPr>
        <w:tc>
          <w:tcPr>
            <w:tcW w:w="4847" w:type="dxa"/>
          </w:tcPr>
          <w:p>
            <w:pPr>
              <w:pStyle w:val="TableParagraph"/>
              <w:spacing w:before="20"/>
              <w:ind w:left="35"/>
              <w:rPr>
                <w:sz w:val="16"/>
              </w:rPr>
            </w:pPr>
            <w:r>
              <w:rPr>
                <w:sz w:val="16"/>
              </w:rPr>
              <w:t>- Accumulated amortisation and impairment</w:t>
            </w:r>
          </w:p>
        </w:tc>
        <w:tc>
          <w:tcPr>
            <w:tcW w:w="1282" w:type="dxa"/>
            <w:tcBorders>
              <w:bottom w:val="single" w:sz="1" w:space="0" w:color="000000"/>
            </w:tcBorders>
          </w:tcPr>
          <w:p>
            <w:pPr>
              <w:pStyle w:val="TableParagraph"/>
              <w:spacing w:before="20"/>
              <w:ind w:right="141"/>
              <w:jc w:val="right"/>
              <w:rPr>
                <w:sz w:val="16"/>
              </w:rPr>
            </w:pPr>
            <w:r>
              <w:rPr>
                <w:sz w:val="16"/>
              </w:rPr>
              <w:t>(264)</w:t>
            </w:r>
          </w:p>
        </w:tc>
        <w:tc>
          <w:tcPr>
            <w:tcW w:w="1144" w:type="dxa"/>
            <w:tcBorders>
              <w:bottom w:val="single" w:sz="1" w:space="0" w:color="000000"/>
            </w:tcBorders>
          </w:tcPr>
          <w:p>
            <w:pPr>
              <w:pStyle w:val="TableParagraph"/>
              <w:spacing w:before="20"/>
              <w:ind w:right="119"/>
              <w:jc w:val="right"/>
              <w:rPr>
                <w:sz w:val="16"/>
              </w:rPr>
            </w:pPr>
            <w:r>
              <w:rPr>
                <w:sz w:val="16"/>
              </w:rPr>
              <w:t>(125)</w:t>
            </w:r>
          </w:p>
        </w:tc>
        <w:tc>
          <w:tcPr>
            <w:tcW w:w="1263" w:type="dxa"/>
            <w:tcBorders>
              <w:bottom w:val="single" w:sz="1" w:space="0" w:color="000000"/>
            </w:tcBorders>
          </w:tcPr>
          <w:p>
            <w:pPr>
              <w:pStyle w:val="TableParagraph"/>
              <w:spacing w:before="20"/>
              <w:ind w:right="215"/>
              <w:jc w:val="right"/>
              <w:rPr>
                <w:sz w:val="16"/>
              </w:rPr>
            </w:pPr>
            <w:r>
              <w:rPr>
                <w:sz w:val="16"/>
              </w:rPr>
              <w:t>(3,790)</w:t>
            </w:r>
          </w:p>
        </w:tc>
        <w:tc>
          <w:tcPr>
            <w:tcW w:w="978" w:type="dxa"/>
            <w:tcBorders>
              <w:bottom w:val="single" w:sz="1" w:space="0" w:color="000000"/>
            </w:tcBorders>
          </w:tcPr>
          <w:p>
            <w:pPr>
              <w:pStyle w:val="TableParagraph"/>
              <w:spacing w:before="20"/>
              <w:ind w:right="26"/>
              <w:jc w:val="right"/>
              <w:rPr>
                <w:sz w:val="16"/>
              </w:rPr>
            </w:pPr>
            <w:r>
              <w:rPr>
                <w:sz w:val="16"/>
              </w:rPr>
              <w:t>(4,179)</w:t>
            </w:r>
          </w:p>
        </w:tc>
      </w:tr>
      <w:tr>
        <w:trPr>
          <w:trHeight w:val="331" w:hRule="exact"/>
        </w:trPr>
        <w:tc>
          <w:tcPr>
            <w:tcW w:w="4847" w:type="dxa"/>
          </w:tcPr>
          <w:p>
            <w:pPr>
              <w:pStyle w:val="TableParagraph"/>
              <w:spacing w:before="124"/>
              <w:ind w:left="35"/>
              <w:rPr>
                <w:b/>
                <w:sz w:val="16"/>
              </w:rPr>
            </w:pPr>
            <w:r>
              <w:rPr>
                <w:b/>
                <w:sz w:val="16"/>
              </w:rPr>
              <w:t>Net book amount at 31 December 2017</w:t>
            </w:r>
          </w:p>
        </w:tc>
        <w:tc>
          <w:tcPr>
            <w:tcW w:w="1282" w:type="dxa"/>
            <w:tcBorders>
              <w:top w:val="single" w:sz="1" w:space="0" w:color="000000"/>
              <w:bottom w:val="single" w:sz="1" w:space="0" w:color="000000"/>
            </w:tcBorders>
          </w:tcPr>
          <w:p>
            <w:pPr>
              <w:pStyle w:val="TableParagraph"/>
              <w:spacing w:before="123"/>
              <w:ind w:right="194"/>
              <w:jc w:val="right"/>
              <w:rPr>
                <w:b/>
                <w:sz w:val="16"/>
              </w:rPr>
            </w:pPr>
            <w:r>
              <w:rPr>
                <w:b/>
                <w:w w:val="100"/>
                <w:sz w:val="16"/>
              </w:rPr>
              <w:t>-</w:t>
            </w:r>
          </w:p>
        </w:tc>
        <w:tc>
          <w:tcPr>
            <w:tcW w:w="1144" w:type="dxa"/>
            <w:tcBorders>
              <w:top w:val="single" w:sz="1" w:space="0" w:color="000000"/>
              <w:bottom w:val="single" w:sz="1" w:space="0" w:color="000000"/>
            </w:tcBorders>
          </w:tcPr>
          <w:p>
            <w:pPr>
              <w:pStyle w:val="TableParagraph"/>
              <w:spacing w:before="123"/>
              <w:ind w:right="172"/>
              <w:jc w:val="right"/>
              <w:rPr>
                <w:b/>
                <w:sz w:val="16"/>
              </w:rPr>
            </w:pPr>
            <w:r>
              <w:rPr>
                <w:b/>
                <w:sz w:val="16"/>
              </w:rPr>
              <w:t>191</w:t>
            </w:r>
          </w:p>
        </w:tc>
        <w:tc>
          <w:tcPr>
            <w:tcW w:w="1263" w:type="dxa"/>
            <w:tcBorders>
              <w:top w:val="single" w:sz="1" w:space="0" w:color="000000"/>
              <w:bottom w:val="single" w:sz="1" w:space="0" w:color="000000"/>
            </w:tcBorders>
          </w:tcPr>
          <w:p>
            <w:pPr>
              <w:pStyle w:val="TableParagraph"/>
              <w:spacing w:before="123"/>
              <w:ind w:right="267"/>
              <w:jc w:val="right"/>
              <w:rPr>
                <w:b/>
                <w:sz w:val="16"/>
              </w:rPr>
            </w:pPr>
            <w:r>
              <w:rPr>
                <w:b/>
                <w:sz w:val="16"/>
              </w:rPr>
              <w:t>14,597</w:t>
            </w:r>
          </w:p>
        </w:tc>
        <w:tc>
          <w:tcPr>
            <w:tcW w:w="978" w:type="dxa"/>
            <w:tcBorders>
              <w:top w:val="single" w:sz="1" w:space="0" w:color="000000"/>
              <w:bottom w:val="single" w:sz="1" w:space="0" w:color="000000"/>
            </w:tcBorders>
          </w:tcPr>
          <w:p>
            <w:pPr>
              <w:pStyle w:val="TableParagraph"/>
              <w:spacing w:before="123"/>
              <w:ind w:left="406"/>
              <w:rPr>
                <w:b/>
                <w:sz w:val="16"/>
              </w:rPr>
            </w:pPr>
            <w:r>
              <w:rPr>
                <w:b/>
                <w:sz w:val="16"/>
              </w:rPr>
              <w:t>14,788</w:t>
            </w:r>
          </w:p>
        </w:tc>
      </w:tr>
    </w:tbl>
    <w:p>
      <w:pPr>
        <w:spacing w:after="0"/>
        <w:rPr>
          <w:sz w:val="16"/>
        </w:rPr>
        <w:sectPr>
          <w:pgSz w:w="11910" w:h="16840"/>
          <w:pgMar w:header="1037" w:footer="507" w:top="2220" w:bottom="700" w:left="900" w:right="880"/>
        </w:sectPr>
      </w:pPr>
    </w:p>
    <w:p>
      <w:pPr>
        <w:pStyle w:val="BodyText"/>
        <w:rPr>
          <w:b/>
          <w:sz w:val="20"/>
        </w:rPr>
      </w:pPr>
    </w:p>
    <w:p>
      <w:pPr>
        <w:pStyle w:val="BodyText"/>
        <w:rPr>
          <w:b/>
          <w:sz w:val="20"/>
        </w:rPr>
      </w:pPr>
    </w:p>
    <w:p>
      <w:pPr>
        <w:pStyle w:val="BodyText"/>
        <w:spacing w:before="9"/>
        <w:rPr>
          <w:b/>
          <w:sz w:val="1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4082"/>
        <w:gridCol w:w="1627"/>
        <w:gridCol w:w="1386"/>
        <w:gridCol w:w="1523"/>
        <w:gridCol w:w="984"/>
      </w:tblGrid>
      <w:tr>
        <w:trPr>
          <w:trHeight w:val="728" w:hRule="exact"/>
        </w:trPr>
        <w:tc>
          <w:tcPr>
            <w:tcW w:w="333" w:type="dxa"/>
          </w:tcPr>
          <w:p>
            <w:pPr>
              <w:pStyle w:val="TableParagraph"/>
              <w:spacing w:before="77"/>
              <w:ind w:left="35"/>
              <w:rPr>
                <w:b/>
                <w:sz w:val="18"/>
              </w:rPr>
            </w:pPr>
            <w:bookmarkStart w:name="23 Other financial assets " w:id="98"/>
            <w:bookmarkEnd w:id="98"/>
            <w:r>
              <w:rPr/>
            </w:r>
            <w:r>
              <w:rPr>
                <w:b/>
                <w:sz w:val="18"/>
              </w:rPr>
              <w:t>23</w:t>
            </w:r>
          </w:p>
        </w:tc>
        <w:tc>
          <w:tcPr>
            <w:tcW w:w="4082" w:type="dxa"/>
          </w:tcPr>
          <w:p>
            <w:pPr>
              <w:pStyle w:val="TableParagraph"/>
              <w:spacing w:before="77"/>
              <w:ind w:left="96"/>
              <w:rPr>
                <w:b/>
                <w:sz w:val="18"/>
              </w:rPr>
            </w:pPr>
            <w:r>
              <w:rPr>
                <w:b/>
                <w:sz w:val="18"/>
              </w:rPr>
              <w:t>Other financial assets</w:t>
            </w:r>
          </w:p>
        </w:tc>
        <w:tc>
          <w:tcPr>
            <w:tcW w:w="3013" w:type="dxa"/>
            <w:gridSpan w:val="2"/>
          </w:tcPr>
          <w:p>
            <w:pPr>
              <w:pStyle w:val="TableParagraph"/>
              <w:rPr>
                <w:b/>
                <w:sz w:val="18"/>
              </w:rPr>
            </w:pPr>
          </w:p>
          <w:p>
            <w:pPr>
              <w:pStyle w:val="TableParagraph"/>
              <w:spacing w:before="6"/>
              <w:rPr>
                <w:b/>
                <w:sz w:val="23"/>
              </w:rPr>
            </w:pPr>
          </w:p>
          <w:p>
            <w:pPr>
              <w:pStyle w:val="TableParagraph"/>
              <w:ind w:left="825"/>
              <w:rPr>
                <w:b/>
                <w:sz w:val="18"/>
              </w:rPr>
            </w:pPr>
            <w:r>
              <w:rPr>
                <w:b/>
                <w:sz w:val="18"/>
              </w:rPr>
              <w:t>Consolidated</w:t>
            </w:r>
          </w:p>
        </w:tc>
        <w:tc>
          <w:tcPr>
            <w:tcW w:w="1523" w:type="dxa"/>
          </w:tcPr>
          <w:p>
            <w:pPr>
              <w:pStyle w:val="TableParagraph"/>
              <w:rPr>
                <w:b/>
                <w:sz w:val="18"/>
              </w:rPr>
            </w:pPr>
          </w:p>
          <w:p>
            <w:pPr>
              <w:pStyle w:val="TableParagraph"/>
              <w:spacing w:before="6"/>
              <w:rPr>
                <w:b/>
                <w:sz w:val="23"/>
              </w:rPr>
            </w:pPr>
          </w:p>
          <w:p>
            <w:pPr>
              <w:pStyle w:val="TableParagraph"/>
              <w:ind w:left="860"/>
              <w:rPr>
                <w:b/>
                <w:sz w:val="18"/>
              </w:rPr>
            </w:pPr>
            <w:r>
              <w:rPr>
                <w:b/>
                <w:sz w:val="18"/>
              </w:rPr>
              <w:t>Parent</w:t>
            </w:r>
          </w:p>
        </w:tc>
        <w:tc>
          <w:tcPr>
            <w:tcW w:w="984" w:type="dxa"/>
          </w:tcPr>
          <w:p>
            <w:pPr/>
          </w:p>
        </w:tc>
      </w:tr>
      <w:tr>
        <w:trPr>
          <w:trHeight w:val="274" w:hRule="exact"/>
        </w:trPr>
        <w:tc>
          <w:tcPr>
            <w:tcW w:w="333" w:type="dxa"/>
          </w:tcPr>
          <w:p>
            <w:pPr/>
          </w:p>
        </w:tc>
        <w:tc>
          <w:tcPr>
            <w:tcW w:w="4082" w:type="dxa"/>
          </w:tcPr>
          <w:p>
            <w:pPr/>
          </w:p>
        </w:tc>
        <w:tc>
          <w:tcPr>
            <w:tcW w:w="1627" w:type="dxa"/>
          </w:tcPr>
          <w:p>
            <w:pPr>
              <w:pStyle w:val="TableParagraph"/>
              <w:spacing w:before="24"/>
              <w:ind w:left="614"/>
              <w:rPr>
                <w:b/>
                <w:sz w:val="18"/>
              </w:rPr>
            </w:pPr>
            <w:r>
              <w:rPr>
                <w:b/>
                <w:sz w:val="18"/>
              </w:rPr>
              <w:t>2017</w:t>
            </w:r>
          </w:p>
        </w:tc>
        <w:tc>
          <w:tcPr>
            <w:tcW w:w="1386" w:type="dxa"/>
          </w:tcPr>
          <w:p>
            <w:pPr>
              <w:pStyle w:val="TableParagraph"/>
              <w:spacing w:before="24"/>
              <w:ind w:left="271"/>
              <w:rPr>
                <w:b/>
                <w:sz w:val="18"/>
              </w:rPr>
            </w:pPr>
            <w:r>
              <w:rPr>
                <w:b/>
                <w:sz w:val="18"/>
              </w:rPr>
              <w:t>2016</w:t>
            </w:r>
          </w:p>
        </w:tc>
        <w:tc>
          <w:tcPr>
            <w:tcW w:w="1523" w:type="dxa"/>
          </w:tcPr>
          <w:p>
            <w:pPr>
              <w:pStyle w:val="TableParagraph"/>
              <w:spacing w:before="24"/>
              <w:ind w:left="361"/>
              <w:rPr>
                <w:b/>
                <w:sz w:val="18"/>
              </w:rPr>
            </w:pPr>
            <w:r>
              <w:rPr>
                <w:b/>
                <w:sz w:val="18"/>
              </w:rPr>
              <w:t>2017</w:t>
            </w:r>
          </w:p>
        </w:tc>
        <w:tc>
          <w:tcPr>
            <w:tcW w:w="984" w:type="dxa"/>
          </w:tcPr>
          <w:p>
            <w:pPr>
              <w:pStyle w:val="TableParagraph"/>
              <w:spacing w:before="24"/>
              <w:ind w:left="122"/>
              <w:rPr>
                <w:b/>
                <w:sz w:val="18"/>
              </w:rPr>
            </w:pPr>
            <w:r>
              <w:rPr>
                <w:b/>
                <w:sz w:val="18"/>
              </w:rPr>
              <w:t>2016</w:t>
            </w:r>
          </w:p>
        </w:tc>
      </w:tr>
      <w:tr>
        <w:trPr>
          <w:trHeight w:val="394" w:hRule="exact"/>
        </w:trPr>
        <w:tc>
          <w:tcPr>
            <w:tcW w:w="333" w:type="dxa"/>
          </w:tcPr>
          <w:p>
            <w:pPr/>
          </w:p>
        </w:tc>
        <w:tc>
          <w:tcPr>
            <w:tcW w:w="4082" w:type="dxa"/>
          </w:tcPr>
          <w:p>
            <w:pPr/>
          </w:p>
        </w:tc>
        <w:tc>
          <w:tcPr>
            <w:tcW w:w="1627" w:type="dxa"/>
          </w:tcPr>
          <w:p>
            <w:pPr>
              <w:pStyle w:val="TableParagraph"/>
              <w:spacing w:before="24"/>
              <w:ind w:left="592"/>
              <w:rPr>
                <w:b/>
                <w:sz w:val="18"/>
              </w:rPr>
            </w:pPr>
            <w:r>
              <w:rPr>
                <w:b/>
                <w:sz w:val="18"/>
              </w:rPr>
              <w:t>$'000</w:t>
            </w:r>
          </w:p>
        </w:tc>
        <w:tc>
          <w:tcPr>
            <w:tcW w:w="1386" w:type="dxa"/>
          </w:tcPr>
          <w:p>
            <w:pPr>
              <w:pStyle w:val="TableParagraph"/>
              <w:spacing w:before="24"/>
              <w:ind w:left="249"/>
              <w:rPr>
                <w:b/>
                <w:sz w:val="18"/>
              </w:rPr>
            </w:pPr>
            <w:r>
              <w:rPr>
                <w:b/>
                <w:sz w:val="18"/>
              </w:rPr>
              <w:t>$'000</w:t>
            </w:r>
          </w:p>
        </w:tc>
        <w:tc>
          <w:tcPr>
            <w:tcW w:w="1523" w:type="dxa"/>
          </w:tcPr>
          <w:p>
            <w:pPr>
              <w:pStyle w:val="TableParagraph"/>
              <w:spacing w:before="24"/>
              <w:ind w:left="339"/>
              <w:rPr>
                <w:b/>
                <w:sz w:val="18"/>
              </w:rPr>
            </w:pPr>
            <w:r>
              <w:rPr>
                <w:b/>
                <w:sz w:val="18"/>
              </w:rPr>
              <w:t>$'000</w:t>
            </w:r>
          </w:p>
        </w:tc>
        <w:tc>
          <w:tcPr>
            <w:tcW w:w="984" w:type="dxa"/>
          </w:tcPr>
          <w:p>
            <w:pPr>
              <w:pStyle w:val="TableParagraph"/>
              <w:spacing w:before="24"/>
              <w:ind w:left="100"/>
              <w:rPr>
                <w:b/>
                <w:sz w:val="18"/>
              </w:rPr>
            </w:pPr>
            <w:r>
              <w:rPr>
                <w:b/>
                <w:sz w:val="18"/>
              </w:rPr>
              <w:t>$'000</w:t>
            </w:r>
          </w:p>
        </w:tc>
      </w:tr>
      <w:tr>
        <w:trPr>
          <w:trHeight w:val="374" w:hRule="exact"/>
        </w:trPr>
        <w:tc>
          <w:tcPr>
            <w:tcW w:w="333" w:type="dxa"/>
          </w:tcPr>
          <w:p>
            <w:pPr/>
          </w:p>
        </w:tc>
        <w:tc>
          <w:tcPr>
            <w:tcW w:w="4082" w:type="dxa"/>
          </w:tcPr>
          <w:p>
            <w:pPr>
              <w:pStyle w:val="TableParagraph"/>
              <w:spacing w:before="144"/>
              <w:ind w:left="122"/>
              <w:rPr>
                <w:b/>
                <w:sz w:val="18"/>
              </w:rPr>
            </w:pPr>
            <w:r>
              <w:rPr>
                <w:b/>
                <w:sz w:val="18"/>
              </w:rPr>
              <w:t>Non-Current</w:t>
            </w:r>
          </w:p>
        </w:tc>
        <w:tc>
          <w:tcPr>
            <w:tcW w:w="1627" w:type="dxa"/>
          </w:tcPr>
          <w:p>
            <w:pPr/>
          </w:p>
        </w:tc>
        <w:tc>
          <w:tcPr>
            <w:tcW w:w="1386" w:type="dxa"/>
          </w:tcPr>
          <w:p>
            <w:pPr/>
          </w:p>
        </w:tc>
        <w:tc>
          <w:tcPr>
            <w:tcW w:w="1523" w:type="dxa"/>
          </w:tcPr>
          <w:p>
            <w:pPr/>
          </w:p>
        </w:tc>
        <w:tc>
          <w:tcPr>
            <w:tcW w:w="984" w:type="dxa"/>
          </w:tcPr>
          <w:p>
            <w:pPr/>
          </w:p>
        </w:tc>
      </w:tr>
      <w:tr>
        <w:trPr>
          <w:trHeight w:val="251" w:hRule="exact"/>
        </w:trPr>
        <w:tc>
          <w:tcPr>
            <w:tcW w:w="333" w:type="dxa"/>
          </w:tcPr>
          <w:p>
            <w:pPr/>
          </w:p>
        </w:tc>
        <w:tc>
          <w:tcPr>
            <w:tcW w:w="4082" w:type="dxa"/>
          </w:tcPr>
          <w:p>
            <w:pPr>
              <w:pStyle w:val="TableParagraph"/>
              <w:spacing w:before="7"/>
              <w:ind w:left="122"/>
              <w:rPr>
                <w:sz w:val="18"/>
              </w:rPr>
            </w:pPr>
            <w:r>
              <w:rPr>
                <w:sz w:val="18"/>
              </w:rPr>
              <w:t>Available for sale (Unlisted securities)</w:t>
            </w:r>
          </w:p>
        </w:tc>
        <w:tc>
          <w:tcPr>
            <w:tcW w:w="1627" w:type="dxa"/>
          </w:tcPr>
          <w:p>
            <w:pPr>
              <w:pStyle w:val="TableParagraph"/>
              <w:spacing w:before="4"/>
              <w:ind w:right="247"/>
              <w:jc w:val="right"/>
              <w:rPr>
                <w:b/>
                <w:sz w:val="18"/>
              </w:rPr>
            </w:pPr>
            <w:r>
              <w:rPr>
                <w:b/>
                <w:w w:val="95"/>
                <w:sz w:val="18"/>
              </w:rPr>
              <w:t>16,537</w:t>
            </w:r>
          </w:p>
        </w:tc>
        <w:tc>
          <w:tcPr>
            <w:tcW w:w="1386" w:type="dxa"/>
          </w:tcPr>
          <w:p>
            <w:pPr>
              <w:pStyle w:val="TableParagraph"/>
              <w:spacing w:before="4"/>
              <w:ind w:right="337"/>
              <w:jc w:val="right"/>
              <w:rPr>
                <w:sz w:val="18"/>
              </w:rPr>
            </w:pPr>
            <w:r>
              <w:rPr>
                <w:w w:val="95"/>
                <w:sz w:val="18"/>
              </w:rPr>
              <w:t>11,330</w:t>
            </w:r>
          </w:p>
        </w:tc>
        <w:tc>
          <w:tcPr>
            <w:tcW w:w="1523" w:type="dxa"/>
          </w:tcPr>
          <w:p>
            <w:pPr>
              <w:pStyle w:val="TableParagraph"/>
              <w:spacing w:before="4"/>
              <w:ind w:left="570"/>
              <w:rPr>
                <w:b/>
                <w:sz w:val="18"/>
              </w:rPr>
            </w:pPr>
            <w:r>
              <w:rPr>
                <w:b/>
                <w:sz w:val="18"/>
              </w:rPr>
              <w:t>16,537</w:t>
            </w:r>
          </w:p>
        </w:tc>
        <w:tc>
          <w:tcPr>
            <w:tcW w:w="984" w:type="dxa"/>
          </w:tcPr>
          <w:p>
            <w:pPr>
              <w:pStyle w:val="TableParagraph"/>
              <w:spacing w:before="4"/>
              <w:ind w:right="84"/>
              <w:jc w:val="right"/>
              <w:rPr>
                <w:sz w:val="18"/>
              </w:rPr>
            </w:pPr>
            <w:r>
              <w:rPr>
                <w:w w:val="95"/>
                <w:sz w:val="18"/>
              </w:rPr>
              <w:t>11,330</w:t>
            </w:r>
          </w:p>
        </w:tc>
      </w:tr>
      <w:tr>
        <w:trPr>
          <w:trHeight w:val="264" w:hRule="exact"/>
        </w:trPr>
        <w:tc>
          <w:tcPr>
            <w:tcW w:w="333" w:type="dxa"/>
          </w:tcPr>
          <w:p>
            <w:pPr/>
          </w:p>
        </w:tc>
        <w:tc>
          <w:tcPr>
            <w:tcW w:w="4082" w:type="dxa"/>
          </w:tcPr>
          <w:p>
            <w:pPr>
              <w:pStyle w:val="TableParagraph"/>
              <w:spacing w:before="20"/>
              <w:ind w:left="122"/>
              <w:rPr>
                <w:sz w:val="18"/>
              </w:rPr>
            </w:pPr>
            <w:r>
              <w:rPr>
                <w:sz w:val="18"/>
              </w:rPr>
              <w:t>Available for sale (Listed securities)</w:t>
            </w:r>
          </w:p>
        </w:tc>
        <w:tc>
          <w:tcPr>
            <w:tcW w:w="1627" w:type="dxa"/>
          </w:tcPr>
          <w:p>
            <w:pPr>
              <w:pStyle w:val="TableParagraph"/>
              <w:spacing w:before="18"/>
              <w:ind w:right="247"/>
              <w:jc w:val="right"/>
              <w:rPr>
                <w:b/>
                <w:sz w:val="18"/>
              </w:rPr>
            </w:pPr>
            <w:r>
              <w:rPr>
                <w:b/>
                <w:w w:val="95"/>
                <w:sz w:val="18"/>
              </w:rPr>
              <w:t>80,299</w:t>
            </w:r>
          </w:p>
        </w:tc>
        <w:tc>
          <w:tcPr>
            <w:tcW w:w="1386" w:type="dxa"/>
          </w:tcPr>
          <w:p>
            <w:pPr>
              <w:pStyle w:val="TableParagraph"/>
              <w:spacing w:before="18"/>
              <w:ind w:right="337"/>
              <w:jc w:val="right"/>
              <w:rPr>
                <w:sz w:val="18"/>
              </w:rPr>
            </w:pPr>
            <w:r>
              <w:rPr>
                <w:w w:val="95"/>
                <w:sz w:val="18"/>
              </w:rPr>
              <w:t>76,143</w:t>
            </w:r>
          </w:p>
        </w:tc>
        <w:tc>
          <w:tcPr>
            <w:tcW w:w="1523" w:type="dxa"/>
          </w:tcPr>
          <w:p>
            <w:pPr>
              <w:pStyle w:val="TableParagraph"/>
              <w:spacing w:before="18"/>
              <w:ind w:left="570"/>
              <w:rPr>
                <w:b/>
                <w:sz w:val="18"/>
              </w:rPr>
            </w:pPr>
            <w:r>
              <w:rPr>
                <w:b/>
                <w:sz w:val="18"/>
              </w:rPr>
              <w:t>80,299</w:t>
            </w:r>
          </w:p>
        </w:tc>
        <w:tc>
          <w:tcPr>
            <w:tcW w:w="984" w:type="dxa"/>
          </w:tcPr>
          <w:p>
            <w:pPr>
              <w:pStyle w:val="TableParagraph"/>
              <w:spacing w:before="18"/>
              <w:ind w:right="84"/>
              <w:jc w:val="right"/>
              <w:rPr>
                <w:sz w:val="18"/>
              </w:rPr>
            </w:pPr>
            <w:r>
              <w:rPr>
                <w:w w:val="95"/>
                <w:sz w:val="18"/>
              </w:rPr>
              <w:t>76,143</w:t>
            </w:r>
          </w:p>
        </w:tc>
      </w:tr>
      <w:tr>
        <w:trPr>
          <w:trHeight w:val="260" w:hRule="exact"/>
        </w:trPr>
        <w:tc>
          <w:tcPr>
            <w:tcW w:w="333" w:type="dxa"/>
          </w:tcPr>
          <w:p>
            <w:pPr/>
          </w:p>
        </w:tc>
        <w:tc>
          <w:tcPr>
            <w:tcW w:w="4082" w:type="dxa"/>
          </w:tcPr>
          <w:p>
            <w:pPr>
              <w:pStyle w:val="TableParagraph"/>
              <w:spacing w:before="20"/>
              <w:ind w:left="122"/>
              <w:rPr>
                <w:sz w:val="18"/>
              </w:rPr>
            </w:pPr>
            <w:bookmarkStart w:name="24 Other non-financial assets " w:id="99"/>
            <w:bookmarkEnd w:id="99"/>
            <w:r>
              <w:rPr/>
            </w:r>
            <w:r>
              <w:rPr>
                <w:sz w:val="18"/>
              </w:rPr>
              <w:t>Held to maturity (Amortised cost)</w:t>
            </w:r>
          </w:p>
        </w:tc>
        <w:tc>
          <w:tcPr>
            <w:tcW w:w="1627" w:type="dxa"/>
            <w:tcBorders>
              <w:bottom w:val="single" w:sz="1" w:space="0" w:color="000000"/>
            </w:tcBorders>
          </w:tcPr>
          <w:p>
            <w:pPr>
              <w:pStyle w:val="TableParagraph"/>
              <w:spacing w:before="18"/>
              <w:ind w:right="247"/>
              <w:jc w:val="right"/>
              <w:rPr>
                <w:b/>
                <w:sz w:val="18"/>
              </w:rPr>
            </w:pPr>
            <w:r>
              <w:rPr>
                <w:b/>
                <w:w w:val="95"/>
                <w:sz w:val="18"/>
              </w:rPr>
              <w:t>11,061</w:t>
            </w:r>
          </w:p>
        </w:tc>
        <w:tc>
          <w:tcPr>
            <w:tcW w:w="1386" w:type="dxa"/>
            <w:tcBorders>
              <w:bottom w:val="single" w:sz="1" w:space="0" w:color="000000"/>
            </w:tcBorders>
          </w:tcPr>
          <w:p>
            <w:pPr>
              <w:pStyle w:val="TableParagraph"/>
              <w:spacing w:before="18"/>
              <w:ind w:right="337"/>
              <w:jc w:val="right"/>
              <w:rPr>
                <w:sz w:val="18"/>
              </w:rPr>
            </w:pPr>
            <w:r>
              <w:rPr>
                <w:w w:val="95"/>
                <w:sz w:val="18"/>
              </w:rPr>
              <w:t>10,702</w:t>
            </w:r>
          </w:p>
        </w:tc>
        <w:tc>
          <w:tcPr>
            <w:tcW w:w="1523" w:type="dxa"/>
            <w:tcBorders>
              <w:bottom w:val="single" w:sz="1" w:space="0" w:color="000000"/>
            </w:tcBorders>
          </w:tcPr>
          <w:p>
            <w:pPr>
              <w:pStyle w:val="TableParagraph"/>
              <w:spacing w:before="18"/>
              <w:ind w:left="570"/>
              <w:rPr>
                <w:b/>
                <w:sz w:val="18"/>
              </w:rPr>
            </w:pPr>
            <w:r>
              <w:rPr>
                <w:b/>
                <w:sz w:val="18"/>
              </w:rPr>
              <w:t>11,061</w:t>
            </w:r>
          </w:p>
        </w:tc>
        <w:tc>
          <w:tcPr>
            <w:tcW w:w="984" w:type="dxa"/>
            <w:tcBorders>
              <w:bottom w:val="single" w:sz="1" w:space="0" w:color="000000"/>
            </w:tcBorders>
          </w:tcPr>
          <w:p>
            <w:pPr>
              <w:pStyle w:val="TableParagraph"/>
              <w:spacing w:before="18"/>
              <w:ind w:right="84"/>
              <w:jc w:val="right"/>
              <w:rPr>
                <w:sz w:val="18"/>
              </w:rPr>
            </w:pPr>
            <w:r>
              <w:rPr>
                <w:w w:val="95"/>
                <w:sz w:val="18"/>
              </w:rPr>
              <w:t>10,702</w:t>
            </w:r>
          </w:p>
        </w:tc>
      </w:tr>
      <w:tr>
        <w:trPr>
          <w:trHeight w:val="559" w:hRule="exact"/>
        </w:trPr>
        <w:tc>
          <w:tcPr>
            <w:tcW w:w="333" w:type="dxa"/>
          </w:tcPr>
          <w:p>
            <w:pPr/>
          </w:p>
        </w:tc>
        <w:tc>
          <w:tcPr>
            <w:tcW w:w="4082" w:type="dxa"/>
          </w:tcPr>
          <w:p>
            <w:pPr>
              <w:pStyle w:val="TableParagraph"/>
              <w:spacing w:before="125"/>
              <w:ind w:left="122" w:right="1170"/>
              <w:rPr>
                <w:b/>
                <w:sz w:val="18"/>
              </w:rPr>
            </w:pPr>
            <w:r>
              <w:rPr>
                <w:b/>
                <w:sz w:val="18"/>
              </w:rPr>
              <w:t>Total non-current other financial assets</w:t>
            </w:r>
          </w:p>
        </w:tc>
        <w:tc>
          <w:tcPr>
            <w:tcW w:w="1627" w:type="dxa"/>
            <w:tcBorders>
              <w:top w:val="single" w:sz="1" w:space="0" w:color="000000"/>
              <w:bottom w:val="single" w:sz="1" w:space="0" w:color="000000"/>
            </w:tcBorders>
          </w:tcPr>
          <w:p>
            <w:pPr>
              <w:pStyle w:val="TableParagraph"/>
              <w:rPr>
                <w:b/>
                <w:sz w:val="18"/>
              </w:rPr>
            </w:pPr>
          </w:p>
          <w:p>
            <w:pPr>
              <w:pStyle w:val="TableParagraph"/>
              <w:spacing w:before="123"/>
              <w:ind w:right="247"/>
              <w:jc w:val="right"/>
              <w:rPr>
                <w:b/>
                <w:sz w:val="18"/>
              </w:rPr>
            </w:pPr>
            <w:r>
              <w:rPr>
                <w:b/>
                <w:w w:val="95"/>
                <w:sz w:val="18"/>
              </w:rPr>
              <w:t>107,897</w:t>
            </w:r>
          </w:p>
        </w:tc>
        <w:tc>
          <w:tcPr>
            <w:tcW w:w="1386" w:type="dxa"/>
            <w:tcBorders>
              <w:top w:val="single" w:sz="1" w:space="0" w:color="000000"/>
              <w:bottom w:val="single" w:sz="1" w:space="0" w:color="000000"/>
            </w:tcBorders>
          </w:tcPr>
          <w:p>
            <w:pPr>
              <w:pStyle w:val="TableParagraph"/>
              <w:rPr>
                <w:b/>
                <w:sz w:val="18"/>
              </w:rPr>
            </w:pPr>
          </w:p>
          <w:p>
            <w:pPr>
              <w:pStyle w:val="TableParagraph"/>
              <w:spacing w:before="123"/>
              <w:ind w:right="337"/>
              <w:jc w:val="right"/>
              <w:rPr>
                <w:sz w:val="18"/>
              </w:rPr>
            </w:pPr>
            <w:r>
              <w:rPr>
                <w:w w:val="95"/>
                <w:sz w:val="18"/>
              </w:rPr>
              <w:t>98,175</w:t>
            </w:r>
          </w:p>
        </w:tc>
        <w:tc>
          <w:tcPr>
            <w:tcW w:w="1523" w:type="dxa"/>
            <w:tcBorders>
              <w:top w:val="single" w:sz="1" w:space="0" w:color="000000"/>
              <w:bottom w:val="single" w:sz="1" w:space="0" w:color="000000"/>
            </w:tcBorders>
          </w:tcPr>
          <w:p>
            <w:pPr>
              <w:pStyle w:val="TableParagraph"/>
              <w:rPr>
                <w:b/>
                <w:sz w:val="18"/>
              </w:rPr>
            </w:pPr>
          </w:p>
          <w:p>
            <w:pPr>
              <w:pStyle w:val="TableParagraph"/>
              <w:spacing w:before="123"/>
              <w:ind w:left="469"/>
              <w:rPr>
                <w:b/>
                <w:sz w:val="18"/>
              </w:rPr>
            </w:pPr>
            <w:r>
              <w:rPr>
                <w:b/>
                <w:sz w:val="18"/>
              </w:rPr>
              <w:t>107,897</w:t>
            </w:r>
          </w:p>
        </w:tc>
        <w:tc>
          <w:tcPr>
            <w:tcW w:w="984" w:type="dxa"/>
            <w:tcBorders>
              <w:top w:val="single" w:sz="1" w:space="0" w:color="000000"/>
              <w:bottom w:val="single" w:sz="1" w:space="0" w:color="000000"/>
            </w:tcBorders>
          </w:tcPr>
          <w:p>
            <w:pPr>
              <w:pStyle w:val="TableParagraph"/>
              <w:rPr>
                <w:b/>
                <w:sz w:val="18"/>
              </w:rPr>
            </w:pPr>
          </w:p>
          <w:p>
            <w:pPr>
              <w:pStyle w:val="TableParagraph"/>
              <w:spacing w:before="123"/>
              <w:ind w:right="84"/>
              <w:jc w:val="right"/>
              <w:rPr>
                <w:sz w:val="18"/>
              </w:rPr>
            </w:pPr>
            <w:r>
              <w:rPr>
                <w:w w:val="95"/>
                <w:sz w:val="18"/>
              </w:rPr>
              <w:t>98,175</w:t>
            </w:r>
          </w:p>
        </w:tc>
      </w:tr>
    </w:tbl>
    <w:p>
      <w:pPr>
        <w:pStyle w:val="BodyText"/>
        <w:rPr>
          <w:b/>
          <w:sz w:val="20"/>
        </w:rPr>
      </w:pPr>
    </w:p>
    <w:p>
      <w:pPr>
        <w:pStyle w:val="BodyText"/>
        <w:spacing w:before="3"/>
        <w:rPr>
          <w:b/>
          <w:sz w:val="24"/>
        </w:rPr>
      </w:pPr>
    </w:p>
    <w:p>
      <w:pPr>
        <w:spacing w:before="77"/>
        <w:ind w:left="150" w:right="105" w:firstLine="0"/>
        <w:jc w:val="left"/>
        <w:rPr>
          <w:b/>
          <w:sz w:val="18"/>
        </w:rPr>
      </w:pPr>
      <w:r>
        <w:rPr>
          <w:b/>
          <w:sz w:val="18"/>
        </w:rPr>
        <w:t>24    Other non-financial assets</w:t>
      </w:r>
    </w:p>
    <w:p>
      <w:pPr>
        <w:tabs>
          <w:tab w:pos="8415" w:val="left" w:leader="none"/>
        </w:tabs>
        <w:spacing w:before="33"/>
        <w:ind w:left="5380" w:right="105" w:firstLine="0"/>
        <w:jc w:val="left"/>
        <w:rPr>
          <w:b/>
          <w:sz w:val="18"/>
        </w:rPr>
      </w:pPr>
      <w:r>
        <w:rPr>
          <w:b/>
          <w:sz w:val="18"/>
        </w:rPr>
        <w:t>Consolidated</w:t>
        <w:tab/>
        <w:t>Parent</w:t>
      </w:r>
    </w:p>
    <w:p>
      <w:pPr>
        <w:spacing w:after="0"/>
        <w:jc w:val="left"/>
        <w:rPr>
          <w:sz w:val="18"/>
        </w:rPr>
        <w:sectPr>
          <w:pgSz w:w="11910" w:h="16840"/>
          <w:pgMar w:header="1037" w:footer="507" w:top="2220" w:bottom="700" w:left="860" w:right="880"/>
        </w:sectPr>
      </w:pPr>
    </w:p>
    <w:p>
      <w:pPr>
        <w:pStyle w:val="BodyText"/>
        <w:rPr>
          <w:b/>
        </w:rPr>
      </w:pPr>
    </w:p>
    <w:p>
      <w:pPr>
        <w:pStyle w:val="BodyText"/>
        <w:rPr>
          <w:b/>
        </w:rPr>
      </w:pPr>
    </w:p>
    <w:p>
      <w:pPr>
        <w:pStyle w:val="BodyText"/>
        <w:spacing w:before="3"/>
        <w:rPr>
          <w:b/>
          <w:sz w:val="24"/>
        </w:rPr>
      </w:pPr>
    </w:p>
    <w:p>
      <w:pPr>
        <w:spacing w:before="0"/>
        <w:ind w:left="587" w:right="-20" w:firstLine="0"/>
        <w:jc w:val="left"/>
        <w:rPr>
          <w:b/>
          <w:sz w:val="18"/>
        </w:rPr>
      </w:pPr>
      <w:r>
        <w:rPr>
          <w:b/>
          <w:sz w:val="18"/>
        </w:rPr>
        <w:t>Current</w:t>
      </w:r>
    </w:p>
    <w:p>
      <w:pPr>
        <w:spacing w:before="66"/>
        <w:ind w:left="608" w:right="-17" w:firstLine="0"/>
        <w:jc w:val="left"/>
        <w:rPr>
          <w:b/>
          <w:sz w:val="18"/>
        </w:rPr>
      </w:pPr>
      <w:r>
        <w:rPr/>
        <w:br w:type="column"/>
      </w:r>
      <w:r>
        <w:rPr>
          <w:b/>
          <w:sz w:val="18"/>
        </w:rPr>
        <w:t>2017</w:t>
      </w:r>
    </w:p>
    <w:p>
      <w:pPr>
        <w:spacing w:before="66"/>
        <w:ind w:left="587" w:right="-17" w:firstLine="0"/>
        <w:jc w:val="left"/>
        <w:rPr>
          <w:b/>
          <w:sz w:val="18"/>
        </w:rPr>
      </w:pPr>
      <w:r>
        <w:rPr>
          <w:b/>
          <w:sz w:val="18"/>
        </w:rPr>
        <w:t>$'000</w:t>
      </w:r>
    </w:p>
    <w:p>
      <w:pPr>
        <w:spacing w:before="66"/>
        <w:ind w:left="608" w:right="-17" w:firstLine="0"/>
        <w:jc w:val="left"/>
        <w:rPr>
          <w:b/>
          <w:sz w:val="18"/>
        </w:rPr>
      </w:pPr>
      <w:r>
        <w:rPr/>
        <w:br w:type="column"/>
      </w:r>
      <w:r>
        <w:rPr>
          <w:b/>
          <w:sz w:val="18"/>
        </w:rPr>
        <w:t>2016</w:t>
      </w:r>
    </w:p>
    <w:p>
      <w:pPr>
        <w:spacing w:before="66"/>
        <w:ind w:left="587" w:right="-17" w:firstLine="0"/>
        <w:jc w:val="left"/>
        <w:rPr>
          <w:b/>
          <w:sz w:val="18"/>
        </w:rPr>
      </w:pPr>
      <w:r>
        <w:rPr>
          <w:b/>
          <w:sz w:val="18"/>
        </w:rPr>
        <w:t>$'000</w:t>
      </w:r>
    </w:p>
    <w:p>
      <w:pPr>
        <w:spacing w:before="66"/>
        <w:ind w:left="608" w:right="-17" w:firstLine="0"/>
        <w:jc w:val="left"/>
        <w:rPr>
          <w:b/>
          <w:sz w:val="18"/>
        </w:rPr>
      </w:pPr>
      <w:r>
        <w:rPr/>
        <w:br w:type="column"/>
      </w:r>
      <w:r>
        <w:rPr>
          <w:b/>
          <w:sz w:val="18"/>
        </w:rPr>
        <w:t>2017</w:t>
      </w:r>
    </w:p>
    <w:p>
      <w:pPr>
        <w:spacing w:before="66"/>
        <w:ind w:left="587" w:right="-17" w:firstLine="0"/>
        <w:jc w:val="left"/>
        <w:rPr>
          <w:b/>
          <w:sz w:val="18"/>
        </w:rPr>
      </w:pPr>
      <w:r>
        <w:rPr>
          <w:b/>
          <w:sz w:val="18"/>
        </w:rPr>
        <w:t>$'000</w:t>
      </w:r>
    </w:p>
    <w:p>
      <w:pPr>
        <w:spacing w:before="66"/>
        <w:ind w:left="569" w:right="513" w:firstLine="0"/>
        <w:jc w:val="center"/>
        <w:rPr>
          <w:b/>
          <w:sz w:val="18"/>
        </w:rPr>
      </w:pPr>
      <w:r>
        <w:rPr/>
        <w:br w:type="column"/>
      </w:r>
      <w:r>
        <w:rPr>
          <w:b/>
          <w:sz w:val="18"/>
        </w:rPr>
        <w:t>2016</w:t>
      </w:r>
    </w:p>
    <w:p>
      <w:pPr>
        <w:spacing w:before="66"/>
        <w:ind w:left="569" w:right="513" w:firstLine="0"/>
        <w:jc w:val="center"/>
        <w:rPr>
          <w:b/>
          <w:sz w:val="18"/>
        </w:rPr>
      </w:pPr>
      <w:r>
        <w:rPr>
          <w:b/>
          <w:sz w:val="18"/>
        </w:rPr>
        <w:t>$'000</w:t>
      </w:r>
    </w:p>
    <w:p>
      <w:pPr>
        <w:spacing w:after="0"/>
        <w:jc w:val="center"/>
        <w:rPr>
          <w:sz w:val="18"/>
        </w:rPr>
        <w:sectPr>
          <w:type w:val="continuous"/>
          <w:pgSz w:w="11910" w:h="16840"/>
          <w:pgMar w:top="1580" w:bottom="280" w:left="860" w:right="880"/>
          <w:cols w:num="5" w:equalWidth="0">
            <w:col w:w="1238" w:space="3322"/>
            <w:col w:w="1034" w:space="248"/>
            <w:col w:w="1034" w:space="445"/>
            <w:col w:w="1034" w:space="248"/>
            <w:col w:w="1567"/>
          </w:cols>
        </w:sectPr>
      </w:pPr>
    </w:p>
    <w:sdt>
      <w:sdtPr>
        <w:docPartObj>
          <w:docPartGallery w:val="Table of Contents"/>
          <w:docPartUnique/>
        </w:docPartObj>
      </w:sdtPr>
      <w:sdtEndPr/>
      <w:sdtContent>
        <w:p>
          <w:pPr>
            <w:pStyle w:val="TOC2"/>
            <w:tabs>
              <w:tab w:pos="5454" w:val="left" w:leader="none"/>
              <w:tab w:pos="6901" w:val="left" w:leader="none"/>
              <w:tab w:pos="8214" w:val="left" w:leader="none"/>
              <w:tab w:pos="9963" w:val="right" w:leader="none"/>
            </w:tabs>
            <w:spacing w:before="50"/>
            <w:ind w:left="587"/>
            <w:rPr>
              <w:b w:val="0"/>
              <w:i w:val="0"/>
              <w:sz w:val="18"/>
            </w:rPr>
          </w:pPr>
          <w:r>
            <w:rPr/>
            <w:pict>
              <v:group style="position:absolute;margin-left:269.565002pt;margin-top:13.986895pt;width:276.150pt;height:1pt;mso-position-horizontal-relative:page;mso-position-vertical-relative:paragraph;z-index:1504" coordorigin="5391,280" coordsize="5523,20">
                <v:line style="position:absolute" from="5393,281" to="5561,281" stroked="true" strokeweight=".12pt" strokecolor="#000000"/>
                <v:line style="position:absolute" from="5393,284" to="5561,284" stroked="true" strokeweight=".12pt" strokecolor="#000000"/>
                <v:line style="position:absolute" from="5393,286" to="5561,286" stroked="true" strokeweight=".12pt" strokecolor="#000000"/>
                <v:line style="position:absolute" from="5393,288" to="5561,288" stroked="true" strokeweight=".12pt" strokecolor="#000000"/>
                <v:line style="position:absolute" from="5393,291" to="5561,291" stroked="true" strokeweight=".12pt" strokecolor="#000000"/>
                <v:line style="position:absolute" from="5393,293" to="5561,293" stroked="true" strokeweight=".12pt" strokecolor="#000000"/>
                <v:line style="position:absolute" from="5393,296" to="5561,296" stroked="true" strokeweight=".12pt" strokecolor="#000000"/>
                <v:line style="position:absolute" from="5393,298" to="5561,298" stroked="true" strokeweight=".12pt" strokecolor="#000000"/>
                <v:line style="position:absolute" from="5561,281" to="6857,281" stroked="true" strokeweight=".12pt" strokecolor="#000000"/>
                <v:line style="position:absolute" from="5561,284" to="6857,284" stroked="true" strokeweight=".12pt" strokecolor="#000000"/>
                <v:line style="position:absolute" from="5561,286" to="6857,286" stroked="true" strokeweight=".12pt" strokecolor="#000000"/>
                <v:line style="position:absolute" from="5561,288" to="6857,288" stroked="true" strokeweight=".12pt" strokecolor="#000000"/>
                <v:line style="position:absolute" from="5561,291" to="6857,291" stroked="true" strokeweight=".12pt" strokecolor="#000000"/>
                <v:line style="position:absolute" from="5561,293" to="6857,293" stroked="true" strokeweight=".12pt" strokecolor="#000000"/>
                <v:line style="position:absolute" from="5561,296" to="6857,296" stroked="true" strokeweight=".12pt" strokecolor="#000000"/>
                <v:line style="position:absolute" from="5561,298" to="6857,298" stroked="true" strokeweight=".12pt" strokecolor="#000000"/>
                <v:line style="position:absolute" from="6857,281" to="8153,281" stroked="true" strokeweight=".12pt" strokecolor="#000000"/>
                <v:line style="position:absolute" from="6857,284" to="8153,284" stroked="true" strokeweight=".12pt" strokecolor="#000000"/>
                <v:line style="position:absolute" from="6857,286" to="8153,286" stroked="true" strokeweight=".12pt" strokecolor="#000000"/>
                <v:line style="position:absolute" from="6857,288" to="8153,288" stroked="true" strokeweight=".12pt" strokecolor="#000000"/>
                <v:line style="position:absolute" from="6857,291" to="8153,291" stroked="true" strokeweight=".12pt" strokecolor="#000000"/>
                <v:line style="position:absolute" from="6857,293" to="8153,293" stroked="true" strokeweight=".12pt" strokecolor="#000000"/>
                <v:line style="position:absolute" from="6857,296" to="8153,296" stroked="true" strokeweight=".12pt" strokecolor="#000000"/>
                <v:line style="position:absolute" from="6857,298" to="8153,298" stroked="true" strokeweight=".12pt" strokecolor="#000000"/>
                <v:line style="position:absolute" from="8153,281" to="8321,281" stroked="true" strokeweight=".12pt" strokecolor="#000000"/>
                <v:line style="position:absolute" from="8153,284" to="8321,284" stroked="true" strokeweight=".12pt" strokecolor="#000000"/>
                <v:line style="position:absolute" from="8153,286" to="8321,286" stroked="true" strokeweight=".12pt" strokecolor="#000000"/>
                <v:line style="position:absolute" from="8153,288" to="8321,288" stroked="true" strokeweight=".12pt" strokecolor="#000000"/>
                <v:line style="position:absolute" from="8153,291" to="8321,291" stroked="true" strokeweight=".12pt" strokecolor="#000000"/>
                <v:line style="position:absolute" from="8153,293" to="8321,293" stroked="true" strokeweight=".12pt" strokecolor="#000000"/>
                <v:line style="position:absolute" from="8153,296" to="8321,296" stroked="true" strokeweight=".12pt" strokecolor="#000000"/>
                <v:line style="position:absolute" from="8153,298" to="8321,298" stroked="true" strokeweight=".12pt" strokecolor="#000000"/>
                <v:line style="position:absolute" from="8321,281" to="9617,281" stroked="true" strokeweight=".12pt" strokecolor="#000000"/>
                <v:line style="position:absolute" from="8321,284" to="9617,284" stroked="true" strokeweight=".12pt" strokecolor="#000000"/>
                <v:line style="position:absolute" from="8321,286" to="9617,286" stroked="true" strokeweight=".12pt" strokecolor="#000000"/>
                <v:line style="position:absolute" from="8321,288" to="9617,288" stroked="true" strokeweight=".12pt" strokecolor="#000000"/>
                <v:line style="position:absolute" from="8321,291" to="9617,291" stroked="true" strokeweight=".12pt" strokecolor="#000000"/>
                <v:line style="position:absolute" from="8321,293" to="9617,293" stroked="true" strokeweight=".12pt" strokecolor="#000000"/>
                <v:line style="position:absolute" from="8321,296" to="9617,296" stroked="true" strokeweight=".12pt" strokecolor="#000000"/>
                <v:line style="position:absolute" from="8321,298" to="9617,298" stroked="true" strokeweight=".12pt" strokecolor="#000000"/>
                <v:line style="position:absolute" from="9617,281" to="10913,281" stroked="true" strokeweight=".12pt" strokecolor="#000000"/>
                <v:line style="position:absolute" from="9617,284" to="10913,284" stroked="true" strokeweight=".12pt" strokecolor="#000000"/>
                <v:line style="position:absolute" from="9617,286" to="10913,286" stroked="true" strokeweight=".12pt" strokecolor="#000000"/>
                <v:line style="position:absolute" from="9617,288" to="10913,288" stroked="true" strokeweight=".12pt" strokecolor="#000000"/>
                <v:line style="position:absolute" from="9617,291" to="10913,291" stroked="true" strokeweight=".12pt" strokecolor="#000000"/>
                <v:line style="position:absolute" from="9617,293" to="10913,293" stroked="true" strokeweight=".12pt" strokecolor="#000000"/>
                <v:line style="position:absolute" from="9617,296" to="10913,296" stroked="true" strokeweight=".12pt" strokecolor="#000000"/>
                <v:line style="position:absolute" from="9617,298" to="10913,298" stroked="true" strokeweight=".12pt" strokecolor="#000000"/>
                <w10:wrap type="none"/>
              </v:group>
            </w:pict>
          </w:r>
          <w:r>
            <w:rPr>
              <w:b w:val="0"/>
              <w:i w:val="0"/>
              <w:sz w:val="18"/>
            </w:rPr>
            <w:t>Lease incentives</w:t>
            <w:tab/>
          </w:r>
          <w:r>
            <w:rPr>
              <w:i w:val="0"/>
              <w:sz w:val="18"/>
            </w:rPr>
            <w:t>1,196</w:t>
            <w:tab/>
          </w:r>
          <w:r>
            <w:rPr>
              <w:b w:val="0"/>
              <w:i w:val="0"/>
              <w:sz w:val="18"/>
            </w:rPr>
            <w:t>244</w:t>
            <w:tab/>
          </w:r>
          <w:r>
            <w:rPr>
              <w:i w:val="0"/>
              <w:sz w:val="18"/>
            </w:rPr>
            <w:t>1,196</w:t>
          </w:r>
          <w:r>
            <w:rPr>
              <w:rFonts w:ascii="Times New Roman"/>
              <w:b w:val="0"/>
              <w:i w:val="0"/>
              <w:sz w:val="18"/>
            </w:rPr>
            <w:tab/>
          </w:r>
          <w:r>
            <w:rPr>
              <w:b w:val="0"/>
              <w:i w:val="0"/>
              <w:sz w:val="18"/>
            </w:rPr>
            <w:t>244</w:t>
          </w:r>
        </w:p>
        <w:p>
          <w:pPr>
            <w:pStyle w:val="TOC1"/>
            <w:tabs>
              <w:tab w:pos="5454" w:val="left" w:leader="none"/>
              <w:tab w:pos="6901" w:val="left" w:leader="none"/>
              <w:tab w:pos="8214" w:val="left" w:leader="none"/>
              <w:tab w:pos="9963" w:val="right" w:leader="none"/>
            </w:tabs>
            <w:spacing w:before="158"/>
            <w:ind w:left="587"/>
            <w:rPr>
              <w:b w:val="0"/>
            </w:rPr>
          </w:pPr>
          <w:r>
            <w:rPr/>
            <w:pict>
              <v:group style="position:absolute;margin-left:269.565002pt;margin-top:18.066904pt;width:276.150pt;height:1pt;mso-position-horizontal-relative:page;mso-position-vertical-relative:paragraph;z-index:-1182496" coordorigin="5391,361" coordsize="5523,20">
                <v:line style="position:absolute" from="5393,363" to="5561,363" stroked="true" strokeweight=".12pt" strokecolor="#000000"/>
                <v:line style="position:absolute" from="5393,365" to="5561,365" stroked="true" strokeweight=".12pt" strokecolor="#000000"/>
                <v:line style="position:absolute" from="5393,368" to="5561,368" stroked="true" strokeweight=".12pt" strokecolor="#000000"/>
                <v:line style="position:absolute" from="5393,370" to="5561,370" stroked="true" strokeweight=".12pt" strokecolor="#000000"/>
                <v:line style="position:absolute" from="5393,372" to="5561,372" stroked="true" strokeweight=".12pt" strokecolor="#000000"/>
                <v:line style="position:absolute" from="5393,375" to="5561,375" stroked="true" strokeweight=".12pt" strokecolor="#000000"/>
                <v:line style="position:absolute" from="5393,377" to="5561,377" stroked="true" strokeweight=".12pt" strokecolor="#000000"/>
                <v:line style="position:absolute" from="5393,380" to="5561,380" stroked="true" strokeweight=".12pt" strokecolor="#000000"/>
                <v:line style="position:absolute" from="5561,363" to="6857,363" stroked="true" strokeweight=".12pt" strokecolor="#000000"/>
                <v:line style="position:absolute" from="5561,365" to="6857,365" stroked="true" strokeweight=".12pt" strokecolor="#000000"/>
                <v:line style="position:absolute" from="5561,368" to="6857,368" stroked="true" strokeweight=".12pt" strokecolor="#000000"/>
                <v:line style="position:absolute" from="5561,370" to="6857,370" stroked="true" strokeweight=".12pt" strokecolor="#000000"/>
                <v:line style="position:absolute" from="5561,372" to="6857,372" stroked="true" strokeweight=".12pt" strokecolor="#000000"/>
                <v:line style="position:absolute" from="5561,375" to="6857,375" stroked="true" strokeweight=".12pt" strokecolor="#000000"/>
                <v:line style="position:absolute" from="5561,377" to="6857,377" stroked="true" strokeweight=".12pt" strokecolor="#000000"/>
                <v:line style="position:absolute" from="5561,380" to="6857,380" stroked="true" strokeweight=".12pt" strokecolor="#000000"/>
                <v:line style="position:absolute" from="6857,363" to="8153,363" stroked="true" strokeweight=".12pt" strokecolor="#000000"/>
                <v:line style="position:absolute" from="6857,365" to="8153,365" stroked="true" strokeweight=".12pt" strokecolor="#000000"/>
                <v:line style="position:absolute" from="6857,368" to="8153,368" stroked="true" strokeweight=".12pt" strokecolor="#000000"/>
                <v:line style="position:absolute" from="6857,370" to="8153,370" stroked="true" strokeweight=".12pt" strokecolor="#000000"/>
                <v:line style="position:absolute" from="6857,372" to="8153,372" stroked="true" strokeweight=".12pt" strokecolor="#000000"/>
                <v:line style="position:absolute" from="6857,375" to="8153,375" stroked="true" strokeweight=".12pt" strokecolor="#000000"/>
                <v:line style="position:absolute" from="6857,377" to="8153,377" stroked="true" strokeweight=".12pt" strokecolor="#000000"/>
                <v:line style="position:absolute" from="6857,380" to="8153,380" stroked="true" strokeweight=".12pt" strokecolor="#000000"/>
                <v:line style="position:absolute" from="8153,363" to="8321,363" stroked="true" strokeweight=".12pt" strokecolor="#000000"/>
                <v:line style="position:absolute" from="8153,365" to="8321,365" stroked="true" strokeweight=".12pt" strokecolor="#000000"/>
                <v:line style="position:absolute" from="8153,368" to="8321,368" stroked="true" strokeweight=".12pt" strokecolor="#000000"/>
                <v:line style="position:absolute" from="8153,370" to="8321,370" stroked="true" strokeweight=".12pt" strokecolor="#000000"/>
                <v:line style="position:absolute" from="8153,372" to="8321,372" stroked="true" strokeweight=".12pt" strokecolor="#000000"/>
                <v:line style="position:absolute" from="8153,375" to="8321,375" stroked="true" strokeweight=".12pt" strokecolor="#000000"/>
                <v:line style="position:absolute" from="8153,377" to="8321,377" stroked="true" strokeweight=".12pt" strokecolor="#000000"/>
                <v:line style="position:absolute" from="8153,380" to="8321,380" stroked="true" strokeweight=".12pt" strokecolor="#000000"/>
                <v:line style="position:absolute" from="8321,363" to="9617,363" stroked="true" strokeweight=".12pt" strokecolor="#000000"/>
                <v:line style="position:absolute" from="8321,365" to="9617,365" stroked="true" strokeweight=".12pt" strokecolor="#000000"/>
                <v:line style="position:absolute" from="8321,368" to="9617,368" stroked="true" strokeweight=".12pt" strokecolor="#000000"/>
                <v:line style="position:absolute" from="8321,370" to="9617,370" stroked="true" strokeweight=".12pt" strokecolor="#000000"/>
                <v:line style="position:absolute" from="8321,372" to="9617,372" stroked="true" strokeweight=".12pt" strokecolor="#000000"/>
                <v:line style="position:absolute" from="8321,375" to="9617,375" stroked="true" strokeweight=".12pt" strokecolor="#000000"/>
                <v:line style="position:absolute" from="8321,377" to="9617,377" stroked="true" strokeweight=".12pt" strokecolor="#000000"/>
                <v:line style="position:absolute" from="8321,380" to="9617,380" stroked="true" strokeweight=".12pt" strokecolor="#000000"/>
                <v:line style="position:absolute" from="9617,363" to="10913,363" stroked="true" strokeweight=".12pt" strokecolor="#000000"/>
                <v:line style="position:absolute" from="9617,365" to="10913,365" stroked="true" strokeweight=".12pt" strokecolor="#000000"/>
                <v:line style="position:absolute" from="9617,368" to="10913,368" stroked="true" strokeweight=".12pt" strokecolor="#000000"/>
                <v:line style="position:absolute" from="9617,370" to="10913,370" stroked="true" strokeweight=".12pt" strokecolor="#000000"/>
                <v:line style="position:absolute" from="9617,372" to="10913,372" stroked="true" strokeweight=".12pt" strokecolor="#000000"/>
                <v:line style="position:absolute" from="9617,375" to="10913,375" stroked="true" strokeweight=".12pt" strokecolor="#000000"/>
                <v:line style="position:absolute" from="9617,377" to="10913,377" stroked="true" strokeweight=".12pt" strokecolor="#000000"/>
                <v:line style="position:absolute" from="9617,380" to="10913,380" stroked="true" strokeweight=".12pt" strokecolor="#000000"/>
                <w10:wrap type="none"/>
              </v:group>
            </w:pict>
          </w:r>
          <w:r>
            <w:rPr/>
            <w:t>Total current other non-financial assets</w:t>
            <w:tab/>
            <w:t>1,196</w:t>
            <w:tab/>
          </w:r>
          <w:r>
            <w:rPr>
              <w:b w:val="0"/>
            </w:rPr>
            <w:t>244</w:t>
            <w:tab/>
          </w:r>
          <w:r>
            <w:rPr/>
            <w:t>1,196</w:t>
          </w:r>
          <w:r>
            <w:rPr>
              <w:rFonts w:ascii="Times New Roman"/>
              <w:b w:val="0"/>
            </w:rPr>
            <w:tab/>
          </w:r>
          <w:r>
            <w:rPr>
              <w:b w:val="0"/>
            </w:rPr>
            <w:t>244</w:t>
          </w:r>
        </w:p>
        <w:p>
          <w:pPr>
            <w:pStyle w:val="TOC1"/>
            <w:ind w:right="105"/>
          </w:pPr>
          <w:hyperlink w:history="true" w:anchor="_TOC_250000">
            <w:r>
              <w:rPr/>
              <w:t>Non-current</w:t>
            </w:r>
          </w:hyperlink>
        </w:p>
        <w:p>
          <w:pPr>
            <w:pStyle w:val="TOC2"/>
            <w:tabs>
              <w:tab w:pos="5605" w:val="left" w:leader="none"/>
              <w:tab w:pos="6903" w:val="left" w:leader="none"/>
              <w:tab w:pos="8365" w:val="left" w:leader="none"/>
              <w:tab w:pos="9966" w:val="right" w:leader="none"/>
            </w:tabs>
            <w:rPr>
              <w:b w:val="0"/>
              <w:i w:val="0"/>
              <w:sz w:val="18"/>
            </w:rPr>
          </w:pPr>
          <w:r>
            <w:rPr>
              <w:b w:val="0"/>
              <w:i w:val="0"/>
              <w:sz w:val="18"/>
            </w:rPr>
            <w:t>Livestock holdings</w:t>
            <w:tab/>
          </w:r>
          <w:r>
            <w:rPr>
              <w:i w:val="0"/>
              <w:sz w:val="18"/>
            </w:rPr>
            <w:t>611</w:t>
            <w:tab/>
          </w:r>
          <w:r>
            <w:rPr>
              <w:b w:val="0"/>
              <w:i w:val="0"/>
              <w:sz w:val="18"/>
            </w:rPr>
            <w:t>490</w:t>
            <w:tab/>
          </w:r>
          <w:r>
            <w:rPr>
              <w:i w:val="0"/>
              <w:sz w:val="18"/>
            </w:rPr>
            <w:t>611</w:t>
          </w:r>
          <w:r>
            <w:rPr>
              <w:rFonts w:ascii="Times New Roman"/>
              <w:b w:val="0"/>
              <w:i w:val="0"/>
              <w:sz w:val="18"/>
            </w:rPr>
            <w:tab/>
          </w:r>
          <w:r>
            <w:rPr>
              <w:b w:val="0"/>
              <w:i w:val="0"/>
              <w:sz w:val="18"/>
            </w:rPr>
            <w:t>490</w:t>
          </w:r>
        </w:p>
        <w:p>
          <w:pPr>
            <w:pStyle w:val="TOC2"/>
            <w:tabs>
              <w:tab w:pos="5454" w:val="left" w:leader="none"/>
              <w:tab w:pos="6903" w:val="left" w:leader="none"/>
              <w:tab w:pos="8214" w:val="left" w:leader="none"/>
              <w:tab w:pos="9966" w:val="right" w:leader="none"/>
            </w:tabs>
            <w:spacing w:before="57" w:after="23"/>
            <w:rPr>
              <w:b w:val="0"/>
              <w:i w:val="0"/>
              <w:sz w:val="18"/>
            </w:rPr>
          </w:pPr>
          <w:r>
            <w:rPr>
              <w:b w:val="0"/>
              <w:i w:val="0"/>
              <w:sz w:val="18"/>
            </w:rPr>
            <w:t>Lease incentives</w:t>
            <w:tab/>
          </w:r>
          <w:r>
            <w:rPr>
              <w:i w:val="0"/>
              <w:sz w:val="18"/>
            </w:rPr>
            <w:t>4,670</w:t>
            <w:tab/>
          </w:r>
          <w:r>
            <w:rPr>
              <w:b w:val="0"/>
              <w:i w:val="0"/>
              <w:sz w:val="18"/>
            </w:rPr>
            <w:t>512</w:t>
            <w:tab/>
          </w:r>
          <w:r>
            <w:rPr>
              <w:i w:val="0"/>
              <w:sz w:val="18"/>
            </w:rPr>
            <w:t>4,670</w:t>
          </w:r>
          <w:r>
            <w:rPr>
              <w:rFonts w:ascii="Times New Roman"/>
              <w:b w:val="0"/>
              <w:i w:val="0"/>
              <w:sz w:val="18"/>
            </w:rPr>
            <w:tab/>
          </w:r>
          <w:r>
            <w:rPr>
              <w:b w:val="0"/>
              <w:i w:val="0"/>
              <w:sz w:val="18"/>
            </w:rPr>
            <w:t>512</w:t>
          </w:r>
        </w:p>
      </w:sdtContent>
    </w:sdt>
    <w:p>
      <w:pPr>
        <w:pStyle w:val="BodyText"/>
        <w:spacing w:line="20" w:lineRule="exact"/>
        <w:ind w:left="4531"/>
        <w:rPr>
          <w:sz w:val="2"/>
        </w:rPr>
      </w:pPr>
      <w:r>
        <w:rPr>
          <w:sz w:val="2"/>
        </w:rPr>
        <w:pict>
          <v:group style="width:276.150pt;height:1pt;mso-position-horizontal-relative:char;mso-position-vertical-relative:line" coordorigin="0,0" coordsize="5523,20">
            <v:line style="position:absolute" from="2,2" to="170,2" stroked="true" strokeweight=".12pt" strokecolor="#000000"/>
            <v:line style="position:absolute" from="2,4" to="170,4" stroked="true" strokeweight=".12pt" strokecolor="#000000"/>
            <v:line style="position:absolute" from="2,6" to="170,6" stroked="true" strokeweight=".12pt" strokecolor="#000000"/>
            <v:line style="position:absolute" from="2,9" to="170,9" stroked="true" strokeweight=".12pt" strokecolor="#000000"/>
            <v:line style="position:absolute" from="2,11" to="170,11" stroked="true" strokeweight=".12pt" strokecolor="#000000"/>
            <v:line style="position:absolute" from="2,14" to="170,14" stroked="true" strokeweight=".12pt" strokecolor="#000000"/>
            <v:line style="position:absolute" from="2,16" to="170,16" stroked="true" strokeweight=".12pt" strokecolor="#000000"/>
            <v:line style="position:absolute" from="2,18" to="170,18" stroked="true" strokeweight=".12pt" strokecolor="#000000"/>
            <v:line style="position:absolute" from="170,2" to="1466,2" stroked="true" strokeweight=".12pt" strokecolor="#000000"/>
            <v:line style="position:absolute" from="170,4" to="1466,4" stroked="true" strokeweight=".12pt" strokecolor="#000000"/>
            <v:line style="position:absolute" from="170,6" to="1466,6" stroked="true" strokeweight=".12pt" strokecolor="#000000"/>
            <v:line style="position:absolute" from="170,9" to="1466,9" stroked="true" strokeweight=".12pt" strokecolor="#000000"/>
            <v:line style="position:absolute" from="170,11" to="1466,11" stroked="true" strokeweight=".12pt" strokecolor="#000000"/>
            <v:line style="position:absolute" from="170,14" to="1466,14" stroked="true" strokeweight=".12pt" strokecolor="#000000"/>
            <v:line style="position:absolute" from="170,16" to="1466,16" stroked="true" strokeweight=".12pt" strokecolor="#000000"/>
            <v:line style="position:absolute" from="170,18" to="1466,18" stroked="true" strokeweight=".12pt" strokecolor="#000000"/>
            <v:line style="position:absolute" from="1466,2" to="2762,2" stroked="true" strokeweight=".12pt" strokecolor="#000000"/>
            <v:line style="position:absolute" from="1466,4" to="2762,4" stroked="true" strokeweight=".12pt" strokecolor="#000000"/>
            <v:line style="position:absolute" from="1466,6" to="2762,6" stroked="true" strokeweight=".12pt" strokecolor="#000000"/>
            <v:line style="position:absolute" from="1466,9" to="2762,9" stroked="true" strokeweight=".12pt" strokecolor="#000000"/>
            <v:line style="position:absolute" from="1466,11" to="2762,11" stroked="true" strokeweight=".12pt" strokecolor="#000000"/>
            <v:line style="position:absolute" from="1466,14" to="2762,14" stroked="true" strokeweight=".12pt" strokecolor="#000000"/>
            <v:line style="position:absolute" from="1466,16" to="2762,16" stroked="true" strokeweight=".12pt" strokecolor="#000000"/>
            <v:line style="position:absolute" from="1466,18" to="2762,18" stroked="true" strokeweight=".12pt" strokecolor="#000000"/>
            <v:line style="position:absolute" from="2761,2" to="2929,2" stroked="true" strokeweight=".12pt" strokecolor="#000000"/>
            <v:line style="position:absolute" from="2761,4" to="2929,4" stroked="true" strokeweight=".12pt" strokecolor="#000000"/>
            <v:line style="position:absolute" from="2761,6" to="2929,6" stroked="true" strokeweight=".12pt" strokecolor="#000000"/>
            <v:line style="position:absolute" from="2761,9" to="2929,9" stroked="true" strokeweight=".12pt" strokecolor="#000000"/>
            <v:line style="position:absolute" from="2761,11" to="2929,11" stroked="true" strokeweight=".12pt" strokecolor="#000000"/>
            <v:line style="position:absolute" from="2761,14" to="2929,14" stroked="true" strokeweight=".12pt" strokecolor="#000000"/>
            <v:line style="position:absolute" from="2761,16" to="2929,16" stroked="true" strokeweight=".12pt" strokecolor="#000000"/>
            <v:line style="position:absolute" from="2761,18" to="2929,18" stroked="true" strokeweight=".12pt" strokecolor="#000000"/>
            <v:line style="position:absolute" from="2930,2" to="4226,2" stroked="true" strokeweight=".12pt" strokecolor="#000000"/>
            <v:line style="position:absolute" from="2930,4" to="4226,4" stroked="true" strokeweight=".12pt" strokecolor="#000000"/>
            <v:line style="position:absolute" from="2930,6" to="4226,6" stroked="true" strokeweight=".12pt" strokecolor="#000000"/>
            <v:line style="position:absolute" from="2930,9" to="4226,9" stroked="true" strokeweight=".12pt" strokecolor="#000000"/>
            <v:line style="position:absolute" from="2930,11" to="4226,11" stroked="true" strokeweight=".12pt" strokecolor="#000000"/>
            <v:line style="position:absolute" from="2930,14" to="4226,14" stroked="true" strokeweight=".12pt" strokecolor="#000000"/>
            <v:line style="position:absolute" from="2930,16" to="4226,16" stroked="true" strokeweight=".12pt" strokecolor="#000000"/>
            <v:line style="position:absolute" from="2930,18" to="4226,18" stroked="true" strokeweight=".12pt" strokecolor="#000000"/>
            <v:line style="position:absolute" from="4225,2" to="5521,2" stroked="true" strokeweight=".12pt" strokecolor="#000000"/>
            <v:line style="position:absolute" from="4225,4" to="5521,4" stroked="true" strokeweight=".12pt" strokecolor="#000000"/>
            <v:line style="position:absolute" from="4225,6" to="5521,6" stroked="true" strokeweight=".12pt" strokecolor="#000000"/>
            <v:line style="position:absolute" from="4225,9" to="5521,9" stroked="true" strokeweight=".12pt" strokecolor="#000000"/>
            <v:line style="position:absolute" from="4225,11" to="5521,11" stroked="true" strokeweight=".12pt" strokecolor="#000000"/>
            <v:line style="position:absolute" from="4225,14" to="5521,14" stroked="true" strokeweight=".12pt" strokecolor="#000000"/>
            <v:line style="position:absolute" from="4225,16" to="5521,16" stroked="true" strokeweight=".12pt" strokecolor="#000000"/>
            <v:line style="position:absolute" from="4225,18" to="5521,18" stroked="true" strokeweight=".12pt" strokecolor="#000000"/>
          </v:group>
        </w:pict>
      </w:r>
      <w:r>
        <w:rPr>
          <w:sz w:val="2"/>
        </w:rPr>
      </w:r>
    </w:p>
    <w:p>
      <w:pPr>
        <w:spacing w:line="207" w:lineRule="exact" w:before="115"/>
        <w:ind w:left="570" w:right="105" w:firstLine="0"/>
        <w:jc w:val="left"/>
        <w:rPr>
          <w:b/>
          <w:sz w:val="18"/>
        </w:rPr>
      </w:pPr>
      <w:r>
        <w:rPr>
          <w:b/>
          <w:sz w:val="18"/>
        </w:rPr>
        <w:t>Total non-current other non-financial</w:t>
      </w:r>
    </w:p>
    <w:p>
      <w:pPr>
        <w:tabs>
          <w:tab w:pos="4532" w:val="left" w:leader="none"/>
          <w:tab w:pos="5454" w:val="left" w:leader="none"/>
          <w:tab w:pos="6752" w:val="left" w:leader="none"/>
          <w:tab w:pos="8214" w:val="left" w:leader="none"/>
          <w:tab w:pos="9512" w:val="left" w:leader="none"/>
        </w:tabs>
        <w:spacing w:line="207" w:lineRule="exact" w:before="0"/>
        <w:ind w:left="570" w:right="105" w:firstLine="0"/>
        <w:jc w:val="left"/>
        <w:rPr>
          <w:sz w:val="18"/>
        </w:rPr>
      </w:pPr>
      <w:r>
        <w:rPr>
          <w:b/>
          <w:sz w:val="18"/>
        </w:rPr>
        <w:t>assets</w:t>
        <w:tab/>
      </w:r>
      <w:r>
        <w:rPr>
          <w:rFonts w:ascii="Times New Roman"/>
          <w:sz w:val="18"/>
          <w:u w:val="single"/>
        </w:rPr>
        <w:t> </w:t>
        <w:tab/>
      </w:r>
      <w:r>
        <w:rPr>
          <w:b/>
          <w:sz w:val="18"/>
          <w:u w:val="single"/>
        </w:rPr>
        <w:t>5,281</w:t>
        <w:tab/>
      </w:r>
      <w:r>
        <w:rPr>
          <w:sz w:val="18"/>
          <w:u w:val="single"/>
        </w:rPr>
        <w:t>1,002</w:t>
        <w:tab/>
      </w:r>
      <w:r>
        <w:rPr>
          <w:b/>
          <w:sz w:val="18"/>
          <w:u w:val="single"/>
        </w:rPr>
        <w:t>5,281</w:t>
        <w:tab/>
      </w:r>
      <w:r>
        <w:rPr>
          <w:sz w:val="18"/>
          <w:u w:val="single"/>
        </w:rPr>
        <w:t>1,002</w:t>
      </w:r>
    </w:p>
    <w:p>
      <w:pPr>
        <w:pStyle w:val="Heading9"/>
        <w:tabs>
          <w:tab w:pos="5454" w:val="left" w:leader="none"/>
          <w:tab w:pos="6752" w:val="left" w:leader="none"/>
          <w:tab w:pos="8214" w:val="left" w:leader="none"/>
          <w:tab w:pos="9512" w:val="left" w:leader="none"/>
        </w:tabs>
        <w:spacing w:before="50" w:after="23"/>
        <w:ind w:left="570" w:right="105"/>
        <w:rPr>
          <w:b w:val="0"/>
        </w:rPr>
      </w:pPr>
      <w:r>
        <w:rPr/>
        <w:t>Total other non-financial assets</w:t>
        <w:tab/>
        <w:t>6,477</w:t>
        <w:tab/>
      </w:r>
      <w:r>
        <w:rPr>
          <w:b w:val="0"/>
        </w:rPr>
        <w:t>1,246</w:t>
        <w:tab/>
      </w:r>
      <w:r>
        <w:rPr/>
        <w:t>6,477</w:t>
        <w:tab/>
      </w:r>
      <w:r>
        <w:rPr>
          <w:b w:val="0"/>
        </w:rPr>
        <w:t>1,246</w:t>
      </w:r>
    </w:p>
    <w:p>
      <w:pPr>
        <w:pStyle w:val="BodyText"/>
        <w:spacing w:line="48" w:lineRule="exact"/>
        <w:ind w:left="4531"/>
        <w:rPr>
          <w:sz w:val="4"/>
        </w:rPr>
      </w:pPr>
      <w:r>
        <w:rPr>
          <w:position w:val="0"/>
          <w:sz w:val="4"/>
        </w:rPr>
        <w:pict>
          <v:group style="width:276.150pt;height:2.450pt;mso-position-horizontal-relative:char;mso-position-vertical-relative:line" coordorigin="0,0" coordsize="5523,49">
            <v:line style="position:absolute" from="2,2" to="170,2" stroked="true" strokeweight=".12pt" strokecolor="#000000"/>
            <v:line style="position:absolute" from="2,4" to="170,4" stroked="true" strokeweight=".12pt" strokecolor="#000000"/>
            <v:line style="position:absolute" from="2,6" to="170,6" stroked="true" strokeweight=".12pt" strokecolor="#000000"/>
            <v:line style="position:absolute" from="2,9" to="170,9" stroked="true" strokeweight=".12pt" strokecolor="#000000"/>
            <v:line style="position:absolute" from="2,11" to="170,11" stroked="true" strokeweight=".12pt" strokecolor="#000000"/>
            <v:line style="position:absolute" from="2,14" to="170,14" stroked="true" strokeweight=".12pt" strokecolor="#000000"/>
            <v:line style="position:absolute" from="2,35" to="170,35" stroked="true" strokeweight=".12pt" strokecolor="#000000"/>
            <v:line style="position:absolute" from="2,38" to="170,38" stroked="true" strokeweight=".12pt" strokecolor="#000000"/>
            <v:line style="position:absolute" from="2,40" to="170,40" stroked="true" strokeweight=".12pt" strokecolor="#000000"/>
            <v:line style="position:absolute" from="2,42" to="170,42" stroked="true" strokeweight=".12pt" strokecolor="#000000"/>
            <v:line style="position:absolute" from="2,45" to="170,45" stroked="true" strokeweight=".12pt" strokecolor="#000000"/>
            <v:line style="position:absolute" from="2,47" to="170,47" stroked="true" strokeweight=".12pt" strokecolor="#000000"/>
            <v:line style="position:absolute" from="170,2" to="1466,2" stroked="true" strokeweight=".12pt" strokecolor="#000000"/>
            <v:line style="position:absolute" from="170,4" to="1466,4" stroked="true" strokeweight=".12pt" strokecolor="#000000"/>
            <v:line style="position:absolute" from="170,6" to="1466,6" stroked="true" strokeweight=".12pt" strokecolor="#000000"/>
            <v:line style="position:absolute" from="170,9" to="1466,9" stroked="true" strokeweight=".12pt" strokecolor="#000000"/>
            <v:line style="position:absolute" from="170,11" to="1466,11" stroked="true" strokeweight=".12pt" strokecolor="#000000"/>
            <v:line style="position:absolute" from="170,14" to="1466,14" stroked="true" strokeweight=".12pt" strokecolor="#000000"/>
            <v:line style="position:absolute" from="170,35" to="1466,35" stroked="true" strokeweight=".12pt" strokecolor="#000000"/>
            <v:line style="position:absolute" from="170,38" to="1466,38" stroked="true" strokeweight=".12pt" strokecolor="#000000"/>
            <v:line style="position:absolute" from="170,40" to="1466,40" stroked="true" strokeweight=".12pt" strokecolor="#000000"/>
            <v:line style="position:absolute" from="170,42" to="1466,42" stroked="true" strokeweight=".12pt" strokecolor="#000000"/>
            <v:line style="position:absolute" from="170,45" to="1466,45" stroked="true" strokeweight=".12pt" strokecolor="#000000"/>
            <v:line style="position:absolute" from="170,47" to="1466,47" stroked="true" strokeweight=".12pt" strokecolor="#000000"/>
            <v:line style="position:absolute" from="1466,2" to="2762,2" stroked="true" strokeweight=".12pt" strokecolor="#000000"/>
            <v:line style="position:absolute" from="1466,4" to="2762,4" stroked="true" strokeweight=".12pt" strokecolor="#000000"/>
            <v:line style="position:absolute" from="1466,6" to="2762,6" stroked="true" strokeweight=".12pt" strokecolor="#000000"/>
            <v:line style="position:absolute" from="1466,9" to="2762,9" stroked="true" strokeweight=".12pt" strokecolor="#000000"/>
            <v:line style="position:absolute" from="1466,11" to="2762,11" stroked="true" strokeweight=".12pt" strokecolor="#000000"/>
            <v:line style="position:absolute" from="1466,14" to="2762,14" stroked="true" strokeweight=".12pt" strokecolor="#000000"/>
            <v:line style="position:absolute" from="1466,35" to="2762,35" stroked="true" strokeweight=".12pt" strokecolor="#000000"/>
            <v:line style="position:absolute" from="1466,38" to="2762,38" stroked="true" strokeweight=".12pt" strokecolor="#000000"/>
            <v:line style="position:absolute" from="1466,40" to="2762,40" stroked="true" strokeweight=".12pt" strokecolor="#000000"/>
            <v:line style="position:absolute" from="1466,42" to="2762,42" stroked="true" strokeweight=".12pt" strokecolor="#000000"/>
            <v:line style="position:absolute" from="1466,45" to="2762,45" stroked="true" strokeweight=".12pt" strokecolor="#000000"/>
            <v:line style="position:absolute" from="1466,47" to="2762,47" stroked="true" strokeweight=".12pt" strokecolor="#000000"/>
            <v:line style="position:absolute" from="2761,2" to="2929,2" stroked="true" strokeweight=".12pt" strokecolor="#000000"/>
            <v:line style="position:absolute" from="2761,4" to="2929,4" stroked="true" strokeweight=".12pt" strokecolor="#000000"/>
            <v:line style="position:absolute" from="2761,6" to="2929,6" stroked="true" strokeweight=".12pt" strokecolor="#000000"/>
            <v:line style="position:absolute" from="2761,9" to="2929,9" stroked="true" strokeweight=".12pt" strokecolor="#000000"/>
            <v:line style="position:absolute" from="2761,11" to="2929,11" stroked="true" strokeweight=".12pt" strokecolor="#000000"/>
            <v:line style="position:absolute" from="2761,14" to="2929,14" stroked="true" strokeweight=".12pt" strokecolor="#000000"/>
            <v:line style="position:absolute" from="2761,35" to="2929,35" stroked="true" strokeweight=".12pt" strokecolor="#000000"/>
            <v:line style="position:absolute" from="2761,38" to="2929,38" stroked="true" strokeweight=".12pt" strokecolor="#000000"/>
            <v:line style="position:absolute" from="2761,40" to="2929,40" stroked="true" strokeweight=".12pt" strokecolor="#000000"/>
            <v:line style="position:absolute" from="2761,42" to="2929,42" stroked="true" strokeweight=".12pt" strokecolor="#000000"/>
            <v:line style="position:absolute" from="2761,45" to="2929,45" stroked="true" strokeweight=".12pt" strokecolor="#000000"/>
            <v:line style="position:absolute" from="2761,47" to="2929,47" stroked="true" strokeweight=".12pt" strokecolor="#000000"/>
            <v:line style="position:absolute" from="2930,2" to="4226,2" stroked="true" strokeweight=".12pt" strokecolor="#000000"/>
            <v:line style="position:absolute" from="2930,4" to="4226,4" stroked="true" strokeweight=".12pt" strokecolor="#000000"/>
            <v:line style="position:absolute" from="2930,6" to="4226,6" stroked="true" strokeweight=".12pt" strokecolor="#000000"/>
            <v:line style="position:absolute" from="2930,9" to="4226,9" stroked="true" strokeweight=".12pt" strokecolor="#000000"/>
            <v:line style="position:absolute" from="2930,11" to="4226,11" stroked="true" strokeweight=".12pt" strokecolor="#000000"/>
            <v:line style="position:absolute" from="2930,14" to="4226,14" stroked="true" strokeweight=".12pt" strokecolor="#000000"/>
            <v:line style="position:absolute" from="2930,35" to="4226,35" stroked="true" strokeweight=".12pt" strokecolor="#000000"/>
            <v:line style="position:absolute" from="2930,38" to="4226,38" stroked="true" strokeweight=".12pt" strokecolor="#000000"/>
            <v:line style="position:absolute" from="2930,40" to="4226,40" stroked="true" strokeweight=".12pt" strokecolor="#000000"/>
            <v:line style="position:absolute" from="2930,42" to="4226,42" stroked="true" strokeweight=".12pt" strokecolor="#000000"/>
            <v:line style="position:absolute" from="2930,45" to="4226,45" stroked="true" strokeweight=".12pt" strokecolor="#000000"/>
            <v:line style="position:absolute" from="2930,47" to="4226,47" stroked="true" strokeweight=".12pt" strokecolor="#000000"/>
            <v:line style="position:absolute" from="4225,2" to="5521,2" stroked="true" strokeweight=".12pt" strokecolor="#000000"/>
            <v:line style="position:absolute" from="4225,4" to="5521,4" stroked="true" strokeweight=".12pt" strokecolor="#000000"/>
            <v:line style="position:absolute" from="4225,6" to="5521,6" stroked="true" strokeweight=".12pt" strokecolor="#000000"/>
            <v:line style="position:absolute" from="4225,9" to="5521,9" stroked="true" strokeweight=".12pt" strokecolor="#000000"/>
            <v:line style="position:absolute" from="4225,11" to="5521,11" stroked="true" strokeweight=".12pt" strokecolor="#000000"/>
            <v:line style="position:absolute" from="4225,14" to="5521,14" stroked="true" strokeweight=".12pt" strokecolor="#000000"/>
            <v:line style="position:absolute" from="4225,35" to="5521,35" stroked="true" strokeweight=".12pt" strokecolor="#000000"/>
            <v:line style="position:absolute" from="4225,38" to="5521,38" stroked="true" strokeweight=".12pt" strokecolor="#000000"/>
            <v:line style="position:absolute" from="4225,40" to="5521,40" stroked="true" strokeweight=".12pt" strokecolor="#000000"/>
            <v:line style="position:absolute" from="4225,42" to="5521,42" stroked="true" strokeweight=".12pt" strokecolor="#000000"/>
            <v:line style="position:absolute" from="4225,45" to="5521,45" stroked="true" strokeweight=".12pt" strokecolor="#000000"/>
            <v:line style="position:absolute" from="4225,47" to="5521,47" stroked="true" strokeweight=".12pt" strokecolor="#000000"/>
          </v:group>
        </w:pict>
      </w:r>
      <w:r>
        <w:rPr>
          <w:position w:val="0"/>
          <w:sz w:val="4"/>
        </w:rPr>
      </w:r>
    </w:p>
    <w:p>
      <w:pPr>
        <w:spacing w:after="0" w:line="48" w:lineRule="exact"/>
        <w:rPr>
          <w:sz w:val="4"/>
        </w:rPr>
        <w:sectPr>
          <w:type w:val="continuous"/>
          <w:pgSz w:w="11910" w:h="16840"/>
          <w:pgMar w:top="1580" w:bottom="280" w:left="860" w:right="880"/>
        </w:sectPr>
      </w:pPr>
    </w:p>
    <w:p>
      <w:pPr>
        <w:pStyle w:val="BodyText"/>
        <w:rPr>
          <w:sz w:val="20"/>
        </w:rPr>
      </w:pPr>
    </w:p>
    <w:p>
      <w:pPr>
        <w:pStyle w:val="BodyText"/>
        <w:rPr>
          <w:sz w:val="20"/>
        </w:rPr>
      </w:pPr>
    </w:p>
    <w:p>
      <w:pPr>
        <w:pStyle w:val="BodyText"/>
        <w:spacing w:before="9"/>
        <w:rPr>
          <w:sz w:val="1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4085"/>
        <w:gridCol w:w="1625"/>
        <w:gridCol w:w="1387"/>
        <w:gridCol w:w="1517"/>
        <w:gridCol w:w="991"/>
      </w:tblGrid>
      <w:tr>
        <w:trPr>
          <w:trHeight w:val="567" w:hRule="exact"/>
        </w:trPr>
        <w:tc>
          <w:tcPr>
            <w:tcW w:w="333" w:type="dxa"/>
          </w:tcPr>
          <w:p>
            <w:pPr>
              <w:pStyle w:val="TableParagraph"/>
              <w:spacing w:before="77"/>
              <w:ind w:left="35"/>
              <w:rPr>
                <w:b/>
                <w:sz w:val="18"/>
              </w:rPr>
            </w:pPr>
            <w:bookmarkStart w:name="25 Trade and other payables " w:id="100"/>
            <w:bookmarkEnd w:id="100"/>
            <w:r>
              <w:rPr/>
            </w:r>
            <w:r>
              <w:rPr>
                <w:b/>
                <w:sz w:val="18"/>
              </w:rPr>
              <w:t>25</w:t>
            </w:r>
          </w:p>
        </w:tc>
        <w:tc>
          <w:tcPr>
            <w:tcW w:w="4085" w:type="dxa"/>
          </w:tcPr>
          <w:p>
            <w:pPr>
              <w:pStyle w:val="TableParagraph"/>
              <w:spacing w:before="77"/>
              <w:ind w:left="96"/>
              <w:rPr>
                <w:b/>
                <w:sz w:val="18"/>
              </w:rPr>
            </w:pPr>
            <w:r>
              <w:rPr>
                <w:b/>
                <w:sz w:val="18"/>
              </w:rPr>
              <w:t>Trade and other payables</w:t>
            </w:r>
          </w:p>
        </w:tc>
        <w:tc>
          <w:tcPr>
            <w:tcW w:w="3012" w:type="dxa"/>
            <w:gridSpan w:val="2"/>
          </w:tcPr>
          <w:p>
            <w:pPr>
              <w:pStyle w:val="TableParagraph"/>
              <w:rPr>
                <w:sz w:val="18"/>
              </w:rPr>
            </w:pPr>
          </w:p>
          <w:p>
            <w:pPr>
              <w:pStyle w:val="TableParagraph"/>
              <w:spacing w:before="110"/>
              <w:ind w:left="811"/>
              <w:rPr>
                <w:b/>
                <w:sz w:val="18"/>
              </w:rPr>
            </w:pPr>
            <w:r>
              <w:rPr>
                <w:b/>
                <w:sz w:val="18"/>
              </w:rPr>
              <w:t>Consolidated</w:t>
            </w:r>
          </w:p>
        </w:tc>
        <w:tc>
          <w:tcPr>
            <w:tcW w:w="1517" w:type="dxa"/>
          </w:tcPr>
          <w:p>
            <w:pPr>
              <w:pStyle w:val="TableParagraph"/>
              <w:rPr>
                <w:sz w:val="18"/>
              </w:rPr>
            </w:pPr>
          </w:p>
          <w:p>
            <w:pPr>
              <w:pStyle w:val="TableParagraph"/>
              <w:spacing w:before="110"/>
              <w:ind w:left="849"/>
              <w:rPr>
                <w:b/>
                <w:sz w:val="18"/>
              </w:rPr>
            </w:pPr>
            <w:r>
              <w:rPr>
                <w:b/>
                <w:sz w:val="18"/>
              </w:rPr>
              <w:t>Parent</w:t>
            </w:r>
          </w:p>
        </w:tc>
        <w:tc>
          <w:tcPr>
            <w:tcW w:w="991" w:type="dxa"/>
          </w:tcPr>
          <w:p>
            <w:pPr/>
          </w:p>
        </w:tc>
      </w:tr>
      <w:tr>
        <w:trPr>
          <w:trHeight w:val="274" w:hRule="exact"/>
        </w:trPr>
        <w:tc>
          <w:tcPr>
            <w:tcW w:w="333" w:type="dxa"/>
          </w:tcPr>
          <w:p>
            <w:pPr/>
          </w:p>
        </w:tc>
        <w:tc>
          <w:tcPr>
            <w:tcW w:w="4085" w:type="dxa"/>
          </w:tcPr>
          <w:p>
            <w:pPr/>
          </w:p>
        </w:tc>
        <w:tc>
          <w:tcPr>
            <w:tcW w:w="1625" w:type="dxa"/>
          </w:tcPr>
          <w:p>
            <w:pPr>
              <w:pStyle w:val="TableParagraph"/>
              <w:spacing w:before="24"/>
              <w:ind w:left="612"/>
              <w:rPr>
                <w:b/>
                <w:sz w:val="18"/>
              </w:rPr>
            </w:pPr>
            <w:r>
              <w:rPr>
                <w:b/>
                <w:sz w:val="18"/>
              </w:rPr>
              <w:t>2017</w:t>
            </w:r>
          </w:p>
        </w:tc>
        <w:tc>
          <w:tcPr>
            <w:tcW w:w="1387" w:type="dxa"/>
          </w:tcPr>
          <w:p>
            <w:pPr>
              <w:pStyle w:val="TableParagraph"/>
              <w:spacing w:before="24"/>
              <w:ind w:left="271"/>
              <w:rPr>
                <w:b/>
                <w:sz w:val="18"/>
              </w:rPr>
            </w:pPr>
            <w:r>
              <w:rPr>
                <w:b/>
                <w:sz w:val="18"/>
              </w:rPr>
              <w:t>2016</w:t>
            </w:r>
          </w:p>
        </w:tc>
        <w:tc>
          <w:tcPr>
            <w:tcW w:w="1517" w:type="dxa"/>
          </w:tcPr>
          <w:p>
            <w:pPr>
              <w:pStyle w:val="TableParagraph"/>
              <w:spacing w:before="24"/>
              <w:ind w:left="360"/>
              <w:rPr>
                <w:b/>
                <w:sz w:val="18"/>
              </w:rPr>
            </w:pPr>
            <w:r>
              <w:rPr>
                <w:b/>
                <w:sz w:val="18"/>
              </w:rPr>
              <w:t>2017</w:t>
            </w:r>
          </w:p>
        </w:tc>
        <w:tc>
          <w:tcPr>
            <w:tcW w:w="991" w:type="dxa"/>
          </w:tcPr>
          <w:p>
            <w:pPr>
              <w:pStyle w:val="TableParagraph"/>
              <w:spacing w:before="24"/>
              <w:ind w:left="127"/>
              <w:rPr>
                <w:b/>
                <w:sz w:val="18"/>
              </w:rPr>
            </w:pPr>
            <w:r>
              <w:rPr>
                <w:b/>
                <w:sz w:val="18"/>
              </w:rPr>
              <w:t>2016</w:t>
            </w:r>
          </w:p>
        </w:tc>
      </w:tr>
      <w:tr>
        <w:trPr>
          <w:trHeight w:val="313" w:hRule="exact"/>
        </w:trPr>
        <w:tc>
          <w:tcPr>
            <w:tcW w:w="333" w:type="dxa"/>
          </w:tcPr>
          <w:p>
            <w:pPr/>
          </w:p>
        </w:tc>
        <w:tc>
          <w:tcPr>
            <w:tcW w:w="4085" w:type="dxa"/>
          </w:tcPr>
          <w:p>
            <w:pPr/>
          </w:p>
        </w:tc>
        <w:tc>
          <w:tcPr>
            <w:tcW w:w="1625" w:type="dxa"/>
          </w:tcPr>
          <w:p>
            <w:pPr>
              <w:pStyle w:val="TableParagraph"/>
              <w:spacing w:before="24"/>
              <w:ind w:left="590"/>
              <w:rPr>
                <w:b/>
                <w:sz w:val="18"/>
              </w:rPr>
            </w:pPr>
            <w:r>
              <w:rPr>
                <w:b/>
                <w:sz w:val="18"/>
              </w:rPr>
              <w:t>$'000</w:t>
            </w:r>
          </w:p>
        </w:tc>
        <w:tc>
          <w:tcPr>
            <w:tcW w:w="1387" w:type="dxa"/>
          </w:tcPr>
          <w:p>
            <w:pPr>
              <w:pStyle w:val="TableParagraph"/>
              <w:spacing w:before="24"/>
              <w:ind w:left="249"/>
              <w:rPr>
                <w:b/>
                <w:sz w:val="18"/>
              </w:rPr>
            </w:pPr>
            <w:r>
              <w:rPr>
                <w:b/>
                <w:sz w:val="18"/>
              </w:rPr>
              <w:t>$'000</w:t>
            </w:r>
          </w:p>
        </w:tc>
        <w:tc>
          <w:tcPr>
            <w:tcW w:w="1517" w:type="dxa"/>
          </w:tcPr>
          <w:p>
            <w:pPr>
              <w:pStyle w:val="TableParagraph"/>
              <w:spacing w:before="24"/>
              <w:ind w:left="338"/>
              <w:rPr>
                <w:b/>
                <w:sz w:val="18"/>
              </w:rPr>
            </w:pPr>
            <w:r>
              <w:rPr>
                <w:b/>
                <w:sz w:val="18"/>
              </w:rPr>
              <w:t>$'000</w:t>
            </w:r>
          </w:p>
        </w:tc>
        <w:tc>
          <w:tcPr>
            <w:tcW w:w="991" w:type="dxa"/>
          </w:tcPr>
          <w:p>
            <w:pPr>
              <w:pStyle w:val="TableParagraph"/>
              <w:spacing w:before="24"/>
              <w:ind w:left="105"/>
              <w:rPr>
                <w:b/>
                <w:sz w:val="18"/>
              </w:rPr>
            </w:pPr>
            <w:r>
              <w:rPr>
                <w:b/>
                <w:sz w:val="18"/>
              </w:rPr>
              <w:t>$'000</w:t>
            </w:r>
          </w:p>
        </w:tc>
      </w:tr>
      <w:tr>
        <w:trPr>
          <w:trHeight w:val="542" w:hRule="exact"/>
        </w:trPr>
        <w:tc>
          <w:tcPr>
            <w:tcW w:w="333" w:type="dxa"/>
          </w:tcPr>
          <w:p>
            <w:pPr/>
          </w:p>
        </w:tc>
        <w:tc>
          <w:tcPr>
            <w:tcW w:w="4085" w:type="dxa"/>
          </w:tcPr>
          <w:p>
            <w:pPr>
              <w:pStyle w:val="TableParagraph"/>
              <w:spacing w:before="63"/>
              <w:ind w:left="96"/>
              <w:rPr>
                <w:b/>
                <w:sz w:val="18"/>
              </w:rPr>
            </w:pPr>
            <w:r>
              <w:rPr>
                <w:b/>
                <w:sz w:val="18"/>
              </w:rPr>
              <w:t>Current</w:t>
            </w:r>
          </w:p>
          <w:p>
            <w:pPr>
              <w:pStyle w:val="TableParagraph"/>
              <w:spacing w:before="26"/>
              <w:ind w:left="96"/>
              <w:rPr>
                <w:sz w:val="18"/>
              </w:rPr>
            </w:pPr>
            <w:r>
              <w:rPr>
                <w:sz w:val="18"/>
              </w:rPr>
              <w:t>Payables</w:t>
            </w:r>
          </w:p>
        </w:tc>
        <w:tc>
          <w:tcPr>
            <w:tcW w:w="1625" w:type="dxa"/>
          </w:tcPr>
          <w:p>
            <w:pPr>
              <w:pStyle w:val="TableParagraph"/>
              <w:spacing w:before="11"/>
              <w:rPr>
                <w:sz w:val="25"/>
              </w:rPr>
            </w:pPr>
          </w:p>
          <w:p>
            <w:pPr>
              <w:pStyle w:val="TableParagraph"/>
              <w:ind w:right="247"/>
              <w:jc w:val="right"/>
              <w:rPr>
                <w:b/>
                <w:sz w:val="18"/>
              </w:rPr>
            </w:pPr>
            <w:r>
              <w:rPr>
                <w:b/>
                <w:w w:val="95"/>
                <w:sz w:val="18"/>
              </w:rPr>
              <w:t>56,297</w:t>
            </w:r>
          </w:p>
        </w:tc>
        <w:tc>
          <w:tcPr>
            <w:tcW w:w="1387" w:type="dxa"/>
          </w:tcPr>
          <w:p>
            <w:pPr>
              <w:pStyle w:val="TableParagraph"/>
              <w:spacing w:before="11"/>
              <w:rPr>
                <w:sz w:val="25"/>
              </w:rPr>
            </w:pPr>
          </w:p>
          <w:p>
            <w:pPr>
              <w:pStyle w:val="TableParagraph"/>
              <w:ind w:right="336"/>
              <w:jc w:val="right"/>
              <w:rPr>
                <w:sz w:val="18"/>
              </w:rPr>
            </w:pPr>
            <w:r>
              <w:rPr>
                <w:w w:val="95"/>
                <w:sz w:val="18"/>
              </w:rPr>
              <w:t>47,373</w:t>
            </w:r>
          </w:p>
        </w:tc>
        <w:tc>
          <w:tcPr>
            <w:tcW w:w="1517" w:type="dxa"/>
          </w:tcPr>
          <w:p>
            <w:pPr>
              <w:pStyle w:val="TableParagraph"/>
              <w:spacing w:before="11"/>
              <w:rPr>
                <w:sz w:val="25"/>
              </w:rPr>
            </w:pPr>
          </w:p>
          <w:p>
            <w:pPr>
              <w:pStyle w:val="TableParagraph"/>
              <w:ind w:left="568"/>
              <w:rPr>
                <w:b/>
                <w:sz w:val="18"/>
              </w:rPr>
            </w:pPr>
            <w:r>
              <w:rPr>
                <w:b/>
                <w:sz w:val="18"/>
              </w:rPr>
              <w:t>55,805</w:t>
            </w:r>
          </w:p>
        </w:tc>
        <w:tc>
          <w:tcPr>
            <w:tcW w:w="991" w:type="dxa"/>
          </w:tcPr>
          <w:p>
            <w:pPr>
              <w:pStyle w:val="TableParagraph"/>
              <w:spacing w:before="11"/>
              <w:rPr>
                <w:sz w:val="25"/>
              </w:rPr>
            </w:pPr>
          </w:p>
          <w:p>
            <w:pPr>
              <w:pStyle w:val="TableParagraph"/>
              <w:ind w:right="84"/>
              <w:jc w:val="right"/>
              <w:rPr>
                <w:sz w:val="18"/>
              </w:rPr>
            </w:pPr>
            <w:r>
              <w:rPr>
                <w:w w:val="95"/>
                <w:sz w:val="18"/>
              </w:rPr>
              <w:t>46,975</w:t>
            </w:r>
          </w:p>
        </w:tc>
      </w:tr>
      <w:tr>
        <w:trPr>
          <w:trHeight w:val="262" w:hRule="exact"/>
        </w:trPr>
        <w:tc>
          <w:tcPr>
            <w:tcW w:w="333" w:type="dxa"/>
          </w:tcPr>
          <w:p>
            <w:pPr/>
          </w:p>
        </w:tc>
        <w:tc>
          <w:tcPr>
            <w:tcW w:w="4085" w:type="dxa"/>
          </w:tcPr>
          <w:p>
            <w:pPr>
              <w:pStyle w:val="TableParagraph"/>
              <w:spacing w:before="18"/>
              <w:ind w:left="96"/>
              <w:rPr>
                <w:sz w:val="18"/>
              </w:rPr>
            </w:pPr>
            <w:r>
              <w:rPr>
                <w:sz w:val="18"/>
              </w:rPr>
              <w:t>OS-HELP liability to Australian Government</w:t>
            </w:r>
          </w:p>
        </w:tc>
        <w:tc>
          <w:tcPr>
            <w:tcW w:w="1625" w:type="dxa"/>
            <w:tcBorders>
              <w:bottom w:val="single" w:sz="1" w:space="0" w:color="000000"/>
            </w:tcBorders>
          </w:tcPr>
          <w:p>
            <w:pPr>
              <w:pStyle w:val="TableParagraph"/>
              <w:spacing w:before="20"/>
              <w:ind w:right="247"/>
              <w:jc w:val="right"/>
              <w:rPr>
                <w:b/>
                <w:sz w:val="18"/>
              </w:rPr>
            </w:pPr>
            <w:r>
              <w:rPr>
                <w:b/>
                <w:w w:val="95"/>
                <w:sz w:val="18"/>
              </w:rPr>
              <w:t>106</w:t>
            </w:r>
          </w:p>
        </w:tc>
        <w:tc>
          <w:tcPr>
            <w:tcW w:w="1387" w:type="dxa"/>
            <w:tcBorders>
              <w:bottom w:val="single" w:sz="1" w:space="0" w:color="000000"/>
            </w:tcBorders>
          </w:tcPr>
          <w:p>
            <w:pPr>
              <w:pStyle w:val="TableParagraph"/>
              <w:spacing w:before="20"/>
              <w:ind w:right="336"/>
              <w:jc w:val="right"/>
              <w:rPr>
                <w:sz w:val="18"/>
              </w:rPr>
            </w:pPr>
            <w:r>
              <w:rPr>
                <w:w w:val="95"/>
                <w:sz w:val="18"/>
              </w:rPr>
              <w:t>322</w:t>
            </w:r>
          </w:p>
        </w:tc>
        <w:tc>
          <w:tcPr>
            <w:tcW w:w="1517" w:type="dxa"/>
            <w:tcBorders>
              <w:bottom w:val="single" w:sz="1" w:space="0" w:color="000000"/>
            </w:tcBorders>
          </w:tcPr>
          <w:p>
            <w:pPr>
              <w:pStyle w:val="TableParagraph"/>
              <w:spacing w:before="20"/>
              <w:ind w:left="820"/>
              <w:rPr>
                <w:b/>
                <w:sz w:val="18"/>
              </w:rPr>
            </w:pPr>
            <w:r>
              <w:rPr>
                <w:b/>
                <w:sz w:val="18"/>
              </w:rPr>
              <w:t>106</w:t>
            </w:r>
          </w:p>
        </w:tc>
        <w:tc>
          <w:tcPr>
            <w:tcW w:w="991" w:type="dxa"/>
            <w:tcBorders>
              <w:bottom w:val="single" w:sz="1" w:space="0" w:color="000000"/>
            </w:tcBorders>
          </w:tcPr>
          <w:p>
            <w:pPr>
              <w:pStyle w:val="TableParagraph"/>
              <w:spacing w:before="20"/>
              <w:ind w:right="84"/>
              <w:jc w:val="right"/>
              <w:rPr>
                <w:sz w:val="18"/>
              </w:rPr>
            </w:pPr>
            <w:r>
              <w:rPr>
                <w:w w:val="95"/>
                <w:sz w:val="18"/>
              </w:rPr>
              <w:t>322</w:t>
            </w:r>
          </w:p>
        </w:tc>
      </w:tr>
      <w:tr>
        <w:trPr>
          <w:trHeight w:val="338" w:hRule="exact"/>
        </w:trPr>
        <w:tc>
          <w:tcPr>
            <w:tcW w:w="333" w:type="dxa"/>
          </w:tcPr>
          <w:p>
            <w:pPr/>
          </w:p>
        </w:tc>
        <w:tc>
          <w:tcPr>
            <w:tcW w:w="4085" w:type="dxa"/>
          </w:tcPr>
          <w:p>
            <w:pPr>
              <w:pStyle w:val="TableParagraph"/>
              <w:spacing w:before="125"/>
              <w:ind w:left="96"/>
              <w:rPr>
                <w:b/>
                <w:sz w:val="18"/>
              </w:rPr>
            </w:pPr>
            <w:r>
              <w:rPr>
                <w:b/>
                <w:sz w:val="18"/>
              </w:rPr>
              <w:t>Total current payables</w:t>
            </w:r>
          </w:p>
        </w:tc>
        <w:tc>
          <w:tcPr>
            <w:tcW w:w="1625" w:type="dxa"/>
            <w:tcBorders>
              <w:top w:val="single" w:sz="1" w:space="0" w:color="000000"/>
              <w:bottom w:val="single" w:sz="1" w:space="0" w:color="000000"/>
            </w:tcBorders>
          </w:tcPr>
          <w:p>
            <w:pPr>
              <w:pStyle w:val="TableParagraph"/>
              <w:spacing w:before="124"/>
              <w:ind w:right="247"/>
              <w:jc w:val="right"/>
              <w:rPr>
                <w:b/>
                <w:sz w:val="18"/>
              </w:rPr>
            </w:pPr>
            <w:r>
              <w:rPr>
                <w:b/>
                <w:w w:val="95"/>
                <w:sz w:val="18"/>
              </w:rPr>
              <w:t>56,403</w:t>
            </w:r>
          </w:p>
        </w:tc>
        <w:tc>
          <w:tcPr>
            <w:tcW w:w="1387" w:type="dxa"/>
            <w:tcBorders>
              <w:top w:val="single" w:sz="1" w:space="0" w:color="000000"/>
              <w:bottom w:val="single" w:sz="1" w:space="0" w:color="000000"/>
            </w:tcBorders>
          </w:tcPr>
          <w:p>
            <w:pPr>
              <w:pStyle w:val="TableParagraph"/>
              <w:spacing w:before="124"/>
              <w:ind w:right="336"/>
              <w:jc w:val="right"/>
              <w:rPr>
                <w:sz w:val="18"/>
              </w:rPr>
            </w:pPr>
            <w:r>
              <w:rPr>
                <w:w w:val="95"/>
                <w:sz w:val="18"/>
              </w:rPr>
              <w:t>47,695</w:t>
            </w:r>
          </w:p>
        </w:tc>
        <w:tc>
          <w:tcPr>
            <w:tcW w:w="1517" w:type="dxa"/>
            <w:tcBorders>
              <w:top w:val="single" w:sz="1" w:space="0" w:color="000000"/>
              <w:bottom w:val="single" w:sz="1" w:space="0" w:color="000000"/>
            </w:tcBorders>
          </w:tcPr>
          <w:p>
            <w:pPr>
              <w:pStyle w:val="TableParagraph"/>
              <w:spacing w:before="124"/>
              <w:ind w:left="568"/>
              <w:rPr>
                <w:b/>
                <w:sz w:val="18"/>
              </w:rPr>
            </w:pPr>
            <w:r>
              <w:rPr>
                <w:b/>
                <w:sz w:val="18"/>
              </w:rPr>
              <w:t>55,911</w:t>
            </w:r>
          </w:p>
        </w:tc>
        <w:tc>
          <w:tcPr>
            <w:tcW w:w="991" w:type="dxa"/>
            <w:tcBorders>
              <w:top w:val="single" w:sz="1" w:space="0" w:color="000000"/>
              <w:bottom w:val="single" w:sz="1" w:space="0" w:color="000000"/>
            </w:tcBorders>
          </w:tcPr>
          <w:p>
            <w:pPr>
              <w:pStyle w:val="TableParagraph"/>
              <w:spacing w:before="124"/>
              <w:ind w:right="84"/>
              <w:jc w:val="right"/>
              <w:rPr>
                <w:sz w:val="18"/>
              </w:rPr>
            </w:pPr>
            <w:r>
              <w:rPr>
                <w:w w:val="95"/>
                <w:sz w:val="18"/>
              </w:rPr>
              <w:t>47,297</w:t>
            </w:r>
          </w:p>
        </w:tc>
      </w:tr>
      <w:tr>
        <w:trPr>
          <w:trHeight w:val="602" w:hRule="exact"/>
        </w:trPr>
        <w:tc>
          <w:tcPr>
            <w:tcW w:w="333" w:type="dxa"/>
          </w:tcPr>
          <w:p>
            <w:pPr/>
          </w:p>
        </w:tc>
        <w:tc>
          <w:tcPr>
            <w:tcW w:w="4085" w:type="dxa"/>
          </w:tcPr>
          <w:p>
            <w:pPr>
              <w:pStyle w:val="TableParagraph"/>
              <w:spacing w:before="125"/>
              <w:ind w:left="96"/>
              <w:rPr>
                <w:b/>
                <w:sz w:val="18"/>
              </w:rPr>
            </w:pPr>
            <w:bookmarkStart w:name="(a) Foreign currency risk" w:id="101"/>
            <w:bookmarkEnd w:id="101"/>
            <w:r>
              <w:rPr/>
            </w:r>
            <w:r>
              <w:rPr>
                <w:b/>
                <w:sz w:val="18"/>
              </w:rPr>
              <w:t>Non-current</w:t>
            </w:r>
          </w:p>
          <w:p>
            <w:pPr>
              <w:pStyle w:val="TableParagraph"/>
              <w:spacing w:before="26"/>
              <w:ind w:left="96"/>
              <w:rPr>
                <w:sz w:val="18"/>
              </w:rPr>
            </w:pPr>
            <w:r>
              <w:rPr>
                <w:sz w:val="18"/>
              </w:rPr>
              <w:t>Payables</w:t>
            </w:r>
          </w:p>
        </w:tc>
        <w:tc>
          <w:tcPr>
            <w:tcW w:w="1625" w:type="dxa"/>
            <w:tcBorders>
              <w:top w:val="single" w:sz="1" w:space="0" w:color="000000"/>
              <w:bottom w:val="single" w:sz="1" w:space="0" w:color="000000"/>
            </w:tcBorders>
          </w:tcPr>
          <w:p>
            <w:pPr>
              <w:pStyle w:val="TableParagraph"/>
              <w:rPr>
                <w:sz w:val="18"/>
              </w:rPr>
            </w:pPr>
          </w:p>
          <w:p>
            <w:pPr>
              <w:pStyle w:val="TableParagraph"/>
              <w:spacing w:before="152"/>
              <w:ind w:right="247"/>
              <w:jc w:val="right"/>
              <w:rPr>
                <w:b/>
                <w:sz w:val="18"/>
              </w:rPr>
            </w:pPr>
            <w:r>
              <w:rPr>
                <w:b/>
                <w:w w:val="95"/>
                <w:sz w:val="18"/>
              </w:rPr>
              <w:t>3,520</w:t>
            </w:r>
          </w:p>
        </w:tc>
        <w:tc>
          <w:tcPr>
            <w:tcW w:w="1387" w:type="dxa"/>
            <w:tcBorders>
              <w:top w:val="single" w:sz="1" w:space="0" w:color="000000"/>
              <w:bottom w:val="single" w:sz="1" w:space="0" w:color="000000"/>
            </w:tcBorders>
          </w:tcPr>
          <w:p>
            <w:pPr>
              <w:pStyle w:val="TableParagraph"/>
              <w:rPr>
                <w:sz w:val="18"/>
              </w:rPr>
            </w:pPr>
          </w:p>
          <w:p>
            <w:pPr>
              <w:pStyle w:val="TableParagraph"/>
              <w:spacing w:before="152"/>
              <w:ind w:right="336"/>
              <w:jc w:val="right"/>
              <w:rPr>
                <w:sz w:val="18"/>
              </w:rPr>
            </w:pPr>
            <w:r>
              <w:rPr>
                <w:w w:val="99"/>
                <w:sz w:val="18"/>
              </w:rPr>
              <w:t>-</w:t>
            </w:r>
          </w:p>
        </w:tc>
        <w:tc>
          <w:tcPr>
            <w:tcW w:w="1517" w:type="dxa"/>
            <w:tcBorders>
              <w:top w:val="single" w:sz="1" w:space="0" w:color="000000"/>
              <w:bottom w:val="single" w:sz="1" w:space="0" w:color="000000"/>
            </w:tcBorders>
          </w:tcPr>
          <w:p>
            <w:pPr>
              <w:pStyle w:val="TableParagraph"/>
              <w:rPr>
                <w:sz w:val="18"/>
              </w:rPr>
            </w:pPr>
          </w:p>
          <w:p>
            <w:pPr>
              <w:pStyle w:val="TableParagraph"/>
              <w:spacing w:before="152"/>
              <w:ind w:left="669"/>
              <w:rPr>
                <w:b/>
                <w:sz w:val="18"/>
              </w:rPr>
            </w:pPr>
            <w:r>
              <w:rPr>
                <w:b/>
                <w:sz w:val="18"/>
              </w:rPr>
              <w:t>3,520</w:t>
            </w:r>
          </w:p>
        </w:tc>
        <w:tc>
          <w:tcPr>
            <w:tcW w:w="991" w:type="dxa"/>
            <w:tcBorders>
              <w:top w:val="single" w:sz="1" w:space="0" w:color="000000"/>
              <w:bottom w:val="single" w:sz="1" w:space="0" w:color="000000"/>
            </w:tcBorders>
          </w:tcPr>
          <w:p>
            <w:pPr>
              <w:pStyle w:val="TableParagraph"/>
              <w:rPr>
                <w:sz w:val="18"/>
              </w:rPr>
            </w:pPr>
          </w:p>
          <w:p>
            <w:pPr>
              <w:pStyle w:val="TableParagraph"/>
              <w:spacing w:before="152"/>
              <w:ind w:right="84"/>
              <w:jc w:val="right"/>
              <w:rPr>
                <w:sz w:val="18"/>
              </w:rPr>
            </w:pPr>
            <w:r>
              <w:rPr>
                <w:w w:val="99"/>
                <w:sz w:val="18"/>
              </w:rPr>
              <w:t>-</w:t>
            </w:r>
          </w:p>
        </w:tc>
      </w:tr>
      <w:tr>
        <w:trPr>
          <w:trHeight w:val="338" w:hRule="exact"/>
        </w:trPr>
        <w:tc>
          <w:tcPr>
            <w:tcW w:w="333" w:type="dxa"/>
          </w:tcPr>
          <w:p>
            <w:pPr/>
          </w:p>
        </w:tc>
        <w:tc>
          <w:tcPr>
            <w:tcW w:w="4085" w:type="dxa"/>
          </w:tcPr>
          <w:p>
            <w:pPr>
              <w:pStyle w:val="TableParagraph"/>
              <w:spacing w:before="125"/>
              <w:ind w:left="96"/>
              <w:rPr>
                <w:b/>
                <w:sz w:val="18"/>
              </w:rPr>
            </w:pPr>
            <w:r>
              <w:rPr>
                <w:b/>
                <w:sz w:val="18"/>
              </w:rPr>
              <w:t>Total non-current payables</w:t>
            </w:r>
          </w:p>
        </w:tc>
        <w:tc>
          <w:tcPr>
            <w:tcW w:w="1625" w:type="dxa"/>
            <w:tcBorders>
              <w:top w:val="single" w:sz="1" w:space="0" w:color="000000"/>
              <w:bottom w:val="single" w:sz="1" w:space="0" w:color="000000"/>
            </w:tcBorders>
          </w:tcPr>
          <w:p>
            <w:pPr>
              <w:pStyle w:val="TableParagraph"/>
              <w:spacing w:before="124"/>
              <w:ind w:right="247"/>
              <w:jc w:val="right"/>
              <w:rPr>
                <w:b/>
                <w:sz w:val="18"/>
              </w:rPr>
            </w:pPr>
            <w:r>
              <w:rPr>
                <w:b/>
                <w:w w:val="95"/>
                <w:sz w:val="18"/>
              </w:rPr>
              <w:t>3,520</w:t>
            </w:r>
          </w:p>
        </w:tc>
        <w:tc>
          <w:tcPr>
            <w:tcW w:w="1387" w:type="dxa"/>
            <w:tcBorders>
              <w:top w:val="single" w:sz="1" w:space="0" w:color="000000"/>
              <w:bottom w:val="single" w:sz="1" w:space="0" w:color="000000"/>
            </w:tcBorders>
          </w:tcPr>
          <w:p>
            <w:pPr>
              <w:pStyle w:val="TableParagraph"/>
              <w:spacing w:before="124"/>
              <w:ind w:right="336"/>
              <w:jc w:val="right"/>
              <w:rPr>
                <w:sz w:val="18"/>
              </w:rPr>
            </w:pPr>
            <w:r>
              <w:rPr>
                <w:w w:val="99"/>
                <w:sz w:val="18"/>
              </w:rPr>
              <w:t>-</w:t>
            </w:r>
          </w:p>
        </w:tc>
        <w:tc>
          <w:tcPr>
            <w:tcW w:w="1517" w:type="dxa"/>
            <w:tcBorders>
              <w:top w:val="single" w:sz="1" w:space="0" w:color="000000"/>
              <w:bottom w:val="single" w:sz="1" w:space="0" w:color="000000"/>
            </w:tcBorders>
          </w:tcPr>
          <w:p>
            <w:pPr>
              <w:pStyle w:val="TableParagraph"/>
              <w:spacing w:before="124"/>
              <w:ind w:left="669"/>
              <w:rPr>
                <w:b/>
                <w:sz w:val="18"/>
              </w:rPr>
            </w:pPr>
            <w:r>
              <w:rPr>
                <w:b/>
                <w:sz w:val="18"/>
              </w:rPr>
              <w:t>3,520</w:t>
            </w:r>
          </w:p>
        </w:tc>
        <w:tc>
          <w:tcPr>
            <w:tcW w:w="991" w:type="dxa"/>
            <w:tcBorders>
              <w:top w:val="single" w:sz="1" w:space="0" w:color="000000"/>
              <w:bottom w:val="single" w:sz="1" w:space="0" w:color="000000"/>
            </w:tcBorders>
          </w:tcPr>
          <w:p>
            <w:pPr>
              <w:pStyle w:val="TableParagraph"/>
              <w:spacing w:before="124"/>
              <w:ind w:right="84"/>
              <w:jc w:val="right"/>
              <w:rPr>
                <w:sz w:val="18"/>
              </w:rPr>
            </w:pPr>
            <w:r>
              <w:rPr>
                <w:w w:val="99"/>
                <w:sz w:val="18"/>
              </w:rPr>
              <w:t>-</w:t>
            </w:r>
          </w:p>
        </w:tc>
      </w:tr>
      <w:tr>
        <w:trPr>
          <w:trHeight w:val="353" w:hRule="exact"/>
        </w:trPr>
        <w:tc>
          <w:tcPr>
            <w:tcW w:w="333" w:type="dxa"/>
          </w:tcPr>
          <w:p>
            <w:pPr/>
          </w:p>
        </w:tc>
        <w:tc>
          <w:tcPr>
            <w:tcW w:w="4085" w:type="dxa"/>
          </w:tcPr>
          <w:p>
            <w:pPr>
              <w:pStyle w:val="TableParagraph"/>
              <w:spacing w:before="125"/>
              <w:ind w:left="96"/>
              <w:rPr>
                <w:b/>
                <w:sz w:val="18"/>
              </w:rPr>
            </w:pPr>
            <w:r>
              <w:rPr>
                <w:b/>
                <w:sz w:val="18"/>
              </w:rPr>
              <w:t>Total trade and other payables</w:t>
            </w:r>
          </w:p>
        </w:tc>
        <w:tc>
          <w:tcPr>
            <w:tcW w:w="1625" w:type="dxa"/>
            <w:tcBorders>
              <w:top w:val="single" w:sz="1" w:space="0" w:color="000000"/>
              <w:bottom w:val="single" w:sz="1" w:space="0" w:color="000000"/>
            </w:tcBorders>
          </w:tcPr>
          <w:p>
            <w:pPr>
              <w:pStyle w:val="TableParagraph"/>
              <w:spacing w:before="124"/>
              <w:ind w:right="247"/>
              <w:jc w:val="right"/>
              <w:rPr>
                <w:b/>
                <w:sz w:val="18"/>
              </w:rPr>
            </w:pPr>
            <w:r>
              <w:rPr>
                <w:b/>
                <w:w w:val="95"/>
                <w:sz w:val="18"/>
              </w:rPr>
              <w:t>59,923</w:t>
            </w:r>
          </w:p>
        </w:tc>
        <w:tc>
          <w:tcPr>
            <w:tcW w:w="1387" w:type="dxa"/>
            <w:tcBorders>
              <w:top w:val="single" w:sz="1" w:space="0" w:color="000000"/>
              <w:bottom w:val="single" w:sz="1" w:space="0" w:color="000000"/>
            </w:tcBorders>
          </w:tcPr>
          <w:p>
            <w:pPr>
              <w:pStyle w:val="TableParagraph"/>
              <w:spacing w:before="124"/>
              <w:ind w:right="336"/>
              <w:jc w:val="right"/>
              <w:rPr>
                <w:sz w:val="18"/>
              </w:rPr>
            </w:pPr>
            <w:r>
              <w:rPr>
                <w:w w:val="95"/>
                <w:sz w:val="18"/>
              </w:rPr>
              <w:t>47,695</w:t>
            </w:r>
          </w:p>
        </w:tc>
        <w:tc>
          <w:tcPr>
            <w:tcW w:w="1517" w:type="dxa"/>
            <w:tcBorders>
              <w:top w:val="single" w:sz="1" w:space="0" w:color="000000"/>
              <w:bottom w:val="single" w:sz="1" w:space="0" w:color="000000"/>
            </w:tcBorders>
          </w:tcPr>
          <w:p>
            <w:pPr>
              <w:pStyle w:val="TableParagraph"/>
              <w:spacing w:before="124"/>
              <w:ind w:left="568"/>
              <w:rPr>
                <w:b/>
                <w:sz w:val="18"/>
              </w:rPr>
            </w:pPr>
            <w:r>
              <w:rPr>
                <w:b/>
                <w:sz w:val="18"/>
              </w:rPr>
              <w:t>59,431</w:t>
            </w:r>
          </w:p>
        </w:tc>
        <w:tc>
          <w:tcPr>
            <w:tcW w:w="991" w:type="dxa"/>
            <w:tcBorders>
              <w:top w:val="single" w:sz="1" w:space="0" w:color="000000"/>
              <w:bottom w:val="single" w:sz="1" w:space="0" w:color="000000"/>
            </w:tcBorders>
          </w:tcPr>
          <w:p>
            <w:pPr>
              <w:pStyle w:val="TableParagraph"/>
              <w:spacing w:before="124"/>
              <w:ind w:right="84"/>
              <w:jc w:val="right"/>
              <w:rPr>
                <w:sz w:val="18"/>
              </w:rPr>
            </w:pPr>
            <w:r>
              <w:rPr>
                <w:w w:val="95"/>
                <w:sz w:val="18"/>
              </w:rPr>
              <w:t>47,297</w:t>
            </w:r>
          </w:p>
        </w:tc>
      </w:tr>
    </w:tbl>
    <w:p>
      <w:pPr>
        <w:pStyle w:val="BodyText"/>
        <w:spacing w:before="1"/>
        <w:rPr>
          <w:sz w:val="22"/>
        </w:rPr>
      </w:pPr>
    </w:p>
    <w:p>
      <w:pPr>
        <w:pStyle w:val="ListParagraph"/>
        <w:numPr>
          <w:ilvl w:val="0"/>
          <w:numId w:val="27"/>
        </w:numPr>
        <w:tabs>
          <w:tab w:pos="1111" w:val="left" w:leader="none"/>
        </w:tabs>
        <w:spacing w:line="240" w:lineRule="auto" w:before="77" w:after="0"/>
        <w:ind w:left="1110" w:right="0" w:hanging="566"/>
        <w:jc w:val="left"/>
        <w:rPr>
          <w:sz w:val="18"/>
        </w:rPr>
      </w:pPr>
      <w:r>
        <w:rPr>
          <w:sz w:val="18"/>
        </w:rPr>
        <w:t>Foreign currency</w:t>
      </w:r>
      <w:r>
        <w:rPr>
          <w:spacing w:val="1"/>
          <w:sz w:val="18"/>
        </w:rPr>
        <w:t> </w:t>
      </w:r>
      <w:r>
        <w:rPr>
          <w:sz w:val="18"/>
        </w:rPr>
        <w:t>risk</w:t>
      </w:r>
    </w:p>
    <w:p>
      <w:pPr>
        <w:pStyle w:val="BodyText"/>
        <w:spacing w:before="4"/>
        <w:rPr>
          <w:sz w:val="25"/>
        </w:rPr>
      </w:pPr>
    </w:p>
    <w:p>
      <w:pPr>
        <w:pStyle w:val="BodyText"/>
        <w:ind w:left="1110" w:right="105"/>
      </w:pPr>
      <w:r>
        <w:rPr/>
        <w:t>The carrying amounts of the Group's and parent entity's trade and other payables are denominated in the following currencies:</w:t>
      </w:r>
    </w:p>
    <w:p>
      <w:pPr>
        <w:pStyle w:val="BodyText"/>
        <w:spacing w:before="9"/>
        <w:rPr>
          <w:sz w:val="16"/>
        </w:rPr>
      </w:pPr>
    </w:p>
    <w:p>
      <w:pPr>
        <w:pStyle w:val="Heading9"/>
        <w:tabs>
          <w:tab w:pos="8418" w:val="left" w:leader="none"/>
        </w:tabs>
        <w:spacing w:before="1"/>
        <w:ind w:left="5382" w:right="105"/>
      </w:pPr>
      <w:r>
        <w:rPr/>
        <w:t>Consolidated</w:t>
        <w:tab/>
        <w:t>Parent</w:t>
      </w:r>
    </w:p>
    <w:p>
      <w:pPr>
        <w:spacing w:after="0"/>
        <w:sectPr>
          <w:pgSz w:w="11910" w:h="16840"/>
          <w:pgMar w:header="1037" w:footer="507" w:top="2220" w:bottom="700" w:left="860" w:right="880"/>
        </w:sectPr>
      </w:pPr>
    </w:p>
    <w:p>
      <w:pPr>
        <w:spacing w:before="66"/>
        <w:ind w:left="0" w:right="19" w:firstLine="0"/>
        <w:jc w:val="right"/>
        <w:rPr>
          <w:b/>
          <w:sz w:val="18"/>
        </w:rPr>
      </w:pPr>
      <w:r>
        <w:rPr>
          <w:b/>
          <w:sz w:val="18"/>
        </w:rPr>
        <w:t>2017</w:t>
      </w:r>
    </w:p>
    <w:p>
      <w:pPr>
        <w:spacing w:before="66"/>
        <w:ind w:left="0" w:right="0" w:firstLine="0"/>
        <w:jc w:val="right"/>
        <w:rPr>
          <w:b/>
          <w:sz w:val="18"/>
        </w:rPr>
      </w:pPr>
      <w:r>
        <w:rPr>
          <w:b/>
          <w:sz w:val="18"/>
        </w:rPr>
        <w:t>$'000</w:t>
      </w:r>
    </w:p>
    <w:p>
      <w:pPr>
        <w:spacing w:before="66"/>
        <w:ind w:left="817" w:right="-17" w:firstLine="0"/>
        <w:jc w:val="left"/>
        <w:rPr>
          <w:b/>
          <w:sz w:val="18"/>
        </w:rPr>
      </w:pPr>
      <w:r>
        <w:rPr/>
        <w:br w:type="column"/>
      </w:r>
      <w:r>
        <w:rPr>
          <w:b/>
          <w:sz w:val="18"/>
        </w:rPr>
        <w:t>2016</w:t>
      </w:r>
    </w:p>
    <w:p>
      <w:pPr>
        <w:spacing w:before="66"/>
        <w:ind w:left="795" w:right="-17"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17" w:right="0" w:firstLine="0"/>
        <w:jc w:val="left"/>
        <w:rPr>
          <w:b/>
          <w:sz w:val="18"/>
        </w:rPr>
      </w:pPr>
      <w:r>
        <w:rPr/>
        <w:br w:type="column"/>
      </w:r>
      <w:r>
        <w:rPr>
          <w:b/>
          <w:sz w:val="18"/>
        </w:rPr>
        <w:t>2016</w:t>
      </w:r>
    </w:p>
    <w:p>
      <w:pPr>
        <w:spacing w:before="66"/>
        <w:ind w:left="795" w:right="0" w:firstLine="0"/>
        <w:jc w:val="left"/>
        <w:rPr>
          <w:b/>
          <w:sz w:val="18"/>
        </w:rPr>
      </w:pPr>
      <w:r>
        <w:rPr>
          <w:b/>
          <w:sz w:val="18"/>
        </w:rPr>
        <w:t>$'000</w:t>
      </w:r>
    </w:p>
    <w:p>
      <w:pPr>
        <w:spacing w:after="0"/>
        <w:jc w:val="left"/>
        <w:rPr>
          <w:sz w:val="18"/>
        </w:rPr>
        <w:sectPr>
          <w:type w:val="continuous"/>
          <w:pgSz w:w="11910" w:h="16840"/>
          <w:pgMar w:top="1580" w:bottom="280" w:left="860" w:right="880"/>
          <w:cols w:num="4" w:equalWidth="0">
            <w:col w:w="5596" w:space="40"/>
            <w:col w:w="1242" w:space="40"/>
            <w:col w:w="1439" w:space="40"/>
            <w:col w:w="1773"/>
          </w:cols>
        </w:sectPr>
      </w:pPr>
    </w:p>
    <w:p>
      <w:pPr>
        <w:pStyle w:val="BodyText"/>
        <w:spacing w:before="5"/>
        <w:rPr>
          <w:b/>
          <w:sz w:val="22"/>
        </w:rPr>
      </w:pPr>
    </w:p>
    <w:tbl>
      <w:tblPr>
        <w:tblW w:w="0" w:type="auto"/>
        <w:jc w:val="left"/>
        <w:tblInd w:w="1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4"/>
        <w:gridCol w:w="1747"/>
        <w:gridCol w:w="1380"/>
        <w:gridCol w:w="1380"/>
        <w:gridCol w:w="1013"/>
      </w:tblGrid>
      <w:tr>
        <w:trPr>
          <w:trHeight w:val="323" w:hRule="exact"/>
        </w:trPr>
        <w:tc>
          <w:tcPr>
            <w:tcW w:w="3414" w:type="dxa"/>
          </w:tcPr>
          <w:p>
            <w:pPr>
              <w:pStyle w:val="TableParagraph"/>
              <w:spacing w:before="79"/>
              <w:ind w:left="35"/>
              <w:rPr>
                <w:sz w:val="18"/>
              </w:rPr>
            </w:pPr>
            <w:r>
              <w:rPr>
                <w:sz w:val="18"/>
              </w:rPr>
              <w:t>Australian Dollars</w:t>
            </w:r>
          </w:p>
        </w:tc>
        <w:tc>
          <w:tcPr>
            <w:tcW w:w="1747" w:type="dxa"/>
          </w:tcPr>
          <w:p>
            <w:pPr>
              <w:pStyle w:val="TableParagraph"/>
              <w:spacing w:before="77"/>
              <w:ind w:right="367"/>
              <w:jc w:val="right"/>
              <w:rPr>
                <w:b/>
                <w:sz w:val="18"/>
              </w:rPr>
            </w:pPr>
            <w:r>
              <w:rPr>
                <w:b/>
                <w:w w:val="95"/>
                <w:sz w:val="18"/>
              </w:rPr>
              <w:t>54,237</w:t>
            </w:r>
          </w:p>
        </w:tc>
        <w:tc>
          <w:tcPr>
            <w:tcW w:w="1380" w:type="dxa"/>
          </w:tcPr>
          <w:p>
            <w:pPr>
              <w:pStyle w:val="TableParagraph"/>
              <w:spacing w:before="77"/>
              <w:ind w:right="454"/>
              <w:jc w:val="right"/>
              <w:rPr>
                <w:sz w:val="18"/>
              </w:rPr>
            </w:pPr>
            <w:r>
              <w:rPr>
                <w:w w:val="95"/>
                <w:sz w:val="18"/>
              </w:rPr>
              <w:t>46,833</w:t>
            </w:r>
          </w:p>
        </w:tc>
        <w:tc>
          <w:tcPr>
            <w:tcW w:w="1380" w:type="dxa"/>
          </w:tcPr>
          <w:p>
            <w:pPr>
              <w:pStyle w:val="TableParagraph"/>
              <w:spacing w:before="77"/>
              <w:ind w:right="367"/>
              <w:jc w:val="right"/>
              <w:rPr>
                <w:b/>
                <w:sz w:val="18"/>
              </w:rPr>
            </w:pPr>
            <w:r>
              <w:rPr>
                <w:b/>
                <w:w w:val="95"/>
                <w:sz w:val="18"/>
              </w:rPr>
              <w:t>53,745</w:t>
            </w:r>
          </w:p>
        </w:tc>
        <w:tc>
          <w:tcPr>
            <w:tcW w:w="1013" w:type="dxa"/>
          </w:tcPr>
          <w:p>
            <w:pPr>
              <w:pStyle w:val="TableParagraph"/>
              <w:spacing w:before="77"/>
              <w:ind w:right="87"/>
              <w:jc w:val="right"/>
              <w:rPr>
                <w:sz w:val="18"/>
              </w:rPr>
            </w:pPr>
            <w:r>
              <w:rPr>
                <w:w w:val="95"/>
                <w:sz w:val="18"/>
              </w:rPr>
              <w:t>46,435</w:t>
            </w:r>
          </w:p>
        </w:tc>
      </w:tr>
      <w:tr>
        <w:trPr>
          <w:trHeight w:val="264" w:hRule="exact"/>
        </w:trPr>
        <w:tc>
          <w:tcPr>
            <w:tcW w:w="3414" w:type="dxa"/>
          </w:tcPr>
          <w:p>
            <w:pPr>
              <w:pStyle w:val="TableParagraph"/>
              <w:spacing w:before="20"/>
              <w:ind w:left="35"/>
              <w:rPr>
                <w:sz w:val="18"/>
              </w:rPr>
            </w:pPr>
            <w:r>
              <w:rPr>
                <w:sz w:val="18"/>
              </w:rPr>
              <w:t>US Dollars</w:t>
            </w:r>
          </w:p>
        </w:tc>
        <w:tc>
          <w:tcPr>
            <w:tcW w:w="1747" w:type="dxa"/>
          </w:tcPr>
          <w:p>
            <w:pPr>
              <w:pStyle w:val="TableParagraph"/>
              <w:spacing w:before="18"/>
              <w:ind w:right="367"/>
              <w:jc w:val="right"/>
              <w:rPr>
                <w:b/>
                <w:sz w:val="18"/>
              </w:rPr>
            </w:pPr>
            <w:r>
              <w:rPr>
                <w:b/>
                <w:w w:val="95"/>
                <w:sz w:val="18"/>
              </w:rPr>
              <w:t>5,213</w:t>
            </w:r>
          </w:p>
        </w:tc>
        <w:tc>
          <w:tcPr>
            <w:tcW w:w="1380" w:type="dxa"/>
          </w:tcPr>
          <w:p>
            <w:pPr>
              <w:pStyle w:val="TableParagraph"/>
              <w:spacing w:before="18"/>
              <w:ind w:right="454"/>
              <w:jc w:val="right"/>
              <w:rPr>
                <w:sz w:val="18"/>
              </w:rPr>
            </w:pPr>
            <w:r>
              <w:rPr>
                <w:w w:val="95"/>
                <w:sz w:val="18"/>
              </w:rPr>
              <w:t>396</w:t>
            </w:r>
          </w:p>
        </w:tc>
        <w:tc>
          <w:tcPr>
            <w:tcW w:w="1380" w:type="dxa"/>
          </w:tcPr>
          <w:p>
            <w:pPr>
              <w:pStyle w:val="TableParagraph"/>
              <w:spacing w:before="18"/>
              <w:ind w:right="367"/>
              <w:jc w:val="right"/>
              <w:rPr>
                <w:b/>
                <w:sz w:val="18"/>
              </w:rPr>
            </w:pPr>
            <w:r>
              <w:rPr>
                <w:b/>
                <w:w w:val="95"/>
                <w:sz w:val="18"/>
              </w:rPr>
              <w:t>5,213</w:t>
            </w:r>
          </w:p>
        </w:tc>
        <w:tc>
          <w:tcPr>
            <w:tcW w:w="1013" w:type="dxa"/>
          </w:tcPr>
          <w:p>
            <w:pPr>
              <w:pStyle w:val="TableParagraph"/>
              <w:spacing w:before="18"/>
              <w:ind w:right="86"/>
              <w:jc w:val="right"/>
              <w:rPr>
                <w:sz w:val="18"/>
              </w:rPr>
            </w:pPr>
            <w:r>
              <w:rPr>
                <w:w w:val="95"/>
                <w:sz w:val="18"/>
              </w:rPr>
              <w:t>396</w:t>
            </w:r>
          </w:p>
        </w:tc>
      </w:tr>
      <w:tr>
        <w:trPr>
          <w:trHeight w:val="264" w:hRule="exact"/>
        </w:trPr>
        <w:tc>
          <w:tcPr>
            <w:tcW w:w="3414" w:type="dxa"/>
          </w:tcPr>
          <w:p>
            <w:pPr>
              <w:pStyle w:val="TableParagraph"/>
              <w:spacing w:before="20"/>
              <w:ind w:left="35"/>
              <w:rPr>
                <w:sz w:val="18"/>
              </w:rPr>
            </w:pPr>
            <w:r>
              <w:rPr>
                <w:sz w:val="18"/>
              </w:rPr>
              <w:t>Euro</w:t>
            </w:r>
          </w:p>
        </w:tc>
        <w:tc>
          <w:tcPr>
            <w:tcW w:w="1747" w:type="dxa"/>
          </w:tcPr>
          <w:p>
            <w:pPr>
              <w:pStyle w:val="TableParagraph"/>
              <w:spacing w:before="18"/>
              <w:ind w:right="367"/>
              <w:jc w:val="right"/>
              <w:rPr>
                <w:b/>
                <w:sz w:val="18"/>
              </w:rPr>
            </w:pPr>
            <w:r>
              <w:rPr>
                <w:b/>
                <w:w w:val="95"/>
                <w:sz w:val="18"/>
              </w:rPr>
              <w:t>211</w:t>
            </w:r>
          </w:p>
        </w:tc>
        <w:tc>
          <w:tcPr>
            <w:tcW w:w="1380" w:type="dxa"/>
          </w:tcPr>
          <w:p>
            <w:pPr>
              <w:pStyle w:val="TableParagraph"/>
              <w:spacing w:before="18"/>
              <w:ind w:right="454"/>
              <w:jc w:val="right"/>
              <w:rPr>
                <w:sz w:val="18"/>
              </w:rPr>
            </w:pPr>
            <w:r>
              <w:rPr>
                <w:w w:val="95"/>
                <w:sz w:val="18"/>
              </w:rPr>
              <w:t>146</w:t>
            </w:r>
          </w:p>
        </w:tc>
        <w:tc>
          <w:tcPr>
            <w:tcW w:w="1380" w:type="dxa"/>
          </w:tcPr>
          <w:p>
            <w:pPr>
              <w:pStyle w:val="TableParagraph"/>
              <w:spacing w:before="18"/>
              <w:ind w:right="367"/>
              <w:jc w:val="right"/>
              <w:rPr>
                <w:b/>
                <w:sz w:val="18"/>
              </w:rPr>
            </w:pPr>
            <w:r>
              <w:rPr>
                <w:b/>
                <w:w w:val="95"/>
                <w:sz w:val="18"/>
              </w:rPr>
              <w:t>211</w:t>
            </w:r>
          </w:p>
        </w:tc>
        <w:tc>
          <w:tcPr>
            <w:tcW w:w="1013" w:type="dxa"/>
          </w:tcPr>
          <w:p>
            <w:pPr>
              <w:pStyle w:val="TableParagraph"/>
              <w:spacing w:before="18"/>
              <w:ind w:right="86"/>
              <w:jc w:val="right"/>
              <w:rPr>
                <w:sz w:val="18"/>
              </w:rPr>
            </w:pPr>
            <w:r>
              <w:rPr>
                <w:w w:val="95"/>
                <w:sz w:val="18"/>
              </w:rPr>
              <w:t>146</w:t>
            </w:r>
          </w:p>
        </w:tc>
      </w:tr>
      <w:tr>
        <w:trPr>
          <w:trHeight w:val="264" w:hRule="exact"/>
        </w:trPr>
        <w:tc>
          <w:tcPr>
            <w:tcW w:w="3414" w:type="dxa"/>
          </w:tcPr>
          <w:p>
            <w:pPr>
              <w:pStyle w:val="TableParagraph"/>
              <w:spacing w:before="20"/>
              <w:ind w:left="35"/>
              <w:rPr>
                <w:sz w:val="18"/>
              </w:rPr>
            </w:pPr>
            <w:r>
              <w:rPr>
                <w:sz w:val="18"/>
              </w:rPr>
              <w:t>GB Pounds</w:t>
            </w:r>
          </w:p>
        </w:tc>
        <w:tc>
          <w:tcPr>
            <w:tcW w:w="1747" w:type="dxa"/>
          </w:tcPr>
          <w:p>
            <w:pPr>
              <w:pStyle w:val="TableParagraph"/>
              <w:spacing w:before="18"/>
              <w:ind w:right="367"/>
              <w:jc w:val="right"/>
              <w:rPr>
                <w:b/>
                <w:sz w:val="18"/>
              </w:rPr>
            </w:pPr>
            <w:r>
              <w:rPr>
                <w:b/>
                <w:w w:val="95"/>
                <w:sz w:val="18"/>
              </w:rPr>
              <w:t>213</w:t>
            </w:r>
          </w:p>
        </w:tc>
        <w:tc>
          <w:tcPr>
            <w:tcW w:w="1380" w:type="dxa"/>
          </w:tcPr>
          <w:p>
            <w:pPr>
              <w:pStyle w:val="TableParagraph"/>
              <w:spacing w:before="18"/>
              <w:ind w:right="454"/>
              <w:jc w:val="right"/>
              <w:rPr>
                <w:sz w:val="18"/>
              </w:rPr>
            </w:pPr>
            <w:r>
              <w:rPr>
                <w:w w:val="95"/>
                <w:sz w:val="18"/>
              </w:rPr>
              <w:t>307</w:t>
            </w:r>
          </w:p>
        </w:tc>
        <w:tc>
          <w:tcPr>
            <w:tcW w:w="1380" w:type="dxa"/>
          </w:tcPr>
          <w:p>
            <w:pPr>
              <w:pStyle w:val="TableParagraph"/>
              <w:spacing w:before="18"/>
              <w:ind w:right="367"/>
              <w:jc w:val="right"/>
              <w:rPr>
                <w:b/>
                <w:sz w:val="18"/>
              </w:rPr>
            </w:pPr>
            <w:r>
              <w:rPr>
                <w:b/>
                <w:w w:val="95"/>
                <w:sz w:val="18"/>
              </w:rPr>
              <w:t>213</w:t>
            </w:r>
          </w:p>
        </w:tc>
        <w:tc>
          <w:tcPr>
            <w:tcW w:w="1013" w:type="dxa"/>
          </w:tcPr>
          <w:p>
            <w:pPr>
              <w:pStyle w:val="TableParagraph"/>
              <w:spacing w:before="18"/>
              <w:ind w:right="86"/>
              <w:jc w:val="right"/>
              <w:rPr>
                <w:sz w:val="18"/>
              </w:rPr>
            </w:pPr>
            <w:r>
              <w:rPr>
                <w:w w:val="95"/>
                <w:sz w:val="18"/>
              </w:rPr>
              <w:t>307</w:t>
            </w:r>
          </w:p>
        </w:tc>
      </w:tr>
      <w:tr>
        <w:trPr>
          <w:trHeight w:val="260" w:hRule="exact"/>
        </w:trPr>
        <w:tc>
          <w:tcPr>
            <w:tcW w:w="3414" w:type="dxa"/>
          </w:tcPr>
          <w:p>
            <w:pPr>
              <w:pStyle w:val="TableParagraph"/>
              <w:spacing w:before="20"/>
              <w:ind w:left="35"/>
              <w:rPr>
                <w:sz w:val="18"/>
              </w:rPr>
            </w:pPr>
            <w:r>
              <w:rPr>
                <w:sz w:val="18"/>
              </w:rPr>
              <w:t>Other</w:t>
            </w:r>
          </w:p>
        </w:tc>
        <w:tc>
          <w:tcPr>
            <w:tcW w:w="1747" w:type="dxa"/>
            <w:tcBorders>
              <w:bottom w:val="single" w:sz="1" w:space="0" w:color="000000"/>
            </w:tcBorders>
          </w:tcPr>
          <w:p>
            <w:pPr>
              <w:pStyle w:val="TableParagraph"/>
              <w:spacing w:before="18"/>
              <w:ind w:right="367"/>
              <w:jc w:val="right"/>
              <w:rPr>
                <w:b/>
                <w:sz w:val="18"/>
              </w:rPr>
            </w:pPr>
            <w:r>
              <w:rPr>
                <w:b/>
                <w:sz w:val="18"/>
              </w:rPr>
              <w:t>49</w:t>
            </w:r>
          </w:p>
        </w:tc>
        <w:tc>
          <w:tcPr>
            <w:tcW w:w="1380" w:type="dxa"/>
            <w:tcBorders>
              <w:bottom w:val="single" w:sz="1" w:space="0" w:color="000000"/>
            </w:tcBorders>
          </w:tcPr>
          <w:p>
            <w:pPr>
              <w:pStyle w:val="TableParagraph"/>
              <w:spacing w:before="18"/>
              <w:ind w:right="454"/>
              <w:jc w:val="right"/>
              <w:rPr>
                <w:sz w:val="18"/>
              </w:rPr>
            </w:pPr>
            <w:r>
              <w:rPr>
                <w:sz w:val="18"/>
              </w:rPr>
              <w:t>13</w:t>
            </w:r>
          </w:p>
        </w:tc>
        <w:tc>
          <w:tcPr>
            <w:tcW w:w="1380" w:type="dxa"/>
            <w:tcBorders>
              <w:bottom w:val="single" w:sz="1" w:space="0" w:color="000000"/>
            </w:tcBorders>
          </w:tcPr>
          <w:p>
            <w:pPr>
              <w:pStyle w:val="TableParagraph"/>
              <w:spacing w:before="18"/>
              <w:ind w:right="367"/>
              <w:jc w:val="right"/>
              <w:rPr>
                <w:b/>
                <w:sz w:val="18"/>
              </w:rPr>
            </w:pPr>
            <w:r>
              <w:rPr>
                <w:b/>
                <w:sz w:val="18"/>
              </w:rPr>
              <w:t>49</w:t>
            </w:r>
          </w:p>
        </w:tc>
        <w:tc>
          <w:tcPr>
            <w:tcW w:w="1013" w:type="dxa"/>
            <w:tcBorders>
              <w:bottom w:val="single" w:sz="1" w:space="0" w:color="000000"/>
            </w:tcBorders>
          </w:tcPr>
          <w:p>
            <w:pPr>
              <w:pStyle w:val="TableParagraph"/>
              <w:spacing w:before="18"/>
              <w:ind w:right="86"/>
              <w:jc w:val="right"/>
              <w:rPr>
                <w:sz w:val="18"/>
              </w:rPr>
            </w:pPr>
            <w:r>
              <w:rPr>
                <w:sz w:val="18"/>
              </w:rPr>
              <w:t>13</w:t>
            </w:r>
          </w:p>
        </w:tc>
      </w:tr>
      <w:tr>
        <w:trPr>
          <w:trHeight w:val="353" w:hRule="exact"/>
        </w:trPr>
        <w:tc>
          <w:tcPr>
            <w:tcW w:w="3414" w:type="dxa"/>
          </w:tcPr>
          <w:p>
            <w:pPr/>
          </w:p>
        </w:tc>
        <w:tc>
          <w:tcPr>
            <w:tcW w:w="1747" w:type="dxa"/>
            <w:tcBorders>
              <w:top w:val="single" w:sz="1" w:space="0" w:color="000000"/>
              <w:bottom w:val="single" w:sz="1" w:space="0" w:color="000000"/>
            </w:tcBorders>
          </w:tcPr>
          <w:p>
            <w:pPr>
              <w:pStyle w:val="TableParagraph"/>
              <w:spacing w:before="124"/>
              <w:ind w:right="367"/>
              <w:jc w:val="right"/>
              <w:rPr>
                <w:b/>
                <w:sz w:val="18"/>
              </w:rPr>
            </w:pPr>
            <w:r>
              <w:rPr>
                <w:b/>
                <w:w w:val="95"/>
                <w:sz w:val="18"/>
              </w:rPr>
              <w:t>59,923</w:t>
            </w:r>
          </w:p>
        </w:tc>
        <w:tc>
          <w:tcPr>
            <w:tcW w:w="1380" w:type="dxa"/>
            <w:tcBorders>
              <w:top w:val="single" w:sz="1" w:space="0" w:color="000000"/>
              <w:bottom w:val="single" w:sz="1" w:space="0" w:color="000000"/>
            </w:tcBorders>
          </w:tcPr>
          <w:p>
            <w:pPr>
              <w:pStyle w:val="TableParagraph"/>
              <w:spacing w:before="124"/>
              <w:ind w:right="454"/>
              <w:jc w:val="right"/>
              <w:rPr>
                <w:sz w:val="18"/>
              </w:rPr>
            </w:pPr>
            <w:r>
              <w:rPr>
                <w:w w:val="95"/>
                <w:sz w:val="18"/>
              </w:rPr>
              <w:t>47,695</w:t>
            </w:r>
          </w:p>
        </w:tc>
        <w:tc>
          <w:tcPr>
            <w:tcW w:w="1380" w:type="dxa"/>
            <w:tcBorders>
              <w:top w:val="single" w:sz="1" w:space="0" w:color="000000"/>
              <w:bottom w:val="single" w:sz="1" w:space="0" w:color="000000"/>
            </w:tcBorders>
          </w:tcPr>
          <w:p>
            <w:pPr>
              <w:pStyle w:val="TableParagraph"/>
              <w:spacing w:before="124"/>
              <w:ind w:right="367"/>
              <w:jc w:val="right"/>
              <w:rPr>
                <w:b/>
                <w:sz w:val="18"/>
              </w:rPr>
            </w:pPr>
            <w:r>
              <w:rPr>
                <w:b/>
                <w:w w:val="95"/>
                <w:sz w:val="18"/>
              </w:rPr>
              <w:t>59,431</w:t>
            </w:r>
          </w:p>
        </w:tc>
        <w:tc>
          <w:tcPr>
            <w:tcW w:w="1013" w:type="dxa"/>
            <w:tcBorders>
              <w:top w:val="single" w:sz="1" w:space="0" w:color="000000"/>
              <w:bottom w:val="single" w:sz="1" w:space="0" w:color="000000"/>
            </w:tcBorders>
          </w:tcPr>
          <w:p>
            <w:pPr>
              <w:pStyle w:val="TableParagraph"/>
              <w:spacing w:before="124"/>
              <w:ind w:right="87"/>
              <w:jc w:val="right"/>
              <w:rPr>
                <w:sz w:val="18"/>
              </w:rPr>
            </w:pPr>
            <w:r>
              <w:rPr>
                <w:w w:val="95"/>
                <w:sz w:val="18"/>
              </w:rPr>
              <w:t>47,297</w:t>
            </w:r>
          </w:p>
        </w:tc>
      </w:tr>
    </w:tbl>
    <w:p>
      <w:pPr>
        <w:pStyle w:val="BodyText"/>
        <w:spacing w:before="5"/>
        <w:rPr>
          <w:b/>
          <w:sz w:val="20"/>
        </w:rPr>
      </w:pPr>
    </w:p>
    <w:p>
      <w:pPr>
        <w:pStyle w:val="BodyText"/>
        <w:spacing w:before="77"/>
        <w:ind w:left="1110" w:right="105"/>
      </w:pPr>
      <w:r>
        <w:rPr/>
        <w:t>For an analysis of the sensitivity of trade and other payables to foreign currency risk refer to note 35.</w:t>
      </w:r>
    </w:p>
    <w:p>
      <w:pPr>
        <w:spacing w:after="0"/>
        <w:sectPr>
          <w:type w:val="continuous"/>
          <w:pgSz w:w="11910" w:h="16840"/>
          <w:pgMar w:top="1580" w:bottom="280" w:left="860" w:right="880"/>
        </w:sectPr>
      </w:pPr>
    </w:p>
    <w:p>
      <w:pPr>
        <w:pStyle w:val="BodyText"/>
        <w:rPr>
          <w:sz w:val="20"/>
        </w:rPr>
      </w:pPr>
    </w:p>
    <w:p>
      <w:pPr>
        <w:pStyle w:val="BodyText"/>
        <w:rPr>
          <w:sz w:val="20"/>
        </w:rPr>
      </w:pPr>
    </w:p>
    <w:p>
      <w:pPr>
        <w:pStyle w:val="BodyText"/>
        <w:spacing w:before="9"/>
        <w:rPr>
          <w:sz w:val="11"/>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4082"/>
        <w:gridCol w:w="1625"/>
        <w:gridCol w:w="1387"/>
        <w:gridCol w:w="1523"/>
        <w:gridCol w:w="985"/>
      </w:tblGrid>
      <w:tr>
        <w:trPr>
          <w:trHeight w:val="567" w:hRule="exact"/>
        </w:trPr>
        <w:tc>
          <w:tcPr>
            <w:tcW w:w="333" w:type="dxa"/>
          </w:tcPr>
          <w:p>
            <w:pPr>
              <w:pStyle w:val="TableParagraph"/>
              <w:spacing w:before="77"/>
              <w:ind w:left="35"/>
              <w:rPr>
                <w:b/>
                <w:sz w:val="18"/>
              </w:rPr>
            </w:pPr>
            <w:bookmarkStart w:name="26 Borrowings " w:id="102"/>
            <w:bookmarkEnd w:id="102"/>
            <w:r>
              <w:rPr/>
            </w:r>
            <w:r>
              <w:rPr>
                <w:b/>
                <w:sz w:val="18"/>
              </w:rPr>
              <w:t>26</w:t>
            </w:r>
          </w:p>
        </w:tc>
        <w:tc>
          <w:tcPr>
            <w:tcW w:w="4082" w:type="dxa"/>
          </w:tcPr>
          <w:p>
            <w:pPr>
              <w:pStyle w:val="TableParagraph"/>
              <w:spacing w:before="77"/>
              <w:ind w:left="96"/>
              <w:rPr>
                <w:b/>
                <w:sz w:val="18"/>
              </w:rPr>
            </w:pPr>
            <w:r>
              <w:rPr>
                <w:b/>
                <w:sz w:val="18"/>
              </w:rPr>
              <w:t>Borrowings</w:t>
            </w:r>
          </w:p>
        </w:tc>
        <w:tc>
          <w:tcPr>
            <w:tcW w:w="3012" w:type="dxa"/>
            <w:gridSpan w:val="2"/>
          </w:tcPr>
          <w:p>
            <w:pPr>
              <w:pStyle w:val="TableParagraph"/>
              <w:rPr>
                <w:sz w:val="18"/>
              </w:rPr>
            </w:pPr>
          </w:p>
          <w:p>
            <w:pPr>
              <w:pStyle w:val="TableParagraph"/>
              <w:spacing w:before="110"/>
              <w:ind w:left="823"/>
              <w:rPr>
                <w:b/>
                <w:sz w:val="18"/>
              </w:rPr>
            </w:pPr>
            <w:r>
              <w:rPr>
                <w:b/>
                <w:sz w:val="18"/>
              </w:rPr>
              <w:t>Consolidated</w:t>
            </w:r>
          </w:p>
        </w:tc>
        <w:tc>
          <w:tcPr>
            <w:tcW w:w="1523" w:type="dxa"/>
          </w:tcPr>
          <w:p>
            <w:pPr>
              <w:pStyle w:val="TableParagraph"/>
              <w:rPr>
                <w:sz w:val="18"/>
              </w:rPr>
            </w:pPr>
          </w:p>
          <w:p>
            <w:pPr>
              <w:pStyle w:val="TableParagraph"/>
              <w:spacing w:before="110"/>
              <w:ind w:left="861"/>
              <w:rPr>
                <w:b/>
                <w:sz w:val="18"/>
              </w:rPr>
            </w:pPr>
            <w:r>
              <w:rPr>
                <w:b/>
                <w:sz w:val="18"/>
              </w:rPr>
              <w:t>Parent</w:t>
            </w:r>
          </w:p>
        </w:tc>
        <w:tc>
          <w:tcPr>
            <w:tcW w:w="985" w:type="dxa"/>
          </w:tcPr>
          <w:p>
            <w:pPr/>
          </w:p>
        </w:tc>
      </w:tr>
      <w:tr>
        <w:trPr>
          <w:trHeight w:val="274" w:hRule="exact"/>
        </w:trPr>
        <w:tc>
          <w:tcPr>
            <w:tcW w:w="333" w:type="dxa"/>
          </w:tcPr>
          <w:p>
            <w:pPr/>
          </w:p>
        </w:tc>
        <w:tc>
          <w:tcPr>
            <w:tcW w:w="4082" w:type="dxa"/>
          </w:tcPr>
          <w:p>
            <w:pPr/>
          </w:p>
        </w:tc>
        <w:tc>
          <w:tcPr>
            <w:tcW w:w="1625" w:type="dxa"/>
          </w:tcPr>
          <w:p>
            <w:pPr>
              <w:pStyle w:val="TableParagraph"/>
              <w:spacing w:before="24"/>
              <w:ind w:left="612"/>
              <w:rPr>
                <w:b/>
                <w:sz w:val="18"/>
              </w:rPr>
            </w:pPr>
            <w:r>
              <w:rPr>
                <w:b/>
                <w:sz w:val="18"/>
              </w:rPr>
              <w:t>2017</w:t>
            </w:r>
          </w:p>
        </w:tc>
        <w:tc>
          <w:tcPr>
            <w:tcW w:w="1387" w:type="dxa"/>
          </w:tcPr>
          <w:p>
            <w:pPr>
              <w:pStyle w:val="TableParagraph"/>
              <w:spacing w:before="24"/>
              <w:ind w:left="271"/>
              <w:rPr>
                <w:b/>
                <w:sz w:val="18"/>
              </w:rPr>
            </w:pPr>
            <w:r>
              <w:rPr>
                <w:b/>
                <w:sz w:val="18"/>
              </w:rPr>
              <w:t>2016</w:t>
            </w:r>
          </w:p>
        </w:tc>
        <w:tc>
          <w:tcPr>
            <w:tcW w:w="1523" w:type="dxa"/>
          </w:tcPr>
          <w:p>
            <w:pPr>
              <w:pStyle w:val="TableParagraph"/>
              <w:spacing w:before="24"/>
              <w:ind w:left="360"/>
              <w:rPr>
                <w:b/>
                <w:sz w:val="18"/>
              </w:rPr>
            </w:pPr>
            <w:r>
              <w:rPr>
                <w:b/>
                <w:sz w:val="18"/>
              </w:rPr>
              <w:t>2017</w:t>
            </w:r>
          </w:p>
        </w:tc>
        <w:tc>
          <w:tcPr>
            <w:tcW w:w="985" w:type="dxa"/>
          </w:tcPr>
          <w:p>
            <w:pPr>
              <w:pStyle w:val="TableParagraph"/>
              <w:spacing w:before="24"/>
              <w:ind w:left="121"/>
              <w:rPr>
                <w:b/>
                <w:sz w:val="18"/>
              </w:rPr>
            </w:pPr>
            <w:r>
              <w:rPr>
                <w:b/>
                <w:sz w:val="18"/>
              </w:rPr>
              <w:t>2016</w:t>
            </w:r>
          </w:p>
        </w:tc>
      </w:tr>
      <w:tr>
        <w:trPr>
          <w:trHeight w:val="313" w:hRule="exact"/>
        </w:trPr>
        <w:tc>
          <w:tcPr>
            <w:tcW w:w="333" w:type="dxa"/>
          </w:tcPr>
          <w:p>
            <w:pPr/>
          </w:p>
        </w:tc>
        <w:tc>
          <w:tcPr>
            <w:tcW w:w="4082" w:type="dxa"/>
          </w:tcPr>
          <w:p>
            <w:pPr/>
          </w:p>
        </w:tc>
        <w:tc>
          <w:tcPr>
            <w:tcW w:w="1625" w:type="dxa"/>
          </w:tcPr>
          <w:p>
            <w:pPr>
              <w:pStyle w:val="TableParagraph"/>
              <w:spacing w:before="24"/>
              <w:ind w:left="590"/>
              <w:rPr>
                <w:b/>
                <w:sz w:val="18"/>
              </w:rPr>
            </w:pPr>
            <w:r>
              <w:rPr>
                <w:b/>
                <w:sz w:val="18"/>
              </w:rPr>
              <w:t>$'000</w:t>
            </w:r>
          </w:p>
        </w:tc>
        <w:tc>
          <w:tcPr>
            <w:tcW w:w="1387" w:type="dxa"/>
          </w:tcPr>
          <w:p>
            <w:pPr>
              <w:pStyle w:val="TableParagraph"/>
              <w:spacing w:before="24"/>
              <w:ind w:left="249"/>
              <w:rPr>
                <w:b/>
                <w:sz w:val="18"/>
              </w:rPr>
            </w:pPr>
            <w:r>
              <w:rPr>
                <w:b/>
                <w:sz w:val="18"/>
              </w:rPr>
              <w:t>$'000</w:t>
            </w:r>
          </w:p>
        </w:tc>
        <w:tc>
          <w:tcPr>
            <w:tcW w:w="1523" w:type="dxa"/>
          </w:tcPr>
          <w:p>
            <w:pPr>
              <w:pStyle w:val="TableParagraph"/>
              <w:spacing w:before="24"/>
              <w:ind w:left="338"/>
              <w:rPr>
                <w:b/>
                <w:sz w:val="18"/>
              </w:rPr>
            </w:pPr>
            <w:r>
              <w:rPr>
                <w:b/>
                <w:sz w:val="18"/>
              </w:rPr>
              <w:t>$'000</w:t>
            </w:r>
          </w:p>
        </w:tc>
        <w:tc>
          <w:tcPr>
            <w:tcW w:w="985" w:type="dxa"/>
          </w:tcPr>
          <w:p>
            <w:pPr>
              <w:pStyle w:val="TableParagraph"/>
              <w:spacing w:before="24"/>
              <w:ind w:left="99"/>
              <w:rPr>
                <w:b/>
                <w:sz w:val="18"/>
              </w:rPr>
            </w:pPr>
            <w:r>
              <w:rPr>
                <w:b/>
                <w:sz w:val="18"/>
              </w:rPr>
              <w:t>$'000</w:t>
            </w:r>
          </w:p>
        </w:tc>
      </w:tr>
      <w:tr>
        <w:trPr>
          <w:trHeight w:val="542" w:hRule="exact"/>
        </w:trPr>
        <w:tc>
          <w:tcPr>
            <w:tcW w:w="333" w:type="dxa"/>
          </w:tcPr>
          <w:p>
            <w:pPr/>
          </w:p>
        </w:tc>
        <w:tc>
          <w:tcPr>
            <w:tcW w:w="4082" w:type="dxa"/>
          </w:tcPr>
          <w:p>
            <w:pPr>
              <w:pStyle w:val="TableParagraph"/>
              <w:spacing w:before="63"/>
              <w:ind w:left="96"/>
              <w:rPr>
                <w:b/>
                <w:sz w:val="18"/>
              </w:rPr>
            </w:pPr>
            <w:r>
              <w:rPr>
                <w:b/>
                <w:sz w:val="18"/>
              </w:rPr>
              <w:t>Current</w:t>
            </w:r>
          </w:p>
          <w:p>
            <w:pPr>
              <w:pStyle w:val="TableParagraph"/>
              <w:spacing w:before="26"/>
              <w:ind w:left="96"/>
              <w:rPr>
                <w:sz w:val="18"/>
              </w:rPr>
            </w:pPr>
            <w:r>
              <w:rPr>
                <w:sz w:val="18"/>
              </w:rPr>
              <w:t>Unsecured bank loans (i)</w:t>
            </w:r>
          </w:p>
        </w:tc>
        <w:tc>
          <w:tcPr>
            <w:tcW w:w="1625" w:type="dxa"/>
          </w:tcPr>
          <w:p>
            <w:pPr>
              <w:pStyle w:val="TableParagraph"/>
              <w:spacing w:before="11"/>
              <w:rPr>
                <w:sz w:val="25"/>
              </w:rPr>
            </w:pPr>
          </w:p>
          <w:p>
            <w:pPr>
              <w:pStyle w:val="TableParagraph"/>
              <w:ind w:right="247"/>
              <w:jc w:val="right"/>
              <w:rPr>
                <w:b/>
                <w:sz w:val="18"/>
              </w:rPr>
            </w:pPr>
            <w:r>
              <w:rPr>
                <w:b/>
                <w:w w:val="99"/>
                <w:sz w:val="18"/>
              </w:rPr>
              <w:t>-</w:t>
            </w:r>
          </w:p>
        </w:tc>
        <w:tc>
          <w:tcPr>
            <w:tcW w:w="1387" w:type="dxa"/>
          </w:tcPr>
          <w:p>
            <w:pPr>
              <w:pStyle w:val="TableParagraph"/>
              <w:spacing w:before="11"/>
              <w:rPr>
                <w:sz w:val="25"/>
              </w:rPr>
            </w:pPr>
          </w:p>
          <w:p>
            <w:pPr>
              <w:pStyle w:val="TableParagraph"/>
              <w:ind w:right="336"/>
              <w:jc w:val="right"/>
              <w:rPr>
                <w:sz w:val="18"/>
              </w:rPr>
            </w:pPr>
            <w:r>
              <w:rPr>
                <w:w w:val="95"/>
                <w:sz w:val="18"/>
              </w:rPr>
              <w:t>72,000</w:t>
            </w:r>
          </w:p>
        </w:tc>
        <w:tc>
          <w:tcPr>
            <w:tcW w:w="1523" w:type="dxa"/>
          </w:tcPr>
          <w:p>
            <w:pPr>
              <w:pStyle w:val="TableParagraph"/>
              <w:spacing w:before="11"/>
              <w:rPr>
                <w:sz w:val="25"/>
              </w:rPr>
            </w:pPr>
          </w:p>
          <w:p>
            <w:pPr>
              <w:pStyle w:val="TableParagraph"/>
              <w:ind w:right="397"/>
              <w:jc w:val="right"/>
              <w:rPr>
                <w:b/>
                <w:sz w:val="18"/>
              </w:rPr>
            </w:pPr>
            <w:r>
              <w:rPr>
                <w:b/>
                <w:w w:val="99"/>
                <w:sz w:val="18"/>
              </w:rPr>
              <w:t>-</w:t>
            </w:r>
          </w:p>
        </w:tc>
        <w:tc>
          <w:tcPr>
            <w:tcW w:w="985" w:type="dxa"/>
          </w:tcPr>
          <w:p>
            <w:pPr>
              <w:pStyle w:val="TableParagraph"/>
              <w:spacing w:before="11"/>
              <w:rPr>
                <w:sz w:val="25"/>
              </w:rPr>
            </w:pPr>
          </w:p>
          <w:p>
            <w:pPr>
              <w:pStyle w:val="TableParagraph"/>
              <w:ind w:right="84"/>
              <w:jc w:val="right"/>
              <w:rPr>
                <w:sz w:val="18"/>
              </w:rPr>
            </w:pPr>
            <w:r>
              <w:rPr>
                <w:w w:val="95"/>
                <w:sz w:val="18"/>
              </w:rPr>
              <w:t>72,000</w:t>
            </w:r>
          </w:p>
        </w:tc>
      </w:tr>
      <w:tr>
        <w:trPr>
          <w:trHeight w:val="262" w:hRule="exact"/>
        </w:trPr>
        <w:tc>
          <w:tcPr>
            <w:tcW w:w="333" w:type="dxa"/>
          </w:tcPr>
          <w:p>
            <w:pPr/>
          </w:p>
        </w:tc>
        <w:tc>
          <w:tcPr>
            <w:tcW w:w="4082" w:type="dxa"/>
          </w:tcPr>
          <w:p>
            <w:pPr>
              <w:pStyle w:val="TableParagraph"/>
              <w:spacing w:before="18"/>
              <w:ind w:left="96"/>
              <w:rPr>
                <w:sz w:val="18"/>
              </w:rPr>
            </w:pPr>
            <w:r>
              <w:rPr>
                <w:sz w:val="18"/>
              </w:rPr>
              <w:t>Unsecured other financial liabilities (ii)</w:t>
            </w:r>
          </w:p>
        </w:tc>
        <w:tc>
          <w:tcPr>
            <w:tcW w:w="1625" w:type="dxa"/>
            <w:tcBorders>
              <w:bottom w:val="single" w:sz="1" w:space="0" w:color="000000"/>
            </w:tcBorders>
          </w:tcPr>
          <w:p>
            <w:pPr>
              <w:pStyle w:val="TableParagraph"/>
              <w:spacing w:before="20"/>
              <w:ind w:right="247"/>
              <w:jc w:val="right"/>
              <w:rPr>
                <w:b/>
                <w:sz w:val="18"/>
              </w:rPr>
            </w:pPr>
            <w:r>
              <w:rPr>
                <w:b/>
                <w:w w:val="99"/>
                <w:sz w:val="18"/>
              </w:rPr>
              <w:t>-</w:t>
            </w:r>
          </w:p>
        </w:tc>
        <w:tc>
          <w:tcPr>
            <w:tcW w:w="1387" w:type="dxa"/>
            <w:tcBorders>
              <w:bottom w:val="single" w:sz="1" w:space="0" w:color="000000"/>
            </w:tcBorders>
          </w:tcPr>
          <w:p>
            <w:pPr>
              <w:pStyle w:val="TableParagraph"/>
              <w:spacing w:before="20"/>
              <w:ind w:right="336"/>
              <w:jc w:val="right"/>
              <w:rPr>
                <w:sz w:val="18"/>
              </w:rPr>
            </w:pPr>
            <w:r>
              <w:rPr>
                <w:w w:val="99"/>
                <w:sz w:val="18"/>
              </w:rPr>
              <w:t>-</w:t>
            </w:r>
          </w:p>
        </w:tc>
        <w:tc>
          <w:tcPr>
            <w:tcW w:w="1523" w:type="dxa"/>
            <w:tcBorders>
              <w:bottom w:val="single" w:sz="1" w:space="0" w:color="000000"/>
            </w:tcBorders>
          </w:tcPr>
          <w:p>
            <w:pPr>
              <w:pStyle w:val="TableParagraph"/>
              <w:spacing w:before="20"/>
              <w:ind w:left="669"/>
              <w:rPr>
                <w:b/>
                <w:sz w:val="18"/>
              </w:rPr>
            </w:pPr>
            <w:r>
              <w:rPr>
                <w:b/>
                <w:sz w:val="18"/>
              </w:rPr>
              <w:t>9,201</w:t>
            </w:r>
          </w:p>
        </w:tc>
        <w:tc>
          <w:tcPr>
            <w:tcW w:w="985" w:type="dxa"/>
            <w:tcBorders>
              <w:bottom w:val="single" w:sz="1" w:space="0" w:color="000000"/>
            </w:tcBorders>
          </w:tcPr>
          <w:p>
            <w:pPr>
              <w:pStyle w:val="TableParagraph"/>
              <w:spacing w:before="20"/>
              <w:ind w:right="84"/>
              <w:jc w:val="right"/>
              <w:rPr>
                <w:sz w:val="18"/>
              </w:rPr>
            </w:pPr>
            <w:r>
              <w:rPr>
                <w:w w:val="95"/>
                <w:sz w:val="18"/>
              </w:rPr>
              <w:t>7,228</w:t>
            </w:r>
          </w:p>
        </w:tc>
      </w:tr>
      <w:tr>
        <w:trPr>
          <w:trHeight w:val="338" w:hRule="exact"/>
        </w:trPr>
        <w:tc>
          <w:tcPr>
            <w:tcW w:w="333" w:type="dxa"/>
          </w:tcPr>
          <w:p>
            <w:pPr/>
          </w:p>
        </w:tc>
        <w:tc>
          <w:tcPr>
            <w:tcW w:w="4082" w:type="dxa"/>
          </w:tcPr>
          <w:p>
            <w:pPr>
              <w:pStyle w:val="TableParagraph"/>
              <w:spacing w:before="125"/>
              <w:ind w:left="96"/>
              <w:rPr>
                <w:b/>
                <w:sz w:val="18"/>
              </w:rPr>
            </w:pPr>
            <w:r>
              <w:rPr>
                <w:b/>
                <w:sz w:val="18"/>
              </w:rPr>
              <w:t>Total current borrowings</w:t>
            </w:r>
          </w:p>
        </w:tc>
        <w:tc>
          <w:tcPr>
            <w:tcW w:w="1625" w:type="dxa"/>
            <w:tcBorders>
              <w:top w:val="single" w:sz="1" w:space="0" w:color="000000"/>
              <w:bottom w:val="single" w:sz="1" w:space="0" w:color="000000"/>
            </w:tcBorders>
          </w:tcPr>
          <w:p>
            <w:pPr>
              <w:pStyle w:val="TableParagraph"/>
              <w:spacing w:before="124"/>
              <w:ind w:right="247"/>
              <w:jc w:val="right"/>
              <w:rPr>
                <w:b/>
                <w:sz w:val="18"/>
              </w:rPr>
            </w:pPr>
            <w:r>
              <w:rPr>
                <w:b/>
                <w:w w:val="99"/>
                <w:sz w:val="18"/>
              </w:rPr>
              <w:t>-</w:t>
            </w:r>
          </w:p>
        </w:tc>
        <w:tc>
          <w:tcPr>
            <w:tcW w:w="1387" w:type="dxa"/>
            <w:tcBorders>
              <w:top w:val="single" w:sz="1" w:space="0" w:color="000000"/>
              <w:bottom w:val="single" w:sz="1" w:space="0" w:color="000000"/>
            </w:tcBorders>
          </w:tcPr>
          <w:p>
            <w:pPr>
              <w:pStyle w:val="TableParagraph"/>
              <w:spacing w:before="124"/>
              <w:ind w:right="336"/>
              <w:jc w:val="right"/>
              <w:rPr>
                <w:sz w:val="18"/>
              </w:rPr>
            </w:pPr>
            <w:r>
              <w:rPr>
                <w:w w:val="95"/>
                <w:sz w:val="18"/>
              </w:rPr>
              <w:t>72,000</w:t>
            </w:r>
          </w:p>
        </w:tc>
        <w:tc>
          <w:tcPr>
            <w:tcW w:w="1523" w:type="dxa"/>
            <w:tcBorders>
              <w:top w:val="single" w:sz="1" w:space="0" w:color="000000"/>
              <w:bottom w:val="single" w:sz="1" w:space="0" w:color="000000"/>
            </w:tcBorders>
          </w:tcPr>
          <w:p>
            <w:pPr>
              <w:pStyle w:val="TableParagraph"/>
              <w:spacing w:before="124"/>
              <w:ind w:left="669"/>
              <w:rPr>
                <w:b/>
                <w:sz w:val="18"/>
              </w:rPr>
            </w:pPr>
            <w:r>
              <w:rPr>
                <w:b/>
                <w:sz w:val="18"/>
              </w:rPr>
              <w:t>9,201</w:t>
            </w:r>
          </w:p>
        </w:tc>
        <w:tc>
          <w:tcPr>
            <w:tcW w:w="985" w:type="dxa"/>
            <w:tcBorders>
              <w:top w:val="single" w:sz="1" w:space="0" w:color="000000"/>
              <w:bottom w:val="single" w:sz="1" w:space="0" w:color="000000"/>
            </w:tcBorders>
          </w:tcPr>
          <w:p>
            <w:pPr>
              <w:pStyle w:val="TableParagraph"/>
              <w:spacing w:before="124"/>
              <w:ind w:right="84"/>
              <w:jc w:val="right"/>
              <w:rPr>
                <w:sz w:val="18"/>
              </w:rPr>
            </w:pPr>
            <w:r>
              <w:rPr>
                <w:w w:val="95"/>
                <w:sz w:val="18"/>
              </w:rPr>
              <w:t>79,228</w:t>
            </w:r>
          </w:p>
        </w:tc>
      </w:tr>
      <w:tr>
        <w:trPr>
          <w:trHeight w:val="356" w:hRule="exact"/>
        </w:trPr>
        <w:tc>
          <w:tcPr>
            <w:tcW w:w="333" w:type="dxa"/>
          </w:tcPr>
          <w:p>
            <w:pPr/>
          </w:p>
        </w:tc>
        <w:tc>
          <w:tcPr>
            <w:tcW w:w="4082" w:type="dxa"/>
          </w:tcPr>
          <w:p>
            <w:pPr>
              <w:pStyle w:val="TableParagraph"/>
              <w:spacing w:before="125"/>
              <w:ind w:left="96"/>
              <w:rPr>
                <w:b/>
                <w:sz w:val="18"/>
              </w:rPr>
            </w:pPr>
            <w:r>
              <w:rPr>
                <w:b/>
                <w:sz w:val="18"/>
              </w:rPr>
              <w:t>Non-Current</w:t>
            </w:r>
          </w:p>
        </w:tc>
        <w:tc>
          <w:tcPr>
            <w:tcW w:w="1625" w:type="dxa"/>
            <w:tcBorders>
              <w:top w:val="single" w:sz="1" w:space="0" w:color="000000"/>
            </w:tcBorders>
          </w:tcPr>
          <w:p>
            <w:pPr/>
          </w:p>
        </w:tc>
        <w:tc>
          <w:tcPr>
            <w:tcW w:w="1387" w:type="dxa"/>
            <w:tcBorders>
              <w:top w:val="single" w:sz="1" w:space="0" w:color="000000"/>
            </w:tcBorders>
          </w:tcPr>
          <w:p>
            <w:pPr/>
          </w:p>
        </w:tc>
        <w:tc>
          <w:tcPr>
            <w:tcW w:w="1523" w:type="dxa"/>
            <w:tcBorders>
              <w:top w:val="single" w:sz="1" w:space="0" w:color="000000"/>
            </w:tcBorders>
          </w:tcPr>
          <w:p>
            <w:pPr/>
          </w:p>
        </w:tc>
        <w:tc>
          <w:tcPr>
            <w:tcW w:w="985" w:type="dxa"/>
            <w:tcBorders>
              <w:top w:val="single" w:sz="1" w:space="0" w:color="000000"/>
            </w:tcBorders>
          </w:tcPr>
          <w:p>
            <w:pPr/>
          </w:p>
        </w:tc>
      </w:tr>
      <w:tr>
        <w:trPr>
          <w:trHeight w:val="247" w:hRule="exact"/>
        </w:trPr>
        <w:tc>
          <w:tcPr>
            <w:tcW w:w="333" w:type="dxa"/>
          </w:tcPr>
          <w:p>
            <w:pPr/>
          </w:p>
        </w:tc>
        <w:tc>
          <w:tcPr>
            <w:tcW w:w="4082" w:type="dxa"/>
          </w:tcPr>
          <w:p>
            <w:pPr>
              <w:pStyle w:val="TableParagraph"/>
              <w:spacing w:before="7"/>
              <w:ind w:left="96"/>
              <w:rPr>
                <w:sz w:val="18"/>
              </w:rPr>
            </w:pPr>
            <w:r>
              <w:rPr>
                <w:sz w:val="18"/>
              </w:rPr>
              <w:t>Unsecured bank loans (i)</w:t>
            </w:r>
          </w:p>
        </w:tc>
        <w:tc>
          <w:tcPr>
            <w:tcW w:w="1625" w:type="dxa"/>
            <w:tcBorders>
              <w:bottom w:val="single" w:sz="1" w:space="0" w:color="000000"/>
            </w:tcBorders>
          </w:tcPr>
          <w:p>
            <w:pPr>
              <w:pStyle w:val="TableParagraph"/>
              <w:spacing w:before="4"/>
              <w:ind w:right="247"/>
              <w:jc w:val="right"/>
              <w:rPr>
                <w:b/>
                <w:sz w:val="18"/>
              </w:rPr>
            </w:pPr>
            <w:r>
              <w:rPr>
                <w:b/>
                <w:w w:val="95"/>
                <w:sz w:val="18"/>
              </w:rPr>
              <w:t>163,500</w:t>
            </w:r>
          </w:p>
        </w:tc>
        <w:tc>
          <w:tcPr>
            <w:tcW w:w="1387" w:type="dxa"/>
            <w:tcBorders>
              <w:bottom w:val="single" w:sz="1" w:space="0" w:color="000000"/>
            </w:tcBorders>
          </w:tcPr>
          <w:p>
            <w:pPr>
              <w:pStyle w:val="TableParagraph"/>
              <w:spacing w:before="4"/>
              <w:ind w:right="336"/>
              <w:jc w:val="right"/>
              <w:rPr>
                <w:sz w:val="18"/>
              </w:rPr>
            </w:pPr>
            <w:r>
              <w:rPr>
                <w:w w:val="95"/>
                <w:sz w:val="18"/>
              </w:rPr>
              <w:t>83,000</w:t>
            </w:r>
          </w:p>
        </w:tc>
        <w:tc>
          <w:tcPr>
            <w:tcW w:w="1523" w:type="dxa"/>
            <w:tcBorders>
              <w:bottom w:val="single" w:sz="1" w:space="0" w:color="000000"/>
            </w:tcBorders>
          </w:tcPr>
          <w:p>
            <w:pPr>
              <w:pStyle w:val="TableParagraph"/>
              <w:spacing w:before="4"/>
              <w:ind w:left="468"/>
              <w:rPr>
                <w:b/>
                <w:sz w:val="18"/>
              </w:rPr>
            </w:pPr>
            <w:r>
              <w:rPr>
                <w:b/>
                <w:sz w:val="18"/>
              </w:rPr>
              <w:t>163,500</w:t>
            </w:r>
          </w:p>
        </w:tc>
        <w:tc>
          <w:tcPr>
            <w:tcW w:w="985" w:type="dxa"/>
            <w:tcBorders>
              <w:bottom w:val="single" w:sz="1" w:space="0" w:color="000000"/>
            </w:tcBorders>
          </w:tcPr>
          <w:p>
            <w:pPr>
              <w:pStyle w:val="TableParagraph"/>
              <w:spacing w:before="4"/>
              <w:ind w:right="84"/>
              <w:jc w:val="right"/>
              <w:rPr>
                <w:sz w:val="18"/>
              </w:rPr>
            </w:pPr>
            <w:r>
              <w:rPr>
                <w:w w:val="95"/>
                <w:sz w:val="18"/>
              </w:rPr>
              <w:t>83,000</w:t>
            </w:r>
          </w:p>
        </w:tc>
      </w:tr>
      <w:tr>
        <w:trPr>
          <w:trHeight w:val="338" w:hRule="exact"/>
        </w:trPr>
        <w:tc>
          <w:tcPr>
            <w:tcW w:w="333" w:type="dxa"/>
          </w:tcPr>
          <w:p>
            <w:pPr/>
          </w:p>
        </w:tc>
        <w:tc>
          <w:tcPr>
            <w:tcW w:w="4082" w:type="dxa"/>
          </w:tcPr>
          <w:p>
            <w:pPr>
              <w:pStyle w:val="TableParagraph"/>
              <w:spacing w:before="125"/>
              <w:ind w:left="96"/>
              <w:rPr>
                <w:b/>
                <w:sz w:val="18"/>
              </w:rPr>
            </w:pPr>
            <w:r>
              <w:rPr>
                <w:b/>
                <w:sz w:val="18"/>
              </w:rPr>
              <w:t>Total non-current borrowings</w:t>
            </w:r>
          </w:p>
        </w:tc>
        <w:tc>
          <w:tcPr>
            <w:tcW w:w="1625" w:type="dxa"/>
            <w:tcBorders>
              <w:top w:val="single" w:sz="1" w:space="0" w:color="000000"/>
              <w:bottom w:val="single" w:sz="1" w:space="0" w:color="000000"/>
            </w:tcBorders>
          </w:tcPr>
          <w:p>
            <w:pPr>
              <w:pStyle w:val="TableParagraph"/>
              <w:spacing w:before="124"/>
              <w:ind w:right="247"/>
              <w:jc w:val="right"/>
              <w:rPr>
                <w:b/>
                <w:sz w:val="18"/>
              </w:rPr>
            </w:pPr>
            <w:r>
              <w:rPr>
                <w:b/>
                <w:w w:val="95"/>
                <w:sz w:val="18"/>
              </w:rPr>
              <w:t>163,500</w:t>
            </w:r>
          </w:p>
        </w:tc>
        <w:tc>
          <w:tcPr>
            <w:tcW w:w="1387" w:type="dxa"/>
            <w:tcBorders>
              <w:top w:val="single" w:sz="1" w:space="0" w:color="000000"/>
              <w:bottom w:val="single" w:sz="1" w:space="0" w:color="000000"/>
            </w:tcBorders>
          </w:tcPr>
          <w:p>
            <w:pPr>
              <w:pStyle w:val="TableParagraph"/>
              <w:spacing w:before="124"/>
              <w:ind w:right="336"/>
              <w:jc w:val="right"/>
              <w:rPr>
                <w:sz w:val="18"/>
              </w:rPr>
            </w:pPr>
            <w:r>
              <w:rPr>
                <w:w w:val="95"/>
                <w:sz w:val="18"/>
              </w:rPr>
              <w:t>83,000</w:t>
            </w:r>
          </w:p>
        </w:tc>
        <w:tc>
          <w:tcPr>
            <w:tcW w:w="1523" w:type="dxa"/>
            <w:tcBorders>
              <w:top w:val="single" w:sz="1" w:space="0" w:color="000000"/>
              <w:bottom w:val="single" w:sz="1" w:space="0" w:color="000000"/>
            </w:tcBorders>
          </w:tcPr>
          <w:p>
            <w:pPr>
              <w:pStyle w:val="TableParagraph"/>
              <w:spacing w:before="124"/>
              <w:ind w:left="468"/>
              <w:rPr>
                <w:b/>
                <w:sz w:val="18"/>
              </w:rPr>
            </w:pPr>
            <w:r>
              <w:rPr>
                <w:b/>
                <w:sz w:val="18"/>
              </w:rPr>
              <w:t>163,500</w:t>
            </w:r>
          </w:p>
        </w:tc>
        <w:tc>
          <w:tcPr>
            <w:tcW w:w="985" w:type="dxa"/>
            <w:tcBorders>
              <w:top w:val="single" w:sz="1" w:space="0" w:color="000000"/>
              <w:bottom w:val="single" w:sz="1" w:space="0" w:color="000000"/>
            </w:tcBorders>
          </w:tcPr>
          <w:p>
            <w:pPr>
              <w:pStyle w:val="TableParagraph"/>
              <w:spacing w:before="124"/>
              <w:ind w:right="84"/>
              <w:jc w:val="right"/>
              <w:rPr>
                <w:sz w:val="18"/>
              </w:rPr>
            </w:pPr>
            <w:r>
              <w:rPr>
                <w:w w:val="95"/>
                <w:sz w:val="18"/>
              </w:rPr>
              <w:t>83,000</w:t>
            </w:r>
          </w:p>
        </w:tc>
      </w:tr>
      <w:tr>
        <w:trPr>
          <w:trHeight w:val="353" w:hRule="exact"/>
        </w:trPr>
        <w:tc>
          <w:tcPr>
            <w:tcW w:w="333" w:type="dxa"/>
          </w:tcPr>
          <w:p>
            <w:pPr/>
          </w:p>
        </w:tc>
        <w:tc>
          <w:tcPr>
            <w:tcW w:w="4082" w:type="dxa"/>
          </w:tcPr>
          <w:p>
            <w:pPr>
              <w:pStyle w:val="TableParagraph"/>
              <w:spacing w:before="125"/>
              <w:ind w:left="96"/>
              <w:rPr>
                <w:b/>
                <w:sz w:val="18"/>
              </w:rPr>
            </w:pPr>
            <w:r>
              <w:rPr>
                <w:b/>
                <w:sz w:val="18"/>
              </w:rPr>
              <w:t>Total borrowings</w:t>
            </w:r>
          </w:p>
        </w:tc>
        <w:tc>
          <w:tcPr>
            <w:tcW w:w="1625" w:type="dxa"/>
            <w:tcBorders>
              <w:top w:val="single" w:sz="1" w:space="0" w:color="000000"/>
              <w:bottom w:val="single" w:sz="1" w:space="0" w:color="000000"/>
            </w:tcBorders>
          </w:tcPr>
          <w:p>
            <w:pPr>
              <w:pStyle w:val="TableParagraph"/>
              <w:spacing w:before="124"/>
              <w:ind w:right="247"/>
              <w:jc w:val="right"/>
              <w:rPr>
                <w:b/>
                <w:sz w:val="18"/>
              </w:rPr>
            </w:pPr>
            <w:r>
              <w:rPr>
                <w:b/>
                <w:w w:val="95"/>
                <w:sz w:val="18"/>
              </w:rPr>
              <w:t>163,500</w:t>
            </w:r>
          </w:p>
        </w:tc>
        <w:tc>
          <w:tcPr>
            <w:tcW w:w="1387" w:type="dxa"/>
            <w:tcBorders>
              <w:top w:val="single" w:sz="1" w:space="0" w:color="000000"/>
              <w:bottom w:val="single" w:sz="1" w:space="0" w:color="000000"/>
            </w:tcBorders>
          </w:tcPr>
          <w:p>
            <w:pPr>
              <w:pStyle w:val="TableParagraph"/>
              <w:spacing w:before="124"/>
              <w:ind w:right="338"/>
              <w:jc w:val="right"/>
              <w:rPr>
                <w:sz w:val="18"/>
              </w:rPr>
            </w:pPr>
            <w:r>
              <w:rPr>
                <w:w w:val="95"/>
                <w:sz w:val="18"/>
              </w:rPr>
              <w:t>155,000</w:t>
            </w:r>
          </w:p>
        </w:tc>
        <w:tc>
          <w:tcPr>
            <w:tcW w:w="1523" w:type="dxa"/>
            <w:tcBorders>
              <w:top w:val="single" w:sz="1" w:space="0" w:color="000000"/>
              <w:bottom w:val="single" w:sz="1" w:space="0" w:color="000000"/>
            </w:tcBorders>
          </w:tcPr>
          <w:p>
            <w:pPr>
              <w:pStyle w:val="TableParagraph"/>
              <w:spacing w:before="124"/>
              <w:ind w:left="468"/>
              <w:rPr>
                <w:b/>
                <w:sz w:val="18"/>
              </w:rPr>
            </w:pPr>
            <w:r>
              <w:rPr>
                <w:b/>
                <w:sz w:val="18"/>
              </w:rPr>
              <w:t>172,701</w:t>
            </w:r>
          </w:p>
        </w:tc>
        <w:tc>
          <w:tcPr>
            <w:tcW w:w="985" w:type="dxa"/>
            <w:tcBorders>
              <w:top w:val="single" w:sz="1" w:space="0" w:color="000000"/>
              <w:bottom w:val="single" w:sz="1" w:space="0" w:color="000000"/>
            </w:tcBorders>
          </w:tcPr>
          <w:p>
            <w:pPr>
              <w:pStyle w:val="TableParagraph"/>
              <w:spacing w:before="124"/>
              <w:ind w:right="88"/>
              <w:jc w:val="right"/>
              <w:rPr>
                <w:sz w:val="18"/>
              </w:rPr>
            </w:pPr>
            <w:r>
              <w:rPr>
                <w:w w:val="95"/>
                <w:sz w:val="18"/>
              </w:rPr>
              <w:t>162,228</w:t>
            </w:r>
          </w:p>
        </w:tc>
      </w:tr>
    </w:tbl>
    <w:p>
      <w:pPr>
        <w:pStyle w:val="BodyText"/>
        <w:spacing w:before="5"/>
        <w:rPr>
          <w:sz w:val="20"/>
        </w:rPr>
      </w:pPr>
    </w:p>
    <w:p>
      <w:pPr>
        <w:pStyle w:val="ListParagraph"/>
        <w:numPr>
          <w:ilvl w:val="0"/>
          <w:numId w:val="28"/>
        </w:numPr>
        <w:tabs>
          <w:tab w:pos="828" w:val="left" w:leader="none"/>
        </w:tabs>
        <w:spacing w:line="240" w:lineRule="auto" w:before="77" w:after="0"/>
        <w:ind w:left="827" w:right="226" w:hanging="283"/>
        <w:jc w:val="left"/>
        <w:rPr>
          <w:sz w:val="18"/>
        </w:rPr>
      </w:pPr>
      <w:r>
        <w:rPr>
          <w:sz w:val="18"/>
        </w:rPr>
        <w:t>In October 2013 the University received approval from the Treasurer of New South Wales to increase its borrowing facilities by $70 million to a maximum of $198 million for the construction of new facilities and other infrastructure. Such approval was required under Section 22 (l)(e) of the Western Sydney University Act 1997.The additional facilities were finalised with the University's bank in September</w:t>
      </w:r>
      <w:r>
        <w:rPr>
          <w:spacing w:val="8"/>
          <w:sz w:val="18"/>
        </w:rPr>
        <w:t> </w:t>
      </w:r>
      <w:r>
        <w:rPr>
          <w:sz w:val="18"/>
        </w:rPr>
        <w:t>2014.</w:t>
      </w:r>
    </w:p>
    <w:p>
      <w:pPr>
        <w:pStyle w:val="BodyText"/>
        <w:spacing w:before="11"/>
        <w:rPr>
          <w:sz w:val="24"/>
        </w:rPr>
      </w:pPr>
    </w:p>
    <w:p>
      <w:pPr>
        <w:pStyle w:val="BodyText"/>
        <w:ind w:left="827" w:right="105"/>
      </w:pPr>
      <w:r>
        <w:rPr/>
        <w:t>In November 2016 the borrowing facilities were further increased by $100 million to a maximum $298 million and were finalised with the University's bank in November 2016.</w:t>
      </w:r>
    </w:p>
    <w:p>
      <w:pPr>
        <w:pStyle w:val="BodyText"/>
        <w:spacing w:before="11"/>
        <w:rPr>
          <w:sz w:val="24"/>
        </w:rPr>
      </w:pPr>
    </w:p>
    <w:p>
      <w:pPr>
        <w:pStyle w:val="BodyText"/>
        <w:ind w:left="827" w:right="200"/>
      </w:pPr>
      <w:r>
        <w:rPr/>
        <w:t>The interest rate of the loan is variable being based on the BBSY bid rate plus a margin.  The interest rate averaged 2.75% during 2017 and is not benchmarked for liability management performance. The loan facilities are unsecured.</w:t>
      </w:r>
    </w:p>
    <w:p>
      <w:pPr>
        <w:pStyle w:val="BodyText"/>
        <w:spacing w:before="11"/>
        <w:rPr>
          <w:sz w:val="24"/>
        </w:rPr>
      </w:pPr>
    </w:p>
    <w:p>
      <w:pPr>
        <w:pStyle w:val="BodyText"/>
        <w:ind w:left="827" w:right="105"/>
      </w:pPr>
      <w:r>
        <w:rPr/>
        <w:t>The balance of the loan outstanding as at 31 December 2017 was $163.5 million (2016: $155.0 million).</w:t>
      </w:r>
    </w:p>
    <w:p>
      <w:pPr>
        <w:pStyle w:val="BodyText"/>
        <w:spacing w:before="11"/>
        <w:rPr>
          <w:sz w:val="24"/>
        </w:rPr>
      </w:pPr>
    </w:p>
    <w:p>
      <w:pPr>
        <w:pStyle w:val="ListParagraph"/>
        <w:numPr>
          <w:ilvl w:val="0"/>
          <w:numId w:val="28"/>
        </w:numPr>
        <w:tabs>
          <w:tab w:pos="828" w:val="left" w:leader="none"/>
        </w:tabs>
        <w:spacing w:line="240" w:lineRule="auto" w:before="0" w:after="0"/>
        <w:ind w:left="827" w:right="136" w:hanging="283"/>
        <w:jc w:val="left"/>
        <w:rPr>
          <w:sz w:val="18"/>
        </w:rPr>
      </w:pPr>
      <w:r>
        <w:rPr>
          <w:sz w:val="18"/>
        </w:rPr>
        <w:t>Relates to the transfer of Western Sydney University Enterprises Pty Limited trading as Western Sydney University The College and Western Sydney University Early Learning Limited surplus funds to the</w:t>
      </w:r>
      <w:r>
        <w:rPr>
          <w:spacing w:val="8"/>
          <w:sz w:val="18"/>
        </w:rPr>
        <w:t> </w:t>
      </w:r>
      <w:r>
        <w:rPr>
          <w:sz w:val="18"/>
        </w:rPr>
        <w:t>University.</w:t>
      </w:r>
    </w:p>
    <w:p>
      <w:pPr>
        <w:pStyle w:val="BodyText"/>
        <w:spacing w:before="11"/>
        <w:rPr>
          <w:sz w:val="24"/>
        </w:rPr>
      </w:pPr>
    </w:p>
    <w:p>
      <w:pPr>
        <w:pStyle w:val="BodyText"/>
        <w:spacing w:line="573" w:lineRule="auto"/>
        <w:ind w:left="827" w:right="985"/>
      </w:pPr>
      <w:r>
        <w:rPr/>
        <w:t>The fair value of borrowings equals their carrying amount, as the impact of discounting is not significant. For an analysis of the sensitivity of borrowings to interest rate risk refer to note 35.</w:t>
      </w:r>
    </w:p>
    <w:p>
      <w:pPr>
        <w:pStyle w:val="BodyText"/>
        <w:spacing w:before="8"/>
        <w:ind w:left="827" w:right="105"/>
      </w:pPr>
      <w:r>
        <w:rPr/>
        <w:t>The carrying amount of the Group's borrowings is denominated in AUD currency.</w:t>
      </w:r>
    </w:p>
    <w:p>
      <w:pPr>
        <w:spacing w:after="0"/>
        <w:sectPr>
          <w:headerReference w:type="default" r:id="rId24"/>
          <w:pgSz w:w="11910" w:h="16840"/>
          <w:pgMar w:header="1037" w:footer="507" w:top="2220" w:bottom="700" w:left="860" w:right="880"/>
        </w:sectPr>
      </w:pPr>
    </w:p>
    <w:p>
      <w:pPr>
        <w:pStyle w:val="BodyText"/>
        <w:rPr>
          <w:sz w:val="20"/>
        </w:rPr>
      </w:pPr>
    </w:p>
    <w:p>
      <w:pPr>
        <w:pStyle w:val="BodyText"/>
        <w:rPr>
          <w:sz w:val="20"/>
        </w:rPr>
      </w:pPr>
    </w:p>
    <w:p>
      <w:pPr>
        <w:pStyle w:val="BodyText"/>
        <w:spacing w:before="5"/>
      </w:pPr>
    </w:p>
    <w:p>
      <w:pPr>
        <w:pStyle w:val="Heading9"/>
        <w:numPr>
          <w:ilvl w:val="0"/>
          <w:numId w:val="29"/>
        </w:numPr>
        <w:tabs>
          <w:tab w:pos="504" w:val="left" w:leader="none"/>
        </w:tabs>
        <w:spacing w:line="240" w:lineRule="auto" w:before="0" w:after="0"/>
        <w:ind w:left="504" w:right="0" w:hanging="394"/>
        <w:jc w:val="left"/>
      </w:pPr>
      <w:bookmarkStart w:name="(a) Financing arrangements" w:id="103"/>
      <w:bookmarkEnd w:id="103"/>
      <w:r>
        <w:rPr>
          <w:b w:val="0"/>
        </w:rPr>
      </w:r>
      <w:bookmarkStart w:name="(a) Financing arrangements" w:id="104"/>
      <w:bookmarkEnd w:id="104"/>
      <w:r>
        <w:rPr/>
        <w:t>Borrowings</w:t>
      </w:r>
      <w:r>
        <w:rPr>
          <w:spacing w:val="1"/>
        </w:rPr>
        <w:t> </w:t>
      </w:r>
      <w:r>
        <w:rPr/>
        <w:t>(continued)</w:t>
      </w:r>
    </w:p>
    <w:p>
      <w:pPr>
        <w:pStyle w:val="BodyText"/>
        <w:spacing w:before="7"/>
        <w:rPr>
          <w:b/>
          <w:sz w:val="26"/>
        </w:rPr>
      </w:pPr>
    </w:p>
    <w:p>
      <w:pPr>
        <w:pStyle w:val="ListParagraph"/>
        <w:numPr>
          <w:ilvl w:val="1"/>
          <w:numId w:val="29"/>
        </w:numPr>
        <w:tabs>
          <w:tab w:pos="1071" w:val="left" w:leader="none"/>
        </w:tabs>
        <w:spacing w:line="240" w:lineRule="auto" w:before="0" w:after="0"/>
        <w:ind w:left="1070" w:right="0" w:hanging="566"/>
        <w:jc w:val="left"/>
        <w:rPr>
          <w:sz w:val="18"/>
        </w:rPr>
      </w:pPr>
      <w:r>
        <w:rPr>
          <w:sz w:val="18"/>
        </w:rPr>
        <w:t>Financing arrangements</w:t>
      </w:r>
    </w:p>
    <w:p>
      <w:pPr>
        <w:pStyle w:val="BodyText"/>
        <w:spacing w:before="4"/>
        <w:rPr>
          <w:sz w:val="25"/>
        </w:rPr>
      </w:pPr>
    </w:p>
    <w:p>
      <w:pPr>
        <w:pStyle w:val="BodyText"/>
        <w:ind w:left="1070" w:right="220"/>
      </w:pPr>
      <w:r>
        <w:rPr/>
        <w:t>Unrestricted access was available at reporting date to the following lines of credit:</w:t>
      </w:r>
    </w:p>
    <w:p>
      <w:pPr>
        <w:pStyle w:val="BodyText"/>
      </w:pPr>
    </w:p>
    <w:p>
      <w:pPr>
        <w:pStyle w:val="BodyText"/>
      </w:pPr>
    </w:p>
    <w:p>
      <w:pPr>
        <w:pStyle w:val="Heading9"/>
        <w:tabs>
          <w:tab w:pos="8356" w:val="left" w:leader="none"/>
        </w:tabs>
        <w:spacing w:before="113" w:after="36"/>
        <w:ind w:left="5316" w:right="220"/>
      </w:pPr>
      <w:r>
        <w:rPr/>
        <w:t>Consolidated</w:t>
        <w:tab/>
        <w:t>Parent</w:t>
      </w:r>
    </w:p>
    <w:tbl>
      <w:tblPr>
        <w:tblW w:w="0" w:type="auto"/>
        <w:jc w:val="left"/>
        <w:tblInd w:w="106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31"/>
        <w:gridCol w:w="1655"/>
        <w:gridCol w:w="1387"/>
        <w:gridCol w:w="1373"/>
        <w:gridCol w:w="1105"/>
      </w:tblGrid>
      <w:tr>
        <w:trPr>
          <w:trHeight w:val="594" w:hRule="exact"/>
        </w:trPr>
        <w:tc>
          <w:tcPr>
            <w:tcW w:w="3431" w:type="dxa"/>
          </w:tcPr>
          <w:p>
            <w:pPr/>
          </w:p>
        </w:tc>
        <w:tc>
          <w:tcPr>
            <w:tcW w:w="1655" w:type="dxa"/>
          </w:tcPr>
          <w:p>
            <w:pPr>
              <w:pStyle w:val="TableParagraph"/>
              <w:spacing w:before="30"/>
              <w:ind w:left="573" w:right="598"/>
              <w:jc w:val="center"/>
              <w:rPr>
                <w:b/>
                <w:sz w:val="18"/>
              </w:rPr>
            </w:pPr>
            <w:r>
              <w:rPr>
                <w:b/>
                <w:sz w:val="18"/>
              </w:rPr>
              <w:t>2017</w:t>
            </w:r>
          </w:p>
          <w:p>
            <w:pPr>
              <w:pStyle w:val="TableParagraph"/>
              <w:spacing w:before="66"/>
              <w:ind w:left="573" w:right="598"/>
              <w:jc w:val="center"/>
              <w:rPr>
                <w:b/>
                <w:sz w:val="18"/>
              </w:rPr>
            </w:pPr>
            <w:r>
              <w:rPr>
                <w:b/>
                <w:sz w:val="18"/>
              </w:rPr>
              <w:t>$'000</w:t>
            </w:r>
          </w:p>
        </w:tc>
        <w:tc>
          <w:tcPr>
            <w:tcW w:w="1387" w:type="dxa"/>
          </w:tcPr>
          <w:p>
            <w:pPr>
              <w:pStyle w:val="TableParagraph"/>
              <w:spacing w:before="30"/>
              <w:ind w:left="241"/>
              <w:rPr>
                <w:b/>
                <w:sz w:val="18"/>
              </w:rPr>
            </w:pPr>
            <w:r>
              <w:rPr>
                <w:b/>
                <w:sz w:val="18"/>
              </w:rPr>
              <w:t>2016</w:t>
            </w:r>
          </w:p>
          <w:p>
            <w:pPr>
              <w:pStyle w:val="TableParagraph"/>
              <w:spacing w:before="66"/>
              <w:ind w:left="219"/>
              <w:rPr>
                <w:b/>
                <w:sz w:val="18"/>
              </w:rPr>
            </w:pPr>
            <w:r>
              <w:rPr>
                <w:b/>
                <w:sz w:val="18"/>
              </w:rPr>
              <w:t>$'000</w:t>
            </w:r>
          </w:p>
        </w:tc>
        <w:tc>
          <w:tcPr>
            <w:tcW w:w="1373" w:type="dxa"/>
          </w:tcPr>
          <w:p>
            <w:pPr>
              <w:pStyle w:val="TableParagraph"/>
              <w:spacing w:before="30"/>
              <w:ind w:left="329"/>
              <w:rPr>
                <w:b/>
                <w:sz w:val="18"/>
              </w:rPr>
            </w:pPr>
            <w:r>
              <w:rPr>
                <w:b/>
                <w:sz w:val="18"/>
              </w:rPr>
              <w:t>2017</w:t>
            </w:r>
          </w:p>
          <w:p>
            <w:pPr>
              <w:pStyle w:val="TableParagraph"/>
              <w:spacing w:before="66"/>
              <w:ind w:left="308"/>
              <w:rPr>
                <w:b/>
                <w:sz w:val="18"/>
              </w:rPr>
            </w:pPr>
            <w:r>
              <w:rPr>
                <w:b/>
                <w:sz w:val="18"/>
              </w:rPr>
              <w:t>$'000</w:t>
            </w:r>
          </w:p>
        </w:tc>
        <w:tc>
          <w:tcPr>
            <w:tcW w:w="1105" w:type="dxa"/>
          </w:tcPr>
          <w:p>
            <w:pPr>
              <w:pStyle w:val="TableParagraph"/>
              <w:spacing w:before="30"/>
              <w:ind w:left="241"/>
              <w:rPr>
                <w:b/>
                <w:sz w:val="18"/>
              </w:rPr>
            </w:pPr>
            <w:r>
              <w:rPr>
                <w:b/>
                <w:sz w:val="18"/>
              </w:rPr>
              <w:t>2016</w:t>
            </w:r>
          </w:p>
          <w:p>
            <w:pPr>
              <w:pStyle w:val="TableParagraph"/>
              <w:spacing w:before="66"/>
              <w:ind w:left="219"/>
              <w:rPr>
                <w:b/>
                <w:sz w:val="18"/>
              </w:rPr>
            </w:pPr>
            <w:r>
              <w:rPr>
                <w:b/>
                <w:sz w:val="18"/>
              </w:rPr>
              <w:t>$'000</w:t>
            </w:r>
          </w:p>
        </w:tc>
      </w:tr>
      <w:tr>
        <w:trPr>
          <w:trHeight w:val="478" w:hRule="exact"/>
        </w:trPr>
        <w:tc>
          <w:tcPr>
            <w:tcW w:w="3431" w:type="dxa"/>
          </w:tcPr>
          <w:p>
            <w:pPr>
              <w:pStyle w:val="TableParagraph"/>
              <w:spacing w:before="63"/>
              <w:ind w:left="35"/>
              <w:rPr>
                <w:b/>
                <w:sz w:val="18"/>
              </w:rPr>
            </w:pPr>
            <w:r>
              <w:rPr>
                <w:b/>
                <w:sz w:val="18"/>
              </w:rPr>
              <w:t>Credit standby arrangements</w:t>
            </w:r>
          </w:p>
        </w:tc>
        <w:tc>
          <w:tcPr>
            <w:tcW w:w="1655" w:type="dxa"/>
          </w:tcPr>
          <w:p>
            <w:pPr/>
          </w:p>
        </w:tc>
        <w:tc>
          <w:tcPr>
            <w:tcW w:w="1387" w:type="dxa"/>
          </w:tcPr>
          <w:p>
            <w:pPr/>
          </w:p>
        </w:tc>
        <w:tc>
          <w:tcPr>
            <w:tcW w:w="1373" w:type="dxa"/>
          </w:tcPr>
          <w:p>
            <w:pPr/>
          </w:p>
        </w:tc>
        <w:tc>
          <w:tcPr>
            <w:tcW w:w="1105" w:type="dxa"/>
          </w:tcPr>
          <w:p>
            <w:pPr/>
          </w:p>
        </w:tc>
      </w:tr>
      <w:tr>
        <w:trPr>
          <w:trHeight w:val="419" w:hRule="exact"/>
        </w:trPr>
        <w:tc>
          <w:tcPr>
            <w:tcW w:w="3431" w:type="dxa"/>
          </w:tcPr>
          <w:p>
            <w:pPr>
              <w:pStyle w:val="TableParagraph"/>
              <w:spacing w:before="4"/>
              <w:rPr>
                <w:b/>
                <w:sz w:val="16"/>
              </w:rPr>
            </w:pPr>
          </w:p>
          <w:p>
            <w:pPr>
              <w:pStyle w:val="TableParagraph"/>
              <w:ind w:left="35"/>
              <w:rPr>
                <w:b/>
                <w:sz w:val="18"/>
              </w:rPr>
            </w:pPr>
            <w:r>
              <w:rPr>
                <w:b/>
                <w:sz w:val="18"/>
              </w:rPr>
              <w:t>Total facilities</w:t>
            </w:r>
          </w:p>
        </w:tc>
        <w:tc>
          <w:tcPr>
            <w:tcW w:w="1655" w:type="dxa"/>
          </w:tcPr>
          <w:p>
            <w:pPr/>
          </w:p>
        </w:tc>
        <w:tc>
          <w:tcPr>
            <w:tcW w:w="1387" w:type="dxa"/>
          </w:tcPr>
          <w:p>
            <w:pPr/>
          </w:p>
        </w:tc>
        <w:tc>
          <w:tcPr>
            <w:tcW w:w="1373" w:type="dxa"/>
          </w:tcPr>
          <w:p>
            <w:pPr/>
          </w:p>
        </w:tc>
        <w:tc>
          <w:tcPr>
            <w:tcW w:w="1105" w:type="dxa"/>
          </w:tcPr>
          <w:p>
            <w:pPr/>
          </w:p>
        </w:tc>
      </w:tr>
      <w:tr>
        <w:trPr>
          <w:trHeight w:val="251" w:hRule="exact"/>
        </w:trPr>
        <w:tc>
          <w:tcPr>
            <w:tcW w:w="3431" w:type="dxa"/>
          </w:tcPr>
          <w:p>
            <w:pPr>
              <w:pStyle w:val="TableParagraph"/>
              <w:spacing w:before="7"/>
              <w:ind w:left="248"/>
              <w:rPr>
                <w:sz w:val="18"/>
              </w:rPr>
            </w:pPr>
            <w:r>
              <w:rPr>
                <w:sz w:val="18"/>
              </w:rPr>
              <w:t>Bank guarantees</w:t>
            </w:r>
          </w:p>
        </w:tc>
        <w:tc>
          <w:tcPr>
            <w:tcW w:w="1655" w:type="dxa"/>
          </w:tcPr>
          <w:p>
            <w:pPr>
              <w:pStyle w:val="TableParagraph"/>
              <w:spacing w:before="4"/>
              <w:ind w:right="277"/>
              <w:jc w:val="right"/>
              <w:rPr>
                <w:b/>
                <w:sz w:val="18"/>
              </w:rPr>
            </w:pPr>
            <w:r>
              <w:rPr>
                <w:b/>
                <w:w w:val="95"/>
                <w:sz w:val="18"/>
              </w:rPr>
              <w:t>2,000</w:t>
            </w:r>
          </w:p>
        </w:tc>
        <w:tc>
          <w:tcPr>
            <w:tcW w:w="1387" w:type="dxa"/>
          </w:tcPr>
          <w:p>
            <w:pPr>
              <w:pStyle w:val="TableParagraph"/>
              <w:spacing w:before="4"/>
              <w:ind w:right="366"/>
              <w:jc w:val="right"/>
              <w:rPr>
                <w:sz w:val="18"/>
              </w:rPr>
            </w:pPr>
            <w:r>
              <w:rPr>
                <w:w w:val="95"/>
                <w:sz w:val="18"/>
              </w:rPr>
              <w:t>825</w:t>
            </w:r>
          </w:p>
        </w:tc>
        <w:tc>
          <w:tcPr>
            <w:tcW w:w="1373" w:type="dxa"/>
          </w:tcPr>
          <w:p>
            <w:pPr>
              <w:pStyle w:val="TableParagraph"/>
              <w:spacing w:before="4"/>
              <w:ind w:right="277"/>
              <w:jc w:val="right"/>
              <w:rPr>
                <w:b/>
                <w:sz w:val="18"/>
              </w:rPr>
            </w:pPr>
            <w:r>
              <w:rPr>
                <w:b/>
                <w:w w:val="95"/>
                <w:sz w:val="18"/>
              </w:rPr>
              <w:t>2,000</w:t>
            </w:r>
          </w:p>
        </w:tc>
        <w:tc>
          <w:tcPr>
            <w:tcW w:w="1105" w:type="dxa"/>
          </w:tcPr>
          <w:p>
            <w:pPr>
              <w:pStyle w:val="TableParagraph"/>
              <w:spacing w:before="4"/>
              <w:ind w:right="84"/>
              <w:jc w:val="right"/>
              <w:rPr>
                <w:sz w:val="18"/>
              </w:rPr>
            </w:pPr>
            <w:r>
              <w:rPr>
                <w:w w:val="95"/>
                <w:sz w:val="18"/>
              </w:rPr>
              <w:t>825</w:t>
            </w:r>
          </w:p>
        </w:tc>
      </w:tr>
      <w:tr>
        <w:trPr>
          <w:trHeight w:val="264" w:hRule="exact"/>
        </w:trPr>
        <w:tc>
          <w:tcPr>
            <w:tcW w:w="3431" w:type="dxa"/>
          </w:tcPr>
          <w:p>
            <w:pPr>
              <w:pStyle w:val="TableParagraph"/>
              <w:spacing w:before="20"/>
              <w:ind w:left="248"/>
              <w:rPr>
                <w:sz w:val="18"/>
              </w:rPr>
            </w:pPr>
            <w:r>
              <w:rPr>
                <w:sz w:val="18"/>
              </w:rPr>
              <w:t>Credit cards</w:t>
            </w:r>
          </w:p>
        </w:tc>
        <w:tc>
          <w:tcPr>
            <w:tcW w:w="1655" w:type="dxa"/>
          </w:tcPr>
          <w:p>
            <w:pPr>
              <w:pStyle w:val="TableParagraph"/>
              <w:spacing w:before="18"/>
              <w:ind w:right="277"/>
              <w:jc w:val="right"/>
              <w:rPr>
                <w:b/>
                <w:sz w:val="18"/>
              </w:rPr>
            </w:pPr>
            <w:r>
              <w:rPr>
                <w:b/>
                <w:w w:val="95"/>
                <w:sz w:val="18"/>
              </w:rPr>
              <w:t>4,500</w:t>
            </w:r>
          </w:p>
        </w:tc>
        <w:tc>
          <w:tcPr>
            <w:tcW w:w="1387" w:type="dxa"/>
          </w:tcPr>
          <w:p>
            <w:pPr>
              <w:pStyle w:val="TableParagraph"/>
              <w:spacing w:before="18"/>
              <w:ind w:left="565"/>
              <w:rPr>
                <w:sz w:val="18"/>
              </w:rPr>
            </w:pPr>
            <w:r>
              <w:rPr>
                <w:sz w:val="18"/>
              </w:rPr>
              <w:t>4,500</w:t>
            </w:r>
          </w:p>
        </w:tc>
        <w:tc>
          <w:tcPr>
            <w:tcW w:w="1373" w:type="dxa"/>
          </w:tcPr>
          <w:p>
            <w:pPr>
              <w:pStyle w:val="TableParagraph"/>
              <w:spacing w:before="18"/>
              <w:ind w:right="277"/>
              <w:jc w:val="right"/>
              <w:rPr>
                <w:b/>
                <w:sz w:val="18"/>
              </w:rPr>
            </w:pPr>
            <w:r>
              <w:rPr>
                <w:b/>
                <w:w w:val="95"/>
                <w:sz w:val="18"/>
              </w:rPr>
              <w:t>4,500</w:t>
            </w:r>
          </w:p>
        </w:tc>
        <w:tc>
          <w:tcPr>
            <w:tcW w:w="1105" w:type="dxa"/>
          </w:tcPr>
          <w:p>
            <w:pPr>
              <w:pStyle w:val="TableParagraph"/>
              <w:spacing w:before="18"/>
              <w:ind w:right="84"/>
              <w:jc w:val="right"/>
              <w:rPr>
                <w:sz w:val="18"/>
              </w:rPr>
            </w:pPr>
            <w:r>
              <w:rPr>
                <w:w w:val="95"/>
                <w:sz w:val="18"/>
              </w:rPr>
              <w:t>4,500</w:t>
            </w:r>
          </w:p>
        </w:tc>
      </w:tr>
      <w:tr>
        <w:trPr>
          <w:trHeight w:val="260" w:hRule="exact"/>
        </w:trPr>
        <w:tc>
          <w:tcPr>
            <w:tcW w:w="3431" w:type="dxa"/>
          </w:tcPr>
          <w:p>
            <w:pPr>
              <w:pStyle w:val="TableParagraph"/>
              <w:spacing w:before="20"/>
              <w:ind w:left="248"/>
              <w:rPr>
                <w:sz w:val="18"/>
              </w:rPr>
            </w:pPr>
            <w:r>
              <w:rPr>
                <w:sz w:val="18"/>
              </w:rPr>
              <w:t>Leasing facilities</w:t>
            </w:r>
          </w:p>
        </w:tc>
        <w:tc>
          <w:tcPr>
            <w:tcW w:w="1655" w:type="dxa"/>
            <w:tcBorders>
              <w:bottom w:val="single" w:sz="1" w:space="0" w:color="000000"/>
            </w:tcBorders>
          </w:tcPr>
          <w:p>
            <w:pPr>
              <w:pStyle w:val="TableParagraph"/>
              <w:spacing w:before="18"/>
              <w:ind w:right="277"/>
              <w:jc w:val="right"/>
              <w:rPr>
                <w:b/>
                <w:sz w:val="18"/>
              </w:rPr>
            </w:pPr>
            <w:r>
              <w:rPr>
                <w:b/>
                <w:w w:val="95"/>
                <w:sz w:val="18"/>
              </w:rPr>
              <w:t>31,000</w:t>
            </w:r>
          </w:p>
        </w:tc>
        <w:tc>
          <w:tcPr>
            <w:tcW w:w="1387" w:type="dxa"/>
            <w:tcBorders>
              <w:bottom w:val="single" w:sz="1" w:space="0" w:color="000000"/>
            </w:tcBorders>
          </w:tcPr>
          <w:p>
            <w:pPr>
              <w:pStyle w:val="TableParagraph"/>
              <w:spacing w:before="18"/>
              <w:ind w:left="464"/>
              <w:rPr>
                <w:sz w:val="18"/>
              </w:rPr>
            </w:pPr>
            <w:r>
              <w:rPr>
                <w:sz w:val="18"/>
              </w:rPr>
              <w:t>26,000</w:t>
            </w:r>
          </w:p>
        </w:tc>
        <w:tc>
          <w:tcPr>
            <w:tcW w:w="1373" w:type="dxa"/>
            <w:tcBorders>
              <w:bottom w:val="single" w:sz="1" w:space="0" w:color="000000"/>
            </w:tcBorders>
          </w:tcPr>
          <w:p>
            <w:pPr>
              <w:pStyle w:val="TableParagraph"/>
              <w:spacing w:before="18"/>
              <w:ind w:right="277"/>
              <w:jc w:val="right"/>
              <w:rPr>
                <w:b/>
                <w:sz w:val="18"/>
              </w:rPr>
            </w:pPr>
            <w:r>
              <w:rPr>
                <w:b/>
                <w:w w:val="95"/>
                <w:sz w:val="18"/>
              </w:rPr>
              <w:t>31,000</w:t>
            </w:r>
          </w:p>
        </w:tc>
        <w:tc>
          <w:tcPr>
            <w:tcW w:w="1105" w:type="dxa"/>
            <w:tcBorders>
              <w:bottom w:val="single" w:sz="1" w:space="0" w:color="000000"/>
            </w:tcBorders>
          </w:tcPr>
          <w:p>
            <w:pPr>
              <w:pStyle w:val="TableParagraph"/>
              <w:spacing w:before="18"/>
              <w:ind w:right="84"/>
              <w:jc w:val="right"/>
              <w:rPr>
                <w:sz w:val="18"/>
              </w:rPr>
            </w:pPr>
            <w:r>
              <w:rPr>
                <w:w w:val="95"/>
                <w:sz w:val="18"/>
              </w:rPr>
              <w:t>26,000</w:t>
            </w:r>
          </w:p>
        </w:tc>
      </w:tr>
      <w:tr>
        <w:trPr>
          <w:trHeight w:val="559" w:hRule="exact"/>
        </w:trPr>
        <w:tc>
          <w:tcPr>
            <w:tcW w:w="3431" w:type="dxa"/>
          </w:tcPr>
          <w:p>
            <w:pPr>
              <w:pStyle w:val="TableParagraph"/>
              <w:spacing w:before="125"/>
              <w:ind w:left="35" w:right="1665"/>
              <w:rPr>
                <w:b/>
                <w:sz w:val="18"/>
              </w:rPr>
            </w:pPr>
            <w:r>
              <w:rPr>
                <w:b/>
                <w:sz w:val="18"/>
              </w:rPr>
              <w:t>Total credit standby arrangements</w:t>
            </w:r>
          </w:p>
        </w:tc>
        <w:tc>
          <w:tcPr>
            <w:tcW w:w="1655" w:type="dxa"/>
            <w:tcBorders>
              <w:top w:val="single" w:sz="1" w:space="0" w:color="000000"/>
              <w:bottom w:val="single" w:sz="1" w:space="0" w:color="000000"/>
            </w:tcBorders>
          </w:tcPr>
          <w:p>
            <w:pPr>
              <w:pStyle w:val="TableParagraph"/>
              <w:rPr>
                <w:b/>
                <w:sz w:val="18"/>
              </w:rPr>
            </w:pPr>
          </w:p>
          <w:p>
            <w:pPr>
              <w:pStyle w:val="TableParagraph"/>
              <w:spacing w:before="123"/>
              <w:ind w:right="277"/>
              <w:jc w:val="right"/>
              <w:rPr>
                <w:b/>
                <w:sz w:val="18"/>
              </w:rPr>
            </w:pPr>
            <w:r>
              <w:rPr>
                <w:b/>
                <w:w w:val="95"/>
                <w:sz w:val="18"/>
              </w:rPr>
              <w:t>37,500</w:t>
            </w:r>
          </w:p>
        </w:tc>
        <w:tc>
          <w:tcPr>
            <w:tcW w:w="1387" w:type="dxa"/>
            <w:tcBorders>
              <w:top w:val="single" w:sz="1" w:space="0" w:color="000000"/>
              <w:bottom w:val="single" w:sz="1" w:space="0" w:color="000000"/>
            </w:tcBorders>
          </w:tcPr>
          <w:p>
            <w:pPr>
              <w:pStyle w:val="TableParagraph"/>
              <w:rPr>
                <w:b/>
                <w:sz w:val="18"/>
              </w:rPr>
            </w:pPr>
          </w:p>
          <w:p>
            <w:pPr>
              <w:pStyle w:val="TableParagraph"/>
              <w:spacing w:before="123"/>
              <w:ind w:left="464"/>
              <w:rPr>
                <w:sz w:val="18"/>
              </w:rPr>
            </w:pPr>
            <w:r>
              <w:rPr>
                <w:sz w:val="18"/>
              </w:rPr>
              <w:t>31,325</w:t>
            </w:r>
          </w:p>
        </w:tc>
        <w:tc>
          <w:tcPr>
            <w:tcW w:w="1373" w:type="dxa"/>
            <w:tcBorders>
              <w:top w:val="single" w:sz="1" w:space="0" w:color="000000"/>
              <w:bottom w:val="single" w:sz="1" w:space="0" w:color="000000"/>
            </w:tcBorders>
          </w:tcPr>
          <w:p>
            <w:pPr>
              <w:pStyle w:val="TableParagraph"/>
              <w:rPr>
                <w:b/>
                <w:sz w:val="18"/>
              </w:rPr>
            </w:pPr>
          </w:p>
          <w:p>
            <w:pPr>
              <w:pStyle w:val="TableParagraph"/>
              <w:spacing w:before="123"/>
              <w:ind w:right="277"/>
              <w:jc w:val="right"/>
              <w:rPr>
                <w:b/>
                <w:sz w:val="18"/>
              </w:rPr>
            </w:pPr>
            <w:r>
              <w:rPr>
                <w:b/>
                <w:w w:val="95"/>
                <w:sz w:val="18"/>
              </w:rPr>
              <w:t>37,500</w:t>
            </w:r>
          </w:p>
        </w:tc>
        <w:tc>
          <w:tcPr>
            <w:tcW w:w="1105" w:type="dxa"/>
            <w:tcBorders>
              <w:top w:val="single" w:sz="1" w:space="0" w:color="000000"/>
              <w:bottom w:val="single" w:sz="1" w:space="0" w:color="000000"/>
            </w:tcBorders>
          </w:tcPr>
          <w:p>
            <w:pPr>
              <w:pStyle w:val="TableParagraph"/>
              <w:rPr>
                <w:b/>
                <w:sz w:val="18"/>
              </w:rPr>
            </w:pPr>
          </w:p>
          <w:p>
            <w:pPr>
              <w:pStyle w:val="TableParagraph"/>
              <w:spacing w:before="123"/>
              <w:ind w:right="84"/>
              <w:jc w:val="right"/>
              <w:rPr>
                <w:sz w:val="18"/>
              </w:rPr>
            </w:pPr>
            <w:r>
              <w:rPr>
                <w:w w:val="95"/>
                <w:sz w:val="18"/>
              </w:rPr>
              <w:t>31,325</w:t>
            </w:r>
          </w:p>
        </w:tc>
      </w:tr>
      <w:tr>
        <w:trPr>
          <w:trHeight w:val="512" w:hRule="exact"/>
        </w:trPr>
        <w:tc>
          <w:tcPr>
            <w:tcW w:w="3431" w:type="dxa"/>
          </w:tcPr>
          <w:p>
            <w:pPr>
              <w:pStyle w:val="TableParagraph"/>
              <w:spacing w:before="139"/>
              <w:ind w:left="35"/>
              <w:rPr>
                <w:b/>
                <w:sz w:val="18"/>
              </w:rPr>
            </w:pPr>
            <w:r>
              <w:rPr>
                <w:b/>
                <w:sz w:val="18"/>
              </w:rPr>
              <w:t>Used at balance date</w:t>
            </w:r>
          </w:p>
        </w:tc>
        <w:tc>
          <w:tcPr>
            <w:tcW w:w="1655" w:type="dxa"/>
            <w:tcBorders>
              <w:top w:val="single" w:sz="1" w:space="0" w:color="000000"/>
            </w:tcBorders>
          </w:tcPr>
          <w:p>
            <w:pPr/>
          </w:p>
        </w:tc>
        <w:tc>
          <w:tcPr>
            <w:tcW w:w="1387" w:type="dxa"/>
            <w:tcBorders>
              <w:top w:val="single" w:sz="1" w:space="0" w:color="000000"/>
            </w:tcBorders>
          </w:tcPr>
          <w:p>
            <w:pPr/>
          </w:p>
        </w:tc>
        <w:tc>
          <w:tcPr>
            <w:tcW w:w="1373" w:type="dxa"/>
            <w:tcBorders>
              <w:top w:val="single" w:sz="1" w:space="0" w:color="000000"/>
            </w:tcBorders>
          </w:tcPr>
          <w:p>
            <w:pPr/>
          </w:p>
        </w:tc>
        <w:tc>
          <w:tcPr>
            <w:tcW w:w="1105" w:type="dxa"/>
            <w:tcBorders>
              <w:top w:val="single" w:sz="1" w:space="0" w:color="000000"/>
            </w:tcBorders>
          </w:tcPr>
          <w:p>
            <w:pPr/>
          </w:p>
        </w:tc>
      </w:tr>
      <w:tr>
        <w:trPr>
          <w:trHeight w:val="391" w:hRule="exact"/>
        </w:trPr>
        <w:tc>
          <w:tcPr>
            <w:tcW w:w="3431" w:type="dxa"/>
          </w:tcPr>
          <w:p>
            <w:pPr>
              <w:pStyle w:val="TableParagraph"/>
              <w:spacing w:before="146"/>
              <w:ind w:left="248"/>
              <w:rPr>
                <w:sz w:val="18"/>
              </w:rPr>
            </w:pPr>
            <w:r>
              <w:rPr>
                <w:sz w:val="18"/>
              </w:rPr>
              <w:t>Bank guarantees</w:t>
            </w:r>
          </w:p>
        </w:tc>
        <w:tc>
          <w:tcPr>
            <w:tcW w:w="1655" w:type="dxa"/>
          </w:tcPr>
          <w:p>
            <w:pPr>
              <w:pStyle w:val="TableParagraph"/>
              <w:spacing w:before="146"/>
              <w:ind w:right="277"/>
              <w:jc w:val="right"/>
              <w:rPr>
                <w:b/>
                <w:sz w:val="18"/>
              </w:rPr>
            </w:pPr>
            <w:r>
              <w:rPr>
                <w:b/>
                <w:w w:val="95"/>
                <w:sz w:val="18"/>
              </w:rPr>
              <w:t>1,715</w:t>
            </w:r>
          </w:p>
        </w:tc>
        <w:tc>
          <w:tcPr>
            <w:tcW w:w="1387" w:type="dxa"/>
          </w:tcPr>
          <w:p>
            <w:pPr>
              <w:pStyle w:val="TableParagraph"/>
              <w:spacing w:before="146"/>
              <w:ind w:right="366"/>
              <w:jc w:val="right"/>
              <w:rPr>
                <w:sz w:val="18"/>
              </w:rPr>
            </w:pPr>
            <w:r>
              <w:rPr>
                <w:w w:val="95"/>
                <w:sz w:val="18"/>
              </w:rPr>
              <w:t>708</w:t>
            </w:r>
          </w:p>
        </w:tc>
        <w:tc>
          <w:tcPr>
            <w:tcW w:w="1373" w:type="dxa"/>
          </w:tcPr>
          <w:p>
            <w:pPr>
              <w:pStyle w:val="TableParagraph"/>
              <w:spacing w:before="146"/>
              <w:ind w:right="277"/>
              <w:jc w:val="right"/>
              <w:rPr>
                <w:b/>
                <w:sz w:val="18"/>
              </w:rPr>
            </w:pPr>
            <w:r>
              <w:rPr>
                <w:b/>
                <w:w w:val="95"/>
                <w:sz w:val="18"/>
              </w:rPr>
              <w:t>1,715</w:t>
            </w:r>
          </w:p>
        </w:tc>
        <w:tc>
          <w:tcPr>
            <w:tcW w:w="1105" w:type="dxa"/>
          </w:tcPr>
          <w:p>
            <w:pPr>
              <w:pStyle w:val="TableParagraph"/>
              <w:spacing w:before="146"/>
              <w:ind w:right="84"/>
              <w:jc w:val="right"/>
              <w:rPr>
                <w:sz w:val="18"/>
              </w:rPr>
            </w:pPr>
            <w:r>
              <w:rPr>
                <w:w w:val="95"/>
                <w:sz w:val="18"/>
              </w:rPr>
              <w:t>708</w:t>
            </w:r>
          </w:p>
        </w:tc>
      </w:tr>
      <w:tr>
        <w:trPr>
          <w:trHeight w:val="265" w:hRule="exact"/>
        </w:trPr>
        <w:tc>
          <w:tcPr>
            <w:tcW w:w="3431" w:type="dxa"/>
          </w:tcPr>
          <w:p>
            <w:pPr>
              <w:pStyle w:val="TableParagraph"/>
              <w:spacing w:before="21"/>
              <w:ind w:left="248"/>
              <w:rPr>
                <w:sz w:val="18"/>
              </w:rPr>
            </w:pPr>
            <w:r>
              <w:rPr>
                <w:sz w:val="18"/>
              </w:rPr>
              <w:t>Credit cards</w:t>
            </w:r>
          </w:p>
        </w:tc>
        <w:tc>
          <w:tcPr>
            <w:tcW w:w="1655" w:type="dxa"/>
          </w:tcPr>
          <w:p>
            <w:pPr>
              <w:pStyle w:val="TableParagraph"/>
              <w:spacing w:before="19"/>
              <w:ind w:right="277"/>
              <w:jc w:val="right"/>
              <w:rPr>
                <w:b/>
                <w:sz w:val="18"/>
              </w:rPr>
            </w:pPr>
            <w:r>
              <w:rPr>
                <w:b/>
                <w:w w:val="95"/>
                <w:sz w:val="18"/>
              </w:rPr>
              <w:t>442</w:t>
            </w:r>
          </w:p>
        </w:tc>
        <w:tc>
          <w:tcPr>
            <w:tcW w:w="1387" w:type="dxa"/>
          </w:tcPr>
          <w:p>
            <w:pPr>
              <w:pStyle w:val="TableParagraph"/>
              <w:spacing w:before="19"/>
              <w:ind w:right="366"/>
              <w:jc w:val="right"/>
              <w:rPr>
                <w:sz w:val="18"/>
              </w:rPr>
            </w:pPr>
            <w:r>
              <w:rPr>
                <w:w w:val="95"/>
                <w:sz w:val="18"/>
              </w:rPr>
              <w:t>146</w:t>
            </w:r>
          </w:p>
        </w:tc>
        <w:tc>
          <w:tcPr>
            <w:tcW w:w="1373" w:type="dxa"/>
          </w:tcPr>
          <w:p>
            <w:pPr>
              <w:pStyle w:val="TableParagraph"/>
              <w:spacing w:before="19"/>
              <w:ind w:right="277"/>
              <w:jc w:val="right"/>
              <w:rPr>
                <w:b/>
                <w:sz w:val="18"/>
              </w:rPr>
            </w:pPr>
            <w:r>
              <w:rPr>
                <w:b/>
                <w:w w:val="95"/>
                <w:sz w:val="18"/>
              </w:rPr>
              <w:t>442</w:t>
            </w:r>
          </w:p>
        </w:tc>
        <w:tc>
          <w:tcPr>
            <w:tcW w:w="1105" w:type="dxa"/>
          </w:tcPr>
          <w:p>
            <w:pPr>
              <w:pStyle w:val="TableParagraph"/>
              <w:spacing w:before="19"/>
              <w:ind w:right="84"/>
              <w:jc w:val="right"/>
              <w:rPr>
                <w:sz w:val="18"/>
              </w:rPr>
            </w:pPr>
            <w:r>
              <w:rPr>
                <w:w w:val="95"/>
                <w:sz w:val="18"/>
              </w:rPr>
              <w:t>146</w:t>
            </w:r>
          </w:p>
        </w:tc>
      </w:tr>
      <w:tr>
        <w:trPr>
          <w:trHeight w:val="260" w:hRule="exact"/>
        </w:trPr>
        <w:tc>
          <w:tcPr>
            <w:tcW w:w="3431" w:type="dxa"/>
          </w:tcPr>
          <w:p>
            <w:pPr>
              <w:pStyle w:val="TableParagraph"/>
              <w:spacing w:before="20"/>
              <w:ind w:left="248"/>
              <w:rPr>
                <w:sz w:val="18"/>
              </w:rPr>
            </w:pPr>
            <w:r>
              <w:rPr>
                <w:sz w:val="18"/>
              </w:rPr>
              <w:t>Leasing facilities</w:t>
            </w:r>
          </w:p>
        </w:tc>
        <w:tc>
          <w:tcPr>
            <w:tcW w:w="1655" w:type="dxa"/>
            <w:tcBorders>
              <w:bottom w:val="single" w:sz="1" w:space="0" w:color="000000"/>
            </w:tcBorders>
          </w:tcPr>
          <w:p>
            <w:pPr>
              <w:pStyle w:val="TableParagraph"/>
              <w:spacing w:before="18"/>
              <w:ind w:right="277"/>
              <w:jc w:val="right"/>
              <w:rPr>
                <w:b/>
                <w:sz w:val="18"/>
              </w:rPr>
            </w:pPr>
            <w:r>
              <w:rPr>
                <w:b/>
                <w:w w:val="95"/>
                <w:sz w:val="18"/>
              </w:rPr>
              <w:t>17,818</w:t>
            </w:r>
          </w:p>
        </w:tc>
        <w:tc>
          <w:tcPr>
            <w:tcW w:w="1387" w:type="dxa"/>
            <w:tcBorders>
              <w:bottom w:val="single" w:sz="1" w:space="0" w:color="000000"/>
            </w:tcBorders>
          </w:tcPr>
          <w:p>
            <w:pPr>
              <w:pStyle w:val="TableParagraph"/>
              <w:spacing w:before="18"/>
              <w:ind w:left="464"/>
              <w:rPr>
                <w:sz w:val="18"/>
              </w:rPr>
            </w:pPr>
            <w:r>
              <w:rPr>
                <w:sz w:val="18"/>
              </w:rPr>
              <w:t>15,221</w:t>
            </w:r>
          </w:p>
        </w:tc>
        <w:tc>
          <w:tcPr>
            <w:tcW w:w="1373" w:type="dxa"/>
            <w:tcBorders>
              <w:bottom w:val="single" w:sz="1" w:space="0" w:color="000000"/>
            </w:tcBorders>
          </w:tcPr>
          <w:p>
            <w:pPr>
              <w:pStyle w:val="TableParagraph"/>
              <w:spacing w:before="18"/>
              <w:ind w:right="277"/>
              <w:jc w:val="right"/>
              <w:rPr>
                <w:b/>
                <w:sz w:val="18"/>
              </w:rPr>
            </w:pPr>
            <w:r>
              <w:rPr>
                <w:b/>
                <w:w w:val="95"/>
                <w:sz w:val="18"/>
              </w:rPr>
              <w:t>17,818</w:t>
            </w:r>
          </w:p>
        </w:tc>
        <w:tc>
          <w:tcPr>
            <w:tcW w:w="1105" w:type="dxa"/>
            <w:tcBorders>
              <w:bottom w:val="single" w:sz="1" w:space="0" w:color="000000"/>
            </w:tcBorders>
          </w:tcPr>
          <w:p>
            <w:pPr>
              <w:pStyle w:val="TableParagraph"/>
              <w:spacing w:before="18"/>
              <w:ind w:right="84"/>
              <w:jc w:val="right"/>
              <w:rPr>
                <w:sz w:val="18"/>
              </w:rPr>
            </w:pPr>
            <w:r>
              <w:rPr>
                <w:w w:val="95"/>
                <w:sz w:val="18"/>
              </w:rPr>
              <w:t>15,221</w:t>
            </w:r>
          </w:p>
        </w:tc>
      </w:tr>
      <w:tr>
        <w:trPr>
          <w:trHeight w:val="353" w:hRule="exact"/>
        </w:trPr>
        <w:tc>
          <w:tcPr>
            <w:tcW w:w="3431" w:type="dxa"/>
          </w:tcPr>
          <w:p>
            <w:pPr>
              <w:pStyle w:val="TableParagraph"/>
              <w:spacing w:before="125"/>
              <w:ind w:left="35"/>
              <w:rPr>
                <w:b/>
                <w:sz w:val="18"/>
              </w:rPr>
            </w:pPr>
            <w:r>
              <w:rPr>
                <w:b/>
                <w:sz w:val="18"/>
              </w:rPr>
              <w:t>Total used at balance date</w:t>
            </w:r>
          </w:p>
        </w:tc>
        <w:tc>
          <w:tcPr>
            <w:tcW w:w="1655" w:type="dxa"/>
            <w:tcBorders>
              <w:top w:val="single" w:sz="1" w:space="0" w:color="000000"/>
              <w:bottom w:val="single" w:sz="1" w:space="0" w:color="000000"/>
            </w:tcBorders>
          </w:tcPr>
          <w:p>
            <w:pPr>
              <w:pStyle w:val="TableParagraph"/>
              <w:spacing w:before="124"/>
              <w:ind w:right="277"/>
              <w:jc w:val="right"/>
              <w:rPr>
                <w:b/>
                <w:sz w:val="18"/>
              </w:rPr>
            </w:pPr>
            <w:r>
              <w:rPr>
                <w:b/>
                <w:w w:val="95"/>
                <w:sz w:val="18"/>
              </w:rPr>
              <w:t>19,975</w:t>
            </w:r>
          </w:p>
        </w:tc>
        <w:tc>
          <w:tcPr>
            <w:tcW w:w="1387" w:type="dxa"/>
            <w:tcBorders>
              <w:top w:val="single" w:sz="1" w:space="0" w:color="000000"/>
              <w:bottom w:val="single" w:sz="1" w:space="0" w:color="000000"/>
            </w:tcBorders>
          </w:tcPr>
          <w:p>
            <w:pPr>
              <w:pStyle w:val="TableParagraph"/>
              <w:spacing w:before="124"/>
              <w:ind w:left="464"/>
              <w:rPr>
                <w:sz w:val="18"/>
              </w:rPr>
            </w:pPr>
            <w:r>
              <w:rPr>
                <w:sz w:val="18"/>
              </w:rPr>
              <w:t>16,075</w:t>
            </w:r>
          </w:p>
        </w:tc>
        <w:tc>
          <w:tcPr>
            <w:tcW w:w="1373" w:type="dxa"/>
            <w:tcBorders>
              <w:top w:val="single" w:sz="1" w:space="0" w:color="000000"/>
              <w:bottom w:val="single" w:sz="1" w:space="0" w:color="000000"/>
            </w:tcBorders>
          </w:tcPr>
          <w:p>
            <w:pPr>
              <w:pStyle w:val="TableParagraph"/>
              <w:spacing w:before="124"/>
              <w:ind w:right="277"/>
              <w:jc w:val="right"/>
              <w:rPr>
                <w:b/>
                <w:sz w:val="18"/>
              </w:rPr>
            </w:pPr>
            <w:r>
              <w:rPr>
                <w:b/>
                <w:w w:val="95"/>
                <w:sz w:val="18"/>
              </w:rPr>
              <w:t>19,975</w:t>
            </w:r>
          </w:p>
        </w:tc>
        <w:tc>
          <w:tcPr>
            <w:tcW w:w="1105" w:type="dxa"/>
            <w:tcBorders>
              <w:top w:val="single" w:sz="1" w:space="0" w:color="000000"/>
              <w:bottom w:val="single" w:sz="1" w:space="0" w:color="000000"/>
            </w:tcBorders>
          </w:tcPr>
          <w:p>
            <w:pPr>
              <w:pStyle w:val="TableParagraph"/>
              <w:spacing w:before="124"/>
              <w:ind w:right="84"/>
              <w:jc w:val="right"/>
              <w:rPr>
                <w:sz w:val="18"/>
              </w:rPr>
            </w:pPr>
            <w:r>
              <w:rPr>
                <w:w w:val="95"/>
                <w:sz w:val="18"/>
              </w:rPr>
              <w:t>16,075</w:t>
            </w:r>
          </w:p>
        </w:tc>
      </w:tr>
      <w:tr>
        <w:trPr>
          <w:trHeight w:val="512" w:hRule="exact"/>
        </w:trPr>
        <w:tc>
          <w:tcPr>
            <w:tcW w:w="3431" w:type="dxa"/>
          </w:tcPr>
          <w:p>
            <w:pPr>
              <w:pStyle w:val="TableParagraph"/>
              <w:spacing w:before="139"/>
              <w:ind w:left="35"/>
              <w:rPr>
                <w:b/>
                <w:sz w:val="18"/>
              </w:rPr>
            </w:pPr>
            <w:r>
              <w:rPr>
                <w:b/>
                <w:sz w:val="18"/>
              </w:rPr>
              <w:t>Unused at balance date</w:t>
            </w:r>
          </w:p>
        </w:tc>
        <w:tc>
          <w:tcPr>
            <w:tcW w:w="1655" w:type="dxa"/>
            <w:tcBorders>
              <w:top w:val="single" w:sz="1" w:space="0" w:color="000000"/>
            </w:tcBorders>
          </w:tcPr>
          <w:p>
            <w:pPr/>
          </w:p>
        </w:tc>
        <w:tc>
          <w:tcPr>
            <w:tcW w:w="1387" w:type="dxa"/>
            <w:tcBorders>
              <w:top w:val="single" w:sz="1" w:space="0" w:color="000000"/>
            </w:tcBorders>
          </w:tcPr>
          <w:p>
            <w:pPr/>
          </w:p>
        </w:tc>
        <w:tc>
          <w:tcPr>
            <w:tcW w:w="1373" w:type="dxa"/>
            <w:tcBorders>
              <w:top w:val="single" w:sz="1" w:space="0" w:color="000000"/>
            </w:tcBorders>
          </w:tcPr>
          <w:p>
            <w:pPr/>
          </w:p>
        </w:tc>
        <w:tc>
          <w:tcPr>
            <w:tcW w:w="1105" w:type="dxa"/>
            <w:tcBorders>
              <w:top w:val="single" w:sz="1" w:space="0" w:color="000000"/>
            </w:tcBorders>
          </w:tcPr>
          <w:p>
            <w:pPr/>
          </w:p>
        </w:tc>
      </w:tr>
      <w:tr>
        <w:trPr>
          <w:trHeight w:val="391" w:hRule="exact"/>
        </w:trPr>
        <w:tc>
          <w:tcPr>
            <w:tcW w:w="3431" w:type="dxa"/>
          </w:tcPr>
          <w:p>
            <w:pPr>
              <w:pStyle w:val="TableParagraph"/>
              <w:spacing w:before="146"/>
              <w:ind w:left="248"/>
              <w:rPr>
                <w:sz w:val="18"/>
              </w:rPr>
            </w:pPr>
            <w:r>
              <w:rPr>
                <w:sz w:val="18"/>
              </w:rPr>
              <w:t>Bank guarantees</w:t>
            </w:r>
          </w:p>
        </w:tc>
        <w:tc>
          <w:tcPr>
            <w:tcW w:w="1655" w:type="dxa"/>
          </w:tcPr>
          <w:p>
            <w:pPr>
              <w:pStyle w:val="TableParagraph"/>
              <w:spacing w:before="146"/>
              <w:ind w:right="277"/>
              <w:jc w:val="right"/>
              <w:rPr>
                <w:b/>
                <w:sz w:val="18"/>
              </w:rPr>
            </w:pPr>
            <w:r>
              <w:rPr>
                <w:b/>
                <w:w w:val="95"/>
                <w:sz w:val="18"/>
              </w:rPr>
              <w:t>285</w:t>
            </w:r>
          </w:p>
        </w:tc>
        <w:tc>
          <w:tcPr>
            <w:tcW w:w="1387" w:type="dxa"/>
          </w:tcPr>
          <w:p>
            <w:pPr>
              <w:pStyle w:val="TableParagraph"/>
              <w:spacing w:before="146"/>
              <w:ind w:right="366"/>
              <w:jc w:val="right"/>
              <w:rPr>
                <w:sz w:val="18"/>
              </w:rPr>
            </w:pPr>
            <w:r>
              <w:rPr>
                <w:w w:val="95"/>
                <w:sz w:val="18"/>
              </w:rPr>
              <w:t>117</w:t>
            </w:r>
          </w:p>
        </w:tc>
        <w:tc>
          <w:tcPr>
            <w:tcW w:w="1373" w:type="dxa"/>
          </w:tcPr>
          <w:p>
            <w:pPr>
              <w:pStyle w:val="TableParagraph"/>
              <w:spacing w:before="146"/>
              <w:ind w:right="277"/>
              <w:jc w:val="right"/>
              <w:rPr>
                <w:b/>
                <w:sz w:val="18"/>
              </w:rPr>
            </w:pPr>
            <w:r>
              <w:rPr>
                <w:b/>
                <w:w w:val="95"/>
                <w:sz w:val="18"/>
              </w:rPr>
              <w:t>285</w:t>
            </w:r>
          </w:p>
        </w:tc>
        <w:tc>
          <w:tcPr>
            <w:tcW w:w="1105" w:type="dxa"/>
          </w:tcPr>
          <w:p>
            <w:pPr>
              <w:pStyle w:val="TableParagraph"/>
              <w:spacing w:before="146"/>
              <w:ind w:right="84"/>
              <w:jc w:val="right"/>
              <w:rPr>
                <w:sz w:val="18"/>
              </w:rPr>
            </w:pPr>
            <w:r>
              <w:rPr>
                <w:w w:val="95"/>
                <w:sz w:val="18"/>
              </w:rPr>
              <w:t>117</w:t>
            </w:r>
          </w:p>
        </w:tc>
      </w:tr>
      <w:tr>
        <w:trPr>
          <w:trHeight w:val="265" w:hRule="exact"/>
        </w:trPr>
        <w:tc>
          <w:tcPr>
            <w:tcW w:w="3431" w:type="dxa"/>
          </w:tcPr>
          <w:p>
            <w:pPr>
              <w:pStyle w:val="TableParagraph"/>
              <w:spacing w:before="21"/>
              <w:ind w:left="248"/>
              <w:rPr>
                <w:sz w:val="18"/>
              </w:rPr>
            </w:pPr>
            <w:r>
              <w:rPr>
                <w:sz w:val="18"/>
              </w:rPr>
              <w:t>Credit cards</w:t>
            </w:r>
          </w:p>
        </w:tc>
        <w:tc>
          <w:tcPr>
            <w:tcW w:w="1655" w:type="dxa"/>
          </w:tcPr>
          <w:p>
            <w:pPr>
              <w:pStyle w:val="TableParagraph"/>
              <w:spacing w:before="19"/>
              <w:ind w:right="277"/>
              <w:jc w:val="right"/>
              <w:rPr>
                <w:b/>
                <w:sz w:val="18"/>
              </w:rPr>
            </w:pPr>
            <w:r>
              <w:rPr>
                <w:b/>
                <w:w w:val="95"/>
                <w:sz w:val="18"/>
              </w:rPr>
              <w:t>4,058</w:t>
            </w:r>
          </w:p>
        </w:tc>
        <w:tc>
          <w:tcPr>
            <w:tcW w:w="1387" w:type="dxa"/>
          </w:tcPr>
          <w:p>
            <w:pPr>
              <w:pStyle w:val="TableParagraph"/>
              <w:spacing w:before="19"/>
              <w:ind w:left="565"/>
              <w:rPr>
                <w:sz w:val="18"/>
              </w:rPr>
            </w:pPr>
            <w:r>
              <w:rPr>
                <w:sz w:val="18"/>
              </w:rPr>
              <w:t>4,354</w:t>
            </w:r>
          </w:p>
        </w:tc>
        <w:tc>
          <w:tcPr>
            <w:tcW w:w="1373" w:type="dxa"/>
          </w:tcPr>
          <w:p>
            <w:pPr>
              <w:pStyle w:val="TableParagraph"/>
              <w:spacing w:before="19"/>
              <w:ind w:right="277"/>
              <w:jc w:val="right"/>
              <w:rPr>
                <w:b/>
                <w:sz w:val="18"/>
              </w:rPr>
            </w:pPr>
            <w:r>
              <w:rPr>
                <w:b/>
                <w:w w:val="95"/>
                <w:sz w:val="18"/>
              </w:rPr>
              <w:t>4,058</w:t>
            </w:r>
          </w:p>
        </w:tc>
        <w:tc>
          <w:tcPr>
            <w:tcW w:w="1105" w:type="dxa"/>
          </w:tcPr>
          <w:p>
            <w:pPr>
              <w:pStyle w:val="TableParagraph"/>
              <w:spacing w:before="19"/>
              <w:ind w:right="84"/>
              <w:jc w:val="right"/>
              <w:rPr>
                <w:sz w:val="18"/>
              </w:rPr>
            </w:pPr>
            <w:r>
              <w:rPr>
                <w:w w:val="95"/>
                <w:sz w:val="18"/>
              </w:rPr>
              <w:t>4,354</w:t>
            </w:r>
          </w:p>
        </w:tc>
      </w:tr>
      <w:tr>
        <w:trPr>
          <w:trHeight w:val="260" w:hRule="exact"/>
        </w:trPr>
        <w:tc>
          <w:tcPr>
            <w:tcW w:w="3431" w:type="dxa"/>
          </w:tcPr>
          <w:p>
            <w:pPr>
              <w:pStyle w:val="TableParagraph"/>
              <w:spacing w:before="20"/>
              <w:ind w:left="248"/>
              <w:rPr>
                <w:sz w:val="18"/>
              </w:rPr>
            </w:pPr>
            <w:r>
              <w:rPr>
                <w:sz w:val="18"/>
              </w:rPr>
              <w:t>Leasing facilities</w:t>
            </w:r>
          </w:p>
        </w:tc>
        <w:tc>
          <w:tcPr>
            <w:tcW w:w="1655" w:type="dxa"/>
            <w:tcBorders>
              <w:bottom w:val="single" w:sz="1" w:space="0" w:color="000000"/>
            </w:tcBorders>
          </w:tcPr>
          <w:p>
            <w:pPr>
              <w:pStyle w:val="TableParagraph"/>
              <w:spacing w:before="18"/>
              <w:ind w:right="277"/>
              <w:jc w:val="right"/>
              <w:rPr>
                <w:b/>
                <w:sz w:val="18"/>
              </w:rPr>
            </w:pPr>
            <w:r>
              <w:rPr>
                <w:b/>
                <w:w w:val="95"/>
                <w:sz w:val="18"/>
              </w:rPr>
              <w:t>13,182</w:t>
            </w:r>
          </w:p>
        </w:tc>
        <w:tc>
          <w:tcPr>
            <w:tcW w:w="1387" w:type="dxa"/>
            <w:tcBorders>
              <w:bottom w:val="single" w:sz="1" w:space="0" w:color="000000"/>
            </w:tcBorders>
          </w:tcPr>
          <w:p>
            <w:pPr>
              <w:pStyle w:val="TableParagraph"/>
              <w:spacing w:before="18"/>
              <w:ind w:left="464"/>
              <w:rPr>
                <w:sz w:val="18"/>
              </w:rPr>
            </w:pPr>
            <w:r>
              <w:rPr>
                <w:sz w:val="18"/>
              </w:rPr>
              <w:t>10,779</w:t>
            </w:r>
          </w:p>
        </w:tc>
        <w:tc>
          <w:tcPr>
            <w:tcW w:w="1373" w:type="dxa"/>
            <w:tcBorders>
              <w:bottom w:val="single" w:sz="1" w:space="0" w:color="000000"/>
            </w:tcBorders>
          </w:tcPr>
          <w:p>
            <w:pPr>
              <w:pStyle w:val="TableParagraph"/>
              <w:spacing w:before="18"/>
              <w:ind w:right="277"/>
              <w:jc w:val="right"/>
              <w:rPr>
                <w:b/>
                <w:sz w:val="18"/>
              </w:rPr>
            </w:pPr>
            <w:r>
              <w:rPr>
                <w:b/>
                <w:w w:val="95"/>
                <w:sz w:val="18"/>
              </w:rPr>
              <w:t>13,182</w:t>
            </w:r>
          </w:p>
        </w:tc>
        <w:tc>
          <w:tcPr>
            <w:tcW w:w="1105" w:type="dxa"/>
            <w:tcBorders>
              <w:bottom w:val="single" w:sz="1" w:space="0" w:color="000000"/>
            </w:tcBorders>
          </w:tcPr>
          <w:p>
            <w:pPr>
              <w:pStyle w:val="TableParagraph"/>
              <w:spacing w:before="18"/>
              <w:ind w:right="84"/>
              <w:jc w:val="right"/>
              <w:rPr>
                <w:sz w:val="18"/>
              </w:rPr>
            </w:pPr>
            <w:r>
              <w:rPr>
                <w:w w:val="95"/>
                <w:sz w:val="18"/>
              </w:rPr>
              <w:t>10,779</w:t>
            </w:r>
          </w:p>
        </w:tc>
      </w:tr>
      <w:tr>
        <w:trPr>
          <w:trHeight w:val="353" w:hRule="exact"/>
        </w:trPr>
        <w:tc>
          <w:tcPr>
            <w:tcW w:w="3431" w:type="dxa"/>
          </w:tcPr>
          <w:p>
            <w:pPr>
              <w:pStyle w:val="TableParagraph"/>
              <w:spacing w:before="125"/>
              <w:ind w:left="35"/>
              <w:rPr>
                <w:b/>
                <w:sz w:val="18"/>
              </w:rPr>
            </w:pPr>
            <w:r>
              <w:rPr>
                <w:b/>
                <w:sz w:val="18"/>
              </w:rPr>
              <w:t>Total unused at balance date</w:t>
            </w:r>
          </w:p>
        </w:tc>
        <w:tc>
          <w:tcPr>
            <w:tcW w:w="1655" w:type="dxa"/>
            <w:tcBorders>
              <w:top w:val="single" w:sz="1" w:space="0" w:color="000000"/>
              <w:bottom w:val="single" w:sz="1" w:space="0" w:color="000000"/>
            </w:tcBorders>
          </w:tcPr>
          <w:p>
            <w:pPr>
              <w:pStyle w:val="TableParagraph"/>
              <w:spacing w:before="124"/>
              <w:ind w:right="277"/>
              <w:jc w:val="right"/>
              <w:rPr>
                <w:b/>
                <w:sz w:val="18"/>
              </w:rPr>
            </w:pPr>
            <w:r>
              <w:rPr>
                <w:b/>
                <w:w w:val="95"/>
                <w:sz w:val="18"/>
              </w:rPr>
              <w:t>17,525</w:t>
            </w:r>
          </w:p>
        </w:tc>
        <w:tc>
          <w:tcPr>
            <w:tcW w:w="1387" w:type="dxa"/>
            <w:tcBorders>
              <w:top w:val="single" w:sz="1" w:space="0" w:color="000000"/>
              <w:bottom w:val="single" w:sz="1" w:space="0" w:color="000000"/>
            </w:tcBorders>
          </w:tcPr>
          <w:p>
            <w:pPr>
              <w:pStyle w:val="TableParagraph"/>
              <w:spacing w:before="124"/>
              <w:ind w:left="464"/>
              <w:rPr>
                <w:sz w:val="18"/>
              </w:rPr>
            </w:pPr>
            <w:r>
              <w:rPr>
                <w:sz w:val="18"/>
              </w:rPr>
              <w:t>15,250</w:t>
            </w:r>
          </w:p>
        </w:tc>
        <w:tc>
          <w:tcPr>
            <w:tcW w:w="1373" w:type="dxa"/>
            <w:tcBorders>
              <w:top w:val="single" w:sz="1" w:space="0" w:color="000000"/>
              <w:bottom w:val="single" w:sz="1" w:space="0" w:color="000000"/>
            </w:tcBorders>
          </w:tcPr>
          <w:p>
            <w:pPr>
              <w:pStyle w:val="TableParagraph"/>
              <w:spacing w:before="124"/>
              <w:ind w:right="277"/>
              <w:jc w:val="right"/>
              <w:rPr>
                <w:b/>
                <w:sz w:val="18"/>
              </w:rPr>
            </w:pPr>
            <w:r>
              <w:rPr>
                <w:b/>
                <w:w w:val="95"/>
                <w:sz w:val="18"/>
              </w:rPr>
              <w:t>17,525</w:t>
            </w:r>
          </w:p>
        </w:tc>
        <w:tc>
          <w:tcPr>
            <w:tcW w:w="1105" w:type="dxa"/>
            <w:tcBorders>
              <w:top w:val="single" w:sz="1" w:space="0" w:color="000000"/>
              <w:bottom w:val="single" w:sz="1" w:space="0" w:color="000000"/>
            </w:tcBorders>
          </w:tcPr>
          <w:p>
            <w:pPr>
              <w:pStyle w:val="TableParagraph"/>
              <w:spacing w:before="124"/>
              <w:ind w:right="84"/>
              <w:jc w:val="right"/>
              <w:rPr>
                <w:sz w:val="18"/>
              </w:rPr>
            </w:pPr>
            <w:r>
              <w:rPr>
                <w:w w:val="95"/>
                <w:sz w:val="18"/>
              </w:rPr>
              <w:t>15,250</w:t>
            </w:r>
          </w:p>
        </w:tc>
      </w:tr>
      <w:tr>
        <w:trPr>
          <w:trHeight w:val="653" w:hRule="exact"/>
        </w:trPr>
        <w:tc>
          <w:tcPr>
            <w:tcW w:w="3431" w:type="dxa"/>
          </w:tcPr>
          <w:p>
            <w:pPr>
              <w:pStyle w:val="TableParagraph"/>
              <w:rPr>
                <w:b/>
                <w:sz w:val="18"/>
              </w:rPr>
            </w:pPr>
          </w:p>
          <w:p>
            <w:pPr>
              <w:pStyle w:val="TableParagraph"/>
              <w:spacing w:before="8"/>
              <w:rPr>
                <w:b/>
                <w:sz w:val="18"/>
              </w:rPr>
            </w:pPr>
          </w:p>
          <w:p>
            <w:pPr>
              <w:pStyle w:val="TableParagraph"/>
              <w:ind w:left="35"/>
              <w:rPr>
                <w:b/>
                <w:sz w:val="18"/>
              </w:rPr>
            </w:pPr>
            <w:r>
              <w:rPr>
                <w:b/>
                <w:sz w:val="18"/>
              </w:rPr>
              <w:t>Bank loan facilities</w:t>
            </w:r>
          </w:p>
        </w:tc>
        <w:tc>
          <w:tcPr>
            <w:tcW w:w="1655" w:type="dxa"/>
            <w:tcBorders>
              <w:top w:val="single" w:sz="1" w:space="0" w:color="000000"/>
            </w:tcBorders>
          </w:tcPr>
          <w:p>
            <w:pPr/>
          </w:p>
        </w:tc>
        <w:tc>
          <w:tcPr>
            <w:tcW w:w="1387" w:type="dxa"/>
            <w:tcBorders>
              <w:top w:val="single" w:sz="1" w:space="0" w:color="000000"/>
            </w:tcBorders>
          </w:tcPr>
          <w:p>
            <w:pPr/>
          </w:p>
        </w:tc>
        <w:tc>
          <w:tcPr>
            <w:tcW w:w="1373" w:type="dxa"/>
            <w:tcBorders>
              <w:top w:val="single" w:sz="1" w:space="0" w:color="000000"/>
            </w:tcBorders>
          </w:tcPr>
          <w:p>
            <w:pPr/>
          </w:p>
        </w:tc>
        <w:tc>
          <w:tcPr>
            <w:tcW w:w="1105" w:type="dxa"/>
            <w:tcBorders>
              <w:top w:val="single" w:sz="1" w:space="0" w:color="000000"/>
            </w:tcBorders>
          </w:tcPr>
          <w:p>
            <w:pPr/>
          </w:p>
        </w:tc>
      </w:tr>
      <w:tr>
        <w:trPr>
          <w:trHeight w:val="251" w:hRule="exact"/>
        </w:trPr>
        <w:tc>
          <w:tcPr>
            <w:tcW w:w="3431" w:type="dxa"/>
          </w:tcPr>
          <w:p>
            <w:pPr>
              <w:pStyle w:val="TableParagraph"/>
              <w:spacing w:before="7"/>
              <w:ind w:left="35"/>
              <w:rPr>
                <w:sz w:val="18"/>
              </w:rPr>
            </w:pPr>
            <w:r>
              <w:rPr>
                <w:sz w:val="18"/>
              </w:rPr>
              <w:t>Total facilities</w:t>
            </w:r>
          </w:p>
        </w:tc>
        <w:tc>
          <w:tcPr>
            <w:tcW w:w="1655" w:type="dxa"/>
          </w:tcPr>
          <w:p>
            <w:pPr>
              <w:pStyle w:val="TableParagraph"/>
              <w:spacing w:before="4"/>
              <w:ind w:right="277"/>
              <w:jc w:val="right"/>
              <w:rPr>
                <w:b/>
                <w:sz w:val="18"/>
              </w:rPr>
            </w:pPr>
            <w:r>
              <w:rPr>
                <w:b/>
                <w:w w:val="95"/>
                <w:sz w:val="18"/>
              </w:rPr>
              <w:t>298,000</w:t>
            </w:r>
          </w:p>
        </w:tc>
        <w:tc>
          <w:tcPr>
            <w:tcW w:w="1387" w:type="dxa"/>
          </w:tcPr>
          <w:p>
            <w:pPr>
              <w:pStyle w:val="TableParagraph"/>
              <w:spacing w:before="4"/>
              <w:ind w:left="363"/>
              <w:rPr>
                <w:sz w:val="18"/>
              </w:rPr>
            </w:pPr>
            <w:r>
              <w:rPr>
                <w:sz w:val="18"/>
              </w:rPr>
              <w:t>298,000</w:t>
            </w:r>
          </w:p>
        </w:tc>
        <w:tc>
          <w:tcPr>
            <w:tcW w:w="1373" w:type="dxa"/>
          </w:tcPr>
          <w:p>
            <w:pPr>
              <w:pStyle w:val="TableParagraph"/>
              <w:spacing w:before="4"/>
              <w:ind w:right="277"/>
              <w:jc w:val="right"/>
              <w:rPr>
                <w:b/>
                <w:sz w:val="18"/>
              </w:rPr>
            </w:pPr>
            <w:r>
              <w:rPr>
                <w:b/>
                <w:w w:val="95"/>
                <w:sz w:val="18"/>
              </w:rPr>
              <w:t>298,000</w:t>
            </w:r>
          </w:p>
        </w:tc>
        <w:tc>
          <w:tcPr>
            <w:tcW w:w="1105" w:type="dxa"/>
          </w:tcPr>
          <w:p>
            <w:pPr>
              <w:pStyle w:val="TableParagraph"/>
              <w:spacing w:before="4"/>
              <w:ind w:left="363"/>
              <w:rPr>
                <w:sz w:val="18"/>
              </w:rPr>
            </w:pPr>
            <w:r>
              <w:rPr>
                <w:sz w:val="18"/>
              </w:rPr>
              <w:t>298,000</w:t>
            </w:r>
          </w:p>
        </w:tc>
      </w:tr>
      <w:tr>
        <w:trPr>
          <w:trHeight w:val="260" w:hRule="exact"/>
        </w:trPr>
        <w:tc>
          <w:tcPr>
            <w:tcW w:w="3431" w:type="dxa"/>
          </w:tcPr>
          <w:p>
            <w:pPr>
              <w:pStyle w:val="TableParagraph"/>
              <w:spacing w:before="20"/>
              <w:ind w:left="35"/>
              <w:rPr>
                <w:sz w:val="18"/>
              </w:rPr>
            </w:pPr>
            <w:r>
              <w:rPr>
                <w:sz w:val="18"/>
              </w:rPr>
              <w:t>Used at balance date</w:t>
            </w:r>
          </w:p>
        </w:tc>
        <w:tc>
          <w:tcPr>
            <w:tcW w:w="1655" w:type="dxa"/>
            <w:tcBorders>
              <w:bottom w:val="single" w:sz="1" w:space="0" w:color="000000"/>
            </w:tcBorders>
          </w:tcPr>
          <w:p>
            <w:pPr>
              <w:pStyle w:val="TableParagraph"/>
              <w:spacing w:before="18"/>
              <w:ind w:right="217"/>
              <w:jc w:val="right"/>
              <w:rPr>
                <w:b/>
                <w:sz w:val="18"/>
              </w:rPr>
            </w:pPr>
            <w:r>
              <w:rPr>
                <w:b/>
                <w:w w:val="95"/>
                <w:sz w:val="18"/>
              </w:rPr>
              <w:t>(163,500)</w:t>
            </w:r>
          </w:p>
        </w:tc>
        <w:tc>
          <w:tcPr>
            <w:tcW w:w="1387" w:type="dxa"/>
            <w:tcBorders>
              <w:bottom w:val="single" w:sz="1" w:space="0" w:color="000000"/>
            </w:tcBorders>
          </w:tcPr>
          <w:p>
            <w:pPr>
              <w:pStyle w:val="TableParagraph"/>
              <w:spacing w:before="18"/>
              <w:ind w:right="306"/>
              <w:jc w:val="right"/>
              <w:rPr>
                <w:sz w:val="18"/>
              </w:rPr>
            </w:pPr>
            <w:r>
              <w:rPr>
                <w:w w:val="95"/>
                <w:sz w:val="18"/>
              </w:rPr>
              <w:t>(155,000)</w:t>
            </w:r>
          </w:p>
        </w:tc>
        <w:tc>
          <w:tcPr>
            <w:tcW w:w="1373" w:type="dxa"/>
            <w:tcBorders>
              <w:bottom w:val="single" w:sz="1" w:space="0" w:color="000000"/>
            </w:tcBorders>
          </w:tcPr>
          <w:p>
            <w:pPr>
              <w:pStyle w:val="TableParagraph"/>
              <w:spacing w:before="18"/>
              <w:ind w:right="217"/>
              <w:jc w:val="right"/>
              <w:rPr>
                <w:b/>
                <w:sz w:val="18"/>
              </w:rPr>
            </w:pPr>
            <w:r>
              <w:rPr>
                <w:b/>
                <w:w w:val="95"/>
                <w:sz w:val="18"/>
              </w:rPr>
              <w:t>(163,500)</w:t>
            </w:r>
          </w:p>
        </w:tc>
        <w:tc>
          <w:tcPr>
            <w:tcW w:w="1105" w:type="dxa"/>
            <w:tcBorders>
              <w:bottom w:val="single" w:sz="1" w:space="0" w:color="000000"/>
            </w:tcBorders>
          </w:tcPr>
          <w:p>
            <w:pPr>
              <w:pStyle w:val="TableParagraph"/>
              <w:spacing w:before="18"/>
              <w:ind w:right="24"/>
              <w:jc w:val="right"/>
              <w:rPr>
                <w:sz w:val="18"/>
              </w:rPr>
            </w:pPr>
            <w:r>
              <w:rPr>
                <w:w w:val="95"/>
                <w:sz w:val="18"/>
              </w:rPr>
              <w:t>(155,000)</w:t>
            </w:r>
          </w:p>
        </w:tc>
      </w:tr>
      <w:tr>
        <w:trPr>
          <w:trHeight w:val="298" w:hRule="exact"/>
        </w:trPr>
        <w:tc>
          <w:tcPr>
            <w:tcW w:w="3431" w:type="dxa"/>
          </w:tcPr>
          <w:p>
            <w:pPr>
              <w:pStyle w:val="TableParagraph"/>
              <w:spacing w:before="43"/>
              <w:ind w:left="35"/>
              <w:rPr>
                <w:b/>
                <w:sz w:val="18"/>
              </w:rPr>
            </w:pPr>
            <w:r>
              <w:rPr>
                <w:b/>
                <w:sz w:val="18"/>
              </w:rPr>
              <w:t>Total unused at balance date</w:t>
            </w:r>
          </w:p>
        </w:tc>
        <w:tc>
          <w:tcPr>
            <w:tcW w:w="1655" w:type="dxa"/>
            <w:tcBorders>
              <w:top w:val="single" w:sz="1" w:space="0" w:color="000000"/>
              <w:bottom w:val="single" w:sz="1" w:space="0" w:color="000000"/>
            </w:tcBorders>
          </w:tcPr>
          <w:p>
            <w:pPr>
              <w:pStyle w:val="TableParagraph"/>
              <w:spacing w:before="40"/>
              <w:ind w:right="277"/>
              <w:jc w:val="right"/>
              <w:rPr>
                <w:b/>
                <w:sz w:val="18"/>
              </w:rPr>
            </w:pPr>
            <w:r>
              <w:rPr>
                <w:b/>
                <w:w w:val="95"/>
                <w:sz w:val="18"/>
              </w:rPr>
              <w:t>134,500</w:t>
            </w:r>
          </w:p>
        </w:tc>
        <w:tc>
          <w:tcPr>
            <w:tcW w:w="1387" w:type="dxa"/>
            <w:tcBorders>
              <w:top w:val="single" w:sz="1" w:space="0" w:color="000000"/>
              <w:bottom w:val="single" w:sz="1" w:space="0" w:color="000000"/>
            </w:tcBorders>
          </w:tcPr>
          <w:p>
            <w:pPr>
              <w:pStyle w:val="TableParagraph"/>
              <w:spacing w:before="40"/>
              <w:ind w:left="363"/>
              <w:rPr>
                <w:sz w:val="18"/>
              </w:rPr>
            </w:pPr>
            <w:r>
              <w:rPr>
                <w:sz w:val="18"/>
              </w:rPr>
              <w:t>143,000</w:t>
            </w:r>
          </w:p>
        </w:tc>
        <w:tc>
          <w:tcPr>
            <w:tcW w:w="1373" w:type="dxa"/>
            <w:tcBorders>
              <w:top w:val="single" w:sz="1" w:space="0" w:color="000000"/>
              <w:bottom w:val="single" w:sz="1" w:space="0" w:color="000000"/>
            </w:tcBorders>
          </w:tcPr>
          <w:p>
            <w:pPr>
              <w:pStyle w:val="TableParagraph"/>
              <w:spacing w:before="40"/>
              <w:ind w:right="277"/>
              <w:jc w:val="right"/>
              <w:rPr>
                <w:b/>
                <w:sz w:val="18"/>
              </w:rPr>
            </w:pPr>
            <w:r>
              <w:rPr>
                <w:b/>
                <w:w w:val="95"/>
                <w:sz w:val="18"/>
              </w:rPr>
              <w:t>134,500</w:t>
            </w:r>
          </w:p>
        </w:tc>
        <w:tc>
          <w:tcPr>
            <w:tcW w:w="1105" w:type="dxa"/>
            <w:tcBorders>
              <w:top w:val="single" w:sz="1" w:space="0" w:color="000000"/>
              <w:bottom w:val="single" w:sz="1" w:space="0" w:color="000000"/>
            </w:tcBorders>
          </w:tcPr>
          <w:p>
            <w:pPr>
              <w:pStyle w:val="TableParagraph"/>
              <w:spacing w:before="40"/>
              <w:ind w:left="363"/>
              <w:rPr>
                <w:sz w:val="18"/>
              </w:rPr>
            </w:pPr>
            <w:r>
              <w:rPr>
                <w:sz w:val="18"/>
              </w:rPr>
              <w:t>143,000</w:t>
            </w:r>
          </w:p>
        </w:tc>
      </w:tr>
    </w:tbl>
    <w:p>
      <w:pPr>
        <w:spacing w:after="0"/>
        <w:rPr>
          <w:sz w:val="18"/>
        </w:rPr>
        <w:sectPr>
          <w:pgSz w:w="11910" w:h="16840"/>
          <w:pgMar w:header="1037" w:footer="507" w:top="2220" w:bottom="700" w:left="900" w:right="880"/>
        </w:sectPr>
      </w:pPr>
    </w:p>
    <w:p>
      <w:pPr>
        <w:pStyle w:val="BodyText"/>
        <w:rPr>
          <w:b/>
          <w:sz w:val="20"/>
        </w:rPr>
      </w:pPr>
    </w:p>
    <w:p>
      <w:pPr>
        <w:pStyle w:val="BodyText"/>
        <w:rPr>
          <w:b/>
          <w:sz w:val="20"/>
        </w:rPr>
      </w:pPr>
    </w:p>
    <w:p>
      <w:pPr>
        <w:pStyle w:val="BodyText"/>
        <w:spacing w:before="5"/>
        <w:rPr>
          <w:b/>
        </w:rPr>
      </w:pPr>
    </w:p>
    <w:p>
      <w:pPr>
        <w:pStyle w:val="ListParagraph"/>
        <w:numPr>
          <w:ilvl w:val="0"/>
          <w:numId w:val="29"/>
        </w:numPr>
        <w:tabs>
          <w:tab w:pos="504" w:val="left" w:leader="none"/>
        </w:tabs>
        <w:spacing w:line="240" w:lineRule="auto" w:before="0" w:after="0"/>
        <w:ind w:left="504" w:right="0" w:hanging="394"/>
        <w:jc w:val="left"/>
        <w:rPr>
          <w:b/>
          <w:sz w:val="18"/>
        </w:rPr>
      </w:pPr>
      <w:bookmarkStart w:name="27 Provisions " w:id="105"/>
      <w:bookmarkEnd w:id="105"/>
      <w:r>
        <w:rPr/>
      </w:r>
      <w:bookmarkStart w:name="27 Provisions " w:id="106"/>
      <w:bookmarkEnd w:id="106"/>
      <w:r>
        <w:rPr>
          <w:b/>
          <w:sz w:val="18"/>
        </w:rPr>
        <w:t>Provisions</w:t>
      </w:r>
    </w:p>
    <w:p>
      <w:pPr>
        <w:tabs>
          <w:tab w:pos="8368" w:val="left" w:leader="none"/>
        </w:tabs>
        <w:spacing w:before="33"/>
        <w:ind w:left="5318" w:right="220" w:firstLine="0"/>
        <w:jc w:val="left"/>
        <w:rPr>
          <w:b/>
          <w:sz w:val="18"/>
        </w:rPr>
      </w:pPr>
      <w:r>
        <w:rPr>
          <w:b/>
          <w:sz w:val="18"/>
        </w:rPr>
        <w:t>Consolidated</w:t>
        <w:tab/>
        <w:t>Parent</w:t>
      </w:r>
    </w:p>
    <w:p>
      <w:pPr>
        <w:spacing w:after="0"/>
        <w:jc w:val="left"/>
        <w:rPr>
          <w:sz w:val="18"/>
        </w:rPr>
        <w:sectPr>
          <w:pgSz w:w="11910" w:h="16840"/>
          <w:pgMar w:header="1037" w:footer="507" w:top="2220" w:bottom="700" w:left="900" w:right="880"/>
        </w:sectPr>
      </w:pPr>
    </w:p>
    <w:p>
      <w:pPr>
        <w:pStyle w:val="BodyText"/>
        <w:rPr>
          <w:b/>
        </w:rPr>
      </w:pPr>
    </w:p>
    <w:p>
      <w:pPr>
        <w:spacing w:before="133"/>
        <w:ind w:left="0" w:right="0" w:firstLine="0"/>
        <w:jc w:val="right"/>
        <w:rPr>
          <w:b/>
          <w:sz w:val="18"/>
        </w:rPr>
      </w:pPr>
      <w:r>
        <w:rPr>
          <w:b/>
          <w:w w:val="95"/>
          <w:sz w:val="18"/>
        </w:rPr>
        <w:t>Note</w:t>
      </w:r>
    </w:p>
    <w:p>
      <w:pPr>
        <w:spacing w:before="66"/>
        <w:ind w:left="663" w:right="-17" w:firstLine="0"/>
        <w:jc w:val="left"/>
        <w:rPr>
          <w:b/>
          <w:sz w:val="18"/>
        </w:rPr>
      </w:pPr>
      <w:r>
        <w:rPr/>
        <w:br w:type="column"/>
      </w:r>
      <w:r>
        <w:rPr>
          <w:b/>
          <w:sz w:val="18"/>
        </w:rPr>
        <w:t>2017</w:t>
      </w:r>
    </w:p>
    <w:p>
      <w:pPr>
        <w:spacing w:before="66"/>
        <w:ind w:left="642" w:right="-17" w:firstLine="0"/>
        <w:jc w:val="left"/>
        <w:rPr>
          <w:b/>
          <w:sz w:val="18"/>
        </w:rPr>
      </w:pPr>
      <w:r>
        <w:rPr>
          <w:b/>
          <w:sz w:val="18"/>
        </w:rPr>
        <w:t>$'000</w:t>
      </w:r>
    </w:p>
    <w:p>
      <w:pPr>
        <w:spacing w:before="66"/>
        <w:ind w:left="819" w:right="-17" w:firstLine="0"/>
        <w:jc w:val="left"/>
        <w:rPr>
          <w:b/>
          <w:sz w:val="18"/>
        </w:rPr>
      </w:pPr>
      <w:r>
        <w:rPr/>
        <w:br w:type="column"/>
      </w:r>
      <w:r>
        <w:rPr>
          <w:b/>
          <w:sz w:val="18"/>
        </w:rPr>
        <w:t>2016</w:t>
      </w:r>
    </w:p>
    <w:p>
      <w:pPr>
        <w:spacing w:before="66"/>
        <w:ind w:left="797" w:right="-17"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19" w:right="0" w:firstLine="0"/>
        <w:jc w:val="left"/>
        <w:rPr>
          <w:b/>
          <w:sz w:val="18"/>
        </w:rPr>
      </w:pPr>
      <w:r>
        <w:rPr/>
        <w:br w:type="column"/>
      </w:r>
      <w:r>
        <w:rPr>
          <w:b/>
          <w:sz w:val="18"/>
        </w:rPr>
        <w:t>2016</w:t>
      </w:r>
    </w:p>
    <w:p>
      <w:pPr>
        <w:spacing w:before="66"/>
        <w:ind w:left="797" w:right="0" w:firstLine="0"/>
        <w:jc w:val="left"/>
        <w:rPr>
          <w:b/>
          <w:sz w:val="18"/>
        </w:rPr>
      </w:pPr>
      <w:r>
        <w:rPr>
          <w:b/>
          <w:sz w:val="18"/>
        </w:rPr>
        <w:t>$'000</w:t>
      </w:r>
    </w:p>
    <w:p>
      <w:pPr>
        <w:spacing w:after="0"/>
        <w:jc w:val="left"/>
        <w:rPr>
          <w:sz w:val="18"/>
        </w:rPr>
        <w:sectPr>
          <w:type w:val="continuous"/>
          <w:pgSz w:w="11910" w:h="16840"/>
          <w:pgMar w:top="1580" w:bottom="280" w:left="900" w:right="880"/>
          <w:cols w:num="5" w:equalWidth="0">
            <w:col w:w="4399" w:space="40"/>
            <w:col w:w="1089" w:space="40"/>
            <w:col w:w="1244" w:space="40"/>
            <w:col w:w="1437" w:space="40"/>
            <w:col w:w="1801"/>
          </w:cols>
        </w:sectPr>
      </w:pPr>
    </w:p>
    <w:p>
      <w:pPr>
        <w:pStyle w:val="BodyText"/>
        <w:spacing w:before="2"/>
        <w:rPr>
          <w:b/>
          <w:sz w:val="15"/>
        </w:rPr>
      </w:pPr>
    </w:p>
    <w:p>
      <w:pPr>
        <w:spacing w:before="0" w:after="22"/>
        <w:ind w:left="537" w:right="220" w:firstLine="0"/>
        <w:jc w:val="left"/>
        <w:rPr>
          <w:b/>
          <w:sz w:val="18"/>
        </w:rPr>
      </w:pPr>
      <w:r>
        <w:rPr>
          <w:b/>
          <w:sz w:val="18"/>
        </w:rPr>
        <w:t>Current provisions expected to</w:t>
      </w:r>
    </w:p>
    <w:tbl>
      <w:tblPr>
        <w:tblW w:w="0" w:type="auto"/>
        <w:jc w:val="left"/>
        <w:tblInd w:w="4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52"/>
        <w:gridCol w:w="1043"/>
        <w:gridCol w:w="1698"/>
        <w:gridCol w:w="1380"/>
        <w:gridCol w:w="1380"/>
        <w:gridCol w:w="1064"/>
      </w:tblGrid>
      <w:tr>
        <w:trPr>
          <w:trHeight w:val="494" w:hRule="exact"/>
        </w:trPr>
        <w:tc>
          <w:tcPr>
            <w:tcW w:w="2952" w:type="dxa"/>
          </w:tcPr>
          <w:p>
            <w:pPr>
              <w:pStyle w:val="TableParagraph"/>
              <w:spacing w:line="184" w:lineRule="exact"/>
              <w:ind w:left="42"/>
              <w:rPr>
                <w:b/>
                <w:sz w:val="18"/>
              </w:rPr>
            </w:pPr>
            <w:r>
              <w:rPr>
                <w:b/>
                <w:sz w:val="18"/>
              </w:rPr>
              <w:t>be settled within 12 months</w:t>
            </w:r>
          </w:p>
          <w:p>
            <w:pPr>
              <w:pStyle w:val="TableParagraph"/>
              <w:spacing w:before="26"/>
              <w:ind w:left="42"/>
              <w:rPr>
                <w:sz w:val="18"/>
              </w:rPr>
            </w:pPr>
            <w:r>
              <w:rPr>
                <w:sz w:val="18"/>
              </w:rPr>
              <w:t>Employee benefits</w:t>
            </w:r>
          </w:p>
        </w:tc>
        <w:tc>
          <w:tcPr>
            <w:tcW w:w="6565" w:type="dxa"/>
            <w:gridSpan w:val="5"/>
          </w:tcPr>
          <w:p>
            <w:pPr/>
          </w:p>
        </w:tc>
      </w:tr>
      <w:tr>
        <w:trPr>
          <w:trHeight w:val="223" w:hRule="exact"/>
        </w:trPr>
        <w:tc>
          <w:tcPr>
            <w:tcW w:w="3995" w:type="dxa"/>
            <w:gridSpan w:val="2"/>
          </w:tcPr>
          <w:p>
            <w:pPr>
              <w:pStyle w:val="TableParagraph"/>
              <w:spacing w:line="186" w:lineRule="exact"/>
              <w:ind w:left="255" w:right="1272"/>
              <w:rPr>
                <w:sz w:val="18"/>
              </w:rPr>
            </w:pPr>
            <w:r>
              <w:rPr>
                <w:sz w:val="18"/>
              </w:rPr>
              <w:t>Annual leave</w:t>
            </w:r>
          </w:p>
        </w:tc>
        <w:tc>
          <w:tcPr>
            <w:tcW w:w="1698" w:type="dxa"/>
          </w:tcPr>
          <w:p>
            <w:pPr>
              <w:pStyle w:val="TableParagraph"/>
              <w:spacing w:line="184" w:lineRule="exact"/>
              <w:ind w:right="323"/>
              <w:jc w:val="right"/>
              <w:rPr>
                <w:b/>
                <w:sz w:val="18"/>
              </w:rPr>
            </w:pPr>
            <w:r>
              <w:rPr>
                <w:b/>
                <w:w w:val="95"/>
                <w:sz w:val="18"/>
              </w:rPr>
              <w:t>22,707</w:t>
            </w:r>
          </w:p>
        </w:tc>
        <w:tc>
          <w:tcPr>
            <w:tcW w:w="1380" w:type="dxa"/>
          </w:tcPr>
          <w:p>
            <w:pPr>
              <w:pStyle w:val="TableParagraph"/>
              <w:spacing w:line="184" w:lineRule="exact"/>
              <w:ind w:right="407"/>
              <w:jc w:val="right"/>
              <w:rPr>
                <w:sz w:val="18"/>
              </w:rPr>
            </w:pPr>
            <w:r>
              <w:rPr>
                <w:w w:val="95"/>
                <w:sz w:val="18"/>
              </w:rPr>
              <w:t>22,688</w:t>
            </w:r>
          </w:p>
        </w:tc>
        <w:tc>
          <w:tcPr>
            <w:tcW w:w="1380" w:type="dxa"/>
          </w:tcPr>
          <w:p>
            <w:pPr>
              <w:pStyle w:val="TableParagraph"/>
              <w:spacing w:line="184" w:lineRule="exact"/>
              <w:ind w:right="323"/>
              <w:jc w:val="right"/>
              <w:rPr>
                <w:b/>
                <w:sz w:val="18"/>
              </w:rPr>
            </w:pPr>
            <w:r>
              <w:rPr>
                <w:b/>
                <w:w w:val="95"/>
                <w:sz w:val="18"/>
              </w:rPr>
              <w:t>20,876</w:t>
            </w:r>
          </w:p>
        </w:tc>
        <w:tc>
          <w:tcPr>
            <w:tcW w:w="1064" w:type="dxa"/>
          </w:tcPr>
          <w:p>
            <w:pPr>
              <w:pStyle w:val="TableParagraph"/>
              <w:spacing w:line="184" w:lineRule="exact"/>
              <w:ind w:right="91"/>
              <w:jc w:val="right"/>
              <w:rPr>
                <w:sz w:val="18"/>
              </w:rPr>
            </w:pPr>
            <w:r>
              <w:rPr>
                <w:w w:val="95"/>
                <w:sz w:val="18"/>
              </w:rPr>
              <w:t>20,981</w:t>
            </w:r>
          </w:p>
        </w:tc>
      </w:tr>
      <w:tr>
        <w:trPr>
          <w:trHeight w:val="260" w:hRule="exact"/>
        </w:trPr>
        <w:tc>
          <w:tcPr>
            <w:tcW w:w="3995" w:type="dxa"/>
            <w:gridSpan w:val="2"/>
          </w:tcPr>
          <w:p>
            <w:pPr>
              <w:pStyle w:val="TableParagraph"/>
              <w:spacing w:before="20"/>
              <w:ind w:left="255" w:right="1272"/>
              <w:rPr>
                <w:sz w:val="18"/>
              </w:rPr>
            </w:pPr>
            <w:r>
              <w:rPr>
                <w:sz w:val="18"/>
              </w:rPr>
              <w:t>Long service leave</w:t>
            </w:r>
          </w:p>
        </w:tc>
        <w:tc>
          <w:tcPr>
            <w:tcW w:w="1698" w:type="dxa"/>
            <w:tcBorders>
              <w:bottom w:val="single" w:sz="1" w:space="0" w:color="000000"/>
            </w:tcBorders>
          </w:tcPr>
          <w:p>
            <w:pPr>
              <w:pStyle w:val="TableParagraph"/>
              <w:spacing w:before="18"/>
              <w:ind w:right="323"/>
              <w:jc w:val="right"/>
              <w:rPr>
                <w:b/>
                <w:sz w:val="18"/>
              </w:rPr>
            </w:pPr>
            <w:r>
              <w:rPr>
                <w:b/>
                <w:w w:val="95"/>
                <w:sz w:val="18"/>
              </w:rPr>
              <w:t>9,517</w:t>
            </w:r>
          </w:p>
        </w:tc>
        <w:tc>
          <w:tcPr>
            <w:tcW w:w="1380" w:type="dxa"/>
            <w:tcBorders>
              <w:bottom w:val="single" w:sz="1" w:space="0" w:color="000000"/>
            </w:tcBorders>
          </w:tcPr>
          <w:p>
            <w:pPr>
              <w:pStyle w:val="TableParagraph"/>
              <w:spacing w:before="18"/>
              <w:ind w:right="407"/>
              <w:jc w:val="right"/>
              <w:rPr>
                <w:sz w:val="18"/>
              </w:rPr>
            </w:pPr>
            <w:r>
              <w:rPr>
                <w:w w:val="95"/>
                <w:sz w:val="18"/>
              </w:rPr>
              <w:t>6,798</w:t>
            </w:r>
          </w:p>
        </w:tc>
        <w:tc>
          <w:tcPr>
            <w:tcW w:w="1380" w:type="dxa"/>
            <w:tcBorders>
              <w:bottom w:val="single" w:sz="1" w:space="0" w:color="000000"/>
            </w:tcBorders>
          </w:tcPr>
          <w:p>
            <w:pPr>
              <w:pStyle w:val="TableParagraph"/>
              <w:spacing w:before="18"/>
              <w:ind w:right="323"/>
              <w:jc w:val="right"/>
              <w:rPr>
                <w:b/>
                <w:sz w:val="18"/>
              </w:rPr>
            </w:pPr>
            <w:r>
              <w:rPr>
                <w:b/>
                <w:w w:val="95"/>
                <w:sz w:val="18"/>
              </w:rPr>
              <w:t>8,987</w:t>
            </w:r>
          </w:p>
        </w:tc>
        <w:tc>
          <w:tcPr>
            <w:tcW w:w="1064" w:type="dxa"/>
            <w:tcBorders>
              <w:bottom w:val="single" w:sz="1" w:space="0" w:color="000000"/>
            </w:tcBorders>
          </w:tcPr>
          <w:p>
            <w:pPr>
              <w:pStyle w:val="TableParagraph"/>
              <w:spacing w:before="18"/>
              <w:ind w:right="91"/>
              <w:jc w:val="right"/>
              <w:rPr>
                <w:sz w:val="18"/>
              </w:rPr>
            </w:pPr>
            <w:r>
              <w:rPr>
                <w:w w:val="95"/>
                <w:sz w:val="18"/>
              </w:rPr>
              <w:t>6,512</w:t>
            </w:r>
          </w:p>
        </w:tc>
      </w:tr>
      <w:tr>
        <w:trPr>
          <w:trHeight w:val="338" w:hRule="exact"/>
        </w:trPr>
        <w:tc>
          <w:tcPr>
            <w:tcW w:w="3995" w:type="dxa"/>
            <w:gridSpan w:val="2"/>
          </w:tcPr>
          <w:p>
            <w:pPr/>
          </w:p>
        </w:tc>
        <w:tc>
          <w:tcPr>
            <w:tcW w:w="1698" w:type="dxa"/>
            <w:tcBorders>
              <w:top w:val="single" w:sz="1" w:space="0" w:color="000000"/>
              <w:bottom w:val="single" w:sz="1" w:space="0" w:color="000000"/>
            </w:tcBorders>
          </w:tcPr>
          <w:p>
            <w:pPr>
              <w:pStyle w:val="TableParagraph"/>
              <w:spacing w:before="124"/>
              <w:ind w:right="323"/>
              <w:jc w:val="right"/>
              <w:rPr>
                <w:b/>
                <w:sz w:val="18"/>
              </w:rPr>
            </w:pPr>
            <w:r>
              <w:rPr>
                <w:b/>
                <w:w w:val="95"/>
                <w:sz w:val="18"/>
              </w:rPr>
              <w:t>32,224</w:t>
            </w:r>
          </w:p>
        </w:tc>
        <w:tc>
          <w:tcPr>
            <w:tcW w:w="1380" w:type="dxa"/>
            <w:tcBorders>
              <w:top w:val="single" w:sz="1" w:space="0" w:color="000000"/>
              <w:bottom w:val="single" w:sz="1" w:space="0" w:color="000000"/>
            </w:tcBorders>
          </w:tcPr>
          <w:p>
            <w:pPr>
              <w:pStyle w:val="TableParagraph"/>
              <w:spacing w:before="124"/>
              <w:ind w:right="407"/>
              <w:jc w:val="right"/>
              <w:rPr>
                <w:sz w:val="18"/>
              </w:rPr>
            </w:pPr>
            <w:r>
              <w:rPr>
                <w:w w:val="95"/>
                <w:sz w:val="18"/>
              </w:rPr>
              <w:t>29,486</w:t>
            </w:r>
          </w:p>
        </w:tc>
        <w:tc>
          <w:tcPr>
            <w:tcW w:w="1380" w:type="dxa"/>
            <w:tcBorders>
              <w:top w:val="single" w:sz="1" w:space="0" w:color="000000"/>
              <w:bottom w:val="single" w:sz="1" w:space="0" w:color="000000"/>
            </w:tcBorders>
          </w:tcPr>
          <w:p>
            <w:pPr>
              <w:pStyle w:val="TableParagraph"/>
              <w:spacing w:before="124"/>
              <w:ind w:right="323"/>
              <w:jc w:val="right"/>
              <w:rPr>
                <w:b/>
                <w:sz w:val="18"/>
              </w:rPr>
            </w:pPr>
            <w:r>
              <w:rPr>
                <w:b/>
                <w:w w:val="95"/>
                <w:sz w:val="18"/>
              </w:rPr>
              <w:t>29,863</w:t>
            </w:r>
          </w:p>
        </w:tc>
        <w:tc>
          <w:tcPr>
            <w:tcW w:w="1064" w:type="dxa"/>
            <w:tcBorders>
              <w:top w:val="single" w:sz="1" w:space="0" w:color="000000"/>
              <w:bottom w:val="single" w:sz="1" w:space="0" w:color="000000"/>
            </w:tcBorders>
          </w:tcPr>
          <w:p>
            <w:pPr>
              <w:pStyle w:val="TableParagraph"/>
              <w:spacing w:before="124"/>
              <w:ind w:right="91"/>
              <w:jc w:val="right"/>
              <w:rPr>
                <w:sz w:val="18"/>
              </w:rPr>
            </w:pPr>
            <w:r>
              <w:rPr>
                <w:w w:val="95"/>
                <w:sz w:val="18"/>
              </w:rPr>
              <w:t>27,493</w:t>
            </w:r>
          </w:p>
        </w:tc>
      </w:tr>
      <w:tr>
        <w:trPr>
          <w:trHeight w:val="811" w:hRule="exact"/>
        </w:trPr>
        <w:tc>
          <w:tcPr>
            <w:tcW w:w="3995" w:type="dxa"/>
            <w:gridSpan w:val="2"/>
          </w:tcPr>
          <w:p>
            <w:pPr>
              <w:pStyle w:val="TableParagraph"/>
              <w:spacing w:before="125"/>
              <w:ind w:left="42" w:right="1272"/>
              <w:rPr>
                <w:b/>
                <w:sz w:val="18"/>
              </w:rPr>
            </w:pPr>
            <w:r>
              <w:rPr>
                <w:b/>
                <w:sz w:val="18"/>
              </w:rPr>
              <w:t>Current provisions expected to be settled after more than 12 months</w:t>
            </w:r>
          </w:p>
        </w:tc>
        <w:tc>
          <w:tcPr>
            <w:tcW w:w="1698"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64" w:type="dxa"/>
            <w:tcBorders>
              <w:top w:val="single" w:sz="1" w:space="0" w:color="000000"/>
            </w:tcBorders>
          </w:tcPr>
          <w:p>
            <w:pPr/>
          </w:p>
        </w:tc>
      </w:tr>
      <w:tr>
        <w:trPr>
          <w:trHeight w:val="277" w:hRule="exact"/>
        </w:trPr>
        <w:tc>
          <w:tcPr>
            <w:tcW w:w="3995" w:type="dxa"/>
            <w:gridSpan w:val="2"/>
          </w:tcPr>
          <w:p>
            <w:pPr>
              <w:pStyle w:val="TableParagraph"/>
              <w:spacing w:before="46"/>
              <w:ind w:left="42" w:right="1272"/>
              <w:rPr>
                <w:sz w:val="18"/>
              </w:rPr>
            </w:pPr>
            <w:r>
              <w:rPr>
                <w:sz w:val="18"/>
              </w:rPr>
              <w:t>Employee benefits</w:t>
            </w:r>
          </w:p>
        </w:tc>
        <w:tc>
          <w:tcPr>
            <w:tcW w:w="1698" w:type="dxa"/>
          </w:tcPr>
          <w:p>
            <w:pPr/>
          </w:p>
        </w:tc>
        <w:tc>
          <w:tcPr>
            <w:tcW w:w="1380" w:type="dxa"/>
          </w:tcPr>
          <w:p>
            <w:pPr/>
          </w:p>
        </w:tc>
        <w:tc>
          <w:tcPr>
            <w:tcW w:w="1380" w:type="dxa"/>
          </w:tcPr>
          <w:p>
            <w:pPr/>
          </w:p>
        </w:tc>
        <w:tc>
          <w:tcPr>
            <w:tcW w:w="1064" w:type="dxa"/>
          </w:tcPr>
          <w:p>
            <w:pPr/>
          </w:p>
        </w:tc>
      </w:tr>
      <w:tr>
        <w:trPr>
          <w:trHeight w:val="251" w:hRule="exact"/>
        </w:trPr>
        <w:tc>
          <w:tcPr>
            <w:tcW w:w="3995" w:type="dxa"/>
            <w:gridSpan w:val="2"/>
          </w:tcPr>
          <w:p>
            <w:pPr>
              <w:pStyle w:val="TableParagraph"/>
              <w:spacing w:before="7"/>
              <w:ind w:left="255" w:right="1272"/>
              <w:rPr>
                <w:sz w:val="18"/>
              </w:rPr>
            </w:pPr>
            <w:r>
              <w:rPr>
                <w:sz w:val="18"/>
              </w:rPr>
              <w:t>Annual leave</w:t>
            </w:r>
          </w:p>
        </w:tc>
        <w:tc>
          <w:tcPr>
            <w:tcW w:w="1698" w:type="dxa"/>
          </w:tcPr>
          <w:p>
            <w:pPr>
              <w:pStyle w:val="TableParagraph"/>
              <w:spacing w:before="4"/>
              <w:ind w:right="323"/>
              <w:jc w:val="right"/>
              <w:rPr>
                <w:b/>
                <w:sz w:val="18"/>
              </w:rPr>
            </w:pPr>
            <w:r>
              <w:rPr>
                <w:b/>
                <w:w w:val="95"/>
                <w:sz w:val="18"/>
              </w:rPr>
              <w:t>6,831</w:t>
            </w:r>
          </w:p>
        </w:tc>
        <w:tc>
          <w:tcPr>
            <w:tcW w:w="1380" w:type="dxa"/>
          </w:tcPr>
          <w:p>
            <w:pPr>
              <w:pStyle w:val="TableParagraph"/>
              <w:spacing w:before="4"/>
              <w:ind w:right="407"/>
              <w:jc w:val="right"/>
              <w:rPr>
                <w:sz w:val="18"/>
              </w:rPr>
            </w:pPr>
            <w:r>
              <w:rPr>
                <w:w w:val="95"/>
                <w:sz w:val="18"/>
              </w:rPr>
              <w:t>5,576</w:t>
            </w:r>
          </w:p>
        </w:tc>
        <w:tc>
          <w:tcPr>
            <w:tcW w:w="1380" w:type="dxa"/>
          </w:tcPr>
          <w:p>
            <w:pPr>
              <w:pStyle w:val="TableParagraph"/>
              <w:spacing w:before="4"/>
              <w:ind w:right="323"/>
              <w:jc w:val="right"/>
              <w:rPr>
                <w:b/>
                <w:sz w:val="18"/>
              </w:rPr>
            </w:pPr>
            <w:r>
              <w:rPr>
                <w:b/>
                <w:w w:val="95"/>
                <w:sz w:val="18"/>
              </w:rPr>
              <w:t>6,582</w:t>
            </w:r>
          </w:p>
        </w:tc>
        <w:tc>
          <w:tcPr>
            <w:tcW w:w="1064" w:type="dxa"/>
          </w:tcPr>
          <w:p>
            <w:pPr>
              <w:pStyle w:val="TableParagraph"/>
              <w:spacing w:before="4"/>
              <w:ind w:right="91"/>
              <w:jc w:val="right"/>
              <w:rPr>
                <w:sz w:val="18"/>
              </w:rPr>
            </w:pPr>
            <w:r>
              <w:rPr>
                <w:w w:val="95"/>
                <w:sz w:val="18"/>
              </w:rPr>
              <w:t>5,286</w:t>
            </w:r>
          </w:p>
        </w:tc>
      </w:tr>
      <w:tr>
        <w:trPr>
          <w:trHeight w:val="260" w:hRule="exact"/>
        </w:trPr>
        <w:tc>
          <w:tcPr>
            <w:tcW w:w="3995" w:type="dxa"/>
            <w:gridSpan w:val="2"/>
          </w:tcPr>
          <w:p>
            <w:pPr>
              <w:pStyle w:val="TableParagraph"/>
              <w:spacing w:before="20"/>
              <w:ind w:left="255" w:right="1272"/>
              <w:rPr>
                <w:sz w:val="18"/>
              </w:rPr>
            </w:pPr>
            <w:r>
              <w:rPr>
                <w:sz w:val="18"/>
              </w:rPr>
              <w:t>Long service leave</w:t>
            </w:r>
          </w:p>
        </w:tc>
        <w:tc>
          <w:tcPr>
            <w:tcW w:w="1698" w:type="dxa"/>
            <w:tcBorders>
              <w:bottom w:val="single" w:sz="1" w:space="0" w:color="000000"/>
            </w:tcBorders>
          </w:tcPr>
          <w:p>
            <w:pPr>
              <w:pStyle w:val="TableParagraph"/>
              <w:spacing w:before="18"/>
              <w:ind w:right="323"/>
              <w:jc w:val="right"/>
              <w:rPr>
                <w:b/>
                <w:sz w:val="18"/>
              </w:rPr>
            </w:pPr>
            <w:r>
              <w:rPr>
                <w:b/>
                <w:w w:val="95"/>
                <w:sz w:val="18"/>
              </w:rPr>
              <w:t>33,826</w:t>
            </w:r>
          </w:p>
        </w:tc>
        <w:tc>
          <w:tcPr>
            <w:tcW w:w="1380" w:type="dxa"/>
            <w:tcBorders>
              <w:bottom w:val="single" w:sz="1" w:space="0" w:color="000000"/>
            </w:tcBorders>
          </w:tcPr>
          <w:p>
            <w:pPr>
              <w:pStyle w:val="TableParagraph"/>
              <w:spacing w:before="18"/>
              <w:ind w:right="407"/>
              <w:jc w:val="right"/>
              <w:rPr>
                <w:sz w:val="18"/>
              </w:rPr>
            </w:pPr>
            <w:r>
              <w:rPr>
                <w:w w:val="95"/>
                <w:sz w:val="18"/>
              </w:rPr>
              <w:t>33,359</w:t>
            </w:r>
          </w:p>
        </w:tc>
        <w:tc>
          <w:tcPr>
            <w:tcW w:w="1380" w:type="dxa"/>
            <w:tcBorders>
              <w:bottom w:val="single" w:sz="1" w:space="0" w:color="000000"/>
            </w:tcBorders>
          </w:tcPr>
          <w:p>
            <w:pPr>
              <w:pStyle w:val="TableParagraph"/>
              <w:spacing w:before="18"/>
              <w:ind w:right="323"/>
              <w:jc w:val="right"/>
              <w:rPr>
                <w:b/>
                <w:sz w:val="18"/>
              </w:rPr>
            </w:pPr>
            <w:r>
              <w:rPr>
                <w:b/>
                <w:w w:val="95"/>
                <w:sz w:val="18"/>
              </w:rPr>
              <w:t>33,282</w:t>
            </w:r>
          </w:p>
        </w:tc>
        <w:tc>
          <w:tcPr>
            <w:tcW w:w="1064" w:type="dxa"/>
            <w:tcBorders>
              <w:bottom w:val="single" w:sz="1" w:space="0" w:color="000000"/>
            </w:tcBorders>
          </w:tcPr>
          <w:p>
            <w:pPr>
              <w:pStyle w:val="TableParagraph"/>
              <w:spacing w:before="18"/>
              <w:ind w:right="91"/>
              <w:jc w:val="right"/>
              <w:rPr>
                <w:sz w:val="18"/>
              </w:rPr>
            </w:pPr>
            <w:r>
              <w:rPr>
                <w:w w:val="95"/>
                <w:sz w:val="18"/>
              </w:rPr>
              <w:t>33,040</w:t>
            </w:r>
          </w:p>
        </w:tc>
      </w:tr>
      <w:tr>
        <w:trPr>
          <w:trHeight w:val="338" w:hRule="exact"/>
        </w:trPr>
        <w:tc>
          <w:tcPr>
            <w:tcW w:w="3995" w:type="dxa"/>
            <w:gridSpan w:val="2"/>
          </w:tcPr>
          <w:p>
            <w:pPr/>
          </w:p>
        </w:tc>
        <w:tc>
          <w:tcPr>
            <w:tcW w:w="1698" w:type="dxa"/>
            <w:tcBorders>
              <w:top w:val="single" w:sz="1" w:space="0" w:color="000000"/>
              <w:bottom w:val="single" w:sz="1" w:space="0" w:color="000000"/>
            </w:tcBorders>
          </w:tcPr>
          <w:p>
            <w:pPr>
              <w:pStyle w:val="TableParagraph"/>
              <w:spacing w:before="124"/>
              <w:ind w:right="323"/>
              <w:jc w:val="right"/>
              <w:rPr>
                <w:b/>
                <w:sz w:val="18"/>
              </w:rPr>
            </w:pPr>
            <w:r>
              <w:rPr>
                <w:b/>
                <w:w w:val="95"/>
                <w:sz w:val="18"/>
              </w:rPr>
              <w:t>40,657</w:t>
            </w:r>
          </w:p>
        </w:tc>
        <w:tc>
          <w:tcPr>
            <w:tcW w:w="1380" w:type="dxa"/>
            <w:tcBorders>
              <w:top w:val="single" w:sz="1" w:space="0" w:color="000000"/>
              <w:bottom w:val="single" w:sz="1" w:space="0" w:color="000000"/>
            </w:tcBorders>
          </w:tcPr>
          <w:p>
            <w:pPr>
              <w:pStyle w:val="TableParagraph"/>
              <w:spacing w:before="124"/>
              <w:ind w:right="407"/>
              <w:jc w:val="right"/>
              <w:rPr>
                <w:sz w:val="18"/>
              </w:rPr>
            </w:pPr>
            <w:r>
              <w:rPr>
                <w:w w:val="95"/>
                <w:sz w:val="18"/>
              </w:rPr>
              <w:t>38,935</w:t>
            </w:r>
          </w:p>
        </w:tc>
        <w:tc>
          <w:tcPr>
            <w:tcW w:w="1380" w:type="dxa"/>
            <w:tcBorders>
              <w:top w:val="single" w:sz="1" w:space="0" w:color="000000"/>
              <w:bottom w:val="single" w:sz="1" w:space="0" w:color="000000"/>
            </w:tcBorders>
          </w:tcPr>
          <w:p>
            <w:pPr>
              <w:pStyle w:val="TableParagraph"/>
              <w:spacing w:before="124"/>
              <w:ind w:right="323"/>
              <w:jc w:val="right"/>
              <w:rPr>
                <w:b/>
                <w:sz w:val="18"/>
              </w:rPr>
            </w:pPr>
            <w:r>
              <w:rPr>
                <w:b/>
                <w:w w:val="95"/>
                <w:sz w:val="18"/>
              </w:rPr>
              <w:t>39,864</w:t>
            </w:r>
          </w:p>
        </w:tc>
        <w:tc>
          <w:tcPr>
            <w:tcW w:w="1064" w:type="dxa"/>
            <w:tcBorders>
              <w:top w:val="single" w:sz="1" w:space="0" w:color="000000"/>
              <w:bottom w:val="single" w:sz="1" w:space="0" w:color="000000"/>
            </w:tcBorders>
          </w:tcPr>
          <w:p>
            <w:pPr>
              <w:pStyle w:val="TableParagraph"/>
              <w:spacing w:before="124"/>
              <w:ind w:right="91"/>
              <w:jc w:val="right"/>
              <w:rPr>
                <w:sz w:val="18"/>
              </w:rPr>
            </w:pPr>
            <w:r>
              <w:rPr>
                <w:w w:val="95"/>
                <w:sz w:val="18"/>
              </w:rPr>
              <w:t>38,326</w:t>
            </w:r>
          </w:p>
        </w:tc>
      </w:tr>
      <w:tr>
        <w:trPr>
          <w:trHeight w:val="353" w:hRule="exact"/>
        </w:trPr>
        <w:tc>
          <w:tcPr>
            <w:tcW w:w="5693" w:type="dxa"/>
            <w:gridSpan w:val="3"/>
          </w:tcPr>
          <w:p>
            <w:pPr>
              <w:pStyle w:val="TableParagraph"/>
              <w:tabs>
                <w:tab w:pos="4813" w:val="left" w:leader="none"/>
              </w:tabs>
              <w:spacing w:before="115"/>
              <w:ind w:left="42"/>
              <w:rPr>
                <w:b/>
                <w:sz w:val="18"/>
              </w:rPr>
            </w:pPr>
            <w:r>
              <w:rPr>
                <w:b/>
                <w:sz w:val="18"/>
              </w:rPr>
              <w:t>Total current provisions</w:t>
              <w:tab/>
              <w:t>72,881</w:t>
            </w:r>
          </w:p>
        </w:tc>
        <w:tc>
          <w:tcPr>
            <w:tcW w:w="1380" w:type="dxa"/>
            <w:tcBorders>
              <w:bottom w:val="single" w:sz="1" w:space="0" w:color="000000"/>
            </w:tcBorders>
          </w:tcPr>
          <w:p>
            <w:pPr>
              <w:pStyle w:val="TableParagraph"/>
              <w:spacing w:before="115"/>
              <w:ind w:right="407"/>
              <w:jc w:val="right"/>
              <w:rPr>
                <w:sz w:val="18"/>
              </w:rPr>
            </w:pPr>
            <w:r>
              <w:rPr>
                <w:w w:val="95"/>
                <w:sz w:val="18"/>
              </w:rPr>
              <w:t>68,421</w:t>
            </w:r>
          </w:p>
        </w:tc>
        <w:tc>
          <w:tcPr>
            <w:tcW w:w="1380" w:type="dxa"/>
            <w:tcBorders>
              <w:bottom w:val="single" w:sz="1" w:space="0" w:color="000000"/>
            </w:tcBorders>
          </w:tcPr>
          <w:p>
            <w:pPr>
              <w:pStyle w:val="TableParagraph"/>
              <w:spacing w:before="115"/>
              <w:ind w:right="323"/>
              <w:jc w:val="right"/>
              <w:rPr>
                <w:b/>
                <w:sz w:val="18"/>
              </w:rPr>
            </w:pPr>
            <w:r>
              <w:rPr>
                <w:b/>
                <w:w w:val="95"/>
                <w:sz w:val="18"/>
              </w:rPr>
              <w:t>69,727</w:t>
            </w:r>
          </w:p>
        </w:tc>
        <w:tc>
          <w:tcPr>
            <w:tcW w:w="1064" w:type="dxa"/>
            <w:tcBorders>
              <w:bottom w:val="single" w:sz="1" w:space="0" w:color="000000"/>
            </w:tcBorders>
          </w:tcPr>
          <w:p>
            <w:pPr>
              <w:pStyle w:val="TableParagraph"/>
              <w:spacing w:before="115"/>
              <w:ind w:right="91"/>
              <w:jc w:val="right"/>
              <w:rPr>
                <w:sz w:val="18"/>
              </w:rPr>
            </w:pPr>
            <w:r>
              <w:rPr>
                <w:w w:val="95"/>
                <w:sz w:val="18"/>
              </w:rPr>
              <w:t>65,819</w:t>
            </w:r>
          </w:p>
        </w:tc>
      </w:tr>
      <w:tr>
        <w:trPr>
          <w:trHeight w:val="369" w:hRule="exact"/>
        </w:trPr>
        <w:tc>
          <w:tcPr>
            <w:tcW w:w="2952" w:type="dxa"/>
          </w:tcPr>
          <w:p>
            <w:pPr>
              <w:pStyle w:val="TableParagraph"/>
              <w:spacing w:before="139"/>
              <w:ind w:left="35"/>
              <w:rPr>
                <w:b/>
                <w:sz w:val="18"/>
              </w:rPr>
            </w:pPr>
            <w:r>
              <w:rPr>
                <w:b/>
                <w:sz w:val="18"/>
              </w:rPr>
              <w:t>Non-current provisions</w:t>
            </w:r>
          </w:p>
        </w:tc>
        <w:tc>
          <w:tcPr>
            <w:tcW w:w="1043" w:type="dxa"/>
          </w:tcPr>
          <w:p>
            <w:pPr/>
          </w:p>
        </w:tc>
        <w:tc>
          <w:tcPr>
            <w:tcW w:w="5522" w:type="dxa"/>
            <w:gridSpan w:val="4"/>
          </w:tcPr>
          <w:p>
            <w:pPr/>
          </w:p>
        </w:tc>
      </w:tr>
      <w:tr>
        <w:trPr>
          <w:trHeight w:val="247" w:hRule="exact"/>
        </w:trPr>
        <w:tc>
          <w:tcPr>
            <w:tcW w:w="2952" w:type="dxa"/>
          </w:tcPr>
          <w:p>
            <w:pPr>
              <w:pStyle w:val="TableParagraph"/>
              <w:spacing w:before="3"/>
              <w:ind w:left="35"/>
              <w:rPr>
                <w:sz w:val="18"/>
              </w:rPr>
            </w:pPr>
            <w:r>
              <w:rPr>
                <w:sz w:val="18"/>
              </w:rPr>
              <w:t>Employee benefits</w:t>
            </w:r>
          </w:p>
        </w:tc>
        <w:tc>
          <w:tcPr>
            <w:tcW w:w="1043" w:type="dxa"/>
          </w:tcPr>
          <w:p>
            <w:pPr/>
          </w:p>
        </w:tc>
        <w:tc>
          <w:tcPr>
            <w:tcW w:w="5522" w:type="dxa"/>
            <w:gridSpan w:val="4"/>
          </w:tcPr>
          <w:p>
            <w:pPr/>
          </w:p>
        </w:tc>
      </w:tr>
      <w:tr>
        <w:trPr>
          <w:trHeight w:val="264" w:hRule="exact"/>
        </w:trPr>
        <w:tc>
          <w:tcPr>
            <w:tcW w:w="2952" w:type="dxa"/>
          </w:tcPr>
          <w:p>
            <w:pPr>
              <w:pStyle w:val="TableParagraph"/>
              <w:spacing w:before="20"/>
              <w:ind w:left="248"/>
              <w:rPr>
                <w:sz w:val="18"/>
              </w:rPr>
            </w:pPr>
            <w:r>
              <w:rPr>
                <w:sz w:val="18"/>
              </w:rPr>
              <w:t>Long service leave</w:t>
            </w:r>
          </w:p>
        </w:tc>
        <w:tc>
          <w:tcPr>
            <w:tcW w:w="1043" w:type="dxa"/>
          </w:tcPr>
          <w:p>
            <w:pPr/>
          </w:p>
        </w:tc>
        <w:tc>
          <w:tcPr>
            <w:tcW w:w="5522" w:type="dxa"/>
            <w:gridSpan w:val="4"/>
          </w:tcPr>
          <w:p>
            <w:pPr>
              <w:pStyle w:val="TableParagraph"/>
              <w:tabs>
                <w:tab w:pos="2119" w:val="left" w:leader="none"/>
                <w:tab w:pos="3580" w:val="left" w:leader="none"/>
                <w:tab w:pos="4879" w:val="left" w:leader="none"/>
              </w:tabs>
              <w:spacing w:before="18"/>
              <w:ind w:left="820"/>
              <w:rPr>
                <w:sz w:val="18"/>
              </w:rPr>
            </w:pPr>
            <w:r>
              <w:rPr>
                <w:b/>
                <w:sz w:val="18"/>
              </w:rPr>
              <w:t>12,026</w:t>
              <w:tab/>
            </w:r>
            <w:r>
              <w:rPr>
                <w:sz w:val="18"/>
              </w:rPr>
              <w:t>16,731</w:t>
              <w:tab/>
            </w:r>
            <w:r>
              <w:rPr>
                <w:b/>
                <w:sz w:val="18"/>
              </w:rPr>
              <w:t>11,116</w:t>
              <w:tab/>
            </w:r>
            <w:r>
              <w:rPr>
                <w:sz w:val="18"/>
              </w:rPr>
              <w:t>15,531</w:t>
            </w:r>
          </w:p>
        </w:tc>
      </w:tr>
      <w:tr>
        <w:trPr>
          <w:trHeight w:val="260" w:hRule="exact"/>
        </w:trPr>
        <w:tc>
          <w:tcPr>
            <w:tcW w:w="2952" w:type="dxa"/>
          </w:tcPr>
          <w:p>
            <w:pPr>
              <w:pStyle w:val="TableParagraph"/>
              <w:spacing w:before="20"/>
              <w:ind w:left="248"/>
              <w:rPr>
                <w:sz w:val="18"/>
              </w:rPr>
            </w:pPr>
            <w:r>
              <w:rPr>
                <w:sz w:val="18"/>
              </w:rPr>
              <w:t>Defined benefit obligation</w:t>
            </w:r>
          </w:p>
        </w:tc>
        <w:tc>
          <w:tcPr>
            <w:tcW w:w="1043" w:type="dxa"/>
          </w:tcPr>
          <w:p>
            <w:pPr>
              <w:pStyle w:val="TableParagraph"/>
              <w:spacing w:before="20"/>
              <w:ind w:left="546"/>
              <w:rPr>
                <w:sz w:val="18"/>
              </w:rPr>
            </w:pPr>
            <w:r>
              <w:rPr>
                <w:sz w:val="18"/>
              </w:rPr>
              <w:t>41(d)</w:t>
            </w:r>
          </w:p>
        </w:tc>
        <w:tc>
          <w:tcPr>
            <w:tcW w:w="5522" w:type="dxa"/>
            <w:gridSpan w:val="4"/>
            <w:tcBorders>
              <w:bottom w:val="single" w:sz="1" w:space="0" w:color="000000"/>
            </w:tcBorders>
          </w:tcPr>
          <w:p>
            <w:pPr>
              <w:pStyle w:val="TableParagraph"/>
              <w:tabs>
                <w:tab w:pos="2018" w:val="left" w:leader="none"/>
                <w:tab w:pos="3479" w:val="left" w:leader="none"/>
                <w:tab w:pos="4778" w:val="left" w:leader="none"/>
              </w:tabs>
              <w:spacing w:before="18"/>
              <w:ind w:left="720"/>
              <w:rPr>
                <w:sz w:val="18"/>
              </w:rPr>
            </w:pPr>
            <w:r>
              <w:rPr>
                <w:b/>
                <w:sz w:val="18"/>
              </w:rPr>
              <w:t>347,795</w:t>
              <w:tab/>
            </w:r>
            <w:r>
              <w:rPr>
                <w:sz w:val="18"/>
              </w:rPr>
              <w:t>332,982</w:t>
              <w:tab/>
            </w:r>
            <w:r>
              <w:rPr>
                <w:b/>
                <w:sz w:val="18"/>
              </w:rPr>
              <w:t>347,795</w:t>
              <w:tab/>
            </w:r>
            <w:r>
              <w:rPr>
                <w:sz w:val="18"/>
              </w:rPr>
              <w:t>332,982</w:t>
            </w:r>
          </w:p>
        </w:tc>
      </w:tr>
      <w:tr>
        <w:trPr>
          <w:trHeight w:val="701" w:hRule="exact"/>
        </w:trPr>
        <w:tc>
          <w:tcPr>
            <w:tcW w:w="2952" w:type="dxa"/>
          </w:tcPr>
          <w:p>
            <w:pPr>
              <w:pStyle w:val="TableParagraph"/>
              <w:spacing w:before="125"/>
              <w:ind w:left="35" w:right="526"/>
              <w:rPr>
                <w:b/>
                <w:sz w:val="18"/>
              </w:rPr>
            </w:pPr>
            <w:r>
              <w:rPr>
                <w:b/>
                <w:sz w:val="18"/>
              </w:rPr>
              <w:t>Total non-current employee benefit provisions</w:t>
            </w:r>
          </w:p>
        </w:tc>
        <w:tc>
          <w:tcPr>
            <w:tcW w:w="1043" w:type="dxa"/>
          </w:tcPr>
          <w:p>
            <w:pPr/>
          </w:p>
        </w:tc>
        <w:tc>
          <w:tcPr>
            <w:tcW w:w="5522" w:type="dxa"/>
            <w:gridSpan w:val="4"/>
            <w:tcBorders>
              <w:top w:val="single" w:sz="1" w:space="0" w:color="000000"/>
            </w:tcBorders>
          </w:tcPr>
          <w:p>
            <w:pPr>
              <w:pStyle w:val="TableParagraph"/>
              <w:rPr>
                <w:b/>
                <w:sz w:val="18"/>
              </w:rPr>
            </w:pPr>
          </w:p>
          <w:p>
            <w:pPr>
              <w:pStyle w:val="TableParagraph"/>
              <w:tabs>
                <w:tab w:pos="719" w:val="left" w:leader="none"/>
                <w:tab w:pos="2018" w:val="left" w:leader="none"/>
                <w:tab w:pos="3479" w:val="left" w:leader="none"/>
                <w:tab w:pos="4778" w:val="left" w:leader="none"/>
              </w:tabs>
              <w:spacing w:before="123"/>
              <w:rPr>
                <w:sz w:val="18"/>
              </w:rPr>
            </w:pPr>
            <w:r>
              <w:rPr>
                <w:rFonts w:ascii="Times New Roman"/>
                <w:sz w:val="18"/>
                <w:u w:val="single"/>
              </w:rPr>
              <w:t> </w:t>
              <w:tab/>
            </w:r>
            <w:r>
              <w:rPr>
                <w:b/>
                <w:sz w:val="18"/>
                <w:u w:val="single"/>
              </w:rPr>
              <w:t>359,821</w:t>
              <w:tab/>
            </w:r>
            <w:r>
              <w:rPr>
                <w:sz w:val="18"/>
                <w:u w:val="single"/>
              </w:rPr>
              <w:t>349,713</w:t>
              <w:tab/>
            </w:r>
            <w:r>
              <w:rPr>
                <w:b/>
                <w:sz w:val="18"/>
                <w:u w:val="single"/>
              </w:rPr>
              <w:t>358,911</w:t>
              <w:tab/>
            </w:r>
            <w:r>
              <w:rPr>
                <w:sz w:val="18"/>
                <w:u w:val="single"/>
              </w:rPr>
              <w:t>348,513</w:t>
            </w:r>
          </w:p>
        </w:tc>
      </w:tr>
      <w:tr>
        <w:trPr>
          <w:trHeight w:val="386" w:hRule="exact"/>
        </w:trPr>
        <w:tc>
          <w:tcPr>
            <w:tcW w:w="2952" w:type="dxa"/>
          </w:tcPr>
          <w:p>
            <w:pPr>
              <w:pStyle w:val="TableParagraph"/>
              <w:spacing w:before="142"/>
              <w:ind w:left="35"/>
              <w:rPr>
                <w:sz w:val="18"/>
              </w:rPr>
            </w:pPr>
            <w:r>
              <w:rPr>
                <w:sz w:val="18"/>
              </w:rPr>
              <w:t>Long-term provisions</w:t>
            </w:r>
          </w:p>
        </w:tc>
        <w:tc>
          <w:tcPr>
            <w:tcW w:w="1043" w:type="dxa"/>
          </w:tcPr>
          <w:p>
            <w:pPr/>
          </w:p>
        </w:tc>
        <w:tc>
          <w:tcPr>
            <w:tcW w:w="5522" w:type="dxa"/>
            <w:gridSpan w:val="4"/>
          </w:tcPr>
          <w:p>
            <w:pPr/>
          </w:p>
        </w:tc>
      </w:tr>
      <w:tr>
        <w:trPr>
          <w:trHeight w:val="260" w:hRule="exact"/>
        </w:trPr>
        <w:tc>
          <w:tcPr>
            <w:tcW w:w="2952" w:type="dxa"/>
          </w:tcPr>
          <w:p>
            <w:pPr>
              <w:pStyle w:val="TableParagraph"/>
              <w:spacing w:before="20"/>
              <w:ind w:left="248"/>
              <w:rPr>
                <w:sz w:val="18"/>
              </w:rPr>
            </w:pPr>
            <w:r>
              <w:rPr>
                <w:sz w:val="18"/>
              </w:rPr>
              <w:t>Make good on leases</w:t>
            </w:r>
          </w:p>
        </w:tc>
        <w:tc>
          <w:tcPr>
            <w:tcW w:w="1043" w:type="dxa"/>
          </w:tcPr>
          <w:p>
            <w:pPr/>
          </w:p>
        </w:tc>
        <w:tc>
          <w:tcPr>
            <w:tcW w:w="5522" w:type="dxa"/>
            <w:gridSpan w:val="4"/>
            <w:tcBorders>
              <w:bottom w:val="single" w:sz="1" w:space="0" w:color="000000"/>
            </w:tcBorders>
          </w:tcPr>
          <w:p>
            <w:pPr>
              <w:pStyle w:val="TableParagraph"/>
              <w:tabs>
                <w:tab w:pos="2371" w:val="left" w:leader="none"/>
                <w:tab w:pos="3832" w:val="left" w:leader="none"/>
                <w:tab w:pos="5131" w:val="left" w:leader="none"/>
              </w:tabs>
              <w:spacing w:before="18"/>
              <w:ind w:left="1072"/>
              <w:rPr>
                <w:sz w:val="18"/>
              </w:rPr>
            </w:pPr>
            <w:r>
              <w:rPr>
                <w:b/>
                <w:sz w:val="18"/>
              </w:rPr>
              <w:t>826</w:t>
              <w:tab/>
            </w:r>
            <w:r>
              <w:rPr>
                <w:sz w:val="18"/>
              </w:rPr>
              <w:t>707</w:t>
              <w:tab/>
            </w:r>
            <w:r>
              <w:rPr>
                <w:b/>
                <w:sz w:val="18"/>
              </w:rPr>
              <w:t>826</w:t>
              <w:tab/>
            </w:r>
            <w:r>
              <w:rPr>
                <w:sz w:val="18"/>
              </w:rPr>
              <w:t>707</w:t>
            </w:r>
          </w:p>
        </w:tc>
      </w:tr>
      <w:tr>
        <w:trPr>
          <w:trHeight w:val="614" w:hRule="exact"/>
        </w:trPr>
        <w:tc>
          <w:tcPr>
            <w:tcW w:w="9517" w:type="dxa"/>
            <w:gridSpan w:val="6"/>
          </w:tcPr>
          <w:p>
            <w:pPr>
              <w:pStyle w:val="TableParagraph"/>
              <w:spacing w:line="207" w:lineRule="exact" w:before="125"/>
              <w:ind w:left="35"/>
              <w:rPr>
                <w:b/>
                <w:sz w:val="18"/>
              </w:rPr>
            </w:pPr>
            <w:r>
              <w:rPr>
                <w:b/>
                <w:sz w:val="18"/>
              </w:rPr>
              <w:t>Total non-current long-term</w:t>
            </w:r>
          </w:p>
          <w:p>
            <w:pPr>
              <w:pStyle w:val="TableParagraph"/>
              <w:tabs>
                <w:tab w:pos="3994" w:val="left" w:leader="none"/>
                <w:tab w:pos="5067" w:val="left" w:leader="none"/>
                <w:tab w:pos="6366" w:val="left" w:leader="none"/>
                <w:tab w:pos="7827" w:val="left" w:leader="none"/>
                <w:tab w:pos="9126" w:val="left" w:leader="none"/>
              </w:tabs>
              <w:spacing w:line="207" w:lineRule="exact"/>
              <w:ind w:left="35"/>
              <w:rPr>
                <w:sz w:val="18"/>
              </w:rPr>
            </w:pPr>
            <w:bookmarkStart w:name="(a) Annual leave" w:id="107"/>
            <w:bookmarkEnd w:id="107"/>
            <w:r>
              <w:rPr/>
            </w:r>
            <w:r>
              <w:rPr>
                <w:b/>
                <w:sz w:val="18"/>
              </w:rPr>
              <w:t>provisions</w:t>
              <w:tab/>
            </w:r>
            <w:r>
              <w:rPr>
                <w:rFonts w:ascii="Times New Roman"/>
                <w:sz w:val="18"/>
                <w:u w:val="single"/>
              </w:rPr>
              <w:t> </w:t>
              <w:tab/>
            </w:r>
            <w:r>
              <w:rPr>
                <w:b/>
                <w:sz w:val="18"/>
                <w:u w:val="single"/>
              </w:rPr>
              <w:t>826</w:t>
              <w:tab/>
            </w:r>
            <w:r>
              <w:rPr>
                <w:sz w:val="18"/>
                <w:u w:val="single"/>
              </w:rPr>
              <w:t>707</w:t>
              <w:tab/>
            </w:r>
            <w:r>
              <w:rPr>
                <w:b/>
                <w:sz w:val="18"/>
                <w:u w:val="single"/>
              </w:rPr>
              <w:t>826</w:t>
              <w:tab/>
            </w:r>
            <w:r>
              <w:rPr>
                <w:sz w:val="18"/>
                <w:u w:val="single"/>
              </w:rPr>
              <w:t>707</w:t>
            </w:r>
          </w:p>
        </w:tc>
      </w:tr>
      <w:tr>
        <w:trPr>
          <w:trHeight w:val="284" w:hRule="exact"/>
        </w:trPr>
        <w:tc>
          <w:tcPr>
            <w:tcW w:w="3995" w:type="dxa"/>
            <w:gridSpan w:val="2"/>
          </w:tcPr>
          <w:p>
            <w:pPr>
              <w:pStyle w:val="TableParagraph"/>
              <w:spacing w:before="56"/>
              <w:ind w:left="35" w:right="1272"/>
              <w:rPr>
                <w:b/>
                <w:sz w:val="18"/>
              </w:rPr>
            </w:pPr>
            <w:r>
              <w:rPr>
                <w:b/>
                <w:sz w:val="18"/>
              </w:rPr>
              <w:t>Total non-current provisions</w:t>
            </w:r>
          </w:p>
        </w:tc>
        <w:tc>
          <w:tcPr>
            <w:tcW w:w="1698" w:type="dxa"/>
            <w:tcBorders>
              <w:bottom w:val="single" w:sz="1" w:space="0" w:color="000000"/>
            </w:tcBorders>
          </w:tcPr>
          <w:p>
            <w:pPr>
              <w:pStyle w:val="TableParagraph"/>
              <w:spacing w:before="56"/>
              <w:ind w:right="320"/>
              <w:jc w:val="right"/>
              <w:rPr>
                <w:b/>
                <w:sz w:val="18"/>
              </w:rPr>
            </w:pPr>
            <w:r>
              <w:rPr>
                <w:b/>
                <w:w w:val="95"/>
                <w:sz w:val="18"/>
              </w:rPr>
              <w:t>360,647</w:t>
            </w:r>
          </w:p>
        </w:tc>
        <w:tc>
          <w:tcPr>
            <w:tcW w:w="1380" w:type="dxa"/>
            <w:tcBorders>
              <w:bottom w:val="single" w:sz="1" w:space="0" w:color="000000"/>
            </w:tcBorders>
          </w:tcPr>
          <w:p>
            <w:pPr>
              <w:pStyle w:val="TableParagraph"/>
              <w:spacing w:before="56"/>
              <w:ind w:right="402"/>
              <w:jc w:val="right"/>
              <w:rPr>
                <w:sz w:val="18"/>
              </w:rPr>
            </w:pPr>
            <w:r>
              <w:rPr>
                <w:w w:val="95"/>
                <w:sz w:val="18"/>
              </w:rPr>
              <w:t>350,420</w:t>
            </w:r>
          </w:p>
        </w:tc>
        <w:tc>
          <w:tcPr>
            <w:tcW w:w="1380" w:type="dxa"/>
            <w:tcBorders>
              <w:bottom w:val="single" w:sz="1" w:space="0" w:color="000000"/>
            </w:tcBorders>
          </w:tcPr>
          <w:p>
            <w:pPr>
              <w:pStyle w:val="TableParagraph"/>
              <w:spacing w:before="56"/>
              <w:ind w:right="320"/>
              <w:jc w:val="right"/>
              <w:rPr>
                <w:b/>
                <w:sz w:val="18"/>
              </w:rPr>
            </w:pPr>
            <w:r>
              <w:rPr>
                <w:b/>
                <w:w w:val="95"/>
                <w:sz w:val="18"/>
              </w:rPr>
              <w:t>359,737</w:t>
            </w:r>
          </w:p>
        </w:tc>
        <w:tc>
          <w:tcPr>
            <w:tcW w:w="1064" w:type="dxa"/>
            <w:tcBorders>
              <w:bottom w:val="single" w:sz="1" w:space="0" w:color="000000"/>
            </w:tcBorders>
          </w:tcPr>
          <w:p>
            <w:pPr>
              <w:pStyle w:val="TableParagraph"/>
              <w:spacing w:before="56"/>
              <w:ind w:right="88"/>
              <w:jc w:val="right"/>
              <w:rPr>
                <w:sz w:val="18"/>
              </w:rPr>
            </w:pPr>
            <w:r>
              <w:rPr>
                <w:w w:val="95"/>
                <w:sz w:val="18"/>
              </w:rPr>
              <w:t>349,220</w:t>
            </w:r>
          </w:p>
        </w:tc>
      </w:tr>
      <w:tr>
        <w:trPr>
          <w:trHeight w:val="586" w:hRule="exact"/>
        </w:trPr>
        <w:tc>
          <w:tcPr>
            <w:tcW w:w="3995" w:type="dxa"/>
            <w:gridSpan w:val="2"/>
          </w:tcPr>
          <w:p>
            <w:pPr>
              <w:pStyle w:val="TableParagraph"/>
              <w:rPr>
                <w:b/>
                <w:sz w:val="18"/>
              </w:rPr>
            </w:pPr>
          </w:p>
          <w:p>
            <w:pPr>
              <w:pStyle w:val="TableParagraph"/>
              <w:spacing w:before="124"/>
              <w:ind w:left="35" w:right="1272"/>
              <w:rPr>
                <w:b/>
                <w:sz w:val="18"/>
              </w:rPr>
            </w:pPr>
            <w:r>
              <w:rPr>
                <w:b/>
                <w:sz w:val="18"/>
              </w:rPr>
              <w:t>Total provisions</w:t>
            </w:r>
          </w:p>
        </w:tc>
        <w:tc>
          <w:tcPr>
            <w:tcW w:w="1698" w:type="dxa"/>
            <w:tcBorders>
              <w:top w:val="single" w:sz="1" w:space="0" w:color="000000"/>
              <w:bottom w:val="single" w:sz="1" w:space="0" w:color="000000"/>
            </w:tcBorders>
          </w:tcPr>
          <w:p>
            <w:pPr>
              <w:pStyle w:val="TableParagraph"/>
              <w:rPr>
                <w:b/>
                <w:sz w:val="18"/>
              </w:rPr>
            </w:pPr>
          </w:p>
          <w:p>
            <w:pPr>
              <w:pStyle w:val="TableParagraph"/>
              <w:spacing w:before="121"/>
              <w:ind w:right="318"/>
              <w:jc w:val="right"/>
              <w:rPr>
                <w:b/>
                <w:sz w:val="18"/>
              </w:rPr>
            </w:pPr>
            <w:r>
              <w:rPr>
                <w:b/>
                <w:w w:val="95"/>
                <w:sz w:val="18"/>
              </w:rPr>
              <w:t>433,528</w:t>
            </w:r>
          </w:p>
        </w:tc>
        <w:tc>
          <w:tcPr>
            <w:tcW w:w="1380" w:type="dxa"/>
            <w:tcBorders>
              <w:top w:val="single" w:sz="1" w:space="0" w:color="000000"/>
              <w:bottom w:val="single" w:sz="1" w:space="0" w:color="000000"/>
            </w:tcBorders>
          </w:tcPr>
          <w:p>
            <w:pPr>
              <w:pStyle w:val="TableParagraph"/>
              <w:rPr>
                <w:b/>
                <w:sz w:val="18"/>
              </w:rPr>
            </w:pPr>
          </w:p>
          <w:p>
            <w:pPr>
              <w:pStyle w:val="TableParagraph"/>
              <w:spacing w:before="121"/>
              <w:ind w:right="400"/>
              <w:jc w:val="right"/>
              <w:rPr>
                <w:sz w:val="18"/>
              </w:rPr>
            </w:pPr>
            <w:r>
              <w:rPr>
                <w:w w:val="95"/>
                <w:sz w:val="18"/>
              </w:rPr>
              <w:t>418,841</w:t>
            </w:r>
          </w:p>
        </w:tc>
        <w:tc>
          <w:tcPr>
            <w:tcW w:w="1380" w:type="dxa"/>
            <w:tcBorders>
              <w:top w:val="single" w:sz="1" w:space="0" w:color="000000"/>
              <w:bottom w:val="single" w:sz="1" w:space="0" w:color="000000"/>
            </w:tcBorders>
          </w:tcPr>
          <w:p>
            <w:pPr>
              <w:pStyle w:val="TableParagraph"/>
              <w:rPr>
                <w:b/>
                <w:sz w:val="18"/>
              </w:rPr>
            </w:pPr>
          </w:p>
          <w:p>
            <w:pPr>
              <w:pStyle w:val="TableParagraph"/>
              <w:spacing w:before="121"/>
              <w:ind w:right="318"/>
              <w:jc w:val="right"/>
              <w:rPr>
                <w:b/>
                <w:sz w:val="18"/>
              </w:rPr>
            </w:pPr>
            <w:r>
              <w:rPr>
                <w:b/>
                <w:w w:val="95"/>
                <w:sz w:val="18"/>
              </w:rPr>
              <w:t>429,464</w:t>
            </w:r>
          </w:p>
        </w:tc>
        <w:tc>
          <w:tcPr>
            <w:tcW w:w="1064" w:type="dxa"/>
            <w:tcBorders>
              <w:top w:val="single" w:sz="1" w:space="0" w:color="000000"/>
              <w:bottom w:val="single" w:sz="1" w:space="0" w:color="000000"/>
            </w:tcBorders>
          </w:tcPr>
          <w:p>
            <w:pPr>
              <w:pStyle w:val="TableParagraph"/>
              <w:rPr>
                <w:b/>
                <w:sz w:val="18"/>
              </w:rPr>
            </w:pPr>
          </w:p>
          <w:p>
            <w:pPr>
              <w:pStyle w:val="TableParagraph"/>
              <w:spacing w:before="121"/>
              <w:ind w:right="84"/>
              <w:jc w:val="right"/>
              <w:rPr>
                <w:sz w:val="18"/>
              </w:rPr>
            </w:pPr>
            <w:r>
              <w:rPr>
                <w:w w:val="95"/>
                <w:sz w:val="18"/>
              </w:rPr>
              <w:t>415,039</w:t>
            </w:r>
          </w:p>
        </w:tc>
      </w:tr>
    </w:tbl>
    <w:p>
      <w:pPr>
        <w:pStyle w:val="BodyText"/>
        <w:spacing w:before="1"/>
        <w:rPr>
          <w:b/>
          <w:sz w:val="22"/>
        </w:rPr>
      </w:pPr>
    </w:p>
    <w:p>
      <w:pPr>
        <w:pStyle w:val="ListParagraph"/>
        <w:numPr>
          <w:ilvl w:val="1"/>
          <w:numId w:val="29"/>
        </w:numPr>
        <w:tabs>
          <w:tab w:pos="1071" w:val="left" w:leader="none"/>
        </w:tabs>
        <w:spacing w:line="240" w:lineRule="auto" w:before="77" w:after="0"/>
        <w:ind w:left="1070" w:right="0" w:hanging="566"/>
        <w:jc w:val="left"/>
        <w:rPr>
          <w:sz w:val="18"/>
        </w:rPr>
      </w:pPr>
      <w:r>
        <w:rPr>
          <w:sz w:val="18"/>
        </w:rPr>
        <w:t>Annual</w:t>
      </w:r>
      <w:r>
        <w:rPr>
          <w:spacing w:val="-1"/>
          <w:sz w:val="18"/>
        </w:rPr>
        <w:t> </w:t>
      </w:r>
      <w:r>
        <w:rPr>
          <w:sz w:val="18"/>
        </w:rPr>
        <w:t>leave</w:t>
      </w:r>
    </w:p>
    <w:p>
      <w:pPr>
        <w:pStyle w:val="BodyText"/>
        <w:spacing w:before="4"/>
        <w:rPr>
          <w:sz w:val="25"/>
        </w:rPr>
      </w:pPr>
    </w:p>
    <w:p>
      <w:pPr>
        <w:pStyle w:val="BodyText"/>
        <w:ind w:left="1070" w:right="220"/>
      </w:pPr>
      <w:r>
        <w:rPr/>
        <w:t>The following on costs have been used by management in calculating the provision for annual leave:</w:t>
      </w:r>
    </w:p>
    <w:p>
      <w:pPr>
        <w:pStyle w:val="Heading9"/>
        <w:spacing w:before="33" w:after="36"/>
        <w:ind w:left="1818"/>
        <w:jc w:val="center"/>
      </w:pPr>
      <w:r>
        <w:rPr>
          <w:w w:val="99"/>
        </w:rPr>
        <w:t>%</w:t>
      </w:r>
    </w:p>
    <w:tbl>
      <w:tblPr>
        <w:tblW w:w="0" w:type="auto"/>
        <w:jc w:val="left"/>
        <w:tblInd w:w="103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02"/>
        <w:gridCol w:w="1313"/>
      </w:tblGrid>
      <w:tr>
        <w:trPr>
          <w:trHeight w:val="272" w:hRule="exact"/>
        </w:trPr>
        <w:tc>
          <w:tcPr>
            <w:tcW w:w="3902" w:type="dxa"/>
          </w:tcPr>
          <w:p>
            <w:pPr>
              <w:pStyle w:val="TableParagraph"/>
              <w:spacing w:before="28"/>
              <w:ind w:left="35"/>
              <w:rPr>
                <w:sz w:val="18"/>
              </w:rPr>
            </w:pPr>
            <w:r>
              <w:rPr>
                <w:sz w:val="18"/>
              </w:rPr>
              <w:t>Superannuation</w:t>
            </w:r>
          </w:p>
        </w:tc>
        <w:tc>
          <w:tcPr>
            <w:tcW w:w="1313" w:type="dxa"/>
          </w:tcPr>
          <w:p>
            <w:pPr>
              <w:pStyle w:val="TableParagraph"/>
              <w:spacing w:before="26"/>
              <w:ind w:right="33"/>
              <w:jc w:val="right"/>
              <w:rPr>
                <w:sz w:val="18"/>
              </w:rPr>
            </w:pPr>
            <w:r>
              <w:rPr>
                <w:w w:val="95"/>
                <w:sz w:val="18"/>
              </w:rPr>
              <w:t>16.75</w:t>
            </w:r>
          </w:p>
        </w:tc>
      </w:tr>
      <w:tr>
        <w:trPr>
          <w:trHeight w:val="264" w:hRule="exact"/>
        </w:trPr>
        <w:tc>
          <w:tcPr>
            <w:tcW w:w="3902" w:type="dxa"/>
          </w:tcPr>
          <w:p>
            <w:pPr>
              <w:pStyle w:val="TableParagraph"/>
              <w:spacing w:before="20"/>
              <w:ind w:left="35"/>
              <w:rPr>
                <w:sz w:val="18"/>
              </w:rPr>
            </w:pPr>
            <w:r>
              <w:rPr>
                <w:sz w:val="18"/>
              </w:rPr>
              <w:t>Estimate of short term salary increase</w:t>
            </w:r>
          </w:p>
        </w:tc>
        <w:tc>
          <w:tcPr>
            <w:tcW w:w="1313" w:type="dxa"/>
          </w:tcPr>
          <w:p>
            <w:pPr>
              <w:pStyle w:val="TableParagraph"/>
              <w:spacing w:before="18"/>
              <w:ind w:right="33"/>
              <w:jc w:val="right"/>
              <w:rPr>
                <w:sz w:val="18"/>
              </w:rPr>
            </w:pPr>
            <w:r>
              <w:rPr>
                <w:w w:val="95"/>
                <w:sz w:val="18"/>
              </w:rPr>
              <w:t>2.10</w:t>
            </w:r>
          </w:p>
        </w:tc>
      </w:tr>
      <w:tr>
        <w:trPr>
          <w:trHeight w:val="264" w:hRule="exact"/>
        </w:trPr>
        <w:tc>
          <w:tcPr>
            <w:tcW w:w="3902" w:type="dxa"/>
          </w:tcPr>
          <w:p>
            <w:pPr>
              <w:pStyle w:val="TableParagraph"/>
              <w:spacing w:before="20"/>
              <w:ind w:left="35"/>
              <w:rPr>
                <w:sz w:val="18"/>
              </w:rPr>
            </w:pPr>
            <w:r>
              <w:rPr>
                <w:sz w:val="18"/>
              </w:rPr>
              <w:t>Payroll tax</w:t>
            </w:r>
          </w:p>
        </w:tc>
        <w:tc>
          <w:tcPr>
            <w:tcW w:w="1313" w:type="dxa"/>
          </w:tcPr>
          <w:p>
            <w:pPr>
              <w:pStyle w:val="TableParagraph"/>
              <w:spacing w:before="18"/>
              <w:ind w:right="33"/>
              <w:jc w:val="right"/>
              <w:rPr>
                <w:sz w:val="18"/>
              </w:rPr>
            </w:pPr>
            <w:r>
              <w:rPr>
                <w:w w:val="95"/>
                <w:sz w:val="18"/>
              </w:rPr>
              <w:t>5.45</w:t>
            </w:r>
          </w:p>
        </w:tc>
      </w:tr>
      <w:tr>
        <w:trPr>
          <w:trHeight w:val="323" w:hRule="exact"/>
        </w:trPr>
        <w:tc>
          <w:tcPr>
            <w:tcW w:w="3902" w:type="dxa"/>
          </w:tcPr>
          <w:p>
            <w:pPr>
              <w:pStyle w:val="TableParagraph"/>
              <w:spacing w:before="20"/>
              <w:ind w:left="35"/>
              <w:rPr>
                <w:sz w:val="18"/>
              </w:rPr>
            </w:pPr>
            <w:r>
              <w:rPr>
                <w:sz w:val="18"/>
              </w:rPr>
              <w:t>Workers compensation</w:t>
            </w:r>
          </w:p>
        </w:tc>
        <w:tc>
          <w:tcPr>
            <w:tcW w:w="1313" w:type="dxa"/>
          </w:tcPr>
          <w:p>
            <w:pPr>
              <w:pStyle w:val="TableParagraph"/>
              <w:spacing w:before="18"/>
              <w:ind w:right="33"/>
              <w:jc w:val="right"/>
              <w:rPr>
                <w:sz w:val="18"/>
              </w:rPr>
            </w:pPr>
            <w:r>
              <w:rPr>
                <w:w w:val="95"/>
                <w:sz w:val="18"/>
              </w:rPr>
              <w:t>0.34</w:t>
            </w:r>
          </w:p>
        </w:tc>
      </w:tr>
    </w:tbl>
    <w:p>
      <w:pPr>
        <w:spacing w:after="0"/>
        <w:jc w:val="right"/>
        <w:rPr>
          <w:sz w:val="18"/>
        </w:rPr>
        <w:sectPr>
          <w:type w:val="continuous"/>
          <w:pgSz w:w="11910" w:h="16840"/>
          <w:pgMar w:top="1580" w:bottom="280" w:left="900" w:right="880"/>
        </w:sectPr>
      </w:pPr>
    </w:p>
    <w:p>
      <w:pPr>
        <w:pStyle w:val="BodyText"/>
        <w:rPr>
          <w:b/>
          <w:sz w:val="20"/>
        </w:rPr>
      </w:pPr>
    </w:p>
    <w:p>
      <w:pPr>
        <w:pStyle w:val="BodyText"/>
        <w:rPr>
          <w:b/>
          <w:sz w:val="20"/>
        </w:rPr>
      </w:pPr>
    </w:p>
    <w:p>
      <w:pPr>
        <w:pStyle w:val="BodyText"/>
        <w:spacing w:before="5"/>
        <w:rPr>
          <w:b/>
        </w:rPr>
      </w:pPr>
    </w:p>
    <w:p>
      <w:pPr>
        <w:tabs>
          <w:tab w:pos="1070" w:val="left" w:leader="none"/>
        </w:tabs>
        <w:spacing w:before="0"/>
        <w:ind w:left="504" w:right="220" w:firstLine="0"/>
        <w:jc w:val="left"/>
        <w:rPr>
          <w:b/>
          <w:sz w:val="18"/>
        </w:rPr>
      </w:pPr>
      <w:bookmarkStart w:name="(b) Long service leave" w:id="108"/>
      <w:bookmarkEnd w:id="108"/>
      <w:r>
        <w:rPr/>
      </w:r>
      <w:r>
        <w:rPr>
          <w:b/>
          <w:sz w:val="18"/>
        </w:rPr>
        <w:t>27</w:t>
        <w:tab/>
        <w:t>Provisions (continued)</w:t>
      </w:r>
    </w:p>
    <w:p>
      <w:pPr>
        <w:pStyle w:val="BodyText"/>
        <w:spacing w:before="7"/>
        <w:rPr>
          <w:b/>
          <w:sz w:val="26"/>
        </w:rPr>
      </w:pPr>
    </w:p>
    <w:p>
      <w:pPr>
        <w:pStyle w:val="ListParagraph"/>
        <w:numPr>
          <w:ilvl w:val="1"/>
          <w:numId w:val="29"/>
        </w:numPr>
        <w:tabs>
          <w:tab w:pos="1071" w:val="left" w:leader="none"/>
        </w:tabs>
        <w:spacing w:line="240" w:lineRule="auto" w:before="0" w:after="0"/>
        <w:ind w:left="1070" w:right="0" w:hanging="566"/>
        <w:jc w:val="left"/>
        <w:rPr>
          <w:sz w:val="18"/>
        </w:rPr>
      </w:pPr>
      <w:r>
        <w:rPr>
          <w:sz w:val="18"/>
        </w:rPr>
        <w:t>Long service</w:t>
      </w:r>
      <w:r>
        <w:rPr>
          <w:spacing w:val="-1"/>
          <w:sz w:val="18"/>
        </w:rPr>
        <w:t> </w:t>
      </w:r>
      <w:r>
        <w:rPr>
          <w:sz w:val="18"/>
        </w:rPr>
        <w:t>leave</w:t>
      </w:r>
    </w:p>
    <w:p>
      <w:pPr>
        <w:pStyle w:val="BodyText"/>
        <w:spacing w:before="4"/>
        <w:rPr>
          <w:sz w:val="25"/>
        </w:rPr>
      </w:pPr>
    </w:p>
    <w:p>
      <w:pPr>
        <w:pStyle w:val="BodyText"/>
        <w:ind w:left="1072" w:right="220" w:hanging="3"/>
      </w:pPr>
      <w:r>
        <w:rPr/>
        <w:t>In 2017 the University engaged Mercer Consulting (Australia) Pty Ltd to undertake a valuation of the University's long service leave liability at 31 December 2017. Assumptions used in this measurement included:</w:t>
      </w:r>
    </w:p>
    <w:p>
      <w:pPr>
        <w:pStyle w:val="Heading9"/>
        <w:spacing w:before="62" w:after="36"/>
        <w:ind w:left="2821"/>
        <w:jc w:val="center"/>
      </w:pPr>
      <w:r>
        <w:rPr>
          <w:w w:val="99"/>
        </w:rPr>
        <w:t>%</w:t>
      </w:r>
    </w:p>
    <w:tbl>
      <w:tblPr>
        <w:tblW w:w="0" w:type="auto"/>
        <w:jc w:val="left"/>
        <w:tblInd w:w="10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98"/>
        <w:gridCol w:w="1029"/>
      </w:tblGrid>
      <w:tr>
        <w:trPr>
          <w:trHeight w:val="272" w:hRule="exact"/>
        </w:trPr>
        <w:tc>
          <w:tcPr>
            <w:tcW w:w="4698" w:type="dxa"/>
          </w:tcPr>
          <w:p>
            <w:pPr>
              <w:pStyle w:val="TableParagraph"/>
              <w:spacing w:before="28"/>
              <w:ind w:left="35"/>
              <w:rPr>
                <w:sz w:val="18"/>
              </w:rPr>
            </w:pPr>
            <w:r>
              <w:rPr>
                <w:sz w:val="18"/>
              </w:rPr>
              <w:t>Estimate rate of inflation / salary increase - 2018</w:t>
            </w:r>
          </w:p>
        </w:tc>
        <w:tc>
          <w:tcPr>
            <w:tcW w:w="1029" w:type="dxa"/>
          </w:tcPr>
          <w:p>
            <w:pPr>
              <w:pStyle w:val="TableParagraph"/>
              <w:spacing w:before="26"/>
              <w:ind w:right="33"/>
              <w:jc w:val="right"/>
              <w:rPr>
                <w:sz w:val="18"/>
              </w:rPr>
            </w:pPr>
            <w:r>
              <w:rPr>
                <w:w w:val="95"/>
                <w:sz w:val="18"/>
              </w:rPr>
              <w:t>2.10</w:t>
            </w:r>
          </w:p>
        </w:tc>
      </w:tr>
      <w:tr>
        <w:trPr>
          <w:trHeight w:val="264" w:hRule="exact"/>
        </w:trPr>
        <w:tc>
          <w:tcPr>
            <w:tcW w:w="4698" w:type="dxa"/>
          </w:tcPr>
          <w:p>
            <w:pPr>
              <w:pStyle w:val="TableParagraph"/>
              <w:spacing w:before="20"/>
              <w:ind w:left="35"/>
              <w:rPr>
                <w:sz w:val="18"/>
              </w:rPr>
            </w:pPr>
            <w:r>
              <w:rPr>
                <w:sz w:val="18"/>
              </w:rPr>
              <w:t>Estimate rate of inflation / salary increase - 2019</w:t>
            </w:r>
          </w:p>
        </w:tc>
        <w:tc>
          <w:tcPr>
            <w:tcW w:w="1029" w:type="dxa"/>
          </w:tcPr>
          <w:p>
            <w:pPr>
              <w:pStyle w:val="TableParagraph"/>
              <w:spacing w:before="18"/>
              <w:ind w:right="33"/>
              <w:jc w:val="right"/>
              <w:rPr>
                <w:sz w:val="18"/>
              </w:rPr>
            </w:pPr>
            <w:r>
              <w:rPr>
                <w:w w:val="95"/>
                <w:sz w:val="18"/>
              </w:rPr>
              <w:t>2.00</w:t>
            </w:r>
          </w:p>
        </w:tc>
      </w:tr>
      <w:tr>
        <w:trPr>
          <w:trHeight w:val="264" w:hRule="exact"/>
        </w:trPr>
        <w:tc>
          <w:tcPr>
            <w:tcW w:w="4698" w:type="dxa"/>
          </w:tcPr>
          <w:p>
            <w:pPr>
              <w:pStyle w:val="TableParagraph"/>
              <w:spacing w:before="20"/>
              <w:ind w:left="35"/>
              <w:rPr>
                <w:sz w:val="18"/>
              </w:rPr>
            </w:pPr>
            <w:r>
              <w:rPr>
                <w:sz w:val="18"/>
              </w:rPr>
              <w:t>Estimate rate of inflation / salary increase - 2020</w:t>
            </w:r>
          </w:p>
        </w:tc>
        <w:tc>
          <w:tcPr>
            <w:tcW w:w="1029" w:type="dxa"/>
          </w:tcPr>
          <w:p>
            <w:pPr>
              <w:pStyle w:val="TableParagraph"/>
              <w:spacing w:before="18"/>
              <w:ind w:right="33"/>
              <w:jc w:val="right"/>
              <w:rPr>
                <w:sz w:val="18"/>
              </w:rPr>
            </w:pPr>
            <w:r>
              <w:rPr>
                <w:w w:val="95"/>
                <w:sz w:val="18"/>
              </w:rPr>
              <w:t>2.00</w:t>
            </w:r>
          </w:p>
        </w:tc>
      </w:tr>
      <w:tr>
        <w:trPr>
          <w:trHeight w:val="264" w:hRule="exact"/>
        </w:trPr>
        <w:tc>
          <w:tcPr>
            <w:tcW w:w="4698" w:type="dxa"/>
          </w:tcPr>
          <w:p>
            <w:pPr>
              <w:pStyle w:val="TableParagraph"/>
              <w:spacing w:before="20"/>
              <w:ind w:left="35"/>
              <w:rPr>
                <w:sz w:val="18"/>
              </w:rPr>
            </w:pPr>
            <w:r>
              <w:rPr>
                <w:sz w:val="18"/>
              </w:rPr>
              <w:t>Estimate rate of long term inflation / salary increase</w:t>
            </w:r>
          </w:p>
        </w:tc>
        <w:tc>
          <w:tcPr>
            <w:tcW w:w="1029" w:type="dxa"/>
          </w:tcPr>
          <w:p>
            <w:pPr>
              <w:pStyle w:val="TableParagraph"/>
              <w:spacing w:before="18"/>
              <w:ind w:right="33"/>
              <w:jc w:val="right"/>
              <w:rPr>
                <w:sz w:val="18"/>
              </w:rPr>
            </w:pPr>
            <w:r>
              <w:rPr>
                <w:w w:val="95"/>
                <w:sz w:val="18"/>
              </w:rPr>
              <w:t>2.00</w:t>
            </w:r>
          </w:p>
        </w:tc>
      </w:tr>
      <w:tr>
        <w:trPr>
          <w:trHeight w:val="264" w:hRule="exact"/>
        </w:trPr>
        <w:tc>
          <w:tcPr>
            <w:tcW w:w="4698" w:type="dxa"/>
          </w:tcPr>
          <w:p>
            <w:pPr>
              <w:pStyle w:val="TableParagraph"/>
              <w:spacing w:before="20"/>
              <w:ind w:left="35"/>
              <w:rPr>
                <w:sz w:val="18"/>
              </w:rPr>
            </w:pPr>
            <w:r>
              <w:rPr>
                <w:sz w:val="18"/>
              </w:rPr>
              <w:t>Estimate of long service leave taken "in service"</w:t>
            </w:r>
          </w:p>
        </w:tc>
        <w:tc>
          <w:tcPr>
            <w:tcW w:w="1029" w:type="dxa"/>
          </w:tcPr>
          <w:p>
            <w:pPr>
              <w:pStyle w:val="TableParagraph"/>
              <w:spacing w:before="18"/>
              <w:ind w:right="33"/>
              <w:jc w:val="right"/>
              <w:rPr>
                <w:sz w:val="18"/>
              </w:rPr>
            </w:pPr>
            <w:r>
              <w:rPr>
                <w:w w:val="95"/>
                <w:sz w:val="18"/>
              </w:rPr>
              <w:t>10.00</w:t>
            </w:r>
          </w:p>
        </w:tc>
      </w:tr>
      <w:tr>
        <w:trPr>
          <w:trHeight w:val="264" w:hRule="exact"/>
        </w:trPr>
        <w:tc>
          <w:tcPr>
            <w:tcW w:w="4698" w:type="dxa"/>
          </w:tcPr>
          <w:p>
            <w:pPr>
              <w:pStyle w:val="TableParagraph"/>
              <w:spacing w:before="20"/>
              <w:ind w:left="35"/>
              <w:rPr>
                <w:sz w:val="18"/>
              </w:rPr>
            </w:pPr>
            <w:r>
              <w:rPr>
                <w:sz w:val="18"/>
              </w:rPr>
              <w:t>Discount for future investment earnings</w:t>
            </w:r>
          </w:p>
        </w:tc>
        <w:tc>
          <w:tcPr>
            <w:tcW w:w="1029" w:type="dxa"/>
          </w:tcPr>
          <w:p>
            <w:pPr>
              <w:pStyle w:val="TableParagraph"/>
              <w:spacing w:before="18"/>
              <w:ind w:right="33"/>
              <w:jc w:val="right"/>
              <w:rPr>
                <w:sz w:val="18"/>
              </w:rPr>
            </w:pPr>
            <w:r>
              <w:rPr>
                <w:w w:val="95"/>
                <w:sz w:val="18"/>
              </w:rPr>
              <w:t>2.39</w:t>
            </w:r>
          </w:p>
        </w:tc>
      </w:tr>
      <w:tr>
        <w:trPr>
          <w:trHeight w:val="264" w:hRule="exact"/>
        </w:trPr>
        <w:tc>
          <w:tcPr>
            <w:tcW w:w="4698" w:type="dxa"/>
          </w:tcPr>
          <w:p>
            <w:pPr>
              <w:pStyle w:val="TableParagraph"/>
              <w:spacing w:before="20"/>
              <w:ind w:left="35"/>
              <w:rPr>
                <w:sz w:val="18"/>
              </w:rPr>
            </w:pPr>
            <w:r>
              <w:rPr>
                <w:sz w:val="18"/>
              </w:rPr>
              <w:t>Estimate of AL accrued on LSL taken in service</w:t>
            </w:r>
          </w:p>
        </w:tc>
        <w:tc>
          <w:tcPr>
            <w:tcW w:w="1029" w:type="dxa"/>
          </w:tcPr>
          <w:p>
            <w:pPr>
              <w:pStyle w:val="TableParagraph"/>
              <w:spacing w:before="18"/>
              <w:ind w:right="33"/>
              <w:jc w:val="right"/>
              <w:rPr>
                <w:sz w:val="18"/>
              </w:rPr>
            </w:pPr>
            <w:r>
              <w:rPr>
                <w:w w:val="95"/>
                <w:sz w:val="18"/>
              </w:rPr>
              <w:t>3.00</w:t>
            </w:r>
          </w:p>
        </w:tc>
      </w:tr>
      <w:tr>
        <w:trPr>
          <w:trHeight w:val="263" w:hRule="exact"/>
        </w:trPr>
        <w:tc>
          <w:tcPr>
            <w:tcW w:w="4698" w:type="dxa"/>
          </w:tcPr>
          <w:p>
            <w:pPr>
              <w:pStyle w:val="TableParagraph"/>
              <w:spacing w:before="20"/>
              <w:ind w:left="35"/>
              <w:rPr>
                <w:sz w:val="18"/>
              </w:rPr>
            </w:pPr>
            <w:r>
              <w:rPr>
                <w:sz w:val="18"/>
              </w:rPr>
              <w:t>Estimate of LSL accrued on LSL taken in service</w:t>
            </w:r>
          </w:p>
        </w:tc>
        <w:tc>
          <w:tcPr>
            <w:tcW w:w="1029" w:type="dxa"/>
          </w:tcPr>
          <w:p>
            <w:pPr>
              <w:pStyle w:val="TableParagraph"/>
              <w:spacing w:before="18"/>
              <w:ind w:right="33"/>
              <w:jc w:val="right"/>
              <w:rPr>
                <w:sz w:val="18"/>
              </w:rPr>
            </w:pPr>
            <w:r>
              <w:rPr>
                <w:w w:val="95"/>
                <w:sz w:val="18"/>
              </w:rPr>
              <w:t>3.90</w:t>
            </w:r>
          </w:p>
        </w:tc>
      </w:tr>
      <w:tr>
        <w:trPr>
          <w:trHeight w:val="260" w:hRule="exact"/>
        </w:trPr>
        <w:tc>
          <w:tcPr>
            <w:tcW w:w="4698" w:type="dxa"/>
          </w:tcPr>
          <w:p>
            <w:pPr>
              <w:pStyle w:val="TableParagraph"/>
              <w:spacing w:before="16"/>
              <w:ind w:left="35"/>
              <w:rPr>
                <w:sz w:val="18"/>
              </w:rPr>
            </w:pPr>
            <w:bookmarkStart w:name="(c) Movements in provisions" w:id="109"/>
            <w:bookmarkEnd w:id="109"/>
            <w:r>
              <w:rPr/>
            </w:r>
            <w:r>
              <w:rPr>
                <w:sz w:val="18"/>
              </w:rPr>
              <w:t>On costs used in this process were:</w:t>
            </w:r>
          </w:p>
        </w:tc>
        <w:tc>
          <w:tcPr>
            <w:tcW w:w="1029" w:type="dxa"/>
          </w:tcPr>
          <w:p>
            <w:pPr/>
          </w:p>
        </w:tc>
      </w:tr>
      <w:tr>
        <w:trPr>
          <w:trHeight w:val="264" w:hRule="exact"/>
        </w:trPr>
        <w:tc>
          <w:tcPr>
            <w:tcW w:w="4698" w:type="dxa"/>
          </w:tcPr>
          <w:p>
            <w:pPr>
              <w:pStyle w:val="TableParagraph"/>
              <w:spacing w:before="20"/>
              <w:ind w:left="390"/>
              <w:rPr>
                <w:sz w:val="18"/>
              </w:rPr>
            </w:pPr>
            <w:r>
              <w:rPr>
                <w:sz w:val="18"/>
              </w:rPr>
              <w:t>Superannuation (for "in service leave")</w:t>
            </w:r>
          </w:p>
        </w:tc>
        <w:tc>
          <w:tcPr>
            <w:tcW w:w="1029" w:type="dxa"/>
          </w:tcPr>
          <w:p>
            <w:pPr>
              <w:pStyle w:val="TableParagraph"/>
              <w:spacing w:before="18"/>
              <w:ind w:right="33"/>
              <w:jc w:val="right"/>
              <w:rPr>
                <w:sz w:val="18"/>
              </w:rPr>
            </w:pPr>
            <w:r>
              <w:rPr>
                <w:w w:val="95"/>
                <w:sz w:val="18"/>
              </w:rPr>
              <w:t>17.00</w:t>
            </w:r>
          </w:p>
        </w:tc>
      </w:tr>
      <w:tr>
        <w:trPr>
          <w:trHeight w:val="264" w:hRule="exact"/>
        </w:trPr>
        <w:tc>
          <w:tcPr>
            <w:tcW w:w="4698" w:type="dxa"/>
          </w:tcPr>
          <w:p>
            <w:pPr>
              <w:pStyle w:val="TableParagraph"/>
              <w:spacing w:before="20"/>
              <w:ind w:left="390"/>
              <w:rPr>
                <w:sz w:val="18"/>
              </w:rPr>
            </w:pPr>
            <w:r>
              <w:rPr>
                <w:sz w:val="18"/>
              </w:rPr>
              <w:t>Payroll tax</w:t>
            </w:r>
          </w:p>
        </w:tc>
        <w:tc>
          <w:tcPr>
            <w:tcW w:w="1029" w:type="dxa"/>
          </w:tcPr>
          <w:p>
            <w:pPr>
              <w:pStyle w:val="TableParagraph"/>
              <w:spacing w:before="18"/>
              <w:ind w:right="33"/>
              <w:jc w:val="right"/>
              <w:rPr>
                <w:sz w:val="18"/>
              </w:rPr>
            </w:pPr>
            <w:r>
              <w:rPr>
                <w:w w:val="95"/>
                <w:sz w:val="18"/>
              </w:rPr>
              <w:t>5.45</w:t>
            </w:r>
          </w:p>
        </w:tc>
      </w:tr>
      <w:tr>
        <w:trPr>
          <w:trHeight w:val="323" w:hRule="exact"/>
        </w:trPr>
        <w:tc>
          <w:tcPr>
            <w:tcW w:w="4698" w:type="dxa"/>
          </w:tcPr>
          <w:p>
            <w:pPr>
              <w:pStyle w:val="TableParagraph"/>
              <w:spacing w:before="20"/>
              <w:ind w:left="390"/>
              <w:rPr>
                <w:sz w:val="18"/>
              </w:rPr>
            </w:pPr>
            <w:r>
              <w:rPr>
                <w:sz w:val="18"/>
              </w:rPr>
              <w:t>Workers compensation</w:t>
            </w:r>
          </w:p>
        </w:tc>
        <w:tc>
          <w:tcPr>
            <w:tcW w:w="1029" w:type="dxa"/>
          </w:tcPr>
          <w:p>
            <w:pPr>
              <w:pStyle w:val="TableParagraph"/>
              <w:spacing w:before="18"/>
              <w:ind w:right="33"/>
              <w:jc w:val="right"/>
              <w:rPr>
                <w:sz w:val="18"/>
              </w:rPr>
            </w:pPr>
            <w:r>
              <w:rPr>
                <w:w w:val="95"/>
                <w:sz w:val="18"/>
              </w:rPr>
              <w:t>0.34</w:t>
            </w:r>
          </w:p>
        </w:tc>
      </w:tr>
    </w:tbl>
    <w:p>
      <w:pPr>
        <w:pStyle w:val="BodyText"/>
        <w:spacing w:before="11"/>
        <w:rPr>
          <w:b/>
          <w:sz w:val="29"/>
        </w:rPr>
      </w:pPr>
    </w:p>
    <w:p>
      <w:pPr>
        <w:pStyle w:val="ListParagraph"/>
        <w:numPr>
          <w:ilvl w:val="1"/>
          <w:numId w:val="29"/>
        </w:numPr>
        <w:tabs>
          <w:tab w:pos="1071" w:val="left" w:leader="none"/>
        </w:tabs>
        <w:spacing w:line="240" w:lineRule="auto" w:before="77" w:after="0"/>
        <w:ind w:left="1070" w:right="0" w:hanging="566"/>
        <w:jc w:val="left"/>
        <w:rPr>
          <w:sz w:val="18"/>
        </w:rPr>
      </w:pPr>
      <w:r>
        <w:rPr>
          <w:sz w:val="18"/>
        </w:rPr>
        <w:t>Movements in</w:t>
      </w:r>
      <w:r>
        <w:rPr>
          <w:spacing w:val="-1"/>
          <w:sz w:val="18"/>
        </w:rPr>
        <w:t> </w:t>
      </w:r>
      <w:r>
        <w:rPr>
          <w:sz w:val="18"/>
        </w:rPr>
        <w:t>provisions</w:t>
      </w:r>
    </w:p>
    <w:p>
      <w:pPr>
        <w:pStyle w:val="BodyText"/>
        <w:spacing w:before="4"/>
        <w:rPr>
          <w:sz w:val="25"/>
        </w:rPr>
      </w:pPr>
    </w:p>
    <w:p>
      <w:pPr>
        <w:pStyle w:val="BodyText"/>
        <w:ind w:left="1070" w:right="98"/>
      </w:pPr>
      <w:r>
        <w:rPr/>
        <w:t>Movements in each class of provision during the financial year, other than employee benefits, are set out below:</w:t>
      </w:r>
    </w:p>
    <w:p>
      <w:pPr>
        <w:pStyle w:val="BodyText"/>
        <w:spacing w:before="11"/>
        <w:rPr>
          <w:sz w:val="19"/>
        </w:rPr>
      </w:pPr>
    </w:p>
    <w:p>
      <w:pPr>
        <w:spacing w:after="0"/>
        <w:rPr>
          <w:sz w:val="19"/>
        </w:rPr>
        <w:sectPr>
          <w:pgSz w:w="11910" w:h="16840"/>
          <w:pgMar w:header="1037" w:footer="507" w:top="2220" w:bottom="700" w:left="900" w:right="880"/>
        </w:sectPr>
      </w:pPr>
    </w:p>
    <w:p>
      <w:pPr>
        <w:pStyle w:val="BodyText"/>
      </w:pPr>
    </w:p>
    <w:p>
      <w:pPr>
        <w:pStyle w:val="BodyText"/>
      </w:pPr>
    </w:p>
    <w:p>
      <w:pPr>
        <w:pStyle w:val="BodyText"/>
      </w:pPr>
    </w:p>
    <w:p>
      <w:pPr>
        <w:pStyle w:val="BodyText"/>
        <w:spacing w:before="3"/>
        <w:rPr>
          <w:sz w:val="15"/>
        </w:rPr>
      </w:pPr>
    </w:p>
    <w:p>
      <w:pPr>
        <w:pStyle w:val="Heading9"/>
        <w:spacing w:line="320" w:lineRule="atLeast"/>
        <w:ind w:left="1116"/>
      </w:pPr>
      <w:r>
        <w:rPr/>
        <w:t>Parent and Consolidated Non-current</w:t>
      </w:r>
    </w:p>
    <w:p>
      <w:pPr>
        <w:spacing w:before="77"/>
        <w:ind w:left="1116" w:right="0" w:firstLine="0"/>
        <w:jc w:val="center"/>
        <w:rPr>
          <w:b/>
          <w:sz w:val="18"/>
        </w:rPr>
      </w:pPr>
      <w:r>
        <w:rPr/>
        <w:br w:type="column"/>
      </w:r>
      <w:r>
        <w:rPr>
          <w:b/>
          <w:sz w:val="18"/>
        </w:rPr>
        <w:t>Make good on leases</w:t>
      </w:r>
    </w:p>
    <w:p>
      <w:pPr>
        <w:spacing w:before="66"/>
        <w:ind w:left="1113" w:right="0" w:firstLine="0"/>
        <w:jc w:val="center"/>
        <w:rPr>
          <w:b/>
          <w:sz w:val="18"/>
        </w:rPr>
      </w:pPr>
      <w:r>
        <w:rPr>
          <w:b/>
          <w:sz w:val="18"/>
        </w:rPr>
        <w:t>$'000</w:t>
      </w:r>
    </w:p>
    <w:p>
      <w:pPr>
        <w:pStyle w:val="BodyText"/>
        <w:spacing w:before="7"/>
        <w:rPr>
          <w:b/>
          <w:sz w:val="24"/>
        </w:rPr>
      </w:pPr>
      <w:r>
        <w:rPr/>
        <w:br w:type="column"/>
      </w:r>
      <w:r>
        <w:rPr>
          <w:b/>
          <w:sz w:val="24"/>
        </w:rPr>
      </w:r>
    </w:p>
    <w:p>
      <w:pPr>
        <w:spacing w:before="0"/>
        <w:ind w:left="430" w:right="0" w:firstLine="0"/>
        <w:jc w:val="left"/>
        <w:rPr>
          <w:b/>
          <w:sz w:val="18"/>
        </w:rPr>
      </w:pPr>
      <w:r>
        <w:rPr>
          <w:b/>
          <w:sz w:val="18"/>
        </w:rPr>
        <w:t>Total</w:t>
      </w:r>
    </w:p>
    <w:p>
      <w:pPr>
        <w:spacing w:before="66"/>
        <w:ind w:left="423" w:right="0" w:firstLine="0"/>
        <w:jc w:val="left"/>
        <w:rPr>
          <w:b/>
          <w:sz w:val="18"/>
        </w:rPr>
      </w:pPr>
      <w:r>
        <w:rPr>
          <w:b/>
          <w:sz w:val="18"/>
        </w:rPr>
        <w:t>$'000</w:t>
      </w:r>
    </w:p>
    <w:p>
      <w:pPr>
        <w:spacing w:after="0"/>
        <w:jc w:val="left"/>
        <w:rPr>
          <w:sz w:val="18"/>
        </w:rPr>
        <w:sectPr>
          <w:type w:val="continuous"/>
          <w:pgSz w:w="11910" w:h="16840"/>
          <w:pgMar w:top="1580" w:bottom="280" w:left="900" w:right="880"/>
          <w:cols w:num="3" w:equalWidth="0">
            <w:col w:w="3245" w:space="3115"/>
            <w:col w:w="2333" w:space="40"/>
            <w:col w:w="1397"/>
          </w:cols>
        </w:sectPr>
      </w:pPr>
    </w:p>
    <w:p>
      <w:pPr>
        <w:pStyle w:val="BodyText"/>
        <w:tabs>
          <w:tab w:pos="8332" w:val="left" w:leader="none"/>
          <w:tab w:pos="9931" w:val="right" w:leader="none"/>
        </w:tabs>
        <w:spacing w:before="28"/>
        <w:ind w:left="1116"/>
        <w:rPr>
          <w:b/>
        </w:rPr>
      </w:pPr>
      <w:r>
        <w:rPr/>
        <w:t>Carrying amount at start</w:t>
      </w:r>
      <w:r>
        <w:rPr>
          <w:spacing w:val="-1"/>
        </w:rPr>
        <w:t> </w:t>
      </w:r>
      <w:r>
        <w:rPr/>
        <w:t>of</w:t>
      </w:r>
      <w:r>
        <w:rPr>
          <w:spacing w:val="-1"/>
        </w:rPr>
        <w:t> </w:t>
      </w:r>
      <w:r>
        <w:rPr/>
        <w:t>year</w:t>
        <w:tab/>
      </w:r>
      <w:r>
        <w:rPr>
          <w:b/>
        </w:rPr>
        <w:t>707</w:t>
      </w:r>
      <w:r>
        <w:rPr>
          <w:rFonts w:ascii="Times New Roman"/>
        </w:rPr>
        <w:tab/>
      </w:r>
      <w:r>
        <w:rPr>
          <w:b/>
        </w:rPr>
        <w:t>707</w:t>
      </w:r>
    </w:p>
    <w:p>
      <w:pPr>
        <w:tabs>
          <w:tab w:pos="8332" w:val="left" w:leader="none"/>
          <w:tab w:pos="9931" w:val="right" w:leader="none"/>
        </w:tabs>
        <w:spacing w:before="57"/>
        <w:ind w:left="1115" w:right="0" w:firstLine="0"/>
        <w:jc w:val="left"/>
        <w:rPr>
          <w:b/>
          <w:sz w:val="18"/>
        </w:rPr>
      </w:pPr>
      <w:r>
        <w:rPr/>
        <w:pict>
          <v:group style="position:absolute;margin-left:407.924988pt;margin-top:14.456906pt;width:138.15pt;height:1pt;mso-position-horizontal-relative:page;mso-position-vertical-relative:paragraph;z-index:1552" coordorigin="8158,289" coordsize="2763,20">
            <v:line style="position:absolute" from="8160,291" to="8328,291" stroked="true" strokeweight=".12pt" strokecolor="#000000"/>
            <v:line style="position:absolute" from="8160,293" to="8328,293" stroked="true" strokeweight=".12pt" strokecolor="#000000"/>
            <v:line style="position:absolute" from="8160,295" to="8328,295" stroked="true" strokeweight=".12pt" strokecolor="#000000"/>
            <v:line style="position:absolute" from="8160,298" to="8328,298" stroked="true" strokeweight=".12pt" strokecolor="#000000"/>
            <v:line style="position:absolute" from="8160,300" to="8328,300" stroked="true" strokeweight=".12pt" strokecolor="#000000"/>
            <v:line style="position:absolute" from="8160,303" to="8328,303" stroked="true" strokeweight=".12pt" strokecolor="#000000"/>
            <v:line style="position:absolute" from="8160,305" to="8328,305" stroked="true" strokeweight=".12pt" strokecolor="#000000"/>
            <v:line style="position:absolute" from="8160,307" to="8328,307" stroked="true" strokeweight=".12pt" strokecolor="#000000"/>
            <v:line style="position:absolute" from="8328,291" to="9624,291" stroked="true" strokeweight=".12pt" strokecolor="#000000"/>
            <v:line style="position:absolute" from="8328,293" to="9624,293" stroked="true" strokeweight=".12pt" strokecolor="#000000"/>
            <v:line style="position:absolute" from="8328,295" to="9624,295" stroked="true" strokeweight=".12pt" strokecolor="#000000"/>
            <v:line style="position:absolute" from="8328,298" to="9624,298" stroked="true" strokeweight=".12pt" strokecolor="#000000"/>
            <v:line style="position:absolute" from="8328,300" to="9624,300" stroked="true" strokeweight=".12pt" strokecolor="#000000"/>
            <v:line style="position:absolute" from="8328,303" to="9624,303" stroked="true" strokeweight=".12pt" strokecolor="#000000"/>
            <v:line style="position:absolute" from="8328,305" to="9624,305" stroked="true" strokeweight=".12pt" strokecolor="#000000"/>
            <v:line style="position:absolute" from="8328,307" to="9624,307" stroked="true" strokeweight=".12pt" strokecolor="#000000"/>
            <v:line style="position:absolute" from="9624,291" to="10920,291" stroked="true" strokeweight=".12pt" strokecolor="#000000"/>
            <v:line style="position:absolute" from="9624,293" to="10920,293" stroked="true" strokeweight=".12pt" strokecolor="#000000"/>
            <v:line style="position:absolute" from="9624,295" to="10920,295" stroked="true" strokeweight=".12pt" strokecolor="#000000"/>
            <v:line style="position:absolute" from="9624,298" to="10920,298" stroked="true" strokeweight=".12pt" strokecolor="#000000"/>
            <v:line style="position:absolute" from="9624,300" to="10920,300" stroked="true" strokeweight=".12pt" strokecolor="#000000"/>
            <v:line style="position:absolute" from="9624,303" to="10920,303" stroked="true" strokeweight=".12pt" strokecolor="#000000"/>
            <v:line style="position:absolute" from="9624,305" to="10920,305" stroked="true" strokeweight=".12pt" strokecolor="#000000"/>
            <v:line style="position:absolute" from="9624,307" to="10920,307" stroked="true" strokeweight=".12pt" strokecolor="#000000"/>
            <w10:wrap type="none"/>
          </v:group>
        </w:pict>
      </w:r>
      <w:r>
        <w:rPr>
          <w:sz w:val="18"/>
        </w:rPr>
        <w:t>Additional provisions</w:t>
        <w:tab/>
      </w:r>
      <w:r>
        <w:rPr>
          <w:b/>
          <w:sz w:val="18"/>
        </w:rPr>
        <w:t>119</w:t>
      </w:r>
      <w:r>
        <w:rPr>
          <w:rFonts w:ascii="Times New Roman"/>
          <w:sz w:val="18"/>
        </w:rPr>
        <w:tab/>
      </w:r>
      <w:r>
        <w:rPr>
          <w:b/>
          <w:sz w:val="18"/>
        </w:rPr>
        <w:t>119</w:t>
      </w:r>
    </w:p>
    <w:p>
      <w:pPr>
        <w:pStyle w:val="Heading9"/>
        <w:tabs>
          <w:tab w:pos="8332" w:val="left" w:leader="none"/>
          <w:tab w:pos="9931" w:val="right" w:leader="none"/>
        </w:tabs>
        <w:spacing w:before="160"/>
        <w:ind w:left="1116"/>
      </w:pPr>
      <w:r>
        <w:rPr/>
        <w:pict>
          <v:group style="position:absolute;margin-left:407.924988pt;margin-top:18.166891pt;width:138.15pt;height:2.450pt;mso-position-horizontal-relative:page;mso-position-vertical-relative:paragraph;z-index:-1182448" coordorigin="8158,363" coordsize="2763,49">
            <v:line style="position:absolute" from="8160,365" to="8328,365" stroked="true" strokeweight=".12pt" strokecolor="#000000"/>
            <v:line style="position:absolute" from="8160,367" to="8328,367" stroked="true" strokeweight=".12pt" strokecolor="#000000"/>
            <v:line style="position:absolute" from="8160,370" to="8328,370" stroked="true" strokeweight=".12pt" strokecolor="#000000"/>
            <v:line style="position:absolute" from="8160,372" to="8328,372" stroked="true" strokeweight=".12pt" strokecolor="#000000"/>
            <v:line style="position:absolute" from="8160,374" to="8328,374" stroked="true" strokeweight=".12pt" strokecolor="#000000"/>
            <v:line style="position:absolute" from="8160,377" to="8328,377" stroked="true" strokeweight=".12pt" strokecolor="#000000"/>
            <v:line style="position:absolute" from="8160,398" to="8328,398" stroked="true" strokeweight=".12pt" strokecolor="#000000"/>
            <v:line style="position:absolute" from="8160,401" to="8328,401" stroked="true" strokeweight=".12pt" strokecolor="#000000"/>
            <v:line style="position:absolute" from="8160,403" to="8328,403" stroked="true" strokeweight=".12pt" strokecolor="#000000"/>
            <v:line style="position:absolute" from="8160,406" to="8328,406" stroked="true" strokeweight=".12pt" strokecolor="#000000"/>
            <v:line style="position:absolute" from="8160,408" to="8328,408" stroked="true" strokeweight=".12pt" strokecolor="#000000"/>
            <v:line style="position:absolute" from="8160,410" to="8328,410" stroked="true" strokeweight=".12pt" strokecolor="#000000"/>
            <v:line style="position:absolute" from="8328,365" to="9624,365" stroked="true" strokeweight=".12pt" strokecolor="#000000"/>
            <v:line style="position:absolute" from="8328,367" to="9624,367" stroked="true" strokeweight=".12pt" strokecolor="#000000"/>
            <v:line style="position:absolute" from="8328,370" to="9624,370" stroked="true" strokeweight=".12pt" strokecolor="#000000"/>
            <v:line style="position:absolute" from="8328,372" to="9624,372" stroked="true" strokeweight=".12pt" strokecolor="#000000"/>
            <v:line style="position:absolute" from="8328,374" to="9624,374" stroked="true" strokeweight=".12pt" strokecolor="#000000"/>
            <v:line style="position:absolute" from="8328,377" to="9624,377" stroked="true" strokeweight=".12pt" strokecolor="#000000"/>
            <v:line style="position:absolute" from="8328,398" to="9624,398" stroked="true" strokeweight=".12pt" strokecolor="#000000"/>
            <v:line style="position:absolute" from="8328,401" to="9624,401" stroked="true" strokeweight=".12pt" strokecolor="#000000"/>
            <v:line style="position:absolute" from="8328,403" to="9624,403" stroked="true" strokeweight=".12pt" strokecolor="#000000"/>
            <v:line style="position:absolute" from="8328,406" to="9624,406" stroked="true" strokeweight=".12pt" strokecolor="#000000"/>
            <v:line style="position:absolute" from="8328,408" to="9624,408" stroked="true" strokeweight=".12pt" strokecolor="#000000"/>
            <v:line style="position:absolute" from="8328,410" to="9624,410" stroked="true" strokeweight=".12pt" strokecolor="#000000"/>
            <v:line style="position:absolute" from="9624,365" to="10920,365" stroked="true" strokeweight=".12pt" strokecolor="#000000"/>
            <v:line style="position:absolute" from="9624,367" to="10920,367" stroked="true" strokeweight=".12pt" strokecolor="#000000"/>
            <v:line style="position:absolute" from="9624,370" to="10920,370" stroked="true" strokeweight=".12pt" strokecolor="#000000"/>
            <v:line style="position:absolute" from="9624,372" to="10920,372" stroked="true" strokeweight=".12pt" strokecolor="#000000"/>
            <v:line style="position:absolute" from="9624,374" to="10920,374" stroked="true" strokeweight=".12pt" strokecolor="#000000"/>
            <v:line style="position:absolute" from="9624,377" to="10920,377" stroked="true" strokeweight=".12pt" strokecolor="#000000"/>
            <v:line style="position:absolute" from="9624,398" to="10920,398" stroked="true" strokeweight=".12pt" strokecolor="#000000"/>
            <v:line style="position:absolute" from="9624,401" to="10920,401" stroked="true" strokeweight=".12pt" strokecolor="#000000"/>
            <v:line style="position:absolute" from="9624,403" to="10920,403" stroked="true" strokeweight=".12pt" strokecolor="#000000"/>
            <v:line style="position:absolute" from="9624,406" to="10920,406" stroked="true" strokeweight=".12pt" strokecolor="#000000"/>
            <v:line style="position:absolute" from="9624,408" to="10920,408" stroked="true" strokeweight=".12pt" strokecolor="#000000"/>
            <v:line style="position:absolute" from="9624,410" to="10920,410" stroked="true" strokeweight=".12pt" strokecolor="#000000"/>
            <w10:wrap type="none"/>
          </v:group>
        </w:pict>
      </w:r>
      <w:r>
        <w:rPr/>
        <w:t>Carrying amount at end</w:t>
      </w:r>
      <w:r>
        <w:rPr>
          <w:spacing w:val="-7"/>
        </w:rPr>
        <w:t> </w:t>
      </w:r>
      <w:r>
        <w:rPr/>
        <w:t>of</w:t>
      </w:r>
      <w:r>
        <w:rPr>
          <w:spacing w:val="-2"/>
        </w:rPr>
        <w:t> </w:t>
      </w:r>
      <w:r>
        <w:rPr>
          <w:spacing w:val="-3"/>
        </w:rPr>
        <w:t>year</w:t>
        <w:tab/>
      </w:r>
      <w:r>
        <w:rPr/>
        <w:t>826</w:t>
      </w:r>
      <w:r>
        <w:rPr>
          <w:rFonts w:ascii="Times New Roman"/>
          <w:b w:val="0"/>
        </w:rPr>
        <w:tab/>
      </w:r>
      <w:r>
        <w:rPr/>
        <w:t>826</w:t>
      </w:r>
    </w:p>
    <w:p>
      <w:pPr>
        <w:pStyle w:val="BodyText"/>
        <w:spacing w:before="609"/>
        <w:ind w:left="1070" w:right="220"/>
      </w:pPr>
      <w:r>
        <w:rPr/>
        <w:t>The University has an obligation to make good on leased premises at the end of certain rental agreements. A provision has been made factoring in the cost of bringing the premises back to the conditions specified in the lease agreements.</w:t>
      </w:r>
    </w:p>
    <w:p>
      <w:pPr>
        <w:spacing w:after="0"/>
        <w:sectPr>
          <w:type w:val="continuous"/>
          <w:pgSz w:w="11910" w:h="16840"/>
          <w:pgMar w:top="1580" w:bottom="280" w:left="900" w:right="880"/>
        </w:sectPr>
      </w:pPr>
    </w:p>
    <w:p>
      <w:pPr>
        <w:pStyle w:val="BodyText"/>
        <w:spacing w:before="8"/>
        <w:rPr>
          <w:rFonts w:ascii="Times New Roman"/>
          <w:sz w:val="26"/>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4085"/>
        <w:gridCol w:w="1653"/>
        <w:gridCol w:w="1387"/>
        <w:gridCol w:w="1499"/>
        <w:gridCol w:w="982"/>
      </w:tblGrid>
      <w:tr>
        <w:trPr>
          <w:trHeight w:val="728" w:hRule="exact"/>
        </w:trPr>
        <w:tc>
          <w:tcPr>
            <w:tcW w:w="333" w:type="dxa"/>
          </w:tcPr>
          <w:p>
            <w:pPr>
              <w:pStyle w:val="TableParagraph"/>
              <w:spacing w:before="77"/>
              <w:ind w:left="16" w:right="75"/>
              <w:jc w:val="center"/>
              <w:rPr>
                <w:b/>
                <w:sz w:val="18"/>
              </w:rPr>
            </w:pPr>
            <w:bookmarkStart w:name="28 Other liabilities " w:id="110"/>
            <w:bookmarkEnd w:id="110"/>
            <w:r>
              <w:rPr/>
            </w:r>
            <w:r>
              <w:rPr>
                <w:b/>
                <w:sz w:val="18"/>
              </w:rPr>
              <w:t>28</w:t>
            </w:r>
          </w:p>
        </w:tc>
        <w:tc>
          <w:tcPr>
            <w:tcW w:w="4085" w:type="dxa"/>
          </w:tcPr>
          <w:p>
            <w:pPr>
              <w:pStyle w:val="TableParagraph"/>
              <w:spacing w:before="77"/>
              <w:ind w:left="96"/>
              <w:rPr>
                <w:b/>
                <w:sz w:val="18"/>
              </w:rPr>
            </w:pPr>
            <w:r>
              <w:rPr>
                <w:b/>
                <w:sz w:val="18"/>
              </w:rPr>
              <w:t>Other liabilities</w:t>
            </w:r>
          </w:p>
        </w:tc>
        <w:tc>
          <w:tcPr>
            <w:tcW w:w="3040" w:type="dxa"/>
            <w:gridSpan w:val="2"/>
          </w:tcPr>
          <w:p>
            <w:pPr>
              <w:pStyle w:val="TableParagraph"/>
              <w:rPr>
                <w:rFonts w:ascii="Times New Roman"/>
                <w:sz w:val="18"/>
              </w:rPr>
            </w:pPr>
          </w:p>
          <w:p>
            <w:pPr>
              <w:pStyle w:val="TableParagraph"/>
              <w:spacing w:before="6"/>
              <w:rPr>
                <w:rFonts w:ascii="Times New Roman"/>
                <w:sz w:val="23"/>
              </w:rPr>
            </w:pPr>
          </w:p>
          <w:p>
            <w:pPr>
              <w:pStyle w:val="TableParagraph"/>
              <w:ind w:left="847"/>
              <w:rPr>
                <w:b/>
                <w:sz w:val="18"/>
              </w:rPr>
            </w:pPr>
            <w:r>
              <w:rPr>
                <w:b/>
                <w:sz w:val="18"/>
              </w:rPr>
              <w:t>Consolidated</w:t>
            </w:r>
          </w:p>
        </w:tc>
        <w:tc>
          <w:tcPr>
            <w:tcW w:w="1499" w:type="dxa"/>
          </w:tcPr>
          <w:p>
            <w:pPr>
              <w:pStyle w:val="TableParagraph"/>
              <w:rPr>
                <w:rFonts w:ascii="Times New Roman"/>
                <w:sz w:val="18"/>
              </w:rPr>
            </w:pPr>
          </w:p>
          <w:p>
            <w:pPr>
              <w:pStyle w:val="TableParagraph"/>
              <w:spacing w:before="6"/>
              <w:rPr>
                <w:rFonts w:ascii="Times New Roman"/>
                <w:sz w:val="23"/>
              </w:rPr>
            </w:pPr>
          </w:p>
          <w:p>
            <w:pPr>
              <w:pStyle w:val="TableParagraph"/>
              <w:ind w:right="91"/>
              <w:jc w:val="right"/>
              <w:rPr>
                <w:b/>
                <w:sz w:val="18"/>
              </w:rPr>
            </w:pPr>
            <w:r>
              <w:rPr>
                <w:b/>
                <w:w w:val="95"/>
                <w:sz w:val="18"/>
              </w:rPr>
              <w:t>Parent</w:t>
            </w:r>
          </w:p>
        </w:tc>
        <w:tc>
          <w:tcPr>
            <w:tcW w:w="982" w:type="dxa"/>
          </w:tcPr>
          <w:p>
            <w:pPr/>
          </w:p>
        </w:tc>
      </w:tr>
      <w:tr>
        <w:trPr>
          <w:trHeight w:val="274" w:hRule="exact"/>
        </w:trPr>
        <w:tc>
          <w:tcPr>
            <w:tcW w:w="333" w:type="dxa"/>
          </w:tcPr>
          <w:p>
            <w:pPr/>
          </w:p>
        </w:tc>
        <w:tc>
          <w:tcPr>
            <w:tcW w:w="4085" w:type="dxa"/>
          </w:tcPr>
          <w:p>
            <w:pPr/>
          </w:p>
        </w:tc>
        <w:tc>
          <w:tcPr>
            <w:tcW w:w="1653" w:type="dxa"/>
          </w:tcPr>
          <w:p>
            <w:pPr>
              <w:pStyle w:val="TableParagraph"/>
              <w:spacing w:before="24"/>
              <w:ind w:left="636"/>
              <w:rPr>
                <w:b/>
                <w:sz w:val="18"/>
              </w:rPr>
            </w:pPr>
            <w:r>
              <w:rPr>
                <w:b/>
                <w:sz w:val="18"/>
              </w:rPr>
              <w:t>2017</w:t>
            </w:r>
          </w:p>
        </w:tc>
        <w:tc>
          <w:tcPr>
            <w:tcW w:w="1387" w:type="dxa"/>
          </w:tcPr>
          <w:p>
            <w:pPr>
              <w:pStyle w:val="TableParagraph"/>
              <w:spacing w:before="24"/>
              <w:ind w:left="265"/>
              <w:rPr>
                <w:b/>
                <w:sz w:val="18"/>
              </w:rPr>
            </w:pPr>
            <w:r>
              <w:rPr>
                <w:b/>
                <w:sz w:val="18"/>
              </w:rPr>
              <w:t>2016</w:t>
            </w:r>
          </w:p>
        </w:tc>
        <w:tc>
          <w:tcPr>
            <w:tcW w:w="1499" w:type="dxa"/>
          </w:tcPr>
          <w:p>
            <w:pPr>
              <w:pStyle w:val="TableParagraph"/>
              <w:spacing w:before="24"/>
              <w:ind w:left="356"/>
              <w:rPr>
                <w:b/>
                <w:sz w:val="18"/>
              </w:rPr>
            </w:pPr>
            <w:r>
              <w:rPr>
                <w:b/>
                <w:sz w:val="18"/>
              </w:rPr>
              <w:t>2017</w:t>
            </w:r>
          </w:p>
        </w:tc>
        <w:tc>
          <w:tcPr>
            <w:tcW w:w="982" w:type="dxa"/>
          </w:tcPr>
          <w:p>
            <w:pPr>
              <w:pStyle w:val="TableParagraph"/>
              <w:spacing w:before="24"/>
              <w:ind w:left="139"/>
              <w:rPr>
                <w:b/>
                <w:sz w:val="18"/>
              </w:rPr>
            </w:pPr>
            <w:r>
              <w:rPr>
                <w:b/>
                <w:sz w:val="18"/>
              </w:rPr>
              <w:t>2016</w:t>
            </w:r>
          </w:p>
        </w:tc>
      </w:tr>
      <w:tr>
        <w:trPr>
          <w:trHeight w:val="313" w:hRule="exact"/>
        </w:trPr>
        <w:tc>
          <w:tcPr>
            <w:tcW w:w="333" w:type="dxa"/>
          </w:tcPr>
          <w:p>
            <w:pPr/>
          </w:p>
        </w:tc>
        <w:tc>
          <w:tcPr>
            <w:tcW w:w="4085" w:type="dxa"/>
          </w:tcPr>
          <w:p>
            <w:pPr/>
          </w:p>
        </w:tc>
        <w:tc>
          <w:tcPr>
            <w:tcW w:w="1653" w:type="dxa"/>
          </w:tcPr>
          <w:p>
            <w:pPr>
              <w:pStyle w:val="TableParagraph"/>
              <w:spacing w:before="24"/>
              <w:ind w:left="614"/>
              <w:rPr>
                <w:b/>
                <w:sz w:val="18"/>
              </w:rPr>
            </w:pPr>
            <w:r>
              <w:rPr>
                <w:b/>
                <w:sz w:val="18"/>
              </w:rPr>
              <w:t>$'000</w:t>
            </w:r>
          </w:p>
        </w:tc>
        <w:tc>
          <w:tcPr>
            <w:tcW w:w="1387" w:type="dxa"/>
          </w:tcPr>
          <w:p>
            <w:pPr>
              <w:pStyle w:val="TableParagraph"/>
              <w:spacing w:before="24"/>
              <w:ind w:left="243"/>
              <w:rPr>
                <w:b/>
                <w:sz w:val="18"/>
              </w:rPr>
            </w:pPr>
            <w:r>
              <w:rPr>
                <w:b/>
                <w:sz w:val="18"/>
              </w:rPr>
              <w:t>$'000</w:t>
            </w:r>
          </w:p>
        </w:tc>
        <w:tc>
          <w:tcPr>
            <w:tcW w:w="1499" w:type="dxa"/>
          </w:tcPr>
          <w:p>
            <w:pPr>
              <w:pStyle w:val="TableParagraph"/>
              <w:spacing w:before="24"/>
              <w:ind w:left="334"/>
              <w:rPr>
                <w:b/>
                <w:sz w:val="18"/>
              </w:rPr>
            </w:pPr>
            <w:r>
              <w:rPr>
                <w:b/>
                <w:sz w:val="18"/>
              </w:rPr>
              <w:t>$'000</w:t>
            </w:r>
          </w:p>
        </w:tc>
        <w:tc>
          <w:tcPr>
            <w:tcW w:w="982" w:type="dxa"/>
          </w:tcPr>
          <w:p>
            <w:pPr>
              <w:pStyle w:val="TableParagraph"/>
              <w:spacing w:before="24"/>
              <w:ind w:left="117"/>
              <w:rPr>
                <w:b/>
                <w:sz w:val="18"/>
              </w:rPr>
            </w:pPr>
            <w:r>
              <w:rPr>
                <w:b/>
                <w:sz w:val="18"/>
              </w:rPr>
              <w:t>$'000</w:t>
            </w:r>
          </w:p>
        </w:tc>
      </w:tr>
      <w:tr>
        <w:trPr>
          <w:trHeight w:val="294" w:hRule="exact"/>
        </w:trPr>
        <w:tc>
          <w:tcPr>
            <w:tcW w:w="333" w:type="dxa"/>
          </w:tcPr>
          <w:p>
            <w:pPr/>
          </w:p>
        </w:tc>
        <w:tc>
          <w:tcPr>
            <w:tcW w:w="4085" w:type="dxa"/>
          </w:tcPr>
          <w:p>
            <w:pPr>
              <w:pStyle w:val="TableParagraph"/>
              <w:spacing w:before="63"/>
              <w:ind w:left="139"/>
              <w:rPr>
                <w:b/>
                <w:sz w:val="18"/>
              </w:rPr>
            </w:pPr>
            <w:r>
              <w:rPr>
                <w:b/>
                <w:sz w:val="18"/>
              </w:rPr>
              <w:t>Current</w:t>
            </w:r>
          </w:p>
        </w:tc>
        <w:tc>
          <w:tcPr>
            <w:tcW w:w="1653" w:type="dxa"/>
          </w:tcPr>
          <w:p>
            <w:pPr/>
          </w:p>
        </w:tc>
        <w:tc>
          <w:tcPr>
            <w:tcW w:w="1387" w:type="dxa"/>
          </w:tcPr>
          <w:p>
            <w:pPr/>
          </w:p>
        </w:tc>
        <w:tc>
          <w:tcPr>
            <w:tcW w:w="1499" w:type="dxa"/>
          </w:tcPr>
          <w:p>
            <w:pPr/>
          </w:p>
        </w:tc>
        <w:tc>
          <w:tcPr>
            <w:tcW w:w="982" w:type="dxa"/>
          </w:tcPr>
          <w:p>
            <w:pPr/>
          </w:p>
        </w:tc>
      </w:tr>
      <w:tr>
        <w:trPr>
          <w:trHeight w:val="251" w:hRule="exact"/>
        </w:trPr>
        <w:tc>
          <w:tcPr>
            <w:tcW w:w="333" w:type="dxa"/>
          </w:tcPr>
          <w:p>
            <w:pPr/>
          </w:p>
        </w:tc>
        <w:tc>
          <w:tcPr>
            <w:tcW w:w="4085" w:type="dxa"/>
          </w:tcPr>
          <w:p>
            <w:pPr>
              <w:pStyle w:val="TableParagraph"/>
              <w:spacing w:before="7"/>
              <w:ind w:left="139"/>
              <w:rPr>
                <w:sz w:val="18"/>
              </w:rPr>
            </w:pPr>
            <w:r>
              <w:rPr>
                <w:sz w:val="18"/>
              </w:rPr>
              <w:t>Deferred income</w:t>
            </w:r>
          </w:p>
        </w:tc>
        <w:tc>
          <w:tcPr>
            <w:tcW w:w="1653" w:type="dxa"/>
          </w:tcPr>
          <w:p>
            <w:pPr>
              <w:pStyle w:val="TableParagraph"/>
              <w:spacing w:before="4"/>
              <w:ind w:right="273"/>
              <w:jc w:val="right"/>
              <w:rPr>
                <w:b/>
                <w:sz w:val="18"/>
              </w:rPr>
            </w:pPr>
            <w:r>
              <w:rPr>
                <w:b/>
                <w:w w:val="95"/>
                <w:sz w:val="18"/>
              </w:rPr>
              <w:t>23,052</w:t>
            </w:r>
          </w:p>
        </w:tc>
        <w:tc>
          <w:tcPr>
            <w:tcW w:w="1387" w:type="dxa"/>
          </w:tcPr>
          <w:p>
            <w:pPr>
              <w:pStyle w:val="TableParagraph"/>
              <w:spacing w:before="4"/>
              <w:ind w:left="464"/>
              <w:rPr>
                <w:sz w:val="18"/>
              </w:rPr>
            </w:pPr>
            <w:r>
              <w:rPr>
                <w:sz w:val="18"/>
              </w:rPr>
              <w:t>27,411</w:t>
            </w:r>
          </w:p>
        </w:tc>
        <w:tc>
          <w:tcPr>
            <w:tcW w:w="1499" w:type="dxa"/>
          </w:tcPr>
          <w:p>
            <w:pPr>
              <w:pStyle w:val="TableParagraph"/>
              <w:spacing w:before="4"/>
              <w:ind w:left="543"/>
              <w:rPr>
                <w:b/>
                <w:sz w:val="18"/>
              </w:rPr>
            </w:pPr>
            <w:r>
              <w:rPr>
                <w:b/>
                <w:sz w:val="18"/>
              </w:rPr>
              <w:t>23,028</w:t>
            </w:r>
          </w:p>
        </w:tc>
        <w:tc>
          <w:tcPr>
            <w:tcW w:w="982" w:type="dxa"/>
          </w:tcPr>
          <w:p>
            <w:pPr>
              <w:pStyle w:val="TableParagraph"/>
              <w:spacing w:before="4"/>
              <w:ind w:left="338"/>
              <w:rPr>
                <w:sz w:val="18"/>
              </w:rPr>
            </w:pPr>
            <w:r>
              <w:rPr>
                <w:sz w:val="18"/>
              </w:rPr>
              <w:t>27,285</w:t>
            </w:r>
          </w:p>
        </w:tc>
      </w:tr>
      <w:tr>
        <w:trPr>
          <w:trHeight w:val="264" w:hRule="exact"/>
        </w:trPr>
        <w:tc>
          <w:tcPr>
            <w:tcW w:w="333" w:type="dxa"/>
          </w:tcPr>
          <w:p>
            <w:pPr/>
          </w:p>
        </w:tc>
        <w:tc>
          <w:tcPr>
            <w:tcW w:w="4085" w:type="dxa"/>
          </w:tcPr>
          <w:p>
            <w:pPr>
              <w:pStyle w:val="TableParagraph"/>
              <w:spacing w:before="20"/>
              <w:ind w:left="139"/>
              <w:rPr>
                <w:sz w:val="18"/>
              </w:rPr>
            </w:pPr>
            <w:r>
              <w:rPr>
                <w:sz w:val="18"/>
              </w:rPr>
              <w:t>Fees received in advance</w:t>
            </w:r>
          </w:p>
        </w:tc>
        <w:tc>
          <w:tcPr>
            <w:tcW w:w="1653" w:type="dxa"/>
          </w:tcPr>
          <w:p>
            <w:pPr>
              <w:pStyle w:val="TableParagraph"/>
              <w:spacing w:before="18"/>
              <w:ind w:right="273"/>
              <w:jc w:val="right"/>
              <w:rPr>
                <w:b/>
                <w:sz w:val="18"/>
              </w:rPr>
            </w:pPr>
            <w:r>
              <w:rPr>
                <w:b/>
                <w:w w:val="95"/>
                <w:sz w:val="18"/>
              </w:rPr>
              <w:t>20,924</w:t>
            </w:r>
          </w:p>
        </w:tc>
        <w:tc>
          <w:tcPr>
            <w:tcW w:w="1387" w:type="dxa"/>
          </w:tcPr>
          <w:p>
            <w:pPr>
              <w:pStyle w:val="TableParagraph"/>
              <w:spacing w:before="18"/>
              <w:ind w:left="464"/>
              <w:rPr>
                <w:sz w:val="18"/>
              </w:rPr>
            </w:pPr>
            <w:r>
              <w:rPr>
                <w:sz w:val="18"/>
              </w:rPr>
              <w:t>15,197</w:t>
            </w:r>
          </w:p>
        </w:tc>
        <w:tc>
          <w:tcPr>
            <w:tcW w:w="1499" w:type="dxa"/>
          </w:tcPr>
          <w:p>
            <w:pPr>
              <w:pStyle w:val="TableParagraph"/>
              <w:spacing w:before="18"/>
              <w:ind w:left="543"/>
              <w:rPr>
                <w:b/>
                <w:sz w:val="18"/>
              </w:rPr>
            </w:pPr>
            <w:r>
              <w:rPr>
                <w:b/>
                <w:sz w:val="18"/>
              </w:rPr>
              <w:t>19,744</w:t>
            </w:r>
          </w:p>
        </w:tc>
        <w:tc>
          <w:tcPr>
            <w:tcW w:w="982" w:type="dxa"/>
          </w:tcPr>
          <w:p>
            <w:pPr>
              <w:pStyle w:val="TableParagraph"/>
              <w:spacing w:before="18"/>
              <w:ind w:left="338"/>
              <w:rPr>
                <w:sz w:val="18"/>
              </w:rPr>
            </w:pPr>
            <w:r>
              <w:rPr>
                <w:sz w:val="18"/>
              </w:rPr>
              <w:t>13,946</w:t>
            </w:r>
          </w:p>
        </w:tc>
      </w:tr>
      <w:tr>
        <w:trPr>
          <w:trHeight w:val="274" w:hRule="exact"/>
        </w:trPr>
        <w:tc>
          <w:tcPr>
            <w:tcW w:w="333" w:type="dxa"/>
          </w:tcPr>
          <w:p>
            <w:pPr/>
          </w:p>
        </w:tc>
        <w:tc>
          <w:tcPr>
            <w:tcW w:w="4085" w:type="dxa"/>
          </w:tcPr>
          <w:p>
            <w:pPr>
              <w:pStyle w:val="TableParagraph"/>
              <w:spacing w:before="20"/>
              <w:ind w:left="139"/>
              <w:rPr>
                <w:sz w:val="18"/>
              </w:rPr>
            </w:pPr>
            <w:r>
              <w:rPr>
                <w:sz w:val="18"/>
              </w:rPr>
              <w:t>Lease incentives</w:t>
            </w:r>
          </w:p>
        </w:tc>
        <w:tc>
          <w:tcPr>
            <w:tcW w:w="1653" w:type="dxa"/>
          </w:tcPr>
          <w:p>
            <w:pPr>
              <w:pStyle w:val="TableParagraph"/>
              <w:spacing w:before="18"/>
              <w:ind w:right="273"/>
              <w:jc w:val="right"/>
              <w:rPr>
                <w:b/>
                <w:sz w:val="18"/>
              </w:rPr>
            </w:pPr>
            <w:r>
              <w:rPr>
                <w:b/>
                <w:w w:val="95"/>
                <w:sz w:val="18"/>
              </w:rPr>
              <w:t>2,227</w:t>
            </w:r>
          </w:p>
        </w:tc>
        <w:tc>
          <w:tcPr>
            <w:tcW w:w="1387" w:type="dxa"/>
          </w:tcPr>
          <w:p>
            <w:pPr>
              <w:pStyle w:val="TableParagraph"/>
              <w:spacing w:before="18"/>
              <w:ind w:right="366"/>
              <w:jc w:val="right"/>
              <w:rPr>
                <w:sz w:val="18"/>
              </w:rPr>
            </w:pPr>
            <w:r>
              <w:rPr>
                <w:w w:val="95"/>
                <w:sz w:val="18"/>
              </w:rPr>
              <w:t>588</w:t>
            </w:r>
          </w:p>
        </w:tc>
        <w:tc>
          <w:tcPr>
            <w:tcW w:w="1499" w:type="dxa"/>
          </w:tcPr>
          <w:p>
            <w:pPr>
              <w:pStyle w:val="TableParagraph"/>
              <w:spacing w:before="18"/>
              <w:ind w:left="644"/>
              <w:rPr>
                <w:b/>
                <w:sz w:val="18"/>
              </w:rPr>
            </w:pPr>
            <w:r>
              <w:rPr>
                <w:b/>
                <w:sz w:val="18"/>
              </w:rPr>
              <w:t>2,227</w:t>
            </w:r>
          </w:p>
        </w:tc>
        <w:tc>
          <w:tcPr>
            <w:tcW w:w="982" w:type="dxa"/>
          </w:tcPr>
          <w:p>
            <w:pPr>
              <w:pStyle w:val="TableParagraph"/>
              <w:spacing w:before="18"/>
              <w:ind w:right="86"/>
              <w:jc w:val="right"/>
              <w:rPr>
                <w:sz w:val="18"/>
              </w:rPr>
            </w:pPr>
            <w:r>
              <w:rPr>
                <w:w w:val="95"/>
                <w:sz w:val="18"/>
              </w:rPr>
              <w:t>588</w:t>
            </w:r>
          </w:p>
        </w:tc>
      </w:tr>
      <w:tr>
        <w:trPr>
          <w:trHeight w:val="269" w:hRule="exact"/>
        </w:trPr>
        <w:tc>
          <w:tcPr>
            <w:tcW w:w="333" w:type="dxa"/>
          </w:tcPr>
          <w:p>
            <w:pPr/>
          </w:p>
        </w:tc>
        <w:tc>
          <w:tcPr>
            <w:tcW w:w="4085" w:type="dxa"/>
          </w:tcPr>
          <w:p>
            <w:pPr>
              <w:pStyle w:val="TableParagraph"/>
              <w:spacing w:before="30"/>
              <w:ind w:left="139"/>
              <w:rPr>
                <w:sz w:val="18"/>
              </w:rPr>
            </w:pPr>
            <w:r>
              <w:rPr>
                <w:sz w:val="18"/>
              </w:rPr>
              <w:t>Other</w:t>
            </w:r>
          </w:p>
        </w:tc>
        <w:tc>
          <w:tcPr>
            <w:tcW w:w="1653" w:type="dxa"/>
            <w:tcBorders>
              <w:bottom w:val="single" w:sz="1" w:space="0" w:color="000000"/>
            </w:tcBorders>
          </w:tcPr>
          <w:p>
            <w:pPr>
              <w:pStyle w:val="TableParagraph"/>
              <w:spacing w:before="27"/>
              <w:ind w:right="273"/>
              <w:jc w:val="right"/>
              <w:rPr>
                <w:b/>
                <w:sz w:val="18"/>
              </w:rPr>
            </w:pPr>
            <w:r>
              <w:rPr>
                <w:b/>
                <w:w w:val="95"/>
                <w:sz w:val="18"/>
              </w:rPr>
              <w:t>4,321</w:t>
            </w:r>
          </w:p>
        </w:tc>
        <w:tc>
          <w:tcPr>
            <w:tcW w:w="1387" w:type="dxa"/>
            <w:tcBorders>
              <w:bottom w:val="single" w:sz="1" w:space="0" w:color="000000"/>
            </w:tcBorders>
          </w:tcPr>
          <w:p>
            <w:pPr>
              <w:pStyle w:val="TableParagraph"/>
              <w:spacing w:before="27"/>
              <w:ind w:left="565"/>
              <w:rPr>
                <w:sz w:val="18"/>
              </w:rPr>
            </w:pPr>
            <w:r>
              <w:rPr>
                <w:sz w:val="18"/>
              </w:rPr>
              <w:t>5,654</w:t>
            </w:r>
          </w:p>
        </w:tc>
        <w:tc>
          <w:tcPr>
            <w:tcW w:w="1499" w:type="dxa"/>
            <w:tcBorders>
              <w:bottom w:val="single" w:sz="1" w:space="0" w:color="000000"/>
            </w:tcBorders>
          </w:tcPr>
          <w:p>
            <w:pPr>
              <w:pStyle w:val="TableParagraph"/>
              <w:spacing w:before="27"/>
              <w:ind w:left="644"/>
              <w:rPr>
                <w:b/>
                <w:sz w:val="18"/>
              </w:rPr>
            </w:pPr>
            <w:r>
              <w:rPr>
                <w:b/>
                <w:sz w:val="18"/>
              </w:rPr>
              <w:t>3,758</w:t>
            </w:r>
          </w:p>
        </w:tc>
        <w:tc>
          <w:tcPr>
            <w:tcW w:w="982" w:type="dxa"/>
            <w:tcBorders>
              <w:bottom w:val="single" w:sz="1" w:space="0" w:color="000000"/>
            </w:tcBorders>
          </w:tcPr>
          <w:p>
            <w:pPr>
              <w:pStyle w:val="TableParagraph"/>
              <w:spacing w:before="27"/>
              <w:ind w:right="87"/>
              <w:jc w:val="right"/>
              <w:rPr>
                <w:sz w:val="18"/>
              </w:rPr>
            </w:pPr>
            <w:r>
              <w:rPr>
                <w:w w:val="95"/>
                <w:sz w:val="18"/>
              </w:rPr>
              <w:t>5,233</w:t>
            </w:r>
          </w:p>
        </w:tc>
      </w:tr>
      <w:tr>
        <w:trPr>
          <w:trHeight w:val="338" w:hRule="exact"/>
        </w:trPr>
        <w:tc>
          <w:tcPr>
            <w:tcW w:w="333" w:type="dxa"/>
          </w:tcPr>
          <w:p>
            <w:pPr/>
          </w:p>
        </w:tc>
        <w:tc>
          <w:tcPr>
            <w:tcW w:w="4085" w:type="dxa"/>
          </w:tcPr>
          <w:p>
            <w:pPr>
              <w:pStyle w:val="TableParagraph"/>
              <w:spacing w:before="98"/>
              <w:ind w:left="139"/>
              <w:rPr>
                <w:b/>
                <w:sz w:val="18"/>
              </w:rPr>
            </w:pPr>
            <w:r>
              <w:rPr>
                <w:b/>
                <w:sz w:val="18"/>
              </w:rPr>
              <w:t>Total current other liabilities</w:t>
            </w:r>
          </w:p>
        </w:tc>
        <w:tc>
          <w:tcPr>
            <w:tcW w:w="1653" w:type="dxa"/>
            <w:tcBorders>
              <w:top w:val="single" w:sz="1" w:space="0" w:color="000000"/>
              <w:bottom w:val="single" w:sz="1" w:space="0" w:color="000000"/>
            </w:tcBorders>
          </w:tcPr>
          <w:p>
            <w:pPr>
              <w:pStyle w:val="TableParagraph"/>
              <w:spacing w:before="124"/>
              <w:ind w:right="273"/>
              <w:jc w:val="right"/>
              <w:rPr>
                <w:b/>
                <w:sz w:val="18"/>
              </w:rPr>
            </w:pPr>
            <w:r>
              <w:rPr>
                <w:b/>
                <w:w w:val="95"/>
                <w:sz w:val="18"/>
              </w:rPr>
              <w:t>50,524</w:t>
            </w:r>
          </w:p>
        </w:tc>
        <w:tc>
          <w:tcPr>
            <w:tcW w:w="1387" w:type="dxa"/>
            <w:tcBorders>
              <w:top w:val="single" w:sz="1" w:space="0" w:color="000000"/>
              <w:bottom w:val="single" w:sz="1" w:space="0" w:color="000000"/>
            </w:tcBorders>
          </w:tcPr>
          <w:p>
            <w:pPr>
              <w:pStyle w:val="TableParagraph"/>
              <w:spacing w:before="124"/>
              <w:ind w:left="464"/>
              <w:rPr>
                <w:sz w:val="18"/>
              </w:rPr>
            </w:pPr>
            <w:r>
              <w:rPr>
                <w:sz w:val="18"/>
              </w:rPr>
              <w:t>48,850</w:t>
            </w:r>
          </w:p>
        </w:tc>
        <w:tc>
          <w:tcPr>
            <w:tcW w:w="1499" w:type="dxa"/>
            <w:tcBorders>
              <w:top w:val="single" w:sz="1" w:space="0" w:color="000000"/>
              <w:bottom w:val="single" w:sz="1" w:space="0" w:color="000000"/>
            </w:tcBorders>
          </w:tcPr>
          <w:p>
            <w:pPr>
              <w:pStyle w:val="TableParagraph"/>
              <w:spacing w:before="124"/>
              <w:ind w:left="543"/>
              <w:rPr>
                <w:b/>
                <w:sz w:val="18"/>
              </w:rPr>
            </w:pPr>
            <w:r>
              <w:rPr>
                <w:b/>
                <w:sz w:val="18"/>
              </w:rPr>
              <w:t>48,757</w:t>
            </w:r>
          </w:p>
        </w:tc>
        <w:tc>
          <w:tcPr>
            <w:tcW w:w="982" w:type="dxa"/>
            <w:tcBorders>
              <w:top w:val="single" w:sz="1" w:space="0" w:color="000000"/>
              <w:bottom w:val="single" w:sz="1" w:space="0" w:color="000000"/>
            </w:tcBorders>
          </w:tcPr>
          <w:p>
            <w:pPr>
              <w:pStyle w:val="TableParagraph"/>
              <w:spacing w:before="124"/>
              <w:ind w:left="338"/>
              <w:rPr>
                <w:sz w:val="18"/>
              </w:rPr>
            </w:pPr>
            <w:r>
              <w:rPr>
                <w:sz w:val="18"/>
              </w:rPr>
              <w:t>47,052</w:t>
            </w:r>
          </w:p>
        </w:tc>
      </w:tr>
      <w:tr>
        <w:trPr>
          <w:trHeight w:val="356" w:hRule="exact"/>
        </w:trPr>
        <w:tc>
          <w:tcPr>
            <w:tcW w:w="333" w:type="dxa"/>
          </w:tcPr>
          <w:p>
            <w:pPr/>
          </w:p>
        </w:tc>
        <w:tc>
          <w:tcPr>
            <w:tcW w:w="4085" w:type="dxa"/>
          </w:tcPr>
          <w:p>
            <w:pPr>
              <w:pStyle w:val="TableParagraph"/>
              <w:spacing w:before="125"/>
              <w:ind w:left="122"/>
              <w:rPr>
                <w:b/>
                <w:sz w:val="18"/>
              </w:rPr>
            </w:pPr>
            <w:r>
              <w:rPr>
                <w:b/>
                <w:sz w:val="18"/>
              </w:rPr>
              <w:t>Non-current</w:t>
            </w:r>
          </w:p>
        </w:tc>
        <w:tc>
          <w:tcPr>
            <w:tcW w:w="1653" w:type="dxa"/>
            <w:tcBorders>
              <w:top w:val="single" w:sz="1" w:space="0" w:color="000000"/>
            </w:tcBorders>
          </w:tcPr>
          <w:p>
            <w:pPr/>
          </w:p>
        </w:tc>
        <w:tc>
          <w:tcPr>
            <w:tcW w:w="1387" w:type="dxa"/>
            <w:tcBorders>
              <w:top w:val="single" w:sz="1" w:space="0" w:color="000000"/>
            </w:tcBorders>
          </w:tcPr>
          <w:p>
            <w:pPr/>
          </w:p>
        </w:tc>
        <w:tc>
          <w:tcPr>
            <w:tcW w:w="1499" w:type="dxa"/>
            <w:tcBorders>
              <w:top w:val="single" w:sz="1" w:space="0" w:color="000000"/>
            </w:tcBorders>
          </w:tcPr>
          <w:p>
            <w:pPr/>
          </w:p>
        </w:tc>
        <w:tc>
          <w:tcPr>
            <w:tcW w:w="982" w:type="dxa"/>
            <w:tcBorders>
              <w:top w:val="single" w:sz="1" w:space="0" w:color="000000"/>
            </w:tcBorders>
          </w:tcPr>
          <w:p>
            <w:pPr/>
          </w:p>
        </w:tc>
      </w:tr>
      <w:tr>
        <w:trPr>
          <w:trHeight w:val="260" w:hRule="exact"/>
        </w:trPr>
        <w:tc>
          <w:tcPr>
            <w:tcW w:w="333" w:type="dxa"/>
          </w:tcPr>
          <w:p>
            <w:pPr/>
          </w:p>
        </w:tc>
        <w:tc>
          <w:tcPr>
            <w:tcW w:w="4085" w:type="dxa"/>
          </w:tcPr>
          <w:p>
            <w:pPr>
              <w:pStyle w:val="TableParagraph"/>
              <w:spacing w:before="7"/>
              <w:ind w:left="122"/>
              <w:rPr>
                <w:sz w:val="18"/>
              </w:rPr>
            </w:pPr>
            <w:bookmarkStart w:name="29 Reserves and retained earnings " w:id="111"/>
            <w:bookmarkEnd w:id="111"/>
            <w:r>
              <w:rPr/>
            </w:r>
            <w:r>
              <w:rPr>
                <w:sz w:val="18"/>
              </w:rPr>
              <w:t>Deferred income</w:t>
            </w:r>
          </w:p>
        </w:tc>
        <w:tc>
          <w:tcPr>
            <w:tcW w:w="1653" w:type="dxa"/>
          </w:tcPr>
          <w:p>
            <w:pPr>
              <w:pStyle w:val="TableParagraph"/>
              <w:spacing w:before="4"/>
              <w:ind w:right="275"/>
              <w:jc w:val="right"/>
              <w:rPr>
                <w:b/>
                <w:sz w:val="18"/>
              </w:rPr>
            </w:pPr>
            <w:r>
              <w:rPr>
                <w:b/>
                <w:w w:val="95"/>
                <w:sz w:val="18"/>
              </w:rPr>
              <w:t>2,619</w:t>
            </w:r>
          </w:p>
        </w:tc>
        <w:tc>
          <w:tcPr>
            <w:tcW w:w="1387" w:type="dxa"/>
          </w:tcPr>
          <w:p>
            <w:pPr>
              <w:pStyle w:val="TableParagraph"/>
              <w:spacing w:before="4"/>
              <w:ind w:left="567"/>
              <w:rPr>
                <w:sz w:val="18"/>
              </w:rPr>
            </w:pPr>
            <w:r>
              <w:rPr>
                <w:sz w:val="18"/>
              </w:rPr>
              <w:t>2,793</w:t>
            </w:r>
          </w:p>
        </w:tc>
        <w:tc>
          <w:tcPr>
            <w:tcW w:w="1499" w:type="dxa"/>
          </w:tcPr>
          <w:p>
            <w:pPr>
              <w:pStyle w:val="TableParagraph"/>
              <w:spacing w:before="4"/>
              <w:ind w:left="641"/>
              <w:rPr>
                <w:b/>
                <w:sz w:val="18"/>
              </w:rPr>
            </w:pPr>
            <w:r>
              <w:rPr>
                <w:b/>
                <w:sz w:val="18"/>
              </w:rPr>
              <w:t>2,619</w:t>
            </w:r>
          </w:p>
        </w:tc>
        <w:tc>
          <w:tcPr>
            <w:tcW w:w="982" w:type="dxa"/>
          </w:tcPr>
          <w:p>
            <w:pPr>
              <w:pStyle w:val="TableParagraph"/>
              <w:spacing w:before="4"/>
              <w:ind w:right="84"/>
              <w:jc w:val="right"/>
              <w:rPr>
                <w:sz w:val="18"/>
              </w:rPr>
            </w:pPr>
            <w:r>
              <w:rPr>
                <w:w w:val="95"/>
                <w:sz w:val="18"/>
              </w:rPr>
              <w:t>2,793</w:t>
            </w:r>
          </w:p>
        </w:tc>
      </w:tr>
      <w:tr>
        <w:trPr>
          <w:trHeight w:val="269" w:hRule="exact"/>
        </w:trPr>
        <w:tc>
          <w:tcPr>
            <w:tcW w:w="333" w:type="dxa"/>
          </w:tcPr>
          <w:p>
            <w:pPr/>
          </w:p>
        </w:tc>
        <w:tc>
          <w:tcPr>
            <w:tcW w:w="4085" w:type="dxa"/>
          </w:tcPr>
          <w:p>
            <w:pPr>
              <w:pStyle w:val="TableParagraph"/>
              <w:spacing w:before="30"/>
              <w:ind w:left="122"/>
              <w:rPr>
                <w:sz w:val="18"/>
              </w:rPr>
            </w:pPr>
            <w:r>
              <w:rPr>
                <w:sz w:val="18"/>
              </w:rPr>
              <w:t>Lease incentives</w:t>
            </w:r>
          </w:p>
        </w:tc>
        <w:tc>
          <w:tcPr>
            <w:tcW w:w="1653" w:type="dxa"/>
            <w:tcBorders>
              <w:bottom w:val="single" w:sz="1" w:space="0" w:color="000000"/>
            </w:tcBorders>
          </w:tcPr>
          <w:p>
            <w:pPr>
              <w:pStyle w:val="TableParagraph"/>
              <w:spacing w:before="27"/>
              <w:ind w:right="275"/>
              <w:jc w:val="right"/>
              <w:rPr>
                <w:b/>
                <w:sz w:val="18"/>
              </w:rPr>
            </w:pPr>
            <w:r>
              <w:rPr>
                <w:b/>
                <w:w w:val="95"/>
                <w:sz w:val="18"/>
              </w:rPr>
              <w:t>46,506</w:t>
            </w:r>
          </w:p>
        </w:tc>
        <w:tc>
          <w:tcPr>
            <w:tcW w:w="1387" w:type="dxa"/>
            <w:tcBorders>
              <w:bottom w:val="single" w:sz="1" w:space="0" w:color="000000"/>
            </w:tcBorders>
          </w:tcPr>
          <w:p>
            <w:pPr>
              <w:pStyle w:val="TableParagraph"/>
              <w:spacing w:before="27"/>
              <w:ind w:left="567"/>
              <w:rPr>
                <w:sz w:val="18"/>
              </w:rPr>
            </w:pPr>
            <w:r>
              <w:rPr>
                <w:sz w:val="18"/>
              </w:rPr>
              <w:t>9,952</w:t>
            </w:r>
          </w:p>
        </w:tc>
        <w:tc>
          <w:tcPr>
            <w:tcW w:w="1499" w:type="dxa"/>
            <w:tcBorders>
              <w:bottom w:val="single" w:sz="1" w:space="0" w:color="000000"/>
            </w:tcBorders>
          </w:tcPr>
          <w:p>
            <w:pPr>
              <w:pStyle w:val="TableParagraph"/>
              <w:spacing w:before="27"/>
              <w:ind w:left="541"/>
              <w:rPr>
                <w:b/>
                <w:sz w:val="18"/>
              </w:rPr>
            </w:pPr>
            <w:r>
              <w:rPr>
                <w:b/>
                <w:sz w:val="18"/>
              </w:rPr>
              <w:t>46,506</w:t>
            </w:r>
          </w:p>
        </w:tc>
        <w:tc>
          <w:tcPr>
            <w:tcW w:w="982" w:type="dxa"/>
            <w:tcBorders>
              <w:bottom w:val="single" w:sz="1" w:space="0" w:color="000000"/>
            </w:tcBorders>
          </w:tcPr>
          <w:p>
            <w:pPr>
              <w:pStyle w:val="TableParagraph"/>
              <w:spacing w:before="27"/>
              <w:ind w:right="84"/>
              <w:jc w:val="right"/>
              <w:rPr>
                <w:sz w:val="18"/>
              </w:rPr>
            </w:pPr>
            <w:r>
              <w:rPr>
                <w:w w:val="95"/>
                <w:sz w:val="18"/>
              </w:rPr>
              <w:t>9,952</w:t>
            </w:r>
          </w:p>
        </w:tc>
      </w:tr>
      <w:tr>
        <w:trPr>
          <w:trHeight w:val="338" w:hRule="exact"/>
        </w:trPr>
        <w:tc>
          <w:tcPr>
            <w:tcW w:w="333" w:type="dxa"/>
          </w:tcPr>
          <w:p>
            <w:pPr/>
          </w:p>
        </w:tc>
        <w:tc>
          <w:tcPr>
            <w:tcW w:w="4085" w:type="dxa"/>
          </w:tcPr>
          <w:p>
            <w:pPr>
              <w:pStyle w:val="TableParagraph"/>
              <w:spacing w:before="96"/>
              <w:ind w:left="122"/>
              <w:rPr>
                <w:b/>
                <w:sz w:val="18"/>
              </w:rPr>
            </w:pPr>
            <w:bookmarkStart w:name="(a) Reserves" w:id="112"/>
            <w:bookmarkEnd w:id="112"/>
            <w:r>
              <w:rPr/>
            </w:r>
            <w:r>
              <w:rPr>
                <w:b/>
                <w:sz w:val="18"/>
              </w:rPr>
              <w:t>Total non-current other liabilities</w:t>
            </w:r>
          </w:p>
        </w:tc>
        <w:tc>
          <w:tcPr>
            <w:tcW w:w="1653" w:type="dxa"/>
            <w:tcBorders>
              <w:top w:val="single" w:sz="1" w:space="0" w:color="000000"/>
              <w:bottom w:val="single" w:sz="1" w:space="0" w:color="000000"/>
            </w:tcBorders>
          </w:tcPr>
          <w:p>
            <w:pPr>
              <w:pStyle w:val="TableParagraph"/>
              <w:spacing w:before="124"/>
              <w:ind w:right="275"/>
              <w:jc w:val="right"/>
              <w:rPr>
                <w:b/>
                <w:sz w:val="18"/>
              </w:rPr>
            </w:pPr>
            <w:r>
              <w:rPr>
                <w:b/>
                <w:w w:val="95"/>
                <w:sz w:val="18"/>
              </w:rPr>
              <w:t>49,125</w:t>
            </w:r>
          </w:p>
        </w:tc>
        <w:tc>
          <w:tcPr>
            <w:tcW w:w="1387" w:type="dxa"/>
            <w:tcBorders>
              <w:top w:val="single" w:sz="1" w:space="0" w:color="000000"/>
              <w:bottom w:val="single" w:sz="1" w:space="0" w:color="000000"/>
            </w:tcBorders>
          </w:tcPr>
          <w:p>
            <w:pPr>
              <w:pStyle w:val="TableParagraph"/>
              <w:spacing w:before="124"/>
              <w:ind w:left="466"/>
              <w:rPr>
                <w:sz w:val="18"/>
              </w:rPr>
            </w:pPr>
            <w:r>
              <w:rPr>
                <w:sz w:val="18"/>
              </w:rPr>
              <w:t>12,745</w:t>
            </w:r>
          </w:p>
        </w:tc>
        <w:tc>
          <w:tcPr>
            <w:tcW w:w="1499" w:type="dxa"/>
            <w:tcBorders>
              <w:top w:val="single" w:sz="1" w:space="0" w:color="000000"/>
              <w:bottom w:val="single" w:sz="1" w:space="0" w:color="000000"/>
            </w:tcBorders>
          </w:tcPr>
          <w:p>
            <w:pPr>
              <w:pStyle w:val="TableParagraph"/>
              <w:spacing w:before="124"/>
              <w:ind w:left="541"/>
              <w:rPr>
                <w:b/>
                <w:sz w:val="18"/>
              </w:rPr>
            </w:pPr>
            <w:r>
              <w:rPr>
                <w:b/>
                <w:sz w:val="18"/>
              </w:rPr>
              <w:t>49,125</w:t>
            </w:r>
          </w:p>
        </w:tc>
        <w:tc>
          <w:tcPr>
            <w:tcW w:w="982" w:type="dxa"/>
            <w:tcBorders>
              <w:top w:val="single" w:sz="1" w:space="0" w:color="000000"/>
              <w:bottom w:val="single" w:sz="1" w:space="0" w:color="000000"/>
            </w:tcBorders>
          </w:tcPr>
          <w:p>
            <w:pPr>
              <w:pStyle w:val="TableParagraph"/>
              <w:spacing w:before="124"/>
              <w:ind w:left="340"/>
              <w:rPr>
                <w:sz w:val="18"/>
              </w:rPr>
            </w:pPr>
            <w:r>
              <w:rPr>
                <w:sz w:val="18"/>
              </w:rPr>
              <w:t>12,745</w:t>
            </w:r>
          </w:p>
        </w:tc>
      </w:tr>
      <w:tr>
        <w:trPr>
          <w:trHeight w:val="298" w:hRule="exact"/>
        </w:trPr>
        <w:tc>
          <w:tcPr>
            <w:tcW w:w="333" w:type="dxa"/>
          </w:tcPr>
          <w:p>
            <w:pPr/>
          </w:p>
        </w:tc>
        <w:tc>
          <w:tcPr>
            <w:tcW w:w="4085" w:type="dxa"/>
          </w:tcPr>
          <w:p>
            <w:pPr>
              <w:pStyle w:val="TableParagraph"/>
              <w:spacing w:before="43"/>
              <w:ind w:left="122"/>
              <w:rPr>
                <w:b/>
                <w:sz w:val="18"/>
              </w:rPr>
            </w:pPr>
            <w:r>
              <w:rPr>
                <w:b/>
                <w:sz w:val="18"/>
              </w:rPr>
              <w:t>Total other liabilities</w:t>
            </w:r>
          </w:p>
        </w:tc>
        <w:tc>
          <w:tcPr>
            <w:tcW w:w="1653" w:type="dxa"/>
            <w:tcBorders>
              <w:top w:val="single" w:sz="1" w:space="0" w:color="000000"/>
              <w:bottom w:val="single" w:sz="1" w:space="0" w:color="000000"/>
            </w:tcBorders>
          </w:tcPr>
          <w:p>
            <w:pPr>
              <w:pStyle w:val="TableParagraph"/>
              <w:spacing w:before="40"/>
              <w:ind w:right="275"/>
              <w:jc w:val="right"/>
              <w:rPr>
                <w:b/>
                <w:sz w:val="18"/>
              </w:rPr>
            </w:pPr>
            <w:r>
              <w:rPr>
                <w:b/>
                <w:w w:val="95"/>
                <w:sz w:val="18"/>
              </w:rPr>
              <w:t>99,649</w:t>
            </w:r>
          </w:p>
        </w:tc>
        <w:tc>
          <w:tcPr>
            <w:tcW w:w="1387" w:type="dxa"/>
            <w:tcBorders>
              <w:top w:val="single" w:sz="1" w:space="0" w:color="000000"/>
              <w:bottom w:val="single" w:sz="1" w:space="0" w:color="000000"/>
            </w:tcBorders>
          </w:tcPr>
          <w:p>
            <w:pPr>
              <w:pStyle w:val="TableParagraph"/>
              <w:spacing w:before="40"/>
              <w:ind w:left="466"/>
              <w:rPr>
                <w:sz w:val="18"/>
              </w:rPr>
            </w:pPr>
            <w:r>
              <w:rPr>
                <w:sz w:val="18"/>
              </w:rPr>
              <w:t>61,595</w:t>
            </w:r>
          </w:p>
        </w:tc>
        <w:tc>
          <w:tcPr>
            <w:tcW w:w="1499" w:type="dxa"/>
            <w:tcBorders>
              <w:top w:val="single" w:sz="1" w:space="0" w:color="000000"/>
              <w:bottom w:val="single" w:sz="1" w:space="0" w:color="000000"/>
            </w:tcBorders>
          </w:tcPr>
          <w:p>
            <w:pPr>
              <w:pStyle w:val="TableParagraph"/>
              <w:spacing w:before="40"/>
              <w:ind w:left="541"/>
              <w:rPr>
                <w:b/>
                <w:sz w:val="18"/>
              </w:rPr>
            </w:pPr>
            <w:r>
              <w:rPr>
                <w:b/>
                <w:sz w:val="18"/>
              </w:rPr>
              <w:t>97,882</w:t>
            </w:r>
          </w:p>
        </w:tc>
        <w:tc>
          <w:tcPr>
            <w:tcW w:w="982" w:type="dxa"/>
            <w:tcBorders>
              <w:top w:val="single" w:sz="1" w:space="0" w:color="000000"/>
              <w:bottom w:val="single" w:sz="1" w:space="0" w:color="000000"/>
            </w:tcBorders>
          </w:tcPr>
          <w:p>
            <w:pPr>
              <w:pStyle w:val="TableParagraph"/>
              <w:spacing w:before="40"/>
              <w:ind w:left="340"/>
              <w:rPr>
                <w:sz w:val="18"/>
              </w:rPr>
            </w:pPr>
            <w:r>
              <w:rPr>
                <w:sz w:val="18"/>
              </w:rPr>
              <w:t>59,797</w:t>
            </w:r>
          </w:p>
        </w:tc>
      </w:tr>
      <w:tr>
        <w:trPr>
          <w:trHeight w:val="685" w:hRule="exact"/>
        </w:trPr>
        <w:tc>
          <w:tcPr>
            <w:tcW w:w="333" w:type="dxa"/>
          </w:tcPr>
          <w:p>
            <w:pPr>
              <w:pStyle w:val="TableParagraph"/>
              <w:rPr>
                <w:rFonts w:ascii="Times New Roman"/>
                <w:sz w:val="18"/>
              </w:rPr>
            </w:pPr>
          </w:p>
          <w:p>
            <w:pPr>
              <w:pStyle w:val="TableParagraph"/>
              <w:spacing w:before="107"/>
              <w:ind w:left="16" w:right="75"/>
              <w:jc w:val="center"/>
              <w:rPr>
                <w:b/>
                <w:sz w:val="18"/>
              </w:rPr>
            </w:pPr>
            <w:r>
              <w:rPr>
                <w:b/>
                <w:sz w:val="18"/>
              </w:rPr>
              <w:t>29</w:t>
            </w:r>
          </w:p>
        </w:tc>
        <w:tc>
          <w:tcPr>
            <w:tcW w:w="4085" w:type="dxa"/>
          </w:tcPr>
          <w:p>
            <w:pPr>
              <w:pStyle w:val="TableParagraph"/>
              <w:rPr>
                <w:rFonts w:ascii="Times New Roman"/>
                <w:sz w:val="18"/>
              </w:rPr>
            </w:pPr>
          </w:p>
          <w:p>
            <w:pPr>
              <w:pStyle w:val="TableParagraph"/>
              <w:spacing w:before="107"/>
              <w:ind w:left="96"/>
              <w:rPr>
                <w:b/>
                <w:sz w:val="18"/>
              </w:rPr>
            </w:pPr>
            <w:r>
              <w:rPr>
                <w:b/>
                <w:sz w:val="18"/>
              </w:rPr>
              <w:t>Reserves and retained earnings</w:t>
            </w:r>
          </w:p>
        </w:tc>
        <w:tc>
          <w:tcPr>
            <w:tcW w:w="1653" w:type="dxa"/>
            <w:tcBorders>
              <w:top w:val="single" w:sz="1" w:space="0" w:color="000000"/>
            </w:tcBorders>
          </w:tcPr>
          <w:p>
            <w:pPr/>
          </w:p>
        </w:tc>
        <w:tc>
          <w:tcPr>
            <w:tcW w:w="1387" w:type="dxa"/>
            <w:tcBorders>
              <w:top w:val="single" w:sz="1" w:space="0" w:color="000000"/>
            </w:tcBorders>
          </w:tcPr>
          <w:p>
            <w:pPr/>
          </w:p>
        </w:tc>
        <w:tc>
          <w:tcPr>
            <w:tcW w:w="1499" w:type="dxa"/>
            <w:tcBorders>
              <w:top w:val="single" w:sz="1" w:space="0" w:color="000000"/>
            </w:tcBorders>
          </w:tcPr>
          <w:p>
            <w:pPr/>
          </w:p>
        </w:tc>
        <w:tc>
          <w:tcPr>
            <w:tcW w:w="982" w:type="dxa"/>
            <w:tcBorders>
              <w:top w:val="single" w:sz="1" w:space="0" w:color="000000"/>
            </w:tcBorders>
          </w:tcPr>
          <w:p>
            <w:pPr/>
          </w:p>
        </w:tc>
      </w:tr>
      <w:tr>
        <w:trPr>
          <w:trHeight w:val="379" w:hRule="exact"/>
        </w:trPr>
        <w:tc>
          <w:tcPr>
            <w:tcW w:w="333" w:type="dxa"/>
          </w:tcPr>
          <w:p>
            <w:pPr/>
          </w:p>
        </w:tc>
        <w:tc>
          <w:tcPr>
            <w:tcW w:w="4085" w:type="dxa"/>
          </w:tcPr>
          <w:p>
            <w:pPr>
              <w:pStyle w:val="TableParagraph"/>
              <w:tabs>
                <w:tab w:pos="662" w:val="left" w:leader="none"/>
              </w:tabs>
              <w:spacing w:before="144"/>
              <w:ind w:left="96"/>
              <w:rPr>
                <w:sz w:val="18"/>
              </w:rPr>
            </w:pPr>
            <w:r>
              <w:rPr>
                <w:sz w:val="18"/>
              </w:rPr>
              <w:t>(a)</w:t>
              <w:tab/>
              <w:t>Reserves</w:t>
            </w:r>
          </w:p>
        </w:tc>
        <w:tc>
          <w:tcPr>
            <w:tcW w:w="1653" w:type="dxa"/>
          </w:tcPr>
          <w:p>
            <w:pPr/>
          </w:p>
        </w:tc>
        <w:tc>
          <w:tcPr>
            <w:tcW w:w="1387" w:type="dxa"/>
          </w:tcPr>
          <w:p>
            <w:pPr/>
          </w:p>
        </w:tc>
        <w:tc>
          <w:tcPr>
            <w:tcW w:w="1499" w:type="dxa"/>
          </w:tcPr>
          <w:p>
            <w:pPr/>
          </w:p>
        </w:tc>
        <w:tc>
          <w:tcPr>
            <w:tcW w:w="982" w:type="dxa"/>
          </w:tcPr>
          <w:p>
            <w:pPr/>
          </w:p>
        </w:tc>
      </w:tr>
      <w:tr>
        <w:trPr>
          <w:trHeight w:val="259" w:hRule="exact"/>
        </w:trPr>
        <w:tc>
          <w:tcPr>
            <w:tcW w:w="333" w:type="dxa"/>
          </w:tcPr>
          <w:p>
            <w:pPr/>
          </w:p>
        </w:tc>
        <w:tc>
          <w:tcPr>
            <w:tcW w:w="4085" w:type="dxa"/>
          </w:tcPr>
          <w:p>
            <w:pPr/>
          </w:p>
        </w:tc>
        <w:tc>
          <w:tcPr>
            <w:tcW w:w="3040" w:type="dxa"/>
            <w:gridSpan w:val="2"/>
          </w:tcPr>
          <w:p>
            <w:pPr>
              <w:pStyle w:val="TableParagraph"/>
              <w:spacing w:before="9"/>
              <w:ind w:left="820"/>
              <w:rPr>
                <w:b/>
                <w:sz w:val="18"/>
              </w:rPr>
            </w:pPr>
            <w:r>
              <w:rPr>
                <w:b/>
                <w:sz w:val="18"/>
              </w:rPr>
              <w:t>Consolidated</w:t>
            </w:r>
          </w:p>
        </w:tc>
        <w:tc>
          <w:tcPr>
            <w:tcW w:w="1499" w:type="dxa"/>
          </w:tcPr>
          <w:p>
            <w:pPr>
              <w:pStyle w:val="TableParagraph"/>
              <w:spacing w:before="9"/>
              <w:ind w:right="103"/>
              <w:jc w:val="right"/>
              <w:rPr>
                <w:b/>
                <w:sz w:val="18"/>
              </w:rPr>
            </w:pPr>
            <w:r>
              <w:rPr>
                <w:b/>
                <w:w w:val="95"/>
                <w:sz w:val="18"/>
              </w:rPr>
              <w:t>Parent</w:t>
            </w:r>
          </w:p>
        </w:tc>
        <w:tc>
          <w:tcPr>
            <w:tcW w:w="982" w:type="dxa"/>
          </w:tcPr>
          <w:p>
            <w:pPr/>
          </w:p>
        </w:tc>
      </w:tr>
      <w:tr>
        <w:trPr>
          <w:trHeight w:val="274" w:hRule="exact"/>
        </w:trPr>
        <w:tc>
          <w:tcPr>
            <w:tcW w:w="333" w:type="dxa"/>
          </w:tcPr>
          <w:p>
            <w:pPr/>
          </w:p>
        </w:tc>
        <w:tc>
          <w:tcPr>
            <w:tcW w:w="4085" w:type="dxa"/>
          </w:tcPr>
          <w:p>
            <w:pPr/>
          </w:p>
        </w:tc>
        <w:tc>
          <w:tcPr>
            <w:tcW w:w="1653" w:type="dxa"/>
          </w:tcPr>
          <w:p>
            <w:pPr>
              <w:pStyle w:val="TableParagraph"/>
              <w:spacing w:before="24"/>
              <w:ind w:left="609"/>
              <w:rPr>
                <w:b/>
                <w:sz w:val="18"/>
              </w:rPr>
            </w:pPr>
            <w:r>
              <w:rPr>
                <w:b/>
                <w:sz w:val="18"/>
              </w:rPr>
              <w:t>2017</w:t>
            </w:r>
          </w:p>
        </w:tc>
        <w:tc>
          <w:tcPr>
            <w:tcW w:w="1387" w:type="dxa"/>
          </w:tcPr>
          <w:p>
            <w:pPr>
              <w:pStyle w:val="TableParagraph"/>
              <w:spacing w:before="24"/>
              <w:ind w:left="241"/>
              <w:rPr>
                <w:b/>
                <w:sz w:val="18"/>
              </w:rPr>
            </w:pPr>
            <w:r>
              <w:rPr>
                <w:b/>
                <w:sz w:val="18"/>
              </w:rPr>
              <w:t>2016</w:t>
            </w:r>
          </w:p>
        </w:tc>
        <w:tc>
          <w:tcPr>
            <w:tcW w:w="1499" w:type="dxa"/>
          </w:tcPr>
          <w:p>
            <w:pPr>
              <w:pStyle w:val="TableParagraph"/>
              <w:spacing w:before="24"/>
              <w:ind w:left="329"/>
              <w:rPr>
                <w:b/>
                <w:sz w:val="18"/>
              </w:rPr>
            </w:pPr>
            <w:r>
              <w:rPr>
                <w:b/>
                <w:sz w:val="18"/>
              </w:rPr>
              <w:t>2017</w:t>
            </w:r>
          </w:p>
        </w:tc>
        <w:tc>
          <w:tcPr>
            <w:tcW w:w="982" w:type="dxa"/>
          </w:tcPr>
          <w:p>
            <w:pPr>
              <w:pStyle w:val="TableParagraph"/>
              <w:spacing w:before="24"/>
              <w:ind w:left="115"/>
              <w:rPr>
                <w:b/>
                <w:sz w:val="18"/>
              </w:rPr>
            </w:pPr>
            <w:r>
              <w:rPr>
                <w:b/>
                <w:sz w:val="18"/>
              </w:rPr>
              <w:t>2016</w:t>
            </w:r>
          </w:p>
        </w:tc>
      </w:tr>
      <w:tr>
        <w:trPr>
          <w:trHeight w:val="271" w:hRule="exact"/>
        </w:trPr>
        <w:tc>
          <w:tcPr>
            <w:tcW w:w="333" w:type="dxa"/>
          </w:tcPr>
          <w:p>
            <w:pPr/>
          </w:p>
        </w:tc>
        <w:tc>
          <w:tcPr>
            <w:tcW w:w="4085" w:type="dxa"/>
          </w:tcPr>
          <w:p>
            <w:pPr/>
          </w:p>
        </w:tc>
        <w:tc>
          <w:tcPr>
            <w:tcW w:w="1653" w:type="dxa"/>
          </w:tcPr>
          <w:p>
            <w:pPr>
              <w:pStyle w:val="TableParagraph"/>
              <w:spacing w:before="24"/>
              <w:ind w:left="588"/>
              <w:rPr>
                <w:b/>
                <w:sz w:val="18"/>
              </w:rPr>
            </w:pPr>
            <w:r>
              <w:rPr>
                <w:b/>
                <w:sz w:val="18"/>
              </w:rPr>
              <w:t>$'000</w:t>
            </w:r>
          </w:p>
        </w:tc>
        <w:tc>
          <w:tcPr>
            <w:tcW w:w="1387" w:type="dxa"/>
          </w:tcPr>
          <w:p>
            <w:pPr>
              <w:pStyle w:val="TableParagraph"/>
              <w:spacing w:before="24"/>
              <w:ind w:left="219"/>
              <w:rPr>
                <w:b/>
                <w:sz w:val="18"/>
              </w:rPr>
            </w:pPr>
            <w:r>
              <w:rPr>
                <w:b/>
                <w:sz w:val="18"/>
              </w:rPr>
              <w:t>$'000</w:t>
            </w:r>
          </w:p>
        </w:tc>
        <w:tc>
          <w:tcPr>
            <w:tcW w:w="1499" w:type="dxa"/>
          </w:tcPr>
          <w:p>
            <w:pPr>
              <w:pStyle w:val="TableParagraph"/>
              <w:spacing w:before="24"/>
              <w:ind w:left="308"/>
              <w:rPr>
                <w:b/>
                <w:sz w:val="18"/>
              </w:rPr>
            </w:pPr>
            <w:r>
              <w:rPr>
                <w:b/>
                <w:sz w:val="18"/>
              </w:rPr>
              <w:t>$'000</w:t>
            </w:r>
          </w:p>
        </w:tc>
        <w:tc>
          <w:tcPr>
            <w:tcW w:w="982" w:type="dxa"/>
          </w:tcPr>
          <w:p>
            <w:pPr>
              <w:pStyle w:val="TableParagraph"/>
              <w:spacing w:before="24"/>
              <w:ind w:left="93"/>
              <w:rPr>
                <w:b/>
                <w:sz w:val="18"/>
              </w:rPr>
            </w:pPr>
            <w:r>
              <w:rPr>
                <w:b/>
                <w:sz w:val="18"/>
              </w:rPr>
              <w:t>$'000</w:t>
            </w:r>
          </w:p>
        </w:tc>
      </w:tr>
      <w:tr>
        <w:trPr>
          <w:trHeight w:val="266" w:hRule="exact"/>
        </w:trPr>
        <w:tc>
          <w:tcPr>
            <w:tcW w:w="333" w:type="dxa"/>
          </w:tcPr>
          <w:p>
            <w:pPr/>
          </w:p>
        </w:tc>
        <w:tc>
          <w:tcPr>
            <w:tcW w:w="4085" w:type="dxa"/>
          </w:tcPr>
          <w:p>
            <w:pPr>
              <w:pStyle w:val="TableParagraph"/>
              <w:spacing w:before="24"/>
              <w:ind w:right="737"/>
              <w:jc w:val="right"/>
              <w:rPr>
                <w:sz w:val="18"/>
              </w:rPr>
            </w:pPr>
            <w:r>
              <w:rPr>
                <w:sz w:val="18"/>
              </w:rPr>
              <w:t>Deferred superannuation reserve</w:t>
            </w:r>
          </w:p>
        </w:tc>
        <w:tc>
          <w:tcPr>
            <w:tcW w:w="1653" w:type="dxa"/>
          </w:tcPr>
          <w:p>
            <w:pPr>
              <w:pStyle w:val="TableParagraph"/>
              <w:spacing w:before="21"/>
              <w:ind w:right="217"/>
              <w:jc w:val="right"/>
              <w:rPr>
                <w:b/>
                <w:sz w:val="18"/>
              </w:rPr>
            </w:pPr>
            <w:r>
              <w:rPr>
                <w:b/>
                <w:w w:val="95"/>
                <w:sz w:val="18"/>
              </w:rPr>
              <w:t>(2,093)</w:t>
            </w:r>
          </w:p>
        </w:tc>
        <w:tc>
          <w:tcPr>
            <w:tcW w:w="1387" w:type="dxa"/>
          </w:tcPr>
          <w:p>
            <w:pPr>
              <w:pStyle w:val="TableParagraph"/>
              <w:spacing w:before="21"/>
              <w:ind w:right="306"/>
              <w:jc w:val="right"/>
              <w:rPr>
                <w:sz w:val="18"/>
              </w:rPr>
            </w:pPr>
            <w:r>
              <w:rPr>
                <w:w w:val="95"/>
                <w:sz w:val="18"/>
              </w:rPr>
              <w:t>(646)</w:t>
            </w:r>
          </w:p>
        </w:tc>
        <w:tc>
          <w:tcPr>
            <w:tcW w:w="1499" w:type="dxa"/>
          </w:tcPr>
          <w:p>
            <w:pPr>
              <w:pStyle w:val="TableParagraph"/>
              <w:spacing w:before="21"/>
              <w:ind w:left="579"/>
              <w:rPr>
                <w:b/>
                <w:sz w:val="18"/>
              </w:rPr>
            </w:pPr>
            <w:r>
              <w:rPr>
                <w:b/>
                <w:sz w:val="18"/>
              </w:rPr>
              <w:t>(2,093)</w:t>
            </w:r>
          </w:p>
        </w:tc>
        <w:tc>
          <w:tcPr>
            <w:tcW w:w="982" w:type="dxa"/>
          </w:tcPr>
          <w:p>
            <w:pPr>
              <w:pStyle w:val="TableParagraph"/>
              <w:spacing w:before="21"/>
              <w:ind w:right="26"/>
              <w:jc w:val="right"/>
              <w:rPr>
                <w:sz w:val="18"/>
              </w:rPr>
            </w:pPr>
            <w:r>
              <w:rPr>
                <w:sz w:val="18"/>
              </w:rPr>
              <w:t>(646)</w:t>
            </w:r>
          </w:p>
        </w:tc>
      </w:tr>
      <w:tr>
        <w:trPr>
          <w:trHeight w:val="466" w:hRule="exact"/>
        </w:trPr>
        <w:tc>
          <w:tcPr>
            <w:tcW w:w="333" w:type="dxa"/>
          </w:tcPr>
          <w:p>
            <w:pPr/>
          </w:p>
        </w:tc>
        <w:tc>
          <w:tcPr>
            <w:tcW w:w="4085" w:type="dxa"/>
          </w:tcPr>
          <w:p>
            <w:pPr>
              <w:pStyle w:val="TableParagraph"/>
              <w:spacing w:before="16"/>
              <w:ind w:left="688" w:right="685"/>
              <w:rPr>
                <w:sz w:val="18"/>
              </w:rPr>
            </w:pPr>
            <w:r>
              <w:rPr>
                <w:sz w:val="18"/>
              </w:rPr>
              <w:t>Property development revaluation reserve</w:t>
            </w:r>
          </w:p>
        </w:tc>
        <w:tc>
          <w:tcPr>
            <w:tcW w:w="1653" w:type="dxa"/>
          </w:tcPr>
          <w:p>
            <w:pPr>
              <w:pStyle w:val="TableParagraph"/>
              <w:spacing w:before="2"/>
              <w:rPr>
                <w:rFonts w:ascii="Times New Roman"/>
                <w:sz w:val="19"/>
              </w:rPr>
            </w:pPr>
          </w:p>
          <w:p>
            <w:pPr>
              <w:pStyle w:val="TableParagraph"/>
              <w:ind w:right="277"/>
              <w:jc w:val="right"/>
              <w:rPr>
                <w:b/>
                <w:sz w:val="18"/>
              </w:rPr>
            </w:pPr>
            <w:r>
              <w:rPr>
                <w:b/>
                <w:w w:val="95"/>
                <w:sz w:val="18"/>
              </w:rPr>
              <w:t>32,158</w:t>
            </w:r>
          </w:p>
        </w:tc>
        <w:tc>
          <w:tcPr>
            <w:tcW w:w="1387" w:type="dxa"/>
          </w:tcPr>
          <w:p>
            <w:pPr>
              <w:pStyle w:val="TableParagraph"/>
              <w:spacing w:before="2"/>
              <w:rPr>
                <w:rFonts w:ascii="Times New Roman"/>
                <w:sz w:val="19"/>
              </w:rPr>
            </w:pPr>
          </w:p>
          <w:p>
            <w:pPr>
              <w:pStyle w:val="TableParagraph"/>
              <w:ind w:left="464"/>
              <w:rPr>
                <w:sz w:val="18"/>
              </w:rPr>
            </w:pPr>
            <w:r>
              <w:rPr>
                <w:sz w:val="18"/>
              </w:rPr>
              <w:t>71,459</w:t>
            </w:r>
          </w:p>
        </w:tc>
        <w:tc>
          <w:tcPr>
            <w:tcW w:w="1499" w:type="dxa"/>
          </w:tcPr>
          <w:p>
            <w:pPr>
              <w:pStyle w:val="TableParagraph"/>
              <w:spacing w:before="2"/>
              <w:rPr>
                <w:rFonts w:ascii="Times New Roman"/>
                <w:sz w:val="19"/>
              </w:rPr>
            </w:pPr>
          </w:p>
          <w:p>
            <w:pPr>
              <w:pStyle w:val="TableParagraph"/>
              <w:ind w:left="538"/>
              <w:rPr>
                <w:b/>
                <w:sz w:val="18"/>
              </w:rPr>
            </w:pPr>
            <w:r>
              <w:rPr>
                <w:b/>
                <w:sz w:val="18"/>
              </w:rPr>
              <w:t>32,158</w:t>
            </w:r>
          </w:p>
        </w:tc>
        <w:tc>
          <w:tcPr>
            <w:tcW w:w="982" w:type="dxa"/>
          </w:tcPr>
          <w:p>
            <w:pPr>
              <w:pStyle w:val="TableParagraph"/>
              <w:spacing w:before="2"/>
              <w:rPr>
                <w:rFonts w:ascii="Times New Roman"/>
                <w:sz w:val="19"/>
              </w:rPr>
            </w:pPr>
          </w:p>
          <w:p>
            <w:pPr>
              <w:pStyle w:val="TableParagraph"/>
              <w:ind w:left="338"/>
              <w:rPr>
                <w:sz w:val="18"/>
              </w:rPr>
            </w:pPr>
            <w:r>
              <w:rPr>
                <w:sz w:val="18"/>
              </w:rPr>
              <w:t>71,459</w:t>
            </w:r>
          </w:p>
        </w:tc>
      </w:tr>
      <w:tr>
        <w:trPr>
          <w:trHeight w:val="467" w:hRule="exact"/>
        </w:trPr>
        <w:tc>
          <w:tcPr>
            <w:tcW w:w="333" w:type="dxa"/>
          </w:tcPr>
          <w:p>
            <w:pPr/>
          </w:p>
        </w:tc>
        <w:tc>
          <w:tcPr>
            <w:tcW w:w="4085" w:type="dxa"/>
          </w:tcPr>
          <w:p>
            <w:pPr>
              <w:pStyle w:val="TableParagraph"/>
              <w:spacing w:before="16"/>
              <w:ind w:left="688" w:right="965"/>
              <w:rPr>
                <w:sz w:val="18"/>
              </w:rPr>
            </w:pPr>
            <w:r>
              <w:rPr>
                <w:sz w:val="18"/>
              </w:rPr>
              <w:t>Property, plant and equipment revaluation surplus</w:t>
            </w:r>
          </w:p>
        </w:tc>
        <w:tc>
          <w:tcPr>
            <w:tcW w:w="1653" w:type="dxa"/>
          </w:tcPr>
          <w:p>
            <w:pPr>
              <w:pStyle w:val="TableParagraph"/>
              <w:spacing w:before="2"/>
              <w:rPr>
                <w:rFonts w:ascii="Times New Roman"/>
                <w:sz w:val="19"/>
              </w:rPr>
            </w:pPr>
          </w:p>
          <w:p>
            <w:pPr>
              <w:pStyle w:val="TableParagraph"/>
              <w:ind w:right="277"/>
              <w:jc w:val="right"/>
              <w:rPr>
                <w:b/>
                <w:sz w:val="18"/>
              </w:rPr>
            </w:pPr>
            <w:r>
              <w:rPr>
                <w:b/>
                <w:w w:val="95"/>
                <w:sz w:val="18"/>
              </w:rPr>
              <w:t>813,272</w:t>
            </w:r>
          </w:p>
        </w:tc>
        <w:tc>
          <w:tcPr>
            <w:tcW w:w="1387" w:type="dxa"/>
          </w:tcPr>
          <w:p>
            <w:pPr>
              <w:pStyle w:val="TableParagraph"/>
              <w:spacing w:before="2"/>
              <w:rPr>
                <w:rFonts w:ascii="Times New Roman"/>
                <w:sz w:val="19"/>
              </w:rPr>
            </w:pPr>
          </w:p>
          <w:p>
            <w:pPr>
              <w:pStyle w:val="TableParagraph"/>
              <w:ind w:left="363"/>
              <w:rPr>
                <w:sz w:val="18"/>
              </w:rPr>
            </w:pPr>
            <w:r>
              <w:rPr>
                <w:sz w:val="18"/>
              </w:rPr>
              <w:t>617,516</w:t>
            </w:r>
          </w:p>
        </w:tc>
        <w:tc>
          <w:tcPr>
            <w:tcW w:w="1499" w:type="dxa"/>
          </w:tcPr>
          <w:p>
            <w:pPr>
              <w:pStyle w:val="TableParagraph"/>
              <w:spacing w:before="2"/>
              <w:rPr>
                <w:rFonts w:ascii="Times New Roman"/>
                <w:sz w:val="19"/>
              </w:rPr>
            </w:pPr>
          </w:p>
          <w:p>
            <w:pPr>
              <w:pStyle w:val="TableParagraph"/>
              <w:ind w:left="437"/>
              <w:rPr>
                <w:b/>
                <w:sz w:val="18"/>
              </w:rPr>
            </w:pPr>
            <w:r>
              <w:rPr>
                <w:b/>
                <w:sz w:val="18"/>
              </w:rPr>
              <w:t>813,076</w:t>
            </w:r>
          </w:p>
        </w:tc>
        <w:tc>
          <w:tcPr>
            <w:tcW w:w="982" w:type="dxa"/>
          </w:tcPr>
          <w:p>
            <w:pPr>
              <w:pStyle w:val="TableParagraph"/>
              <w:spacing w:before="2"/>
              <w:rPr>
                <w:rFonts w:ascii="Times New Roman"/>
                <w:sz w:val="19"/>
              </w:rPr>
            </w:pPr>
          </w:p>
          <w:p>
            <w:pPr>
              <w:pStyle w:val="TableParagraph"/>
              <w:ind w:left="237"/>
              <w:rPr>
                <w:sz w:val="18"/>
              </w:rPr>
            </w:pPr>
            <w:r>
              <w:rPr>
                <w:sz w:val="18"/>
              </w:rPr>
              <w:t>617,320</w:t>
            </w:r>
          </w:p>
        </w:tc>
      </w:tr>
      <w:tr>
        <w:trPr>
          <w:trHeight w:val="264" w:hRule="exact"/>
        </w:trPr>
        <w:tc>
          <w:tcPr>
            <w:tcW w:w="333" w:type="dxa"/>
          </w:tcPr>
          <w:p>
            <w:pPr/>
          </w:p>
        </w:tc>
        <w:tc>
          <w:tcPr>
            <w:tcW w:w="4085" w:type="dxa"/>
          </w:tcPr>
          <w:p>
            <w:pPr>
              <w:pStyle w:val="TableParagraph"/>
              <w:spacing w:before="20"/>
              <w:ind w:left="688"/>
              <w:rPr>
                <w:sz w:val="18"/>
              </w:rPr>
            </w:pPr>
            <w:r>
              <w:rPr>
                <w:sz w:val="18"/>
              </w:rPr>
              <w:t>Investment revaluation reserve</w:t>
            </w:r>
          </w:p>
        </w:tc>
        <w:tc>
          <w:tcPr>
            <w:tcW w:w="1653" w:type="dxa"/>
          </w:tcPr>
          <w:p>
            <w:pPr>
              <w:pStyle w:val="TableParagraph"/>
              <w:spacing w:before="18"/>
              <w:ind w:right="277"/>
              <w:jc w:val="right"/>
              <w:rPr>
                <w:b/>
                <w:sz w:val="18"/>
              </w:rPr>
            </w:pPr>
            <w:r>
              <w:rPr>
                <w:b/>
                <w:w w:val="95"/>
                <w:sz w:val="18"/>
              </w:rPr>
              <w:t>19,500</w:t>
            </w:r>
          </w:p>
        </w:tc>
        <w:tc>
          <w:tcPr>
            <w:tcW w:w="1387" w:type="dxa"/>
          </w:tcPr>
          <w:p>
            <w:pPr>
              <w:pStyle w:val="TableParagraph"/>
              <w:spacing w:before="18"/>
              <w:ind w:left="464"/>
              <w:rPr>
                <w:sz w:val="18"/>
              </w:rPr>
            </w:pPr>
            <w:r>
              <w:rPr>
                <w:sz w:val="18"/>
              </w:rPr>
              <w:t>16,767</w:t>
            </w:r>
          </w:p>
        </w:tc>
        <w:tc>
          <w:tcPr>
            <w:tcW w:w="1499" w:type="dxa"/>
          </w:tcPr>
          <w:p>
            <w:pPr>
              <w:pStyle w:val="TableParagraph"/>
              <w:spacing w:before="18"/>
              <w:ind w:left="538"/>
              <w:rPr>
                <w:b/>
                <w:sz w:val="18"/>
              </w:rPr>
            </w:pPr>
            <w:r>
              <w:rPr>
                <w:b/>
                <w:sz w:val="18"/>
              </w:rPr>
              <w:t>15,447</w:t>
            </w:r>
          </w:p>
        </w:tc>
        <w:tc>
          <w:tcPr>
            <w:tcW w:w="982" w:type="dxa"/>
          </w:tcPr>
          <w:p>
            <w:pPr>
              <w:pStyle w:val="TableParagraph"/>
              <w:spacing w:before="18"/>
              <w:ind w:left="338"/>
              <w:rPr>
                <w:sz w:val="18"/>
              </w:rPr>
            </w:pPr>
            <w:r>
              <w:rPr>
                <w:sz w:val="18"/>
              </w:rPr>
              <w:t>12,714</w:t>
            </w:r>
          </w:p>
        </w:tc>
      </w:tr>
      <w:tr>
        <w:trPr>
          <w:trHeight w:val="264" w:hRule="exact"/>
        </w:trPr>
        <w:tc>
          <w:tcPr>
            <w:tcW w:w="333" w:type="dxa"/>
          </w:tcPr>
          <w:p>
            <w:pPr/>
          </w:p>
        </w:tc>
        <w:tc>
          <w:tcPr>
            <w:tcW w:w="4085" w:type="dxa"/>
          </w:tcPr>
          <w:p>
            <w:pPr>
              <w:pStyle w:val="TableParagraph"/>
              <w:spacing w:before="20"/>
              <w:ind w:right="766"/>
              <w:jc w:val="right"/>
              <w:rPr>
                <w:sz w:val="18"/>
              </w:rPr>
            </w:pPr>
            <w:r>
              <w:rPr>
                <w:sz w:val="18"/>
              </w:rPr>
              <w:t>Art collection revaluation reserve</w:t>
            </w:r>
          </w:p>
        </w:tc>
        <w:tc>
          <w:tcPr>
            <w:tcW w:w="1653" w:type="dxa"/>
          </w:tcPr>
          <w:p>
            <w:pPr>
              <w:pStyle w:val="TableParagraph"/>
              <w:spacing w:before="18"/>
              <w:ind w:right="277"/>
              <w:jc w:val="right"/>
              <w:rPr>
                <w:b/>
                <w:sz w:val="18"/>
              </w:rPr>
            </w:pPr>
            <w:r>
              <w:rPr>
                <w:b/>
                <w:w w:val="95"/>
                <w:sz w:val="18"/>
              </w:rPr>
              <w:t>2,417</w:t>
            </w:r>
          </w:p>
        </w:tc>
        <w:tc>
          <w:tcPr>
            <w:tcW w:w="1387" w:type="dxa"/>
          </w:tcPr>
          <w:p>
            <w:pPr>
              <w:pStyle w:val="TableParagraph"/>
              <w:spacing w:before="18"/>
              <w:ind w:left="565"/>
              <w:rPr>
                <w:sz w:val="18"/>
              </w:rPr>
            </w:pPr>
            <w:r>
              <w:rPr>
                <w:sz w:val="18"/>
              </w:rPr>
              <w:t>2,420</w:t>
            </w:r>
          </w:p>
        </w:tc>
        <w:tc>
          <w:tcPr>
            <w:tcW w:w="1499" w:type="dxa"/>
          </w:tcPr>
          <w:p>
            <w:pPr>
              <w:pStyle w:val="TableParagraph"/>
              <w:spacing w:before="18"/>
              <w:ind w:left="639"/>
              <w:rPr>
                <w:b/>
                <w:sz w:val="18"/>
              </w:rPr>
            </w:pPr>
            <w:r>
              <w:rPr>
                <w:b/>
                <w:sz w:val="18"/>
              </w:rPr>
              <w:t>2,417</w:t>
            </w:r>
          </w:p>
        </w:tc>
        <w:tc>
          <w:tcPr>
            <w:tcW w:w="982" w:type="dxa"/>
          </w:tcPr>
          <w:p>
            <w:pPr>
              <w:pStyle w:val="TableParagraph"/>
              <w:spacing w:before="18"/>
              <w:ind w:right="87"/>
              <w:jc w:val="right"/>
              <w:rPr>
                <w:sz w:val="18"/>
              </w:rPr>
            </w:pPr>
            <w:r>
              <w:rPr>
                <w:w w:val="95"/>
                <w:sz w:val="18"/>
              </w:rPr>
              <w:t>2,420</w:t>
            </w:r>
          </w:p>
        </w:tc>
      </w:tr>
      <w:tr>
        <w:trPr>
          <w:trHeight w:val="264" w:hRule="exact"/>
        </w:trPr>
        <w:tc>
          <w:tcPr>
            <w:tcW w:w="333" w:type="dxa"/>
          </w:tcPr>
          <w:p>
            <w:pPr/>
          </w:p>
        </w:tc>
        <w:tc>
          <w:tcPr>
            <w:tcW w:w="4085" w:type="dxa"/>
          </w:tcPr>
          <w:p>
            <w:pPr>
              <w:pStyle w:val="TableParagraph"/>
              <w:spacing w:before="20"/>
              <w:ind w:left="688"/>
              <w:rPr>
                <w:sz w:val="18"/>
              </w:rPr>
            </w:pPr>
            <w:r>
              <w:rPr>
                <w:sz w:val="18"/>
              </w:rPr>
              <w:t>Livestock revaluation reserve</w:t>
            </w:r>
          </w:p>
        </w:tc>
        <w:tc>
          <w:tcPr>
            <w:tcW w:w="1653" w:type="dxa"/>
          </w:tcPr>
          <w:p>
            <w:pPr>
              <w:pStyle w:val="TableParagraph"/>
              <w:spacing w:before="18"/>
              <w:ind w:right="277"/>
              <w:jc w:val="right"/>
              <w:rPr>
                <w:b/>
                <w:sz w:val="18"/>
              </w:rPr>
            </w:pPr>
            <w:r>
              <w:rPr>
                <w:b/>
                <w:w w:val="95"/>
                <w:sz w:val="18"/>
              </w:rPr>
              <w:t>286</w:t>
            </w:r>
          </w:p>
        </w:tc>
        <w:tc>
          <w:tcPr>
            <w:tcW w:w="1387" w:type="dxa"/>
          </w:tcPr>
          <w:p>
            <w:pPr>
              <w:pStyle w:val="TableParagraph"/>
              <w:spacing w:before="18"/>
              <w:ind w:right="366"/>
              <w:jc w:val="right"/>
              <w:rPr>
                <w:sz w:val="18"/>
              </w:rPr>
            </w:pPr>
            <w:r>
              <w:rPr>
                <w:w w:val="95"/>
                <w:sz w:val="18"/>
              </w:rPr>
              <w:t>238</w:t>
            </w:r>
          </w:p>
        </w:tc>
        <w:tc>
          <w:tcPr>
            <w:tcW w:w="1499" w:type="dxa"/>
          </w:tcPr>
          <w:p>
            <w:pPr>
              <w:pStyle w:val="TableParagraph"/>
              <w:spacing w:before="18"/>
              <w:ind w:left="790"/>
              <w:rPr>
                <w:b/>
                <w:sz w:val="18"/>
              </w:rPr>
            </w:pPr>
            <w:r>
              <w:rPr>
                <w:b/>
                <w:sz w:val="18"/>
              </w:rPr>
              <w:t>286</w:t>
            </w:r>
          </w:p>
        </w:tc>
        <w:tc>
          <w:tcPr>
            <w:tcW w:w="982" w:type="dxa"/>
          </w:tcPr>
          <w:p>
            <w:pPr>
              <w:pStyle w:val="TableParagraph"/>
              <w:spacing w:before="18"/>
              <w:ind w:right="86"/>
              <w:jc w:val="right"/>
              <w:rPr>
                <w:sz w:val="18"/>
              </w:rPr>
            </w:pPr>
            <w:r>
              <w:rPr>
                <w:w w:val="95"/>
                <w:sz w:val="18"/>
              </w:rPr>
              <w:t>238</w:t>
            </w:r>
          </w:p>
        </w:tc>
      </w:tr>
      <w:tr>
        <w:trPr>
          <w:trHeight w:val="260" w:hRule="exact"/>
        </w:trPr>
        <w:tc>
          <w:tcPr>
            <w:tcW w:w="333" w:type="dxa"/>
          </w:tcPr>
          <w:p>
            <w:pPr/>
          </w:p>
        </w:tc>
        <w:tc>
          <w:tcPr>
            <w:tcW w:w="4085" w:type="dxa"/>
          </w:tcPr>
          <w:p>
            <w:pPr>
              <w:pStyle w:val="TableParagraph"/>
              <w:spacing w:before="20"/>
              <w:ind w:left="688"/>
              <w:rPr>
                <w:sz w:val="18"/>
              </w:rPr>
            </w:pPr>
            <w:r>
              <w:rPr>
                <w:sz w:val="18"/>
              </w:rPr>
              <w:t>Licences revaluation reserve</w:t>
            </w:r>
          </w:p>
        </w:tc>
        <w:tc>
          <w:tcPr>
            <w:tcW w:w="1653" w:type="dxa"/>
            <w:tcBorders>
              <w:bottom w:val="single" w:sz="1" w:space="0" w:color="000000"/>
            </w:tcBorders>
          </w:tcPr>
          <w:p>
            <w:pPr>
              <w:pStyle w:val="TableParagraph"/>
              <w:spacing w:before="18"/>
              <w:ind w:right="277"/>
              <w:jc w:val="right"/>
              <w:rPr>
                <w:b/>
                <w:sz w:val="18"/>
              </w:rPr>
            </w:pPr>
            <w:r>
              <w:rPr>
                <w:b/>
                <w:w w:val="95"/>
                <w:sz w:val="18"/>
              </w:rPr>
              <w:t>250</w:t>
            </w:r>
          </w:p>
        </w:tc>
        <w:tc>
          <w:tcPr>
            <w:tcW w:w="1387" w:type="dxa"/>
            <w:tcBorders>
              <w:bottom w:val="single" w:sz="1" w:space="0" w:color="000000"/>
            </w:tcBorders>
          </w:tcPr>
          <w:p>
            <w:pPr>
              <w:pStyle w:val="TableParagraph"/>
              <w:spacing w:before="18"/>
              <w:ind w:right="366"/>
              <w:jc w:val="right"/>
              <w:rPr>
                <w:sz w:val="18"/>
              </w:rPr>
            </w:pPr>
            <w:r>
              <w:rPr>
                <w:w w:val="95"/>
                <w:sz w:val="18"/>
              </w:rPr>
              <w:t>250</w:t>
            </w:r>
          </w:p>
        </w:tc>
        <w:tc>
          <w:tcPr>
            <w:tcW w:w="1499" w:type="dxa"/>
            <w:tcBorders>
              <w:bottom w:val="single" w:sz="1" w:space="0" w:color="000000"/>
            </w:tcBorders>
          </w:tcPr>
          <w:p>
            <w:pPr>
              <w:pStyle w:val="TableParagraph"/>
              <w:spacing w:before="18"/>
              <w:ind w:left="790"/>
              <w:rPr>
                <w:b/>
                <w:sz w:val="18"/>
              </w:rPr>
            </w:pPr>
            <w:r>
              <w:rPr>
                <w:b/>
                <w:sz w:val="18"/>
              </w:rPr>
              <w:t>250</w:t>
            </w:r>
          </w:p>
        </w:tc>
        <w:tc>
          <w:tcPr>
            <w:tcW w:w="982" w:type="dxa"/>
            <w:tcBorders>
              <w:bottom w:val="single" w:sz="1" w:space="0" w:color="000000"/>
            </w:tcBorders>
          </w:tcPr>
          <w:p>
            <w:pPr>
              <w:pStyle w:val="TableParagraph"/>
              <w:spacing w:before="18"/>
              <w:ind w:right="86"/>
              <w:jc w:val="right"/>
              <w:rPr>
                <w:sz w:val="18"/>
              </w:rPr>
            </w:pPr>
            <w:r>
              <w:rPr>
                <w:w w:val="95"/>
                <w:sz w:val="18"/>
              </w:rPr>
              <w:t>250</w:t>
            </w:r>
          </w:p>
        </w:tc>
      </w:tr>
      <w:tr>
        <w:trPr>
          <w:trHeight w:val="353" w:hRule="exact"/>
        </w:trPr>
        <w:tc>
          <w:tcPr>
            <w:tcW w:w="333" w:type="dxa"/>
          </w:tcPr>
          <w:p>
            <w:pPr/>
          </w:p>
        </w:tc>
        <w:tc>
          <w:tcPr>
            <w:tcW w:w="4085" w:type="dxa"/>
          </w:tcPr>
          <w:p>
            <w:pPr>
              <w:pStyle w:val="TableParagraph"/>
              <w:spacing w:before="125"/>
              <w:ind w:left="688"/>
              <w:rPr>
                <w:b/>
                <w:sz w:val="18"/>
              </w:rPr>
            </w:pPr>
            <w:r>
              <w:rPr>
                <w:b/>
                <w:sz w:val="18"/>
              </w:rPr>
              <w:t>Total Reserves</w:t>
            </w:r>
          </w:p>
        </w:tc>
        <w:tc>
          <w:tcPr>
            <w:tcW w:w="1653" w:type="dxa"/>
            <w:tcBorders>
              <w:top w:val="single" w:sz="1" w:space="0" w:color="000000"/>
              <w:bottom w:val="single" w:sz="1" w:space="0" w:color="000000"/>
            </w:tcBorders>
          </w:tcPr>
          <w:p>
            <w:pPr>
              <w:pStyle w:val="TableParagraph"/>
              <w:spacing w:before="124"/>
              <w:ind w:right="277"/>
              <w:jc w:val="right"/>
              <w:rPr>
                <w:b/>
                <w:sz w:val="18"/>
              </w:rPr>
            </w:pPr>
            <w:r>
              <w:rPr>
                <w:b/>
                <w:w w:val="95"/>
                <w:sz w:val="18"/>
              </w:rPr>
              <w:t>865,790</w:t>
            </w:r>
          </w:p>
        </w:tc>
        <w:tc>
          <w:tcPr>
            <w:tcW w:w="1387" w:type="dxa"/>
            <w:tcBorders>
              <w:top w:val="single" w:sz="1" w:space="0" w:color="000000"/>
              <w:bottom w:val="single" w:sz="1" w:space="0" w:color="000000"/>
            </w:tcBorders>
          </w:tcPr>
          <w:p>
            <w:pPr>
              <w:pStyle w:val="TableParagraph"/>
              <w:spacing w:before="124"/>
              <w:ind w:left="363"/>
              <w:rPr>
                <w:sz w:val="18"/>
              </w:rPr>
            </w:pPr>
            <w:r>
              <w:rPr>
                <w:sz w:val="18"/>
              </w:rPr>
              <w:t>708,004</w:t>
            </w:r>
          </w:p>
        </w:tc>
        <w:tc>
          <w:tcPr>
            <w:tcW w:w="1499" w:type="dxa"/>
            <w:tcBorders>
              <w:top w:val="single" w:sz="1" w:space="0" w:color="000000"/>
              <w:bottom w:val="single" w:sz="1" w:space="0" w:color="000000"/>
            </w:tcBorders>
          </w:tcPr>
          <w:p>
            <w:pPr>
              <w:pStyle w:val="TableParagraph"/>
              <w:spacing w:before="124"/>
              <w:ind w:left="437"/>
              <w:rPr>
                <w:b/>
                <w:sz w:val="18"/>
              </w:rPr>
            </w:pPr>
            <w:r>
              <w:rPr>
                <w:b/>
                <w:sz w:val="18"/>
              </w:rPr>
              <w:t>861,541</w:t>
            </w:r>
          </w:p>
        </w:tc>
        <w:tc>
          <w:tcPr>
            <w:tcW w:w="982" w:type="dxa"/>
            <w:tcBorders>
              <w:top w:val="single" w:sz="1" w:space="0" w:color="000000"/>
              <w:bottom w:val="single" w:sz="1" w:space="0" w:color="000000"/>
            </w:tcBorders>
          </w:tcPr>
          <w:p>
            <w:pPr>
              <w:pStyle w:val="TableParagraph"/>
              <w:spacing w:before="124"/>
              <w:ind w:left="237"/>
              <w:rPr>
                <w:sz w:val="18"/>
              </w:rPr>
            </w:pPr>
            <w:r>
              <w:rPr>
                <w:sz w:val="18"/>
              </w:rPr>
              <w:t>703,755</w:t>
            </w:r>
          </w:p>
        </w:tc>
      </w:tr>
    </w:tbl>
    <w:p>
      <w:pPr>
        <w:spacing w:after="0"/>
        <w:rPr>
          <w:sz w:val="18"/>
        </w:rPr>
        <w:sectPr>
          <w:pgSz w:w="11910" w:h="16840"/>
          <w:pgMar w:header="1037" w:footer="507" w:top="2220" w:bottom="700" w:left="860" w:right="880"/>
        </w:sectPr>
      </w:pPr>
    </w:p>
    <w:p>
      <w:pPr>
        <w:pStyle w:val="BodyText"/>
        <w:rPr>
          <w:rFonts w:ascii="Times New Roman"/>
          <w:sz w:val="20"/>
        </w:rPr>
      </w:pPr>
    </w:p>
    <w:p>
      <w:pPr>
        <w:pStyle w:val="BodyText"/>
        <w:rPr>
          <w:rFonts w:ascii="Times New Roman"/>
          <w:sz w:val="20"/>
        </w:rPr>
      </w:pPr>
    </w:p>
    <w:p>
      <w:pPr>
        <w:pStyle w:val="BodyText"/>
        <w:spacing w:before="5"/>
        <w:rPr>
          <w:rFonts w:ascii="Times New Roman"/>
        </w:rPr>
      </w:pPr>
    </w:p>
    <w:p>
      <w:pPr>
        <w:pStyle w:val="Heading9"/>
        <w:tabs>
          <w:tab w:pos="1070" w:val="left" w:leader="none"/>
        </w:tabs>
        <w:ind w:left="504" w:right="220"/>
      </w:pPr>
      <w:bookmarkStart w:name="(b) Movements in Reserves" w:id="113"/>
      <w:bookmarkEnd w:id="113"/>
      <w:r>
        <w:rPr>
          <w:b w:val="0"/>
        </w:rPr>
      </w:r>
      <w:r>
        <w:rPr/>
        <w:t>29</w:t>
        <w:tab/>
        <w:t>Reserves and retained earnings</w:t>
      </w:r>
      <w:r>
        <w:rPr>
          <w:spacing w:val="-1"/>
        </w:rPr>
        <w:t> </w:t>
      </w:r>
      <w:r>
        <w:rPr/>
        <w:t>(continued)</w:t>
      </w:r>
    </w:p>
    <w:p>
      <w:pPr>
        <w:pStyle w:val="BodyText"/>
        <w:spacing w:before="11"/>
        <w:rPr>
          <w:b/>
          <w:sz w:val="19"/>
        </w:rPr>
      </w:pPr>
    </w:p>
    <w:p>
      <w:pPr>
        <w:pStyle w:val="ListParagraph"/>
        <w:numPr>
          <w:ilvl w:val="0"/>
          <w:numId w:val="30"/>
        </w:numPr>
        <w:tabs>
          <w:tab w:pos="1071" w:val="left" w:leader="none"/>
        </w:tabs>
        <w:spacing w:line="240" w:lineRule="auto" w:before="77" w:after="0"/>
        <w:ind w:left="1070" w:right="0" w:hanging="566"/>
        <w:jc w:val="left"/>
        <w:rPr>
          <w:sz w:val="18"/>
        </w:rPr>
      </w:pPr>
      <w:r>
        <w:rPr>
          <w:sz w:val="18"/>
        </w:rPr>
        <w:t>Movements in</w:t>
      </w:r>
      <w:r>
        <w:rPr>
          <w:spacing w:val="-1"/>
          <w:sz w:val="18"/>
        </w:rPr>
        <w:t> </w:t>
      </w:r>
      <w:r>
        <w:rPr>
          <w:sz w:val="18"/>
        </w:rPr>
        <w:t>Reserves</w:t>
      </w:r>
    </w:p>
    <w:p>
      <w:pPr>
        <w:pStyle w:val="Heading9"/>
        <w:tabs>
          <w:tab w:pos="8354" w:val="left" w:leader="none"/>
        </w:tabs>
        <w:spacing w:before="38"/>
        <w:ind w:left="5304" w:right="220"/>
      </w:pPr>
      <w:r>
        <w:rPr/>
        <w:t>Consolidated</w:t>
        <w:tab/>
        <w:t>Parent</w:t>
      </w:r>
    </w:p>
    <w:p>
      <w:pPr>
        <w:spacing w:after="0"/>
        <w:sectPr>
          <w:pgSz w:w="11910" w:h="16840"/>
          <w:pgMar w:header="1037" w:footer="507" w:top="2220" w:bottom="700" w:left="900" w:right="880"/>
        </w:sectPr>
      </w:pPr>
    </w:p>
    <w:p>
      <w:pPr>
        <w:spacing w:before="66"/>
        <w:ind w:left="0" w:right="19" w:firstLine="0"/>
        <w:jc w:val="right"/>
        <w:rPr>
          <w:b/>
          <w:sz w:val="18"/>
        </w:rPr>
      </w:pPr>
      <w:r>
        <w:rPr>
          <w:b/>
          <w:w w:val="95"/>
          <w:sz w:val="18"/>
        </w:rPr>
        <w:t>2017</w:t>
      </w:r>
    </w:p>
    <w:p>
      <w:pPr>
        <w:spacing w:before="66"/>
        <w:ind w:left="0" w:right="0" w:firstLine="0"/>
        <w:jc w:val="right"/>
        <w:rPr>
          <w:b/>
          <w:sz w:val="18"/>
        </w:rPr>
      </w:pPr>
      <w:r>
        <w:rPr>
          <w:b/>
          <w:sz w:val="18"/>
        </w:rPr>
        <w:t>$'000</w:t>
      </w:r>
    </w:p>
    <w:p>
      <w:pPr>
        <w:spacing w:before="66"/>
        <w:ind w:left="831" w:right="-16" w:firstLine="0"/>
        <w:jc w:val="left"/>
        <w:rPr>
          <w:b/>
          <w:sz w:val="18"/>
        </w:rPr>
      </w:pPr>
      <w:r>
        <w:rPr/>
        <w:br w:type="column"/>
      </w:r>
      <w:r>
        <w:rPr>
          <w:b/>
          <w:sz w:val="18"/>
        </w:rPr>
        <w:t>2016</w:t>
      </w:r>
    </w:p>
    <w:p>
      <w:pPr>
        <w:spacing w:before="66"/>
        <w:ind w:left="809" w:right="-16"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31" w:right="0" w:firstLine="0"/>
        <w:jc w:val="left"/>
        <w:rPr>
          <w:b/>
          <w:sz w:val="18"/>
        </w:rPr>
      </w:pPr>
      <w:r>
        <w:rPr/>
        <w:br w:type="column"/>
      </w:r>
      <w:r>
        <w:rPr>
          <w:b/>
          <w:sz w:val="18"/>
        </w:rPr>
        <w:t>2016</w:t>
      </w:r>
    </w:p>
    <w:p>
      <w:pPr>
        <w:spacing w:before="66"/>
        <w:ind w:left="809" w:right="0" w:firstLine="0"/>
        <w:jc w:val="left"/>
        <w:rPr>
          <w:b/>
          <w:sz w:val="18"/>
        </w:rPr>
      </w:pPr>
      <w:r>
        <w:rPr>
          <w:b/>
          <w:sz w:val="18"/>
        </w:rPr>
        <w:t>$'000</w:t>
      </w:r>
    </w:p>
    <w:p>
      <w:pPr>
        <w:spacing w:after="0"/>
        <w:jc w:val="left"/>
        <w:rPr>
          <w:sz w:val="18"/>
        </w:rPr>
        <w:sectPr>
          <w:type w:val="continuous"/>
          <w:pgSz w:w="11910" w:h="16840"/>
          <w:pgMar w:top="1580" w:bottom="280" w:left="900" w:right="880"/>
          <w:cols w:num="4" w:equalWidth="0">
            <w:col w:w="5518" w:space="40"/>
            <w:col w:w="1257" w:space="40"/>
            <w:col w:w="1424" w:space="40"/>
            <w:col w:w="1811"/>
          </w:cols>
        </w:sectPr>
      </w:pPr>
    </w:p>
    <w:p>
      <w:pPr>
        <w:pStyle w:val="BodyText"/>
        <w:spacing w:before="7"/>
        <w:rPr>
          <w:b/>
          <w:sz w:val="7"/>
        </w:rPr>
      </w:pPr>
    </w:p>
    <w:tbl>
      <w:tblPr>
        <w:tblW w:w="0" w:type="auto"/>
        <w:jc w:val="left"/>
        <w:tblInd w:w="10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57"/>
        <w:gridCol w:w="1728"/>
        <w:gridCol w:w="1380"/>
        <w:gridCol w:w="1380"/>
        <w:gridCol w:w="1032"/>
      </w:tblGrid>
      <w:tr>
        <w:trPr>
          <w:trHeight w:val="514" w:hRule="exact"/>
        </w:trPr>
        <w:tc>
          <w:tcPr>
            <w:tcW w:w="3457" w:type="dxa"/>
          </w:tcPr>
          <w:p>
            <w:pPr>
              <w:pStyle w:val="TableParagraph"/>
              <w:spacing w:before="77"/>
              <w:ind w:left="35" w:right="771"/>
              <w:rPr>
                <w:b/>
                <w:sz w:val="18"/>
              </w:rPr>
            </w:pPr>
            <w:r>
              <w:rPr>
                <w:b/>
                <w:sz w:val="18"/>
              </w:rPr>
              <w:t>Property development revaluation reserve</w:t>
            </w:r>
          </w:p>
        </w:tc>
        <w:tc>
          <w:tcPr>
            <w:tcW w:w="5520" w:type="dxa"/>
            <w:gridSpan w:val="4"/>
          </w:tcPr>
          <w:p>
            <w:pPr/>
          </w:p>
        </w:tc>
      </w:tr>
      <w:tr>
        <w:trPr>
          <w:trHeight w:val="250" w:hRule="exact"/>
        </w:trPr>
        <w:tc>
          <w:tcPr>
            <w:tcW w:w="3457" w:type="dxa"/>
          </w:tcPr>
          <w:p>
            <w:pPr>
              <w:pStyle w:val="TableParagraph"/>
              <w:spacing w:before="7"/>
              <w:ind w:left="35" w:right="771"/>
              <w:rPr>
                <w:sz w:val="18"/>
              </w:rPr>
            </w:pPr>
            <w:r>
              <w:rPr>
                <w:sz w:val="18"/>
              </w:rPr>
              <w:t>Balance at 1 January</w:t>
            </w:r>
          </w:p>
        </w:tc>
        <w:tc>
          <w:tcPr>
            <w:tcW w:w="1728" w:type="dxa"/>
          </w:tcPr>
          <w:p>
            <w:pPr>
              <w:pStyle w:val="TableParagraph"/>
              <w:spacing w:before="4"/>
              <w:ind w:right="348"/>
              <w:jc w:val="right"/>
              <w:rPr>
                <w:b/>
                <w:sz w:val="18"/>
              </w:rPr>
            </w:pPr>
            <w:r>
              <w:rPr>
                <w:b/>
                <w:w w:val="95"/>
                <w:sz w:val="18"/>
              </w:rPr>
              <w:t>71,459</w:t>
            </w:r>
          </w:p>
        </w:tc>
        <w:tc>
          <w:tcPr>
            <w:tcW w:w="1380" w:type="dxa"/>
          </w:tcPr>
          <w:p>
            <w:pPr>
              <w:pStyle w:val="TableParagraph"/>
              <w:spacing w:before="4"/>
              <w:ind w:left="391"/>
              <w:rPr>
                <w:sz w:val="18"/>
              </w:rPr>
            </w:pPr>
            <w:r>
              <w:rPr>
                <w:sz w:val="18"/>
              </w:rPr>
              <w:t>63,429</w:t>
            </w:r>
          </w:p>
        </w:tc>
        <w:tc>
          <w:tcPr>
            <w:tcW w:w="1380" w:type="dxa"/>
          </w:tcPr>
          <w:p>
            <w:pPr>
              <w:pStyle w:val="TableParagraph"/>
              <w:spacing w:before="4"/>
              <w:ind w:right="348"/>
              <w:jc w:val="right"/>
              <w:rPr>
                <w:b/>
                <w:sz w:val="18"/>
              </w:rPr>
            </w:pPr>
            <w:r>
              <w:rPr>
                <w:b/>
                <w:w w:val="95"/>
                <w:sz w:val="18"/>
              </w:rPr>
              <w:t>71,459</w:t>
            </w:r>
          </w:p>
        </w:tc>
        <w:tc>
          <w:tcPr>
            <w:tcW w:w="1032" w:type="dxa"/>
          </w:tcPr>
          <w:p>
            <w:pPr>
              <w:pStyle w:val="TableParagraph"/>
              <w:spacing w:before="4"/>
              <w:ind w:left="391"/>
              <w:rPr>
                <w:sz w:val="18"/>
              </w:rPr>
            </w:pPr>
            <w:r>
              <w:rPr>
                <w:sz w:val="18"/>
              </w:rPr>
              <w:t>63,429</w:t>
            </w:r>
          </w:p>
        </w:tc>
      </w:tr>
      <w:tr>
        <w:trPr>
          <w:trHeight w:val="466" w:hRule="exact"/>
        </w:trPr>
        <w:tc>
          <w:tcPr>
            <w:tcW w:w="3457" w:type="dxa"/>
          </w:tcPr>
          <w:p>
            <w:pPr>
              <w:pStyle w:val="TableParagraph"/>
              <w:spacing w:before="16"/>
              <w:ind w:left="35" w:right="771"/>
              <w:rPr>
                <w:sz w:val="18"/>
              </w:rPr>
            </w:pPr>
            <w:r>
              <w:rPr>
                <w:sz w:val="18"/>
              </w:rPr>
              <w:t>Transfer from property, plant and equipment revaluation surplus</w:t>
            </w:r>
          </w:p>
        </w:tc>
        <w:tc>
          <w:tcPr>
            <w:tcW w:w="1728" w:type="dxa"/>
          </w:tcPr>
          <w:p>
            <w:pPr>
              <w:pStyle w:val="TableParagraph"/>
              <w:spacing w:before="2"/>
              <w:rPr>
                <w:b/>
                <w:sz w:val="19"/>
              </w:rPr>
            </w:pPr>
          </w:p>
          <w:p>
            <w:pPr>
              <w:pStyle w:val="TableParagraph"/>
              <w:ind w:right="348"/>
              <w:jc w:val="right"/>
              <w:rPr>
                <w:b/>
                <w:sz w:val="18"/>
              </w:rPr>
            </w:pPr>
            <w:r>
              <w:rPr>
                <w:b/>
                <w:w w:val="95"/>
                <w:sz w:val="18"/>
              </w:rPr>
              <w:t>4,547</w:t>
            </w:r>
          </w:p>
        </w:tc>
        <w:tc>
          <w:tcPr>
            <w:tcW w:w="1380" w:type="dxa"/>
          </w:tcPr>
          <w:p>
            <w:pPr>
              <w:pStyle w:val="TableParagraph"/>
              <w:spacing w:before="2"/>
              <w:rPr>
                <w:b/>
                <w:sz w:val="19"/>
              </w:rPr>
            </w:pPr>
          </w:p>
          <w:p>
            <w:pPr>
              <w:pStyle w:val="TableParagraph"/>
              <w:ind w:left="491"/>
              <w:rPr>
                <w:sz w:val="18"/>
              </w:rPr>
            </w:pPr>
            <w:r>
              <w:rPr>
                <w:sz w:val="18"/>
              </w:rPr>
              <w:t>8,030</w:t>
            </w:r>
          </w:p>
        </w:tc>
        <w:tc>
          <w:tcPr>
            <w:tcW w:w="1380" w:type="dxa"/>
          </w:tcPr>
          <w:p>
            <w:pPr>
              <w:pStyle w:val="TableParagraph"/>
              <w:spacing w:before="2"/>
              <w:rPr>
                <w:b/>
                <w:sz w:val="19"/>
              </w:rPr>
            </w:pPr>
          </w:p>
          <w:p>
            <w:pPr>
              <w:pStyle w:val="TableParagraph"/>
              <w:ind w:right="348"/>
              <w:jc w:val="right"/>
              <w:rPr>
                <w:b/>
                <w:sz w:val="18"/>
              </w:rPr>
            </w:pPr>
            <w:r>
              <w:rPr>
                <w:b/>
                <w:w w:val="95"/>
                <w:sz w:val="18"/>
              </w:rPr>
              <w:t>4,547</w:t>
            </w:r>
          </w:p>
        </w:tc>
        <w:tc>
          <w:tcPr>
            <w:tcW w:w="1032" w:type="dxa"/>
          </w:tcPr>
          <w:p>
            <w:pPr>
              <w:pStyle w:val="TableParagraph"/>
              <w:spacing w:before="2"/>
              <w:rPr>
                <w:b/>
                <w:sz w:val="19"/>
              </w:rPr>
            </w:pPr>
          </w:p>
          <w:p>
            <w:pPr>
              <w:pStyle w:val="TableParagraph"/>
              <w:ind w:right="84"/>
              <w:jc w:val="right"/>
              <w:rPr>
                <w:sz w:val="18"/>
              </w:rPr>
            </w:pPr>
            <w:r>
              <w:rPr>
                <w:w w:val="95"/>
                <w:sz w:val="18"/>
              </w:rPr>
              <w:t>8,030</w:t>
            </w:r>
          </w:p>
        </w:tc>
      </w:tr>
      <w:tr>
        <w:trPr>
          <w:trHeight w:val="463" w:hRule="exact"/>
        </w:trPr>
        <w:tc>
          <w:tcPr>
            <w:tcW w:w="3457" w:type="dxa"/>
          </w:tcPr>
          <w:p>
            <w:pPr>
              <w:pStyle w:val="TableParagraph"/>
              <w:spacing w:before="16"/>
              <w:ind w:left="35" w:right="170"/>
              <w:rPr>
                <w:sz w:val="18"/>
              </w:rPr>
            </w:pPr>
            <w:r>
              <w:rPr>
                <w:sz w:val="18"/>
              </w:rPr>
              <w:t>Write back on disposal of revalued assets</w:t>
            </w:r>
          </w:p>
        </w:tc>
        <w:tc>
          <w:tcPr>
            <w:tcW w:w="1728" w:type="dxa"/>
            <w:tcBorders>
              <w:bottom w:val="single" w:sz="1" w:space="0" w:color="000000"/>
            </w:tcBorders>
          </w:tcPr>
          <w:p>
            <w:pPr>
              <w:pStyle w:val="TableParagraph"/>
              <w:spacing w:before="2"/>
              <w:rPr>
                <w:b/>
                <w:sz w:val="19"/>
              </w:rPr>
            </w:pPr>
          </w:p>
          <w:p>
            <w:pPr>
              <w:pStyle w:val="TableParagraph"/>
              <w:ind w:right="288"/>
              <w:jc w:val="right"/>
              <w:rPr>
                <w:b/>
                <w:sz w:val="18"/>
              </w:rPr>
            </w:pPr>
            <w:r>
              <w:rPr>
                <w:b/>
                <w:w w:val="95"/>
                <w:sz w:val="18"/>
              </w:rPr>
              <w:t>(43,848)</w:t>
            </w:r>
          </w:p>
        </w:tc>
        <w:tc>
          <w:tcPr>
            <w:tcW w:w="1380" w:type="dxa"/>
            <w:tcBorders>
              <w:bottom w:val="single" w:sz="1" w:space="0" w:color="000000"/>
            </w:tcBorders>
          </w:tcPr>
          <w:p>
            <w:pPr>
              <w:pStyle w:val="TableParagraph"/>
              <w:spacing w:before="2"/>
              <w:rPr>
                <w:b/>
                <w:sz w:val="19"/>
              </w:rPr>
            </w:pPr>
          </w:p>
          <w:p>
            <w:pPr>
              <w:pStyle w:val="TableParagraph"/>
              <w:ind w:right="432"/>
              <w:jc w:val="right"/>
              <w:rPr>
                <w:sz w:val="18"/>
              </w:rPr>
            </w:pPr>
            <w:r>
              <w:rPr>
                <w:w w:val="99"/>
                <w:sz w:val="18"/>
              </w:rPr>
              <w:t>-</w:t>
            </w:r>
          </w:p>
        </w:tc>
        <w:tc>
          <w:tcPr>
            <w:tcW w:w="1380" w:type="dxa"/>
            <w:tcBorders>
              <w:bottom w:val="single" w:sz="1" w:space="0" w:color="000000"/>
            </w:tcBorders>
          </w:tcPr>
          <w:p>
            <w:pPr>
              <w:pStyle w:val="TableParagraph"/>
              <w:spacing w:before="2"/>
              <w:rPr>
                <w:b/>
                <w:sz w:val="19"/>
              </w:rPr>
            </w:pPr>
          </w:p>
          <w:p>
            <w:pPr>
              <w:pStyle w:val="TableParagraph"/>
              <w:ind w:right="288"/>
              <w:jc w:val="right"/>
              <w:rPr>
                <w:b/>
                <w:sz w:val="18"/>
              </w:rPr>
            </w:pPr>
            <w:r>
              <w:rPr>
                <w:b/>
                <w:w w:val="95"/>
                <w:sz w:val="18"/>
              </w:rPr>
              <w:t>(43,848)</w:t>
            </w:r>
          </w:p>
        </w:tc>
        <w:tc>
          <w:tcPr>
            <w:tcW w:w="1032" w:type="dxa"/>
            <w:tcBorders>
              <w:bottom w:val="single" w:sz="1" w:space="0" w:color="000000"/>
            </w:tcBorders>
          </w:tcPr>
          <w:p>
            <w:pPr>
              <w:pStyle w:val="TableParagraph"/>
              <w:spacing w:before="2"/>
              <w:rPr>
                <w:b/>
                <w:sz w:val="19"/>
              </w:rPr>
            </w:pPr>
          </w:p>
          <w:p>
            <w:pPr>
              <w:pStyle w:val="TableParagraph"/>
              <w:ind w:right="84"/>
              <w:jc w:val="right"/>
              <w:rPr>
                <w:sz w:val="18"/>
              </w:rPr>
            </w:pPr>
            <w:r>
              <w:rPr>
                <w:w w:val="99"/>
                <w:sz w:val="18"/>
              </w:rPr>
              <w:t>-</w:t>
            </w:r>
          </w:p>
        </w:tc>
      </w:tr>
      <w:tr>
        <w:trPr>
          <w:trHeight w:val="338" w:hRule="exact"/>
        </w:trPr>
        <w:tc>
          <w:tcPr>
            <w:tcW w:w="3457" w:type="dxa"/>
          </w:tcPr>
          <w:p>
            <w:pPr>
              <w:pStyle w:val="TableParagraph"/>
              <w:spacing w:before="125"/>
              <w:ind w:left="35" w:right="771"/>
              <w:rPr>
                <w:b/>
                <w:sz w:val="18"/>
              </w:rPr>
            </w:pPr>
            <w:r>
              <w:rPr>
                <w:b/>
                <w:sz w:val="18"/>
              </w:rPr>
              <w:t>Balance at 31 December</w:t>
            </w:r>
          </w:p>
        </w:tc>
        <w:tc>
          <w:tcPr>
            <w:tcW w:w="1728" w:type="dxa"/>
            <w:tcBorders>
              <w:top w:val="single" w:sz="1" w:space="0" w:color="000000"/>
              <w:bottom w:val="single" w:sz="1" w:space="0" w:color="000000"/>
            </w:tcBorders>
          </w:tcPr>
          <w:p>
            <w:pPr>
              <w:pStyle w:val="TableParagraph"/>
              <w:spacing w:before="124"/>
              <w:ind w:right="348"/>
              <w:jc w:val="right"/>
              <w:rPr>
                <w:b/>
                <w:sz w:val="18"/>
              </w:rPr>
            </w:pPr>
            <w:r>
              <w:rPr>
                <w:b/>
                <w:w w:val="95"/>
                <w:sz w:val="18"/>
              </w:rPr>
              <w:t>32,158</w:t>
            </w:r>
          </w:p>
        </w:tc>
        <w:tc>
          <w:tcPr>
            <w:tcW w:w="1380" w:type="dxa"/>
            <w:tcBorders>
              <w:top w:val="single" w:sz="1" w:space="0" w:color="000000"/>
              <w:bottom w:val="single" w:sz="1" w:space="0" w:color="000000"/>
            </w:tcBorders>
          </w:tcPr>
          <w:p>
            <w:pPr>
              <w:pStyle w:val="TableParagraph"/>
              <w:spacing w:before="124"/>
              <w:ind w:left="391"/>
              <w:rPr>
                <w:sz w:val="18"/>
              </w:rPr>
            </w:pPr>
            <w:r>
              <w:rPr>
                <w:sz w:val="18"/>
              </w:rPr>
              <w:t>71,459</w:t>
            </w:r>
          </w:p>
        </w:tc>
        <w:tc>
          <w:tcPr>
            <w:tcW w:w="1380" w:type="dxa"/>
            <w:tcBorders>
              <w:top w:val="single" w:sz="1" w:space="0" w:color="000000"/>
              <w:bottom w:val="single" w:sz="1" w:space="0" w:color="000000"/>
            </w:tcBorders>
          </w:tcPr>
          <w:p>
            <w:pPr>
              <w:pStyle w:val="TableParagraph"/>
              <w:spacing w:before="124"/>
              <w:ind w:right="348"/>
              <w:jc w:val="right"/>
              <w:rPr>
                <w:b/>
                <w:sz w:val="18"/>
              </w:rPr>
            </w:pPr>
            <w:r>
              <w:rPr>
                <w:b/>
                <w:w w:val="95"/>
                <w:sz w:val="18"/>
              </w:rPr>
              <w:t>32,158</w:t>
            </w:r>
          </w:p>
        </w:tc>
        <w:tc>
          <w:tcPr>
            <w:tcW w:w="1032" w:type="dxa"/>
            <w:tcBorders>
              <w:top w:val="single" w:sz="1" w:space="0" w:color="000000"/>
              <w:bottom w:val="single" w:sz="1" w:space="0" w:color="000000"/>
            </w:tcBorders>
          </w:tcPr>
          <w:p>
            <w:pPr>
              <w:pStyle w:val="TableParagraph"/>
              <w:spacing w:before="124"/>
              <w:ind w:left="391"/>
              <w:rPr>
                <w:sz w:val="18"/>
              </w:rPr>
            </w:pPr>
            <w:r>
              <w:rPr>
                <w:sz w:val="18"/>
              </w:rPr>
              <w:t>71,459</w:t>
            </w:r>
          </w:p>
        </w:tc>
      </w:tr>
      <w:tr>
        <w:trPr>
          <w:trHeight w:val="341" w:hRule="exact"/>
        </w:trPr>
        <w:tc>
          <w:tcPr>
            <w:tcW w:w="3457" w:type="dxa"/>
          </w:tcPr>
          <w:p>
            <w:pPr>
              <w:pStyle w:val="TableParagraph"/>
              <w:spacing w:before="125"/>
              <w:ind w:left="35" w:right="771"/>
              <w:rPr>
                <w:b/>
                <w:sz w:val="18"/>
              </w:rPr>
            </w:pPr>
            <w:r>
              <w:rPr>
                <w:b/>
                <w:sz w:val="18"/>
              </w:rPr>
              <w:t>Property, plant and equipment</w:t>
            </w:r>
          </w:p>
        </w:tc>
        <w:tc>
          <w:tcPr>
            <w:tcW w:w="1728"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32" w:type="dxa"/>
            <w:tcBorders>
              <w:top w:val="single" w:sz="1" w:space="0" w:color="000000"/>
            </w:tcBorders>
          </w:tcPr>
          <w:p>
            <w:pPr/>
          </w:p>
        </w:tc>
      </w:tr>
      <w:tr>
        <w:trPr>
          <w:trHeight w:val="221" w:hRule="exact"/>
        </w:trPr>
        <w:tc>
          <w:tcPr>
            <w:tcW w:w="3457" w:type="dxa"/>
          </w:tcPr>
          <w:p>
            <w:pPr>
              <w:pStyle w:val="TableParagraph"/>
              <w:spacing w:line="197" w:lineRule="exact"/>
              <w:ind w:left="35" w:right="771"/>
              <w:rPr>
                <w:b/>
                <w:sz w:val="18"/>
              </w:rPr>
            </w:pPr>
            <w:r>
              <w:rPr>
                <w:b/>
                <w:sz w:val="18"/>
              </w:rPr>
              <w:t>revaluation surplus</w:t>
            </w:r>
          </w:p>
        </w:tc>
        <w:tc>
          <w:tcPr>
            <w:tcW w:w="1728" w:type="dxa"/>
          </w:tcPr>
          <w:p>
            <w:pPr/>
          </w:p>
        </w:tc>
        <w:tc>
          <w:tcPr>
            <w:tcW w:w="1380" w:type="dxa"/>
          </w:tcPr>
          <w:p>
            <w:pPr/>
          </w:p>
        </w:tc>
        <w:tc>
          <w:tcPr>
            <w:tcW w:w="1380" w:type="dxa"/>
          </w:tcPr>
          <w:p>
            <w:pPr/>
          </w:p>
        </w:tc>
        <w:tc>
          <w:tcPr>
            <w:tcW w:w="1032" w:type="dxa"/>
          </w:tcPr>
          <w:p>
            <w:pPr/>
          </w:p>
        </w:tc>
      </w:tr>
      <w:tr>
        <w:trPr>
          <w:trHeight w:val="251" w:hRule="exact"/>
        </w:trPr>
        <w:tc>
          <w:tcPr>
            <w:tcW w:w="3457" w:type="dxa"/>
          </w:tcPr>
          <w:p>
            <w:pPr>
              <w:pStyle w:val="TableParagraph"/>
              <w:spacing w:before="7"/>
              <w:ind w:left="35" w:right="771"/>
              <w:rPr>
                <w:sz w:val="18"/>
              </w:rPr>
            </w:pPr>
            <w:r>
              <w:rPr>
                <w:sz w:val="18"/>
              </w:rPr>
              <w:t>Balance at 1 January</w:t>
            </w:r>
          </w:p>
        </w:tc>
        <w:tc>
          <w:tcPr>
            <w:tcW w:w="1728" w:type="dxa"/>
          </w:tcPr>
          <w:p>
            <w:pPr>
              <w:pStyle w:val="TableParagraph"/>
              <w:spacing w:before="4"/>
              <w:ind w:right="348"/>
              <w:jc w:val="right"/>
              <w:rPr>
                <w:b/>
                <w:sz w:val="18"/>
              </w:rPr>
            </w:pPr>
            <w:r>
              <w:rPr>
                <w:b/>
                <w:w w:val="95"/>
                <w:sz w:val="18"/>
              </w:rPr>
              <w:t>617,516</w:t>
            </w:r>
          </w:p>
        </w:tc>
        <w:tc>
          <w:tcPr>
            <w:tcW w:w="1380" w:type="dxa"/>
          </w:tcPr>
          <w:p>
            <w:pPr>
              <w:pStyle w:val="TableParagraph"/>
              <w:spacing w:before="4"/>
              <w:ind w:left="290"/>
              <w:rPr>
                <w:sz w:val="18"/>
              </w:rPr>
            </w:pPr>
            <w:r>
              <w:rPr>
                <w:sz w:val="18"/>
              </w:rPr>
              <w:t>607,186</w:t>
            </w:r>
          </w:p>
        </w:tc>
        <w:tc>
          <w:tcPr>
            <w:tcW w:w="1380" w:type="dxa"/>
          </w:tcPr>
          <w:p>
            <w:pPr>
              <w:pStyle w:val="TableParagraph"/>
              <w:spacing w:before="4"/>
              <w:ind w:right="348"/>
              <w:jc w:val="right"/>
              <w:rPr>
                <w:b/>
                <w:sz w:val="18"/>
              </w:rPr>
            </w:pPr>
            <w:r>
              <w:rPr>
                <w:b/>
                <w:w w:val="95"/>
                <w:sz w:val="18"/>
              </w:rPr>
              <w:t>617,320</w:t>
            </w:r>
          </w:p>
        </w:tc>
        <w:tc>
          <w:tcPr>
            <w:tcW w:w="1032" w:type="dxa"/>
          </w:tcPr>
          <w:p>
            <w:pPr>
              <w:pStyle w:val="TableParagraph"/>
              <w:spacing w:before="4"/>
              <w:ind w:left="290"/>
              <w:rPr>
                <w:sz w:val="18"/>
              </w:rPr>
            </w:pPr>
            <w:r>
              <w:rPr>
                <w:sz w:val="18"/>
              </w:rPr>
              <w:t>607,011</w:t>
            </w:r>
          </w:p>
        </w:tc>
      </w:tr>
      <w:tr>
        <w:trPr>
          <w:trHeight w:val="263" w:hRule="exact"/>
        </w:trPr>
        <w:tc>
          <w:tcPr>
            <w:tcW w:w="3457" w:type="dxa"/>
          </w:tcPr>
          <w:p>
            <w:pPr>
              <w:pStyle w:val="TableParagraph"/>
              <w:spacing w:before="20"/>
              <w:ind w:left="35" w:right="771"/>
              <w:rPr>
                <w:sz w:val="18"/>
              </w:rPr>
            </w:pPr>
            <w:r>
              <w:rPr>
                <w:sz w:val="18"/>
              </w:rPr>
              <w:t>Revaluation - gross</w:t>
            </w:r>
          </w:p>
        </w:tc>
        <w:tc>
          <w:tcPr>
            <w:tcW w:w="1728" w:type="dxa"/>
          </w:tcPr>
          <w:p>
            <w:pPr>
              <w:pStyle w:val="TableParagraph"/>
              <w:spacing w:before="18"/>
              <w:ind w:right="348"/>
              <w:jc w:val="right"/>
              <w:rPr>
                <w:b/>
                <w:sz w:val="18"/>
              </w:rPr>
            </w:pPr>
            <w:r>
              <w:rPr>
                <w:b/>
                <w:w w:val="95"/>
                <w:sz w:val="18"/>
              </w:rPr>
              <w:t>200,303</w:t>
            </w:r>
          </w:p>
        </w:tc>
        <w:tc>
          <w:tcPr>
            <w:tcW w:w="1380" w:type="dxa"/>
          </w:tcPr>
          <w:p>
            <w:pPr>
              <w:pStyle w:val="TableParagraph"/>
              <w:spacing w:before="18"/>
              <w:ind w:left="391"/>
              <w:rPr>
                <w:sz w:val="18"/>
              </w:rPr>
            </w:pPr>
            <w:r>
              <w:rPr>
                <w:sz w:val="18"/>
              </w:rPr>
              <w:t>18,900</w:t>
            </w:r>
          </w:p>
        </w:tc>
        <w:tc>
          <w:tcPr>
            <w:tcW w:w="1380" w:type="dxa"/>
          </w:tcPr>
          <w:p>
            <w:pPr>
              <w:pStyle w:val="TableParagraph"/>
              <w:spacing w:before="18"/>
              <w:ind w:right="348"/>
              <w:jc w:val="right"/>
              <w:rPr>
                <w:b/>
                <w:sz w:val="18"/>
              </w:rPr>
            </w:pPr>
            <w:r>
              <w:rPr>
                <w:b/>
                <w:w w:val="95"/>
                <w:sz w:val="18"/>
              </w:rPr>
              <w:t>200,303</w:t>
            </w:r>
          </w:p>
        </w:tc>
        <w:tc>
          <w:tcPr>
            <w:tcW w:w="1032" w:type="dxa"/>
          </w:tcPr>
          <w:p>
            <w:pPr>
              <w:pStyle w:val="TableParagraph"/>
              <w:spacing w:before="18"/>
              <w:ind w:left="391"/>
              <w:rPr>
                <w:sz w:val="18"/>
              </w:rPr>
            </w:pPr>
            <w:r>
              <w:rPr>
                <w:sz w:val="18"/>
              </w:rPr>
              <w:t>18,879</w:t>
            </w:r>
          </w:p>
        </w:tc>
      </w:tr>
      <w:tr>
        <w:trPr>
          <w:trHeight w:val="466" w:hRule="exact"/>
        </w:trPr>
        <w:tc>
          <w:tcPr>
            <w:tcW w:w="3457" w:type="dxa"/>
          </w:tcPr>
          <w:p>
            <w:pPr>
              <w:pStyle w:val="TableParagraph"/>
              <w:spacing w:before="16"/>
              <w:ind w:left="35" w:right="170"/>
              <w:rPr>
                <w:sz w:val="18"/>
              </w:rPr>
            </w:pPr>
            <w:r>
              <w:rPr>
                <w:sz w:val="18"/>
              </w:rPr>
              <w:t>Write back on disposal of revalued assets</w:t>
            </w:r>
          </w:p>
        </w:tc>
        <w:tc>
          <w:tcPr>
            <w:tcW w:w="1728" w:type="dxa"/>
          </w:tcPr>
          <w:p>
            <w:pPr>
              <w:pStyle w:val="TableParagraph"/>
              <w:spacing w:before="2"/>
              <w:rPr>
                <w:b/>
                <w:sz w:val="19"/>
              </w:rPr>
            </w:pPr>
          </w:p>
          <w:p>
            <w:pPr>
              <w:pStyle w:val="TableParagraph"/>
              <w:ind w:right="348"/>
              <w:jc w:val="right"/>
              <w:rPr>
                <w:b/>
                <w:sz w:val="18"/>
              </w:rPr>
            </w:pPr>
            <w:r>
              <w:rPr>
                <w:b/>
                <w:w w:val="99"/>
                <w:sz w:val="18"/>
              </w:rPr>
              <w:t>-</w:t>
            </w:r>
          </w:p>
        </w:tc>
        <w:tc>
          <w:tcPr>
            <w:tcW w:w="1380" w:type="dxa"/>
          </w:tcPr>
          <w:p>
            <w:pPr>
              <w:pStyle w:val="TableParagraph"/>
              <w:spacing w:before="2"/>
              <w:rPr>
                <w:b/>
                <w:sz w:val="19"/>
              </w:rPr>
            </w:pPr>
          </w:p>
          <w:p>
            <w:pPr>
              <w:pStyle w:val="TableParagraph"/>
              <w:ind w:right="372"/>
              <w:jc w:val="right"/>
              <w:rPr>
                <w:sz w:val="18"/>
              </w:rPr>
            </w:pPr>
            <w:r>
              <w:rPr>
                <w:sz w:val="18"/>
              </w:rPr>
              <w:t>(540)</w:t>
            </w:r>
          </w:p>
        </w:tc>
        <w:tc>
          <w:tcPr>
            <w:tcW w:w="1380" w:type="dxa"/>
          </w:tcPr>
          <w:p>
            <w:pPr>
              <w:pStyle w:val="TableParagraph"/>
              <w:spacing w:before="2"/>
              <w:rPr>
                <w:b/>
                <w:sz w:val="19"/>
              </w:rPr>
            </w:pPr>
          </w:p>
          <w:p>
            <w:pPr>
              <w:pStyle w:val="TableParagraph"/>
              <w:ind w:right="348"/>
              <w:jc w:val="right"/>
              <w:rPr>
                <w:b/>
                <w:sz w:val="18"/>
              </w:rPr>
            </w:pPr>
            <w:r>
              <w:rPr>
                <w:b/>
                <w:w w:val="99"/>
                <w:sz w:val="18"/>
              </w:rPr>
              <w:t>-</w:t>
            </w:r>
          </w:p>
        </w:tc>
        <w:tc>
          <w:tcPr>
            <w:tcW w:w="1032" w:type="dxa"/>
          </w:tcPr>
          <w:p>
            <w:pPr>
              <w:pStyle w:val="TableParagraph"/>
              <w:spacing w:before="2"/>
              <w:rPr>
                <w:b/>
                <w:sz w:val="19"/>
              </w:rPr>
            </w:pPr>
          </w:p>
          <w:p>
            <w:pPr>
              <w:pStyle w:val="TableParagraph"/>
              <w:ind w:right="24"/>
              <w:jc w:val="right"/>
              <w:rPr>
                <w:sz w:val="18"/>
              </w:rPr>
            </w:pPr>
            <w:r>
              <w:rPr>
                <w:sz w:val="18"/>
              </w:rPr>
              <w:t>(540)</w:t>
            </w:r>
          </w:p>
        </w:tc>
      </w:tr>
      <w:tr>
        <w:trPr>
          <w:trHeight w:val="463" w:hRule="exact"/>
        </w:trPr>
        <w:tc>
          <w:tcPr>
            <w:tcW w:w="3457" w:type="dxa"/>
          </w:tcPr>
          <w:p>
            <w:pPr>
              <w:pStyle w:val="TableParagraph"/>
              <w:spacing w:before="16"/>
              <w:ind w:left="35" w:right="901"/>
              <w:rPr>
                <w:sz w:val="18"/>
              </w:rPr>
            </w:pPr>
            <w:r>
              <w:rPr>
                <w:sz w:val="18"/>
              </w:rPr>
              <w:t>Transfer to assets-held-for-sale reserve</w:t>
            </w:r>
          </w:p>
        </w:tc>
        <w:tc>
          <w:tcPr>
            <w:tcW w:w="1728" w:type="dxa"/>
            <w:tcBorders>
              <w:bottom w:val="single" w:sz="1" w:space="0" w:color="000000"/>
            </w:tcBorders>
          </w:tcPr>
          <w:p>
            <w:pPr>
              <w:pStyle w:val="TableParagraph"/>
              <w:spacing w:before="2"/>
              <w:rPr>
                <w:b/>
                <w:sz w:val="19"/>
              </w:rPr>
            </w:pPr>
          </w:p>
          <w:p>
            <w:pPr>
              <w:pStyle w:val="TableParagraph"/>
              <w:ind w:right="288"/>
              <w:jc w:val="right"/>
              <w:rPr>
                <w:b/>
                <w:sz w:val="18"/>
              </w:rPr>
            </w:pPr>
            <w:r>
              <w:rPr>
                <w:b/>
                <w:w w:val="95"/>
                <w:sz w:val="18"/>
              </w:rPr>
              <w:t>(4,547)</w:t>
            </w:r>
          </w:p>
        </w:tc>
        <w:tc>
          <w:tcPr>
            <w:tcW w:w="1380" w:type="dxa"/>
            <w:tcBorders>
              <w:bottom w:val="single" w:sz="1" w:space="0" w:color="000000"/>
            </w:tcBorders>
          </w:tcPr>
          <w:p>
            <w:pPr>
              <w:pStyle w:val="TableParagraph"/>
              <w:spacing w:before="2"/>
              <w:rPr>
                <w:b/>
                <w:sz w:val="19"/>
              </w:rPr>
            </w:pPr>
          </w:p>
          <w:p>
            <w:pPr>
              <w:pStyle w:val="TableParagraph"/>
              <w:ind w:right="372"/>
              <w:jc w:val="right"/>
              <w:rPr>
                <w:sz w:val="18"/>
              </w:rPr>
            </w:pPr>
            <w:r>
              <w:rPr>
                <w:w w:val="95"/>
                <w:sz w:val="18"/>
              </w:rPr>
              <w:t>(8,030)</w:t>
            </w:r>
          </w:p>
        </w:tc>
        <w:tc>
          <w:tcPr>
            <w:tcW w:w="1380" w:type="dxa"/>
            <w:tcBorders>
              <w:bottom w:val="single" w:sz="1" w:space="0" w:color="000000"/>
            </w:tcBorders>
          </w:tcPr>
          <w:p>
            <w:pPr>
              <w:pStyle w:val="TableParagraph"/>
              <w:spacing w:before="2"/>
              <w:rPr>
                <w:b/>
                <w:sz w:val="19"/>
              </w:rPr>
            </w:pPr>
          </w:p>
          <w:p>
            <w:pPr>
              <w:pStyle w:val="TableParagraph"/>
              <w:ind w:right="288"/>
              <w:jc w:val="right"/>
              <w:rPr>
                <w:b/>
                <w:sz w:val="18"/>
              </w:rPr>
            </w:pPr>
            <w:r>
              <w:rPr>
                <w:b/>
                <w:w w:val="95"/>
                <w:sz w:val="18"/>
              </w:rPr>
              <w:t>(4,547)</w:t>
            </w:r>
          </w:p>
        </w:tc>
        <w:tc>
          <w:tcPr>
            <w:tcW w:w="1032" w:type="dxa"/>
            <w:tcBorders>
              <w:bottom w:val="single" w:sz="1" w:space="0" w:color="000000"/>
            </w:tcBorders>
          </w:tcPr>
          <w:p>
            <w:pPr>
              <w:pStyle w:val="TableParagraph"/>
              <w:spacing w:before="2"/>
              <w:rPr>
                <w:b/>
                <w:sz w:val="19"/>
              </w:rPr>
            </w:pPr>
          </w:p>
          <w:p>
            <w:pPr>
              <w:pStyle w:val="TableParagraph"/>
              <w:ind w:right="24"/>
              <w:jc w:val="right"/>
              <w:rPr>
                <w:sz w:val="18"/>
              </w:rPr>
            </w:pPr>
            <w:r>
              <w:rPr>
                <w:w w:val="95"/>
                <w:sz w:val="18"/>
              </w:rPr>
              <w:t>(8,030)</w:t>
            </w:r>
          </w:p>
        </w:tc>
      </w:tr>
      <w:tr>
        <w:trPr>
          <w:trHeight w:val="338" w:hRule="exact"/>
        </w:trPr>
        <w:tc>
          <w:tcPr>
            <w:tcW w:w="3457" w:type="dxa"/>
          </w:tcPr>
          <w:p>
            <w:pPr>
              <w:pStyle w:val="TableParagraph"/>
              <w:spacing w:before="125"/>
              <w:ind w:left="35" w:right="771"/>
              <w:rPr>
                <w:b/>
                <w:sz w:val="18"/>
              </w:rPr>
            </w:pPr>
            <w:r>
              <w:rPr>
                <w:b/>
                <w:sz w:val="18"/>
              </w:rPr>
              <w:t>Balance at 31 December</w:t>
            </w:r>
          </w:p>
        </w:tc>
        <w:tc>
          <w:tcPr>
            <w:tcW w:w="1728" w:type="dxa"/>
            <w:tcBorders>
              <w:top w:val="single" w:sz="1" w:space="0" w:color="000000"/>
              <w:bottom w:val="single" w:sz="1" w:space="0" w:color="000000"/>
            </w:tcBorders>
          </w:tcPr>
          <w:p>
            <w:pPr>
              <w:pStyle w:val="TableParagraph"/>
              <w:spacing w:before="124"/>
              <w:ind w:right="348"/>
              <w:jc w:val="right"/>
              <w:rPr>
                <w:b/>
                <w:sz w:val="18"/>
              </w:rPr>
            </w:pPr>
            <w:r>
              <w:rPr>
                <w:b/>
                <w:w w:val="95"/>
                <w:sz w:val="18"/>
              </w:rPr>
              <w:t>813,272</w:t>
            </w:r>
          </w:p>
        </w:tc>
        <w:tc>
          <w:tcPr>
            <w:tcW w:w="1380" w:type="dxa"/>
            <w:tcBorders>
              <w:top w:val="single" w:sz="1" w:space="0" w:color="000000"/>
              <w:bottom w:val="single" w:sz="1" w:space="0" w:color="000000"/>
            </w:tcBorders>
          </w:tcPr>
          <w:p>
            <w:pPr>
              <w:pStyle w:val="TableParagraph"/>
              <w:spacing w:before="124"/>
              <w:ind w:left="290"/>
              <w:rPr>
                <w:sz w:val="18"/>
              </w:rPr>
            </w:pPr>
            <w:r>
              <w:rPr>
                <w:sz w:val="18"/>
              </w:rPr>
              <w:t>617,516</w:t>
            </w:r>
          </w:p>
        </w:tc>
        <w:tc>
          <w:tcPr>
            <w:tcW w:w="1380" w:type="dxa"/>
            <w:tcBorders>
              <w:top w:val="single" w:sz="1" w:space="0" w:color="000000"/>
              <w:bottom w:val="single" w:sz="1" w:space="0" w:color="000000"/>
            </w:tcBorders>
          </w:tcPr>
          <w:p>
            <w:pPr>
              <w:pStyle w:val="TableParagraph"/>
              <w:spacing w:before="124"/>
              <w:ind w:right="348"/>
              <w:jc w:val="right"/>
              <w:rPr>
                <w:b/>
                <w:sz w:val="18"/>
              </w:rPr>
            </w:pPr>
            <w:r>
              <w:rPr>
                <w:b/>
                <w:w w:val="95"/>
                <w:sz w:val="18"/>
              </w:rPr>
              <w:t>813,076</w:t>
            </w:r>
          </w:p>
        </w:tc>
        <w:tc>
          <w:tcPr>
            <w:tcW w:w="1032" w:type="dxa"/>
            <w:tcBorders>
              <w:top w:val="single" w:sz="1" w:space="0" w:color="000000"/>
              <w:bottom w:val="single" w:sz="1" w:space="0" w:color="000000"/>
            </w:tcBorders>
          </w:tcPr>
          <w:p>
            <w:pPr>
              <w:pStyle w:val="TableParagraph"/>
              <w:spacing w:before="124"/>
              <w:ind w:left="290"/>
              <w:rPr>
                <w:sz w:val="18"/>
              </w:rPr>
            </w:pPr>
            <w:r>
              <w:rPr>
                <w:sz w:val="18"/>
              </w:rPr>
              <w:t>617,320</w:t>
            </w:r>
          </w:p>
        </w:tc>
      </w:tr>
      <w:tr>
        <w:trPr>
          <w:trHeight w:val="341" w:hRule="exact"/>
        </w:trPr>
        <w:tc>
          <w:tcPr>
            <w:tcW w:w="3457" w:type="dxa"/>
          </w:tcPr>
          <w:p>
            <w:pPr>
              <w:pStyle w:val="TableParagraph"/>
              <w:spacing w:before="125"/>
              <w:ind w:left="35" w:right="771"/>
              <w:rPr>
                <w:b/>
                <w:sz w:val="18"/>
              </w:rPr>
            </w:pPr>
            <w:r>
              <w:rPr>
                <w:b/>
                <w:sz w:val="18"/>
              </w:rPr>
              <w:t>State superannuation funds</w:t>
            </w:r>
          </w:p>
        </w:tc>
        <w:tc>
          <w:tcPr>
            <w:tcW w:w="1728"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32" w:type="dxa"/>
            <w:tcBorders>
              <w:top w:val="single" w:sz="1" w:space="0" w:color="000000"/>
            </w:tcBorders>
          </w:tcPr>
          <w:p>
            <w:pPr/>
          </w:p>
        </w:tc>
      </w:tr>
      <w:tr>
        <w:trPr>
          <w:trHeight w:val="221" w:hRule="exact"/>
        </w:trPr>
        <w:tc>
          <w:tcPr>
            <w:tcW w:w="3457" w:type="dxa"/>
          </w:tcPr>
          <w:p>
            <w:pPr>
              <w:pStyle w:val="TableParagraph"/>
              <w:spacing w:line="197" w:lineRule="exact"/>
              <w:ind w:left="35" w:right="771"/>
              <w:rPr>
                <w:b/>
                <w:sz w:val="18"/>
              </w:rPr>
            </w:pPr>
            <w:r>
              <w:rPr>
                <w:b/>
                <w:sz w:val="18"/>
              </w:rPr>
              <w:t>revaluation reserve</w:t>
            </w:r>
          </w:p>
        </w:tc>
        <w:tc>
          <w:tcPr>
            <w:tcW w:w="1728" w:type="dxa"/>
          </w:tcPr>
          <w:p>
            <w:pPr/>
          </w:p>
        </w:tc>
        <w:tc>
          <w:tcPr>
            <w:tcW w:w="1380" w:type="dxa"/>
          </w:tcPr>
          <w:p>
            <w:pPr/>
          </w:p>
        </w:tc>
        <w:tc>
          <w:tcPr>
            <w:tcW w:w="1380" w:type="dxa"/>
          </w:tcPr>
          <w:p>
            <w:pPr/>
          </w:p>
        </w:tc>
        <w:tc>
          <w:tcPr>
            <w:tcW w:w="1032" w:type="dxa"/>
          </w:tcPr>
          <w:p>
            <w:pPr/>
          </w:p>
        </w:tc>
      </w:tr>
      <w:tr>
        <w:trPr>
          <w:trHeight w:val="251" w:hRule="exact"/>
        </w:trPr>
        <w:tc>
          <w:tcPr>
            <w:tcW w:w="3457" w:type="dxa"/>
          </w:tcPr>
          <w:p>
            <w:pPr>
              <w:pStyle w:val="TableParagraph"/>
              <w:spacing w:before="7"/>
              <w:ind w:left="35" w:right="771"/>
              <w:rPr>
                <w:sz w:val="18"/>
              </w:rPr>
            </w:pPr>
            <w:r>
              <w:rPr>
                <w:sz w:val="18"/>
              </w:rPr>
              <w:t>Balance at 1 January</w:t>
            </w:r>
          </w:p>
        </w:tc>
        <w:tc>
          <w:tcPr>
            <w:tcW w:w="1728" w:type="dxa"/>
          </w:tcPr>
          <w:p>
            <w:pPr>
              <w:pStyle w:val="TableParagraph"/>
              <w:spacing w:before="4"/>
              <w:ind w:right="288"/>
              <w:jc w:val="right"/>
              <w:rPr>
                <w:b/>
                <w:sz w:val="18"/>
              </w:rPr>
            </w:pPr>
            <w:r>
              <w:rPr>
                <w:b/>
                <w:w w:val="95"/>
                <w:sz w:val="18"/>
              </w:rPr>
              <w:t>(646)</w:t>
            </w:r>
          </w:p>
        </w:tc>
        <w:tc>
          <w:tcPr>
            <w:tcW w:w="1380" w:type="dxa"/>
          </w:tcPr>
          <w:p>
            <w:pPr>
              <w:pStyle w:val="TableParagraph"/>
              <w:spacing w:before="4"/>
              <w:ind w:right="372"/>
              <w:jc w:val="right"/>
              <w:rPr>
                <w:sz w:val="18"/>
              </w:rPr>
            </w:pPr>
            <w:r>
              <w:rPr>
                <w:sz w:val="18"/>
              </w:rPr>
              <w:t>(280)</w:t>
            </w:r>
          </w:p>
        </w:tc>
        <w:tc>
          <w:tcPr>
            <w:tcW w:w="1380" w:type="dxa"/>
          </w:tcPr>
          <w:p>
            <w:pPr>
              <w:pStyle w:val="TableParagraph"/>
              <w:spacing w:before="4"/>
              <w:ind w:right="288"/>
              <w:jc w:val="right"/>
              <w:rPr>
                <w:b/>
                <w:sz w:val="18"/>
              </w:rPr>
            </w:pPr>
            <w:r>
              <w:rPr>
                <w:b/>
                <w:sz w:val="18"/>
              </w:rPr>
              <w:t>(646)</w:t>
            </w:r>
          </w:p>
        </w:tc>
        <w:tc>
          <w:tcPr>
            <w:tcW w:w="1032" w:type="dxa"/>
          </w:tcPr>
          <w:p>
            <w:pPr>
              <w:pStyle w:val="TableParagraph"/>
              <w:spacing w:before="4"/>
              <w:ind w:right="24"/>
              <w:jc w:val="right"/>
              <w:rPr>
                <w:sz w:val="18"/>
              </w:rPr>
            </w:pPr>
            <w:r>
              <w:rPr>
                <w:sz w:val="18"/>
              </w:rPr>
              <w:t>(280)</w:t>
            </w:r>
          </w:p>
        </w:tc>
      </w:tr>
      <w:tr>
        <w:trPr>
          <w:trHeight w:val="260" w:hRule="exact"/>
        </w:trPr>
        <w:tc>
          <w:tcPr>
            <w:tcW w:w="3457" w:type="dxa"/>
          </w:tcPr>
          <w:p>
            <w:pPr>
              <w:pStyle w:val="TableParagraph"/>
              <w:spacing w:before="20"/>
              <w:ind w:left="35" w:right="771"/>
              <w:rPr>
                <w:sz w:val="18"/>
              </w:rPr>
            </w:pPr>
            <w:r>
              <w:rPr>
                <w:sz w:val="18"/>
              </w:rPr>
              <w:t>Revaluation - gross</w:t>
            </w:r>
          </w:p>
        </w:tc>
        <w:tc>
          <w:tcPr>
            <w:tcW w:w="1728" w:type="dxa"/>
            <w:tcBorders>
              <w:bottom w:val="single" w:sz="1" w:space="0" w:color="000000"/>
            </w:tcBorders>
          </w:tcPr>
          <w:p>
            <w:pPr>
              <w:pStyle w:val="TableParagraph"/>
              <w:spacing w:before="18"/>
              <w:ind w:right="288"/>
              <w:jc w:val="right"/>
              <w:rPr>
                <w:b/>
                <w:sz w:val="18"/>
              </w:rPr>
            </w:pPr>
            <w:r>
              <w:rPr>
                <w:b/>
                <w:w w:val="95"/>
                <w:sz w:val="18"/>
              </w:rPr>
              <w:t>(1,447)</w:t>
            </w:r>
          </w:p>
        </w:tc>
        <w:tc>
          <w:tcPr>
            <w:tcW w:w="1380" w:type="dxa"/>
            <w:tcBorders>
              <w:bottom w:val="single" w:sz="1" w:space="0" w:color="000000"/>
            </w:tcBorders>
          </w:tcPr>
          <w:p>
            <w:pPr>
              <w:pStyle w:val="TableParagraph"/>
              <w:spacing w:before="18"/>
              <w:ind w:right="372"/>
              <w:jc w:val="right"/>
              <w:rPr>
                <w:sz w:val="18"/>
              </w:rPr>
            </w:pPr>
            <w:r>
              <w:rPr>
                <w:sz w:val="18"/>
              </w:rPr>
              <w:t>(366)</w:t>
            </w:r>
          </w:p>
        </w:tc>
        <w:tc>
          <w:tcPr>
            <w:tcW w:w="1380" w:type="dxa"/>
            <w:tcBorders>
              <w:bottom w:val="single" w:sz="1" w:space="0" w:color="000000"/>
            </w:tcBorders>
          </w:tcPr>
          <w:p>
            <w:pPr>
              <w:pStyle w:val="TableParagraph"/>
              <w:spacing w:before="18"/>
              <w:ind w:right="288"/>
              <w:jc w:val="right"/>
              <w:rPr>
                <w:b/>
                <w:sz w:val="18"/>
              </w:rPr>
            </w:pPr>
            <w:r>
              <w:rPr>
                <w:b/>
                <w:w w:val="95"/>
                <w:sz w:val="18"/>
              </w:rPr>
              <w:t>(1,447)</w:t>
            </w:r>
          </w:p>
        </w:tc>
        <w:tc>
          <w:tcPr>
            <w:tcW w:w="1032" w:type="dxa"/>
            <w:tcBorders>
              <w:bottom w:val="single" w:sz="1" w:space="0" w:color="000000"/>
            </w:tcBorders>
          </w:tcPr>
          <w:p>
            <w:pPr>
              <w:pStyle w:val="TableParagraph"/>
              <w:spacing w:before="18"/>
              <w:ind w:right="24"/>
              <w:jc w:val="right"/>
              <w:rPr>
                <w:sz w:val="18"/>
              </w:rPr>
            </w:pPr>
            <w:r>
              <w:rPr>
                <w:sz w:val="18"/>
              </w:rPr>
              <w:t>(366)</w:t>
            </w:r>
          </w:p>
        </w:tc>
      </w:tr>
      <w:tr>
        <w:trPr>
          <w:trHeight w:val="338" w:hRule="exact"/>
        </w:trPr>
        <w:tc>
          <w:tcPr>
            <w:tcW w:w="3457" w:type="dxa"/>
          </w:tcPr>
          <w:p>
            <w:pPr>
              <w:pStyle w:val="TableParagraph"/>
              <w:spacing w:before="125"/>
              <w:ind w:left="35" w:right="771"/>
              <w:rPr>
                <w:b/>
                <w:sz w:val="18"/>
              </w:rPr>
            </w:pPr>
            <w:r>
              <w:rPr>
                <w:b/>
                <w:sz w:val="18"/>
              </w:rPr>
              <w:t>Balance at 31 December</w:t>
            </w:r>
          </w:p>
        </w:tc>
        <w:tc>
          <w:tcPr>
            <w:tcW w:w="1728" w:type="dxa"/>
            <w:tcBorders>
              <w:top w:val="single" w:sz="1" w:space="0" w:color="000000"/>
              <w:bottom w:val="single" w:sz="1" w:space="0" w:color="000000"/>
            </w:tcBorders>
          </w:tcPr>
          <w:p>
            <w:pPr>
              <w:pStyle w:val="TableParagraph"/>
              <w:spacing w:before="124"/>
              <w:ind w:right="288"/>
              <w:jc w:val="right"/>
              <w:rPr>
                <w:b/>
                <w:sz w:val="18"/>
              </w:rPr>
            </w:pPr>
            <w:r>
              <w:rPr>
                <w:b/>
                <w:w w:val="95"/>
                <w:sz w:val="18"/>
              </w:rPr>
              <w:t>(2,093)</w:t>
            </w:r>
          </w:p>
        </w:tc>
        <w:tc>
          <w:tcPr>
            <w:tcW w:w="1380" w:type="dxa"/>
            <w:tcBorders>
              <w:top w:val="single" w:sz="1" w:space="0" w:color="000000"/>
              <w:bottom w:val="single" w:sz="1" w:space="0" w:color="000000"/>
            </w:tcBorders>
          </w:tcPr>
          <w:p>
            <w:pPr>
              <w:pStyle w:val="TableParagraph"/>
              <w:spacing w:before="124"/>
              <w:ind w:right="372"/>
              <w:jc w:val="right"/>
              <w:rPr>
                <w:sz w:val="18"/>
              </w:rPr>
            </w:pPr>
            <w:r>
              <w:rPr>
                <w:sz w:val="18"/>
              </w:rPr>
              <w:t>(646)</w:t>
            </w:r>
          </w:p>
        </w:tc>
        <w:tc>
          <w:tcPr>
            <w:tcW w:w="1380" w:type="dxa"/>
            <w:tcBorders>
              <w:top w:val="single" w:sz="1" w:space="0" w:color="000000"/>
              <w:bottom w:val="single" w:sz="1" w:space="0" w:color="000000"/>
            </w:tcBorders>
          </w:tcPr>
          <w:p>
            <w:pPr>
              <w:pStyle w:val="TableParagraph"/>
              <w:spacing w:before="124"/>
              <w:ind w:right="288"/>
              <w:jc w:val="right"/>
              <w:rPr>
                <w:b/>
                <w:sz w:val="18"/>
              </w:rPr>
            </w:pPr>
            <w:r>
              <w:rPr>
                <w:b/>
                <w:w w:val="95"/>
                <w:sz w:val="18"/>
              </w:rPr>
              <w:t>(2,093)</w:t>
            </w:r>
          </w:p>
        </w:tc>
        <w:tc>
          <w:tcPr>
            <w:tcW w:w="1032" w:type="dxa"/>
            <w:tcBorders>
              <w:top w:val="single" w:sz="1" w:space="0" w:color="000000"/>
              <w:bottom w:val="single" w:sz="1" w:space="0" w:color="000000"/>
            </w:tcBorders>
          </w:tcPr>
          <w:p>
            <w:pPr>
              <w:pStyle w:val="TableParagraph"/>
              <w:spacing w:before="124"/>
              <w:ind w:right="24"/>
              <w:jc w:val="right"/>
              <w:rPr>
                <w:sz w:val="18"/>
              </w:rPr>
            </w:pPr>
            <w:r>
              <w:rPr>
                <w:sz w:val="18"/>
              </w:rPr>
              <w:t>(646)</w:t>
            </w:r>
          </w:p>
        </w:tc>
      </w:tr>
      <w:tr>
        <w:trPr>
          <w:trHeight w:val="356" w:hRule="exact"/>
        </w:trPr>
        <w:tc>
          <w:tcPr>
            <w:tcW w:w="3457" w:type="dxa"/>
          </w:tcPr>
          <w:p>
            <w:pPr>
              <w:pStyle w:val="TableParagraph"/>
              <w:spacing w:before="125"/>
              <w:ind w:left="35" w:right="170"/>
              <w:rPr>
                <w:b/>
                <w:sz w:val="18"/>
              </w:rPr>
            </w:pPr>
            <w:r>
              <w:rPr>
                <w:b/>
                <w:sz w:val="18"/>
              </w:rPr>
              <w:t>Investment revaluation reserve</w:t>
            </w:r>
          </w:p>
        </w:tc>
        <w:tc>
          <w:tcPr>
            <w:tcW w:w="1728"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32" w:type="dxa"/>
            <w:tcBorders>
              <w:top w:val="single" w:sz="1" w:space="0" w:color="000000"/>
            </w:tcBorders>
          </w:tcPr>
          <w:p>
            <w:pPr/>
          </w:p>
        </w:tc>
      </w:tr>
      <w:tr>
        <w:trPr>
          <w:trHeight w:val="251" w:hRule="exact"/>
        </w:trPr>
        <w:tc>
          <w:tcPr>
            <w:tcW w:w="3457" w:type="dxa"/>
          </w:tcPr>
          <w:p>
            <w:pPr>
              <w:pStyle w:val="TableParagraph"/>
              <w:spacing w:before="7"/>
              <w:ind w:left="35" w:right="771"/>
              <w:rPr>
                <w:sz w:val="18"/>
              </w:rPr>
            </w:pPr>
            <w:r>
              <w:rPr>
                <w:sz w:val="18"/>
              </w:rPr>
              <w:t>Balance at 1 January</w:t>
            </w:r>
          </w:p>
        </w:tc>
        <w:tc>
          <w:tcPr>
            <w:tcW w:w="1728" w:type="dxa"/>
          </w:tcPr>
          <w:p>
            <w:pPr>
              <w:pStyle w:val="TableParagraph"/>
              <w:spacing w:before="4"/>
              <w:ind w:right="348"/>
              <w:jc w:val="right"/>
              <w:rPr>
                <w:b/>
                <w:sz w:val="18"/>
              </w:rPr>
            </w:pPr>
            <w:r>
              <w:rPr>
                <w:b/>
                <w:w w:val="95"/>
                <w:sz w:val="18"/>
              </w:rPr>
              <w:t>16,767</w:t>
            </w:r>
          </w:p>
        </w:tc>
        <w:tc>
          <w:tcPr>
            <w:tcW w:w="1380" w:type="dxa"/>
          </w:tcPr>
          <w:p>
            <w:pPr>
              <w:pStyle w:val="TableParagraph"/>
              <w:spacing w:before="4"/>
              <w:ind w:left="391"/>
              <w:rPr>
                <w:sz w:val="18"/>
              </w:rPr>
            </w:pPr>
            <w:r>
              <w:rPr>
                <w:sz w:val="18"/>
              </w:rPr>
              <w:t>12,043</w:t>
            </w:r>
          </w:p>
        </w:tc>
        <w:tc>
          <w:tcPr>
            <w:tcW w:w="1380" w:type="dxa"/>
          </w:tcPr>
          <w:p>
            <w:pPr>
              <w:pStyle w:val="TableParagraph"/>
              <w:spacing w:before="4"/>
              <w:ind w:right="348"/>
              <w:jc w:val="right"/>
              <w:rPr>
                <w:b/>
                <w:sz w:val="18"/>
              </w:rPr>
            </w:pPr>
            <w:r>
              <w:rPr>
                <w:b/>
                <w:w w:val="95"/>
                <w:sz w:val="18"/>
              </w:rPr>
              <w:t>12,714</w:t>
            </w:r>
          </w:p>
        </w:tc>
        <w:tc>
          <w:tcPr>
            <w:tcW w:w="1032" w:type="dxa"/>
          </w:tcPr>
          <w:p>
            <w:pPr>
              <w:pStyle w:val="TableParagraph"/>
              <w:spacing w:before="4"/>
              <w:ind w:right="84"/>
              <w:jc w:val="right"/>
              <w:rPr>
                <w:sz w:val="18"/>
              </w:rPr>
            </w:pPr>
            <w:r>
              <w:rPr>
                <w:w w:val="95"/>
                <w:sz w:val="18"/>
              </w:rPr>
              <w:t>7,990</w:t>
            </w:r>
          </w:p>
        </w:tc>
      </w:tr>
      <w:tr>
        <w:trPr>
          <w:trHeight w:val="260" w:hRule="exact"/>
        </w:trPr>
        <w:tc>
          <w:tcPr>
            <w:tcW w:w="3457" w:type="dxa"/>
          </w:tcPr>
          <w:p>
            <w:pPr>
              <w:pStyle w:val="TableParagraph"/>
              <w:spacing w:before="20"/>
              <w:ind w:left="35" w:right="771"/>
              <w:rPr>
                <w:sz w:val="18"/>
              </w:rPr>
            </w:pPr>
            <w:r>
              <w:rPr>
                <w:sz w:val="18"/>
              </w:rPr>
              <w:t>Revaluation - gross</w:t>
            </w:r>
          </w:p>
        </w:tc>
        <w:tc>
          <w:tcPr>
            <w:tcW w:w="1728" w:type="dxa"/>
            <w:tcBorders>
              <w:bottom w:val="single" w:sz="1" w:space="0" w:color="000000"/>
            </w:tcBorders>
          </w:tcPr>
          <w:p>
            <w:pPr>
              <w:pStyle w:val="TableParagraph"/>
              <w:spacing w:before="18"/>
              <w:ind w:right="348"/>
              <w:jc w:val="right"/>
              <w:rPr>
                <w:b/>
                <w:sz w:val="18"/>
              </w:rPr>
            </w:pPr>
            <w:r>
              <w:rPr>
                <w:b/>
                <w:w w:val="95"/>
                <w:sz w:val="18"/>
              </w:rPr>
              <w:t>2,733</w:t>
            </w:r>
          </w:p>
        </w:tc>
        <w:tc>
          <w:tcPr>
            <w:tcW w:w="1380" w:type="dxa"/>
            <w:tcBorders>
              <w:bottom w:val="single" w:sz="1" w:space="0" w:color="000000"/>
            </w:tcBorders>
          </w:tcPr>
          <w:p>
            <w:pPr>
              <w:pStyle w:val="TableParagraph"/>
              <w:spacing w:before="18"/>
              <w:ind w:left="491"/>
              <w:rPr>
                <w:sz w:val="18"/>
              </w:rPr>
            </w:pPr>
            <w:r>
              <w:rPr>
                <w:sz w:val="18"/>
              </w:rPr>
              <w:t>4,724</w:t>
            </w:r>
          </w:p>
        </w:tc>
        <w:tc>
          <w:tcPr>
            <w:tcW w:w="1380" w:type="dxa"/>
            <w:tcBorders>
              <w:bottom w:val="single" w:sz="1" w:space="0" w:color="000000"/>
            </w:tcBorders>
          </w:tcPr>
          <w:p>
            <w:pPr>
              <w:pStyle w:val="TableParagraph"/>
              <w:spacing w:before="18"/>
              <w:ind w:right="348"/>
              <w:jc w:val="right"/>
              <w:rPr>
                <w:b/>
                <w:sz w:val="18"/>
              </w:rPr>
            </w:pPr>
            <w:r>
              <w:rPr>
                <w:b/>
                <w:w w:val="95"/>
                <w:sz w:val="18"/>
              </w:rPr>
              <w:t>2,733</w:t>
            </w:r>
          </w:p>
        </w:tc>
        <w:tc>
          <w:tcPr>
            <w:tcW w:w="1032" w:type="dxa"/>
            <w:tcBorders>
              <w:bottom w:val="single" w:sz="1" w:space="0" w:color="000000"/>
            </w:tcBorders>
          </w:tcPr>
          <w:p>
            <w:pPr>
              <w:pStyle w:val="TableParagraph"/>
              <w:spacing w:before="18"/>
              <w:ind w:right="84"/>
              <w:jc w:val="right"/>
              <w:rPr>
                <w:sz w:val="18"/>
              </w:rPr>
            </w:pPr>
            <w:r>
              <w:rPr>
                <w:w w:val="95"/>
                <w:sz w:val="18"/>
              </w:rPr>
              <w:t>4,724</w:t>
            </w:r>
          </w:p>
        </w:tc>
      </w:tr>
      <w:tr>
        <w:trPr>
          <w:trHeight w:val="338" w:hRule="exact"/>
        </w:trPr>
        <w:tc>
          <w:tcPr>
            <w:tcW w:w="3457" w:type="dxa"/>
          </w:tcPr>
          <w:p>
            <w:pPr>
              <w:pStyle w:val="TableParagraph"/>
              <w:spacing w:before="125"/>
              <w:ind w:left="35" w:right="771"/>
              <w:rPr>
                <w:b/>
                <w:sz w:val="18"/>
              </w:rPr>
            </w:pPr>
            <w:r>
              <w:rPr>
                <w:b/>
                <w:sz w:val="18"/>
              </w:rPr>
              <w:t>Balance at 31 December</w:t>
            </w:r>
          </w:p>
        </w:tc>
        <w:tc>
          <w:tcPr>
            <w:tcW w:w="1728" w:type="dxa"/>
            <w:tcBorders>
              <w:top w:val="single" w:sz="1" w:space="0" w:color="000000"/>
              <w:bottom w:val="single" w:sz="1" w:space="0" w:color="000000"/>
            </w:tcBorders>
          </w:tcPr>
          <w:p>
            <w:pPr>
              <w:pStyle w:val="TableParagraph"/>
              <w:spacing w:before="124"/>
              <w:ind w:right="348"/>
              <w:jc w:val="right"/>
              <w:rPr>
                <w:b/>
                <w:sz w:val="18"/>
              </w:rPr>
            </w:pPr>
            <w:r>
              <w:rPr>
                <w:b/>
                <w:w w:val="95"/>
                <w:sz w:val="18"/>
              </w:rPr>
              <w:t>19,500</w:t>
            </w:r>
          </w:p>
        </w:tc>
        <w:tc>
          <w:tcPr>
            <w:tcW w:w="1380" w:type="dxa"/>
            <w:tcBorders>
              <w:top w:val="single" w:sz="1" w:space="0" w:color="000000"/>
              <w:bottom w:val="single" w:sz="1" w:space="0" w:color="000000"/>
            </w:tcBorders>
          </w:tcPr>
          <w:p>
            <w:pPr>
              <w:pStyle w:val="TableParagraph"/>
              <w:spacing w:before="124"/>
              <w:ind w:left="391"/>
              <w:rPr>
                <w:sz w:val="18"/>
              </w:rPr>
            </w:pPr>
            <w:r>
              <w:rPr>
                <w:sz w:val="18"/>
              </w:rPr>
              <w:t>16,767</w:t>
            </w:r>
          </w:p>
        </w:tc>
        <w:tc>
          <w:tcPr>
            <w:tcW w:w="1380" w:type="dxa"/>
            <w:tcBorders>
              <w:top w:val="single" w:sz="1" w:space="0" w:color="000000"/>
              <w:bottom w:val="single" w:sz="1" w:space="0" w:color="000000"/>
            </w:tcBorders>
          </w:tcPr>
          <w:p>
            <w:pPr>
              <w:pStyle w:val="TableParagraph"/>
              <w:spacing w:before="124"/>
              <w:ind w:right="348"/>
              <w:jc w:val="right"/>
              <w:rPr>
                <w:b/>
                <w:sz w:val="18"/>
              </w:rPr>
            </w:pPr>
            <w:r>
              <w:rPr>
                <w:b/>
                <w:w w:val="95"/>
                <w:sz w:val="18"/>
              </w:rPr>
              <w:t>15,447</w:t>
            </w:r>
          </w:p>
        </w:tc>
        <w:tc>
          <w:tcPr>
            <w:tcW w:w="1032" w:type="dxa"/>
            <w:tcBorders>
              <w:top w:val="single" w:sz="1" w:space="0" w:color="000000"/>
              <w:bottom w:val="single" w:sz="1" w:space="0" w:color="000000"/>
            </w:tcBorders>
          </w:tcPr>
          <w:p>
            <w:pPr>
              <w:pStyle w:val="TableParagraph"/>
              <w:spacing w:before="124"/>
              <w:ind w:left="391"/>
              <w:rPr>
                <w:sz w:val="18"/>
              </w:rPr>
            </w:pPr>
            <w:r>
              <w:rPr>
                <w:sz w:val="18"/>
              </w:rPr>
              <w:t>12,714</w:t>
            </w:r>
          </w:p>
        </w:tc>
      </w:tr>
      <w:tr>
        <w:trPr>
          <w:trHeight w:val="356" w:hRule="exact"/>
        </w:trPr>
        <w:tc>
          <w:tcPr>
            <w:tcW w:w="3457" w:type="dxa"/>
          </w:tcPr>
          <w:p>
            <w:pPr>
              <w:pStyle w:val="TableParagraph"/>
              <w:spacing w:before="125"/>
              <w:ind w:left="35" w:right="771"/>
              <w:rPr>
                <w:b/>
                <w:sz w:val="18"/>
              </w:rPr>
            </w:pPr>
            <w:r>
              <w:rPr>
                <w:b/>
                <w:sz w:val="18"/>
              </w:rPr>
              <w:t>Art work revaluation reserve</w:t>
            </w:r>
          </w:p>
        </w:tc>
        <w:tc>
          <w:tcPr>
            <w:tcW w:w="1728"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32" w:type="dxa"/>
            <w:tcBorders>
              <w:top w:val="single" w:sz="1" w:space="0" w:color="000000"/>
            </w:tcBorders>
          </w:tcPr>
          <w:p>
            <w:pPr/>
          </w:p>
        </w:tc>
      </w:tr>
      <w:tr>
        <w:trPr>
          <w:trHeight w:val="251" w:hRule="exact"/>
        </w:trPr>
        <w:tc>
          <w:tcPr>
            <w:tcW w:w="3457" w:type="dxa"/>
          </w:tcPr>
          <w:p>
            <w:pPr>
              <w:pStyle w:val="TableParagraph"/>
              <w:spacing w:before="7"/>
              <w:ind w:left="35" w:right="771"/>
              <w:rPr>
                <w:sz w:val="18"/>
              </w:rPr>
            </w:pPr>
            <w:r>
              <w:rPr>
                <w:sz w:val="18"/>
              </w:rPr>
              <w:t>Balance at 1 January</w:t>
            </w:r>
          </w:p>
        </w:tc>
        <w:tc>
          <w:tcPr>
            <w:tcW w:w="1728" w:type="dxa"/>
          </w:tcPr>
          <w:p>
            <w:pPr>
              <w:pStyle w:val="TableParagraph"/>
              <w:spacing w:before="4"/>
              <w:ind w:right="348"/>
              <w:jc w:val="right"/>
              <w:rPr>
                <w:b/>
                <w:sz w:val="18"/>
              </w:rPr>
            </w:pPr>
            <w:r>
              <w:rPr>
                <w:b/>
                <w:w w:val="95"/>
                <w:sz w:val="18"/>
              </w:rPr>
              <w:t>2,420</w:t>
            </w:r>
          </w:p>
        </w:tc>
        <w:tc>
          <w:tcPr>
            <w:tcW w:w="1380" w:type="dxa"/>
          </w:tcPr>
          <w:p>
            <w:pPr>
              <w:pStyle w:val="TableParagraph"/>
              <w:spacing w:before="4"/>
              <w:ind w:left="491"/>
              <w:rPr>
                <w:sz w:val="18"/>
              </w:rPr>
            </w:pPr>
            <w:r>
              <w:rPr>
                <w:sz w:val="18"/>
              </w:rPr>
              <w:t>1,434</w:t>
            </w:r>
          </w:p>
        </w:tc>
        <w:tc>
          <w:tcPr>
            <w:tcW w:w="1380" w:type="dxa"/>
          </w:tcPr>
          <w:p>
            <w:pPr>
              <w:pStyle w:val="TableParagraph"/>
              <w:spacing w:before="4"/>
              <w:ind w:right="348"/>
              <w:jc w:val="right"/>
              <w:rPr>
                <w:b/>
                <w:sz w:val="18"/>
              </w:rPr>
            </w:pPr>
            <w:r>
              <w:rPr>
                <w:b/>
                <w:w w:val="95"/>
                <w:sz w:val="18"/>
              </w:rPr>
              <w:t>2,420</w:t>
            </w:r>
          </w:p>
        </w:tc>
        <w:tc>
          <w:tcPr>
            <w:tcW w:w="1032" w:type="dxa"/>
          </w:tcPr>
          <w:p>
            <w:pPr>
              <w:pStyle w:val="TableParagraph"/>
              <w:spacing w:before="4"/>
              <w:ind w:right="84"/>
              <w:jc w:val="right"/>
              <w:rPr>
                <w:sz w:val="18"/>
              </w:rPr>
            </w:pPr>
            <w:r>
              <w:rPr>
                <w:w w:val="95"/>
                <w:sz w:val="18"/>
              </w:rPr>
              <w:t>1,434</w:t>
            </w:r>
          </w:p>
        </w:tc>
      </w:tr>
      <w:tr>
        <w:trPr>
          <w:trHeight w:val="260" w:hRule="exact"/>
        </w:trPr>
        <w:tc>
          <w:tcPr>
            <w:tcW w:w="3457" w:type="dxa"/>
          </w:tcPr>
          <w:p>
            <w:pPr>
              <w:pStyle w:val="TableParagraph"/>
              <w:spacing w:before="20"/>
              <w:ind w:left="35" w:right="771"/>
              <w:rPr>
                <w:sz w:val="18"/>
              </w:rPr>
            </w:pPr>
            <w:r>
              <w:rPr>
                <w:sz w:val="18"/>
              </w:rPr>
              <w:t>Revaluation - gross</w:t>
            </w:r>
          </w:p>
        </w:tc>
        <w:tc>
          <w:tcPr>
            <w:tcW w:w="1728" w:type="dxa"/>
            <w:tcBorders>
              <w:bottom w:val="single" w:sz="1" w:space="0" w:color="000000"/>
            </w:tcBorders>
          </w:tcPr>
          <w:p>
            <w:pPr>
              <w:pStyle w:val="TableParagraph"/>
              <w:spacing w:before="18"/>
              <w:ind w:right="288"/>
              <w:jc w:val="right"/>
              <w:rPr>
                <w:b/>
                <w:sz w:val="18"/>
              </w:rPr>
            </w:pPr>
            <w:r>
              <w:rPr>
                <w:b/>
                <w:sz w:val="18"/>
              </w:rPr>
              <w:t>(3)</w:t>
            </w:r>
          </w:p>
        </w:tc>
        <w:tc>
          <w:tcPr>
            <w:tcW w:w="1380" w:type="dxa"/>
            <w:tcBorders>
              <w:bottom w:val="single" w:sz="1" w:space="0" w:color="000000"/>
            </w:tcBorders>
          </w:tcPr>
          <w:p>
            <w:pPr>
              <w:pStyle w:val="TableParagraph"/>
              <w:spacing w:before="18"/>
              <w:ind w:left="643"/>
              <w:rPr>
                <w:sz w:val="18"/>
              </w:rPr>
            </w:pPr>
            <w:r>
              <w:rPr>
                <w:sz w:val="18"/>
              </w:rPr>
              <w:t>986</w:t>
            </w:r>
          </w:p>
        </w:tc>
        <w:tc>
          <w:tcPr>
            <w:tcW w:w="1380" w:type="dxa"/>
            <w:tcBorders>
              <w:bottom w:val="single" w:sz="1" w:space="0" w:color="000000"/>
            </w:tcBorders>
          </w:tcPr>
          <w:p>
            <w:pPr>
              <w:pStyle w:val="TableParagraph"/>
              <w:spacing w:before="18"/>
              <w:ind w:right="288"/>
              <w:jc w:val="right"/>
              <w:rPr>
                <w:b/>
                <w:sz w:val="18"/>
              </w:rPr>
            </w:pPr>
            <w:r>
              <w:rPr>
                <w:b/>
                <w:sz w:val="18"/>
              </w:rPr>
              <w:t>(3)</w:t>
            </w:r>
          </w:p>
        </w:tc>
        <w:tc>
          <w:tcPr>
            <w:tcW w:w="1032" w:type="dxa"/>
            <w:tcBorders>
              <w:bottom w:val="single" w:sz="1" w:space="0" w:color="000000"/>
            </w:tcBorders>
          </w:tcPr>
          <w:p>
            <w:pPr>
              <w:pStyle w:val="TableParagraph"/>
              <w:spacing w:before="18"/>
              <w:ind w:right="84"/>
              <w:jc w:val="right"/>
              <w:rPr>
                <w:sz w:val="18"/>
              </w:rPr>
            </w:pPr>
            <w:r>
              <w:rPr>
                <w:w w:val="95"/>
                <w:sz w:val="18"/>
              </w:rPr>
              <w:t>986</w:t>
            </w:r>
          </w:p>
        </w:tc>
      </w:tr>
      <w:tr>
        <w:trPr>
          <w:trHeight w:val="338" w:hRule="exact"/>
        </w:trPr>
        <w:tc>
          <w:tcPr>
            <w:tcW w:w="3457" w:type="dxa"/>
          </w:tcPr>
          <w:p>
            <w:pPr>
              <w:pStyle w:val="TableParagraph"/>
              <w:spacing w:before="125"/>
              <w:ind w:left="35" w:right="771"/>
              <w:rPr>
                <w:b/>
                <w:sz w:val="18"/>
              </w:rPr>
            </w:pPr>
            <w:r>
              <w:rPr>
                <w:b/>
                <w:sz w:val="18"/>
              </w:rPr>
              <w:t>Balance at 31 December</w:t>
            </w:r>
          </w:p>
        </w:tc>
        <w:tc>
          <w:tcPr>
            <w:tcW w:w="1728" w:type="dxa"/>
            <w:tcBorders>
              <w:top w:val="single" w:sz="1" w:space="0" w:color="000000"/>
              <w:bottom w:val="single" w:sz="1" w:space="0" w:color="000000"/>
            </w:tcBorders>
          </w:tcPr>
          <w:p>
            <w:pPr>
              <w:pStyle w:val="TableParagraph"/>
              <w:spacing w:before="124"/>
              <w:ind w:right="348"/>
              <w:jc w:val="right"/>
              <w:rPr>
                <w:b/>
                <w:sz w:val="18"/>
              </w:rPr>
            </w:pPr>
            <w:r>
              <w:rPr>
                <w:b/>
                <w:w w:val="95"/>
                <w:sz w:val="18"/>
              </w:rPr>
              <w:t>2,417</w:t>
            </w:r>
          </w:p>
        </w:tc>
        <w:tc>
          <w:tcPr>
            <w:tcW w:w="1380" w:type="dxa"/>
            <w:tcBorders>
              <w:top w:val="single" w:sz="1" w:space="0" w:color="000000"/>
              <w:bottom w:val="single" w:sz="1" w:space="0" w:color="000000"/>
            </w:tcBorders>
          </w:tcPr>
          <w:p>
            <w:pPr>
              <w:pStyle w:val="TableParagraph"/>
              <w:spacing w:before="124"/>
              <w:ind w:left="491"/>
              <w:rPr>
                <w:sz w:val="18"/>
              </w:rPr>
            </w:pPr>
            <w:r>
              <w:rPr>
                <w:sz w:val="18"/>
              </w:rPr>
              <w:t>2,420</w:t>
            </w:r>
          </w:p>
        </w:tc>
        <w:tc>
          <w:tcPr>
            <w:tcW w:w="1380" w:type="dxa"/>
            <w:tcBorders>
              <w:top w:val="single" w:sz="1" w:space="0" w:color="000000"/>
              <w:bottom w:val="single" w:sz="1" w:space="0" w:color="000000"/>
            </w:tcBorders>
          </w:tcPr>
          <w:p>
            <w:pPr>
              <w:pStyle w:val="TableParagraph"/>
              <w:spacing w:before="124"/>
              <w:ind w:right="348"/>
              <w:jc w:val="right"/>
              <w:rPr>
                <w:b/>
                <w:sz w:val="18"/>
              </w:rPr>
            </w:pPr>
            <w:r>
              <w:rPr>
                <w:b/>
                <w:w w:val="95"/>
                <w:sz w:val="18"/>
              </w:rPr>
              <w:t>2,417</w:t>
            </w:r>
          </w:p>
        </w:tc>
        <w:tc>
          <w:tcPr>
            <w:tcW w:w="1032" w:type="dxa"/>
            <w:tcBorders>
              <w:top w:val="single" w:sz="1" w:space="0" w:color="000000"/>
              <w:bottom w:val="single" w:sz="1" w:space="0" w:color="000000"/>
            </w:tcBorders>
          </w:tcPr>
          <w:p>
            <w:pPr>
              <w:pStyle w:val="TableParagraph"/>
              <w:spacing w:before="124"/>
              <w:ind w:right="84"/>
              <w:jc w:val="right"/>
              <w:rPr>
                <w:sz w:val="18"/>
              </w:rPr>
            </w:pPr>
            <w:r>
              <w:rPr>
                <w:w w:val="95"/>
                <w:sz w:val="18"/>
              </w:rPr>
              <w:t>2,420</w:t>
            </w:r>
          </w:p>
        </w:tc>
      </w:tr>
      <w:tr>
        <w:trPr>
          <w:trHeight w:val="356" w:hRule="exact"/>
        </w:trPr>
        <w:tc>
          <w:tcPr>
            <w:tcW w:w="3457" w:type="dxa"/>
          </w:tcPr>
          <w:p>
            <w:pPr>
              <w:pStyle w:val="TableParagraph"/>
              <w:spacing w:before="125"/>
              <w:ind w:left="35" w:right="771"/>
              <w:rPr>
                <w:b/>
                <w:sz w:val="18"/>
              </w:rPr>
            </w:pPr>
            <w:r>
              <w:rPr>
                <w:b/>
                <w:sz w:val="18"/>
              </w:rPr>
              <w:t>Livestock revaluation reserve</w:t>
            </w:r>
          </w:p>
        </w:tc>
        <w:tc>
          <w:tcPr>
            <w:tcW w:w="1728"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32" w:type="dxa"/>
            <w:tcBorders>
              <w:top w:val="single" w:sz="1" w:space="0" w:color="000000"/>
            </w:tcBorders>
          </w:tcPr>
          <w:p>
            <w:pPr/>
          </w:p>
        </w:tc>
      </w:tr>
      <w:tr>
        <w:trPr>
          <w:trHeight w:val="251" w:hRule="exact"/>
        </w:trPr>
        <w:tc>
          <w:tcPr>
            <w:tcW w:w="3457" w:type="dxa"/>
          </w:tcPr>
          <w:p>
            <w:pPr>
              <w:pStyle w:val="TableParagraph"/>
              <w:spacing w:before="7"/>
              <w:ind w:left="35" w:right="771"/>
              <w:rPr>
                <w:sz w:val="18"/>
              </w:rPr>
            </w:pPr>
            <w:r>
              <w:rPr>
                <w:sz w:val="18"/>
              </w:rPr>
              <w:t>Balance at 1 January</w:t>
            </w:r>
          </w:p>
        </w:tc>
        <w:tc>
          <w:tcPr>
            <w:tcW w:w="1728" w:type="dxa"/>
          </w:tcPr>
          <w:p>
            <w:pPr>
              <w:pStyle w:val="TableParagraph"/>
              <w:spacing w:before="4"/>
              <w:ind w:right="348"/>
              <w:jc w:val="right"/>
              <w:rPr>
                <w:b/>
                <w:sz w:val="18"/>
              </w:rPr>
            </w:pPr>
            <w:r>
              <w:rPr>
                <w:b/>
                <w:w w:val="95"/>
                <w:sz w:val="18"/>
              </w:rPr>
              <w:t>238</w:t>
            </w:r>
          </w:p>
        </w:tc>
        <w:tc>
          <w:tcPr>
            <w:tcW w:w="1380" w:type="dxa"/>
          </w:tcPr>
          <w:p>
            <w:pPr>
              <w:pStyle w:val="TableParagraph"/>
              <w:spacing w:before="4"/>
              <w:ind w:left="643"/>
              <w:rPr>
                <w:sz w:val="18"/>
              </w:rPr>
            </w:pPr>
            <w:r>
              <w:rPr>
                <w:sz w:val="18"/>
              </w:rPr>
              <w:t>452</w:t>
            </w:r>
          </w:p>
        </w:tc>
        <w:tc>
          <w:tcPr>
            <w:tcW w:w="1380" w:type="dxa"/>
          </w:tcPr>
          <w:p>
            <w:pPr>
              <w:pStyle w:val="TableParagraph"/>
              <w:spacing w:before="4"/>
              <w:ind w:right="348"/>
              <w:jc w:val="right"/>
              <w:rPr>
                <w:b/>
                <w:sz w:val="18"/>
              </w:rPr>
            </w:pPr>
            <w:r>
              <w:rPr>
                <w:b/>
                <w:w w:val="95"/>
                <w:sz w:val="18"/>
              </w:rPr>
              <w:t>238</w:t>
            </w:r>
          </w:p>
        </w:tc>
        <w:tc>
          <w:tcPr>
            <w:tcW w:w="1032" w:type="dxa"/>
          </w:tcPr>
          <w:p>
            <w:pPr>
              <w:pStyle w:val="TableParagraph"/>
              <w:spacing w:before="4"/>
              <w:ind w:right="84"/>
              <w:jc w:val="right"/>
              <w:rPr>
                <w:sz w:val="18"/>
              </w:rPr>
            </w:pPr>
            <w:r>
              <w:rPr>
                <w:w w:val="95"/>
                <w:sz w:val="18"/>
              </w:rPr>
              <w:t>452</w:t>
            </w:r>
          </w:p>
        </w:tc>
      </w:tr>
      <w:tr>
        <w:trPr>
          <w:trHeight w:val="260" w:hRule="exact"/>
        </w:trPr>
        <w:tc>
          <w:tcPr>
            <w:tcW w:w="3457" w:type="dxa"/>
          </w:tcPr>
          <w:p>
            <w:pPr>
              <w:pStyle w:val="TableParagraph"/>
              <w:spacing w:before="20"/>
              <w:ind w:left="35" w:right="771"/>
              <w:rPr>
                <w:sz w:val="18"/>
              </w:rPr>
            </w:pPr>
            <w:r>
              <w:rPr>
                <w:sz w:val="18"/>
              </w:rPr>
              <w:t>Revaluation - gross</w:t>
            </w:r>
          </w:p>
        </w:tc>
        <w:tc>
          <w:tcPr>
            <w:tcW w:w="1728" w:type="dxa"/>
            <w:tcBorders>
              <w:bottom w:val="single" w:sz="1" w:space="0" w:color="000000"/>
            </w:tcBorders>
          </w:tcPr>
          <w:p>
            <w:pPr>
              <w:pStyle w:val="TableParagraph"/>
              <w:spacing w:before="18"/>
              <w:ind w:right="348"/>
              <w:jc w:val="right"/>
              <w:rPr>
                <w:b/>
                <w:sz w:val="18"/>
              </w:rPr>
            </w:pPr>
            <w:r>
              <w:rPr>
                <w:b/>
                <w:sz w:val="18"/>
              </w:rPr>
              <w:t>48</w:t>
            </w:r>
          </w:p>
        </w:tc>
        <w:tc>
          <w:tcPr>
            <w:tcW w:w="1380" w:type="dxa"/>
            <w:tcBorders>
              <w:bottom w:val="single" w:sz="1" w:space="0" w:color="000000"/>
            </w:tcBorders>
          </w:tcPr>
          <w:p>
            <w:pPr>
              <w:pStyle w:val="TableParagraph"/>
              <w:spacing w:before="18"/>
              <w:ind w:right="372"/>
              <w:jc w:val="right"/>
              <w:rPr>
                <w:sz w:val="18"/>
              </w:rPr>
            </w:pPr>
            <w:r>
              <w:rPr>
                <w:sz w:val="18"/>
              </w:rPr>
              <w:t>(214)</w:t>
            </w:r>
          </w:p>
        </w:tc>
        <w:tc>
          <w:tcPr>
            <w:tcW w:w="1380" w:type="dxa"/>
            <w:tcBorders>
              <w:bottom w:val="single" w:sz="1" w:space="0" w:color="000000"/>
            </w:tcBorders>
          </w:tcPr>
          <w:p>
            <w:pPr>
              <w:pStyle w:val="TableParagraph"/>
              <w:spacing w:before="18"/>
              <w:ind w:right="348"/>
              <w:jc w:val="right"/>
              <w:rPr>
                <w:b/>
                <w:sz w:val="18"/>
              </w:rPr>
            </w:pPr>
            <w:r>
              <w:rPr>
                <w:b/>
                <w:sz w:val="18"/>
              </w:rPr>
              <w:t>48</w:t>
            </w:r>
          </w:p>
        </w:tc>
        <w:tc>
          <w:tcPr>
            <w:tcW w:w="1032" w:type="dxa"/>
            <w:tcBorders>
              <w:bottom w:val="single" w:sz="1" w:space="0" w:color="000000"/>
            </w:tcBorders>
          </w:tcPr>
          <w:p>
            <w:pPr>
              <w:pStyle w:val="TableParagraph"/>
              <w:spacing w:before="18"/>
              <w:ind w:right="24"/>
              <w:jc w:val="right"/>
              <w:rPr>
                <w:sz w:val="18"/>
              </w:rPr>
            </w:pPr>
            <w:r>
              <w:rPr>
                <w:sz w:val="18"/>
              </w:rPr>
              <w:t>(214)</w:t>
            </w:r>
          </w:p>
        </w:tc>
      </w:tr>
      <w:tr>
        <w:trPr>
          <w:trHeight w:val="338" w:hRule="exact"/>
        </w:trPr>
        <w:tc>
          <w:tcPr>
            <w:tcW w:w="3457" w:type="dxa"/>
          </w:tcPr>
          <w:p>
            <w:pPr>
              <w:pStyle w:val="TableParagraph"/>
              <w:spacing w:before="125"/>
              <w:ind w:left="35" w:right="771"/>
              <w:rPr>
                <w:b/>
                <w:sz w:val="18"/>
              </w:rPr>
            </w:pPr>
            <w:r>
              <w:rPr>
                <w:b/>
                <w:sz w:val="18"/>
              </w:rPr>
              <w:t>Balance at 31 December</w:t>
            </w:r>
          </w:p>
        </w:tc>
        <w:tc>
          <w:tcPr>
            <w:tcW w:w="1728" w:type="dxa"/>
            <w:tcBorders>
              <w:top w:val="single" w:sz="1" w:space="0" w:color="000000"/>
              <w:bottom w:val="single" w:sz="1" w:space="0" w:color="000000"/>
            </w:tcBorders>
          </w:tcPr>
          <w:p>
            <w:pPr>
              <w:pStyle w:val="TableParagraph"/>
              <w:spacing w:before="124"/>
              <w:ind w:right="348"/>
              <w:jc w:val="right"/>
              <w:rPr>
                <w:b/>
                <w:sz w:val="18"/>
              </w:rPr>
            </w:pPr>
            <w:r>
              <w:rPr>
                <w:b/>
                <w:w w:val="95"/>
                <w:sz w:val="18"/>
              </w:rPr>
              <w:t>286</w:t>
            </w:r>
          </w:p>
        </w:tc>
        <w:tc>
          <w:tcPr>
            <w:tcW w:w="1380" w:type="dxa"/>
            <w:tcBorders>
              <w:top w:val="single" w:sz="1" w:space="0" w:color="000000"/>
              <w:bottom w:val="single" w:sz="1" w:space="0" w:color="000000"/>
            </w:tcBorders>
          </w:tcPr>
          <w:p>
            <w:pPr>
              <w:pStyle w:val="TableParagraph"/>
              <w:spacing w:before="124"/>
              <w:ind w:left="643"/>
              <w:rPr>
                <w:sz w:val="18"/>
              </w:rPr>
            </w:pPr>
            <w:r>
              <w:rPr>
                <w:sz w:val="18"/>
              </w:rPr>
              <w:t>238</w:t>
            </w:r>
          </w:p>
        </w:tc>
        <w:tc>
          <w:tcPr>
            <w:tcW w:w="1380" w:type="dxa"/>
            <w:tcBorders>
              <w:top w:val="single" w:sz="1" w:space="0" w:color="000000"/>
              <w:bottom w:val="single" w:sz="1" w:space="0" w:color="000000"/>
            </w:tcBorders>
          </w:tcPr>
          <w:p>
            <w:pPr>
              <w:pStyle w:val="TableParagraph"/>
              <w:spacing w:before="124"/>
              <w:ind w:right="348"/>
              <w:jc w:val="right"/>
              <w:rPr>
                <w:b/>
                <w:sz w:val="18"/>
              </w:rPr>
            </w:pPr>
            <w:r>
              <w:rPr>
                <w:b/>
                <w:w w:val="95"/>
                <w:sz w:val="18"/>
              </w:rPr>
              <w:t>286</w:t>
            </w:r>
          </w:p>
        </w:tc>
        <w:tc>
          <w:tcPr>
            <w:tcW w:w="1032" w:type="dxa"/>
            <w:tcBorders>
              <w:top w:val="single" w:sz="1" w:space="0" w:color="000000"/>
              <w:bottom w:val="single" w:sz="1" w:space="0" w:color="000000"/>
            </w:tcBorders>
          </w:tcPr>
          <w:p>
            <w:pPr>
              <w:pStyle w:val="TableParagraph"/>
              <w:spacing w:before="124"/>
              <w:ind w:right="84"/>
              <w:jc w:val="right"/>
              <w:rPr>
                <w:sz w:val="18"/>
              </w:rPr>
            </w:pPr>
            <w:r>
              <w:rPr>
                <w:w w:val="95"/>
                <w:sz w:val="18"/>
              </w:rPr>
              <w:t>238</w:t>
            </w:r>
          </w:p>
        </w:tc>
      </w:tr>
      <w:tr>
        <w:trPr>
          <w:trHeight w:val="356" w:hRule="exact"/>
        </w:trPr>
        <w:tc>
          <w:tcPr>
            <w:tcW w:w="3457" w:type="dxa"/>
          </w:tcPr>
          <w:p>
            <w:pPr>
              <w:pStyle w:val="TableParagraph"/>
              <w:spacing w:before="125"/>
              <w:ind w:left="35" w:right="771"/>
              <w:rPr>
                <w:b/>
                <w:sz w:val="18"/>
              </w:rPr>
            </w:pPr>
            <w:r>
              <w:rPr>
                <w:b/>
                <w:sz w:val="18"/>
              </w:rPr>
              <w:t>Licences revaluation reserve</w:t>
            </w:r>
          </w:p>
        </w:tc>
        <w:tc>
          <w:tcPr>
            <w:tcW w:w="1728"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1032" w:type="dxa"/>
            <w:tcBorders>
              <w:top w:val="single" w:sz="1" w:space="0" w:color="000000"/>
            </w:tcBorders>
          </w:tcPr>
          <w:p>
            <w:pPr/>
          </w:p>
        </w:tc>
      </w:tr>
      <w:tr>
        <w:trPr>
          <w:trHeight w:val="247" w:hRule="exact"/>
        </w:trPr>
        <w:tc>
          <w:tcPr>
            <w:tcW w:w="3457" w:type="dxa"/>
          </w:tcPr>
          <w:p>
            <w:pPr>
              <w:pStyle w:val="TableParagraph"/>
              <w:spacing w:before="7"/>
              <w:ind w:left="35" w:right="771"/>
              <w:rPr>
                <w:sz w:val="18"/>
              </w:rPr>
            </w:pPr>
            <w:r>
              <w:rPr>
                <w:sz w:val="18"/>
              </w:rPr>
              <w:t>Balance at 1 January</w:t>
            </w:r>
          </w:p>
        </w:tc>
        <w:tc>
          <w:tcPr>
            <w:tcW w:w="1728" w:type="dxa"/>
            <w:tcBorders>
              <w:bottom w:val="single" w:sz="1" w:space="0" w:color="000000"/>
            </w:tcBorders>
          </w:tcPr>
          <w:p>
            <w:pPr>
              <w:pStyle w:val="TableParagraph"/>
              <w:spacing w:before="4"/>
              <w:ind w:right="348"/>
              <w:jc w:val="right"/>
              <w:rPr>
                <w:b/>
                <w:sz w:val="18"/>
              </w:rPr>
            </w:pPr>
            <w:r>
              <w:rPr>
                <w:b/>
                <w:w w:val="95"/>
                <w:sz w:val="18"/>
              </w:rPr>
              <w:t>250</w:t>
            </w:r>
          </w:p>
        </w:tc>
        <w:tc>
          <w:tcPr>
            <w:tcW w:w="1380" w:type="dxa"/>
            <w:tcBorders>
              <w:bottom w:val="single" w:sz="1" w:space="0" w:color="000000"/>
            </w:tcBorders>
          </w:tcPr>
          <w:p>
            <w:pPr>
              <w:pStyle w:val="TableParagraph"/>
              <w:spacing w:before="4"/>
              <w:ind w:left="643"/>
              <w:rPr>
                <w:sz w:val="18"/>
              </w:rPr>
            </w:pPr>
            <w:r>
              <w:rPr>
                <w:sz w:val="18"/>
              </w:rPr>
              <w:t>250</w:t>
            </w:r>
          </w:p>
        </w:tc>
        <w:tc>
          <w:tcPr>
            <w:tcW w:w="1380" w:type="dxa"/>
            <w:tcBorders>
              <w:bottom w:val="single" w:sz="1" w:space="0" w:color="000000"/>
            </w:tcBorders>
          </w:tcPr>
          <w:p>
            <w:pPr>
              <w:pStyle w:val="TableParagraph"/>
              <w:spacing w:before="4"/>
              <w:ind w:right="348"/>
              <w:jc w:val="right"/>
              <w:rPr>
                <w:b/>
                <w:sz w:val="18"/>
              </w:rPr>
            </w:pPr>
            <w:r>
              <w:rPr>
                <w:b/>
                <w:w w:val="95"/>
                <w:sz w:val="18"/>
              </w:rPr>
              <w:t>250</w:t>
            </w:r>
          </w:p>
        </w:tc>
        <w:tc>
          <w:tcPr>
            <w:tcW w:w="1032" w:type="dxa"/>
            <w:tcBorders>
              <w:bottom w:val="single" w:sz="1" w:space="0" w:color="000000"/>
            </w:tcBorders>
          </w:tcPr>
          <w:p>
            <w:pPr>
              <w:pStyle w:val="TableParagraph"/>
              <w:spacing w:before="4"/>
              <w:ind w:right="84"/>
              <w:jc w:val="right"/>
              <w:rPr>
                <w:sz w:val="18"/>
              </w:rPr>
            </w:pPr>
            <w:r>
              <w:rPr>
                <w:w w:val="95"/>
                <w:sz w:val="18"/>
              </w:rPr>
              <w:t>250</w:t>
            </w:r>
          </w:p>
        </w:tc>
      </w:tr>
      <w:tr>
        <w:trPr>
          <w:trHeight w:val="338" w:hRule="exact"/>
        </w:trPr>
        <w:tc>
          <w:tcPr>
            <w:tcW w:w="3457" w:type="dxa"/>
          </w:tcPr>
          <w:p>
            <w:pPr>
              <w:pStyle w:val="TableParagraph"/>
              <w:spacing w:before="125"/>
              <w:ind w:left="35" w:right="771"/>
              <w:rPr>
                <w:b/>
                <w:sz w:val="18"/>
              </w:rPr>
            </w:pPr>
            <w:r>
              <w:rPr>
                <w:b/>
                <w:sz w:val="18"/>
              </w:rPr>
              <w:t>Balance at 31 December</w:t>
            </w:r>
          </w:p>
        </w:tc>
        <w:tc>
          <w:tcPr>
            <w:tcW w:w="1728" w:type="dxa"/>
            <w:tcBorders>
              <w:top w:val="single" w:sz="1" w:space="0" w:color="000000"/>
              <w:bottom w:val="single" w:sz="1" w:space="0" w:color="000000"/>
            </w:tcBorders>
          </w:tcPr>
          <w:p>
            <w:pPr>
              <w:pStyle w:val="TableParagraph"/>
              <w:spacing w:before="124"/>
              <w:ind w:right="348"/>
              <w:jc w:val="right"/>
              <w:rPr>
                <w:b/>
                <w:sz w:val="18"/>
              </w:rPr>
            </w:pPr>
            <w:r>
              <w:rPr>
                <w:b/>
                <w:w w:val="95"/>
                <w:sz w:val="18"/>
              </w:rPr>
              <w:t>250</w:t>
            </w:r>
          </w:p>
        </w:tc>
        <w:tc>
          <w:tcPr>
            <w:tcW w:w="1380" w:type="dxa"/>
            <w:tcBorders>
              <w:top w:val="single" w:sz="1" w:space="0" w:color="000000"/>
              <w:bottom w:val="single" w:sz="1" w:space="0" w:color="000000"/>
            </w:tcBorders>
          </w:tcPr>
          <w:p>
            <w:pPr>
              <w:pStyle w:val="TableParagraph"/>
              <w:spacing w:before="124"/>
              <w:ind w:left="643"/>
              <w:rPr>
                <w:sz w:val="18"/>
              </w:rPr>
            </w:pPr>
            <w:r>
              <w:rPr>
                <w:sz w:val="18"/>
              </w:rPr>
              <w:t>250</w:t>
            </w:r>
          </w:p>
        </w:tc>
        <w:tc>
          <w:tcPr>
            <w:tcW w:w="1380" w:type="dxa"/>
            <w:tcBorders>
              <w:top w:val="single" w:sz="1" w:space="0" w:color="000000"/>
              <w:bottom w:val="single" w:sz="1" w:space="0" w:color="000000"/>
            </w:tcBorders>
          </w:tcPr>
          <w:p>
            <w:pPr>
              <w:pStyle w:val="TableParagraph"/>
              <w:spacing w:before="124"/>
              <w:ind w:right="348"/>
              <w:jc w:val="right"/>
              <w:rPr>
                <w:b/>
                <w:sz w:val="18"/>
              </w:rPr>
            </w:pPr>
            <w:r>
              <w:rPr>
                <w:b/>
                <w:w w:val="95"/>
                <w:sz w:val="18"/>
              </w:rPr>
              <w:t>250</w:t>
            </w:r>
          </w:p>
        </w:tc>
        <w:tc>
          <w:tcPr>
            <w:tcW w:w="1032" w:type="dxa"/>
            <w:tcBorders>
              <w:top w:val="single" w:sz="1" w:space="0" w:color="000000"/>
              <w:bottom w:val="single" w:sz="1" w:space="0" w:color="000000"/>
            </w:tcBorders>
          </w:tcPr>
          <w:p>
            <w:pPr>
              <w:pStyle w:val="TableParagraph"/>
              <w:spacing w:before="124"/>
              <w:ind w:right="84"/>
              <w:jc w:val="right"/>
              <w:rPr>
                <w:sz w:val="18"/>
              </w:rPr>
            </w:pPr>
            <w:r>
              <w:rPr>
                <w:w w:val="95"/>
                <w:sz w:val="18"/>
              </w:rPr>
              <w:t>250</w:t>
            </w:r>
          </w:p>
        </w:tc>
      </w:tr>
      <w:tr>
        <w:trPr>
          <w:trHeight w:val="353" w:hRule="exact"/>
        </w:trPr>
        <w:tc>
          <w:tcPr>
            <w:tcW w:w="3457" w:type="dxa"/>
          </w:tcPr>
          <w:p>
            <w:pPr>
              <w:pStyle w:val="TableParagraph"/>
              <w:spacing w:before="125"/>
              <w:ind w:left="35" w:right="771"/>
              <w:rPr>
                <w:b/>
                <w:sz w:val="18"/>
              </w:rPr>
            </w:pPr>
            <w:r>
              <w:rPr>
                <w:b/>
                <w:sz w:val="18"/>
              </w:rPr>
              <w:t>Total reserves</w:t>
            </w:r>
          </w:p>
        </w:tc>
        <w:tc>
          <w:tcPr>
            <w:tcW w:w="1728" w:type="dxa"/>
            <w:tcBorders>
              <w:top w:val="single" w:sz="1" w:space="0" w:color="000000"/>
              <w:bottom w:val="single" w:sz="1" w:space="0" w:color="000000"/>
            </w:tcBorders>
          </w:tcPr>
          <w:p>
            <w:pPr>
              <w:pStyle w:val="TableParagraph"/>
              <w:spacing w:before="124"/>
              <w:ind w:right="348"/>
              <w:jc w:val="right"/>
              <w:rPr>
                <w:b/>
                <w:sz w:val="18"/>
              </w:rPr>
            </w:pPr>
            <w:r>
              <w:rPr>
                <w:b/>
                <w:w w:val="95"/>
                <w:sz w:val="18"/>
              </w:rPr>
              <w:t>865,790</w:t>
            </w:r>
          </w:p>
        </w:tc>
        <w:tc>
          <w:tcPr>
            <w:tcW w:w="1380" w:type="dxa"/>
            <w:tcBorders>
              <w:top w:val="single" w:sz="1" w:space="0" w:color="000000"/>
              <w:bottom w:val="single" w:sz="1" w:space="0" w:color="000000"/>
            </w:tcBorders>
          </w:tcPr>
          <w:p>
            <w:pPr>
              <w:pStyle w:val="TableParagraph"/>
              <w:spacing w:before="124"/>
              <w:ind w:left="290"/>
              <w:rPr>
                <w:sz w:val="18"/>
              </w:rPr>
            </w:pPr>
            <w:r>
              <w:rPr>
                <w:sz w:val="18"/>
              </w:rPr>
              <w:t>708,004</w:t>
            </w:r>
          </w:p>
        </w:tc>
        <w:tc>
          <w:tcPr>
            <w:tcW w:w="1380" w:type="dxa"/>
            <w:tcBorders>
              <w:top w:val="single" w:sz="1" w:space="0" w:color="000000"/>
              <w:bottom w:val="single" w:sz="1" w:space="0" w:color="000000"/>
            </w:tcBorders>
          </w:tcPr>
          <w:p>
            <w:pPr>
              <w:pStyle w:val="TableParagraph"/>
              <w:spacing w:before="124"/>
              <w:ind w:right="348"/>
              <w:jc w:val="right"/>
              <w:rPr>
                <w:b/>
                <w:sz w:val="18"/>
              </w:rPr>
            </w:pPr>
            <w:r>
              <w:rPr>
                <w:b/>
                <w:w w:val="95"/>
                <w:sz w:val="18"/>
              </w:rPr>
              <w:t>861,541</w:t>
            </w:r>
          </w:p>
        </w:tc>
        <w:tc>
          <w:tcPr>
            <w:tcW w:w="1032" w:type="dxa"/>
            <w:tcBorders>
              <w:top w:val="single" w:sz="1" w:space="0" w:color="000000"/>
              <w:bottom w:val="single" w:sz="1" w:space="0" w:color="000000"/>
            </w:tcBorders>
          </w:tcPr>
          <w:p>
            <w:pPr>
              <w:pStyle w:val="TableParagraph"/>
              <w:spacing w:before="124"/>
              <w:ind w:left="290"/>
              <w:rPr>
                <w:sz w:val="18"/>
              </w:rPr>
            </w:pPr>
            <w:r>
              <w:rPr>
                <w:sz w:val="18"/>
              </w:rPr>
              <w:t>703,755</w:t>
            </w:r>
          </w:p>
        </w:tc>
      </w:tr>
    </w:tbl>
    <w:p>
      <w:pPr>
        <w:spacing w:after="0"/>
        <w:rPr>
          <w:sz w:val="18"/>
        </w:rPr>
        <w:sectPr>
          <w:type w:val="continuous"/>
          <w:pgSz w:w="11910" w:h="16840"/>
          <w:pgMar w:top="1580" w:bottom="280" w:left="900" w:right="880"/>
        </w:sectPr>
      </w:pPr>
    </w:p>
    <w:p>
      <w:pPr>
        <w:pStyle w:val="BodyText"/>
        <w:rPr>
          <w:b/>
          <w:sz w:val="20"/>
        </w:rPr>
      </w:pPr>
    </w:p>
    <w:p>
      <w:pPr>
        <w:pStyle w:val="BodyText"/>
        <w:rPr>
          <w:b/>
          <w:sz w:val="20"/>
        </w:rPr>
      </w:pPr>
    </w:p>
    <w:p>
      <w:pPr>
        <w:pStyle w:val="BodyText"/>
        <w:spacing w:before="5"/>
        <w:rPr>
          <w:b/>
        </w:rPr>
      </w:pPr>
    </w:p>
    <w:p>
      <w:pPr>
        <w:tabs>
          <w:tab w:pos="1070" w:val="left" w:leader="none"/>
        </w:tabs>
        <w:spacing w:before="0"/>
        <w:ind w:left="504" w:right="220" w:firstLine="0"/>
        <w:jc w:val="left"/>
        <w:rPr>
          <w:b/>
          <w:sz w:val="18"/>
        </w:rPr>
      </w:pPr>
      <w:bookmarkStart w:name="(c) Movements in retained earnings" w:id="114"/>
      <w:bookmarkEnd w:id="114"/>
      <w:r>
        <w:rPr/>
      </w:r>
      <w:r>
        <w:rPr>
          <w:b/>
          <w:sz w:val="18"/>
        </w:rPr>
        <w:t>29</w:t>
        <w:tab/>
        <w:t>Reserves and retained earnings</w:t>
      </w:r>
      <w:r>
        <w:rPr>
          <w:b/>
          <w:spacing w:val="-1"/>
          <w:sz w:val="18"/>
        </w:rPr>
        <w:t> </w:t>
      </w:r>
      <w:r>
        <w:rPr>
          <w:b/>
          <w:sz w:val="18"/>
        </w:rPr>
        <w:t>(continued)</w:t>
      </w:r>
    </w:p>
    <w:p>
      <w:pPr>
        <w:pStyle w:val="BodyText"/>
        <w:spacing w:before="7"/>
        <w:rPr>
          <w:b/>
          <w:sz w:val="26"/>
        </w:rPr>
      </w:pPr>
    </w:p>
    <w:p>
      <w:pPr>
        <w:pStyle w:val="ListParagraph"/>
        <w:numPr>
          <w:ilvl w:val="0"/>
          <w:numId w:val="30"/>
        </w:numPr>
        <w:tabs>
          <w:tab w:pos="1071" w:val="left" w:leader="none"/>
        </w:tabs>
        <w:spacing w:line="240" w:lineRule="auto" w:before="0" w:after="0"/>
        <w:ind w:left="1070" w:right="0" w:hanging="566"/>
        <w:jc w:val="left"/>
        <w:rPr>
          <w:sz w:val="18"/>
        </w:rPr>
      </w:pPr>
      <w:r>
        <w:rPr>
          <w:sz w:val="18"/>
        </w:rPr>
        <w:t>Movements in retained</w:t>
      </w:r>
      <w:r>
        <w:rPr>
          <w:spacing w:val="-1"/>
          <w:sz w:val="18"/>
        </w:rPr>
        <w:t> </w:t>
      </w:r>
      <w:r>
        <w:rPr>
          <w:sz w:val="18"/>
        </w:rPr>
        <w:t>earnings</w:t>
      </w:r>
    </w:p>
    <w:p>
      <w:pPr>
        <w:pStyle w:val="BodyText"/>
        <w:rPr>
          <w:sz w:val="20"/>
        </w:rPr>
      </w:pPr>
    </w:p>
    <w:p>
      <w:pPr>
        <w:pStyle w:val="BodyText"/>
        <w:spacing w:before="6"/>
        <w:rPr>
          <w:sz w:val="19"/>
        </w:rPr>
      </w:pPr>
    </w:p>
    <w:p>
      <w:pPr>
        <w:pStyle w:val="Heading9"/>
        <w:tabs>
          <w:tab w:pos="8375" w:val="left" w:leader="none"/>
        </w:tabs>
        <w:spacing w:before="77"/>
        <w:ind w:left="5325" w:right="220"/>
      </w:pPr>
      <w:r>
        <w:rPr/>
        <w:t>Consolidated</w:t>
        <w:tab/>
        <w:t>Parent</w:t>
      </w:r>
    </w:p>
    <w:p>
      <w:pPr>
        <w:spacing w:after="0"/>
        <w:sectPr>
          <w:pgSz w:w="11910" w:h="16840"/>
          <w:pgMar w:header="1037" w:footer="507" w:top="2220" w:bottom="700" w:left="900" w:right="880"/>
        </w:sectPr>
      </w:pPr>
    </w:p>
    <w:p>
      <w:pPr>
        <w:spacing w:before="66"/>
        <w:ind w:left="0" w:right="19" w:firstLine="0"/>
        <w:jc w:val="right"/>
        <w:rPr>
          <w:b/>
          <w:sz w:val="18"/>
        </w:rPr>
      </w:pPr>
      <w:r>
        <w:rPr>
          <w:b/>
          <w:sz w:val="18"/>
        </w:rPr>
        <w:t>2017</w:t>
      </w:r>
    </w:p>
    <w:p>
      <w:pPr>
        <w:spacing w:before="66"/>
        <w:ind w:left="0" w:right="0" w:firstLine="0"/>
        <w:jc w:val="right"/>
        <w:rPr>
          <w:b/>
          <w:sz w:val="18"/>
        </w:rPr>
      </w:pPr>
      <w:r>
        <w:rPr>
          <w:b/>
          <w:sz w:val="18"/>
        </w:rPr>
        <w:t>$'000</w:t>
      </w:r>
    </w:p>
    <w:p>
      <w:pPr>
        <w:spacing w:before="66"/>
        <w:ind w:left="817" w:right="-17" w:firstLine="0"/>
        <w:jc w:val="left"/>
        <w:rPr>
          <w:b/>
          <w:sz w:val="18"/>
        </w:rPr>
      </w:pPr>
      <w:r>
        <w:rPr/>
        <w:br w:type="column"/>
      </w:r>
      <w:r>
        <w:rPr>
          <w:b/>
          <w:sz w:val="18"/>
        </w:rPr>
        <w:t>2016</w:t>
      </w:r>
    </w:p>
    <w:p>
      <w:pPr>
        <w:spacing w:before="66"/>
        <w:ind w:left="795" w:right="-17"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17" w:right="0" w:firstLine="0"/>
        <w:jc w:val="left"/>
        <w:rPr>
          <w:b/>
          <w:sz w:val="18"/>
        </w:rPr>
      </w:pPr>
      <w:r>
        <w:rPr/>
        <w:br w:type="column"/>
      </w:r>
      <w:r>
        <w:rPr>
          <w:b/>
          <w:sz w:val="18"/>
        </w:rPr>
        <w:t>2016</w:t>
      </w:r>
    </w:p>
    <w:p>
      <w:pPr>
        <w:spacing w:before="66"/>
        <w:ind w:left="795" w:right="0" w:firstLine="0"/>
        <w:jc w:val="left"/>
        <w:rPr>
          <w:b/>
          <w:sz w:val="18"/>
        </w:rPr>
      </w:pPr>
      <w:r>
        <w:rPr>
          <w:b/>
          <w:sz w:val="18"/>
        </w:rPr>
        <w:t>$'000</w:t>
      </w:r>
    </w:p>
    <w:p>
      <w:pPr>
        <w:spacing w:after="0"/>
        <w:jc w:val="left"/>
        <w:rPr>
          <w:sz w:val="18"/>
        </w:rPr>
        <w:sectPr>
          <w:type w:val="continuous"/>
          <w:pgSz w:w="11910" w:h="16840"/>
          <w:pgMar w:top="1580" w:bottom="280" w:left="900" w:right="880"/>
          <w:cols w:num="4" w:equalWidth="0">
            <w:col w:w="5554" w:space="40"/>
            <w:col w:w="1242" w:space="40"/>
            <w:col w:w="1439" w:space="40"/>
            <w:col w:w="1775"/>
          </w:cols>
        </w:sectPr>
      </w:pPr>
    </w:p>
    <w:p>
      <w:pPr>
        <w:pStyle w:val="BodyText"/>
        <w:spacing w:before="1"/>
        <w:rPr>
          <w:b/>
          <w:sz w:val="3"/>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
        <w:gridCol w:w="3595"/>
        <w:gridCol w:w="1696"/>
        <w:gridCol w:w="1304"/>
        <w:gridCol w:w="1456"/>
        <w:gridCol w:w="1064"/>
      </w:tblGrid>
      <w:tr>
        <w:trPr>
          <w:trHeight w:val="270" w:hRule="exact"/>
        </w:trPr>
        <w:tc>
          <w:tcPr>
            <w:tcW w:w="429" w:type="dxa"/>
            <w:vMerge w:val="restart"/>
          </w:tcPr>
          <w:p>
            <w:pPr/>
          </w:p>
        </w:tc>
        <w:tc>
          <w:tcPr>
            <w:tcW w:w="3595" w:type="dxa"/>
          </w:tcPr>
          <w:p>
            <w:pPr>
              <w:pStyle w:val="TableParagraph"/>
              <w:spacing w:before="23"/>
              <w:ind w:left="215" w:right="728"/>
              <w:rPr>
                <w:sz w:val="18"/>
              </w:rPr>
            </w:pPr>
            <w:r>
              <w:rPr>
                <w:sz w:val="18"/>
              </w:rPr>
              <w:t>Retained earnings at 1 January</w:t>
            </w:r>
          </w:p>
        </w:tc>
        <w:tc>
          <w:tcPr>
            <w:tcW w:w="1696" w:type="dxa"/>
          </w:tcPr>
          <w:p>
            <w:pPr>
              <w:pStyle w:val="TableParagraph"/>
              <w:spacing w:before="26"/>
              <w:ind w:right="318"/>
              <w:jc w:val="right"/>
              <w:rPr>
                <w:b/>
                <w:sz w:val="18"/>
              </w:rPr>
            </w:pPr>
            <w:r>
              <w:rPr>
                <w:b/>
                <w:w w:val="95"/>
                <w:sz w:val="18"/>
              </w:rPr>
              <w:t>958,216</w:t>
            </w:r>
          </w:p>
        </w:tc>
        <w:tc>
          <w:tcPr>
            <w:tcW w:w="1304" w:type="dxa"/>
          </w:tcPr>
          <w:p>
            <w:pPr>
              <w:pStyle w:val="TableParagraph"/>
              <w:spacing w:before="26"/>
              <w:ind w:right="326"/>
              <w:jc w:val="right"/>
              <w:rPr>
                <w:sz w:val="18"/>
              </w:rPr>
            </w:pPr>
            <w:r>
              <w:rPr>
                <w:w w:val="95"/>
                <w:sz w:val="18"/>
              </w:rPr>
              <w:t>922,839</w:t>
            </w:r>
          </w:p>
        </w:tc>
        <w:tc>
          <w:tcPr>
            <w:tcW w:w="1456" w:type="dxa"/>
          </w:tcPr>
          <w:p>
            <w:pPr>
              <w:pStyle w:val="TableParagraph"/>
              <w:spacing w:before="26"/>
              <w:ind w:right="318"/>
              <w:jc w:val="right"/>
              <w:rPr>
                <w:b/>
                <w:sz w:val="18"/>
              </w:rPr>
            </w:pPr>
            <w:r>
              <w:rPr>
                <w:b/>
                <w:w w:val="95"/>
                <w:sz w:val="18"/>
              </w:rPr>
              <w:t>953,702</w:t>
            </w:r>
          </w:p>
        </w:tc>
        <w:tc>
          <w:tcPr>
            <w:tcW w:w="1064" w:type="dxa"/>
          </w:tcPr>
          <w:p>
            <w:pPr>
              <w:pStyle w:val="TableParagraph"/>
              <w:spacing w:before="26"/>
              <w:ind w:right="88"/>
              <w:jc w:val="right"/>
              <w:rPr>
                <w:sz w:val="18"/>
              </w:rPr>
            </w:pPr>
            <w:r>
              <w:rPr>
                <w:w w:val="95"/>
                <w:sz w:val="18"/>
              </w:rPr>
              <w:t>917,144</w:t>
            </w:r>
          </w:p>
        </w:tc>
      </w:tr>
      <w:tr>
        <w:trPr>
          <w:trHeight w:val="264" w:hRule="exact"/>
        </w:trPr>
        <w:tc>
          <w:tcPr>
            <w:tcW w:w="429" w:type="dxa"/>
            <w:vMerge/>
          </w:tcPr>
          <w:p>
            <w:pPr/>
          </w:p>
        </w:tc>
        <w:tc>
          <w:tcPr>
            <w:tcW w:w="3595" w:type="dxa"/>
          </w:tcPr>
          <w:p>
            <w:pPr>
              <w:pStyle w:val="TableParagraph"/>
              <w:spacing w:before="18"/>
              <w:ind w:left="215" w:right="728"/>
              <w:rPr>
                <w:sz w:val="18"/>
              </w:rPr>
            </w:pPr>
            <w:r>
              <w:rPr>
                <w:sz w:val="18"/>
              </w:rPr>
              <w:t>Net result for the period</w:t>
            </w:r>
          </w:p>
        </w:tc>
        <w:tc>
          <w:tcPr>
            <w:tcW w:w="1696" w:type="dxa"/>
          </w:tcPr>
          <w:p>
            <w:pPr>
              <w:pStyle w:val="TableParagraph"/>
              <w:spacing w:before="20"/>
              <w:ind w:right="318"/>
              <w:jc w:val="right"/>
              <w:rPr>
                <w:b/>
                <w:sz w:val="18"/>
              </w:rPr>
            </w:pPr>
            <w:r>
              <w:rPr>
                <w:b/>
                <w:w w:val="95"/>
                <w:sz w:val="18"/>
              </w:rPr>
              <w:t>52,064</w:t>
            </w:r>
          </w:p>
        </w:tc>
        <w:tc>
          <w:tcPr>
            <w:tcW w:w="1304" w:type="dxa"/>
          </w:tcPr>
          <w:p>
            <w:pPr>
              <w:pStyle w:val="TableParagraph"/>
              <w:spacing w:before="20"/>
              <w:ind w:right="327"/>
              <w:jc w:val="right"/>
              <w:rPr>
                <w:sz w:val="18"/>
              </w:rPr>
            </w:pPr>
            <w:r>
              <w:rPr>
                <w:w w:val="95"/>
                <w:sz w:val="18"/>
              </w:rPr>
              <w:t>34,837</w:t>
            </w:r>
          </w:p>
        </w:tc>
        <w:tc>
          <w:tcPr>
            <w:tcW w:w="1456" w:type="dxa"/>
          </w:tcPr>
          <w:p>
            <w:pPr>
              <w:pStyle w:val="TableParagraph"/>
              <w:spacing w:before="20"/>
              <w:ind w:right="318"/>
              <w:jc w:val="right"/>
              <w:rPr>
                <w:b/>
                <w:sz w:val="18"/>
              </w:rPr>
            </w:pPr>
            <w:r>
              <w:rPr>
                <w:b/>
                <w:w w:val="95"/>
                <w:sz w:val="18"/>
              </w:rPr>
              <w:t>48,462</w:t>
            </w:r>
          </w:p>
        </w:tc>
        <w:tc>
          <w:tcPr>
            <w:tcW w:w="1064" w:type="dxa"/>
          </w:tcPr>
          <w:p>
            <w:pPr>
              <w:pStyle w:val="TableParagraph"/>
              <w:spacing w:before="20"/>
              <w:ind w:right="87"/>
              <w:jc w:val="right"/>
              <w:rPr>
                <w:sz w:val="18"/>
              </w:rPr>
            </w:pPr>
            <w:r>
              <w:rPr>
                <w:w w:val="95"/>
                <w:sz w:val="18"/>
              </w:rPr>
              <w:t>36,018</w:t>
            </w:r>
          </w:p>
        </w:tc>
      </w:tr>
      <w:tr>
        <w:trPr>
          <w:trHeight w:val="467" w:hRule="exact"/>
        </w:trPr>
        <w:tc>
          <w:tcPr>
            <w:tcW w:w="429" w:type="dxa"/>
            <w:vMerge/>
          </w:tcPr>
          <w:p>
            <w:pPr/>
          </w:p>
        </w:tc>
        <w:tc>
          <w:tcPr>
            <w:tcW w:w="3595" w:type="dxa"/>
          </w:tcPr>
          <w:p>
            <w:pPr>
              <w:pStyle w:val="TableParagraph"/>
              <w:spacing w:before="18"/>
              <w:ind w:left="215" w:right="728"/>
              <w:rPr>
                <w:sz w:val="18"/>
              </w:rPr>
            </w:pPr>
            <w:r>
              <w:rPr>
                <w:sz w:val="18"/>
              </w:rPr>
              <w:t>Transfer from property, plant and </w:t>
            </w:r>
            <w:bookmarkStart w:name="(d) Nature and purpose of reserves" w:id="115"/>
            <w:bookmarkEnd w:id="115"/>
            <w:r>
              <w:rPr>
                <w:sz w:val="18"/>
              </w:rPr>
            </w:r>
            <w:r>
              <w:rPr>
                <w:sz w:val="18"/>
              </w:rPr>
              <w:t>equipment revaluation surplus</w:t>
            </w:r>
          </w:p>
        </w:tc>
        <w:tc>
          <w:tcPr>
            <w:tcW w:w="1696" w:type="dxa"/>
          </w:tcPr>
          <w:p>
            <w:pPr>
              <w:pStyle w:val="TableParagraph"/>
              <w:spacing w:before="3"/>
              <w:rPr>
                <w:b/>
                <w:sz w:val="19"/>
              </w:rPr>
            </w:pPr>
          </w:p>
          <w:p>
            <w:pPr>
              <w:pStyle w:val="TableParagraph"/>
              <w:ind w:right="318"/>
              <w:jc w:val="right"/>
              <w:rPr>
                <w:b/>
                <w:sz w:val="18"/>
              </w:rPr>
            </w:pPr>
            <w:r>
              <w:rPr>
                <w:b/>
                <w:w w:val="99"/>
                <w:sz w:val="18"/>
              </w:rPr>
              <w:t>-</w:t>
            </w:r>
          </w:p>
        </w:tc>
        <w:tc>
          <w:tcPr>
            <w:tcW w:w="1304" w:type="dxa"/>
          </w:tcPr>
          <w:p>
            <w:pPr>
              <w:pStyle w:val="TableParagraph"/>
              <w:spacing w:before="3"/>
              <w:rPr>
                <w:b/>
                <w:sz w:val="19"/>
              </w:rPr>
            </w:pPr>
          </w:p>
          <w:p>
            <w:pPr>
              <w:pStyle w:val="TableParagraph"/>
              <w:ind w:right="326"/>
              <w:jc w:val="right"/>
              <w:rPr>
                <w:sz w:val="18"/>
              </w:rPr>
            </w:pPr>
            <w:r>
              <w:rPr>
                <w:w w:val="95"/>
                <w:sz w:val="18"/>
              </w:rPr>
              <w:t>540</w:t>
            </w:r>
          </w:p>
        </w:tc>
        <w:tc>
          <w:tcPr>
            <w:tcW w:w="1456" w:type="dxa"/>
          </w:tcPr>
          <w:p>
            <w:pPr>
              <w:pStyle w:val="TableParagraph"/>
              <w:spacing w:before="3"/>
              <w:rPr>
                <w:b/>
                <w:sz w:val="19"/>
              </w:rPr>
            </w:pPr>
          </w:p>
          <w:p>
            <w:pPr>
              <w:pStyle w:val="TableParagraph"/>
              <w:ind w:right="318"/>
              <w:jc w:val="right"/>
              <w:rPr>
                <w:b/>
                <w:sz w:val="18"/>
              </w:rPr>
            </w:pPr>
            <w:r>
              <w:rPr>
                <w:b/>
                <w:w w:val="99"/>
                <w:sz w:val="18"/>
              </w:rPr>
              <w:t>-</w:t>
            </w:r>
          </w:p>
        </w:tc>
        <w:tc>
          <w:tcPr>
            <w:tcW w:w="1064" w:type="dxa"/>
          </w:tcPr>
          <w:p>
            <w:pPr>
              <w:pStyle w:val="TableParagraph"/>
              <w:spacing w:before="3"/>
              <w:rPr>
                <w:b/>
                <w:sz w:val="19"/>
              </w:rPr>
            </w:pPr>
          </w:p>
          <w:p>
            <w:pPr>
              <w:pStyle w:val="TableParagraph"/>
              <w:ind w:right="86"/>
              <w:jc w:val="right"/>
              <w:rPr>
                <w:sz w:val="18"/>
              </w:rPr>
            </w:pPr>
            <w:r>
              <w:rPr>
                <w:w w:val="95"/>
                <w:sz w:val="18"/>
              </w:rPr>
              <w:t>540</w:t>
            </w:r>
          </w:p>
        </w:tc>
      </w:tr>
      <w:tr>
        <w:trPr>
          <w:trHeight w:val="463" w:hRule="exact"/>
        </w:trPr>
        <w:tc>
          <w:tcPr>
            <w:tcW w:w="429" w:type="dxa"/>
            <w:vMerge/>
          </w:tcPr>
          <w:p>
            <w:pPr/>
          </w:p>
        </w:tc>
        <w:tc>
          <w:tcPr>
            <w:tcW w:w="3595" w:type="dxa"/>
          </w:tcPr>
          <w:p>
            <w:pPr>
              <w:pStyle w:val="TableParagraph"/>
              <w:spacing w:before="16"/>
              <w:ind w:left="215"/>
              <w:rPr>
                <w:sz w:val="18"/>
              </w:rPr>
            </w:pPr>
            <w:r>
              <w:rPr>
                <w:sz w:val="18"/>
              </w:rPr>
              <w:t>Transfer from non-current assets held for sale revaluation surplus</w:t>
            </w:r>
          </w:p>
        </w:tc>
        <w:tc>
          <w:tcPr>
            <w:tcW w:w="1696" w:type="dxa"/>
            <w:tcBorders>
              <w:bottom w:val="single" w:sz="1" w:space="0" w:color="000000"/>
            </w:tcBorders>
          </w:tcPr>
          <w:p>
            <w:pPr>
              <w:pStyle w:val="TableParagraph"/>
              <w:spacing w:before="2"/>
              <w:rPr>
                <w:b/>
                <w:sz w:val="19"/>
              </w:rPr>
            </w:pPr>
          </w:p>
          <w:p>
            <w:pPr>
              <w:pStyle w:val="TableParagraph"/>
              <w:ind w:right="318"/>
              <w:jc w:val="right"/>
              <w:rPr>
                <w:b/>
                <w:sz w:val="18"/>
              </w:rPr>
            </w:pPr>
            <w:r>
              <w:rPr>
                <w:b/>
                <w:w w:val="95"/>
                <w:sz w:val="18"/>
              </w:rPr>
              <w:t>43,848</w:t>
            </w:r>
          </w:p>
        </w:tc>
        <w:tc>
          <w:tcPr>
            <w:tcW w:w="1304" w:type="dxa"/>
            <w:tcBorders>
              <w:bottom w:val="single" w:sz="1" w:space="0" w:color="000000"/>
            </w:tcBorders>
          </w:tcPr>
          <w:p>
            <w:pPr>
              <w:pStyle w:val="TableParagraph"/>
              <w:spacing w:before="2"/>
              <w:rPr>
                <w:b/>
                <w:sz w:val="19"/>
              </w:rPr>
            </w:pPr>
          </w:p>
          <w:p>
            <w:pPr>
              <w:pStyle w:val="TableParagraph"/>
              <w:ind w:right="326"/>
              <w:jc w:val="right"/>
              <w:rPr>
                <w:sz w:val="18"/>
              </w:rPr>
            </w:pPr>
            <w:r>
              <w:rPr>
                <w:w w:val="99"/>
                <w:sz w:val="18"/>
              </w:rPr>
              <w:t>-</w:t>
            </w:r>
          </w:p>
        </w:tc>
        <w:tc>
          <w:tcPr>
            <w:tcW w:w="1456" w:type="dxa"/>
            <w:tcBorders>
              <w:bottom w:val="single" w:sz="1" w:space="0" w:color="000000"/>
            </w:tcBorders>
          </w:tcPr>
          <w:p>
            <w:pPr>
              <w:pStyle w:val="TableParagraph"/>
              <w:spacing w:before="2"/>
              <w:rPr>
                <w:b/>
                <w:sz w:val="19"/>
              </w:rPr>
            </w:pPr>
          </w:p>
          <w:p>
            <w:pPr>
              <w:pStyle w:val="TableParagraph"/>
              <w:ind w:right="318"/>
              <w:jc w:val="right"/>
              <w:rPr>
                <w:b/>
                <w:sz w:val="18"/>
              </w:rPr>
            </w:pPr>
            <w:r>
              <w:rPr>
                <w:b/>
                <w:w w:val="95"/>
                <w:sz w:val="18"/>
              </w:rPr>
              <w:t>43,848</w:t>
            </w:r>
          </w:p>
        </w:tc>
        <w:tc>
          <w:tcPr>
            <w:tcW w:w="1064" w:type="dxa"/>
            <w:tcBorders>
              <w:bottom w:val="single" w:sz="1" w:space="0" w:color="000000"/>
            </w:tcBorders>
          </w:tcPr>
          <w:p>
            <w:pPr>
              <w:pStyle w:val="TableParagraph"/>
              <w:spacing w:before="2"/>
              <w:rPr>
                <w:b/>
                <w:sz w:val="19"/>
              </w:rPr>
            </w:pPr>
          </w:p>
          <w:p>
            <w:pPr>
              <w:pStyle w:val="TableParagraph"/>
              <w:ind w:right="86"/>
              <w:jc w:val="right"/>
              <w:rPr>
                <w:sz w:val="18"/>
              </w:rPr>
            </w:pPr>
            <w:r>
              <w:rPr>
                <w:w w:val="99"/>
                <w:sz w:val="18"/>
              </w:rPr>
              <w:t>-</w:t>
            </w:r>
          </w:p>
        </w:tc>
      </w:tr>
      <w:tr>
        <w:trPr>
          <w:trHeight w:val="359" w:hRule="exact"/>
        </w:trPr>
        <w:tc>
          <w:tcPr>
            <w:tcW w:w="429" w:type="dxa"/>
            <w:vMerge/>
          </w:tcPr>
          <w:p>
            <w:pPr/>
          </w:p>
        </w:tc>
        <w:tc>
          <w:tcPr>
            <w:tcW w:w="3595" w:type="dxa"/>
          </w:tcPr>
          <w:p>
            <w:pPr>
              <w:pStyle w:val="TableParagraph"/>
              <w:spacing w:before="125"/>
              <w:ind w:left="215"/>
              <w:rPr>
                <w:b/>
                <w:sz w:val="18"/>
              </w:rPr>
            </w:pPr>
            <w:r>
              <w:rPr>
                <w:b/>
                <w:sz w:val="18"/>
              </w:rPr>
              <w:t>Retained earnings at 31 December</w:t>
            </w:r>
          </w:p>
        </w:tc>
        <w:tc>
          <w:tcPr>
            <w:tcW w:w="1696" w:type="dxa"/>
            <w:tcBorders>
              <w:top w:val="single" w:sz="1" w:space="0" w:color="000000"/>
              <w:bottom w:val="single" w:sz="1" w:space="0" w:color="000000"/>
            </w:tcBorders>
          </w:tcPr>
          <w:p>
            <w:pPr>
              <w:pStyle w:val="TableParagraph"/>
              <w:spacing w:before="124"/>
              <w:ind w:right="318"/>
              <w:jc w:val="right"/>
              <w:rPr>
                <w:b/>
                <w:sz w:val="18"/>
              </w:rPr>
            </w:pPr>
            <w:r>
              <w:rPr>
                <w:b/>
                <w:w w:val="95"/>
                <w:sz w:val="18"/>
              </w:rPr>
              <w:t>1,054,128</w:t>
            </w:r>
          </w:p>
        </w:tc>
        <w:tc>
          <w:tcPr>
            <w:tcW w:w="1304" w:type="dxa"/>
            <w:tcBorders>
              <w:top w:val="single" w:sz="1" w:space="0" w:color="000000"/>
              <w:bottom w:val="single" w:sz="1" w:space="0" w:color="000000"/>
            </w:tcBorders>
          </w:tcPr>
          <w:p>
            <w:pPr>
              <w:pStyle w:val="TableParagraph"/>
              <w:spacing w:before="124"/>
              <w:ind w:right="326"/>
              <w:jc w:val="right"/>
              <w:rPr>
                <w:sz w:val="18"/>
              </w:rPr>
            </w:pPr>
            <w:r>
              <w:rPr>
                <w:w w:val="95"/>
                <w:sz w:val="18"/>
              </w:rPr>
              <w:t>958,216</w:t>
            </w:r>
          </w:p>
        </w:tc>
        <w:tc>
          <w:tcPr>
            <w:tcW w:w="1456" w:type="dxa"/>
            <w:tcBorders>
              <w:top w:val="single" w:sz="1" w:space="0" w:color="000000"/>
              <w:bottom w:val="single" w:sz="1" w:space="0" w:color="000000"/>
            </w:tcBorders>
          </w:tcPr>
          <w:p>
            <w:pPr>
              <w:pStyle w:val="TableParagraph"/>
              <w:spacing w:before="124"/>
              <w:ind w:right="318"/>
              <w:jc w:val="right"/>
              <w:rPr>
                <w:b/>
                <w:sz w:val="18"/>
              </w:rPr>
            </w:pPr>
            <w:r>
              <w:rPr>
                <w:b/>
                <w:w w:val="95"/>
                <w:sz w:val="18"/>
              </w:rPr>
              <w:t>1,046,012</w:t>
            </w:r>
          </w:p>
        </w:tc>
        <w:tc>
          <w:tcPr>
            <w:tcW w:w="1064" w:type="dxa"/>
            <w:tcBorders>
              <w:top w:val="single" w:sz="1" w:space="0" w:color="000000"/>
              <w:bottom w:val="single" w:sz="1" w:space="0" w:color="000000"/>
            </w:tcBorders>
          </w:tcPr>
          <w:p>
            <w:pPr>
              <w:pStyle w:val="TableParagraph"/>
              <w:spacing w:before="124"/>
              <w:ind w:right="88"/>
              <w:jc w:val="right"/>
              <w:rPr>
                <w:sz w:val="18"/>
              </w:rPr>
            </w:pPr>
            <w:r>
              <w:rPr>
                <w:w w:val="95"/>
                <w:sz w:val="18"/>
              </w:rPr>
              <w:t>953,702</w:t>
            </w:r>
          </w:p>
        </w:tc>
      </w:tr>
      <w:tr>
        <w:trPr>
          <w:trHeight w:val="643" w:hRule="exact"/>
        </w:trPr>
        <w:tc>
          <w:tcPr>
            <w:tcW w:w="429" w:type="dxa"/>
          </w:tcPr>
          <w:p>
            <w:pPr>
              <w:pStyle w:val="TableParagraph"/>
              <w:rPr>
                <w:b/>
                <w:sz w:val="18"/>
              </w:rPr>
            </w:pPr>
          </w:p>
          <w:p>
            <w:pPr>
              <w:pStyle w:val="TableParagraph"/>
              <w:spacing w:before="133"/>
              <w:ind w:left="35"/>
              <w:rPr>
                <w:sz w:val="18"/>
              </w:rPr>
            </w:pPr>
            <w:r>
              <w:rPr>
                <w:sz w:val="18"/>
              </w:rPr>
              <w:t>(d)</w:t>
            </w:r>
          </w:p>
        </w:tc>
        <w:tc>
          <w:tcPr>
            <w:tcW w:w="3595" w:type="dxa"/>
          </w:tcPr>
          <w:p>
            <w:pPr>
              <w:pStyle w:val="TableParagraph"/>
              <w:rPr>
                <w:b/>
                <w:sz w:val="18"/>
              </w:rPr>
            </w:pPr>
          </w:p>
          <w:p>
            <w:pPr>
              <w:pStyle w:val="TableParagraph"/>
              <w:spacing w:before="133"/>
              <w:ind w:left="172" w:right="728"/>
              <w:rPr>
                <w:sz w:val="18"/>
              </w:rPr>
            </w:pPr>
            <w:r>
              <w:rPr>
                <w:sz w:val="18"/>
              </w:rPr>
              <w:t>Nature and purpose of reserves</w:t>
            </w:r>
          </w:p>
        </w:tc>
        <w:tc>
          <w:tcPr>
            <w:tcW w:w="1696" w:type="dxa"/>
            <w:tcBorders>
              <w:top w:val="single" w:sz="1" w:space="0" w:color="000000"/>
            </w:tcBorders>
          </w:tcPr>
          <w:p>
            <w:pPr/>
          </w:p>
        </w:tc>
        <w:tc>
          <w:tcPr>
            <w:tcW w:w="1304" w:type="dxa"/>
            <w:tcBorders>
              <w:top w:val="single" w:sz="1" w:space="0" w:color="000000"/>
            </w:tcBorders>
          </w:tcPr>
          <w:p>
            <w:pPr/>
          </w:p>
        </w:tc>
        <w:tc>
          <w:tcPr>
            <w:tcW w:w="1456" w:type="dxa"/>
            <w:tcBorders>
              <w:top w:val="single" w:sz="1" w:space="0" w:color="000000"/>
            </w:tcBorders>
          </w:tcPr>
          <w:p>
            <w:pPr/>
          </w:p>
        </w:tc>
        <w:tc>
          <w:tcPr>
            <w:tcW w:w="1064" w:type="dxa"/>
            <w:tcBorders>
              <w:top w:val="single" w:sz="1" w:space="0" w:color="000000"/>
            </w:tcBorders>
          </w:tcPr>
          <w:p>
            <w:pPr/>
          </w:p>
        </w:tc>
      </w:tr>
    </w:tbl>
    <w:p>
      <w:pPr>
        <w:pStyle w:val="BodyText"/>
        <w:spacing w:before="4"/>
        <w:rPr>
          <w:b/>
          <w:sz w:val="10"/>
        </w:rPr>
      </w:pPr>
    </w:p>
    <w:p>
      <w:pPr>
        <w:pStyle w:val="BodyText"/>
        <w:spacing w:before="77"/>
        <w:ind w:left="1070" w:right="130"/>
      </w:pPr>
      <w:r>
        <w:rPr/>
        <w:t>The property development revaluation reserve represents the gain on revaluation of land held for sale at date of transfer. The gain on revaluation will be transferred to retained earnings when the sale is completed, and the asset is de-recognised.</w:t>
      </w:r>
    </w:p>
    <w:p>
      <w:pPr>
        <w:pStyle w:val="BodyText"/>
        <w:spacing w:before="11"/>
        <w:rPr>
          <w:sz w:val="24"/>
        </w:rPr>
      </w:pPr>
    </w:p>
    <w:p>
      <w:pPr>
        <w:pStyle w:val="BodyText"/>
        <w:ind w:left="1070" w:right="199"/>
      </w:pPr>
      <w:r>
        <w:rPr/>
        <w:t>The asset revaluation reserve for property, plant and equipment reflects revaluation of all Group land, buildings and rare library collection. The reserve is the difference between the valuation and the book value as at valuation date.</w:t>
      </w:r>
    </w:p>
    <w:p>
      <w:pPr>
        <w:pStyle w:val="BodyText"/>
        <w:spacing w:before="11"/>
        <w:rPr>
          <w:sz w:val="24"/>
        </w:rPr>
      </w:pPr>
    </w:p>
    <w:p>
      <w:pPr>
        <w:pStyle w:val="BodyText"/>
        <w:ind w:left="1070" w:right="98"/>
      </w:pPr>
      <w:r>
        <w:rPr/>
        <w:t>The deferred superannuation reserve represents an emerging liability for the University in respect of any excess salary component relating to continuing members of SASS or SSS State Superannuation funds. Such a liability will arise where a continuing member of SASS or SSS has received a salary increase that causes their actual salary to be greater than their notional salary. The Commonwealth and State will guarantee to fund the State Superannuation Fund defined benefit obligation of each university, except to the extent that there is an excess salary component.</w:t>
      </w:r>
    </w:p>
    <w:p>
      <w:pPr>
        <w:pStyle w:val="BodyText"/>
        <w:spacing w:before="11"/>
        <w:rPr>
          <w:sz w:val="24"/>
        </w:rPr>
      </w:pPr>
    </w:p>
    <w:p>
      <w:pPr>
        <w:pStyle w:val="BodyText"/>
        <w:ind w:left="1070" w:right="220"/>
      </w:pPr>
      <w:r>
        <w:rPr/>
        <w:t>The investment revaluation reserve is equal to the unrealised gains / (losses) on investments with the University's Fund Managers and unlisted securities for 2017 together with accumulated prior years unrealised gains / (losses).</w:t>
      </w:r>
    </w:p>
    <w:p>
      <w:pPr>
        <w:pStyle w:val="BodyText"/>
        <w:spacing w:before="11"/>
        <w:rPr>
          <w:sz w:val="24"/>
        </w:rPr>
      </w:pPr>
    </w:p>
    <w:p>
      <w:pPr>
        <w:pStyle w:val="BodyText"/>
        <w:ind w:left="1070" w:right="130"/>
      </w:pPr>
      <w:r>
        <w:rPr/>
        <w:t>The asset revaluation reserve for art collection reflects the revaluation of all Group artworks. The reserve is the difference between the valuation and the book value at the valuation date.</w:t>
      </w:r>
    </w:p>
    <w:p>
      <w:pPr>
        <w:pStyle w:val="BodyText"/>
        <w:spacing w:before="11"/>
        <w:rPr>
          <w:sz w:val="24"/>
        </w:rPr>
      </w:pPr>
    </w:p>
    <w:p>
      <w:pPr>
        <w:pStyle w:val="BodyText"/>
        <w:ind w:left="1070" w:right="220"/>
      </w:pPr>
      <w:r>
        <w:rPr/>
        <w:t>The livestock revaluation reserve reflects the revaluation of Group livestock at fair (market) value. The reserve is the difference between the revaluation and the book value at the valuation date. See note 1(r).</w:t>
      </w:r>
    </w:p>
    <w:p>
      <w:pPr>
        <w:pStyle w:val="BodyText"/>
        <w:spacing w:before="11"/>
        <w:rPr>
          <w:sz w:val="24"/>
        </w:rPr>
      </w:pPr>
    </w:p>
    <w:p>
      <w:pPr>
        <w:pStyle w:val="BodyText"/>
        <w:ind w:left="1070" w:right="220"/>
      </w:pPr>
      <w:r>
        <w:rPr/>
        <w:t>The licence revaluation reserve reflects the revaluation of the University's water licence. The reserve is the difference between the valuation and the book value at the valuation date.</w:t>
      </w:r>
    </w:p>
    <w:p>
      <w:pPr>
        <w:spacing w:after="0"/>
        <w:sectPr>
          <w:type w:val="continuous"/>
          <w:pgSz w:w="11910" w:h="16840"/>
          <w:pgMar w:top="1580" w:bottom="280" w:left="900" w:right="880"/>
        </w:sectPr>
      </w:pPr>
    </w:p>
    <w:p>
      <w:pPr>
        <w:pStyle w:val="BodyText"/>
        <w:rPr>
          <w:sz w:val="20"/>
        </w:rPr>
      </w:pPr>
    </w:p>
    <w:p>
      <w:pPr>
        <w:pStyle w:val="BodyText"/>
        <w:rPr>
          <w:sz w:val="20"/>
        </w:rPr>
      </w:pPr>
    </w:p>
    <w:p>
      <w:pPr>
        <w:pStyle w:val="BodyText"/>
        <w:spacing w:before="5"/>
      </w:pPr>
    </w:p>
    <w:p>
      <w:pPr>
        <w:pStyle w:val="Heading9"/>
        <w:ind w:left="211" w:right="201"/>
      </w:pPr>
      <w:bookmarkStart w:name="30 Key Management Personnel Disclosures " w:id="116"/>
      <w:bookmarkEnd w:id="116"/>
      <w:r>
        <w:rPr>
          <w:b w:val="0"/>
        </w:rPr>
      </w:r>
      <w:bookmarkStart w:name="(a) Names of responsible persons and exe" w:id="117"/>
      <w:bookmarkEnd w:id="117"/>
      <w:r>
        <w:rPr>
          <w:b w:val="0"/>
        </w:rPr>
      </w:r>
      <w:r>
        <w:rPr/>
        <w:t>30  Key Management Personnel Disclosures</w:t>
      </w:r>
    </w:p>
    <w:p>
      <w:pPr>
        <w:pStyle w:val="BodyText"/>
        <w:spacing w:before="7"/>
        <w:rPr>
          <w:b/>
          <w:sz w:val="26"/>
        </w:rPr>
      </w:pPr>
    </w:p>
    <w:p>
      <w:pPr>
        <w:pStyle w:val="ListParagraph"/>
        <w:numPr>
          <w:ilvl w:val="0"/>
          <w:numId w:val="31"/>
        </w:numPr>
        <w:tabs>
          <w:tab w:pos="1071" w:val="left" w:leader="none"/>
        </w:tabs>
        <w:spacing w:line="240" w:lineRule="auto" w:before="0" w:after="0"/>
        <w:ind w:left="1070" w:right="0" w:hanging="566"/>
        <w:jc w:val="left"/>
        <w:rPr>
          <w:sz w:val="18"/>
        </w:rPr>
      </w:pPr>
      <w:r>
        <w:rPr>
          <w:sz w:val="18"/>
        </w:rPr>
        <w:t>Names of responsible persons and executive</w:t>
      </w:r>
      <w:r>
        <w:rPr>
          <w:spacing w:val="5"/>
          <w:sz w:val="18"/>
        </w:rPr>
        <w:t> </w:t>
      </w:r>
      <w:r>
        <w:rPr>
          <w:sz w:val="18"/>
        </w:rPr>
        <w:t>officers</w:t>
      </w:r>
    </w:p>
    <w:p>
      <w:pPr>
        <w:pStyle w:val="BodyText"/>
        <w:spacing w:before="4"/>
        <w:rPr>
          <w:sz w:val="25"/>
        </w:rPr>
      </w:pPr>
    </w:p>
    <w:p>
      <w:pPr>
        <w:pStyle w:val="BodyText"/>
        <w:ind w:left="1070" w:right="201"/>
      </w:pPr>
      <w:r>
        <w:rPr/>
        <w:t>The following persons were responsible persons and executive officers of Western Sydney University during the financial year:</w:t>
      </w:r>
    </w:p>
    <w:p>
      <w:pPr>
        <w:pStyle w:val="BodyText"/>
        <w:spacing w:before="11"/>
        <w:rPr>
          <w:sz w:val="24"/>
        </w:rPr>
      </w:pPr>
    </w:p>
    <w:p>
      <w:pPr>
        <w:pStyle w:val="ListParagraph"/>
        <w:numPr>
          <w:ilvl w:val="1"/>
          <w:numId w:val="31"/>
        </w:numPr>
        <w:tabs>
          <w:tab w:pos="1282" w:val="left" w:leader="none"/>
        </w:tabs>
        <w:spacing w:line="240" w:lineRule="auto" w:before="0" w:after="0"/>
        <w:ind w:left="1281" w:right="0" w:hanging="211"/>
        <w:jc w:val="left"/>
        <w:rPr>
          <w:sz w:val="18"/>
        </w:rPr>
      </w:pPr>
      <w:r>
        <w:rPr>
          <w:sz w:val="18"/>
        </w:rPr>
        <w:t>Names of Responsible</w:t>
      </w:r>
      <w:r>
        <w:rPr>
          <w:spacing w:val="2"/>
          <w:sz w:val="18"/>
        </w:rPr>
        <w:t> </w:t>
      </w:r>
      <w:r>
        <w:rPr>
          <w:sz w:val="18"/>
        </w:rPr>
        <w:t>Persons</w:t>
      </w:r>
    </w:p>
    <w:p>
      <w:pPr>
        <w:pStyle w:val="BodyText"/>
        <w:spacing w:before="11"/>
        <w:rPr>
          <w:sz w:val="24"/>
        </w:rPr>
      </w:pPr>
    </w:p>
    <w:p>
      <w:pPr>
        <w:pStyle w:val="BodyText"/>
        <w:ind w:left="1070"/>
      </w:pPr>
      <w:r>
        <w:rPr/>
        <w:t>'Responsible person' is defined to mean a member of the University's Board of Trustees who had authority and responsibility for planning, directing and controlling activities of the University in 2017.</w:t>
      </w:r>
    </w:p>
    <w:p>
      <w:pPr>
        <w:pStyle w:val="BodyText"/>
      </w:pPr>
    </w:p>
    <w:p>
      <w:pPr>
        <w:pStyle w:val="BodyText"/>
        <w:spacing w:line="300" w:lineRule="auto" w:before="150"/>
        <w:ind w:left="1072" w:right="7412"/>
      </w:pPr>
      <w:r>
        <w:rPr/>
        <w:t>Peter Shergold, AC Barney  Glover Paul Wormell Christopher Brown Peeyush Gupta Gabrielle</w:t>
      </w:r>
      <w:r>
        <w:rPr>
          <w:spacing w:val="-1"/>
        </w:rPr>
        <w:t> </w:t>
      </w:r>
      <w:r>
        <w:rPr/>
        <w:t>Trainor</w:t>
      </w:r>
    </w:p>
    <w:p>
      <w:pPr>
        <w:pStyle w:val="BodyText"/>
        <w:spacing w:before="2"/>
        <w:ind w:left="1072" w:right="201"/>
      </w:pPr>
      <w:r>
        <w:rPr/>
        <w:t>Michael Pratt - ceased 31 August 2017</w:t>
      </w:r>
    </w:p>
    <w:p>
      <w:pPr>
        <w:pStyle w:val="BodyText"/>
        <w:spacing w:line="300" w:lineRule="auto" w:before="52"/>
        <w:ind w:left="1072" w:right="5185"/>
      </w:pPr>
      <w:r>
        <w:rPr/>
        <w:t>Kerry Stubbs - commenced 1 September 2017 Carmel Hourigan - commenced 1 July 2017 Elizabeth Dibbs</w:t>
      </w:r>
    </w:p>
    <w:p>
      <w:pPr>
        <w:pStyle w:val="BodyText"/>
        <w:spacing w:before="2"/>
        <w:ind w:left="1072" w:right="201"/>
      </w:pPr>
      <w:r>
        <w:rPr/>
        <w:t>Genevieve Gregor</w:t>
      </w:r>
    </w:p>
    <w:p>
      <w:pPr>
        <w:pStyle w:val="BodyText"/>
        <w:spacing w:line="300" w:lineRule="auto" w:before="52"/>
        <w:ind w:left="1072" w:right="5185"/>
      </w:pPr>
      <w:r>
        <w:rPr/>
        <w:t>John Banks - ceased 31 December 2017 Vivienne James - ceased 31 December 2017 Ian Stone - ceased 31 December 2017 MaryAnn Bin-Sallik</w:t>
      </w:r>
    </w:p>
    <w:p>
      <w:pPr>
        <w:pStyle w:val="BodyText"/>
        <w:spacing w:line="300" w:lineRule="auto" w:before="2"/>
        <w:ind w:left="1072" w:right="5185"/>
      </w:pPr>
      <w:r>
        <w:rPr/>
        <w:t>Sophie Kobuch - ceased 30 June 2017 Alexandra Coleman - commenced 1 July 2017 Tim Ferraro - ceased 30 June 2017</w:t>
      </w:r>
    </w:p>
    <w:p>
      <w:pPr>
        <w:pStyle w:val="BodyText"/>
        <w:spacing w:before="2"/>
        <w:ind w:left="1072" w:right="201"/>
      </w:pPr>
      <w:r>
        <w:rPr/>
        <w:t>Ben Etherington</w:t>
      </w:r>
    </w:p>
    <w:p>
      <w:pPr>
        <w:pStyle w:val="BodyText"/>
        <w:spacing w:line="300" w:lineRule="auto" w:before="52"/>
        <w:ind w:left="1072" w:right="4695"/>
      </w:pPr>
      <w:r>
        <w:rPr/>
        <w:t>Winnie Jobanputra - ceased 31 December 2017 Jenny Purcell - ceased 31 December 2017</w:t>
      </w:r>
    </w:p>
    <w:p>
      <w:pPr>
        <w:spacing w:after="0" w:line="300" w:lineRule="auto"/>
        <w:sectPr>
          <w:pgSz w:w="11910" w:h="16840"/>
          <w:pgMar w:header="1037" w:footer="507" w:top="2220" w:bottom="700" w:left="900" w:right="960"/>
        </w:sectPr>
      </w:pPr>
    </w:p>
    <w:p>
      <w:pPr>
        <w:pStyle w:val="BodyText"/>
        <w:rPr>
          <w:sz w:val="20"/>
        </w:rPr>
      </w:pPr>
    </w:p>
    <w:p>
      <w:pPr>
        <w:pStyle w:val="BodyText"/>
        <w:rPr>
          <w:sz w:val="20"/>
        </w:rPr>
      </w:pPr>
    </w:p>
    <w:p>
      <w:pPr>
        <w:pStyle w:val="BodyText"/>
        <w:spacing w:before="5"/>
      </w:pPr>
    </w:p>
    <w:p>
      <w:pPr>
        <w:pStyle w:val="Heading9"/>
        <w:tabs>
          <w:tab w:pos="1070" w:val="left" w:leader="none"/>
        </w:tabs>
        <w:ind w:left="604" w:right="220"/>
      </w:pPr>
      <w:r>
        <w:rPr/>
        <w:t>30</w:t>
        <w:tab/>
        <w:t>Key Management Personnel Disclosures</w:t>
      </w:r>
      <w:r>
        <w:rPr>
          <w:spacing w:val="-9"/>
        </w:rPr>
        <w:t> </w:t>
      </w:r>
      <w:r>
        <w:rPr/>
        <w:t>(continued)</w:t>
      </w:r>
    </w:p>
    <w:p>
      <w:pPr>
        <w:pStyle w:val="BodyText"/>
        <w:spacing w:before="7"/>
        <w:rPr>
          <w:b/>
          <w:sz w:val="26"/>
        </w:rPr>
      </w:pPr>
    </w:p>
    <w:p>
      <w:pPr>
        <w:pStyle w:val="ListParagraph"/>
        <w:numPr>
          <w:ilvl w:val="0"/>
          <w:numId w:val="32"/>
        </w:numPr>
        <w:tabs>
          <w:tab w:pos="1071" w:val="left" w:leader="none"/>
        </w:tabs>
        <w:spacing w:line="240" w:lineRule="auto" w:before="0" w:after="0"/>
        <w:ind w:left="1070" w:right="0" w:hanging="566"/>
        <w:jc w:val="left"/>
        <w:rPr>
          <w:sz w:val="18"/>
        </w:rPr>
      </w:pPr>
      <w:r>
        <w:rPr>
          <w:sz w:val="18"/>
        </w:rPr>
        <w:t>Names of responsible persons and executive officers</w:t>
      </w:r>
      <w:r>
        <w:rPr>
          <w:spacing w:val="6"/>
          <w:sz w:val="18"/>
        </w:rPr>
        <w:t> </w:t>
      </w:r>
      <w:r>
        <w:rPr>
          <w:sz w:val="18"/>
        </w:rPr>
        <w:t>(continued)</w:t>
      </w:r>
    </w:p>
    <w:p>
      <w:pPr>
        <w:pStyle w:val="BodyText"/>
        <w:spacing w:before="4"/>
        <w:rPr>
          <w:sz w:val="25"/>
        </w:rPr>
      </w:pPr>
    </w:p>
    <w:p>
      <w:pPr>
        <w:pStyle w:val="ListParagraph"/>
        <w:numPr>
          <w:ilvl w:val="1"/>
          <w:numId w:val="31"/>
        </w:numPr>
        <w:tabs>
          <w:tab w:pos="1323" w:val="left" w:leader="none"/>
        </w:tabs>
        <w:spacing w:line="240" w:lineRule="auto" w:before="0" w:after="0"/>
        <w:ind w:left="1322" w:right="0" w:hanging="252"/>
        <w:jc w:val="left"/>
        <w:rPr>
          <w:sz w:val="18"/>
        </w:rPr>
      </w:pPr>
      <w:r>
        <w:rPr>
          <w:sz w:val="18"/>
        </w:rPr>
        <w:t>Names of Executive</w:t>
      </w:r>
      <w:r>
        <w:rPr>
          <w:spacing w:val="-1"/>
          <w:sz w:val="18"/>
        </w:rPr>
        <w:t> </w:t>
      </w:r>
      <w:r>
        <w:rPr>
          <w:sz w:val="18"/>
        </w:rPr>
        <w:t>Officers</w:t>
      </w:r>
    </w:p>
    <w:p>
      <w:pPr>
        <w:pStyle w:val="BodyText"/>
        <w:spacing w:before="11"/>
        <w:rPr>
          <w:sz w:val="24"/>
        </w:rPr>
      </w:pPr>
    </w:p>
    <w:p>
      <w:pPr>
        <w:pStyle w:val="BodyText"/>
        <w:ind w:left="1070" w:right="220"/>
      </w:pPr>
      <w:r>
        <w:rPr/>
        <w:t>'Executive' is defined to mean the Chief Executive Officer plus the members of the Executive Committee of the University.  In 2017 these were:</w:t>
      </w:r>
    </w:p>
    <w:p>
      <w:pPr>
        <w:pStyle w:val="BodyText"/>
      </w:pPr>
    </w:p>
    <w:p>
      <w:pPr>
        <w:pStyle w:val="BodyText"/>
        <w:spacing w:line="300" w:lineRule="auto" w:before="150"/>
        <w:ind w:left="1072" w:right="7587"/>
      </w:pPr>
      <w:r>
        <w:rPr/>
        <w:t>Barney Glover Scott Holmes Denise Kirkpatrick</w:t>
      </w:r>
    </w:p>
    <w:p>
      <w:pPr>
        <w:pStyle w:val="BodyText"/>
        <w:spacing w:line="300" w:lineRule="auto" w:before="2"/>
        <w:ind w:left="1072" w:right="5555"/>
      </w:pPr>
      <w:r>
        <w:rPr/>
        <w:t>Sharon Bell - commenced 8 May 2017 Angelo Kourtis</w:t>
      </w:r>
    </w:p>
    <w:p>
      <w:pPr>
        <w:pStyle w:val="BodyText"/>
        <w:spacing w:line="300" w:lineRule="auto" w:before="2"/>
        <w:ind w:left="1072" w:right="7557"/>
      </w:pPr>
      <w:r>
        <w:rPr/>
        <w:t>Peter Pickering Deborah Sweeney Linda Taylor</w:t>
      </w:r>
    </w:p>
    <w:p>
      <w:pPr>
        <w:pStyle w:val="BodyText"/>
        <w:spacing w:line="300" w:lineRule="auto" w:before="2"/>
        <w:ind w:left="1072" w:right="7427"/>
      </w:pPr>
      <w:r>
        <w:rPr/>
        <w:t>Lisa Jackson-Pulver Simon Barrie</w:t>
      </w:r>
    </w:p>
    <w:p>
      <w:pPr>
        <w:pStyle w:val="BodyText"/>
        <w:spacing w:line="300" w:lineRule="auto" w:before="2"/>
        <w:ind w:left="1072" w:right="7707"/>
      </w:pPr>
      <w:r>
        <w:rPr/>
        <w:t>Kevin Bell Michael Burgess</w:t>
      </w:r>
    </w:p>
    <w:p>
      <w:pPr>
        <w:pStyle w:val="BodyText"/>
        <w:spacing w:line="300" w:lineRule="auto" w:before="2"/>
        <w:ind w:left="1072" w:right="5555"/>
      </w:pPr>
      <w:r>
        <w:rPr/>
        <w:t>Michael Adams - ceased 30 June 2017 Steven Freeland - commenced 1 July 2017 Annemarie Hennessy</w:t>
      </w:r>
    </w:p>
    <w:p>
      <w:pPr>
        <w:pStyle w:val="BodyText"/>
        <w:spacing w:line="300" w:lineRule="auto" w:before="2"/>
        <w:ind w:left="1072" w:right="7667"/>
      </w:pPr>
      <w:r>
        <w:rPr/>
        <w:t>Deborah Hatcher Kevin Dunn Gregory Kolt </w:t>
      </w:r>
      <w:bookmarkStart w:name="(b) Remuneration of board members and ex" w:id="118"/>
      <w:bookmarkEnd w:id="118"/>
      <w:r>
        <w:rPr/>
      </w:r>
      <w:r>
        <w:rPr/>
        <w:t>Michele Simons Peter Hutchings Simeon Simoff Kerry Holling</w:t>
      </w:r>
    </w:p>
    <w:p>
      <w:pPr>
        <w:pStyle w:val="BodyText"/>
        <w:spacing w:before="10"/>
        <w:rPr>
          <w:sz w:val="17"/>
        </w:rPr>
      </w:pPr>
    </w:p>
    <w:p>
      <w:pPr>
        <w:pStyle w:val="ListParagraph"/>
        <w:numPr>
          <w:ilvl w:val="0"/>
          <w:numId w:val="32"/>
        </w:numPr>
        <w:tabs>
          <w:tab w:pos="1071" w:val="left" w:leader="none"/>
        </w:tabs>
        <w:spacing w:line="240" w:lineRule="auto" w:before="77" w:after="0"/>
        <w:ind w:left="1070" w:right="0" w:hanging="566"/>
        <w:jc w:val="left"/>
        <w:rPr>
          <w:sz w:val="18"/>
        </w:rPr>
      </w:pPr>
      <w:r>
        <w:rPr>
          <w:sz w:val="18"/>
        </w:rPr>
        <w:t>Remuneration of board members and</w:t>
      </w:r>
      <w:r>
        <w:rPr>
          <w:spacing w:val="4"/>
          <w:sz w:val="18"/>
        </w:rPr>
        <w:t> </w:t>
      </w:r>
      <w:r>
        <w:rPr>
          <w:sz w:val="18"/>
        </w:rPr>
        <w:t>executives</w:t>
      </w:r>
    </w:p>
    <w:p>
      <w:pPr>
        <w:pStyle w:val="Heading9"/>
        <w:tabs>
          <w:tab w:pos="8375" w:val="left" w:leader="none"/>
        </w:tabs>
        <w:spacing w:before="38"/>
        <w:ind w:left="5340" w:right="220"/>
      </w:pPr>
      <w:r>
        <w:rPr/>
        <w:t>Consolidated</w:t>
        <w:tab/>
        <w:t>Parent</w:t>
      </w:r>
    </w:p>
    <w:p>
      <w:pPr>
        <w:spacing w:after="0"/>
        <w:sectPr>
          <w:pgSz w:w="11910" w:h="16840"/>
          <w:pgMar w:header="1037" w:footer="507" w:top="2220" w:bottom="700" w:left="900" w:right="880"/>
        </w:sectPr>
      </w:pPr>
    </w:p>
    <w:p>
      <w:pPr>
        <w:pStyle w:val="BodyText"/>
        <w:rPr>
          <w:b/>
        </w:rPr>
      </w:pPr>
    </w:p>
    <w:p>
      <w:pPr>
        <w:pStyle w:val="BodyText"/>
        <w:rPr>
          <w:b/>
        </w:rPr>
      </w:pPr>
    </w:p>
    <w:p>
      <w:pPr>
        <w:pStyle w:val="BodyText"/>
        <w:spacing w:before="3"/>
        <w:rPr>
          <w:b/>
          <w:sz w:val="24"/>
        </w:rPr>
      </w:pPr>
    </w:p>
    <w:p>
      <w:pPr>
        <w:spacing w:before="0"/>
        <w:ind w:left="1113" w:right="-10" w:firstLine="0"/>
        <w:jc w:val="left"/>
        <w:rPr>
          <w:b/>
          <w:sz w:val="18"/>
        </w:rPr>
      </w:pPr>
      <w:r>
        <w:rPr>
          <w:b/>
          <w:sz w:val="18"/>
        </w:rPr>
        <w:t>Remuneration of Board Members</w:t>
      </w:r>
    </w:p>
    <w:p>
      <w:pPr>
        <w:spacing w:before="66"/>
        <w:ind w:left="0" w:right="138" w:firstLine="0"/>
        <w:jc w:val="right"/>
        <w:rPr>
          <w:b/>
          <w:sz w:val="18"/>
        </w:rPr>
      </w:pPr>
      <w:r>
        <w:rPr/>
        <w:br w:type="column"/>
      </w:r>
      <w:r>
        <w:rPr>
          <w:b/>
          <w:sz w:val="18"/>
        </w:rPr>
        <w:t>2017</w:t>
      </w:r>
    </w:p>
    <w:p>
      <w:pPr>
        <w:spacing w:before="66"/>
        <w:ind w:left="985" w:right="0" w:firstLine="0"/>
        <w:jc w:val="center"/>
        <w:rPr>
          <w:b/>
          <w:sz w:val="18"/>
        </w:rPr>
      </w:pPr>
      <w:r>
        <w:rPr>
          <w:b/>
          <w:sz w:val="18"/>
        </w:rPr>
        <w:t>Number</w:t>
      </w:r>
    </w:p>
    <w:p>
      <w:pPr>
        <w:spacing w:before="66"/>
        <w:ind w:left="558" w:right="0" w:firstLine="0"/>
        <w:jc w:val="center"/>
        <w:rPr>
          <w:b/>
          <w:sz w:val="18"/>
        </w:rPr>
      </w:pPr>
      <w:r>
        <w:rPr/>
        <w:br w:type="column"/>
      </w:r>
      <w:r>
        <w:rPr>
          <w:b/>
          <w:sz w:val="18"/>
        </w:rPr>
        <w:t>2016</w:t>
      </w:r>
    </w:p>
    <w:p>
      <w:pPr>
        <w:spacing w:before="66"/>
        <w:ind w:left="559" w:right="0" w:firstLine="0"/>
        <w:jc w:val="center"/>
        <w:rPr>
          <w:b/>
          <w:sz w:val="18"/>
        </w:rPr>
      </w:pPr>
      <w:r>
        <w:rPr>
          <w:b/>
          <w:sz w:val="18"/>
        </w:rPr>
        <w:t>Number</w:t>
      </w:r>
    </w:p>
    <w:p>
      <w:pPr>
        <w:spacing w:before="66"/>
        <w:ind w:left="755" w:right="0" w:firstLine="0"/>
        <w:jc w:val="center"/>
        <w:rPr>
          <w:b/>
          <w:sz w:val="18"/>
        </w:rPr>
      </w:pPr>
      <w:r>
        <w:rPr/>
        <w:br w:type="column"/>
      </w:r>
      <w:r>
        <w:rPr>
          <w:b/>
          <w:sz w:val="18"/>
        </w:rPr>
        <w:t>2017</w:t>
      </w:r>
    </w:p>
    <w:p>
      <w:pPr>
        <w:spacing w:before="66"/>
        <w:ind w:left="756" w:right="0" w:firstLine="0"/>
        <w:jc w:val="center"/>
        <w:rPr>
          <w:b/>
          <w:sz w:val="18"/>
        </w:rPr>
      </w:pPr>
      <w:r>
        <w:rPr>
          <w:b/>
          <w:sz w:val="18"/>
        </w:rPr>
        <w:t>Number</w:t>
      </w:r>
    </w:p>
    <w:p>
      <w:pPr>
        <w:spacing w:before="66"/>
        <w:ind w:left="540" w:right="394" w:firstLine="0"/>
        <w:jc w:val="center"/>
        <w:rPr>
          <w:b/>
          <w:sz w:val="18"/>
        </w:rPr>
      </w:pPr>
      <w:r>
        <w:rPr/>
        <w:br w:type="column"/>
      </w:r>
      <w:r>
        <w:rPr>
          <w:b/>
          <w:sz w:val="18"/>
        </w:rPr>
        <w:t>2016</w:t>
      </w:r>
    </w:p>
    <w:p>
      <w:pPr>
        <w:spacing w:before="66"/>
        <w:ind w:left="541" w:right="394" w:firstLine="0"/>
        <w:jc w:val="center"/>
        <w:rPr>
          <w:b/>
          <w:sz w:val="18"/>
        </w:rPr>
      </w:pPr>
      <w:r>
        <w:rPr>
          <w:b/>
          <w:sz w:val="18"/>
        </w:rPr>
        <w:t>Number</w:t>
      </w:r>
    </w:p>
    <w:p>
      <w:pPr>
        <w:spacing w:after="0"/>
        <w:jc w:val="center"/>
        <w:rPr>
          <w:sz w:val="18"/>
        </w:rPr>
        <w:sectPr>
          <w:type w:val="continuous"/>
          <w:pgSz w:w="11910" w:h="16840"/>
          <w:pgMar w:top="1580" w:bottom="280" w:left="900" w:right="880"/>
          <w:cols w:num="5" w:equalWidth="0">
            <w:col w:w="3964" w:space="40"/>
            <w:col w:w="1669" w:space="40"/>
            <w:col w:w="1242" w:space="40"/>
            <w:col w:w="1439" w:space="40"/>
            <w:col w:w="1656"/>
          </w:cols>
        </w:sectPr>
      </w:pPr>
    </w:p>
    <w:p>
      <w:pPr>
        <w:pStyle w:val="BodyText"/>
        <w:spacing w:before="5"/>
        <w:rPr>
          <w:b/>
          <w:sz w:val="23"/>
        </w:rPr>
      </w:pPr>
    </w:p>
    <w:p>
      <w:pPr>
        <w:pStyle w:val="BodyText"/>
        <w:tabs>
          <w:tab w:pos="5767" w:val="left" w:leader="none"/>
          <w:tab w:pos="7063" w:val="left" w:leader="none"/>
          <w:tab w:pos="8567" w:val="left" w:leader="none"/>
          <w:tab w:pos="9863" w:val="left" w:leader="none"/>
        </w:tabs>
        <w:spacing w:before="80"/>
        <w:ind w:left="1113" w:right="130"/>
      </w:pPr>
      <w:r>
        <w:rPr/>
        <w:t>Nil to $14,999</w:t>
        <w:tab/>
      </w:r>
      <w:r>
        <w:rPr>
          <w:b/>
        </w:rPr>
        <w:t>4</w:t>
        <w:tab/>
      </w:r>
      <w:r>
        <w:rPr/>
        <w:t>3</w:t>
        <w:tab/>
      </w:r>
      <w:r>
        <w:rPr>
          <w:b/>
        </w:rPr>
        <w:t>-</w:t>
        <w:tab/>
      </w:r>
      <w:r>
        <w:rPr/>
        <w:t>-</w:t>
      </w:r>
    </w:p>
    <w:p>
      <w:pPr>
        <w:pStyle w:val="BodyText"/>
        <w:tabs>
          <w:tab w:pos="5807" w:val="left" w:leader="none"/>
          <w:tab w:pos="7063" w:val="left" w:leader="none"/>
          <w:tab w:pos="8567" w:val="left" w:leader="none"/>
          <w:tab w:pos="9863" w:val="left" w:leader="none"/>
        </w:tabs>
        <w:spacing w:before="57"/>
        <w:ind w:left="1113" w:right="130"/>
      </w:pPr>
      <w:r>
        <w:rPr/>
        <w:t>$15,000 to $29,999</w:t>
        <w:tab/>
      </w:r>
      <w:r>
        <w:rPr>
          <w:b/>
        </w:rPr>
        <w:t>-</w:t>
        <w:tab/>
      </w:r>
      <w:r>
        <w:rPr/>
        <w:t>1</w:t>
        <w:tab/>
      </w:r>
      <w:r>
        <w:rPr>
          <w:b/>
        </w:rPr>
        <w:t>-</w:t>
        <w:tab/>
      </w:r>
      <w:r>
        <w:rPr/>
        <w:t>-</w:t>
      </w:r>
    </w:p>
    <w:p>
      <w:pPr>
        <w:pStyle w:val="BodyText"/>
        <w:tabs>
          <w:tab w:pos="5767" w:val="left" w:leader="none"/>
          <w:tab w:pos="7063" w:val="left" w:leader="none"/>
          <w:tab w:pos="8527" w:val="left" w:leader="none"/>
          <w:tab w:pos="9923" w:val="right" w:leader="none"/>
        </w:tabs>
        <w:spacing w:before="57"/>
        <w:ind w:left="1113"/>
      </w:pPr>
      <w:r>
        <w:rPr/>
        <w:pict>
          <v:group style="position:absolute;margin-left:269.565002pt;margin-top:14.336887pt;width:276.150pt;height:1pt;mso-position-horizontal-relative:page;mso-position-vertical-relative:paragraph;z-index:1624" coordorigin="5391,287" coordsize="5523,20">
            <v:line style="position:absolute" from="5393,288" to="5561,288" stroked="true" strokeweight=".12pt" strokecolor="#000000"/>
            <v:line style="position:absolute" from="5393,291" to="5561,291" stroked="true" strokeweight=".12pt" strokecolor="#000000"/>
            <v:line style="position:absolute" from="5393,293" to="5561,293" stroked="true" strokeweight=".12pt" strokecolor="#000000"/>
            <v:line style="position:absolute" from="5393,295" to="5561,295" stroked="true" strokeweight=".12pt" strokecolor="#000000"/>
            <v:line style="position:absolute" from="5393,298" to="5561,298" stroked="true" strokeweight=".12pt" strokecolor="#000000"/>
            <v:line style="position:absolute" from="5393,300" to="5561,300" stroked="true" strokeweight=".12pt" strokecolor="#000000"/>
            <v:line style="position:absolute" from="5393,303" to="5561,303" stroked="true" strokeweight=".12pt" strokecolor="#000000"/>
            <v:line style="position:absolute" from="5393,305" to="5561,305" stroked="true" strokeweight=".12pt" strokecolor="#000000"/>
            <v:line style="position:absolute" from="5561,288" to="6857,288" stroked="true" strokeweight=".12pt" strokecolor="#000000"/>
            <v:line style="position:absolute" from="5561,291" to="6857,291" stroked="true" strokeweight=".12pt" strokecolor="#000000"/>
            <v:line style="position:absolute" from="5561,293" to="6857,293" stroked="true" strokeweight=".12pt" strokecolor="#000000"/>
            <v:line style="position:absolute" from="5561,295" to="6857,295" stroked="true" strokeweight=".12pt" strokecolor="#000000"/>
            <v:line style="position:absolute" from="5561,298" to="6857,298" stroked="true" strokeweight=".12pt" strokecolor="#000000"/>
            <v:line style="position:absolute" from="5561,300" to="6857,300" stroked="true" strokeweight=".12pt" strokecolor="#000000"/>
            <v:line style="position:absolute" from="5561,303" to="6857,303" stroked="true" strokeweight=".12pt" strokecolor="#000000"/>
            <v:line style="position:absolute" from="5561,305" to="6857,305" stroked="true" strokeweight=".12pt" strokecolor="#000000"/>
            <v:line style="position:absolute" from="6857,288" to="8153,288" stroked="true" strokeweight=".12pt" strokecolor="#000000"/>
            <v:line style="position:absolute" from="6857,291" to="8153,291" stroked="true" strokeweight=".12pt" strokecolor="#000000"/>
            <v:line style="position:absolute" from="6857,293" to="8153,293" stroked="true" strokeweight=".12pt" strokecolor="#000000"/>
            <v:line style="position:absolute" from="6857,295" to="8153,295" stroked="true" strokeweight=".12pt" strokecolor="#000000"/>
            <v:line style="position:absolute" from="6857,298" to="8153,298" stroked="true" strokeweight=".12pt" strokecolor="#000000"/>
            <v:line style="position:absolute" from="6857,300" to="8153,300" stroked="true" strokeweight=".12pt" strokecolor="#000000"/>
            <v:line style="position:absolute" from="6857,303" to="8153,303" stroked="true" strokeweight=".12pt" strokecolor="#000000"/>
            <v:line style="position:absolute" from="6857,305" to="8153,305" stroked="true" strokeweight=".12pt" strokecolor="#000000"/>
            <v:line style="position:absolute" from="8153,288" to="8321,288" stroked="true" strokeweight=".12pt" strokecolor="#000000"/>
            <v:line style="position:absolute" from="8153,291" to="8321,291" stroked="true" strokeweight=".12pt" strokecolor="#000000"/>
            <v:line style="position:absolute" from="8153,293" to="8321,293" stroked="true" strokeweight=".12pt" strokecolor="#000000"/>
            <v:line style="position:absolute" from="8153,295" to="8321,295" stroked="true" strokeweight=".12pt" strokecolor="#000000"/>
            <v:line style="position:absolute" from="8153,298" to="8321,298" stroked="true" strokeweight=".12pt" strokecolor="#000000"/>
            <v:line style="position:absolute" from="8153,300" to="8321,300" stroked="true" strokeweight=".12pt" strokecolor="#000000"/>
            <v:line style="position:absolute" from="8153,303" to="8321,303" stroked="true" strokeweight=".12pt" strokecolor="#000000"/>
            <v:line style="position:absolute" from="8153,305" to="8321,305" stroked="true" strokeweight=".12pt" strokecolor="#000000"/>
            <v:line style="position:absolute" from="8321,288" to="9617,288" stroked="true" strokeweight=".12pt" strokecolor="#000000"/>
            <v:line style="position:absolute" from="8321,291" to="9617,291" stroked="true" strokeweight=".12pt" strokecolor="#000000"/>
            <v:line style="position:absolute" from="8321,293" to="9617,293" stroked="true" strokeweight=".12pt" strokecolor="#000000"/>
            <v:line style="position:absolute" from="8321,295" to="9617,295" stroked="true" strokeweight=".12pt" strokecolor="#000000"/>
            <v:line style="position:absolute" from="8321,298" to="9617,298" stroked="true" strokeweight=".12pt" strokecolor="#000000"/>
            <v:line style="position:absolute" from="8321,300" to="9617,300" stroked="true" strokeweight=".12pt" strokecolor="#000000"/>
            <v:line style="position:absolute" from="8321,303" to="9617,303" stroked="true" strokeweight=".12pt" strokecolor="#000000"/>
            <v:line style="position:absolute" from="8321,305" to="9617,305" stroked="true" strokeweight=".12pt" strokecolor="#000000"/>
            <v:line style="position:absolute" from="9617,288" to="10913,288" stroked="true" strokeweight=".12pt" strokecolor="#000000"/>
            <v:line style="position:absolute" from="9617,291" to="10913,291" stroked="true" strokeweight=".12pt" strokecolor="#000000"/>
            <v:line style="position:absolute" from="9617,293" to="10913,293" stroked="true" strokeweight=".12pt" strokecolor="#000000"/>
            <v:line style="position:absolute" from="9617,295" to="10913,295" stroked="true" strokeweight=".12pt" strokecolor="#000000"/>
            <v:line style="position:absolute" from="9617,298" to="10913,298" stroked="true" strokeweight=".12pt" strokecolor="#000000"/>
            <v:line style="position:absolute" from="9617,300" to="10913,300" stroked="true" strokeweight=".12pt" strokecolor="#000000"/>
            <v:line style="position:absolute" from="9617,303" to="10913,303" stroked="true" strokeweight=".12pt" strokecolor="#000000"/>
            <v:line style="position:absolute" from="9617,305" to="10913,305" stroked="true" strokeweight=".12pt" strokecolor="#000000"/>
            <w10:wrap type="none"/>
          </v:group>
        </w:pict>
      </w:r>
      <w:r>
        <w:rPr/>
        <w:t>$30,000 to $45,999</w:t>
        <w:tab/>
      </w:r>
      <w:r>
        <w:rPr>
          <w:b/>
        </w:rPr>
        <w:t>1</w:t>
        <w:tab/>
      </w:r>
      <w:r>
        <w:rPr/>
        <w:t>1</w:t>
        <w:tab/>
      </w:r>
      <w:r>
        <w:rPr>
          <w:b/>
        </w:rPr>
        <w:t>1</w:t>
      </w:r>
      <w:r>
        <w:rPr>
          <w:rFonts w:ascii="Times New Roman"/>
        </w:rPr>
        <w:tab/>
      </w:r>
      <w:r>
        <w:rPr/>
        <w:t>1</w:t>
      </w:r>
    </w:p>
    <w:p>
      <w:pPr>
        <w:tabs>
          <w:tab w:pos="7063" w:val="left" w:leader="none"/>
          <w:tab w:pos="8527" w:val="left" w:leader="none"/>
          <w:tab w:pos="9823" w:val="left" w:leader="none"/>
        </w:tabs>
        <w:spacing w:before="158"/>
        <w:ind w:left="5767" w:right="130" w:firstLine="0"/>
        <w:jc w:val="left"/>
        <w:rPr>
          <w:sz w:val="18"/>
        </w:rPr>
      </w:pPr>
      <w:r>
        <w:rPr>
          <w:b/>
          <w:sz w:val="18"/>
        </w:rPr>
        <w:t>5</w:t>
        <w:tab/>
      </w:r>
      <w:r>
        <w:rPr>
          <w:sz w:val="18"/>
        </w:rPr>
        <w:t>5</w:t>
        <w:tab/>
      </w:r>
      <w:r>
        <w:rPr>
          <w:b/>
          <w:sz w:val="18"/>
        </w:rPr>
        <w:t>1</w:t>
        <w:tab/>
      </w:r>
      <w:r>
        <w:rPr>
          <w:sz w:val="18"/>
        </w:rPr>
        <w:t>1</w:t>
      </w:r>
    </w:p>
    <w:p>
      <w:pPr>
        <w:pStyle w:val="BodyText"/>
        <w:spacing w:line="20" w:lineRule="exact"/>
        <w:ind w:left="4491"/>
        <w:rPr>
          <w:sz w:val="2"/>
        </w:rPr>
      </w:pPr>
      <w:r>
        <w:rPr>
          <w:sz w:val="2"/>
        </w:rPr>
        <w:pict>
          <v:group style="width:276.150pt;height:1pt;mso-position-horizontal-relative:char;mso-position-vertical-relative:line" coordorigin="0,0" coordsize="5523,20">
            <v:line style="position:absolute" from="2,2" to="170,2" stroked="true" strokeweight=".12pt" strokecolor="#000000"/>
            <v:line style="position:absolute" from="2,4" to="170,4" stroked="true" strokeweight=".12pt" strokecolor="#000000"/>
            <v:line style="position:absolute" from="2,6" to="170,6" stroked="true" strokeweight=".12pt" strokecolor="#000000"/>
            <v:line style="position:absolute" from="2,9" to="170,9" stroked="true" strokeweight=".12pt" strokecolor="#000000"/>
            <v:line style="position:absolute" from="2,11" to="170,11" stroked="true" strokeweight=".12pt" strokecolor="#000000"/>
            <v:line style="position:absolute" from="2,14" to="170,14" stroked="true" strokeweight=".12pt" strokecolor="#000000"/>
            <v:line style="position:absolute" from="2,16" to="170,16" stroked="true" strokeweight=".12pt" strokecolor="#000000"/>
            <v:line style="position:absolute" from="2,18" to="170,18" stroked="true" strokeweight=".12pt" strokecolor="#000000"/>
            <v:line style="position:absolute" from="170,2" to="1466,2" stroked="true" strokeweight=".12pt" strokecolor="#000000"/>
            <v:line style="position:absolute" from="170,4" to="1466,4" stroked="true" strokeweight=".12pt" strokecolor="#000000"/>
            <v:line style="position:absolute" from="170,6" to="1466,6" stroked="true" strokeweight=".12pt" strokecolor="#000000"/>
            <v:line style="position:absolute" from="170,9" to="1466,9" stroked="true" strokeweight=".12pt" strokecolor="#000000"/>
            <v:line style="position:absolute" from="170,11" to="1466,11" stroked="true" strokeweight=".12pt" strokecolor="#000000"/>
            <v:line style="position:absolute" from="170,14" to="1466,14" stroked="true" strokeweight=".12pt" strokecolor="#000000"/>
            <v:line style="position:absolute" from="170,16" to="1466,16" stroked="true" strokeweight=".12pt" strokecolor="#000000"/>
            <v:line style="position:absolute" from="170,18" to="1466,18" stroked="true" strokeweight=".12pt" strokecolor="#000000"/>
            <v:line style="position:absolute" from="1466,2" to="2762,2" stroked="true" strokeweight=".12pt" strokecolor="#000000"/>
            <v:line style="position:absolute" from="1466,4" to="2762,4" stroked="true" strokeweight=".12pt" strokecolor="#000000"/>
            <v:line style="position:absolute" from="1466,6" to="2762,6" stroked="true" strokeweight=".12pt" strokecolor="#000000"/>
            <v:line style="position:absolute" from="1466,9" to="2762,9" stroked="true" strokeweight=".12pt" strokecolor="#000000"/>
            <v:line style="position:absolute" from="1466,11" to="2762,11" stroked="true" strokeweight=".12pt" strokecolor="#000000"/>
            <v:line style="position:absolute" from="1466,14" to="2762,14" stroked="true" strokeweight=".12pt" strokecolor="#000000"/>
            <v:line style="position:absolute" from="1466,16" to="2762,16" stroked="true" strokeweight=".12pt" strokecolor="#000000"/>
            <v:line style="position:absolute" from="1466,18" to="2762,18" stroked="true" strokeweight=".12pt" strokecolor="#000000"/>
            <v:line style="position:absolute" from="2761,2" to="2929,2" stroked="true" strokeweight=".12pt" strokecolor="#000000"/>
            <v:line style="position:absolute" from="2761,4" to="2929,4" stroked="true" strokeweight=".12pt" strokecolor="#000000"/>
            <v:line style="position:absolute" from="2761,6" to="2929,6" stroked="true" strokeweight=".12pt" strokecolor="#000000"/>
            <v:line style="position:absolute" from="2761,9" to="2929,9" stroked="true" strokeweight=".12pt" strokecolor="#000000"/>
            <v:line style="position:absolute" from="2761,11" to="2929,11" stroked="true" strokeweight=".12pt" strokecolor="#000000"/>
            <v:line style="position:absolute" from="2761,14" to="2929,14" stroked="true" strokeweight=".12pt" strokecolor="#000000"/>
            <v:line style="position:absolute" from="2761,16" to="2929,16" stroked="true" strokeweight=".12pt" strokecolor="#000000"/>
            <v:line style="position:absolute" from="2761,18" to="2929,18" stroked="true" strokeweight=".12pt" strokecolor="#000000"/>
            <v:line style="position:absolute" from="2930,2" to="4226,2" stroked="true" strokeweight=".12pt" strokecolor="#000000"/>
            <v:line style="position:absolute" from="2930,4" to="4226,4" stroked="true" strokeweight=".12pt" strokecolor="#000000"/>
            <v:line style="position:absolute" from="2930,6" to="4226,6" stroked="true" strokeweight=".12pt" strokecolor="#000000"/>
            <v:line style="position:absolute" from="2930,9" to="4226,9" stroked="true" strokeweight=".12pt" strokecolor="#000000"/>
            <v:line style="position:absolute" from="2930,11" to="4226,11" stroked="true" strokeweight=".12pt" strokecolor="#000000"/>
            <v:line style="position:absolute" from="2930,14" to="4226,14" stroked="true" strokeweight=".12pt" strokecolor="#000000"/>
            <v:line style="position:absolute" from="2930,16" to="4226,16" stroked="true" strokeweight=".12pt" strokecolor="#000000"/>
            <v:line style="position:absolute" from="2930,18" to="4226,18" stroked="true" strokeweight=".12pt" strokecolor="#000000"/>
            <v:line style="position:absolute" from="4225,2" to="5521,2" stroked="true" strokeweight=".12pt" strokecolor="#000000"/>
            <v:line style="position:absolute" from="4225,4" to="5521,4" stroked="true" strokeweight=".12pt" strokecolor="#000000"/>
            <v:line style="position:absolute" from="4225,6" to="5521,6" stroked="true" strokeweight=".12pt" strokecolor="#000000"/>
            <v:line style="position:absolute" from="4225,9" to="5521,9" stroked="true" strokeweight=".12pt" strokecolor="#000000"/>
            <v:line style="position:absolute" from="4225,11" to="5521,11" stroked="true" strokeweight=".12pt" strokecolor="#000000"/>
            <v:line style="position:absolute" from="4225,14" to="5521,14" stroked="true" strokeweight=".12pt" strokecolor="#000000"/>
            <v:line style="position:absolute" from="4225,16" to="5521,16" stroked="true" strokeweight=".12pt" strokecolor="#000000"/>
            <v:line style="position:absolute" from="4225,18" to="5521,18" stroked="true" strokeweight=".12pt" strokecolor="#000000"/>
          </v:group>
        </w:pict>
      </w:r>
      <w:r>
        <w:rPr>
          <w:sz w:val="2"/>
        </w:rPr>
      </w:r>
    </w:p>
    <w:p>
      <w:pPr>
        <w:spacing w:after="0" w:line="20" w:lineRule="exact"/>
        <w:rPr>
          <w:sz w:val="2"/>
        </w:rPr>
        <w:sectPr>
          <w:type w:val="continuous"/>
          <w:pgSz w:w="11910" w:h="16840"/>
          <w:pgMar w:top="1580" w:bottom="280" w:left="900" w:right="880"/>
        </w:sectPr>
      </w:pPr>
    </w:p>
    <w:p>
      <w:pPr>
        <w:pStyle w:val="BodyText"/>
        <w:rPr>
          <w:sz w:val="20"/>
        </w:rPr>
      </w:pPr>
    </w:p>
    <w:p>
      <w:pPr>
        <w:pStyle w:val="BodyText"/>
        <w:rPr>
          <w:sz w:val="20"/>
        </w:rPr>
      </w:pPr>
    </w:p>
    <w:p>
      <w:pPr>
        <w:pStyle w:val="BodyText"/>
        <w:spacing w:before="9"/>
        <w:rPr>
          <w:sz w:val="11"/>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9"/>
        <w:gridCol w:w="6020"/>
        <w:gridCol w:w="499"/>
        <w:gridCol w:w="1528"/>
        <w:gridCol w:w="734"/>
        <w:gridCol w:w="295"/>
      </w:tblGrid>
      <w:tr>
        <w:trPr>
          <w:trHeight w:val="826" w:hRule="exact"/>
        </w:trPr>
        <w:tc>
          <w:tcPr>
            <w:tcW w:w="469" w:type="dxa"/>
          </w:tcPr>
          <w:p>
            <w:pPr>
              <w:pStyle w:val="TableParagraph"/>
              <w:spacing w:before="77"/>
              <w:ind w:left="16" w:right="13"/>
              <w:jc w:val="center"/>
              <w:rPr>
                <w:b/>
                <w:sz w:val="18"/>
              </w:rPr>
            </w:pPr>
            <w:r>
              <w:rPr>
                <w:b/>
                <w:sz w:val="18"/>
              </w:rPr>
              <w:t>30</w:t>
            </w:r>
          </w:p>
          <w:p>
            <w:pPr>
              <w:pStyle w:val="TableParagraph"/>
              <w:spacing w:before="7"/>
              <w:rPr>
                <w:sz w:val="26"/>
              </w:rPr>
            </w:pPr>
          </w:p>
          <w:p>
            <w:pPr>
              <w:pStyle w:val="TableParagraph"/>
              <w:ind w:left="16" w:right="192"/>
              <w:jc w:val="center"/>
              <w:rPr>
                <w:sz w:val="18"/>
              </w:rPr>
            </w:pPr>
            <w:r>
              <w:rPr>
                <w:sz w:val="18"/>
              </w:rPr>
              <w:t>(b)</w:t>
            </w:r>
          </w:p>
        </w:tc>
        <w:tc>
          <w:tcPr>
            <w:tcW w:w="6020" w:type="dxa"/>
          </w:tcPr>
          <w:p>
            <w:pPr>
              <w:pStyle w:val="TableParagraph"/>
              <w:spacing w:before="77"/>
              <w:ind w:left="132"/>
              <w:rPr>
                <w:b/>
                <w:sz w:val="18"/>
              </w:rPr>
            </w:pPr>
            <w:r>
              <w:rPr>
                <w:b/>
                <w:sz w:val="18"/>
              </w:rPr>
              <w:t>Key Management Personnel Disclosures (continued)</w:t>
            </w:r>
          </w:p>
          <w:p>
            <w:pPr>
              <w:pStyle w:val="TableParagraph"/>
              <w:spacing w:before="7"/>
              <w:rPr>
                <w:sz w:val="26"/>
              </w:rPr>
            </w:pPr>
          </w:p>
          <w:p>
            <w:pPr>
              <w:pStyle w:val="TableParagraph"/>
              <w:ind w:left="132"/>
              <w:rPr>
                <w:sz w:val="18"/>
              </w:rPr>
            </w:pPr>
            <w:r>
              <w:rPr>
                <w:sz w:val="18"/>
              </w:rPr>
              <w:t>Remuneration of board members and executives (continued)</w:t>
            </w:r>
          </w:p>
        </w:tc>
        <w:tc>
          <w:tcPr>
            <w:tcW w:w="499" w:type="dxa"/>
          </w:tcPr>
          <w:p>
            <w:pPr/>
          </w:p>
        </w:tc>
        <w:tc>
          <w:tcPr>
            <w:tcW w:w="1528" w:type="dxa"/>
          </w:tcPr>
          <w:p>
            <w:pPr/>
          </w:p>
        </w:tc>
        <w:tc>
          <w:tcPr>
            <w:tcW w:w="1028" w:type="dxa"/>
            <w:gridSpan w:val="2"/>
            <w:vMerge w:val="restart"/>
          </w:tcPr>
          <w:p>
            <w:pPr/>
          </w:p>
        </w:tc>
      </w:tr>
      <w:tr>
        <w:trPr>
          <w:trHeight w:val="259" w:hRule="exact"/>
        </w:trPr>
        <w:tc>
          <w:tcPr>
            <w:tcW w:w="469" w:type="dxa"/>
          </w:tcPr>
          <w:p>
            <w:pPr/>
          </w:p>
        </w:tc>
        <w:tc>
          <w:tcPr>
            <w:tcW w:w="6020" w:type="dxa"/>
          </w:tcPr>
          <w:p>
            <w:pPr>
              <w:pStyle w:val="TableParagraph"/>
              <w:spacing w:before="9"/>
              <w:ind w:right="471"/>
              <w:jc w:val="right"/>
              <w:rPr>
                <w:b/>
                <w:sz w:val="18"/>
              </w:rPr>
            </w:pPr>
            <w:r>
              <w:rPr>
                <w:b/>
                <w:sz w:val="18"/>
              </w:rPr>
              <w:t>Consolidated</w:t>
            </w:r>
          </w:p>
        </w:tc>
        <w:tc>
          <w:tcPr>
            <w:tcW w:w="499" w:type="dxa"/>
          </w:tcPr>
          <w:p>
            <w:pPr/>
          </w:p>
        </w:tc>
        <w:tc>
          <w:tcPr>
            <w:tcW w:w="1528" w:type="dxa"/>
          </w:tcPr>
          <w:p>
            <w:pPr>
              <w:pStyle w:val="TableParagraph"/>
              <w:spacing w:before="9"/>
              <w:ind w:left="919"/>
              <w:rPr>
                <w:b/>
                <w:sz w:val="18"/>
              </w:rPr>
            </w:pPr>
            <w:r>
              <w:rPr>
                <w:b/>
                <w:sz w:val="18"/>
              </w:rPr>
              <w:t>Parent</w:t>
            </w:r>
          </w:p>
        </w:tc>
        <w:tc>
          <w:tcPr>
            <w:tcW w:w="1028" w:type="dxa"/>
            <w:gridSpan w:val="2"/>
            <w:vMerge/>
          </w:tcPr>
          <w:p>
            <w:pPr/>
          </w:p>
        </w:tc>
      </w:tr>
      <w:tr>
        <w:trPr>
          <w:trHeight w:val="274" w:hRule="exact"/>
        </w:trPr>
        <w:tc>
          <w:tcPr>
            <w:tcW w:w="469" w:type="dxa"/>
          </w:tcPr>
          <w:p>
            <w:pPr/>
          </w:p>
        </w:tc>
        <w:tc>
          <w:tcPr>
            <w:tcW w:w="6020" w:type="dxa"/>
          </w:tcPr>
          <w:p>
            <w:pPr>
              <w:pStyle w:val="TableParagraph"/>
              <w:tabs>
                <w:tab w:pos="1281" w:val="left" w:leader="none"/>
              </w:tabs>
              <w:spacing w:before="24"/>
              <w:ind w:right="142"/>
              <w:jc w:val="right"/>
              <w:rPr>
                <w:b/>
                <w:sz w:val="18"/>
              </w:rPr>
            </w:pPr>
            <w:r>
              <w:rPr>
                <w:b/>
                <w:sz w:val="18"/>
              </w:rPr>
              <w:t>2017</w:t>
              <w:tab/>
            </w:r>
            <w:r>
              <w:rPr>
                <w:b/>
                <w:spacing w:val="-1"/>
                <w:sz w:val="18"/>
              </w:rPr>
              <w:t>2016</w:t>
            </w:r>
          </w:p>
        </w:tc>
        <w:tc>
          <w:tcPr>
            <w:tcW w:w="499" w:type="dxa"/>
          </w:tcPr>
          <w:p>
            <w:pPr/>
          </w:p>
        </w:tc>
        <w:tc>
          <w:tcPr>
            <w:tcW w:w="1528" w:type="dxa"/>
          </w:tcPr>
          <w:p>
            <w:pPr>
              <w:pStyle w:val="TableParagraph"/>
              <w:spacing w:before="24"/>
              <w:ind w:left="432"/>
              <w:rPr>
                <w:b/>
                <w:sz w:val="18"/>
              </w:rPr>
            </w:pPr>
            <w:r>
              <w:rPr>
                <w:b/>
                <w:sz w:val="18"/>
              </w:rPr>
              <w:t>2017</w:t>
            </w:r>
          </w:p>
        </w:tc>
        <w:tc>
          <w:tcPr>
            <w:tcW w:w="734" w:type="dxa"/>
          </w:tcPr>
          <w:p>
            <w:pPr>
              <w:pStyle w:val="TableParagraph"/>
              <w:spacing w:before="24"/>
              <w:ind w:left="41"/>
              <w:jc w:val="center"/>
              <w:rPr>
                <w:b/>
                <w:sz w:val="18"/>
              </w:rPr>
            </w:pPr>
            <w:r>
              <w:rPr>
                <w:b/>
                <w:sz w:val="18"/>
              </w:rPr>
              <w:t>2016</w:t>
            </w:r>
          </w:p>
        </w:tc>
        <w:tc>
          <w:tcPr>
            <w:tcW w:w="295" w:type="dxa"/>
          </w:tcPr>
          <w:p>
            <w:pPr/>
          </w:p>
        </w:tc>
      </w:tr>
      <w:tr>
        <w:trPr>
          <w:trHeight w:val="313" w:hRule="exact"/>
        </w:trPr>
        <w:tc>
          <w:tcPr>
            <w:tcW w:w="469" w:type="dxa"/>
          </w:tcPr>
          <w:p>
            <w:pPr/>
          </w:p>
        </w:tc>
        <w:tc>
          <w:tcPr>
            <w:tcW w:w="6020" w:type="dxa"/>
          </w:tcPr>
          <w:p>
            <w:pPr>
              <w:pStyle w:val="TableParagraph"/>
              <w:tabs>
                <w:tab w:pos="1281" w:val="left" w:leader="none"/>
              </w:tabs>
              <w:spacing w:before="24"/>
              <w:ind w:right="2"/>
              <w:jc w:val="right"/>
              <w:rPr>
                <w:b/>
                <w:sz w:val="18"/>
              </w:rPr>
            </w:pPr>
            <w:r>
              <w:rPr>
                <w:b/>
                <w:sz w:val="18"/>
              </w:rPr>
              <w:t>Number</w:t>
              <w:tab/>
            </w:r>
            <w:r>
              <w:rPr>
                <w:b/>
                <w:spacing w:val="-1"/>
                <w:sz w:val="18"/>
              </w:rPr>
              <w:t>Number</w:t>
            </w:r>
          </w:p>
        </w:tc>
        <w:tc>
          <w:tcPr>
            <w:tcW w:w="499" w:type="dxa"/>
          </w:tcPr>
          <w:p>
            <w:pPr/>
          </w:p>
        </w:tc>
        <w:tc>
          <w:tcPr>
            <w:tcW w:w="1528" w:type="dxa"/>
          </w:tcPr>
          <w:p>
            <w:pPr>
              <w:pStyle w:val="TableParagraph"/>
              <w:spacing w:before="24"/>
              <w:ind w:left="292"/>
              <w:rPr>
                <w:b/>
                <w:sz w:val="18"/>
              </w:rPr>
            </w:pPr>
            <w:r>
              <w:rPr>
                <w:b/>
                <w:sz w:val="18"/>
              </w:rPr>
              <w:t>Number</w:t>
            </w:r>
          </w:p>
        </w:tc>
        <w:tc>
          <w:tcPr>
            <w:tcW w:w="734" w:type="dxa"/>
          </w:tcPr>
          <w:p>
            <w:pPr>
              <w:pStyle w:val="TableParagraph"/>
              <w:spacing w:before="24"/>
              <w:ind w:left="42"/>
              <w:jc w:val="center"/>
              <w:rPr>
                <w:b/>
                <w:sz w:val="18"/>
              </w:rPr>
            </w:pPr>
            <w:r>
              <w:rPr>
                <w:b/>
                <w:sz w:val="18"/>
              </w:rPr>
              <w:t>Number</w:t>
            </w:r>
          </w:p>
        </w:tc>
        <w:tc>
          <w:tcPr>
            <w:tcW w:w="295" w:type="dxa"/>
          </w:tcPr>
          <w:p>
            <w:pPr/>
          </w:p>
        </w:tc>
      </w:tr>
      <w:tr>
        <w:trPr>
          <w:trHeight w:val="454" w:hRule="exact"/>
        </w:trPr>
        <w:tc>
          <w:tcPr>
            <w:tcW w:w="469" w:type="dxa"/>
          </w:tcPr>
          <w:p>
            <w:pPr/>
          </w:p>
        </w:tc>
        <w:tc>
          <w:tcPr>
            <w:tcW w:w="6020" w:type="dxa"/>
          </w:tcPr>
          <w:p>
            <w:pPr>
              <w:pStyle w:val="TableParagraph"/>
              <w:spacing w:before="63"/>
              <w:ind w:left="175"/>
              <w:rPr>
                <w:b/>
                <w:sz w:val="18"/>
              </w:rPr>
            </w:pPr>
            <w:r>
              <w:rPr>
                <w:b/>
                <w:sz w:val="18"/>
              </w:rPr>
              <w:t>Remuneration of executive officers</w:t>
            </w:r>
          </w:p>
        </w:tc>
        <w:tc>
          <w:tcPr>
            <w:tcW w:w="499" w:type="dxa"/>
          </w:tcPr>
          <w:p>
            <w:pPr/>
          </w:p>
        </w:tc>
        <w:tc>
          <w:tcPr>
            <w:tcW w:w="1528" w:type="dxa"/>
          </w:tcPr>
          <w:p>
            <w:pPr/>
          </w:p>
        </w:tc>
        <w:tc>
          <w:tcPr>
            <w:tcW w:w="734" w:type="dxa"/>
          </w:tcPr>
          <w:p>
            <w:pPr/>
          </w:p>
        </w:tc>
        <w:tc>
          <w:tcPr>
            <w:tcW w:w="295" w:type="dxa"/>
          </w:tcPr>
          <w:p>
            <w:pPr/>
          </w:p>
        </w:tc>
      </w:tr>
      <w:tr>
        <w:trPr>
          <w:trHeight w:val="410" w:hRule="exact"/>
        </w:trPr>
        <w:tc>
          <w:tcPr>
            <w:tcW w:w="469" w:type="dxa"/>
          </w:tcPr>
          <w:p>
            <w:pPr/>
          </w:p>
        </w:tc>
        <w:tc>
          <w:tcPr>
            <w:tcW w:w="6020" w:type="dxa"/>
          </w:tcPr>
          <w:p>
            <w:pPr>
              <w:pStyle w:val="TableParagraph"/>
              <w:spacing w:before="5"/>
              <w:rPr>
                <w:sz w:val="14"/>
              </w:rPr>
            </w:pPr>
          </w:p>
          <w:p>
            <w:pPr>
              <w:pStyle w:val="TableParagraph"/>
              <w:tabs>
                <w:tab w:pos="4869" w:val="left" w:leader="none"/>
              </w:tabs>
              <w:ind w:left="175"/>
              <w:rPr>
                <w:b/>
                <w:sz w:val="18"/>
              </w:rPr>
            </w:pPr>
            <w:r>
              <w:rPr>
                <w:sz w:val="18"/>
              </w:rPr>
              <w:t>$140,000 to $149,999</w:t>
              <w:tab/>
            </w:r>
            <w:r>
              <w:rPr>
                <w:b/>
                <w:sz w:val="18"/>
              </w:rPr>
              <w:t>-</w:t>
            </w:r>
          </w:p>
        </w:tc>
        <w:tc>
          <w:tcPr>
            <w:tcW w:w="499" w:type="dxa"/>
          </w:tcPr>
          <w:p>
            <w:pPr>
              <w:pStyle w:val="TableParagraph"/>
              <w:spacing w:before="3"/>
              <w:rPr>
                <w:sz w:val="14"/>
              </w:rPr>
            </w:pPr>
          </w:p>
          <w:p>
            <w:pPr>
              <w:pStyle w:val="TableParagraph"/>
              <w:ind w:right="291"/>
              <w:jc w:val="right"/>
              <w:rPr>
                <w:sz w:val="18"/>
              </w:rPr>
            </w:pPr>
            <w:r>
              <w:rPr>
                <w:w w:val="99"/>
                <w:sz w:val="18"/>
              </w:rPr>
              <w:t>1</w:t>
            </w:r>
          </w:p>
        </w:tc>
        <w:tc>
          <w:tcPr>
            <w:tcW w:w="1528" w:type="dxa"/>
          </w:tcPr>
          <w:p>
            <w:pPr>
              <w:pStyle w:val="TableParagraph"/>
              <w:spacing w:before="3"/>
              <w:rPr>
                <w:sz w:val="14"/>
              </w:rPr>
            </w:pPr>
          </w:p>
          <w:p>
            <w:pPr>
              <w:pStyle w:val="TableParagraph"/>
              <w:ind w:right="354"/>
              <w:jc w:val="right"/>
              <w:rPr>
                <w:b/>
                <w:sz w:val="18"/>
              </w:rPr>
            </w:pPr>
            <w:r>
              <w:rPr>
                <w:b/>
                <w:w w:val="99"/>
                <w:sz w:val="18"/>
              </w:rPr>
              <w:t>-</w:t>
            </w:r>
          </w:p>
        </w:tc>
        <w:tc>
          <w:tcPr>
            <w:tcW w:w="734" w:type="dxa"/>
          </w:tcPr>
          <w:p>
            <w:pPr/>
          </w:p>
        </w:tc>
        <w:tc>
          <w:tcPr>
            <w:tcW w:w="295" w:type="dxa"/>
          </w:tcPr>
          <w:p>
            <w:pPr>
              <w:pStyle w:val="TableParagraph"/>
              <w:spacing w:before="3"/>
              <w:rPr>
                <w:sz w:val="14"/>
              </w:rPr>
            </w:pPr>
          </w:p>
          <w:p>
            <w:pPr>
              <w:pStyle w:val="TableParagraph"/>
              <w:ind w:right="86"/>
              <w:jc w:val="right"/>
              <w:rPr>
                <w:sz w:val="18"/>
              </w:rPr>
            </w:pPr>
            <w:r>
              <w:rPr>
                <w:w w:val="99"/>
                <w:sz w:val="18"/>
              </w:rPr>
              <w:t>-</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$150,000</w:t>
            </w:r>
            <w:r>
              <w:rPr>
                <w:spacing w:val="1"/>
                <w:sz w:val="18"/>
              </w:rPr>
              <w:t> </w:t>
            </w:r>
            <w:r>
              <w:rPr>
                <w:sz w:val="18"/>
              </w:rPr>
              <w:t>to</w:t>
            </w:r>
            <w:r>
              <w:rPr>
                <w:spacing w:val="1"/>
                <w:sz w:val="18"/>
              </w:rPr>
              <w:t> </w:t>
            </w:r>
            <w:r>
              <w:rPr>
                <w:sz w:val="18"/>
              </w:rPr>
              <w:t>$159,999</w:t>
            </w:r>
            <w:r>
              <w:rPr>
                <w:rFonts w:ascii="Times New Roman"/>
                <w:sz w:val="18"/>
              </w:rPr>
              <w:tab/>
            </w:r>
            <w:r>
              <w:rPr>
                <w:b/>
                <w:sz w:val="18"/>
              </w:rPr>
              <w:t>1</w:t>
            </w:r>
          </w:p>
        </w:tc>
        <w:tc>
          <w:tcPr>
            <w:tcW w:w="499" w:type="dxa"/>
          </w:tcPr>
          <w:p>
            <w:pPr>
              <w:pStyle w:val="TableParagraph"/>
              <w:spacing w:before="18"/>
              <w:ind w:right="290"/>
              <w:jc w:val="right"/>
              <w:rPr>
                <w:sz w:val="18"/>
              </w:rPr>
            </w:pPr>
            <w:r>
              <w:rPr>
                <w:w w:val="99"/>
                <w:sz w:val="18"/>
              </w:rPr>
              <w:t>-</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469" w:type="dxa"/>
          </w:tcPr>
          <w:p>
            <w:pPr/>
          </w:p>
        </w:tc>
        <w:tc>
          <w:tcPr>
            <w:tcW w:w="6020" w:type="dxa"/>
          </w:tcPr>
          <w:p>
            <w:pPr>
              <w:pStyle w:val="TableParagraph"/>
              <w:tabs>
                <w:tab w:pos="4869" w:val="left" w:leader="none"/>
              </w:tabs>
              <w:spacing w:before="20"/>
              <w:ind w:left="175"/>
              <w:rPr>
                <w:b/>
                <w:sz w:val="18"/>
              </w:rPr>
            </w:pPr>
            <w:r>
              <w:rPr>
                <w:sz w:val="18"/>
              </w:rPr>
              <w:t>$160,000 to $169,999</w:t>
              <w:tab/>
            </w:r>
            <w:r>
              <w:rPr>
                <w:b/>
                <w:sz w:val="18"/>
              </w:rPr>
              <w:t>-</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$240,000</w:t>
            </w:r>
            <w:r>
              <w:rPr>
                <w:spacing w:val="1"/>
                <w:sz w:val="18"/>
              </w:rPr>
              <w:t> </w:t>
            </w:r>
            <w:r>
              <w:rPr>
                <w:sz w:val="18"/>
              </w:rPr>
              <w:t>to</w:t>
            </w:r>
            <w:r>
              <w:rPr>
                <w:spacing w:val="1"/>
                <w:sz w:val="18"/>
              </w:rPr>
              <w:t> </w:t>
            </w:r>
            <w:r>
              <w:rPr>
                <w:sz w:val="18"/>
              </w:rPr>
              <w:t>$249,999</w:t>
            </w:r>
            <w:r>
              <w:rPr>
                <w:rFonts w:ascii="Times New Roman"/>
                <w:sz w:val="18"/>
              </w:rPr>
              <w:tab/>
            </w:r>
            <w:r>
              <w:rPr>
                <w:b/>
                <w:sz w:val="18"/>
              </w:rPr>
              <w:t>1</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5"/>
              <w:jc w:val="right"/>
              <w:rPr>
                <w:b/>
                <w:sz w:val="18"/>
              </w:rPr>
            </w:pPr>
            <w:r>
              <w:rPr>
                <w:b/>
                <w:w w:val="99"/>
                <w:sz w:val="18"/>
              </w:rPr>
              <w:t>1</w:t>
            </w:r>
          </w:p>
        </w:tc>
        <w:tc>
          <w:tcPr>
            <w:tcW w:w="734" w:type="dxa"/>
          </w:tcPr>
          <w:p>
            <w:pPr/>
          </w:p>
        </w:tc>
        <w:tc>
          <w:tcPr>
            <w:tcW w:w="295" w:type="dxa"/>
          </w:tcPr>
          <w:p>
            <w:pPr>
              <w:pStyle w:val="TableParagraph"/>
              <w:spacing w:before="18"/>
              <w:ind w:right="87"/>
              <w:jc w:val="right"/>
              <w:rPr>
                <w:sz w:val="18"/>
              </w:rPr>
            </w:pPr>
            <w:r>
              <w:rPr>
                <w:w w:val="99"/>
                <w:sz w:val="18"/>
              </w:rPr>
              <w:t>1</w:t>
            </w:r>
          </w:p>
        </w:tc>
      </w:tr>
      <w:tr>
        <w:trPr>
          <w:trHeight w:val="264" w:hRule="exact"/>
        </w:trPr>
        <w:tc>
          <w:tcPr>
            <w:tcW w:w="469" w:type="dxa"/>
          </w:tcPr>
          <w:p>
            <w:pPr/>
          </w:p>
        </w:tc>
        <w:tc>
          <w:tcPr>
            <w:tcW w:w="6020" w:type="dxa"/>
          </w:tcPr>
          <w:p>
            <w:pPr>
              <w:pStyle w:val="TableParagraph"/>
              <w:tabs>
                <w:tab w:pos="4869" w:val="left" w:leader="none"/>
              </w:tabs>
              <w:spacing w:before="20"/>
              <w:ind w:left="175"/>
              <w:rPr>
                <w:b/>
                <w:sz w:val="18"/>
              </w:rPr>
            </w:pPr>
            <w:r>
              <w:rPr>
                <w:sz w:val="18"/>
              </w:rPr>
              <w:t>$270,000 to $279,999</w:t>
              <w:tab/>
            </w:r>
            <w:r>
              <w:rPr>
                <w:b/>
                <w:sz w:val="18"/>
              </w:rPr>
              <w:t>-</w:t>
            </w:r>
          </w:p>
        </w:tc>
        <w:tc>
          <w:tcPr>
            <w:tcW w:w="499" w:type="dxa"/>
          </w:tcPr>
          <w:p>
            <w:pPr>
              <w:pStyle w:val="TableParagraph"/>
              <w:spacing w:before="18"/>
              <w:ind w:right="291"/>
              <w:jc w:val="right"/>
              <w:rPr>
                <w:sz w:val="18"/>
              </w:rPr>
            </w:pPr>
            <w:r>
              <w:rPr>
                <w:w w:val="99"/>
                <w:sz w:val="18"/>
              </w:rPr>
              <w:t>2</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7"/>
              <w:jc w:val="right"/>
              <w:rPr>
                <w:sz w:val="18"/>
              </w:rPr>
            </w:pPr>
            <w:r>
              <w:rPr>
                <w:w w:val="99"/>
                <w:sz w:val="18"/>
              </w:rPr>
              <w:t>1</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$280,000</w:t>
            </w:r>
            <w:r>
              <w:rPr>
                <w:spacing w:val="1"/>
                <w:sz w:val="18"/>
              </w:rPr>
              <w:t> </w:t>
            </w:r>
            <w:r>
              <w:rPr>
                <w:sz w:val="18"/>
              </w:rPr>
              <w:t>to</w:t>
            </w:r>
            <w:r>
              <w:rPr>
                <w:spacing w:val="1"/>
                <w:sz w:val="18"/>
              </w:rPr>
              <w:t> </w:t>
            </w:r>
            <w:r>
              <w:rPr>
                <w:sz w:val="18"/>
              </w:rPr>
              <w:t>$289,999</w:t>
            </w:r>
            <w:r>
              <w:rPr>
                <w:rFonts w:ascii="Times New Roman"/>
                <w:sz w:val="18"/>
              </w:rPr>
              <w:tab/>
            </w:r>
            <w:r>
              <w:rPr>
                <w:b/>
                <w:sz w:val="18"/>
              </w:rPr>
              <w:t>3</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5"/>
              <w:jc w:val="right"/>
              <w:rPr>
                <w:b/>
                <w:sz w:val="18"/>
              </w:rPr>
            </w:pPr>
            <w:r>
              <w:rPr>
                <w:b/>
                <w:w w:val="99"/>
                <w:sz w:val="18"/>
              </w:rPr>
              <w:t>3</w:t>
            </w:r>
          </w:p>
        </w:tc>
        <w:tc>
          <w:tcPr>
            <w:tcW w:w="734" w:type="dxa"/>
          </w:tcPr>
          <w:p>
            <w:pPr/>
          </w:p>
        </w:tc>
        <w:tc>
          <w:tcPr>
            <w:tcW w:w="295" w:type="dxa"/>
          </w:tcPr>
          <w:p>
            <w:pPr>
              <w:pStyle w:val="TableParagraph"/>
              <w:spacing w:before="18"/>
              <w:ind w:right="87"/>
              <w:jc w:val="right"/>
              <w:rPr>
                <w:sz w:val="18"/>
              </w:rPr>
            </w:pPr>
            <w:r>
              <w:rPr>
                <w:w w:val="99"/>
                <w:sz w:val="18"/>
              </w:rPr>
              <w:t>1</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$290,000</w:t>
            </w:r>
            <w:r>
              <w:rPr>
                <w:spacing w:val="1"/>
                <w:sz w:val="18"/>
              </w:rPr>
              <w:t> </w:t>
            </w:r>
            <w:r>
              <w:rPr>
                <w:sz w:val="18"/>
              </w:rPr>
              <w:t>to</w:t>
            </w:r>
            <w:r>
              <w:rPr>
                <w:spacing w:val="1"/>
                <w:sz w:val="18"/>
              </w:rPr>
              <w:t> </w:t>
            </w:r>
            <w:r>
              <w:rPr>
                <w:sz w:val="18"/>
              </w:rPr>
              <w:t>$299,999</w:t>
            </w:r>
            <w:r>
              <w:rPr>
                <w:rFonts w:ascii="Times New Roman"/>
                <w:sz w:val="18"/>
              </w:rPr>
              <w:tab/>
            </w:r>
            <w:r>
              <w:rPr>
                <w:b/>
                <w:sz w:val="18"/>
              </w:rPr>
              <w:t>1</w:t>
            </w:r>
          </w:p>
        </w:tc>
        <w:tc>
          <w:tcPr>
            <w:tcW w:w="499" w:type="dxa"/>
          </w:tcPr>
          <w:p>
            <w:pPr>
              <w:pStyle w:val="TableParagraph"/>
              <w:spacing w:before="18"/>
              <w:ind w:right="290"/>
              <w:jc w:val="right"/>
              <w:rPr>
                <w:sz w:val="18"/>
              </w:rPr>
            </w:pPr>
            <w:r>
              <w:rPr>
                <w:w w:val="99"/>
                <w:sz w:val="18"/>
              </w:rPr>
              <w:t>-</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$300,000</w:t>
            </w:r>
            <w:r>
              <w:rPr>
                <w:spacing w:val="1"/>
                <w:sz w:val="18"/>
              </w:rPr>
              <w:t> </w:t>
            </w:r>
            <w:r>
              <w:rPr>
                <w:sz w:val="18"/>
              </w:rPr>
              <w:t>to</w:t>
            </w:r>
            <w:r>
              <w:rPr>
                <w:spacing w:val="1"/>
                <w:sz w:val="18"/>
              </w:rPr>
              <w:t> </w:t>
            </w:r>
            <w:r>
              <w:rPr>
                <w:sz w:val="18"/>
              </w:rPr>
              <w:t>$309,999</w:t>
            </w:r>
            <w:r>
              <w:rPr>
                <w:rFonts w:ascii="Times New Roman"/>
                <w:sz w:val="18"/>
              </w:rPr>
              <w:tab/>
            </w:r>
            <w:r>
              <w:rPr>
                <w:b/>
                <w:sz w:val="18"/>
              </w:rPr>
              <w:t>1</w:t>
            </w:r>
          </w:p>
        </w:tc>
        <w:tc>
          <w:tcPr>
            <w:tcW w:w="499" w:type="dxa"/>
          </w:tcPr>
          <w:p>
            <w:pPr>
              <w:pStyle w:val="TableParagraph"/>
              <w:spacing w:before="18"/>
              <w:ind w:right="291"/>
              <w:jc w:val="right"/>
              <w:rPr>
                <w:sz w:val="18"/>
              </w:rPr>
            </w:pPr>
            <w:r>
              <w:rPr>
                <w:w w:val="99"/>
                <w:sz w:val="18"/>
              </w:rPr>
              <w:t>5</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7"/>
              <w:jc w:val="right"/>
              <w:rPr>
                <w:sz w:val="18"/>
              </w:rPr>
            </w:pPr>
            <w:r>
              <w:rPr>
                <w:w w:val="99"/>
                <w:sz w:val="18"/>
              </w:rPr>
              <w:t>3</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$310,000</w:t>
            </w:r>
            <w:r>
              <w:rPr>
                <w:spacing w:val="1"/>
                <w:sz w:val="18"/>
              </w:rPr>
              <w:t> </w:t>
            </w:r>
            <w:r>
              <w:rPr>
                <w:sz w:val="18"/>
              </w:rPr>
              <w:t>to</w:t>
            </w:r>
            <w:r>
              <w:rPr>
                <w:spacing w:val="1"/>
                <w:sz w:val="18"/>
              </w:rPr>
              <w:t> </w:t>
            </w:r>
            <w:r>
              <w:rPr>
                <w:sz w:val="18"/>
              </w:rPr>
              <w:t>$319,999</w:t>
            </w:r>
            <w:r>
              <w:rPr>
                <w:rFonts w:ascii="Times New Roman"/>
                <w:sz w:val="18"/>
              </w:rPr>
              <w:tab/>
            </w:r>
            <w:r>
              <w:rPr>
                <w:b/>
                <w:sz w:val="18"/>
              </w:rPr>
              <w:t>2</w:t>
            </w:r>
          </w:p>
        </w:tc>
        <w:tc>
          <w:tcPr>
            <w:tcW w:w="499" w:type="dxa"/>
          </w:tcPr>
          <w:p>
            <w:pPr>
              <w:pStyle w:val="TableParagraph"/>
              <w:spacing w:before="18"/>
              <w:ind w:right="290"/>
              <w:jc w:val="right"/>
              <w:rPr>
                <w:sz w:val="18"/>
              </w:rPr>
            </w:pPr>
            <w:r>
              <w:rPr>
                <w:w w:val="99"/>
                <w:sz w:val="18"/>
              </w:rPr>
              <w:t>-</w:t>
            </w:r>
          </w:p>
        </w:tc>
        <w:tc>
          <w:tcPr>
            <w:tcW w:w="1528" w:type="dxa"/>
          </w:tcPr>
          <w:p>
            <w:pPr>
              <w:pStyle w:val="TableParagraph"/>
              <w:spacing w:before="18"/>
              <w:ind w:right="355"/>
              <w:jc w:val="right"/>
              <w:rPr>
                <w:b/>
                <w:sz w:val="18"/>
              </w:rPr>
            </w:pPr>
            <w:r>
              <w:rPr>
                <w:b/>
                <w:w w:val="99"/>
                <w:sz w:val="18"/>
              </w:rPr>
              <w:t>2</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$320,000</w:t>
            </w:r>
            <w:r>
              <w:rPr>
                <w:spacing w:val="1"/>
                <w:sz w:val="18"/>
              </w:rPr>
              <w:t> </w:t>
            </w:r>
            <w:r>
              <w:rPr>
                <w:sz w:val="18"/>
              </w:rPr>
              <w:t>to</w:t>
            </w:r>
            <w:r>
              <w:rPr>
                <w:spacing w:val="1"/>
                <w:sz w:val="18"/>
              </w:rPr>
              <w:t> </w:t>
            </w:r>
            <w:r>
              <w:rPr>
                <w:sz w:val="18"/>
              </w:rPr>
              <w:t>$329,999</w:t>
            </w:r>
            <w:r>
              <w:rPr>
                <w:rFonts w:ascii="Times New Roman"/>
                <w:sz w:val="18"/>
              </w:rPr>
              <w:tab/>
            </w:r>
            <w:r>
              <w:rPr>
                <w:b/>
                <w:sz w:val="18"/>
              </w:rPr>
              <w:t>1</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5"/>
              <w:jc w:val="right"/>
              <w:rPr>
                <w:b/>
                <w:sz w:val="18"/>
              </w:rPr>
            </w:pPr>
            <w:r>
              <w:rPr>
                <w:b/>
                <w:w w:val="99"/>
                <w:sz w:val="18"/>
              </w:rPr>
              <w:t>1</w:t>
            </w:r>
          </w:p>
        </w:tc>
        <w:tc>
          <w:tcPr>
            <w:tcW w:w="734" w:type="dxa"/>
          </w:tcPr>
          <w:p>
            <w:pPr/>
          </w:p>
        </w:tc>
        <w:tc>
          <w:tcPr>
            <w:tcW w:w="295" w:type="dxa"/>
          </w:tcPr>
          <w:p>
            <w:pPr>
              <w:pStyle w:val="TableParagraph"/>
              <w:spacing w:before="18"/>
              <w:ind w:right="87"/>
              <w:jc w:val="right"/>
              <w:rPr>
                <w:sz w:val="18"/>
              </w:rPr>
            </w:pPr>
            <w:r>
              <w:rPr>
                <w:w w:val="99"/>
                <w:sz w:val="18"/>
              </w:rPr>
              <w:t>2</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$330,000</w:t>
            </w:r>
            <w:r>
              <w:rPr>
                <w:spacing w:val="1"/>
                <w:sz w:val="18"/>
              </w:rPr>
              <w:t> </w:t>
            </w:r>
            <w:r>
              <w:rPr>
                <w:sz w:val="18"/>
              </w:rPr>
              <w:t>to</w:t>
            </w:r>
            <w:r>
              <w:rPr>
                <w:spacing w:val="1"/>
                <w:sz w:val="18"/>
              </w:rPr>
              <w:t> </w:t>
            </w:r>
            <w:r>
              <w:rPr>
                <w:sz w:val="18"/>
              </w:rPr>
              <w:t>$339,999</w:t>
            </w:r>
            <w:r>
              <w:rPr>
                <w:rFonts w:ascii="Times New Roman"/>
                <w:sz w:val="18"/>
              </w:rPr>
              <w:tab/>
            </w:r>
            <w:r>
              <w:rPr>
                <w:b/>
                <w:sz w:val="18"/>
              </w:rPr>
              <w:t>2</w:t>
            </w:r>
          </w:p>
        </w:tc>
        <w:tc>
          <w:tcPr>
            <w:tcW w:w="499" w:type="dxa"/>
          </w:tcPr>
          <w:p>
            <w:pPr>
              <w:pStyle w:val="TableParagraph"/>
              <w:spacing w:before="18"/>
              <w:ind w:right="291"/>
              <w:jc w:val="right"/>
              <w:rPr>
                <w:sz w:val="18"/>
              </w:rPr>
            </w:pPr>
            <w:r>
              <w:rPr>
                <w:w w:val="99"/>
                <w:sz w:val="18"/>
              </w:rPr>
              <w:t>2</w:t>
            </w:r>
          </w:p>
        </w:tc>
        <w:tc>
          <w:tcPr>
            <w:tcW w:w="1528" w:type="dxa"/>
          </w:tcPr>
          <w:p>
            <w:pPr>
              <w:pStyle w:val="TableParagraph"/>
              <w:spacing w:before="18"/>
              <w:ind w:right="355"/>
              <w:jc w:val="right"/>
              <w:rPr>
                <w:b/>
                <w:sz w:val="18"/>
              </w:rPr>
            </w:pPr>
            <w:r>
              <w:rPr>
                <w:b/>
                <w:w w:val="99"/>
                <w:sz w:val="18"/>
              </w:rPr>
              <w:t>2</w:t>
            </w:r>
          </w:p>
        </w:tc>
        <w:tc>
          <w:tcPr>
            <w:tcW w:w="734" w:type="dxa"/>
          </w:tcPr>
          <w:p>
            <w:pPr/>
          </w:p>
        </w:tc>
        <w:tc>
          <w:tcPr>
            <w:tcW w:w="295" w:type="dxa"/>
          </w:tcPr>
          <w:p>
            <w:pPr>
              <w:pStyle w:val="TableParagraph"/>
              <w:spacing w:before="18"/>
              <w:ind w:right="87"/>
              <w:jc w:val="right"/>
              <w:rPr>
                <w:sz w:val="18"/>
              </w:rPr>
            </w:pPr>
            <w:r>
              <w:rPr>
                <w:w w:val="99"/>
                <w:sz w:val="18"/>
              </w:rPr>
              <w:t>3</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$340,000</w:t>
            </w:r>
            <w:r>
              <w:rPr>
                <w:spacing w:val="1"/>
                <w:sz w:val="18"/>
              </w:rPr>
              <w:t> </w:t>
            </w:r>
            <w:r>
              <w:rPr>
                <w:sz w:val="18"/>
              </w:rPr>
              <w:t>to</w:t>
            </w:r>
            <w:r>
              <w:rPr>
                <w:spacing w:val="1"/>
                <w:sz w:val="18"/>
              </w:rPr>
              <w:t> </w:t>
            </w:r>
            <w:r>
              <w:rPr>
                <w:sz w:val="18"/>
              </w:rPr>
              <w:t>$349,999</w:t>
            </w:r>
            <w:r>
              <w:rPr>
                <w:rFonts w:ascii="Times New Roman"/>
                <w:sz w:val="18"/>
              </w:rPr>
              <w:tab/>
            </w:r>
            <w:r>
              <w:rPr>
                <w:b/>
                <w:sz w:val="18"/>
              </w:rPr>
              <w:t>2</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5"/>
              <w:jc w:val="right"/>
              <w:rPr>
                <w:b/>
                <w:sz w:val="18"/>
              </w:rPr>
            </w:pPr>
            <w:r>
              <w:rPr>
                <w:b/>
                <w:w w:val="99"/>
                <w:sz w:val="18"/>
              </w:rPr>
              <w:t>2</w:t>
            </w:r>
          </w:p>
        </w:tc>
        <w:tc>
          <w:tcPr>
            <w:tcW w:w="734" w:type="dxa"/>
          </w:tcPr>
          <w:p>
            <w:pPr/>
          </w:p>
        </w:tc>
        <w:tc>
          <w:tcPr>
            <w:tcW w:w="295" w:type="dxa"/>
          </w:tcPr>
          <w:p>
            <w:pPr>
              <w:pStyle w:val="TableParagraph"/>
              <w:spacing w:before="18"/>
              <w:ind w:right="87"/>
              <w:jc w:val="right"/>
              <w:rPr>
                <w:sz w:val="18"/>
              </w:rPr>
            </w:pPr>
            <w:r>
              <w:rPr>
                <w:w w:val="99"/>
                <w:sz w:val="18"/>
              </w:rPr>
              <w:t>1</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$350,000</w:t>
            </w:r>
            <w:r>
              <w:rPr>
                <w:spacing w:val="1"/>
                <w:sz w:val="18"/>
              </w:rPr>
              <w:t> </w:t>
            </w:r>
            <w:r>
              <w:rPr>
                <w:sz w:val="18"/>
              </w:rPr>
              <w:t>to</w:t>
            </w:r>
            <w:r>
              <w:rPr>
                <w:spacing w:val="1"/>
                <w:sz w:val="18"/>
              </w:rPr>
              <w:t> </w:t>
            </w:r>
            <w:r>
              <w:rPr>
                <w:sz w:val="18"/>
              </w:rPr>
              <w:t>$359,999</w:t>
            </w:r>
            <w:r>
              <w:rPr>
                <w:rFonts w:ascii="Times New Roman"/>
                <w:sz w:val="18"/>
              </w:rPr>
              <w:tab/>
            </w:r>
            <w:r>
              <w:rPr>
                <w:b/>
                <w:sz w:val="18"/>
              </w:rPr>
              <w:t>2</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5"/>
              <w:jc w:val="right"/>
              <w:rPr>
                <w:b/>
                <w:sz w:val="18"/>
              </w:rPr>
            </w:pPr>
            <w:r>
              <w:rPr>
                <w:b/>
                <w:w w:val="99"/>
                <w:sz w:val="18"/>
              </w:rPr>
              <w:t>2</w:t>
            </w:r>
          </w:p>
        </w:tc>
        <w:tc>
          <w:tcPr>
            <w:tcW w:w="734" w:type="dxa"/>
          </w:tcPr>
          <w:p>
            <w:pPr/>
          </w:p>
        </w:tc>
        <w:tc>
          <w:tcPr>
            <w:tcW w:w="295" w:type="dxa"/>
          </w:tcPr>
          <w:p>
            <w:pPr>
              <w:pStyle w:val="TableParagraph"/>
              <w:spacing w:before="18"/>
              <w:ind w:right="87"/>
              <w:jc w:val="right"/>
              <w:rPr>
                <w:sz w:val="18"/>
              </w:rPr>
            </w:pPr>
            <w:r>
              <w:rPr>
                <w:w w:val="99"/>
                <w:sz w:val="18"/>
              </w:rPr>
              <w:t>1</w:t>
            </w:r>
          </w:p>
        </w:tc>
      </w:tr>
      <w:tr>
        <w:trPr>
          <w:trHeight w:val="264" w:hRule="exact"/>
        </w:trPr>
        <w:tc>
          <w:tcPr>
            <w:tcW w:w="469" w:type="dxa"/>
          </w:tcPr>
          <w:p>
            <w:pPr/>
          </w:p>
        </w:tc>
        <w:tc>
          <w:tcPr>
            <w:tcW w:w="6020" w:type="dxa"/>
          </w:tcPr>
          <w:p>
            <w:pPr>
              <w:pStyle w:val="TableParagraph"/>
              <w:tabs>
                <w:tab w:pos="4869" w:val="left" w:leader="none"/>
              </w:tabs>
              <w:spacing w:before="20"/>
              <w:ind w:left="175"/>
              <w:rPr>
                <w:b/>
                <w:sz w:val="18"/>
              </w:rPr>
            </w:pPr>
            <w:r>
              <w:rPr>
                <w:sz w:val="18"/>
              </w:rPr>
              <w:t>$380,000 to $389,999</w:t>
              <w:tab/>
            </w:r>
            <w:r>
              <w:rPr>
                <w:b/>
                <w:sz w:val="18"/>
              </w:rPr>
              <w:t>-</w:t>
            </w:r>
          </w:p>
        </w:tc>
        <w:tc>
          <w:tcPr>
            <w:tcW w:w="499" w:type="dxa"/>
          </w:tcPr>
          <w:p>
            <w:pPr>
              <w:pStyle w:val="TableParagraph"/>
              <w:spacing w:before="18"/>
              <w:ind w:right="291"/>
              <w:jc w:val="right"/>
              <w:rPr>
                <w:sz w:val="18"/>
              </w:rPr>
            </w:pPr>
            <w:r>
              <w:rPr>
                <w:w w:val="99"/>
                <w:sz w:val="18"/>
              </w:rPr>
              <w:t>2</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7"/>
              <w:jc w:val="right"/>
              <w:rPr>
                <w:sz w:val="18"/>
              </w:rPr>
            </w:pPr>
            <w:r>
              <w:rPr>
                <w:w w:val="99"/>
                <w:sz w:val="18"/>
              </w:rPr>
              <w:t>2</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$390,000</w:t>
            </w:r>
            <w:r>
              <w:rPr>
                <w:spacing w:val="1"/>
                <w:sz w:val="18"/>
              </w:rPr>
              <w:t> </w:t>
            </w:r>
            <w:r>
              <w:rPr>
                <w:sz w:val="18"/>
              </w:rPr>
              <w:t>to</w:t>
            </w:r>
            <w:r>
              <w:rPr>
                <w:spacing w:val="1"/>
                <w:sz w:val="18"/>
              </w:rPr>
              <w:t> </w:t>
            </w:r>
            <w:r>
              <w:rPr>
                <w:sz w:val="18"/>
              </w:rPr>
              <w:t>$399,999</w:t>
            </w:r>
            <w:r>
              <w:rPr>
                <w:rFonts w:ascii="Times New Roman"/>
                <w:sz w:val="18"/>
              </w:rPr>
              <w:tab/>
            </w:r>
            <w:r>
              <w:rPr>
                <w:b/>
                <w:sz w:val="18"/>
              </w:rPr>
              <w:t>2</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5"/>
              <w:jc w:val="right"/>
              <w:rPr>
                <w:b/>
                <w:sz w:val="18"/>
              </w:rPr>
            </w:pPr>
            <w:r>
              <w:rPr>
                <w:b/>
                <w:w w:val="99"/>
                <w:sz w:val="18"/>
              </w:rPr>
              <w:t>2</w:t>
            </w:r>
          </w:p>
        </w:tc>
        <w:tc>
          <w:tcPr>
            <w:tcW w:w="734" w:type="dxa"/>
          </w:tcPr>
          <w:p>
            <w:pPr/>
          </w:p>
        </w:tc>
        <w:tc>
          <w:tcPr>
            <w:tcW w:w="295" w:type="dxa"/>
          </w:tcPr>
          <w:p>
            <w:pPr>
              <w:pStyle w:val="TableParagraph"/>
              <w:spacing w:before="18"/>
              <w:ind w:right="87"/>
              <w:jc w:val="right"/>
              <w:rPr>
                <w:sz w:val="18"/>
              </w:rPr>
            </w:pPr>
            <w:r>
              <w:rPr>
                <w:w w:val="99"/>
                <w:sz w:val="18"/>
              </w:rPr>
              <w:t>1</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$400,000</w:t>
            </w:r>
            <w:r>
              <w:rPr>
                <w:spacing w:val="1"/>
                <w:sz w:val="18"/>
              </w:rPr>
              <w:t> </w:t>
            </w:r>
            <w:r>
              <w:rPr>
                <w:sz w:val="18"/>
              </w:rPr>
              <w:t>to</w:t>
            </w:r>
            <w:r>
              <w:rPr>
                <w:spacing w:val="1"/>
                <w:sz w:val="18"/>
              </w:rPr>
              <w:t> </w:t>
            </w:r>
            <w:r>
              <w:rPr>
                <w:sz w:val="18"/>
              </w:rPr>
              <w:t>$409,999</w:t>
            </w:r>
            <w:r>
              <w:rPr>
                <w:rFonts w:ascii="Times New Roman"/>
                <w:sz w:val="18"/>
              </w:rPr>
              <w:tab/>
            </w:r>
            <w:r>
              <w:rPr>
                <w:b/>
                <w:sz w:val="18"/>
              </w:rPr>
              <w:t>1</w:t>
            </w:r>
          </w:p>
        </w:tc>
        <w:tc>
          <w:tcPr>
            <w:tcW w:w="499" w:type="dxa"/>
          </w:tcPr>
          <w:p>
            <w:pPr>
              <w:pStyle w:val="TableParagraph"/>
              <w:spacing w:before="18"/>
              <w:ind w:right="290"/>
              <w:jc w:val="right"/>
              <w:rPr>
                <w:sz w:val="18"/>
              </w:rPr>
            </w:pPr>
            <w:r>
              <w:rPr>
                <w:w w:val="99"/>
                <w:sz w:val="18"/>
              </w:rPr>
              <w:t>-</w:t>
            </w:r>
          </w:p>
        </w:tc>
        <w:tc>
          <w:tcPr>
            <w:tcW w:w="1528" w:type="dxa"/>
          </w:tcPr>
          <w:p>
            <w:pPr>
              <w:pStyle w:val="TableParagraph"/>
              <w:spacing w:before="18"/>
              <w:ind w:right="355"/>
              <w:jc w:val="right"/>
              <w:rPr>
                <w:b/>
                <w:sz w:val="18"/>
              </w:rPr>
            </w:pPr>
            <w:r>
              <w:rPr>
                <w:b/>
                <w:w w:val="99"/>
                <w:sz w:val="18"/>
              </w:rPr>
              <w:t>1</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469" w:type="dxa"/>
          </w:tcPr>
          <w:p>
            <w:pPr/>
          </w:p>
        </w:tc>
        <w:tc>
          <w:tcPr>
            <w:tcW w:w="6020" w:type="dxa"/>
          </w:tcPr>
          <w:p>
            <w:pPr>
              <w:pStyle w:val="TableParagraph"/>
              <w:tabs>
                <w:tab w:pos="4869" w:val="left" w:leader="none"/>
              </w:tabs>
              <w:spacing w:before="20"/>
              <w:ind w:left="175"/>
              <w:rPr>
                <w:b/>
                <w:sz w:val="18"/>
              </w:rPr>
            </w:pPr>
            <w:r>
              <w:rPr>
                <w:sz w:val="18"/>
              </w:rPr>
              <w:t>$440,000 to $449,999</w:t>
              <w:tab/>
            </w:r>
            <w:r>
              <w:rPr>
                <w:b/>
                <w:sz w:val="18"/>
              </w:rPr>
              <w:t>-</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7"/>
              <w:jc w:val="right"/>
              <w:rPr>
                <w:sz w:val="18"/>
              </w:rPr>
            </w:pPr>
            <w:r>
              <w:rPr>
                <w:w w:val="99"/>
                <w:sz w:val="18"/>
              </w:rPr>
              <w:t>1</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$450,000</w:t>
            </w:r>
            <w:r>
              <w:rPr>
                <w:spacing w:val="1"/>
                <w:sz w:val="18"/>
              </w:rPr>
              <w:t> </w:t>
            </w:r>
            <w:r>
              <w:rPr>
                <w:sz w:val="18"/>
              </w:rPr>
              <w:t>to</w:t>
            </w:r>
            <w:r>
              <w:rPr>
                <w:spacing w:val="1"/>
                <w:sz w:val="18"/>
              </w:rPr>
              <w:t> </w:t>
            </w:r>
            <w:r>
              <w:rPr>
                <w:sz w:val="18"/>
              </w:rPr>
              <w:t>$459,999</w:t>
            </w:r>
            <w:r>
              <w:rPr>
                <w:rFonts w:ascii="Times New Roman"/>
                <w:sz w:val="18"/>
              </w:rPr>
              <w:tab/>
            </w:r>
            <w:r>
              <w:rPr>
                <w:b/>
                <w:sz w:val="18"/>
              </w:rPr>
              <w:t>1</w:t>
            </w:r>
          </w:p>
        </w:tc>
        <w:tc>
          <w:tcPr>
            <w:tcW w:w="499" w:type="dxa"/>
          </w:tcPr>
          <w:p>
            <w:pPr>
              <w:pStyle w:val="TableParagraph"/>
              <w:spacing w:before="18"/>
              <w:ind w:right="290"/>
              <w:jc w:val="right"/>
              <w:rPr>
                <w:sz w:val="18"/>
              </w:rPr>
            </w:pPr>
            <w:r>
              <w:rPr>
                <w:w w:val="99"/>
                <w:sz w:val="18"/>
              </w:rPr>
              <w:t>-</w:t>
            </w:r>
          </w:p>
        </w:tc>
        <w:tc>
          <w:tcPr>
            <w:tcW w:w="1528" w:type="dxa"/>
          </w:tcPr>
          <w:p>
            <w:pPr>
              <w:pStyle w:val="TableParagraph"/>
              <w:spacing w:before="18"/>
              <w:ind w:right="355"/>
              <w:jc w:val="right"/>
              <w:rPr>
                <w:b/>
                <w:sz w:val="18"/>
              </w:rPr>
            </w:pPr>
            <w:r>
              <w:rPr>
                <w:b/>
                <w:w w:val="99"/>
                <w:sz w:val="18"/>
              </w:rPr>
              <w:t>1</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469" w:type="dxa"/>
          </w:tcPr>
          <w:p>
            <w:pPr/>
          </w:p>
        </w:tc>
        <w:tc>
          <w:tcPr>
            <w:tcW w:w="6020" w:type="dxa"/>
          </w:tcPr>
          <w:p>
            <w:pPr>
              <w:pStyle w:val="TableParagraph"/>
              <w:tabs>
                <w:tab w:pos="4869" w:val="left" w:leader="none"/>
              </w:tabs>
              <w:spacing w:before="20"/>
              <w:ind w:left="175"/>
              <w:rPr>
                <w:b/>
                <w:sz w:val="18"/>
              </w:rPr>
            </w:pPr>
            <w:r>
              <w:rPr>
                <w:sz w:val="18"/>
              </w:rPr>
              <w:t>$470,000 to $479,999</w:t>
              <w:tab/>
            </w:r>
            <w:r>
              <w:rPr>
                <w:b/>
                <w:sz w:val="18"/>
              </w:rPr>
              <w:t>-</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7"/>
              <w:jc w:val="right"/>
              <w:rPr>
                <w:sz w:val="18"/>
              </w:rPr>
            </w:pPr>
            <w:r>
              <w:rPr>
                <w:w w:val="99"/>
                <w:sz w:val="18"/>
              </w:rPr>
              <w:t>1</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$480,000</w:t>
            </w:r>
            <w:r>
              <w:rPr>
                <w:spacing w:val="1"/>
                <w:sz w:val="18"/>
              </w:rPr>
              <w:t> </w:t>
            </w:r>
            <w:r>
              <w:rPr>
                <w:sz w:val="18"/>
              </w:rPr>
              <w:t>to</w:t>
            </w:r>
            <w:r>
              <w:rPr>
                <w:spacing w:val="1"/>
                <w:sz w:val="18"/>
              </w:rPr>
              <w:t> </w:t>
            </w:r>
            <w:r>
              <w:rPr>
                <w:sz w:val="18"/>
              </w:rPr>
              <w:t>$489,999</w:t>
            </w:r>
            <w:r>
              <w:rPr>
                <w:rFonts w:ascii="Times New Roman"/>
                <w:sz w:val="18"/>
              </w:rPr>
              <w:tab/>
            </w:r>
            <w:r>
              <w:rPr>
                <w:b/>
                <w:sz w:val="18"/>
              </w:rPr>
              <w:t>1</w:t>
            </w:r>
          </w:p>
        </w:tc>
        <w:tc>
          <w:tcPr>
            <w:tcW w:w="499" w:type="dxa"/>
          </w:tcPr>
          <w:p>
            <w:pPr>
              <w:pStyle w:val="TableParagraph"/>
              <w:spacing w:before="18"/>
              <w:ind w:right="290"/>
              <w:jc w:val="right"/>
              <w:rPr>
                <w:sz w:val="18"/>
              </w:rPr>
            </w:pPr>
            <w:r>
              <w:rPr>
                <w:w w:val="99"/>
                <w:sz w:val="18"/>
              </w:rPr>
              <w:t>-</w:t>
            </w:r>
          </w:p>
        </w:tc>
        <w:tc>
          <w:tcPr>
            <w:tcW w:w="1528" w:type="dxa"/>
          </w:tcPr>
          <w:p>
            <w:pPr>
              <w:pStyle w:val="TableParagraph"/>
              <w:spacing w:before="18"/>
              <w:ind w:right="355"/>
              <w:jc w:val="right"/>
              <w:rPr>
                <w:b/>
                <w:sz w:val="18"/>
              </w:rPr>
            </w:pPr>
            <w:r>
              <w:rPr>
                <w:b/>
                <w:w w:val="99"/>
                <w:sz w:val="18"/>
              </w:rPr>
              <w:t>1</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469" w:type="dxa"/>
          </w:tcPr>
          <w:p>
            <w:pPr/>
          </w:p>
        </w:tc>
        <w:tc>
          <w:tcPr>
            <w:tcW w:w="6020" w:type="dxa"/>
          </w:tcPr>
          <w:p>
            <w:pPr>
              <w:pStyle w:val="TableParagraph"/>
              <w:tabs>
                <w:tab w:pos="4869" w:val="left" w:leader="none"/>
              </w:tabs>
              <w:spacing w:before="20"/>
              <w:ind w:left="175"/>
              <w:rPr>
                <w:b/>
                <w:sz w:val="18"/>
              </w:rPr>
            </w:pPr>
            <w:r>
              <w:rPr>
                <w:sz w:val="18"/>
              </w:rPr>
              <w:t>$490,000 to $499,999</w:t>
              <w:tab/>
            </w:r>
            <w:r>
              <w:rPr>
                <w:b/>
                <w:sz w:val="18"/>
              </w:rPr>
              <w:t>-</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7"/>
              <w:jc w:val="right"/>
              <w:rPr>
                <w:sz w:val="18"/>
              </w:rPr>
            </w:pPr>
            <w:r>
              <w:rPr>
                <w:w w:val="99"/>
                <w:sz w:val="18"/>
              </w:rPr>
              <w:t>1</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$510,000</w:t>
            </w:r>
            <w:r>
              <w:rPr>
                <w:spacing w:val="1"/>
                <w:sz w:val="18"/>
              </w:rPr>
              <w:t> </w:t>
            </w:r>
            <w:r>
              <w:rPr>
                <w:sz w:val="18"/>
              </w:rPr>
              <w:t>to</w:t>
            </w:r>
            <w:r>
              <w:rPr>
                <w:spacing w:val="1"/>
                <w:sz w:val="18"/>
              </w:rPr>
              <w:t> </w:t>
            </w:r>
            <w:r>
              <w:rPr>
                <w:sz w:val="18"/>
              </w:rPr>
              <w:t>$520,000</w:t>
            </w:r>
            <w:r>
              <w:rPr>
                <w:rFonts w:ascii="Times New Roman"/>
                <w:sz w:val="18"/>
              </w:rPr>
              <w:tab/>
            </w:r>
            <w:r>
              <w:rPr>
                <w:b/>
                <w:sz w:val="18"/>
              </w:rPr>
              <w:t>1</w:t>
            </w:r>
          </w:p>
        </w:tc>
        <w:tc>
          <w:tcPr>
            <w:tcW w:w="499" w:type="dxa"/>
          </w:tcPr>
          <w:p>
            <w:pPr>
              <w:pStyle w:val="TableParagraph"/>
              <w:spacing w:before="18"/>
              <w:ind w:right="290"/>
              <w:jc w:val="right"/>
              <w:rPr>
                <w:sz w:val="18"/>
              </w:rPr>
            </w:pPr>
            <w:r>
              <w:rPr>
                <w:w w:val="99"/>
                <w:sz w:val="18"/>
              </w:rPr>
              <w:t>-</w:t>
            </w:r>
          </w:p>
        </w:tc>
        <w:tc>
          <w:tcPr>
            <w:tcW w:w="1528" w:type="dxa"/>
          </w:tcPr>
          <w:p>
            <w:pPr>
              <w:pStyle w:val="TableParagraph"/>
              <w:spacing w:before="18"/>
              <w:ind w:right="355"/>
              <w:jc w:val="right"/>
              <w:rPr>
                <w:b/>
                <w:sz w:val="18"/>
              </w:rPr>
            </w:pPr>
            <w:r>
              <w:rPr>
                <w:b/>
                <w:w w:val="99"/>
                <w:sz w:val="18"/>
              </w:rPr>
              <w:t>1</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469" w:type="dxa"/>
          </w:tcPr>
          <w:p>
            <w:pPr/>
          </w:p>
        </w:tc>
        <w:tc>
          <w:tcPr>
            <w:tcW w:w="6020" w:type="dxa"/>
          </w:tcPr>
          <w:p>
            <w:pPr>
              <w:pStyle w:val="TableParagraph"/>
              <w:tabs>
                <w:tab w:pos="4869" w:val="left" w:leader="none"/>
              </w:tabs>
              <w:spacing w:before="20"/>
              <w:ind w:left="175"/>
              <w:rPr>
                <w:b/>
                <w:sz w:val="18"/>
              </w:rPr>
            </w:pPr>
            <w:r>
              <w:rPr>
                <w:sz w:val="18"/>
              </w:rPr>
              <w:t>$520,000 to $529,999</w:t>
              <w:tab/>
            </w:r>
            <w:r>
              <w:rPr>
                <w:b/>
                <w:sz w:val="18"/>
              </w:rPr>
              <w:t>-</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7"/>
              <w:jc w:val="right"/>
              <w:rPr>
                <w:sz w:val="18"/>
              </w:rPr>
            </w:pPr>
            <w:r>
              <w:rPr>
                <w:w w:val="99"/>
                <w:sz w:val="18"/>
              </w:rPr>
              <w:t>1</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$540,000</w:t>
            </w:r>
            <w:r>
              <w:rPr>
                <w:spacing w:val="1"/>
                <w:sz w:val="18"/>
              </w:rPr>
              <w:t> </w:t>
            </w:r>
            <w:r>
              <w:rPr>
                <w:sz w:val="18"/>
              </w:rPr>
              <w:t>to</w:t>
            </w:r>
            <w:r>
              <w:rPr>
                <w:spacing w:val="1"/>
                <w:sz w:val="18"/>
              </w:rPr>
              <w:t> </w:t>
            </w:r>
            <w:r>
              <w:rPr>
                <w:sz w:val="18"/>
              </w:rPr>
              <w:t>$549,999</w:t>
            </w:r>
            <w:r>
              <w:rPr>
                <w:rFonts w:ascii="Times New Roman"/>
                <w:sz w:val="18"/>
              </w:rPr>
              <w:tab/>
            </w:r>
            <w:r>
              <w:rPr>
                <w:b/>
                <w:sz w:val="18"/>
              </w:rPr>
              <w:t>1</w:t>
            </w:r>
          </w:p>
        </w:tc>
        <w:tc>
          <w:tcPr>
            <w:tcW w:w="499" w:type="dxa"/>
          </w:tcPr>
          <w:p>
            <w:pPr>
              <w:pStyle w:val="TableParagraph"/>
              <w:spacing w:before="18"/>
              <w:ind w:right="290"/>
              <w:jc w:val="right"/>
              <w:rPr>
                <w:sz w:val="18"/>
              </w:rPr>
            </w:pPr>
            <w:r>
              <w:rPr>
                <w:w w:val="99"/>
                <w:sz w:val="18"/>
              </w:rPr>
              <w:t>-</w:t>
            </w:r>
          </w:p>
        </w:tc>
        <w:tc>
          <w:tcPr>
            <w:tcW w:w="1528" w:type="dxa"/>
          </w:tcPr>
          <w:p>
            <w:pPr>
              <w:pStyle w:val="TableParagraph"/>
              <w:spacing w:before="18"/>
              <w:ind w:right="355"/>
              <w:jc w:val="right"/>
              <w:rPr>
                <w:b/>
                <w:sz w:val="18"/>
              </w:rPr>
            </w:pPr>
            <w:r>
              <w:rPr>
                <w:b/>
                <w:w w:val="99"/>
                <w:sz w:val="18"/>
              </w:rPr>
              <w:t>1</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469" w:type="dxa"/>
          </w:tcPr>
          <w:p>
            <w:pPr/>
          </w:p>
        </w:tc>
        <w:tc>
          <w:tcPr>
            <w:tcW w:w="6020" w:type="dxa"/>
          </w:tcPr>
          <w:p>
            <w:pPr>
              <w:pStyle w:val="TableParagraph"/>
              <w:tabs>
                <w:tab w:pos="4928" w:val="right" w:leader="none"/>
              </w:tabs>
              <w:spacing w:before="20"/>
              <w:ind w:left="175"/>
              <w:rPr>
                <w:b/>
                <w:sz w:val="18"/>
              </w:rPr>
            </w:pPr>
            <w:r>
              <w:rPr>
                <w:sz w:val="18"/>
              </w:rPr>
              <w:t>$550,000</w:t>
            </w:r>
            <w:r>
              <w:rPr>
                <w:spacing w:val="1"/>
                <w:sz w:val="18"/>
              </w:rPr>
              <w:t> </w:t>
            </w:r>
            <w:r>
              <w:rPr>
                <w:sz w:val="18"/>
              </w:rPr>
              <w:t>to</w:t>
            </w:r>
            <w:r>
              <w:rPr>
                <w:spacing w:val="1"/>
                <w:sz w:val="18"/>
              </w:rPr>
              <w:t> </w:t>
            </w:r>
            <w:r>
              <w:rPr>
                <w:sz w:val="18"/>
              </w:rPr>
              <w:t>$559,999</w:t>
            </w:r>
            <w:r>
              <w:rPr>
                <w:rFonts w:ascii="Times New Roman"/>
                <w:sz w:val="18"/>
              </w:rPr>
              <w:tab/>
            </w:r>
            <w:r>
              <w:rPr>
                <w:b/>
                <w:sz w:val="18"/>
              </w:rPr>
              <w:t>1</w:t>
            </w:r>
          </w:p>
        </w:tc>
        <w:tc>
          <w:tcPr>
            <w:tcW w:w="499" w:type="dxa"/>
          </w:tcPr>
          <w:p>
            <w:pPr>
              <w:pStyle w:val="TableParagraph"/>
              <w:spacing w:before="18"/>
              <w:ind w:right="290"/>
              <w:jc w:val="right"/>
              <w:rPr>
                <w:sz w:val="18"/>
              </w:rPr>
            </w:pPr>
            <w:r>
              <w:rPr>
                <w:w w:val="99"/>
                <w:sz w:val="18"/>
              </w:rPr>
              <w:t>-</w:t>
            </w:r>
          </w:p>
        </w:tc>
        <w:tc>
          <w:tcPr>
            <w:tcW w:w="1528" w:type="dxa"/>
          </w:tcPr>
          <w:p>
            <w:pPr>
              <w:pStyle w:val="TableParagraph"/>
              <w:spacing w:before="18"/>
              <w:ind w:right="355"/>
              <w:jc w:val="right"/>
              <w:rPr>
                <w:b/>
                <w:sz w:val="18"/>
              </w:rPr>
            </w:pPr>
            <w:r>
              <w:rPr>
                <w:b/>
                <w:w w:val="99"/>
                <w:sz w:val="18"/>
              </w:rPr>
              <w:t>1</w:t>
            </w:r>
          </w:p>
        </w:tc>
        <w:tc>
          <w:tcPr>
            <w:tcW w:w="734" w:type="dxa"/>
          </w:tcPr>
          <w:p>
            <w:pPr/>
          </w:p>
        </w:tc>
        <w:tc>
          <w:tcPr>
            <w:tcW w:w="295" w:type="dxa"/>
          </w:tcPr>
          <w:p>
            <w:pPr>
              <w:pStyle w:val="TableParagraph"/>
              <w:spacing w:before="18"/>
              <w:ind w:right="86"/>
              <w:jc w:val="right"/>
              <w:rPr>
                <w:sz w:val="18"/>
              </w:rPr>
            </w:pPr>
            <w:r>
              <w:rPr>
                <w:w w:val="99"/>
                <w:sz w:val="18"/>
              </w:rPr>
              <w:t>-</w:t>
            </w:r>
          </w:p>
        </w:tc>
      </w:tr>
      <w:tr>
        <w:trPr>
          <w:trHeight w:val="264" w:hRule="exact"/>
        </w:trPr>
        <w:tc>
          <w:tcPr>
            <w:tcW w:w="469" w:type="dxa"/>
          </w:tcPr>
          <w:p>
            <w:pPr/>
          </w:p>
        </w:tc>
        <w:tc>
          <w:tcPr>
            <w:tcW w:w="6020" w:type="dxa"/>
          </w:tcPr>
          <w:p>
            <w:pPr>
              <w:pStyle w:val="TableParagraph"/>
              <w:tabs>
                <w:tab w:pos="4869" w:val="left" w:leader="none"/>
              </w:tabs>
              <w:spacing w:before="20"/>
              <w:ind w:left="175"/>
              <w:rPr>
                <w:b/>
                <w:sz w:val="18"/>
              </w:rPr>
            </w:pPr>
            <w:r>
              <w:rPr>
                <w:sz w:val="18"/>
              </w:rPr>
              <w:t>$570,000 to $579,999</w:t>
              <w:tab/>
            </w:r>
            <w:r>
              <w:rPr>
                <w:b/>
                <w:sz w:val="18"/>
              </w:rPr>
              <w:t>-</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7"/>
              <w:jc w:val="right"/>
              <w:rPr>
                <w:sz w:val="18"/>
              </w:rPr>
            </w:pPr>
            <w:r>
              <w:rPr>
                <w:w w:val="99"/>
                <w:sz w:val="18"/>
              </w:rPr>
              <w:t>1</w:t>
            </w:r>
          </w:p>
        </w:tc>
      </w:tr>
      <w:tr>
        <w:trPr>
          <w:trHeight w:val="264" w:hRule="exact"/>
        </w:trPr>
        <w:tc>
          <w:tcPr>
            <w:tcW w:w="469" w:type="dxa"/>
          </w:tcPr>
          <w:p>
            <w:pPr/>
          </w:p>
        </w:tc>
        <w:tc>
          <w:tcPr>
            <w:tcW w:w="6020" w:type="dxa"/>
          </w:tcPr>
          <w:p>
            <w:pPr>
              <w:pStyle w:val="TableParagraph"/>
              <w:tabs>
                <w:tab w:pos="4869" w:val="left" w:leader="none"/>
              </w:tabs>
              <w:spacing w:before="20"/>
              <w:ind w:left="175"/>
              <w:rPr>
                <w:b/>
                <w:sz w:val="18"/>
              </w:rPr>
            </w:pPr>
            <w:r>
              <w:rPr>
                <w:sz w:val="18"/>
              </w:rPr>
              <w:t>$870,000 to $879,999*</w:t>
              <w:tab/>
            </w:r>
            <w:r>
              <w:rPr>
                <w:b/>
                <w:sz w:val="18"/>
              </w:rPr>
              <w:t>-</w:t>
            </w:r>
          </w:p>
        </w:tc>
        <w:tc>
          <w:tcPr>
            <w:tcW w:w="499" w:type="dxa"/>
          </w:tcPr>
          <w:p>
            <w:pPr>
              <w:pStyle w:val="TableParagraph"/>
              <w:spacing w:before="18"/>
              <w:ind w:right="291"/>
              <w:jc w:val="right"/>
              <w:rPr>
                <w:sz w:val="18"/>
              </w:rPr>
            </w:pPr>
            <w:r>
              <w:rPr>
                <w:w w:val="99"/>
                <w:sz w:val="18"/>
              </w:rPr>
              <w:t>1</w:t>
            </w:r>
          </w:p>
        </w:tc>
        <w:tc>
          <w:tcPr>
            <w:tcW w:w="1528" w:type="dxa"/>
          </w:tcPr>
          <w:p>
            <w:pPr>
              <w:pStyle w:val="TableParagraph"/>
              <w:spacing w:before="18"/>
              <w:ind w:right="354"/>
              <w:jc w:val="right"/>
              <w:rPr>
                <w:b/>
                <w:sz w:val="18"/>
              </w:rPr>
            </w:pPr>
            <w:r>
              <w:rPr>
                <w:b/>
                <w:w w:val="99"/>
                <w:sz w:val="18"/>
              </w:rPr>
              <w:t>-</w:t>
            </w:r>
          </w:p>
        </w:tc>
        <w:tc>
          <w:tcPr>
            <w:tcW w:w="734" w:type="dxa"/>
          </w:tcPr>
          <w:p>
            <w:pPr/>
          </w:p>
        </w:tc>
        <w:tc>
          <w:tcPr>
            <w:tcW w:w="295" w:type="dxa"/>
          </w:tcPr>
          <w:p>
            <w:pPr>
              <w:pStyle w:val="TableParagraph"/>
              <w:spacing w:before="18"/>
              <w:ind w:right="87"/>
              <w:jc w:val="right"/>
              <w:rPr>
                <w:sz w:val="18"/>
              </w:rPr>
            </w:pPr>
            <w:r>
              <w:rPr>
                <w:w w:val="99"/>
                <w:sz w:val="18"/>
              </w:rPr>
              <w:t>1</w:t>
            </w:r>
          </w:p>
        </w:tc>
      </w:tr>
      <w:tr>
        <w:trPr>
          <w:trHeight w:val="260" w:hRule="exact"/>
        </w:trPr>
        <w:tc>
          <w:tcPr>
            <w:tcW w:w="469" w:type="dxa"/>
          </w:tcPr>
          <w:p>
            <w:pPr/>
          </w:p>
        </w:tc>
        <w:tc>
          <w:tcPr>
            <w:tcW w:w="6020" w:type="dxa"/>
            <w:tcBorders>
              <w:bottom w:val="single" w:sz="1" w:space="0" w:color="000000"/>
            </w:tcBorders>
          </w:tcPr>
          <w:p>
            <w:pPr>
              <w:pStyle w:val="TableParagraph"/>
              <w:tabs>
                <w:tab w:pos="4928" w:val="right" w:leader="none"/>
              </w:tabs>
              <w:spacing w:before="20"/>
              <w:ind w:left="175"/>
              <w:rPr>
                <w:b/>
                <w:sz w:val="18"/>
              </w:rPr>
            </w:pPr>
            <w:r>
              <w:rPr>
                <w:sz w:val="18"/>
              </w:rPr>
              <w:t>$900,000</w:t>
            </w:r>
            <w:r>
              <w:rPr>
                <w:spacing w:val="1"/>
                <w:sz w:val="18"/>
              </w:rPr>
              <w:t> </w:t>
            </w:r>
            <w:r>
              <w:rPr>
                <w:sz w:val="18"/>
              </w:rPr>
              <w:t>to</w:t>
            </w:r>
            <w:r>
              <w:rPr>
                <w:spacing w:val="1"/>
                <w:sz w:val="18"/>
              </w:rPr>
              <w:t> </w:t>
            </w:r>
            <w:r>
              <w:rPr>
                <w:sz w:val="18"/>
              </w:rPr>
              <w:t>$909,999*</w:t>
            </w:r>
            <w:r>
              <w:rPr>
                <w:rFonts w:ascii="Times New Roman"/>
                <w:sz w:val="18"/>
              </w:rPr>
              <w:tab/>
            </w:r>
            <w:r>
              <w:rPr>
                <w:b/>
                <w:sz w:val="18"/>
              </w:rPr>
              <w:t>1</w:t>
            </w:r>
          </w:p>
        </w:tc>
        <w:tc>
          <w:tcPr>
            <w:tcW w:w="499" w:type="dxa"/>
            <w:tcBorders>
              <w:bottom w:val="single" w:sz="1" w:space="0" w:color="000000"/>
            </w:tcBorders>
          </w:tcPr>
          <w:p>
            <w:pPr>
              <w:pStyle w:val="TableParagraph"/>
              <w:spacing w:before="18"/>
              <w:ind w:right="290"/>
              <w:jc w:val="right"/>
              <w:rPr>
                <w:sz w:val="18"/>
              </w:rPr>
            </w:pPr>
            <w:r>
              <w:rPr>
                <w:w w:val="99"/>
                <w:sz w:val="18"/>
              </w:rPr>
              <w:t>-</w:t>
            </w:r>
          </w:p>
        </w:tc>
        <w:tc>
          <w:tcPr>
            <w:tcW w:w="1528" w:type="dxa"/>
            <w:tcBorders>
              <w:bottom w:val="single" w:sz="1" w:space="0" w:color="000000"/>
            </w:tcBorders>
          </w:tcPr>
          <w:p>
            <w:pPr>
              <w:pStyle w:val="TableParagraph"/>
              <w:spacing w:before="18"/>
              <w:ind w:right="355"/>
              <w:jc w:val="right"/>
              <w:rPr>
                <w:b/>
                <w:sz w:val="18"/>
              </w:rPr>
            </w:pPr>
            <w:r>
              <w:rPr>
                <w:b/>
                <w:w w:val="99"/>
                <w:sz w:val="18"/>
              </w:rPr>
              <w:t>1</w:t>
            </w:r>
          </w:p>
        </w:tc>
        <w:tc>
          <w:tcPr>
            <w:tcW w:w="734" w:type="dxa"/>
            <w:tcBorders>
              <w:bottom w:val="single" w:sz="1" w:space="0" w:color="000000"/>
            </w:tcBorders>
          </w:tcPr>
          <w:p>
            <w:pPr/>
          </w:p>
        </w:tc>
        <w:tc>
          <w:tcPr>
            <w:tcW w:w="295" w:type="dxa"/>
            <w:tcBorders>
              <w:bottom w:val="single" w:sz="1" w:space="0" w:color="000000"/>
            </w:tcBorders>
          </w:tcPr>
          <w:p>
            <w:pPr>
              <w:pStyle w:val="TableParagraph"/>
              <w:spacing w:before="18"/>
              <w:ind w:right="86"/>
              <w:jc w:val="right"/>
              <w:rPr>
                <w:sz w:val="18"/>
              </w:rPr>
            </w:pPr>
            <w:r>
              <w:rPr>
                <w:w w:val="99"/>
                <w:sz w:val="18"/>
              </w:rPr>
              <w:t>-</w:t>
            </w:r>
          </w:p>
        </w:tc>
      </w:tr>
      <w:tr>
        <w:trPr>
          <w:trHeight w:val="338" w:hRule="exact"/>
        </w:trPr>
        <w:tc>
          <w:tcPr>
            <w:tcW w:w="469" w:type="dxa"/>
          </w:tcPr>
          <w:p>
            <w:pPr/>
          </w:p>
        </w:tc>
        <w:tc>
          <w:tcPr>
            <w:tcW w:w="6020" w:type="dxa"/>
            <w:tcBorders>
              <w:top w:val="single" w:sz="1" w:space="0" w:color="000000"/>
              <w:bottom w:val="single" w:sz="1" w:space="0" w:color="000000"/>
            </w:tcBorders>
          </w:tcPr>
          <w:p>
            <w:pPr>
              <w:pStyle w:val="TableParagraph"/>
              <w:spacing w:before="124"/>
              <w:ind w:right="1088"/>
              <w:jc w:val="right"/>
              <w:rPr>
                <w:b/>
                <w:sz w:val="18"/>
              </w:rPr>
            </w:pPr>
            <w:r>
              <w:rPr>
                <w:b/>
                <w:sz w:val="18"/>
              </w:rPr>
              <w:t>25</w:t>
            </w:r>
          </w:p>
        </w:tc>
        <w:tc>
          <w:tcPr>
            <w:tcW w:w="499" w:type="dxa"/>
            <w:tcBorders>
              <w:top w:val="single" w:sz="1" w:space="0" w:color="000000"/>
              <w:bottom w:val="single" w:sz="1" w:space="0" w:color="000000"/>
            </w:tcBorders>
          </w:tcPr>
          <w:p>
            <w:pPr>
              <w:pStyle w:val="TableParagraph"/>
              <w:spacing w:before="124"/>
              <w:ind w:right="290"/>
              <w:jc w:val="right"/>
              <w:rPr>
                <w:sz w:val="18"/>
              </w:rPr>
            </w:pPr>
            <w:r>
              <w:rPr>
                <w:w w:val="95"/>
                <w:sz w:val="18"/>
              </w:rPr>
              <w:t>25</w:t>
            </w:r>
          </w:p>
        </w:tc>
        <w:tc>
          <w:tcPr>
            <w:tcW w:w="1528" w:type="dxa"/>
            <w:tcBorders>
              <w:top w:val="single" w:sz="1" w:space="0" w:color="000000"/>
              <w:bottom w:val="single" w:sz="1" w:space="0" w:color="000000"/>
            </w:tcBorders>
          </w:tcPr>
          <w:p>
            <w:pPr>
              <w:pStyle w:val="TableParagraph"/>
              <w:spacing w:before="124"/>
              <w:ind w:left="969"/>
              <w:rPr>
                <w:b/>
                <w:sz w:val="18"/>
              </w:rPr>
            </w:pPr>
            <w:r>
              <w:rPr>
                <w:b/>
                <w:sz w:val="18"/>
              </w:rPr>
              <w:t>22</w:t>
            </w:r>
          </w:p>
        </w:tc>
        <w:tc>
          <w:tcPr>
            <w:tcW w:w="734" w:type="dxa"/>
            <w:tcBorders>
              <w:top w:val="single" w:sz="1" w:space="0" w:color="000000"/>
              <w:bottom w:val="single" w:sz="1" w:space="0" w:color="000000"/>
            </w:tcBorders>
          </w:tcPr>
          <w:p>
            <w:pPr/>
          </w:p>
        </w:tc>
        <w:tc>
          <w:tcPr>
            <w:tcW w:w="295" w:type="dxa"/>
            <w:tcBorders>
              <w:top w:val="single" w:sz="1" w:space="0" w:color="000000"/>
              <w:bottom w:val="single" w:sz="1" w:space="0" w:color="000000"/>
            </w:tcBorders>
          </w:tcPr>
          <w:p>
            <w:pPr>
              <w:pStyle w:val="TableParagraph"/>
              <w:spacing w:before="124"/>
              <w:ind w:right="86"/>
              <w:jc w:val="right"/>
              <w:rPr>
                <w:sz w:val="18"/>
              </w:rPr>
            </w:pPr>
            <w:r>
              <w:rPr>
                <w:w w:val="95"/>
                <w:sz w:val="18"/>
              </w:rPr>
              <w:t>22</w:t>
            </w:r>
          </w:p>
        </w:tc>
      </w:tr>
    </w:tbl>
    <w:p>
      <w:pPr>
        <w:pStyle w:val="BodyText"/>
        <w:spacing w:before="10"/>
      </w:pPr>
    </w:p>
    <w:p>
      <w:pPr>
        <w:spacing w:before="80"/>
        <w:ind w:left="1070" w:right="220" w:firstLine="0"/>
        <w:jc w:val="left"/>
        <w:rPr>
          <w:sz w:val="16"/>
        </w:rPr>
      </w:pPr>
      <w:r>
        <w:rPr>
          <w:sz w:val="16"/>
        </w:rPr>
        <w:t>* The Vice-Chancellor's total remuneration included paid salary, PAYG withholding tax, expense-of-office allowance, employee and employer superannuation contributions, a salary-sacrificed motor vehicle, Fringe Benefits Tax and housing allowance.  No additional bonus is payable.</w:t>
      </w:r>
    </w:p>
    <w:p>
      <w:pPr>
        <w:pStyle w:val="BodyText"/>
        <w:rPr>
          <w:sz w:val="16"/>
        </w:rPr>
      </w:pPr>
    </w:p>
    <w:p>
      <w:pPr>
        <w:spacing w:before="105"/>
        <w:ind w:left="1070" w:right="220" w:firstLine="0"/>
        <w:jc w:val="left"/>
        <w:rPr>
          <w:sz w:val="16"/>
        </w:rPr>
      </w:pPr>
      <w:r>
        <w:rPr>
          <w:sz w:val="16"/>
        </w:rPr>
        <w:t>Remuneration is reflective of an annualised total remuneration package for those key management personnel who were members of the Executive for a part of any year.</w:t>
      </w:r>
    </w:p>
    <w:p>
      <w:pPr>
        <w:spacing w:after="0"/>
        <w:jc w:val="left"/>
        <w:rPr>
          <w:sz w:val="16"/>
        </w:rPr>
        <w:sectPr>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pStyle w:val="Heading9"/>
        <w:tabs>
          <w:tab w:pos="1070" w:val="left" w:leader="none"/>
        </w:tabs>
        <w:ind w:left="604" w:right="220"/>
      </w:pPr>
      <w:bookmarkStart w:name="(c) Key management personnel compensatio" w:id="119"/>
      <w:bookmarkEnd w:id="119"/>
      <w:r>
        <w:rPr>
          <w:b w:val="0"/>
        </w:rPr>
      </w:r>
      <w:r>
        <w:rPr/>
        <w:t>30</w:t>
        <w:tab/>
        <w:t>Key Management Personnel Disclosures</w:t>
      </w:r>
      <w:r>
        <w:rPr>
          <w:spacing w:val="-9"/>
        </w:rPr>
        <w:t> </w:t>
      </w:r>
      <w:r>
        <w:rPr/>
        <w:t>(continued)</w:t>
      </w:r>
    </w:p>
    <w:p>
      <w:pPr>
        <w:pStyle w:val="BodyText"/>
        <w:spacing w:before="7"/>
        <w:rPr>
          <w:b/>
          <w:sz w:val="26"/>
        </w:rPr>
      </w:pPr>
    </w:p>
    <w:p>
      <w:pPr>
        <w:pStyle w:val="ListParagraph"/>
        <w:numPr>
          <w:ilvl w:val="0"/>
          <w:numId w:val="32"/>
        </w:numPr>
        <w:tabs>
          <w:tab w:pos="1071" w:val="left" w:leader="none"/>
        </w:tabs>
        <w:spacing w:line="240" w:lineRule="auto" w:before="0" w:after="0"/>
        <w:ind w:left="1070" w:right="0" w:hanging="566"/>
        <w:jc w:val="left"/>
        <w:rPr>
          <w:sz w:val="18"/>
        </w:rPr>
      </w:pPr>
      <w:r>
        <w:rPr>
          <w:sz w:val="18"/>
        </w:rPr>
        <w:t>Key management personnel</w:t>
      </w:r>
      <w:r>
        <w:rPr>
          <w:spacing w:val="2"/>
          <w:sz w:val="18"/>
        </w:rPr>
        <w:t> </w:t>
      </w:r>
      <w:r>
        <w:rPr>
          <w:sz w:val="18"/>
        </w:rPr>
        <w:t>compensation</w:t>
      </w:r>
    </w:p>
    <w:p>
      <w:pPr>
        <w:pStyle w:val="BodyText"/>
        <w:spacing w:before="4"/>
        <w:rPr>
          <w:sz w:val="25"/>
        </w:rPr>
      </w:pPr>
    </w:p>
    <w:p>
      <w:pPr>
        <w:pStyle w:val="BodyText"/>
        <w:ind w:left="1070" w:right="220"/>
      </w:pPr>
      <w:r>
        <w:rPr/>
        <w:t>Key management personnel include Board Members and Executives.</w:t>
      </w:r>
    </w:p>
    <w:p>
      <w:pPr>
        <w:pStyle w:val="BodyText"/>
      </w:pPr>
    </w:p>
    <w:p>
      <w:pPr>
        <w:pStyle w:val="BodyText"/>
      </w:pPr>
    </w:p>
    <w:p>
      <w:pPr>
        <w:pStyle w:val="Heading9"/>
        <w:tabs>
          <w:tab w:pos="8378" w:val="left" w:leader="none"/>
        </w:tabs>
        <w:spacing w:before="113"/>
        <w:ind w:left="5342" w:right="220"/>
      </w:pPr>
      <w:r>
        <w:rPr/>
        <w:t>Consolidated</w:t>
        <w:tab/>
        <w:t>Parent</w:t>
      </w:r>
    </w:p>
    <w:p>
      <w:pPr>
        <w:spacing w:after="0"/>
        <w:sectPr>
          <w:pgSz w:w="11910" w:h="16840"/>
          <w:pgMar w:header="1037" w:footer="507" w:top="2220" w:bottom="700" w:left="900" w:right="880"/>
        </w:sectPr>
      </w:pPr>
    </w:p>
    <w:p>
      <w:pPr>
        <w:spacing w:before="66"/>
        <w:ind w:left="0" w:right="19" w:firstLine="0"/>
        <w:jc w:val="right"/>
        <w:rPr>
          <w:b/>
          <w:sz w:val="18"/>
        </w:rPr>
      </w:pPr>
      <w:r>
        <w:rPr>
          <w:b/>
          <w:sz w:val="18"/>
        </w:rPr>
        <w:t>2017</w:t>
      </w:r>
    </w:p>
    <w:p>
      <w:pPr>
        <w:spacing w:before="66"/>
        <w:ind w:left="0" w:right="0" w:firstLine="0"/>
        <w:jc w:val="right"/>
        <w:rPr>
          <w:b/>
          <w:sz w:val="18"/>
        </w:rPr>
      </w:pPr>
      <w:r>
        <w:rPr>
          <w:b/>
          <w:sz w:val="18"/>
        </w:rPr>
        <w:t>$'000</w:t>
      </w:r>
    </w:p>
    <w:p>
      <w:pPr>
        <w:spacing w:before="66"/>
        <w:ind w:left="817" w:right="-17" w:firstLine="0"/>
        <w:jc w:val="left"/>
        <w:rPr>
          <w:b/>
          <w:sz w:val="18"/>
        </w:rPr>
      </w:pPr>
      <w:r>
        <w:rPr/>
        <w:br w:type="column"/>
      </w:r>
      <w:r>
        <w:rPr>
          <w:b/>
          <w:sz w:val="18"/>
        </w:rPr>
        <w:t>2016</w:t>
      </w:r>
    </w:p>
    <w:p>
      <w:pPr>
        <w:spacing w:before="66"/>
        <w:ind w:left="795" w:right="-17"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17" w:right="0" w:firstLine="0"/>
        <w:jc w:val="left"/>
        <w:rPr>
          <w:b/>
          <w:sz w:val="18"/>
        </w:rPr>
      </w:pPr>
      <w:r>
        <w:rPr/>
        <w:br w:type="column"/>
      </w:r>
      <w:r>
        <w:rPr>
          <w:b/>
          <w:sz w:val="18"/>
        </w:rPr>
        <w:t>2016</w:t>
      </w:r>
    </w:p>
    <w:p>
      <w:pPr>
        <w:spacing w:before="66"/>
        <w:ind w:left="795" w:right="0" w:firstLine="0"/>
        <w:jc w:val="left"/>
        <w:rPr>
          <w:b/>
          <w:sz w:val="18"/>
        </w:rPr>
      </w:pPr>
      <w:r>
        <w:rPr>
          <w:b/>
          <w:sz w:val="18"/>
        </w:rPr>
        <w:t>$'000</w:t>
      </w:r>
    </w:p>
    <w:p>
      <w:pPr>
        <w:spacing w:after="0"/>
        <w:jc w:val="left"/>
        <w:rPr>
          <w:sz w:val="18"/>
        </w:rPr>
        <w:sectPr>
          <w:type w:val="continuous"/>
          <w:pgSz w:w="11910" w:h="16840"/>
          <w:pgMar w:top="1580" w:bottom="280" w:left="900" w:right="880"/>
          <w:cols w:num="4" w:equalWidth="0">
            <w:col w:w="5556" w:space="40"/>
            <w:col w:w="1242" w:space="40"/>
            <w:col w:w="1439" w:space="40"/>
            <w:col w:w="1773"/>
          </w:cols>
        </w:sectPr>
      </w:pPr>
    </w:p>
    <w:p>
      <w:pPr>
        <w:pStyle w:val="BodyText"/>
        <w:spacing w:before="1"/>
        <w:rPr>
          <w:b/>
          <w:sz w:val="3"/>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
        <w:gridCol w:w="3597"/>
        <w:gridCol w:w="1796"/>
        <w:gridCol w:w="1380"/>
        <w:gridCol w:w="1380"/>
        <w:gridCol w:w="964"/>
      </w:tblGrid>
      <w:tr>
        <w:trPr>
          <w:trHeight w:val="301" w:hRule="exact"/>
        </w:trPr>
        <w:tc>
          <w:tcPr>
            <w:tcW w:w="429" w:type="dxa"/>
            <w:vMerge w:val="restart"/>
          </w:tcPr>
          <w:p>
            <w:pPr/>
          </w:p>
        </w:tc>
        <w:tc>
          <w:tcPr>
            <w:tcW w:w="3597" w:type="dxa"/>
          </w:tcPr>
          <w:p>
            <w:pPr>
              <w:pStyle w:val="TableParagraph"/>
              <w:spacing w:before="57"/>
              <w:ind w:left="218" w:right="799"/>
              <w:rPr>
                <w:sz w:val="18"/>
              </w:rPr>
            </w:pPr>
            <w:r>
              <w:rPr>
                <w:sz w:val="18"/>
              </w:rPr>
              <w:t>Short-term employee benefits</w:t>
            </w:r>
          </w:p>
        </w:tc>
        <w:tc>
          <w:tcPr>
            <w:tcW w:w="1796" w:type="dxa"/>
          </w:tcPr>
          <w:p>
            <w:pPr>
              <w:pStyle w:val="TableParagraph"/>
              <w:spacing w:before="54"/>
              <w:ind w:right="419"/>
              <w:jc w:val="right"/>
              <w:rPr>
                <w:b/>
                <w:sz w:val="18"/>
              </w:rPr>
            </w:pPr>
            <w:r>
              <w:rPr>
                <w:b/>
                <w:w w:val="95"/>
                <w:sz w:val="18"/>
              </w:rPr>
              <w:t>8,042</w:t>
            </w:r>
          </w:p>
        </w:tc>
        <w:tc>
          <w:tcPr>
            <w:tcW w:w="1380" w:type="dxa"/>
          </w:tcPr>
          <w:p>
            <w:pPr>
              <w:pStyle w:val="TableParagraph"/>
              <w:spacing w:before="54"/>
              <w:ind w:right="503"/>
              <w:jc w:val="right"/>
              <w:rPr>
                <w:sz w:val="18"/>
              </w:rPr>
            </w:pPr>
            <w:r>
              <w:rPr>
                <w:w w:val="95"/>
                <w:sz w:val="18"/>
              </w:rPr>
              <w:t>7,334</w:t>
            </w:r>
          </w:p>
        </w:tc>
        <w:tc>
          <w:tcPr>
            <w:tcW w:w="1380" w:type="dxa"/>
          </w:tcPr>
          <w:p>
            <w:pPr>
              <w:pStyle w:val="TableParagraph"/>
              <w:spacing w:before="54"/>
              <w:ind w:right="419"/>
              <w:jc w:val="right"/>
              <w:rPr>
                <w:b/>
                <w:sz w:val="18"/>
              </w:rPr>
            </w:pPr>
            <w:r>
              <w:rPr>
                <w:b/>
                <w:w w:val="95"/>
                <w:sz w:val="18"/>
              </w:rPr>
              <w:t>7,593</w:t>
            </w:r>
          </w:p>
        </w:tc>
        <w:tc>
          <w:tcPr>
            <w:tcW w:w="964" w:type="dxa"/>
          </w:tcPr>
          <w:p>
            <w:pPr>
              <w:pStyle w:val="TableParagraph"/>
              <w:spacing w:before="54"/>
              <w:ind w:right="87"/>
              <w:jc w:val="right"/>
              <w:rPr>
                <w:sz w:val="18"/>
              </w:rPr>
            </w:pPr>
            <w:r>
              <w:rPr>
                <w:w w:val="95"/>
                <w:sz w:val="18"/>
              </w:rPr>
              <w:t>7,071</w:t>
            </w:r>
          </w:p>
        </w:tc>
      </w:tr>
      <w:tr>
        <w:trPr>
          <w:trHeight w:val="264" w:hRule="exact"/>
        </w:trPr>
        <w:tc>
          <w:tcPr>
            <w:tcW w:w="429" w:type="dxa"/>
            <w:vMerge/>
          </w:tcPr>
          <w:p>
            <w:pPr/>
          </w:p>
        </w:tc>
        <w:tc>
          <w:tcPr>
            <w:tcW w:w="3597" w:type="dxa"/>
          </w:tcPr>
          <w:p>
            <w:pPr>
              <w:pStyle w:val="TableParagraph"/>
              <w:spacing w:before="20"/>
              <w:ind w:left="218" w:right="799"/>
              <w:rPr>
                <w:sz w:val="18"/>
              </w:rPr>
            </w:pPr>
            <w:bookmarkStart w:name="(d) Loans to key management personnel" w:id="120"/>
            <w:bookmarkEnd w:id="120"/>
            <w:r>
              <w:rPr/>
            </w:r>
            <w:r>
              <w:rPr>
                <w:sz w:val="18"/>
              </w:rPr>
              <w:t>Post-employment benefits</w:t>
            </w:r>
          </w:p>
        </w:tc>
        <w:tc>
          <w:tcPr>
            <w:tcW w:w="1796" w:type="dxa"/>
          </w:tcPr>
          <w:p>
            <w:pPr>
              <w:pStyle w:val="TableParagraph"/>
              <w:spacing w:before="18"/>
              <w:ind w:right="419"/>
              <w:jc w:val="right"/>
              <w:rPr>
                <w:b/>
                <w:sz w:val="18"/>
              </w:rPr>
            </w:pPr>
            <w:r>
              <w:rPr>
                <w:b/>
                <w:w w:val="95"/>
                <w:sz w:val="18"/>
              </w:rPr>
              <w:t>1,001</w:t>
            </w:r>
          </w:p>
        </w:tc>
        <w:tc>
          <w:tcPr>
            <w:tcW w:w="1380" w:type="dxa"/>
          </w:tcPr>
          <w:p>
            <w:pPr>
              <w:pStyle w:val="TableParagraph"/>
              <w:spacing w:before="18"/>
              <w:ind w:right="503"/>
              <w:jc w:val="right"/>
              <w:rPr>
                <w:sz w:val="18"/>
              </w:rPr>
            </w:pPr>
            <w:r>
              <w:rPr>
                <w:w w:val="95"/>
                <w:sz w:val="18"/>
              </w:rPr>
              <w:t>949</w:t>
            </w:r>
          </w:p>
        </w:tc>
        <w:tc>
          <w:tcPr>
            <w:tcW w:w="1380" w:type="dxa"/>
          </w:tcPr>
          <w:p>
            <w:pPr>
              <w:pStyle w:val="TableParagraph"/>
              <w:spacing w:before="18"/>
              <w:ind w:right="419"/>
              <w:jc w:val="right"/>
              <w:rPr>
                <w:b/>
                <w:sz w:val="18"/>
              </w:rPr>
            </w:pPr>
            <w:r>
              <w:rPr>
                <w:b/>
                <w:w w:val="95"/>
                <w:sz w:val="18"/>
              </w:rPr>
              <w:t>963</w:t>
            </w:r>
          </w:p>
        </w:tc>
        <w:tc>
          <w:tcPr>
            <w:tcW w:w="964" w:type="dxa"/>
          </w:tcPr>
          <w:p>
            <w:pPr>
              <w:pStyle w:val="TableParagraph"/>
              <w:spacing w:before="18"/>
              <w:ind w:right="86"/>
              <w:jc w:val="right"/>
              <w:rPr>
                <w:sz w:val="18"/>
              </w:rPr>
            </w:pPr>
            <w:r>
              <w:rPr>
                <w:w w:val="95"/>
                <w:sz w:val="18"/>
              </w:rPr>
              <w:t>924</w:t>
            </w:r>
          </w:p>
        </w:tc>
      </w:tr>
      <w:tr>
        <w:trPr>
          <w:trHeight w:val="260" w:hRule="exact"/>
        </w:trPr>
        <w:tc>
          <w:tcPr>
            <w:tcW w:w="429" w:type="dxa"/>
            <w:vMerge/>
          </w:tcPr>
          <w:p>
            <w:pPr/>
          </w:p>
        </w:tc>
        <w:tc>
          <w:tcPr>
            <w:tcW w:w="3597" w:type="dxa"/>
          </w:tcPr>
          <w:p>
            <w:pPr>
              <w:pStyle w:val="TableParagraph"/>
              <w:spacing w:before="20"/>
              <w:ind w:left="218" w:right="799"/>
              <w:rPr>
                <w:sz w:val="18"/>
              </w:rPr>
            </w:pPr>
            <w:r>
              <w:rPr>
                <w:sz w:val="18"/>
              </w:rPr>
              <w:t>Termination benefits</w:t>
            </w:r>
          </w:p>
        </w:tc>
        <w:tc>
          <w:tcPr>
            <w:tcW w:w="1796" w:type="dxa"/>
            <w:tcBorders>
              <w:bottom w:val="single" w:sz="1" w:space="0" w:color="000000"/>
            </w:tcBorders>
          </w:tcPr>
          <w:p>
            <w:pPr>
              <w:pStyle w:val="TableParagraph"/>
              <w:spacing w:before="18"/>
              <w:ind w:right="419"/>
              <w:jc w:val="right"/>
              <w:rPr>
                <w:b/>
                <w:sz w:val="18"/>
              </w:rPr>
            </w:pPr>
            <w:r>
              <w:rPr>
                <w:b/>
                <w:w w:val="99"/>
                <w:sz w:val="18"/>
              </w:rPr>
              <w:t>-</w:t>
            </w:r>
          </w:p>
        </w:tc>
        <w:tc>
          <w:tcPr>
            <w:tcW w:w="1380" w:type="dxa"/>
            <w:tcBorders>
              <w:bottom w:val="single" w:sz="1" w:space="0" w:color="000000"/>
            </w:tcBorders>
          </w:tcPr>
          <w:p>
            <w:pPr>
              <w:pStyle w:val="TableParagraph"/>
              <w:spacing w:before="18"/>
              <w:ind w:right="503"/>
              <w:jc w:val="right"/>
              <w:rPr>
                <w:sz w:val="18"/>
              </w:rPr>
            </w:pPr>
            <w:r>
              <w:rPr>
                <w:w w:val="99"/>
                <w:sz w:val="18"/>
              </w:rPr>
              <w:t>-</w:t>
            </w:r>
          </w:p>
        </w:tc>
        <w:tc>
          <w:tcPr>
            <w:tcW w:w="1380" w:type="dxa"/>
            <w:tcBorders>
              <w:bottom w:val="single" w:sz="1" w:space="0" w:color="000000"/>
            </w:tcBorders>
          </w:tcPr>
          <w:p>
            <w:pPr>
              <w:pStyle w:val="TableParagraph"/>
              <w:spacing w:before="18"/>
              <w:ind w:right="419"/>
              <w:jc w:val="right"/>
              <w:rPr>
                <w:b/>
                <w:sz w:val="18"/>
              </w:rPr>
            </w:pPr>
            <w:r>
              <w:rPr>
                <w:b/>
                <w:w w:val="99"/>
                <w:sz w:val="18"/>
              </w:rPr>
              <w:t>-</w:t>
            </w:r>
          </w:p>
        </w:tc>
        <w:tc>
          <w:tcPr>
            <w:tcW w:w="964" w:type="dxa"/>
            <w:tcBorders>
              <w:bottom w:val="single" w:sz="1" w:space="0" w:color="000000"/>
            </w:tcBorders>
          </w:tcPr>
          <w:p>
            <w:pPr>
              <w:pStyle w:val="TableParagraph"/>
              <w:spacing w:before="18"/>
              <w:ind w:right="86"/>
              <w:jc w:val="right"/>
              <w:rPr>
                <w:sz w:val="18"/>
              </w:rPr>
            </w:pPr>
            <w:r>
              <w:rPr>
                <w:w w:val="99"/>
                <w:sz w:val="18"/>
              </w:rPr>
              <w:t>-</w:t>
            </w:r>
          </w:p>
        </w:tc>
      </w:tr>
      <w:tr>
        <w:trPr>
          <w:trHeight w:val="559" w:hRule="exact"/>
        </w:trPr>
        <w:tc>
          <w:tcPr>
            <w:tcW w:w="429" w:type="dxa"/>
            <w:vMerge/>
          </w:tcPr>
          <w:p>
            <w:pPr/>
          </w:p>
        </w:tc>
        <w:tc>
          <w:tcPr>
            <w:tcW w:w="3597" w:type="dxa"/>
          </w:tcPr>
          <w:p>
            <w:pPr>
              <w:pStyle w:val="TableParagraph"/>
              <w:spacing w:before="125"/>
              <w:ind w:left="218" w:right="1229"/>
              <w:rPr>
                <w:b/>
                <w:sz w:val="18"/>
              </w:rPr>
            </w:pPr>
            <w:r>
              <w:rPr>
                <w:b/>
                <w:sz w:val="18"/>
              </w:rPr>
              <w:t>Total key management personnel compensation</w:t>
            </w:r>
          </w:p>
        </w:tc>
        <w:tc>
          <w:tcPr>
            <w:tcW w:w="1796" w:type="dxa"/>
            <w:tcBorders>
              <w:top w:val="single" w:sz="1" w:space="0" w:color="000000"/>
              <w:bottom w:val="single" w:sz="1" w:space="0" w:color="000000"/>
            </w:tcBorders>
          </w:tcPr>
          <w:p>
            <w:pPr>
              <w:pStyle w:val="TableParagraph"/>
              <w:rPr>
                <w:b/>
                <w:sz w:val="18"/>
              </w:rPr>
            </w:pPr>
          </w:p>
          <w:p>
            <w:pPr>
              <w:pStyle w:val="TableParagraph"/>
              <w:spacing w:before="123"/>
              <w:ind w:right="419"/>
              <w:jc w:val="right"/>
              <w:rPr>
                <w:b/>
                <w:sz w:val="18"/>
              </w:rPr>
            </w:pPr>
            <w:r>
              <w:rPr>
                <w:b/>
                <w:w w:val="95"/>
                <w:sz w:val="18"/>
              </w:rPr>
              <w:t>9,043</w:t>
            </w:r>
          </w:p>
        </w:tc>
        <w:tc>
          <w:tcPr>
            <w:tcW w:w="1380" w:type="dxa"/>
            <w:tcBorders>
              <w:top w:val="single" w:sz="1" w:space="0" w:color="000000"/>
              <w:bottom w:val="single" w:sz="1" w:space="0" w:color="000000"/>
            </w:tcBorders>
          </w:tcPr>
          <w:p>
            <w:pPr>
              <w:pStyle w:val="TableParagraph"/>
              <w:rPr>
                <w:b/>
                <w:sz w:val="18"/>
              </w:rPr>
            </w:pPr>
          </w:p>
          <w:p>
            <w:pPr>
              <w:pStyle w:val="TableParagraph"/>
              <w:spacing w:before="123"/>
              <w:ind w:right="503"/>
              <w:jc w:val="right"/>
              <w:rPr>
                <w:sz w:val="18"/>
              </w:rPr>
            </w:pPr>
            <w:r>
              <w:rPr>
                <w:w w:val="95"/>
                <w:sz w:val="18"/>
              </w:rPr>
              <w:t>8,283</w:t>
            </w:r>
          </w:p>
        </w:tc>
        <w:tc>
          <w:tcPr>
            <w:tcW w:w="1380" w:type="dxa"/>
            <w:tcBorders>
              <w:top w:val="single" w:sz="1" w:space="0" w:color="000000"/>
              <w:bottom w:val="single" w:sz="1" w:space="0" w:color="000000"/>
            </w:tcBorders>
          </w:tcPr>
          <w:p>
            <w:pPr>
              <w:pStyle w:val="TableParagraph"/>
              <w:rPr>
                <w:b/>
                <w:sz w:val="18"/>
              </w:rPr>
            </w:pPr>
          </w:p>
          <w:p>
            <w:pPr>
              <w:pStyle w:val="TableParagraph"/>
              <w:spacing w:before="123"/>
              <w:ind w:right="419"/>
              <w:jc w:val="right"/>
              <w:rPr>
                <w:b/>
                <w:sz w:val="18"/>
              </w:rPr>
            </w:pPr>
            <w:r>
              <w:rPr>
                <w:b/>
                <w:w w:val="95"/>
                <w:sz w:val="18"/>
              </w:rPr>
              <w:t>8,556</w:t>
            </w:r>
          </w:p>
        </w:tc>
        <w:tc>
          <w:tcPr>
            <w:tcW w:w="964" w:type="dxa"/>
            <w:tcBorders>
              <w:top w:val="single" w:sz="1" w:space="0" w:color="000000"/>
              <w:bottom w:val="single" w:sz="1" w:space="0" w:color="000000"/>
            </w:tcBorders>
          </w:tcPr>
          <w:p>
            <w:pPr>
              <w:pStyle w:val="TableParagraph"/>
              <w:rPr>
                <w:b/>
                <w:sz w:val="18"/>
              </w:rPr>
            </w:pPr>
          </w:p>
          <w:p>
            <w:pPr>
              <w:pStyle w:val="TableParagraph"/>
              <w:spacing w:before="123"/>
              <w:ind w:right="87"/>
              <w:jc w:val="right"/>
              <w:rPr>
                <w:sz w:val="18"/>
              </w:rPr>
            </w:pPr>
            <w:r>
              <w:rPr>
                <w:w w:val="95"/>
                <w:sz w:val="18"/>
              </w:rPr>
              <w:t>7,995</w:t>
            </w:r>
          </w:p>
        </w:tc>
      </w:tr>
      <w:tr>
        <w:trPr>
          <w:trHeight w:val="637" w:hRule="exact"/>
        </w:trPr>
        <w:tc>
          <w:tcPr>
            <w:tcW w:w="429" w:type="dxa"/>
          </w:tcPr>
          <w:p>
            <w:pPr>
              <w:pStyle w:val="TableParagraph"/>
              <w:rPr>
                <w:b/>
                <w:sz w:val="18"/>
              </w:rPr>
            </w:pPr>
          </w:p>
          <w:p>
            <w:pPr>
              <w:pStyle w:val="TableParagraph"/>
              <w:spacing w:before="127"/>
              <w:ind w:left="35"/>
              <w:rPr>
                <w:sz w:val="18"/>
              </w:rPr>
            </w:pPr>
            <w:bookmarkStart w:name="31 Remuneration of Auditors " w:id="121"/>
            <w:bookmarkEnd w:id="121"/>
            <w:r>
              <w:rPr/>
            </w:r>
            <w:r>
              <w:rPr>
                <w:sz w:val="18"/>
              </w:rPr>
              <w:t>(d)</w:t>
            </w:r>
          </w:p>
        </w:tc>
        <w:tc>
          <w:tcPr>
            <w:tcW w:w="3597" w:type="dxa"/>
          </w:tcPr>
          <w:p>
            <w:pPr>
              <w:pStyle w:val="TableParagraph"/>
              <w:rPr>
                <w:b/>
                <w:sz w:val="18"/>
              </w:rPr>
            </w:pPr>
          </w:p>
          <w:p>
            <w:pPr>
              <w:pStyle w:val="TableParagraph"/>
              <w:spacing w:before="127"/>
              <w:ind w:left="172"/>
              <w:rPr>
                <w:sz w:val="18"/>
              </w:rPr>
            </w:pPr>
            <w:r>
              <w:rPr>
                <w:sz w:val="18"/>
              </w:rPr>
              <w:t>Loans to key management personnel</w:t>
            </w:r>
          </w:p>
        </w:tc>
        <w:tc>
          <w:tcPr>
            <w:tcW w:w="1796" w:type="dxa"/>
            <w:tcBorders>
              <w:top w:val="single" w:sz="1" w:space="0" w:color="000000"/>
            </w:tcBorders>
          </w:tcPr>
          <w:p>
            <w:pPr/>
          </w:p>
        </w:tc>
        <w:tc>
          <w:tcPr>
            <w:tcW w:w="1380" w:type="dxa"/>
            <w:tcBorders>
              <w:top w:val="single" w:sz="1" w:space="0" w:color="000000"/>
            </w:tcBorders>
          </w:tcPr>
          <w:p>
            <w:pPr/>
          </w:p>
        </w:tc>
        <w:tc>
          <w:tcPr>
            <w:tcW w:w="1380" w:type="dxa"/>
            <w:tcBorders>
              <w:top w:val="single" w:sz="1" w:space="0" w:color="000000"/>
            </w:tcBorders>
          </w:tcPr>
          <w:p>
            <w:pPr/>
          </w:p>
        </w:tc>
        <w:tc>
          <w:tcPr>
            <w:tcW w:w="964" w:type="dxa"/>
            <w:tcBorders>
              <w:top w:val="single" w:sz="1" w:space="0" w:color="000000"/>
            </w:tcBorders>
          </w:tcPr>
          <w:p>
            <w:pPr/>
          </w:p>
        </w:tc>
      </w:tr>
    </w:tbl>
    <w:p>
      <w:pPr>
        <w:pStyle w:val="BodyText"/>
        <w:spacing w:before="4"/>
        <w:rPr>
          <w:b/>
          <w:sz w:val="10"/>
        </w:rPr>
      </w:pPr>
    </w:p>
    <w:p>
      <w:pPr>
        <w:pStyle w:val="BodyText"/>
        <w:spacing w:before="77"/>
        <w:ind w:left="1070" w:right="220"/>
      </w:pPr>
      <w:r>
        <w:rPr/>
        <w:t>No loans were made to key management personnel during the financial year (2016: nil).</w:t>
      </w:r>
    </w:p>
    <w:p>
      <w:pPr>
        <w:pStyle w:val="BodyText"/>
        <w:spacing w:before="11"/>
        <w:rPr>
          <w:sz w:val="24"/>
        </w:rPr>
      </w:pPr>
    </w:p>
    <w:p>
      <w:pPr>
        <w:pStyle w:val="Heading9"/>
        <w:numPr>
          <w:ilvl w:val="0"/>
          <w:numId w:val="33"/>
        </w:numPr>
        <w:tabs>
          <w:tab w:pos="504" w:val="left" w:leader="none"/>
        </w:tabs>
        <w:spacing w:line="240" w:lineRule="auto" w:before="0" w:after="0"/>
        <w:ind w:left="504" w:right="0" w:hanging="394"/>
        <w:jc w:val="left"/>
      </w:pPr>
      <w:r>
        <w:rPr/>
        <w:t>Remuneration of Auditors</w:t>
      </w:r>
    </w:p>
    <w:p>
      <w:pPr>
        <w:pStyle w:val="BodyText"/>
        <w:spacing w:before="11"/>
        <w:rPr>
          <w:b/>
          <w:sz w:val="24"/>
        </w:rPr>
      </w:pPr>
    </w:p>
    <w:p>
      <w:pPr>
        <w:pStyle w:val="BodyText"/>
        <w:ind w:left="504" w:right="220"/>
      </w:pPr>
      <w:r>
        <w:rPr/>
        <w:t>During the year, the following fees were paid for services provided by the auditor of the entity:</w:t>
      </w:r>
    </w:p>
    <w:p>
      <w:pPr>
        <w:pStyle w:val="BodyText"/>
      </w:pPr>
    </w:p>
    <w:p>
      <w:pPr>
        <w:pStyle w:val="BodyText"/>
      </w:pPr>
    </w:p>
    <w:p>
      <w:pPr>
        <w:pStyle w:val="Heading9"/>
        <w:tabs>
          <w:tab w:pos="8354" w:val="left" w:leader="none"/>
        </w:tabs>
        <w:spacing w:before="113"/>
        <w:ind w:left="5316" w:right="220"/>
      </w:pPr>
      <w:r>
        <w:rPr/>
        <w:t>Consolidated</w:t>
        <w:tab/>
        <w:t>Parent</w:t>
      </w:r>
    </w:p>
    <w:p>
      <w:pPr>
        <w:spacing w:after="0"/>
        <w:sectPr>
          <w:type w:val="continuous"/>
          <w:pgSz w:w="11910" w:h="16840"/>
          <w:pgMar w:top="1580" w:bottom="280" w:left="900" w:right="880"/>
        </w:sectPr>
      </w:pPr>
    </w:p>
    <w:p>
      <w:pPr>
        <w:pStyle w:val="BodyText"/>
        <w:rPr>
          <w:b/>
        </w:rPr>
      </w:pPr>
    </w:p>
    <w:p>
      <w:pPr>
        <w:pStyle w:val="BodyText"/>
        <w:rPr>
          <w:b/>
        </w:rPr>
      </w:pPr>
    </w:p>
    <w:p>
      <w:pPr>
        <w:pStyle w:val="BodyText"/>
        <w:spacing w:before="3"/>
        <w:rPr>
          <w:b/>
          <w:sz w:val="24"/>
        </w:rPr>
      </w:pPr>
    </w:p>
    <w:p>
      <w:pPr>
        <w:spacing w:before="0"/>
        <w:ind w:left="530" w:right="69" w:firstLine="0"/>
        <w:jc w:val="left"/>
        <w:rPr>
          <w:b/>
          <w:sz w:val="18"/>
        </w:rPr>
      </w:pPr>
      <w:r>
        <w:rPr>
          <w:b/>
          <w:sz w:val="18"/>
        </w:rPr>
        <w:t>Audit and review of the Financial Statements</w:t>
      </w:r>
    </w:p>
    <w:p>
      <w:pPr>
        <w:pStyle w:val="BodyText"/>
        <w:spacing w:before="26"/>
        <w:ind w:left="530" w:right="-2"/>
      </w:pPr>
      <w:r>
        <w:rPr/>
        <w:t>Fees paid to the Audit Office of New</w:t>
      </w:r>
    </w:p>
    <w:p>
      <w:pPr>
        <w:pStyle w:val="Heading9"/>
        <w:spacing w:before="66"/>
        <w:ind w:left="551" w:right="-17"/>
      </w:pPr>
      <w:r>
        <w:rPr>
          <w:b w:val="0"/>
        </w:rPr>
        <w:br w:type="column"/>
      </w:r>
      <w:r>
        <w:rPr/>
        <w:t>2017</w:t>
      </w:r>
    </w:p>
    <w:p>
      <w:pPr>
        <w:spacing w:before="66"/>
        <w:ind w:left="530" w:right="-17" w:firstLine="0"/>
        <w:jc w:val="left"/>
        <w:rPr>
          <w:b/>
          <w:sz w:val="18"/>
        </w:rPr>
      </w:pPr>
      <w:r>
        <w:rPr>
          <w:b/>
          <w:sz w:val="18"/>
        </w:rPr>
        <w:t>$'000</w:t>
      </w:r>
    </w:p>
    <w:p>
      <w:pPr>
        <w:spacing w:before="66"/>
        <w:ind w:left="551" w:right="-17" w:firstLine="0"/>
        <w:jc w:val="left"/>
        <w:rPr>
          <w:b/>
          <w:sz w:val="18"/>
        </w:rPr>
      </w:pPr>
      <w:r>
        <w:rPr/>
        <w:br w:type="column"/>
      </w:r>
      <w:r>
        <w:rPr>
          <w:b/>
          <w:sz w:val="18"/>
        </w:rPr>
        <w:t>2016</w:t>
      </w:r>
    </w:p>
    <w:p>
      <w:pPr>
        <w:spacing w:before="66"/>
        <w:ind w:left="530" w:right="-17" w:firstLine="0"/>
        <w:jc w:val="left"/>
        <w:rPr>
          <w:b/>
          <w:sz w:val="18"/>
        </w:rPr>
      </w:pPr>
      <w:r>
        <w:rPr>
          <w:b/>
          <w:sz w:val="18"/>
        </w:rPr>
        <w:t>$'000</w:t>
      </w:r>
    </w:p>
    <w:p>
      <w:pPr>
        <w:spacing w:before="66"/>
        <w:ind w:left="551" w:right="-17" w:firstLine="0"/>
        <w:jc w:val="left"/>
        <w:rPr>
          <w:b/>
          <w:sz w:val="18"/>
        </w:rPr>
      </w:pPr>
      <w:r>
        <w:rPr/>
        <w:br w:type="column"/>
      </w:r>
      <w:r>
        <w:rPr>
          <w:b/>
          <w:sz w:val="18"/>
        </w:rPr>
        <w:t>2017</w:t>
      </w:r>
    </w:p>
    <w:p>
      <w:pPr>
        <w:spacing w:before="66"/>
        <w:ind w:left="530" w:right="-17" w:firstLine="0"/>
        <w:jc w:val="left"/>
        <w:rPr>
          <w:b/>
          <w:sz w:val="18"/>
        </w:rPr>
      </w:pPr>
      <w:r>
        <w:rPr>
          <w:b/>
          <w:sz w:val="18"/>
        </w:rPr>
        <w:t>$'000</w:t>
      </w:r>
    </w:p>
    <w:p>
      <w:pPr>
        <w:spacing w:before="66"/>
        <w:ind w:left="515" w:right="534" w:firstLine="0"/>
        <w:jc w:val="center"/>
        <w:rPr>
          <w:b/>
          <w:sz w:val="18"/>
        </w:rPr>
      </w:pPr>
      <w:r>
        <w:rPr/>
        <w:br w:type="column"/>
      </w:r>
      <w:r>
        <w:rPr>
          <w:b/>
          <w:sz w:val="18"/>
        </w:rPr>
        <w:t>2016</w:t>
      </w:r>
    </w:p>
    <w:p>
      <w:pPr>
        <w:spacing w:before="66"/>
        <w:ind w:left="515" w:right="534" w:firstLine="0"/>
        <w:jc w:val="center"/>
        <w:rPr>
          <w:b/>
          <w:sz w:val="18"/>
        </w:rPr>
      </w:pPr>
      <w:r>
        <w:rPr>
          <w:b/>
          <w:sz w:val="18"/>
        </w:rPr>
        <w:t>$'000</w:t>
      </w:r>
    </w:p>
    <w:p>
      <w:pPr>
        <w:spacing w:after="0"/>
        <w:jc w:val="center"/>
        <w:rPr>
          <w:sz w:val="18"/>
        </w:rPr>
        <w:sectPr>
          <w:type w:val="continuous"/>
          <w:pgSz w:w="11910" w:h="16840"/>
          <w:pgMar w:top="1580" w:bottom="280" w:left="900" w:right="880"/>
          <w:cols w:num="5" w:equalWidth="0">
            <w:col w:w="3430" w:space="1122"/>
            <w:col w:w="977" w:space="307"/>
            <w:col w:w="977" w:space="499"/>
            <w:col w:w="977" w:space="307"/>
            <w:col w:w="1534"/>
          </w:cols>
        </w:sectPr>
      </w:pPr>
    </w:p>
    <w:p>
      <w:pPr>
        <w:tabs>
          <w:tab w:pos="5565" w:val="left" w:leader="none"/>
          <w:tab w:pos="6863" w:val="left" w:leader="none"/>
          <w:tab w:pos="8325" w:val="left" w:leader="none"/>
          <w:tab w:pos="9926" w:val="right" w:leader="none"/>
        </w:tabs>
        <w:spacing w:line="206" w:lineRule="exact" w:before="0"/>
        <w:ind w:left="530" w:right="0" w:firstLine="0"/>
        <w:jc w:val="left"/>
        <w:rPr>
          <w:sz w:val="18"/>
        </w:rPr>
      </w:pPr>
      <w:r>
        <w:rPr/>
        <w:pict>
          <v:group style="position:absolute;margin-left:269.565002pt;margin-top:11.457775pt;width:276.150pt;height:1pt;mso-position-horizontal-relative:page;mso-position-vertical-relative:paragraph;z-index:1648" coordorigin="5391,229" coordsize="5523,20">
            <v:line style="position:absolute" from="5393,231" to="5561,231" stroked="true" strokeweight=".12pt" strokecolor="#000000"/>
            <v:line style="position:absolute" from="5393,233" to="5561,233" stroked="true" strokeweight=".12pt" strokecolor="#000000"/>
            <v:line style="position:absolute" from="5393,235" to="5561,235" stroked="true" strokeweight=".12pt" strokecolor="#000000"/>
            <v:line style="position:absolute" from="5393,238" to="5561,238" stroked="true" strokeweight=".12pt" strokecolor="#000000"/>
            <v:line style="position:absolute" from="5393,240" to="5561,240" stroked="true" strokeweight=".12pt" strokecolor="#000000"/>
            <v:line style="position:absolute" from="5393,243" to="5561,243" stroked="true" strokeweight=".12pt" strokecolor="#000000"/>
            <v:line style="position:absolute" from="5393,245" to="5561,245" stroked="true" strokeweight=".12pt" strokecolor="#000000"/>
            <v:line style="position:absolute" from="5393,247" to="5561,247" stroked="true" strokeweight=".12pt" strokecolor="#000000"/>
            <v:line style="position:absolute" from="5561,231" to="6857,231" stroked="true" strokeweight=".12pt" strokecolor="#000000"/>
            <v:line style="position:absolute" from="5561,233" to="6857,233" stroked="true" strokeweight=".12pt" strokecolor="#000000"/>
            <v:line style="position:absolute" from="5561,235" to="6857,235" stroked="true" strokeweight=".12pt" strokecolor="#000000"/>
            <v:line style="position:absolute" from="5561,238" to="6857,238" stroked="true" strokeweight=".12pt" strokecolor="#000000"/>
            <v:line style="position:absolute" from="5561,240" to="6857,240" stroked="true" strokeweight=".12pt" strokecolor="#000000"/>
            <v:line style="position:absolute" from="5561,243" to="6857,243" stroked="true" strokeweight=".12pt" strokecolor="#000000"/>
            <v:line style="position:absolute" from="5561,245" to="6857,245" stroked="true" strokeweight=".12pt" strokecolor="#000000"/>
            <v:line style="position:absolute" from="5561,247" to="6857,247" stroked="true" strokeweight=".12pt" strokecolor="#000000"/>
            <v:line style="position:absolute" from="6857,231" to="8153,231" stroked="true" strokeweight=".12pt" strokecolor="#000000"/>
            <v:line style="position:absolute" from="6857,233" to="8153,233" stroked="true" strokeweight=".12pt" strokecolor="#000000"/>
            <v:line style="position:absolute" from="6857,235" to="8153,235" stroked="true" strokeweight=".12pt" strokecolor="#000000"/>
            <v:line style="position:absolute" from="6857,238" to="8153,238" stroked="true" strokeweight=".12pt" strokecolor="#000000"/>
            <v:line style="position:absolute" from="6857,240" to="8153,240" stroked="true" strokeweight=".12pt" strokecolor="#000000"/>
            <v:line style="position:absolute" from="6857,243" to="8153,243" stroked="true" strokeweight=".12pt" strokecolor="#000000"/>
            <v:line style="position:absolute" from="6857,245" to="8153,245" stroked="true" strokeweight=".12pt" strokecolor="#000000"/>
            <v:line style="position:absolute" from="6857,247" to="8153,247" stroked="true" strokeweight=".12pt" strokecolor="#000000"/>
            <v:line style="position:absolute" from="8153,231" to="8321,231" stroked="true" strokeweight=".12pt" strokecolor="#000000"/>
            <v:line style="position:absolute" from="8153,233" to="8321,233" stroked="true" strokeweight=".12pt" strokecolor="#000000"/>
            <v:line style="position:absolute" from="8153,235" to="8321,235" stroked="true" strokeweight=".12pt" strokecolor="#000000"/>
            <v:line style="position:absolute" from="8153,238" to="8321,238" stroked="true" strokeweight=".12pt" strokecolor="#000000"/>
            <v:line style="position:absolute" from="8153,240" to="8321,240" stroked="true" strokeweight=".12pt" strokecolor="#000000"/>
            <v:line style="position:absolute" from="8153,243" to="8321,243" stroked="true" strokeweight=".12pt" strokecolor="#000000"/>
            <v:line style="position:absolute" from="8153,245" to="8321,245" stroked="true" strokeweight=".12pt" strokecolor="#000000"/>
            <v:line style="position:absolute" from="8153,247" to="8321,247" stroked="true" strokeweight=".12pt" strokecolor="#000000"/>
            <v:line style="position:absolute" from="8321,231" to="9617,231" stroked="true" strokeweight=".12pt" strokecolor="#000000"/>
            <v:line style="position:absolute" from="8321,233" to="9617,233" stroked="true" strokeweight=".12pt" strokecolor="#000000"/>
            <v:line style="position:absolute" from="8321,235" to="9617,235" stroked="true" strokeweight=".12pt" strokecolor="#000000"/>
            <v:line style="position:absolute" from="8321,238" to="9617,238" stroked="true" strokeweight=".12pt" strokecolor="#000000"/>
            <v:line style="position:absolute" from="8321,240" to="9617,240" stroked="true" strokeweight=".12pt" strokecolor="#000000"/>
            <v:line style="position:absolute" from="8321,243" to="9617,243" stroked="true" strokeweight=".12pt" strokecolor="#000000"/>
            <v:line style="position:absolute" from="8321,245" to="9617,245" stroked="true" strokeweight=".12pt" strokecolor="#000000"/>
            <v:line style="position:absolute" from="8321,247" to="9617,247" stroked="true" strokeweight=".12pt" strokecolor="#000000"/>
            <v:line style="position:absolute" from="9617,231" to="10913,231" stroked="true" strokeweight=".12pt" strokecolor="#000000"/>
            <v:line style="position:absolute" from="9617,233" to="10913,233" stroked="true" strokeweight=".12pt" strokecolor="#000000"/>
            <v:line style="position:absolute" from="9617,235" to="10913,235" stroked="true" strokeweight=".12pt" strokecolor="#000000"/>
            <v:line style="position:absolute" from="9617,238" to="10913,238" stroked="true" strokeweight=".12pt" strokecolor="#000000"/>
            <v:line style="position:absolute" from="9617,240" to="10913,240" stroked="true" strokeweight=".12pt" strokecolor="#000000"/>
            <v:line style="position:absolute" from="9617,243" to="10913,243" stroked="true" strokeweight=".12pt" strokecolor="#000000"/>
            <v:line style="position:absolute" from="9617,245" to="10913,245" stroked="true" strokeweight=".12pt" strokecolor="#000000"/>
            <v:line style="position:absolute" from="9617,247" to="10913,247" stroked="true" strokeweight=".12pt" strokecolor="#000000"/>
            <w10:wrap type="none"/>
          </v:group>
        </w:pict>
      </w:r>
      <w:r>
        <w:rPr>
          <w:sz w:val="18"/>
        </w:rPr>
        <w:t>South</w:t>
      </w:r>
      <w:r>
        <w:rPr>
          <w:spacing w:val="3"/>
          <w:sz w:val="18"/>
        </w:rPr>
        <w:t> </w:t>
      </w:r>
      <w:r>
        <w:rPr>
          <w:sz w:val="18"/>
        </w:rPr>
        <w:t>Wales</w:t>
        <w:tab/>
      </w:r>
      <w:r>
        <w:rPr>
          <w:b/>
          <w:sz w:val="18"/>
        </w:rPr>
        <w:t>389</w:t>
        <w:tab/>
      </w:r>
      <w:r>
        <w:rPr>
          <w:sz w:val="18"/>
        </w:rPr>
        <w:t>376</w:t>
        <w:tab/>
      </w:r>
      <w:r>
        <w:rPr>
          <w:b/>
          <w:sz w:val="18"/>
        </w:rPr>
        <w:t>283</w:t>
      </w:r>
      <w:r>
        <w:rPr>
          <w:rFonts w:ascii="Times New Roman"/>
          <w:sz w:val="18"/>
        </w:rPr>
        <w:tab/>
      </w:r>
      <w:r>
        <w:rPr>
          <w:sz w:val="18"/>
        </w:rPr>
        <w:t>276</w:t>
      </w:r>
    </w:p>
    <w:p>
      <w:pPr>
        <w:pStyle w:val="Heading9"/>
        <w:tabs>
          <w:tab w:pos="5565" w:val="left" w:leader="none"/>
          <w:tab w:pos="6863" w:val="left" w:leader="none"/>
          <w:tab w:pos="8325" w:val="left" w:leader="none"/>
          <w:tab w:pos="9926" w:val="right" w:leader="none"/>
        </w:tabs>
        <w:spacing w:before="158"/>
        <w:ind w:left="530"/>
        <w:rPr>
          <w:b w:val="0"/>
        </w:rPr>
      </w:pPr>
      <w:r>
        <w:rPr/>
        <w:pict>
          <v:group style="position:absolute;margin-left:269.565002pt;margin-top:18.066898pt;width:276.150pt;height:2.450pt;mso-position-horizontal-relative:page;mso-position-vertical-relative:paragraph;z-index:-1182352" coordorigin="5391,361" coordsize="5523,49">
            <v:line style="position:absolute" from="5393,363" to="5561,363" stroked="true" strokeweight=".12pt" strokecolor="#000000"/>
            <v:line style="position:absolute" from="5393,365" to="5561,365" stroked="true" strokeweight=".12pt" strokecolor="#000000"/>
            <v:line style="position:absolute" from="5393,368" to="5561,368" stroked="true" strokeweight=".12pt" strokecolor="#000000"/>
            <v:line style="position:absolute" from="5393,370" to="5561,370" stroked="true" strokeweight=".12pt" strokecolor="#000000"/>
            <v:line style="position:absolute" from="5393,372" to="5561,372" stroked="true" strokeweight=".12pt" strokecolor="#000000"/>
            <v:line style="position:absolute" from="5393,375" to="5561,375" stroked="true" strokeweight=".12pt" strokecolor="#000000"/>
            <v:line style="position:absolute" from="5393,396" to="5561,396" stroked="true" strokeweight=".12pt" strokecolor="#000000"/>
            <v:line style="position:absolute" from="5393,399" to="5561,399" stroked="true" strokeweight=".12pt" strokecolor="#000000"/>
            <v:line style="position:absolute" from="5393,401" to="5561,401" stroked="true" strokeweight=".12pt" strokecolor="#000000"/>
            <v:line style="position:absolute" from="5393,404" to="5561,404" stroked="true" strokeweight=".12pt" strokecolor="#000000"/>
            <v:line style="position:absolute" from="5393,406" to="5561,406" stroked="true" strokeweight=".12pt" strokecolor="#000000"/>
            <v:line style="position:absolute" from="5393,408" to="5561,408" stroked="true" strokeweight=".12pt" strokecolor="#000000"/>
            <v:line style="position:absolute" from="5561,363" to="6857,363" stroked="true" strokeweight=".12pt" strokecolor="#000000"/>
            <v:line style="position:absolute" from="5561,365" to="6857,365" stroked="true" strokeweight=".12pt" strokecolor="#000000"/>
            <v:line style="position:absolute" from="5561,368" to="6857,368" stroked="true" strokeweight=".12pt" strokecolor="#000000"/>
            <v:line style="position:absolute" from="5561,370" to="6857,370" stroked="true" strokeweight=".12pt" strokecolor="#000000"/>
            <v:line style="position:absolute" from="5561,372" to="6857,372" stroked="true" strokeweight=".12pt" strokecolor="#000000"/>
            <v:line style="position:absolute" from="5561,375" to="6857,375" stroked="true" strokeweight=".12pt" strokecolor="#000000"/>
            <v:line style="position:absolute" from="5561,396" to="6857,396" stroked="true" strokeweight=".12pt" strokecolor="#000000"/>
            <v:line style="position:absolute" from="5561,399" to="6857,399" stroked="true" strokeweight=".12pt" strokecolor="#000000"/>
            <v:line style="position:absolute" from="5561,401" to="6857,401" stroked="true" strokeweight=".12pt" strokecolor="#000000"/>
            <v:line style="position:absolute" from="5561,404" to="6857,404" stroked="true" strokeweight=".12pt" strokecolor="#000000"/>
            <v:line style="position:absolute" from="5561,406" to="6857,406" stroked="true" strokeweight=".12pt" strokecolor="#000000"/>
            <v:line style="position:absolute" from="5561,408" to="6857,408" stroked="true" strokeweight=".12pt" strokecolor="#000000"/>
            <v:line style="position:absolute" from="6857,363" to="8153,363" stroked="true" strokeweight=".12pt" strokecolor="#000000"/>
            <v:line style="position:absolute" from="6857,365" to="8153,365" stroked="true" strokeweight=".12pt" strokecolor="#000000"/>
            <v:line style="position:absolute" from="6857,368" to="8153,368" stroked="true" strokeweight=".12pt" strokecolor="#000000"/>
            <v:line style="position:absolute" from="6857,370" to="8153,370" stroked="true" strokeweight=".12pt" strokecolor="#000000"/>
            <v:line style="position:absolute" from="6857,372" to="8153,372" stroked="true" strokeweight=".12pt" strokecolor="#000000"/>
            <v:line style="position:absolute" from="6857,375" to="8153,375" stroked="true" strokeweight=".12pt" strokecolor="#000000"/>
            <v:line style="position:absolute" from="6857,396" to="8153,396" stroked="true" strokeweight=".12pt" strokecolor="#000000"/>
            <v:line style="position:absolute" from="6857,399" to="8153,399" stroked="true" strokeweight=".12pt" strokecolor="#000000"/>
            <v:line style="position:absolute" from="6857,401" to="8153,401" stroked="true" strokeweight=".12pt" strokecolor="#000000"/>
            <v:line style="position:absolute" from="6857,404" to="8153,404" stroked="true" strokeweight=".12pt" strokecolor="#000000"/>
            <v:line style="position:absolute" from="6857,406" to="8153,406" stroked="true" strokeweight=".12pt" strokecolor="#000000"/>
            <v:line style="position:absolute" from="6857,408" to="8153,408" stroked="true" strokeweight=".12pt" strokecolor="#000000"/>
            <v:line style="position:absolute" from="8153,363" to="8321,363" stroked="true" strokeweight=".12pt" strokecolor="#000000"/>
            <v:line style="position:absolute" from="8153,365" to="8321,365" stroked="true" strokeweight=".12pt" strokecolor="#000000"/>
            <v:line style="position:absolute" from="8153,368" to="8321,368" stroked="true" strokeweight=".12pt" strokecolor="#000000"/>
            <v:line style="position:absolute" from="8153,370" to="8321,370" stroked="true" strokeweight=".12pt" strokecolor="#000000"/>
            <v:line style="position:absolute" from="8153,372" to="8321,372" stroked="true" strokeweight=".12pt" strokecolor="#000000"/>
            <v:line style="position:absolute" from="8153,375" to="8321,375" stroked="true" strokeweight=".12pt" strokecolor="#000000"/>
            <v:line style="position:absolute" from="8153,396" to="8321,396" stroked="true" strokeweight=".12pt" strokecolor="#000000"/>
            <v:line style="position:absolute" from="8153,399" to="8321,399" stroked="true" strokeweight=".12pt" strokecolor="#000000"/>
            <v:line style="position:absolute" from="8153,401" to="8321,401" stroked="true" strokeweight=".12pt" strokecolor="#000000"/>
            <v:line style="position:absolute" from="8153,404" to="8321,404" stroked="true" strokeweight=".12pt" strokecolor="#000000"/>
            <v:line style="position:absolute" from="8153,406" to="8321,406" stroked="true" strokeweight=".12pt" strokecolor="#000000"/>
            <v:line style="position:absolute" from="8153,408" to="8321,408" stroked="true" strokeweight=".12pt" strokecolor="#000000"/>
            <v:line style="position:absolute" from="8321,363" to="9617,363" stroked="true" strokeweight=".12pt" strokecolor="#000000"/>
            <v:line style="position:absolute" from="8321,365" to="9617,365" stroked="true" strokeweight=".12pt" strokecolor="#000000"/>
            <v:line style="position:absolute" from="8321,368" to="9617,368" stroked="true" strokeweight=".12pt" strokecolor="#000000"/>
            <v:line style="position:absolute" from="8321,370" to="9617,370" stroked="true" strokeweight=".12pt" strokecolor="#000000"/>
            <v:line style="position:absolute" from="8321,372" to="9617,372" stroked="true" strokeweight=".12pt" strokecolor="#000000"/>
            <v:line style="position:absolute" from="8321,375" to="9617,375" stroked="true" strokeweight=".12pt" strokecolor="#000000"/>
            <v:line style="position:absolute" from="8321,396" to="9617,396" stroked="true" strokeweight=".12pt" strokecolor="#000000"/>
            <v:line style="position:absolute" from="8321,399" to="9617,399" stroked="true" strokeweight=".12pt" strokecolor="#000000"/>
            <v:line style="position:absolute" from="8321,401" to="9617,401" stroked="true" strokeweight=".12pt" strokecolor="#000000"/>
            <v:line style="position:absolute" from="8321,404" to="9617,404" stroked="true" strokeweight=".12pt" strokecolor="#000000"/>
            <v:line style="position:absolute" from="8321,406" to="9617,406" stroked="true" strokeweight=".12pt" strokecolor="#000000"/>
            <v:line style="position:absolute" from="8321,408" to="9617,408" stroked="true" strokeweight=".12pt" strokecolor="#000000"/>
            <v:line style="position:absolute" from="9617,363" to="10913,363" stroked="true" strokeweight=".12pt" strokecolor="#000000"/>
            <v:line style="position:absolute" from="9617,365" to="10913,365" stroked="true" strokeweight=".12pt" strokecolor="#000000"/>
            <v:line style="position:absolute" from="9617,368" to="10913,368" stroked="true" strokeweight=".12pt" strokecolor="#000000"/>
            <v:line style="position:absolute" from="9617,370" to="10913,370" stroked="true" strokeweight=".12pt" strokecolor="#000000"/>
            <v:line style="position:absolute" from="9617,372" to="10913,372" stroked="true" strokeweight=".12pt" strokecolor="#000000"/>
            <v:line style="position:absolute" from="9617,375" to="10913,375" stroked="true" strokeweight=".12pt" strokecolor="#000000"/>
            <v:line style="position:absolute" from="9617,396" to="10913,396" stroked="true" strokeweight=".12pt" strokecolor="#000000"/>
            <v:line style="position:absolute" from="9617,399" to="10913,399" stroked="true" strokeweight=".12pt" strokecolor="#000000"/>
            <v:line style="position:absolute" from="9617,401" to="10913,401" stroked="true" strokeweight=".12pt" strokecolor="#000000"/>
            <v:line style="position:absolute" from="9617,404" to="10913,404" stroked="true" strokeweight=".12pt" strokecolor="#000000"/>
            <v:line style="position:absolute" from="9617,406" to="10913,406" stroked="true" strokeweight=".12pt" strokecolor="#000000"/>
            <v:line style="position:absolute" from="9617,408" to="10913,408" stroked="true" strokeweight=".12pt" strokecolor="#000000"/>
            <w10:wrap type="none"/>
          </v:group>
        </w:pict>
      </w:r>
      <w:r>
        <w:rPr/>
        <w:t>Total paid for audit and review</w:t>
        <w:tab/>
        <w:t>389</w:t>
        <w:tab/>
      </w:r>
      <w:r>
        <w:rPr>
          <w:b w:val="0"/>
        </w:rPr>
        <w:t>376</w:t>
        <w:tab/>
      </w:r>
      <w:r>
        <w:rPr/>
        <w:t>283</w:t>
      </w:r>
      <w:r>
        <w:rPr>
          <w:rFonts w:ascii="Times New Roman"/>
          <w:b w:val="0"/>
        </w:rPr>
        <w:tab/>
      </w:r>
      <w:r>
        <w:rPr>
          <w:b w:val="0"/>
        </w:rPr>
        <w:t>276</w:t>
      </w:r>
    </w:p>
    <w:p>
      <w:pPr>
        <w:pStyle w:val="BodyText"/>
        <w:spacing w:before="335"/>
        <w:ind w:left="504" w:right="220"/>
      </w:pPr>
      <w:r>
        <w:rPr/>
        <w:t>Fees shown are exclusive of Goods and Services Tax.</w:t>
      </w:r>
    </w:p>
    <w:p>
      <w:pPr>
        <w:spacing w:after="0"/>
        <w:sectPr>
          <w:type w:val="continuous"/>
          <w:pgSz w:w="11910" w:h="16840"/>
          <w:pgMar w:top="1580" w:bottom="280" w:left="900" w:right="880"/>
        </w:sectPr>
      </w:pPr>
    </w:p>
    <w:p>
      <w:pPr>
        <w:pStyle w:val="BodyText"/>
      </w:pPr>
    </w:p>
    <w:p>
      <w:pPr>
        <w:pStyle w:val="BodyText"/>
      </w:pPr>
    </w:p>
    <w:p>
      <w:pPr>
        <w:pStyle w:val="BodyText"/>
        <w:spacing w:before="5"/>
        <w:rPr>
          <w:sz w:val="22"/>
        </w:rPr>
      </w:pPr>
    </w:p>
    <w:p>
      <w:pPr>
        <w:pStyle w:val="Heading9"/>
        <w:numPr>
          <w:ilvl w:val="0"/>
          <w:numId w:val="33"/>
        </w:numPr>
        <w:tabs>
          <w:tab w:pos="504" w:val="left" w:leader="none"/>
        </w:tabs>
        <w:spacing w:line="240" w:lineRule="auto" w:before="0" w:after="0"/>
        <w:ind w:left="504" w:right="0" w:hanging="394"/>
        <w:jc w:val="left"/>
      </w:pPr>
      <w:bookmarkStart w:name="32 Contingencies " w:id="122"/>
      <w:bookmarkEnd w:id="122"/>
      <w:r>
        <w:rPr>
          <w:b w:val="0"/>
        </w:rPr>
      </w:r>
      <w:bookmarkStart w:name="(a) Contingent liabilities" w:id="123"/>
      <w:bookmarkEnd w:id="123"/>
      <w:r>
        <w:rPr>
          <w:b w:val="0"/>
        </w:rPr>
      </w:r>
      <w:bookmarkStart w:name="(a) Contingent liabilities" w:id="124"/>
      <w:bookmarkEnd w:id="124"/>
      <w:r>
        <w:rPr/>
        <w:t>Contingencies</w:t>
      </w:r>
    </w:p>
    <w:p>
      <w:pPr>
        <w:pStyle w:val="BodyText"/>
        <w:spacing w:before="7"/>
        <w:rPr>
          <w:b/>
          <w:sz w:val="26"/>
        </w:rPr>
      </w:pPr>
    </w:p>
    <w:p>
      <w:pPr>
        <w:pStyle w:val="ListParagraph"/>
        <w:numPr>
          <w:ilvl w:val="1"/>
          <w:numId w:val="33"/>
        </w:numPr>
        <w:tabs>
          <w:tab w:pos="1071" w:val="left" w:leader="none"/>
        </w:tabs>
        <w:spacing w:line="240" w:lineRule="auto" w:before="0" w:after="0"/>
        <w:ind w:left="1070" w:right="0" w:hanging="566"/>
        <w:jc w:val="left"/>
        <w:rPr>
          <w:sz w:val="18"/>
        </w:rPr>
      </w:pPr>
      <w:r>
        <w:rPr>
          <w:sz w:val="18"/>
        </w:rPr>
        <w:t>Contingent liabilities</w:t>
      </w:r>
    </w:p>
    <w:p>
      <w:pPr>
        <w:pStyle w:val="BodyText"/>
        <w:spacing w:before="4"/>
        <w:rPr>
          <w:sz w:val="25"/>
        </w:rPr>
      </w:pPr>
    </w:p>
    <w:p>
      <w:pPr>
        <w:pStyle w:val="BodyText"/>
        <w:ind w:left="1070" w:right="194"/>
      </w:pPr>
      <w:r>
        <w:rPr/>
        <w:t>The University currently has a jointly controlled operation with Urban Growth at the Campbelltown campus which may result in potential costs to the University from the removal of telecommunication equipment if the lease is terminated with the telecommunication company (costs associated with alternative site).</w:t>
      </w:r>
    </w:p>
    <w:p>
      <w:pPr>
        <w:pStyle w:val="BodyText"/>
        <w:spacing w:before="11"/>
        <w:rPr>
          <w:sz w:val="24"/>
        </w:rPr>
      </w:pPr>
    </w:p>
    <w:p>
      <w:pPr>
        <w:pStyle w:val="BodyText"/>
        <w:ind w:left="1070" w:right="194"/>
      </w:pPr>
      <w:r>
        <w:rPr/>
        <w:t>The University has entered into an Agreement for Lease for Liverpool City Campus with B H Property Holdings Pty Limited as the developer.</w:t>
      </w:r>
    </w:p>
    <w:p>
      <w:pPr>
        <w:pStyle w:val="BodyText"/>
        <w:spacing w:before="11"/>
        <w:rPr>
          <w:sz w:val="24"/>
        </w:rPr>
      </w:pPr>
    </w:p>
    <w:p>
      <w:pPr>
        <w:pStyle w:val="BodyText"/>
        <w:ind w:left="1070" w:right="145"/>
      </w:pPr>
      <w:r>
        <w:rPr/>
        <w:t>The University has executed a Commercial Lease for an initial term of 15 years which is not immediately  binding and is held in escrow pending practical completion under the Agreement for Lease as at 31 December 2017. Subject to practical completion under the terms of the Agreement for Lease the Commercial Lease will then become binding on the later of the date of Practical Completion and 1 February 2018. Practical completion has not yet occurred, and therefore the Commercial Lease has not yet commenced. No financial impact has occurred or is recorded in the University's Financial Statements relating to the Agreement for Lease or Commercial Lease for the 2017</w:t>
      </w:r>
      <w:r>
        <w:rPr>
          <w:spacing w:val="4"/>
        </w:rPr>
        <w:t> </w:t>
      </w:r>
      <w:r>
        <w:rPr/>
        <w:t>period.</w:t>
      </w:r>
    </w:p>
    <w:p>
      <w:pPr>
        <w:pStyle w:val="BodyText"/>
        <w:spacing w:before="11"/>
        <w:rPr>
          <w:sz w:val="24"/>
        </w:rPr>
      </w:pPr>
    </w:p>
    <w:p>
      <w:pPr>
        <w:pStyle w:val="BodyText"/>
        <w:ind w:left="1070" w:right="194"/>
      </w:pPr>
      <w:r>
        <w:rPr/>
        <w:t>It is the University's current policy to provide both Western Unlimited Ltd and Western Sydney University International College Pty Ltd with such support and assistance as may be required to allow them to meet their financial obligations in conformity with generally accepted standards of commercial and financial prudence for the period 1 January 2018 up until approximately twelve months from the date of the signed financial statements to the expected date of the auditor's report for the next annual reporting period.</w:t>
      </w:r>
    </w:p>
    <w:p>
      <w:pPr>
        <w:spacing w:after="0"/>
        <w:sectPr>
          <w:pgSz w:w="11910" w:h="16840"/>
          <w:pgMar w:header="1037" w:footer="507" w:top="2220" w:bottom="700" w:left="900" w:right="900"/>
        </w:sectPr>
      </w:pPr>
    </w:p>
    <w:p>
      <w:pPr>
        <w:pStyle w:val="BodyText"/>
        <w:spacing w:before="8"/>
        <w:rPr>
          <w:sz w:val="26"/>
        </w:rPr>
      </w:pPr>
    </w:p>
    <w:p>
      <w:pPr>
        <w:pStyle w:val="Heading9"/>
        <w:numPr>
          <w:ilvl w:val="0"/>
          <w:numId w:val="33"/>
        </w:numPr>
        <w:tabs>
          <w:tab w:pos="504" w:val="left" w:leader="none"/>
        </w:tabs>
        <w:spacing w:line="240" w:lineRule="auto" w:before="77" w:after="0"/>
        <w:ind w:left="504" w:right="0" w:hanging="394"/>
        <w:jc w:val="left"/>
      </w:pPr>
      <w:bookmarkStart w:name="33 Commitments " w:id="125"/>
      <w:bookmarkEnd w:id="125"/>
      <w:r>
        <w:rPr>
          <w:b w:val="0"/>
        </w:rPr>
      </w:r>
      <w:bookmarkStart w:name="(a) Capital commitments" w:id="126"/>
      <w:bookmarkEnd w:id="126"/>
      <w:r>
        <w:rPr>
          <w:b w:val="0"/>
        </w:rPr>
      </w:r>
      <w:bookmarkStart w:name="(a) Capital commitments" w:id="127"/>
      <w:bookmarkEnd w:id="127"/>
      <w:r>
        <w:rPr/>
        <w:t>Commitments</w:t>
      </w:r>
    </w:p>
    <w:p>
      <w:pPr>
        <w:pStyle w:val="BodyText"/>
        <w:spacing w:before="7"/>
        <w:rPr>
          <w:b/>
          <w:sz w:val="26"/>
        </w:rPr>
      </w:pPr>
    </w:p>
    <w:p>
      <w:pPr>
        <w:pStyle w:val="ListParagraph"/>
        <w:numPr>
          <w:ilvl w:val="1"/>
          <w:numId w:val="33"/>
        </w:numPr>
        <w:tabs>
          <w:tab w:pos="1071" w:val="left" w:leader="none"/>
        </w:tabs>
        <w:spacing w:line="240" w:lineRule="auto" w:before="0" w:after="0"/>
        <w:ind w:left="1070" w:right="0" w:hanging="566"/>
        <w:jc w:val="left"/>
        <w:rPr>
          <w:sz w:val="18"/>
        </w:rPr>
      </w:pPr>
      <w:r>
        <w:rPr>
          <w:sz w:val="18"/>
        </w:rPr>
        <w:t>Capital commitments</w:t>
      </w:r>
    </w:p>
    <w:p>
      <w:pPr>
        <w:pStyle w:val="BodyText"/>
        <w:spacing w:before="4"/>
        <w:rPr>
          <w:sz w:val="25"/>
        </w:rPr>
      </w:pPr>
    </w:p>
    <w:p>
      <w:pPr>
        <w:pStyle w:val="BodyText"/>
        <w:ind w:left="1070" w:right="653"/>
      </w:pPr>
      <w:r>
        <w:rPr/>
        <w:t>Capital expenditures contracted for at the reporting date but not recognised as liabilities are:</w:t>
      </w:r>
    </w:p>
    <w:p>
      <w:pPr>
        <w:pStyle w:val="Heading9"/>
        <w:tabs>
          <w:tab w:pos="8467" w:val="left" w:leader="none"/>
        </w:tabs>
        <w:spacing w:before="33"/>
        <w:ind w:left="5409" w:right="653"/>
      </w:pPr>
      <w:r>
        <w:rPr/>
        <w:t>Consolidated</w:t>
        <w:tab/>
        <w:t>Parent</w:t>
      </w:r>
    </w:p>
    <w:p>
      <w:pPr>
        <w:spacing w:after="0"/>
        <w:sectPr>
          <w:pgSz w:w="11910" w:h="16840"/>
          <w:pgMar w:header="1037" w:footer="507" w:top="2220" w:bottom="700" w:left="900" w:right="320"/>
        </w:sectPr>
      </w:pPr>
    </w:p>
    <w:p>
      <w:pPr>
        <w:pStyle w:val="BodyText"/>
        <w:rPr>
          <w:b/>
        </w:rPr>
      </w:pPr>
    </w:p>
    <w:p>
      <w:pPr>
        <w:pStyle w:val="BodyText"/>
        <w:rPr>
          <w:b/>
        </w:rPr>
      </w:pPr>
    </w:p>
    <w:p>
      <w:pPr>
        <w:pStyle w:val="BodyText"/>
        <w:spacing w:before="8"/>
        <w:rPr>
          <w:b/>
          <w:sz w:val="16"/>
        </w:rPr>
      </w:pPr>
    </w:p>
    <w:p>
      <w:pPr>
        <w:pStyle w:val="BodyText"/>
        <w:ind w:left="1116" w:right="-6"/>
      </w:pPr>
      <w:r>
        <w:rPr/>
        <w:t>Property, plant and equipment</w:t>
      </w:r>
    </w:p>
    <w:p>
      <w:pPr>
        <w:pStyle w:val="Heading9"/>
        <w:spacing w:before="66"/>
        <w:ind w:right="19"/>
        <w:jc w:val="right"/>
      </w:pPr>
      <w:r>
        <w:rPr>
          <w:b w:val="0"/>
        </w:rPr>
        <w:br w:type="column"/>
      </w:r>
      <w:r>
        <w:rPr/>
        <w:t>2017</w:t>
      </w:r>
    </w:p>
    <w:p>
      <w:pPr>
        <w:spacing w:before="66"/>
        <w:ind w:left="0" w:right="0" w:firstLine="0"/>
        <w:jc w:val="right"/>
        <w:rPr>
          <w:b/>
          <w:sz w:val="18"/>
        </w:rPr>
      </w:pPr>
      <w:r>
        <w:rPr>
          <w:b/>
          <w:w w:val="95"/>
          <w:sz w:val="18"/>
        </w:rPr>
        <w:t>$'000</w:t>
      </w:r>
    </w:p>
    <w:p>
      <w:pPr>
        <w:spacing w:before="66"/>
        <w:ind w:left="819" w:right="-16" w:firstLine="0"/>
        <w:jc w:val="left"/>
        <w:rPr>
          <w:b/>
          <w:sz w:val="18"/>
        </w:rPr>
      </w:pPr>
      <w:r>
        <w:rPr/>
        <w:br w:type="column"/>
      </w:r>
      <w:r>
        <w:rPr>
          <w:b/>
          <w:sz w:val="18"/>
        </w:rPr>
        <w:t>2016</w:t>
      </w:r>
    </w:p>
    <w:p>
      <w:pPr>
        <w:spacing w:before="66"/>
        <w:ind w:left="797" w:right="-16"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780" w:right="966" w:firstLine="0"/>
        <w:jc w:val="center"/>
        <w:rPr>
          <w:b/>
          <w:sz w:val="18"/>
        </w:rPr>
      </w:pPr>
      <w:r>
        <w:rPr/>
        <w:br w:type="column"/>
      </w:r>
      <w:r>
        <w:rPr>
          <w:b/>
          <w:sz w:val="18"/>
        </w:rPr>
        <w:t>2016</w:t>
      </w:r>
    </w:p>
    <w:p>
      <w:pPr>
        <w:spacing w:before="66"/>
        <w:ind w:left="781" w:right="966" w:firstLine="0"/>
        <w:jc w:val="center"/>
        <w:rPr>
          <w:b/>
          <w:sz w:val="18"/>
        </w:rPr>
      </w:pPr>
      <w:r>
        <w:rPr>
          <w:b/>
          <w:sz w:val="18"/>
        </w:rPr>
        <w:t>$'000</w:t>
      </w:r>
    </w:p>
    <w:p>
      <w:pPr>
        <w:spacing w:after="0"/>
        <w:jc w:val="center"/>
        <w:rPr>
          <w:sz w:val="18"/>
        </w:rPr>
        <w:sectPr>
          <w:type w:val="continuous"/>
          <w:pgSz w:w="11910" w:h="16840"/>
          <w:pgMar w:top="1580" w:bottom="280" w:left="900" w:right="320"/>
          <w:cols w:num="5" w:equalWidth="0">
            <w:col w:w="3542" w:space="545"/>
            <w:col w:w="1563" w:space="40"/>
            <w:col w:w="1245" w:space="40"/>
            <w:col w:w="1444" w:space="40"/>
            <w:col w:w="2231"/>
          </w:cols>
        </w:sectPr>
      </w:pPr>
    </w:p>
    <w:p>
      <w:pPr>
        <w:tabs>
          <w:tab w:pos="5409" w:val="left" w:leader="none"/>
          <w:tab w:pos="5903" w:val="left" w:leader="none"/>
          <w:tab w:pos="6707" w:val="left" w:leader="none"/>
          <w:tab w:pos="7202" w:val="left" w:leader="none"/>
          <w:tab w:pos="8176" w:val="left" w:leader="none"/>
          <w:tab w:pos="8671" w:val="left" w:leader="none"/>
          <w:tab w:pos="9475" w:val="left" w:leader="none"/>
          <w:tab w:pos="9969" w:val="left" w:leader="none"/>
        </w:tabs>
        <w:spacing w:line="307" w:lineRule="auto" w:before="57"/>
        <w:ind w:left="1116" w:right="653" w:firstLine="0"/>
        <w:jc w:val="left"/>
        <w:rPr>
          <w:sz w:val="18"/>
        </w:rPr>
      </w:pPr>
      <w:r>
        <w:rPr>
          <w:sz w:val="18"/>
        </w:rPr>
        <w:t>Within</w:t>
      </w:r>
      <w:r>
        <w:rPr>
          <w:spacing w:val="2"/>
          <w:sz w:val="18"/>
        </w:rPr>
        <w:t> </w:t>
      </w:r>
      <w:r>
        <w:rPr>
          <w:sz w:val="18"/>
        </w:rPr>
        <w:t>one</w:t>
      </w:r>
      <w:r>
        <w:rPr>
          <w:spacing w:val="2"/>
          <w:sz w:val="18"/>
        </w:rPr>
        <w:t> </w:t>
      </w:r>
      <w:r>
        <w:rPr>
          <w:sz w:val="18"/>
        </w:rPr>
        <w:t>year</w:t>
        <w:tab/>
      </w:r>
      <w:r>
        <w:rPr>
          <w:b/>
          <w:sz w:val="18"/>
        </w:rPr>
        <w:t>54,589</w:t>
        <w:tab/>
      </w:r>
      <w:r>
        <w:rPr>
          <w:sz w:val="18"/>
        </w:rPr>
        <w:t>49,528</w:t>
        <w:tab/>
      </w:r>
      <w:r>
        <w:rPr>
          <w:b/>
          <w:sz w:val="18"/>
        </w:rPr>
        <w:t>54,567</w:t>
        <w:tab/>
      </w:r>
      <w:r>
        <w:rPr>
          <w:sz w:val="18"/>
        </w:rPr>
        <w:t>49,061 Between one year and</w:t>
      </w:r>
      <w:r>
        <w:rPr>
          <w:spacing w:val="-1"/>
          <w:sz w:val="18"/>
        </w:rPr>
        <w:t> </w:t>
      </w:r>
      <w:r>
        <w:rPr>
          <w:sz w:val="18"/>
        </w:rPr>
        <w:t>five</w:t>
      </w:r>
      <w:r>
        <w:rPr>
          <w:spacing w:val="-1"/>
          <w:sz w:val="18"/>
        </w:rPr>
        <w:t> </w:t>
      </w:r>
      <w:r>
        <w:rPr>
          <w:sz w:val="18"/>
        </w:rPr>
        <w:t>years</w:t>
        <w:tab/>
        <w:tab/>
      </w:r>
      <w:r>
        <w:rPr>
          <w:b/>
          <w:sz w:val="18"/>
        </w:rPr>
        <w:t>-</w:t>
        <w:tab/>
        <w:tab/>
      </w:r>
      <w:r>
        <w:rPr>
          <w:sz w:val="18"/>
        </w:rPr>
        <w:t>-</w:t>
        <w:tab/>
        <w:tab/>
      </w:r>
      <w:r>
        <w:rPr>
          <w:b/>
          <w:sz w:val="18"/>
        </w:rPr>
        <w:t>-</w:t>
        <w:tab/>
        <w:tab/>
      </w:r>
      <w:r>
        <w:rPr>
          <w:sz w:val="18"/>
        </w:rPr>
        <w:t>-</w:t>
      </w:r>
    </w:p>
    <w:p>
      <w:pPr>
        <w:tabs>
          <w:tab w:pos="5409" w:val="left" w:leader="none"/>
          <w:tab w:pos="5903" w:val="left" w:leader="none"/>
          <w:tab w:pos="6707" w:val="left" w:leader="none"/>
          <w:tab w:pos="7202" w:val="left" w:leader="none"/>
          <w:tab w:pos="8176" w:val="left" w:leader="none"/>
          <w:tab w:pos="8671" w:val="left" w:leader="none"/>
          <w:tab w:pos="9475" w:val="left" w:leader="none"/>
          <w:tab w:pos="9969" w:val="left" w:leader="none"/>
        </w:tabs>
        <w:spacing w:line="388" w:lineRule="auto" w:before="0"/>
        <w:ind w:left="1116" w:right="653" w:firstLine="0"/>
        <w:jc w:val="left"/>
        <w:rPr>
          <w:sz w:val="18"/>
        </w:rPr>
      </w:pPr>
      <w:r>
        <w:rPr/>
        <w:pict>
          <v:group style="position:absolute;margin-left:274.244995pt;margin-top:11.486873pt;width:276.9pt;height:1pt;mso-position-horizontal-relative:page;mso-position-vertical-relative:paragraph;z-index:-1182328" coordorigin="5485,230" coordsize="5538,20">
            <v:line style="position:absolute" from="5486,231" to="5657,231" stroked="true" strokeweight=".12pt" strokecolor="#000000"/>
            <v:line style="position:absolute" from="5486,234" to="5657,234" stroked="true" strokeweight=".12pt" strokecolor="#000000"/>
            <v:line style="position:absolute" from="5486,236" to="5657,236" stroked="true" strokeweight=".12pt" strokecolor="#000000"/>
            <v:line style="position:absolute" from="5486,238" to="5657,238" stroked="true" strokeweight=".12pt" strokecolor="#000000"/>
            <v:line style="position:absolute" from="5486,241" to="5657,241" stroked="true" strokeweight=".12pt" strokecolor="#000000"/>
            <v:line style="position:absolute" from="5486,243" to="5657,243" stroked="true" strokeweight=".12pt" strokecolor="#000000"/>
            <v:line style="position:absolute" from="5486,246" to="5657,246" stroked="true" strokeweight=".12pt" strokecolor="#000000"/>
            <v:line style="position:absolute" from="5486,248" to="5657,248" stroked="true" strokeweight=".12pt" strokecolor="#000000"/>
            <v:line style="position:absolute" from="5657,231" to="6955,231" stroked="true" strokeweight=".12pt" strokecolor="#000000"/>
            <v:line style="position:absolute" from="5657,234" to="6955,234" stroked="true" strokeweight=".12pt" strokecolor="#000000"/>
            <v:line style="position:absolute" from="5657,236" to="6955,236" stroked="true" strokeweight=".12pt" strokecolor="#000000"/>
            <v:line style="position:absolute" from="5657,238" to="6955,238" stroked="true" strokeweight=".12pt" strokecolor="#000000"/>
            <v:line style="position:absolute" from="5657,241" to="6955,241" stroked="true" strokeweight=".12pt" strokecolor="#000000"/>
            <v:line style="position:absolute" from="5657,243" to="6955,243" stroked="true" strokeweight=".12pt" strokecolor="#000000"/>
            <v:line style="position:absolute" from="5657,246" to="6955,246" stroked="true" strokeweight=".12pt" strokecolor="#000000"/>
            <v:line style="position:absolute" from="5657,248" to="6955,248" stroked="true" strokeweight=".12pt" strokecolor="#000000"/>
            <v:line style="position:absolute" from="6955,231" to="8254,231" stroked="true" strokeweight=".12pt" strokecolor="#000000"/>
            <v:line style="position:absolute" from="6955,234" to="8254,234" stroked="true" strokeweight=".12pt" strokecolor="#000000"/>
            <v:line style="position:absolute" from="6955,236" to="8254,236" stroked="true" strokeweight=".12pt" strokecolor="#000000"/>
            <v:line style="position:absolute" from="6955,238" to="8254,238" stroked="true" strokeweight=".12pt" strokecolor="#000000"/>
            <v:line style="position:absolute" from="6955,241" to="8254,241" stroked="true" strokeweight=".12pt" strokecolor="#000000"/>
            <v:line style="position:absolute" from="6955,243" to="8254,243" stroked="true" strokeweight=".12pt" strokecolor="#000000"/>
            <v:line style="position:absolute" from="6955,246" to="8254,246" stroked="true" strokeweight=".12pt" strokecolor="#000000"/>
            <v:line style="position:absolute" from="6955,248" to="8254,248" stroked="true" strokeweight=".12pt" strokecolor="#000000"/>
            <v:line style="position:absolute" from="8254,231" to="8424,231" stroked="true" strokeweight=".12pt" strokecolor="#000000"/>
            <v:line style="position:absolute" from="8254,234" to="8424,234" stroked="true" strokeweight=".12pt" strokecolor="#000000"/>
            <v:line style="position:absolute" from="8254,236" to="8424,236" stroked="true" strokeweight=".12pt" strokecolor="#000000"/>
            <v:line style="position:absolute" from="8254,238" to="8424,238" stroked="true" strokeweight=".12pt" strokecolor="#000000"/>
            <v:line style="position:absolute" from="8254,241" to="8424,241" stroked="true" strokeweight=".12pt" strokecolor="#000000"/>
            <v:line style="position:absolute" from="8254,243" to="8424,243" stroked="true" strokeweight=".12pt" strokecolor="#000000"/>
            <v:line style="position:absolute" from="8254,246" to="8424,246" stroked="true" strokeweight=".12pt" strokecolor="#000000"/>
            <v:line style="position:absolute" from="8254,248" to="8424,248" stroked="true" strokeweight=".12pt" strokecolor="#000000"/>
            <v:line style="position:absolute" from="8424,231" to="9722,231" stroked="true" strokeweight=".12pt" strokecolor="#000000"/>
            <v:line style="position:absolute" from="8424,234" to="9722,234" stroked="true" strokeweight=".12pt" strokecolor="#000000"/>
            <v:line style="position:absolute" from="8424,236" to="9722,236" stroked="true" strokeweight=".12pt" strokecolor="#000000"/>
            <v:line style="position:absolute" from="8424,238" to="9722,238" stroked="true" strokeweight=".12pt" strokecolor="#000000"/>
            <v:line style="position:absolute" from="8424,241" to="9722,241" stroked="true" strokeweight=".12pt" strokecolor="#000000"/>
            <v:line style="position:absolute" from="8424,243" to="9722,243" stroked="true" strokeweight=".12pt" strokecolor="#000000"/>
            <v:line style="position:absolute" from="8424,246" to="9722,246" stroked="true" strokeweight=".12pt" strokecolor="#000000"/>
            <v:line style="position:absolute" from="8424,248" to="9722,248" stroked="true" strokeweight=".12pt" strokecolor="#000000"/>
            <v:line style="position:absolute" from="9722,231" to="11021,231" stroked="true" strokeweight=".12pt" strokecolor="#000000"/>
            <v:line style="position:absolute" from="9722,234" to="11021,234" stroked="true" strokeweight=".12pt" strokecolor="#000000"/>
            <v:line style="position:absolute" from="9722,236" to="11021,236" stroked="true" strokeweight=".12pt" strokecolor="#000000"/>
            <v:line style="position:absolute" from="9722,238" to="11021,238" stroked="true" strokeweight=".12pt" strokecolor="#000000"/>
            <v:line style="position:absolute" from="9722,241" to="11021,241" stroked="true" strokeweight=".12pt" strokecolor="#000000"/>
            <v:line style="position:absolute" from="9722,243" to="11021,243" stroked="true" strokeweight=".12pt" strokecolor="#000000"/>
            <v:line style="position:absolute" from="9722,246" to="11021,246" stroked="true" strokeweight=".12pt" strokecolor="#000000"/>
            <v:line style="position:absolute" from="9722,248" to="11021,248" stroked="true" strokeweight=".12pt" strokecolor="#000000"/>
            <v:line style="position:absolute" from="5486,231" to="5657,231" stroked="true" strokeweight=".12pt" strokecolor="#000000"/>
            <v:line style="position:absolute" from="5486,234" to="5657,234" stroked="true" strokeweight=".12pt" strokecolor="#000000"/>
            <v:line style="position:absolute" from="5486,236" to="5657,236" stroked="true" strokeweight=".12pt" strokecolor="#000000"/>
            <v:line style="position:absolute" from="5486,238" to="5657,238" stroked="true" strokeweight=".12pt" strokecolor="#000000"/>
            <v:line style="position:absolute" from="5486,241" to="5657,241" stroked="true" strokeweight=".12pt" strokecolor="#000000"/>
            <v:line style="position:absolute" from="5486,243" to="5657,243" stroked="true" strokeweight=".12pt" strokecolor="#000000"/>
            <v:line style="position:absolute" from="5486,246" to="5657,246" stroked="true" strokeweight=".12pt" strokecolor="#000000"/>
            <v:line style="position:absolute" from="5486,248" to="5657,248" stroked="true" strokeweight=".12pt" strokecolor="#000000"/>
            <v:line style="position:absolute" from="5657,231" to="6955,231" stroked="true" strokeweight=".12pt" strokecolor="#000000"/>
            <v:line style="position:absolute" from="5657,234" to="6955,234" stroked="true" strokeweight=".12pt" strokecolor="#000000"/>
            <v:line style="position:absolute" from="5657,236" to="6955,236" stroked="true" strokeweight=".12pt" strokecolor="#000000"/>
            <v:line style="position:absolute" from="5657,238" to="6955,238" stroked="true" strokeweight=".12pt" strokecolor="#000000"/>
            <v:line style="position:absolute" from="5657,241" to="6955,241" stroked="true" strokeweight=".12pt" strokecolor="#000000"/>
            <v:line style="position:absolute" from="5657,243" to="6955,243" stroked="true" strokeweight=".12pt" strokecolor="#000000"/>
            <v:line style="position:absolute" from="5657,246" to="6955,246" stroked="true" strokeweight=".12pt" strokecolor="#000000"/>
            <v:line style="position:absolute" from="5657,248" to="6955,248" stroked="true" strokeweight=".12pt" strokecolor="#000000"/>
            <v:line style="position:absolute" from="6955,231" to="8254,231" stroked="true" strokeweight=".12pt" strokecolor="#000000"/>
            <v:line style="position:absolute" from="6955,234" to="8254,234" stroked="true" strokeweight=".12pt" strokecolor="#000000"/>
            <v:line style="position:absolute" from="6955,236" to="8254,236" stroked="true" strokeweight=".12pt" strokecolor="#000000"/>
            <v:line style="position:absolute" from="6955,238" to="8254,238" stroked="true" strokeweight=".12pt" strokecolor="#000000"/>
            <v:line style="position:absolute" from="6955,241" to="8254,241" stroked="true" strokeweight=".12pt" strokecolor="#000000"/>
            <v:line style="position:absolute" from="6955,243" to="8254,243" stroked="true" strokeweight=".12pt" strokecolor="#000000"/>
            <v:line style="position:absolute" from="6955,246" to="8254,246" stroked="true" strokeweight=".12pt" strokecolor="#000000"/>
            <v:line style="position:absolute" from="6955,248" to="8254,248" stroked="true" strokeweight=".12pt" strokecolor="#000000"/>
            <v:line style="position:absolute" from="8254,231" to="8424,231" stroked="true" strokeweight=".12pt" strokecolor="#000000"/>
            <v:line style="position:absolute" from="8254,234" to="8424,234" stroked="true" strokeweight=".12pt" strokecolor="#000000"/>
            <v:line style="position:absolute" from="8254,236" to="8424,236" stroked="true" strokeweight=".12pt" strokecolor="#000000"/>
            <v:line style="position:absolute" from="8254,238" to="8424,238" stroked="true" strokeweight=".12pt" strokecolor="#000000"/>
            <v:line style="position:absolute" from="8254,241" to="8424,241" stroked="true" strokeweight=".12pt" strokecolor="#000000"/>
            <v:line style="position:absolute" from="8254,243" to="8424,243" stroked="true" strokeweight=".12pt" strokecolor="#000000"/>
            <v:line style="position:absolute" from="8254,246" to="8424,246" stroked="true" strokeweight=".12pt" strokecolor="#000000"/>
            <v:line style="position:absolute" from="8254,248" to="8424,248" stroked="true" strokeweight=".12pt" strokecolor="#000000"/>
            <v:line style="position:absolute" from="8424,231" to="9722,231" stroked="true" strokeweight=".12pt" strokecolor="#000000"/>
            <v:line style="position:absolute" from="8424,234" to="9722,234" stroked="true" strokeweight=".12pt" strokecolor="#000000"/>
            <v:line style="position:absolute" from="8424,236" to="9722,236" stroked="true" strokeweight=".12pt" strokecolor="#000000"/>
            <v:line style="position:absolute" from="8424,238" to="9722,238" stroked="true" strokeweight=".12pt" strokecolor="#000000"/>
            <v:line style="position:absolute" from="8424,241" to="9722,241" stroked="true" strokeweight=".12pt" strokecolor="#000000"/>
            <v:line style="position:absolute" from="8424,243" to="9722,243" stroked="true" strokeweight=".12pt" strokecolor="#000000"/>
            <v:line style="position:absolute" from="8424,246" to="9722,246" stroked="true" strokeweight=".12pt" strokecolor="#000000"/>
            <v:line style="position:absolute" from="8424,248" to="9722,248" stroked="true" strokeweight=".12pt" strokecolor="#000000"/>
            <v:line style="position:absolute" from="9722,231" to="11021,231" stroked="true" strokeweight=".12pt" strokecolor="#000000"/>
            <v:line style="position:absolute" from="9722,234" to="11021,234" stroked="true" strokeweight=".12pt" strokecolor="#000000"/>
            <v:line style="position:absolute" from="9722,236" to="11021,236" stroked="true" strokeweight=".12pt" strokecolor="#000000"/>
            <v:line style="position:absolute" from="9722,238" to="11021,238" stroked="true" strokeweight=".12pt" strokecolor="#000000"/>
            <v:line style="position:absolute" from="9722,241" to="11021,241" stroked="true" strokeweight=".12pt" strokecolor="#000000"/>
            <v:line style="position:absolute" from="9722,243" to="11021,243" stroked="true" strokeweight=".12pt" strokecolor="#000000"/>
            <v:line style="position:absolute" from="9722,246" to="11021,246" stroked="true" strokeweight=".12pt" strokecolor="#000000"/>
            <v:line style="position:absolute" from="9722,248" to="11021,248" stroked="true" strokeweight=".12pt" strokecolor="#000000"/>
            <w10:wrap type="none"/>
          </v:group>
        </w:pict>
      </w:r>
      <w:r>
        <w:rPr/>
        <w:pict>
          <v:group style="position:absolute;margin-left:274.244995pt;margin-top:28.406872pt;width:276.9pt;height:2.450pt;mso-position-horizontal-relative:page;mso-position-vertical-relative:paragraph;z-index:-1182304" coordorigin="5485,568" coordsize="5538,49">
            <v:line style="position:absolute" from="5486,570" to="5657,570" stroked="true" strokeweight=".12pt" strokecolor="#000000"/>
            <v:line style="position:absolute" from="5486,572" to="5657,572" stroked="true" strokeweight=".12pt" strokecolor="#000000"/>
            <v:line style="position:absolute" from="5486,574" to="5657,574" stroked="true" strokeweight=".12pt" strokecolor="#000000"/>
            <v:line style="position:absolute" from="5486,577" to="5657,577" stroked="true" strokeweight=".12pt" strokecolor="#000000"/>
            <v:line style="position:absolute" from="5486,579" to="5657,579" stroked="true" strokeweight=".12pt" strokecolor="#000000"/>
            <v:line style="position:absolute" from="5486,582" to="5657,582" stroked="true" strokeweight=".12pt" strokecolor="#000000"/>
            <v:line style="position:absolute" from="5486,603" to="5657,603" stroked="true" strokeweight=".12pt" strokecolor="#000000"/>
            <v:line style="position:absolute" from="5486,606" to="5657,606" stroked="true" strokeweight=".12pt" strokecolor="#000000"/>
            <v:line style="position:absolute" from="5486,608" to="5657,608" stroked="true" strokeweight=".12pt" strokecolor="#000000"/>
            <v:line style="position:absolute" from="5486,610" to="5657,610" stroked="true" strokeweight=".12pt" strokecolor="#000000"/>
            <v:line style="position:absolute" from="5486,613" to="5657,613" stroked="true" strokeweight=".12pt" strokecolor="#000000"/>
            <v:line style="position:absolute" from="5486,615" to="5657,615" stroked="true" strokeweight=".12pt" strokecolor="#000000"/>
            <v:line style="position:absolute" from="5657,570" to="6955,570" stroked="true" strokeweight=".12pt" strokecolor="#000000"/>
            <v:line style="position:absolute" from="5657,572" to="6955,572" stroked="true" strokeweight=".12pt" strokecolor="#000000"/>
            <v:line style="position:absolute" from="5657,574" to="6955,574" stroked="true" strokeweight=".12pt" strokecolor="#000000"/>
            <v:line style="position:absolute" from="5657,577" to="6955,577" stroked="true" strokeweight=".12pt" strokecolor="#000000"/>
            <v:line style="position:absolute" from="5657,579" to="6955,579" stroked="true" strokeweight=".12pt" strokecolor="#000000"/>
            <v:line style="position:absolute" from="5657,582" to="6955,582" stroked="true" strokeweight=".12pt" strokecolor="#000000"/>
            <v:line style="position:absolute" from="5657,603" to="6955,603" stroked="true" strokeweight=".12pt" strokecolor="#000000"/>
            <v:line style="position:absolute" from="5657,606" to="6955,606" stroked="true" strokeweight=".12pt" strokecolor="#000000"/>
            <v:line style="position:absolute" from="5657,608" to="6955,608" stroked="true" strokeweight=".12pt" strokecolor="#000000"/>
            <v:line style="position:absolute" from="5657,610" to="6955,610" stroked="true" strokeweight=".12pt" strokecolor="#000000"/>
            <v:line style="position:absolute" from="5657,613" to="6955,613" stroked="true" strokeweight=".12pt" strokecolor="#000000"/>
            <v:line style="position:absolute" from="5657,615" to="6955,615" stroked="true" strokeweight=".12pt" strokecolor="#000000"/>
            <v:line style="position:absolute" from="6955,570" to="8254,570" stroked="true" strokeweight=".12pt" strokecolor="#000000"/>
            <v:line style="position:absolute" from="6955,572" to="8254,572" stroked="true" strokeweight=".12pt" strokecolor="#000000"/>
            <v:line style="position:absolute" from="6955,574" to="8254,574" stroked="true" strokeweight=".12pt" strokecolor="#000000"/>
            <v:line style="position:absolute" from="6955,577" to="8254,577" stroked="true" strokeweight=".12pt" strokecolor="#000000"/>
            <v:line style="position:absolute" from="6955,579" to="8254,579" stroked="true" strokeweight=".12pt" strokecolor="#000000"/>
            <v:line style="position:absolute" from="6955,582" to="8254,582" stroked="true" strokeweight=".12pt" strokecolor="#000000"/>
            <v:line style="position:absolute" from="6955,603" to="8254,603" stroked="true" strokeweight=".12pt" strokecolor="#000000"/>
            <v:line style="position:absolute" from="6955,606" to="8254,606" stroked="true" strokeweight=".12pt" strokecolor="#000000"/>
            <v:line style="position:absolute" from="6955,608" to="8254,608" stroked="true" strokeweight=".12pt" strokecolor="#000000"/>
            <v:line style="position:absolute" from="6955,610" to="8254,610" stroked="true" strokeweight=".12pt" strokecolor="#000000"/>
            <v:line style="position:absolute" from="6955,613" to="8254,613" stroked="true" strokeweight=".12pt" strokecolor="#000000"/>
            <v:line style="position:absolute" from="6955,615" to="8254,615" stroked="true" strokeweight=".12pt" strokecolor="#000000"/>
            <v:line style="position:absolute" from="8254,570" to="8424,570" stroked="true" strokeweight=".12pt" strokecolor="#000000"/>
            <v:line style="position:absolute" from="8254,572" to="8424,572" stroked="true" strokeweight=".12pt" strokecolor="#000000"/>
            <v:line style="position:absolute" from="8254,574" to="8424,574" stroked="true" strokeweight=".12pt" strokecolor="#000000"/>
            <v:line style="position:absolute" from="8254,577" to="8424,577" stroked="true" strokeweight=".12pt" strokecolor="#000000"/>
            <v:line style="position:absolute" from="8254,579" to="8424,579" stroked="true" strokeweight=".12pt" strokecolor="#000000"/>
            <v:line style="position:absolute" from="8254,582" to="8424,582" stroked="true" strokeweight=".12pt" strokecolor="#000000"/>
            <v:line style="position:absolute" from="8254,603" to="8424,603" stroked="true" strokeweight=".12pt" strokecolor="#000000"/>
            <v:line style="position:absolute" from="8254,606" to="8424,606" stroked="true" strokeweight=".12pt" strokecolor="#000000"/>
            <v:line style="position:absolute" from="8254,608" to="8424,608" stroked="true" strokeweight=".12pt" strokecolor="#000000"/>
            <v:line style="position:absolute" from="8254,610" to="8424,610" stroked="true" strokeweight=".12pt" strokecolor="#000000"/>
            <v:line style="position:absolute" from="8254,613" to="8424,613" stroked="true" strokeweight=".12pt" strokecolor="#000000"/>
            <v:line style="position:absolute" from="8254,615" to="8424,615" stroked="true" strokeweight=".12pt" strokecolor="#000000"/>
            <v:line style="position:absolute" from="8424,570" to="9722,570" stroked="true" strokeweight=".12pt" strokecolor="#000000"/>
            <v:line style="position:absolute" from="8424,572" to="9722,572" stroked="true" strokeweight=".12pt" strokecolor="#000000"/>
            <v:line style="position:absolute" from="8424,574" to="9722,574" stroked="true" strokeweight=".12pt" strokecolor="#000000"/>
            <v:line style="position:absolute" from="8424,577" to="9722,577" stroked="true" strokeweight=".12pt" strokecolor="#000000"/>
            <v:line style="position:absolute" from="8424,579" to="9722,579" stroked="true" strokeweight=".12pt" strokecolor="#000000"/>
            <v:line style="position:absolute" from="8424,582" to="9722,582" stroked="true" strokeweight=".12pt" strokecolor="#000000"/>
            <v:line style="position:absolute" from="8424,603" to="9722,603" stroked="true" strokeweight=".12pt" strokecolor="#000000"/>
            <v:line style="position:absolute" from="8424,606" to="9722,606" stroked="true" strokeweight=".12pt" strokecolor="#000000"/>
            <v:line style="position:absolute" from="8424,608" to="9722,608" stroked="true" strokeweight=".12pt" strokecolor="#000000"/>
            <v:line style="position:absolute" from="8424,610" to="9722,610" stroked="true" strokeweight=".12pt" strokecolor="#000000"/>
            <v:line style="position:absolute" from="8424,613" to="9722,613" stroked="true" strokeweight=".12pt" strokecolor="#000000"/>
            <v:line style="position:absolute" from="8424,615" to="9722,615" stroked="true" strokeweight=".12pt" strokecolor="#000000"/>
            <v:line style="position:absolute" from="9722,570" to="11021,570" stroked="true" strokeweight=".12pt" strokecolor="#000000"/>
            <v:line style="position:absolute" from="9722,572" to="11021,572" stroked="true" strokeweight=".12pt" strokecolor="#000000"/>
            <v:line style="position:absolute" from="9722,574" to="11021,574" stroked="true" strokeweight=".12pt" strokecolor="#000000"/>
            <v:line style="position:absolute" from="9722,577" to="11021,577" stroked="true" strokeweight=".12pt" strokecolor="#000000"/>
            <v:line style="position:absolute" from="9722,579" to="11021,579" stroked="true" strokeweight=".12pt" strokecolor="#000000"/>
            <v:line style="position:absolute" from="9722,582" to="11021,582" stroked="true" strokeweight=".12pt" strokecolor="#000000"/>
            <v:line style="position:absolute" from="9722,603" to="11021,603" stroked="true" strokeweight=".12pt" strokecolor="#000000"/>
            <v:line style="position:absolute" from="9722,606" to="11021,606" stroked="true" strokeweight=".12pt" strokecolor="#000000"/>
            <v:line style="position:absolute" from="9722,608" to="11021,608" stroked="true" strokeweight=".12pt" strokecolor="#000000"/>
            <v:line style="position:absolute" from="9722,610" to="11021,610" stroked="true" strokeweight=".12pt" strokecolor="#000000"/>
            <v:line style="position:absolute" from="9722,613" to="11021,613" stroked="true" strokeweight=".12pt" strokecolor="#000000"/>
            <v:line style="position:absolute" from="9722,615" to="11021,615" stroked="true" strokeweight=".12pt" strokecolor="#000000"/>
            <w10:wrap type="none"/>
          </v:group>
        </w:pict>
      </w:r>
      <w:r>
        <w:rPr>
          <w:sz w:val="18"/>
        </w:rPr>
        <w:t>Later than</w:t>
      </w:r>
      <w:r>
        <w:rPr>
          <w:spacing w:val="-1"/>
          <w:sz w:val="18"/>
        </w:rPr>
        <w:t> </w:t>
      </w:r>
      <w:r>
        <w:rPr>
          <w:sz w:val="18"/>
        </w:rPr>
        <w:t>five</w:t>
      </w:r>
      <w:r>
        <w:rPr>
          <w:spacing w:val="-1"/>
          <w:sz w:val="18"/>
        </w:rPr>
        <w:t> </w:t>
      </w:r>
      <w:r>
        <w:rPr>
          <w:sz w:val="18"/>
        </w:rPr>
        <w:t>years</w:t>
        <w:tab/>
        <w:tab/>
      </w:r>
      <w:r>
        <w:rPr>
          <w:b/>
          <w:sz w:val="18"/>
        </w:rPr>
        <w:t>-</w:t>
        <w:tab/>
        <w:tab/>
      </w:r>
      <w:r>
        <w:rPr>
          <w:sz w:val="18"/>
        </w:rPr>
        <w:t>-</w:t>
        <w:tab/>
        <w:tab/>
      </w:r>
      <w:r>
        <w:rPr>
          <w:b/>
          <w:sz w:val="18"/>
        </w:rPr>
        <w:t>-</w:t>
        <w:tab/>
        <w:tab/>
      </w:r>
      <w:r>
        <w:rPr>
          <w:sz w:val="18"/>
        </w:rPr>
        <w:t>- </w:t>
      </w:r>
      <w:bookmarkStart w:name="(b) Lease commitments" w:id="128"/>
      <w:bookmarkEnd w:id="128"/>
      <w:r>
        <w:rPr>
          <w:position w:val="3"/>
          <w:sz w:val="18"/>
        </w:rPr>
      </w:r>
      <w:r>
        <w:rPr>
          <w:position w:val="3"/>
          <w:sz w:val="18"/>
        </w:rPr>
        <w:t>Total</w:t>
        <w:tab/>
      </w:r>
      <w:r>
        <w:rPr>
          <w:b/>
          <w:sz w:val="18"/>
        </w:rPr>
        <w:t>54,589</w:t>
        <w:tab/>
      </w:r>
      <w:r>
        <w:rPr>
          <w:sz w:val="18"/>
        </w:rPr>
        <w:t>49,528</w:t>
        <w:tab/>
      </w:r>
      <w:r>
        <w:rPr>
          <w:b/>
          <w:sz w:val="18"/>
        </w:rPr>
        <w:t>54,567</w:t>
        <w:tab/>
      </w:r>
      <w:r>
        <w:rPr>
          <w:sz w:val="18"/>
        </w:rPr>
        <w:t>49,061</w:t>
      </w:r>
    </w:p>
    <w:p>
      <w:pPr>
        <w:pStyle w:val="BodyText"/>
        <w:rPr>
          <w:sz w:val="10"/>
        </w:rPr>
      </w:pPr>
    </w:p>
    <w:p>
      <w:pPr>
        <w:pStyle w:val="BodyText"/>
        <w:spacing w:before="77"/>
        <w:ind w:left="1070" w:right="653"/>
      </w:pPr>
      <w:r>
        <w:rPr/>
        <w:t>The above amounts included commitments for capital expenditure on joint operations of $8.7M (2016: $11.8M) payable within one year.</w:t>
      </w:r>
    </w:p>
    <w:p>
      <w:pPr>
        <w:pStyle w:val="BodyText"/>
        <w:spacing w:before="7"/>
        <w:rPr>
          <w:sz w:val="26"/>
        </w:rPr>
      </w:pPr>
    </w:p>
    <w:p>
      <w:pPr>
        <w:pStyle w:val="ListParagraph"/>
        <w:numPr>
          <w:ilvl w:val="1"/>
          <w:numId w:val="33"/>
        </w:numPr>
        <w:tabs>
          <w:tab w:pos="1071" w:val="left" w:leader="none"/>
        </w:tabs>
        <w:spacing w:line="240" w:lineRule="auto" w:before="0" w:after="0"/>
        <w:ind w:left="1070" w:right="0" w:hanging="566"/>
        <w:jc w:val="left"/>
        <w:rPr>
          <w:sz w:val="18"/>
        </w:rPr>
      </w:pPr>
      <w:r>
        <w:rPr>
          <w:sz w:val="18"/>
        </w:rPr>
        <w:t>Lease commitments</w:t>
      </w:r>
    </w:p>
    <w:p>
      <w:pPr>
        <w:pStyle w:val="BodyText"/>
        <w:spacing w:before="4"/>
        <w:rPr>
          <w:sz w:val="25"/>
        </w:rPr>
      </w:pPr>
    </w:p>
    <w:p>
      <w:pPr>
        <w:pStyle w:val="Heading9"/>
        <w:ind w:left="1070" w:right="653"/>
      </w:pPr>
      <w:r>
        <w:rPr/>
        <w:t>Operating Leases</w:t>
      </w:r>
    </w:p>
    <w:p>
      <w:pPr>
        <w:pStyle w:val="BodyText"/>
        <w:spacing w:before="11"/>
        <w:rPr>
          <w:b/>
          <w:sz w:val="24"/>
        </w:rPr>
      </w:pPr>
    </w:p>
    <w:p>
      <w:pPr>
        <w:pStyle w:val="BodyText"/>
        <w:ind w:left="1070" w:right="654"/>
      </w:pPr>
      <w:r>
        <w:rPr/>
        <w:t>The University leases computing equipment, printing equipment and building office space under operating leases.</w:t>
      </w:r>
    </w:p>
    <w:p>
      <w:pPr>
        <w:pStyle w:val="BodyText"/>
        <w:spacing w:before="11"/>
        <w:rPr>
          <w:sz w:val="24"/>
        </w:rPr>
      </w:pPr>
    </w:p>
    <w:p>
      <w:pPr>
        <w:pStyle w:val="BodyText"/>
        <w:ind w:left="1070" w:right="653"/>
      </w:pPr>
      <w:r>
        <w:rPr/>
        <w:t>Commitments for minimum lease payments in relation to non-cancellable operating leases are payable as follows:</w:t>
      </w:r>
    </w:p>
    <w:p>
      <w:pPr>
        <w:pStyle w:val="Heading9"/>
        <w:tabs>
          <w:tab w:pos="8925" w:val="left" w:leader="none"/>
        </w:tabs>
        <w:spacing w:before="33" w:after="36"/>
        <w:ind w:left="5870" w:right="653"/>
      </w:pPr>
      <w:r>
        <w:rPr/>
        <w:t>Consolidated</w:t>
        <w:tab/>
        <w:t>Parent</w:t>
      </w:r>
    </w:p>
    <w:tbl>
      <w:tblPr>
        <w:tblW w:w="0" w:type="auto"/>
        <w:jc w:val="left"/>
        <w:tblInd w:w="106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81"/>
        <w:gridCol w:w="1630"/>
        <w:gridCol w:w="1391"/>
        <w:gridCol w:w="1376"/>
        <w:gridCol w:w="1138"/>
      </w:tblGrid>
      <w:tr>
        <w:trPr>
          <w:trHeight w:val="566" w:hRule="exact"/>
        </w:trPr>
        <w:tc>
          <w:tcPr>
            <w:tcW w:w="3981" w:type="dxa"/>
          </w:tcPr>
          <w:p>
            <w:pPr/>
          </w:p>
        </w:tc>
        <w:tc>
          <w:tcPr>
            <w:tcW w:w="1630" w:type="dxa"/>
          </w:tcPr>
          <w:p>
            <w:pPr>
              <w:pStyle w:val="TableParagraph"/>
              <w:spacing w:before="30"/>
              <w:ind w:left="576" w:right="569"/>
              <w:jc w:val="center"/>
              <w:rPr>
                <w:b/>
                <w:sz w:val="18"/>
              </w:rPr>
            </w:pPr>
            <w:r>
              <w:rPr>
                <w:b/>
                <w:sz w:val="18"/>
              </w:rPr>
              <w:t>2017</w:t>
            </w:r>
          </w:p>
          <w:p>
            <w:pPr>
              <w:pStyle w:val="TableParagraph"/>
              <w:spacing w:before="66"/>
              <w:ind w:left="576" w:right="569"/>
              <w:jc w:val="center"/>
              <w:rPr>
                <w:b/>
                <w:sz w:val="18"/>
              </w:rPr>
            </w:pPr>
            <w:r>
              <w:rPr>
                <w:b/>
                <w:sz w:val="18"/>
              </w:rPr>
              <w:t>$'000</w:t>
            </w:r>
          </w:p>
        </w:tc>
        <w:tc>
          <w:tcPr>
            <w:tcW w:w="1391" w:type="dxa"/>
          </w:tcPr>
          <w:p>
            <w:pPr>
              <w:pStyle w:val="TableParagraph"/>
              <w:spacing w:before="30"/>
              <w:ind w:left="271"/>
              <w:rPr>
                <w:b/>
                <w:sz w:val="18"/>
              </w:rPr>
            </w:pPr>
            <w:r>
              <w:rPr>
                <w:b/>
                <w:sz w:val="18"/>
              </w:rPr>
              <w:t>2016</w:t>
            </w:r>
          </w:p>
          <w:p>
            <w:pPr>
              <w:pStyle w:val="TableParagraph"/>
              <w:spacing w:before="66"/>
              <w:ind w:left="249"/>
              <w:rPr>
                <w:b/>
                <w:sz w:val="18"/>
              </w:rPr>
            </w:pPr>
            <w:r>
              <w:rPr>
                <w:b/>
                <w:sz w:val="18"/>
              </w:rPr>
              <w:t>$'000</w:t>
            </w:r>
          </w:p>
        </w:tc>
        <w:tc>
          <w:tcPr>
            <w:tcW w:w="1376" w:type="dxa"/>
          </w:tcPr>
          <w:p>
            <w:pPr>
              <w:pStyle w:val="TableParagraph"/>
              <w:spacing w:before="30"/>
              <w:ind w:left="363"/>
              <w:rPr>
                <w:b/>
                <w:sz w:val="18"/>
              </w:rPr>
            </w:pPr>
            <w:r>
              <w:rPr>
                <w:b/>
                <w:sz w:val="18"/>
              </w:rPr>
              <w:t>2017</w:t>
            </w:r>
          </w:p>
          <w:p>
            <w:pPr>
              <w:pStyle w:val="TableParagraph"/>
              <w:spacing w:before="66"/>
              <w:ind w:left="342"/>
              <w:rPr>
                <w:b/>
                <w:sz w:val="18"/>
              </w:rPr>
            </w:pPr>
            <w:r>
              <w:rPr>
                <w:b/>
                <w:sz w:val="18"/>
              </w:rPr>
              <w:t>$'000</w:t>
            </w:r>
          </w:p>
        </w:tc>
        <w:tc>
          <w:tcPr>
            <w:tcW w:w="1138" w:type="dxa"/>
          </w:tcPr>
          <w:p>
            <w:pPr>
              <w:pStyle w:val="TableParagraph"/>
              <w:spacing w:before="30"/>
              <w:ind w:left="271"/>
              <w:rPr>
                <w:b/>
                <w:sz w:val="18"/>
              </w:rPr>
            </w:pPr>
            <w:r>
              <w:rPr>
                <w:b/>
                <w:sz w:val="18"/>
              </w:rPr>
              <w:t>2016</w:t>
            </w:r>
          </w:p>
          <w:p>
            <w:pPr>
              <w:pStyle w:val="TableParagraph"/>
              <w:spacing w:before="66"/>
              <w:ind w:left="249"/>
              <w:rPr>
                <w:b/>
                <w:sz w:val="18"/>
              </w:rPr>
            </w:pPr>
            <w:r>
              <w:rPr>
                <w:b/>
                <w:sz w:val="18"/>
              </w:rPr>
              <w:t>$'000</w:t>
            </w:r>
          </w:p>
        </w:tc>
      </w:tr>
      <w:tr>
        <w:trPr>
          <w:trHeight w:val="282" w:hRule="exact"/>
        </w:trPr>
        <w:tc>
          <w:tcPr>
            <w:tcW w:w="3981" w:type="dxa"/>
          </w:tcPr>
          <w:p>
            <w:pPr>
              <w:pStyle w:val="TableParagraph"/>
              <w:spacing w:before="38"/>
              <w:ind w:left="35" w:right="750"/>
              <w:rPr>
                <w:sz w:val="18"/>
              </w:rPr>
            </w:pPr>
            <w:r>
              <w:rPr>
                <w:sz w:val="18"/>
              </w:rPr>
              <w:t>Within one year</w:t>
            </w:r>
          </w:p>
        </w:tc>
        <w:tc>
          <w:tcPr>
            <w:tcW w:w="1630" w:type="dxa"/>
          </w:tcPr>
          <w:p>
            <w:pPr>
              <w:pStyle w:val="TableParagraph"/>
              <w:spacing w:before="36"/>
              <w:ind w:right="247"/>
              <w:jc w:val="right"/>
              <w:rPr>
                <w:b/>
                <w:sz w:val="18"/>
              </w:rPr>
            </w:pPr>
            <w:r>
              <w:rPr>
                <w:b/>
                <w:w w:val="95"/>
                <w:sz w:val="18"/>
              </w:rPr>
              <w:t>25,963</w:t>
            </w:r>
          </w:p>
        </w:tc>
        <w:tc>
          <w:tcPr>
            <w:tcW w:w="1391" w:type="dxa"/>
          </w:tcPr>
          <w:p>
            <w:pPr>
              <w:pStyle w:val="TableParagraph"/>
              <w:spacing w:before="36"/>
              <w:ind w:right="340"/>
              <w:jc w:val="right"/>
              <w:rPr>
                <w:sz w:val="18"/>
              </w:rPr>
            </w:pPr>
            <w:r>
              <w:rPr>
                <w:w w:val="95"/>
                <w:sz w:val="18"/>
              </w:rPr>
              <w:t>10,731</w:t>
            </w:r>
          </w:p>
        </w:tc>
        <w:tc>
          <w:tcPr>
            <w:tcW w:w="1376" w:type="dxa"/>
          </w:tcPr>
          <w:p>
            <w:pPr>
              <w:pStyle w:val="TableParagraph"/>
              <w:spacing w:before="36"/>
              <w:ind w:right="247"/>
              <w:jc w:val="right"/>
              <w:rPr>
                <w:b/>
                <w:sz w:val="18"/>
              </w:rPr>
            </w:pPr>
            <w:r>
              <w:rPr>
                <w:b/>
                <w:w w:val="95"/>
                <w:sz w:val="18"/>
              </w:rPr>
              <w:t>25,618</w:t>
            </w:r>
          </w:p>
        </w:tc>
        <w:tc>
          <w:tcPr>
            <w:tcW w:w="1138" w:type="dxa"/>
          </w:tcPr>
          <w:p>
            <w:pPr>
              <w:pStyle w:val="TableParagraph"/>
              <w:spacing w:before="36"/>
              <w:ind w:right="87"/>
              <w:jc w:val="right"/>
              <w:rPr>
                <w:sz w:val="18"/>
              </w:rPr>
            </w:pPr>
            <w:r>
              <w:rPr>
                <w:w w:val="95"/>
                <w:sz w:val="18"/>
              </w:rPr>
              <w:t>10,209</w:t>
            </w:r>
          </w:p>
        </w:tc>
      </w:tr>
      <w:tr>
        <w:trPr>
          <w:trHeight w:val="264" w:hRule="exact"/>
        </w:trPr>
        <w:tc>
          <w:tcPr>
            <w:tcW w:w="3981" w:type="dxa"/>
          </w:tcPr>
          <w:p>
            <w:pPr>
              <w:pStyle w:val="TableParagraph"/>
              <w:spacing w:before="20"/>
              <w:ind w:left="35" w:right="750"/>
              <w:rPr>
                <w:sz w:val="18"/>
              </w:rPr>
            </w:pPr>
            <w:r>
              <w:rPr>
                <w:sz w:val="18"/>
              </w:rPr>
              <w:t>Between one year and five years</w:t>
            </w:r>
          </w:p>
        </w:tc>
        <w:tc>
          <w:tcPr>
            <w:tcW w:w="1630" w:type="dxa"/>
          </w:tcPr>
          <w:p>
            <w:pPr>
              <w:pStyle w:val="TableParagraph"/>
              <w:spacing w:before="18"/>
              <w:ind w:right="247"/>
              <w:jc w:val="right"/>
              <w:rPr>
                <w:b/>
                <w:sz w:val="18"/>
              </w:rPr>
            </w:pPr>
            <w:r>
              <w:rPr>
                <w:b/>
                <w:w w:val="95"/>
                <w:sz w:val="18"/>
              </w:rPr>
              <w:t>84,395</w:t>
            </w:r>
          </w:p>
        </w:tc>
        <w:tc>
          <w:tcPr>
            <w:tcW w:w="1391" w:type="dxa"/>
          </w:tcPr>
          <w:p>
            <w:pPr>
              <w:pStyle w:val="TableParagraph"/>
              <w:spacing w:before="18"/>
              <w:ind w:right="340"/>
              <w:jc w:val="right"/>
              <w:rPr>
                <w:sz w:val="18"/>
              </w:rPr>
            </w:pPr>
            <w:r>
              <w:rPr>
                <w:w w:val="95"/>
                <w:sz w:val="18"/>
              </w:rPr>
              <w:t>11,911</w:t>
            </w:r>
          </w:p>
        </w:tc>
        <w:tc>
          <w:tcPr>
            <w:tcW w:w="1376" w:type="dxa"/>
          </w:tcPr>
          <w:p>
            <w:pPr>
              <w:pStyle w:val="TableParagraph"/>
              <w:spacing w:before="18"/>
              <w:ind w:right="247"/>
              <w:jc w:val="right"/>
              <w:rPr>
                <w:b/>
                <w:sz w:val="18"/>
              </w:rPr>
            </w:pPr>
            <w:r>
              <w:rPr>
                <w:b/>
                <w:w w:val="95"/>
                <w:sz w:val="18"/>
              </w:rPr>
              <w:t>83,922</w:t>
            </w:r>
          </w:p>
        </w:tc>
        <w:tc>
          <w:tcPr>
            <w:tcW w:w="1138" w:type="dxa"/>
          </w:tcPr>
          <w:p>
            <w:pPr>
              <w:pStyle w:val="TableParagraph"/>
              <w:spacing w:before="18"/>
              <w:ind w:right="87"/>
              <w:jc w:val="right"/>
              <w:rPr>
                <w:sz w:val="18"/>
              </w:rPr>
            </w:pPr>
            <w:r>
              <w:rPr>
                <w:w w:val="95"/>
                <w:sz w:val="18"/>
              </w:rPr>
              <w:t>11,683</w:t>
            </w:r>
          </w:p>
        </w:tc>
      </w:tr>
      <w:tr>
        <w:trPr>
          <w:trHeight w:val="260" w:hRule="exact"/>
        </w:trPr>
        <w:tc>
          <w:tcPr>
            <w:tcW w:w="3981" w:type="dxa"/>
          </w:tcPr>
          <w:p>
            <w:pPr>
              <w:pStyle w:val="TableParagraph"/>
              <w:spacing w:before="20"/>
              <w:ind w:left="35" w:right="750"/>
              <w:rPr>
                <w:sz w:val="18"/>
              </w:rPr>
            </w:pPr>
            <w:r>
              <w:rPr>
                <w:sz w:val="18"/>
              </w:rPr>
              <w:t>Later than five years</w:t>
            </w:r>
          </w:p>
        </w:tc>
        <w:tc>
          <w:tcPr>
            <w:tcW w:w="1630" w:type="dxa"/>
            <w:tcBorders>
              <w:bottom w:val="single" w:sz="1" w:space="0" w:color="000000"/>
            </w:tcBorders>
          </w:tcPr>
          <w:p>
            <w:pPr>
              <w:pStyle w:val="TableParagraph"/>
              <w:spacing w:before="18"/>
              <w:ind w:right="247"/>
              <w:jc w:val="right"/>
              <w:rPr>
                <w:b/>
                <w:sz w:val="18"/>
              </w:rPr>
            </w:pPr>
            <w:r>
              <w:rPr>
                <w:b/>
                <w:w w:val="95"/>
                <w:sz w:val="18"/>
              </w:rPr>
              <w:t>204,963</w:t>
            </w:r>
          </w:p>
        </w:tc>
        <w:tc>
          <w:tcPr>
            <w:tcW w:w="1391" w:type="dxa"/>
            <w:tcBorders>
              <w:bottom w:val="single" w:sz="1" w:space="0" w:color="000000"/>
            </w:tcBorders>
          </w:tcPr>
          <w:p>
            <w:pPr>
              <w:pStyle w:val="TableParagraph"/>
              <w:spacing w:before="18"/>
              <w:ind w:right="340"/>
              <w:jc w:val="right"/>
              <w:rPr>
                <w:sz w:val="18"/>
              </w:rPr>
            </w:pPr>
            <w:r>
              <w:rPr>
                <w:w w:val="95"/>
                <w:sz w:val="18"/>
              </w:rPr>
              <w:t>1,358</w:t>
            </w:r>
          </w:p>
        </w:tc>
        <w:tc>
          <w:tcPr>
            <w:tcW w:w="1376" w:type="dxa"/>
            <w:tcBorders>
              <w:bottom w:val="single" w:sz="1" w:space="0" w:color="000000"/>
            </w:tcBorders>
          </w:tcPr>
          <w:p>
            <w:pPr>
              <w:pStyle w:val="TableParagraph"/>
              <w:spacing w:before="18"/>
              <w:ind w:right="247"/>
              <w:jc w:val="right"/>
              <w:rPr>
                <w:b/>
                <w:sz w:val="18"/>
              </w:rPr>
            </w:pPr>
            <w:r>
              <w:rPr>
                <w:b/>
                <w:w w:val="95"/>
                <w:sz w:val="18"/>
              </w:rPr>
              <w:t>204,963</w:t>
            </w:r>
          </w:p>
        </w:tc>
        <w:tc>
          <w:tcPr>
            <w:tcW w:w="1138" w:type="dxa"/>
            <w:tcBorders>
              <w:bottom w:val="single" w:sz="1" w:space="0" w:color="000000"/>
            </w:tcBorders>
          </w:tcPr>
          <w:p>
            <w:pPr>
              <w:pStyle w:val="TableParagraph"/>
              <w:spacing w:before="18"/>
              <w:ind w:right="87"/>
              <w:jc w:val="right"/>
              <w:rPr>
                <w:sz w:val="18"/>
              </w:rPr>
            </w:pPr>
            <w:r>
              <w:rPr>
                <w:w w:val="95"/>
                <w:sz w:val="18"/>
              </w:rPr>
              <w:t>1,358</w:t>
            </w:r>
          </w:p>
        </w:tc>
      </w:tr>
      <w:tr>
        <w:trPr>
          <w:trHeight w:val="353" w:hRule="exact"/>
        </w:trPr>
        <w:tc>
          <w:tcPr>
            <w:tcW w:w="3981" w:type="dxa"/>
          </w:tcPr>
          <w:p>
            <w:pPr>
              <w:pStyle w:val="TableParagraph"/>
              <w:spacing w:before="98"/>
              <w:ind w:left="35" w:right="750"/>
              <w:rPr>
                <w:sz w:val="18"/>
              </w:rPr>
            </w:pPr>
            <w:r>
              <w:rPr>
                <w:sz w:val="18"/>
              </w:rPr>
              <w:t>Total future minimum lease payments</w:t>
            </w:r>
          </w:p>
        </w:tc>
        <w:tc>
          <w:tcPr>
            <w:tcW w:w="1630" w:type="dxa"/>
            <w:tcBorders>
              <w:top w:val="single" w:sz="1" w:space="0" w:color="000000"/>
              <w:bottom w:val="single" w:sz="1" w:space="0" w:color="000000"/>
            </w:tcBorders>
          </w:tcPr>
          <w:p>
            <w:pPr>
              <w:pStyle w:val="TableParagraph"/>
              <w:spacing w:before="124"/>
              <w:ind w:right="247"/>
              <w:jc w:val="right"/>
              <w:rPr>
                <w:b/>
                <w:sz w:val="18"/>
              </w:rPr>
            </w:pPr>
            <w:r>
              <w:rPr>
                <w:b/>
                <w:w w:val="95"/>
                <w:sz w:val="18"/>
              </w:rPr>
              <w:t>315,321</w:t>
            </w:r>
          </w:p>
        </w:tc>
        <w:tc>
          <w:tcPr>
            <w:tcW w:w="1391" w:type="dxa"/>
            <w:tcBorders>
              <w:top w:val="single" w:sz="1" w:space="0" w:color="000000"/>
              <w:bottom w:val="single" w:sz="1" w:space="0" w:color="000000"/>
            </w:tcBorders>
          </w:tcPr>
          <w:p>
            <w:pPr>
              <w:pStyle w:val="TableParagraph"/>
              <w:spacing w:before="124"/>
              <w:ind w:right="340"/>
              <w:jc w:val="right"/>
              <w:rPr>
                <w:sz w:val="18"/>
              </w:rPr>
            </w:pPr>
            <w:r>
              <w:rPr>
                <w:w w:val="95"/>
                <w:sz w:val="18"/>
              </w:rPr>
              <w:t>24,000</w:t>
            </w:r>
          </w:p>
        </w:tc>
        <w:tc>
          <w:tcPr>
            <w:tcW w:w="1376" w:type="dxa"/>
            <w:tcBorders>
              <w:top w:val="single" w:sz="1" w:space="0" w:color="000000"/>
              <w:bottom w:val="single" w:sz="1" w:space="0" w:color="000000"/>
            </w:tcBorders>
          </w:tcPr>
          <w:p>
            <w:pPr>
              <w:pStyle w:val="TableParagraph"/>
              <w:spacing w:before="124"/>
              <w:ind w:right="247"/>
              <w:jc w:val="right"/>
              <w:rPr>
                <w:b/>
                <w:sz w:val="18"/>
              </w:rPr>
            </w:pPr>
            <w:r>
              <w:rPr>
                <w:b/>
                <w:w w:val="95"/>
                <w:sz w:val="18"/>
              </w:rPr>
              <w:t>314,503</w:t>
            </w:r>
          </w:p>
        </w:tc>
        <w:tc>
          <w:tcPr>
            <w:tcW w:w="1138" w:type="dxa"/>
            <w:tcBorders>
              <w:top w:val="single" w:sz="1" w:space="0" w:color="000000"/>
              <w:bottom w:val="single" w:sz="1" w:space="0" w:color="000000"/>
            </w:tcBorders>
          </w:tcPr>
          <w:p>
            <w:pPr>
              <w:pStyle w:val="TableParagraph"/>
              <w:spacing w:before="124"/>
              <w:ind w:right="87"/>
              <w:jc w:val="right"/>
              <w:rPr>
                <w:sz w:val="18"/>
              </w:rPr>
            </w:pPr>
            <w:r>
              <w:rPr>
                <w:w w:val="95"/>
                <w:sz w:val="18"/>
              </w:rPr>
              <w:t>23,250</w:t>
            </w:r>
          </w:p>
        </w:tc>
      </w:tr>
    </w:tbl>
    <w:p>
      <w:pPr>
        <w:pStyle w:val="BodyText"/>
        <w:spacing w:before="5"/>
        <w:rPr>
          <w:b/>
          <w:sz w:val="20"/>
        </w:rPr>
      </w:pPr>
    </w:p>
    <w:p>
      <w:pPr>
        <w:pStyle w:val="BodyText"/>
        <w:spacing w:before="77"/>
        <w:ind w:left="1070" w:right="1246"/>
        <w:jc w:val="both"/>
      </w:pPr>
      <w:r>
        <w:rPr/>
        <w:t>In 2017, the University entered into a Commercial Lease agreement for the lease of the Parramatta CBD premises. The lease is for an initial term of 15 years, and the operating lease commitments are included above.</w:t>
      </w:r>
    </w:p>
    <w:p>
      <w:pPr>
        <w:spacing w:after="0"/>
        <w:jc w:val="both"/>
        <w:sectPr>
          <w:type w:val="continuous"/>
          <w:pgSz w:w="11910" w:h="16840"/>
          <w:pgMar w:top="1580" w:bottom="280" w:left="900" w:right="320"/>
        </w:sectPr>
      </w:pPr>
    </w:p>
    <w:p>
      <w:pPr>
        <w:pStyle w:val="BodyText"/>
        <w:spacing w:before="8"/>
        <w:rPr>
          <w:sz w:val="26"/>
        </w:rPr>
      </w:pPr>
    </w:p>
    <w:p>
      <w:pPr>
        <w:pStyle w:val="Heading9"/>
        <w:numPr>
          <w:ilvl w:val="0"/>
          <w:numId w:val="33"/>
        </w:numPr>
        <w:tabs>
          <w:tab w:pos="504" w:val="left" w:leader="none"/>
        </w:tabs>
        <w:spacing w:line="240" w:lineRule="auto" w:before="77" w:after="0"/>
        <w:ind w:left="504" w:right="0" w:hanging="394"/>
        <w:jc w:val="left"/>
      </w:pPr>
      <w:bookmarkStart w:name="34 Related Parties " w:id="129"/>
      <w:bookmarkEnd w:id="129"/>
      <w:r>
        <w:rPr>
          <w:b w:val="0"/>
        </w:rPr>
      </w:r>
      <w:bookmarkStart w:name="(a) Parent entities" w:id="130"/>
      <w:bookmarkEnd w:id="130"/>
      <w:r>
        <w:rPr>
          <w:b w:val="0"/>
        </w:rPr>
      </w:r>
      <w:bookmarkStart w:name="(a) Parent entities" w:id="131"/>
      <w:bookmarkEnd w:id="131"/>
      <w:r>
        <w:rPr/>
        <w:t>Related</w:t>
      </w:r>
      <w:r>
        <w:rPr>
          <w:spacing w:val="-1"/>
        </w:rPr>
        <w:t> </w:t>
      </w:r>
      <w:r>
        <w:rPr/>
        <w:t>Parties</w:t>
      </w:r>
    </w:p>
    <w:p>
      <w:pPr>
        <w:pStyle w:val="BodyText"/>
        <w:spacing w:before="7"/>
        <w:rPr>
          <w:b/>
          <w:sz w:val="26"/>
        </w:rPr>
      </w:pPr>
    </w:p>
    <w:p>
      <w:pPr>
        <w:pStyle w:val="ListParagraph"/>
        <w:numPr>
          <w:ilvl w:val="1"/>
          <w:numId w:val="33"/>
        </w:numPr>
        <w:tabs>
          <w:tab w:pos="1071" w:val="left" w:leader="none"/>
        </w:tabs>
        <w:spacing w:line="240" w:lineRule="auto" w:before="0" w:after="0"/>
        <w:ind w:left="1070" w:right="0" w:hanging="566"/>
        <w:jc w:val="left"/>
        <w:rPr>
          <w:sz w:val="18"/>
        </w:rPr>
      </w:pPr>
      <w:bookmarkStart w:name="(b) Subsidiaries" w:id="132"/>
      <w:bookmarkEnd w:id="132"/>
      <w:r>
        <w:rPr/>
      </w:r>
      <w:bookmarkStart w:name="(b) Subsidiaries" w:id="133"/>
      <w:bookmarkEnd w:id="133"/>
      <w:r>
        <w:rPr>
          <w:sz w:val="18"/>
        </w:rPr>
        <w:t>Parent</w:t>
      </w:r>
      <w:r>
        <w:rPr>
          <w:sz w:val="18"/>
        </w:rPr>
        <w:t> entities</w:t>
      </w:r>
    </w:p>
    <w:p>
      <w:pPr>
        <w:pStyle w:val="BodyText"/>
        <w:spacing w:before="4"/>
        <w:rPr>
          <w:sz w:val="25"/>
        </w:rPr>
      </w:pPr>
    </w:p>
    <w:p>
      <w:pPr>
        <w:pStyle w:val="BodyText"/>
        <w:ind w:left="1070" w:right="220"/>
      </w:pPr>
      <w:r>
        <w:rPr/>
        <w:t>The ultimate parent entity within the Group is Western Sydney University.</w:t>
      </w:r>
    </w:p>
    <w:p>
      <w:pPr>
        <w:pStyle w:val="BodyText"/>
        <w:spacing w:before="7"/>
        <w:rPr>
          <w:sz w:val="26"/>
        </w:rPr>
      </w:pPr>
    </w:p>
    <w:p>
      <w:pPr>
        <w:pStyle w:val="ListParagraph"/>
        <w:numPr>
          <w:ilvl w:val="1"/>
          <w:numId w:val="33"/>
        </w:numPr>
        <w:tabs>
          <w:tab w:pos="1071" w:val="left" w:leader="none"/>
        </w:tabs>
        <w:spacing w:line="240" w:lineRule="auto" w:before="0" w:after="0"/>
        <w:ind w:left="1070" w:right="0" w:hanging="566"/>
        <w:jc w:val="left"/>
        <w:rPr>
          <w:sz w:val="18"/>
        </w:rPr>
      </w:pPr>
      <w:bookmarkStart w:name="(c) Key management personnel" w:id="134"/>
      <w:bookmarkEnd w:id="134"/>
      <w:r>
        <w:rPr/>
      </w:r>
      <w:bookmarkStart w:name="(c) Key management personnel" w:id="135"/>
      <w:bookmarkEnd w:id="135"/>
      <w:r>
        <w:rPr>
          <w:sz w:val="18"/>
        </w:rPr>
        <w:t>Subsidiaries</w:t>
      </w:r>
    </w:p>
    <w:p>
      <w:pPr>
        <w:pStyle w:val="BodyText"/>
        <w:spacing w:before="4"/>
        <w:rPr>
          <w:sz w:val="25"/>
        </w:rPr>
      </w:pPr>
    </w:p>
    <w:p>
      <w:pPr>
        <w:pStyle w:val="BodyText"/>
        <w:ind w:left="1070" w:right="220"/>
      </w:pPr>
      <w:r>
        <w:rPr/>
        <w:t>Interests in subsidiaries are set out in note 37.</w:t>
      </w:r>
    </w:p>
    <w:p>
      <w:pPr>
        <w:pStyle w:val="BodyText"/>
        <w:spacing w:before="7"/>
        <w:rPr>
          <w:sz w:val="26"/>
        </w:rPr>
      </w:pPr>
    </w:p>
    <w:p>
      <w:pPr>
        <w:pStyle w:val="ListParagraph"/>
        <w:numPr>
          <w:ilvl w:val="1"/>
          <w:numId w:val="33"/>
        </w:numPr>
        <w:tabs>
          <w:tab w:pos="1071" w:val="left" w:leader="none"/>
        </w:tabs>
        <w:spacing w:line="240" w:lineRule="auto" w:before="0" w:after="0"/>
        <w:ind w:left="1070" w:right="0" w:hanging="566"/>
        <w:jc w:val="left"/>
        <w:rPr>
          <w:sz w:val="18"/>
        </w:rPr>
      </w:pPr>
      <w:bookmarkStart w:name="(d) Transactions with related parties" w:id="136"/>
      <w:bookmarkEnd w:id="136"/>
      <w:r>
        <w:rPr/>
      </w:r>
      <w:bookmarkStart w:name="(d) Transactions with related parties" w:id="137"/>
      <w:bookmarkEnd w:id="137"/>
      <w:r>
        <w:rPr>
          <w:sz w:val="18"/>
        </w:rPr>
        <w:t>Key</w:t>
      </w:r>
      <w:r>
        <w:rPr>
          <w:sz w:val="18"/>
        </w:rPr>
        <w:t> management</w:t>
      </w:r>
      <w:r>
        <w:rPr>
          <w:spacing w:val="1"/>
          <w:sz w:val="18"/>
        </w:rPr>
        <w:t> </w:t>
      </w:r>
      <w:r>
        <w:rPr>
          <w:sz w:val="18"/>
        </w:rPr>
        <w:t>personnel</w:t>
      </w:r>
    </w:p>
    <w:p>
      <w:pPr>
        <w:pStyle w:val="BodyText"/>
        <w:spacing w:before="4"/>
        <w:rPr>
          <w:sz w:val="25"/>
        </w:rPr>
      </w:pPr>
    </w:p>
    <w:p>
      <w:pPr>
        <w:pStyle w:val="BodyText"/>
        <w:ind w:left="1070" w:right="220"/>
      </w:pPr>
      <w:r>
        <w:rPr/>
        <w:t>Disclosures relating to directors and specified executives are set out in note 30.</w:t>
      </w:r>
    </w:p>
    <w:p>
      <w:pPr>
        <w:pStyle w:val="BodyText"/>
      </w:pPr>
    </w:p>
    <w:p>
      <w:pPr>
        <w:pStyle w:val="BodyText"/>
        <w:spacing w:before="8"/>
        <w:rPr>
          <w:sz w:val="24"/>
        </w:rPr>
      </w:pPr>
    </w:p>
    <w:p>
      <w:pPr>
        <w:pStyle w:val="ListParagraph"/>
        <w:numPr>
          <w:ilvl w:val="1"/>
          <w:numId w:val="33"/>
        </w:numPr>
        <w:tabs>
          <w:tab w:pos="1071" w:val="left" w:leader="none"/>
        </w:tabs>
        <w:spacing w:line="240" w:lineRule="auto" w:before="0" w:after="0"/>
        <w:ind w:left="1070" w:right="0" w:hanging="566"/>
        <w:jc w:val="left"/>
        <w:rPr>
          <w:sz w:val="18"/>
        </w:rPr>
      </w:pPr>
      <w:r>
        <w:rPr>
          <w:sz w:val="18"/>
        </w:rPr>
        <w:t>Transactions with related</w:t>
      </w:r>
      <w:r>
        <w:rPr>
          <w:spacing w:val="-1"/>
          <w:sz w:val="18"/>
        </w:rPr>
        <w:t> </w:t>
      </w:r>
      <w:r>
        <w:rPr>
          <w:sz w:val="18"/>
        </w:rPr>
        <w:t>parties</w:t>
      </w:r>
    </w:p>
    <w:p>
      <w:pPr>
        <w:pStyle w:val="BodyText"/>
        <w:spacing w:before="4"/>
        <w:rPr>
          <w:sz w:val="25"/>
        </w:rPr>
      </w:pPr>
    </w:p>
    <w:p>
      <w:pPr>
        <w:pStyle w:val="BodyText"/>
        <w:ind w:left="1070" w:right="220"/>
      </w:pPr>
      <w:r>
        <w:rPr/>
        <w:t>The following transactions occurred with related parties:</w:t>
      </w:r>
    </w:p>
    <w:p>
      <w:pPr>
        <w:pStyle w:val="BodyText"/>
        <w:spacing w:before="9"/>
        <w:rPr>
          <w:sz w:val="16"/>
        </w:rPr>
      </w:pPr>
    </w:p>
    <w:p>
      <w:pPr>
        <w:pStyle w:val="Heading9"/>
        <w:tabs>
          <w:tab w:pos="8354" w:val="left" w:leader="none"/>
        </w:tabs>
        <w:spacing w:before="1"/>
        <w:ind w:left="5318" w:right="220"/>
      </w:pPr>
      <w:r>
        <w:rPr/>
        <w:t>Consolidated</w:t>
        <w:tab/>
        <w:t>Parent</w:t>
      </w:r>
    </w:p>
    <w:p>
      <w:pPr>
        <w:spacing w:after="0"/>
        <w:sectPr>
          <w:pgSz w:w="11910" w:h="16840"/>
          <w:pgMar w:header="1037" w:footer="507" w:top="2220" w:bottom="700" w:left="900" w:right="880"/>
        </w:sectPr>
      </w:pPr>
    </w:p>
    <w:p>
      <w:pPr>
        <w:pStyle w:val="BodyText"/>
        <w:rPr>
          <w:b/>
        </w:rPr>
      </w:pPr>
    </w:p>
    <w:p>
      <w:pPr>
        <w:pStyle w:val="BodyText"/>
        <w:rPr>
          <w:b/>
        </w:rPr>
      </w:pPr>
    </w:p>
    <w:p>
      <w:pPr>
        <w:pStyle w:val="BodyText"/>
        <w:spacing w:before="2"/>
        <w:rPr>
          <w:b/>
          <w:sz w:val="19"/>
        </w:rPr>
      </w:pPr>
    </w:p>
    <w:p>
      <w:pPr>
        <w:spacing w:before="1"/>
        <w:ind w:left="1101" w:right="-10" w:firstLine="0"/>
        <w:jc w:val="left"/>
        <w:rPr>
          <w:b/>
          <w:sz w:val="18"/>
        </w:rPr>
      </w:pPr>
      <w:r>
        <w:rPr>
          <w:b/>
          <w:sz w:val="18"/>
        </w:rPr>
        <w:t>Sale of goods and services</w:t>
      </w:r>
    </w:p>
    <w:p>
      <w:pPr>
        <w:pStyle w:val="BodyText"/>
        <w:rPr>
          <w:b/>
        </w:rPr>
      </w:pPr>
      <w:r>
        <w:rPr/>
        <w:br w:type="column"/>
      </w:r>
      <w:r>
        <w:rPr>
          <w:b/>
        </w:rPr>
      </w:r>
    </w:p>
    <w:p>
      <w:pPr>
        <w:spacing w:before="133"/>
        <w:ind w:left="534" w:right="-19" w:firstLine="0"/>
        <w:jc w:val="left"/>
        <w:rPr>
          <w:b/>
          <w:sz w:val="18"/>
        </w:rPr>
      </w:pPr>
      <w:r>
        <w:rPr>
          <w:b/>
          <w:sz w:val="18"/>
        </w:rPr>
        <w:t>Note</w:t>
      </w:r>
    </w:p>
    <w:p>
      <w:pPr>
        <w:spacing w:before="66"/>
        <w:ind w:left="661" w:right="-16" w:firstLine="0"/>
        <w:jc w:val="left"/>
        <w:rPr>
          <w:b/>
          <w:sz w:val="18"/>
        </w:rPr>
      </w:pPr>
      <w:r>
        <w:rPr/>
        <w:br w:type="column"/>
      </w:r>
      <w:r>
        <w:rPr>
          <w:b/>
          <w:sz w:val="18"/>
        </w:rPr>
        <w:t>2017</w:t>
      </w:r>
    </w:p>
    <w:p>
      <w:pPr>
        <w:spacing w:before="66"/>
        <w:ind w:left="639" w:right="-16" w:firstLine="0"/>
        <w:jc w:val="left"/>
        <w:rPr>
          <w:b/>
          <w:sz w:val="18"/>
        </w:rPr>
      </w:pPr>
      <w:r>
        <w:rPr>
          <w:b/>
          <w:sz w:val="18"/>
        </w:rPr>
        <w:t>$'000</w:t>
      </w:r>
    </w:p>
    <w:p>
      <w:pPr>
        <w:spacing w:before="66"/>
        <w:ind w:left="817" w:right="-17" w:firstLine="0"/>
        <w:jc w:val="left"/>
        <w:rPr>
          <w:b/>
          <w:sz w:val="18"/>
        </w:rPr>
      </w:pPr>
      <w:r>
        <w:rPr/>
        <w:br w:type="column"/>
      </w:r>
      <w:r>
        <w:rPr>
          <w:b/>
          <w:sz w:val="18"/>
        </w:rPr>
        <w:t>2016</w:t>
      </w:r>
    </w:p>
    <w:p>
      <w:pPr>
        <w:spacing w:before="66"/>
        <w:ind w:left="795" w:right="-17"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17" w:right="0" w:firstLine="0"/>
        <w:jc w:val="left"/>
        <w:rPr>
          <w:b/>
          <w:sz w:val="18"/>
        </w:rPr>
      </w:pPr>
      <w:r>
        <w:rPr/>
        <w:br w:type="column"/>
      </w:r>
      <w:r>
        <w:rPr>
          <w:b/>
          <w:sz w:val="18"/>
        </w:rPr>
        <w:t>2016</w:t>
      </w:r>
    </w:p>
    <w:p>
      <w:pPr>
        <w:spacing w:before="66"/>
        <w:ind w:left="795" w:right="0" w:firstLine="0"/>
        <w:jc w:val="left"/>
        <w:rPr>
          <w:b/>
          <w:sz w:val="18"/>
        </w:rPr>
      </w:pPr>
      <w:r>
        <w:rPr>
          <w:b/>
          <w:sz w:val="18"/>
        </w:rPr>
        <w:t>$'000</w:t>
      </w:r>
    </w:p>
    <w:p>
      <w:pPr>
        <w:spacing w:after="0"/>
        <w:jc w:val="left"/>
        <w:rPr>
          <w:sz w:val="18"/>
        </w:rPr>
        <w:sectPr>
          <w:type w:val="continuous"/>
          <w:pgSz w:w="11910" w:h="16840"/>
          <w:pgMar w:top="1580" w:bottom="280" w:left="900" w:right="880"/>
          <w:cols w:num="6" w:equalWidth="0">
            <w:col w:w="3432" w:space="40"/>
            <w:col w:w="935" w:space="40"/>
            <w:col w:w="1087" w:space="40"/>
            <w:col w:w="1242" w:space="40"/>
            <w:col w:w="1439" w:space="40"/>
            <w:col w:w="1795"/>
          </w:cols>
        </w:sectPr>
      </w:pPr>
    </w:p>
    <w:p>
      <w:pPr>
        <w:pStyle w:val="BodyText"/>
        <w:tabs>
          <w:tab w:pos="4154" w:val="left" w:leader="none"/>
          <w:tab w:pos="5807" w:val="left" w:leader="none"/>
          <w:tab w:pos="7103" w:val="left" w:leader="none"/>
          <w:tab w:pos="8073" w:val="left" w:leader="none"/>
          <w:tab w:pos="9369" w:val="left" w:leader="none"/>
        </w:tabs>
        <w:spacing w:line="300" w:lineRule="auto" w:before="57"/>
        <w:ind w:left="1315" w:right="199"/>
      </w:pPr>
      <w:r>
        <w:rPr/>
        <w:t>Royalty payments</w:t>
      </w:r>
      <w:r>
        <w:rPr>
          <w:spacing w:val="-1"/>
        </w:rPr>
        <w:t> </w:t>
      </w:r>
      <w:r>
        <w:rPr/>
        <w:t>to</w:t>
      </w:r>
      <w:r>
        <w:rPr>
          <w:spacing w:val="-1"/>
        </w:rPr>
        <w:t> </w:t>
      </w:r>
      <w:r>
        <w:rPr/>
        <w:t>University</w:t>
        <w:tab/>
        <w:t>9</w:t>
        <w:tab/>
      </w:r>
      <w:r>
        <w:rPr>
          <w:b/>
        </w:rPr>
        <w:t>-</w:t>
        <w:tab/>
      </w:r>
      <w:r>
        <w:rPr/>
        <w:t>-</w:t>
        <w:tab/>
      </w:r>
      <w:r>
        <w:rPr>
          <w:b/>
        </w:rPr>
        <w:t>22,919</w:t>
        <w:tab/>
      </w:r>
      <w:r>
        <w:rPr/>
        <w:t>20,092 Expense recoveries</w:t>
      </w:r>
      <w:r>
        <w:rPr>
          <w:spacing w:val="-1"/>
        </w:rPr>
        <w:t> </w:t>
      </w:r>
      <w:r>
        <w:rPr/>
        <w:t>from</w:t>
      </w:r>
    </w:p>
    <w:p>
      <w:pPr>
        <w:tabs>
          <w:tab w:pos="5807" w:val="left" w:leader="none"/>
          <w:tab w:pos="7103" w:val="left" w:leader="none"/>
          <w:tab w:pos="8325" w:val="left" w:leader="none"/>
          <w:tab w:pos="9863" w:val="left" w:leader="none"/>
        </w:tabs>
        <w:spacing w:line="156" w:lineRule="exact" w:before="0" w:after="23"/>
        <w:ind w:left="1315" w:right="130" w:firstLine="0"/>
        <w:jc w:val="left"/>
        <w:rPr>
          <w:sz w:val="18"/>
        </w:rPr>
      </w:pPr>
      <w:r>
        <w:rPr>
          <w:sz w:val="18"/>
        </w:rPr>
        <w:t>controlled entities</w:t>
        <w:tab/>
      </w:r>
      <w:r>
        <w:rPr>
          <w:b/>
          <w:sz w:val="18"/>
        </w:rPr>
        <w:t>-</w:t>
        <w:tab/>
      </w:r>
      <w:r>
        <w:rPr>
          <w:sz w:val="18"/>
        </w:rPr>
        <w:t>-</w:t>
        <w:tab/>
      </w:r>
      <w:r>
        <w:rPr>
          <w:b/>
          <w:sz w:val="18"/>
        </w:rPr>
        <w:t>108</w:t>
        <w:tab/>
      </w:r>
      <w:r>
        <w:rPr>
          <w:sz w:val="18"/>
        </w:rPr>
        <w:t>-</w:t>
      </w:r>
    </w:p>
    <w:p>
      <w:pPr>
        <w:pStyle w:val="BodyText"/>
        <w:spacing w:line="20" w:lineRule="exact"/>
        <w:ind w:left="4491"/>
        <w:rPr>
          <w:sz w:val="2"/>
        </w:rPr>
      </w:pPr>
      <w:r>
        <w:rPr>
          <w:sz w:val="2"/>
        </w:rPr>
        <w:pict>
          <v:group style="width:276.150pt;height:1pt;mso-position-horizontal-relative:char;mso-position-vertical-relative:line" coordorigin="0,0" coordsize="5523,20">
            <v:line style="position:absolute" from="2,2" to="170,2" stroked="true" strokeweight=".12pt" strokecolor="#000000"/>
            <v:line style="position:absolute" from="2,4" to="170,4" stroked="true" strokeweight=".12pt" strokecolor="#000000"/>
            <v:line style="position:absolute" from="2,6" to="170,6" stroked="true" strokeweight=".12pt" strokecolor="#000000"/>
            <v:line style="position:absolute" from="2,9" to="170,9" stroked="true" strokeweight=".12pt" strokecolor="#000000"/>
            <v:line style="position:absolute" from="2,11" to="170,11" stroked="true" strokeweight=".12pt" strokecolor="#000000"/>
            <v:line style="position:absolute" from="2,14" to="170,14" stroked="true" strokeweight=".12pt" strokecolor="#000000"/>
            <v:line style="position:absolute" from="2,16" to="170,16" stroked="true" strokeweight=".12pt" strokecolor="#000000"/>
            <v:line style="position:absolute" from="2,18" to="170,18" stroked="true" strokeweight=".12pt" strokecolor="#000000"/>
            <v:line style="position:absolute" from="170,2" to="1466,2" stroked="true" strokeweight=".12pt" strokecolor="#000000"/>
            <v:line style="position:absolute" from="170,4" to="1466,4" stroked="true" strokeweight=".12pt" strokecolor="#000000"/>
            <v:line style="position:absolute" from="170,6" to="1466,6" stroked="true" strokeweight=".12pt" strokecolor="#000000"/>
            <v:line style="position:absolute" from="170,9" to="1466,9" stroked="true" strokeweight=".12pt" strokecolor="#000000"/>
            <v:line style="position:absolute" from="170,11" to="1466,11" stroked="true" strokeweight=".12pt" strokecolor="#000000"/>
            <v:line style="position:absolute" from="170,14" to="1466,14" stroked="true" strokeweight=".12pt" strokecolor="#000000"/>
            <v:line style="position:absolute" from="170,16" to="1466,16" stroked="true" strokeweight=".12pt" strokecolor="#000000"/>
            <v:line style="position:absolute" from="170,18" to="1466,18" stroked="true" strokeweight=".12pt" strokecolor="#000000"/>
            <v:line style="position:absolute" from="1466,2" to="2762,2" stroked="true" strokeweight=".12pt" strokecolor="#000000"/>
            <v:line style="position:absolute" from="1466,4" to="2762,4" stroked="true" strokeweight=".12pt" strokecolor="#000000"/>
            <v:line style="position:absolute" from="1466,6" to="2762,6" stroked="true" strokeweight=".12pt" strokecolor="#000000"/>
            <v:line style="position:absolute" from="1466,9" to="2762,9" stroked="true" strokeweight=".12pt" strokecolor="#000000"/>
            <v:line style="position:absolute" from="1466,11" to="2762,11" stroked="true" strokeweight=".12pt" strokecolor="#000000"/>
            <v:line style="position:absolute" from="1466,14" to="2762,14" stroked="true" strokeweight=".12pt" strokecolor="#000000"/>
            <v:line style="position:absolute" from="1466,16" to="2762,16" stroked="true" strokeweight=".12pt" strokecolor="#000000"/>
            <v:line style="position:absolute" from="1466,18" to="2762,18" stroked="true" strokeweight=".12pt" strokecolor="#000000"/>
            <v:line style="position:absolute" from="2761,2" to="2929,2" stroked="true" strokeweight=".12pt" strokecolor="#000000"/>
            <v:line style="position:absolute" from="2761,4" to="2929,4" stroked="true" strokeweight=".12pt" strokecolor="#000000"/>
            <v:line style="position:absolute" from="2761,6" to="2929,6" stroked="true" strokeweight=".12pt" strokecolor="#000000"/>
            <v:line style="position:absolute" from="2761,9" to="2929,9" stroked="true" strokeweight=".12pt" strokecolor="#000000"/>
            <v:line style="position:absolute" from="2761,11" to="2929,11" stroked="true" strokeweight=".12pt" strokecolor="#000000"/>
            <v:line style="position:absolute" from="2761,14" to="2929,14" stroked="true" strokeweight=".12pt" strokecolor="#000000"/>
            <v:line style="position:absolute" from="2761,16" to="2929,16" stroked="true" strokeweight=".12pt" strokecolor="#000000"/>
            <v:line style="position:absolute" from="2761,18" to="2929,18" stroked="true" strokeweight=".12pt" strokecolor="#000000"/>
            <v:line style="position:absolute" from="2930,2" to="4226,2" stroked="true" strokeweight=".12pt" strokecolor="#000000"/>
            <v:line style="position:absolute" from="2930,4" to="4226,4" stroked="true" strokeweight=".12pt" strokecolor="#000000"/>
            <v:line style="position:absolute" from="2930,6" to="4226,6" stroked="true" strokeweight=".12pt" strokecolor="#000000"/>
            <v:line style="position:absolute" from="2930,9" to="4226,9" stroked="true" strokeweight=".12pt" strokecolor="#000000"/>
            <v:line style="position:absolute" from="2930,11" to="4226,11" stroked="true" strokeweight=".12pt" strokecolor="#000000"/>
            <v:line style="position:absolute" from="2930,14" to="4226,14" stroked="true" strokeweight=".12pt" strokecolor="#000000"/>
            <v:line style="position:absolute" from="2930,16" to="4226,16" stroked="true" strokeweight=".12pt" strokecolor="#000000"/>
            <v:line style="position:absolute" from="2930,18" to="4226,18" stroked="true" strokeweight=".12pt" strokecolor="#000000"/>
            <v:line style="position:absolute" from="4225,2" to="5521,2" stroked="true" strokeweight=".12pt" strokecolor="#000000"/>
            <v:line style="position:absolute" from="4225,4" to="5521,4" stroked="true" strokeweight=".12pt" strokecolor="#000000"/>
            <v:line style="position:absolute" from="4225,6" to="5521,6" stroked="true" strokeweight=".12pt" strokecolor="#000000"/>
            <v:line style="position:absolute" from="4225,9" to="5521,9" stroked="true" strokeweight=".12pt" strokecolor="#000000"/>
            <v:line style="position:absolute" from="4225,11" to="5521,11" stroked="true" strokeweight=".12pt" strokecolor="#000000"/>
            <v:line style="position:absolute" from="4225,14" to="5521,14" stroked="true" strokeweight=".12pt" strokecolor="#000000"/>
            <v:line style="position:absolute" from="4225,16" to="5521,16" stroked="true" strokeweight=".12pt" strokecolor="#000000"/>
            <v:line style="position:absolute" from="4225,18" to="5521,18" stroked="true" strokeweight=".12pt" strokecolor="#000000"/>
            <v:line style="position:absolute" from="2,2" to="170,2" stroked="true" strokeweight=".12pt" strokecolor="#000000"/>
            <v:line style="position:absolute" from="2,4" to="170,4" stroked="true" strokeweight=".12pt" strokecolor="#000000"/>
            <v:line style="position:absolute" from="2,6" to="170,6" stroked="true" strokeweight=".12pt" strokecolor="#000000"/>
            <v:line style="position:absolute" from="2,9" to="170,9" stroked="true" strokeweight=".12pt" strokecolor="#000000"/>
            <v:line style="position:absolute" from="2,11" to="170,11" stroked="true" strokeweight=".12pt" strokecolor="#000000"/>
            <v:line style="position:absolute" from="2,14" to="170,14" stroked="true" strokeweight=".12pt" strokecolor="#000000"/>
            <v:line style="position:absolute" from="2,16" to="170,16" stroked="true" strokeweight=".12pt" strokecolor="#000000"/>
            <v:line style="position:absolute" from="2,18" to="170,18" stroked="true" strokeweight=".12pt" strokecolor="#000000"/>
            <v:line style="position:absolute" from="170,2" to="1466,2" stroked="true" strokeweight=".12pt" strokecolor="#000000"/>
            <v:line style="position:absolute" from="170,4" to="1466,4" stroked="true" strokeweight=".12pt" strokecolor="#000000"/>
            <v:line style="position:absolute" from="170,6" to="1466,6" stroked="true" strokeweight=".12pt" strokecolor="#000000"/>
            <v:line style="position:absolute" from="170,9" to="1466,9" stroked="true" strokeweight=".12pt" strokecolor="#000000"/>
            <v:line style="position:absolute" from="170,11" to="1466,11" stroked="true" strokeweight=".12pt" strokecolor="#000000"/>
            <v:line style="position:absolute" from="170,14" to="1466,14" stroked="true" strokeweight=".12pt" strokecolor="#000000"/>
            <v:line style="position:absolute" from="170,16" to="1466,16" stroked="true" strokeweight=".12pt" strokecolor="#000000"/>
            <v:line style="position:absolute" from="170,18" to="1466,18" stroked="true" strokeweight=".12pt" strokecolor="#000000"/>
            <v:line style="position:absolute" from="1466,2" to="2762,2" stroked="true" strokeweight=".12pt" strokecolor="#000000"/>
            <v:line style="position:absolute" from="1466,4" to="2762,4" stroked="true" strokeweight=".12pt" strokecolor="#000000"/>
            <v:line style="position:absolute" from="1466,6" to="2762,6" stroked="true" strokeweight=".12pt" strokecolor="#000000"/>
            <v:line style="position:absolute" from="1466,9" to="2762,9" stroked="true" strokeweight=".12pt" strokecolor="#000000"/>
            <v:line style="position:absolute" from="1466,11" to="2762,11" stroked="true" strokeweight=".12pt" strokecolor="#000000"/>
            <v:line style="position:absolute" from="1466,14" to="2762,14" stroked="true" strokeweight=".12pt" strokecolor="#000000"/>
            <v:line style="position:absolute" from="1466,16" to="2762,16" stroked="true" strokeweight=".12pt" strokecolor="#000000"/>
            <v:line style="position:absolute" from="1466,18" to="2762,18" stroked="true" strokeweight=".12pt" strokecolor="#000000"/>
            <v:line style="position:absolute" from="2761,2" to="2929,2" stroked="true" strokeweight=".12pt" strokecolor="#000000"/>
            <v:line style="position:absolute" from="2761,4" to="2929,4" stroked="true" strokeweight=".12pt" strokecolor="#000000"/>
            <v:line style="position:absolute" from="2761,6" to="2929,6" stroked="true" strokeweight=".12pt" strokecolor="#000000"/>
            <v:line style="position:absolute" from="2761,9" to="2929,9" stroked="true" strokeweight=".12pt" strokecolor="#000000"/>
            <v:line style="position:absolute" from="2761,11" to="2929,11" stroked="true" strokeweight=".12pt" strokecolor="#000000"/>
            <v:line style="position:absolute" from="2761,14" to="2929,14" stroked="true" strokeweight=".12pt" strokecolor="#000000"/>
            <v:line style="position:absolute" from="2761,16" to="2929,16" stroked="true" strokeweight=".12pt" strokecolor="#000000"/>
            <v:line style="position:absolute" from="2761,18" to="2929,18" stroked="true" strokeweight=".12pt" strokecolor="#000000"/>
            <v:line style="position:absolute" from="2930,2" to="4226,2" stroked="true" strokeweight=".12pt" strokecolor="#000000"/>
            <v:line style="position:absolute" from="2930,4" to="4226,4" stroked="true" strokeweight=".12pt" strokecolor="#000000"/>
            <v:line style="position:absolute" from="2930,6" to="4226,6" stroked="true" strokeweight=".12pt" strokecolor="#000000"/>
            <v:line style="position:absolute" from="2930,9" to="4226,9" stroked="true" strokeweight=".12pt" strokecolor="#000000"/>
            <v:line style="position:absolute" from="2930,11" to="4226,11" stroked="true" strokeweight=".12pt" strokecolor="#000000"/>
            <v:line style="position:absolute" from="2930,14" to="4226,14" stroked="true" strokeweight=".12pt" strokecolor="#000000"/>
            <v:line style="position:absolute" from="2930,16" to="4226,16" stroked="true" strokeweight=".12pt" strokecolor="#000000"/>
            <v:line style="position:absolute" from="2930,18" to="4226,18" stroked="true" strokeweight=".12pt" strokecolor="#000000"/>
            <v:line style="position:absolute" from="4225,2" to="5521,2" stroked="true" strokeweight=".12pt" strokecolor="#000000"/>
            <v:line style="position:absolute" from="4225,4" to="5521,4" stroked="true" strokeweight=".12pt" strokecolor="#000000"/>
            <v:line style="position:absolute" from="4225,6" to="5521,6" stroked="true" strokeweight=".12pt" strokecolor="#000000"/>
            <v:line style="position:absolute" from="4225,9" to="5521,9" stroked="true" strokeweight=".12pt" strokecolor="#000000"/>
            <v:line style="position:absolute" from="4225,11" to="5521,11" stroked="true" strokeweight=".12pt" strokecolor="#000000"/>
            <v:line style="position:absolute" from="4225,14" to="5521,14" stroked="true" strokeweight=".12pt" strokecolor="#000000"/>
            <v:line style="position:absolute" from="4225,16" to="5521,16" stroked="true" strokeweight=".12pt" strokecolor="#000000"/>
            <v:line style="position:absolute" from="4225,18" to="5521,18" stroked="true" strokeweight=".12pt" strokecolor="#000000"/>
          </v:group>
        </w:pict>
      </w:r>
      <w:r>
        <w:rPr>
          <w:sz w:val="2"/>
        </w:rPr>
      </w:r>
    </w:p>
    <w:p>
      <w:pPr>
        <w:pStyle w:val="Heading9"/>
        <w:spacing w:before="115" w:after="22"/>
        <w:ind w:left="1101" w:right="220"/>
      </w:pPr>
      <w:r>
        <w:rPr/>
        <w:t>Total sales of goods and</w:t>
      </w:r>
    </w:p>
    <w:tbl>
      <w:tblPr>
        <w:tblW w:w="0" w:type="auto"/>
        <w:jc w:val="left"/>
        <w:tblInd w:w="106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03"/>
        <w:gridCol w:w="530"/>
        <w:gridCol w:w="5614"/>
      </w:tblGrid>
      <w:tr>
        <w:trPr>
          <w:trHeight w:val="732" w:hRule="exact"/>
        </w:trPr>
        <w:tc>
          <w:tcPr>
            <w:tcW w:w="2803" w:type="dxa"/>
          </w:tcPr>
          <w:p>
            <w:pPr>
              <w:pStyle w:val="TableParagraph"/>
              <w:spacing w:line="184" w:lineRule="exact"/>
              <w:ind w:left="35"/>
              <w:rPr>
                <w:b/>
                <w:sz w:val="18"/>
              </w:rPr>
            </w:pPr>
            <w:r>
              <w:rPr>
                <w:b/>
                <w:sz w:val="18"/>
              </w:rPr>
              <w:t>services</w:t>
            </w:r>
          </w:p>
          <w:p>
            <w:pPr>
              <w:pStyle w:val="TableParagraph"/>
              <w:spacing w:before="5"/>
              <w:rPr>
                <w:b/>
                <w:sz w:val="26"/>
              </w:rPr>
            </w:pPr>
          </w:p>
          <w:p>
            <w:pPr>
              <w:pStyle w:val="TableParagraph"/>
              <w:ind w:left="35"/>
              <w:rPr>
                <w:b/>
                <w:sz w:val="18"/>
              </w:rPr>
            </w:pPr>
            <w:r>
              <w:rPr>
                <w:b/>
                <w:sz w:val="18"/>
              </w:rPr>
              <w:t>Purchase of goods</w:t>
            </w:r>
          </w:p>
        </w:tc>
        <w:tc>
          <w:tcPr>
            <w:tcW w:w="530" w:type="dxa"/>
          </w:tcPr>
          <w:p>
            <w:pPr/>
          </w:p>
        </w:tc>
        <w:tc>
          <w:tcPr>
            <w:tcW w:w="5614" w:type="dxa"/>
          </w:tcPr>
          <w:p>
            <w:pPr>
              <w:pStyle w:val="TableParagraph"/>
              <w:tabs>
                <w:tab w:pos="1315" w:val="left" w:leader="none"/>
                <w:tab w:pos="2611" w:val="left" w:leader="none"/>
                <w:tab w:pos="3580" w:val="left" w:leader="none"/>
                <w:tab w:pos="4876" w:val="left" w:leader="none"/>
              </w:tabs>
              <w:spacing w:line="184" w:lineRule="exact"/>
              <w:ind w:right="87"/>
              <w:jc w:val="right"/>
              <w:rPr>
                <w:sz w:val="18"/>
              </w:rPr>
            </w:pPr>
            <w:r>
              <w:rPr>
                <w:rFonts w:ascii="Times New Roman"/>
                <w:sz w:val="18"/>
                <w:u w:val="single"/>
              </w:rPr>
              <w:t> </w:t>
              <w:tab/>
            </w:r>
            <w:r>
              <w:rPr>
                <w:b/>
                <w:sz w:val="18"/>
                <w:u w:val="single"/>
              </w:rPr>
              <w:t>-</w:t>
              <w:tab/>
            </w:r>
            <w:r>
              <w:rPr>
                <w:sz w:val="18"/>
                <w:u w:val="single"/>
              </w:rPr>
              <w:t>-</w:t>
              <w:tab/>
            </w:r>
            <w:r>
              <w:rPr>
                <w:b/>
                <w:sz w:val="18"/>
                <w:u w:val="single"/>
              </w:rPr>
              <w:t>23,027</w:t>
              <w:tab/>
            </w:r>
            <w:r>
              <w:rPr>
                <w:w w:val="95"/>
                <w:sz w:val="18"/>
                <w:u w:val="single"/>
              </w:rPr>
              <w:t>20,092</w:t>
            </w:r>
          </w:p>
        </w:tc>
      </w:tr>
      <w:tr>
        <w:trPr>
          <w:trHeight w:val="264" w:hRule="exact"/>
        </w:trPr>
        <w:tc>
          <w:tcPr>
            <w:tcW w:w="2803" w:type="dxa"/>
          </w:tcPr>
          <w:p>
            <w:pPr>
              <w:pStyle w:val="TableParagraph"/>
              <w:spacing w:before="20"/>
              <w:ind w:left="248"/>
              <w:rPr>
                <w:sz w:val="18"/>
              </w:rPr>
            </w:pPr>
            <w:r>
              <w:rPr>
                <w:sz w:val="18"/>
              </w:rPr>
              <w:t>Services to University</w:t>
            </w:r>
          </w:p>
        </w:tc>
        <w:tc>
          <w:tcPr>
            <w:tcW w:w="530" w:type="dxa"/>
          </w:tcPr>
          <w:p>
            <w:pPr/>
          </w:p>
        </w:tc>
        <w:tc>
          <w:tcPr>
            <w:tcW w:w="5614" w:type="dxa"/>
          </w:tcPr>
          <w:p>
            <w:pPr>
              <w:pStyle w:val="TableParagraph"/>
              <w:tabs>
                <w:tab w:pos="1295" w:val="left" w:leader="none"/>
                <w:tab w:pos="2366" w:val="left" w:leader="none"/>
                <w:tab w:pos="3662" w:val="left" w:leader="none"/>
              </w:tabs>
              <w:spacing w:before="18"/>
              <w:ind w:right="87"/>
              <w:jc w:val="right"/>
              <w:rPr>
                <w:sz w:val="18"/>
              </w:rPr>
            </w:pPr>
            <w:r>
              <w:rPr>
                <w:b/>
                <w:sz w:val="18"/>
              </w:rPr>
              <w:t>-</w:t>
              <w:tab/>
            </w:r>
            <w:r>
              <w:rPr>
                <w:sz w:val="18"/>
              </w:rPr>
              <w:t>-</w:t>
              <w:tab/>
            </w:r>
            <w:r>
              <w:rPr>
                <w:b/>
                <w:sz w:val="18"/>
              </w:rPr>
              <w:t>1,545</w:t>
              <w:tab/>
            </w:r>
            <w:r>
              <w:rPr>
                <w:w w:val="95"/>
                <w:sz w:val="18"/>
              </w:rPr>
              <w:t>1,097</w:t>
            </w:r>
          </w:p>
        </w:tc>
      </w:tr>
      <w:tr>
        <w:trPr>
          <w:trHeight w:val="260" w:hRule="exact"/>
        </w:trPr>
        <w:tc>
          <w:tcPr>
            <w:tcW w:w="2803" w:type="dxa"/>
          </w:tcPr>
          <w:p>
            <w:pPr>
              <w:pStyle w:val="TableParagraph"/>
              <w:spacing w:before="20"/>
              <w:ind w:left="248"/>
              <w:rPr>
                <w:sz w:val="18"/>
              </w:rPr>
            </w:pPr>
            <w:r>
              <w:rPr>
                <w:sz w:val="18"/>
              </w:rPr>
              <w:t>Funding to controlled entities</w:t>
            </w:r>
          </w:p>
        </w:tc>
        <w:tc>
          <w:tcPr>
            <w:tcW w:w="530" w:type="dxa"/>
          </w:tcPr>
          <w:p>
            <w:pPr>
              <w:pStyle w:val="TableParagraph"/>
              <w:spacing w:before="20"/>
              <w:ind w:left="234"/>
              <w:rPr>
                <w:sz w:val="18"/>
              </w:rPr>
            </w:pPr>
            <w:r>
              <w:rPr>
                <w:sz w:val="18"/>
              </w:rPr>
              <w:t>16</w:t>
            </w:r>
          </w:p>
        </w:tc>
        <w:tc>
          <w:tcPr>
            <w:tcW w:w="5614" w:type="dxa"/>
            <w:tcBorders>
              <w:bottom w:val="single" w:sz="1" w:space="0" w:color="000000"/>
            </w:tcBorders>
          </w:tcPr>
          <w:p>
            <w:pPr>
              <w:pStyle w:val="TableParagraph"/>
              <w:tabs>
                <w:tab w:pos="1295" w:val="left" w:leader="none"/>
                <w:tab w:pos="2265" w:val="left" w:leader="none"/>
                <w:tab w:pos="3561" w:val="left" w:leader="none"/>
              </w:tabs>
              <w:spacing w:before="18"/>
              <w:ind w:right="87"/>
              <w:jc w:val="right"/>
              <w:rPr>
                <w:sz w:val="18"/>
              </w:rPr>
            </w:pPr>
            <w:r>
              <w:rPr>
                <w:b/>
                <w:sz w:val="18"/>
              </w:rPr>
              <w:t>-</w:t>
              <w:tab/>
            </w:r>
            <w:r>
              <w:rPr>
                <w:sz w:val="18"/>
              </w:rPr>
              <w:t>-</w:t>
              <w:tab/>
            </w:r>
            <w:r>
              <w:rPr>
                <w:b/>
                <w:sz w:val="18"/>
              </w:rPr>
              <w:t>53,256</w:t>
              <w:tab/>
            </w:r>
            <w:r>
              <w:rPr>
                <w:spacing w:val="-1"/>
                <w:sz w:val="18"/>
              </w:rPr>
              <w:t>53,671</w:t>
            </w:r>
          </w:p>
        </w:tc>
      </w:tr>
      <w:tr>
        <w:trPr>
          <w:trHeight w:val="338" w:hRule="exact"/>
        </w:trPr>
        <w:tc>
          <w:tcPr>
            <w:tcW w:w="2803" w:type="dxa"/>
          </w:tcPr>
          <w:p>
            <w:pPr>
              <w:pStyle w:val="TableParagraph"/>
              <w:spacing w:before="125"/>
              <w:ind w:left="35"/>
              <w:rPr>
                <w:b/>
                <w:sz w:val="18"/>
              </w:rPr>
            </w:pPr>
            <w:r>
              <w:rPr>
                <w:b/>
                <w:sz w:val="18"/>
              </w:rPr>
              <w:t>Total purchase of goods</w:t>
            </w:r>
          </w:p>
        </w:tc>
        <w:tc>
          <w:tcPr>
            <w:tcW w:w="530" w:type="dxa"/>
          </w:tcPr>
          <w:p>
            <w:pPr/>
          </w:p>
        </w:tc>
        <w:tc>
          <w:tcPr>
            <w:tcW w:w="5614" w:type="dxa"/>
            <w:tcBorders>
              <w:top w:val="single" w:sz="1" w:space="0" w:color="000000"/>
              <w:bottom w:val="single" w:sz="1" w:space="0" w:color="000000"/>
            </w:tcBorders>
          </w:tcPr>
          <w:p>
            <w:pPr>
              <w:pStyle w:val="TableParagraph"/>
              <w:tabs>
                <w:tab w:pos="1295" w:val="left" w:leader="none"/>
                <w:tab w:pos="2265" w:val="left" w:leader="none"/>
                <w:tab w:pos="3561" w:val="left" w:leader="none"/>
              </w:tabs>
              <w:spacing w:before="124"/>
              <w:ind w:right="87"/>
              <w:jc w:val="right"/>
              <w:rPr>
                <w:sz w:val="18"/>
              </w:rPr>
            </w:pPr>
            <w:r>
              <w:rPr>
                <w:b/>
                <w:sz w:val="18"/>
              </w:rPr>
              <w:t>-</w:t>
              <w:tab/>
            </w:r>
            <w:r>
              <w:rPr>
                <w:sz w:val="18"/>
              </w:rPr>
              <w:t>-</w:t>
              <w:tab/>
            </w:r>
            <w:r>
              <w:rPr>
                <w:b/>
                <w:sz w:val="18"/>
              </w:rPr>
              <w:t>54,801</w:t>
              <w:tab/>
            </w:r>
            <w:r>
              <w:rPr>
                <w:spacing w:val="-1"/>
                <w:sz w:val="18"/>
              </w:rPr>
              <w:t>54,768</w:t>
            </w:r>
          </w:p>
        </w:tc>
      </w:tr>
    </w:tbl>
    <w:p>
      <w:pPr>
        <w:spacing w:after="0"/>
        <w:jc w:val="right"/>
        <w:rPr>
          <w:sz w:val="18"/>
        </w:rPr>
        <w:sectPr>
          <w:type w:val="continuous"/>
          <w:pgSz w:w="11910" w:h="16840"/>
          <w:pgMar w:top="1580" w:bottom="280" w:left="900" w:right="880"/>
        </w:sectPr>
      </w:pPr>
    </w:p>
    <w:p>
      <w:pPr>
        <w:pStyle w:val="BodyText"/>
        <w:rPr>
          <w:b/>
          <w:sz w:val="20"/>
        </w:rPr>
      </w:pPr>
    </w:p>
    <w:p>
      <w:pPr>
        <w:pStyle w:val="BodyText"/>
        <w:rPr>
          <w:b/>
          <w:sz w:val="20"/>
        </w:rPr>
      </w:pPr>
    </w:p>
    <w:p>
      <w:pPr>
        <w:pStyle w:val="BodyText"/>
        <w:spacing w:before="5"/>
        <w:rPr>
          <w:b/>
        </w:rPr>
      </w:pPr>
    </w:p>
    <w:p>
      <w:pPr>
        <w:tabs>
          <w:tab w:pos="1070" w:val="left" w:leader="none"/>
        </w:tabs>
        <w:spacing w:before="0"/>
        <w:ind w:left="504" w:right="220" w:firstLine="0"/>
        <w:jc w:val="left"/>
        <w:rPr>
          <w:b/>
          <w:sz w:val="18"/>
        </w:rPr>
      </w:pPr>
      <w:bookmarkStart w:name="(e) Loans to/from related parties" w:id="138"/>
      <w:bookmarkEnd w:id="138"/>
      <w:r>
        <w:rPr/>
      </w:r>
      <w:r>
        <w:rPr>
          <w:b/>
          <w:sz w:val="18"/>
        </w:rPr>
        <w:t>34</w:t>
        <w:tab/>
        <w:t>Related Parties (continued)</w:t>
      </w:r>
    </w:p>
    <w:p>
      <w:pPr>
        <w:pStyle w:val="BodyText"/>
        <w:spacing w:before="11"/>
        <w:rPr>
          <w:b/>
          <w:sz w:val="19"/>
        </w:rPr>
      </w:pPr>
    </w:p>
    <w:p>
      <w:pPr>
        <w:pStyle w:val="ListParagraph"/>
        <w:numPr>
          <w:ilvl w:val="1"/>
          <w:numId w:val="33"/>
        </w:numPr>
        <w:tabs>
          <w:tab w:pos="1071" w:val="left" w:leader="none"/>
        </w:tabs>
        <w:spacing w:line="240" w:lineRule="auto" w:before="77" w:after="0"/>
        <w:ind w:left="1070" w:right="0" w:hanging="566"/>
        <w:jc w:val="left"/>
        <w:rPr>
          <w:sz w:val="18"/>
        </w:rPr>
      </w:pPr>
      <w:r>
        <w:rPr>
          <w:sz w:val="18"/>
        </w:rPr>
        <w:t>Loans to/from related</w:t>
      </w:r>
      <w:r>
        <w:rPr>
          <w:spacing w:val="2"/>
          <w:sz w:val="18"/>
        </w:rPr>
        <w:t> </w:t>
      </w:r>
      <w:r>
        <w:rPr>
          <w:sz w:val="18"/>
        </w:rPr>
        <w:t>parties</w:t>
      </w:r>
    </w:p>
    <w:p>
      <w:pPr>
        <w:pStyle w:val="Heading9"/>
        <w:tabs>
          <w:tab w:pos="8363" w:val="left" w:leader="none"/>
        </w:tabs>
        <w:spacing w:before="38" w:after="36"/>
        <w:ind w:left="5313" w:right="220"/>
      </w:pPr>
      <w:r>
        <w:rPr/>
        <w:t>Consolidated</w:t>
        <w:tab/>
        <w:t>Parent</w:t>
      </w:r>
    </w:p>
    <w:tbl>
      <w:tblPr>
        <w:tblW w:w="0" w:type="auto"/>
        <w:jc w:val="left"/>
        <w:tblInd w:w="10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15"/>
        <w:gridCol w:w="940"/>
        <w:gridCol w:w="1176"/>
        <w:gridCol w:w="1291"/>
        <w:gridCol w:w="3053"/>
      </w:tblGrid>
      <w:tr>
        <w:trPr>
          <w:trHeight w:val="594" w:hRule="exact"/>
        </w:trPr>
        <w:tc>
          <w:tcPr>
            <w:tcW w:w="2515" w:type="dxa"/>
          </w:tcPr>
          <w:p>
            <w:pPr/>
          </w:p>
        </w:tc>
        <w:tc>
          <w:tcPr>
            <w:tcW w:w="940" w:type="dxa"/>
          </w:tcPr>
          <w:p>
            <w:pPr>
              <w:pStyle w:val="TableParagraph"/>
              <w:spacing w:before="5"/>
              <w:rPr>
                <w:b/>
                <w:sz w:val="26"/>
              </w:rPr>
            </w:pPr>
          </w:p>
          <w:p>
            <w:pPr>
              <w:pStyle w:val="TableParagraph"/>
              <w:ind w:left="438"/>
              <w:rPr>
                <w:b/>
                <w:sz w:val="18"/>
              </w:rPr>
            </w:pPr>
            <w:r>
              <w:rPr>
                <w:b/>
                <w:sz w:val="18"/>
              </w:rPr>
              <w:t>Note</w:t>
            </w:r>
          </w:p>
        </w:tc>
        <w:tc>
          <w:tcPr>
            <w:tcW w:w="1176" w:type="dxa"/>
          </w:tcPr>
          <w:p>
            <w:pPr>
              <w:pStyle w:val="TableParagraph"/>
              <w:spacing w:before="30"/>
              <w:ind w:left="612"/>
              <w:rPr>
                <w:b/>
                <w:sz w:val="18"/>
              </w:rPr>
            </w:pPr>
            <w:r>
              <w:rPr>
                <w:b/>
                <w:sz w:val="18"/>
              </w:rPr>
              <w:t>2017</w:t>
            </w:r>
          </w:p>
          <w:p>
            <w:pPr>
              <w:pStyle w:val="TableParagraph"/>
              <w:spacing w:before="66"/>
              <w:ind w:left="590"/>
              <w:rPr>
                <w:b/>
                <w:sz w:val="18"/>
              </w:rPr>
            </w:pPr>
            <w:r>
              <w:rPr>
                <w:b/>
                <w:sz w:val="18"/>
              </w:rPr>
              <w:t>$'000</w:t>
            </w:r>
          </w:p>
        </w:tc>
        <w:tc>
          <w:tcPr>
            <w:tcW w:w="1291" w:type="dxa"/>
          </w:tcPr>
          <w:p>
            <w:pPr>
              <w:pStyle w:val="TableParagraph"/>
              <w:spacing w:before="30"/>
              <w:ind w:left="720"/>
              <w:rPr>
                <w:b/>
                <w:sz w:val="18"/>
              </w:rPr>
            </w:pPr>
            <w:r>
              <w:rPr>
                <w:b/>
                <w:sz w:val="18"/>
              </w:rPr>
              <w:t>2016</w:t>
            </w:r>
          </w:p>
          <w:p>
            <w:pPr>
              <w:pStyle w:val="TableParagraph"/>
              <w:spacing w:before="66"/>
              <w:ind w:left="698"/>
              <w:rPr>
                <w:b/>
                <w:sz w:val="18"/>
              </w:rPr>
            </w:pPr>
            <w:r>
              <w:rPr>
                <w:b/>
                <w:sz w:val="18"/>
              </w:rPr>
              <w:t>$'000</w:t>
            </w:r>
          </w:p>
        </w:tc>
        <w:tc>
          <w:tcPr>
            <w:tcW w:w="3053" w:type="dxa"/>
          </w:tcPr>
          <w:p>
            <w:pPr>
              <w:pStyle w:val="TableParagraph"/>
              <w:tabs>
                <w:tab w:pos="2188" w:val="left" w:leader="none"/>
              </w:tabs>
              <w:spacing w:before="30"/>
              <w:ind w:left="904"/>
              <w:rPr>
                <w:b/>
                <w:sz w:val="18"/>
              </w:rPr>
            </w:pPr>
            <w:r>
              <w:rPr>
                <w:b/>
                <w:sz w:val="18"/>
              </w:rPr>
              <w:t>2017</w:t>
              <w:tab/>
              <w:t>2016</w:t>
            </w:r>
          </w:p>
          <w:p>
            <w:pPr>
              <w:pStyle w:val="TableParagraph"/>
              <w:tabs>
                <w:tab w:pos="2167" w:val="left" w:leader="none"/>
              </w:tabs>
              <w:spacing w:before="66"/>
              <w:ind w:left="883"/>
              <w:rPr>
                <w:b/>
                <w:sz w:val="18"/>
              </w:rPr>
            </w:pPr>
            <w:r>
              <w:rPr>
                <w:b/>
                <w:sz w:val="18"/>
              </w:rPr>
              <w:t>$'000</w:t>
              <w:tab/>
              <w:t>$'000</w:t>
            </w:r>
          </w:p>
        </w:tc>
      </w:tr>
      <w:tr>
        <w:trPr>
          <w:trHeight w:val="545" w:hRule="exact"/>
        </w:trPr>
        <w:tc>
          <w:tcPr>
            <w:tcW w:w="2515" w:type="dxa"/>
          </w:tcPr>
          <w:p>
            <w:pPr>
              <w:pStyle w:val="TableParagraph"/>
              <w:spacing w:before="63"/>
              <w:ind w:left="35"/>
              <w:rPr>
                <w:b/>
                <w:sz w:val="18"/>
              </w:rPr>
            </w:pPr>
            <w:r>
              <w:rPr>
                <w:b/>
                <w:sz w:val="18"/>
              </w:rPr>
              <w:t>Loans to subsidiaries</w:t>
            </w:r>
          </w:p>
          <w:p>
            <w:pPr>
              <w:pStyle w:val="TableParagraph"/>
              <w:spacing w:before="30"/>
              <w:ind w:left="35"/>
              <w:rPr>
                <w:sz w:val="18"/>
              </w:rPr>
            </w:pPr>
            <w:r>
              <w:rPr>
                <w:sz w:val="18"/>
              </w:rPr>
              <w:t>Beginning of the year</w:t>
            </w:r>
          </w:p>
        </w:tc>
        <w:tc>
          <w:tcPr>
            <w:tcW w:w="940" w:type="dxa"/>
          </w:tcPr>
          <w:p>
            <w:pPr/>
          </w:p>
        </w:tc>
        <w:tc>
          <w:tcPr>
            <w:tcW w:w="1176" w:type="dxa"/>
          </w:tcPr>
          <w:p>
            <w:pPr/>
          </w:p>
        </w:tc>
        <w:tc>
          <w:tcPr>
            <w:tcW w:w="1291" w:type="dxa"/>
          </w:tcPr>
          <w:p>
            <w:pPr>
              <w:pStyle w:val="TableParagraph"/>
              <w:spacing w:before="11"/>
              <w:rPr>
                <w:b/>
                <w:sz w:val="25"/>
              </w:rPr>
            </w:pPr>
          </w:p>
          <w:p>
            <w:pPr>
              <w:pStyle w:val="TableParagraph"/>
              <w:ind w:left="139"/>
              <w:rPr>
                <w:b/>
                <w:sz w:val="18"/>
              </w:rPr>
            </w:pPr>
            <w:r>
              <w:rPr>
                <w:b/>
                <w:w w:val="99"/>
                <w:sz w:val="18"/>
              </w:rPr>
              <w:t>-</w:t>
            </w:r>
          </w:p>
        </w:tc>
        <w:tc>
          <w:tcPr>
            <w:tcW w:w="3053" w:type="dxa"/>
          </w:tcPr>
          <w:p>
            <w:pPr>
              <w:pStyle w:val="TableParagraph"/>
              <w:spacing w:before="11"/>
              <w:rPr>
                <w:b/>
                <w:sz w:val="25"/>
              </w:rPr>
            </w:pPr>
          </w:p>
          <w:p>
            <w:pPr>
              <w:pStyle w:val="TableParagraph"/>
              <w:tabs>
                <w:tab w:pos="1214" w:val="left" w:leader="none"/>
                <w:tab w:pos="2512" w:val="left" w:leader="none"/>
              </w:tabs>
              <w:ind w:left="146"/>
              <w:rPr>
                <w:sz w:val="18"/>
              </w:rPr>
            </w:pPr>
            <w:r>
              <w:rPr>
                <w:sz w:val="18"/>
              </w:rPr>
              <w:t>-</w:t>
              <w:tab/>
            </w:r>
            <w:r>
              <w:rPr>
                <w:b/>
                <w:sz w:val="18"/>
              </w:rPr>
              <w:t>5,619</w:t>
              <w:tab/>
            </w:r>
            <w:r>
              <w:rPr>
                <w:sz w:val="18"/>
              </w:rPr>
              <w:t>5,011</w:t>
            </w:r>
          </w:p>
        </w:tc>
      </w:tr>
      <w:tr>
        <w:trPr>
          <w:trHeight w:val="264" w:hRule="exact"/>
        </w:trPr>
        <w:tc>
          <w:tcPr>
            <w:tcW w:w="2515" w:type="dxa"/>
          </w:tcPr>
          <w:p>
            <w:pPr>
              <w:pStyle w:val="TableParagraph"/>
              <w:spacing w:before="20"/>
              <w:ind w:left="35"/>
              <w:rPr>
                <w:sz w:val="18"/>
              </w:rPr>
            </w:pPr>
            <w:r>
              <w:rPr>
                <w:sz w:val="18"/>
              </w:rPr>
              <w:t>Loans advanced</w:t>
            </w:r>
          </w:p>
        </w:tc>
        <w:tc>
          <w:tcPr>
            <w:tcW w:w="940" w:type="dxa"/>
          </w:tcPr>
          <w:p>
            <w:pPr/>
          </w:p>
        </w:tc>
        <w:tc>
          <w:tcPr>
            <w:tcW w:w="1176" w:type="dxa"/>
          </w:tcPr>
          <w:p>
            <w:pPr/>
          </w:p>
        </w:tc>
        <w:tc>
          <w:tcPr>
            <w:tcW w:w="1291" w:type="dxa"/>
          </w:tcPr>
          <w:p>
            <w:pPr>
              <w:pStyle w:val="TableParagraph"/>
              <w:spacing w:before="18"/>
              <w:ind w:left="139"/>
              <w:rPr>
                <w:b/>
                <w:sz w:val="18"/>
              </w:rPr>
            </w:pPr>
            <w:r>
              <w:rPr>
                <w:b/>
                <w:w w:val="99"/>
                <w:sz w:val="18"/>
              </w:rPr>
              <w:t>-</w:t>
            </w:r>
          </w:p>
        </w:tc>
        <w:tc>
          <w:tcPr>
            <w:tcW w:w="3053" w:type="dxa"/>
          </w:tcPr>
          <w:p>
            <w:pPr>
              <w:pStyle w:val="TableParagraph"/>
              <w:tabs>
                <w:tab w:pos="1365" w:val="left" w:leader="none"/>
                <w:tab w:pos="2512" w:val="left" w:leader="none"/>
              </w:tabs>
              <w:spacing w:before="18"/>
              <w:ind w:left="146"/>
              <w:rPr>
                <w:sz w:val="18"/>
              </w:rPr>
            </w:pPr>
            <w:r>
              <w:rPr>
                <w:sz w:val="18"/>
              </w:rPr>
              <w:t>-</w:t>
              <w:tab/>
            </w:r>
            <w:r>
              <w:rPr>
                <w:b/>
                <w:sz w:val="18"/>
              </w:rPr>
              <w:t>450</w:t>
              <w:tab/>
            </w:r>
            <w:r>
              <w:rPr>
                <w:sz w:val="18"/>
              </w:rPr>
              <w:t>1,600</w:t>
            </w:r>
          </w:p>
        </w:tc>
      </w:tr>
      <w:tr>
        <w:trPr>
          <w:trHeight w:val="264" w:hRule="exact"/>
        </w:trPr>
        <w:tc>
          <w:tcPr>
            <w:tcW w:w="2515" w:type="dxa"/>
          </w:tcPr>
          <w:p>
            <w:pPr>
              <w:pStyle w:val="TableParagraph"/>
              <w:spacing w:before="20"/>
              <w:ind w:left="35"/>
              <w:rPr>
                <w:sz w:val="18"/>
              </w:rPr>
            </w:pPr>
            <w:r>
              <w:rPr>
                <w:sz w:val="18"/>
              </w:rPr>
              <w:t>Loan repayment received</w:t>
            </w:r>
          </w:p>
        </w:tc>
        <w:tc>
          <w:tcPr>
            <w:tcW w:w="940" w:type="dxa"/>
          </w:tcPr>
          <w:p>
            <w:pPr/>
          </w:p>
        </w:tc>
        <w:tc>
          <w:tcPr>
            <w:tcW w:w="1176" w:type="dxa"/>
          </w:tcPr>
          <w:p>
            <w:pPr/>
          </w:p>
        </w:tc>
        <w:tc>
          <w:tcPr>
            <w:tcW w:w="1291" w:type="dxa"/>
          </w:tcPr>
          <w:p>
            <w:pPr>
              <w:pStyle w:val="TableParagraph"/>
              <w:spacing w:before="18"/>
              <w:ind w:left="139"/>
              <w:rPr>
                <w:b/>
                <w:sz w:val="18"/>
              </w:rPr>
            </w:pPr>
            <w:r>
              <w:rPr>
                <w:b/>
                <w:w w:val="99"/>
                <w:sz w:val="18"/>
              </w:rPr>
              <w:t>-</w:t>
            </w:r>
          </w:p>
        </w:tc>
        <w:tc>
          <w:tcPr>
            <w:tcW w:w="3053" w:type="dxa"/>
          </w:tcPr>
          <w:p>
            <w:pPr>
              <w:pStyle w:val="TableParagraph"/>
              <w:tabs>
                <w:tab w:pos="1154" w:val="left" w:leader="none"/>
                <w:tab w:pos="2452" w:val="left" w:leader="none"/>
              </w:tabs>
              <w:spacing w:before="18"/>
              <w:ind w:left="146"/>
              <w:rPr>
                <w:sz w:val="18"/>
              </w:rPr>
            </w:pPr>
            <w:r>
              <w:rPr>
                <w:sz w:val="18"/>
              </w:rPr>
              <w:t>-</w:t>
              <w:tab/>
            </w:r>
            <w:r>
              <w:rPr>
                <w:b/>
                <w:sz w:val="18"/>
              </w:rPr>
              <w:t>(1,330)</w:t>
              <w:tab/>
            </w:r>
            <w:r>
              <w:rPr>
                <w:sz w:val="18"/>
              </w:rPr>
              <w:t>(1,000)</w:t>
            </w:r>
          </w:p>
        </w:tc>
      </w:tr>
      <w:tr>
        <w:trPr>
          <w:trHeight w:val="264" w:hRule="exact"/>
        </w:trPr>
        <w:tc>
          <w:tcPr>
            <w:tcW w:w="2515" w:type="dxa"/>
          </w:tcPr>
          <w:p>
            <w:pPr>
              <w:pStyle w:val="TableParagraph"/>
              <w:spacing w:before="20"/>
              <w:ind w:left="35"/>
              <w:rPr>
                <w:sz w:val="18"/>
              </w:rPr>
            </w:pPr>
            <w:r>
              <w:rPr>
                <w:sz w:val="18"/>
              </w:rPr>
              <w:t>Interest charged</w:t>
            </w:r>
          </w:p>
        </w:tc>
        <w:tc>
          <w:tcPr>
            <w:tcW w:w="940" w:type="dxa"/>
          </w:tcPr>
          <w:p>
            <w:pPr/>
          </w:p>
        </w:tc>
        <w:tc>
          <w:tcPr>
            <w:tcW w:w="1176" w:type="dxa"/>
          </w:tcPr>
          <w:p>
            <w:pPr/>
          </w:p>
        </w:tc>
        <w:tc>
          <w:tcPr>
            <w:tcW w:w="1291" w:type="dxa"/>
          </w:tcPr>
          <w:p>
            <w:pPr>
              <w:pStyle w:val="TableParagraph"/>
              <w:spacing w:before="18"/>
              <w:ind w:left="139"/>
              <w:rPr>
                <w:b/>
                <w:sz w:val="18"/>
              </w:rPr>
            </w:pPr>
            <w:r>
              <w:rPr>
                <w:b/>
                <w:w w:val="99"/>
                <w:sz w:val="18"/>
              </w:rPr>
              <w:t>-</w:t>
            </w:r>
          </w:p>
        </w:tc>
        <w:tc>
          <w:tcPr>
            <w:tcW w:w="3053" w:type="dxa"/>
          </w:tcPr>
          <w:p>
            <w:pPr>
              <w:pStyle w:val="TableParagraph"/>
              <w:tabs>
                <w:tab w:pos="1365" w:val="left" w:leader="none"/>
                <w:tab w:pos="2664" w:val="left" w:leader="none"/>
              </w:tabs>
              <w:spacing w:before="18"/>
              <w:ind w:left="146"/>
              <w:rPr>
                <w:sz w:val="18"/>
              </w:rPr>
            </w:pPr>
            <w:r>
              <w:rPr>
                <w:sz w:val="18"/>
              </w:rPr>
              <w:t>-</w:t>
              <w:tab/>
            </w:r>
            <w:r>
              <w:rPr>
                <w:b/>
                <w:sz w:val="18"/>
              </w:rPr>
              <w:t>177</w:t>
              <w:tab/>
            </w:r>
            <w:r>
              <w:rPr>
                <w:sz w:val="18"/>
              </w:rPr>
              <w:t>199</w:t>
            </w:r>
          </w:p>
        </w:tc>
      </w:tr>
      <w:tr>
        <w:trPr>
          <w:trHeight w:val="264" w:hRule="exact"/>
        </w:trPr>
        <w:tc>
          <w:tcPr>
            <w:tcW w:w="2515" w:type="dxa"/>
          </w:tcPr>
          <w:p>
            <w:pPr>
              <w:pStyle w:val="TableParagraph"/>
              <w:spacing w:before="20"/>
              <w:ind w:left="35"/>
              <w:rPr>
                <w:sz w:val="18"/>
              </w:rPr>
            </w:pPr>
            <w:r>
              <w:rPr>
                <w:sz w:val="18"/>
              </w:rPr>
              <w:t>Interest received</w:t>
            </w:r>
          </w:p>
        </w:tc>
        <w:tc>
          <w:tcPr>
            <w:tcW w:w="940" w:type="dxa"/>
          </w:tcPr>
          <w:p>
            <w:pPr/>
          </w:p>
        </w:tc>
        <w:tc>
          <w:tcPr>
            <w:tcW w:w="1176" w:type="dxa"/>
          </w:tcPr>
          <w:p>
            <w:pPr/>
          </w:p>
        </w:tc>
        <w:tc>
          <w:tcPr>
            <w:tcW w:w="1291" w:type="dxa"/>
          </w:tcPr>
          <w:p>
            <w:pPr>
              <w:pStyle w:val="TableParagraph"/>
              <w:spacing w:before="18"/>
              <w:ind w:left="139"/>
              <w:rPr>
                <w:b/>
                <w:sz w:val="18"/>
              </w:rPr>
            </w:pPr>
            <w:r>
              <w:rPr>
                <w:b/>
                <w:w w:val="99"/>
                <w:sz w:val="18"/>
              </w:rPr>
              <w:t>-</w:t>
            </w:r>
          </w:p>
        </w:tc>
        <w:tc>
          <w:tcPr>
            <w:tcW w:w="3053" w:type="dxa"/>
          </w:tcPr>
          <w:p>
            <w:pPr>
              <w:pStyle w:val="TableParagraph"/>
              <w:tabs>
                <w:tab w:pos="1305" w:val="left" w:leader="none"/>
                <w:tab w:pos="2604" w:val="left" w:leader="none"/>
              </w:tabs>
              <w:spacing w:before="18"/>
              <w:ind w:left="146"/>
              <w:rPr>
                <w:sz w:val="18"/>
              </w:rPr>
            </w:pPr>
            <w:r>
              <w:rPr>
                <w:sz w:val="18"/>
              </w:rPr>
              <w:t>-</w:t>
              <w:tab/>
            </w:r>
            <w:r>
              <w:rPr>
                <w:b/>
                <w:sz w:val="18"/>
              </w:rPr>
              <w:t>(182)</w:t>
              <w:tab/>
            </w:r>
            <w:r>
              <w:rPr>
                <w:sz w:val="18"/>
              </w:rPr>
              <w:t>(191)</w:t>
            </w:r>
          </w:p>
        </w:tc>
      </w:tr>
      <w:tr>
        <w:trPr>
          <w:trHeight w:val="260" w:hRule="exact"/>
        </w:trPr>
        <w:tc>
          <w:tcPr>
            <w:tcW w:w="2515" w:type="dxa"/>
          </w:tcPr>
          <w:p>
            <w:pPr>
              <w:pStyle w:val="TableParagraph"/>
              <w:spacing w:before="20"/>
              <w:ind w:left="35"/>
              <w:rPr>
                <w:sz w:val="18"/>
              </w:rPr>
            </w:pPr>
            <w:r>
              <w:rPr>
                <w:sz w:val="18"/>
              </w:rPr>
              <w:t>Loans forgiven by Parent</w:t>
            </w:r>
          </w:p>
        </w:tc>
        <w:tc>
          <w:tcPr>
            <w:tcW w:w="940" w:type="dxa"/>
          </w:tcPr>
          <w:p>
            <w:pPr/>
          </w:p>
        </w:tc>
        <w:tc>
          <w:tcPr>
            <w:tcW w:w="1176" w:type="dxa"/>
            <w:tcBorders>
              <w:bottom w:val="single" w:sz="1" w:space="0" w:color="000000"/>
            </w:tcBorders>
          </w:tcPr>
          <w:p>
            <w:pPr/>
          </w:p>
        </w:tc>
        <w:tc>
          <w:tcPr>
            <w:tcW w:w="1291" w:type="dxa"/>
            <w:tcBorders>
              <w:bottom w:val="single" w:sz="1" w:space="0" w:color="000000"/>
            </w:tcBorders>
          </w:tcPr>
          <w:p>
            <w:pPr>
              <w:pStyle w:val="TableParagraph"/>
              <w:spacing w:before="18"/>
              <w:ind w:left="139"/>
              <w:rPr>
                <w:b/>
                <w:sz w:val="18"/>
              </w:rPr>
            </w:pPr>
            <w:r>
              <w:rPr>
                <w:b/>
                <w:w w:val="99"/>
                <w:sz w:val="18"/>
              </w:rPr>
              <w:t>-</w:t>
            </w:r>
          </w:p>
        </w:tc>
        <w:tc>
          <w:tcPr>
            <w:tcW w:w="3053" w:type="dxa"/>
            <w:tcBorders>
              <w:bottom w:val="single" w:sz="1" w:space="0" w:color="000000"/>
            </w:tcBorders>
          </w:tcPr>
          <w:p>
            <w:pPr>
              <w:pStyle w:val="TableParagraph"/>
              <w:tabs>
                <w:tab w:pos="1154" w:val="left" w:leader="none"/>
                <w:tab w:pos="2906" w:val="left" w:leader="none"/>
              </w:tabs>
              <w:spacing w:before="18"/>
              <w:ind w:left="146"/>
              <w:rPr>
                <w:sz w:val="18"/>
              </w:rPr>
            </w:pPr>
            <w:r>
              <w:rPr>
                <w:sz w:val="18"/>
              </w:rPr>
              <w:t>-</w:t>
              <w:tab/>
            </w:r>
            <w:r>
              <w:rPr>
                <w:b/>
                <w:sz w:val="18"/>
              </w:rPr>
              <w:t>(3,935)</w:t>
              <w:tab/>
            </w:r>
            <w:r>
              <w:rPr>
                <w:sz w:val="18"/>
              </w:rPr>
              <w:t>-</w:t>
            </w:r>
          </w:p>
        </w:tc>
      </w:tr>
    </w:tbl>
    <w:p>
      <w:pPr>
        <w:tabs>
          <w:tab w:pos="4087" w:val="left" w:leader="none"/>
          <w:tab w:pos="5805" w:val="left" w:leader="none"/>
          <w:tab w:pos="7103" w:val="left" w:leader="none"/>
          <w:tab w:pos="8323" w:val="left" w:leader="none"/>
          <w:tab w:pos="9470" w:val="left" w:leader="none"/>
        </w:tabs>
        <w:spacing w:before="32"/>
        <w:ind w:left="1070" w:right="130" w:firstLine="0"/>
        <w:jc w:val="left"/>
        <w:rPr>
          <w:sz w:val="18"/>
        </w:rPr>
      </w:pPr>
      <w:r>
        <w:rPr>
          <w:b/>
          <w:position w:val="3"/>
          <w:sz w:val="18"/>
        </w:rPr>
        <w:t>End of </w:t>
      </w:r>
      <w:r>
        <w:rPr>
          <w:b/>
          <w:spacing w:val="-3"/>
          <w:position w:val="3"/>
          <w:sz w:val="18"/>
        </w:rPr>
        <w:t>year</w:t>
        <w:tab/>
      </w:r>
      <w:r>
        <w:rPr>
          <w:position w:val="9"/>
          <w:sz w:val="18"/>
        </w:rPr>
        <w:t>25</w:t>
        <w:tab/>
      </w:r>
      <w:r>
        <w:rPr>
          <w:b/>
          <w:sz w:val="18"/>
        </w:rPr>
        <w:t>-</w:t>
        <w:tab/>
      </w:r>
      <w:r>
        <w:rPr>
          <w:sz w:val="18"/>
        </w:rPr>
        <w:t>-</w:t>
        <w:tab/>
      </w:r>
      <w:r>
        <w:rPr>
          <w:b/>
          <w:sz w:val="18"/>
        </w:rPr>
        <w:t>799</w:t>
        <w:tab/>
      </w:r>
      <w:r>
        <w:rPr>
          <w:sz w:val="18"/>
        </w:rPr>
        <w:t>5,619</w:t>
      </w:r>
    </w:p>
    <w:p>
      <w:pPr>
        <w:pStyle w:val="BodyText"/>
        <w:spacing w:line="48" w:lineRule="exact"/>
        <w:ind w:left="4488"/>
        <w:rPr>
          <w:sz w:val="4"/>
        </w:rPr>
      </w:pPr>
      <w:r>
        <w:rPr>
          <w:position w:val="0"/>
          <w:sz w:val="4"/>
        </w:rPr>
        <w:pict>
          <v:group style="width:276.150pt;height:2.450pt;mso-position-horizontal-relative:char;mso-position-vertical-relative:line" coordorigin="0,0" coordsize="5523,49">
            <v:line style="position:absolute" from="2,2" to="170,2" stroked="true" strokeweight=".12pt" strokecolor="#000000"/>
            <v:line style="position:absolute" from="2,4" to="170,4" stroked="true" strokeweight=".12pt" strokecolor="#000000"/>
            <v:line style="position:absolute" from="2,6" to="170,6" stroked="true" strokeweight=".12pt" strokecolor="#000000"/>
            <v:line style="position:absolute" from="2,9" to="170,9" stroked="true" strokeweight=".12pt" strokecolor="#000000"/>
            <v:line style="position:absolute" from="2,11" to="170,11" stroked="true" strokeweight=".12pt" strokecolor="#000000"/>
            <v:line style="position:absolute" from="2,14" to="170,14" stroked="true" strokeweight=".12pt" strokecolor="#000000"/>
            <v:line style="position:absolute" from="2,35" to="170,35" stroked="true" strokeweight=".12pt" strokecolor="#000000"/>
            <v:line style="position:absolute" from="2,38" to="170,38" stroked="true" strokeweight=".12pt" strokecolor="#000000"/>
            <v:line style="position:absolute" from="2,40" to="170,40" stroked="true" strokeweight=".12pt" strokecolor="#000000"/>
            <v:line style="position:absolute" from="2,42" to="170,42" stroked="true" strokeweight=".12pt" strokecolor="#000000"/>
            <v:line style="position:absolute" from="2,45" to="170,45" stroked="true" strokeweight=".12pt" strokecolor="#000000"/>
            <v:line style="position:absolute" from="2,47" to="170,47" stroked="true" strokeweight=".12pt" strokecolor="#000000"/>
            <v:line style="position:absolute" from="170,2" to="1466,2" stroked="true" strokeweight=".12pt" strokecolor="#000000"/>
            <v:line style="position:absolute" from="170,4" to="1466,4" stroked="true" strokeweight=".12pt" strokecolor="#000000"/>
            <v:line style="position:absolute" from="170,6" to="1466,6" stroked="true" strokeweight=".12pt" strokecolor="#000000"/>
            <v:line style="position:absolute" from="170,9" to="1466,9" stroked="true" strokeweight=".12pt" strokecolor="#000000"/>
            <v:line style="position:absolute" from="170,11" to="1466,11" stroked="true" strokeweight=".12pt" strokecolor="#000000"/>
            <v:line style="position:absolute" from="170,14" to="1466,14" stroked="true" strokeweight=".12pt" strokecolor="#000000"/>
            <v:line style="position:absolute" from="170,35" to="1466,35" stroked="true" strokeweight=".12pt" strokecolor="#000000"/>
            <v:line style="position:absolute" from="170,38" to="1466,38" stroked="true" strokeweight=".12pt" strokecolor="#000000"/>
            <v:line style="position:absolute" from="170,40" to="1466,40" stroked="true" strokeweight=".12pt" strokecolor="#000000"/>
            <v:line style="position:absolute" from="170,42" to="1466,42" stroked="true" strokeweight=".12pt" strokecolor="#000000"/>
            <v:line style="position:absolute" from="170,45" to="1466,45" stroked="true" strokeweight=".12pt" strokecolor="#000000"/>
            <v:line style="position:absolute" from="170,47" to="1466,47" stroked="true" strokeweight=".12pt" strokecolor="#000000"/>
            <v:line style="position:absolute" from="1466,2" to="2762,2" stroked="true" strokeweight=".12pt" strokecolor="#000000"/>
            <v:line style="position:absolute" from="1466,4" to="2762,4" stroked="true" strokeweight=".12pt" strokecolor="#000000"/>
            <v:line style="position:absolute" from="1466,6" to="2762,6" stroked="true" strokeweight=".12pt" strokecolor="#000000"/>
            <v:line style="position:absolute" from="1466,9" to="2762,9" stroked="true" strokeweight=".12pt" strokecolor="#000000"/>
            <v:line style="position:absolute" from="1466,11" to="2762,11" stroked="true" strokeweight=".12pt" strokecolor="#000000"/>
            <v:line style="position:absolute" from="1466,14" to="2762,14" stroked="true" strokeweight=".12pt" strokecolor="#000000"/>
            <v:line style="position:absolute" from="1466,35" to="2762,35" stroked="true" strokeweight=".12pt" strokecolor="#000000"/>
            <v:line style="position:absolute" from="1466,38" to="2762,38" stroked="true" strokeweight=".12pt" strokecolor="#000000"/>
            <v:line style="position:absolute" from="1466,40" to="2762,40" stroked="true" strokeweight=".12pt" strokecolor="#000000"/>
            <v:line style="position:absolute" from="1466,42" to="2762,42" stroked="true" strokeweight=".12pt" strokecolor="#000000"/>
            <v:line style="position:absolute" from="1466,45" to="2762,45" stroked="true" strokeweight=".12pt" strokecolor="#000000"/>
            <v:line style="position:absolute" from="1466,47" to="2762,47" stroked="true" strokeweight=".12pt" strokecolor="#000000"/>
            <v:line style="position:absolute" from="2761,2" to="2929,2" stroked="true" strokeweight=".12pt" strokecolor="#000000"/>
            <v:line style="position:absolute" from="2761,4" to="2929,4" stroked="true" strokeweight=".12pt" strokecolor="#000000"/>
            <v:line style="position:absolute" from="2761,6" to="2929,6" stroked="true" strokeweight=".12pt" strokecolor="#000000"/>
            <v:line style="position:absolute" from="2761,9" to="2929,9" stroked="true" strokeweight=".12pt" strokecolor="#000000"/>
            <v:line style="position:absolute" from="2761,11" to="2929,11" stroked="true" strokeweight=".12pt" strokecolor="#000000"/>
            <v:line style="position:absolute" from="2761,14" to="2929,14" stroked="true" strokeweight=".12pt" strokecolor="#000000"/>
            <v:line style="position:absolute" from="2761,35" to="2929,35" stroked="true" strokeweight=".12pt" strokecolor="#000000"/>
            <v:line style="position:absolute" from="2761,38" to="2929,38" stroked="true" strokeweight=".12pt" strokecolor="#000000"/>
            <v:line style="position:absolute" from="2761,40" to="2929,40" stroked="true" strokeweight=".12pt" strokecolor="#000000"/>
            <v:line style="position:absolute" from="2761,42" to="2929,42" stroked="true" strokeweight=".12pt" strokecolor="#000000"/>
            <v:line style="position:absolute" from="2761,45" to="2929,45" stroked="true" strokeweight=".12pt" strokecolor="#000000"/>
            <v:line style="position:absolute" from="2761,47" to="2929,47" stroked="true" strokeweight=".12pt" strokecolor="#000000"/>
            <v:line style="position:absolute" from="2930,2" to="4226,2" stroked="true" strokeweight=".12pt" strokecolor="#000000"/>
            <v:line style="position:absolute" from="2930,4" to="4226,4" stroked="true" strokeweight=".12pt" strokecolor="#000000"/>
            <v:line style="position:absolute" from="2930,6" to="4226,6" stroked="true" strokeweight=".12pt" strokecolor="#000000"/>
            <v:line style="position:absolute" from="2930,9" to="4226,9" stroked="true" strokeweight=".12pt" strokecolor="#000000"/>
            <v:line style="position:absolute" from="2930,11" to="4226,11" stroked="true" strokeweight=".12pt" strokecolor="#000000"/>
            <v:line style="position:absolute" from="2930,14" to="4226,14" stroked="true" strokeweight=".12pt" strokecolor="#000000"/>
            <v:line style="position:absolute" from="2930,35" to="4226,35" stroked="true" strokeweight=".12pt" strokecolor="#000000"/>
            <v:line style="position:absolute" from="2930,38" to="4226,38" stroked="true" strokeweight=".12pt" strokecolor="#000000"/>
            <v:line style="position:absolute" from="2930,40" to="4226,40" stroked="true" strokeweight=".12pt" strokecolor="#000000"/>
            <v:line style="position:absolute" from="2930,42" to="4226,42" stroked="true" strokeweight=".12pt" strokecolor="#000000"/>
            <v:line style="position:absolute" from="2930,45" to="4226,45" stroked="true" strokeweight=".12pt" strokecolor="#000000"/>
            <v:line style="position:absolute" from="2930,47" to="4226,47" stroked="true" strokeweight=".12pt" strokecolor="#000000"/>
            <v:line style="position:absolute" from="4225,2" to="5521,2" stroked="true" strokeweight=".12pt" strokecolor="#000000"/>
            <v:line style="position:absolute" from="4225,4" to="5521,4" stroked="true" strokeweight=".12pt" strokecolor="#000000"/>
            <v:line style="position:absolute" from="4225,6" to="5521,6" stroked="true" strokeweight=".12pt" strokecolor="#000000"/>
            <v:line style="position:absolute" from="4225,9" to="5521,9" stroked="true" strokeweight=".12pt" strokecolor="#000000"/>
            <v:line style="position:absolute" from="4225,11" to="5521,11" stroked="true" strokeweight=".12pt" strokecolor="#000000"/>
            <v:line style="position:absolute" from="4225,14" to="5521,14" stroked="true" strokeweight=".12pt" strokecolor="#000000"/>
            <v:line style="position:absolute" from="4225,35" to="5521,35" stroked="true" strokeweight=".12pt" strokecolor="#000000"/>
            <v:line style="position:absolute" from="4225,38" to="5521,38" stroked="true" strokeweight=".12pt" strokecolor="#000000"/>
            <v:line style="position:absolute" from="4225,40" to="5521,40" stroked="true" strokeweight=".12pt" strokecolor="#000000"/>
            <v:line style="position:absolute" from="4225,42" to="5521,42" stroked="true" strokeweight=".12pt" strokecolor="#000000"/>
            <v:line style="position:absolute" from="4225,45" to="5521,45" stroked="true" strokeweight=".12pt" strokecolor="#000000"/>
            <v:line style="position:absolute" from="4225,47" to="5521,47" stroked="true" strokeweight=".12pt" strokecolor="#000000"/>
          </v:group>
        </w:pict>
      </w:r>
      <w:r>
        <w:rPr>
          <w:position w:val="0"/>
          <w:sz w:val="4"/>
        </w:rPr>
      </w:r>
    </w:p>
    <w:p>
      <w:pPr>
        <w:pStyle w:val="BodyText"/>
        <w:rPr>
          <w:sz w:val="20"/>
        </w:rPr>
      </w:pPr>
    </w:p>
    <w:p>
      <w:pPr>
        <w:pStyle w:val="BodyText"/>
        <w:spacing w:before="1"/>
        <w:rPr>
          <w:sz w:val="19"/>
        </w:rPr>
      </w:pPr>
    </w:p>
    <w:p>
      <w:pPr>
        <w:pStyle w:val="Heading9"/>
        <w:tabs>
          <w:tab w:pos="8373" w:val="left" w:leader="none"/>
        </w:tabs>
        <w:spacing w:before="78"/>
        <w:ind w:left="5337" w:right="220"/>
      </w:pPr>
      <w:r>
        <w:rPr/>
        <w:t>Consolidated</w:t>
        <w:tab/>
        <w:t>Parent</w:t>
      </w:r>
    </w:p>
    <w:p>
      <w:pPr>
        <w:spacing w:after="0"/>
        <w:sectPr>
          <w:pgSz w:w="11910" w:h="16840"/>
          <w:pgMar w:header="1037" w:footer="507" w:top="2220" w:bottom="700" w:left="900" w:right="880"/>
        </w:sectPr>
      </w:pPr>
    </w:p>
    <w:p>
      <w:pPr>
        <w:spacing w:before="66"/>
        <w:ind w:left="0" w:right="19" w:firstLine="0"/>
        <w:jc w:val="right"/>
        <w:rPr>
          <w:b/>
          <w:sz w:val="18"/>
        </w:rPr>
      </w:pPr>
      <w:r>
        <w:rPr>
          <w:b/>
          <w:w w:val="95"/>
          <w:sz w:val="18"/>
        </w:rPr>
        <w:t>2017</w:t>
      </w:r>
    </w:p>
    <w:p>
      <w:pPr>
        <w:spacing w:before="66"/>
        <w:ind w:left="0" w:right="0" w:firstLine="0"/>
        <w:jc w:val="right"/>
        <w:rPr>
          <w:b/>
          <w:sz w:val="18"/>
        </w:rPr>
      </w:pPr>
      <w:r>
        <w:rPr>
          <w:b/>
          <w:sz w:val="18"/>
        </w:rPr>
        <w:t>$'000</w:t>
      </w:r>
    </w:p>
    <w:p>
      <w:pPr>
        <w:spacing w:before="66"/>
        <w:ind w:left="819" w:right="-16" w:firstLine="0"/>
        <w:jc w:val="left"/>
        <w:rPr>
          <w:b/>
          <w:sz w:val="18"/>
        </w:rPr>
      </w:pPr>
      <w:r>
        <w:rPr/>
        <w:br w:type="column"/>
      </w:r>
      <w:r>
        <w:rPr>
          <w:b/>
          <w:sz w:val="18"/>
        </w:rPr>
        <w:t>2016</w:t>
      </w:r>
    </w:p>
    <w:p>
      <w:pPr>
        <w:spacing w:before="66"/>
        <w:ind w:left="797" w:right="-16"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19" w:right="0" w:firstLine="0"/>
        <w:jc w:val="left"/>
        <w:rPr>
          <w:b/>
          <w:sz w:val="18"/>
        </w:rPr>
      </w:pPr>
      <w:r>
        <w:rPr/>
        <w:br w:type="column"/>
      </w:r>
      <w:r>
        <w:rPr>
          <w:b/>
          <w:sz w:val="18"/>
        </w:rPr>
        <w:t>2016</w:t>
      </w:r>
    </w:p>
    <w:p>
      <w:pPr>
        <w:spacing w:before="66"/>
        <w:ind w:left="797" w:right="0" w:firstLine="0"/>
        <w:jc w:val="left"/>
        <w:rPr>
          <w:b/>
          <w:sz w:val="18"/>
        </w:rPr>
      </w:pPr>
      <w:r>
        <w:rPr>
          <w:b/>
          <w:sz w:val="18"/>
        </w:rPr>
        <w:t>$'000</w:t>
      </w:r>
    </w:p>
    <w:p>
      <w:pPr>
        <w:spacing w:after="0"/>
        <w:jc w:val="left"/>
        <w:rPr>
          <w:sz w:val="18"/>
        </w:rPr>
        <w:sectPr>
          <w:type w:val="continuous"/>
          <w:pgSz w:w="11910" w:h="16840"/>
          <w:pgMar w:top="1580" w:bottom="280" w:left="900" w:right="880"/>
          <w:cols w:num="4" w:equalWidth="0">
            <w:col w:w="5527" w:space="40"/>
            <w:col w:w="1245" w:space="40"/>
            <w:col w:w="1437" w:space="40"/>
            <w:col w:w="1801"/>
          </w:cols>
        </w:sectPr>
      </w:pPr>
    </w:p>
    <w:p>
      <w:pPr>
        <w:pStyle w:val="BodyText"/>
        <w:spacing w:before="2"/>
        <w:rPr>
          <w:b/>
          <w:sz w:val="15"/>
        </w:rPr>
      </w:pPr>
    </w:p>
    <w:p>
      <w:pPr>
        <w:spacing w:before="0"/>
        <w:ind w:left="1070" w:right="220" w:firstLine="0"/>
        <w:jc w:val="left"/>
        <w:rPr>
          <w:b/>
          <w:sz w:val="18"/>
        </w:rPr>
      </w:pPr>
      <w:r>
        <w:rPr>
          <w:b/>
          <w:sz w:val="18"/>
        </w:rPr>
        <w:t>Loans from subsidiaries</w:t>
      </w:r>
    </w:p>
    <w:p>
      <w:pPr>
        <w:tabs>
          <w:tab w:pos="5805" w:val="left" w:leader="none"/>
          <w:tab w:pos="7103" w:val="left" w:leader="none"/>
          <w:tab w:pos="8171" w:val="left" w:leader="none"/>
          <w:tab w:pos="9470" w:val="left" w:leader="none"/>
        </w:tabs>
        <w:spacing w:before="30"/>
        <w:ind w:left="1070" w:right="130" w:firstLine="0"/>
        <w:jc w:val="left"/>
        <w:rPr>
          <w:sz w:val="18"/>
        </w:rPr>
      </w:pPr>
      <w:r>
        <w:rPr>
          <w:sz w:val="18"/>
        </w:rPr>
        <w:t>Beginning of</w:t>
      </w:r>
      <w:r>
        <w:rPr>
          <w:spacing w:val="1"/>
          <w:sz w:val="18"/>
        </w:rPr>
        <w:t> </w:t>
      </w:r>
      <w:r>
        <w:rPr>
          <w:sz w:val="18"/>
        </w:rPr>
        <w:t>the year</w:t>
        <w:tab/>
      </w:r>
      <w:r>
        <w:rPr>
          <w:b/>
          <w:sz w:val="18"/>
        </w:rPr>
        <w:t>-</w:t>
        <w:tab/>
      </w:r>
      <w:r>
        <w:rPr>
          <w:sz w:val="18"/>
        </w:rPr>
        <w:t>-</w:t>
        <w:tab/>
      </w:r>
      <w:r>
        <w:rPr>
          <w:b/>
          <w:sz w:val="18"/>
        </w:rPr>
        <w:t>7,228</w:t>
        <w:tab/>
      </w:r>
      <w:r>
        <w:rPr>
          <w:sz w:val="18"/>
        </w:rPr>
        <w:t>7,681</w:t>
      </w:r>
    </w:p>
    <w:p>
      <w:pPr>
        <w:tabs>
          <w:tab w:pos="5805" w:val="left" w:leader="none"/>
          <w:tab w:pos="7103" w:val="left" w:leader="none"/>
          <w:tab w:pos="8071" w:val="left" w:leader="none"/>
          <w:tab w:pos="9470" w:val="left" w:leader="none"/>
        </w:tabs>
        <w:spacing w:before="57"/>
        <w:ind w:left="1070" w:right="130" w:firstLine="0"/>
        <w:jc w:val="left"/>
        <w:rPr>
          <w:sz w:val="18"/>
        </w:rPr>
      </w:pPr>
      <w:r>
        <w:rPr>
          <w:sz w:val="18"/>
        </w:rPr>
        <w:t>Loans advanced</w:t>
        <w:tab/>
      </w:r>
      <w:r>
        <w:rPr>
          <w:b/>
          <w:sz w:val="18"/>
        </w:rPr>
        <w:t>-</w:t>
        <w:tab/>
      </w:r>
      <w:r>
        <w:rPr>
          <w:sz w:val="18"/>
        </w:rPr>
        <w:t>-</w:t>
        <w:tab/>
      </w:r>
      <w:r>
        <w:rPr>
          <w:b/>
          <w:sz w:val="18"/>
        </w:rPr>
        <w:t>10,687</w:t>
        <w:tab/>
      </w:r>
      <w:r>
        <w:rPr>
          <w:sz w:val="18"/>
        </w:rPr>
        <w:t>5,072</w:t>
      </w:r>
    </w:p>
    <w:p>
      <w:pPr>
        <w:tabs>
          <w:tab w:pos="5805" w:val="left" w:leader="none"/>
          <w:tab w:pos="7103" w:val="left" w:leader="none"/>
          <w:tab w:pos="8111" w:val="left" w:leader="none"/>
          <w:tab w:pos="9410" w:val="left" w:leader="none"/>
        </w:tabs>
        <w:spacing w:before="57"/>
        <w:ind w:left="1070" w:right="98" w:firstLine="0"/>
        <w:jc w:val="left"/>
        <w:rPr>
          <w:sz w:val="18"/>
        </w:rPr>
      </w:pPr>
      <w:r>
        <w:rPr>
          <w:sz w:val="18"/>
        </w:rPr>
        <w:t>Loan repayments paid</w:t>
        <w:tab/>
      </w:r>
      <w:r>
        <w:rPr>
          <w:b/>
          <w:sz w:val="18"/>
        </w:rPr>
        <w:t>-</w:t>
        <w:tab/>
      </w:r>
      <w:r>
        <w:rPr>
          <w:sz w:val="18"/>
        </w:rPr>
        <w:t>-</w:t>
        <w:tab/>
      </w:r>
      <w:r>
        <w:rPr>
          <w:b/>
          <w:sz w:val="18"/>
        </w:rPr>
        <w:t>(8,913)</w:t>
        <w:tab/>
      </w:r>
      <w:r>
        <w:rPr>
          <w:sz w:val="18"/>
        </w:rPr>
        <w:t>(5,664)</w:t>
      </w:r>
    </w:p>
    <w:p>
      <w:pPr>
        <w:pStyle w:val="BodyText"/>
        <w:tabs>
          <w:tab w:pos="5805" w:val="left" w:leader="none"/>
          <w:tab w:pos="7103" w:val="left" w:leader="none"/>
          <w:tab w:pos="8323" w:val="left" w:leader="none"/>
          <w:tab w:pos="9923" w:val="right" w:leader="none"/>
        </w:tabs>
        <w:spacing w:before="57"/>
        <w:ind w:left="1070"/>
      </w:pPr>
      <w:r>
        <w:rPr/>
        <w:pict>
          <v:group style="position:absolute;margin-left:269.445007pt;margin-top:14.336905pt;width:276.150pt;height:1pt;mso-position-horizontal-relative:page;mso-position-vertical-relative:paragraph;z-index:1792" coordorigin="5389,287" coordsize="5523,20">
            <v:line style="position:absolute" from="5390,288" to="5558,288" stroked="true" strokeweight=".12pt" strokecolor="#000000"/>
            <v:line style="position:absolute" from="5390,291" to="5558,291" stroked="true" strokeweight=".12pt" strokecolor="#000000"/>
            <v:line style="position:absolute" from="5390,293" to="5558,293" stroked="true" strokeweight=".12pt" strokecolor="#000000"/>
            <v:line style="position:absolute" from="5390,295" to="5558,295" stroked="true" strokeweight=".12pt" strokecolor="#000000"/>
            <v:line style="position:absolute" from="5390,298" to="5558,298" stroked="true" strokeweight=".12pt" strokecolor="#000000"/>
            <v:line style="position:absolute" from="5390,300" to="5558,300" stroked="true" strokeweight=".12pt" strokecolor="#000000"/>
            <v:line style="position:absolute" from="5390,303" to="5558,303" stroked="true" strokeweight=".12pt" strokecolor="#000000"/>
            <v:line style="position:absolute" from="5390,305" to="5558,305" stroked="true" strokeweight=".12pt" strokecolor="#000000"/>
            <v:line style="position:absolute" from="5558,288" to="6854,288" stroked="true" strokeweight=".12pt" strokecolor="#000000"/>
            <v:line style="position:absolute" from="5558,291" to="6854,291" stroked="true" strokeweight=".12pt" strokecolor="#000000"/>
            <v:line style="position:absolute" from="5558,293" to="6854,293" stroked="true" strokeweight=".12pt" strokecolor="#000000"/>
            <v:line style="position:absolute" from="5558,295" to="6854,295" stroked="true" strokeweight=".12pt" strokecolor="#000000"/>
            <v:line style="position:absolute" from="5558,298" to="6854,298" stroked="true" strokeweight=".12pt" strokecolor="#000000"/>
            <v:line style="position:absolute" from="5558,300" to="6854,300" stroked="true" strokeweight=".12pt" strokecolor="#000000"/>
            <v:line style="position:absolute" from="5558,303" to="6854,303" stroked="true" strokeweight=".12pt" strokecolor="#000000"/>
            <v:line style="position:absolute" from="5558,305" to="6854,305" stroked="true" strokeweight=".12pt" strokecolor="#000000"/>
            <v:line style="position:absolute" from="6854,288" to="8150,288" stroked="true" strokeweight=".12pt" strokecolor="#000000"/>
            <v:line style="position:absolute" from="6854,291" to="8150,291" stroked="true" strokeweight=".12pt" strokecolor="#000000"/>
            <v:line style="position:absolute" from="6854,293" to="8150,293" stroked="true" strokeweight=".12pt" strokecolor="#000000"/>
            <v:line style="position:absolute" from="6854,295" to="8150,295" stroked="true" strokeweight=".12pt" strokecolor="#000000"/>
            <v:line style="position:absolute" from="6854,298" to="8150,298" stroked="true" strokeweight=".12pt" strokecolor="#000000"/>
            <v:line style="position:absolute" from="6854,300" to="8150,300" stroked="true" strokeweight=".12pt" strokecolor="#000000"/>
            <v:line style="position:absolute" from="6854,303" to="8150,303" stroked="true" strokeweight=".12pt" strokecolor="#000000"/>
            <v:line style="position:absolute" from="6854,305" to="8150,305" stroked="true" strokeweight=".12pt" strokecolor="#000000"/>
            <v:line style="position:absolute" from="8150,288" to="8318,288" stroked="true" strokeweight=".12pt" strokecolor="#000000"/>
            <v:line style="position:absolute" from="8150,291" to="8318,291" stroked="true" strokeweight=".12pt" strokecolor="#000000"/>
            <v:line style="position:absolute" from="8150,293" to="8318,293" stroked="true" strokeweight=".12pt" strokecolor="#000000"/>
            <v:line style="position:absolute" from="8150,295" to="8318,295" stroked="true" strokeweight=".12pt" strokecolor="#000000"/>
            <v:line style="position:absolute" from="8150,298" to="8318,298" stroked="true" strokeweight=".12pt" strokecolor="#000000"/>
            <v:line style="position:absolute" from="8150,300" to="8318,300" stroked="true" strokeweight=".12pt" strokecolor="#000000"/>
            <v:line style="position:absolute" from="8150,303" to="8318,303" stroked="true" strokeweight=".12pt" strokecolor="#000000"/>
            <v:line style="position:absolute" from="8150,305" to="8318,305" stroked="true" strokeweight=".12pt" strokecolor="#000000"/>
            <v:line style="position:absolute" from="8318,288" to="9614,288" stroked="true" strokeweight=".12pt" strokecolor="#000000"/>
            <v:line style="position:absolute" from="8318,291" to="9614,291" stroked="true" strokeweight=".12pt" strokecolor="#000000"/>
            <v:line style="position:absolute" from="8318,293" to="9614,293" stroked="true" strokeweight=".12pt" strokecolor="#000000"/>
            <v:line style="position:absolute" from="8318,295" to="9614,295" stroked="true" strokeweight=".12pt" strokecolor="#000000"/>
            <v:line style="position:absolute" from="8318,298" to="9614,298" stroked="true" strokeweight=".12pt" strokecolor="#000000"/>
            <v:line style="position:absolute" from="8318,300" to="9614,300" stroked="true" strokeweight=".12pt" strokecolor="#000000"/>
            <v:line style="position:absolute" from="8318,303" to="9614,303" stroked="true" strokeweight=".12pt" strokecolor="#000000"/>
            <v:line style="position:absolute" from="8318,305" to="9614,305" stroked="true" strokeweight=".12pt" strokecolor="#000000"/>
            <v:line style="position:absolute" from="9614,288" to="10910,288" stroked="true" strokeweight=".12pt" strokecolor="#000000"/>
            <v:line style="position:absolute" from="9614,291" to="10910,291" stroked="true" strokeweight=".12pt" strokecolor="#000000"/>
            <v:line style="position:absolute" from="9614,293" to="10910,293" stroked="true" strokeweight=".12pt" strokecolor="#000000"/>
            <v:line style="position:absolute" from="9614,295" to="10910,295" stroked="true" strokeweight=".12pt" strokecolor="#000000"/>
            <v:line style="position:absolute" from="9614,298" to="10910,298" stroked="true" strokeweight=".12pt" strokecolor="#000000"/>
            <v:line style="position:absolute" from="9614,300" to="10910,300" stroked="true" strokeweight=".12pt" strokecolor="#000000"/>
            <v:line style="position:absolute" from="9614,303" to="10910,303" stroked="true" strokeweight=".12pt" strokecolor="#000000"/>
            <v:line style="position:absolute" from="9614,305" to="10910,305" stroked="true" strokeweight=".12pt" strokecolor="#000000"/>
            <w10:wrap type="none"/>
          </v:group>
        </w:pict>
      </w:r>
      <w:r>
        <w:rPr/>
        <w:t>Interest charged</w:t>
        <w:tab/>
      </w:r>
      <w:r>
        <w:rPr>
          <w:b/>
        </w:rPr>
        <w:t>-</w:t>
        <w:tab/>
      </w:r>
      <w:r>
        <w:rPr/>
        <w:t>-</w:t>
        <w:tab/>
      </w:r>
      <w:r>
        <w:rPr>
          <w:b/>
        </w:rPr>
        <w:t>199</w:t>
      </w:r>
      <w:r>
        <w:rPr>
          <w:rFonts w:ascii="Times New Roman"/>
        </w:rPr>
        <w:tab/>
      </w:r>
      <w:r>
        <w:rPr/>
        <w:t>139</w:t>
      </w:r>
    </w:p>
    <w:p>
      <w:pPr>
        <w:tabs>
          <w:tab w:pos="4087" w:val="left" w:leader="none"/>
          <w:tab w:pos="5805" w:val="left" w:leader="none"/>
          <w:tab w:pos="7103" w:val="left" w:leader="none"/>
          <w:tab w:pos="8171" w:val="left" w:leader="none"/>
          <w:tab w:pos="9470" w:val="left" w:leader="none"/>
        </w:tabs>
        <w:spacing w:before="128"/>
        <w:ind w:left="1070" w:right="130" w:firstLine="0"/>
        <w:jc w:val="left"/>
        <w:rPr>
          <w:sz w:val="18"/>
        </w:rPr>
      </w:pPr>
      <w:r>
        <w:rPr/>
        <w:pict>
          <v:group style="position:absolute;margin-left:269.445007pt;margin-top:18.066885pt;width:276.150pt;height:2.450pt;mso-position-horizontal-relative:page;mso-position-vertical-relative:paragraph;z-index:-1182208" coordorigin="5389,361" coordsize="5523,49">
            <v:line style="position:absolute" from="5390,363" to="5558,363" stroked="true" strokeweight=".12pt" strokecolor="#000000"/>
            <v:line style="position:absolute" from="5390,365" to="5558,365" stroked="true" strokeweight=".12pt" strokecolor="#000000"/>
            <v:line style="position:absolute" from="5390,368" to="5558,368" stroked="true" strokeweight=".12pt" strokecolor="#000000"/>
            <v:line style="position:absolute" from="5390,370" to="5558,370" stroked="true" strokeweight=".12pt" strokecolor="#000000"/>
            <v:line style="position:absolute" from="5390,372" to="5558,372" stroked="true" strokeweight=".12pt" strokecolor="#000000"/>
            <v:line style="position:absolute" from="5390,375" to="5558,375" stroked="true" strokeweight=".12pt" strokecolor="#000000"/>
            <v:line style="position:absolute" from="5390,396" to="5558,396" stroked="true" strokeweight=".12pt" strokecolor="#000000"/>
            <v:line style="position:absolute" from="5390,399" to="5558,399" stroked="true" strokeweight=".12pt" strokecolor="#000000"/>
            <v:line style="position:absolute" from="5390,401" to="5558,401" stroked="true" strokeweight=".12pt" strokecolor="#000000"/>
            <v:line style="position:absolute" from="5390,404" to="5558,404" stroked="true" strokeweight=".12pt" strokecolor="#000000"/>
            <v:line style="position:absolute" from="5390,406" to="5558,406" stroked="true" strokeweight=".12pt" strokecolor="#000000"/>
            <v:line style="position:absolute" from="5390,408" to="5558,408" stroked="true" strokeweight=".12pt" strokecolor="#000000"/>
            <v:line style="position:absolute" from="5558,363" to="6854,363" stroked="true" strokeweight=".12pt" strokecolor="#000000"/>
            <v:line style="position:absolute" from="5558,365" to="6854,365" stroked="true" strokeweight=".12pt" strokecolor="#000000"/>
            <v:line style="position:absolute" from="5558,368" to="6854,368" stroked="true" strokeweight=".12pt" strokecolor="#000000"/>
            <v:line style="position:absolute" from="5558,370" to="6854,370" stroked="true" strokeweight=".12pt" strokecolor="#000000"/>
            <v:line style="position:absolute" from="5558,372" to="6854,372" stroked="true" strokeweight=".12pt" strokecolor="#000000"/>
            <v:line style="position:absolute" from="5558,375" to="6854,375" stroked="true" strokeweight=".12pt" strokecolor="#000000"/>
            <v:line style="position:absolute" from="5558,396" to="6854,396" stroked="true" strokeweight=".12pt" strokecolor="#000000"/>
            <v:line style="position:absolute" from="5558,399" to="6854,399" stroked="true" strokeweight=".12pt" strokecolor="#000000"/>
            <v:line style="position:absolute" from="5558,401" to="6854,401" stroked="true" strokeweight=".12pt" strokecolor="#000000"/>
            <v:line style="position:absolute" from="5558,404" to="6854,404" stroked="true" strokeweight=".12pt" strokecolor="#000000"/>
            <v:line style="position:absolute" from="5558,406" to="6854,406" stroked="true" strokeweight=".12pt" strokecolor="#000000"/>
            <v:line style="position:absolute" from="5558,408" to="6854,408" stroked="true" strokeweight=".12pt" strokecolor="#000000"/>
            <v:line style="position:absolute" from="6854,363" to="8150,363" stroked="true" strokeweight=".12pt" strokecolor="#000000"/>
            <v:line style="position:absolute" from="6854,365" to="8150,365" stroked="true" strokeweight=".12pt" strokecolor="#000000"/>
            <v:line style="position:absolute" from="6854,368" to="8150,368" stroked="true" strokeweight=".12pt" strokecolor="#000000"/>
            <v:line style="position:absolute" from="6854,370" to="8150,370" stroked="true" strokeweight=".12pt" strokecolor="#000000"/>
            <v:line style="position:absolute" from="6854,372" to="8150,372" stroked="true" strokeweight=".12pt" strokecolor="#000000"/>
            <v:line style="position:absolute" from="6854,375" to="8150,375" stroked="true" strokeweight=".12pt" strokecolor="#000000"/>
            <v:line style="position:absolute" from="6854,396" to="8150,396" stroked="true" strokeweight=".12pt" strokecolor="#000000"/>
            <v:line style="position:absolute" from="6854,399" to="8150,399" stroked="true" strokeweight=".12pt" strokecolor="#000000"/>
            <v:line style="position:absolute" from="6854,401" to="8150,401" stroked="true" strokeweight=".12pt" strokecolor="#000000"/>
            <v:line style="position:absolute" from="6854,404" to="8150,404" stroked="true" strokeweight=".12pt" strokecolor="#000000"/>
            <v:line style="position:absolute" from="6854,406" to="8150,406" stroked="true" strokeweight=".12pt" strokecolor="#000000"/>
            <v:line style="position:absolute" from="6854,408" to="8150,408" stroked="true" strokeweight=".12pt" strokecolor="#000000"/>
            <v:line style="position:absolute" from="8150,363" to="8318,363" stroked="true" strokeweight=".12pt" strokecolor="#000000"/>
            <v:line style="position:absolute" from="8150,365" to="8318,365" stroked="true" strokeweight=".12pt" strokecolor="#000000"/>
            <v:line style="position:absolute" from="8150,368" to="8318,368" stroked="true" strokeweight=".12pt" strokecolor="#000000"/>
            <v:line style="position:absolute" from="8150,370" to="8318,370" stroked="true" strokeweight=".12pt" strokecolor="#000000"/>
            <v:line style="position:absolute" from="8150,372" to="8318,372" stroked="true" strokeweight=".12pt" strokecolor="#000000"/>
            <v:line style="position:absolute" from="8150,375" to="8318,375" stroked="true" strokeweight=".12pt" strokecolor="#000000"/>
            <v:line style="position:absolute" from="8150,396" to="8318,396" stroked="true" strokeweight=".12pt" strokecolor="#000000"/>
            <v:line style="position:absolute" from="8150,399" to="8318,399" stroked="true" strokeweight=".12pt" strokecolor="#000000"/>
            <v:line style="position:absolute" from="8150,401" to="8318,401" stroked="true" strokeweight=".12pt" strokecolor="#000000"/>
            <v:line style="position:absolute" from="8150,404" to="8318,404" stroked="true" strokeweight=".12pt" strokecolor="#000000"/>
            <v:line style="position:absolute" from="8150,406" to="8318,406" stroked="true" strokeweight=".12pt" strokecolor="#000000"/>
            <v:line style="position:absolute" from="8150,408" to="8318,408" stroked="true" strokeweight=".12pt" strokecolor="#000000"/>
            <v:line style="position:absolute" from="8318,363" to="9614,363" stroked="true" strokeweight=".12pt" strokecolor="#000000"/>
            <v:line style="position:absolute" from="8318,365" to="9614,365" stroked="true" strokeweight=".12pt" strokecolor="#000000"/>
            <v:line style="position:absolute" from="8318,368" to="9614,368" stroked="true" strokeweight=".12pt" strokecolor="#000000"/>
            <v:line style="position:absolute" from="8318,370" to="9614,370" stroked="true" strokeweight=".12pt" strokecolor="#000000"/>
            <v:line style="position:absolute" from="8318,372" to="9614,372" stroked="true" strokeweight=".12pt" strokecolor="#000000"/>
            <v:line style="position:absolute" from="8318,375" to="9614,375" stroked="true" strokeweight=".12pt" strokecolor="#000000"/>
            <v:line style="position:absolute" from="8318,396" to="9614,396" stroked="true" strokeweight=".12pt" strokecolor="#000000"/>
            <v:line style="position:absolute" from="8318,399" to="9614,399" stroked="true" strokeweight=".12pt" strokecolor="#000000"/>
            <v:line style="position:absolute" from="8318,401" to="9614,401" stroked="true" strokeweight=".12pt" strokecolor="#000000"/>
            <v:line style="position:absolute" from="8318,404" to="9614,404" stroked="true" strokeweight=".12pt" strokecolor="#000000"/>
            <v:line style="position:absolute" from="8318,406" to="9614,406" stroked="true" strokeweight=".12pt" strokecolor="#000000"/>
            <v:line style="position:absolute" from="8318,408" to="9614,408" stroked="true" strokeweight=".12pt" strokecolor="#000000"/>
            <v:line style="position:absolute" from="9614,363" to="10910,363" stroked="true" strokeweight=".12pt" strokecolor="#000000"/>
            <v:line style="position:absolute" from="9614,365" to="10910,365" stroked="true" strokeweight=".12pt" strokecolor="#000000"/>
            <v:line style="position:absolute" from="9614,368" to="10910,368" stroked="true" strokeweight=".12pt" strokecolor="#000000"/>
            <v:line style="position:absolute" from="9614,370" to="10910,370" stroked="true" strokeweight=".12pt" strokecolor="#000000"/>
            <v:line style="position:absolute" from="9614,372" to="10910,372" stroked="true" strokeweight=".12pt" strokecolor="#000000"/>
            <v:line style="position:absolute" from="9614,375" to="10910,375" stroked="true" strokeweight=".12pt" strokecolor="#000000"/>
            <v:line style="position:absolute" from="9614,396" to="10910,396" stroked="true" strokeweight=".12pt" strokecolor="#000000"/>
            <v:line style="position:absolute" from="9614,399" to="10910,399" stroked="true" strokeweight=".12pt" strokecolor="#000000"/>
            <v:line style="position:absolute" from="9614,401" to="10910,401" stroked="true" strokeweight=".12pt" strokecolor="#000000"/>
            <v:line style="position:absolute" from="9614,404" to="10910,404" stroked="true" strokeweight=".12pt" strokecolor="#000000"/>
            <v:line style="position:absolute" from="9614,406" to="10910,406" stroked="true" strokeweight=".12pt" strokecolor="#000000"/>
            <v:line style="position:absolute" from="9614,408" to="10910,408" stroked="true" strokeweight=".12pt" strokecolor="#000000"/>
            <w10:wrap type="none"/>
          </v:group>
        </w:pict>
      </w:r>
      <w:r>
        <w:rPr>
          <w:b/>
          <w:position w:val="3"/>
          <w:sz w:val="18"/>
        </w:rPr>
        <w:t>End of </w:t>
      </w:r>
      <w:r>
        <w:rPr>
          <w:b/>
          <w:spacing w:val="-3"/>
          <w:position w:val="3"/>
          <w:sz w:val="18"/>
        </w:rPr>
        <w:t>year</w:t>
        <w:tab/>
      </w:r>
      <w:r>
        <w:rPr>
          <w:position w:val="3"/>
          <w:sz w:val="18"/>
        </w:rPr>
        <w:t>26</w:t>
        <w:tab/>
      </w:r>
      <w:r>
        <w:rPr>
          <w:b/>
          <w:sz w:val="18"/>
        </w:rPr>
        <w:t>-</w:t>
        <w:tab/>
      </w:r>
      <w:r>
        <w:rPr>
          <w:sz w:val="18"/>
        </w:rPr>
        <w:t>-</w:t>
        <w:tab/>
      </w:r>
      <w:r>
        <w:rPr>
          <w:b/>
          <w:sz w:val="18"/>
        </w:rPr>
        <w:t>9,201</w:t>
        <w:tab/>
      </w:r>
      <w:r>
        <w:rPr>
          <w:sz w:val="18"/>
        </w:rPr>
        <w:t>7,228</w:t>
      </w:r>
    </w:p>
    <w:p>
      <w:pPr>
        <w:pStyle w:val="BodyText"/>
        <w:spacing w:line="207" w:lineRule="exact" w:before="335"/>
        <w:ind w:left="1070" w:right="220"/>
      </w:pPr>
      <w:r>
        <w:rPr/>
        <w:t>At 31 December 2017 the University forgave loans outstanding from Western Unlimited Ltd to the value of</w:t>
      </w:r>
    </w:p>
    <w:p>
      <w:pPr>
        <w:pStyle w:val="BodyText"/>
        <w:spacing w:line="207" w:lineRule="exact"/>
        <w:ind w:left="1070" w:right="220"/>
      </w:pPr>
      <w:r>
        <w:rPr/>
        <w:t>$3.935M.</w:t>
      </w:r>
    </w:p>
    <w:p>
      <w:pPr>
        <w:spacing w:after="0" w:line="207" w:lineRule="exact"/>
        <w:sectPr>
          <w:type w:val="continuous"/>
          <w:pgSz w:w="11910" w:h="16840"/>
          <w:pgMar w:top="1580" w:bottom="280" w:left="900" w:right="880"/>
        </w:sectPr>
      </w:pPr>
    </w:p>
    <w:p>
      <w:pPr>
        <w:pStyle w:val="BodyText"/>
      </w:pPr>
    </w:p>
    <w:p>
      <w:pPr>
        <w:pStyle w:val="BodyText"/>
      </w:pPr>
    </w:p>
    <w:p>
      <w:pPr>
        <w:pStyle w:val="BodyText"/>
        <w:spacing w:before="5"/>
        <w:rPr>
          <w:sz w:val="22"/>
        </w:rPr>
      </w:pPr>
    </w:p>
    <w:p>
      <w:pPr>
        <w:pStyle w:val="Heading9"/>
        <w:numPr>
          <w:ilvl w:val="0"/>
          <w:numId w:val="34"/>
        </w:numPr>
        <w:tabs>
          <w:tab w:pos="1071" w:val="left" w:leader="none"/>
        </w:tabs>
        <w:spacing w:line="240" w:lineRule="auto" w:before="0" w:after="0"/>
        <w:ind w:left="1070" w:right="0" w:hanging="566"/>
        <w:jc w:val="left"/>
      </w:pPr>
      <w:bookmarkStart w:name="(f) Outstanding balances" w:id="139"/>
      <w:bookmarkEnd w:id="139"/>
      <w:r>
        <w:rPr>
          <w:b w:val="0"/>
        </w:rPr>
      </w:r>
      <w:bookmarkStart w:name="(f) Outstanding balances" w:id="140"/>
      <w:bookmarkEnd w:id="140"/>
      <w:r>
        <w:rPr/>
        <w:t>Related</w:t>
      </w:r>
      <w:r>
        <w:rPr/>
        <w:t> Parties (continued)</w:t>
      </w:r>
    </w:p>
    <w:p>
      <w:pPr>
        <w:pStyle w:val="BodyText"/>
        <w:spacing w:before="7"/>
        <w:rPr>
          <w:b/>
          <w:sz w:val="26"/>
        </w:rPr>
      </w:pPr>
    </w:p>
    <w:p>
      <w:pPr>
        <w:pStyle w:val="ListParagraph"/>
        <w:numPr>
          <w:ilvl w:val="1"/>
          <w:numId w:val="33"/>
        </w:numPr>
        <w:tabs>
          <w:tab w:pos="1071" w:val="left" w:leader="none"/>
        </w:tabs>
        <w:spacing w:line="240" w:lineRule="auto" w:before="0" w:after="0"/>
        <w:ind w:left="1070" w:right="0" w:hanging="566"/>
        <w:jc w:val="left"/>
        <w:rPr>
          <w:sz w:val="18"/>
        </w:rPr>
      </w:pPr>
      <w:r>
        <w:rPr>
          <w:sz w:val="18"/>
        </w:rPr>
        <w:t>Outstanding balances</w:t>
      </w:r>
    </w:p>
    <w:p>
      <w:pPr>
        <w:pStyle w:val="BodyText"/>
        <w:spacing w:before="4"/>
        <w:rPr>
          <w:sz w:val="25"/>
        </w:rPr>
      </w:pPr>
    </w:p>
    <w:p>
      <w:pPr>
        <w:pStyle w:val="BodyText"/>
        <w:ind w:left="1070" w:right="159"/>
      </w:pPr>
      <w:r>
        <w:rPr/>
        <w:t>The following balances are outstanding at the reporting date in relation to transactions with related parties:</w:t>
      </w:r>
    </w:p>
    <w:p>
      <w:pPr>
        <w:pStyle w:val="BodyText"/>
        <w:spacing w:before="9"/>
        <w:rPr>
          <w:sz w:val="16"/>
        </w:rPr>
      </w:pPr>
    </w:p>
    <w:p>
      <w:pPr>
        <w:pStyle w:val="Heading9"/>
        <w:tabs>
          <w:tab w:pos="8354" w:val="left" w:leader="none"/>
        </w:tabs>
        <w:spacing w:before="1"/>
        <w:ind w:left="5318" w:right="159"/>
      </w:pPr>
      <w:r>
        <w:rPr/>
        <w:t>Consolidated</w:t>
        <w:tab/>
        <w:t>Parent</w:t>
      </w:r>
    </w:p>
    <w:p>
      <w:pPr>
        <w:spacing w:after="0"/>
        <w:sectPr>
          <w:pgSz w:w="11910" w:h="16840"/>
          <w:pgMar w:header="1037" w:footer="507" w:top="2220" w:bottom="700" w:left="900" w:right="920"/>
        </w:sectPr>
      </w:pPr>
    </w:p>
    <w:p>
      <w:pPr>
        <w:pStyle w:val="BodyText"/>
        <w:rPr>
          <w:b/>
        </w:rPr>
      </w:pPr>
    </w:p>
    <w:p>
      <w:pPr>
        <w:pStyle w:val="BodyText"/>
        <w:rPr>
          <w:b/>
        </w:rPr>
      </w:pPr>
    </w:p>
    <w:p>
      <w:pPr>
        <w:pStyle w:val="BodyText"/>
        <w:spacing w:before="2"/>
        <w:rPr>
          <w:b/>
          <w:sz w:val="19"/>
        </w:rPr>
      </w:pPr>
    </w:p>
    <w:p>
      <w:pPr>
        <w:pStyle w:val="BodyText"/>
        <w:spacing w:before="1"/>
        <w:ind w:left="1101" w:right="-2"/>
      </w:pPr>
      <w:r>
        <w:rPr/>
        <w:t>Current receivables (sale of goods and services)</w:t>
      </w:r>
    </w:p>
    <w:p>
      <w:pPr>
        <w:pStyle w:val="Heading9"/>
        <w:spacing w:before="66"/>
        <w:ind w:right="19"/>
        <w:jc w:val="right"/>
      </w:pPr>
      <w:r>
        <w:rPr>
          <w:b w:val="0"/>
        </w:rPr>
        <w:br w:type="column"/>
      </w:r>
      <w:r>
        <w:rPr/>
        <w:t>2017</w:t>
      </w:r>
    </w:p>
    <w:p>
      <w:pPr>
        <w:spacing w:before="66"/>
        <w:ind w:left="0" w:right="0" w:firstLine="0"/>
        <w:jc w:val="right"/>
        <w:rPr>
          <w:b/>
          <w:sz w:val="18"/>
        </w:rPr>
      </w:pPr>
      <w:r>
        <w:rPr>
          <w:b/>
          <w:w w:val="95"/>
          <w:sz w:val="18"/>
        </w:rPr>
        <w:t>$'000</w:t>
      </w:r>
    </w:p>
    <w:p>
      <w:pPr>
        <w:spacing w:before="66"/>
        <w:ind w:left="817" w:right="-17" w:firstLine="0"/>
        <w:jc w:val="left"/>
        <w:rPr>
          <w:b/>
          <w:sz w:val="18"/>
        </w:rPr>
      </w:pPr>
      <w:r>
        <w:rPr/>
        <w:br w:type="column"/>
      </w:r>
      <w:r>
        <w:rPr>
          <w:b/>
          <w:sz w:val="18"/>
        </w:rPr>
        <w:t>2016</w:t>
      </w:r>
    </w:p>
    <w:p>
      <w:pPr>
        <w:spacing w:before="66"/>
        <w:ind w:left="795" w:right="-17"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17" w:right="0" w:firstLine="0"/>
        <w:jc w:val="left"/>
        <w:rPr>
          <w:b/>
          <w:sz w:val="18"/>
        </w:rPr>
      </w:pPr>
      <w:r>
        <w:rPr/>
        <w:br w:type="column"/>
      </w:r>
      <w:r>
        <w:rPr>
          <w:b/>
          <w:sz w:val="18"/>
        </w:rPr>
        <w:t>2016</w:t>
      </w:r>
    </w:p>
    <w:p>
      <w:pPr>
        <w:spacing w:before="66"/>
        <w:ind w:left="795" w:right="0" w:firstLine="0"/>
        <w:jc w:val="left"/>
        <w:rPr>
          <w:b/>
          <w:sz w:val="18"/>
        </w:rPr>
      </w:pPr>
      <w:r>
        <w:rPr>
          <w:b/>
          <w:sz w:val="18"/>
        </w:rPr>
        <w:t>$'000</w:t>
      </w:r>
    </w:p>
    <w:p>
      <w:pPr>
        <w:spacing w:after="0"/>
        <w:jc w:val="left"/>
        <w:rPr>
          <w:sz w:val="18"/>
        </w:rPr>
        <w:sectPr>
          <w:type w:val="continuous"/>
          <w:pgSz w:w="11910" w:h="16840"/>
          <w:pgMar w:top="1580" w:bottom="280" w:left="900" w:right="920"/>
          <w:cols w:num="5" w:equalWidth="0">
            <w:col w:w="3861" w:space="123"/>
            <w:col w:w="1548" w:space="40"/>
            <w:col w:w="1242" w:space="40"/>
            <w:col w:w="1439" w:space="40"/>
            <w:col w:w="1757"/>
          </w:cols>
        </w:sectPr>
      </w:pPr>
    </w:p>
    <w:p>
      <w:pPr>
        <w:pStyle w:val="BodyText"/>
        <w:tabs>
          <w:tab w:pos="5807" w:val="left" w:leader="none"/>
          <w:tab w:pos="7103" w:val="left" w:leader="none"/>
          <w:tab w:pos="8567" w:val="left" w:leader="none"/>
          <w:tab w:pos="9923" w:val="right" w:leader="none"/>
        </w:tabs>
        <w:spacing w:before="57"/>
        <w:ind w:left="1315"/>
      </w:pPr>
      <w:r>
        <w:rPr/>
        <w:t>Subsidiaries</w:t>
        <w:tab/>
      </w:r>
      <w:r>
        <w:rPr>
          <w:b/>
        </w:rPr>
        <w:t>-</w:t>
        <w:tab/>
      </w:r>
      <w:r>
        <w:rPr/>
        <w:t>-</w:t>
        <w:tab/>
      </w:r>
      <w:r>
        <w:rPr>
          <w:b/>
        </w:rPr>
        <w:t>-</w:t>
      </w:r>
      <w:r>
        <w:rPr>
          <w:rFonts w:ascii="Times New Roman"/>
        </w:rPr>
        <w:tab/>
      </w:r>
      <w:r>
        <w:rPr/>
        <w:t>1</w:t>
      </w:r>
    </w:p>
    <w:p>
      <w:pPr>
        <w:pStyle w:val="BodyText"/>
        <w:spacing w:before="52"/>
        <w:ind w:left="1101" w:right="159"/>
      </w:pPr>
      <w:r>
        <w:rPr/>
        <w:t>Current receivables (loans)</w:t>
      </w:r>
    </w:p>
    <w:p>
      <w:pPr>
        <w:pStyle w:val="BodyText"/>
        <w:tabs>
          <w:tab w:pos="5807" w:val="left" w:leader="none"/>
          <w:tab w:pos="7103" w:val="left" w:leader="none"/>
          <w:tab w:pos="8325" w:val="left" w:leader="none"/>
          <w:tab w:pos="9470" w:val="left" w:leader="none"/>
        </w:tabs>
        <w:spacing w:line="300" w:lineRule="auto" w:before="57"/>
        <w:ind w:left="1101" w:right="159" w:firstLine="213"/>
      </w:pPr>
      <w:r>
        <w:rPr/>
        <w:t>Subsidiaries</w:t>
        <w:tab/>
      </w:r>
      <w:r>
        <w:rPr>
          <w:b/>
        </w:rPr>
        <w:t>-</w:t>
        <w:tab/>
      </w:r>
      <w:r>
        <w:rPr/>
        <w:t>-</w:t>
        <w:tab/>
      </w:r>
      <w:r>
        <w:rPr>
          <w:b/>
        </w:rPr>
        <w:t>799</w:t>
        <w:tab/>
      </w:r>
      <w:r>
        <w:rPr/>
        <w:t>5,619 Current payables (purchase</w:t>
      </w:r>
      <w:r>
        <w:rPr>
          <w:spacing w:val="2"/>
        </w:rPr>
        <w:t> </w:t>
      </w:r>
      <w:r>
        <w:rPr/>
        <w:t>of</w:t>
      </w:r>
    </w:p>
    <w:p>
      <w:pPr>
        <w:pStyle w:val="BodyText"/>
        <w:spacing w:line="156" w:lineRule="exact"/>
        <w:ind w:left="1101" w:right="159"/>
      </w:pPr>
      <w:r>
        <w:rPr/>
        <w:t>goods)</w:t>
      </w:r>
    </w:p>
    <w:p>
      <w:pPr>
        <w:pStyle w:val="BodyText"/>
        <w:tabs>
          <w:tab w:pos="5807" w:val="left" w:leader="none"/>
          <w:tab w:pos="7103" w:val="left" w:leader="none"/>
          <w:tab w:pos="8567" w:val="left" w:leader="none"/>
          <w:tab w:pos="9722" w:val="left" w:leader="none"/>
        </w:tabs>
        <w:spacing w:before="57"/>
        <w:ind w:left="1315"/>
      </w:pPr>
      <w:r>
        <w:rPr/>
        <w:t>Subsidiaries</w:t>
        <w:tab/>
      </w:r>
      <w:r>
        <w:rPr>
          <w:b/>
        </w:rPr>
        <w:t>-</w:t>
        <w:tab/>
      </w:r>
      <w:r>
        <w:rPr/>
        <w:t>-</w:t>
        <w:tab/>
      </w:r>
      <w:r>
        <w:rPr>
          <w:b/>
        </w:rPr>
        <w:t>-</w:t>
      </w:r>
      <w:r>
        <w:rPr>
          <w:rFonts w:ascii="Times New Roman"/>
        </w:rPr>
        <w:tab/>
      </w:r>
      <w:r>
        <w:rPr/>
        <w:t>12</w:t>
      </w:r>
    </w:p>
    <w:p>
      <w:pPr>
        <w:pStyle w:val="BodyText"/>
        <w:spacing w:before="52"/>
        <w:ind w:left="1101" w:right="159"/>
      </w:pPr>
      <w:bookmarkStart w:name="35       Financial Risk Management " w:id="141"/>
      <w:bookmarkEnd w:id="141"/>
      <w:r>
        <w:rPr/>
      </w:r>
      <w:r>
        <w:rPr/>
        <w:t>Current payables (loans)</w:t>
      </w:r>
    </w:p>
    <w:p>
      <w:pPr>
        <w:pStyle w:val="BodyText"/>
        <w:tabs>
          <w:tab w:pos="5807" w:val="left" w:leader="none"/>
          <w:tab w:pos="7103" w:val="left" w:leader="none"/>
          <w:tab w:pos="8174" w:val="left" w:leader="none"/>
          <w:tab w:pos="9470" w:val="left" w:leader="none"/>
        </w:tabs>
        <w:spacing w:line="604" w:lineRule="auto" w:before="57"/>
        <w:ind w:left="1070" w:right="159" w:firstLine="244"/>
      </w:pPr>
      <w:r>
        <w:rPr/>
        <w:t>Parent entity</w:t>
        <w:tab/>
      </w:r>
      <w:r>
        <w:rPr>
          <w:b/>
        </w:rPr>
        <w:t>-</w:t>
        <w:tab/>
      </w:r>
      <w:r>
        <w:rPr/>
        <w:t>-</w:t>
        <w:tab/>
      </w:r>
      <w:r>
        <w:rPr>
          <w:b/>
        </w:rPr>
        <w:t>9,201</w:t>
        <w:tab/>
      </w:r>
      <w:r>
        <w:rPr/>
        <w:t>6,583 </w:t>
      </w:r>
      <w:bookmarkStart w:name="(a) Introduction" w:id="142"/>
      <w:bookmarkEnd w:id="142"/>
      <w:r>
        <w:rPr/>
      </w:r>
      <w:r>
        <w:rPr/>
        <w:t>No provision for doubtful debts has been raised in relation to outstanding balances from related</w:t>
      </w:r>
      <w:r>
        <w:rPr>
          <w:spacing w:val="13"/>
        </w:rPr>
        <w:t> </w:t>
      </w:r>
      <w:r>
        <w:rPr/>
        <w:t>parties.</w:t>
      </w:r>
    </w:p>
    <w:p>
      <w:pPr>
        <w:pStyle w:val="Heading9"/>
        <w:numPr>
          <w:ilvl w:val="0"/>
          <w:numId w:val="34"/>
        </w:numPr>
        <w:tabs>
          <w:tab w:pos="1090" w:val="left" w:leader="none"/>
        </w:tabs>
        <w:spacing w:line="189" w:lineRule="exact" w:before="0" w:after="0"/>
        <w:ind w:left="1089" w:right="0" w:hanging="585"/>
        <w:jc w:val="left"/>
      </w:pPr>
      <w:r>
        <w:rPr/>
        <w:t>Financial Risk</w:t>
      </w:r>
      <w:r>
        <w:rPr>
          <w:spacing w:val="2"/>
        </w:rPr>
        <w:t> </w:t>
      </w:r>
      <w:r>
        <w:rPr/>
        <w:t>Management</w:t>
      </w:r>
    </w:p>
    <w:p>
      <w:pPr>
        <w:pStyle w:val="BodyText"/>
        <w:spacing w:before="7"/>
        <w:rPr>
          <w:b/>
          <w:sz w:val="26"/>
        </w:rPr>
      </w:pPr>
    </w:p>
    <w:p>
      <w:pPr>
        <w:pStyle w:val="ListParagraph"/>
        <w:numPr>
          <w:ilvl w:val="0"/>
          <w:numId w:val="35"/>
        </w:numPr>
        <w:tabs>
          <w:tab w:pos="1071" w:val="left" w:leader="none"/>
        </w:tabs>
        <w:spacing w:line="240" w:lineRule="auto" w:before="0" w:after="0"/>
        <w:ind w:left="1070" w:right="0" w:hanging="566"/>
        <w:jc w:val="left"/>
        <w:rPr>
          <w:sz w:val="18"/>
        </w:rPr>
      </w:pPr>
      <w:r>
        <w:rPr>
          <w:sz w:val="18"/>
        </w:rPr>
        <w:t>Introduction</w:t>
      </w:r>
    </w:p>
    <w:p>
      <w:pPr>
        <w:pStyle w:val="BodyText"/>
        <w:spacing w:before="4"/>
        <w:rPr>
          <w:sz w:val="25"/>
        </w:rPr>
      </w:pPr>
    </w:p>
    <w:p>
      <w:pPr>
        <w:pStyle w:val="BodyText"/>
        <w:ind w:left="1070" w:right="128"/>
      </w:pPr>
      <w:r>
        <w:rPr/>
        <w:t>The Group's activities expose it to a variety of financial risks: market risk (including currency risk, fair value interest rate risk, cash flow interest rate risk and price risk), credit risk and liquidity risk. The Group's overall risk management program focuses on the unpredictability of financial markets and seeks to minimise potential adverse effects on the financial performance of the Group. The Group uses different methods to measure different types of risk to which it is exposed. These methods include sensitivity analysis in the case of interest rate, foreign exchange and other price risks and ageing analysis for credit risk.</w:t>
      </w:r>
    </w:p>
    <w:p>
      <w:pPr>
        <w:pStyle w:val="BodyText"/>
        <w:spacing w:before="11"/>
        <w:rPr>
          <w:sz w:val="24"/>
        </w:rPr>
      </w:pPr>
    </w:p>
    <w:p>
      <w:pPr>
        <w:pStyle w:val="BodyText"/>
        <w:ind w:left="1070" w:right="159"/>
      </w:pPr>
      <w:r>
        <w:rPr/>
        <w:t>The Group's principal financial instruments are cash and cash equivalents, as well as investments in units in managed investment funds and held to maturity investments.</w:t>
      </w:r>
    </w:p>
    <w:p>
      <w:pPr>
        <w:pStyle w:val="BodyText"/>
        <w:spacing w:before="11"/>
        <w:rPr>
          <w:sz w:val="24"/>
        </w:rPr>
      </w:pPr>
    </w:p>
    <w:p>
      <w:pPr>
        <w:pStyle w:val="BodyText"/>
        <w:ind w:left="1070" w:right="159"/>
      </w:pPr>
      <w:r>
        <w:rPr/>
        <w:t>The main purposes of the managed investment funds and held to maturity investments are to:</w:t>
      </w:r>
    </w:p>
    <w:p>
      <w:pPr>
        <w:pStyle w:val="BodyText"/>
        <w:spacing w:before="11"/>
        <w:rPr>
          <w:sz w:val="24"/>
        </w:rPr>
      </w:pPr>
    </w:p>
    <w:p>
      <w:pPr>
        <w:pStyle w:val="ListParagraph"/>
        <w:numPr>
          <w:ilvl w:val="1"/>
          <w:numId w:val="35"/>
        </w:numPr>
        <w:tabs>
          <w:tab w:pos="1222" w:val="left" w:leader="none"/>
        </w:tabs>
        <w:spacing w:line="240" w:lineRule="auto" w:before="0" w:after="0"/>
        <w:ind w:left="1070" w:right="271" w:firstLine="0"/>
        <w:jc w:val="left"/>
        <w:rPr>
          <w:sz w:val="18"/>
        </w:rPr>
      </w:pPr>
      <w:r>
        <w:rPr>
          <w:sz w:val="18"/>
        </w:rPr>
        <w:t>earn an income stream and provide long term growth to support the Western Sydney University Foundation Fund's objectives, and the University's teaching, learning and research initiatives;</w:t>
      </w:r>
      <w:r>
        <w:rPr>
          <w:spacing w:val="8"/>
          <w:sz w:val="18"/>
        </w:rPr>
        <w:t> </w:t>
      </w:r>
      <w:r>
        <w:rPr>
          <w:sz w:val="18"/>
        </w:rPr>
        <w:t>and</w:t>
      </w:r>
    </w:p>
    <w:p>
      <w:pPr>
        <w:pStyle w:val="BodyText"/>
        <w:spacing w:before="11"/>
        <w:rPr>
          <w:sz w:val="24"/>
        </w:rPr>
      </w:pPr>
    </w:p>
    <w:p>
      <w:pPr>
        <w:pStyle w:val="ListParagraph"/>
        <w:numPr>
          <w:ilvl w:val="1"/>
          <w:numId w:val="35"/>
        </w:numPr>
        <w:tabs>
          <w:tab w:pos="1263" w:val="left" w:leader="none"/>
        </w:tabs>
        <w:spacing w:line="240" w:lineRule="auto" w:before="0" w:after="0"/>
        <w:ind w:left="1070" w:right="197" w:firstLine="0"/>
        <w:jc w:val="left"/>
        <w:rPr>
          <w:sz w:val="18"/>
        </w:rPr>
      </w:pPr>
      <w:r>
        <w:rPr>
          <w:sz w:val="18"/>
        </w:rPr>
        <w:t>provide long term capital growth so that the Group can provide sufficient funds to meet longer term liabilities including deferred employee</w:t>
      </w:r>
      <w:r>
        <w:rPr>
          <w:spacing w:val="2"/>
          <w:sz w:val="18"/>
        </w:rPr>
        <w:t> </w:t>
      </w:r>
      <w:r>
        <w:rPr>
          <w:sz w:val="18"/>
        </w:rPr>
        <w:t>benefits.</w:t>
      </w:r>
    </w:p>
    <w:p>
      <w:pPr>
        <w:pStyle w:val="BodyText"/>
        <w:spacing w:before="11"/>
        <w:rPr>
          <w:sz w:val="24"/>
        </w:rPr>
      </w:pPr>
    </w:p>
    <w:p>
      <w:pPr>
        <w:pStyle w:val="BodyText"/>
        <w:ind w:left="1070" w:right="372"/>
      </w:pPr>
      <w:r>
        <w:rPr/>
        <w:t>The Group also has various other financial instruments such as cash, receivables, payables and finance leases.</w:t>
      </w:r>
    </w:p>
    <w:p>
      <w:pPr>
        <w:spacing w:after="0"/>
        <w:sectPr>
          <w:type w:val="continuous"/>
          <w:pgSz w:w="11910" w:h="16840"/>
          <w:pgMar w:top="1580" w:bottom="280" w:left="900" w:right="920"/>
        </w:sectPr>
      </w:pPr>
    </w:p>
    <w:p>
      <w:pPr>
        <w:pStyle w:val="BodyText"/>
        <w:rPr>
          <w:sz w:val="20"/>
        </w:rPr>
      </w:pPr>
    </w:p>
    <w:p>
      <w:pPr>
        <w:pStyle w:val="BodyText"/>
        <w:rPr>
          <w:sz w:val="20"/>
        </w:rPr>
      </w:pPr>
    </w:p>
    <w:p>
      <w:pPr>
        <w:pStyle w:val="BodyText"/>
        <w:spacing w:before="5"/>
      </w:pPr>
    </w:p>
    <w:p>
      <w:pPr>
        <w:pStyle w:val="Heading9"/>
        <w:tabs>
          <w:tab w:pos="1070" w:val="left" w:leader="none"/>
        </w:tabs>
        <w:ind w:left="504" w:right="220"/>
      </w:pPr>
      <w:r>
        <w:rPr/>
        <w:t>35</w:t>
        <w:tab/>
        <w:t>Financial Risk Management</w:t>
      </w:r>
      <w:r>
        <w:rPr>
          <w:spacing w:val="3"/>
        </w:rPr>
        <w:t> </w:t>
      </w:r>
      <w:r>
        <w:rPr/>
        <w:t>(continued)</w:t>
      </w:r>
    </w:p>
    <w:p>
      <w:pPr>
        <w:pStyle w:val="BodyText"/>
        <w:spacing w:before="7"/>
        <w:rPr>
          <w:b/>
          <w:sz w:val="26"/>
        </w:rPr>
      </w:pPr>
    </w:p>
    <w:p>
      <w:pPr>
        <w:pStyle w:val="ListParagraph"/>
        <w:numPr>
          <w:ilvl w:val="0"/>
          <w:numId w:val="36"/>
        </w:numPr>
        <w:tabs>
          <w:tab w:pos="1071" w:val="left" w:leader="none"/>
        </w:tabs>
        <w:spacing w:line="240" w:lineRule="auto" w:before="0" w:after="0"/>
        <w:ind w:left="1070" w:right="0" w:hanging="566"/>
        <w:jc w:val="left"/>
        <w:rPr>
          <w:sz w:val="18"/>
        </w:rPr>
      </w:pPr>
      <w:r>
        <w:rPr>
          <w:sz w:val="18"/>
        </w:rPr>
        <w:t>Introduction (continued)</w:t>
      </w:r>
    </w:p>
    <w:p>
      <w:pPr>
        <w:pStyle w:val="BodyText"/>
        <w:spacing w:before="4"/>
        <w:rPr>
          <w:sz w:val="25"/>
        </w:rPr>
      </w:pPr>
    </w:p>
    <w:p>
      <w:pPr>
        <w:pStyle w:val="Heading9"/>
        <w:ind w:left="1070" w:right="220"/>
      </w:pPr>
      <w:r>
        <w:rPr/>
        <w:t>Treasury Risk Management</w:t>
      </w:r>
    </w:p>
    <w:p>
      <w:pPr>
        <w:pStyle w:val="BodyText"/>
        <w:spacing w:before="11"/>
        <w:rPr>
          <w:b/>
          <w:sz w:val="24"/>
        </w:rPr>
      </w:pPr>
    </w:p>
    <w:p>
      <w:pPr>
        <w:pStyle w:val="BodyText"/>
        <w:ind w:left="1070" w:right="130"/>
      </w:pPr>
      <w:r>
        <w:rPr/>
        <w:t>The University only invests funds with fund managers that were approved by NSW Treasury under the previous requirements of the Western Sydney University Act or are now approved by the Finance and Investment Committee. Approved fund managers use a wide range of diversified strategic asset allocations. The performance of the fund managers is closely monitored by the University's Finance and Investment Committee. The Finance and Investment Committee has a number of external members with a high level of experience and </w:t>
      </w:r>
      <w:bookmarkStart w:name="(b) Market risk" w:id="143"/>
      <w:bookmarkEnd w:id="143"/>
      <w:r>
        <w:rPr/>
      </w:r>
      <w:r>
        <w:rPr/>
        <w:t>expertise in funds management. The Committee provides written principles for overall risk management, as well as policies covering specific areas, such as investment of excess liquidity. The Finance and Investment Committee also evaluates Treasury management strategies in the context of the most recent economic conditions and forecasts and the Group’s activities. The Finance and Investment Committee reports regularly to the Board of Trustees.</w:t>
      </w:r>
    </w:p>
    <w:p>
      <w:pPr>
        <w:pStyle w:val="BodyText"/>
        <w:spacing w:before="7"/>
        <w:rPr>
          <w:sz w:val="26"/>
        </w:rPr>
      </w:pPr>
    </w:p>
    <w:p>
      <w:pPr>
        <w:pStyle w:val="ListParagraph"/>
        <w:numPr>
          <w:ilvl w:val="0"/>
          <w:numId w:val="36"/>
        </w:numPr>
        <w:tabs>
          <w:tab w:pos="1071" w:val="left" w:leader="none"/>
        </w:tabs>
        <w:spacing w:line="240" w:lineRule="auto" w:before="0" w:after="0"/>
        <w:ind w:left="1070" w:right="0" w:hanging="566"/>
        <w:jc w:val="left"/>
        <w:rPr>
          <w:sz w:val="18"/>
        </w:rPr>
      </w:pPr>
      <w:r>
        <w:rPr>
          <w:sz w:val="18"/>
        </w:rPr>
        <w:t>Market</w:t>
      </w:r>
      <w:r>
        <w:rPr>
          <w:spacing w:val="-1"/>
          <w:sz w:val="18"/>
        </w:rPr>
        <w:t> </w:t>
      </w:r>
      <w:r>
        <w:rPr>
          <w:sz w:val="18"/>
        </w:rPr>
        <w:t>risk</w:t>
      </w:r>
    </w:p>
    <w:p>
      <w:pPr>
        <w:pStyle w:val="BodyText"/>
        <w:spacing w:before="4"/>
        <w:rPr>
          <w:sz w:val="25"/>
        </w:rPr>
      </w:pPr>
    </w:p>
    <w:p>
      <w:pPr>
        <w:pStyle w:val="BodyText"/>
        <w:ind w:left="1070" w:right="261"/>
      </w:pPr>
      <w:r>
        <w:rPr/>
        <w:t>Market risk is the risk that changes in market prices, such as foreign exchange rates, interest rates and equity prices will affect the Group's income or the value of its holdings of financial instruments. The objective of market risk management is to manage and control market risk exposures within acceptable parameters, while optimising return.</w:t>
      </w:r>
    </w:p>
    <w:p>
      <w:pPr>
        <w:pStyle w:val="BodyText"/>
        <w:spacing w:before="11"/>
        <w:rPr>
          <w:sz w:val="24"/>
        </w:rPr>
      </w:pPr>
    </w:p>
    <w:p>
      <w:pPr>
        <w:pStyle w:val="ListParagraph"/>
        <w:numPr>
          <w:ilvl w:val="1"/>
          <w:numId w:val="36"/>
        </w:numPr>
        <w:tabs>
          <w:tab w:pos="1282" w:val="left" w:leader="none"/>
        </w:tabs>
        <w:spacing w:line="240" w:lineRule="auto" w:before="0" w:after="0"/>
        <w:ind w:left="1281" w:right="0" w:hanging="211"/>
        <w:jc w:val="left"/>
        <w:rPr>
          <w:sz w:val="18"/>
        </w:rPr>
      </w:pPr>
      <w:r>
        <w:rPr>
          <w:sz w:val="18"/>
        </w:rPr>
        <w:t>Foreign exchange</w:t>
      </w:r>
      <w:r>
        <w:rPr>
          <w:spacing w:val="-1"/>
          <w:sz w:val="18"/>
        </w:rPr>
        <w:t> </w:t>
      </w:r>
      <w:r>
        <w:rPr>
          <w:sz w:val="18"/>
        </w:rPr>
        <w:t>risk</w:t>
      </w:r>
    </w:p>
    <w:p>
      <w:pPr>
        <w:pStyle w:val="BodyText"/>
        <w:spacing w:before="11"/>
        <w:rPr>
          <w:sz w:val="24"/>
        </w:rPr>
      </w:pPr>
    </w:p>
    <w:p>
      <w:pPr>
        <w:pStyle w:val="BodyText"/>
        <w:ind w:left="1070" w:right="220"/>
      </w:pPr>
      <w:r>
        <w:rPr/>
        <w:t>Foreign exchange risk is the risk that the value of a financial instrument will fluctuate because of changes in foreign exchange rates.The Group is primarily exposed to foreign exchange risk on purchases that are denominated in a currency other than the Australian dollar (AUD). The Group undertakes a minor level of hedging associated with regular purchases for the Library, and specific one off purchases. The Group also ensures that its exposure is kept to an acceptable level by buying foreign currencies at spot rates when necessary to address any short term imbalances. The Group has no overseas investment operations likely to affect its statement of financial position by movement in exchange rates.</w:t>
      </w:r>
    </w:p>
    <w:p>
      <w:pPr>
        <w:pStyle w:val="BodyText"/>
        <w:spacing w:before="11"/>
        <w:rPr>
          <w:sz w:val="24"/>
        </w:rPr>
      </w:pPr>
    </w:p>
    <w:p>
      <w:pPr>
        <w:pStyle w:val="ListParagraph"/>
        <w:numPr>
          <w:ilvl w:val="1"/>
          <w:numId w:val="36"/>
        </w:numPr>
        <w:tabs>
          <w:tab w:pos="1323" w:val="left" w:leader="none"/>
        </w:tabs>
        <w:spacing w:line="240" w:lineRule="auto" w:before="0" w:after="0"/>
        <w:ind w:left="1322" w:right="0" w:hanging="252"/>
        <w:jc w:val="left"/>
        <w:rPr>
          <w:sz w:val="18"/>
        </w:rPr>
      </w:pPr>
      <w:r>
        <w:rPr>
          <w:sz w:val="18"/>
        </w:rPr>
        <w:t>Price risk</w:t>
      </w:r>
    </w:p>
    <w:p>
      <w:pPr>
        <w:pStyle w:val="BodyText"/>
        <w:spacing w:before="11"/>
        <w:rPr>
          <w:sz w:val="24"/>
        </w:rPr>
      </w:pPr>
    </w:p>
    <w:p>
      <w:pPr>
        <w:pStyle w:val="BodyText"/>
        <w:ind w:left="1070" w:right="130"/>
      </w:pPr>
      <w:r>
        <w:rPr/>
        <w:t>Price risk is the risk that the value of a financial instrument will fluctuate as a result of changes in market prices. This arises from investments held by the University and classified on the Statement of Financial Position as available for sale. To manage price risk from investments in managed investment funds the University has contracted out the management of the portfolio to external fund managers. These fund managers are mandated to diversify investments of the portfolio under their management. The quantum of funds under management per external fund manager and the investment objectives of each external fund manager are in accordance with limits / policies set by the Finance and Investment Committee.</w:t>
      </w:r>
    </w:p>
    <w:p>
      <w:pPr>
        <w:pStyle w:val="BodyText"/>
        <w:spacing w:before="11"/>
        <w:rPr>
          <w:sz w:val="24"/>
        </w:rPr>
      </w:pPr>
    </w:p>
    <w:p>
      <w:pPr>
        <w:pStyle w:val="ListParagraph"/>
        <w:numPr>
          <w:ilvl w:val="1"/>
          <w:numId w:val="36"/>
        </w:numPr>
        <w:tabs>
          <w:tab w:pos="1364" w:val="left" w:leader="none"/>
        </w:tabs>
        <w:spacing w:line="240" w:lineRule="auto" w:before="0" w:after="0"/>
        <w:ind w:left="1363" w:right="0" w:hanging="293"/>
        <w:jc w:val="left"/>
        <w:rPr>
          <w:sz w:val="18"/>
        </w:rPr>
      </w:pPr>
      <w:r>
        <w:rPr>
          <w:sz w:val="18"/>
        </w:rPr>
        <w:t>Cash flow and fair value interest rate</w:t>
      </w:r>
      <w:r>
        <w:rPr>
          <w:spacing w:val="-1"/>
          <w:sz w:val="18"/>
        </w:rPr>
        <w:t> </w:t>
      </w:r>
      <w:r>
        <w:rPr>
          <w:sz w:val="18"/>
        </w:rPr>
        <w:t>risk</w:t>
      </w:r>
    </w:p>
    <w:p>
      <w:pPr>
        <w:pStyle w:val="BodyText"/>
        <w:spacing w:before="11"/>
        <w:rPr>
          <w:sz w:val="24"/>
        </w:rPr>
      </w:pPr>
    </w:p>
    <w:p>
      <w:pPr>
        <w:pStyle w:val="BodyText"/>
        <w:ind w:left="1070" w:right="220"/>
      </w:pPr>
      <w:r>
        <w:rPr/>
        <w:t>Fair value interest rate risk is the risk that the fair value of a financial instrument will fluctuate because of changes in interest rates.  The Group's exposure to interest rate risk is relatively small.</w:t>
      </w:r>
    </w:p>
    <w:p>
      <w:pPr>
        <w:spacing w:after="0"/>
        <w:sectPr>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pStyle w:val="Heading9"/>
        <w:tabs>
          <w:tab w:pos="1070" w:val="left" w:leader="none"/>
        </w:tabs>
        <w:ind w:left="504" w:right="220"/>
      </w:pPr>
      <w:r>
        <w:rPr/>
        <w:t>35</w:t>
        <w:tab/>
        <w:t>Financial Risk Management</w:t>
      </w:r>
      <w:r>
        <w:rPr>
          <w:spacing w:val="3"/>
        </w:rPr>
        <w:t> </w:t>
      </w:r>
      <w:r>
        <w:rPr/>
        <w:t>(continued)</w:t>
      </w:r>
    </w:p>
    <w:p>
      <w:pPr>
        <w:pStyle w:val="BodyText"/>
        <w:spacing w:before="7"/>
        <w:rPr>
          <w:b/>
          <w:sz w:val="26"/>
        </w:rPr>
      </w:pPr>
    </w:p>
    <w:p>
      <w:pPr>
        <w:pStyle w:val="ListParagraph"/>
        <w:numPr>
          <w:ilvl w:val="0"/>
          <w:numId w:val="37"/>
        </w:numPr>
        <w:tabs>
          <w:tab w:pos="1071" w:val="left" w:leader="none"/>
        </w:tabs>
        <w:spacing w:line="240" w:lineRule="auto" w:before="0" w:after="0"/>
        <w:ind w:left="1070" w:right="0" w:hanging="566"/>
        <w:jc w:val="left"/>
        <w:rPr>
          <w:sz w:val="18"/>
        </w:rPr>
      </w:pPr>
      <w:r>
        <w:rPr>
          <w:sz w:val="18"/>
        </w:rPr>
        <w:t>Market risk</w:t>
      </w:r>
      <w:r>
        <w:rPr>
          <w:spacing w:val="-1"/>
          <w:sz w:val="18"/>
        </w:rPr>
        <w:t> </w:t>
      </w:r>
      <w:r>
        <w:rPr>
          <w:sz w:val="18"/>
        </w:rPr>
        <w:t>(continued)</w:t>
      </w:r>
    </w:p>
    <w:p>
      <w:pPr>
        <w:pStyle w:val="BodyText"/>
        <w:spacing w:before="4"/>
        <w:rPr>
          <w:sz w:val="25"/>
        </w:rPr>
      </w:pPr>
    </w:p>
    <w:p>
      <w:pPr>
        <w:pStyle w:val="ListParagraph"/>
        <w:numPr>
          <w:ilvl w:val="1"/>
          <w:numId w:val="36"/>
        </w:numPr>
        <w:tabs>
          <w:tab w:pos="1371" w:val="left" w:leader="none"/>
        </w:tabs>
        <w:spacing w:line="240" w:lineRule="auto" w:before="0" w:after="0"/>
        <w:ind w:left="1370" w:right="0" w:hanging="300"/>
        <w:jc w:val="left"/>
        <w:rPr>
          <w:sz w:val="18"/>
        </w:rPr>
      </w:pPr>
      <w:r>
        <w:rPr>
          <w:sz w:val="18"/>
        </w:rPr>
        <w:t>Summarised sensitivity</w:t>
      </w:r>
      <w:r>
        <w:rPr>
          <w:spacing w:val="1"/>
          <w:sz w:val="18"/>
        </w:rPr>
        <w:t> </w:t>
      </w:r>
      <w:r>
        <w:rPr>
          <w:sz w:val="18"/>
        </w:rPr>
        <w:t>analysis</w:t>
      </w:r>
    </w:p>
    <w:p>
      <w:pPr>
        <w:pStyle w:val="BodyText"/>
        <w:spacing w:before="11"/>
        <w:rPr>
          <w:sz w:val="24"/>
        </w:rPr>
      </w:pPr>
    </w:p>
    <w:p>
      <w:pPr>
        <w:pStyle w:val="BodyText"/>
        <w:ind w:left="1070" w:right="220"/>
      </w:pPr>
      <w:r>
        <w:rPr/>
        <w:t>The following table summarises the sensitivity of the Group's financial assets and financial liabilities to interest rate risk, foreign exchange risk and other price risk.</w:t>
      </w:r>
    </w:p>
    <w:p>
      <w:pPr>
        <w:pStyle w:val="BodyText"/>
      </w:pPr>
    </w:p>
    <w:p>
      <w:pPr>
        <w:pStyle w:val="BodyText"/>
      </w:pPr>
    </w:p>
    <w:p>
      <w:pPr>
        <w:pStyle w:val="BodyText"/>
      </w:pPr>
    </w:p>
    <w:p>
      <w:pPr>
        <w:pStyle w:val="BodyText"/>
        <w:spacing w:before="2"/>
        <w:rPr>
          <w:sz w:val="17"/>
        </w:rPr>
      </w:pPr>
    </w:p>
    <w:p>
      <w:pPr>
        <w:spacing w:before="1"/>
        <w:ind w:left="852" w:right="220" w:firstLine="0"/>
        <w:jc w:val="left"/>
        <w:rPr>
          <w:b/>
          <w:sz w:val="14"/>
        </w:rPr>
      </w:pPr>
      <w:r>
        <w:rPr/>
        <w:pict>
          <v:shape style="position:absolute;margin-left:192.839996pt;margin-top:-15.944079pt;width:353.1pt;height:195.4pt;mso-position-horizontal-relative:page;mso-position-vertical-relative:paragraph;z-index:1840" type="#_x0000_t202" filled="false" stroked="false">
            <v:textbox inset="0,0,0,0">
              <w:txbxContent>
                <w:tbl>
                  <w:tblPr>
                    <w:tblW w:w="0" w:type="auto"/>
                    <w:jc w:val="left"/>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top w:w="0" w:type="dxa"/>
                      <w:left w:w="0" w:type="dxa"/>
                      <w:bottom w:w="0" w:type="dxa"/>
                      <w:right w:w="0" w:type="dxa"/>
                    </w:tblCellMar>
                    <w:tblLook w:val="01E0"/>
                  </w:tblPr>
                  <w:tblGrid>
                    <w:gridCol w:w="674"/>
                    <w:gridCol w:w="626"/>
                    <w:gridCol w:w="533"/>
                    <w:gridCol w:w="533"/>
                    <w:gridCol w:w="440"/>
                    <w:gridCol w:w="626"/>
                    <w:gridCol w:w="510"/>
                    <w:gridCol w:w="556"/>
                    <w:gridCol w:w="440"/>
                    <w:gridCol w:w="545"/>
                    <w:gridCol w:w="728"/>
                    <w:gridCol w:w="360"/>
                    <w:gridCol w:w="488"/>
                  </w:tblGrid>
                  <w:tr>
                    <w:trPr>
                      <w:trHeight w:val="1250" w:hRule="exact"/>
                    </w:trPr>
                    <w:tc>
                      <w:tcPr>
                        <w:tcW w:w="674" w:type="dxa"/>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81"/>
                          <w:ind w:left="86" w:hanging="34"/>
                          <w:rPr>
                            <w:b/>
                            <w:sz w:val="14"/>
                          </w:rPr>
                        </w:pPr>
                        <w:r>
                          <w:rPr>
                            <w:b/>
                            <w:sz w:val="14"/>
                          </w:rPr>
                          <w:t>Carrying amount</w:t>
                        </w:r>
                      </w:p>
                    </w:tc>
                    <w:tc>
                      <w:tcPr>
                        <w:tcW w:w="2131" w:type="dxa"/>
                        <w:gridSpan w:val="4"/>
                      </w:tcPr>
                      <w:p>
                        <w:pPr>
                          <w:pStyle w:val="TableParagraph"/>
                          <w:rPr>
                            <w:sz w:val="14"/>
                          </w:rPr>
                        </w:pPr>
                      </w:p>
                      <w:p>
                        <w:pPr>
                          <w:pStyle w:val="TableParagraph"/>
                          <w:spacing w:before="7"/>
                          <w:rPr>
                            <w:sz w:val="13"/>
                          </w:rPr>
                        </w:pPr>
                      </w:p>
                      <w:p>
                        <w:pPr>
                          <w:pStyle w:val="TableParagraph"/>
                          <w:ind w:left="24"/>
                          <w:jc w:val="center"/>
                          <w:rPr>
                            <w:b/>
                            <w:sz w:val="14"/>
                          </w:rPr>
                        </w:pPr>
                        <w:r>
                          <w:rPr>
                            <w:b/>
                            <w:sz w:val="14"/>
                          </w:rPr>
                          <w:t>Interest rate risk</w:t>
                        </w:r>
                      </w:p>
                      <w:p>
                        <w:pPr>
                          <w:pStyle w:val="TableParagraph"/>
                          <w:tabs>
                            <w:tab w:pos="1090" w:val="left" w:leader="none"/>
                          </w:tabs>
                          <w:spacing w:before="112"/>
                          <w:ind w:left="41"/>
                          <w:jc w:val="center"/>
                          <w:rPr>
                            <w:b/>
                            <w:sz w:val="14"/>
                          </w:rPr>
                        </w:pPr>
                        <w:r>
                          <w:rPr>
                            <w:b/>
                            <w:sz w:val="14"/>
                          </w:rPr>
                          <w:t>-0.25%</w:t>
                          <w:tab/>
                          <w:t>+0.25%</w:t>
                        </w:r>
                      </w:p>
                      <w:p>
                        <w:pPr>
                          <w:pStyle w:val="TableParagraph"/>
                          <w:spacing w:before="67"/>
                          <w:ind w:left="14"/>
                          <w:jc w:val="center"/>
                          <w:rPr>
                            <w:b/>
                            <w:sz w:val="14"/>
                          </w:rPr>
                        </w:pPr>
                        <w:r>
                          <w:rPr>
                            <w:b/>
                            <w:sz w:val="14"/>
                          </w:rPr>
                          <w:t>Result  Equity   Result  Equity</w:t>
                        </w:r>
                      </w:p>
                      <w:p>
                        <w:pPr>
                          <w:pStyle w:val="TableParagraph"/>
                          <w:tabs>
                            <w:tab w:pos="1077" w:val="left" w:leader="none"/>
                          </w:tabs>
                          <w:spacing w:before="67"/>
                          <w:ind w:left="12"/>
                          <w:jc w:val="center"/>
                          <w:rPr>
                            <w:b/>
                            <w:sz w:val="14"/>
                          </w:rPr>
                        </w:pPr>
                        <w:r>
                          <w:rPr>
                            <w:b/>
                            <w:sz w:val="14"/>
                          </w:rPr>
                          <w:t>$'000   </w:t>
                        </w:r>
                        <w:r>
                          <w:rPr>
                            <w:b/>
                            <w:spacing w:val="17"/>
                            <w:sz w:val="14"/>
                          </w:rPr>
                          <w:t> </w:t>
                        </w:r>
                        <w:r>
                          <w:rPr>
                            <w:b/>
                            <w:sz w:val="14"/>
                          </w:rPr>
                          <w:t>$'000</w:t>
                          <w:tab/>
                          <w:t>$'000   </w:t>
                        </w:r>
                        <w:r>
                          <w:rPr>
                            <w:b/>
                            <w:spacing w:val="12"/>
                            <w:sz w:val="14"/>
                          </w:rPr>
                          <w:t> </w:t>
                        </w:r>
                        <w:r>
                          <w:rPr>
                            <w:b/>
                            <w:sz w:val="14"/>
                          </w:rPr>
                          <w:t>$'000</w:t>
                        </w:r>
                      </w:p>
                    </w:tc>
                    <w:tc>
                      <w:tcPr>
                        <w:tcW w:w="2131" w:type="dxa"/>
                        <w:gridSpan w:val="4"/>
                      </w:tcPr>
                      <w:p>
                        <w:pPr>
                          <w:pStyle w:val="TableParagraph"/>
                          <w:rPr>
                            <w:sz w:val="14"/>
                          </w:rPr>
                        </w:pPr>
                      </w:p>
                      <w:p>
                        <w:pPr>
                          <w:pStyle w:val="TableParagraph"/>
                          <w:spacing w:before="7"/>
                          <w:rPr>
                            <w:sz w:val="13"/>
                          </w:rPr>
                        </w:pPr>
                      </w:p>
                      <w:p>
                        <w:pPr>
                          <w:pStyle w:val="TableParagraph"/>
                          <w:ind w:left="24"/>
                          <w:jc w:val="center"/>
                          <w:rPr>
                            <w:b/>
                            <w:sz w:val="14"/>
                          </w:rPr>
                        </w:pPr>
                        <w:r>
                          <w:rPr>
                            <w:b/>
                            <w:sz w:val="14"/>
                          </w:rPr>
                          <w:t>Foreign exchange risk</w:t>
                        </w:r>
                      </w:p>
                      <w:p>
                        <w:pPr>
                          <w:pStyle w:val="TableParagraph"/>
                          <w:tabs>
                            <w:tab w:pos="1090" w:val="left" w:leader="none"/>
                          </w:tabs>
                          <w:spacing w:before="112"/>
                          <w:ind w:left="41"/>
                          <w:jc w:val="center"/>
                          <w:rPr>
                            <w:b/>
                            <w:sz w:val="14"/>
                          </w:rPr>
                        </w:pPr>
                        <w:r>
                          <w:rPr>
                            <w:b/>
                            <w:sz w:val="14"/>
                          </w:rPr>
                          <w:t>-10%</w:t>
                          <w:tab/>
                          <w:t>+10%</w:t>
                        </w:r>
                      </w:p>
                      <w:p>
                        <w:pPr>
                          <w:pStyle w:val="TableParagraph"/>
                          <w:spacing w:before="67"/>
                          <w:ind w:left="14"/>
                          <w:jc w:val="center"/>
                          <w:rPr>
                            <w:b/>
                            <w:sz w:val="14"/>
                          </w:rPr>
                        </w:pPr>
                        <w:r>
                          <w:rPr>
                            <w:b/>
                            <w:sz w:val="14"/>
                          </w:rPr>
                          <w:t>Result  Equity   Result  Equity</w:t>
                        </w:r>
                      </w:p>
                      <w:p>
                        <w:pPr>
                          <w:pStyle w:val="TableParagraph"/>
                          <w:tabs>
                            <w:tab w:pos="1077" w:val="left" w:leader="none"/>
                          </w:tabs>
                          <w:spacing w:before="67"/>
                          <w:ind w:left="12"/>
                          <w:jc w:val="center"/>
                          <w:rPr>
                            <w:b/>
                            <w:sz w:val="14"/>
                          </w:rPr>
                        </w:pPr>
                        <w:r>
                          <w:rPr>
                            <w:b/>
                            <w:sz w:val="14"/>
                          </w:rPr>
                          <w:t>$'000   </w:t>
                        </w:r>
                        <w:r>
                          <w:rPr>
                            <w:b/>
                            <w:spacing w:val="17"/>
                            <w:sz w:val="14"/>
                          </w:rPr>
                          <w:t> </w:t>
                        </w:r>
                        <w:r>
                          <w:rPr>
                            <w:b/>
                            <w:sz w:val="14"/>
                          </w:rPr>
                          <w:t>$'000</w:t>
                          <w:tab/>
                          <w:t>$'000   </w:t>
                        </w:r>
                        <w:r>
                          <w:rPr>
                            <w:b/>
                            <w:spacing w:val="12"/>
                            <w:sz w:val="14"/>
                          </w:rPr>
                          <w:t> </w:t>
                        </w:r>
                        <w:r>
                          <w:rPr>
                            <w:b/>
                            <w:sz w:val="14"/>
                          </w:rPr>
                          <w:t>$'000</w:t>
                        </w:r>
                      </w:p>
                    </w:tc>
                    <w:tc>
                      <w:tcPr>
                        <w:tcW w:w="2122" w:type="dxa"/>
                        <w:gridSpan w:val="4"/>
                      </w:tcPr>
                      <w:p>
                        <w:pPr>
                          <w:pStyle w:val="TableParagraph"/>
                          <w:rPr>
                            <w:sz w:val="14"/>
                          </w:rPr>
                        </w:pPr>
                      </w:p>
                      <w:p>
                        <w:pPr>
                          <w:pStyle w:val="TableParagraph"/>
                          <w:spacing w:before="7"/>
                          <w:rPr>
                            <w:sz w:val="13"/>
                          </w:rPr>
                        </w:pPr>
                      </w:p>
                      <w:p>
                        <w:pPr>
                          <w:pStyle w:val="TableParagraph"/>
                          <w:ind w:left="34"/>
                          <w:jc w:val="center"/>
                          <w:rPr>
                            <w:b/>
                            <w:sz w:val="14"/>
                          </w:rPr>
                        </w:pPr>
                        <w:r>
                          <w:rPr>
                            <w:b/>
                            <w:sz w:val="14"/>
                          </w:rPr>
                          <w:t>Other price risk</w:t>
                        </w:r>
                      </w:p>
                      <w:p>
                        <w:pPr>
                          <w:pStyle w:val="TableParagraph"/>
                          <w:tabs>
                            <w:tab w:pos="1100" w:val="left" w:leader="none"/>
                          </w:tabs>
                          <w:spacing w:before="112"/>
                          <w:ind w:left="51"/>
                          <w:jc w:val="center"/>
                          <w:rPr>
                            <w:b/>
                            <w:sz w:val="14"/>
                          </w:rPr>
                        </w:pPr>
                        <w:r>
                          <w:rPr>
                            <w:b/>
                            <w:sz w:val="14"/>
                          </w:rPr>
                          <w:t>-10%</w:t>
                          <w:tab/>
                          <w:t>+10%</w:t>
                        </w:r>
                      </w:p>
                      <w:p>
                        <w:pPr>
                          <w:pStyle w:val="TableParagraph"/>
                          <w:spacing w:before="67"/>
                          <w:ind w:left="24"/>
                          <w:jc w:val="center"/>
                          <w:rPr>
                            <w:b/>
                            <w:sz w:val="14"/>
                          </w:rPr>
                        </w:pPr>
                        <w:r>
                          <w:rPr>
                            <w:b/>
                            <w:sz w:val="14"/>
                          </w:rPr>
                          <w:t>Result  Equity   Result  Equity</w:t>
                        </w:r>
                      </w:p>
                      <w:p>
                        <w:pPr>
                          <w:pStyle w:val="TableParagraph"/>
                          <w:tabs>
                            <w:tab w:pos="1087" w:val="left" w:leader="none"/>
                          </w:tabs>
                          <w:spacing w:before="67"/>
                          <w:ind w:left="21"/>
                          <w:jc w:val="center"/>
                          <w:rPr>
                            <w:b/>
                            <w:sz w:val="14"/>
                          </w:rPr>
                        </w:pPr>
                        <w:r>
                          <w:rPr>
                            <w:b/>
                            <w:sz w:val="14"/>
                          </w:rPr>
                          <w:t>$'000   </w:t>
                        </w:r>
                        <w:r>
                          <w:rPr>
                            <w:b/>
                            <w:spacing w:val="17"/>
                            <w:sz w:val="14"/>
                          </w:rPr>
                          <w:t> </w:t>
                        </w:r>
                        <w:r>
                          <w:rPr>
                            <w:b/>
                            <w:sz w:val="14"/>
                          </w:rPr>
                          <w:t>$'000</w:t>
                          <w:tab/>
                          <w:t>$'000   </w:t>
                        </w:r>
                        <w:r>
                          <w:rPr>
                            <w:b/>
                            <w:spacing w:val="12"/>
                            <w:sz w:val="14"/>
                          </w:rPr>
                          <w:t> </w:t>
                        </w:r>
                        <w:r>
                          <w:rPr>
                            <w:b/>
                            <w:sz w:val="14"/>
                          </w:rPr>
                          <w:t>$'000</w:t>
                        </w:r>
                      </w:p>
                    </w:tc>
                  </w:tr>
                  <w:tr>
                    <w:trPr>
                      <w:trHeight w:val="511" w:hRule="exact"/>
                    </w:trPr>
                    <w:tc>
                      <w:tcPr>
                        <w:tcW w:w="674" w:type="dxa"/>
                        <w:tcBorders>
                          <w:bottom w:val="nil"/>
                        </w:tcBorders>
                      </w:tcPr>
                      <w:p>
                        <w:pPr>
                          <w:pStyle w:val="TableParagraph"/>
                          <w:rPr>
                            <w:sz w:val="14"/>
                          </w:rPr>
                        </w:pPr>
                      </w:p>
                      <w:p>
                        <w:pPr>
                          <w:pStyle w:val="TableParagraph"/>
                          <w:spacing w:before="2"/>
                          <w:rPr>
                            <w:sz w:val="13"/>
                          </w:rPr>
                        </w:pPr>
                      </w:p>
                      <w:p>
                        <w:pPr>
                          <w:pStyle w:val="TableParagraph"/>
                          <w:ind w:right="65"/>
                          <w:jc w:val="right"/>
                          <w:rPr>
                            <w:sz w:val="14"/>
                          </w:rPr>
                        </w:pPr>
                        <w:r>
                          <w:rPr>
                            <w:w w:val="95"/>
                            <w:sz w:val="14"/>
                          </w:rPr>
                          <w:t>221,748</w:t>
                        </w:r>
                      </w:p>
                    </w:tc>
                    <w:tc>
                      <w:tcPr>
                        <w:tcW w:w="626" w:type="dxa"/>
                        <w:tcBorders>
                          <w:bottom w:val="nil"/>
                          <w:right w:val="nil"/>
                        </w:tcBorders>
                      </w:tcPr>
                      <w:p>
                        <w:pPr>
                          <w:pStyle w:val="TableParagraph"/>
                          <w:rPr>
                            <w:sz w:val="14"/>
                          </w:rPr>
                        </w:pPr>
                      </w:p>
                      <w:p>
                        <w:pPr>
                          <w:pStyle w:val="TableParagraph"/>
                          <w:spacing w:before="2"/>
                          <w:rPr>
                            <w:sz w:val="13"/>
                          </w:rPr>
                        </w:pPr>
                      </w:p>
                      <w:p>
                        <w:pPr>
                          <w:pStyle w:val="TableParagraph"/>
                          <w:ind w:right="91"/>
                          <w:jc w:val="right"/>
                          <w:rPr>
                            <w:sz w:val="14"/>
                          </w:rPr>
                        </w:pPr>
                        <w:r>
                          <w:rPr>
                            <w:sz w:val="14"/>
                          </w:rPr>
                          <w:t>(554)</w:t>
                        </w:r>
                      </w:p>
                    </w:tc>
                    <w:tc>
                      <w:tcPr>
                        <w:tcW w:w="533" w:type="dxa"/>
                        <w:tcBorders>
                          <w:left w:val="nil"/>
                          <w:bottom w:val="nil"/>
                          <w:right w:val="nil"/>
                        </w:tcBorders>
                      </w:tcPr>
                      <w:p>
                        <w:pPr>
                          <w:pStyle w:val="TableParagraph"/>
                          <w:rPr>
                            <w:sz w:val="14"/>
                          </w:rPr>
                        </w:pPr>
                      </w:p>
                      <w:p>
                        <w:pPr>
                          <w:pStyle w:val="TableParagraph"/>
                          <w:spacing w:before="2"/>
                          <w:rPr>
                            <w:sz w:val="13"/>
                          </w:rPr>
                        </w:pPr>
                      </w:p>
                      <w:p>
                        <w:pPr>
                          <w:pStyle w:val="TableParagraph"/>
                          <w:ind w:left="49" w:right="71"/>
                          <w:jc w:val="center"/>
                          <w:rPr>
                            <w:sz w:val="14"/>
                          </w:rPr>
                        </w:pPr>
                        <w:r>
                          <w:rPr>
                            <w:sz w:val="14"/>
                          </w:rPr>
                          <w:t>(554)</w:t>
                        </w:r>
                      </w:p>
                    </w:tc>
                    <w:tc>
                      <w:tcPr>
                        <w:tcW w:w="533" w:type="dxa"/>
                        <w:tcBorders>
                          <w:left w:val="nil"/>
                          <w:bottom w:val="nil"/>
                          <w:right w:val="nil"/>
                        </w:tcBorders>
                      </w:tcPr>
                      <w:p>
                        <w:pPr>
                          <w:pStyle w:val="TableParagraph"/>
                          <w:rPr>
                            <w:sz w:val="14"/>
                          </w:rPr>
                        </w:pPr>
                      </w:p>
                      <w:p>
                        <w:pPr>
                          <w:pStyle w:val="TableParagraph"/>
                          <w:spacing w:before="2"/>
                          <w:rPr>
                            <w:sz w:val="13"/>
                          </w:rPr>
                        </w:pPr>
                      </w:p>
                      <w:p>
                        <w:pPr>
                          <w:pStyle w:val="TableParagraph"/>
                          <w:ind w:left="72" w:right="49"/>
                          <w:jc w:val="center"/>
                          <w:rPr>
                            <w:sz w:val="14"/>
                          </w:rPr>
                        </w:pPr>
                        <w:r>
                          <w:rPr>
                            <w:sz w:val="14"/>
                          </w:rPr>
                          <w:t>554</w:t>
                        </w:r>
                      </w:p>
                    </w:tc>
                    <w:tc>
                      <w:tcPr>
                        <w:tcW w:w="440" w:type="dxa"/>
                        <w:tcBorders>
                          <w:left w:val="nil"/>
                          <w:bottom w:val="nil"/>
                        </w:tcBorders>
                      </w:tcPr>
                      <w:p>
                        <w:pPr>
                          <w:pStyle w:val="TableParagraph"/>
                          <w:rPr>
                            <w:sz w:val="14"/>
                          </w:rPr>
                        </w:pPr>
                      </w:p>
                      <w:p>
                        <w:pPr>
                          <w:pStyle w:val="TableParagraph"/>
                          <w:spacing w:before="2"/>
                          <w:rPr>
                            <w:sz w:val="13"/>
                          </w:rPr>
                        </w:pPr>
                      </w:p>
                      <w:p>
                        <w:pPr>
                          <w:pStyle w:val="TableParagraph"/>
                          <w:ind w:right="67"/>
                          <w:jc w:val="right"/>
                          <w:rPr>
                            <w:sz w:val="14"/>
                          </w:rPr>
                        </w:pPr>
                        <w:r>
                          <w:rPr>
                            <w:sz w:val="14"/>
                          </w:rPr>
                          <w:t>554</w:t>
                        </w:r>
                      </w:p>
                    </w:tc>
                    <w:tc>
                      <w:tcPr>
                        <w:tcW w:w="626" w:type="dxa"/>
                        <w:tcBorders>
                          <w:bottom w:val="nil"/>
                          <w:right w:val="nil"/>
                        </w:tcBorders>
                      </w:tcPr>
                      <w:p>
                        <w:pPr>
                          <w:pStyle w:val="TableParagraph"/>
                          <w:rPr>
                            <w:sz w:val="14"/>
                          </w:rPr>
                        </w:pPr>
                      </w:p>
                      <w:p>
                        <w:pPr>
                          <w:pStyle w:val="TableParagraph"/>
                          <w:spacing w:before="2"/>
                          <w:rPr>
                            <w:sz w:val="13"/>
                          </w:rPr>
                        </w:pPr>
                      </w:p>
                      <w:p>
                        <w:pPr>
                          <w:pStyle w:val="TableParagraph"/>
                          <w:ind w:right="136"/>
                          <w:jc w:val="right"/>
                          <w:rPr>
                            <w:sz w:val="14"/>
                          </w:rPr>
                        </w:pPr>
                        <w:r>
                          <w:rPr>
                            <w:w w:val="99"/>
                            <w:sz w:val="14"/>
                          </w:rPr>
                          <w:t>-</w:t>
                        </w:r>
                      </w:p>
                    </w:tc>
                    <w:tc>
                      <w:tcPr>
                        <w:tcW w:w="510" w:type="dxa"/>
                        <w:tcBorders>
                          <w:left w:val="nil"/>
                          <w:bottom w:val="nil"/>
                          <w:right w:val="nil"/>
                        </w:tcBorders>
                      </w:tcPr>
                      <w:p>
                        <w:pPr>
                          <w:pStyle w:val="TableParagraph"/>
                          <w:rPr>
                            <w:sz w:val="14"/>
                          </w:rPr>
                        </w:pPr>
                      </w:p>
                      <w:p>
                        <w:pPr>
                          <w:pStyle w:val="TableParagraph"/>
                          <w:spacing w:before="2"/>
                          <w:rPr>
                            <w:sz w:val="13"/>
                          </w:rPr>
                        </w:pPr>
                      </w:p>
                      <w:p>
                        <w:pPr>
                          <w:pStyle w:val="TableParagraph"/>
                          <w:ind w:right="138"/>
                          <w:jc w:val="right"/>
                          <w:rPr>
                            <w:sz w:val="14"/>
                          </w:rPr>
                        </w:pPr>
                        <w:r>
                          <w:rPr>
                            <w:w w:val="99"/>
                            <w:sz w:val="14"/>
                          </w:rPr>
                          <w:t>-</w:t>
                        </w:r>
                      </w:p>
                    </w:tc>
                    <w:tc>
                      <w:tcPr>
                        <w:tcW w:w="556" w:type="dxa"/>
                        <w:tcBorders>
                          <w:left w:val="nil"/>
                          <w:bottom w:val="nil"/>
                          <w:right w:val="nil"/>
                        </w:tcBorders>
                      </w:tcPr>
                      <w:p>
                        <w:pPr>
                          <w:pStyle w:val="TableParagraph"/>
                          <w:rPr>
                            <w:sz w:val="14"/>
                          </w:rPr>
                        </w:pPr>
                      </w:p>
                      <w:p>
                        <w:pPr>
                          <w:pStyle w:val="TableParagraph"/>
                          <w:spacing w:before="2"/>
                          <w:rPr>
                            <w:sz w:val="13"/>
                          </w:rPr>
                        </w:pPr>
                      </w:p>
                      <w:p>
                        <w:pPr>
                          <w:pStyle w:val="TableParagraph"/>
                          <w:ind w:right="136"/>
                          <w:jc w:val="right"/>
                          <w:rPr>
                            <w:sz w:val="14"/>
                          </w:rPr>
                        </w:pPr>
                        <w:r>
                          <w:rPr>
                            <w:w w:val="99"/>
                            <w:sz w:val="14"/>
                          </w:rPr>
                          <w:t>-</w:t>
                        </w:r>
                      </w:p>
                    </w:tc>
                    <w:tc>
                      <w:tcPr>
                        <w:tcW w:w="440" w:type="dxa"/>
                        <w:tcBorders>
                          <w:left w:val="nil"/>
                          <w:bottom w:val="nil"/>
                        </w:tcBorders>
                      </w:tcPr>
                      <w:p>
                        <w:pPr>
                          <w:pStyle w:val="TableParagraph"/>
                          <w:rPr>
                            <w:sz w:val="14"/>
                          </w:rPr>
                        </w:pPr>
                      </w:p>
                      <w:p>
                        <w:pPr>
                          <w:pStyle w:val="TableParagraph"/>
                          <w:spacing w:before="2"/>
                          <w:rPr>
                            <w:sz w:val="13"/>
                          </w:rPr>
                        </w:pPr>
                      </w:p>
                      <w:p>
                        <w:pPr>
                          <w:pStyle w:val="TableParagraph"/>
                          <w:ind w:right="66"/>
                          <w:jc w:val="right"/>
                          <w:rPr>
                            <w:sz w:val="14"/>
                          </w:rPr>
                        </w:pPr>
                        <w:r>
                          <w:rPr>
                            <w:w w:val="99"/>
                            <w:sz w:val="14"/>
                          </w:rPr>
                          <w:t>-</w:t>
                        </w:r>
                      </w:p>
                    </w:tc>
                    <w:tc>
                      <w:tcPr>
                        <w:tcW w:w="545" w:type="dxa"/>
                        <w:tcBorders>
                          <w:bottom w:val="nil"/>
                          <w:right w:val="nil"/>
                        </w:tcBorders>
                      </w:tcPr>
                      <w:p>
                        <w:pPr>
                          <w:pStyle w:val="TableParagraph"/>
                          <w:rPr>
                            <w:sz w:val="14"/>
                          </w:rPr>
                        </w:pPr>
                      </w:p>
                      <w:p>
                        <w:pPr>
                          <w:pStyle w:val="TableParagraph"/>
                          <w:spacing w:before="2"/>
                          <w:rPr>
                            <w:sz w:val="13"/>
                          </w:rPr>
                        </w:pPr>
                      </w:p>
                      <w:p>
                        <w:pPr>
                          <w:pStyle w:val="TableParagraph"/>
                          <w:ind w:right="56"/>
                          <w:jc w:val="right"/>
                          <w:rPr>
                            <w:sz w:val="14"/>
                          </w:rPr>
                        </w:pPr>
                        <w:r>
                          <w:rPr>
                            <w:w w:val="99"/>
                            <w:sz w:val="14"/>
                          </w:rPr>
                          <w:t>-</w:t>
                        </w:r>
                      </w:p>
                    </w:tc>
                    <w:tc>
                      <w:tcPr>
                        <w:tcW w:w="728" w:type="dxa"/>
                        <w:tcBorders>
                          <w:left w:val="nil"/>
                          <w:bottom w:val="nil"/>
                          <w:right w:val="nil"/>
                        </w:tcBorders>
                      </w:tcPr>
                      <w:p>
                        <w:pPr>
                          <w:pStyle w:val="TableParagraph"/>
                          <w:rPr>
                            <w:sz w:val="14"/>
                          </w:rPr>
                        </w:pPr>
                      </w:p>
                      <w:p>
                        <w:pPr>
                          <w:pStyle w:val="TableParagraph"/>
                          <w:spacing w:before="2"/>
                          <w:rPr>
                            <w:sz w:val="13"/>
                          </w:rPr>
                        </w:pPr>
                      </w:p>
                      <w:p>
                        <w:pPr>
                          <w:pStyle w:val="TableParagraph"/>
                          <w:ind w:right="277"/>
                          <w:jc w:val="right"/>
                          <w:rPr>
                            <w:sz w:val="14"/>
                          </w:rPr>
                        </w:pPr>
                        <w:r>
                          <w:rPr>
                            <w:w w:val="99"/>
                            <w:sz w:val="14"/>
                          </w:rPr>
                          <w:t>-</w:t>
                        </w:r>
                      </w:p>
                    </w:tc>
                    <w:tc>
                      <w:tcPr>
                        <w:tcW w:w="360" w:type="dxa"/>
                        <w:tcBorders>
                          <w:left w:val="nil"/>
                          <w:bottom w:val="nil"/>
                          <w:right w:val="nil"/>
                        </w:tcBorders>
                      </w:tcPr>
                      <w:p>
                        <w:pPr>
                          <w:pStyle w:val="TableParagraph"/>
                          <w:rPr>
                            <w:sz w:val="14"/>
                          </w:rPr>
                        </w:pPr>
                      </w:p>
                      <w:p>
                        <w:pPr>
                          <w:pStyle w:val="TableParagraph"/>
                          <w:spacing w:before="2"/>
                          <w:rPr>
                            <w:sz w:val="13"/>
                          </w:rPr>
                        </w:pPr>
                      </w:p>
                      <w:p>
                        <w:pPr>
                          <w:pStyle w:val="TableParagraph"/>
                          <w:ind w:right="79"/>
                          <w:jc w:val="right"/>
                          <w:rPr>
                            <w:sz w:val="14"/>
                          </w:rPr>
                        </w:pPr>
                        <w:r>
                          <w:rPr>
                            <w:w w:val="99"/>
                            <w:sz w:val="14"/>
                          </w:rPr>
                          <w:t>-</w:t>
                        </w:r>
                      </w:p>
                    </w:tc>
                    <w:tc>
                      <w:tcPr>
                        <w:tcW w:w="488" w:type="dxa"/>
                        <w:tcBorders>
                          <w:left w:val="nil"/>
                          <w:bottom w:val="nil"/>
                        </w:tcBorders>
                      </w:tcPr>
                      <w:p>
                        <w:pPr>
                          <w:pStyle w:val="TableParagraph"/>
                          <w:rPr>
                            <w:sz w:val="14"/>
                          </w:rPr>
                        </w:pPr>
                      </w:p>
                      <w:p>
                        <w:pPr>
                          <w:pStyle w:val="TableParagraph"/>
                          <w:spacing w:before="2"/>
                          <w:rPr>
                            <w:sz w:val="13"/>
                          </w:rPr>
                        </w:pPr>
                      </w:p>
                      <w:p>
                        <w:pPr>
                          <w:pStyle w:val="TableParagraph"/>
                          <w:ind w:right="57"/>
                          <w:jc w:val="right"/>
                          <w:rPr>
                            <w:sz w:val="14"/>
                          </w:rPr>
                        </w:pPr>
                        <w:r>
                          <w:rPr>
                            <w:w w:val="99"/>
                            <w:sz w:val="14"/>
                          </w:rPr>
                          <w:t>-</w:t>
                        </w:r>
                      </w:p>
                    </w:tc>
                  </w:tr>
                  <w:tr>
                    <w:trPr>
                      <w:trHeight w:val="299" w:hRule="exact"/>
                    </w:trPr>
                    <w:tc>
                      <w:tcPr>
                        <w:tcW w:w="674" w:type="dxa"/>
                        <w:tcBorders>
                          <w:top w:val="nil"/>
                          <w:bottom w:val="nil"/>
                        </w:tcBorders>
                      </w:tcPr>
                      <w:p>
                        <w:pPr>
                          <w:pStyle w:val="TableParagraph"/>
                          <w:spacing w:before="21"/>
                          <w:ind w:right="65"/>
                          <w:jc w:val="right"/>
                          <w:rPr>
                            <w:sz w:val="14"/>
                          </w:rPr>
                        </w:pPr>
                        <w:r>
                          <w:rPr>
                            <w:w w:val="95"/>
                            <w:sz w:val="14"/>
                          </w:rPr>
                          <w:t>444,114</w:t>
                        </w:r>
                      </w:p>
                    </w:tc>
                    <w:tc>
                      <w:tcPr>
                        <w:tcW w:w="626" w:type="dxa"/>
                        <w:tcBorders>
                          <w:top w:val="nil"/>
                          <w:bottom w:val="nil"/>
                          <w:right w:val="nil"/>
                        </w:tcBorders>
                      </w:tcPr>
                      <w:p>
                        <w:pPr>
                          <w:pStyle w:val="TableParagraph"/>
                          <w:spacing w:before="21"/>
                          <w:ind w:right="136"/>
                          <w:jc w:val="right"/>
                          <w:rPr>
                            <w:sz w:val="14"/>
                          </w:rPr>
                        </w:pPr>
                        <w:r>
                          <w:rPr>
                            <w:w w:val="99"/>
                            <w:sz w:val="14"/>
                          </w:rPr>
                          <w:t>-</w:t>
                        </w:r>
                      </w:p>
                    </w:tc>
                    <w:tc>
                      <w:tcPr>
                        <w:tcW w:w="533" w:type="dxa"/>
                        <w:tcBorders>
                          <w:top w:val="nil"/>
                          <w:left w:val="nil"/>
                          <w:bottom w:val="nil"/>
                          <w:right w:val="nil"/>
                        </w:tcBorders>
                      </w:tcPr>
                      <w:p>
                        <w:pPr>
                          <w:pStyle w:val="TableParagraph"/>
                          <w:spacing w:before="21"/>
                          <w:ind w:left="160"/>
                          <w:jc w:val="center"/>
                          <w:rPr>
                            <w:sz w:val="14"/>
                          </w:rPr>
                        </w:pPr>
                        <w:r>
                          <w:rPr>
                            <w:w w:val="99"/>
                            <w:sz w:val="14"/>
                          </w:rPr>
                          <w:t>-</w:t>
                        </w:r>
                      </w:p>
                    </w:tc>
                    <w:tc>
                      <w:tcPr>
                        <w:tcW w:w="533" w:type="dxa"/>
                        <w:tcBorders>
                          <w:top w:val="nil"/>
                          <w:left w:val="nil"/>
                          <w:bottom w:val="nil"/>
                          <w:right w:val="nil"/>
                        </w:tcBorders>
                      </w:tcPr>
                      <w:p>
                        <w:pPr>
                          <w:pStyle w:val="TableParagraph"/>
                          <w:spacing w:before="21"/>
                          <w:ind w:left="208"/>
                          <w:jc w:val="center"/>
                          <w:rPr>
                            <w:sz w:val="14"/>
                          </w:rPr>
                        </w:pPr>
                        <w:r>
                          <w:rPr>
                            <w:w w:val="99"/>
                            <w:sz w:val="14"/>
                          </w:rPr>
                          <w:t>-</w:t>
                        </w:r>
                      </w:p>
                    </w:tc>
                    <w:tc>
                      <w:tcPr>
                        <w:tcW w:w="440" w:type="dxa"/>
                        <w:tcBorders>
                          <w:top w:val="nil"/>
                          <w:left w:val="nil"/>
                          <w:bottom w:val="nil"/>
                        </w:tcBorders>
                      </w:tcPr>
                      <w:p>
                        <w:pPr>
                          <w:pStyle w:val="TableParagraph"/>
                          <w:spacing w:before="21"/>
                          <w:ind w:right="66"/>
                          <w:jc w:val="right"/>
                          <w:rPr>
                            <w:sz w:val="14"/>
                          </w:rPr>
                        </w:pPr>
                        <w:r>
                          <w:rPr>
                            <w:w w:val="99"/>
                            <w:sz w:val="14"/>
                          </w:rPr>
                          <w:t>-</w:t>
                        </w:r>
                      </w:p>
                    </w:tc>
                    <w:tc>
                      <w:tcPr>
                        <w:tcW w:w="626" w:type="dxa"/>
                        <w:tcBorders>
                          <w:top w:val="nil"/>
                          <w:bottom w:val="nil"/>
                          <w:right w:val="nil"/>
                        </w:tcBorders>
                      </w:tcPr>
                      <w:p>
                        <w:pPr>
                          <w:pStyle w:val="TableParagraph"/>
                          <w:spacing w:before="21"/>
                          <w:ind w:right="136"/>
                          <w:jc w:val="right"/>
                          <w:rPr>
                            <w:sz w:val="14"/>
                          </w:rPr>
                        </w:pPr>
                        <w:r>
                          <w:rPr>
                            <w:w w:val="99"/>
                            <w:sz w:val="14"/>
                          </w:rPr>
                          <w:t>-</w:t>
                        </w:r>
                      </w:p>
                    </w:tc>
                    <w:tc>
                      <w:tcPr>
                        <w:tcW w:w="510" w:type="dxa"/>
                        <w:tcBorders>
                          <w:top w:val="nil"/>
                          <w:left w:val="nil"/>
                          <w:bottom w:val="nil"/>
                          <w:right w:val="nil"/>
                        </w:tcBorders>
                      </w:tcPr>
                      <w:p>
                        <w:pPr>
                          <w:pStyle w:val="TableParagraph"/>
                          <w:spacing w:before="21"/>
                          <w:ind w:right="138"/>
                          <w:jc w:val="right"/>
                          <w:rPr>
                            <w:sz w:val="14"/>
                          </w:rPr>
                        </w:pPr>
                        <w:r>
                          <w:rPr>
                            <w:w w:val="99"/>
                            <w:sz w:val="14"/>
                          </w:rPr>
                          <w:t>-</w:t>
                        </w:r>
                      </w:p>
                    </w:tc>
                    <w:tc>
                      <w:tcPr>
                        <w:tcW w:w="556" w:type="dxa"/>
                        <w:tcBorders>
                          <w:top w:val="nil"/>
                          <w:left w:val="nil"/>
                          <w:bottom w:val="nil"/>
                          <w:right w:val="nil"/>
                        </w:tcBorders>
                      </w:tcPr>
                      <w:p>
                        <w:pPr>
                          <w:pStyle w:val="TableParagraph"/>
                          <w:spacing w:before="21"/>
                          <w:ind w:right="136"/>
                          <w:jc w:val="right"/>
                          <w:rPr>
                            <w:sz w:val="14"/>
                          </w:rPr>
                        </w:pPr>
                        <w:r>
                          <w:rPr>
                            <w:w w:val="99"/>
                            <w:sz w:val="14"/>
                          </w:rPr>
                          <w:t>-</w:t>
                        </w:r>
                      </w:p>
                    </w:tc>
                    <w:tc>
                      <w:tcPr>
                        <w:tcW w:w="440" w:type="dxa"/>
                        <w:tcBorders>
                          <w:top w:val="nil"/>
                          <w:left w:val="nil"/>
                          <w:bottom w:val="nil"/>
                        </w:tcBorders>
                      </w:tcPr>
                      <w:p>
                        <w:pPr>
                          <w:pStyle w:val="TableParagraph"/>
                          <w:spacing w:before="21"/>
                          <w:ind w:right="66"/>
                          <w:jc w:val="right"/>
                          <w:rPr>
                            <w:sz w:val="14"/>
                          </w:rPr>
                        </w:pPr>
                        <w:r>
                          <w:rPr>
                            <w:w w:val="99"/>
                            <w:sz w:val="14"/>
                          </w:rPr>
                          <w:t>-</w:t>
                        </w:r>
                      </w:p>
                    </w:tc>
                    <w:tc>
                      <w:tcPr>
                        <w:tcW w:w="545" w:type="dxa"/>
                        <w:tcBorders>
                          <w:top w:val="nil"/>
                          <w:bottom w:val="nil"/>
                          <w:right w:val="nil"/>
                        </w:tcBorders>
                      </w:tcPr>
                      <w:p>
                        <w:pPr>
                          <w:pStyle w:val="TableParagraph"/>
                          <w:spacing w:before="21"/>
                          <w:ind w:right="56"/>
                          <w:jc w:val="right"/>
                          <w:rPr>
                            <w:sz w:val="14"/>
                          </w:rPr>
                        </w:pPr>
                        <w:r>
                          <w:rPr>
                            <w:w w:val="99"/>
                            <w:sz w:val="14"/>
                          </w:rPr>
                          <w:t>-</w:t>
                        </w:r>
                      </w:p>
                    </w:tc>
                    <w:tc>
                      <w:tcPr>
                        <w:tcW w:w="728" w:type="dxa"/>
                        <w:tcBorders>
                          <w:top w:val="nil"/>
                          <w:left w:val="nil"/>
                          <w:bottom w:val="nil"/>
                          <w:right w:val="nil"/>
                        </w:tcBorders>
                      </w:tcPr>
                      <w:p>
                        <w:pPr>
                          <w:pStyle w:val="TableParagraph"/>
                          <w:spacing w:before="21"/>
                          <w:ind w:right="277"/>
                          <w:jc w:val="right"/>
                          <w:rPr>
                            <w:sz w:val="14"/>
                          </w:rPr>
                        </w:pPr>
                        <w:r>
                          <w:rPr>
                            <w:w w:val="99"/>
                            <w:sz w:val="14"/>
                          </w:rPr>
                          <w:t>-</w:t>
                        </w:r>
                      </w:p>
                    </w:tc>
                    <w:tc>
                      <w:tcPr>
                        <w:tcW w:w="360" w:type="dxa"/>
                        <w:tcBorders>
                          <w:top w:val="nil"/>
                          <w:left w:val="nil"/>
                          <w:bottom w:val="nil"/>
                          <w:right w:val="nil"/>
                        </w:tcBorders>
                      </w:tcPr>
                      <w:p>
                        <w:pPr>
                          <w:pStyle w:val="TableParagraph"/>
                          <w:spacing w:before="21"/>
                          <w:ind w:right="79"/>
                          <w:jc w:val="right"/>
                          <w:rPr>
                            <w:sz w:val="14"/>
                          </w:rPr>
                        </w:pPr>
                        <w:r>
                          <w:rPr>
                            <w:w w:val="99"/>
                            <w:sz w:val="14"/>
                          </w:rPr>
                          <w:t>-</w:t>
                        </w:r>
                      </w:p>
                    </w:tc>
                    <w:tc>
                      <w:tcPr>
                        <w:tcW w:w="488" w:type="dxa"/>
                        <w:tcBorders>
                          <w:top w:val="nil"/>
                          <w:left w:val="nil"/>
                          <w:bottom w:val="nil"/>
                        </w:tcBorders>
                      </w:tcPr>
                      <w:p>
                        <w:pPr>
                          <w:pStyle w:val="TableParagraph"/>
                          <w:spacing w:before="21"/>
                          <w:ind w:right="57"/>
                          <w:jc w:val="right"/>
                          <w:rPr>
                            <w:sz w:val="14"/>
                          </w:rPr>
                        </w:pPr>
                        <w:r>
                          <w:rPr>
                            <w:w w:val="99"/>
                            <w:sz w:val="14"/>
                          </w:rPr>
                          <w:t>-</w:t>
                        </w:r>
                      </w:p>
                    </w:tc>
                  </w:tr>
                  <w:tr>
                    <w:trPr>
                      <w:trHeight w:val="379" w:hRule="exact"/>
                    </w:trPr>
                    <w:tc>
                      <w:tcPr>
                        <w:tcW w:w="674" w:type="dxa"/>
                        <w:tcBorders>
                          <w:top w:val="nil"/>
                          <w:bottom w:val="nil"/>
                        </w:tcBorders>
                      </w:tcPr>
                      <w:p>
                        <w:pPr>
                          <w:pStyle w:val="TableParagraph"/>
                          <w:spacing w:before="101"/>
                          <w:ind w:right="65"/>
                          <w:jc w:val="right"/>
                          <w:rPr>
                            <w:sz w:val="14"/>
                          </w:rPr>
                        </w:pPr>
                        <w:r>
                          <w:rPr>
                            <w:w w:val="95"/>
                            <w:sz w:val="14"/>
                          </w:rPr>
                          <w:t>96,836</w:t>
                        </w:r>
                      </w:p>
                    </w:tc>
                    <w:tc>
                      <w:tcPr>
                        <w:tcW w:w="626" w:type="dxa"/>
                        <w:tcBorders>
                          <w:top w:val="nil"/>
                          <w:bottom w:val="nil"/>
                          <w:right w:val="nil"/>
                        </w:tcBorders>
                      </w:tcPr>
                      <w:p>
                        <w:pPr>
                          <w:pStyle w:val="TableParagraph"/>
                          <w:spacing w:before="101"/>
                          <w:ind w:right="136"/>
                          <w:jc w:val="right"/>
                          <w:rPr>
                            <w:sz w:val="14"/>
                          </w:rPr>
                        </w:pPr>
                        <w:r>
                          <w:rPr>
                            <w:w w:val="99"/>
                            <w:sz w:val="14"/>
                          </w:rPr>
                          <w:t>-</w:t>
                        </w:r>
                      </w:p>
                    </w:tc>
                    <w:tc>
                      <w:tcPr>
                        <w:tcW w:w="533" w:type="dxa"/>
                        <w:tcBorders>
                          <w:top w:val="nil"/>
                          <w:left w:val="nil"/>
                          <w:bottom w:val="nil"/>
                          <w:right w:val="nil"/>
                        </w:tcBorders>
                      </w:tcPr>
                      <w:p>
                        <w:pPr>
                          <w:pStyle w:val="TableParagraph"/>
                          <w:spacing w:before="101"/>
                          <w:ind w:left="160"/>
                          <w:jc w:val="center"/>
                          <w:rPr>
                            <w:sz w:val="14"/>
                          </w:rPr>
                        </w:pPr>
                        <w:r>
                          <w:rPr>
                            <w:w w:val="99"/>
                            <w:sz w:val="14"/>
                          </w:rPr>
                          <w:t>-</w:t>
                        </w:r>
                      </w:p>
                    </w:tc>
                    <w:tc>
                      <w:tcPr>
                        <w:tcW w:w="533" w:type="dxa"/>
                        <w:tcBorders>
                          <w:top w:val="nil"/>
                          <w:left w:val="nil"/>
                          <w:bottom w:val="nil"/>
                          <w:right w:val="nil"/>
                        </w:tcBorders>
                      </w:tcPr>
                      <w:p>
                        <w:pPr>
                          <w:pStyle w:val="TableParagraph"/>
                          <w:spacing w:before="101"/>
                          <w:ind w:left="208"/>
                          <w:jc w:val="center"/>
                          <w:rPr>
                            <w:sz w:val="14"/>
                          </w:rPr>
                        </w:pPr>
                        <w:r>
                          <w:rPr>
                            <w:w w:val="99"/>
                            <w:sz w:val="14"/>
                          </w:rPr>
                          <w:t>-</w:t>
                        </w:r>
                      </w:p>
                    </w:tc>
                    <w:tc>
                      <w:tcPr>
                        <w:tcW w:w="440" w:type="dxa"/>
                        <w:tcBorders>
                          <w:top w:val="nil"/>
                          <w:left w:val="nil"/>
                          <w:bottom w:val="nil"/>
                        </w:tcBorders>
                      </w:tcPr>
                      <w:p>
                        <w:pPr>
                          <w:pStyle w:val="TableParagraph"/>
                          <w:spacing w:before="101"/>
                          <w:ind w:right="66"/>
                          <w:jc w:val="right"/>
                          <w:rPr>
                            <w:sz w:val="14"/>
                          </w:rPr>
                        </w:pPr>
                        <w:r>
                          <w:rPr>
                            <w:w w:val="99"/>
                            <w:sz w:val="14"/>
                          </w:rPr>
                          <w:t>-</w:t>
                        </w:r>
                      </w:p>
                    </w:tc>
                    <w:tc>
                      <w:tcPr>
                        <w:tcW w:w="626" w:type="dxa"/>
                        <w:tcBorders>
                          <w:top w:val="nil"/>
                          <w:bottom w:val="nil"/>
                          <w:right w:val="nil"/>
                        </w:tcBorders>
                      </w:tcPr>
                      <w:p>
                        <w:pPr>
                          <w:pStyle w:val="TableParagraph"/>
                          <w:spacing w:before="101"/>
                          <w:ind w:right="136"/>
                          <w:jc w:val="right"/>
                          <w:rPr>
                            <w:sz w:val="14"/>
                          </w:rPr>
                        </w:pPr>
                        <w:r>
                          <w:rPr>
                            <w:w w:val="99"/>
                            <w:sz w:val="14"/>
                          </w:rPr>
                          <w:t>-</w:t>
                        </w:r>
                      </w:p>
                    </w:tc>
                    <w:tc>
                      <w:tcPr>
                        <w:tcW w:w="510" w:type="dxa"/>
                        <w:tcBorders>
                          <w:top w:val="nil"/>
                          <w:left w:val="nil"/>
                          <w:bottom w:val="nil"/>
                          <w:right w:val="nil"/>
                        </w:tcBorders>
                      </w:tcPr>
                      <w:p>
                        <w:pPr>
                          <w:pStyle w:val="TableParagraph"/>
                          <w:spacing w:before="101"/>
                          <w:ind w:right="138"/>
                          <w:jc w:val="right"/>
                          <w:rPr>
                            <w:sz w:val="14"/>
                          </w:rPr>
                        </w:pPr>
                        <w:r>
                          <w:rPr>
                            <w:w w:val="99"/>
                            <w:sz w:val="14"/>
                          </w:rPr>
                          <w:t>-</w:t>
                        </w:r>
                      </w:p>
                    </w:tc>
                    <w:tc>
                      <w:tcPr>
                        <w:tcW w:w="556" w:type="dxa"/>
                        <w:tcBorders>
                          <w:top w:val="nil"/>
                          <w:left w:val="nil"/>
                          <w:bottom w:val="nil"/>
                          <w:right w:val="nil"/>
                        </w:tcBorders>
                      </w:tcPr>
                      <w:p>
                        <w:pPr>
                          <w:pStyle w:val="TableParagraph"/>
                          <w:spacing w:before="101"/>
                          <w:ind w:right="136"/>
                          <w:jc w:val="right"/>
                          <w:rPr>
                            <w:sz w:val="14"/>
                          </w:rPr>
                        </w:pPr>
                        <w:r>
                          <w:rPr>
                            <w:w w:val="99"/>
                            <w:sz w:val="14"/>
                          </w:rPr>
                          <w:t>-</w:t>
                        </w:r>
                      </w:p>
                    </w:tc>
                    <w:tc>
                      <w:tcPr>
                        <w:tcW w:w="440" w:type="dxa"/>
                        <w:tcBorders>
                          <w:top w:val="nil"/>
                          <w:left w:val="nil"/>
                          <w:bottom w:val="nil"/>
                        </w:tcBorders>
                      </w:tcPr>
                      <w:p>
                        <w:pPr>
                          <w:pStyle w:val="TableParagraph"/>
                          <w:spacing w:before="101"/>
                          <w:ind w:right="66"/>
                          <w:jc w:val="right"/>
                          <w:rPr>
                            <w:sz w:val="14"/>
                          </w:rPr>
                        </w:pPr>
                        <w:r>
                          <w:rPr>
                            <w:w w:val="99"/>
                            <w:sz w:val="14"/>
                          </w:rPr>
                          <w:t>-</w:t>
                        </w:r>
                      </w:p>
                    </w:tc>
                    <w:tc>
                      <w:tcPr>
                        <w:tcW w:w="545" w:type="dxa"/>
                        <w:tcBorders>
                          <w:top w:val="nil"/>
                          <w:bottom w:val="nil"/>
                          <w:right w:val="nil"/>
                        </w:tcBorders>
                      </w:tcPr>
                      <w:p>
                        <w:pPr>
                          <w:pStyle w:val="TableParagraph"/>
                          <w:spacing w:before="101"/>
                          <w:ind w:right="56"/>
                          <w:jc w:val="right"/>
                          <w:rPr>
                            <w:sz w:val="14"/>
                          </w:rPr>
                        </w:pPr>
                        <w:r>
                          <w:rPr>
                            <w:w w:val="99"/>
                            <w:sz w:val="14"/>
                          </w:rPr>
                          <w:t>-</w:t>
                        </w:r>
                      </w:p>
                    </w:tc>
                    <w:tc>
                      <w:tcPr>
                        <w:tcW w:w="728" w:type="dxa"/>
                        <w:tcBorders>
                          <w:top w:val="nil"/>
                          <w:left w:val="nil"/>
                          <w:bottom w:val="nil"/>
                          <w:right w:val="nil"/>
                        </w:tcBorders>
                      </w:tcPr>
                      <w:p>
                        <w:pPr>
                          <w:pStyle w:val="TableParagraph"/>
                          <w:spacing w:before="101"/>
                          <w:ind w:right="231"/>
                          <w:jc w:val="right"/>
                          <w:rPr>
                            <w:sz w:val="14"/>
                          </w:rPr>
                        </w:pPr>
                        <w:r>
                          <w:rPr>
                            <w:w w:val="95"/>
                            <w:sz w:val="14"/>
                          </w:rPr>
                          <w:t>(9,684)</w:t>
                        </w:r>
                      </w:p>
                    </w:tc>
                    <w:tc>
                      <w:tcPr>
                        <w:tcW w:w="360" w:type="dxa"/>
                        <w:tcBorders>
                          <w:top w:val="nil"/>
                          <w:left w:val="nil"/>
                          <w:bottom w:val="nil"/>
                          <w:right w:val="nil"/>
                        </w:tcBorders>
                      </w:tcPr>
                      <w:p>
                        <w:pPr>
                          <w:pStyle w:val="TableParagraph"/>
                          <w:spacing w:before="101"/>
                          <w:ind w:right="79"/>
                          <w:jc w:val="right"/>
                          <w:rPr>
                            <w:sz w:val="14"/>
                          </w:rPr>
                        </w:pPr>
                        <w:r>
                          <w:rPr>
                            <w:w w:val="99"/>
                            <w:sz w:val="14"/>
                          </w:rPr>
                          <w:t>-</w:t>
                        </w:r>
                      </w:p>
                    </w:tc>
                    <w:tc>
                      <w:tcPr>
                        <w:tcW w:w="488" w:type="dxa"/>
                        <w:tcBorders>
                          <w:top w:val="nil"/>
                          <w:left w:val="nil"/>
                          <w:bottom w:val="nil"/>
                        </w:tcBorders>
                      </w:tcPr>
                      <w:p>
                        <w:pPr>
                          <w:pStyle w:val="TableParagraph"/>
                          <w:spacing w:before="101"/>
                          <w:ind w:right="57"/>
                          <w:jc w:val="right"/>
                          <w:rPr>
                            <w:sz w:val="14"/>
                          </w:rPr>
                        </w:pPr>
                        <w:r>
                          <w:rPr>
                            <w:sz w:val="14"/>
                          </w:rPr>
                          <w:t>9,684</w:t>
                        </w:r>
                      </w:p>
                    </w:tc>
                  </w:tr>
                  <w:tr>
                    <w:trPr>
                      <w:trHeight w:val="436" w:hRule="exact"/>
                    </w:trPr>
                    <w:tc>
                      <w:tcPr>
                        <w:tcW w:w="674" w:type="dxa"/>
                        <w:tcBorders>
                          <w:top w:val="nil"/>
                          <w:bottom w:val="nil"/>
                        </w:tcBorders>
                      </w:tcPr>
                      <w:p>
                        <w:pPr>
                          <w:pStyle w:val="TableParagraph"/>
                          <w:spacing w:before="101"/>
                          <w:ind w:right="65"/>
                          <w:jc w:val="right"/>
                          <w:rPr>
                            <w:sz w:val="14"/>
                          </w:rPr>
                        </w:pPr>
                        <w:r>
                          <w:rPr>
                            <w:w w:val="95"/>
                            <w:sz w:val="14"/>
                          </w:rPr>
                          <w:t>11,061</w:t>
                        </w:r>
                      </w:p>
                    </w:tc>
                    <w:tc>
                      <w:tcPr>
                        <w:tcW w:w="626" w:type="dxa"/>
                        <w:tcBorders>
                          <w:top w:val="nil"/>
                          <w:bottom w:val="nil"/>
                          <w:right w:val="nil"/>
                        </w:tcBorders>
                      </w:tcPr>
                      <w:p>
                        <w:pPr>
                          <w:pStyle w:val="TableParagraph"/>
                          <w:spacing w:before="101"/>
                          <w:ind w:right="91"/>
                          <w:jc w:val="right"/>
                          <w:rPr>
                            <w:sz w:val="14"/>
                          </w:rPr>
                        </w:pPr>
                        <w:r>
                          <w:rPr>
                            <w:sz w:val="14"/>
                          </w:rPr>
                          <w:t>(28)</w:t>
                        </w:r>
                      </w:p>
                    </w:tc>
                    <w:tc>
                      <w:tcPr>
                        <w:tcW w:w="533" w:type="dxa"/>
                        <w:tcBorders>
                          <w:top w:val="nil"/>
                          <w:left w:val="nil"/>
                          <w:bottom w:val="nil"/>
                          <w:right w:val="nil"/>
                        </w:tcBorders>
                      </w:tcPr>
                      <w:p>
                        <w:pPr>
                          <w:pStyle w:val="TableParagraph"/>
                          <w:spacing w:before="101"/>
                          <w:ind w:left="72" w:right="20"/>
                          <w:jc w:val="center"/>
                          <w:rPr>
                            <w:sz w:val="14"/>
                          </w:rPr>
                        </w:pPr>
                        <w:r>
                          <w:rPr>
                            <w:sz w:val="14"/>
                          </w:rPr>
                          <w:t>(28)</w:t>
                        </w:r>
                      </w:p>
                    </w:tc>
                    <w:tc>
                      <w:tcPr>
                        <w:tcW w:w="533" w:type="dxa"/>
                        <w:tcBorders>
                          <w:top w:val="nil"/>
                          <w:left w:val="nil"/>
                          <w:bottom w:val="nil"/>
                          <w:right w:val="nil"/>
                        </w:tcBorders>
                      </w:tcPr>
                      <w:p>
                        <w:pPr>
                          <w:pStyle w:val="TableParagraph"/>
                          <w:spacing w:before="101"/>
                          <w:ind w:left="171" w:right="71"/>
                          <w:jc w:val="center"/>
                          <w:rPr>
                            <w:sz w:val="14"/>
                          </w:rPr>
                        </w:pPr>
                        <w:r>
                          <w:rPr>
                            <w:sz w:val="14"/>
                          </w:rPr>
                          <w:t>28</w:t>
                        </w:r>
                      </w:p>
                    </w:tc>
                    <w:tc>
                      <w:tcPr>
                        <w:tcW w:w="440" w:type="dxa"/>
                        <w:tcBorders>
                          <w:top w:val="nil"/>
                          <w:left w:val="nil"/>
                          <w:bottom w:val="nil"/>
                        </w:tcBorders>
                      </w:tcPr>
                      <w:p>
                        <w:pPr>
                          <w:pStyle w:val="TableParagraph"/>
                          <w:spacing w:before="101"/>
                          <w:ind w:right="67"/>
                          <w:jc w:val="right"/>
                          <w:rPr>
                            <w:sz w:val="14"/>
                          </w:rPr>
                        </w:pPr>
                        <w:r>
                          <w:rPr>
                            <w:sz w:val="14"/>
                          </w:rPr>
                          <w:t>28</w:t>
                        </w:r>
                      </w:p>
                    </w:tc>
                    <w:tc>
                      <w:tcPr>
                        <w:tcW w:w="626" w:type="dxa"/>
                        <w:tcBorders>
                          <w:top w:val="nil"/>
                          <w:bottom w:val="nil"/>
                          <w:right w:val="nil"/>
                        </w:tcBorders>
                      </w:tcPr>
                      <w:p>
                        <w:pPr>
                          <w:pStyle w:val="TableParagraph"/>
                          <w:spacing w:before="101"/>
                          <w:ind w:right="136"/>
                          <w:jc w:val="right"/>
                          <w:rPr>
                            <w:sz w:val="14"/>
                          </w:rPr>
                        </w:pPr>
                        <w:r>
                          <w:rPr>
                            <w:w w:val="99"/>
                            <w:sz w:val="14"/>
                          </w:rPr>
                          <w:t>-</w:t>
                        </w:r>
                      </w:p>
                    </w:tc>
                    <w:tc>
                      <w:tcPr>
                        <w:tcW w:w="510" w:type="dxa"/>
                        <w:tcBorders>
                          <w:top w:val="nil"/>
                          <w:left w:val="nil"/>
                          <w:bottom w:val="nil"/>
                          <w:right w:val="nil"/>
                        </w:tcBorders>
                      </w:tcPr>
                      <w:p>
                        <w:pPr>
                          <w:pStyle w:val="TableParagraph"/>
                          <w:spacing w:before="101"/>
                          <w:ind w:right="138"/>
                          <w:jc w:val="right"/>
                          <w:rPr>
                            <w:sz w:val="14"/>
                          </w:rPr>
                        </w:pPr>
                        <w:r>
                          <w:rPr>
                            <w:w w:val="99"/>
                            <w:sz w:val="14"/>
                          </w:rPr>
                          <w:t>-</w:t>
                        </w:r>
                      </w:p>
                    </w:tc>
                    <w:tc>
                      <w:tcPr>
                        <w:tcW w:w="556" w:type="dxa"/>
                        <w:tcBorders>
                          <w:top w:val="nil"/>
                          <w:left w:val="nil"/>
                          <w:bottom w:val="nil"/>
                          <w:right w:val="nil"/>
                        </w:tcBorders>
                      </w:tcPr>
                      <w:p>
                        <w:pPr>
                          <w:pStyle w:val="TableParagraph"/>
                          <w:spacing w:before="101"/>
                          <w:ind w:right="136"/>
                          <w:jc w:val="right"/>
                          <w:rPr>
                            <w:sz w:val="14"/>
                          </w:rPr>
                        </w:pPr>
                        <w:r>
                          <w:rPr>
                            <w:w w:val="99"/>
                            <w:sz w:val="14"/>
                          </w:rPr>
                          <w:t>-</w:t>
                        </w:r>
                      </w:p>
                    </w:tc>
                    <w:tc>
                      <w:tcPr>
                        <w:tcW w:w="440" w:type="dxa"/>
                        <w:tcBorders>
                          <w:top w:val="nil"/>
                          <w:left w:val="nil"/>
                          <w:bottom w:val="nil"/>
                        </w:tcBorders>
                      </w:tcPr>
                      <w:p>
                        <w:pPr>
                          <w:pStyle w:val="TableParagraph"/>
                          <w:spacing w:before="101"/>
                          <w:ind w:right="66"/>
                          <w:jc w:val="right"/>
                          <w:rPr>
                            <w:sz w:val="14"/>
                          </w:rPr>
                        </w:pPr>
                        <w:r>
                          <w:rPr>
                            <w:w w:val="99"/>
                            <w:sz w:val="14"/>
                          </w:rPr>
                          <w:t>-</w:t>
                        </w:r>
                      </w:p>
                    </w:tc>
                    <w:tc>
                      <w:tcPr>
                        <w:tcW w:w="545" w:type="dxa"/>
                        <w:tcBorders>
                          <w:top w:val="nil"/>
                          <w:bottom w:val="nil"/>
                          <w:right w:val="nil"/>
                        </w:tcBorders>
                      </w:tcPr>
                      <w:p>
                        <w:pPr>
                          <w:pStyle w:val="TableParagraph"/>
                          <w:spacing w:before="101"/>
                          <w:ind w:right="56"/>
                          <w:jc w:val="right"/>
                          <w:rPr>
                            <w:sz w:val="14"/>
                          </w:rPr>
                        </w:pPr>
                        <w:r>
                          <w:rPr>
                            <w:w w:val="99"/>
                            <w:sz w:val="14"/>
                          </w:rPr>
                          <w:t>-</w:t>
                        </w:r>
                      </w:p>
                    </w:tc>
                    <w:tc>
                      <w:tcPr>
                        <w:tcW w:w="728" w:type="dxa"/>
                        <w:tcBorders>
                          <w:top w:val="nil"/>
                          <w:left w:val="nil"/>
                          <w:bottom w:val="nil"/>
                          <w:right w:val="nil"/>
                        </w:tcBorders>
                      </w:tcPr>
                      <w:p>
                        <w:pPr>
                          <w:pStyle w:val="TableParagraph"/>
                          <w:spacing w:before="101"/>
                          <w:ind w:right="277"/>
                          <w:jc w:val="right"/>
                          <w:rPr>
                            <w:sz w:val="14"/>
                          </w:rPr>
                        </w:pPr>
                        <w:r>
                          <w:rPr>
                            <w:w w:val="99"/>
                            <w:sz w:val="14"/>
                          </w:rPr>
                          <w:t>-</w:t>
                        </w:r>
                      </w:p>
                    </w:tc>
                    <w:tc>
                      <w:tcPr>
                        <w:tcW w:w="360" w:type="dxa"/>
                        <w:tcBorders>
                          <w:top w:val="nil"/>
                          <w:left w:val="nil"/>
                          <w:bottom w:val="nil"/>
                          <w:right w:val="nil"/>
                        </w:tcBorders>
                      </w:tcPr>
                      <w:p>
                        <w:pPr>
                          <w:pStyle w:val="TableParagraph"/>
                          <w:spacing w:before="101"/>
                          <w:ind w:right="79"/>
                          <w:jc w:val="right"/>
                          <w:rPr>
                            <w:sz w:val="14"/>
                          </w:rPr>
                        </w:pPr>
                        <w:r>
                          <w:rPr>
                            <w:w w:val="99"/>
                            <w:sz w:val="14"/>
                          </w:rPr>
                          <w:t>-</w:t>
                        </w:r>
                      </w:p>
                    </w:tc>
                    <w:tc>
                      <w:tcPr>
                        <w:tcW w:w="488" w:type="dxa"/>
                        <w:tcBorders>
                          <w:top w:val="nil"/>
                          <w:left w:val="nil"/>
                          <w:bottom w:val="nil"/>
                        </w:tcBorders>
                      </w:tcPr>
                      <w:p>
                        <w:pPr>
                          <w:pStyle w:val="TableParagraph"/>
                          <w:spacing w:before="101"/>
                          <w:ind w:right="57"/>
                          <w:jc w:val="right"/>
                          <w:rPr>
                            <w:sz w:val="14"/>
                          </w:rPr>
                        </w:pPr>
                        <w:r>
                          <w:rPr>
                            <w:w w:val="99"/>
                            <w:sz w:val="14"/>
                          </w:rPr>
                          <w:t>-</w:t>
                        </w:r>
                      </w:p>
                    </w:tc>
                  </w:tr>
                  <w:tr>
                    <w:trPr>
                      <w:trHeight w:val="355" w:hRule="exact"/>
                    </w:trPr>
                    <w:tc>
                      <w:tcPr>
                        <w:tcW w:w="674" w:type="dxa"/>
                        <w:tcBorders>
                          <w:top w:val="nil"/>
                          <w:bottom w:val="nil"/>
                        </w:tcBorders>
                      </w:tcPr>
                      <w:p>
                        <w:pPr>
                          <w:pStyle w:val="TableParagraph"/>
                          <w:spacing w:before="8"/>
                          <w:rPr>
                            <w:sz w:val="13"/>
                          </w:rPr>
                        </w:pPr>
                      </w:p>
                      <w:p>
                        <w:pPr>
                          <w:pStyle w:val="TableParagraph"/>
                          <w:ind w:right="65"/>
                          <w:jc w:val="right"/>
                          <w:rPr>
                            <w:sz w:val="14"/>
                          </w:rPr>
                        </w:pPr>
                        <w:r>
                          <w:rPr>
                            <w:w w:val="95"/>
                            <w:sz w:val="14"/>
                          </w:rPr>
                          <w:t>59,923</w:t>
                        </w:r>
                      </w:p>
                    </w:tc>
                    <w:tc>
                      <w:tcPr>
                        <w:tcW w:w="626" w:type="dxa"/>
                        <w:tcBorders>
                          <w:top w:val="nil"/>
                          <w:bottom w:val="nil"/>
                          <w:right w:val="nil"/>
                        </w:tcBorders>
                      </w:tcPr>
                      <w:p>
                        <w:pPr>
                          <w:pStyle w:val="TableParagraph"/>
                          <w:spacing w:before="8"/>
                          <w:rPr>
                            <w:sz w:val="13"/>
                          </w:rPr>
                        </w:pPr>
                      </w:p>
                      <w:p>
                        <w:pPr>
                          <w:pStyle w:val="TableParagraph"/>
                          <w:ind w:right="136"/>
                          <w:jc w:val="right"/>
                          <w:rPr>
                            <w:sz w:val="14"/>
                          </w:rPr>
                        </w:pPr>
                        <w:r>
                          <w:rPr>
                            <w:w w:val="99"/>
                            <w:sz w:val="14"/>
                          </w:rPr>
                          <w:t>-</w:t>
                        </w:r>
                      </w:p>
                    </w:tc>
                    <w:tc>
                      <w:tcPr>
                        <w:tcW w:w="533" w:type="dxa"/>
                        <w:tcBorders>
                          <w:top w:val="nil"/>
                          <w:left w:val="nil"/>
                          <w:bottom w:val="nil"/>
                          <w:right w:val="nil"/>
                        </w:tcBorders>
                      </w:tcPr>
                      <w:p>
                        <w:pPr>
                          <w:pStyle w:val="TableParagraph"/>
                          <w:spacing w:before="8"/>
                          <w:rPr>
                            <w:sz w:val="13"/>
                          </w:rPr>
                        </w:pPr>
                      </w:p>
                      <w:p>
                        <w:pPr>
                          <w:pStyle w:val="TableParagraph"/>
                          <w:ind w:left="160"/>
                          <w:jc w:val="center"/>
                          <w:rPr>
                            <w:sz w:val="14"/>
                          </w:rPr>
                        </w:pPr>
                        <w:r>
                          <w:rPr>
                            <w:w w:val="99"/>
                            <w:sz w:val="14"/>
                          </w:rPr>
                          <w:t>-</w:t>
                        </w:r>
                      </w:p>
                    </w:tc>
                    <w:tc>
                      <w:tcPr>
                        <w:tcW w:w="533" w:type="dxa"/>
                        <w:tcBorders>
                          <w:top w:val="nil"/>
                          <w:left w:val="nil"/>
                          <w:bottom w:val="nil"/>
                          <w:right w:val="nil"/>
                        </w:tcBorders>
                      </w:tcPr>
                      <w:p>
                        <w:pPr>
                          <w:pStyle w:val="TableParagraph"/>
                          <w:spacing w:before="8"/>
                          <w:rPr>
                            <w:sz w:val="13"/>
                          </w:rPr>
                        </w:pPr>
                      </w:p>
                      <w:p>
                        <w:pPr>
                          <w:pStyle w:val="TableParagraph"/>
                          <w:ind w:left="208"/>
                          <w:jc w:val="center"/>
                          <w:rPr>
                            <w:sz w:val="14"/>
                          </w:rPr>
                        </w:pPr>
                        <w:r>
                          <w:rPr>
                            <w:w w:val="99"/>
                            <w:sz w:val="14"/>
                          </w:rPr>
                          <w:t>-</w:t>
                        </w:r>
                      </w:p>
                    </w:tc>
                    <w:tc>
                      <w:tcPr>
                        <w:tcW w:w="440" w:type="dxa"/>
                        <w:tcBorders>
                          <w:top w:val="nil"/>
                          <w:left w:val="nil"/>
                          <w:bottom w:val="nil"/>
                        </w:tcBorders>
                      </w:tcPr>
                      <w:p>
                        <w:pPr>
                          <w:pStyle w:val="TableParagraph"/>
                          <w:spacing w:before="8"/>
                          <w:rPr>
                            <w:sz w:val="13"/>
                          </w:rPr>
                        </w:pPr>
                      </w:p>
                      <w:p>
                        <w:pPr>
                          <w:pStyle w:val="TableParagraph"/>
                          <w:ind w:right="66"/>
                          <w:jc w:val="right"/>
                          <w:rPr>
                            <w:sz w:val="14"/>
                          </w:rPr>
                        </w:pPr>
                        <w:r>
                          <w:rPr>
                            <w:w w:val="99"/>
                            <w:sz w:val="14"/>
                          </w:rPr>
                          <w:t>-</w:t>
                        </w:r>
                      </w:p>
                    </w:tc>
                    <w:tc>
                      <w:tcPr>
                        <w:tcW w:w="626" w:type="dxa"/>
                        <w:tcBorders>
                          <w:top w:val="nil"/>
                          <w:bottom w:val="nil"/>
                          <w:right w:val="nil"/>
                        </w:tcBorders>
                      </w:tcPr>
                      <w:p>
                        <w:pPr>
                          <w:pStyle w:val="TableParagraph"/>
                          <w:spacing w:before="8"/>
                          <w:rPr>
                            <w:sz w:val="13"/>
                          </w:rPr>
                        </w:pPr>
                      </w:p>
                      <w:p>
                        <w:pPr>
                          <w:pStyle w:val="TableParagraph"/>
                          <w:ind w:right="137"/>
                          <w:jc w:val="right"/>
                          <w:rPr>
                            <w:sz w:val="14"/>
                          </w:rPr>
                        </w:pPr>
                        <w:r>
                          <w:rPr>
                            <w:sz w:val="14"/>
                          </w:rPr>
                          <w:t>569</w:t>
                        </w:r>
                      </w:p>
                    </w:tc>
                    <w:tc>
                      <w:tcPr>
                        <w:tcW w:w="510" w:type="dxa"/>
                        <w:tcBorders>
                          <w:top w:val="nil"/>
                          <w:left w:val="nil"/>
                          <w:bottom w:val="nil"/>
                          <w:right w:val="nil"/>
                        </w:tcBorders>
                      </w:tcPr>
                      <w:p>
                        <w:pPr>
                          <w:pStyle w:val="TableParagraph"/>
                          <w:spacing w:before="8"/>
                          <w:rPr>
                            <w:sz w:val="13"/>
                          </w:rPr>
                        </w:pPr>
                      </w:p>
                      <w:p>
                        <w:pPr>
                          <w:pStyle w:val="TableParagraph"/>
                          <w:ind w:right="138"/>
                          <w:jc w:val="right"/>
                          <w:rPr>
                            <w:sz w:val="14"/>
                          </w:rPr>
                        </w:pPr>
                        <w:r>
                          <w:rPr>
                            <w:sz w:val="14"/>
                          </w:rPr>
                          <w:t>569</w:t>
                        </w:r>
                      </w:p>
                    </w:tc>
                    <w:tc>
                      <w:tcPr>
                        <w:tcW w:w="556" w:type="dxa"/>
                        <w:tcBorders>
                          <w:top w:val="nil"/>
                          <w:left w:val="nil"/>
                          <w:bottom w:val="nil"/>
                          <w:right w:val="nil"/>
                        </w:tcBorders>
                      </w:tcPr>
                      <w:p>
                        <w:pPr>
                          <w:pStyle w:val="TableParagraph"/>
                          <w:spacing w:before="8"/>
                          <w:rPr>
                            <w:sz w:val="13"/>
                          </w:rPr>
                        </w:pPr>
                      </w:p>
                      <w:p>
                        <w:pPr>
                          <w:pStyle w:val="TableParagraph"/>
                          <w:ind w:right="91"/>
                          <w:jc w:val="right"/>
                          <w:rPr>
                            <w:sz w:val="14"/>
                          </w:rPr>
                        </w:pPr>
                        <w:r>
                          <w:rPr>
                            <w:sz w:val="14"/>
                          </w:rPr>
                          <w:t>(569)</w:t>
                        </w:r>
                      </w:p>
                    </w:tc>
                    <w:tc>
                      <w:tcPr>
                        <w:tcW w:w="440" w:type="dxa"/>
                        <w:tcBorders>
                          <w:top w:val="nil"/>
                          <w:left w:val="nil"/>
                          <w:bottom w:val="nil"/>
                        </w:tcBorders>
                      </w:tcPr>
                      <w:p>
                        <w:pPr>
                          <w:pStyle w:val="TableParagraph"/>
                          <w:spacing w:before="8"/>
                          <w:rPr>
                            <w:sz w:val="13"/>
                          </w:rPr>
                        </w:pPr>
                      </w:p>
                      <w:p>
                        <w:pPr>
                          <w:pStyle w:val="TableParagraph"/>
                          <w:ind w:right="21"/>
                          <w:jc w:val="right"/>
                          <w:rPr>
                            <w:sz w:val="14"/>
                          </w:rPr>
                        </w:pPr>
                        <w:r>
                          <w:rPr>
                            <w:sz w:val="14"/>
                          </w:rPr>
                          <w:t>(569)</w:t>
                        </w:r>
                      </w:p>
                    </w:tc>
                    <w:tc>
                      <w:tcPr>
                        <w:tcW w:w="545" w:type="dxa"/>
                        <w:tcBorders>
                          <w:top w:val="nil"/>
                          <w:bottom w:val="nil"/>
                          <w:right w:val="nil"/>
                        </w:tcBorders>
                      </w:tcPr>
                      <w:p>
                        <w:pPr>
                          <w:pStyle w:val="TableParagraph"/>
                          <w:spacing w:before="8"/>
                          <w:rPr>
                            <w:sz w:val="13"/>
                          </w:rPr>
                        </w:pPr>
                      </w:p>
                      <w:p>
                        <w:pPr>
                          <w:pStyle w:val="TableParagraph"/>
                          <w:ind w:right="56"/>
                          <w:jc w:val="right"/>
                          <w:rPr>
                            <w:sz w:val="14"/>
                          </w:rPr>
                        </w:pPr>
                        <w:r>
                          <w:rPr>
                            <w:w w:val="99"/>
                            <w:sz w:val="14"/>
                          </w:rPr>
                          <w:t>-</w:t>
                        </w:r>
                      </w:p>
                    </w:tc>
                    <w:tc>
                      <w:tcPr>
                        <w:tcW w:w="728" w:type="dxa"/>
                        <w:tcBorders>
                          <w:top w:val="nil"/>
                          <w:left w:val="nil"/>
                          <w:bottom w:val="nil"/>
                          <w:right w:val="nil"/>
                        </w:tcBorders>
                      </w:tcPr>
                      <w:p>
                        <w:pPr>
                          <w:pStyle w:val="TableParagraph"/>
                          <w:spacing w:before="8"/>
                          <w:rPr>
                            <w:sz w:val="13"/>
                          </w:rPr>
                        </w:pPr>
                      </w:p>
                      <w:p>
                        <w:pPr>
                          <w:pStyle w:val="TableParagraph"/>
                          <w:ind w:right="277"/>
                          <w:jc w:val="right"/>
                          <w:rPr>
                            <w:sz w:val="14"/>
                          </w:rPr>
                        </w:pPr>
                        <w:r>
                          <w:rPr>
                            <w:w w:val="99"/>
                            <w:sz w:val="14"/>
                          </w:rPr>
                          <w:t>-</w:t>
                        </w:r>
                      </w:p>
                    </w:tc>
                    <w:tc>
                      <w:tcPr>
                        <w:tcW w:w="360" w:type="dxa"/>
                        <w:tcBorders>
                          <w:top w:val="nil"/>
                          <w:left w:val="nil"/>
                          <w:bottom w:val="nil"/>
                          <w:right w:val="nil"/>
                        </w:tcBorders>
                      </w:tcPr>
                      <w:p>
                        <w:pPr>
                          <w:pStyle w:val="TableParagraph"/>
                          <w:spacing w:before="8"/>
                          <w:rPr>
                            <w:sz w:val="13"/>
                          </w:rPr>
                        </w:pPr>
                      </w:p>
                      <w:p>
                        <w:pPr>
                          <w:pStyle w:val="TableParagraph"/>
                          <w:ind w:right="79"/>
                          <w:jc w:val="right"/>
                          <w:rPr>
                            <w:sz w:val="14"/>
                          </w:rPr>
                        </w:pPr>
                        <w:r>
                          <w:rPr>
                            <w:w w:val="99"/>
                            <w:sz w:val="14"/>
                          </w:rPr>
                          <w:t>-</w:t>
                        </w:r>
                      </w:p>
                    </w:tc>
                    <w:tc>
                      <w:tcPr>
                        <w:tcW w:w="488" w:type="dxa"/>
                        <w:tcBorders>
                          <w:top w:val="nil"/>
                          <w:left w:val="nil"/>
                          <w:bottom w:val="nil"/>
                        </w:tcBorders>
                      </w:tcPr>
                      <w:p>
                        <w:pPr>
                          <w:pStyle w:val="TableParagraph"/>
                          <w:spacing w:before="8"/>
                          <w:rPr>
                            <w:sz w:val="13"/>
                          </w:rPr>
                        </w:pPr>
                      </w:p>
                      <w:p>
                        <w:pPr>
                          <w:pStyle w:val="TableParagraph"/>
                          <w:ind w:right="57"/>
                          <w:jc w:val="right"/>
                          <w:rPr>
                            <w:sz w:val="14"/>
                          </w:rPr>
                        </w:pPr>
                        <w:r>
                          <w:rPr>
                            <w:w w:val="99"/>
                            <w:sz w:val="14"/>
                          </w:rPr>
                          <w:t>-</w:t>
                        </w:r>
                      </w:p>
                    </w:tc>
                  </w:tr>
                  <w:tr>
                    <w:trPr>
                      <w:trHeight w:val="218" w:hRule="exact"/>
                    </w:trPr>
                    <w:tc>
                      <w:tcPr>
                        <w:tcW w:w="674" w:type="dxa"/>
                        <w:tcBorders>
                          <w:top w:val="nil"/>
                          <w:bottom w:val="nil"/>
                        </w:tcBorders>
                      </w:tcPr>
                      <w:p>
                        <w:pPr>
                          <w:pStyle w:val="TableParagraph"/>
                          <w:spacing w:before="21"/>
                          <w:ind w:right="65"/>
                          <w:jc w:val="right"/>
                          <w:rPr>
                            <w:sz w:val="14"/>
                          </w:rPr>
                        </w:pPr>
                        <w:r>
                          <w:rPr>
                            <w:w w:val="95"/>
                            <w:sz w:val="14"/>
                          </w:rPr>
                          <w:t>163,500</w:t>
                        </w:r>
                      </w:p>
                    </w:tc>
                    <w:tc>
                      <w:tcPr>
                        <w:tcW w:w="626" w:type="dxa"/>
                        <w:tcBorders>
                          <w:top w:val="nil"/>
                          <w:bottom w:val="nil"/>
                          <w:right w:val="nil"/>
                        </w:tcBorders>
                      </w:tcPr>
                      <w:p>
                        <w:pPr>
                          <w:pStyle w:val="TableParagraph"/>
                          <w:spacing w:before="21"/>
                          <w:ind w:right="137"/>
                          <w:jc w:val="right"/>
                          <w:rPr>
                            <w:sz w:val="14"/>
                          </w:rPr>
                        </w:pPr>
                        <w:r>
                          <w:rPr>
                            <w:sz w:val="14"/>
                          </w:rPr>
                          <w:t>409</w:t>
                        </w:r>
                      </w:p>
                    </w:tc>
                    <w:tc>
                      <w:tcPr>
                        <w:tcW w:w="533" w:type="dxa"/>
                        <w:tcBorders>
                          <w:top w:val="nil"/>
                          <w:left w:val="nil"/>
                          <w:bottom w:val="nil"/>
                          <w:right w:val="nil"/>
                        </w:tcBorders>
                      </w:tcPr>
                      <w:p>
                        <w:pPr>
                          <w:pStyle w:val="TableParagraph"/>
                          <w:spacing w:before="21"/>
                          <w:ind w:left="49" w:right="71"/>
                          <w:jc w:val="center"/>
                          <w:rPr>
                            <w:sz w:val="14"/>
                          </w:rPr>
                        </w:pPr>
                        <w:r>
                          <w:rPr>
                            <w:sz w:val="14"/>
                          </w:rPr>
                          <w:t>409</w:t>
                        </w:r>
                      </w:p>
                    </w:tc>
                    <w:tc>
                      <w:tcPr>
                        <w:tcW w:w="533" w:type="dxa"/>
                        <w:tcBorders>
                          <w:top w:val="nil"/>
                          <w:left w:val="nil"/>
                          <w:bottom w:val="nil"/>
                          <w:right w:val="nil"/>
                        </w:tcBorders>
                      </w:tcPr>
                      <w:p>
                        <w:pPr>
                          <w:pStyle w:val="TableParagraph"/>
                          <w:spacing w:before="21"/>
                          <w:ind w:left="72" w:right="49"/>
                          <w:jc w:val="center"/>
                          <w:rPr>
                            <w:sz w:val="14"/>
                          </w:rPr>
                        </w:pPr>
                        <w:r>
                          <w:rPr>
                            <w:sz w:val="14"/>
                          </w:rPr>
                          <w:t>(409)</w:t>
                        </w:r>
                      </w:p>
                    </w:tc>
                    <w:tc>
                      <w:tcPr>
                        <w:tcW w:w="440" w:type="dxa"/>
                        <w:tcBorders>
                          <w:top w:val="nil"/>
                          <w:left w:val="nil"/>
                          <w:bottom w:val="nil"/>
                        </w:tcBorders>
                      </w:tcPr>
                      <w:p>
                        <w:pPr>
                          <w:pStyle w:val="TableParagraph"/>
                          <w:spacing w:before="21"/>
                          <w:ind w:right="21"/>
                          <w:jc w:val="right"/>
                          <w:rPr>
                            <w:sz w:val="14"/>
                          </w:rPr>
                        </w:pPr>
                        <w:r>
                          <w:rPr>
                            <w:sz w:val="14"/>
                          </w:rPr>
                          <w:t>(409)</w:t>
                        </w:r>
                      </w:p>
                    </w:tc>
                    <w:tc>
                      <w:tcPr>
                        <w:tcW w:w="626" w:type="dxa"/>
                        <w:tcBorders>
                          <w:top w:val="nil"/>
                          <w:bottom w:val="nil"/>
                          <w:right w:val="nil"/>
                        </w:tcBorders>
                      </w:tcPr>
                      <w:p>
                        <w:pPr>
                          <w:pStyle w:val="TableParagraph"/>
                          <w:spacing w:before="21"/>
                          <w:ind w:right="136"/>
                          <w:jc w:val="right"/>
                          <w:rPr>
                            <w:sz w:val="14"/>
                          </w:rPr>
                        </w:pPr>
                        <w:r>
                          <w:rPr>
                            <w:w w:val="99"/>
                            <w:sz w:val="14"/>
                          </w:rPr>
                          <w:t>-</w:t>
                        </w:r>
                      </w:p>
                    </w:tc>
                    <w:tc>
                      <w:tcPr>
                        <w:tcW w:w="510" w:type="dxa"/>
                        <w:tcBorders>
                          <w:top w:val="nil"/>
                          <w:left w:val="nil"/>
                          <w:bottom w:val="nil"/>
                          <w:right w:val="nil"/>
                        </w:tcBorders>
                      </w:tcPr>
                      <w:p>
                        <w:pPr>
                          <w:pStyle w:val="TableParagraph"/>
                          <w:spacing w:before="21"/>
                          <w:ind w:right="138"/>
                          <w:jc w:val="right"/>
                          <w:rPr>
                            <w:sz w:val="14"/>
                          </w:rPr>
                        </w:pPr>
                        <w:r>
                          <w:rPr>
                            <w:w w:val="99"/>
                            <w:sz w:val="14"/>
                          </w:rPr>
                          <w:t>-</w:t>
                        </w:r>
                      </w:p>
                    </w:tc>
                    <w:tc>
                      <w:tcPr>
                        <w:tcW w:w="556" w:type="dxa"/>
                        <w:tcBorders>
                          <w:top w:val="nil"/>
                          <w:left w:val="nil"/>
                          <w:bottom w:val="nil"/>
                          <w:right w:val="nil"/>
                        </w:tcBorders>
                      </w:tcPr>
                      <w:p>
                        <w:pPr>
                          <w:pStyle w:val="TableParagraph"/>
                          <w:spacing w:before="21"/>
                          <w:ind w:right="136"/>
                          <w:jc w:val="right"/>
                          <w:rPr>
                            <w:sz w:val="14"/>
                          </w:rPr>
                        </w:pPr>
                        <w:r>
                          <w:rPr>
                            <w:w w:val="99"/>
                            <w:sz w:val="14"/>
                          </w:rPr>
                          <w:t>-</w:t>
                        </w:r>
                      </w:p>
                    </w:tc>
                    <w:tc>
                      <w:tcPr>
                        <w:tcW w:w="440" w:type="dxa"/>
                        <w:tcBorders>
                          <w:top w:val="nil"/>
                          <w:left w:val="nil"/>
                          <w:bottom w:val="nil"/>
                        </w:tcBorders>
                      </w:tcPr>
                      <w:p>
                        <w:pPr>
                          <w:pStyle w:val="TableParagraph"/>
                          <w:spacing w:before="21"/>
                          <w:ind w:right="66"/>
                          <w:jc w:val="right"/>
                          <w:rPr>
                            <w:sz w:val="14"/>
                          </w:rPr>
                        </w:pPr>
                        <w:r>
                          <w:rPr>
                            <w:w w:val="99"/>
                            <w:sz w:val="14"/>
                          </w:rPr>
                          <w:t>-</w:t>
                        </w:r>
                      </w:p>
                    </w:tc>
                    <w:tc>
                      <w:tcPr>
                        <w:tcW w:w="545" w:type="dxa"/>
                        <w:tcBorders>
                          <w:top w:val="nil"/>
                          <w:bottom w:val="nil"/>
                          <w:right w:val="nil"/>
                        </w:tcBorders>
                      </w:tcPr>
                      <w:p>
                        <w:pPr>
                          <w:pStyle w:val="TableParagraph"/>
                          <w:spacing w:before="21"/>
                          <w:ind w:right="56"/>
                          <w:jc w:val="right"/>
                          <w:rPr>
                            <w:sz w:val="14"/>
                          </w:rPr>
                        </w:pPr>
                        <w:r>
                          <w:rPr>
                            <w:w w:val="99"/>
                            <w:sz w:val="14"/>
                          </w:rPr>
                          <w:t>-</w:t>
                        </w:r>
                      </w:p>
                    </w:tc>
                    <w:tc>
                      <w:tcPr>
                        <w:tcW w:w="728" w:type="dxa"/>
                        <w:tcBorders>
                          <w:top w:val="nil"/>
                          <w:left w:val="nil"/>
                          <w:bottom w:val="nil"/>
                          <w:right w:val="nil"/>
                        </w:tcBorders>
                      </w:tcPr>
                      <w:p>
                        <w:pPr>
                          <w:pStyle w:val="TableParagraph"/>
                          <w:spacing w:before="21"/>
                          <w:ind w:right="277"/>
                          <w:jc w:val="right"/>
                          <w:rPr>
                            <w:sz w:val="14"/>
                          </w:rPr>
                        </w:pPr>
                        <w:r>
                          <w:rPr>
                            <w:w w:val="99"/>
                            <w:sz w:val="14"/>
                          </w:rPr>
                          <w:t>-</w:t>
                        </w:r>
                      </w:p>
                    </w:tc>
                    <w:tc>
                      <w:tcPr>
                        <w:tcW w:w="360" w:type="dxa"/>
                        <w:tcBorders>
                          <w:top w:val="nil"/>
                          <w:left w:val="nil"/>
                          <w:bottom w:val="nil"/>
                          <w:right w:val="nil"/>
                        </w:tcBorders>
                      </w:tcPr>
                      <w:p>
                        <w:pPr>
                          <w:pStyle w:val="TableParagraph"/>
                          <w:spacing w:before="21"/>
                          <w:ind w:right="79"/>
                          <w:jc w:val="right"/>
                          <w:rPr>
                            <w:sz w:val="14"/>
                          </w:rPr>
                        </w:pPr>
                        <w:r>
                          <w:rPr>
                            <w:w w:val="99"/>
                            <w:sz w:val="14"/>
                          </w:rPr>
                          <w:t>-</w:t>
                        </w:r>
                      </w:p>
                    </w:tc>
                    <w:tc>
                      <w:tcPr>
                        <w:tcW w:w="488" w:type="dxa"/>
                        <w:tcBorders>
                          <w:top w:val="nil"/>
                          <w:left w:val="nil"/>
                          <w:bottom w:val="nil"/>
                        </w:tcBorders>
                      </w:tcPr>
                      <w:p>
                        <w:pPr>
                          <w:pStyle w:val="TableParagraph"/>
                          <w:spacing w:before="21"/>
                          <w:ind w:right="57"/>
                          <w:jc w:val="right"/>
                          <w:rPr>
                            <w:sz w:val="14"/>
                          </w:rPr>
                        </w:pPr>
                        <w:r>
                          <w:rPr>
                            <w:w w:val="99"/>
                            <w:sz w:val="14"/>
                          </w:rPr>
                          <w:t>-</w:t>
                        </w:r>
                      </w:p>
                    </w:tc>
                  </w:tr>
                  <w:tr>
                    <w:trPr>
                      <w:trHeight w:val="218" w:hRule="exact"/>
                    </w:trPr>
                    <w:tc>
                      <w:tcPr>
                        <w:tcW w:w="674" w:type="dxa"/>
                        <w:tcBorders>
                          <w:top w:val="nil"/>
                        </w:tcBorders>
                      </w:tcPr>
                      <w:p>
                        <w:pPr>
                          <w:pStyle w:val="TableParagraph"/>
                          <w:spacing w:before="21"/>
                          <w:ind w:right="65"/>
                          <w:jc w:val="right"/>
                          <w:rPr>
                            <w:sz w:val="14"/>
                          </w:rPr>
                        </w:pPr>
                        <w:r>
                          <w:rPr>
                            <w:w w:val="95"/>
                            <w:sz w:val="14"/>
                          </w:rPr>
                          <w:t>99,649</w:t>
                        </w:r>
                      </w:p>
                    </w:tc>
                    <w:tc>
                      <w:tcPr>
                        <w:tcW w:w="626" w:type="dxa"/>
                        <w:tcBorders>
                          <w:top w:val="nil"/>
                          <w:right w:val="nil"/>
                        </w:tcBorders>
                      </w:tcPr>
                      <w:p>
                        <w:pPr>
                          <w:pStyle w:val="TableParagraph"/>
                          <w:spacing w:before="21"/>
                          <w:ind w:right="136"/>
                          <w:jc w:val="right"/>
                          <w:rPr>
                            <w:sz w:val="14"/>
                          </w:rPr>
                        </w:pPr>
                        <w:r>
                          <w:rPr>
                            <w:w w:val="99"/>
                            <w:sz w:val="14"/>
                          </w:rPr>
                          <w:t>-</w:t>
                        </w:r>
                      </w:p>
                    </w:tc>
                    <w:tc>
                      <w:tcPr>
                        <w:tcW w:w="533" w:type="dxa"/>
                        <w:tcBorders>
                          <w:top w:val="nil"/>
                          <w:left w:val="nil"/>
                          <w:right w:val="nil"/>
                        </w:tcBorders>
                      </w:tcPr>
                      <w:p>
                        <w:pPr>
                          <w:pStyle w:val="TableParagraph"/>
                          <w:spacing w:before="21"/>
                          <w:ind w:left="160"/>
                          <w:jc w:val="center"/>
                          <w:rPr>
                            <w:sz w:val="14"/>
                          </w:rPr>
                        </w:pPr>
                        <w:r>
                          <w:rPr>
                            <w:w w:val="99"/>
                            <w:sz w:val="14"/>
                          </w:rPr>
                          <w:t>-</w:t>
                        </w:r>
                      </w:p>
                    </w:tc>
                    <w:tc>
                      <w:tcPr>
                        <w:tcW w:w="533" w:type="dxa"/>
                        <w:tcBorders>
                          <w:top w:val="nil"/>
                          <w:left w:val="nil"/>
                          <w:right w:val="nil"/>
                        </w:tcBorders>
                      </w:tcPr>
                      <w:p>
                        <w:pPr>
                          <w:pStyle w:val="TableParagraph"/>
                          <w:spacing w:before="21"/>
                          <w:ind w:left="208"/>
                          <w:jc w:val="center"/>
                          <w:rPr>
                            <w:sz w:val="14"/>
                          </w:rPr>
                        </w:pPr>
                        <w:r>
                          <w:rPr>
                            <w:w w:val="99"/>
                            <w:sz w:val="14"/>
                          </w:rPr>
                          <w:t>-</w:t>
                        </w:r>
                      </w:p>
                    </w:tc>
                    <w:tc>
                      <w:tcPr>
                        <w:tcW w:w="440" w:type="dxa"/>
                        <w:tcBorders>
                          <w:top w:val="nil"/>
                          <w:left w:val="nil"/>
                        </w:tcBorders>
                      </w:tcPr>
                      <w:p>
                        <w:pPr>
                          <w:pStyle w:val="TableParagraph"/>
                          <w:spacing w:before="21"/>
                          <w:ind w:right="66"/>
                          <w:jc w:val="right"/>
                          <w:rPr>
                            <w:sz w:val="14"/>
                          </w:rPr>
                        </w:pPr>
                        <w:r>
                          <w:rPr>
                            <w:w w:val="99"/>
                            <w:sz w:val="14"/>
                          </w:rPr>
                          <w:t>-</w:t>
                        </w:r>
                      </w:p>
                    </w:tc>
                    <w:tc>
                      <w:tcPr>
                        <w:tcW w:w="626" w:type="dxa"/>
                        <w:tcBorders>
                          <w:top w:val="nil"/>
                          <w:right w:val="nil"/>
                        </w:tcBorders>
                      </w:tcPr>
                      <w:p>
                        <w:pPr>
                          <w:pStyle w:val="TableParagraph"/>
                          <w:spacing w:before="21"/>
                          <w:ind w:right="136"/>
                          <w:jc w:val="right"/>
                          <w:rPr>
                            <w:sz w:val="14"/>
                          </w:rPr>
                        </w:pPr>
                        <w:r>
                          <w:rPr>
                            <w:w w:val="99"/>
                            <w:sz w:val="14"/>
                          </w:rPr>
                          <w:t>-</w:t>
                        </w:r>
                      </w:p>
                    </w:tc>
                    <w:tc>
                      <w:tcPr>
                        <w:tcW w:w="510" w:type="dxa"/>
                        <w:tcBorders>
                          <w:top w:val="nil"/>
                          <w:left w:val="nil"/>
                          <w:right w:val="nil"/>
                        </w:tcBorders>
                      </w:tcPr>
                      <w:p>
                        <w:pPr>
                          <w:pStyle w:val="TableParagraph"/>
                          <w:spacing w:before="21"/>
                          <w:ind w:right="138"/>
                          <w:jc w:val="right"/>
                          <w:rPr>
                            <w:sz w:val="14"/>
                          </w:rPr>
                        </w:pPr>
                        <w:r>
                          <w:rPr>
                            <w:w w:val="99"/>
                            <w:sz w:val="14"/>
                          </w:rPr>
                          <w:t>-</w:t>
                        </w:r>
                      </w:p>
                    </w:tc>
                    <w:tc>
                      <w:tcPr>
                        <w:tcW w:w="556" w:type="dxa"/>
                        <w:tcBorders>
                          <w:top w:val="nil"/>
                          <w:left w:val="nil"/>
                          <w:right w:val="nil"/>
                        </w:tcBorders>
                      </w:tcPr>
                      <w:p>
                        <w:pPr>
                          <w:pStyle w:val="TableParagraph"/>
                          <w:spacing w:before="21"/>
                          <w:ind w:right="136"/>
                          <w:jc w:val="right"/>
                          <w:rPr>
                            <w:sz w:val="14"/>
                          </w:rPr>
                        </w:pPr>
                        <w:r>
                          <w:rPr>
                            <w:w w:val="99"/>
                            <w:sz w:val="14"/>
                          </w:rPr>
                          <w:t>-</w:t>
                        </w:r>
                      </w:p>
                    </w:tc>
                    <w:tc>
                      <w:tcPr>
                        <w:tcW w:w="440" w:type="dxa"/>
                        <w:tcBorders>
                          <w:top w:val="nil"/>
                          <w:left w:val="nil"/>
                        </w:tcBorders>
                      </w:tcPr>
                      <w:p>
                        <w:pPr>
                          <w:pStyle w:val="TableParagraph"/>
                          <w:spacing w:before="21"/>
                          <w:ind w:right="66"/>
                          <w:jc w:val="right"/>
                          <w:rPr>
                            <w:sz w:val="14"/>
                          </w:rPr>
                        </w:pPr>
                        <w:r>
                          <w:rPr>
                            <w:w w:val="99"/>
                            <w:sz w:val="14"/>
                          </w:rPr>
                          <w:t>-</w:t>
                        </w:r>
                      </w:p>
                    </w:tc>
                    <w:tc>
                      <w:tcPr>
                        <w:tcW w:w="545" w:type="dxa"/>
                        <w:tcBorders>
                          <w:top w:val="nil"/>
                          <w:right w:val="nil"/>
                        </w:tcBorders>
                      </w:tcPr>
                      <w:p>
                        <w:pPr>
                          <w:pStyle w:val="TableParagraph"/>
                          <w:spacing w:before="21"/>
                          <w:ind w:right="56"/>
                          <w:jc w:val="right"/>
                          <w:rPr>
                            <w:sz w:val="14"/>
                          </w:rPr>
                        </w:pPr>
                        <w:r>
                          <w:rPr>
                            <w:w w:val="99"/>
                            <w:sz w:val="14"/>
                          </w:rPr>
                          <w:t>-</w:t>
                        </w:r>
                      </w:p>
                    </w:tc>
                    <w:tc>
                      <w:tcPr>
                        <w:tcW w:w="728" w:type="dxa"/>
                        <w:tcBorders>
                          <w:top w:val="nil"/>
                          <w:left w:val="nil"/>
                          <w:right w:val="nil"/>
                        </w:tcBorders>
                      </w:tcPr>
                      <w:p>
                        <w:pPr>
                          <w:pStyle w:val="TableParagraph"/>
                          <w:spacing w:before="21"/>
                          <w:ind w:right="277"/>
                          <w:jc w:val="right"/>
                          <w:rPr>
                            <w:sz w:val="14"/>
                          </w:rPr>
                        </w:pPr>
                        <w:r>
                          <w:rPr>
                            <w:w w:val="99"/>
                            <w:sz w:val="14"/>
                          </w:rPr>
                          <w:t>-</w:t>
                        </w:r>
                      </w:p>
                    </w:tc>
                    <w:tc>
                      <w:tcPr>
                        <w:tcW w:w="360" w:type="dxa"/>
                        <w:tcBorders>
                          <w:top w:val="nil"/>
                          <w:left w:val="nil"/>
                          <w:right w:val="nil"/>
                        </w:tcBorders>
                      </w:tcPr>
                      <w:p>
                        <w:pPr>
                          <w:pStyle w:val="TableParagraph"/>
                          <w:spacing w:before="21"/>
                          <w:ind w:right="79"/>
                          <w:jc w:val="right"/>
                          <w:rPr>
                            <w:sz w:val="14"/>
                          </w:rPr>
                        </w:pPr>
                        <w:r>
                          <w:rPr>
                            <w:w w:val="99"/>
                            <w:sz w:val="14"/>
                          </w:rPr>
                          <w:t>-</w:t>
                        </w:r>
                      </w:p>
                    </w:tc>
                    <w:tc>
                      <w:tcPr>
                        <w:tcW w:w="488" w:type="dxa"/>
                        <w:tcBorders>
                          <w:top w:val="nil"/>
                          <w:left w:val="nil"/>
                        </w:tcBorders>
                      </w:tcPr>
                      <w:p>
                        <w:pPr>
                          <w:pStyle w:val="TableParagraph"/>
                          <w:spacing w:before="21"/>
                          <w:ind w:right="57"/>
                          <w:jc w:val="right"/>
                          <w:rPr>
                            <w:sz w:val="14"/>
                          </w:rPr>
                        </w:pPr>
                        <w:r>
                          <w:rPr>
                            <w:w w:val="99"/>
                            <w:sz w:val="14"/>
                          </w:rPr>
                          <w:t>-</w:t>
                        </w:r>
                      </w:p>
                    </w:tc>
                  </w:tr>
                  <w:tr>
                    <w:trPr>
                      <w:trHeight w:val="238" w:hRule="exact"/>
                    </w:trPr>
                    <w:tc>
                      <w:tcPr>
                        <w:tcW w:w="674" w:type="dxa"/>
                      </w:tcPr>
                      <w:p>
                        <w:pPr/>
                      </w:p>
                    </w:tc>
                    <w:tc>
                      <w:tcPr>
                        <w:tcW w:w="626" w:type="dxa"/>
                        <w:tcBorders>
                          <w:right w:val="nil"/>
                        </w:tcBorders>
                      </w:tcPr>
                      <w:p>
                        <w:pPr>
                          <w:pStyle w:val="TableParagraph"/>
                          <w:spacing w:before="39"/>
                          <w:ind w:right="91"/>
                          <w:jc w:val="right"/>
                          <w:rPr>
                            <w:sz w:val="14"/>
                          </w:rPr>
                        </w:pPr>
                        <w:r>
                          <w:rPr>
                            <w:sz w:val="14"/>
                          </w:rPr>
                          <w:t>(173)</w:t>
                        </w:r>
                      </w:p>
                    </w:tc>
                    <w:tc>
                      <w:tcPr>
                        <w:tcW w:w="533" w:type="dxa"/>
                        <w:tcBorders>
                          <w:left w:val="nil"/>
                          <w:right w:val="nil"/>
                        </w:tcBorders>
                      </w:tcPr>
                      <w:p>
                        <w:pPr>
                          <w:pStyle w:val="TableParagraph"/>
                          <w:spacing w:before="39"/>
                          <w:ind w:left="49" w:right="71"/>
                          <w:jc w:val="center"/>
                          <w:rPr>
                            <w:sz w:val="14"/>
                          </w:rPr>
                        </w:pPr>
                        <w:r>
                          <w:rPr>
                            <w:sz w:val="14"/>
                          </w:rPr>
                          <w:t>(173)</w:t>
                        </w:r>
                      </w:p>
                    </w:tc>
                    <w:tc>
                      <w:tcPr>
                        <w:tcW w:w="533" w:type="dxa"/>
                        <w:tcBorders>
                          <w:left w:val="nil"/>
                          <w:right w:val="nil"/>
                        </w:tcBorders>
                      </w:tcPr>
                      <w:p>
                        <w:pPr>
                          <w:pStyle w:val="TableParagraph"/>
                          <w:spacing w:before="39"/>
                          <w:ind w:left="72" w:right="49"/>
                          <w:jc w:val="center"/>
                          <w:rPr>
                            <w:sz w:val="14"/>
                          </w:rPr>
                        </w:pPr>
                        <w:r>
                          <w:rPr>
                            <w:sz w:val="14"/>
                          </w:rPr>
                          <w:t>173</w:t>
                        </w:r>
                      </w:p>
                    </w:tc>
                    <w:tc>
                      <w:tcPr>
                        <w:tcW w:w="440" w:type="dxa"/>
                        <w:tcBorders>
                          <w:left w:val="nil"/>
                        </w:tcBorders>
                      </w:tcPr>
                      <w:p>
                        <w:pPr>
                          <w:pStyle w:val="TableParagraph"/>
                          <w:spacing w:before="39"/>
                          <w:ind w:right="67"/>
                          <w:jc w:val="right"/>
                          <w:rPr>
                            <w:sz w:val="14"/>
                          </w:rPr>
                        </w:pPr>
                        <w:r>
                          <w:rPr>
                            <w:sz w:val="14"/>
                          </w:rPr>
                          <w:t>173</w:t>
                        </w:r>
                      </w:p>
                    </w:tc>
                    <w:tc>
                      <w:tcPr>
                        <w:tcW w:w="626" w:type="dxa"/>
                        <w:tcBorders>
                          <w:right w:val="nil"/>
                        </w:tcBorders>
                      </w:tcPr>
                      <w:p>
                        <w:pPr>
                          <w:pStyle w:val="TableParagraph"/>
                          <w:spacing w:before="39"/>
                          <w:ind w:right="137"/>
                          <w:jc w:val="right"/>
                          <w:rPr>
                            <w:sz w:val="14"/>
                          </w:rPr>
                        </w:pPr>
                        <w:r>
                          <w:rPr>
                            <w:sz w:val="14"/>
                          </w:rPr>
                          <w:t>569</w:t>
                        </w:r>
                      </w:p>
                    </w:tc>
                    <w:tc>
                      <w:tcPr>
                        <w:tcW w:w="510" w:type="dxa"/>
                        <w:tcBorders>
                          <w:left w:val="nil"/>
                          <w:right w:val="nil"/>
                        </w:tcBorders>
                      </w:tcPr>
                      <w:p>
                        <w:pPr>
                          <w:pStyle w:val="TableParagraph"/>
                          <w:spacing w:before="39"/>
                          <w:ind w:right="138"/>
                          <w:jc w:val="right"/>
                          <w:rPr>
                            <w:sz w:val="14"/>
                          </w:rPr>
                        </w:pPr>
                        <w:r>
                          <w:rPr>
                            <w:sz w:val="14"/>
                          </w:rPr>
                          <w:t>569</w:t>
                        </w:r>
                      </w:p>
                    </w:tc>
                    <w:tc>
                      <w:tcPr>
                        <w:tcW w:w="556" w:type="dxa"/>
                        <w:tcBorders>
                          <w:left w:val="nil"/>
                          <w:right w:val="nil"/>
                        </w:tcBorders>
                      </w:tcPr>
                      <w:p>
                        <w:pPr>
                          <w:pStyle w:val="TableParagraph"/>
                          <w:spacing w:before="39"/>
                          <w:ind w:right="91"/>
                          <w:jc w:val="right"/>
                          <w:rPr>
                            <w:sz w:val="14"/>
                          </w:rPr>
                        </w:pPr>
                        <w:r>
                          <w:rPr>
                            <w:sz w:val="14"/>
                          </w:rPr>
                          <w:t>(569)</w:t>
                        </w:r>
                      </w:p>
                    </w:tc>
                    <w:tc>
                      <w:tcPr>
                        <w:tcW w:w="440" w:type="dxa"/>
                        <w:tcBorders>
                          <w:left w:val="nil"/>
                        </w:tcBorders>
                      </w:tcPr>
                      <w:p>
                        <w:pPr>
                          <w:pStyle w:val="TableParagraph"/>
                          <w:spacing w:before="39"/>
                          <w:ind w:right="21"/>
                          <w:jc w:val="right"/>
                          <w:rPr>
                            <w:sz w:val="14"/>
                          </w:rPr>
                        </w:pPr>
                        <w:r>
                          <w:rPr>
                            <w:sz w:val="14"/>
                          </w:rPr>
                          <w:t>(569)</w:t>
                        </w:r>
                      </w:p>
                    </w:tc>
                    <w:tc>
                      <w:tcPr>
                        <w:tcW w:w="545" w:type="dxa"/>
                        <w:tcBorders>
                          <w:right w:val="nil"/>
                        </w:tcBorders>
                      </w:tcPr>
                      <w:p>
                        <w:pPr>
                          <w:pStyle w:val="TableParagraph"/>
                          <w:spacing w:before="39"/>
                          <w:ind w:right="56"/>
                          <w:jc w:val="right"/>
                          <w:rPr>
                            <w:sz w:val="14"/>
                          </w:rPr>
                        </w:pPr>
                        <w:r>
                          <w:rPr>
                            <w:w w:val="99"/>
                            <w:sz w:val="14"/>
                          </w:rPr>
                          <w:t>-</w:t>
                        </w:r>
                      </w:p>
                    </w:tc>
                    <w:tc>
                      <w:tcPr>
                        <w:tcW w:w="728" w:type="dxa"/>
                        <w:tcBorders>
                          <w:left w:val="nil"/>
                          <w:right w:val="nil"/>
                        </w:tcBorders>
                      </w:tcPr>
                      <w:p>
                        <w:pPr>
                          <w:pStyle w:val="TableParagraph"/>
                          <w:spacing w:before="39"/>
                          <w:ind w:right="231"/>
                          <w:jc w:val="right"/>
                          <w:rPr>
                            <w:sz w:val="14"/>
                          </w:rPr>
                        </w:pPr>
                        <w:r>
                          <w:rPr>
                            <w:w w:val="95"/>
                            <w:sz w:val="14"/>
                          </w:rPr>
                          <w:t>(9,684)</w:t>
                        </w:r>
                      </w:p>
                    </w:tc>
                    <w:tc>
                      <w:tcPr>
                        <w:tcW w:w="360" w:type="dxa"/>
                        <w:tcBorders>
                          <w:left w:val="nil"/>
                          <w:right w:val="nil"/>
                        </w:tcBorders>
                      </w:tcPr>
                      <w:p>
                        <w:pPr>
                          <w:pStyle w:val="TableParagraph"/>
                          <w:spacing w:before="39"/>
                          <w:ind w:right="79"/>
                          <w:jc w:val="right"/>
                          <w:rPr>
                            <w:sz w:val="14"/>
                          </w:rPr>
                        </w:pPr>
                        <w:r>
                          <w:rPr>
                            <w:w w:val="99"/>
                            <w:sz w:val="14"/>
                          </w:rPr>
                          <w:t>-</w:t>
                        </w:r>
                      </w:p>
                    </w:tc>
                    <w:tc>
                      <w:tcPr>
                        <w:tcW w:w="488" w:type="dxa"/>
                        <w:tcBorders>
                          <w:left w:val="nil"/>
                        </w:tcBorders>
                      </w:tcPr>
                      <w:p>
                        <w:pPr>
                          <w:pStyle w:val="TableParagraph"/>
                          <w:spacing w:before="39"/>
                          <w:ind w:right="57"/>
                          <w:jc w:val="right"/>
                          <w:rPr>
                            <w:sz w:val="14"/>
                          </w:rPr>
                        </w:pPr>
                        <w:r>
                          <w:rPr>
                            <w:sz w:val="14"/>
                          </w:rPr>
                          <w:t>9,684</w:t>
                        </w:r>
                      </w:p>
                    </w:tc>
                  </w:tr>
                </w:tbl>
                <w:p>
                  <w:pPr>
                    <w:pStyle w:val="BodyText"/>
                  </w:pPr>
                </w:p>
              </w:txbxContent>
            </v:textbox>
            <w10:wrap type="none"/>
          </v:shape>
        </w:pict>
      </w:r>
      <w:r>
        <w:rPr>
          <w:b/>
          <w:sz w:val="14"/>
        </w:rPr>
        <w:t>31 December 2017</w:t>
      </w:r>
    </w:p>
    <w:p>
      <w:pPr>
        <w:pStyle w:val="BodyText"/>
        <w:rPr>
          <w:b/>
          <w:sz w:val="20"/>
        </w:rPr>
      </w:pPr>
    </w:p>
    <w:p>
      <w:pPr>
        <w:pStyle w:val="BodyText"/>
        <w:rPr>
          <w:b/>
          <w:sz w:val="20"/>
        </w:rPr>
      </w:pPr>
    </w:p>
    <w:p>
      <w:pPr>
        <w:pStyle w:val="BodyText"/>
        <w:rPr>
          <w:b/>
          <w:sz w:val="20"/>
        </w:rPr>
      </w:pPr>
    </w:p>
    <w:p>
      <w:pPr>
        <w:pStyle w:val="BodyText"/>
        <w:spacing w:before="9"/>
        <w:rPr>
          <w:b/>
          <w:sz w:val="17"/>
        </w:rPr>
      </w:pPr>
    </w:p>
    <w:p>
      <w:pPr>
        <w:spacing w:before="0"/>
        <w:ind w:left="537" w:right="220" w:firstLine="0"/>
        <w:jc w:val="left"/>
        <w:rPr>
          <w:b/>
          <w:sz w:val="14"/>
        </w:rPr>
      </w:pPr>
      <w:r>
        <w:rPr>
          <w:b/>
          <w:sz w:val="14"/>
        </w:rPr>
        <w:t>Financial assets</w:t>
      </w:r>
    </w:p>
    <w:p>
      <w:pPr>
        <w:spacing w:line="326" w:lineRule="auto" w:before="31"/>
        <w:ind w:left="537" w:right="7587" w:firstLine="0"/>
        <w:jc w:val="left"/>
        <w:rPr>
          <w:sz w:val="14"/>
        </w:rPr>
      </w:pPr>
      <w:r>
        <w:rPr>
          <w:sz w:val="14"/>
        </w:rPr>
        <w:t>Cash and cash equivalents Receivables</w:t>
      </w:r>
    </w:p>
    <w:p>
      <w:pPr>
        <w:spacing w:before="0"/>
        <w:ind w:left="537" w:right="7830" w:firstLine="0"/>
        <w:jc w:val="left"/>
        <w:rPr>
          <w:sz w:val="14"/>
        </w:rPr>
      </w:pPr>
      <w:r>
        <w:rPr>
          <w:sz w:val="14"/>
        </w:rPr>
        <w:t>Financial assets - available- for-sale</w:t>
      </w:r>
    </w:p>
    <w:p>
      <w:pPr>
        <w:spacing w:before="57"/>
        <w:ind w:left="537" w:right="7587" w:firstLine="0"/>
        <w:jc w:val="left"/>
        <w:rPr>
          <w:sz w:val="14"/>
        </w:rPr>
      </w:pPr>
      <w:r>
        <w:rPr>
          <w:sz w:val="14"/>
        </w:rPr>
        <w:t>Financial assets - Held to maturity</w:t>
      </w:r>
    </w:p>
    <w:p>
      <w:pPr>
        <w:pStyle w:val="BodyText"/>
        <w:spacing w:before="3"/>
        <w:rPr>
          <w:sz w:val="12"/>
        </w:rPr>
      </w:pPr>
    </w:p>
    <w:p>
      <w:pPr>
        <w:spacing w:line="304" w:lineRule="auto" w:before="0"/>
        <w:ind w:left="537" w:right="7982" w:firstLine="0"/>
        <w:jc w:val="left"/>
        <w:rPr>
          <w:sz w:val="14"/>
        </w:rPr>
      </w:pPr>
      <w:r>
        <w:rPr>
          <w:b/>
          <w:sz w:val="14"/>
        </w:rPr>
        <w:t>Financial liabilities </w:t>
      </w:r>
      <w:r>
        <w:rPr>
          <w:sz w:val="14"/>
        </w:rPr>
        <w:t>Trade and other payables Borrowings</w:t>
      </w:r>
    </w:p>
    <w:p>
      <w:pPr>
        <w:spacing w:before="15"/>
        <w:ind w:left="537" w:right="220" w:firstLine="0"/>
        <w:jc w:val="left"/>
        <w:rPr>
          <w:sz w:val="14"/>
        </w:rPr>
      </w:pPr>
      <w:r>
        <w:rPr>
          <w:sz w:val="14"/>
        </w:rPr>
        <w:t>Other liabilities</w:t>
      </w:r>
    </w:p>
    <w:p>
      <w:pPr>
        <w:spacing w:before="76"/>
        <w:ind w:left="537" w:right="220" w:firstLine="0"/>
        <w:jc w:val="left"/>
        <w:rPr>
          <w:sz w:val="14"/>
        </w:rPr>
      </w:pPr>
      <w:r>
        <w:rPr>
          <w:w w:val="95"/>
          <w:sz w:val="14"/>
        </w:rPr>
        <w:t>Total  increase/(decrease)</w:t>
      </w:r>
    </w:p>
    <w:p>
      <w:pPr>
        <w:pStyle w:val="BodyText"/>
        <w:rPr>
          <w:sz w:val="20"/>
        </w:rPr>
      </w:pPr>
    </w:p>
    <w:p>
      <w:pPr>
        <w:pStyle w:val="BodyText"/>
        <w:rPr>
          <w:sz w:val="20"/>
        </w:rPr>
      </w:pPr>
    </w:p>
    <w:p>
      <w:pPr>
        <w:pStyle w:val="BodyText"/>
        <w:spacing w:before="2"/>
        <w:rPr>
          <w:sz w:val="28"/>
        </w:rPr>
      </w:pPr>
    </w:p>
    <w:p>
      <w:pPr>
        <w:spacing w:before="82"/>
        <w:ind w:left="851" w:right="220" w:firstLine="0"/>
        <w:jc w:val="left"/>
        <w:rPr>
          <w:b/>
          <w:sz w:val="14"/>
        </w:rPr>
      </w:pPr>
      <w:r>
        <w:rPr/>
        <w:pict>
          <v:shape style="position:absolute;margin-left:192.839996pt;margin-top:-11.894093pt;width:353.1pt;height:195.4pt;mso-position-horizontal-relative:page;mso-position-vertical-relative:paragraph;z-index:1864" type="#_x0000_t202" filled="false" stroked="false">
            <v:textbox inset="0,0,0,0">
              <w:txbxContent>
                <w:tbl>
                  <w:tblPr>
                    <w:tblW w:w="0" w:type="auto"/>
                    <w:jc w:val="left"/>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ayout w:type="fixed"/>
                    <w:tblCellMar>
                      <w:top w:w="0" w:type="dxa"/>
                      <w:left w:w="0" w:type="dxa"/>
                      <w:bottom w:w="0" w:type="dxa"/>
                      <w:right w:w="0" w:type="dxa"/>
                    </w:tblCellMar>
                    <w:tblLook w:val="01E0"/>
                  </w:tblPr>
                  <w:tblGrid>
                    <w:gridCol w:w="674"/>
                    <w:gridCol w:w="626"/>
                    <w:gridCol w:w="533"/>
                    <w:gridCol w:w="533"/>
                    <w:gridCol w:w="440"/>
                    <w:gridCol w:w="664"/>
                    <w:gridCol w:w="510"/>
                    <w:gridCol w:w="556"/>
                    <w:gridCol w:w="402"/>
                    <w:gridCol w:w="545"/>
                    <w:gridCol w:w="728"/>
                    <w:gridCol w:w="360"/>
                    <w:gridCol w:w="488"/>
                  </w:tblGrid>
                  <w:tr>
                    <w:trPr>
                      <w:trHeight w:val="1250" w:hRule="exact"/>
                    </w:trPr>
                    <w:tc>
                      <w:tcPr>
                        <w:tcW w:w="674" w:type="dxa"/>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81"/>
                          <w:ind w:left="86" w:hanging="34"/>
                          <w:rPr>
                            <w:b/>
                            <w:sz w:val="14"/>
                          </w:rPr>
                        </w:pPr>
                        <w:r>
                          <w:rPr>
                            <w:b/>
                            <w:sz w:val="14"/>
                          </w:rPr>
                          <w:t>Carrying amount</w:t>
                        </w:r>
                      </w:p>
                    </w:tc>
                    <w:tc>
                      <w:tcPr>
                        <w:tcW w:w="2131" w:type="dxa"/>
                        <w:gridSpan w:val="4"/>
                      </w:tcPr>
                      <w:p>
                        <w:pPr>
                          <w:pStyle w:val="TableParagraph"/>
                          <w:rPr>
                            <w:sz w:val="14"/>
                          </w:rPr>
                        </w:pPr>
                      </w:p>
                      <w:p>
                        <w:pPr>
                          <w:pStyle w:val="TableParagraph"/>
                          <w:spacing w:before="7"/>
                          <w:rPr>
                            <w:sz w:val="13"/>
                          </w:rPr>
                        </w:pPr>
                      </w:p>
                      <w:p>
                        <w:pPr>
                          <w:pStyle w:val="TableParagraph"/>
                          <w:ind w:left="24"/>
                          <w:jc w:val="center"/>
                          <w:rPr>
                            <w:b/>
                            <w:sz w:val="14"/>
                          </w:rPr>
                        </w:pPr>
                        <w:r>
                          <w:rPr>
                            <w:b/>
                            <w:sz w:val="14"/>
                          </w:rPr>
                          <w:t>Interest rate risk</w:t>
                        </w:r>
                      </w:p>
                      <w:p>
                        <w:pPr>
                          <w:pStyle w:val="TableParagraph"/>
                          <w:tabs>
                            <w:tab w:pos="1090" w:val="left" w:leader="none"/>
                          </w:tabs>
                          <w:spacing w:before="112"/>
                          <w:ind w:left="41"/>
                          <w:jc w:val="center"/>
                          <w:rPr>
                            <w:b/>
                            <w:sz w:val="14"/>
                          </w:rPr>
                        </w:pPr>
                        <w:r>
                          <w:rPr>
                            <w:b/>
                            <w:sz w:val="14"/>
                          </w:rPr>
                          <w:t>-0.25%</w:t>
                          <w:tab/>
                          <w:t>+0.25%</w:t>
                        </w:r>
                      </w:p>
                      <w:p>
                        <w:pPr>
                          <w:pStyle w:val="TableParagraph"/>
                          <w:spacing w:before="67"/>
                          <w:ind w:left="14"/>
                          <w:jc w:val="center"/>
                          <w:rPr>
                            <w:b/>
                            <w:sz w:val="14"/>
                          </w:rPr>
                        </w:pPr>
                        <w:r>
                          <w:rPr>
                            <w:b/>
                            <w:sz w:val="14"/>
                          </w:rPr>
                          <w:t>Result  Equity   Result  Equity</w:t>
                        </w:r>
                      </w:p>
                      <w:p>
                        <w:pPr>
                          <w:pStyle w:val="TableParagraph"/>
                          <w:tabs>
                            <w:tab w:pos="1077" w:val="left" w:leader="none"/>
                          </w:tabs>
                          <w:spacing w:before="67"/>
                          <w:ind w:left="12"/>
                          <w:jc w:val="center"/>
                          <w:rPr>
                            <w:b/>
                            <w:sz w:val="14"/>
                          </w:rPr>
                        </w:pPr>
                        <w:r>
                          <w:rPr>
                            <w:b/>
                            <w:sz w:val="14"/>
                          </w:rPr>
                          <w:t>$'000   </w:t>
                        </w:r>
                        <w:r>
                          <w:rPr>
                            <w:b/>
                            <w:spacing w:val="17"/>
                            <w:sz w:val="14"/>
                          </w:rPr>
                          <w:t> </w:t>
                        </w:r>
                        <w:r>
                          <w:rPr>
                            <w:b/>
                            <w:sz w:val="14"/>
                          </w:rPr>
                          <w:t>$'000</w:t>
                          <w:tab/>
                          <w:t>$'000   </w:t>
                        </w:r>
                        <w:r>
                          <w:rPr>
                            <w:b/>
                            <w:spacing w:val="12"/>
                            <w:sz w:val="14"/>
                          </w:rPr>
                          <w:t> </w:t>
                        </w:r>
                        <w:r>
                          <w:rPr>
                            <w:b/>
                            <w:sz w:val="14"/>
                          </w:rPr>
                          <w:t>$'000</w:t>
                        </w:r>
                      </w:p>
                    </w:tc>
                    <w:tc>
                      <w:tcPr>
                        <w:tcW w:w="2131" w:type="dxa"/>
                        <w:gridSpan w:val="4"/>
                      </w:tcPr>
                      <w:p>
                        <w:pPr>
                          <w:pStyle w:val="TableParagraph"/>
                          <w:rPr>
                            <w:sz w:val="14"/>
                          </w:rPr>
                        </w:pPr>
                      </w:p>
                      <w:p>
                        <w:pPr>
                          <w:pStyle w:val="TableParagraph"/>
                          <w:spacing w:before="7"/>
                          <w:rPr>
                            <w:sz w:val="13"/>
                          </w:rPr>
                        </w:pPr>
                      </w:p>
                      <w:p>
                        <w:pPr>
                          <w:pStyle w:val="TableParagraph"/>
                          <w:ind w:left="24"/>
                          <w:jc w:val="center"/>
                          <w:rPr>
                            <w:b/>
                            <w:sz w:val="14"/>
                          </w:rPr>
                        </w:pPr>
                        <w:r>
                          <w:rPr>
                            <w:b/>
                            <w:sz w:val="14"/>
                          </w:rPr>
                          <w:t>Foreign exchange risk</w:t>
                        </w:r>
                      </w:p>
                      <w:p>
                        <w:pPr>
                          <w:pStyle w:val="TableParagraph"/>
                          <w:tabs>
                            <w:tab w:pos="1090" w:val="left" w:leader="none"/>
                          </w:tabs>
                          <w:spacing w:before="112"/>
                          <w:ind w:left="41"/>
                          <w:jc w:val="center"/>
                          <w:rPr>
                            <w:b/>
                            <w:sz w:val="14"/>
                          </w:rPr>
                        </w:pPr>
                        <w:r>
                          <w:rPr>
                            <w:b/>
                            <w:sz w:val="14"/>
                          </w:rPr>
                          <w:t>-10%</w:t>
                          <w:tab/>
                          <w:t>+10%</w:t>
                        </w:r>
                      </w:p>
                      <w:p>
                        <w:pPr>
                          <w:pStyle w:val="TableParagraph"/>
                          <w:spacing w:before="67"/>
                          <w:ind w:left="14"/>
                          <w:jc w:val="center"/>
                          <w:rPr>
                            <w:b/>
                            <w:sz w:val="14"/>
                          </w:rPr>
                        </w:pPr>
                        <w:r>
                          <w:rPr>
                            <w:b/>
                            <w:sz w:val="14"/>
                          </w:rPr>
                          <w:t>Result  Equity   Result  Equity</w:t>
                        </w:r>
                      </w:p>
                      <w:p>
                        <w:pPr>
                          <w:pStyle w:val="TableParagraph"/>
                          <w:tabs>
                            <w:tab w:pos="1077" w:val="left" w:leader="none"/>
                          </w:tabs>
                          <w:spacing w:before="67"/>
                          <w:ind w:left="12"/>
                          <w:jc w:val="center"/>
                          <w:rPr>
                            <w:b/>
                            <w:sz w:val="14"/>
                          </w:rPr>
                        </w:pPr>
                        <w:r>
                          <w:rPr>
                            <w:b/>
                            <w:sz w:val="14"/>
                          </w:rPr>
                          <w:t>$'000   </w:t>
                        </w:r>
                        <w:r>
                          <w:rPr>
                            <w:b/>
                            <w:spacing w:val="17"/>
                            <w:sz w:val="14"/>
                          </w:rPr>
                          <w:t> </w:t>
                        </w:r>
                        <w:r>
                          <w:rPr>
                            <w:b/>
                            <w:sz w:val="14"/>
                          </w:rPr>
                          <w:t>$'000</w:t>
                          <w:tab/>
                          <w:t>$'000   </w:t>
                        </w:r>
                        <w:r>
                          <w:rPr>
                            <w:b/>
                            <w:spacing w:val="12"/>
                            <w:sz w:val="14"/>
                          </w:rPr>
                          <w:t> </w:t>
                        </w:r>
                        <w:r>
                          <w:rPr>
                            <w:b/>
                            <w:sz w:val="14"/>
                          </w:rPr>
                          <w:t>$'000</w:t>
                        </w:r>
                      </w:p>
                    </w:tc>
                    <w:tc>
                      <w:tcPr>
                        <w:tcW w:w="2122" w:type="dxa"/>
                        <w:gridSpan w:val="4"/>
                      </w:tcPr>
                      <w:p>
                        <w:pPr>
                          <w:pStyle w:val="TableParagraph"/>
                          <w:rPr>
                            <w:sz w:val="14"/>
                          </w:rPr>
                        </w:pPr>
                      </w:p>
                      <w:p>
                        <w:pPr>
                          <w:pStyle w:val="TableParagraph"/>
                          <w:spacing w:before="7"/>
                          <w:rPr>
                            <w:sz w:val="13"/>
                          </w:rPr>
                        </w:pPr>
                      </w:p>
                      <w:p>
                        <w:pPr>
                          <w:pStyle w:val="TableParagraph"/>
                          <w:ind w:left="34"/>
                          <w:jc w:val="center"/>
                          <w:rPr>
                            <w:b/>
                            <w:sz w:val="14"/>
                          </w:rPr>
                        </w:pPr>
                        <w:r>
                          <w:rPr>
                            <w:b/>
                            <w:sz w:val="14"/>
                          </w:rPr>
                          <w:t>Other price risk</w:t>
                        </w:r>
                      </w:p>
                      <w:p>
                        <w:pPr>
                          <w:pStyle w:val="TableParagraph"/>
                          <w:tabs>
                            <w:tab w:pos="1100" w:val="left" w:leader="none"/>
                          </w:tabs>
                          <w:spacing w:before="112"/>
                          <w:ind w:left="51"/>
                          <w:jc w:val="center"/>
                          <w:rPr>
                            <w:b/>
                            <w:sz w:val="14"/>
                          </w:rPr>
                        </w:pPr>
                        <w:r>
                          <w:rPr>
                            <w:b/>
                            <w:sz w:val="14"/>
                          </w:rPr>
                          <w:t>-10%</w:t>
                          <w:tab/>
                          <w:t>+10%</w:t>
                        </w:r>
                      </w:p>
                      <w:p>
                        <w:pPr>
                          <w:pStyle w:val="TableParagraph"/>
                          <w:spacing w:before="67"/>
                          <w:ind w:left="24"/>
                          <w:jc w:val="center"/>
                          <w:rPr>
                            <w:b/>
                            <w:sz w:val="14"/>
                          </w:rPr>
                        </w:pPr>
                        <w:r>
                          <w:rPr>
                            <w:b/>
                            <w:sz w:val="14"/>
                          </w:rPr>
                          <w:t>Result  Equity   Result  Equity</w:t>
                        </w:r>
                      </w:p>
                      <w:p>
                        <w:pPr>
                          <w:pStyle w:val="TableParagraph"/>
                          <w:tabs>
                            <w:tab w:pos="1087" w:val="left" w:leader="none"/>
                          </w:tabs>
                          <w:spacing w:before="67"/>
                          <w:ind w:left="21"/>
                          <w:jc w:val="center"/>
                          <w:rPr>
                            <w:b/>
                            <w:sz w:val="14"/>
                          </w:rPr>
                        </w:pPr>
                        <w:r>
                          <w:rPr>
                            <w:b/>
                            <w:sz w:val="14"/>
                          </w:rPr>
                          <w:t>$'000   </w:t>
                        </w:r>
                        <w:r>
                          <w:rPr>
                            <w:b/>
                            <w:spacing w:val="17"/>
                            <w:sz w:val="14"/>
                          </w:rPr>
                          <w:t> </w:t>
                        </w:r>
                        <w:r>
                          <w:rPr>
                            <w:b/>
                            <w:sz w:val="14"/>
                          </w:rPr>
                          <w:t>$'000</w:t>
                          <w:tab/>
                          <w:t>$'000   </w:t>
                        </w:r>
                        <w:r>
                          <w:rPr>
                            <w:b/>
                            <w:spacing w:val="12"/>
                            <w:sz w:val="14"/>
                          </w:rPr>
                          <w:t> </w:t>
                        </w:r>
                        <w:r>
                          <w:rPr>
                            <w:b/>
                            <w:sz w:val="14"/>
                          </w:rPr>
                          <w:t>$'000</w:t>
                        </w:r>
                      </w:p>
                    </w:tc>
                  </w:tr>
                  <w:tr>
                    <w:trPr>
                      <w:trHeight w:val="511" w:hRule="exact"/>
                    </w:trPr>
                    <w:tc>
                      <w:tcPr>
                        <w:tcW w:w="674" w:type="dxa"/>
                        <w:tcBorders>
                          <w:bottom w:val="nil"/>
                        </w:tcBorders>
                      </w:tcPr>
                      <w:p>
                        <w:pPr>
                          <w:pStyle w:val="TableParagraph"/>
                          <w:rPr>
                            <w:sz w:val="14"/>
                          </w:rPr>
                        </w:pPr>
                      </w:p>
                      <w:p>
                        <w:pPr>
                          <w:pStyle w:val="TableParagraph"/>
                          <w:spacing w:before="2"/>
                          <w:rPr>
                            <w:sz w:val="13"/>
                          </w:rPr>
                        </w:pPr>
                      </w:p>
                      <w:p>
                        <w:pPr>
                          <w:pStyle w:val="TableParagraph"/>
                          <w:ind w:right="65"/>
                          <w:jc w:val="right"/>
                          <w:rPr>
                            <w:sz w:val="14"/>
                          </w:rPr>
                        </w:pPr>
                        <w:r>
                          <w:rPr>
                            <w:w w:val="95"/>
                            <w:sz w:val="14"/>
                          </w:rPr>
                          <w:t>139,225</w:t>
                        </w:r>
                      </w:p>
                    </w:tc>
                    <w:tc>
                      <w:tcPr>
                        <w:tcW w:w="626" w:type="dxa"/>
                        <w:tcBorders>
                          <w:bottom w:val="nil"/>
                          <w:right w:val="nil"/>
                        </w:tcBorders>
                      </w:tcPr>
                      <w:p>
                        <w:pPr>
                          <w:pStyle w:val="TableParagraph"/>
                          <w:rPr>
                            <w:sz w:val="14"/>
                          </w:rPr>
                        </w:pPr>
                      </w:p>
                      <w:p>
                        <w:pPr>
                          <w:pStyle w:val="TableParagraph"/>
                          <w:spacing w:before="2"/>
                          <w:rPr>
                            <w:sz w:val="13"/>
                          </w:rPr>
                        </w:pPr>
                      </w:p>
                      <w:p>
                        <w:pPr>
                          <w:pStyle w:val="TableParagraph"/>
                          <w:ind w:right="91"/>
                          <w:jc w:val="right"/>
                          <w:rPr>
                            <w:sz w:val="14"/>
                          </w:rPr>
                        </w:pPr>
                        <w:r>
                          <w:rPr>
                            <w:sz w:val="14"/>
                          </w:rPr>
                          <w:t>(348)</w:t>
                        </w:r>
                      </w:p>
                    </w:tc>
                    <w:tc>
                      <w:tcPr>
                        <w:tcW w:w="533" w:type="dxa"/>
                        <w:tcBorders>
                          <w:left w:val="nil"/>
                          <w:bottom w:val="nil"/>
                          <w:right w:val="nil"/>
                        </w:tcBorders>
                      </w:tcPr>
                      <w:p>
                        <w:pPr>
                          <w:pStyle w:val="TableParagraph"/>
                          <w:rPr>
                            <w:sz w:val="14"/>
                          </w:rPr>
                        </w:pPr>
                      </w:p>
                      <w:p>
                        <w:pPr>
                          <w:pStyle w:val="TableParagraph"/>
                          <w:spacing w:before="2"/>
                          <w:rPr>
                            <w:sz w:val="13"/>
                          </w:rPr>
                        </w:pPr>
                      </w:p>
                      <w:p>
                        <w:pPr>
                          <w:pStyle w:val="TableParagraph"/>
                          <w:ind w:left="49" w:right="71"/>
                          <w:jc w:val="center"/>
                          <w:rPr>
                            <w:sz w:val="14"/>
                          </w:rPr>
                        </w:pPr>
                        <w:r>
                          <w:rPr>
                            <w:sz w:val="14"/>
                          </w:rPr>
                          <w:t>(348)</w:t>
                        </w:r>
                      </w:p>
                    </w:tc>
                    <w:tc>
                      <w:tcPr>
                        <w:tcW w:w="533" w:type="dxa"/>
                        <w:tcBorders>
                          <w:left w:val="nil"/>
                          <w:bottom w:val="nil"/>
                          <w:right w:val="nil"/>
                        </w:tcBorders>
                      </w:tcPr>
                      <w:p>
                        <w:pPr>
                          <w:pStyle w:val="TableParagraph"/>
                          <w:rPr>
                            <w:sz w:val="14"/>
                          </w:rPr>
                        </w:pPr>
                      </w:p>
                      <w:p>
                        <w:pPr>
                          <w:pStyle w:val="TableParagraph"/>
                          <w:spacing w:before="2"/>
                          <w:rPr>
                            <w:sz w:val="13"/>
                          </w:rPr>
                        </w:pPr>
                      </w:p>
                      <w:p>
                        <w:pPr>
                          <w:pStyle w:val="TableParagraph"/>
                          <w:ind w:left="72" w:right="49"/>
                          <w:jc w:val="center"/>
                          <w:rPr>
                            <w:sz w:val="14"/>
                          </w:rPr>
                        </w:pPr>
                        <w:r>
                          <w:rPr>
                            <w:sz w:val="14"/>
                          </w:rPr>
                          <w:t>348</w:t>
                        </w:r>
                      </w:p>
                    </w:tc>
                    <w:tc>
                      <w:tcPr>
                        <w:tcW w:w="440" w:type="dxa"/>
                        <w:tcBorders>
                          <w:left w:val="nil"/>
                          <w:bottom w:val="nil"/>
                        </w:tcBorders>
                      </w:tcPr>
                      <w:p>
                        <w:pPr>
                          <w:pStyle w:val="TableParagraph"/>
                          <w:rPr>
                            <w:sz w:val="14"/>
                          </w:rPr>
                        </w:pPr>
                      </w:p>
                      <w:p>
                        <w:pPr>
                          <w:pStyle w:val="TableParagraph"/>
                          <w:spacing w:before="2"/>
                          <w:rPr>
                            <w:sz w:val="13"/>
                          </w:rPr>
                        </w:pPr>
                      </w:p>
                      <w:p>
                        <w:pPr>
                          <w:pStyle w:val="TableParagraph"/>
                          <w:ind w:right="67"/>
                          <w:jc w:val="right"/>
                          <w:rPr>
                            <w:sz w:val="14"/>
                          </w:rPr>
                        </w:pPr>
                        <w:r>
                          <w:rPr>
                            <w:sz w:val="14"/>
                          </w:rPr>
                          <w:t>348</w:t>
                        </w:r>
                      </w:p>
                    </w:tc>
                    <w:tc>
                      <w:tcPr>
                        <w:tcW w:w="664" w:type="dxa"/>
                        <w:tcBorders>
                          <w:bottom w:val="nil"/>
                          <w:right w:val="nil"/>
                        </w:tcBorders>
                      </w:tcPr>
                      <w:p>
                        <w:pPr>
                          <w:pStyle w:val="TableParagraph"/>
                          <w:rPr>
                            <w:sz w:val="14"/>
                          </w:rPr>
                        </w:pPr>
                      </w:p>
                      <w:p>
                        <w:pPr>
                          <w:pStyle w:val="TableParagraph"/>
                          <w:spacing w:before="2"/>
                          <w:rPr>
                            <w:sz w:val="13"/>
                          </w:rPr>
                        </w:pPr>
                      </w:p>
                      <w:p>
                        <w:pPr>
                          <w:pStyle w:val="TableParagraph"/>
                          <w:ind w:right="175"/>
                          <w:jc w:val="right"/>
                          <w:rPr>
                            <w:sz w:val="14"/>
                          </w:rPr>
                        </w:pPr>
                        <w:r>
                          <w:rPr>
                            <w:w w:val="99"/>
                            <w:sz w:val="14"/>
                          </w:rPr>
                          <w:t>-</w:t>
                        </w:r>
                      </w:p>
                    </w:tc>
                    <w:tc>
                      <w:tcPr>
                        <w:tcW w:w="510" w:type="dxa"/>
                        <w:tcBorders>
                          <w:left w:val="nil"/>
                          <w:bottom w:val="nil"/>
                          <w:right w:val="nil"/>
                        </w:tcBorders>
                      </w:tcPr>
                      <w:p>
                        <w:pPr>
                          <w:pStyle w:val="TableParagraph"/>
                          <w:rPr>
                            <w:sz w:val="14"/>
                          </w:rPr>
                        </w:pPr>
                      </w:p>
                      <w:p>
                        <w:pPr>
                          <w:pStyle w:val="TableParagraph"/>
                          <w:spacing w:before="2"/>
                          <w:rPr>
                            <w:sz w:val="13"/>
                          </w:rPr>
                        </w:pPr>
                      </w:p>
                      <w:p>
                        <w:pPr>
                          <w:pStyle w:val="TableParagraph"/>
                          <w:ind w:left="106"/>
                          <w:jc w:val="center"/>
                          <w:rPr>
                            <w:sz w:val="14"/>
                          </w:rPr>
                        </w:pPr>
                        <w:r>
                          <w:rPr>
                            <w:w w:val="99"/>
                            <w:sz w:val="14"/>
                          </w:rPr>
                          <w:t>-</w:t>
                        </w:r>
                      </w:p>
                    </w:tc>
                    <w:tc>
                      <w:tcPr>
                        <w:tcW w:w="556" w:type="dxa"/>
                        <w:tcBorders>
                          <w:left w:val="nil"/>
                          <w:bottom w:val="nil"/>
                          <w:right w:val="nil"/>
                        </w:tcBorders>
                      </w:tcPr>
                      <w:p>
                        <w:pPr>
                          <w:pStyle w:val="TableParagraph"/>
                          <w:rPr>
                            <w:sz w:val="14"/>
                          </w:rPr>
                        </w:pPr>
                      </w:p>
                      <w:p>
                        <w:pPr>
                          <w:pStyle w:val="TableParagraph"/>
                          <w:spacing w:before="2"/>
                          <w:rPr>
                            <w:sz w:val="13"/>
                          </w:rPr>
                        </w:pPr>
                      </w:p>
                      <w:p>
                        <w:pPr>
                          <w:pStyle w:val="TableParagraph"/>
                          <w:ind w:left="154"/>
                          <w:jc w:val="center"/>
                          <w:rPr>
                            <w:sz w:val="14"/>
                          </w:rPr>
                        </w:pPr>
                        <w:r>
                          <w:rPr>
                            <w:w w:val="99"/>
                            <w:sz w:val="14"/>
                          </w:rPr>
                          <w:t>-</w:t>
                        </w:r>
                      </w:p>
                    </w:tc>
                    <w:tc>
                      <w:tcPr>
                        <w:tcW w:w="402" w:type="dxa"/>
                        <w:tcBorders>
                          <w:left w:val="nil"/>
                          <w:bottom w:val="nil"/>
                        </w:tcBorders>
                      </w:tcPr>
                      <w:p>
                        <w:pPr>
                          <w:pStyle w:val="TableParagraph"/>
                          <w:rPr>
                            <w:sz w:val="14"/>
                          </w:rPr>
                        </w:pPr>
                      </w:p>
                      <w:p>
                        <w:pPr>
                          <w:pStyle w:val="TableParagraph"/>
                          <w:spacing w:before="2"/>
                          <w:rPr>
                            <w:sz w:val="13"/>
                          </w:rPr>
                        </w:pPr>
                      </w:p>
                      <w:p>
                        <w:pPr>
                          <w:pStyle w:val="TableParagraph"/>
                          <w:ind w:right="66"/>
                          <w:jc w:val="right"/>
                          <w:rPr>
                            <w:sz w:val="14"/>
                          </w:rPr>
                        </w:pPr>
                        <w:r>
                          <w:rPr>
                            <w:w w:val="99"/>
                            <w:sz w:val="14"/>
                          </w:rPr>
                          <w:t>-</w:t>
                        </w:r>
                      </w:p>
                    </w:tc>
                    <w:tc>
                      <w:tcPr>
                        <w:tcW w:w="545" w:type="dxa"/>
                        <w:tcBorders>
                          <w:bottom w:val="nil"/>
                          <w:right w:val="nil"/>
                        </w:tcBorders>
                      </w:tcPr>
                      <w:p>
                        <w:pPr>
                          <w:pStyle w:val="TableParagraph"/>
                          <w:rPr>
                            <w:sz w:val="14"/>
                          </w:rPr>
                        </w:pPr>
                      </w:p>
                      <w:p>
                        <w:pPr>
                          <w:pStyle w:val="TableParagraph"/>
                          <w:spacing w:before="2"/>
                          <w:rPr>
                            <w:sz w:val="13"/>
                          </w:rPr>
                        </w:pPr>
                      </w:p>
                      <w:p>
                        <w:pPr>
                          <w:pStyle w:val="TableParagraph"/>
                          <w:ind w:right="56"/>
                          <w:jc w:val="right"/>
                          <w:rPr>
                            <w:sz w:val="14"/>
                          </w:rPr>
                        </w:pPr>
                        <w:r>
                          <w:rPr>
                            <w:w w:val="99"/>
                            <w:sz w:val="14"/>
                          </w:rPr>
                          <w:t>-</w:t>
                        </w:r>
                      </w:p>
                    </w:tc>
                    <w:tc>
                      <w:tcPr>
                        <w:tcW w:w="728" w:type="dxa"/>
                        <w:tcBorders>
                          <w:left w:val="nil"/>
                          <w:bottom w:val="nil"/>
                          <w:right w:val="nil"/>
                        </w:tcBorders>
                      </w:tcPr>
                      <w:p>
                        <w:pPr>
                          <w:pStyle w:val="TableParagraph"/>
                          <w:rPr>
                            <w:sz w:val="14"/>
                          </w:rPr>
                        </w:pPr>
                      </w:p>
                      <w:p>
                        <w:pPr>
                          <w:pStyle w:val="TableParagraph"/>
                          <w:spacing w:before="2"/>
                          <w:rPr>
                            <w:sz w:val="13"/>
                          </w:rPr>
                        </w:pPr>
                      </w:p>
                      <w:p>
                        <w:pPr>
                          <w:pStyle w:val="TableParagraph"/>
                          <w:ind w:right="277"/>
                          <w:jc w:val="right"/>
                          <w:rPr>
                            <w:sz w:val="14"/>
                          </w:rPr>
                        </w:pPr>
                        <w:r>
                          <w:rPr>
                            <w:w w:val="99"/>
                            <w:sz w:val="14"/>
                          </w:rPr>
                          <w:t>-</w:t>
                        </w:r>
                      </w:p>
                    </w:tc>
                    <w:tc>
                      <w:tcPr>
                        <w:tcW w:w="360" w:type="dxa"/>
                        <w:tcBorders>
                          <w:left w:val="nil"/>
                          <w:bottom w:val="nil"/>
                          <w:right w:val="nil"/>
                        </w:tcBorders>
                      </w:tcPr>
                      <w:p>
                        <w:pPr>
                          <w:pStyle w:val="TableParagraph"/>
                          <w:rPr>
                            <w:sz w:val="14"/>
                          </w:rPr>
                        </w:pPr>
                      </w:p>
                      <w:p>
                        <w:pPr>
                          <w:pStyle w:val="TableParagraph"/>
                          <w:spacing w:before="2"/>
                          <w:rPr>
                            <w:sz w:val="13"/>
                          </w:rPr>
                        </w:pPr>
                      </w:p>
                      <w:p>
                        <w:pPr>
                          <w:pStyle w:val="TableParagraph"/>
                          <w:ind w:right="79"/>
                          <w:jc w:val="right"/>
                          <w:rPr>
                            <w:sz w:val="14"/>
                          </w:rPr>
                        </w:pPr>
                        <w:r>
                          <w:rPr>
                            <w:w w:val="99"/>
                            <w:sz w:val="14"/>
                          </w:rPr>
                          <w:t>-</w:t>
                        </w:r>
                      </w:p>
                    </w:tc>
                    <w:tc>
                      <w:tcPr>
                        <w:tcW w:w="488" w:type="dxa"/>
                        <w:tcBorders>
                          <w:left w:val="nil"/>
                          <w:bottom w:val="nil"/>
                        </w:tcBorders>
                      </w:tcPr>
                      <w:p>
                        <w:pPr>
                          <w:pStyle w:val="TableParagraph"/>
                          <w:rPr>
                            <w:sz w:val="14"/>
                          </w:rPr>
                        </w:pPr>
                      </w:p>
                      <w:p>
                        <w:pPr>
                          <w:pStyle w:val="TableParagraph"/>
                          <w:spacing w:before="2"/>
                          <w:rPr>
                            <w:sz w:val="13"/>
                          </w:rPr>
                        </w:pPr>
                      </w:p>
                      <w:p>
                        <w:pPr>
                          <w:pStyle w:val="TableParagraph"/>
                          <w:ind w:right="57"/>
                          <w:jc w:val="right"/>
                          <w:rPr>
                            <w:sz w:val="14"/>
                          </w:rPr>
                        </w:pPr>
                        <w:r>
                          <w:rPr>
                            <w:w w:val="99"/>
                            <w:sz w:val="14"/>
                          </w:rPr>
                          <w:t>-</w:t>
                        </w:r>
                      </w:p>
                    </w:tc>
                  </w:tr>
                  <w:tr>
                    <w:trPr>
                      <w:trHeight w:val="299" w:hRule="exact"/>
                    </w:trPr>
                    <w:tc>
                      <w:tcPr>
                        <w:tcW w:w="674" w:type="dxa"/>
                        <w:tcBorders>
                          <w:top w:val="nil"/>
                          <w:bottom w:val="nil"/>
                        </w:tcBorders>
                      </w:tcPr>
                      <w:p>
                        <w:pPr>
                          <w:pStyle w:val="TableParagraph"/>
                          <w:spacing w:before="21"/>
                          <w:ind w:right="65"/>
                          <w:jc w:val="right"/>
                          <w:rPr>
                            <w:sz w:val="14"/>
                          </w:rPr>
                        </w:pPr>
                        <w:r>
                          <w:rPr>
                            <w:w w:val="95"/>
                            <w:sz w:val="14"/>
                          </w:rPr>
                          <w:t>414,870</w:t>
                        </w:r>
                      </w:p>
                    </w:tc>
                    <w:tc>
                      <w:tcPr>
                        <w:tcW w:w="626" w:type="dxa"/>
                        <w:tcBorders>
                          <w:top w:val="nil"/>
                          <w:bottom w:val="nil"/>
                          <w:right w:val="nil"/>
                        </w:tcBorders>
                      </w:tcPr>
                      <w:p>
                        <w:pPr>
                          <w:pStyle w:val="TableParagraph"/>
                          <w:spacing w:before="21"/>
                          <w:ind w:right="136"/>
                          <w:jc w:val="right"/>
                          <w:rPr>
                            <w:sz w:val="14"/>
                          </w:rPr>
                        </w:pPr>
                        <w:r>
                          <w:rPr>
                            <w:w w:val="99"/>
                            <w:sz w:val="14"/>
                          </w:rPr>
                          <w:t>-</w:t>
                        </w:r>
                      </w:p>
                    </w:tc>
                    <w:tc>
                      <w:tcPr>
                        <w:tcW w:w="533" w:type="dxa"/>
                        <w:tcBorders>
                          <w:top w:val="nil"/>
                          <w:left w:val="nil"/>
                          <w:bottom w:val="nil"/>
                          <w:right w:val="nil"/>
                        </w:tcBorders>
                      </w:tcPr>
                      <w:p>
                        <w:pPr>
                          <w:pStyle w:val="TableParagraph"/>
                          <w:spacing w:before="21"/>
                          <w:ind w:left="160"/>
                          <w:jc w:val="center"/>
                          <w:rPr>
                            <w:sz w:val="14"/>
                          </w:rPr>
                        </w:pPr>
                        <w:r>
                          <w:rPr>
                            <w:w w:val="99"/>
                            <w:sz w:val="14"/>
                          </w:rPr>
                          <w:t>-</w:t>
                        </w:r>
                      </w:p>
                    </w:tc>
                    <w:tc>
                      <w:tcPr>
                        <w:tcW w:w="533" w:type="dxa"/>
                        <w:tcBorders>
                          <w:top w:val="nil"/>
                          <w:left w:val="nil"/>
                          <w:bottom w:val="nil"/>
                          <w:right w:val="nil"/>
                        </w:tcBorders>
                      </w:tcPr>
                      <w:p>
                        <w:pPr>
                          <w:pStyle w:val="TableParagraph"/>
                          <w:spacing w:before="21"/>
                          <w:ind w:left="208"/>
                          <w:jc w:val="center"/>
                          <w:rPr>
                            <w:sz w:val="14"/>
                          </w:rPr>
                        </w:pPr>
                        <w:r>
                          <w:rPr>
                            <w:w w:val="99"/>
                            <w:sz w:val="14"/>
                          </w:rPr>
                          <w:t>-</w:t>
                        </w:r>
                      </w:p>
                    </w:tc>
                    <w:tc>
                      <w:tcPr>
                        <w:tcW w:w="440" w:type="dxa"/>
                        <w:tcBorders>
                          <w:top w:val="nil"/>
                          <w:left w:val="nil"/>
                          <w:bottom w:val="nil"/>
                        </w:tcBorders>
                      </w:tcPr>
                      <w:p>
                        <w:pPr>
                          <w:pStyle w:val="TableParagraph"/>
                          <w:spacing w:before="21"/>
                          <w:ind w:right="66"/>
                          <w:jc w:val="right"/>
                          <w:rPr>
                            <w:sz w:val="14"/>
                          </w:rPr>
                        </w:pPr>
                        <w:r>
                          <w:rPr>
                            <w:w w:val="99"/>
                            <w:sz w:val="14"/>
                          </w:rPr>
                          <w:t>-</w:t>
                        </w:r>
                      </w:p>
                    </w:tc>
                    <w:tc>
                      <w:tcPr>
                        <w:tcW w:w="664" w:type="dxa"/>
                        <w:tcBorders>
                          <w:top w:val="nil"/>
                          <w:bottom w:val="nil"/>
                          <w:right w:val="nil"/>
                        </w:tcBorders>
                      </w:tcPr>
                      <w:p>
                        <w:pPr>
                          <w:pStyle w:val="TableParagraph"/>
                          <w:spacing w:before="21"/>
                          <w:ind w:right="175"/>
                          <w:jc w:val="right"/>
                          <w:rPr>
                            <w:sz w:val="14"/>
                          </w:rPr>
                        </w:pPr>
                        <w:r>
                          <w:rPr>
                            <w:w w:val="99"/>
                            <w:sz w:val="14"/>
                          </w:rPr>
                          <w:t>-</w:t>
                        </w:r>
                      </w:p>
                    </w:tc>
                    <w:tc>
                      <w:tcPr>
                        <w:tcW w:w="510" w:type="dxa"/>
                        <w:tcBorders>
                          <w:top w:val="nil"/>
                          <w:left w:val="nil"/>
                          <w:bottom w:val="nil"/>
                          <w:right w:val="nil"/>
                        </w:tcBorders>
                      </w:tcPr>
                      <w:p>
                        <w:pPr>
                          <w:pStyle w:val="TableParagraph"/>
                          <w:spacing w:before="21"/>
                          <w:ind w:left="106"/>
                          <w:jc w:val="center"/>
                          <w:rPr>
                            <w:sz w:val="14"/>
                          </w:rPr>
                        </w:pPr>
                        <w:r>
                          <w:rPr>
                            <w:w w:val="99"/>
                            <w:sz w:val="14"/>
                          </w:rPr>
                          <w:t>-</w:t>
                        </w:r>
                      </w:p>
                    </w:tc>
                    <w:tc>
                      <w:tcPr>
                        <w:tcW w:w="556" w:type="dxa"/>
                        <w:tcBorders>
                          <w:top w:val="nil"/>
                          <w:left w:val="nil"/>
                          <w:bottom w:val="nil"/>
                          <w:right w:val="nil"/>
                        </w:tcBorders>
                      </w:tcPr>
                      <w:p>
                        <w:pPr>
                          <w:pStyle w:val="TableParagraph"/>
                          <w:spacing w:before="21"/>
                          <w:ind w:left="154"/>
                          <w:jc w:val="center"/>
                          <w:rPr>
                            <w:sz w:val="14"/>
                          </w:rPr>
                        </w:pPr>
                        <w:r>
                          <w:rPr>
                            <w:w w:val="99"/>
                            <w:sz w:val="14"/>
                          </w:rPr>
                          <w:t>-</w:t>
                        </w:r>
                      </w:p>
                    </w:tc>
                    <w:tc>
                      <w:tcPr>
                        <w:tcW w:w="402" w:type="dxa"/>
                        <w:tcBorders>
                          <w:top w:val="nil"/>
                          <w:left w:val="nil"/>
                          <w:bottom w:val="nil"/>
                        </w:tcBorders>
                      </w:tcPr>
                      <w:p>
                        <w:pPr>
                          <w:pStyle w:val="TableParagraph"/>
                          <w:spacing w:before="21"/>
                          <w:ind w:right="66"/>
                          <w:jc w:val="right"/>
                          <w:rPr>
                            <w:sz w:val="14"/>
                          </w:rPr>
                        </w:pPr>
                        <w:r>
                          <w:rPr>
                            <w:w w:val="99"/>
                            <w:sz w:val="14"/>
                          </w:rPr>
                          <w:t>-</w:t>
                        </w:r>
                      </w:p>
                    </w:tc>
                    <w:tc>
                      <w:tcPr>
                        <w:tcW w:w="545" w:type="dxa"/>
                        <w:tcBorders>
                          <w:top w:val="nil"/>
                          <w:bottom w:val="nil"/>
                          <w:right w:val="nil"/>
                        </w:tcBorders>
                      </w:tcPr>
                      <w:p>
                        <w:pPr>
                          <w:pStyle w:val="TableParagraph"/>
                          <w:spacing w:before="21"/>
                          <w:ind w:right="56"/>
                          <w:jc w:val="right"/>
                          <w:rPr>
                            <w:sz w:val="14"/>
                          </w:rPr>
                        </w:pPr>
                        <w:r>
                          <w:rPr>
                            <w:w w:val="99"/>
                            <w:sz w:val="14"/>
                          </w:rPr>
                          <w:t>-</w:t>
                        </w:r>
                      </w:p>
                    </w:tc>
                    <w:tc>
                      <w:tcPr>
                        <w:tcW w:w="728" w:type="dxa"/>
                        <w:tcBorders>
                          <w:top w:val="nil"/>
                          <w:left w:val="nil"/>
                          <w:bottom w:val="nil"/>
                          <w:right w:val="nil"/>
                        </w:tcBorders>
                      </w:tcPr>
                      <w:p>
                        <w:pPr>
                          <w:pStyle w:val="TableParagraph"/>
                          <w:spacing w:before="21"/>
                          <w:ind w:right="277"/>
                          <w:jc w:val="right"/>
                          <w:rPr>
                            <w:sz w:val="14"/>
                          </w:rPr>
                        </w:pPr>
                        <w:r>
                          <w:rPr>
                            <w:w w:val="99"/>
                            <w:sz w:val="14"/>
                          </w:rPr>
                          <w:t>-</w:t>
                        </w:r>
                      </w:p>
                    </w:tc>
                    <w:tc>
                      <w:tcPr>
                        <w:tcW w:w="360" w:type="dxa"/>
                        <w:tcBorders>
                          <w:top w:val="nil"/>
                          <w:left w:val="nil"/>
                          <w:bottom w:val="nil"/>
                          <w:right w:val="nil"/>
                        </w:tcBorders>
                      </w:tcPr>
                      <w:p>
                        <w:pPr>
                          <w:pStyle w:val="TableParagraph"/>
                          <w:spacing w:before="21"/>
                          <w:ind w:right="79"/>
                          <w:jc w:val="right"/>
                          <w:rPr>
                            <w:sz w:val="14"/>
                          </w:rPr>
                        </w:pPr>
                        <w:r>
                          <w:rPr>
                            <w:w w:val="99"/>
                            <w:sz w:val="14"/>
                          </w:rPr>
                          <w:t>-</w:t>
                        </w:r>
                      </w:p>
                    </w:tc>
                    <w:tc>
                      <w:tcPr>
                        <w:tcW w:w="488" w:type="dxa"/>
                        <w:tcBorders>
                          <w:top w:val="nil"/>
                          <w:left w:val="nil"/>
                          <w:bottom w:val="nil"/>
                        </w:tcBorders>
                      </w:tcPr>
                      <w:p>
                        <w:pPr>
                          <w:pStyle w:val="TableParagraph"/>
                          <w:spacing w:before="21"/>
                          <w:ind w:right="57"/>
                          <w:jc w:val="right"/>
                          <w:rPr>
                            <w:sz w:val="14"/>
                          </w:rPr>
                        </w:pPr>
                        <w:r>
                          <w:rPr>
                            <w:w w:val="99"/>
                            <w:sz w:val="14"/>
                          </w:rPr>
                          <w:t>-</w:t>
                        </w:r>
                      </w:p>
                    </w:tc>
                  </w:tr>
                  <w:tr>
                    <w:trPr>
                      <w:trHeight w:val="379" w:hRule="exact"/>
                    </w:trPr>
                    <w:tc>
                      <w:tcPr>
                        <w:tcW w:w="674" w:type="dxa"/>
                        <w:tcBorders>
                          <w:top w:val="nil"/>
                          <w:bottom w:val="nil"/>
                        </w:tcBorders>
                      </w:tcPr>
                      <w:p>
                        <w:pPr>
                          <w:pStyle w:val="TableParagraph"/>
                          <w:spacing w:before="101"/>
                          <w:ind w:right="65"/>
                          <w:jc w:val="right"/>
                          <w:rPr>
                            <w:sz w:val="14"/>
                          </w:rPr>
                        </w:pPr>
                        <w:r>
                          <w:rPr>
                            <w:w w:val="95"/>
                            <w:sz w:val="14"/>
                          </w:rPr>
                          <w:t>87,473</w:t>
                        </w:r>
                      </w:p>
                    </w:tc>
                    <w:tc>
                      <w:tcPr>
                        <w:tcW w:w="626" w:type="dxa"/>
                        <w:tcBorders>
                          <w:top w:val="nil"/>
                          <w:bottom w:val="nil"/>
                          <w:right w:val="nil"/>
                        </w:tcBorders>
                      </w:tcPr>
                      <w:p>
                        <w:pPr>
                          <w:pStyle w:val="TableParagraph"/>
                          <w:spacing w:before="101"/>
                          <w:ind w:right="136"/>
                          <w:jc w:val="right"/>
                          <w:rPr>
                            <w:sz w:val="14"/>
                          </w:rPr>
                        </w:pPr>
                        <w:r>
                          <w:rPr>
                            <w:w w:val="99"/>
                            <w:sz w:val="14"/>
                          </w:rPr>
                          <w:t>-</w:t>
                        </w:r>
                      </w:p>
                    </w:tc>
                    <w:tc>
                      <w:tcPr>
                        <w:tcW w:w="533" w:type="dxa"/>
                        <w:tcBorders>
                          <w:top w:val="nil"/>
                          <w:left w:val="nil"/>
                          <w:bottom w:val="nil"/>
                          <w:right w:val="nil"/>
                        </w:tcBorders>
                      </w:tcPr>
                      <w:p>
                        <w:pPr>
                          <w:pStyle w:val="TableParagraph"/>
                          <w:spacing w:before="101"/>
                          <w:ind w:left="160"/>
                          <w:jc w:val="center"/>
                          <w:rPr>
                            <w:sz w:val="14"/>
                          </w:rPr>
                        </w:pPr>
                        <w:r>
                          <w:rPr>
                            <w:w w:val="99"/>
                            <w:sz w:val="14"/>
                          </w:rPr>
                          <w:t>-</w:t>
                        </w:r>
                      </w:p>
                    </w:tc>
                    <w:tc>
                      <w:tcPr>
                        <w:tcW w:w="533" w:type="dxa"/>
                        <w:tcBorders>
                          <w:top w:val="nil"/>
                          <w:left w:val="nil"/>
                          <w:bottom w:val="nil"/>
                          <w:right w:val="nil"/>
                        </w:tcBorders>
                      </w:tcPr>
                      <w:p>
                        <w:pPr>
                          <w:pStyle w:val="TableParagraph"/>
                          <w:spacing w:before="101"/>
                          <w:ind w:left="208"/>
                          <w:jc w:val="center"/>
                          <w:rPr>
                            <w:sz w:val="14"/>
                          </w:rPr>
                        </w:pPr>
                        <w:r>
                          <w:rPr>
                            <w:w w:val="99"/>
                            <w:sz w:val="14"/>
                          </w:rPr>
                          <w:t>-</w:t>
                        </w:r>
                      </w:p>
                    </w:tc>
                    <w:tc>
                      <w:tcPr>
                        <w:tcW w:w="440" w:type="dxa"/>
                        <w:tcBorders>
                          <w:top w:val="nil"/>
                          <w:left w:val="nil"/>
                          <w:bottom w:val="nil"/>
                        </w:tcBorders>
                      </w:tcPr>
                      <w:p>
                        <w:pPr>
                          <w:pStyle w:val="TableParagraph"/>
                          <w:spacing w:before="101"/>
                          <w:ind w:right="66"/>
                          <w:jc w:val="right"/>
                          <w:rPr>
                            <w:sz w:val="14"/>
                          </w:rPr>
                        </w:pPr>
                        <w:r>
                          <w:rPr>
                            <w:w w:val="99"/>
                            <w:sz w:val="14"/>
                          </w:rPr>
                          <w:t>-</w:t>
                        </w:r>
                      </w:p>
                    </w:tc>
                    <w:tc>
                      <w:tcPr>
                        <w:tcW w:w="664" w:type="dxa"/>
                        <w:tcBorders>
                          <w:top w:val="nil"/>
                          <w:bottom w:val="nil"/>
                          <w:right w:val="nil"/>
                        </w:tcBorders>
                      </w:tcPr>
                      <w:p>
                        <w:pPr>
                          <w:pStyle w:val="TableParagraph"/>
                          <w:spacing w:before="101"/>
                          <w:ind w:right="175"/>
                          <w:jc w:val="right"/>
                          <w:rPr>
                            <w:sz w:val="14"/>
                          </w:rPr>
                        </w:pPr>
                        <w:r>
                          <w:rPr>
                            <w:w w:val="99"/>
                            <w:sz w:val="14"/>
                          </w:rPr>
                          <w:t>-</w:t>
                        </w:r>
                      </w:p>
                    </w:tc>
                    <w:tc>
                      <w:tcPr>
                        <w:tcW w:w="510" w:type="dxa"/>
                        <w:tcBorders>
                          <w:top w:val="nil"/>
                          <w:left w:val="nil"/>
                          <w:bottom w:val="nil"/>
                          <w:right w:val="nil"/>
                        </w:tcBorders>
                      </w:tcPr>
                      <w:p>
                        <w:pPr>
                          <w:pStyle w:val="TableParagraph"/>
                          <w:spacing w:before="101"/>
                          <w:ind w:left="106"/>
                          <w:jc w:val="center"/>
                          <w:rPr>
                            <w:sz w:val="14"/>
                          </w:rPr>
                        </w:pPr>
                        <w:r>
                          <w:rPr>
                            <w:w w:val="99"/>
                            <w:sz w:val="14"/>
                          </w:rPr>
                          <w:t>-</w:t>
                        </w:r>
                      </w:p>
                    </w:tc>
                    <w:tc>
                      <w:tcPr>
                        <w:tcW w:w="556" w:type="dxa"/>
                        <w:tcBorders>
                          <w:top w:val="nil"/>
                          <w:left w:val="nil"/>
                          <w:bottom w:val="nil"/>
                          <w:right w:val="nil"/>
                        </w:tcBorders>
                      </w:tcPr>
                      <w:p>
                        <w:pPr>
                          <w:pStyle w:val="TableParagraph"/>
                          <w:spacing w:before="101"/>
                          <w:ind w:left="154"/>
                          <w:jc w:val="center"/>
                          <w:rPr>
                            <w:sz w:val="14"/>
                          </w:rPr>
                        </w:pPr>
                        <w:r>
                          <w:rPr>
                            <w:w w:val="99"/>
                            <w:sz w:val="14"/>
                          </w:rPr>
                          <w:t>-</w:t>
                        </w:r>
                      </w:p>
                    </w:tc>
                    <w:tc>
                      <w:tcPr>
                        <w:tcW w:w="402" w:type="dxa"/>
                        <w:tcBorders>
                          <w:top w:val="nil"/>
                          <w:left w:val="nil"/>
                          <w:bottom w:val="nil"/>
                        </w:tcBorders>
                      </w:tcPr>
                      <w:p>
                        <w:pPr>
                          <w:pStyle w:val="TableParagraph"/>
                          <w:spacing w:before="101"/>
                          <w:ind w:right="66"/>
                          <w:jc w:val="right"/>
                          <w:rPr>
                            <w:sz w:val="14"/>
                          </w:rPr>
                        </w:pPr>
                        <w:r>
                          <w:rPr>
                            <w:w w:val="99"/>
                            <w:sz w:val="14"/>
                          </w:rPr>
                          <w:t>-</w:t>
                        </w:r>
                      </w:p>
                    </w:tc>
                    <w:tc>
                      <w:tcPr>
                        <w:tcW w:w="545" w:type="dxa"/>
                        <w:tcBorders>
                          <w:top w:val="nil"/>
                          <w:bottom w:val="nil"/>
                          <w:right w:val="nil"/>
                        </w:tcBorders>
                      </w:tcPr>
                      <w:p>
                        <w:pPr>
                          <w:pStyle w:val="TableParagraph"/>
                          <w:spacing w:before="101"/>
                          <w:ind w:right="56"/>
                          <w:jc w:val="right"/>
                          <w:rPr>
                            <w:sz w:val="14"/>
                          </w:rPr>
                        </w:pPr>
                        <w:r>
                          <w:rPr>
                            <w:w w:val="99"/>
                            <w:sz w:val="14"/>
                          </w:rPr>
                          <w:t>-</w:t>
                        </w:r>
                      </w:p>
                    </w:tc>
                    <w:tc>
                      <w:tcPr>
                        <w:tcW w:w="728" w:type="dxa"/>
                        <w:tcBorders>
                          <w:top w:val="nil"/>
                          <w:left w:val="nil"/>
                          <w:bottom w:val="nil"/>
                          <w:right w:val="nil"/>
                        </w:tcBorders>
                      </w:tcPr>
                      <w:p>
                        <w:pPr>
                          <w:pStyle w:val="TableParagraph"/>
                          <w:spacing w:before="101"/>
                          <w:ind w:right="231"/>
                          <w:jc w:val="right"/>
                          <w:rPr>
                            <w:sz w:val="14"/>
                          </w:rPr>
                        </w:pPr>
                        <w:r>
                          <w:rPr>
                            <w:w w:val="95"/>
                            <w:sz w:val="14"/>
                          </w:rPr>
                          <w:t>(8,747)</w:t>
                        </w:r>
                      </w:p>
                    </w:tc>
                    <w:tc>
                      <w:tcPr>
                        <w:tcW w:w="360" w:type="dxa"/>
                        <w:tcBorders>
                          <w:top w:val="nil"/>
                          <w:left w:val="nil"/>
                          <w:bottom w:val="nil"/>
                          <w:right w:val="nil"/>
                        </w:tcBorders>
                      </w:tcPr>
                      <w:p>
                        <w:pPr>
                          <w:pStyle w:val="TableParagraph"/>
                          <w:spacing w:before="101"/>
                          <w:ind w:right="79"/>
                          <w:jc w:val="right"/>
                          <w:rPr>
                            <w:sz w:val="14"/>
                          </w:rPr>
                        </w:pPr>
                        <w:r>
                          <w:rPr>
                            <w:w w:val="99"/>
                            <w:sz w:val="14"/>
                          </w:rPr>
                          <w:t>-</w:t>
                        </w:r>
                      </w:p>
                    </w:tc>
                    <w:tc>
                      <w:tcPr>
                        <w:tcW w:w="488" w:type="dxa"/>
                        <w:tcBorders>
                          <w:top w:val="nil"/>
                          <w:left w:val="nil"/>
                          <w:bottom w:val="nil"/>
                        </w:tcBorders>
                      </w:tcPr>
                      <w:p>
                        <w:pPr>
                          <w:pStyle w:val="TableParagraph"/>
                          <w:spacing w:before="101"/>
                          <w:ind w:right="57"/>
                          <w:jc w:val="right"/>
                          <w:rPr>
                            <w:sz w:val="14"/>
                          </w:rPr>
                        </w:pPr>
                        <w:r>
                          <w:rPr>
                            <w:sz w:val="14"/>
                          </w:rPr>
                          <w:t>8,747</w:t>
                        </w:r>
                      </w:p>
                    </w:tc>
                  </w:tr>
                  <w:tr>
                    <w:trPr>
                      <w:trHeight w:val="436" w:hRule="exact"/>
                    </w:trPr>
                    <w:tc>
                      <w:tcPr>
                        <w:tcW w:w="674" w:type="dxa"/>
                        <w:tcBorders>
                          <w:top w:val="nil"/>
                          <w:bottom w:val="nil"/>
                        </w:tcBorders>
                      </w:tcPr>
                      <w:p>
                        <w:pPr>
                          <w:pStyle w:val="TableParagraph"/>
                          <w:spacing w:before="101"/>
                          <w:ind w:right="65"/>
                          <w:jc w:val="right"/>
                          <w:rPr>
                            <w:sz w:val="14"/>
                          </w:rPr>
                        </w:pPr>
                        <w:r>
                          <w:rPr>
                            <w:w w:val="95"/>
                            <w:sz w:val="14"/>
                          </w:rPr>
                          <w:t>10,702</w:t>
                        </w:r>
                      </w:p>
                    </w:tc>
                    <w:tc>
                      <w:tcPr>
                        <w:tcW w:w="626" w:type="dxa"/>
                        <w:tcBorders>
                          <w:top w:val="nil"/>
                          <w:bottom w:val="nil"/>
                          <w:right w:val="nil"/>
                        </w:tcBorders>
                      </w:tcPr>
                      <w:p>
                        <w:pPr>
                          <w:pStyle w:val="TableParagraph"/>
                          <w:spacing w:before="101"/>
                          <w:ind w:right="91"/>
                          <w:jc w:val="right"/>
                          <w:rPr>
                            <w:sz w:val="14"/>
                          </w:rPr>
                        </w:pPr>
                        <w:r>
                          <w:rPr>
                            <w:sz w:val="14"/>
                          </w:rPr>
                          <w:t>(27)</w:t>
                        </w:r>
                      </w:p>
                    </w:tc>
                    <w:tc>
                      <w:tcPr>
                        <w:tcW w:w="533" w:type="dxa"/>
                        <w:tcBorders>
                          <w:top w:val="nil"/>
                          <w:left w:val="nil"/>
                          <w:bottom w:val="nil"/>
                          <w:right w:val="nil"/>
                        </w:tcBorders>
                      </w:tcPr>
                      <w:p>
                        <w:pPr>
                          <w:pStyle w:val="TableParagraph"/>
                          <w:spacing w:before="101"/>
                          <w:ind w:left="72" w:right="20"/>
                          <w:jc w:val="center"/>
                          <w:rPr>
                            <w:sz w:val="14"/>
                          </w:rPr>
                        </w:pPr>
                        <w:r>
                          <w:rPr>
                            <w:sz w:val="14"/>
                          </w:rPr>
                          <w:t>(27)</w:t>
                        </w:r>
                      </w:p>
                    </w:tc>
                    <w:tc>
                      <w:tcPr>
                        <w:tcW w:w="533" w:type="dxa"/>
                        <w:tcBorders>
                          <w:top w:val="nil"/>
                          <w:left w:val="nil"/>
                          <w:bottom w:val="nil"/>
                          <w:right w:val="nil"/>
                        </w:tcBorders>
                      </w:tcPr>
                      <w:p>
                        <w:pPr>
                          <w:pStyle w:val="TableParagraph"/>
                          <w:spacing w:before="101"/>
                          <w:ind w:left="171" w:right="71"/>
                          <w:jc w:val="center"/>
                          <w:rPr>
                            <w:sz w:val="14"/>
                          </w:rPr>
                        </w:pPr>
                        <w:r>
                          <w:rPr>
                            <w:sz w:val="14"/>
                          </w:rPr>
                          <w:t>27</w:t>
                        </w:r>
                      </w:p>
                    </w:tc>
                    <w:tc>
                      <w:tcPr>
                        <w:tcW w:w="440" w:type="dxa"/>
                        <w:tcBorders>
                          <w:top w:val="nil"/>
                          <w:left w:val="nil"/>
                          <w:bottom w:val="nil"/>
                        </w:tcBorders>
                      </w:tcPr>
                      <w:p>
                        <w:pPr>
                          <w:pStyle w:val="TableParagraph"/>
                          <w:spacing w:before="101"/>
                          <w:ind w:right="67"/>
                          <w:jc w:val="right"/>
                          <w:rPr>
                            <w:sz w:val="14"/>
                          </w:rPr>
                        </w:pPr>
                        <w:r>
                          <w:rPr>
                            <w:sz w:val="14"/>
                          </w:rPr>
                          <w:t>27</w:t>
                        </w:r>
                      </w:p>
                    </w:tc>
                    <w:tc>
                      <w:tcPr>
                        <w:tcW w:w="664" w:type="dxa"/>
                        <w:tcBorders>
                          <w:top w:val="nil"/>
                          <w:bottom w:val="nil"/>
                          <w:right w:val="nil"/>
                        </w:tcBorders>
                      </w:tcPr>
                      <w:p>
                        <w:pPr>
                          <w:pStyle w:val="TableParagraph"/>
                          <w:spacing w:before="101"/>
                          <w:ind w:right="175"/>
                          <w:jc w:val="right"/>
                          <w:rPr>
                            <w:sz w:val="14"/>
                          </w:rPr>
                        </w:pPr>
                        <w:r>
                          <w:rPr>
                            <w:w w:val="99"/>
                            <w:sz w:val="14"/>
                          </w:rPr>
                          <w:t>-</w:t>
                        </w:r>
                      </w:p>
                    </w:tc>
                    <w:tc>
                      <w:tcPr>
                        <w:tcW w:w="510" w:type="dxa"/>
                        <w:tcBorders>
                          <w:top w:val="nil"/>
                          <w:left w:val="nil"/>
                          <w:bottom w:val="nil"/>
                          <w:right w:val="nil"/>
                        </w:tcBorders>
                      </w:tcPr>
                      <w:p>
                        <w:pPr>
                          <w:pStyle w:val="TableParagraph"/>
                          <w:spacing w:before="101"/>
                          <w:ind w:left="106"/>
                          <w:jc w:val="center"/>
                          <w:rPr>
                            <w:sz w:val="14"/>
                          </w:rPr>
                        </w:pPr>
                        <w:r>
                          <w:rPr>
                            <w:w w:val="99"/>
                            <w:sz w:val="14"/>
                          </w:rPr>
                          <w:t>-</w:t>
                        </w:r>
                      </w:p>
                    </w:tc>
                    <w:tc>
                      <w:tcPr>
                        <w:tcW w:w="556" w:type="dxa"/>
                        <w:tcBorders>
                          <w:top w:val="nil"/>
                          <w:left w:val="nil"/>
                          <w:bottom w:val="nil"/>
                          <w:right w:val="nil"/>
                        </w:tcBorders>
                      </w:tcPr>
                      <w:p>
                        <w:pPr>
                          <w:pStyle w:val="TableParagraph"/>
                          <w:spacing w:before="101"/>
                          <w:ind w:left="154"/>
                          <w:jc w:val="center"/>
                          <w:rPr>
                            <w:sz w:val="14"/>
                          </w:rPr>
                        </w:pPr>
                        <w:r>
                          <w:rPr>
                            <w:w w:val="99"/>
                            <w:sz w:val="14"/>
                          </w:rPr>
                          <w:t>-</w:t>
                        </w:r>
                      </w:p>
                    </w:tc>
                    <w:tc>
                      <w:tcPr>
                        <w:tcW w:w="402" w:type="dxa"/>
                        <w:tcBorders>
                          <w:top w:val="nil"/>
                          <w:left w:val="nil"/>
                          <w:bottom w:val="nil"/>
                        </w:tcBorders>
                      </w:tcPr>
                      <w:p>
                        <w:pPr>
                          <w:pStyle w:val="TableParagraph"/>
                          <w:spacing w:before="101"/>
                          <w:ind w:right="66"/>
                          <w:jc w:val="right"/>
                          <w:rPr>
                            <w:sz w:val="14"/>
                          </w:rPr>
                        </w:pPr>
                        <w:r>
                          <w:rPr>
                            <w:w w:val="99"/>
                            <w:sz w:val="14"/>
                          </w:rPr>
                          <w:t>-</w:t>
                        </w:r>
                      </w:p>
                    </w:tc>
                    <w:tc>
                      <w:tcPr>
                        <w:tcW w:w="545" w:type="dxa"/>
                        <w:tcBorders>
                          <w:top w:val="nil"/>
                          <w:bottom w:val="nil"/>
                          <w:right w:val="nil"/>
                        </w:tcBorders>
                      </w:tcPr>
                      <w:p>
                        <w:pPr>
                          <w:pStyle w:val="TableParagraph"/>
                          <w:spacing w:before="101"/>
                          <w:ind w:right="56"/>
                          <w:jc w:val="right"/>
                          <w:rPr>
                            <w:sz w:val="14"/>
                          </w:rPr>
                        </w:pPr>
                        <w:r>
                          <w:rPr>
                            <w:w w:val="99"/>
                            <w:sz w:val="14"/>
                          </w:rPr>
                          <w:t>-</w:t>
                        </w:r>
                      </w:p>
                    </w:tc>
                    <w:tc>
                      <w:tcPr>
                        <w:tcW w:w="728" w:type="dxa"/>
                        <w:tcBorders>
                          <w:top w:val="nil"/>
                          <w:left w:val="nil"/>
                          <w:bottom w:val="nil"/>
                          <w:right w:val="nil"/>
                        </w:tcBorders>
                      </w:tcPr>
                      <w:p>
                        <w:pPr>
                          <w:pStyle w:val="TableParagraph"/>
                          <w:spacing w:before="101"/>
                          <w:ind w:right="277"/>
                          <w:jc w:val="right"/>
                          <w:rPr>
                            <w:sz w:val="14"/>
                          </w:rPr>
                        </w:pPr>
                        <w:r>
                          <w:rPr>
                            <w:w w:val="99"/>
                            <w:sz w:val="14"/>
                          </w:rPr>
                          <w:t>-</w:t>
                        </w:r>
                      </w:p>
                    </w:tc>
                    <w:tc>
                      <w:tcPr>
                        <w:tcW w:w="360" w:type="dxa"/>
                        <w:tcBorders>
                          <w:top w:val="nil"/>
                          <w:left w:val="nil"/>
                          <w:bottom w:val="nil"/>
                          <w:right w:val="nil"/>
                        </w:tcBorders>
                      </w:tcPr>
                      <w:p>
                        <w:pPr>
                          <w:pStyle w:val="TableParagraph"/>
                          <w:spacing w:before="101"/>
                          <w:ind w:right="79"/>
                          <w:jc w:val="right"/>
                          <w:rPr>
                            <w:sz w:val="14"/>
                          </w:rPr>
                        </w:pPr>
                        <w:r>
                          <w:rPr>
                            <w:w w:val="99"/>
                            <w:sz w:val="14"/>
                          </w:rPr>
                          <w:t>-</w:t>
                        </w:r>
                      </w:p>
                    </w:tc>
                    <w:tc>
                      <w:tcPr>
                        <w:tcW w:w="488" w:type="dxa"/>
                        <w:tcBorders>
                          <w:top w:val="nil"/>
                          <w:left w:val="nil"/>
                          <w:bottom w:val="nil"/>
                        </w:tcBorders>
                      </w:tcPr>
                      <w:p>
                        <w:pPr>
                          <w:pStyle w:val="TableParagraph"/>
                          <w:spacing w:before="101"/>
                          <w:ind w:right="57"/>
                          <w:jc w:val="right"/>
                          <w:rPr>
                            <w:sz w:val="14"/>
                          </w:rPr>
                        </w:pPr>
                        <w:r>
                          <w:rPr>
                            <w:w w:val="99"/>
                            <w:sz w:val="14"/>
                          </w:rPr>
                          <w:t>-</w:t>
                        </w:r>
                      </w:p>
                    </w:tc>
                  </w:tr>
                  <w:tr>
                    <w:trPr>
                      <w:trHeight w:val="355" w:hRule="exact"/>
                    </w:trPr>
                    <w:tc>
                      <w:tcPr>
                        <w:tcW w:w="674" w:type="dxa"/>
                        <w:tcBorders>
                          <w:top w:val="nil"/>
                          <w:bottom w:val="nil"/>
                        </w:tcBorders>
                      </w:tcPr>
                      <w:p>
                        <w:pPr>
                          <w:pStyle w:val="TableParagraph"/>
                          <w:spacing w:before="8"/>
                          <w:rPr>
                            <w:sz w:val="13"/>
                          </w:rPr>
                        </w:pPr>
                      </w:p>
                      <w:p>
                        <w:pPr>
                          <w:pStyle w:val="TableParagraph"/>
                          <w:ind w:right="65"/>
                          <w:jc w:val="right"/>
                          <w:rPr>
                            <w:sz w:val="14"/>
                          </w:rPr>
                        </w:pPr>
                        <w:r>
                          <w:rPr>
                            <w:w w:val="95"/>
                            <w:sz w:val="14"/>
                          </w:rPr>
                          <w:t>47,695</w:t>
                        </w:r>
                      </w:p>
                    </w:tc>
                    <w:tc>
                      <w:tcPr>
                        <w:tcW w:w="626" w:type="dxa"/>
                        <w:tcBorders>
                          <w:top w:val="nil"/>
                          <w:bottom w:val="nil"/>
                          <w:right w:val="nil"/>
                        </w:tcBorders>
                      </w:tcPr>
                      <w:p>
                        <w:pPr>
                          <w:pStyle w:val="TableParagraph"/>
                          <w:spacing w:before="8"/>
                          <w:rPr>
                            <w:sz w:val="13"/>
                          </w:rPr>
                        </w:pPr>
                      </w:p>
                      <w:p>
                        <w:pPr>
                          <w:pStyle w:val="TableParagraph"/>
                          <w:ind w:right="136"/>
                          <w:jc w:val="right"/>
                          <w:rPr>
                            <w:sz w:val="14"/>
                          </w:rPr>
                        </w:pPr>
                        <w:r>
                          <w:rPr>
                            <w:w w:val="99"/>
                            <w:sz w:val="14"/>
                          </w:rPr>
                          <w:t>-</w:t>
                        </w:r>
                      </w:p>
                    </w:tc>
                    <w:tc>
                      <w:tcPr>
                        <w:tcW w:w="533" w:type="dxa"/>
                        <w:tcBorders>
                          <w:top w:val="nil"/>
                          <w:left w:val="nil"/>
                          <w:bottom w:val="nil"/>
                          <w:right w:val="nil"/>
                        </w:tcBorders>
                      </w:tcPr>
                      <w:p>
                        <w:pPr>
                          <w:pStyle w:val="TableParagraph"/>
                          <w:spacing w:before="8"/>
                          <w:rPr>
                            <w:sz w:val="13"/>
                          </w:rPr>
                        </w:pPr>
                      </w:p>
                      <w:p>
                        <w:pPr>
                          <w:pStyle w:val="TableParagraph"/>
                          <w:ind w:left="160"/>
                          <w:jc w:val="center"/>
                          <w:rPr>
                            <w:sz w:val="14"/>
                          </w:rPr>
                        </w:pPr>
                        <w:r>
                          <w:rPr>
                            <w:w w:val="99"/>
                            <w:sz w:val="14"/>
                          </w:rPr>
                          <w:t>-</w:t>
                        </w:r>
                      </w:p>
                    </w:tc>
                    <w:tc>
                      <w:tcPr>
                        <w:tcW w:w="533" w:type="dxa"/>
                        <w:tcBorders>
                          <w:top w:val="nil"/>
                          <w:left w:val="nil"/>
                          <w:bottom w:val="nil"/>
                          <w:right w:val="nil"/>
                        </w:tcBorders>
                      </w:tcPr>
                      <w:p>
                        <w:pPr>
                          <w:pStyle w:val="TableParagraph"/>
                          <w:spacing w:before="8"/>
                          <w:rPr>
                            <w:sz w:val="13"/>
                          </w:rPr>
                        </w:pPr>
                      </w:p>
                      <w:p>
                        <w:pPr>
                          <w:pStyle w:val="TableParagraph"/>
                          <w:ind w:left="208"/>
                          <w:jc w:val="center"/>
                          <w:rPr>
                            <w:sz w:val="14"/>
                          </w:rPr>
                        </w:pPr>
                        <w:r>
                          <w:rPr>
                            <w:w w:val="99"/>
                            <w:sz w:val="14"/>
                          </w:rPr>
                          <w:t>-</w:t>
                        </w:r>
                      </w:p>
                    </w:tc>
                    <w:tc>
                      <w:tcPr>
                        <w:tcW w:w="440" w:type="dxa"/>
                        <w:tcBorders>
                          <w:top w:val="nil"/>
                          <w:left w:val="nil"/>
                          <w:bottom w:val="nil"/>
                        </w:tcBorders>
                      </w:tcPr>
                      <w:p>
                        <w:pPr>
                          <w:pStyle w:val="TableParagraph"/>
                          <w:spacing w:before="8"/>
                          <w:rPr>
                            <w:sz w:val="13"/>
                          </w:rPr>
                        </w:pPr>
                      </w:p>
                      <w:p>
                        <w:pPr>
                          <w:pStyle w:val="TableParagraph"/>
                          <w:ind w:right="66"/>
                          <w:jc w:val="right"/>
                          <w:rPr>
                            <w:sz w:val="14"/>
                          </w:rPr>
                        </w:pPr>
                        <w:r>
                          <w:rPr>
                            <w:w w:val="99"/>
                            <w:sz w:val="14"/>
                          </w:rPr>
                          <w:t>-</w:t>
                        </w:r>
                      </w:p>
                    </w:tc>
                    <w:tc>
                      <w:tcPr>
                        <w:tcW w:w="664" w:type="dxa"/>
                        <w:tcBorders>
                          <w:top w:val="nil"/>
                          <w:bottom w:val="nil"/>
                          <w:right w:val="nil"/>
                        </w:tcBorders>
                      </w:tcPr>
                      <w:p>
                        <w:pPr>
                          <w:pStyle w:val="TableParagraph"/>
                          <w:spacing w:before="8"/>
                          <w:rPr>
                            <w:sz w:val="13"/>
                          </w:rPr>
                        </w:pPr>
                      </w:p>
                      <w:p>
                        <w:pPr>
                          <w:pStyle w:val="TableParagraph"/>
                          <w:ind w:right="177"/>
                          <w:jc w:val="right"/>
                          <w:rPr>
                            <w:sz w:val="14"/>
                          </w:rPr>
                        </w:pPr>
                        <w:r>
                          <w:rPr>
                            <w:sz w:val="14"/>
                          </w:rPr>
                          <w:t>86</w:t>
                        </w:r>
                      </w:p>
                    </w:tc>
                    <w:tc>
                      <w:tcPr>
                        <w:tcW w:w="510" w:type="dxa"/>
                        <w:tcBorders>
                          <w:top w:val="nil"/>
                          <w:left w:val="nil"/>
                          <w:bottom w:val="nil"/>
                          <w:right w:val="nil"/>
                        </w:tcBorders>
                      </w:tcPr>
                      <w:p>
                        <w:pPr>
                          <w:pStyle w:val="TableParagraph"/>
                          <w:spacing w:before="8"/>
                          <w:rPr>
                            <w:sz w:val="13"/>
                          </w:rPr>
                        </w:pPr>
                      </w:p>
                      <w:p>
                        <w:pPr>
                          <w:pStyle w:val="TableParagraph"/>
                          <w:ind w:left="109" w:right="110"/>
                          <w:jc w:val="center"/>
                          <w:rPr>
                            <w:sz w:val="14"/>
                          </w:rPr>
                        </w:pPr>
                        <w:r>
                          <w:rPr>
                            <w:sz w:val="14"/>
                          </w:rPr>
                          <w:t>86</w:t>
                        </w:r>
                      </w:p>
                    </w:tc>
                    <w:tc>
                      <w:tcPr>
                        <w:tcW w:w="556" w:type="dxa"/>
                        <w:tcBorders>
                          <w:top w:val="nil"/>
                          <w:left w:val="nil"/>
                          <w:bottom w:val="nil"/>
                          <w:right w:val="nil"/>
                        </w:tcBorders>
                      </w:tcPr>
                      <w:p>
                        <w:pPr>
                          <w:pStyle w:val="TableParagraph"/>
                          <w:spacing w:before="8"/>
                          <w:rPr>
                            <w:sz w:val="13"/>
                          </w:rPr>
                        </w:pPr>
                      </w:p>
                      <w:p>
                        <w:pPr>
                          <w:pStyle w:val="TableParagraph"/>
                          <w:ind w:left="156" w:right="110"/>
                          <w:jc w:val="center"/>
                          <w:rPr>
                            <w:sz w:val="14"/>
                          </w:rPr>
                        </w:pPr>
                        <w:r>
                          <w:rPr>
                            <w:sz w:val="14"/>
                          </w:rPr>
                          <w:t>(86)</w:t>
                        </w:r>
                      </w:p>
                    </w:tc>
                    <w:tc>
                      <w:tcPr>
                        <w:tcW w:w="402" w:type="dxa"/>
                        <w:tcBorders>
                          <w:top w:val="nil"/>
                          <w:left w:val="nil"/>
                          <w:bottom w:val="nil"/>
                        </w:tcBorders>
                      </w:tcPr>
                      <w:p>
                        <w:pPr>
                          <w:pStyle w:val="TableParagraph"/>
                          <w:spacing w:before="8"/>
                          <w:rPr>
                            <w:sz w:val="13"/>
                          </w:rPr>
                        </w:pPr>
                      </w:p>
                      <w:p>
                        <w:pPr>
                          <w:pStyle w:val="TableParagraph"/>
                          <w:ind w:right="21"/>
                          <w:jc w:val="right"/>
                          <w:rPr>
                            <w:sz w:val="14"/>
                          </w:rPr>
                        </w:pPr>
                        <w:r>
                          <w:rPr>
                            <w:sz w:val="14"/>
                          </w:rPr>
                          <w:t>(86)</w:t>
                        </w:r>
                      </w:p>
                    </w:tc>
                    <w:tc>
                      <w:tcPr>
                        <w:tcW w:w="545" w:type="dxa"/>
                        <w:tcBorders>
                          <w:top w:val="nil"/>
                          <w:bottom w:val="nil"/>
                          <w:right w:val="nil"/>
                        </w:tcBorders>
                      </w:tcPr>
                      <w:p>
                        <w:pPr>
                          <w:pStyle w:val="TableParagraph"/>
                          <w:spacing w:before="8"/>
                          <w:rPr>
                            <w:sz w:val="13"/>
                          </w:rPr>
                        </w:pPr>
                      </w:p>
                      <w:p>
                        <w:pPr>
                          <w:pStyle w:val="TableParagraph"/>
                          <w:ind w:right="56"/>
                          <w:jc w:val="right"/>
                          <w:rPr>
                            <w:sz w:val="14"/>
                          </w:rPr>
                        </w:pPr>
                        <w:r>
                          <w:rPr>
                            <w:w w:val="99"/>
                            <w:sz w:val="14"/>
                          </w:rPr>
                          <w:t>-</w:t>
                        </w:r>
                      </w:p>
                    </w:tc>
                    <w:tc>
                      <w:tcPr>
                        <w:tcW w:w="728" w:type="dxa"/>
                        <w:tcBorders>
                          <w:top w:val="nil"/>
                          <w:left w:val="nil"/>
                          <w:bottom w:val="nil"/>
                          <w:right w:val="nil"/>
                        </w:tcBorders>
                      </w:tcPr>
                      <w:p>
                        <w:pPr>
                          <w:pStyle w:val="TableParagraph"/>
                          <w:spacing w:before="8"/>
                          <w:rPr>
                            <w:sz w:val="13"/>
                          </w:rPr>
                        </w:pPr>
                      </w:p>
                      <w:p>
                        <w:pPr>
                          <w:pStyle w:val="TableParagraph"/>
                          <w:ind w:right="277"/>
                          <w:jc w:val="right"/>
                          <w:rPr>
                            <w:sz w:val="14"/>
                          </w:rPr>
                        </w:pPr>
                        <w:r>
                          <w:rPr>
                            <w:w w:val="99"/>
                            <w:sz w:val="14"/>
                          </w:rPr>
                          <w:t>-</w:t>
                        </w:r>
                      </w:p>
                    </w:tc>
                    <w:tc>
                      <w:tcPr>
                        <w:tcW w:w="360" w:type="dxa"/>
                        <w:tcBorders>
                          <w:top w:val="nil"/>
                          <w:left w:val="nil"/>
                          <w:bottom w:val="nil"/>
                          <w:right w:val="nil"/>
                        </w:tcBorders>
                      </w:tcPr>
                      <w:p>
                        <w:pPr>
                          <w:pStyle w:val="TableParagraph"/>
                          <w:spacing w:before="8"/>
                          <w:rPr>
                            <w:sz w:val="13"/>
                          </w:rPr>
                        </w:pPr>
                      </w:p>
                      <w:p>
                        <w:pPr>
                          <w:pStyle w:val="TableParagraph"/>
                          <w:ind w:right="79"/>
                          <w:jc w:val="right"/>
                          <w:rPr>
                            <w:sz w:val="14"/>
                          </w:rPr>
                        </w:pPr>
                        <w:r>
                          <w:rPr>
                            <w:w w:val="99"/>
                            <w:sz w:val="14"/>
                          </w:rPr>
                          <w:t>-</w:t>
                        </w:r>
                      </w:p>
                    </w:tc>
                    <w:tc>
                      <w:tcPr>
                        <w:tcW w:w="488" w:type="dxa"/>
                        <w:tcBorders>
                          <w:top w:val="nil"/>
                          <w:left w:val="nil"/>
                          <w:bottom w:val="nil"/>
                        </w:tcBorders>
                      </w:tcPr>
                      <w:p>
                        <w:pPr>
                          <w:pStyle w:val="TableParagraph"/>
                          <w:spacing w:before="8"/>
                          <w:rPr>
                            <w:sz w:val="13"/>
                          </w:rPr>
                        </w:pPr>
                      </w:p>
                      <w:p>
                        <w:pPr>
                          <w:pStyle w:val="TableParagraph"/>
                          <w:ind w:right="57"/>
                          <w:jc w:val="right"/>
                          <w:rPr>
                            <w:sz w:val="14"/>
                          </w:rPr>
                        </w:pPr>
                        <w:r>
                          <w:rPr>
                            <w:w w:val="99"/>
                            <w:sz w:val="14"/>
                          </w:rPr>
                          <w:t>-</w:t>
                        </w:r>
                      </w:p>
                    </w:tc>
                  </w:tr>
                  <w:tr>
                    <w:trPr>
                      <w:trHeight w:val="218" w:hRule="exact"/>
                    </w:trPr>
                    <w:tc>
                      <w:tcPr>
                        <w:tcW w:w="674" w:type="dxa"/>
                        <w:tcBorders>
                          <w:top w:val="nil"/>
                          <w:bottom w:val="nil"/>
                        </w:tcBorders>
                      </w:tcPr>
                      <w:p>
                        <w:pPr>
                          <w:pStyle w:val="TableParagraph"/>
                          <w:spacing w:before="21"/>
                          <w:ind w:right="65"/>
                          <w:jc w:val="right"/>
                          <w:rPr>
                            <w:sz w:val="14"/>
                          </w:rPr>
                        </w:pPr>
                        <w:r>
                          <w:rPr>
                            <w:w w:val="95"/>
                            <w:sz w:val="14"/>
                          </w:rPr>
                          <w:t>155,000</w:t>
                        </w:r>
                      </w:p>
                    </w:tc>
                    <w:tc>
                      <w:tcPr>
                        <w:tcW w:w="626" w:type="dxa"/>
                        <w:tcBorders>
                          <w:top w:val="nil"/>
                          <w:bottom w:val="nil"/>
                          <w:right w:val="nil"/>
                        </w:tcBorders>
                      </w:tcPr>
                      <w:p>
                        <w:pPr>
                          <w:pStyle w:val="TableParagraph"/>
                          <w:spacing w:before="21"/>
                          <w:ind w:right="137"/>
                          <w:jc w:val="right"/>
                          <w:rPr>
                            <w:sz w:val="14"/>
                          </w:rPr>
                        </w:pPr>
                        <w:r>
                          <w:rPr>
                            <w:sz w:val="14"/>
                          </w:rPr>
                          <w:t>388</w:t>
                        </w:r>
                      </w:p>
                    </w:tc>
                    <w:tc>
                      <w:tcPr>
                        <w:tcW w:w="533" w:type="dxa"/>
                        <w:tcBorders>
                          <w:top w:val="nil"/>
                          <w:left w:val="nil"/>
                          <w:bottom w:val="nil"/>
                          <w:right w:val="nil"/>
                        </w:tcBorders>
                      </w:tcPr>
                      <w:p>
                        <w:pPr>
                          <w:pStyle w:val="TableParagraph"/>
                          <w:spacing w:before="21"/>
                          <w:ind w:left="49" w:right="71"/>
                          <w:jc w:val="center"/>
                          <w:rPr>
                            <w:sz w:val="14"/>
                          </w:rPr>
                        </w:pPr>
                        <w:r>
                          <w:rPr>
                            <w:sz w:val="14"/>
                          </w:rPr>
                          <w:t>388</w:t>
                        </w:r>
                      </w:p>
                    </w:tc>
                    <w:tc>
                      <w:tcPr>
                        <w:tcW w:w="533" w:type="dxa"/>
                        <w:tcBorders>
                          <w:top w:val="nil"/>
                          <w:left w:val="nil"/>
                          <w:bottom w:val="nil"/>
                          <w:right w:val="nil"/>
                        </w:tcBorders>
                      </w:tcPr>
                      <w:p>
                        <w:pPr>
                          <w:pStyle w:val="TableParagraph"/>
                          <w:spacing w:before="21"/>
                          <w:ind w:left="72" w:right="49"/>
                          <w:jc w:val="center"/>
                          <w:rPr>
                            <w:sz w:val="14"/>
                          </w:rPr>
                        </w:pPr>
                        <w:r>
                          <w:rPr>
                            <w:sz w:val="14"/>
                          </w:rPr>
                          <w:t>(388)</w:t>
                        </w:r>
                      </w:p>
                    </w:tc>
                    <w:tc>
                      <w:tcPr>
                        <w:tcW w:w="440" w:type="dxa"/>
                        <w:tcBorders>
                          <w:top w:val="nil"/>
                          <w:left w:val="nil"/>
                          <w:bottom w:val="nil"/>
                        </w:tcBorders>
                      </w:tcPr>
                      <w:p>
                        <w:pPr>
                          <w:pStyle w:val="TableParagraph"/>
                          <w:spacing w:before="21"/>
                          <w:ind w:right="21"/>
                          <w:jc w:val="right"/>
                          <w:rPr>
                            <w:sz w:val="14"/>
                          </w:rPr>
                        </w:pPr>
                        <w:r>
                          <w:rPr>
                            <w:sz w:val="14"/>
                          </w:rPr>
                          <w:t>(388)</w:t>
                        </w:r>
                      </w:p>
                    </w:tc>
                    <w:tc>
                      <w:tcPr>
                        <w:tcW w:w="664" w:type="dxa"/>
                        <w:tcBorders>
                          <w:top w:val="nil"/>
                          <w:bottom w:val="nil"/>
                          <w:right w:val="nil"/>
                        </w:tcBorders>
                      </w:tcPr>
                      <w:p>
                        <w:pPr>
                          <w:pStyle w:val="TableParagraph"/>
                          <w:spacing w:before="21"/>
                          <w:ind w:right="175"/>
                          <w:jc w:val="right"/>
                          <w:rPr>
                            <w:sz w:val="14"/>
                          </w:rPr>
                        </w:pPr>
                        <w:r>
                          <w:rPr>
                            <w:w w:val="99"/>
                            <w:sz w:val="14"/>
                          </w:rPr>
                          <w:t>-</w:t>
                        </w:r>
                      </w:p>
                    </w:tc>
                    <w:tc>
                      <w:tcPr>
                        <w:tcW w:w="510" w:type="dxa"/>
                        <w:tcBorders>
                          <w:top w:val="nil"/>
                          <w:left w:val="nil"/>
                          <w:bottom w:val="nil"/>
                          <w:right w:val="nil"/>
                        </w:tcBorders>
                      </w:tcPr>
                      <w:p>
                        <w:pPr>
                          <w:pStyle w:val="TableParagraph"/>
                          <w:spacing w:before="21"/>
                          <w:ind w:left="106"/>
                          <w:jc w:val="center"/>
                          <w:rPr>
                            <w:sz w:val="14"/>
                          </w:rPr>
                        </w:pPr>
                        <w:r>
                          <w:rPr>
                            <w:w w:val="99"/>
                            <w:sz w:val="14"/>
                          </w:rPr>
                          <w:t>-</w:t>
                        </w:r>
                      </w:p>
                    </w:tc>
                    <w:tc>
                      <w:tcPr>
                        <w:tcW w:w="556" w:type="dxa"/>
                        <w:tcBorders>
                          <w:top w:val="nil"/>
                          <w:left w:val="nil"/>
                          <w:bottom w:val="nil"/>
                          <w:right w:val="nil"/>
                        </w:tcBorders>
                      </w:tcPr>
                      <w:p>
                        <w:pPr>
                          <w:pStyle w:val="TableParagraph"/>
                          <w:spacing w:before="21"/>
                          <w:ind w:left="154"/>
                          <w:jc w:val="center"/>
                          <w:rPr>
                            <w:sz w:val="14"/>
                          </w:rPr>
                        </w:pPr>
                        <w:r>
                          <w:rPr>
                            <w:w w:val="99"/>
                            <w:sz w:val="14"/>
                          </w:rPr>
                          <w:t>-</w:t>
                        </w:r>
                      </w:p>
                    </w:tc>
                    <w:tc>
                      <w:tcPr>
                        <w:tcW w:w="402" w:type="dxa"/>
                        <w:tcBorders>
                          <w:top w:val="nil"/>
                          <w:left w:val="nil"/>
                          <w:bottom w:val="nil"/>
                        </w:tcBorders>
                      </w:tcPr>
                      <w:p>
                        <w:pPr>
                          <w:pStyle w:val="TableParagraph"/>
                          <w:spacing w:before="21"/>
                          <w:ind w:right="66"/>
                          <w:jc w:val="right"/>
                          <w:rPr>
                            <w:sz w:val="14"/>
                          </w:rPr>
                        </w:pPr>
                        <w:r>
                          <w:rPr>
                            <w:w w:val="99"/>
                            <w:sz w:val="14"/>
                          </w:rPr>
                          <w:t>-</w:t>
                        </w:r>
                      </w:p>
                    </w:tc>
                    <w:tc>
                      <w:tcPr>
                        <w:tcW w:w="545" w:type="dxa"/>
                        <w:tcBorders>
                          <w:top w:val="nil"/>
                          <w:bottom w:val="nil"/>
                          <w:right w:val="nil"/>
                        </w:tcBorders>
                      </w:tcPr>
                      <w:p>
                        <w:pPr>
                          <w:pStyle w:val="TableParagraph"/>
                          <w:spacing w:before="21"/>
                          <w:ind w:right="56"/>
                          <w:jc w:val="right"/>
                          <w:rPr>
                            <w:sz w:val="14"/>
                          </w:rPr>
                        </w:pPr>
                        <w:r>
                          <w:rPr>
                            <w:w w:val="99"/>
                            <w:sz w:val="14"/>
                          </w:rPr>
                          <w:t>-</w:t>
                        </w:r>
                      </w:p>
                    </w:tc>
                    <w:tc>
                      <w:tcPr>
                        <w:tcW w:w="728" w:type="dxa"/>
                        <w:tcBorders>
                          <w:top w:val="nil"/>
                          <w:left w:val="nil"/>
                          <w:bottom w:val="nil"/>
                          <w:right w:val="nil"/>
                        </w:tcBorders>
                      </w:tcPr>
                      <w:p>
                        <w:pPr>
                          <w:pStyle w:val="TableParagraph"/>
                          <w:spacing w:before="21"/>
                          <w:ind w:right="277"/>
                          <w:jc w:val="right"/>
                          <w:rPr>
                            <w:sz w:val="14"/>
                          </w:rPr>
                        </w:pPr>
                        <w:r>
                          <w:rPr>
                            <w:w w:val="99"/>
                            <w:sz w:val="14"/>
                          </w:rPr>
                          <w:t>-</w:t>
                        </w:r>
                      </w:p>
                    </w:tc>
                    <w:tc>
                      <w:tcPr>
                        <w:tcW w:w="360" w:type="dxa"/>
                        <w:tcBorders>
                          <w:top w:val="nil"/>
                          <w:left w:val="nil"/>
                          <w:bottom w:val="nil"/>
                          <w:right w:val="nil"/>
                        </w:tcBorders>
                      </w:tcPr>
                      <w:p>
                        <w:pPr>
                          <w:pStyle w:val="TableParagraph"/>
                          <w:spacing w:before="21"/>
                          <w:ind w:right="79"/>
                          <w:jc w:val="right"/>
                          <w:rPr>
                            <w:sz w:val="14"/>
                          </w:rPr>
                        </w:pPr>
                        <w:r>
                          <w:rPr>
                            <w:w w:val="99"/>
                            <w:sz w:val="14"/>
                          </w:rPr>
                          <w:t>-</w:t>
                        </w:r>
                      </w:p>
                    </w:tc>
                    <w:tc>
                      <w:tcPr>
                        <w:tcW w:w="488" w:type="dxa"/>
                        <w:tcBorders>
                          <w:top w:val="nil"/>
                          <w:left w:val="nil"/>
                          <w:bottom w:val="nil"/>
                        </w:tcBorders>
                      </w:tcPr>
                      <w:p>
                        <w:pPr>
                          <w:pStyle w:val="TableParagraph"/>
                          <w:spacing w:before="21"/>
                          <w:ind w:right="57"/>
                          <w:jc w:val="right"/>
                          <w:rPr>
                            <w:sz w:val="14"/>
                          </w:rPr>
                        </w:pPr>
                        <w:r>
                          <w:rPr>
                            <w:w w:val="99"/>
                            <w:sz w:val="14"/>
                          </w:rPr>
                          <w:t>-</w:t>
                        </w:r>
                      </w:p>
                    </w:tc>
                  </w:tr>
                  <w:tr>
                    <w:trPr>
                      <w:trHeight w:val="218" w:hRule="exact"/>
                    </w:trPr>
                    <w:tc>
                      <w:tcPr>
                        <w:tcW w:w="674" w:type="dxa"/>
                        <w:tcBorders>
                          <w:top w:val="nil"/>
                        </w:tcBorders>
                      </w:tcPr>
                      <w:p>
                        <w:pPr>
                          <w:pStyle w:val="TableParagraph"/>
                          <w:spacing w:before="21"/>
                          <w:ind w:right="65"/>
                          <w:jc w:val="right"/>
                          <w:rPr>
                            <w:sz w:val="14"/>
                          </w:rPr>
                        </w:pPr>
                        <w:r>
                          <w:rPr>
                            <w:w w:val="95"/>
                            <w:sz w:val="14"/>
                          </w:rPr>
                          <w:t>61,595</w:t>
                        </w:r>
                      </w:p>
                    </w:tc>
                    <w:tc>
                      <w:tcPr>
                        <w:tcW w:w="626" w:type="dxa"/>
                        <w:tcBorders>
                          <w:top w:val="nil"/>
                          <w:right w:val="nil"/>
                        </w:tcBorders>
                      </w:tcPr>
                      <w:p>
                        <w:pPr>
                          <w:pStyle w:val="TableParagraph"/>
                          <w:spacing w:before="21"/>
                          <w:ind w:right="136"/>
                          <w:jc w:val="right"/>
                          <w:rPr>
                            <w:sz w:val="14"/>
                          </w:rPr>
                        </w:pPr>
                        <w:r>
                          <w:rPr>
                            <w:w w:val="99"/>
                            <w:sz w:val="14"/>
                          </w:rPr>
                          <w:t>-</w:t>
                        </w:r>
                      </w:p>
                    </w:tc>
                    <w:tc>
                      <w:tcPr>
                        <w:tcW w:w="533" w:type="dxa"/>
                        <w:tcBorders>
                          <w:top w:val="nil"/>
                          <w:left w:val="nil"/>
                          <w:right w:val="nil"/>
                        </w:tcBorders>
                      </w:tcPr>
                      <w:p>
                        <w:pPr>
                          <w:pStyle w:val="TableParagraph"/>
                          <w:spacing w:before="21"/>
                          <w:ind w:left="160"/>
                          <w:jc w:val="center"/>
                          <w:rPr>
                            <w:sz w:val="14"/>
                          </w:rPr>
                        </w:pPr>
                        <w:r>
                          <w:rPr>
                            <w:w w:val="99"/>
                            <w:sz w:val="14"/>
                          </w:rPr>
                          <w:t>-</w:t>
                        </w:r>
                      </w:p>
                    </w:tc>
                    <w:tc>
                      <w:tcPr>
                        <w:tcW w:w="533" w:type="dxa"/>
                        <w:tcBorders>
                          <w:top w:val="nil"/>
                          <w:left w:val="nil"/>
                          <w:right w:val="nil"/>
                        </w:tcBorders>
                      </w:tcPr>
                      <w:p>
                        <w:pPr>
                          <w:pStyle w:val="TableParagraph"/>
                          <w:spacing w:before="21"/>
                          <w:ind w:left="208"/>
                          <w:jc w:val="center"/>
                          <w:rPr>
                            <w:sz w:val="14"/>
                          </w:rPr>
                        </w:pPr>
                        <w:r>
                          <w:rPr>
                            <w:w w:val="99"/>
                            <w:sz w:val="14"/>
                          </w:rPr>
                          <w:t>-</w:t>
                        </w:r>
                      </w:p>
                    </w:tc>
                    <w:tc>
                      <w:tcPr>
                        <w:tcW w:w="440" w:type="dxa"/>
                        <w:tcBorders>
                          <w:top w:val="nil"/>
                          <w:left w:val="nil"/>
                        </w:tcBorders>
                      </w:tcPr>
                      <w:p>
                        <w:pPr>
                          <w:pStyle w:val="TableParagraph"/>
                          <w:spacing w:before="21"/>
                          <w:ind w:right="66"/>
                          <w:jc w:val="right"/>
                          <w:rPr>
                            <w:sz w:val="14"/>
                          </w:rPr>
                        </w:pPr>
                        <w:r>
                          <w:rPr>
                            <w:w w:val="99"/>
                            <w:sz w:val="14"/>
                          </w:rPr>
                          <w:t>-</w:t>
                        </w:r>
                      </w:p>
                    </w:tc>
                    <w:tc>
                      <w:tcPr>
                        <w:tcW w:w="664" w:type="dxa"/>
                        <w:tcBorders>
                          <w:top w:val="nil"/>
                          <w:right w:val="nil"/>
                        </w:tcBorders>
                      </w:tcPr>
                      <w:p>
                        <w:pPr>
                          <w:pStyle w:val="TableParagraph"/>
                          <w:spacing w:before="21"/>
                          <w:ind w:right="175"/>
                          <w:jc w:val="right"/>
                          <w:rPr>
                            <w:sz w:val="14"/>
                          </w:rPr>
                        </w:pPr>
                        <w:r>
                          <w:rPr>
                            <w:w w:val="99"/>
                            <w:sz w:val="14"/>
                          </w:rPr>
                          <w:t>-</w:t>
                        </w:r>
                      </w:p>
                    </w:tc>
                    <w:tc>
                      <w:tcPr>
                        <w:tcW w:w="510" w:type="dxa"/>
                        <w:tcBorders>
                          <w:top w:val="nil"/>
                          <w:left w:val="nil"/>
                          <w:right w:val="nil"/>
                        </w:tcBorders>
                      </w:tcPr>
                      <w:p>
                        <w:pPr>
                          <w:pStyle w:val="TableParagraph"/>
                          <w:spacing w:before="21"/>
                          <w:ind w:left="106"/>
                          <w:jc w:val="center"/>
                          <w:rPr>
                            <w:sz w:val="14"/>
                          </w:rPr>
                        </w:pPr>
                        <w:r>
                          <w:rPr>
                            <w:w w:val="99"/>
                            <w:sz w:val="14"/>
                          </w:rPr>
                          <w:t>-</w:t>
                        </w:r>
                      </w:p>
                    </w:tc>
                    <w:tc>
                      <w:tcPr>
                        <w:tcW w:w="556" w:type="dxa"/>
                        <w:tcBorders>
                          <w:top w:val="nil"/>
                          <w:left w:val="nil"/>
                          <w:right w:val="nil"/>
                        </w:tcBorders>
                      </w:tcPr>
                      <w:p>
                        <w:pPr>
                          <w:pStyle w:val="TableParagraph"/>
                          <w:spacing w:before="21"/>
                          <w:ind w:left="154"/>
                          <w:jc w:val="center"/>
                          <w:rPr>
                            <w:sz w:val="14"/>
                          </w:rPr>
                        </w:pPr>
                        <w:r>
                          <w:rPr>
                            <w:w w:val="99"/>
                            <w:sz w:val="14"/>
                          </w:rPr>
                          <w:t>-</w:t>
                        </w:r>
                      </w:p>
                    </w:tc>
                    <w:tc>
                      <w:tcPr>
                        <w:tcW w:w="402" w:type="dxa"/>
                        <w:tcBorders>
                          <w:top w:val="nil"/>
                          <w:left w:val="nil"/>
                        </w:tcBorders>
                      </w:tcPr>
                      <w:p>
                        <w:pPr>
                          <w:pStyle w:val="TableParagraph"/>
                          <w:spacing w:before="21"/>
                          <w:ind w:right="66"/>
                          <w:jc w:val="right"/>
                          <w:rPr>
                            <w:sz w:val="14"/>
                          </w:rPr>
                        </w:pPr>
                        <w:r>
                          <w:rPr>
                            <w:w w:val="99"/>
                            <w:sz w:val="14"/>
                          </w:rPr>
                          <w:t>-</w:t>
                        </w:r>
                      </w:p>
                    </w:tc>
                    <w:tc>
                      <w:tcPr>
                        <w:tcW w:w="545" w:type="dxa"/>
                        <w:tcBorders>
                          <w:top w:val="nil"/>
                          <w:right w:val="nil"/>
                        </w:tcBorders>
                      </w:tcPr>
                      <w:p>
                        <w:pPr>
                          <w:pStyle w:val="TableParagraph"/>
                          <w:spacing w:before="21"/>
                          <w:ind w:right="56"/>
                          <w:jc w:val="right"/>
                          <w:rPr>
                            <w:sz w:val="14"/>
                          </w:rPr>
                        </w:pPr>
                        <w:r>
                          <w:rPr>
                            <w:w w:val="99"/>
                            <w:sz w:val="14"/>
                          </w:rPr>
                          <w:t>-</w:t>
                        </w:r>
                      </w:p>
                    </w:tc>
                    <w:tc>
                      <w:tcPr>
                        <w:tcW w:w="728" w:type="dxa"/>
                        <w:tcBorders>
                          <w:top w:val="nil"/>
                          <w:left w:val="nil"/>
                          <w:right w:val="nil"/>
                        </w:tcBorders>
                      </w:tcPr>
                      <w:p>
                        <w:pPr>
                          <w:pStyle w:val="TableParagraph"/>
                          <w:spacing w:before="21"/>
                          <w:ind w:right="277"/>
                          <w:jc w:val="right"/>
                          <w:rPr>
                            <w:sz w:val="14"/>
                          </w:rPr>
                        </w:pPr>
                        <w:r>
                          <w:rPr>
                            <w:w w:val="99"/>
                            <w:sz w:val="14"/>
                          </w:rPr>
                          <w:t>-</w:t>
                        </w:r>
                      </w:p>
                    </w:tc>
                    <w:tc>
                      <w:tcPr>
                        <w:tcW w:w="360" w:type="dxa"/>
                        <w:tcBorders>
                          <w:top w:val="nil"/>
                          <w:left w:val="nil"/>
                          <w:right w:val="nil"/>
                        </w:tcBorders>
                      </w:tcPr>
                      <w:p>
                        <w:pPr>
                          <w:pStyle w:val="TableParagraph"/>
                          <w:spacing w:before="21"/>
                          <w:ind w:right="79"/>
                          <w:jc w:val="right"/>
                          <w:rPr>
                            <w:sz w:val="14"/>
                          </w:rPr>
                        </w:pPr>
                        <w:r>
                          <w:rPr>
                            <w:w w:val="99"/>
                            <w:sz w:val="14"/>
                          </w:rPr>
                          <w:t>-</w:t>
                        </w:r>
                      </w:p>
                    </w:tc>
                    <w:tc>
                      <w:tcPr>
                        <w:tcW w:w="488" w:type="dxa"/>
                        <w:tcBorders>
                          <w:top w:val="nil"/>
                          <w:left w:val="nil"/>
                        </w:tcBorders>
                      </w:tcPr>
                      <w:p>
                        <w:pPr>
                          <w:pStyle w:val="TableParagraph"/>
                          <w:spacing w:before="21"/>
                          <w:ind w:right="57"/>
                          <w:jc w:val="right"/>
                          <w:rPr>
                            <w:sz w:val="14"/>
                          </w:rPr>
                        </w:pPr>
                        <w:r>
                          <w:rPr>
                            <w:w w:val="99"/>
                            <w:sz w:val="14"/>
                          </w:rPr>
                          <w:t>-</w:t>
                        </w:r>
                      </w:p>
                    </w:tc>
                  </w:tr>
                  <w:tr>
                    <w:trPr>
                      <w:trHeight w:val="238" w:hRule="exact"/>
                    </w:trPr>
                    <w:tc>
                      <w:tcPr>
                        <w:tcW w:w="674" w:type="dxa"/>
                      </w:tcPr>
                      <w:p>
                        <w:pPr/>
                      </w:p>
                    </w:tc>
                    <w:tc>
                      <w:tcPr>
                        <w:tcW w:w="626" w:type="dxa"/>
                        <w:tcBorders>
                          <w:right w:val="nil"/>
                        </w:tcBorders>
                      </w:tcPr>
                      <w:p>
                        <w:pPr>
                          <w:pStyle w:val="TableParagraph"/>
                          <w:spacing w:before="39"/>
                          <w:ind w:right="137"/>
                          <w:jc w:val="right"/>
                          <w:rPr>
                            <w:sz w:val="14"/>
                          </w:rPr>
                        </w:pPr>
                        <w:r>
                          <w:rPr>
                            <w:sz w:val="14"/>
                          </w:rPr>
                          <w:t>13</w:t>
                        </w:r>
                      </w:p>
                    </w:tc>
                    <w:tc>
                      <w:tcPr>
                        <w:tcW w:w="533" w:type="dxa"/>
                        <w:tcBorders>
                          <w:left w:val="nil"/>
                          <w:right w:val="nil"/>
                        </w:tcBorders>
                      </w:tcPr>
                      <w:p>
                        <w:pPr>
                          <w:pStyle w:val="TableParagraph"/>
                          <w:spacing w:before="39"/>
                          <w:ind w:left="72" w:right="20"/>
                          <w:jc w:val="center"/>
                          <w:rPr>
                            <w:sz w:val="14"/>
                          </w:rPr>
                        </w:pPr>
                        <w:r>
                          <w:rPr>
                            <w:sz w:val="14"/>
                          </w:rPr>
                          <w:t>13</w:t>
                        </w:r>
                      </w:p>
                    </w:tc>
                    <w:tc>
                      <w:tcPr>
                        <w:tcW w:w="533" w:type="dxa"/>
                        <w:tcBorders>
                          <w:left w:val="nil"/>
                          <w:right w:val="nil"/>
                        </w:tcBorders>
                      </w:tcPr>
                      <w:p>
                        <w:pPr>
                          <w:pStyle w:val="TableParagraph"/>
                          <w:spacing w:before="39"/>
                          <w:ind w:left="171" w:right="71"/>
                          <w:jc w:val="center"/>
                          <w:rPr>
                            <w:sz w:val="14"/>
                          </w:rPr>
                        </w:pPr>
                        <w:r>
                          <w:rPr>
                            <w:sz w:val="14"/>
                          </w:rPr>
                          <w:t>(13)</w:t>
                        </w:r>
                      </w:p>
                    </w:tc>
                    <w:tc>
                      <w:tcPr>
                        <w:tcW w:w="440" w:type="dxa"/>
                        <w:tcBorders>
                          <w:left w:val="nil"/>
                        </w:tcBorders>
                      </w:tcPr>
                      <w:p>
                        <w:pPr>
                          <w:pStyle w:val="TableParagraph"/>
                          <w:spacing w:before="39"/>
                          <w:ind w:right="21"/>
                          <w:jc w:val="right"/>
                          <w:rPr>
                            <w:sz w:val="14"/>
                          </w:rPr>
                        </w:pPr>
                        <w:r>
                          <w:rPr>
                            <w:sz w:val="14"/>
                          </w:rPr>
                          <w:t>(13)</w:t>
                        </w:r>
                      </w:p>
                    </w:tc>
                    <w:tc>
                      <w:tcPr>
                        <w:tcW w:w="664" w:type="dxa"/>
                        <w:tcBorders>
                          <w:right w:val="nil"/>
                        </w:tcBorders>
                      </w:tcPr>
                      <w:p>
                        <w:pPr>
                          <w:pStyle w:val="TableParagraph"/>
                          <w:spacing w:before="39"/>
                          <w:ind w:right="177"/>
                          <w:jc w:val="right"/>
                          <w:rPr>
                            <w:sz w:val="14"/>
                          </w:rPr>
                        </w:pPr>
                        <w:r>
                          <w:rPr>
                            <w:sz w:val="14"/>
                          </w:rPr>
                          <w:t>86</w:t>
                        </w:r>
                      </w:p>
                    </w:tc>
                    <w:tc>
                      <w:tcPr>
                        <w:tcW w:w="510" w:type="dxa"/>
                        <w:tcBorders>
                          <w:left w:val="nil"/>
                          <w:right w:val="nil"/>
                        </w:tcBorders>
                      </w:tcPr>
                      <w:p>
                        <w:pPr>
                          <w:pStyle w:val="TableParagraph"/>
                          <w:spacing w:before="39"/>
                          <w:ind w:left="109" w:right="110"/>
                          <w:jc w:val="center"/>
                          <w:rPr>
                            <w:sz w:val="14"/>
                          </w:rPr>
                        </w:pPr>
                        <w:r>
                          <w:rPr>
                            <w:sz w:val="14"/>
                          </w:rPr>
                          <w:t>86</w:t>
                        </w:r>
                      </w:p>
                    </w:tc>
                    <w:tc>
                      <w:tcPr>
                        <w:tcW w:w="556" w:type="dxa"/>
                        <w:tcBorders>
                          <w:left w:val="nil"/>
                          <w:right w:val="nil"/>
                        </w:tcBorders>
                      </w:tcPr>
                      <w:p>
                        <w:pPr>
                          <w:pStyle w:val="TableParagraph"/>
                          <w:spacing w:before="39"/>
                          <w:ind w:left="156" w:right="110"/>
                          <w:jc w:val="center"/>
                          <w:rPr>
                            <w:sz w:val="14"/>
                          </w:rPr>
                        </w:pPr>
                        <w:r>
                          <w:rPr>
                            <w:sz w:val="14"/>
                          </w:rPr>
                          <w:t>(86)</w:t>
                        </w:r>
                      </w:p>
                    </w:tc>
                    <w:tc>
                      <w:tcPr>
                        <w:tcW w:w="402" w:type="dxa"/>
                        <w:tcBorders>
                          <w:left w:val="nil"/>
                        </w:tcBorders>
                      </w:tcPr>
                      <w:p>
                        <w:pPr>
                          <w:pStyle w:val="TableParagraph"/>
                          <w:spacing w:before="39"/>
                          <w:ind w:right="21"/>
                          <w:jc w:val="right"/>
                          <w:rPr>
                            <w:sz w:val="14"/>
                          </w:rPr>
                        </w:pPr>
                        <w:r>
                          <w:rPr>
                            <w:sz w:val="14"/>
                          </w:rPr>
                          <w:t>(86)</w:t>
                        </w:r>
                      </w:p>
                    </w:tc>
                    <w:tc>
                      <w:tcPr>
                        <w:tcW w:w="545" w:type="dxa"/>
                        <w:tcBorders>
                          <w:right w:val="nil"/>
                        </w:tcBorders>
                      </w:tcPr>
                      <w:p>
                        <w:pPr>
                          <w:pStyle w:val="TableParagraph"/>
                          <w:spacing w:before="39"/>
                          <w:ind w:right="56"/>
                          <w:jc w:val="right"/>
                          <w:rPr>
                            <w:sz w:val="14"/>
                          </w:rPr>
                        </w:pPr>
                        <w:r>
                          <w:rPr>
                            <w:w w:val="99"/>
                            <w:sz w:val="14"/>
                          </w:rPr>
                          <w:t>-</w:t>
                        </w:r>
                      </w:p>
                    </w:tc>
                    <w:tc>
                      <w:tcPr>
                        <w:tcW w:w="728" w:type="dxa"/>
                        <w:tcBorders>
                          <w:left w:val="nil"/>
                          <w:right w:val="nil"/>
                        </w:tcBorders>
                      </w:tcPr>
                      <w:p>
                        <w:pPr>
                          <w:pStyle w:val="TableParagraph"/>
                          <w:spacing w:before="39"/>
                          <w:ind w:right="231"/>
                          <w:jc w:val="right"/>
                          <w:rPr>
                            <w:sz w:val="14"/>
                          </w:rPr>
                        </w:pPr>
                        <w:r>
                          <w:rPr>
                            <w:w w:val="95"/>
                            <w:sz w:val="14"/>
                          </w:rPr>
                          <w:t>(8,747)</w:t>
                        </w:r>
                      </w:p>
                    </w:tc>
                    <w:tc>
                      <w:tcPr>
                        <w:tcW w:w="360" w:type="dxa"/>
                        <w:tcBorders>
                          <w:left w:val="nil"/>
                          <w:right w:val="nil"/>
                        </w:tcBorders>
                      </w:tcPr>
                      <w:p>
                        <w:pPr>
                          <w:pStyle w:val="TableParagraph"/>
                          <w:spacing w:before="39"/>
                          <w:ind w:right="79"/>
                          <w:jc w:val="right"/>
                          <w:rPr>
                            <w:sz w:val="14"/>
                          </w:rPr>
                        </w:pPr>
                        <w:r>
                          <w:rPr>
                            <w:w w:val="99"/>
                            <w:sz w:val="14"/>
                          </w:rPr>
                          <w:t>-</w:t>
                        </w:r>
                      </w:p>
                    </w:tc>
                    <w:tc>
                      <w:tcPr>
                        <w:tcW w:w="488" w:type="dxa"/>
                        <w:tcBorders>
                          <w:left w:val="nil"/>
                        </w:tcBorders>
                      </w:tcPr>
                      <w:p>
                        <w:pPr>
                          <w:pStyle w:val="TableParagraph"/>
                          <w:spacing w:before="39"/>
                          <w:ind w:right="57"/>
                          <w:jc w:val="right"/>
                          <w:rPr>
                            <w:sz w:val="14"/>
                          </w:rPr>
                        </w:pPr>
                        <w:r>
                          <w:rPr>
                            <w:sz w:val="14"/>
                          </w:rPr>
                          <w:t>8,747</w:t>
                        </w:r>
                      </w:p>
                    </w:tc>
                  </w:tr>
                </w:tbl>
                <w:p>
                  <w:pPr>
                    <w:pStyle w:val="BodyText"/>
                  </w:pPr>
                </w:p>
              </w:txbxContent>
            </v:textbox>
            <w10:wrap type="none"/>
          </v:shape>
        </w:pict>
      </w:r>
      <w:r>
        <w:rPr>
          <w:b/>
          <w:sz w:val="14"/>
        </w:rPr>
        <w:t>31 December 2016</w:t>
      </w:r>
    </w:p>
    <w:p>
      <w:pPr>
        <w:pStyle w:val="BodyText"/>
        <w:rPr>
          <w:b/>
          <w:sz w:val="20"/>
        </w:rPr>
      </w:pPr>
    </w:p>
    <w:p>
      <w:pPr>
        <w:pStyle w:val="BodyText"/>
        <w:rPr>
          <w:b/>
          <w:sz w:val="20"/>
        </w:rPr>
      </w:pPr>
    </w:p>
    <w:p>
      <w:pPr>
        <w:pStyle w:val="BodyText"/>
        <w:rPr>
          <w:b/>
          <w:sz w:val="20"/>
        </w:rPr>
      </w:pPr>
    </w:p>
    <w:p>
      <w:pPr>
        <w:pStyle w:val="BodyText"/>
        <w:spacing w:before="9"/>
        <w:rPr>
          <w:b/>
          <w:sz w:val="17"/>
        </w:rPr>
      </w:pPr>
    </w:p>
    <w:p>
      <w:pPr>
        <w:spacing w:before="0"/>
        <w:ind w:left="537" w:right="220" w:firstLine="0"/>
        <w:jc w:val="left"/>
        <w:rPr>
          <w:b/>
          <w:sz w:val="14"/>
        </w:rPr>
      </w:pPr>
      <w:r>
        <w:rPr>
          <w:b/>
          <w:sz w:val="14"/>
        </w:rPr>
        <w:t>Financial assets</w:t>
      </w:r>
    </w:p>
    <w:p>
      <w:pPr>
        <w:spacing w:line="326" w:lineRule="auto" w:before="31"/>
        <w:ind w:left="537" w:right="7587" w:firstLine="0"/>
        <w:jc w:val="left"/>
        <w:rPr>
          <w:sz w:val="14"/>
        </w:rPr>
      </w:pPr>
      <w:r>
        <w:rPr>
          <w:sz w:val="14"/>
        </w:rPr>
        <w:t>Cash and cash equivalents Receivables</w:t>
      </w:r>
    </w:p>
    <w:p>
      <w:pPr>
        <w:spacing w:before="0"/>
        <w:ind w:left="537" w:right="7830" w:firstLine="0"/>
        <w:jc w:val="left"/>
        <w:rPr>
          <w:sz w:val="14"/>
        </w:rPr>
      </w:pPr>
      <w:r>
        <w:rPr>
          <w:sz w:val="14"/>
        </w:rPr>
        <w:t>Financial assets - available- for-sale</w:t>
      </w:r>
    </w:p>
    <w:p>
      <w:pPr>
        <w:spacing w:before="57"/>
        <w:ind w:left="537" w:right="7587" w:firstLine="0"/>
        <w:jc w:val="left"/>
        <w:rPr>
          <w:sz w:val="14"/>
        </w:rPr>
      </w:pPr>
      <w:r>
        <w:rPr>
          <w:sz w:val="14"/>
        </w:rPr>
        <w:t>Financial assets - Held to maturity</w:t>
      </w:r>
    </w:p>
    <w:p>
      <w:pPr>
        <w:pStyle w:val="BodyText"/>
        <w:spacing w:before="3"/>
        <w:rPr>
          <w:sz w:val="12"/>
        </w:rPr>
      </w:pPr>
    </w:p>
    <w:p>
      <w:pPr>
        <w:spacing w:line="304" w:lineRule="auto" w:before="0"/>
        <w:ind w:left="537" w:right="7982" w:firstLine="0"/>
        <w:jc w:val="left"/>
        <w:rPr>
          <w:sz w:val="14"/>
        </w:rPr>
      </w:pPr>
      <w:r>
        <w:rPr>
          <w:b/>
          <w:sz w:val="14"/>
        </w:rPr>
        <w:t>Financial liabilities </w:t>
      </w:r>
      <w:r>
        <w:rPr>
          <w:sz w:val="14"/>
        </w:rPr>
        <w:t>Trade and other payables Borrowings</w:t>
      </w:r>
    </w:p>
    <w:p>
      <w:pPr>
        <w:spacing w:before="15"/>
        <w:ind w:left="537" w:right="220" w:firstLine="0"/>
        <w:jc w:val="left"/>
        <w:rPr>
          <w:sz w:val="14"/>
        </w:rPr>
      </w:pPr>
      <w:r>
        <w:rPr>
          <w:sz w:val="14"/>
        </w:rPr>
        <w:t>Other liabilities</w:t>
      </w:r>
    </w:p>
    <w:p>
      <w:pPr>
        <w:spacing w:before="76"/>
        <w:ind w:left="537" w:right="220" w:firstLine="0"/>
        <w:jc w:val="left"/>
        <w:rPr>
          <w:sz w:val="14"/>
        </w:rPr>
      </w:pPr>
      <w:r>
        <w:rPr>
          <w:w w:val="95"/>
          <w:sz w:val="14"/>
        </w:rPr>
        <w:t>Total  increase/(decrease)</w:t>
      </w:r>
    </w:p>
    <w:p>
      <w:pPr>
        <w:spacing w:after="0"/>
        <w:jc w:val="left"/>
        <w:rPr>
          <w:sz w:val="14"/>
        </w:rPr>
        <w:sectPr>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pStyle w:val="Heading9"/>
        <w:tabs>
          <w:tab w:pos="1070" w:val="left" w:leader="none"/>
        </w:tabs>
        <w:ind w:left="504" w:right="220"/>
      </w:pPr>
      <w:bookmarkStart w:name="(c) Credit risk" w:id="144"/>
      <w:bookmarkEnd w:id="144"/>
      <w:r>
        <w:rPr>
          <w:b w:val="0"/>
        </w:rPr>
      </w:r>
      <w:r>
        <w:rPr/>
        <w:t>35</w:t>
        <w:tab/>
        <w:t>Financial Risk Management</w:t>
      </w:r>
      <w:r>
        <w:rPr>
          <w:spacing w:val="3"/>
        </w:rPr>
        <w:t> </w:t>
      </w:r>
      <w:r>
        <w:rPr/>
        <w:t>(continued)</w:t>
      </w:r>
    </w:p>
    <w:p>
      <w:pPr>
        <w:pStyle w:val="BodyText"/>
        <w:spacing w:before="7"/>
        <w:rPr>
          <w:b/>
          <w:sz w:val="26"/>
        </w:rPr>
      </w:pPr>
    </w:p>
    <w:p>
      <w:pPr>
        <w:pStyle w:val="ListParagraph"/>
        <w:numPr>
          <w:ilvl w:val="0"/>
          <w:numId w:val="37"/>
        </w:numPr>
        <w:tabs>
          <w:tab w:pos="1071" w:val="left" w:leader="none"/>
        </w:tabs>
        <w:spacing w:line="240" w:lineRule="auto" w:before="0" w:after="0"/>
        <w:ind w:left="1070" w:right="0" w:hanging="566"/>
        <w:jc w:val="left"/>
        <w:rPr>
          <w:sz w:val="18"/>
        </w:rPr>
      </w:pPr>
      <w:r>
        <w:rPr>
          <w:sz w:val="18"/>
        </w:rPr>
        <w:t>Credit</w:t>
      </w:r>
      <w:r>
        <w:rPr>
          <w:spacing w:val="-1"/>
          <w:sz w:val="18"/>
        </w:rPr>
        <w:t> </w:t>
      </w:r>
      <w:r>
        <w:rPr>
          <w:sz w:val="18"/>
        </w:rPr>
        <w:t>risk</w:t>
      </w:r>
    </w:p>
    <w:p>
      <w:pPr>
        <w:pStyle w:val="BodyText"/>
        <w:spacing w:before="4"/>
        <w:rPr>
          <w:sz w:val="25"/>
        </w:rPr>
      </w:pPr>
    </w:p>
    <w:p>
      <w:pPr>
        <w:pStyle w:val="BodyText"/>
        <w:ind w:left="1070" w:right="130"/>
      </w:pPr>
      <w:r>
        <w:rPr/>
        <w:t>Credit risk is the risk of financial loss to the Group if a customer or counterparty to a financial instrument fails to meet its contractual obligations and arises primarily from receivables from customers and investment securities.</w:t>
      </w:r>
    </w:p>
    <w:p>
      <w:pPr>
        <w:pStyle w:val="BodyText"/>
        <w:spacing w:before="11"/>
        <w:rPr>
          <w:sz w:val="24"/>
        </w:rPr>
      </w:pPr>
    </w:p>
    <w:p>
      <w:pPr>
        <w:spacing w:before="0"/>
        <w:ind w:left="1070" w:right="220" w:firstLine="0"/>
        <w:jc w:val="left"/>
        <w:rPr>
          <w:i/>
          <w:sz w:val="18"/>
        </w:rPr>
      </w:pPr>
      <w:r>
        <w:rPr>
          <w:i/>
          <w:sz w:val="18"/>
        </w:rPr>
        <w:t>Receivables</w:t>
      </w:r>
    </w:p>
    <w:p>
      <w:pPr>
        <w:pStyle w:val="BodyText"/>
        <w:spacing w:before="11"/>
        <w:rPr>
          <w:i/>
          <w:sz w:val="24"/>
        </w:rPr>
      </w:pPr>
    </w:p>
    <w:p>
      <w:pPr>
        <w:pStyle w:val="BodyText"/>
        <w:ind w:left="1072" w:right="220" w:hanging="3"/>
      </w:pPr>
      <w:r>
        <w:rPr/>
        <w:t>The Group’s exposure to credit risk is influenced mainly by the individual characteristics of each customer. Receivables are mainly attributable to sales transactions with a single customer. Apart from the Government deferred debtor, the Group does not have any material risk exposure to any other single debtor or group of debtors.</w:t>
      </w:r>
    </w:p>
    <w:p>
      <w:pPr>
        <w:pStyle w:val="BodyText"/>
        <w:spacing w:before="11"/>
        <w:rPr>
          <w:sz w:val="24"/>
        </w:rPr>
      </w:pPr>
    </w:p>
    <w:p>
      <w:pPr>
        <w:spacing w:before="0"/>
        <w:ind w:left="1070" w:right="220" w:firstLine="0"/>
        <w:jc w:val="left"/>
        <w:rPr>
          <w:i/>
          <w:sz w:val="18"/>
        </w:rPr>
      </w:pPr>
      <w:r>
        <w:rPr>
          <w:i/>
          <w:sz w:val="18"/>
        </w:rPr>
        <w:t>Investments</w:t>
      </w:r>
    </w:p>
    <w:p>
      <w:pPr>
        <w:pStyle w:val="BodyText"/>
        <w:spacing w:before="11"/>
        <w:rPr>
          <w:i/>
          <w:sz w:val="24"/>
        </w:rPr>
      </w:pPr>
    </w:p>
    <w:p>
      <w:pPr>
        <w:pStyle w:val="BodyText"/>
        <w:ind w:left="1072" w:right="164" w:hanging="3"/>
      </w:pPr>
      <w:r>
        <w:rPr/>
        <w:t>The Group limits its exposure to credit risk through its Credit Risk Policy which establishes eligible counterparties with credit limits based upon counterparty credit ratings and accessible shareholder funds. An </w:t>
      </w:r>
      <w:bookmarkStart w:name="(d) Liquidity risk" w:id="145"/>
      <w:bookmarkEnd w:id="145"/>
      <w:r>
        <w:rPr/>
      </w:r>
      <w:r>
        <w:rPr/>
        <w:t>eligible counterparty must be rated from Standard and Poors or Moodys at a minimum level equivalent to BBB+ (Standard and Poors long term) or Baa1(Moodys long term), and has accessible shareholder funds of at least</w:t>
      </w:r>
    </w:p>
    <w:p>
      <w:pPr>
        <w:pStyle w:val="BodyText"/>
        <w:ind w:left="1072" w:right="220"/>
      </w:pPr>
      <w:r>
        <w:rPr/>
        <w:t>$100M. Given these high credit ratings, management does not expect any counterparty to fail to meet its obligations. Fund managers are closely monitored to ensure adherence to the Credit Risk Policy.</w:t>
      </w:r>
    </w:p>
    <w:p>
      <w:pPr>
        <w:pStyle w:val="BodyText"/>
      </w:pPr>
    </w:p>
    <w:p>
      <w:pPr>
        <w:pStyle w:val="BodyText"/>
      </w:pPr>
    </w:p>
    <w:p>
      <w:pPr>
        <w:pStyle w:val="ListParagraph"/>
        <w:numPr>
          <w:ilvl w:val="0"/>
          <w:numId w:val="37"/>
        </w:numPr>
        <w:tabs>
          <w:tab w:pos="1071" w:val="left" w:leader="none"/>
        </w:tabs>
        <w:spacing w:line="240" w:lineRule="auto" w:before="123" w:after="0"/>
        <w:ind w:left="1070" w:right="0" w:hanging="566"/>
        <w:jc w:val="left"/>
        <w:rPr>
          <w:sz w:val="18"/>
        </w:rPr>
      </w:pPr>
      <w:r>
        <w:rPr>
          <w:sz w:val="18"/>
        </w:rPr>
        <w:t>Liquidity risk</w:t>
      </w:r>
    </w:p>
    <w:p>
      <w:pPr>
        <w:pStyle w:val="BodyText"/>
        <w:spacing w:before="4"/>
        <w:rPr>
          <w:sz w:val="25"/>
        </w:rPr>
      </w:pPr>
    </w:p>
    <w:p>
      <w:pPr>
        <w:pStyle w:val="BodyText"/>
        <w:ind w:left="1072" w:right="220" w:hanging="3"/>
      </w:pPr>
      <w:r>
        <w:rPr/>
        <w:t>Liquidity risk is the risk that the Group will not be able to meet its financial obligations as they fall due. The Group’s approach to managing liquidity is to ensure, as far as possible, that it will have sufficient liquidity to meet its liabilities when due under both normal and stressed conditions, without incurring unacceptable losses or reputational risk.</w:t>
      </w:r>
    </w:p>
    <w:p>
      <w:pPr>
        <w:pStyle w:val="BodyText"/>
        <w:spacing w:before="11"/>
        <w:rPr>
          <w:sz w:val="24"/>
        </w:rPr>
      </w:pPr>
    </w:p>
    <w:p>
      <w:pPr>
        <w:pStyle w:val="BodyText"/>
        <w:ind w:left="1072" w:right="220" w:hanging="3"/>
      </w:pPr>
      <w:r>
        <w:rPr/>
        <w:t>The Group reviews its immediate and short term cash requirements on a daily basis with a three year rolling cash flow forecast regularly provided to management.</w:t>
      </w:r>
    </w:p>
    <w:p>
      <w:pPr>
        <w:spacing w:after="0"/>
        <w:sectPr>
          <w:pgSz w:w="11910" w:h="16840"/>
          <w:pgMar w:header="1037" w:footer="507" w:top="2220" w:bottom="700" w:left="900" w:right="880"/>
        </w:sectPr>
      </w:pPr>
    </w:p>
    <w:p>
      <w:pPr>
        <w:pStyle w:val="Heading6"/>
        <w:spacing w:before="44"/>
        <w:ind w:left="107"/>
      </w:pPr>
      <w:r>
        <w:rPr/>
        <w:t>Western Sydney University</w:t>
      </w:r>
    </w:p>
    <w:p>
      <w:pPr>
        <w:pStyle w:val="BodyText"/>
        <w:spacing w:before="5"/>
        <w:rPr>
          <w:b/>
          <w:sz w:val="29"/>
        </w:rPr>
      </w:pPr>
    </w:p>
    <w:p>
      <w:pPr>
        <w:spacing w:before="0"/>
        <w:ind w:left="107" w:right="0" w:firstLine="0"/>
        <w:jc w:val="left"/>
        <w:rPr>
          <w:b/>
          <w:sz w:val="28"/>
        </w:rPr>
      </w:pPr>
      <w:r>
        <w:rPr>
          <w:b/>
          <w:sz w:val="28"/>
        </w:rPr>
        <w:t>Notes to the Financial Statements</w:t>
      </w:r>
    </w:p>
    <w:p>
      <w:pPr>
        <w:spacing w:before="53"/>
        <w:ind w:left="107" w:right="0" w:firstLine="0"/>
        <w:jc w:val="left"/>
        <w:rPr>
          <w:b/>
          <w:sz w:val="22"/>
        </w:rPr>
      </w:pPr>
      <w:r>
        <w:rPr>
          <w:b/>
          <w:sz w:val="22"/>
        </w:rPr>
        <w:t>For the Year Ended 31 December 2017</w:t>
      </w:r>
    </w:p>
    <w:p>
      <w:pPr>
        <w:pStyle w:val="BodyText"/>
        <w:rPr>
          <w:b/>
          <w:sz w:val="22"/>
        </w:rPr>
      </w:pPr>
    </w:p>
    <w:p>
      <w:pPr>
        <w:pStyle w:val="BodyText"/>
        <w:rPr>
          <w:b/>
          <w:sz w:val="22"/>
        </w:rPr>
      </w:pPr>
    </w:p>
    <w:p>
      <w:pPr>
        <w:pStyle w:val="Heading9"/>
        <w:tabs>
          <w:tab w:pos="1070" w:val="left" w:leader="none"/>
        </w:tabs>
        <w:spacing w:before="161"/>
        <w:ind w:left="504"/>
      </w:pPr>
      <w:r>
        <w:rPr/>
        <w:t>35</w:t>
        <w:tab/>
        <w:t>Financial Risk Management</w:t>
      </w:r>
      <w:r>
        <w:rPr>
          <w:spacing w:val="3"/>
        </w:rPr>
        <w:t> </w:t>
      </w:r>
      <w:r>
        <w:rPr/>
        <w:t>(continued)</w:t>
      </w:r>
    </w:p>
    <w:p>
      <w:pPr>
        <w:pStyle w:val="BodyText"/>
        <w:spacing w:before="7"/>
        <w:rPr>
          <w:b/>
          <w:sz w:val="26"/>
        </w:rPr>
      </w:pPr>
    </w:p>
    <w:p>
      <w:pPr>
        <w:pStyle w:val="ListParagraph"/>
        <w:numPr>
          <w:ilvl w:val="0"/>
          <w:numId w:val="38"/>
        </w:numPr>
        <w:tabs>
          <w:tab w:pos="1071" w:val="left" w:leader="none"/>
        </w:tabs>
        <w:spacing w:line="240" w:lineRule="auto" w:before="0" w:after="0"/>
        <w:ind w:left="1070" w:right="0" w:hanging="566"/>
        <w:jc w:val="left"/>
        <w:rPr>
          <w:sz w:val="18"/>
        </w:rPr>
      </w:pPr>
      <w:r>
        <w:rPr>
          <w:sz w:val="18"/>
        </w:rPr>
        <w:t>Liquidity risk</w:t>
      </w:r>
      <w:r>
        <w:rPr>
          <w:spacing w:val="1"/>
          <w:sz w:val="18"/>
        </w:rPr>
        <w:t> </w:t>
      </w:r>
      <w:r>
        <w:rPr>
          <w:sz w:val="18"/>
        </w:rPr>
        <w:t>(continued)</w:t>
      </w:r>
    </w:p>
    <w:p>
      <w:pPr>
        <w:pStyle w:val="BodyText"/>
        <w:spacing w:before="4"/>
        <w:rPr>
          <w:sz w:val="25"/>
        </w:rPr>
      </w:pPr>
    </w:p>
    <w:p>
      <w:pPr>
        <w:pStyle w:val="BodyText"/>
        <w:ind w:left="1070"/>
      </w:pPr>
      <w:r>
        <w:rPr/>
        <w:t>The following table summarises the maturity of the Group’s financial assets and financial liabilities:</w:t>
      </w:r>
    </w:p>
    <w:p>
      <w:pPr>
        <w:pStyle w:val="BodyText"/>
        <w:spacing w:before="1"/>
        <w:rPr>
          <w:sz w:val="21"/>
        </w:rPr>
      </w:pPr>
    </w:p>
    <w:p>
      <w:pPr>
        <w:spacing w:before="1"/>
        <w:ind w:left="3302" w:right="0" w:firstLine="0"/>
        <w:jc w:val="left"/>
        <w:rPr>
          <w:b/>
          <w:sz w:val="14"/>
        </w:rPr>
      </w:pPr>
      <w:r>
        <w:rPr>
          <w:b/>
          <w:sz w:val="14"/>
        </w:rPr>
        <w:t>Average Interest</w:t>
      </w:r>
    </w:p>
    <w:p>
      <w:pPr>
        <w:tabs>
          <w:tab w:pos="4627" w:val="left" w:leader="none"/>
          <w:tab w:pos="6643" w:val="left" w:leader="none"/>
          <w:tab w:pos="8491" w:val="left" w:leader="none"/>
          <w:tab w:pos="10307" w:val="left" w:leader="none"/>
          <w:tab w:pos="11937" w:val="left" w:leader="none"/>
          <w:tab w:pos="13934" w:val="left" w:leader="none"/>
        </w:tabs>
        <w:spacing w:before="0" w:after="37"/>
        <w:ind w:left="3715" w:right="0" w:firstLine="0"/>
        <w:jc w:val="left"/>
        <w:rPr>
          <w:b/>
          <w:sz w:val="14"/>
        </w:rPr>
      </w:pPr>
      <w:r>
        <w:rPr>
          <w:b/>
          <w:sz w:val="14"/>
        </w:rPr>
        <w:t>rate</w:t>
        <w:tab/>
        <w:t>Variable</w:t>
      </w:r>
      <w:r>
        <w:rPr>
          <w:b/>
          <w:spacing w:val="-7"/>
          <w:sz w:val="14"/>
        </w:rPr>
        <w:t> </w:t>
      </w:r>
      <w:r>
        <w:rPr>
          <w:b/>
          <w:sz w:val="14"/>
        </w:rPr>
        <w:t>interest</w:t>
      </w:r>
      <w:r>
        <w:rPr>
          <w:b/>
          <w:spacing w:val="-7"/>
          <w:sz w:val="14"/>
        </w:rPr>
        <w:t> </w:t>
      </w:r>
      <w:r>
        <w:rPr>
          <w:b/>
          <w:sz w:val="14"/>
        </w:rPr>
        <w:t>rate</w:t>
        <w:tab/>
        <w:t>Within</w:t>
      </w:r>
      <w:r>
        <w:rPr>
          <w:b/>
          <w:spacing w:val="-7"/>
          <w:sz w:val="14"/>
        </w:rPr>
        <w:t> </w:t>
      </w:r>
      <w:r>
        <w:rPr>
          <w:b/>
          <w:sz w:val="14"/>
        </w:rPr>
        <w:t>1</w:t>
      </w:r>
      <w:r>
        <w:rPr>
          <w:b/>
          <w:spacing w:val="-7"/>
          <w:sz w:val="14"/>
        </w:rPr>
        <w:t> </w:t>
      </w:r>
      <w:r>
        <w:rPr>
          <w:b/>
          <w:sz w:val="14"/>
        </w:rPr>
        <w:t>year</w:t>
        <w:tab/>
        <w:t>1 -</w:t>
      </w:r>
      <w:r>
        <w:rPr>
          <w:b/>
          <w:spacing w:val="-9"/>
          <w:sz w:val="14"/>
        </w:rPr>
        <w:t> </w:t>
      </w:r>
      <w:r>
        <w:rPr>
          <w:b/>
          <w:sz w:val="14"/>
        </w:rPr>
        <w:t>5</w:t>
      </w:r>
      <w:r>
        <w:rPr>
          <w:b/>
          <w:spacing w:val="-5"/>
          <w:sz w:val="14"/>
        </w:rPr>
        <w:t> </w:t>
      </w:r>
      <w:r>
        <w:rPr>
          <w:b/>
          <w:sz w:val="14"/>
        </w:rPr>
        <w:t>years</w:t>
        <w:tab/>
        <w:t>5+</w:t>
      </w:r>
      <w:r>
        <w:rPr>
          <w:b/>
          <w:spacing w:val="-6"/>
          <w:sz w:val="14"/>
        </w:rPr>
        <w:t> </w:t>
      </w:r>
      <w:r>
        <w:rPr>
          <w:b/>
          <w:sz w:val="14"/>
        </w:rPr>
        <w:t>years</w:t>
        <w:tab/>
        <w:t>Non</w:t>
      </w:r>
      <w:r>
        <w:rPr>
          <w:b/>
          <w:spacing w:val="-7"/>
          <w:sz w:val="14"/>
        </w:rPr>
        <w:t> </w:t>
      </w:r>
      <w:r>
        <w:rPr>
          <w:b/>
          <w:sz w:val="14"/>
        </w:rPr>
        <w:t>Interest</w:t>
        <w:tab/>
        <w:t>Total</w:t>
      </w:r>
    </w:p>
    <w:tbl>
      <w:tblPr>
        <w:tblW w:w="0" w:type="auto"/>
        <w:jc w:val="left"/>
        <w:tblInd w:w="10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69"/>
        <w:gridCol w:w="645"/>
        <w:gridCol w:w="641"/>
        <w:gridCol w:w="890"/>
        <w:gridCol w:w="869"/>
        <w:gridCol w:w="889"/>
        <w:gridCol w:w="890"/>
        <w:gridCol w:w="889"/>
        <w:gridCol w:w="868"/>
        <w:gridCol w:w="867"/>
        <w:gridCol w:w="868"/>
        <w:gridCol w:w="902"/>
        <w:gridCol w:w="877"/>
        <w:gridCol w:w="880"/>
        <w:gridCol w:w="748"/>
      </w:tblGrid>
      <w:tr>
        <w:trPr>
          <w:trHeight w:val="500" w:hRule="exact"/>
        </w:trPr>
        <w:tc>
          <w:tcPr>
            <w:tcW w:w="2169" w:type="dxa"/>
          </w:tcPr>
          <w:p>
            <w:pPr/>
          </w:p>
        </w:tc>
        <w:tc>
          <w:tcPr>
            <w:tcW w:w="645" w:type="dxa"/>
          </w:tcPr>
          <w:p>
            <w:pPr>
              <w:pStyle w:val="TableParagraph"/>
              <w:spacing w:before="30"/>
              <w:ind w:left="135" w:right="158"/>
              <w:jc w:val="center"/>
              <w:rPr>
                <w:b/>
                <w:sz w:val="14"/>
              </w:rPr>
            </w:pPr>
            <w:r>
              <w:rPr>
                <w:b/>
                <w:sz w:val="14"/>
              </w:rPr>
              <w:t>2017</w:t>
            </w:r>
          </w:p>
          <w:p>
            <w:pPr>
              <w:pStyle w:val="TableParagraph"/>
              <w:spacing w:before="67"/>
              <w:ind w:right="19"/>
              <w:jc w:val="center"/>
              <w:rPr>
                <w:b/>
                <w:sz w:val="14"/>
              </w:rPr>
            </w:pPr>
            <w:r>
              <w:rPr>
                <w:b/>
                <w:w w:val="99"/>
                <w:sz w:val="14"/>
              </w:rPr>
              <w:t>%</w:t>
            </w:r>
          </w:p>
        </w:tc>
        <w:tc>
          <w:tcPr>
            <w:tcW w:w="641" w:type="dxa"/>
          </w:tcPr>
          <w:p>
            <w:pPr>
              <w:pStyle w:val="TableParagraph"/>
              <w:spacing w:before="30"/>
              <w:ind w:left="101"/>
              <w:rPr>
                <w:b/>
                <w:sz w:val="14"/>
              </w:rPr>
            </w:pPr>
            <w:r>
              <w:rPr>
                <w:b/>
                <w:sz w:val="14"/>
              </w:rPr>
              <w:t>2016</w:t>
            </w:r>
          </w:p>
          <w:p>
            <w:pPr>
              <w:pStyle w:val="TableParagraph"/>
              <w:spacing w:before="67"/>
              <w:ind w:left="195"/>
              <w:rPr>
                <w:b/>
                <w:sz w:val="14"/>
              </w:rPr>
            </w:pPr>
            <w:r>
              <w:rPr>
                <w:b/>
                <w:w w:val="99"/>
                <w:sz w:val="14"/>
              </w:rPr>
              <w:t>%</w:t>
            </w:r>
          </w:p>
        </w:tc>
        <w:tc>
          <w:tcPr>
            <w:tcW w:w="890" w:type="dxa"/>
          </w:tcPr>
          <w:p>
            <w:pPr>
              <w:pStyle w:val="TableParagraph"/>
              <w:spacing w:before="30"/>
              <w:ind w:left="192"/>
              <w:rPr>
                <w:b/>
                <w:sz w:val="14"/>
              </w:rPr>
            </w:pPr>
            <w:r>
              <w:rPr>
                <w:b/>
                <w:sz w:val="14"/>
              </w:rPr>
              <w:t>2017</w:t>
            </w:r>
          </w:p>
          <w:p>
            <w:pPr>
              <w:pStyle w:val="TableParagraph"/>
              <w:spacing w:before="67"/>
              <w:ind w:left="176"/>
              <w:rPr>
                <w:b/>
                <w:sz w:val="14"/>
              </w:rPr>
            </w:pPr>
            <w:r>
              <w:rPr>
                <w:b/>
                <w:sz w:val="14"/>
              </w:rPr>
              <w:t>$'000</w:t>
            </w:r>
          </w:p>
        </w:tc>
        <w:tc>
          <w:tcPr>
            <w:tcW w:w="869" w:type="dxa"/>
          </w:tcPr>
          <w:p>
            <w:pPr>
              <w:pStyle w:val="TableParagraph"/>
              <w:spacing w:before="30"/>
              <w:ind w:left="183"/>
              <w:rPr>
                <w:b/>
                <w:sz w:val="14"/>
              </w:rPr>
            </w:pPr>
            <w:r>
              <w:rPr>
                <w:b/>
                <w:sz w:val="14"/>
              </w:rPr>
              <w:t>2016</w:t>
            </w:r>
          </w:p>
          <w:p>
            <w:pPr>
              <w:pStyle w:val="TableParagraph"/>
              <w:spacing w:before="67"/>
              <w:ind w:left="166"/>
              <w:rPr>
                <w:b/>
                <w:sz w:val="14"/>
              </w:rPr>
            </w:pPr>
            <w:r>
              <w:rPr>
                <w:b/>
                <w:sz w:val="14"/>
              </w:rPr>
              <w:t>$'000</w:t>
            </w:r>
          </w:p>
        </w:tc>
        <w:tc>
          <w:tcPr>
            <w:tcW w:w="889" w:type="dxa"/>
          </w:tcPr>
          <w:p>
            <w:pPr>
              <w:pStyle w:val="TableParagraph"/>
              <w:spacing w:before="30"/>
              <w:ind w:left="192"/>
              <w:rPr>
                <w:b/>
                <w:sz w:val="14"/>
              </w:rPr>
            </w:pPr>
            <w:r>
              <w:rPr>
                <w:b/>
                <w:sz w:val="14"/>
              </w:rPr>
              <w:t>2017</w:t>
            </w:r>
          </w:p>
          <w:p>
            <w:pPr>
              <w:pStyle w:val="TableParagraph"/>
              <w:spacing w:before="67"/>
              <w:ind w:left="176"/>
              <w:rPr>
                <w:b/>
                <w:sz w:val="14"/>
              </w:rPr>
            </w:pPr>
            <w:r>
              <w:rPr>
                <w:b/>
                <w:sz w:val="14"/>
              </w:rPr>
              <w:t>$'000</w:t>
            </w:r>
          </w:p>
        </w:tc>
        <w:tc>
          <w:tcPr>
            <w:tcW w:w="890" w:type="dxa"/>
          </w:tcPr>
          <w:p>
            <w:pPr>
              <w:pStyle w:val="TableParagraph"/>
              <w:spacing w:before="30"/>
              <w:ind w:left="182"/>
              <w:rPr>
                <w:b/>
                <w:sz w:val="14"/>
              </w:rPr>
            </w:pPr>
            <w:r>
              <w:rPr>
                <w:b/>
                <w:sz w:val="14"/>
              </w:rPr>
              <w:t>2016</w:t>
            </w:r>
          </w:p>
          <w:p>
            <w:pPr>
              <w:pStyle w:val="TableParagraph"/>
              <w:spacing w:before="67"/>
              <w:ind w:left="165"/>
              <w:rPr>
                <w:b/>
                <w:sz w:val="14"/>
              </w:rPr>
            </w:pPr>
            <w:r>
              <w:rPr>
                <w:b/>
                <w:sz w:val="14"/>
              </w:rPr>
              <w:t>$'000</w:t>
            </w:r>
          </w:p>
        </w:tc>
        <w:tc>
          <w:tcPr>
            <w:tcW w:w="889" w:type="dxa"/>
          </w:tcPr>
          <w:p>
            <w:pPr>
              <w:pStyle w:val="TableParagraph"/>
              <w:spacing w:before="30"/>
              <w:ind w:left="170"/>
              <w:rPr>
                <w:b/>
                <w:sz w:val="14"/>
              </w:rPr>
            </w:pPr>
            <w:r>
              <w:rPr>
                <w:b/>
                <w:sz w:val="14"/>
              </w:rPr>
              <w:t>2017</w:t>
            </w:r>
          </w:p>
          <w:p>
            <w:pPr>
              <w:pStyle w:val="TableParagraph"/>
              <w:spacing w:before="67"/>
              <w:ind w:left="153"/>
              <w:rPr>
                <w:b/>
                <w:sz w:val="14"/>
              </w:rPr>
            </w:pPr>
            <w:r>
              <w:rPr>
                <w:b/>
                <w:sz w:val="14"/>
              </w:rPr>
              <w:t>$'000</w:t>
            </w:r>
          </w:p>
        </w:tc>
        <w:tc>
          <w:tcPr>
            <w:tcW w:w="868" w:type="dxa"/>
          </w:tcPr>
          <w:p>
            <w:pPr>
              <w:pStyle w:val="TableParagraph"/>
              <w:spacing w:before="30"/>
              <w:ind w:left="159"/>
              <w:rPr>
                <w:b/>
                <w:sz w:val="14"/>
              </w:rPr>
            </w:pPr>
            <w:r>
              <w:rPr>
                <w:b/>
                <w:sz w:val="14"/>
              </w:rPr>
              <w:t>2016</w:t>
            </w:r>
          </w:p>
          <w:p>
            <w:pPr>
              <w:pStyle w:val="TableParagraph"/>
              <w:spacing w:before="67"/>
              <w:ind w:left="142"/>
              <w:rPr>
                <w:b/>
                <w:sz w:val="14"/>
              </w:rPr>
            </w:pPr>
            <w:r>
              <w:rPr>
                <w:b/>
                <w:sz w:val="14"/>
              </w:rPr>
              <w:t>$'000</w:t>
            </w:r>
          </w:p>
        </w:tc>
        <w:tc>
          <w:tcPr>
            <w:tcW w:w="867" w:type="dxa"/>
          </w:tcPr>
          <w:p>
            <w:pPr>
              <w:pStyle w:val="TableParagraph"/>
              <w:spacing w:before="30"/>
              <w:ind w:left="170"/>
              <w:rPr>
                <w:b/>
                <w:sz w:val="14"/>
              </w:rPr>
            </w:pPr>
            <w:r>
              <w:rPr>
                <w:b/>
                <w:sz w:val="14"/>
              </w:rPr>
              <w:t>2017</w:t>
            </w:r>
          </w:p>
          <w:p>
            <w:pPr>
              <w:pStyle w:val="TableParagraph"/>
              <w:spacing w:before="67"/>
              <w:ind w:left="153"/>
              <w:rPr>
                <w:b/>
                <w:sz w:val="14"/>
              </w:rPr>
            </w:pPr>
            <w:r>
              <w:rPr>
                <w:b/>
                <w:sz w:val="14"/>
              </w:rPr>
              <w:t>$'000</w:t>
            </w:r>
          </w:p>
        </w:tc>
        <w:tc>
          <w:tcPr>
            <w:tcW w:w="868" w:type="dxa"/>
          </w:tcPr>
          <w:p>
            <w:pPr>
              <w:pStyle w:val="TableParagraph"/>
              <w:spacing w:before="30"/>
              <w:ind w:left="182"/>
              <w:rPr>
                <w:b/>
                <w:sz w:val="14"/>
              </w:rPr>
            </w:pPr>
            <w:r>
              <w:rPr>
                <w:b/>
                <w:sz w:val="14"/>
              </w:rPr>
              <w:t>2016</w:t>
            </w:r>
          </w:p>
          <w:p>
            <w:pPr>
              <w:pStyle w:val="TableParagraph"/>
              <w:spacing w:before="67"/>
              <w:ind w:left="165"/>
              <w:rPr>
                <w:b/>
                <w:sz w:val="14"/>
              </w:rPr>
            </w:pPr>
            <w:r>
              <w:rPr>
                <w:b/>
                <w:sz w:val="14"/>
              </w:rPr>
              <w:t>$'000</w:t>
            </w:r>
          </w:p>
        </w:tc>
        <w:tc>
          <w:tcPr>
            <w:tcW w:w="902" w:type="dxa"/>
          </w:tcPr>
          <w:p>
            <w:pPr>
              <w:pStyle w:val="TableParagraph"/>
              <w:spacing w:before="30"/>
              <w:ind w:left="192"/>
              <w:rPr>
                <w:b/>
                <w:sz w:val="14"/>
              </w:rPr>
            </w:pPr>
            <w:r>
              <w:rPr>
                <w:b/>
                <w:sz w:val="14"/>
              </w:rPr>
              <w:t>2017</w:t>
            </w:r>
          </w:p>
          <w:p>
            <w:pPr>
              <w:pStyle w:val="TableParagraph"/>
              <w:spacing w:before="67"/>
              <w:ind w:left="176"/>
              <w:rPr>
                <w:b/>
                <w:sz w:val="14"/>
              </w:rPr>
            </w:pPr>
            <w:r>
              <w:rPr>
                <w:b/>
                <w:sz w:val="14"/>
              </w:rPr>
              <w:t>$'000</w:t>
            </w:r>
          </w:p>
        </w:tc>
        <w:tc>
          <w:tcPr>
            <w:tcW w:w="877" w:type="dxa"/>
          </w:tcPr>
          <w:p>
            <w:pPr>
              <w:pStyle w:val="TableParagraph"/>
              <w:spacing w:before="30"/>
              <w:ind w:left="169"/>
              <w:rPr>
                <w:b/>
                <w:sz w:val="14"/>
              </w:rPr>
            </w:pPr>
            <w:r>
              <w:rPr>
                <w:b/>
                <w:sz w:val="14"/>
              </w:rPr>
              <w:t>2016</w:t>
            </w:r>
          </w:p>
          <w:p>
            <w:pPr>
              <w:pStyle w:val="TableParagraph"/>
              <w:spacing w:before="67"/>
              <w:ind w:left="152"/>
              <w:rPr>
                <w:b/>
                <w:sz w:val="14"/>
              </w:rPr>
            </w:pPr>
            <w:r>
              <w:rPr>
                <w:b/>
                <w:sz w:val="14"/>
              </w:rPr>
              <w:t>$'000</w:t>
            </w:r>
          </w:p>
        </w:tc>
        <w:tc>
          <w:tcPr>
            <w:tcW w:w="880" w:type="dxa"/>
          </w:tcPr>
          <w:p>
            <w:pPr>
              <w:pStyle w:val="TableParagraph"/>
              <w:spacing w:before="30"/>
              <w:ind w:left="170"/>
              <w:rPr>
                <w:b/>
                <w:sz w:val="14"/>
              </w:rPr>
            </w:pPr>
            <w:r>
              <w:rPr>
                <w:b/>
                <w:sz w:val="14"/>
              </w:rPr>
              <w:t>2017</w:t>
            </w:r>
          </w:p>
          <w:p>
            <w:pPr>
              <w:pStyle w:val="TableParagraph"/>
              <w:spacing w:before="67"/>
              <w:ind w:left="153"/>
              <w:rPr>
                <w:b/>
                <w:sz w:val="14"/>
              </w:rPr>
            </w:pPr>
            <w:r>
              <w:rPr>
                <w:b/>
                <w:sz w:val="14"/>
              </w:rPr>
              <w:t>$'000</w:t>
            </w:r>
          </w:p>
        </w:tc>
        <w:tc>
          <w:tcPr>
            <w:tcW w:w="748" w:type="dxa"/>
          </w:tcPr>
          <w:p>
            <w:pPr>
              <w:pStyle w:val="TableParagraph"/>
              <w:spacing w:before="30"/>
              <w:ind w:left="169"/>
              <w:rPr>
                <w:b/>
                <w:sz w:val="14"/>
              </w:rPr>
            </w:pPr>
            <w:r>
              <w:rPr>
                <w:b/>
                <w:sz w:val="14"/>
              </w:rPr>
              <w:t>2016</w:t>
            </w:r>
          </w:p>
          <w:p>
            <w:pPr>
              <w:pStyle w:val="TableParagraph"/>
              <w:spacing w:before="67"/>
              <w:ind w:left="152"/>
              <w:rPr>
                <w:b/>
                <w:sz w:val="14"/>
              </w:rPr>
            </w:pPr>
            <w:r>
              <w:rPr>
                <w:b/>
                <w:sz w:val="14"/>
              </w:rPr>
              <w:t>$'000</w:t>
            </w:r>
          </w:p>
        </w:tc>
      </w:tr>
      <w:tr>
        <w:trPr>
          <w:trHeight w:val="248" w:hRule="exact"/>
        </w:trPr>
        <w:tc>
          <w:tcPr>
            <w:tcW w:w="2169" w:type="dxa"/>
          </w:tcPr>
          <w:p>
            <w:pPr>
              <w:pStyle w:val="TableParagraph"/>
              <w:spacing w:before="65"/>
              <w:ind w:left="35"/>
              <w:rPr>
                <w:b/>
                <w:sz w:val="14"/>
              </w:rPr>
            </w:pPr>
            <w:r>
              <w:rPr>
                <w:b/>
                <w:sz w:val="14"/>
              </w:rPr>
              <w:t>Financial Assets:</w:t>
            </w:r>
          </w:p>
        </w:tc>
        <w:tc>
          <w:tcPr>
            <w:tcW w:w="645" w:type="dxa"/>
          </w:tcPr>
          <w:p>
            <w:pPr/>
          </w:p>
        </w:tc>
        <w:tc>
          <w:tcPr>
            <w:tcW w:w="641" w:type="dxa"/>
          </w:tcPr>
          <w:p>
            <w:pPr/>
          </w:p>
        </w:tc>
        <w:tc>
          <w:tcPr>
            <w:tcW w:w="890" w:type="dxa"/>
          </w:tcPr>
          <w:p>
            <w:pPr/>
          </w:p>
        </w:tc>
        <w:tc>
          <w:tcPr>
            <w:tcW w:w="869" w:type="dxa"/>
          </w:tcPr>
          <w:p>
            <w:pPr/>
          </w:p>
        </w:tc>
        <w:tc>
          <w:tcPr>
            <w:tcW w:w="889" w:type="dxa"/>
          </w:tcPr>
          <w:p>
            <w:pPr/>
          </w:p>
        </w:tc>
        <w:tc>
          <w:tcPr>
            <w:tcW w:w="890" w:type="dxa"/>
          </w:tcPr>
          <w:p>
            <w:pPr/>
          </w:p>
        </w:tc>
        <w:tc>
          <w:tcPr>
            <w:tcW w:w="889" w:type="dxa"/>
          </w:tcPr>
          <w:p>
            <w:pPr/>
          </w:p>
        </w:tc>
        <w:tc>
          <w:tcPr>
            <w:tcW w:w="868" w:type="dxa"/>
          </w:tcPr>
          <w:p>
            <w:pPr/>
          </w:p>
        </w:tc>
        <w:tc>
          <w:tcPr>
            <w:tcW w:w="867" w:type="dxa"/>
          </w:tcPr>
          <w:p>
            <w:pPr/>
          </w:p>
        </w:tc>
        <w:tc>
          <w:tcPr>
            <w:tcW w:w="868" w:type="dxa"/>
          </w:tcPr>
          <w:p>
            <w:pPr/>
          </w:p>
        </w:tc>
        <w:tc>
          <w:tcPr>
            <w:tcW w:w="902" w:type="dxa"/>
          </w:tcPr>
          <w:p>
            <w:pPr/>
          </w:p>
        </w:tc>
        <w:tc>
          <w:tcPr>
            <w:tcW w:w="877" w:type="dxa"/>
          </w:tcPr>
          <w:p>
            <w:pPr/>
          </w:p>
        </w:tc>
        <w:tc>
          <w:tcPr>
            <w:tcW w:w="880" w:type="dxa"/>
          </w:tcPr>
          <w:p>
            <w:pPr/>
          </w:p>
        </w:tc>
        <w:tc>
          <w:tcPr>
            <w:tcW w:w="748" w:type="dxa"/>
          </w:tcPr>
          <w:p>
            <w:pPr/>
          </w:p>
        </w:tc>
      </w:tr>
      <w:tr>
        <w:trPr>
          <w:trHeight w:val="204" w:hRule="exact"/>
        </w:trPr>
        <w:tc>
          <w:tcPr>
            <w:tcW w:w="2813" w:type="dxa"/>
            <w:gridSpan w:val="2"/>
          </w:tcPr>
          <w:p>
            <w:pPr>
              <w:pStyle w:val="TableParagraph"/>
              <w:tabs>
                <w:tab w:pos="2711" w:val="right" w:leader="none"/>
              </w:tabs>
              <w:spacing w:before="6"/>
              <w:ind w:left="35"/>
              <w:rPr>
                <w:b/>
                <w:sz w:val="14"/>
              </w:rPr>
            </w:pPr>
            <w:r>
              <w:rPr>
                <w:sz w:val="14"/>
              </w:rPr>
              <w:t>Cash and</w:t>
            </w:r>
            <w:r>
              <w:rPr>
                <w:spacing w:val="-5"/>
                <w:sz w:val="14"/>
              </w:rPr>
              <w:t> </w:t>
            </w:r>
            <w:r>
              <w:rPr>
                <w:sz w:val="14"/>
              </w:rPr>
              <w:t>cash</w:t>
            </w:r>
            <w:r>
              <w:rPr>
                <w:spacing w:val="-3"/>
                <w:sz w:val="14"/>
              </w:rPr>
              <w:t> </w:t>
            </w:r>
            <w:r>
              <w:rPr>
                <w:sz w:val="14"/>
              </w:rPr>
              <w:t>equivalents</w:t>
            </w:r>
            <w:r>
              <w:rPr>
                <w:rFonts w:ascii="Times New Roman"/>
                <w:sz w:val="14"/>
              </w:rPr>
              <w:tab/>
            </w:r>
            <w:r>
              <w:rPr>
                <w:b/>
                <w:sz w:val="14"/>
              </w:rPr>
              <w:t>2.39</w:t>
            </w:r>
          </w:p>
        </w:tc>
        <w:tc>
          <w:tcPr>
            <w:tcW w:w="641" w:type="dxa"/>
          </w:tcPr>
          <w:p>
            <w:pPr>
              <w:pStyle w:val="TableParagraph"/>
              <w:spacing w:before="6"/>
              <w:ind w:right="174"/>
              <w:jc w:val="right"/>
              <w:rPr>
                <w:sz w:val="14"/>
              </w:rPr>
            </w:pPr>
            <w:r>
              <w:rPr>
                <w:sz w:val="14"/>
              </w:rPr>
              <w:t>2.73</w:t>
            </w:r>
          </w:p>
        </w:tc>
        <w:tc>
          <w:tcPr>
            <w:tcW w:w="890" w:type="dxa"/>
          </w:tcPr>
          <w:p>
            <w:pPr>
              <w:pStyle w:val="TableParagraph"/>
              <w:spacing w:before="6"/>
              <w:ind w:right="165"/>
              <w:jc w:val="right"/>
              <w:rPr>
                <w:b/>
                <w:sz w:val="14"/>
              </w:rPr>
            </w:pPr>
            <w:r>
              <w:rPr>
                <w:b/>
                <w:w w:val="95"/>
                <w:sz w:val="14"/>
              </w:rPr>
              <w:t>124,030</w:t>
            </w:r>
          </w:p>
        </w:tc>
        <w:tc>
          <w:tcPr>
            <w:tcW w:w="869" w:type="dxa"/>
          </w:tcPr>
          <w:p>
            <w:pPr>
              <w:pStyle w:val="TableParagraph"/>
              <w:spacing w:before="6"/>
              <w:ind w:right="174"/>
              <w:jc w:val="right"/>
              <w:rPr>
                <w:sz w:val="14"/>
              </w:rPr>
            </w:pPr>
            <w:r>
              <w:rPr>
                <w:w w:val="95"/>
                <w:sz w:val="14"/>
              </w:rPr>
              <w:t>51,125</w:t>
            </w:r>
          </w:p>
        </w:tc>
        <w:tc>
          <w:tcPr>
            <w:tcW w:w="889" w:type="dxa"/>
          </w:tcPr>
          <w:p>
            <w:pPr>
              <w:pStyle w:val="TableParagraph"/>
              <w:spacing w:before="6"/>
              <w:ind w:right="163"/>
              <w:jc w:val="right"/>
              <w:rPr>
                <w:b/>
                <w:sz w:val="14"/>
              </w:rPr>
            </w:pPr>
            <w:r>
              <w:rPr>
                <w:b/>
                <w:w w:val="95"/>
                <w:sz w:val="14"/>
              </w:rPr>
              <w:t>97,718</w:t>
            </w:r>
          </w:p>
        </w:tc>
        <w:tc>
          <w:tcPr>
            <w:tcW w:w="890" w:type="dxa"/>
          </w:tcPr>
          <w:p>
            <w:pPr>
              <w:pStyle w:val="TableParagraph"/>
              <w:spacing w:before="6"/>
              <w:ind w:right="197"/>
              <w:jc w:val="right"/>
              <w:rPr>
                <w:sz w:val="14"/>
              </w:rPr>
            </w:pPr>
            <w:r>
              <w:rPr>
                <w:w w:val="95"/>
                <w:sz w:val="14"/>
              </w:rPr>
              <w:t>88,100</w:t>
            </w:r>
          </w:p>
        </w:tc>
        <w:tc>
          <w:tcPr>
            <w:tcW w:w="889" w:type="dxa"/>
          </w:tcPr>
          <w:p>
            <w:pPr>
              <w:pStyle w:val="TableParagraph"/>
              <w:spacing w:before="6"/>
              <w:ind w:right="185"/>
              <w:jc w:val="right"/>
              <w:rPr>
                <w:b/>
                <w:sz w:val="14"/>
              </w:rPr>
            </w:pPr>
            <w:r>
              <w:rPr>
                <w:b/>
                <w:w w:val="99"/>
                <w:sz w:val="14"/>
              </w:rPr>
              <w:t>-</w:t>
            </w:r>
          </w:p>
        </w:tc>
        <w:tc>
          <w:tcPr>
            <w:tcW w:w="868" w:type="dxa"/>
          </w:tcPr>
          <w:p>
            <w:pPr>
              <w:pStyle w:val="TableParagraph"/>
              <w:spacing w:before="6"/>
              <w:ind w:right="196"/>
              <w:jc w:val="right"/>
              <w:rPr>
                <w:sz w:val="14"/>
              </w:rPr>
            </w:pPr>
            <w:r>
              <w:rPr>
                <w:w w:val="99"/>
                <w:sz w:val="14"/>
              </w:rPr>
              <w:t>-</w:t>
            </w:r>
          </w:p>
        </w:tc>
        <w:tc>
          <w:tcPr>
            <w:tcW w:w="867" w:type="dxa"/>
          </w:tcPr>
          <w:p>
            <w:pPr>
              <w:pStyle w:val="TableParagraph"/>
              <w:spacing w:before="6"/>
              <w:ind w:right="163"/>
              <w:jc w:val="right"/>
              <w:rPr>
                <w:b/>
                <w:sz w:val="14"/>
              </w:rPr>
            </w:pPr>
            <w:r>
              <w:rPr>
                <w:b/>
                <w:w w:val="99"/>
                <w:sz w:val="14"/>
              </w:rPr>
              <w:t>-</w:t>
            </w:r>
          </w:p>
        </w:tc>
        <w:tc>
          <w:tcPr>
            <w:tcW w:w="868" w:type="dxa"/>
          </w:tcPr>
          <w:p>
            <w:pPr>
              <w:pStyle w:val="TableParagraph"/>
              <w:spacing w:before="6"/>
              <w:ind w:right="174"/>
              <w:jc w:val="right"/>
              <w:rPr>
                <w:sz w:val="14"/>
              </w:rPr>
            </w:pPr>
            <w:r>
              <w:rPr>
                <w:w w:val="99"/>
                <w:sz w:val="14"/>
              </w:rPr>
              <w:t>-</w:t>
            </w:r>
          </w:p>
        </w:tc>
        <w:tc>
          <w:tcPr>
            <w:tcW w:w="902" w:type="dxa"/>
          </w:tcPr>
          <w:p>
            <w:pPr>
              <w:pStyle w:val="TableParagraph"/>
              <w:spacing w:before="6"/>
              <w:ind w:right="176"/>
              <w:jc w:val="right"/>
              <w:rPr>
                <w:b/>
                <w:sz w:val="14"/>
              </w:rPr>
            </w:pPr>
            <w:r>
              <w:rPr>
                <w:b/>
                <w:w w:val="99"/>
                <w:sz w:val="14"/>
              </w:rPr>
              <w:t>-</w:t>
            </w:r>
          </w:p>
        </w:tc>
        <w:tc>
          <w:tcPr>
            <w:tcW w:w="877" w:type="dxa"/>
          </w:tcPr>
          <w:p>
            <w:pPr>
              <w:pStyle w:val="TableParagraph"/>
              <w:spacing w:before="6"/>
              <w:ind w:right="196"/>
              <w:jc w:val="right"/>
              <w:rPr>
                <w:sz w:val="14"/>
              </w:rPr>
            </w:pPr>
            <w:r>
              <w:rPr>
                <w:w w:val="99"/>
                <w:sz w:val="14"/>
              </w:rPr>
              <w:t>-</w:t>
            </w:r>
          </w:p>
        </w:tc>
        <w:tc>
          <w:tcPr>
            <w:tcW w:w="880" w:type="dxa"/>
          </w:tcPr>
          <w:p>
            <w:pPr>
              <w:pStyle w:val="TableParagraph"/>
              <w:spacing w:before="6"/>
              <w:ind w:left="131" w:right="109"/>
              <w:jc w:val="center"/>
              <w:rPr>
                <w:b/>
                <w:sz w:val="14"/>
              </w:rPr>
            </w:pPr>
            <w:r>
              <w:rPr>
                <w:b/>
                <w:sz w:val="14"/>
              </w:rPr>
              <w:t>221,748</w:t>
            </w:r>
          </w:p>
        </w:tc>
        <w:tc>
          <w:tcPr>
            <w:tcW w:w="748" w:type="dxa"/>
          </w:tcPr>
          <w:p>
            <w:pPr>
              <w:pStyle w:val="TableParagraph"/>
              <w:spacing w:before="6"/>
              <w:ind w:right="67"/>
              <w:jc w:val="right"/>
              <w:rPr>
                <w:sz w:val="14"/>
              </w:rPr>
            </w:pPr>
            <w:r>
              <w:rPr>
                <w:w w:val="95"/>
                <w:sz w:val="14"/>
              </w:rPr>
              <w:t>139,225</w:t>
            </w:r>
          </w:p>
        </w:tc>
      </w:tr>
      <w:tr>
        <w:trPr>
          <w:trHeight w:val="433" w:hRule="exact"/>
        </w:trPr>
        <w:tc>
          <w:tcPr>
            <w:tcW w:w="2813" w:type="dxa"/>
            <w:gridSpan w:val="2"/>
          </w:tcPr>
          <w:p>
            <w:pPr>
              <w:pStyle w:val="TableParagraph"/>
              <w:tabs>
                <w:tab w:pos="2665" w:val="left" w:leader="none"/>
              </w:tabs>
              <w:spacing w:before="21"/>
              <w:ind w:left="35"/>
              <w:rPr>
                <w:b/>
                <w:sz w:val="14"/>
              </w:rPr>
            </w:pPr>
            <w:r>
              <w:rPr>
                <w:sz w:val="14"/>
              </w:rPr>
              <w:t>Receivables</w:t>
            </w:r>
            <w:r>
              <w:rPr>
                <w:spacing w:val="-7"/>
                <w:sz w:val="14"/>
              </w:rPr>
              <w:t> </w:t>
            </w:r>
            <w:r>
              <w:rPr>
                <w:sz w:val="14"/>
              </w:rPr>
              <w:t>(a)</w:t>
              <w:tab/>
            </w:r>
            <w:r>
              <w:rPr>
                <w:b/>
                <w:sz w:val="14"/>
              </w:rPr>
              <w:t>-</w:t>
            </w:r>
          </w:p>
          <w:p>
            <w:pPr>
              <w:pStyle w:val="TableParagraph"/>
              <w:spacing w:before="3"/>
              <w:rPr>
                <w:b/>
                <w:sz w:val="12"/>
              </w:rPr>
            </w:pPr>
          </w:p>
          <w:p>
            <w:pPr>
              <w:pStyle w:val="TableParagraph"/>
              <w:spacing w:line="150" w:lineRule="exact"/>
              <w:ind w:left="35"/>
              <w:rPr>
                <w:sz w:val="14"/>
              </w:rPr>
            </w:pPr>
            <w:r>
              <w:rPr>
                <w:sz w:val="14"/>
              </w:rPr>
              <w:t>Other Financial Assets:</w:t>
            </w:r>
          </w:p>
        </w:tc>
        <w:tc>
          <w:tcPr>
            <w:tcW w:w="641" w:type="dxa"/>
          </w:tcPr>
          <w:p>
            <w:pPr>
              <w:pStyle w:val="TableParagraph"/>
              <w:spacing w:before="21"/>
              <w:ind w:right="174"/>
              <w:jc w:val="right"/>
              <w:rPr>
                <w:sz w:val="14"/>
              </w:rPr>
            </w:pPr>
            <w:r>
              <w:rPr>
                <w:w w:val="99"/>
                <w:sz w:val="14"/>
              </w:rPr>
              <w:t>-</w:t>
            </w:r>
          </w:p>
        </w:tc>
        <w:tc>
          <w:tcPr>
            <w:tcW w:w="890" w:type="dxa"/>
          </w:tcPr>
          <w:p>
            <w:pPr>
              <w:pStyle w:val="TableParagraph"/>
              <w:spacing w:before="21"/>
              <w:ind w:right="164"/>
              <w:jc w:val="right"/>
              <w:rPr>
                <w:b/>
                <w:sz w:val="14"/>
              </w:rPr>
            </w:pPr>
            <w:r>
              <w:rPr>
                <w:b/>
                <w:w w:val="99"/>
                <w:sz w:val="14"/>
              </w:rPr>
              <w:t>-</w:t>
            </w:r>
          </w:p>
        </w:tc>
        <w:tc>
          <w:tcPr>
            <w:tcW w:w="869" w:type="dxa"/>
          </w:tcPr>
          <w:p>
            <w:pPr>
              <w:pStyle w:val="TableParagraph"/>
              <w:spacing w:before="21"/>
              <w:ind w:right="174"/>
              <w:jc w:val="right"/>
              <w:rPr>
                <w:sz w:val="14"/>
              </w:rPr>
            </w:pPr>
            <w:r>
              <w:rPr>
                <w:w w:val="99"/>
                <w:sz w:val="14"/>
              </w:rPr>
              <w:t>-</w:t>
            </w:r>
          </w:p>
        </w:tc>
        <w:tc>
          <w:tcPr>
            <w:tcW w:w="889" w:type="dxa"/>
          </w:tcPr>
          <w:p>
            <w:pPr>
              <w:pStyle w:val="TableParagraph"/>
              <w:spacing w:before="21"/>
              <w:ind w:right="163"/>
              <w:jc w:val="right"/>
              <w:rPr>
                <w:b/>
                <w:sz w:val="14"/>
              </w:rPr>
            </w:pPr>
            <w:r>
              <w:rPr>
                <w:b/>
                <w:w w:val="99"/>
                <w:sz w:val="14"/>
              </w:rPr>
              <w:t>-</w:t>
            </w:r>
          </w:p>
        </w:tc>
        <w:tc>
          <w:tcPr>
            <w:tcW w:w="890" w:type="dxa"/>
          </w:tcPr>
          <w:p>
            <w:pPr>
              <w:pStyle w:val="TableParagraph"/>
              <w:spacing w:before="21"/>
              <w:ind w:right="196"/>
              <w:jc w:val="right"/>
              <w:rPr>
                <w:sz w:val="14"/>
              </w:rPr>
            </w:pPr>
            <w:r>
              <w:rPr>
                <w:w w:val="99"/>
                <w:sz w:val="14"/>
              </w:rPr>
              <w:t>-</w:t>
            </w:r>
          </w:p>
        </w:tc>
        <w:tc>
          <w:tcPr>
            <w:tcW w:w="889" w:type="dxa"/>
          </w:tcPr>
          <w:p>
            <w:pPr>
              <w:pStyle w:val="TableParagraph"/>
              <w:spacing w:before="21"/>
              <w:ind w:right="185"/>
              <w:jc w:val="right"/>
              <w:rPr>
                <w:b/>
                <w:sz w:val="14"/>
              </w:rPr>
            </w:pPr>
            <w:r>
              <w:rPr>
                <w:b/>
                <w:w w:val="99"/>
                <w:sz w:val="14"/>
              </w:rPr>
              <w:t>-</w:t>
            </w:r>
          </w:p>
        </w:tc>
        <w:tc>
          <w:tcPr>
            <w:tcW w:w="868" w:type="dxa"/>
          </w:tcPr>
          <w:p>
            <w:pPr>
              <w:pStyle w:val="TableParagraph"/>
              <w:spacing w:before="21"/>
              <w:ind w:right="196"/>
              <w:jc w:val="right"/>
              <w:rPr>
                <w:sz w:val="14"/>
              </w:rPr>
            </w:pPr>
            <w:r>
              <w:rPr>
                <w:w w:val="99"/>
                <w:sz w:val="14"/>
              </w:rPr>
              <w:t>-</w:t>
            </w:r>
          </w:p>
        </w:tc>
        <w:tc>
          <w:tcPr>
            <w:tcW w:w="867" w:type="dxa"/>
          </w:tcPr>
          <w:p>
            <w:pPr>
              <w:pStyle w:val="TableParagraph"/>
              <w:spacing w:before="21"/>
              <w:ind w:right="163"/>
              <w:jc w:val="right"/>
              <w:rPr>
                <w:b/>
                <w:sz w:val="14"/>
              </w:rPr>
            </w:pPr>
            <w:r>
              <w:rPr>
                <w:b/>
                <w:w w:val="99"/>
                <w:sz w:val="14"/>
              </w:rPr>
              <w:t>-</w:t>
            </w:r>
          </w:p>
        </w:tc>
        <w:tc>
          <w:tcPr>
            <w:tcW w:w="868" w:type="dxa"/>
          </w:tcPr>
          <w:p>
            <w:pPr>
              <w:pStyle w:val="TableParagraph"/>
              <w:spacing w:before="21"/>
              <w:ind w:right="174"/>
              <w:jc w:val="right"/>
              <w:rPr>
                <w:sz w:val="14"/>
              </w:rPr>
            </w:pPr>
            <w:r>
              <w:rPr>
                <w:w w:val="99"/>
                <w:sz w:val="14"/>
              </w:rPr>
              <w:t>-</w:t>
            </w:r>
          </w:p>
        </w:tc>
        <w:tc>
          <w:tcPr>
            <w:tcW w:w="902" w:type="dxa"/>
          </w:tcPr>
          <w:p>
            <w:pPr>
              <w:pStyle w:val="TableParagraph"/>
              <w:spacing w:before="21"/>
              <w:ind w:right="176"/>
              <w:jc w:val="right"/>
              <w:rPr>
                <w:b/>
                <w:sz w:val="14"/>
              </w:rPr>
            </w:pPr>
            <w:r>
              <w:rPr>
                <w:b/>
                <w:w w:val="95"/>
                <w:sz w:val="14"/>
              </w:rPr>
              <w:t>92,286</w:t>
            </w:r>
          </w:p>
        </w:tc>
        <w:tc>
          <w:tcPr>
            <w:tcW w:w="877" w:type="dxa"/>
          </w:tcPr>
          <w:p>
            <w:pPr>
              <w:pStyle w:val="TableParagraph"/>
              <w:spacing w:before="21"/>
              <w:ind w:right="197"/>
              <w:jc w:val="right"/>
              <w:rPr>
                <w:sz w:val="14"/>
              </w:rPr>
            </w:pPr>
            <w:r>
              <w:rPr>
                <w:w w:val="95"/>
                <w:sz w:val="14"/>
              </w:rPr>
              <w:t>77,446</w:t>
            </w:r>
          </w:p>
        </w:tc>
        <w:tc>
          <w:tcPr>
            <w:tcW w:w="880" w:type="dxa"/>
          </w:tcPr>
          <w:p>
            <w:pPr>
              <w:pStyle w:val="TableParagraph"/>
              <w:spacing w:before="21"/>
              <w:ind w:left="131" w:right="32"/>
              <w:jc w:val="center"/>
              <w:rPr>
                <w:b/>
                <w:sz w:val="14"/>
              </w:rPr>
            </w:pPr>
            <w:r>
              <w:rPr>
                <w:b/>
                <w:sz w:val="14"/>
              </w:rPr>
              <w:t>92,286</w:t>
            </w:r>
          </w:p>
        </w:tc>
        <w:tc>
          <w:tcPr>
            <w:tcW w:w="748" w:type="dxa"/>
          </w:tcPr>
          <w:p>
            <w:pPr>
              <w:pStyle w:val="TableParagraph"/>
              <w:spacing w:before="21"/>
              <w:ind w:right="67"/>
              <w:jc w:val="right"/>
              <w:rPr>
                <w:sz w:val="14"/>
              </w:rPr>
            </w:pPr>
            <w:r>
              <w:rPr>
                <w:w w:val="95"/>
                <w:sz w:val="14"/>
              </w:rPr>
              <w:t>77,446</w:t>
            </w:r>
          </w:p>
        </w:tc>
      </w:tr>
      <w:tr>
        <w:trPr>
          <w:trHeight w:val="511" w:hRule="exact"/>
        </w:trPr>
        <w:tc>
          <w:tcPr>
            <w:tcW w:w="2813" w:type="dxa"/>
            <w:gridSpan w:val="2"/>
          </w:tcPr>
          <w:p>
            <w:pPr>
              <w:pStyle w:val="TableParagraph"/>
              <w:spacing w:before="77"/>
              <w:ind w:left="248"/>
              <w:rPr>
                <w:sz w:val="14"/>
              </w:rPr>
            </w:pPr>
            <w:r>
              <w:rPr>
                <w:sz w:val="14"/>
              </w:rPr>
              <w:t>Available-for-sale (Unlisted</w:t>
            </w:r>
          </w:p>
          <w:p>
            <w:pPr>
              <w:pStyle w:val="TableParagraph"/>
              <w:tabs>
                <w:tab w:pos="2665" w:val="left" w:leader="none"/>
              </w:tabs>
              <w:ind w:left="248"/>
              <w:rPr>
                <w:b/>
                <w:sz w:val="14"/>
              </w:rPr>
            </w:pPr>
            <w:r>
              <w:rPr>
                <w:sz w:val="14"/>
              </w:rPr>
              <w:t>securities)</w:t>
              <w:tab/>
            </w:r>
            <w:r>
              <w:rPr>
                <w:b/>
                <w:sz w:val="14"/>
              </w:rPr>
              <w:t>-</w:t>
            </w:r>
          </w:p>
        </w:tc>
        <w:tc>
          <w:tcPr>
            <w:tcW w:w="641" w:type="dxa"/>
          </w:tcPr>
          <w:p>
            <w:pPr>
              <w:pStyle w:val="TableParagraph"/>
              <w:spacing w:before="5"/>
              <w:rPr>
                <w:b/>
                <w:sz w:val="20"/>
              </w:rPr>
            </w:pPr>
          </w:p>
          <w:p>
            <w:pPr>
              <w:pStyle w:val="TableParagraph"/>
              <w:spacing w:before="1"/>
              <w:ind w:right="174"/>
              <w:jc w:val="right"/>
              <w:rPr>
                <w:sz w:val="14"/>
              </w:rPr>
            </w:pPr>
            <w:r>
              <w:rPr>
                <w:w w:val="99"/>
                <w:sz w:val="14"/>
              </w:rPr>
              <w:t>-</w:t>
            </w:r>
          </w:p>
        </w:tc>
        <w:tc>
          <w:tcPr>
            <w:tcW w:w="890" w:type="dxa"/>
          </w:tcPr>
          <w:p>
            <w:pPr>
              <w:pStyle w:val="TableParagraph"/>
              <w:spacing w:before="5"/>
              <w:rPr>
                <w:b/>
                <w:sz w:val="20"/>
              </w:rPr>
            </w:pPr>
          </w:p>
          <w:p>
            <w:pPr>
              <w:pStyle w:val="TableParagraph"/>
              <w:spacing w:before="1"/>
              <w:ind w:right="164"/>
              <w:jc w:val="right"/>
              <w:rPr>
                <w:b/>
                <w:sz w:val="14"/>
              </w:rPr>
            </w:pPr>
            <w:r>
              <w:rPr>
                <w:b/>
                <w:w w:val="99"/>
                <w:sz w:val="14"/>
              </w:rPr>
              <w:t>-</w:t>
            </w:r>
          </w:p>
        </w:tc>
        <w:tc>
          <w:tcPr>
            <w:tcW w:w="869" w:type="dxa"/>
          </w:tcPr>
          <w:p>
            <w:pPr>
              <w:pStyle w:val="TableParagraph"/>
              <w:spacing w:before="5"/>
              <w:rPr>
                <w:b/>
                <w:sz w:val="20"/>
              </w:rPr>
            </w:pPr>
          </w:p>
          <w:p>
            <w:pPr>
              <w:pStyle w:val="TableParagraph"/>
              <w:spacing w:before="1"/>
              <w:ind w:right="174"/>
              <w:jc w:val="right"/>
              <w:rPr>
                <w:sz w:val="14"/>
              </w:rPr>
            </w:pPr>
            <w:r>
              <w:rPr>
                <w:w w:val="99"/>
                <w:sz w:val="14"/>
              </w:rPr>
              <w:t>-</w:t>
            </w:r>
          </w:p>
        </w:tc>
        <w:tc>
          <w:tcPr>
            <w:tcW w:w="889" w:type="dxa"/>
          </w:tcPr>
          <w:p>
            <w:pPr>
              <w:pStyle w:val="TableParagraph"/>
              <w:spacing w:before="5"/>
              <w:rPr>
                <w:b/>
                <w:sz w:val="20"/>
              </w:rPr>
            </w:pPr>
          </w:p>
          <w:p>
            <w:pPr>
              <w:pStyle w:val="TableParagraph"/>
              <w:spacing w:before="1"/>
              <w:ind w:right="163"/>
              <w:jc w:val="right"/>
              <w:rPr>
                <w:b/>
                <w:sz w:val="14"/>
              </w:rPr>
            </w:pPr>
            <w:r>
              <w:rPr>
                <w:b/>
                <w:w w:val="99"/>
                <w:sz w:val="14"/>
              </w:rPr>
              <w:t>-</w:t>
            </w:r>
          </w:p>
        </w:tc>
        <w:tc>
          <w:tcPr>
            <w:tcW w:w="890" w:type="dxa"/>
          </w:tcPr>
          <w:p>
            <w:pPr>
              <w:pStyle w:val="TableParagraph"/>
              <w:spacing w:before="5"/>
              <w:rPr>
                <w:b/>
                <w:sz w:val="20"/>
              </w:rPr>
            </w:pPr>
          </w:p>
          <w:p>
            <w:pPr>
              <w:pStyle w:val="TableParagraph"/>
              <w:spacing w:before="1"/>
              <w:ind w:right="196"/>
              <w:jc w:val="right"/>
              <w:rPr>
                <w:sz w:val="14"/>
              </w:rPr>
            </w:pPr>
            <w:r>
              <w:rPr>
                <w:w w:val="99"/>
                <w:sz w:val="14"/>
              </w:rPr>
              <w:t>-</w:t>
            </w:r>
          </w:p>
        </w:tc>
        <w:tc>
          <w:tcPr>
            <w:tcW w:w="889" w:type="dxa"/>
          </w:tcPr>
          <w:p>
            <w:pPr>
              <w:pStyle w:val="TableParagraph"/>
              <w:spacing w:before="5"/>
              <w:rPr>
                <w:b/>
                <w:sz w:val="20"/>
              </w:rPr>
            </w:pPr>
          </w:p>
          <w:p>
            <w:pPr>
              <w:pStyle w:val="TableParagraph"/>
              <w:spacing w:before="1"/>
              <w:ind w:right="185"/>
              <w:jc w:val="right"/>
              <w:rPr>
                <w:b/>
                <w:sz w:val="14"/>
              </w:rPr>
            </w:pPr>
            <w:r>
              <w:rPr>
                <w:b/>
                <w:w w:val="99"/>
                <w:sz w:val="14"/>
              </w:rPr>
              <w:t>-</w:t>
            </w:r>
          </w:p>
        </w:tc>
        <w:tc>
          <w:tcPr>
            <w:tcW w:w="868" w:type="dxa"/>
          </w:tcPr>
          <w:p>
            <w:pPr>
              <w:pStyle w:val="TableParagraph"/>
              <w:spacing w:before="5"/>
              <w:rPr>
                <w:b/>
                <w:sz w:val="20"/>
              </w:rPr>
            </w:pPr>
          </w:p>
          <w:p>
            <w:pPr>
              <w:pStyle w:val="TableParagraph"/>
              <w:spacing w:before="1"/>
              <w:ind w:right="196"/>
              <w:jc w:val="right"/>
              <w:rPr>
                <w:sz w:val="14"/>
              </w:rPr>
            </w:pPr>
            <w:r>
              <w:rPr>
                <w:w w:val="99"/>
                <w:sz w:val="14"/>
              </w:rPr>
              <w:t>-</w:t>
            </w:r>
          </w:p>
        </w:tc>
        <w:tc>
          <w:tcPr>
            <w:tcW w:w="867" w:type="dxa"/>
          </w:tcPr>
          <w:p>
            <w:pPr>
              <w:pStyle w:val="TableParagraph"/>
              <w:spacing w:before="5"/>
              <w:rPr>
                <w:b/>
                <w:sz w:val="20"/>
              </w:rPr>
            </w:pPr>
          </w:p>
          <w:p>
            <w:pPr>
              <w:pStyle w:val="TableParagraph"/>
              <w:spacing w:before="1"/>
              <w:ind w:right="163"/>
              <w:jc w:val="right"/>
              <w:rPr>
                <w:b/>
                <w:sz w:val="14"/>
              </w:rPr>
            </w:pPr>
            <w:r>
              <w:rPr>
                <w:b/>
                <w:w w:val="99"/>
                <w:sz w:val="14"/>
              </w:rPr>
              <w:t>-</w:t>
            </w:r>
          </w:p>
        </w:tc>
        <w:tc>
          <w:tcPr>
            <w:tcW w:w="868" w:type="dxa"/>
          </w:tcPr>
          <w:p>
            <w:pPr>
              <w:pStyle w:val="TableParagraph"/>
              <w:spacing w:before="5"/>
              <w:rPr>
                <w:b/>
                <w:sz w:val="20"/>
              </w:rPr>
            </w:pPr>
          </w:p>
          <w:p>
            <w:pPr>
              <w:pStyle w:val="TableParagraph"/>
              <w:spacing w:before="1"/>
              <w:ind w:right="174"/>
              <w:jc w:val="right"/>
              <w:rPr>
                <w:sz w:val="14"/>
              </w:rPr>
            </w:pPr>
            <w:r>
              <w:rPr>
                <w:w w:val="99"/>
                <w:sz w:val="14"/>
              </w:rPr>
              <w:t>-</w:t>
            </w:r>
          </w:p>
        </w:tc>
        <w:tc>
          <w:tcPr>
            <w:tcW w:w="902" w:type="dxa"/>
          </w:tcPr>
          <w:p>
            <w:pPr>
              <w:pStyle w:val="TableParagraph"/>
              <w:spacing w:before="5"/>
              <w:rPr>
                <w:b/>
                <w:sz w:val="20"/>
              </w:rPr>
            </w:pPr>
          </w:p>
          <w:p>
            <w:pPr>
              <w:pStyle w:val="TableParagraph"/>
              <w:spacing w:before="1"/>
              <w:ind w:right="176"/>
              <w:jc w:val="right"/>
              <w:rPr>
                <w:b/>
                <w:sz w:val="14"/>
              </w:rPr>
            </w:pPr>
            <w:r>
              <w:rPr>
                <w:b/>
                <w:w w:val="95"/>
                <w:sz w:val="14"/>
              </w:rPr>
              <w:t>16,537</w:t>
            </w:r>
          </w:p>
        </w:tc>
        <w:tc>
          <w:tcPr>
            <w:tcW w:w="877" w:type="dxa"/>
          </w:tcPr>
          <w:p>
            <w:pPr>
              <w:pStyle w:val="TableParagraph"/>
              <w:spacing w:before="5"/>
              <w:rPr>
                <w:b/>
                <w:sz w:val="20"/>
              </w:rPr>
            </w:pPr>
          </w:p>
          <w:p>
            <w:pPr>
              <w:pStyle w:val="TableParagraph"/>
              <w:spacing w:before="1"/>
              <w:ind w:right="197"/>
              <w:jc w:val="right"/>
              <w:rPr>
                <w:sz w:val="14"/>
              </w:rPr>
            </w:pPr>
            <w:r>
              <w:rPr>
                <w:w w:val="95"/>
                <w:sz w:val="14"/>
              </w:rPr>
              <w:t>11,330</w:t>
            </w:r>
          </w:p>
        </w:tc>
        <w:tc>
          <w:tcPr>
            <w:tcW w:w="880" w:type="dxa"/>
          </w:tcPr>
          <w:p>
            <w:pPr>
              <w:pStyle w:val="TableParagraph"/>
              <w:spacing w:before="5"/>
              <w:rPr>
                <w:b/>
                <w:sz w:val="20"/>
              </w:rPr>
            </w:pPr>
          </w:p>
          <w:p>
            <w:pPr>
              <w:pStyle w:val="TableParagraph"/>
              <w:spacing w:before="1"/>
              <w:ind w:left="131" w:right="32"/>
              <w:jc w:val="center"/>
              <w:rPr>
                <w:b/>
                <w:sz w:val="14"/>
              </w:rPr>
            </w:pPr>
            <w:r>
              <w:rPr>
                <w:b/>
                <w:sz w:val="14"/>
              </w:rPr>
              <w:t>16,537</w:t>
            </w:r>
          </w:p>
        </w:tc>
        <w:tc>
          <w:tcPr>
            <w:tcW w:w="748" w:type="dxa"/>
          </w:tcPr>
          <w:p>
            <w:pPr>
              <w:pStyle w:val="TableParagraph"/>
              <w:spacing w:before="5"/>
              <w:rPr>
                <w:b/>
                <w:sz w:val="20"/>
              </w:rPr>
            </w:pPr>
          </w:p>
          <w:p>
            <w:pPr>
              <w:pStyle w:val="TableParagraph"/>
              <w:spacing w:before="1"/>
              <w:ind w:right="67"/>
              <w:jc w:val="right"/>
              <w:rPr>
                <w:sz w:val="14"/>
              </w:rPr>
            </w:pPr>
            <w:r>
              <w:rPr>
                <w:w w:val="95"/>
                <w:sz w:val="14"/>
              </w:rPr>
              <w:t>11,330</w:t>
            </w:r>
          </w:p>
        </w:tc>
      </w:tr>
      <w:tr>
        <w:trPr>
          <w:trHeight w:val="296" w:hRule="exact"/>
        </w:trPr>
        <w:tc>
          <w:tcPr>
            <w:tcW w:w="2813" w:type="dxa"/>
            <w:gridSpan w:val="2"/>
          </w:tcPr>
          <w:p>
            <w:pPr>
              <w:pStyle w:val="TableParagraph"/>
              <w:spacing w:line="102" w:lineRule="exact"/>
              <w:ind w:left="248"/>
              <w:rPr>
                <w:sz w:val="14"/>
              </w:rPr>
            </w:pPr>
            <w:r>
              <w:rPr>
                <w:w w:val="95"/>
                <w:sz w:val="14"/>
              </w:rPr>
              <w:t>Available-for-sale  (Listed</w:t>
            </w:r>
          </w:p>
          <w:p>
            <w:pPr>
              <w:pStyle w:val="TableParagraph"/>
              <w:tabs>
                <w:tab w:pos="2665" w:val="left" w:leader="none"/>
              </w:tabs>
              <w:ind w:left="248"/>
              <w:rPr>
                <w:b/>
                <w:sz w:val="14"/>
              </w:rPr>
            </w:pPr>
            <w:r>
              <w:rPr>
                <w:sz w:val="14"/>
              </w:rPr>
              <w:t>securities)</w:t>
              <w:tab/>
            </w:r>
            <w:r>
              <w:rPr>
                <w:b/>
                <w:sz w:val="14"/>
              </w:rPr>
              <w:t>-</w:t>
            </w:r>
          </w:p>
        </w:tc>
        <w:tc>
          <w:tcPr>
            <w:tcW w:w="641" w:type="dxa"/>
          </w:tcPr>
          <w:p>
            <w:pPr>
              <w:pStyle w:val="TableParagraph"/>
              <w:spacing w:before="99"/>
              <w:ind w:right="174"/>
              <w:jc w:val="right"/>
              <w:rPr>
                <w:sz w:val="14"/>
              </w:rPr>
            </w:pPr>
            <w:r>
              <w:rPr>
                <w:w w:val="99"/>
                <w:sz w:val="14"/>
              </w:rPr>
              <w:t>-</w:t>
            </w:r>
          </w:p>
        </w:tc>
        <w:tc>
          <w:tcPr>
            <w:tcW w:w="890" w:type="dxa"/>
          </w:tcPr>
          <w:p>
            <w:pPr>
              <w:pStyle w:val="TableParagraph"/>
              <w:spacing w:before="99"/>
              <w:ind w:right="164"/>
              <w:jc w:val="right"/>
              <w:rPr>
                <w:b/>
                <w:sz w:val="14"/>
              </w:rPr>
            </w:pPr>
            <w:r>
              <w:rPr>
                <w:b/>
                <w:w w:val="99"/>
                <w:sz w:val="14"/>
              </w:rPr>
              <w:t>-</w:t>
            </w:r>
          </w:p>
        </w:tc>
        <w:tc>
          <w:tcPr>
            <w:tcW w:w="869" w:type="dxa"/>
          </w:tcPr>
          <w:p>
            <w:pPr>
              <w:pStyle w:val="TableParagraph"/>
              <w:spacing w:before="99"/>
              <w:ind w:right="174"/>
              <w:jc w:val="right"/>
              <w:rPr>
                <w:sz w:val="14"/>
              </w:rPr>
            </w:pPr>
            <w:r>
              <w:rPr>
                <w:w w:val="99"/>
                <w:sz w:val="14"/>
              </w:rPr>
              <w:t>-</w:t>
            </w:r>
          </w:p>
        </w:tc>
        <w:tc>
          <w:tcPr>
            <w:tcW w:w="889" w:type="dxa"/>
          </w:tcPr>
          <w:p>
            <w:pPr>
              <w:pStyle w:val="TableParagraph"/>
              <w:spacing w:before="99"/>
              <w:ind w:right="163"/>
              <w:jc w:val="right"/>
              <w:rPr>
                <w:b/>
                <w:sz w:val="14"/>
              </w:rPr>
            </w:pPr>
            <w:r>
              <w:rPr>
                <w:b/>
                <w:w w:val="99"/>
                <w:sz w:val="14"/>
              </w:rPr>
              <w:t>-</w:t>
            </w:r>
          </w:p>
        </w:tc>
        <w:tc>
          <w:tcPr>
            <w:tcW w:w="890" w:type="dxa"/>
          </w:tcPr>
          <w:p>
            <w:pPr>
              <w:pStyle w:val="TableParagraph"/>
              <w:spacing w:before="99"/>
              <w:ind w:right="196"/>
              <w:jc w:val="right"/>
              <w:rPr>
                <w:sz w:val="14"/>
              </w:rPr>
            </w:pPr>
            <w:r>
              <w:rPr>
                <w:w w:val="99"/>
                <w:sz w:val="14"/>
              </w:rPr>
              <w:t>-</w:t>
            </w:r>
          </w:p>
        </w:tc>
        <w:tc>
          <w:tcPr>
            <w:tcW w:w="889" w:type="dxa"/>
          </w:tcPr>
          <w:p>
            <w:pPr>
              <w:pStyle w:val="TableParagraph"/>
              <w:spacing w:before="99"/>
              <w:ind w:right="185"/>
              <w:jc w:val="right"/>
              <w:rPr>
                <w:b/>
                <w:sz w:val="14"/>
              </w:rPr>
            </w:pPr>
            <w:r>
              <w:rPr>
                <w:b/>
                <w:w w:val="99"/>
                <w:sz w:val="14"/>
              </w:rPr>
              <w:t>-</w:t>
            </w:r>
          </w:p>
        </w:tc>
        <w:tc>
          <w:tcPr>
            <w:tcW w:w="868" w:type="dxa"/>
          </w:tcPr>
          <w:p>
            <w:pPr>
              <w:pStyle w:val="TableParagraph"/>
              <w:spacing w:before="99"/>
              <w:ind w:right="196"/>
              <w:jc w:val="right"/>
              <w:rPr>
                <w:sz w:val="14"/>
              </w:rPr>
            </w:pPr>
            <w:r>
              <w:rPr>
                <w:w w:val="99"/>
                <w:sz w:val="14"/>
              </w:rPr>
              <w:t>-</w:t>
            </w:r>
          </w:p>
        </w:tc>
        <w:tc>
          <w:tcPr>
            <w:tcW w:w="867" w:type="dxa"/>
          </w:tcPr>
          <w:p>
            <w:pPr>
              <w:pStyle w:val="TableParagraph"/>
              <w:spacing w:before="99"/>
              <w:ind w:right="163"/>
              <w:jc w:val="right"/>
              <w:rPr>
                <w:b/>
                <w:sz w:val="14"/>
              </w:rPr>
            </w:pPr>
            <w:r>
              <w:rPr>
                <w:b/>
                <w:w w:val="99"/>
                <w:sz w:val="14"/>
              </w:rPr>
              <w:t>-</w:t>
            </w:r>
          </w:p>
        </w:tc>
        <w:tc>
          <w:tcPr>
            <w:tcW w:w="868" w:type="dxa"/>
          </w:tcPr>
          <w:p>
            <w:pPr>
              <w:pStyle w:val="TableParagraph"/>
              <w:spacing w:before="99"/>
              <w:ind w:right="174"/>
              <w:jc w:val="right"/>
              <w:rPr>
                <w:sz w:val="14"/>
              </w:rPr>
            </w:pPr>
            <w:r>
              <w:rPr>
                <w:w w:val="99"/>
                <w:sz w:val="14"/>
              </w:rPr>
              <w:t>-</w:t>
            </w:r>
          </w:p>
        </w:tc>
        <w:tc>
          <w:tcPr>
            <w:tcW w:w="902" w:type="dxa"/>
          </w:tcPr>
          <w:p>
            <w:pPr>
              <w:pStyle w:val="TableParagraph"/>
              <w:spacing w:before="99"/>
              <w:ind w:right="176"/>
              <w:jc w:val="right"/>
              <w:rPr>
                <w:b/>
                <w:sz w:val="14"/>
              </w:rPr>
            </w:pPr>
            <w:r>
              <w:rPr>
                <w:b/>
                <w:w w:val="95"/>
                <w:sz w:val="14"/>
              </w:rPr>
              <w:t>80,299</w:t>
            </w:r>
          </w:p>
        </w:tc>
        <w:tc>
          <w:tcPr>
            <w:tcW w:w="877" w:type="dxa"/>
          </w:tcPr>
          <w:p>
            <w:pPr>
              <w:pStyle w:val="TableParagraph"/>
              <w:spacing w:before="99"/>
              <w:ind w:right="197"/>
              <w:jc w:val="right"/>
              <w:rPr>
                <w:sz w:val="14"/>
              </w:rPr>
            </w:pPr>
            <w:r>
              <w:rPr>
                <w:w w:val="95"/>
                <w:sz w:val="14"/>
              </w:rPr>
              <w:t>76,143</w:t>
            </w:r>
          </w:p>
        </w:tc>
        <w:tc>
          <w:tcPr>
            <w:tcW w:w="880" w:type="dxa"/>
          </w:tcPr>
          <w:p>
            <w:pPr>
              <w:pStyle w:val="TableParagraph"/>
              <w:spacing w:before="99"/>
              <w:ind w:left="131" w:right="32"/>
              <w:jc w:val="center"/>
              <w:rPr>
                <w:b/>
                <w:sz w:val="14"/>
              </w:rPr>
            </w:pPr>
            <w:r>
              <w:rPr>
                <w:b/>
                <w:sz w:val="14"/>
              </w:rPr>
              <w:t>80,299</w:t>
            </w:r>
          </w:p>
        </w:tc>
        <w:tc>
          <w:tcPr>
            <w:tcW w:w="748" w:type="dxa"/>
          </w:tcPr>
          <w:p>
            <w:pPr>
              <w:pStyle w:val="TableParagraph"/>
              <w:spacing w:before="99"/>
              <w:ind w:right="67"/>
              <w:jc w:val="right"/>
              <w:rPr>
                <w:sz w:val="14"/>
              </w:rPr>
            </w:pPr>
            <w:r>
              <w:rPr>
                <w:w w:val="95"/>
                <w:sz w:val="14"/>
              </w:rPr>
              <w:t>76,143</w:t>
            </w:r>
          </w:p>
        </w:tc>
      </w:tr>
      <w:tr>
        <w:trPr>
          <w:trHeight w:val="218" w:hRule="exact"/>
        </w:trPr>
        <w:tc>
          <w:tcPr>
            <w:tcW w:w="2813" w:type="dxa"/>
            <w:gridSpan w:val="2"/>
          </w:tcPr>
          <w:p>
            <w:pPr>
              <w:pStyle w:val="TableParagraph"/>
              <w:tabs>
                <w:tab w:pos="2711" w:val="right" w:leader="none"/>
              </w:tabs>
              <w:spacing w:before="21"/>
              <w:ind w:left="248"/>
              <w:rPr>
                <w:b/>
                <w:sz w:val="14"/>
              </w:rPr>
            </w:pPr>
            <w:r>
              <w:rPr>
                <w:sz w:val="14"/>
              </w:rPr>
              <w:t>Held</w:t>
            </w:r>
            <w:r>
              <w:rPr>
                <w:spacing w:val="-2"/>
                <w:sz w:val="14"/>
              </w:rPr>
              <w:t> </w:t>
            </w:r>
            <w:r>
              <w:rPr>
                <w:sz w:val="14"/>
              </w:rPr>
              <w:t>to</w:t>
            </w:r>
            <w:r>
              <w:rPr>
                <w:spacing w:val="-2"/>
                <w:sz w:val="14"/>
              </w:rPr>
              <w:t> </w:t>
            </w:r>
            <w:r>
              <w:rPr>
                <w:sz w:val="14"/>
              </w:rPr>
              <w:t>maturity</w:t>
            </w:r>
            <w:r>
              <w:rPr>
                <w:rFonts w:ascii="Times New Roman"/>
                <w:sz w:val="14"/>
              </w:rPr>
              <w:tab/>
            </w:r>
            <w:r>
              <w:rPr>
                <w:b/>
                <w:sz w:val="14"/>
              </w:rPr>
              <w:t>3.40</w:t>
            </w:r>
          </w:p>
        </w:tc>
        <w:tc>
          <w:tcPr>
            <w:tcW w:w="641" w:type="dxa"/>
            <w:tcBorders>
              <w:bottom w:val="single" w:sz="1" w:space="0" w:color="000000"/>
            </w:tcBorders>
          </w:tcPr>
          <w:p>
            <w:pPr>
              <w:pStyle w:val="TableParagraph"/>
              <w:spacing w:before="21"/>
              <w:ind w:right="174"/>
              <w:jc w:val="right"/>
              <w:rPr>
                <w:sz w:val="14"/>
              </w:rPr>
            </w:pPr>
            <w:r>
              <w:rPr>
                <w:sz w:val="14"/>
              </w:rPr>
              <w:t>3.50</w:t>
            </w:r>
          </w:p>
        </w:tc>
        <w:tc>
          <w:tcPr>
            <w:tcW w:w="890" w:type="dxa"/>
            <w:tcBorders>
              <w:bottom w:val="single" w:sz="1" w:space="0" w:color="000000"/>
            </w:tcBorders>
          </w:tcPr>
          <w:p>
            <w:pPr>
              <w:pStyle w:val="TableParagraph"/>
              <w:spacing w:before="21"/>
              <w:ind w:right="165"/>
              <w:jc w:val="right"/>
              <w:rPr>
                <w:b/>
                <w:sz w:val="14"/>
              </w:rPr>
            </w:pPr>
            <w:r>
              <w:rPr>
                <w:b/>
                <w:sz w:val="14"/>
              </w:rPr>
              <w:t>1,020</w:t>
            </w:r>
          </w:p>
        </w:tc>
        <w:tc>
          <w:tcPr>
            <w:tcW w:w="869" w:type="dxa"/>
            <w:tcBorders>
              <w:bottom w:val="single" w:sz="1" w:space="0" w:color="000000"/>
            </w:tcBorders>
          </w:tcPr>
          <w:p>
            <w:pPr>
              <w:pStyle w:val="TableParagraph"/>
              <w:spacing w:before="21"/>
              <w:ind w:right="174"/>
              <w:jc w:val="right"/>
              <w:rPr>
                <w:sz w:val="14"/>
              </w:rPr>
            </w:pPr>
            <w:r>
              <w:rPr>
                <w:sz w:val="14"/>
              </w:rPr>
              <w:t>152</w:t>
            </w:r>
          </w:p>
        </w:tc>
        <w:tc>
          <w:tcPr>
            <w:tcW w:w="889" w:type="dxa"/>
            <w:tcBorders>
              <w:bottom w:val="single" w:sz="1" w:space="0" w:color="000000"/>
            </w:tcBorders>
          </w:tcPr>
          <w:p>
            <w:pPr>
              <w:pStyle w:val="TableParagraph"/>
              <w:spacing w:before="21"/>
              <w:ind w:right="163"/>
              <w:jc w:val="right"/>
              <w:rPr>
                <w:b/>
                <w:sz w:val="14"/>
              </w:rPr>
            </w:pPr>
            <w:r>
              <w:rPr>
                <w:b/>
                <w:w w:val="99"/>
                <w:sz w:val="14"/>
              </w:rPr>
              <w:t>-</w:t>
            </w:r>
          </w:p>
        </w:tc>
        <w:tc>
          <w:tcPr>
            <w:tcW w:w="890" w:type="dxa"/>
            <w:tcBorders>
              <w:bottom w:val="single" w:sz="1" w:space="0" w:color="000000"/>
            </w:tcBorders>
          </w:tcPr>
          <w:p>
            <w:pPr>
              <w:pStyle w:val="TableParagraph"/>
              <w:spacing w:before="21"/>
              <w:ind w:right="197"/>
              <w:jc w:val="right"/>
              <w:rPr>
                <w:sz w:val="14"/>
              </w:rPr>
            </w:pPr>
            <w:r>
              <w:rPr>
                <w:sz w:val="14"/>
              </w:rPr>
              <w:t>501</w:t>
            </w:r>
          </w:p>
        </w:tc>
        <w:tc>
          <w:tcPr>
            <w:tcW w:w="889" w:type="dxa"/>
            <w:tcBorders>
              <w:bottom w:val="single" w:sz="1" w:space="0" w:color="000000"/>
            </w:tcBorders>
          </w:tcPr>
          <w:p>
            <w:pPr>
              <w:pStyle w:val="TableParagraph"/>
              <w:spacing w:before="21"/>
              <w:ind w:right="186"/>
              <w:jc w:val="right"/>
              <w:rPr>
                <w:b/>
                <w:sz w:val="14"/>
              </w:rPr>
            </w:pPr>
            <w:r>
              <w:rPr>
                <w:b/>
                <w:sz w:val="14"/>
              </w:rPr>
              <w:t>8,775</w:t>
            </w:r>
          </w:p>
        </w:tc>
        <w:tc>
          <w:tcPr>
            <w:tcW w:w="868" w:type="dxa"/>
            <w:tcBorders>
              <w:bottom w:val="single" w:sz="1" w:space="0" w:color="000000"/>
            </w:tcBorders>
          </w:tcPr>
          <w:p>
            <w:pPr>
              <w:pStyle w:val="TableParagraph"/>
              <w:spacing w:before="21"/>
              <w:ind w:left="322"/>
              <w:rPr>
                <w:sz w:val="14"/>
              </w:rPr>
            </w:pPr>
            <w:r>
              <w:rPr>
                <w:sz w:val="14"/>
              </w:rPr>
              <w:t>8,540</w:t>
            </w:r>
          </w:p>
        </w:tc>
        <w:tc>
          <w:tcPr>
            <w:tcW w:w="867" w:type="dxa"/>
            <w:tcBorders>
              <w:bottom w:val="single" w:sz="1" w:space="0" w:color="000000"/>
            </w:tcBorders>
          </w:tcPr>
          <w:p>
            <w:pPr>
              <w:pStyle w:val="TableParagraph"/>
              <w:spacing w:before="21"/>
              <w:ind w:right="163"/>
              <w:jc w:val="right"/>
              <w:rPr>
                <w:b/>
                <w:sz w:val="14"/>
              </w:rPr>
            </w:pPr>
            <w:r>
              <w:rPr>
                <w:b/>
                <w:sz w:val="14"/>
              </w:rPr>
              <w:t>1,266</w:t>
            </w:r>
          </w:p>
        </w:tc>
        <w:tc>
          <w:tcPr>
            <w:tcW w:w="868" w:type="dxa"/>
            <w:tcBorders>
              <w:bottom w:val="single" w:sz="1" w:space="0" w:color="000000"/>
            </w:tcBorders>
          </w:tcPr>
          <w:p>
            <w:pPr>
              <w:pStyle w:val="TableParagraph"/>
              <w:spacing w:before="21"/>
              <w:ind w:right="174"/>
              <w:jc w:val="right"/>
              <w:rPr>
                <w:sz w:val="14"/>
              </w:rPr>
            </w:pPr>
            <w:r>
              <w:rPr>
                <w:sz w:val="14"/>
              </w:rPr>
              <w:t>1,509</w:t>
            </w:r>
          </w:p>
        </w:tc>
        <w:tc>
          <w:tcPr>
            <w:tcW w:w="902" w:type="dxa"/>
            <w:tcBorders>
              <w:bottom w:val="single" w:sz="1" w:space="0" w:color="000000"/>
            </w:tcBorders>
          </w:tcPr>
          <w:p>
            <w:pPr>
              <w:pStyle w:val="TableParagraph"/>
              <w:spacing w:before="21"/>
              <w:ind w:right="176"/>
              <w:jc w:val="right"/>
              <w:rPr>
                <w:b/>
                <w:sz w:val="14"/>
              </w:rPr>
            </w:pPr>
            <w:r>
              <w:rPr>
                <w:b/>
                <w:w w:val="99"/>
                <w:sz w:val="14"/>
              </w:rPr>
              <w:t>-</w:t>
            </w:r>
          </w:p>
        </w:tc>
        <w:tc>
          <w:tcPr>
            <w:tcW w:w="877" w:type="dxa"/>
            <w:tcBorders>
              <w:bottom w:val="single" w:sz="1" w:space="0" w:color="000000"/>
            </w:tcBorders>
          </w:tcPr>
          <w:p>
            <w:pPr>
              <w:pStyle w:val="TableParagraph"/>
              <w:spacing w:before="21"/>
              <w:ind w:right="196"/>
              <w:jc w:val="right"/>
              <w:rPr>
                <w:sz w:val="14"/>
              </w:rPr>
            </w:pPr>
            <w:r>
              <w:rPr>
                <w:w w:val="99"/>
                <w:sz w:val="14"/>
              </w:rPr>
              <w:t>-</w:t>
            </w:r>
          </w:p>
        </w:tc>
        <w:tc>
          <w:tcPr>
            <w:tcW w:w="880" w:type="dxa"/>
            <w:tcBorders>
              <w:bottom w:val="single" w:sz="1" w:space="0" w:color="000000"/>
            </w:tcBorders>
          </w:tcPr>
          <w:p>
            <w:pPr>
              <w:pStyle w:val="TableParagraph"/>
              <w:spacing w:before="21"/>
              <w:ind w:left="131" w:right="32"/>
              <w:jc w:val="center"/>
              <w:rPr>
                <w:b/>
                <w:sz w:val="14"/>
              </w:rPr>
            </w:pPr>
            <w:r>
              <w:rPr>
                <w:b/>
                <w:sz w:val="14"/>
              </w:rPr>
              <w:t>11,061</w:t>
            </w:r>
          </w:p>
        </w:tc>
        <w:tc>
          <w:tcPr>
            <w:tcW w:w="748" w:type="dxa"/>
            <w:tcBorders>
              <w:bottom w:val="single" w:sz="1" w:space="0" w:color="000000"/>
            </w:tcBorders>
          </w:tcPr>
          <w:p>
            <w:pPr>
              <w:pStyle w:val="TableParagraph"/>
              <w:spacing w:before="21"/>
              <w:ind w:right="67"/>
              <w:jc w:val="right"/>
              <w:rPr>
                <w:sz w:val="14"/>
              </w:rPr>
            </w:pPr>
            <w:r>
              <w:rPr>
                <w:w w:val="95"/>
                <w:sz w:val="14"/>
              </w:rPr>
              <w:t>10,702</w:t>
            </w:r>
          </w:p>
        </w:tc>
      </w:tr>
      <w:tr>
        <w:trPr>
          <w:trHeight w:val="307" w:hRule="exact"/>
        </w:trPr>
        <w:tc>
          <w:tcPr>
            <w:tcW w:w="2813" w:type="dxa"/>
            <w:gridSpan w:val="2"/>
          </w:tcPr>
          <w:p>
            <w:pPr>
              <w:pStyle w:val="TableParagraph"/>
              <w:spacing w:before="124"/>
              <w:ind w:left="35"/>
              <w:rPr>
                <w:b/>
                <w:sz w:val="14"/>
              </w:rPr>
            </w:pPr>
            <w:r>
              <w:rPr>
                <w:b/>
                <w:sz w:val="14"/>
              </w:rPr>
              <w:t>Total Financial Assets</w:t>
            </w:r>
          </w:p>
        </w:tc>
        <w:tc>
          <w:tcPr>
            <w:tcW w:w="641" w:type="dxa"/>
            <w:tcBorders>
              <w:top w:val="single" w:sz="1" w:space="0" w:color="000000"/>
              <w:bottom w:val="single" w:sz="1" w:space="0" w:color="000000"/>
            </w:tcBorders>
          </w:tcPr>
          <w:p>
            <w:pPr/>
          </w:p>
        </w:tc>
        <w:tc>
          <w:tcPr>
            <w:tcW w:w="890" w:type="dxa"/>
            <w:tcBorders>
              <w:top w:val="single" w:sz="1" w:space="0" w:color="000000"/>
              <w:bottom w:val="single" w:sz="1" w:space="0" w:color="000000"/>
            </w:tcBorders>
          </w:tcPr>
          <w:p>
            <w:pPr>
              <w:pStyle w:val="TableParagraph"/>
              <w:spacing w:before="123"/>
              <w:ind w:right="165"/>
              <w:jc w:val="right"/>
              <w:rPr>
                <w:b/>
                <w:sz w:val="14"/>
              </w:rPr>
            </w:pPr>
            <w:r>
              <w:rPr>
                <w:b/>
                <w:w w:val="95"/>
                <w:sz w:val="14"/>
              </w:rPr>
              <w:t>125,050</w:t>
            </w:r>
          </w:p>
        </w:tc>
        <w:tc>
          <w:tcPr>
            <w:tcW w:w="869" w:type="dxa"/>
            <w:tcBorders>
              <w:top w:val="single" w:sz="1" w:space="0" w:color="000000"/>
              <w:bottom w:val="single" w:sz="1" w:space="0" w:color="000000"/>
            </w:tcBorders>
          </w:tcPr>
          <w:p>
            <w:pPr>
              <w:pStyle w:val="TableParagraph"/>
              <w:spacing w:before="123"/>
              <w:ind w:right="174"/>
              <w:jc w:val="right"/>
              <w:rPr>
                <w:sz w:val="14"/>
              </w:rPr>
            </w:pPr>
            <w:r>
              <w:rPr>
                <w:w w:val="95"/>
                <w:sz w:val="14"/>
              </w:rPr>
              <w:t>51,277</w:t>
            </w:r>
          </w:p>
        </w:tc>
        <w:tc>
          <w:tcPr>
            <w:tcW w:w="889" w:type="dxa"/>
            <w:tcBorders>
              <w:top w:val="single" w:sz="1" w:space="0" w:color="000000"/>
              <w:bottom w:val="single" w:sz="1" w:space="0" w:color="000000"/>
            </w:tcBorders>
          </w:tcPr>
          <w:p>
            <w:pPr>
              <w:pStyle w:val="TableParagraph"/>
              <w:spacing w:before="123"/>
              <w:ind w:right="163"/>
              <w:jc w:val="right"/>
              <w:rPr>
                <w:b/>
                <w:sz w:val="14"/>
              </w:rPr>
            </w:pPr>
            <w:r>
              <w:rPr>
                <w:b/>
                <w:w w:val="95"/>
                <w:sz w:val="14"/>
              </w:rPr>
              <w:t>97,718</w:t>
            </w:r>
          </w:p>
        </w:tc>
        <w:tc>
          <w:tcPr>
            <w:tcW w:w="890" w:type="dxa"/>
            <w:tcBorders>
              <w:top w:val="single" w:sz="1" w:space="0" w:color="000000"/>
              <w:bottom w:val="single" w:sz="1" w:space="0" w:color="000000"/>
            </w:tcBorders>
          </w:tcPr>
          <w:p>
            <w:pPr>
              <w:pStyle w:val="TableParagraph"/>
              <w:spacing w:before="123"/>
              <w:ind w:right="197"/>
              <w:jc w:val="right"/>
              <w:rPr>
                <w:sz w:val="14"/>
              </w:rPr>
            </w:pPr>
            <w:r>
              <w:rPr>
                <w:w w:val="95"/>
                <w:sz w:val="14"/>
              </w:rPr>
              <w:t>88,601</w:t>
            </w:r>
          </w:p>
        </w:tc>
        <w:tc>
          <w:tcPr>
            <w:tcW w:w="889" w:type="dxa"/>
            <w:tcBorders>
              <w:top w:val="single" w:sz="1" w:space="0" w:color="000000"/>
              <w:bottom w:val="single" w:sz="1" w:space="0" w:color="000000"/>
            </w:tcBorders>
          </w:tcPr>
          <w:p>
            <w:pPr>
              <w:pStyle w:val="TableParagraph"/>
              <w:spacing w:before="123"/>
              <w:ind w:right="186"/>
              <w:jc w:val="right"/>
              <w:rPr>
                <w:b/>
                <w:sz w:val="14"/>
              </w:rPr>
            </w:pPr>
            <w:r>
              <w:rPr>
                <w:b/>
                <w:sz w:val="14"/>
              </w:rPr>
              <w:t>8,775</w:t>
            </w:r>
          </w:p>
        </w:tc>
        <w:tc>
          <w:tcPr>
            <w:tcW w:w="868" w:type="dxa"/>
            <w:tcBorders>
              <w:top w:val="single" w:sz="1" w:space="0" w:color="000000"/>
              <w:bottom w:val="single" w:sz="1" w:space="0" w:color="000000"/>
            </w:tcBorders>
          </w:tcPr>
          <w:p>
            <w:pPr>
              <w:pStyle w:val="TableParagraph"/>
              <w:spacing w:before="123"/>
              <w:ind w:left="322"/>
              <w:rPr>
                <w:sz w:val="14"/>
              </w:rPr>
            </w:pPr>
            <w:r>
              <w:rPr>
                <w:sz w:val="14"/>
              </w:rPr>
              <w:t>8,540</w:t>
            </w:r>
          </w:p>
        </w:tc>
        <w:tc>
          <w:tcPr>
            <w:tcW w:w="867" w:type="dxa"/>
            <w:tcBorders>
              <w:top w:val="single" w:sz="1" w:space="0" w:color="000000"/>
              <w:bottom w:val="single" w:sz="1" w:space="0" w:color="000000"/>
            </w:tcBorders>
          </w:tcPr>
          <w:p>
            <w:pPr>
              <w:pStyle w:val="TableParagraph"/>
              <w:spacing w:before="123"/>
              <w:ind w:right="163"/>
              <w:jc w:val="right"/>
              <w:rPr>
                <w:b/>
                <w:sz w:val="14"/>
              </w:rPr>
            </w:pPr>
            <w:r>
              <w:rPr>
                <w:b/>
                <w:sz w:val="14"/>
              </w:rPr>
              <w:t>1,266</w:t>
            </w:r>
          </w:p>
        </w:tc>
        <w:tc>
          <w:tcPr>
            <w:tcW w:w="868" w:type="dxa"/>
            <w:tcBorders>
              <w:top w:val="single" w:sz="1" w:space="0" w:color="000000"/>
              <w:bottom w:val="single" w:sz="1" w:space="0" w:color="000000"/>
            </w:tcBorders>
          </w:tcPr>
          <w:p>
            <w:pPr>
              <w:pStyle w:val="TableParagraph"/>
              <w:spacing w:before="123"/>
              <w:ind w:right="174"/>
              <w:jc w:val="right"/>
              <w:rPr>
                <w:sz w:val="14"/>
              </w:rPr>
            </w:pPr>
            <w:r>
              <w:rPr>
                <w:sz w:val="14"/>
              </w:rPr>
              <w:t>1,509</w:t>
            </w:r>
          </w:p>
        </w:tc>
        <w:tc>
          <w:tcPr>
            <w:tcW w:w="902" w:type="dxa"/>
            <w:tcBorders>
              <w:top w:val="single" w:sz="1" w:space="0" w:color="000000"/>
              <w:bottom w:val="single" w:sz="1" w:space="0" w:color="000000"/>
            </w:tcBorders>
          </w:tcPr>
          <w:p>
            <w:pPr>
              <w:pStyle w:val="TableParagraph"/>
              <w:spacing w:before="123"/>
              <w:ind w:right="176"/>
              <w:jc w:val="right"/>
              <w:rPr>
                <w:b/>
                <w:sz w:val="14"/>
              </w:rPr>
            </w:pPr>
            <w:r>
              <w:rPr>
                <w:b/>
                <w:w w:val="95"/>
                <w:sz w:val="14"/>
              </w:rPr>
              <w:t>189,122</w:t>
            </w:r>
          </w:p>
        </w:tc>
        <w:tc>
          <w:tcPr>
            <w:tcW w:w="877" w:type="dxa"/>
            <w:tcBorders>
              <w:top w:val="single" w:sz="1" w:space="0" w:color="000000"/>
              <w:bottom w:val="single" w:sz="1" w:space="0" w:color="000000"/>
            </w:tcBorders>
          </w:tcPr>
          <w:p>
            <w:pPr>
              <w:pStyle w:val="TableParagraph"/>
              <w:spacing w:before="123"/>
              <w:ind w:right="197"/>
              <w:jc w:val="right"/>
              <w:rPr>
                <w:sz w:val="14"/>
              </w:rPr>
            </w:pPr>
            <w:r>
              <w:rPr>
                <w:w w:val="95"/>
                <w:sz w:val="14"/>
              </w:rPr>
              <w:t>164,919</w:t>
            </w:r>
          </w:p>
        </w:tc>
        <w:tc>
          <w:tcPr>
            <w:tcW w:w="880" w:type="dxa"/>
            <w:tcBorders>
              <w:top w:val="single" w:sz="1" w:space="0" w:color="000000"/>
              <w:bottom w:val="single" w:sz="1" w:space="0" w:color="000000"/>
            </w:tcBorders>
          </w:tcPr>
          <w:p>
            <w:pPr>
              <w:pStyle w:val="TableParagraph"/>
              <w:spacing w:before="123"/>
              <w:ind w:left="131" w:right="109"/>
              <w:jc w:val="center"/>
              <w:rPr>
                <w:b/>
                <w:sz w:val="14"/>
              </w:rPr>
            </w:pPr>
            <w:r>
              <w:rPr>
                <w:b/>
                <w:sz w:val="14"/>
              </w:rPr>
              <w:t>421,931</w:t>
            </w:r>
          </w:p>
        </w:tc>
        <w:tc>
          <w:tcPr>
            <w:tcW w:w="748" w:type="dxa"/>
            <w:tcBorders>
              <w:top w:val="single" w:sz="1" w:space="0" w:color="000000"/>
              <w:bottom w:val="single" w:sz="1" w:space="0" w:color="000000"/>
            </w:tcBorders>
          </w:tcPr>
          <w:p>
            <w:pPr>
              <w:pStyle w:val="TableParagraph"/>
              <w:spacing w:before="123"/>
              <w:ind w:right="67"/>
              <w:jc w:val="right"/>
              <w:rPr>
                <w:sz w:val="14"/>
              </w:rPr>
            </w:pPr>
            <w:r>
              <w:rPr>
                <w:w w:val="95"/>
                <w:sz w:val="14"/>
              </w:rPr>
              <w:t>314,846</w:t>
            </w:r>
          </w:p>
        </w:tc>
      </w:tr>
      <w:tr>
        <w:trPr>
          <w:trHeight w:val="526" w:hRule="exact"/>
        </w:trPr>
        <w:tc>
          <w:tcPr>
            <w:tcW w:w="2813" w:type="dxa"/>
            <w:gridSpan w:val="2"/>
          </w:tcPr>
          <w:p>
            <w:pPr>
              <w:pStyle w:val="TableParagraph"/>
              <w:rPr>
                <w:b/>
                <w:sz w:val="12"/>
              </w:rPr>
            </w:pPr>
          </w:p>
          <w:p>
            <w:pPr>
              <w:pStyle w:val="TableParagraph"/>
              <w:ind w:left="35"/>
              <w:rPr>
                <w:b/>
                <w:sz w:val="14"/>
              </w:rPr>
            </w:pPr>
            <w:r>
              <w:rPr>
                <w:b/>
                <w:w w:val="95"/>
                <w:sz w:val="14"/>
              </w:rPr>
              <w:t>Financial  Liabilities:</w:t>
            </w:r>
          </w:p>
          <w:p>
            <w:pPr>
              <w:pStyle w:val="TableParagraph"/>
              <w:tabs>
                <w:tab w:pos="2665" w:val="left" w:leader="none"/>
              </w:tabs>
              <w:spacing w:before="28"/>
              <w:ind w:left="35"/>
              <w:rPr>
                <w:b/>
                <w:sz w:val="14"/>
              </w:rPr>
            </w:pPr>
            <w:r>
              <w:rPr>
                <w:sz w:val="14"/>
              </w:rPr>
              <w:t>Payables</w:t>
              <w:tab/>
            </w:r>
            <w:r>
              <w:rPr>
                <w:b/>
                <w:sz w:val="14"/>
              </w:rPr>
              <w:t>-</w:t>
            </w:r>
          </w:p>
        </w:tc>
        <w:tc>
          <w:tcPr>
            <w:tcW w:w="641" w:type="dxa"/>
            <w:tcBorders>
              <w:top w:val="single" w:sz="1" w:space="0" w:color="000000"/>
            </w:tcBorders>
          </w:tcPr>
          <w:p>
            <w:pPr>
              <w:pStyle w:val="TableParagraph"/>
              <w:rPr>
                <w:b/>
                <w:sz w:val="14"/>
              </w:rPr>
            </w:pPr>
          </w:p>
          <w:p>
            <w:pPr>
              <w:pStyle w:val="TableParagraph"/>
              <w:spacing w:before="5"/>
              <w:rPr>
                <w:b/>
                <w:sz w:val="14"/>
              </w:rPr>
            </w:pPr>
          </w:p>
          <w:p>
            <w:pPr>
              <w:pStyle w:val="TableParagraph"/>
              <w:ind w:right="174"/>
              <w:jc w:val="right"/>
              <w:rPr>
                <w:sz w:val="14"/>
              </w:rPr>
            </w:pPr>
            <w:r>
              <w:rPr>
                <w:w w:val="99"/>
                <w:sz w:val="14"/>
              </w:rPr>
              <w:t>-</w:t>
            </w:r>
          </w:p>
        </w:tc>
        <w:tc>
          <w:tcPr>
            <w:tcW w:w="890" w:type="dxa"/>
            <w:tcBorders>
              <w:top w:val="single" w:sz="1" w:space="0" w:color="000000"/>
            </w:tcBorders>
          </w:tcPr>
          <w:p>
            <w:pPr>
              <w:pStyle w:val="TableParagraph"/>
              <w:rPr>
                <w:b/>
                <w:sz w:val="14"/>
              </w:rPr>
            </w:pPr>
          </w:p>
          <w:p>
            <w:pPr>
              <w:pStyle w:val="TableParagraph"/>
              <w:spacing w:before="5"/>
              <w:rPr>
                <w:b/>
                <w:sz w:val="14"/>
              </w:rPr>
            </w:pPr>
          </w:p>
          <w:p>
            <w:pPr>
              <w:pStyle w:val="TableParagraph"/>
              <w:ind w:right="164"/>
              <w:jc w:val="right"/>
              <w:rPr>
                <w:b/>
                <w:sz w:val="14"/>
              </w:rPr>
            </w:pPr>
            <w:r>
              <w:rPr>
                <w:b/>
                <w:w w:val="99"/>
                <w:sz w:val="14"/>
              </w:rPr>
              <w:t>-</w:t>
            </w:r>
          </w:p>
        </w:tc>
        <w:tc>
          <w:tcPr>
            <w:tcW w:w="869" w:type="dxa"/>
            <w:tcBorders>
              <w:top w:val="single" w:sz="1" w:space="0" w:color="000000"/>
            </w:tcBorders>
          </w:tcPr>
          <w:p>
            <w:pPr>
              <w:pStyle w:val="TableParagraph"/>
              <w:rPr>
                <w:b/>
                <w:sz w:val="14"/>
              </w:rPr>
            </w:pPr>
          </w:p>
          <w:p>
            <w:pPr>
              <w:pStyle w:val="TableParagraph"/>
              <w:spacing w:before="5"/>
              <w:rPr>
                <w:b/>
                <w:sz w:val="14"/>
              </w:rPr>
            </w:pPr>
          </w:p>
          <w:p>
            <w:pPr>
              <w:pStyle w:val="TableParagraph"/>
              <w:ind w:right="174"/>
              <w:jc w:val="right"/>
              <w:rPr>
                <w:sz w:val="14"/>
              </w:rPr>
            </w:pPr>
            <w:r>
              <w:rPr>
                <w:w w:val="99"/>
                <w:sz w:val="14"/>
              </w:rPr>
              <w:t>-</w:t>
            </w:r>
          </w:p>
        </w:tc>
        <w:tc>
          <w:tcPr>
            <w:tcW w:w="889" w:type="dxa"/>
            <w:tcBorders>
              <w:top w:val="single" w:sz="1" w:space="0" w:color="000000"/>
            </w:tcBorders>
          </w:tcPr>
          <w:p>
            <w:pPr>
              <w:pStyle w:val="TableParagraph"/>
              <w:rPr>
                <w:b/>
                <w:sz w:val="14"/>
              </w:rPr>
            </w:pPr>
          </w:p>
          <w:p>
            <w:pPr>
              <w:pStyle w:val="TableParagraph"/>
              <w:spacing w:before="5"/>
              <w:rPr>
                <w:b/>
                <w:sz w:val="14"/>
              </w:rPr>
            </w:pPr>
          </w:p>
          <w:p>
            <w:pPr>
              <w:pStyle w:val="TableParagraph"/>
              <w:ind w:right="163"/>
              <w:jc w:val="right"/>
              <w:rPr>
                <w:b/>
                <w:sz w:val="14"/>
              </w:rPr>
            </w:pPr>
            <w:r>
              <w:rPr>
                <w:b/>
                <w:w w:val="99"/>
                <w:sz w:val="14"/>
              </w:rPr>
              <w:t>-</w:t>
            </w:r>
          </w:p>
        </w:tc>
        <w:tc>
          <w:tcPr>
            <w:tcW w:w="890" w:type="dxa"/>
            <w:tcBorders>
              <w:top w:val="single" w:sz="1" w:space="0" w:color="000000"/>
            </w:tcBorders>
          </w:tcPr>
          <w:p>
            <w:pPr>
              <w:pStyle w:val="TableParagraph"/>
              <w:rPr>
                <w:b/>
                <w:sz w:val="14"/>
              </w:rPr>
            </w:pPr>
          </w:p>
          <w:p>
            <w:pPr>
              <w:pStyle w:val="TableParagraph"/>
              <w:spacing w:before="5"/>
              <w:rPr>
                <w:b/>
                <w:sz w:val="14"/>
              </w:rPr>
            </w:pPr>
          </w:p>
          <w:p>
            <w:pPr>
              <w:pStyle w:val="TableParagraph"/>
              <w:ind w:right="196"/>
              <w:jc w:val="right"/>
              <w:rPr>
                <w:sz w:val="14"/>
              </w:rPr>
            </w:pPr>
            <w:r>
              <w:rPr>
                <w:w w:val="99"/>
                <w:sz w:val="14"/>
              </w:rPr>
              <w:t>-</w:t>
            </w:r>
          </w:p>
        </w:tc>
        <w:tc>
          <w:tcPr>
            <w:tcW w:w="889" w:type="dxa"/>
            <w:tcBorders>
              <w:top w:val="single" w:sz="1" w:space="0" w:color="000000"/>
            </w:tcBorders>
          </w:tcPr>
          <w:p>
            <w:pPr>
              <w:pStyle w:val="TableParagraph"/>
              <w:rPr>
                <w:b/>
                <w:sz w:val="14"/>
              </w:rPr>
            </w:pPr>
          </w:p>
          <w:p>
            <w:pPr>
              <w:pStyle w:val="TableParagraph"/>
              <w:spacing w:before="5"/>
              <w:rPr>
                <w:b/>
                <w:sz w:val="14"/>
              </w:rPr>
            </w:pPr>
          </w:p>
          <w:p>
            <w:pPr>
              <w:pStyle w:val="TableParagraph"/>
              <w:ind w:right="185"/>
              <w:jc w:val="right"/>
              <w:rPr>
                <w:b/>
                <w:sz w:val="14"/>
              </w:rPr>
            </w:pPr>
            <w:r>
              <w:rPr>
                <w:b/>
                <w:w w:val="99"/>
                <w:sz w:val="14"/>
              </w:rPr>
              <w:t>-</w:t>
            </w:r>
          </w:p>
        </w:tc>
        <w:tc>
          <w:tcPr>
            <w:tcW w:w="868" w:type="dxa"/>
            <w:tcBorders>
              <w:top w:val="single" w:sz="1" w:space="0" w:color="000000"/>
            </w:tcBorders>
          </w:tcPr>
          <w:p>
            <w:pPr>
              <w:pStyle w:val="TableParagraph"/>
              <w:rPr>
                <w:b/>
                <w:sz w:val="14"/>
              </w:rPr>
            </w:pPr>
          </w:p>
          <w:p>
            <w:pPr>
              <w:pStyle w:val="TableParagraph"/>
              <w:spacing w:before="5"/>
              <w:rPr>
                <w:b/>
                <w:sz w:val="14"/>
              </w:rPr>
            </w:pPr>
          </w:p>
          <w:p>
            <w:pPr>
              <w:pStyle w:val="TableParagraph"/>
              <w:ind w:right="196"/>
              <w:jc w:val="right"/>
              <w:rPr>
                <w:sz w:val="14"/>
              </w:rPr>
            </w:pPr>
            <w:r>
              <w:rPr>
                <w:w w:val="99"/>
                <w:sz w:val="14"/>
              </w:rPr>
              <w:t>-</w:t>
            </w:r>
          </w:p>
        </w:tc>
        <w:tc>
          <w:tcPr>
            <w:tcW w:w="867" w:type="dxa"/>
            <w:tcBorders>
              <w:top w:val="single" w:sz="1" w:space="0" w:color="000000"/>
            </w:tcBorders>
          </w:tcPr>
          <w:p>
            <w:pPr>
              <w:pStyle w:val="TableParagraph"/>
              <w:rPr>
                <w:b/>
                <w:sz w:val="14"/>
              </w:rPr>
            </w:pPr>
          </w:p>
          <w:p>
            <w:pPr>
              <w:pStyle w:val="TableParagraph"/>
              <w:spacing w:before="5"/>
              <w:rPr>
                <w:b/>
                <w:sz w:val="14"/>
              </w:rPr>
            </w:pPr>
          </w:p>
          <w:p>
            <w:pPr>
              <w:pStyle w:val="TableParagraph"/>
              <w:ind w:right="163"/>
              <w:jc w:val="right"/>
              <w:rPr>
                <w:b/>
                <w:sz w:val="14"/>
              </w:rPr>
            </w:pPr>
            <w:r>
              <w:rPr>
                <w:b/>
                <w:w w:val="99"/>
                <w:sz w:val="14"/>
              </w:rPr>
              <w:t>-</w:t>
            </w:r>
          </w:p>
        </w:tc>
        <w:tc>
          <w:tcPr>
            <w:tcW w:w="868" w:type="dxa"/>
            <w:tcBorders>
              <w:top w:val="single" w:sz="1" w:space="0" w:color="000000"/>
            </w:tcBorders>
          </w:tcPr>
          <w:p>
            <w:pPr>
              <w:pStyle w:val="TableParagraph"/>
              <w:rPr>
                <w:b/>
                <w:sz w:val="14"/>
              </w:rPr>
            </w:pPr>
          </w:p>
          <w:p>
            <w:pPr>
              <w:pStyle w:val="TableParagraph"/>
              <w:spacing w:before="5"/>
              <w:rPr>
                <w:b/>
                <w:sz w:val="14"/>
              </w:rPr>
            </w:pPr>
          </w:p>
          <w:p>
            <w:pPr>
              <w:pStyle w:val="TableParagraph"/>
              <w:ind w:right="174"/>
              <w:jc w:val="right"/>
              <w:rPr>
                <w:sz w:val="14"/>
              </w:rPr>
            </w:pPr>
            <w:r>
              <w:rPr>
                <w:w w:val="99"/>
                <w:sz w:val="14"/>
              </w:rPr>
              <w:t>-</w:t>
            </w:r>
          </w:p>
        </w:tc>
        <w:tc>
          <w:tcPr>
            <w:tcW w:w="902" w:type="dxa"/>
            <w:tcBorders>
              <w:top w:val="single" w:sz="1" w:space="0" w:color="000000"/>
            </w:tcBorders>
          </w:tcPr>
          <w:p>
            <w:pPr>
              <w:pStyle w:val="TableParagraph"/>
              <w:rPr>
                <w:b/>
                <w:sz w:val="14"/>
              </w:rPr>
            </w:pPr>
          </w:p>
          <w:p>
            <w:pPr>
              <w:pStyle w:val="TableParagraph"/>
              <w:spacing w:before="5"/>
              <w:rPr>
                <w:b/>
                <w:sz w:val="14"/>
              </w:rPr>
            </w:pPr>
          </w:p>
          <w:p>
            <w:pPr>
              <w:pStyle w:val="TableParagraph"/>
              <w:ind w:right="131"/>
              <w:jc w:val="right"/>
              <w:rPr>
                <w:b/>
                <w:sz w:val="14"/>
              </w:rPr>
            </w:pPr>
            <w:r>
              <w:rPr>
                <w:b/>
                <w:w w:val="95"/>
                <w:sz w:val="14"/>
              </w:rPr>
              <w:t>(55,636)</w:t>
            </w:r>
          </w:p>
        </w:tc>
        <w:tc>
          <w:tcPr>
            <w:tcW w:w="877" w:type="dxa"/>
            <w:tcBorders>
              <w:top w:val="single" w:sz="1" w:space="0" w:color="000000"/>
            </w:tcBorders>
          </w:tcPr>
          <w:p>
            <w:pPr>
              <w:pStyle w:val="TableParagraph"/>
              <w:rPr>
                <w:b/>
                <w:sz w:val="14"/>
              </w:rPr>
            </w:pPr>
          </w:p>
          <w:p>
            <w:pPr>
              <w:pStyle w:val="TableParagraph"/>
              <w:spacing w:before="5"/>
              <w:rPr>
                <w:b/>
                <w:sz w:val="14"/>
              </w:rPr>
            </w:pPr>
          </w:p>
          <w:p>
            <w:pPr>
              <w:pStyle w:val="TableParagraph"/>
              <w:ind w:right="151"/>
              <w:jc w:val="right"/>
              <w:rPr>
                <w:sz w:val="14"/>
              </w:rPr>
            </w:pPr>
            <w:r>
              <w:rPr>
                <w:w w:val="95"/>
                <w:sz w:val="14"/>
              </w:rPr>
              <w:t>(43,995)</w:t>
            </w:r>
          </w:p>
        </w:tc>
        <w:tc>
          <w:tcPr>
            <w:tcW w:w="880" w:type="dxa"/>
            <w:tcBorders>
              <w:top w:val="single" w:sz="1" w:space="0" w:color="000000"/>
            </w:tcBorders>
          </w:tcPr>
          <w:p>
            <w:pPr>
              <w:pStyle w:val="TableParagraph"/>
              <w:rPr>
                <w:b/>
                <w:sz w:val="14"/>
              </w:rPr>
            </w:pPr>
          </w:p>
          <w:p>
            <w:pPr>
              <w:pStyle w:val="TableParagraph"/>
              <w:spacing w:before="5"/>
              <w:rPr>
                <w:b/>
                <w:sz w:val="14"/>
              </w:rPr>
            </w:pPr>
          </w:p>
          <w:p>
            <w:pPr>
              <w:pStyle w:val="TableParagraph"/>
              <w:ind w:left="131" w:right="32"/>
              <w:jc w:val="center"/>
              <w:rPr>
                <w:b/>
                <w:sz w:val="14"/>
              </w:rPr>
            </w:pPr>
            <w:r>
              <w:rPr>
                <w:b/>
                <w:sz w:val="14"/>
              </w:rPr>
              <w:t>(55,636)</w:t>
            </w:r>
          </w:p>
        </w:tc>
        <w:tc>
          <w:tcPr>
            <w:tcW w:w="748" w:type="dxa"/>
            <w:tcBorders>
              <w:top w:val="single" w:sz="1" w:space="0" w:color="000000"/>
            </w:tcBorders>
          </w:tcPr>
          <w:p>
            <w:pPr>
              <w:pStyle w:val="TableParagraph"/>
              <w:rPr>
                <w:b/>
                <w:sz w:val="14"/>
              </w:rPr>
            </w:pPr>
          </w:p>
          <w:p>
            <w:pPr>
              <w:pStyle w:val="TableParagraph"/>
              <w:spacing w:before="5"/>
              <w:rPr>
                <w:b/>
                <w:sz w:val="14"/>
              </w:rPr>
            </w:pPr>
          </w:p>
          <w:p>
            <w:pPr>
              <w:pStyle w:val="TableParagraph"/>
              <w:ind w:right="21"/>
              <w:jc w:val="right"/>
              <w:rPr>
                <w:sz w:val="14"/>
              </w:rPr>
            </w:pPr>
            <w:r>
              <w:rPr>
                <w:w w:val="95"/>
                <w:sz w:val="14"/>
              </w:rPr>
              <w:t>(43,995)</w:t>
            </w:r>
          </w:p>
        </w:tc>
      </w:tr>
      <w:tr>
        <w:trPr>
          <w:trHeight w:val="218" w:hRule="exact"/>
        </w:trPr>
        <w:tc>
          <w:tcPr>
            <w:tcW w:w="2813" w:type="dxa"/>
            <w:gridSpan w:val="2"/>
          </w:tcPr>
          <w:p>
            <w:pPr>
              <w:pStyle w:val="TableParagraph"/>
              <w:tabs>
                <w:tab w:pos="2711" w:val="right" w:leader="none"/>
              </w:tabs>
              <w:spacing w:before="21"/>
              <w:ind w:left="35"/>
              <w:rPr>
                <w:b/>
                <w:sz w:val="14"/>
              </w:rPr>
            </w:pPr>
            <w:r>
              <w:rPr>
                <w:sz w:val="14"/>
              </w:rPr>
              <w:t>Borrowings</w:t>
            </w:r>
            <w:r>
              <w:rPr>
                <w:rFonts w:ascii="Times New Roman"/>
                <w:sz w:val="14"/>
              </w:rPr>
              <w:tab/>
            </w:r>
            <w:r>
              <w:rPr>
                <w:b/>
                <w:sz w:val="14"/>
              </w:rPr>
              <w:t>2.75</w:t>
            </w:r>
          </w:p>
        </w:tc>
        <w:tc>
          <w:tcPr>
            <w:tcW w:w="641" w:type="dxa"/>
          </w:tcPr>
          <w:p>
            <w:pPr>
              <w:pStyle w:val="TableParagraph"/>
              <w:spacing w:before="21"/>
              <w:ind w:right="174"/>
              <w:jc w:val="right"/>
              <w:rPr>
                <w:sz w:val="14"/>
              </w:rPr>
            </w:pPr>
            <w:r>
              <w:rPr>
                <w:sz w:val="14"/>
              </w:rPr>
              <w:t>2.78</w:t>
            </w:r>
          </w:p>
        </w:tc>
        <w:tc>
          <w:tcPr>
            <w:tcW w:w="890" w:type="dxa"/>
          </w:tcPr>
          <w:p>
            <w:pPr>
              <w:pStyle w:val="TableParagraph"/>
              <w:spacing w:before="21"/>
              <w:ind w:right="164"/>
              <w:jc w:val="right"/>
              <w:rPr>
                <w:b/>
                <w:sz w:val="14"/>
              </w:rPr>
            </w:pPr>
            <w:r>
              <w:rPr>
                <w:b/>
                <w:w w:val="99"/>
                <w:sz w:val="14"/>
              </w:rPr>
              <w:t>-</w:t>
            </w:r>
          </w:p>
        </w:tc>
        <w:tc>
          <w:tcPr>
            <w:tcW w:w="869" w:type="dxa"/>
          </w:tcPr>
          <w:p>
            <w:pPr>
              <w:pStyle w:val="TableParagraph"/>
              <w:spacing w:before="21"/>
              <w:ind w:right="174"/>
              <w:jc w:val="right"/>
              <w:rPr>
                <w:sz w:val="14"/>
              </w:rPr>
            </w:pPr>
            <w:r>
              <w:rPr>
                <w:w w:val="99"/>
                <w:sz w:val="14"/>
              </w:rPr>
              <w:t>-</w:t>
            </w:r>
          </w:p>
        </w:tc>
        <w:tc>
          <w:tcPr>
            <w:tcW w:w="889" w:type="dxa"/>
          </w:tcPr>
          <w:p>
            <w:pPr>
              <w:pStyle w:val="TableParagraph"/>
              <w:spacing w:before="21"/>
              <w:ind w:right="163"/>
              <w:jc w:val="right"/>
              <w:rPr>
                <w:b/>
                <w:sz w:val="14"/>
              </w:rPr>
            </w:pPr>
            <w:r>
              <w:rPr>
                <w:b/>
                <w:w w:val="99"/>
                <w:sz w:val="14"/>
              </w:rPr>
              <w:t>-</w:t>
            </w:r>
          </w:p>
        </w:tc>
        <w:tc>
          <w:tcPr>
            <w:tcW w:w="890" w:type="dxa"/>
          </w:tcPr>
          <w:p>
            <w:pPr>
              <w:pStyle w:val="TableParagraph"/>
              <w:spacing w:before="21"/>
              <w:ind w:right="151"/>
              <w:jc w:val="right"/>
              <w:rPr>
                <w:sz w:val="14"/>
              </w:rPr>
            </w:pPr>
            <w:r>
              <w:rPr>
                <w:w w:val="95"/>
                <w:sz w:val="14"/>
              </w:rPr>
              <w:t>(72,000)</w:t>
            </w:r>
          </w:p>
        </w:tc>
        <w:tc>
          <w:tcPr>
            <w:tcW w:w="889" w:type="dxa"/>
          </w:tcPr>
          <w:p>
            <w:pPr>
              <w:pStyle w:val="TableParagraph"/>
              <w:spacing w:before="21"/>
              <w:ind w:right="140"/>
              <w:jc w:val="right"/>
              <w:rPr>
                <w:b/>
                <w:sz w:val="14"/>
              </w:rPr>
            </w:pPr>
            <w:r>
              <w:rPr>
                <w:b/>
                <w:w w:val="95"/>
                <w:sz w:val="14"/>
              </w:rPr>
              <w:t>(163,500)</w:t>
            </w:r>
          </w:p>
        </w:tc>
        <w:tc>
          <w:tcPr>
            <w:tcW w:w="868" w:type="dxa"/>
          </w:tcPr>
          <w:p>
            <w:pPr>
              <w:pStyle w:val="TableParagraph"/>
              <w:spacing w:before="21"/>
              <w:ind w:right="151"/>
              <w:jc w:val="right"/>
              <w:rPr>
                <w:sz w:val="14"/>
              </w:rPr>
            </w:pPr>
            <w:r>
              <w:rPr>
                <w:w w:val="95"/>
                <w:sz w:val="14"/>
              </w:rPr>
              <w:t>(83,000)</w:t>
            </w:r>
          </w:p>
        </w:tc>
        <w:tc>
          <w:tcPr>
            <w:tcW w:w="867" w:type="dxa"/>
          </w:tcPr>
          <w:p>
            <w:pPr>
              <w:pStyle w:val="TableParagraph"/>
              <w:spacing w:before="21"/>
              <w:ind w:right="163"/>
              <w:jc w:val="right"/>
              <w:rPr>
                <w:b/>
                <w:sz w:val="14"/>
              </w:rPr>
            </w:pPr>
            <w:r>
              <w:rPr>
                <w:b/>
                <w:w w:val="99"/>
                <w:sz w:val="14"/>
              </w:rPr>
              <w:t>-</w:t>
            </w:r>
          </w:p>
        </w:tc>
        <w:tc>
          <w:tcPr>
            <w:tcW w:w="868" w:type="dxa"/>
          </w:tcPr>
          <w:p>
            <w:pPr>
              <w:pStyle w:val="TableParagraph"/>
              <w:spacing w:before="21"/>
              <w:ind w:right="174"/>
              <w:jc w:val="right"/>
              <w:rPr>
                <w:sz w:val="14"/>
              </w:rPr>
            </w:pPr>
            <w:r>
              <w:rPr>
                <w:w w:val="99"/>
                <w:sz w:val="14"/>
              </w:rPr>
              <w:t>-</w:t>
            </w:r>
          </w:p>
        </w:tc>
        <w:tc>
          <w:tcPr>
            <w:tcW w:w="902" w:type="dxa"/>
          </w:tcPr>
          <w:p>
            <w:pPr>
              <w:pStyle w:val="TableParagraph"/>
              <w:spacing w:before="21"/>
              <w:ind w:right="176"/>
              <w:jc w:val="right"/>
              <w:rPr>
                <w:b/>
                <w:sz w:val="14"/>
              </w:rPr>
            </w:pPr>
            <w:r>
              <w:rPr>
                <w:b/>
                <w:w w:val="99"/>
                <w:sz w:val="14"/>
              </w:rPr>
              <w:t>-</w:t>
            </w:r>
          </w:p>
        </w:tc>
        <w:tc>
          <w:tcPr>
            <w:tcW w:w="877" w:type="dxa"/>
          </w:tcPr>
          <w:p>
            <w:pPr>
              <w:pStyle w:val="TableParagraph"/>
              <w:spacing w:before="21"/>
              <w:ind w:right="196"/>
              <w:jc w:val="right"/>
              <w:rPr>
                <w:sz w:val="14"/>
              </w:rPr>
            </w:pPr>
            <w:r>
              <w:rPr>
                <w:w w:val="99"/>
                <w:sz w:val="14"/>
              </w:rPr>
              <w:t>-</w:t>
            </w:r>
          </w:p>
        </w:tc>
        <w:tc>
          <w:tcPr>
            <w:tcW w:w="880" w:type="dxa"/>
          </w:tcPr>
          <w:p>
            <w:pPr>
              <w:pStyle w:val="TableParagraph"/>
              <w:spacing w:before="21"/>
              <w:ind w:left="131" w:right="109"/>
              <w:jc w:val="center"/>
              <w:rPr>
                <w:b/>
                <w:sz w:val="14"/>
              </w:rPr>
            </w:pPr>
            <w:r>
              <w:rPr>
                <w:b/>
                <w:sz w:val="14"/>
              </w:rPr>
              <w:t>(163,500)</w:t>
            </w:r>
          </w:p>
        </w:tc>
        <w:tc>
          <w:tcPr>
            <w:tcW w:w="748" w:type="dxa"/>
          </w:tcPr>
          <w:p>
            <w:pPr>
              <w:pStyle w:val="TableParagraph"/>
              <w:spacing w:before="21"/>
              <w:ind w:right="21"/>
              <w:jc w:val="right"/>
              <w:rPr>
                <w:sz w:val="14"/>
              </w:rPr>
            </w:pPr>
            <w:r>
              <w:rPr>
                <w:w w:val="95"/>
                <w:sz w:val="14"/>
              </w:rPr>
              <w:t>(155,000)</w:t>
            </w:r>
          </w:p>
        </w:tc>
      </w:tr>
      <w:tr>
        <w:trPr>
          <w:trHeight w:val="218" w:hRule="exact"/>
        </w:trPr>
        <w:tc>
          <w:tcPr>
            <w:tcW w:w="2813" w:type="dxa"/>
            <w:gridSpan w:val="2"/>
          </w:tcPr>
          <w:p>
            <w:pPr>
              <w:pStyle w:val="TableParagraph"/>
              <w:tabs>
                <w:tab w:pos="2665" w:val="left" w:leader="none"/>
              </w:tabs>
              <w:spacing w:before="21"/>
              <w:ind w:left="35"/>
              <w:rPr>
                <w:b/>
                <w:sz w:val="14"/>
              </w:rPr>
            </w:pPr>
            <w:r>
              <w:rPr>
                <w:sz w:val="14"/>
              </w:rPr>
              <w:t>Other</w:t>
            </w:r>
            <w:r>
              <w:rPr>
                <w:spacing w:val="-9"/>
                <w:sz w:val="14"/>
              </w:rPr>
              <w:t> </w:t>
            </w:r>
            <w:r>
              <w:rPr>
                <w:sz w:val="14"/>
              </w:rPr>
              <w:t>financial</w:t>
            </w:r>
            <w:r>
              <w:rPr>
                <w:spacing w:val="-9"/>
                <w:sz w:val="14"/>
              </w:rPr>
              <w:t> </w:t>
            </w:r>
            <w:r>
              <w:rPr>
                <w:sz w:val="14"/>
              </w:rPr>
              <w:t>liabilities</w:t>
              <w:tab/>
            </w:r>
            <w:r>
              <w:rPr>
                <w:b/>
                <w:sz w:val="14"/>
              </w:rPr>
              <w:t>-</w:t>
            </w:r>
          </w:p>
        </w:tc>
        <w:tc>
          <w:tcPr>
            <w:tcW w:w="641" w:type="dxa"/>
            <w:tcBorders>
              <w:bottom w:val="single" w:sz="1" w:space="0" w:color="000000"/>
            </w:tcBorders>
          </w:tcPr>
          <w:p>
            <w:pPr>
              <w:pStyle w:val="TableParagraph"/>
              <w:spacing w:before="21"/>
              <w:ind w:right="174"/>
              <w:jc w:val="right"/>
              <w:rPr>
                <w:sz w:val="14"/>
              </w:rPr>
            </w:pPr>
            <w:r>
              <w:rPr>
                <w:w w:val="99"/>
                <w:sz w:val="14"/>
              </w:rPr>
              <w:t>-</w:t>
            </w:r>
          </w:p>
        </w:tc>
        <w:tc>
          <w:tcPr>
            <w:tcW w:w="890" w:type="dxa"/>
            <w:tcBorders>
              <w:bottom w:val="single" w:sz="1" w:space="0" w:color="000000"/>
            </w:tcBorders>
          </w:tcPr>
          <w:p>
            <w:pPr>
              <w:pStyle w:val="TableParagraph"/>
              <w:spacing w:before="21"/>
              <w:ind w:right="164"/>
              <w:jc w:val="right"/>
              <w:rPr>
                <w:b/>
                <w:sz w:val="14"/>
              </w:rPr>
            </w:pPr>
            <w:r>
              <w:rPr>
                <w:b/>
                <w:w w:val="99"/>
                <w:sz w:val="14"/>
              </w:rPr>
              <w:t>-</w:t>
            </w:r>
          </w:p>
        </w:tc>
        <w:tc>
          <w:tcPr>
            <w:tcW w:w="869" w:type="dxa"/>
            <w:tcBorders>
              <w:bottom w:val="single" w:sz="1" w:space="0" w:color="000000"/>
            </w:tcBorders>
          </w:tcPr>
          <w:p>
            <w:pPr>
              <w:pStyle w:val="TableParagraph"/>
              <w:spacing w:before="21"/>
              <w:ind w:right="174"/>
              <w:jc w:val="right"/>
              <w:rPr>
                <w:sz w:val="14"/>
              </w:rPr>
            </w:pPr>
            <w:r>
              <w:rPr>
                <w:w w:val="99"/>
                <w:sz w:val="14"/>
              </w:rPr>
              <w:t>-</w:t>
            </w:r>
          </w:p>
        </w:tc>
        <w:tc>
          <w:tcPr>
            <w:tcW w:w="889" w:type="dxa"/>
            <w:tcBorders>
              <w:bottom w:val="single" w:sz="1" w:space="0" w:color="000000"/>
            </w:tcBorders>
          </w:tcPr>
          <w:p>
            <w:pPr>
              <w:pStyle w:val="TableParagraph"/>
              <w:spacing w:before="21"/>
              <w:ind w:right="163"/>
              <w:jc w:val="right"/>
              <w:rPr>
                <w:b/>
                <w:sz w:val="14"/>
              </w:rPr>
            </w:pPr>
            <w:r>
              <w:rPr>
                <w:b/>
                <w:w w:val="99"/>
                <w:sz w:val="14"/>
              </w:rPr>
              <w:t>-</w:t>
            </w:r>
          </w:p>
        </w:tc>
        <w:tc>
          <w:tcPr>
            <w:tcW w:w="890" w:type="dxa"/>
            <w:tcBorders>
              <w:bottom w:val="single" w:sz="1" w:space="0" w:color="000000"/>
            </w:tcBorders>
          </w:tcPr>
          <w:p>
            <w:pPr>
              <w:pStyle w:val="TableParagraph"/>
              <w:spacing w:before="21"/>
              <w:ind w:right="196"/>
              <w:jc w:val="right"/>
              <w:rPr>
                <w:sz w:val="14"/>
              </w:rPr>
            </w:pPr>
            <w:r>
              <w:rPr>
                <w:w w:val="99"/>
                <w:sz w:val="14"/>
              </w:rPr>
              <w:t>-</w:t>
            </w:r>
          </w:p>
        </w:tc>
        <w:tc>
          <w:tcPr>
            <w:tcW w:w="889" w:type="dxa"/>
            <w:tcBorders>
              <w:bottom w:val="single" w:sz="1" w:space="0" w:color="000000"/>
            </w:tcBorders>
          </w:tcPr>
          <w:p>
            <w:pPr>
              <w:pStyle w:val="TableParagraph"/>
              <w:spacing w:before="21"/>
              <w:ind w:right="185"/>
              <w:jc w:val="right"/>
              <w:rPr>
                <w:b/>
                <w:sz w:val="14"/>
              </w:rPr>
            </w:pPr>
            <w:r>
              <w:rPr>
                <w:b/>
                <w:w w:val="99"/>
                <w:sz w:val="14"/>
              </w:rPr>
              <w:t>-</w:t>
            </w:r>
          </w:p>
        </w:tc>
        <w:tc>
          <w:tcPr>
            <w:tcW w:w="868" w:type="dxa"/>
            <w:tcBorders>
              <w:bottom w:val="single" w:sz="1" w:space="0" w:color="000000"/>
            </w:tcBorders>
          </w:tcPr>
          <w:p>
            <w:pPr>
              <w:pStyle w:val="TableParagraph"/>
              <w:spacing w:before="21"/>
              <w:ind w:right="196"/>
              <w:jc w:val="right"/>
              <w:rPr>
                <w:sz w:val="14"/>
              </w:rPr>
            </w:pPr>
            <w:r>
              <w:rPr>
                <w:w w:val="99"/>
                <w:sz w:val="14"/>
              </w:rPr>
              <w:t>-</w:t>
            </w:r>
          </w:p>
        </w:tc>
        <w:tc>
          <w:tcPr>
            <w:tcW w:w="867" w:type="dxa"/>
            <w:tcBorders>
              <w:bottom w:val="single" w:sz="1" w:space="0" w:color="000000"/>
            </w:tcBorders>
          </w:tcPr>
          <w:p>
            <w:pPr>
              <w:pStyle w:val="TableParagraph"/>
              <w:spacing w:before="21"/>
              <w:ind w:right="163"/>
              <w:jc w:val="right"/>
              <w:rPr>
                <w:b/>
                <w:sz w:val="14"/>
              </w:rPr>
            </w:pPr>
            <w:r>
              <w:rPr>
                <w:b/>
                <w:w w:val="99"/>
                <w:sz w:val="14"/>
              </w:rPr>
              <w:t>-</w:t>
            </w:r>
          </w:p>
        </w:tc>
        <w:tc>
          <w:tcPr>
            <w:tcW w:w="868" w:type="dxa"/>
            <w:tcBorders>
              <w:bottom w:val="single" w:sz="1" w:space="0" w:color="000000"/>
            </w:tcBorders>
          </w:tcPr>
          <w:p>
            <w:pPr>
              <w:pStyle w:val="TableParagraph"/>
              <w:spacing w:before="21"/>
              <w:ind w:right="174"/>
              <w:jc w:val="right"/>
              <w:rPr>
                <w:sz w:val="14"/>
              </w:rPr>
            </w:pPr>
            <w:r>
              <w:rPr>
                <w:w w:val="99"/>
                <w:sz w:val="14"/>
              </w:rPr>
              <w:t>-</w:t>
            </w:r>
          </w:p>
        </w:tc>
        <w:tc>
          <w:tcPr>
            <w:tcW w:w="902" w:type="dxa"/>
            <w:tcBorders>
              <w:bottom w:val="single" w:sz="1" w:space="0" w:color="000000"/>
            </w:tcBorders>
          </w:tcPr>
          <w:p>
            <w:pPr>
              <w:pStyle w:val="TableParagraph"/>
              <w:spacing w:before="21"/>
              <w:ind w:right="131"/>
              <w:jc w:val="right"/>
              <w:rPr>
                <w:b/>
                <w:sz w:val="14"/>
              </w:rPr>
            </w:pPr>
            <w:r>
              <w:rPr>
                <w:b/>
                <w:w w:val="95"/>
                <w:sz w:val="14"/>
              </w:rPr>
              <w:t>(97,237)</w:t>
            </w:r>
          </w:p>
        </w:tc>
        <w:tc>
          <w:tcPr>
            <w:tcW w:w="877" w:type="dxa"/>
            <w:tcBorders>
              <w:bottom w:val="single" w:sz="1" w:space="0" w:color="000000"/>
            </w:tcBorders>
          </w:tcPr>
          <w:p>
            <w:pPr>
              <w:pStyle w:val="TableParagraph"/>
              <w:spacing w:before="21"/>
              <w:ind w:right="151"/>
              <w:jc w:val="right"/>
              <w:rPr>
                <w:sz w:val="14"/>
              </w:rPr>
            </w:pPr>
            <w:r>
              <w:rPr>
                <w:w w:val="95"/>
                <w:sz w:val="14"/>
              </w:rPr>
              <w:t>(58,279)</w:t>
            </w:r>
          </w:p>
        </w:tc>
        <w:tc>
          <w:tcPr>
            <w:tcW w:w="880" w:type="dxa"/>
            <w:tcBorders>
              <w:bottom w:val="single" w:sz="1" w:space="0" w:color="000000"/>
            </w:tcBorders>
          </w:tcPr>
          <w:p>
            <w:pPr>
              <w:pStyle w:val="TableParagraph"/>
              <w:spacing w:before="21"/>
              <w:ind w:left="131" w:right="32"/>
              <w:jc w:val="center"/>
              <w:rPr>
                <w:b/>
                <w:sz w:val="14"/>
              </w:rPr>
            </w:pPr>
            <w:r>
              <w:rPr>
                <w:b/>
                <w:sz w:val="14"/>
              </w:rPr>
              <w:t>(97,237)</w:t>
            </w:r>
          </w:p>
        </w:tc>
        <w:tc>
          <w:tcPr>
            <w:tcW w:w="748" w:type="dxa"/>
            <w:tcBorders>
              <w:bottom w:val="single" w:sz="1" w:space="0" w:color="000000"/>
            </w:tcBorders>
          </w:tcPr>
          <w:p>
            <w:pPr>
              <w:pStyle w:val="TableParagraph"/>
              <w:spacing w:before="21"/>
              <w:ind w:right="21"/>
              <w:jc w:val="right"/>
              <w:rPr>
                <w:sz w:val="14"/>
              </w:rPr>
            </w:pPr>
            <w:r>
              <w:rPr>
                <w:w w:val="95"/>
                <w:sz w:val="14"/>
              </w:rPr>
              <w:t>(58,279)</w:t>
            </w:r>
          </w:p>
        </w:tc>
      </w:tr>
      <w:tr>
        <w:trPr>
          <w:trHeight w:val="307" w:hRule="exact"/>
        </w:trPr>
        <w:tc>
          <w:tcPr>
            <w:tcW w:w="2813" w:type="dxa"/>
            <w:gridSpan w:val="2"/>
          </w:tcPr>
          <w:p>
            <w:pPr>
              <w:pStyle w:val="TableParagraph"/>
              <w:spacing w:before="124"/>
              <w:ind w:left="35"/>
              <w:rPr>
                <w:b/>
                <w:sz w:val="14"/>
              </w:rPr>
            </w:pPr>
            <w:r>
              <w:rPr>
                <w:b/>
                <w:sz w:val="14"/>
              </w:rPr>
              <w:t>Total Financial Liabilities</w:t>
            </w:r>
          </w:p>
        </w:tc>
        <w:tc>
          <w:tcPr>
            <w:tcW w:w="641" w:type="dxa"/>
            <w:tcBorders>
              <w:top w:val="single" w:sz="1" w:space="0" w:color="000000"/>
              <w:bottom w:val="single" w:sz="1" w:space="0" w:color="000000"/>
            </w:tcBorders>
          </w:tcPr>
          <w:p>
            <w:pPr/>
          </w:p>
        </w:tc>
        <w:tc>
          <w:tcPr>
            <w:tcW w:w="890" w:type="dxa"/>
            <w:tcBorders>
              <w:top w:val="single" w:sz="1" w:space="0" w:color="000000"/>
              <w:bottom w:val="single" w:sz="1" w:space="0" w:color="000000"/>
            </w:tcBorders>
          </w:tcPr>
          <w:p>
            <w:pPr>
              <w:pStyle w:val="TableParagraph"/>
              <w:spacing w:before="123"/>
              <w:ind w:right="164"/>
              <w:jc w:val="right"/>
              <w:rPr>
                <w:b/>
                <w:sz w:val="14"/>
              </w:rPr>
            </w:pPr>
            <w:r>
              <w:rPr>
                <w:b/>
                <w:w w:val="99"/>
                <w:sz w:val="14"/>
              </w:rPr>
              <w:t>-</w:t>
            </w:r>
          </w:p>
        </w:tc>
        <w:tc>
          <w:tcPr>
            <w:tcW w:w="869" w:type="dxa"/>
            <w:tcBorders>
              <w:top w:val="single" w:sz="1" w:space="0" w:color="000000"/>
              <w:bottom w:val="single" w:sz="1" w:space="0" w:color="000000"/>
            </w:tcBorders>
          </w:tcPr>
          <w:p>
            <w:pPr>
              <w:pStyle w:val="TableParagraph"/>
              <w:spacing w:before="123"/>
              <w:ind w:right="174"/>
              <w:jc w:val="right"/>
              <w:rPr>
                <w:sz w:val="14"/>
              </w:rPr>
            </w:pPr>
            <w:r>
              <w:rPr>
                <w:w w:val="99"/>
                <w:sz w:val="14"/>
              </w:rPr>
              <w:t>-</w:t>
            </w:r>
          </w:p>
        </w:tc>
        <w:tc>
          <w:tcPr>
            <w:tcW w:w="889" w:type="dxa"/>
            <w:tcBorders>
              <w:top w:val="single" w:sz="1" w:space="0" w:color="000000"/>
              <w:bottom w:val="single" w:sz="1" w:space="0" w:color="000000"/>
            </w:tcBorders>
          </w:tcPr>
          <w:p>
            <w:pPr>
              <w:pStyle w:val="TableParagraph"/>
              <w:spacing w:before="123"/>
              <w:ind w:right="163"/>
              <w:jc w:val="right"/>
              <w:rPr>
                <w:b/>
                <w:sz w:val="14"/>
              </w:rPr>
            </w:pPr>
            <w:r>
              <w:rPr>
                <w:b/>
                <w:w w:val="99"/>
                <w:sz w:val="14"/>
              </w:rPr>
              <w:t>-</w:t>
            </w:r>
          </w:p>
        </w:tc>
        <w:tc>
          <w:tcPr>
            <w:tcW w:w="890" w:type="dxa"/>
            <w:tcBorders>
              <w:top w:val="single" w:sz="1" w:space="0" w:color="000000"/>
              <w:bottom w:val="single" w:sz="1" w:space="0" w:color="000000"/>
            </w:tcBorders>
          </w:tcPr>
          <w:p>
            <w:pPr>
              <w:pStyle w:val="TableParagraph"/>
              <w:spacing w:before="123"/>
              <w:ind w:right="151"/>
              <w:jc w:val="right"/>
              <w:rPr>
                <w:sz w:val="14"/>
              </w:rPr>
            </w:pPr>
            <w:r>
              <w:rPr>
                <w:w w:val="95"/>
                <w:sz w:val="14"/>
              </w:rPr>
              <w:t>(72,000)</w:t>
            </w:r>
          </w:p>
        </w:tc>
        <w:tc>
          <w:tcPr>
            <w:tcW w:w="889" w:type="dxa"/>
            <w:tcBorders>
              <w:top w:val="single" w:sz="1" w:space="0" w:color="000000"/>
              <w:bottom w:val="single" w:sz="1" w:space="0" w:color="000000"/>
            </w:tcBorders>
          </w:tcPr>
          <w:p>
            <w:pPr>
              <w:pStyle w:val="TableParagraph"/>
              <w:spacing w:before="123"/>
              <w:ind w:right="140"/>
              <w:jc w:val="right"/>
              <w:rPr>
                <w:b/>
                <w:sz w:val="14"/>
              </w:rPr>
            </w:pPr>
            <w:r>
              <w:rPr>
                <w:b/>
                <w:w w:val="95"/>
                <w:sz w:val="14"/>
              </w:rPr>
              <w:t>(163,500)</w:t>
            </w:r>
          </w:p>
        </w:tc>
        <w:tc>
          <w:tcPr>
            <w:tcW w:w="868" w:type="dxa"/>
            <w:tcBorders>
              <w:top w:val="single" w:sz="1" w:space="0" w:color="000000"/>
              <w:bottom w:val="single" w:sz="1" w:space="0" w:color="000000"/>
            </w:tcBorders>
          </w:tcPr>
          <w:p>
            <w:pPr>
              <w:pStyle w:val="TableParagraph"/>
              <w:spacing w:before="123"/>
              <w:ind w:right="151"/>
              <w:jc w:val="right"/>
              <w:rPr>
                <w:sz w:val="14"/>
              </w:rPr>
            </w:pPr>
            <w:r>
              <w:rPr>
                <w:w w:val="95"/>
                <w:sz w:val="14"/>
              </w:rPr>
              <w:t>(83,000)</w:t>
            </w:r>
          </w:p>
        </w:tc>
        <w:tc>
          <w:tcPr>
            <w:tcW w:w="867" w:type="dxa"/>
            <w:tcBorders>
              <w:top w:val="single" w:sz="1" w:space="0" w:color="000000"/>
              <w:bottom w:val="single" w:sz="1" w:space="0" w:color="000000"/>
            </w:tcBorders>
          </w:tcPr>
          <w:p>
            <w:pPr>
              <w:pStyle w:val="TableParagraph"/>
              <w:spacing w:before="123"/>
              <w:ind w:right="163"/>
              <w:jc w:val="right"/>
              <w:rPr>
                <w:b/>
                <w:sz w:val="14"/>
              </w:rPr>
            </w:pPr>
            <w:r>
              <w:rPr>
                <w:b/>
                <w:w w:val="99"/>
                <w:sz w:val="14"/>
              </w:rPr>
              <w:t>-</w:t>
            </w:r>
          </w:p>
        </w:tc>
        <w:tc>
          <w:tcPr>
            <w:tcW w:w="868" w:type="dxa"/>
            <w:tcBorders>
              <w:top w:val="single" w:sz="1" w:space="0" w:color="000000"/>
              <w:bottom w:val="single" w:sz="1" w:space="0" w:color="000000"/>
            </w:tcBorders>
          </w:tcPr>
          <w:p>
            <w:pPr>
              <w:pStyle w:val="TableParagraph"/>
              <w:spacing w:before="123"/>
              <w:ind w:right="174"/>
              <w:jc w:val="right"/>
              <w:rPr>
                <w:sz w:val="14"/>
              </w:rPr>
            </w:pPr>
            <w:r>
              <w:rPr>
                <w:w w:val="99"/>
                <w:sz w:val="14"/>
              </w:rPr>
              <w:t>-</w:t>
            </w:r>
          </w:p>
        </w:tc>
        <w:tc>
          <w:tcPr>
            <w:tcW w:w="902" w:type="dxa"/>
            <w:tcBorders>
              <w:top w:val="single" w:sz="1" w:space="0" w:color="000000"/>
              <w:bottom w:val="single" w:sz="1" w:space="0" w:color="000000"/>
            </w:tcBorders>
          </w:tcPr>
          <w:p>
            <w:pPr>
              <w:pStyle w:val="TableParagraph"/>
              <w:spacing w:before="123"/>
              <w:ind w:right="131"/>
              <w:jc w:val="right"/>
              <w:rPr>
                <w:b/>
                <w:sz w:val="14"/>
              </w:rPr>
            </w:pPr>
            <w:r>
              <w:rPr>
                <w:b/>
                <w:w w:val="95"/>
                <w:sz w:val="14"/>
              </w:rPr>
              <w:t>(152,873)</w:t>
            </w:r>
          </w:p>
        </w:tc>
        <w:tc>
          <w:tcPr>
            <w:tcW w:w="877" w:type="dxa"/>
            <w:tcBorders>
              <w:top w:val="single" w:sz="1" w:space="0" w:color="000000"/>
              <w:bottom w:val="single" w:sz="1" w:space="0" w:color="000000"/>
            </w:tcBorders>
          </w:tcPr>
          <w:p>
            <w:pPr>
              <w:pStyle w:val="TableParagraph"/>
              <w:spacing w:before="123"/>
              <w:ind w:right="151"/>
              <w:jc w:val="right"/>
              <w:rPr>
                <w:sz w:val="14"/>
              </w:rPr>
            </w:pPr>
            <w:r>
              <w:rPr>
                <w:w w:val="95"/>
                <w:sz w:val="14"/>
              </w:rPr>
              <w:t>(102,274)</w:t>
            </w:r>
          </w:p>
        </w:tc>
        <w:tc>
          <w:tcPr>
            <w:tcW w:w="880" w:type="dxa"/>
            <w:tcBorders>
              <w:top w:val="single" w:sz="1" w:space="0" w:color="000000"/>
              <w:bottom w:val="single" w:sz="1" w:space="0" w:color="000000"/>
            </w:tcBorders>
          </w:tcPr>
          <w:p>
            <w:pPr>
              <w:pStyle w:val="TableParagraph"/>
              <w:spacing w:before="123"/>
              <w:ind w:left="131" w:right="109"/>
              <w:jc w:val="center"/>
              <w:rPr>
                <w:b/>
                <w:sz w:val="14"/>
              </w:rPr>
            </w:pPr>
            <w:r>
              <w:rPr>
                <w:b/>
                <w:sz w:val="14"/>
              </w:rPr>
              <w:t>(316,373)</w:t>
            </w:r>
          </w:p>
        </w:tc>
        <w:tc>
          <w:tcPr>
            <w:tcW w:w="748" w:type="dxa"/>
            <w:tcBorders>
              <w:top w:val="single" w:sz="1" w:space="0" w:color="000000"/>
              <w:bottom w:val="single" w:sz="1" w:space="0" w:color="000000"/>
            </w:tcBorders>
          </w:tcPr>
          <w:p>
            <w:pPr>
              <w:pStyle w:val="TableParagraph"/>
              <w:spacing w:before="123"/>
              <w:ind w:right="21"/>
              <w:jc w:val="right"/>
              <w:rPr>
                <w:sz w:val="14"/>
              </w:rPr>
            </w:pPr>
            <w:r>
              <w:rPr>
                <w:w w:val="95"/>
                <w:sz w:val="14"/>
              </w:rPr>
              <w:t>(257,274)</w:t>
            </w:r>
          </w:p>
        </w:tc>
      </w:tr>
    </w:tbl>
    <w:p>
      <w:pPr>
        <w:pStyle w:val="BodyText"/>
        <w:spacing w:before="7"/>
        <w:rPr>
          <w:b/>
          <w:sz w:val="7"/>
        </w:rPr>
      </w:pPr>
    </w:p>
    <w:p>
      <w:pPr>
        <w:pStyle w:val="ListParagraph"/>
        <w:numPr>
          <w:ilvl w:val="1"/>
          <w:numId w:val="38"/>
        </w:numPr>
        <w:tabs>
          <w:tab w:pos="1278" w:val="left" w:leader="none"/>
        </w:tabs>
        <w:spacing w:line="240" w:lineRule="auto" w:before="82" w:after="0"/>
        <w:ind w:left="1277" w:right="0" w:hanging="207"/>
        <w:jc w:val="left"/>
        <w:rPr>
          <w:sz w:val="14"/>
        </w:rPr>
      </w:pPr>
      <w:r>
        <w:rPr>
          <w:sz w:val="14"/>
        </w:rPr>
        <w:t>The</w:t>
      </w:r>
      <w:r>
        <w:rPr>
          <w:spacing w:val="-8"/>
          <w:sz w:val="14"/>
        </w:rPr>
        <w:t> </w:t>
      </w:r>
      <w:r>
        <w:rPr>
          <w:sz w:val="14"/>
        </w:rPr>
        <w:t>University's</w:t>
      </w:r>
      <w:r>
        <w:rPr>
          <w:spacing w:val="-8"/>
          <w:sz w:val="14"/>
        </w:rPr>
        <w:t> </w:t>
      </w:r>
      <w:r>
        <w:rPr>
          <w:sz w:val="14"/>
        </w:rPr>
        <w:t>deferred</w:t>
      </w:r>
      <w:r>
        <w:rPr>
          <w:spacing w:val="-8"/>
          <w:sz w:val="14"/>
        </w:rPr>
        <w:t> </w:t>
      </w:r>
      <w:r>
        <w:rPr>
          <w:sz w:val="14"/>
        </w:rPr>
        <w:t>government</w:t>
      </w:r>
      <w:r>
        <w:rPr>
          <w:spacing w:val="-8"/>
          <w:sz w:val="14"/>
        </w:rPr>
        <w:t> </w:t>
      </w:r>
      <w:r>
        <w:rPr>
          <w:sz w:val="14"/>
        </w:rPr>
        <w:t>contribution</w:t>
      </w:r>
      <w:r>
        <w:rPr>
          <w:spacing w:val="-8"/>
          <w:sz w:val="14"/>
        </w:rPr>
        <w:t> </w:t>
      </w:r>
      <w:r>
        <w:rPr>
          <w:sz w:val="14"/>
        </w:rPr>
        <w:t>for</w:t>
      </w:r>
      <w:r>
        <w:rPr>
          <w:spacing w:val="-8"/>
          <w:sz w:val="14"/>
        </w:rPr>
        <w:t> </w:t>
      </w:r>
      <w:r>
        <w:rPr>
          <w:sz w:val="14"/>
        </w:rPr>
        <w:t>superannuation</w:t>
      </w:r>
      <w:r>
        <w:rPr>
          <w:spacing w:val="-8"/>
          <w:sz w:val="14"/>
        </w:rPr>
        <w:t> </w:t>
      </w:r>
      <w:r>
        <w:rPr>
          <w:sz w:val="14"/>
        </w:rPr>
        <w:t>included</w:t>
      </w:r>
      <w:r>
        <w:rPr>
          <w:spacing w:val="-8"/>
          <w:sz w:val="14"/>
        </w:rPr>
        <w:t> </w:t>
      </w:r>
      <w:r>
        <w:rPr>
          <w:sz w:val="14"/>
        </w:rPr>
        <w:t>in</w:t>
      </w:r>
      <w:r>
        <w:rPr>
          <w:spacing w:val="-8"/>
          <w:sz w:val="14"/>
        </w:rPr>
        <w:t> </w:t>
      </w:r>
      <w:r>
        <w:rPr>
          <w:sz w:val="14"/>
        </w:rPr>
        <w:t>note</w:t>
      </w:r>
      <w:r>
        <w:rPr>
          <w:spacing w:val="-9"/>
          <w:sz w:val="14"/>
        </w:rPr>
        <w:t> </w:t>
      </w:r>
      <w:r>
        <w:rPr>
          <w:sz w:val="14"/>
        </w:rPr>
        <w:t>18</w:t>
      </w:r>
      <w:r>
        <w:rPr>
          <w:spacing w:val="-9"/>
          <w:sz w:val="14"/>
        </w:rPr>
        <w:t> </w:t>
      </w:r>
      <w:r>
        <w:rPr>
          <w:sz w:val="14"/>
        </w:rPr>
        <w:t>is</w:t>
      </w:r>
      <w:r>
        <w:rPr>
          <w:spacing w:val="-8"/>
          <w:sz w:val="14"/>
        </w:rPr>
        <w:t> </w:t>
      </w:r>
      <w:r>
        <w:rPr>
          <w:sz w:val="14"/>
        </w:rPr>
        <w:t>not</w:t>
      </w:r>
      <w:r>
        <w:rPr>
          <w:spacing w:val="-8"/>
          <w:sz w:val="14"/>
        </w:rPr>
        <w:t> </w:t>
      </w:r>
      <w:r>
        <w:rPr>
          <w:sz w:val="14"/>
        </w:rPr>
        <w:t>included</w:t>
      </w:r>
      <w:r>
        <w:rPr>
          <w:spacing w:val="-8"/>
          <w:sz w:val="14"/>
        </w:rPr>
        <w:t> </w:t>
      </w:r>
      <w:r>
        <w:rPr>
          <w:sz w:val="14"/>
        </w:rPr>
        <w:t>in</w:t>
      </w:r>
      <w:r>
        <w:rPr>
          <w:spacing w:val="-8"/>
          <w:sz w:val="14"/>
        </w:rPr>
        <w:t> </w:t>
      </w:r>
      <w:r>
        <w:rPr>
          <w:sz w:val="14"/>
        </w:rPr>
        <w:t>the</w:t>
      </w:r>
      <w:r>
        <w:rPr>
          <w:spacing w:val="-8"/>
          <w:sz w:val="14"/>
        </w:rPr>
        <w:t> </w:t>
      </w:r>
      <w:r>
        <w:rPr>
          <w:sz w:val="14"/>
        </w:rPr>
        <w:t>above</w:t>
      </w:r>
      <w:r>
        <w:rPr>
          <w:spacing w:val="-8"/>
          <w:sz w:val="14"/>
        </w:rPr>
        <w:t> </w:t>
      </w:r>
      <w:r>
        <w:rPr>
          <w:sz w:val="14"/>
        </w:rPr>
        <w:t>analysis</w:t>
      </w:r>
      <w:r>
        <w:rPr>
          <w:spacing w:val="-8"/>
          <w:sz w:val="14"/>
        </w:rPr>
        <w:t> </w:t>
      </w:r>
      <w:r>
        <w:rPr>
          <w:sz w:val="14"/>
        </w:rPr>
        <w:t>as</w:t>
      </w:r>
      <w:r>
        <w:rPr>
          <w:spacing w:val="-8"/>
          <w:sz w:val="14"/>
        </w:rPr>
        <w:t> </w:t>
      </w:r>
      <w:r>
        <w:rPr>
          <w:sz w:val="14"/>
        </w:rPr>
        <w:t>the</w:t>
      </w:r>
      <w:r>
        <w:rPr>
          <w:spacing w:val="-8"/>
          <w:sz w:val="14"/>
        </w:rPr>
        <w:t> </w:t>
      </w:r>
      <w:r>
        <w:rPr>
          <w:sz w:val="14"/>
        </w:rPr>
        <w:t>timing</w:t>
      </w:r>
      <w:r>
        <w:rPr>
          <w:spacing w:val="-8"/>
          <w:sz w:val="14"/>
        </w:rPr>
        <w:t> </w:t>
      </w:r>
      <w:r>
        <w:rPr>
          <w:sz w:val="14"/>
        </w:rPr>
        <w:t>of</w:t>
      </w:r>
      <w:r>
        <w:rPr>
          <w:spacing w:val="-8"/>
          <w:sz w:val="14"/>
        </w:rPr>
        <w:t> </w:t>
      </w:r>
      <w:r>
        <w:rPr>
          <w:sz w:val="14"/>
        </w:rPr>
        <w:t>the</w:t>
      </w:r>
      <w:r>
        <w:rPr>
          <w:spacing w:val="-8"/>
          <w:sz w:val="14"/>
        </w:rPr>
        <w:t> </w:t>
      </w:r>
      <w:r>
        <w:rPr>
          <w:sz w:val="14"/>
        </w:rPr>
        <w:t>cash</w:t>
      </w:r>
      <w:r>
        <w:rPr>
          <w:spacing w:val="-8"/>
          <w:sz w:val="14"/>
        </w:rPr>
        <w:t> </w:t>
      </w:r>
      <w:r>
        <w:rPr>
          <w:sz w:val="14"/>
        </w:rPr>
        <w:t>flows</w:t>
      </w:r>
      <w:r>
        <w:rPr>
          <w:spacing w:val="-8"/>
          <w:sz w:val="14"/>
        </w:rPr>
        <w:t> </w:t>
      </w:r>
      <w:r>
        <w:rPr>
          <w:sz w:val="14"/>
        </w:rPr>
        <w:t>cannot</w:t>
      </w:r>
      <w:r>
        <w:rPr>
          <w:spacing w:val="-8"/>
          <w:sz w:val="14"/>
        </w:rPr>
        <w:t> </w:t>
      </w:r>
      <w:r>
        <w:rPr>
          <w:sz w:val="14"/>
        </w:rPr>
        <w:t>be</w:t>
      </w:r>
      <w:r>
        <w:rPr>
          <w:spacing w:val="-8"/>
          <w:sz w:val="14"/>
        </w:rPr>
        <w:t> </w:t>
      </w:r>
      <w:r>
        <w:rPr>
          <w:sz w:val="14"/>
        </w:rPr>
        <w:t>determined.</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9"/>
        <w:rPr>
          <w:sz w:val="17"/>
        </w:rPr>
      </w:pPr>
    </w:p>
    <w:p>
      <w:pPr>
        <w:spacing w:before="0"/>
        <w:ind w:left="7412" w:right="7450" w:firstLine="0"/>
        <w:jc w:val="center"/>
        <w:rPr>
          <w:sz w:val="16"/>
        </w:rPr>
      </w:pPr>
      <w:r>
        <w:rPr>
          <w:sz w:val="16"/>
        </w:rPr>
        <w:t>72</w:t>
      </w:r>
    </w:p>
    <w:p>
      <w:pPr>
        <w:spacing w:after="0"/>
        <w:jc w:val="center"/>
        <w:rPr>
          <w:sz w:val="16"/>
        </w:rPr>
        <w:sectPr>
          <w:headerReference w:type="default" r:id="rId25"/>
          <w:footerReference w:type="default" r:id="rId26"/>
          <w:pgSz w:w="16840" w:h="11910" w:orient="landscape"/>
          <w:pgMar w:header="0" w:footer="0" w:top="960" w:bottom="280" w:left="900" w:right="860"/>
        </w:sectPr>
      </w:pPr>
    </w:p>
    <w:p>
      <w:pPr>
        <w:pStyle w:val="BodyText"/>
        <w:rPr>
          <w:sz w:val="20"/>
        </w:rPr>
      </w:pPr>
    </w:p>
    <w:p>
      <w:pPr>
        <w:pStyle w:val="BodyText"/>
        <w:rPr>
          <w:sz w:val="20"/>
        </w:rPr>
      </w:pPr>
    </w:p>
    <w:p>
      <w:pPr>
        <w:pStyle w:val="BodyText"/>
        <w:spacing w:before="5"/>
      </w:pPr>
    </w:p>
    <w:p>
      <w:pPr>
        <w:pStyle w:val="Heading9"/>
        <w:numPr>
          <w:ilvl w:val="0"/>
          <w:numId w:val="34"/>
        </w:numPr>
        <w:tabs>
          <w:tab w:pos="504" w:val="left" w:leader="none"/>
        </w:tabs>
        <w:spacing w:line="240" w:lineRule="auto" w:before="0" w:after="0"/>
        <w:ind w:left="504" w:right="0" w:hanging="394"/>
        <w:jc w:val="left"/>
      </w:pPr>
      <w:bookmarkStart w:name="36 Fair Value Measurement " w:id="146"/>
      <w:bookmarkEnd w:id="146"/>
      <w:r>
        <w:rPr>
          <w:b w:val="0"/>
        </w:rPr>
      </w:r>
      <w:bookmarkStart w:name="(a) Fair value measurements" w:id="147"/>
      <w:bookmarkEnd w:id="147"/>
      <w:r>
        <w:rPr>
          <w:b w:val="0"/>
        </w:rPr>
      </w:r>
      <w:bookmarkStart w:name="(a) Fair value measurements" w:id="148"/>
      <w:bookmarkEnd w:id="148"/>
      <w:r>
        <w:rPr/>
        <w:t>Fair</w:t>
      </w:r>
      <w:r>
        <w:rPr/>
        <w:t> Value</w:t>
      </w:r>
      <w:r>
        <w:rPr>
          <w:spacing w:val="-1"/>
        </w:rPr>
        <w:t> </w:t>
      </w:r>
      <w:r>
        <w:rPr/>
        <w:t>Measurement</w:t>
      </w:r>
    </w:p>
    <w:p>
      <w:pPr>
        <w:pStyle w:val="BodyText"/>
        <w:spacing w:before="7"/>
        <w:rPr>
          <w:b/>
          <w:sz w:val="26"/>
        </w:rPr>
      </w:pPr>
    </w:p>
    <w:p>
      <w:pPr>
        <w:pStyle w:val="ListParagraph"/>
        <w:numPr>
          <w:ilvl w:val="1"/>
          <w:numId w:val="34"/>
        </w:numPr>
        <w:tabs>
          <w:tab w:pos="1071" w:val="left" w:leader="none"/>
        </w:tabs>
        <w:spacing w:line="240" w:lineRule="auto" w:before="0" w:after="0"/>
        <w:ind w:left="1070" w:right="0" w:hanging="566"/>
        <w:jc w:val="left"/>
        <w:rPr>
          <w:sz w:val="18"/>
        </w:rPr>
      </w:pPr>
      <w:r>
        <w:rPr>
          <w:sz w:val="18"/>
        </w:rPr>
        <w:t>Fair value</w:t>
      </w:r>
      <w:r>
        <w:rPr>
          <w:spacing w:val="1"/>
          <w:sz w:val="18"/>
        </w:rPr>
        <w:t> </w:t>
      </w:r>
      <w:r>
        <w:rPr>
          <w:sz w:val="18"/>
        </w:rPr>
        <w:t>measurements</w:t>
      </w:r>
    </w:p>
    <w:p>
      <w:pPr>
        <w:pStyle w:val="BodyText"/>
        <w:spacing w:before="4"/>
        <w:rPr>
          <w:sz w:val="25"/>
        </w:rPr>
      </w:pPr>
    </w:p>
    <w:p>
      <w:pPr>
        <w:pStyle w:val="BodyText"/>
        <w:ind w:left="1070" w:right="199"/>
        <w:jc w:val="both"/>
      </w:pPr>
      <w:r>
        <w:rPr/>
        <w:t>The fair value of financial assets and financial liabilities must be estimated for recognition and measurement or for disclosure purposes.</w:t>
      </w:r>
    </w:p>
    <w:p>
      <w:pPr>
        <w:pStyle w:val="BodyText"/>
        <w:spacing w:before="11"/>
        <w:rPr>
          <w:sz w:val="24"/>
        </w:rPr>
      </w:pPr>
    </w:p>
    <w:p>
      <w:pPr>
        <w:pStyle w:val="BodyText"/>
        <w:ind w:left="1070" w:right="191"/>
        <w:jc w:val="both"/>
      </w:pPr>
      <w:r>
        <w:rPr/>
        <w:t>Due to the short-term nature of the current receivables their carrying value is assumed to approximate their fair value and based on credit history it is expected that the receivables, that are neither past due nor impaired, will be received when due.</w:t>
      </w:r>
    </w:p>
    <w:p>
      <w:pPr>
        <w:pStyle w:val="BodyText"/>
        <w:spacing w:before="11"/>
        <w:rPr>
          <w:sz w:val="24"/>
        </w:rPr>
      </w:pPr>
    </w:p>
    <w:p>
      <w:pPr>
        <w:pStyle w:val="BodyText"/>
        <w:ind w:left="1070"/>
        <w:jc w:val="both"/>
      </w:pPr>
      <w:r>
        <w:rPr/>
        <w:t>The carrying amounts and aggregate net fair values of financial assets and liabilities at balance date are:</w:t>
      </w:r>
    </w:p>
    <w:p>
      <w:pPr>
        <w:pStyle w:val="BodyText"/>
      </w:pPr>
    </w:p>
    <w:p>
      <w:pPr>
        <w:pStyle w:val="BodyText"/>
      </w:pPr>
    </w:p>
    <w:p>
      <w:pPr>
        <w:pStyle w:val="Heading9"/>
        <w:tabs>
          <w:tab w:pos="8325" w:val="left" w:leader="none"/>
        </w:tabs>
        <w:spacing w:before="113" w:after="36"/>
        <w:ind w:left="5436" w:right="220"/>
      </w:pPr>
      <w:r>
        <w:rPr/>
        <w:t>Carrying</w:t>
      </w:r>
      <w:r>
        <w:rPr>
          <w:spacing w:val="-5"/>
        </w:rPr>
        <w:t> </w:t>
      </w:r>
      <w:r>
        <w:rPr/>
        <w:t>Amount</w:t>
        <w:tab/>
        <w:t>Fair Value</w:t>
      </w:r>
    </w:p>
    <w:tbl>
      <w:tblPr>
        <w:tblW w:w="0" w:type="auto"/>
        <w:jc w:val="left"/>
        <w:tblInd w:w="10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55"/>
        <w:gridCol w:w="1489"/>
        <w:gridCol w:w="1289"/>
        <w:gridCol w:w="1303"/>
        <w:gridCol w:w="1103"/>
      </w:tblGrid>
      <w:tr>
        <w:trPr>
          <w:trHeight w:val="594" w:hRule="exact"/>
        </w:trPr>
        <w:tc>
          <w:tcPr>
            <w:tcW w:w="3755" w:type="dxa"/>
          </w:tcPr>
          <w:p>
            <w:pPr/>
          </w:p>
        </w:tc>
        <w:tc>
          <w:tcPr>
            <w:tcW w:w="1489" w:type="dxa"/>
          </w:tcPr>
          <w:p>
            <w:pPr>
              <w:pStyle w:val="TableParagraph"/>
              <w:spacing w:before="30"/>
              <w:ind w:left="482"/>
              <w:rPr>
                <w:b/>
                <w:sz w:val="18"/>
              </w:rPr>
            </w:pPr>
            <w:r>
              <w:rPr>
                <w:b/>
                <w:sz w:val="18"/>
              </w:rPr>
              <w:t>2017</w:t>
            </w:r>
          </w:p>
          <w:p>
            <w:pPr>
              <w:pStyle w:val="TableParagraph"/>
              <w:spacing w:before="66"/>
              <w:ind w:left="460"/>
              <w:rPr>
                <w:b/>
                <w:sz w:val="18"/>
              </w:rPr>
            </w:pPr>
            <w:r>
              <w:rPr>
                <w:b/>
                <w:sz w:val="18"/>
              </w:rPr>
              <w:t>$'000</w:t>
            </w:r>
          </w:p>
        </w:tc>
        <w:tc>
          <w:tcPr>
            <w:tcW w:w="1289" w:type="dxa"/>
          </w:tcPr>
          <w:p>
            <w:pPr>
              <w:pStyle w:val="TableParagraph"/>
              <w:spacing w:before="30"/>
              <w:ind w:left="274"/>
              <w:rPr>
                <w:b/>
                <w:sz w:val="18"/>
              </w:rPr>
            </w:pPr>
            <w:r>
              <w:rPr>
                <w:b/>
                <w:sz w:val="18"/>
              </w:rPr>
              <w:t>2016</w:t>
            </w:r>
          </w:p>
          <w:p>
            <w:pPr>
              <w:pStyle w:val="TableParagraph"/>
              <w:spacing w:before="66"/>
              <w:ind w:left="253"/>
              <w:rPr>
                <w:b/>
                <w:sz w:val="18"/>
              </w:rPr>
            </w:pPr>
            <w:r>
              <w:rPr>
                <w:b/>
                <w:sz w:val="18"/>
              </w:rPr>
              <w:t>$'000</w:t>
            </w:r>
          </w:p>
        </w:tc>
        <w:tc>
          <w:tcPr>
            <w:tcW w:w="1303" w:type="dxa"/>
          </w:tcPr>
          <w:p>
            <w:pPr>
              <w:pStyle w:val="TableParagraph"/>
              <w:spacing w:before="30"/>
              <w:ind w:left="296"/>
              <w:rPr>
                <w:b/>
                <w:sz w:val="18"/>
              </w:rPr>
            </w:pPr>
            <w:r>
              <w:rPr>
                <w:b/>
                <w:sz w:val="18"/>
              </w:rPr>
              <w:t>2017</w:t>
            </w:r>
          </w:p>
          <w:p>
            <w:pPr>
              <w:pStyle w:val="TableParagraph"/>
              <w:spacing w:before="66"/>
              <w:ind w:left="274"/>
              <w:rPr>
                <w:b/>
                <w:sz w:val="18"/>
              </w:rPr>
            </w:pPr>
            <w:r>
              <w:rPr>
                <w:b/>
                <w:sz w:val="18"/>
              </w:rPr>
              <w:t>$'000</w:t>
            </w:r>
          </w:p>
        </w:tc>
        <w:tc>
          <w:tcPr>
            <w:tcW w:w="1103" w:type="dxa"/>
          </w:tcPr>
          <w:p>
            <w:pPr>
              <w:pStyle w:val="TableParagraph"/>
              <w:spacing w:before="30"/>
              <w:ind w:left="274"/>
              <w:rPr>
                <w:b/>
                <w:sz w:val="18"/>
              </w:rPr>
            </w:pPr>
            <w:r>
              <w:rPr>
                <w:b/>
                <w:sz w:val="18"/>
              </w:rPr>
              <w:t>2016</w:t>
            </w:r>
          </w:p>
          <w:p>
            <w:pPr>
              <w:pStyle w:val="TableParagraph"/>
              <w:spacing w:before="66"/>
              <w:ind w:left="253"/>
              <w:rPr>
                <w:b/>
                <w:sz w:val="18"/>
              </w:rPr>
            </w:pPr>
            <w:r>
              <w:rPr>
                <w:b/>
                <w:sz w:val="18"/>
              </w:rPr>
              <w:t>$'000</w:t>
            </w:r>
          </w:p>
        </w:tc>
      </w:tr>
      <w:tr>
        <w:trPr>
          <w:trHeight w:val="545" w:hRule="exact"/>
        </w:trPr>
        <w:tc>
          <w:tcPr>
            <w:tcW w:w="3755" w:type="dxa"/>
          </w:tcPr>
          <w:p>
            <w:pPr>
              <w:pStyle w:val="TableParagraph"/>
              <w:spacing w:before="63"/>
              <w:ind w:left="35"/>
              <w:rPr>
                <w:b/>
                <w:sz w:val="18"/>
              </w:rPr>
            </w:pPr>
            <w:r>
              <w:rPr>
                <w:b/>
                <w:sz w:val="18"/>
              </w:rPr>
              <w:t>Financial assets</w:t>
            </w:r>
          </w:p>
          <w:p>
            <w:pPr>
              <w:pStyle w:val="TableParagraph"/>
              <w:spacing w:before="30"/>
              <w:ind w:left="35"/>
              <w:rPr>
                <w:sz w:val="18"/>
              </w:rPr>
            </w:pPr>
            <w:r>
              <w:rPr>
                <w:sz w:val="18"/>
              </w:rPr>
              <w:t>Cash and cash equivalents</w:t>
            </w:r>
          </w:p>
        </w:tc>
        <w:tc>
          <w:tcPr>
            <w:tcW w:w="1489" w:type="dxa"/>
          </w:tcPr>
          <w:p>
            <w:pPr>
              <w:pStyle w:val="TableParagraph"/>
              <w:spacing w:before="11"/>
              <w:rPr>
                <w:b/>
                <w:sz w:val="25"/>
              </w:rPr>
            </w:pPr>
          </w:p>
          <w:p>
            <w:pPr>
              <w:pStyle w:val="TableParagraph"/>
              <w:ind w:right="251"/>
              <w:jc w:val="right"/>
              <w:rPr>
                <w:b/>
                <w:sz w:val="18"/>
              </w:rPr>
            </w:pPr>
            <w:r>
              <w:rPr>
                <w:b/>
                <w:w w:val="95"/>
                <w:sz w:val="18"/>
              </w:rPr>
              <w:t>221,748</w:t>
            </w:r>
          </w:p>
        </w:tc>
        <w:tc>
          <w:tcPr>
            <w:tcW w:w="1289" w:type="dxa"/>
          </w:tcPr>
          <w:p>
            <w:pPr>
              <w:pStyle w:val="TableParagraph"/>
              <w:spacing w:before="11"/>
              <w:rPr>
                <w:b/>
                <w:sz w:val="25"/>
              </w:rPr>
            </w:pPr>
          </w:p>
          <w:p>
            <w:pPr>
              <w:pStyle w:val="TableParagraph"/>
              <w:ind w:right="272"/>
              <w:jc w:val="right"/>
              <w:rPr>
                <w:sz w:val="18"/>
              </w:rPr>
            </w:pPr>
            <w:r>
              <w:rPr>
                <w:w w:val="95"/>
                <w:sz w:val="18"/>
              </w:rPr>
              <w:t>139,225</w:t>
            </w:r>
          </w:p>
        </w:tc>
        <w:tc>
          <w:tcPr>
            <w:tcW w:w="1303" w:type="dxa"/>
          </w:tcPr>
          <w:p>
            <w:pPr>
              <w:pStyle w:val="TableParagraph"/>
              <w:spacing w:before="11"/>
              <w:rPr>
                <w:b/>
                <w:sz w:val="25"/>
              </w:rPr>
            </w:pPr>
          </w:p>
          <w:p>
            <w:pPr>
              <w:pStyle w:val="TableParagraph"/>
              <w:ind w:right="251"/>
              <w:jc w:val="right"/>
              <w:rPr>
                <w:b/>
                <w:sz w:val="18"/>
              </w:rPr>
            </w:pPr>
            <w:r>
              <w:rPr>
                <w:b/>
                <w:w w:val="95"/>
                <w:sz w:val="18"/>
              </w:rPr>
              <w:t>221,748</w:t>
            </w:r>
          </w:p>
        </w:tc>
        <w:tc>
          <w:tcPr>
            <w:tcW w:w="1103" w:type="dxa"/>
          </w:tcPr>
          <w:p>
            <w:pPr>
              <w:pStyle w:val="TableParagraph"/>
              <w:spacing w:before="11"/>
              <w:rPr>
                <w:b/>
                <w:sz w:val="25"/>
              </w:rPr>
            </w:pPr>
          </w:p>
          <w:p>
            <w:pPr>
              <w:pStyle w:val="TableParagraph"/>
              <w:ind w:right="88"/>
              <w:jc w:val="right"/>
              <w:rPr>
                <w:sz w:val="18"/>
              </w:rPr>
            </w:pPr>
            <w:r>
              <w:rPr>
                <w:w w:val="95"/>
                <w:sz w:val="18"/>
              </w:rPr>
              <w:t>139,225</w:t>
            </w:r>
          </w:p>
        </w:tc>
      </w:tr>
      <w:tr>
        <w:trPr>
          <w:trHeight w:val="306" w:hRule="exact"/>
        </w:trPr>
        <w:tc>
          <w:tcPr>
            <w:tcW w:w="3755" w:type="dxa"/>
          </w:tcPr>
          <w:p>
            <w:pPr>
              <w:pStyle w:val="TableParagraph"/>
              <w:spacing w:before="20"/>
              <w:ind w:left="35"/>
              <w:rPr>
                <w:sz w:val="18"/>
              </w:rPr>
            </w:pPr>
            <w:r>
              <w:rPr>
                <w:sz w:val="18"/>
              </w:rPr>
              <w:t>Receivables</w:t>
            </w:r>
          </w:p>
        </w:tc>
        <w:tc>
          <w:tcPr>
            <w:tcW w:w="1489" w:type="dxa"/>
          </w:tcPr>
          <w:p>
            <w:pPr>
              <w:pStyle w:val="TableParagraph"/>
              <w:spacing w:before="18"/>
              <w:ind w:right="251"/>
              <w:jc w:val="right"/>
              <w:rPr>
                <w:b/>
                <w:sz w:val="18"/>
              </w:rPr>
            </w:pPr>
            <w:r>
              <w:rPr>
                <w:b/>
                <w:w w:val="95"/>
                <w:sz w:val="18"/>
              </w:rPr>
              <w:t>444,114</w:t>
            </w:r>
          </w:p>
        </w:tc>
        <w:tc>
          <w:tcPr>
            <w:tcW w:w="1289" w:type="dxa"/>
          </w:tcPr>
          <w:p>
            <w:pPr>
              <w:pStyle w:val="TableParagraph"/>
              <w:spacing w:before="18"/>
              <w:ind w:right="272"/>
              <w:jc w:val="right"/>
              <w:rPr>
                <w:sz w:val="18"/>
              </w:rPr>
            </w:pPr>
            <w:r>
              <w:rPr>
                <w:w w:val="95"/>
                <w:sz w:val="18"/>
              </w:rPr>
              <w:t>414,870</w:t>
            </w:r>
          </w:p>
        </w:tc>
        <w:tc>
          <w:tcPr>
            <w:tcW w:w="1303" w:type="dxa"/>
          </w:tcPr>
          <w:p>
            <w:pPr>
              <w:pStyle w:val="TableParagraph"/>
              <w:spacing w:before="18"/>
              <w:ind w:right="251"/>
              <w:jc w:val="right"/>
              <w:rPr>
                <w:b/>
                <w:sz w:val="18"/>
              </w:rPr>
            </w:pPr>
            <w:r>
              <w:rPr>
                <w:b/>
                <w:w w:val="95"/>
                <w:sz w:val="18"/>
              </w:rPr>
              <w:t>444,114</w:t>
            </w:r>
          </w:p>
        </w:tc>
        <w:tc>
          <w:tcPr>
            <w:tcW w:w="1103" w:type="dxa"/>
          </w:tcPr>
          <w:p>
            <w:pPr>
              <w:pStyle w:val="TableParagraph"/>
              <w:spacing w:before="18"/>
              <w:ind w:right="88"/>
              <w:jc w:val="right"/>
              <w:rPr>
                <w:sz w:val="18"/>
              </w:rPr>
            </w:pPr>
            <w:r>
              <w:rPr>
                <w:w w:val="95"/>
                <w:sz w:val="18"/>
              </w:rPr>
              <w:t>414,870</w:t>
            </w:r>
          </w:p>
        </w:tc>
      </w:tr>
      <w:tr>
        <w:trPr>
          <w:trHeight w:val="541" w:hRule="exact"/>
        </w:trPr>
        <w:tc>
          <w:tcPr>
            <w:tcW w:w="3755" w:type="dxa"/>
          </w:tcPr>
          <w:p>
            <w:pPr>
              <w:pStyle w:val="TableParagraph"/>
              <w:spacing w:before="60"/>
              <w:ind w:left="35"/>
              <w:rPr>
                <w:sz w:val="18"/>
              </w:rPr>
            </w:pPr>
            <w:r>
              <w:rPr>
                <w:sz w:val="18"/>
              </w:rPr>
              <w:t>Other financial assets</w:t>
            </w:r>
          </w:p>
          <w:p>
            <w:pPr>
              <w:pStyle w:val="TableParagraph"/>
              <w:spacing w:before="30"/>
              <w:ind w:left="248"/>
              <w:rPr>
                <w:sz w:val="18"/>
              </w:rPr>
            </w:pPr>
            <w:r>
              <w:rPr>
                <w:sz w:val="18"/>
              </w:rPr>
              <w:t>Available-for-sale (Unlisted securities)</w:t>
            </w:r>
          </w:p>
        </w:tc>
        <w:tc>
          <w:tcPr>
            <w:tcW w:w="1489" w:type="dxa"/>
          </w:tcPr>
          <w:p>
            <w:pPr>
              <w:pStyle w:val="TableParagraph"/>
              <w:spacing w:before="7"/>
              <w:rPr>
                <w:b/>
                <w:sz w:val="25"/>
              </w:rPr>
            </w:pPr>
          </w:p>
          <w:p>
            <w:pPr>
              <w:pStyle w:val="TableParagraph"/>
              <w:ind w:right="251"/>
              <w:jc w:val="right"/>
              <w:rPr>
                <w:b/>
                <w:sz w:val="18"/>
              </w:rPr>
            </w:pPr>
            <w:r>
              <w:rPr>
                <w:b/>
                <w:w w:val="95"/>
                <w:sz w:val="18"/>
              </w:rPr>
              <w:t>16,537</w:t>
            </w:r>
          </w:p>
        </w:tc>
        <w:tc>
          <w:tcPr>
            <w:tcW w:w="1289" w:type="dxa"/>
          </w:tcPr>
          <w:p>
            <w:pPr>
              <w:pStyle w:val="TableParagraph"/>
              <w:spacing w:before="7"/>
              <w:rPr>
                <w:b/>
                <w:sz w:val="25"/>
              </w:rPr>
            </w:pPr>
          </w:p>
          <w:p>
            <w:pPr>
              <w:pStyle w:val="TableParagraph"/>
              <w:ind w:right="272"/>
              <w:jc w:val="right"/>
              <w:rPr>
                <w:sz w:val="18"/>
              </w:rPr>
            </w:pPr>
            <w:r>
              <w:rPr>
                <w:w w:val="95"/>
                <w:sz w:val="18"/>
              </w:rPr>
              <w:t>11,330</w:t>
            </w:r>
          </w:p>
        </w:tc>
        <w:tc>
          <w:tcPr>
            <w:tcW w:w="1303" w:type="dxa"/>
          </w:tcPr>
          <w:p>
            <w:pPr>
              <w:pStyle w:val="TableParagraph"/>
              <w:spacing w:before="7"/>
              <w:rPr>
                <w:b/>
                <w:sz w:val="25"/>
              </w:rPr>
            </w:pPr>
          </w:p>
          <w:p>
            <w:pPr>
              <w:pStyle w:val="TableParagraph"/>
              <w:ind w:right="251"/>
              <w:jc w:val="right"/>
              <w:rPr>
                <w:b/>
                <w:sz w:val="18"/>
              </w:rPr>
            </w:pPr>
            <w:r>
              <w:rPr>
                <w:b/>
                <w:w w:val="95"/>
                <w:sz w:val="18"/>
              </w:rPr>
              <w:t>16,537</w:t>
            </w:r>
          </w:p>
        </w:tc>
        <w:tc>
          <w:tcPr>
            <w:tcW w:w="1103" w:type="dxa"/>
          </w:tcPr>
          <w:p>
            <w:pPr>
              <w:pStyle w:val="TableParagraph"/>
              <w:spacing w:before="7"/>
              <w:rPr>
                <w:b/>
                <w:sz w:val="25"/>
              </w:rPr>
            </w:pPr>
          </w:p>
          <w:p>
            <w:pPr>
              <w:pStyle w:val="TableParagraph"/>
              <w:ind w:right="87"/>
              <w:jc w:val="right"/>
              <w:rPr>
                <w:sz w:val="18"/>
              </w:rPr>
            </w:pPr>
            <w:r>
              <w:rPr>
                <w:w w:val="95"/>
                <w:sz w:val="18"/>
              </w:rPr>
              <w:t>11,330</w:t>
            </w:r>
          </w:p>
        </w:tc>
      </w:tr>
      <w:tr>
        <w:trPr>
          <w:trHeight w:val="264" w:hRule="exact"/>
        </w:trPr>
        <w:tc>
          <w:tcPr>
            <w:tcW w:w="3755" w:type="dxa"/>
          </w:tcPr>
          <w:p>
            <w:pPr>
              <w:pStyle w:val="TableParagraph"/>
              <w:spacing w:before="20"/>
              <w:ind w:left="248"/>
              <w:rPr>
                <w:sz w:val="18"/>
              </w:rPr>
            </w:pPr>
            <w:r>
              <w:rPr>
                <w:sz w:val="18"/>
              </w:rPr>
              <w:t>Available-for-sale (Listed securities)</w:t>
            </w:r>
          </w:p>
        </w:tc>
        <w:tc>
          <w:tcPr>
            <w:tcW w:w="1489" w:type="dxa"/>
          </w:tcPr>
          <w:p>
            <w:pPr>
              <w:pStyle w:val="TableParagraph"/>
              <w:spacing w:before="18"/>
              <w:ind w:right="251"/>
              <w:jc w:val="right"/>
              <w:rPr>
                <w:b/>
                <w:sz w:val="18"/>
              </w:rPr>
            </w:pPr>
            <w:r>
              <w:rPr>
                <w:b/>
                <w:w w:val="95"/>
                <w:sz w:val="18"/>
              </w:rPr>
              <w:t>80,299</w:t>
            </w:r>
          </w:p>
        </w:tc>
        <w:tc>
          <w:tcPr>
            <w:tcW w:w="1289" w:type="dxa"/>
          </w:tcPr>
          <w:p>
            <w:pPr>
              <w:pStyle w:val="TableParagraph"/>
              <w:spacing w:before="18"/>
              <w:ind w:right="272"/>
              <w:jc w:val="right"/>
              <w:rPr>
                <w:sz w:val="18"/>
              </w:rPr>
            </w:pPr>
            <w:r>
              <w:rPr>
                <w:w w:val="95"/>
                <w:sz w:val="18"/>
              </w:rPr>
              <w:t>76,143</w:t>
            </w:r>
          </w:p>
        </w:tc>
        <w:tc>
          <w:tcPr>
            <w:tcW w:w="1303" w:type="dxa"/>
          </w:tcPr>
          <w:p>
            <w:pPr>
              <w:pStyle w:val="TableParagraph"/>
              <w:spacing w:before="18"/>
              <w:ind w:right="251"/>
              <w:jc w:val="right"/>
              <w:rPr>
                <w:b/>
                <w:sz w:val="18"/>
              </w:rPr>
            </w:pPr>
            <w:r>
              <w:rPr>
                <w:b/>
                <w:w w:val="95"/>
                <w:sz w:val="18"/>
              </w:rPr>
              <w:t>80,299</w:t>
            </w:r>
          </w:p>
        </w:tc>
        <w:tc>
          <w:tcPr>
            <w:tcW w:w="1103" w:type="dxa"/>
          </w:tcPr>
          <w:p>
            <w:pPr>
              <w:pStyle w:val="TableParagraph"/>
              <w:spacing w:before="18"/>
              <w:ind w:right="87"/>
              <w:jc w:val="right"/>
              <w:rPr>
                <w:sz w:val="18"/>
              </w:rPr>
            </w:pPr>
            <w:r>
              <w:rPr>
                <w:w w:val="95"/>
                <w:sz w:val="18"/>
              </w:rPr>
              <w:t>76,143</w:t>
            </w:r>
          </w:p>
        </w:tc>
      </w:tr>
      <w:tr>
        <w:trPr>
          <w:trHeight w:val="260" w:hRule="exact"/>
        </w:trPr>
        <w:tc>
          <w:tcPr>
            <w:tcW w:w="3755" w:type="dxa"/>
          </w:tcPr>
          <w:p>
            <w:pPr>
              <w:pStyle w:val="TableParagraph"/>
              <w:spacing w:before="20"/>
              <w:ind w:left="248"/>
              <w:rPr>
                <w:sz w:val="18"/>
              </w:rPr>
            </w:pPr>
            <w:r>
              <w:rPr>
                <w:sz w:val="18"/>
              </w:rPr>
              <w:t>Held-to-maturity investments</w:t>
            </w:r>
          </w:p>
        </w:tc>
        <w:tc>
          <w:tcPr>
            <w:tcW w:w="1489" w:type="dxa"/>
            <w:tcBorders>
              <w:bottom w:val="single" w:sz="1" w:space="0" w:color="000000"/>
            </w:tcBorders>
          </w:tcPr>
          <w:p>
            <w:pPr>
              <w:pStyle w:val="TableParagraph"/>
              <w:spacing w:before="18"/>
              <w:ind w:right="251"/>
              <w:jc w:val="right"/>
              <w:rPr>
                <w:b/>
                <w:sz w:val="18"/>
              </w:rPr>
            </w:pPr>
            <w:r>
              <w:rPr>
                <w:b/>
                <w:w w:val="95"/>
                <w:sz w:val="18"/>
              </w:rPr>
              <w:t>11,061</w:t>
            </w:r>
          </w:p>
        </w:tc>
        <w:tc>
          <w:tcPr>
            <w:tcW w:w="1289" w:type="dxa"/>
            <w:tcBorders>
              <w:bottom w:val="single" w:sz="1" w:space="0" w:color="000000"/>
            </w:tcBorders>
          </w:tcPr>
          <w:p>
            <w:pPr>
              <w:pStyle w:val="TableParagraph"/>
              <w:spacing w:before="18"/>
              <w:ind w:right="272"/>
              <w:jc w:val="right"/>
              <w:rPr>
                <w:sz w:val="18"/>
              </w:rPr>
            </w:pPr>
            <w:r>
              <w:rPr>
                <w:w w:val="95"/>
                <w:sz w:val="18"/>
              </w:rPr>
              <w:t>10,702</w:t>
            </w:r>
          </w:p>
        </w:tc>
        <w:tc>
          <w:tcPr>
            <w:tcW w:w="1303" w:type="dxa"/>
            <w:tcBorders>
              <w:bottom w:val="single" w:sz="1" w:space="0" w:color="000000"/>
            </w:tcBorders>
          </w:tcPr>
          <w:p>
            <w:pPr>
              <w:pStyle w:val="TableParagraph"/>
              <w:spacing w:before="18"/>
              <w:ind w:right="251"/>
              <w:jc w:val="right"/>
              <w:rPr>
                <w:b/>
                <w:sz w:val="18"/>
              </w:rPr>
            </w:pPr>
            <w:r>
              <w:rPr>
                <w:b/>
                <w:w w:val="95"/>
                <w:sz w:val="18"/>
              </w:rPr>
              <w:t>11,231</w:t>
            </w:r>
          </w:p>
        </w:tc>
        <w:tc>
          <w:tcPr>
            <w:tcW w:w="1103" w:type="dxa"/>
            <w:tcBorders>
              <w:bottom w:val="single" w:sz="1" w:space="0" w:color="000000"/>
            </w:tcBorders>
          </w:tcPr>
          <w:p>
            <w:pPr>
              <w:pStyle w:val="TableParagraph"/>
              <w:spacing w:before="18"/>
              <w:ind w:right="87"/>
              <w:jc w:val="right"/>
              <w:rPr>
                <w:sz w:val="18"/>
              </w:rPr>
            </w:pPr>
            <w:r>
              <w:rPr>
                <w:w w:val="95"/>
                <w:sz w:val="18"/>
              </w:rPr>
              <w:t>10,767</w:t>
            </w:r>
          </w:p>
        </w:tc>
      </w:tr>
      <w:tr>
        <w:trPr>
          <w:trHeight w:val="338" w:hRule="exact"/>
        </w:trPr>
        <w:tc>
          <w:tcPr>
            <w:tcW w:w="3755" w:type="dxa"/>
          </w:tcPr>
          <w:p>
            <w:pPr>
              <w:pStyle w:val="TableParagraph"/>
              <w:spacing w:before="125"/>
              <w:ind w:left="35"/>
              <w:rPr>
                <w:b/>
                <w:sz w:val="18"/>
              </w:rPr>
            </w:pPr>
            <w:r>
              <w:rPr>
                <w:b/>
                <w:sz w:val="18"/>
              </w:rPr>
              <w:t>Total financial assets</w:t>
            </w:r>
          </w:p>
        </w:tc>
        <w:tc>
          <w:tcPr>
            <w:tcW w:w="1489" w:type="dxa"/>
            <w:tcBorders>
              <w:top w:val="single" w:sz="1" w:space="0" w:color="000000"/>
              <w:bottom w:val="single" w:sz="1" w:space="0" w:color="000000"/>
            </w:tcBorders>
          </w:tcPr>
          <w:p>
            <w:pPr>
              <w:pStyle w:val="TableParagraph"/>
              <w:spacing w:before="124"/>
              <w:ind w:right="251"/>
              <w:jc w:val="right"/>
              <w:rPr>
                <w:b/>
                <w:sz w:val="18"/>
              </w:rPr>
            </w:pPr>
            <w:r>
              <w:rPr>
                <w:b/>
                <w:w w:val="95"/>
                <w:sz w:val="18"/>
              </w:rPr>
              <w:t>773,759</w:t>
            </w:r>
          </w:p>
        </w:tc>
        <w:tc>
          <w:tcPr>
            <w:tcW w:w="1289" w:type="dxa"/>
            <w:tcBorders>
              <w:top w:val="single" w:sz="1" w:space="0" w:color="000000"/>
              <w:bottom w:val="single" w:sz="1" w:space="0" w:color="000000"/>
            </w:tcBorders>
          </w:tcPr>
          <w:p>
            <w:pPr>
              <w:pStyle w:val="TableParagraph"/>
              <w:spacing w:before="124"/>
              <w:ind w:right="272"/>
              <w:jc w:val="right"/>
              <w:rPr>
                <w:sz w:val="18"/>
              </w:rPr>
            </w:pPr>
            <w:r>
              <w:rPr>
                <w:w w:val="95"/>
                <w:sz w:val="18"/>
              </w:rPr>
              <w:t>652,270</w:t>
            </w:r>
          </w:p>
        </w:tc>
        <w:tc>
          <w:tcPr>
            <w:tcW w:w="1303" w:type="dxa"/>
            <w:tcBorders>
              <w:top w:val="single" w:sz="1" w:space="0" w:color="000000"/>
              <w:bottom w:val="single" w:sz="1" w:space="0" w:color="000000"/>
            </w:tcBorders>
          </w:tcPr>
          <w:p>
            <w:pPr>
              <w:pStyle w:val="TableParagraph"/>
              <w:spacing w:before="124"/>
              <w:ind w:right="251"/>
              <w:jc w:val="right"/>
              <w:rPr>
                <w:b/>
                <w:sz w:val="18"/>
              </w:rPr>
            </w:pPr>
            <w:r>
              <w:rPr>
                <w:b/>
                <w:w w:val="95"/>
                <w:sz w:val="18"/>
              </w:rPr>
              <w:t>773,929</w:t>
            </w:r>
          </w:p>
        </w:tc>
        <w:tc>
          <w:tcPr>
            <w:tcW w:w="1103" w:type="dxa"/>
            <w:tcBorders>
              <w:top w:val="single" w:sz="1" w:space="0" w:color="000000"/>
              <w:bottom w:val="single" w:sz="1" w:space="0" w:color="000000"/>
            </w:tcBorders>
          </w:tcPr>
          <w:p>
            <w:pPr>
              <w:pStyle w:val="TableParagraph"/>
              <w:spacing w:before="124"/>
              <w:ind w:right="88"/>
              <w:jc w:val="right"/>
              <w:rPr>
                <w:sz w:val="18"/>
              </w:rPr>
            </w:pPr>
            <w:r>
              <w:rPr>
                <w:w w:val="95"/>
                <w:sz w:val="18"/>
              </w:rPr>
              <w:t>652,335</w:t>
            </w:r>
          </w:p>
        </w:tc>
      </w:tr>
      <w:tr>
        <w:trPr>
          <w:trHeight w:val="926" w:hRule="exact"/>
        </w:trPr>
        <w:tc>
          <w:tcPr>
            <w:tcW w:w="3755" w:type="dxa"/>
          </w:tcPr>
          <w:p>
            <w:pPr>
              <w:pStyle w:val="TableParagraph"/>
              <w:rPr>
                <w:b/>
                <w:sz w:val="18"/>
              </w:rPr>
            </w:pPr>
          </w:p>
          <w:p>
            <w:pPr>
              <w:pStyle w:val="TableParagraph"/>
              <w:spacing w:before="7"/>
              <w:rPr>
                <w:b/>
                <w:sz w:val="20"/>
              </w:rPr>
            </w:pPr>
          </w:p>
          <w:p>
            <w:pPr>
              <w:pStyle w:val="TableParagraph"/>
              <w:ind w:left="35"/>
              <w:rPr>
                <w:b/>
                <w:sz w:val="18"/>
              </w:rPr>
            </w:pPr>
            <w:r>
              <w:rPr>
                <w:b/>
                <w:sz w:val="18"/>
              </w:rPr>
              <w:t>Financial liabilities</w:t>
            </w:r>
          </w:p>
          <w:p>
            <w:pPr>
              <w:pStyle w:val="TableParagraph"/>
              <w:spacing w:before="30"/>
              <w:ind w:left="35"/>
              <w:rPr>
                <w:sz w:val="18"/>
              </w:rPr>
            </w:pPr>
            <w:r>
              <w:rPr>
                <w:sz w:val="18"/>
              </w:rPr>
              <w:t>Payables</w:t>
            </w:r>
          </w:p>
        </w:tc>
        <w:tc>
          <w:tcPr>
            <w:tcW w:w="1489" w:type="dxa"/>
            <w:tcBorders>
              <w:top w:val="single" w:sz="1" w:space="0" w:color="000000"/>
            </w:tcBorders>
          </w:tcPr>
          <w:p>
            <w:pPr>
              <w:pStyle w:val="TableParagraph"/>
              <w:rPr>
                <w:b/>
                <w:sz w:val="18"/>
              </w:rPr>
            </w:pPr>
          </w:p>
          <w:p>
            <w:pPr>
              <w:pStyle w:val="TableParagraph"/>
              <w:rPr>
                <w:b/>
                <w:sz w:val="18"/>
              </w:rPr>
            </w:pPr>
          </w:p>
          <w:p>
            <w:pPr>
              <w:pStyle w:val="TableParagraph"/>
              <w:spacing w:before="11"/>
              <w:rPr>
                <w:b/>
                <w:sz w:val="22"/>
              </w:rPr>
            </w:pPr>
          </w:p>
          <w:p>
            <w:pPr>
              <w:pStyle w:val="TableParagraph"/>
              <w:ind w:right="251"/>
              <w:jc w:val="right"/>
              <w:rPr>
                <w:b/>
                <w:sz w:val="18"/>
              </w:rPr>
            </w:pPr>
            <w:r>
              <w:rPr>
                <w:b/>
                <w:w w:val="95"/>
                <w:sz w:val="18"/>
              </w:rPr>
              <w:t>59,923</w:t>
            </w:r>
          </w:p>
        </w:tc>
        <w:tc>
          <w:tcPr>
            <w:tcW w:w="1289" w:type="dxa"/>
            <w:tcBorders>
              <w:top w:val="single" w:sz="1" w:space="0" w:color="000000"/>
            </w:tcBorders>
          </w:tcPr>
          <w:p>
            <w:pPr>
              <w:pStyle w:val="TableParagraph"/>
              <w:rPr>
                <w:b/>
                <w:sz w:val="18"/>
              </w:rPr>
            </w:pPr>
          </w:p>
          <w:p>
            <w:pPr>
              <w:pStyle w:val="TableParagraph"/>
              <w:rPr>
                <w:b/>
                <w:sz w:val="18"/>
              </w:rPr>
            </w:pPr>
          </w:p>
          <w:p>
            <w:pPr>
              <w:pStyle w:val="TableParagraph"/>
              <w:spacing w:before="11"/>
              <w:rPr>
                <w:b/>
                <w:sz w:val="22"/>
              </w:rPr>
            </w:pPr>
          </w:p>
          <w:p>
            <w:pPr>
              <w:pStyle w:val="TableParagraph"/>
              <w:ind w:right="272"/>
              <w:jc w:val="right"/>
              <w:rPr>
                <w:sz w:val="18"/>
              </w:rPr>
            </w:pPr>
            <w:r>
              <w:rPr>
                <w:w w:val="95"/>
                <w:sz w:val="18"/>
              </w:rPr>
              <w:t>47,695</w:t>
            </w:r>
          </w:p>
        </w:tc>
        <w:tc>
          <w:tcPr>
            <w:tcW w:w="1303" w:type="dxa"/>
            <w:tcBorders>
              <w:top w:val="single" w:sz="1" w:space="0" w:color="000000"/>
            </w:tcBorders>
          </w:tcPr>
          <w:p>
            <w:pPr>
              <w:pStyle w:val="TableParagraph"/>
              <w:rPr>
                <w:b/>
                <w:sz w:val="18"/>
              </w:rPr>
            </w:pPr>
          </w:p>
          <w:p>
            <w:pPr>
              <w:pStyle w:val="TableParagraph"/>
              <w:rPr>
                <w:b/>
                <w:sz w:val="18"/>
              </w:rPr>
            </w:pPr>
          </w:p>
          <w:p>
            <w:pPr>
              <w:pStyle w:val="TableParagraph"/>
              <w:spacing w:before="11"/>
              <w:rPr>
                <w:b/>
                <w:sz w:val="22"/>
              </w:rPr>
            </w:pPr>
          </w:p>
          <w:p>
            <w:pPr>
              <w:pStyle w:val="TableParagraph"/>
              <w:ind w:right="251"/>
              <w:jc w:val="right"/>
              <w:rPr>
                <w:b/>
                <w:sz w:val="18"/>
              </w:rPr>
            </w:pPr>
            <w:r>
              <w:rPr>
                <w:b/>
                <w:w w:val="95"/>
                <w:sz w:val="18"/>
              </w:rPr>
              <w:t>59,923</w:t>
            </w:r>
          </w:p>
        </w:tc>
        <w:tc>
          <w:tcPr>
            <w:tcW w:w="1103" w:type="dxa"/>
            <w:tcBorders>
              <w:top w:val="single" w:sz="1" w:space="0" w:color="000000"/>
            </w:tcBorders>
          </w:tcPr>
          <w:p>
            <w:pPr>
              <w:pStyle w:val="TableParagraph"/>
              <w:rPr>
                <w:b/>
                <w:sz w:val="18"/>
              </w:rPr>
            </w:pPr>
          </w:p>
          <w:p>
            <w:pPr>
              <w:pStyle w:val="TableParagraph"/>
              <w:rPr>
                <w:b/>
                <w:sz w:val="18"/>
              </w:rPr>
            </w:pPr>
          </w:p>
          <w:p>
            <w:pPr>
              <w:pStyle w:val="TableParagraph"/>
              <w:spacing w:before="11"/>
              <w:rPr>
                <w:b/>
                <w:sz w:val="22"/>
              </w:rPr>
            </w:pPr>
          </w:p>
          <w:p>
            <w:pPr>
              <w:pStyle w:val="TableParagraph"/>
              <w:ind w:right="87"/>
              <w:jc w:val="right"/>
              <w:rPr>
                <w:sz w:val="18"/>
              </w:rPr>
            </w:pPr>
            <w:r>
              <w:rPr>
                <w:w w:val="95"/>
                <w:sz w:val="18"/>
              </w:rPr>
              <w:t>47,695</w:t>
            </w:r>
          </w:p>
        </w:tc>
      </w:tr>
      <w:tr>
        <w:trPr>
          <w:trHeight w:val="264" w:hRule="exact"/>
        </w:trPr>
        <w:tc>
          <w:tcPr>
            <w:tcW w:w="3755" w:type="dxa"/>
          </w:tcPr>
          <w:p>
            <w:pPr>
              <w:pStyle w:val="TableParagraph"/>
              <w:spacing w:before="20"/>
              <w:ind w:left="35"/>
              <w:rPr>
                <w:sz w:val="18"/>
              </w:rPr>
            </w:pPr>
            <w:r>
              <w:rPr>
                <w:sz w:val="18"/>
              </w:rPr>
              <w:t>Borrowings</w:t>
            </w:r>
          </w:p>
        </w:tc>
        <w:tc>
          <w:tcPr>
            <w:tcW w:w="1489" w:type="dxa"/>
          </w:tcPr>
          <w:p>
            <w:pPr>
              <w:pStyle w:val="TableParagraph"/>
              <w:spacing w:before="18"/>
              <w:ind w:right="251"/>
              <w:jc w:val="right"/>
              <w:rPr>
                <w:b/>
                <w:sz w:val="18"/>
              </w:rPr>
            </w:pPr>
            <w:r>
              <w:rPr>
                <w:b/>
                <w:w w:val="95"/>
                <w:sz w:val="18"/>
              </w:rPr>
              <w:t>163,500</w:t>
            </w:r>
          </w:p>
        </w:tc>
        <w:tc>
          <w:tcPr>
            <w:tcW w:w="1289" w:type="dxa"/>
          </w:tcPr>
          <w:p>
            <w:pPr>
              <w:pStyle w:val="TableParagraph"/>
              <w:spacing w:before="18"/>
              <w:ind w:right="272"/>
              <w:jc w:val="right"/>
              <w:rPr>
                <w:sz w:val="18"/>
              </w:rPr>
            </w:pPr>
            <w:r>
              <w:rPr>
                <w:w w:val="95"/>
                <w:sz w:val="18"/>
              </w:rPr>
              <w:t>155,000</w:t>
            </w:r>
          </w:p>
        </w:tc>
        <w:tc>
          <w:tcPr>
            <w:tcW w:w="1303" w:type="dxa"/>
          </w:tcPr>
          <w:p>
            <w:pPr>
              <w:pStyle w:val="TableParagraph"/>
              <w:spacing w:before="18"/>
              <w:ind w:right="251"/>
              <w:jc w:val="right"/>
              <w:rPr>
                <w:b/>
                <w:sz w:val="18"/>
              </w:rPr>
            </w:pPr>
            <w:r>
              <w:rPr>
                <w:b/>
                <w:w w:val="95"/>
                <w:sz w:val="18"/>
              </w:rPr>
              <w:t>163,500</w:t>
            </w:r>
          </w:p>
        </w:tc>
        <w:tc>
          <w:tcPr>
            <w:tcW w:w="1103" w:type="dxa"/>
          </w:tcPr>
          <w:p>
            <w:pPr>
              <w:pStyle w:val="TableParagraph"/>
              <w:spacing w:before="18"/>
              <w:ind w:right="88"/>
              <w:jc w:val="right"/>
              <w:rPr>
                <w:sz w:val="18"/>
              </w:rPr>
            </w:pPr>
            <w:r>
              <w:rPr>
                <w:w w:val="95"/>
                <w:sz w:val="18"/>
              </w:rPr>
              <w:t>155,000</w:t>
            </w:r>
          </w:p>
        </w:tc>
      </w:tr>
      <w:tr>
        <w:trPr>
          <w:trHeight w:val="260" w:hRule="exact"/>
        </w:trPr>
        <w:tc>
          <w:tcPr>
            <w:tcW w:w="3755" w:type="dxa"/>
          </w:tcPr>
          <w:p>
            <w:pPr>
              <w:pStyle w:val="TableParagraph"/>
              <w:spacing w:before="20"/>
              <w:ind w:left="35"/>
              <w:rPr>
                <w:sz w:val="18"/>
              </w:rPr>
            </w:pPr>
            <w:r>
              <w:rPr>
                <w:sz w:val="18"/>
              </w:rPr>
              <w:t>Other financial liabilities</w:t>
            </w:r>
          </w:p>
        </w:tc>
        <w:tc>
          <w:tcPr>
            <w:tcW w:w="1489" w:type="dxa"/>
            <w:tcBorders>
              <w:bottom w:val="single" w:sz="1" w:space="0" w:color="000000"/>
            </w:tcBorders>
          </w:tcPr>
          <w:p>
            <w:pPr>
              <w:pStyle w:val="TableParagraph"/>
              <w:spacing w:before="18"/>
              <w:ind w:right="251"/>
              <w:jc w:val="right"/>
              <w:rPr>
                <w:b/>
                <w:sz w:val="18"/>
              </w:rPr>
            </w:pPr>
            <w:r>
              <w:rPr>
                <w:b/>
                <w:w w:val="95"/>
                <w:sz w:val="18"/>
              </w:rPr>
              <w:t>4,321</w:t>
            </w:r>
          </w:p>
        </w:tc>
        <w:tc>
          <w:tcPr>
            <w:tcW w:w="1289" w:type="dxa"/>
            <w:tcBorders>
              <w:bottom w:val="single" w:sz="1" w:space="0" w:color="000000"/>
            </w:tcBorders>
          </w:tcPr>
          <w:p>
            <w:pPr>
              <w:pStyle w:val="TableParagraph"/>
              <w:spacing w:before="18"/>
              <w:ind w:right="272"/>
              <w:jc w:val="right"/>
              <w:rPr>
                <w:sz w:val="18"/>
              </w:rPr>
            </w:pPr>
            <w:r>
              <w:rPr>
                <w:w w:val="95"/>
                <w:sz w:val="18"/>
              </w:rPr>
              <w:t>5,654</w:t>
            </w:r>
          </w:p>
        </w:tc>
        <w:tc>
          <w:tcPr>
            <w:tcW w:w="1303" w:type="dxa"/>
            <w:tcBorders>
              <w:bottom w:val="single" w:sz="1" w:space="0" w:color="000000"/>
            </w:tcBorders>
          </w:tcPr>
          <w:p>
            <w:pPr>
              <w:pStyle w:val="TableParagraph"/>
              <w:spacing w:before="18"/>
              <w:ind w:right="251"/>
              <w:jc w:val="right"/>
              <w:rPr>
                <w:b/>
                <w:sz w:val="18"/>
              </w:rPr>
            </w:pPr>
            <w:r>
              <w:rPr>
                <w:b/>
                <w:w w:val="95"/>
                <w:sz w:val="18"/>
              </w:rPr>
              <w:t>4,321</w:t>
            </w:r>
          </w:p>
        </w:tc>
        <w:tc>
          <w:tcPr>
            <w:tcW w:w="1103" w:type="dxa"/>
            <w:tcBorders>
              <w:bottom w:val="single" w:sz="1" w:space="0" w:color="000000"/>
            </w:tcBorders>
          </w:tcPr>
          <w:p>
            <w:pPr>
              <w:pStyle w:val="TableParagraph"/>
              <w:spacing w:before="18"/>
              <w:ind w:right="87"/>
              <w:jc w:val="right"/>
              <w:rPr>
                <w:sz w:val="18"/>
              </w:rPr>
            </w:pPr>
            <w:r>
              <w:rPr>
                <w:w w:val="95"/>
                <w:sz w:val="18"/>
              </w:rPr>
              <w:t>5,654</w:t>
            </w:r>
          </w:p>
        </w:tc>
      </w:tr>
      <w:tr>
        <w:trPr>
          <w:trHeight w:val="353" w:hRule="exact"/>
        </w:trPr>
        <w:tc>
          <w:tcPr>
            <w:tcW w:w="3755" w:type="dxa"/>
          </w:tcPr>
          <w:p>
            <w:pPr>
              <w:pStyle w:val="TableParagraph"/>
              <w:spacing w:before="125"/>
              <w:ind w:left="35"/>
              <w:rPr>
                <w:b/>
                <w:sz w:val="18"/>
              </w:rPr>
            </w:pPr>
            <w:r>
              <w:rPr>
                <w:b/>
                <w:sz w:val="18"/>
              </w:rPr>
              <w:t>Total financial liabilities</w:t>
            </w:r>
          </w:p>
        </w:tc>
        <w:tc>
          <w:tcPr>
            <w:tcW w:w="1489" w:type="dxa"/>
            <w:tcBorders>
              <w:top w:val="single" w:sz="1" w:space="0" w:color="000000"/>
              <w:bottom w:val="single" w:sz="1" w:space="0" w:color="000000"/>
            </w:tcBorders>
          </w:tcPr>
          <w:p>
            <w:pPr>
              <w:pStyle w:val="TableParagraph"/>
              <w:spacing w:before="124"/>
              <w:ind w:right="251"/>
              <w:jc w:val="right"/>
              <w:rPr>
                <w:b/>
                <w:sz w:val="18"/>
              </w:rPr>
            </w:pPr>
            <w:r>
              <w:rPr>
                <w:b/>
                <w:w w:val="95"/>
                <w:sz w:val="18"/>
              </w:rPr>
              <w:t>227,744</w:t>
            </w:r>
          </w:p>
        </w:tc>
        <w:tc>
          <w:tcPr>
            <w:tcW w:w="1289" w:type="dxa"/>
            <w:tcBorders>
              <w:top w:val="single" w:sz="1" w:space="0" w:color="000000"/>
              <w:bottom w:val="single" w:sz="1" w:space="0" w:color="000000"/>
            </w:tcBorders>
          </w:tcPr>
          <w:p>
            <w:pPr>
              <w:pStyle w:val="TableParagraph"/>
              <w:spacing w:before="124"/>
              <w:ind w:right="272"/>
              <w:jc w:val="right"/>
              <w:rPr>
                <w:sz w:val="18"/>
              </w:rPr>
            </w:pPr>
            <w:r>
              <w:rPr>
                <w:w w:val="95"/>
                <w:sz w:val="18"/>
              </w:rPr>
              <w:t>208,349</w:t>
            </w:r>
          </w:p>
        </w:tc>
        <w:tc>
          <w:tcPr>
            <w:tcW w:w="1303" w:type="dxa"/>
            <w:tcBorders>
              <w:top w:val="single" w:sz="1" w:space="0" w:color="000000"/>
              <w:bottom w:val="single" w:sz="1" w:space="0" w:color="000000"/>
            </w:tcBorders>
          </w:tcPr>
          <w:p>
            <w:pPr>
              <w:pStyle w:val="TableParagraph"/>
              <w:spacing w:before="124"/>
              <w:ind w:right="251"/>
              <w:jc w:val="right"/>
              <w:rPr>
                <w:b/>
                <w:sz w:val="18"/>
              </w:rPr>
            </w:pPr>
            <w:r>
              <w:rPr>
                <w:b/>
                <w:w w:val="95"/>
                <w:sz w:val="18"/>
              </w:rPr>
              <w:t>227,744</w:t>
            </w:r>
          </w:p>
        </w:tc>
        <w:tc>
          <w:tcPr>
            <w:tcW w:w="1103" w:type="dxa"/>
            <w:tcBorders>
              <w:top w:val="single" w:sz="1" w:space="0" w:color="000000"/>
              <w:bottom w:val="single" w:sz="1" w:space="0" w:color="000000"/>
            </w:tcBorders>
          </w:tcPr>
          <w:p>
            <w:pPr>
              <w:pStyle w:val="TableParagraph"/>
              <w:spacing w:before="124"/>
              <w:ind w:right="88"/>
              <w:jc w:val="right"/>
              <w:rPr>
                <w:sz w:val="18"/>
              </w:rPr>
            </w:pPr>
            <w:r>
              <w:rPr>
                <w:w w:val="95"/>
                <w:sz w:val="18"/>
              </w:rPr>
              <w:t>208,349</w:t>
            </w:r>
          </w:p>
        </w:tc>
      </w:tr>
    </w:tbl>
    <w:p>
      <w:pPr>
        <w:pStyle w:val="BodyText"/>
        <w:spacing w:before="5"/>
        <w:rPr>
          <w:b/>
          <w:sz w:val="20"/>
        </w:rPr>
      </w:pPr>
    </w:p>
    <w:p>
      <w:pPr>
        <w:pStyle w:val="BodyText"/>
        <w:spacing w:before="77"/>
        <w:ind w:left="1070" w:right="220"/>
      </w:pPr>
      <w:r>
        <w:rPr/>
        <w:t>The Group measures and recognises the following assets at fair value on a recurring basis:</w:t>
      </w:r>
    </w:p>
    <w:p>
      <w:pPr>
        <w:pStyle w:val="ListParagraph"/>
        <w:numPr>
          <w:ilvl w:val="2"/>
          <w:numId w:val="34"/>
        </w:numPr>
        <w:tabs>
          <w:tab w:pos="1637" w:val="left" w:leader="none"/>
        </w:tabs>
        <w:spacing w:line="240" w:lineRule="auto" w:before="153" w:after="0"/>
        <w:ind w:left="1636" w:right="0" w:hanging="566"/>
        <w:jc w:val="left"/>
        <w:rPr>
          <w:sz w:val="18"/>
        </w:rPr>
      </w:pPr>
      <w:r>
        <w:rPr>
          <w:sz w:val="18"/>
        </w:rPr>
        <w:t>Available-for-sale financial</w:t>
      </w:r>
      <w:r>
        <w:rPr>
          <w:spacing w:val="1"/>
          <w:sz w:val="18"/>
        </w:rPr>
        <w:t> </w:t>
      </w:r>
      <w:r>
        <w:rPr>
          <w:sz w:val="18"/>
        </w:rPr>
        <w:t>assets</w:t>
      </w:r>
    </w:p>
    <w:p>
      <w:pPr>
        <w:pStyle w:val="ListParagraph"/>
        <w:numPr>
          <w:ilvl w:val="2"/>
          <w:numId w:val="34"/>
        </w:numPr>
        <w:tabs>
          <w:tab w:pos="1637" w:val="left" w:leader="none"/>
        </w:tabs>
        <w:spacing w:line="240" w:lineRule="auto" w:before="149" w:after="0"/>
        <w:ind w:left="1636" w:right="0" w:hanging="566"/>
        <w:jc w:val="left"/>
        <w:rPr>
          <w:sz w:val="18"/>
        </w:rPr>
      </w:pPr>
      <w:r>
        <w:rPr>
          <w:sz w:val="18"/>
        </w:rPr>
        <w:t>Land and</w:t>
      </w:r>
      <w:r>
        <w:rPr>
          <w:spacing w:val="1"/>
          <w:sz w:val="18"/>
        </w:rPr>
        <w:t> </w:t>
      </w:r>
      <w:r>
        <w:rPr>
          <w:sz w:val="18"/>
        </w:rPr>
        <w:t>buildings</w:t>
      </w:r>
    </w:p>
    <w:p>
      <w:pPr>
        <w:pStyle w:val="BodyText"/>
        <w:rPr>
          <w:sz w:val="25"/>
        </w:rPr>
      </w:pPr>
    </w:p>
    <w:p>
      <w:pPr>
        <w:pStyle w:val="BodyText"/>
        <w:spacing w:before="1"/>
        <w:ind w:left="1070" w:right="220"/>
      </w:pPr>
      <w:r>
        <w:rPr/>
        <w:t>The Group has also measured non-current assets held for sale at fair value on a non-recurring basis.</w:t>
      </w:r>
    </w:p>
    <w:p>
      <w:pPr>
        <w:spacing w:after="0"/>
        <w:sectPr>
          <w:headerReference w:type="default" r:id="rId27"/>
          <w:footerReference w:type="default" r:id="rId28"/>
          <w:pgSz w:w="11910" w:h="16840"/>
          <w:pgMar w:header="1037" w:footer="507" w:top="2220" w:bottom="700" w:left="900" w:right="880"/>
          <w:pgNumType w:start="73"/>
        </w:sectPr>
      </w:pPr>
    </w:p>
    <w:p>
      <w:pPr>
        <w:pStyle w:val="BodyText"/>
        <w:rPr>
          <w:sz w:val="20"/>
        </w:rPr>
      </w:pPr>
    </w:p>
    <w:p>
      <w:pPr>
        <w:pStyle w:val="BodyText"/>
        <w:rPr>
          <w:sz w:val="20"/>
        </w:rPr>
      </w:pPr>
    </w:p>
    <w:p>
      <w:pPr>
        <w:pStyle w:val="BodyText"/>
        <w:spacing w:before="5"/>
      </w:pPr>
    </w:p>
    <w:p>
      <w:pPr>
        <w:pStyle w:val="Heading9"/>
        <w:tabs>
          <w:tab w:pos="1070" w:val="left" w:leader="none"/>
        </w:tabs>
        <w:ind w:left="504" w:right="220"/>
      </w:pPr>
      <w:bookmarkStart w:name="(b) Fair value hierarchy" w:id="149"/>
      <w:bookmarkEnd w:id="149"/>
      <w:r>
        <w:rPr>
          <w:b w:val="0"/>
        </w:rPr>
      </w:r>
      <w:r>
        <w:rPr/>
        <w:t>36</w:t>
        <w:tab/>
        <w:t>Fair Value Measurement</w:t>
      </w:r>
      <w:r>
        <w:rPr>
          <w:spacing w:val="-1"/>
        </w:rPr>
        <w:t> </w:t>
      </w:r>
      <w:r>
        <w:rPr/>
        <w:t>(continued)</w:t>
      </w:r>
    </w:p>
    <w:p>
      <w:pPr>
        <w:pStyle w:val="BodyText"/>
        <w:spacing w:before="7"/>
        <w:rPr>
          <w:b/>
          <w:sz w:val="26"/>
        </w:rPr>
      </w:pPr>
    </w:p>
    <w:p>
      <w:pPr>
        <w:pStyle w:val="ListParagraph"/>
        <w:numPr>
          <w:ilvl w:val="1"/>
          <w:numId w:val="34"/>
        </w:numPr>
        <w:tabs>
          <w:tab w:pos="1071" w:val="left" w:leader="none"/>
        </w:tabs>
        <w:spacing w:line="240" w:lineRule="auto" w:before="0" w:after="0"/>
        <w:ind w:left="1070" w:right="0" w:hanging="566"/>
        <w:jc w:val="left"/>
        <w:rPr>
          <w:sz w:val="18"/>
        </w:rPr>
      </w:pPr>
      <w:r>
        <w:rPr>
          <w:sz w:val="18"/>
        </w:rPr>
        <w:t>Fair value</w:t>
      </w:r>
      <w:r>
        <w:rPr>
          <w:spacing w:val="1"/>
          <w:sz w:val="18"/>
        </w:rPr>
        <w:t> </w:t>
      </w:r>
      <w:r>
        <w:rPr>
          <w:sz w:val="18"/>
        </w:rPr>
        <w:t>hierarchy</w:t>
      </w:r>
    </w:p>
    <w:p>
      <w:pPr>
        <w:pStyle w:val="BodyText"/>
        <w:spacing w:before="4"/>
        <w:rPr>
          <w:sz w:val="25"/>
        </w:rPr>
      </w:pPr>
    </w:p>
    <w:p>
      <w:pPr>
        <w:pStyle w:val="BodyText"/>
        <w:ind w:left="1070" w:right="220"/>
      </w:pPr>
      <w:r>
        <w:rPr/>
        <w:t>Western Sydney University categorises assets and liabilities measured at fair value into a hierarchy based on the level of inputs used in measurements.</w:t>
      </w:r>
    </w:p>
    <w:p>
      <w:pPr>
        <w:pStyle w:val="BodyText"/>
        <w:spacing w:before="2"/>
        <w:rPr>
          <w:sz w:val="26"/>
        </w:rPr>
      </w:pPr>
    </w:p>
    <w:p>
      <w:pPr>
        <w:pStyle w:val="BodyText"/>
        <w:tabs>
          <w:tab w:pos="2939" w:val="left" w:leader="none"/>
        </w:tabs>
        <w:spacing w:before="1"/>
        <w:ind w:left="1072" w:right="220"/>
      </w:pPr>
      <w:r>
        <w:rPr/>
        <w:t>Level</w:t>
      </w:r>
      <w:r>
        <w:rPr>
          <w:spacing w:val="-1"/>
        </w:rPr>
        <w:t> </w:t>
      </w:r>
      <w:r>
        <w:rPr/>
        <w:t>1</w:t>
        <w:tab/>
        <w:t>quoted prices (unadjusted) in active markets for identical assets or</w:t>
      </w:r>
      <w:r>
        <w:rPr>
          <w:spacing w:val="9"/>
        </w:rPr>
        <w:t> </w:t>
      </w:r>
      <w:r>
        <w:rPr/>
        <w:t>liabilities.</w:t>
      </w:r>
    </w:p>
    <w:p>
      <w:pPr>
        <w:pStyle w:val="BodyText"/>
        <w:tabs>
          <w:tab w:pos="2939" w:val="left" w:leader="none"/>
        </w:tabs>
        <w:spacing w:before="57"/>
        <w:ind w:left="2940" w:right="171" w:hanging="1868"/>
      </w:pPr>
      <w:r>
        <w:rPr/>
        <w:t>Level</w:t>
      </w:r>
      <w:r>
        <w:rPr>
          <w:spacing w:val="-1"/>
        </w:rPr>
        <w:t> </w:t>
      </w:r>
      <w:r>
        <w:rPr/>
        <w:t>2</w:t>
        <w:tab/>
        <w:t>inputs other than quoted prices included within Level 1 that are observable for</w:t>
      </w:r>
      <w:r>
        <w:rPr>
          <w:spacing w:val="11"/>
        </w:rPr>
        <w:t> </w:t>
      </w:r>
      <w:r>
        <w:rPr/>
        <w:t>the asset or liability, either directly or</w:t>
      </w:r>
      <w:r>
        <w:rPr>
          <w:spacing w:val="-1"/>
        </w:rPr>
        <w:t> </w:t>
      </w:r>
      <w:r>
        <w:rPr/>
        <w:t>indirectly.</w:t>
      </w:r>
    </w:p>
    <w:p>
      <w:pPr>
        <w:pStyle w:val="BodyText"/>
        <w:tabs>
          <w:tab w:pos="2939" w:val="left" w:leader="none"/>
        </w:tabs>
        <w:spacing w:before="57"/>
        <w:ind w:left="2940" w:right="1136" w:hanging="1868"/>
      </w:pPr>
      <w:r>
        <w:rPr/>
        <w:t>Level</w:t>
      </w:r>
      <w:r>
        <w:rPr>
          <w:spacing w:val="-1"/>
        </w:rPr>
        <w:t> </w:t>
      </w:r>
      <w:r>
        <w:rPr/>
        <w:t>3</w:t>
        <w:tab/>
        <w:t>inputs for the asset or liability that are not based on observable</w:t>
      </w:r>
      <w:r>
        <w:rPr>
          <w:spacing w:val="11"/>
        </w:rPr>
        <w:t> </w:t>
      </w:r>
      <w:r>
        <w:rPr/>
        <w:t>market data</w:t>
      </w:r>
      <w:r>
        <w:rPr>
          <w:w w:val="99"/>
        </w:rPr>
        <w:t> </w:t>
      </w:r>
      <w:r>
        <w:rPr/>
        <w:t>(unobservable inputs)</w:t>
      </w:r>
    </w:p>
    <w:p>
      <w:pPr>
        <w:pStyle w:val="BodyText"/>
      </w:pPr>
    </w:p>
    <w:p>
      <w:pPr>
        <w:pStyle w:val="ListParagraph"/>
        <w:numPr>
          <w:ilvl w:val="0"/>
          <w:numId w:val="39"/>
        </w:numPr>
        <w:tabs>
          <w:tab w:pos="1282" w:val="left" w:leader="none"/>
        </w:tabs>
        <w:spacing w:line="240" w:lineRule="auto" w:before="109" w:after="0"/>
        <w:ind w:left="1281" w:right="0" w:hanging="211"/>
        <w:jc w:val="left"/>
        <w:rPr>
          <w:sz w:val="18"/>
        </w:rPr>
      </w:pPr>
      <w:r>
        <w:rPr>
          <w:sz w:val="18"/>
        </w:rPr>
        <w:t>Recognised fair value</w:t>
      </w:r>
      <w:r>
        <w:rPr>
          <w:spacing w:val="2"/>
          <w:sz w:val="18"/>
        </w:rPr>
        <w:t> </w:t>
      </w:r>
      <w:r>
        <w:rPr>
          <w:sz w:val="18"/>
        </w:rPr>
        <w:t>measurements</w:t>
      </w:r>
    </w:p>
    <w:p>
      <w:pPr>
        <w:pStyle w:val="BodyText"/>
        <w:spacing w:before="11"/>
        <w:rPr>
          <w:sz w:val="24"/>
        </w:rPr>
      </w:pPr>
    </w:p>
    <w:p>
      <w:pPr>
        <w:pStyle w:val="BodyText"/>
        <w:ind w:left="1070" w:right="220"/>
      </w:pPr>
      <w:r>
        <w:rPr/>
        <w:t>Fair value measurements recognised in the statement of financial position are categorised into the following levels:</w:t>
      </w:r>
    </w:p>
    <w:p>
      <w:pPr>
        <w:pStyle w:val="BodyText"/>
        <w:spacing w:before="3"/>
      </w:pPr>
    </w:p>
    <w:tbl>
      <w:tblPr>
        <w:tblW w:w="0" w:type="auto"/>
        <w:jc w:val="left"/>
        <w:tblInd w:w="10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21"/>
        <w:gridCol w:w="1109"/>
        <w:gridCol w:w="924"/>
        <w:gridCol w:w="1668"/>
        <w:gridCol w:w="1158"/>
      </w:tblGrid>
      <w:tr>
        <w:trPr>
          <w:trHeight w:val="567" w:hRule="exact"/>
        </w:trPr>
        <w:tc>
          <w:tcPr>
            <w:tcW w:w="4121" w:type="dxa"/>
          </w:tcPr>
          <w:p>
            <w:pPr>
              <w:pStyle w:val="TableParagraph"/>
              <w:spacing w:before="77"/>
              <w:ind w:left="35"/>
              <w:rPr>
                <w:b/>
                <w:sz w:val="18"/>
              </w:rPr>
            </w:pPr>
            <w:r>
              <w:rPr>
                <w:b/>
                <w:sz w:val="18"/>
              </w:rPr>
              <w:t>Fair value measurements at 31 December 2017</w:t>
            </w:r>
          </w:p>
        </w:tc>
        <w:tc>
          <w:tcPr>
            <w:tcW w:w="1109" w:type="dxa"/>
          </w:tcPr>
          <w:p>
            <w:pPr>
              <w:pStyle w:val="TableParagraph"/>
              <w:rPr>
                <w:sz w:val="18"/>
              </w:rPr>
            </w:pPr>
          </w:p>
          <w:p>
            <w:pPr>
              <w:pStyle w:val="TableParagraph"/>
              <w:spacing w:before="110"/>
              <w:ind w:left="143"/>
              <w:rPr>
                <w:b/>
                <w:sz w:val="18"/>
              </w:rPr>
            </w:pPr>
            <w:r>
              <w:rPr>
                <w:b/>
                <w:sz w:val="18"/>
              </w:rPr>
              <w:t>2017</w:t>
            </w:r>
          </w:p>
        </w:tc>
        <w:tc>
          <w:tcPr>
            <w:tcW w:w="924" w:type="dxa"/>
          </w:tcPr>
          <w:p>
            <w:pPr>
              <w:pStyle w:val="TableParagraph"/>
              <w:rPr>
                <w:sz w:val="18"/>
              </w:rPr>
            </w:pPr>
          </w:p>
          <w:p>
            <w:pPr>
              <w:pStyle w:val="TableParagraph"/>
              <w:spacing w:before="110"/>
              <w:ind w:left="207" w:right="66"/>
              <w:jc w:val="center"/>
              <w:rPr>
                <w:b/>
                <w:sz w:val="18"/>
              </w:rPr>
            </w:pPr>
            <w:r>
              <w:rPr>
                <w:b/>
                <w:sz w:val="18"/>
              </w:rPr>
              <w:t>Level 1</w:t>
            </w:r>
          </w:p>
        </w:tc>
        <w:tc>
          <w:tcPr>
            <w:tcW w:w="1668" w:type="dxa"/>
          </w:tcPr>
          <w:p>
            <w:pPr>
              <w:pStyle w:val="TableParagraph"/>
              <w:rPr>
                <w:sz w:val="18"/>
              </w:rPr>
            </w:pPr>
          </w:p>
          <w:p>
            <w:pPr>
              <w:pStyle w:val="TableParagraph"/>
              <w:spacing w:before="110"/>
              <w:ind w:left="599"/>
              <w:rPr>
                <w:b/>
                <w:sz w:val="18"/>
              </w:rPr>
            </w:pPr>
            <w:r>
              <w:rPr>
                <w:b/>
                <w:sz w:val="18"/>
              </w:rPr>
              <w:t>Level 2</w:t>
            </w:r>
          </w:p>
        </w:tc>
        <w:tc>
          <w:tcPr>
            <w:tcW w:w="1158" w:type="dxa"/>
          </w:tcPr>
          <w:p>
            <w:pPr>
              <w:pStyle w:val="TableParagraph"/>
              <w:rPr>
                <w:sz w:val="18"/>
              </w:rPr>
            </w:pPr>
          </w:p>
          <w:p>
            <w:pPr>
              <w:pStyle w:val="TableParagraph"/>
              <w:spacing w:before="110"/>
              <w:ind w:left="226"/>
              <w:rPr>
                <w:b/>
                <w:sz w:val="18"/>
              </w:rPr>
            </w:pPr>
            <w:r>
              <w:rPr>
                <w:b/>
                <w:sz w:val="18"/>
              </w:rPr>
              <w:t>Level 3</w:t>
            </w:r>
          </w:p>
        </w:tc>
      </w:tr>
      <w:tr>
        <w:trPr>
          <w:trHeight w:val="313" w:hRule="exact"/>
        </w:trPr>
        <w:tc>
          <w:tcPr>
            <w:tcW w:w="4121" w:type="dxa"/>
          </w:tcPr>
          <w:p>
            <w:pPr>
              <w:pStyle w:val="TableParagraph"/>
              <w:spacing w:before="24"/>
              <w:ind w:right="352"/>
              <w:jc w:val="right"/>
              <w:rPr>
                <w:b/>
                <w:sz w:val="18"/>
              </w:rPr>
            </w:pPr>
            <w:r>
              <w:rPr>
                <w:b/>
                <w:sz w:val="18"/>
              </w:rPr>
              <w:t>Notes</w:t>
            </w:r>
          </w:p>
        </w:tc>
        <w:tc>
          <w:tcPr>
            <w:tcW w:w="1109" w:type="dxa"/>
          </w:tcPr>
          <w:p>
            <w:pPr>
              <w:pStyle w:val="TableParagraph"/>
              <w:spacing w:before="24"/>
              <w:ind w:left="121"/>
              <w:rPr>
                <w:b/>
                <w:sz w:val="18"/>
              </w:rPr>
            </w:pPr>
            <w:r>
              <w:rPr>
                <w:b/>
                <w:sz w:val="18"/>
              </w:rPr>
              <w:t>$'000</w:t>
            </w:r>
          </w:p>
        </w:tc>
        <w:tc>
          <w:tcPr>
            <w:tcW w:w="924" w:type="dxa"/>
          </w:tcPr>
          <w:p>
            <w:pPr>
              <w:pStyle w:val="TableParagraph"/>
              <w:spacing w:before="24"/>
              <w:ind w:left="205" w:right="66"/>
              <w:jc w:val="center"/>
              <w:rPr>
                <w:b/>
                <w:sz w:val="18"/>
              </w:rPr>
            </w:pPr>
            <w:r>
              <w:rPr>
                <w:b/>
                <w:sz w:val="18"/>
              </w:rPr>
              <w:t>$'000</w:t>
            </w:r>
          </w:p>
        </w:tc>
        <w:tc>
          <w:tcPr>
            <w:tcW w:w="1668" w:type="dxa"/>
          </w:tcPr>
          <w:p>
            <w:pPr>
              <w:pStyle w:val="TableParagraph"/>
              <w:spacing w:before="24"/>
              <w:ind w:left="680"/>
              <w:rPr>
                <w:b/>
                <w:sz w:val="18"/>
              </w:rPr>
            </w:pPr>
            <w:r>
              <w:rPr>
                <w:b/>
                <w:sz w:val="18"/>
              </w:rPr>
              <w:t>$'000</w:t>
            </w:r>
          </w:p>
        </w:tc>
        <w:tc>
          <w:tcPr>
            <w:tcW w:w="1158" w:type="dxa"/>
          </w:tcPr>
          <w:p>
            <w:pPr>
              <w:pStyle w:val="TableParagraph"/>
              <w:spacing w:before="24"/>
              <w:ind w:left="308"/>
              <w:rPr>
                <w:b/>
                <w:sz w:val="18"/>
              </w:rPr>
            </w:pPr>
            <w:r>
              <w:rPr>
                <w:b/>
                <w:sz w:val="18"/>
              </w:rPr>
              <w:t>$'000</w:t>
            </w:r>
          </w:p>
        </w:tc>
      </w:tr>
      <w:tr>
        <w:trPr>
          <w:trHeight w:val="336" w:hRule="exact"/>
        </w:trPr>
        <w:tc>
          <w:tcPr>
            <w:tcW w:w="4121" w:type="dxa"/>
          </w:tcPr>
          <w:p>
            <w:pPr>
              <w:pStyle w:val="TableParagraph"/>
              <w:spacing w:before="63"/>
              <w:ind w:left="78"/>
              <w:rPr>
                <w:b/>
                <w:sz w:val="18"/>
              </w:rPr>
            </w:pPr>
            <w:r>
              <w:rPr>
                <w:b/>
                <w:sz w:val="18"/>
              </w:rPr>
              <w:t>Recurring fair value measurements</w:t>
            </w:r>
          </w:p>
        </w:tc>
        <w:tc>
          <w:tcPr>
            <w:tcW w:w="1109" w:type="dxa"/>
          </w:tcPr>
          <w:p>
            <w:pPr/>
          </w:p>
        </w:tc>
        <w:tc>
          <w:tcPr>
            <w:tcW w:w="924" w:type="dxa"/>
          </w:tcPr>
          <w:p>
            <w:pPr/>
          </w:p>
        </w:tc>
        <w:tc>
          <w:tcPr>
            <w:tcW w:w="1668" w:type="dxa"/>
          </w:tcPr>
          <w:p>
            <w:pPr/>
          </w:p>
        </w:tc>
        <w:tc>
          <w:tcPr>
            <w:tcW w:w="1158" w:type="dxa"/>
          </w:tcPr>
          <w:p>
            <w:pPr/>
          </w:p>
        </w:tc>
      </w:tr>
      <w:tr>
        <w:trPr>
          <w:trHeight w:val="276" w:hRule="exact"/>
        </w:trPr>
        <w:tc>
          <w:tcPr>
            <w:tcW w:w="4121" w:type="dxa"/>
          </w:tcPr>
          <w:p>
            <w:pPr>
              <w:pStyle w:val="TableParagraph"/>
              <w:spacing w:before="46"/>
              <w:ind w:left="78"/>
              <w:rPr>
                <w:b/>
                <w:sz w:val="18"/>
              </w:rPr>
            </w:pPr>
            <w:r>
              <w:rPr>
                <w:b/>
                <w:sz w:val="18"/>
              </w:rPr>
              <w:t>Financial assets</w:t>
            </w:r>
          </w:p>
        </w:tc>
        <w:tc>
          <w:tcPr>
            <w:tcW w:w="1109" w:type="dxa"/>
          </w:tcPr>
          <w:p>
            <w:pPr/>
          </w:p>
        </w:tc>
        <w:tc>
          <w:tcPr>
            <w:tcW w:w="924" w:type="dxa"/>
          </w:tcPr>
          <w:p>
            <w:pPr/>
          </w:p>
        </w:tc>
        <w:tc>
          <w:tcPr>
            <w:tcW w:w="1668" w:type="dxa"/>
          </w:tcPr>
          <w:p>
            <w:pPr/>
          </w:p>
        </w:tc>
        <w:tc>
          <w:tcPr>
            <w:tcW w:w="1158" w:type="dxa"/>
          </w:tcPr>
          <w:p>
            <w:pPr/>
          </w:p>
        </w:tc>
      </w:tr>
      <w:tr>
        <w:trPr>
          <w:trHeight w:val="246" w:hRule="exact"/>
        </w:trPr>
        <w:tc>
          <w:tcPr>
            <w:tcW w:w="4121" w:type="dxa"/>
          </w:tcPr>
          <w:p>
            <w:pPr>
              <w:pStyle w:val="TableParagraph"/>
              <w:tabs>
                <w:tab w:pos="3464" w:val="right" w:leader="none"/>
              </w:tabs>
              <w:spacing w:before="3"/>
              <w:ind w:left="78"/>
              <w:rPr>
                <w:sz w:val="18"/>
              </w:rPr>
            </w:pPr>
            <w:r>
              <w:rPr>
                <w:sz w:val="18"/>
              </w:rPr>
              <w:t>Available-for-sale financial assets</w:t>
            </w:r>
            <w:r>
              <w:rPr>
                <w:rFonts w:ascii="Times New Roman"/>
                <w:sz w:val="18"/>
              </w:rPr>
              <w:tab/>
            </w:r>
            <w:r>
              <w:rPr>
                <w:sz w:val="18"/>
              </w:rPr>
              <w:t>23</w:t>
            </w:r>
          </w:p>
        </w:tc>
        <w:tc>
          <w:tcPr>
            <w:tcW w:w="1109" w:type="dxa"/>
          </w:tcPr>
          <w:p>
            <w:pPr/>
          </w:p>
        </w:tc>
        <w:tc>
          <w:tcPr>
            <w:tcW w:w="924" w:type="dxa"/>
          </w:tcPr>
          <w:p>
            <w:pPr/>
          </w:p>
        </w:tc>
        <w:tc>
          <w:tcPr>
            <w:tcW w:w="1668" w:type="dxa"/>
          </w:tcPr>
          <w:p>
            <w:pPr/>
          </w:p>
        </w:tc>
        <w:tc>
          <w:tcPr>
            <w:tcW w:w="1158" w:type="dxa"/>
          </w:tcPr>
          <w:p>
            <w:pPr/>
          </w:p>
        </w:tc>
      </w:tr>
      <w:tr>
        <w:trPr>
          <w:trHeight w:val="466" w:hRule="exact"/>
        </w:trPr>
        <w:tc>
          <w:tcPr>
            <w:tcW w:w="4121" w:type="dxa"/>
          </w:tcPr>
          <w:p>
            <w:pPr>
              <w:pStyle w:val="TableParagraph"/>
              <w:spacing w:before="16"/>
              <w:ind w:left="291" w:right="1658"/>
              <w:rPr>
                <w:sz w:val="18"/>
              </w:rPr>
            </w:pPr>
            <w:r>
              <w:rPr>
                <w:sz w:val="18"/>
              </w:rPr>
              <w:t>Available-for-sale (Unlisted securities)</w:t>
            </w:r>
          </w:p>
        </w:tc>
        <w:tc>
          <w:tcPr>
            <w:tcW w:w="1109" w:type="dxa"/>
          </w:tcPr>
          <w:p>
            <w:pPr>
              <w:pStyle w:val="TableParagraph"/>
              <w:spacing w:before="2"/>
              <w:rPr>
                <w:sz w:val="19"/>
              </w:rPr>
            </w:pPr>
          </w:p>
          <w:p>
            <w:pPr>
              <w:pStyle w:val="TableParagraph"/>
              <w:ind w:right="224"/>
              <w:jc w:val="right"/>
              <w:rPr>
                <w:sz w:val="18"/>
              </w:rPr>
            </w:pPr>
            <w:r>
              <w:rPr>
                <w:w w:val="95"/>
                <w:sz w:val="18"/>
              </w:rPr>
              <w:t>16,537</w:t>
            </w:r>
          </w:p>
        </w:tc>
        <w:tc>
          <w:tcPr>
            <w:tcW w:w="924" w:type="dxa"/>
          </w:tcPr>
          <w:p>
            <w:pPr/>
          </w:p>
        </w:tc>
        <w:tc>
          <w:tcPr>
            <w:tcW w:w="1668" w:type="dxa"/>
          </w:tcPr>
          <w:p>
            <w:pPr>
              <w:pStyle w:val="TableParagraph"/>
              <w:spacing w:before="2"/>
              <w:rPr>
                <w:sz w:val="19"/>
              </w:rPr>
            </w:pPr>
          </w:p>
          <w:p>
            <w:pPr>
              <w:pStyle w:val="TableParagraph"/>
              <w:tabs>
                <w:tab w:pos="887" w:val="left" w:leader="none"/>
              </w:tabs>
              <w:ind w:left="85"/>
              <w:rPr>
                <w:sz w:val="18"/>
              </w:rPr>
            </w:pPr>
            <w:r>
              <w:rPr>
                <w:sz w:val="18"/>
              </w:rPr>
              <w:t>-</w:t>
              <w:tab/>
              <w:t>16,200</w:t>
            </w:r>
          </w:p>
        </w:tc>
        <w:tc>
          <w:tcPr>
            <w:tcW w:w="1158" w:type="dxa"/>
          </w:tcPr>
          <w:p>
            <w:pPr>
              <w:pStyle w:val="TableParagraph"/>
              <w:spacing w:before="2"/>
              <w:rPr>
                <w:sz w:val="19"/>
              </w:rPr>
            </w:pPr>
          </w:p>
          <w:p>
            <w:pPr>
              <w:pStyle w:val="TableParagraph"/>
              <w:ind w:right="86"/>
              <w:jc w:val="right"/>
              <w:rPr>
                <w:sz w:val="18"/>
              </w:rPr>
            </w:pPr>
            <w:r>
              <w:rPr>
                <w:w w:val="95"/>
                <w:sz w:val="18"/>
              </w:rPr>
              <w:t>337</w:t>
            </w:r>
          </w:p>
        </w:tc>
      </w:tr>
      <w:tr>
        <w:trPr>
          <w:trHeight w:val="463" w:hRule="exact"/>
        </w:trPr>
        <w:tc>
          <w:tcPr>
            <w:tcW w:w="4121" w:type="dxa"/>
            <w:tcBorders>
              <w:bottom w:val="single" w:sz="1" w:space="0" w:color="000000"/>
            </w:tcBorders>
          </w:tcPr>
          <w:p>
            <w:pPr>
              <w:pStyle w:val="TableParagraph"/>
              <w:spacing w:before="16"/>
              <w:ind w:left="291" w:right="1828"/>
              <w:rPr>
                <w:sz w:val="18"/>
              </w:rPr>
            </w:pPr>
            <w:r>
              <w:rPr>
                <w:sz w:val="18"/>
              </w:rPr>
              <w:t>Available-for-sale (Listed securities)</w:t>
            </w:r>
          </w:p>
        </w:tc>
        <w:tc>
          <w:tcPr>
            <w:tcW w:w="1109" w:type="dxa"/>
            <w:tcBorders>
              <w:bottom w:val="single" w:sz="1" w:space="0" w:color="000000"/>
            </w:tcBorders>
          </w:tcPr>
          <w:p>
            <w:pPr>
              <w:pStyle w:val="TableParagraph"/>
              <w:spacing w:before="2"/>
              <w:rPr>
                <w:sz w:val="19"/>
              </w:rPr>
            </w:pPr>
          </w:p>
          <w:p>
            <w:pPr>
              <w:pStyle w:val="TableParagraph"/>
              <w:ind w:right="224"/>
              <w:jc w:val="right"/>
              <w:rPr>
                <w:sz w:val="18"/>
              </w:rPr>
            </w:pPr>
            <w:r>
              <w:rPr>
                <w:w w:val="95"/>
                <w:sz w:val="18"/>
              </w:rPr>
              <w:t>80,299</w:t>
            </w:r>
          </w:p>
        </w:tc>
        <w:tc>
          <w:tcPr>
            <w:tcW w:w="924" w:type="dxa"/>
            <w:tcBorders>
              <w:bottom w:val="single" w:sz="1" w:space="0" w:color="000000"/>
            </w:tcBorders>
          </w:tcPr>
          <w:p>
            <w:pPr/>
          </w:p>
        </w:tc>
        <w:tc>
          <w:tcPr>
            <w:tcW w:w="1668" w:type="dxa"/>
            <w:tcBorders>
              <w:bottom w:val="single" w:sz="1" w:space="0" w:color="000000"/>
            </w:tcBorders>
          </w:tcPr>
          <w:p>
            <w:pPr>
              <w:pStyle w:val="TableParagraph"/>
              <w:spacing w:before="2"/>
              <w:rPr>
                <w:sz w:val="19"/>
              </w:rPr>
            </w:pPr>
          </w:p>
          <w:p>
            <w:pPr>
              <w:pStyle w:val="TableParagraph"/>
              <w:tabs>
                <w:tab w:pos="887" w:val="left" w:leader="none"/>
              </w:tabs>
              <w:ind w:left="85"/>
              <w:rPr>
                <w:sz w:val="18"/>
              </w:rPr>
            </w:pPr>
            <w:r>
              <w:rPr>
                <w:sz w:val="18"/>
              </w:rPr>
              <w:t>-</w:t>
              <w:tab/>
              <w:t>80,299</w:t>
            </w:r>
          </w:p>
        </w:tc>
        <w:tc>
          <w:tcPr>
            <w:tcW w:w="1158" w:type="dxa"/>
            <w:tcBorders>
              <w:bottom w:val="single" w:sz="1" w:space="0" w:color="000000"/>
            </w:tcBorders>
          </w:tcPr>
          <w:p>
            <w:pPr>
              <w:pStyle w:val="TableParagraph"/>
              <w:spacing w:before="2"/>
              <w:rPr>
                <w:sz w:val="19"/>
              </w:rPr>
            </w:pPr>
          </w:p>
          <w:p>
            <w:pPr>
              <w:pStyle w:val="TableParagraph"/>
              <w:ind w:right="86"/>
              <w:jc w:val="right"/>
              <w:rPr>
                <w:sz w:val="18"/>
              </w:rPr>
            </w:pPr>
            <w:r>
              <w:rPr>
                <w:w w:val="99"/>
                <w:sz w:val="18"/>
              </w:rPr>
              <w:t>-</w:t>
            </w:r>
          </w:p>
        </w:tc>
      </w:tr>
      <w:tr>
        <w:trPr>
          <w:trHeight w:val="336" w:hRule="exact"/>
        </w:trPr>
        <w:tc>
          <w:tcPr>
            <w:tcW w:w="4121" w:type="dxa"/>
            <w:tcBorders>
              <w:top w:val="single" w:sz="1" w:space="0" w:color="000000"/>
              <w:bottom w:val="single" w:sz="1" w:space="0" w:color="000000"/>
            </w:tcBorders>
          </w:tcPr>
          <w:p>
            <w:pPr>
              <w:pStyle w:val="TableParagraph"/>
              <w:spacing w:before="124"/>
              <w:ind w:left="78"/>
              <w:rPr>
                <w:b/>
                <w:sz w:val="18"/>
              </w:rPr>
            </w:pPr>
            <w:r>
              <w:rPr>
                <w:b/>
                <w:sz w:val="18"/>
              </w:rPr>
              <w:t>Total financial assets</w:t>
            </w:r>
          </w:p>
        </w:tc>
        <w:tc>
          <w:tcPr>
            <w:tcW w:w="1109" w:type="dxa"/>
            <w:tcBorders>
              <w:top w:val="single" w:sz="1" w:space="0" w:color="000000"/>
              <w:bottom w:val="single" w:sz="1" w:space="0" w:color="000000"/>
            </w:tcBorders>
          </w:tcPr>
          <w:p>
            <w:pPr>
              <w:pStyle w:val="TableParagraph"/>
              <w:spacing w:before="124"/>
              <w:ind w:right="224"/>
              <w:jc w:val="right"/>
              <w:rPr>
                <w:b/>
                <w:sz w:val="18"/>
              </w:rPr>
            </w:pPr>
            <w:r>
              <w:rPr>
                <w:b/>
                <w:w w:val="95"/>
                <w:sz w:val="18"/>
              </w:rPr>
              <w:t>96,836</w:t>
            </w:r>
          </w:p>
        </w:tc>
        <w:tc>
          <w:tcPr>
            <w:tcW w:w="924" w:type="dxa"/>
            <w:tcBorders>
              <w:top w:val="single" w:sz="1" w:space="0" w:color="000000"/>
              <w:bottom w:val="single" w:sz="1" w:space="0" w:color="000000"/>
            </w:tcBorders>
          </w:tcPr>
          <w:p>
            <w:pPr/>
          </w:p>
        </w:tc>
        <w:tc>
          <w:tcPr>
            <w:tcW w:w="1668" w:type="dxa"/>
            <w:tcBorders>
              <w:top w:val="single" w:sz="1" w:space="0" w:color="000000"/>
              <w:bottom w:val="single" w:sz="1" w:space="0" w:color="000000"/>
            </w:tcBorders>
          </w:tcPr>
          <w:p>
            <w:pPr>
              <w:pStyle w:val="TableParagraph"/>
              <w:tabs>
                <w:tab w:pos="887" w:val="left" w:leader="none"/>
              </w:tabs>
              <w:spacing w:before="124"/>
              <w:ind w:left="85"/>
              <w:rPr>
                <w:b/>
                <w:sz w:val="18"/>
              </w:rPr>
            </w:pPr>
            <w:r>
              <w:rPr>
                <w:b/>
                <w:sz w:val="18"/>
              </w:rPr>
              <w:t>-</w:t>
              <w:tab/>
              <w:t>96,499</w:t>
            </w:r>
          </w:p>
        </w:tc>
        <w:tc>
          <w:tcPr>
            <w:tcW w:w="1158" w:type="dxa"/>
            <w:tcBorders>
              <w:top w:val="single" w:sz="1" w:space="0" w:color="000000"/>
              <w:bottom w:val="single" w:sz="1" w:space="0" w:color="000000"/>
            </w:tcBorders>
          </w:tcPr>
          <w:p>
            <w:pPr>
              <w:pStyle w:val="TableParagraph"/>
              <w:spacing w:before="124"/>
              <w:ind w:right="86"/>
              <w:jc w:val="right"/>
              <w:rPr>
                <w:b/>
                <w:sz w:val="18"/>
              </w:rPr>
            </w:pPr>
            <w:r>
              <w:rPr>
                <w:b/>
                <w:w w:val="95"/>
                <w:sz w:val="18"/>
              </w:rPr>
              <w:t>337</w:t>
            </w:r>
          </w:p>
        </w:tc>
      </w:tr>
      <w:tr>
        <w:trPr>
          <w:trHeight w:val="386" w:hRule="exact"/>
        </w:trPr>
        <w:tc>
          <w:tcPr>
            <w:tcW w:w="4121" w:type="dxa"/>
            <w:tcBorders>
              <w:top w:val="single" w:sz="1" w:space="0" w:color="000000"/>
            </w:tcBorders>
          </w:tcPr>
          <w:p>
            <w:pPr>
              <w:pStyle w:val="TableParagraph"/>
              <w:spacing w:before="155"/>
              <w:ind w:left="78"/>
              <w:rPr>
                <w:b/>
                <w:sz w:val="18"/>
              </w:rPr>
            </w:pPr>
            <w:r>
              <w:rPr>
                <w:b/>
                <w:sz w:val="18"/>
              </w:rPr>
              <w:t>Non-financial assets</w:t>
            </w:r>
          </w:p>
        </w:tc>
        <w:tc>
          <w:tcPr>
            <w:tcW w:w="1109" w:type="dxa"/>
            <w:tcBorders>
              <w:top w:val="single" w:sz="1" w:space="0" w:color="000000"/>
            </w:tcBorders>
          </w:tcPr>
          <w:p>
            <w:pPr/>
          </w:p>
        </w:tc>
        <w:tc>
          <w:tcPr>
            <w:tcW w:w="924" w:type="dxa"/>
            <w:tcBorders>
              <w:top w:val="single" w:sz="1" w:space="0" w:color="000000"/>
            </w:tcBorders>
          </w:tcPr>
          <w:p>
            <w:pPr/>
          </w:p>
        </w:tc>
        <w:tc>
          <w:tcPr>
            <w:tcW w:w="1668" w:type="dxa"/>
            <w:tcBorders>
              <w:top w:val="single" w:sz="1" w:space="0" w:color="000000"/>
            </w:tcBorders>
          </w:tcPr>
          <w:p>
            <w:pPr/>
          </w:p>
        </w:tc>
        <w:tc>
          <w:tcPr>
            <w:tcW w:w="1158" w:type="dxa"/>
            <w:tcBorders>
              <w:top w:val="single" w:sz="1" w:space="0" w:color="000000"/>
            </w:tcBorders>
          </w:tcPr>
          <w:p>
            <w:pPr/>
          </w:p>
        </w:tc>
      </w:tr>
      <w:tr>
        <w:trPr>
          <w:trHeight w:val="247" w:hRule="exact"/>
        </w:trPr>
        <w:tc>
          <w:tcPr>
            <w:tcW w:w="4121" w:type="dxa"/>
          </w:tcPr>
          <w:p>
            <w:pPr>
              <w:pStyle w:val="TableParagraph"/>
              <w:tabs>
                <w:tab w:pos="3464" w:val="right" w:leader="none"/>
              </w:tabs>
              <w:spacing w:before="3"/>
              <w:ind w:left="78"/>
              <w:rPr>
                <w:sz w:val="18"/>
              </w:rPr>
            </w:pPr>
            <w:r>
              <w:rPr>
                <w:sz w:val="18"/>
              </w:rPr>
              <w:t>Property, plant</w:t>
            </w:r>
            <w:r>
              <w:rPr>
                <w:spacing w:val="1"/>
                <w:sz w:val="18"/>
              </w:rPr>
              <w:t> </w:t>
            </w:r>
            <w:r>
              <w:rPr>
                <w:sz w:val="18"/>
              </w:rPr>
              <w:t>and equipment</w:t>
            </w:r>
            <w:r>
              <w:rPr>
                <w:rFonts w:ascii="Times New Roman"/>
                <w:sz w:val="18"/>
              </w:rPr>
              <w:tab/>
            </w:r>
            <w:r>
              <w:rPr>
                <w:sz w:val="18"/>
              </w:rPr>
              <w:t>21</w:t>
            </w:r>
          </w:p>
        </w:tc>
        <w:tc>
          <w:tcPr>
            <w:tcW w:w="1109" w:type="dxa"/>
          </w:tcPr>
          <w:p>
            <w:pPr/>
          </w:p>
        </w:tc>
        <w:tc>
          <w:tcPr>
            <w:tcW w:w="924" w:type="dxa"/>
          </w:tcPr>
          <w:p>
            <w:pPr/>
          </w:p>
        </w:tc>
        <w:tc>
          <w:tcPr>
            <w:tcW w:w="1668" w:type="dxa"/>
          </w:tcPr>
          <w:p>
            <w:pPr/>
          </w:p>
        </w:tc>
        <w:tc>
          <w:tcPr>
            <w:tcW w:w="1158" w:type="dxa"/>
          </w:tcPr>
          <w:p>
            <w:pPr/>
          </w:p>
        </w:tc>
      </w:tr>
      <w:tr>
        <w:trPr>
          <w:trHeight w:val="264" w:hRule="exact"/>
        </w:trPr>
        <w:tc>
          <w:tcPr>
            <w:tcW w:w="4121" w:type="dxa"/>
          </w:tcPr>
          <w:p>
            <w:pPr>
              <w:pStyle w:val="TableParagraph"/>
              <w:spacing w:before="20"/>
              <w:ind w:left="291"/>
              <w:rPr>
                <w:sz w:val="18"/>
              </w:rPr>
            </w:pPr>
            <w:r>
              <w:rPr>
                <w:sz w:val="18"/>
              </w:rPr>
              <w:t>Land</w:t>
            </w:r>
          </w:p>
        </w:tc>
        <w:tc>
          <w:tcPr>
            <w:tcW w:w="1109" w:type="dxa"/>
          </w:tcPr>
          <w:p>
            <w:pPr>
              <w:pStyle w:val="TableParagraph"/>
              <w:spacing w:before="18"/>
              <w:ind w:right="224"/>
              <w:jc w:val="right"/>
              <w:rPr>
                <w:sz w:val="18"/>
              </w:rPr>
            </w:pPr>
            <w:r>
              <w:rPr>
                <w:w w:val="95"/>
                <w:sz w:val="18"/>
              </w:rPr>
              <w:t>528,314</w:t>
            </w:r>
          </w:p>
        </w:tc>
        <w:tc>
          <w:tcPr>
            <w:tcW w:w="924" w:type="dxa"/>
          </w:tcPr>
          <w:p>
            <w:pPr/>
          </w:p>
        </w:tc>
        <w:tc>
          <w:tcPr>
            <w:tcW w:w="1668" w:type="dxa"/>
          </w:tcPr>
          <w:p>
            <w:pPr>
              <w:pStyle w:val="TableParagraph"/>
              <w:tabs>
                <w:tab w:pos="1139" w:val="left" w:leader="none"/>
              </w:tabs>
              <w:spacing w:before="18"/>
              <w:ind w:left="85"/>
              <w:rPr>
                <w:sz w:val="18"/>
              </w:rPr>
            </w:pPr>
            <w:r>
              <w:rPr>
                <w:sz w:val="18"/>
              </w:rPr>
              <w:t>-</w:t>
              <w:tab/>
              <w:t>980</w:t>
            </w:r>
          </w:p>
        </w:tc>
        <w:tc>
          <w:tcPr>
            <w:tcW w:w="1158" w:type="dxa"/>
          </w:tcPr>
          <w:p>
            <w:pPr>
              <w:pStyle w:val="TableParagraph"/>
              <w:spacing w:before="18"/>
              <w:ind w:right="88"/>
              <w:jc w:val="right"/>
              <w:rPr>
                <w:sz w:val="18"/>
              </w:rPr>
            </w:pPr>
            <w:r>
              <w:rPr>
                <w:w w:val="95"/>
                <w:sz w:val="18"/>
              </w:rPr>
              <w:t>527,334</w:t>
            </w:r>
          </w:p>
        </w:tc>
      </w:tr>
      <w:tr>
        <w:trPr>
          <w:trHeight w:val="264" w:hRule="exact"/>
        </w:trPr>
        <w:tc>
          <w:tcPr>
            <w:tcW w:w="4121" w:type="dxa"/>
          </w:tcPr>
          <w:p>
            <w:pPr>
              <w:pStyle w:val="TableParagraph"/>
              <w:spacing w:before="20"/>
              <w:ind w:left="291"/>
              <w:rPr>
                <w:sz w:val="18"/>
              </w:rPr>
            </w:pPr>
            <w:r>
              <w:rPr>
                <w:sz w:val="18"/>
              </w:rPr>
              <w:t>Buildings</w:t>
            </w:r>
          </w:p>
        </w:tc>
        <w:tc>
          <w:tcPr>
            <w:tcW w:w="1109" w:type="dxa"/>
          </w:tcPr>
          <w:p>
            <w:pPr>
              <w:pStyle w:val="TableParagraph"/>
              <w:spacing w:before="18"/>
              <w:ind w:right="224"/>
              <w:jc w:val="right"/>
              <w:rPr>
                <w:sz w:val="18"/>
              </w:rPr>
            </w:pPr>
            <w:r>
              <w:rPr>
                <w:w w:val="95"/>
                <w:sz w:val="18"/>
              </w:rPr>
              <w:t>981,524</w:t>
            </w:r>
          </w:p>
        </w:tc>
        <w:tc>
          <w:tcPr>
            <w:tcW w:w="924" w:type="dxa"/>
          </w:tcPr>
          <w:p>
            <w:pPr/>
          </w:p>
        </w:tc>
        <w:tc>
          <w:tcPr>
            <w:tcW w:w="1668" w:type="dxa"/>
          </w:tcPr>
          <w:p>
            <w:pPr>
              <w:pStyle w:val="TableParagraph"/>
              <w:tabs>
                <w:tab w:pos="1381" w:val="left" w:leader="none"/>
              </w:tabs>
              <w:spacing w:before="18"/>
              <w:ind w:left="85"/>
              <w:rPr>
                <w:sz w:val="18"/>
              </w:rPr>
            </w:pPr>
            <w:r>
              <w:rPr>
                <w:sz w:val="18"/>
              </w:rPr>
              <w:t>-</w:t>
              <w:tab/>
              <w:t>-</w:t>
            </w:r>
          </w:p>
        </w:tc>
        <w:tc>
          <w:tcPr>
            <w:tcW w:w="1158" w:type="dxa"/>
          </w:tcPr>
          <w:p>
            <w:pPr>
              <w:pStyle w:val="TableParagraph"/>
              <w:spacing w:before="18"/>
              <w:ind w:right="88"/>
              <w:jc w:val="right"/>
              <w:rPr>
                <w:sz w:val="18"/>
              </w:rPr>
            </w:pPr>
            <w:r>
              <w:rPr>
                <w:w w:val="95"/>
                <w:sz w:val="18"/>
              </w:rPr>
              <w:t>981,524</w:t>
            </w:r>
          </w:p>
        </w:tc>
      </w:tr>
      <w:tr>
        <w:trPr>
          <w:trHeight w:val="264" w:hRule="exact"/>
        </w:trPr>
        <w:tc>
          <w:tcPr>
            <w:tcW w:w="4121" w:type="dxa"/>
          </w:tcPr>
          <w:p>
            <w:pPr>
              <w:pStyle w:val="TableParagraph"/>
              <w:spacing w:before="20"/>
              <w:ind w:left="291"/>
              <w:rPr>
                <w:sz w:val="18"/>
              </w:rPr>
            </w:pPr>
            <w:r>
              <w:rPr>
                <w:sz w:val="18"/>
              </w:rPr>
              <w:t>Infrastructure</w:t>
            </w:r>
          </w:p>
        </w:tc>
        <w:tc>
          <w:tcPr>
            <w:tcW w:w="1109" w:type="dxa"/>
          </w:tcPr>
          <w:p>
            <w:pPr>
              <w:pStyle w:val="TableParagraph"/>
              <w:spacing w:before="18"/>
              <w:ind w:right="224"/>
              <w:jc w:val="right"/>
              <w:rPr>
                <w:sz w:val="18"/>
              </w:rPr>
            </w:pPr>
            <w:r>
              <w:rPr>
                <w:w w:val="95"/>
                <w:sz w:val="18"/>
              </w:rPr>
              <w:t>109,035</w:t>
            </w:r>
          </w:p>
        </w:tc>
        <w:tc>
          <w:tcPr>
            <w:tcW w:w="924" w:type="dxa"/>
          </w:tcPr>
          <w:p>
            <w:pPr/>
          </w:p>
        </w:tc>
        <w:tc>
          <w:tcPr>
            <w:tcW w:w="1668" w:type="dxa"/>
          </w:tcPr>
          <w:p>
            <w:pPr>
              <w:pStyle w:val="TableParagraph"/>
              <w:tabs>
                <w:tab w:pos="1381" w:val="left" w:leader="none"/>
              </w:tabs>
              <w:spacing w:before="18"/>
              <w:ind w:left="85"/>
              <w:rPr>
                <w:sz w:val="18"/>
              </w:rPr>
            </w:pPr>
            <w:r>
              <w:rPr>
                <w:sz w:val="18"/>
              </w:rPr>
              <w:t>-</w:t>
              <w:tab/>
              <w:t>-</w:t>
            </w:r>
          </w:p>
        </w:tc>
        <w:tc>
          <w:tcPr>
            <w:tcW w:w="1158" w:type="dxa"/>
          </w:tcPr>
          <w:p>
            <w:pPr>
              <w:pStyle w:val="TableParagraph"/>
              <w:spacing w:before="18"/>
              <w:ind w:right="88"/>
              <w:jc w:val="right"/>
              <w:rPr>
                <w:sz w:val="18"/>
              </w:rPr>
            </w:pPr>
            <w:r>
              <w:rPr>
                <w:w w:val="95"/>
                <w:sz w:val="18"/>
              </w:rPr>
              <w:t>109,035</w:t>
            </w:r>
          </w:p>
        </w:tc>
      </w:tr>
      <w:tr>
        <w:trPr>
          <w:trHeight w:val="264" w:hRule="exact"/>
        </w:trPr>
        <w:tc>
          <w:tcPr>
            <w:tcW w:w="4121" w:type="dxa"/>
          </w:tcPr>
          <w:p>
            <w:pPr>
              <w:pStyle w:val="TableParagraph"/>
              <w:spacing w:before="20"/>
              <w:ind w:left="291"/>
              <w:rPr>
                <w:sz w:val="18"/>
              </w:rPr>
            </w:pPr>
            <w:r>
              <w:rPr>
                <w:sz w:val="18"/>
              </w:rPr>
              <w:t>Artwork</w:t>
            </w:r>
          </w:p>
        </w:tc>
        <w:tc>
          <w:tcPr>
            <w:tcW w:w="1109" w:type="dxa"/>
          </w:tcPr>
          <w:p>
            <w:pPr>
              <w:pStyle w:val="TableParagraph"/>
              <w:spacing w:before="18"/>
              <w:ind w:right="224"/>
              <w:jc w:val="right"/>
              <w:rPr>
                <w:sz w:val="18"/>
              </w:rPr>
            </w:pPr>
            <w:r>
              <w:rPr>
                <w:w w:val="95"/>
                <w:sz w:val="18"/>
              </w:rPr>
              <w:t>4,410</w:t>
            </w:r>
          </w:p>
        </w:tc>
        <w:tc>
          <w:tcPr>
            <w:tcW w:w="924" w:type="dxa"/>
          </w:tcPr>
          <w:p>
            <w:pPr/>
          </w:p>
        </w:tc>
        <w:tc>
          <w:tcPr>
            <w:tcW w:w="1668" w:type="dxa"/>
          </w:tcPr>
          <w:p>
            <w:pPr>
              <w:pStyle w:val="TableParagraph"/>
              <w:tabs>
                <w:tab w:pos="987" w:val="left" w:leader="none"/>
              </w:tabs>
              <w:spacing w:before="18"/>
              <w:ind w:left="85"/>
              <w:rPr>
                <w:sz w:val="18"/>
              </w:rPr>
            </w:pPr>
            <w:r>
              <w:rPr>
                <w:sz w:val="18"/>
              </w:rPr>
              <w:t>-</w:t>
              <w:tab/>
              <w:t>4,410</w:t>
            </w:r>
          </w:p>
        </w:tc>
        <w:tc>
          <w:tcPr>
            <w:tcW w:w="1158" w:type="dxa"/>
          </w:tcPr>
          <w:p>
            <w:pPr>
              <w:pStyle w:val="TableParagraph"/>
              <w:spacing w:before="18"/>
              <w:ind w:right="86"/>
              <w:jc w:val="right"/>
              <w:rPr>
                <w:sz w:val="18"/>
              </w:rPr>
            </w:pPr>
            <w:r>
              <w:rPr>
                <w:w w:val="99"/>
                <w:sz w:val="18"/>
              </w:rPr>
              <w:t>-</w:t>
            </w:r>
          </w:p>
        </w:tc>
      </w:tr>
      <w:tr>
        <w:trPr>
          <w:trHeight w:val="260" w:hRule="exact"/>
        </w:trPr>
        <w:tc>
          <w:tcPr>
            <w:tcW w:w="4121" w:type="dxa"/>
            <w:tcBorders>
              <w:bottom w:val="single" w:sz="1" w:space="0" w:color="000000"/>
            </w:tcBorders>
          </w:tcPr>
          <w:p>
            <w:pPr>
              <w:pStyle w:val="TableParagraph"/>
              <w:spacing w:before="20"/>
              <w:ind w:left="291"/>
              <w:rPr>
                <w:sz w:val="18"/>
              </w:rPr>
            </w:pPr>
            <w:r>
              <w:rPr>
                <w:sz w:val="18"/>
              </w:rPr>
              <w:t>Rare book collection</w:t>
            </w:r>
          </w:p>
        </w:tc>
        <w:tc>
          <w:tcPr>
            <w:tcW w:w="1109" w:type="dxa"/>
            <w:tcBorders>
              <w:bottom w:val="single" w:sz="1" w:space="0" w:color="000000"/>
            </w:tcBorders>
          </w:tcPr>
          <w:p>
            <w:pPr>
              <w:pStyle w:val="TableParagraph"/>
              <w:spacing w:before="18"/>
              <w:ind w:right="224"/>
              <w:jc w:val="right"/>
              <w:rPr>
                <w:sz w:val="18"/>
              </w:rPr>
            </w:pPr>
            <w:r>
              <w:rPr>
                <w:w w:val="95"/>
                <w:sz w:val="18"/>
              </w:rPr>
              <w:t>1,742</w:t>
            </w:r>
          </w:p>
        </w:tc>
        <w:tc>
          <w:tcPr>
            <w:tcW w:w="924" w:type="dxa"/>
            <w:tcBorders>
              <w:bottom w:val="single" w:sz="1" w:space="0" w:color="000000"/>
            </w:tcBorders>
          </w:tcPr>
          <w:p>
            <w:pPr/>
          </w:p>
        </w:tc>
        <w:tc>
          <w:tcPr>
            <w:tcW w:w="1668" w:type="dxa"/>
            <w:tcBorders>
              <w:bottom w:val="single" w:sz="1" w:space="0" w:color="000000"/>
            </w:tcBorders>
          </w:tcPr>
          <w:p>
            <w:pPr>
              <w:pStyle w:val="TableParagraph"/>
              <w:tabs>
                <w:tab w:pos="987" w:val="left" w:leader="none"/>
              </w:tabs>
              <w:spacing w:before="18"/>
              <w:ind w:left="85"/>
              <w:rPr>
                <w:sz w:val="18"/>
              </w:rPr>
            </w:pPr>
            <w:r>
              <w:rPr>
                <w:sz w:val="18"/>
              </w:rPr>
              <w:t>-</w:t>
              <w:tab/>
              <w:t>1,742</w:t>
            </w:r>
          </w:p>
        </w:tc>
        <w:tc>
          <w:tcPr>
            <w:tcW w:w="1158" w:type="dxa"/>
            <w:tcBorders>
              <w:bottom w:val="single" w:sz="1" w:space="0" w:color="000000"/>
            </w:tcBorders>
          </w:tcPr>
          <w:p>
            <w:pPr>
              <w:pStyle w:val="TableParagraph"/>
              <w:spacing w:before="18"/>
              <w:ind w:right="86"/>
              <w:jc w:val="right"/>
              <w:rPr>
                <w:sz w:val="18"/>
              </w:rPr>
            </w:pPr>
            <w:r>
              <w:rPr>
                <w:w w:val="99"/>
                <w:sz w:val="18"/>
              </w:rPr>
              <w:t>-</w:t>
            </w:r>
          </w:p>
        </w:tc>
      </w:tr>
      <w:tr>
        <w:trPr>
          <w:trHeight w:val="353" w:hRule="exact"/>
        </w:trPr>
        <w:tc>
          <w:tcPr>
            <w:tcW w:w="4121" w:type="dxa"/>
            <w:tcBorders>
              <w:top w:val="single" w:sz="1" w:space="0" w:color="000000"/>
              <w:bottom w:val="single" w:sz="1" w:space="0" w:color="000000"/>
            </w:tcBorders>
          </w:tcPr>
          <w:p>
            <w:pPr>
              <w:pStyle w:val="TableParagraph"/>
              <w:spacing w:before="124"/>
              <w:ind w:left="78"/>
              <w:rPr>
                <w:b/>
                <w:sz w:val="18"/>
              </w:rPr>
            </w:pPr>
            <w:r>
              <w:rPr>
                <w:b/>
                <w:sz w:val="18"/>
              </w:rPr>
              <w:t>Total non-financial assets</w:t>
            </w:r>
          </w:p>
        </w:tc>
        <w:tc>
          <w:tcPr>
            <w:tcW w:w="1109" w:type="dxa"/>
            <w:tcBorders>
              <w:top w:val="single" w:sz="1" w:space="0" w:color="000000"/>
              <w:bottom w:val="single" w:sz="1" w:space="0" w:color="000000"/>
            </w:tcBorders>
          </w:tcPr>
          <w:p>
            <w:pPr>
              <w:pStyle w:val="TableParagraph"/>
              <w:spacing w:before="124"/>
              <w:ind w:left="75"/>
              <w:rPr>
                <w:b/>
                <w:sz w:val="18"/>
              </w:rPr>
            </w:pPr>
            <w:r>
              <w:rPr>
                <w:b/>
                <w:sz w:val="18"/>
              </w:rPr>
              <w:t>1,625,025</w:t>
            </w:r>
          </w:p>
        </w:tc>
        <w:tc>
          <w:tcPr>
            <w:tcW w:w="924" w:type="dxa"/>
            <w:tcBorders>
              <w:top w:val="single" w:sz="1" w:space="0" w:color="000000"/>
              <w:bottom w:val="single" w:sz="1" w:space="0" w:color="000000"/>
            </w:tcBorders>
          </w:tcPr>
          <w:p>
            <w:pPr/>
          </w:p>
        </w:tc>
        <w:tc>
          <w:tcPr>
            <w:tcW w:w="1668" w:type="dxa"/>
            <w:tcBorders>
              <w:top w:val="single" w:sz="1" w:space="0" w:color="000000"/>
              <w:bottom w:val="single" w:sz="1" w:space="0" w:color="000000"/>
            </w:tcBorders>
          </w:tcPr>
          <w:p>
            <w:pPr>
              <w:pStyle w:val="TableParagraph"/>
              <w:tabs>
                <w:tab w:pos="987" w:val="left" w:leader="none"/>
              </w:tabs>
              <w:spacing w:before="124"/>
              <w:ind w:left="85"/>
              <w:rPr>
                <w:b/>
                <w:sz w:val="18"/>
              </w:rPr>
            </w:pPr>
            <w:r>
              <w:rPr>
                <w:b/>
                <w:sz w:val="18"/>
              </w:rPr>
              <w:t>-</w:t>
              <w:tab/>
              <w:t>7,132</w:t>
            </w:r>
          </w:p>
        </w:tc>
        <w:tc>
          <w:tcPr>
            <w:tcW w:w="1158" w:type="dxa"/>
            <w:tcBorders>
              <w:top w:val="single" w:sz="1" w:space="0" w:color="000000"/>
              <w:bottom w:val="single" w:sz="1" w:space="0" w:color="000000"/>
            </w:tcBorders>
          </w:tcPr>
          <w:p>
            <w:pPr>
              <w:pStyle w:val="TableParagraph"/>
              <w:spacing w:before="124"/>
              <w:ind w:right="87"/>
              <w:jc w:val="right"/>
              <w:rPr>
                <w:b/>
                <w:sz w:val="18"/>
              </w:rPr>
            </w:pPr>
            <w:r>
              <w:rPr>
                <w:b/>
                <w:w w:val="95"/>
                <w:sz w:val="18"/>
              </w:rPr>
              <w:t>1,617,893</w:t>
            </w:r>
          </w:p>
        </w:tc>
      </w:tr>
      <w:tr>
        <w:trPr>
          <w:trHeight w:val="356" w:hRule="exact"/>
        </w:trPr>
        <w:tc>
          <w:tcPr>
            <w:tcW w:w="4121" w:type="dxa"/>
            <w:tcBorders>
              <w:top w:val="single" w:sz="1" w:space="0" w:color="000000"/>
            </w:tcBorders>
          </w:tcPr>
          <w:p>
            <w:pPr>
              <w:pStyle w:val="TableParagraph"/>
              <w:spacing w:before="138"/>
              <w:ind w:left="78"/>
              <w:rPr>
                <w:b/>
                <w:sz w:val="18"/>
              </w:rPr>
            </w:pPr>
            <w:r>
              <w:rPr>
                <w:b/>
                <w:sz w:val="18"/>
              </w:rPr>
              <w:t>Non-recurring fair value</w:t>
            </w:r>
          </w:p>
        </w:tc>
        <w:tc>
          <w:tcPr>
            <w:tcW w:w="1109" w:type="dxa"/>
            <w:tcBorders>
              <w:top w:val="single" w:sz="1" w:space="0" w:color="000000"/>
            </w:tcBorders>
          </w:tcPr>
          <w:p>
            <w:pPr/>
          </w:p>
        </w:tc>
        <w:tc>
          <w:tcPr>
            <w:tcW w:w="924" w:type="dxa"/>
            <w:tcBorders>
              <w:top w:val="single" w:sz="1" w:space="0" w:color="000000"/>
            </w:tcBorders>
          </w:tcPr>
          <w:p>
            <w:pPr/>
          </w:p>
        </w:tc>
        <w:tc>
          <w:tcPr>
            <w:tcW w:w="1668" w:type="dxa"/>
            <w:tcBorders>
              <w:top w:val="single" w:sz="1" w:space="0" w:color="000000"/>
            </w:tcBorders>
          </w:tcPr>
          <w:p>
            <w:pPr/>
          </w:p>
        </w:tc>
        <w:tc>
          <w:tcPr>
            <w:tcW w:w="1158" w:type="dxa"/>
            <w:tcBorders>
              <w:top w:val="single" w:sz="1" w:space="0" w:color="000000"/>
            </w:tcBorders>
          </w:tcPr>
          <w:p>
            <w:pPr/>
          </w:p>
        </w:tc>
      </w:tr>
      <w:tr>
        <w:trPr>
          <w:trHeight w:val="220" w:hRule="exact"/>
        </w:trPr>
        <w:tc>
          <w:tcPr>
            <w:tcW w:w="4121" w:type="dxa"/>
          </w:tcPr>
          <w:p>
            <w:pPr>
              <w:pStyle w:val="TableParagraph"/>
              <w:spacing w:line="197" w:lineRule="exact"/>
              <w:ind w:left="78"/>
              <w:rPr>
                <w:b/>
                <w:sz w:val="18"/>
              </w:rPr>
            </w:pPr>
            <w:r>
              <w:rPr>
                <w:b/>
                <w:sz w:val="18"/>
              </w:rPr>
              <w:t>measurements</w:t>
            </w:r>
          </w:p>
        </w:tc>
        <w:tc>
          <w:tcPr>
            <w:tcW w:w="1109" w:type="dxa"/>
          </w:tcPr>
          <w:p>
            <w:pPr/>
          </w:p>
        </w:tc>
        <w:tc>
          <w:tcPr>
            <w:tcW w:w="924" w:type="dxa"/>
          </w:tcPr>
          <w:p>
            <w:pPr/>
          </w:p>
        </w:tc>
        <w:tc>
          <w:tcPr>
            <w:tcW w:w="1668" w:type="dxa"/>
          </w:tcPr>
          <w:p>
            <w:pPr/>
          </w:p>
        </w:tc>
        <w:tc>
          <w:tcPr>
            <w:tcW w:w="1158" w:type="dxa"/>
          </w:tcPr>
          <w:p>
            <w:pPr/>
          </w:p>
        </w:tc>
      </w:tr>
      <w:tr>
        <w:trPr>
          <w:trHeight w:val="256" w:hRule="exact"/>
        </w:trPr>
        <w:tc>
          <w:tcPr>
            <w:tcW w:w="4121" w:type="dxa"/>
            <w:tcBorders>
              <w:bottom w:val="single" w:sz="1" w:space="0" w:color="000000"/>
            </w:tcBorders>
          </w:tcPr>
          <w:p>
            <w:pPr>
              <w:pStyle w:val="TableParagraph"/>
              <w:tabs>
                <w:tab w:pos="3464" w:val="right" w:leader="none"/>
              </w:tabs>
              <w:spacing w:before="8"/>
              <w:ind w:left="78"/>
              <w:rPr>
                <w:sz w:val="18"/>
              </w:rPr>
            </w:pPr>
            <w:r>
              <w:rPr>
                <w:sz w:val="18"/>
              </w:rPr>
              <w:t>Non-current assets held</w:t>
            </w:r>
            <w:r>
              <w:rPr>
                <w:spacing w:val="2"/>
                <w:sz w:val="18"/>
              </w:rPr>
              <w:t> </w:t>
            </w:r>
            <w:r>
              <w:rPr>
                <w:sz w:val="18"/>
              </w:rPr>
              <w:t>for sale</w:t>
            </w:r>
            <w:r>
              <w:rPr>
                <w:rFonts w:ascii="Times New Roman"/>
                <w:sz w:val="18"/>
              </w:rPr>
              <w:tab/>
            </w:r>
            <w:r>
              <w:rPr>
                <w:sz w:val="18"/>
              </w:rPr>
              <w:t>20</w:t>
            </w:r>
          </w:p>
        </w:tc>
        <w:tc>
          <w:tcPr>
            <w:tcW w:w="1109" w:type="dxa"/>
            <w:tcBorders>
              <w:bottom w:val="single" w:sz="1" w:space="0" w:color="000000"/>
            </w:tcBorders>
          </w:tcPr>
          <w:p>
            <w:pPr>
              <w:pStyle w:val="TableParagraph"/>
              <w:spacing w:before="6"/>
              <w:ind w:right="224"/>
              <w:jc w:val="right"/>
              <w:rPr>
                <w:b/>
                <w:sz w:val="18"/>
              </w:rPr>
            </w:pPr>
            <w:r>
              <w:rPr>
                <w:b/>
                <w:w w:val="95"/>
                <w:sz w:val="18"/>
              </w:rPr>
              <w:t>40,358</w:t>
            </w:r>
          </w:p>
        </w:tc>
        <w:tc>
          <w:tcPr>
            <w:tcW w:w="924" w:type="dxa"/>
            <w:tcBorders>
              <w:bottom w:val="single" w:sz="1" w:space="0" w:color="000000"/>
            </w:tcBorders>
          </w:tcPr>
          <w:p>
            <w:pPr/>
          </w:p>
        </w:tc>
        <w:tc>
          <w:tcPr>
            <w:tcW w:w="1668" w:type="dxa"/>
            <w:tcBorders>
              <w:bottom w:val="single" w:sz="1" w:space="0" w:color="000000"/>
            </w:tcBorders>
          </w:tcPr>
          <w:p>
            <w:pPr>
              <w:pStyle w:val="TableParagraph"/>
              <w:tabs>
                <w:tab w:pos="887" w:val="left" w:leader="none"/>
              </w:tabs>
              <w:spacing w:before="6"/>
              <w:ind w:left="85"/>
              <w:rPr>
                <w:b/>
                <w:sz w:val="18"/>
              </w:rPr>
            </w:pPr>
            <w:r>
              <w:rPr>
                <w:sz w:val="18"/>
              </w:rPr>
              <w:t>-</w:t>
              <w:tab/>
            </w:r>
            <w:r>
              <w:rPr>
                <w:b/>
                <w:sz w:val="18"/>
              </w:rPr>
              <w:t>40,358</w:t>
            </w:r>
          </w:p>
        </w:tc>
        <w:tc>
          <w:tcPr>
            <w:tcW w:w="1158" w:type="dxa"/>
            <w:tcBorders>
              <w:bottom w:val="single" w:sz="1" w:space="0" w:color="000000"/>
            </w:tcBorders>
          </w:tcPr>
          <w:p>
            <w:pPr>
              <w:pStyle w:val="TableParagraph"/>
              <w:spacing w:before="6"/>
              <w:ind w:right="86"/>
              <w:jc w:val="right"/>
              <w:rPr>
                <w:sz w:val="18"/>
              </w:rPr>
            </w:pPr>
            <w:r>
              <w:rPr>
                <w:w w:val="99"/>
                <w:sz w:val="18"/>
              </w:rPr>
              <w:t>-</w:t>
            </w:r>
          </w:p>
        </w:tc>
      </w:tr>
      <w:tr>
        <w:trPr>
          <w:trHeight w:val="362" w:hRule="exact"/>
        </w:trPr>
        <w:tc>
          <w:tcPr>
            <w:tcW w:w="4121" w:type="dxa"/>
            <w:tcBorders>
              <w:top w:val="single" w:sz="1" w:space="0" w:color="000000"/>
            </w:tcBorders>
          </w:tcPr>
          <w:p>
            <w:pPr>
              <w:pStyle w:val="TableParagraph"/>
              <w:spacing w:before="144"/>
              <w:ind w:left="78"/>
              <w:rPr>
                <w:b/>
                <w:sz w:val="18"/>
              </w:rPr>
            </w:pPr>
            <w:r>
              <w:rPr>
                <w:b/>
                <w:sz w:val="18"/>
              </w:rPr>
              <w:t>Total non-recurring fair value</w:t>
            </w:r>
          </w:p>
        </w:tc>
        <w:tc>
          <w:tcPr>
            <w:tcW w:w="1109" w:type="dxa"/>
            <w:tcBorders>
              <w:top w:val="single" w:sz="1" w:space="0" w:color="000000"/>
            </w:tcBorders>
          </w:tcPr>
          <w:p>
            <w:pPr/>
          </w:p>
        </w:tc>
        <w:tc>
          <w:tcPr>
            <w:tcW w:w="924" w:type="dxa"/>
            <w:tcBorders>
              <w:top w:val="single" w:sz="1" w:space="0" w:color="000000"/>
            </w:tcBorders>
          </w:tcPr>
          <w:p>
            <w:pPr/>
          </w:p>
        </w:tc>
        <w:tc>
          <w:tcPr>
            <w:tcW w:w="1668" w:type="dxa"/>
            <w:tcBorders>
              <w:top w:val="single" w:sz="1" w:space="0" w:color="000000"/>
            </w:tcBorders>
          </w:tcPr>
          <w:p>
            <w:pPr/>
          </w:p>
        </w:tc>
        <w:tc>
          <w:tcPr>
            <w:tcW w:w="1158" w:type="dxa"/>
            <w:tcBorders>
              <w:top w:val="single" w:sz="1" w:space="0" w:color="000000"/>
            </w:tcBorders>
          </w:tcPr>
          <w:p>
            <w:pPr/>
          </w:p>
        </w:tc>
      </w:tr>
      <w:tr>
        <w:trPr>
          <w:trHeight w:val="247" w:hRule="exact"/>
        </w:trPr>
        <w:tc>
          <w:tcPr>
            <w:tcW w:w="4121" w:type="dxa"/>
            <w:tcBorders>
              <w:bottom w:val="single" w:sz="1" w:space="0" w:color="000000"/>
            </w:tcBorders>
          </w:tcPr>
          <w:p>
            <w:pPr>
              <w:pStyle w:val="TableParagraph"/>
              <w:spacing w:line="197" w:lineRule="exact"/>
              <w:ind w:left="78"/>
              <w:rPr>
                <w:b/>
                <w:sz w:val="18"/>
              </w:rPr>
            </w:pPr>
            <w:r>
              <w:rPr>
                <w:b/>
                <w:sz w:val="18"/>
              </w:rPr>
              <w:t>measurements</w:t>
            </w:r>
          </w:p>
        </w:tc>
        <w:tc>
          <w:tcPr>
            <w:tcW w:w="1109" w:type="dxa"/>
            <w:tcBorders>
              <w:bottom w:val="single" w:sz="1" w:space="0" w:color="000000"/>
            </w:tcBorders>
          </w:tcPr>
          <w:p>
            <w:pPr>
              <w:pStyle w:val="TableParagraph"/>
              <w:spacing w:before="19"/>
              <w:ind w:right="224"/>
              <w:jc w:val="right"/>
              <w:rPr>
                <w:b/>
                <w:sz w:val="18"/>
              </w:rPr>
            </w:pPr>
            <w:r>
              <w:rPr>
                <w:b/>
                <w:w w:val="95"/>
                <w:sz w:val="18"/>
              </w:rPr>
              <w:t>40,358</w:t>
            </w:r>
          </w:p>
        </w:tc>
        <w:tc>
          <w:tcPr>
            <w:tcW w:w="924" w:type="dxa"/>
            <w:tcBorders>
              <w:bottom w:val="single" w:sz="1" w:space="0" w:color="000000"/>
            </w:tcBorders>
          </w:tcPr>
          <w:p>
            <w:pPr/>
          </w:p>
        </w:tc>
        <w:tc>
          <w:tcPr>
            <w:tcW w:w="1668" w:type="dxa"/>
            <w:tcBorders>
              <w:bottom w:val="single" w:sz="1" w:space="0" w:color="000000"/>
            </w:tcBorders>
          </w:tcPr>
          <w:p>
            <w:pPr>
              <w:pStyle w:val="TableParagraph"/>
              <w:tabs>
                <w:tab w:pos="887" w:val="left" w:leader="none"/>
              </w:tabs>
              <w:spacing w:before="19"/>
              <w:ind w:left="85"/>
              <w:rPr>
                <w:b/>
                <w:sz w:val="18"/>
              </w:rPr>
            </w:pPr>
            <w:r>
              <w:rPr>
                <w:b/>
                <w:sz w:val="18"/>
              </w:rPr>
              <w:t>-</w:t>
              <w:tab/>
              <w:t>40,358</w:t>
            </w:r>
          </w:p>
        </w:tc>
        <w:tc>
          <w:tcPr>
            <w:tcW w:w="1158" w:type="dxa"/>
            <w:tcBorders>
              <w:bottom w:val="single" w:sz="1" w:space="0" w:color="000000"/>
            </w:tcBorders>
          </w:tcPr>
          <w:p>
            <w:pPr>
              <w:pStyle w:val="TableParagraph"/>
              <w:spacing w:before="19"/>
              <w:ind w:right="86"/>
              <w:jc w:val="right"/>
              <w:rPr>
                <w:b/>
                <w:sz w:val="18"/>
              </w:rPr>
            </w:pPr>
            <w:r>
              <w:rPr>
                <w:b/>
                <w:w w:val="99"/>
                <w:sz w:val="18"/>
              </w:rPr>
              <w:t>-</w:t>
            </w:r>
          </w:p>
        </w:tc>
      </w:tr>
    </w:tbl>
    <w:p>
      <w:pPr>
        <w:spacing w:after="0"/>
        <w:jc w:val="right"/>
        <w:rPr>
          <w:sz w:val="18"/>
        </w:rPr>
        <w:sectPr>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pStyle w:val="Heading9"/>
        <w:tabs>
          <w:tab w:pos="1070" w:val="left" w:leader="none"/>
        </w:tabs>
        <w:ind w:left="504" w:right="220"/>
      </w:pPr>
      <w:r>
        <w:rPr/>
        <w:t>36</w:t>
        <w:tab/>
        <w:t>Fair Value Measurement</w:t>
      </w:r>
      <w:r>
        <w:rPr>
          <w:spacing w:val="-1"/>
        </w:rPr>
        <w:t> </w:t>
      </w:r>
      <w:r>
        <w:rPr/>
        <w:t>(continued)</w:t>
      </w:r>
    </w:p>
    <w:p>
      <w:pPr>
        <w:pStyle w:val="BodyText"/>
        <w:spacing w:before="7"/>
        <w:rPr>
          <w:b/>
          <w:sz w:val="26"/>
        </w:rPr>
      </w:pPr>
    </w:p>
    <w:p>
      <w:pPr>
        <w:pStyle w:val="BodyText"/>
        <w:tabs>
          <w:tab w:pos="1070" w:val="left" w:leader="none"/>
        </w:tabs>
        <w:ind w:left="504" w:right="220"/>
      </w:pPr>
      <w:r>
        <w:rPr/>
        <w:t>(b)</w:t>
        <w:tab/>
        <w:t>Fair value hierarchy</w:t>
      </w:r>
      <w:r>
        <w:rPr>
          <w:spacing w:val="2"/>
        </w:rPr>
        <w:t> </w:t>
      </w:r>
      <w:r>
        <w:rPr/>
        <w:t>(continued)</w:t>
      </w:r>
    </w:p>
    <w:p>
      <w:pPr>
        <w:pStyle w:val="BodyText"/>
        <w:spacing w:before="4"/>
        <w:rPr>
          <w:sz w:val="25"/>
        </w:rPr>
      </w:pPr>
    </w:p>
    <w:p>
      <w:pPr>
        <w:pStyle w:val="Heading9"/>
        <w:ind w:left="1070" w:right="220"/>
      </w:pPr>
      <w:r>
        <w:rPr/>
        <w:t>Fair value measurements at 31 December 2016</w:t>
      </w:r>
    </w:p>
    <w:p>
      <w:pPr>
        <w:pStyle w:val="BodyText"/>
        <w:rPr>
          <w:b/>
          <w:sz w:val="20"/>
        </w:rPr>
      </w:pPr>
    </w:p>
    <w:p>
      <w:pPr>
        <w:pStyle w:val="BodyText"/>
        <w:spacing w:before="1" w:after="1"/>
        <w:rPr>
          <w:b/>
          <w:sz w:val="19"/>
        </w:rPr>
      </w:pPr>
    </w:p>
    <w:tbl>
      <w:tblPr>
        <w:tblW w:w="0" w:type="auto"/>
        <w:jc w:val="left"/>
        <w:tblInd w:w="10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38"/>
        <w:gridCol w:w="615"/>
        <w:gridCol w:w="1434"/>
        <w:gridCol w:w="1296"/>
        <w:gridCol w:w="1296"/>
        <w:gridCol w:w="1158"/>
      </w:tblGrid>
      <w:tr>
        <w:trPr>
          <w:trHeight w:val="640" w:hRule="exact"/>
        </w:trPr>
        <w:tc>
          <w:tcPr>
            <w:tcW w:w="3138" w:type="dxa"/>
          </w:tcPr>
          <w:p>
            <w:pPr/>
          </w:p>
        </w:tc>
        <w:tc>
          <w:tcPr>
            <w:tcW w:w="615" w:type="dxa"/>
          </w:tcPr>
          <w:p>
            <w:pPr>
              <w:pStyle w:val="TableParagraph"/>
              <w:rPr>
                <w:b/>
                <w:sz w:val="18"/>
              </w:rPr>
            </w:pPr>
          </w:p>
          <w:p>
            <w:pPr>
              <w:pStyle w:val="TableParagraph"/>
              <w:spacing w:before="143"/>
              <w:ind w:left="134"/>
              <w:rPr>
                <w:b/>
                <w:sz w:val="18"/>
              </w:rPr>
            </w:pPr>
            <w:r>
              <w:rPr>
                <w:b/>
                <w:sz w:val="18"/>
              </w:rPr>
              <w:t>Note</w:t>
            </w:r>
          </w:p>
        </w:tc>
        <w:tc>
          <w:tcPr>
            <w:tcW w:w="1434" w:type="dxa"/>
          </w:tcPr>
          <w:p>
            <w:pPr>
              <w:pStyle w:val="TableParagraph"/>
              <w:spacing w:before="77"/>
              <w:ind w:left="467"/>
              <w:rPr>
                <w:b/>
                <w:sz w:val="18"/>
              </w:rPr>
            </w:pPr>
            <w:r>
              <w:rPr>
                <w:b/>
                <w:sz w:val="18"/>
              </w:rPr>
              <w:t>2016</w:t>
            </w:r>
          </w:p>
          <w:p>
            <w:pPr>
              <w:pStyle w:val="TableParagraph"/>
              <w:spacing w:before="66"/>
              <w:ind w:left="446"/>
              <w:rPr>
                <w:b/>
                <w:sz w:val="18"/>
              </w:rPr>
            </w:pPr>
            <w:r>
              <w:rPr>
                <w:b/>
                <w:sz w:val="18"/>
              </w:rPr>
              <w:t>$'000</w:t>
            </w:r>
          </w:p>
        </w:tc>
        <w:tc>
          <w:tcPr>
            <w:tcW w:w="1296" w:type="dxa"/>
          </w:tcPr>
          <w:p>
            <w:pPr>
              <w:pStyle w:val="TableParagraph"/>
              <w:spacing w:before="77"/>
              <w:ind w:left="226"/>
              <w:rPr>
                <w:b/>
                <w:sz w:val="18"/>
              </w:rPr>
            </w:pPr>
            <w:r>
              <w:rPr>
                <w:b/>
                <w:sz w:val="18"/>
              </w:rPr>
              <w:t>Level 1</w:t>
            </w:r>
          </w:p>
          <w:p>
            <w:pPr>
              <w:pStyle w:val="TableParagraph"/>
              <w:spacing w:before="66"/>
              <w:ind w:left="308"/>
              <w:rPr>
                <w:b/>
                <w:sz w:val="18"/>
              </w:rPr>
            </w:pPr>
            <w:r>
              <w:rPr>
                <w:b/>
                <w:sz w:val="18"/>
              </w:rPr>
              <w:t>$'000</w:t>
            </w:r>
          </w:p>
        </w:tc>
        <w:tc>
          <w:tcPr>
            <w:tcW w:w="1296" w:type="dxa"/>
          </w:tcPr>
          <w:p>
            <w:pPr>
              <w:pStyle w:val="TableParagraph"/>
              <w:spacing w:before="77"/>
              <w:ind w:left="226"/>
              <w:rPr>
                <w:b/>
                <w:sz w:val="18"/>
              </w:rPr>
            </w:pPr>
            <w:r>
              <w:rPr>
                <w:b/>
                <w:sz w:val="18"/>
              </w:rPr>
              <w:t>Level 2</w:t>
            </w:r>
          </w:p>
          <w:p>
            <w:pPr>
              <w:pStyle w:val="TableParagraph"/>
              <w:spacing w:before="66"/>
              <w:ind w:left="308"/>
              <w:rPr>
                <w:b/>
                <w:sz w:val="18"/>
              </w:rPr>
            </w:pPr>
            <w:r>
              <w:rPr>
                <w:b/>
                <w:sz w:val="18"/>
              </w:rPr>
              <w:t>$'000</w:t>
            </w:r>
          </w:p>
        </w:tc>
        <w:tc>
          <w:tcPr>
            <w:tcW w:w="1158" w:type="dxa"/>
          </w:tcPr>
          <w:p>
            <w:pPr>
              <w:pStyle w:val="TableParagraph"/>
              <w:spacing w:before="77"/>
              <w:ind w:left="226"/>
              <w:rPr>
                <w:b/>
                <w:sz w:val="18"/>
              </w:rPr>
            </w:pPr>
            <w:r>
              <w:rPr>
                <w:b/>
                <w:sz w:val="18"/>
              </w:rPr>
              <w:t>Level 3</w:t>
            </w:r>
          </w:p>
          <w:p>
            <w:pPr>
              <w:pStyle w:val="TableParagraph"/>
              <w:spacing w:before="66"/>
              <w:ind w:left="308"/>
              <w:rPr>
                <w:b/>
                <w:sz w:val="18"/>
              </w:rPr>
            </w:pPr>
            <w:r>
              <w:rPr>
                <w:b/>
                <w:sz w:val="18"/>
              </w:rPr>
              <w:t>$'000</w:t>
            </w:r>
          </w:p>
        </w:tc>
      </w:tr>
      <w:tr>
        <w:trPr>
          <w:trHeight w:val="336" w:hRule="exact"/>
        </w:trPr>
        <w:tc>
          <w:tcPr>
            <w:tcW w:w="3138" w:type="dxa"/>
          </w:tcPr>
          <w:p>
            <w:pPr>
              <w:pStyle w:val="TableParagraph"/>
              <w:spacing w:before="63"/>
              <w:ind w:left="35"/>
              <w:rPr>
                <w:b/>
                <w:sz w:val="18"/>
              </w:rPr>
            </w:pPr>
            <w:r>
              <w:rPr>
                <w:b/>
                <w:sz w:val="18"/>
              </w:rPr>
              <w:t>Recurring fair value measurements</w:t>
            </w:r>
          </w:p>
        </w:tc>
        <w:tc>
          <w:tcPr>
            <w:tcW w:w="615" w:type="dxa"/>
          </w:tcPr>
          <w:p>
            <w:pPr/>
          </w:p>
        </w:tc>
        <w:tc>
          <w:tcPr>
            <w:tcW w:w="1434" w:type="dxa"/>
          </w:tcPr>
          <w:p>
            <w:pPr/>
          </w:p>
        </w:tc>
        <w:tc>
          <w:tcPr>
            <w:tcW w:w="1296" w:type="dxa"/>
          </w:tcPr>
          <w:p>
            <w:pPr/>
          </w:p>
        </w:tc>
        <w:tc>
          <w:tcPr>
            <w:tcW w:w="1296" w:type="dxa"/>
          </w:tcPr>
          <w:p>
            <w:pPr/>
          </w:p>
        </w:tc>
        <w:tc>
          <w:tcPr>
            <w:tcW w:w="1158" w:type="dxa"/>
          </w:tcPr>
          <w:p>
            <w:pPr/>
          </w:p>
        </w:tc>
      </w:tr>
      <w:tr>
        <w:trPr>
          <w:trHeight w:val="276" w:hRule="exact"/>
        </w:trPr>
        <w:tc>
          <w:tcPr>
            <w:tcW w:w="3138" w:type="dxa"/>
          </w:tcPr>
          <w:p>
            <w:pPr>
              <w:pStyle w:val="TableParagraph"/>
              <w:spacing w:before="46"/>
              <w:ind w:left="35"/>
              <w:rPr>
                <w:b/>
                <w:sz w:val="18"/>
              </w:rPr>
            </w:pPr>
            <w:r>
              <w:rPr>
                <w:b/>
                <w:sz w:val="18"/>
              </w:rPr>
              <w:t>Financial assets</w:t>
            </w:r>
          </w:p>
        </w:tc>
        <w:tc>
          <w:tcPr>
            <w:tcW w:w="615" w:type="dxa"/>
          </w:tcPr>
          <w:p>
            <w:pPr/>
          </w:p>
        </w:tc>
        <w:tc>
          <w:tcPr>
            <w:tcW w:w="1434" w:type="dxa"/>
          </w:tcPr>
          <w:p>
            <w:pPr/>
          </w:p>
        </w:tc>
        <w:tc>
          <w:tcPr>
            <w:tcW w:w="1296" w:type="dxa"/>
          </w:tcPr>
          <w:p>
            <w:pPr/>
          </w:p>
        </w:tc>
        <w:tc>
          <w:tcPr>
            <w:tcW w:w="1296" w:type="dxa"/>
          </w:tcPr>
          <w:p>
            <w:pPr/>
          </w:p>
        </w:tc>
        <w:tc>
          <w:tcPr>
            <w:tcW w:w="1158" w:type="dxa"/>
          </w:tcPr>
          <w:p>
            <w:pPr/>
          </w:p>
        </w:tc>
      </w:tr>
      <w:tr>
        <w:trPr>
          <w:trHeight w:val="246" w:hRule="exact"/>
        </w:trPr>
        <w:tc>
          <w:tcPr>
            <w:tcW w:w="3138" w:type="dxa"/>
          </w:tcPr>
          <w:p>
            <w:pPr>
              <w:pStyle w:val="TableParagraph"/>
              <w:spacing w:before="3"/>
              <w:ind w:left="35"/>
              <w:rPr>
                <w:sz w:val="18"/>
              </w:rPr>
            </w:pPr>
            <w:r>
              <w:rPr>
                <w:sz w:val="18"/>
              </w:rPr>
              <w:t>Available-for-sale financial assets</w:t>
            </w:r>
          </w:p>
        </w:tc>
        <w:tc>
          <w:tcPr>
            <w:tcW w:w="615" w:type="dxa"/>
          </w:tcPr>
          <w:p>
            <w:pPr>
              <w:pStyle w:val="TableParagraph"/>
              <w:spacing w:before="3"/>
              <w:ind w:left="81"/>
              <w:rPr>
                <w:sz w:val="18"/>
              </w:rPr>
            </w:pPr>
            <w:r>
              <w:rPr>
                <w:sz w:val="18"/>
              </w:rPr>
              <w:t>23</w:t>
            </w:r>
          </w:p>
        </w:tc>
        <w:tc>
          <w:tcPr>
            <w:tcW w:w="1434" w:type="dxa"/>
          </w:tcPr>
          <w:p>
            <w:pPr/>
          </w:p>
        </w:tc>
        <w:tc>
          <w:tcPr>
            <w:tcW w:w="1296" w:type="dxa"/>
          </w:tcPr>
          <w:p>
            <w:pPr/>
          </w:p>
        </w:tc>
        <w:tc>
          <w:tcPr>
            <w:tcW w:w="1296" w:type="dxa"/>
          </w:tcPr>
          <w:p>
            <w:pPr/>
          </w:p>
        </w:tc>
        <w:tc>
          <w:tcPr>
            <w:tcW w:w="1158" w:type="dxa"/>
          </w:tcPr>
          <w:p>
            <w:pPr/>
          </w:p>
        </w:tc>
      </w:tr>
      <w:tr>
        <w:trPr>
          <w:trHeight w:val="466" w:hRule="exact"/>
        </w:trPr>
        <w:tc>
          <w:tcPr>
            <w:tcW w:w="3138" w:type="dxa"/>
          </w:tcPr>
          <w:p>
            <w:pPr>
              <w:pStyle w:val="TableParagraph"/>
              <w:spacing w:before="16"/>
              <w:ind w:left="248" w:right="719"/>
              <w:rPr>
                <w:sz w:val="18"/>
              </w:rPr>
            </w:pPr>
            <w:r>
              <w:rPr>
                <w:sz w:val="18"/>
              </w:rPr>
              <w:t>Available-for-sale (Unlisted securities)</w:t>
            </w:r>
          </w:p>
        </w:tc>
        <w:tc>
          <w:tcPr>
            <w:tcW w:w="615" w:type="dxa"/>
          </w:tcPr>
          <w:p>
            <w:pPr/>
          </w:p>
        </w:tc>
        <w:tc>
          <w:tcPr>
            <w:tcW w:w="1434" w:type="dxa"/>
          </w:tcPr>
          <w:p>
            <w:pPr>
              <w:pStyle w:val="TableParagraph"/>
              <w:spacing w:before="2"/>
              <w:rPr>
                <w:b/>
                <w:sz w:val="19"/>
              </w:rPr>
            </w:pPr>
          </w:p>
          <w:p>
            <w:pPr>
              <w:pStyle w:val="TableParagraph"/>
              <w:ind w:right="224"/>
              <w:jc w:val="right"/>
              <w:rPr>
                <w:sz w:val="18"/>
              </w:rPr>
            </w:pPr>
            <w:r>
              <w:rPr>
                <w:w w:val="95"/>
                <w:sz w:val="18"/>
              </w:rPr>
              <w:t>11,330</w:t>
            </w:r>
          </w:p>
        </w:tc>
        <w:tc>
          <w:tcPr>
            <w:tcW w:w="1296" w:type="dxa"/>
          </w:tcPr>
          <w:p>
            <w:pPr>
              <w:pStyle w:val="TableParagraph"/>
              <w:spacing w:before="2"/>
              <w:rPr>
                <w:b/>
                <w:sz w:val="19"/>
              </w:rPr>
            </w:pPr>
          </w:p>
          <w:p>
            <w:pPr>
              <w:pStyle w:val="TableParagraph"/>
              <w:ind w:right="224"/>
              <w:jc w:val="right"/>
              <w:rPr>
                <w:sz w:val="18"/>
              </w:rPr>
            </w:pPr>
            <w:r>
              <w:rPr>
                <w:w w:val="99"/>
                <w:sz w:val="18"/>
              </w:rPr>
              <w:t>-</w:t>
            </w:r>
          </w:p>
        </w:tc>
        <w:tc>
          <w:tcPr>
            <w:tcW w:w="1296" w:type="dxa"/>
          </w:tcPr>
          <w:p>
            <w:pPr>
              <w:pStyle w:val="TableParagraph"/>
              <w:spacing w:before="2"/>
              <w:rPr>
                <w:b/>
                <w:sz w:val="19"/>
              </w:rPr>
            </w:pPr>
          </w:p>
          <w:p>
            <w:pPr>
              <w:pStyle w:val="TableParagraph"/>
              <w:ind w:right="225"/>
              <w:jc w:val="right"/>
              <w:rPr>
                <w:sz w:val="18"/>
              </w:rPr>
            </w:pPr>
            <w:r>
              <w:rPr>
                <w:w w:val="95"/>
                <w:sz w:val="18"/>
              </w:rPr>
              <w:t>11,027</w:t>
            </w:r>
          </w:p>
        </w:tc>
        <w:tc>
          <w:tcPr>
            <w:tcW w:w="1158" w:type="dxa"/>
          </w:tcPr>
          <w:p>
            <w:pPr>
              <w:pStyle w:val="TableParagraph"/>
              <w:spacing w:before="2"/>
              <w:rPr>
                <w:b/>
                <w:sz w:val="19"/>
              </w:rPr>
            </w:pPr>
          </w:p>
          <w:p>
            <w:pPr>
              <w:pStyle w:val="TableParagraph"/>
              <w:ind w:right="86"/>
              <w:jc w:val="right"/>
              <w:rPr>
                <w:sz w:val="18"/>
              </w:rPr>
            </w:pPr>
            <w:r>
              <w:rPr>
                <w:w w:val="95"/>
                <w:sz w:val="18"/>
              </w:rPr>
              <w:t>303</w:t>
            </w:r>
          </w:p>
        </w:tc>
      </w:tr>
      <w:tr>
        <w:trPr>
          <w:trHeight w:val="463" w:hRule="exact"/>
        </w:trPr>
        <w:tc>
          <w:tcPr>
            <w:tcW w:w="3138" w:type="dxa"/>
          </w:tcPr>
          <w:p>
            <w:pPr>
              <w:pStyle w:val="TableParagraph"/>
              <w:spacing w:before="16"/>
              <w:ind w:left="248" w:right="889"/>
              <w:rPr>
                <w:sz w:val="18"/>
              </w:rPr>
            </w:pPr>
            <w:r>
              <w:rPr>
                <w:sz w:val="18"/>
              </w:rPr>
              <w:t>Available-for-sale (Listed securities)</w:t>
            </w:r>
          </w:p>
        </w:tc>
        <w:tc>
          <w:tcPr>
            <w:tcW w:w="615" w:type="dxa"/>
          </w:tcPr>
          <w:p>
            <w:pPr/>
          </w:p>
        </w:tc>
        <w:tc>
          <w:tcPr>
            <w:tcW w:w="1434" w:type="dxa"/>
            <w:tcBorders>
              <w:bottom w:val="single" w:sz="1" w:space="0" w:color="000000"/>
            </w:tcBorders>
          </w:tcPr>
          <w:p>
            <w:pPr>
              <w:pStyle w:val="TableParagraph"/>
              <w:spacing w:before="2"/>
              <w:rPr>
                <w:b/>
                <w:sz w:val="19"/>
              </w:rPr>
            </w:pPr>
          </w:p>
          <w:p>
            <w:pPr>
              <w:pStyle w:val="TableParagraph"/>
              <w:ind w:right="224"/>
              <w:jc w:val="right"/>
              <w:rPr>
                <w:sz w:val="18"/>
              </w:rPr>
            </w:pPr>
            <w:r>
              <w:rPr>
                <w:w w:val="95"/>
                <w:sz w:val="18"/>
              </w:rPr>
              <w:t>76,143</w:t>
            </w:r>
          </w:p>
        </w:tc>
        <w:tc>
          <w:tcPr>
            <w:tcW w:w="1296" w:type="dxa"/>
            <w:tcBorders>
              <w:bottom w:val="single" w:sz="1" w:space="0" w:color="000000"/>
            </w:tcBorders>
          </w:tcPr>
          <w:p>
            <w:pPr>
              <w:pStyle w:val="TableParagraph"/>
              <w:spacing w:before="2"/>
              <w:rPr>
                <w:b/>
                <w:sz w:val="19"/>
              </w:rPr>
            </w:pPr>
          </w:p>
          <w:p>
            <w:pPr>
              <w:pStyle w:val="TableParagraph"/>
              <w:ind w:right="225"/>
              <w:jc w:val="right"/>
              <w:rPr>
                <w:sz w:val="18"/>
              </w:rPr>
            </w:pPr>
            <w:r>
              <w:rPr>
                <w:w w:val="95"/>
                <w:sz w:val="18"/>
              </w:rPr>
              <w:t>76,143</w:t>
            </w:r>
          </w:p>
        </w:tc>
        <w:tc>
          <w:tcPr>
            <w:tcW w:w="1296" w:type="dxa"/>
            <w:tcBorders>
              <w:bottom w:val="single" w:sz="1" w:space="0" w:color="000000"/>
            </w:tcBorders>
          </w:tcPr>
          <w:p>
            <w:pPr>
              <w:pStyle w:val="TableParagraph"/>
              <w:spacing w:before="2"/>
              <w:rPr>
                <w:b/>
                <w:sz w:val="19"/>
              </w:rPr>
            </w:pPr>
          </w:p>
          <w:p>
            <w:pPr>
              <w:pStyle w:val="TableParagraph"/>
              <w:ind w:right="224"/>
              <w:jc w:val="right"/>
              <w:rPr>
                <w:sz w:val="18"/>
              </w:rPr>
            </w:pPr>
            <w:r>
              <w:rPr>
                <w:w w:val="99"/>
                <w:sz w:val="18"/>
              </w:rPr>
              <w:t>-</w:t>
            </w:r>
          </w:p>
        </w:tc>
        <w:tc>
          <w:tcPr>
            <w:tcW w:w="1158" w:type="dxa"/>
            <w:tcBorders>
              <w:bottom w:val="single" w:sz="1" w:space="0" w:color="000000"/>
            </w:tcBorders>
          </w:tcPr>
          <w:p>
            <w:pPr>
              <w:pStyle w:val="TableParagraph"/>
              <w:spacing w:before="2"/>
              <w:rPr>
                <w:b/>
                <w:sz w:val="19"/>
              </w:rPr>
            </w:pPr>
          </w:p>
          <w:p>
            <w:pPr>
              <w:pStyle w:val="TableParagraph"/>
              <w:ind w:right="86"/>
              <w:jc w:val="right"/>
              <w:rPr>
                <w:sz w:val="18"/>
              </w:rPr>
            </w:pPr>
            <w:r>
              <w:rPr>
                <w:w w:val="99"/>
                <w:sz w:val="18"/>
              </w:rPr>
              <w:t>-</w:t>
            </w:r>
          </w:p>
        </w:tc>
      </w:tr>
      <w:tr>
        <w:trPr>
          <w:trHeight w:val="336" w:hRule="exact"/>
        </w:trPr>
        <w:tc>
          <w:tcPr>
            <w:tcW w:w="3138" w:type="dxa"/>
          </w:tcPr>
          <w:p>
            <w:pPr>
              <w:pStyle w:val="TableParagraph"/>
              <w:spacing w:before="96"/>
              <w:ind w:left="35"/>
              <w:rPr>
                <w:sz w:val="18"/>
              </w:rPr>
            </w:pPr>
            <w:r>
              <w:rPr>
                <w:sz w:val="18"/>
              </w:rPr>
              <w:t>Total financial assets</w:t>
            </w:r>
          </w:p>
        </w:tc>
        <w:tc>
          <w:tcPr>
            <w:tcW w:w="615" w:type="dxa"/>
          </w:tcPr>
          <w:p>
            <w:pPr/>
          </w:p>
        </w:tc>
        <w:tc>
          <w:tcPr>
            <w:tcW w:w="1434" w:type="dxa"/>
            <w:tcBorders>
              <w:top w:val="single" w:sz="1" w:space="0" w:color="000000"/>
              <w:bottom w:val="single" w:sz="1" w:space="0" w:color="000000"/>
            </w:tcBorders>
          </w:tcPr>
          <w:p>
            <w:pPr>
              <w:pStyle w:val="TableParagraph"/>
              <w:spacing w:before="124"/>
              <w:ind w:right="224"/>
              <w:jc w:val="right"/>
              <w:rPr>
                <w:sz w:val="18"/>
              </w:rPr>
            </w:pPr>
            <w:r>
              <w:rPr>
                <w:w w:val="95"/>
                <w:sz w:val="18"/>
              </w:rPr>
              <w:t>87,473</w:t>
            </w:r>
          </w:p>
        </w:tc>
        <w:tc>
          <w:tcPr>
            <w:tcW w:w="1296" w:type="dxa"/>
            <w:tcBorders>
              <w:top w:val="single" w:sz="1" w:space="0" w:color="000000"/>
              <w:bottom w:val="single" w:sz="1" w:space="0" w:color="000000"/>
            </w:tcBorders>
          </w:tcPr>
          <w:p>
            <w:pPr>
              <w:pStyle w:val="TableParagraph"/>
              <w:spacing w:before="124"/>
              <w:ind w:right="225"/>
              <w:jc w:val="right"/>
              <w:rPr>
                <w:sz w:val="18"/>
              </w:rPr>
            </w:pPr>
            <w:r>
              <w:rPr>
                <w:w w:val="95"/>
                <w:sz w:val="18"/>
              </w:rPr>
              <w:t>76,143</w:t>
            </w:r>
          </w:p>
        </w:tc>
        <w:tc>
          <w:tcPr>
            <w:tcW w:w="1296" w:type="dxa"/>
            <w:tcBorders>
              <w:top w:val="single" w:sz="1" w:space="0" w:color="000000"/>
              <w:bottom w:val="single" w:sz="1" w:space="0" w:color="000000"/>
            </w:tcBorders>
          </w:tcPr>
          <w:p>
            <w:pPr>
              <w:pStyle w:val="TableParagraph"/>
              <w:spacing w:before="124"/>
              <w:ind w:right="225"/>
              <w:jc w:val="right"/>
              <w:rPr>
                <w:sz w:val="18"/>
              </w:rPr>
            </w:pPr>
            <w:r>
              <w:rPr>
                <w:w w:val="95"/>
                <w:sz w:val="18"/>
              </w:rPr>
              <w:t>11,027</w:t>
            </w:r>
          </w:p>
        </w:tc>
        <w:tc>
          <w:tcPr>
            <w:tcW w:w="1158" w:type="dxa"/>
            <w:tcBorders>
              <w:top w:val="single" w:sz="1" w:space="0" w:color="000000"/>
              <w:bottom w:val="single" w:sz="1" w:space="0" w:color="000000"/>
            </w:tcBorders>
          </w:tcPr>
          <w:p>
            <w:pPr>
              <w:pStyle w:val="TableParagraph"/>
              <w:spacing w:before="124"/>
              <w:ind w:right="86"/>
              <w:jc w:val="right"/>
              <w:rPr>
                <w:sz w:val="18"/>
              </w:rPr>
            </w:pPr>
            <w:r>
              <w:rPr>
                <w:w w:val="95"/>
                <w:sz w:val="18"/>
              </w:rPr>
              <w:t>303</w:t>
            </w:r>
          </w:p>
        </w:tc>
      </w:tr>
      <w:tr>
        <w:trPr>
          <w:trHeight w:val="386" w:hRule="exact"/>
        </w:trPr>
        <w:tc>
          <w:tcPr>
            <w:tcW w:w="3138" w:type="dxa"/>
          </w:tcPr>
          <w:p>
            <w:pPr>
              <w:pStyle w:val="TableParagraph"/>
              <w:spacing w:before="156"/>
              <w:ind w:left="35"/>
              <w:rPr>
                <w:b/>
                <w:sz w:val="18"/>
              </w:rPr>
            </w:pPr>
            <w:r>
              <w:rPr>
                <w:b/>
                <w:sz w:val="18"/>
              </w:rPr>
              <w:t>Non-financial assets</w:t>
            </w:r>
          </w:p>
        </w:tc>
        <w:tc>
          <w:tcPr>
            <w:tcW w:w="615" w:type="dxa"/>
          </w:tcPr>
          <w:p>
            <w:pPr/>
          </w:p>
        </w:tc>
        <w:tc>
          <w:tcPr>
            <w:tcW w:w="1434" w:type="dxa"/>
            <w:tcBorders>
              <w:top w:val="single" w:sz="1" w:space="0" w:color="000000"/>
            </w:tcBorders>
          </w:tcPr>
          <w:p>
            <w:pPr/>
          </w:p>
        </w:tc>
        <w:tc>
          <w:tcPr>
            <w:tcW w:w="1296" w:type="dxa"/>
            <w:tcBorders>
              <w:top w:val="single" w:sz="1" w:space="0" w:color="000000"/>
            </w:tcBorders>
          </w:tcPr>
          <w:p>
            <w:pPr/>
          </w:p>
        </w:tc>
        <w:tc>
          <w:tcPr>
            <w:tcW w:w="1296" w:type="dxa"/>
            <w:tcBorders>
              <w:top w:val="single" w:sz="1" w:space="0" w:color="000000"/>
            </w:tcBorders>
          </w:tcPr>
          <w:p>
            <w:pPr/>
          </w:p>
        </w:tc>
        <w:tc>
          <w:tcPr>
            <w:tcW w:w="1158" w:type="dxa"/>
            <w:tcBorders>
              <w:top w:val="single" w:sz="1" w:space="0" w:color="000000"/>
            </w:tcBorders>
          </w:tcPr>
          <w:p>
            <w:pPr/>
          </w:p>
        </w:tc>
      </w:tr>
      <w:tr>
        <w:trPr>
          <w:trHeight w:val="247" w:hRule="exact"/>
        </w:trPr>
        <w:tc>
          <w:tcPr>
            <w:tcW w:w="3138" w:type="dxa"/>
          </w:tcPr>
          <w:p>
            <w:pPr>
              <w:pStyle w:val="TableParagraph"/>
              <w:spacing w:before="3"/>
              <w:ind w:left="35"/>
              <w:rPr>
                <w:sz w:val="18"/>
              </w:rPr>
            </w:pPr>
            <w:r>
              <w:rPr>
                <w:sz w:val="18"/>
              </w:rPr>
              <w:t>Property, plant and equipment</w:t>
            </w:r>
          </w:p>
        </w:tc>
        <w:tc>
          <w:tcPr>
            <w:tcW w:w="615" w:type="dxa"/>
          </w:tcPr>
          <w:p>
            <w:pPr>
              <w:pStyle w:val="TableParagraph"/>
              <w:spacing w:before="3"/>
              <w:ind w:left="81"/>
              <w:rPr>
                <w:sz w:val="18"/>
              </w:rPr>
            </w:pPr>
            <w:r>
              <w:rPr>
                <w:sz w:val="18"/>
              </w:rPr>
              <w:t>21</w:t>
            </w:r>
          </w:p>
        </w:tc>
        <w:tc>
          <w:tcPr>
            <w:tcW w:w="1434" w:type="dxa"/>
          </w:tcPr>
          <w:p>
            <w:pPr/>
          </w:p>
        </w:tc>
        <w:tc>
          <w:tcPr>
            <w:tcW w:w="1296" w:type="dxa"/>
          </w:tcPr>
          <w:p>
            <w:pPr/>
          </w:p>
        </w:tc>
        <w:tc>
          <w:tcPr>
            <w:tcW w:w="1296" w:type="dxa"/>
          </w:tcPr>
          <w:p>
            <w:pPr/>
          </w:p>
        </w:tc>
        <w:tc>
          <w:tcPr>
            <w:tcW w:w="1158" w:type="dxa"/>
          </w:tcPr>
          <w:p>
            <w:pPr/>
          </w:p>
        </w:tc>
      </w:tr>
      <w:tr>
        <w:trPr>
          <w:trHeight w:val="264" w:hRule="exact"/>
        </w:trPr>
        <w:tc>
          <w:tcPr>
            <w:tcW w:w="3138" w:type="dxa"/>
          </w:tcPr>
          <w:p>
            <w:pPr>
              <w:pStyle w:val="TableParagraph"/>
              <w:spacing w:before="20"/>
              <w:ind w:left="248"/>
              <w:rPr>
                <w:sz w:val="18"/>
              </w:rPr>
            </w:pPr>
            <w:r>
              <w:rPr>
                <w:sz w:val="18"/>
              </w:rPr>
              <w:t>Land</w:t>
            </w:r>
          </w:p>
        </w:tc>
        <w:tc>
          <w:tcPr>
            <w:tcW w:w="615" w:type="dxa"/>
          </w:tcPr>
          <w:p>
            <w:pPr/>
          </w:p>
        </w:tc>
        <w:tc>
          <w:tcPr>
            <w:tcW w:w="1434" w:type="dxa"/>
          </w:tcPr>
          <w:p>
            <w:pPr>
              <w:pStyle w:val="TableParagraph"/>
              <w:spacing w:before="18"/>
              <w:ind w:right="224"/>
              <w:jc w:val="right"/>
              <w:rPr>
                <w:sz w:val="18"/>
              </w:rPr>
            </w:pPr>
            <w:r>
              <w:rPr>
                <w:w w:val="95"/>
                <w:sz w:val="18"/>
              </w:rPr>
              <w:t>366,967</w:t>
            </w:r>
          </w:p>
        </w:tc>
        <w:tc>
          <w:tcPr>
            <w:tcW w:w="1296" w:type="dxa"/>
          </w:tcPr>
          <w:p>
            <w:pPr>
              <w:pStyle w:val="TableParagraph"/>
              <w:spacing w:before="18"/>
              <w:ind w:right="224"/>
              <w:jc w:val="right"/>
              <w:rPr>
                <w:sz w:val="18"/>
              </w:rPr>
            </w:pPr>
            <w:r>
              <w:rPr>
                <w:w w:val="99"/>
                <w:sz w:val="18"/>
              </w:rPr>
              <w:t>-</w:t>
            </w:r>
          </w:p>
        </w:tc>
        <w:tc>
          <w:tcPr>
            <w:tcW w:w="1296" w:type="dxa"/>
          </w:tcPr>
          <w:p>
            <w:pPr>
              <w:pStyle w:val="TableParagraph"/>
              <w:spacing w:before="18"/>
              <w:ind w:right="224"/>
              <w:jc w:val="right"/>
              <w:rPr>
                <w:sz w:val="18"/>
              </w:rPr>
            </w:pPr>
            <w:r>
              <w:rPr>
                <w:w w:val="95"/>
                <w:sz w:val="18"/>
              </w:rPr>
              <w:t>366,967</w:t>
            </w:r>
          </w:p>
        </w:tc>
        <w:tc>
          <w:tcPr>
            <w:tcW w:w="1158" w:type="dxa"/>
          </w:tcPr>
          <w:p>
            <w:pPr>
              <w:pStyle w:val="TableParagraph"/>
              <w:spacing w:before="18"/>
              <w:ind w:right="86"/>
              <w:jc w:val="right"/>
              <w:rPr>
                <w:sz w:val="18"/>
              </w:rPr>
            </w:pPr>
            <w:r>
              <w:rPr>
                <w:w w:val="99"/>
                <w:sz w:val="18"/>
              </w:rPr>
              <w:t>-</w:t>
            </w:r>
          </w:p>
        </w:tc>
      </w:tr>
      <w:tr>
        <w:trPr>
          <w:trHeight w:val="264" w:hRule="exact"/>
        </w:trPr>
        <w:tc>
          <w:tcPr>
            <w:tcW w:w="3138" w:type="dxa"/>
          </w:tcPr>
          <w:p>
            <w:pPr>
              <w:pStyle w:val="TableParagraph"/>
              <w:spacing w:before="20"/>
              <w:ind w:left="248"/>
              <w:rPr>
                <w:sz w:val="18"/>
              </w:rPr>
            </w:pPr>
            <w:r>
              <w:rPr>
                <w:sz w:val="18"/>
              </w:rPr>
              <w:t>Buildings</w:t>
            </w:r>
          </w:p>
        </w:tc>
        <w:tc>
          <w:tcPr>
            <w:tcW w:w="615" w:type="dxa"/>
          </w:tcPr>
          <w:p>
            <w:pPr/>
          </w:p>
        </w:tc>
        <w:tc>
          <w:tcPr>
            <w:tcW w:w="1434" w:type="dxa"/>
          </w:tcPr>
          <w:p>
            <w:pPr>
              <w:pStyle w:val="TableParagraph"/>
              <w:spacing w:before="18"/>
              <w:ind w:right="224"/>
              <w:jc w:val="right"/>
              <w:rPr>
                <w:sz w:val="18"/>
              </w:rPr>
            </w:pPr>
            <w:r>
              <w:rPr>
                <w:w w:val="95"/>
                <w:sz w:val="18"/>
              </w:rPr>
              <w:t>960,757</w:t>
            </w:r>
          </w:p>
        </w:tc>
        <w:tc>
          <w:tcPr>
            <w:tcW w:w="1296" w:type="dxa"/>
          </w:tcPr>
          <w:p>
            <w:pPr>
              <w:pStyle w:val="TableParagraph"/>
              <w:spacing w:before="18"/>
              <w:ind w:right="224"/>
              <w:jc w:val="right"/>
              <w:rPr>
                <w:sz w:val="18"/>
              </w:rPr>
            </w:pPr>
            <w:r>
              <w:rPr>
                <w:w w:val="99"/>
                <w:sz w:val="18"/>
              </w:rPr>
              <w:t>-</w:t>
            </w:r>
          </w:p>
        </w:tc>
        <w:tc>
          <w:tcPr>
            <w:tcW w:w="1296" w:type="dxa"/>
          </w:tcPr>
          <w:p>
            <w:pPr>
              <w:pStyle w:val="TableParagraph"/>
              <w:spacing w:before="18"/>
              <w:ind w:right="224"/>
              <w:jc w:val="right"/>
              <w:rPr>
                <w:sz w:val="18"/>
              </w:rPr>
            </w:pPr>
            <w:r>
              <w:rPr>
                <w:w w:val="99"/>
                <w:sz w:val="18"/>
              </w:rPr>
              <w:t>-</w:t>
            </w:r>
          </w:p>
        </w:tc>
        <w:tc>
          <w:tcPr>
            <w:tcW w:w="1158" w:type="dxa"/>
          </w:tcPr>
          <w:p>
            <w:pPr>
              <w:pStyle w:val="TableParagraph"/>
              <w:spacing w:before="18"/>
              <w:ind w:right="88"/>
              <w:jc w:val="right"/>
              <w:rPr>
                <w:sz w:val="18"/>
              </w:rPr>
            </w:pPr>
            <w:r>
              <w:rPr>
                <w:w w:val="95"/>
                <w:sz w:val="18"/>
              </w:rPr>
              <w:t>960,757</w:t>
            </w:r>
          </w:p>
        </w:tc>
      </w:tr>
      <w:tr>
        <w:trPr>
          <w:trHeight w:val="264" w:hRule="exact"/>
        </w:trPr>
        <w:tc>
          <w:tcPr>
            <w:tcW w:w="3138" w:type="dxa"/>
          </w:tcPr>
          <w:p>
            <w:pPr>
              <w:pStyle w:val="TableParagraph"/>
              <w:spacing w:before="20"/>
              <w:ind w:left="248"/>
              <w:rPr>
                <w:sz w:val="18"/>
              </w:rPr>
            </w:pPr>
            <w:r>
              <w:rPr>
                <w:sz w:val="18"/>
              </w:rPr>
              <w:t>Infrastructure</w:t>
            </w:r>
          </w:p>
        </w:tc>
        <w:tc>
          <w:tcPr>
            <w:tcW w:w="615" w:type="dxa"/>
          </w:tcPr>
          <w:p>
            <w:pPr/>
          </w:p>
        </w:tc>
        <w:tc>
          <w:tcPr>
            <w:tcW w:w="1434" w:type="dxa"/>
          </w:tcPr>
          <w:p>
            <w:pPr>
              <w:pStyle w:val="TableParagraph"/>
              <w:spacing w:before="18"/>
              <w:ind w:right="224"/>
              <w:jc w:val="right"/>
              <w:rPr>
                <w:sz w:val="18"/>
              </w:rPr>
            </w:pPr>
            <w:r>
              <w:rPr>
                <w:w w:val="95"/>
                <w:sz w:val="18"/>
              </w:rPr>
              <w:t>91,349</w:t>
            </w:r>
          </w:p>
        </w:tc>
        <w:tc>
          <w:tcPr>
            <w:tcW w:w="1296" w:type="dxa"/>
          </w:tcPr>
          <w:p>
            <w:pPr>
              <w:pStyle w:val="TableParagraph"/>
              <w:spacing w:before="18"/>
              <w:ind w:right="224"/>
              <w:jc w:val="right"/>
              <w:rPr>
                <w:sz w:val="18"/>
              </w:rPr>
            </w:pPr>
            <w:r>
              <w:rPr>
                <w:w w:val="99"/>
                <w:sz w:val="18"/>
              </w:rPr>
              <w:t>-</w:t>
            </w:r>
          </w:p>
        </w:tc>
        <w:tc>
          <w:tcPr>
            <w:tcW w:w="1296" w:type="dxa"/>
          </w:tcPr>
          <w:p>
            <w:pPr>
              <w:pStyle w:val="TableParagraph"/>
              <w:spacing w:before="18"/>
              <w:ind w:right="224"/>
              <w:jc w:val="right"/>
              <w:rPr>
                <w:sz w:val="18"/>
              </w:rPr>
            </w:pPr>
            <w:r>
              <w:rPr>
                <w:w w:val="99"/>
                <w:sz w:val="18"/>
              </w:rPr>
              <w:t>-</w:t>
            </w:r>
          </w:p>
        </w:tc>
        <w:tc>
          <w:tcPr>
            <w:tcW w:w="1158" w:type="dxa"/>
          </w:tcPr>
          <w:p>
            <w:pPr>
              <w:pStyle w:val="TableParagraph"/>
              <w:spacing w:before="18"/>
              <w:ind w:right="87"/>
              <w:jc w:val="right"/>
              <w:rPr>
                <w:sz w:val="18"/>
              </w:rPr>
            </w:pPr>
            <w:r>
              <w:rPr>
                <w:w w:val="95"/>
                <w:sz w:val="18"/>
              </w:rPr>
              <w:t>91,349</w:t>
            </w:r>
          </w:p>
        </w:tc>
      </w:tr>
      <w:tr>
        <w:trPr>
          <w:trHeight w:val="264" w:hRule="exact"/>
        </w:trPr>
        <w:tc>
          <w:tcPr>
            <w:tcW w:w="3138" w:type="dxa"/>
          </w:tcPr>
          <w:p>
            <w:pPr>
              <w:pStyle w:val="TableParagraph"/>
              <w:spacing w:before="20"/>
              <w:ind w:left="248"/>
              <w:rPr>
                <w:sz w:val="18"/>
              </w:rPr>
            </w:pPr>
            <w:r>
              <w:rPr>
                <w:sz w:val="18"/>
              </w:rPr>
              <w:t>Artwork</w:t>
            </w:r>
          </w:p>
        </w:tc>
        <w:tc>
          <w:tcPr>
            <w:tcW w:w="615" w:type="dxa"/>
          </w:tcPr>
          <w:p>
            <w:pPr/>
          </w:p>
        </w:tc>
        <w:tc>
          <w:tcPr>
            <w:tcW w:w="1434" w:type="dxa"/>
          </w:tcPr>
          <w:p>
            <w:pPr>
              <w:pStyle w:val="TableParagraph"/>
              <w:spacing w:before="18"/>
              <w:ind w:right="224"/>
              <w:jc w:val="right"/>
              <w:rPr>
                <w:sz w:val="18"/>
              </w:rPr>
            </w:pPr>
            <w:r>
              <w:rPr>
                <w:w w:val="95"/>
                <w:sz w:val="18"/>
              </w:rPr>
              <w:t>4,204</w:t>
            </w:r>
          </w:p>
        </w:tc>
        <w:tc>
          <w:tcPr>
            <w:tcW w:w="1296" w:type="dxa"/>
          </w:tcPr>
          <w:p>
            <w:pPr>
              <w:pStyle w:val="TableParagraph"/>
              <w:spacing w:before="18"/>
              <w:ind w:right="224"/>
              <w:jc w:val="right"/>
              <w:rPr>
                <w:sz w:val="18"/>
              </w:rPr>
            </w:pPr>
            <w:r>
              <w:rPr>
                <w:w w:val="99"/>
                <w:sz w:val="18"/>
              </w:rPr>
              <w:t>-</w:t>
            </w:r>
          </w:p>
        </w:tc>
        <w:tc>
          <w:tcPr>
            <w:tcW w:w="1296" w:type="dxa"/>
          </w:tcPr>
          <w:p>
            <w:pPr>
              <w:pStyle w:val="TableParagraph"/>
              <w:spacing w:before="18"/>
              <w:ind w:right="225"/>
              <w:jc w:val="right"/>
              <w:rPr>
                <w:sz w:val="18"/>
              </w:rPr>
            </w:pPr>
            <w:r>
              <w:rPr>
                <w:w w:val="95"/>
                <w:sz w:val="18"/>
              </w:rPr>
              <w:t>4,204</w:t>
            </w:r>
          </w:p>
        </w:tc>
        <w:tc>
          <w:tcPr>
            <w:tcW w:w="1158" w:type="dxa"/>
          </w:tcPr>
          <w:p>
            <w:pPr>
              <w:pStyle w:val="TableParagraph"/>
              <w:spacing w:before="18"/>
              <w:ind w:right="86"/>
              <w:jc w:val="right"/>
              <w:rPr>
                <w:sz w:val="18"/>
              </w:rPr>
            </w:pPr>
            <w:r>
              <w:rPr>
                <w:w w:val="99"/>
                <w:sz w:val="18"/>
              </w:rPr>
              <w:t>-</w:t>
            </w:r>
          </w:p>
        </w:tc>
      </w:tr>
      <w:tr>
        <w:trPr>
          <w:trHeight w:val="260" w:hRule="exact"/>
        </w:trPr>
        <w:tc>
          <w:tcPr>
            <w:tcW w:w="3138" w:type="dxa"/>
          </w:tcPr>
          <w:p>
            <w:pPr>
              <w:pStyle w:val="TableParagraph"/>
              <w:spacing w:before="20"/>
              <w:ind w:left="248"/>
              <w:rPr>
                <w:sz w:val="18"/>
              </w:rPr>
            </w:pPr>
            <w:r>
              <w:rPr>
                <w:sz w:val="18"/>
              </w:rPr>
              <w:t>Rare book collection</w:t>
            </w:r>
          </w:p>
        </w:tc>
        <w:tc>
          <w:tcPr>
            <w:tcW w:w="615" w:type="dxa"/>
          </w:tcPr>
          <w:p>
            <w:pPr/>
          </w:p>
        </w:tc>
        <w:tc>
          <w:tcPr>
            <w:tcW w:w="1434" w:type="dxa"/>
            <w:tcBorders>
              <w:bottom w:val="single" w:sz="1" w:space="0" w:color="000000"/>
            </w:tcBorders>
          </w:tcPr>
          <w:p>
            <w:pPr>
              <w:pStyle w:val="TableParagraph"/>
              <w:spacing w:before="18"/>
              <w:ind w:right="224"/>
              <w:jc w:val="right"/>
              <w:rPr>
                <w:sz w:val="18"/>
              </w:rPr>
            </w:pPr>
            <w:r>
              <w:rPr>
                <w:w w:val="95"/>
                <w:sz w:val="18"/>
              </w:rPr>
              <w:t>1,712</w:t>
            </w:r>
          </w:p>
        </w:tc>
        <w:tc>
          <w:tcPr>
            <w:tcW w:w="1296" w:type="dxa"/>
            <w:tcBorders>
              <w:bottom w:val="single" w:sz="1" w:space="0" w:color="000000"/>
            </w:tcBorders>
          </w:tcPr>
          <w:p>
            <w:pPr>
              <w:pStyle w:val="TableParagraph"/>
              <w:spacing w:before="18"/>
              <w:ind w:right="224"/>
              <w:jc w:val="right"/>
              <w:rPr>
                <w:sz w:val="18"/>
              </w:rPr>
            </w:pPr>
            <w:r>
              <w:rPr>
                <w:w w:val="99"/>
                <w:sz w:val="18"/>
              </w:rPr>
              <w:t>-</w:t>
            </w:r>
          </w:p>
        </w:tc>
        <w:tc>
          <w:tcPr>
            <w:tcW w:w="1296" w:type="dxa"/>
            <w:tcBorders>
              <w:bottom w:val="single" w:sz="1" w:space="0" w:color="000000"/>
            </w:tcBorders>
          </w:tcPr>
          <w:p>
            <w:pPr>
              <w:pStyle w:val="TableParagraph"/>
              <w:spacing w:before="18"/>
              <w:ind w:right="225"/>
              <w:jc w:val="right"/>
              <w:rPr>
                <w:sz w:val="18"/>
              </w:rPr>
            </w:pPr>
            <w:r>
              <w:rPr>
                <w:w w:val="95"/>
                <w:sz w:val="18"/>
              </w:rPr>
              <w:t>1,712</w:t>
            </w:r>
          </w:p>
        </w:tc>
        <w:tc>
          <w:tcPr>
            <w:tcW w:w="1158" w:type="dxa"/>
            <w:tcBorders>
              <w:bottom w:val="single" w:sz="1" w:space="0" w:color="000000"/>
            </w:tcBorders>
          </w:tcPr>
          <w:p>
            <w:pPr>
              <w:pStyle w:val="TableParagraph"/>
              <w:spacing w:before="18"/>
              <w:ind w:right="86"/>
              <w:jc w:val="right"/>
              <w:rPr>
                <w:sz w:val="18"/>
              </w:rPr>
            </w:pPr>
            <w:r>
              <w:rPr>
                <w:w w:val="99"/>
                <w:sz w:val="18"/>
              </w:rPr>
              <w:t>-</w:t>
            </w:r>
          </w:p>
        </w:tc>
      </w:tr>
      <w:tr>
        <w:trPr>
          <w:trHeight w:val="353" w:hRule="exact"/>
        </w:trPr>
        <w:tc>
          <w:tcPr>
            <w:tcW w:w="3138" w:type="dxa"/>
          </w:tcPr>
          <w:p>
            <w:pPr>
              <w:pStyle w:val="TableParagraph"/>
              <w:spacing w:before="96"/>
              <w:ind w:left="35"/>
              <w:rPr>
                <w:b/>
                <w:sz w:val="18"/>
              </w:rPr>
            </w:pPr>
            <w:r>
              <w:rPr>
                <w:b/>
                <w:sz w:val="18"/>
              </w:rPr>
              <w:t>Total non-financial assets</w:t>
            </w:r>
          </w:p>
        </w:tc>
        <w:tc>
          <w:tcPr>
            <w:tcW w:w="615" w:type="dxa"/>
          </w:tcPr>
          <w:p>
            <w:pPr/>
          </w:p>
        </w:tc>
        <w:tc>
          <w:tcPr>
            <w:tcW w:w="1434" w:type="dxa"/>
            <w:tcBorders>
              <w:top w:val="single" w:sz="1" w:space="0" w:color="000000"/>
              <w:bottom w:val="single" w:sz="1" w:space="0" w:color="000000"/>
            </w:tcBorders>
          </w:tcPr>
          <w:p>
            <w:pPr>
              <w:pStyle w:val="TableParagraph"/>
              <w:spacing w:before="124"/>
              <w:ind w:right="225"/>
              <w:jc w:val="right"/>
              <w:rPr>
                <w:sz w:val="18"/>
              </w:rPr>
            </w:pPr>
            <w:r>
              <w:rPr>
                <w:w w:val="95"/>
                <w:sz w:val="18"/>
              </w:rPr>
              <w:t>1,424,989</w:t>
            </w:r>
          </w:p>
        </w:tc>
        <w:tc>
          <w:tcPr>
            <w:tcW w:w="1296" w:type="dxa"/>
            <w:tcBorders>
              <w:top w:val="single" w:sz="1" w:space="0" w:color="000000"/>
              <w:bottom w:val="single" w:sz="1" w:space="0" w:color="000000"/>
            </w:tcBorders>
          </w:tcPr>
          <w:p>
            <w:pPr>
              <w:pStyle w:val="TableParagraph"/>
              <w:spacing w:before="124"/>
              <w:ind w:right="224"/>
              <w:jc w:val="right"/>
              <w:rPr>
                <w:b/>
                <w:sz w:val="18"/>
              </w:rPr>
            </w:pPr>
            <w:r>
              <w:rPr>
                <w:b/>
                <w:w w:val="99"/>
                <w:sz w:val="18"/>
              </w:rPr>
              <w:t>-</w:t>
            </w:r>
          </w:p>
        </w:tc>
        <w:tc>
          <w:tcPr>
            <w:tcW w:w="1296" w:type="dxa"/>
            <w:tcBorders>
              <w:top w:val="single" w:sz="1" w:space="0" w:color="000000"/>
              <w:bottom w:val="single" w:sz="1" w:space="0" w:color="000000"/>
            </w:tcBorders>
          </w:tcPr>
          <w:p>
            <w:pPr>
              <w:pStyle w:val="TableParagraph"/>
              <w:spacing w:before="124"/>
              <w:ind w:right="224"/>
              <w:jc w:val="right"/>
              <w:rPr>
                <w:sz w:val="18"/>
              </w:rPr>
            </w:pPr>
            <w:r>
              <w:rPr>
                <w:w w:val="95"/>
                <w:sz w:val="18"/>
              </w:rPr>
              <w:t>372,883</w:t>
            </w:r>
          </w:p>
        </w:tc>
        <w:tc>
          <w:tcPr>
            <w:tcW w:w="1158" w:type="dxa"/>
            <w:tcBorders>
              <w:top w:val="single" w:sz="1" w:space="0" w:color="000000"/>
              <w:bottom w:val="single" w:sz="1" w:space="0" w:color="000000"/>
            </w:tcBorders>
          </w:tcPr>
          <w:p>
            <w:pPr>
              <w:pStyle w:val="TableParagraph"/>
              <w:spacing w:before="124"/>
              <w:ind w:right="87"/>
              <w:jc w:val="right"/>
              <w:rPr>
                <w:sz w:val="18"/>
              </w:rPr>
            </w:pPr>
            <w:r>
              <w:rPr>
                <w:w w:val="95"/>
                <w:sz w:val="18"/>
              </w:rPr>
              <w:t>1,052,106</w:t>
            </w:r>
          </w:p>
        </w:tc>
      </w:tr>
      <w:tr>
        <w:trPr>
          <w:trHeight w:val="356" w:hRule="exact"/>
        </w:trPr>
        <w:tc>
          <w:tcPr>
            <w:tcW w:w="3138" w:type="dxa"/>
          </w:tcPr>
          <w:p>
            <w:pPr>
              <w:pStyle w:val="TableParagraph"/>
              <w:spacing w:before="139"/>
              <w:ind w:left="35"/>
              <w:rPr>
                <w:b/>
                <w:sz w:val="18"/>
              </w:rPr>
            </w:pPr>
            <w:r>
              <w:rPr>
                <w:b/>
                <w:sz w:val="18"/>
              </w:rPr>
              <w:t>Non-recurring fair value</w:t>
            </w:r>
          </w:p>
        </w:tc>
        <w:tc>
          <w:tcPr>
            <w:tcW w:w="615" w:type="dxa"/>
          </w:tcPr>
          <w:p>
            <w:pPr/>
          </w:p>
        </w:tc>
        <w:tc>
          <w:tcPr>
            <w:tcW w:w="1434" w:type="dxa"/>
            <w:tcBorders>
              <w:top w:val="single" w:sz="1" w:space="0" w:color="000000"/>
            </w:tcBorders>
          </w:tcPr>
          <w:p>
            <w:pPr/>
          </w:p>
        </w:tc>
        <w:tc>
          <w:tcPr>
            <w:tcW w:w="1296" w:type="dxa"/>
            <w:tcBorders>
              <w:top w:val="single" w:sz="1" w:space="0" w:color="000000"/>
            </w:tcBorders>
          </w:tcPr>
          <w:p>
            <w:pPr/>
          </w:p>
        </w:tc>
        <w:tc>
          <w:tcPr>
            <w:tcW w:w="1296" w:type="dxa"/>
            <w:tcBorders>
              <w:top w:val="single" w:sz="1" w:space="0" w:color="000000"/>
            </w:tcBorders>
          </w:tcPr>
          <w:p>
            <w:pPr/>
          </w:p>
        </w:tc>
        <w:tc>
          <w:tcPr>
            <w:tcW w:w="1158" w:type="dxa"/>
            <w:tcBorders>
              <w:top w:val="single" w:sz="1" w:space="0" w:color="000000"/>
            </w:tcBorders>
          </w:tcPr>
          <w:p>
            <w:pPr/>
          </w:p>
        </w:tc>
      </w:tr>
      <w:tr>
        <w:trPr>
          <w:trHeight w:val="221" w:hRule="exact"/>
        </w:trPr>
        <w:tc>
          <w:tcPr>
            <w:tcW w:w="3138" w:type="dxa"/>
          </w:tcPr>
          <w:p>
            <w:pPr>
              <w:pStyle w:val="TableParagraph"/>
              <w:spacing w:line="197" w:lineRule="exact"/>
              <w:ind w:left="35"/>
              <w:rPr>
                <w:b/>
                <w:sz w:val="18"/>
              </w:rPr>
            </w:pPr>
            <w:r>
              <w:rPr>
                <w:b/>
                <w:sz w:val="18"/>
              </w:rPr>
              <w:t>measurements</w:t>
            </w:r>
          </w:p>
        </w:tc>
        <w:tc>
          <w:tcPr>
            <w:tcW w:w="615" w:type="dxa"/>
          </w:tcPr>
          <w:p>
            <w:pPr/>
          </w:p>
        </w:tc>
        <w:tc>
          <w:tcPr>
            <w:tcW w:w="1434" w:type="dxa"/>
          </w:tcPr>
          <w:p>
            <w:pPr/>
          </w:p>
        </w:tc>
        <w:tc>
          <w:tcPr>
            <w:tcW w:w="1296" w:type="dxa"/>
          </w:tcPr>
          <w:p>
            <w:pPr/>
          </w:p>
        </w:tc>
        <w:tc>
          <w:tcPr>
            <w:tcW w:w="1296" w:type="dxa"/>
          </w:tcPr>
          <w:p>
            <w:pPr/>
          </w:p>
        </w:tc>
        <w:tc>
          <w:tcPr>
            <w:tcW w:w="1158" w:type="dxa"/>
          </w:tcPr>
          <w:p>
            <w:pPr/>
          </w:p>
        </w:tc>
      </w:tr>
      <w:tr>
        <w:trPr>
          <w:trHeight w:val="247" w:hRule="exact"/>
        </w:trPr>
        <w:tc>
          <w:tcPr>
            <w:tcW w:w="3138" w:type="dxa"/>
          </w:tcPr>
          <w:p>
            <w:pPr>
              <w:pStyle w:val="TableParagraph"/>
              <w:spacing w:before="7"/>
              <w:ind w:left="35"/>
              <w:rPr>
                <w:sz w:val="18"/>
              </w:rPr>
            </w:pPr>
            <w:r>
              <w:rPr>
                <w:sz w:val="18"/>
              </w:rPr>
              <w:t>Non-current assets held for sale</w:t>
            </w:r>
          </w:p>
        </w:tc>
        <w:tc>
          <w:tcPr>
            <w:tcW w:w="615" w:type="dxa"/>
          </w:tcPr>
          <w:p>
            <w:pPr/>
          </w:p>
        </w:tc>
        <w:tc>
          <w:tcPr>
            <w:tcW w:w="1434" w:type="dxa"/>
            <w:tcBorders>
              <w:bottom w:val="single" w:sz="1" w:space="0" w:color="000000"/>
            </w:tcBorders>
          </w:tcPr>
          <w:p>
            <w:pPr>
              <w:pStyle w:val="TableParagraph"/>
              <w:spacing w:before="4"/>
              <w:ind w:right="224"/>
              <w:jc w:val="right"/>
              <w:rPr>
                <w:sz w:val="18"/>
              </w:rPr>
            </w:pPr>
            <w:r>
              <w:rPr>
                <w:w w:val="95"/>
                <w:sz w:val="18"/>
              </w:rPr>
              <w:t>85,460</w:t>
            </w:r>
          </w:p>
        </w:tc>
        <w:tc>
          <w:tcPr>
            <w:tcW w:w="1296" w:type="dxa"/>
            <w:tcBorders>
              <w:bottom w:val="single" w:sz="1" w:space="0" w:color="000000"/>
            </w:tcBorders>
          </w:tcPr>
          <w:p>
            <w:pPr>
              <w:pStyle w:val="TableParagraph"/>
              <w:spacing w:before="4"/>
              <w:ind w:right="224"/>
              <w:jc w:val="right"/>
              <w:rPr>
                <w:sz w:val="18"/>
              </w:rPr>
            </w:pPr>
            <w:r>
              <w:rPr>
                <w:w w:val="99"/>
                <w:sz w:val="18"/>
              </w:rPr>
              <w:t>-</w:t>
            </w:r>
          </w:p>
        </w:tc>
        <w:tc>
          <w:tcPr>
            <w:tcW w:w="1296" w:type="dxa"/>
            <w:tcBorders>
              <w:bottom w:val="single" w:sz="1" w:space="0" w:color="000000"/>
            </w:tcBorders>
          </w:tcPr>
          <w:p>
            <w:pPr>
              <w:pStyle w:val="TableParagraph"/>
              <w:spacing w:before="4"/>
              <w:ind w:right="225"/>
              <w:jc w:val="right"/>
              <w:rPr>
                <w:sz w:val="18"/>
              </w:rPr>
            </w:pPr>
            <w:r>
              <w:rPr>
                <w:w w:val="95"/>
                <w:sz w:val="18"/>
              </w:rPr>
              <w:t>85,460</w:t>
            </w:r>
          </w:p>
        </w:tc>
        <w:tc>
          <w:tcPr>
            <w:tcW w:w="1158" w:type="dxa"/>
            <w:tcBorders>
              <w:bottom w:val="single" w:sz="1" w:space="0" w:color="000000"/>
            </w:tcBorders>
          </w:tcPr>
          <w:p>
            <w:pPr>
              <w:pStyle w:val="TableParagraph"/>
              <w:spacing w:before="4"/>
              <w:ind w:right="86"/>
              <w:jc w:val="right"/>
              <w:rPr>
                <w:sz w:val="18"/>
              </w:rPr>
            </w:pPr>
            <w:r>
              <w:rPr>
                <w:w w:val="99"/>
                <w:sz w:val="18"/>
              </w:rPr>
              <w:t>-</w:t>
            </w:r>
          </w:p>
        </w:tc>
      </w:tr>
      <w:tr>
        <w:trPr>
          <w:trHeight w:val="257" w:hRule="exact"/>
        </w:trPr>
        <w:tc>
          <w:tcPr>
            <w:tcW w:w="3138" w:type="dxa"/>
          </w:tcPr>
          <w:p>
            <w:pPr>
              <w:pStyle w:val="TableParagraph"/>
              <w:spacing w:before="41"/>
              <w:ind w:left="35"/>
              <w:rPr>
                <w:b/>
                <w:sz w:val="18"/>
              </w:rPr>
            </w:pPr>
            <w:r>
              <w:rPr>
                <w:b/>
                <w:sz w:val="18"/>
              </w:rPr>
              <w:t>Total non-recurring fair value</w:t>
            </w:r>
          </w:p>
        </w:tc>
        <w:tc>
          <w:tcPr>
            <w:tcW w:w="615" w:type="dxa"/>
          </w:tcPr>
          <w:p>
            <w:pPr>
              <w:pStyle w:val="TableParagraph"/>
              <w:spacing w:before="38"/>
              <w:ind w:left="81"/>
              <w:rPr>
                <w:sz w:val="18"/>
              </w:rPr>
            </w:pPr>
            <w:r>
              <w:rPr>
                <w:sz w:val="18"/>
              </w:rPr>
              <w:t>20</w:t>
            </w:r>
          </w:p>
        </w:tc>
        <w:tc>
          <w:tcPr>
            <w:tcW w:w="1434" w:type="dxa"/>
            <w:tcBorders>
              <w:top w:val="single" w:sz="1" w:space="0" w:color="000000"/>
            </w:tcBorders>
          </w:tcPr>
          <w:p>
            <w:pPr/>
          </w:p>
        </w:tc>
        <w:tc>
          <w:tcPr>
            <w:tcW w:w="1296" w:type="dxa"/>
            <w:tcBorders>
              <w:top w:val="single" w:sz="1" w:space="0" w:color="000000"/>
            </w:tcBorders>
          </w:tcPr>
          <w:p>
            <w:pPr/>
          </w:p>
        </w:tc>
        <w:tc>
          <w:tcPr>
            <w:tcW w:w="1296" w:type="dxa"/>
            <w:tcBorders>
              <w:top w:val="single" w:sz="1" w:space="0" w:color="000000"/>
            </w:tcBorders>
          </w:tcPr>
          <w:p>
            <w:pPr/>
          </w:p>
        </w:tc>
        <w:tc>
          <w:tcPr>
            <w:tcW w:w="1158" w:type="dxa"/>
            <w:tcBorders>
              <w:top w:val="single" w:sz="1" w:space="0" w:color="000000"/>
            </w:tcBorders>
          </w:tcPr>
          <w:p>
            <w:pPr/>
          </w:p>
        </w:tc>
      </w:tr>
      <w:tr>
        <w:trPr>
          <w:trHeight w:val="247" w:hRule="exact"/>
        </w:trPr>
        <w:tc>
          <w:tcPr>
            <w:tcW w:w="3138" w:type="dxa"/>
          </w:tcPr>
          <w:p>
            <w:pPr>
              <w:pStyle w:val="TableParagraph"/>
              <w:spacing w:line="197" w:lineRule="exact"/>
              <w:ind w:left="35"/>
              <w:rPr>
                <w:b/>
                <w:sz w:val="18"/>
              </w:rPr>
            </w:pPr>
            <w:r>
              <w:rPr>
                <w:b/>
                <w:sz w:val="18"/>
              </w:rPr>
              <w:t>measurements</w:t>
            </w:r>
          </w:p>
        </w:tc>
        <w:tc>
          <w:tcPr>
            <w:tcW w:w="615" w:type="dxa"/>
          </w:tcPr>
          <w:p>
            <w:pPr/>
          </w:p>
        </w:tc>
        <w:tc>
          <w:tcPr>
            <w:tcW w:w="1434" w:type="dxa"/>
            <w:tcBorders>
              <w:bottom w:val="single" w:sz="1" w:space="0" w:color="000000"/>
            </w:tcBorders>
          </w:tcPr>
          <w:p>
            <w:pPr>
              <w:pStyle w:val="TableParagraph"/>
              <w:spacing w:before="19"/>
              <w:ind w:right="224"/>
              <w:jc w:val="right"/>
              <w:rPr>
                <w:sz w:val="18"/>
              </w:rPr>
            </w:pPr>
            <w:r>
              <w:rPr>
                <w:w w:val="95"/>
                <w:sz w:val="18"/>
              </w:rPr>
              <w:t>85,460</w:t>
            </w:r>
          </w:p>
        </w:tc>
        <w:tc>
          <w:tcPr>
            <w:tcW w:w="1296" w:type="dxa"/>
            <w:tcBorders>
              <w:bottom w:val="single" w:sz="1" w:space="0" w:color="000000"/>
            </w:tcBorders>
          </w:tcPr>
          <w:p>
            <w:pPr>
              <w:pStyle w:val="TableParagraph"/>
              <w:spacing w:before="19"/>
              <w:ind w:right="224"/>
              <w:jc w:val="right"/>
              <w:rPr>
                <w:sz w:val="18"/>
              </w:rPr>
            </w:pPr>
            <w:r>
              <w:rPr>
                <w:w w:val="99"/>
                <w:sz w:val="18"/>
              </w:rPr>
              <w:t>-</w:t>
            </w:r>
          </w:p>
        </w:tc>
        <w:tc>
          <w:tcPr>
            <w:tcW w:w="1296" w:type="dxa"/>
            <w:tcBorders>
              <w:bottom w:val="single" w:sz="1" w:space="0" w:color="000000"/>
            </w:tcBorders>
          </w:tcPr>
          <w:p>
            <w:pPr>
              <w:pStyle w:val="TableParagraph"/>
              <w:spacing w:before="19"/>
              <w:ind w:right="225"/>
              <w:jc w:val="right"/>
              <w:rPr>
                <w:sz w:val="18"/>
              </w:rPr>
            </w:pPr>
            <w:r>
              <w:rPr>
                <w:w w:val="95"/>
                <w:sz w:val="18"/>
              </w:rPr>
              <w:t>85,460</w:t>
            </w:r>
          </w:p>
        </w:tc>
        <w:tc>
          <w:tcPr>
            <w:tcW w:w="1158" w:type="dxa"/>
            <w:tcBorders>
              <w:bottom w:val="single" w:sz="1" w:space="0" w:color="000000"/>
            </w:tcBorders>
          </w:tcPr>
          <w:p>
            <w:pPr>
              <w:pStyle w:val="TableParagraph"/>
              <w:spacing w:before="19"/>
              <w:ind w:right="86"/>
              <w:jc w:val="right"/>
              <w:rPr>
                <w:sz w:val="18"/>
              </w:rPr>
            </w:pPr>
            <w:r>
              <w:rPr>
                <w:w w:val="99"/>
                <w:sz w:val="18"/>
              </w:rPr>
              <w:t>-</w:t>
            </w:r>
          </w:p>
        </w:tc>
      </w:tr>
    </w:tbl>
    <w:p>
      <w:pPr>
        <w:pStyle w:val="BodyText"/>
        <w:spacing w:before="5"/>
        <w:rPr>
          <w:b/>
          <w:sz w:val="20"/>
        </w:rPr>
      </w:pPr>
    </w:p>
    <w:p>
      <w:pPr>
        <w:pStyle w:val="BodyText"/>
        <w:spacing w:before="77"/>
        <w:ind w:left="1070" w:right="220"/>
      </w:pPr>
      <w:r>
        <w:rPr/>
        <w:t>There were transfers between levels 1 and 2 for recurring fair value measurements during the year. For transfers in and out of level 3 measurements, see (d) below.</w:t>
      </w:r>
    </w:p>
    <w:p>
      <w:pPr>
        <w:pStyle w:val="BodyText"/>
        <w:spacing w:before="11"/>
        <w:rPr>
          <w:sz w:val="24"/>
        </w:rPr>
      </w:pPr>
    </w:p>
    <w:p>
      <w:pPr>
        <w:pStyle w:val="BodyText"/>
        <w:ind w:left="1070" w:right="220"/>
      </w:pPr>
      <w:r>
        <w:rPr/>
        <w:t>Western Sydney University's policy is to recognise transfers into and transfers out of fair value hierarchy levels as at the end of the reporting period.</w:t>
      </w:r>
    </w:p>
    <w:p>
      <w:pPr>
        <w:pStyle w:val="BodyText"/>
        <w:spacing w:before="11"/>
        <w:rPr>
          <w:sz w:val="24"/>
        </w:rPr>
      </w:pPr>
    </w:p>
    <w:p>
      <w:pPr>
        <w:pStyle w:val="ListParagraph"/>
        <w:numPr>
          <w:ilvl w:val="0"/>
          <w:numId w:val="39"/>
        </w:numPr>
        <w:tabs>
          <w:tab w:pos="1323" w:val="left" w:leader="none"/>
        </w:tabs>
        <w:spacing w:line="240" w:lineRule="auto" w:before="0" w:after="0"/>
        <w:ind w:left="1322" w:right="0" w:hanging="252"/>
        <w:jc w:val="left"/>
        <w:rPr>
          <w:sz w:val="18"/>
        </w:rPr>
      </w:pPr>
      <w:r>
        <w:rPr>
          <w:sz w:val="18"/>
        </w:rPr>
        <w:t>Disclosed fair</w:t>
      </w:r>
      <w:r>
        <w:rPr>
          <w:spacing w:val="1"/>
          <w:sz w:val="18"/>
        </w:rPr>
        <w:t> </w:t>
      </w:r>
      <w:r>
        <w:rPr>
          <w:sz w:val="18"/>
        </w:rPr>
        <w:t>values</w:t>
      </w:r>
    </w:p>
    <w:p>
      <w:pPr>
        <w:pStyle w:val="BodyText"/>
        <w:spacing w:before="11"/>
        <w:rPr>
          <w:sz w:val="24"/>
        </w:rPr>
      </w:pPr>
    </w:p>
    <w:p>
      <w:pPr>
        <w:pStyle w:val="BodyText"/>
        <w:ind w:left="1070" w:right="261"/>
      </w:pPr>
      <w:r>
        <w:rPr/>
        <w:t>The fair value of assets or liabilities traded in active markets (such as available-for-sale securities) is based on quoted market prices for identical assets or liabilities at the reporting date (level 1). This is the most representative of fair value in the circumstances. The fair value of held-to-maturity investments were determined by reference to published price quotations in an active market.</w:t>
      </w:r>
    </w:p>
    <w:p>
      <w:pPr>
        <w:pStyle w:val="BodyText"/>
        <w:spacing w:before="11"/>
        <w:rPr>
          <w:sz w:val="24"/>
        </w:rPr>
      </w:pPr>
    </w:p>
    <w:p>
      <w:pPr>
        <w:pStyle w:val="BodyText"/>
        <w:ind w:left="1070" w:right="220"/>
      </w:pPr>
      <w:r>
        <w:rPr/>
        <w:t>The carrying value less impairment provision of trade receivables and payables is a reasonable approximation of their fair values due to the short-term nature of trade receivables. The fair value of financial liabilities for disclosure purposes is estimated by discounting the future contractual cash flows at the current market interest rate that is available to the Group for similar financial instruments (level 3).</w:t>
      </w:r>
    </w:p>
    <w:p>
      <w:pPr>
        <w:spacing w:after="0"/>
        <w:sectPr>
          <w:pgSz w:w="11910" w:h="16840"/>
          <w:pgMar w:header="1037" w:footer="507" w:top="2220" w:bottom="700" w:left="900" w:right="880"/>
        </w:sectPr>
      </w:pPr>
    </w:p>
    <w:p>
      <w:pPr>
        <w:pStyle w:val="BodyText"/>
        <w:rPr>
          <w:sz w:val="20"/>
        </w:rPr>
      </w:pPr>
    </w:p>
    <w:p>
      <w:pPr>
        <w:pStyle w:val="BodyText"/>
        <w:rPr>
          <w:sz w:val="20"/>
        </w:rPr>
      </w:pPr>
    </w:p>
    <w:p>
      <w:pPr>
        <w:pStyle w:val="BodyText"/>
        <w:spacing w:before="5"/>
      </w:pPr>
    </w:p>
    <w:p>
      <w:pPr>
        <w:pStyle w:val="Heading9"/>
        <w:tabs>
          <w:tab w:pos="1070" w:val="left" w:leader="none"/>
        </w:tabs>
        <w:ind w:left="504" w:right="194"/>
      </w:pPr>
      <w:r>
        <w:rPr/>
        <w:t>36</w:t>
        <w:tab/>
        <w:t>Fair Value Measurement</w:t>
      </w:r>
      <w:r>
        <w:rPr>
          <w:spacing w:val="-1"/>
        </w:rPr>
        <w:t> </w:t>
      </w:r>
      <w:r>
        <w:rPr/>
        <w:t>(continued)</w:t>
      </w:r>
    </w:p>
    <w:p>
      <w:pPr>
        <w:pStyle w:val="BodyText"/>
        <w:spacing w:before="7"/>
        <w:rPr>
          <w:b/>
          <w:sz w:val="26"/>
        </w:rPr>
      </w:pPr>
    </w:p>
    <w:p>
      <w:pPr>
        <w:pStyle w:val="ListParagraph"/>
        <w:numPr>
          <w:ilvl w:val="0"/>
          <w:numId w:val="40"/>
        </w:numPr>
        <w:tabs>
          <w:tab w:pos="1071" w:val="left" w:leader="none"/>
        </w:tabs>
        <w:spacing w:line="240" w:lineRule="auto" w:before="0" w:after="0"/>
        <w:ind w:left="1070" w:right="0" w:hanging="566"/>
        <w:jc w:val="left"/>
        <w:rPr>
          <w:sz w:val="18"/>
        </w:rPr>
      </w:pPr>
      <w:r>
        <w:rPr>
          <w:sz w:val="18"/>
        </w:rPr>
        <w:t>Fair value hierarchy</w:t>
      </w:r>
      <w:r>
        <w:rPr>
          <w:spacing w:val="2"/>
          <w:sz w:val="18"/>
        </w:rPr>
        <w:t> </w:t>
      </w:r>
      <w:r>
        <w:rPr>
          <w:sz w:val="18"/>
        </w:rPr>
        <w:t>(continued)</w:t>
      </w:r>
    </w:p>
    <w:p>
      <w:pPr>
        <w:pStyle w:val="BodyText"/>
        <w:spacing w:before="4"/>
        <w:rPr>
          <w:sz w:val="25"/>
        </w:rPr>
      </w:pPr>
    </w:p>
    <w:p>
      <w:pPr>
        <w:pStyle w:val="BodyText"/>
        <w:ind w:left="1070" w:right="134"/>
      </w:pPr>
      <w:bookmarkStart w:name="(c) Valuation techniques used to derive " w:id="150"/>
      <w:bookmarkEnd w:id="150"/>
      <w:r>
        <w:rPr/>
      </w:r>
      <w:r>
        <w:rPr/>
        <w:t>The fair value of non-current borrowings disclosed in note 26 is estimated by discounting the future contractual cash flows at the current market interest rates that are available to the Group for similar financial instruments. For the period ending 31 December 2017, the borrowing rates averaged 2.75% during the year. The fair value of current borrowings approximates the carrying amount, as the impact of discounting is not significant (level</w:t>
      </w:r>
      <w:r>
        <w:rPr>
          <w:spacing w:val="14"/>
        </w:rPr>
        <w:t> </w:t>
      </w:r>
      <w:r>
        <w:rPr/>
        <w:t>2).</w:t>
      </w:r>
    </w:p>
    <w:p>
      <w:pPr>
        <w:pStyle w:val="BodyText"/>
      </w:pPr>
    </w:p>
    <w:p>
      <w:pPr>
        <w:pStyle w:val="BodyText"/>
        <w:spacing w:before="8"/>
        <w:rPr>
          <w:sz w:val="24"/>
        </w:rPr>
      </w:pPr>
    </w:p>
    <w:p>
      <w:pPr>
        <w:pStyle w:val="ListParagraph"/>
        <w:numPr>
          <w:ilvl w:val="0"/>
          <w:numId w:val="40"/>
        </w:numPr>
        <w:tabs>
          <w:tab w:pos="1071" w:val="left" w:leader="none"/>
        </w:tabs>
        <w:spacing w:line="240" w:lineRule="auto" w:before="0" w:after="0"/>
        <w:ind w:left="1070" w:right="0" w:hanging="566"/>
        <w:jc w:val="left"/>
        <w:rPr>
          <w:sz w:val="18"/>
        </w:rPr>
      </w:pPr>
      <w:r>
        <w:rPr>
          <w:sz w:val="18"/>
        </w:rPr>
        <w:t>Valuation techniques used to derive level 2 and level 3 fair</w:t>
      </w:r>
      <w:r>
        <w:rPr>
          <w:spacing w:val="9"/>
          <w:sz w:val="18"/>
        </w:rPr>
        <w:t> </w:t>
      </w:r>
      <w:r>
        <w:rPr>
          <w:sz w:val="18"/>
        </w:rPr>
        <w:t>values</w:t>
      </w:r>
    </w:p>
    <w:p>
      <w:pPr>
        <w:pStyle w:val="BodyText"/>
        <w:spacing w:before="4"/>
        <w:rPr>
          <w:sz w:val="25"/>
        </w:rPr>
      </w:pPr>
    </w:p>
    <w:p>
      <w:pPr>
        <w:pStyle w:val="ListParagraph"/>
        <w:numPr>
          <w:ilvl w:val="1"/>
          <w:numId w:val="40"/>
        </w:numPr>
        <w:tabs>
          <w:tab w:pos="1282" w:val="left" w:leader="none"/>
        </w:tabs>
        <w:spacing w:line="240" w:lineRule="auto" w:before="0" w:after="0"/>
        <w:ind w:left="1281" w:right="0" w:hanging="211"/>
        <w:jc w:val="left"/>
        <w:rPr>
          <w:sz w:val="18"/>
        </w:rPr>
      </w:pPr>
      <w:r>
        <w:rPr>
          <w:sz w:val="18"/>
        </w:rPr>
        <w:t>Recurring fair value</w:t>
      </w:r>
      <w:r>
        <w:rPr>
          <w:spacing w:val="2"/>
          <w:sz w:val="18"/>
        </w:rPr>
        <w:t> </w:t>
      </w:r>
      <w:r>
        <w:rPr>
          <w:sz w:val="18"/>
        </w:rPr>
        <w:t>measurements</w:t>
      </w:r>
    </w:p>
    <w:p>
      <w:pPr>
        <w:pStyle w:val="BodyText"/>
        <w:spacing w:before="11"/>
        <w:rPr>
          <w:sz w:val="24"/>
        </w:rPr>
      </w:pPr>
    </w:p>
    <w:p>
      <w:pPr>
        <w:pStyle w:val="BodyText"/>
        <w:ind w:left="1070" w:right="194"/>
      </w:pPr>
      <w:r>
        <w:rPr/>
        <w:t>The fair value of financial instruments that are not traded in an active market are determined using valuation techniques. These valuation techniques maximise the use of observable market data where it is available and rely as little as possible on entity specific estimates. If all significant inputs required to fair value an instrument are observable, the instrument is included in level 2.</w:t>
      </w:r>
    </w:p>
    <w:p>
      <w:pPr>
        <w:pStyle w:val="BodyText"/>
        <w:spacing w:before="11"/>
        <w:rPr>
          <w:sz w:val="24"/>
        </w:rPr>
      </w:pPr>
    </w:p>
    <w:p>
      <w:pPr>
        <w:pStyle w:val="BodyText"/>
        <w:ind w:left="1070" w:right="194"/>
      </w:pPr>
      <w:r>
        <w:rPr/>
        <w:t>If one or more of the significant inputs is not based on observable market data, the instrument is included in level 3. This is the case for unlisted equity securities.</w:t>
      </w:r>
    </w:p>
    <w:p>
      <w:pPr>
        <w:pStyle w:val="BodyText"/>
        <w:spacing w:before="11"/>
        <w:rPr>
          <w:sz w:val="24"/>
        </w:rPr>
      </w:pPr>
    </w:p>
    <w:p>
      <w:pPr>
        <w:pStyle w:val="BodyText"/>
        <w:ind w:left="1070" w:right="194"/>
      </w:pPr>
      <w:r>
        <w:rPr/>
        <w:t>The Group uses a variety of methods and makes assumptions that are based on market conditions existing at each balance date. Specific valuation techniques used to value financial instruments include the use of quoted market prices or dealer quotes for similar instruments.</w:t>
      </w:r>
    </w:p>
    <w:p>
      <w:pPr>
        <w:pStyle w:val="BodyText"/>
        <w:spacing w:before="11"/>
        <w:rPr>
          <w:sz w:val="24"/>
        </w:rPr>
      </w:pPr>
    </w:p>
    <w:p>
      <w:pPr>
        <w:pStyle w:val="BodyText"/>
        <w:ind w:left="1070" w:right="194"/>
      </w:pPr>
      <w:r>
        <w:rPr/>
        <w:t>All of the resulting fair value estimates are included in level 2 except for unlisted equity securities and land, explained in (d) below.</w:t>
      </w:r>
    </w:p>
    <w:p>
      <w:pPr>
        <w:pStyle w:val="BodyText"/>
        <w:spacing w:before="11"/>
        <w:rPr>
          <w:sz w:val="24"/>
        </w:rPr>
      </w:pPr>
    </w:p>
    <w:p>
      <w:pPr>
        <w:pStyle w:val="BodyText"/>
        <w:ind w:left="1070" w:right="194"/>
      </w:pPr>
      <w:r>
        <w:rPr/>
        <w:t>Land and buildings (classified as property, plant and equipment) are calculated independently, at least every three years. At the end of each reporting period, the Group updates their assessment of the fair value of each property, taking into account the most recent independent valuations. The Group determines the property's value within a range of reasonable fair value estimates.</w:t>
      </w:r>
    </w:p>
    <w:p>
      <w:pPr>
        <w:pStyle w:val="BodyText"/>
        <w:spacing w:before="11"/>
        <w:rPr>
          <w:sz w:val="24"/>
        </w:rPr>
      </w:pPr>
    </w:p>
    <w:p>
      <w:pPr>
        <w:pStyle w:val="BodyText"/>
        <w:ind w:left="1070" w:right="194"/>
      </w:pPr>
      <w:r>
        <w:rPr/>
        <w:t>The best evidence of fair value is current prices in an active market for similar properties. Where such information is not available, the Group considers information from a variety of sources, including discounted replacement cost - the cost to construct improvements as new is estimated and that amount depreciated, after taking into consideration the nature and design of the improvements, their age and current condition.</w:t>
      </w:r>
    </w:p>
    <w:p>
      <w:pPr>
        <w:pStyle w:val="BodyText"/>
        <w:spacing w:before="11"/>
        <w:rPr>
          <w:sz w:val="24"/>
        </w:rPr>
      </w:pPr>
    </w:p>
    <w:p>
      <w:pPr>
        <w:pStyle w:val="BodyText"/>
        <w:ind w:left="1070" w:right="263"/>
      </w:pPr>
      <w:r>
        <w:rPr/>
        <w:t>All resulting fair value estimates for properties are included in level 3 except for vacant residential land. The level 2 fair value of vacant land has been derived using the sales comparison approach. Sale prices of comparable land in close proximity are adjusted for differences in key attributes such as property size. The most significant input into this valuation approach is price per square metre.</w:t>
      </w:r>
    </w:p>
    <w:p>
      <w:pPr>
        <w:pStyle w:val="BodyText"/>
        <w:spacing w:before="11"/>
        <w:rPr>
          <w:sz w:val="24"/>
        </w:rPr>
      </w:pPr>
    </w:p>
    <w:p>
      <w:pPr>
        <w:pStyle w:val="ListParagraph"/>
        <w:numPr>
          <w:ilvl w:val="1"/>
          <w:numId w:val="40"/>
        </w:numPr>
        <w:tabs>
          <w:tab w:pos="1323" w:val="left" w:leader="none"/>
        </w:tabs>
        <w:spacing w:line="240" w:lineRule="auto" w:before="0" w:after="0"/>
        <w:ind w:left="1322" w:right="0" w:hanging="252"/>
        <w:jc w:val="left"/>
        <w:rPr>
          <w:sz w:val="18"/>
        </w:rPr>
      </w:pPr>
      <w:r>
        <w:rPr>
          <w:sz w:val="18"/>
        </w:rPr>
        <w:t>Non-recurring fair value</w:t>
      </w:r>
      <w:r>
        <w:rPr>
          <w:spacing w:val="2"/>
          <w:sz w:val="18"/>
        </w:rPr>
        <w:t> </w:t>
      </w:r>
      <w:r>
        <w:rPr>
          <w:sz w:val="18"/>
        </w:rPr>
        <w:t>measurement</w:t>
      </w:r>
    </w:p>
    <w:p>
      <w:pPr>
        <w:pStyle w:val="BodyText"/>
        <w:spacing w:before="11"/>
        <w:rPr>
          <w:sz w:val="24"/>
        </w:rPr>
      </w:pPr>
    </w:p>
    <w:p>
      <w:pPr>
        <w:pStyle w:val="BodyText"/>
        <w:ind w:left="1070" w:right="194"/>
      </w:pPr>
      <w:r>
        <w:rPr/>
        <w:t>Land classified as held for sale during the reporting period was measured at the lower of its carrying amount and fair value less cost to sell at the time of the reclassification. The fair value of the land was also determined using the sales comparison approach as described in (i) above.</w:t>
      </w:r>
    </w:p>
    <w:p>
      <w:pPr>
        <w:spacing w:after="0"/>
        <w:sectPr>
          <w:pgSz w:w="11910" w:h="16840"/>
          <w:pgMar w:header="1037" w:footer="507" w:top="2220" w:bottom="700" w:left="900" w:right="900"/>
        </w:sectPr>
      </w:pPr>
    </w:p>
    <w:p>
      <w:pPr>
        <w:pStyle w:val="BodyText"/>
        <w:rPr>
          <w:sz w:val="20"/>
        </w:rPr>
      </w:pPr>
    </w:p>
    <w:p>
      <w:pPr>
        <w:pStyle w:val="BodyText"/>
        <w:rPr>
          <w:sz w:val="20"/>
        </w:rPr>
      </w:pPr>
    </w:p>
    <w:p>
      <w:pPr>
        <w:pStyle w:val="BodyText"/>
        <w:spacing w:before="5"/>
      </w:pPr>
    </w:p>
    <w:p>
      <w:pPr>
        <w:pStyle w:val="Heading9"/>
        <w:tabs>
          <w:tab w:pos="1070" w:val="left" w:leader="none"/>
        </w:tabs>
        <w:ind w:left="504" w:right="161"/>
      </w:pPr>
      <w:bookmarkStart w:name="(d) Fair value measurements using signif" w:id="151"/>
      <w:bookmarkEnd w:id="151"/>
      <w:r>
        <w:rPr>
          <w:b w:val="0"/>
        </w:rPr>
      </w:r>
      <w:r>
        <w:rPr/>
        <w:t>36</w:t>
        <w:tab/>
        <w:t>Fair Value Measurement</w:t>
      </w:r>
      <w:r>
        <w:rPr>
          <w:spacing w:val="-1"/>
        </w:rPr>
        <w:t> </w:t>
      </w:r>
      <w:r>
        <w:rPr/>
        <w:t>(continued)</w:t>
      </w:r>
    </w:p>
    <w:p>
      <w:pPr>
        <w:pStyle w:val="BodyText"/>
        <w:spacing w:before="7"/>
        <w:rPr>
          <w:b/>
          <w:sz w:val="26"/>
        </w:rPr>
      </w:pPr>
    </w:p>
    <w:p>
      <w:pPr>
        <w:pStyle w:val="ListParagraph"/>
        <w:numPr>
          <w:ilvl w:val="0"/>
          <w:numId w:val="40"/>
        </w:numPr>
        <w:tabs>
          <w:tab w:pos="1071" w:val="left" w:leader="none"/>
        </w:tabs>
        <w:spacing w:line="240" w:lineRule="auto" w:before="0" w:after="0"/>
        <w:ind w:left="1070" w:right="0" w:hanging="566"/>
        <w:jc w:val="left"/>
        <w:rPr>
          <w:sz w:val="18"/>
        </w:rPr>
      </w:pPr>
      <w:r>
        <w:rPr>
          <w:sz w:val="18"/>
        </w:rPr>
        <w:t>Fair value measurements using significant unobservable inputs (level</w:t>
      </w:r>
      <w:r>
        <w:rPr>
          <w:spacing w:val="6"/>
          <w:sz w:val="18"/>
        </w:rPr>
        <w:t> </w:t>
      </w:r>
      <w:r>
        <w:rPr>
          <w:sz w:val="18"/>
        </w:rPr>
        <w:t>3)</w:t>
      </w:r>
    </w:p>
    <w:p>
      <w:pPr>
        <w:pStyle w:val="BodyText"/>
        <w:spacing w:before="4"/>
        <w:rPr>
          <w:sz w:val="25"/>
        </w:rPr>
      </w:pPr>
    </w:p>
    <w:p>
      <w:pPr>
        <w:pStyle w:val="BodyText"/>
        <w:ind w:left="1070" w:right="161"/>
      </w:pPr>
      <w:r>
        <w:rPr/>
        <w:t>The following table is a reconciliation of level 3 items for the periods ended 31 December 2017 and 2016.</w:t>
      </w:r>
    </w:p>
    <w:p>
      <w:pPr>
        <w:spacing w:before="32"/>
        <w:ind w:left="4377" w:right="5132" w:firstLine="0"/>
        <w:jc w:val="center"/>
        <w:rPr>
          <w:b/>
          <w:sz w:val="16"/>
        </w:rPr>
      </w:pPr>
      <w:r>
        <w:rPr>
          <w:b/>
          <w:sz w:val="16"/>
        </w:rPr>
        <w:t>Unlisted equity</w:t>
      </w:r>
    </w:p>
    <w:p>
      <w:pPr>
        <w:pStyle w:val="BodyText"/>
        <w:spacing w:before="7"/>
        <w:rPr>
          <w:b/>
          <w:sz w:val="7"/>
        </w:rPr>
      </w:pPr>
    </w:p>
    <w:tbl>
      <w:tblPr>
        <w:tblW w:w="0" w:type="auto"/>
        <w:jc w:val="left"/>
        <w:tblInd w:w="107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01"/>
        <w:gridCol w:w="832"/>
        <w:gridCol w:w="534"/>
        <w:gridCol w:w="1221"/>
        <w:gridCol w:w="1238"/>
        <w:gridCol w:w="1111"/>
        <w:gridCol w:w="1005"/>
      </w:tblGrid>
      <w:tr>
        <w:trPr>
          <w:trHeight w:val="389" w:hRule="exact"/>
        </w:trPr>
        <w:tc>
          <w:tcPr>
            <w:tcW w:w="3001" w:type="dxa"/>
          </w:tcPr>
          <w:p>
            <w:pPr>
              <w:pStyle w:val="TableParagraph"/>
              <w:spacing w:line="164" w:lineRule="exact"/>
              <w:ind w:left="35" w:right="1345"/>
              <w:rPr>
                <w:b/>
                <w:sz w:val="16"/>
              </w:rPr>
            </w:pPr>
            <w:r>
              <w:rPr>
                <w:b/>
                <w:sz w:val="16"/>
              </w:rPr>
              <w:t>Level 3 Fair Value</w:t>
            </w:r>
          </w:p>
          <w:p>
            <w:pPr>
              <w:pStyle w:val="TableParagraph"/>
              <w:spacing w:before="1"/>
              <w:ind w:left="35" w:right="1345"/>
              <w:rPr>
                <w:b/>
                <w:sz w:val="16"/>
              </w:rPr>
            </w:pPr>
            <w:r>
              <w:rPr>
                <w:b/>
                <w:sz w:val="16"/>
              </w:rPr>
              <w:t>Measurement 2017</w:t>
            </w:r>
          </w:p>
        </w:tc>
        <w:tc>
          <w:tcPr>
            <w:tcW w:w="1366" w:type="dxa"/>
            <w:gridSpan w:val="2"/>
          </w:tcPr>
          <w:p>
            <w:pPr>
              <w:pStyle w:val="TableParagraph"/>
              <w:spacing w:line="97" w:lineRule="exact"/>
              <w:ind w:left="224" w:right="353"/>
              <w:jc w:val="center"/>
              <w:rPr>
                <w:b/>
                <w:sz w:val="16"/>
              </w:rPr>
            </w:pPr>
            <w:r>
              <w:rPr>
                <w:b/>
                <w:sz w:val="16"/>
              </w:rPr>
              <w:t>securities</w:t>
            </w:r>
          </w:p>
          <w:p>
            <w:pPr>
              <w:pStyle w:val="TableParagraph"/>
              <w:spacing w:before="68"/>
              <w:ind w:left="223" w:right="353"/>
              <w:jc w:val="center"/>
              <w:rPr>
                <w:b/>
                <w:sz w:val="16"/>
              </w:rPr>
            </w:pPr>
            <w:r>
              <w:rPr>
                <w:b/>
                <w:sz w:val="16"/>
              </w:rPr>
              <w:t>$'000</w:t>
            </w:r>
          </w:p>
        </w:tc>
        <w:tc>
          <w:tcPr>
            <w:tcW w:w="2460" w:type="dxa"/>
            <w:gridSpan w:val="2"/>
          </w:tcPr>
          <w:p>
            <w:pPr>
              <w:pStyle w:val="TableParagraph"/>
              <w:tabs>
                <w:tab w:pos="1041" w:val="left" w:leader="none"/>
              </w:tabs>
              <w:spacing w:line="97" w:lineRule="exact"/>
              <w:ind w:right="216"/>
              <w:jc w:val="center"/>
              <w:rPr>
                <w:b/>
                <w:sz w:val="16"/>
              </w:rPr>
            </w:pPr>
            <w:r>
              <w:rPr>
                <w:b/>
                <w:sz w:val="16"/>
              </w:rPr>
              <w:t>Buildings</w:t>
              <w:tab/>
              <w:t>Infrastructure</w:t>
            </w:r>
          </w:p>
          <w:p>
            <w:pPr>
              <w:pStyle w:val="TableParagraph"/>
              <w:tabs>
                <w:tab w:pos="1195" w:val="left" w:leader="none"/>
              </w:tabs>
              <w:spacing w:before="68"/>
              <w:ind w:right="370"/>
              <w:jc w:val="center"/>
              <w:rPr>
                <w:b/>
                <w:sz w:val="16"/>
              </w:rPr>
            </w:pPr>
            <w:r>
              <w:rPr>
                <w:b/>
                <w:sz w:val="16"/>
              </w:rPr>
              <w:t>$'000</w:t>
              <w:tab/>
              <w:t>$'000</w:t>
            </w:r>
          </w:p>
        </w:tc>
        <w:tc>
          <w:tcPr>
            <w:tcW w:w="1111" w:type="dxa"/>
          </w:tcPr>
          <w:p>
            <w:pPr>
              <w:pStyle w:val="TableParagraph"/>
              <w:spacing w:line="97" w:lineRule="exact"/>
              <w:ind w:left="170"/>
              <w:rPr>
                <w:b/>
                <w:sz w:val="16"/>
              </w:rPr>
            </w:pPr>
            <w:r>
              <w:rPr>
                <w:b/>
                <w:sz w:val="16"/>
              </w:rPr>
              <w:t>Land</w:t>
            </w:r>
          </w:p>
          <w:p>
            <w:pPr>
              <w:pStyle w:val="TableParagraph"/>
              <w:spacing w:before="68"/>
              <w:ind w:left="280"/>
              <w:rPr>
                <w:b/>
                <w:sz w:val="16"/>
              </w:rPr>
            </w:pPr>
            <w:r>
              <w:rPr>
                <w:b/>
                <w:sz w:val="16"/>
              </w:rPr>
              <w:t>$'000</w:t>
            </w:r>
          </w:p>
        </w:tc>
        <w:tc>
          <w:tcPr>
            <w:tcW w:w="1005" w:type="dxa"/>
          </w:tcPr>
          <w:p>
            <w:pPr>
              <w:pStyle w:val="TableParagraph"/>
              <w:spacing w:line="97" w:lineRule="exact"/>
              <w:ind w:left="237"/>
              <w:rPr>
                <w:b/>
                <w:sz w:val="16"/>
              </w:rPr>
            </w:pPr>
            <w:r>
              <w:rPr>
                <w:b/>
                <w:sz w:val="16"/>
              </w:rPr>
              <w:t>Total</w:t>
            </w:r>
          </w:p>
          <w:p>
            <w:pPr>
              <w:pStyle w:val="TableParagraph"/>
              <w:spacing w:before="68"/>
              <w:ind w:left="230"/>
              <w:rPr>
                <w:b/>
                <w:sz w:val="16"/>
              </w:rPr>
            </w:pPr>
            <w:r>
              <w:rPr>
                <w:b/>
                <w:sz w:val="16"/>
              </w:rPr>
              <w:t>$'000</w:t>
            </w:r>
          </w:p>
        </w:tc>
      </w:tr>
      <w:tr>
        <w:trPr>
          <w:trHeight w:val="246" w:hRule="exact"/>
        </w:trPr>
        <w:tc>
          <w:tcPr>
            <w:tcW w:w="3001" w:type="dxa"/>
          </w:tcPr>
          <w:p>
            <w:pPr>
              <w:pStyle w:val="TableParagraph"/>
              <w:spacing w:before="26"/>
              <w:ind w:left="35" w:right="1345"/>
              <w:rPr>
                <w:sz w:val="16"/>
              </w:rPr>
            </w:pPr>
            <w:r>
              <w:rPr>
                <w:sz w:val="16"/>
              </w:rPr>
              <w:t>Opening balance</w:t>
            </w:r>
          </w:p>
        </w:tc>
        <w:tc>
          <w:tcPr>
            <w:tcW w:w="832" w:type="dxa"/>
          </w:tcPr>
          <w:p>
            <w:pPr/>
          </w:p>
        </w:tc>
        <w:tc>
          <w:tcPr>
            <w:tcW w:w="534" w:type="dxa"/>
          </w:tcPr>
          <w:p>
            <w:pPr>
              <w:pStyle w:val="TableParagraph"/>
              <w:spacing w:before="23"/>
              <w:ind w:right="248"/>
              <w:jc w:val="right"/>
              <w:rPr>
                <w:sz w:val="16"/>
              </w:rPr>
            </w:pPr>
            <w:r>
              <w:rPr>
                <w:sz w:val="16"/>
              </w:rPr>
              <w:t>303</w:t>
            </w:r>
          </w:p>
        </w:tc>
        <w:tc>
          <w:tcPr>
            <w:tcW w:w="1221" w:type="dxa"/>
          </w:tcPr>
          <w:p>
            <w:pPr>
              <w:pStyle w:val="TableParagraph"/>
              <w:spacing w:before="23"/>
              <w:ind w:right="273"/>
              <w:jc w:val="right"/>
              <w:rPr>
                <w:sz w:val="16"/>
              </w:rPr>
            </w:pPr>
            <w:r>
              <w:rPr>
                <w:sz w:val="16"/>
              </w:rPr>
              <w:t>960,757</w:t>
            </w:r>
          </w:p>
        </w:tc>
        <w:tc>
          <w:tcPr>
            <w:tcW w:w="1238" w:type="dxa"/>
          </w:tcPr>
          <w:p>
            <w:pPr>
              <w:pStyle w:val="TableParagraph"/>
              <w:spacing w:before="23"/>
              <w:ind w:right="317"/>
              <w:jc w:val="right"/>
              <w:rPr>
                <w:sz w:val="16"/>
              </w:rPr>
            </w:pPr>
            <w:r>
              <w:rPr>
                <w:sz w:val="16"/>
              </w:rPr>
              <w:t>91,349</w:t>
            </w:r>
          </w:p>
        </w:tc>
        <w:tc>
          <w:tcPr>
            <w:tcW w:w="1111" w:type="dxa"/>
          </w:tcPr>
          <w:p>
            <w:pPr>
              <w:pStyle w:val="TableParagraph"/>
              <w:spacing w:before="23"/>
              <w:ind w:right="263"/>
              <w:jc w:val="right"/>
              <w:rPr>
                <w:sz w:val="16"/>
              </w:rPr>
            </w:pPr>
            <w:r>
              <w:rPr>
                <w:w w:val="100"/>
                <w:sz w:val="16"/>
              </w:rPr>
              <w:t>-</w:t>
            </w:r>
          </w:p>
        </w:tc>
        <w:tc>
          <w:tcPr>
            <w:tcW w:w="1005" w:type="dxa"/>
          </w:tcPr>
          <w:p>
            <w:pPr>
              <w:pStyle w:val="TableParagraph"/>
              <w:spacing w:before="23"/>
              <w:ind w:right="76"/>
              <w:jc w:val="right"/>
              <w:rPr>
                <w:sz w:val="16"/>
              </w:rPr>
            </w:pPr>
            <w:r>
              <w:rPr>
                <w:sz w:val="16"/>
              </w:rPr>
              <w:t>1,052,409</w:t>
            </w:r>
          </w:p>
        </w:tc>
      </w:tr>
      <w:tr>
        <w:trPr>
          <w:trHeight w:val="242" w:hRule="exact"/>
        </w:trPr>
        <w:tc>
          <w:tcPr>
            <w:tcW w:w="3001" w:type="dxa"/>
          </w:tcPr>
          <w:p>
            <w:pPr>
              <w:pStyle w:val="TableParagraph"/>
              <w:spacing w:before="22"/>
              <w:ind w:left="35" w:right="1345"/>
              <w:rPr>
                <w:sz w:val="16"/>
              </w:rPr>
            </w:pPr>
            <w:r>
              <w:rPr>
                <w:sz w:val="16"/>
              </w:rPr>
              <w:t>Acquisitions</w:t>
            </w:r>
          </w:p>
        </w:tc>
        <w:tc>
          <w:tcPr>
            <w:tcW w:w="832" w:type="dxa"/>
          </w:tcPr>
          <w:p>
            <w:pPr/>
          </w:p>
        </w:tc>
        <w:tc>
          <w:tcPr>
            <w:tcW w:w="534" w:type="dxa"/>
          </w:tcPr>
          <w:p>
            <w:pPr>
              <w:pStyle w:val="TableParagraph"/>
              <w:spacing w:before="20"/>
              <w:ind w:right="247"/>
              <w:jc w:val="right"/>
              <w:rPr>
                <w:sz w:val="16"/>
              </w:rPr>
            </w:pPr>
            <w:r>
              <w:rPr>
                <w:w w:val="100"/>
                <w:sz w:val="16"/>
              </w:rPr>
              <w:t>-</w:t>
            </w:r>
          </w:p>
        </w:tc>
        <w:tc>
          <w:tcPr>
            <w:tcW w:w="1221" w:type="dxa"/>
          </w:tcPr>
          <w:p>
            <w:pPr>
              <w:pStyle w:val="TableParagraph"/>
              <w:spacing w:before="20"/>
              <w:ind w:right="273"/>
              <w:jc w:val="right"/>
              <w:rPr>
                <w:sz w:val="16"/>
              </w:rPr>
            </w:pPr>
            <w:r>
              <w:rPr>
                <w:sz w:val="16"/>
              </w:rPr>
              <w:t>25,364</w:t>
            </w:r>
          </w:p>
        </w:tc>
        <w:tc>
          <w:tcPr>
            <w:tcW w:w="1238" w:type="dxa"/>
          </w:tcPr>
          <w:p>
            <w:pPr>
              <w:pStyle w:val="TableParagraph"/>
              <w:spacing w:before="20"/>
              <w:ind w:right="316"/>
              <w:jc w:val="right"/>
              <w:rPr>
                <w:sz w:val="16"/>
              </w:rPr>
            </w:pPr>
            <w:r>
              <w:rPr>
                <w:sz w:val="16"/>
              </w:rPr>
              <w:t>6,358</w:t>
            </w:r>
          </w:p>
        </w:tc>
        <w:tc>
          <w:tcPr>
            <w:tcW w:w="1111" w:type="dxa"/>
          </w:tcPr>
          <w:p>
            <w:pPr>
              <w:pStyle w:val="TableParagraph"/>
              <w:spacing w:before="20"/>
              <w:ind w:right="263"/>
              <w:jc w:val="right"/>
              <w:rPr>
                <w:sz w:val="16"/>
              </w:rPr>
            </w:pPr>
            <w:r>
              <w:rPr>
                <w:w w:val="100"/>
                <w:sz w:val="16"/>
              </w:rPr>
              <w:t>-</w:t>
            </w:r>
          </w:p>
        </w:tc>
        <w:tc>
          <w:tcPr>
            <w:tcW w:w="1005" w:type="dxa"/>
          </w:tcPr>
          <w:p>
            <w:pPr>
              <w:pStyle w:val="TableParagraph"/>
              <w:spacing w:before="20"/>
              <w:ind w:right="76"/>
              <w:jc w:val="right"/>
              <w:rPr>
                <w:sz w:val="16"/>
              </w:rPr>
            </w:pPr>
            <w:r>
              <w:rPr>
                <w:sz w:val="16"/>
              </w:rPr>
              <w:t>31,722</w:t>
            </w:r>
          </w:p>
        </w:tc>
      </w:tr>
      <w:tr>
        <w:trPr>
          <w:trHeight w:val="241" w:hRule="exact"/>
        </w:trPr>
        <w:tc>
          <w:tcPr>
            <w:tcW w:w="3001" w:type="dxa"/>
          </w:tcPr>
          <w:p>
            <w:pPr>
              <w:pStyle w:val="TableParagraph"/>
              <w:spacing w:before="22"/>
              <w:ind w:left="35" w:right="1345"/>
              <w:rPr>
                <w:sz w:val="16"/>
              </w:rPr>
            </w:pPr>
            <w:r>
              <w:rPr>
                <w:sz w:val="16"/>
              </w:rPr>
              <w:t>Transfers from level 2</w:t>
            </w:r>
          </w:p>
        </w:tc>
        <w:tc>
          <w:tcPr>
            <w:tcW w:w="832" w:type="dxa"/>
          </w:tcPr>
          <w:p>
            <w:pPr/>
          </w:p>
        </w:tc>
        <w:tc>
          <w:tcPr>
            <w:tcW w:w="534" w:type="dxa"/>
          </w:tcPr>
          <w:p>
            <w:pPr>
              <w:pStyle w:val="TableParagraph"/>
              <w:spacing w:before="20"/>
              <w:ind w:right="247"/>
              <w:jc w:val="right"/>
              <w:rPr>
                <w:sz w:val="16"/>
              </w:rPr>
            </w:pPr>
            <w:r>
              <w:rPr>
                <w:w w:val="100"/>
                <w:sz w:val="16"/>
              </w:rPr>
              <w:t>-</w:t>
            </w:r>
          </w:p>
        </w:tc>
        <w:tc>
          <w:tcPr>
            <w:tcW w:w="1221" w:type="dxa"/>
          </w:tcPr>
          <w:p>
            <w:pPr>
              <w:pStyle w:val="TableParagraph"/>
              <w:spacing w:before="20"/>
              <w:ind w:right="273"/>
              <w:jc w:val="right"/>
              <w:rPr>
                <w:sz w:val="16"/>
              </w:rPr>
            </w:pPr>
            <w:r>
              <w:rPr>
                <w:w w:val="100"/>
                <w:sz w:val="16"/>
              </w:rPr>
              <w:t>-</w:t>
            </w:r>
          </w:p>
        </w:tc>
        <w:tc>
          <w:tcPr>
            <w:tcW w:w="1238" w:type="dxa"/>
          </w:tcPr>
          <w:p>
            <w:pPr>
              <w:pStyle w:val="TableParagraph"/>
              <w:spacing w:before="20"/>
              <w:ind w:right="316"/>
              <w:jc w:val="right"/>
              <w:rPr>
                <w:sz w:val="16"/>
              </w:rPr>
            </w:pPr>
            <w:r>
              <w:rPr>
                <w:w w:val="100"/>
                <w:sz w:val="16"/>
              </w:rPr>
              <w:t>-</w:t>
            </w:r>
          </w:p>
        </w:tc>
        <w:tc>
          <w:tcPr>
            <w:tcW w:w="1111" w:type="dxa"/>
          </w:tcPr>
          <w:p>
            <w:pPr>
              <w:pStyle w:val="TableParagraph"/>
              <w:spacing w:before="20"/>
              <w:ind w:right="264"/>
              <w:jc w:val="right"/>
              <w:rPr>
                <w:sz w:val="16"/>
              </w:rPr>
            </w:pPr>
            <w:r>
              <w:rPr>
                <w:sz w:val="16"/>
              </w:rPr>
              <w:t>366,032</w:t>
            </w:r>
          </w:p>
        </w:tc>
        <w:tc>
          <w:tcPr>
            <w:tcW w:w="1005" w:type="dxa"/>
          </w:tcPr>
          <w:p>
            <w:pPr>
              <w:pStyle w:val="TableParagraph"/>
              <w:spacing w:before="20"/>
              <w:ind w:right="78"/>
              <w:jc w:val="right"/>
              <w:rPr>
                <w:sz w:val="16"/>
              </w:rPr>
            </w:pPr>
            <w:r>
              <w:rPr>
                <w:sz w:val="16"/>
              </w:rPr>
              <w:t>366,032</w:t>
            </w:r>
          </w:p>
        </w:tc>
      </w:tr>
      <w:tr>
        <w:trPr>
          <w:trHeight w:val="424" w:hRule="exact"/>
        </w:trPr>
        <w:tc>
          <w:tcPr>
            <w:tcW w:w="3001" w:type="dxa"/>
          </w:tcPr>
          <w:p>
            <w:pPr>
              <w:pStyle w:val="TableParagraph"/>
              <w:spacing w:before="18"/>
              <w:ind w:left="35" w:right="1345"/>
              <w:rPr>
                <w:sz w:val="16"/>
              </w:rPr>
            </w:pPr>
            <w:r>
              <w:rPr>
                <w:sz w:val="16"/>
              </w:rPr>
              <w:t>Transfer to held for  sale</w:t>
            </w:r>
            <w:r>
              <w:rPr>
                <w:spacing w:val="3"/>
                <w:sz w:val="16"/>
              </w:rPr>
              <w:t> </w:t>
            </w:r>
            <w:r>
              <w:rPr>
                <w:sz w:val="16"/>
              </w:rPr>
              <w:t>assets</w:t>
            </w:r>
          </w:p>
        </w:tc>
        <w:tc>
          <w:tcPr>
            <w:tcW w:w="832" w:type="dxa"/>
          </w:tcPr>
          <w:p>
            <w:pPr/>
          </w:p>
        </w:tc>
        <w:tc>
          <w:tcPr>
            <w:tcW w:w="534" w:type="dxa"/>
          </w:tcPr>
          <w:p>
            <w:pPr>
              <w:pStyle w:val="TableParagraph"/>
              <w:spacing w:before="5"/>
              <w:rPr>
                <w:b/>
                <w:sz w:val="17"/>
              </w:rPr>
            </w:pPr>
          </w:p>
          <w:p>
            <w:pPr>
              <w:pStyle w:val="TableParagraph"/>
              <w:ind w:right="247"/>
              <w:jc w:val="right"/>
              <w:rPr>
                <w:sz w:val="16"/>
              </w:rPr>
            </w:pPr>
            <w:r>
              <w:rPr>
                <w:w w:val="100"/>
                <w:sz w:val="16"/>
              </w:rPr>
              <w:t>-</w:t>
            </w:r>
          </w:p>
        </w:tc>
        <w:tc>
          <w:tcPr>
            <w:tcW w:w="1221" w:type="dxa"/>
          </w:tcPr>
          <w:p>
            <w:pPr>
              <w:pStyle w:val="TableParagraph"/>
              <w:spacing w:before="5"/>
              <w:rPr>
                <w:b/>
                <w:sz w:val="17"/>
              </w:rPr>
            </w:pPr>
          </w:p>
          <w:p>
            <w:pPr>
              <w:pStyle w:val="TableParagraph"/>
              <w:ind w:right="221"/>
              <w:jc w:val="right"/>
              <w:rPr>
                <w:sz w:val="16"/>
              </w:rPr>
            </w:pPr>
            <w:r>
              <w:rPr>
                <w:sz w:val="16"/>
              </w:rPr>
              <w:t>(687)</w:t>
            </w:r>
          </w:p>
        </w:tc>
        <w:tc>
          <w:tcPr>
            <w:tcW w:w="1238" w:type="dxa"/>
          </w:tcPr>
          <w:p>
            <w:pPr>
              <w:pStyle w:val="TableParagraph"/>
              <w:spacing w:before="5"/>
              <w:rPr>
                <w:b/>
                <w:sz w:val="17"/>
              </w:rPr>
            </w:pPr>
          </w:p>
          <w:p>
            <w:pPr>
              <w:pStyle w:val="TableParagraph"/>
              <w:ind w:right="316"/>
              <w:jc w:val="right"/>
              <w:rPr>
                <w:sz w:val="16"/>
              </w:rPr>
            </w:pPr>
            <w:r>
              <w:rPr>
                <w:w w:val="100"/>
                <w:sz w:val="16"/>
              </w:rPr>
              <w:t>-</w:t>
            </w:r>
          </w:p>
        </w:tc>
        <w:tc>
          <w:tcPr>
            <w:tcW w:w="1111" w:type="dxa"/>
          </w:tcPr>
          <w:p>
            <w:pPr>
              <w:pStyle w:val="TableParagraph"/>
              <w:spacing w:before="5"/>
              <w:rPr>
                <w:b/>
                <w:sz w:val="17"/>
              </w:rPr>
            </w:pPr>
          </w:p>
          <w:p>
            <w:pPr>
              <w:pStyle w:val="TableParagraph"/>
              <w:ind w:right="211"/>
              <w:jc w:val="right"/>
              <w:rPr>
                <w:sz w:val="16"/>
              </w:rPr>
            </w:pPr>
            <w:r>
              <w:rPr>
                <w:sz w:val="16"/>
              </w:rPr>
              <w:t>(5,180)</w:t>
            </w:r>
          </w:p>
        </w:tc>
        <w:tc>
          <w:tcPr>
            <w:tcW w:w="1005" w:type="dxa"/>
          </w:tcPr>
          <w:p>
            <w:pPr>
              <w:pStyle w:val="TableParagraph"/>
              <w:spacing w:before="5"/>
              <w:rPr>
                <w:b/>
                <w:sz w:val="17"/>
              </w:rPr>
            </w:pPr>
          </w:p>
          <w:p>
            <w:pPr>
              <w:pStyle w:val="TableParagraph"/>
              <w:ind w:right="24"/>
              <w:jc w:val="right"/>
              <w:rPr>
                <w:sz w:val="16"/>
              </w:rPr>
            </w:pPr>
            <w:r>
              <w:rPr>
                <w:sz w:val="16"/>
              </w:rPr>
              <w:t>(5,867)</w:t>
            </w:r>
          </w:p>
        </w:tc>
      </w:tr>
      <w:tr>
        <w:trPr>
          <w:trHeight w:val="426" w:hRule="exact"/>
        </w:trPr>
        <w:tc>
          <w:tcPr>
            <w:tcW w:w="3001" w:type="dxa"/>
          </w:tcPr>
          <w:p>
            <w:pPr>
              <w:pStyle w:val="TableParagraph"/>
              <w:spacing w:before="20"/>
              <w:ind w:left="35" w:right="1345"/>
              <w:rPr>
                <w:sz w:val="16"/>
              </w:rPr>
            </w:pPr>
            <w:r>
              <w:rPr>
                <w:sz w:val="16"/>
              </w:rPr>
              <w:t>Recognised in profit or loss*</w:t>
            </w:r>
          </w:p>
        </w:tc>
        <w:tc>
          <w:tcPr>
            <w:tcW w:w="832" w:type="dxa"/>
          </w:tcPr>
          <w:p>
            <w:pPr/>
          </w:p>
        </w:tc>
        <w:tc>
          <w:tcPr>
            <w:tcW w:w="534" w:type="dxa"/>
          </w:tcPr>
          <w:p>
            <w:pPr>
              <w:pStyle w:val="TableParagraph"/>
              <w:spacing w:before="9"/>
              <w:rPr>
                <w:b/>
                <w:sz w:val="17"/>
              </w:rPr>
            </w:pPr>
          </w:p>
          <w:p>
            <w:pPr>
              <w:pStyle w:val="TableParagraph"/>
              <w:ind w:right="247"/>
              <w:jc w:val="right"/>
              <w:rPr>
                <w:sz w:val="16"/>
              </w:rPr>
            </w:pPr>
            <w:r>
              <w:rPr>
                <w:w w:val="100"/>
                <w:sz w:val="16"/>
              </w:rPr>
              <w:t>-</w:t>
            </w:r>
          </w:p>
        </w:tc>
        <w:tc>
          <w:tcPr>
            <w:tcW w:w="1221" w:type="dxa"/>
          </w:tcPr>
          <w:p>
            <w:pPr>
              <w:pStyle w:val="TableParagraph"/>
              <w:spacing w:before="9"/>
              <w:rPr>
                <w:b/>
                <w:sz w:val="17"/>
              </w:rPr>
            </w:pPr>
          </w:p>
          <w:p>
            <w:pPr>
              <w:pStyle w:val="TableParagraph"/>
              <w:ind w:right="221"/>
              <w:jc w:val="right"/>
              <w:rPr>
                <w:sz w:val="16"/>
              </w:rPr>
            </w:pPr>
            <w:r>
              <w:rPr>
                <w:sz w:val="16"/>
              </w:rPr>
              <w:t>(23,179)</w:t>
            </w:r>
          </w:p>
        </w:tc>
        <w:tc>
          <w:tcPr>
            <w:tcW w:w="1238" w:type="dxa"/>
          </w:tcPr>
          <w:p>
            <w:pPr>
              <w:pStyle w:val="TableParagraph"/>
              <w:spacing w:before="9"/>
              <w:rPr>
                <w:b/>
                <w:sz w:val="17"/>
              </w:rPr>
            </w:pPr>
          </w:p>
          <w:p>
            <w:pPr>
              <w:pStyle w:val="TableParagraph"/>
              <w:ind w:right="264"/>
              <w:jc w:val="right"/>
              <w:rPr>
                <w:sz w:val="16"/>
              </w:rPr>
            </w:pPr>
            <w:r>
              <w:rPr>
                <w:sz w:val="16"/>
              </w:rPr>
              <w:t>(3,179)</w:t>
            </w:r>
          </w:p>
        </w:tc>
        <w:tc>
          <w:tcPr>
            <w:tcW w:w="1111" w:type="dxa"/>
          </w:tcPr>
          <w:p>
            <w:pPr>
              <w:pStyle w:val="TableParagraph"/>
              <w:spacing w:before="9"/>
              <w:rPr>
                <w:b/>
                <w:sz w:val="17"/>
              </w:rPr>
            </w:pPr>
          </w:p>
          <w:p>
            <w:pPr>
              <w:pStyle w:val="TableParagraph"/>
              <w:ind w:right="263"/>
              <w:jc w:val="right"/>
              <w:rPr>
                <w:sz w:val="16"/>
              </w:rPr>
            </w:pPr>
            <w:r>
              <w:rPr>
                <w:w w:val="100"/>
                <w:sz w:val="16"/>
              </w:rPr>
              <w:t>-</w:t>
            </w:r>
          </w:p>
        </w:tc>
        <w:tc>
          <w:tcPr>
            <w:tcW w:w="1005" w:type="dxa"/>
          </w:tcPr>
          <w:p>
            <w:pPr>
              <w:pStyle w:val="TableParagraph"/>
              <w:spacing w:before="9"/>
              <w:rPr>
                <w:b/>
                <w:sz w:val="17"/>
              </w:rPr>
            </w:pPr>
          </w:p>
          <w:p>
            <w:pPr>
              <w:pStyle w:val="TableParagraph"/>
              <w:ind w:right="24"/>
              <w:jc w:val="right"/>
              <w:rPr>
                <w:sz w:val="16"/>
              </w:rPr>
            </w:pPr>
            <w:r>
              <w:rPr>
                <w:sz w:val="16"/>
              </w:rPr>
              <w:t>(26,358)</w:t>
            </w:r>
          </w:p>
        </w:tc>
      </w:tr>
      <w:tr>
        <w:trPr>
          <w:trHeight w:val="427" w:hRule="exact"/>
        </w:trPr>
        <w:tc>
          <w:tcPr>
            <w:tcW w:w="3001" w:type="dxa"/>
          </w:tcPr>
          <w:p>
            <w:pPr>
              <w:pStyle w:val="TableParagraph"/>
              <w:spacing w:before="21"/>
              <w:ind w:left="35" w:right="1301"/>
              <w:rPr>
                <w:sz w:val="16"/>
              </w:rPr>
            </w:pPr>
            <w:r>
              <w:rPr>
                <w:sz w:val="16"/>
              </w:rPr>
              <w:t>Recognised in other comprehensive income</w:t>
            </w:r>
          </w:p>
        </w:tc>
        <w:tc>
          <w:tcPr>
            <w:tcW w:w="832" w:type="dxa"/>
            <w:tcBorders>
              <w:bottom w:val="single" w:sz="1" w:space="0" w:color="000000"/>
            </w:tcBorders>
          </w:tcPr>
          <w:p>
            <w:pPr/>
          </w:p>
        </w:tc>
        <w:tc>
          <w:tcPr>
            <w:tcW w:w="534" w:type="dxa"/>
            <w:tcBorders>
              <w:bottom w:val="single" w:sz="1" w:space="0" w:color="000000"/>
            </w:tcBorders>
          </w:tcPr>
          <w:p>
            <w:pPr>
              <w:pStyle w:val="TableParagraph"/>
              <w:spacing w:before="10"/>
              <w:rPr>
                <w:b/>
                <w:sz w:val="17"/>
              </w:rPr>
            </w:pPr>
          </w:p>
          <w:p>
            <w:pPr>
              <w:pStyle w:val="TableParagraph"/>
              <w:ind w:right="248"/>
              <w:jc w:val="right"/>
              <w:rPr>
                <w:sz w:val="16"/>
              </w:rPr>
            </w:pPr>
            <w:r>
              <w:rPr>
                <w:sz w:val="16"/>
              </w:rPr>
              <w:t>34</w:t>
            </w:r>
          </w:p>
        </w:tc>
        <w:tc>
          <w:tcPr>
            <w:tcW w:w="1221" w:type="dxa"/>
            <w:tcBorders>
              <w:bottom w:val="single" w:sz="1" w:space="0" w:color="000000"/>
            </w:tcBorders>
          </w:tcPr>
          <w:p>
            <w:pPr>
              <w:pStyle w:val="TableParagraph"/>
              <w:spacing w:before="10"/>
              <w:rPr>
                <w:b/>
                <w:sz w:val="17"/>
              </w:rPr>
            </w:pPr>
          </w:p>
          <w:p>
            <w:pPr>
              <w:pStyle w:val="TableParagraph"/>
              <w:ind w:right="273"/>
              <w:jc w:val="right"/>
              <w:rPr>
                <w:sz w:val="16"/>
              </w:rPr>
            </w:pPr>
            <w:r>
              <w:rPr>
                <w:sz w:val="16"/>
              </w:rPr>
              <w:t>19,269</w:t>
            </w:r>
          </w:p>
        </w:tc>
        <w:tc>
          <w:tcPr>
            <w:tcW w:w="1238" w:type="dxa"/>
            <w:tcBorders>
              <w:bottom w:val="single" w:sz="1" w:space="0" w:color="000000"/>
            </w:tcBorders>
          </w:tcPr>
          <w:p>
            <w:pPr>
              <w:pStyle w:val="TableParagraph"/>
              <w:spacing w:before="10"/>
              <w:rPr>
                <w:b/>
                <w:sz w:val="17"/>
              </w:rPr>
            </w:pPr>
          </w:p>
          <w:p>
            <w:pPr>
              <w:pStyle w:val="TableParagraph"/>
              <w:ind w:right="317"/>
              <w:jc w:val="right"/>
              <w:rPr>
                <w:sz w:val="16"/>
              </w:rPr>
            </w:pPr>
            <w:r>
              <w:rPr>
                <w:sz w:val="16"/>
              </w:rPr>
              <w:t>14,507</w:t>
            </w:r>
          </w:p>
        </w:tc>
        <w:tc>
          <w:tcPr>
            <w:tcW w:w="1111" w:type="dxa"/>
            <w:tcBorders>
              <w:bottom w:val="single" w:sz="1" w:space="0" w:color="000000"/>
            </w:tcBorders>
          </w:tcPr>
          <w:p>
            <w:pPr>
              <w:pStyle w:val="TableParagraph"/>
              <w:spacing w:before="10"/>
              <w:rPr>
                <w:b/>
                <w:sz w:val="17"/>
              </w:rPr>
            </w:pPr>
          </w:p>
          <w:p>
            <w:pPr>
              <w:pStyle w:val="TableParagraph"/>
              <w:ind w:right="264"/>
              <w:jc w:val="right"/>
              <w:rPr>
                <w:sz w:val="16"/>
              </w:rPr>
            </w:pPr>
            <w:r>
              <w:rPr>
                <w:sz w:val="16"/>
              </w:rPr>
              <w:t>166,482</w:t>
            </w:r>
          </w:p>
        </w:tc>
        <w:tc>
          <w:tcPr>
            <w:tcW w:w="1005" w:type="dxa"/>
            <w:tcBorders>
              <w:bottom w:val="single" w:sz="1" w:space="0" w:color="000000"/>
            </w:tcBorders>
          </w:tcPr>
          <w:p>
            <w:pPr>
              <w:pStyle w:val="TableParagraph"/>
              <w:spacing w:before="10"/>
              <w:rPr>
                <w:b/>
                <w:sz w:val="17"/>
              </w:rPr>
            </w:pPr>
          </w:p>
          <w:p>
            <w:pPr>
              <w:pStyle w:val="TableParagraph"/>
              <w:ind w:right="78"/>
              <w:jc w:val="right"/>
              <w:rPr>
                <w:sz w:val="16"/>
              </w:rPr>
            </w:pPr>
            <w:r>
              <w:rPr>
                <w:sz w:val="16"/>
              </w:rPr>
              <w:t>200,292</w:t>
            </w:r>
          </w:p>
        </w:tc>
      </w:tr>
      <w:tr>
        <w:trPr>
          <w:trHeight w:val="331" w:hRule="exact"/>
        </w:trPr>
        <w:tc>
          <w:tcPr>
            <w:tcW w:w="3001" w:type="dxa"/>
          </w:tcPr>
          <w:p>
            <w:pPr>
              <w:pStyle w:val="TableParagraph"/>
              <w:spacing w:before="124"/>
              <w:ind w:left="35" w:right="1345"/>
              <w:rPr>
                <w:b/>
                <w:sz w:val="16"/>
              </w:rPr>
            </w:pPr>
            <w:r>
              <w:rPr>
                <w:b/>
                <w:sz w:val="16"/>
              </w:rPr>
              <w:t>Closing balance</w:t>
            </w:r>
          </w:p>
        </w:tc>
        <w:tc>
          <w:tcPr>
            <w:tcW w:w="832" w:type="dxa"/>
            <w:tcBorders>
              <w:top w:val="single" w:sz="1" w:space="0" w:color="000000"/>
              <w:bottom w:val="single" w:sz="1" w:space="0" w:color="000000"/>
            </w:tcBorders>
          </w:tcPr>
          <w:p>
            <w:pPr/>
          </w:p>
        </w:tc>
        <w:tc>
          <w:tcPr>
            <w:tcW w:w="534" w:type="dxa"/>
            <w:tcBorders>
              <w:top w:val="single" w:sz="1" w:space="0" w:color="000000"/>
              <w:bottom w:val="single" w:sz="1" w:space="0" w:color="000000"/>
            </w:tcBorders>
          </w:tcPr>
          <w:p>
            <w:pPr>
              <w:pStyle w:val="TableParagraph"/>
              <w:spacing w:before="123"/>
              <w:ind w:right="248"/>
              <w:jc w:val="right"/>
              <w:rPr>
                <w:b/>
                <w:sz w:val="16"/>
              </w:rPr>
            </w:pPr>
            <w:r>
              <w:rPr>
                <w:b/>
                <w:sz w:val="16"/>
              </w:rPr>
              <w:t>337</w:t>
            </w:r>
          </w:p>
        </w:tc>
        <w:tc>
          <w:tcPr>
            <w:tcW w:w="1221" w:type="dxa"/>
            <w:tcBorders>
              <w:top w:val="single" w:sz="1" w:space="0" w:color="000000"/>
              <w:bottom w:val="single" w:sz="1" w:space="0" w:color="000000"/>
            </w:tcBorders>
          </w:tcPr>
          <w:p>
            <w:pPr>
              <w:pStyle w:val="TableParagraph"/>
              <w:spacing w:before="123"/>
              <w:ind w:right="273"/>
              <w:jc w:val="right"/>
              <w:rPr>
                <w:b/>
                <w:sz w:val="16"/>
              </w:rPr>
            </w:pPr>
            <w:r>
              <w:rPr>
                <w:b/>
                <w:sz w:val="16"/>
              </w:rPr>
              <w:t>981,524</w:t>
            </w:r>
          </w:p>
        </w:tc>
        <w:tc>
          <w:tcPr>
            <w:tcW w:w="1238" w:type="dxa"/>
            <w:tcBorders>
              <w:top w:val="single" w:sz="1" w:space="0" w:color="000000"/>
              <w:bottom w:val="single" w:sz="1" w:space="0" w:color="000000"/>
            </w:tcBorders>
          </w:tcPr>
          <w:p>
            <w:pPr>
              <w:pStyle w:val="TableParagraph"/>
              <w:spacing w:before="123"/>
              <w:ind w:right="317"/>
              <w:jc w:val="right"/>
              <w:rPr>
                <w:b/>
                <w:sz w:val="16"/>
              </w:rPr>
            </w:pPr>
            <w:r>
              <w:rPr>
                <w:b/>
                <w:sz w:val="16"/>
              </w:rPr>
              <w:t>109,035</w:t>
            </w:r>
          </w:p>
        </w:tc>
        <w:tc>
          <w:tcPr>
            <w:tcW w:w="1111" w:type="dxa"/>
            <w:tcBorders>
              <w:top w:val="single" w:sz="1" w:space="0" w:color="000000"/>
              <w:bottom w:val="single" w:sz="1" w:space="0" w:color="000000"/>
            </w:tcBorders>
          </w:tcPr>
          <w:p>
            <w:pPr>
              <w:pStyle w:val="TableParagraph"/>
              <w:spacing w:before="123"/>
              <w:ind w:right="264"/>
              <w:jc w:val="right"/>
              <w:rPr>
                <w:b/>
                <w:sz w:val="16"/>
              </w:rPr>
            </w:pPr>
            <w:r>
              <w:rPr>
                <w:b/>
                <w:sz w:val="16"/>
              </w:rPr>
              <w:t>527,334</w:t>
            </w:r>
          </w:p>
        </w:tc>
        <w:tc>
          <w:tcPr>
            <w:tcW w:w="1005" w:type="dxa"/>
            <w:tcBorders>
              <w:top w:val="single" w:sz="1" w:space="0" w:color="000000"/>
              <w:bottom w:val="single" w:sz="1" w:space="0" w:color="000000"/>
            </w:tcBorders>
          </w:tcPr>
          <w:p>
            <w:pPr>
              <w:pStyle w:val="TableParagraph"/>
              <w:spacing w:before="123"/>
              <w:ind w:right="76"/>
              <w:jc w:val="right"/>
              <w:rPr>
                <w:b/>
                <w:sz w:val="16"/>
              </w:rPr>
            </w:pPr>
            <w:r>
              <w:rPr>
                <w:b/>
                <w:sz w:val="16"/>
              </w:rPr>
              <w:t>1,618,230</w:t>
            </w:r>
          </w:p>
        </w:tc>
      </w:tr>
    </w:tbl>
    <w:p>
      <w:pPr>
        <w:pStyle w:val="BodyText"/>
        <w:rPr>
          <w:b/>
          <w:sz w:val="20"/>
        </w:rPr>
      </w:pPr>
    </w:p>
    <w:p>
      <w:pPr>
        <w:pStyle w:val="BodyText"/>
        <w:rPr>
          <w:b/>
          <w:sz w:val="21"/>
        </w:rPr>
      </w:pPr>
    </w:p>
    <w:tbl>
      <w:tblPr>
        <w:tblW w:w="0" w:type="auto"/>
        <w:jc w:val="left"/>
        <w:tblInd w:w="107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01"/>
        <w:gridCol w:w="1307"/>
        <w:gridCol w:w="1118"/>
        <w:gridCol w:w="1352"/>
        <w:gridCol w:w="769"/>
        <w:gridCol w:w="1396"/>
      </w:tblGrid>
      <w:tr>
        <w:trPr>
          <w:trHeight w:val="491" w:hRule="exact"/>
        </w:trPr>
        <w:tc>
          <w:tcPr>
            <w:tcW w:w="3001" w:type="dxa"/>
          </w:tcPr>
          <w:p>
            <w:pPr/>
          </w:p>
        </w:tc>
        <w:tc>
          <w:tcPr>
            <w:tcW w:w="1307" w:type="dxa"/>
          </w:tcPr>
          <w:p>
            <w:pPr>
              <w:pStyle w:val="TableParagraph"/>
              <w:spacing w:before="80"/>
              <w:ind w:left="383" w:right="356" w:hanging="84"/>
              <w:rPr>
                <w:b/>
                <w:sz w:val="16"/>
              </w:rPr>
            </w:pPr>
            <w:r>
              <w:rPr>
                <w:b/>
                <w:sz w:val="16"/>
              </w:rPr>
              <w:t>Unlisted equity</w:t>
            </w:r>
          </w:p>
        </w:tc>
        <w:tc>
          <w:tcPr>
            <w:tcW w:w="4635" w:type="dxa"/>
            <w:gridSpan w:val="4"/>
          </w:tcPr>
          <w:p>
            <w:pPr/>
          </w:p>
        </w:tc>
      </w:tr>
      <w:tr>
        <w:trPr>
          <w:trHeight w:val="434" w:hRule="exact"/>
        </w:trPr>
        <w:tc>
          <w:tcPr>
            <w:tcW w:w="3001" w:type="dxa"/>
          </w:tcPr>
          <w:p>
            <w:pPr>
              <w:pStyle w:val="TableParagraph"/>
              <w:spacing w:before="26"/>
              <w:ind w:left="35" w:right="1514"/>
              <w:rPr>
                <w:b/>
                <w:sz w:val="16"/>
              </w:rPr>
            </w:pPr>
            <w:r>
              <w:rPr>
                <w:b/>
                <w:sz w:val="16"/>
              </w:rPr>
              <w:t>Level 3 Fair Value Measurement 2016</w:t>
            </w:r>
          </w:p>
        </w:tc>
        <w:tc>
          <w:tcPr>
            <w:tcW w:w="1307" w:type="dxa"/>
          </w:tcPr>
          <w:p>
            <w:pPr>
              <w:pStyle w:val="TableParagraph"/>
              <w:spacing w:line="143" w:lineRule="exact"/>
              <w:ind w:left="224" w:right="294"/>
              <w:jc w:val="center"/>
              <w:rPr>
                <w:b/>
                <w:sz w:val="16"/>
              </w:rPr>
            </w:pPr>
            <w:r>
              <w:rPr>
                <w:b/>
                <w:sz w:val="16"/>
              </w:rPr>
              <w:t>securities</w:t>
            </w:r>
          </w:p>
          <w:p>
            <w:pPr>
              <w:pStyle w:val="TableParagraph"/>
              <w:spacing w:before="68"/>
              <w:ind w:left="223" w:right="294"/>
              <w:jc w:val="center"/>
              <w:rPr>
                <w:b/>
                <w:sz w:val="16"/>
              </w:rPr>
            </w:pPr>
            <w:r>
              <w:rPr>
                <w:b/>
                <w:sz w:val="16"/>
              </w:rPr>
              <w:t>$'000</w:t>
            </w:r>
          </w:p>
        </w:tc>
        <w:tc>
          <w:tcPr>
            <w:tcW w:w="1118" w:type="dxa"/>
          </w:tcPr>
          <w:p>
            <w:pPr>
              <w:pStyle w:val="TableParagraph"/>
              <w:spacing w:line="143" w:lineRule="exact"/>
              <w:ind w:left="122" w:right="227"/>
              <w:jc w:val="center"/>
              <w:rPr>
                <w:b/>
                <w:sz w:val="16"/>
              </w:rPr>
            </w:pPr>
            <w:r>
              <w:rPr>
                <w:b/>
                <w:sz w:val="16"/>
              </w:rPr>
              <w:t>Buildings</w:t>
            </w:r>
          </w:p>
          <w:p>
            <w:pPr>
              <w:pStyle w:val="TableParagraph"/>
              <w:spacing w:before="68"/>
              <w:ind w:left="121" w:right="227"/>
              <w:jc w:val="center"/>
              <w:rPr>
                <w:b/>
                <w:sz w:val="16"/>
              </w:rPr>
            </w:pPr>
            <w:r>
              <w:rPr>
                <w:b/>
                <w:sz w:val="16"/>
              </w:rPr>
              <w:t>$'000</w:t>
            </w:r>
          </w:p>
        </w:tc>
        <w:tc>
          <w:tcPr>
            <w:tcW w:w="1352" w:type="dxa"/>
          </w:tcPr>
          <w:p>
            <w:pPr>
              <w:pStyle w:val="TableParagraph"/>
              <w:spacing w:line="143" w:lineRule="exact"/>
              <w:ind w:left="43" w:right="229"/>
              <w:jc w:val="center"/>
              <w:rPr>
                <w:b/>
                <w:sz w:val="16"/>
              </w:rPr>
            </w:pPr>
            <w:r>
              <w:rPr>
                <w:b/>
                <w:sz w:val="16"/>
              </w:rPr>
              <w:t>Infrastructure</w:t>
            </w:r>
          </w:p>
          <w:p>
            <w:pPr>
              <w:pStyle w:val="TableParagraph"/>
              <w:spacing w:before="68"/>
              <w:ind w:left="43" w:right="229"/>
              <w:jc w:val="center"/>
              <w:rPr>
                <w:b/>
                <w:sz w:val="16"/>
              </w:rPr>
            </w:pPr>
            <w:r>
              <w:rPr>
                <w:b/>
                <w:sz w:val="16"/>
              </w:rPr>
              <w:t>$'000</w:t>
            </w:r>
          </w:p>
        </w:tc>
        <w:tc>
          <w:tcPr>
            <w:tcW w:w="769" w:type="dxa"/>
          </w:tcPr>
          <w:p>
            <w:pPr>
              <w:pStyle w:val="TableParagraph"/>
              <w:spacing w:line="143" w:lineRule="exact"/>
              <w:ind w:left="218"/>
              <w:rPr>
                <w:b/>
                <w:sz w:val="16"/>
              </w:rPr>
            </w:pPr>
            <w:r>
              <w:rPr>
                <w:b/>
                <w:sz w:val="16"/>
              </w:rPr>
              <w:t>Land</w:t>
            </w:r>
          </w:p>
          <w:p>
            <w:pPr>
              <w:pStyle w:val="TableParagraph"/>
              <w:spacing w:before="68"/>
              <w:ind w:left="304"/>
              <w:rPr>
                <w:b/>
                <w:sz w:val="16"/>
              </w:rPr>
            </w:pPr>
            <w:r>
              <w:rPr>
                <w:b/>
                <w:sz w:val="16"/>
              </w:rPr>
              <w:t>$'000</w:t>
            </w:r>
          </w:p>
        </w:tc>
        <w:tc>
          <w:tcPr>
            <w:tcW w:w="1396" w:type="dxa"/>
          </w:tcPr>
          <w:p>
            <w:pPr>
              <w:pStyle w:val="TableParagraph"/>
              <w:spacing w:line="143" w:lineRule="exact"/>
              <w:ind w:left="627"/>
              <w:rPr>
                <w:b/>
                <w:sz w:val="16"/>
              </w:rPr>
            </w:pPr>
            <w:r>
              <w:rPr>
                <w:b/>
                <w:sz w:val="16"/>
              </w:rPr>
              <w:t>Total</w:t>
            </w:r>
          </w:p>
          <w:p>
            <w:pPr>
              <w:pStyle w:val="TableParagraph"/>
              <w:spacing w:before="68"/>
              <w:ind w:left="620"/>
              <w:rPr>
                <w:b/>
                <w:sz w:val="16"/>
              </w:rPr>
            </w:pPr>
            <w:r>
              <w:rPr>
                <w:b/>
                <w:sz w:val="16"/>
              </w:rPr>
              <w:t>$'000</w:t>
            </w:r>
          </w:p>
        </w:tc>
      </w:tr>
      <w:tr>
        <w:trPr>
          <w:trHeight w:val="246" w:hRule="exact"/>
        </w:trPr>
        <w:tc>
          <w:tcPr>
            <w:tcW w:w="3001" w:type="dxa"/>
          </w:tcPr>
          <w:p>
            <w:pPr>
              <w:pStyle w:val="TableParagraph"/>
              <w:spacing w:before="26"/>
              <w:ind w:left="35" w:right="1345"/>
              <w:rPr>
                <w:sz w:val="16"/>
              </w:rPr>
            </w:pPr>
            <w:r>
              <w:rPr>
                <w:sz w:val="16"/>
              </w:rPr>
              <w:t>Opening balance</w:t>
            </w:r>
          </w:p>
        </w:tc>
        <w:tc>
          <w:tcPr>
            <w:tcW w:w="1307" w:type="dxa"/>
          </w:tcPr>
          <w:p>
            <w:pPr>
              <w:pStyle w:val="TableParagraph"/>
              <w:spacing w:before="23"/>
              <w:ind w:right="188"/>
              <w:jc w:val="right"/>
              <w:rPr>
                <w:sz w:val="16"/>
              </w:rPr>
            </w:pPr>
            <w:r>
              <w:rPr>
                <w:sz w:val="16"/>
              </w:rPr>
              <w:t>9,500</w:t>
            </w:r>
          </w:p>
        </w:tc>
        <w:tc>
          <w:tcPr>
            <w:tcW w:w="1118" w:type="dxa"/>
          </w:tcPr>
          <w:p>
            <w:pPr>
              <w:pStyle w:val="TableParagraph"/>
              <w:spacing w:before="23"/>
              <w:ind w:right="111"/>
              <w:jc w:val="right"/>
              <w:rPr>
                <w:sz w:val="16"/>
              </w:rPr>
            </w:pPr>
            <w:r>
              <w:rPr>
                <w:sz w:val="16"/>
              </w:rPr>
              <w:t>910,661</w:t>
            </w:r>
          </w:p>
        </w:tc>
        <w:tc>
          <w:tcPr>
            <w:tcW w:w="1352" w:type="dxa"/>
          </w:tcPr>
          <w:p>
            <w:pPr>
              <w:pStyle w:val="TableParagraph"/>
              <w:spacing w:before="23"/>
              <w:ind w:right="269"/>
              <w:jc w:val="right"/>
              <w:rPr>
                <w:sz w:val="16"/>
              </w:rPr>
            </w:pPr>
            <w:r>
              <w:rPr>
                <w:sz w:val="16"/>
              </w:rPr>
              <w:t>85,395</w:t>
            </w:r>
          </w:p>
        </w:tc>
        <w:tc>
          <w:tcPr>
            <w:tcW w:w="769" w:type="dxa"/>
          </w:tcPr>
          <w:p>
            <w:pPr/>
          </w:p>
        </w:tc>
        <w:tc>
          <w:tcPr>
            <w:tcW w:w="1396" w:type="dxa"/>
          </w:tcPr>
          <w:p>
            <w:pPr>
              <w:pStyle w:val="TableParagraph"/>
              <w:tabs>
                <w:tab w:pos="532" w:val="left" w:leader="none"/>
              </w:tabs>
              <w:spacing w:before="23"/>
              <w:ind w:right="6"/>
              <w:jc w:val="center"/>
              <w:rPr>
                <w:sz w:val="16"/>
              </w:rPr>
            </w:pPr>
            <w:r>
              <w:rPr>
                <w:sz w:val="16"/>
              </w:rPr>
              <w:t>-</w:t>
              <w:tab/>
              <w:t>1,005,556</w:t>
            </w:r>
          </w:p>
        </w:tc>
      </w:tr>
      <w:tr>
        <w:trPr>
          <w:trHeight w:val="242" w:hRule="exact"/>
        </w:trPr>
        <w:tc>
          <w:tcPr>
            <w:tcW w:w="3001" w:type="dxa"/>
          </w:tcPr>
          <w:p>
            <w:pPr>
              <w:pStyle w:val="TableParagraph"/>
              <w:spacing w:before="22"/>
              <w:ind w:left="35" w:right="1345"/>
              <w:rPr>
                <w:sz w:val="16"/>
              </w:rPr>
            </w:pPr>
            <w:r>
              <w:rPr>
                <w:sz w:val="16"/>
              </w:rPr>
              <w:t>Acquisitions</w:t>
            </w:r>
          </w:p>
        </w:tc>
        <w:tc>
          <w:tcPr>
            <w:tcW w:w="1307" w:type="dxa"/>
          </w:tcPr>
          <w:p>
            <w:pPr>
              <w:pStyle w:val="TableParagraph"/>
              <w:spacing w:before="20"/>
              <w:ind w:right="188"/>
              <w:jc w:val="right"/>
              <w:rPr>
                <w:sz w:val="16"/>
              </w:rPr>
            </w:pPr>
            <w:r>
              <w:rPr>
                <w:w w:val="100"/>
                <w:sz w:val="16"/>
              </w:rPr>
              <w:t>-</w:t>
            </w:r>
          </w:p>
        </w:tc>
        <w:tc>
          <w:tcPr>
            <w:tcW w:w="1118" w:type="dxa"/>
          </w:tcPr>
          <w:p>
            <w:pPr>
              <w:pStyle w:val="TableParagraph"/>
              <w:spacing w:before="20"/>
              <w:ind w:right="111"/>
              <w:jc w:val="right"/>
              <w:rPr>
                <w:sz w:val="16"/>
              </w:rPr>
            </w:pPr>
            <w:r>
              <w:rPr>
                <w:sz w:val="16"/>
              </w:rPr>
              <w:t>54,304</w:t>
            </w:r>
          </w:p>
        </w:tc>
        <w:tc>
          <w:tcPr>
            <w:tcW w:w="1352" w:type="dxa"/>
          </w:tcPr>
          <w:p>
            <w:pPr>
              <w:pStyle w:val="TableParagraph"/>
              <w:spacing w:before="20"/>
              <w:ind w:right="269"/>
              <w:jc w:val="right"/>
              <w:rPr>
                <w:sz w:val="16"/>
              </w:rPr>
            </w:pPr>
            <w:r>
              <w:rPr>
                <w:sz w:val="16"/>
              </w:rPr>
              <w:t>11,674</w:t>
            </w:r>
          </w:p>
        </w:tc>
        <w:tc>
          <w:tcPr>
            <w:tcW w:w="769" w:type="dxa"/>
          </w:tcPr>
          <w:p>
            <w:pPr/>
          </w:p>
        </w:tc>
        <w:tc>
          <w:tcPr>
            <w:tcW w:w="1396" w:type="dxa"/>
          </w:tcPr>
          <w:p>
            <w:pPr>
              <w:pStyle w:val="TableParagraph"/>
              <w:tabs>
                <w:tab w:pos="755" w:val="left" w:leader="none"/>
              </w:tabs>
              <w:spacing w:before="20"/>
              <w:ind w:right="6"/>
              <w:jc w:val="center"/>
              <w:rPr>
                <w:sz w:val="16"/>
              </w:rPr>
            </w:pPr>
            <w:r>
              <w:rPr>
                <w:sz w:val="16"/>
              </w:rPr>
              <w:t>-</w:t>
              <w:tab/>
              <w:t>65,978</w:t>
            </w:r>
          </w:p>
        </w:tc>
      </w:tr>
      <w:tr>
        <w:trPr>
          <w:trHeight w:val="241" w:hRule="exact"/>
        </w:trPr>
        <w:tc>
          <w:tcPr>
            <w:tcW w:w="3001" w:type="dxa"/>
          </w:tcPr>
          <w:p>
            <w:pPr>
              <w:pStyle w:val="TableParagraph"/>
              <w:spacing w:before="20"/>
              <w:ind w:left="35"/>
              <w:rPr>
                <w:sz w:val="16"/>
              </w:rPr>
            </w:pPr>
            <w:r>
              <w:rPr>
                <w:sz w:val="16"/>
              </w:rPr>
              <w:t>Transfers out of level 3</w:t>
            </w:r>
          </w:p>
        </w:tc>
        <w:tc>
          <w:tcPr>
            <w:tcW w:w="1307" w:type="dxa"/>
          </w:tcPr>
          <w:p>
            <w:pPr>
              <w:pStyle w:val="TableParagraph"/>
              <w:spacing w:before="20"/>
              <w:ind w:right="135"/>
              <w:jc w:val="right"/>
              <w:rPr>
                <w:sz w:val="16"/>
              </w:rPr>
            </w:pPr>
            <w:r>
              <w:rPr>
                <w:sz w:val="16"/>
              </w:rPr>
              <w:t>(11,027)</w:t>
            </w:r>
          </w:p>
        </w:tc>
        <w:tc>
          <w:tcPr>
            <w:tcW w:w="1118" w:type="dxa"/>
          </w:tcPr>
          <w:p>
            <w:pPr>
              <w:pStyle w:val="TableParagraph"/>
              <w:spacing w:before="20"/>
              <w:ind w:right="111"/>
              <w:jc w:val="right"/>
              <w:rPr>
                <w:sz w:val="16"/>
              </w:rPr>
            </w:pPr>
            <w:r>
              <w:rPr>
                <w:w w:val="100"/>
                <w:sz w:val="16"/>
              </w:rPr>
              <w:t>-</w:t>
            </w:r>
          </w:p>
        </w:tc>
        <w:tc>
          <w:tcPr>
            <w:tcW w:w="1352" w:type="dxa"/>
          </w:tcPr>
          <w:p>
            <w:pPr>
              <w:pStyle w:val="TableParagraph"/>
              <w:spacing w:before="20"/>
              <w:ind w:right="268"/>
              <w:jc w:val="right"/>
              <w:rPr>
                <w:sz w:val="16"/>
              </w:rPr>
            </w:pPr>
            <w:r>
              <w:rPr>
                <w:w w:val="100"/>
                <w:sz w:val="16"/>
              </w:rPr>
              <w:t>-</w:t>
            </w:r>
          </w:p>
        </w:tc>
        <w:tc>
          <w:tcPr>
            <w:tcW w:w="769" w:type="dxa"/>
          </w:tcPr>
          <w:p>
            <w:pPr/>
          </w:p>
        </w:tc>
        <w:tc>
          <w:tcPr>
            <w:tcW w:w="1396" w:type="dxa"/>
          </w:tcPr>
          <w:p>
            <w:pPr>
              <w:pStyle w:val="TableParagraph"/>
              <w:tabs>
                <w:tab w:pos="747" w:val="left" w:leader="none"/>
              </w:tabs>
              <w:spacing w:before="20"/>
              <w:ind w:left="44"/>
              <w:jc w:val="center"/>
              <w:rPr>
                <w:sz w:val="16"/>
              </w:rPr>
            </w:pPr>
            <w:r>
              <w:rPr>
                <w:sz w:val="16"/>
              </w:rPr>
              <w:t>-</w:t>
              <w:tab/>
              <w:t>(11,027)</w:t>
            </w:r>
          </w:p>
        </w:tc>
      </w:tr>
      <w:tr>
        <w:trPr>
          <w:trHeight w:val="244" w:hRule="exact"/>
        </w:trPr>
        <w:tc>
          <w:tcPr>
            <w:tcW w:w="3001" w:type="dxa"/>
          </w:tcPr>
          <w:p>
            <w:pPr>
              <w:pStyle w:val="TableParagraph"/>
              <w:spacing w:before="23"/>
              <w:ind w:left="35" w:right="1345"/>
              <w:rPr>
                <w:sz w:val="16"/>
              </w:rPr>
            </w:pPr>
            <w:r>
              <w:rPr>
                <w:sz w:val="16"/>
              </w:rPr>
              <w:t>Disposals</w:t>
            </w:r>
          </w:p>
        </w:tc>
        <w:tc>
          <w:tcPr>
            <w:tcW w:w="1307" w:type="dxa"/>
          </w:tcPr>
          <w:p>
            <w:pPr>
              <w:pStyle w:val="TableParagraph"/>
              <w:spacing w:before="21"/>
              <w:ind w:right="188"/>
              <w:jc w:val="right"/>
              <w:rPr>
                <w:sz w:val="16"/>
              </w:rPr>
            </w:pPr>
            <w:r>
              <w:rPr>
                <w:w w:val="100"/>
                <w:sz w:val="16"/>
              </w:rPr>
              <w:t>-</w:t>
            </w:r>
          </w:p>
        </w:tc>
        <w:tc>
          <w:tcPr>
            <w:tcW w:w="1118" w:type="dxa"/>
          </w:tcPr>
          <w:p>
            <w:pPr>
              <w:pStyle w:val="TableParagraph"/>
              <w:spacing w:before="21"/>
              <w:ind w:right="59"/>
              <w:jc w:val="right"/>
              <w:rPr>
                <w:sz w:val="16"/>
              </w:rPr>
            </w:pPr>
            <w:r>
              <w:rPr>
                <w:sz w:val="16"/>
              </w:rPr>
              <w:t>(758)</w:t>
            </w:r>
          </w:p>
        </w:tc>
        <w:tc>
          <w:tcPr>
            <w:tcW w:w="1352" w:type="dxa"/>
          </w:tcPr>
          <w:p>
            <w:pPr>
              <w:pStyle w:val="TableParagraph"/>
              <w:spacing w:before="21"/>
              <w:ind w:right="268"/>
              <w:jc w:val="right"/>
              <w:rPr>
                <w:sz w:val="16"/>
              </w:rPr>
            </w:pPr>
            <w:r>
              <w:rPr>
                <w:w w:val="100"/>
                <w:sz w:val="16"/>
              </w:rPr>
              <w:t>-</w:t>
            </w:r>
          </w:p>
        </w:tc>
        <w:tc>
          <w:tcPr>
            <w:tcW w:w="769" w:type="dxa"/>
          </w:tcPr>
          <w:p>
            <w:pPr/>
          </w:p>
        </w:tc>
        <w:tc>
          <w:tcPr>
            <w:tcW w:w="1396" w:type="dxa"/>
          </w:tcPr>
          <w:p>
            <w:pPr>
              <w:pStyle w:val="TableParagraph"/>
              <w:tabs>
                <w:tab w:pos="970" w:val="left" w:leader="none"/>
              </w:tabs>
              <w:spacing w:before="21"/>
              <w:ind w:left="44"/>
              <w:jc w:val="center"/>
              <w:rPr>
                <w:sz w:val="16"/>
              </w:rPr>
            </w:pPr>
            <w:r>
              <w:rPr>
                <w:sz w:val="16"/>
              </w:rPr>
              <w:t>-</w:t>
              <w:tab/>
              <w:t>(758)</w:t>
            </w:r>
          </w:p>
        </w:tc>
      </w:tr>
      <w:tr>
        <w:trPr>
          <w:trHeight w:val="426" w:hRule="exact"/>
        </w:trPr>
        <w:tc>
          <w:tcPr>
            <w:tcW w:w="3001" w:type="dxa"/>
          </w:tcPr>
          <w:p>
            <w:pPr>
              <w:pStyle w:val="TableParagraph"/>
              <w:spacing w:before="20"/>
              <w:ind w:left="35" w:right="1594"/>
              <w:rPr>
                <w:sz w:val="16"/>
              </w:rPr>
            </w:pPr>
            <w:r>
              <w:rPr>
                <w:sz w:val="16"/>
              </w:rPr>
              <w:t>Transfer to held for sale assets</w:t>
            </w:r>
          </w:p>
        </w:tc>
        <w:tc>
          <w:tcPr>
            <w:tcW w:w="1307" w:type="dxa"/>
          </w:tcPr>
          <w:p>
            <w:pPr>
              <w:pStyle w:val="TableParagraph"/>
              <w:spacing w:before="9"/>
              <w:rPr>
                <w:b/>
                <w:sz w:val="17"/>
              </w:rPr>
            </w:pPr>
          </w:p>
          <w:p>
            <w:pPr>
              <w:pStyle w:val="TableParagraph"/>
              <w:ind w:right="188"/>
              <w:jc w:val="right"/>
              <w:rPr>
                <w:sz w:val="16"/>
              </w:rPr>
            </w:pPr>
            <w:r>
              <w:rPr>
                <w:w w:val="100"/>
                <w:sz w:val="16"/>
              </w:rPr>
              <w:t>-</w:t>
            </w:r>
          </w:p>
        </w:tc>
        <w:tc>
          <w:tcPr>
            <w:tcW w:w="1118" w:type="dxa"/>
          </w:tcPr>
          <w:p>
            <w:pPr>
              <w:pStyle w:val="TableParagraph"/>
              <w:spacing w:before="9"/>
              <w:rPr>
                <w:b/>
                <w:sz w:val="17"/>
              </w:rPr>
            </w:pPr>
          </w:p>
          <w:p>
            <w:pPr>
              <w:pStyle w:val="TableParagraph"/>
              <w:ind w:right="111"/>
              <w:jc w:val="right"/>
              <w:rPr>
                <w:sz w:val="16"/>
              </w:rPr>
            </w:pPr>
            <w:r>
              <w:rPr>
                <w:w w:val="100"/>
                <w:sz w:val="16"/>
              </w:rPr>
              <w:t>-</w:t>
            </w:r>
          </w:p>
        </w:tc>
        <w:tc>
          <w:tcPr>
            <w:tcW w:w="1352" w:type="dxa"/>
          </w:tcPr>
          <w:p>
            <w:pPr>
              <w:pStyle w:val="TableParagraph"/>
              <w:spacing w:before="9"/>
              <w:rPr>
                <w:b/>
                <w:sz w:val="17"/>
              </w:rPr>
            </w:pPr>
          </w:p>
          <w:p>
            <w:pPr>
              <w:pStyle w:val="TableParagraph"/>
              <w:ind w:right="216"/>
              <w:jc w:val="right"/>
              <w:rPr>
                <w:sz w:val="16"/>
              </w:rPr>
            </w:pPr>
            <w:r>
              <w:rPr>
                <w:sz w:val="16"/>
              </w:rPr>
              <w:t>(5,171)</w:t>
            </w:r>
          </w:p>
        </w:tc>
        <w:tc>
          <w:tcPr>
            <w:tcW w:w="769" w:type="dxa"/>
          </w:tcPr>
          <w:p>
            <w:pPr/>
          </w:p>
        </w:tc>
        <w:tc>
          <w:tcPr>
            <w:tcW w:w="1396" w:type="dxa"/>
          </w:tcPr>
          <w:p>
            <w:pPr>
              <w:pStyle w:val="TableParagraph"/>
              <w:spacing w:before="9"/>
              <w:rPr>
                <w:b/>
                <w:sz w:val="17"/>
              </w:rPr>
            </w:pPr>
          </w:p>
          <w:p>
            <w:pPr>
              <w:pStyle w:val="TableParagraph"/>
              <w:tabs>
                <w:tab w:pos="836" w:val="left" w:leader="none"/>
              </w:tabs>
              <w:ind w:left="44"/>
              <w:jc w:val="center"/>
              <w:rPr>
                <w:sz w:val="16"/>
              </w:rPr>
            </w:pPr>
            <w:r>
              <w:rPr>
                <w:sz w:val="16"/>
              </w:rPr>
              <w:t>-</w:t>
              <w:tab/>
              <w:t>(5,171)</w:t>
            </w:r>
          </w:p>
        </w:tc>
      </w:tr>
      <w:tr>
        <w:trPr>
          <w:trHeight w:val="427" w:hRule="exact"/>
        </w:trPr>
        <w:tc>
          <w:tcPr>
            <w:tcW w:w="3001" w:type="dxa"/>
          </w:tcPr>
          <w:p>
            <w:pPr>
              <w:pStyle w:val="TableParagraph"/>
              <w:spacing w:before="21"/>
              <w:ind w:left="35" w:right="1345"/>
              <w:rPr>
                <w:sz w:val="16"/>
              </w:rPr>
            </w:pPr>
            <w:r>
              <w:rPr>
                <w:sz w:val="16"/>
              </w:rPr>
              <w:t>Recognised in profit or loss*</w:t>
            </w:r>
          </w:p>
        </w:tc>
        <w:tc>
          <w:tcPr>
            <w:tcW w:w="1307" w:type="dxa"/>
          </w:tcPr>
          <w:p>
            <w:pPr>
              <w:pStyle w:val="TableParagraph"/>
              <w:spacing w:before="10"/>
              <w:rPr>
                <w:b/>
                <w:sz w:val="17"/>
              </w:rPr>
            </w:pPr>
          </w:p>
          <w:p>
            <w:pPr>
              <w:pStyle w:val="TableParagraph"/>
              <w:ind w:right="188"/>
              <w:jc w:val="right"/>
              <w:rPr>
                <w:sz w:val="16"/>
              </w:rPr>
            </w:pPr>
            <w:r>
              <w:rPr>
                <w:w w:val="100"/>
                <w:sz w:val="16"/>
              </w:rPr>
              <w:t>-</w:t>
            </w:r>
          </w:p>
        </w:tc>
        <w:tc>
          <w:tcPr>
            <w:tcW w:w="1118" w:type="dxa"/>
          </w:tcPr>
          <w:p>
            <w:pPr>
              <w:pStyle w:val="TableParagraph"/>
              <w:spacing w:before="10"/>
              <w:rPr>
                <w:b/>
                <w:sz w:val="17"/>
              </w:rPr>
            </w:pPr>
          </w:p>
          <w:p>
            <w:pPr>
              <w:pStyle w:val="TableParagraph"/>
              <w:ind w:right="59"/>
              <w:jc w:val="right"/>
              <w:rPr>
                <w:sz w:val="16"/>
              </w:rPr>
            </w:pPr>
            <w:r>
              <w:rPr>
                <w:sz w:val="16"/>
              </w:rPr>
              <w:t>(23,172)</w:t>
            </w:r>
          </w:p>
        </w:tc>
        <w:tc>
          <w:tcPr>
            <w:tcW w:w="1352" w:type="dxa"/>
          </w:tcPr>
          <w:p>
            <w:pPr>
              <w:pStyle w:val="TableParagraph"/>
              <w:spacing w:before="10"/>
              <w:rPr>
                <w:b/>
                <w:sz w:val="17"/>
              </w:rPr>
            </w:pPr>
          </w:p>
          <w:p>
            <w:pPr>
              <w:pStyle w:val="TableParagraph"/>
              <w:ind w:right="216"/>
              <w:jc w:val="right"/>
              <w:rPr>
                <w:sz w:val="16"/>
              </w:rPr>
            </w:pPr>
            <w:r>
              <w:rPr>
                <w:sz w:val="16"/>
              </w:rPr>
              <w:t>(2,752)</w:t>
            </w:r>
          </w:p>
        </w:tc>
        <w:tc>
          <w:tcPr>
            <w:tcW w:w="769" w:type="dxa"/>
          </w:tcPr>
          <w:p>
            <w:pPr/>
          </w:p>
        </w:tc>
        <w:tc>
          <w:tcPr>
            <w:tcW w:w="1396" w:type="dxa"/>
          </w:tcPr>
          <w:p>
            <w:pPr>
              <w:pStyle w:val="TableParagraph"/>
              <w:spacing w:before="10"/>
              <w:rPr>
                <w:b/>
                <w:sz w:val="17"/>
              </w:rPr>
            </w:pPr>
          </w:p>
          <w:p>
            <w:pPr>
              <w:pStyle w:val="TableParagraph"/>
              <w:tabs>
                <w:tab w:pos="747" w:val="left" w:leader="none"/>
              </w:tabs>
              <w:ind w:left="44"/>
              <w:jc w:val="center"/>
              <w:rPr>
                <w:sz w:val="16"/>
              </w:rPr>
            </w:pPr>
            <w:r>
              <w:rPr>
                <w:sz w:val="16"/>
              </w:rPr>
              <w:t>-</w:t>
              <w:tab/>
              <w:t>(25,924)</w:t>
            </w:r>
          </w:p>
        </w:tc>
      </w:tr>
      <w:tr>
        <w:trPr>
          <w:trHeight w:val="427" w:hRule="exact"/>
        </w:trPr>
        <w:tc>
          <w:tcPr>
            <w:tcW w:w="3001" w:type="dxa"/>
          </w:tcPr>
          <w:p>
            <w:pPr>
              <w:pStyle w:val="TableParagraph"/>
              <w:spacing w:before="21"/>
              <w:ind w:left="35" w:right="1301"/>
              <w:rPr>
                <w:sz w:val="16"/>
              </w:rPr>
            </w:pPr>
            <w:r>
              <w:rPr>
                <w:sz w:val="16"/>
              </w:rPr>
              <w:t>Recognised in other comprehensive income</w:t>
            </w:r>
          </w:p>
        </w:tc>
        <w:tc>
          <w:tcPr>
            <w:tcW w:w="1307" w:type="dxa"/>
            <w:tcBorders>
              <w:bottom w:val="single" w:sz="1" w:space="0" w:color="000000"/>
            </w:tcBorders>
          </w:tcPr>
          <w:p>
            <w:pPr>
              <w:pStyle w:val="TableParagraph"/>
              <w:spacing w:before="10"/>
              <w:rPr>
                <w:b/>
                <w:sz w:val="17"/>
              </w:rPr>
            </w:pPr>
          </w:p>
          <w:p>
            <w:pPr>
              <w:pStyle w:val="TableParagraph"/>
              <w:ind w:right="188"/>
              <w:jc w:val="right"/>
              <w:rPr>
                <w:sz w:val="16"/>
              </w:rPr>
            </w:pPr>
            <w:r>
              <w:rPr>
                <w:sz w:val="16"/>
              </w:rPr>
              <w:t>1,830</w:t>
            </w:r>
          </w:p>
        </w:tc>
        <w:tc>
          <w:tcPr>
            <w:tcW w:w="1118" w:type="dxa"/>
            <w:tcBorders>
              <w:bottom w:val="single" w:sz="1" w:space="0" w:color="000000"/>
            </w:tcBorders>
          </w:tcPr>
          <w:p>
            <w:pPr>
              <w:pStyle w:val="TableParagraph"/>
              <w:spacing w:before="10"/>
              <w:rPr>
                <w:b/>
                <w:sz w:val="17"/>
              </w:rPr>
            </w:pPr>
          </w:p>
          <w:p>
            <w:pPr>
              <w:pStyle w:val="TableParagraph"/>
              <w:ind w:right="111"/>
              <w:jc w:val="right"/>
              <w:rPr>
                <w:sz w:val="16"/>
              </w:rPr>
            </w:pPr>
            <w:r>
              <w:rPr>
                <w:sz w:val="16"/>
              </w:rPr>
              <w:t>19,722</w:t>
            </w:r>
          </w:p>
        </w:tc>
        <w:tc>
          <w:tcPr>
            <w:tcW w:w="1352" w:type="dxa"/>
            <w:tcBorders>
              <w:bottom w:val="single" w:sz="1" w:space="0" w:color="000000"/>
            </w:tcBorders>
          </w:tcPr>
          <w:p>
            <w:pPr>
              <w:pStyle w:val="TableParagraph"/>
              <w:spacing w:before="10"/>
              <w:rPr>
                <w:b/>
                <w:sz w:val="17"/>
              </w:rPr>
            </w:pPr>
          </w:p>
          <w:p>
            <w:pPr>
              <w:pStyle w:val="TableParagraph"/>
              <w:ind w:right="268"/>
              <w:jc w:val="right"/>
              <w:rPr>
                <w:sz w:val="16"/>
              </w:rPr>
            </w:pPr>
            <w:r>
              <w:rPr>
                <w:sz w:val="16"/>
              </w:rPr>
              <w:t>2,203</w:t>
            </w:r>
          </w:p>
        </w:tc>
        <w:tc>
          <w:tcPr>
            <w:tcW w:w="769" w:type="dxa"/>
            <w:tcBorders>
              <w:bottom w:val="single" w:sz="1" w:space="0" w:color="000000"/>
            </w:tcBorders>
          </w:tcPr>
          <w:p>
            <w:pPr/>
          </w:p>
        </w:tc>
        <w:tc>
          <w:tcPr>
            <w:tcW w:w="1396" w:type="dxa"/>
            <w:tcBorders>
              <w:bottom w:val="single" w:sz="1" w:space="0" w:color="000000"/>
            </w:tcBorders>
          </w:tcPr>
          <w:p>
            <w:pPr>
              <w:pStyle w:val="TableParagraph"/>
              <w:spacing w:before="10"/>
              <w:rPr>
                <w:b/>
                <w:sz w:val="17"/>
              </w:rPr>
            </w:pPr>
          </w:p>
          <w:p>
            <w:pPr>
              <w:pStyle w:val="TableParagraph"/>
              <w:tabs>
                <w:tab w:pos="755" w:val="left" w:leader="none"/>
              </w:tabs>
              <w:ind w:right="6"/>
              <w:jc w:val="center"/>
              <w:rPr>
                <w:sz w:val="16"/>
              </w:rPr>
            </w:pPr>
            <w:r>
              <w:rPr>
                <w:sz w:val="16"/>
              </w:rPr>
              <w:t>-</w:t>
              <w:tab/>
              <w:t>23,755</w:t>
            </w:r>
          </w:p>
        </w:tc>
      </w:tr>
      <w:tr>
        <w:trPr>
          <w:trHeight w:val="331" w:hRule="exact"/>
        </w:trPr>
        <w:tc>
          <w:tcPr>
            <w:tcW w:w="3001" w:type="dxa"/>
          </w:tcPr>
          <w:p>
            <w:pPr>
              <w:pStyle w:val="TableParagraph"/>
              <w:spacing w:before="124"/>
              <w:ind w:left="35" w:right="1345"/>
              <w:rPr>
                <w:b/>
                <w:sz w:val="16"/>
              </w:rPr>
            </w:pPr>
            <w:r>
              <w:rPr>
                <w:b/>
                <w:sz w:val="16"/>
              </w:rPr>
              <w:t>Closing balance</w:t>
            </w:r>
          </w:p>
        </w:tc>
        <w:tc>
          <w:tcPr>
            <w:tcW w:w="1307" w:type="dxa"/>
            <w:tcBorders>
              <w:top w:val="single" w:sz="1" w:space="0" w:color="000000"/>
              <w:bottom w:val="single" w:sz="1" w:space="0" w:color="000000"/>
            </w:tcBorders>
          </w:tcPr>
          <w:p>
            <w:pPr>
              <w:pStyle w:val="TableParagraph"/>
              <w:spacing w:before="123"/>
              <w:ind w:right="188"/>
              <w:jc w:val="right"/>
              <w:rPr>
                <w:sz w:val="16"/>
              </w:rPr>
            </w:pPr>
            <w:r>
              <w:rPr>
                <w:sz w:val="16"/>
              </w:rPr>
              <w:t>303</w:t>
            </w:r>
          </w:p>
        </w:tc>
        <w:tc>
          <w:tcPr>
            <w:tcW w:w="1118" w:type="dxa"/>
            <w:tcBorders>
              <w:top w:val="single" w:sz="1" w:space="0" w:color="000000"/>
              <w:bottom w:val="single" w:sz="1" w:space="0" w:color="000000"/>
            </w:tcBorders>
          </w:tcPr>
          <w:p>
            <w:pPr>
              <w:pStyle w:val="TableParagraph"/>
              <w:spacing w:before="123"/>
              <w:ind w:right="111"/>
              <w:jc w:val="right"/>
              <w:rPr>
                <w:sz w:val="16"/>
              </w:rPr>
            </w:pPr>
            <w:r>
              <w:rPr>
                <w:sz w:val="16"/>
              </w:rPr>
              <w:t>960,757</w:t>
            </w:r>
          </w:p>
        </w:tc>
        <w:tc>
          <w:tcPr>
            <w:tcW w:w="1352" w:type="dxa"/>
            <w:tcBorders>
              <w:top w:val="single" w:sz="1" w:space="0" w:color="000000"/>
              <w:bottom w:val="single" w:sz="1" w:space="0" w:color="000000"/>
            </w:tcBorders>
          </w:tcPr>
          <w:p>
            <w:pPr>
              <w:pStyle w:val="TableParagraph"/>
              <w:spacing w:before="123"/>
              <w:ind w:right="269"/>
              <w:jc w:val="right"/>
              <w:rPr>
                <w:sz w:val="16"/>
              </w:rPr>
            </w:pPr>
            <w:r>
              <w:rPr>
                <w:sz w:val="16"/>
              </w:rPr>
              <w:t>91,349</w:t>
            </w:r>
          </w:p>
        </w:tc>
        <w:tc>
          <w:tcPr>
            <w:tcW w:w="769" w:type="dxa"/>
            <w:tcBorders>
              <w:top w:val="single" w:sz="1" w:space="0" w:color="000000"/>
              <w:bottom w:val="single" w:sz="1" w:space="0" w:color="000000"/>
            </w:tcBorders>
          </w:tcPr>
          <w:p>
            <w:pPr/>
          </w:p>
        </w:tc>
        <w:tc>
          <w:tcPr>
            <w:tcW w:w="1396" w:type="dxa"/>
            <w:tcBorders>
              <w:top w:val="single" w:sz="1" w:space="0" w:color="000000"/>
              <w:bottom w:val="single" w:sz="1" w:space="0" w:color="000000"/>
            </w:tcBorders>
          </w:tcPr>
          <w:p>
            <w:pPr>
              <w:pStyle w:val="TableParagraph"/>
              <w:tabs>
                <w:tab w:pos="532" w:val="left" w:leader="none"/>
              </w:tabs>
              <w:spacing w:before="123"/>
              <w:ind w:right="6"/>
              <w:jc w:val="center"/>
              <w:rPr>
                <w:sz w:val="16"/>
              </w:rPr>
            </w:pPr>
            <w:r>
              <w:rPr>
                <w:sz w:val="16"/>
              </w:rPr>
              <w:t>-</w:t>
              <w:tab/>
              <w:t>1,052,409</w:t>
            </w:r>
          </w:p>
        </w:tc>
      </w:tr>
    </w:tbl>
    <w:p>
      <w:pPr>
        <w:pStyle w:val="BodyText"/>
        <w:spacing w:before="5"/>
        <w:rPr>
          <w:b/>
          <w:sz w:val="20"/>
        </w:rPr>
      </w:pPr>
    </w:p>
    <w:p>
      <w:pPr>
        <w:pStyle w:val="BodyText"/>
        <w:spacing w:before="77"/>
        <w:ind w:left="1070" w:right="94"/>
      </w:pPr>
      <w:r>
        <w:rPr/>
        <w:t>* This includes nil gains / (losses) (2016: Nil) attributable to the change in unrealised gains / (losses) recognised in profit or loss attributable to unlisted securities, and $26.358M (2016: $25.924M) attributable to depreciation recognised in profit or loss.</w:t>
      </w:r>
    </w:p>
    <w:p>
      <w:pPr>
        <w:pStyle w:val="BodyText"/>
        <w:spacing w:before="11"/>
        <w:rPr>
          <w:sz w:val="24"/>
        </w:rPr>
      </w:pPr>
    </w:p>
    <w:p>
      <w:pPr>
        <w:pStyle w:val="ListParagraph"/>
        <w:numPr>
          <w:ilvl w:val="1"/>
          <w:numId w:val="40"/>
        </w:numPr>
        <w:tabs>
          <w:tab w:pos="1282" w:val="left" w:leader="none"/>
        </w:tabs>
        <w:spacing w:line="240" w:lineRule="auto" w:before="0" w:after="0"/>
        <w:ind w:left="1281" w:right="0" w:hanging="211"/>
        <w:jc w:val="left"/>
        <w:rPr>
          <w:sz w:val="18"/>
        </w:rPr>
      </w:pPr>
      <w:r>
        <w:rPr>
          <w:sz w:val="18"/>
        </w:rPr>
        <w:t>Transfers between levels 2 and 3 and changes in valuation</w:t>
      </w:r>
      <w:r>
        <w:rPr>
          <w:spacing w:val="8"/>
          <w:sz w:val="18"/>
        </w:rPr>
        <w:t> </w:t>
      </w:r>
      <w:r>
        <w:rPr>
          <w:sz w:val="18"/>
        </w:rPr>
        <w:t>techniques</w:t>
      </w:r>
    </w:p>
    <w:p>
      <w:pPr>
        <w:pStyle w:val="BodyText"/>
        <w:spacing w:before="11"/>
        <w:rPr>
          <w:sz w:val="24"/>
        </w:rPr>
      </w:pPr>
    </w:p>
    <w:p>
      <w:pPr>
        <w:pStyle w:val="BodyText"/>
        <w:ind w:left="1070" w:right="252"/>
      </w:pPr>
      <w:r>
        <w:rPr/>
        <w:t>Due to the availability of observable market data, the University transferred the value of one of its investments in unlisted securities from level 3 to level 2 at the end of 2016.</w:t>
      </w:r>
    </w:p>
    <w:p>
      <w:pPr>
        <w:pStyle w:val="BodyText"/>
        <w:spacing w:before="11"/>
        <w:rPr>
          <w:sz w:val="24"/>
        </w:rPr>
      </w:pPr>
    </w:p>
    <w:p>
      <w:pPr>
        <w:pStyle w:val="BodyText"/>
        <w:ind w:left="1070" w:right="161"/>
      </w:pPr>
      <w:r>
        <w:rPr/>
        <w:t>As a result of new valuer being appointed and their position on the recommended fair value hierarchies the University has transferred all land from level 2 to level 3, with the exception of residential land holdings.</w:t>
      </w:r>
    </w:p>
    <w:p>
      <w:pPr>
        <w:spacing w:after="0"/>
        <w:sectPr>
          <w:pgSz w:w="11910" w:h="16840"/>
          <w:pgMar w:header="1037" w:footer="507" w:top="2220" w:bottom="700" w:left="900" w:right="860"/>
        </w:sectPr>
      </w:pPr>
    </w:p>
    <w:p>
      <w:pPr>
        <w:pStyle w:val="BodyText"/>
        <w:rPr>
          <w:sz w:val="20"/>
        </w:rPr>
      </w:pPr>
    </w:p>
    <w:p>
      <w:pPr>
        <w:pStyle w:val="BodyText"/>
        <w:rPr>
          <w:sz w:val="20"/>
        </w:rPr>
      </w:pPr>
    </w:p>
    <w:p>
      <w:pPr>
        <w:pStyle w:val="BodyText"/>
        <w:spacing w:before="5"/>
      </w:pPr>
    </w:p>
    <w:p>
      <w:pPr>
        <w:pStyle w:val="Heading9"/>
        <w:tabs>
          <w:tab w:pos="1070" w:val="left" w:leader="none"/>
        </w:tabs>
        <w:ind w:left="504" w:right="159"/>
      </w:pPr>
      <w:r>
        <w:rPr/>
        <w:t>36</w:t>
        <w:tab/>
        <w:t>Fair Value Measurement</w:t>
      </w:r>
      <w:r>
        <w:rPr>
          <w:spacing w:val="-1"/>
        </w:rPr>
        <w:t> </w:t>
      </w:r>
      <w:r>
        <w:rPr/>
        <w:t>(continued)</w:t>
      </w:r>
    </w:p>
    <w:p>
      <w:pPr>
        <w:pStyle w:val="BodyText"/>
        <w:spacing w:before="7"/>
        <w:rPr>
          <w:b/>
          <w:sz w:val="26"/>
        </w:rPr>
      </w:pPr>
    </w:p>
    <w:p>
      <w:pPr>
        <w:pStyle w:val="BodyText"/>
        <w:tabs>
          <w:tab w:pos="1070" w:val="left" w:leader="none"/>
        </w:tabs>
        <w:ind w:left="504" w:right="159"/>
      </w:pPr>
      <w:r>
        <w:rPr/>
        <w:t>(d)</w:t>
        <w:tab/>
        <w:t>Fair value measurements using significant unobservable inputs (level 3)</w:t>
      </w:r>
      <w:r>
        <w:rPr>
          <w:spacing w:val="7"/>
        </w:rPr>
        <w:t> </w:t>
      </w:r>
      <w:r>
        <w:rPr/>
        <w:t>(continued)</w:t>
      </w:r>
    </w:p>
    <w:p>
      <w:pPr>
        <w:pStyle w:val="BodyText"/>
        <w:spacing w:before="4"/>
        <w:rPr>
          <w:sz w:val="25"/>
        </w:rPr>
      </w:pPr>
    </w:p>
    <w:p>
      <w:pPr>
        <w:pStyle w:val="ListParagraph"/>
        <w:numPr>
          <w:ilvl w:val="1"/>
          <w:numId w:val="40"/>
        </w:numPr>
        <w:tabs>
          <w:tab w:pos="1323" w:val="left" w:leader="none"/>
        </w:tabs>
        <w:spacing w:line="240" w:lineRule="auto" w:before="0" w:after="0"/>
        <w:ind w:left="1322" w:right="0" w:hanging="252"/>
        <w:jc w:val="left"/>
        <w:rPr>
          <w:sz w:val="18"/>
        </w:rPr>
      </w:pPr>
      <w:r>
        <w:rPr>
          <w:sz w:val="18"/>
        </w:rPr>
        <w:t>Valuation inputs and relationships to fair</w:t>
      </w:r>
      <w:r>
        <w:rPr>
          <w:spacing w:val="5"/>
          <w:sz w:val="18"/>
        </w:rPr>
        <w:t> </w:t>
      </w:r>
      <w:r>
        <w:rPr>
          <w:sz w:val="18"/>
        </w:rPr>
        <w:t>value</w:t>
      </w:r>
    </w:p>
    <w:p>
      <w:pPr>
        <w:pStyle w:val="BodyText"/>
        <w:spacing w:before="11"/>
        <w:rPr>
          <w:sz w:val="24"/>
        </w:rPr>
      </w:pPr>
    </w:p>
    <w:p>
      <w:pPr>
        <w:pStyle w:val="BodyText"/>
        <w:ind w:left="1070" w:right="159"/>
      </w:pPr>
      <w:r>
        <w:rPr/>
        <w:t>The following table summarises the quantitative information about the significant unobservable inputs used in level 3 fair value measurements. See (c) above for the valuation techniques adopted.</w:t>
      </w:r>
    </w:p>
    <w:p>
      <w:pPr>
        <w:pStyle w:val="BodyText"/>
        <w:rPr>
          <w:sz w:val="20"/>
        </w:rPr>
      </w:pPr>
    </w:p>
    <w:p>
      <w:pPr>
        <w:pStyle w:val="BodyText"/>
        <w:rPr>
          <w:sz w:val="20"/>
        </w:rPr>
      </w:pPr>
    </w:p>
    <w:p>
      <w:pPr>
        <w:pStyle w:val="BodyText"/>
        <w:spacing w:before="11"/>
        <w:rPr>
          <w:sz w:val="22"/>
        </w:rPr>
      </w:pPr>
    </w:p>
    <w:p>
      <w:pPr>
        <w:spacing w:after="0"/>
        <w:rPr>
          <w:sz w:val="22"/>
        </w:rPr>
        <w:sectPr>
          <w:pgSz w:w="11910" w:h="16840"/>
          <w:pgMar w:header="1037" w:footer="507" w:top="2220" w:bottom="700" w:left="900" w:right="920"/>
        </w:sectPr>
      </w:pPr>
    </w:p>
    <w:p>
      <w:pPr>
        <w:pStyle w:val="BodyText"/>
      </w:pPr>
    </w:p>
    <w:p>
      <w:pPr>
        <w:pStyle w:val="BodyText"/>
      </w:pPr>
    </w:p>
    <w:p>
      <w:pPr>
        <w:pStyle w:val="BodyText"/>
      </w:pPr>
    </w:p>
    <w:p>
      <w:pPr>
        <w:pStyle w:val="BodyText"/>
      </w:pPr>
    </w:p>
    <w:p>
      <w:pPr>
        <w:pStyle w:val="BodyText"/>
      </w:pPr>
    </w:p>
    <w:p>
      <w:pPr>
        <w:pStyle w:val="BodyText"/>
        <w:spacing w:before="10"/>
        <w:rPr>
          <w:sz w:val="17"/>
        </w:rPr>
      </w:pPr>
    </w:p>
    <w:p>
      <w:pPr>
        <w:pStyle w:val="BodyText"/>
        <w:ind w:left="1116" w:right="-11"/>
      </w:pPr>
      <w:r>
        <w:rPr/>
        <w:t>Unlisted equity</w:t>
      </w:r>
    </w:p>
    <w:p>
      <w:pPr>
        <w:pStyle w:val="Heading9"/>
        <w:spacing w:before="77"/>
        <w:ind w:left="1088" w:right="5595"/>
        <w:jc w:val="center"/>
      </w:pPr>
      <w:r>
        <w:rPr>
          <w:b w:val="0"/>
        </w:rPr>
        <w:br w:type="column"/>
      </w:r>
      <w:r>
        <w:rPr/>
        <w:t>Fair value at 31</w:t>
      </w:r>
    </w:p>
    <w:p>
      <w:pPr>
        <w:spacing w:before="0"/>
        <w:ind w:left="1087" w:right="5595" w:firstLine="0"/>
        <w:jc w:val="center"/>
        <w:rPr>
          <w:b/>
          <w:sz w:val="18"/>
        </w:rPr>
      </w:pPr>
      <w:r>
        <w:rPr/>
        <w:pict>
          <v:shape style="position:absolute;margin-left:280.489990pt;margin-top:-24.490911pt;width:258.75pt;height:122pt;mso-position-horizontal-relative:page;mso-position-vertical-relative:paragraph;z-index:188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64"/>
                    <w:gridCol w:w="1645"/>
                    <w:gridCol w:w="2165"/>
                  </w:tblGrid>
                  <w:tr>
                    <w:trPr>
                      <w:trHeight w:val="1184" w:hRule="exact"/>
                    </w:trPr>
                    <w:tc>
                      <w:tcPr>
                        <w:tcW w:w="1364" w:type="dxa"/>
                      </w:tcPr>
                      <w:p>
                        <w:pPr>
                          <w:pStyle w:val="TableParagraph"/>
                          <w:spacing w:before="77"/>
                          <w:ind w:left="325" w:right="119" w:hanging="291"/>
                          <w:rPr>
                            <w:b/>
                            <w:sz w:val="18"/>
                          </w:rPr>
                        </w:pPr>
                        <w:r>
                          <w:rPr>
                            <w:b/>
                            <w:sz w:val="18"/>
                          </w:rPr>
                          <w:t>Unobservable inputs*</w:t>
                        </w:r>
                      </w:p>
                    </w:tc>
                    <w:tc>
                      <w:tcPr>
                        <w:tcW w:w="1645" w:type="dxa"/>
                      </w:tcPr>
                      <w:p>
                        <w:pPr>
                          <w:pStyle w:val="TableParagraph"/>
                          <w:spacing w:before="77"/>
                          <w:ind w:left="137" w:right="141"/>
                          <w:jc w:val="center"/>
                          <w:rPr>
                            <w:b/>
                            <w:sz w:val="18"/>
                          </w:rPr>
                        </w:pPr>
                        <w:r>
                          <w:rPr>
                            <w:b/>
                            <w:sz w:val="18"/>
                          </w:rPr>
                          <w:t>Range of inputs (probability weighted average)</w:t>
                        </w:r>
                      </w:p>
                    </w:tc>
                    <w:tc>
                      <w:tcPr>
                        <w:tcW w:w="2165" w:type="dxa"/>
                      </w:tcPr>
                      <w:p>
                        <w:pPr>
                          <w:pStyle w:val="TableParagraph"/>
                          <w:spacing w:before="77"/>
                          <w:ind w:left="143" w:right="33"/>
                          <w:jc w:val="center"/>
                          <w:rPr>
                            <w:b/>
                            <w:sz w:val="18"/>
                          </w:rPr>
                        </w:pPr>
                        <w:r>
                          <w:rPr>
                            <w:b/>
                            <w:sz w:val="18"/>
                          </w:rPr>
                          <w:t>Relationship of unobservable inputs to fair value</w:t>
                        </w:r>
                      </w:p>
                    </w:tc>
                  </w:tr>
                  <w:tr>
                    <w:trPr>
                      <w:trHeight w:val="506" w:hRule="exact"/>
                    </w:trPr>
                    <w:tc>
                      <w:tcPr>
                        <w:tcW w:w="1364" w:type="dxa"/>
                      </w:tcPr>
                      <w:p>
                        <w:pPr>
                          <w:pStyle w:val="TableParagraph"/>
                          <w:spacing w:before="8"/>
                          <w:rPr>
                            <w:sz w:val="22"/>
                          </w:rPr>
                        </w:pPr>
                      </w:p>
                      <w:p>
                        <w:pPr>
                          <w:pStyle w:val="TableParagraph"/>
                          <w:ind w:left="594"/>
                          <w:rPr>
                            <w:sz w:val="18"/>
                          </w:rPr>
                        </w:pPr>
                        <w:r>
                          <w:rPr>
                            <w:w w:val="99"/>
                            <w:sz w:val="18"/>
                          </w:rPr>
                          <w:t>*</w:t>
                        </w:r>
                      </w:p>
                    </w:tc>
                    <w:tc>
                      <w:tcPr>
                        <w:tcW w:w="1645" w:type="dxa"/>
                      </w:tcPr>
                      <w:p>
                        <w:pPr>
                          <w:pStyle w:val="TableParagraph"/>
                          <w:spacing w:before="8"/>
                          <w:rPr>
                            <w:sz w:val="22"/>
                          </w:rPr>
                        </w:pPr>
                      </w:p>
                      <w:p>
                        <w:pPr>
                          <w:pStyle w:val="TableParagraph"/>
                          <w:ind w:right="7"/>
                          <w:jc w:val="center"/>
                          <w:rPr>
                            <w:sz w:val="18"/>
                          </w:rPr>
                        </w:pPr>
                        <w:r>
                          <w:rPr>
                            <w:w w:val="99"/>
                            <w:sz w:val="18"/>
                          </w:rPr>
                          <w:t>*</w:t>
                        </w:r>
                      </w:p>
                    </w:tc>
                    <w:tc>
                      <w:tcPr>
                        <w:tcW w:w="2165" w:type="dxa"/>
                      </w:tcPr>
                      <w:p>
                        <w:pPr>
                          <w:pStyle w:val="TableParagraph"/>
                          <w:spacing w:before="8"/>
                          <w:rPr>
                            <w:sz w:val="22"/>
                          </w:rPr>
                        </w:pPr>
                      </w:p>
                      <w:p>
                        <w:pPr>
                          <w:pStyle w:val="TableParagraph"/>
                          <w:ind w:right="989"/>
                          <w:jc w:val="right"/>
                          <w:rPr>
                            <w:sz w:val="18"/>
                          </w:rPr>
                        </w:pPr>
                        <w:r>
                          <w:rPr>
                            <w:w w:val="99"/>
                            <w:sz w:val="18"/>
                          </w:rPr>
                          <w:t>*</w:t>
                        </w:r>
                      </w:p>
                    </w:tc>
                  </w:tr>
                  <w:tr>
                    <w:trPr>
                      <w:trHeight w:val="264" w:hRule="exact"/>
                    </w:trPr>
                    <w:tc>
                      <w:tcPr>
                        <w:tcW w:w="1364" w:type="dxa"/>
                      </w:tcPr>
                      <w:p>
                        <w:pPr>
                          <w:pStyle w:val="TableParagraph"/>
                          <w:spacing w:before="19"/>
                          <w:ind w:left="594"/>
                          <w:rPr>
                            <w:sz w:val="18"/>
                          </w:rPr>
                        </w:pPr>
                        <w:r>
                          <w:rPr>
                            <w:w w:val="99"/>
                            <w:sz w:val="18"/>
                          </w:rPr>
                          <w:t>*</w:t>
                        </w:r>
                      </w:p>
                    </w:tc>
                    <w:tc>
                      <w:tcPr>
                        <w:tcW w:w="1645" w:type="dxa"/>
                      </w:tcPr>
                      <w:p>
                        <w:pPr>
                          <w:pStyle w:val="TableParagraph"/>
                          <w:spacing w:before="19"/>
                          <w:ind w:right="7"/>
                          <w:jc w:val="center"/>
                          <w:rPr>
                            <w:sz w:val="18"/>
                          </w:rPr>
                        </w:pPr>
                        <w:r>
                          <w:rPr>
                            <w:w w:val="99"/>
                            <w:sz w:val="18"/>
                          </w:rPr>
                          <w:t>*</w:t>
                        </w:r>
                      </w:p>
                    </w:tc>
                    <w:tc>
                      <w:tcPr>
                        <w:tcW w:w="2165" w:type="dxa"/>
                      </w:tcPr>
                      <w:p>
                        <w:pPr>
                          <w:pStyle w:val="TableParagraph"/>
                          <w:spacing w:before="19"/>
                          <w:ind w:right="989"/>
                          <w:jc w:val="right"/>
                          <w:rPr>
                            <w:sz w:val="18"/>
                          </w:rPr>
                        </w:pPr>
                        <w:r>
                          <w:rPr>
                            <w:w w:val="99"/>
                            <w:sz w:val="18"/>
                          </w:rPr>
                          <w:t>*</w:t>
                        </w:r>
                      </w:p>
                    </w:tc>
                  </w:tr>
                  <w:tr>
                    <w:trPr>
                      <w:trHeight w:val="264" w:hRule="exact"/>
                    </w:trPr>
                    <w:tc>
                      <w:tcPr>
                        <w:tcW w:w="1364" w:type="dxa"/>
                      </w:tcPr>
                      <w:p>
                        <w:pPr>
                          <w:pStyle w:val="TableParagraph"/>
                          <w:spacing w:before="19"/>
                          <w:ind w:left="594"/>
                          <w:rPr>
                            <w:sz w:val="18"/>
                          </w:rPr>
                        </w:pPr>
                        <w:r>
                          <w:rPr>
                            <w:w w:val="99"/>
                            <w:sz w:val="18"/>
                          </w:rPr>
                          <w:t>*</w:t>
                        </w:r>
                      </w:p>
                    </w:tc>
                    <w:tc>
                      <w:tcPr>
                        <w:tcW w:w="1645" w:type="dxa"/>
                      </w:tcPr>
                      <w:p>
                        <w:pPr>
                          <w:pStyle w:val="TableParagraph"/>
                          <w:spacing w:before="19"/>
                          <w:ind w:right="7"/>
                          <w:jc w:val="center"/>
                          <w:rPr>
                            <w:sz w:val="18"/>
                          </w:rPr>
                        </w:pPr>
                        <w:r>
                          <w:rPr>
                            <w:w w:val="99"/>
                            <w:sz w:val="18"/>
                          </w:rPr>
                          <w:t>*</w:t>
                        </w:r>
                      </w:p>
                    </w:tc>
                    <w:tc>
                      <w:tcPr>
                        <w:tcW w:w="2165" w:type="dxa"/>
                      </w:tcPr>
                      <w:p>
                        <w:pPr>
                          <w:pStyle w:val="TableParagraph"/>
                          <w:spacing w:before="19"/>
                          <w:ind w:right="989"/>
                          <w:jc w:val="right"/>
                          <w:rPr>
                            <w:sz w:val="18"/>
                          </w:rPr>
                        </w:pPr>
                        <w:r>
                          <w:rPr>
                            <w:w w:val="99"/>
                            <w:sz w:val="18"/>
                          </w:rPr>
                          <w:t>*</w:t>
                        </w:r>
                      </w:p>
                    </w:tc>
                  </w:tr>
                  <w:tr>
                    <w:trPr>
                      <w:trHeight w:val="222" w:hRule="exact"/>
                    </w:trPr>
                    <w:tc>
                      <w:tcPr>
                        <w:tcW w:w="1364" w:type="dxa"/>
                      </w:tcPr>
                      <w:p>
                        <w:pPr>
                          <w:pStyle w:val="TableParagraph"/>
                          <w:spacing w:before="19"/>
                          <w:ind w:left="594"/>
                          <w:rPr>
                            <w:sz w:val="18"/>
                          </w:rPr>
                        </w:pPr>
                        <w:r>
                          <w:rPr>
                            <w:w w:val="99"/>
                            <w:sz w:val="18"/>
                          </w:rPr>
                          <w:t>*</w:t>
                        </w:r>
                      </w:p>
                    </w:tc>
                    <w:tc>
                      <w:tcPr>
                        <w:tcW w:w="1645" w:type="dxa"/>
                      </w:tcPr>
                      <w:p>
                        <w:pPr>
                          <w:pStyle w:val="TableParagraph"/>
                          <w:spacing w:before="19"/>
                          <w:ind w:right="7"/>
                          <w:jc w:val="center"/>
                          <w:rPr>
                            <w:sz w:val="18"/>
                          </w:rPr>
                        </w:pPr>
                        <w:r>
                          <w:rPr>
                            <w:w w:val="99"/>
                            <w:sz w:val="18"/>
                          </w:rPr>
                          <w:t>*</w:t>
                        </w:r>
                      </w:p>
                    </w:tc>
                    <w:tc>
                      <w:tcPr>
                        <w:tcW w:w="2165" w:type="dxa"/>
                      </w:tcPr>
                      <w:p>
                        <w:pPr>
                          <w:pStyle w:val="TableParagraph"/>
                          <w:spacing w:before="19"/>
                          <w:ind w:right="989"/>
                          <w:jc w:val="right"/>
                          <w:rPr>
                            <w:sz w:val="18"/>
                          </w:rPr>
                        </w:pPr>
                        <w:r>
                          <w:rPr>
                            <w:w w:val="99"/>
                            <w:sz w:val="18"/>
                          </w:rPr>
                          <w:t>*</w:t>
                        </w:r>
                      </w:p>
                    </w:tc>
                  </w:tr>
                </w:tbl>
                <w:p>
                  <w:pPr>
                    <w:pStyle w:val="BodyText"/>
                  </w:pPr>
                </w:p>
              </w:txbxContent>
            </v:textbox>
            <w10:wrap type="none"/>
          </v:shape>
        </w:pict>
      </w:r>
      <w:r>
        <w:rPr>
          <w:b/>
          <w:sz w:val="18"/>
        </w:rPr>
        <w:t>December 2017</w:t>
      </w:r>
    </w:p>
    <w:p>
      <w:pPr>
        <w:spacing w:before="66"/>
        <w:ind w:left="1086" w:right="5595" w:firstLine="0"/>
        <w:jc w:val="center"/>
        <w:rPr>
          <w:b/>
          <w:sz w:val="18"/>
        </w:rPr>
      </w:pPr>
      <w:r>
        <w:rPr>
          <w:b/>
          <w:sz w:val="18"/>
        </w:rPr>
        <w:t>$'000</w:t>
      </w:r>
    </w:p>
    <w:p>
      <w:pPr>
        <w:spacing w:after="0"/>
        <w:jc w:val="center"/>
        <w:rPr>
          <w:sz w:val="18"/>
        </w:rPr>
        <w:sectPr>
          <w:type w:val="continuous"/>
          <w:pgSz w:w="11910" w:h="16840"/>
          <w:pgMar w:top="1580" w:bottom="280" w:left="900" w:right="920"/>
          <w:cols w:num="2" w:equalWidth="0">
            <w:col w:w="2306" w:space="40"/>
            <w:col w:w="7744"/>
          </w:cols>
        </w:sectPr>
      </w:pPr>
    </w:p>
    <w:p>
      <w:pPr>
        <w:pStyle w:val="BodyText"/>
        <w:tabs>
          <w:tab w:pos="4451" w:val="right" w:leader="none"/>
        </w:tabs>
        <w:spacing w:line="206" w:lineRule="exact"/>
        <w:ind w:left="1116"/>
      </w:pPr>
      <w:r>
        <w:rPr/>
        <w:t>securities</w:t>
      </w:r>
      <w:r>
        <w:rPr>
          <w:rFonts w:ascii="Times New Roman"/>
        </w:rPr>
        <w:tab/>
      </w:r>
      <w:r>
        <w:rPr/>
        <w:t>337</w:t>
      </w:r>
    </w:p>
    <w:p>
      <w:pPr>
        <w:pStyle w:val="BodyText"/>
        <w:tabs>
          <w:tab w:pos="3796" w:val="left" w:leader="none"/>
        </w:tabs>
        <w:spacing w:before="57"/>
        <w:ind w:left="1116" w:right="159"/>
      </w:pPr>
      <w:r>
        <w:rPr/>
        <w:t>Buildings</w:t>
        <w:tab/>
        <w:t>981,524</w:t>
      </w:r>
    </w:p>
    <w:p>
      <w:pPr>
        <w:pStyle w:val="BodyText"/>
        <w:tabs>
          <w:tab w:pos="3796" w:val="left" w:leader="none"/>
        </w:tabs>
        <w:spacing w:before="57"/>
        <w:ind w:left="1116" w:right="159"/>
      </w:pPr>
      <w:bookmarkStart w:name="37 Subsidiaries " w:id="152"/>
      <w:bookmarkEnd w:id="152"/>
      <w:r>
        <w:rPr/>
      </w:r>
      <w:r>
        <w:rPr/>
        <w:t>Infrastructure</w:t>
        <w:tab/>
        <w:t>109,035</w:t>
      </w:r>
    </w:p>
    <w:p>
      <w:pPr>
        <w:pStyle w:val="BodyText"/>
        <w:tabs>
          <w:tab w:pos="3796" w:val="left" w:leader="none"/>
        </w:tabs>
        <w:spacing w:before="57"/>
        <w:ind w:left="1116" w:right="159"/>
      </w:pPr>
      <w:r>
        <w:rPr/>
        <w:t>Land</w:t>
        <w:tab/>
        <w:t>527,334</w:t>
      </w:r>
    </w:p>
    <w:p>
      <w:pPr>
        <w:pStyle w:val="BodyText"/>
        <w:spacing w:before="6"/>
        <w:rPr>
          <w:sz w:val="20"/>
        </w:rPr>
      </w:pPr>
    </w:p>
    <w:p>
      <w:pPr>
        <w:pStyle w:val="BodyText"/>
        <w:spacing w:before="78"/>
        <w:ind w:left="1070" w:right="159"/>
      </w:pPr>
      <w:r>
        <w:rPr/>
        <w:t>*There were no significant inter-relationships between unobservable inputs that materially affects fair value.</w:t>
      </w:r>
    </w:p>
    <w:p>
      <w:pPr>
        <w:pStyle w:val="BodyText"/>
        <w:spacing w:before="11"/>
        <w:rPr>
          <w:sz w:val="24"/>
        </w:rPr>
      </w:pPr>
    </w:p>
    <w:p>
      <w:pPr>
        <w:pStyle w:val="Heading9"/>
        <w:numPr>
          <w:ilvl w:val="0"/>
          <w:numId w:val="34"/>
        </w:numPr>
        <w:tabs>
          <w:tab w:pos="504" w:val="left" w:leader="none"/>
        </w:tabs>
        <w:spacing w:line="240" w:lineRule="auto" w:before="0" w:after="0"/>
        <w:ind w:left="504" w:right="0" w:hanging="394"/>
        <w:jc w:val="left"/>
      </w:pPr>
      <w:r>
        <w:rPr/>
        <w:t>Subsidiaries</w:t>
      </w:r>
    </w:p>
    <w:p>
      <w:pPr>
        <w:pStyle w:val="BodyText"/>
        <w:spacing w:before="11"/>
        <w:rPr>
          <w:b/>
          <w:sz w:val="24"/>
        </w:rPr>
      </w:pPr>
    </w:p>
    <w:p>
      <w:pPr>
        <w:pStyle w:val="BodyText"/>
        <w:ind w:left="504" w:right="159"/>
      </w:pPr>
      <w:r>
        <w:rPr/>
        <w:t>The consolidated financial statements incorporate the assets, liabilities and results of the following subsidiaries in accordance with the accounting policy described in note 1(b).</w:t>
      </w:r>
    </w:p>
    <w:p>
      <w:pPr>
        <w:pStyle w:val="Heading9"/>
        <w:spacing w:before="33"/>
        <w:ind w:right="524"/>
        <w:jc w:val="right"/>
      </w:pPr>
      <w:r>
        <w:rPr/>
        <w:t>Ownership interest</w:t>
      </w:r>
    </w:p>
    <w:p>
      <w:pPr>
        <w:spacing w:after="0"/>
        <w:jc w:val="right"/>
        <w:sectPr>
          <w:type w:val="continuous"/>
          <w:pgSz w:w="11910" w:h="16840"/>
          <w:pgMar w:top="1580" w:bottom="280" w:left="900" w:right="920"/>
        </w:sectPr>
      </w:pPr>
    </w:p>
    <w:p>
      <w:pPr>
        <w:pStyle w:val="BodyText"/>
        <w:rPr>
          <w:b/>
        </w:rPr>
      </w:pPr>
    </w:p>
    <w:p>
      <w:pPr>
        <w:spacing w:before="133"/>
        <w:ind w:left="1523" w:right="-15" w:firstLine="0"/>
        <w:jc w:val="left"/>
        <w:rPr>
          <w:b/>
          <w:sz w:val="18"/>
        </w:rPr>
      </w:pPr>
      <w:r>
        <w:rPr>
          <w:b/>
          <w:sz w:val="18"/>
        </w:rPr>
        <w:t>Name of Entity</w:t>
      </w:r>
    </w:p>
    <w:p>
      <w:pPr>
        <w:spacing w:before="134"/>
        <w:ind w:left="1881" w:right="-12" w:hanging="358"/>
        <w:jc w:val="left"/>
        <w:rPr>
          <w:b/>
          <w:sz w:val="18"/>
        </w:rPr>
      </w:pPr>
      <w:r>
        <w:rPr/>
        <w:br w:type="column"/>
      </w:r>
      <w:r>
        <w:rPr>
          <w:b/>
          <w:sz w:val="18"/>
        </w:rPr>
        <w:t>Principal place of business</w:t>
      </w:r>
    </w:p>
    <w:p>
      <w:pPr>
        <w:spacing w:before="66"/>
        <w:ind w:left="667" w:right="0" w:firstLine="0"/>
        <w:jc w:val="center"/>
        <w:rPr>
          <w:b/>
          <w:sz w:val="18"/>
        </w:rPr>
      </w:pPr>
      <w:r>
        <w:rPr/>
        <w:br w:type="column"/>
      </w:r>
      <w:r>
        <w:rPr>
          <w:b/>
          <w:sz w:val="18"/>
        </w:rPr>
        <w:t>2017</w:t>
      </w:r>
    </w:p>
    <w:p>
      <w:pPr>
        <w:spacing w:before="66"/>
        <w:ind w:left="0" w:right="116" w:firstLine="0"/>
        <w:jc w:val="right"/>
        <w:rPr>
          <w:b/>
          <w:sz w:val="18"/>
        </w:rPr>
      </w:pPr>
      <w:r>
        <w:rPr>
          <w:b/>
          <w:w w:val="99"/>
          <w:sz w:val="18"/>
        </w:rPr>
        <w:t>%</w:t>
      </w:r>
    </w:p>
    <w:p>
      <w:pPr>
        <w:spacing w:before="66"/>
        <w:ind w:left="821" w:right="497" w:firstLine="0"/>
        <w:jc w:val="center"/>
        <w:rPr>
          <w:b/>
          <w:sz w:val="18"/>
        </w:rPr>
      </w:pPr>
      <w:r>
        <w:rPr/>
        <w:br w:type="column"/>
      </w:r>
      <w:r>
        <w:rPr>
          <w:b/>
          <w:sz w:val="18"/>
        </w:rPr>
        <w:t>2016</w:t>
      </w:r>
    </w:p>
    <w:p>
      <w:pPr>
        <w:spacing w:before="66"/>
        <w:ind w:left="330" w:right="0" w:firstLine="0"/>
        <w:jc w:val="center"/>
        <w:rPr>
          <w:b/>
          <w:sz w:val="18"/>
        </w:rPr>
      </w:pPr>
      <w:r>
        <w:rPr>
          <w:b/>
          <w:w w:val="99"/>
          <w:sz w:val="18"/>
        </w:rPr>
        <w:t>%</w:t>
      </w:r>
    </w:p>
    <w:p>
      <w:pPr>
        <w:spacing w:after="0"/>
        <w:jc w:val="center"/>
        <w:rPr>
          <w:sz w:val="18"/>
        </w:rPr>
        <w:sectPr>
          <w:type w:val="continuous"/>
          <w:pgSz w:w="11910" w:h="16840"/>
          <w:pgMar w:top="1580" w:bottom="280" w:left="900" w:right="920"/>
          <w:cols w:num="4" w:equalWidth="0">
            <w:col w:w="2789" w:space="1368"/>
            <w:col w:w="3022" w:space="40"/>
            <w:col w:w="1071" w:space="40"/>
            <w:col w:w="1760"/>
          </w:cols>
        </w:sectPr>
      </w:pPr>
    </w:p>
    <w:p>
      <w:pPr>
        <w:pStyle w:val="BodyText"/>
        <w:spacing w:before="1"/>
        <w:rPr>
          <w:b/>
          <w:sz w:val="3"/>
        </w:rPr>
      </w:pPr>
    </w:p>
    <w:tbl>
      <w:tblPr>
        <w:tblW w:w="0" w:type="auto"/>
        <w:jc w:val="left"/>
        <w:tblInd w:w="5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65"/>
        <w:gridCol w:w="2688"/>
        <w:gridCol w:w="1881"/>
        <w:gridCol w:w="820"/>
      </w:tblGrid>
      <w:tr>
        <w:trPr>
          <w:trHeight w:val="651" w:hRule="exact"/>
        </w:trPr>
        <w:tc>
          <w:tcPr>
            <w:tcW w:w="4065" w:type="dxa"/>
          </w:tcPr>
          <w:p>
            <w:pPr>
              <w:pStyle w:val="TableParagraph"/>
              <w:spacing w:before="23"/>
              <w:ind w:left="35" w:right="885"/>
              <w:jc w:val="both"/>
              <w:rPr>
                <w:sz w:val="18"/>
              </w:rPr>
            </w:pPr>
            <w:r>
              <w:rPr>
                <w:sz w:val="18"/>
              </w:rPr>
              <w:t>Western Sydney University Enterprises Pty Limited trading as Western Sydney University The College (formerly UWS</w:t>
            </w:r>
          </w:p>
        </w:tc>
        <w:tc>
          <w:tcPr>
            <w:tcW w:w="5389" w:type="dxa"/>
            <w:gridSpan w:val="3"/>
          </w:tcPr>
          <w:p>
            <w:pPr/>
          </w:p>
        </w:tc>
      </w:tr>
      <w:tr>
        <w:trPr>
          <w:trHeight w:val="234" w:hRule="exact"/>
        </w:trPr>
        <w:tc>
          <w:tcPr>
            <w:tcW w:w="4065" w:type="dxa"/>
          </w:tcPr>
          <w:p>
            <w:pPr>
              <w:pStyle w:val="TableParagraph"/>
              <w:spacing w:line="198" w:lineRule="exact"/>
              <w:ind w:left="35" w:right="569"/>
              <w:rPr>
                <w:sz w:val="18"/>
              </w:rPr>
            </w:pPr>
            <w:r>
              <w:rPr>
                <w:sz w:val="18"/>
              </w:rPr>
              <w:t>Enterprises Pty Limited)</w:t>
            </w:r>
          </w:p>
        </w:tc>
        <w:tc>
          <w:tcPr>
            <w:tcW w:w="2688" w:type="dxa"/>
          </w:tcPr>
          <w:p>
            <w:pPr>
              <w:pStyle w:val="TableParagraph"/>
              <w:spacing w:line="196" w:lineRule="exact"/>
              <w:ind w:left="887"/>
              <w:rPr>
                <w:sz w:val="18"/>
              </w:rPr>
            </w:pPr>
            <w:r>
              <w:rPr>
                <w:sz w:val="18"/>
              </w:rPr>
              <w:t>Australia</w:t>
            </w:r>
          </w:p>
        </w:tc>
        <w:tc>
          <w:tcPr>
            <w:tcW w:w="1881" w:type="dxa"/>
          </w:tcPr>
          <w:p>
            <w:pPr>
              <w:pStyle w:val="TableParagraph"/>
              <w:spacing w:line="196" w:lineRule="exact"/>
              <w:ind w:right="480"/>
              <w:jc w:val="right"/>
              <w:rPr>
                <w:sz w:val="18"/>
              </w:rPr>
            </w:pPr>
            <w:r>
              <w:rPr>
                <w:w w:val="95"/>
                <w:sz w:val="18"/>
              </w:rPr>
              <w:t>100</w:t>
            </w:r>
          </w:p>
        </w:tc>
        <w:tc>
          <w:tcPr>
            <w:tcW w:w="820" w:type="dxa"/>
          </w:tcPr>
          <w:p>
            <w:pPr>
              <w:pStyle w:val="TableParagraph"/>
              <w:spacing w:line="196" w:lineRule="exact"/>
              <w:ind w:right="33"/>
              <w:jc w:val="right"/>
              <w:rPr>
                <w:sz w:val="18"/>
              </w:rPr>
            </w:pPr>
            <w:r>
              <w:rPr>
                <w:w w:val="95"/>
                <w:sz w:val="18"/>
              </w:rPr>
              <w:t>100</w:t>
            </w:r>
          </w:p>
        </w:tc>
      </w:tr>
      <w:tr>
        <w:trPr>
          <w:trHeight w:val="233" w:hRule="exact"/>
        </w:trPr>
        <w:tc>
          <w:tcPr>
            <w:tcW w:w="4065" w:type="dxa"/>
          </w:tcPr>
          <w:p>
            <w:pPr>
              <w:pStyle w:val="TableParagraph"/>
              <w:spacing w:before="16"/>
              <w:ind w:left="35" w:right="569"/>
              <w:rPr>
                <w:sz w:val="18"/>
              </w:rPr>
            </w:pPr>
            <w:r>
              <w:rPr>
                <w:sz w:val="18"/>
              </w:rPr>
              <w:t>Western Sydney University Early</w:t>
            </w:r>
          </w:p>
        </w:tc>
        <w:tc>
          <w:tcPr>
            <w:tcW w:w="2688" w:type="dxa"/>
          </w:tcPr>
          <w:p>
            <w:pPr/>
          </w:p>
        </w:tc>
        <w:tc>
          <w:tcPr>
            <w:tcW w:w="1881" w:type="dxa"/>
          </w:tcPr>
          <w:p>
            <w:pPr/>
          </w:p>
        </w:tc>
        <w:tc>
          <w:tcPr>
            <w:tcW w:w="820" w:type="dxa"/>
          </w:tcPr>
          <w:p>
            <w:pPr/>
          </w:p>
        </w:tc>
      </w:tr>
      <w:tr>
        <w:trPr>
          <w:trHeight w:val="439" w:hRule="exact"/>
        </w:trPr>
        <w:tc>
          <w:tcPr>
            <w:tcW w:w="4065" w:type="dxa"/>
          </w:tcPr>
          <w:p>
            <w:pPr>
              <w:pStyle w:val="TableParagraph"/>
              <w:ind w:left="35" w:right="569"/>
              <w:rPr>
                <w:sz w:val="18"/>
              </w:rPr>
            </w:pPr>
            <w:r>
              <w:rPr>
                <w:sz w:val="18"/>
              </w:rPr>
              <w:t>Learning Limited (formerly UWS Early Learning Limited)</w:t>
            </w:r>
          </w:p>
        </w:tc>
        <w:tc>
          <w:tcPr>
            <w:tcW w:w="2688" w:type="dxa"/>
          </w:tcPr>
          <w:p>
            <w:pPr>
              <w:pStyle w:val="TableParagraph"/>
              <w:spacing w:before="10"/>
              <w:rPr>
                <w:b/>
                <w:sz w:val="16"/>
              </w:rPr>
            </w:pPr>
          </w:p>
          <w:p>
            <w:pPr>
              <w:pStyle w:val="TableParagraph"/>
              <w:ind w:left="887"/>
              <w:rPr>
                <w:sz w:val="18"/>
              </w:rPr>
            </w:pPr>
            <w:r>
              <w:rPr>
                <w:sz w:val="18"/>
              </w:rPr>
              <w:t>Australia</w:t>
            </w:r>
          </w:p>
        </w:tc>
        <w:tc>
          <w:tcPr>
            <w:tcW w:w="1881" w:type="dxa"/>
          </w:tcPr>
          <w:p>
            <w:pPr>
              <w:pStyle w:val="TableParagraph"/>
              <w:spacing w:before="10"/>
              <w:rPr>
                <w:b/>
                <w:sz w:val="16"/>
              </w:rPr>
            </w:pPr>
          </w:p>
          <w:p>
            <w:pPr>
              <w:pStyle w:val="TableParagraph"/>
              <w:ind w:right="480"/>
              <w:jc w:val="right"/>
              <w:rPr>
                <w:sz w:val="18"/>
              </w:rPr>
            </w:pPr>
            <w:r>
              <w:rPr>
                <w:w w:val="95"/>
                <w:sz w:val="18"/>
              </w:rPr>
              <w:t>100</w:t>
            </w:r>
          </w:p>
        </w:tc>
        <w:tc>
          <w:tcPr>
            <w:tcW w:w="820" w:type="dxa"/>
          </w:tcPr>
          <w:p>
            <w:pPr>
              <w:pStyle w:val="TableParagraph"/>
              <w:spacing w:before="10"/>
              <w:rPr>
                <w:b/>
                <w:sz w:val="16"/>
              </w:rPr>
            </w:pPr>
          </w:p>
          <w:p>
            <w:pPr>
              <w:pStyle w:val="TableParagraph"/>
              <w:ind w:right="33"/>
              <w:jc w:val="right"/>
              <w:rPr>
                <w:sz w:val="18"/>
              </w:rPr>
            </w:pPr>
            <w:r>
              <w:rPr>
                <w:w w:val="95"/>
                <w:sz w:val="18"/>
              </w:rPr>
              <w:t>100</w:t>
            </w:r>
          </w:p>
        </w:tc>
      </w:tr>
      <w:tr>
        <w:trPr>
          <w:trHeight w:val="466" w:hRule="exact"/>
        </w:trPr>
        <w:tc>
          <w:tcPr>
            <w:tcW w:w="4065" w:type="dxa"/>
          </w:tcPr>
          <w:p>
            <w:pPr>
              <w:pStyle w:val="TableParagraph"/>
              <w:spacing w:before="16"/>
              <w:ind w:left="35" w:right="569"/>
              <w:rPr>
                <w:sz w:val="18"/>
              </w:rPr>
            </w:pPr>
            <w:r>
              <w:rPr>
                <w:sz w:val="18"/>
              </w:rPr>
              <w:t>Western Unlimited Ltd (formerly uwsconnect Limited)</w:t>
            </w:r>
          </w:p>
        </w:tc>
        <w:tc>
          <w:tcPr>
            <w:tcW w:w="2688" w:type="dxa"/>
          </w:tcPr>
          <w:p>
            <w:pPr>
              <w:pStyle w:val="TableParagraph"/>
              <w:spacing w:before="2"/>
              <w:rPr>
                <w:b/>
                <w:sz w:val="19"/>
              </w:rPr>
            </w:pPr>
          </w:p>
          <w:p>
            <w:pPr>
              <w:pStyle w:val="TableParagraph"/>
              <w:ind w:left="887"/>
              <w:rPr>
                <w:sz w:val="18"/>
              </w:rPr>
            </w:pPr>
            <w:r>
              <w:rPr>
                <w:sz w:val="18"/>
              </w:rPr>
              <w:t>Australia</w:t>
            </w:r>
          </w:p>
        </w:tc>
        <w:tc>
          <w:tcPr>
            <w:tcW w:w="1881" w:type="dxa"/>
          </w:tcPr>
          <w:p>
            <w:pPr>
              <w:pStyle w:val="TableParagraph"/>
              <w:spacing w:before="2"/>
              <w:rPr>
                <w:b/>
                <w:sz w:val="19"/>
              </w:rPr>
            </w:pPr>
          </w:p>
          <w:p>
            <w:pPr>
              <w:pStyle w:val="TableParagraph"/>
              <w:ind w:right="480"/>
              <w:jc w:val="right"/>
              <w:rPr>
                <w:sz w:val="18"/>
              </w:rPr>
            </w:pPr>
            <w:r>
              <w:rPr>
                <w:w w:val="95"/>
                <w:sz w:val="18"/>
              </w:rPr>
              <w:t>100</w:t>
            </w:r>
          </w:p>
        </w:tc>
        <w:tc>
          <w:tcPr>
            <w:tcW w:w="820" w:type="dxa"/>
          </w:tcPr>
          <w:p>
            <w:pPr>
              <w:pStyle w:val="TableParagraph"/>
              <w:spacing w:before="2"/>
              <w:rPr>
                <w:b/>
                <w:sz w:val="19"/>
              </w:rPr>
            </w:pPr>
          </w:p>
          <w:p>
            <w:pPr>
              <w:pStyle w:val="TableParagraph"/>
              <w:ind w:right="33"/>
              <w:jc w:val="right"/>
              <w:rPr>
                <w:sz w:val="18"/>
              </w:rPr>
            </w:pPr>
            <w:r>
              <w:rPr>
                <w:w w:val="95"/>
                <w:sz w:val="18"/>
              </w:rPr>
              <w:t>100</w:t>
            </w:r>
          </w:p>
        </w:tc>
      </w:tr>
      <w:tr>
        <w:trPr>
          <w:trHeight w:val="526" w:hRule="exact"/>
        </w:trPr>
        <w:tc>
          <w:tcPr>
            <w:tcW w:w="4065" w:type="dxa"/>
          </w:tcPr>
          <w:p>
            <w:pPr>
              <w:pStyle w:val="TableParagraph"/>
              <w:spacing w:before="16"/>
              <w:ind w:left="35" w:right="1069"/>
              <w:rPr>
                <w:sz w:val="18"/>
              </w:rPr>
            </w:pPr>
            <w:r>
              <w:rPr>
                <w:sz w:val="18"/>
              </w:rPr>
              <w:t>Whitlam Institute (within Western Sydney University) Limited and Trust</w:t>
            </w:r>
          </w:p>
        </w:tc>
        <w:tc>
          <w:tcPr>
            <w:tcW w:w="2688" w:type="dxa"/>
          </w:tcPr>
          <w:p>
            <w:pPr>
              <w:pStyle w:val="TableParagraph"/>
              <w:spacing w:before="2"/>
              <w:rPr>
                <w:b/>
                <w:sz w:val="19"/>
              </w:rPr>
            </w:pPr>
          </w:p>
          <w:p>
            <w:pPr>
              <w:pStyle w:val="TableParagraph"/>
              <w:ind w:left="887"/>
              <w:rPr>
                <w:sz w:val="18"/>
              </w:rPr>
            </w:pPr>
            <w:r>
              <w:rPr>
                <w:sz w:val="18"/>
              </w:rPr>
              <w:t>Australia</w:t>
            </w:r>
          </w:p>
        </w:tc>
        <w:tc>
          <w:tcPr>
            <w:tcW w:w="1881" w:type="dxa"/>
          </w:tcPr>
          <w:p>
            <w:pPr>
              <w:pStyle w:val="TableParagraph"/>
              <w:spacing w:before="2"/>
              <w:rPr>
                <w:b/>
                <w:sz w:val="19"/>
              </w:rPr>
            </w:pPr>
          </w:p>
          <w:p>
            <w:pPr>
              <w:pStyle w:val="TableParagraph"/>
              <w:ind w:right="480"/>
              <w:jc w:val="right"/>
              <w:rPr>
                <w:sz w:val="18"/>
              </w:rPr>
            </w:pPr>
            <w:r>
              <w:rPr>
                <w:w w:val="95"/>
                <w:sz w:val="18"/>
              </w:rPr>
              <w:t>100</w:t>
            </w:r>
          </w:p>
        </w:tc>
        <w:tc>
          <w:tcPr>
            <w:tcW w:w="820" w:type="dxa"/>
          </w:tcPr>
          <w:p>
            <w:pPr>
              <w:pStyle w:val="TableParagraph"/>
              <w:spacing w:before="2"/>
              <w:rPr>
                <w:b/>
                <w:sz w:val="19"/>
              </w:rPr>
            </w:pPr>
          </w:p>
          <w:p>
            <w:pPr>
              <w:pStyle w:val="TableParagraph"/>
              <w:ind w:right="33"/>
              <w:jc w:val="right"/>
              <w:rPr>
                <w:sz w:val="18"/>
              </w:rPr>
            </w:pPr>
            <w:r>
              <w:rPr>
                <w:w w:val="95"/>
                <w:sz w:val="18"/>
              </w:rPr>
              <w:t>100</w:t>
            </w:r>
          </w:p>
        </w:tc>
      </w:tr>
    </w:tbl>
    <w:p>
      <w:pPr>
        <w:pStyle w:val="BodyText"/>
        <w:spacing w:before="3"/>
        <w:rPr>
          <w:b/>
          <w:sz w:val="12"/>
        </w:rPr>
      </w:pPr>
    </w:p>
    <w:p>
      <w:pPr>
        <w:pStyle w:val="BodyText"/>
        <w:spacing w:before="77"/>
        <w:ind w:left="504" w:right="159"/>
      </w:pPr>
      <w:r>
        <w:rPr/>
        <w:t>There are no significant restrictions on the group's ability to access or use the assets and settle the liabilities of the group.</w:t>
      </w:r>
    </w:p>
    <w:p>
      <w:pPr>
        <w:spacing w:after="0"/>
        <w:sectPr>
          <w:type w:val="continuous"/>
          <w:pgSz w:w="11910" w:h="16840"/>
          <w:pgMar w:top="1580" w:bottom="280" w:left="900" w:right="920"/>
        </w:sectPr>
      </w:pPr>
    </w:p>
    <w:p>
      <w:pPr>
        <w:pStyle w:val="BodyText"/>
        <w:rPr>
          <w:sz w:val="20"/>
        </w:rPr>
      </w:pPr>
    </w:p>
    <w:p>
      <w:pPr>
        <w:pStyle w:val="BodyText"/>
        <w:rPr>
          <w:sz w:val="20"/>
        </w:rPr>
      </w:pPr>
    </w:p>
    <w:p>
      <w:pPr>
        <w:pStyle w:val="BodyText"/>
        <w:spacing w:before="5"/>
      </w:pPr>
    </w:p>
    <w:p>
      <w:pPr>
        <w:pStyle w:val="Heading9"/>
        <w:numPr>
          <w:ilvl w:val="0"/>
          <w:numId w:val="34"/>
        </w:numPr>
        <w:tabs>
          <w:tab w:pos="504" w:val="left" w:leader="none"/>
        </w:tabs>
        <w:spacing w:line="240" w:lineRule="auto" w:before="0" w:after="0"/>
        <w:ind w:left="504" w:right="0" w:hanging="394"/>
        <w:jc w:val="left"/>
      </w:pPr>
      <w:bookmarkStart w:name="38 Joint Operations " w:id="153"/>
      <w:bookmarkEnd w:id="153"/>
      <w:r>
        <w:rPr>
          <w:b w:val="0"/>
        </w:rPr>
      </w:r>
      <w:bookmarkStart w:name="Joint operation with Urban Growth at Cam" w:id="154"/>
      <w:bookmarkEnd w:id="154"/>
      <w:r>
        <w:rPr>
          <w:b w:val="0"/>
        </w:rPr>
      </w:r>
      <w:bookmarkStart w:name="Joint operation with Urban Growth at Cam" w:id="155"/>
      <w:bookmarkEnd w:id="155"/>
      <w:r>
        <w:rPr/>
        <w:t>Joint</w:t>
      </w:r>
      <w:r>
        <w:rPr/>
        <w:t> Operations</w:t>
      </w:r>
    </w:p>
    <w:p>
      <w:pPr>
        <w:pStyle w:val="BodyText"/>
        <w:spacing w:before="7"/>
        <w:rPr>
          <w:b/>
          <w:sz w:val="26"/>
        </w:rPr>
      </w:pPr>
    </w:p>
    <w:p>
      <w:pPr>
        <w:pStyle w:val="BodyText"/>
        <w:ind w:left="504" w:right="220"/>
      </w:pPr>
      <w:r>
        <w:rPr/>
        <w:t>Joint operation with Urban Growth at Campbelltown</w:t>
      </w:r>
    </w:p>
    <w:p>
      <w:pPr>
        <w:pStyle w:val="BodyText"/>
        <w:spacing w:before="4"/>
        <w:rPr>
          <w:sz w:val="25"/>
        </w:rPr>
      </w:pPr>
    </w:p>
    <w:p>
      <w:pPr>
        <w:pStyle w:val="BodyText"/>
        <w:ind w:left="504" w:right="98"/>
      </w:pPr>
      <w:r>
        <w:rPr/>
        <w:t>The project is for the development of a residential subdivision comprising of 966 lots over 122 hectares located on the south west portion of the Campbelltown property. Land sales commenced in 2014 and extended through a number of stages throughout 2018, subject to market demand. The development is located in a desirable south western portion of</w:t>
      </w:r>
      <w:r>
        <w:rPr>
          <w:w w:val="100"/>
        </w:rPr>
        <w:t> </w:t>
      </w:r>
      <w:r>
        <w:rPr/>
        <w:t>Campbelltown's Macarthur region, adjacent to the University campus, suburban shopping facilities, parks, and in close proximity to both a railway station and the Hume Highway. The infrastructure being built will also improve access to the University campus with a much needed second major entry road as part of the development.</w:t>
      </w:r>
    </w:p>
    <w:p>
      <w:pPr>
        <w:pStyle w:val="BodyText"/>
        <w:spacing w:before="11"/>
        <w:rPr>
          <w:sz w:val="24"/>
        </w:rPr>
      </w:pPr>
    </w:p>
    <w:p>
      <w:pPr>
        <w:pStyle w:val="BodyText"/>
        <w:ind w:left="504" w:right="220"/>
      </w:pPr>
      <w:r>
        <w:rPr/>
        <w:t>The University and Urban Growth each have a 50% interest in the operation, and share equally in the costs of development, and proceeds from sale of the developed lots. Due to decision making being shared equally, and the equal sharing of costs and output, the University has determined this to be a jointly controlled operation.</w:t>
      </w:r>
    </w:p>
    <w:p>
      <w:pPr>
        <w:pStyle w:val="BodyText"/>
      </w:pPr>
    </w:p>
    <w:p>
      <w:pPr>
        <w:pStyle w:val="BodyText"/>
      </w:pPr>
    </w:p>
    <w:p>
      <w:pPr>
        <w:pStyle w:val="Heading9"/>
        <w:spacing w:before="113"/>
        <w:ind w:left="7567" w:right="951" w:hanging="89"/>
      </w:pPr>
      <w:r>
        <w:rPr/>
        <w:t>Ownership interest/ voting rights held</w:t>
      </w:r>
    </w:p>
    <w:p>
      <w:pPr>
        <w:spacing w:after="0"/>
        <w:sectPr>
          <w:pgSz w:w="11910" w:h="16840"/>
          <w:pgMar w:header="1037" w:footer="507" w:top="2220" w:bottom="700" w:left="900" w:right="880"/>
        </w:sectPr>
      </w:pPr>
    </w:p>
    <w:p>
      <w:pPr>
        <w:tabs>
          <w:tab w:pos="3103" w:val="left" w:leader="none"/>
          <w:tab w:pos="5411" w:val="left" w:leader="none"/>
        </w:tabs>
        <w:spacing w:line="207" w:lineRule="exact" w:before="66"/>
        <w:ind w:left="623" w:right="0" w:firstLine="0"/>
        <w:jc w:val="left"/>
        <w:rPr>
          <w:b/>
          <w:sz w:val="18"/>
        </w:rPr>
      </w:pPr>
      <w:r>
        <w:rPr>
          <w:b/>
          <w:sz w:val="18"/>
        </w:rPr>
        <w:t>Name of joint operation</w:t>
        <w:tab/>
        <w:t>Nature of relationship</w:t>
        <w:tab/>
        <w:t>Principal place of</w:t>
      </w:r>
    </w:p>
    <w:p>
      <w:pPr>
        <w:spacing w:line="207" w:lineRule="exact" w:before="0"/>
        <w:ind w:left="0" w:right="353" w:firstLine="0"/>
        <w:jc w:val="right"/>
        <w:rPr>
          <w:b/>
          <w:sz w:val="18"/>
        </w:rPr>
      </w:pPr>
      <w:r>
        <w:rPr>
          <w:b/>
          <w:sz w:val="18"/>
        </w:rPr>
        <w:t>business</w:t>
      </w:r>
    </w:p>
    <w:p>
      <w:pPr>
        <w:spacing w:before="66"/>
        <w:ind w:left="521" w:right="0" w:firstLine="0"/>
        <w:jc w:val="center"/>
        <w:rPr>
          <w:b/>
          <w:sz w:val="18"/>
        </w:rPr>
      </w:pPr>
      <w:r>
        <w:rPr/>
        <w:br w:type="column"/>
      </w:r>
      <w:r>
        <w:rPr>
          <w:b/>
          <w:sz w:val="18"/>
        </w:rPr>
        <w:t>2017</w:t>
      </w:r>
    </w:p>
    <w:p>
      <w:pPr>
        <w:spacing w:before="66"/>
        <w:ind w:left="0" w:right="116" w:firstLine="0"/>
        <w:jc w:val="right"/>
        <w:rPr>
          <w:b/>
          <w:sz w:val="18"/>
        </w:rPr>
      </w:pPr>
      <w:r>
        <w:rPr>
          <w:b/>
          <w:w w:val="99"/>
          <w:sz w:val="18"/>
        </w:rPr>
        <w:t>%</w:t>
      </w:r>
    </w:p>
    <w:p>
      <w:pPr>
        <w:spacing w:before="66"/>
        <w:ind w:left="608" w:right="951" w:firstLine="0"/>
        <w:jc w:val="center"/>
        <w:rPr>
          <w:b/>
          <w:sz w:val="18"/>
        </w:rPr>
      </w:pPr>
      <w:r>
        <w:rPr/>
        <w:br w:type="column"/>
      </w:r>
      <w:r>
        <w:rPr>
          <w:b/>
          <w:sz w:val="18"/>
        </w:rPr>
        <w:t>2016</w:t>
      </w:r>
    </w:p>
    <w:p>
      <w:pPr>
        <w:spacing w:before="66"/>
        <w:ind w:left="0" w:right="337" w:firstLine="0"/>
        <w:jc w:val="center"/>
        <w:rPr>
          <w:b/>
          <w:sz w:val="18"/>
        </w:rPr>
      </w:pPr>
      <w:r>
        <w:rPr>
          <w:b/>
          <w:w w:val="99"/>
          <w:sz w:val="18"/>
        </w:rPr>
        <w:t>%</w:t>
      </w:r>
    </w:p>
    <w:p>
      <w:pPr>
        <w:spacing w:after="0"/>
        <w:jc w:val="center"/>
        <w:rPr>
          <w:sz w:val="18"/>
        </w:rPr>
        <w:sectPr>
          <w:type w:val="continuous"/>
          <w:pgSz w:w="11910" w:h="16840"/>
          <w:pgMar w:top="1580" w:bottom="280" w:left="900" w:right="880"/>
          <w:cols w:num="3" w:equalWidth="0">
            <w:col w:w="6910" w:space="40"/>
            <w:col w:w="925" w:space="254"/>
            <w:col w:w="2001"/>
          </w:cols>
        </w:sectPr>
      </w:pPr>
    </w:p>
    <w:p>
      <w:pPr>
        <w:pStyle w:val="BodyText"/>
        <w:spacing w:before="6"/>
        <w:rPr>
          <w:b/>
          <w:sz w:val="23"/>
        </w:rPr>
      </w:pPr>
    </w:p>
    <w:p>
      <w:pPr>
        <w:pStyle w:val="BodyText"/>
        <w:ind w:left="530" w:right="-9"/>
      </w:pPr>
      <w:r>
        <w:rPr/>
        <w:t>Campbelltown residential development</w:t>
      </w:r>
    </w:p>
    <w:p>
      <w:pPr>
        <w:pStyle w:val="BodyText"/>
        <w:spacing w:before="62"/>
        <w:ind w:left="198" w:right="4897"/>
      </w:pPr>
      <w:r>
        <w:rPr/>
        <w:br w:type="column"/>
      </w:r>
      <w:r>
        <w:rPr/>
        <w:t>Jointly controlled operation with Urban Growth for the</w:t>
      </w:r>
    </w:p>
    <w:p>
      <w:pPr>
        <w:pStyle w:val="BodyText"/>
        <w:tabs>
          <w:tab w:pos="3215" w:val="left" w:leader="none"/>
          <w:tab w:pos="5454" w:val="left" w:leader="none"/>
          <w:tab w:pos="6923" w:val="right" w:leader="none"/>
        </w:tabs>
        <w:spacing w:line="206" w:lineRule="exact"/>
        <w:ind w:left="198"/>
      </w:pPr>
      <w:r>
        <w:rPr/>
        <w:t>residential subdivision</w:t>
      </w:r>
      <w:r>
        <w:rPr>
          <w:spacing w:val="1"/>
        </w:rPr>
        <w:t> </w:t>
      </w:r>
      <w:r>
        <w:rPr/>
        <w:t>of land.</w:t>
        <w:tab/>
        <w:t>Australia</w:t>
        <w:tab/>
        <w:t>50</w:t>
      </w:r>
      <w:r>
        <w:rPr>
          <w:rFonts w:ascii="Times New Roman"/>
        </w:rPr>
        <w:tab/>
      </w:r>
      <w:r>
        <w:rPr/>
        <w:t>50</w:t>
      </w:r>
    </w:p>
    <w:p>
      <w:pPr>
        <w:spacing w:after="0" w:line="206" w:lineRule="exact"/>
        <w:sectPr>
          <w:type w:val="continuous"/>
          <w:pgSz w:w="11910" w:h="16840"/>
          <w:pgMar w:top="1580" w:bottom="280" w:left="900" w:right="880"/>
          <w:cols w:num="2" w:equalWidth="0">
            <w:col w:w="2553" w:space="40"/>
            <w:col w:w="7537"/>
          </w:cols>
        </w:sectPr>
      </w:pPr>
    </w:p>
    <w:p>
      <w:pPr>
        <w:pStyle w:val="BodyText"/>
        <w:spacing w:before="808"/>
        <w:ind w:left="504" w:right="130"/>
      </w:pPr>
      <w:r>
        <w:rPr/>
        <w:t>The assets and liabilities employed in the above jointly controlled operation, including Western Sydney University's share of any assets and liabilities held jointly, are detailed below. The amounts are included in the financial statements under their respective categories.</w:t>
      </w:r>
    </w:p>
    <w:p>
      <w:pPr>
        <w:pStyle w:val="Heading9"/>
        <w:tabs>
          <w:tab w:pos="8354" w:val="left" w:leader="none"/>
        </w:tabs>
        <w:spacing w:before="527"/>
        <w:ind w:left="5316" w:right="220"/>
      </w:pPr>
      <w:r>
        <w:rPr/>
        <w:t>Consolidated</w:t>
        <w:tab/>
        <w:t>Parent</w:t>
      </w:r>
    </w:p>
    <w:p>
      <w:pPr>
        <w:spacing w:after="0"/>
        <w:sectPr>
          <w:type w:val="continuous"/>
          <w:pgSz w:w="11910" w:h="16840"/>
          <w:pgMar w:top="1580" w:bottom="280" w:left="900" w:right="880"/>
        </w:sectPr>
      </w:pPr>
    </w:p>
    <w:p>
      <w:pPr>
        <w:spacing w:before="66"/>
        <w:ind w:left="0" w:right="19" w:firstLine="0"/>
        <w:jc w:val="right"/>
        <w:rPr>
          <w:b/>
          <w:sz w:val="18"/>
        </w:rPr>
      </w:pPr>
      <w:r>
        <w:rPr>
          <w:b/>
          <w:w w:val="95"/>
          <w:sz w:val="18"/>
        </w:rPr>
        <w:t>2017</w:t>
      </w:r>
    </w:p>
    <w:p>
      <w:pPr>
        <w:spacing w:before="66"/>
        <w:ind w:left="0" w:right="0" w:firstLine="0"/>
        <w:jc w:val="right"/>
        <w:rPr>
          <w:b/>
          <w:sz w:val="18"/>
        </w:rPr>
      </w:pPr>
      <w:r>
        <w:rPr>
          <w:b/>
          <w:sz w:val="18"/>
        </w:rPr>
        <w:t>$'000</w:t>
      </w:r>
    </w:p>
    <w:p>
      <w:pPr>
        <w:spacing w:before="66"/>
        <w:ind w:left="819" w:right="-16" w:firstLine="0"/>
        <w:jc w:val="left"/>
        <w:rPr>
          <w:b/>
          <w:sz w:val="18"/>
        </w:rPr>
      </w:pPr>
      <w:r>
        <w:rPr/>
        <w:br w:type="column"/>
      </w:r>
      <w:r>
        <w:rPr>
          <w:b/>
          <w:sz w:val="18"/>
        </w:rPr>
        <w:t>2016</w:t>
      </w:r>
    </w:p>
    <w:p>
      <w:pPr>
        <w:spacing w:before="66"/>
        <w:ind w:left="797" w:right="-16"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19" w:right="0" w:firstLine="0"/>
        <w:jc w:val="left"/>
        <w:rPr>
          <w:b/>
          <w:sz w:val="18"/>
        </w:rPr>
      </w:pPr>
      <w:r>
        <w:rPr/>
        <w:br w:type="column"/>
      </w:r>
      <w:r>
        <w:rPr>
          <w:b/>
          <w:sz w:val="18"/>
        </w:rPr>
        <w:t>2016</w:t>
      </w:r>
    </w:p>
    <w:p>
      <w:pPr>
        <w:spacing w:before="66"/>
        <w:ind w:left="797" w:right="0" w:firstLine="0"/>
        <w:jc w:val="left"/>
        <w:rPr>
          <w:b/>
          <w:sz w:val="18"/>
        </w:rPr>
      </w:pPr>
      <w:r>
        <w:rPr>
          <w:b/>
          <w:sz w:val="18"/>
        </w:rPr>
        <w:t>$'000</w:t>
      </w:r>
    </w:p>
    <w:p>
      <w:pPr>
        <w:spacing w:after="0"/>
        <w:jc w:val="left"/>
        <w:rPr>
          <w:sz w:val="18"/>
        </w:rPr>
        <w:sectPr>
          <w:type w:val="continuous"/>
          <w:pgSz w:w="11910" w:h="16840"/>
          <w:pgMar w:top="1580" w:bottom="280" w:left="900" w:right="880"/>
          <w:cols w:num="4" w:equalWidth="0">
            <w:col w:w="5530" w:space="40"/>
            <w:col w:w="1245" w:space="40"/>
            <w:col w:w="1437" w:space="40"/>
            <w:col w:w="1798"/>
          </w:cols>
        </w:sectPr>
      </w:pPr>
    </w:p>
    <w:p>
      <w:pPr>
        <w:pStyle w:val="BodyText"/>
        <w:spacing w:before="11"/>
        <w:rPr>
          <w:b/>
          <w:sz w:val="5"/>
        </w:rPr>
      </w:pPr>
    </w:p>
    <w:tbl>
      <w:tblPr>
        <w:tblW w:w="0" w:type="auto"/>
        <w:jc w:val="left"/>
        <w:tblInd w:w="4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18"/>
        <w:gridCol w:w="1727"/>
        <w:gridCol w:w="1410"/>
        <w:gridCol w:w="1350"/>
        <w:gridCol w:w="1022"/>
      </w:tblGrid>
      <w:tr>
        <w:trPr>
          <w:trHeight w:val="558" w:hRule="exact"/>
        </w:trPr>
        <w:tc>
          <w:tcPr>
            <w:tcW w:w="4018" w:type="dxa"/>
          </w:tcPr>
          <w:p>
            <w:pPr>
              <w:pStyle w:val="TableParagraph"/>
              <w:spacing w:before="77"/>
              <w:ind w:left="35"/>
              <w:rPr>
                <w:b/>
                <w:sz w:val="18"/>
              </w:rPr>
            </w:pPr>
            <w:r>
              <w:rPr>
                <w:b/>
                <w:sz w:val="18"/>
              </w:rPr>
              <w:t>Statement of Financial Position</w:t>
            </w:r>
          </w:p>
          <w:p>
            <w:pPr>
              <w:pStyle w:val="TableParagraph"/>
              <w:spacing w:before="30"/>
              <w:ind w:left="35"/>
              <w:rPr>
                <w:sz w:val="18"/>
              </w:rPr>
            </w:pPr>
            <w:r>
              <w:rPr>
                <w:sz w:val="18"/>
              </w:rPr>
              <w:t>Other receivables</w:t>
            </w:r>
          </w:p>
        </w:tc>
        <w:tc>
          <w:tcPr>
            <w:tcW w:w="1727" w:type="dxa"/>
          </w:tcPr>
          <w:p>
            <w:pPr>
              <w:pStyle w:val="TableParagraph"/>
              <w:rPr>
                <w:b/>
                <w:sz w:val="18"/>
              </w:rPr>
            </w:pPr>
          </w:p>
          <w:p>
            <w:pPr>
              <w:pStyle w:val="TableParagraph"/>
              <w:spacing w:before="105"/>
              <w:ind w:right="370"/>
              <w:jc w:val="right"/>
              <w:rPr>
                <w:b/>
                <w:sz w:val="18"/>
              </w:rPr>
            </w:pPr>
            <w:r>
              <w:rPr>
                <w:b/>
                <w:w w:val="95"/>
                <w:sz w:val="18"/>
              </w:rPr>
              <w:t>3,004</w:t>
            </w:r>
          </w:p>
        </w:tc>
        <w:tc>
          <w:tcPr>
            <w:tcW w:w="1410" w:type="dxa"/>
          </w:tcPr>
          <w:p>
            <w:pPr>
              <w:pStyle w:val="TableParagraph"/>
              <w:rPr>
                <w:b/>
                <w:sz w:val="18"/>
              </w:rPr>
            </w:pPr>
          </w:p>
          <w:p>
            <w:pPr>
              <w:pStyle w:val="TableParagraph"/>
              <w:spacing w:before="105"/>
              <w:ind w:left="455" w:right="464"/>
              <w:jc w:val="center"/>
              <w:rPr>
                <w:sz w:val="18"/>
              </w:rPr>
            </w:pPr>
            <w:r>
              <w:rPr>
                <w:sz w:val="18"/>
              </w:rPr>
              <w:t>2,083</w:t>
            </w:r>
          </w:p>
        </w:tc>
        <w:tc>
          <w:tcPr>
            <w:tcW w:w="1350" w:type="dxa"/>
          </w:tcPr>
          <w:p>
            <w:pPr>
              <w:pStyle w:val="TableParagraph"/>
              <w:rPr>
                <w:b/>
                <w:sz w:val="18"/>
              </w:rPr>
            </w:pPr>
          </w:p>
          <w:p>
            <w:pPr>
              <w:pStyle w:val="TableParagraph"/>
              <w:spacing w:before="105"/>
              <w:ind w:right="370"/>
              <w:jc w:val="right"/>
              <w:rPr>
                <w:b/>
                <w:sz w:val="18"/>
              </w:rPr>
            </w:pPr>
            <w:r>
              <w:rPr>
                <w:b/>
                <w:w w:val="95"/>
                <w:sz w:val="18"/>
              </w:rPr>
              <w:t>3,004</w:t>
            </w:r>
          </w:p>
        </w:tc>
        <w:tc>
          <w:tcPr>
            <w:tcW w:w="1022" w:type="dxa"/>
          </w:tcPr>
          <w:p>
            <w:pPr>
              <w:pStyle w:val="TableParagraph"/>
              <w:rPr>
                <w:b/>
                <w:sz w:val="18"/>
              </w:rPr>
            </w:pPr>
          </w:p>
          <w:p>
            <w:pPr>
              <w:pStyle w:val="TableParagraph"/>
              <w:spacing w:before="105"/>
              <w:ind w:right="93"/>
              <w:jc w:val="right"/>
              <w:rPr>
                <w:sz w:val="18"/>
              </w:rPr>
            </w:pPr>
            <w:r>
              <w:rPr>
                <w:w w:val="95"/>
                <w:sz w:val="18"/>
              </w:rPr>
              <w:t>2,083</w:t>
            </w:r>
          </w:p>
        </w:tc>
      </w:tr>
      <w:tr>
        <w:trPr>
          <w:trHeight w:val="264" w:hRule="exact"/>
        </w:trPr>
        <w:tc>
          <w:tcPr>
            <w:tcW w:w="4018" w:type="dxa"/>
          </w:tcPr>
          <w:p>
            <w:pPr>
              <w:pStyle w:val="TableParagraph"/>
              <w:spacing w:before="20"/>
              <w:ind w:left="35"/>
              <w:rPr>
                <w:sz w:val="18"/>
              </w:rPr>
            </w:pPr>
            <w:r>
              <w:rPr>
                <w:sz w:val="18"/>
              </w:rPr>
              <w:t>Construction in Progress</w:t>
            </w:r>
          </w:p>
        </w:tc>
        <w:tc>
          <w:tcPr>
            <w:tcW w:w="1727" w:type="dxa"/>
          </w:tcPr>
          <w:p>
            <w:pPr>
              <w:pStyle w:val="TableParagraph"/>
              <w:spacing w:before="18"/>
              <w:ind w:right="370"/>
              <w:jc w:val="right"/>
              <w:rPr>
                <w:b/>
                <w:sz w:val="18"/>
              </w:rPr>
            </w:pPr>
            <w:r>
              <w:rPr>
                <w:b/>
                <w:w w:val="95"/>
                <w:sz w:val="18"/>
              </w:rPr>
              <w:t>12,862</w:t>
            </w:r>
          </w:p>
        </w:tc>
        <w:tc>
          <w:tcPr>
            <w:tcW w:w="1410" w:type="dxa"/>
          </w:tcPr>
          <w:p>
            <w:pPr>
              <w:pStyle w:val="TableParagraph"/>
              <w:spacing w:before="18"/>
              <w:ind w:left="455" w:right="464"/>
              <w:jc w:val="center"/>
              <w:rPr>
                <w:sz w:val="18"/>
              </w:rPr>
            </w:pPr>
            <w:r>
              <w:rPr>
                <w:sz w:val="18"/>
              </w:rPr>
              <w:t>9,461</w:t>
            </w:r>
          </w:p>
        </w:tc>
        <w:tc>
          <w:tcPr>
            <w:tcW w:w="1350" w:type="dxa"/>
          </w:tcPr>
          <w:p>
            <w:pPr>
              <w:pStyle w:val="TableParagraph"/>
              <w:spacing w:before="18"/>
              <w:ind w:right="370"/>
              <w:jc w:val="right"/>
              <w:rPr>
                <w:b/>
                <w:sz w:val="18"/>
              </w:rPr>
            </w:pPr>
            <w:r>
              <w:rPr>
                <w:b/>
                <w:w w:val="95"/>
                <w:sz w:val="18"/>
              </w:rPr>
              <w:t>12,862</w:t>
            </w:r>
          </w:p>
        </w:tc>
        <w:tc>
          <w:tcPr>
            <w:tcW w:w="1022" w:type="dxa"/>
          </w:tcPr>
          <w:p>
            <w:pPr>
              <w:pStyle w:val="TableParagraph"/>
              <w:spacing w:before="18"/>
              <w:ind w:right="93"/>
              <w:jc w:val="right"/>
              <w:rPr>
                <w:sz w:val="18"/>
              </w:rPr>
            </w:pPr>
            <w:r>
              <w:rPr>
                <w:w w:val="95"/>
                <w:sz w:val="18"/>
              </w:rPr>
              <w:t>9,461</w:t>
            </w:r>
          </w:p>
        </w:tc>
      </w:tr>
      <w:tr>
        <w:trPr>
          <w:trHeight w:val="264" w:hRule="exact"/>
        </w:trPr>
        <w:tc>
          <w:tcPr>
            <w:tcW w:w="4018" w:type="dxa"/>
          </w:tcPr>
          <w:p>
            <w:pPr>
              <w:pStyle w:val="TableParagraph"/>
              <w:spacing w:before="20"/>
              <w:ind w:left="35"/>
              <w:rPr>
                <w:sz w:val="18"/>
              </w:rPr>
            </w:pPr>
            <w:r>
              <w:rPr>
                <w:sz w:val="18"/>
              </w:rPr>
              <w:t>Deferred income</w:t>
            </w:r>
          </w:p>
        </w:tc>
        <w:tc>
          <w:tcPr>
            <w:tcW w:w="1727" w:type="dxa"/>
          </w:tcPr>
          <w:p>
            <w:pPr>
              <w:pStyle w:val="TableParagraph"/>
              <w:spacing w:before="18"/>
              <w:ind w:right="309"/>
              <w:jc w:val="right"/>
              <w:rPr>
                <w:b/>
                <w:sz w:val="18"/>
              </w:rPr>
            </w:pPr>
            <w:r>
              <w:rPr>
                <w:b/>
                <w:w w:val="95"/>
                <w:sz w:val="18"/>
              </w:rPr>
              <w:t>(400)</w:t>
            </w:r>
          </w:p>
        </w:tc>
        <w:tc>
          <w:tcPr>
            <w:tcW w:w="1410" w:type="dxa"/>
          </w:tcPr>
          <w:p>
            <w:pPr>
              <w:pStyle w:val="TableParagraph"/>
              <w:spacing w:before="18"/>
              <w:ind w:right="421"/>
              <w:jc w:val="right"/>
              <w:rPr>
                <w:sz w:val="18"/>
              </w:rPr>
            </w:pPr>
            <w:r>
              <w:rPr>
                <w:sz w:val="18"/>
              </w:rPr>
              <w:t>(480)</w:t>
            </w:r>
          </w:p>
        </w:tc>
        <w:tc>
          <w:tcPr>
            <w:tcW w:w="1350" w:type="dxa"/>
          </w:tcPr>
          <w:p>
            <w:pPr>
              <w:pStyle w:val="TableParagraph"/>
              <w:spacing w:before="18"/>
              <w:ind w:right="309"/>
              <w:jc w:val="right"/>
              <w:rPr>
                <w:b/>
                <w:sz w:val="18"/>
              </w:rPr>
            </w:pPr>
            <w:r>
              <w:rPr>
                <w:b/>
                <w:sz w:val="18"/>
              </w:rPr>
              <w:t>(400)</w:t>
            </w:r>
          </w:p>
        </w:tc>
        <w:tc>
          <w:tcPr>
            <w:tcW w:w="1022" w:type="dxa"/>
          </w:tcPr>
          <w:p>
            <w:pPr>
              <w:pStyle w:val="TableParagraph"/>
              <w:spacing w:before="18"/>
              <w:ind w:right="33"/>
              <w:jc w:val="right"/>
              <w:rPr>
                <w:sz w:val="18"/>
              </w:rPr>
            </w:pPr>
            <w:r>
              <w:rPr>
                <w:sz w:val="18"/>
              </w:rPr>
              <w:t>(480)</w:t>
            </w:r>
          </w:p>
        </w:tc>
      </w:tr>
      <w:tr>
        <w:trPr>
          <w:trHeight w:val="306" w:hRule="exact"/>
        </w:trPr>
        <w:tc>
          <w:tcPr>
            <w:tcW w:w="4018" w:type="dxa"/>
          </w:tcPr>
          <w:p>
            <w:pPr>
              <w:pStyle w:val="TableParagraph"/>
              <w:spacing w:before="20"/>
              <w:ind w:left="35"/>
              <w:rPr>
                <w:sz w:val="18"/>
              </w:rPr>
            </w:pPr>
            <w:r>
              <w:rPr>
                <w:sz w:val="18"/>
              </w:rPr>
              <w:t>Trade and other payables</w:t>
            </w:r>
          </w:p>
        </w:tc>
        <w:tc>
          <w:tcPr>
            <w:tcW w:w="1727" w:type="dxa"/>
          </w:tcPr>
          <w:p>
            <w:pPr>
              <w:pStyle w:val="TableParagraph"/>
              <w:spacing w:before="18"/>
              <w:ind w:right="309"/>
              <w:jc w:val="right"/>
              <w:rPr>
                <w:b/>
                <w:sz w:val="18"/>
              </w:rPr>
            </w:pPr>
            <w:r>
              <w:rPr>
                <w:b/>
                <w:w w:val="95"/>
                <w:sz w:val="18"/>
              </w:rPr>
              <w:t>(1,412)</w:t>
            </w:r>
          </w:p>
        </w:tc>
        <w:tc>
          <w:tcPr>
            <w:tcW w:w="1410" w:type="dxa"/>
          </w:tcPr>
          <w:p>
            <w:pPr>
              <w:pStyle w:val="TableParagraph"/>
              <w:spacing w:before="18"/>
              <w:ind w:right="421"/>
              <w:jc w:val="right"/>
              <w:rPr>
                <w:sz w:val="18"/>
              </w:rPr>
            </w:pPr>
            <w:r>
              <w:rPr>
                <w:w w:val="95"/>
                <w:sz w:val="18"/>
              </w:rPr>
              <w:t>(1,562)</w:t>
            </w:r>
          </w:p>
        </w:tc>
        <w:tc>
          <w:tcPr>
            <w:tcW w:w="1350" w:type="dxa"/>
          </w:tcPr>
          <w:p>
            <w:pPr>
              <w:pStyle w:val="TableParagraph"/>
              <w:spacing w:before="18"/>
              <w:ind w:right="309"/>
              <w:jc w:val="right"/>
              <w:rPr>
                <w:b/>
                <w:sz w:val="18"/>
              </w:rPr>
            </w:pPr>
            <w:r>
              <w:rPr>
                <w:b/>
                <w:w w:val="95"/>
                <w:sz w:val="18"/>
              </w:rPr>
              <w:t>(1,412)</w:t>
            </w:r>
          </w:p>
        </w:tc>
        <w:tc>
          <w:tcPr>
            <w:tcW w:w="1022" w:type="dxa"/>
          </w:tcPr>
          <w:p>
            <w:pPr>
              <w:pStyle w:val="TableParagraph"/>
              <w:spacing w:before="18"/>
              <w:ind w:right="33"/>
              <w:jc w:val="right"/>
              <w:rPr>
                <w:sz w:val="18"/>
              </w:rPr>
            </w:pPr>
            <w:r>
              <w:rPr>
                <w:w w:val="95"/>
                <w:sz w:val="18"/>
              </w:rPr>
              <w:t>(1,562)</w:t>
            </w:r>
          </w:p>
        </w:tc>
      </w:tr>
      <w:tr>
        <w:trPr>
          <w:trHeight w:val="541" w:hRule="exact"/>
        </w:trPr>
        <w:tc>
          <w:tcPr>
            <w:tcW w:w="4018" w:type="dxa"/>
          </w:tcPr>
          <w:p>
            <w:pPr>
              <w:pStyle w:val="TableParagraph"/>
              <w:spacing w:before="60"/>
              <w:ind w:left="35"/>
              <w:rPr>
                <w:b/>
                <w:sz w:val="18"/>
              </w:rPr>
            </w:pPr>
            <w:r>
              <w:rPr>
                <w:b/>
                <w:sz w:val="18"/>
              </w:rPr>
              <w:t>Statement of Comprehensive Income</w:t>
            </w:r>
          </w:p>
          <w:p>
            <w:pPr>
              <w:pStyle w:val="TableParagraph"/>
              <w:spacing w:before="30"/>
              <w:ind w:left="35"/>
              <w:rPr>
                <w:sz w:val="18"/>
              </w:rPr>
            </w:pPr>
            <w:r>
              <w:rPr>
                <w:sz w:val="18"/>
              </w:rPr>
              <w:t>Proceeds from sale of assets</w:t>
            </w:r>
          </w:p>
        </w:tc>
        <w:tc>
          <w:tcPr>
            <w:tcW w:w="1727" w:type="dxa"/>
          </w:tcPr>
          <w:p>
            <w:pPr>
              <w:pStyle w:val="TableParagraph"/>
              <w:spacing w:before="7"/>
              <w:rPr>
                <w:b/>
                <w:sz w:val="25"/>
              </w:rPr>
            </w:pPr>
          </w:p>
          <w:p>
            <w:pPr>
              <w:pStyle w:val="TableParagraph"/>
              <w:ind w:right="370"/>
              <w:jc w:val="right"/>
              <w:rPr>
                <w:b/>
                <w:sz w:val="18"/>
              </w:rPr>
            </w:pPr>
            <w:r>
              <w:rPr>
                <w:b/>
                <w:w w:val="95"/>
                <w:sz w:val="18"/>
              </w:rPr>
              <w:t>16,775</w:t>
            </w:r>
          </w:p>
        </w:tc>
        <w:tc>
          <w:tcPr>
            <w:tcW w:w="1410" w:type="dxa"/>
          </w:tcPr>
          <w:p>
            <w:pPr>
              <w:pStyle w:val="TableParagraph"/>
              <w:spacing w:before="7"/>
              <w:rPr>
                <w:b/>
                <w:sz w:val="25"/>
              </w:rPr>
            </w:pPr>
          </w:p>
          <w:p>
            <w:pPr>
              <w:pStyle w:val="TableParagraph"/>
              <w:ind w:left="371" w:right="-10"/>
              <w:rPr>
                <w:sz w:val="18"/>
              </w:rPr>
            </w:pPr>
            <w:r>
              <w:rPr>
                <w:sz w:val="18"/>
              </w:rPr>
              <w:t>25,173</w:t>
            </w:r>
          </w:p>
        </w:tc>
        <w:tc>
          <w:tcPr>
            <w:tcW w:w="1350" w:type="dxa"/>
          </w:tcPr>
          <w:p>
            <w:pPr>
              <w:pStyle w:val="TableParagraph"/>
              <w:spacing w:before="7"/>
              <w:rPr>
                <w:b/>
                <w:sz w:val="25"/>
              </w:rPr>
            </w:pPr>
          </w:p>
          <w:p>
            <w:pPr>
              <w:pStyle w:val="TableParagraph"/>
              <w:ind w:right="370"/>
              <w:jc w:val="right"/>
              <w:rPr>
                <w:b/>
                <w:sz w:val="18"/>
              </w:rPr>
            </w:pPr>
            <w:r>
              <w:rPr>
                <w:b/>
                <w:w w:val="95"/>
                <w:sz w:val="18"/>
              </w:rPr>
              <w:t>16,775</w:t>
            </w:r>
          </w:p>
        </w:tc>
        <w:tc>
          <w:tcPr>
            <w:tcW w:w="1022" w:type="dxa"/>
          </w:tcPr>
          <w:p>
            <w:pPr>
              <w:pStyle w:val="TableParagraph"/>
              <w:spacing w:before="7"/>
              <w:rPr>
                <w:b/>
                <w:sz w:val="25"/>
              </w:rPr>
            </w:pPr>
          </w:p>
          <w:p>
            <w:pPr>
              <w:pStyle w:val="TableParagraph"/>
              <w:ind w:left="371"/>
              <w:rPr>
                <w:sz w:val="18"/>
              </w:rPr>
            </w:pPr>
            <w:r>
              <w:rPr>
                <w:sz w:val="18"/>
              </w:rPr>
              <w:t>25,173</w:t>
            </w:r>
          </w:p>
        </w:tc>
      </w:tr>
      <w:tr>
        <w:trPr>
          <w:trHeight w:val="264" w:hRule="exact"/>
        </w:trPr>
        <w:tc>
          <w:tcPr>
            <w:tcW w:w="4018" w:type="dxa"/>
          </w:tcPr>
          <w:p>
            <w:pPr>
              <w:pStyle w:val="TableParagraph"/>
              <w:spacing w:before="20"/>
              <w:ind w:left="35"/>
              <w:rPr>
                <w:sz w:val="18"/>
              </w:rPr>
            </w:pPr>
            <w:r>
              <w:rPr>
                <w:sz w:val="18"/>
              </w:rPr>
              <w:t>Carrying amount of assets sold</w:t>
            </w:r>
          </w:p>
        </w:tc>
        <w:tc>
          <w:tcPr>
            <w:tcW w:w="1727" w:type="dxa"/>
          </w:tcPr>
          <w:p>
            <w:pPr>
              <w:pStyle w:val="TableParagraph"/>
              <w:spacing w:before="18"/>
              <w:ind w:right="309"/>
              <w:jc w:val="right"/>
              <w:rPr>
                <w:b/>
                <w:sz w:val="18"/>
              </w:rPr>
            </w:pPr>
            <w:r>
              <w:rPr>
                <w:b/>
                <w:w w:val="95"/>
                <w:sz w:val="18"/>
              </w:rPr>
              <w:t>(6,803)</w:t>
            </w:r>
          </w:p>
        </w:tc>
        <w:tc>
          <w:tcPr>
            <w:tcW w:w="1410" w:type="dxa"/>
          </w:tcPr>
          <w:p>
            <w:pPr>
              <w:pStyle w:val="TableParagraph"/>
              <w:spacing w:before="18"/>
              <w:ind w:right="421"/>
              <w:jc w:val="right"/>
              <w:rPr>
                <w:sz w:val="18"/>
              </w:rPr>
            </w:pPr>
            <w:r>
              <w:rPr>
                <w:w w:val="95"/>
                <w:sz w:val="18"/>
              </w:rPr>
              <w:t>(11,310)</w:t>
            </w:r>
          </w:p>
        </w:tc>
        <w:tc>
          <w:tcPr>
            <w:tcW w:w="1350" w:type="dxa"/>
          </w:tcPr>
          <w:p>
            <w:pPr>
              <w:pStyle w:val="TableParagraph"/>
              <w:spacing w:before="18"/>
              <w:ind w:right="309"/>
              <w:jc w:val="right"/>
              <w:rPr>
                <w:b/>
                <w:sz w:val="18"/>
              </w:rPr>
            </w:pPr>
            <w:r>
              <w:rPr>
                <w:b/>
                <w:w w:val="95"/>
                <w:sz w:val="18"/>
              </w:rPr>
              <w:t>(6,803)</w:t>
            </w:r>
          </w:p>
        </w:tc>
        <w:tc>
          <w:tcPr>
            <w:tcW w:w="1022" w:type="dxa"/>
          </w:tcPr>
          <w:p>
            <w:pPr>
              <w:pStyle w:val="TableParagraph"/>
              <w:spacing w:before="18"/>
              <w:ind w:right="33"/>
              <w:jc w:val="right"/>
              <w:rPr>
                <w:sz w:val="18"/>
              </w:rPr>
            </w:pPr>
            <w:r>
              <w:rPr>
                <w:w w:val="95"/>
                <w:sz w:val="18"/>
              </w:rPr>
              <w:t>(11,310)</w:t>
            </w:r>
          </w:p>
        </w:tc>
      </w:tr>
      <w:tr>
        <w:trPr>
          <w:trHeight w:val="264" w:hRule="exact"/>
        </w:trPr>
        <w:tc>
          <w:tcPr>
            <w:tcW w:w="4018" w:type="dxa"/>
          </w:tcPr>
          <w:p>
            <w:pPr>
              <w:pStyle w:val="TableParagraph"/>
              <w:spacing w:before="20"/>
              <w:ind w:left="35"/>
              <w:rPr>
                <w:sz w:val="18"/>
              </w:rPr>
            </w:pPr>
            <w:r>
              <w:rPr>
                <w:sz w:val="18"/>
              </w:rPr>
              <w:t>Gain on disposal of assets</w:t>
            </w:r>
          </w:p>
        </w:tc>
        <w:tc>
          <w:tcPr>
            <w:tcW w:w="1727" w:type="dxa"/>
          </w:tcPr>
          <w:p>
            <w:pPr>
              <w:pStyle w:val="TableParagraph"/>
              <w:spacing w:before="18"/>
              <w:ind w:right="370"/>
              <w:jc w:val="right"/>
              <w:rPr>
                <w:b/>
                <w:sz w:val="18"/>
              </w:rPr>
            </w:pPr>
            <w:r>
              <w:rPr>
                <w:b/>
                <w:w w:val="95"/>
                <w:sz w:val="18"/>
              </w:rPr>
              <w:t>9,976</w:t>
            </w:r>
          </w:p>
        </w:tc>
        <w:tc>
          <w:tcPr>
            <w:tcW w:w="1410" w:type="dxa"/>
          </w:tcPr>
          <w:p>
            <w:pPr>
              <w:pStyle w:val="TableParagraph"/>
              <w:spacing w:before="18"/>
              <w:ind w:left="371" w:right="-10"/>
              <w:rPr>
                <w:sz w:val="18"/>
              </w:rPr>
            </w:pPr>
            <w:r>
              <w:rPr>
                <w:sz w:val="18"/>
              </w:rPr>
              <w:t>13,863</w:t>
            </w:r>
          </w:p>
        </w:tc>
        <w:tc>
          <w:tcPr>
            <w:tcW w:w="1350" w:type="dxa"/>
          </w:tcPr>
          <w:p>
            <w:pPr>
              <w:pStyle w:val="TableParagraph"/>
              <w:spacing w:before="18"/>
              <w:ind w:right="370"/>
              <w:jc w:val="right"/>
              <w:rPr>
                <w:b/>
                <w:sz w:val="18"/>
              </w:rPr>
            </w:pPr>
            <w:r>
              <w:rPr>
                <w:b/>
                <w:w w:val="95"/>
                <w:sz w:val="18"/>
              </w:rPr>
              <w:t>9,976</w:t>
            </w:r>
          </w:p>
        </w:tc>
        <w:tc>
          <w:tcPr>
            <w:tcW w:w="1022" w:type="dxa"/>
          </w:tcPr>
          <w:p>
            <w:pPr>
              <w:pStyle w:val="TableParagraph"/>
              <w:spacing w:before="18"/>
              <w:ind w:left="371"/>
              <w:rPr>
                <w:sz w:val="18"/>
              </w:rPr>
            </w:pPr>
            <w:r>
              <w:rPr>
                <w:sz w:val="18"/>
              </w:rPr>
              <w:t>13,863</w:t>
            </w:r>
          </w:p>
        </w:tc>
      </w:tr>
      <w:tr>
        <w:trPr>
          <w:trHeight w:val="264" w:hRule="exact"/>
        </w:trPr>
        <w:tc>
          <w:tcPr>
            <w:tcW w:w="4018" w:type="dxa"/>
          </w:tcPr>
          <w:p>
            <w:pPr>
              <w:pStyle w:val="TableParagraph"/>
              <w:spacing w:before="20"/>
              <w:ind w:left="35"/>
              <w:rPr>
                <w:sz w:val="18"/>
              </w:rPr>
            </w:pPr>
            <w:r>
              <w:rPr>
                <w:sz w:val="18"/>
              </w:rPr>
              <w:t>Other expenses</w:t>
            </w:r>
          </w:p>
        </w:tc>
        <w:tc>
          <w:tcPr>
            <w:tcW w:w="1727" w:type="dxa"/>
          </w:tcPr>
          <w:p>
            <w:pPr>
              <w:pStyle w:val="TableParagraph"/>
              <w:spacing w:before="18"/>
              <w:ind w:right="309"/>
              <w:jc w:val="right"/>
              <w:rPr>
                <w:b/>
                <w:sz w:val="18"/>
              </w:rPr>
            </w:pPr>
            <w:r>
              <w:rPr>
                <w:b/>
                <w:w w:val="95"/>
                <w:sz w:val="18"/>
              </w:rPr>
              <w:t>(331)</w:t>
            </w:r>
          </w:p>
        </w:tc>
        <w:tc>
          <w:tcPr>
            <w:tcW w:w="1410" w:type="dxa"/>
          </w:tcPr>
          <w:p>
            <w:pPr>
              <w:pStyle w:val="TableParagraph"/>
              <w:spacing w:before="18"/>
              <w:ind w:right="421"/>
              <w:jc w:val="right"/>
              <w:rPr>
                <w:sz w:val="18"/>
              </w:rPr>
            </w:pPr>
            <w:r>
              <w:rPr>
                <w:sz w:val="18"/>
              </w:rPr>
              <w:t>(500)</w:t>
            </w:r>
          </w:p>
        </w:tc>
        <w:tc>
          <w:tcPr>
            <w:tcW w:w="1350" w:type="dxa"/>
          </w:tcPr>
          <w:p>
            <w:pPr>
              <w:pStyle w:val="TableParagraph"/>
              <w:spacing w:before="18"/>
              <w:ind w:right="309"/>
              <w:jc w:val="right"/>
              <w:rPr>
                <w:b/>
                <w:sz w:val="18"/>
              </w:rPr>
            </w:pPr>
            <w:r>
              <w:rPr>
                <w:b/>
                <w:sz w:val="18"/>
              </w:rPr>
              <w:t>(331)</w:t>
            </w:r>
          </w:p>
        </w:tc>
        <w:tc>
          <w:tcPr>
            <w:tcW w:w="1022" w:type="dxa"/>
          </w:tcPr>
          <w:p>
            <w:pPr>
              <w:pStyle w:val="TableParagraph"/>
              <w:spacing w:before="18"/>
              <w:ind w:right="33"/>
              <w:jc w:val="right"/>
              <w:rPr>
                <w:sz w:val="18"/>
              </w:rPr>
            </w:pPr>
            <w:r>
              <w:rPr>
                <w:sz w:val="18"/>
              </w:rPr>
              <w:t>(500)</w:t>
            </w:r>
          </w:p>
        </w:tc>
      </w:tr>
      <w:tr>
        <w:trPr>
          <w:trHeight w:val="323" w:hRule="exact"/>
        </w:trPr>
        <w:tc>
          <w:tcPr>
            <w:tcW w:w="4018" w:type="dxa"/>
          </w:tcPr>
          <w:p>
            <w:pPr>
              <w:pStyle w:val="TableParagraph"/>
              <w:spacing w:before="20"/>
              <w:ind w:left="35"/>
              <w:rPr>
                <w:sz w:val="18"/>
              </w:rPr>
            </w:pPr>
            <w:r>
              <w:rPr>
                <w:sz w:val="18"/>
              </w:rPr>
              <w:t>Interest revenue</w:t>
            </w:r>
          </w:p>
        </w:tc>
        <w:tc>
          <w:tcPr>
            <w:tcW w:w="1727" w:type="dxa"/>
          </w:tcPr>
          <w:p>
            <w:pPr>
              <w:pStyle w:val="TableParagraph"/>
              <w:spacing w:before="18"/>
              <w:ind w:right="370"/>
              <w:jc w:val="right"/>
              <w:rPr>
                <w:b/>
                <w:sz w:val="18"/>
              </w:rPr>
            </w:pPr>
            <w:r>
              <w:rPr>
                <w:b/>
                <w:sz w:val="18"/>
              </w:rPr>
              <w:t>27</w:t>
            </w:r>
          </w:p>
        </w:tc>
        <w:tc>
          <w:tcPr>
            <w:tcW w:w="1410" w:type="dxa"/>
          </w:tcPr>
          <w:p>
            <w:pPr>
              <w:pStyle w:val="TableParagraph"/>
              <w:spacing w:before="18"/>
              <w:ind w:right="482"/>
              <w:jc w:val="right"/>
              <w:rPr>
                <w:sz w:val="18"/>
              </w:rPr>
            </w:pPr>
            <w:r>
              <w:rPr>
                <w:w w:val="99"/>
                <w:sz w:val="18"/>
              </w:rPr>
              <w:t>7</w:t>
            </w:r>
          </w:p>
        </w:tc>
        <w:tc>
          <w:tcPr>
            <w:tcW w:w="1350" w:type="dxa"/>
          </w:tcPr>
          <w:p>
            <w:pPr>
              <w:pStyle w:val="TableParagraph"/>
              <w:spacing w:before="18"/>
              <w:ind w:right="370"/>
              <w:jc w:val="right"/>
              <w:rPr>
                <w:b/>
                <w:sz w:val="18"/>
              </w:rPr>
            </w:pPr>
            <w:r>
              <w:rPr>
                <w:b/>
                <w:sz w:val="18"/>
              </w:rPr>
              <w:t>27</w:t>
            </w:r>
          </w:p>
        </w:tc>
        <w:tc>
          <w:tcPr>
            <w:tcW w:w="1022" w:type="dxa"/>
          </w:tcPr>
          <w:p>
            <w:pPr>
              <w:pStyle w:val="TableParagraph"/>
              <w:spacing w:before="18"/>
              <w:ind w:right="94"/>
              <w:jc w:val="right"/>
              <w:rPr>
                <w:sz w:val="18"/>
              </w:rPr>
            </w:pPr>
            <w:r>
              <w:rPr>
                <w:w w:val="99"/>
                <w:sz w:val="18"/>
              </w:rPr>
              <w:t>7</w:t>
            </w:r>
          </w:p>
        </w:tc>
      </w:tr>
    </w:tbl>
    <w:p>
      <w:pPr>
        <w:spacing w:after="0"/>
        <w:jc w:val="right"/>
        <w:rPr>
          <w:sz w:val="18"/>
        </w:rPr>
        <w:sectPr>
          <w:type w:val="continuous"/>
          <w:pgSz w:w="11910" w:h="16840"/>
          <w:pgMar w:top="1580" w:bottom="280" w:left="900" w:right="880"/>
        </w:sectPr>
      </w:pPr>
    </w:p>
    <w:p>
      <w:pPr>
        <w:pStyle w:val="BodyText"/>
        <w:rPr>
          <w:b/>
          <w:sz w:val="20"/>
        </w:rPr>
      </w:pPr>
    </w:p>
    <w:p>
      <w:pPr>
        <w:pStyle w:val="BodyText"/>
        <w:rPr>
          <w:b/>
          <w:sz w:val="20"/>
        </w:rPr>
      </w:pPr>
    </w:p>
    <w:p>
      <w:pPr>
        <w:pStyle w:val="BodyText"/>
        <w:spacing w:before="5"/>
        <w:rPr>
          <w:b/>
        </w:rPr>
      </w:pPr>
    </w:p>
    <w:p>
      <w:pPr>
        <w:pStyle w:val="ListParagraph"/>
        <w:numPr>
          <w:ilvl w:val="0"/>
          <w:numId w:val="34"/>
        </w:numPr>
        <w:tabs>
          <w:tab w:pos="504" w:val="left" w:leader="none"/>
        </w:tabs>
        <w:spacing w:line="240" w:lineRule="auto" w:before="0" w:after="0"/>
        <w:ind w:left="504" w:right="0" w:hanging="394"/>
        <w:jc w:val="left"/>
        <w:rPr>
          <w:b/>
          <w:sz w:val="18"/>
        </w:rPr>
      </w:pPr>
      <w:bookmarkStart w:name="39 Reconciliation of Net Results to Net " w:id="156"/>
      <w:bookmarkEnd w:id="156"/>
      <w:r>
        <w:rPr/>
      </w:r>
      <w:bookmarkStart w:name="39 Reconciliation of Net Results to Net " w:id="157"/>
      <w:bookmarkEnd w:id="157"/>
      <w:r>
        <w:rPr>
          <w:b/>
          <w:sz w:val="18"/>
        </w:rPr>
        <w:t>Reconciliation</w:t>
      </w:r>
      <w:r>
        <w:rPr>
          <w:b/>
          <w:sz w:val="18"/>
        </w:rPr>
        <w:t> of Net Results to Net Cash Flows From Operating</w:t>
      </w:r>
      <w:r>
        <w:rPr>
          <w:b/>
          <w:spacing w:val="-1"/>
          <w:sz w:val="18"/>
        </w:rPr>
        <w:t> </w:t>
      </w:r>
      <w:r>
        <w:rPr>
          <w:b/>
          <w:sz w:val="18"/>
        </w:rPr>
        <w:t>Activities</w:t>
      </w:r>
    </w:p>
    <w:p>
      <w:pPr>
        <w:pStyle w:val="BodyText"/>
        <w:rPr>
          <w:b/>
        </w:rPr>
      </w:pPr>
    </w:p>
    <w:p>
      <w:pPr>
        <w:pStyle w:val="BodyText"/>
        <w:rPr>
          <w:b/>
        </w:rPr>
      </w:pPr>
    </w:p>
    <w:p>
      <w:pPr>
        <w:tabs>
          <w:tab w:pos="8375" w:val="left" w:leader="none"/>
        </w:tabs>
        <w:spacing w:before="113"/>
        <w:ind w:left="5325" w:right="220" w:firstLine="0"/>
        <w:jc w:val="left"/>
        <w:rPr>
          <w:b/>
          <w:sz w:val="18"/>
        </w:rPr>
      </w:pPr>
      <w:r>
        <w:rPr>
          <w:b/>
          <w:sz w:val="18"/>
        </w:rPr>
        <w:t>Consolidated</w:t>
        <w:tab/>
        <w:t>Parent</w:t>
      </w:r>
    </w:p>
    <w:p>
      <w:pPr>
        <w:spacing w:after="0"/>
        <w:jc w:val="left"/>
        <w:rPr>
          <w:sz w:val="18"/>
        </w:rPr>
        <w:sectPr>
          <w:pgSz w:w="11910" w:h="16840"/>
          <w:pgMar w:header="1037" w:footer="507" w:top="2220" w:bottom="700" w:left="900" w:right="880"/>
        </w:sectPr>
      </w:pPr>
    </w:p>
    <w:p>
      <w:pPr>
        <w:spacing w:before="66"/>
        <w:ind w:left="0" w:right="19" w:firstLine="0"/>
        <w:jc w:val="right"/>
        <w:rPr>
          <w:b/>
          <w:sz w:val="18"/>
        </w:rPr>
      </w:pPr>
      <w:r>
        <w:rPr>
          <w:b/>
          <w:sz w:val="18"/>
        </w:rPr>
        <w:t>2017</w:t>
      </w:r>
    </w:p>
    <w:p>
      <w:pPr>
        <w:spacing w:before="66"/>
        <w:ind w:left="0" w:right="0" w:firstLine="0"/>
        <w:jc w:val="right"/>
        <w:rPr>
          <w:b/>
          <w:sz w:val="18"/>
        </w:rPr>
      </w:pPr>
      <w:r>
        <w:rPr>
          <w:b/>
          <w:sz w:val="18"/>
        </w:rPr>
        <w:t>$'000</w:t>
      </w:r>
    </w:p>
    <w:p>
      <w:pPr>
        <w:spacing w:before="66"/>
        <w:ind w:left="817" w:right="-17" w:firstLine="0"/>
        <w:jc w:val="left"/>
        <w:rPr>
          <w:b/>
          <w:sz w:val="18"/>
        </w:rPr>
      </w:pPr>
      <w:r>
        <w:rPr/>
        <w:br w:type="column"/>
      </w:r>
      <w:r>
        <w:rPr>
          <w:b/>
          <w:sz w:val="18"/>
        </w:rPr>
        <w:t>2016</w:t>
      </w:r>
    </w:p>
    <w:p>
      <w:pPr>
        <w:spacing w:before="66"/>
        <w:ind w:left="795" w:right="-17" w:firstLine="0"/>
        <w:jc w:val="left"/>
        <w:rPr>
          <w:b/>
          <w:sz w:val="18"/>
        </w:rPr>
      </w:pPr>
      <w:r>
        <w:rPr>
          <w:b/>
          <w:sz w:val="18"/>
        </w:rPr>
        <w:t>$'000</w:t>
      </w:r>
    </w:p>
    <w:p>
      <w:pPr>
        <w:spacing w:before="66"/>
        <w:ind w:left="0" w:right="19" w:firstLine="0"/>
        <w:jc w:val="right"/>
        <w:rPr>
          <w:b/>
          <w:sz w:val="18"/>
        </w:rPr>
      </w:pPr>
      <w:r>
        <w:rPr/>
        <w:br w:type="column"/>
      </w:r>
      <w:r>
        <w:rPr>
          <w:b/>
          <w:sz w:val="18"/>
        </w:rPr>
        <w:t>2017</w:t>
      </w:r>
    </w:p>
    <w:p>
      <w:pPr>
        <w:spacing w:before="66"/>
        <w:ind w:left="0" w:right="0" w:firstLine="0"/>
        <w:jc w:val="right"/>
        <w:rPr>
          <w:b/>
          <w:sz w:val="18"/>
        </w:rPr>
      </w:pPr>
      <w:r>
        <w:rPr>
          <w:b/>
          <w:w w:val="95"/>
          <w:sz w:val="18"/>
        </w:rPr>
        <w:t>$'000</w:t>
      </w:r>
    </w:p>
    <w:p>
      <w:pPr>
        <w:spacing w:before="66"/>
        <w:ind w:left="817" w:right="0" w:firstLine="0"/>
        <w:jc w:val="left"/>
        <w:rPr>
          <w:b/>
          <w:sz w:val="18"/>
        </w:rPr>
      </w:pPr>
      <w:r>
        <w:rPr/>
        <w:br w:type="column"/>
      </w:r>
      <w:r>
        <w:rPr>
          <w:b/>
          <w:sz w:val="18"/>
        </w:rPr>
        <w:t>2016</w:t>
      </w:r>
    </w:p>
    <w:p>
      <w:pPr>
        <w:spacing w:before="66"/>
        <w:ind w:left="795" w:right="0" w:firstLine="0"/>
        <w:jc w:val="left"/>
        <w:rPr>
          <w:b/>
          <w:sz w:val="18"/>
        </w:rPr>
      </w:pPr>
      <w:r>
        <w:rPr>
          <w:b/>
          <w:sz w:val="18"/>
        </w:rPr>
        <w:t>$'000</w:t>
      </w:r>
    </w:p>
    <w:p>
      <w:pPr>
        <w:spacing w:after="0"/>
        <w:jc w:val="left"/>
        <w:rPr>
          <w:sz w:val="18"/>
        </w:rPr>
        <w:sectPr>
          <w:type w:val="continuous"/>
          <w:pgSz w:w="11910" w:h="16840"/>
          <w:pgMar w:top="1580" w:bottom="280" w:left="900" w:right="880"/>
          <w:cols w:num="4" w:equalWidth="0">
            <w:col w:w="5554" w:space="40"/>
            <w:col w:w="1242" w:space="40"/>
            <w:col w:w="1439" w:space="40"/>
            <w:col w:w="1775"/>
          </w:cols>
        </w:sectPr>
      </w:pPr>
    </w:p>
    <w:p>
      <w:pPr>
        <w:pStyle w:val="BodyText"/>
        <w:spacing w:before="1"/>
        <w:rPr>
          <w:b/>
          <w:sz w:val="3"/>
        </w:rPr>
      </w:pPr>
    </w:p>
    <w:tbl>
      <w:tblPr>
        <w:tblW w:w="0" w:type="auto"/>
        <w:jc w:val="left"/>
        <w:tblInd w:w="5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81"/>
        <w:gridCol w:w="1747"/>
        <w:gridCol w:w="1380"/>
        <w:gridCol w:w="1380"/>
        <w:gridCol w:w="1013"/>
      </w:tblGrid>
      <w:tr>
        <w:trPr>
          <w:trHeight w:val="502" w:hRule="exact"/>
        </w:trPr>
        <w:tc>
          <w:tcPr>
            <w:tcW w:w="3981" w:type="dxa"/>
          </w:tcPr>
          <w:p>
            <w:pPr>
              <w:pStyle w:val="TableParagraph"/>
              <w:spacing w:before="23"/>
              <w:ind w:left="35" w:right="750"/>
              <w:rPr>
                <w:sz w:val="18"/>
              </w:rPr>
            </w:pPr>
            <w:r>
              <w:rPr>
                <w:sz w:val="18"/>
              </w:rPr>
              <w:t>Net result for the period</w:t>
            </w:r>
          </w:p>
          <w:p>
            <w:pPr>
              <w:pStyle w:val="TableParagraph"/>
              <w:spacing w:before="57"/>
              <w:ind w:left="248" w:right="750"/>
              <w:rPr>
                <w:sz w:val="18"/>
              </w:rPr>
            </w:pPr>
            <w:r>
              <w:rPr>
                <w:sz w:val="18"/>
              </w:rPr>
              <w:t>Net (gain)/loss on disposal of</w:t>
            </w:r>
          </w:p>
        </w:tc>
        <w:tc>
          <w:tcPr>
            <w:tcW w:w="1747" w:type="dxa"/>
          </w:tcPr>
          <w:p>
            <w:pPr>
              <w:pStyle w:val="TableParagraph"/>
              <w:spacing w:before="26"/>
              <w:ind w:right="368"/>
              <w:jc w:val="right"/>
              <w:rPr>
                <w:b/>
                <w:sz w:val="18"/>
              </w:rPr>
            </w:pPr>
            <w:r>
              <w:rPr>
                <w:b/>
                <w:w w:val="95"/>
                <w:sz w:val="18"/>
              </w:rPr>
              <w:t>52,064</w:t>
            </w:r>
          </w:p>
        </w:tc>
        <w:tc>
          <w:tcPr>
            <w:tcW w:w="1380" w:type="dxa"/>
          </w:tcPr>
          <w:p>
            <w:pPr>
              <w:pStyle w:val="TableParagraph"/>
              <w:spacing w:before="26"/>
              <w:ind w:left="369"/>
              <w:rPr>
                <w:sz w:val="18"/>
              </w:rPr>
            </w:pPr>
            <w:r>
              <w:rPr>
                <w:sz w:val="18"/>
              </w:rPr>
              <w:t>34,837</w:t>
            </w:r>
          </w:p>
        </w:tc>
        <w:tc>
          <w:tcPr>
            <w:tcW w:w="1380" w:type="dxa"/>
          </w:tcPr>
          <w:p>
            <w:pPr>
              <w:pStyle w:val="TableParagraph"/>
              <w:spacing w:before="26"/>
              <w:ind w:right="368"/>
              <w:jc w:val="right"/>
              <w:rPr>
                <w:b/>
                <w:sz w:val="18"/>
              </w:rPr>
            </w:pPr>
            <w:r>
              <w:rPr>
                <w:b/>
                <w:w w:val="95"/>
                <w:sz w:val="18"/>
              </w:rPr>
              <w:t>48,462</w:t>
            </w:r>
          </w:p>
        </w:tc>
        <w:tc>
          <w:tcPr>
            <w:tcW w:w="1013" w:type="dxa"/>
          </w:tcPr>
          <w:p>
            <w:pPr>
              <w:pStyle w:val="TableParagraph"/>
              <w:spacing w:before="26"/>
              <w:ind w:left="369"/>
              <w:rPr>
                <w:sz w:val="18"/>
              </w:rPr>
            </w:pPr>
            <w:r>
              <w:rPr>
                <w:sz w:val="18"/>
              </w:rPr>
              <w:t>36,018</w:t>
            </w:r>
          </w:p>
        </w:tc>
      </w:tr>
      <w:tr>
        <w:trPr>
          <w:trHeight w:val="234" w:hRule="exact"/>
        </w:trPr>
        <w:tc>
          <w:tcPr>
            <w:tcW w:w="3981" w:type="dxa"/>
          </w:tcPr>
          <w:p>
            <w:pPr>
              <w:pStyle w:val="TableParagraph"/>
              <w:spacing w:line="198" w:lineRule="exact"/>
              <w:ind w:left="248" w:right="750"/>
              <w:rPr>
                <w:sz w:val="18"/>
              </w:rPr>
            </w:pPr>
            <w:r>
              <w:rPr>
                <w:sz w:val="18"/>
              </w:rPr>
              <w:t>property, plant and equipment</w:t>
            </w:r>
          </w:p>
        </w:tc>
        <w:tc>
          <w:tcPr>
            <w:tcW w:w="1747" w:type="dxa"/>
          </w:tcPr>
          <w:p>
            <w:pPr>
              <w:pStyle w:val="TableParagraph"/>
              <w:spacing w:line="196" w:lineRule="exact"/>
              <w:ind w:right="307"/>
              <w:jc w:val="right"/>
              <w:rPr>
                <w:b/>
                <w:sz w:val="18"/>
              </w:rPr>
            </w:pPr>
            <w:r>
              <w:rPr>
                <w:b/>
                <w:w w:val="95"/>
                <w:sz w:val="18"/>
              </w:rPr>
              <w:t>(35,805)</w:t>
            </w:r>
          </w:p>
        </w:tc>
        <w:tc>
          <w:tcPr>
            <w:tcW w:w="1380" w:type="dxa"/>
          </w:tcPr>
          <w:p>
            <w:pPr>
              <w:pStyle w:val="TableParagraph"/>
              <w:spacing w:line="196" w:lineRule="exact"/>
              <w:ind w:left="309"/>
              <w:rPr>
                <w:sz w:val="18"/>
              </w:rPr>
            </w:pPr>
            <w:r>
              <w:rPr>
                <w:sz w:val="18"/>
              </w:rPr>
              <w:t>(13,191)</w:t>
            </w:r>
          </w:p>
        </w:tc>
        <w:tc>
          <w:tcPr>
            <w:tcW w:w="1380" w:type="dxa"/>
          </w:tcPr>
          <w:p>
            <w:pPr>
              <w:pStyle w:val="TableParagraph"/>
              <w:spacing w:line="196" w:lineRule="exact"/>
              <w:ind w:right="307"/>
              <w:jc w:val="right"/>
              <w:rPr>
                <w:b/>
                <w:sz w:val="18"/>
              </w:rPr>
            </w:pPr>
            <w:r>
              <w:rPr>
                <w:b/>
                <w:w w:val="95"/>
                <w:sz w:val="18"/>
              </w:rPr>
              <w:t>(35,940)</w:t>
            </w:r>
          </w:p>
        </w:tc>
        <w:tc>
          <w:tcPr>
            <w:tcW w:w="1013" w:type="dxa"/>
          </w:tcPr>
          <w:p>
            <w:pPr>
              <w:pStyle w:val="TableParagraph"/>
              <w:spacing w:line="196" w:lineRule="exact"/>
              <w:ind w:right="26"/>
              <w:jc w:val="right"/>
              <w:rPr>
                <w:sz w:val="18"/>
              </w:rPr>
            </w:pPr>
            <w:r>
              <w:rPr>
                <w:w w:val="95"/>
                <w:sz w:val="18"/>
              </w:rPr>
              <w:t>(12,842)</w:t>
            </w:r>
          </w:p>
        </w:tc>
      </w:tr>
      <w:tr>
        <w:trPr>
          <w:trHeight w:val="263" w:hRule="exact"/>
        </w:trPr>
        <w:tc>
          <w:tcPr>
            <w:tcW w:w="3981" w:type="dxa"/>
          </w:tcPr>
          <w:p>
            <w:pPr>
              <w:pStyle w:val="TableParagraph"/>
              <w:spacing w:before="16"/>
              <w:ind w:left="248" w:right="750"/>
              <w:rPr>
                <w:sz w:val="18"/>
              </w:rPr>
            </w:pPr>
            <w:r>
              <w:rPr>
                <w:sz w:val="18"/>
              </w:rPr>
              <w:t>Superannuation adjustments</w:t>
            </w:r>
          </w:p>
        </w:tc>
        <w:tc>
          <w:tcPr>
            <w:tcW w:w="1747" w:type="dxa"/>
          </w:tcPr>
          <w:p>
            <w:pPr>
              <w:pStyle w:val="TableParagraph"/>
              <w:spacing w:before="19"/>
              <w:ind w:right="307"/>
              <w:jc w:val="right"/>
              <w:rPr>
                <w:b/>
                <w:sz w:val="18"/>
              </w:rPr>
            </w:pPr>
            <w:r>
              <w:rPr>
                <w:b/>
                <w:w w:val="95"/>
                <w:sz w:val="18"/>
              </w:rPr>
              <w:t>(14,869)</w:t>
            </w:r>
          </w:p>
        </w:tc>
        <w:tc>
          <w:tcPr>
            <w:tcW w:w="1380" w:type="dxa"/>
          </w:tcPr>
          <w:p>
            <w:pPr>
              <w:pStyle w:val="TableParagraph"/>
              <w:spacing w:before="19"/>
              <w:ind w:left="470"/>
              <w:rPr>
                <w:sz w:val="18"/>
              </w:rPr>
            </w:pPr>
            <w:r>
              <w:rPr>
                <w:sz w:val="18"/>
              </w:rPr>
              <w:t>2,685</w:t>
            </w:r>
          </w:p>
        </w:tc>
        <w:tc>
          <w:tcPr>
            <w:tcW w:w="1380" w:type="dxa"/>
          </w:tcPr>
          <w:p>
            <w:pPr>
              <w:pStyle w:val="TableParagraph"/>
              <w:spacing w:before="19"/>
              <w:ind w:right="307"/>
              <w:jc w:val="right"/>
              <w:rPr>
                <w:b/>
                <w:sz w:val="18"/>
              </w:rPr>
            </w:pPr>
            <w:r>
              <w:rPr>
                <w:b/>
                <w:w w:val="95"/>
                <w:sz w:val="18"/>
              </w:rPr>
              <w:t>(14,869)</w:t>
            </w:r>
          </w:p>
        </w:tc>
        <w:tc>
          <w:tcPr>
            <w:tcW w:w="1013" w:type="dxa"/>
          </w:tcPr>
          <w:p>
            <w:pPr>
              <w:pStyle w:val="TableParagraph"/>
              <w:spacing w:before="19"/>
              <w:ind w:right="87"/>
              <w:jc w:val="right"/>
              <w:rPr>
                <w:sz w:val="18"/>
              </w:rPr>
            </w:pPr>
            <w:r>
              <w:rPr>
                <w:w w:val="95"/>
                <w:sz w:val="18"/>
              </w:rPr>
              <w:t>2,685</w:t>
            </w:r>
          </w:p>
        </w:tc>
      </w:tr>
      <w:tr>
        <w:trPr>
          <w:trHeight w:val="264" w:hRule="exact"/>
        </w:trPr>
        <w:tc>
          <w:tcPr>
            <w:tcW w:w="3981" w:type="dxa"/>
          </w:tcPr>
          <w:p>
            <w:pPr>
              <w:pStyle w:val="TableParagraph"/>
              <w:spacing w:before="18"/>
              <w:ind w:left="248" w:right="750"/>
              <w:rPr>
                <w:sz w:val="18"/>
              </w:rPr>
            </w:pPr>
            <w:r>
              <w:rPr>
                <w:sz w:val="18"/>
              </w:rPr>
              <w:t>Depreciation and amortisation</w:t>
            </w:r>
          </w:p>
        </w:tc>
        <w:tc>
          <w:tcPr>
            <w:tcW w:w="1747" w:type="dxa"/>
          </w:tcPr>
          <w:p>
            <w:pPr>
              <w:pStyle w:val="TableParagraph"/>
              <w:spacing w:before="20"/>
              <w:ind w:right="368"/>
              <w:jc w:val="right"/>
              <w:rPr>
                <w:b/>
                <w:sz w:val="18"/>
              </w:rPr>
            </w:pPr>
            <w:r>
              <w:rPr>
                <w:b/>
                <w:w w:val="95"/>
                <w:sz w:val="18"/>
              </w:rPr>
              <w:t>50,307</w:t>
            </w:r>
          </w:p>
        </w:tc>
        <w:tc>
          <w:tcPr>
            <w:tcW w:w="1380" w:type="dxa"/>
          </w:tcPr>
          <w:p>
            <w:pPr>
              <w:pStyle w:val="TableParagraph"/>
              <w:spacing w:before="20"/>
              <w:ind w:left="369"/>
              <w:rPr>
                <w:sz w:val="18"/>
              </w:rPr>
            </w:pPr>
            <w:r>
              <w:rPr>
                <w:sz w:val="18"/>
              </w:rPr>
              <w:t>43,874</w:t>
            </w:r>
          </w:p>
        </w:tc>
        <w:tc>
          <w:tcPr>
            <w:tcW w:w="1380" w:type="dxa"/>
          </w:tcPr>
          <w:p>
            <w:pPr>
              <w:pStyle w:val="TableParagraph"/>
              <w:spacing w:before="20"/>
              <w:ind w:right="368"/>
              <w:jc w:val="right"/>
              <w:rPr>
                <w:b/>
                <w:sz w:val="18"/>
              </w:rPr>
            </w:pPr>
            <w:r>
              <w:rPr>
                <w:b/>
                <w:w w:val="95"/>
                <w:sz w:val="18"/>
              </w:rPr>
              <w:t>48,835</w:t>
            </w:r>
          </w:p>
        </w:tc>
        <w:tc>
          <w:tcPr>
            <w:tcW w:w="1013" w:type="dxa"/>
          </w:tcPr>
          <w:p>
            <w:pPr>
              <w:pStyle w:val="TableParagraph"/>
              <w:spacing w:before="20"/>
              <w:ind w:left="369"/>
              <w:rPr>
                <w:sz w:val="18"/>
              </w:rPr>
            </w:pPr>
            <w:r>
              <w:rPr>
                <w:sz w:val="18"/>
              </w:rPr>
              <w:t>42,580</w:t>
            </w:r>
          </w:p>
        </w:tc>
      </w:tr>
      <w:tr>
        <w:trPr>
          <w:trHeight w:val="264" w:hRule="exact"/>
        </w:trPr>
        <w:tc>
          <w:tcPr>
            <w:tcW w:w="3981" w:type="dxa"/>
          </w:tcPr>
          <w:p>
            <w:pPr>
              <w:pStyle w:val="TableParagraph"/>
              <w:spacing w:before="18"/>
              <w:ind w:left="248" w:right="750"/>
              <w:rPr>
                <w:sz w:val="18"/>
              </w:rPr>
            </w:pPr>
            <w:r>
              <w:rPr>
                <w:sz w:val="18"/>
              </w:rPr>
              <w:t>Impairment of receivables</w:t>
            </w:r>
          </w:p>
        </w:tc>
        <w:tc>
          <w:tcPr>
            <w:tcW w:w="1747" w:type="dxa"/>
          </w:tcPr>
          <w:p>
            <w:pPr>
              <w:pStyle w:val="TableParagraph"/>
              <w:spacing w:before="20"/>
              <w:ind w:right="367"/>
              <w:jc w:val="right"/>
              <w:rPr>
                <w:b/>
                <w:sz w:val="18"/>
              </w:rPr>
            </w:pPr>
            <w:r>
              <w:rPr>
                <w:b/>
                <w:w w:val="95"/>
                <w:sz w:val="18"/>
              </w:rPr>
              <w:t>152</w:t>
            </w:r>
          </w:p>
        </w:tc>
        <w:tc>
          <w:tcPr>
            <w:tcW w:w="1380" w:type="dxa"/>
          </w:tcPr>
          <w:p>
            <w:pPr>
              <w:pStyle w:val="TableParagraph"/>
              <w:spacing w:before="20"/>
              <w:ind w:right="393"/>
              <w:jc w:val="right"/>
              <w:rPr>
                <w:sz w:val="18"/>
              </w:rPr>
            </w:pPr>
            <w:r>
              <w:rPr>
                <w:sz w:val="18"/>
              </w:rPr>
              <w:t>(558)</w:t>
            </w:r>
          </w:p>
        </w:tc>
        <w:tc>
          <w:tcPr>
            <w:tcW w:w="1380" w:type="dxa"/>
          </w:tcPr>
          <w:p>
            <w:pPr>
              <w:pStyle w:val="TableParagraph"/>
              <w:spacing w:before="20"/>
              <w:ind w:right="368"/>
              <w:jc w:val="right"/>
              <w:rPr>
                <w:b/>
                <w:sz w:val="18"/>
              </w:rPr>
            </w:pPr>
            <w:r>
              <w:rPr>
                <w:b/>
                <w:w w:val="95"/>
                <w:sz w:val="18"/>
              </w:rPr>
              <w:t>4,087</w:t>
            </w:r>
          </w:p>
        </w:tc>
        <w:tc>
          <w:tcPr>
            <w:tcW w:w="1013" w:type="dxa"/>
          </w:tcPr>
          <w:p>
            <w:pPr>
              <w:pStyle w:val="TableParagraph"/>
              <w:spacing w:before="20"/>
              <w:ind w:right="26"/>
              <w:jc w:val="right"/>
              <w:rPr>
                <w:sz w:val="18"/>
              </w:rPr>
            </w:pPr>
            <w:r>
              <w:rPr>
                <w:sz w:val="18"/>
              </w:rPr>
              <w:t>(311)</w:t>
            </w:r>
          </w:p>
        </w:tc>
      </w:tr>
      <w:tr>
        <w:trPr>
          <w:trHeight w:val="264" w:hRule="exact"/>
        </w:trPr>
        <w:tc>
          <w:tcPr>
            <w:tcW w:w="3981" w:type="dxa"/>
          </w:tcPr>
          <w:p>
            <w:pPr>
              <w:pStyle w:val="TableParagraph"/>
              <w:spacing w:before="18"/>
              <w:ind w:left="248" w:right="750"/>
              <w:rPr>
                <w:sz w:val="18"/>
              </w:rPr>
            </w:pPr>
            <w:r>
              <w:rPr>
                <w:sz w:val="18"/>
              </w:rPr>
              <w:t>Cost of goods sold - livestock</w:t>
            </w:r>
          </w:p>
        </w:tc>
        <w:tc>
          <w:tcPr>
            <w:tcW w:w="1747" w:type="dxa"/>
          </w:tcPr>
          <w:p>
            <w:pPr>
              <w:pStyle w:val="TableParagraph"/>
              <w:spacing w:before="20"/>
              <w:ind w:right="307"/>
              <w:jc w:val="right"/>
              <w:rPr>
                <w:b/>
                <w:sz w:val="18"/>
              </w:rPr>
            </w:pPr>
            <w:r>
              <w:rPr>
                <w:b/>
                <w:w w:val="95"/>
                <w:sz w:val="18"/>
              </w:rPr>
              <w:t>(73)</w:t>
            </w:r>
          </w:p>
        </w:tc>
        <w:tc>
          <w:tcPr>
            <w:tcW w:w="1380" w:type="dxa"/>
          </w:tcPr>
          <w:p>
            <w:pPr>
              <w:pStyle w:val="TableParagraph"/>
              <w:spacing w:before="20"/>
              <w:ind w:right="393"/>
              <w:jc w:val="right"/>
              <w:rPr>
                <w:sz w:val="18"/>
              </w:rPr>
            </w:pPr>
            <w:r>
              <w:rPr>
                <w:w w:val="95"/>
                <w:sz w:val="18"/>
              </w:rPr>
              <w:t>(82)</w:t>
            </w:r>
          </w:p>
        </w:tc>
        <w:tc>
          <w:tcPr>
            <w:tcW w:w="1380" w:type="dxa"/>
          </w:tcPr>
          <w:p>
            <w:pPr>
              <w:pStyle w:val="TableParagraph"/>
              <w:spacing w:before="20"/>
              <w:ind w:right="307"/>
              <w:jc w:val="right"/>
              <w:rPr>
                <w:b/>
                <w:sz w:val="18"/>
              </w:rPr>
            </w:pPr>
            <w:r>
              <w:rPr>
                <w:b/>
                <w:w w:val="95"/>
                <w:sz w:val="18"/>
              </w:rPr>
              <w:t>(73)</w:t>
            </w:r>
          </w:p>
        </w:tc>
        <w:tc>
          <w:tcPr>
            <w:tcW w:w="1013" w:type="dxa"/>
          </w:tcPr>
          <w:p>
            <w:pPr>
              <w:pStyle w:val="TableParagraph"/>
              <w:spacing w:before="20"/>
              <w:ind w:right="26"/>
              <w:jc w:val="right"/>
              <w:rPr>
                <w:sz w:val="18"/>
              </w:rPr>
            </w:pPr>
            <w:r>
              <w:rPr>
                <w:w w:val="95"/>
                <w:sz w:val="18"/>
              </w:rPr>
              <w:t>(82)</w:t>
            </w:r>
          </w:p>
        </w:tc>
      </w:tr>
      <w:tr>
        <w:trPr>
          <w:trHeight w:val="264" w:hRule="exact"/>
        </w:trPr>
        <w:tc>
          <w:tcPr>
            <w:tcW w:w="3981" w:type="dxa"/>
          </w:tcPr>
          <w:p>
            <w:pPr>
              <w:pStyle w:val="TableParagraph"/>
              <w:spacing w:before="18"/>
              <w:ind w:left="248" w:right="750"/>
              <w:rPr>
                <w:sz w:val="18"/>
              </w:rPr>
            </w:pPr>
            <w:r>
              <w:rPr>
                <w:sz w:val="18"/>
              </w:rPr>
              <w:t>(Increase)/decrease in trade debtors</w:t>
            </w:r>
          </w:p>
        </w:tc>
        <w:tc>
          <w:tcPr>
            <w:tcW w:w="1747" w:type="dxa"/>
          </w:tcPr>
          <w:p>
            <w:pPr>
              <w:pStyle w:val="TableParagraph"/>
              <w:spacing w:before="20"/>
              <w:ind w:right="368"/>
              <w:jc w:val="right"/>
              <w:rPr>
                <w:b/>
                <w:sz w:val="18"/>
              </w:rPr>
            </w:pPr>
            <w:r>
              <w:rPr>
                <w:b/>
                <w:w w:val="95"/>
                <w:sz w:val="18"/>
              </w:rPr>
              <w:t>6,182</w:t>
            </w:r>
          </w:p>
        </w:tc>
        <w:tc>
          <w:tcPr>
            <w:tcW w:w="1380" w:type="dxa"/>
          </w:tcPr>
          <w:p>
            <w:pPr>
              <w:pStyle w:val="TableParagraph"/>
              <w:spacing w:before="20"/>
              <w:ind w:left="309"/>
              <w:rPr>
                <w:sz w:val="18"/>
              </w:rPr>
            </w:pPr>
            <w:r>
              <w:rPr>
                <w:sz w:val="18"/>
              </w:rPr>
              <w:t>(16,431)</w:t>
            </w:r>
          </w:p>
        </w:tc>
        <w:tc>
          <w:tcPr>
            <w:tcW w:w="1380" w:type="dxa"/>
          </w:tcPr>
          <w:p>
            <w:pPr>
              <w:pStyle w:val="TableParagraph"/>
              <w:spacing w:before="20"/>
              <w:ind w:right="368"/>
              <w:jc w:val="right"/>
              <w:rPr>
                <w:b/>
                <w:sz w:val="18"/>
              </w:rPr>
            </w:pPr>
            <w:r>
              <w:rPr>
                <w:b/>
                <w:w w:val="95"/>
                <w:sz w:val="18"/>
              </w:rPr>
              <w:t>5,565</w:t>
            </w:r>
          </w:p>
        </w:tc>
        <w:tc>
          <w:tcPr>
            <w:tcW w:w="1013" w:type="dxa"/>
          </w:tcPr>
          <w:p>
            <w:pPr>
              <w:pStyle w:val="TableParagraph"/>
              <w:spacing w:before="20"/>
              <w:ind w:right="26"/>
              <w:jc w:val="right"/>
              <w:rPr>
                <w:sz w:val="18"/>
              </w:rPr>
            </w:pPr>
            <w:r>
              <w:rPr>
                <w:w w:val="95"/>
                <w:sz w:val="18"/>
              </w:rPr>
              <w:t>(15,540)</w:t>
            </w:r>
          </w:p>
        </w:tc>
      </w:tr>
      <w:tr>
        <w:trPr>
          <w:trHeight w:val="467" w:hRule="exact"/>
        </w:trPr>
        <w:tc>
          <w:tcPr>
            <w:tcW w:w="3981" w:type="dxa"/>
          </w:tcPr>
          <w:p>
            <w:pPr>
              <w:pStyle w:val="TableParagraph"/>
              <w:spacing w:before="18"/>
              <w:ind w:left="248" w:right="750"/>
              <w:rPr>
                <w:sz w:val="18"/>
              </w:rPr>
            </w:pPr>
            <w:r>
              <w:rPr>
                <w:sz w:val="18"/>
              </w:rPr>
              <w:t>Increase/(decrease) in other operating liabilities</w:t>
            </w:r>
          </w:p>
        </w:tc>
        <w:tc>
          <w:tcPr>
            <w:tcW w:w="1747" w:type="dxa"/>
          </w:tcPr>
          <w:p>
            <w:pPr>
              <w:pStyle w:val="TableParagraph"/>
              <w:spacing w:before="3"/>
              <w:rPr>
                <w:b/>
                <w:sz w:val="19"/>
              </w:rPr>
            </w:pPr>
          </w:p>
          <w:p>
            <w:pPr>
              <w:pStyle w:val="TableParagraph"/>
              <w:ind w:right="368"/>
              <w:jc w:val="right"/>
              <w:rPr>
                <w:b/>
                <w:sz w:val="18"/>
              </w:rPr>
            </w:pPr>
            <w:r>
              <w:rPr>
                <w:b/>
                <w:w w:val="95"/>
                <w:sz w:val="18"/>
              </w:rPr>
              <w:t>37,573</w:t>
            </w:r>
          </w:p>
        </w:tc>
        <w:tc>
          <w:tcPr>
            <w:tcW w:w="1380" w:type="dxa"/>
          </w:tcPr>
          <w:p>
            <w:pPr>
              <w:pStyle w:val="TableParagraph"/>
              <w:spacing w:before="3"/>
              <w:rPr>
                <w:b/>
                <w:sz w:val="19"/>
              </w:rPr>
            </w:pPr>
          </w:p>
          <w:p>
            <w:pPr>
              <w:pStyle w:val="TableParagraph"/>
              <w:ind w:left="470"/>
              <w:rPr>
                <w:sz w:val="18"/>
              </w:rPr>
            </w:pPr>
            <w:r>
              <w:rPr>
                <w:sz w:val="18"/>
              </w:rPr>
              <w:t>7,111</w:t>
            </w:r>
          </w:p>
        </w:tc>
        <w:tc>
          <w:tcPr>
            <w:tcW w:w="1380" w:type="dxa"/>
          </w:tcPr>
          <w:p>
            <w:pPr>
              <w:pStyle w:val="TableParagraph"/>
              <w:spacing w:before="3"/>
              <w:rPr>
                <w:b/>
                <w:sz w:val="19"/>
              </w:rPr>
            </w:pPr>
          </w:p>
          <w:p>
            <w:pPr>
              <w:pStyle w:val="TableParagraph"/>
              <w:ind w:right="368"/>
              <w:jc w:val="right"/>
              <w:rPr>
                <w:b/>
                <w:sz w:val="18"/>
              </w:rPr>
            </w:pPr>
            <w:r>
              <w:rPr>
                <w:b/>
                <w:w w:val="95"/>
                <w:sz w:val="18"/>
              </w:rPr>
              <w:t>37,801</w:t>
            </w:r>
          </w:p>
        </w:tc>
        <w:tc>
          <w:tcPr>
            <w:tcW w:w="1013" w:type="dxa"/>
          </w:tcPr>
          <w:p>
            <w:pPr>
              <w:pStyle w:val="TableParagraph"/>
              <w:spacing w:before="3"/>
              <w:rPr>
                <w:b/>
                <w:sz w:val="19"/>
              </w:rPr>
            </w:pPr>
          </w:p>
          <w:p>
            <w:pPr>
              <w:pStyle w:val="TableParagraph"/>
              <w:ind w:right="87"/>
              <w:jc w:val="right"/>
              <w:rPr>
                <w:sz w:val="18"/>
              </w:rPr>
            </w:pPr>
            <w:r>
              <w:rPr>
                <w:w w:val="95"/>
                <w:sz w:val="18"/>
              </w:rPr>
              <w:t>6,611</w:t>
            </w:r>
          </w:p>
        </w:tc>
      </w:tr>
      <w:tr>
        <w:trPr>
          <w:trHeight w:val="263" w:hRule="exact"/>
        </w:trPr>
        <w:tc>
          <w:tcPr>
            <w:tcW w:w="3981" w:type="dxa"/>
          </w:tcPr>
          <w:p>
            <w:pPr>
              <w:pStyle w:val="TableParagraph"/>
              <w:spacing w:before="16"/>
              <w:ind w:left="248" w:right="750"/>
              <w:rPr>
                <w:sz w:val="18"/>
              </w:rPr>
            </w:pPr>
            <w:r>
              <w:rPr>
                <w:sz w:val="18"/>
              </w:rPr>
              <w:t>(Increase)/decrease in inventories</w:t>
            </w:r>
          </w:p>
        </w:tc>
        <w:tc>
          <w:tcPr>
            <w:tcW w:w="1747" w:type="dxa"/>
          </w:tcPr>
          <w:p>
            <w:pPr>
              <w:pStyle w:val="TableParagraph"/>
              <w:spacing w:before="19"/>
              <w:ind w:right="307"/>
              <w:jc w:val="right"/>
              <w:rPr>
                <w:b/>
                <w:sz w:val="18"/>
              </w:rPr>
            </w:pPr>
            <w:r>
              <w:rPr>
                <w:b/>
                <w:w w:val="95"/>
                <w:sz w:val="18"/>
              </w:rPr>
              <w:t>(43)</w:t>
            </w:r>
          </w:p>
        </w:tc>
        <w:tc>
          <w:tcPr>
            <w:tcW w:w="1380" w:type="dxa"/>
          </w:tcPr>
          <w:p>
            <w:pPr>
              <w:pStyle w:val="TableParagraph"/>
              <w:spacing w:before="19"/>
              <w:ind w:left="470"/>
              <w:rPr>
                <w:sz w:val="18"/>
              </w:rPr>
            </w:pPr>
            <w:r>
              <w:rPr>
                <w:sz w:val="18"/>
              </w:rPr>
              <w:t>2,873</w:t>
            </w:r>
          </w:p>
        </w:tc>
        <w:tc>
          <w:tcPr>
            <w:tcW w:w="1380" w:type="dxa"/>
          </w:tcPr>
          <w:p>
            <w:pPr>
              <w:pStyle w:val="TableParagraph"/>
              <w:spacing w:before="19"/>
              <w:ind w:right="367"/>
              <w:jc w:val="right"/>
              <w:rPr>
                <w:b/>
                <w:sz w:val="18"/>
              </w:rPr>
            </w:pPr>
            <w:r>
              <w:rPr>
                <w:b/>
                <w:w w:val="99"/>
                <w:sz w:val="18"/>
              </w:rPr>
              <w:t>-</w:t>
            </w:r>
          </w:p>
        </w:tc>
        <w:tc>
          <w:tcPr>
            <w:tcW w:w="1013" w:type="dxa"/>
          </w:tcPr>
          <w:p>
            <w:pPr>
              <w:pStyle w:val="TableParagraph"/>
              <w:spacing w:before="19"/>
              <w:ind w:right="86"/>
              <w:jc w:val="right"/>
              <w:rPr>
                <w:sz w:val="18"/>
              </w:rPr>
            </w:pPr>
            <w:r>
              <w:rPr>
                <w:w w:val="99"/>
                <w:sz w:val="18"/>
              </w:rPr>
              <w:t>-</w:t>
            </w:r>
          </w:p>
        </w:tc>
      </w:tr>
      <w:tr>
        <w:trPr>
          <w:trHeight w:val="467" w:hRule="exact"/>
        </w:trPr>
        <w:tc>
          <w:tcPr>
            <w:tcW w:w="3981" w:type="dxa"/>
          </w:tcPr>
          <w:p>
            <w:pPr>
              <w:pStyle w:val="TableParagraph"/>
              <w:spacing w:before="18"/>
              <w:ind w:left="248" w:right="750"/>
              <w:rPr>
                <w:sz w:val="18"/>
              </w:rPr>
            </w:pPr>
            <w:r>
              <w:rPr>
                <w:sz w:val="18"/>
              </w:rPr>
              <w:t>(Increase)/decrease in other non- financial assets</w:t>
            </w:r>
          </w:p>
        </w:tc>
        <w:tc>
          <w:tcPr>
            <w:tcW w:w="1747" w:type="dxa"/>
          </w:tcPr>
          <w:p>
            <w:pPr>
              <w:pStyle w:val="TableParagraph"/>
              <w:spacing w:before="3"/>
              <w:rPr>
                <w:b/>
                <w:sz w:val="19"/>
              </w:rPr>
            </w:pPr>
          </w:p>
          <w:p>
            <w:pPr>
              <w:pStyle w:val="TableParagraph"/>
              <w:ind w:right="307"/>
              <w:jc w:val="right"/>
              <w:rPr>
                <w:b/>
                <w:sz w:val="18"/>
              </w:rPr>
            </w:pPr>
            <w:r>
              <w:rPr>
                <w:b/>
                <w:w w:val="95"/>
                <w:sz w:val="18"/>
              </w:rPr>
              <w:t>(5,110)</w:t>
            </w:r>
          </w:p>
        </w:tc>
        <w:tc>
          <w:tcPr>
            <w:tcW w:w="1380" w:type="dxa"/>
          </w:tcPr>
          <w:p>
            <w:pPr>
              <w:pStyle w:val="TableParagraph"/>
              <w:spacing w:before="3"/>
              <w:rPr>
                <w:b/>
                <w:sz w:val="19"/>
              </w:rPr>
            </w:pPr>
          </w:p>
          <w:p>
            <w:pPr>
              <w:pStyle w:val="TableParagraph"/>
              <w:ind w:right="393"/>
              <w:jc w:val="right"/>
              <w:rPr>
                <w:sz w:val="18"/>
              </w:rPr>
            </w:pPr>
            <w:r>
              <w:rPr>
                <w:sz w:val="18"/>
              </w:rPr>
              <w:t>(602)</w:t>
            </w:r>
          </w:p>
        </w:tc>
        <w:tc>
          <w:tcPr>
            <w:tcW w:w="1380" w:type="dxa"/>
          </w:tcPr>
          <w:p>
            <w:pPr>
              <w:pStyle w:val="TableParagraph"/>
              <w:spacing w:before="3"/>
              <w:rPr>
                <w:b/>
                <w:sz w:val="19"/>
              </w:rPr>
            </w:pPr>
          </w:p>
          <w:p>
            <w:pPr>
              <w:pStyle w:val="TableParagraph"/>
              <w:ind w:right="307"/>
              <w:jc w:val="right"/>
              <w:rPr>
                <w:b/>
                <w:sz w:val="18"/>
              </w:rPr>
            </w:pPr>
            <w:r>
              <w:rPr>
                <w:b/>
                <w:w w:val="95"/>
                <w:sz w:val="18"/>
              </w:rPr>
              <w:t>(5,110)</w:t>
            </w:r>
          </w:p>
        </w:tc>
        <w:tc>
          <w:tcPr>
            <w:tcW w:w="1013" w:type="dxa"/>
          </w:tcPr>
          <w:p>
            <w:pPr>
              <w:pStyle w:val="TableParagraph"/>
              <w:spacing w:before="3"/>
              <w:rPr>
                <w:b/>
                <w:sz w:val="19"/>
              </w:rPr>
            </w:pPr>
          </w:p>
          <w:p>
            <w:pPr>
              <w:pStyle w:val="TableParagraph"/>
              <w:ind w:right="26"/>
              <w:jc w:val="right"/>
              <w:rPr>
                <w:sz w:val="18"/>
              </w:rPr>
            </w:pPr>
            <w:r>
              <w:rPr>
                <w:sz w:val="18"/>
              </w:rPr>
              <w:t>(602)</w:t>
            </w:r>
          </w:p>
        </w:tc>
      </w:tr>
      <w:tr>
        <w:trPr>
          <w:trHeight w:val="466" w:hRule="exact"/>
        </w:trPr>
        <w:tc>
          <w:tcPr>
            <w:tcW w:w="3981" w:type="dxa"/>
          </w:tcPr>
          <w:p>
            <w:pPr>
              <w:pStyle w:val="TableParagraph"/>
              <w:spacing w:before="16"/>
              <w:ind w:left="248" w:right="1461"/>
              <w:rPr>
                <w:sz w:val="18"/>
              </w:rPr>
            </w:pPr>
            <w:r>
              <w:rPr>
                <w:sz w:val="18"/>
              </w:rPr>
              <w:t>Increase/(decrease) in trade creditors</w:t>
            </w:r>
          </w:p>
        </w:tc>
        <w:tc>
          <w:tcPr>
            <w:tcW w:w="1747" w:type="dxa"/>
          </w:tcPr>
          <w:p>
            <w:pPr>
              <w:pStyle w:val="TableParagraph"/>
              <w:spacing w:before="2"/>
              <w:rPr>
                <w:b/>
                <w:sz w:val="19"/>
              </w:rPr>
            </w:pPr>
          </w:p>
          <w:p>
            <w:pPr>
              <w:pStyle w:val="TableParagraph"/>
              <w:ind w:right="368"/>
              <w:jc w:val="right"/>
              <w:rPr>
                <w:b/>
                <w:sz w:val="18"/>
              </w:rPr>
            </w:pPr>
            <w:r>
              <w:rPr>
                <w:b/>
                <w:w w:val="95"/>
                <w:sz w:val="18"/>
              </w:rPr>
              <w:t>12,228</w:t>
            </w:r>
          </w:p>
        </w:tc>
        <w:tc>
          <w:tcPr>
            <w:tcW w:w="1380" w:type="dxa"/>
          </w:tcPr>
          <w:p>
            <w:pPr>
              <w:pStyle w:val="TableParagraph"/>
              <w:spacing w:before="2"/>
              <w:rPr>
                <w:b/>
                <w:sz w:val="19"/>
              </w:rPr>
            </w:pPr>
          </w:p>
          <w:p>
            <w:pPr>
              <w:pStyle w:val="TableParagraph"/>
              <w:ind w:left="309"/>
              <w:rPr>
                <w:sz w:val="18"/>
              </w:rPr>
            </w:pPr>
            <w:r>
              <w:rPr>
                <w:sz w:val="18"/>
              </w:rPr>
              <w:t>(10,765)</w:t>
            </w:r>
          </w:p>
        </w:tc>
        <w:tc>
          <w:tcPr>
            <w:tcW w:w="1380" w:type="dxa"/>
          </w:tcPr>
          <w:p>
            <w:pPr>
              <w:pStyle w:val="TableParagraph"/>
              <w:spacing w:before="2"/>
              <w:rPr>
                <w:b/>
                <w:sz w:val="19"/>
              </w:rPr>
            </w:pPr>
          </w:p>
          <w:p>
            <w:pPr>
              <w:pStyle w:val="TableParagraph"/>
              <w:ind w:right="368"/>
              <w:jc w:val="right"/>
              <w:rPr>
                <w:b/>
                <w:sz w:val="18"/>
              </w:rPr>
            </w:pPr>
            <w:r>
              <w:rPr>
                <w:b/>
                <w:w w:val="95"/>
                <w:sz w:val="18"/>
              </w:rPr>
              <w:t>12,134</w:t>
            </w:r>
          </w:p>
        </w:tc>
        <w:tc>
          <w:tcPr>
            <w:tcW w:w="1013" w:type="dxa"/>
          </w:tcPr>
          <w:p>
            <w:pPr>
              <w:pStyle w:val="TableParagraph"/>
              <w:spacing w:before="2"/>
              <w:rPr>
                <w:b/>
                <w:sz w:val="19"/>
              </w:rPr>
            </w:pPr>
          </w:p>
          <w:p>
            <w:pPr>
              <w:pStyle w:val="TableParagraph"/>
              <w:ind w:right="26"/>
              <w:jc w:val="right"/>
              <w:rPr>
                <w:sz w:val="18"/>
              </w:rPr>
            </w:pPr>
            <w:r>
              <w:rPr>
                <w:w w:val="95"/>
                <w:sz w:val="18"/>
              </w:rPr>
              <w:t>(10,151)</w:t>
            </w:r>
          </w:p>
        </w:tc>
      </w:tr>
      <w:tr>
        <w:trPr>
          <w:trHeight w:val="463" w:hRule="exact"/>
        </w:trPr>
        <w:tc>
          <w:tcPr>
            <w:tcW w:w="3981" w:type="dxa"/>
          </w:tcPr>
          <w:p>
            <w:pPr>
              <w:pStyle w:val="TableParagraph"/>
              <w:spacing w:before="16"/>
              <w:ind w:left="248" w:right="750"/>
              <w:rPr>
                <w:sz w:val="18"/>
              </w:rPr>
            </w:pPr>
            <w:r>
              <w:rPr>
                <w:sz w:val="18"/>
              </w:rPr>
              <w:t>Increase/(decrease) in other provisions</w:t>
            </w:r>
          </w:p>
        </w:tc>
        <w:tc>
          <w:tcPr>
            <w:tcW w:w="1747" w:type="dxa"/>
            <w:tcBorders>
              <w:bottom w:val="single" w:sz="1" w:space="0" w:color="000000"/>
            </w:tcBorders>
          </w:tcPr>
          <w:p>
            <w:pPr>
              <w:pStyle w:val="TableParagraph"/>
              <w:spacing w:before="2"/>
              <w:rPr>
                <w:b/>
                <w:sz w:val="19"/>
              </w:rPr>
            </w:pPr>
          </w:p>
          <w:p>
            <w:pPr>
              <w:pStyle w:val="TableParagraph"/>
              <w:ind w:right="368"/>
              <w:jc w:val="right"/>
              <w:rPr>
                <w:b/>
                <w:sz w:val="18"/>
              </w:rPr>
            </w:pPr>
            <w:r>
              <w:rPr>
                <w:b/>
                <w:w w:val="95"/>
                <w:sz w:val="18"/>
              </w:rPr>
              <w:t>14,664</w:t>
            </w:r>
          </w:p>
        </w:tc>
        <w:tc>
          <w:tcPr>
            <w:tcW w:w="1380" w:type="dxa"/>
            <w:tcBorders>
              <w:bottom w:val="single" w:sz="1" w:space="0" w:color="000000"/>
            </w:tcBorders>
          </w:tcPr>
          <w:p>
            <w:pPr>
              <w:pStyle w:val="TableParagraph"/>
              <w:spacing w:before="2"/>
              <w:rPr>
                <w:b/>
                <w:sz w:val="19"/>
              </w:rPr>
            </w:pPr>
          </w:p>
          <w:p>
            <w:pPr>
              <w:pStyle w:val="TableParagraph"/>
              <w:ind w:right="393"/>
              <w:jc w:val="right"/>
              <w:rPr>
                <w:sz w:val="18"/>
              </w:rPr>
            </w:pPr>
            <w:r>
              <w:rPr>
                <w:w w:val="95"/>
                <w:sz w:val="18"/>
              </w:rPr>
              <w:t>(6,253)</w:t>
            </w:r>
          </w:p>
        </w:tc>
        <w:tc>
          <w:tcPr>
            <w:tcW w:w="1380" w:type="dxa"/>
            <w:tcBorders>
              <w:bottom w:val="single" w:sz="1" w:space="0" w:color="000000"/>
            </w:tcBorders>
          </w:tcPr>
          <w:p>
            <w:pPr>
              <w:pStyle w:val="TableParagraph"/>
              <w:spacing w:before="2"/>
              <w:rPr>
                <w:b/>
                <w:sz w:val="19"/>
              </w:rPr>
            </w:pPr>
          </w:p>
          <w:p>
            <w:pPr>
              <w:pStyle w:val="TableParagraph"/>
              <w:ind w:right="368"/>
              <w:jc w:val="right"/>
              <w:rPr>
                <w:b/>
                <w:sz w:val="18"/>
              </w:rPr>
            </w:pPr>
            <w:r>
              <w:rPr>
                <w:b/>
                <w:w w:val="95"/>
                <w:sz w:val="18"/>
              </w:rPr>
              <w:t>14,425</w:t>
            </w:r>
          </w:p>
        </w:tc>
        <w:tc>
          <w:tcPr>
            <w:tcW w:w="1013" w:type="dxa"/>
            <w:tcBorders>
              <w:bottom w:val="single" w:sz="1" w:space="0" w:color="000000"/>
            </w:tcBorders>
          </w:tcPr>
          <w:p>
            <w:pPr>
              <w:pStyle w:val="TableParagraph"/>
              <w:spacing w:before="2"/>
              <w:rPr>
                <w:b/>
                <w:sz w:val="19"/>
              </w:rPr>
            </w:pPr>
          </w:p>
          <w:p>
            <w:pPr>
              <w:pStyle w:val="TableParagraph"/>
              <w:ind w:right="26"/>
              <w:jc w:val="right"/>
              <w:rPr>
                <w:sz w:val="18"/>
              </w:rPr>
            </w:pPr>
            <w:r>
              <w:rPr>
                <w:w w:val="95"/>
                <w:sz w:val="18"/>
              </w:rPr>
              <w:t>(6,105)</w:t>
            </w:r>
          </w:p>
        </w:tc>
      </w:tr>
    </w:tbl>
    <w:p>
      <w:pPr>
        <w:spacing w:line="207" w:lineRule="exact" w:before="123"/>
        <w:ind w:left="547" w:right="220" w:firstLine="0"/>
        <w:jc w:val="left"/>
        <w:rPr>
          <w:b/>
          <w:sz w:val="18"/>
        </w:rPr>
      </w:pPr>
      <w:r>
        <w:rPr>
          <w:b/>
          <w:sz w:val="18"/>
        </w:rPr>
        <w:t>Net cash provided by operating</w:t>
      </w:r>
    </w:p>
    <w:p>
      <w:pPr>
        <w:tabs>
          <w:tab w:pos="5215" w:val="left" w:leader="none"/>
          <w:tab w:pos="6609" w:val="left" w:leader="none"/>
          <w:tab w:pos="7975" w:val="left" w:leader="none"/>
          <w:tab w:pos="9369" w:val="left" w:leader="none"/>
        </w:tabs>
        <w:spacing w:line="207" w:lineRule="exact" w:before="0"/>
        <w:ind w:left="547" w:right="130" w:firstLine="0"/>
        <w:jc w:val="left"/>
        <w:rPr>
          <w:sz w:val="18"/>
        </w:rPr>
      </w:pPr>
      <w:r>
        <w:rPr>
          <w:b/>
          <w:sz w:val="18"/>
        </w:rPr>
        <w:t>activities</w:t>
        <w:tab/>
        <w:t>117,270</w:t>
        <w:tab/>
      </w:r>
      <w:r>
        <w:rPr>
          <w:sz w:val="18"/>
        </w:rPr>
        <w:t>43,498</w:t>
        <w:tab/>
      </w:r>
      <w:r>
        <w:rPr>
          <w:b/>
          <w:sz w:val="18"/>
        </w:rPr>
        <w:t>115,317</w:t>
        <w:tab/>
      </w:r>
      <w:r>
        <w:rPr>
          <w:sz w:val="18"/>
        </w:rPr>
        <w:t>42,261</w:t>
      </w:r>
    </w:p>
    <w:p>
      <w:pPr>
        <w:pStyle w:val="BodyText"/>
        <w:spacing w:line="48" w:lineRule="exact"/>
        <w:ind w:left="4491"/>
        <w:rPr>
          <w:sz w:val="4"/>
        </w:rPr>
      </w:pPr>
      <w:r>
        <w:rPr>
          <w:position w:val="0"/>
          <w:sz w:val="4"/>
        </w:rPr>
        <w:pict>
          <v:group style="width:276.150pt;height:2.450pt;mso-position-horizontal-relative:char;mso-position-vertical-relative:line" coordorigin="0,0" coordsize="5523,49">
            <v:line style="position:absolute" from="2,2" to="170,2" stroked="true" strokeweight=".12pt" strokecolor="#000000"/>
            <v:line style="position:absolute" from="2,4" to="170,4" stroked="true" strokeweight=".12pt" strokecolor="#000000"/>
            <v:line style="position:absolute" from="2,6" to="170,6" stroked="true" strokeweight=".12pt" strokecolor="#000000"/>
            <v:line style="position:absolute" from="2,9" to="170,9" stroked="true" strokeweight=".12pt" strokecolor="#000000"/>
            <v:line style="position:absolute" from="2,11" to="170,11" stroked="true" strokeweight=".12pt" strokecolor="#000000"/>
            <v:line style="position:absolute" from="2,14" to="170,14" stroked="true" strokeweight=".12pt" strokecolor="#000000"/>
            <v:line style="position:absolute" from="2,35" to="170,35" stroked="true" strokeweight=".12pt" strokecolor="#000000"/>
            <v:line style="position:absolute" from="2,38" to="170,38" stroked="true" strokeweight=".12pt" strokecolor="#000000"/>
            <v:line style="position:absolute" from="2,40" to="170,40" stroked="true" strokeweight=".12pt" strokecolor="#000000"/>
            <v:line style="position:absolute" from="2,42" to="170,42" stroked="true" strokeweight=".12pt" strokecolor="#000000"/>
            <v:line style="position:absolute" from="2,45" to="170,45" stroked="true" strokeweight=".12pt" strokecolor="#000000"/>
            <v:line style="position:absolute" from="2,47" to="170,47" stroked="true" strokeweight=".12pt" strokecolor="#000000"/>
            <v:line style="position:absolute" from="170,2" to="1466,2" stroked="true" strokeweight=".12pt" strokecolor="#000000"/>
            <v:line style="position:absolute" from="170,4" to="1466,4" stroked="true" strokeweight=".12pt" strokecolor="#000000"/>
            <v:line style="position:absolute" from="170,6" to="1466,6" stroked="true" strokeweight=".12pt" strokecolor="#000000"/>
            <v:line style="position:absolute" from="170,9" to="1466,9" stroked="true" strokeweight=".12pt" strokecolor="#000000"/>
            <v:line style="position:absolute" from="170,11" to="1466,11" stroked="true" strokeweight=".12pt" strokecolor="#000000"/>
            <v:line style="position:absolute" from="170,14" to="1466,14" stroked="true" strokeweight=".12pt" strokecolor="#000000"/>
            <v:line style="position:absolute" from="170,35" to="1466,35" stroked="true" strokeweight=".12pt" strokecolor="#000000"/>
            <v:line style="position:absolute" from="170,38" to="1466,38" stroked="true" strokeweight=".12pt" strokecolor="#000000"/>
            <v:line style="position:absolute" from="170,40" to="1466,40" stroked="true" strokeweight=".12pt" strokecolor="#000000"/>
            <v:line style="position:absolute" from="170,42" to="1466,42" stroked="true" strokeweight=".12pt" strokecolor="#000000"/>
            <v:line style="position:absolute" from="170,45" to="1466,45" stroked="true" strokeweight=".12pt" strokecolor="#000000"/>
            <v:line style="position:absolute" from="170,47" to="1466,47" stroked="true" strokeweight=".12pt" strokecolor="#000000"/>
            <v:line style="position:absolute" from="1466,2" to="2762,2" stroked="true" strokeweight=".12pt" strokecolor="#000000"/>
            <v:line style="position:absolute" from="1466,4" to="2762,4" stroked="true" strokeweight=".12pt" strokecolor="#000000"/>
            <v:line style="position:absolute" from="1466,6" to="2762,6" stroked="true" strokeweight=".12pt" strokecolor="#000000"/>
            <v:line style="position:absolute" from="1466,9" to="2762,9" stroked="true" strokeweight=".12pt" strokecolor="#000000"/>
            <v:line style="position:absolute" from="1466,11" to="2762,11" stroked="true" strokeweight=".12pt" strokecolor="#000000"/>
            <v:line style="position:absolute" from="1466,14" to="2762,14" stroked="true" strokeweight=".12pt" strokecolor="#000000"/>
            <v:line style="position:absolute" from="1466,35" to="2762,35" stroked="true" strokeweight=".12pt" strokecolor="#000000"/>
            <v:line style="position:absolute" from="1466,38" to="2762,38" stroked="true" strokeweight=".12pt" strokecolor="#000000"/>
            <v:line style="position:absolute" from="1466,40" to="2762,40" stroked="true" strokeweight=".12pt" strokecolor="#000000"/>
            <v:line style="position:absolute" from="1466,42" to="2762,42" stroked="true" strokeweight=".12pt" strokecolor="#000000"/>
            <v:line style="position:absolute" from="1466,45" to="2762,45" stroked="true" strokeweight=".12pt" strokecolor="#000000"/>
            <v:line style="position:absolute" from="1466,47" to="2762,47" stroked="true" strokeweight=".12pt" strokecolor="#000000"/>
            <v:line style="position:absolute" from="2761,2" to="2929,2" stroked="true" strokeweight=".12pt" strokecolor="#000000"/>
            <v:line style="position:absolute" from="2761,4" to="2929,4" stroked="true" strokeweight=".12pt" strokecolor="#000000"/>
            <v:line style="position:absolute" from="2761,6" to="2929,6" stroked="true" strokeweight=".12pt" strokecolor="#000000"/>
            <v:line style="position:absolute" from="2761,9" to="2929,9" stroked="true" strokeweight=".12pt" strokecolor="#000000"/>
            <v:line style="position:absolute" from="2761,11" to="2929,11" stroked="true" strokeweight=".12pt" strokecolor="#000000"/>
            <v:line style="position:absolute" from="2761,14" to="2929,14" stroked="true" strokeweight=".12pt" strokecolor="#000000"/>
            <v:line style="position:absolute" from="2761,35" to="2929,35" stroked="true" strokeweight=".12pt" strokecolor="#000000"/>
            <v:line style="position:absolute" from="2761,38" to="2929,38" stroked="true" strokeweight=".12pt" strokecolor="#000000"/>
            <v:line style="position:absolute" from="2761,40" to="2929,40" stroked="true" strokeweight=".12pt" strokecolor="#000000"/>
            <v:line style="position:absolute" from="2761,42" to="2929,42" stroked="true" strokeweight=".12pt" strokecolor="#000000"/>
            <v:line style="position:absolute" from="2761,45" to="2929,45" stroked="true" strokeweight=".12pt" strokecolor="#000000"/>
            <v:line style="position:absolute" from="2761,47" to="2929,47" stroked="true" strokeweight=".12pt" strokecolor="#000000"/>
            <v:line style="position:absolute" from="2930,2" to="4226,2" stroked="true" strokeweight=".12pt" strokecolor="#000000"/>
            <v:line style="position:absolute" from="2930,4" to="4226,4" stroked="true" strokeweight=".12pt" strokecolor="#000000"/>
            <v:line style="position:absolute" from="2930,6" to="4226,6" stroked="true" strokeweight=".12pt" strokecolor="#000000"/>
            <v:line style="position:absolute" from="2930,9" to="4226,9" stroked="true" strokeweight=".12pt" strokecolor="#000000"/>
            <v:line style="position:absolute" from="2930,11" to="4226,11" stroked="true" strokeweight=".12pt" strokecolor="#000000"/>
            <v:line style="position:absolute" from="2930,14" to="4226,14" stroked="true" strokeweight=".12pt" strokecolor="#000000"/>
            <v:line style="position:absolute" from="2930,35" to="4226,35" stroked="true" strokeweight=".12pt" strokecolor="#000000"/>
            <v:line style="position:absolute" from="2930,38" to="4226,38" stroked="true" strokeweight=".12pt" strokecolor="#000000"/>
            <v:line style="position:absolute" from="2930,40" to="4226,40" stroked="true" strokeweight=".12pt" strokecolor="#000000"/>
            <v:line style="position:absolute" from="2930,42" to="4226,42" stroked="true" strokeweight=".12pt" strokecolor="#000000"/>
            <v:line style="position:absolute" from="2930,45" to="4226,45" stroked="true" strokeweight=".12pt" strokecolor="#000000"/>
            <v:line style="position:absolute" from="2930,47" to="4226,47" stroked="true" strokeweight=".12pt" strokecolor="#000000"/>
            <v:line style="position:absolute" from="4225,2" to="5521,2" stroked="true" strokeweight=".12pt" strokecolor="#000000"/>
            <v:line style="position:absolute" from="4225,4" to="5521,4" stroked="true" strokeweight=".12pt" strokecolor="#000000"/>
            <v:line style="position:absolute" from="4225,6" to="5521,6" stroked="true" strokeweight=".12pt" strokecolor="#000000"/>
            <v:line style="position:absolute" from="4225,9" to="5521,9" stroked="true" strokeweight=".12pt" strokecolor="#000000"/>
            <v:line style="position:absolute" from="4225,11" to="5521,11" stroked="true" strokeweight=".12pt" strokecolor="#000000"/>
            <v:line style="position:absolute" from="4225,14" to="5521,14" stroked="true" strokeweight=".12pt" strokecolor="#000000"/>
            <v:line style="position:absolute" from="4225,35" to="5521,35" stroked="true" strokeweight=".12pt" strokecolor="#000000"/>
            <v:line style="position:absolute" from="4225,38" to="5521,38" stroked="true" strokeweight=".12pt" strokecolor="#000000"/>
            <v:line style="position:absolute" from="4225,40" to="5521,40" stroked="true" strokeweight=".12pt" strokecolor="#000000"/>
            <v:line style="position:absolute" from="4225,42" to="5521,42" stroked="true" strokeweight=".12pt" strokecolor="#000000"/>
            <v:line style="position:absolute" from="4225,45" to="5521,45" stroked="true" strokeweight=".12pt" strokecolor="#000000"/>
            <v:line style="position:absolute" from="4225,47" to="5521,47" stroked="true" strokeweight=".12pt" strokecolor="#000000"/>
          </v:group>
        </w:pict>
      </w:r>
      <w:r>
        <w:rPr>
          <w:position w:val="0"/>
          <w:sz w:val="4"/>
        </w:rPr>
      </w:r>
    </w:p>
    <w:p>
      <w:pPr>
        <w:spacing w:after="0" w:line="48" w:lineRule="exact"/>
        <w:rPr>
          <w:sz w:val="4"/>
        </w:rPr>
        <w:sectPr>
          <w:type w:val="continuous"/>
          <w:pgSz w:w="11910" w:h="16840"/>
          <w:pgMar w:top="1580" w:bottom="280" w:left="900" w:right="880"/>
        </w:sectPr>
      </w:pPr>
    </w:p>
    <w:p>
      <w:pPr>
        <w:pStyle w:val="BodyText"/>
        <w:rPr>
          <w:sz w:val="20"/>
        </w:rPr>
      </w:pPr>
    </w:p>
    <w:p>
      <w:pPr>
        <w:pStyle w:val="BodyText"/>
        <w:rPr>
          <w:sz w:val="20"/>
        </w:rPr>
      </w:pPr>
    </w:p>
    <w:p>
      <w:pPr>
        <w:pStyle w:val="BodyText"/>
        <w:spacing w:before="5"/>
      </w:pPr>
    </w:p>
    <w:p>
      <w:pPr>
        <w:pStyle w:val="Heading9"/>
        <w:numPr>
          <w:ilvl w:val="0"/>
          <w:numId w:val="34"/>
        </w:numPr>
        <w:tabs>
          <w:tab w:pos="504" w:val="left" w:leader="none"/>
        </w:tabs>
        <w:spacing w:line="240" w:lineRule="auto" w:before="0" w:after="0"/>
        <w:ind w:left="504" w:right="0" w:hanging="394"/>
        <w:jc w:val="left"/>
      </w:pPr>
      <w:bookmarkStart w:name="40 Acquittal of Australian Government Fi" w:id="158"/>
      <w:bookmarkEnd w:id="158"/>
      <w:r>
        <w:rPr>
          <w:b w:val="0"/>
        </w:rPr>
      </w:r>
      <w:bookmarkStart w:name="(a) Education - CGS and other Education " w:id="159"/>
      <w:bookmarkEnd w:id="159"/>
      <w:r>
        <w:rPr>
          <w:b w:val="0"/>
        </w:rPr>
      </w:r>
      <w:bookmarkStart w:name="(a) Education - CGS and other Education " w:id="160"/>
      <w:bookmarkEnd w:id="160"/>
      <w:r>
        <w:rPr/>
        <w:t>Acquittal</w:t>
      </w:r>
      <w:r>
        <w:rPr/>
        <w:t> of Australian Government Financial</w:t>
      </w:r>
      <w:r>
        <w:rPr>
          <w:spacing w:val="-1"/>
        </w:rPr>
        <w:t> </w:t>
      </w:r>
      <w:r>
        <w:rPr/>
        <w:t>Assistance</w:t>
      </w:r>
    </w:p>
    <w:p>
      <w:pPr>
        <w:pStyle w:val="BodyText"/>
        <w:spacing w:before="11"/>
        <w:rPr>
          <w:b/>
          <w:sz w:val="19"/>
        </w:rPr>
      </w:pPr>
    </w:p>
    <w:p>
      <w:pPr>
        <w:spacing w:after="0"/>
        <w:rPr>
          <w:sz w:val="19"/>
        </w:rPr>
        <w:sectPr>
          <w:headerReference w:type="default" r:id="rId29"/>
          <w:footerReference w:type="default" r:id="rId30"/>
          <w:pgSz w:w="16840" w:h="11910" w:orient="landscape"/>
          <w:pgMar w:header="1037" w:footer="507" w:top="2220" w:bottom="700" w:left="900" w:right="900"/>
          <w:pgNumType w:start="81"/>
        </w:sectPr>
      </w:pPr>
    </w:p>
    <w:p>
      <w:pPr>
        <w:pStyle w:val="ListParagraph"/>
        <w:numPr>
          <w:ilvl w:val="1"/>
          <w:numId w:val="34"/>
        </w:numPr>
        <w:tabs>
          <w:tab w:pos="1071" w:val="left" w:leader="none"/>
        </w:tabs>
        <w:spacing w:line="240" w:lineRule="auto" w:before="77" w:after="0"/>
        <w:ind w:left="1070" w:right="0" w:hanging="566"/>
        <w:jc w:val="left"/>
        <w:rPr>
          <w:sz w:val="18"/>
        </w:rPr>
      </w:pPr>
      <w:r>
        <w:rPr>
          <w:sz w:val="18"/>
        </w:rPr>
        <w:t>Education - CGS and other Education</w:t>
      </w:r>
      <w:r>
        <w:rPr>
          <w:spacing w:val="5"/>
          <w:sz w:val="18"/>
        </w:rPr>
        <w:t> </w:t>
      </w:r>
      <w:r>
        <w:rPr>
          <w:sz w:val="18"/>
        </w:rPr>
        <w:t>grants</w:t>
      </w:r>
    </w:p>
    <w:p>
      <w:pPr>
        <w:pStyle w:val="BodyText"/>
        <w:spacing w:before="2"/>
        <w:rPr>
          <w:sz w:val="17"/>
        </w:rPr>
      </w:pPr>
    </w:p>
    <w:p>
      <w:pPr>
        <w:spacing w:before="0"/>
        <w:ind w:left="4411" w:right="-10" w:firstLine="88"/>
        <w:jc w:val="left"/>
        <w:rPr>
          <w:b/>
          <w:sz w:val="14"/>
        </w:rPr>
      </w:pPr>
      <w:r>
        <w:rPr>
          <w:b/>
          <w:sz w:val="14"/>
        </w:rPr>
        <w:t>Commonwealth Grants Scheme</w:t>
      </w:r>
      <w:r>
        <w:rPr>
          <w:b/>
          <w:spacing w:val="-21"/>
          <w:sz w:val="14"/>
        </w:rPr>
        <w:t> </w:t>
      </w:r>
      <w:r>
        <w:rPr>
          <w:b/>
          <w:sz w:val="14"/>
        </w:rPr>
        <w:t>#1</w:t>
      </w:r>
    </w:p>
    <w:p>
      <w:pPr>
        <w:pStyle w:val="BodyText"/>
        <w:rPr>
          <w:b/>
          <w:sz w:val="14"/>
        </w:rPr>
      </w:pPr>
      <w:r>
        <w:rPr/>
        <w:br w:type="column"/>
      </w:r>
      <w:r>
        <w:rPr>
          <w:b/>
          <w:sz w:val="14"/>
        </w:rPr>
      </w:r>
    </w:p>
    <w:p>
      <w:pPr>
        <w:pStyle w:val="BodyText"/>
        <w:rPr>
          <w:b/>
          <w:sz w:val="14"/>
        </w:rPr>
      </w:pPr>
    </w:p>
    <w:p>
      <w:pPr>
        <w:pStyle w:val="BodyText"/>
        <w:spacing w:before="10"/>
        <w:rPr>
          <w:b/>
          <w:sz w:val="13"/>
        </w:rPr>
      </w:pPr>
    </w:p>
    <w:p>
      <w:pPr>
        <w:spacing w:before="0"/>
        <w:ind w:left="199" w:right="-7" w:firstLine="38"/>
        <w:jc w:val="left"/>
        <w:rPr>
          <w:b/>
          <w:sz w:val="14"/>
        </w:rPr>
      </w:pPr>
      <w:r>
        <w:rPr>
          <w:b/>
          <w:sz w:val="14"/>
        </w:rPr>
        <w:t>Indigenous Student Success Program</w:t>
      </w:r>
      <w:r>
        <w:rPr>
          <w:b/>
          <w:spacing w:val="-24"/>
          <w:sz w:val="14"/>
        </w:rPr>
        <w:t> </w:t>
      </w:r>
      <w:r>
        <w:rPr>
          <w:b/>
          <w:sz w:val="14"/>
        </w:rPr>
        <w:t>#3</w:t>
      </w:r>
    </w:p>
    <w:p>
      <w:pPr>
        <w:pStyle w:val="BodyText"/>
        <w:rPr>
          <w:b/>
          <w:sz w:val="14"/>
        </w:rPr>
      </w:pPr>
      <w:r>
        <w:rPr/>
        <w:br w:type="column"/>
      </w:r>
      <w:r>
        <w:rPr>
          <w:b/>
          <w:sz w:val="14"/>
        </w:rPr>
      </w:r>
    </w:p>
    <w:p>
      <w:pPr>
        <w:pStyle w:val="BodyText"/>
        <w:rPr>
          <w:b/>
          <w:sz w:val="14"/>
        </w:rPr>
      </w:pPr>
    </w:p>
    <w:p>
      <w:pPr>
        <w:pStyle w:val="BodyText"/>
        <w:spacing w:before="10"/>
        <w:rPr>
          <w:b/>
          <w:sz w:val="13"/>
        </w:rPr>
      </w:pPr>
    </w:p>
    <w:p>
      <w:pPr>
        <w:spacing w:before="0"/>
        <w:ind w:left="196" w:right="-10" w:firstLine="223"/>
        <w:jc w:val="left"/>
        <w:rPr>
          <w:b/>
          <w:sz w:val="14"/>
        </w:rPr>
      </w:pPr>
      <w:r>
        <w:rPr>
          <w:b/>
          <w:sz w:val="14"/>
        </w:rPr>
        <w:t>Access and Participation</w:t>
      </w:r>
      <w:r>
        <w:rPr>
          <w:b/>
          <w:spacing w:val="-25"/>
          <w:sz w:val="14"/>
        </w:rPr>
        <w:t> </w:t>
      </w:r>
      <w:r>
        <w:rPr>
          <w:b/>
          <w:sz w:val="14"/>
        </w:rPr>
        <w:t>Fund</w:t>
      </w:r>
    </w:p>
    <w:p>
      <w:pPr>
        <w:pStyle w:val="BodyText"/>
        <w:rPr>
          <w:b/>
          <w:sz w:val="14"/>
        </w:rPr>
      </w:pPr>
      <w:r>
        <w:rPr/>
        <w:br w:type="column"/>
      </w:r>
      <w:r>
        <w:rPr>
          <w:b/>
          <w:sz w:val="14"/>
        </w:rPr>
      </w:r>
    </w:p>
    <w:p>
      <w:pPr>
        <w:pStyle w:val="BodyText"/>
        <w:rPr>
          <w:b/>
          <w:sz w:val="14"/>
        </w:rPr>
      </w:pPr>
    </w:p>
    <w:p>
      <w:pPr>
        <w:pStyle w:val="BodyText"/>
        <w:spacing w:before="10"/>
        <w:rPr>
          <w:b/>
          <w:sz w:val="13"/>
        </w:rPr>
      </w:pPr>
    </w:p>
    <w:p>
      <w:pPr>
        <w:spacing w:before="0"/>
        <w:ind w:left="511" w:right="-13" w:hanging="382"/>
        <w:jc w:val="left"/>
        <w:rPr>
          <w:b/>
          <w:sz w:val="14"/>
        </w:rPr>
      </w:pPr>
      <w:r>
        <w:rPr>
          <w:b/>
          <w:sz w:val="14"/>
        </w:rPr>
        <w:t>Disability</w:t>
      </w:r>
      <w:r>
        <w:rPr>
          <w:b/>
          <w:spacing w:val="-26"/>
          <w:sz w:val="14"/>
        </w:rPr>
        <w:t> </w:t>
      </w:r>
      <w:r>
        <w:rPr>
          <w:b/>
          <w:sz w:val="14"/>
        </w:rPr>
        <w:t>Performance Funding</w:t>
      </w:r>
      <w:r>
        <w:rPr>
          <w:b/>
          <w:spacing w:val="-14"/>
          <w:sz w:val="14"/>
        </w:rPr>
        <w:t> </w:t>
      </w:r>
      <w:r>
        <w:rPr>
          <w:b/>
          <w:sz w:val="14"/>
        </w:rPr>
        <w:t>#2</w:t>
      </w:r>
    </w:p>
    <w:p>
      <w:pPr>
        <w:pStyle w:val="BodyText"/>
        <w:rPr>
          <w:b/>
          <w:sz w:val="14"/>
        </w:rPr>
      </w:pPr>
      <w:r>
        <w:rPr/>
        <w:br w:type="column"/>
      </w:r>
      <w:r>
        <w:rPr>
          <w:b/>
          <w:sz w:val="14"/>
        </w:rPr>
      </w:r>
    </w:p>
    <w:p>
      <w:pPr>
        <w:pStyle w:val="BodyText"/>
        <w:rPr>
          <w:b/>
          <w:sz w:val="14"/>
        </w:rPr>
      </w:pPr>
    </w:p>
    <w:p>
      <w:pPr>
        <w:pStyle w:val="BodyText"/>
        <w:spacing w:before="10"/>
        <w:rPr>
          <w:b/>
          <w:sz w:val="13"/>
        </w:rPr>
      </w:pPr>
    </w:p>
    <w:p>
      <w:pPr>
        <w:spacing w:before="0"/>
        <w:ind w:left="588" w:right="-13" w:hanging="444"/>
        <w:jc w:val="left"/>
        <w:rPr>
          <w:b/>
          <w:sz w:val="14"/>
        </w:rPr>
      </w:pPr>
      <w:r>
        <w:rPr>
          <w:b/>
          <w:sz w:val="14"/>
        </w:rPr>
        <w:t>National</w:t>
      </w:r>
      <w:r>
        <w:rPr>
          <w:b/>
          <w:spacing w:val="-19"/>
          <w:sz w:val="14"/>
        </w:rPr>
        <w:t> </w:t>
      </w:r>
      <w:r>
        <w:rPr>
          <w:b/>
          <w:sz w:val="14"/>
        </w:rPr>
        <w:t>Priorities Pool</w:t>
      </w:r>
    </w:p>
    <w:p>
      <w:pPr>
        <w:pStyle w:val="BodyText"/>
        <w:rPr>
          <w:b/>
          <w:sz w:val="14"/>
        </w:rPr>
      </w:pPr>
      <w:r>
        <w:rPr/>
        <w:br w:type="column"/>
      </w:r>
      <w:r>
        <w:rPr>
          <w:b/>
          <w:sz w:val="14"/>
        </w:rPr>
      </w:r>
    </w:p>
    <w:p>
      <w:pPr>
        <w:pStyle w:val="BodyText"/>
        <w:spacing w:before="10"/>
        <w:rPr>
          <w:b/>
          <w:sz w:val="13"/>
        </w:rPr>
      </w:pPr>
    </w:p>
    <w:p>
      <w:pPr>
        <w:spacing w:before="0"/>
        <w:ind w:left="144" w:right="1245" w:firstLine="319"/>
        <w:jc w:val="left"/>
        <w:rPr>
          <w:b/>
          <w:sz w:val="14"/>
        </w:rPr>
      </w:pPr>
      <w:r>
        <w:rPr>
          <w:b/>
          <w:sz w:val="14"/>
        </w:rPr>
        <w:t>Promotion of Excellence in Learning</w:t>
      </w:r>
    </w:p>
    <w:p>
      <w:pPr>
        <w:tabs>
          <w:tab w:pos="2255" w:val="left" w:leader="none"/>
        </w:tabs>
        <w:spacing w:before="0"/>
        <w:ind w:left="520" w:right="0" w:firstLine="0"/>
        <w:jc w:val="left"/>
        <w:rPr>
          <w:b/>
          <w:sz w:val="14"/>
        </w:rPr>
      </w:pPr>
      <w:r>
        <w:rPr>
          <w:b/>
          <w:sz w:val="14"/>
        </w:rPr>
        <w:t>&amp;</w:t>
      </w:r>
      <w:r>
        <w:rPr>
          <w:b/>
          <w:spacing w:val="-6"/>
          <w:sz w:val="14"/>
        </w:rPr>
        <w:t> </w:t>
      </w:r>
      <w:r>
        <w:rPr>
          <w:b/>
          <w:sz w:val="14"/>
        </w:rPr>
        <w:t>Teaching</w:t>
        <w:tab/>
        <w:t>Total</w:t>
      </w:r>
    </w:p>
    <w:p>
      <w:pPr>
        <w:spacing w:after="0"/>
        <w:jc w:val="left"/>
        <w:rPr>
          <w:sz w:val="14"/>
        </w:rPr>
        <w:sectPr>
          <w:type w:val="continuous"/>
          <w:pgSz w:w="16840" w:h="11910" w:orient="landscape"/>
          <w:pgMar w:top="1580" w:bottom="280" w:left="900" w:right="900"/>
          <w:cols w:num="6" w:equalWidth="0">
            <w:col w:w="5622" w:space="40"/>
            <w:col w:w="1566" w:space="40"/>
            <w:col w:w="1410" w:space="40"/>
            <w:col w:w="1628" w:space="40"/>
            <w:col w:w="1331" w:space="40"/>
            <w:col w:w="3283"/>
          </w:cols>
        </w:sectPr>
      </w:pPr>
    </w:p>
    <w:p>
      <w:pPr>
        <w:pStyle w:val="BodyText"/>
        <w:spacing w:before="2"/>
        <w:rPr>
          <w:b/>
          <w:sz w:val="3"/>
        </w:rPr>
      </w:pPr>
    </w:p>
    <w:tbl>
      <w:tblPr>
        <w:tblW w:w="0" w:type="auto"/>
        <w:jc w:val="left"/>
        <w:tblInd w:w="10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93"/>
        <w:gridCol w:w="574"/>
        <w:gridCol w:w="839"/>
        <w:gridCol w:w="787"/>
        <w:gridCol w:w="769"/>
        <w:gridCol w:w="757"/>
        <w:gridCol w:w="769"/>
        <w:gridCol w:w="757"/>
        <w:gridCol w:w="769"/>
        <w:gridCol w:w="757"/>
        <w:gridCol w:w="747"/>
        <w:gridCol w:w="780"/>
        <w:gridCol w:w="769"/>
        <w:gridCol w:w="733"/>
        <w:gridCol w:w="763"/>
        <w:gridCol w:w="688"/>
      </w:tblGrid>
      <w:tr>
        <w:trPr>
          <w:trHeight w:val="502" w:hRule="exact"/>
        </w:trPr>
        <w:tc>
          <w:tcPr>
            <w:tcW w:w="2593" w:type="dxa"/>
          </w:tcPr>
          <w:p>
            <w:pPr>
              <w:pStyle w:val="TableParagraph"/>
              <w:rPr>
                <w:b/>
                <w:sz w:val="14"/>
              </w:rPr>
            </w:pPr>
          </w:p>
          <w:p>
            <w:pPr>
              <w:pStyle w:val="TableParagraph"/>
              <w:spacing w:before="4"/>
              <w:rPr>
                <w:b/>
                <w:sz w:val="12"/>
              </w:rPr>
            </w:pPr>
          </w:p>
          <w:p>
            <w:pPr>
              <w:pStyle w:val="TableParagraph"/>
              <w:spacing w:before="1"/>
              <w:ind w:left="35" w:right="96"/>
              <w:rPr>
                <w:b/>
                <w:sz w:val="14"/>
              </w:rPr>
            </w:pPr>
            <w:r>
              <w:rPr>
                <w:b/>
                <w:sz w:val="14"/>
              </w:rPr>
              <w:t>Parent Entity (University) Only</w:t>
            </w:r>
          </w:p>
        </w:tc>
        <w:tc>
          <w:tcPr>
            <w:tcW w:w="574" w:type="dxa"/>
          </w:tcPr>
          <w:p>
            <w:pPr>
              <w:pStyle w:val="TableParagraph"/>
              <w:rPr>
                <w:b/>
                <w:sz w:val="14"/>
              </w:rPr>
            </w:pPr>
          </w:p>
          <w:p>
            <w:pPr>
              <w:pStyle w:val="TableParagraph"/>
              <w:spacing w:before="4"/>
              <w:rPr>
                <w:b/>
                <w:sz w:val="12"/>
              </w:rPr>
            </w:pPr>
          </w:p>
          <w:p>
            <w:pPr>
              <w:pStyle w:val="TableParagraph"/>
              <w:spacing w:before="1"/>
              <w:ind w:left="201"/>
              <w:rPr>
                <w:b/>
                <w:sz w:val="14"/>
              </w:rPr>
            </w:pPr>
            <w:r>
              <w:rPr>
                <w:b/>
                <w:sz w:val="14"/>
              </w:rPr>
              <w:t>Note</w:t>
            </w:r>
          </w:p>
        </w:tc>
        <w:tc>
          <w:tcPr>
            <w:tcW w:w="839" w:type="dxa"/>
          </w:tcPr>
          <w:p>
            <w:pPr>
              <w:pStyle w:val="TableParagraph"/>
              <w:spacing w:before="76"/>
              <w:ind w:left="237"/>
              <w:rPr>
                <w:b/>
                <w:sz w:val="14"/>
              </w:rPr>
            </w:pPr>
            <w:r>
              <w:rPr>
                <w:b/>
                <w:sz w:val="14"/>
              </w:rPr>
              <w:t>2017</w:t>
            </w:r>
          </w:p>
          <w:p>
            <w:pPr>
              <w:pStyle w:val="TableParagraph"/>
              <w:spacing w:before="67"/>
              <w:ind w:left="220"/>
              <w:rPr>
                <w:b/>
                <w:sz w:val="14"/>
              </w:rPr>
            </w:pPr>
            <w:r>
              <w:rPr>
                <w:b/>
                <w:sz w:val="14"/>
              </w:rPr>
              <w:t>$'000</w:t>
            </w:r>
          </w:p>
        </w:tc>
        <w:tc>
          <w:tcPr>
            <w:tcW w:w="787" w:type="dxa"/>
          </w:tcPr>
          <w:p>
            <w:pPr>
              <w:pStyle w:val="TableParagraph"/>
              <w:spacing w:before="76"/>
              <w:ind w:left="152"/>
              <w:rPr>
                <w:b/>
                <w:sz w:val="14"/>
              </w:rPr>
            </w:pPr>
            <w:r>
              <w:rPr>
                <w:b/>
                <w:sz w:val="14"/>
              </w:rPr>
              <w:t>2016</w:t>
            </w:r>
          </w:p>
          <w:p>
            <w:pPr>
              <w:pStyle w:val="TableParagraph"/>
              <w:spacing w:before="67"/>
              <w:ind w:left="135"/>
              <w:rPr>
                <w:b/>
                <w:sz w:val="14"/>
              </w:rPr>
            </w:pPr>
            <w:r>
              <w:rPr>
                <w:b/>
                <w:sz w:val="14"/>
              </w:rPr>
              <w:t>$'000</w:t>
            </w:r>
          </w:p>
        </w:tc>
        <w:tc>
          <w:tcPr>
            <w:tcW w:w="769" w:type="dxa"/>
          </w:tcPr>
          <w:p>
            <w:pPr>
              <w:pStyle w:val="TableParagraph"/>
              <w:spacing w:before="76"/>
              <w:ind w:left="137"/>
              <w:rPr>
                <w:b/>
                <w:sz w:val="14"/>
              </w:rPr>
            </w:pPr>
            <w:r>
              <w:rPr>
                <w:b/>
                <w:sz w:val="14"/>
              </w:rPr>
              <w:t>2017</w:t>
            </w:r>
          </w:p>
          <w:p>
            <w:pPr>
              <w:pStyle w:val="TableParagraph"/>
              <w:spacing w:before="67"/>
              <w:ind w:left="121"/>
              <w:rPr>
                <w:b/>
                <w:sz w:val="14"/>
              </w:rPr>
            </w:pPr>
            <w:r>
              <w:rPr>
                <w:b/>
                <w:sz w:val="14"/>
              </w:rPr>
              <w:t>$'000</w:t>
            </w:r>
          </w:p>
        </w:tc>
        <w:tc>
          <w:tcPr>
            <w:tcW w:w="757" w:type="dxa"/>
          </w:tcPr>
          <w:p>
            <w:pPr>
              <w:pStyle w:val="TableParagraph"/>
              <w:spacing w:before="76"/>
              <w:ind w:left="122"/>
              <w:rPr>
                <w:b/>
                <w:sz w:val="14"/>
              </w:rPr>
            </w:pPr>
            <w:r>
              <w:rPr>
                <w:b/>
                <w:sz w:val="14"/>
              </w:rPr>
              <w:t>2016</w:t>
            </w:r>
          </w:p>
          <w:p>
            <w:pPr>
              <w:pStyle w:val="TableParagraph"/>
              <w:spacing w:before="67"/>
              <w:ind w:left="105"/>
              <w:rPr>
                <w:b/>
                <w:sz w:val="14"/>
              </w:rPr>
            </w:pPr>
            <w:r>
              <w:rPr>
                <w:b/>
                <w:sz w:val="14"/>
              </w:rPr>
              <w:t>$'000</w:t>
            </w:r>
          </w:p>
        </w:tc>
        <w:tc>
          <w:tcPr>
            <w:tcW w:w="769" w:type="dxa"/>
          </w:tcPr>
          <w:p>
            <w:pPr>
              <w:pStyle w:val="TableParagraph"/>
              <w:spacing w:before="76"/>
              <w:ind w:left="137"/>
              <w:rPr>
                <w:b/>
                <w:sz w:val="14"/>
              </w:rPr>
            </w:pPr>
            <w:r>
              <w:rPr>
                <w:b/>
                <w:sz w:val="14"/>
              </w:rPr>
              <w:t>2017</w:t>
            </w:r>
          </w:p>
          <w:p>
            <w:pPr>
              <w:pStyle w:val="TableParagraph"/>
              <w:spacing w:before="67"/>
              <w:ind w:left="121"/>
              <w:rPr>
                <w:b/>
                <w:sz w:val="14"/>
              </w:rPr>
            </w:pPr>
            <w:r>
              <w:rPr>
                <w:b/>
                <w:sz w:val="14"/>
              </w:rPr>
              <w:t>$'000</w:t>
            </w:r>
          </w:p>
        </w:tc>
        <w:tc>
          <w:tcPr>
            <w:tcW w:w="757" w:type="dxa"/>
          </w:tcPr>
          <w:p>
            <w:pPr>
              <w:pStyle w:val="TableParagraph"/>
              <w:spacing w:before="76"/>
              <w:ind w:left="122"/>
              <w:rPr>
                <w:b/>
                <w:sz w:val="14"/>
              </w:rPr>
            </w:pPr>
            <w:r>
              <w:rPr>
                <w:b/>
                <w:sz w:val="14"/>
              </w:rPr>
              <w:t>2016</w:t>
            </w:r>
          </w:p>
          <w:p>
            <w:pPr>
              <w:pStyle w:val="TableParagraph"/>
              <w:spacing w:before="67"/>
              <w:ind w:left="105"/>
              <w:rPr>
                <w:b/>
                <w:sz w:val="14"/>
              </w:rPr>
            </w:pPr>
            <w:r>
              <w:rPr>
                <w:b/>
                <w:sz w:val="14"/>
              </w:rPr>
              <w:t>$'000</w:t>
            </w:r>
          </w:p>
        </w:tc>
        <w:tc>
          <w:tcPr>
            <w:tcW w:w="769" w:type="dxa"/>
          </w:tcPr>
          <w:p>
            <w:pPr>
              <w:pStyle w:val="TableParagraph"/>
              <w:spacing w:before="76"/>
              <w:ind w:left="137"/>
              <w:rPr>
                <w:b/>
                <w:sz w:val="14"/>
              </w:rPr>
            </w:pPr>
            <w:r>
              <w:rPr>
                <w:b/>
                <w:sz w:val="14"/>
              </w:rPr>
              <w:t>2017</w:t>
            </w:r>
          </w:p>
          <w:p>
            <w:pPr>
              <w:pStyle w:val="TableParagraph"/>
              <w:spacing w:before="67"/>
              <w:ind w:left="121"/>
              <w:rPr>
                <w:b/>
                <w:sz w:val="14"/>
              </w:rPr>
            </w:pPr>
            <w:r>
              <w:rPr>
                <w:b/>
                <w:sz w:val="14"/>
              </w:rPr>
              <w:t>$'000</w:t>
            </w:r>
          </w:p>
        </w:tc>
        <w:tc>
          <w:tcPr>
            <w:tcW w:w="757" w:type="dxa"/>
          </w:tcPr>
          <w:p>
            <w:pPr>
              <w:pStyle w:val="TableParagraph"/>
              <w:spacing w:before="76"/>
              <w:ind w:left="122"/>
              <w:rPr>
                <w:b/>
                <w:sz w:val="14"/>
              </w:rPr>
            </w:pPr>
            <w:r>
              <w:rPr>
                <w:b/>
                <w:sz w:val="14"/>
              </w:rPr>
              <w:t>2016</w:t>
            </w:r>
          </w:p>
          <w:p>
            <w:pPr>
              <w:pStyle w:val="TableParagraph"/>
              <w:spacing w:before="67"/>
              <w:ind w:left="105"/>
              <w:rPr>
                <w:b/>
                <w:sz w:val="14"/>
              </w:rPr>
            </w:pPr>
            <w:r>
              <w:rPr>
                <w:b/>
                <w:sz w:val="14"/>
              </w:rPr>
              <w:t>$'000</w:t>
            </w:r>
          </w:p>
        </w:tc>
        <w:tc>
          <w:tcPr>
            <w:tcW w:w="747" w:type="dxa"/>
          </w:tcPr>
          <w:p>
            <w:pPr>
              <w:pStyle w:val="TableParagraph"/>
              <w:spacing w:before="76"/>
              <w:ind w:left="137"/>
              <w:rPr>
                <w:b/>
                <w:sz w:val="14"/>
              </w:rPr>
            </w:pPr>
            <w:r>
              <w:rPr>
                <w:b/>
                <w:sz w:val="14"/>
              </w:rPr>
              <w:t>2017</w:t>
            </w:r>
          </w:p>
          <w:p>
            <w:pPr>
              <w:pStyle w:val="TableParagraph"/>
              <w:spacing w:before="67"/>
              <w:ind w:left="121"/>
              <w:rPr>
                <w:b/>
                <w:sz w:val="14"/>
              </w:rPr>
            </w:pPr>
            <w:r>
              <w:rPr>
                <w:b/>
                <w:sz w:val="14"/>
              </w:rPr>
              <w:t>$'000</w:t>
            </w:r>
          </w:p>
        </w:tc>
        <w:tc>
          <w:tcPr>
            <w:tcW w:w="780" w:type="dxa"/>
          </w:tcPr>
          <w:p>
            <w:pPr>
              <w:pStyle w:val="TableParagraph"/>
              <w:spacing w:before="76"/>
              <w:ind w:left="144"/>
              <w:rPr>
                <w:b/>
                <w:sz w:val="14"/>
              </w:rPr>
            </w:pPr>
            <w:r>
              <w:rPr>
                <w:b/>
                <w:sz w:val="14"/>
              </w:rPr>
              <w:t>2016</w:t>
            </w:r>
          </w:p>
          <w:p>
            <w:pPr>
              <w:pStyle w:val="TableParagraph"/>
              <w:spacing w:before="67"/>
              <w:ind w:left="128"/>
              <w:rPr>
                <w:b/>
                <w:sz w:val="14"/>
              </w:rPr>
            </w:pPr>
            <w:r>
              <w:rPr>
                <w:b/>
                <w:sz w:val="14"/>
              </w:rPr>
              <w:t>$'000</w:t>
            </w:r>
          </w:p>
        </w:tc>
        <w:tc>
          <w:tcPr>
            <w:tcW w:w="769" w:type="dxa"/>
          </w:tcPr>
          <w:p>
            <w:pPr>
              <w:pStyle w:val="TableParagraph"/>
              <w:spacing w:before="76"/>
              <w:ind w:left="137"/>
              <w:rPr>
                <w:b/>
                <w:sz w:val="14"/>
              </w:rPr>
            </w:pPr>
            <w:r>
              <w:rPr>
                <w:b/>
                <w:sz w:val="14"/>
              </w:rPr>
              <w:t>2017</w:t>
            </w:r>
          </w:p>
          <w:p>
            <w:pPr>
              <w:pStyle w:val="TableParagraph"/>
              <w:spacing w:before="67"/>
              <w:ind w:left="121"/>
              <w:rPr>
                <w:b/>
                <w:sz w:val="14"/>
              </w:rPr>
            </w:pPr>
            <w:r>
              <w:rPr>
                <w:b/>
                <w:sz w:val="14"/>
              </w:rPr>
              <w:t>$'000</w:t>
            </w:r>
          </w:p>
        </w:tc>
        <w:tc>
          <w:tcPr>
            <w:tcW w:w="733" w:type="dxa"/>
          </w:tcPr>
          <w:p>
            <w:pPr>
              <w:pStyle w:val="TableParagraph"/>
              <w:spacing w:before="76"/>
              <w:ind w:left="122"/>
              <w:rPr>
                <w:b/>
                <w:sz w:val="14"/>
              </w:rPr>
            </w:pPr>
            <w:r>
              <w:rPr>
                <w:b/>
                <w:sz w:val="14"/>
              </w:rPr>
              <w:t>2016</w:t>
            </w:r>
          </w:p>
          <w:p>
            <w:pPr>
              <w:pStyle w:val="TableParagraph"/>
              <w:spacing w:before="67"/>
              <w:ind w:left="105"/>
              <w:rPr>
                <w:b/>
                <w:sz w:val="14"/>
              </w:rPr>
            </w:pPr>
            <w:r>
              <w:rPr>
                <w:b/>
                <w:sz w:val="14"/>
              </w:rPr>
              <w:t>$'000</w:t>
            </w:r>
          </w:p>
        </w:tc>
        <w:tc>
          <w:tcPr>
            <w:tcW w:w="763" w:type="dxa"/>
          </w:tcPr>
          <w:p>
            <w:pPr>
              <w:pStyle w:val="TableParagraph"/>
              <w:spacing w:before="76"/>
              <w:ind w:left="161"/>
              <w:rPr>
                <w:b/>
                <w:sz w:val="14"/>
              </w:rPr>
            </w:pPr>
            <w:r>
              <w:rPr>
                <w:b/>
                <w:sz w:val="14"/>
              </w:rPr>
              <w:t>2017</w:t>
            </w:r>
          </w:p>
          <w:p>
            <w:pPr>
              <w:pStyle w:val="TableParagraph"/>
              <w:spacing w:before="67"/>
              <w:ind w:left="145"/>
              <w:rPr>
                <w:b/>
                <w:sz w:val="14"/>
              </w:rPr>
            </w:pPr>
            <w:r>
              <w:rPr>
                <w:b/>
                <w:sz w:val="14"/>
              </w:rPr>
              <w:t>$'000</w:t>
            </w:r>
          </w:p>
        </w:tc>
        <w:tc>
          <w:tcPr>
            <w:tcW w:w="688" w:type="dxa"/>
          </w:tcPr>
          <w:p>
            <w:pPr>
              <w:pStyle w:val="TableParagraph"/>
              <w:spacing w:before="76"/>
              <w:ind w:left="152"/>
              <w:rPr>
                <w:b/>
                <w:sz w:val="14"/>
              </w:rPr>
            </w:pPr>
            <w:r>
              <w:rPr>
                <w:b/>
                <w:sz w:val="14"/>
              </w:rPr>
              <w:t>2016</w:t>
            </w:r>
          </w:p>
          <w:p>
            <w:pPr>
              <w:pStyle w:val="TableParagraph"/>
              <w:spacing w:before="67"/>
              <w:ind w:left="135"/>
              <w:rPr>
                <w:b/>
                <w:sz w:val="14"/>
              </w:rPr>
            </w:pPr>
            <w:r>
              <w:rPr>
                <w:b/>
                <w:sz w:val="14"/>
              </w:rPr>
              <w:t>$'000</w:t>
            </w:r>
          </w:p>
        </w:tc>
      </w:tr>
      <w:tr>
        <w:trPr>
          <w:trHeight w:val="701" w:hRule="exact"/>
        </w:trPr>
        <w:tc>
          <w:tcPr>
            <w:tcW w:w="2593" w:type="dxa"/>
          </w:tcPr>
          <w:p>
            <w:pPr>
              <w:pStyle w:val="TableParagraph"/>
              <w:spacing w:before="22"/>
              <w:ind w:left="35" w:right="96"/>
              <w:rPr>
                <w:sz w:val="14"/>
              </w:rPr>
            </w:pPr>
            <w:r>
              <w:rPr>
                <w:sz w:val="14"/>
              </w:rPr>
              <w:t>Financial assistance received in CASH during the reporting period (total cash received from Australian Government for the program)</w:t>
            </w:r>
          </w:p>
        </w:tc>
        <w:tc>
          <w:tcPr>
            <w:tcW w:w="574" w:type="dxa"/>
          </w:tcPr>
          <w:p>
            <w:pPr/>
          </w:p>
        </w:tc>
        <w:tc>
          <w:tcPr>
            <w:tcW w:w="839"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19"/>
              <w:jc w:val="right"/>
              <w:rPr>
                <w:sz w:val="14"/>
              </w:rPr>
            </w:pPr>
            <w:r>
              <w:rPr>
                <w:w w:val="95"/>
                <w:sz w:val="14"/>
              </w:rPr>
              <w:t>287,192</w:t>
            </w:r>
          </w:p>
        </w:tc>
        <w:tc>
          <w:tcPr>
            <w:tcW w:w="787"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left="121"/>
              <w:rPr>
                <w:sz w:val="14"/>
              </w:rPr>
            </w:pPr>
            <w:r>
              <w:rPr>
                <w:sz w:val="14"/>
              </w:rPr>
              <w:t>298,324</w:t>
            </w:r>
          </w:p>
        </w:tc>
        <w:tc>
          <w:tcPr>
            <w:tcW w:w="769"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49"/>
              <w:jc w:val="right"/>
              <w:rPr>
                <w:sz w:val="14"/>
              </w:rPr>
            </w:pPr>
            <w:r>
              <w:rPr>
                <w:sz w:val="14"/>
              </w:rPr>
              <w:t>2,643</w:t>
            </w:r>
          </w:p>
        </w:tc>
        <w:tc>
          <w:tcPr>
            <w:tcW w:w="757"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64"/>
              <w:jc w:val="right"/>
              <w:rPr>
                <w:sz w:val="14"/>
              </w:rPr>
            </w:pPr>
            <w:r>
              <w:rPr>
                <w:sz w:val="14"/>
              </w:rPr>
              <w:t>1,927</w:t>
            </w:r>
          </w:p>
        </w:tc>
        <w:tc>
          <w:tcPr>
            <w:tcW w:w="769"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49"/>
              <w:jc w:val="right"/>
              <w:rPr>
                <w:sz w:val="14"/>
              </w:rPr>
            </w:pPr>
            <w:r>
              <w:rPr>
                <w:w w:val="95"/>
                <w:sz w:val="14"/>
              </w:rPr>
              <w:t>10,231</w:t>
            </w:r>
          </w:p>
        </w:tc>
        <w:tc>
          <w:tcPr>
            <w:tcW w:w="757"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64"/>
              <w:jc w:val="right"/>
              <w:rPr>
                <w:sz w:val="14"/>
              </w:rPr>
            </w:pPr>
            <w:r>
              <w:rPr>
                <w:w w:val="95"/>
                <w:sz w:val="14"/>
              </w:rPr>
              <w:t>11,494</w:t>
            </w:r>
          </w:p>
        </w:tc>
        <w:tc>
          <w:tcPr>
            <w:tcW w:w="769"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left="387"/>
              <w:rPr>
                <w:sz w:val="14"/>
              </w:rPr>
            </w:pPr>
            <w:r>
              <w:rPr>
                <w:sz w:val="14"/>
              </w:rPr>
              <w:t>970</w:t>
            </w:r>
          </w:p>
        </w:tc>
        <w:tc>
          <w:tcPr>
            <w:tcW w:w="757"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64"/>
              <w:jc w:val="right"/>
              <w:rPr>
                <w:sz w:val="14"/>
              </w:rPr>
            </w:pPr>
            <w:r>
              <w:rPr>
                <w:sz w:val="14"/>
              </w:rPr>
              <w:t>924</w:t>
            </w:r>
          </w:p>
        </w:tc>
        <w:tc>
          <w:tcPr>
            <w:tcW w:w="747"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26"/>
              <w:jc w:val="right"/>
              <w:rPr>
                <w:sz w:val="14"/>
              </w:rPr>
            </w:pPr>
            <w:r>
              <w:rPr>
                <w:sz w:val="14"/>
              </w:rPr>
              <w:t>100</w:t>
            </w:r>
          </w:p>
        </w:tc>
        <w:tc>
          <w:tcPr>
            <w:tcW w:w="780"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64"/>
              <w:jc w:val="right"/>
              <w:rPr>
                <w:sz w:val="14"/>
              </w:rPr>
            </w:pPr>
            <w:r>
              <w:rPr>
                <w:sz w:val="14"/>
              </w:rPr>
              <w:t>131</w:t>
            </w:r>
          </w:p>
        </w:tc>
        <w:tc>
          <w:tcPr>
            <w:tcW w:w="769"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49"/>
              <w:jc w:val="right"/>
              <w:rPr>
                <w:sz w:val="14"/>
              </w:rPr>
            </w:pPr>
            <w:r>
              <w:rPr>
                <w:sz w:val="14"/>
              </w:rPr>
              <w:t>25</w:t>
            </w:r>
          </w:p>
        </w:tc>
        <w:tc>
          <w:tcPr>
            <w:tcW w:w="733"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40"/>
              <w:jc w:val="right"/>
              <w:rPr>
                <w:sz w:val="14"/>
              </w:rPr>
            </w:pPr>
            <w:r>
              <w:rPr>
                <w:sz w:val="14"/>
              </w:rPr>
              <w:t>140</w:t>
            </w:r>
          </w:p>
        </w:tc>
        <w:tc>
          <w:tcPr>
            <w:tcW w:w="763"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right="119"/>
              <w:jc w:val="right"/>
              <w:rPr>
                <w:sz w:val="14"/>
              </w:rPr>
            </w:pPr>
            <w:r>
              <w:rPr>
                <w:w w:val="95"/>
                <w:sz w:val="14"/>
              </w:rPr>
              <w:t>301,161</w:t>
            </w:r>
          </w:p>
        </w:tc>
        <w:tc>
          <w:tcPr>
            <w:tcW w:w="688" w:type="dxa"/>
          </w:tcPr>
          <w:p>
            <w:pPr>
              <w:pStyle w:val="TableParagraph"/>
              <w:rPr>
                <w:b/>
                <w:sz w:val="14"/>
              </w:rPr>
            </w:pPr>
          </w:p>
          <w:p>
            <w:pPr>
              <w:pStyle w:val="TableParagraph"/>
              <w:rPr>
                <w:b/>
                <w:sz w:val="14"/>
              </w:rPr>
            </w:pPr>
          </w:p>
          <w:p>
            <w:pPr>
              <w:pStyle w:val="TableParagraph"/>
              <w:spacing w:before="7"/>
              <w:rPr>
                <w:b/>
                <w:sz w:val="15"/>
              </w:rPr>
            </w:pPr>
          </w:p>
          <w:p>
            <w:pPr>
              <w:pStyle w:val="TableParagraph"/>
              <w:spacing w:before="1"/>
              <w:ind w:left="121"/>
              <w:rPr>
                <w:sz w:val="14"/>
              </w:rPr>
            </w:pPr>
            <w:r>
              <w:rPr>
                <w:sz w:val="14"/>
              </w:rPr>
              <w:t>312,940</w:t>
            </w:r>
          </w:p>
        </w:tc>
      </w:tr>
      <w:tr>
        <w:trPr>
          <w:trHeight w:val="217" w:hRule="exact"/>
        </w:trPr>
        <w:tc>
          <w:tcPr>
            <w:tcW w:w="2593" w:type="dxa"/>
          </w:tcPr>
          <w:p>
            <w:pPr>
              <w:pStyle w:val="TableParagraph"/>
              <w:spacing w:before="22"/>
              <w:ind w:left="35" w:right="96"/>
              <w:rPr>
                <w:sz w:val="14"/>
              </w:rPr>
            </w:pPr>
            <w:r>
              <w:rPr>
                <w:sz w:val="14"/>
              </w:rPr>
              <w:t>Net accrual adjustments</w:t>
            </w:r>
          </w:p>
        </w:tc>
        <w:tc>
          <w:tcPr>
            <w:tcW w:w="574" w:type="dxa"/>
          </w:tcPr>
          <w:p>
            <w:pPr/>
          </w:p>
        </w:tc>
        <w:tc>
          <w:tcPr>
            <w:tcW w:w="839" w:type="dxa"/>
            <w:tcBorders>
              <w:bottom w:val="single" w:sz="1" w:space="0" w:color="000000"/>
            </w:tcBorders>
          </w:tcPr>
          <w:p>
            <w:pPr>
              <w:pStyle w:val="TableParagraph"/>
              <w:spacing w:before="20"/>
              <w:ind w:right="73"/>
              <w:jc w:val="right"/>
              <w:rPr>
                <w:sz w:val="14"/>
              </w:rPr>
            </w:pPr>
            <w:r>
              <w:rPr>
                <w:sz w:val="14"/>
              </w:rPr>
              <w:t>(197)</w:t>
            </w:r>
          </w:p>
        </w:tc>
        <w:tc>
          <w:tcPr>
            <w:tcW w:w="787" w:type="dxa"/>
            <w:tcBorders>
              <w:bottom w:val="single" w:sz="1" w:space="0" w:color="000000"/>
            </w:tcBorders>
          </w:tcPr>
          <w:p>
            <w:pPr>
              <w:pStyle w:val="TableParagraph"/>
              <w:spacing w:before="20"/>
              <w:ind w:right="119"/>
              <w:jc w:val="right"/>
              <w:rPr>
                <w:sz w:val="14"/>
              </w:rPr>
            </w:pPr>
            <w:r>
              <w:rPr>
                <w:sz w:val="14"/>
              </w:rPr>
              <w:t>(813)</w:t>
            </w:r>
          </w:p>
        </w:tc>
        <w:tc>
          <w:tcPr>
            <w:tcW w:w="769" w:type="dxa"/>
            <w:tcBorders>
              <w:bottom w:val="single" w:sz="1" w:space="0" w:color="000000"/>
            </w:tcBorders>
          </w:tcPr>
          <w:p>
            <w:pPr>
              <w:pStyle w:val="TableParagraph"/>
              <w:spacing w:before="20"/>
              <w:ind w:right="148"/>
              <w:jc w:val="right"/>
              <w:rPr>
                <w:sz w:val="14"/>
              </w:rPr>
            </w:pPr>
            <w:r>
              <w:rPr>
                <w:w w:val="99"/>
                <w:sz w:val="14"/>
              </w:rPr>
              <w:t>-</w:t>
            </w:r>
          </w:p>
        </w:tc>
        <w:tc>
          <w:tcPr>
            <w:tcW w:w="757" w:type="dxa"/>
            <w:tcBorders>
              <w:bottom w:val="single" w:sz="1" w:space="0" w:color="000000"/>
            </w:tcBorders>
          </w:tcPr>
          <w:p>
            <w:pPr>
              <w:pStyle w:val="TableParagraph"/>
              <w:spacing w:before="20"/>
              <w:ind w:right="164"/>
              <w:jc w:val="right"/>
              <w:rPr>
                <w:sz w:val="14"/>
              </w:rPr>
            </w:pPr>
            <w:r>
              <w:rPr>
                <w:w w:val="99"/>
                <w:sz w:val="14"/>
              </w:rPr>
              <w:t>-</w:t>
            </w:r>
          </w:p>
        </w:tc>
        <w:tc>
          <w:tcPr>
            <w:tcW w:w="769" w:type="dxa"/>
            <w:tcBorders>
              <w:bottom w:val="single" w:sz="1" w:space="0" w:color="000000"/>
            </w:tcBorders>
          </w:tcPr>
          <w:p>
            <w:pPr>
              <w:pStyle w:val="TableParagraph"/>
              <w:spacing w:before="20"/>
              <w:ind w:right="148"/>
              <w:jc w:val="right"/>
              <w:rPr>
                <w:sz w:val="14"/>
              </w:rPr>
            </w:pPr>
            <w:r>
              <w:rPr>
                <w:w w:val="99"/>
                <w:sz w:val="14"/>
              </w:rPr>
              <w:t>-</w:t>
            </w:r>
          </w:p>
        </w:tc>
        <w:tc>
          <w:tcPr>
            <w:tcW w:w="757" w:type="dxa"/>
            <w:tcBorders>
              <w:bottom w:val="single" w:sz="1" w:space="0" w:color="000000"/>
            </w:tcBorders>
          </w:tcPr>
          <w:p>
            <w:pPr>
              <w:pStyle w:val="TableParagraph"/>
              <w:spacing w:before="20"/>
              <w:ind w:right="164"/>
              <w:jc w:val="right"/>
              <w:rPr>
                <w:sz w:val="14"/>
              </w:rPr>
            </w:pPr>
            <w:r>
              <w:rPr>
                <w:w w:val="99"/>
                <w:sz w:val="14"/>
              </w:rPr>
              <w:t>-</w:t>
            </w:r>
          </w:p>
        </w:tc>
        <w:tc>
          <w:tcPr>
            <w:tcW w:w="769" w:type="dxa"/>
            <w:tcBorders>
              <w:bottom w:val="single" w:sz="1" w:space="0" w:color="000000"/>
            </w:tcBorders>
          </w:tcPr>
          <w:p>
            <w:pPr>
              <w:pStyle w:val="TableParagraph"/>
              <w:spacing w:before="20"/>
              <w:ind w:right="148"/>
              <w:jc w:val="right"/>
              <w:rPr>
                <w:sz w:val="14"/>
              </w:rPr>
            </w:pPr>
            <w:r>
              <w:rPr>
                <w:w w:val="99"/>
                <w:sz w:val="14"/>
              </w:rPr>
              <w:t>-</w:t>
            </w:r>
          </w:p>
        </w:tc>
        <w:tc>
          <w:tcPr>
            <w:tcW w:w="757" w:type="dxa"/>
            <w:tcBorders>
              <w:bottom w:val="single" w:sz="1" w:space="0" w:color="000000"/>
            </w:tcBorders>
          </w:tcPr>
          <w:p>
            <w:pPr>
              <w:pStyle w:val="TableParagraph"/>
              <w:spacing w:before="20"/>
              <w:ind w:right="164"/>
              <w:jc w:val="right"/>
              <w:rPr>
                <w:sz w:val="14"/>
              </w:rPr>
            </w:pPr>
            <w:r>
              <w:rPr>
                <w:w w:val="99"/>
                <w:sz w:val="14"/>
              </w:rPr>
              <w:t>-</w:t>
            </w:r>
          </w:p>
        </w:tc>
        <w:tc>
          <w:tcPr>
            <w:tcW w:w="747" w:type="dxa"/>
            <w:tcBorders>
              <w:bottom w:val="single" w:sz="1" w:space="0" w:color="000000"/>
            </w:tcBorders>
          </w:tcPr>
          <w:p>
            <w:pPr>
              <w:pStyle w:val="TableParagraph"/>
              <w:spacing w:before="20"/>
              <w:ind w:right="126"/>
              <w:jc w:val="right"/>
              <w:rPr>
                <w:sz w:val="14"/>
              </w:rPr>
            </w:pPr>
            <w:r>
              <w:rPr>
                <w:w w:val="99"/>
                <w:sz w:val="14"/>
              </w:rPr>
              <w:t>-</w:t>
            </w:r>
          </w:p>
        </w:tc>
        <w:tc>
          <w:tcPr>
            <w:tcW w:w="780" w:type="dxa"/>
            <w:tcBorders>
              <w:bottom w:val="single" w:sz="1" w:space="0" w:color="000000"/>
            </w:tcBorders>
          </w:tcPr>
          <w:p>
            <w:pPr>
              <w:pStyle w:val="TableParagraph"/>
              <w:spacing w:before="20"/>
              <w:ind w:right="164"/>
              <w:jc w:val="right"/>
              <w:rPr>
                <w:sz w:val="14"/>
              </w:rPr>
            </w:pPr>
            <w:r>
              <w:rPr>
                <w:w w:val="99"/>
                <w:sz w:val="14"/>
              </w:rPr>
              <w:t>-</w:t>
            </w:r>
          </w:p>
        </w:tc>
        <w:tc>
          <w:tcPr>
            <w:tcW w:w="769" w:type="dxa"/>
            <w:tcBorders>
              <w:bottom w:val="single" w:sz="1" w:space="0" w:color="000000"/>
            </w:tcBorders>
          </w:tcPr>
          <w:p>
            <w:pPr>
              <w:pStyle w:val="TableParagraph"/>
              <w:spacing w:before="20"/>
              <w:ind w:right="148"/>
              <w:jc w:val="right"/>
              <w:rPr>
                <w:sz w:val="14"/>
              </w:rPr>
            </w:pPr>
            <w:r>
              <w:rPr>
                <w:w w:val="99"/>
                <w:sz w:val="14"/>
              </w:rPr>
              <w:t>6</w:t>
            </w:r>
          </w:p>
        </w:tc>
        <w:tc>
          <w:tcPr>
            <w:tcW w:w="733" w:type="dxa"/>
            <w:tcBorders>
              <w:bottom w:val="single" w:sz="1" w:space="0" w:color="000000"/>
            </w:tcBorders>
          </w:tcPr>
          <w:p>
            <w:pPr>
              <w:pStyle w:val="TableParagraph"/>
              <w:spacing w:before="20"/>
              <w:ind w:right="140"/>
              <w:jc w:val="right"/>
              <w:rPr>
                <w:sz w:val="14"/>
              </w:rPr>
            </w:pPr>
            <w:r>
              <w:rPr>
                <w:sz w:val="14"/>
              </w:rPr>
              <w:t>15</w:t>
            </w:r>
          </w:p>
        </w:tc>
        <w:tc>
          <w:tcPr>
            <w:tcW w:w="763" w:type="dxa"/>
            <w:tcBorders>
              <w:bottom w:val="single" w:sz="1" w:space="0" w:color="000000"/>
            </w:tcBorders>
          </w:tcPr>
          <w:p>
            <w:pPr>
              <w:pStyle w:val="TableParagraph"/>
              <w:spacing w:before="20"/>
              <w:ind w:right="73"/>
              <w:jc w:val="right"/>
              <w:rPr>
                <w:sz w:val="14"/>
              </w:rPr>
            </w:pPr>
            <w:r>
              <w:rPr>
                <w:sz w:val="14"/>
              </w:rPr>
              <w:t>(191)</w:t>
            </w:r>
          </w:p>
        </w:tc>
        <w:tc>
          <w:tcPr>
            <w:tcW w:w="688" w:type="dxa"/>
            <w:tcBorders>
              <w:bottom w:val="single" w:sz="1" w:space="0" w:color="000000"/>
            </w:tcBorders>
          </w:tcPr>
          <w:p>
            <w:pPr>
              <w:pStyle w:val="TableParagraph"/>
              <w:spacing w:before="20"/>
              <w:ind w:right="19"/>
              <w:jc w:val="right"/>
              <w:rPr>
                <w:sz w:val="14"/>
              </w:rPr>
            </w:pPr>
            <w:r>
              <w:rPr>
                <w:sz w:val="14"/>
              </w:rPr>
              <w:t>(798)</w:t>
            </w:r>
          </w:p>
        </w:tc>
      </w:tr>
      <w:tr>
        <w:trPr>
          <w:trHeight w:val="239" w:hRule="exact"/>
        </w:trPr>
        <w:tc>
          <w:tcPr>
            <w:tcW w:w="2593" w:type="dxa"/>
          </w:tcPr>
          <w:p>
            <w:pPr>
              <w:pStyle w:val="TableParagraph"/>
              <w:spacing w:before="42"/>
              <w:ind w:left="35" w:right="96"/>
              <w:rPr>
                <w:sz w:val="14"/>
              </w:rPr>
            </w:pPr>
            <w:r>
              <w:rPr>
                <w:sz w:val="14"/>
              </w:rPr>
              <w:t>Revenue for the period</w:t>
            </w:r>
          </w:p>
        </w:tc>
        <w:tc>
          <w:tcPr>
            <w:tcW w:w="574" w:type="dxa"/>
          </w:tcPr>
          <w:p>
            <w:pPr>
              <w:pStyle w:val="TableParagraph"/>
              <w:spacing w:before="38"/>
              <w:ind w:left="160"/>
              <w:rPr>
                <w:sz w:val="14"/>
              </w:rPr>
            </w:pPr>
            <w:r>
              <w:rPr>
                <w:sz w:val="14"/>
              </w:rPr>
              <w:t>2(a)</w:t>
            </w:r>
          </w:p>
        </w:tc>
        <w:tc>
          <w:tcPr>
            <w:tcW w:w="839" w:type="dxa"/>
            <w:tcBorders>
              <w:top w:val="single" w:sz="1" w:space="0" w:color="000000"/>
            </w:tcBorders>
          </w:tcPr>
          <w:p>
            <w:pPr>
              <w:pStyle w:val="TableParagraph"/>
              <w:spacing w:before="39"/>
              <w:ind w:right="119"/>
              <w:jc w:val="right"/>
              <w:rPr>
                <w:sz w:val="14"/>
              </w:rPr>
            </w:pPr>
            <w:r>
              <w:rPr>
                <w:w w:val="95"/>
                <w:sz w:val="14"/>
              </w:rPr>
              <w:t>286,995</w:t>
            </w:r>
          </w:p>
        </w:tc>
        <w:tc>
          <w:tcPr>
            <w:tcW w:w="787" w:type="dxa"/>
            <w:tcBorders>
              <w:top w:val="single" w:sz="1" w:space="0" w:color="000000"/>
            </w:tcBorders>
          </w:tcPr>
          <w:p>
            <w:pPr>
              <w:pStyle w:val="TableParagraph"/>
              <w:spacing w:before="39"/>
              <w:ind w:left="121"/>
              <w:rPr>
                <w:sz w:val="14"/>
              </w:rPr>
            </w:pPr>
            <w:r>
              <w:rPr>
                <w:sz w:val="14"/>
              </w:rPr>
              <w:t>297,511</w:t>
            </w:r>
          </w:p>
        </w:tc>
        <w:tc>
          <w:tcPr>
            <w:tcW w:w="769" w:type="dxa"/>
            <w:tcBorders>
              <w:top w:val="single" w:sz="1" w:space="0" w:color="000000"/>
            </w:tcBorders>
          </w:tcPr>
          <w:p>
            <w:pPr>
              <w:pStyle w:val="TableParagraph"/>
              <w:spacing w:before="39"/>
              <w:ind w:right="149"/>
              <w:jc w:val="right"/>
              <w:rPr>
                <w:sz w:val="14"/>
              </w:rPr>
            </w:pPr>
            <w:r>
              <w:rPr>
                <w:sz w:val="14"/>
              </w:rPr>
              <w:t>2,643</w:t>
            </w:r>
          </w:p>
        </w:tc>
        <w:tc>
          <w:tcPr>
            <w:tcW w:w="757" w:type="dxa"/>
            <w:tcBorders>
              <w:top w:val="single" w:sz="1" w:space="0" w:color="000000"/>
            </w:tcBorders>
          </w:tcPr>
          <w:p>
            <w:pPr>
              <w:pStyle w:val="TableParagraph"/>
              <w:spacing w:before="39"/>
              <w:ind w:right="164"/>
              <w:jc w:val="right"/>
              <w:rPr>
                <w:sz w:val="14"/>
              </w:rPr>
            </w:pPr>
            <w:r>
              <w:rPr>
                <w:sz w:val="14"/>
              </w:rPr>
              <w:t>1,927</w:t>
            </w:r>
          </w:p>
        </w:tc>
        <w:tc>
          <w:tcPr>
            <w:tcW w:w="769" w:type="dxa"/>
            <w:tcBorders>
              <w:top w:val="single" w:sz="1" w:space="0" w:color="000000"/>
            </w:tcBorders>
          </w:tcPr>
          <w:p>
            <w:pPr>
              <w:pStyle w:val="TableParagraph"/>
              <w:spacing w:before="39"/>
              <w:ind w:right="149"/>
              <w:jc w:val="right"/>
              <w:rPr>
                <w:sz w:val="14"/>
              </w:rPr>
            </w:pPr>
            <w:r>
              <w:rPr>
                <w:w w:val="95"/>
                <w:sz w:val="14"/>
              </w:rPr>
              <w:t>10,231</w:t>
            </w:r>
          </w:p>
        </w:tc>
        <w:tc>
          <w:tcPr>
            <w:tcW w:w="757" w:type="dxa"/>
            <w:tcBorders>
              <w:top w:val="single" w:sz="1" w:space="0" w:color="000000"/>
            </w:tcBorders>
          </w:tcPr>
          <w:p>
            <w:pPr>
              <w:pStyle w:val="TableParagraph"/>
              <w:spacing w:before="39"/>
              <w:ind w:right="164"/>
              <w:jc w:val="right"/>
              <w:rPr>
                <w:sz w:val="14"/>
              </w:rPr>
            </w:pPr>
            <w:r>
              <w:rPr>
                <w:w w:val="95"/>
                <w:sz w:val="14"/>
              </w:rPr>
              <w:t>11,494</w:t>
            </w:r>
          </w:p>
        </w:tc>
        <w:tc>
          <w:tcPr>
            <w:tcW w:w="769" w:type="dxa"/>
            <w:tcBorders>
              <w:top w:val="single" w:sz="1" w:space="0" w:color="000000"/>
            </w:tcBorders>
          </w:tcPr>
          <w:p>
            <w:pPr>
              <w:pStyle w:val="TableParagraph"/>
              <w:spacing w:before="39"/>
              <w:ind w:left="387"/>
              <w:rPr>
                <w:sz w:val="14"/>
              </w:rPr>
            </w:pPr>
            <w:r>
              <w:rPr>
                <w:sz w:val="14"/>
              </w:rPr>
              <w:t>970</w:t>
            </w:r>
          </w:p>
        </w:tc>
        <w:tc>
          <w:tcPr>
            <w:tcW w:w="757" w:type="dxa"/>
            <w:tcBorders>
              <w:top w:val="single" w:sz="1" w:space="0" w:color="000000"/>
            </w:tcBorders>
          </w:tcPr>
          <w:p>
            <w:pPr>
              <w:pStyle w:val="TableParagraph"/>
              <w:spacing w:before="39"/>
              <w:ind w:right="164"/>
              <w:jc w:val="right"/>
              <w:rPr>
                <w:sz w:val="14"/>
              </w:rPr>
            </w:pPr>
            <w:r>
              <w:rPr>
                <w:sz w:val="14"/>
              </w:rPr>
              <w:t>924</w:t>
            </w:r>
          </w:p>
        </w:tc>
        <w:tc>
          <w:tcPr>
            <w:tcW w:w="747" w:type="dxa"/>
            <w:tcBorders>
              <w:top w:val="single" w:sz="1" w:space="0" w:color="000000"/>
            </w:tcBorders>
          </w:tcPr>
          <w:p>
            <w:pPr>
              <w:pStyle w:val="TableParagraph"/>
              <w:spacing w:before="39"/>
              <w:ind w:right="126"/>
              <w:jc w:val="right"/>
              <w:rPr>
                <w:sz w:val="14"/>
              </w:rPr>
            </w:pPr>
            <w:r>
              <w:rPr>
                <w:sz w:val="14"/>
              </w:rPr>
              <w:t>100</w:t>
            </w:r>
          </w:p>
        </w:tc>
        <w:tc>
          <w:tcPr>
            <w:tcW w:w="780" w:type="dxa"/>
            <w:tcBorders>
              <w:top w:val="single" w:sz="1" w:space="0" w:color="000000"/>
            </w:tcBorders>
          </w:tcPr>
          <w:p>
            <w:pPr>
              <w:pStyle w:val="TableParagraph"/>
              <w:spacing w:before="39"/>
              <w:ind w:right="164"/>
              <w:jc w:val="right"/>
              <w:rPr>
                <w:sz w:val="14"/>
              </w:rPr>
            </w:pPr>
            <w:r>
              <w:rPr>
                <w:sz w:val="14"/>
              </w:rPr>
              <w:t>131</w:t>
            </w:r>
          </w:p>
        </w:tc>
        <w:tc>
          <w:tcPr>
            <w:tcW w:w="769" w:type="dxa"/>
            <w:tcBorders>
              <w:top w:val="single" w:sz="1" w:space="0" w:color="000000"/>
            </w:tcBorders>
          </w:tcPr>
          <w:p>
            <w:pPr>
              <w:pStyle w:val="TableParagraph"/>
              <w:spacing w:before="39"/>
              <w:ind w:right="149"/>
              <w:jc w:val="right"/>
              <w:rPr>
                <w:sz w:val="14"/>
              </w:rPr>
            </w:pPr>
            <w:r>
              <w:rPr>
                <w:sz w:val="14"/>
              </w:rPr>
              <w:t>31</w:t>
            </w:r>
          </w:p>
        </w:tc>
        <w:tc>
          <w:tcPr>
            <w:tcW w:w="733" w:type="dxa"/>
            <w:tcBorders>
              <w:top w:val="single" w:sz="1" w:space="0" w:color="000000"/>
            </w:tcBorders>
          </w:tcPr>
          <w:p>
            <w:pPr>
              <w:pStyle w:val="TableParagraph"/>
              <w:spacing w:before="39"/>
              <w:ind w:right="140"/>
              <w:jc w:val="right"/>
              <w:rPr>
                <w:sz w:val="14"/>
              </w:rPr>
            </w:pPr>
            <w:r>
              <w:rPr>
                <w:sz w:val="14"/>
              </w:rPr>
              <w:t>155</w:t>
            </w:r>
          </w:p>
        </w:tc>
        <w:tc>
          <w:tcPr>
            <w:tcW w:w="763" w:type="dxa"/>
            <w:tcBorders>
              <w:top w:val="single" w:sz="1" w:space="0" w:color="000000"/>
            </w:tcBorders>
          </w:tcPr>
          <w:p>
            <w:pPr>
              <w:pStyle w:val="TableParagraph"/>
              <w:spacing w:before="39"/>
              <w:ind w:right="119"/>
              <w:jc w:val="right"/>
              <w:rPr>
                <w:sz w:val="14"/>
              </w:rPr>
            </w:pPr>
            <w:r>
              <w:rPr>
                <w:w w:val="95"/>
                <w:sz w:val="14"/>
              </w:rPr>
              <w:t>300,970</w:t>
            </w:r>
          </w:p>
        </w:tc>
        <w:tc>
          <w:tcPr>
            <w:tcW w:w="688" w:type="dxa"/>
            <w:tcBorders>
              <w:top w:val="single" w:sz="1" w:space="0" w:color="000000"/>
            </w:tcBorders>
          </w:tcPr>
          <w:p>
            <w:pPr>
              <w:pStyle w:val="TableParagraph"/>
              <w:spacing w:before="39"/>
              <w:ind w:left="121"/>
              <w:rPr>
                <w:sz w:val="14"/>
              </w:rPr>
            </w:pPr>
            <w:r>
              <w:rPr>
                <w:sz w:val="14"/>
              </w:rPr>
              <w:t>312,142</w:t>
            </w:r>
          </w:p>
        </w:tc>
      </w:tr>
      <w:tr>
        <w:trPr>
          <w:trHeight w:val="217" w:hRule="exact"/>
        </w:trPr>
        <w:tc>
          <w:tcPr>
            <w:tcW w:w="2593" w:type="dxa"/>
          </w:tcPr>
          <w:p>
            <w:pPr>
              <w:pStyle w:val="TableParagraph"/>
              <w:spacing w:before="22"/>
              <w:ind w:left="35" w:right="96"/>
              <w:rPr>
                <w:sz w:val="14"/>
              </w:rPr>
            </w:pPr>
            <w:r>
              <w:rPr>
                <w:sz w:val="14"/>
              </w:rPr>
              <w:t>Surplus/(deficit) from the previous year</w:t>
            </w:r>
          </w:p>
        </w:tc>
        <w:tc>
          <w:tcPr>
            <w:tcW w:w="574" w:type="dxa"/>
          </w:tcPr>
          <w:p>
            <w:pPr/>
          </w:p>
        </w:tc>
        <w:tc>
          <w:tcPr>
            <w:tcW w:w="839" w:type="dxa"/>
            <w:tcBorders>
              <w:bottom w:val="single" w:sz="1" w:space="0" w:color="000000"/>
            </w:tcBorders>
          </w:tcPr>
          <w:p>
            <w:pPr>
              <w:pStyle w:val="TableParagraph"/>
              <w:spacing w:before="20"/>
              <w:ind w:right="118"/>
              <w:jc w:val="right"/>
              <w:rPr>
                <w:sz w:val="14"/>
              </w:rPr>
            </w:pPr>
            <w:r>
              <w:rPr>
                <w:w w:val="99"/>
                <w:sz w:val="14"/>
              </w:rPr>
              <w:t>-</w:t>
            </w:r>
          </w:p>
        </w:tc>
        <w:tc>
          <w:tcPr>
            <w:tcW w:w="787" w:type="dxa"/>
            <w:tcBorders>
              <w:bottom w:val="single" w:sz="1" w:space="0" w:color="000000"/>
            </w:tcBorders>
          </w:tcPr>
          <w:p>
            <w:pPr>
              <w:pStyle w:val="TableParagraph"/>
              <w:spacing w:before="20"/>
              <w:ind w:right="164"/>
              <w:jc w:val="right"/>
              <w:rPr>
                <w:sz w:val="14"/>
              </w:rPr>
            </w:pPr>
            <w:r>
              <w:rPr>
                <w:w w:val="99"/>
                <w:sz w:val="14"/>
              </w:rPr>
              <w:t>-</w:t>
            </w:r>
          </w:p>
        </w:tc>
        <w:tc>
          <w:tcPr>
            <w:tcW w:w="769" w:type="dxa"/>
            <w:tcBorders>
              <w:bottom w:val="single" w:sz="1" w:space="0" w:color="000000"/>
            </w:tcBorders>
          </w:tcPr>
          <w:p>
            <w:pPr>
              <w:pStyle w:val="TableParagraph"/>
              <w:spacing w:before="20"/>
              <w:ind w:right="149"/>
              <w:jc w:val="right"/>
              <w:rPr>
                <w:sz w:val="14"/>
              </w:rPr>
            </w:pPr>
            <w:r>
              <w:rPr>
                <w:sz w:val="14"/>
              </w:rPr>
              <w:t>31</w:t>
            </w:r>
          </w:p>
        </w:tc>
        <w:tc>
          <w:tcPr>
            <w:tcW w:w="757" w:type="dxa"/>
            <w:tcBorders>
              <w:bottom w:val="single" w:sz="1" w:space="0" w:color="000000"/>
            </w:tcBorders>
          </w:tcPr>
          <w:p>
            <w:pPr>
              <w:pStyle w:val="TableParagraph"/>
              <w:spacing w:before="20"/>
              <w:ind w:right="164"/>
              <w:jc w:val="right"/>
              <w:rPr>
                <w:sz w:val="14"/>
              </w:rPr>
            </w:pPr>
            <w:r>
              <w:rPr>
                <w:sz w:val="14"/>
              </w:rPr>
              <w:t>27</w:t>
            </w:r>
          </w:p>
        </w:tc>
        <w:tc>
          <w:tcPr>
            <w:tcW w:w="769" w:type="dxa"/>
            <w:tcBorders>
              <w:bottom w:val="single" w:sz="1" w:space="0" w:color="000000"/>
            </w:tcBorders>
          </w:tcPr>
          <w:p>
            <w:pPr>
              <w:pStyle w:val="TableParagraph"/>
              <w:spacing w:before="20"/>
              <w:ind w:right="149"/>
              <w:jc w:val="right"/>
              <w:rPr>
                <w:sz w:val="14"/>
              </w:rPr>
            </w:pPr>
            <w:r>
              <w:rPr>
                <w:sz w:val="14"/>
              </w:rPr>
              <w:t>159</w:t>
            </w:r>
          </w:p>
        </w:tc>
        <w:tc>
          <w:tcPr>
            <w:tcW w:w="757" w:type="dxa"/>
            <w:tcBorders>
              <w:bottom w:val="single" w:sz="1" w:space="0" w:color="000000"/>
            </w:tcBorders>
          </w:tcPr>
          <w:p>
            <w:pPr>
              <w:pStyle w:val="TableParagraph"/>
              <w:spacing w:before="20"/>
              <w:ind w:right="164"/>
              <w:jc w:val="right"/>
              <w:rPr>
                <w:sz w:val="14"/>
              </w:rPr>
            </w:pPr>
            <w:r>
              <w:rPr>
                <w:sz w:val="14"/>
              </w:rPr>
              <w:t>1,513</w:t>
            </w:r>
          </w:p>
        </w:tc>
        <w:tc>
          <w:tcPr>
            <w:tcW w:w="769" w:type="dxa"/>
            <w:tcBorders>
              <w:bottom w:val="single" w:sz="1" w:space="0" w:color="000000"/>
            </w:tcBorders>
          </w:tcPr>
          <w:p>
            <w:pPr>
              <w:pStyle w:val="TableParagraph"/>
              <w:spacing w:before="20"/>
              <w:ind w:left="387"/>
              <w:rPr>
                <w:sz w:val="14"/>
              </w:rPr>
            </w:pPr>
            <w:r>
              <w:rPr>
                <w:sz w:val="14"/>
              </w:rPr>
              <w:t>602</w:t>
            </w:r>
          </w:p>
        </w:tc>
        <w:tc>
          <w:tcPr>
            <w:tcW w:w="757" w:type="dxa"/>
            <w:tcBorders>
              <w:bottom w:val="single" w:sz="1" w:space="0" w:color="000000"/>
            </w:tcBorders>
          </w:tcPr>
          <w:p>
            <w:pPr>
              <w:pStyle w:val="TableParagraph"/>
              <w:spacing w:before="20"/>
              <w:ind w:right="164"/>
              <w:jc w:val="right"/>
              <w:rPr>
                <w:sz w:val="14"/>
              </w:rPr>
            </w:pPr>
            <w:r>
              <w:rPr>
                <w:sz w:val="14"/>
              </w:rPr>
              <w:t>787</w:t>
            </w:r>
          </w:p>
        </w:tc>
        <w:tc>
          <w:tcPr>
            <w:tcW w:w="747" w:type="dxa"/>
            <w:tcBorders>
              <w:bottom w:val="single" w:sz="1" w:space="0" w:color="000000"/>
            </w:tcBorders>
          </w:tcPr>
          <w:p>
            <w:pPr>
              <w:pStyle w:val="TableParagraph"/>
              <w:spacing w:before="20"/>
              <w:ind w:right="126"/>
              <w:jc w:val="right"/>
              <w:rPr>
                <w:sz w:val="14"/>
              </w:rPr>
            </w:pPr>
            <w:r>
              <w:rPr>
                <w:sz w:val="14"/>
              </w:rPr>
              <w:t>323</w:t>
            </w:r>
          </w:p>
        </w:tc>
        <w:tc>
          <w:tcPr>
            <w:tcW w:w="780" w:type="dxa"/>
            <w:tcBorders>
              <w:bottom w:val="single" w:sz="1" w:space="0" w:color="000000"/>
            </w:tcBorders>
          </w:tcPr>
          <w:p>
            <w:pPr>
              <w:pStyle w:val="TableParagraph"/>
              <w:spacing w:before="20"/>
              <w:ind w:right="164"/>
              <w:jc w:val="right"/>
              <w:rPr>
                <w:sz w:val="14"/>
              </w:rPr>
            </w:pPr>
            <w:r>
              <w:rPr>
                <w:sz w:val="14"/>
              </w:rPr>
              <w:t>1,013</w:t>
            </w:r>
          </w:p>
        </w:tc>
        <w:tc>
          <w:tcPr>
            <w:tcW w:w="769" w:type="dxa"/>
            <w:tcBorders>
              <w:bottom w:val="single" w:sz="1" w:space="0" w:color="000000"/>
            </w:tcBorders>
          </w:tcPr>
          <w:p>
            <w:pPr>
              <w:pStyle w:val="TableParagraph"/>
              <w:spacing w:before="20"/>
              <w:ind w:right="149"/>
              <w:jc w:val="right"/>
              <w:rPr>
                <w:sz w:val="14"/>
              </w:rPr>
            </w:pPr>
            <w:r>
              <w:rPr>
                <w:sz w:val="14"/>
              </w:rPr>
              <w:t>154</w:t>
            </w:r>
          </w:p>
        </w:tc>
        <w:tc>
          <w:tcPr>
            <w:tcW w:w="733" w:type="dxa"/>
            <w:tcBorders>
              <w:bottom w:val="single" w:sz="1" w:space="0" w:color="000000"/>
            </w:tcBorders>
          </w:tcPr>
          <w:p>
            <w:pPr>
              <w:pStyle w:val="TableParagraph"/>
              <w:spacing w:before="20"/>
              <w:ind w:right="140"/>
              <w:jc w:val="right"/>
              <w:rPr>
                <w:sz w:val="14"/>
              </w:rPr>
            </w:pPr>
            <w:r>
              <w:rPr>
                <w:sz w:val="14"/>
              </w:rPr>
              <w:t>461</w:t>
            </w:r>
          </w:p>
        </w:tc>
        <w:tc>
          <w:tcPr>
            <w:tcW w:w="763" w:type="dxa"/>
            <w:tcBorders>
              <w:bottom w:val="single" w:sz="1" w:space="0" w:color="000000"/>
            </w:tcBorders>
          </w:tcPr>
          <w:p>
            <w:pPr>
              <w:pStyle w:val="TableParagraph"/>
              <w:spacing w:before="20"/>
              <w:ind w:right="119"/>
              <w:jc w:val="right"/>
              <w:rPr>
                <w:sz w:val="14"/>
              </w:rPr>
            </w:pPr>
            <w:r>
              <w:rPr>
                <w:sz w:val="14"/>
              </w:rPr>
              <w:t>1,269</w:t>
            </w:r>
          </w:p>
        </w:tc>
        <w:tc>
          <w:tcPr>
            <w:tcW w:w="688" w:type="dxa"/>
            <w:tcBorders>
              <w:bottom w:val="single" w:sz="1" w:space="0" w:color="000000"/>
            </w:tcBorders>
          </w:tcPr>
          <w:p>
            <w:pPr>
              <w:pStyle w:val="TableParagraph"/>
              <w:spacing w:before="20"/>
              <w:ind w:left="274"/>
              <w:rPr>
                <w:sz w:val="14"/>
              </w:rPr>
            </w:pPr>
            <w:r>
              <w:rPr>
                <w:sz w:val="14"/>
              </w:rPr>
              <w:t>3,801</w:t>
            </w:r>
          </w:p>
        </w:tc>
      </w:tr>
      <w:tr>
        <w:trPr>
          <w:trHeight w:val="394" w:hRule="exact"/>
        </w:trPr>
        <w:tc>
          <w:tcPr>
            <w:tcW w:w="2593" w:type="dxa"/>
          </w:tcPr>
          <w:p>
            <w:pPr>
              <w:pStyle w:val="TableParagraph"/>
              <w:spacing w:before="38"/>
              <w:ind w:left="35" w:right="96"/>
              <w:rPr>
                <w:sz w:val="14"/>
              </w:rPr>
            </w:pPr>
            <w:r>
              <w:rPr>
                <w:sz w:val="14"/>
              </w:rPr>
              <w:t>Total revenue including accrued revenue</w:t>
            </w:r>
          </w:p>
        </w:tc>
        <w:tc>
          <w:tcPr>
            <w:tcW w:w="574" w:type="dxa"/>
          </w:tcPr>
          <w:p>
            <w:pPr/>
          </w:p>
        </w:tc>
        <w:tc>
          <w:tcPr>
            <w:tcW w:w="839" w:type="dxa"/>
            <w:tcBorders>
              <w:top w:val="single" w:sz="1" w:space="0" w:color="000000"/>
            </w:tcBorders>
          </w:tcPr>
          <w:p>
            <w:pPr>
              <w:pStyle w:val="TableParagraph"/>
              <w:spacing w:before="11"/>
              <w:rPr>
                <w:b/>
                <w:sz w:val="16"/>
              </w:rPr>
            </w:pPr>
          </w:p>
          <w:p>
            <w:pPr>
              <w:pStyle w:val="TableParagraph"/>
              <w:ind w:right="119"/>
              <w:jc w:val="right"/>
              <w:rPr>
                <w:sz w:val="14"/>
              </w:rPr>
            </w:pPr>
            <w:r>
              <w:rPr>
                <w:w w:val="95"/>
                <w:sz w:val="14"/>
              </w:rPr>
              <w:t>286,995</w:t>
            </w:r>
          </w:p>
        </w:tc>
        <w:tc>
          <w:tcPr>
            <w:tcW w:w="787" w:type="dxa"/>
            <w:tcBorders>
              <w:top w:val="single" w:sz="1" w:space="0" w:color="000000"/>
            </w:tcBorders>
          </w:tcPr>
          <w:p>
            <w:pPr>
              <w:pStyle w:val="TableParagraph"/>
              <w:spacing w:before="11"/>
              <w:rPr>
                <w:b/>
                <w:sz w:val="16"/>
              </w:rPr>
            </w:pPr>
          </w:p>
          <w:p>
            <w:pPr>
              <w:pStyle w:val="TableParagraph"/>
              <w:ind w:left="121"/>
              <w:rPr>
                <w:sz w:val="14"/>
              </w:rPr>
            </w:pPr>
            <w:r>
              <w:rPr>
                <w:sz w:val="14"/>
              </w:rPr>
              <w:t>297,511</w:t>
            </w:r>
          </w:p>
        </w:tc>
        <w:tc>
          <w:tcPr>
            <w:tcW w:w="769" w:type="dxa"/>
            <w:tcBorders>
              <w:top w:val="single" w:sz="1" w:space="0" w:color="000000"/>
            </w:tcBorders>
          </w:tcPr>
          <w:p>
            <w:pPr>
              <w:pStyle w:val="TableParagraph"/>
              <w:spacing w:before="11"/>
              <w:rPr>
                <w:b/>
                <w:sz w:val="16"/>
              </w:rPr>
            </w:pPr>
          </w:p>
          <w:p>
            <w:pPr>
              <w:pStyle w:val="TableParagraph"/>
              <w:ind w:right="149"/>
              <w:jc w:val="right"/>
              <w:rPr>
                <w:sz w:val="14"/>
              </w:rPr>
            </w:pPr>
            <w:r>
              <w:rPr>
                <w:sz w:val="14"/>
              </w:rPr>
              <w:t>2,674</w:t>
            </w:r>
          </w:p>
        </w:tc>
        <w:tc>
          <w:tcPr>
            <w:tcW w:w="757" w:type="dxa"/>
            <w:tcBorders>
              <w:top w:val="single" w:sz="1" w:space="0" w:color="000000"/>
            </w:tcBorders>
          </w:tcPr>
          <w:p>
            <w:pPr>
              <w:pStyle w:val="TableParagraph"/>
              <w:spacing w:before="11"/>
              <w:rPr>
                <w:b/>
                <w:sz w:val="16"/>
              </w:rPr>
            </w:pPr>
          </w:p>
          <w:p>
            <w:pPr>
              <w:pStyle w:val="TableParagraph"/>
              <w:ind w:right="164"/>
              <w:jc w:val="right"/>
              <w:rPr>
                <w:sz w:val="14"/>
              </w:rPr>
            </w:pPr>
            <w:r>
              <w:rPr>
                <w:sz w:val="14"/>
              </w:rPr>
              <w:t>1,954</w:t>
            </w:r>
          </w:p>
        </w:tc>
        <w:tc>
          <w:tcPr>
            <w:tcW w:w="769" w:type="dxa"/>
            <w:tcBorders>
              <w:top w:val="single" w:sz="1" w:space="0" w:color="000000"/>
            </w:tcBorders>
          </w:tcPr>
          <w:p>
            <w:pPr>
              <w:pStyle w:val="TableParagraph"/>
              <w:spacing w:before="11"/>
              <w:rPr>
                <w:b/>
                <w:sz w:val="16"/>
              </w:rPr>
            </w:pPr>
          </w:p>
          <w:p>
            <w:pPr>
              <w:pStyle w:val="TableParagraph"/>
              <w:ind w:right="149"/>
              <w:jc w:val="right"/>
              <w:rPr>
                <w:sz w:val="14"/>
              </w:rPr>
            </w:pPr>
            <w:r>
              <w:rPr>
                <w:w w:val="95"/>
                <w:sz w:val="14"/>
              </w:rPr>
              <w:t>10,390</w:t>
            </w:r>
          </w:p>
        </w:tc>
        <w:tc>
          <w:tcPr>
            <w:tcW w:w="757" w:type="dxa"/>
            <w:tcBorders>
              <w:top w:val="single" w:sz="1" w:space="0" w:color="000000"/>
            </w:tcBorders>
          </w:tcPr>
          <w:p>
            <w:pPr>
              <w:pStyle w:val="TableParagraph"/>
              <w:spacing w:before="11"/>
              <w:rPr>
                <w:b/>
                <w:sz w:val="16"/>
              </w:rPr>
            </w:pPr>
          </w:p>
          <w:p>
            <w:pPr>
              <w:pStyle w:val="TableParagraph"/>
              <w:ind w:right="164"/>
              <w:jc w:val="right"/>
              <w:rPr>
                <w:sz w:val="14"/>
              </w:rPr>
            </w:pPr>
            <w:r>
              <w:rPr>
                <w:w w:val="95"/>
                <w:sz w:val="14"/>
              </w:rPr>
              <w:t>13,007</w:t>
            </w:r>
          </w:p>
        </w:tc>
        <w:tc>
          <w:tcPr>
            <w:tcW w:w="769" w:type="dxa"/>
            <w:tcBorders>
              <w:top w:val="single" w:sz="1" w:space="0" w:color="000000"/>
            </w:tcBorders>
          </w:tcPr>
          <w:p>
            <w:pPr>
              <w:pStyle w:val="TableParagraph"/>
              <w:spacing w:before="11"/>
              <w:rPr>
                <w:b/>
                <w:sz w:val="16"/>
              </w:rPr>
            </w:pPr>
          </w:p>
          <w:p>
            <w:pPr>
              <w:pStyle w:val="TableParagraph"/>
              <w:ind w:left="272"/>
              <w:rPr>
                <w:sz w:val="14"/>
              </w:rPr>
            </w:pPr>
            <w:r>
              <w:rPr>
                <w:sz w:val="14"/>
              </w:rPr>
              <w:t>1,572</w:t>
            </w:r>
          </w:p>
        </w:tc>
        <w:tc>
          <w:tcPr>
            <w:tcW w:w="757" w:type="dxa"/>
            <w:tcBorders>
              <w:top w:val="single" w:sz="1" w:space="0" w:color="000000"/>
            </w:tcBorders>
          </w:tcPr>
          <w:p>
            <w:pPr>
              <w:pStyle w:val="TableParagraph"/>
              <w:spacing w:before="11"/>
              <w:rPr>
                <w:b/>
                <w:sz w:val="16"/>
              </w:rPr>
            </w:pPr>
          </w:p>
          <w:p>
            <w:pPr>
              <w:pStyle w:val="TableParagraph"/>
              <w:ind w:right="164"/>
              <w:jc w:val="right"/>
              <w:rPr>
                <w:sz w:val="14"/>
              </w:rPr>
            </w:pPr>
            <w:r>
              <w:rPr>
                <w:sz w:val="14"/>
              </w:rPr>
              <w:t>1,711</w:t>
            </w:r>
          </w:p>
        </w:tc>
        <w:tc>
          <w:tcPr>
            <w:tcW w:w="747" w:type="dxa"/>
            <w:tcBorders>
              <w:top w:val="single" w:sz="1" w:space="0" w:color="000000"/>
            </w:tcBorders>
          </w:tcPr>
          <w:p>
            <w:pPr>
              <w:pStyle w:val="TableParagraph"/>
              <w:spacing w:before="11"/>
              <w:rPr>
                <w:b/>
                <w:sz w:val="16"/>
              </w:rPr>
            </w:pPr>
          </w:p>
          <w:p>
            <w:pPr>
              <w:pStyle w:val="TableParagraph"/>
              <w:ind w:right="126"/>
              <w:jc w:val="right"/>
              <w:rPr>
                <w:sz w:val="14"/>
              </w:rPr>
            </w:pPr>
            <w:r>
              <w:rPr>
                <w:sz w:val="14"/>
              </w:rPr>
              <w:t>423</w:t>
            </w:r>
          </w:p>
        </w:tc>
        <w:tc>
          <w:tcPr>
            <w:tcW w:w="780" w:type="dxa"/>
            <w:tcBorders>
              <w:top w:val="single" w:sz="1" w:space="0" w:color="000000"/>
            </w:tcBorders>
          </w:tcPr>
          <w:p>
            <w:pPr>
              <w:pStyle w:val="TableParagraph"/>
              <w:spacing w:before="11"/>
              <w:rPr>
                <w:b/>
                <w:sz w:val="16"/>
              </w:rPr>
            </w:pPr>
          </w:p>
          <w:p>
            <w:pPr>
              <w:pStyle w:val="TableParagraph"/>
              <w:ind w:right="164"/>
              <w:jc w:val="right"/>
              <w:rPr>
                <w:sz w:val="14"/>
              </w:rPr>
            </w:pPr>
            <w:r>
              <w:rPr>
                <w:sz w:val="14"/>
              </w:rPr>
              <w:t>1,144</w:t>
            </w:r>
          </w:p>
        </w:tc>
        <w:tc>
          <w:tcPr>
            <w:tcW w:w="769" w:type="dxa"/>
            <w:tcBorders>
              <w:top w:val="single" w:sz="1" w:space="0" w:color="000000"/>
            </w:tcBorders>
          </w:tcPr>
          <w:p>
            <w:pPr>
              <w:pStyle w:val="TableParagraph"/>
              <w:spacing w:before="11"/>
              <w:rPr>
                <w:b/>
                <w:sz w:val="16"/>
              </w:rPr>
            </w:pPr>
          </w:p>
          <w:p>
            <w:pPr>
              <w:pStyle w:val="TableParagraph"/>
              <w:ind w:right="149"/>
              <w:jc w:val="right"/>
              <w:rPr>
                <w:sz w:val="14"/>
              </w:rPr>
            </w:pPr>
            <w:r>
              <w:rPr>
                <w:sz w:val="14"/>
              </w:rPr>
              <w:t>185</w:t>
            </w:r>
          </w:p>
        </w:tc>
        <w:tc>
          <w:tcPr>
            <w:tcW w:w="733" w:type="dxa"/>
            <w:tcBorders>
              <w:top w:val="single" w:sz="1" w:space="0" w:color="000000"/>
            </w:tcBorders>
          </w:tcPr>
          <w:p>
            <w:pPr>
              <w:pStyle w:val="TableParagraph"/>
              <w:spacing w:before="11"/>
              <w:rPr>
                <w:b/>
                <w:sz w:val="16"/>
              </w:rPr>
            </w:pPr>
          </w:p>
          <w:p>
            <w:pPr>
              <w:pStyle w:val="TableParagraph"/>
              <w:ind w:right="140"/>
              <w:jc w:val="right"/>
              <w:rPr>
                <w:sz w:val="14"/>
              </w:rPr>
            </w:pPr>
            <w:r>
              <w:rPr>
                <w:sz w:val="14"/>
              </w:rPr>
              <w:t>616</w:t>
            </w:r>
          </w:p>
        </w:tc>
        <w:tc>
          <w:tcPr>
            <w:tcW w:w="763" w:type="dxa"/>
            <w:tcBorders>
              <w:top w:val="single" w:sz="1" w:space="0" w:color="000000"/>
            </w:tcBorders>
          </w:tcPr>
          <w:p>
            <w:pPr>
              <w:pStyle w:val="TableParagraph"/>
              <w:spacing w:before="11"/>
              <w:rPr>
                <w:b/>
                <w:sz w:val="16"/>
              </w:rPr>
            </w:pPr>
          </w:p>
          <w:p>
            <w:pPr>
              <w:pStyle w:val="TableParagraph"/>
              <w:ind w:right="119"/>
              <w:jc w:val="right"/>
              <w:rPr>
                <w:sz w:val="14"/>
              </w:rPr>
            </w:pPr>
            <w:r>
              <w:rPr>
                <w:w w:val="95"/>
                <w:sz w:val="14"/>
              </w:rPr>
              <w:t>302,239</w:t>
            </w:r>
          </w:p>
        </w:tc>
        <w:tc>
          <w:tcPr>
            <w:tcW w:w="688" w:type="dxa"/>
            <w:tcBorders>
              <w:top w:val="single" w:sz="1" w:space="0" w:color="000000"/>
            </w:tcBorders>
          </w:tcPr>
          <w:p>
            <w:pPr>
              <w:pStyle w:val="TableParagraph"/>
              <w:spacing w:before="11"/>
              <w:rPr>
                <w:b/>
                <w:sz w:val="16"/>
              </w:rPr>
            </w:pPr>
          </w:p>
          <w:p>
            <w:pPr>
              <w:pStyle w:val="TableParagraph"/>
              <w:ind w:left="121"/>
              <w:rPr>
                <w:sz w:val="14"/>
              </w:rPr>
            </w:pPr>
            <w:r>
              <w:rPr>
                <w:sz w:val="14"/>
              </w:rPr>
              <w:t>315,943</w:t>
            </w:r>
          </w:p>
        </w:tc>
      </w:tr>
      <w:tr>
        <w:trPr>
          <w:trHeight w:val="374" w:hRule="exact"/>
        </w:trPr>
        <w:tc>
          <w:tcPr>
            <w:tcW w:w="2593" w:type="dxa"/>
          </w:tcPr>
          <w:p>
            <w:pPr>
              <w:pStyle w:val="TableParagraph"/>
              <w:spacing w:before="18"/>
              <w:ind w:left="35" w:right="96"/>
              <w:rPr>
                <w:sz w:val="14"/>
              </w:rPr>
            </w:pPr>
            <w:r>
              <w:rPr>
                <w:sz w:val="14"/>
              </w:rPr>
              <w:t>Less expenses including accrued expenses</w:t>
            </w:r>
          </w:p>
        </w:tc>
        <w:tc>
          <w:tcPr>
            <w:tcW w:w="574" w:type="dxa"/>
          </w:tcPr>
          <w:p>
            <w:pPr/>
          </w:p>
        </w:tc>
        <w:tc>
          <w:tcPr>
            <w:tcW w:w="839" w:type="dxa"/>
            <w:tcBorders>
              <w:bottom w:val="single" w:sz="1" w:space="0" w:color="000000"/>
            </w:tcBorders>
          </w:tcPr>
          <w:p>
            <w:pPr>
              <w:pStyle w:val="TableParagraph"/>
              <w:spacing w:before="4"/>
              <w:rPr>
                <w:b/>
                <w:sz w:val="15"/>
              </w:rPr>
            </w:pPr>
          </w:p>
          <w:p>
            <w:pPr>
              <w:pStyle w:val="TableParagraph"/>
              <w:ind w:right="73"/>
              <w:jc w:val="right"/>
              <w:rPr>
                <w:sz w:val="14"/>
              </w:rPr>
            </w:pPr>
            <w:r>
              <w:rPr>
                <w:w w:val="95"/>
                <w:sz w:val="14"/>
              </w:rPr>
              <w:t>(286,995)</w:t>
            </w:r>
          </w:p>
        </w:tc>
        <w:tc>
          <w:tcPr>
            <w:tcW w:w="787" w:type="dxa"/>
            <w:tcBorders>
              <w:bottom w:val="single" w:sz="1" w:space="0" w:color="000000"/>
            </w:tcBorders>
          </w:tcPr>
          <w:p>
            <w:pPr>
              <w:pStyle w:val="TableParagraph"/>
              <w:spacing w:before="4"/>
              <w:rPr>
                <w:b/>
                <w:sz w:val="15"/>
              </w:rPr>
            </w:pPr>
          </w:p>
          <w:p>
            <w:pPr>
              <w:pStyle w:val="TableParagraph"/>
              <w:ind w:left="75"/>
              <w:rPr>
                <w:sz w:val="14"/>
              </w:rPr>
            </w:pPr>
            <w:r>
              <w:rPr>
                <w:sz w:val="14"/>
              </w:rPr>
              <w:t>(297,511)</w:t>
            </w:r>
          </w:p>
        </w:tc>
        <w:tc>
          <w:tcPr>
            <w:tcW w:w="769" w:type="dxa"/>
            <w:tcBorders>
              <w:bottom w:val="single" w:sz="1" w:space="0" w:color="000000"/>
            </w:tcBorders>
          </w:tcPr>
          <w:p>
            <w:pPr>
              <w:pStyle w:val="TableParagraph"/>
              <w:spacing w:before="4"/>
              <w:rPr>
                <w:b/>
                <w:sz w:val="15"/>
              </w:rPr>
            </w:pPr>
          </w:p>
          <w:p>
            <w:pPr>
              <w:pStyle w:val="TableParagraph"/>
              <w:ind w:right="103"/>
              <w:jc w:val="right"/>
              <w:rPr>
                <w:sz w:val="14"/>
              </w:rPr>
            </w:pPr>
            <w:r>
              <w:rPr>
                <w:w w:val="95"/>
                <w:sz w:val="14"/>
              </w:rPr>
              <w:t>(2,674)</w:t>
            </w:r>
          </w:p>
        </w:tc>
        <w:tc>
          <w:tcPr>
            <w:tcW w:w="757" w:type="dxa"/>
            <w:tcBorders>
              <w:bottom w:val="single" w:sz="1" w:space="0" w:color="000000"/>
            </w:tcBorders>
          </w:tcPr>
          <w:p>
            <w:pPr>
              <w:pStyle w:val="TableParagraph"/>
              <w:spacing w:before="4"/>
              <w:rPr>
                <w:b/>
                <w:sz w:val="15"/>
              </w:rPr>
            </w:pPr>
          </w:p>
          <w:p>
            <w:pPr>
              <w:pStyle w:val="TableParagraph"/>
              <w:ind w:right="119"/>
              <w:jc w:val="right"/>
              <w:rPr>
                <w:sz w:val="14"/>
              </w:rPr>
            </w:pPr>
            <w:r>
              <w:rPr>
                <w:w w:val="95"/>
                <w:sz w:val="14"/>
              </w:rPr>
              <w:t>(1,923)</w:t>
            </w:r>
          </w:p>
        </w:tc>
        <w:tc>
          <w:tcPr>
            <w:tcW w:w="769" w:type="dxa"/>
            <w:tcBorders>
              <w:bottom w:val="single" w:sz="1" w:space="0" w:color="000000"/>
            </w:tcBorders>
          </w:tcPr>
          <w:p>
            <w:pPr>
              <w:pStyle w:val="TableParagraph"/>
              <w:spacing w:before="4"/>
              <w:rPr>
                <w:b/>
                <w:sz w:val="15"/>
              </w:rPr>
            </w:pPr>
          </w:p>
          <w:p>
            <w:pPr>
              <w:pStyle w:val="TableParagraph"/>
              <w:ind w:right="103"/>
              <w:jc w:val="right"/>
              <w:rPr>
                <w:sz w:val="14"/>
              </w:rPr>
            </w:pPr>
            <w:r>
              <w:rPr>
                <w:w w:val="95"/>
                <w:sz w:val="14"/>
              </w:rPr>
              <w:t>(10,345)</w:t>
            </w:r>
          </w:p>
        </w:tc>
        <w:tc>
          <w:tcPr>
            <w:tcW w:w="757" w:type="dxa"/>
            <w:tcBorders>
              <w:bottom w:val="single" w:sz="1" w:space="0" w:color="000000"/>
            </w:tcBorders>
          </w:tcPr>
          <w:p>
            <w:pPr>
              <w:pStyle w:val="TableParagraph"/>
              <w:spacing w:before="4"/>
              <w:rPr>
                <w:b/>
                <w:sz w:val="15"/>
              </w:rPr>
            </w:pPr>
          </w:p>
          <w:p>
            <w:pPr>
              <w:pStyle w:val="TableParagraph"/>
              <w:ind w:right="119"/>
              <w:jc w:val="right"/>
              <w:rPr>
                <w:sz w:val="14"/>
              </w:rPr>
            </w:pPr>
            <w:r>
              <w:rPr>
                <w:w w:val="95"/>
                <w:sz w:val="14"/>
              </w:rPr>
              <w:t>(12,848)</w:t>
            </w:r>
          </w:p>
        </w:tc>
        <w:tc>
          <w:tcPr>
            <w:tcW w:w="769" w:type="dxa"/>
            <w:tcBorders>
              <w:bottom w:val="single" w:sz="1" w:space="0" w:color="000000"/>
            </w:tcBorders>
          </w:tcPr>
          <w:p>
            <w:pPr>
              <w:pStyle w:val="TableParagraph"/>
              <w:spacing w:before="4"/>
              <w:rPr>
                <w:b/>
                <w:sz w:val="15"/>
              </w:rPr>
            </w:pPr>
          </w:p>
          <w:p>
            <w:pPr>
              <w:pStyle w:val="TableParagraph"/>
              <w:ind w:right="103"/>
              <w:jc w:val="right"/>
              <w:rPr>
                <w:sz w:val="14"/>
              </w:rPr>
            </w:pPr>
            <w:r>
              <w:rPr>
                <w:sz w:val="14"/>
              </w:rPr>
              <w:t>(834)</w:t>
            </w:r>
          </w:p>
        </w:tc>
        <w:tc>
          <w:tcPr>
            <w:tcW w:w="757" w:type="dxa"/>
            <w:tcBorders>
              <w:bottom w:val="single" w:sz="1" w:space="0" w:color="000000"/>
            </w:tcBorders>
          </w:tcPr>
          <w:p>
            <w:pPr>
              <w:pStyle w:val="TableParagraph"/>
              <w:spacing w:before="4"/>
              <w:rPr>
                <w:b/>
                <w:sz w:val="15"/>
              </w:rPr>
            </w:pPr>
          </w:p>
          <w:p>
            <w:pPr>
              <w:pStyle w:val="TableParagraph"/>
              <w:ind w:right="119"/>
              <w:jc w:val="right"/>
              <w:rPr>
                <w:sz w:val="14"/>
              </w:rPr>
            </w:pPr>
            <w:r>
              <w:rPr>
                <w:w w:val="95"/>
                <w:sz w:val="14"/>
              </w:rPr>
              <w:t>(1,109)</w:t>
            </w:r>
          </w:p>
        </w:tc>
        <w:tc>
          <w:tcPr>
            <w:tcW w:w="747" w:type="dxa"/>
            <w:tcBorders>
              <w:bottom w:val="single" w:sz="1" w:space="0" w:color="000000"/>
            </w:tcBorders>
          </w:tcPr>
          <w:p>
            <w:pPr>
              <w:pStyle w:val="TableParagraph"/>
              <w:spacing w:before="4"/>
              <w:rPr>
                <w:b/>
                <w:sz w:val="15"/>
              </w:rPr>
            </w:pPr>
          </w:p>
          <w:p>
            <w:pPr>
              <w:pStyle w:val="TableParagraph"/>
              <w:ind w:right="126"/>
              <w:jc w:val="right"/>
              <w:rPr>
                <w:sz w:val="14"/>
              </w:rPr>
            </w:pPr>
            <w:r>
              <w:rPr>
                <w:sz w:val="14"/>
              </w:rPr>
              <w:t>35</w:t>
            </w:r>
          </w:p>
        </w:tc>
        <w:tc>
          <w:tcPr>
            <w:tcW w:w="780" w:type="dxa"/>
            <w:tcBorders>
              <w:bottom w:val="single" w:sz="1" w:space="0" w:color="000000"/>
            </w:tcBorders>
          </w:tcPr>
          <w:p>
            <w:pPr>
              <w:pStyle w:val="TableParagraph"/>
              <w:spacing w:before="4"/>
              <w:rPr>
                <w:b/>
                <w:sz w:val="15"/>
              </w:rPr>
            </w:pPr>
          </w:p>
          <w:p>
            <w:pPr>
              <w:pStyle w:val="TableParagraph"/>
              <w:ind w:right="119"/>
              <w:jc w:val="right"/>
              <w:rPr>
                <w:sz w:val="14"/>
              </w:rPr>
            </w:pPr>
            <w:r>
              <w:rPr>
                <w:sz w:val="14"/>
              </w:rPr>
              <w:t>(821)</w:t>
            </w:r>
          </w:p>
        </w:tc>
        <w:tc>
          <w:tcPr>
            <w:tcW w:w="769" w:type="dxa"/>
            <w:tcBorders>
              <w:bottom w:val="single" w:sz="1" w:space="0" w:color="000000"/>
            </w:tcBorders>
          </w:tcPr>
          <w:p>
            <w:pPr>
              <w:pStyle w:val="TableParagraph"/>
              <w:spacing w:before="4"/>
              <w:rPr>
                <w:b/>
                <w:sz w:val="15"/>
              </w:rPr>
            </w:pPr>
          </w:p>
          <w:p>
            <w:pPr>
              <w:pStyle w:val="TableParagraph"/>
              <w:ind w:right="103"/>
              <w:jc w:val="right"/>
              <w:rPr>
                <w:sz w:val="14"/>
              </w:rPr>
            </w:pPr>
            <w:r>
              <w:rPr>
                <w:sz w:val="14"/>
              </w:rPr>
              <w:t>(23)</w:t>
            </w:r>
          </w:p>
        </w:tc>
        <w:tc>
          <w:tcPr>
            <w:tcW w:w="733" w:type="dxa"/>
            <w:tcBorders>
              <w:bottom w:val="single" w:sz="1" w:space="0" w:color="000000"/>
            </w:tcBorders>
          </w:tcPr>
          <w:p>
            <w:pPr>
              <w:pStyle w:val="TableParagraph"/>
              <w:spacing w:before="4"/>
              <w:rPr>
                <w:b/>
                <w:sz w:val="15"/>
              </w:rPr>
            </w:pPr>
          </w:p>
          <w:p>
            <w:pPr>
              <w:pStyle w:val="TableParagraph"/>
              <w:ind w:right="95"/>
              <w:jc w:val="right"/>
              <w:rPr>
                <w:sz w:val="14"/>
              </w:rPr>
            </w:pPr>
            <w:r>
              <w:rPr>
                <w:sz w:val="14"/>
              </w:rPr>
              <w:t>(462)</w:t>
            </w:r>
          </w:p>
        </w:tc>
        <w:tc>
          <w:tcPr>
            <w:tcW w:w="763" w:type="dxa"/>
            <w:tcBorders>
              <w:bottom w:val="single" w:sz="1" w:space="0" w:color="000000"/>
            </w:tcBorders>
          </w:tcPr>
          <w:p>
            <w:pPr>
              <w:pStyle w:val="TableParagraph"/>
              <w:spacing w:before="4"/>
              <w:rPr>
                <w:b/>
                <w:sz w:val="15"/>
              </w:rPr>
            </w:pPr>
          </w:p>
          <w:p>
            <w:pPr>
              <w:pStyle w:val="TableParagraph"/>
              <w:ind w:right="73"/>
              <w:jc w:val="right"/>
              <w:rPr>
                <w:sz w:val="14"/>
              </w:rPr>
            </w:pPr>
            <w:r>
              <w:rPr>
                <w:w w:val="95"/>
                <w:sz w:val="14"/>
              </w:rPr>
              <w:t>(300,836)</w:t>
            </w:r>
          </w:p>
        </w:tc>
        <w:tc>
          <w:tcPr>
            <w:tcW w:w="688" w:type="dxa"/>
            <w:tcBorders>
              <w:bottom w:val="single" w:sz="1" w:space="0" w:color="000000"/>
            </w:tcBorders>
          </w:tcPr>
          <w:p>
            <w:pPr>
              <w:pStyle w:val="TableParagraph"/>
              <w:spacing w:before="4"/>
              <w:rPr>
                <w:b/>
                <w:sz w:val="15"/>
              </w:rPr>
            </w:pPr>
          </w:p>
          <w:p>
            <w:pPr>
              <w:pStyle w:val="TableParagraph"/>
              <w:ind w:right="19"/>
              <w:jc w:val="right"/>
              <w:rPr>
                <w:sz w:val="14"/>
              </w:rPr>
            </w:pPr>
            <w:r>
              <w:rPr>
                <w:w w:val="95"/>
                <w:sz w:val="14"/>
              </w:rPr>
              <w:t>(314,674)</w:t>
            </w:r>
          </w:p>
        </w:tc>
      </w:tr>
      <w:tr>
        <w:trPr>
          <w:trHeight w:val="252" w:hRule="exact"/>
        </w:trPr>
        <w:tc>
          <w:tcPr>
            <w:tcW w:w="2593" w:type="dxa"/>
          </w:tcPr>
          <w:p>
            <w:pPr>
              <w:pStyle w:val="TableParagraph"/>
              <w:spacing w:before="42"/>
              <w:ind w:left="35"/>
              <w:rPr>
                <w:sz w:val="14"/>
              </w:rPr>
            </w:pPr>
            <w:r>
              <w:rPr>
                <w:sz w:val="14"/>
              </w:rPr>
              <w:t>Surplus/(deficit) for the reporting period</w:t>
            </w:r>
          </w:p>
        </w:tc>
        <w:tc>
          <w:tcPr>
            <w:tcW w:w="574" w:type="dxa"/>
          </w:tcPr>
          <w:p>
            <w:pPr/>
          </w:p>
        </w:tc>
        <w:tc>
          <w:tcPr>
            <w:tcW w:w="839" w:type="dxa"/>
            <w:tcBorders>
              <w:top w:val="single" w:sz="1" w:space="0" w:color="000000"/>
              <w:bottom w:val="single" w:sz="1" w:space="0" w:color="000000"/>
            </w:tcBorders>
          </w:tcPr>
          <w:p>
            <w:pPr>
              <w:pStyle w:val="TableParagraph"/>
              <w:spacing w:before="39"/>
              <w:ind w:right="118"/>
              <w:jc w:val="right"/>
              <w:rPr>
                <w:sz w:val="14"/>
              </w:rPr>
            </w:pPr>
            <w:r>
              <w:rPr>
                <w:w w:val="99"/>
                <w:sz w:val="14"/>
              </w:rPr>
              <w:t>-</w:t>
            </w:r>
          </w:p>
        </w:tc>
        <w:tc>
          <w:tcPr>
            <w:tcW w:w="787" w:type="dxa"/>
            <w:tcBorders>
              <w:top w:val="single" w:sz="1" w:space="0" w:color="000000"/>
              <w:bottom w:val="single" w:sz="1" w:space="0" w:color="000000"/>
            </w:tcBorders>
          </w:tcPr>
          <w:p>
            <w:pPr>
              <w:pStyle w:val="TableParagraph"/>
              <w:spacing w:before="39"/>
              <w:ind w:right="164"/>
              <w:jc w:val="right"/>
              <w:rPr>
                <w:sz w:val="14"/>
              </w:rPr>
            </w:pPr>
            <w:r>
              <w:rPr>
                <w:w w:val="99"/>
                <w:sz w:val="14"/>
              </w:rPr>
              <w:t>-</w:t>
            </w:r>
          </w:p>
        </w:tc>
        <w:tc>
          <w:tcPr>
            <w:tcW w:w="769" w:type="dxa"/>
            <w:tcBorders>
              <w:top w:val="single" w:sz="1" w:space="0" w:color="000000"/>
              <w:bottom w:val="single" w:sz="1" w:space="0" w:color="000000"/>
            </w:tcBorders>
          </w:tcPr>
          <w:p>
            <w:pPr>
              <w:pStyle w:val="TableParagraph"/>
              <w:spacing w:before="39"/>
              <w:ind w:right="148"/>
              <w:jc w:val="right"/>
              <w:rPr>
                <w:sz w:val="14"/>
              </w:rPr>
            </w:pPr>
            <w:r>
              <w:rPr>
                <w:w w:val="99"/>
                <w:sz w:val="14"/>
              </w:rPr>
              <w:t>-</w:t>
            </w:r>
          </w:p>
        </w:tc>
        <w:tc>
          <w:tcPr>
            <w:tcW w:w="757" w:type="dxa"/>
            <w:tcBorders>
              <w:top w:val="single" w:sz="1" w:space="0" w:color="000000"/>
              <w:bottom w:val="single" w:sz="1" w:space="0" w:color="000000"/>
            </w:tcBorders>
          </w:tcPr>
          <w:p>
            <w:pPr>
              <w:pStyle w:val="TableParagraph"/>
              <w:spacing w:before="39"/>
              <w:ind w:right="164"/>
              <w:jc w:val="right"/>
              <w:rPr>
                <w:sz w:val="14"/>
              </w:rPr>
            </w:pPr>
            <w:r>
              <w:rPr>
                <w:sz w:val="14"/>
              </w:rPr>
              <w:t>31</w:t>
            </w:r>
          </w:p>
        </w:tc>
        <w:tc>
          <w:tcPr>
            <w:tcW w:w="769" w:type="dxa"/>
            <w:tcBorders>
              <w:top w:val="single" w:sz="1" w:space="0" w:color="000000"/>
              <w:bottom w:val="single" w:sz="1" w:space="0" w:color="000000"/>
            </w:tcBorders>
          </w:tcPr>
          <w:p>
            <w:pPr>
              <w:pStyle w:val="TableParagraph"/>
              <w:spacing w:before="39"/>
              <w:ind w:right="149"/>
              <w:jc w:val="right"/>
              <w:rPr>
                <w:sz w:val="14"/>
              </w:rPr>
            </w:pPr>
            <w:r>
              <w:rPr>
                <w:sz w:val="14"/>
              </w:rPr>
              <w:t>45</w:t>
            </w:r>
          </w:p>
        </w:tc>
        <w:tc>
          <w:tcPr>
            <w:tcW w:w="757" w:type="dxa"/>
            <w:tcBorders>
              <w:top w:val="single" w:sz="1" w:space="0" w:color="000000"/>
              <w:bottom w:val="single" w:sz="1" w:space="0" w:color="000000"/>
            </w:tcBorders>
          </w:tcPr>
          <w:p>
            <w:pPr>
              <w:pStyle w:val="TableParagraph"/>
              <w:spacing w:before="39"/>
              <w:ind w:right="164"/>
              <w:jc w:val="right"/>
              <w:rPr>
                <w:sz w:val="14"/>
              </w:rPr>
            </w:pPr>
            <w:r>
              <w:rPr>
                <w:sz w:val="14"/>
              </w:rPr>
              <w:t>159</w:t>
            </w:r>
          </w:p>
        </w:tc>
        <w:tc>
          <w:tcPr>
            <w:tcW w:w="769" w:type="dxa"/>
            <w:tcBorders>
              <w:top w:val="single" w:sz="1" w:space="0" w:color="000000"/>
              <w:bottom w:val="single" w:sz="1" w:space="0" w:color="000000"/>
            </w:tcBorders>
          </w:tcPr>
          <w:p>
            <w:pPr>
              <w:pStyle w:val="TableParagraph"/>
              <w:spacing w:before="39"/>
              <w:ind w:left="387"/>
              <w:rPr>
                <w:sz w:val="14"/>
              </w:rPr>
            </w:pPr>
            <w:r>
              <w:rPr>
                <w:sz w:val="14"/>
              </w:rPr>
              <w:t>738</w:t>
            </w:r>
          </w:p>
        </w:tc>
        <w:tc>
          <w:tcPr>
            <w:tcW w:w="757" w:type="dxa"/>
            <w:tcBorders>
              <w:top w:val="single" w:sz="1" w:space="0" w:color="000000"/>
              <w:bottom w:val="single" w:sz="1" w:space="0" w:color="000000"/>
            </w:tcBorders>
          </w:tcPr>
          <w:p>
            <w:pPr>
              <w:pStyle w:val="TableParagraph"/>
              <w:spacing w:before="39"/>
              <w:ind w:right="164"/>
              <w:jc w:val="right"/>
              <w:rPr>
                <w:sz w:val="14"/>
              </w:rPr>
            </w:pPr>
            <w:r>
              <w:rPr>
                <w:sz w:val="14"/>
              </w:rPr>
              <w:t>602</w:t>
            </w:r>
          </w:p>
        </w:tc>
        <w:tc>
          <w:tcPr>
            <w:tcW w:w="747" w:type="dxa"/>
            <w:tcBorders>
              <w:top w:val="single" w:sz="1" w:space="0" w:color="000000"/>
              <w:bottom w:val="single" w:sz="1" w:space="0" w:color="000000"/>
            </w:tcBorders>
          </w:tcPr>
          <w:p>
            <w:pPr>
              <w:pStyle w:val="TableParagraph"/>
              <w:spacing w:before="39"/>
              <w:ind w:right="126"/>
              <w:jc w:val="right"/>
              <w:rPr>
                <w:sz w:val="14"/>
              </w:rPr>
            </w:pPr>
            <w:r>
              <w:rPr>
                <w:sz w:val="14"/>
              </w:rPr>
              <w:t>458</w:t>
            </w:r>
          </w:p>
        </w:tc>
        <w:tc>
          <w:tcPr>
            <w:tcW w:w="780" w:type="dxa"/>
            <w:tcBorders>
              <w:top w:val="single" w:sz="1" w:space="0" w:color="000000"/>
              <w:bottom w:val="single" w:sz="1" w:space="0" w:color="000000"/>
            </w:tcBorders>
          </w:tcPr>
          <w:p>
            <w:pPr>
              <w:pStyle w:val="TableParagraph"/>
              <w:spacing w:before="39"/>
              <w:ind w:right="164"/>
              <w:jc w:val="right"/>
              <w:rPr>
                <w:sz w:val="14"/>
              </w:rPr>
            </w:pPr>
            <w:r>
              <w:rPr>
                <w:sz w:val="14"/>
              </w:rPr>
              <w:t>323</w:t>
            </w:r>
          </w:p>
        </w:tc>
        <w:tc>
          <w:tcPr>
            <w:tcW w:w="769" w:type="dxa"/>
            <w:tcBorders>
              <w:top w:val="single" w:sz="1" w:space="0" w:color="000000"/>
              <w:bottom w:val="single" w:sz="1" w:space="0" w:color="000000"/>
            </w:tcBorders>
          </w:tcPr>
          <w:p>
            <w:pPr>
              <w:pStyle w:val="TableParagraph"/>
              <w:spacing w:before="39"/>
              <w:ind w:right="149"/>
              <w:jc w:val="right"/>
              <w:rPr>
                <w:sz w:val="14"/>
              </w:rPr>
            </w:pPr>
            <w:r>
              <w:rPr>
                <w:sz w:val="14"/>
              </w:rPr>
              <w:t>162</w:t>
            </w:r>
          </w:p>
        </w:tc>
        <w:tc>
          <w:tcPr>
            <w:tcW w:w="733" w:type="dxa"/>
            <w:tcBorders>
              <w:top w:val="single" w:sz="1" w:space="0" w:color="000000"/>
              <w:bottom w:val="single" w:sz="1" w:space="0" w:color="000000"/>
            </w:tcBorders>
          </w:tcPr>
          <w:p>
            <w:pPr>
              <w:pStyle w:val="TableParagraph"/>
              <w:spacing w:before="39"/>
              <w:ind w:right="140"/>
              <w:jc w:val="right"/>
              <w:rPr>
                <w:sz w:val="14"/>
              </w:rPr>
            </w:pPr>
            <w:r>
              <w:rPr>
                <w:sz w:val="14"/>
              </w:rPr>
              <w:t>154</w:t>
            </w:r>
          </w:p>
        </w:tc>
        <w:tc>
          <w:tcPr>
            <w:tcW w:w="763" w:type="dxa"/>
            <w:tcBorders>
              <w:top w:val="single" w:sz="1" w:space="0" w:color="000000"/>
              <w:bottom w:val="single" w:sz="1" w:space="0" w:color="000000"/>
            </w:tcBorders>
          </w:tcPr>
          <w:p>
            <w:pPr>
              <w:pStyle w:val="TableParagraph"/>
              <w:spacing w:before="39"/>
              <w:ind w:right="119"/>
              <w:jc w:val="right"/>
              <w:rPr>
                <w:sz w:val="14"/>
              </w:rPr>
            </w:pPr>
            <w:r>
              <w:rPr>
                <w:sz w:val="14"/>
              </w:rPr>
              <w:t>1,403</w:t>
            </w:r>
          </w:p>
        </w:tc>
        <w:tc>
          <w:tcPr>
            <w:tcW w:w="688" w:type="dxa"/>
            <w:tcBorders>
              <w:top w:val="single" w:sz="1" w:space="0" w:color="000000"/>
              <w:bottom w:val="single" w:sz="1" w:space="0" w:color="000000"/>
            </w:tcBorders>
          </w:tcPr>
          <w:p>
            <w:pPr>
              <w:pStyle w:val="TableParagraph"/>
              <w:spacing w:before="39"/>
              <w:ind w:left="274"/>
              <w:rPr>
                <w:sz w:val="14"/>
              </w:rPr>
            </w:pPr>
            <w:r>
              <w:rPr>
                <w:sz w:val="14"/>
              </w:rPr>
              <w:t>1,269</w:t>
            </w:r>
          </w:p>
        </w:tc>
      </w:tr>
    </w:tbl>
    <w:p>
      <w:pPr>
        <w:pStyle w:val="BodyText"/>
        <w:rPr>
          <w:b/>
          <w:sz w:val="20"/>
        </w:rPr>
      </w:pPr>
    </w:p>
    <w:p>
      <w:pPr>
        <w:spacing w:before="81"/>
        <w:ind w:left="1636" w:right="0" w:firstLine="0"/>
        <w:jc w:val="left"/>
        <w:rPr>
          <w:sz w:val="14"/>
        </w:rPr>
      </w:pPr>
      <w:r>
        <w:rPr>
          <w:sz w:val="14"/>
        </w:rPr>
        <w:t>#1 Basic CGS grant amount, CGS – Regional Loading, CGS – Enabling Loading, CGS - Medical Student Loading, Allocated Places, Non Designated Courses and CGS - Special Advances from Future Years.</w:t>
      </w:r>
    </w:p>
    <w:p>
      <w:pPr>
        <w:spacing w:before="55"/>
        <w:ind w:left="1636" w:right="0" w:firstLine="0"/>
        <w:jc w:val="left"/>
        <w:rPr>
          <w:sz w:val="14"/>
        </w:rPr>
      </w:pPr>
      <w:r>
        <w:rPr>
          <w:sz w:val="14"/>
        </w:rPr>
        <w:t>#2 Disability Performance Funding includes Additional Support for Students with Disabilities and Australian Disability Clearing.</w:t>
      </w:r>
    </w:p>
    <w:p>
      <w:pPr>
        <w:spacing w:before="55"/>
        <w:ind w:left="1636" w:right="0" w:firstLine="0"/>
        <w:jc w:val="left"/>
        <w:rPr>
          <w:sz w:val="14"/>
        </w:rPr>
      </w:pPr>
      <w:r>
        <w:rPr>
          <w:sz w:val="14"/>
        </w:rPr>
        <w:t>#3</w:t>
      </w:r>
      <w:r>
        <w:rPr>
          <w:spacing w:val="-8"/>
          <w:sz w:val="14"/>
        </w:rPr>
        <w:t> </w:t>
      </w:r>
      <w:r>
        <w:rPr>
          <w:sz w:val="14"/>
        </w:rPr>
        <w:t>Indigenous</w:t>
      </w:r>
      <w:r>
        <w:rPr>
          <w:spacing w:val="-8"/>
          <w:sz w:val="14"/>
        </w:rPr>
        <w:t> </w:t>
      </w:r>
      <w:r>
        <w:rPr>
          <w:sz w:val="14"/>
        </w:rPr>
        <w:t>Student</w:t>
      </w:r>
      <w:r>
        <w:rPr>
          <w:spacing w:val="-8"/>
          <w:sz w:val="14"/>
        </w:rPr>
        <w:t> </w:t>
      </w:r>
      <w:r>
        <w:rPr>
          <w:sz w:val="14"/>
        </w:rPr>
        <w:t>Success</w:t>
      </w:r>
      <w:r>
        <w:rPr>
          <w:spacing w:val="-8"/>
          <w:sz w:val="14"/>
        </w:rPr>
        <w:t> </w:t>
      </w:r>
      <w:r>
        <w:rPr>
          <w:sz w:val="14"/>
        </w:rPr>
        <w:t>Program</w:t>
      </w:r>
      <w:r>
        <w:rPr>
          <w:spacing w:val="-8"/>
          <w:sz w:val="14"/>
        </w:rPr>
        <w:t> </w:t>
      </w:r>
      <w:r>
        <w:rPr>
          <w:sz w:val="14"/>
        </w:rPr>
        <w:t>has</w:t>
      </w:r>
      <w:r>
        <w:rPr>
          <w:spacing w:val="-8"/>
          <w:sz w:val="14"/>
        </w:rPr>
        <w:t> </w:t>
      </w:r>
      <w:r>
        <w:rPr>
          <w:sz w:val="14"/>
        </w:rPr>
        <w:t>replaced</w:t>
      </w:r>
      <w:r>
        <w:rPr>
          <w:spacing w:val="-8"/>
          <w:sz w:val="14"/>
        </w:rPr>
        <w:t> </w:t>
      </w:r>
      <w:r>
        <w:rPr>
          <w:sz w:val="14"/>
        </w:rPr>
        <w:t>the</w:t>
      </w:r>
      <w:r>
        <w:rPr>
          <w:spacing w:val="-8"/>
          <w:sz w:val="14"/>
        </w:rPr>
        <w:t> </w:t>
      </w:r>
      <w:r>
        <w:rPr>
          <w:sz w:val="14"/>
        </w:rPr>
        <w:t>Indigenous</w:t>
      </w:r>
      <w:r>
        <w:rPr>
          <w:spacing w:val="-8"/>
          <w:sz w:val="14"/>
        </w:rPr>
        <w:t> </w:t>
      </w:r>
      <w:r>
        <w:rPr>
          <w:sz w:val="14"/>
        </w:rPr>
        <w:t>Commonwealth</w:t>
      </w:r>
      <w:r>
        <w:rPr>
          <w:spacing w:val="-8"/>
          <w:sz w:val="14"/>
        </w:rPr>
        <w:t> </w:t>
      </w:r>
      <w:r>
        <w:rPr>
          <w:sz w:val="14"/>
        </w:rPr>
        <w:t>Scholarships</w:t>
      </w:r>
      <w:r>
        <w:rPr>
          <w:spacing w:val="-8"/>
          <w:sz w:val="14"/>
        </w:rPr>
        <w:t> </w:t>
      </w:r>
      <w:r>
        <w:rPr>
          <w:sz w:val="14"/>
        </w:rPr>
        <w:t>Program</w:t>
      </w:r>
      <w:r>
        <w:rPr>
          <w:spacing w:val="-8"/>
          <w:sz w:val="14"/>
        </w:rPr>
        <w:t> </w:t>
      </w:r>
      <w:r>
        <w:rPr>
          <w:sz w:val="14"/>
        </w:rPr>
        <w:t>and</w:t>
      </w:r>
      <w:r>
        <w:rPr>
          <w:spacing w:val="-8"/>
          <w:sz w:val="14"/>
        </w:rPr>
        <w:t> </w:t>
      </w:r>
      <w:r>
        <w:rPr>
          <w:sz w:val="14"/>
        </w:rPr>
        <w:t>the</w:t>
      </w:r>
      <w:r>
        <w:rPr>
          <w:spacing w:val="-8"/>
          <w:sz w:val="14"/>
        </w:rPr>
        <w:t> </w:t>
      </w:r>
      <w:r>
        <w:rPr>
          <w:sz w:val="14"/>
        </w:rPr>
        <w:t>Indigenous</w:t>
      </w:r>
      <w:r>
        <w:rPr>
          <w:spacing w:val="-8"/>
          <w:sz w:val="14"/>
        </w:rPr>
        <w:t> </w:t>
      </w:r>
      <w:r>
        <w:rPr>
          <w:sz w:val="14"/>
        </w:rPr>
        <w:t>Support</w:t>
      </w:r>
      <w:r>
        <w:rPr>
          <w:spacing w:val="-8"/>
          <w:sz w:val="14"/>
        </w:rPr>
        <w:t> </w:t>
      </w:r>
      <w:r>
        <w:rPr>
          <w:sz w:val="14"/>
        </w:rPr>
        <w:t>Program</w:t>
      </w:r>
      <w:r>
        <w:rPr>
          <w:spacing w:val="-8"/>
          <w:sz w:val="14"/>
        </w:rPr>
        <w:t> </w:t>
      </w:r>
      <w:r>
        <w:rPr>
          <w:sz w:val="14"/>
        </w:rPr>
        <w:t>as</w:t>
      </w:r>
      <w:r>
        <w:rPr>
          <w:spacing w:val="-8"/>
          <w:sz w:val="14"/>
        </w:rPr>
        <w:t> </w:t>
      </w:r>
      <w:r>
        <w:rPr>
          <w:sz w:val="14"/>
        </w:rPr>
        <w:t>of</w:t>
      </w:r>
      <w:r>
        <w:rPr>
          <w:spacing w:val="-8"/>
          <w:sz w:val="14"/>
        </w:rPr>
        <w:t> </w:t>
      </w:r>
      <w:r>
        <w:rPr>
          <w:sz w:val="14"/>
        </w:rPr>
        <w:t>1</w:t>
      </w:r>
      <w:r>
        <w:rPr>
          <w:spacing w:val="-8"/>
          <w:sz w:val="14"/>
        </w:rPr>
        <w:t> </w:t>
      </w:r>
      <w:r>
        <w:rPr>
          <w:sz w:val="14"/>
        </w:rPr>
        <w:t>January</w:t>
      </w:r>
      <w:r>
        <w:rPr>
          <w:spacing w:val="-8"/>
          <w:sz w:val="14"/>
        </w:rPr>
        <w:t> </w:t>
      </w:r>
      <w:r>
        <w:rPr>
          <w:sz w:val="14"/>
        </w:rPr>
        <w:t>2017.</w:t>
      </w:r>
      <w:r>
        <w:rPr>
          <w:spacing w:val="23"/>
          <w:sz w:val="14"/>
        </w:rPr>
        <w:t> </w:t>
      </w:r>
      <w:r>
        <w:rPr>
          <w:sz w:val="14"/>
        </w:rPr>
        <w:t>Prior</w:t>
      </w:r>
      <w:r>
        <w:rPr>
          <w:spacing w:val="-8"/>
          <w:sz w:val="14"/>
        </w:rPr>
        <w:t> </w:t>
      </w:r>
      <w:r>
        <w:rPr>
          <w:sz w:val="14"/>
        </w:rPr>
        <w:t>year</w:t>
      </w:r>
      <w:r>
        <w:rPr>
          <w:spacing w:val="-8"/>
          <w:sz w:val="14"/>
        </w:rPr>
        <w:t> </w:t>
      </w:r>
      <w:r>
        <w:rPr>
          <w:sz w:val="14"/>
        </w:rPr>
        <w:t>programs</w:t>
      </w:r>
      <w:r>
        <w:rPr>
          <w:spacing w:val="-8"/>
          <w:sz w:val="14"/>
        </w:rPr>
        <w:t> </w:t>
      </w:r>
      <w:r>
        <w:rPr>
          <w:sz w:val="14"/>
        </w:rPr>
        <w:t>have</w:t>
      </w:r>
      <w:r>
        <w:rPr>
          <w:spacing w:val="-8"/>
          <w:sz w:val="14"/>
        </w:rPr>
        <w:t> </w:t>
      </w:r>
      <w:r>
        <w:rPr>
          <w:sz w:val="14"/>
        </w:rPr>
        <w:t>been</w:t>
      </w:r>
      <w:r>
        <w:rPr>
          <w:spacing w:val="-8"/>
          <w:sz w:val="14"/>
        </w:rPr>
        <w:t> </w:t>
      </w:r>
      <w:r>
        <w:rPr>
          <w:sz w:val="14"/>
        </w:rPr>
        <w:t>combined</w:t>
      </w:r>
      <w:r>
        <w:rPr>
          <w:spacing w:val="-8"/>
          <w:sz w:val="14"/>
        </w:rPr>
        <w:t> </w:t>
      </w:r>
      <w:r>
        <w:rPr>
          <w:sz w:val="14"/>
        </w:rPr>
        <w:t>and reported</w:t>
      </w:r>
      <w:r>
        <w:rPr>
          <w:spacing w:val="-10"/>
          <w:sz w:val="14"/>
        </w:rPr>
        <w:t> </w:t>
      </w:r>
      <w:r>
        <w:rPr>
          <w:sz w:val="14"/>
        </w:rPr>
        <w:t>in</w:t>
      </w:r>
      <w:r>
        <w:rPr>
          <w:spacing w:val="-10"/>
          <w:sz w:val="14"/>
        </w:rPr>
        <w:t> </w:t>
      </w:r>
      <w:r>
        <w:rPr>
          <w:sz w:val="14"/>
        </w:rPr>
        <w:t>Indigenous</w:t>
      </w:r>
      <w:r>
        <w:rPr>
          <w:spacing w:val="-10"/>
          <w:sz w:val="14"/>
        </w:rPr>
        <w:t> </w:t>
      </w:r>
      <w:r>
        <w:rPr>
          <w:sz w:val="14"/>
        </w:rPr>
        <w:t>Student</w:t>
      </w:r>
      <w:r>
        <w:rPr>
          <w:spacing w:val="-10"/>
          <w:sz w:val="14"/>
        </w:rPr>
        <w:t> </w:t>
      </w:r>
      <w:r>
        <w:rPr>
          <w:sz w:val="14"/>
        </w:rPr>
        <w:t>Success</w:t>
      </w:r>
      <w:r>
        <w:rPr>
          <w:spacing w:val="-10"/>
          <w:sz w:val="14"/>
        </w:rPr>
        <w:t> </w:t>
      </w:r>
      <w:r>
        <w:rPr>
          <w:sz w:val="14"/>
        </w:rPr>
        <w:t>Program</w:t>
      </w:r>
      <w:r>
        <w:rPr>
          <w:spacing w:val="-10"/>
          <w:sz w:val="14"/>
        </w:rPr>
        <w:t> </w:t>
      </w:r>
      <w:r>
        <w:rPr>
          <w:sz w:val="14"/>
        </w:rPr>
        <w:t>for</w:t>
      </w:r>
      <w:r>
        <w:rPr>
          <w:spacing w:val="-10"/>
          <w:sz w:val="14"/>
        </w:rPr>
        <w:t> </w:t>
      </w:r>
      <w:r>
        <w:rPr>
          <w:sz w:val="14"/>
        </w:rPr>
        <w:t>2016.</w:t>
      </w:r>
    </w:p>
    <w:p>
      <w:pPr>
        <w:spacing w:after="0"/>
        <w:jc w:val="left"/>
        <w:rPr>
          <w:sz w:val="14"/>
        </w:rPr>
        <w:sectPr>
          <w:type w:val="continuous"/>
          <w:pgSz w:w="16840" w:h="11910" w:orient="landscape"/>
          <w:pgMar w:top="1580" w:bottom="280" w:left="900" w:right="900"/>
        </w:sectPr>
      </w:pPr>
    </w:p>
    <w:p>
      <w:pPr>
        <w:pStyle w:val="BodyText"/>
        <w:rPr>
          <w:sz w:val="20"/>
        </w:rPr>
      </w:pPr>
    </w:p>
    <w:p>
      <w:pPr>
        <w:pStyle w:val="BodyText"/>
        <w:rPr>
          <w:sz w:val="20"/>
        </w:rPr>
      </w:pPr>
    </w:p>
    <w:p>
      <w:pPr>
        <w:spacing w:after="0"/>
        <w:rPr>
          <w:sz w:val="20"/>
        </w:rPr>
        <w:sectPr>
          <w:pgSz w:w="16840" w:h="11910" w:orient="landscape"/>
          <w:pgMar w:header="1037" w:footer="507" w:top="2220" w:bottom="700" w:left="900" w:right="880"/>
        </w:sectPr>
      </w:pPr>
    </w:p>
    <w:p>
      <w:pPr>
        <w:pStyle w:val="BodyText"/>
        <w:spacing w:before="5"/>
      </w:pPr>
    </w:p>
    <w:p>
      <w:pPr>
        <w:pStyle w:val="Heading9"/>
        <w:tabs>
          <w:tab w:pos="1070" w:val="left" w:leader="none"/>
        </w:tabs>
        <w:ind w:left="504"/>
      </w:pPr>
      <w:bookmarkStart w:name="(b) Higher education loan programs (excl" w:id="161"/>
      <w:bookmarkEnd w:id="161"/>
      <w:r>
        <w:rPr>
          <w:b w:val="0"/>
        </w:rPr>
      </w:r>
      <w:r>
        <w:rPr/>
        <w:t>40</w:t>
        <w:tab/>
        <w:t>Acquittal of Australian Government Financial Assistance (continued)</w:t>
      </w:r>
    </w:p>
    <w:p>
      <w:pPr>
        <w:pStyle w:val="ListParagraph"/>
        <w:numPr>
          <w:ilvl w:val="1"/>
          <w:numId w:val="34"/>
        </w:numPr>
        <w:tabs>
          <w:tab w:pos="1071" w:val="left" w:leader="none"/>
        </w:tabs>
        <w:spacing w:line="240" w:lineRule="auto" w:before="131" w:after="0"/>
        <w:ind w:left="1070" w:right="0" w:hanging="566"/>
        <w:jc w:val="left"/>
        <w:rPr>
          <w:sz w:val="18"/>
        </w:rPr>
      </w:pPr>
      <w:r>
        <w:rPr>
          <w:sz w:val="18"/>
        </w:rPr>
        <w:t>Higher education loan programs (excl</w:t>
      </w:r>
      <w:r>
        <w:rPr>
          <w:spacing w:val="-1"/>
          <w:sz w:val="18"/>
        </w:rPr>
        <w:t> </w:t>
      </w:r>
      <w:r>
        <w:rPr>
          <w:sz w:val="18"/>
        </w:rPr>
        <w:t>OS-HELP)</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spacing w:before="1"/>
        <w:rPr>
          <w:sz w:val="13"/>
        </w:rPr>
      </w:pPr>
    </w:p>
    <w:p>
      <w:pPr>
        <w:spacing w:before="0"/>
        <w:ind w:left="493" w:right="5086" w:firstLine="0"/>
        <w:jc w:val="center"/>
        <w:rPr>
          <w:b/>
          <w:sz w:val="14"/>
        </w:rPr>
      </w:pPr>
      <w:r>
        <w:rPr>
          <w:b/>
          <w:sz w:val="14"/>
        </w:rPr>
        <w:t>HECS-HELP (Aust.</w:t>
      </w:r>
    </w:p>
    <w:p>
      <w:pPr>
        <w:spacing w:before="0"/>
        <w:ind w:left="493" w:right="5087" w:firstLine="0"/>
        <w:jc w:val="center"/>
        <w:rPr>
          <w:b/>
          <w:sz w:val="14"/>
        </w:rPr>
      </w:pPr>
      <w:r>
        <w:rPr>
          <w:b/>
          <w:w w:val="95"/>
          <w:sz w:val="14"/>
        </w:rPr>
        <w:t>Government  payments</w:t>
      </w:r>
    </w:p>
    <w:p>
      <w:pPr>
        <w:tabs>
          <w:tab w:pos="2452" w:val="left" w:leader="none"/>
          <w:tab w:pos="4228" w:val="left" w:leader="none"/>
          <w:tab w:pos="6011" w:val="left" w:leader="none"/>
        </w:tabs>
        <w:spacing w:before="0"/>
        <w:ind w:left="1089" w:right="0" w:firstLine="0"/>
        <w:jc w:val="left"/>
        <w:rPr>
          <w:b/>
          <w:sz w:val="14"/>
        </w:rPr>
      </w:pPr>
      <w:r>
        <w:rPr>
          <w:b/>
          <w:sz w:val="14"/>
        </w:rPr>
        <w:t>only)</w:t>
        <w:tab/>
        <w:t>FEE-HELP</w:t>
      </w:r>
      <w:r>
        <w:rPr>
          <w:b/>
          <w:spacing w:val="-6"/>
          <w:sz w:val="14"/>
        </w:rPr>
        <w:t> </w:t>
      </w:r>
      <w:r>
        <w:rPr>
          <w:b/>
          <w:sz w:val="14"/>
        </w:rPr>
        <w:t>#4</w:t>
        <w:tab/>
        <w:t>SA-HELP</w:t>
        <w:tab/>
        <w:t>Total</w:t>
      </w:r>
    </w:p>
    <w:p>
      <w:pPr>
        <w:spacing w:after="0"/>
        <w:jc w:val="left"/>
        <w:rPr>
          <w:sz w:val="14"/>
        </w:rPr>
        <w:sectPr>
          <w:type w:val="continuous"/>
          <w:pgSz w:w="16840" w:h="11910" w:orient="landscape"/>
          <w:pgMar w:top="1580" w:bottom="280" w:left="900" w:right="880"/>
          <w:cols w:num="2" w:equalWidth="0">
            <w:col w:w="6977" w:space="984"/>
            <w:col w:w="7099"/>
          </w:cols>
        </w:sectPr>
      </w:pPr>
    </w:p>
    <w:p>
      <w:pPr>
        <w:pStyle w:val="BodyText"/>
        <w:rPr>
          <w:b/>
          <w:sz w:val="14"/>
        </w:rPr>
      </w:pPr>
    </w:p>
    <w:p>
      <w:pPr>
        <w:pStyle w:val="BodyText"/>
        <w:spacing w:before="7"/>
        <w:rPr>
          <w:b/>
          <w:sz w:val="11"/>
        </w:rPr>
      </w:pPr>
    </w:p>
    <w:p>
      <w:pPr>
        <w:tabs>
          <w:tab w:pos="7979" w:val="left" w:leader="none"/>
        </w:tabs>
        <w:spacing w:before="0"/>
        <w:ind w:left="1103" w:right="0" w:firstLine="0"/>
        <w:jc w:val="left"/>
        <w:rPr>
          <w:b/>
          <w:sz w:val="14"/>
        </w:rPr>
      </w:pPr>
      <w:r>
        <w:rPr>
          <w:b/>
          <w:sz w:val="14"/>
        </w:rPr>
        <w:t>Parent Entity</w:t>
      </w:r>
      <w:r>
        <w:rPr>
          <w:b/>
          <w:spacing w:val="-23"/>
          <w:sz w:val="14"/>
        </w:rPr>
        <w:t> </w:t>
      </w:r>
      <w:r>
        <w:rPr>
          <w:b/>
          <w:sz w:val="14"/>
        </w:rPr>
        <w:t>(University)</w:t>
      </w:r>
      <w:r>
        <w:rPr>
          <w:b/>
          <w:spacing w:val="-10"/>
          <w:sz w:val="14"/>
        </w:rPr>
        <w:t> </w:t>
      </w:r>
      <w:r>
        <w:rPr>
          <w:b/>
          <w:sz w:val="14"/>
        </w:rPr>
        <w:t>Only</w:t>
        <w:tab/>
      </w:r>
      <w:r>
        <w:rPr>
          <w:b/>
          <w:spacing w:val="-1"/>
          <w:sz w:val="14"/>
        </w:rPr>
        <w:t>Note</w:t>
      </w:r>
    </w:p>
    <w:p>
      <w:pPr>
        <w:spacing w:before="67"/>
        <w:ind w:left="319" w:right="-6" w:firstLine="0"/>
        <w:jc w:val="left"/>
        <w:rPr>
          <w:b/>
          <w:sz w:val="14"/>
        </w:rPr>
      </w:pPr>
      <w:r>
        <w:rPr/>
        <w:br w:type="column"/>
      </w:r>
      <w:r>
        <w:rPr>
          <w:b/>
          <w:sz w:val="14"/>
        </w:rPr>
        <w:t>2017</w:t>
      </w:r>
    </w:p>
    <w:p>
      <w:pPr>
        <w:spacing w:before="67"/>
        <w:ind w:left="303" w:right="-18" w:firstLine="0"/>
        <w:jc w:val="left"/>
        <w:rPr>
          <w:b/>
          <w:sz w:val="14"/>
        </w:rPr>
      </w:pPr>
      <w:r>
        <w:rPr>
          <w:b/>
          <w:spacing w:val="-1"/>
          <w:sz w:val="14"/>
        </w:rPr>
        <w:t>$'000</w:t>
      </w:r>
    </w:p>
    <w:p>
      <w:pPr>
        <w:spacing w:before="67"/>
        <w:ind w:left="444" w:right="-7" w:firstLine="0"/>
        <w:jc w:val="left"/>
        <w:rPr>
          <w:b/>
          <w:sz w:val="14"/>
        </w:rPr>
      </w:pPr>
      <w:r>
        <w:rPr/>
        <w:br w:type="column"/>
      </w:r>
      <w:r>
        <w:rPr>
          <w:b/>
          <w:sz w:val="14"/>
        </w:rPr>
        <w:t>2016</w:t>
      </w:r>
    </w:p>
    <w:p>
      <w:pPr>
        <w:spacing w:before="67"/>
        <w:ind w:left="427" w:right="-18" w:firstLine="0"/>
        <w:jc w:val="left"/>
        <w:rPr>
          <w:b/>
          <w:sz w:val="14"/>
        </w:rPr>
      </w:pPr>
      <w:r>
        <w:rPr>
          <w:b/>
          <w:spacing w:val="-1"/>
          <w:sz w:val="14"/>
        </w:rPr>
        <w:t>$'000</w:t>
      </w:r>
    </w:p>
    <w:p>
      <w:pPr>
        <w:spacing w:before="67"/>
        <w:ind w:left="468" w:right="-7" w:firstLine="0"/>
        <w:jc w:val="left"/>
        <w:rPr>
          <w:b/>
          <w:sz w:val="14"/>
        </w:rPr>
      </w:pPr>
      <w:r>
        <w:rPr/>
        <w:br w:type="column"/>
      </w:r>
      <w:r>
        <w:rPr>
          <w:b/>
          <w:sz w:val="14"/>
        </w:rPr>
        <w:t>2017</w:t>
      </w:r>
    </w:p>
    <w:p>
      <w:pPr>
        <w:spacing w:before="67"/>
        <w:ind w:left="451" w:right="-18" w:firstLine="0"/>
        <w:jc w:val="left"/>
        <w:rPr>
          <w:b/>
          <w:sz w:val="14"/>
        </w:rPr>
      </w:pPr>
      <w:r>
        <w:rPr>
          <w:b/>
          <w:spacing w:val="-1"/>
          <w:sz w:val="14"/>
        </w:rPr>
        <w:t>$'000</w:t>
      </w:r>
    </w:p>
    <w:p>
      <w:pPr>
        <w:spacing w:before="67"/>
        <w:ind w:left="444" w:right="-7" w:firstLine="0"/>
        <w:jc w:val="left"/>
        <w:rPr>
          <w:b/>
          <w:sz w:val="14"/>
        </w:rPr>
      </w:pPr>
      <w:r>
        <w:rPr/>
        <w:br w:type="column"/>
      </w:r>
      <w:r>
        <w:rPr>
          <w:b/>
          <w:sz w:val="14"/>
        </w:rPr>
        <w:t>2016</w:t>
      </w:r>
    </w:p>
    <w:p>
      <w:pPr>
        <w:spacing w:before="67"/>
        <w:ind w:left="427" w:right="-18" w:firstLine="0"/>
        <w:jc w:val="left"/>
        <w:rPr>
          <w:b/>
          <w:sz w:val="14"/>
        </w:rPr>
      </w:pPr>
      <w:r>
        <w:rPr>
          <w:b/>
          <w:spacing w:val="-1"/>
          <w:sz w:val="14"/>
        </w:rPr>
        <w:t>$'000</w:t>
      </w:r>
    </w:p>
    <w:p>
      <w:pPr>
        <w:spacing w:before="67"/>
        <w:ind w:left="468" w:right="-7" w:firstLine="0"/>
        <w:jc w:val="left"/>
        <w:rPr>
          <w:b/>
          <w:sz w:val="14"/>
        </w:rPr>
      </w:pPr>
      <w:r>
        <w:rPr/>
        <w:br w:type="column"/>
      </w:r>
      <w:r>
        <w:rPr>
          <w:b/>
          <w:sz w:val="14"/>
        </w:rPr>
        <w:t>2017</w:t>
      </w:r>
    </w:p>
    <w:p>
      <w:pPr>
        <w:spacing w:before="67"/>
        <w:ind w:left="451" w:right="-18" w:firstLine="0"/>
        <w:jc w:val="left"/>
        <w:rPr>
          <w:b/>
          <w:sz w:val="14"/>
        </w:rPr>
      </w:pPr>
      <w:r>
        <w:rPr>
          <w:b/>
          <w:spacing w:val="-1"/>
          <w:sz w:val="14"/>
        </w:rPr>
        <w:t>$'000</w:t>
      </w:r>
    </w:p>
    <w:p>
      <w:pPr>
        <w:spacing w:before="67"/>
        <w:ind w:left="444" w:right="-7" w:firstLine="0"/>
        <w:jc w:val="left"/>
        <w:rPr>
          <w:b/>
          <w:sz w:val="14"/>
        </w:rPr>
      </w:pPr>
      <w:r>
        <w:rPr/>
        <w:br w:type="column"/>
      </w:r>
      <w:r>
        <w:rPr>
          <w:b/>
          <w:sz w:val="14"/>
        </w:rPr>
        <w:t>2016</w:t>
      </w:r>
    </w:p>
    <w:p>
      <w:pPr>
        <w:spacing w:before="67"/>
        <w:ind w:left="427" w:right="-18" w:firstLine="0"/>
        <w:jc w:val="left"/>
        <w:rPr>
          <w:b/>
          <w:sz w:val="14"/>
        </w:rPr>
      </w:pPr>
      <w:r>
        <w:rPr>
          <w:b/>
          <w:spacing w:val="-1"/>
          <w:sz w:val="14"/>
        </w:rPr>
        <w:t>$'000</w:t>
      </w:r>
    </w:p>
    <w:p>
      <w:pPr>
        <w:spacing w:before="67"/>
        <w:ind w:left="468" w:right="-7" w:firstLine="0"/>
        <w:jc w:val="left"/>
        <w:rPr>
          <w:b/>
          <w:sz w:val="14"/>
        </w:rPr>
      </w:pPr>
      <w:r>
        <w:rPr/>
        <w:br w:type="column"/>
      </w:r>
      <w:r>
        <w:rPr>
          <w:b/>
          <w:sz w:val="14"/>
        </w:rPr>
        <w:t>2017</w:t>
      </w:r>
    </w:p>
    <w:p>
      <w:pPr>
        <w:spacing w:before="67"/>
        <w:ind w:left="451" w:right="-18" w:firstLine="0"/>
        <w:jc w:val="left"/>
        <w:rPr>
          <w:b/>
          <w:sz w:val="14"/>
        </w:rPr>
      </w:pPr>
      <w:r>
        <w:rPr>
          <w:b/>
          <w:spacing w:val="-1"/>
          <w:sz w:val="14"/>
        </w:rPr>
        <w:t>$'000</w:t>
      </w:r>
    </w:p>
    <w:p>
      <w:pPr>
        <w:spacing w:before="67"/>
        <w:ind w:left="444" w:right="0" w:firstLine="0"/>
        <w:jc w:val="left"/>
        <w:rPr>
          <w:b/>
          <w:sz w:val="14"/>
        </w:rPr>
      </w:pPr>
      <w:r>
        <w:rPr/>
        <w:br w:type="column"/>
      </w:r>
      <w:r>
        <w:rPr>
          <w:b/>
          <w:sz w:val="14"/>
        </w:rPr>
        <w:t>2016</w:t>
      </w:r>
    </w:p>
    <w:p>
      <w:pPr>
        <w:spacing w:before="67"/>
        <w:ind w:left="427" w:right="0" w:firstLine="0"/>
        <w:jc w:val="left"/>
        <w:rPr>
          <w:b/>
          <w:sz w:val="14"/>
        </w:rPr>
      </w:pPr>
      <w:r>
        <w:rPr>
          <w:b/>
          <w:sz w:val="14"/>
        </w:rPr>
        <w:t>$'000</w:t>
      </w:r>
    </w:p>
    <w:p>
      <w:pPr>
        <w:spacing w:after="0"/>
        <w:jc w:val="left"/>
        <w:rPr>
          <w:sz w:val="14"/>
        </w:rPr>
        <w:sectPr>
          <w:type w:val="continuous"/>
          <w:pgSz w:w="16840" w:h="11910" w:orient="landscape"/>
          <w:pgMar w:top="1580" w:bottom="280" w:left="900" w:right="880"/>
          <w:cols w:num="9" w:equalWidth="0">
            <w:col w:w="8288" w:space="40"/>
            <w:col w:w="645" w:space="40"/>
            <w:col w:w="769" w:space="40"/>
            <w:col w:w="793" w:space="40"/>
            <w:col w:w="769" w:space="40"/>
            <w:col w:w="793" w:space="40"/>
            <w:col w:w="769" w:space="40"/>
            <w:col w:w="793" w:space="40"/>
            <w:col w:w="1121"/>
          </w:cols>
        </w:sectPr>
      </w:pPr>
    </w:p>
    <w:p>
      <w:pPr>
        <w:pStyle w:val="BodyText"/>
        <w:spacing w:before="2"/>
        <w:rPr>
          <w:b/>
          <w:sz w:val="3"/>
        </w:rPr>
      </w:pPr>
    </w:p>
    <w:tbl>
      <w:tblPr>
        <w:tblW w:w="0" w:type="auto"/>
        <w:jc w:val="left"/>
        <w:tblInd w:w="10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11"/>
        <w:gridCol w:w="1901"/>
        <w:gridCol w:w="947"/>
        <w:gridCol w:w="836"/>
        <w:gridCol w:w="844"/>
        <w:gridCol w:w="859"/>
        <w:gridCol w:w="821"/>
        <w:gridCol w:w="744"/>
        <w:gridCol w:w="821"/>
        <w:gridCol w:w="695"/>
      </w:tblGrid>
      <w:tr>
        <w:trPr>
          <w:trHeight w:val="224" w:hRule="exact"/>
        </w:trPr>
        <w:tc>
          <w:tcPr>
            <w:tcW w:w="5411" w:type="dxa"/>
          </w:tcPr>
          <w:p>
            <w:pPr>
              <w:pStyle w:val="TableParagraph"/>
              <w:spacing w:before="28"/>
              <w:ind w:left="35"/>
              <w:rPr>
                <w:sz w:val="14"/>
              </w:rPr>
            </w:pPr>
            <w:r>
              <w:rPr>
                <w:sz w:val="14"/>
              </w:rPr>
              <w:t>Cash Payable/(Receivable) at the beginning of the year</w:t>
            </w:r>
          </w:p>
        </w:tc>
        <w:tc>
          <w:tcPr>
            <w:tcW w:w="1901" w:type="dxa"/>
          </w:tcPr>
          <w:p>
            <w:pPr/>
          </w:p>
        </w:tc>
        <w:tc>
          <w:tcPr>
            <w:tcW w:w="947" w:type="dxa"/>
          </w:tcPr>
          <w:p>
            <w:pPr>
              <w:pStyle w:val="TableParagraph"/>
              <w:spacing w:before="25"/>
              <w:ind w:right="169"/>
              <w:jc w:val="right"/>
              <w:rPr>
                <w:sz w:val="14"/>
              </w:rPr>
            </w:pPr>
            <w:r>
              <w:rPr>
                <w:sz w:val="14"/>
              </w:rPr>
              <w:t>1,416</w:t>
            </w:r>
          </w:p>
        </w:tc>
        <w:tc>
          <w:tcPr>
            <w:tcW w:w="836" w:type="dxa"/>
          </w:tcPr>
          <w:p>
            <w:pPr>
              <w:pStyle w:val="TableParagraph"/>
              <w:spacing w:before="25"/>
              <w:ind w:right="209"/>
              <w:jc w:val="right"/>
              <w:rPr>
                <w:sz w:val="14"/>
              </w:rPr>
            </w:pPr>
            <w:r>
              <w:rPr>
                <w:sz w:val="14"/>
              </w:rPr>
              <w:t>916</w:t>
            </w:r>
          </w:p>
        </w:tc>
        <w:tc>
          <w:tcPr>
            <w:tcW w:w="844" w:type="dxa"/>
          </w:tcPr>
          <w:p>
            <w:pPr>
              <w:pStyle w:val="TableParagraph"/>
              <w:spacing w:before="25"/>
              <w:ind w:left="188" w:right="110"/>
              <w:jc w:val="center"/>
              <w:rPr>
                <w:sz w:val="14"/>
              </w:rPr>
            </w:pPr>
            <w:r>
              <w:rPr>
                <w:sz w:val="14"/>
              </w:rPr>
              <w:t>(1,263)</w:t>
            </w:r>
          </w:p>
        </w:tc>
        <w:tc>
          <w:tcPr>
            <w:tcW w:w="859" w:type="dxa"/>
          </w:tcPr>
          <w:p>
            <w:pPr>
              <w:pStyle w:val="TableParagraph"/>
              <w:spacing w:before="25"/>
              <w:ind w:right="224"/>
              <w:jc w:val="right"/>
              <w:rPr>
                <w:sz w:val="14"/>
              </w:rPr>
            </w:pPr>
            <w:r>
              <w:rPr>
                <w:sz w:val="14"/>
              </w:rPr>
              <w:t>(461)</w:t>
            </w:r>
          </w:p>
        </w:tc>
        <w:tc>
          <w:tcPr>
            <w:tcW w:w="821" w:type="dxa"/>
          </w:tcPr>
          <w:p>
            <w:pPr>
              <w:pStyle w:val="TableParagraph"/>
              <w:spacing w:before="25"/>
              <w:ind w:right="200"/>
              <w:jc w:val="right"/>
              <w:rPr>
                <w:sz w:val="14"/>
              </w:rPr>
            </w:pPr>
            <w:r>
              <w:rPr>
                <w:sz w:val="14"/>
              </w:rPr>
              <w:t>(520)</w:t>
            </w:r>
          </w:p>
        </w:tc>
        <w:tc>
          <w:tcPr>
            <w:tcW w:w="744" w:type="dxa"/>
          </w:tcPr>
          <w:p>
            <w:pPr>
              <w:pStyle w:val="TableParagraph"/>
              <w:spacing w:before="25"/>
              <w:ind w:left="249" w:right="50"/>
              <w:jc w:val="center"/>
              <w:rPr>
                <w:sz w:val="14"/>
              </w:rPr>
            </w:pPr>
            <w:r>
              <w:rPr>
                <w:sz w:val="14"/>
              </w:rPr>
              <w:t>44</w:t>
            </w:r>
          </w:p>
        </w:tc>
        <w:tc>
          <w:tcPr>
            <w:tcW w:w="821" w:type="dxa"/>
          </w:tcPr>
          <w:p>
            <w:pPr>
              <w:pStyle w:val="TableParagraph"/>
              <w:spacing w:before="25"/>
              <w:ind w:right="123"/>
              <w:jc w:val="right"/>
              <w:rPr>
                <w:sz w:val="14"/>
              </w:rPr>
            </w:pPr>
            <w:r>
              <w:rPr>
                <w:sz w:val="14"/>
              </w:rPr>
              <w:t>(367)</w:t>
            </w:r>
          </w:p>
        </w:tc>
        <w:tc>
          <w:tcPr>
            <w:tcW w:w="695" w:type="dxa"/>
          </w:tcPr>
          <w:p>
            <w:pPr>
              <w:pStyle w:val="TableParagraph"/>
              <w:spacing w:before="25"/>
              <w:ind w:right="67"/>
              <w:jc w:val="right"/>
              <w:rPr>
                <w:sz w:val="14"/>
              </w:rPr>
            </w:pPr>
            <w:r>
              <w:rPr>
                <w:sz w:val="14"/>
              </w:rPr>
              <w:t>499</w:t>
            </w:r>
          </w:p>
        </w:tc>
      </w:tr>
      <w:tr>
        <w:trPr>
          <w:trHeight w:val="217" w:hRule="exact"/>
        </w:trPr>
        <w:tc>
          <w:tcPr>
            <w:tcW w:w="5411" w:type="dxa"/>
          </w:tcPr>
          <w:p>
            <w:pPr>
              <w:pStyle w:val="TableParagraph"/>
              <w:spacing w:before="22"/>
              <w:ind w:left="35"/>
              <w:rPr>
                <w:sz w:val="14"/>
              </w:rPr>
            </w:pPr>
            <w:r>
              <w:rPr>
                <w:sz w:val="14"/>
              </w:rPr>
              <w:t>Financial assistance received in cash during the reporting period</w:t>
            </w:r>
          </w:p>
        </w:tc>
        <w:tc>
          <w:tcPr>
            <w:tcW w:w="1901" w:type="dxa"/>
          </w:tcPr>
          <w:p>
            <w:pPr/>
          </w:p>
        </w:tc>
        <w:tc>
          <w:tcPr>
            <w:tcW w:w="947" w:type="dxa"/>
            <w:tcBorders>
              <w:bottom w:val="single" w:sz="1" w:space="0" w:color="000000"/>
            </w:tcBorders>
          </w:tcPr>
          <w:p>
            <w:pPr>
              <w:pStyle w:val="TableParagraph"/>
              <w:spacing w:before="20"/>
              <w:ind w:right="169"/>
              <w:jc w:val="right"/>
              <w:rPr>
                <w:sz w:val="14"/>
              </w:rPr>
            </w:pPr>
            <w:r>
              <w:rPr>
                <w:w w:val="95"/>
                <w:sz w:val="14"/>
              </w:rPr>
              <w:t>195,631</w:t>
            </w:r>
          </w:p>
        </w:tc>
        <w:tc>
          <w:tcPr>
            <w:tcW w:w="836" w:type="dxa"/>
            <w:tcBorders>
              <w:bottom w:val="single" w:sz="1" w:space="0" w:color="000000"/>
            </w:tcBorders>
          </w:tcPr>
          <w:p>
            <w:pPr>
              <w:pStyle w:val="TableParagraph"/>
              <w:spacing w:before="20"/>
              <w:ind w:right="209"/>
              <w:jc w:val="right"/>
              <w:rPr>
                <w:sz w:val="14"/>
              </w:rPr>
            </w:pPr>
            <w:r>
              <w:rPr>
                <w:w w:val="95"/>
                <w:sz w:val="14"/>
              </w:rPr>
              <w:t>205,336</w:t>
            </w:r>
          </w:p>
        </w:tc>
        <w:tc>
          <w:tcPr>
            <w:tcW w:w="844" w:type="dxa"/>
            <w:tcBorders>
              <w:bottom w:val="single" w:sz="1" w:space="0" w:color="000000"/>
            </w:tcBorders>
          </w:tcPr>
          <w:p>
            <w:pPr>
              <w:pStyle w:val="TableParagraph"/>
              <w:spacing w:before="20"/>
              <w:ind w:left="142" w:right="141"/>
              <w:jc w:val="center"/>
              <w:rPr>
                <w:sz w:val="14"/>
              </w:rPr>
            </w:pPr>
            <w:r>
              <w:rPr>
                <w:sz w:val="14"/>
              </w:rPr>
              <w:t>12,805</w:t>
            </w:r>
          </w:p>
        </w:tc>
        <w:tc>
          <w:tcPr>
            <w:tcW w:w="859" w:type="dxa"/>
            <w:tcBorders>
              <w:bottom w:val="single" w:sz="1" w:space="0" w:color="000000"/>
            </w:tcBorders>
          </w:tcPr>
          <w:p>
            <w:pPr>
              <w:pStyle w:val="TableParagraph"/>
              <w:spacing w:before="20"/>
              <w:ind w:right="270"/>
              <w:jc w:val="right"/>
              <w:rPr>
                <w:sz w:val="14"/>
              </w:rPr>
            </w:pPr>
            <w:r>
              <w:rPr>
                <w:w w:val="95"/>
                <w:sz w:val="14"/>
              </w:rPr>
              <w:t>11,060</w:t>
            </w:r>
          </w:p>
        </w:tc>
        <w:tc>
          <w:tcPr>
            <w:tcW w:w="821" w:type="dxa"/>
            <w:tcBorders>
              <w:bottom w:val="single" w:sz="1" w:space="0" w:color="000000"/>
            </w:tcBorders>
          </w:tcPr>
          <w:p>
            <w:pPr>
              <w:pStyle w:val="TableParagraph"/>
              <w:spacing w:before="20"/>
              <w:ind w:right="246"/>
              <w:jc w:val="right"/>
              <w:rPr>
                <w:sz w:val="14"/>
              </w:rPr>
            </w:pPr>
            <w:r>
              <w:rPr>
                <w:sz w:val="14"/>
              </w:rPr>
              <w:t>6,982</w:t>
            </w:r>
          </w:p>
        </w:tc>
        <w:tc>
          <w:tcPr>
            <w:tcW w:w="744" w:type="dxa"/>
            <w:tcBorders>
              <w:bottom w:val="single" w:sz="1" w:space="0" w:color="000000"/>
            </w:tcBorders>
          </w:tcPr>
          <w:p>
            <w:pPr>
              <w:pStyle w:val="TableParagraph"/>
              <w:spacing w:before="20"/>
              <w:ind w:left="134" w:right="127"/>
              <w:jc w:val="center"/>
              <w:rPr>
                <w:sz w:val="14"/>
              </w:rPr>
            </w:pPr>
            <w:r>
              <w:rPr>
                <w:sz w:val="14"/>
              </w:rPr>
              <w:t>6,495</w:t>
            </w:r>
          </w:p>
        </w:tc>
        <w:tc>
          <w:tcPr>
            <w:tcW w:w="821" w:type="dxa"/>
            <w:tcBorders>
              <w:bottom w:val="single" w:sz="1" w:space="0" w:color="000000"/>
            </w:tcBorders>
          </w:tcPr>
          <w:p>
            <w:pPr>
              <w:pStyle w:val="TableParagraph"/>
              <w:spacing w:before="20"/>
              <w:ind w:right="169"/>
              <w:jc w:val="right"/>
              <w:rPr>
                <w:sz w:val="14"/>
              </w:rPr>
            </w:pPr>
            <w:r>
              <w:rPr>
                <w:w w:val="95"/>
                <w:sz w:val="14"/>
              </w:rPr>
              <w:t>215,418</w:t>
            </w:r>
          </w:p>
        </w:tc>
        <w:tc>
          <w:tcPr>
            <w:tcW w:w="695" w:type="dxa"/>
            <w:tcBorders>
              <w:bottom w:val="single" w:sz="1" w:space="0" w:color="000000"/>
            </w:tcBorders>
          </w:tcPr>
          <w:p>
            <w:pPr>
              <w:pStyle w:val="TableParagraph"/>
              <w:spacing w:before="20"/>
              <w:ind w:right="67"/>
              <w:jc w:val="right"/>
              <w:rPr>
                <w:sz w:val="14"/>
              </w:rPr>
            </w:pPr>
            <w:r>
              <w:rPr>
                <w:w w:val="95"/>
                <w:sz w:val="14"/>
              </w:rPr>
              <w:t>222,891</w:t>
            </w:r>
          </w:p>
        </w:tc>
      </w:tr>
      <w:tr>
        <w:trPr>
          <w:trHeight w:val="238" w:hRule="exact"/>
        </w:trPr>
        <w:tc>
          <w:tcPr>
            <w:tcW w:w="5411" w:type="dxa"/>
          </w:tcPr>
          <w:p>
            <w:pPr>
              <w:pStyle w:val="TableParagraph"/>
              <w:spacing w:before="42"/>
              <w:ind w:left="35"/>
              <w:rPr>
                <w:sz w:val="14"/>
              </w:rPr>
            </w:pPr>
            <w:r>
              <w:rPr>
                <w:sz w:val="14"/>
              </w:rPr>
              <w:t>Cash available for the period</w:t>
            </w:r>
          </w:p>
        </w:tc>
        <w:tc>
          <w:tcPr>
            <w:tcW w:w="1901" w:type="dxa"/>
          </w:tcPr>
          <w:p>
            <w:pPr/>
          </w:p>
        </w:tc>
        <w:tc>
          <w:tcPr>
            <w:tcW w:w="947" w:type="dxa"/>
            <w:tcBorders>
              <w:top w:val="single" w:sz="1" w:space="0" w:color="000000"/>
              <w:bottom w:val="single" w:sz="1" w:space="0" w:color="000000"/>
            </w:tcBorders>
          </w:tcPr>
          <w:p>
            <w:pPr>
              <w:pStyle w:val="TableParagraph"/>
              <w:spacing w:before="39"/>
              <w:ind w:right="169"/>
              <w:jc w:val="right"/>
              <w:rPr>
                <w:sz w:val="14"/>
              </w:rPr>
            </w:pPr>
            <w:r>
              <w:rPr>
                <w:w w:val="95"/>
                <w:sz w:val="14"/>
              </w:rPr>
              <w:t>197,047</w:t>
            </w:r>
          </w:p>
        </w:tc>
        <w:tc>
          <w:tcPr>
            <w:tcW w:w="836" w:type="dxa"/>
            <w:tcBorders>
              <w:top w:val="single" w:sz="1" w:space="0" w:color="000000"/>
              <w:bottom w:val="single" w:sz="1" w:space="0" w:color="000000"/>
            </w:tcBorders>
          </w:tcPr>
          <w:p>
            <w:pPr>
              <w:pStyle w:val="TableParagraph"/>
              <w:spacing w:before="39"/>
              <w:ind w:right="209"/>
              <w:jc w:val="right"/>
              <w:rPr>
                <w:sz w:val="14"/>
              </w:rPr>
            </w:pPr>
            <w:r>
              <w:rPr>
                <w:w w:val="95"/>
                <w:sz w:val="14"/>
              </w:rPr>
              <w:t>206,252</w:t>
            </w:r>
          </w:p>
        </w:tc>
        <w:tc>
          <w:tcPr>
            <w:tcW w:w="844" w:type="dxa"/>
            <w:tcBorders>
              <w:top w:val="single" w:sz="1" w:space="0" w:color="000000"/>
              <w:bottom w:val="single" w:sz="1" w:space="0" w:color="000000"/>
            </w:tcBorders>
          </w:tcPr>
          <w:p>
            <w:pPr>
              <w:pStyle w:val="TableParagraph"/>
              <w:spacing w:before="39"/>
              <w:ind w:left="142" w:right="141"/>
              <w:jc w:val="center"/>
              <w:rPr>
                <w:sz w:val="14"/>
              </w:rPr>
            </w:pPr>
            <w:r>
              <w:rPr>
                <w:sz w:val="14"/>
              </w:rPr>
              <w:t>11,542</w:t>
            </w:r>
          </w:p>
        </w:tc>
        <w:tc>
          <w:tcPr>
            <w:tcW w:w="859" w:type="dxa"/>
            <w:tcBorders>
              <w:top w:val="single" w:sz="1" w:space="0" w:color="000000"/>
              <w:bottom w:val="single" w:sz="1" w:space="0" w:color="000000"/>
            </w:tcBorders>
          </w:tcPr>
          <w:p>
            <w:pPr>
              <w:pStyle w:val="TableParagraph"/>
              <w:spacing w:before="39"/>
              <w:ind w:right="270"/>
              <w:jc w:val="right"/>
              <w:rPr>
                <w:sz w:val="14"/>
              </w:rPr>
            </w:pPr>
            <w:r>
              <w:rPr>
                <w:w w:val="95"/>
                <w:sz w:val="14"/>
              </w:rPr>
              <w:t>10,599</w:t>
            </w:r>
          </w:p>
        </w:tc>
        <w:tc>
          <w:tcPr>
            <w:tcW w:w="821" w:type="dxa"/>
            <w:tcBorders>
              <w:top w:val="single" w:sz="1" w:space="0" w:color="000000"/>
              <w:bottom w:val="single" w:sz="1" w:space="0" w:color="000000"/>
            </w:tcBorders>
          </w:tcPr>
          <w:p>
            <w:pPr>
              <w:pStyle w:val="TableParagraph"/>
              <w:spacing w:before="39"/>
              <w:ind w:right="246"/>
              <w:jc w:val="right"/>
              <w:rPr>
                <w:sz w:val="14"/>
              </w:rPr>
            </w:pPr>
            <w:r>
              <w:rPr>
                <w:sz w:val="14"/>
              </w:rPr>
              <w:t>6,462</w:t>
            </w:r>
          </w:p>
        </w:tc>
        <w:tc>
          <w:tcPr>
            <w:tcW w:w="744" w:type="dxa"/>
            <w:tcBorders>
              <w:top w:val="single" w:sz="1" w:space="0" w:color="000000"/>
              <w:bottom w:val="single" w:sz="1" w:space="0" w:color="000000"/>
            </w:tcBorders>
          </w:tcPr>
          <w:p>
            <w:pPr>
              <w:pStyle w:val="TableParagraph"/>
              <w:spacing w:before="39"/>
              <w:ind w:left="134" w:right="127"/>
              <w:jc w:val="center"/>
              <w:rPr>
                <w:sz w:val="14"/>
              </w:rPr>
            </w:pPr>
            <w:r>
              <w:rPr>
                <w:sz w:val="14"/>
              </w:rPr>
              <w:t>6,539</w:t>
            </w:r>
          </w:p>
        </w:tc>
        <w:tc>
          <w:tcPr>
            <w:tcW w:w="821" w:type="dxa"/>
            <w:tcBorders>
              <w:top w:val="single" w:sz="1" w:space="0" w:color="000000"/>
              <w:bottom w:val="single" w:sz="1" w:space="0" w:color="000000"/>
            </w:tcBorders>
          </w:tcPr>
          <w:p>
            <w:pPr>
              <w:pStyle w:val="TableParagraph"/>
              <w:spacing w:before="39"/>
              <w:ind w:right="169"/>
              <w:jc w:val="right"/>
              <w:rPr>
                <w:sz w:val="14"/>
              </w:rPr>
            </w:pPr>
            <w:r>
              <w:rPr>
                <w:w w:val="95"/>
                <w:sz w:val="14"/>
              </w:rPr>
              <w:t>215,051</w:t>
            </w:r>
          </w:p>
        </w:tc>
        <w:tc>
          <w:tcPr>
            <w:tcW w:w="695" w:type="dxa"/>
            <w:tcBorders>
              <w:top w:val="single" w:sz="1" w:space="0" w:color="000000"/>
              <w:bottom w:val="single" w:sz="1" w:space="0" w:color="000000"/>
            </w:tcBorders>
          </w:tcPr>
          <w:p>
            <w:pPr>
              <w:pStyle w:val="TableParagraph"/>
              <w:spacing w:before="39"/>
              <w:ind w:right="67"/>
              <w:jc w:val="right"/>
              <w:rPr>
                <w:sz w:val="14"/>
              </w:rPr>
            </w:pPr>
            <w:r>
              <w:rPr>
                <w:w w:val="95"/>
                <w:sz w:val="14"/>
              </w:rPr>
              <w:t>223,390</w:t>
            </w:r>
          </w:p>
        </w:tc>
      </w:tr>
      <w:tr>
        <w:trPr>
          <w:trHeight w:val="238" w:hRule="exact"/>
        </w:trPr>
        <w:tc>
          <w:tcPr>
            <w:tcW w:w="5411" w:type="dxa"/>
          </w:tcPr>
          <w:p>
            <w:pPr>
              <w:pStyle w:val="TableParagraph"/>
              <w:spacing w:before="42"/>
              <w:ind w:left="35"/>
              <w:rPr>
                <w:sz w:val="14"/>
              </w:rPr>
            </w:pPr>
            <w:r>
              <w:rPr>
                <w:sz w:val="14"/>
              </w:rPr>
              <w:t>Revenue earned</w:t>
            </w:r>
          </w:p>
        </w:tc>
        <w:tc>
          <w:tcPr>
            <w:tcW w:w="1901" w:type="dxa"/>
          </w:tcPr>
          <w:p>
            <w:pPr>
              <w:pStyle w:val="TableParagraph"/>
              <w:spacing w:before="38"/>
              <w:ind w:right="223"/>
              <w:jc w:val="right"/>
              <w:rPr>
                <w:sz w:val="14"/>
              </w:rPr>
            </w:pPr>
            <w:r>
              <w:rPr>
                <w:sz w:val="14"/>
              </w:rPr>
              <w:t>2(b)</w:t>
            </w:r>
          </w:p>
        </w:tc>
        <w:tc>
          <w:tcPr>
            <w:tcW w:w="947" w:type="dxa"/>
            <w:tcBorders>
              <w:top w:val="single" w:sz="1" w:space="0" w:color="000000"/>
              <w:bottom w:val="single" w:sz="1" w:space="0" w:color="000000"/>
            </w:tcBorders>
          </w:tcPr>
          <w:p>
            <w:pPr>
              <w:pStyle w:val="TableParagraph"/>
              <w:spacing w:before="39"/>
              <w:ind w:right="169"/>
              <w:jc w:val="right"/>
              <w:rPr>
                <w:sz w:val="14"/>
              </w:rPr>
            </w:pPr>
            <w:r>
              <w:rPr>
                <w:w w:val="95"/>
                <w:sz w:val="14"/>
              </w:rPr>
              <w:t>199,580</w:t>
            </w:r>
          </w:p>
        </w:tc>
        <w:tc>
          <w:tcPr>
            <w:tcW w:w="836" w:type="dxa"/>
            <w:tcBorders>
              <w:top w:val="single" w:sz="1" w:space="0" w:color="000000"/>
              <w:bottom w:val="single" w:sz="1" w:space="0" w:color="000000"/>
            </w:tcBorders>
          </w:tcPr>
          <w:p>
            <w:pPr>
              <w:pStyle w:val="TableParagraph"/>
              <w:spacing w:before="39"/>
              <w:ind w:right="209"/>
              <w:jc w:val="right"/>
              <w:rPr>
                <w:sz w:val="14"/>
              </w:rPr>
            </w:pPr>
            <w:r>
              <w:rPr>
                <w:w w:val="95"/>
                <w:sz w:val="14"/>
              </w:rPr>
              <w:t>204,836</w:t>
            </w:r>
          </w:p>
        </w:tc>
        <w:tc>
          <w:tcPr>
            <w:tcW w:w="844" w:type="dxa"/>
            <w:tcBorders>
              <w:top w:val="single" w:sz="1" w:space="0" w:color="000000"/>
              <w:bottom w:val="single" w:sz="1" w:space="0" w:color="000000"/>
            </w:tcBorders>
          </w:tcPr>
          <w:p>
            <w:pPr>
              <w:pStyle w:val="TableParagraph"/>
              <w:spacing w:before="39"/>
              <w:ind w:left="142" w:right="141"/>
              <w:jc w:val="center"/>
              <w:rPr>
                <w:sz w:val="14"/>
              </w:rPr>
            </w:pPr>
            <w:r>
              <w:rPr>
                <w:sz w:val="14"/>
              </w:rPr>
              <w:t>12,286</w:t>
            </w:r>
          </w:p>
        </w:tc>
        <w:tc>
          <w:tcPr>
            <w:tcW w:w="859" w:type="dxa"/>
            <w:tcBorders>
              <w:top w:val="single" w:sz="1" w:space="0" w:color="000000"/>
              <w:bottom w:val="single" w:sz="1" w:space="0" w:color="000000"/>
            </w:tcBorders>
          </w:tcPr>
          <w:p>
            <w:pPr>
              <w:pStyle w:val="TableParagraph"/>
              <w:spacing w:before="39"/>
              <w:ind w:right="270"/>
              <w:jc w:val="right"/>
              <w:rPr>
                <w:sz w:val="14"/>
              </w:rPr>
            </w:pPr>
            <w:r>
              <w:rPr>
                <w:w w:val="95"/>
                <w:sz w:val="14"/>
              </w:rPr>
              <w:t>11,862</w:t>
            </w:r>
          </w:p>
        </w:tc>
        <w:tc>
          <w:tcPr>
            <w:tcW w:w="821" w:type="dxa"/>
            <w:tcBorders>
              <w:top w:val="single" w:sz="1" w:space="0" w:color="000000"/>
              <w:bottom w:val="single" w:sz="1" w:space="0" w:color="000000"/>
            </w:tcBorders>
          </w:tcPr>
          <w:p>
            <w:pPr>
              <w:pStyle w:val="TableParagraph"/>
              <w:spacing w:before="39"/>
              <w:ind w:right="246"/>
              <w:jc w:val="right"/>
              <w:rPr>
                <w:sz w:val="14"/>
              </w:rPr>
            </w:pPr>
            <w:r>
              <w:rPr>
                <w:sz w:val="14"/>
              </w:rPr>
              <w:t>6,884</w:t>
            </w:r>
          </w:p>
        </w:tc>
        <w:tc>
          <w:tcPr>
            <w:tcW w:w="744" w:type="dxa"/>
            <w:tcBorders>
              <w:top w:val="single" w:sz="1" w:space="0" w:color="000000"/>
              <w:bottom w:val="single" w:sz="1" w:space="0" w:color="000000"/>
            </w:tcBorders>
          </w:tcPr>
          <w:p>
            <w:pPr>
              <w:pStyle w:val="TableParagraph"/>
              <w:spacing w:before="39"/>
              <w:ind w:left="134" w:right="127"/>
              <w:jc w:val="center"/>
              <w:rPr>
                <w:sz w:val="14"/>
              </w:rPr>
            </w:pPr>
            <w:r>
              <w:rPr>
                <w:sz w:val="14"/>
              </w:rPr>
              <w:t>7,059</w:t>
            </w:r>
          </w:p>
        </w:tc>
        <w:tc>
          <w:tcPr>
            <w:tcW w:w="821" w:type="dxa"/>
            <w:tcBorders>
              <w:top w:val="single" w:sz="1" w:space="0" w:color="000000"/>
              <w:bottom w:val="single" w:sz="1" w:space="0" w:color="000000"/>
            </w:tcBorders>
          </w:tcPr>
          <w:p>
            <w:pPr>
              <w:pStyle w:val="TableParagraph"/>
              <w:spacing w:before="39"/>
              <w:ind w:right="169"/>
              <w:jc w:val="right"/>
              <w:rPr>
                <w:sz w:val="14"/>
              </w:rPr>
            </w:pPr>
            <w:r>
              <w:rPr>
                <w:w w:val="95"/>
                <w:sz w:val="14"/>
              </w:rPr>
              <w:t>218,750</w:t>
            </w:r>
          </w:p>
        </w:tc>
        <w:tc>
          <w:tcPr>
            <w:tcW w:w="695" w:type="dxa"/>
            <w:tcBorders>
              <w:top w:val="single" w:sz="1" w:space="0" w:color="000000"/>
              <w:bottom w:val="single" w:sz="1" w:space="0" w:color="000000"/>
            </w:tcBorders>
          </w:tcPr>
          <w:p>
            <w:pPr>
              <w:pStyle w:val="TableParagraph"/>
              <w:spacing w:before="39"/>
              <w:ind w:right="67"/>
              <w:jc w:val="right"/>
              <w:rPr>
                <w:sz w:val="14"/>
              </w:rPr>
            </w:pPr>
            <w:r>
              <w:rPr>
                <w:w w:val="95"/>
                <w:sz w:val="14"/>
              </w:rPr>
              <w:t>223,757</w:t>
            </w:r>
          </w:p>
        </w:tc>
      </w:tr>
      <w:tr>
        <w:trPr>
          <w:trHeight w:val="252" w:hRule="exact"/>
        </w:trPr>
        <w:tc>
          <w:tcPr>
            <w:tcW w:w="5411" w:type="dxa"/>
          </w:tcPr>
          <w:p>
            <w:pPr>
              <w:pStyle w:val="TableParagraph"/>
              <w:spacing w:before="42"/>
              <w:ind w:left="35"/>
              <w:rPr>
                <w:sz w:val="14"/>
              </w:rPr>
            </w:pPr>
            <w:r>
              <w:rPr>
                <w:sz w:val="14"/>
              </w:rPr>
              <w:t>Cash Payable/(Receivable) at the end of the year</w:t>
            </w:r>
          </w:p>
        </w:tc>
        <w:tc>
          <w:tcPr>
            <w:tcW w:w="1901" w:type="dxa"/>
          </w:tcPr>
          <w:p>
            <w:pPr/>
          </w:p>
        </w:tc>
        <w:tc>
          <w:tcPr>
            <w:tcW w:w="947" w:type="dxa"/>
            <w:tcBorders>
              <w:top w:val="single" w:sz="1" w:space="0" w:color="000000"/>
              <w:bottom w:val="single" w:sz="1" w:space="0" w:color="000000"/>
            </w:tcBorders>
          </w:tcPr>
          <w:p>
            <w:pPr>
              <w:pStyle w:val="TableParagraph"/>
              <w:spacing w:before="39"/>
              <w:ind w:right="123"/>
              <w:jc w:val="right"/>
              <w:rPr>
                <w:sz w:val="14"/>
              </w:rPr>
            </w:pPr>
            <w:r>
              <w:rPr>
                <w:w w:val="95"/>
                <w:sz w:val="14"/>
              </w:rPr>
              <w:t>(2,533)</w:t>
            </w:r>
          </w:p>
        </w:tc>
        <w:tc>
          <w:tcPr>
            <w:tcW w:w="836" w:type="dxa"/>
            <w:tcBorders>
              <w:top w:val="single" w:sz="1" w:space="0" w:color="000000"/>
              <w:bottom w:val="single" w:sz="1" w:space="0" w:color="000000"/>
            </w:tcBorders>
          </w:tcPr>
          <w:p>
            <w:pPr>
              <w:pStyle w:val="TableParagraph"/>
              <w:spacing w:before="39"/>
              <w:ind w:right="209"/>
              <w:jc w:val="right"/>
              <w:rPr>
                <w:sz w:val="14"/>
              </w:rPr>
            </w:pPr>
            <w:r>
              <w:rPr>
                <w:sz w:val="14"/>
              </w:rPr>
              <w:t>1,416</w:t>
            </w:r>
          </w:p>
        </w:tc>
        <w:tc>
          <w:tcPr>
            <w:tcW w:w="844" w:type="dxa"/>
            <w:tcBorders>
              <w:top w:val="single" w:sz="1" w:space="0" w:color="000000"/>
              <w:bottom w:val="single" w:sz="1" w:space="0" w:color="000000"/>
            </w:tcBorders>
          </w:tcPr>
          <w:p>
            <w:pPr>
              <w:pStyle w:val="TableParagraph"/>
              <w:spacing w:before="39"/>
              <w:ind w:left="334" w:right="141"/>
              <w:jc w:val="center"/>
              <w:rPr>
                <w:sz w:val="14"/>
              </w:rPr>
            </w:pPr>
            <w:r>
              <w:rPr>
                <w:sz w:val="14"/>
              </w:rPr>
              <w:t>(744)</w:t>
            </w:r>
          </w:p>
        </w:tc>
        <w:tc>
          <w:tcPr>
            <w:tcW w:w="859" w:type="dxa"/>
            <w:tcBorders>
              <w:top w:val="single" w:sz="1" w:space="0" w:color="000000"/>
              <w:bottom w:val="single" w:sz="1" w:space="0" w:color="000000"/>
            </w:tcBorders>
          </w:tcPr>
          <w:p>
            <w:pPr>
              <w:pStyle w:val="TableParagraph"/>
              <w:spacing w:before="39"/>
              <w:ind w:right="224"/>
              <w:jc w:val="right"/>
              <w:rPr>
                <w:sz w:val="14"/>
              </w:rPr>
            </w:pPr>
            <w:r>
              <w:rPr>
                <w:w w:val="95"/>
                <w:sz w:val="14"/>
              </w:rPr>
              <w:t>(1,263)</w:t>
            </w:r>
          </w:p>
        </w:tc>
        <w:tc>
          <w:tcPr>
            <w:tcW w:w="821" w:type="dxa"/>
            <w:tcBorders>
              <w:top w:val="single" w:sz="1" w:space="0" w:color="000000"/>
              <w:bottom w:val="single" w:sz="1" w:space="0" w:color="000000"/>
            </w:tcBorders>
          </w:tcPr>
          <w:p>
            <w:pPr>
              <w:pStyle w:val="TableParagraph"/>
              <w:spacing w:before="39"/>
              <w:ind w:right="200"/>
              <w:jc w:val="right"/>
              <w:rPr>
                <w:sz w:val="14"/>
              </w:rPr>
            </w:pPr>
            <w:r>
              <w:rPr>
                <w:sz w:val="14"/>
              </w:rPr>
              <w:t>(422)</w:t>
            </w:r>
          </w:p>
        </w:tc>
        <w:tc>
          <w:tcPr>
            <w:tcW w:w="744" w:type="dxa"/>
            <w:tcBorders>
              <w:top w:val="single" w:sz="1" w:space="0" w:color="000000"/>
              <w:bottom w:val="single" w:sz="1" w:space="0" w:color="000000"/>
            </w:tcBorders>
          </w:tcPr>
          <w:p>
            <w:pPr>
              <w:pStyle w:val="TableParagraph"/>
              <w:spacing w:before="39"/>
              <w:ind w:left="249" w:right="127"/>
              <w:jc w:val="center"/>
              <w:rPr>
                <w:sz w:val="14"/>
              </w:rPr>
            </w:pPr>
            <w:r>
              <w:rPr>
                <w:sz w:val="14"/>
              </w:rPr>
              <w:t>(520)</w:t>
            </w:r>
          </w:p>
        </w:tc>
        <w:tc>
          <w:tcPr>
            <w:tcW w:w="821" w:type="dxa"/>
            <w:tcBorders>
              <w:top w:val="single" w:sz="1" w:space="0" w:color="000000"/>
              <w:bottom w:val="single" w:sz="1" w:space="0" w:color="000000"/>
            </w:tcBorders>
          </w:tcPr>
          <w:p>
            <w:pPr>
              <w:pStyle w:val="TableParagraph"/>
              <w:spacing w:before="39"/>
              <w:ind w:right="123"/>
              <w:jc w:val="right"/>
              <w:rPr>
                <w:sz w:val="14"/>
              </w:rPr>
            </w:pPr>
            <w:r>
              <w:rPr>
                <w:w w:val="95"/>
                <w:sz w:val="14"/>
              </w:rPr>
              <w:t>(3,699)</w:t>
            </w:r>
          </w:p>
        </w:tc>
        <w:tc>
          <w:tcPr>
            <w:tcW w:w="695" w:type="dxa"/>
            <w:tcBorders>
              <w:top w:val="single" w:sz="1" w:space="0" w:color="000000"/>
              <w:bottom w:val="single" w:sz="1" w:space="0" w:color="000000"/>
            </w:tcBorders>
          </w:tcPr>
          <w:p>
            <w:pPr>
              <w:pStyle w:val="TableParagraph"/>
              <w:spacing w:before="39"/>
              <w:ind w:right="21"/>
              <w:jc w:val="right"/>
              <w:rPr>
                <w:sz w:val="14"/>
              </w:rPr>
            </w:pPr>
            <w:r>
              <w:rPr>
                <w:sz w:val="14"/>
              </w:rPr>
              <w:t>(367)</w:t>
            </w:r>
          </w:p>
        </w:tc>
      </w:tr>
    </w:tbl>
    <w:p>
      <w:pPr>
        <w:pStyle w:val="BodyText"/>
        <w:rPr>
          <w:b/>
          <w:sz w:val="20"/>
        </w:rPr>
      </w:pPr>
    </w:p>
    <w:p>
      <w:pPr>
        <w:spacing w:before="81"/>
        <w:ind w:left="1636" w:right="214" w:firstLine="0"/>
        <w:jc w:val="left"/>
        <w:rPr>
          <w:sz w:val="14"/>
        </w:rPr>
      </w:pPr>
      <w:r>
        <w:rPr>
          <w:sz w:val="14"/>
        </w:rPr>
        <w:t>#4 Program is in respect of FEE-HELP for Higher Education only and excludes funds received in respect of VET FEE-HELP</w:t>
      </w:r>
    </w:p>
    <w:p>
      <w:pPr>
        <w:spacing w:after="0"/>
        <w:jc w:val="left"/>
        <w:rPr>
          <w:sz w:val="14"/>
        </w:rPr>
        <w:sectPr>
          <w:type w:val="continuous"/>
          <w:pgSz w:w="16840" w:h="11910" w:orient="landscape"/>
          <w:pgMar w:top="1580" w:bottom="280" w:left="900" w:right="880"/>
        </w:sectPr>
      </w:pPr>
    </w:p>
    <w:p>
      <w:pPr>
        <w:pStyle w:val="BodyText"/>
        <w:rPr>
          <w:sz w:val="20"/>
        </w:rPr>
      </w:pPr>
    </w:p>
    <w:p>
      <w:pPr>
        <w:pStyle w:val="BodyText"/>
        <w:rPr>
          <w:sz w:val="20"/>
        </w:rPr>
      </w:pPr>
    </w:p>
    <w:p>
      <w:pPr>
        <w:pStyle w:val="BodyText"/>
        <w:spacing w:before="9"/>
        <w:rPr>
          <w:sz w:val="11"/>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4"/>
        <w:gridCol w:w="7351"/>
        <w:gridCol w:w="1747"/>
        <w:gridCol w:w="1760"/>
        <w:gridCol w:w="1656"/>
        <w:gridCol w:w="920"/>
        <w:gridCol w:w="617"/>
      </w:tblGrid>
      <w:tr>
        <w:trPr>
          <w:trHeight w:val="823" w:hRule="exact"/>
        </w:trPr>
        <w:tc>
          <w:tcPr>
            <w:tcW w:w="424" w:type="dxa"/>
          </w:tcPr>
          <w:p>
            <w:pPr>
              <w:pStyle w:val="TableParagraph"/>
              <w:spacing w:before="77"/>
              <w:ind w:left="35"/>
              <w:rPr>
                <w:b/>
                <w:sz w:val="18"/>
              </w:rPr>
            </w:pPr>
            <w:bookmarkStart w:name="(c) Department of Education and Training" w:id="162"/>
            <w:bookmarkEnd w:id="162"/>
            <w:r>
              <w:rPr/>
            </w:r>
            <w:r>
              <w:rPr>
                <w:b/>
                <w:sz w:val="18"/>
              </w:rPr>
              <w:t>40</w:t>
            </w:r>
          </w:p>
          <w:p>
            <w:pPr>
              <w:pStyle w:val="TableParagraph"/>
              <w:spacing w:before="7"/>
              <w:rPr>
                <w:sz w:val="26"/>
              </w:rPr>
            </w:pPr>
          </w:p>
          <w:p>
            <w:pPr>
              <w:pStyle w:val="TableParagraph"/>
              <w:ind w:left="35"/>
              <w:rPr>
                <w:sz w:val="18"/>
              </w:rPr>
            </w:pPr>
            <w:r>
              <w:rPr>
                <w:sz w:val="18"/>
              </w:rPr>
              <w:t>(c)</w:t>
            </w:r>
          </w:p>
        </w:tc>
        <w:tc>
          <w:tcPr>
            <w:tcW w:w="7351" w:type="dxa"/>
          </w:tcPr>
          <w:p>
            <w:pPr>
              <w:pStyle w:val="TableParagraph"/>
              <w:spacing w:before="77"/>
              <w:ind w:left="177"/>
              <w:rPr>
                <w:b/>
                <w:sz w:val="18"/>
              </w:rPr>
            </w:pPr>
            <w:r>
              <w:rPr>
                <w:b/>
                <w:sz w:val="18"/>
              </w:rPr>
              <w:t>Acquittal of Australian Government Financial Assistance (continued)</w:t>
            </w:r>
          </w:p>
          <w:p>
            <w:pPr>
              <w:pStyle w:val="TableParagraph"/>
              <w:spacing w:before="7"/>
              <w:rPr>
                <w:sz w:val="26"/>
              </w:rPr>
            </w:pPr>
          </w:p>
          <w:p>
            <w:pPr>
              <w:pStyle w:val="TableParagraph"/>
              <w:ind w:left="177"/>
              <w:rPr>
                <w:sz w:val="18"/>
              </w:rPr>
            </w:pPr>
            <w:r>
              <w:rPr>
                <w:sz w:val="18"/>
              </w:rPr>
              <w:t>Department of Education and Training Research</w:t>
            </w:r>
          </w:p>
        </w:tc>
        <w:tc>
          <w:tcPr>
            <w:tcW w:w="6701" w:type="dxa"/>
            <w:gridSpan w:val="5"/>
          </w:tcPr>
          <w:p>
            <w:pPr/>
          </w:p>
        </w:tc>
      </w:tr>
      <w:tr>
        <w:trPr>
          <w:trHeight w:val="374" w:hRule="exact"/>
        </w:trPr>
        <w:tc>
          <w:tcPr>
            <w:tcW w:w="424" w:type="dxa"/>
          </w:tcPr>
          <w:p>
            <w:pPr/>
          </w:p>
        </w:tc>
        <w:tc>
          <w:tcPr>
            <w:tcW w:w="7351" w:type="dxa"/>
          </w:tcPr>
          <w:p>
            <w:pPr/>
          </w:p>
        </w:tc>
        <w:tc>
          <w:tcPr>
            <w:tcW w:w="1747" w:type="dxa"/>
          </w:tcPr>
          <w:p>
            <w:pPr/>
          </w:p>
        </w:tc>
        <w:tc>
          <w:tcPr>
            <w:tcW w:w="1760" w:type="dxa"/>
          </w:tcPr>
          <w:p>
            <w:pPr>
              <w:pStyle w:val="TableParagraph"/>
              <w:spacing w:before="11"/>
              <w:ind w:left="453" w:hanging="221"/>
              <w:rPr>
                <w:b/>
                <w:sz w:val="14"/>
              </w:rPr>
            </w:pPr>
            <w:r>
              <w:rPr>
                <w:b/>
                <w:sz w:val="14"/>
              </w:rPr>
              <w:t>Research Training Program #5</w:t>
            </w:r>
          </w:p>
        </w:tc>
        <w:tc>
          <w:tcPr>
            <w:tcW w:w="1656" w:type="dxa"/>
          </w:tcPr>
          <w:p>
            <w:pPr>
              <w:pStyle w:val="TableParagraph"/>
              <w:spacing w:before="11"/>
              <w:ind w:left="344" w:hanging="214"/>
              <w:rPr>
                <w:b/>
                <w:sz w:val="14"/>
              </w:rPr>
            </w:pPr>
            <w:r>
              <w:rPr>
                <w:b/>
                <w:sz w:val="14"/>
              </w:rPr>
              <w:t>Research Support Program #6</w:t>
            </w:r>
          </w:p>
        </w:tc>
        <w:tc>
          <w:tcPr>
            <w:tcW w:w="920" w:type="dxa"/>
          </w:tcPr>
          <w:p>
            <w:pPr>
              <w:pStyle w:val="TableParagraph"/>
              <w:spacing w:before="11"/>
              <w:rPr>
                <w:sz w:val="14"/>
              </w:rPr>
            </w:pPr>
          </w:p>
          <w:p>
            <w:pPr>
              <w:pStyle w:val="TableParagraph"/>
              <w:ind w:left="560"/>
              <w:rPr>
                <w:b/>
                <w:sz w:val="14"/>
              </w:rPr>
            </w:pPr>
            <w:r>
              <w:rPr>
                <w:b/>
                <w:sz w:val="14"/>
              </w:rPr>
              <w:t>Total</w:t>
            </w:r>
          </w:p>
        </w:tc>
        <w:tc>
          <w:tcPr>
            <w:tcW w:w="617" w:type="dxa"/>
          </w:tcPr>
          <w:p>
            <w:pPr/>
          </w:p>
        </w:tc>
      </w:tr>
      <w:tr>
        <w:trPr>
          <w:trHeight w:val="228" w:hRule="exact"/>
        </w:trPr>
        <w:tc>
          <w:tcPr>
            <w:tcW w:w="424" w:type="dxa"/>
          </w:tcPr>
          <w:p>
            <w:pPr/>
          </w:p>
        </w:tc>
        <w:tc>
          <w:tcPr>
            <w:tcW w:w="7351" w:type="dxa"/>
          </w:tcPr>
          <w:p>
            <w:pPr/>
          </w:p>
        </w:tc>
        <w:tc>
          <w:tcPr>
            <w:tcW w:w="1747" w:type="dxa"/>
          </w:tcPr>
          <w:p>
            <w:pPr/>
          </w:p>
        </w:tc>
        <w:tc>
          <w:tcPr>
            <w:tcW w:w="1760" w:type="dxa"/>
          </w:tcPr>
          <w:p>
            <w:pPr>
              <w:pStyle w:val="TableParagraph"/>
              <w:tabs>
                <w:tab w:pos="1084" w:val="left" w:leader="none"/>
              </w:tabs>
              <w:spacing w:before="26"/>
              <w:ind w:left="268"/>
              <w:rPr>
                <w:b/>
                <w:sz w:val="14"/>
              </w:rPr>
            </w:pPr>
            <w:r>
              <w:rPr>
                <w:b/>
                <w:sz w:val="14"/>
              </w:rPr>
              <w:t>2017</w:t>
              <w:tab/>
              <w:t>2016</w:t>
            </w:r>
          </w:p>
        </w:tc>
        <w:tc>
          <w:tcPr>
            <w:tcW w:w="1656" w:type="dxa"/>
          </w:tcPr>
          <w:p>
            <w:pPr>
              <w:pStyle w:val="TableParagraph"/>
              <w:tabs>
                <w:tab w:pos="973" w:val="left" w:leader="none"/>
              </w:tabs>
              <w:spacing w:before="26"/>
              <w:ind w:left="159"/>
              <w:rPr>
                <w:b/>
                <w:sz w:val="14"/>
              </w:rPr>
            </w:pPr>
            <w:r>
              <w:rPr>
                <w:b/>
                <w:sz w:val="14"/>
              </w:rPr>
              <w:t>2017</w:t>
              <w:tab/>
              <w:t>2016</w:t>
            </w:r>
          </w:p>
        </w:tc>
        <w:tc>
          <w:tcPr>
            <w:tcW w:w="920" w:type="dxa"/>
          </w:tcPr>
          <w:p>
            <w:pPr>
              <w:pStyle w:val="TableParagraph"/>
              <w:spacing w:before="26"/>
              <w:ind w:left="157"/>
              <w:rPr>
                <w:b/>
                <w:sz w:val="14"/>
              </w:rPr>
            </w:pPr>
            <w:r>
              <w:rPr>
                <w:b/>
                <w:sz w:val="14"/>
              </w:rPr>
              <w:t>2017</w:t>
            </w:r>
          </w:p>
        </w:tc>
        <w:tc>
          <w:tcPr>
            <w:tcW w:w="617" w:type="dxa"/>
          </w:tcPr>
          <w:p>
            <w:pPr>
              <w:pStyle w:val="TableParagraph"/>
              <w:spacing w:before="26"/>
              <w:ind w:left="48" w:right="-2"/>
              <w:rPr>
                <w:b/>
                <w:sz w:val="14"/>
              </w:rPr>
            </w:pPr>
            <w:r>
              <w:rPr>
                <w:b/>
                <w:sz w:val="14"/>
              </w:rPr>
              <w:t>2016</w:t>
            </w:r>
          </w:p>
        </w:tc>
      </w:tr>
      <w:tr>
        <w:trPr>
          <w:trHeight w:val="224" w:hRule="exact"/>
        </w:trPr>
        <w:tc>
          <w:tcPr>
            <w:tcW w:w="424" w:type="dxa"/>
          </w:tcPr>
          <w:p>
            <w:pPr/>
          </w:p>
        </w:tc>
        <w:tc>
          <w:tcPr>
            <w:tcW w:w="7351" w:type="dxa"/>
          </w:tcPr>
          <w:p>
            <w:pPr>
              <w:pStyle w:val="TableParagraph"/>
              <w:spacing w:before="26"/>
              <w:ind w:left="210"/>
              <w:rPr>
                <w:b/>
                <w:sz w:val="14"/>
              </w:rPr>
            </w:pPr>
            <w:r>
              <w:rPr>
                <w:b/>
                <w:sz w:val="14"/>
              </w:rPr>
              <w:t>Parent Entity (University) Only</w:t>
            </w:r>
          </w:p>
        </w:tc>
        <w:tc>
          <w:tcPr>
            <w:tcW w:w="1747" w:type="dxa"/>
          </w:tcPr>
          <w:p>
            <w:pPr>
              <w:pStyle w:val="TableParagraph"/>
              <w:spacing w:before="26"/>
              <w:ind w:right="98"/>
              <w:jc w:val="right"/>
              <w:rPr>
                <w:b/>
                <w:sz w:val="14"/>
              </w:rPr>
            </w:pPr>
            <w:r>
              <w:rPr>
                <w:b/>
                <w:sz w:val="14"/>
              </w:rPr>
              <w:t>Note</w:t>
            </w:r>
          </w:p>
        </w:tc>
        <w:tc>
          <w:tcPr>
            <w:tcW w:w="1760" w:type="dxa"/>
          </w:tcPr>
          <w:p>
            <w:pPr>
              <w:pStyle w:val="TableParagraph"/>
              <w:tabs>
                <w:tab w:pos="1067" w:val="left" w:leader="none"/>
              </w:tabs>
              <w:spacing w:before="26"/>
              <w:ind w:left="252"/>
              <w:rPr>
                <w:b/>
                <w:sz w:val="14"/>
              </w:rPr>
            </w:pPr>
            <w:r>
              <w:rPr>
                <w:b/>
                <w:sz w:val="14"/>
              </w:rPr>
              <w:t>$'000</w:t>
              <w:tab/>
              <w:t>$'000</w:t>
            </w:r>
          </w:p>
        </w:tc>
        <w:tc>
          <w:tcPr>
            <w:tcW w:w="1656" w:type="dxa"/>
          </w:tcPr>
          <w:p>
            <w:pPr>
              <w:pStyle w:val="TableParagraph"/>
              <w:tabs>
                <w:tab w:pos="956" w:val="left" w:leader="none"/>
              </w:tabs>
              <w:spacing w:before="26"/>
              <w:ind w:left="142"/>
              <w:rPr>
                <w:b/>
                <w:sz w:val="14"/>
              </w:rPr>
            </w:pPr>
            <w:r>
              <w:rPr>
                <w:b/>
                <w:sz w:val="14"/>
              </w:rPr>
              <w:t>$'000</w:t>
              <w:tab/>
              <w:t>$'000</w:t>
            </w:r>
          </w:p>
        </w:tc>
        <w:tc>
          <w:tcPr>
            <w:tcW w:w="920" w:type="dxa"/>
          </w:tcPr>
          <w:p>
            <w:pPr>
              <w:pStyle w:val="TableParagraph"/>
              <w:spacing w:before="26"/>
              <w:ind w:left="140"/>
              <w:rPr>
                <w:b/>
                <w:sz w:val="14"/>
              </w:rPr>
            </w:pPr>
            <w:r>
              <w:rPr>
                <w:b/>
                <w:sz w:val="14"/>
              </w:rPr>
              <w:t>$'000</w:t>
            </w:r>
          </w:p>
        </w:tc>
        <w:tc>
          <w:tcPr>
            <w:tcW w:w="617" w:type="dxa"/>
          </w:tcPr>
          <w:p>
            <w:pPr>
              <w:pStyle w:val="TableParagraph"/>
              <w:spacing w:before="26"/>
              <w:ind w:left="31" w:right="-2"/>
              <w:rPr>
                <w:b/>
                <w:sz w:val="14"/>
              </w:rPr>
            </w:pPr>
            <w:r>
              <w:rPr>
                <w:b/>
                <w:sz w:val="14"/>
              </w:rPr>
              <w:t>$'000</w:t>
            </w:r>
          </w:p>
        </w:tc>
      </w:tr>
      <w:tr>
        <w:trPr>
          <w:trHeight w:val="379" w:hRule="exact"/>
        </w:trPr>
        <w:tc>
          <w:tcPr>
            <w:tcW w:w="424" w:type="dxa"/>
          </w:tcPr>
          <w:p>
            <w:pPr/>
          </w:p>
        </w:tc>
        <w:tc>
          <w:tcPr>
            <w:tcW w:w="7351" w:type="dxa"/>
          </w:tcPr>
          <w:p>
            <w:pPr>
              <w:pStyle w:val="TableParagraph"/>
              <w:spacing w:before="22"/>
              <w:ind w:left="210" w:right="1463"/>
              <w:rPr>
                <w:sz w:val="14"/>
              </w:rPr>
            </w:pPr>
            <w:r>
              <w:rPr>
                <w:sz w:val="14"/>
              </w:rPr>
              <w:t>Financial assistance received in CASH during the reporting period (total cash received from the Australian Government for the program)</w:t>
            </w:r>
          </w:p>
        </w:tc>
        <w:tc>
          <w:tcPr>
            <w:tcW w:w="1747" w:type="dxa"/>
          </w:tcPr>
          <w:p>
            <w:pPr/>
          </w:p>
        </w:tc>
        <w:tc>
          <w:tcPr>
            <w:tcW w:w="1760" w:type="dxa"/>
          </w:tcPr>
          <w:p>
            <w:pPr>
              <w:pStyle w:val="TableParagraph"/>
              <w:spacing w:before="8"/>
              <w:rPr>
                <w:sz w:val="15"/>
              </w:rPr>
            </w:pPr>
          </w:p>
          <w:p>
            <w:pPr>
              <w:pStyle w:val="TableParagraph"/>
              <w:tabs>
                <w:tab w:pos="1161" w:val="left" w:leader="none"/>
              </w:tabs>
              <w:ind w:left="357"/>
              <w:rPr>
                <w:sz w:val="14"/>
              </w:rPr>
            </w:pPr>
            <w:r>
              <w:rPr>
                <w:sz w:val="14"/>
              </w:rPr>
              <w:t>10,632</w:t>
              <w:tab/>
              <w:t>10,705</w:t>
            </w:r>
          </w:p>
        </w:tc>
        <w:tc>
          <w:tcPr>
            <w:tcW w:w="1656" w:type="dxa"/>
          </w:tcPr>
          <w:p>
            <w:pPr>
              <w:pStyle w:val="TableParagraph"/>
              <w:spacing w:before="8"/>
              <w:rPr>
                <w:sz w:val="15"/>
              </w:rPr>
            </w:pPr>
          </w:p>
          <w:p>
            <w:pPr>
              <w:pStyle w:val="TableParagraph"/>
              <w:tabs>
                <w:tab w:pos="799" w:val="left" w:leader="none"/>
              </w:tabs>
              <w:ind w:right="185"/>
              <w:jc w:val="right"/>
              <w:rPr>
                <w:sz w:val="14"/>
              </w:rPr>
            </w:pPr>
            <w:r>
              <w:rPr>
                <w:sz w:val="14"/>
              </w:rPr>
              <w:t>7,623</w:t>
              <w:tab/>
            </w:r>
            <w:r>
              <w:rPr>
                <w:spacing w:val="-2"/>
                <w:sz w:val="14"/>
              </w:rPr>
              <w:t>5,884</w:t>
            </w:r>
          </w:p>
        </w:tc>
        <w:tc>
          <w:tcPr>
            <w:tcW w:w="920" w:type="dxa"/>
          </w:tcPr>
          <w:p>
            <w:pPr>
              <w:pStyle w:val="TableParagraph"/>
              <w:spacing w:before="8"/>
              <w:rPr>
                <w:sz w:val="15"/>
              </w:rPr>
            </w:pPr>
          </w:p>
          <w:p>
            <w:pPr>
              <w:pStyle w:val="TableParagraph"/>
              <w:ind w:left="243"/>
              <w:rPr>
                <w:sz w:val="14"/>
              </w:rPr>
            </w:pPr>
            <w:r>
              <w:rPr>
                <w:sz w:val="14"/>
              </w:rPr>
              <w:t>18,255</w:t>
            </w:r>
          </w:p>
        </w:tc>
        <w:tc>
          <w:tcPr>
            <w:tcW w:w="617" w:type="dxa"/>
          </w:tcPr>
          <w:p>
            <w:pPr>
              <w:pStyle w:val="TableParagraph"/>
              <w:spacing w:before="8"/>
              <w:rPr>
                <w:sz w:val="15"/>
              </w:rPr>
            </w:pPr>
          </w:p>
          <w:p>
            <w:pPr>
              <w:pStyle w:val="TableParagraph"/>
              <w:ind w:left="122" w:right="-2"/>
              <w:rPr>
                <w:sz w:val="14"/>
              </w:rPr>
            </w:pPr>
            <w:r>
              <w:rPr>
                <w:sz w:val="14"/>
              </w:rPr>
              <w:t>16,589</w:t>
            </w:r>
          </w:p>
        </w:tc>
      </w:tr>
      <w:tr>
        <w:trPr>
          <w:trHeight w:val="217" w:hRule="exact"/>
        </w:trPr>
        <w:tc>
          <w:tcPr>
            <w:tcW w:w="424" w:type="dxa"/>
          </w:tcPr>
          <w:p>
            <w:pPr/>
          </w:p>
        </w:tc>
        <w:tc>
          <w:tcPr>
            <w:tcW w:w="7351" w:type="dxa"/>
          </w:tcPr>
          <w:p>
            <w:pPr>
              <w:pStyle w:val="TableParagraph"/>
              <w:spacing w:before="22"/>
              <w:ind w:left="210"/>
              <w:rPr>
                <w:sz w:val="14"/>
              </w:rPr>
            </w:pPr>
            <w:r>
              <w:rPr>
                <w:sz w:val="14"/>
              </w:rPr>
              <w:t>Net accrual adjustments</w:t>
            </w:r>
          </w:p>
        </w:tc>
        <w:tc>
          <w:tcPr>
            <w:tcW w:w="1747" w:type="dxa"/>
          </w:tcPr>
          <w:p>
            <w:pPr/>
          </w:p>
        </w:tc>
        <w:tc>
          <w:tcPr>
            <w:tcW w:w="1760" w:type="dxa"/>
            <w:tcBorders>
              <w:bottom w:val="single" w:sz="1" w:space="0" w:color="000000"/>
            </w:tcBorders>
          </w:tcPr>
          <w:p>
            <w:pPr>
              <w:pStyle w:val="TableParagraph"/>
              <w:tabs>
                <w:tab w:pos="803" w:val="left" w:leader="none"/>
              </w:tabs>
              <w:spacing w:before="20"/>
              <w:ind w:right="173"/>
              <w:jc w:val="right"/>
              <w:rPr>
                <w:sz w:val="14"/>
              </w:rPr>
            </w:pPr>
            <w:r>
              <w:rPr>
                <w:sz w:val="14"/>
              </w:rPr>
              <w:t>-</w:t>
              <w:tab/>
            </w:r>
            <w:r>
              <w:rPr>
                <w:w w:val="95"/>
                <w:sz w:val="14"/>
              </w:rPr>
              <w:t>-</w:t>
            </w:r>
          </w:p>
        </w:tc>
        <w:tc>
          <w:tcPr>
            <w:tcW w:w="1656" w:type="dxa"/>
            <w:tcBorders>
              <w:bottom w:val="single" w:sz="1" w:space="0" w:color="000000"/>
            </w:tcBorders>
          </w:tcPr>
          <w:p>
            <w:pPr>
              <w:pStyle w:val="TableParagraph"/>
              <w:tabs>
                <w:tab w:pos="499" w:val="left" w:leader="none"/>
              </w:tabs>
              <w:spacing w:before="20"/>
              <w:ind w:right="185"/>
              <w:jc w:val="right"/>
              <w:rPr>
                <w:sz w:val="14"/>
              </w:rPr>
            </w:pPr>
            <w:r>
              <w:rPr>
                <w:sz w:val="14"/>
              </w:rPr>
              <w:t>-</w:t>
              <w:tab/>
            </w:r>
            <w:r>
              <w:rPr>
                <w:spacing w:val="-2"/>
                <w:sz w:val="14"/>
              </w:rPr>
              <w:t>1,578</w:t>
            </w:r>
          </w:p>
        </w:tc>
        <w:tc>
          <w:tcPr>
            <w:tcW w:w="920" w:type="dxa"/>
            <w:tcBorders>
              <w:bottom w:val="single" w:sz="1" w:space="0" w:color="000000"/>
            </w:tcBorders>
          </w:tcPr>
          <w:p>
            <w:pPr>
              <w:pStyle w:val="TableParagraph"/>
              <w:spacing w:before="20"/>
              <w:ind w:right="251"/>
              <w:jc w:val="right"/>
              <w:rPr>
                <w:sz w:val="14"/>
              </w:rPr>
            </w:pPr>
            <w:r>
              <w:rPr>
                <w:w w:val="99"/>
                <w:sz w:val="14"/>
              </w:rPr>
              <w:t>-</w:t>
            </w:r>
          </w:p>
        </w:tc>
        <w:tc>
          <w:tcPr>
            <w:tcW w:w="617" w:type="dxa"/>
            <w:tcBorders>
              <w:bottom w:val="single" w:sz="1" w:space="0" w:color="000000"/>
            </w:tcBorders>
          </w:tcPr>
          <w:p>
            <w:pPr>
              <w:pStyle w:val="TableParagraph"/>
              <w:spacing w:before="20"/>
              <w:ind w:right="69"/>
              <w:jc w:val="right"/>
              <w:rPr>
                <w:sz w:val="14"/>
              </w:rPr>
            </w:pPr>
            <w:r>
              <w:rPr>
                <w:sz w:val="14"/>
              </w:rPr>
              <w:t>1,578</w:t>
            </w:r>
          </w:p>
        </w:tc>
      </w:tr>
      <w:tr>
        <w:trPr>
          <w:trHeight w:val="238" w:hRule="exact"/>
        </w:trPr>
        <w:tc>
          <w:tcPr>
            <w:tcW w:w="424" w:type="dxa"/>
          </w:tcPr>
          <w:p>
            <w:pPr/>
          </w:p>
        </w:tc>
        <w:tc>
          <w:tcPr>
            <w:tcW w:w="7351" w:type="dxa"/>
          </w:tcPr>
          <w:p>
            <w:pPr>
              <w:pStyle w:val="TableParagraph"/>
              <w:spacing w:before="42"/>
              <w:ind w:left="210"/>
              <w:rPr>
                <w:sz w:val="14"/>
              </w:rPr>
            </w:pPr>
            <w:r>
              <w:rPr>
                <w:sz w:val="14"/>
              </w:rPr>
              <w:t>Revenue for the period</w:t>
            </w:r>
          </w:p>
        </w:tc>
        <w:tc>
          <w:tcPr>
            <w:tcW w:w="1747" w:type="dxa"/>
          </w:tcPr>
          <w:p>
            <w:pPr>
              <w:pStyle w:val="TableParagraph"/>
              <w:spacing w:before="38"/>
              <w:ind w:right="240"/>
              <w:jc w:val="right"/>
              <w:rPr>
                <w:sz w:val="14"/>
              </w:rPr>
            </w:pPr>
            <w:r>
              <w:rPr>
                <w:sz w:val="14"/>
              </w:rPr>
              <w:t>2(c)</w:t>
            </w:r>
          </w:p>
        </w:tc>
        <w:tc>
          <w:tcPr>
            <w:tcW w:w="1760" w:type="dxa"/>
            <w:tcBorders>
              <w:top w:val="single" w:sz="1" w:space="0" w:color="000000"/>
              <w:bottom w:val="single" w:sz="1" w:space="0" w:color="000000"/>
            </w:tcBorders>
          </w:tcPr>
          <w:p>
            <w:pPr>
              <w:pStyle w:val="TableParagraph"/>
              <w:tabs>
                <w:tab w:pos="1161" w:val="left" w:leader="none"/>
              </w:tabs>
              <w:spacing w:before="39"/>
              <w:ind w:left="357"/>
              <w:rPr>
                <w:sz w:val="14"/>
              </w:rPr>
            </w:pPr>
            <w:r>
              <w:rPr>
                <w:sz w:val="14"/>
              </w:rPr>
              <w:t>10,632</w:t>
              <w:tab/>
              <w:t>10,705</w:t>
            </w:r>
          </w:p>
        </w:tc>
        <w:tc>
          <w:tcPr>
            <w:tcW w:w="1656" w:type="dxa"/>
            <w:tcBorders>
              <w:top w:val="single" w:sz="1" w:space="0" w:color="000000"/>
              <w:bottom w:val="single" w:sz="1" w:space="0" w:color="000000"/>
            </w:tcBorders>
          </w:tcPr>
          <w:p>
            <w:pPr>
              <w:pStyle w:val="TableParagraph"/>
              <w:tabs>
                <w:tab w:pos="799" w:val="left" w:leader="none"/>
              </w:tabs>
              <w:spacing w:before="39"/>
              <w:ind w:right="185"/>
              <w:jc w:val="right"/>
              <w:rPr>
                <w:sz w:val="14"/>
              </w:rPr>
            </w:pPr>
            <w:r>
              <w:rPr>
                <w:sz w:val="14"/>
              </w:rPr>
              <w:t>7,623</w:t>
              <w:tab/>
            </w:r>
            <w:r>
              <w:rPr>
                <w:spacing w:val="-2"/>
                <w:sz w:val="14"/>
              </w:rPr>
              <w:t>7,462</w:t>
            </w:r>
          </w:p>
        </w:tc>
        <w:tc>
          <w:tcPr>
            <w:tcW w:w="920" w:type="dxa"/>
            <w:tcBorders>
              <w:top w:val="single" w:sz="1" w:space="0" w:color="000000"/>
              <w:bottom w:val="single" w:sz="1" w:space="0" w:color="000000"/>
            </w:tcBorders>
          </w:tcPr>
          <w:p>
            <w:pPr>
              <w:pStyle w:val="TableParagraph"/>
              <w:spacing w:before="39"/>
              <w:ind w:left="243"/>
              <w:rPr>
                <w:sz w:val="14"/>
              </w:rPr>
            </w:pPr>
            <w:r>
              <w:rPr>
                <w:sz w:val="14"/>
              </w:rPr>
              <w:t>18,255</w:t>
            </w:r>
          </w:p>
        </w:tc>
        <w:tc>
          <w:tcPr>
            <w:tcW w:w="617" w:type="dxa"/>
            <w:tcBorders>
              <w:top w:val="single" w:sz="1" w:space="0" w:color="000000"/>
              <w:bottom w:val="single" w:sz="1" w:space="0" w:color="000000"/>
            </w:tcBorders>
          </w:tcPr>
          <w:p>
            <w:pPr>
              <w:pStyle w:val="TableParagraph"/>
              <w:spacing w:before="39"/>
              <w:ind w:left="122" w:right="-2"/>
              <w:rPr>
                <w:sz w:val="14"/>
              </w:rPr>
            </w:pPr>
            <w:r>
              <w:rPr>
                <w:sz w:val="14"/>
              </w:rPr>
              <w:t>18,167</w:t>
            </w:r>
          </w:p>
        </w:tc>
      </w:tr>
      <w:tr>
        <w:trPr>
          <w:trHeight w:val="239" w:hRule="exact"/>
        </w:trPr>
        <w:tc>
          <w:tcPr>
            <w:tcW w:w="424" w:type="dxa"/>
          </w:tcPr>
          <w:p>
            <w:pPr/>
          </w:p>
        </w:tc>
        <w:tc>
          <w:tcPr>
            <w:tcW w:w="7351" w:type="dxa"/>
          </w:tcPr>
          <w:p>
            <w:pPr>
              <w:pStyle w:val="TableParagraph"/>
              <w:spacing w:before="42"/>
              <w:ind w:left="210"/>
              <w:rPr>
                <w:sz w:val="14"/>
              </w:rPr>
            </w:pPr>
            <w:r>
              <w:rPr>
                <w:sz w:val="14"/>
              </w:rPr>
              <w:t>Total revenue including accrued revenue</w:t>
            </w:r>
          </w:p>
        </w:tc>
        <w:tc>
          <w:tcPr>
            <w:tcW w:w="1747" w:type="dxa"/>
          </w:tcPr>
          <w:p>
            <w:pPr/>
          </w:p>
        </w:tc>
        <w:tc>
          <w:tcPr>
            <w:tcW w:w="1760" w:type="dxa"/>
            <w:tcBorders>
              <w:top w:val="single" w:sz="1" w:space="0" w:color="000000"/>
            </w:tcBorders>
          </w:tcPr>
          <w:p>
            <w:pPr>
              <w:pStyle w:val="TableParagraph"/>
              <w:tabs>
                <w:tab w:pos="1161" w:val="left" w:leader="none"/>
              </w:tabs>
              <w:spacing w:before="39"/>
              <w:ind w:left="357"/>
              <w:rPr>
                <w:sz w:val="14"/>
              </w:rPr>
            </w:pPr>
            <w:r>
              <w:rPr>
                <w:sz w:val="14"/>
              </w:rPr>
              <w:t>10,632</w:t>
              <w:tab/>
              <w:t>10,705</w:t>
            </w:r>
          </w:p>
        </w:tc>
        <w:tc>
          <w:tcPr>
            <w:tcW w:w="1656" w:type="dxa"/>
            <w:tcBorders>
              <w:top w:val="single" w:sz="1" w:space="0" w:color="000000"/>
            </w:tcBorders>
          </w:tcPr>
          <w:p>
            <w:pPr>
              <w:pStyle w:val="TableParagraph"/>
              <w:tabs>
                <w:tab w:pos="799" w:val="left" w:leader="none"/>
              </w:tabs>
              <w:spacing w:before="39"/>
              <w:ind w:right="185"/>
              <w:jc w:val="right"/>
              <w:rPr>
                <w:sz w:val="14"/>
              </w:rPr>
            </w:pPr>
            <w:r>
              <w:rPr>
                <w:sz w:val="14"/>
              </w:rPr>
              <w:t>7,623</w:t>
              <w:tab/>
            </w:r>
            <w:r>
              <w:rPr>
                <w:spacing w:val="-2"/>
                <w:sz w:val="14"/>
              </w:rPr>
              <w:t>7,462</w:t>
            </w:r>
          </w:p>
        </w:tc>
        <w:tc>
          <w:tcPr>
            <w:tcW w:w="920" w:type="dxa"/>
            <w:tcBorders>
              <w:top w:val="single" w:sz="1" w:space="0" w:color="000000"/>
            </w:tcBorders>
          </w:tcPr>
          <w:p>
            <w:pPr>
              <w:pStyle w:val="TableParagraph"/>
              <w:spacing w:before="39"/>
              <w:ind w:left="243"/>
              <w:rPr>
                <w:sz w:val="14"/>
              </w:rPr>
            </w:pPr>
            <w:r>
              <w:rPr>
                <w:sz w:val="14"/>
              </w:rPr>
              <w:t>18,255</w:t>
            </w:r>
          </w:p>
        </w:tc>
        <w:tc>
          <w:tcPr>
            <w:tcW w:w="617" w:type="dxa"/>
            <w:tcBorders>
              <w:top w:val="single" w:sz="1" w:space="0" w:color="000000"/>
            </w:tcBorders>
          </w:tcPr>
          <w:p>
            <w:pPr>
              <w:pStyle w:val="TableParagraph"/>
              <w:spacing w:before="39"/>
              <w:ind w:left="122" w:right="-2"/>
              <w:rPr>
                <w:sz w:val="14"/>
              </w:rPr>
            </w:pPr>
            <w:r>
              <w:rPr>
                <w:sz w:val="14"/>
              </w:rPr>
              <w:t>18,167</w:t>
            </w:r>
          </w:p>
        </w:tc>
      </w:tr>
      <w:tr>
        <w:trPr>
          <w:trHeight w:val="217" w:hRule="exact"/>
        </w:trPr>
        <w:tc>
          <w:tcPr>
            <w:tcW w:w="424" w:type="dxa"/>
          </w:tcPr>
          <w:p>
            <w:pPr/>
          </w:p>
        </w:tc>
        <w:tc>
          <w:tcPr>
            <w:tcW w:w="7351" w:type="dxa"/>
          </w:tcPr>
          <w:p>
            <w:pPr>
              <w:pStyle w:val="TableParagraph"/>
              <w:spacing w:before="22"/>
              <w:ind w:left="210"/>
              <w:rPr>
                <w:sz w:val="14"/>
              </w:rPr>
            </w:pPr>
            <w:r>
              <w:rPr>
                <w:sz w:val="14"/>
              </w:rPr>
              <w:t>Less expenses including accrued expenses</w:t>
            </w:r>
          </w:p>
        </w:tc>
        <w:tc>
          <w:tcPr>
            <w:tcW w:w="1747" w:type="dxa"/>
          </w:tcPr>
          <w:p>
            <w:pPr/>
          </w:p>
        </w:tc>
        <w:tc>
          <w:tcPr>
            <w:tcW w:w="1760" w:type="dxa"/>
            <w:tcBorders>
              <w:bottom w:val="single" w:sz="1" w:space="0" w:color="000000"/>
            </w:tcBorders>
          </w:tcPr>
          <w:p>
            <w:pPr>
              <w:pStyle w:val="TableParagraph"/>
              <w:tabs>
                <w:tab w:pos="803" w:val="left" w:leader="none"/>
              </w:tabs>
              <w:spacing w:before="20"/>
              <w:ind w:right="128"/>
              <w:jc w:val="right"/>
              <w:rPr>
                <w:sz w:val="14"/>
              </w:rPr>
            </w:pPr>
            <w:r>
              <w:rPr>
                <w:sz w:val="14"/>
              </w:rPr>
              <w:t>(10,632)</w:t>
              <w:tab/>
            </w:r>
            <w:r>
              <w:rPr>
                <w:spacing w:val="-1"/>
                <w:w w:val="95"/>
                <w:sz w:val="14"/>
              </w:rPr>
              <w:t>(10,705)</w:t>
            </w:r>
          </w:p>
        </w:tc>
        <w:tc>
          <w:tcPr>
            <w:tcW w:w="1656" w:type="dxa"/>
            <w:tcBorders>
              <w:bottom w:val="single" w:sz="1" w:space="0" w:color="000000"/>
            </w:tcBorders>
          </w:tcPr>
          <w:p>
            <w:pPr>
              <w:pStyle w:val="TableParagraph"/>
              <w:tabs>
                <w:tab w:pos="799" w:val="left" w:leader="none"/>
              </w:tabs>
              <w:spacing w:before="20"/>
              <w:ind w:right="138"/>
              <w:jc w:val="right"/>
              <w:rPr>
                <w:sz w:val="14"/>
              </w:rPr>
            </w:pPr>
            <w:r>
              <w:rPr>
                <w:sz w:val="14"/>
              </w:rPr>
              <w:t>(7,623)</w:t>
              <w:tab/>
            </w:r>
            <w:r>
              <w:rPr>
                <w:spacing w:val="-1"/>
                <w:w w:val="95"/>
                <w:sz w:val="14"/>
              </w:rPr>
              <w:t>(7,462)</w:t>
            </w:r>
          </w:p>
        </w:tc>
        <w:tc>
          <w:tcPr>
            <w:tcW w:w="920" w:type="dxa"/>
            <w:tcBorders>
              <w:bottom w:val="single" w:sz="1" w:space="0" w:color="000000"/>
            </w:tcBorders>
          </w:tcPr>
          <w:p>
            <w:pPr>
              <w:pStyle w:val="TableParagraph"/>
              <w:spacing w:before="20"/>
              <w:ind w:left="197"/>
              <w:rPr>
                <w:sz w:val="14"/>
              </w:rPr>
            </w:pPr>
            <w:r>
              <w:rPr>
                <w:sz w:val="14"/>
              </w:rPr>
              <w:t>(18,255)</w:t>
            </w:r>
          </w:p>
        </w:tc>
        <w:tc>
          <w:tcPr>
            <w:tcW w:w="617" w:type="dxa"/>
            <w:tcBorders>
              <w:bottom w:val="single" w:sz="1" w:space="0" w:color="000000"/>
            </w:tcBorders>
          </w:tcPr>
          <w:p>
            <w:pPr>
              <w:pStyle w:val="TableParagraph"/>
              <w:spacing w:before="20"/>
              <w:ind w:left="77" w:right="-2"/>
              <w:rPr>
                <w:sz w:val="14"/>
              </w:rPr>
            </w:pPr>
            <w:r>
              <w:rPr>
                <w:sz w:val="14"/>
              </w:rPr>
              <w:t>(18,167)</w:t>
            </w:r>
          </w:p>
        </w:tc>
      </w:tr>
      <w:tr>
        <w:trPr>
          <w:trHeight w:val="252" w:hRule="exact"/>
        </w:trPr>
        <w:tc>
          <w:tcPr>
            <w:tcW w:w="424" w:type="dxa"/>
          </w:tcPr>
          <w:p>
            <w:pPr/>
          </w:p>
        </w:tc>
        <w:tc>
          <w:tcPr>
            <w:tcW w:w="7351" w:type="dxa"/>
          </w:tcPr>
          <w:p>
            <w:pPr>
              <w:pStyle w:val="TableParagraph"/>
              <w:spacing w:before="42"/>
              <w:ind w:left="210"/>
              <w:rPr>
                <w:sz w:val="14"/>
              </w:rPr>
            </w:pPr>
            <w:r>
              <w:rPr>
                <w:sz w:val="14"/>
              </w:rPr>
              <w:t>Surplus/(deficit) for reporting period</w:t>
            </w:r>
          </w:p>
        </w:tc>
        <w:tc>
          <w:tcPr>
            <w:tcW w:w="1747" w:type="dxa"/>
          </w:tcPr>
          <w:p>
            <w:pPr/>
          </w:p>
        </w:tc>
        <w:tc>
          <w:tcPr>
            <w:tcW w:w="1760" w:type="dxa"/>
            <w:tcBorders>
              <w:top w:val="single" w:sz="1" w:space="0" w:color="000000"/>
              <w:bottom w:val="single" w:sz="1" w:space="0" w:color="000000"/>
            </w:tcBorders>
          </w:tcPr>
          <w:p>
            <w:pPr>
              <w:pStyle w:val="TableParagraph"/>
              <w:tabs>
                <w:tab w:pos="803" w:val="left" w:leader="none"/>
              </w:tabs>
              <w:spacing w:before="39"/>
              <w:ind w:right="173"/>
              <w:jc w:val="right"/>
              <w:rPr>
                <w:sz w:val="14"/>
              </w:rPr>
            </w:pPr>
            <w:r>
              <w:rPr>
                <w:sz w:val="14"/>
              </w:rPr>
              <w:t>-</w:t>
              <w:tab/>
            </w:r>
            <w:r>
              <w:rPr>
                <w:w w:val="95"/>
                <w:sz w:val="14"/>
              </w:rPr>
              <w:t>-</w:t>
            </w:r>
          </w:p>
        </w:tc>
        <w:tc>
          <w:tcPr>
            <w:tcW w:w="1656" w:type="dxa"/>
            <w:tcBorders>
              <w:top w:val="single" w:sz="1" w:space="0" w:color="000000"/>
              <w:bottom w:val="single" w:sz="1" w:space="0" w:color="000000"/>
            </w:tcBorders>
          </w:tcPr>
          <w:p>
            <w:pPr>
              <w:pStyle w:val="TableParagraph"/>
              <w:tabs>
                <w:tab w:pos="799" w:val="left" w:leader="none"/>
              </w:tabs>
              <w:spacing w:before="39"/>
              <w:ind w:right="183"/>
              <w:jc w:val="right"/>
              <w:rPr>
                <w:sz w:val="14"/>
              </w:rPr>
            </w:pPr>
            <w:r>
              <w:rPr>
                <w:sz w:val="14"/>
              </w:rPr>
              <w:t>-</w:t>
              <w:tab/>
            </w:r>
            <w:r>
              <w:rPr>
                <w:w w:val="95"/>
                <w:sz w:val="14"/>
              </w:rPr>
              <w:t>-</w:t>
            </w:r>
          </w:p>
        </w:tc>
        <w:tc>
          <w:tcPr>
            <w:tcW w:w="920" w:type="dxa"/>
            <w:tcBorders>
              <w:top w:val="single" w:sz="1" w:space="0" w:color="000000"/>
              <w:bottom w:val="single" w:sz="1" w:space="0" w:color="000000"/>
            </w:tcBorders>
          </w:tcPr>
          <w:p>
            <w:pPr>
              <w:pStyle w:val="TableParagraph"/>
              <w:spacing w:before="39"/>
              <w:ind w:right="251"/>
              <w:jc w:val="right"/>
              <w:rPr>
                <w:sz w:val="14"/>
              </w:rPr>
            </w:pPr>
            <w:r>
              <w:rPr>
                <w:w w:val="99"/>
                <w:sz w:val="14"/>
              </w:rPr>
              <w:t>-</w:t>
            </w:r>
          </w:p>
        </w:tc>
        <w:tc>
          <w:tcPr>
            <w:tcW w:w="617" w:type="dxa"/>
            <w:tcBorders>
              <w:top w:val="single" w:sz="1" w:space="0" w:color="000000"/>
              <w:bottom w:val="single" w:sz="1" w:space="0" w:color="000000"/>
            </w:tcBorders>
          </w:tcPr>
          <w:p>
            <w:pPr>
              <w:pStyle w:val="TableParagraph"/>
              <w:spacing w:before="39"/>
              <w:ind w:right="69"/>
              <w:jc w:val="right"/>
              <w:rPr>
                <w:sz w:val="14"/>
              </w:rPr>
            </w:pPr>
            <w:r>
              <w:rPr>
                <w:w w:val="99"/>
                <w:sz w:val="14"/>
              </w:rPr>
              <w:t>-</w:t>
            </w:r>
          </w:p>
        </w:tc>
      </w:tr>
    </w:tbl>
    <w:p>
      <w:pPr>
        <w:pStyle w:val="BodyText"/>
        <w:rPr>
          <w:sz w:val="20"/>
        </w:rPr>
      </w:pPr>
    </w:p>
    <w:p>
      <w:pPr>
        <w:spacing w:before="81"/>
        <w:ind w:left="1636" w:right="214" w:firstLine="0"/>
        <w:jc w:val="left"/>
        <w:rPr>
          <w:sz w:val="14"/>
        </w:rPr>
      </w:pPr>
      <w:r>
        <w:rPr>
          <w:sz w:val="14"/>
        </w:rPr>
        <w:t>#5</w:t>
      </w:r>
      <w:r>
        <w:rPr>
          <w:spacing w:val="-9"/>
          <w:sz w:val="14"/>
        </w:rPr>
        <w:t> </w:t>
      </w:r>
      <w:r>
        <w:rPr>
          <w:sz w:val="14"/>
        </w:rPr>
        <w:t>Research</w:t>
      </w:r>
      <w:r>
        <w:rPr>
          <w:spacing w:val="-9"/>
          <w:sz w:val="14"/>
        </w:rPr>
        <w:t> </w:t>
      </w:r>
      <w:r>
        <w:rPr>
          <w:sz w:val="14"/>
        </w:rPr>
        <w:t>Training</w:t>
      </w:r>
      <w:r>
        <w:rPr>
          <w:spacing w:val="-9"/>
          <w:sz w:val="14"/>
        </w:rPr>
        <w:t> </w:t>
      </w:r>
      <w:r>
        <w:rPr>
          <w:sz w:val="14"/>
        </w:rPr>
        <w:t>Program</w:t>
      </w:r>
      <w:r>
        <w:rPr>
          <w:spacing w:val="-9"/>
          <w:sz w:val="14"/>
        </w:rPr>
        <w:t> </w:t>
      </w:r>
      <w:r>
        <w:rPr>
          <w:sz w:val="14"/>
        </w:rPr>
        <w:t>has</w:t>
      </w:r>
      <w:r>
        <w:rPr>
          <w:spacing w:val="-9"/>
          <w:sz w:val="14"/>
        </w:rPr>
        <w:t> </w:t>
      </w:r>
      <w:r>
        <w:rPr>
          <w:sz w:val="14"/>
        </w:rPr>
        <w:t>replaced</w:t>
      </w:r>
      <w:r>
        <w:rPr>
          <w:spacing w:val="-9"/>
          <w:sz w:val="14"/>
        </w:rPr>
        <w:t> </w:t>
      </w:r>
      <w:r>
        <w:rPr>
          <w:sz w:val="14"/>
        </w:rPr>
        <w:t>Australian</w:t>
      </w:r>
      <w:r>
        <w:rPr>
          <w:spacing w:val="-9"/>
          <w:sz w:val="14"/>
        </w:rPr>
        <w:t> </w:t>
      </w:r>
      <w:r>
        <w:rPr>
          <w:sz w:val="14"/>
        </w:rPr>
        <w:t>Postgraduate</w:t>
      </w:r>
      <w:r>
        <w:rPr>
          <w:spacing w:val="-9"/>
          <w:sz w:val="14"/>
        </w:rPr>
        <w:t> </w:t>
      </w:r>
      <w:r>
        <w:rPr>
          <w:sz w:val="14"/>
        </w:rPr>
        <w:t>Awards,</w:t>
      </w:r>
      <w:r>
        <w:rPr>
          <w:spacing w:val="-9"/>
          <w:sz w:val="14"/>
        </w:rPr>
        <w:t> </w:t>
      </w:r>
      <w:r>
        <w:rPr>
          <w:sz w:val="14"/>
        </w:rPr>
        <w:t>International</w:t>
      </w:r>
      <w:r>
        <w:rPr>
          <w:spacing w:val="-9"/>
          <w:sz w:val="14"/>
        </w:rPr>
        <w:t> </w:t>
      </w:r>
      <w:r>
        <w:rPr>
          <w:sz w:val="14"/>
        </w:rPr>
        <w:t>Postgraduate</w:t>
      </w:r>
      <w:r>
        <w:rPr>
          <w:spacing w:val="-9"/>
          <w:sz w:val="14"/>
        </w:rPr>
        <w:t> </w:t>
      </w:r>
      <w:r>
        <w:rPr>
          <w:sz w:val="14"/>
        </w:rPr>
        <w:t>Research</w:t>
      </w:r>
      <w:r>
        <w:rPr>
          <w:spacing w:val="-9"/>
          <w:sz w:val="14"/>
        </w:rPr>
        <w:t> </w:t>
      </w:r>
      <w:r>
        <w:rPr>
          <w:sz w:val="14"/>
        </w:rPr>
        <w:t>Scholarships</w:t>
      </w:r>
      <w:r>
        <w:rPr>
          <w:spacing w:val="-9"/>
          <w:sz w:val="14"/>
        </w:rPr>
        <w:t> </w:t>
      </w:r>
      <w:r>
        <w:rPr>
          <w:sz w:val="14"/>
        </w:rPr>
        <w:t>and</w:t>
      </w:r>
      <w:r>
        <w:rPr>
          <w:spacing w:val="-9"/>
          <w:sz w:val="14"/>
        </w:rPr>
        <w:t> </w:t>
      </w:r>
      <w:r>
        <w:rPr>
          <w:sz w:val="14"/>
        </w:rPr>
        <w:t>Research</w:t>
      </w:r>
      <w:r>
        <w:rPr>
          <w:spacing w:val="-9"/>
          <w:sz w:val="14"/>
        </w:rPr>
        <w:t> </w:t>
      </w:r>
      <w:r>
        <w:rPr>
          <w:sz w:val="14"/>
        </w:rPr>
        <w:t>Training</w:t>
      </w:r>
      <w:r>
        <w:rPr>
          <w:spacing w:val="-9"/>
          <w:sz w:val="14"/>
        </w:rPr>
        <w:t> </w:t>
      </w:r>
      <w:r>
        <w:rPr>
          <w:sz w:val="14"/>
        </w:rPr>
        <w:t>Scheme</w:t>
      </w:r>
      <w:r>
        <w:rPr>
          <w:spacing w:val="-9"/>
          <w:sz w:val="14"/>
        </w:rPr>
        <w:t> </w:t>
      </w:r>
      <w:r>
        <w:rPr>
          <w:sz w:val="14"/>
        </w:rPr>
        <w:t>in</w:t>
      </w:r>
      <w:r>
        <w:rPr>
          <w:spacing w:val="-9"/>
          <w:sz w:val="14"/>
        </w:rPr>
        <w:t> </w:t>
      </w:r>
      <w:r>
        <w:rPr>
          <w:sz w:val="14"/>
        </w:rPr>
        <w:t>2017.</w:t>
      </w:r>
      <w:r>
        <w:rPr>
          <w:spacing w:val="-9"/>
          <w:sz w:val="14"/>
        </w:rPr>
        <w:t> </w:t>
      </w:r>
      <w:r>
        <w:rPr>
          <w:sz w:val="14"/>
        </w:rPr>
        <w:t>2016</w:t>
      </w:r>
      <w:r>
        <w:rPr>
          <w:spacing w:val="-9"/>
          <w:sz w:val="14"/>
        </w:rPr>
        <w:t> </w:t>
      </w:r>
      <w:r>
        <w:rPr>
          <w:sz w:val="14"/>
        </w:rPr>
        <w:t>data</w:t>
      </w:r>
      <w:r>
        <w:rPr>
          <w:spacing w:val="-9"/>
          <w:sz w:val="14"/>
        </w:rPr>
        <w:t> </w:t>
      </w:r>
      <w:r>
        <w:rPr>
          <w:sz w:val="14"/>
        </w:rPr>
        <w:t>for</w:t>
      </w:r>
      <w:r>
        <w:rPr>
          <w:spacing w:val="-9"/>
          <w:sz w:val="14"/>
        </w:rPr>
        <w:t> </w:t>
      </w:r>
      <w:r>
        <w:rPr>
          <w:sz w:val="14"/>
        </w:rPr>
        <w:t>the</w:t>
      </w:r>
      <w:r>
        <w:rPr>
          <w:spacing w:val="-9"/>
          <w:sz w:val="14"/>
        </w:rPr>
        <w:t> </w:t>
      </w:r>
      <w:r>
        <w:rPr>
          <w:sz w:val="14"/>
        </w:rPr>
        <w:t>programs</w:t>
      </w:r>
      <w:r>
        <w:rPr>
          <w:spacing w:val="-9"/>
          <w:sz w:val="14"/>
        </w:rPr>
        <w:t> </w:t>
      </w:r>
      <w:r>
        <w:rPr>
          <w:sz w:val="14"/>
        </w:rPr>
        <w:t>that</w:t>
      </w:r>
      <w:r>
        <w:rPr>
          <w:spacing w:val="-9"/>
          <w:sz w:val="14"/>
        </w:rPr>
        <w:t> </w:t>
      </w:r>
      <w:r>
        <w:rPr>
          <w:sz w:val="14"/>
        </w:rPr>
        <w:t>have</w:t>
      </w:r>
      <w:r>
        <w:rPr>
          <w:spacing w:val="-9"/>
          <w:sz w:val="14"/>
        </w:rPr>
        <w:t> </w:t>
      </w:r>
      <w:r>
        <w:rPr>
          <w:sz w:val="14"/>
        </w:rPr>
        <w:t>been replaced</w:t>
      </w:r>
      <w:r>
        <w:rPr>
          <w:spacing w:val="-10"/>
          <w:sz w:val="14"/>
        </w:rPr>
        <w:t> </w:t>
      </w:r>
      <w:r>
        <w:rPr>
          <w:sz w:val="14"/>
        </w:rPr>
        <w:t>has</w:t>
      </w:r>
      <w:r>
        <w:rPr>
          <w:spacing w:val="-10"/>
          <w:sz w:val="14"/>
        </w:rPr>
        <w:t> </w:t>
      </w:r>
      <w:r>
        <w:rPr>
          <w:sz w:val="14"/>
        </w:rPr>
        <w:t>been</w:t>
      </w:r>
      <w:r>
        <w:rPr>
          <w:spacing w:val="-10"/>
          <w:sz w:val="14"/>
        </w:rPr>
        <w:t> </w:t>
      </w:r>
      <w:r>
        <w:rPr>
          <w:sz w:val="14"/>
        </w:rPr>
        <w:t>reported</w:t>
      </w:r>
      <w:r>
        <w:rPr>
          <w:spacing w:val="-10"/>
          <w:sz w:val="14"/>
        </w:rPr>
        <w:t> </w:t>
      </w:r>
      <w:r>
        <w:rPr>
          <w:sz w:val="14"/>
        </w:rPr>
        <w:t>in</w:t>
      </w:r>
      <w:r>
        <w:rPr>
          <w:spacing w:val="-10"/>
          <w:sz w:val="14"/>
        </w:rPr>
        <w:t> </w:t>
      </w:r>
      <w:r>
        <w:rPr>
          <w:sz w:val="14"/>
        </w:rPr>
        <w:t>the</w:t>
      </w:r>
      <w:r>
        <w:rPr>
          <w:spacing w:val="-10"/>
          <w:sz w:val="14"/>
        </w:rPr>
        <w:t> </w:t>
      </w:r>
      <w:r>
        <w:rPr>
          <w:sz w:val="14"/>
        </w:rPr>
        <w:t>Research</w:t>
      </w:r>
      <w:r>
        <w:rPr>
          <w:spacing w:val="-10"/>
          <w:sz w:val="14"/>
        </w:rPr>
        <w:t> </w:t>
      </w:r>
      <w:r>
        <w:rPr>
          <w:sz w:val="14"/>
        </w:rPr>
        <w:t>Training</w:t>
      </w:r>
      <w:r>
        <w:rPr>
          <w:spacing w:val="-10"/>
          <w:sz w:val="14"/>
        </w:rPr>
        <w:t> </w:t>
      </w:r>
      <w:r>
        <w:rPr>
          <w:sz w:val="14"/>
        </w:rPr>
        <w:t>Program</w:t>
      </w:r>
      <w:r>
        <w:rPr>
          <w:spacing w:val="-10"/>
          <w:sz w:val="14"/>
        </w:rPr>
        <w:t> </w:t>
      </w:r>
      <w:r>
        <w:rPr>
          <w:sz w:val="14"/>
        </w:rPr>
        <w:t>comparatives.</w:t>
      </w:r>
    </w:p>
    <w:p>
      <w:pPr>
        <w:pStyle w:val="BodyText"/>
        <w:rPr>
          <w:sz w:val="14"/>
        </w:rPr>
      </w:pPr>
    </w:p>
    <w:p>
      <w:pPr>
        <w:pStyle w:val="BodyText"/>
        <w:rPr>
          <w:sz w:val="11"/>
        </w:rPr>
      </w:pPr>
    </w:p>
    <w:p>
      <w:pPr>
        <w:spacing w:line="297" w:lineRule="auto" w:before="0"/>
        <w:ind w:left="1636" w:right="214" w:firstLine="0"/>
        <w:jc w:val="left"/>
        <w:rPr>
          <w:sz w:val="14"/>
        </w:rPr>
      </w:pPr>
      <w:r>
        <w:rPr>
          <w:sz w:val="14"/>
        </w:rPr>
        <w:t>#6</w:t>
      </w:r>
      <w:r>
        <w:rPr>
          <w:spacing w:val="-9"/>
          <w:sz w:val="14"/>
        </w:rPr>
        <w:t> </w:t>
      </w:r>
      <w:r>
        <w:rPr>
          <w:sz w:val="14"/>
        </w:rPr>
        <w:t>Research</w:t>
      </w:r>
      <w:r>
        <w:rPr>
          <w:spacing w:val="-9"/>
          <w:sz w:val="14"/>
        </w:rPr>
        <w:t> </w:t>
      </w:r>
      <w:r>
        <w:rPr>
          <w:sz w:val="14"/>
        </w:rPr>
        <w:t>Support</w:t>
      </w:r>
      <w:r>
        <w:rPr>
          <w:spacing w:val="-9"/>
          <w:sz w:val="14"/>
        </w:rPr>
        <w:t> </w:t>
      </w:r>
      <w:r>
        <w:rPr>
          <w:sz w:val="14"/>
        </w:rPr>
        <w:t>Program</w:t>
      </w:r>
      <w:r>
        <w:rPr>
          <w:spacing w:val="-9"/>
          <w:sz w:val="14"/>
        </w:rPr>
        <w:t> </w:t>
      </w:r>
      <w:r>
        <w:rPr>
          <w:sz w:val="14"/>
        </w:rPr>
        <w:t>has</w:t>
      </w:r>
      <w:r>
        <w:rPr>
          <w:spacing w:val="-9"/>
          <w:sz w:val="14"/>
        </w:rPr>
        <w:t> </w:t>
      </w:r>
      <w:r>
        <w:rPr>
          <w:sz w:val="14"/>
        </w:rPr>
        <w:t>replaced</w:t>
      </w:r>
      <w:r>
        <w:rPr>
          <w:spacing w:val="-9"/>
          <w:sz w:val="14"/>
        </w:rPr>
        <w:t> </w:t>
      </w:r>
      <w:r>
        <w:rPr>
          <w:sz w:val="14"/>
        </w:rPr>
        <w:t>Joint</w:t>
      </w:r>
      <w:r>
        <w:rPr>
          <w:spacing w:val="-9"/>
          <w:sz w:val="14"/>
        </w:rPr>
        <w:t> </w:t>
      </w:r>
      <w:r>
        <w:rPr>
          <w:sz w:val="14"/>
        </w:rPr>
        <w:t>Research</w:t>
      </w:r>
      <w:r>
        <w:rPr>
          <w:spacing w:val="-9"/>
          <w:sz w:val="14"/>
        </w:rPr>
        <w:t> </w:t>
      </w:r>
      <w:r>
        <w:rPr>
          <w:sz w:val="14"/>
        </w:rPr>
        <w:t>Engagement,</w:t>
      </w:r>
      <w:r>
        <w:rPr>
          <w:spacing w:val="-9"/>
          <w:sz w:val="14"/>
        </w:rPr>
        <w:t> </w:t>
      </w:r>
      <w:r>
        <w:rPr>
          <w:sz w:val="14"/>
        </w:rPr>
        <w:t>JRE</w:t>
      </w:r>
      <w:r>
        <w:rPr>
          <w:spacing w:val="-9"/>
          <w:sz w:val="14"/>
        </w:rPr>
        <w:t> </w:t>
      </w:r>
      <w:r>
        <w:rPr>
          <w:sz w:val="14"/>
        </w:rPr>
        <w:t>Engineering</w:t>
      </w:r>
      <w:r>
        <w:rPr>
          <w:spacing w:val="-9"/>
          <w:sz w:val="14"/>
        </w:rPr>
        <w:t> </w:t>
      </w:r>
      <w:r>
        <w:rPr>
          <w:sz w:val="14"/>
        </w:rPr>
        <w:t>Cadetships,</w:t>
      </w:r>
      <w:r>
        <w:rPr>
          <w:spacing w:val="-9"/>
          <w:sz w:val="14"/>
        </w:rPr>
        <w:t> </w:t>
      </w:r>
      <w:r>
        <w:rPr>
          <w:sz w:val="14"/>
        </w:rPr>
        <w:t>Research</w:t>
      </w:r>
      <w:r>
        <w:rPr>
          <w:spacing w:val="-9"/>
          <w:sz w:val="14"/>
        </w:rPr>
        <w:t> </w:t>
      </w:r>
      <w:r>
        <w:rPr>
          <w:sz w:val="14"/>
        </w:rPr>
        <w:t>Block</w:t>
      </w:r>
      <w:r>
        <w:rPr>
          <w:spacing w:val="-9"/>
          <w:sz w:val="14"/>
        </w:rPr>
        <w:t> </w:t>
      </w:r>
      <w:r>
        <w:rPr>
          <w:sz w:val="14"/>
        </w:rPr>
        <w:t>Grants</w:t>
      </w:r>
      <w:r>
        <w:rPr>
          <w:spacing w:val="-9"/>
          <w:sz w:val="14"/>
        </w:rPr>
        <w:t> </w:t>
      </w:r>
      <w:r>
        <w:rPr>
          <w:sz w:val="14"/>
        </w:rPr>
        <w:t>and</w:t>
      </w:r>
      <w:r>
        <w:rPr>
          <w:spacing w:val="-9"/>
          <w:sz w:val="14"/>
        </w:rPr>
        <w:t> </w:t>
      </w:r>
      <w:r>
        <w:rPr>
          <w:sz w:val="14"/>
        </w:rPr>
        <w:t>Sustainable</w:t>
      </w:r>
      <w:r>
        <w:rPr>
          <w:spacing w:val="-9"/>
          <w:sz w:val="14"/>
        </w:rPr>
        <w:t> </w:t>
      </w:r>
      <w:r>
        <w:rPr>
          <w:sz w:val="14"/>
        </w:rPr>
        <w:t>Research</w:t>
      </w:r>
      <w:r>
        <w:rPr>
          <w:spacing w:val="-9"/>
          <w:sz w:val="14"/>
        </w:rPr>
        <w:t> </w:t>
      </w:r>
      <w:r>
        <w:rPr>
          <w:sz w:val="14"/>
        </w:rPr>
        <w:t>Excellence</w:t>
      </w:r>
      <w:r>
        <w:rPr>
          <w:spacing w:val="-9"/>
          <w:sz w:val="14"/>
        </w:rPr>
        <w:t> </w:t>
      </w:r>
      <w:r>
        <w:rPr>
          <w:sz w:val="14"/>
        </w:rPr>
        <w:t>in</w:t>
      </w:r>
      <w:r>
        <w:rPr>
          <w:spacing w:val="-9"/>
          <w:sz w:val="14"/>
        </w:rPr>
        <w:t> </w:t>
      </w:r>
      <w:r>
        <w:rPr>
          <w:sz w:val="14"/>
        </w:rPr>
        <w:t>Universities</w:t>
      </w:r>
      <w:r>
        <w:rPr>
          <w:spacing w:val="-9"/>
          <w:sz w:val="14"/>
        </w:rPr>
        <w:t> </w:t>
      </w:r>
      <w:r>
        <w:rPr>
          <w:sz w:val="14"/>
        </w:rPr>
        <w:t>in</w:t>
      </w:r>
      <w:r>
        <w:rPr>
          <w:spacing w:val="-9"/>
          <w:sz w:val="14"/>
        </w:rPr>
        <w:t> </w:t>
      </w:r>
      <w:r>
        <w:rPr>
          <w:sz w:val="14"/>
        </w:rPr>
        <w:t>2017.</w:t>
      </w:r>
      <w:r>
        <w:rPr>
          <w:spacing w:val="-9"/>
          <w:sz w:val="14"/>
        </w:rPr>
        <w:t> </w:t>
      </w:r>
      <w:r>
        <w:rPr>
          <w:sz w:val="14"/>
        </w:rPr>
        <w:t>2016</w:t>
      </w:r>
      <w:r>
        <w:rPr>
          <w:spacing w:val="-9"/>
          <w:sz w:val="14"/>
        </w:rPr>
        <w:t> </w:t>
      </w:r>
      <w:r>
        <w:rPr>
          <w:sz w:val="14"/>
        </w:rPr>
        <w:t>data</w:t>
      </w:r>
      <w:r>
        <w:rPr>
          <w:spacing w:val="-9"/>
          <w:sz w:val="14"/>
        </w:rPr>
        <w:t> </w:t>
      </w:r>
      <w:r>
        <w:rPr>
          <w:sz w:val="14"/>
        </w:rPr>
        <w:t>for</w:t>
      </w:r>
      <w:r>
        <w:rPr>
          <w:spacing w:val="-9"/>
          <w:sz w:val="14"/>
        </w:rPr>
        <w:t> </w:t>
      </w:r>
      <w:r>
        <w:rPr>
          <w:sz w:val="14"/>
        </w:rPr>
        <w:t>the programs</w:t>
      </w:r>
      <w:r>
        <w:rPr>
          <w:spacing w:val="-9"/>
          <w:sz w:val="14"/>
        </w:rPr>
        <w:t> </w:t>
      </w:r>
      <w:r>
        <w:rPr>
          <w:sz w:val="14"/>
        </w:rPr>
        <w:t>that</w:t>
      </w:r>
      <w:r>
        <w:rPr>
          <w:spacing w:val="-9"/>
          <w:sz w:val="14"/>
        </w:rPr>
        <w:t> </w:t>
      </w:r>
      <w:r>
        <w:rPr>
          <w:sz w:val="14"/>
        </w:rPr>
        <w:t>have</w:t>
      </w:r>
      <w:r>
        <w:rPr>
          <w:spacing w:val="-9"/>
          <w:sz w:val="14"/>
        </w:rPr>
        <w:t> </w:t>
      </w:r>
      <w:r>
        <w:rPr>
          <w:sz w:val="14"/>
        </w:rPr>
        <w:t>been</w:t>
      </w:r>
      <w:r>
        <w:rPr>
          <w:spacing w:val="-9"/>
          <w:sz w:val="14"/>
        </w:rPr>
        <w:t> </w:t>
      </w:r>
      <w:r>
        <w:rPr>
          <w:sz w:val="14"/>
        </w:rPr>
        <w:t>replaced</w:t>
      </w:r>
      <w:r>
        <w:rPr>
          <w:spacing w:val="-9"/>
          <w:sz w:val="14"/>
        </w:rPr>
        <w:t> </w:t>
      </w:r>
      <w:r>
        <w:rPr>
          <w:sz w:val="14"/>
        </w:rPr>
        <w:t>has</w:t>
      </w:r>
      <w:r>
        <w:rPr>
          <w:spacing w:val="-9"/>
          <w:sz w:val="14"/>
        </w:rPr>
        <w:t> </w:t>
      </w:r>
      <w:r>
        <w:rPr>
          <w:sz w:val="14"/>
        </w:rPr>
        <w:t>been</w:t>
      </w:r>
      <w:r>
        <w:rPr>
          <w:spacing w:val="-9"/>
          <w:sz w:val="14"/>
        </w:rPr>
        <w:t> </w:t>
      </w:r>
      <w:r>
        <w:rPr>
          <w:sz w:val="14"/>
        </w:rPr>
        <w:t>reported</w:t>
      </w:r>
      <w:r>
        <w:rPr>
          <w:spacing w:val="-9"/>
          <w:sz w:val="14"/>
        </w:rPr>
        <w:t> </w:t>
      </w:r>
      <w:r>
        <w:rPr>
          <w:sz w:val="14"/>
        </w:rPr>
        <w:t>in</w:t>
      </w:r>
      <w:r>
        <w:rPr>
          <w:spacing w:val="-9"/>
          <w:sz w:val="14"/>
        </w:rPr>
        <w:t> </w:t>
      </w:r>
      <w:r>
        <w:rPr>
          <w:sz w:val="14"/>
        </w:rPr>
        <w:t>the</w:t>
      </w:r>
      <w:r>
        <w:rPr>
          <w:spacing w:val="-9"/>
          <w:sz w:val="14"/>
        </w:rPr>
        <w:t> </w:t>
      </w:r>
      <w:r>
        <w:rPr>
          <w:sz w:val="14"/>
        </w:rPr>
        <w:t>Research</w:t>
      </w:r>
      <w:r>
        <w:rPr>
          <w:spacing w:val="-9"/>
          <w:sz w:val="14"/>
        </w:rPr>
        <w:t> </w:t>
      </w:r>
      <w:r>
        <w:rPr>
          <w:sz w:val="14"/>
        </w:rPr>
        <w:t>Support</w:t>
      </w:r>
      <w:r>
        <w:rPr>
          <w:spacing w:val="-9"/>
          <w:sz w:val="14"/>
        </w:rPr>
        <w:t> </w:t>
      </w:r>
      <w:r>
        <w:rPr>
          <w:sz w:val="14"/>
        </w:rPr>
        <w:t>Program</w:t>
      </w:r>
      <w:r>
        <w:rPr>
          <w:spacing w:val="-9"/>
          <w:sz w:val="14"/>
        </w:rPr>
        <w:t> </w:t>
      </w:r>
      <w:r>
        <w:rPr>
          <w:sz w:val="14"/>
        </w:rPr>
        <w:t>comparatives.</w:t>
      </w:r>
    </w:p>
    <w:p>
      <w:pPr>
        <w:pStyle w:val="BodyText"/>
        <w:rPr>
          <w:sz w:val="14"/>
        </w:rPr>
      </w:pPr>
    </w:p>
    <w:p>
      <w:pPr>
        <w:pStyle w:val="BodyText"/>
        <w:spacing w:before="97"/>
        <w:ind w:left="1070" w:right="214"/>
      </w:pPr>
      <w:r>
        <w:rPr/>
        <w:t>Total Higher Education Provider Research Training Program expenditure</w:t>
      </w:r>
    </w:p>
    <w:p>
      <w:pPr>
        <w:pStyle w:val="BodyText"/>
        <w:spacing w:before="6"/>
        <w:rPr>
          <w:sz w:val="15"/>
        </w:rPr>
      </w:pPr>
    </w:p>
    <w:p>
      <w:pPr>
        <w:spacing w:after="0"/>
        <w:rPr>
          <w:sz w:val="15"/>
        </w:rPr>
        <w:sectPr>
          <w:pgSz w:w="16840" w:h="11910" w:orient="landscape"/>
          <w:pgMar w:header="1037" w:footer="507" w:top="2220" w:bottom="700" w:left="900" w:right="880"/>
        </w:sectPr>
      </w:pPr>
    </w:p>
    <w:p>
      <w:pPr>
        <w:spacing w:before="81"/>
        <w:ind w:left="4912" w:right="0" w:firstLine="0"/>
        <w:jc w:val="center"/>
        <w:rPr>
          <w:b/>
          <w:sz w:val="14"/>
        </w:rPr>
      </w:pPr>
      <w:r>
        <w:rPr>
          <w:b/>
          <w:sz w:val="14"/>
        </w:rPr>
        <w:t>Total</w:t>
      </w:r>
      <w:r>
        <w:rPr>
          <w:b/>
          <w:spacing w:val="-18"/>
          <w:sz w:val="14"/>
        </w:rPr>
        <w:t> </w:t>
      </w:r>
      <w:r>
        <w:rPr>
          <w:b/>
          <w:sz w:val="14"/>
        </w:rPr>
        <w:t>domestic students</w:t>
      </w:r>
    </w:p>
    <w:p>
      <w:pPr>
        <w:spacing w:before="67"/>
        <w:ind w:left="0" w:right="314" w:firstLine="0"/>
        <w:jc w:val="right"/>
        <w:rPr>
          <w:b/>
          <w:sz w:val="14"/>
        </w:rPr>
      </w:pPr>
      <w:r>
        <w:rPr>
          <w:b/>
          <w:sz w:val="14"/>
        </w:rPr>
        <w:t>$'000</w:t>
      </w:r>
    </w:p>
    <w:p>
      <w:pPr>
        <w:spacing w:before="81"/>
        <w:ind w:left="95" w:right="8022" w:firstLine="0"/>
        <w:jc w:val="center"/>
        <w:rPr>
          <w:b/>
          <w:sz w:val="14"/>
        </w:rPr>
      </w:pPr>
      <w:r>
        <w:rPr/>
        <w:br w:type="column"/>
      </w:r>
      <w:r>
        <w:rPr>
          <w:b/>
          <w:sz w:val="14"/>
        </w:rPr>
        <w:t>Total overseas students</w:t>
      </w:r>
    </w:p>
    <w:p>
      <w:pPr>
        <w:spacing w:before="67"/>
        <w:ind w:left="95" w:right="8021" w:firstLine="0"/>
        <w:jc w:val="center"/>
        <w:rPr>
          <w:b/>
          <w:sz w:val="14"/>
        </w:rPr>
      </w:pPr>
      <w:r>
        <w:rPr>
          <w:b/>
          <w:sz w:val="14"/>
        </w:rPr>
        <w:t>$'000</w:t>
      </w:r>
    </w:p>
    <w:p>
      <w:pPr>
        <w:spacing w:after="0"/>
        <w:jc w:val="center"/>
        <w:rPr>
          <w:sz w:val="14"/>
        </w:rPr>
        <w:sectPr>
          <w:type w:val="continuous"/>
          <w:pgSz w:w="16840" w:h="11910" w:orient="landscape"/>
          <w:pgMar w:top="1580" w:bottom="280" w:left="900" w:right="880"/>
          <w:cols w:num="2" w:equalWidth="0">
            <w:col w:w="5888" w:space="40"/>
            <w:col w:w="9132"/>
          </w:cols>
        </w:sectPr>
      </w:pPr>
    </w:p>
    <w:p>
      <w:pPr>
        <w:tabs>
          <w:tab w:pos="5551" w:val="left" w:leader="none"/>
          <w:tab w:pos="5851" w:val="left" w:leader="none"/>
          <w:tab w:pos="6978" w:val="left" w:leader="none"/>
          <w:tab w:pos="7008" w:val="right" w:leader="none"/>
        </w:tabs>
        <w:spacing w:line="326" w:lineRule="auto" w:before="64"/>
        <w:ind w:left="1106" w:right="8030" w:firstLine="0"/>
        <w:jc w:val="left"/>
        <w:rPr>
          <w:sz w:val="14"/>
        </w:rPr>
      </w:pPr>
      <w:r>
        <w:rPr>
          <w:sz w:val="14"/>
        </w:rPr>
        <w:t>Research Training Program</w:t>
      </w:r>
      <w:r>
        <w:rPr>
          <w:spacing w:val="-24"/>
          <w:sz w:val="14"/>
        </w:rPr>
        <w:t> </w:t>
      </w:r>
      <w:r>
        <w:rPr>
          <w:sz w:val="14"/>
        </w:rPr>
        <w:t>Fees</w:t>
      </w:r>
      <w:r>
        <w:rPr>
          <w:spacing w:val="-8"/>
          <w:sz w:val="14"/>
        </w:rPr>
        <w:t> </w:t>
      </w:r>
      <w:r>
        <w:rPr>
          <w:sz w:val="14"/>
        </w:rPr>
        <w:t>offsets</w:t>
        <w:tab/>
        <w:tab/>
        <w:t>-</w:t>
        <w:tab/>
        <w:t>- Research Training</w:t>
      </w:r>
      <w:r>
        <w:rPr>
          <w:spacing w:val="-18"/>
          <w:sz w:val="14"/>
        </w:rPr>
        <w:t> </w:t>
      </w:r>
      <w:r>
        <w:rPr>
          <w:sz w:val="14"/>
        </w:rPr>
        <w:t>Program</w:t>
      </w:r>
      <w:r>
        <w:rPr>
          <w:spacing w:val="-9"/>
          <w:sz w:val="14"/>
        </w:rPr>
        <w:t> </w:t>
      </w:r>
      <w:r>
        <w:rPr>
          <w:sz w:val="14"/>
        </w:rPr>
        <w:t>Stipends</w:t>
        <w:tab/>
        <w:t>3,569</w:t>
      </w:r>
      <w:r>
        <w:rPr>
          <w:rFonts w:ascii="Times New Roman"/>
          <w:sz w:val="14"/>
        </w:rPr>
        <w:tab/>
        <w:tab/>
        <w:t> </w:t>
      </w:r>
      <w:r>
        <w:rPr>
          <w:sz w:val="14"/>
        </w:rPr>
        <w:t>180</w:t>
      </w:r>
    </w:p>
    <w:p>
      <w:pPr>
        <w:tabs>
          <w:tab w:pos="5551" w:val="left" w:leader="none"/>
          <w:tab w:pos="6979" w:val="left" w:leader="none"/>
        </w:tabs>
        <w:spacing w:before="1"/>
        <w:ind w:left="1106" w:right="214" w:firstLine="0"/>
        <w:jc w:val="left"/>
        <w:rPr>
          <w:sz w:val="14"/>
        </w:rPr>
      </w:pPr>
      <w:r>
        <w:rPr/>
        <w:pict>
          <v:group style="position:absolute;margin-left:286.845001pt;margin-top:9.300915pt;width:112.95pt;height:1pt;mso-position-horizontal-relative:page;mso-position-vertical-relative:paragraph;z-index:1960" coordorigin="5737,186" coordsize="2259,20">
            <v:line style="position:absolute" from="5738,188" to="6866,188" stroked="true" strokeweight=".12pt" strokecolor="#000000"/>
            <v:line style="position:absolute" from="5738,190" to="6866,190" stroked="true" strokeweight=".12pt" strokecolor="#000000"/>
            <v:line style="position:absolute" from="5738,192" to="6866,192" stroked="true" strokeweight=".12pt" strokecolor="#000000"/>
            <v:line style="position:absolute" from="5738,195" to="6866,195" stroked="true" strokeweight=".12pt" strokecolor="#000000"/>
            <v:line style="position:absolute" from="5738,197" to="6866,197" stroked="true" strokeweight=".12pt" strokecolor="#000000"/>
            <v:line style="position:absolute" from="5738,200" to="6866,200" stroked="true" strokeweight=".12pt" strokecolor="#000000"/>
            <v:line style="position:absolute" from="5738,202" to="6866,202" stroked="true" strokeweight=".12pt" strokecolor="#000000"/>
            <v:line style="position:absolute" from="5738,204" to="6866,204" stroked="true" strokeweight=".12pt" strokecolor="#000000"/>
            <v:line style="position:absolute" from="6866,188" to="7994,188" stroked="true" strokeweight=".12pt" strokecolor="#000000"/>
            <v:line style="position:absolute" from="6866,190" to="7994,190" stroked="true" strokeweight=".12pt" strokecolor="#000000"/>
            <v:line style="position:absolute" from="6866,192" to="7994,192" stroked="true" strokeweight=".12pt" strokecolor="#000000"/>
            <v:line style="position:absolute" from="6866,195" to="7994,195" stroked="true" strokeweight=".12pt" strokecolor="#000000"/>
            <v:line style="position:absolute" from="6866,197" to="7994,197" stroked="true" strokeweight=".12pt" strokecolor="#000000"/>
            <v:line style="position:absolute" from="6866,200" to="7994,200" stroked="true" strokeweight=".12pt" strokecolor="#000000"/>
            <v:line style="position:absolute" from="6866,202" to="7994,202" stroked="true" strokeweight=".12pt" strokecolor="#000000"/>
            <v:line style="position:absolute" from="6866,204" to="7994,204" stroked="true" strokeweight=".12pt" strokecolor="#000000"/>
            <v:line style="position:absolute" from="5738,188" to="6866,188" stroked="true" strokeweight=".12pt" strokecolor="#000000"/>
            <v:line style="position:absolute" from="5738,190" to="6866,190" stroked="true" strokeweight=".12pt" strokecolor="#000000"/>
            <v:line style="position:absolute" from="5738,192" to="6866,192" stroked="true" strokeweight=".12pt" strokecolor="#000000"/>
            <v:line style="position:absolute" from="5738,195" to="6866,195" stroked="true" strokeweight=".12pt" strokecolor="#000000"/>
            <v:line style="position:absolute" from="5738,197" to="6866,197" stroked="true" strokeweight=".12pt" strokecolor="#000000"/>
            <v:line style="position:absolute" from="5738,200" to="6866,200" stroked="true" strokeweight=".12pt" strokecolor="#000000"/>
            <v:line style="position:absolute" from="5738,202" to="6866,202" stroked="true" strokeweight=".12pt" strokecolor="#000000"/>
            <v:line style="position:absolute" from="5738,204" to="6866,204" stroked="true" strokeweight=".12pt" strokecolor="#000000"/>
            <v:line style="position:absolute" from="6866,188" to="7994,188" stroked="true" strokeweight=".12pt" strokecolor="#000000"/>
            <v:line style="position:absolute" from="6866,190" to="7994,190" stroked="true" strokeweight=".12pt" strokecolor="#000000"/>
            <v:line style="position:absolute" from="6866,192" to="7994,192" stroked="true" strokeweight=".12pt" strokecolor="#000000"/>
            <v:line style="position:absolute" from="6866,195" to="7994,195" stroked="true" strokeweight=".12pt" strokecolor="#000000"/>
            <v:line style="position:absolute" from="6866,197" to="7994,197" stroked="true" strokeweight=".12pt" strokecolor="#000000"/>
            <v:line style="position:absolute" from="6866,200" to="7994,200" stroked="true" strokeweight=".12pt" strokecolor="#000000"/>
            <v:line style="position:absolute" from="6866,202" to="7994,202" stroked="true" strokeweight=".12pt" strokecolor="#000000"/>
            <v:line style="position:absolute" from="6866,204" to="7994,204" stroked="true" strokeweight=".12pt" strokecolor="#000000"/>
            <w10:wrap type="none"/>
          </v:group>
        </w:pict>
      </w:r>
      <w:r>
        <w:rPr>
          <w:sz w:val="14"/>
        </w:rPr>
        <w:t>Research Training</w:t>
      </w:r>
      <w:r>
        <w:rPr>
          <w:spacing w:val="-19"/>
          <w:sz w:val="14"/>
        </w:rPr>
        <w:t> </w:t>
      </w:r>
      <w:r>
        <w:rPr>
          <w:sz w:val="14"/>
        </w:rPr>
        <w:t>Program</w:t>
      </w:r>
      <w:r>
        <w:rPr>
          <w:spacing w:val="-10"/>
          <w:sz w:val="14"/>
        </w:rPr>
        <w:t> </w:t>
      </w:r>
      <w:r>
        <w:rPr>
          <w:sz w:val="14"/>
        </w:rPr>
        <w:t>Allowances</w:t>
        <w:tab/>
        <w:t>6,883</w:t>
        <w:tab/>
        <w:t>-</w:t>
      </w:r>
    </w:p>
    <w:p>
      <w:pPr>
        <w:tabs>
          <w:tab w:pos="5474" w:val="left" w:leader="none"/>
          <w:tab w:pos="7024" w:val="right" w:leader="none"/>
        </w:tabs>
        <w:spacing w:before="128"/>
        <w:ind w:left="1106" w:right="0" w:firstLine="0"/>
        <w:jc w:val="left"/>
        <w:rPr>
          <w:sz w:val="14"/>
        </w:rPr>
      </w:pPr>
      <w:r>
        <w:rPr>
          <w:b/>
          <w:sz w:val="14"/>
        </w:rPr>
        <w:t>Total for all types</w:t>
      </w:r>
      <w:r>
        <w:rPr>
          <w:b/>
          <w:spacing w:val="-26"/>
          <w:sz w:val="14"/>
        </w:rPr>
        <w:t> </w:t>
      </w:r>
      <w:r>
        <w:rPr>
          <w:b/>
          <w:sz w:val="14"/>
        </w:rPr>
        <w:t>of</w:t>
      </w:r>
      <w:r>
        <w:rPr>
          <w:b/>
          <w:spacing w:val="-7"/>
          <w:sz w:val="14"/>
        </w:rPr>
        <w:t> </w:t>
      </w:r>
      <w:r>
        <w:rPr>
          <w:b/>
          <w:sz w:val="14"/>
        </w:rPr>
        <w:t>support</w:t>
        <w:tab/>
      </w:r>
      <w:r>
        <w:rPr>
          <w:position w:val="3"/>
          <w:sz w:val="14"/>
        </w:rPr>
        <w:t>10,452</w:t>
      </w:r>
      <w:r>
        <w:rPr>
          <w:rFonts w:ascii="Times New Roman"/>
          <w:position w:val="3"/>
          <w:sz w:val="14"/>
        </w:rPr>
        <w:tab/>
      </w:r>
      <w:r>
        <w:rPr>
          <w:position w:val="3"/>
          <w:sz w:val="14"/>
        </w:rPr>
        <w:t>180</w:t>
      </w:r>
    </w:p>
    <w:p>
      <w:pPr>
        <w:pStyle w:val="BodyText"/>
        <w:spacing w:line="48" w:lineRule="exact"/>
        <w:ind w:left="4836"/>
        <w:rPr>
          <w:sz w:val="4"/>
        </w:rPr>
      </w:pPr>
      <w:r>
        <w:rPr>
          <w:position w:val="0"/>
          <w:sz w:val="4"/>
        </w:rPr>
        <w:pict>
          <v:group style="width:112.95pt;height:2.450pt;mso-position-horizontal-relative:char;mso-position-vertical-relative:line" coordorigin="0,0" coordsize="2259,49">
            <v:line style="position:absolute" from="2,2" to="1130,2" stroked="true" strokeweight=".12pt" strokecolor="#000000"/>
            <v:line style="position:absolute" from="2,4" to="1130,4" stroked="true" strokeweight=".12pt" strokecolor="#000000"/>
            <v:line style="position:absolute" from="2,6" to="1130,6" stroked="true" strokeweight=".12pt" strokecolor="#000000"/>
            <v:line style="position:absolute" from="2,9" to="1130,9" stroked="true" strokeweight=".12pt" strokecolor="#000000"/>
            <v:line style="position:absolute" from="2,11" to="1130,11" stroked="true" strokeweight=".12pt" strokecolor="#000000"/>
            <v:line style="position:absolute" from="2,14" to="1130,14" stroked="true" strokeweight=".12pt" strokecolor="#000000"/>
            <v:line style="position:absolute" from="2,35" to="1130,35" stroked="true" strokeweight=".12pt" strokecolor="#000000"/>
            <v:line style="position:absolute" from="2,38" to="1130,38" stroked="true" strokeweight=".12pt" strokecolor="#000000"/>
            <v:line style="position:absolute" from="2,40" to="1130,40" stroked="true" strokeweight=".12pt" strokecolor="#000000"/>
            <v:line style="position:absolute" from="2,42" to="1130,42" stroked="true" strokeweight=".12pt" strokecolor="#000000"/>
            <v:line style="position:absolute" from="2,45" to="1130,45" stroked="true" strokeweight=".12pt" strokecolor="#000000"/>
            <v:line style="position:absolute" from="2,47" to="1130,47" stroked="true" strokeweight=".12pt" strokecolor="#000000"/>
            <v:line style="position:absolute" from="1129,2" to="2257,2" stroked="true" strokeweight=".12pt" strokecolor="#000000"/>
            <v:line style="position:absolute" from="1129,4" to="2257,4" stroked="true" strokeweight=".12pt" strokecolor="#000000"/>
            <v:line style="position:absolute" from="1129,6" to="2257,6" stroked="true" strokeweight=".12pt" strokecolor="#000000"/>
            <v:line style="position:absolute" from="1129,9" to="2257,9" stroked="true" strokeweight=".12pt" strokecolor="#000000"/>
            <v:line style="position:absolute" from="1129,11" to="2257,11" stroked="true" strokeweight=".12pt" strokecolor="#000000"/>
            <v:line style="position:absolute" from="1129,14" to="2257,14" stroked="true" strokeweight=".12pt" strokecolor="#000000"/>
            <v:line style="position:absolute" from="1129,35" to="2257,35" stroked="true" strokeweight=".12pt" strokecolor="#000000"/>
            <v:line style="position:absolute" from="1129,38" to="2257,38" stroked="true" strokeweight=".12pt" strokecolor="#000000"/>
            <v:line style="position:absolute" from="1129,40" to="2257,40" stroked="true" strokeweight=".12pt" strokecolor="#000000"/>
            <v:line style="position:absolute" from="1129,42" to="2257,42" stroked="true" strokeweight=".12pt" strokecolor="#000000"/>
            <v:line style="position:absolute" from="1129,45" to="2257,45" stroked="true" strokeweight=".12pt" strokecolor="#000000"/>
            <v:line style="position:absolute" from="1129,47" to="2257,47" stroked="true" strokeweight=".12pt" strokecolor="#000000"/>
          </v:group>
        </w:pict>
      </w:r>
      <w:r>
        <w:rPr>
          <w:position w:val="0"/>
          <w:sz w:val="4"/>
        </w:rPr>
      </w:r>
    </w:p>
    <w:p>
      <w:pPr>
        <w:spacing w:after="0" w:line="48" w:lineRule="exact"/>
        <w:rPr>
          <w:sz w:val="4"/>
        </w:rPr>
        <w:sectPr>
          <w:type w:val="continuous"/>
          <w:pgSz w:w="16840" w:h="11910" w:orient="landscape"/>
          <w:pgMar w:top="1580" w:bottom="280" w:left="900" w:right="880"/>
        </w:sectPr>
      </w:pPr>
    </w:p>
    <w:p>
      <w:pPr>
        <w:pStyle w:val="BodyText"/>
        <w:rPr>
          <w:sz w:val="20"/>
        </w:rPr>
      </w:pPr>
    </w:p>
    <w:p>
      <w:pPr>
        <w:pStyle w:val="BodyText"/>
        <w:rPr>
          <w:sz w:val="20"/>
        </w:rPr>
      </w:pPr>
    </w:p>
    <w:p>
      <w:pPr>
        <w:pStyle w:val="BodyText"/>
        <w:spacing w:before="5"/>
      </w:pPr>
    </w:p>
    <w:p>
      <w:pPr>
        <w:pStyle w:val="Heading9"/>
        <w:tabs>
          <w:tab w:pos="1070" w:val="left" w:leader="none"/>
        </w:tabs>
        <w:ind w:left="504" w:right="214"/>
      </w:pPr>
      <w:bookmarkStart w:name="(d) Australian Research Council Grants" w:id="163"/>
      <w:bookmarkEnd w:id="163"/>
      <w:r>
        <w:rPr>
          <w:b w:val="0"/>
        </w:rPr>
      </w:r>
      <w:r>
        <w:rPr/>
        <w:t>40</w:t>
        <w:tab/>
        <w:t>Acquittal of Australian Government Financial Assistance (continued)</w:t>
      </w:r>
    </w:p>
    <w:p>
      <w:pPr>
        <w:pStyle w:val="BodyText"/>
        <w:spacing w:before="11"/>
        <w:rPr>
          <w:b/>
          <w:sz w:val="19"/>
        </w:rPr>
      </w:pPr>
    </w:p>
    <w:p>
      <w:pPr>
        <w:spacing w:after="0"/>
        <w:rPr>
          <w:sz w:val="19"/>
        </w:rPr>
        <w:sectPr>
          <w:pgSz w:w="16840" w:h="11910" w:orient="landscape"/>
          <w:pgMar w:header="1037" w:footer="507" w:top="2220" w:bottom="700" w:left="900" w:right="880"/>
        </w:sectPr>
      </w:pPr>
    </w:p>
    <w:p>
      <w:pPr>
        <w:pStyle w:val="BodyText"/>
        <w:tabs>
          <w:tab w:pos="1070" w:val="left" w:leader="none"/>
        </w:tabs>
        <w:spacing w:before="77"/>
        <w:ind w:left="504"/>
      </w:pPr>
      <w:r>
        <w:rPr/>
        <w:t>(d)</w:t>
        <w:tab/>
        <w:t>Australian Research Council</w:t>
      </w:r>
      <w:r>
        <w:rPr>
          <w:spacing w:val="2"/>
        </w:rPr>
        <w:t> </w:t>
      </w:r>
      <w:r>
        <w:rPr/>
        <w:t>Grants</w:t>
      </w:r>
    </w:p>
    <w:p>
      <w:pPr>
        <w:pStyle w:val="BodyText"/>
        <w:rPr>
          <w:sz w:val="14"/>
        </w:rPr>
      </w:pPr>
      <w:r>
        <w:rPr/>
        <w:br w:type="column"/>
      </w:r>
      <w:r>
        <w:rPr>
          <w:sz w:val="14"/>
        </w:rPr>
      </w:r>
    </w:p>
    <w:p>
      <w:pPr>
        <w:pStyle w:val="BodyText"/>
        <w:rPr>
          <w:sz w:val="14"/>
        </w:rPr>
      </w:pPr>
    </w:p>
    <w:p>
      <w:pPr>
        <w:pStyle w:val="BodyText"/>
        <w:spacing w:before="10"/>
        <w:rPr>
          <w:sz w:val="13"/>
        </w:rPr>
      </w:pPr>
    </w:p>
    <w:p>
      <w:pPr>
        <w:tabs>
          <w:tab w:pos="2164" w:val="left" w:leader="none"/>
          <w:tab w:pos="3364" w:val="left" w:leader="none"/>
        </w:tabs>
        <w:spacing w:before="0"/>
        <w:ind w:left="503" w:right="0" w:firstLine="0"/>
        <w:jc w:val="left"/>
        <w:rPr>
          <w:b/>
          <w:sz w:val="14"/>
        </w:rPr>
      </w:pPr>
      <w:r>
        <w:rPr>
          <w:b/>
          <w:sz w:val="14"/>
        </w:rPr>
        <w:t>Discovery</w:t>
        <w:tab/>
        <w:t>Linkages</w:t>
        <w:tab/>
        <w:t>Networks and</w:t>
      </w:r>
      <w:r>
        <w:rPr>
          <w:b/>
          <w:spacing w:val="-27"/>
          <w:sz w:val="14"/>
        </w:rPr>
        <w:t> </w:t>
      </w:r>
      <w:r>
        <w:rPr>
          <w:b/>
          <w:sz w:val="14"/>
        </w:rPr>
        <w:t>Centres</w:t>
      </w:r>
    </w:p>
    <w:p>
      <w:pPr>
        <w:pStyle w:val="BodyText"/>
        <w:rPr>
          <w:b/>
          <w:sz w:val="14"/>
        </w:rPr>
      </w:pPr>
      <w:r>
        <w:rPr/>
        <w:br w:type="column"/>
      </w:r>
      <w:r>
        <w:rPr>
          <w:b/>
          <w:sz w:val="14"/>
        </w:rPr>
      </w:r>
    </w:p>
    <w:p>
      <w:pPr>
        <w:pStyle w:val="BodyText"/>
        <w:spacing w:before="10"/>
        <w:rPr>
          <w:b/>
          <w:sz w:val="13"/>
        </w:rPr>
      </w:pPr>
    </w:p>
    <w:p>
      <w:pPr>
        <w:spacing w:before="0"/>
        <w:ind w:left="273" w:right="0" w:firstLine="0"/>
        <w:jc w:val="left"/>
        <w:rPr>
          <w:b/>
          <w:sz w:val="14"/>
        </w:rPr>
      </w:pPr>
      <w:r>
        <w:rPr>
          <w:b/>
          <w:sz w:val="14"/>
        </w:rPr>
        <w:t>Special Research</w:t>
      </w:r>
    </w:p>
    <w:p>
      <w:pPr>
        <w:tabs>
          <w:tab w:pos="2328" w:val="left" w:leader="none"/>
        </w:tabs>
        <w:spacing w:before="0"/>
        <w:ind w:left="530" w:right="0" w:firstLine="0"/>
        <w:jc w:val="left"/>
        <w:rPr>
          <w:b/>
          <w:sz w:val="14"/>
        </w:rPr>
      </w:pPr>
      <w:r>
        <w:rPr>
          <w:b/>
          <w:sz w:val="14"/>
        </w:rPr>
        <w:t>Initiatives</w:t>
        <w:tab/>
        <w:t>Total</w:t>
      </w:r>
    </w:p>
    <w:p>
      <w:pPr>
        <w:spacing w:after="0"/>
        <w:jc w:val="left"/>
        <w:rPr>
          <w:sz w:val="14"/>
        </w:rPr>
        <w:sectPr>
          <w:type w:val="continuous"/>
          <w:pgSz w:w="16840" w:h="11910" w:orient="landscape"/>
          <w:pgMar w:top="1580" w:bottom="280" w:left="900" w:right="880"/>
          <w:cols w:num="3" w:equalWidth="0">
            <w:col w:w="3950" w:space="2840"/>
            <w:col w:w="4827" w:space="40"/>
            <w:col w:w="3403"/>
          </w:cols>
        </w:sectPr>
      </w:pPr>
    </w:p>
    <w:p>
      <w:pPr>
        <w:pStyle w:val="BodyText"/>
        <w:rPr>
          <w:b/>
          <w:sz w:val="14"/>
        </w:rPr>
      </w:pPr>
    </w:p>
    <w:p>
      <w:pPr>
        <w:pStyle w:val="BodyText"/>
        <w:spacing w:before="7"/>
        <w:rPr>
          <w:b/>
          <w:sz w:val="15"/>
        </w:rPr>
      </w:pPr>
    </w:p>
    <w:p>
      <w:pPr>
        <w:spacing w:before="0"/>
        <w:ind w:left="2352" w:right="-2" w:firstLine="0"/>
        <w:jc w:val="left"/>
        <w:rPr>
          <w:b/>
          <w:sz w:val="14"/>
        </w:rPr>
      </w:pPr>
      <w:r>
        <w:rPr>
          <w:b/>
          <w:sz w:val="14"/>
        </w:rPr>
        <w:t>Parent</w:t>
      </w:r>
      <w:r>
        <w:rPr>
          <w:b/>
          <w:spacing w:val="-16"/>
          <w:sz w:val="14"/>
        </w:rPr>
        <w:t> </w:t>
      </w:r>
      <w:r>
        <w:rPr>
          <w:b/>
          <w:sz w:val="14"/>
        </w:rPr>
        <w:t>Entity</w:t>
      </w:r>
      <w:r>
        <w:rPr>
          <w:b/>
          <w:spacing w:val="-20"/>
          <w:sz w:val="14"/>
        </w:rPr>
        <w:t> </w:t>
      </w:r>
      <w:r>
        <w:rPr>
          <w:b/>
          <w:sz w:val="14"/>
        </w:rPr>
        <w:t>(University)</w:t>
      </w:r>
      <w:r>
        <w:rPr>
          <w:b/>
          <w:spacing w:val="-17"/>
          <w:sz w:val="14"/>
        </w:rPr>
        <w:t> </w:t>
      </w:r>
      <w:r>
        <w:rPr>
          <w:b/>
          <w:sz w:val="14"/>
        </w:rPr>
        <w:t>Only</w:t>
      </w:r>
    </w:p>
    <w:p>
      <w:pPr>
        <w:spacing w:before="112"/>
        <w:ind w:left="0" w:right="15" w:firstLine="0"/>
        <w:jc w:val="right"/>
        <w:rPr>
          <w:b/>
          <w:sz w:val="14"/>
        </w:rPr>
      </w:pPr>
      <w:r>
        <w:rPr/>
        <w:br w:type="column"/>
      </w:r>
      <w:r>
        <w:rPr>
          <w:b/>
          <w:sz w:val="14"/>
        </w:rPr>
        <w:t>2017</w:t>
      </w:r>
    </w:p>
    <w:p>
      <w:pPr>
        <w:spacing w:before="67"/>
        <w:ind w:left="0" w:right="0" w:firstLine="0"/>
        <w:jc w:val="right"/>
        <w:rPr>
          <w:b/>
          <w:sz w:val="14"/>
        </w:rPr>
      </w:pPr>
      <w:r>
        <w:rPr>
          <w:b/>
          <w:sz w:val="14"/>
        </w:rPr>
        <w:t>$'000</w:t>
      </w:r>
    </w:p>
    <w:p>
      <w:pPr>
        <w:spacing w:before="112"/>
        <w:ind w:left="439" w:right="-6" w:firstLine="0"/>
        <w:jc w:val="left"/>
        <w:rPr>
          <w:b/>
          <w:sz w:val="14"/>
        </w:rPr>
      </w:pPr>
      <w:r>
        <w:rPr/>
        <w:br w:type="column"/>
      </w:r>
      <w:r>
        <w:rPr>
          <w:b/>
          <w:sz w:val="14"/>
        </w:rPr>
        <w:t>2016</w:t>
      </w:r>
    </w:p>
    <w:p>
      <w:pPr>
        <w:spacing w:before="67"/>
        <w:ind w:left="422" w:right="-17" w:firstLine="0"/>
        <w:jc w:val="left"/>
        <w:rPr>
          <w:b/>
          <w:sz w:val="14"/>
        </w:rPr>
      </w:pPr>
      <w:r>
        <w:rPr>
          <w:b/>
          <w:spacing w:val="-1"/>
          <w:sz w:val="14"/>
        </w:rPr>
        <w:t>$'000</w:t>
      </w:r>
    </w:p>
    <w:p>
      <w:pPr>
        <w:spacing w:before="112"/>
        <w:ind w:left="463" w:right="-6" w:firstLine="0"/>
        <w:jc w:val="left"/>
        <w:rPr>
          <w:b/>
          <w:sz w:val="14"/>
        </w:rPr>
      </w:pPr>
      <w:r>
        <w:rPr/>
        <w:br w:type="column"/>
      </w:r>
      <w:r>
        <w:rPr>
          <w:b/>
          <w:sz w:val="14"/>
        </w:rPr>
        <w:t>2017</w:t>
      </w:r>
    </w:p>
    <w:p>
      <w:pPr>
        <w:spacing w:before="67"/>
        <w:ind w:left="446" w:right="-17" w:firstLine="0"/>
        <w:jc w:val="left"/>
        <w:rPr>
          <w:b/>
          <w:sz w:val="14"/>
        </w:rPr>
      </w:pPr>
      <w:r>
        <w:rPr>
          <w:b/>
          <w:spacing w:val="-1"/>
          <w:sz w:val="14"/>
        </w:rPr>
        <w:t>$'000</w:t>
      </w:r>
    </w:p>
    <w:p>
      <w:pPr>
        <w:spacing w:before="112"/>
        <w:ind w:left="439" w:right="-7" w:firstLine="0"/>
        <w:jc w:val="left"/>
        <w:rPr>
          <w:b/>
          <w:sz w:val="14"/>
        </w:rPr>
      </w:pPr>
      <w:r>
        <w:rPr/>
        <w:br w:type="column"/>
      </w:r>
      <w:r>
        <w:rPr>
          <w:b/>
          <w:sz w:val="14"/>
        </w:rPr>
        <w:t>2016</w:t>
      </w:r>
    </w:p>
    <w:p>
      <w:pPr>
        <w:spacing w:before="67"/>
        <w:ind w:left="422" w:right="-18" w:firstLine="0"/>
        <w:jc w:val="left"/>
        <w:rPr>
          <w:b/>
          <w:sz w:val="14"/>
        </w:rPr>
      </w:pPr>
      <w:r>
        <w:rPr>
          <w:b/>
          <w:spacing w:val="-1"/>
          <w:sz w:val="14"/>
        </w:rPr>
        <w:t>$'000</w:t>
      </w:r>
    </w:p>
    <w:p>
      <w:pPr>
        <w:spacing w:before="112"/>
        <w:ind w:left="463" w:right="-7" w:firstLine="0"/>
        <w:jc w:val="left"/>
        <w:rPr>
          <w:b/>
          <w:sz w:val="14"/>
        </w:rPr>
      </w:pPr>
      <w:r>
        <w:rPr/>
        <w:br w:type="column"/>
      </w:r>
      <w:r>
        <w:rPr>
          <w:b/>
          <w:sz w:val="14"/>
        </w:rPr>
        <w:t>2017</w:t>
      </w:r>
    </w:p>
    <w:p>
      <w:pPr>
        <w:spacing w:before="67"/>
        <w:ind w:left="446" w:right="-18" w:firstLine="0"/>
        <w:jc w:val="left"/>
        <w:rPr>
          <w:b/>
          <w:sz w:val="14"/>
        </w:rPr>
      </w:pPr>
      <w:r>
        <w:rPr>
          <w:b/>
          <w:spacing w:val="-1"/>
          <w:sz w:val="14"/>
        </w:rPr>
        <w:t>$'000</w:t>
      </w:r>
    </w:p>
    <w:p>
      <w:pPr>
        <w:spacing w:before="112"/>
        <w:ind w:left="439" w:right="-7" w:firstLine="0"/>
        <w:jc w:val="left"/>
        <w:rPr>
          <w:b/>
          <w:sz w:val="14"/>
        </w:rPr>
      </w:pPr>
      <w:r>
        <w:rPr/>
        <w:br w:type="column"/>
      </w:r>
      <w:r>
        <w:rPr>
          <w:b/>
          <w:sz w:val="14"/>
        </w:rPr>
        <w:t>2016</w:t>
      </w:r>
    </w:p>
    <w:p>
      <w:pPr>
        <w:spacing w:before="67"/>
        <w:ind w:left="422" w:right="-18" w:firstLine="0"/>
        <w:jc w:val="left"/>
        <w:rPr>
          <w:b/>
          <w:sz w:val="14"/>
        </w:rPr>
      </w:pPr>
      <w:r>
        <w:rPr>
          <w:b/>
          <w:spacing w:val="-1"/>
          <w:sz w:val="14"/>
        </w:rPr>
        <w:t>$'000</w:t>
      </w:r>
    </w:p>
    <w:p>
      <w:pPr>
        <w:spacing w:before="112"/>
        <w:ind w:left="451" w:right="-7" w:firstLine="0"/>
        <w:jc w:val="left"/>
        <w:rPr>
          <w:b/>
          <w:sz w:val="14"/>
        </w:rPr>
      </w:pPr>
      <w:r>
        <w:rPr/>
        <w:br w:type="column"/>
      </w:r>
      <w:r>
        <w:rPr>
          <w:b/>
          <w:sz w:val="14"/>
        </w:rPr>
        <w:t>2017</w:t>
      </w:r>
    </w:p>
    <w:p>
      <w:pPr>
        <w:spacing w:before="67"/>
        <w:ind w:left="434" w:right="-18" w:firstLine="0"/>
        <w:jc w:val="left"/>
        <w:rPr>
          <w:b/>
          <w:sz w:val="14"/>
        </w:rPr>
      </w:pPr>
      <w:r>
        <w:rPr>
          <w:b/>
          <w:spacing w:val="-1"/>
          <w:sz w:val="14"/>
        </w:rPr>
        <w:t>$'000</w:t>
      </w:r>
    </w:p>
    <w:p>
      <w:pPr>
        <w:spacing w:before="112"/>
        <w:ind w:left="451" w:right="-7" w:firstLine="0"/>
        <w:jc w:val="left"/>
        <w:rPr>
          <w:b/>
          <w:sz w:val="14"/>
        </w:rPr>
      </w:pPr>
      <w:r>
        <w:rPr/>
        <w:br w:type="column"/>
      </w:r>
      <w:r>
        <w:rPr>
          <w:b/>
          <w:sz w:val="14"/>
        </w:rPr>
        <w:t>2016</w:t>
      </w:r>
    </w:p>
    <w:p>
      <w:pPr>
        <w:spacing w:before="67"/>
        <w:ind w:left="434" w:right="-18" w:firstLine="0"/>
        <w:jc w:val="left"/>
        <w:rPr>
          <w:b/>
          <w:sz w:val="14"/>
        </w:rPr>
      </w:pPr>
      <w:r>
        <w:rPr>
          <w:b/>
          <w:spacing w:val="-1"/>
          <w:sz w:val="14"/>
        </w:rPr>
        <w:t>$'000</w:t>
      </w:r>
    </w:p>
    <w:p>
      <w:pPr>
        <w:spacing w:before="112"/>
        <w:ind w:left="463" w:right="-7" w:firstLine="0"/>
        <w:jc w:val="left"/>
        <w:rPr>
          <w:b/>
          <w:sz w:val="14"/>
        </w:rPr>
      </w:pPr>
      <w:r>
        <w:rPr/>
        <w:br w:type="column"/>
      </w:r>
      <w:r>
        <w:rPr>
          <w:b/>
          <w:sz w:val="14"/>
        </w:rPr>
        <w:t>2017</w:t>
      </w:r>
    </w:p>
    <w:p>
      <w:pPr>
        <w:spacing w:before="67"/>
        <w:ind w:left="446" w:right="-18" w:firstLine="0"/>
        <w:jc w:val="left"/>
        <w:rPr>
          <w:b/>
          <w:sz w:val="14"/>
        </w:rPr>
      </w:pPr>
      <w:r>
        <w:rPr>
          <w:b/>
          <w:spacing w:val="-1"/>
          <w:sz w:val="14"/>
        </w:rPr>
        <w:t>$'000</w:t>
      </w:r>
    </w:p>
    <w:p>
      <w:pPr>
        <w:spacing w:before="112"/>
        <w:ind w:left="439" w:right="0" w:firstLine="0"/>
        <w:jc w:val="left"/>
        <w:rPr>
          <w:b/>
          <w:sz w:val="14"/>
        </w:rPr>
      </w:pPr>
      <w:r>
        <w:rPr/>
        <w:br w:type="column"/>
      </w:r>
      <w:r>
        <w:rPr>
          <w:b/>
          <w:sz w:val="14"/>
        </w:rPr>
        <w:t>2016</w:t>
      </w:r>
    </w:p>
    <w:p>
      <w:pPr>
        <w:spacing w:before="67"/>
        <w:ind w:left="422" w:right="0" w:firstLine="0"/>
        <w:jc w:val="left"/>
        <w:rPr>
          <w:b/>
          <w:sz w:val="14"/>
        </w:rPr>
      </w:pPr>
      <w:r>
        <w:rPr>
          <w:b/>
          <w:sz w:val="14"/>
        </w:rPr>
        <w:t>$'000</w:t>
      </w:r>
    </w:p>
    <w:p>
      <w:pPr>
        <w:spacing w:after="0"/>
        <w:jc w:val="left"/>
        <w:rPr>
          <w:sz w:val="14"/>
        </w:rPr>
        <w:sectPr>
          <w:type w:val="continuous"/>
          <w:pgSz w:w="16840" w:h="11910" w:orient="landscape"/>
          <w:pgMar w:top="1580" w:bottom="280" w:left="900" w:right="880"/>
          <w:cols w:num="11" w:equalWidth="0">
            <w:col w:w="4340" w:space="350"/>
            <w:col w:w="2694" w:space="40"/>
            <w:col w:w="765" w:space="40"/>
            <w:col w:w="789" w:space="40"/>
            <w:col w:w="764" w:space="40"/>
            <w:col w:w="788" w:space="40"/>
            <w:col w:w="764" w:space="40"/>
            <w:col w:w="776" w:space="40"/>
            <w:col w:w="776" w:space="40"/>
            <w:col w:w="788" w:space="40"/>
            <w:col w:w="1106"/>
          </w:cols>
        </w:sectPr>
      </w:pPr>
    </w:p>
    <w:p>
      <w:pPr>
        <w:pStyle w:val="BodyText"/>
        <w:spacing w:before="2"/>
        <w:rPr>
          <w:b/>
          <w:sz w:val="3"/>
        </w:rPr>
      </w:pPr>
    </w:p>
    <w:tbl>
      <w:tblPr>
        <w:tblW w:w="0" w:type="auto"/>
        <w:jc w:val="left"/>
        <w:tblInd w:w="10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840"/>
        <w:gridCol w:w="886"/>
        <w:gridCol w:w="977"/>
        <w:gridCol w:w="832"/>
        <w:gridCol w:w="839"/>
        <w:gridCol w:w="793"/>
        <w:gridCol w:w="816"/>
        <w:gridCol w:w="886"/>
        <w:gridCol w:w="854"/>
        <w:gridCol w:w="670"/>
        <w:gridCol w:w="838"/>
        <w:gridCol w:w="655"/>
      </w:tblGrid>
      <w:tr>
        <w:trPr>
          <w:trHeight w:val="384" w:hRule="exact"/>
        </w:trPr>
        <w:tc>
          <w:tcPr>
            <w:tcW w:w="4840" w:type="dxa"/>
          </w:tcPr>
          <w:p>
            <w:pPr>
              <w:pStyle w:val="TableParagraph"/>
              <w:spacing w:before="25"/>
              <w:ind w:left="35" w:right="348"/>
              <w:rPr>
                <w:sz w:val="14"/>
              </w:rPr>
            </w:pPr>
            <w:r>
              <w:rPr>
                <w:sz w:val="14"/>
              </w:rPr>
              <w:t>Financial assistance received in CASH during the reporting period (total cash received from the Australian Government for the program)</w:t>
            </w:r>
          </w:p>
        </w:tc>
        <w:tc>
          <w:tcPr>
            <w:tcW w:w="886" w:type="dxa"/>
          </w:tcPr>
          <w:p>
            <w:pPr/>
          </w:p>
        </w:tc>
        <w:tc>
          <w:tcPr>
            <w:tcW w:w="977" w:type="dxa"/>
          </w:tcPr>
          <w:p>
            <w:pPr>
              <w:pStyle w:val="TableParagraph"/>
              <w:spacing w:before="2"/>
              <w:rPr>
                <w:b/>
                <w:sz w:val="16"/>
              </w:rPr>
            </w:pPr>
          </w:p>
          <w:p>
            <w:pPr>
              <w:pStyle w:val="TableParagraph"/>
              <w:ind w:right="206"/>
              <w:jc w:val="right"/>
              <w:rPr>
                <w:sz w:val="14"/>
              </w:rPr>
            </w:pPr>
            <w:r>
              <w:rPr>
                <w:sz w:val="14"/>
              </w:rPr>
              <w:t>5,484</w:t>
            </w:r>
          </w:p>
        </w:tc>
        <w:tc>
          <w:tcPr>
            <w:tcW w:w="832" w:type="dxa"/>
          </w:tcPr>
          <w:p>
            <w:pPr>
              <w:pStyle w:val="TableParagraph"/>
              <w:spacing w:before="2"/>
              <w:rPr>
                <w:b/>
                <w:sz w:val="16"/>
              </w:rPr>
            </w:pPr>
          </w:p>
          <w:p>
            <w:pPr>
              <w:pStyle w:val="TableParagraph"/>
              <w:ind w:right="245"/>
              <w:jc w:val="right"/>
              <w:rPr>
                <w:sz w:val="14"/>
              </w:rPr>
            </w:pPr>
            <w:r>
              <w:rPr>
                <w:sz w:val="14"/>
              </w:rPr>
              <w:t>5,133</w:t>
            </w:r>
          </w:p>
        </w:tc>
        <w:tc>
          <w:tcPr>
            <w:tcW w:w="839" w:type="dxa"/>
          </w:tcPr>
          <w:p>
            <w:pPr>
              <w:pStyle w:val="TableParagraph"/>
              <w:spacing w:before="2"/>
              <w:rPr>
                <w:b/>
                <w:sz w:val="16"/>
              </w:rPr>
            </w:pPr>
          </w:p>
          <w:p>
            <w:pPr>
              <w:pStyle w:val="TableParagraph"/>
              <w:ind w:right="245"/>
              <w:jc w:val="right"/>
              <w:rPr>
                <w:sz w:val="14"/>
              </w:rPr>
            </w:pPr>
            <w:r>
              <w:rPr>
                <w:sz w:val="14"/>
              </w:rPr>
              <w:t>583</w:t>
            </w:r>
          </w:p>
        </w:tc>
        <w:tc>
          <w:tcPr>
            <w:tcW w:w="793" w:type="dxa"/>
          </w:tcPr>
          <w:p>
            <w:pPr>
              <w:pStyle w:val="TableParagraph"/>
              <w:spacing w:before="2"/>
              <w:rPr>
                <w:b/>
                <w:sz w:val="16"/>
              </w:rPr>
            </w:pPr>
          </w:p>
          <w:p>
            <w:pPr>
              <w:pStyle w:val="TableParagraph"/>
              <w:ind w:right="243"/>
              <w:jc w:val="right"/>
              <w:rPr>
                <w:sz w:val="14"/>
              </w:rPr>
            </w:pPr>
            <w:r>
              <w:rPr>
                <w:sz w:val="14"/>
              </w:rPr>
              <w:t>1,146</w:t>
            </w:r>
          </w:p>
        </w:tc>
        <w:tc>
          <w:tcPr>
            <w:tcW w:w="816" w:type="dxa"/>
          </w:tcPr>
          <w:p>
            <w:pPr>
              <w:pStyle w:val="TableParagraph"/>
              <w:spacing w:before="2"/>
              <w:rPr>
                <w:b/>
                <w:sz w:val="16"/>
              </w:rPr>
            </w:pPr>
          </w:p>
          <w:p>
            <w:pPr>
              <w:pStyle w:val="TableParagraph"/>
              <w:ind w:right="221"/>
              <w:jc w:val="right"/>
              <w:rPr>
                <w:sz w:val="14"/>
              </w:rPr>
            </w:pPr>
            <w:r>
              <w:rPr>
                <w:w w:val="99"/>
                <w:sz w:val="14"/>
              </w:rPr>
              <w:t>-</w:t>
            </w:r>
          </w:p>
        </w:tc>
        <w:tc>
          <w:tcPr>
            <w:tcW w:w="886" w:type="dxa"/>
          </w:tcPr>
          <w:p>
            <w:pPr>
              <w:pStyle w:val="TableParagraph"/>
              <w:spacing w:before="2"/>
              <w:rPr>
                <w:b/>
                <w:sz w:val="16"/>
              </w:rPr>
            </w:pPr>
          </w:p>
          <w:p>
            <w:pPr>
              <w:pStyle w:val="TableParagraph"/>
              <w:ind w:right="313"/>
              <w:jc w:val="right"/>
              <w:rPr>
                <w:sz w:val="14"/>
              </w:rPr>
            </w:pPr>
            <w:r>
              <w:rPr>
                <w:sz w:val="14"/>
              </w:rPr>
              <w:t>1,136</w:t>
            </w:r>
          </w:p>
        </w:tc>
        <w:tc>
          <w:tcPr>
            <w:tcW w:w="854" w:type="dxa"/>
          </w:tcPr>
          <w:p>
            <w:pPr>
              <w:pStyle w:val="TableParagraph"/>
              <w:spacing w:before="2"/>
              <w:rPr>
                <w:b/>
                <w:sz w:val="16"/>
              </w:rPr>
            </w:pPr>
          </w:p>
          <w:p>
            <w:pPr>
              <w:pStyle w:val="TableParagraph"/>
              <w:ind w:right="351"/>
              <w:jc w:val="right"/>
              <w:rPr>
                <w:sz w:val="14"/>
              </w:rPr>
            </w:pPr>
            <w:r>
              <w:rPr>
                <w:w w:val="99"/>
                <w:sz w:val="14"/>
              </w:rPr>
              <w:t>-</w:t>
            </w:r>
          </w:p>
        </w:tc>
        <w:tc>
          <w:tcPr>
            <w:tcW w:w="670" w:type="dxa"/>
          </w:tcPr>
          <w:p>
            <w:pPr>
              <w:pStyle w:val="TableParagraph"/>
              <w:spacing w:before="2"/>
              <w:rPr>
                <w:b/>
                <w:sz w:val="16"/>
              </w:rPr>
            </w:pPr>
          </w:p>
          <w:p>
            <w:pPr>
              <w:pStyle w:val="TableParagraph"/>
              <w:ind w:right="205"/>
              <w:jc w:val="right"/>
              <w:rPr>
                <w:sz w:val="14"/>
              </w:rPr>
            </w:pPr>
            <w:r>
              <w:rPr>
                <w:w w:val="99"/>
                <w:sz w:val="14"/>
              </w:rPr>
              <w:t>-</w:t>
            </w:r>
          </w:p>
        </w:tc>
        <w:tc>
          <w:tcPr>
            <w:tcW w:w="838" w:type="dxa"/>
          </w:tcPr>
          <w:p>
            <w:pPr>
              <w:pStyle w:val="TableParagraph"/>
              <w:spacing w:before="2"/>
              <w:rPr>
                <w:b/>
                <w:sz w:val="16"/>
              </w:rPr>
            </w:pPr>
          </w:p>
          <w:p>
            <w:pPr>
              <w:pStyle w:val="TableParagraph"/>
              <w:ind w:right="206"/>
              <w:jc w:val="right"/>
              <w:rPr>
                <w:sz w:val="14"/>
              </w:rPr>
            </w:pPr>
            <w:r>
              <w:rPr>
                <w:sz w:val="14"/>
              </w:rPr>
              <w:t>6,067</w:t>
            </w:r>
          </w:p>
        </w:tc>
        <w:tc>
          <w:tcPr>
            <w:tcW w:w="655" w:type="dxa"/>
          </w:tcPr>
          <w:p>
            <w:pPr>
              <w:pStyle w:val="TableParagraph"/>
              <w:spacing w:before="2"/>
              <w:rPr>
                <w:b/>
                <w:sz w:val="16"/>
              </w:rPr>
            </w:pPr>
          </w:p>
          <w:p>
            <w:pPr>
              <w:pStyle w:val="TableParagraph"/>
              <w:ind w:right="67"/>
              <w:jc w:val="right"/>
              <w:rPr>
                <w:sz w:val="14"/>
              </w:rPr>
            </w:pPr>
            <w:r>
              <w:rPr>
                <w:sz w:val="14"/>
              </w:rPr>
              <w:t>7,415</w:t>
            </w:r>
          </w:p>
        </w:tc>
      </w:tr>
      <w:tr>
        <w:trPr>
          <w:trHeight w:val="218" w:hRule="exact"/>
        </w:trPr>
        <w:tc>
          <w:tcPr>
            <w:tcW w:w="4840" w:type="dxa"/>
          </w:tcPr>
          <w:p>
            <w:pPr>
              <w:pStyle w:val="TableParagraph"/>
              <w:spacing w:before="23"/>
              <w:ind w:left="35" w:right="348"/>
              <w:rPr>
                <w:sz w:val="14"/>
              </w:rPr>
            </w:pPr>
            <w:r>
              <w:rPr>
                <w:sz w:val="14"/>
              </w:rPr>
              <w:t>Net accrual adjustments</w:t>
            </w:r>
          </w:p>
        </w:tc>
        <w:tc>
          <w:tcPr>
            <w:tcW w:w="886" w:type="dxa"/>
          </w:tcPr>
          <w:p>
            <w:pPr/>
          </w:p>
        </w:tc>
        <w:tc>
          <w:tcPr>
            <w:tcW w:w="977" w:type="dxa"/>
            <w:tcBorders>
              <w:bottom w:val="single" w:sz="1" w:space="0" w:color="000000"/>
            </w:tcBorders>
          </w:tcPr>
          <w:p>
            <w:pPr>
              <w:pStyle w:val="TableParagraph"/>
              <w:spacing w:before="21"/>
              <w:ind w:right="206"/>
              <w:jc w:val="right"/>
              <w:rPr>
                <w:sz w:val="14"/>
              </w:rPr>
            </w:pPr>
            <w:r>
              <w:rPr>
                <w:sz w:val="14"/>
              </w:rPr>
              <w:t>373</w:t>
            </w:r>
          </w:p>
        </w:tc>
        <w:tc>
          <w:tcPr>
            <w:tcW w:w="832" w:type="dxa"/>
            <w:tcBorders>
              <w:bottom w:val="single" w:sz="1" w:space="0" w:color="000000"/>
            </w:tcBorders>
          </w:tcPr>
          <w:p>
            <w:pPr>
              <w:pStyle w:val="TableParagraph"/>
              <w:spacing w:before="21"/>
              <w:ind w:right="244"/>
              <w:jc w:val="right"/>
              <w:rPr>
                <w:sz w:val="14"/>
              </w:rPr>
            </w:pPr>
            <w:r>
              <w:rPr>
                <w:sz w:val="14"/>
              </w:rPr>
              <w:t>290</w:t>
            </w:r>
          </w:p>
        </w:tc>
        <w:tc>
          <w:tcPr>
            <w:tcW w:w="839" w:type="dxa"/>
            <w:tcBorders>
              <w:bottom w:val="single" w:sz="1" w:space="0" w:color="000000"/>
            </w:tcBorders>
          </w:tcPr>
          <w:p>
            <w:pPr>
              <w:pStyle w:val="TableParagraph"/>
              <w:spacing w:before="21"/>
              <w:ind w:right="245"/>
              <w:jc w:val="right"/>
              <w:rPr>
                <w:sz w:val="14"/>
              </w:rPr>
            </w:pPr>
            <w:r>
              <w:rPr>
                <w:sz w:val="14"/>
              </w:rPr>
              <w:t>445</w:t>
            </w:r>
          </w:p>
        </w:tc>
        <w:tc>
          <w:tcPr>
            <w:tcW w:w="793" w:type="dxa"/>
            <w:tcBorders>
              <w:bottom w:val="single" w:sz="1" w:space="0" w:color="000000"/>
            </w:tcBorders>
          </w:tcPr>
          <w:p>
            <w:pPr>
              <w:pStyle w:val="TableParagraph"/>
              <w:spacing w:before="21"/>
              <w:ind w:right="243"/>
              <w:jc w:val="right"/>
              <w:rPr>
                <w:sz w:val="14"/>
              </w:rPr>
            </w:pPr>
            <w:r>
              <w:rPr>
                <w:w w:val="99"/>
                <w:sz w:val="14"/>
              </w:rPr>
              <w:t>-</w:t>
            </w:r>
          </w:p>
        </w:tc>
        <w:tc>
          <w:tcPr>
            <w:tcW w:w="816" w:type="dxa"/>
            <w:tcBorders>
              <w:bottom w:val="single" w:sz="1" w:space="0" w:color="000000"/>
            </w:tcBorders>
          </w:tcPr>
          <w:p>
            <w:pPr>
              <w:pStyle w:val="TableParagraph"/>
              <w:spacing w:before="21"/>
              <w:ind w:right="222"/>
              <w:jc w:val="right"/>
              <w:rPr>
                <w:sz w:val="14"/>
              </w:rPr>
            </w:pPr>
            <w:r>
              <w:rPr>
                <w:sz w:val="14"/>
              </w:rPr>
              <w:t>1,161</w:t>
            </w:r>
          </w:p>
        </w:tc>
        <w:tc>
          <w:tcPr>
            <w:tcW w:w="886" w:type="dxa"/>
            <w:tcBorders>
              <w:bottom w:val="single" w:sz="1" w:space="0" w:color="000000"/>
            </w:tcBorders>
          </w:tcPr>
          <w:p>
            <w:pPr>
              <w:pStyle w:val="TableParagraph"/>
              <w:spacing w:before="21"/>
              <w:ind w:right="312"/>
              <w:jc w:val="right"/>
              <w:rPr>
                <w:sz w:val="14"/>
              </w:rPr>
            </w:pPr>
            <w:r>
              <w:rPr>
                <w:w w:val="99"/>
                <w:sz w:val="14"/>
              </w:rPr>
              <w:t>-</w:t>
            </w:r>
          </w:p>
        </w:tc>
        <w:tc>
          <w:tcPr>
            <w:tcW w:w="854" w:type="dxa"/>
            <w:tcBorders>
              <w:bottom w:val="single" w:sz="1" w:space="0" w:color="000000"/>
            </w:tcBorders>
          </w:tcPr>
          <w:p>
            <w:pPr>
              <w:pStyle w:val="TableParagraph"/>
              <w:spacing w:before="21"/>
              <w:ind w:right="352"/>
              <w:jc w:val="right"/>
              <w:rPr>
                <w:sz w:val="14"/>
              </w:rPr>
            </w:pPr>
            <w:r>
              <w:rPr>
                <w:sz w:val="14"/>
              </w:rPr>
              <w:t>249</w:t>
            </w:r>
          </w:p>
        </w:tc>
        <w:tc>
          <w:tcPr>
            <w:tcW w:w="670" w:type="dxa"/>
            <w:tcBorders>
              <w:bottom w:val="single" w:sz="1" w:space="0" w:color="000000"/>
            </w:tcBorders>
          </w:tcPr>
          <w:p>
            <w:pPr>
              <w:pStyle w:val="TableParagraph"/>
              <w:spacing w:before="21"/>
              <w:ind w:right="205"/>
              <w:jc w:val="right"/>
              <w:rPr>
                <w:sz w:val="14"/>
              </w:rPr>
            </w:pPr>
            <w:r>
              <w:rPr>
                <w:w w:val="99"/>
                <w:sz w:val="14"/>
              </w:rPr>
              <w:t>-</w:t>
            </w:r>
          </w:p>
        </w:tc>
        <w:tc>
          <w:tcPr>
            <w:tcW w:w="838" w:type="dxa"/>
            <w:tcBorders>
              <w:bottom w:val="single" w:sz="1" w:space="0" w:color="000000"/>
            </w:tcBorders>
          </w:tcPr>
          <w:p>
            <w:pPr>
              <w:pStyle w:val="TableParagraph"/>
              <w:spacing w:before="21"/>
              <w:ind w:right="206"/>
              <w:jc w:val="right"/>
              <w:rPr>
                <w:sz w:val="14"/>
              </w:rPr>
            </w:pPr>
            <w:r>
              <w:rPr>
                <w:sz w:val="14"/>
              </w:rPr>
              <w:t>2,228</w:t>
            </w:r>
          </w:p>
        </w:tc>
        <w:tc>
          <w:tcPr>
            <w:tcW w:w="655" w:type="dxa"/>
            <w:tcBorders>
              <w:bottom w:val="single" w:sz="1" w:space="0" w:color="000000"/>
            </w:tcBorders>
          </w:tcPr>
          <w:p>
            <w:pPr>
              <w:pStyle w:val="TableParagraph"/>
              <w:spacing w:before="21"/>
              <w:ind w:right="67"/>
              <w:jc w:val="right"/>
              <w:rPr>
                <w:sz w:val="14"/>
              </w:rPr>
            </w:pPr>
            <w:r>
              <w:rPr>
                <w:sz w:val="14"/>
              </w:rPr>
              <w:t>290</w:t>
            </w:r>
          </w:p>
        </w:tc>
      </w:tr>
      <w:tr>
        <w:trPr>
          <w:trHeight w:val="239" w:hRule="exact"/>
        </w:trPr>
        <w:tc>
          <w:tcPr>
            <w:tcW w:w="4840" w:type="dxa"/>
          </w:tcPr>
          <w:p>
            <w:pPr>
              <w:pStyle w:val="TableParagraph"/>
              <w:spacing w:before="42"/>
              <w:ind w:left="35" w:right="348"/>
              <w:rPr>
                <w:sz w:val="14"/>
              </w:rPr>
            </w:pPr>
            <w:r>
              <w:rPr>
                <w:sz w:val="14"/>
              </w:rPr>
              <w:t>Revenue for the period</w:t>
            </w:r>
          </w:p>
        </w:tc>
        <w:tc>
          <w:tcPr>
            <w:tcW w:w="886" w:type="dxa"/>
          </w:tcPr>
          <w:p>
            <w:pPr>
              <w:pStyle w:val="TableParagraph"/>
              <w:spacing w:before="38"/>
              <w:ind w:left="417"/>
              <w:rPr>
                <w:sz w:val="14"/>
              </w:rPr>
            </w:pPr>
            <w:r>
              <w:rPr>
                <w:sz w:val="14"/>
              </w:rPr>
              <w:t>2(d)</w:t>
            </w:r>
          </w:p>
        </w:tc>
        <w:tc>
          <w:tcPr>
            <w:tcW w:w="977" w:type="dxa"/>
            <w:tcBorders>
              <w:top w:val="single" w:sz="1" w:space="0" w:color="000000"/>
            </w:tcBorders>
          </w:tcPr>
          <w:p>
            <w:pPr>
              <w:pStyle w:val="TableParagraph"/>
              <w:spacing w:before="39"/>
              <w:ind w:right="206"/>
              <w:jc w:val="right"/>
              <w:rPr>
                <w:sz w:val="14"/>
              </w:rPr>
            </w:pPr>
            <w:r>
              <w:rPr>
                <w:sz w:val="14"/>
              </w:rPr>
              <w:t>5,857</w:t>
            </w:r>
          </w:p>
        </w:tc>
        <w:tc>
          <w:tcPr>
            <w:tcW w:w="832" w:type="dxa"/>
            <w:tcBorders>
              <w:top w:val="single" w:sz="1" w:space="0" w:color="000000"/>
            </w:tcBorders>
          </w:tcPr>
          <w:p>
            <w:pPr>
              <w:pStyle w:val="TableParagraph"/>
              <w:spacing w:before="39"/>
              <w:ind w:right="245"/>
              <w:jc w:val="right"/>
              <w:rPr>
                <w:sz w:val="14"/>
              </w:rPr>
            </w:pPr>
            <w:r>
              <w:rPr>
                <w:sz w:val="14"/>
              </w:rPr>
              <w:t>5,423</w:t>
            </w:r>
          </w:p>
        </w:tc>
        <w:tc>
          <w:tcPr>
            <w:tcW w:w="839" w:type="dxa"/>
            <w:tcBorders>
              <w:top w:val="single" w:sz="1" w:space="0" w:color="000000"/>
            </w:tcBorders>
          </w:tcPr>
          <w:p>
            <w:pPr>
              <w:pStyle w:val="TableParagraph"/>
              <w:spacing w:before="39"/>
              <w:ind w:right="245"/>
              <w:jc w:val="right"/>
              <w:rPr>
                <w:sz w:val="14"/>
              </w:rPr>
            </w:pPr>
            <w:r>
              <w:rPr>
                <w:sz w:val="14"/>
              </w:rPr>
              <w:t>1,028</w:t>
            </w:r>
          </w:p>
        </w:tc>
        <w:tc>
          <w:tcPr>
            <w:tcW w:w="793" w:type="dxa"/>
            <w:tcBorders>
              <w:top w:val="single" w:sz="1" w:space="0" w:color="000000"/>
            </w:tcBorders>
          </w:tcPr>
          <w:p>
            <w:pPr>
              <w:pStyle w:val="TableParagraph"/>
              <w:spacing w:before="39"/>
              <w:ind w:right="243"/>
              <w:jc w:val="right"/>
              <w:rPr>
                <w:sz w:val="14"/>
              </w:rPr>
            </w:pPr>
            <w:r>
              <w:rPr>
                <w:sz w:val="14"/>
              </w:rPr>
              <w:t>1,146</w:t>
            </w:r>
          </w:p>
        </w:tc>
        <w:tc>
          <w:tcPr>
            <w:tcW w:w="816" w:type="dxa"/>
            <w:tcBorders>
              <w:top w:val="single" w:sz="1" w:space="0" w:color="000000"/>
            </w:tcBorders>
          </w:tcPr>
          <w:p>
            <w:pPr>
              <w:pStyle w:val="TableParagraph"/>
              <w:spacing w:before="39"/>
              <w:ind w:right="222"/>
              <w:jc w:val="right"/>
              <w:rPr>
                <w:sz w:val="14"/>
              </w:rPr>
            </w:pPr>
            <w:r>
              <w:rPr>
                <w:sz w:val="14"/>
              </w:rPr>
              <w:t>1,161</w:t>
            </w:r>
          </w:p>
        </w:tc>
        <w:tc>
          <w:tcPr>
            <w:tcW w:w="886" w:type="dxa"/>
            <w:tcBorders>
              <w:top w:val="single" w:sz="1" w:space="0" w:color="000000"/>
            </w:tcBorders>
          </w:tcPr>
          <w:p>
            <w:pPr>
              <w:pStyle w:val="TableParagraph"/>
              <w:spacing w:before="39"/>
              <w:ind w:right="313"/>
              <w:jc w:val="right"/>
              <w:rPr>
                <w:sz w:val="14"/>
              </w:rPr>
            </w:pPr>
            <w:r>
              <w:rPr>
                <w:sz w:val="14"/>
              </w:rPr>
              <w:t>1,136</w:t>
            </w:r>
          </w:p>
        </w:tc>
        <w:tc>
          <w:tcPr>
            <w:tcW w:w="854" w:type="dxa"/>
            <w:tcBorders>
              <w:top w:val="single" w:sz="1" w:space="0" w:color="000000"/>
            </w:tcBorders>
          </w:tcPr>
          <w:p>
            <w:pPr>
              <w:pStyle w:val="TableParagraph"/>
              <w:spacing w:before="39"/>
              <w:ind w:right="352"/>
              <w:jc w:val="right"/>
              <w:rPr>
                <w:sz w:val="14"/>
              </w:rPr>
            </w:pPr>
            <w:r>
              <w:rPr>
                <w:sz w:val="14"/>
              </w:rPr>
              <w:t>249</w:t>
            </w:r>
          </w:p>
        </w:tc>
        <w:tc>
          <w:tcPr>
            <w:tcW w:w="670" w:type="dxa"/>
            <w:tcBorders>
              <w:top w:val="single" w:sz="1" w:space="0" w:color="000000"/>
            </w:tcBorders>
          </w:tcPr>
          <w:p>
            <w:pPr>
              <w:pStyle w:val="TableParagraph"/>
              <w:spacing w:before="39"/>
              <w:ind w:right="205"/>
              <w:jc w:val="right"/>
              <w:rPr>
                <w:sz w:val="14"/>
              </w:rPr>
            </w:pPr>
            <w:r>
              <w:rPr>
                <w:w w:val="99"/>
                <w:sz w:val="14"/>
              </w:rPr>
              <w:t>-</w:t>
            </w:r>
          </w:p>
        </w:tc>
        <w:tc>
          <w:tcPr>
            <w:tcW w:w="838" w:type="dxa"/>
            <w:tcBorders>
              <w:top w:val="single" w:sz="1" w:space="0" w:color="000000"/>
            </w:tcBorders>
          </w:tcPr>
          <w:p>
            <w:pPr>
              <w:pStyle w:val="TableParagraph"/>
              <w:spacing w:before="39"/>
              <w:ind w:right="206"/>
              <w:jc w:val="right"/>
              <w:rPr>
                <w:sz w:val="14"/>
              </w:rPr>
            </w:pPr>
            <w:r>
              <w:rPr>
                <w:sz w:val="14"/>
              </w:rPr>
              <w:t>8,295</w:t>
            </w:r>
          </w:p>
        </w:tc>
        <w:tc>
          <w:tcPr>
            <w:tcW w:w="655" w:type="dxa"/>
            <w:tcBorders>
              <w:top w:val="single" w:sz="1" w:space="0" w:color="000000"/>
            </w:tcBorders>
          </w:tcPr>
          <w:p>
            <w:pPr>
              <w:pStyle w:val="TableParagraph"/>
              <w:spacing w:before="39"/>
              <w:ind w:right="67"/>
              <w:jc w:val="right"/>
              <w:rPr>
                <w:sz w:val="14"/>
              </w:rPr>
            </w:pPr>
            <w:r>
              <w:rPr>
                <w:sz w:val="14"/>
              </w:rPr>
              <w:t>7,705</w:t>
            </w:r>
          </w:p>
        </w:tc>
      </w:tr>
      <w:tr>
        <w:trPr>
          <w:trHeight w:val="217" w:hRule="exact"/>
        </w:trPr>
        <w:tc>
          <w:tcPr>
            <w:tcW w:w="4840" w:type="dxa"/>
          </w:tcPr>
          <w:p>
            <w:pPr>
              <w:pStyle w:val="TableParagraph"/>
              <w:spacing w:before="22"/>
              <w:ind w:left="35" w:right="348"/>
              <w:rPr>
                <w:sz w:val="14"/>
              </w:rPr>
            </w:pPr>
            <w:r>
              <w:rPr>
                <w:sz w:val="14"/>
              </w:rPr>
              <w:t>Surplus/(deficit) from the previous year</w:t>
            </w:r>
          </w:p>
        </w:tc>
        <w:tc>
          <w:tcPr>
            <w:tcW w:w="886" w:type="dxa"/>
          </w:tcPr>
          <w:p>
            <w:pPr/>
          </w:p>
        </w:tc>
        <w:tc>
          <w:tcPr>
            <w:tcW w:w="977" w:type="dxa"/>
            <w:tcBorders>
              <w:bottom w:val="single" w:sz="1" w:space="0" w:color="000000"/>
            </w:tcBorders>
          </w:tcPr>
          <w:p>
            <w:pPr>
              <w:pStyle w:val="TableParagraph"/>
              <w:spacing w:before="20"/>
              <w:ind w:right="206"/>
              <w:jc w:val="right"/>
              <w:rPr>
                <w:sz w:val="14"/>
              </w:rPr>
            </w:pPr>
            <w:r>
              <w:rPr>
                <w:sz w:val="14"/>
              </w:rPr>
              <w:t>4,239</w:t>
            </w:r>
          </w:p>
        </w:tc>
        <w:tc>
          <w:tcPr>
            <w:tcW w:w="832" w:type="dxa"/>
            <w:tcBorders>
              <w:bottom w:val="single" w:sz="1" w:space="0" w:color="000000"/>
            </w:tcBorders>
          </w:tcPr>
          <w:p>
            <w:pPr>
              <w:pStyle w:val="TableParagraph"/>
              <w:spacing w:before="20"/>
              <w:ind w:right="245"/>
              <w:jc w:val="right"/>
              <w:rPr>
                <w:sz w:val="14"/>
              </w:rPr>
            </w:pPr>
            <w:r>
              <w:rPr>
                <w:sz w:val="14"/>
              </w:rPr>
              <w:t>5,072</w:t>
            </w:r>
          </w:p>
        </w:tc>
        <w:tc>
          <w:tcPr>
            <w:tcW w:w="839" w:type="dxa"/>
            <w:tcBorders>
              <w:bottom w:val="single" w:sz="1" w:space="0" w:color="000000"/>
            </w:tcBorders>
          </w:tcPr>
          <w:p>
            <w:pPr>
              <w:pStyle w:val="TableParagraph"/>
              <w:spacing w:before="20"/>
              <w:ind w:right="245"/>
              <w:jc w:val="right"/>
              <w:rPr>
                <w:sz w:val="14"/>
              </w:rPr>
            </w:pPr>
            <w:r>
              <w:rPr>
                <w:sz w:val="14"/>
              </w:rPr>
              <w:t>1,321</w:t>
            </w:r>
          </w:p>
        </w:tc>
        <w:tc>
          <w:tcPr>
            <w:tcW w:w="793" w:type="dxa"/>
            <w:tcBorders>
              <w:bottom w:val="single" w:sz="1" w:space="0" w:color="000000"/>
            </w:tcBorders>
          </w:tcPr>
          <w:p>
            <w:pPr>
              <w:pStyle w:val="TableParagraph"/>
              <w:spacing w:before="20"/>
              <w:ind w:right="243"/>
              <w:jc w:val="right"/>
              <w:rPr>
                <w:sz w:val="14"/>
              </w:rPr>
            </w:pPr>
            <w:r>
              <w:rPr>
                <w:sz w:val="14"/>
              </w:rPr>
              <w:t>1,058</w:t>
            </w:r>
          </w:p>
        </w:tc>
        <w:tc>
          <w:tcPr>
            <w:tcW w:w="816" w:type="dxa"/>
            <w:tcBorders>
              <w:bottom w:val="single" w:sz="1" w:space="0" w:color="000000"/>
            </w:tcBorders>
          </w:tcPr>
          <w:p>
            <w:pPr>
              <w:pStyle w:val="TableParagraph"/>
              <w:spacing w:before="20"/>
              <w:ind w:right="222"/>
              <w:jc w:val="right"/>
              <w:rPr>
                <w:sz w:val="14"/>
              </w:rPr>
            </w:pPr>
            <w:r>
              <w:rPr>
                <w:sz w:val="14"/>
              </w:rPr>
              <w:t>918</w:t>
            </w:r>
          </w:p>
        </w:tc>
        <w:tc>
          <w:tcPr>
            <w:tcW w:w="886" w:type="dxa"/>
            <w:tcBorders>
              <w:bottom w:val="single" w:sz="1" w:space="0" w:color="000000"/>
            </w:tcBorders>
          </w:tcPr>
          <w:p>
            <w:pPr>
              <w:pStyle w:val="TableParagraph"/>
              <w:spacing w:before="20"/>
              <w:ind w:right="313"/>
              <w:jc w:val="right"/>
              <w:rPr>
                <w:sz w:val="14"/>
              </w:rPr>
            </w:pPr>
            <w:r>
              <w:rPr>
                <w:sz w:val="14"/>
              </w:rPr>
              <w:t>1,052</w:t>
            </w:r>
          </w:p>
        </w:tc>
        <w:tc>
          <w:tcPr>
            <w:tcW w:w="854" w:type="dxa"/>
            <w:tcBorders>
              <w:bottom w:val="single" w:sz="1" w:space="0" w:color="000000"/>
            </w:tcBorders>
          </w:tcPr>
          <w:p>
            <w:pPr>
              <w:pStyle w:val="TableParagraph"/>
              <w:spacing w:before="20"/>
              <w:ind w:right="352"/>
              <w:jc w:val="right"/>
              <w:rPr>
                <w:sz w:val="14"/>
              </w:rPr>
            </w:pPr>
            <w:r>
              <w:rPr>
                <w:sz w:val="14"/>
              </w:rPr>
              <w:t>20</w:t>
            </w:r>
          </w:p>
        </w:tc>
        <w:tc>
          <w:tcPr>
            <w:tcW w:w="670" w:type="dxa"/>
            <w:tcBorders>
              <w:bottom w:val="single" w:sz="1" w:space="0" w:color="000000"/>
            </w:tcBorders>
          </w:tcPr>
          <w:p>
            <w:pPr>
              <w:pStyle w:val="TableParagraph"/>
              <w:spacing w:before="20"/>
              <w:ind w:right="207"/>
              <w:jc w:val="right"/>
              <w:rPr>
                <w:sz w:val="14"/>
              </w:rPr>
            </w:pPr>
            <w:r>
              <w:rPr>
                <w:sz w:val="14"/>
              </w:rPr>
              <w:t>20</w:t>
            </w:r>
          </w:p>
        </w:tc>
        <w:tc>
          <w:tcPr>
            <w:tcW w:w="838" w:type="dxa"/>
            <w:tcBorders>
              <w:bottom w:val="single" w:sz="1" w:space="0" w:color="000000"/>
            </w:tcBorders>
          </w:tcPr>
          <w:p>
            <w:pPr>
              <w:pStyle w:val="TableParagraph"/>
              <w:spacing w:before="20"/>
              <w:ind w:right="206"/>
              <w:jc w:val="right"/>
              <w:rPr>
                <w:sz w:val="14"/>
              </w:rPr>
            </w:pPr>
            <w:r>
              <w:rPr>
                <w:sz w:val="14"/>
              </w:rPr>
              <w:t>6,498</w:t>
            </w:r>
          </w:p>
        </w:tc>
        <w:tc>
          <w:tcPr>
            <w:tcW w:w="655" w:type="dxa"/>
            <w:tcBorders>
              <w:bottom w:val="single" w:sz="1" w:space="0" w:color="000000"/>
            </w:tcBorders>
          </w:tcPr>
          <w:p>
            <w:pPr>
              <w:pStyle w:val="TableParagraph"/>
              <w:spacing w:before="20"/>
              <w:ind w:right="67"/>
              <w:jc w:val="right"/>
              <w:rPr>
                <w:sz w:val="14"/>
              </w:rPr>
            </w:pPr>
            <w:r>
              <w:rPr>
                <w:sz w:val="14"/>
              </w:rPr>
              <w:t>7,202</w:t>
            </w:r>
          </w:p>
        </w:tc>
      </w:tr>
      <w:tr>
        <w:trPr>
          <w:trHeight w:val="239" w:hRule="exact"/>
        </w:trPr>
        <w:tc>
          <w:tcPr>
            <w:tcW w:w="4840" w:type="dxa"/>
          </w:tcPr>
          <w:p>
            <w:pPr>
              <w:pStyle w:val="TableParagraph"/>
              <w:spacing w:before="42"/>
              <w:ind w:left="35" w:right="348"/>
              <w:rPr>
                <w:sz w:val="14"/>
              </w:rPr>
            </w:pPr>
            <w:r>
              <w:rPr>
                <w:sz w:val="14"/>
              </w:rPr>
              <w:t>Total revenue including accrued revenue</w:t>
            </w:r>
          </w:p>
        </w:tc>
        <w:tc>
          <w:tcPr>
            <w:tcW w:w="886" w:type="dxa"/>
          </w:tcPr>
          <w:p>
            <w:pPr/>
          </w:p>
        </w:tc>
        <w:tc>
          <w:tcPr>
            <w:tcW w:w="977" w:type="dxa"/>
            <w:tcBorders>
              <w:top w:val="single" w:sz="1" w:space="0" w:color="000000"/>
            </w:tcBorders>
          </w:tcPr>
          <w:p>
            <w:pPr>
              <w:pStyle w:val="TableParagraph"/>
              <w:spacing w:before="39"/>
              <w:ind w:right="206"/>
              <w:jc w:val="right"/>
              <w:rPr>
                <w:sz w:val="14"/>
              </w:rPr>
            </w:pPr>
            <w:r>
              <w:rPr>
                <w:w w:val="95"/>
                <w:sz w:val="14"/>
              </w:rPr>
              <w:t>10,096</w:t>
            </w:r>
          </w:p>
        </w:tc>
        <w:tc>
          <w:tcPr>
            <w:tcW w:w="832" w:type="dxa"/>
            <w:tcBorders>
              <w:top w:val="single" w:sz="1" w:space="0" w:color="000000"/>
            </w:tcBorders>
          </w:tcPr>
          <w:p>
            <w:pPr>
              <w:pStyle w:val="TableParagraph"/>
              <w:spacing w:before="39"/>
              <w:ind w:right="244"/>
              <w:jc w:val="right"/>
              <w:rPr>
                <w:sz w:val="14"/>
              </w:rPr>
            </w:pPr>
            <w:r>
              <w:rPr>
                <w:w w:val="95"/>
                <w:sz w:val="14"/>
              </w:rPr>
              <w:t>10,495</w:t>
            </w:r>
          </w:p>
        </w:tc>
        <w:tc>
          <w:tcPr>
            <w:tcW w:w="839" w:type="dxa"/>
            <w:tcBorders>
              <w:top w:val="single" w:sz="1" w:space="0" w:color="000000"/>
            </w:tcBorders>
          </w:tcPr>
          <w:p>
            <w:pPr>
              <w:pStyle w:val="TableParagraph"/>
              <w:spacing w:before="39"/>
              <w:ind w:right="245"/>
              <w:jc w:val="right"/>
              <w:rPr>
                <w:sz w:val="14"/>
              </w:rPr>
            </w:pPr>
            <w:r>
              <w:rPr>
                <w:sz w:val="14"/>
              </w:rPr>
              <w:t>2,349</w:t>
            </w:r>
          </w:p>
        </w:tc>
        <w:tc>
          <w:tcPr>
            <w:tcW w:w="793" w:type="dxa"/>
            <w:tcBorders>
              <w:top w:val="single" w:sz="1" w:space="0" w:color="000000"/>
            </w:tcBorders>
          </w:tcPr>
          <w:p>
            <w:pPr>
              <w:pStyle w:val="TableParagraph"/>
              <w:spacing w:before="39"/>
              <w:ind w:right="243"/>
              <w:jc w:val="right"/>
              <w:rPr>
                <w:sz w:val="14"/>
              </w:rPr>
            </w:pPr>
            <w:r>
              <w:rPr>
                <w:sz w:val="14"/>
              </w:rPr>
              <w:t>2,204</w:t>
            </w:r>
          </w:p>
        </w:tc>
        <w:tc>
          <w:tcPr>
            <w:tcW w:w="816" w:type="dxa"/>
            <w:tcBorders>
              <w:top w:val="single" w:sz="1" w:space="0" w:color="000000"/>
            </w:tcBorders>
          </w:tcPr>
          <w:p>
            <w:pPr>
              <w:pStyle w:val="TableParagraph"/>
              <w:spacing w:before="39"/>
              <w:ind w:right="222"/>
              <w:jc w:val="right"/>
              <w:rPr>
                <w:sz w:val="14"/>
              </w:rPr>
            </w:pPr>
            <w:r>
              <w:rPr>
                <w:sz w:val="14"/>
              </w:rPr>
              <w:t>2,079</w:t>
            </w:r>
          </w:p>
        </w:tc>
        <w:tc>
          <w:tcPr>
            <w:tcW w:w="886" w:type="dxa"/>
            <w:tcBorders>
              <w:top w:val="single" w:sz="1" w:space="0" w:color="000000"/>
            </w:tcBorders>
          </w:tcPr>
          <w:p>
            <w:pPr>
              <w:pStyle w:val="TableParagraph"/>
              <w:spacing w:before="39"/>
              <w:ind w:right="313"/>
              <w:jc w:val="right"/>
              <w:rPr>
                <w:sz w:val="14"/>
              </w:rPr>
            </w:pPr>
            <w:r>
              <w:rPr>
                <w:sz w:val="14"/>
              </w:rPr>
              <w:t>2,188</w:t>
            </w:r>
          </w:p>
        </w:tc>
        <w:tc>
          <w:tcPr>
            <w:tcW w:w="854" w:type="dxa"/>
            <w:tcBorders>
              <w:top w:val="single" w:sz="1" w:space="0" w:color="000000"/>
            </w:tcBorders>
          </w:tcPr>
          <w:p>
            <w:pPr>
              <w:pStyle w:val="TableParagraph"/>
              <w:spacing w:before="39"/>
              <w:ind w:right="352"/>
              <w:jc w:val="right"/>
              <w:rPr>
                <w:sz w:val="14"/>
              </w:rPr>
            </w:pPr>
            <w:r>
              <w:rPr>
                <w:sz w:val="14"/>
              </w:rPr>
              <w:t>269</w:t>
            </w:r>
          </w:p>
        </w:tc>
        <w:tc>
          <w:tcPr>
            <w:tcW w:w="670" w:type="dxa"/>
            <w:tcBorders>
              <w:top w:val="single" w:sz="1" w:space="0" w:color="000000"/>
            </w:tcBorders>
          </w:tcPr>
          <w:p>
            <w:pPr>
              <w:pStyle w:val="TableParagraph"/>
              <w:spacing w:before="39"/>
              <w:ind w:right="207"/>
              <w:jc w:val="right"/>
              <w:rPr>
                <w:sz w:val="14"/>
              </w:rPr>
            </w:pPr>
            <w:r>
              <w:rPr>
                <w:sz w:val="14"/>
              </w:rPr>
              <w:t>20</w:t>
            </w:r>
          </w:p>
        </w:tc>
        <w:tc>
          <w:tcPr>
            <w:tcW w:w="838" w:type="dxa"/>
            <w:tcBorders>
              <w:top w:val="single" w:sz="1" w:space="0" w:color="000000"/>
            </w:tcBorders>
          </w:tcPr>
          <w:p>
            <w:pPr>
              <w:pStyle w:val="TableParagraph"/>
              <w:spacing w:before="39"/>
              <w:ind w:right="206"/>
              <w:jc w:val="right"/>
              <w:rPr>
                <w:sz w:val="14"/>
              </w:rPr>
            </w:pPr>
            <w:r>
              <w:rPr>
                <w:w w:val="95"/>
                <w:sz w:val="14"/>
              </w:rPr>
              <w:t>14,793</w:t>
            </w:r>
          </w:p>
        </w:tc>
        <w:tc>
          <w:tcPr>
            <w:tcW w:w="655" w:type="dxa"/>
            <w:tcBorders>
              <w:top w:val="single" w:sz="1" w:space="0" w:color="000000"/>
            </w:tcBorders>
          </w:tcPr>
          <w:p>
            <w:pPr>
              <w:pStyle w:val="TableParagraph"/>
              <w:spacing w:before="39"/>
              <w:ind w:right="67"/>
              <w:jc w:val="right"/>
              <w:rPr>
                <w:sz w:val="14"/>
              </w:rPr>
            </w:pPr>
            <w:r>
              <w:rPr>
                <w:w w:val="95"/>
                <w:sz w:val="14"/>
              </w:rPr>
              <w:t>14,907</w:t>
            </w:r>
          </w:p>
        </w:tc>
      </w:tr>
      <w:tr>
        <w:trPr>
          <w:trHeight w:val="217" w:hRule="exact"/>
        </w:trPr>
        <w:tc>
          <w:tcPr>
            <w:tcW w:w="4840" w:type="dxa"/>
          </w:tcPr>
          <w:p>
            <w:pPr>
              <w:pStyle w:val="TableParagraph"/>
              <w:spacing w:before="22"/>
              <w:ind w:left="35" w:right="348"/>
              <w:rPr>
                <w:sz w:val="14"/>
              </w:rPr>
            </w:pPr>
            <w:r>
              <w:rPr>
                <w:sz w:val="14"/>
              </w:rPr>
              <w:t>Less expenses including accrued expenses</w:t>
            </w:r>
          </w:p>
        </w:tc>
        <w:tc>
          <w:tcPr>
            <w:tcW w:w="886" w:type="dxa"/>
          </w:tcPr>
          <w:p>
            <w:pPr/>
          </w:p>
        </w:tc>
        <w:tc>
          <w:tcPr>
            <w:tcW w:w="977" w:type="dxa"/>
            <w:tcBorders>
              <w:bottom w:val="single" w:sz="1" w:space="0" w:color="000000"/>
            </w:tcBorders>
          </w:tcPr>
          <w:p>
            <w:pPr>
              <w:pStyle w:val="TableParagraph"/>
              <w:spacing w:before="20"/>
              <w:ind w:right="161"/>
              <w:jc w:val="right"/>
              <w:rPr>
                <w:sz w:val="14"/>
              </w:rPr>
            </w:pPr>
            <w:r>
              <w:rPr>
                <w:w w:val="95"/>
                <w:sz w:val="14"/>
              </w:rPr>
              <w:t>(5,949)</w:t>
            </w:r>
          </w:p>
        </w:tc>
        <w:tc>
          <w:tcPr>
            <w:tcW w:w="832" w:type="dxa"/>
            <w:tcBorders>
              <w:bottom w:val="single" w:sz="1" w:space="0" w:color="000000"/>
            </w:tcBorders>
          </w:tcPr>
          <w:p>
            <w:pPr>
              <w:pStyle w:val="TableParagraph"/>
              <w:spacing w:before="20"/>
              <w:ind w:right="198"/>
              <w:jc w:val="right"/>
              <w:rPr>
                <w:sz w:val="14"/>
              </w:rPr>
            </w:pPr>
            <w:r>
              <w:rPr>
                <w:w w:val="95"/>
                <w:sz w:val="14"/>
              </w:rPr>
              <w:t>(6,256)</w:t>
            </w:r>
          </w:p>
        </w:tc>
        <w:tc>
          <w:tcPr>
            <w:tcW w:w="839" w:type="dxa"/>
            <w:tcBorders>
              <w:bottom w:val="single" w:sz="1" w:space="0" w:color="000000"/>
            </w:tcBorders>
          </w:tcPr>
          <w:p>
            <w:pPr>
              <w:pStyle w:val="TableParagraph"/>
              <w:spacing w:before="20"/>
              <w:ind w:right="199"/>
              <w:jc w:val="right"/>
              <w:rPr>
                <w:sz w:val="14"/>
              </w:rPr>
            </w:pPr>
            <w:r>
              <w:rPr>
                <w:w w:val="95"/>
                <w:sz w:val="14"/>
              </w:rPr>
              <w:t>(1,321)</w:t>
            </w:r>
          </w:p>
        </w:tc>
        <w:tc>
          <w:tcPr>
            <w:tcW w:w="793" w:type="dxa"/>
            <w:tcBorders>
              <w:bottom w:val="single" w:sz="1" w:space="0" w:color="000000"/>
            </w:tcBorders>
          </w:tcPr>
          <w:p>
            <w:pPr>
              <w:pStyle w:val="TableParagraph"/>
              <w:spacing w:before="20"/>
              <w:ind w:right="198"/>
              <w:jc w:val="right"/>
              <w:rPr>
                <w:sz w:val="14"/>
              </w:rPr>
            </w:pPr>
            <w:r>
              <w:rPr>
                <w:sz w:val="14"/>
              </w:rPr>
              <w:t>(883)</w:t>
            </w:r>
          </w:p>
        </w:tc>
        <w:tc>
          <w:tcPr>
            <w:tcW w:w="816" w:type="dxa"/>
            <w:tcBorders>
              <w:bottom w:val="single" w:sz="1" w:space="0" w:color="000000"/>
            </w:tcBorders>
          </w:tcPr>
          <w:p>
            <w:pPr>
              <w:pStyle w:val="TableParagraph"/>
              <w:spacing w:before="20"/>
              <w:ind w:right="176"/>
              <w:jc w:val="right"/>
              <w:rPr>
                <w:sz w:val="14"/>
              </w:rPr>
            </w:pPr>
            <w:r>
              <w:rPr>
                <w:w w:val="95"/>
                <w:sz w:val="14"/>
              </w:rPr>
              <w:t>(1,341)</w:t>
            </w:r>
          </w:p>
        </w:tc>
        <w:tc>
          <w:tcPr>
            <w:tcW w:w="886" w:type="dxa"/>
            <w:tcBorders>
              <w:bottom w:val="single" w:sz="1" w:space="0" w:color="000000"/>
            </w:tcBorders>
          </w:tcPr>
          <w:p>
            <w:pPr>
              <w:pStyle w:val="TableParagraph"/>
              <w:spacing w:before="20"/>
              <w:ind w:right="267"/>
              <w:jc w:val="right"/>
              <w:rPr>
                <w:sz w:val="14"/>
              </w:rPr>
            </w:pPr>
            <w:r>
              <w:rPr>
                <w:w w:val="95"/>
                <w:sz w:val="14"/>
              </w:rPr>
              <w:t>(1,270)</w:t>
            </w:r>
          </w:p>
        </w:tc>
        <w:tc>
          <w:tcPr>
            <w:tcW w:w="854" w:type="dxa"/>
            <w:tcBorders>
              <w:bottom w:val="single" w:sz="1" w:space="0" w:color="000000"/>
            </w:tcBorders>
          </w:tcPr>
          <w:p>
            <w:pPr>
              <w:pStyle w:val="TableParagraph"/>
              <w:spacing w:before="20"/>
              <w:ind w:right="306"/>
              <w:jc w:val="right"/>
              <w:rPr>
                <w:sz w:val="14"/>
              </w:rPr>
            </w:pPr>
            <w:r>
              <w:rPr>
                <w:sz w:val="14"/>
              </w:rPr>
              <w:t>(57)</w:t>
            </w:r>
          </w:p>
        </w:tc>
        <w:tc>
          <w:tcPr>
            <w:tcW w:w="670" w:type="dxa"/>
            <w:tcBorders>
              <w:bottom w:val="single" w:sz="1" w:space="0" w:color="000000"/>
            </w:tcBorders>
          </w:tcPr>
          <w:p>
            <w:pPr>
              <w:pStyle w:val="TableParagraph"/>
              <w:spacing w:before="20"/>
              <w:ind w:right="205"/>
              <w:jc w:val="right"/>
              <w:rPr>
                <w:sz w:val="14"/>
              </w:rPr>
            </w:pPr>
            <w:r>
              <w:rPr>
                <w:w w:val="99"/>
                <w:sz w:val="14"/>
              </w:rPr>
              <w:t>-</w:t>
            </w:r>
          </w:p>
        </w:tc>
        <w:tc>
          <w:tcPr>
            <w:tcW w:w="838" w:type="dxa"/>
            <w:tcBorders>
              <w:bottom w:val="single" w:sz="1" w:space="0" w:color="000000"/>
            </w:tcBorders>
          </w:tcPr>
          <w:p>
            <w:pPr>
              <w:pStyle w:val="TableParagraph"/>
              <w:spacing w:before="20"/>
              <w:ind w:right="161"/>
              <w:jc w:val="right"/>
              <w:rPr>
                <w:sz w:val="14"/>
              </w:rPr>
            </w:pPr>
            <w:r>
              <w:rPr>
                <w:w w:val="95"/>
                <w:sz w:val="14"/>
              </w:rPr>
              <w:t>(8,668)</w:t>
            </w:r>
          </w:p>
        </w:tc>
        <w:tc>
          <w:tcPr>
            <w:tcW w:w="655" w:type="dxa"/>
            <w:tcBorders>
              <w:bottom w:val="single" w:sz="1" w:space="0" w:color="000000"/>
            </w:tcBorders>
          </w:tcPr>
          <w:p>
            <w:pPr>
              <w:pStyle w:val="TableParagraph"/>
              <w:spacing w:before="20"/>
              <w:ind w:right="21"/>
              <w:jc w:val="right"/>
              <w:rPr>
                <w:sz w:val="14"/>
              </w:rPr>
            </w:pPr>
            <w:r>
              <w:rPr>
                <w:w w:val="95"/>
                <w:sz w:val="14"/>
              </w:rPr>
              <w:t>(8,409)</w:t>
            </w:r>
          </w:p>
        </w:tc>
      </w:tr>
      <w:tr>
        <w:trPr>
          <w:trHeight w:val="252" w:hRule="exact"/>
        </w:trPr>
        <w:tc>
          <w:tcPr>
            <w:tcW w:w="4840" w:type="dxa"/>
          </w:tcPr>
          <w:p>
            <w:pPr>
              <w:pStyle w:val="TableParagraph"/>
              <w:spacing w:before="42"/>
              <w:ind w:left="35" w:right="348"/>
              <w:rPr>
                <w:sz w:val="14"/>
              </w:rPr>
            </w:pPr>
            <w:r>
              <w:rPr>
                <w:sz w:val="14"/>
              </w:rPr>
              <w:t>Surplus/(deficit) for reporting period</w:t>
            </w:r>
          </w:p>
        </w:tc>
        <w:tc>
          <w:tcPr>
            <w:tcW w:w="886" w:type="dxa"/>
          </w:tcPr>
          <w:p>
            <w:pPr/>
          </w:p>
        </w:tc>
        <w:tc>
          <w:tcPr>
            <w:tcW w:w="977" w:type="dxa"/>
            <w:tcBorders>
              <w:top w:val="single" w:sz="1" w:space="0" w:color="000000"/>
              <w:bottom w:val="single" w:sz="1" w:space="0" w:color="000000"/>
            </w:tcBorders>
          </w:tcPr>
          <w:p>
            <w:pPr>
              <w:pStyle w:val="TableParagraph"/>
              <w:spacing w:before="39"/>
              <w:ind w:right="206"/>
              <w:jc w:val="right"/>
              <w:rPr>
                <w:sz w:val="14"/>
              </w:rPr>
            </w:pPr>
            <w:r>
              <w:rPr>
                <w:sz w:val="14"/>
              </w:rPr>
              <w:t>4,147</w:t>
            </w:r>
          </w:p>
        </w:tc>
        <w:tc>
          <w:tcPr>
            <w:tcW w:w="832" w:type="dxa"/>
            <w:tcBorders>
              <w:top w:val="single" w:sz="1" w:space="0" w:color="000000"/>
              <w:bottom w:val="single" w:sz="1" w:space="0" w:color="000000"/>
            </w:tcBorders>
          </w:tcPr>
          <w:p>
            <w:pPr>
              <w:pStyle w:val="TableParagraph"/>
              <w:spacing w:before="39"/>
              <w:ind w:right="245"/>
              <w:jc w:val="right"/>
              <w:rPr>
                <w:sz w:val="14"/>
              </w:rPr>
            </w:pPr>
            <w:r>
              <w:rPr>
                <w:sz w:val="14"/>
              </w:rPr>
              <w:t>4,239</w:t>
            </w:r>
          </w:p>
        </w:tc>
        <w:tc>
          <w:tcPr>
            <w:tcW w:w="839" w:type="dxa"/>
            <w:tcBorders>
              <w:top w:val="single" w:sz="1" w:space="0" w:color="000000"/>
              <w:bottom w:val="single" w:sz="1" w:space="0" w:color="000000"/>
            </w:tcBorders>
          </w:tcPr>
          <w:p>
            <w:pPr>
              <w:pStyle w:val="TableParagraph"/>
              <w:spacing w:before="39"/>
              <w:ind w:right="245"/>
              <w:jc w:val="right"/>
              <w:rPr>
                <w:sz w:val="14"/>
              </w:rPr>
            </w:pPr>
            <w:r>
              <w:rPr>
                <w:sz w:val="14"/>
              </w:rPr>
              <w:t>1,028</w:t>
            </w:r>
          </w:p>
        </w:tc>
        <w:tc>
          <w:tcPr>
            <w:tcW w:w="793" w:type="dxa"/>
            <w:tcBorders>
              <w:top w:val="single" w:sz="1" w:space="0" w:color="000000"/>
              <w:bottom w:val="single" w:sz="1" w:space="0" w:color="000000"/>
            </w:tcBorders>
          </w:tcPr>
          <w:p>
            <w:pPr>
              <w:pStyle w:val="TableParagraph"/>
              <w:spacing w:before="39"/>
              <w:ind w:right="243"/>
              <w:jc w:val="right"/>
              <w:rPr>
                <w:sz w:val="14"/>
              </w:rPr>
            </w:pPr>
            <w:r>
              <w:rPr>
                <w:sz w:val="14"/>
              </w:rPr>
              <w:t>1,321</w:t>
            </w:r>
          </w:p>
        </w:tc>
        <w:tc>
          <w:tcPr>
            <w:tcW w:w="816" w:type="dxa"/>
            <w:tcBorders>
              <w:top w:val="single" w:sz="1" w:space="0" w:color="000000"/>
              <w:bottom w:val="single" w:sz="1" w:space="0" w:color="000000"/>
            </w:tcBorders>
          </w:tcPr>
          <w:p>
            <w:pPr>
              <w:pStyle w:val="TableParagraph"/>
              <w:spacing w:before="39"/>
              <w:ind w:right="222"/>
              <w:jc w:val="right"/>
              <w:rPr>
                <w:sz w:val="14"/>
              </w:rPr>
            </w:pPr>
            <w:r>
              <w:rPr>
                <w:sz w:val="14"/>
              </w:rPr>
              <w:t>738</w:t>
            </w:r>
          </w:p>
        </w:tc>
        <w:tc>
          <w:tcPr>
            <w:tcW w:w="886" w:type="dxa"/>
            <w:tcBorders>
              <w:top w:val="single" w:sz="1" w:space="0" w:color="000000"/>
              <w:bottom w:val="single" w:sz="1" w:space="0" w:color="000000"/>
            </w:tcBorders>
          </w:tcPr>
          <w:p>
            <w:pPr>
              <w:pStyle w:val="TableParagraph"/>
              <w:spacing w:before="39"/>
              <w:ind w:right="313"/>
              <w:jc w:val="right"/>
              <w:rPr>
                <w:sz w:val="14"/>
              </w:rPr>
            </w:pPr>
            <w:r>
              <w:rPr>
                <w:sz w:val="14"/>
              </w:rPr>
              <w:t>918</w:t>
            </w:r>
          </w:p>
        </w:tc>
        <w:tc>
          <w:tcPr>
            <w:tcW w:w="854" w:type="dxa"/>
            <w:tcBorders>
              <w:top w:val="single" w:sz="1" w:space="0" w:color="000000"/>
              <w:bottom w:val="single" w:sz="1" w:space="0" w:color="000000"/>
            </w:tcBorders>
          </w:tcPr>
          <w:p>
            <w:pPr>
              <w:pStyle w:val="TableParagraph"/>
              <w:spacing w:before="39"/>
              <w:ind w:right="352"/>
              <w:jc w:val="right"/>
              <w:rPr>
                <w:sz w:val="14"/>
              </w:rPr>
            </w:pPr>
            <w:r>
              <w:rPr>
                <w:sz w:val="14"/>
              </w:rPr>
              <w:t>212</w:t>
            </w:r>
          </w:p>
        </w:tc>
        <w:tc>
          <w:tcPr>
            <w:tcW w:w="670" w:type="dxa"/>
            <w:tcBorders>
              <w:top w:val="single" w:sz="1" w:space="0" w:color="000000"/>
              <w:bottom w:val="single" w:sz="1" w:space="0" w:color="000000"/>
            </w:tcBorders>
          </w:tcPr>
          <w:p>
            <w:pPr>
              <w:pStyle w:val="TableParagraph"/>
              <w:spacing w:before="39"/>
              <w:ind w:right="207"/>
              <w:jc w:val="right"/>
              <w:rPr>
                <w:sz w:val="14"/>
              </w:rPr>
            </w:pPr>
            <w:r>
              <w:rPr>
                <w:sz w:val="14"/>
              </w:rPr>
              <w:t>20</w:t>
            </w:r>
          </w:p>
        </w:tc>
        <w:tc>
          <w:tcPr>
            <w:tcW w:w="838" w:type="dxa"/>
            <w:tcBorders>
              <w:top w:val="single" w:sz="1" w:space="0" w:color="000000"/>
              <w:bottom w:val="single" w:sz="1" w:space="0" w:color="000000"/>
            </w:tcBorders>
          </w:tcPr>
          <w:p>
            <w:pPr>
              <w:pStyle w:val="TableParagraph"/>
              <w:spacing w:before="39"/>
              <w:ind w:right="206"/>
              <w:jc w:val="right"/>
              <w:rPr>
                <w:sz w:val="14"/>
              </w:rPr>
            </w:pPr>
            <w:r>
              <w:rPr>
                <w:sz w:val="14"/>
              </w:rPr>
              <w:t>6,125</w:t>
            </w:r>
          </w:p>
        </w:tc>
        <w:tc>
          <w:tcPr>
            <w:tcW w:w="655" w:type="dxa"/>
            <w:tcBorders>
              <w:top w:val="single" w:sz="1" w:space="0" w:color="000000"/>
              <w:bottom w:val="single" w:sz="1" w:space="0" w:color="000000"/>
            </w:tcBorders>
          </w:tcPr>
          <w:p>
            <w:pPr>
              <w:pStyle w:val="TableParagraph"/>
              <w:spacing w:before="39"/>
              <w:ind w:right="67"/>
              <w:jc w:val="right"/>
              <w:rPr>
                <w:sz w:val="14"/>
              </w:rPr>
            </w:pPr>
            <w:r>
              <w:rPr>
                <w:sz w:val="14"/>
              </w:rPr>
              <w:t>6,498</w:t>
            </w:r>
          </w:p>
        </w:tc>
      </w:tr>
    </w:tbl>
    <w:p>
      <w:pPr>
        <w:spacing w:after="0"/>
        <w:jc w:val="right"/>
        <w:rPr>
          <w:sz w:val="14"/>
        </w:rPr>
        <w:sectPr>
          <w:type w:val="continuous"/>
          <w:pgSz w:w="16840" w:h="11910" w:orient="landscape"/>
          <w:pgMar w:top="1580" w:bottom="280" w:left="900" w:right="88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1"/>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
        <w:gridCol w:w="6286"/>
        <w:gridCol w:w="798"/>
        <w:gridCol w:w="1173"/>
        <w:gridCol w:w="867"/>
      </w:tblGrid>
      <w:tr>
        <w:trPr>
          <w:trHeight w:val="963" w:hRule="exact"/>
        </w:trPr>
        <w:tc>
          <w:tcPr>
            <w:tcW w:w="429" w:type="dxa"/>
          </w:tcPr>
          <w:p>
            <w:pPr>
              <w:pStyle w:val="TableParagraph"/>
              <w:spacing w:before="77"/>
              <w:ind w:left="35"/>
              <w:rPr>
                <w:b/>
                <w:sz w:val="18"/>
              </w:rPr>
            </w:pPr>
            <w:bookmarkStart w:name="OS-HELP" w:id="164"/>
            <w:bookmarkEnd w:id="164"/>
            <w:r>
              <w:rPr/>
            </w:r>
            <w:bookmarkStart w:name="(e) OS-HELP" w:id="165"/>
            <w:bookmarkEnd w:id="165"/>
            <w:r>
              <w:rPr/>
            </w:r>
            <w:r>
              <w:rPr>
                <w:b/>
                <w:sz w:val="18"/>
              </w:rPr>
              <w:t>40</w:t>
            </w:r>
          </w:p>
          <w:p>
            <w:pPr>
              <w:pStyle w:val="TableParagraph"/>
              <w:spacing w:before="7"/>
              <w:rPr>
                <w:rFonts w:ascii="Times New Roman"/>
                <w:sz w:val="26"/>
              </w:rPr>
            </w:pPr>
          </w:p>
          <w:p>
            <w:pPr>
              <w:pStyle w:val="TableParagraph"/>
              <w:ind w:left="35"/>
              <w:rPr>
                <w:sz w:val="18"/>
              </w:rPr>
            </w:pPr>
            <w:r>
              <w:rPr>
                <w:sz w:val="18"/>
              </w:rPr>
              <w:t>(e)</w:t>
            </w:r>
          </w:p>
        </w:tc>
        <w:tc>
          <w:tcPr>
            <w:tcW w:w="6286" w:type="dxa"/>
          </w:tcPr>
          <w:p>
            <w:pPr>
              <w:pStyle w:val="TableParagraph"/>
              <w:spacing w:before="77"/>
              <w:ind w:left="172"/>
              <w:rPr>
                <w:b/>
                <w:sz w:val="18"/>
              </w:rPr>
            </w:pPr>
            <w:r>
              <w:rPr>
                <w:b/>
                <w:sz w:val="18"/>
              </w:rPr>
              <w:t>Acquittal of Australian Government Financial Assistance (continued)</w:t>
            </w:r>
          </w:p>
          <w:p>
            <w:pPr>
              <w:pStyle w:val="TableParagraph"/>
              <w:spacing w:before="7"/>
              <w:rPr>
                <w:rFonts w:ascii="Times New Roman"/>
                <w:sz w:val="26"/>
              </w:rPr>
            </w:pPr>
          </w:p>
          <w:p>
            <w:pPr>
              <w:pStyle w:val="TableParagraph"/>
              <w:ind w:left="172"/>
              <w:rPr>
                <w:sz w:val="18"/>
              </w:rPr>
            </w:pPr>
            <w:r>
              <w:rPr>
                <w:sz w:val="18"/>
              </w:rPr>
              <w:t>OS-HELP</w:t>
            </w:r>
          </w:p>
        </w:tc>
        <w:tc>
          <w:tcPr>
            <w:tcW w:w="2838" w:type="dxa"/>
            <w:gridSpan w:val="3"/>
          </w:tcPr>
          <w:p>
            <w:pPr/>
          </w:p>
        </w:tc>
      </w:tr>
      <w:tr>
        <w:trPr>
          <w:trHeight w:val="396" w:hRule="exact"/>
        </w:trPr>
        <w:tc>
          <w:tcPr>
            <w:tcW w:w="429" w:type="dxa"/>
          </w:tcPr>
          <w:p>
            <w:pPr/>
          </w:p>
        </w:tc>
        <w:tc>
          <w:tcPr>
            <w:tcW w:w="6286" w:type="dxa"/>
          </w:tcPr>
          <w:p>
            <w:pPr/>
          </w:p>
        </w:tc>
        <w:tc>
          <w:tcPr>
            <w:tcW w:w="798" w:type="dxa"/>
          </w:tcPr>
          <w:p>
            <w:pPr/>
          </w:p>
        </w:tc>
        <w:tc>
          <w:tcPr>
            <w:tcW w:w="1173" w:type="dxa"/>
          </w:tcPr>
          <w:p>
            <w:pPr>
              <w:pStyle w:val="TableParagraph"/>
              <w:spacing w:before="146"/>
              <w:ind w:left="343"/>
              <w:rPr>
                <w:b/>
                <w:sz w:val="18"/>
              </w:rPr>
            </w:pPr>
            <w:r>
              <w:rPr>
                <w:b/>
                <w:sz w:val="18"/>
              </w:rPr>
              <w:t>2017</w:t>
            </w:r>
          </w:p>
        </w:tc>
        <w:tc>
          <w:tcPr>
            <w:tcW w:w="867" w:type="dxa"/>
          </w:tcPr>
          <w:p>
            <w:pPr>
              <w:pStyle w:val="TableParagraph"/>
              <w:spacing w:before="146"/>
              <w:ind w:left="176"/>
              <w:rPr>
                <w:b/>
                <w:sz w:val="18"/>
              </w:rPr>
            </w:pPr>
            <w:r>
              <w:rPr>
                <w:b/>
                <w:sz w:val="18"/>
              </w:rPr>
              <w:t>2016</w:t>
            </w:r>
          </w:p>
        </w:tc>
      </w:tr>
      <w:tr>
        <w:trPr>
          <w:trHeight w:val="270" w:hRule="exact"/>
        </w:trPr>
        <w:tc>
          <w:tcPr>
            <w:tcW w:w="429" w:type="dxa"/>
          </w:tcPr>
          <w:p>
            <w:pPr/>
          </w:p>
        </w:tc>
        <w:tc>
          <w:tcPr>
            <w:tcW w:w="6286" w:type="dxa"/>
          </w:tcPr>
          <w:p>
            <w:pPr>
              <w:pStyle w:val="TableParagraph"/>
              <w:spacing w:before="24"/>
              <w:ind w:left="215"/>
              <w:rPr>
                <w:b/>
                <w:sz w:val="18"/>
              </w:rPr>
            </w:pPr>
            <w:r>
              <w:rPr>
                <w:b/>
                <w:sz w:val="18"/>
              </w:rPr>
              <w:t>Parent Entity (University) Only</w:t>
            </w:r>
          </w:p>
        </w:tc>
        <w:tc>
          <w:tcPr>
            <w:tcW w:w="798" w:type="dxa"/>
          </w:tcPr>
          <w:p>
            <w:pPr>
              <w:pStyle w:val="TableParagraph"/>
              <w:spacing w:before="24"/>
              <w:ind w:left="287"/>
              <w:rPr>
                <w:b/>
                <w:sz w:val="18"/>
              </w:rPr>
            </w:pPr>
            <w:r>
              <w:rPr>
                <w:b/>
                <w:sz w:val="18"/>
              </w:rPr>
              <w:t>Note</w:t>
            </w:r>
          </w:p>
        </w:tc>
        <w:tc>
          <w:tcPr>
            <w:tcW w:w="1173" w:type="dxa"/>
          </w:tcPr>
          <w:p>
            <w:pPr>
              <w:pStyle w:val="TableParagraph"/>
              <w:spacing w:before="24"/>
              <w:ind w:left="321"/>
              <w:rPr>
                <w:b/>
                <w:sz w:val="18"/>
              </w:rPr>
            </w:pPr>
            <w:r>
              <w:rPr>
                <w:b/>
                <w:sz w:val="18"/>
              </w:rPr>
              <w:t>$'000</w:t>
            </w:r>
          </w:p>
        </w:tc>
        <w:tc>
          <w:tcPr>
            <w:tcW w:w="867" w:type="dxa"/>
          </w:tcPr>
          <w:p>
            <w:pPr>
              <w:pStyle w:val="TableParagraph"/>
              <w:spacing w:before="24"/>
              <w:ind w:left="154"/>
              <w:rPr>
                <w:b/>
                <w:sz w:val="18"/>
              </w:rPr>
            </w:pPr>
            <w:r>
              <w:rPr>
                <w:b/>
                <w:sz w:val="18"/>
              </w:rPr>
              <w:t>$'000</w:t>
            </w:r>
          </w:p>
        </w:tc>
      </w:tr>
      <w:tr>
        <w:trPr>
          <w:trHeight w:val="269" w:hRule="exact"/>
        </w:trPr>
        <w:tc>
          <w:tcPr>
            <w:tcW w:w="429" w:type="dxa"/>
          </w:tcPr>
          <w:p>
            <w:pPr/>
          </w:p>
        </w:tc>
        <w:tc>
          <w:tcPr>
            <w:tcW w:w="6286" w:type="dxa"/>
          </w:tcPr>
          <w:p>
            <w:pPr>
              <w:pStyle w:val="TableParagraph"/>
              <w:spacing w:before="25"/>
              <w:ind w:left="215"/>
              <w:rPr>
                <w:sz w:val="18"/>
              </w:rPr>
            </w:pPr>
            <w:r>
              <w:rPr>
                <w:sz w:val="18"/>
              </w:rPr>
              <w:t>Cash received during the reporting period</w:t>
            </w:r>
          </w:p>
        </w:tc>
        <w:tc>
          <w:tcPr>
            <w:tcW w:w="798" w:type="dxa"/>
          </w:tcPr>
          <w:p>
            <w:pPr>
              <w:pStyle w:val="TableParagraph"/>
              <w:spacing w:before="20"/>
              <w:ind w:left="207"/>
              <w:rPr>
                <w:sz w:val="18"/>
              </w:rPr>
            </w:pPr>
            <w:r>
              <w:rPr>
                <w:sz w:val="18"/>
              </w:rPr>
              <w:t>2(f)</w:t>
            </w:r>
          </w:p>
        </w:tc>
        <w:tc>
          <w:tcPr>
            <w:tcW w:w="1173" w:type="dxa"/>
          </w:tcPr>
          <w:p>
            <w:pPr>
              <w:pStyle w:val="TableParagraph"/>
              <w:spacing w:before="22"/>
              <w:ind w:left="504"/>
              <w:rPr>
                <w:sz w:val="18"/>
              </w:rPr>
            </w:pPr>
            <w:r>
              <w:rPr>
                <w:sz w:val="18"/>
              </w:rPr>
              <w:t>2,099</w:t>
            </w:r>
          </w:p>
        </w:tc>
        <w:tc>
          <w:tcPr>
            <w:tcW w:w="867" w:type="dxa"/>
          </w:tcPr>
          <w:p>
            <w:pPr>
              <w:pStyle w:val="TableParagraph"/>
              <w:spacing w:before="22"/>
              <w:ind w:left="322"/>
              <w:rPr>
                <w:sz w:val="18"/>
              </w:rPr>
            </w:pPr>
            <w:r>
              <w:rPr>
                <w:sz w:val="18"/>
              </w:rPr>
              <w:t>2,658</w:t>
            </w:r>
          </w:p>
        </w:tc>
      </w:tr>
      <w:tr>
        <w:trPr>
          <w:trHeight w:val="260" w:hRule="exact"/>
        </w:trPr>
        <w:tc>
          <w:tcPr>
            <w:tcW w:w="429" w:type="dxa"/>
          </w:tcPr>
          <w:p>
            <w:pPr/>
          </w:p>
        </w:tc>
        <w:tc>
          <w:tcPr>
            <w:tcW w:w="6286" w:type="dxa"/>
          </w:tcPr>
          <w:p>
            <w:pPr>
              <w:pStyle w:val="TableParagraph"/>
              <w:spacing w:before="20"/>
              <w:ind w:left="215"/>
              <w:rPr>
                <w:sz w:val="18"/>
              </w:rPr>
            </w:pPr>
            <w:r>
              <w:rPr>
                <w:sz w:val="18"/>
              </w:rPr>
              <w:t>Cash spent during the reporting period</w:t>
            </w:r>
          </w:p>
        </w:tc>
        <w:tc>
          <w:tcPr>
            <w:tcW w:w="798" w:type="dxa"/>
          </w:tcPr>
          <w:p>
            <w:pPr/>
          </w:p>
        </w:tc>
        <w:tc>
          <w:tcPr>
            <w:tcW w:w="1173" w:type="dxa"/>
            <w:tcBorders>
              <w:bottom w:val="single" w:sz="1" w:space="0" w:color="000000"/>
            </w:tcBorders>
          </w:tcPr>
          <w:p>
            <w:pPr>
              <w:pStyle w:val="TableParagraph"/>
              <w:spacing w:before="18"/>
              <w:ind w:right="152"/>
              <w:jc w:val="right"/>
              <w:rPr>
                <w:sz w:val="18"/>
              </w:rPr>
            </w:pPr>
            <w:r>
              <w:rPr>
                <w:w w:val="95"/>
                <w:sz w:val="18"/>
              </w:rPr>
              <w:t>(2,315)</w:t>
            </w:r>
          </w:p>
        </w:tc>
        <w:tc>
          <w:tcPr>
            <w:tcW w:w="867" w:type="dxa"/>
            <w:tcBorders>
              <w:bottom w:val="single" w:sz="1" w:space="0" w:color="000000"/>
            </w:tcBorders>
          </w:tcPr>
          <w:p>
            <w:pPr>
              <w:pStyle w:val="TableParagraph"/>
              <w:spacing w:before="18"/>
              <w:ind w:right="28"/>
              <w:jc w:val="right"/>
              <w:rPr>
                <w:sz w:val="18"/>
              </w:rPr>
            </w:pPr>
            <w:r>
              <w:rPr>
                <w:w w:val="95"/>
                <w:sz w:val="18"/>
              </w:rPr>
              <w:t>(1,772)</w:t>
            </w:r>
          </w:p>
        </w:tc>
      </w:tr>
      <w:tr>
        <w:trPr>
          <w:trHeight w:val="287" w:hRule="exact"/>
        </w:trPr>
        <w:tc>
          <w:tcPr>
            <w:tcW w:w="429" w:type="dxa"/>
          </w:tcPr>
          <w:p>
            <w:pPr/>
          </w:p>
        </w:tc>
        <w:tc>
          <w:tcPr>
            <w:tcW w:w="6286" w:type="dxa"/>
          </w:tcPr>
          <w:p>
            <w:pPr>
              <w:pStyle w:val="TableParagraph"/>
              <w:spacing w:before="43"/>
              <w:ind w:left="215"/>
              <w:rPr>
                <w:sz w:val="18"/>
              </w:rPr>
            </w:pPr>
            <w:r>
              <w:rPr>
                <w:sz w:val="18"/>
              </w:rPr>
              <w:t>Net cash received</w:t>
            </w:r>
          </w:p>
        </w:tc>
        <w:tc>
          <w:tcPr>
            <w:tcW w:w="798" w:type="dxa"/>
          </w:tcPr>
          <w:p>
            <w:pPr/>
          </w:p>
        </w:tc>
        <w:tc>
          <w:tcPr>
            <w:tcW w:w="1173" w:type="dxa"/>
            <w:tcBorders>
              <w:top w:val="single" w:sz="1" w:space="0" w:color="000000"/>
            </w:tcBorders>
          </w:tcPr>
          <w:p>
            <w:pPr>
              <w:pStyle w:val="TableParagraph"/>
              <w:spacing w:before="40"/>
              <w:ind w:right="152"/>
              <w:jc w:val="right"/>
              <w:rPr>
                <w:sz w:val="18"/>
              </w:rPr>
            </w:pPr>
            <w:r>
              <w:rPr>
                <w:sz w:val="18"/>
              </w:rPr>
              <w:t>(216)</w:t>
            </w:r>
          </w:p>
        </w:tc>
        <w:tc>
          <w:tcPr>
            <w:tcW w:w="867" w:type="dxa"/>
            <w:tcBorders>
              <w:top w:val="single" w:sz="1" w:space="0" w:color="000000"/>
            </w:tcBorders>
          </w:tcPr>
          <w:p>
            <w:pPr>
              <w:pStyle w:val="TableParagraph"/>
              <w:spacing w:before="40"/>
              <w:ind w:right="89"/>
              <w:jc w:val="right"/>
              <w:rPr>
                <w:sz w:val="18"/>
              </w:rPr>
            </w:pPr>
            <w:r>
              <w:rPr>
                <w:w w:val="95"/>
                <w:sz w:val="18"/>
              </w:rPr>
              <w:t>886</w:t>
            </w:r>
          </w:p>
        </w:tc>
      </w:tr>
      <w:tr>
        <w:trPr>
          <w:trHeight w:val="260" w:hRule="exact"/>
        </w:trPr>
        <w:tc>
          <w:tcPr>
            <w:tcW w:w="429" w:type="dxa"/>
          </w:tcPr>
          <w:p>
            <w:pPr/>
          </w:p>
        </w:tc>
        <w:tc>
          <w:tcPr>
            <w:tcW w:w="6286" w:type="dxa"/>
          </w:tcPr>
          <w:p>
            <w:pPr>
              <w:pStyle w:val="TableParagraph"/>
              <w:spacing w:before="20"/>
              <w:ind w:left="215"/>
              <w:rPr>
                <w:sz w:val="18"/>
              </w:rPr>
            </w:pPr>
            <w:bookmarkStart w:name="(f) Student Services and Amenities Fee" w:id="166"/>
            <w:bookmarkEnd w:id="166"/>
            <w:r>
              <w:rPr/>
            </w:r>
            <w:r>
              <w:rPr>
                <w:sz w:val="18"/>
              </w:rPr>
              <w:t>Cash surplus/(deficit) from the previous period</w:t>
            </w:r>
          </w:p>
        </w:tc>
        <w:tc>
          <w:tcPr>
            <w:tcW w:w="798" w:type="dxa"/>
          </w:tcPr>
          <w:p>
            <w:pPr/>
          </w:p>
        </w:tc>
        <w:tc>
          <w:tcPr>
            <w:tcW w:w="1173" w:type="dxa"/>
            <w:tcBorders>
              <w:bottom w:val="single" w:sz="1" w:space="0" w:color="000000"/>
            </w:tcBorders>
          </w:tcPr>
          <w:p>
            <w:pPr>
              <w:pStyle w:val="TableParagraph"/>
              <w:spacing w:before="18"/>
              <w:ind w:right="213"/>
              <w:jc w:val="right"/>
              <w:rPr>
                <w:sz w:val="18"/>
              </w:rPr>
            </w:pPr>
            <w:r>
              <w:rPr>
                <w:w w:val="95"/>
                <w:sz w:val="18"/>
              </w:rPr>
              <w:t>322</w:t>
            </w:r>
          </w:p>
        </w:tc>
        <w:tc>
          <w:tcPr>
            <w:tcW w:w="867" w:type="dxa"/>
            <w:tcBorders>
              <w:bottom w:val="single" w:sz="1" w:space="0" w:color="000000"/>
            </w:tcBorders>
          </w:tcPr>
          <w:p>
            <w:pPr>
              <w:pStyle w:val="TableParagraph"/>
              <w:spacing w:before="18"/>
              <w:ind w:right="28"/>
              <w:jc w:val="right"/>
              <w:rPr>
                <w:sz w:val="18"/>
              </w:rPr>
            </w:pPr>
            <w:r>
              <w:rPr>
                <w:sz w:val="18"/>
              </w:rPr>
              <w:t>(564)</w:t>
            </w:r>
          </w:p>
        </w:tc>
      </w:tr>
      <w:tr>
        <w:trPr>
          <w:trHeight w:val="298" w:hRule="exact"/>
        </w:trPr>
        <w:tc>
          <w:tcPr>
            <w:tcW w:w="429" w:type="dxa"/>
          </w:tcPr>
          <w:p>
            <w:pPr/>
          </w:p>
        </w:tc>
        <w:tc>
          <w:tcPr>
            <w:tcW w:w="6286" w:type="dxa"/>
          </w:tcPr>
          <w:p>
            <w:pPr>
              <w:pStyle w:val="TableParagraph"/>
              <w:spacing w:before="43"/>
              <w:ind w:left="215"/>
              <w:rPr>
                <w:sz w:val="18"/>
              </w:rPr>
            </w:pPr>
            <w:r>
              <w:rPr>
                <w:sz w:val="18"/>
              </w:rPr>
              <w:t>Cash surplus/(deficit) for reporting period</w:t>
            </w:r>
          </w:p>
        </w:tc>
        <w:tc>
          <w:tcPr>
            <w:tcW w:w="798" w:type="dxa"/>
          </w:tcPr>
          <w:p>
            <w:pPr>
              <w:pStyle w:val="TableParagraph"/>
              <w:spacing w:before="38"/>
              <w:ind w:left="207"/>
              <w:rPr>
                <w:sz w:val="18"/>
              </w:rPr>
            </w:pPr>
            <w:r>
              <w:rPr>
                <w:sz w:val="18"/>
              </w:rPr>
              <w:t>25</w:t>
            </w:r>
          </w:p>
        </w:tc>
        <w:tc>
          <w:tcPr>
            <w:tcW w:w="1173" w:type="dxa"/>
            <w:tcBorders>
              <w:top w:val="single" w:sz="1" w:space="0" w:color="000000"/>
              <w:bottom w:val="single" w:sz="1" w:space="0" w:color="000000"/>
            </w:tcBorders>
          </w:tcPr>
          <w:p>
            <w:pPr>
              <w:pStyle w:val="TableParagraph"/>
              <w:spacing w:before="40"/>
              <w:ind w:right="213"/>
              <w:jc w:val="right"/>
              <w:rPr>
                <w:sz w:val="18"/>
              </w:rPr>
            </w:pPr>
            <w:r>
              <w:rPr>
                <w:w w:val="95"/>
                <w:sz w:val="18"/>
              </w:rPr>
              <w:t>106</w:t>
            </w:r>
          </w:p>
        </w:tc>
        <w:tc>
          <w:tcPr>
            <w:tcW w:w="867" w:type="dxa"/>
            <w:tcBorders>
              <w:top w:val="single" w:sz="1" w:space="0" w:color="000000"/>
              <w:bottom w:val="single" w:sz="1" w:space="0" w:color="000000"/>
            </w:tcBorders>
          </w:tcPr>
          <w:p>
            <w:pPr>
              <w:pStyle w:val="TableParagraph"/>
              <w:spacing w:before="40"/>
              <w:ind w:right="89"/>
              <w:jc w:val="right"/>
              <w:rPr>
                <w:sz w:val="18"/>
              </w:rPr>
            </w:pPr>
            <w:r>
              <w:rPr>
                <w:w w:val="95"/>
                <w:sz w:val="18"/>
              </w:rPr>
              <w:t>322</w:t>
            </w:r>
          </w:p>
        </w:tc>
      </w:tr>
    </w:tbl>
    <w:p>
      <w:pPr>
        <w:pStyle w:val="BodyText"/>
        <w:rPr>
          <w:rFonts w:ascii="Times New Roman"/>
          <w:sz w:val="20"/>
        </w:rPr>
      </w:pPr>
    </w:p>
    <w:p>
      <w:pPr>
        <w:pStyle w:val="BodyText"/>
        <w:rPr>
          <w:rFonts w:ascii="Times New Roman"/>
          <w:sz w:val="20"/>
        </w:rPr>
      </w:pPr>
    </w:p>
    <w:p>
      <w:pPr>
        <w:pStyle w:val="BodyText"/>
        <w:spacing w:before="1"/>
        <w:rPr>
          <w:rFonts w:ascii="Times New Roman"/>
          <w:sz w:val="25"/>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116"/>
        <w:gridCol w:w="1397"/>
        <w:gridCol w:w="1173"/>
        <w:gridCol w:w="867"/>
      </w:tblGrid>
      <w:tr>
        <w:trPr>
          <w:trHeight w:val="845" w:hRule="exact"/>
        </w:trPr>
        <w:tc>
          <w:tcPr>
            <w:tcW w:w="6116" w:type="dxa"/>
          </w:tcPr>
          <w:p>
            <w:pPr>
              <w:pStyle w:val="TableParagraph"/>
              <w:tabs>
                <w:tab w:pos="601" w:val="left" w:leader="none"/>
              </w:tabs>
              <w:spacing w:before="77"/>
              <w:ind w:left="35" w:right="1426"/>
              <w:rPr>
                <w:sz w:val="18"/>
              </w:rPr>
            </w:pPr>
            <w:r>
              <w:rPr>
                <w:sz w:val="18"/>
              </w:rPr>
              <w:t>(f)</w:t>
              <w:tab/>
              <w:t>Student Services and Amenities</w:t>
            </w:r>
            <w:r>
              <w:rPr>
                <w:spacing w:val="3"/>
                <w:sz w:val="18"/>
              </w:rPr>
              <w:t> </w:t>
            </w:r>
            <w:r>
              <w:rPr>
                <w:sz w:val="18"/>
              </w:rPr>
              <w:t>Fee</w:t>
            </w:r>
          </w:p>
        </w:tc>
        <w:tc>
          <w:tcPr>
            <w:tcW w:w="1397" w:type="dxa"/>
          </w:tcPr>
          <w:p>
            <w:pPr/>
          </w:p>
        </w:tc>
        <w:tc>
          <w:tcPr>
            <w:tcW w:w="1173" w:type="dxa"/>
          </w:tcPr>
          <w:p>
            <w:pPr>
              <w:pStyle w:val="TableParagraph"/>
              <w:rPr>
                <w:rFonts w:ascii="Times New Roman"/>
                <w:sz w:val="18"/>
              </w:rPr>
            </w:pPr>
          </w:p>
          <w:p>
            <w:pPr>
              <w:pStyle w:val="TableParagraph"/>
              <w:rPr>
                <w:rFonts w:ascii="Times New Roman"/>
                <w:sz w:val="18"/>
              </w:rPr>
            </w:pPr>
          </w:p>
          <w:p>
            <w:pPr>
              <w:pStyle w:val="TableParagraph"/>
              <w:spacing w:before="8"/>
              <w:rPr>
                <w:rFonts w:ascii="Times New Roman"/>
                <w:sz w:val="15"/>
              </w:rPr>
            </w:pPr>
          </w:p>
          <w:p>
            <w:pPr>
              <w:pStyle w:val="TableParagraph"/>
              <w:spacing w:before="1"/>
              <w:ind w:left="343" w:right="196"/>
              <w:rPr>
                <w:b/>
                <w:sz w:val="18"/>
              </w:rPr>
            </w:pPr>
            <w:r>
              <w:rPr>
                <w:b/>
                <w:sz w:val="18"/>
              </w:rPr>
              <w:t>2017</w:t>
            </w:r>
          </w:p>
        </w:tc>
        <w:tc>
          <w:tcPr>
            <w:tcW w:w="867" w:type="dxa"/>
          </w:tcPr>
          <w:p>
            <w:pPr>
              <w:pStyle w:val="TableParagraph"/>
              <w:rPr>
                <w:rFonts w:ascii="Times New Roman"/>
                <w:sz w:val="18"/>
              </w:rPr>
            </w:pPr>
          </w:p>
          <w:p>
            <w:pPr>
              <w:pStyle w:val="TableParagraph"/>
              <w:rPr>
                <w:rFonts w:ascii="Times New Roman"/>
                <w:sz w:val="18"/>
              </w:rPr>
            </w:pPr>
          </w:p>
          <w:p>
            <w:pPr>
              <w:pStyle w:val="TableParagraph"/>
              <w:spacing w:before="8"/>
              <w:rPr>
                <w:rFonts w:ascii="Times New Roman"/>
                <w:sz w:val="15"/>
              </w:rPr>
            </w:pPr>
          </w:p>
          <w:p>
            <w:pPr>
              <w:pStyle w:val="TableParagraph"/>
              <w:spacing w:before="1"/>
              <w:ind w:left="176" w:right="69"/>
              <w:rPr>
                <w:b/>
                <w:sz w:val="18"/>
              </w:rPr>
            </w:pPr>
            <w:r>
              <w:rPr>
                <w:b/>
                <w:sz w:val="18"/>
              </w:rPr>
              <w:t>2016</w:t>
            </w:r>
          </w:p>
        </w:tc>
      </w:tr>
      <w:tr>
        <w:trPr>
          <w:trHeight w:val="271" w:hRule="exact"/>
        </w:trPr>
        <w:tc>
          <w:tcPr>
            <w:tcW w:w="6116" w:type="dxa"/>
          </w:tcPr>
          <w:p>
            <w:pPr>
              <w:pStyle w:val="TableParagraph"/>
              <w:spacing w:before="24"/>
              <w:ind w:left="644" w:right="1426"/>
              <w:rPr>
                <w:b/>
                <w:sz w:val="18"/>
              </w:rPr>
            </w:pPr>
            <w:r>
              <w:rPr>
                <w:b/>
                <w:sz w:val="18"/>
              </w:rPr>
              <w:t>Parent Entity (University) Only</w:t>
            </w:r>
          </w:p>
        </w:tc>
        <w:tc>
          <w:tcPr>
            <w:tcW w:w="1397" w:type="dxa"/>
          </w:tcPr>
          <w:p>
            <w:pPr>
              <w:pStyle w:val="TableParagraph"/>
              <w:spacing w:before="24"/>
              <w:ind w:left="886"/>
              <w:rPr>
                <w:b/>
                <w:sz w:val="18"/>
              </w:rPr>
            </w:pPr>
            <w:r>
              <w:rPr>
                <w:b/>
                <w:sz w:val="18"/>
              </w:rPr>
              <w:t>Note</w:t>
            </w:r>
          </w:p>
        </w:tc>
        <w:tc>
          <w:tcPr>
            <w:tcW w:w="1173" w:type="dxa"/>
          </w:tcPr>
          <w:p>
            <w:pPr>
              <w:pStyle w:val="TableParagraph"/>
              <w:spacing w:before="24"/>
              <w:ind w:left="321" w:right="196"/>
              <w:rPr>
                <w:b/>
                <w:sz w:val="18"/>
              </w:rPr>
            </w:pPr>
            <w:r>
              <w:rPr>
                <w:b/>
                <w:sz w:val="18"/>
              </w:rPr>
              <w:t>$'000</w:t>
            </w:r>
          </w:p>
        </w:tc>
        <w:tc>
          <w:tcPr>
            <w:tcW w:w="867" w:type="dxa"/>
          </w:tcPr>
          <w:p>
            <w:pPr>
              <w:pStyle w:val="TableParagraph"/>
              <w:spacing w:before="24"/>
              <w:ind w:left="154" w:right="69"/>
              <w:rPr>
                <w:b/>
                <w:sz w:val="18"/>
              </w:rPr>
            </w:pPr>
            <w:r>
              <w:rPr>
                <w:b/>
                <w:sz w:val="18"/>
              </w:rPr>
              <w:t>$'000</w:t>
            </w:r>
          </w:p>
        </w:tc>
      </w:tr>
      <w:tr>
        <w:trPr>
          <w:trHeight w:val="530" w:hRule="exact"/>
        </w:trPr>
        <w:tc>
          <w:tcPr>
            <w:tcW w:w="6116" w:type="dxa"/>
          </w:tcPr>
          <w:p>
            <w:pPr>
              <w:pStyle w:val="TableParagraph"/>
              <w:spacing w:line="307" w:lineRule="auto" w:before="24"/>
              <w:ind w:left="644" w:right="1426"/>
              <w:rPr>
                <w:sz w:val="18"/>
              </w:rPr>
            </w:pPr>
            <w:r>
              <w:rPr>
                <w:sz w:val="18"/>
              </w:rPr>
              <w:t>Unspent/(overspent) revenue from previous period SA-HELP revenue earned</w:t>
            </w:r>
          </w:p>
        </w:tc>
        <w:tc>
          <w:tcPr>
            <w:tcW w:w="1397" w:type="dxa"/>
          </w:tcPr>
          <w:p>
            <w:pPr>
              <w:pStyle w:val="TableParagraph"/>
              <w:spacing w:before="7"/>
              <w:rPr>
                <w:rFonts w:ascii="Times New Roman"/>
                <w:sz w:val="24"/>
              </w:rPr>
            </w:pPr>
          </w:p>
          <w:p>
            <w:pPr>
              <w:pStyle w:val="TableParagraph"/>
              <w:ind w:left="806"/>
              <w:rPr>
                <w:sz w:val="18"/>
              </w:rPr>
            </w:pPr>
            <w:r>
              <w:rPr>
                <w:sz w:val="18"/>
              </w:rPr>
              <w:t>2(b)</w:t>
            </w:r>
          </w:p>
        </w:tc>
        <w:tc>
          <w:tcPr>
            <w:tcW w:w="1173" w:type="dxa"/>
          </w:tcPr>
          <w:p>
            <w:pPr>
              <w:pStyle w:val="TableParagraph"/>
              <w:spacing w:line="307" w:lineRule="auto" w:before="21"/>
              <w:ind w:left="503" w:right="196" w:firstLine="393"/>
              <w:rPr>
                <w:sz w:val="18"/>
              </w:rPr>
            </w:pPr>
            <w:r>
              <w:rPr>
                <w:sz w:val="18"/>
              </w:rPr>
              <w:t>- 6,884</w:t>
            </w:r>
          </w:p>
        </w:tc>
        <w:tc>
          <w:tcPr>
            <w:tcW w:w="867" w:type="dxa"/>
          </w:tcPr>
          <w:p>
            <w:pPr>
              <w:pStyle w:val="TableParagraph"/>
              <w:spacing w:line="307" w:lineRule="auto" w:before="21"/>
              <w:ind w:left="325" w:right="69" w:firstLine="393"/>
              <w:rPr>
                <w:sz w:val="18"/>
              </w:rPr>
            </w:pPr>
            <w:r>
              <w:rPr>
                <w:sz w:val="18"/>
              </w:rPr>
              <w:t>- 7,059</w:t>
            </w:r>
          </w:p>
        </w:tc>
      </w:tr>
      <w:tr>
        <w:trPr>
          <w:trHeight w:val="261" w:hRule="exact"/>
        </w:trPr>
        <w:tc>
          <w:tcPr>
            <w:tcW w:w="6116" w:type="dxa"/>
          </w:tcPr>
          <w:p>
            <w:pPr>
              <w:pStyle w:val="TableParagraph"/>
              <w:spacing w:before="21"/>
              <w:ind w:left="644"/>
              <w:rPr>
                <w:sz w:val="18"/>
              </w:rPr>
            </w:pPr>
            <w:r>
              <w:rPr>
                <w:sz w:val="18"/>
              </w:rPr>
              <w:t>Student Services and Amenities Fees direct from students</w:t>
            </w:r>
          </w:p>
        </w:tc>
        <w:tc>
          <w:tcPr>
            <w:tcW w:w="1397" w:type="dxa"/>
          </w:tcPr>
          <w:p>
            <w:pPr>
              <w:pStyle w:val="TableParagraph"/>
              <w:spacing w:before="16"/>
              <w:ind w:left="806"/>
              <w:rPr>
                <w:sz w:val="18"/>
              </w:rPr>
            </w:pPr>
            <w:r>
              <w:rPr>
                <w:w w:val="99"/>
                <w:sz w:val="18"/>
              </w:rPr>
              <w:t>4</w:t>
            </w:r>
          </w:p>
        </w:tc>
        <w:tc>
          <w:tcPr>
            <w:tcW w:w="1173" w:type="dxa"/>
            <w:tcBorders>
              <w:bottom w:val="single" w:sz="1" w:space="0" w:color="000000"/>
            </w:tcBorders>
          </w:tcPr>
          <w:p>
            <w:pPr>
              <w:pStyle w:val="TableParagraph"/>
              <w:spacing w:before="19"/>
              <w:ind w:left="503"/>
              <w:rPr>
                <w:sz w:val="18"/>
              </w:rPr>
            </w:pPr>
            <w:r>
              <w:rPr>
                <w:sz w:val="18"/>
              </w:rPr>
              <w:t>3,176</w:t>
            </w:r>
          </w:p>
        </w:tc>
        <w:tc>
          <w:tcPr>
            <w:tcW w:w="867" w:type="dxa"/>
            <w:tcBorders>
              <w:bottom w:val="single" w:sz="1" w:space="0" w:color="000000"/>
            </w:tcBorders>
          </w:tcPr>
          <w:p>
            <w:pPr>
              <w:pStyle w:val="TableParagraph"/>
              <w:spacing w:before="19"/>
              <w:ind w:left="325"/>
              <w:rPr>
                <w:sz w:val="18"/>
              </w:rPr>
            </w:pPr>
            <w:r>
              <w:rPr>
                <w:sz w:val="18"/>
              </w:rPr>
              <w:t>2,781</w:t>
            </w:r>
          </w:p>
        </w:tc>
      </w:tr>
      <w:tr>
        <w:trPr>
          <w:trHeight w:val="287" w:hRule="exact"/>
        </w:trPr>
        <w:tc>
          <w:tcPr>
            <w:tcW w:w="6116" w:type="dxa"/>
          </w:tcPr>
          <w:p>
            <w:pPr>
              <w:pStyle w:val="TableParagraph"/>
              <w:spacing w:before="43"/>
              <w:ind w:left="644" w:right="1426"/>
              <w:rPr>
                <w:sz w:val="18"/>
              </w:rPr>
            </w:pPr>
            <w:r>
              <w:rPr>
                <w:sz w:val="18"/>
              </w:rPr>
              <w:t>Total revenue expendable in period</w:t>
            </w:r>
          </w:p>
        </w:tc>
        <w:tc>
          <w:tcPr>
            <w:tcW w:w="1397" w:type="dxa"/>
          </w:tcPr>
          <w:p>
            <w:pPr/>
          </w:p>
        </w:tc>
        <w:tc>
          <w:tcPr>
            <w:tcW w:w="1173" w:type="dxa"/>
            <w:tcBorders>
              <w:top w:val="single" w:sz="1" w:space="0" w:color="000000"/>
            </w:tcBorders>
          </w:tcPr>
          <w:p>
            <w:pPr>
              <w:pStyle w:val="TableParagraph"/>
              <w:spacing w:before="40"/>
              <w:ind w:left="403"/>
              <w:rPr>
                <w:sz w:val="18"/>
              </w:rPr>
            </w:pPr>
            <w:r>
              <w:rPr>
                <w:sz w:val="18"/>
              </w:rPr>
              <w:t>10,060</w:t>
            </w:r>
          </w:p>
        </w:tc>
        <w:tc>
          <w:tcPr>
            <w:tcW w:w="867" w:type="dxa"/>
            <w:tcBorders>
              <w:top w:val="single" w:sz="1" w:space="0" w:color="000000"/>
            </w:tcBorders>
          </w:tcPr>
          <w:p>
            <w:pPr>
              <w:pStyle w:val="TableParagraph"/>
              <w:spacing w:before="40"/>
              <w:ind w:left="325"/>
              <w:rPr>
                <w:sz w:val="18"/>
              </w:rPr>
            </w:pPr>
            <w:r>
              <w:rPr>
                <w:sz w:val="18"/>
              </w:rPr>
              <w:t>9,840</w:t>
            </w:r>
          </w:p>
        </w:tc>
      </w:tr>
      <w:tr>
        <w:trPr>
          <w:trHeight w:val="260" w:hRule="exact"/>
        </w:trPr>
        <w:tc>
          <w:tcPr>
            <w:tcW w:w="6116" w:type="dxa"/>
          </w:tcPr>
          <w:p>
            <w:pPr>
              <w:pStyle w:val="TableParagraph"/>
              <w:spacing w:before="20"/>
              <w:ind w:left="644" w:right="1426"/>
              <w:rPr>
                <w:sz w:val="18"/>
              </w:rPr>
            </w:pPr>
            <w:r>
              <w:rPr>
                <w:sz w:val="18"/>
              </w:rPr>
              <w:t>Student services expenses during period</w:t>
            </w:r>
          </w:p>
        </w:tc>
        <w:tc>
          <w:tcPr>
            <w:tcW w:w="1397" w:type="dxa"/>
          </w:tcPr>
          <w:p>
            <w:pPr/>
          </w:p>
        </w:tc>
        <w:tc>
          <w:tcPr>
            <w:tcW w:w="1173" w:type="dxa"/>
            <w:tcBorders>
              <w:bottom w:val="single" w:sz="1" w:space="0" w:color="000000"/>
            </w:tcBorders>
          </w:tcPr>
          <w:p>
            <w:pPr>
              <w:pStyle w:val="TableParagraph"/>
              <w:spacing w:before="18"/>
              <w:ind w:right="152"/>
              <w:jc w:val="right"/>
              <w:rPr>
                <w:sz w:val="18"/>
              </w:rPr>
            </w:pPr>
            <w:r>
              <w:rPr>
                <w:w w:val="95"/>
                <w:sz w:val="18"/>
              </w:rPr>
              <w:t>(10,060)</w:t>
            </w:r>
          </w:p>
        </w:tc>
        <w:tc>
          <w:tcPr>
            <w:tcW w:w="867" w:type="dxa"/>
            <w:tcBorders>
              <w:bottom w:val="single" w:sz="1" w:space="0" w:color="000000"/>
            </w:tcBorders>
          </w:tcPr>
          <w:p>
            <w:pPr>
              <w:pStyle w:val="TableParagraph"/>
              <w:spacing w:before="18"/>
              <w:ind w:right="26"/>
              <w:jc w:val="right"/>
              <w:rPr>
                <w:sz w:val="18"/>
              </w:rPr>
            </w:pPr>
            <w:r>
              <w:rPr>
                <w:w w:val="95"/>
                <w:sz w:val="18"/>
              </w:rPr>
              <w:t>(9,840)</w:t>
            </w:r>
          </w:p>
        </w:tc>
      </w:tr>
      <w:tr>
        <w:trPr>
          <w:trHeight w:val="298" w:hRule="exact"/>
        </w:trPr>
        <w:tc>
          <w:tcPr>
            <w:tcW w:w="6116" w:type="dxa"/>
          </w:tcPr>
          <w:p>
            <w:pPr>
              <w:pStyle w:val="TableParagraph"/>
              <w:spacing w:before="43"/>
              <w:ind w:left="644" w:right="1426"/>
              <w:rPr>
                <w:sz w:val="18"/>
              </w:rPr>
            </w:pPr>
            <w:r>
              <w:rPr>
                <w:sz w:val="18"/>
              </w:rPr>
              <w:t>Unspent/(overspent) student services revenue</w:t>
            </w:r>
          </w:p>
        </w:tc>
        <w:tc>
          <w:tcPr>
            <w:tcW w:w="1397" w:type="dxa"/>
          </w:tcPr>
          <w:p>
            <w:pPr/>
          </w:p>
        </w:tc>
        <w:tc>
          <w:tcPr>
            <w:tcW w:w="1173" w:type="dxa"/>
            <w:tcBorders>
              <w:top w:val="single" w:sz="1" w:space="0" w:color="000000"/>
              <w:bottom w:val="single" w:sz="1" w:space="0" w:color="000000"/>
            </w:tcBorders>
          </w:tcPr>
          <w:p>
            <w:pPr>
              <w:pStyle w:val="TableParagraph"/>
              <w:spacing w:before="40"/>
              <w:ind w:right="214"/>
              <w:jc w:val="right"/>
              <w:rPr>
                <w:sz w:val="18"/>
              </w:rPr>
            </w:pPr>
            <w:r>
              <w:rPr>
                <w:w w:val="99"/>
                <w:sz w:val="18"/>
              </w:rPr>
              <w:t>-</w:t>
            </w:r>
          </w:p>
        </w:tc>
        <w:tc>
          <w:tcPr>
            <w:tcW w:w="867" w:type="dxa"/>
            <w:tcBorders>
              <w:top w:val="single" w:sz="1" w:space="0" w:color="000000"/>
              <w:bottom w:val="single" w:sz="1" w:space="0" w:color="000000"/>
            </w:tcBorders>
          </w:tcPr>
          <w:p>
            <w:pPr>
              <w:pStyle w:val="TableParagraph"/>
              <w:spacing w:before="40"/>
              <w:ind w:right="86"/>
              <w:jc w:val="right"/>
              <w:rPr>
                <w:sz w:val="18"/>
              </w:rPr>
            </w:pPr>
            <w:r>
              <w:rPr>
                <w:w w:val="99"/>
                <w:sz w:val="18"/>
              </w:rPr>
              <w:t>-</w:t>
            </w:r>
          </w:p>
        </w:tc>
      </w:tr>
    </w:tbl>
    <w:p>
      <w:pPr>
        <w:spacing w:after="0"/>
        <w:jc w:val="right"/>
        <w:rPr>
          <w:sz w:val="18"/>
        </w:rPr>
        <w:sectPr>
          <w:headerReference w:type="default" r:id="rId31"/>
          <w:footerReference w:type="default" r:id="rId32"/>
          <w:pgSz w:w="11910" w:h="16840"/>
          <w:pgMar w:header="1037" w:footer="485" w:top="2220" w:bottom="680" w:left="900" w:right="880"/>
          <w:pgNumType w:start="85"/>
        </w:sectPr>
      </w:pPr>
    </w:p>
    <w:p>
      <w:pPr>
        <w:pStyle w:val="BodyText"/>
        <w:rPr>
          <w:rFonts w:ascii="Times New Roman"/>
          <w:sz w:val="20"/>
        </w:rPr>
      </w:pPr>
    </w:p>
    <w:p>
      <w:pPr>
        <w:pStyle w:val="BodyText"/>
        <w:rPr>
          <w:rFonts w:ascii="Times New Roman"/>
          <w:sz w:val="20"/>
        </w:rPr>
      </w:pPr>
    </w:p>
    <w:p>
      <w:pPr>
        <w:pStyle w:val="BodyText"/>
        <w:spacing w:before="5"/>
        <w:rPr>
          <w:rFonts w:ascii="Times New Roman"/>
        </w:rPr>
      </w:pPr>
    </w:p>
    <w:p>
      <w:pPr>
        <w:pStyle w:val="Heading9"/>
        <w:numPr>
          <w:ilvl w:val="0"/>
          <w:numId w:val="34"/>
        </w:numPr>
        <w:tabs>
          <w:tab w:pos="504" w:val="left" w:leader="none"/>
        </w:tabs>
        <w:spacing w:line="240" w:lineRule="auto" w:before="0" w:after="0"/>
        <w:ind w:left="504" w:right="0" w:hanging="394"/>
        <w:jc w:val="left"/>
      </w:pPr>
      <w:bookmarkStart w:name="41 Defined Benefits Plans " w:id="167"/>
      <w:bookmarkEnd w:id="167"/>
      <w:r>
        <w:rPr>
          <w:b w:val="0"/>
        </w:rPr>
      </w:r>
      <w:bookmarkStart w:name="(a) Fund specific disclosure" w:id="168"/>
      <w:bookmarkEnd w:id="168"/>
      <w:r>
        <w:rPr>
          <w:b w:val="0"/>
        </w:rPr>
      </w:r>
      <w:bookmarkStart w:name="(a) Fund specific disclosure" w:id="169"/>
      <w:bookmarkEnd w:id="169"/>
      <w:r>
        <w:rPr/>
        <w:t>Defined</w:t>
      </w:r>
      <w:r>
        <w:rPr/>
        <w:t> Benefits Plans</w:t>
      </w:r>
    </w:p>
    <w:p>
      <w:pPr>
        <w:pStyle w:val="BodyText"/>
        <w:spacing w:before="7"/>
        <w:rPr>
          <w:b/>
          <w:sz w:val="26"/>
        </w:rPr>
      </w:pPr>
    </w:p>
    <w:p>
      <w:pPr>
        <w:pStyle w:val="ListParagraph"/>
        <w:numPr>
          <w:ilvl w:val="1"/>
          <w:numId w:val="34"/>
        </w:numPr>
        <w:tabs>
          <w:tab w:pos="1071" w:val="left" w:leader="none"/>
        </w:tabs>
        <w:spacing w:line="240" w:lineRule="auto" w:before="0" w:after="0"/>
        <w:ind w:left="1070" w:right="0" w:hanging="566"/>
        <w:jc w:val="left"/>
        <w:rPr>
          <w:sz w:val="18"/>
        </w:rPr>
      </w:pPr>
      <w:r>
        <w:rPr>
          <w:sz w:val="18"/>
        </w:rPr>
        <w:t>Fund specific</w:t>
      </w:r>
      <w:r>
        <w:rPr>
          <w:spacing w:val="1"/>
          <w:sz w:val="18"/>
        </w:rPr>
        <w:t> </w:t>
      </w:r>
      <w:r>
        <w:rPr>
          <w:sz w:val="18"/>
        </w:rPr>
        <w:t>disclosure</w:t>
      </w:r>
    </w:p>
    <w:p>
      <w:pPr>
        <w:pStyle w:val="BodyText"/>
        <w:spacing w:before="4"/>
        <w:rPr>
          <w:sz w:val="25"/>
        </w:rPr>
      </w:pPr>
    </w:p>
    <w:p>
      <w:pPr>
        <w:pStyle w:val="BodyText"/>
        <w:ind w:left="1070" w:right="220"/>
      </w:pPr>
      <w:r>
        <w:rPr/>
        <w:t>The Pooled Fund holds in trust the investments of the closed NSW public sector superannuation schemes, namely State Authorities Superannuation Scheme (SASS), State Superannuation Scheme (SSS) and State Authorities Non Contributory Superannuation Scheme (SANCS), which are State schemes and subject to reimbursement rights. These three schemes are all defined benefit schemes - at least a component of the final benefit is derived from a multiple of member salary and years of membership.</w:t>
      </w:r>
    </w:p>
    <w:p>
      <w:pPr>
        <w:pStyle w:val="BodyText"/>
        <w:spacing w:before="11"/>
        <w:rPr>
          <w:sz w:val="24"/>
        </w:rPr>
      </w:pPr>
    </w:p>
    <w:p>
      <w:pPr>
        <w:pStyle w:val="BodyText"/>
        <w:ind w:left="1070" w:right="220"/>
      </w:pPr>
      <w:r>
        <w:rPr/>
        <w:t>These unfunded liabilities recorded in the Statement of Financial Position under provisions have been determined by independent actuaries.</w:t>
      </w:r>
    </w:p>
    <w:p>
      <w:pPr>
        <w:pStyle w:val="BodyText"/>
        <w:spacing w:before="11"/>
        <w:rPr>
          <w:sz w:val="24"/>
        </w:rPr>
      </w:pPr>
    </w:p>
    <w:p>
      <w:pPr>
        <w:pStyle w:val="BodyText"/>
        <w:ind w:left="1070" w:right="199"/>
      </w:pPr>
      <w:r>
        <w:rPr/>
        <w:t>During 2015, University of Sydney on behalf of the NSW Universities, led a project to finalise the negotiation of an agreement between the Commonwealth and New South Wales Governments to provide certainty in respect to the funding of the defined benefits superannuation funds managed by the State Authorities Superannuation Trustees Corporation (STC). These discussions have now culminated in a memorandum of understanding being reached between the Commonwealth and the State Governments. This memorandum has now been executed with the effect that the Commonwealth and New South Wales Governments are taking on all of the risk of the liabilities of the three funds (SASS, SANCS and SSS) for the next seventy years.</w:t>
      </w:r>
    </w:p>
    <w:p>
      <w:pPr>
        <w:pStyle w:val="BodyText"/>
        <w:spacing w:before="11"/>
        <w:rPr>
          <w:sz w:val="24"/>
        </w:rPr>
      </w:pPr>
    </w:p>
    <w:p>
      <w:pPr>
        <w:pStyle w:val="BodyText"/>
        <w:ind w:left="1070" w:right="220"/>
      </w:pPr>
      <w:r>
        <w:rPr/>
        <w:t>The significant elements of the agreement are that:</w:t>
      </w:r>
    </w:p>
    <w:p>
      <w:pPr>
        <w:pStyle w:val="BodyText"/>
        <w:spacing w:before="11"/>
        <w:rPr>
          <w:sz w:val="24"/>
        </w:rPr>
      </w:pPr>
    </w:p>
    <w:p>
      <w:pPr>
        <w:pStyle w:val="ListParagraph"/>
        <w:numPr>
          <w:ilvl w:val="0"/>
          <w:numId w:val="41"/>
        </w:numPr>
        <w:tabs>
          <w:tab w:pos="1232" w:val="left" w:leader="none"/>
        </w:tabs>
        <w:spacing w:line="240" w:lineRule="auto" w:before="0" w:after="0"/>
        <w:ind w:left="1070" w:right="0" w:firstLine="50"/>
        <w:jc w:val="left"/>
        <w:rPr>
          <w:sz w:val="18"/>
        </w:rPr>
      </w:pPr>
      <w:r>
        <w:rPr>
          <w:sz w:val="18"/>
        </w:rPr>
        <w:t>the agreement allows for funding of the SANCS accounts that were previously not eligible under the</w:t>
      </w:r>
      <w:r>
        <w:rPr>
          <w:spacing w:val="14"/>
          <w:sz w:val="18"/>
        </w:rPr>
        <w:t> </w:t>
      </w:r>
      <w:r>
        <w:rPr>
          <w:sz w:val="18"/>
        </w:rPr>
        <w:t>scheme;</w:t>
      </w:r>
    </w:p>
    <w:p>
      <w:pPr>
        <w:pStyle w:val="BodyText"/>
        <w:spacing w:before="11"/>
        <w:rPr>
          <w:sz w:val="24"/>
        </w:rPr>
      </w:pPr>
    </w:p>
    <w:p>
      <w:pPr>
        <w:pStyle w:val="ListParagraph"/>
        <w:numPr>
          <w:ilvl w:val="0"/>
          <w:numId w:val="41"/>
        </w:numPr>
        <w:tabs>
          <w:tab w:pos="1232" w:val="left" w:leader="none"/>
        </w:tabs>
        <w:spacing w:line="240" w:lineRule="auto" w:before="0" w:after="0"/>
        <w:ind w:left="1070" w:right="115" w:firstLine="50"/>
        <w:jc w:val="left"/>
        <w:rPr>
          <w:sz w:val="18"/>
        </w:rPr>
      </w:pPr>
      <w:r>
        <w:rPr>
          <w:sz w:val="18"/>
        </w:rPr>
        <w:t>in future, the Commonwealth will not contribute to costs associated with excess salary increases. Future fund liabilities deemed to be the result of excess salary increases will be recouped from each relevant university in the form of 'top-up'</w:t>
      </w:r>
      <w:r>
        <w:rPr>
          <w:spacing w:val="-1"/>
          <w:sz w:val="18"/>
        </w:rPr>
        <w:t> </w:t>
      </w:r>
      <w:r>
        <w:rPr>
          <w:sz w:val="18"/>
        </w:rPr>
        <w:t>payments.</w:t>
      </w:r>
    </w:p>
    <w:p>
      <w:pPr>
        <w:pStyle w:val="BodyText"/>
        <w:spacing w:before="11"/>
        <w:rPr>
          <w:sz w:val="24"/>
        </w:rPr>
      </w:pPr>
    </w:p>
    <w:p>
      <w:pPr>
        <w:pStyle w:val="BodyText"/>
        <w:ind w:left="1070" w:right="123"/>
        <w:jc w:val="both"/>
      </w:pPr>
      <w:r>
        <w:rPr/>
        <w:t>The amount receivable from the Commonwealth or State in respect of the three funds as at 31 December 2017 was $345.703M (2016: $332.281M) and this is reflected in Note 18 as Non-current receivables. This receivable is net of the University's accrued and forecasted excess salary liability as at  31 December 2017 totalling</w:t>
      </w:r>
    </w:p>
    <w:p>
      <w:pPr>
        <w:pStyle w:val="BodyText"/>
        <w:ind w:left="1070" w:right="220"/>
      </w:pPr>
      <w:r>
        <w:rPr/>
        <w:t>$2.092M (2016: $0.701M) as the liability is treated as a reduction of the Commonwealth and State reimbursement right.  The amount owing to members of the three funds as at 31 December 2017 was</w:t>
      </w:r>
    </w:p>
    <w:p>
      <w:pPr>
        <w:pStyle w:val="BodyText"/>
        <w:ind w:left="1070" w:right="220"/>
      </w:pPr>
      <w:r>
        <w:rPr/>
        <w:t>$347.982M (2016: $332.982M), including the University's accrued and forecasted excess salary liability, is recognised in the statement of financial position under provisions.</w:t>
      </w:r>
    </w:p>
    <w:p>
      <w:pPr>
        <w:pStyle w:val="BodyText"/>
        <w:spacing w:before="11"/>
        <w:rPr>
          <w:sz w:val="24"/>
        </w:rPr>
      </w:pPr>
    </w:p>
    <w:p>
      <w:pPr>
        <w:pStyle w:val="BodyText"/>
        <w:ind w:left="1070" w:right="220"/>
      </w:pPr>
      <w:r>
        <w:rPr/>
        <w:t>The University expects to make a contribution of $1.21M (2016: $1.48M) to the defined benefit plan during the next financial year.</w:t>
      </w:r>
    </w:p>
    <w:p>
      <w:pPr>
        <w:pStyle w:val="BodyText"/>
        <w:spacing w:before="11"/>
        <w:rPr>
          <w:sz w:val="24"/>
        </w:rPr>
      </w:pPr>
    </w:p>
    <w:p>
      <w:pPr>
        <w:pStyle w:val="BodyText"/>
        <w:spacing w:line="573" w:lineRule="auto"/>
        <w:ind w:left="1070" w:right="1136"/>
      </w:pPr>
      <w:r>
        <w:rPr/>
        <w:t>The weighted average duration of the defined benefit obligation is 11.9 years (2016: 11.9 years). The expected maturity analysis of undiscounted benefit obligations is as follows:</w:t>
      </w:r>
    </w:p>
    <w:p>
      <w:pPr>
        <w:pStyle w:val="BodyText"/>
        <w:spacing w:before="9" w:after="1"/>
        <w:rPr>
          <w:sz w:val="14"/>
        </w:rPr>
      </w:pPr>
    </w:p>
    <w:tbl>
      <w:tblPr>
        <w:tblW w:w="0" w:type="auto"/>
        <w:jc w:val="left"/>
        <w:tblInd w:w="10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54"/>
        <w:gridCol w:w="1801"/>
        <w:gridCol w:w="1033"/>
        <w:gridCol w:w="1105"/>
        <w:gridCol w:w="1030"/>
        <w:gridCol w:w="873"/>
      </w:tblGrid>
      <w:tr>
        <w:trPr>
          <w:trHeight w:val="740" w:hRule="exact"/>
        </w:trPr>
        <w:tc>
          <w:tcPr>
            <w:tcW w:w="3054" w:type="dxa"/>
            <w:vMerge w:val="restart"/>
          </w:tcPr>
          <w:p>
            <w:pPr/>
          </w:p>
        </w:tc>
        <w:tc>
          <w:tcPr>
            <w:tcW w:w="1801" w:type="dxa"/>
          </w:tcPr>
          <w:p>
            <w:pPr>
              <w:pStyle w:val="TableParagraph"/>
              <w:spacing w:before="7"/>
              <w:rPr>
                <w:sz w:val="24"/>
              </w:rPr>
            </w:pPr>
          </w:p>
          <w:p>
            <w:pPr>
              <w:pStyle w:val="TableParagraph"/>
              <w:ind w:left="1046" w:right="60" w:hanging="166"/>
              <w:rPr>
                <w:b/>
                <w:sz w:val="18"/>
              </w:rPr>
            </w:pPr>
            <w:r>
              <w:rPr>
                <w:b/>
                <w:sz w:val="18"/>
              </w:rPr>
              <w:t>Less than 1 year</w:t>
            </w:r>
          </w:p>
        </w:tc>
        <w:tc>
          <w:tcPr>
            <w:tcW w:w="1033" w:type="dxa"/>
          </w:tcPr>
          <w:p>
            <w:pPr>
              <w:pStyle w:val="TableParagraph"/>
              <w:spacing w:line="207" w:lineRule="exact" w:before="77"/>
              <w:ind w:left="57" w:right="45"/>
              <w:jc w:val="center"/>
              <w:rPr>
                <w:b/>
                <w:sz w:val="18"/>
              </w:rPr>
            </w:pPr>
            <w:r>
              <w:rPr>
                <w:b/>
                <w:sz w:val="18"/>
              </w:rPr>
              <w:t>Between 1</w:t>
            </w:r>
          </w:p>
          <w:p>
            <w:pPr>
              <w:pStyle w:val="TableParagraph"/>
              <w:ind w:left="288" w:right="270"/>
              <w:jc w:val="center"/>
              <w:rPr>
                <w:b/>
                <w:sz w:val="18"/>
              </w:rPr>
            </w:pPr>
            <w:r>
              <w:rPr>
                <w:b/>
                <w:sz w:val="18"/>
              </w:rPr>
              <w:t>and 2</w:t>
            </w:r>
            <w:r>
              <w:rPr>
                <w:b/>
                <w:w w:val="99"/>
                <w:sz w:val="18"/>
              </w:rPr>
              <w:t> </w:t>
            </w:r>
            <w:r>
              <w:rPr>
                <w:b/>
                <w:sz w:val="18"/>
              </w:rPr>
              <w:t>years</w:t>
            </w:r>
          </w:p>
        </w:tc>
        <w:tc>
          <w:tcPr>
            <w:tcW w:w="1105" w:type="dxa"/>
          </w:tcPr>
          <w:p>
            <w:pPr>
              <w:pStyle w:val="TableParagraph"/>
              <w:spacing w:line="207" w:lineRule="exact" w:before="77"/>
              <w:ind w:left="45" w:right="128"/>
              <w:jc w:val="center"/>
              <w:rPr>
                <w:b/>
                <w:sz w:val="18"/>
              </w:rPr>
            </w:pPr>
            <w:r>
              <w:rPr>
                <w:b/>
                <w:sz w:val="18"/>
              </w:rPr>
              <w:t>Between 2</w:t>
            </w:r>
          </w:p>
          <w:p>
            <w:pPr>
              <w:pStyle w:val="TableParagraph"/>
              <w:ind w:left="275" w:right="355"/>
              <w:jc w:val="center"/>
              <w:rPr>
                <w:b/>
                <w:sz w:val="18"/>
              </w:rPr>
            </w:pPr>
            <w:r>
              <w:rPr>
                <w:b/>
                <w:sz w:val="18"/>
              </w:rPr>
              <w:t>and 5 years</w:t>
            </w:r>
          </w:p>
        </w:tc>
        <w:tc>
          <w:tcPr>
            <w:tcW w:w="1030" w:type="dxa"/>
          </w:tcPr>
          <w:p>
            <w:pPr>
              <w:pStyle w:val="TableParagraph"/>
              <w:spacing w:before="7"/>
              <w:rPr>
                <w:sz w:val="24"/>
              </w:rPr>
            </w:pPr>
          </w:p>
          <w:p>
            <w:pPr>
              <w:pStyle w:val="TableParagraph"/>
              <w:ind w:left="194" w:right="303" w:hanging="48"/>
              <w:rPr>
                <w:b/>
                <w:sz w:val="18"/>
              </w:rPr>
            </w:pPr>
            <w:r>
              <w:rPr>
                <w:b/>
                <w:sz w:val="18"/>
              </w:rPr>
              <w:t>Over 5 years</w:t>
            </w:r>
          </w:p>
        </w:tc>
        <w:tc>
          <w:tcPr>
            <w:tcW w:w="873" w:type="dxa"/>
          </w:tcPr>
          <w:p>
            <w:pPr>
              <w:pStyle w:val="TableParagraph"/>
              <w:rPr>
                <w:sz w:val="18"/>
              </w:rPr>
            </w:pPr>
          </w:p>
          <w:p>
            <w:pPr>
              <w:pStyle w:val="TableParagraph"/>
              <w:spacing w:before="6"/>
              <w:rPr>
                <w:sz w:val="24"/>
              </w:rPr>
            </w:pPr>
          </w:p>
          <w:p>
            <w:pPr>
              <w:pStyle w:val="TableParagraph"/>
              <w:spacing w:before="1"/>
              <w:ind w:left="199"/>
              <w:rPr>
                <w:b/>
                <w:sz w:val="18"/>
              </w:rPr>
            </w:pPr>
            <w:r>
              <w:rPr>
                <w:b/>
                <w:sz w:val="18"/>
              </w:rPr>
              <w:t>Total</w:t>
            </w:r>
          </w:p>
        </w:tc>
      </w:tr>
      <w:tr>
        <w:trPr>
          <w:trHeight w:val="270" w:hRule="exact"/>
        </w:trPr>
        <w:tc>
          <w:tcPr>
            <w:tcW w:w="3054" w:type="dxa"/>
            <w:vMerge/>
          </w:tcPr>
          <w:p>
            <w:pPr/>
          </w:p>
        </w:tc>
        <w:tc>
          <w:tcPr>
            <w:tcW w:w="1801" w:type="dxa"/>
          </w:tcPr>
          <w:p>
            <w:pPr>
              <w:pStyle w:val="TableParagraph"/>
              <w:spacing w:before="24"/>
              <w:ind w:left="1080" w:right="60"/>
              <w:rPr>
                <w:b/>
                <w:sz w:val="18"/>
              </w:rPr>
            </w:pPr>
            <w:r>
              <w:rPr>
                <w:b/>
                <w:sz w:val="18"/>
              </w:rPr>
              <w:t>$'000</w:t>
            </w:r>
          </w:p>
        </w:tc>
        <w:tc>
          <w:tcPr>
            <w:tcW w:w="1033" w:type="dxa"/>
          </w:tcPr>
          <w:p>
            <w:pPr>
              <w:pStyle w:val="TableParagraph"/>
              <w:spacing w:before="24"/>
              <w:ind w:left="300"/>
              <w:rPr>
                <w:b/>
                <w:sz w:val="18"/>
              </w:rPr>
            </w:pPr>
            <w:r>
              <w:rPr>
                <w:b/>
                <w:sz w:val="18"/>
              </w:rPr>
              <w:t>$'000</w:t>
            </w:r>
          </w:p>
        </w:tc>
        <w:tc>
          <w:tcPr>
            <w:tcW w:w="1105" w:type="dxa"/>
          </w:tcPr>
          <w:p>
            <w:pPr>
              <w:pStyle w:val="TableParagraph"/>
              <w:spacing w:before="24"/>
              <w:ind w:left="287"/>
              <w:rPr>
                <w:b/>
                <w:sz w:val="18"/>
              </w:rPr>
            </w:pPr>
            <w:r>
              <w:rPr>
                <w:b/>
                <w:sz w:val="18"/>
              </w:rPr>
              <w:t>$'000</w:t>
            </w:r>
          </w:p>
        </w:tc>
        <w:tc>
          <w:tcPr>
            <w:tcW w:w="1030" w:type="dxa"/>
          </w:tcPr>
          <w:p>
            <w:pPr>
              <w:pStyle w:val="TableParagraph"/>
              <w:spacing w:before="24"/>
              <w:ind w:left="201" w:right="303"/>
              <w:rPr>
                <w:b/>
                <w:sz w:val="18"/>
              </w:rPr>
            </w:pPr>
            <w:r>
              <w:rPr>
                <w:b/>
                <w:sz w:val="18"/>
              </w:rPr>
              <w:t>$'000</w:t>
            </w:r>
          </w:p>
        </w:tc>
        <w:tc>
          <w:tcPr>
            <w:tcW w:w="873" w:type="dxa"/>
          </w:tcPr>
          <w:p>
            <w:pPr>
              <w:pStyle w:val="TableParagraph"/>
              <w:spacing w:before="24"/>
              <w:ind w:left="192"/>
              <w:rPr>
                <w:b/>
                <w:sz w:val="18"/>
              </w:rPr>
            </w:pPr>
            <w:r>
              <w:rPr>
                <w:b/>
                <w:sz w:val="18"/>
              </w:rPr>
              <w:t>$'000</w:t>
            </w:r>
          </w:p>
        </w:tc>
      </w:tr>
      <w:tr>
        <w:trPr>
          <w:trHeight w:val="469" w:hRule="exact"/>
        </w:trPr>
        <w:tc>
          <w:tcPr>
            <w:tcW w:w="3054" w:type="dxa"/>
          </w:tcPr>
          <w:p>
            <w:pPr>
              <w:pStyle w:val="TableParagraph"/>
              <w:spacing w:line="207" w:lineRule="exact" w:before="20"/>
              <w:ind w:left="35"/>
              <w:rPr>
                <w:sz w:val="18"/>
              </w:rPr>
            </w:pPr>
            <w:r>
              <w:rPr>
                <w:sz w:val="18"/>
              </w:rPr>
              <w:t>Defined benefit obligations</w:t>
            </w:r>
          </w:p>
          <w:p>
            <w:pPr>
              <w:pStyle w:val="TableParagraph"/>
              <w:spacing w:line="207" w:lineRule="exact"/>
              <w:ind w:left="35"/>
              <w:rPr>
                <w:sz w:val="18"/>
              </w:rPr>
            </w:pPr>
            <w:r>
              <w:rPr>
                <w:sz w:val="18"/>
              </w:rPr>
              <w:t>- 31 December 2017</w:t>
            </w:r>
          </w:p>
        </w:tc>
        <w:tc>
          <w:tcPr>
            <w:tcW w:w="1801" w:type="dxa"/>
          </w:tcPr>
          <w:p>
            <w:pPr>
              <w:pStyle w:val="TableParagraph"/>
              <w:spacing w:before="5"/>
              <w:rPr>
                <w:sz w:val="19"/>
              </w:rPr>
            </w:pPr>
          </w:p>
          <w:p>
            <w:pPr>
              <w:pStyle w:val="TableParagraph"/>
              <w:ind w:right="72"/>
              <w:jc w:val="right"/>
              <w:rPr>
                <w:sz w:val="18"/>
              </w:rPr>
            </w:pPr>
            <w:r>
              <w:rPr>
                <w:w w:val="95"/>
                <w:sz w:val="18"/>
              </w:rPr>
              <w:t>24,098</w:t>
            </w:r>
          </w:p>
        </w:tc>
        <w:tc>
          <w:tcPr>
            <w:tcW w:w="1033" w:type="dxa"/>
          </w:tcPr>
          <w:p>
            <w:pPr>
              <w:pStyle w:val="TableParagraph"/>
              <w:spacing w:before="5"/>
              <w:rPr>
                <w:sz w:val="19"/>
              </w:rPr>
            </w:pPr>
          </w:p>
          <w:p>
            <w:pPr>
              <w:pStyle w:val="TableParagraph"/>
              <w:ind w:right="85"/>
              <w:jc w:val="right"/>
              <w:rPr>
                <w:sz w:val="18"/>
              </w:rPr>
            </w:pPr>
            <w:r>
              <w:rPr>
                <w:w w:val="95"/>
                <w:sz w:val="18"/>
              </w:rPr>
              <w:t>24,790</w:t>
            </w:r>
          </w:p>
        </w:tc>
        <w:tc>
          <w:tcPr>
            <w:tcW w:w="1105" w:type="dxa"/>
          </w:tcPr>
          <w:p>
            <w:pPr>
              <w:pStyle w:val="TableParagraph"/>
              <w:spacing w:before="5"/>
              <w:rPr>
                <w:sz w:val="19"/>
              </w:rPr>
            </w:pPr>
          </w:p>
          <w:p>
            <w:pPr>
              <w:pStyle w:val="TableParagraph"/>
              <w:ind w:right="170"/>
              <w:jc w:val="right"/>
              <w:rPr>
                <w:sz w:val="18"/>
              </w:rPr>
            </w:pPr>
            <w:r>
              <w:rPr>
                <w:w w:val="95"/>
                <w:sz w:val="18"/>
              </w:rPr>
              <w:t>71,874</w:t>
            </w:r>
          </w:p>
        </w:tc>
        <w:tc>
          <w:tcPr>
            <w:tcW w:w="1030" w:type="dxa"/>
          </w:tcPr>
          <w:p>
            <w:pPr>
              <w:pStyle w:val="TableParagraph"/>
              <w:spacing w:before="5"/>
              <w:rPr>
                <w:sz w:val="19"/>
              </w:rPr>
            </w:pPr>
          </w:p>
          <w:p>
            <w:pPr>
              <w:pStyle w:val="TableParagraph"/>
              <w:ind w:left="192"/>
              <w:rPr>
                <w:sz w:val="18"/>
              </w:rPr>
            </w:pPr>
            <w:r>
              <w:rPr>
                <w:sz w:val="18"/>
              </w:rPr>
              <w:t>422,452</w:t>
            </w:r>
          </w:p>
        </w:tc>
        <w:tc>
          <w:tcPr>
            <w:tcW w:w="873" w:type="dxa"/>
          </w:tcPr>
          <w:p>
            <w:pPr>
              <w:pStyle w:val="TableParagraph"/>
              <w:spacing w:before="5"/>
              <w:rPr>
                <w:sz w:val="19"/>
              </w:rPr>
            </w:pPr>
          </w:p>
          <w:p>
            <w:pPr>
              <w:pStyle w:val="TableParagraph"/>
              <w:ind w:left="182"/>
              <w:rPr>
                <w:sz w:val="18"/>
              </w:rPr>
            </w:pPr>
            <w:r>
              <w:rPr>
                <w:sz w:val="18"/>
              </w:rPr>
              <w:t>543,214</w:t>
            </w:r>
          </w:p>
        </w:tc>
      </w:tr>
      <w:tr>
        <w:trPr>
          <w:trHeight w:val="526" w:hRule="exact"/>
        </w:trPr>
        <w:tc>
          <w:tcPr>
            <w:tcW w:w="3054" w:type="dxa"/>
          </w:tcPr>
          <w:p>
            <w:pPr>
              <w:pStyle w:val="TableParagraph"/>
              <w:spacing w:line="207" w:lineRule="exact" w:before="16"/>
              <w:ind w:left="35"/>
              <w:rPr>
                <w:sz w:val="18"/>
              </w:rPr>
            </w:pPr>
            <w:r>
              <w:rPr>
                <w:sz w:val="18"/>
              </w:rPr>
              <w:t>Defined benefit obligations</w:t>
            </w:r>
          </w:p>
          <w:p>
            <w:pPr>
              <w:pStyle w:val="TableParagraph"/>
              <w:spacing w:line="207" w:lineRule="exact"/>
              <w:ind w:left="35"/>
              <w:rPr>
                <w:sz w:val="18"/>
              </w:rPr>
            </w:pPr>
            <w:r>
              <w:rPr>
                <w:sz w:val="18"/>
              </w:rPr>
              <w:t>- 31 December 2016</w:t>
            </w:r>
          </w:p>
        </w:tc>
        <w:tc>
          <w:tcPr>
            <w:tcW w:w="1801" w:type="dxa"/>
          </w:tcPr>
          <w:p>
            <w:pPr>
              <w:pStyle w:val="TableParagraph"/>
              <w:spacing w:before="2"/>
              <w:rPr>
                <w:sz w:val="19"/>
              </w:rPr>
            </w:pPr>
          </w:p>
          <w:p>
            <w:pPr>
              <w:pStyle w:val="TableParagraph"/>
              <w:ind w:right="72"/>
              <w:jc w:val="right"/>
              <w:rPr>
                <w:sz w:val="18"/>
              </w:rPr>
            </w:pPr>
            <w:r>
              <w:rPr>
                <w:w w:val="95"/>
                <w:sz w:val="18"/>
              </w:rPr>
              <w:t>24,435</w:t>
            </w:r>
          </w:p>
        </w:tc>
        <w:tc>
          <w:tcPr>
            <w:tcW w:w="1033" w:type="dxa"/>
          </w:tcPr>
          <w:p>
            <w:pPr>
              <w:pStyle w:val="TableParagraph"/>
              <w:spacing w:before="2"/>
              <w:rPr>
                <w:sz w:val="19"/>
              </w:rPr>
            </w:pPr>
          </w:p>
          <w:p>
            <w:pPr>
              <w:pStyle w:val="TableParagraph"/>
              <w:ind w:right="85"/>
              <w:jc w:val="right"/>
              <w:rPr>
                <w:sz w:val="18"/>
              </w:rPr>
            </w:pPr>
            <w:r>
              <w:rPr>
                <w:w w:val="95"/>
                <w:sz w:val="18"/>
              </w:rPr>
              <w:t>24,643</w:t>
            </w:r>
          </w:p>
        </w:tc>
        <w:tc>
          <w:tcPr>
            <w:tcW w:w="1105" w:type="dxa"/>
          </w:tcPr>
          <w:p>
            <w:pPr>
              <w:pStyle w:val="TableParagraph"/>
              <w:spacing w:before="2"/>
              <w:rPr>
                <w:sz w:val="19"/>
              </w:rPr>
            </w:pPr>
          </w:p>
          <w:p>
            <w:pPr>
              <w:pStyle w:val="TableParagraph"/>
              <w:ind w:right="170"/>
              <w:jc w:val="right"/>
              <w:rPr>
                <w:sz w:val="18"/>
              </w:rPr>
            </w:pPr>
            <w:r>
              <w:rPr>
                <w:w w:val="95"/>
                <w:sz w:val="18"/>
              </w:rPr>
              <w:t>74,836</w:t>
            </w:r>
          </w:p>
        </w:tc>
        <w:tc>
          <w:tcPr>
            <w:tcW w:w="1030" w:type="dxa"/>
          </w:tcPr>
          <w:p>
            <w:pPr>
              <w:pStyle w:val="TableParagraph"/>
              <w:spacing w:before="2"/>
              <w:rPr>
                <w:sz w:val="19"/>
              </w:rPr>
            </w:pPr>
          </w:p>
          <w:p>
            <w:pPr>
              <w:pStyle w:val="TableParagraph"/>
              <w:ind w:left="192"/>
              <w:rPr>
                <w:sz w:val="18"/>
              </w:rPr>
            </w:pPr>
            <w:r>
              <w:rPr>
                <w:sz w:val="18"/>
              </w:rPr>
              <w:t>467,758</w:t>
            </w:r>
          </w:p>
        </w:tc>
        <w:tc>
          <w:tcPr>
            <w:tcW w:w="873" w:type="dxa"/>
          </w:tcPr>
          <w:p>
            <w:pPr>
              <w:pStyle w:val="TableParagraph"/>
              <w:spacing w:before="2"/>
              <w:rPr>
                <w:sz w:val="19"/>
              </w:rPr>
            </w:pPr>
          </w:p>
          <w:p>
            <w:pPr>
              <w:pStyle w:val="TableParagraph"/>
              <w:ind w:left="182"/>
              <w:rPr>
                <w:sz w:val="18"/>
              </w:rPr>
            </w:pPr>
            <w:r>
              <w:rPr>
                <w:sz w:val="18"/>
              </w:rPr>
              <w:t>591,672</w:t>
            </w:r>
          </w:p>
        </w:tc>
      </w:tr>
    </w:tbl>
    <w:p>
      <w:pPr>
        <w:spacing w:after="0"/>
        <w:rPr>
          <w:sz w:val="18"/>
        </w:rPr>
        <w:sectPr>
          <w:pgSz w:w="11910" w:h="16840"/>
          <w:pgMar w:header="1037" w:footer="485" w:top="2220" w:bottom="700" w:left="900" w:right="880"/>
        </w:sectPr>
      </w:pPr>
    </w:p>
    <w:p>
      <w:pPr>
        <w:pStyle w:val="BodyText"/>
        <w:rPr>
          <w:sz w:val="20"/>
        </w:rPr>
      </w:pPr>
    </w:p>
    <w:p>
      <w:pPr>
        <w:pStyle w:val="BodyText"/>
        <w:rPr>
          <w:sz w:val="20"/>
        </w:rPr>
      </w:pPr>
    </w:p>
    <w:p>
      <w:pPr>
        <w:pStyle w:val="BodyText"/>
        <w:spacing w:before="5"/>
      </w:pPr>
    </w:p>
    <w:p>
      <w:pPr>
        <w:pStyle w:val="Heading9"/>
        <w:tabs>
          <w:tab w:pos="1070" w:val="left" w:leader="none"/>
        </w:tabs>
        <w:ind w:left="504" w:right="220"/>
      </w:pPr>
      <w:bookmarkStart w:name="(b) Categories of plan assets" w:id="170"/>
      <w:bookmarkEnd w:id="170"/>
      <w:r>
        <w:rPr>
          <w:b w:val="0"/>
        </w:rPr>
      </w:r>
      <w:r>
        <w:rPr/>
        <w:t>41</w:t>
        <w:tab/>
        <w:t>Defined Benefits Plans (continued)</w:t>
      </w:r>
    </w:p>
    <w:p>
      <w:pPr>
        <w:pStyle w:val="BodyText"/>
        <w:spacing w:before="7"/>
        <w:rPr>
          <w:b/>
          <w:sz w:val="26"/>
        </w:rPr>
      </w:pPr>
    </w:p>
    <w:p>
      <w:pPr>
        <w:pStyle w:val="ListParagraph"/>
        <w:numPr>
          <w:ilvl w:val="1"/>
          <w:numId w:val="34"/>
        </w:numPr>
        <w:tabs>
          <w:tab w:pos="1071" w:val="left" w:leader="none"/>
        </w:tabs>
        <w:spacing w:line="240" w:lineRule="auto" w:before="0" w:after="0"/>
        <w:ind w:left="1070" w:right="0" w:hanging="566"/>
        <w:jc w:val="left"/>
        <w:rPr>
          <w:sz w:val="18"/>
        </w:rPr>
      </w:pPr>
      <w:r>
        <w:rPr>
          <w:sz w:val="18"/>
        </w:rPr>
        <w:t>Categories of plan</w:t>
      </w:r>
      <w:r>
        <w:rPr>
          <w:spacing w:val="2"/>
          <w:sz w:val="18"/>
        </w:rPr>
        <w:t> </w:t>
      </w:r>
      <w:r>
        <w:rPr>
          <w:sz w:val="18"/>
        </w:rPr>
        <w:t>assets</w:t>
      </w:r>
    </w:p>
    <w:p>
      <w:pPr>
        <w:pStyle w:val="BodyText"/>
        <w:spacing w:before="4"/>
        <w:rPr>
          <w:sz w:val="25"/>
        </w:rPr>
      </w:pPr>
    </w:p>
    <w:p>
      <w:pPr>
        <w:pStyle w:val="BodyText"/>
        <w:ind w:left="1070" w:right="220"/>
      </w:pPr>
      <w:r>
        <w:rPr/>
        <w:t>The analysis of the plan assets and the expected rate of return at the reporting date is as follows:</w:t>
      </w:r>
    </w:p>
    <w:p>
      <w:pPr>
        <w:pStyle w:val="BodyText"/>
      </w:pPr>
    </w:p>
    <w:p>
      <w:pPr>
        <w:pStyle w:val="BodyText"/>
      </w:pPr>
    </w:p>
    <w:p>
      <w:pPr>
        <w:pStyle w:val="Heading9"/>
        <w:tabs>
          <w:tab w:pos="8380" w:val="left" w:leader="none"/>
        </w:tabs>
        <w:spacing w:before="113"/>
        <w:ind w:left="5788" w:right="220"/>
      </w:pPr>
      <w:r>
        <w:rPr/>
        <w:t>2017</w:t>
      </w:r>
      <w:r>
        <w:rPr>
          <w:spacing w:val="1"/>
        </w:rPr>
        <w:t> </w:t>
      </w:r>
      <w:r>
        <w:rPr>
          <w:spacing w:val="-3"/>
        </w:rPr>
        <w:t>(%)</w:t>
        <w:tab/>
      </w:r>
      <w:r>
        <w:rPr/>
        <w:t>2016</w:t>
      </w:r>
      <w:r>
        <w:rPr>
          <w:spacing w:val="2"/>
        </w:rPr>
        <w:t> </w:t>
      </w:r>
      <w:r>
        <w:rPr>
          <w:spacing w:val="-3"/>
        </w:rPr>
        <w:t>(%)</w:t>
      </w:r>
    </w:p>
    <w:p>
      <w:pPr>
        <w:tabs>
          <w:tab w:pos="8978" w:val="left" w:leader="none"/>
        </w:tabs>
        <w:spacing w:before="66" w:after="22"/>
        <w:ind w:left="6386" w:right="220" w:firstLine="0"/>
        <w:jc w:val="left"/>
        <w:rPr>
          <w:b/>
          <w:sz w:val="18"/>
        </w:rPr>
      </w:pPr>
      <w:r>
        <w:rPr>
          <w:b/>
          <w:sz w:val="18"/>
        </w:rPr>
        <w:t>No</w:t>
      </w:r>
      <w:r>
        <w:rPr>
          <w:b/>
          <w:spacing w:val="-3"/>
          <w:sz w:val="18"/>
        </w:rPr>
        <w:t> </w:t>
      </w:r>
      <w:r>
        <w:rPr>
          <w:b/>
          <w:sz w:val="18"/>
        </w:rPr>
        <w:t>Active</w:t>
        <w:tab/>
        <w:t>No</w:t>
      </w:r>
      <w:r>
        <w:rPr>
          <w:b/>
          <w:spacing w:val="-9"/>
          <w:sz w:val="18"/>
        </w:rPr>
        <w:t> </w:t>
      </w:r>
      <w:r>
        <w:rPr>
          <w:b/>
          <w:sz w:val="18"/>
        </w:rPr>
        <w:t>Active</w:t>
      </w:r>
    </w:p>
    <w:tbl>
      <w:tblPr>
        <w:tblW w:w="0" w:type="auto"/>
        <w:jc w:val="left"/>
        <w:tblInd w:w="10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55"/>
        <w:gridCol w:w="1465"/>
        <w:gridCol w:w="815"/>
        <w:gridCol w:w="309"/>
        <w:gridCol w:w="1467"/>
        <w:gridCol w:w="815"/>
        <w:gridCol w:w="312"/>
      </w:tblGrid>
      <w:tr>
        <w:trPr>
          <w:trHeight w:val="492" w:hRule="exact"/>
        </w:trPr>
        <w:tc>
          <w:tcPr>
            <w:tcW w:w="3755" w:type="dxa"/>
          </w:tcPr>
          <w:p>
            <w:pPr>
              <w:pStyle w:val="TableParagraph"/>
              <w:spacing w:before="6"/>
              <w:rPr>
                <w:b/>
                <w:sz w:val="21"/>
              </w:rPr>
            </w:pPr>
          </w:p>
          <w:p>
            <w:pPr>
              <w:pStyle w:val="TableParagraph"/>
              <w:ind w:left="35"/>
              <w:rPr>
                <w:sz w:val="18"/>
              </w:rPr>
            </w:pPr>
            <w:r>
              <w:rPr>
                <w:sz w:val="18"/>
              </w:rPr>
              <w:t>Equity instruments</w:t>
            </w:r>
          </w:p>
        </w:tc>
        <w:tc>
          <w:tcPr>
            <w:tcW w:w="1465" w:type="dxa"/>
          </w:tcPr>
          <w:p>
            <w:pPr>
              <w:pStyle w:val="TableParagraph"/>
              <w:spacing w:line="184" w:lineRule="exact"/>
              <w:ind w:right="208"/>
              <w:jc w:val="right"/>
              <w:rPr>
                <w:b/>
                <w:sz w:val="18"/>
              </w:rPr>
            </w:pPr>
            <w:r>
              <w:rPr>
                <w:b/>
                <w:sz w:val="18"/>
              </w:rPr>
              <w:t>Active Market</w:t>
            </w:r>
          </w:p>
          <w:p>
            <w:pPr>
              <w:pStyle w:val="TableParagraph"/>
              <w:spacing w:before="62"/>
              <w:ind w:right="255"/>
              <w:jc w:val="right"/>
              <w:rPr>
                <w:sz w:val="18"/>
              </w:rPr>
            </w:pPr>
            <w:r>
              <w:rPr>
                <w:sz w:val="18"/>
              </w:rPr>
              <w:t>72</w:t>
            </w:r>
          </w:p>
        </w:tc>
        <w:tc>
          <w:tcPr>
            <w:tcW w:w="815" w:type="dxa"/>
          </w:tcPr>
          <w:p>
            <w:pPr>
              <w:pStyle w:val="TableParagraph"/>
              <w:spacing w:line="184" w:lineRule="exact"/>
              <w:ind w:left="210"/>
              <w:rPr>
                <w:b/>
                <w:sz w:val="18"/>
              </w:rPr>
            </w:pPr>
            <w:r>
              <w:rPr>
                <w:b/>
                <w:sz w:val="18"/>
              </w:rPr>
              <w:t>Market</w:t>
            </w:r>
          </w:p>
        </w:tc>
        <w:tc>
          <w:tcPr>
            <w:tcW w:w="309" w:type="dxa"/>
          </w:tcPr>
          <w:p>
            <w:pPr>
              <w:pStyle w:val="TableParagraph"/>
              <w:spacing w:before="4"/>
              <w:rPr>
                <w:b/>
                <w:sz w:val="21"/>
              </w:rPr>
            </w:pPr>
          </w:p>
          <w:p>
            <w:pPr>
              <w:pStyle w:val="TableParagraph"/>
              <w:ind w:right="84"/>
              <w:jc w:val="right"/>
              <w:rPr>
                <w:sz w:val="18"/>
              </w:rPr>
            </w:pPr>
            <w:r>
              <w:rPr>
                <w:w w:val="99"/>
                <w:sz w:val="18"/>
              </w:rPr>
              <w:t>-</w:t>
            </w:r>
          </w:p>
        </w:tc>
        <w:tc>
          <w:tcPr>
            <w:tcW w:w="1467" w:type="dxa"/>
          </w:tcPr>
          <w:p>
            <w:pPr>
              <w:pStyle w:val="TableParagraph"/>
              <w:spacing w:line="184" w:lineRule="exact"/>
              <w:ind w:right="208"/>
              <w:jc w:val="right"/>
              <w:rPr>
                <w:b/>
                <w:sz w:val="18"/>
              </w:rPr>
            </w:pPr>
            <w:r>
              <w:rPr>
                <w:b/>
                <w:sz w:val="18"/>
              </w:rPr>
              <w:t>Active Market</w:t>
            </w:r>
          </w:p>
          <w:p>
            <w:pPr>
              <w:pStyle w:val="TableParagraph"/>
              <w:spacing w:before="62"/>
              <w:ind w:right="255"/>
              <w:jc w:val="right"/>
              <w:rPr>
                <w:sz w:val="18"/>
              </w:rPr>
            </w:pPr>
            <w:r>
              <w:rPr>
                <w:sz w:val="18"/>
              </w:rPr>
              <w:t>66</w:t>
            </w:r>
          </w:p>
        </w:tc>
        <w:tc>
          <w:tcPr>
            <w:tcW w:w="815" w:type="dxa"/>
          </w:tcPr>
          <w:p>
            <w:pPr>
              <w:pStyle w:val="TableParagraph"/>
              <w:spacing w:line="184" w:lineRule="exact"/>
              <w:ind w:left="210"/>
              <w:rPr>
                <w:b/>
                <w:sz w:val="18"/>
              </w:rPr>
            </w:pPr>
            <w:r>
              <w:rPr>
                <w:b/>
                <w:sz w:val="18"/>
              </w:rPr>
              <w:t>Market</w:t>
            </w:r>
          </w:p>
        </w:tc>
        <w:tc>
          <w:tcPr>
            <w:tcW w:w="312" w:type="dxa"/>
          </w:tcPr>
          <w:p>
            <w:pPr>
              <w:pStyle w:val="TableParagraph"/>
              <w:spacing w:before="4"/>
              <w:rPr>
                <w:b/>
                <w:sz w:val="21"/>
              </w:rPr>
            </w:pPr>
          </w:p>
          <w:p>
            <w:pPr>
              <w:pStyle w:val="TableParagraph"/>
              <w:ind w:right="87"/>
              <w:jc w:val="right"/>
              <w:rPr>
                <w:sz w:val="18"/>
              </w:rPr>
            </w:pPr>
            <w:r>
              <w:rPr>
                <w:w w:val="99"/>
                <w:sz w:val="18"/>
              </w:rPr>
              <w:t>3</w:t>
            </w:r>
          </w:p>
        </w:tc>
      </w:tr>
      <w:tr>
        <w:trPr>
          <w:trHeight w:val="264" w:hRule="exact"/>
        </w:trPr>
        <w:tc>
          <w:tcPr>
            <w:tcW w:w="3755" w:type="dxa"/>
          </w:tcPr>
          <w:p>
            <w:pPr>
              <w:pStyle w:val="TableParagraph"/>
              <w:spacing w:before="20"/>
              <w:ind w:left="35"/>
              <w:rPr>
                <w:sz w:val="18"/>
              </w:rPr>
            </w:pPr>
            <w:r>
              <w:rPr>
                <w:sz w:val="18"/>
              </w:rPr>
              <w:t>Property</w:t>
            </w:r>
          </w:p>
        </w:tc>
        <w:tc>
          <w:tcPr>
            <w:tcW w:w="1465" w:type="dxa"/>
          </w:tcPr>
          <w:p>
            <w:pPr>
              <w:pStyle w:val="TableParagraph"/>
              <w:spacing w:before="18"/>
              <w:ind w:right="256"/>
              <w:jc w:val="right"/>
              <w:rPr>
                <w:sz w:val="18"/>
              </w:rPr>
            </w:pPr>
            <w:r>
              <w:rPr>
                <w:w w:val="99"/>
                <w:sz w:val="18"/>
              </w:rPr>
              <w:t>4</w:t>
            </w:r>
          </w:p>
        </w:tc>
        <w:tc>
          <w:tcPr>
            <w:tcW w:w="815" w:type="dxa"/>
          </w:tcPr>
          <w:p>
            <w:pPr/>
          </w:p>
        </w:tc>
        <w:tc>
          <w:tcPr>
            <w:tcW w:w="309" w:type="dxa"/>
          </w:tcPr>
          <w:p>
            <w:pPr>
              <w:pStyle w:val="TableParagraph"/>
              <w:spacing w:before="18"/>
              <w:ind w:right="85"/>
              <w:jc w:val="right"/>
              <w:rPr>
                <w:sz w:val="18"/>
              </w:rPr>
            </w:pPr>
            <w:r>
              <w:rPr>
                <w:w w:val="99"/>
                <w:sz w:val="18"/>
              </w:rPr>
              <w:t>5</w:t>
            </w:r>
          </w:p>
        </w:tc>
        <w:tc>
          <w:tcPr>
            <w:tcW w:w="1467" w:type="dxa"/>
          </w:tcPr>
          <w:p>
            <w:pPr>
              <w:pStyle w:val="TableParagraph"/>
              <w:spacing w:before="18"/>
              <w:ind w:right="256"/>
              <w:jc w:val="right"/>
              <w:rPr>
                <w:sz w:val="18"/>
              </w:rPr>
            </w:pPr>
            <w:r>
              <w:rPr>
                <w:w w:val="99"/>
                <w:sz w:val="18"/>
              </w:rPr>
              <w:t>4</w:t>
            </w:r>
          </w:p>
        </w:tc>
        <w:tc>
          <w:tcPr>
            <w:tcW w:w="815" w:type="dxa"/>
          </w:tcPr>
          <w:p>
            <w:pPr/>
          </w:p>
        </w:tc>
        <w:tc>
          <w:tcPr>
            <w:tcW w:w="312" w:type="dxa"/>
          </w:tcPr>
          <w:p>
            <w:pPr>
              <w:pStyle w:val="TableParagraph"/>
              <w:spacing w:before="18"/>
              <w:ind w:right="87"/>
              <w:jc w:val="right"/>
              <w:rPr>
                <w:sz w:val="18"/>
              </w:rPr>
            </w:pPr>
            <w:r>
              <w:rPr>
                <w:w w:val="99"/>
                <w:sz w:val="18"/>
              </w:rPr>
              <w:t>5</w:t>
            </w:r>
          </w:p>
        </w:tc>
      </w:tr>
      <w:tr>
        <w:trPr>
          <w:trHeight w:val="260" w:hRule="exact"/>
        </w:trPr>
        <w:tc>
          <w:tcPr>
            <w:tcW w:w="3755" w:type="dxa"/>
          </w:tcPr>
          <w:p>
            <w:pPr>
              <w:pStyle w:val="TableParagraph"/>
              <w:spacing w:before="20"/>
              <w:ind w:left="35"/>
              <w:rPr>
                <w:sz w:val="18"/>
              </w:rPr>
            </w:pPr>
            <w:r>
              <w:rPr>
                <w:sz w:val="18"/>
              </w:rPr>
              <w:t>Alternatives</w:t>
            </w:r>
          </w:p>
        </w:tc>
        <w:tc>
          <w:tcPr>
            <w:tcW w:w="1465" w:type="dxa"/>
            <w:tcBorders>
              <w:bottom w:val="single" w:sz="1" w:space="0" w:color="000000"/>
            </w:tcBorders>
          </w:tcPr>
          <w:p>
            <w:pPr>
              <w:pStyle w:val="TableParagraph"/>
              <w:spacing w:before="18"/>
              <w:ind w:right="255"/>
              <w:jc w:val="right"/>
              <w:rPr>
                <w:sz w:val="18"/>
              </w:rPr>
            </w:pPr>
            <w:r>
              <w:rPr>
                <w:sz w:val="18"/>
              </w:rPr>
              <w:t>10</w:t>
            </w:r>
          </w:p>
        </w:tc>
        <w:tc>
          <w:tcPr>
            <w:tcW w:w="815" w:type="dxa"/>
            <w:tcBorders>
              <w:bottom w:val="single" w:sz="1" w:space="0" w:color="000000"/>
            </w:tcBorders>
          </w:tcPr>
          <w:p>
            <w:pPr/>
          </w:p>
        </w:tc>
        <w:tc>
          <w:tcPr>
            <w:tcW w:w="309" w:type="dxa"/>
            <w:tcBorders>
              <w:bottom w:val="single" w:sz="1" w:space="0" w:color="000000"/>
            </w:tcBorders>
          </w:tcPr>
          <w:p>
            <w:pPr>
              <w:pStyle w:val="TableParagraph"/>
              <w:spacing w:before="18"/>
              <w:ind w:right="85"/>
              <w:jc w:val="right"/>
              <w:rPr>
                <w:sz w:val="18"/>
              </w:rPr>
            </w:pPr>
            <w:r>
              <w:rPr>
                <w:w w:val="99"/>
                <w:sz w:val="18"/>
              </w:rPr>
              <w:t>9</w:t>
            </w:r>
          </w:p>
        </w:tc>
        <w:tc>
          <w:tcPr>
            <w:tcW w:w="1467" w:type="dxa"/>
            <w:tcBorders>
              <w:bottom w:val="single" w:sz="1" w:space="0" w:color="000000"/>
            </w:tcBorders>
          </w:tcPr>
          <w:p>
            <w:pPr>
              <w:pStyle w:val="TableParagraph"/>
              <w:spacing w:before="18"/>
              <w:ind w:right="255"/>
              <w:jc w:val="right"/>
              <w:rPr>
                <w:sz w:val="18"/>
              </w:rPr>
            </w:pPr>
            <w:r>
              <w:rPr>
                <w:sz w:val="18"/>
              </w:rPr>
              <w:t>12</w:t>
            </w:r>
          </w:p>
        </w:tc>
        <w:tc>
          <w:tcPr>
            <w:tcW w:w="815" w:type="dxa"/>
            <w:tcBorders>
              <w:bottom w:val="single" w:sz="1" w:space="0" w:color="000000"/>
            </w:tcBorders>
          </w:tcPr>
          <w:p>
            <w:pPr/>
          </w:p>
        </w:tc>
        <w:tc>
          <w:tcPr>
            <w:tcW w:w="312" w:type="dxa"/>
            <w:tcBorders>
              <w:bottom w:val="single" w:sz="1" w:space="0" w:color="000000"/>
            </w:tcBorders>
          </w:tcPr>
          <w:p>
            <w:pPr>
              <w:pStyle w:val="TableParagraph"/>
              <w:spacing w:before="18"/>
              <w:ind w:right="86"/>
              <w:jc w:val="right"/>
              <w:rPr>
                <w:sz w:val="18"/>
              </w:rPr>
            </w:pPr>
            <w:r>
              <w:rPr>
                <w:w w:val="95"/>
                <w:sz w:val="18"/>
              </w:rPr>
              <w:t>10</w:t>
            </w:r>
          </w:p>
        </w:tc>
      </w:tr>
      <w:tr>
        <w:trPr>
          <w:trHeight w:val="353" w:hRule="exact"/>
        </w:trPr>
        <w:tc>
          <w:tcPr>
            <w:tcW w:w="3755" w:type="dxa"/>
          </w:tcPr>
          <w:p>
            <w:pPr>
              <w:pStyle w:val="TableParagraph"/>
              <w:spacing w:before="125"/>
              <w:ind w:left="35"/>
              <w:rPr>
                <w:b/>
                <w:sz w:val="18"/>
              </w:rPr>
            </w:pPr>
            <w:r>
              <w:rPr>
                <w:b/>
                <w:sz w:val="18"/>
              </w:rPr>
              <w:t>Total</w:t>
            </w:r>
          </w:p>
        </w:tc>
        <w:tc>
          <w:tcPr>
            <w:tcW w:w="1465" w:type="dxa"/>
            <w:tcBorders>
              <w:top w:val="single" w:sz="1" w:space="0" w:color="000000"/>
              <w:bottom w:val="single" w:sz="1" w:space="0" w:color="000000"/>
            </w:tcBorders>
          </w:tcPr>
          <w:p>
            <w:pPr>
              <w:pStyle w:val="TableParagraph"/>
              <w:spacing w:before="124"/>
              <w:ind w:right="255"/>
              <w:jc w:val="right"/>
              <w:rPr>
                <w:b/>
                <w:sz w:val="18"/>
              </w:rPr>
            </w:pPr>
            <w:r>
              <w:rPr>
                <w:b/>
                <w:sz w:val="18"/>
              </w:rPr>
              <w:t>86</w:t>
            </w:r>
          </w:p>
        </w:tc>
        <w:tc>
          <w:tcPr>
            <w:tcW w:w="815" w:type="dxa"/>
            <w:tcBorders>
              <w:top w:val="single" w:sz="1" w:space="0" w:color="000000"/>
              <w:bottom w:val="single" w:sz="1" w:space="0" w:color="000000"/>
            </w:tcBorders>
          </w:tcPr>
          <w:p>
            <w:pPr/>
          </w:p>
        </w:tc>
        <w:tc>
          <w:tcPr>
            <w:tcW w:w="309" w:type="dxa"/>
            <w:tcBorders>
              <w:top w:val="single" w:sz="1" w:space="0" w:color="000000"/>
              <w:bottom w:val="single" w:sz="1" w:space="0" w:color="000000"/>
            </w:tcBorders>
          </w:tcPr>
          <w:p>
            <w:pPr>
              <w:pStyle w:val="TableParagraph"/>
              <w:spacing w:before="124"/>
              <w:ind w:right="84"/>
              <w:jc w:val="right"/>
              <w:rPr>
                <w:b/>
                <w:sz w:val="18"/>
              </w:rPr>
            </w:pPr>
            <w:r>
              <w:rPr>
                <w:b/>
                <w:w w:val="95"/>
                <w:sz w:val="18"/>
              </w:rPr>
              <w:t>14</w:t>
            </w:r>
          </w:p>
        </w:tc>
        <w:tc>
          <w:tcPr>
            <w:tcW w:w="1467" w:type="dxa"/>
            <w:tcBorders>
              <w:top w:val="single" w:sz="1" w:space="0" w:color="000000"/>
              <w:bottom w:val="single" w:sz="1" w:space="0" w:color="000000"/>
            </w:tcBorders>
          </w:tcPr>
          <w:p>
            <w:pPr>
              <w:pStyle w:val="TableParagraph"/>
              <w:spacing w:before="124"/>
              <w:ind w:right="255"/>
              <w:jc w:val="right"/>
              <w:rPr>
                <w:sz w:val="18"/>
              </w:rPr>
            </w:pPr>
            <w:r>
              <w:rPr>
                <w:sz w:val="18"/>
              </w:rPr>
              <w:t>82</w:t>
            </w:r>
          </w:p>
        </w:tc>
        <w:tc>
          <w:tcPr>
            <w:tcW w:w="815" w:type="dxa"/>
            <w:tcBorders>
              <w:top w:val="single" w:sz="1" w:space="0" w:color="000000"/>
              <w:bottom w:val="single" w:sz="1" w:space="0" w:color="000000"/>
            </w:tcBorders>
          </w:tcPr>
          <w:p>
            <w:pPr/>
          </w:p>
        </w:tc>
        <w:tc>
          <w:tcPr>
            <w:tcW w:w="312" w:type="dxa"/>
            <w:tcBorders>
              <w:top w:val="single" w:sz="1" w:space="0" w:color="000000"/>
              <w:bottom w:val="single" w:sz="1" w:space="0" w:color="000000"/>
            </w:tcBorders>
          </w:tcPr>
          <w:p>
            <w:pPr>
              <w:pStyle w:val="TableParagraph"/>
              <w:spacing w:before="124"/>
              <w:ind w:right="86"/>
              <w:jc w:val="right"/>
              <w:rPr>
                <w:sz w:val="18"/>
              </w:rPr>
            </w:pPr>
            <w:r>
              <w:rPr>
                <w:w w:val="95"/>
                <w:sz w:val="18"/>
              </w:rPr>
              <w:t>18</w:t>
            </w:r>
          </w:p>
        </w:tc>
      </w:tr>
    </w:tbl>
    <w:p>
      <w:pPr>
        <w:pStyle w:val="BodyText"/>
        <w:spacing w:before="5"/>
        <w:rPr>
          <w:b/>
          <w:sz w:val="20"/>
        </w:rPr>
      </w:pPr>
    </w:p>
    <w:p>
      <w:pPr>
        <w:pStyle w:val="BodyText"/>
        <w:spacing w:before="77" w:after="36"/>
        <w:ind w:left="1070" w:right="220"/>
      </w:pPr>
      <w:r>
        <w:rPr/>
        <w:t>The principal assumptions used for the purposes of the actuarial valuations were as follows (expressed as weighted averages):</w:t>
      </w: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4"/>
        <w:gridCol w:w="5253"/>
        <w:gridCol w:w="2762"/>
        <w:gridCol w:w="1059"/>
      </w:tblGrid>
      <w:tr>
        <w:trPr>
          <w:trHeight w:val="786" w:hRule="exact"/>
        </w:trPr>
        <w:tc>
          <w:tcPr>
            <w:tcW w:w="424" w:type="dxa"/>
            <w:vMerge w:val="restart"/>
          </w:tcPr>
          <w:p>
            <w:pPr/>
          </w:p>
        </w:tc>
        <w:tc>
          <w:tcPr>
            <w:tcW w:w="5253" w:type="dxa"/>
          </w:tcPr>
          <w:p>
            <w:pPr>
              <w:pStyle w:val="TableParagraph"/>
              <w:rPr>
                <w:sz w:val="18"/>
              </w:rPr>
            </w:pPr>
          </w:p>
          <w:p>
            <w:pPr>
              <w:pStyle w:val="TableParagraph"/>
              <w:rPr>
                <w:sz w:val="18"/>
              </w:rPr>
            </w:pPr>
          </w:p>
          <w:p>
            <w:pPr>
              <w:pStyle w:val="TableParagraph"/>
              <w:spacing w:before="128"/>
              <w:ind w:left="222"/>
              <w:rPr>
                <w:sz w:val="18"/>
              </w:rPr>
            </w:pPr>
            <w:r>
              <w:rPr>
                <w:sz w:val="18"/>
              </w:rPr>
              <w:t>Discount rate(s)</w:t>
            </w:r>
          </w:p>
        </w:tc>
        <w:tc>
          <w:tcPr>
            <w:tcW w:w="2762" w:type="dxa"/>
          </w:tcPr>
          <w:p>
            <w:pPr>
              <w:pStyle w:val="TableParagraph"/>
              <w:spacing w:line="204" w:lineRule="exact"/>
              <w:ind w:left="1731" w:right="590"/>
              <w:jc w:val="center"/>
              <w:rPr>
                <w:b/>
                <w:sz w:val="18"/>
              </w:rPr>
            </w:pPr>
            <w:r>
              <w:rPr>
                <w:b/>
                <w:sz w:val="18"/>
              </w:rPr>
              <w:t>2017</w:t>
            </w:r>
          </w:p>
          <w:p>
            <w:pPr>
              <w:pStyle w:val="TableParagraph"/>
              <w:spacing w:before="66"/>
              <w:ind w:right="724"/>
              <w:jc w:val="right"/>
              <w:rPr>
                <w:b/>
                <w:sz w:val="18"/>
              </w:rPr>
            </w:pPr>
            <w:r>
              <w:rPr>
                <w:b/>
                <w:w w:val="99"/>
                <w:sz w:val="18"/>
              </w:rPr>
              <w:t>%</w:t>
            </w:r>
          </w:p>
          <w:p>
            <w:pPr>
              <w:pStyle w:val="TableParagraph"/>
              <w:spacing w:before="62"/>
              <w:ind w:right="268"/>
              <w:jc w:val="right"/>
              <w:rPr>
                <w:b/>
                <w:sz w:val="18"/>
              </w:rPr>
            </w:pPr>
            <w:r>
              <w:rPr>
                <w:b/>
                <w:w w:val="95"/>
                <w:sz w:val="18"/>
              </w:rPr>
              <w:t>2.65</w:t>
            </w:r>
          </w:p>
        </w:tc>
        <w:tc>
          <w:tcPr>
            <w:tcW w:w="1059" w:type="dxa"/>
          </w:tcPr>
          <w:p>
            <w:pPr>
              <w:pStyle w:val="TableParagraph"/>
              <w:spacing w:line="204" w:lineRule="exact"/>
              <w:ind w:left="252" w:right="365"/>
              <w:jc w:val="center"/>
              <w:rPr>
                <w:b/>
                <w:sz w:val="18"/>
              </w:rPr>
            </w:pPr>
            <w:r>
              <w:rPr>
                <w:b/>
                <w:sz w:val="18"/>
              </w:rPr>
              <w:t>2016</w:t>
            </w:r>
          </w:p>
          <w:p>
            <w:pPr>
              <w:pStyle w:val="TableParagraph"/>
              <w:spacing w:before="66"/>
              <w:ind w:right="106"/>
              <w:jc w:val="center"/>
              <w:rPr>
                <w:b/>
                <w:sz w:val="18"/>
              </w:rPr>
            </w:pPr>
            <w:r>
              <w:rPr>
                <w:b/>
                <w:w w:val="99"/>
                <w:sz w:val="18"/>
              </w:rPr>
              <w:t>%</w:t>
            </w:r>
          </w:p>
          <w:p>
            <w:pPr>
              <w:pStyle w:val="TableParagraph"/>
              <w:spacing w:before="62"/>
              <w:ind w:left="670"/>
              <w:rPr>
                <w:sz w:val="18"/>
              </w:rPr>
            </w:pPr>
            <w:r>
              <w:rPr>
                <w:sz w:val="18"/>
              </w:rPr>
              <w:t>2.78</w:t>
            </w:r>
          </w:p>
        </w:tc>
      </w:tr>
      <w:tr>
        <w:trPr>
          <w:trHeight w:val="264" w:hRule="exact"/>
        </w:trPr>
        <w:tc>
          <w:tcPr>
            <w:tcW w:w="424" w:type="dxa"/>
            <w:vMerge/>
          </w:tcPr>
          <w:p>
            <w:pPr/>
          </w:p>
        </w:tc>
        <w:tc>
          <w:tcPr>
            <w:tcW w:w="5253" w:type="dxa"/>
          </w:tcPr>
          <w:p>
            <w:pPr>
              <w:pStyle w:val="TableParagraph"/>
              <w:spacing w:before="20"/>
              <w:ind w:left="222"/>
              <w:rPr>
                <w:sz w:val="18"/>
              </w:rPr>
            </w:pPr>
            <w:bookmarkStart w:name="(c) Actuarial assumptions and sensitivit" w:id="171"/>
            <w:bookmarkEnd w:id="171"/>
            <w:r>
              <w:rPr/>
            </w:r>
            <w:r>
              <w:rPr>
                <w:sz w:val="18"/>
              </w:rPr>
              <w:t>Expected return on plan assets</w:t>
            </w:r>
          </w:p>
        </w:tc>
        <w:tc>
          <w:tcPr>
            <w:tcW w:w="2762" w:type="dxa"/>
          </w:tcPr>
          <w:p>
            <w:pPr>
              <w:pStyle w:val="TableParagraph"/>
              <w:spacing w:before="18"/>
              <w:ind w:right="268"/>
              <w:jc w:val="right"/>
              <w:rPr>
                <w:b/>
                <w:sz w:val="18"/>
              </w:rPr>
            </w:pPr>
            <w:r>
              <w:rPr>
                <w:b/>
                <w:w w:val="95"/>
                <w:sz w:val="18"/>
              </w:rPr>
              <w:t>7.40</w:t>
            </w:r>
          </w:p>
        </w:tc>
        <w:tc>
          <w:tcPr>
            <w:tcW w:w="1059" w:type="dxa"/>
          </w:tcPr>
          <w:p>
            <w:pPr>
              <w:pStyle w:val="TableParagraph"/>
              <w:spacing w:before="18"/>
              <w:ind w:right="33"/>
              <w:jc w:val="right"/>
              <w:rPr>
                <w:sz w:val="18"/>
              </w:rPr>
            </w:pPr>
            <w:r>
              <w:rPr>
                <w:w w:val="95"/>
                <w:sz w:val="18"/>
              </w:rPr>
              <w:t>7.40</w:t>
            </w:r>
          </w:p>
        </w:tc>
      </w:tr>
      <w:tr>
        <w:trPr>
          <w:trHeight w:val="264" w:hRule="exact"/>
        </w:trPr>
        <w:tc>
          <w:tcPr>
            <w:tcW w:w="424" w:type="dxa"/>
            <w:vMerge/>
          </w:tcPr>
          <w:p>
            <w:pPr/>
          </w:p>
        </w:tc>
        <w:tc>
          <w:tcPr>
            <w:tcW w:w="5253" w:type="dxa"/>
          </w:tcPr>
          <w:p>
            <w:pPr>
              <w:pStyle w:val="TableParagraph"/>
              <w:spacing w:before="20"/>
              <w:ind w:left="222"/>
              <w:rPr>
                <w:sz w:val="18"/>
              </w:rPr>
            </w:pPr>
            <w:r>
              <w:rPr>
                <w:sz w:val="18"/>
              </w:rPr>
              <w:t>Expected return on reimbursement rights</w:t>
            </w:r>
          </w:p>
        </w:tc>
        <w:tc>
          <w:tcPr>
            <w:tcW w:w="2762" w:type="dxa"/>
          </w:tcPr>
          <w:p>
            <w:pPr>
              <w:pStyle w:val="TableParagraph"/>
              <w:spacing w:before="18"/>
              <w:ind w:right="268"/>
              <w:jc w:val="right"/>
              <w:rPr>
                <w:b/>
                <w:sz w:val="18"/>
              </w:rPr>
            </w:pPr>
            <w:r>
              <w:rPr>
                <w:b/>
                <w:w w:val="95"/>
                <w:sz w:val="18"/>
              </w:rPr>
              <w:t>3.16</w:t>
            </w:r>
          </w:p>
        </w:tc>
        <w:tc>
          <w:tcPr>
            <w:tcW w:w="1059" w:type="dxa"/>
          </w:tcPr>
          <w:p>
            <w:pPr>
              <w:pStyle w:val="TableParagraph"/>
              <w:spacing w:before="18"/>
              <w:ind w:right="33"/>
              <w:jc w:val="right"/>
              <w:rPr>
                <w:sz w:val="18"/>
              </w:rPr>
            </w:pPr>
            <w:r>
              <w:rPr>
                <w:w w:val="95"/>
                <w:sz w:val="18"/>
              </w:rPr>
              <w:t>2.97</w:t>
            </w:r>
          </w:p>
        </w:tc>
      </w:tr>
      <w:tr>
        <w:trPr>
          <w:trHeight w:val="264" w:hRule="exact"/>
        </w:trPr>
        <w:tc>
          <w:tcPr>
            <w:tcW w:w="424" w:type="dxa"/>
            <w:vMerge/>
          </w:tcPr>
          <w:p>
            <w:pPr/>
          </w:p>
        </w:tc>
        <w:tc>
          <w:tcPr>
            <w:tcW w:w="5253" w:type="dxa"/>
          </w:tcPr>
          <w:p>
            <w:pPr>
              <w:pStyle w:val="TableParagraph"/>
              <w:spacing w:before="20"/>
              <w:ind w:left="222"/>
              <w:rPr>
                <w:sz w:val="18"/>
              </w:rPr>
            </w:pPr>
            <w:r>
              <w:rPr>
                <w:sz w:val="18"/>
              </w:rPr>
              <w:t>Expected rate(s) of salary increase</w:t>
            </w:r>
          </w:p>
        </w:tc>
        <w:tc>
          <w:tcPr>
            <w:tcW w:w="2762" w:type="dxa"/>
          </w:tcPr>
          <w:p>
            <w:pPr>
              <w:pStyle w:val="TableParagraph"/>
              <w:spacing w:before="18"/>
              <w:ind w:right="268"/>
              <w:jc w:val="right"/>
              <w:rPr>
                <w:b/>
                <w:sz w:val="18"/>
              </w:rPr>
            </w:pPr>
            <w:r>
              <w:rPr>
                <w:b/>
                <w:w w:val="95"/>
                <w:sz w:val="18"/>
              </w:rPr>
              <w:t>2.50</w:t>
            </w:r>
          </w:p>
        </w:tc>
        <w:tc>
          <w:tcPr>
            <w:tcW w:w="1059" w:type="dxa"/>
          </w:tcPr>
          <w:p>
            <w:pPr>
              <w:pStyle w:val="TableParagraph"/>
              <w:spacing w:before="18"/>
              <w:ind w:right="33"/>
              <w:jc w:val="right"/>
              <w:rPr>
                <w:sz w:val="18"/>
              </w:rPr>
            </w:pPr>
            <w:r>
              <w:rPr>
                <w:w w:val="95"/>
                <w:sz w:val="18"/>
              </w:rPr>
              <w:t>2.50</w:t>
            </w:r>
          </w:p>
        </w:tc>
      </w:tr>
      <w:tr>
        <w:trPr>
          <w:trHeight w:val="413" w:hRule="exact"/>
        </w:trPr>
        <w:tc>
          <w:tcPr>
            <w:tcW w:w="424" w:type="dxa"/>
            <w:vMerge/>
          </w:tcPr>
          <w:p>
            <w:pPr/>
          </w:p>
        </w:tc>
        <w:tc>
          <w:tcPr>
            <w:tcW w:w="5253" w:type="dxa"/>
          </w:tcPr>
          <w:p>
            <w:pPr>
              <w:pStyle w:val="TableParagraph"/>
              <w:spacing w:before="20"/>
              <w:ind w:left="222"/>
              <w:rPr>
                <w:sz w:val="18"/>
              </w:rPr>
            </w:pPr>
            <w:r>
              <w:rPr>
                <w:sz w:val="18"/>
              </w:rPr>
              <w:t>Expected rate of CPI increase</w:t>
            </w:r>
          </w:p>
        </w:tc>
        <w:tc>
          <w:tcPr>
            <w:tcW w:w="2762" w:type="dxa"/>
          </w:tcPr>
          <w:p>
            <w:pPr>
              <w:pStyle w:val="TableParagraph"/>
              <w:spacing w:before="18"/>
              <w:ind w:right="268"/>
              <w:jc w:val="right"/>
              <w:rPr>
                <w:b/>
                <w:sz w:val="18"/>
              </w:rPr>
            </w:pPr>
            <w:r>
              <w:rPr>
                <w:b/>
                <w:w w:val="95"/>
                <w:sz w:val="18"/>
              </w:rPr>
              <w:t>2.50</w:t>
            </w:r>
          </w:p>
        </w:tc>
        <w:tc>
          <w:tcPr>
            <w:tcW w:w="1059" w:type="dxa"/>
          </w:tcPr>
          <w:p>
            <w:pPr>
              <w:pStyle w:val="TableParagraph"/>
              <w:spacing w:before="18"/>
              <w:ind w:right="33"/>
              <w:jc w:val="right"/>
              <w:rPr>
                <w:sz w:val="18"/>
              </w:rPr>
            </w:pPr>
            <w:r>
              <w:rPr>
                <w:w w:val="95"/>
                <w:sz w:val="18"/>
              </w:rPr>
              <w:t>2.50</w:t>
            </w:r>
          </w:p>
        </w:tc>
      </w:tr>
      <w:tr>
        <w:trPr>
          <w:trHeight w:val="470" w:hRule="exact"/>
        </w:trPr>
        <w:tc>
          <w:tcPr>
            <w:tcW w:w="424" w:type="dxa"/>
          </w:tcPr>
          <w:p>
            <w:pPr>
              <w:pStyle w:val="TableParagraph"/>
              <w:spacing w:before="5"/>
              <w:rPr>
                <w:sz w:val="14"/>
              </w:rPr>
            </w:pPr>
          </w:p>
          <w:p>
            <w:pPr>
              <w:pStyle w:val="TableParagraph"/>
              <w:ind w:left="35"/>
              <w:rPr>
                <w:sz w:val="18"/>
              </w:rPr>
            </w:pPr>
            <w:r>
              <w:rPr>
                <w:sz w:val="18"/>
              </w:rPr>
              <w:t>(c)</w:t>
            </w:r>
          </w:p>
        </w:tc>
        <w:tc>
          <w:tcPr>
            <w:tcW w:w="5253" w:type="dxa"/>
          </w:tcPr>
          <w:p>
            <w:pPr>
              <w:pStyle w:val="TableParagraph"/>
              <w:spacing w:before="5"/>
              <w:rPr>
                <w:sz w:val="14"/>
              </w:rPr>
            </w:pPr>
          </w:p>
          <w:p>
            <w:pPr>
              <w:pStyle w:val="TableParagraph"/>
              <w:ind w:left="177"/>
              <w:rPr>
                <w:sz w:val="18"/>
              </w:rPr>
            </w:pPr>
            <w:r>
              <w:rPr>
                <w:sz w:val="18"/>
              </w:rPr>
              <w:t>Actuarial assumptions and sensitivity</w:t>
            </w:r>
          </w:p>
        </w:tc>
        <w:tc>
          <w:tcPr>
            <w:tcW w:w="2762" w:type="dxa"/>
          </w:tcPr>
          <w:p>
            <w:pPr/>
          </w:p>
        </w:tc>
        <w:tc>
          <w:tcPr>
            <w:tcW w:w="1059" w:type="dxa"/>
          </w:tcPr>
          <w:p>
            <w:pPr/>
          </w:p>
        </w:tc>
      </w:tr>
    </w:tbl>
    <w:p>
      <w:pPr>
        <w:pStyle w:val="BodyText"/>
        <w:spacing w:before="4"/>
        <w:rPr>
          <w:sz w:val="10"/>
        </w:rPr>
      </w:pPr>
    </w:p>
    <w:p>
      <w:pPr>
        <w:pStyle w:val="BodyText"/>
        <w:spacing w:before="77"/>
        <w:ind w:left="1070" w:right="220"/>
      </w:pPr>
      <w:r>
        <w:rPr/>
        <w:t>The sensitivity of the defined benefit obligation to change in the significant assumptions is:</w:t>
      </w:r>
    </w:p>
    <w:p>
      <w:pPr>
        <w:pStyle w:val="BodyText"/>
      </w:pPr>
    </w:p>
    <w:p>
      <w:pPr>
        <w:pStyle w:val="BodyText"/>
      </w:pPr>
    </w:p>
    <w:p>
      <w:pPr>
        <w:pStyle w:val="Heading9"/>
        <w:spacing w:line="207" w:lineRule="exact" w:before="113"/>
        <w:ind w:left="4453" w:right="4678"/>
        <w:jc w:val="center"/>
      </w:pPr>
      <w:r>
        <w:rPr/>
        <w:t>Change in</w:t>
      </w:r>
    </w:p>
    <w:p>
      <w:pPr>
        <w:tabs>
          <w:tab w:pos="6290" w:val="left" w:leader="none"/>
        </w:tabs>
        <w:spacing w:line="207" w:lineRule="exact" w:before="0" w:after="36"/>
        <w:ind w:left="4442" w:right="220" w:firstLine="0"/>
        <w:jc w:val="left"/>
        <w:rPr>
          <w:b/>
          <w:sz w:val="18"/>
        </w:rPr>
      </w:pPr>
      <w:r>
        <w:rPr>
          <w:b/>
          <w:sz w:val="18"/>
        </w:rPr>
        <w:t>assumption</w:t>
        <w:tab/>
        <w:t>Impact on defined benefit obligation</w:t>
      </w:r>
    </w:p>
    <w:tbl>
      <w:tblPr>
        <w:tblW w:w="0" w:type="auto"/>
        <w:jc w:val="left"/>
        <w:tblInd w:w="10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80"/>
        <w:gridCol w:w="1733"/>
        <w:gridCol w:w="2394"/>
        <w:gridCol w:w="2209"/>
      </w:tblGrid>
      <w:tr>
        <w:trPr>
          <w:trHeight w:val="546" w:hRule="exact"/>
        </w:trPr>
        <w:tc>
          <w:tcPr>
            <w:tcW w:w="2580" w:type="dxa"/>
          </w:tcPr>
          <w:p>
            <w:pPr>
              <w:pStyle w:val="TableParagraph"/>
              <w:spacing w:before="2"/>
              <w:rPr>
                <w:b/>
                <w:sz w:val="26"/>
              </w:rPr>
            </w:pPr>
          </w:p>
          <w:p>
            <w:pPr>
              <w:pStyle w:val="TableParagraph"/>
              <w:spacing w:before="1"/>
              <w:ind w:left="35"/>
              <w:rPr>
                <w:sz w:val="18"/>
              </w:rPr>
            </w:pPr>
            <w:r>
              <w:rPr>
                <w:sz w:val="18"/>
              </w:rPr>
              <w:t>Discount rate</w:t>
            </w:r>
          </w:p>
        </w:tc>
        <w:tc>
          <w:tcPr>
            <w:tcW w:w="1733" w:type="dxa"/>
          </w:tcPr>
          <w:p>
            <w:pPr>
              <w:pStyle w:val="TableParagraph"/>
              <w:spacing w:before="30"/>
              <w:ind w:right="359"/>
              <w:jc w:val="right"/>
              <w:rPr>
                <w:b/>
                <w:sz w:val="18"/>
              </w:rPr>
            </w:pPr>
            <w:r>
              <w:rPr>
                <w:b/>
                <w:w w:val="99"/>
                <w:sz w:val="18"/>
              </w:rPr>
              <w:t>%</w:t>
            </w:r>
          </w:p>
          <w:p>
            <w:pPr>
              <w:pStyle w:val="TableParagraph"/>
              <w:spacing w:before="62"/>
              <w:ind w:right="296"/>
              <w:jc w:val="right"/>
              <w:rPr>
                <w:sz w:val="18"/>
              </w:rPr>
            </w:pPr>
            <w:r>
              <w:rPr>
                <w:w w:val="95"/>
                <w:sz w:val="18"/>
              </w:rPr>
              <w:t>1.00</w:t>
            </w:r>
          </w:p>
        </w:tc>
        <w:tc>
          <w:tcPr>
            <w:tcW w:w="2394" w:type="dxa"/>
          </w:tcPr>
          <w:p>
            <w:pPr>
              <w:pStyle w:val="TableParagraph"/>
              <w:spacing w:before="30"/>
              <w:ind w:left="320"/>
              <w:rPr>
                <w:b/>
                <w:sz w:val="18"/>
              </w:rPr>
            </w:pPr>
            <w:r>
              <w:rPr>
                <w:b/>
                <w:sz w:val="18"/>
              </w:rPr>
              <w:t>Increase in assumption</w:t>
            </w:r>
          </w:p>
          <w:p>
            <w:pPr>
              <w:pStyle w:val="TableParagraph"/>
              <w:spacing w:before="62"/>
              <w:ind w:left="298"/>
              <w:rPr>
                <w:sz w:val="18"/>
              </w:rPr>
            </w:pPr>
            <w:r>
              <w:rPr>
                <w:sz w:val="18"/>
              </w:rPr>
              <w:t>Decrease by 10.7%</w:t>
            </w:r>
          </w:p>
        </w:tc>
        <w:tc>
          <w:tcPr>
            <w:tcW w:w="2209" w:type="dxa"/>
          </w:tcPr>
          <w:p>
            <w:pPr>
              <w:pStyle w:val="TableParagraph"/>
              <w:spacing w:before="30"/>
              <w:ind w:left="93"/>
              <w:rPr>
                <w:b/>
                <w:sz w:val="18"/>
              </w:rPr>
            </w:pPr>
            <w:r>
              <w:rPr>
                <w:b/>
                <w:sz w:val="18"/>
              </w:rPr>
              <w:t>Decrease in assumption</w:t>
            </w:r>
          </w:p>
          <w:p>
            <w:pPr>
              <w:pStyle w:val="TableParagraph"/>
              <w:spacing w:before="62"/>
              <w:ind w:left="62"/>
              <w:rPr>
                <w:sz w:val="18"/>
              </w:rPr>
            </w:pPr>
            <w:r>
              <w:rPr>
                <w:sz w:val="18"/>
              </w:rPr>
              <w:t>Increase by 12.9%</w:t>
            </w:r>
          </w:p>
        </w:tc>
      </w:tr>
      <w:tr>
        <w:trPr>
          <w:trHeight w:val="323" w:hRule="exact"/>
        </w:trPr>
        <w:tc>
          <w:tcPr>
            <w:tcW w:w="2580" w:type="dxa"/>
          </w:tcPr>
          <w:p>
            <w:pPr>
              <w:pStyle w:val="TableParagraph"/>
              <w:spacing w:before="20"/>
              <w:ind w:left="35"/>
              <w:rPr>
                <w:sz w:val="18"/>
              </w:rPr>
            </w:pPr>
            <w:r>
              <w:rPr>
                <w:sz w:val="18"/>
              </w:rPr>
              <w:t>Salary growth rate</w:t>
            </w:r>
          </w:p>
        </w:tc>
        <w:tc>
          <w:tcPr>
            <w:tcW w:w="1733" w:type="dxa"/>
          </w:tcPr>
          <w:p>
            <w:pPr>
              <w:pStyle w:val="TableParagraph"/>
              <w:spacing w:before="18"/>
              <w:ind w:left="1081"/>
              <w:rPr>
                <w:sz w:val="18"/>
              </w:rPr>
            </w:pPr>
            <w:r>
              <w:rPr>
                <w:sz w:val="18"/>
              </w:rPr>
              <w:t>0.50</w:t>
            </w:r>
          </w:p>
        </w:tc>
        <w:tc>
          <w:tcPr>
            <w:tcW w:w="2394" w:type="dxa"/>
          </w:tcPr>
          <w:p>
            <w:pPr>
              <w:pStyle w:val="TableParagraph"/>
              <w:spacing w:before="18"/>
              <w:ind w:left="298"/>
              <w:rPr>
                <w:sz w:val="18"/>
              </w:rPr>
            </w:pPr>
            <w:r>
              <w:rPr>
                <w:sz w:val="18"/>
              </w:rPr>
              <w:t>Increase by 0.2%</w:t>
            </w:r>
          </w:p>
        </w:tc>
        <w:tc>
          <w:tcPr>
            <w:tcW w:w="2209" w:type="dxa"/>
          </w:tcPr>
          <w:p>
            <w:pPr>
              <w:pStyle w:val="TableParagraph"/>
              <w:spacing w:before="18"/>
              <w:ind w:left="62"/>
              <w:rPr>
                <w:sz w:val="18"/>
              </w:rPr>
            </w:pPr>
            <w:r>
              <w:rPr>
                <w:sz w:val="18"/>
              </w:rPr>
              <w:t>Decrease by 0.2%</w:t>
            </w:r>
          </w:p>
        </w:tc>
      </w:tr>
    </w:tbl>
    <w:p>
      <w:pPr>
        <w:pStyle w:val="BodyText"/>
        <w:spacing w:before="2"/>
        <w:rPr>
          <w:b/>
          <w:sz w:val="12"/>
        </w:rPr>
      </w:pPr>
    </w:p>
    <w:p>
      <w:pPr>
        <w:pStyle w:val="BodyText"/>
        <w:spacing w:before="78"/>
        <w:ind w:left="1070" w:right="130"/>
      </w:pPr>
      <w:r>
        <w:rPr/>
        <w:t>The above sensitivity analyses are based on a change in an assumption while holding all the other assumptions constant. In practice this is unlikely to occur, and changes in some of the assumptions may be correlated.</w:t>
      </w:r>
    </w:p>
    <w:p>
      <w:pPr>
        <w:pStyle w:val="BodyText"/>
        <w:ind w:left="1070" w:right="220"/>
      </w:pPr>
      <w:r>
        <w:rPr/>
        <w:t>When calculating the sensitivity of the defined benefit obligation to significant actuarial assumptions the same method has been applied as when calculating the defined benefit liability recognised in the statement of financial position.</w:t>
      </w:r>
    </w:p>
    <w:p>
      <w:pPr>
        <w:pStyle w:val="BodyText"/>
        <w:spacing w:before="11"/>
        <w:rPr>
          <w:sz w:val="24"/>
        </w:rPr>
      </w:pPr>
    </w:p>
    <w:p>
      <w:pPr>
        <w:pStyle w:val="BodyText"/>
        <w:ind w:left="1070" w:right="220"/>
      </w:pPr>
      <w:r>
        <w:rPr/>
        <w:t>The methods and types of assumptions used in the preparation of the sensitivity analysis did not change compared to the prior period.</w:t>
      </w:r>
    </w:p>
    <w:p>
      <w:pPr>
        <w:spacing w:after="0"/>
        <w:sectPr>
          <w:pgSz w:w="11910" w:h="16840"/>
          <w:pgMar w:header="1037" w:footer="485" w:top="2220" w:bottom="700" w:left="900" w:right="880"/>
        </w:sectPr>
      </w:pPr>
    </w:p>
    <w:p>
      <w:pPr>
        <w:pStyle w:val="BodyText"/>
        <w:rPr>
          <w:sz w:val="20"/>
        </w:rPr>
      </w:pPr>
    </w:p>
    <w:p>
      <w:pPr>
        <w:pStyle w:val="BodyText"/>
        <w:rPr>
          <w:sz w:val="20"/>
        </w:rPr>
      </w:pPr>
    </w:p>
    <w:p>
      <w:pPr>
        <w:pStyle w:val="BodyText"/>
        <w:spacing w:before="5"/>
      </w:pPr>
    </w:p>
    <w:p>
      <w:pPr>
        <w:pStyle w:val="Heading9"/>
        <w:tabs>
          <w:tab w:pos="1070" w:val="left" w:leader="none"/>
        </w:tabs>
        <w:ind w:left="504" w:right="220"/>
      </w:pPr>
      <w:bookmarkStart w:name="(d) Statement of financial position amou" w:id="172"/>
      <w:bookmarkEnd w:id="172"/>
      <w:r>
        <w:rPr>
          <w:b w:val="0"/>
        </w:rPr>
      </w:r>
      <w:r>
        <w:rPr/>
        <w:t>41</w:t>
        <w:tab/>
        <w:t>Defined Benefits Plans (continued)</w:t>
      </w:r>
    </w:p>
    <w:p>
      <w:pPr>
        <w:pStyle w:val="BodyText"/>
        <w:spacing w:before="7"/>
        <w:rPr>
          <w:b/>
          <w:sz w:val="26"/>
        </w:rPr>
      </w:pPr>
    </w:p>
    <w:p>
      <w:pPr>
        <w:pStyle w:val="BodyText"/>
        <w:tabs>
          <w:tab w:pos="1070" w:val="left" w:leader="none"/>
        </w:tabs>
        <w:ind w:left="504" w:right="220"/>
      </w:pPr>
      <w:r>
        <w:rPr/>
        <w:t>(d)</w:t>
        <w:tab/>
        <w:t>Statement of financial position</w:t>
      </w:r>
      <w:r>
        <w:rPr>
          <w:spacing w:val="3"/>
        </w:rPr>
        <w:t> </w:t>
      </w:r>
      <w:r>
        <w:rPr/>
        <w:t>amounts</w:t>
      </w:r>
    </w:p>
    <w:p>
      <w:pPr>
        <w:pStyle w:val="BodyText"/>
        <w:rPr>
          <w:sz w:val="20"/>
        </w:rPr>
      </w:pPr>
    </w:p>
    <w:p>
      <w:pPr>
        <w:pStyle w:val="BodyText"/>
        <w:spacing w:before="3"/>
        <w:rPr>
          <w:sz w:val="19"/>
        </w:rPr>
      </w:pPr>
    </w:p>
    <w:p>
      <w:pPr>
        <w:spacing w:after="0"/>
        <w:rPr>
          <w:sz w:val="19"/>
        </w:rPr>
        <w:sectPr>
          <w:pgSz w:w="11910" w:h="16840"/>
          <w:pgMar w:header="1037" w:footer="485" w:top="2220" w:bottom="700" w:left="900" w:right="880"/>
        </w:sectPr>
      </w:pPr>
    </w:p>
    <w:p>
      <w:pPr>
        <w:pStyle w:val="BodyText"/>
        <w:spacing w:before="9"/>
        <w:rPr>
          <w:sz w:val="12"/>
        </w:rPr>
      </w:pPr>
    </w:p>
    <w:p>
      <w:pPr>
        <w:spacing w:before="0"/>
        <w:ind w:left="1108" w:right="0" w:firstLine="0"/>
        <w:jc w:val="left"/>
        <w:rPr>
          <w:b/>
          <w:sz w:val="16"/>
        </w:rPr>
      </w:pPr>
      <w:r>
        <w:rPr>
          <w:b/>
          <w:sz w:val="16"/>
        </w:rPr>
        <w:t>Amounts recognised in the statement</w:t>
      </w:r>
    </w:p>
    <w:p>
      <w:pPr>
        <w:tabs>
          <w:tab w:pos="4919" w:val="left" w:leader="none"/>
        </w:tabs>
        <w:spacing w:before="1"/>
        <w:ind w:left="1108" w:right="0" w:firstLine="0"/>
        <w:jc w:val="left"/>
        <w:rPr>
          <w:b/>
          <w:sz w:val="16"/>
        </w:rPr>
      </w:pPr>
      <w:r>
        <w:rPr>
          <w:b/>
          <w:sz w:val="16"/>
        </w:rPr>
        <w:t>of financial position</w:t>
      </w:r>
      <w:r>
        <w:rPr>
          <w:b/>
          <w:spacing w:val="4"/>
          <w:sz w:val="16"/>
        </w:rPr>
        <w:t> </w:t>
      </w:r>
      <w:r>
        <w:rPr>
          <w:b/>
          <w:sz w:val="16"/>
        </w:rPr>
        <w:t>-</w:t>
      </w:r>
      <w:r>
        <w:rPr>
          <w:b/>
          <w:spacing w:val="1"/>
          <w:sz w:val="16"/>
        </w:rPr>
        <w:t> </w:t>
      </w:r>
      <w:r>
        <w:rPr>
          <w:b/>
          <w:sz w:val="16"/>
        </w:rPr>
        <w:t>2017</w:t>
        <w:tab/>
      </w:r>
      <w:r>
        <w:rPr>
          <w:b/>
          <w:spacing w:val="-1"/>
          <w:sz w:val="16"/>
        </w:rPr>
        <w:t>Note</w:t>
      </w:r>
    </w:p>
    <w:p>
      <w:pPr>
        <w:spacing w:before="80"/>
        <w:ind w:left="444" w:right="-11" w:firstLine="0"/>
        <w:jc w:val="left"/>
        <w:rPr>
          <w:b/>
          <w:sz w:val="16"/>
        </w:rPr>
      </w:pPr>
      <w:r>
        <w:rPr/>
        <w:br w:type="column"/>
      </w:r>
      <w:r>
        <w:rPr>
          <w:b/>
          <w:sz w:val="16"/>
        </w:rPr>
        <w:t>$'000</w:t>
      </w:r>
    </w:p>
    <w:p>
      <w:pPr>
        <w:spacing w:before="68"/>
        <w:ind w:left="425" w:right="-11" w:firstLine="0"/>
        <w:jc w:val="left"/>
        <w:rPr>
          <w:b/>
          <w:sz w:val="16"/>
        </w:rPr>
      </w:pPr>
      <w:r>
        <w:rPr>
          <w:b/>
          <w:spacing w:val="-3"/>
          <w:sz w:val="16"/>
        </w:rPr>
        <w:t>SASS</w:t>
      </w:r>
    </w:p>
    <w:p>
      <w:pPr>
        <w:spacing w:before="80"/>
        <w:ind w:left="713" w:right="-12" w:firstLine="0"/>
        <w:jc w:val="left"/>
        <w:rPr>
          <w:b/>
          <w:sz w:val="16"/>
        </w:rPr>
      </w:pPr>
      <w:r>
        <w:rPr/>
        <w:br w:type="column"/>
      </w:r>
      <w:r>
        <w:rPr>
          <w:b/>
          <w:sz w:val="16"/>
        </w:rPr>
        <w:t>$'000</w:t>
      </w:r>
    </w:p>
    <w:p>
      <w:pPr>
        <w:spacing w:before="68"/>
        <w:ind w:left="634" w:right="-12" w:firstLine="0"/>
        <w:jc w:val="left"/>
        <w:rPr>
          <w:b/>
          <w:sz w:val="16"/>
        </w:rPr>
      </w:pPr>
      <w:r>
        <w:rPr>
          <w:b/>
          <w:spacing w:val="-3"/>
          <w:sz w:val="16"/>
        </w:rPr>
        <w:t>SANCS</w:t>
      </w:r>
    </w:p>
    <w:p>
      <w:pPr>
        <w:spacing w:before="80"/>
        <w:ind w:left="652" w:right="-19" w:firstLine="0"/>
        <w:jc w:val="left"/>
        <w:rPr>
          <w:b/>
          <w:sz w:val="16"/>
        </w:rPr>
      </w:pPr>
      <w:r>
        <w:rPr/>
        <w:br w:type="column"/>
      </w:r>
      <w:r>
        <w:rPr>
          <w:b/>
          <w:sz w:val="16"/>
        </w:rPr>
        <w:t>$'000</w:t>
      </w:r>
    </w:p>
    <w:p>
      <w:pPr>
        <w:spacing w:before="68"/>
        <w:ind w:left="688" w:right="-19" w:firstLine="0"/>
        <w:jc w:val="left"/>
        <w:rPr>
          <w:b/>
          <w:sz w:val="16"/>
        </w:rPr>
      </w:pPr>
      <w:r>
        <w:rPr>
          <w:b/>
          <w:sz w:val="16"/>
        </w:rPr>
        <w:t>SSS</w:t>
      </w:r>
    </w:p>
    <w:p>
      <w:pPr>
        <w:spacing w:before="80"/>
        <w:ind w:left="732" w:right="0" w:firstLine="0"/>
        <w:jc w:val="left"/>
        <w:rPr>
          <w:b/>
          <w:sz w:val="16"/>
        </w:rPr>
      </w:pPr>
      <w:r>
        <w:rPr/>
        <w:br w:type="column"/>
      </w:r>
      <w:r>
        <w:rPr>
          <w:b/>
          <w:sz w:val="16"/>
        </w:rPr>
        <w:t>$'000</w:t>
      </w:r>
    </w:p>
    <w:p>
      <w:pPr>
        <w:spacing w:before="68"/>
        <w:ind w:left="739" w:right="0" w:firstLine="0"/>
        <w:jc w:val="left"/>
        <w:rPr>
          <w:b/>
          <w:sz w:val="16"/>
        </w:rPr>
      </w:pPr>
      <w:r>
        <w:rPr>
          <w:b/>
          <w:sz w:val="16"/>
        </w:rPr>
        <w:t>Total</w:t>
      </w:r>
    </w:p>
    <w:p>
      <w:pPr>
        <w:spacing w:after="0"/>
        <w:jc w:val="left"/>
        <w:rPr>
          <w:sz w:val="16"/>
        </w:rPr>
        <w:sectPr>
          <w:type w:val="continuous"/>
          <w:pgSz w:w="11910" w:h="16840"/>
          <w:pgMar w:top="1580" w:bottom="280" w:left="900" w:right="880"/>
          <w:cols w:num="5" w:equalWidth="0">
            <w:col w:w="5276" w:space="40"/>
            <w:col w:w="858" w:space="40"/>
            <w:col w:w="1188" w:space="40"/>
            <w:col w:w="1047" w:space="40"/>
            <w:col w:w="1601"/>
          </w:cols>
        </w:sectPr>
      </w:pPr>
    </w:p>
    <w:p>
      <w:pPr>
        <w:pStyle w:val="BodyText"/>
        <w:spacing w:before="9"/>
        <w:rPr>
          <w:b/>
          <w:sz w:val="5"/>
        </w:rPr>
      </w:pPr>
    </w:p>
    <w:tbl>
      <w:tblPr>
        <w:tblW w:w="0" w:type="auto"/>
        <w:jc w:val="left"/>
        <w:tblInd w:w="10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36"/>
        <w:gridCol w:w="1044"/>
        <w:gridCol w:w="1468"/>
        <w:gridCol w:w="1078"/>
        <w:gridCol w:w="1167"/>
        <w:gridCol w:w="954"/>
      </w:tblGrid>
      <w:tr>
        <w:trPr>
          <w:trHeight w:val="486" w:hRule="exact"/>
        </w:trPr>
        <w:tc>
          <w:tcPr>
            <w:tcW w:w="3236" w:type="dxa"/>
          </w:tcPr>
          <w:p>
            <w:pPr>
              <w:pStyle w:val="TableParagraph"/>
              <w:spacing w:before="80"/>
              <w:ind w:left="35"/>
              <w:rPr>
                <w:b/>
                <w:sz w:val="16"/>
              </w:rPr>
            </w:pPr>
            <w:r>
              <w:rPr>
                <w:b/>
                <w:sz w:val="16"/>
              </w:rPr>
              <w:t>Liabilities</w:t>
            </w:r>
          </w:p>
          <w:p>
            <w:pPr>
              <w:pStyle w:val="TableParagraph"/>
              <w:spacing w:before="29"/>
              <w:ind w:left="35"/>
              <w:rPr>
                <w:sz w:val="16"/>
              </w:rPr>
            </w:pPr>
            <w:r>
              <w:rPr>
                <w:sz w:val="16"/>
              </w:rPr>
              <w:t>Provision for deferred government</w:t>
            </w:r>
          </w:p>
        </w:tc>
        <w:tc>
          <w:tcPr>
            <w:tcW w:w="1044" w:type="dxa"/>
          </w:tcPr>
          <w:p>
            <w:pPr>
              <w:pStyle w:val="TableParagraph"/>
              <w:rPr>
                <w:b/>
                <w:sz w:val="16"/>
              </w:rPr>
            </w:pPr>
          </w:p>
          <w:p>
            <w:pPr>
              <w:pStyle w:val="TableParagraph"/>
              <w:spacing w:before="107"/>
              <w:ind w:right="302"/>
              <w:jc w:val="right"/>
              <w:rPr>
                <w:sz w:val="16"/>
              </w:rPr>
            </w:pPr>
            <w:r>
              <w:rPr>
                <w:sz w:val="16"/>
              </w:rPr>
              <w:t>27</w:t>
            </w:r>
          </w:p>
        </w:tc>
        <w:tc>
          <w:tcPr>
            <w:tcW w:w="4666" w:type="dxa"/>
            <w:gridSpan w:val="4"/>
          </w:tcPr>
          <w:p>
            <w:pPr/>
          </w:p>
        </w:tc>
      </w:tr>
      <w:tr>
        <w:trPr>
          <w:trHeight w:val="213" w:hRule="exact"/>
        </w:trPr>
        <w:tc>
          <w:tcPr>
            <w:tcW w:w="3236" w:type="dxa"/>
          </w:tcPr>
          <w:p>
            <w:pPr>
              <w:pStyle w:val="TableParagraph"/>
              <w:spacing w:line="176" w:lineRule="exact"/>
              <w:ind w:left="35"/>
              <w:rPr>
                <w:sz w:val="16"/>
              </w:rPr>
            </w:pPr>
            <w:r>
              <w:rPr>
                <w:sz w:val="16"/>
              </w:rPr>
              <w:t>benefits for superannuation</w:t>
            </w:r>
          </w:p>
        </w:tc>
        <w:tc>
          <w:tcPr>
            <w:tcW w:w="1044" w:type="dxa"/>
          </w:tcPr>
          <w:p>
            <w:pPr/>
          </w:p>
        </w:tc>
        <w:tc>
          <w:tcPr>
            <w:tcW w:w="1468" w:type="dxa"/>
            <w:tcBorders>
              <w:bottom w:val="single" w:sz="1" w:space="0" w:color="000000"/>
            </w:tcBorders>
          </w:tcPr>
          <w:p>
            <w:pPr>
              <w:pStyle w:val="TableParagraph"/>
              <w:spacing w:line="176" w:lineRule="exact"/>
              <w:ind w:right="380"/>
              <w:jc w:val="right"/>
              <w:rPr>
                <w:sz w:val="16"/>
              </w:rPr>
            </w:pPr>
            <w:r>
              <w:rPr>
                <w:sz w:val="16"/>
              </w:rPr>
              <w:t>12,641</w:t>
            </w:r>
          </w:p>
        </w:tc>
        <w:tc>
          <w:tcPr>
            <w:tcW w:w="1078" w:type="dxa"/>
            <w:tcBorders>
              <w:bottom w:val="single" w:sz="1" w:space="0" w:color="000000"/>
            </w:tcBorders>
          </w:tcPr>
          <w:p>
            <w:pPr>
              <w:pStyle w:val="TableParagraph"/>
              <w:spacing w:line="176" w:lineRule="exact"/>
              <w:ind w:right="291"/>
              <w:jc w:val="right"/>
              <w:rPr>
                <w:sz w:val="16"/>
              </w:rPr>
            </w:pPr>
            <w:r>
              <w:rPr>
                <w:sz w:val="16"/>
              </w:rPr>
              <w:t>4,244</w:t>
            </w:r>
          </w:p>
        </w:tc>
        <w:tc>
          <w:tcPr>
            <w:tcW w:w="1167" w:type="dxa"/>
            <w:tcBorders>
              <w:bottom w:val="single" w:sz="1" w:space="0" w:color="000000"/>
            </w:tcBorders>
          </w:tcPr>
          <w:p>
            <w:pPr>
              <w:pStyle w:val="TableParagraph"/>
              <w:spacing w:line="176" w:lineRule="exact"/>
              <w:ind w:right="292"/>
              <w:jc w:val="right"/>
              <w:rPr>
                <w:sz w:val="16"/>
              </w:rPr>
            </w:pPr>
            <w:r>
              <w:rPr>
                <w:sz w:val="16"/>
              </w:rPr>
              <w:t>330,910</w:t>
            </w:r>
          </w:p>
        </w:tc>
        <w:tc>
          <w:tcPr>
            <w:tcW w:w="954" w:type="dxa"/>
            <w:tcBorders>
              <w:bottom w:val="single" w:sz="1" w:space="0" w:color="000000"/>
            </w:tcBorders>
          </w:tcPr>
          <w:p>
            <w:pPr>
              <w:pStyle w:val="TableParagraph"/>
              <w:spacing w:line="176" w:lineRule="exact"/>
              <w:ind w:right="79"/>
              <w:jc w:val="right"/>
              <w:rPr>
                <w:sz w:val="16"/>
              </w:rPr>
            </w:pPr>
            <w:r>
              <w:rPr>
                <w:sz w:val="16"/>
              </w:rPr>
              <w:t>347,795</w:t>
            </w:r>
          </w:p>
        </w:tc>
      </w:tr>
      <w:tr>
        <w:trPr>
          <w:trHeight w:val="303" w:hRule="exact"/>
        </w:trPr>
        <w:tc>
          <w:tcPr>
            <w:tcW w:w="3236" w:type="dxa"/>
          </w:tcPr>
          <w:p>
            <w:pPr>
              <w:pStyle w:val="TableParagraph"/>
              <w:spacing w:before="124"/>
              <w:ind w:left="35"/>
              <w:rPr>
                <w:b/>
                <w:sz w:val="16"/>
              </w:rPr>
            </w:pPr>
            <w:r>
              <w:rPr>
                <w:b/>
                <w:sz w:val="16"/>
              </w:rPr>
              <w:t>Total liabilities recognised in the</w:t>
            </w:r>
          </w:p>
        </w:tc>
        <w:tc>
          <w:tcPr>
            <w:tcW w:w="1044" w:type="dxa"/>
          </w:tcPr>
          <w:p>
            <w:pPr/>
          </w:p>
        </w:tc>
        <w:tc>
          <w:tcPr>
            <w:tcW w:w="1468" w:type="dxa"/>
            <w:tcBorders>
              <w:top w:val="single" w:sz="1" w:space="0" w:color="000000"/>
            </w:tcBorders>
          </w:tcPr>
          <w:p>
            <w:pPr/>
          </w:p>
        </w:tc>
        <w:tc>
          <w:tcPr>
            <w:tcW w:w="1078" w:type="dxa"/>
            <w:tcBorders>
              <w:top w:val="single" w:sz="1" w:space="0" w:color="000000"/>
            </w:tcBorders>
          </w:tcPr>
          <w:p>
            <w:pPr/>
          </w:p>
        </w:tc>
        <w:tc>
          <w:tcPr>
            <w:tcW w:w="1167" w:type="dxa"/>
            <w:tcBorders>
              <w:top w:val="single" w:sz="1" w:space="0" w:color="000000"/>
            </w:tcBorders>
          </w:tcPr>
          <w:p>
            <w:pPr/>
          </w:p>
        </w:tc>
        <w:tc>
          <w:tcPr>
            <w:tcW w:w="954" w:type="dxa"/>
            <w:tcBorders>
              <w:top w:val="single" w:sz="1" w:space="0" w:color="000000"/>
            </w:tcBorders>
          </w:tcPr>
          <w:p>
            <w:pPr/>
          </w:p>
        </w:tc>
      </w:tr>
      <w:tr>
        <w:trPr>
          <w:trHeight w:val="199" w:hRule="exact"/>
        </w:trPr>
        <w:tc>
          <w:tcPr>
            <w:tcW w:w="3236" w:type="dxa"/>
          </w:tcPr>
          <w:p>
            <w:pPr>
              <w:pStyle w:val="TableParagraph"/>
              <w:spacing w:before="6"/>
              <w:ind w:left="35"/>
              <w:rPr>
                <w:b/>
                <w:sz w:val="16"/>
              </w:rPr>
            </w:pPr>
            <w:r>
              <w:rPr>
                <w:b/>
                <w:sz w:val="16"/>
              </w:rPr>
              <w:t>statement of financial position</w:t>
            </w:r>
          </w:p>
        </w:tc>
        <w:tc>
          <w:tcPr>
            <w:tcW w:w="1044" w:type="dxa"/>
          </w:tcPr>
          <w:p>
            <w:pPr/>
          </w:p>
        </w:tc>
        <w:tc>
          <w:tcPr>
            <w:tcW w:w="1468" w:type="dxa"/>
            <w:tcBorders>
              <w:bottom w:val="single" w:sz="1" w:space="0" w:color="000000"/>
            </w:tcBorders>
          </w:tcPr>
          <w:p>
            <w:pPr>
              <w:pStyle w:val="TableParagraph"/>
              <w:spacing w:line="162" w:lineRule="exact"/>
              <w:ind w:right="380"/>
              <w:jc w:val="right"/>
              <w:rPr>
                <w:sz w:val="16"/>
              </w:rPr>
            </w:pPr>
            <w:r>
              <w:rPr>
                <w:sz w:val="16"/>
              </w:rPr>
              <w:t>12,641</w:t>
            </w:r>
          </w:p>
        </w:tc>
        <w:tc>
          <w:tcPr>
            <w:tcW w:w="1078" w:type="dxa"/>
            <w:tcBorders>
              <w:bottom w:val="single" w:sz="1" w:space="0" w:color="000000"/>
            </w:tcBorders>
          </w:tcPr>
          <w:p>
            <w:pPr>
              <w:pStyle w:val="TableParagraph"/>
              <w:spacing w:line="162" w:lineRule="exact"/>
              <w:ind w:right="291"/>
              <w:jc w:val="right"/>
              <w:rPr>
                <w:sz w:val="16"/>
              </w:rPr>
            </w:pPr>
            <w:r>
              <w:rPr>
                <w:sz w:val="16"/>
              </w:rPr>
              <w:t>4,244</w:t>
            </w:r>
          </w:p>
        </w:tc>
        <w:tc>
          <w:tcPr>
            <w:tcW w:w="1167" w:type="dxa"/>
            <w:tcBorders>
              <w:bottom w:val="single" w:sz="1" w:space="0" w:color="000000"/>
            </w:tcBorders>
          </w:tcPr>
          <w:p>
            <w:pPr>
              <w:pStyle w:val="TableParagraph"/>
              <w:spacing w:line="162" w:lineRule="exact"/>
              <w:ind w:right="292"/>
              <w:jc w:val="right"/>
              <w:rPr>
                <w:sz w:val="16"/>
              </w:rPr>
            </w:pPr>
            <w:r>
              <w:rPr>
                <w:sz w:val="16"/>
              </w:rPr>
              <w:t>330,910</w:t>
            </w:r>
          </w:p>
        </w:tc>
        <w:tc>
          <w:tcPr>
            <w:tcW w:w="954" w:type="dxa"/>
            <w:tcBorders>
              <w:bottom w:val="single" w:sz="1" w:space="0" w:color="000000"/>
            </w:tcBorders>
          </w:tcPr>
          <w:p>
            <w:pPr>
              <w:pStyle w:val="TableParagraph"/>
              <w:spacing w:line="162" w:lineRule="exact"/>
              <w:ind w:right="79"/>
              <w:jc w:val="right"/>
              <w:rPr>
                <w:sz w:val="16"/>
              </w:rPr>
            </w:pPr>
            <w:r>
              <w:rPr>
                <w:sz w:val="16"/>
              </w:rPr>
              <w:t>347,795</w:t>
            </w:r>
          </w:p>
        </w:tc>
      </w:tr>
      <w:tr>
        <w:trPr>
          <w:trHeight w:val="331" w:hRule="exact"/>
        </w:trPr>
        <w:tc>
          <w:tcPr>
            <w:tcW w:w="3236" w:type="dxa"/>
          </w:tcPr>
          <w:p>
            <w:pPr>
              <w:pStyle w:val="TableParagraph"/>
              <w:spacing w:before="124"/>
              <w:ind w:left="35"/>
              <w:rPr>
                <w:b/>
                <w:sz w:val="16"/>
              </w:rPr>
            </w:pPr>
            <w:r>
              <w:rPr>
                <w:b/>
                <w:sz w:val="16"/>
              </w:rPr>
              <w:t>Assets</w:t>
            </w:r>
          </w:p>
        </w:tc>
        <w:tc>
          <w:tcPr>
            <w:tcW w:w="1044" w:type="dxa"/>
          </w:tcPr>
          <w:p>
            <w:pPr/>
          </w:p>
        </w:tc>
        <w:tc>
          <w:tcPr>
            <w:tcW w:w="1468" w:type="dxa"/>
            <w:tcBorders>
              <w:top w:val="single" w:sz="1" w:space="0" w:color="000000"/>
            </w:tcBorders>
          </w:tcPr>
          <w:p>
            <w:pPr/>
          </w:p>
        </w:tc>
        <w:tc>
          <w:tcPr>
            <w:tcW w:w="1078" w:type="dxa"/>
            <w:tcBorders>
              <w:top w:val="single" w:sz="1" w:space="0" w:color="000000"/>
            </w:tcBorders>
          </w:tcPr>
          <w:p>
            <w:pPr/>
          </w:p>
        </w:tc>
        <w:tc>
          <w:tcPr>
            <w:tcW w:w="1167" w:type="dxa"/>
            <w:tcBorders>
              <w:top w:val="single" w:sz="1" w:space="0" w:color="000000"/>
            </w:tcBorders>
          </w:tcPr>
          <w:p>
            <w:pPr/>
          </w:p>
        </w:tc>
        <w:tc>
          <w:tcPr>
            <w:tcW w:w="954" w:type="dxa"/>
            <w:tcBorders>
              <w:top w:val="single" w:sz="1" w:space="0" w:color="000000"/>
            </w:tcBorders>
          </w:tcPr>
          <w:p>
            <w:pPr/>
          </w:p>
        </w:tc>
      </w:tr>
      <w:tr>
        <w:trPr>
          <w:trHeight w:val="200" w:hRule="exact"/>
        </w:trPr>
        <w:tc>
          <w:tcPr>
            <w:tcW w:w="3236" w:type="dxa"/>
          </w:tcPr>
          <w:p>
            <w:pPr>
              <w:pStyle w:val="TableParagraph"/>
              <w:spacing w:before="8"/>
              <w:ind w:left="35"/>
              <w:rPr>
                <w:sz w:val="16"/>
              </w:rPr>
            </w:pPr>
            <w:r>
              <w:rPr>
                <w:sz w:val="16"/>
              </w:rPr>
              <w:t>Receivables for deferred government</w:t>
            </w:r>
          </w:p>
        </w:tc>
        <w:tc>
          <w:tcPr>
            <w:tcW w:w="1044" w:type="dxa"/>
          </w:tcPr>
          <w:p>
            <w:pPr>
              <w:pStyle w:val="TableParagraph"/>
              <w:spacing w:before="5"/>
              <w:ind w:right="302"/>
              <w:jc w:val="right"/>
              <w:rPr>
                <w:sz w:val="16"/>
              </w:rPr>
            </w:pPr>
            <w:r>
              <w:rPr>
                <w:sz w:val="16"/>
              </w:rPr>
              <w:t>18</w:t>
            </w:r>
          </w:p>
        </w:tc>
        <w:tc>
          <w:tcPr>
            <w:tcW w:w="1468" w:type="dxa"/>
          </w:tcPr>
          <w:p>
            <w:pPr/>
          </w:p>
        </w:tc>
        <w:tc>
          <w:tcPr>
            <w:tcW w:w="1078" w:type="dxa"/>
          </w:tcPr>
          <w:p>
            <w:pPr/>
          </w:p>
        </w:tc>
        <w:tc>
          <w:tcPr>
            <w:tcW w:w="1167" w:type="dxa"/>
          </w:tcPr>
          <w:p>
            <w:pPr/>
          </w:p>
        </w:tc>
        <w:tc>
          <w:tcPr>
            <w:tcW w:w="954" w:type="dxa"/>
          </w:tcPr>
          <w:p>
            <w:pPr/>
          </w:p>
        </w:tc>
      </w:tr>
      <w:tr>
        <w:trPr>
          <w:trHeight w:val="213" w:hRule="exact"/>
        </w:trPr>
        <w:tc>
          <w:tcPr>
            <w:tcW w:w="3236" w:type="dxa"/>
          </w:tcPr>
          <w:p>
            <w:pPr>
              <w:pStyle w:val="TableParagraph"/>
              <w:spacing w:line="176" w:lineRule="exact"/>
              <w:ind w:left="35"/>
              <w:rPr>
                <w:sz w:val="16"/>
              </w:rPr>
            </w:pPr>
            <w:r>
              <w:rPr>
                <w:sz w:val="16"/>
              </w:rPr>
              <w:t>contribution for superannuation</w:t>
            </w:r>
          </w:p>
        </w:tc>
        <w:tc>
          <w:tcPr>
            <w:tcW w:w="1044" w:type="dxa"/>
          </w:tcPr>
          <w:p>
            <w:pPr/>
          </w:p>
        </w:tc>
        <w:tc>
          <w:tcPr>
            <w:tcW w:w="1468" w:type="dxa"/>
            <w:tcBorders>
              <w:bottom w:val="single" w:sz="1" w:space="0" w:color="000000"/>
            </w:tcBorders>
          </w:tcPr>
          <w:p>
            <w:pPr>
              <w:pStyle w:val="TableParagraph"/>
              <w:spacing w:line="176" w:lineRule="exact"/>
              <w:ind w:right="380"/>
              <w:jc w:val="right"/>
              <w:rPr>
                <w:sz w:val="16"/>
              </w:rPr>
            </w:pPr>
            <w:r>
              <w:rPr>
                <w:sz w:val="16"/>
              </w:rPr>
              <w:t>10,935</w:t>
            </w:r>
          </w:p>
        </w:tc>
        <w:tc>
          <w:tcPr>
            <w:tcW w:w="1078" w:type="dxa"/>
            <w:tcBorders>
              <w:bottom w:val="single" w:sz="1" w:space="0" w:color="000000"/>
            </w:tcBorders>
          </w:tcPr>
          <w:p>
            <w:pPr>
              <w:pStyle w:val="TableParagraph"/>
              <w:spacing w:line="176" w:lineRule="exact"/>
              <w:ind w:right="291"/>
              <w:jc w:val="right"/>
              <w:rPr>
                <w:sz w:val="16"/>
              </w:rPr>
            </w:pPr>
            <w:r>
              <w:rPr>
                <w:sz w:val="16"/>
              </w:rPr>
              <w:t>3,858</w:t>
            </w:r>
          </w:p>
        </w:tc>
        <w:tc>
          <w:tcPr>
            <w:tcW w:w="1167" w:type="dxa"/>
            <w:tcBorders>
              <w:bottom w:val="single" w:sz="1" w:space="0" w:color="000000"/>
            </w:tcBorders>
          </w:tcPr>
          <w:p>
            <w:pPr>
              <w:pStyle w:val="TableParagraph"/>
              <w:spacing w:line="176" w:lineRule="exact"/>
              <w:ind w:right="292"/>
              <w:jc w:val="right"/>
              <w:rPr>
                <w:sz w:val="16"/>
              </w:rPr>
            </w:pPr>
            <w:r>
              <w:rPr>
                <w:sz w:val="16"/>
              </w:rPr>
              <w:t>330,910</w:t>
            </w:r>
          </w:p>
        </w:tc>
        <w:tc>
          <w:tcPr>
            <w:tcW w:w="954" w:type="dxa"/>
            <w:tcBorders>
              <w:bottom w:val="single" w:sz="1" w:space="0" w:color="000000"/>
            </w:tcBorders>
          </w:tcPr>
          <w:p>
            <w:pPr>
              <w:pStyle w:val="TableParagraph"/>
              <w:spacing w:line="176" w:lineRule="exact"/>
              <w:ind w:right="79"/>
              <w:jc w:val="right"/>
              <w:rPr>
                <w:sz w:val="16"/>
              </w:rPr>
            </w:pPr>
            <w:r>
              <w:rPr>
                <w:sz w:val="16"/>
              </w:rPr>
              <w:t>345,703</w:t>
            </w:r>
          </w:p>
        </w:tc>
      </w:tr>
      <w:tr>
        <w:trPr>
          <w:trHeight w:val="303" w:hRule="exact"/>
        </w:trPr>
        <w:tc>
          <w:tcPr>
            <w:tcW w:w="3236" w:type="dxa"/>
          </w:tcPr>
          <w:p>
            <w:pPr>
              <w:pStyle w:val="TableParagraph"/>
              <w:spacing w:before="124"/>
              <w:ind w:left="35"/>
              <w:rPr>
                <w:b/>
                <w:sz w:val="16"/>
              </w:rPr>
            </w:pPr>
            <w:r>
              <w:rPr>
                <w:b/>
                <w:sz w:val="16"/>
              </w:rPr>
              <w:t>Total assets recognised in the</w:t>
            </w:r>
          </w:p>
        </w:tc>
        <w:tc>
          <w:tcPr>
            <w:tcW w:w="1044" w:type="dxa"/>
          </w:tcPr>
          <w:p>
            <w:pPr/>
          </w:p>
        </w:tc>
        <w:tc>
          <w:tcPr>
            <w:tcW w:w="1468" w:type="dxa"/>
            <w:tcBorders>
              <w:top w:val="single" w:sz="1" w:space="0" w:color="000000"/>
            </w:tcBorders>
          </w:tcPr>
          <w:p>
            <w:pPr/>
          </w:p>
        </w:tc>
        <w:tc>
          <w:tcPr>
            <w:tcW w:w="1078" w:type="dxa"/>
            <w:tcBorders>
              <w:top w:val="single" w:sz="1" w:space="0" w:color="000000"/>
            </w:tcBorders>
          </w:tcPr>
          <w:p>
            <w:pPr/>
          </w:p>
        </w:tc>
        <w:tc>
          <w:tcPr>
            <w:tcW w:w="1167" w:type="dxa"/>
            <w:tcBorders>
              <w:top w:val="single" w:sz="1" w:space="0" w:color="000000"/>
            </w:tcBorders>
          </w:tcPr>
          <w:p>
            <w:pPr/>
          </w:p>
        </w:tc>
        <w:tc>
          <w:tcPr>
            <w:tcW w:w="954" w:type="dxa"/>
            <w:tcBorders>
              <w:top w:val="single" w:sz="1" w:space="0" w:color="000000"/>
            </w:tcBorders>
          </w:tcPr>
          <w:p>
            <w:pPr/>
          </w:p>
        </w:tc>
      </w:tr>
      <w:tr>
        <w:trPr>
          <w:trHeight w:val="199" w:hRule="exact"/>
        </w:trPr>
        <w:tc>
          <w:tcPr>
            <w:tcW w:w="3236" w:type="dxa"/>
          </w:tcPr>
          <w:p>
            <w:pPr>
              <w:pStyle w:val="TableParagraph"/>
              <w:spacing w:before="6"/>
              <w:ind w:left="35"/>
              <w:rPr>
                <w:b/>
                <w:sz w:val="16"/>
              </w:rPr>
            </w:pPr>
            <w:r>
              <w:rPr>
                <w:b/>
                <w:sz w:val="16"/>
              </w:rPr>
              <w:t>statement of financial position</w:t>
            </w:r>
          </w:p>
        </w:tc>
        <w:tc>
          <w:tcPr>
            <w:tcW w:w="1044" w:type="dxa"/>
          </w:tcPr>
          <w:p>
            <w:pPr/>
          </w:p>
        </w:tc>
        <w:tc>
          <w:tcPr>
            <w:tcW w:w="1468" w:type="dxa"/>
            <w:tcBorders>
              <w:bottom w:val="single" w:sz="1" w:space="0" w:color="000000"/>
            </w:tcBorders>
          </w:tcPr>
          <w:p>
            <w:pPr>
              <w:pStyle w:val="TableParagraph"/>
              <w:spacing w:line="162" w:lineRule="exact"/>
              <w:ind w:right="380"/>
              <w:jc w:val="right"/>
              <w:rPr>
                <w:sz w:val="16"/>
              </w:rPr>
            </w:pPr>
            <w:r>
              <w:rPr>
                <w:sz w:val="16"/>
              </w:rPr>
              <w:t>10,935</w:t>
            </w:r>
          </w:p>
        </w:tc>
        <w:tc>
          <w:tcPr>
            <w:tcW w:w="1078" w:type="dxa"/>
            <w:tcBorders>
              <w:bottom w:val="single" w:sz="1" w:space="0" w:color="000000"/>
            </w:tcBorders>
          </w:tcPr>
          <w:p>
            <w:pPr>
              <w:pStyle w:val="TableParagraph"/>
              <w:spacing w:line="162" w:lineRule="exact"/>
              <w:ind w:right="291"/>
              <w:jc w:val="right"/>
              <w:rPr>
                <w:sz w:val="16"/>
              </w:rPr>
            </w:pPr>
            <w:r>
              <w:rPr>
                <w:sz w:val="16"/>
              </w:rPr>
              <w:t>3,858</w:t>
            </w:r>
          </w:p>
        </w:tc>
        <w:tc>
          <w:tcPr>
            <w:tcW w:w="1167" w:type="dxa"/>
            <w:tcBorders>
              <w:bottom w:val="single" w:sz="1" w:space="0" w:color="000000"/>
            </w:tcBorders>
          </w:tcPr>
          <w:p>
            <w:pPr>
              <w:pStyle w:val="TableParagraph"/>
              <w:spacing w:line="162" w:lineRule="exact"/>
              <w:ind w:right="292"/>
              <w:jc w:val="right"/>
              <w:rPr>
                <w:sz w:val="16"/>
              </w:rPr>
            </w:pPr>
            <w:r>
              <w:rPr>
                <w:sz w:val="16"/>
              </w:rPr>
              <w:t>330,910</w:t>
            </w:r>
          </w:p>
        </w:tc>
        <w:tc>
          <w:tcPr>
            <w:tcW w:w="954" w:type="dxa"/>
            <w:tcBorders>
              <w:bottom w:val="single" w:sz="1" w:space="0" w:color="000000"/>
            </w:tcBorders>
          </w:tcPr>
          <w:p>
            <w:pPr>
              <w:pStyle w:val="TableParagraph"/>
              <w:spacing w:line="162" w:lineRule="exact"/>
              <w:ind w:right="79"/>
              <w:jc w:val="right"/>
              <w:rPr>
                <w:sz w:val="16"/>
              </w:rPr>
            </w:pPr>
            <w:r>
              <w:rPr>
                <w:sz w:val="16"/>
              </w:rPr>
              <w:t>345,703</w:t>
            </w:r>
          </w:p>
        </w:tc>
      </w:tr>
      <w:tr>
        <w:trPr>
          <w:trHeight w:val="317" w:hRule="exact"/>
        </w:trPr>
        <w:tc>
          <w:tcPr>
            <w:tcW w:w="3236" w:type="dxa"/>
          </w:tcPr>
          <w:p>
            <w:pPr>
              <w:pStyle w:val="TableParagraph"/>
              <w:spacing w:before="124"/>
              <w:ind w:left="35"/>
              <w:rPr>
                <w:b/>
                <w:sz w:val="16"/>
              </w:rPr>
            </w:pPr>
            <w:r>
              <w:rPr>
                <w:b/>
                <w:sz w:val="16"/>
              </w:rPr>
              <w:t>Net liability recognised in the</w:t>
            </w:r>
          </w:p>
        </w:tc>
        <w:tc>
          <w:tcPr>
            <w:tcW w:w="1044" w:type="dxa"/>
          </w:tcPr>
          <w:p>
            <w:pPr/>
          </w:p>
        </w:tc>
        <w:tc>
          <w:tcPr>
            <w:tcW w:w="1468" w:type="dxa"/>
            <w:tcBorders>
              <w:top w:val="single" w:sz="1" w:space="0" w:color="000000"/>
            </w:tcBorders>
          </w:tcPr>
          <w:p>
            <w:pPr/>
          </w:p>
        </w:tc>
        <w:tc>
          <w:tcPr>
            <w:tcW w:w="1078" w:type="dxa"/>
            <w:tcBorders>
              <w:top w:val="single" w:sz="1" w:space="0" w:color="000000"/>
            </w:tcBorders>
          </w:tcPr>
          <w:p>
            <w:pPr/>
          </w:p>
        </w:tc>
        <w:tc>
          <w:tcPr>
            <w:tcW w:w="1167" w:type="dxa"/>
            <w:tcBorders>
              <w:top w:val="single" w:sz="1" w:space="0" w:color="000000"/>
            </w:tcBorders>
          </w:tcPr>
          <w:p>
            <w:pPr/>
          </w:p>
        </w:tc>
        <w:tc>
          <w:tcPr>
            <w:tcW w:w="954" w:type="dxa"/>
            <w:tcBorders>
              <w:top w:val="single" w:sz="1" w:space="0" w:color="000000"/>
            </w:tcBorders>
          </w:tcPr>
          <w:p>
            <w:pPr/>
          </w:p>
        </w:tc>
      </w:tr>
      <w:tr>
        <w:trPr>
          <w:trHeight w:val="199" w:hRule="exact"/>
        </w:trPr>
        <w:tc>
          <w:tcPr>
            <w:tcW w:w="3236" w:type="dxa"/>
          </w:tcPr>
          <w:p>
            <w:pPr>
              <w:pStyle w:val="TableParagraph"/>
              <w:spacing w:line="176" w:lineRule="exact"/>
              <w:ind w:left="35"/>
              <w:rPr>
                <w:b/>
                <w:sz w:val="16"/>
              </w:rPr>
            </w:pPr>
            <w:r>
              <w:rPr>
                <w:b/>
                <w:sz w:val="16"/>
              </w:rPr>
              <w:t>statement of financial position</w:t>
            </w:r>
          </w:p>
        </w:tc>
        <w:tc>
          <w:tcPr>
            <w:tcW w:w="1044" w:type="dxa"/>
          </w:tcPr>
          <w:p>
            <w:pPr/>
          </w:p>
        </w:tc>
        <w:tc>
          <w:tcPr>
            <w:tcW w:w="1468" w:type="dxa"/>
            <w:tcBorders>
              <w:bottom w:val="single" w:sz="1" w:space="0" w:color="000000"/>
            </w:tcBorders>
          </w:tcPr>
          <w:p>
            <w:pPr>
              <w:pStyle w:val="TableParagraph"/>
              <w:spacing w:line="176" w:lineRule="exact"/>
              <w:ind w:right="380"/>
              <w:jc w:val="right"/>
              <w:rPr>
                <w:b/>
                <w:sz w:val="16"/>
              </w:rPr>
            </w:pPr>
            <w:r>
              <w:rPr>
                <w:b/>
                <w:sz w:val="16"/>
              </w:rPr>
              <w:t>1,706</w:t>
            </w:r>
          </w:p>
        </w:tc>
        <w:tc>
          <w:tcPr>
            <w:tcW w:w="1078" w:type="dxa"/>
            <w:tcBorders>
              <w:bottom w:val="single" w:sz="1" w:space="0" w:color="000000"/>
            </w:tcBorders>
          </w:tcPr>
          <w:p>
            <w:pPr>
              <w:pStyle w:val="TableParagraph"/>
              <w:spacing w:line="176" w:lineRule="exact"/>
              <w:ind w:right="292"/>
              <w:jc w:val="right"/>
              <w:rPr>
                <w:b/>
                <w:sz w:val="16"/>
              </w:rPr>
            </w:pPr>
            <w:r>
              <w:rPr>
                <w:b/>
                <w:sz w:val="16"/>
              </w:rPr>
              <w:t>386</w:t>
            </w:r>
          </w:p>
        </w:tc>
        <w:tc>
          <w:tcPr>
            <w:tcW w:w="1167" w:type="dxa"/>
            <w:tcBorders>
              <w:bottom w:val="single" w:sz="1" w:space="0" w:color="000000"/>
            </w:tcBorders>
          </w:tcPr>
          <w:p>
            <w:pPr>
              <w:pStyle w:val="TableParagraph"/>
              <w:spacing w:line="176" w:lineRule="exact"/>
              <w:ind w:right="291"/>
              <w:jc w:val="right"/>
              <w:rPr>
                <w:b/>
                <w:sz w:val="16"/>
              </w:rPr>
            </w:pPr>
            <w:r>
              <w:rPr>
                <w:b/>
                <w:w w:val="100"/>
                <w:sz w:val="16"/>
              </w:rPr>
              <w:t>-</w:t>
            </w:r>
          </w:p>
        </w:tc>
        <w:tc>
          <w:tcPr>
            <w:tcW w:w="954" w:type="dxa"/>
            <w:tcBorders>
              <w:bottom w:val="single" w:sz="1" w:space="0" w:color="000000"/>
            </w:tcBorders>
          </w:tcPr>
          <w:p>
            <w:pPr>
              <w:pStyle w:val="TableParagraph"/>
              <w:spacing w:line="176" w:lineRule="exact"/>
              <w:ind w:right="79"/>
              <w:jc w:val="right"/>
              <w:rPr>
                <w:b/>
                <w:sz w:val="16"/>
              </w:rPr>
            </w:pPr>
            <w:r>
              <w:rPr>
                <w:b/>
                <w:sz w:val="16"/>
              </w:rPr>
              <w:t>2,092</w:t>
            </w:r>
          </w:p>
        </w:tc>
      </w:tr>
    </w:tbl>
    <w:p>
      <w:pPr>
        <w:pStyle w:val="BodyText"/>
        <w:rPr>
          <w:b/>
          <w:sz w:val="20"/>
        </w:rPr>
      </w:pPr>
    </w:p>
    <w:p>
      <w:pPr>
        <w:pStyle w:val="BodyText"/>
        <w:spacing w:before="10" w:after="1"/>
        <w:rPr>
          <w:b/>
          <w:sz w:val="27"/>
        </w:rPr>
      </w:pPr>
    </w:p>
    <w:tbl>
      <w:tblPr>
        <w:tblW w:w="0" w:type="auto"/>
        <w:jc w:val="left"/>
        <w:tblInd w:w="10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38"/>
        <w:gridCol w:w="1142"/>
        <w:gridCol w:w="1468"/>
        <w:gridCol w:w="1078"/>
        <w:gridCol w:w="1166"/>
        <w:gridCol w:w="954"/>
      </w:tblGrid>
      <w:tr>
        <w:trPr>
          <w:trHeight w:val="516" w:hRule="exact"/>
        </w:trPr>
        <w:tc>
          <w:tcPr>
            <w:tcW w:w="3138" w:type="dxa"/>
          </w:tcPr>
          <w:p>
            <w:pPr>
              <w:pStyle w:val="TableParagraph"/>
              <w:spacing w:before="80"/>
              <w:ind w:left="35"/>
              <w:rPr>
                <w:b/>
                <w:sz w:val="16"/>
              </w:rPr>
            </w:pPr>
            <w:r>
              <w:rPr>
                <w:b/>
                <w:sz w:val="16"/>
              </w:rPr>
              <w:t>Net liability reconciliation - 2017</w:t>
            </w:r>
          </w:p>
          <w:p>
            <w:pPr>
              <w:pStyle w:val="TableParagraph"/>
              <w:spacing w:before="32"/>
              <w:ind w:left="35"/>
              <w:rPr>
                <w:sz w:val="16"/>
              </w:rPr>
            </w:pPr>
            <w:r>
              <w:rPr>
                <w:sz w:val="16"/>
              </w:rPr>
              <w:t>Defined benefit obligation</w:t>
            </w:r>
          </w:p>
        </w:tc>
        <w:tc>
          <w:tcPr>
            <w:tcW w:w="1142" w:type="dxa"/>
          </w:tcPr>
          <w:p>
            <w:pPr/>
          </w:p>
        </w:tc>
        <w:tc>
          <w:tcPr>
            <w:tcW w:w="1468" w:type="dxa"/>
          </w:tcPr>
          <w:p>
            <w:pPr>
              <w:pStyle w:val="TableParagraph"/>
              <w:rPr>
                <w:b/>
                <w:sz w:val="16"/>
              </w:rPr>
            </w:pPr>
          </w:p>
          <w:p>
            <w:pPr>
              <w:pStyle w:val="TableParagraph"/>
              <w:spacing w:before="110"/>
              <w:ind w:right="380"/>
              <w:jc w:val="right"/>
              <w:rPr>
                <w:sz w:val="16"/>
              </w:rPr>
            </w:pPr>
            <w:r>
              <w:rPr>
                <w:sz w:val="16"/>
              </w:rPr>
              <w:t>25,176</w:t>
            </w:r>
          </w:p>
        </w:tc>
        <w:tc>
          <w:tcPr>
            <w:tcW w:w="1078" w:type="dxa"/>
          </w:tcPr>
          <w:p>
            <w:pPr>
              <w:pStyle w:val="TableParagraph"/>
              <w:rPr>
                <w:b/>
                <w:sz w:val="16"/>
              </w:rPr>
            </w:pPr>
          </w:p>
          <w:p>
            <w:pPr>
              <w:pStyle w:val="TableParagraph"/>
              <w:spacing w:before="110"/>
              <w:ind w:right="291"/>
              <w:jc w:val="right"/>
              <w:rPr>
                <w:sz w:val="16"/>
              </w:rPr>
            </w:pPr>
            <w:r>
              <w:rPr>
                <w:sz w:val="16"/>
              </w:rPr>
              <w:t>4,349</w:t>
            </w:r>
          </w:p>
        </w:tc>
        <w:tc>
          <w:tcPr>
            <w:tcW w:w="1166" w:type="dxa"/>
          </w:tcPr>
          <w:p>
            <w:pPr>
              <w:pStyle w:val="TableParagraph"/>
              <w:rPr>
                <w:b/>
                <w:sz w:val="16"/>
              </w:rPr>
            </w:pPr>
          </w:p>
          <w:p>
            <w:pPr>
              <w:pStyle w:val="TableParagraph"/>
              <w:spacing w:before="110"/>
              <w:ind w:left="293"/>
              <w:rPr>
                <w:sz w:val="16"/>
              </w:rPr>
            </w:pPr>
            <w:r>
              <w:rPr>
                <w:sz w:val="16"/>
              </w:rPr>
              <w:t>409,545</w:t>
            </w:r>
          </w:p>
        </w:tc>
        <w:tc>
          <w:tcPr>
            <w:tcW w:w="954" w:type="dxa"/>
          </w:tcPr>
          <w:p>
            <w:pPr>
              <w:pStyle w:val="TableParagraph"/>
              <w:rPr>
                <w:b/>
                <w:sz w:val="16"/>
              </w:rPr>
            </w:pPr>
          </w:p>
          <w:p>
            <w:pPr>
              <w:pStyle w:val="TableParagraph"/>
              <w:spacing w:before="110"/>
              <w:ind w:left="293"/>
              <w:rPr>
                <w:sz w:val="16"/>
              </w:rPr>
            </w:pPr>
            <w:r>
              <w:rPr>
                <w:sz w:val="16"/>
              </w:rPr>
              <w:t>439,070</w:t>
            </w:r>
          </w:p>
        </w:tc>
      </w:tr>
      <w:tr>
        <w:trPr>
          <w:trHeight w:val="241" w:hRule="exact"/>
        </w:trPr>
        <w:tc>
          <w:tcPr>
            <w:tcW w:w="3138" w:type="dxa"/>
          </w:tcPr>
          <w:p>
            <w:pPr>
              <w:pStyle w:val="TableParagraph"/>
              <w:spacing w:before="22"/>
              <w:ind w:left="35"/>
              <w:rPr>
                <w:sz w:val="16"/>
              </w:rPr>
            </w:pPr>
            <w:r>
              <w:rPr>
                <w:sz w:val="16"/>
              </w:rPr>
              <w:t>Fair value of plan assets</w:t>
            </w:r>
          </w:p>
        </w:tc>
        <w:tc>
          <w:tcPr>
            <w:tcW w:w="1142" w:type="dxa"/>
          </w:tcPr>
          <w:p>
            <w:pPr/>
          </w:p>
        </w:tc>
        <w:tc>
          <w:tcPr>
            <w:tcW w:w="1468" w:type="dxa"/>
            <w:tcBorders>
              <w:bottom w:val="single" w:sz="1" w:space="0" w:color="000000"/>
            </w:tcBorders>
          </w:tcPr>
          <w:p>
            <w:pPr>
              <w:pStyle w:val="TableParagraph"/>
              <w:spacing w:before="20"/>
              <w:ind w:right="327"/>
              <w:jc w:val="right"/>
              <w:rPr>
                <w:sz w:val="16"/>
              </w:rPr>
            </w:pPr>
            <w:r>
              <w:rPr>
                <w:sz w:val="16"/>
              </w:rPr>
              <w:t>(12,535)</w:t>
            </w:r>
          </w:p>
        </w:tc>
        <w:tc>
          <w:tcPr>
            <w:tcW w:w="1078" w:type="dxa"/>
            <w:tcBorders>
              <w:bottom w:val="single" w:sz="1" w:space="0" w:color="000000"/>
            </w:tcBorders>
          </w:tcPr>
          <w:p>
            <w:pPr>
              <w:pStyle w:val="TableParagraph"/>
              <w:spacing w:before="20"/>
              <w:ind w:right="239"/>
              <w:jc w:val="right"/>
              <w:rPr>
                <w:sz w:val="16"/>
              </w:rPr>
            </w:pPr>
            <w:r>
              <w:rPr>
                <w:sz w:val="16"/>
              </w:rPr>
              <w:t>(105)</w:t>
            </w:r>
          </w:p>
        </w:tc>
        <w:tc>
          <w:tcPr>
            <w:tcW w:w="1166" w:type="dxa"/>
            <w:tcBorders>
              <w:bottom w:val="single" w:sz="1" w:space="0" w:color="000000"/>
            </w:tcBorders>
          </w:tcPr>
          <w:p>
            <w:pPr>
              <w:pStyle w:val="TableParagraph"/>
              <w:spacing w:before="20"/>
              <w:ind w:right="239"/>
              <w:jc w:val="right"/>
              <w:rPr>
                <w:sz w:val="16"/>
              </w:rPr>
            </w:pPr>
            <w:r>
              <w:rPr>
                <w:sz w:val="16"/>
              </w:rPr>
              <w:t>(78,635)</w:t>
            </w:r>
          </w:p>
        </w:tc>
        <w:tc>
          <w:tcPr>
            <w:tcW w:w="954" w:type="dxa"/>
            <w:tcBorders>
              <w:bottom w:val="single" w:sz="1" w:space="0" w:color="000000"/>
            </w:tcBorders>
          </w:tcPr>
          <w:p>
            <w:pPr>
              <w:pStyle w:val="TableParagraph"/>
              <w:spacing w:before="20"/>
              <w:ind w:left="329"/>
              <w:rPr>
                <w:sz w:val="16"/>
              </w:rPr>
            </w:pPr>
            <w:r>
              <w:rPr>
                <w:sz w:val="16"/>
              </w:rPr>
              <w:t>(91,275)</w:t>
            </w:r>
          </w:p>
        </w:tc>
      </w:tr>
      <w:tr>
        <w:trPr>
          <w:trHeight w:val="317" w:hRule="exact"/>
        </w:trPr>
        <w:tc>
          <w:tcPr>
            <w:tcW w:w="3138" w:type="dxa"/>
          </w:tcPr>
          <w:p>
            <w:pPr>
              <w:pStyle w:val="TableParagraph"/>
              <w:spacing w:before="124"/>
              <w:ind w:left="35"/>
              <w:rPr>
                <w:b/>
                <w:sz w:val="16"/>
              </w:rPr>
            </w:pPr>
            <w:r>
              <w:rPr>
                <w:b/>
                <w:sz w:val="16"/>
              </w:rPr>
              <w:t>Net liability</w:t>
            </w:r>
          </w:p>
        </w:tc>
        <w:tc>
          <w:tcPr>
            <w:tcW w:w="1142" w:type="dxa"/>
          </w:tcPr>
          <w:p>
            <w:pPr>
              <w:pStyle w:val="TableParagraph"/>
              <w:spacing w:before="38"/>
              <w:ind w:right="302"/>
              <w:jc w:val="right"/>
              <w:rPr>
                <w:sz w:val="16"/>
              </w:rPr>
            </w:pPr>
            <w:r>
              <w:rPr>
                <w:sz w:val="16"/>
              </w:rPr>
              <w:t>27</w:t>
            </w:r>
          </w:p>
        </w:tc>
        <w:tc>
          <w:tcPr>
            <w:tcW w:w="1468" w:type="dxa"/>
            <w:tcBorders>
              <w:top w:val="single" w:sz="1" w:space="0" w:color="000000"/>
              <w:bottom w:val="single" w:sz="1" w:space="0" w:color="000000"/>
            </w:tcBorders>
          </w:tcPr>
          <w:p>
            <w:pPr>
              <w:pStyle w:val="TableParagraph"/>
              <w:spacing w:before="123"/>
              <w:ind w:right="380"/>
              <w:jc w:val="right"/>
              <w:rPr>
                <w:b/>
                <w:sz w:val="16"/>
              </w:rPr>
            </w:pPr>
            <w:r>
              <w:rPr>
                <w:b/>
                <w:sz w:val="16"/>
              </w:rPr>
              <w:t>12,641</w:t>
            </w:r>
          </w:p>
        </w:tc>
        <w:tc>
          <w:tcPr>
            <w:tcW w:w="1078" w:type="dxa"/>
            <w:tcBorders>
              <w:top w:val="single" w:sz="1" w:space="0" w:color="000000"/>
              <w:bottom w:val="single" w:sz="1" w:space="0" w:color="000000"/>
            </w:tcBorders>
          </w:tcPr>
          <w:p>
            <w:pPr>
              <w:pStyle w:val="TableParagraph"/>
              <w:spacing w:before="123"/>
              <w:ind w:right="291"/>
              <w:jc w:val="right"/>
              <w:rPr>
                <w:b/>
                <w:sz w:val="16"/>
              </w:rPr>
            </w:pPr>
            <w:r>
              <w:rPr>
                <w:b/>
                <w:sz w:val="16"/>
              </w:rPr>
              <w:t>4,244</w:t>
            </w:r>
          </w:p>
        </w:tc>
        <w:tc>
          <w:tcPr>
            <w:tcW w:w="1166" w:type="dxa"/>
            <w:tcBorders>
              <w:top w:val="single" w:sz="1" w:space="0" w:color="000000"/>
              <w:bottom w:val="single" w:sz="1" w:space="0" w:color="000000"/>
            </w:tcBorders>
          </w:tcPr>
          <w:p>
            <w:pPr>
              <w:pStyle w:val="TableParagraph"/>
              <w:spacing w:before="123"/>
              <w:ind w:left="293"/>
              <w:rPr>
                <w:b/>
                <w:sz w:val="16"/>
              </w:rPr>
            </w:pPr>
            <w:r>
              <w:rPr>
                <w:b/>
                <w:sz w:val="16"/>
              </w:rPr>
              <w:t>330,910</w:t>
            </w:r>
          </w:p>
        </w:tc>
        <w:tc>
          <w:tcPr>
            <w:tcW w:w="954" w:type="dxa"/>
            <w:tcBorders>
              <w:top w:val="single" w:sz="1" w:space="0" w:color="000000"/>
              <w:bottom w:val="single" w:sz="1" w:space="0" w:color="000000"/>
            </w:tcBorders>
          </w:tcPr>
          <w:p>
            <w:pPr>
              <w:pStyle w:val="TableParagraph"/>
              <w:spacing w:before="123"/>
              <w:ind w:left="293"/>
              <w:rPr>
                <w:b/>
                <w:sz w:val="16"/>
              </w:rPr>
            </w:pPr>
            <w:r>
              <w:rPr>
                <w:b/>
                <w:sz w:val="16"/>
              </w:rPr>
              <w:t>347,795</w:t>
            </w:r>
          </w:p>
        </w:tc>
      </w:tr>
      <w:tr>
        <w:trPr>
          <w:trHeight w:val="262" w:hRule="exact"/>
        </w:trPr>
        <w:tc>
          <w:tcPr>
            <w:tcW w:w="3138" w:type="dxa"/>
          </w:tcPr>
          <w:p>
            <w:pPr>
              <w:pStyle w:val="TableParagraph"/>
              <w:spacing w:before="43"/>
              <w:ind w:left="35"/>
              <w:rPr>
                <w:sz w:val="16"/>
              </w:rPr>
            </w:pPr>
            <w:r>
              <w:rPr>
                <w:sz w:val="16"/>
              </w:rPr>
              <w:t>Reimbursement right</w:t>
            </w:r>
          </w:p>
        </w:tc>
        <w:tc>
          <w:tcPr>
            <w:tcW w:w="1142" w:type="dxa"/>
          </w:tcPr>
          <w:p>
            <w:pPr>
              <w:pStyle w:val="TableParagraph"/>
              <w:spacing w:before="38"/>
              <w:ind w:right="302"/>
              <w:jc w:val="right"/>
              <w:rPr>
                <w:sz w:val="16"/>
              </w:rPr>
            </w:pPr>
            <w:r>
              <w:rPr>
                <w:sz w:val="16"/>
              </w:rPr>
              <w:t>18</w:t>
            </w:r>
          </w:p>
        </w:tc>
        <w:tc>
          <w:tcPr>
            <w:tcW w:w="1468" w:type="dxa"/>
            <w:tcBorders>
              <w:top w:val="single" w:sz="1" w:space="0" w:color="000000"/>
              <w:bottom w:val="single" w:sz="1" w:space="0" w:color="000000"/>
            </w:tcBorders>
          </w:tcPr>
          <w:p>
            <w:pPr>
              <w:pStyle w:val="TableParagraph"/>
              <w:spacing w:before="39"/>
              <w:ind w:right="327"/>
              <w:jc w:val="right"/>
              <w:rPr>
                <w:sz w:val="16"/>
              </w:rPr>
            </w:pPr>
            <w:r>
              <w:rPr>
                <w:sz w:val="16"/>
              </w:rPr>
              <w:t>(10,935)</w:t>
            </w:r>
          </w:p>
        </w:tc>
        <w:tc>
          <w:tcPr>
            <w:tcW w:w="1078" w:type="dxa"/>
            <w:tcBorders>
              <w:top w:val="single" w:sz="1" w:space="0" w:color="000000"/>
              <w:bottom w:val="single" w:sz="1" w:space="0" w:color="000000"/>
            </w:tcBorders>
          </w:tcPr>
          <w:p>
            <w:pPr>
              <w:pStyle w:val="TableParagraph"/>
              <w:spacing w:before="39"/>
              <w:ind w:right="239"/>
              <w:jc w:val="right"/>
              <w:rPr>
                <w:sz w:val="16"/>
              </w:rPr>
            </w:pPr>
            <w:r>
              <w:rPr>
                <w:sz w:val="16"/>
              </w:rPr>
              <w:t>(3,858)</w:t>
            </w:r>
          </w:p>
        </w:tc>
        <w:tc>
          <w:tcPr>
            <w:tcW w:w="1166" w:type="dxa"/>
            <w:tcBorders>
              <w:top w:val="single" w:sz="1" w:space="0" w:color="000000"/>
              <w:bottom w:val="single" w:sz="1" w:space="0" w:color="000000"/>
            </w:tcBorders>
          </w:tcPr>
          <w:p>
            <w:pPr>
              <w:pStyle w:val="TableParagraph"/>
              <w:spacing w:before="39"/>
              <w:ind w:right="239"/>
              <w:jc w:val="right"/>
              <w:rPr>
                <w:sz w:val="16"/>
              </w:rPr>
            </w:pPr>
            <w:r>
              <w:rPr>
                <w:sz w:val="16"/>
              </w:rPr>
              <w:t>(330,910)</w:t>
            </w:r>
          </w:p>
        </w:tc>
        <w:tc>
          <w:tcPr>
            <w:tcW w:w="954" w:type="dxa"/>
            <w:tcBorders>
              <w:top w:val="single" w:sz="1" w:space="0" w:color="000000"/>
              <w:bottom w:val="single" w:sz="1" w:space="0" w:color="000000"/>
            </w:tcBorders>
          </w:tcPr>
          <w:p>
            <w:pPr>
              <w:pStyle w:val="TableParagraph"/>
              <w:spacing w:before="39"/>
              <w:ind w:left="241"/>
              <w:rPr>
                <w:sz w:val="16"/>
              </w:rPr>
            </w:pPr>
            <w:r>
              <w:rPr>
                <w:sz w:val="16"/>
              </w:rPr>
              <w:t>(345,703)</w:t>
            </w:r>
          </w:p>
        </w:tc>
      </w:tr>
      <w:tr>
        <w:trPr>
          <w:trHeight w:val="331" w:hRule="exact"/>
        </w:trPr>
        <w:tc>
          <w:tcPr>
            <w:tcW w:w="3138" w:type="dxa"/>
          </w:tcPr>
          <w:p>
            <w:pPr>
              <w:pStyle w:val="TableParagraph"/>
              <w:spacing w:before="124"/>
              <w:ind w:left="35"/>
              <w:rPr>
                <w:b/>
                <w:sz w:val="16"/>
              </w:rPr>
            </w:pPr>
            <w:r>
              <w:rPr>
                <w:b/>
                <w:sz w:val="16"/>
              </w:rPr>
              <w:t>Total net liability/(asset)</w:t>
            </w:r>
          </w:p>
        </w:tc>
        <w:tc>
          <w:tcPr>
            <w:tcW w:w="1142" w:type="dxa"/>
          </w:tcPr>
          <w:p>
            <w:pPr/>
          </w:p>
        </w:tc>
        <w:tc>
          <w:tcPr>
            <w:tcW w:w="1468" w:type="dxa"/>
            <w:tcBorders>
              <w:top w:val="single" w:sz="1" w:space="0" w:color="000000"/>
              <w:bottom w:val="single" w:sz="1" w:space="0" w:color="000000"/>
            </w:tcBorders>
          </w:tcPr>
          <w:p>
            <w:pPr>
              <w:pStyle w:val="TableParagraph"/>
              <w:spacing w:before="123"/>
              <w:ind w:right="380"/>
              <w:jc w:val="right"/>
              <w:rPr>
                <w:b/>
                <w:sz w:val="16"/>
              </w:rPr>
            </w:pPr>
            <w:r>
              <w:rPr>
                <w:b/>
                <w:sz w:val="16"/>
              </w:rPr>
              <w:t>1,706</w:t>
            </w:r>
          </w:p>
        </w:tc>
        <w:tc>
          <w:tcPr>
            <w:tcW w:w="1078" w:type="dxa"/>
            <w:tcBorders>
              <w:top w:val="single" w:sz="1" w:space="0" w:color="000000"/>
              <w:bottom w:val="single" w:sz="1" w:space="0" w:color="000000"/>
            </w:tcBorders>
          </w:tcPr>
          <w:p>
            <w:pPr>
              <w:pStyle w:val="TableParagraph"/>
              <w:spacing w:before="123"/>
              <w:ind w:right="292"/>
              <w:jc w:val="right"/>
              <w:rPr>
                <w:b/>
                <w:sz w:val="16"/>
              </w:rPr>
            </w:pPr>
            <w:r>
              <w:rPr>
                <w:b/>
                <w:sz w:val="16"/>
              </w:rPr>
              <w:t>386</w:t>
            </w:r>
          </w:p>
        </w:tc>
        <w:tc>
          <w:tcPr>
            <w:tcW w:w="1166" w:type="dxa"/>
            <w:tcBorders>
              <w:top w:val="single" w:sz="1" w:space="0" w:color="000000"/>
              <w:bottom w:val="single" w:sz="1" w:space="0" w:color="000000"/>
            </w:tcBorders>
          </w:tcPr>
          <w:p>
            <w:pPr>
              <w:pStyle w:val="TableParagraph"/>
              <w:spacing w:before="123"/>
              <w:ind w:right="291"/>
              <w:jc w:val="right"/>
              <w:rPr>
                <w:b/>
                <w:sz w:val="16"/>
              </w:rPr>
            </w:pPr>
            <w:r>
              <w:rPr>
                <w:b/>
                <w:w w:val="100"/>
                <w:sz w:val="16"/>
              </w:rPr>
              <w:t>-</w:t>
            </w:r>
          </w:p>
        </w:tc>
        <w:tc>
          <w:tcPr>
            <w:tcW w:w="954" w:type="dxa"/>
            <w:tcBorders>
              <w:top w:val="single" w:sz="1" w:space="0" w:color="000000"/>
              <w:bottom w:val="single" w:sz="1" w:space="0" w:color="000000"/>
            </w:tcBorders>
          </w:tcPr>
          <w:p>
            <w:pPr>
              <w:pStyle w:val="TableParagraph"/>
              <w:spacing w:before="123"/>
              <w:ind w:left="471"/>
              <w:rPr>
                <w:b/>
                <w:sz w:val="16"/>
              </w:rPr>
            </w:pPr>
            <w:r>
              <w:rPr>
                <w:b/>
                <w:sz w:val="16"/>
              </w:rPr>
              <w:t>2,092</w:t>
            </w:r>
          </w:p>
        </w:tc>
      </w:tr>
    </w:tbl>
    <w:p>
      <w:pPr>
        <w:pStyle w:val="BodyText"/>
        <w:rPr>
          <w:b/>
          <w:sz w:val="20"/>
        </w:rPr>
      </w:pPr>
    </w:p>
    <w:p>
      <w:pPr>
        <w:pStyle w:val="BodyText"/>
        <w:spacing w:before="10"/>
        <w:rPr>
          <w:b/>
          <w:sz w:val="27"/>
        </w:rPr>
      </w:pPr>
    </w:p>
    <w:tbl>
      <w:tblPr>
        <w:tblW w:w="0" w:type="auto"/>
        <w:jc w:val="left"/>
        <w:tblInd w:w="10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1"/>
        <w:gridCol w:w="1494"/>
        <w:gridCol w:w="1077"/>
        <w:gridCol w:w="1140"/>
        <w:gridCol w:w="954"/>
      </w:tblGrid>
      <w:tr>
        <w:trPr>
          <w:trHeight w:val="516" w:hRule="exact"/>
        </w:trPr>
        <w:tc>
          <w:tcPr>
            <w:tcW w:w="4281" w:type="dxa"/>
          </w:tcPr>
          <w:p>
            <w:pPr>
              <w:pStyle w:val="TableParagraph"/>
              <w:spacing w:before="80"/>
              <w:ind w:left="35"/>
              <w:rPr>
                <w:b/>
                <w:sz w:val="16"/>
              </w:rPr>
            </w:pPr>
            <w:r>
              <w:rPr>
                <w:b/>
                <w:sz w:val="16"/>
              </w:rPr>
              <w:t>Reimbursement rights - 2017</w:t>
            </w:r>
          </w:p>
          <w:p>
            <w:pPr>
              <w:pStyle w:val="TableParagraph"/>
              <w:spacing w:before="32"/>
              <w:ind w:left="35"/>
              <w:rPr>
                <w:sz w:val="16"/>
              </w:rPr>
            </w:pPr>
            <w:r>
              <w:rPr>
                <w:sz w:val="16"/>
              </w:rPr>
              <w:t>Opening value of reimbursement right</w:t>
            </w:r>
          </w:p>
        </w:tc>
        <w:tc>
          <w:tcPr>
            <w:tcW w:w="1494" w:type="dxa"/>
          </w:tcPr>
          <w:p>
            <w:pPr>
              <w:pStyle w:val="TableParagraph"/>
              <w:rPr>
                <w:b/>
                <w:sz w:val="16"/>
              </w:rPr>
            </w:pPr>
          </w:p>
          <w:p>
            <w:pPr>
              <w:pStyle w:val="TableParagraph"/>
              <w:spacing w:before="110"/>
              <w:ind w:right="407"/>
              <w:jc w:val="right"/>
              <w:rPr>
                <w:sz w:val="16"/>
              </w:rPr>
            </w:pPr>
            <w:r>
              <w:rPr>
                <w:sz w:val="16"/>
              </w:rPr>
              <w:t>10,605</w:t>
            </w:r>
          </w:p>
        </w:tc>
        <w:tc>
          <w:tcPr>
            <w:tcW w:w="1077" w:type="dxa"/>
          </w:tcPr>
          <w:p>
            <w:pPr>
              <w:pStyle w:val="TableParagraph"/>
              <w:rPr>
                <w:b/>
                <w:sz w:val="16"/>
              </w:rPr>
            </w:pPr>
          </w:p>
          <w:p>
            <w:pPr>
              <w:pStyle w:val="TableParagraph"/>
              <w:spacing w:before="110"/>
              <w:ind w:right="318"/>
              <w:jc w:val="right"/>
              <w:rPr>
                <w:sz w:val="16"/>
              </w:rPr>
            </w:pPr>
            <w:r>
              <w:rPr>
                <w:sz w:val="16"/>
              </w:rPr>
              <w:t>3,718</w:t>
            </w:r>
          </w:p>
        </w:tc>
        <w:tc>
          <w:tcPr>
            <w:tcW w:w="1140" w:type="dxa"/>
          </w:tcPr>
          <w:p>
            <w:pPr>
              <w:pStyle w:val="TableParagraph"/>
              <w:rPr>
                <w:b/>
                <w:sz w:val="16"/>
              </w:rPr>
            </w:pPr>
          </w:p>
          <w:p>
            <w:pPr>
              <w:pStyle w:val="TableParagraph"/>
              <w:spacing w:before="110"/>
              <w:ind w:right="292"/>
              <w:jc w:val="right"/>
              <w:rPr>
                <w:sz w:val="16"/>
              </w:rPr>
            </w:pPr>
            <w:r>
              <w:rPr>
                <w:sz w:val="16"/>
              </w:rPr>
              <w:t>317,958</w:t>
            </w:r>
          </w:p>
        </w:tc>
        <w:tc>
          <w:tcPr>
            <w:tcW w:w="954" w:type="dxa"/>
          </w:tcPr>
          <w:p>
            <w:pPr>
              <w:pStyle w:val="TableParagraph"/>
              <w:rPr>
                <w:b/>
                <w:sz w:val="16"/>
              </w:rPr>
            </w:pPr>
          </w:p>
          <w:p>
            <w:pPr>
              <w:pStyle w:val="TableParagraph"/>
              <w:spacing w:before="110"/>
              <w:ind w:left="293"/>
              <w:rPr>
                <w:sz w:val="16"/>
              </w:rPr>
            </w:pPr>
            <w:r>
              <w:rPr>
                <w:sz w:val="16"/>
              </w:rPr>
              <w:t>332,281</w:t>
            </w:r>
          </w:p>
        </w:tc>
      </w:tr>
      <w:tr>
        <w:trPr>
          <w:trHeight w:val="242" w:hRule="exact"/>
        </w:trPr>
        <w:tc>
          <w:tcPr>
            <w:tcW w:w="4281" w:type="dxa"/>
          </w:tcPr>
          <w:p>
            <w:pPr>
              <w:pStyle w:val="TableParagraph"/>
              <w:spacing w:before="22"/>
              <w:ind w:left="35"/>
              <w:rPr>
                <w:sz w:val="16"/>
              </w:rPr>
            </w:pPr>
            <w:r>
              <w:rPr>
                <w:sz w:val="16"/>
              </w:rPr>
              <w:t>Emerging liability for excess salaries</w:t>
            </w:r>
          </w:p>
        </w:tc>
        <w:tc>
          <w:tcPr>
            <w:tcW w:w="1494" w:type="dxa"/>
          </w:tcPr>
          <w:p>
            <w:pPr>
              <w:pStyle w:val="TableParagraph"/>
              <w:spacing w:before="20"/>
              <w:ind w:right="354"/>
              <w:jc w:val="right"/>
              <w:rPr>
                <w:sz w:val="16"/>
              </w:rPr>
            </w:pPr>
            <w:r>
              <w:rPr>
                <w:sz w:val="16"/>
              </w:rPr>
              <w:t>(1,707)</w:t>
            </w:r>
          </w:p>
        </w:tc>
        <w:tc>
          <w:tcPr>
            <w:tcW w:w="1077" w:type="dxa"/>
          </w:tcPr>
          <w:p>
            <w:pPr>
              <w:pStyle w:val="TableParagraph"/>
              <w:spacing w:before="20"/>
              <w:ind w:right="265"/>
              <w:jc w:val="right"/>
              <w:rPr>
                <w:sz w:val="16"/>
              </w:rPr>
            </w:pPr>
            <w:r>
              <w:rPr>
                <w:sz w:val="16"/>
              </w:rPr>
              <w:t>(385)</w:t>
            </w:r>
          </w:p>
        </w:tc>
        <w:tc>
          <w:tcPr>
            <w:tcW w:w="1140" w:type="dxa"/>
          </w:tcPr>
          <w:p>
            <w:pPr>
              <w:pStyle w:val="TableParagraph"/>
              <w:spacing w:before="20"/>
              <w:ind w:right="291"/>
              <w:jc w:val="right"/>
              <w:rPr>
                <w:sz w:val="16"/>
              </w:rPr>
            </w:pPr>
            <w:r>
              <w:rPr>
                <w:w w:val="100"/>
                <w:sz w:val="16"/>
              </w:rPr>
              <w:t>-</w:t>
            </w:r>
          </w:p>
        </w:tc>
        <w:tc>
          <w:tcPr>
            <w:tcW w:w="954" w:type="dxa"/>
          </w:tcPr>
          <w:p>
            <w:pPr>
              <w:pStyle w:val="TableParagraph"/>
              <w:spacing w:before="20"/>
              <w:ind w:left="418"/>
              <w:rPr>
                <w:sz w:val="16"/>
              </w:rPr>
            </w:pPr>
            <w:r>
              <w:rPr>
                <w:sz w:val="16"/>
              </w:rPr>
              <w:t>(2,092)</w:t>
            </w:r>
          </w:p>
        </w:tc>
      </w:tr>
      <w:tr>
        <w:trPr>
          <w:trHeight w:val="242" w:hRule="exact"/>
        </w:trPr>
        <w:tc>
          <w:tcPr>
            <w:tcW w:w="4281" w:type="dxa"/>
          </w:tcPr>
          <w:p>
            <w:pPr>
              <w:pStyle w:val="TableParagraph"/>
              <w:spacing w:before="22"/>
              <w:ind w:left="35"/>
              <w:rPr>
                <w:sz w:val="16"/>
              </w:rPr>
            </w:pPr>
            <w:r>
              <w:rPr>
                <w:sz w:val="16"/>
              </w:rPr>
              <w:t>Return on reimbursement rights</w:t>
            </w:r>
          </w:p>
        </w:tc>
        <w:tc>
          <w:tcPr>
            <w:tcW w:w="1494" w:type="dxa"/>
          </w:tcPr>
          <w:p>
            <w:pPr>
              <w:pStyle w:val="TableParagraph"/>
              <w:spacing w:before="20"/>
              <w:ind w:right="406"/>
              <w:jc w:val="right"/>
              <w:rPr>
                <w:sz w:val="16"/>
              </w:rPr>
            </w:pPr>
            <w:r>
              <w:rPr>
                <w:sz w:val="16"/>
              </w:rPr>
              <w:t>1,362</w:t>
            </w:r>
          </w:p>
        </w:tc>
        <w:tc>
          <w:tcPr>
            <w:tcW w:w="1077" w:type="dxa"/>
          </w:tcPr>
          <w:p>
            <w:pPr>
              <w:pStyle w:val="TableParagraph"/>
              <w:spacing w:before="20"/>
              <w:ind w:right="318"/>
              <w:jc w:val="right"/>
              <w:rPr>
                <w:sz w:val="16"/>
              </w:rPr>
            </w:pPr>
            <w:r>
              <w:rPr>
                <w:sz w:val="16"/>
              </w:rPr>
              <w:t>260</w:t>
            </w:r>
          </w:p>
        </w:tc>
        <w:tc>
          <w:tcPr>
            <w:tcW w:w="1140" w:type="dxa"/>
          </w:tcPr>
          <w:p>
            <w:pPr>
              <w:pStyle w:val="TableParagraph"/>
              <w:spacing w:before="20"/>
              <w:ind w:right="291"/>
              <w:jc w:val="right"/>
              <w:rPr>
                <w:sz w:val="16"/>
              </w:rPr>
            </w:pPr>
            <w:r>
              <w:rPr>
                <w:sz w:val="16"/>
              </w:rPr>
              <w:t>9,038</w:t>
            </w:r>
          </w:p>
        </w:tc>
        <w:tc>
          <w:tcPr>
            <w:tcW w:w="954" w:type="dxa"/>
          </w:tcPr>
          <w:p>
            <w:pPr>
              <w:pStyle w:val="TableParagraph"/>
              <w:spacing w:before="20"/>
              <w:ind w:left="382"/>
              <w:rPr>
                <w:sz w:val="16"/>
              </w:rPr>
            </w:pPr>
            <w:r>
              <w:rPr>
                <w:sz w:val="16"/>
              </w:rPr>
              <w:t>10,660</w:t>
            </w:r>
          </w:p>
        </w:tc>
      </w:tr>
      <w:tr>
        <w:trPr>
          <w:trHeight w:val="241" w:hRule="exact"/>
        </w:trPr>
        <w:tc>
          <w:tcPr>
            <w:tcW w:w="4281" w:type="dxa"/>
          </w:tcPr>
          <w:p>
            <w:pPr>
              <w:pStyle w:val="TableParagraph"/>
              <w:spacing w:before="22"/>
              <w:ind w:left="35"/>
              <w:rPr>
                <w:sz w:val="16"/>
              </w:rPr>
            </w:pPr>
            <w:r>
              <w:rPr>
                <w:sz w:val="16"/>
              </w:rPr>
              <w:t>Remeasurements</w:t>
            </w:r>
          </w:p>
        </w:tc>
        <w:tc>
          <w:tcPr>
            <w:tcW w:w="1494" w:type="dxa"/>
            <w:tcBorders>
              <w:bottom w:val="single" w:sz="1" w:space="0" w:color="000000"/>
            </w:tcBorders>
          </w:tcPr>
          <w:p>
            <w:pPr>
              <w:pStyle w:val="TableParagraph"/>
              <w:spacing w:before="20"/>
              <w:ind w:right="407"/>
              <w:jc w:val="right"/>
              <w:rPr>
                <w:sz w:val="16"/>
              </w:rPr>
            </w:pPr>
            <w:r>
              <w:rPr>
                <w:sz w:val="16"/>
              </w:rPr>
              <w:t>675</w:t>
            </w:r>
          </w:p>
        </w:tc>
        <w:tc>
          <w:tcPr>
            <w:tcW w:w="1077" w:type="dxa"/>
            <w:tcBorders>
              <w:bottom w:val="single" w:sz="1" w:space="0" w:color="000000"/>
            </w:tcBorders>
          </w:tcPr>
          <w:p>
            <w:pPr>
              <w:pStyle w:val="TableParagraph"/>
              <w:spacing w:before="20"/>
              <w:ind w:right="318"/>
              <w:jc w:val="right"/>
              <w:rPr>
                <w:sz w:val="16"/>
              </w:rPr>
            </w:pPr>
            <w:r>
              <w:rPr>
                <w:sz w:val="16"/>
              </w:rPr>
              <w:t>265</w:t>
            </w:r>
          </w:p>
        </w:tc>
        <w:tc>
          <w:tcPr>
            <w:tcW w:w="1140" w:type="dxa"/>
            <w:tcBorders>
              <w:bottom w:val="single" w:sz="1" w:space="0" w:color="000000"/>
            </w:tcBorders>
          </w:tcPr>
          <w:p>
            <w:pPr>
              <w:pStyle w:val="TableParagraph"/>
              <w:spacing w:before="20"/>
              <w:ind w:right="291"/>
              <w:jc w:val="right"/>
              <w:rPr>
                <w:sz w:val="16"/>
              </w:rPr>
            </w:pPr>
            <w:r>
              <w:rPr>
                <w:sz w:val="16"/>
              </w:rPr>
              <w:t>3,914</w:t>
            </w:r>
          </w:p>
        </w:tc>
        <w:tc>
          <w:tcPr>
            <w:tcW w:w="954" w:type="dxa"/>
            <w:tcBorders>
              <w:bottom w:val="single" w:sz="1" w:space="0" w:color="000000"/>
            </w:tcBorders>
          </w:tcPr>
          <w:p>
            <w:pPr>
              <w:pStyle w:val="TableParagraph"/>
              <w:spacing w:before="20"/>
              <w:ind w:left="471"/>
              <w:rPr>
                <w:sz w:val="16"/>
              </w:rPr>
            </w:pPr>
            <w:r>
              <w:rPr>
                <w:sz w:val="16"/>
              </w:rPr>
              <w:t>4,854</w:t>
            </w:r>
          </w:p>
        </w:tc>
      </w:tr>
      <w:tr>
        <w:trPr>
          <w:trHeight w:val="331" w:hRule="exact"/>
        </w:trPr>
        <w:tc>
          <w:tcPr>
            <w:tcW w:w="4281" w:type="dxa"/>
          </w:tcPr>
          <w:p>
            <w:pPr>
              <w:pStyle w:val="TableParagraph"/>
              <w:tabs>
                <w:tab w:pos="3975" w:val="right" w:leader="none"/>
              </w:tabs>
              <w:spacing w:before="34"/>
              <w:ind w:left="35"/>
              <w:rPr>
                <w:sz w:val="16"/>
              </w:rPr>
            </w:pPr>
            <w:r>
              <w:rPr>
                <w:b/>
                <w:sz w:val="16"/>
              </w:rPr>
              <w:t>Closing value of</w:t>
            </w:r>
            <w:r>
              <w:rPr>
                <w:b/>
                <w:spacing w:val="1"/>
                <w:sz w:val="16"/>
              </w:rPr>
              <w:t> </w:t>
            </w:r>
            <w:r>
              <w:rPr>
                <w:b/>
                <w:sz w:val="16"/>
              </w:rPr>
              <w:t>reimbursement right</w:t>
            </w:r>
            <w:r>
              <w:rPr>
                <w:rFonts w:ascii="Times New Roman"/>
                <w:position w:val="9"/>
                <w:sz w:val="16"/>
              </w:rPr>
              <w:tab/>
            </w:r>
            <w:r>
              <w:rPr>
                <w:position w:val="9"/>
                <w:sz w:val="16"/>
              </w:rPr>
              <w:t>18</w:t>
            </w:r>
          </w:p>
        </w:tc>
        <w:tc>
          <w:tcPr>
            <w:tcW w:w="1494" w:type="dxa"/>
            <w:tcBorders>
              <w:top w:val="single" w:sz="1" w:space="0" w:color="000000"/>
              <w:bottom w:val="single" w:sz="1" w:space="0" w:color="000000"/>
            </w:tcBorders>
          </w:tcPr>
          <w:p>
            <w:pPr>
              <w:pStyle w:val="TableParagraph"/>
              <w:spacing w:before="123"/>
              <w:ind w:right="407"/>
              <w:jc w:val="right"/>
              <w:rPr>
                <w:b/>
                <w:sz w:val="16"/>
              </w:rPr>
            </w:pPr>
            <w:r>
              <w:rPr>
                <w:b/>
                <w:sz w:val="16"/>
              </w:rPr>
              <w:t>10,935</w:t>
            </w:r>
          </w:p>
        </w:tc>
        <w:tc>
          <w:tcPr>
            <w:tcW w:w="1077" w:type="dxa"/>
            <w:tcBorders>
              <w:top w:val="single" w:sz="1" w:space="0" w:color="000000"/>
              <w:bottom w:val="single" w:sz="1" w:space="0" w:color="000000"/>
            </w:tcBorders>
          </w:tcPr>
          <w:p>
            <w:pPr>
              <w:pStyle w:val="TableParagraph"/>
              <w:spacing w:before="123"/>
              <w:ind w:right="318"/>
              <w:jc w:val="right"/>
              <w:rPr>
                <w:b/>
                <w:sz w:val="16"/>
              </w:rPr>
            </w:pPr>
            <w:r>
              <w:rPr>
                <w:b/>
                <w:sz w:val="16"/>
              </w:rPr>
              <w:t>3,858</w:t>
            </w:r>
          </w:p>
        </w:tc>
        <w:tc>
          <w:tcPr>
            <w:tcW w:w="1140" w:type="dxa"/>
            <w:tcBorders>
              <w:top w:val="single" w:sz="1" w:space="0" w:color="000000"/>
              <w:bottom w:val="single" w:sz="1" w:space="0" w:color="000000"/>
            </w:tcBorders>
          </w:tcPr>
          <w:p>
            <w:pPr>
              <w:pStyle w:val="TableParagraph"/>
              <w:spacing w:before="123"/>
              <w:ind w:right="292"/>
              <w:jc w:val="right"/>
              <w:rPr>
                <w:b/>
                <w:sz w:val="16"/>
              </w:rPr>
            </w:pPr>
            <w:r>
              <w:rPr>
                <w:b/>
                <w:sz w:val="16"/>
              </w:rPr>
              <w:t>330,910</w:t>
            </w:r>
          </w:p>
        </w:tc>
        <w:tc>
          <w:tcPr>
            <w:tcW w:w="954" w:type="dxa"/>
            <w:tcBorders>
              <w:top w:val="single" w:sz="1" w:space="0" w:color="000000"/>
              <w:bottom w:val="single" w:sz="1" w:space="0" w:color="000000"/>
            </w:tcBorders>
          </w:tcPr>
          <w:p>
            <w:pPr>
              <w:pStyle w:val="TableParagraph"/>
              <w:spacing w:before="123"/>
              <w:ind w:left="293"/>
              <w:rPr>
                <w:b/>
                <w:sz w:val="16"/>
              </w:rPr>
            </w:pPr>
            <w:r>
              <w:rPr>
                <w:b/>
                <w:sz w:val="16"/>
              </w:rPr>
              <w:t>345,703</w:t>
            </w:r>
          </w:p>
        </w:tc>
      </w:tr>
    </w:tbl>
    <w:p>
      <w:pPr>
        <w:spacing w:after="0"/>
        <w:rPr>
          <w:sz w:val="16"/>
        </w:rPr>
        <w:sectPr>
          <w:type w:val="continuous"/>
          <w:pgSz w:w="11910" w:h="16840"/>
          <w:pgMar w:top="1580" w:bottom="280" w:left="900" w:right="88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1"/>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
        <w:gridCol w:w="4457"/>
        <w:gridCol w:w="1315"/>
        <w:gridCol w:w="1206"/>
        <w:gridCol w:w="1166"/>
        <w:gridCol w:w="978"/>
      </w:tblGrid>
      <w:tr>
        <w:trPr>
          <w:trHeight w:val="824" w:hRule="exact"/>
        </w:trPr>
        <w:tc>
          <w:tcPr>
            <w:tcW w:w="429" w:type="dxa"/>
          </w:tcPr>
          <w:p>
            <w:pPr>
              <w:pStyle w:val="TableParagraph"/>
              <w:spacing w:before="77"/>
              <w:ind w:left="35"/>
              <w:rPr>
                <w:b/>
                <w:sz w:val="18"/>
              </w:rPr>
            </w:pPr>
            <w:r>
              <w:rPr>
                <w:b/>
                <w:sz w:val="18"/>
              </w:rPr>
              <w:t>41</w:t>
            </w:r>
          </w:p>
          <w:p>
            <w:pPr>
              <w:pStyle w:val="TableParagraph"/>
              <w:spacing w:before="7"/>
              <w:rPr>
                <w:rFonts w:ascii="Times New Roman"/>
                <w:sz w:val="26"/>
              </w:rPr>
            </w:pPr>
          </w:p>
          <w:p>
            <w:pPr>
              <w:pStyle w:val="TableParagraph"/>
              <w:ind w:left="35"/>
              <w:rPr>
                <w:sz w:val="18"/>
              </w:rPr>
            </w:pPr>
            <w:r>
              <w:rPr>
                <w:sz w:val="18"/>
              </w:rPr>
              <w:t>(d)</w:t>
            </w:r>
          </w:p>
        </w:tc>
        <w:tc>
          <w:tcPr>
            <w:tcW w:w="4457" w:type="dxa"/>
          </w:tcPr>
          <w:p>
            <w:pPr>
              <w:pStyle w:val="TableParagraph"/>
              <w:spacing w:before="77"/>
              <w:ind w:left="172"/>
              <w:rPr>
                <w:b/>
                <w:sz w:val="18"/>
              </w:rPr>
            </w:pPr>
            <w:r>
              <w:rPr>
                <w:b/>
                <w:sz w:val="18"/>
              </w:rPr>
              <w:t>Defined Benefits Plans (continued)</w:t>
            </w:r>
          </w:p>
          <w:p>
            <w:pPr>
              <w:pStyle w:val="TableParagraph"/>
              <w:spacing w:before="7"/>
              <w:rPr>
                <w:rFonts w:ascii="Times New Roman"/>
                <w:sz w:val="26"/>
              </w:rPr>
            </w:pPr>
          </w:p>
          <w:p>
            <w:pPr>
              <w:pStyle w:val="TableParagraph"/>
              <w:ind w:left="172"/>
              <w:rPr>
                <w:sz w:val="18"/>
              </w:rPr>
            </w:pPr>
            <w:r>
              <w:rPr>
                <w:sz w:val="18"/>
              </w:rPr>
              <w:t>Statement of financial position amounts (continued)</w:t>
            </w:r>
          </w:p>
        </w:tc>
        <w:tc>
          <w:tcPr>
            <w:tcW w:w="4666" w:type="dxa"/>
            <w:gridSpan w:val="4"/>
          </w:tcPr>
          <w:p>
            <w:pPr/>
          </w:p>
        </w:tc>
      </w:tr>
      <w:tr>
        <w:trPr>
          <w:trHeight w:val="237" w:hRule="exact"/>
        </w:trPr>
        <w:tc>
          <w:tcPr>
            <w:tcW w:w="429" w:type="dxa"/>
          </w:tcPr>
          <w:p>
            <w:pPr/>
          </w:p>
        </w:tc>
        <w:tc>
          <w:tcPr>
            <w:tcW w:w="4457" w:type="dxa"/>
          </w:tcPr>
          <w:p>
            <w:pPr/>
          </w:p>
        </w:tc>
        <w:tc>
          <w:tcPr>
            <w:tcW w:w="1315" w:type="dxa"/>
          </w:tcPr>
          <w:p>
            <w:pPr>
              <w:pStyle w:val="TableParagraph"/>
              <w:spacing w:before="10"/>
              <w:ind w:left="405"/>
              <w:rPr>
                <w:b/>
                <w:sz w:val="16"/>
              </w:rPr>
            </w:pPr>
            <w:r>
              <w:rPr>
                <w:b/>
                <w:sz w:val="16"/>
              </w:rPr>
              <w:t>$'000</w:t>
            </w:r>
          </w:p>
        </w:tc>
        <w:tc>
          <w:tcPr>
            <w:tcW w:w="1206" w:type="dxa"/>
          </w:tcPr>
          <w:p>
            <w:pPr>
              <w:pStyle w:val="TableParagraph"/>
              <w:spacing w:before="10"/>
              <w:ind w:left="256"/>
              <w:rPr>
                <w:b/>
                <w:sz w:val="16"/>
              </w:rPr>
            </w:pPr>
            <w:r>
              <w:rPr>
                <w:b/>
                <w:sz w:val="16"/>
              </w:rPr>
              <w:t>$'000</w:t>
            </w:r>
          </w:p>
        </w:tc>
        <w:tc>
          <w:tcPr>
            <w:tcW w:w="1166" w:type="dxa"/>
          </w:tcPr>
          <w:p>
            <w:pPr>
              <w:pStyle w:val="TableParagraph"/>
              <w:spacing w:before="10"/>
              <w:ind w:left="217"/>
              <w:rPr>
                <w:b/>
                <w:sz w:val="16"/>
              </w:rPr>
            </w:pPr>
            <w:r>
              <w:rPr>
                <w:b/>
                <w:sz w:val="16"/>
              </w:rPr>
              <w:t>$'000</w:t>
            </w:r>
          </w:p>
        </w:tc>
        <w:tc>
          <w:tcPr>
            <w:tcW w:w="978" w:type="dxa"/>
          </w:tcPr>
          <w:p>
            <w:pPr>
              <w:pStyle w:val="TableParagraph"/>
              <w:spacing w:before="10"/>
              <w:ind w:left="217"/>
              <w:rPr>
                <w:b/>
                <w:sz w:val="16"/>
              </w:rPr>
            </w:pPr>
            <w:r>
              <w:rPr>
                <w:b/>
                <w:sz w:val="16"/>
              </w:rPr>
              <w:t>$'000</w:t>
            </w:r>
          </w:p>
        </w:tc>
      </w:tr>
      <w:tr>
        <w:trPr>
          <w:trHeight w:val="250" w:hRule="exact"/>
        </w:trPr>
        <w:tc>
          <w:tcPr>
            <w:tcW w:w="429" w:type="dxa"/>
          </w:tcPr>
          <w:p>
            <w:pPr/>
          </w:p>
        </w:tc>
        <w:tc>
          <w:tcPr>
            <w:tcW w:w="4457" w:type="dxa"/>
          </w:tcPr>
          <w:p>
            <w:pPr>
              <w:pStyle w:val="TableParagraph"/>
              <w:spacing w:before="26"/>
              <w:ind w:left="211"/>
              <w:rPr>
                <w:b/>
                <w:sz w:val="16"/>
              </w:rPr>
            </w:pPr>
            <w:r>
              <w:rPr>
                <w:b/>
                <w:sz w:val="16"/>
              </w:rPr>
              <w:t>Present value obligations - 2017</w:t>
            </w:r>
          </w:p>
        </w:tc>
        <w:tc>
          <w:tcPr>
            <w:tcW w:w="1315" w:type="dxa"/>
          </w:tcPr>
          <w:p>
            <w:pPr>
              <w:pStyle w:val="TableParagraph"/>
              <w:spacing w:before="26"/>
              <w:ind w:left="386"/>
              <w:rPr>
                <w:b/>
                <w:sz w:val="16"/>
              </w:rPr>
            </w:pPr>
            <w:r>
              <w:rPr>
                <w:b/>
                <w:sz w:val="16"/>
              </w:rPr>
              <w:t>SASS</w:t>
            </w:r>
          </w:p>
        </w:tc>
        <w:tc>
          <w:tcPr>
            <w:tcW w:w="1206" w:type="dxa"/>
          </w:tcPr>
          <w:p>
            <w:pPr>
              <w:pStyle w:val="TableParagraph"/>
              <w:spacing w:before="26"/>
              <w:ind w:left="177"/>
              <w:rPr>
                <w:b/>
                <w:sz w:val="16"/>
              </w:rPr>
            </w:pPr>
            <w:r>
              <w:rPr>
                <w:b/>
                <w:sz w:val="16"/>
              </w:rPr>
              <w:t>SANCS</w:t>
            </w:r>
          </w:p>
        </w:tc>
        <w:tc>
          <w:tcPr>
            <w:tcW w:w="1166" w:type="dxa"/>
          </w:tcPr>
          <w:p>
            <w:pPr>
              <w:pStyle w:val="TableParagraph"/>
              <w:spacing w:before="26"/>
              <w:ind w:left="253"/>
              <w:rPr>
                <w:b/>
                <w:sz w:val="16"/>
              </w:rPr>
            </w:pPr>
            <w:r>
              <w:rPr>
                <w:b/>
                <w:sz w:val="16"/>
              </w:rPr>
              <w:t>SSS</w:t>
            </w:r>
          </w:p>
        </w:tc>
        <w:tc>
          <w:tcPr>
            <w:tcW w:w="978" w:type="dxa"/>
          </w:tcPr>
          <w:p>
            <w:pPr>
              <w:pStyle w:val="TableParagraph"/>
              <w:spacing w:before="26"/>
              <w:ind w:left="224"/>
              <w:rPr>
                <w:b/>
                <w:sz w:val="16"/>
              </w:rPr>
            </w:pPr>
            <w:r>
              <w:rPr>
                <w:b/>
                <w:sz w:val="16"/>
              </w:rPr>
              <w:t>Total</w:t>
            </w:r>
          </w:p>
        </w:tc>
      </w:tr>
      <w:tr>
        <w:trPr>
          <w:trHeight w:val="246" w:hRule="exact"/>
        </w:trPr>
        <w:tc>
          <w:tcPr>
            <w:tcW w:w="429" w:type="dxa"/>
          </w:tcPr>
          <w:p>
            <w:pPr/>
          </w:p>
        </w:tc>
        <w:tc>
          <w:tcPr>
            <w:tcW w:w="4457" w:type="dxa"/>
          </w:tcPr>
          <w:p>
            <w:pPr>
              <w:pStyle w:val="TableParagraph"/>
              <w:spacing w:before="26"/>
              <w:ind w:left="211"/>
              <w:rPr>
                <w:sz w:val="16"/>
              </w:rPr>
            </w:pPr>
            <w:r>
              <w:rPr>
                <w:sz w:val="16"/>
              </w:rPr>
              <w:t>Opening defined benefit obligation</w:t>
            </w:r>
          </w:p>
        </w:tc>
        <w:tc>
          <w:tcPr>
            <w:tcW w:w="1315" w:type="dxa"/>
          </w:tcPr>
          <w:p>
            <w:pPr>
              <w:pStyle w:val="TableParagraph"/>
              <w:spacing w:before="23"/>
              <w:ind w:right="228"/>
              <w:jc w:val="right"/>
              <w:rPr>
                <w:sz w:val="16"/>
              </w:rPr>
            </w:pPr>
            <w:r>
              <w:rPr>
                <w:sz w:val="16"/>
              </w:rPr>
              <w:t>38,794</w:t>
            </w:r>
          </w:p>
        </w:tc>
        <w:tc>
          <w:tcPr>
            <w:tcW w:w="1206" w:type="dxa"/>
          </w:tcPr>
          <w:p>
            <w:pPr>
              <w:pStyle w:val="TableParagraph"/>
              <w:spacing w:before="23"/>
              <w:ind w:right="267"/>
              <w:jc w:val="right"/>
              <w:rPr>
                <w:sz w:val="16"/>
              </w:rPr>
            </w:pPr>
            <w:r>
              <w:rPr>
                <w:sz w:val="16"/>
              </w:rPr>
              <w:t>6,058</w:t>
            </w:r>
          </w:p>
        </w:tc>
        <w:tc>
          <w:tcPr>
            <w:tcW w:w="1166" w:type="dxa"/>
          </w:tcPr>
          <w:p>
            <w:pPr>
              <w:pStyle w:val="TableParagraph"/>
              <w:spacing w:before="23"/>
              <w:ind w:left="317"/>
              <w:rPr>
                <w:sz w:val="16"/>
              </w:rPr>
            </w:pPr>
            <w:r>
              <w:rPr>
                <w:sz w:val="16"/>
              </w:rPr>
              <w:t>409,418</w:t>
            </w:r>
          </w:p>
        </w:tc>
        <w:tc>
          <w:tcPr>
            <w:tcW w:w="978" w:type="dxa"/>
          </w:tcPr>
          <w:p>
            <w:pPr>
              <w:pStyle w:val="TableParagraph"/>
              <w:spacing w:before="23"/>
              <w:ind w:left="317"/>
              <w:rPr>
                <w:sz w:val="16"/>
              </w:rPr>
            </w:pPr>
            <w:r>
              <w:rPr>
                <w:sz w:val="16"/>
              </w:rPr>
              <w:t>454,270</w:t>
            </w:r>
          </w:p>
        </w:tc>
      </w:tr>
      <w:tr>
        <w:trPr>
          <w:trHeight w:val="242" w:hRule="exact"/>
        </w:trPr>
        <w:tc>
          <w:tcPr>
            <w:tcW w:w="429" w:type="dxa"/>
          </w:tcPr>
          <w:p>
            <w:pPr/>
          </w:p>
        </w:tc>
        <w:tc>
          <w:tcPr>
            <w:tcW w:w="4457" w:type="dxa"/>
          </w:tcPr>
          <w:p>
            <w:pPr>
              <w:pStyle w:val="TableParagraph"/>
              <w:spacing w:before="22"/>
              <w:ind w:left="211"/>
              <w:rPr>
                <w:sz w:val="16"/>
              </w:rPr>
            </w:pPr>
            <w:r>
              <w:rPr>
                <w:sz w:val="16"/>
              </w:rPr>
              <w:t>Current service cost</w:t>
            </w:r>
          </w:p>
        </w:tc>
        <w:tc>
          <w:tcPr>
            <w:tcW w:w="1315" w:type="dxa"/>
          </w:tcPr>
          <w:p>
            <w:pPr>
              <w:pStyle w:val="TableParagraph"/>
              <w:spacing w:before="20"/>
              <w:ind w:right="228"/>
              <w:jc w:val="right"/>
              <w:rPr>
                <w:sz w:val="16"/>
              </w:rPr>
            </w:pPr>
            <w:r>
              <w:rPr>
                <w:sz w:val="16"/>
              </w:rPr>
              <w:t>1,081</w:t>
            </w:r>
          </w:p>
        </w:tc>
        <w:tc>
          <w:tcPr>
            <w:tcW w:w="1206" w:type="dxa"/>
          </w:tcPr>
          <w:p>
            <w:pPr>
              <w:pStyle w:val="TableParagraph"/>
              <w:spacing w:before="20"/>
              <w:ind w:right="268"/>
              <w:jc w:val="right"/>
              <w:rPr>
                <w:sz w:val="16"/>
              </w:rPr>
            </w:pPr>
            <w:r>
              <w:rPr>
                <w:sz w:val="16"/>
              </w:rPr>
              <w:t>232</w:t>
            </w:r>
          </w:p>
        </w:tc>
        <w:tc>
          <w:tcPr>
            <w:tcW w:w="1166" w:type="dxa"/>
          </w:tcPr>
          <w:p>
            <w:pPr>
              <w:pStyle w:val="TableParagraph"/>
              <w:spacing w:before="20"/>
              <w:ind w:right="268"/>
              <w:jc w:val="right"/>
              <w:rPr>
                <w:sz w:val="16"/>
              </w:rPr>
            </w:pPr>
            <w:r>
              <w:rPr>
                <w:sz w:val="16"/>
              </w:rPr>
              <w:t>241</w:t>
            </w:r>
          </w:p>
        </w:tc>
        <w:tc>
          <w:tcPr>
            <w:tcW w:w="978" w:type="dxa"/>
          </w:tcPr>
          <w:p>
            <w:pPr>
              <w:pStyle w:val="TableParagraph"/>
              <w:spacing w:before="20"/>
              <w:ind w:right="79"/>
              <w:jc w:val="right"/>
              <w:rPr>
                <w:sz w:val="16"/>
              </w:rPr>
            </w:pPr>
            <w:r>
              <w:rPr>
                <w:sz w:val="16"/>
              </w:rPr>
              <w:t>1,554</w:t>
            </w:r>
          </w:p>
        </w:tc>
      </w:tr>
      <w:tr>
        <w:trPr>
          <w:trHeight w:val="241" w:hRule="exact"/>
        </w:trPr>
        <w:tc>
          <w:tcPr>
            <w:tcW w:w="429" w:type="dxa"/>
          </w:tcPr>
          <w:p>
            <w:pPr/>
          </w:p>
        </w:tc>
        <w:tc>
          <w:tcPr>
            <w:tcW w:w="4457" w:type="dxa"/>
          </w:tcPr>
          <w:p>
            <w:pPr>
              <w:pStyle w:val="TableParagraph"/>
              <w:spacing w:before="22"/>
              <w:ind w:left="211"/>
              <w:rPr>
                <w:sz w:val="16"/>
              </w:rPr>
            </w:pPr>
            <w:r>
              <w:rPr>
                <w:sz w:val="16"/>
              </w:rPr>
              <w:t>Interest expense</w:t>
            </w:r>
          </w:p>
        </w:tc>
        <w:tc>
          <w:tcPr>
            <w:tcW w:w="1315" w:type="dxa"/>
            <w:tcBorders>
              <w:bottom w:val="single" w:sz="1" w:space="0" w:color="000000"/>
            </w:tcBorders>
          </w:tcPr>
          <w:p>
            <w:pPr>
              <w:pStyle w:val="TableParagraph"/>
              <w:spacing w:before="20"/>
              <w:ind w:right="228"/>
              <w:jc w:val="right"/>
              <w:rPr>
                <w:sz w:val="16"/>
              </w:rPr>
            </w:pPr>
            <w:r>
              <w:rPr>
                <w:sz w:val="16"/>
              </w:rPr>
              <w:t>1,011</w:t>
            </w:r>
          </w:p>
        </w:tc>
        <w:tc>
          <w:tcPr>
            <w:tcW w:w="1206" w:type="dxa"/>
            <w:tcBorders>
              <w:bottom w:val="single" w:sz="1" w:space="0" w:color="000000"/>
            </w:tcBorders>
          </w:tcPr>
          <w:p>
            <w:pPr>
              <w:pStyle w:val="TableParagraph"/>
              <w:spacing w:before="20"/>
              <w:ind w:right="268"/>
              <w:jc w:val="right"/>
              <w:rPr>
                <w:sz w:val="16"/>
              </w:rPr>
            </w:pPr>
            <w:r>
              <w:rPr>
                <w:sz w:val="16"/>
              </w:rPr>
              <w:t>156</w:t>
            </w:r>
          </w:p>
        </w:tc>
        <w:tc>
          <w:tcPr>
            <w:tcW w:w="1166" w:type="dxa"/>
            <w:tcBorders>
              <w:bottom w:val="single" w:sz="1" w:space="0" w:color="000000"/>
            </w:tcBorders>
          </w:tcPr>
          <w:p>
            <w:pPr>
              <w:pStyle w:val="TableParagraph"/>
              <w:spacing w:before="20"/>
              <w:ind w:left="406"/>
              <w:rPr>
                <w:sz w:val="16"/>
              </w:rPr>
            </w:pPr>
            <w:r>
              <w:rPr>
                <w:sz w:val="16"/>
              </w:rPr>
              <w:t>11,136</w:t>
            </w:r>
          </w:p>
        </w:tc>
        <w:tc>
          <w:tcPr>
            <w:tcW w:w="978" w:type="dxa"/>
            <w:tcBorders>
              <w:bottom w:val="single" w:sz="1" w:space="0" w:color="000000"/>
            </w:tcBorders>
          </w:tcPr>
          <w:p>
            <w:pPr>
              <w:pStyle w:val="TableParagraph"/>
              <w:spacing w:before="20"/>
              <w:ind w:left="406"/>
              <w:rPr>
                <w:sz w:val="16"/>
              </w:rPr>
            </w:pPr>
            <w:r>
              <w:rPr>
                <w:sz w:val="16"/>
              </w:rPr>
              <w:t>12,303</w:t>
            </w:r>
          </w:p>
        </w:tc>
      </w:tr>
      <w:tr>
        <w:trPr>
          <w:trHeight w:val="317" w:hRule="exact"/>
        </w:trPr>
        <w:tc>
          <w:tcPr>
            <w:tcW w:w="429" w:type="dxa"/>
          </w:tcPr>
          <w:p>
            <w:pPr/>
          </w:p>
        </w:tc>
        <w:tc>
          <w:tcPr>
            <w:tcW w:w="4457" w:type="dxa"/>
          </w:tcPr>
          <w:p>
            <w:pPr/>
          </w:p>
        </w:tc>
        <w:tc>
          <w:tcPr>
            <w:tcW w:w="1315" w:type="dxa"/>
            <w:tcBorders>
              <w:top w:val="single" w:sz="1" w:space="0" w:color="000000"/>
              <w:bottom w:val="single" w:sz="1" w:space="0" w:color="000000"/>
            </w:tcBorders>
          </w:tcPr>
          <w:p>
            <w:pPr>
              <w:pStyle w:val="TableParagraph"/>
              <w:spacing w:before="123"/>
              <w:ind w:right="228"/>
              <w:jc w:val="right"/>
              <w:rPr>
                <w:b/>
                <w:sz w:val="16"/>
              </w:rPr>
            </w:pPr>
            <w:r>
              <w:rPr>
                <w:b/>
                <w:sz w:val="16"/>
              </w:rPr>
              <w:t>40,886</w:t>
            </w:r>
          </w:p>
        </w:tc>
        <w:tc>
          <w:tcPr>
            <w:tcW w:w="1206" w:type="dxa"/>
            <w:tcBorders>
              <w:top w:val="single" w:sz="1" w:space="0" w:color="000000"/>
              <w:bottom w:val="single" w:sz="1" w:space="0" w:color="000000"/>
            </w:tcBorders>
          </w:tcPr>
          <w:p>
            <w:pPr>
              <w:pStyle w:val="TableParagraph"/>
              <w:spacing w:before="123"/>
              <w:ind w:right="267"/>
              <w:jc w:val="right"/>
              <w:rPr>
                <w:b/>
                <w:sz w:val="16"/>
              </w:rPr>
            </w:pPr>
            <w:r>
              <w:rPr>
                <w:b/>
                <w:sz w:val="16"/>
              </w:rPr>
              <w:t>6,446</w:t>
            </w:r>
          </w:p>
        </w:tc>
        <w:tc>
          <w:tcPr>
            <w:tcW w:w="1166" w:type="dxa"/>
            <w:tcBorders>
              <w:top w:val="single" w:sz="1" w:space="0" w:color="000000"/>
              <w:bottom w:val="single" w:sz="1" w:space="0" w:color="000000"/>
            </w:tcBorders>
          </w:tcPr>
          <w:p>
            <w:pPr>
              <w:pStyle w:val="TableParagraph"/>
              <w:spacing w:before="123"/>
              <w:ind w:left="317"/>
              <w:rPr>
                <w:b/>
                <w:sz w:val="16"/>
              </w:rPr>
            </w:pPr>
            <w:r>
              <w:rPr>
                <w:b/>
                <w:sz w:val="16"/>
              </w:rPr>
              <w:t>420,795</w:t>
            </w:r>
          </w:p>
        </w:tc>
        <w:tc>
          <w:tcPr>
            <w:tcW w:w="978" w:type="dxa"/>
            <w:tcBorders>
              <w:top w:val="single" w:sz="1" w:space="0" w:color="000000"/>
              <w:bottom w:val="single" w:sz="1" w:space="0" w:color="000000"/>
            </w:tcBorders>
          </w:tcPr>
          <w:p>
            <w:pPr>
              <w:pStyle w:val="TableParagraph"/>
              <w:spacing w:before="123"/>
              <w:ind w:left="317"/>
              <w:rPr>
                <w:b/>
                <w:sz w:val="16"/>
              </w:rPr>
            </w:pPr>
            <w:r>
              <w:rPr>
                <w:b/>
                <w:sz w:val="16"/>
              </w:rPr>
              <w:t>468,127</w:t>
            </w:r>
          </w:p>
        </w:tc>
      </w:tr>
      <w:tr>
        <w:trPr>
          <w:trHeight w:val="332" w:hRule="exact"/>
        </w:trPr>
        <w:tc>
          <w:tcPr>
            <w:tcW w:w="429" w:type="dxa"/>
          </w:tcPr>
          <w:p>
            <w:pPr/>
          </w:p>
        </w:tc>
        <w:tc>
          <w:tcPr>
            <w:tcW w:w="4457" w:type="dxa"/>
          </w:tcPr>
          <w:p>
            <w:pPr>
              <w:pStyle w:val="TableParagraph"/>
              <w:spacing w:before="124"/>
              <w:ind w:left="211"/>
              <w:rPr>
                <w:b/>
                <w:sz w:val="16"/>
              </w:rPr>
            </w:pPr>
            <w:r>
              <w:rPr>
                <w:b/>
                <w:sz w:val="16"/>
              </w:rPr>
              <w:t>Remeasurements</w:t>
            </w:r>
          </w:p>
        </w:tc>
        <w:tc>
          <w:tcPr>
            <w:tcW w:w="1315" w:type="dxa"/>
            <w:tcBorders>
              <w:top w:val="single" w:sz="1" w:space="0" w:color="000000"/>
            </w:tcBorders>
          </w:tcPr>
          <w:p>
            <w:pPr/>
          </w:p>
        </w:tc>
        <w:tc>
          <w:tcPr>
            <w:tcW w:w="1206" w:type="dxa"/>
            <w:tcBorders>
              <w:top w:val="single" w:sz="1" w:space="0" w:color="000000"/>
            </w:tcBorders>
          </w:tcPr>
          <w:p>
            <w:pPr/>
          </w:p>
        </w:tc>
        <w:tc>
          <w:tcPr>
            <w:tcW w:w="1166" w:type="dxa"/>
            <w:tcBorders>
              <w:top w:val="single" w:sz="1" w:space="0" w:color="000000"/>
            </w:tcBorders>
          </w:tcPr>
          <w:p>
            <w:pPr/>
          </w:p>
        </w:tc>
        <w:tc>
          <w:tcPr>
            <w:tcW w:w="978" w:type="dxa"/>
            <w:tcBorders>
              <w:top w:val="single" w:sz="1" w:space="0" w:color="000000"/>
            </w:tcBorders>
          </w:tcPr>
          <w:p>
            <w:pPr/>
          </w:p>
        </w:tc>
      </w:tr>
      <w:tr>
        <w:trPr>
          <w:trHeight w:val="413" w:hRule="exact"/>
        </w:trPr>
        <w:tc>
          <w:tcPr>
            <w:tcW w:w="429" w:type="dxa"/>
          </w:tcPr>
          <w:p>
            <w:pPr/>
          </w:p>
        </w:tc>
        <w:tc>
          <w:tcPr>
            <w:tcW w:w="4457" w:type="dxa"/>
          </w:tcPr>
          <w:p>
            <w:pPr>
              <w:pStyle w:val="TableParagraph"/>
              <w:spacing w:before="6"/>
              <w:ind w:left="211" w:right="1691"/>
              <w:rPr>
                <w:sz w:val="16"/>
              </w:rPr>
            </w:pPr>
            <w:r>
              <w:rPr>
                <w:sz w:val="16"/>
              </w:rPr>
              <w:t>Actuarial losses/(gains) arising from changes in financial assumptions</w:t>
            </w:r>
          </w:p>
        </w:tc>
        <w:tc>
          <w:tcPr>
            <w:tcW w:w="1315" w:type="dxa"/>
          </w:tcPr>
          <w:p>
            <w:pPr>
              <w:pStyle w:val="TableParagraph"/>
              <w:spacing w:before="7"/>
              <w:rPr>
                <w:rFonts w:ascii="Times New Roman"/>
                <w:sz w:val="16"/>
              </w:rPr>
            </w:pPr>
          </w:p>
          <w:p>
            <w:pPr>
              <w:pStyle w:val="TableParagraph"/>
              <w:ind w:right="228"/>
              <w:jc w:val="right"/>
              <w:rPr>
                <w:sz w:val="16"/>
              </w:rPr>
            </w:pPr>
            <w:r>
              <w:rPr>
                <w:sz w:val="16"/>
              </w:rPr>
              <w:t>137</w:t>
            </w:r>
          </w:p>
        </w:tc>
        <w:tc>
          <w:tcPr>
            <w:tcW w:w="1206" w:type="dxa"/>
          </w:tcPr>
          <w:p>
            <w:pPr>
              <w:pStyle w:val="TableParagraph"/>
              <w:spacing w:before="7"/>
              <w:rPr>
                <w:rFonts w:ascii="Times New Roman"/>
                <w:sz w:val="16"/>
              </w:rPr>
            </w:pPr>
          </w:p>
          <w:p>
            <w:pPr>
              <w:pStyle w:val="TableParagraph"/>
              <w:ind w:right="268"/>
              <w:jc w:val="right"/>
              <w:rPr>
                <w:sz w:val="16"/>
              </w:rPr>
            </w:pPr>
            <w:r>
              <w:rPr>
                <w:sz w:val="16"/>
              </w:rPr>
              <w:t>35</w:t>
            </w:r>
          </w:p>
        </w:tc>
        <w:tc>
          <w:tcPr>
            <w:tcW w:w="1166" w:type="dxa"/>
          </w:tcPr>
          <w:p>
            <w:pPr>
              <w:pStyle w:val="TableParagraph"/>
              <w:spacing w:before="7"/>
              <w:rPr>
                <w:rFonts w:ascii="Times New Roman"/>
                <w:sz w:val="16"/>
              </w:rPr>
            </w:pPr>
          </w:p>
          <w:p>
            <w:pPr>
              <w:pStyle w:val="TableParagraph"/>
              <w:ind w:left="495"/>
              <w:rPr>
                <w:sz w:val="16"/>
              </w:rPr>
            </w:pPr>
            <w:r>
              <w:rPr>
                <w:sz w:val="16"/>
              </w:rPr>
              <w:t>4,656</w:t>
            </w:r>
          </w:p>
        </w:tc>
        <w:tc>
          <w:tcPr>
            <w:tcW w:w="978" w:type="dxa"/>
          </w:tcPr>
          <w:p>
            <w:pPr>
              <w:pStyle w:val="TableParagraph"/>
              <w:spacing w:before="7"/>
              <w:rPr>
                <w:rFonts w:ascii="Times New Roman"/>
                <w:sz w:val="16"/>
              </w:rPr>
            </w:pPr>
          </w:p>
          <w:p>
            <w:pPr>
              <w:pStyle w:val="TableParagraph"/>
              <w:ind w:right="79"/>
              <w:jc w:val="right"/>
              <w:rPr>
                <w:sz w:val="16"/>
              </w:rPr>
            </w:pPr>
            <w:r>
              <w:rPr>
                <w:sz w:val="16"/>
              </w:rPr>
              <w:t>4,828</w:t>
            </w:r>
          </w:p>
        </w:tc>
      </w:tr>
      <w:tr>
        <w:trPr>
          <w:trHeight w:val="242" w:hRule="exact"/>
        </w:trPr>
        <w:tc>
          <w:tcPr>
            <w:tcW w:w="429" w:type="dxa"/>
          </w:tcPr>
          <w:p>
            <w:pPr/>
          </w:p>
        </w:tc>
        <w:tc>
          <w:tcPr>
            <w:tcW w:w="4457" w:type="dxa"/>
          </w:tcPr>
          <w:p>
            <w:pPr>
              <w:pStyle w:val="TableParagraph"/>
              <w:spacing w:before="23"/>
              <w:ind w:left="211"/>
              <w:rPr>
                <w:sz w:val="16"/>
              </w:rPr>
            </w:pPr>
            <w:r>
              <w:rPr>
                <w:sz w:val="16"/>
              </w:rPr>
              <w:t>Experience (gains)/losses</w:t>
            </w:r>
          </w:p>
        </w:tc>
        <w:tc>
          <w:tcPr>
            <w:tcW w:w="1315" w:type="dxa"/>
            <w:tcBorders>
              <w:bottom w:val="single" w:sz="1" w:space="0" w:color="000000"/>
            </w:tcBorders>
          </w:tcPr>
          <w:p>
            <w:pPr>
              <w:pStyle w:val="TableParagraph"/>
              <w:spacing w:before="21"/>
              <w:ind w:right="228"/>
              <w:jc w:val="right"/>
              <w:rPr>
                <w:sz w:val="16"/>
              </w:rPr>
            </w:pPr>
            <w:r>
              <w:rPr>
                <w:sz w:val="16"/>
              </w:rPr>
              <w:t>1,249</w:t>
            </w:r>
          </w:p>
        </w:tc>
        <w:tc>
          <w:tcPr>
            <w:tcW w:w="1206" w:type="dxa"/>
            <w:tcBorders>
              <w:bottom w:val="single" w:sz="1" w:space="0" w:color="000000"/>
            </w:tcBorders>
          </w:tcPr>
          <w:p>
            <w:pPr>
              <w:pStyle w:val="TableParagraph"/>
              <w:spacing w:before="21"/>
              <w:ind w:right="268"/>
              <w:jc w:val="right"/>
              <w:rPr>
                <w:sz w:val="16"/>
              </w:rPr>
            </w:pPr>
            <w:r>
              <w:rPr>
                <w:sz w:val="16"/>
              </w:rPr>
              <w:t>189</w:t>
            </w:r>
          </w:p>
        </w:tc>
        <w:tc>
          <w:tcPr>
            <w:tcW w:w="1166" w:type="dxa"/>
            <w:tcBorders>
              <w:bottom w:val="single" w:sz="1" w:space="0" w:color="000000"/>
            </w:tcBorders>
          </w:tcPr>
          <w:p>
            <w:pPr>
              <w:pStyle w:val="TableParagraph"/>
              <w:spacing w:before="21"/>
              <w:ind w:right="215"/>
              <w:jc w:val="right"/>
              <w:rPr>
                <w:sz w:val="16"/>
              </w:rPr>
            </w:pPr>
            <w:r>
              <w:rPr>
                <w:sz w:val="16"/>
              </w:rPr>
              <w:t>(243)</w:t>
            </w:r>
          </w:p>
        </w:tc>
        <w:tc>
          <w:tcPr>
            <w:tcW w:w="978" w:type="dxa"/>
            <w:tcBorders>
              <w:bottom w:val="single" w:sz="1" w:space="0" w:color="000000"/>
            </w:tcBorders>
          </w:tcPr>
          <w:p>
            <w:pPr>
              <w:pStyle w:val="TableParagraph"/>
              <w:spacing w:before="21"/>
              <w:ind w:right="79"/>
              <w:jc w:val="right"/>
              <w:rPr>
                <w:sz w:val="16"/>
              </w:rPr>
            </w:pPr>
            <w:r>
              <w:rPr>
                <w:sz w:val="16"/>
              </w:rPr>
              <w:t>1,195</w:t>
            </w:r>
          </w:p>
        </w:tc>
      </w:tr>
      <w:tr>
        <w:trPr>
          <w:trHeight w:val="317" w:hRule="exact"/>
        </w:trPr>
        <w:tc>
          <w:tcPr>
            <w:tcW w:w="429" w:type="dxa"/>
          </w:tcPr>
          <w:p>
            <w:pPr/>
          </w:p>
        </w:tc>
        <w:tc>
          <w:tcPr>
            <w:tcW w:w="4457" w:type="dxa"/>
          </w:tcPr>
          <w:p>
            <w:pPr/>
          </w:p>
        </w:tc>
        <w:tc>
          <w:tcPr>
            <w:tcW w:w="1315" w:type="dxa"/>
            <w:tcBorders>
              <w:top w:val="single" w:sz="1" w:space="0" w:color="000000"/>
              <w:bottom w:val="single" w:sz="1" w:space="0" w:color="000000"/>
            </w:tcBorders>
          </w:tcPr>
          <w:p>
            <w:pPr>
              <w:pStyle w:val="TableParagraph"/>
              <w:spacing w:before="123"/>
              <w:ind w:right="228"/>
              <w:jc w:val="right"/>
              <w:rPr>
                <w:b/>
                <w:sz w:val="16"/>
              </w:rPr>
            </w:pPr>
            <w:r>
              <w:rPr>
                <w:b/>
                <w:sz w:val="16"/>
              </w:rPr>
              <w:t>1,386</w:t>
            </w:r>
          </w:p>
        </w:tc>
        <w:tc>
          <w:tcPr>
            <w:tcW w:w="1206" w:type="dxa"/>
            <w:tcBorders>
              <w:top w:val="single" w:sz="1" w:space="0" w:color="000000"/>
              <w:bottom w:val="single" w:sz="1" w:space="0" w:color="000000"/>
            </w:tcBorders>
          </w:tcPr>
          <w:p>
            <w:pPr>
              <w:pStyle w:val="TableParagraph"/>
              <w:spacing w:before="123"/>
              <w:ind w:right="268"/>
              <w:jc w:val="right"/>
              <w:rPr>
                <w:b/>
                <w:sz w:val="16"/>
              </w:rPr>
            </w:pPr>
            <w:r>
              <w:rPr>
                <w:b/>
                <w:sz w:val="16"/>
              </w:rPr>
              <w:t>224</w:t>
            </w:r>
          </w:p>
        </w:tc>
        <w:tc>
          <w:tcPr>
            <w:tcW w:w="1166" w:type="dxa"/>
            <w:tcBorders>
              <w:top w:val="single" w:sz="1" w:space="0" w:color="000000"/>
              <w:bottom w:val="single" w:sz="1" w:space="0" w:color="000000"/>
            </w:tcBorders>
          </w:tcPr>
          <w:p>
            <w:pPr>
              <w:pStyle w:val="TableParagraph"/>
              <w:spacing w:before="123"/>
              <w:ind w:left="495"/>
              <w:rPr>
                <w:b/>
                <w:sz w:val="16"/>
              </w:rPr>
            </w:pPr>
            <w:r>
              <w:rPr>
                <w:b/>
                <w:sz w:val="16"/>
              </w:rPr>
              <w:t>4,413</w:t>
            </w:r>
          </w:p>
        </w:tc>
        <w:tc>
          <w:tcPr>
            <w:tcW w:w="978" w:type="dxa"/>
            <w:tcBorders>
              <w:top w:val="single" w:sz="1" w:space="0" w:color="000000"/>
              <w:bottom w:val="single" w:sz="1" w:space="0" w:color="000000"/>
            </w:tcBorders>
          </w:tcPr>
          <w:p>
            <w:pPr>
              <w:pStyle w:val="TableParagraph"/>
              <w:spacing w:before="123"/>
              <w:ind w:right="79"/>
              <w:jc w:val="right"/>
              <w:rPr>
                <w:b/>
                <w:sz w:val="16"/>
              </w:rPr>
            </w:pPr>
            <w:r>
              <w:rPr>
                <w:b/>
                <w:sz w:val="16"/>
              </w:rPr>
              <w:t>6,023</w:t>
            </w:r>
          </w:p>
        </w:tc>
      </w:tr>
      <w:tr>
        <w:trPr>
          <w:trHeight w:val="332" w:hRule="exact"/>
        </w:trPr>
        <w:tc>
          <w:tcPr>
            <w:tcW w:w="429" w:type="dxa"/>
          </w:tcPr>
          <w:p>
            <w:pPr/>
          </w:p>
        </w:tc>
        <w:tc>
          <w:tcPr>
            <w:tcW w:w="4457" w:type="dxa"/>
          </w:tcPr>
          <w:p>
            <w:pPr>
              <w:pStyle w:val="TableParagraph"/>
              <w:spacing w:before="124"/>
              <w:ind w:left="211"/>
              <w:rPr>
                <w:b/>
                <w:sz w:val="16"/>
              </w:rPr>
            </w:pPr>
            <w:r>
              <w:rPr>
                <w:b/>
                <w:sz w:val="16"/>
              </w:rPr>
              <w:t>Contributions</w:t>
            </w:r>
          </w:p>
        </w:tc>
        <w:tc>
          <w:tcPr>
            <w:tcW w:w="1315" w:type="dxa"/>
            <w:tcBorders>
              <w:top w:val="single" w:sz="1" w:space="0" w:color="000000"/>
            </w:tcBorders>
          </w:tcPr>
          <w:p>
            <w:pPr/>
          </w:p>
        </w:tc>
        <w:tc>
          <w:tcPr>
            <w:tcW w:w="1206" w:type="dxa"/>
            <w:tcBorders>
              <w:top w:val="single" w:sz="1" w:space="0" w:color="000000"/>
            </w:tcBorders>
          </w:tcPr>
          <w:p>
            <w:pPr/>
          </w:p>
        </w:tc>
        <w:tc>
          <w:tcPr>
            <w:tcW w:w="1166" w:type="dxa"/>
            <w:tcBorders>
              <w:top w:val="single" w:sz="1" w:space="0" w:color="000000"/>
            </w:tcBorders>
          </w:tcPr>
          <w:p>
            <w:pPr/>
          </w:p>
        </w:tc>
        <w:tc>
          <w:tcPr>
            <w:tcW w:w="978" w:type="dxa"/>
            <w:tcBorders>
              <w:top w:val="single" w:sz="1" w:space="0" w:color="000000"/>
            </w:tcBorders>
          </w:tcPr>
          <w:p>
            <w:pPr/>
          </w:p>
        </w:tc>
      </w:tr>
      <w:tr>
        <w:trPr>
          <w:trHeight w:val="271" w:hRule="exact"/>
        </w:trPr>
        <w:tc>
          <w:tcPr>
            <w:tcW w:w="429" w:type="dxa"/>
          </w:tcPr>
          <w:p>
            <w:pPr/>
          </w:p>
        </w:tc>
        <w:tc>
          <w:tcPr>
            <w:tcW w:w="4457" w:type="dxa"/>
          </w:tcPr>
          <w:p>
            <w:pPr>
              <w:pStyle w:val="TableParagraph"/>
              <w:spacing w:before="9"/>
              <w:ind w:left="211"/>
              <w:rPr>
                <w:sz w:val="16"/>
              </w:rPr>
            </w:pPr>
            <w:r>
              <w:rPr>
                <w:sz w:val="16"/>
              </w:rPr>
              <w:t>Plan participants</w:t>
            </w:r>
          </w:p>
        </w:tc>
        <w:tc>
          <w:tcPr>
            <w:tcW w:w="1315" w:type="dxa"/>
          </w:tcPr>
          <w:p>
            <w:pPr>
              <w:pStyle w:val="TableParagraph"/>
              <w:spacing w:before="6"/>
              <w:ind w:right="228"/>
              <w:jc w:val="right"/>
              <w:rPr>
                <w:sz w:val="16"/>
              </w:rPr>
            </w:pPr>
            <w:r>
              <w:rPr>
                <w:sz w:val="16"/>
              </w:rPr>
              <w:t>483</w:t>
            </w:r>
          </w:p>
        </w:tc>
        <w:tc>
          <w:tcPr>
            <w:tcW w:w="1206" w:type="dxa"/>
          </w:tcPr>
          <w:p>
            <w:pPr>
              <w:pStyle w:val="TableParagraph"/>
              <w:spacing w:before="6"/>
              <w:ind w:right="267"/>
              <w:jc w:val="right"/>
              <w:rPr>
                <w:sz w:val="16"/>
              </w:rPr>
            </w:pPr>
            <w:r>
              <w:rPr>
                <w:w w:val="100"/>
                <w:sz w:val="16"/>
              </w:rPr>
              <w:t>-</w:t>
            </w:r>
          </w:p>
        </w:tc>
        <w:tc>
          <w:tcPr>
            <w:tcW w:w="1166" w:type="dxa"/>
          </w:tcPr>
          <w:p>
            <w:pPr>
              <w:pStyle w:val="TableParagraph"/>
              <w:spacing w:before="6"/>
              <w:ind w:right="268"/>
              <w:jc w:val="right"/>
              <w:rPr>
                <w:sz w:val="16"/>
              </w:rPr>
            </w:pPr>
            <w:r>
              <w:rPr>
                <w:sz w:val="16"/>
              </w:rPr>
              <w:t>98</w:t>
            </w:r>
          </w:p>
        </w:tc>
        <w:tc>
          <w:tcPr>
            <w:tcW w:w="978" w:type="dxa"/>
          </w:tcPr>
          <w:p>
            <w:pPr>
              <w:pStyle w:val="TableParagraph"/>
              <w:spacing w:before="6"/>
              <w:ind w:right="79"/>
              <w:jc w:val="right"/>
              <w:rPr>
                <w:sz w:val="16"/>
              </w:rPr>
            </w:pPr>
            <w:r>
              <w:rPr>
                <w:sz w:val="16"/>
              </w:rPr>
              <w:t>581</w:t>
            </w:r>
          </w:p>
        </w:tc>
      </w:tr>
      <w:tr>
        <w:trPr>
          <w:trHeight w:val="269" w:hRule="exact"/>
        </w:trPr>
        <w:tc>
          <w:tcPr>
            <w:tcW w:w="429" w:type="dxa"/>
          </w:tcPr>
          <w:p>
            <w:pPr/>
          </w:p>
        </w:tc>
        <w:tc>
          <w:tcPr>
            <w:tcW w:w="4457" w:type="dxa"/>
          </w:tcPr>
          <w:p>
            <w:pPr>
              <w:pStyle w:val="TableParagraph"/>
              <w:spacing w:before="62"/>
              <w:ind w:left="211"/>
              <w:rPr>
                <w:b/>
                <w:sz w:val="16"/>
              </w:rPr>
            </w:pPr>
            <w:r>
              <w:rPr>
                <w:b/>
                <w:sz w:val="16"/>
              </w:rPr>
              <w:t>Payments from plan</w:t>
            </w:r>
          </w:p>
        </w:tc>
        <w:tc>
          <w:tcPr>
            <w:tcW w:w="1315" w:type="dxa"/>
          </w:tcPr>
          <w:p>
            <w:pPr/>
          </w:p>
        </w:tc>
        <w:tc>
          <w:tcPr>
            <w:tcW w:w="1206" w:type="dxa"/>
          </w:tcPr>
          <w:p>
            <w:pPr/>
          </w:p>
        </w:tc>
        <w:tc>
          <w:tcPr>
            <w:tcW w:w="1166" w:type="dxa"/>
          </w:tcPr>
          <w:p>
            <w:pPr/>
          </w:p>
        </w:tc>
        <w:tc>
          <w:tcPr>
            <w:tcW w:w="978" w:type="dxa"/>
          </w:tcPr>
          <w:p>
            <w:pPr/>
          </w:p>
        </w:tc>
      </w:tr>
      <w:tr>
        <w:trPr>
          <w:trHeight w:val="229" w:hRule="exact"/>
        </w:trPr>
        <w:tc>
          <w:tcPr>
            <w:tcW w:w="429" w:type="dxa"/>
          </w:tcPr>
          <w:p>
            <w:pPr/>
          </w:p>
        </w:tc>
        <w:tc>
          <w:tcPr>
            <w:tcW w:w="4457" w:type="dxa"/>
          </w:tcPr>
          <w:p>
            <w:pPr>
              <w:pStyle w:val="TableParagraph"/>
              <w:spacing w:before="9"/>
              <w:ind w:left="211"/>
              <w:rPr>
                <w:sz w:val="16"/>
              </w:rPr>
            </w:pPr>
            <w:r>
              <w:rPr>
                <w:sz w:val="16"/>
              </w:rPr>
              <w:t>Benefits paid</w:t>
            </w:r>
          </w:p>
        </w:tc>
        <w:tc>
          <w:tcPr>
            <w:tcW w:w="1315" w:type="dxa"/>
          </w:tcPr>
          <w:p>
            <w:pPr>
              <w:pStyle w:val="TableParagraph"/>
              <w:spacing w:before="6"/>
              <w:ind w:right="175"/>
              <w:jc w:val="right"/>
              <w:rPr>
                <w:sz w:val="16"/>
              </w:rPr>
            </w:pPr>
            <w:r>
              <w:rPr>
                <w:sz w:val="16"/>
              </w:rPr>
              <w:t>(17,417)</w:t>
            </w:r>
          </w:p>
        </w:tc>
        <w:tc>
          <w:tcPr>
            <w:tcW w:w="1206" w:type="dxa"/>
          </w:tcPr>
          <w:p>
            <w:pPr>
              <w:pStyle w:val="TableParagraph"/>
              <w:spacing w:before="6"/>
              <w:ind w:right="215"/>
              <w:jc w:val="right"/>
              <w:rPr>
                <w:sz w:val="16"/>
              </w:rPr>
            </w:pPr>
            <w:r>
              <w:rPr>
                <w:sz w:val="16"/>
              </w:rPr>
              <w:t>(2,075)</w:t>
            </w:r>
          </w:p>
        </w:tc>
        <w:tc>
          <w:tcPr>
            <w:tcW w:w="1166" w:type="dxa"/>
          </w:tcPr>
          <w:p>
            <w:pPr>
              <w:pStyle w:val="TableParagraph"/>
              <w:spacing w:before="6"/>
              <w:ind w:right="215"/>
              <w:jc w:val="right"/>
              <w:rPr>
                <w:sz w:val="16"/>
              </w:rPr>
            </w:pPr>
            <w:r>
              <w:rPr>
                <w:sz w:val="16"/>
              </w:rPr>
              <w:t>(18,151)</w:t>
            </w:r>
          </w:p>
        </w:tc>
        <w:tc>
          <w:tcPr>
            <w:tcW w:w="978" w:type="dxa"/>
          </w:tcPr>
          <w:p>
            <w:pPr>
              <w:pStyle w:val="TableParagraph"/>
              <w:spacing w:before="6"/>
              <w:ind w:right="26"/>
              <w:jc w:val="right"/>
              <w:rPr>
                <w:sz w:val="16"/>
              </w:rPr>
            </w:pPr>
            <w:r>
              <w:rPr>
                <w:sz w:val="16"/>
              </w:rPr>
              <w:t>(37,643)</w:t>
            </w:r>
          </w:p>
        </w:tc>
      </w:tr>
      <w:tr>
        <w:trPr>
          <w:trHeight w:val="241" w:hRule="exact"/>
        </w:trPr>
        <w:tc>
          <w:tcPr>
            <w:tcW w:w="429" w:type="dxa"/>
          </w:tcPr>
          <w:p>
            <w:pPr/>
          </w:p>
        </w:tc>
        <w:tc>
          <w:tcPr>
            <w:tcW w:w="4457" w:type="dxa"/>
          </w:tcPr>
          <w:p>
            <w:pPr>
              <w:pStyle w:val="TableParagraph"/>
              <w:spacing w:before="22"/>
              <w:ind w:left="211"/>
              <w:rPr>
                <w:sz w:val="16"/>
              </w:rPr>
            </w:pPr>
            <w:r>
              <w:rPr>
                <w:sz w:val="16"/>
              </w:rPr>
              <w:t>Taxes, premiums and expenses paid</w:t>
            </w:r>
          </w:p>
        </w:tc>
        <w:tc>
          <w:tcPr>
            <w:tcW w:w="1315" w:type="dxa"/>
            <w:tcBorders>
              <w:bottom w:val="single" w:sz="1" w:space="0" w:color="000000"/>
            </w:tcBorders>
          </w:tcPr>
          <w:p>
            <w:pPr>
              <w:pStyle w:val="TableParagraph"/>
              <w:spacing w:before="20"/>
              <w:ind w:right="175"/>
              <w:jc w:val="right"/>
              <w:rPr>
                <w:sz w:val="16"/>
              </w:rPr>
            </w:pPr>
            <w:r>
              <w:rPr>
                <w:sz w:val="16"/>
              </w:rPr>
              <w:t>(162)</w:t>
            </w:r>
          </w:p>
        </w:tc>
        <w:tc>
          <w:tcPr>
            <w:tcW w:w="1206" w:type="dxa"/>
            <w:tcBorders>
              <w:bottom w:val="single" w:sz="1" w:space="0" w:color="000000"/>
            </w:tcBorders>
          </w:tcPr>
          <w:p>
            <w:pPr>
              <w:pStyle w:val="TableParagraph"/>
              <w:spacing w:before="20"/>
              <w:ind w:right="215"/>
              <w:jc w:val="right"/>
              <w:rPr>
                <w:sz w:val="16"/>
              </w:rPr>
            </w:pPr>
            <w:r>
              <w:rPr>
                <w:sz w:val="16"/>
              </w:rPr>
              <w:t>(246)</w:t>
            </w:r>
          </w:p>
        </w:tc>
        <w:tc>
          <w:tcPr>
            <w:tcW w:w="1166" w:type="dxa"/>
            <w:tcBorders>
              <w:bottom w:val="single" w:sz="1" w:space="0" w:color="000000"/>
            </w:tcBorders>
          </w:tcPr>
          <w:p>
            <w:pPr>
              <w:pStyle w:val="TableParagraph"/>
              <w:spacing w:before="20"/>
              <w:ind w:left="495"/>
              <w:rPr>
                <w:sz w:val="16"/>
              </w:rPr>
            </w:pPr>
            <w:r>
              <w:rPr>
                <w:sz w:val="16"/>
              </w:rPr>
              <w:t>2,390</w:t>
            </w:r>
          </w:p>
        </w:tc>
        <w:tc>
          <w:tcPr>
            <w:tcW w:w="978" w:type="dxa"/>
            <w:tcBorders>
              <w:bottom w:val="single" w:sz="1" w:space="0" w:color="000000"/>
            </w:tcBorders>
          </w:tcPr>
          <w:p>
            <w:pPr>
              <w:pStyle w:val="TableParagraph"/>
              <w:spacing w:before="20"/>
              <w:ind w:right="79"/>
              <w:jc w:val="right"/>
              <w:rPr>
                <w:sz w:val="16"/>
              </w:rPr>
            </w:pPr>
            <w:r>
              <w:rPr>
                <w:sz w:val="16"/>
              </w:rPr>
              <w:t>1,982</w:t>
            </w:r>
          </w:p>
        </w:tc>
      </w:tr>
      <w:tr>
        <w:trPr>
          <w:trHeight w:val="317" w:hRule="exact"/>
        </w:trPr>
        <w:tc>
          <w:tcPr>
            <w:tcW w:w="429" w:type="dxa"/>
          </w:tcPr>
          <w:p>
            <w:pPr/>
          </w:p>
        </w:tc>
        <w:tc>
          <w:tcPr>
            <w:tcW w:w="4457" w:type="dxa"/>
          </w:tcPr>
          <w:p>
            <w:pPr/>
          </w:p>
        </w:tc>
        <w:tc>
          <w:tcPr>
            <w:tcW w:w="1315" w:type="dxa"/>
            <w:tcBorders>
              <w:top w:val="single" w:sz="1" w:space="0" w:color="000000"/>
              <w:bottom w:val="single" w:sz="1" w:space="0" w:color="000000"/>
            </w:tcBorders>
          </w:tcPr>
          <w:p>
            <w:pPr>
              <w:pStyle w:val="TableParagraph"/>
              <w:spacing w:before="123"/>
              <w:ind w:right="175"/>
              <w:jc w:val="right"/>
              <w:rPr>
                <w:b/>
                <w:sz w:val="16"/>
              </w:rPr>
            </w:pPr>
            <w:r>
              <w:rPr>
                <w:b/>
                <w:sz w:val="16"/>
              </w:rPr>
              <w:t>(17,579)</w:t>
            </w:r>
          </w:p>
        </w:tc>
        <w:tc>
          <w:tcPr>
            <w:tcW w:w="1206" w:type="dxa"/>
            <w:tcBorders>
              <w:top w:val="single" w:sz="1" w:space="0" w:color="000000"/>
              <w:bottom w:val="single" w:sz="1" w:space="0" w:color="000000"/>
            </w:tcBorders>
          </w:tcPr>
          <w:p>
            <w:pPr>
              <w:pStyle w:val="TableParagraph"/>
              <w:spacing w:before="123"/>
              <w:ind w:right="215"/>
              <w:jc w:val="right"/>
              <w:rPr>
                <w:b/>
                <w:sz w:val="16"/>
              </w:rPr>
            </w:pPr>
            <w:r>
              <w:rPr>
                <w:b/>
                <w:sz w:val="16"/>
              </w:rPr>
              <w:t>(2,321)</w:t>
            </w:r>
          </w:p>
        </w:tc>
        <w:tc>
          <w:tcPr>
            <w:tcW w:w="1166" w:type="dxa"/>
            <w:tcBorders>
              <w:top w:val="single" w:sz="1" w:space="0" w:color="000000"/>
              <w:bottom w:val="single" w:sz="1" w:space="0" w:color="000000"/>
            </w:tcBorders>
          </w:tcPr>
          <w:p>
            <w:pPr>
              <w:pStyle w:val="TableParagraph"/>
              <w:spacing w:before="123"/>
              <w:ind w:right="215"/>
              <w:jc w:val="right"/>
              <w:rPr>
                <w:b/>
                <w:sz w:val="16"/>
              </w:rPr>
            </w:pPr>
            <w:r>
              <w:rPr>
                <w:b/>
                <w:sz w:val="16"/>
              </w:rPr>
              <w:t>(15,761)</w:t>
            </w:r>
          </w:p>
        </w:tc>
        <w:tc>
          <w:tcPr>
            <w:tcW w:w="978" w:type="dxa"/>
            <w:tcBorders>
              <w:top w:val="single" w:sz="1" w:space="0" w:color="000000"/>
              <w:bottom w:val="single" w:sz="1" w:space="0" w:color="000000"/>
            </w:tcBorders>
          </w:tcPr>
          <w:p>
            <w:pPr>
              <w:pStyle w:val="TableParagraph"/>
              <w:spacing w:before="123"/>
              <w:ind w:right="26"/>
              <w:jc w:val="right"/>
              <w:rPr>
                <w:b/>
                <w:sz w:val="16"/>
              </w:rPr>
            </w:pPr>
            <w:r>
              <w:rPr>
                <w:b/>
                <w:sz w:val="16"/>
              </w:rPr>
              <w:t>(35,661)</w:t>
            </w:r>
          </w:p>
        </w:tc>
      </w:tr>
      <w:tr>
        <w:trPr>
          <w:trHeight w:val="331" w:hRule="exact"/>
        </w:trPr>
        <w:tc>
          <w:tcPr>
            <w:tcW w:w="429" w:type="dxa"/>
          </w:tcPr>
          <w:p>
            <w:pPr/>
          </w:p>
        </w:tc>
        <w:tc>
          <w:tcPr>
            <w:tcW w:w="4457" w:type="dxa"/>
          </w:tcPr>
          <w:p>
            <w:pPr>
              <w:pStyle w:val="TableParagraph"/>
              <w:spacing w:before="124"/>
              <w:ind w:left="211"/>
              <w:rPr>
                <w:b/>
                <w:sz w:val="16"/>
              </w:rPr>
            </w:pPr>
            <w:r>
              <w:rPr>
                <w:b/>
                <w:sz w:val="16"/>
              </w:rPr>
              <w:t>Closing defined benefit obligation</w:t>
            </w:r>
          </w:p>
        </w:tc>
        <w:tc>
          <w:tcPr>
            <w:tcW w:w="1315" w:type="dxa"/>
            <w:tcBorders>
              <w:top w:val="single" w:sz="1" w:space="0" w:color="000000"/>
              <w:bottom w:val="single" w:sz="1" w:space="0" w:color="000000"/>
            </w:tcBorders>
          </w:tcPr>
          <w:p>
            <w:pPr>
              <w:pStyle w:val="TableParagraph"/>
              <w:spacing w:before="123"/>
              <w:ind w:right="228"/>
              <w:jc w:val="right"/>
              <w:rPr>
                <w:b/>
                <w:sz w:val="16"/>
              </w:rPr>
            </w:pPr>
            <w:r>
              <w:rPr>
                <w:b/>
                <w:sz w:val="16"/>
              </w:rPr>
              <w:t>25,176</w:t>
            </w:r>
          </w:p>
        </w:tc>
        <w:tc>
          <w:tcPr>
            <w:tcW w:w="1206" w:type="dxa"/>
            <w:tcBorders>
              <w:top w:val="single" w:sz="1" w:space="0" w:color="000000"/>
              <w:bottom w:val="single" w:sz="1" w:space="0" w:color="000000"/>
            </w:tcBorders>
          </w:tcPr>
          <w:p>
            <w:pPr>
              <w:pStyle w:val="TableParagraph"/>
              <w:spacing w:before="123"/>
              <w:ind w:right="267"/>
              <w:jc w:val="right"/>
              <w:rPr>
                <w:b/>
                <w:sz w:val="16"/>
              </w:rPr>
            </w:pPr>
            <w:r>
              <w:rPr>
                <w:b/>
                <w:sz w:val="16"/>
              </w:rPr>
              <w:t>4,349</w:t>
            </w:r>
          </w:p>
        </w:tc>
        <w:tc>
          <w:tcPr>
            <w:tcW w:w="1166" w:type="dxa"/>
            <w:tcBorders>
              <w:top w:val="single" w:sz="1" w:space="0" w:color="000000"/>
              <w:bottom w:val="single" w:sz="1" w:space="0" w:color="000000"/>
            </w:tcBorders>
          </w:tcPr>
          <w:p>
            <w:pPr>
              <w:pStyle w:val="TableParagraph"/>
              <w:spacing w:before="123"/>
              <w:ind w:left="317"/>
              <w:rPr>
                <w:b/>
                <w:sz w:val="16"/>
              </w:rPr>
            </w:pPr>
            <w:r>
              <w:rPr>
                <w:b/>
                <w:sz w:val="16"/>
              </w:rPr>
              <w:t>409,545</w:t>
            </w:r>
          </w:p>
        </w:tc>
        <w:tc>
          <w:tcPr>
            <w:tcW w:w="978" w:type="dxa"/>
            <w:tcBorders>
              <w:top w:val="single" w:sz="1" w:space="0" w:color="000000"/>
              <w:bottom w:val="single" w:sz="1" w:space="0" w:color="000000"/>
            </w:tcBorders>
          </w:tcPr>
          <w:p>
            <w:pPr>
              <w:pStyle w:val="TableParagraph"/>
              <w:spacing w:before="123"/>
              <w:ind w:left="317"/>
              <w:rPr>
                <w:b/>
                <w:sz w:val="16"/>
              </w:rPr>
            </w:pPr>
            <w:r>
              <w:rPr>
                <w:b/>
                <w:sz w:val="16"/>
              </w:rPr>
              <w:t>439,070</w:t>
            </w:r>
          </w:p>
        </w:tc>
      </w:tr>
    </w:tbl>
    <w:p>
      <w:pPr>
        <w:pStyle w:val="BodyText"/>
        <w:rPr>
          <w:rFonts w:ascii="Times New Roman"/>
          <w:sz w:val="20"/>
        </w:rPr>
      </w:pPr>
    </w:p>
    <w:p>
      <w:pPr>
        <w:pStyle w:val="BodyText"/>
        <w:spacing w:before="10"/>
        <w:rPr>
          <w:rFonts w:ascii="Times New Roman"/>
          <w:sz w:val="27"/>
        </w:rPr>
      </w:pPr>
    </w:p>
    <w:tbl>
      <w:tblPr>
        <w:tblW w:w="0" w:type="auto"/>
        <w:jc w:val="left"/>
        <w:tblInd w:w="10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1"/>
        <w:gridCol w:w="1468"/>
        <w:gridCol w:w="1122"/>
        <w:gridCol w:w="1148"/>
        <w:gridCol w:w="927"/>
      </w:tblGrid>
      <w:tr>
        <w:trPr>
          <w:trHeight w:val="516" w:hRule="exact"/>
        </w:trPr>
        <w:tc>
          <w:tcPr>
            <w:tcW w:w="4281" w:type="dxa"/>
          </w:tcPr>
          <w:p>
            <w:pPr>
              <w:pStyle w:val="TableParagraph"/>
              <w:spacing w:before="80"/>
              <w:ind w:left="35"/>
              <w:rPr>
                <w:b/>
                <w:sz w:val="16"/>
              </w:rPr>
            </w:pPr>
            <w:r>
              <w:rPr>
                <w:b/>
                <w:sz w:val="16"/>
              </w:rPr>
              <w:t>Present value of plan assets - 2017</w:t>
            </w:r>
          </w:p>
          <w:p>
            <w:pPr>
              <w:pStyle w:val="TableParagraph"/>
              <w:spacing w:before="32"/>
              <w:ind w:left="35"/>
              <w:rPr>
                <w:sz w:val="16"/>
              </w:rPr>
            </w:pPr>
            <w:r>
              <w:rPr>
                <w:sz w:val="16"/>
              </w:rPr>
              <w:t>Opening fair value of plan assets</w:t>
            </w:r>
          </w:p>
        </w:tc>
        <w:tc>
          <w:tcPr>
            <w:tcW w:w="1468" w:type="dxa"/>
          </w:tcPr>
          <w:p>
            <w:pPr>
              <w:pStyle w:val="TableParagraph"/>
              <w:rPr>
                <w:rFonts w:ascii="Times New Roman"/>
                <w:sz w:val="16"/>
              </w:rPr>
            </w:pPr>
          </w:p>
          <w:p>
            <w:pPr>
              <w:pStyle w:val="TableParagraph"/>
              <w:spacing w:before="110"/>
              <w:ind w:right="380"/>
              <w:jc w:val="right"/>
              <w:rPr>
                <w:sz w:val="16"/>
              </w:rPr>
            </w:pPr>
            <w:r>
              <w:rPr>
                <w:sz w:val="16"/>
              </w:rPr>
              <w:t>27,654</w:t>
            </w:r>
          </w:p>
        </w:tc>
        <w:tc>
          <w:tcPr>
            <w:tcW w:w="1122" w:type="dxa"/>
          </w:tcPr>
          <w:p>
            <w:pPr>
              <w:pStyle w:val="TableParagraph"/>
              <w:rPr>
                <w:rFonts w:ascii="Times New Roman"/>
                <w:sz w:val="16"/>
              </w:rPr>
            </w:pPr>
          </w:p>
          <w:p>
            <w:pPr>
              <w:pStyle w:val="TableParagraph"/>
              <w:spacing w:before="110"/>
              <w:ind w:right="336"/>
              <w:jc w:val="right"/>
              <w:rPr>
                <w:sz w:val="16"/>
              </w:rPr>
            </w:pPr>
            <w:r>
              <w:rPr>
                <w:sz w:val="16"/>
              </w:rPr>
              <w:t>2,215</w:t>
            </w:r>
          </w:p>
        </w:tc>
        <w:tc>
          <w:tcPr>
            <w:tcW w:w="1148" w:type="dxa"/>
          </w:tcPr>
          <w:p>
            <w:pPr>
              <w:pStyle w:val="TableParagraph"/>
              <w:rPr>
                <w:rFonts w:ascii="Times New Roman"/>
                <w:sz w:val="16"/>
              </w:rPr>
            </w:pPr>
          </w:p>
          <w:p>
            <w:pPr>
              <w:pStyle w:val="TableParagraph"/>
              <w:spacing w:before="110"/>
              <w:ind w:left="338"/>
              <w:rPr>
                <w:sz w:val="16"/>
              </w:rPr>
            </w:pPr>
            <w:r>
              <w:rPr>
                <w:sz w:val="16"/>
              </w:rPr>
              <w:t>91,419</w:t>
            </w:r>
          </w:p>
        </w:tc>
        <w:tc>
          <w:tcPr>
            <w:tcW w:w="927" w:type="dxa"/>
          </w:tcPr>
          <w:p>
            <w:pPr>
              <w:pStyle w:val="TableParagraph"/>
              <w:rPr>
                <w:rFonts w:ascii="Times New Roman"/>
                <w:sz w:val="16"/>
              </w:rPr>
            </w:pPr>
          </w:p>
          <w:p>
            <w:pPr>
              <w:pStyle w:val="TableParagraph"/>
              <w:spacing w:before="110"/>
              <w:ind w:left="267"/>
              <w:rPr>
                <w:sz w:val="16"/>
              </w:rPr>
            </w:pPr>
            <w:r>
              <w:rPr>
                <w:sz w:val="16"/>
              </w:rPr>
              <w:t>121,288</w:t>
            </w:r>
          </w:p>
        </w:tc>
      </w:tr>
      <w:tr>
        <w:trPr>
          <w:trHeight w:val="241" w:hRule="exact"/>
        </w:trPr>
        <w:tc>
          <w:tcPr>
            <w:tcW w:w="4281" w:type="dxa"/>
          </w:tcPr>
          <w:p>
            <w:pPr>
              <w:pStyle w:val="TableParagraph"/>
              <w:spacing w:before="22"/>
              <w:ind w:left="35"/>
              <w:rPr>
                <w:sz w:val="16"/>
              </w:rPr>
            </w:pPr>
            <w:r>
              <w:rPr>
                <w:sz w:val="16"/>
              </w:rPr>
              <w:t>Interest expense / (income)</w:t>
            </w:r>
          </w:p>
        </w:tc>
        <w:tc>
          <w:tcPr>
            <w:tcW w:w="1468" w:type="dxa"/>
            <w:tcBorders>
              <w:bottom w:val="single" w:sz="1" w:space="0" w:color="000000"/>
            </w:tcBorders>
          </w:tcPr>
          <w:p>
            <w:pPr>
              <w:pStyle w:val="TableParagraph"/>
              <w:spacing w:before="20"/>
              <w:ind w:right="380"/>
              <w:jc w:val="right"/>
              <w:rPr>
                <w:sz w:val="16"/>
              </w:rPr>
            </w:pPr>
            <w:r>
              <w:rPr>
                <w:sz w:val="16"/>
              </w:rPr>
              <w:t>710</w:t>
            </w:r>
          </w:p>
        </w:tc>
        <w:tc>
          <w:tcPr>
            <w:tcW w:w="1122" w:type="dxa"/>
            <w:tcBorders>
              <w:bottom w:val="single" w:sz="1" w:space="0" w:color="000000"/>
            </w:tcBorders>
          </w:tcPr>
          <w:p>
            <w:pPr>
              <w:pStyle w:val="TableParagraph"/>
              <w:spacing w:before="20"/>
              <w:ind w:right="336"/>
              <w:jc w:val="right"/>
              <w:rPr>
                <w:sz w:val="16"/>
              </w:rPr>
            </w:pPr>
            <w:r>
              <w:rPr>
                <w:sz w:val="16"/>
              </w:rPr>
              <w:t>52</w:t>
            </w:r>
          </w:p>
        </w:tc>
        <w:tc>
          <w:tcPr>
            <w:tcW w:w="1148" w:type="dxa"/>
            <w:tcBorders>
              <w:bottom w:val="single" w:sz="1" w:space="0" w:color="000000"/>
            </w:tcBorders>
          </w:tcPr>
          <w:p>
            <w:pPr>
              <w:pStyle w:val="TableParagraph"/>
              <w:spacing w:before="20"/>
              <w:ind w:left="427"/>
              <w:rPr>
                <w:sz w:val="16"/>
              </w:rPr>
            </w:pPr>
            <w:r>
              <w:rPr>
                <w:sz w:val="16"/>
              </w:rPr>
              <w:t>2,296</w:t>
            </w:r>
          </w:p>
        </w:tc>
        <w:tc>
          <w:tcPr>
            <w:tcW w:w="927" w:type="dxa"/>
            <w:tcBorders>
              <w:bottom w:val="single" w:sz="1" w:space="0" w:color="000000"/>
            </w:tcBorders>
          </w:tcPr>
          <w:p>
            <w:pPr>
              <w:pStyle w:val="TableParagraph"/>
              <w:spacing w:before="20"/>
              <w:ind w:left="445"/>
              <w:rPr>
                <w:sz w:val="16"/>
              </w:rPr>
            </w:pPr>
            <w:r>
              <w:rPr>
                <w:sz w:val="16"/>
              </w:rPr>
              <w:t>3,058</w:t>
            </w:r>
          </w:p>
        </w:tc>
      </w:tr>
      <w:tr>
        <w:trPr>
          <w:trHeight w:val="317" w:hRule="exact"/>
        </w:trPr>
        <w:tc>
          <w:tcPr>
            <w:tcW w:w="4281" w:type="dxa"/>
          </w:tcPr>
          <w:p>
            <w:pPr/>
          </w:p>
        </w:tc>
        <w:tc>
          <w:tcPr>
            <w:tcW w:w="1468" w:type="dxa"/>
            <w:tcBorders>
              <w:top w:val="single" w:sz="1" w:space="0" w:color="000000"/>
              <w:bottom w:val="single" w:sz="1" w:space="0" w:color="000000"/>
            </w:tcBorders>
          </w:tcPr>
          <w:p>
            <w:pPr>
              <w:pStyle w:val="TableParagraph"/>
              <w:spacing w:before="123"/>
              <w:ind w:right="380"/>
              <w:jc w:val="right"/>
              <w:rPr>
                <w:b/>
                <w:sz w:val="16"/>
              </w:rPr>
            </w:pPr>
            <w:r>
              <w:rPr>
                <w:b/>
                <w:sz w:val="16"/>
              </w:rPr>
              <w:t>28,364</w:t>
            </w:r>
          </w:p>
        </w:tc>
        <w:tc>
          <w:tcPr>
            <w:tcW w:w="1122" w:type="dxa"/>
            <w:tcBorders>
              <w:top w:val="single" w:sz="1" w:space="0" w:color="000000"/>
              <w:bottom w:val="single" w:sz="1" w:space="0" w:color="000000"/>
            </w:tcBorders>
          </w:tcPr>
          <w:p>
            <w:pPr>
              <w:pStyle w:val="TableParagraph"/>
              <w:spacing w:before="123"/>
              <w:ind w:right="336"/>
              <w:jc w:val="right"/>
              <w:rPr>
                <w:b/>
                <w:sz w:val="16"/>
              </w:rPr>
            </w:pPr>
            <w:r>
              <w:rPr>
                <w:b/>
                <w:sz w:val="16"/>
              </w:rPr>
              <w:t>2,267</w:t>
            </w:r>
          </w:p>
        </w:tc>
        <w:tc>
          <w:tcPr>
            <w:tcW w:w="1148" w:type="dxa"/>
            <w:tcBorders>
              <w:top w:val="single" w:sz="1" w:space="0" w:color="000000"/>
              <w:bottom w:val="single" w:sz="1" w:space="0" w:color="000000"/>
            </w:tcBorders>
          </w:tcPr>
          <w:p>
            <w:pPr>
              <w:pStyle w:val="TableParagraph"/>
              <w:spacing w:before="123"/>
              <w:ind w:left="338"/>
              <w:rPr>
                <w:b/>
                <w:sz w:val="16"/>
              </w:rPr>
            </w:pPr>
            <w:r>
              <w:rPr>
                <w:b/>
                <w:sz w:val="16"/>
              </w:rPr>
              <w:t>93,715</w:t>
            </w:r>
          </w:p>
        </w:tc>
        <w:tc>
          <w:tcPr>
            <w:tcW w:w="927" w:type="dxa"/>
            <w:tcBorders>
              <w:top w:val="single" w:sz="1" w:space="0" w:color="000000"/>
              <w:bottom w:val="single" w:sz="1" w:space="0" w:color="000000"/>
            </w:tcBorders>
          </w:tcPr>
          <w:p>
            <w:pPr>
              <w:pStyle w:val="TableParagraph"/>
              <w:spacing w:before="123"/>
              <w:ind w:left="267"/>
              <w:rPr>
                <w:b/>
                <w:sz w:val="16"/>
              </w:rPr>
            </w:pPr>
            <w:r>
              <w:rPr>
                <w:b/>
                <w:sz w:val="16"/>
              </w:rPr>
              <w:t>124,346</w:t>
            </w:r>
          </w:p>
        </w:tc>
      </w:tr>
      <w:tr>
        <w:trPr>
          <w:trHeight w:val="331" w:hRule="exact"/>
        </w:trPr>
        <w:tc>
          <w:tcPr>
            <w:tcW w:w="4281" w:type="dxa"/>
          </w:tcPr>
          <w:p>
            <w:pPr>
              <w:pStyle w:val="TableParagraph"/>
              <w:spacing w:before="124"/>
              <w:ind w:left="35"/>
              <w:rPr>
                <w:b/>
                <w:sz w:val="16"/>
              </w:rPr>
            </w:pPr>
            <w:r>
              <w:rPr>
                <w:b/>
                <w:sz w:val="16"/>
              </w:rPr>
              <w:t>Remeasurements</w:t>
            </w:r>
          </w:p>
        </w:tc>
        <w:tc>
          <w:tcPr>
            <w:tcW w:w="1468" w:type="dxa"/>
            <w:tcBorders>
              <w:top w:val="single" w:sz="1" w:space="0" w:color="000000"/>
            </w:tcBorders>
          </w:tcPr>
          <w:p>
            <w:pPr/>
          </w:p>
        </w:tc>
        <w:tc>
          <w:tcPr>
            <w:tcW w:w="1122" w:type="dxa"/>
            <w:tcBorders>
              <w:top w:val="single" w:sz="1" w:space="0" w:color="000000"/>
            </w:tcBorders>
          </w:tcPr>
          <w:p>
            <w:pPr/>
          </w:p>
        </w:tc>
        <w:tc>
          <w:tcPr>
            <w:tcW w:w="1148" w:type="dxa"/>
            <w:tcBorders>
              <w:top w:val="single" w:sz="1" w:space="0" w:color="000000"/>
            </w:tcBorders>
          </w:tcPr>
          <w:p>
            <w:pPr/>
          </w:p>
        </w:tc>
        <w:tc>
          <w:tcPr>
            <w:tcW w:w="927" w:type="dxa"/>
            <w:tcBorders>
              <w:top w:val="single" w:sz="1" w:space="0" w:color="000000"/>
            </w:tcBorders>
          </w:tcPr>
          <w:p>
            <w:pPr/>
          </w:p>
        </w:tc>
      </w:tr>
      <w:tr>
        <w:trPr>
          <w:trHeight w:val="452" w:hRule="exact"/>
        </w:trPr>
        <w:tc>
          <w:tcPr>
            <w:tcW w:w="4281" w:type="dxa"/>
          </w:tcPr>
          <w:p>
            <w:pPr>
              <w:pStyle w:val="TableParagraph"/>
              <w:spacing w:before="5"/>
              <w:ind w:left="35" w:right="1046"/>
              <w:rPr>
                <w:sz w:val="16"/>
              </w:rPr>
            </w:pPr>
            <w:r>
              <w:rPr>
                <w:sz w:val="16"/>
              </w:rPr>
              <w:t>Return on plan assets, excluding amounts included in net interest expense</w:t>
            </w:r>
          </w:p>
        </w:tc>
        <w:tc>
          <w:tcPr>
            <w:tcW w:w="1468" w:type="dxa"/>
          </w:tcPr>
          <w:p>
            <w:pPr>
              <w:pStyle w:val="TableParagraph"/>
              <w:spacing w:before="3"/>
              <w:rPr>
                <w:rFonts w:ascii="Times New Roman"/>
                <w:sz w:val="16"/>
              </w:rPr>
            </w:pPr>
          </w:p>
          <w:p>
            <w:pPr>
              <w:pStyle w:val="TableParagraph"/>
              <w:spacing w:before="1"/>
              <w:ind w:right="380"/>
              <w:jc w:val="right"/>
              <w:rPr>
                <w:sz w:val="16"/>
              </w:rPr>
            </w:pPr>
            <w:r>
              <w:rPr>
                <w:sz w:val="16"/>
              </w:rPr>
              <w:t>711</w:t>
            </w:r>
          </w:p>
        </w:tc>
        <w:tc>
          <w:tcPr>
            <w:tcW w:w="1122" w:type="dxa"/>
          </w:tcPr>
          <w:p>
            <w:pPr>
              <w:pStyle w:val="TableParagraph"/>
              <w:spacing w:before="3"/>
              <w:rPr>
                <w:rFonts w:ascii="Times New Roman"/>
                <w:sz w:val="16"/>
              </w:rPr>
            </w:pPr>
          </w:p>
          <w:p>
            <w:pPr>
              <w:pStyle w:val="TableParagraph"/>
              <w:spacing w:before="1"/>
              <w:ind w:right="283"/>
              <w:jc w:val="right"/>
              <w:rPr>
                <w:sz w:val="16"/>
              </w:rPr>
            </w:pPr>
            <w:r>
              <w:rPr>
                <w:sz w:val="16"/>
              </w:rPr>
              <w:t>(41)</w:t>
            </w:r>
          </w:p>
        </w:tc>
        <w:tc>
          <w:tcPr>
            <w:tcW w:w="1148" w:type="dxa"/>
          </w:tcPr>
          <w:p>
            <w:pPr>
              <w:pStyle w:val="TableParagraph"/>
              <w:spacing w:before="3"/>
              <w:rPr>
                <w:rFonts w:ascii="Times New Roman"/>
                <w:sz w:val="16"/>
              </w:rPr>
            </w:pPr>
          </w:p>
          <w:p>
            <w:pPr>
              <w:pStyle w:val="TableParagraph"/>
              <w:spacing w:before="1"/>
              <w:ind w:left="561"/>
              <w:rPr>
                <w:sz w:val="16"/>
              </w:rPr>
            </w:pPr>
            <w:r>
              <w:rPr>
                <w:sz w:val="16"/>
              </w:rPr>
              <w:t>499</w:t>
            </w:r>
          </w:p>
        </w:tc>
        <w:tc>
          <w:tcPr>
            <w:tcW w:w="927" w:type="dxa"/>
          </w:tcPr>
          <w:p>
            <w:pPr>
              <w:pStyle w:val="TableParagraph"/>
              <w:spacing w:before="3"/>
              <w:rPr>
                <w:rFonts w:ascii="Times New Roman"/>
                <w:sz w:val="16"/>
              </w:rPr>
            </w:pPr>
          </w:p>
          <w:p>
            <w:pPr>
              <w:pStyle w:val="TableParagraph"/>
              <w:spacing w:before="1"/>
              <w:ind w:left="445"/>
              <w:rPr>
                <w:sz w:val="16"/>
              </w:rPr>
            </w:pPr>
            <w:r>
              <w:rPr>
                <w:sz w:val="16"/>
              </w:rPr>
              <w:t>1,169</w:t>
            </w:r>
          </w:p>
        </w:tc>
      </w:tr>
      <w:tr>
        <w:trPr>
          <w:trHeight w:val="269" w:hRule="exact"/>
        </w:trPr>
        <w:tc>
          <w:tcPr>
            <w:tcW w:w="4281" w:type="dxa"/>
          </w:tcPr>
          <w:p>
            <w:pPr>
              <w:pStyle w:val="TableParagraph"/>
              <w:spacing w:before="62"/>
              <w:ind w:left="35"/>
              <w:rPr>
                <w:b/>
                <w:sz w:val="16"/>
              </w:rPr>
            </w:pPr>
            <w:r>
              <w:rPr>
                <w:b/>
                <w:sz w:val="16"/>
              </w:rPr>
              <w:t>Contributions</w:t>
            </w:r>
          </w:p>
        </w:tc>
        <w:tc>
          <w:tcPr>
            <w:tcW w:w="1468" w:type="dxa"/>
          </w:tcPr>
          <w:p>
            <w:pPr/>
          </w:p>
        </w:tc>
        <w:tc>
          <w:tcPr>
            <w:tcW w:w="1122" w:type="dxa"/>
          </w:tcPr>
          <w:p>
            <w:pPr/>
          </w:p>
        </w:tc>
        <w:tc>
          <w:tcPr>
            <w:tcW w:w="1148" w:type="dxa"/>
          </w:tcPr>
          <w:p>
            <w:pPr/>
          </w:p>
        </w:tc>
        <w:tc>
          <w:tcPr>
            <w:tcW w:w="927" w:type="dxa"/>
          </w:tcPr>
          <w:p>
            <w:pPr/>
          </w:p>
        </w:tc>
      </w:tr>
      <w:tr>
        <w:trPr>
          <w:trHeight w:val="229" w:hRule="exact"/>
        </w:trPr>
        <w:tc>
          <w:tcPr>
            <w:tcW w:w="4281" w:type="dxa"/>
          </w:tcPr>
          <w:p>
            <w:pPr>
              <w:pStyle w:val="TableParagraph"/>
              <w:spacing w:before="9"/>
              <w:ind w:left="35"/>
              <w:rPr>
                <w:sz w:val="16"/>
              </w:rPr>
            </w:pPr>
            <w:r>
              <w:rPr>
                <w:sz w:val="16"/>
              </w:rPr>
              <w:t>Employers</w:t>
            </w:r>
          </w:p>
        </w:tc>
        <w:tc>
          <w:tcPr>
            <w:tcW w:w="1468" w:type="dxa"/>
          </w:tcPr>
          <w:p>
            <w:pPr>
              <w:pStyle w:val="TableParagraph"/>
              <w:spacing w:before="6"/>
              <w:ind w:right="380"/>
              <w:jc w:val="right"/>
              <w:rPr>
                <w:sz w:val="16"/>
              </w:rPr>
            </w:pPr>
            <w:r>
              <w:rPr>
                <w:sz w:val="16"/>
              </w:rPr>
              <w:t>556</w:t>
            </w:r>
          </w:p>
        </w:tc>
        <w:tc>
          <w:tcPr>
            <w:tcW w:w="1122" w:type="dxa"/>
          </w:tcPr>
          <w:p>
            <w:pPr>
              <w:pStyle w:val="TableParagraph"/>
              <w:spacing w:before="6"/>
              <w:ind w:right="336"/>
              <w:jc w:val="right"/>
              <w:rPr>
                <w:sz w:val="16"/>
              </w:rPr>
            </w:pPr>
            <w:r>
              <w:rPr>
                <w:sz w:val="16"/>
              </w:rPr>
              <w:t>200</w:t>
            </w:r>
          </w:p>
        </w:tc>
        <w:tc>
          <w:tcPr>
            <w:tcW w:w="1148" w:type="dxa"/>
          </w:tcPr>
          <w:p>
            <w:pPr>
              <w:pStyle w:val="TableParagraph"/>
              <w:spacing w:before="6"/>
              <w:ind w:right="318"/>
              <w:jc w:val="right"/>
              <w:rPr>
                <w:sz w:val="16"/>
              </w:rPr>
            </w:pPr>
            <w:r>
              <w:rPr>
                <w:sz w:val="16"/>
              </w:rPr>
              <w:t>84</w:t>
            </w:r>
          </w:p>
        </w:tc>
        <w:tc>
          <w:tcPr>
            <w:tcW w:w="927" w:type="dxa"/>
          </w:tcPr>
          <w:p>
            <w:pPr>
              <w:pStyle w:val="TableParagraph"/>
              <w:spacing w:before="6"/>
              <w:ind w:right="79"/>
              <w:jc w:val="right"/>
              <w:rPr>
                <w:sz w:val="16"/>
              </w:rPr>
            </w:pPr>
            <w:r>
              <w:rPr>
                <w:sz w:val="16"/>
              </w:rPr>
              <w:t>840</w:t>
            </w:r>
          </w:p>
        </w:tc>
      </w:tr>
      <w:tr>
        <w:trPr>
          <w:trHeight w:val="241" w:hRule="exact"/>
        </w:trPr>
        <w:tc>
          <w:tcPr>
            <w:tcW w:w="4281" w:type="dxa"/>
          </w:tcPr>
          <w:p>
            <w:pPr>
              <w:pStyle w:val="TableParagraph"/>
              <w:spacing w:before="22"/>
              <w:ind w:left="35"/>
              <w:rPr>
                <w:sz w:val="16"/>
              </w:rPr>
            </w:pPr>
            <w:r>
              <w:rPr>
                <w:sz w:val="16"/>
              </w:rPr>
              <w:t>Plan participants</w:t>
            </w:r>
          </w:p>
        </w:tc>
        <w:tc>
          <w:tcPr>
            <w:tcW w:w="1468" w:type="dxa"/>
            <w:tcBorders>
              <w:bottom w:val="single" w:sz="1" w:space="0" w:color="000000"/>
            </w:tcBorders>
          </w:tcPr>
          <w:p>
            <w:pPr>
              <w:pStyle w:val="TableParagraph"/>
              <w:spacing w:before="20"/>
              <w:ind w:right="380"/>
              <w:jc w:val="right"/>
              <w:rPr>
                <w:sz w:val="16"/>
              </w:rPr>
            </w:pPr>
            <w:r>
              <w:rPr>
                <w:sz w:val="16"/>
              </w:rPr>
              <w:t>483</w:t>
            </w:r>
          </w:p>
        </w:tc>
        <w:tc>
          <w:tcPr>
            <w:tcW w:w="1122" w:type="dxa"/>
            <w:tcBorders>
              <w:bottom w:val="single" w:sz="1" w:space="0" w:color="000000"/>
            </w:tcBorders>
          </w:tcPr>
          <w:p>
            <w:pPr>
              <w:pStyle w:val="TableParagraph"/>
              <w:spacing w:before="20"/>
              <w:ind w:right="335"/>
              <w:jc w:val="right"/>
              <w:rPr>
                <w:sz w:val="16"/>
              </w:rPr>
            </w:pPr>
            <w:r>
              <w:rPr>
                <w:w w:val="100"/>
                <w:sz w:val="16"/>
              </w:rPr>
              <w:t>-</w:t>
            </w:r>
          </w:p>
        </w:tc>
        <w:tc>
          <w:tcPr>
            <w:tcW w:w="1148" w:type="dxa"/>
            <w:tcBorders>
              <w:bottom w:val="single" w:sz="1" w:space="0" w:color="000000"/>
            </w:tcBorders>
          </w:tcPr>
          <w:p>
            <w:pPr>
              <w:pStyle w:val="TableParagraph"/>
              <w:spacing w:before="20"/>
              <w:ind w:right="318"/>
              <w:jc w:val="right"/>
              <w:rPr>
                <w:sz w:val="16"/>
              </w:rPr>
            </w:pPr>
            <w:r>
              <w:rPr>
                <w:sz w:val="16"/>
              </w:rPr>
              <w:t>98</w:t>
            </w:r>
          </w:p>
        </w:tc>
        <w:tc>
          <w:tcPr>
            <w:tcW w:w="927" w:type="dxa"/>
            <w:tcBorders>
              <w:bottom w:val="single" w:sz="1" w:space="0" w:color="000000"/>
            </w:tcBorders>
          </w:tcPr>
          <w:p>
            <w:pPr>
              <w:pStyle w:val="TableParagraph"/>
              <w:spacing w:before="20"/>
              <w:ind w:right="79"/>
              <w:jc w:val="right"/>
              <w:rPr>
                <w:sz w:val="16"/>
              </w:rPr>
            </w:pPr>
            <w:r>
              <w:rPr>
                <w:sz w:val="16"/>
              </w:rPr>
              <w:t>581</w:t>
            </w:r>
          </w:p>
        </w:tc>
      </w:tr>
      <w:tr>
        <w:trPr>
          <w:trHeight w:val="317" w:hRule="exact"/>
        </w:trPr>
        <w:tc>
          <w:tcPr>
            <w:tcW w:w="4281" w:type="dxa"/>
          </w:tcPr>
          <w:p>
            <w:pPr/>
          </w:p>
        </w:tc>
        <w:tc>
          <w:tcPr>
            <w:tcW w:w="1468" w:type="dxa"/>
            <w:tcBorders>
              <w:top w:val="single" w:sz="1" w:space="0" w:color="000000"/>
              <w:bottom w:val="single" w:sz="1" w:space="0" w:color="000000"/>
            </w:tcBorders>
          </w:tcPr>
          <w:p>
            <w:pPr>
              <w:pStyle w:val="TableParagraph"/>
              <w:spacing w:before="123"/>
              <w:ind w:right="380"/>
              <w:jc w:val="right"/>
              <w:rPr>
                <w:b/>
                <w:sz w:val="16"/>
              </w:rPr>
            </w:pPr>
            <w:r>
              <w:rPr>
                <w:b/>
                <w:sz w:val="16"/>
              </w:rPr>
              <w:t>1,039</w:t>
            </w:r>
          </w:p>
        </w:tc>
        <w:tc>
          <w:tcPr>
            <w:tcW w:w="1122" w:type="dxa"/>
            <w:tcBorders>
              <w:top w:val="single" w:sz="1" w:space="0" w:color="000000"/>
              <w:bottom w:val="single" w:sz="1" w:space="0" w:color="000000"/>
            </w:tcBorders>
          </w:tcPr>
          <w:p>
            <w:pPr>
              <w:pStyle w:val="TableParagraph"/>
              <w:spacing w:before="123"/>
              <w:ind w:right="336"/>
              <w:jc w:val="right"/>
              <w:rPr>
                <w:b/>
                <w:sz w:val="16"/>
              </w:rPr>
            </w:pPr>
            <w:r>
              <w:rPr>
                <w:b/>
                <w:sz w:val="16"/>
              </w:rPr>
              <w:t>200</w:t>
            </w:r>
          </w:p>
        </w:tc>
        <w:tc>
          <w:tcPr>
            <w:tcW w:w="1148" w:type="dxa"/>
            <w:tcBorders>
              <w:top w:val="single" w:sz="1" w:space="0" w:color="000000"/>
              <w:bottom w:val="single" w:sz="1" w:space="0" w:color="000000"/>
            </w:tcBorders>
          </w:tcPr>
          <w:p>
            <w:pPr>
              <w:pStyle w:val="TableParagraph"/>
              <w:spacing w:before="123"/>
              <w:ind w:left="561"/>
              <w:rPr>
                <w:b/>
                <w:sz w:val="16"/>
              </w:rPr>
            </w:pPr>
            <w:r>
              <w:rPr>
                <w:b/>
                <w:sz w:val="16"/>
              </w:rPr>
              <w:t>182</w:t>
            </w:r>
          </w:p>
        </w:tc>
        <w:tc>
          <w:tcPr>
            <w:tcW w:w="927" w:type="dxa"/>
            <w:tcBorders>
              <w:top w:val="single" w:sz="1" w:space="0" w:color="000000"/>
              <w:bottom w:val="single" w:sz="1" w:space="0" w:color="000000"/>
            </w:tcBorders>
          </w:tcPr>
          <w:p>
            <w:pPr>
              <w:pStyle w:val="TableParagraph"/>
              <w:spacing w:before="123"/>
              <w:ind w:left="445"/>
              <w:rPr>
                <w:b/>
                <w:sz w:val="16"/>
              </w:rPr>
            </w:pPr>
            <w:r>
              <w:rPr>
                <w:b/>
                <w:sz w:val="16"/>
              </w:rPr>
              <w:t>1,421</w:t>
            </w:r>
          </w:p>
        </w:tc>
      </w:tr>
      <w:tr>
        <w:trPr>
          <w:trHeight w:val="332" w:hRule="exact"/>
        </w:trPr>
        <w:tc>
          <w:tcPr>
            <w:tcW w:w="4281" w:type="dxa"/>
          </w:tcPr>
          <w:p>
            <w:pPr>
              <w:pStyle w:val="TableParagraph"/>
              <w:spacing w:before="124"/>
              <w:ind w:left="35"/>
              <w:rPr>
                <w:b/>
                <w:sz w:val="16"/>
              </w:rPr>
            </w:pPr>
            <w:r>
              <w:rPr>
                <w:b/>
                <w:sz w:val="16"/>
              </w:rPr>
              <w:t>Payments from plan</w:t>
            </w:r>
          </w:p>
        </w:tc>
        <w:tc>
          <w:tcPr>
            <w:tcW w:w="1468" w:type="dxa"/>
            <w:tcBorders>
              <w:top w:val="single" w:sz="1" w:space="0" w:color="000000"/>
            </w:tcBorders>
          </w:tcPr>
          <w:p>
            <w:pPr/>
          </w:p>
        </w:tc>
        <w:tc>
          <w:tcPr>
            <w:tcW w:w="1122" w:type="dxa"/>
            <w:tcBorders>
              <w:top w:val="single" w:sz="1" w:space="0" w:color="000000"/>
            </w:tcBorders>
          </w:tcPr>
          <w:p>
            <w:pPr/>
          </w:p>
        </w:tc>
        <w:tc>
          <w:tcPr>
            <w:tcW w:w="1148" w:type="dxa"/>
            <w:tcBorders>
              <w:top w:val="single" w:sz="1" w:space="0" w:color="000000"/>
            </w:tcBorders>
          </w:tcPr>
          <w:p>
            <w:pPr/>
          </w:p>
        </w:tc>
        <w:tc>
          <w:tcPr>
            <w:tcW w:w="927" w:type="dxa"/>
            <w:tcBorders>
              <w:top w:val="single" w:sz="1" w:space="0" w:color="000000"/>
            </w:tcBorders>
          </w:tcPr>
          <w:p>
            <w:pPr/>
          </w:p>
        </w:tc>
      </w:tr>
      <w:tr>
        <w:trPr>
          <w:trHeight w:val="229" w:hRule="exact"/>
        </w:trPr>
        <w:tc>
          <w:tcPr>
            <w:tcW w:w="4281" w:type="dxa"/>
          </w:tcPr>
          <w:p>
            <w:pPr>
              <w:pStyle w:val="TableParagraph"/>
              <w:spacing w:before="9"/>
              <w:ind w:left="35"/>
              <w:rPr>
                <w:sz w:val="16"/>
              </w:rPr>
            </w:pPr>
            <w:r>
              <w:rPr>
                <w:sz w:val="16"/>
              </w:rPr>
              <w:t>Benefits paid</w:t>
            </w:r>
          </w:p>
        </w:tc>
        <w:tc>
          <w:tcPr>
            <w:tcW w:w="1468" w:type="dxa"/>
          </w:tcPr>
          <w:p>
            <w:pPr>
              <w:pStyle w:val="TableParagraph"/>
              <w:spacing w:before="6"/>
              <w:ind w:right="327"/>
              <w:jc w:val="right"/>
              <w:rPr>
                <w:sz w:val="16"/>
              </w:rPr>
            </w:pPr>
            <w:r>
              <w:rPr>
                <w:sz w:val="16"/>
              </w:rPr>
              <w:t>(17,417)</w:t>
            </w:r>
          </w:p>
        </w:tc>
        <w:tc>
          <w:tcPr>
            <w:tcW w:w="1122" w:type="dxa"/>
          </w:tcPr>
          <w:p>
            <w:pPr>
              <w:pStyle w:val="TableParagraph"/>
              <w:spacing w:before="6"/>
              <w:ind w:right="283"/>
              <w:jc w:val="right"/>
              <w:rPr>
                <w:sz w:val="16"/>
              </w:rPr>
            </w:pPr>
            <w:r>
              <w:rPr>
                <w:sz w:val="16"/>
              </w:rPr>
              <w:t>(2,075)</w:t>
            </w:r>
          </w:p>
        </w:tc>
        <w:tc>
          <w:tcPr>
            <w:tcW w:w="1148" w:type="dxa"/>
          </w:tcPr>
          <w:p>
            <w:pPr>
              <w:pStyle w:val="TableParagraph"/>
              <w:spacing w:before="6"/>
              <w:ind w:left="285"/>
              <w:rPr>
                <w:sz w:val="16"/>
              </w:rPr>
            </w:pPr>
            <w:r>
              <w:rPr>
                <w:sz w:val="16"/>
              </w:rPr>
              <w:t>(18,151)</w:t>
            </w:r>
          </w:p>
        </w:tc>
        <w:tc>
          <w:tcPr>
            <w:tcW w:w="927" w:type="dxa"/>
          </w:tcPr>
          <w:p>
            <w:pPr>
              <w:pStyle w:val="TableParagraph"/>
              <w:spacing w:before="6"/>
              <w:ind w:right="26"/>
              <w:jc w:val="right"/>
              <w:rPr>
                <w:sz w:val="16"/>
              </w:rPr>
            </w:pPr>
            <w:r>
              <w:rPr>
                <w:sz w:val="16"/>
              </w:rPr>
              <w:t>(37,643)</w:t>
            </w:r>
          </w:p>
        </w:tc>
      </w:tr>
      <w:tr>
        <w:trPr>
          <w:trHeight w:val="241" w:hRule="exact"/>
        </w:trPr>
        <w:tc>
          <w:tcPr>
            <w:tcW w:w="4281" w:type="dxa"/>
          </w:tcPr>
          <w:p>
            <w:pPr>
              <w:pStyle w:val="TableParagraph"/>
              <w:spacing w:before="22"/>
              <w:ind w:left="35"/>
              <w:rPr>
                <w:sz w:val="16"/>
              </w:rPr>
            </w:pPr>
            <w:r>
              <w:rPr>
                <w:sz w:val="16"/>
              </w:rPr>
              <w:t>Taxes, premiums and expenses paid</w:t>
            </w:r>
          </w:p>
        </w:tc>
        <w:tc>
          <w:tcPr>
            <w:tcW w:w="1468" w:type="dxa"/>
            <w:tcBorders>
              <w:bottom w:val="single" w:sz="1" w:space="0" w:color="000000"/>
            </w:tcBorders>
          </w:tcPr>
          <w:p>
            <w:pPr>
              <w:pStyle w:val="TableParagraph"/>
              <w:spacing w:before="20"/>
              <w:ind w:right="328"/>
              <w:jc w:val="right"/>
              <w:rPr>
                <w:sz w:val="16"/>
              </w:rPr>
            </w:pPr>
            <w:r>
              <w:rPr>
                <w:sz w:val="16"/>
              </w:rPr>
              <w:t>(162)</w:t>
            </w:r>
          </w:p>
        </w:tc>
        <w:tc>
          <w:tcPr>
            <w:tcW w:w="1122" w:type="dxa"/>
            <w:tcBorders>
              <w:bottom w:val="single" w:sz="1" w:space="0" w:color="000000"/>
            </w:tcBorders>
          </w:tcPr>
          <w:p>
            <w:pPr>
              <w:pStyle w:val="TableParagraph"/>
              <w:spacing w:before="20"/>
              <w:ind w:right="283"/>
              <w:jc w:val="right"/>
              <w:rPr>
                <w:sz w:val="16"/>
              </w:rPr>
            </w:pPr>
            <w:r>
              <w:rPr>
                <w:sz w:val="16"/>
              </w:rPr>
              <w:t>(246)</w:t>
            </w:r>
          </w:p>
        </w:tc>
        <w:tc>
          <w:tcPr>
            <w:tcW w:w="1148" w:type="dxa"/>
            <w:tcBorders>
              <w:bottom w:val="single" w:sz="1" w:space="0" w:color="000000"/>
            </w:tcBorders>
          </w:tcPr>
          <w:p>
            <w:pPr>
              <w:pStyle w:val="TableParagraph"/>
              <w:spacing w:before="20"/>
              <w:ind w:left="427"/>
              <w:rPr>
                <w:sz w:val="16"/>
              </w:rPr>
            </w:pPr>
            <w:r>
              <w:rPr>
                <w:sz w:val="16"/>
              </w:rPr>
              <w:t>2,390</w:t>
            </w:r>
          </w:p>
        </w:tc>
        <w:tc>
          <w:tcPr>
            <w:tcW w:w="927" w:type="dxa"/>
            <w:tcBorders>
              <w:bottom w:val="single" w:sz="1" w:space="0" w:color="000000"/>
            </w:tcBorders>
          </w:tcPr>
          <w:p>
            <w:pPr>
              <w:pStyle w:val="TableParagraph"/>
              <w:spacing w:before="20"/>
              <w:ind w:left="445"/>
              <w:rPr>
                <w:sz w:val="16"/>
              </w:rPr>
            </w:pPr>
            <w:r>
              <w:rPr>
                <w:sz w:val="16"/>
              </w:rPr>
              <w:t>1,982</w:t>
            </w:r>
          </w:p>
        </w:tc>
      </w:tr>
      <w:tr>
        <w:trPr>
          <w:trHeight w:val="317" w:hRule="exact"/>
        </w:trPr>
        <w:tc>
          <w:tcPr>
            <w:tcW w:w="4281" w:type="dxa"/>
          </w:tcPr>
          <w:p>
            <w:pPr/>
          </w:p>
        </w:tc>
        <w:tc>
          <w:tcPr>
            <w:tcW w:w="1468" w:type="dxa"/>
            <w:tcBorders>
              <w:top w:val="single" w:sz="1" w:space="0" w:color="000000"/>
              <w:bottom w:val="single" w:sz="1" w:space="0" w:color="000000"/>
            </w:tcBorders>
          </w:tcPr>
          <w:p>
            <w:pPr>
              <w:pStyle w:val="TableParagraph"/>
              <w:spacing w:before="123"/>
              <w:ind w:right="327"/>
              <w:jc w:val="right"/>
              <w:rPr>
                <w:b/>
                <w:sz w:val="16"/>
              </w:rPr>
            </w:pPr>
            <w:r>
              <w:rPr>
                <w:b/>
                <w:sz w:val="16"/>
              </w:rPr>
              <w:t>(17,579)</w:t>
            </w:r>
          </w:p>
        </w:tc>
        <w:tc>
          <w:tcPr>
            <w:tcW w:w="1122" w:type="dxa"/>
            <w:tcBorders>
              <w:top w:val="single" w:sz="1" w:space="0" w:color="000000"/>
              <w:bottom w:val="single" w:sz="1" w:space="0" w:color="000000"/>
            </w:tcBorders>
          </w:tcPr>
          <w:p>
            <w:pPr>
              <w:pStyle w:val="TableParagraph"/>
              <w:spacing w:before="123"/>
              <w:ind w:right="283"/>
              <w:jc w:val="right"/>
              <w:rPr>
                <w:b/>
                <w:sz w:val="16"/>
              </w:rPr>
            </w:pPr>
            <w:r>
              <w:rPr>
                <w:b/>
                <w:sz w:val="16"/>
              </w:rPr>
              <w:t>(2,321)</w:t>
            </w:r>
          </w:p>
        </w:tc>
        <w:tc>
          <w:tcPr>
            <w:tcW w:w="1148" w:type="dxa"/>
            <w:tcBorders>
              <w:top w:val="single" w:sz="1" w:space="0" w:color="000000"/>
              <w:bottom w:val="single" w:sz="1" w:space="0" w:color="000000"/>
            </w:tcBorders>
          </w:tcPr>
          <w:p>
            <w:pPr>
              <w:pStyle w:val="TableParagraph"/>
              <w:spacing w:before="123"/>
              <w:ind w:left="285"/>
              <w:rPr>
                <w:b/>
                <w:sz w:val="16"/>
              </w:rPr>
            </w:pPr>
            <w:r>
              <w:rPr>
                <w:b/>
                <w:sz w:val="16"/>
              </w:rPr>
              <w:t>(15,761)</w:t>
            </w:r>
          </w:p>
        </w:tc>
        <w:tc>
          <w:tcPr>
            <w:tcW w:w="927" w:type="dxa"/>
            <w:tcBorders>
              <w:top w:val="single" w:sz="1" w:space="0" w:color="000000"/>
              <w:bottom w:val="single" w:sz="1" w:space="0" w:color="000000"/>
            </w:tcBorders>
          </w:tcPr>
          <w:p>
            <w:pPr>
              <w:pStyle w:val="TableParagraph"/>
              <w:spacing w:before="123"/>
              <w:ind w:right="26"/>
              <w:jc w:val="right"/>
              <w:rPr>
                <w:b/>
                <w:sz w:val="16"/>
              </w:rPr>
            </w:pPr>
            <w:r>
              <w:rPr>
                <w:b/>
                <w:sz w:val="16"/>
              </w:rPr>
              <w:t>(35,661)</w:t>
            </w:r>
          </w:p>
        </w:tc>
      </w:tr>
      <w:tr>
        <w:trPr>
          <w:trHeight w:val="331" w:hRule="exact"/>
        </w:trPr>
        <w:tc>
          <w:tcPr>
            <w:tcW w:w="4281" w:type="dxa"/>
          </w:tcPr>
          <w:p>
            <w:pPr>
              <w:pStyle w:val="TableParagraph"/>
              <w:spacing w:before="124"/>
              <w:ind w:left="35"/>
              <w:rPr>
                <w:b/>
                <w:sz w:val="16"/>
              </w:rPr>
            </w:pPr>
            <w:r>
              <w:rPr>
                <w:b/>
                <w:sz w:val="16"/>
              </w:rPr>
              <w:t>Closing fair value of plans assets</w:t>
            </w:r>
          </w:p>
        </w:tc>
        <w:tc>
          <w:tcPr>
            <w:tcW w:w="1468" w:type="dxa"/>
            <w:tcBorders>
              <w:top w:val="single" w:sz="1" w:space="0" w:color="000000"/>
              <w:bottom w:val="single" w:sz="1" w:space="0" w:color="000000"/>
            </w:tcBorders>
          </w:tcPr>
          <w:p>
            <w:pPr>
              <w:pStyle w:val="TableParagraph"/>
              <w:spacing w:before="123"/>
              <w:ind w:right="380"/>
              <w:jc w:val="right"/>
              <w:rPr>
                <w:b/>
                <w:sz w:val="16"/>
              </w:rPr>
            </w:pPr>
            <w:r>
              <w:rPr>
                <w:b/>
                <w:sz w:val="16"/>
              </w:rPr>
              <w:t>12,535</w:t>
            </w:r>
          </w:p>
        </w:tc>
        <w:tc>
          <w:tcPr>
            <w:tcW w:w="1122" w:type="dxa"/>
            <w:tcBorders>
              <w:top w:val="single" w:sz="1" w:space="0" w:color="000000"/>
              <w:bottom w:val="single" w:sz="1" w:space="0" w:color="000000"/>
            </w:tcBorders>
          </w:tcPr>
          <w:p>
            <w:pPr>
              <w:pStyle w:val="TableParagraph"/>
              <w:spacing w:before="123"/>
              <w:ind w:right="336"/>
              <w:jc w:val="right"/>
              <w:rPr>
                <w:b/>
                <w:sz w:val="16"/>
              </w:rPr>
            </w:pPr>
            <w:r>
              <w:rPr>
                <w:b/>
                <w:sz w:val="16"/>
              </w:rPr>
              <w:t>105</w:t>
            </w:r>
          </w:p>
        </w:tc>
        <w:tc>
          <w:tcPr>
            <w:tcW w:w="1148" w:type="dxa"/>
            <w:tcBorders>
              <w:top w:val="single" w:sz="1" w:space="0" w:color="000000"/>
              <w:bottom w:val="single" w:sz="1" w:space="0" w:color="000000"/>
            </w:tcBorders>
          </w:tcPr>
          <w:p>
            <w:pPr>
              <w:pStyle w:val="TableParagraph"/>
              <w:spacing w:before="123"/>
              <w:ind w:left="338"/>
              <w:rPr>
                <w:b/>
                <w:sz w:val="16"/>
              </w:rPr>
            </w:pPr>
            <w:r>
              <w:rPr>
                <w:b/>
                <w:sz w:val="16"/>
              </w:rPr>
              <w:t>78,635</w:t>
            </w:r>
          </w:p>
        </w:tc>
        <w:tc>
          <w:tcPr>
            <w:tcW w:w="927" w:type="dxa"/>
            <w:tcBorders>
              <w:top w:val="single" w:sz="1" w:space="0" w:color="000000"/>
              <w:bottom w:val="single" w:sz="1" w:space="0" w:color="000000"/>
            </w:tcBorders>
          </w:tcPr>
          <w:p>
            <w:pPr>
              <w:pStyle w:val="TableParagraph"/>
              <w:spacing w:before="123"/>
              <w:ind w:left="356"/>
              <w:rPr>
                <w:b/>
                <w:sz w:val="16"/>
              </w:rPr>
            </w:pPr>
            <w:r>
              <w:rPr>
                <w:b/>
                <w:sz w:val="16"/>
              </w:rPr>
              <w:t>91,275</w:t>
            </w:r>
          </w:p>
        </w:tc>
      </w:tr>
    </w:tbl>
    <w:p>
      <w:pPr>
        <w:spacing w:after="0"/>
        <w:rPr>
          <w:sz w:val="16"/>
        </w:rPr>
        <w:sectPr>
          <w:pgSz w:w="11910" w:h="16840"/>
          <w:pgMar w:header="1037" w:footer="485" w:top="2220" w:bottom="700" w:left="900" w:right="880"/>
        </w:sectPr>
      </w:pPr>
    </w:p>
    <w:p>
      <w:pPr>
        <w:pStyle w:val="BodyText"/>
        <w:rPr>
          <w:rFonts w:ascii="Times New Roman"/>
          <w:sz w:val="20"/>
        </w:rPr>
      </w:pPr>
    </w:p>
    <w:p>
      <w:pPr>
        <w:pStyle w:val="BodyText"/>
        <w:rPr>
          <w:rFonts w:ascii="Times New Roman"/>
          <w:sz w:val="20"/>
        </w:rPr>
      </w:pPr>
    </w:p>
    <w:p>
      <w:pPr>
        <w:pStyle w:val="BodyText"/>
        <w:spacing w:before="5"/>
        <w:rPr>
          <w:rFonts w:ascii="Times New Roman"/>
        </w:rPr>
      </w:pPr>
    </w:p>
    <w:p>
      <w:pPr>
        <w:pStyle w:val="Heading9"/>
        <w:tabs>
          <w:tab w:pos="1070" w:val="left" w:leader="none"/>
        </w:tabs>
        <w:ind w:left="504" w:right="220"/>
      </w:pPr>
      <w:r>
        <w:rPr/>
        <w:t>41</w:t>
        <w:tab/>
        <w:t>Defined Benefits Plans (continued)</w:t>
      </w:r>
    </w:p>
    <w:p>
      <w:pPr>
        <w:pStyle w:val="BodyText"/>
        <w:spacing w:before="7"/>
        <w:rPr>
          <w:b/>
          <w:sz w:val="26"/>
        </w:rPr>
      </w:pPr>
    </w:p>
    <w:p>
      <w:pPr>
        <w:pStyle w:val="BodyText"/>
        <w:tabs>
          <w:tab w:pos="1070" w:val="left" w:leader="none"/>
        </w:tabs>
        <w:ind w:left="504" w:right="220"/>
      </w:pPr>
      <w:r>
        <w:rPr/>
        <w:t>(d)</w:t>
        <w:tab/>
        <w:t>Statement of financial position amounts</w:t>
      </w:r>
      <w:r>
        <w:rPr>
          <w:spacing w:val="4"/>
        </w:rPr>
        <w:t> </w:t>
      </w:r>
      <w:r>
        <w:rPr/>
        <w:t>(continued)</w:t>
      </w:r>
    </w:p>
    <w:p>
      <w:pPr>
        <w:pStyle w:val="BodyText"/>
        <w:rPr>
          <w:sz w:val="20"/>
        </w:rPr>
      </w:pPr>
    </w:p>
    <w:p>
      <w:pPr>
        <w:pStyle w:val="BodyText"/>
        <w:spacing w:before="3"/>
        <w:rPr>
          <w:sz w:val="19"/>
        </w:rPr>
      </w:pPr>
    </w:p>
    <w:p>
      <w:pPr>
        <w:spacing w:after="0"/>
        <w:rPr>
          <w:sz w:val="19"/>
        </w:rPr>
        <w:sectPr>
          <w:pgSz w:w="11910" w:h="16840"/>
          <w:pgMar w:header="1037" w:footer="485" w:top="2220" w:bottom="700" w:left="900" w:right="880"/>
        </w:sectPr>
      </w:pPr>
    </w:p>
    <w:p>
      <w:pPr>
        <w:pStyle w:val="BodyText"/>
        <w:spacing w:before="9"/>
        <w:rPr>
          <w:sz w:val="12"/>
        </w:rPr>
      </w:pPr>
    </w:p>
    <w:p>
      <w:pPr>
        <w:spacing w:before="0"/>
        <w:ind w:left="1111" w:right="0" w:firstLine="0"/>
        <w:jc w:val="left"/>
        <w:rPr>
          <w:b/>
          <w:sz w:val="16"/>
        </w:rPr>
      </w:pPr>
      <w:r>
        <w:rPr>
          <w:b/>
          <w:sz w:val="16"/>
        </w:rPr>
        <w:t>Amounts recognised in the</w:t>
      </w:r>
    </w:p>
    <w:p>
      <w:pPr>
        <w:tabs>
          <w:tab w:pos="4919" w:val="left" w:leader="none"/>
        </w:tabs>
        <w:spacing w:before="1"/>
        <w:ind w:left="1111" w:right="0" w:firstLine="0"/>
        <w:jc w:val="left"/>
        <w:rPr>
          <w:b/>
          <w:sz w:val="16"/>
        </w:rPr>
      </w:pPr>
      <w:r>
        <w:rPr>
          <w:b/>
          <w:sz w:val="16"/>
        </w:rPr>
        <w:t>statement of financial position</w:t>
      </w:r>
      <w:r>
        <w:rPr>
          <w:b/>
          <w:spacing w:val="7"/>
          <w:sz w:val="16"/>
        </w:rPr>
        <w:t> </w:t>
      </w:r>
      <w:r>
        <w:rPr>
          <w:b/>
          <w:sz w:val="16"/>
        </w:rPr>
        <w:t>-</w:t>
      </w:r>
      <w:r>
        <w:rPr>
          <w:b/>
          <w:spacing w:val="1"/>
          <w:sz w:val="16"/>
        </w:rPr>
        <w:t> </w:t>
      </w:r>
      <w:r>
        <w:rPr>
          <w:b/>
          <w:sz w:val="16"/>
        </w:rPr>
        <w:t>2016</w:t>
        <w:tab/>
      </w:r>
      <w:r>
        <w:rPr>
          <w:b/>
          <w:spacing w:val="-1"/>
          <w:sz w:val="16"/>
        </w:rPr>
        <w:t>Note</w:t>
      </w:r>
    </w:p>
    <w:p>
      <w:pPr>
        <w:spacing w:before="80"/>
        <w:ind w:left="444" w:right="-11" w:firstLine="0"/>
        <w:jc w:val="left"/>
        <w:rPr>
          <w:b/>
          <w:sz w:val="16"/>
        </w:rPr>
      </w:pPr>
      <w:r>
        <w:rPr/>
        <w:br w:type="column"/>
      </w:r>
      <w:r>
        <w:rPr>
          <w:b/>
          <w:sz w:val="16"/>
        </w:rPr>
        <w:t>$'000</w:t>
      </w:r>
    </w:p>
    <w:p>
      <w:pPr>
        <w:spacing w:before="68"/>
        <w:ind w:left="425" w:right="-11" w:firstLine="0"/>
        <w:jc w:val="left"/>
        <w:rPr>
          <w:b/>
          <w:sz w:val="16"/>
        </w:rPr>
      </w:pPr>
      <w:r>
        <w:rPr>
          <w:b/>
          <w:spacing w:val="-3"/>
          <w:sz w:val="16"/>
        </w:rPr>
        <w:t>SASS</w:t>
      </w:r>
    </w:p>
    <w:p>
      <w:pPr>
        <w:spacing w:before="80"/>
        <w:ind w:left="713" w:right="-12" w:firstLine="0"/>
        <w:jc w:val="left"/>
        <w:rPr>
          <w:b/>
          <w:sz w:val="16"/>
        </w:rPr>
      </w:pPr>
      <w:r>
        <w:rPr/>
        <w:br w:type="column"/>
      </w:r>
      <w:r>
        <w:rPr>
          <w:b/>
          <w:sz w:val="16"/>
        </w:rPr>
        <w:t>$'000</w:t>
      </w:r>
    </w:p>
    <w:p>
      <w:pPr>
        <w:spacing w:before="68"/>
        <w:ind w:left="634" w:right="-12" w:firstLine="0"/>
        <w:jc w:val="left"/>
        <w:rPr>
          <w:b/>
          <w:sz w:val="16"/>
        </w:rPr>
      </w:pPr>
      <w:r>
        <w:rPr>
          <w:b/>
          <w:spacing w:val="-3"/>
          <w:sz w:val="16"/>
        </w:rPr>
        <w:t>SANCS</w:t>
      </w:r>
    </w:p>
    <w:p>
      <w:pPr>
        <w:spacing w:before="80"/>
        <w:ind w:left="652" w:right="-19" w:firstLine="0"/>
        <w:jc w:val="left"/>
        <w:rPr>
          <w:b/>
          <w:sz w:val="16"/>
        </w:rPr>
      </w:pPr>
      <w:r>
        <w:rPr/>
        <w:br w:type="column"/>
      </w:r>
      <w:r>
        <w:rPr>
          <w:b/>
          <w:sz w:val="16"/>
        </w:rPr>
        <w:t>$'000</w:t>
      </w:r>
    </w:p>
    <w:p>
      <w:pPr>
        <w:spacing w:before="68"/>
        <w:ind w:left="688" w:right="-19" w:firstLine="0"/>
        <w:jc w:val="left"/>
        <w:rPr>
          <w:b/>
          <w:sz w:val="16"/>
        </w:rPr>
      </w:pPr>
      <w:r>
        <w:rPr>
          <w:b/>
          <w:sz w:val="16"/>
        </w:rPr>
        <w:t>SSS</w:t>
      </w:r>
    </w:p>
    <w:p>
      <w:pPr>
        <w:spacing w:before="80"/>
        <w:ind w:left="732" w:right="0" w:firstLine="0"/>
        <w:jc w:val="left"/>
        <w:rPr>
          <w:b/>
          <w:sz w:val="16"/>
        </w:rPr>
      </w:pPr>
      <w:r>
        <w:rPr/>
        <w:br w:type="column"/>
      </w:r>
      <w:r>
        <w:rPr>
          <w:b/>
          <w:sz w:val="16"/>
        </w:rPr>
        <w:t>$'000</w:t>
      </w:r>
    </w:p>
    <w:p>
      <w:pPr>
        <w:spacing w:before="68"/>
        <w:ind w:left="739" w:right="0" w:firstLine="0"/>
        <w:jc w:val="left"/>
        <w:rPr>
          <w:b/>
          <w:sz w:val="16"/>
        </w:rPr>
      </w:pPr>
      <w:r>
        <w:rPr>
          <w:b/>
          <w:sz w:val="16"/>
        </w:rPr>
        <w:t>Total</w:t>
      </w:r>
    </w:p>
    <w:p>
      <w:pPr>
        <w:spacing w:after="0"/>
        <w:jc w:val="left"/>
        <w:rPr>
          <w:sz w:val="16"/>
        </w:rPr>
        <w:sectPr>
          <w:type w:val="continuous"/>
          <w:pgSz w:w="11910" w:h="16840"/>
          <w:pgMar w:top="1580" w:bottom="280" w:left="900" w:right="880"/>
          <w:cols w:num="5" w:equalWidth="0">
            <w:col w:w="5276" w:space="40"/>
            <w:col w:w="858" w:space="40"/>
            <w:col w:w="1188" w:space="40"/>
            <w:col w:w="1047" w:space="40"/>
            <w:col w:w="1601"/>
          </w:cols>
        </w:sectPr>
      </w:pPr>
    </w:p>
    <w:p>
      <w:pPr>
        <w:pStyle w:val="BodyText"/>
        <w:rPr>
          <w:b/>
          <w:sz w:val="20"/>
        </w:rPr>
      </w:pPr>
    </w:p>
    <w:p>
      <w:pPr>
        <w:pStyle w:val="BodyText"/>
        <w:spacing w:before="8"/>
        <w:rPr>
          <w:b/>
          <w:sz w:val="11"/>
        </w:rPr>
      </w:pPr>
    </w:p>
    <w:tbl>
      <w:tblPr>
        <w:tblW w:w="0" w:type="auto"/>
        <w:jc w:val="left"/>
        <w:tblInd w:w="107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2"/>
        <w:gridCol w:w="946"/>
        <w:gridCol w:w="1468"/>
        <w:gridCol w:w="1078"/>
        <w:gridCol w:w="1166"/>
        <w:gridCol w:w="954"/>
      </w:tblGrid>
      <w:tr>
        <w:trPr>
          <w:trHeight w:val="486" w:hRule="exact"/>
        </w:trPr>
        <w:tc>
          <w:tcPr>
            <w:tcW w:w="3332" w:type="dxa"/>
          </w:tcPr>
          <w:p>
            <w:pPr>
              <w:pStyle w:val="TableParagraph"/>
              <w:spacing w:before="80"/>
              <w:ind w:left="35"/>
              <w:rPr>
                <w:b/>
                <w:sz w:val="16"/>
              </w:rPr>
            </w:pPr>
            <w:r>
              <w:rPr>
                <w:b/>
                <w:sz w:val="16"/>
              </w:rPr>
              <w:t>Liabilities</w:t>
            </w:r>
          </w:p>
          <w:p>
            <w:pPr>
              <w:pStyle w:val="TableParagraph"/>
              <w:spacing w:before="29"/>
              <w:ind w:left="35"/>
              <w:rPr>
                <w:sz w:val="16"/>
              </w:rPr>
            </w:pPr>
            <w:r>
              <w:rPr>
                <w:sz w:val="16"/>
              </w:rPr>
              <w:t>Provision for deferred government</w:t>
            </w:r>
          </w:p>
        </w:tc>
        <w:tc>
          <w:tcPr>
            <w:tcW w:w="946" w:type="dxa"/>
          </w:tcPr>
          <w:p>
            <w:pPr>
              <w:pStyle w:val="TableParagraph"/>
              <w:rPr>
                <w:b/>
                <w:sz w:val="16"/>
              </w:rPr>
            </w:pPr>
          </w:p>
          <w:p>
            <w:pPr>
              <w:pStyle w:val="TableParagraph"/>
              <w:spacing w:before="107"/>
              <w:ind w:right="302"/>
              <w:jc w:val="right"/>
              <w:rPr>
                <w:sz w:val="16"/>
              </w:rPr>
            </w:pPr>
            <w:r>
              <w:rPr>
                <w:sz w:val="16"/>
              </w:rPr>
              <w:t>27</w:t>
            </w:r>
          </w:p>
        </w:tc>
        <w:tc>
          <w:tcPr>
            <w:tcW w:w="4666" w:type="dxa"/>
            <w:gridSpan w:val="4"/>
          </w:tcPr>
          <w:p>
            <w:pPr/>
          </w:p>
        </w:tc>
      </w:tr>
      <w:tr>
        <w:trPr>
          <w:trHeight w:val="213" w:hRule="exact"/>
        </w:trPr>
        <w:tc>
          <w:tcPr>
            <w:tcW w:w="3332" w:type="dxa"/>
          </w:tcPr>
          <w:p>
            <w:pPr>
              <w:pStyle w:val="TableParagraph"/>
              <w:spacing w:line="176" w:lineRule="exact"/>
              <w:ind w:left="35"/>
              <w:rPr>
                <w:sz w:val="16"/>
              </w:rPr>
            </w:pPr>
            <w:r>
              <w:rPr>
                <w:sz w:val="16"/>
              </w:rPr>
              <w:t>benefits for superannuation</w:t>
            </w:r>
          </w:p>
        </w:tc>
        <w:tc>
          <w:tcPr>
            <w:tcW w:w="946" w:type="dxa"/>
          </w:tcPr>
          <w:p>
            <w:pPr/>
          </w:p>
        </w:tc>
        <w:tc>
          <w:tcPr>
            <w:tcW w:w="1468" w:type="dxa"/>
            <w:tcBorders>
              <w:bottom w:val="single" w:sz="1" w:space="0" w:color="000000"/>
            </w:tcBorders>
          </w:tcPr>
          <w:p>
            <w:pPr>
              <w:pStyle w:val="TableParagraph"/>
              <w:spacing w:line="176" w:lineRule="exact"/>
              <w:ind w:right="380"/>
              <w:jc w:val="right"/>
              <w:rPr>
                <w:sz w:val="16"/>
              </w:rPr>
            </w:pPr>
            <w:r>
              <w:rPr>
                <w:sz w:val="16"/>
              </w:rPr>
              <w:t>11,140</w:t>
            </w:r>
          </w:p>
        </w:tc>
        <w:tc>
          <w:tcPr>
            <w:tcW w:w="1078" w:type="dxa"/>
            <w:tcBorders>
              <w:bottom w:val="single" w:sz="1" w:space="0" w:color="000000"/>
            </w:tcBorders>
          </w:tcPr>
          <w:p>
            <w:pPr>
              <w:pStyle w:val="TableParagraph"/>
              <w:spacing w:line="176" w:lineRule="exact"/>
              <w:ind w:left="362" w:right="274"/>
              <w:jc w:val="center"/>
              <w:rPr>
                <w:sz w:val="16"/>
              </w:rPr>
            </w:pPr>
            <w:r>
              <w:rPr>
                <w:sz w:val="16"/>
              </w:rPr>
              <w:t>3,843</w:t>
            </w:r>
          </w:p>
        </w:tc>
        <w:tc>
          <w:tcPr>
            <w:tcW w:w="1166" w:type="dxa"/>
            <w:tcBorders>
              <w:bottom w:val="single" w:sz="1" w:space="0" w:color="000000"/>
            </w:tcBorders>
          </w:tcPr>
          <w:p>
            <w:pPr>
              <w:pStyle w:val="TableParagraph"/>
              <w:spacing w:line="176" w:lineRule="exact"/>
              <w:ind w:left="273" w:right="273"/>
              <w:jc w:val="center"/>
              <w:rPr>
                <w:sz w:val="16"/>
              </w:rPr>
            </w:pPr>
            <w:r>
              <w:rPr>
                <w:sz w:val="16"/>
              </w:rPr>
              <w:t>317,999</w:t>
            </w:r>
          </w:p>
        </w:tc>
        <w:tc>
          <w:tcPr>
            <w:tcW w:w="954" w:type="dxa"/>
            <w:tcBorders>
              <w:bottom w:val="single" w:sz="1" w:space="0" w:color="000000"/>
            </w:tcBorders>
          </w:tcPr>
          <w:p>
            <w:pPr>
              <w:pStyle w:val="TableParagraph"/>
              <w:spacing w:line="176" w:lineRule="exact"/>
              <w:ind w:right="79"/>
              <w:jc w:val="right"/>
              <w:rPr>
                <w:sz w:val="16"/>
              </w:rPr>
            </w:pPr>
            <w:r>
              <w:rPr>
                <w:sz w:val="16"/>
              </w:rPr>
              <w:t>332,982</w:t>
            </w:r>
          </w:p>
        </w:tc>
      </w:tr>
      <w:tr>
        <w:trPr>
          <w:trHeight w:val="303" w:hRule="exact"/>
        </w:trPr>
        <w:tc>
          <w:tcPr>
            <w:tcW w:w="3332" w:type="dxa"/>
          </w:tcPr>
          <w:p>
            <w:pPr>
              <w:pStyle w:val="TableParagraph"/>
              <w:spacing w:before="124"/>
              <w:ind w:left="35"/>
              <w:rPr>
                <w:b/>
                <w:sz w:val="16"/>
              </w:rPr>
            </w:pPr>
            <w:r>
              <w:rPr>
                <w:b/>
                <w:sz w:val="16"/>
              </w:rPr>
              <w:t>Total liabilities recognised in the</w:t>
            </w:r>
          </w:p>
        </w:tc>
        <w:tc>
          <w:tcPr>
            <w:tcW w:w="946" w:type="dxa"/>
          </w:tcPr>
          <w:p>
            <w:pPr/>
          </w:p>
        </w:tc>
        <w:tc>
          <w:tcPr>
            <w:tcW w:w="1468" w:type="dxa"/>
            <w:tcBorders>
              <w:top w:val="single" w:sz="1" w:space="0" w:color="000000"/>
            </w:tcBorders>
          </w:tcPr>
          <w:p>
            <w:pPr/>
          </w:p>
        </w:tc>
        <w:tc>
          <w:tcPr>
            <w:tcW w:w="1078" w:type="dxa"/>
            <w:tcBorders>
              <w:top w:val="single" w:sz="1" w:space="0" w:color="000000"/>
            </w:tcBorders>
          </w:tcPr>
          <w:p>
            <w:pPr/>
          </w:p>
        </w:tc>
        <w:tc>
          <w:tcPr>
            <w:tcW w:w="1166" w:type="dxa"/>
            <w:tcBorders>
              <w:top w:val="single" w:sz="1" w:space="0" w:color="000000"/>
            </w:tcBorders>
          </w:tcPr>
          <w:p>
            <w:pPr/>
          </w:p>
        </w:tc>
        <w:tc>
          <w:tcPr>
            <w:tcW w:w="954" w:type="dxa"/>
            <w:tcBorders>
              <w:top w:val="single" w:sz="1" w:space="0" w:color="000000"/>
            </w:tcBorders>
          </w:tcPr>
          <w:p>
            <w:pPr/>
          </w:p>
        </w:tc>
      </w:tr>
      <w:tr>
        <w:trPr>
          <w:trHeight w:val="199" w:hRule="exact"/>
        </w:trPr>
        <w:tc>
          <w:tcPr>
            <w:tcW w:w="3332" w:type="dxa"/>
          </w:tcPr>
          <w:p>
            <w:pPr>
              <w:pStyle w:val="TableParagraph"/>
              <w:spacing w:before="6"/>
              <w:ind w:left="35"/>
              <w:rPr>
                <w:b/>
                <w:sz w:val="16"/>
              </w:rPr>
            </w:pPr>
            <w:r>
              <w:rPr>
                <w:b/>
                <w:sz w:val="16"/>
              </w:rPr>
              <w:t>statement of financial position</w:t>
            </w:r>
          </w:p>
        </w:tc>
        <w:tc>
          <w:tcPr>
            <w:tcW w:w="946" w:type="dxa"/>
          </w:tcPr>
          <w:p>
            <w:pPr/>
          </w:p>
        </w:tc>
        <w:tc>
          <w:tcPr>
            <w:tcW w:w="1468" w:type="dxa"/>
            <w:tcBorders>
              <w:bottom w:val="single" w:sz="1" w:space="0" w:color="000000"/>
            </w:tcBorders>
          </w:tcPr>
          <w:p>
            <w:pPr>
              <w:pStyle w:val="TableParagraph"/>
              <w:spacing w:line="162" w:lineRule="exact"/>
              <w:ind w:right="380"/>
              <w:jc w:val="right"/>
              <w:rPr>
                <w:sz w:val="16"/>
              </w:rPr>
            </w:pPr>
            <w:r>
              <w:rPr>
                <w:sz w:val="16"/>
              </w:rPr>
              <w:t>11,140</w:t>
            </w:r>
          </w:p>
        </w:tc>
        <w:tc>
          <w:tcPr>
            <w:tcW w:w="1078" w:type="dxa"/>
            <w:tcBorders>
              <w:bottom w:val="single" w:sz="1" w:space="0" w:color="000000"/>
            </w:tcBorders>
          </w:tcPr>
          <w:p>
            <w:pPr>
              <w:pStyle w:val="TableParagraph"/>
              <w:spacing w:line="162" w:lineRule="exact"/>
              <w:ind w:left="362" w:right="274"/>
              <w:jc w:val="center"/>
              <w:rPr>
                <w:sz w:val="16"/>
              </w:rPr>
            </w:pPr>
            <w:r>
              <w:rPr>
                <w:sz w:val="16"/>
              </w:rPr>
              <w:t>3,843</w:t>
            </w:r>
          </w:p>
        </w:tc>
        <w:tc>
          <w:tcPr>
            <w:tcW w:w="1166" w:type="dxa"/>
            <w:tcBorders>
              <w:bottom w:val="single" w:sz="1" w:space="0" w:color="000000"/>
            </w:tcBorders>
          </w:tcPr>
          <w:p>
            <w:pPr>
              <w:pStyle w:val="TableParagraph"/>
              <w:spacing w:line="162" w:lineRule="exact"/>
              <w:ind w:left="273" w:right="273"/>
              <w:jc w:val="center"/>
              <w:rPr>
                <w:sz w:val="16"/>
              </w:rPr>
            </w:pPr>
            <w:r>
              <w:rPr>
                <w:sz w:val="16"/>
              </w:rPr>
              <w:t>317,999</w:t>
            </w:r>
          </w:p>
        </w:tc>
        <w:tc>
          <w:tcPr>
            <w:tcW w:w="954" w:type="dxa"/>
            <w:tcBorders>
              <w:bottom w:val="single" w:sz="1" w:space="0" w:color="000000"/>
            </w:tcBorders>
          </w:tcPr>
          <w:p>
            <w:pPr>
              <w:pStyle w:val="TableParagraph"/>
              <w:spacing w:line="162" w:lineRule="exact"/>
              <w:ind w:right="79"/>
              <w:jc w:val="right"/>
              <w:rPr>
                <w:sz w:val="16"/>
              </w:rPr>
            </w:pPr>
            <w:r>
              <w:rPr>
                <w:sz w:val="16"/>
              </w:rPr>
              <w:t>332,982</w:t>
            </w:r>
          </w:p>
        </w:tc>
      </w:tr>
      <w:tr>
        <w:trPr>
          <w:trHeight w:val="331" w:hRule="exact"/>
        </w:trPr>
        <w:tc>
          <w:tcPr>
            <w:tcW w:w="3332" w:type="dxa"/>
          </w:tcPr>
          <w:p>
            <w:pPr>
              <w:pStyle w:val="TableParagraph"/>
              <w:spacing w:before="124"/>
              <w:ind w:left="35"/>
              <w:rPr>
                <w:b/>
                <w:sz w:val="16"/>
              </w:rPr>
            </w:pPr>
            <w:r>
              <w:rPr>
                <w:b/>
                <w:sz w:val="16"/>
              </w:rPr>
              <w:t>Assets</w:t>
            </w:r>
          </w:p>
        </w:tc>
        <w:tc>
          <w:tcPr>
            <w:tcW w:w="946" w:type="dxa"/>
          </w:tcPr>
          <w:p>
            <w:pPr/>
          </w:p>
        </w:tc>
        <w:tc>
          <w:tcPr>
            <w:tcW w:w="1468" w:type="dxa"/>
            <w:tcBorders>
              <w:top w:val="single" w:sz="1" w:space="0" w:color="000000"/>
            </w:tcBorders>
          </w:tcPr>
          <w:p>
            <w:pPr/>
          </w:p>
        </w:tc>
        <w:tc>
          <w:tcPr>
            <w:tcW w:w="1078" w:type="dxa"/>
            <w:tcBorders>
              <w:top w:val="single" w:sz="1" w:space="0" w:color="000000"/>
            </w:tcBorders>
          </w:tcPr>
          <w:p>
            <w:pPr/>
          </w:p>
        </w:tc>
        <w:tc>
          <w:tcPr>
            <w:tcW w:w="1166" w:type="dxa"/>
            <w:tcBorders>
              <w:top w:val="single" w:sz="1" w:space="0" w:color="000000"/>
            </w:tcBorders>
          </w:tcPr>
          <w:p>
            <w:pPr/>
          </w:p>
        </w:tc>
        <w:tc>
          <w:tcPr>
            <w:tcW w:w="954" w:type="dxa"/>
            <w:tcBorders>
              <w:top w:val="single" w:sz="1" w:space="0" w:color="000000"/>
            </w:tcBorders>
          </w:tcPr>
          <w:p>
            <w:pPr/>
          </w:p>
        </w:tc>
      </w:tr>
      <w:tr>
        <w:trPr>
          <w:trHeight w:val="197" w:hRule="exact"/>
        </w:trPr>
        <w:tc>
          <w:tcPr>
            <w:tcW w:w="3332" w:type="dxa"/>
          </w:tcPr>
          <w:p>
            <w:pPr>
              <w:pStyle w:val="TableParagraph"/>
              <w:spacing w:before="5"/>
              <w:ind w:left="35"/>
              <w:rPr>
                <w:sz w:val="16"/>
              </w:rPr>
            </w:pPr>
            <w:r>
              <w:rPr>
                <w:sz w:val="16"/>
              </w:rPr>
              <w:t>Receivables  for  deferred   government</w:t>
            </w:r>
          </w:p>
        </w:tc>
        <w:tc>
          <w:tcPr>
            <w:tcW w:w="946" w:type="dxa"/>
          </w:tcPr>
          <w:p>
            <w:pPr>
              <w:pStyle w:val="TableParagraph"/>
              <w:spacing w:before="5"/>
              <w:ind w:right="302"/>
              <w:jc w:val="right"/>
              <w:rPr>
                <w:sz w:val="16"/>
              </w:rPr>
            </w:pPr>
            <w:r>
              <w:rPr>
                <w:sz w:val="16"/>
              </w:rPr>
              <w:t>18</w:t>
            </w:r>
          </w:p>
        </w:tc>
        <w:tc>
          <w:tcPr>
            <w:tcW w:w="1468" w:type="dxa"/>
          </w:tcPr>
          <w:p>
            <w:pPr/>
          </w:p>
        </w:tc>
        <w:tc>
          <w:tcPr>
            <w:tcW w:w="1078" w:type="dxa"/>
          </w:tcPr>
          <w:p>
            <w:pPr/>
          </w:p>
        </w:tc>
        <w:tc>
          <w:tcPr>
            <w:tcW w:w="1166" w:type="dxa"/>
          </w:tcPr>
          <w:p>
            <w:pPr/>
          </w:p>
        </w:tc>
        <w:tc>
          <w:tcPr>
            <w:tcW w:w="954" w:type="dxa"/>
          </w:tcPr>
          <w:p>
            <w:pPr/>
          </w:p>
        </w:tc>
      </w:tr>
      <w:tr>
        <w:trPr>
          <w:trHeight w:val="212" w:hRule="exact"/>
        </w:trPr>
        <w:tc>
          <w:tcPr>
            <w:tcW w:w="3332" w:type="dxa"/>
          </w:tcPr>
          <w:p>
            <w:pPr>
              <w:pStyle w:val="TableParagraph"/>
              <w:spacing w:line="177" w:lineRule="exact"/>
              <w:ind w:left="35"/>
              <w:rPr>
                <w:sz w:val="16"/>
              </w:rPr>
            </w:pPr>
            <w:r>
              <w:rPr>
                <w:sz w:val="16"/>
              </w:rPr>
              <w:t>contribution for superannuation</w:t>
            </w:r>
          </w:p>
        </w:tc>
        <w:tc>
          <w:tcPr>
            <w:tcW w:w="946" w:type="dxa"/>
          </w:tcPr>
          <w:p>
            <w:pPr/>
          </w:p>
        </w:tc>
        <w:tc>
          <w:tcPr>
            <w:tcW w:w="1468" w:type="dxa"/>
            <w:tcBorders>
              <w:bottom w:val="single" w:sz="1" w:space="0" w:color="000000"/>
            </w:tcBorders>
          </w:tcPr>
          <w:p>
            <w:pPr>
              <w:pStyle w:val="TableParagraph"/>
              <w:spacing w:line="175" w:lineRule="exact"/>
              <w:ind w:right="380"/>
              <w:jc w:val="right"/>
              <w:rPr>
                <w:sz w:val="16"/>
              </w:rPr>
            </w:pPr>
            <w:r>
              <w:rPr>
                <w:sz w:val="16"/>
              </w:rPr>
              <w:t>10,605</w:t>
            </w:r>
          </w:p>
        </w:tc>
        <w:tc>
          <w:tcPr>
            <w:tcW w:w="1078" w:type="dxa"/>
            <w:tcBorders>
              <w:bottom w:val="single" w:sz="1" w:space="0" w:color="000000"/>
            </w:tcBorders>
          </w:tcPr>
          <w:p>
            <w:pPr>
              <w:pStyle w:val="TableParagraph"/>
              <w:spacing w:line="175" w:lineRule="exact"/>
              <w:ind w:left="362" w:right="274"/>
              <w:jc w:val="center"/>
              <w:rPr>
                <w:sz w:val="16"/>
              </w:rPr>
            </w:pPr>
            <w:r>
              <w:rPr>
                <w:sz w:val="16"/>
              </w:rPr>
              <w:t>3,718</w:t>
            </w:r>
          </w:p>
        </w:tc>
        <w:tc>
          <w:tcPr>
            <w:tcW w:w="1166" w:type="dxa"/>
            <w:tcBorders>
              <w:bottom w:val="single" w:sz="1" w:space="0" w:color="000000"/>
            </w:tcBorders>
          </w:tcPr>
          <w:p>
            <w:pPr>
              <w:pStyle w:val="TableParagraph"/>
              <w:spacing w:line="175" w:lineRule="exact"/>
              <w:ind w:left="273" w:right="273"/>
              <w:jc w:val="center"/>
              <w:rPr>
                <w:sz w:val="16"/>
              </w:rPr>
            </w:pPr>
            <w:r>
              <w:rPr>
                <w:sz w:val="16"/>
              </w:rPr>
              <w:t>317,958</w:t>
            </w:r>
          </w:p>
        </w:tc>
        <w:tc>
          <w:tcPr>
            <w:tcW w:w="954" w:type="dxa"/>
            <w:tcBorders>
              <w:bottom w:val="single" w:sz="1" w:space="0" w:color="000000"/>
            </w:tcBorders>
          </w:tcPr>
          <w:p>
            <w:pPr>
              <w:pStyle w:val="TableParagraph"/>
              <w:spacing w:line="175" w:lineRule="exact"/>
              <w:ind w:right="79"/>
              <w:jc w:val="right"/>
              <w:rPr>
                <w:sz w:val="16"/>
              </w:rPr>
            </w:pPr>
            <w:r>
              <w:rPr>
                <w:sz w:val="16"/>
              </w:rPr>
              <w:t>332,281</w:t>
            </w:r>
          </w:p>
        </w:tc>
      </w:tr>
      <w:tr>
        <w:trPr>
          <w:trHeight w:val="305" w:hRule="exact"/>
        </w:trPr>
        <w:tc>
          <w:tcPr>
            <w:tcW w:w="3332" w:type="dxa"/>
          </w:tcPr>
          <w:p>
            <w:pPr>
              <w:pStyle w:val="TableParagraph"/>
              <w:spacing w:before="124"/>
              <w:ind w:left="35"/>
              <w:rPr>
                <w:b/>
                <w:sz w:val="16"/>
              </w:rPr>
            </w:pPr>
            <w:r>
              <w:rPr>
                <w:b/>
                <w:sz w:val="16"/>
              </w:rPr>
              <w:t>Total assets recognised in the</w:t>
            </w:r>
          </w:p>
        </w:tc>
        <w:tc>
          <w:tcPr>
            <w:tcW w:w="946" w:type="dxa"/>
          </w:tcPr>
          <w:p>
            <w:pPr/>
          </w:p>
        </w:tc>
        <w:tc>
          <w:tcPr>
            <w:tcW w:w="1468" w:type="dxa"/>
            <w:tcBorders>
              <w:top w:val="single" w:sz="1" w:space="0" w:color="000000"/>
            </w:tcBorders>
          </w:tcPr>
          <w:p>
            <w:pPr/>
          </w:p>
        </w:tc>
        <w:tc>
          <w:tcPr>
            <w:tcW w:w="1078" w:type="dxa"/>
            <w:tcBorders>
              <w:top w:val="single" w:sz="1" w:space="0" w:color="000000"/>
            </w:tcBorders>
          </w:tcPr>
          <w:p>
            <w:pPr/>
          </w:p>
        </w:tc>
        <w:tc>
          <w:tcPr>
            <w:tcW w:w="1166" w:type="dxa"/>
            <w:tcBorders>
              <w:top w:val="single" w:sz="1" w:space="0" w:color="000000"/>
            </w:tcBorders>
          </w:tcPr>
          <w:p>
            <w:pPr/>
          </w:p>
        </w:tc>
        <w:tc>
          <w:tcPr>
            <w:tcW w:w="954" w:type="dxa"/>
            <w:tcBorders>
              <w:top w:val="single" w:sz="1" w:space="0" w:color="000000"/>
            </w:tcBorders>
          </w:tcPr>
          <w:p>
            <w:pPr/>
          </w:p>
        </w:tc>
      </w:tr>
    </w:tbl>
    <w:p>
      <w:pPr>
        <w:tabs>
          <w:tab w:pos="5354" w:val="left" w:leader="none"/>
          <w:tab w:pos="5949" w:val="left" w:leader="none"/>
          <w:tab w:pos="7204" w:val="left" w:leader="none"/>
          <w:tab w:pos="8193" w:val="left" w:leader="none"/>
          <w:tab w:pos="9359" w:val="left" w:leader="none"/>
        </w:tabs>
        <w:spacing w:before="4"/>
        <w:ind w:left="1111" w:right="130" w:firstLine="0"/>
        <w:jc w:val="left"/>
        <w:rPr>
          <w:sz w:val="16"/>
        </w:rPr>
      </w:pPr>
      <w:r>
        <w:rPr>
          <w:b/>
          <w:sz w:val="16"/>
        </w:rPr>
        <w:t>statement of</w:t>
      </w:r>
      <w:r>
        <w:rPr>
          <w:b/>
          <w:spacing w:val="4"/>
          <w:sz w:val="16"/>
        </w:rPr>
        <w:t> </w:t>
      </w:r>
      <w:r>
        <w:rPr>
          <w:b/>
          <w:sz w:val="16"/>
        </w:rPr>
        <w:t>financial</w:t>
      </w:r>
      <w:r>
        <w:rPr>
          <w:b/>
          <w:spacing w:val="2"/>
          <w:sz w:val="16"/>
        </w:rPr>
        <w:t> </w:t>
      </w:r>
      <w:r>
        <w:rPr>
          <w:b/>
          <w:sz w:val="16"/>
        </w:rPr>
        <w:t>position</w:t>
        <w:tab/>
      </w:r>
      <w:r>
        <w:rPr>
          <w:rFonts w:ascii="Times New Roman"/>
          <w:sz w:val="16"/>
          <w:u w:val="single"/>
        </w:rPr>
        <w:t> </w:t>
        <w:tab/>
      </w:r>
      <w:r>
        <w:rPr>
          <w:sz w:val="16"/>
          <w:u w:val="single"/>
        </w:rPr>
        <w:t>10,605</w:t>
        <w:tab/>
        <w:t>3,718</w:t>
        <w:tab/>
        <w:t>317,958</w:t>
        <w:tab/>
        <w:t>332,281</w:t>
      </w:r>
    </w:p>
    <w:p>
      <w:pPr>
        <w:spacing w:line="169" w:lineRule="exact" w:before="133"/>
        <w:ind w:left="1111" w:right="220" w:firstLine="0"/>
        <w:jc w:val="left"/>
        <w:rPr>
          <w:b/>
          <w:sz w:val="16"/>
        </w:rPr>
      </w:pPr>
      <w:r>
        <w:rPr>
          <w:b/>
          <w:sz w:val="16"/>
        </w:rPr>
        <w:t>Net liability recognised in the</w:t>
      </w:r>
    </w:p>
    <w:p>
      <w:pPr>
        <w:tabs>
          <w:tab w:pos="6172" w:val="left" w:leader="none"/>
          <w:tab w:pos="7339" w:val="left" w:leader="none"/>
          <w:tab w:pos="8594" w:val="left" w:leader="none"/>
          <w:tab w:pos="9938" w:val="right" w:leader="none"/>
        </w:tabs>
        <w:spacing w:line="199" w:lineRule="exact" w:before="0"/>
        <w:ind w:left="1111" w:right="0" w:firstLine="0"/>
        <w:jc w:val="left"/>
        <w:rPr>
          <w:sz w:val="16"/>
        </w:rPr>
      </w:pPr>
      <w:r>
        <w:rPr>
          <w:b/>
          <w:sz w:val="16"/>
        </w:rPr>
        <w:t>statement of</w:t>
      </w:r>
      <w:r>
        <w:rPr>
          <w:b/>
          <w:spacing w:val="4"/>
          <w:sz w:val="16"/>
        </w:rPr>
        <w:t> </w:t>
      </w:r>
      <w:r>
        <w:rPr>
          <w:b/>
          <w:sz w:val="16"/>
        </w:rPr>
        <w:t>financial</w:t>
      </w:r>
      <w:r>
        <w:rPr>
          <w:b/>
          <w:spacing w:val="2"/>
          <w:sz w:val="16"/>
        </w:rPr>
        <w:t> </w:t>
      </w:r>
      <w:r>
        <w:rPr>
          <w:b/>
          <w:sz w:val="16"/>
        </w:rPr>
        <w:t>position</w:t>
        <w:tab/>
      </w:r>
      <w:r>
        <w:rPr>
          <w:position w:val="3"/>
          <w:sz w:val="16"/>
        </w:rPr>
        <w:t>535</w:t>
        <w:tab/>
        <w:t>125</w:t>
        <w:tab/>
        <w:t>41</w:t>
      </w:r>
      <w:r>
        <w:rPr>
          <w:rFonts w:ascii="Times New Roman"/>
          <w:position w:val="3"/>
          <w:sz w:val="16"/>
        </w:rPr>
        <w:tab/>
      </w:r>
      <w:r>
        <w:rPr>
          <w:position w:val="3"/>
          <w:sz w:val="16"/>
        </w:rPr>
        <w:t>701</w:t>
      </w:r>
    </w:p>
    <w:p>
      <w:pPr>
        <w:pStyle w:val="BodyText"/>
        <w:spacing w:line="20" w:lineRule="exact"/>
        <w:ind w:left="5352"/>
        <w:rPr>
          <w:sz w:val="2"/>
        </w:rPr>
      </w:pPr>
      <w:r>
        <w:rPr>
          <w:sz w:val="2"/>
        </w:rPr>
        <w:pict>
          <v:group style="width:233.45pt;height:1pt;mso-position-horizontal-relative:char;mso-position-vertical-relative:line" coordorigin="0,0" coordsize="4669,20">
            <v:line style="position:absolute" from="2,2" to="1168,2" stroked="true" strokeweight=".12pt" strokecolor="#000000"/>
            <v:line style="position:absolute" from="2,4" to="1168,4" stroked="true" strokeweight=".12pt" strokecolor="#000000"/>
            <v:line style="position:absolute" from="2,6" to="1168,6" stroked="true" strokeweight=".12pt" strokecolor="#000000"/>
            <v:line style="position:absolute" from="2,9" to="1168,9" stroked="true" strokeweight=".12pt" strokecolor="#000000"/>
            <v:line style="position:absolute" from="2,11" to="1168,11" stroked="true" strokeweight=".12pt" strokecolor="#000000"/>
            <v:line style="position:absolute" from="2,14" to="1168,14" stroked="true" strokeweight=".12pt" strokecolor="#000000"/>
            <v:line style="position:absolute" from="2,16" to="1168,16" stroked="true" strokeweight=".12pt" strokecolor="#000000"/>
            <v:line style="position:absolute" from="2,18" to="1168,18" stroked="true" strokeweight=".12pt" strokecolor="#000000"/>
            <v:line style="position:absolute" from="1168,2" to="2334,2" stroked="true" strokeweight=".12pt" strokecolor="#000000"/>
            <v:line style="position:absolute" from="1168,4" to="2334,4" stroked="true" strokeweight=".12pt" strokecolor="#000000"/>
            <v:line style="position:absolute" from="1168,6" to="2334,6" stroked="true" strokeweight=".12pt" strokecolor="#000000"/>
            <v:line style="position:absolute" from="1168,9" to="2334,9" stroked="true" strokeweight=".12pt" strokecolor="#000000"/>
            <v:line style="position:absolute" from="1168,11" to="2334,11" stroked="true" strokeweight=".12pt" strokecolor="#000000"/>
            <v:line style="position:absolute" from="1168,14" to="2334,14" stroked="true" strokeweight=".12pt" strokecolor="#000000"/>
            <v:line style="position:absolute" from="1168,16" to="2334,16" stroked="true" strokeweight=".12pt" strokecolor="#000000"/>
            <v:line style="position:absolute" from="1168,18" to="2334,18" stroked="true" strokeweight=".12pt" strokecolor="#000000"/>
            <v:line style="position:absolute" from="2334,2" to="3501,2" stroked="true" strokeweight=".12pt" strokecolor="#000000"/>
            <v:line style="position:absolute" from="2334,4" to="3501,4" stroked="true" strokeweight=".12pt" strokecolor="#000000"/>
            <v:line style="position:absolute" from="2334,6" to="3501,6" stroked="true" strokeweight=".12pt" strokecolor="#000000"/>
            <v:line style="position:absolute" from="2334,9" to="3501,9" stroked="true" strokeweight=".12pt" strokecolor="#000000"/>
            <v:line style="position:absolute" from="2334,11" to="3501,11" stroked="true" strokeweight=".12pt" strokecolor="#000000"/>
            <v:line style="position:absolute" from="2334,14" to="3501,14" stroked="true" strokeweight=".12pt" strokecolor="#000000"/>
            <v:line style="position:absolute" from="2334,16" to="3501,16" stroked="true" strokeweight=".12pt" strokecolor="#000000"/>
            <v:line style="position:absolute" from="2334,18" to="3501,18" stroked="true" strokeweight=".12pt" strokecolor="#000000"/>
            <v:line style="position:absolute" from="3501,2" to="4667,2" stroked="true" strokeweight=".12pt" strokecolor="#000000"/>
            <v:line style="position:absolute" from="3501,4" to="4667,4" stroked="true" strokeweight=".12pt" strokecolor="#000000"/>
            <v:line style="position:absolute" from="3501,6" to="4667,6" stroked="true" strokeweight=".12pt" strokecolor="#000000"/>
            <v:line style="position:absolute" from="3501,9" to="4667,9" stroked="true" strokeweight=".12pt" strokecolor="#000000"/>
            <v:line style="position:absolute" from="3501,11" to="4667,11" stroked="true" strokeweight=".12pt" strokecolor="#000000"/>
            <v:line style="position:absolute" from="3501,14" to="4667,14" stroked="true" strokeweight=".12pt" strokecolor="#000000"/>
            <v:line style="position:absolute" from="3501,16" to="4667,16" stroked="true" strokeweight=".12pt" strokecolor="#000000"/>
            <v:line style="position:absolute" from="3501,18" to="4667,18" stroked="true" strokeweight=".12pt" strokecolor="#000000"/>
          </v:group>
        </w:pict>
      </w:r>
      <w:r>
        <w:rPr>
          <w:sz w:val="2"/>
        </w:rPr>
      </w:r>
    </w:p>
    <w:p>
      <w:pPr>
        <w:pStyle w:val="BodyText"/>
        <w:rPr>
          <w:sz w:val="20"/>
        </w:rPr>
      </w:pPr>
    </w:p>
    <w:p>
      <w:pPr>
        <w:pStyle w:val="BodyText"/>
        <w:spacing w:before="9"/>
        <w:rPr>
          <w:sz w:val="25"/>
        </w:rPr>
      </w:pPr>
    </w:p>
    <w:tbl>
      <w:tblPr>
        <w:tblW w:w="0" w:type="auto"/>
        <w:jc w:val="left"/>
        <w:tblInd w:w="10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38"/>
        <w:gridCol w:w="1142"/>
        <w:gridCol w:w="1468"/>
        <w:gridCol w:w="1078"/>
        <w:gridCol w:w="1166"/>
        <w:gridCol w:w="954"/>
      </w:tblGrid>
      <w:tr>
        <w:trPr>
          <w:trHeight w:val="516" w:hRule="exact"/>
        </w:trPr>
        <w:tc>
          <w:tcPr>
            <w:tcW w:w="3138" w:type="dxa"/>
          </w:tcPr>
          <w:p>
            <w:pPr>
              <w:pStyle w:val="TableParagraph"/>
              <w:spacing w:before="80"/>
              <w:ind w:left="35"/>
              <w:rPr>
                <w:b/>
                <w:sz w:val="16"/>
              </w:rPr>
            </w:pPr>
            <w:r>
              <w:rPr>
                <w:b/>
                <w:sz w:val="16"/>
              </w:rPr>
              <w:t>Net liability reconciliation - 2016</w:t>
            </w:r>
          </w:p>
          <w:p>
            <w:pPr>
              <w:pStyle w:val="TableParagraph"/>
              <w:spacing w:before="32"/>
              <w:ind w:left="35"/>
              <w:rPr>
                <w:sz w:val="16"/>
              </w:rPr>
            </w:pPr>
            <w:r>
              <w:rPr>
                <w:sz w:val="16"/>
              </w:rPr>
              <w:t>Defined benefit obligation</w:t>
            </w:r>
          </w:p>
        </w:tc>
        <w:tc>
          <w:tcPr>
            <w:tcW w:w="1142" w:type="dxa"/>
          </w:tcPr>
          <w:p>
            <w:pPr/>
          </w:p>
        </w:tc>
        <w:tc>
          <w:tcPr>
            <w:tcW w:w="1468" w:type="dxa"/>
          </w:tcPr>
          <w:p>
            <w:pPr>
              <w:pStyle w:val="TableParagraph"/>
              <w:rPr>
                <w:sz w:val="16"/>
              </w:rPr>
            </w:pPr>
          </w:p>
          <w:p>
            <w:pPr>
              <w:pStyle w:val="TableParagraph"/>
              <w:spacing w:before="110"/>
              <w:ind w:right="380"/>
              <w:jc w:val="right"/>
              <w:rPr>
                <w:sz w:val="16"/>
              </w:rPr>
            </w:pPr>
            <w:r>
              <w:rPr>
                <w:sz w:val="16"/>
              </w:rPr>
              <w:t>38,794</w:t>
            </w:r>
          </w:p>
        </w:tc>
        <w:tc>
          <w:tcPr>
            <w:tcW w:w="1078" w:type="dxa"/>
          </w:tcPr>
          <w:p>
            <w:pPr>
              <w:pStyle w:val="TableParagraph"/>
              <w:rPr>
                <w:sz w:val="16"/>
              </w:rPr>
            </w:pPr>
          </w:p>
          <w:p>
            <w:pPr>
              <w:pStyle w:val="TableParagraph"/>
              <w:spacing w:before="110"/>
              <w:ind w:right="291"/>
              <w:jc w:val="right"/>
              <w:rPr>
                <w:sz w:val="16"/>
              </w:rPr>
            </w:pPr>
            <w:r>
              <w:rPr>
                <w:sz w:val="16"/>
              </w:rPr>
              <w:t>6,058</w:t>
            </w:r>
          </w:p>
        </w:tc>
        <w:tc>
          <w:tcPr>
            <w:tcW w:w="1166" w:type="dxa"/>
          </w:tcPr>
          <w:p>
            <w:pPr>
              <w:pStyle w:val="TableParagraph"/>
              <w:rPr>
                <w:sz w:val="16"/>
              </w:rPr>
            </w:pPr>
          </w:p>
          <w:p>
            <w:pPr>
              <w:pStyle w:val="TableParagraph"/>
              <w:spacing w:before="110"/>
              <w:ind w:left="293"/>
              <w:rPr>
                <w:sz w:val="16"/>
              </w:rPr>
            </w:pPr>
            <w:r>
              <w:rPr>
                <w:sz w:val="16"/>
              </w:rPr>
              <w:t>409,418</w:t>
            </w:r>
          </w:p>
        </w:tc>
        <w:tc>
          <w:tcPr>
            <w:tcW w:w="954" w:type="dxa"/>
          </w:tcPr>
          <w:p>
            <w:pPr>
              <w:pStyle w:val="TableParagraph"/>
              <w:rPr>
                <w:sz w:val="16"/>
              </w:rPr>
            </w:pPr>
          </w:p>
          <w:p>
            <w:pPr>
              <w:pStyle w:val="TableParagraph"/>
              <w:spacing w:before="110"/>
              <w:ind w:left="293"/>
              <w:rPr>
                <w:sz w:val="16"/>
              </w:rPr>
            </w:pPr>
            <w:r>
              <w:rPr>
                <w:sz w:val="16"/>
              </w:rPr>
              <w:t>454,270</w:t>
            </w:r>
          </w:p>
        </w:tc>
      </w:tr>
      <w:tr>
        <w:trPr>
          <w:trHeight w:val="241" w:hRule="exact"/>
        </w:trPr>
        <w:tc>
          <w:tcPr>
            <w:tcW w:w="3138" w:type="dxa"/>
          </w:tcPr>
          <w:p>
            <w:pPr>
              <w:pStyle w:val="TableParagraph"/>
              <w:spacing w:before="22"/>
              <w:ind w:left="35"/>
              <w:rPr>
                <w:sz w:val="16"/>
              </w:rPr>
            </w:pPr>
            <w:r>
              <w:rPr>
                <w:sz w:val="16"/>
              </w:rPr>
              <w:t>Fair value of plan assets</w:t>
            </w:r>
          </w:p>
        </w:tc>
        <w:tc>
          <w:tcPr>
            <w:tcW w:w="1142" w:type="dxa"/>
          </w:tcPr>
          <w:p>
            <w:pPr/>
          </w:p>
        </w:tc>
        <w:tc>
          <w:tcPr>
            <w:tcW w:w="1468" w:type="dxa"/>
            <w:tcBorders>
              <w:bottom w:val="single" w:sz="1" w:space="0" w:color="000000"/>
            </w:tcBorders>
          </w:tcPr>
          <w:p>
            <w:pPr>
              <w:pStyle w:val="TableParagraph"/>
              <w:spacing w:before="20"/>
              <w:ind w:right="327"/>
              <w:jc w:val="right"/>
              <w:rPr>
                <w:sz w:val="16"/>
              </w:rPr>
            </w:pPr>
            <w:r>
              <w:rPr>
                <w:sz w:val="16"/>
              </w:rPr>
              <w:t>(27,654)</w:t>
            </w:r>
          </w:p>
        </w:tc>
        <w:tc>
          <w:tcPr>
            <w:tcW w:w="1078" w:type="dxa"/>
            <w:tcBorders>
              <w:bottom w:val="single" w:sz="1" w:space="0" w:color="000000"/>
            </w:tcBorders>
          </w:tcPr>
          <w:p>
            <w:pPr>
              <w:pStyle w:val="TableParagraph"/>
              <w:spacing w:before="20"/>
              <w:ind w:right="239"/>
              <w:jc w:val="right"/>
              <w:rPr>
                <w:sz w:val="16"/>
              </w:rPr>
            </w:pPr>
            <w:r>
              <w:rPr>
                <w:sz w:val="16"/>
              </w:rPr>
              <w:t>(2,215)</w:t>
            </w:r>
          </w:p>
        </w:tc>
        <w:tc>
          <w:tcPr>
            <w:tcW w:w="1166" w:type="dxa"/>
            <w:tcBorders>
              <w:bottom w:val="single" w:sz="1" w:space="0" w:color="000000"/>
            </w:tcBorders>
          </w:tcPr>
          <w:p>
            <w:pPr>
              <w:pStyle w:val="TableParagraph"/>
              <w:spacing w:before="20"/>
              <w:ind w:right="239"/>
              <w:jc w:val="right"/>
              <w:rPr>
                <w:sz w:val="16"/>
              </w:rPr>
            </w:pPr>
            <w:r>
              <w:rPr>
                <w:sz w:val="16"/>
              </w:rPr>
              <w:t>(91,419)</w:t>
            </w:r>
          </w:p>
        </w:tc>
        <w:tc>
          <w:tcPr>
            <w:tcW w:w="954" w:type="dxa"/>
            <w:tcBorders>
              <w:bottom w:val="single" w:sz="1" w:space="0" w:color="000000"/>
            </w:tcBorders>
          </w:tcPr>
          <w:p>
            <w:pPr>
              <w:pStyle w:val="TableParagraph"/>
              <w:spacing w:before="20"/>
              <w:ind w:right="26"/>
              <w:jc w:val="right"/>
              <w:rPr>
                <w:sz w:val="16"/>
              </w:rPr>
            </w:pPr>
            <w:r>
              <w:rPr>
                <w:sz w:val="16"/>
              </w:rPr>
              <w:t>(121,288)</w:t>
            </w:r>
          </w:p>
        </w:tc>
      </w:tr>
      <w:tr>
        <w:trPr>
          <w:trHeight w:val="317" w:hRule="exact"/>
        </w:trPr>
        <w:tc>
          <w:tcPr>
            <w:tcW w:w="3138" w:type="dxa"/>
          </w:tcPr>
          <w:p>
            <w:pPr>
              <w:pStyle w:val="TableParagraph"/>
              <w:spacing w:before="124"/>
              <w:ind w:left="35"/>
              <w:rPr>
                <w:b/>
                <w:sz w:val="16"/>
              </w:rPr>
            </w:pPr>
            <w:r>
              <w:rPr>
                <w:b/>
                <w:sz w:val="16"/>
              </w:rPr>
              <w:t>Net liability</w:t>
            </w:r>
          </w:p>
        </w:tc>
        <w:tc>
          <w:tcPr>
            <w:tcW w:w="1142" w:type="dxa"/>
          </w:tcPr>
          <w:p>
            <w:pPr>
              <w:pStyle w:val="TableParagraph"/>
              <w:spacing w:before="38"/>
              <w:ind w:right="302"/>
              <w:jc w:val="right"/>
              <w:rPr>
                <w:sz w:val="16"/>
              </w:rPr>
            </w:pPr>
            <w:r>
              <w:rPr>
                <w:sz w:val="16"/>
              </w:rPr>
              <w:t>27</w:t>
            </w:r>
          </w:p>
        </w:tc>
        <w:tc>
          <w:tcPr>
            <w:tcW w:w="1468" w:type="dxa"/>
            <w:tcBorders>
              <w:top w:val="single" w:sz="1" w:space="0" w:color="000000"/>
              <w:bottom w:val="single" w:sz="1" w:space="0" w:color="000000"/>
            </w:tcBorders>
          </w:tcPr>
          <w:p>
            <w:pPr>
              <w:pStyle w:val="TableParagraph"/>
              <w:spacing w:before="123"/>
              <w:ind w:right="380"/>
              <w:jc w:val="right"/>
              <w:rPr>
                <w:sz w:val="16"/>
              </w:rPr>
            </w:pPr>
            <w:r>
              <w:rPr>
                <w:sz w:val="16"/>
              </w:rPr>
              <w:t>11,140</w:t>
            </w:r>
          </w:p>
        </w:tc>
        <w:tc>
          <w:tcPr>
            <w:tcW w:w="1078" w:type="dxa"/>
            <w:tcBorders>
              <w:top w:val="single" w:sz="1" w:space="0" w:color="000000"/>
              <w:bottom w:val="single" w:sz="1" w:space="0" w:color="000000"/>
            </w:tcBorders>
          </w:tcPr>
          <w:p>
            <w:pPr>
              <w:pStyle w:val="TableParagraph"/>
              <w:spacing w:before="123"/>
              <w:ind w:right="291"/>
              <w:jc w:val="right"/>
              <w:rPr>
                <w:sz w:val="16"/>
              </w:rPr>
            </w:pPr>
            <w:r>
              <w:rPr>
                <w:sz w:val="16"/>
              </w:rPr>
              <w:t>3,843</w:t>
            </w:r>
          </w:p>
        </w:tc>
        <w:tc>
          <w:tcPr>
            <w:tcW w:w="1166" w:type="dxa"/>
            <w:tcBorders>
              <w:top w:val="single" w:sz="1" w:space="0" w:color="000000"/>
              <w:bottom w:val="single" w:sz="1" w:space="0" w:color="000000"/>
            </w:tcBorders>
          </w:tcPr>
          <w:p>
            <w:pPr>
              <w:pStyle w:val="TableParagraph"/>
              <w:spacing w:before="123"/>
              <w:ind w:left="293"/>
              <w:rPr>
                <w:sz w:val="16"/>
              </w:rPr>
            </w:pPr>
            <w:r>
              <w:rPr>
                <w:sz w:val="16"/>
              </w:rPr>
              <w:t>317,999</w:t>
            </w:r>
          </w:p>
        </w:tc>
        <w:tc>
          <w:tcPr>
            <w:tcW w:w="954" w:type="dxa"/>
            <w:tcBorders>
              <w:top w:val="single" w:sz="1" w:space="0" w:color="000000"/>
              <w:bottom w:val="single" w:sz="1" w:space="0" w:color="000000"/>
            </w:tcBorders>
          </w:tcPr>
          <w:p>
            <w:pPr>
              <w:pStyle w:val="TableParagraph"/>
              <w:spacing w:before="123"/>
              <w:ind w:left="293"/>
              <w:rPr>
                <w:sz w:val="16"/>
              </w:rPr>
            </w:pPr>
            <w:r>
              <w:rPr>
                <w:sz w:val="16"/>
              </w:rPr>
              <w:t>332,982</w:t>
            </w:r>
          </w:p>
        </w:tc>
      </w:tr>
      <w:tr>
        <w:trPr>
          <w:trHeight w:val="262" w:hRule="exact"/>
        </w:trPr>
        <w:tc>
          <w:tcPr>
            <w:tcW w:w="3138" w:type="dxa"/>
          </w:tcPr>
          <w:p>
            <w:pPr>
              <w:pStyle w:val="TableParagraph"/>
              <w:spacing w:before="43"/>
              <w:ind w:left="35"/>
              <w:rPr>
                <w:sz w:val="16"/>
              </w:rPr>
            </w:pPr>
            <w:r>
              <w:rPr>
                <w:sz w:val="16"/>
              </w:rPr>
              <w:t>Reimbursement right</w:t>
            </w:r>
          </w:p>
        </w:tc>
        <w:tc>
          <w:tcPr>
            <w:tcW w:w="1142" w:type="dxa"/>
          </w:tcPr>
          <w:p>
            <w:pPr>
              <w:pStyle w:val="TableParagraph"/>
              <w:spacing w:before="38"/>
              <w:ind w:right="302"/>
              <w:jc w:val="right"/>
              <w:rPr>
                <w:sz w:val="16"/>
              </w:rPr>
            </w:pPr>
            <w:r>
              <w:rPr>
                <w:sz w:val="16"/>
              </w:rPr>
              <w:t>18</w:t>
            </w:r>
          </w:p>
        </w:tc>
        <w:tc>
          <w:tcPr>
            <w:tcW w:w="1468" w:type="dxa"/>
            <w:tcBorders>
              <w:top w:val="single" w:sz="1" w:space="0" w:color="000000"/>
              <w:bottom w:val="single" w:sz="1" w:space="0" w:color="000000"/>
            </w:tcBorders>
          </w:tcPr>
          <w:p>
            <w:pPr>
              <w:pStyle w:val="TableParagraph"/>
              <w:spacing w:before="39"/>
              <w:ind w:right="327"/>
              <w:jc w:val="right"/>
              <w:rPr>
                <w:sz w:val="16"/>
              </w:rPr>
            </w:pPr>
            <w:r>
              <w:rPr>
                <w:sz w:val="16"/>
              </w:rPr>
              <w:t>(10,605)</w:t>
            </w:r>
          </w:p>
        </w:tc>
        <w:tc>
          <w:tcPr>
            <w:tcW w:w="1078" w:type="dxa"/>
            <w:tcBorders>
              <w:top w:val="single" w:sz="1" w:space="0" w:color="000000"/>
              <w:bottom w:val="single" w:sz="1" w:space="0" w:color="000000"/>
            </w:tcBorders>
          </w:tcPr>
          <w:p>
            <w:pPr>
              <w:pStyle w:val="TableParagraph"/>
              <w:spacing w:before="39"/>
              <w:ind w:right="239"/>
              <w:jc w:val="right"/>
              <w:rPr>
                <w:sz w:val="16"/>
              </w:rPr>
            </w:pPr>
            <w:r>
              <w:rPr>
                <w:sz w:val="16"/>
              </w:rPr>
              <w:t>(3,718)</w:t>
            </w:r>
          </w:p>
        </w:tc>
        <w:tc>
          <w:tcPr>
            <w:tcW w:w="1166" w:type="dxa"/>
            <w:tcBorders>
              <w:top w:val="single" w:sz="1" w:space="0" w:color="000000"/>
              <w:bottom w:val="single" w:sz="1" w:space="0" w:color="000000"/>
            </w:tcBorders>
          </w:tcPr>
          <w:p>
            <w:pPr>
              <w:pStyle w:val="TableParagraph"/>
              <w:spacing w:before="39"/>
              <w:ind w:right="239"/>
              <w:jc w:val="right"/>
              <w:rPr>
                <w:sz w:val="16"/>
              </w:rPr>
            </w:pPr>
            <w:r>
              <w:rPr>
                <w:sz w:val="16"/>
              </w:rPr>
              <w:t>(317,958)</w:t>
            </w:r>
          </w:p>
        </w:tc>
        <w:tc>
          <w:tcPr>
            <w:tcW w:w="954" w:type="dxa"/>
            <w:tcBorders>
              <w:top w:val="single" w:sz="1" w:space="0" w:color="000000"/>
              <w:bottom w:val="single" w:sz="1" w:space="0" w:color="000000"/>
            </w:tcBorders>
          </w:tcPr>
          <w:p>
            <w:pPr>
              <w:pStyle w:val="TableParagraph"/>
              <w:spacing w:before="39"/>
              <w:ind w:right="26"/>
              <w:jc w:val="right"/>
              <w:rPr>
                <w:sz w:val="16"/>
              </w:rPr>
            </w:pPr>
            <w:r>
              <w:rPr>
                <w:sz w:val="16"/>
              </w:rPr>
              <w:t>(332,281)</w:t>
            </w:r>
          </w:p>
        </w:tc>
      </w:tr>
      <w:tr>
        <w:trPr>
          <w:trHeight w:val="331" w:hRule="exact"/>
        </w:trPr>
        <w:tc>
          <w:tcPr>
            <w:tcW w:w="3138" w:type="dxa"/>
          </w:tcPr>
          <w:p>
            <w:pPr>
              <w:pStyle w:val="TableParagraph"/>
              <w:spacing w:before="124"/>
              <w:ind w:left="35"/>
              <w:rPr>
                <w:b/>
                <w:sz w:val="16"/>
              </w:rPr>
            </w:pPr>
            <w:r>
              <w:rPr>
                <w:b/>
                <w:sz w:val="16"/>
              </w:rPr>
              <w:t>Total net liability/(asset)</w:t>
            </w:r>
          </w:p>
        </w:tc>
        <w:tc>
          <w:tcPr>
            <w:tcW w:w="1142" w:type="dxa"/>
          </w:tcPr>
          <w:p>
            <w:pPr/>
          </w:p>
        </w:tc>
        <w:tc>
          <w:tcPr>
            <w:tcW w:w="1468" w:type="dxa"/>
            <w:tcBorders>
              <w:top w:val="single" w:sz="1" w:space="0" w:color="000000"/>
              <w:bottom w:val="single" w:sz="1" w:space="0" w:color="000000"/>
            </w:tcBorders>
          </w:tcPr>
          <w:p>
            <w:pPr>
              <w:pStyle w:val="TableParagraph"/>
              <w:spacing w:before="123"/>
              <w:ind w:right="380"/>
              <w:jc w:val="right"/>
              <w:rPr>
                <w:sz w:val="16"/>
              </w:rPr>
            </w:pPr>
            <w:r>
              <w:rPr>
                <w:sz w:val="16"/>
              </w:rPr>
              <w:t>535</w:t>
            </w:r>
          </w:p>
        </w:tc>
        <w:tc>
          <w:tcPr>
            <w:tcW w:w="1078" w:type="dxa"/>
            <w:tcBorders>
              <w:top w:val="single" w:sz="1" w:space="0" w:color="000000"/>
              <w:bottom w:val="single" w:sz="1" w:space="0" w:color="000000"/>
            </w:tcBorders>
          </w:tcPr>
          <w:p>
            <w:pPr>
              <w:pStyle w:val="TableParagraph"/>
              <w:spacing w:before="123"/>
              <w:ind w:right="292"/>
              <w:jc w:val="right"/>
              <w:rPr>
                <w:sz w:val="16"/>
              </w:rPr>
            </w:pPr>
            <w:r>
              <w:rPr>
                <w:sz w:val="16"/>
              </w:rPr>
              <w:t>125</w:t>
            </w:r>
          </w:p>
        </w:tc>
        <w:tc>
          <w:tcPr>
            <w:tcW w:w="1166" w:type="dxa"/>
            <w:tcBorders>
              <w:top w:val="single" w:sz="1" w:space="0" w:color="000000"/>
              <w:bottom w:val="single" w:sz="1" w:space="0" w:color="000000"/>
            </w:tcBorders>
          </w:tcPr>
          <w:p>
            <w:pPr>
              <w:pStyle w:val="TableParagraph"/>
              <w:spacing w:before="123"/>
              <w:ind w:right="292"/>
              <w:jc w:val="right"/>
              <w:rPr>
                <w:sz w:val="16"/>
              </w:rPr>
            </w:pPr>
            <w:r>
              <w:rPr>
                <w:sz w:val="16"/>
              </w:rPr>
              <w:t>41</w:t>
            </w:r>
          </w:p>
        </w:tc>
        <w:tc>
          <w:tcPr>
            <w:tcW w:w="954" w:type="dxa"/>
            <w:tcBorders>
              <w:top w:val="single" w:sz="1" w:space="0" w:color="000000"/>
              <w:bottom w:val="single" w:sz="1" w:space="0" w:color="000000"/>
            </w:tcBorders>
          </w:tcPr>
          <w:p>
            <w:pPr>
              <w:pStyle w:val="TableParagraph"/>
              <w:spacing w:before="123"/>
              <w:ind w:right="79"/>
              <w:jc w:val="right"/>
              <w:rPr>
                <w:sz w:val="16"/>
              </w:rPr>
            </w:pPr>
            <w:r>
              <w:rPr>
                <w:sz w:val="16"/>
              </w:rPr>
              <w:t>701</w:t>
            </w:r>
          </w:p>
        </w:tc>
      </w:tr>
    </w:tbl>
    <w:p>
      <w:pPr>
        <w:pStyle w:val="BodyText"/>
        <w:rPr>
          <w:sz w:val="20"/>
        </w:rPr>
      </w:pPr>
    </w:p>
    <w:p>
      <w:pPr>
        <w:pStyle w:val="BodyText"/>
        <w:spacing w:before="10"/>
        <w:rPr>
          <w:sz w:val="27"/>
        </w:rPr>
      </w:pPr>
    </w:p>
    <w:tbl>
      <w:tblPr>
        <w:tblW w:w="0" w:type="auto"/>
        <w:jc w:val="left"/>
        <w:tblInd w:w="10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1"/>
        <w:gridCol w:w="1494"/>
        <w:gridCol w:w="1078"/>
        <w:gridCol w:w="1166"/>
        <w:gridCol w:w="927"/>
      </w:tblGrid>
      <w:tr>
        <w:trPr>
          <w:trHeight w:val="515" w:hRule="exact"/>
        </w:trPr>
        <w:tc>
          <w:tcPr>
            <w:tcW w:w="4281" w:type="dxa"/>
          </w:tcPr>
          <w:p>
            <w:pPr>
              <w:pStyle w:val="TableParagraph"/>
              <w:spacing w:before="80"/>
              <w:ind w:left="35"/>
              <w:rPr>
                <w:b/>
                <w:sz w:val="16"/>
              </w:rPr>
            </w:pPr>
            <w:r>
              <w:rPr>
                <w:b/>
                <w:sz w:val="16"/>
              </w:rPr>
              <w:t>Reimbursement rights - 2016</w:t>
            </w:r>
          </w:p>
          <w:p>
            <w:pPr>
              <w:pStyle w:val="TableParagraph"/>
              <w:spacing w:before="32"/>
              <w:ind w:left="35"/>
              <w:rPr>
                <w:sz w:val="16"/>
              </w:rPr>
            </w:pPr>
            <w:r>
              <w:rPr>
                <w:sz w:val="16"/>
              </w:rPr>
              <w:t>Opening value of reimbursement right</w:t>
            </w:r>
          </w:p>
        </w:tc>
        <w:tc>
          <w:tcPr>
            <w:tcW w:w="1494" w:type="dxa"/>
          </w:tcPr>
          <w:p>
            <w:pPr>
              <w:pStyle w:val="TableParagraph"/>
              <w:rPr>
                <w:sz w:val="16"/>
              </w:rPr>
            </w:pPr>
          </w:p>
          <w:p>
            <w:pPr>
              <w:pStyle w:val="TableParagraph"/>
              <w:spacing w:before="110"/>
              <w:ind w:right="406"/>
              <w:jc w:val="right"/>
              <w:rPr>
                <w:sz w:val="16"/>
              </w:rPr>
            </w:pPr>
            <w:r>
              <w:rPr>
                <w:sz w:val="16"/>
              </w:rPr>
              <w:t>10,895</w:t>
            </w:r>
          </w:p>
        </w:tc>
        <w:tc>
          <w:tcPr>
            <w:tcW w:w="1078" w:type="dxa"/>
          </w:tcPr>
          <w:p>
            <w:pPr>
              <w:pStyle w:val="TableParagraph"/>
              <w:rPr>
                <w:sz w:val="16"/>
              </w:rPr>
            </w:pPr>
          </w:p>
          <w:p>
            <w:pPr>
              <w:pStyle w:val="TableParagraph"/>
              <w:spacing w:before="110"/>
              <w:ind w:right="318"/>
              <w:jc w:val="right"/>
              <w:rPr>
                <w:sz w:val="16"/>
              </w:rPr>
            </w:pPr>
            <w:r>
              <w:rPr>
                <w:sz w:val="16"/>
              </w:rPr>
              <w:t>3,387</w:t>
            </w:r>
          </w:p>
        </w:tc>
        <w:tc>
          <w:tcPr>
            <w:tcW w:w="1166" w:type="dxa"/>
          </w:tcPr>
          <w:p>
            <w:pPr>
              <w:pStyle w:val="TableParagraph"/>
              <w:rPr>
                <w:sz w:val="16"/>
              </w:rPr>
            </w:pPr>
          </w:p>
          <w:p>
            <w:pPr>
              <w:pStyle w:val="TableParagraph"/>
              <w:spacing w:before="110"/>
              <w:ind w:left="267"/>
              <w:rPr>
                <w:sz w:val="16"/>
              </w:rPr>
            </w:pPr>
            <w:r>
              <w:rPr>
                <w:sz w:val="16"/>
              </w:rPr>
              <w:t>321,573</w:t>
            </w:r>
          </w:p>
        </w:tc>
        <w:tc>
          <w:tcPr>
            <w:tcW w:w="927" w:type="dxa"/>
          </w:tcPr>
          <w:p>
            <w:pPr>
              <w:pStyle w:val="TableParagraph"/>
              <w:rPr>
                <w:sz w:val="16"/>
              </w:rPr>
            </w:pPr>
          </w:p>
          <w:p>
            <w:pPr>
              <w:pStyle w:val="TableParagraph"/>
              <w:spacing w:before="110"/>
              <w:ind w:left="267"/>
              <w:rPr>
                <w:sz w:val="16"/>
              </w:rPr>
            </w:pPr>
            <w:r>
              <w:rPr>
                <w:sz w:val="16"/>
              </w:rPr>
              <w:t>335,855</w:t>
            </w:r>
          </w:p>
        </w:tc>
      </w:tr>
      <w:tr>
        <w:trPr>
          <w:trHeight w:val="424" w:hRule="exact"/>
        </w:trPr>
        <w:tc>
          <w:tcPr>
            <w:tcW w:w="4281" w:type="dxa"/>
          </w:tcPr>
          <w:p>
            <w:pPr>
              <w:pStyle w:val="TableParagraph"/>
              <w:spacing w:before="18"/>
              <w:ind w:left="35" w:right="1046"/>
              <w:rPr>
                <w:sz w:val="16"/>
              </w:rPr>
            </w:pPr>
            <w:r>
              <w:rPr>
                <w:sz w:val="16"/>
              </w:rPr>
              <w:t>Excess salary expense through profit and loss</w:t>
            </w:r>
          </w:p>
        </w:tc>
        <w:tc>
          <w:tcPr>
            <w:tcW w:w="1494" w:type="dxa"/>
          </w:tcPr>
          <w:p>
            <w:pPr>
              <w:pStyle w:val="TableParagraph"/>
              <w:spacing w:before="5"/>
              <w:rPr>
                <w:sz w:val="17"/>
              </w:rPr>
            </w:pPr>
          </w:p>
          <w:p>
            <w:pPr>
              <w:pStyle w:val="TableParagraph"/>
              <w:ind w:right="354"/>
              <w:jc w:val="right"/>
              <w:rPr>
                <w:sz w:val="16"/>
              </w:rPr>
            </w:pPr>
            <w:r>
              <w:rPr>
                <w:sz w:val="16"/>
              </w:rPr>
              <w:t>(8)</w:t>
            </w:r>
          </w:p>
        </w:tc>
        <w:tc>
          <w:tcPr>
            <w:tcW w:w="1078" w:type="dxa"/>
          </w:tcPr>
          <w:p>
            <w:pPr>
              <w:pStyle w:val="TableParagraph"/>
              <w:spacing w:before="5"/>
              <w:rPr>
                <w:sz w:val="17"/>
              </w:rPr>
            </w:pPr>
          </w:p>
          <w:p>
            <w:pPr>
              <w:pStyle w:val="TableParagraph"/>
              <w:ind w:right="265"/>
              <w:jc w:val="right"/>
              <w:rPr>
                <w:sz w:val="16"/>
              </w:rPr>
            </w:pPr>
            <w:r>
              <w:rPr>
                <w:sz w:val="16"/>
              </w:rPr>
              <w:t>(5)</w:t>
            </w:r>
          </w:p>
        </w:tc>
        <w:tc>
          <w:tcPr>
            <w:tcW w:w="1166" w:type="dxa"/>
          </w:tcPr>
          <w:p>
            <w:pPr>
              <w:pStyle w:val="TableParagraph"/>
              <w:spacing w:before="5"/>
              <w:rPr>
                <w:sz w:val="17"/>
              </w:rPr>
            </w:pPr>
          </w:p>
          <w:p>
            <w:pPr>
              <w:pStyle w:val="TableParagraph"/>
              <w:ind w:right="265"/>
              <w:jc w:val="right"/>
              <w:rPr>
                <w:sz w:val="16"/>
              </w:rPr>
            </w:pPr>
            <w:r>
              <w:rPr>
                <w:sz w:val="16"/>
              </w:rPr>
              <w:t>(42)</w:t>
            </w:r>
          </w:p>
        </w:tc>
        <w:tc>
          <w:tcPr>
            <w:tcW w:w="927" w:type="dxa"/>
          </w:tcPr>
          <w:p>
            <w:pPr>
              <w:pStyle w:val="TableParagraph"/>
              <w:spacing w:before="5"/>
              <w:rPr>
                <w:sz w:val="17"/>
              </w:rPr>
            </w:pPr>
          </w:p>
          <w:p>
            <w:pPr>
              <w:pStyle w:val="TableParagraph"/>
              <w:ind w:right="26"/>
              <w:jc w:val="right"/>
              <w:rPr>
                <w:sz w:val="16"/>
              </w:rPr>
            </w:pPr>
            <w:r>
              <w:rPr>
                <w:sz w:val="16"/>
              </w:rPr>
              <w:t>(55)</w:t>
            </w:r>
          </w:p>
        </w:tc>
      </w:tr>
      <w:tr>
        <w:trPr>
          <w:trHeight w:val="242" w:hRule="exact"/>
        </w:trPr>
        <w:tc>
          <w:tcPr>
            <w:tcW w:w="4281" w:type="dxa"/>
          </w:tcPr>
          <w:p>
            <w:pPr>
              <w:pStyle w:val="TableParagraph"/>
              <w:spacing w:before="22"/>
              <w:ind w:left="35"/>
              <w:rPr>
                <w:sz w:val="16"/>
              </w:rPr>
            </w:pPr>
            <w:r>
              <w:rPr>
                <w:sz w:val="16"/>
              </w:rPr>
              <w:t>Emerging liability for excess salaries</w:t>
            </w:r>
          </w:p>
        </w:tc>
        <w:tc>
          <w:tcPr>
            <w:tcW w:w="1494" w:type="dxa"/>
          </w:tcPr>
          <w:p>
            <w:pPr>
              <w:pStyle w:val="TableParagraph"/>
              <w:spacing w:before="20"/>
              <w:ind w:right="354"/>
              <w:jc w:val="right"/>
              <w:rPr>
                <w:sz w:val="16"/>
              </w:rPr>
            </w:pPr>
            <w:r>
              <w:rPr>
                <w:sz w:val="16"/>
              </w:rPr>
              <w:t>(527)</w:t>
            </w:r>
          </w:p>
        </w:tc>
        <w:tc>
          <w:tcPr>
            <w:tcW w:w="1078" w:type="dxa"/>
          </w:tcPr>
          <w:p>
            <w:pPr>
              <w:pStyle w:val="TableParagraph"/>
              <w:spacing w:before="20"/>
              <w:ind w:right="265"/>
              <w:jc w:val="right"/>
              <w:rPr>
                <w:sz w:val="16"/>
              </w:rPr>
            </w:pPr>
            <w:r>
              <w:rPr>
                <w:sz w:val="16"/>
              </w:rPr>
              <w:t>(119)</w:t>
            </w:r>
          </w:p>
        </w:tc>
        <w:tc>
          <w:tcPr>
            <w:tcW w:w="1166" w:type="dxa"/>
          </w:tcPr>
          <w:p>
            <w:pPr>
              <w:pStyle w:val="TableParagraph"/>
              <w:spacing w:before="20"/>
              <w:ind w:right="317"/>
              <w:jc w:val="right"/>
              <w:rPr>
                <w:sz w:val="16"/>
              </w:rPr>
            </w:pPr>
            <w:r>
              <w:rPr>
                <w:w w:val="100"/>
                <w:sz w:val="16"/>
              </w:rPr>
              <w:t>-</w:t>
            </w:r>
          </w:p>
        </w:tc>
        <w:tc>
          <w:tcPr>
            <w:tcW w:w="927" w:type="dxa"/>
          </w:tcPr>
          <w:p>
            <w:pPr>
              <w:pStyle w:val="TableParagraph"/>
              <w:spacing w:before="20"/>
              <w:ind w:right="26"/>
              <w:jc w:val="right"/>
              <w:rPr>
                <w:sz w:val="16"/>
              </w:rPr>
            </w:pPr>
            <w:r>
              <w:rPr>
                <w:sz w:val="16"/>
              </w:rPr>
              <w:t>(646)</w:t>
            </w:r>
          </w:p>
        </w:tc>
      </w:tr>
      <w:tr>
        <w:trPr>
          <w:trHeight w:val="242" w:hRule="exact"/>
        </w:trPr>
        <w:tc>
          <w:tcPr>
            <w:tcW w:w="4281" w:type="dxa"/>
          </w:tcPr>
          <w:p>
            <w:pPr>
              <w:pStyle w:val="TableParagraph"/>
              <w:spacing w:before="22"/>
              <w:ind w:left="35"/>
              <w:rPr>
                <w:sz w:val="16"/>
              </w:rPr>
            </w:pPr>
            <w:r>
              <w:rPr>
                <w:sz w:val="16"/>
              </w:rPr>
              <w:t>Return on reimbursement rights</w:t>
            </w:r>
          </w:p>
        </w:tc>
        <w:tc>
          <w:tcPr>
            <w:tcW w:w="1494" w:type="dxa"/>
          </w:tcPr>
          <w:p>
            <w:pPr>
              <w:pStyle w:val="TableParagraph"/>
              <w:spacing w:before="20"/>
              <w:ind w:right="407"/>
              <w:jc w:val="right"/>
              <w:rPr>
                <w:sz w:val="16"/>
              </w:rPr>
            </w:pPr>
            <w:r>
              <w:rPr>
                <w:sz w:val="16"/>
              </w:rPr>
              <w:t>617</w:t>
            </w:r>
          </w:p>
        </w:tc>
        <w:tc>
          <w:tcPr>
            <w:tcW w:w="1078" w:type="dxa"/>
          </w:tcPr>
          <w:p>
            <w:pPr>
              <w:pStyle w:val="TableParagraph"/>
              <w:spacing w:before="20"/>
              <w:ind w:right="318"/>
              <w:jc w:val="right"/>
              <w:rPr>
                <w:sz w:val="16"/>
              </w:rPr>
            </w:pPr>
            <w:r>
              <w:rPr>
                <w:sz w:val="16"/>
              </w:rPr>
              <w:t>112</w:t>
            </w:r>
          </w:p>
        </w:tc>
        <w:tc>
          <w:tcPr>
            <w:tcW w:w="1166" w:type="dxa"/>
          </w:tcPr>
          <w:p>
            <w:pPr>
              <w:pStyle w:val="TableParagraph"/>
              <w:spacing w:before="20"/>
              <w:ind w:left="445"/>
              <w:rPr>
                <w:sz w:val="16"/>
              </w:rPr>
            </w:pPr>
            <w:r>
              <w:rPr>
                <w:sz w:val="16"/>
              </w:rPr>
              <w:t>8,877</w:t>
            </w:r>
          </w:p>
        </w:tc>
        <w:tc>
          <w:tcPr>
            <w:tcW w:w="927" w:type="dxa"/>
          </w:tcPr>
          <w:p>
            <w:pPr>
              <w:pStyle w:val="TableParagraph"/>
              <w:spacing w:before="20"/>
              <w:ind w:left="445"/>
              <w:rPr>
                <w:sz w:val="16"/>
              </w:rPr>
            </w:pPr>
            <w:r>
              <w:rPr>
                <w:sz w:val="16"/>
              </w:rPr>
              <w:t>9,606</w:t>
            </w:r>
          </w:p>
        </w:tc>
      </w:tr>
      <w:tr>
        <w:trPr>
          <w:trHeight w:val="241" w:hRule="exact"/>
        </w:trPr>
        <w:tc>
          <w:tcPr>
            <w:tcW w:w="4281" w:type="dxa"/>
          </w:tcPr>
          <w:p>
            <w:pPr>
              <w:pStyle w:val="TableParagraph"/>
              <w:spacing w:before="22"/>
              <w:ind w:left="35"/>
              <w:rPr>
                <w:sz w:val="16"/>
              </w:rPr>
            </w:pPr>
            <w:r>
              <w:rPr>
                <w:sz w:val="16"/>
              </w:rPr>
              <w:t>Remeasurements</w:t>
            </w:r>
          </w:p>
        </w:tc>
        <w:tc>
          <w:tcPr>
            <w:tcW w:w="1494" w:type="dxa"/>
            <w:tcBorders>
              <w:bottom w:val="single" w:sz="1" w:space="0" w:color="000000"/>
            </w:tcBorders>
          </w:tcPr>
          <w:p>
            <w:pPr>
              <w:pStyle w:val="TableParagraph"/>
              <w:spacing w:before="20"/>
              <w:ind w:right="354"/>
              <w:jc w:val="right"/>
              <w:rPr>
                <w:sz w:val="16"/>
              </w:rPr>
            </w:pPr>
            <w:r>
              <w:rPr>
                <w:sz w:val="16"/>
              </w:rPr>
              <w:t>(372)</w:t>
            </w:r>
          </w:p>
        </w:tc>
        <w:tc>
          <w:tcPr>
            <w:tcW w:w="1078" w:type="dxa"/>
            <w:tcBorders>
              <w:bottom w:val="single" w:sz="1" w:space="0" w:color="000000"/>
            </w:tcBorders>
          </w:tcPr>
          <w:p>
            <w:pPr>
              <w:pStyle w:val="TableParagraph"/>
              <w:spacing w:before="20"/>
              <w:ind w:right="318"/>
              <w:jc w:val="right"/>
              <w:rPr>
                <w:sz w:val="16"/>
              </w:rPr>
            </w:pPr>
            <w:r>
              <w:rPr>
                <w:sz w:val="16"/>
              </w:rPr>
              <w:t>343</w:t>
            </w:r>
          </w:p>
        </w:tc>
        <w:tc>
          <w:tcPr>
            <w:tcW w:w="1166" w:type="dxa"/>
            <w:tcBorders>
              <w:bottom w:val="single" w:sz="1" w:space="0" w:color="000000"/>
            </w:tcBorders>
          </w:tcPr>
          <w:p>
            <w:pPr>
              <w:pStyle w:val="TableParagraph"/>
              <w:spacing w:before="20"/>
              <w:ind w:right="265"/>
              <w:jc w:val="right"/>
              <w:rPr>
                <w:sz w:val="16"/>
              </w:rPr>
            </w:pPr>
            <w:r>
              <w:rPr>
                <w:sz w:val="16"/>
              </w:rPr>
              <w:t>(12,450)</w:t>
            </w:r>
          </w:p>
        </w:tc>
        <w:tc>
          <w:tcPr>
            <w:tcW w:w="927" w:type="dxa"/>
            <w:tcBorders>
              <w:bottom w:val="single" w:sz="1" w:space="0" w:color="000000"/>
            </w:tcBorders>
          </w:tcPr>
          <w:p>
            <w:pPr>
              <w:pStyle w:val="TableParagraph"/>
              <w:spacing w:before="20"/>
              <w:ind w:right="26"/>
              <w:jc w:val="right"/>
              <w:rPr>
                <w:sz w:val="16"/>
              </w:rPr>
            </w:pPr>
            <w:r>
              <w:rPr>
                <w:sz w:val="16"/>
              </w:rPr>
              <w:t>(12,479)</w:t>
            </w:r>
          </w:p>
        </w:tc>
      </w:tr>
      <w:tr>
        <w:trPr>
          <w:trHeight w:val="331" w:hRule="exact"/>
        </w:trPr>
        <w:tc>
          <w:tcPr>
            <w:tcW w:w="4281" w:type="dxa"/>
          </w:tcPr>
          <w:p>
            <w:pPr>
              <w:pStyle w:val="TableParagraph"/>
              <w:tabs>
                <w:tab w:pos="3975" w:val="right" w:leader="none"/>
              </w:tabs>
              <w:spacing w:before="34"/>
              <w:ind w:left="35"/>
              <w:rPr>
                <w:sz w:val="16"/>
              </w:rPr>
            </w:pPr>
            <w:r>
              <w:rPr>
                <w:b/>
                <w:sz w:val="16"/>
              </w:rPr>
              <w:t>Closing value of</w:t>
            </w:r>
            <w:r>
              <w:rPr>
                <w:b/>
                <w:spacing w:val="1"/>
                <w:sz w:val="16"/>
              </w:rPr>
              <w:t> </w:t>
            </w:r>
            <w:r>
              <w:rPr>
                <w:b/>
                <w:sz w:val="16"/>
              </w:rPr>
              <w:t>reimbursement right</w:t>
            </w:r>
            <w:r>
              <w:rPr>
                <w:rFonts w:ascii="Times New Roman"/>
                <w:position w:val="9"/>
                <w:sz w:val="16"/>
              </w:rPr>
              <w:tab/>
            </w:r>
            <w:r>
              <w:rPr>
                <w:position w:val="9"/>
                <w:sz w:val="16"/>
              </w:rPr>
              <w:t>18</w:t>
            </w:r>
          </w:p>
        </w:tc>
        <w:tc>
          <w:tcPr>
            <w:tcW w:w="1494" w:type="dxa"/>
            <w:tcBorders>
              <w:top w:val="single" w:sz="1" w:space="0" w:color="000000"/>
              <w:bottom w:val="single" w:sz="1" w:space="0" w:color="000000"/>
            </w:tcBorders>
          </w:tcPr>
          <w:p>
            <w:pPr>
              <w:pStyle w:val="TableParagraph"/>
              <w:spacing w:before="123"/>
              <w:ind w:right="406"/>
              <w:jc w:val="right"/>
              <w:rPr>
                <w:sz w:val="16"/>
              </w:rPr>
            </w:pPr>
            <w:r>
              <w:rPr>
                <w:sz w:val="16"/>
              </w:rPr>
              <w:t>10,605</w:t>
            </w:r>
          </w:p>
        </w:tc>
        <w:tc>
          <w:tcPr>
            <w:tcW w:w="1078" w:type="dxa"/>
            <w:tcBorders>
              <w:top w:val="single" w:sz="1" w:space="0" w:color="000000"/>
              <w:bottom w:val="single" w:sz="1" w:space="0" w:color="000000"/>
            </w:tcBorders>
          </w:tcPr>
          <w:p>
            <w:pPr>
              <w:pStyle w:val="TableParagraph"/>
              <w:spacing w:before="123"/>
              <w:ind w:right="318"/>
              <w:jc w:val="right"/>
              <w:rPr>
                <w:sz w:val="16"/>
              </w:rPr>
            </w:pPr>
            <w:r>
              <w:rPr>
                <w:sz w:val="16"/>
              </w:rPr>
              <w:t>3,718</w:t>
            </w:r>
          </w:p>
        </w:tc>
        <w:tc>
          <w:tcPr>
            <w:tcW w:w="1166" w:type="dxa"/>
            <w:tcBorders>
              <w:top w:val="single" w:sz="1" w:space="0" w:color="000000"/>
              <w:bottom w:val="single" w:sz="1" w:space="0" w:color="000000"/>
            </w:tcBorders>
          </w:tcPr>
          <w:p>
            <w:pPr>
              <w:pStyle w:val="TableParagraph"/>
              <w:spacing w:before="123"/>
              <w:ind w:left="267"/>
              <w:rPr>
                <w:sz w:val="16"/>
              </w:rPr>
            </w:pPr>
            <w:r>
              <w:rPr>
                <w:sz w:val="16"/>
              </w:rPr>
              <w:t>317,958</w:t>
            </w:r>
          </w:p>
        </w:tc>
        <w:tc>
          <w:tcPr>
            <w:tcW w:w="927" w:type="dxa"/>
            <w:tcBorders>
              <w:top w:val="single" w:sz="1" w:space="0" w:color="000000"/>
              <w:bottom w:val="single" w:sz="1" w:space="0" w:color="000000"/>
            </w:tcBorders>
          </w:tcPr>
          <w:p>
            <w:pPr>
              <w:pStyle w:val="TableParagraph"/>
              <w:spacing w:before="123"/>
              <w:ind w:left="267"/>
              <w:rPr>
                <w:sz w:val="16"/>
              </w:rPr>
            </w:pPr>
            <w:r>
              <w:rPr>
                <w:sz w:val="16"/>
              </w:rPr>
              <w:t>332,281</w:t>
            </w:r>
          </w:p>
        </w:tc>
      </w:tr>
    </w:tbl>
    <w:p>
      <w:pPr>
        <w:spacing w:after="0"/>
        <w:rPr>
          <w:sz w:val="16"/>
        </w:rPr>
        <w:sectPr>
          <w:type w:val="continuous"/>
          <w:pgSz w:w="11910" w:h="16840"/>
          <w:pgMar w:top="1580" w:bottom="280" w:left="900" w:right="88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1"/>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
        <w:gridCol w:w="4457"/>
        <w:gridCol w:w="1315"/>
        <w:gridCol w:w="1206"/>
        <w:gridCol w:w="1166"/>
        <w:gridCol w:w="978"/>
      </w:tblGrid>
      <w:tr>
        <w:trPr>
          <w:trHeight w:val="824" w:hRule="exact"/>
        </w:trPr>
        <w:tc>
          <w:tcPr>
            <w:tcW w:w="429" w:type="dxa"/>
          </w:tcPr>
          <w:p>
            <w:pPr>
              <w:pStyle w:val="TableParagraph"/>
              <w:spacing w:before="77"/>
              <w:ind w:left="35"/>
              <w:rPr>
                <w:b/>
                <w:sz w:val="18"/>
              </w:rPr>
            </w:pPr>
            <w:r>
              <w:rPr>
                <w:b/>
                <w:sz w:val="18"/>
              </w:rPr>
              <w:t>41</w:t>
            </w:r>
          </w:p>
          <w:p>
            <w:pPr>
              <w:pStyle w:val="TableParagraph"/>
              <w:spacing w:before="7"/>
              <w:rPr>
                <w:rFonts w:ascii="Times New Roman"/>
                <w:sz w:val="26"/>
              </w:rPr>
            </w:pPr>
          </w:p>
          <w:p>
            <w:pPr>
              <w:pStyle w:val="TableParagraph"/>
              <w:ind w:left="35"/>
              <w:rPr>
                <w:sz w:val="18"/>
              </w:rPr>
            </w:pPr>
            <w:r>
              <w:rPr>
                <w:sz w:val="18"/>
              </w:rPr>
              <w:t>(d)</w:t>
            </w:r>
          </w:p>
        </w:tc>
        <w:tc>
          <w:tcPr>
            <w:tcW w:w="4457" w:type="dxa"/>
          </w:tcPr>
          <w:p>
            <w:pPr>
              <w:pStyle w:val="TableParagraph"/>
              <w:spacing w:before="77"/>
              <w:ind w:left="172"/>
              <w:rPr>
                <w:b/>
                <w:sz w:val="18"/>
              </w:rPr>
            </w:pPr>
            <w:r>
              <w:rPr>
                <w:b/>
                <w:sz w:val="18"/>
              </w:rPr>
              <w:t>Defined Benefits Plans (continued)</w:t>
            </w:r>
          </w:p>
          <w:p>
            <w:pPr>
              <w:pStyle w:val="TableParagraph"/>
              <w:spacing w:before="7"/>
              <w:rPr>
                <w:rFonts w:ascii="Times New Roman"/>
                <w:sz w:val="26"/>
              </w:rPr>
            </w:pPr>
          </w:p>
          <w:p>
            <w:pPr>
              <w:pStyle w:val="TableParagraph"/>
              <w:ind w:left="172"/>
              <w:rPr>
                <w:sz w:val="18"/>
              </w:rPr>
            </w:pPr>
            <w:r>
              <w:rPr>
                <w:sz w:val="18"/>
              </w:rPr>
              <w:t>Statement of financial position amounts (continued)</w:t>
            </w:r>
          </w:p>
        </w:tc>
        <w:tc>
          <w:tcPr>
            <w:tcW w:w="4666" w:type="dxa"/>
            <w:gridSpan w:val="4"/>
          </w:tcPr>
          <w:p>
            <w:pPr/>
          </w:p>
        </w:tc>
      </w:tr>
      <w:tr>
        <w:trPr>
          <w:trHeight w:val="237" w:hRule="exact"/>
        </w:trPr>
        <w:tc>
          <w:tcPr>
            <w:tcW w:w="429" w:type="dxa"/>
          </w:tcPr>
          <w:p>
            <w:pPr/>
          </w:p>
        </w:tc>
        <w:tc>
          <w:tcPr>
            <w:tcW w:w="4457" w:type="dxa"/>
          </w:tcPr>
          <w:p>
            <w:pPr/>
          </w:p>
        </w:tc>
        <w:tc>
          <w:tcPr>
            <w:tcW w:w="1315" w:type="dxa"/>
          </w:tcPr>
          <w:p>
            <w:pPr>
              <w:pStyle w:val="TableParagraph"/>
              <w:spacing w:before="10"/>
              <w:ind w:left="405"/>
              <w:rPr>
                <w:b/>
                <w:sz w:val="16"/>
              </w:rPr>
            </w:pPr>
            <w:r>
              <w:rPr>
                <w:b/>
                <w:sz w:val="16"/>
              </w:rPr>
              <w:t>$'000</w:t>
            </w:r>
          </w:p>
        </w:tc>
        <w:tc>
          <w:tcPr>
            <w:tcW w:w="1206" w:type="dxa"/>
          </w:tcPr>
          <w:p>
            <w:pPr>
              <w:pStyle w:val="TableParagraph"/>
              <w:spacing w:before="10"/>
              <w:ind w:left="256"/>
              <w:rPr>
                <w:b/>
                <w:sz w:val="16"/>
              </w:rPr>
            </w:pPr>
            <w:r>
              <w:rPr>
                <w:b/>
                <w:sz w:val="16"/>
              </w:rPr>
              <w:t>$'000</w:t>
            </w:r>
          </w:p>
        </w:tc>
        <w:tc>
          <w:tcPr>
            <w:tcW w:w="1166" w:type="dxa"/>
          </w:tcPr>
          <w:p>
            <w:pPr>
              <w:pStyle w:val="TableParagraph"/>
              <w:spacing w:before="10"/>
              <w:ind w:left="217"/>
              <w:rPr>
                <w:b/>
                <w:sz w:val="16"/>
              </w:rPr>
            </w:pPr>
            <w:r>
              <w:rPr>
                <w:b/>
                <w:sz w:val="16"/>
              </w:rPr>
              <w:t>$'000</w:t>
            </w:r>
          </w:p>
        </w:tc>
        <w:tc>
          <w:tcPr>
            <w:tcW w:w="978" w:type="dxa"/>
          </w:tcPr>
          <w:p>
            <w:pPr>
              <w:pStyle w:val="TableParagraph"/>
              <w:spacing w:before="10"/>
              <w:ind w:left="217"/>
              <w:rPr>
                <w:b/>
                <w:sz w:val="16"/>
              </w:rPr>
            </w:pPr>
            <w:r>
              <w:rPr>
                <w:b/>
                <w:sz w:val="16"/>
              </w:rPr>
              <w:t>$'000</w:t>
            </w:r>
          </w:p>
        </w:tc>
      </w:tr>
      <w:tr>
        <w:trPr>
          <w:trHeight w:val="292" w:hRule="exact"/>
        </w:trPr>
        <w:tc>
          <w:tcPr>
            <w:tcW w:w="429" w:type="dxa"/>
          </w:tcPr>
          <w:p>
            <w:pPr/>
          </w:p>
        </w:tc>
        <w:tc>
          <w:tcPr>
            <w:tcW w:w="4457" w:type="dxa"/>
          </w:tcPr>
          <w:p>
            <w:pPr/>
          </w:p>
        </w:tc>
        <w:tc>
          <w:tcPr>
            <w:tcW w:w="1315" w:type="dxa"/>
          </w:tcPr>
          <w:p>
            <w:pPr>
              <w:pStyle w:val="TableParagraph"/>
              <w:spacing w:before="26"/>
              <w:ind w:left="386"/>
              <w:rPr>
                <w:b/>
                <w:sz w:val="16"/>
              </w:rPr>
            </w:pPr>
            <w:r>
              <w:rPr>
                <w:b/>
                <w:sz w:val="16"/>
              </w:rPr>
              <w:t>SASS</w:t>
            </w:r>
          </w:p>
        </w:tc>
        <w:tc>
          <w:tcPr>
            <w:tcW w:w="1206" w:type="dxa"/>
          </w:tcPr>
          <w:p>
            <w:pPr>
              <w:pStyle w:val="TableParagraph"/>
              <w:spacing w:before="26"/>
              <w:ind w:left="177"/>
              <w:rPr>
                <w:b/>
                <w:sz w:val="16"/>
              </w:rPr>
            </w:pPr>
            <w:r>
              <w:rPr>
                <w:b/>
                <w:sz w:val="16"/>
              </w:rPr>
              <w:t>SANCS</w:t>
            </w:r>
          </w:p>
        </w:tc>
        <w:tc>
          <w:tcPr>
            <w:tcW w:w="1166" w:type="dxa"/>
          </w:tcPr>
          <w:p>
            <w:pPr>
              <w:pStyle w:val="TableParagraph"/>
              <w:spacing w:before="26"/>
              <w:ind w:left="253"/>
              <w:rPr>
                <w:b/>
                <w:sz w:val="16"/>
              </w:rPr>
            </w:pPr>
            <w:r>
              <w:rPr>
                <w:b/>
                <w:sz w:val="16"/>
              </w:rPr>
              <w:t>SSS</w:t>
            </w:r>
          </w:p>
        </w:tc>
        <w:tc>
          <w:tcPr>
            <w:tcW w:w="978" w:type="dxa"/>
          </w:tcPr>
          <w:p>
            <w:pPr>
              <w:pStyle w:val="TableParagraph"/>
              <w:spacing w:before="26"/>
              <w:ind w:left="224"/>
              <w:rPr>
                <w:b/>
                <w:sz w:val="16"/>
              </w:rPr>
            </w:pPr>
            <w:r>
              <w:rPr>
                <w:b/>
                <w:sz w:val="16"/>
              </w:rPr>
              <w:t>Total</w:t>
            </w:r>
          </w:p>
        </w:tc>
      </w:tr>
      <w:tr>
        <w:trPr>
          <w:trHeight w:val="272" w:hRule="exact"/>
        </w:trPr>
        <w:tc>
          <w:tcPr>
            <w:tcW w:w="429" w:type="dxa"/>
          </w:tcPr>
          <w:p>
            <w:pPr/>
          </w:p>
        </w:tc>
        <w:tc>
          <w:tcPr>
            <w:tcW w:w="4457" w:type="dxa"/>
          </w:tcPr>
          <w:p>
            <w:pPr>
              <w:pStyle w:val="TableParagraph"/>
              <w:spacing w:before="65"/>
              <w:ind w:left="211"/>
              <w:rPr>
                <w:b/>
                <w:sz w:val="16"/>
              </w:rPr>
            </w:pPr>
            <w:r>
              <w:rPr>
                <w:b/>
                <w:sz w:val="16"/>
              </w:rPr>
              <w:t>Present value obligations - 2016</w:t>
            </w:r>
          </w:p>
        </w:tc>
        <w:tc>
          <w:tcPr>
            <w:tcW w:w="1315" w:type="dxa"/>
          </w:tcPr>
          <w:p>
            <w:pPr/>
          </w:p>
        </w:tc>
        <w:tc>
          <w:tcPr>
            <w:tcW w:w="1206" w:type="dxa"/>
          </w:tcPr>
          <w:p>
            <w:pPr/>
          </w:p>
        </w:tc>
        <w:tc>
          <w:tcPr>
            <w:tcW w:w="1166" w:type="dxa"/>
          </w:tcPr>
          <w:p>
            <w:pPr/>
          </w:p>
        </w:tc>
        <w:tc>
          <w:tcPr>
            <w:tcW w:w="978" w:type="dxa"/>
          </w:tcPr>
          <w:p>
            <w:pPr/>
          </w:p>
        </w:tc>
      </w:tr>
      <w:tr>
        <w:trPr>
          <w:trHeight w:val="229" w:hRule="exact"/>
        </w:trPr>
        <w:tc>
          <w:tcPr>
            <w:tcW w:w="429" w:type="dxa"/>
          </w:tcPr>
          <w:p>
            <w:pPr/>
          </w:p>
        </w:tc>
        <w:tc>
          <w:tcPr>
            <w:tcW w:w="4457" w:type="dxa"/>
          </w:tcPr>
          <w:p>
            <w:pPr>
              <w:pStyle w:val="TableParagraph"/>
              <w:spacing w:before="9"/>
              <w:ind w:left="211"/>
              <w:rPr>
                <w:sz w:val="16"/>
              </w:rPr>
            </w:pPr>
            <w:r>
              <w:rPr>
                <w:sz w:val="16"/>
              </w:rPr>
              <w:t>Opening defined benefit obligation</w:t>
            </w:r>
          </w:p>
        </w:tc>
        <w:tc>
          <w:tcPr>
            <w:tcW w:w="1315" w:type="dxa"/>
          </w:tcPr>
          <w:p>
            <w:pPr>
              <w:pStyle w:val="TableParagraph"/>
              <w:spacing w:before="6"/>
              <w:ind w:right="228"/>
              <w:jc w:val="right"/>
              <w:rPr>
                <w:sz w:val="16"/>
              </w:rPr>
            </w:pPr>
            <w:r>
              <w:rPr>
                <w:sz w:val="16"/>
              </w:rPr>
              <w:t>43,556</w:t>
            </w:r>
          </w:p>
        </w:tc>
        <w:tc>
          <w:tcPr>
            <w:tcW w:w="1206" w:type="dxa"/>
          </w:tcPr>
          <w:p>
            <w:pPr>
              <w:pStyle w:val="TableParagraph"/>
              <w:spacing w:before="6"/>
              <w:ind w:right="267"/>
              <w:jc w:val="right"/>
              <w:rPr>
                <w:sz w:val="16"/>
              </w:rPr>
            </w:pPr>
            <w:r>
              <w:rPr>
                <w:sz w:val="16"/>
              </w:rPr>
              <w:t>6,897</w:t>
            </w:r>
          </w:p>
        </w:tc>
        <w:tc>
          <w:tcPr>
            <w:tcW w:w="1166" w:type="dxa"/>
          </w:tcPr>
          <w:p>
            <w:pPr>
              <w:pStyle w:val="TableParagraph"/>
              <w:spacing w:before="6"/>
              <w:ind w:left="317"/>
              <w:rPr>
                <w:sz w:val="16"/>
              </w:rPr>
            </w:pPr>
            <w:r>
              <w:rPr>
                <w:sz w:val="16"/>
              </w:rPr>
              <w:t>422,251</w:t>
            </w:r>
          </w:p>
        </w:tc>
        <w:tc>
          <w:tcPr>
            <w:tcW w:w="978" w:type="dxa"/>
          </w:tcPr>
          <w:p>
            <w:pPr>
              <w:pStyle w:val="TableParagraph"/>
              <w:spacing w:before="6"/>
              <w:ind w:left="317"/>
              <w:rPr>
                <w:sz w:val="16"/>
              </w:rPr>
            </w:pPr>
            <w:r>
              <w:rPr>
                <w:sz w:val="16"/>
              </w:rPr>
              <w:t>472,704</w:t>
            </w:r>
          </w:p>
        </w:tc>
      </w:tr>
      <w:tr>
        <w:trPr>
          <w:trHeight w:val="242" w:hRule="exact"/>
        </w:trPr>
        <w:tc>
          <w:tcPr>
            <w:tcW w:w="429" w:type="dxa"/>
          </w:tcPr>
          <w:p>
            <w:pPr/>
          </w:p>
        </w:tc>
        <w:tc>
          <w:tcPr>
            <w:tcW w:w="4457" w:type="dxa"/>
          </w:tcPr>
          <w:p>
            <w:pPr>
              <w:pStyle w:val="TableParagraph"/>
              <w:spacing w:before="22"/>
              <w:ind w:left="211"/>
              <w:rPr>
                <w:sz w:val="16"/>
              </w:rPr>
            </w:pPr>
            <w:r>
              <w:rPr>
                <w:sz w:val="16"/>
              </w:rPr>
              <w:t>Current service cost</w:t>
            </w:r>
          </w:p>
        </w:tc>
        <w:tc>
          <w:tcPr>
            <w:tcW w:w="1315" w:type="dxa"/>
          </w:tcPr>
          <w:p>
            <w:pPr>
              <w:pStyle w:val="TableParagraph"/>
              <w:spacing w:before="20"/>
              <w:ind w:right="228"/>
              <w:jc w:val="right"/>
              <w:rPr>
                <w:sz w:val="16"/>
              </w:rPr>
            </w:pPr>
            <w:r>
              <w:rPr>
                <w:sz w:val="16"/>
              </w:rPr>
              <w:t>1,330</w:t>
            </w:r>
          </w:p>
        </w:tc>
        <w:tc>
          <w:tcPr>
            <w:tcW w:w="1206" w:type="dxa"/>
          </w:tcPr>
          <w:p>
            <w:pPr>
              <w:pStyle w:val="TableParagraph"/>
              <w:spacing w:before="20"/>
              <w:ind w:right="268"/>
              <w:jc w:val="right"/>
              <w:rPr>
                <w:sz w:val="16"/>
              </w:rPr>
            </w:pPr>
            <w:r>
              <w:rPr>
                <w:sz w:val="16"/>
              </w:rPr>
              <w:t>283</w:t>
            </w:r>
          </w:p>
        </w:tc>
        <w:tc>
          <w:tcPr>
            <w:tcW w:w="1166" w:type="dxa"/>
          </w:tcPr>
          <w:p>
            <w:pPr>
              <w:pStyle w:val="TableParagraph"/>
              <w:spacing w:before="20"/>
              <w:ind w:right="268"/>
              <w:jc w:val="right"/>
              <w:rPr>
                <w:sz w:val="16"/>
              </w:rPr>
            </w:pPr>
            <w:r>
              <w:rPr>
                <w:sz w:val="16"/>
              </w:rPr>
              <w:t>258</w:t>
            </w:r>
          </w:p>
        </w:tc>
        <w:tc>
          <w:tcPr>
            <w:tcW w:w="978" w:type="dxa"/>
          </w:tcPr>
          <w:p>
            <w:pPr>
              <w:pStyle w:val="TableParagraph"/>
              <w:spacing w:before="20"/>
              <w:ind w:right="79"/>
              <w:jc w:val="right"/>
              <w:rPr>
                <w:sz w:val="16"/>
              </w:rPr>
            </w:pPr>
            <w:r>
              <w:rPr>
                <w:sz w:val="16"/>
              </w:rPr>
              <w:t>1,871</w:t>
            </w:r>
          </w:p>
        </w:tc>
      </w:tr>
      <w:tr>
        <w:trPr>
          <w:trHeight w:val="241" w:hRule="exact"/>
        </w:trPr>
        <w:tc>
          <w:tcPr>
            <w:tcW w:w="429" w:type="dxa"/>
          </w:tcPr>
          <w:p>
            <w:pPr/>
          </w:p>
        </w:tc>
        <w:tc>
          <w:tcPr>
            <w:tcW w:w="4457" w:type="dxa"/>
          </w:tcPr>
          <w:p>
            <w:pPr>
              <w:pStyle w:val="TableParagraph"/>
              <w:spacing w:before="22"/>
              <w:ind w:left="211"/>
              <w:rPr>
                <w:sz w:val="16"/>
              </w:rPr>
            </w:pPr>
            <w:r>
              <w:rPr>
                <w:sz w:val="16"/>
              </w:rPr>
              <w:t>Interest expense</w:t>
            </w:r>
          </w:p>
        </w:tc>
        <w:tc>
          <w:tcPr>
            <w:tcW w:w="1315" w:type="dxa"/>
            <w:tcBorders>
              <w:bottom w:val="single" w:sz="1" w:space="0" w:color="000000"/>
            </w:tcBorders>
          </w:tcPr>
          <w:p>
            <w:pPr>
              <w:pStyle w:val="TableParagraph"/>
              <w:spacing w:before="20"/>
              <w:ind w:right="228"/>
              <w:jc w:val="right"/>
              <w:rPr>
                <w:sz w:val="16"/>
              </w:rPr>
            </w:pPr>
            <w:r>
              <w:rPr>
                <w:sz w:val="16"/>
              </w:rPr>
              <w:t>1,193</w:t>
            </w:r>
          </w:p>
        </w:tc>
        <w:tc>
          <w:tcPr>
            <w:tcW w:w="1206" w:type="dxa"/>
            <w:tcBorders>
              <w:bottom w:val="single" w:sz="1" w:space="0" w:color="000000"/>
            </w:tcBorders>
          </w:tcPr>
          <w:p>
            <w:pPr>
              <w:pStyle w:val="TableParagraph"/>
              <w:spacing w:before="20"/>
              <w:ind w:right="268"/>
              <w:jc w:val="right"/>
              <w:rPr>
                <w:sz w:val="16"/>
              </w:rPr>
            </w:pPr>
            <w:r>
              <w:rPr>
                <w:sz w:val="16"/>
              </w:rPr>
              <w:t>185</w:t>
            </w:r>
          </w:p>
        </w:tc>
        <w:tc>
          <w:tcPr>
            <w:tcW w:w="1166" w:type="dxa"/>
            <w:tcBorders>
              <w:bottom w:val="single" w:sz="1" w:space="0" w:color="000000"/>
            </w:tcBorders>
          </w:tcPr>
          <w:p>
            <w:pPr>
              <w:pStyle w:val="TableParagraph"/>
              <w:spacing w:before="20"/>
              <w:ind w:left="406"/>
              <w:rPr>
                <w:sz w:val="16"/>
              </w:rPr>
            </w:pPr>
            <w:r>
              <w:rPr>
                <w:sz w:val="16"/>
              </w:rPr>
              <w:t>11,986</w:t>
            </w:r>
          </w:p>
        </w:tc>
        <w:tc>
          <w:tcPr>
            <w:tcW w:w="978" w:type="dxa"/>
            <w:tcBorders>
              <w:bottom w:val="single" w:sz="1" w:space="0" w:color="000000"/>
            </w:tcBorders>
          </w:tcPr>
          <w:p>
            <w:pPr>
              <w:pStyle w:val="TableParagraph"/>
              <w:spacing w:before="20"/>
              <w:ind w:left="406"/>
              <w:rPr>
                <w:sz w:val="16"/>
              </w:rPr>
            </w:pPr>
            <w:r>
              <w:rPr>
                <w:sz w:val="16"/>
              </w:rPr>
              <w:t>13,364</w:t>
            </w:r>
          </w:p>
        </w:tc>
      </w:tr>
      <w:tr>
        <w:trPr>
          <w:trHeight w:val="317" w:hRule="exact"/>
        </w:trPr>
        <w:tc>
          <w:tcPr>
            <w:tcW w:w="429" w:type="dxa"/>
          </w:tcPr>
          <w:p>
            <w:pPr/>
          </w:p>
        </w:tc>
        <w:tc>
          <w:tcPr>
            <w:tcW w:w="4457" w:type="dxa"/>
          </w:tcPr>
          <w:p>
            <w:pPr/>
          </w:p>
        </w:tc>
        <w:tc>
          <w:tcPr>
            <w:tcW w:w="1315" w:type="dxa"/>
            <w:tcBorders>
              <w:top w:val="single" w:sz="1" w:space="0" w:color="000000"/>
              <w:bottom w:val="single" w:sz="1" w:space="0" w:color="000000"/>
            </w:tcBorders>
          </w:tcPr>
          <w:p>
            <w:pPr>
              <w:pStyle w:val="TableParagraph"/>
              <w:spacing w:before="123"/>
              <w:ind w:right="228"/>
              <w:jc w:val="right"/>
              <w:rPr>
                <w:sz w:val="16"/>
              </w:rPr>
            </w:pPr>
            <w:r>
              <w:rPr>
                <w:sz w:val="16"/>
              </w:rPr>
              <w:t>46,079</w:t>
            </w:r>
          </w:p>
        </w:tc>
        <w:tc>
          <w:tcPr>
            <w:tcW w:w="1206" w:type="dxa"/>
            <w:tcBorders>
              <w:top w:val="single" w:sz="1" w:space="0" w:color="000000"/>
              <w:bottom w:val="single" w:sz="1" w:space="0" w:color="000000"/>
            </w:tcBorders>
          </w:tcPr>
          <w:p>
            <w:pPr>
              <w:pStyle w:val="TableParagraph"/>
              <w:spacing w:before="123"/>
              <w:ind w:right="267"/>
              <w:jc w:val="right"/>
              <w:rPr>
                <w:sz w:val="16"/>
              </w:rPr>
            </w:pPr>
            <w:r>
              <w:rPr>
                <w:sz w:val="16"/>
              </w:rPr>
              <w:t>7,365</w:t>
            </w:r>
          </w:p>
        </w:tc>
        <w:tc>
          <w:tcPr>
            <w:tcW w:w="1166" w:type="dxa"/>
            <w:tcBorders>
              <w:top w:val="single" w:sz="1" w:space="0" w:color="000000"/>
              <w:bottom w:val="single" w:sz="1" w:space="0" w:color="000000"/>
            </w:tcBorders>
          </w:tcPr>
          <w:p>
            <w:pPr>
              <w:pStyle w:val="TableParagraph"/>
              <w:spacing w:before="123"/>
              <w:ind w:left="317"/>
              <w:rPr>
                <w:sz w:val="16"/>
              </w:rPr>
            </w:pPr>
            <w:r>
              <w:rPr>
                <w:sz w:val="16"/>
              </w:rPr>
              <w:t>434,495</w:t>
            </w:r>
          </w:p>
        </w:tc>
        <w:tc>
          <w:tcPr>
            <w:tcW w:w="978" w:type="dxa"/>
            <w:tcBorders>
              <w:top w:val="single" w:sz="1" w:space="0" w:color="000000"/>
              <w:bottom w:val="single" w:sz="1" w:space="0" w:color="000000"/>
            </w:tcBorders>
          </w:tcPr>
          <w:p>
            <w:pPr>
              <w:pStyle w:val="TableParagraph"/>
              <w:spacing w:before="123"/>
              <w:ind w:left="317"/>
              <w:rPr>
                <w:sz w:val="16"/>
              </w:rPr>
            </w:pPr>
            <w:r>
              <w:rPr>
                <w:sz w:val="16"/>
              </w:rPr>
              <w:t>487,939</w:t>
            </w:r>
          </w:p>
        </w:tc>
      </w:tr>
      <w:tr>
        <w:trPr>
          <w:trHeight w:val="332" w:hRule="exact"/>
        </w:trPr>
        <w:tc>
          <w:tcPr>
            <w:tcW w:w="429" w:type="dxa"/>
          </w:tcPr>
          <w:p>
            <w:pPr/>
          </w:p>
        </w:tc>
        <w:tc>
          <w:tcPr>
            <w:tcW w:w="4457" w:type="dxa"/>
          </w:tcPr>
          <w:p>
            <w:pPr>
              <w:pStyle w:val="TableParagraph"/>
              <w:spacing w:before="124"/>
              <w:ind w:left="211"/>
              <w:rPr>
                <w:b/>
                <w:sz w:val="16"/>
              </w:rPr>
            </w:pPr>
            <w:r>
              <w:rPr>
                <w:b/>
                <w:sz w:val="16"/>
              </w:rPr>
              <w:t>Remeasurements</w:t>
            </w:r>
          </w:p>
        </w:tc>
        <w:tc>
          <w:tcPr>
            <w:tcW w:w="1315" w:type="dxa"/>
            <w:tcBorders>
              <w:top w:val="single" w:sz="1" w:space="0" w:color="000000"/>
            </w:tcBorders>
          </w:tcPr>
          <w:p>
            <w:pPr/>
          </w:p>
        </w:tc>
        <w:tc>
          <w:tcPr>
            <w:tcW w:w="1206" w:type="dxa"/>
            <w:tcBorders>
              <w:top w:val="single" w:sz="1" w:space="0" w:color="000000"/>
            </w:tcBorders>
          </w:tcPr>
          <w:p>
            <w:pPr/>
          </w:p>
        </w:tc>
        <w:tc>
          <w:tcPr>
            <w:tcW w:w="1166" w:type="dxa"/>
            <w:tcBorders>
              <w:top w:val="single" w:sz="1" w:space="0" w:color="000000"/>
            </w:tcBorders>
          </w:tcPr>
          <w:p>
            <w:pPr/>
          </w:p>
        </w:tc>
        <w:tc>
          <w:tcPr>
            <w:tcW w:w="978" w:type="dxa"/>
            <w:tcBorders>
              <w:top w:val="single" w:sz="1" w:space="0" w:color="000000"/>
            </w:tcBorders>
          </w:tcPr>
          <w:p>
            <w:pPr/>
          </w:p>
        </w:tc>
      </w:tr>
      <w:tr>
        <w:trPr>
          <w:trHeight w:val="413" w:hRule="exact"/>
        </w:trPr>
        <w:tc>
          <w:tcPr>
            <w:tcW w:w="429" w:type="dxa"/>
          </w:tcPr>
          <w:p>
            <w:pPr/>
          </w:p>
        </w:tc>
        <w:tc>
          <w:tcPr>
            <w:tcW w:w="4457" w:type="dxa"/>
          </w:tcPr>
          <w:p>
            <w:pPr>
              <w:pStyle w:val="TableParagraph"/>
              <w:spacing w:before="6"/>
              <w:ind w:left="211" w:right="1691"/>
              <w:rPr>
                <w:sz w:val="16"/>
              </w:rPr>
            </w:pPr>
            <w:r>
              <w:rPr>
                <w:sz w:val="16"/>
              </w:rPr>
              <w:t>Actuarial losses/(gains) arising from changes in financial assumptions</w:t>
            </w:r>
          </w:p>
        </w:tc>
        <w:tc>
          <w:tcPr>
            <w:tcW w:w="1315" w:type="dxa"/>
          </w:tcPr>
          <w:p>
            <w:pPr>
              <w:pStyle w:val="TableParagraph"/>
              <w:spacing w:before="7"/>
              <w:rPr>
                <w:rFonts w:ascii="Times New Roman"/>
                <w:sz w:val="16"/>
              </w:rPr>
            </w:pPr>
          </w:p>
          <w:p>
            <w:pPr>
              <w:pStyle w:val="TableParagraph"/>
              <w:ind w:right="228"/>
              <w:jc w:val="right"/>
              <w:rPr>
                <w:sz w:val="16"/>
              </w:rPr>
            </w:pPr>
            <w:r>
              <w:rPr>
                <w:sz w:val="16"/>
              </w:rPr>
              <w:t>170</w:t>
            </w:r>
          </w:p>
        </w:tc>
        <w:tc>
          <w:tcPr>
            <w:tcW w:w="1206" w:type="dxa"/>
          </w:tcPr>
          <w:p>
            <w:pPr>
              <w:pStyle w:val="TableParagraph"/>
              <w:spacing w:before="7"/>
              <w:rPr>
                <w:rFonts w:ascii="Times New Roman"/>
                <w:sz w:val="16"/>
              </w:rPr>
            </w:pPr>
          </w:p>
          <w:p>
            <w:pPr>
              <w:pStyle w:val="TableParagraph"/>
              <w:ind w:right="268"/>
              <w:jc w:val="right"/>
              <w:rPr>
                <w:sz w:val="16"/>
              </w:rPr>
            </w:pPr>
            <w:r>
              <w:rPr>
                <w:sz w:val="16"/>
              </w:rPr>
              <w:t>42</w:t>
            </w:r>
          </w:p>
        </w:tc>
        <w:tc>
          <w:tcPr>
            <w:tcW w:w="1166" w:type="dxa"/>
          </w:tcPr>
          <w:p>
            <w:pPr>
              <w:pStyle w:val="TableParagraph"/>
              <w:spacing w:before="7"/>
              <w:rPr>
                <w:rFonts w:ascii="Times New Roman"/>
                <w:sz w:val="16"/>
              </w:rPr>
            </w:pPr>
          </w:p>
          <w:p>
            <w:pPr>
              <w:pStyle w:val="TableParagraph"/>
              <w:ind w:left="495"/>
              <w:rPr>
                <w:sz w:val="16"/>
              </w:rPr>
            </w:pPr>
            <w:r>
              <w:rPr>
                <w:sz w:val="16"/>
              </w:rPr>
              <w:t>1,350</w:t>
            </w:r>
          </w:p>
        </w:tc>
        <w:tc>
          <w:tcPr>
            <w:tcW w:w="978" w:type="dxa"/>
          </w:tcPr>
          <w:p>
            <w:pPr>
              <w:pStyle w:val="TableParagraph"/>
              <w:spacing w:before="7"/>
              <w:rPr>
                <w:rFonts w:ascii="Times New Roman"/>
                <w:sz w:val="16"/>
              </w:rPr>
            </w:pPr>
          </w:p>
          <w:p>
            <w:pPr>
              <w:pStyle w:val="TableParagraph"/>
              <w:ind w:right="79"/>
              <w:jc w:val="right"/>
              <w:rPr>
                <w:sz w:val="16"/>
              </w:rPr>
            </w:pPr>
            <w:r>
              <w:rPr>
                <w:sz w:val="16"/>
              </w:rPr>
              <w:t>1,562</w:t>
            </w:r>
          </w:p>
        </w:tc>
      </w:tr>
      <w:tr>
        <w:trPr>
          <w:trHeight w:val="242" w:hRule="exact"/>
        </w:trPr>
        <w:tc>
          <w:tcPr>
            <w:tcW w:w="429" w:type="dxa"/>
          </w:tcPr>
          <w:p>
            <w:pPr/>
          </w:p>
        </w:tc>
        <w:tc>
          <w:tcPr>
            <w:tcW w:w="4457" w:type="dxa"/>
          </w:tcPr>
          <w:p>
            <w:pPr>
              <w:pStyle w:val="TableParagraph"/>
              <w:spacing w:before="23"/>
              <w:ind w:left="211"/>
              <w:rPr>
                <w:sz w:val="16"/>
              </w:rPr>
            </w:pPr>
            <w:r>
              <w:rPr>
                <w:sz w:val="16"/>
              </w:rPr>
              <w:t>Experience (gains)/losses</w:t>
            </w:r>
          </w:p>
        </w:tc>
        <w:tc>
          <w:tcPr>
            <w:tcW w:w="1315" w:type="dxa"/>
            <w:tcBorders>
              <w:bottom w:val="single" w:sz="1" w:space="0" w:color="000000"/>
            </w:tcBorders>
          </w:tcPr>
          <w:p>
            <w:pPr>
              <w:pStyle w:val="TableParagraph"/>
              <w:spacing w:before="21"/>
              <w:ind w:right="228"/>
              <w:jc w:val="right"/>
              <w:rPr>
                <w:sz w:val="16"/>
              </w:rPr>
            </w:pPr>
            <w:r>
              <w:rPr>
                <w:sz w:val="16"/>
              </w:rPr>
              <w:t>100</w:t>
            </w:r>
          </w:p>
        </w:tc>
        <w:tc>
          <w:tcPr>
            <w:tcW w:w="1206" w:type="dxa"/>
            <w:tcBorders>
              <w:bottom w:val="single" w:sz="1" w:space="0" w:color="000000"/>
            </w:tcBorders>
          </w:tcPr>
          <w:p>
            <w:pPr>
              <w:pStyle w:val="TableParagraph"/>
              <w:spacing w:before="21"/>
              <w:ind w:right="268"/>
              <w:jc w:val="right"/>
              <w:rPr>
                <w:sz w:val="16"/>
              </w:rPr>
            </w:pPr>
            <w:r>
              <w:rPr>
                <w:sz w:val="16"/>
              </w:rPr>
              <w:t>318</w:t>
            </w:r>
          </w:p>
        </w:tc>
        <w:tc>
          <w:tcPr>
            <w:tcW w:w="1166" w:type="dxa"/>
            <w:tcBorders>
              <w:bottom w:val="single" w:sz="1" w:space="0" w:color="000000"/>
            </w:tcBorders>
          </w:tcPr>
          <w:p>
            <w:pPr>
              <w:pStyle w:val="TableParagraph"/>
              <w:spacing w:before="21"/>
              <w:ind w:right="215"/>
              <w:jc w:val="right"/>
              <w:rPr>
                <w:sz w:val="16"/>
              </w:rPr>
            </w:pPr>
            <w:r>
              <w:rPr>
                <w:sz w:val="16"/>
              </w:rPr>
              <w:t>(12,665)</w:t>
            </w:r>
          </w:p>
        </w:tc>
        <w:tc>
          <w:tcPr>
            <w:tcW w:w="978" w:type="dxa"/>
            <w:tcBorders>
              <w:bottom w:val="single" w:sz="1" w:space="0" w:color="000000"/>
            </w:tcBorders>
          </w:tcPr>
          <w:p>
            <w:pPr>
              <w:pStyle w:val="TableParagraph"/>
              <w:spacing w:before="21"/>
              <w:ind w:right="26"/>
              <w:jc w:val="right"/>
              <w:rPr>
                <w:sz w:val="16"/>
              </w:rPr>
            </w:pPr>
            <w:r>
              <w:rPr>
                <w:sz w:val="16"/>
              </w:rPr>
              <w:t>(12,247)</w:t>
            </w:r>
          </w:p>
        </w:tc>
      </w:tr>
      <w:tr>
        <w:trPr>
          <w:trHeight w:val="317" w:hRule="exact"/>
        </w:trPr>
        <w:tc>
          <w:tcPr>
            <w:tcW w:w="429" w:type="dxa"/>
          </w:tcPr>
          <w:p>
            <w:pPr/>
          </w:p>
        </w:tc>
        <w:tc>
          <w:tcPr>
            <w:tcW w:w="4457" w:type="dxa"/>
          </w:tcPr>
          <w:p>
            <w:pPr/>
          </w:p>
        </w:tc>
        <w:tc>
          <w:tcPr>
            <w:tcW w:w="1315" w:type="dxa"/>
            <w:tcBorders>
              <w:top w:val="single" w:sz="1" w:space="0" w:color="000000"/>
              <w:bottom w:val="single" w:sz="1" w:space="0" w:color="000000"/>
            </w:tcBorders>
          </w:tcPr>
          <w:p>
            <w:pPr>
              <w:pStyle w:val="TableParagraph"/>
              <w:spacing w:before="123"/>
              <w:ind w:right="228"/>
              <w:jc w:val="right"/>
              <w:rPr>
                <w:sz w:val="16"/>
              </w:rPr>
            </w:pPr>
            <w:r>
              <w:rPr>
                <w:sz w:val="16"/>
              </w:rPr>
              <w:t>270</w:t>
            </w:r>
          </w:p>
        </w:tc>
        <w:tc>
          <w:tcPr>
            <w:tcW w:w="1206" w:type="dxa"/>
            <w:tcBorders>
              <w:top w:val="single" w:sz="1" w:space="0" w:color="000000"/>
              <w:bottom w:val="single" w:sz="1" w:space="0" w:color="000000"/>
            </w:tcBorders>
          </w:tcPr>
          <w:p>
            <w:pPr>
              <w:pStyle w:val="TableParagraph"/>
              <w:spacing w:before="123"/>
              <w:ind w:right="268"/>
              <w:jc w:val="right"/>
              <w:rPr>
                <w:sz w:val="16"/>
              </w:rPr>
            </w:pPr>
            <w:r>
              <w:rPr>
                <w:sz w:val="16"/>
              </w:rPr>
              <w:t>360</w:t>
            </w:r>
          </w:p>
        </w:tc>
        <w:tc>
          <w:tcPr>
            <w:tcW w:w="1166" w:type="dxa"/>
            <w:tcBorders>
              <w:top w:val="single" w:sz="1" w:space="0" w:color="000000"/>
              <w:bottom w:val="single" w:sz="1" w:space="0" w:color="000000"/>
            </w:tcBorders>
          </w:tcPr>
          <w:p>
            <w:pPr>
              <w:pStyle w:val="TableParagraph"/>
              <w:spacing w:before="123"/>
              <w:ind w:right="215"/>
              <w:jc w:val="right"/>
              <w:rPr>
                <w:sz w:val="16"/>
              </w:rPr>
            </w:pPr>
            <w:r>
              <w:rPr>
                <w:sz w:val="16"/>
              </w:rPr>
              <w:t>(11,315)</w:t>
            </w:r>
          </w:p>
        </w:tc>
        <w:tc>
          <w:tcPr>
            <w:tcW w:w="978" w:type="dxa"/>
            <w:tcBorders>
              <w:top w:val="single" w:sz="1" w:space="0" w:color="000000"/>
              <w:bottom w:val="single" w:sz="1" w:space="0" w:color="000000"/>
            </w:tcBorders>
          </w:tcPr>
          <w:p>
            <w:pPr>
              <w:pStyle w:val="TableParagraph"/>
              <w:spacing w:before="123"/>
              <w:ind w:right="26"/>
              <w:jc w:val="right"/>
              <w:rPr>
                <w:sz w:val="16"/>
              </w:rPr>
            </w:pPr>
            <w:r>
              <w:rPr>
                <w:sz w:val="16"/>
              </w:rPr>
              <w:t>(10,685)</w:t>
            </w:r>
          </w:p>
        </w:tc>
      </w:tr>
      <w:tr>
        <w:trPr>
          <w:trHeight w:val="332" w:hRule="exact"/>
        </w:trPr>
        <w:tc>
          <w:tcPr>
            <w:tcW w:w="429" w:type="dxa"/>
          </w:tcPr>
          <w:p>
            <w:pPr/>
          </w:p>
        </w:tc>
        <w:tc>
          <w:tcPr>
            <w:tcW w:w="4457" w:type="dxa"/>
          </w:tcPr>
          <w:p>
            <w:pPr>
              <w:pStyle w:val="TableParagraph"/>
              <w:spacing w:before="124"/>
              <w:ind w:left="211"/>
              <w:rPr>
                <w:b/>
                <w:sz w:val="16"/>
              </w:rPr>
            </w:pPr>
            <w:r>
              <w:rPr>
                <w:b/>
                <w:sz w:val="16"/>
              </w:rPr>
              <w:t>Contributions</w:t>
            </w:r>
          </w:p>
        </w:tc>
        <w:tc>
          <w:tcPr>
            <w:tcW w:w="1315" w:type="dxa"/>
            <w:tcBorders>
              <w:top w:val="single" w:sz="1" w:space="0" w:color="000000"/>
            </w:tcBorders>
          </w:tcPr>
          <w:p>
            <w:pPr/>
          </w:p>
        </w:tc>
        <w:tc>
          <w:tcPr>
            <w:tcW w:w="1206" w:type="dxa"/>
            <w:tcBorders>
              <w:top w:val="single" w:sz="1" w:space="0" w:color="000000"/>
            </w:tcBorders>
          </w:tcPr>
          <w:p>
            <w:pPr/>
          </w:p>
        </w:tc>
        <w:tc>
          <w:tcPr>
            <w:tcW w:w="1166" w:type="dxa"/>
            <w:tcBorders>
              <w:top w:val="single" w:sz="1" w:space="0" w:color="000000"/>
            </w:tcBorders>
          </w:tcPr>
          <w:p>
            <w:pPr/>
          </w:p>
        </w:tc>
        <w:tc>
          <w:tcPr>
            <w:tcW w:w="978" w:type="dxa"/>
            <w:tcBorders>
              <w:top w:val="single" w:sz="1" w:space="0" w:color="000000"/>
            </w:tcBorders>
          </w:tcPr>
          <w:p>
            <w:pPr/>
          </w:p>
        </w:tc>
      </w:tr>
      <w:tr>
        <w:trPr>
          <w:trHeight w:val="271" w:hRule="exact"/>
        </w:trPr>
        <w:tc>
          <w:tcPr>
            <w:tcW w:w="429" w:type="dxa"/>
          </w:tcPr>
          <w:p>
            <w:pPr/>
          </w:p>
        </w:tc>
        <w:tc>
          <w:tcPr>
            <w:tcW w:w="4457" w:type="dxa"/>
          </w:tcPr>
          <w:p>
            <w:pPr>
              <w:pStyle w:val="TableParagraph"/>
              <w:spacing w:before="9"/>
              <w:ind w:left="211"/>
              <w:rPr>
                <w:sz w:val="16"/>
              </w:rPr>
            </w:pPr>
            <w:r>
              <w:rPr>
                <w:sz w:val="16"/>
              </w:rPr>
              <w:t>Plan participants</w:t>
            </w:r>
          </w:p>
        </w:tc>
        <w:tc>
          <w:tcPr>
            <w:tcW w:w="1315" w:type="dxa"/>
          </w:tcPr>
          <w:p>
            <w:pPr>
              <w:pStyle w:val="TableParagraph"/>
              <w:spacing w:before="6"/>
              <w:ind w:right="228"/>
              <w:jc w:val="right"/>
              <w:rPr>
                <w:sz w:val="16"/>
              </w:rPr>
            </w:pPr>
            <w:r>
              <w:rPr>
                <w:sz w:val="16"/>
              </w:rPr>
              <w:t>571</w:t>
            </w:r>
          </w:p>
        </w:tc>
        <w:tc>
          <w:tcPr>
            <w:tcW w:w="1206" w:type="dxa"/>
          </w:tcPr>
          <w:p>
            <w:pPr>
              <w:pStyle w:val="TableParagraph"/>
              <w:spacing w:before="6"/>
              <w:ind w:right="267"/>
              <w:jc w:val="right"/>
              <w:rPr>
                <w:sz w:val="16"/>
              </w:rPr>
            </w:pPr>
            <w:r>
              <w:rPr>
                <w:w w:val="100"/>
                <w:sz w:val="16"/>
              </w:rPr>
              <w:t>-</w:t>
            </w:r>
          </w:p>
        </w:tc>
        <w:tc>
          <w:tcPr>
            <w:tcW w:w="1166" w:type="dxa"/>
          </w:tcPr>
          <w:p>
            <w:pPr>
              <w:pStyle w:val="TableParagraph"/>
              <w:spacing w:before="6"/>
              <w:ind w:right="268"/>
              <w:jc w:val="right"/>
              <w:rPr>
                <w:sz w:val="16"/>
              </w:rPr>
            </w:pPr>
            <w:r>
              <w:rPr>
                <w:sz w:val="16"/>
              </w:rPr>
              <w:t>178</w:t>
            </w:r>
          </w:p>
        </w:tc>
        <w:tc>
          <w:tcPr>
            <w:tcW w:w="978" w:type="dxa"/>
          </w:tcPr>
          <w:p>
            <w:pPr>
              <w:pStyle w:val="TableParagraph"/>
              <w:spacing w:before="6"/>
              <w:ind w:right="79"/>
              <w:jc w:val="right"/>
              <w:rPr>
                <w:sz w:val="16"/>
              </w:rPr>
            </w:pPr>
            <w:r>
              <w:rPr>
                <w:sz w:val="16"/>
              </w:rPr>
              <w:t>749</w:t>
            </w:r>
          </w:p>
        </w:tc>
      </w:tr>
      <w:tr>
        <w:trPr>
          <w:trHeight w:val="269" w:hRule="exact"/>
        </w:trPr>
        <w:tc>
          <w:tcPr>
            <w:tcW w:w="429" w:type="dxa"/>
          </w:tcPr>
          <w:p>
            <w:pPr/>
          </w:p>
        </w:tc>
        <w:tc>
          <w:tcPr>
            <w:tcW w:w="4457" w:type="dxa"/>
          </w:tcPr>
          <w:p>
            <w:pPr>
              <w:pStyle w:val="TableParagraph"/>
              <w:spacing w:before="62"/>
              <w:ind w:left="211"/>
              <w:rPr>
                <w:b/>
                <w:sz w:val="16"/>
              </w:rPr>
            </w:pPr>
            <w:r>
              <w:rPr>
                <w:b/>
                <w:sz w:val="16"/>
              </w:rPr>
              <w:t>Payments from plan</w:t>
            </w:r>
          </w:p>
        </w:tc>
        <w:tc>
          <w:tcPr>
            <w:tcW w:w="1315" w:type="dxa"/>
          </w:tcPr>
          <w:p>
            <w:pPr/>
          </w:p>
        </w:tc>
        <w:tc>
          <w:tcPr>
            <w:tcW w:w="1206" w:type="dxa"/>
          </w:tcPr>
          <w:p>
            <w:pPr/>
          </w:p>
        </w:tc>
        <w:tc>
          <w:tcPr>
            <w:tcW w:w="1166" w:type="dxa"/>
          </w:tcPr>
          <w:p>
            <w:pPr/>
          </w:p>
        </w:tc>
        <w:tc>
          <w:tcPr>
            <w:tcW w:w="978" w:type="dxa"/>
          </w:tcPr>
          <w:p>
            <w:pPr/>
          </w:p>
        </w:tc>
      </w:tr>
      <w:tr>
        <w:trPr>
          <w:trHeight w:val="229" w:hRule="exact"/>
        </w:trPr>
        <w:tc>
          <w:tcPr>
            <w:tcW w:w="429" w:type="dxa"/>
          </w:tcPr>
          <w:p>
            <w:pPr/>
          </w:p>
        </w:tc>
        <w:tc>
          <w:tcPr>
            <w:tcW w:w="4457" w:type="dxa"/>
          </w:tcPr>
          <w:p>
            <w:pPr>
              <w:pStyle w:val="TableParagraph"/>
              <w:spacing w:before="9"/>
              <w:ind w:left="211"/>
              <w:rPr>
                <w:sz w:val="16"/>
              </w:rPr>
            </w:pPr>
            <w:r>
              <w:rPr>
                <w:sz w:val="16"/>
              </w:rPr>
              <w:t>Benefits paid</w:t>
            </w:r>
          </w:p>
        </w:tc>
        <w:tc>
          <w:tcPr>
            <w:tcW w:w="1315" w:type="dxa"/>
          </w:tcPr>
          <w:p>
            <w:pPr>
              <w:pStyle w:val="TableParagraph"/>
              <w:spacing w:before="6"/>
              <w:ind w:right="175"/>
              <w:jc w:val="right"/>
              <w:rPr>
                <w:sz w:val="16"/>
              </w:rPr>
            </w:pPr>
            <w:r>
              <w:rPr>
                <w:sz w:val="16"/>
              </w:rPr>
              <w:t>(8,008)</w:t>
            </w:r>
          </w:p>
        </w:tc>
        <w:tc>
          <w:tcPr>
            <w:tcW w:w="1206" w:type="dxa"/>
          </w:tcPr>
          <w:p>
            <w:pPr>
              <w:pStyle w:val="TableParagraph"/>
              <w:spacing w:before="6"/>
              <w:ind w:right="215"/>
              <w:jc w:val="right"/>
              <w:rPr>
                <w:sz w:val="16"/>
              </w:rPr>
            </w:pPr>
            <w:r>
              <w:rPr>
                <w:sz w:val="16"/>
              </w:rPr>
              <w:t>(1,609)</w:t>
            </w:r>
          </w:p>
        </w:tc>
        <w:tc>
          <w:tcPr>
            <w:tcW w:w="1166" w:type="dxa"/>
          </w:tcPr>
          <w:p>
            <w:pPr>
              <w:pStyle w:val="TableParagraph"/>
              <w:spacing w:before="6"/>
              <w:ind w:right="215"/>
              <w:jc w:val="right"/>
              <w:rPr>
                <w:sz w:val="16"/>
              </w:rPr>
            </w:pPr>
            <w:r>
              <w:rPr>
                <w:sz w:val="16"/>
              </w:rPr>
              <w:t>(16,157)</w:t>
            </w:r>
          </w:p>
        </w:tc>
        <w:tc>
          <w:tcPr>
            <w:tcW w:w="978" w:type="dxa"/>
          </w:tcPr>
          <w:p>
            <w:pPr>
              <w:pStyle w:val="TableParagraph"/>
              <w:spacing w:before="6"/>
              <w:ind w:right="26"/>
              <w:jc w:val="right"/>
              <w:rPr>
                <w:sz w:val="16"/>
              </w:rPr>
            </w:pPr>
            <w:r>
              <w:rPr>
                <w:sz w:val="16"/>
              </w:rPr>
              <w:t>(25,774)</w:t>
            </w:r>
          </w:p>
        </w:tc>
      </w:tr>
      <w:tr>
        <w:trPr>
          <w:trHeight w:val="241" w:hRule="exact"/>
        </w:trPr>
        <w:tc>
          <w:tcPr>
            <w:tcW w:w="429" w:type="dxa"/>
          </w:tcPr>
          <w:p>
            <w:pPr/>
          </w:p>
        </w:tc>
        <w:tc>
          <w:tcPr>
            <w:tcW w:w="4457" w:type="dxa"/>
          </w:tcPr>
          <w:p>
            <w:pPr>
              <w:pStyle w:val="TableParagraph"/>
              <w:spacing w:before="22"/>
              <w:ind w:left="211"/>
              <w:rPr>
                <w:sz w:val="16"/>
              </w:rPr>
            </w:pPr>
            <w:r>
              <w:rPr>
                <w:sz w:val="16"/>
              </w:rPr>
              <w:t>Taxes, premiums and expenses paid</w:t>
            </w:r>
          </w:p>
        </w:tc>
        <w:tc>
          <w:tcPr>
            <w:tcW w:w="1315" w:type="dxa"/>
            <w:tcBorders>
              <w:bottom w:val="single" w:sz="1" w:space="0" w:color="000000"/>
            </w:tcBorders>
          </w:tcPr>
          <w:p>
            <w:pPr>
              <w:pStyle w:val="TableParagraph"/>
              <w:spacing w:before="20"/>
              <w:ind w:right="175"/>
              <w:jc w:val="right"/>
              <w:rPr>
                <w:sz w:val="16"/>
              </w:rPr>
            </w:pPr>
            <w:r>
              <w:rPr>
                <w:sz w:val="16"/>
              </w:rPr>
              <w:t>(118)</w:t>
            </w:r>
          </w:p>
        </w:tc>
        <w:tc>
          <w:tcPr>
            <w:tcW w:w="1206" w:type="dxa"/>
            <w:tcBorders>
              <w:bottom w:val="single" w:sz="1" w:space="0" w:color="000000"/>
            </w:tcBorders>
          </w:tcPr>
          <w:p>
            <w:pPr>
              <w:pStyle w:val="TableParagraph"/>
              <w:spacing w:before="20"/>
              <w:ind w:right="215"/>
              <w:jc w:val="right"/>
              <w:rPr>
                <w:sz w:val="16"/>
              </w:rPr>
            </w:pPr>
            <w:r>
              <w:rPr>
                <w:sz w:val="16"/>
              </w:rPr>
              <w:t>(58)</w:t>
            </w:r>
          </w:p>
        </w:tc>
        <w:tc>
          <w:tcPr>
            <w:tcW w:w="1166" w:type="dxa"/>
            <w:tcBorders>
              <w:bottom w:val="single" w:sz="1" w:space="0" w:color="000000"/>
            </w:tcBorders>
          </w:tcPr>
          <w:p>
            <w:pPr>
              <w:pStyle w:val="TableParagraph"/>
              <w:spacing w:before="20"/>
              <w:ind w:left="495"/>
              <w:rPr>
                <w:sz w:val="16"/>
              </w:rPr>
            </w:pPr>
            <w:r>
              <w:rPr>
                <w:sz w:val="16"/>
              </w:rPr>
              <w:t>2,217</w:t>
            </w:r>
          </w:p>
        </w:tc>
        <w:tc>
          <w:tcPr>
            <w:tcW w:w="978" w:type="dxa"/>
            <w:tcBorders>
              <w:bottom w:val="single" w:sz="1" w:space="0" w:color="000000"/>
            </w:tcBorders>
          </w:tcPr>
          <w:p>
            <w:pPr>
              <w:pStyle w:val="TableParagraph"/>
              <w:spacing w:before="20"/>
              <w:ind w:right="79"/>
              <w:jc w:val="right"/>
              <w:rPr>
                <w:sz w:val="16"/>
              </w:rPr>
            </w:pPr>
            <w:r>
              <w:rPr>
                <w:sz w:val="16"/>
              </w:rPr>
              <w:t>2,041</w:t>
            </w:r>
          </w:p>
        </w:tc>
      </w:tr>
      <w:tr>
        <w:trPr>
          <w:trHeight w:val="317" w:hRule="exact"/>
        </w:trPr>
        <w:tc>
          <w:tcPr>
            <w:tcW w:w="429" w:type="dxa"/>
          </w:tcPr>
          <w:p>
            <w:pPr/>
          </w:p>
        </w:tc>
        <w:tc>
          <w:tcPr>
            <w:tcW w:w="4457" w:type="dxa"/>
          </w:tcPr>
          <w:p>
            <w:pPr/>
          </w:p>
        </w:tc>
        <w:tc>
          <w:tcPr>
            <w:tcW w:w="1315" w:type="dxa"/>
            <w:tcBorders>
              <w:top w:val="single" w:sz="1" w:space="0" w:color="000000"/>
              <w:bottom w:val="single" w:sz="1" w:space="0" w:color="000000"/>
            </w:tcBorders>
          </w:tcPr>
          <w:p>
            <w:pPr>
              <w:pStyle w:val="TableParagraph"/>
              <w:spacing w:before="123"/>
              <w:ind w:right="175"/>
              <w:jc w:val="right"/>
              <w:rPr>
                <w:sz w:val="16"/>
              </w:rPr>
            </w:pPr>
            <w:r>
              <w:rPr>
                <w:sz w:val="16"/>
              </w:rPr>
              <w:t>(8,126)</w:t>
            </w:r>
          </w:p>
        </w:tc>
        <w:tc>
          <w:tcPr>
            <w:tcW w:w="1206" w:type="dxa"/>
            <w:tcBorders>
              <w:top w:val="single" w:sz="1" w:space="0" w:color="000000"/>
              <w:bottom w:val="single" w:sz="1" w:space="0" w:color="000000"/>
            </w:tcBorders>
          </w:tcPr>
          <w:p>
            <w:pPr>
              <w:pStyle w:val="TableParagraph"/>
              <w:spacing w:before="123"/>
              <w:ind w:right="215"/>
              <w:jc w:val="right"/>
              <w:rPr>
                <w:sz w:val="16"/>
              </w:rPr>
            </w:pPr>
            <w:r>
              <w:rPr>
                <w:sz w:val="16"/>
              </w:rPr>
              <w:t>(1,667)</w:t>
            </w:r>
          </w:p>
        </w:tc>
        <w:tc>
          <w:tcPr>
            <w:tcW w:w="1166" w:type="dxa"/>
            <w:tcBorders>
              <w:top w:val="single" w:sz="1" w:space="0" w:color="000000"/>
              <w:bottom w:val="single" w:sz="1" w:space="0" w:color="000000"/>
            </w:tcBorders>
          </w:tcPr>
          <w:p>
            <w:pPr>
              <w:pStyle w:val="TableParagraph"/>
              <w:spacing w:before="123"/>
              <w:ind w:right="215"/>
              <w:jc w:val="right"/>
              <w:rPr>
                <w:sz w:val="16"/>
              </w:rPr>
            </w:pPr>
            <w:r>
              <w:rPr>
                <w:sz w:val="16"/>
              </w:rPr>
              <w:t>(13,940)</w:t>
            </w:r>
          </w:p>
        </w:tc>
        <w:tc>
          <w:tcPr>
            <w:tcW w:w="978" w:type="dxa"/>
            <w:tcBorders>
              <w:top w:val="single" w:sz="1" w:space="0" w:color="000000"/>
              <w:bottom w:val="single" w:sz="1" w:space="0" w:color="000000"/>
            </w:tcBorders>
          </w:tcPr>
          <w:p>
            <w:pPr>
              <w:pStyle w:val="TableParagraph"/>
              <w:spacing w:before="123"/>
              <w:ind w:right="26"/>
              <w:jc w:val="right"/>
              <w:rPr>
                <w:sz w:val="16"/>
              </w:rPr>
            </w:pPr>
            <w:r>
              <w:rPr>
                <w:sz w:val="16"/>
              </w:rPr>
              <w:t>(23,733)</w:t>
            </w:r>
          </w:p>
        </w:tc>
      </w:tr>
      <w:tr>
        <w:trPr>
          <w:trHeight w:val="331" w:hRule="exact"/>
        </w:trPr>
        <w:tc>
          <w:tcPr>
            <w:tcW w:w="429" w:type="dxa"/>
          </w:tcPr>
          <w:p>
            <w:pPr/>
          </w:p>
        </w:tc>
        <w:tc>
          <w:tcPr>
            <w:tcW w:w="4457" w:type="dxa"/>
          </w:tcPr>
          <w:p>
            <w:pPr>
              <w:pStyle w:val="TableParagraph"/>
              <w:spacing w:before="124"/>
              <w:ind w:left="211"/>
              <w:rPr>
                <w:b/>
                <w:sz w:val="16"/>
              </w:rPr>
            </w:pPr>
            <w:r>
              <w:rPr>
                <w:b/>
                <w:sz w:val="16"/>
              </w:rPr>
              <w:t>Closing defined benefit obligation</w:t>
            </w:r>
          </w:p>
        </w:tc>
        <w:tc>
          <w:tcPr>
            <w:tcW w:w="1315" w:type="dxa"/>
            <w:tcBorders>
              <w:top w:val="single" w:sz="1" w:space="0" w:color="000000"/>
              <w:bottom w:val="single" w:sz="1" w:space="0" w:color="000000"/>
            </w:tcBorders>
          </w:tcPr>
          <w:p>
            <w:pPr>
              <w:pStyle w:val="TableParagraph"/>
              <w:spacing w:before="123"/>
              <w:ind w:right="228"/>
              <w:jc w:val="right"/>
              <w:rPr>
                <w:sz w:val="16"/>
              </w:rPr>
            </w:pPr>
            <w:r>
              <w:rPr>
                <w:sz w:val="16"/>
              </w:rPr>
              <w:t>38,794</w:t>
            </w:r>
          </w:p>
        </w:tc>
        <w:tc>
          <w:tcPr>
            <w:tcW w:w="1206" w:type="dxa"/>
            <w:tcBorders>
              <w:top w:val="single" w:sz="1" w:space="0" w:color="000000"/>
              <w:bottom w:val="single" w:sz="1" w:space="0" w:color="000000"/>
            </w:tcBorders>
          </w:tcPr>
          <w:p>
            <w:pPr>
              <w:pStyle w:val="TableParagraph"/>
              <w:spacing w:before="123"/>
              <w:ind w:right="267"/>
              <w:jc w:val="right"/>
              <w:rPr>
                <w:sz w:val="16"/>
              </w:rPr>
            </w:pPr>
            <w:r>
              <w:rPr>
                <w:sz w:val="16"/>
              </w:rPr>
              <w:t>6,058</w:t>
            </w:r>
          </w:p>
        </w:tc>
        <w:tc>
          <w:tcPr>
            <w:tcW w:w="1166" w:type="dxa"/>
            <w:tcBorders>
              <w:top w:val="single" w:sz="1" w:space="0" w:color="000000"/>
              <w:bottom w:val="single" w:sz="1" w:space="0" w:color="000000"/>
            </w:tcBorders>
          </w:tcPr>
          <w:p>
            <w:pPr>
              <w:pStyle w:val="TableParagraph"/>
              <w:spacing w:before="123"/>
              <w:ind w:left="317"/>
              <w:rPr>
                <w:sz w:val="16"/>
              </w:rPr>
            </w:pPr>
            <w:r>
              <w:rPr>
                <w:sz w:val="16"/>
              </w:rPr>
              <w:t>409,418</w:t>
            </w:r>
          </w:p>
        </w:tc>
        <w:tc>
          <w:tcPr>
            <w:tcW w:w="978" w:type="dxa"/>
            <w:tcBorders>
              <w:top w:val="single" w:sz="1" w:space="0" w:color="000000"/>
              <w:bottom w:val="single" w:sz="1" w:space="0" w:color="000000"/>
            </w:tcBorders>
          </w:tcPr>
          <w:p>
            <w:pPr>
              <w:pStyle w:val="TableParagraph"/>
              <w:spacing w:before="123"/>
              <w:ind w:left="317"/>
              <w:rPr>
                <w:sz w:val="16"/>
              </w:rPr>
            </w:pPr>
            <w:r>
              <w:rPr>
                <w:sz w:val="16"/>
              </w:rPr>
              <w:t>454,270</w:t>
            </w:r>
          </w:p>
        </w:tc>
      </w:tr>
    </w:tbl>
    <w:p>
      <w:pPr>
        <w:pStyle w:val="BodyText"/>
        <w:rPr>
          <w:rFonts w:ascii="Times New Roman"/>
          <w:sz w:val="20"/>
        </w:rPr>
      </w:pPr>
    </w:p>
    <w:p>
      <w:pPr>
        <w:pStyle w:val="BodyText"/>
        <w:spacing w:before="10"/>
        <w:rPr>
          <w:rFonts w:ascii="Times New Roman"/>
          <w:sz w:val="27"/>
        </w:rPr>
      </w:pPr>
    </w:p>
    <w:tbl>
      <w:tblPr>
        <w:tblW w:w="0" w:type="auto"/>
        <w:jc w:val="left"/>
        <w:tblInd w:w="10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1"/>
        <w:gridCol w:w="1468"/>
        <w:gridCol w:w="1104"/>
        <w:gridCol w:w="1166"/>
        <w:gridCol w:w="927"/>
      </w:tblGrid>
      <w:tr>
        <w:trPr>
          <w:trHeight w:val="516" w:hRule="exact"/>
        </w:trPr>
        <w:tc>
          <w:tcPr>
            <w:tcW w:w="4281" w:type="dxa"/>
          </w:tcPr>
          <w:p>
            <w:pPr>
              <w:pStyle w:val="TableParagraph"/>
              <w:spacing w:before="80"/>
              <w:ind w:left="35"/>
              <w:rPr>
                <w:b/>
                <w:sz w:val="16"/>
              </w:rPr>
            </w:pPr>
            <w:r>
              <w:rPr>
                <w:b/>
                <w:sz w:val="16"/>
              </w:rPr>
              <w:t>Present value of plan assets - 2016</w:t>
            </w:r>
          </w:p>
          <w:p>
            <w:pPr>
              <w:pStyle w:val="TableParagraph"/>
              <w:spacing w:before="32"/>
              <w:ind w:left="35"/>
              <w:rPr>
                <w:sz w:val="16"/>
              </w:rPr>
            </w:pPr>
            <w:r>
              <w:rPr>
                <w:sz w:val="16"/>
              </w:rPr>
              <w:t>Opening fair value of plan assets</w:t>
            </w:r>
          </w:p>
        </w:tc>
        <w:tc>
          <w:tcPr>
            <w:tcW w:w="1468" w:type="dxa"/>
          </w:tcPr>
          <w:p>
            <w:pPr>
              <w:pStyle w:val="TableParagraph"/>
              <w:rPr>
                <w:rFonts w:ascii="Times New Roman"/>
                <w:sz w:val="16"/>
              </w:rPr>
            </w:pPr>
          </w:p>
          <w:p>
            <w:pPr>
              <w:pStyle w:val="TableParagraph"/>
              <w:spacing w:before="110"/>
              <w:ind w:right="380"/>
              <w:jc w:val="right"/>
              <w:rPr>
                <w:sz w:val="16"/>
              </w:rPr>
            </w:pPr>
            <w:r>
              <w:rPr>
                <w:sz w:val="16"/>
              </w:rPr>
              <w:t>32,661</w:t>
            </w:r>
          </w:p>
        </w:tc>
        <w:tc>
          <w:tcPr>
            <w:tcW w:w="1104" w:type="dxa"/>
          </w:tcPr>
          <w:p>
            <w:pPr>
              <w:pStyle w:val="TableParagraph"/>
              <w:rPr>
                <w:rFonts w:ascii="Times New Roman"/>
                <w:sz w:val="16"/>
              </w:rPr>
            </w:pPr>
          </w:p>
          <w:p>
            <w:pPr>
              <w:pStyle w:val="TableParagraph"/>
              <w:spacing w:before="110"/>
              <w:ind w:right="318"/>
              <w:jc w:val="right"/>
              <w:rPr>
                <w:sz w:val="16"/>
              </w:rPr>
            </w:pPr>
            <w:r>
              <w:rPr>
                <w:sz w:val="16"/>
              </w:rPr>
              <w:t>3,510</w:t>
            </w:r>
          </w:p>
        </w:tc>
        <w:tc>
          <w:tcPr>
            <w:tcW w:w="1166" w:type="dxa"/>
          </w:tcPr>
          <w:p>
            <w:pPr>
              <w:pStyle w:val="TableParagraph"/>
              <w:rPr>
                <w:rFonts w:ascii="Times New Roman"/>
                <w:sz w:val="16"/>
              </w:rPr>
            </w:pPr>
          </w:p>
          <w:p>
            <w:pPr>
              <w:pStyle w:val="TableParagraph"/>
              <w:spacing w:before="110"/>
              <w:ind w:left="267"/>
              <w:rPr>
                <w:sz w:val="16"/>
              </w:rPr>
            </w:pPr>
            <w:r>
              <w:rPr>
                <w:sz w:val="16"/>
              </w:rPr>
              <w:t>100,679</w:t>
            </w:r>
          </w:p>
        </w:tc>
        <w:tc>
          <w:tcPr>
            <w:tcW w:w="927" w:type="dxa"/>
          </w:tcPr>
          <w:p>
            <w:pPr>
              <w:pStyle w:val="TableParagraph"/>
              <w:rPr>
                <w:rFonts w:ascii="Times New Roman"/>
                <w:sz w:val="16"/>
              </w:rPr>
            </w:pPr>
          </w:p>
          <w:p>
            <w:pPr>
              <w:pStyle w:val="TableParagraph"/>
              <w:spacing w:before="110"/>
              <w:ind w:left="267"/>
              <w:rPr>
                <w:sz w:val="16"/>
              </w:rPr>
            </w:pPr>
            <w:r>
              <w:rPr>
                <w:sz w:val="16"/>
              </w:rPr>
              <w:t>136,850</w:t>
            </w:r>
          </w:p>
        </w:tc>
      </w:tr>
      <w:tr>
        <w:trPr>
          <w:trHeight w:val="241" w:hRule="exact"/>
        </w:trPr>
        <w:tc>
          <w:tcPr>
            <w:tcW w:w="4281" w:type="dxa"/>
          </w:tcPr>
          <w:p>
            <w:pPr>
              <w:pStyle w:val="TableParagraph"/>
              <w:spacing w:before="22"/>
              <w:ind w:left="35"/>
              <w:rPr>
                <w:sz w:val="16"/>
              </w:rPr>
            </w:pPr>
            <w:r>
              <w:rPr>
                <w:sz w:val="16"/>
              </w:rPr>
              <w:t>Interest expense / (income)</w:t>
            </w:r>
          </w:p>
        </w:tc>
        <w:tc>
          <w:tcPr>
            <w:tcW w:w="1468" w:type="dxa"/>
            <w:tcBorders>
              <w:bottom w:val="single" w:sz="1" w:space="0" w:color="000000"/>
            </w:tcBorders>
          </w:tcPr>
          <w:p>
            <w:pPr>
              <w:pStyle w:val="TableParagraph"/>
              <w:spacing w:before="20"/>
              <w:ind w:right="381"/>
              <w:jc w:val="right"/>
              <w:rPr>
                <w:sz w:val="16"/>
              </w:rPr>
            </w:pPr>
            <w:r>
              <w:rPr>
                <w:sz w:val="16"/>
              </w:rPr>
              <w:t>892</w:t>
            </w:r>
          </w:p>
        </w:tc>
        <w:tc>
          <w:tcPr>
            <w:tcW w:w="1104" w:type="dxa"/>
            <w:tcBorders>
              <w:bottom w:val="single" w:sz="1" w:space="0" w:color="000000"/>
            </w:tcBorders>
          </w:tcPr>
          <w:p>
            <w:pPr>
              <w:pStyle w:val="TableParagraph"/>
              <w:spacing w:before="20"/>
              <w:ind w:right="318"/>
              <w:jc w:val="right"/>
              <w:rPr>
                <w:sz w:val="16"/>
              </w:rPr>
            </w:pPr>
            <w:r>
              <w:rPr>
                <w:sz w:val="16"/>
              </w:rPr>
              <w:t>91</w:t>
            </w:r>
          </w:p>
        </w:tc>
        <w:tc>
          <w:tcPr>
            <w:tcW w:w="1166" w:type="dxa"/>
            <w:tcBorders>
              <w:bottom w:val="single" w:sz="1" w:space="0" w:color="000000"/>
            </w:tcBorders>
          </w:tcPr>
          <w:p>
            <w:pPr>
              <w:pStyle w:val="TableParagraph"/>
              <w:spacing w:before="20"/>
              <w:ind w:left="445"/>
              <w:rPr>
                <w:sz w:val="16"/>
              </w:rPr>
            </w:pPr>
            <w:r>
              <w:rPr>
                <w:sz w:val="16"/>
              </w:rPr>
              <w:t>2,670</w:t>
            </w:r>
          </w:p>
        </w:tc>
        <w:tc>
          <w:tcPr>
            <w:tcW w:w="927" w:type="dxa"/>
            <w:tcBorders>
              <w:bottom w:val="single" w:sz="1" w:space="0" w:color="000000"/>
            </w:tcBorders>
          </w:tcPr>
          <w:p>
            <w:pPr>
              <w:pStyle w:val="TableParagraph"/>
              <w:spacing w:before="20"/>
              <w:ind w:left="445"/>
              <w:rPr>
                <w:sz w:val="16"/>
              </w:rPr>
            </w:pPr>
            <w:r>
              <w:rPr>
                <w:sz w:val="16"/>
              </w:rPr>
              <w:t>3,653</w:t>
            </w:r>
          </w:p>
        </w:tc>
      </w:tr>
      <w:tr>
        <w:trPr>
          <w:trHeight w:val="317" w:hRule="exact"/>
        </w:trPr>
        <w:tc>
          <w:tcPr>
            <w:tcW w:w="4281" w:type="dxa"/>
          </w:tcPr>
          <w:p>
            <w:pPr/>
          </w:p>
        </w:tc>
        <w:tc>
          <w:tcPr>
            <w:tcW w:w="1468" w:type="dxa"/>
            <w:tcBorders>
              <w:top w:val="single" w:sz="1" w:space="0" w:color="000000"/>
              <w:bottom w:val="single" w:sz="1" w:space="0" w:color="000000"/>
            </w:tcBorders>
          </w:tcPr>
          <w:p>
            <w:pPr>
              <w:pStyle w:val="TableParagraph"/>
              <w:spacing w:before="123"/>
              <w:ind w:right="380"/>
              <w:jc w:val="right"/>
              <w:rPr>
                <w:sz w:val="16"/>
              </w:rPr>
            </w:pPr>
            <w:r>
              <w:rPr>
                <w:sz w:val="16"/>
              </w:rPr>
              <w:t>33,553</w:t>
            </w:r>
          </w:p>
        </w:tc>
        <w:tc>
          <w:tcPr>
            <w:tcW w:w="1104" w:type="dxa"/>
            <w:tcBorders>
              <w:top w:val="single" w:sz="1" w:space="0" w:color="000000"/>
              <w:bottom w:val="single" w:sz="1" w:space="0" w:color="000000"/>
            </w:tcBorders>
          </w:tcPr>
          <w:p>
            <w:pPr>
              <w:pStyle w:val="TableParagraph"/>
              <w:spacing w:before="123"/>
              <w:ind w:right="318"/>
              <w:jc w:val="right"/>
              <w:rPr>
                <w:sz w:val="16"/>
              </w:rPr>
            </w:pPr>
            <w:r>
              <w:rPr>
                <w:sz w:val="16"/>
              </w:rPr>
              <w:t>3,601</w:t>
            </w:r>
          </w:p>
        </w:tc>
        <w:tc>
          <w:tcPr>
            <w:tcW w:w="1166" w:type="dxa"/>
            <w:tcBorders>
              <w:top w:val="single" w:sz="1" w:space="0" w:color="000000"/>
              <w:bottom w:val="single" w:sz="1" w:space="0" w:color="000000"/>
            </w:tcBorders>
          </w:tcPr>
          <w:p>
            <w:pPr>
              <w:pStyle w:val="TableParagraph"/>
              <w:spacing w:before="123"/>
              <w:ind w:left="267"/>
              <w:rPr>
                <w:sz w:val="16"/>
              </w:rPr>
            </w:pPr>
            <w:r>
              <w:rPr>
                <w:sz w:val="16"/>
              </w:rPr>
              <w:t>103,349</w:t>
            </w:r>
          </w:p>
        </w:tc>
        <w:tc>
          <w:tcPr>
            <w:tcW w:w="927" w:type="dxa"/>
            <w:tcBorders>
              <w:top w:val="single" w:sz="1" w:space="0" w:color="000000"/>
              <w:bottom w:val="single" w:sz="1" w:space="0" w:color="000000"/>
            </w:tcBorders>
          </w:tcPr>
          <w:p>
            <w:pPr>
              <w:pStyle w:val="TableParagraph"/>
              <w:spacing w:before="123"/>
              <w:ind w:left="267"/>
              <w:rPr>
                <w:sz w:val="16"/>
              </w:rPr>
            </w:pPr>
            <w:r>
              <w:rPr>
                <w:sz w:val="16"/>
              </w:rPr>
              <w:t>140,503</w:t>
            </w:r>
          </w:p>
        </w:tc>
      </w:tr>
      <w:tr>
        <w:trPr>
          <w:trHeight w:val="331" w:hRule="exact"/>
        </w:trPr>
        <w:tc>
          <w:tcPr>
            <w:tcW w:w="4281" w:type="dxa"/>
          </w:tcPr>
          <w:p>
            <w:pPr>
              <w:pStyle w:val="TableParagraph"/>
              <w:spacing w:before="124"/>
              <w:ind w:left="35"/>
              <w:rPr>
                <w:b/>
                <w:sz w:val="16"/>
              </w:rPr>
            </w:pPr>
            <w:r>
              <w:rPr>
                <w:b/>
                <w:sz w:val="16"/>
              </w:rPr>
              <w:t>Remeasurements</w:t>
            </w:r>
          </w:p>
        </w:tc>
        <w:tc>
          <w:tcPr>
            <w:tcW w:w="1468" w:type="dxa"/>
            <w:tcBorders>
              <w:top w:val="single" w:sz="1" w:space="0" w:color="000000"/>
            </w:tcBorders>
          </w:tcPr>
          <w:p>
            <w:pPr/>
          </w:p>
        </w:tc>
        <w:tc>
          <w:tcPr>
            <w:tcW w:w="1104" w:type="dxa"/>
            <w:tcBorders>
              <w:top w:val="single" w:sz="1" w:space="0" w:color="000000"/>
            </w:tcBorders>
          </w:tcPr>
          <w:p>
            <w:pPr/>
          </w:p>
        </w:tc>
        <w:tc>
          <w:tcPr>
            <w:tcW w:w="1166" w:type="dxa"/>
            <w:tcBorders>
              <w:top w:val="single" w:sz="1" w:space="0" w:color="000000"/>
            </w:tcBorders>
          </w:tcPr>
          <w:p>
            <w:pPr/>
          </w:p>
        </w:tc>
        <w:tc>
          <w:tcPr>
            <w:tcW w:w="927" w:type="dxa"/>
            <w:tcBorders>
              <w:top w:val="single" w:sz="1" w:space="0" w:color="000000"/>
            </w:tcBorders>
          </w:tcPr>
          <w:p>
            <w:pPr/>
          </w:p>
        </w:tc>
      </w:tr>
      <w:tr>
        <w:trPr>
          <w:trHeight w:val="409" w:hRule="exact"/>
        </w:trPr>
        <w:tc>
          <w:tcPr>
            <w:tcW w:w="4281" w:type="dxa"/>
          </w:tcPr>
          <w:p>
            <w:pPr>
              <w:pStyle w:val="TableParagraph"/>
              <w:spacing w:before="5"/>
              <w:ind w:left="35" w:right="1046"/>
              <w:rPr>
                <w:sz w:val="16"/>
              </w:rPr>
            </w:pPr>
            <w:r>
              <w:rPr>
                <w:sz w:val="16"/>
              </w:rPr>
              <w:t>Return on plan assets, excluding amounts included in net interest expense</w:t>
            </w:r>
          </w:p>
        </w:tc>
        <w:tc>
          <w:tcPr>
            <w:tcW w:w="1468" w:type="dxa"/>
            <w:tcBorders>
              <w:bottom w:val="single" w:sz="1" w:space="0" w:color="000000"/>
            </w:tcBorders>
          </w:tcPr>
          <w:p>
            <w:pPr>
              <w:pStyle w:val="TableParagraph"/>
              <w:spacing w:before="3"/>
              <w:rPr>
                <w:rFonts w:ascii="Times New Roman"/>
                <w:sz w:val="16"/>
              </w:rPr>
            </w:pPr>
          </w:p>
          <w:p>
            <w:pPr>
              <w:pStyle w:val="TableParagraph"/>
              <w:spacing w:before="1"/>
              <w:ind w:right="381"/>
              <w:jc w:val="right"/>
              <w:rPr>
                <w:sz w:val="16"/>
              </w:rPr>
            </w:pPr>
            <w:r>
              <w:rPr>
                <w:sz w:val="16"/>
              </w:rPr>
              <w:t>642</w:t>
            </w:r>
          </w:p>
        </w:tc>
        <w:tc>
          <w:tcPr>
            <w:tcW w:w="1104" w:type="dxa"/>
            <w:tcBorders>
              <w:bottom w:val="single" w:sz="1" w:space="0" w:color="000000"/>
            </w:tcBorders>
          </w:tcPr>
          <w:p>
            <w:pPr>
              <w:pStyle w:val="TableParagraph"/>
              <w:spacing w:before="3"/>
              <w:rPr>
                <w:rFonts w:ascii="Times New Roman"/>
                <w:sz w:val="16"/>
              </w:rPr>
            </w:pPr>
          </w:p>
          <w:p>
            <w:pPr>
              <w:pStyle w:val="TableParagraph"/>
              <w:spacing w:before="1"/>
              <w:ind w:right="318"/>
              <w:jc w:val="right"/>
              <w:rPr>
                <w:sz w:val="16"/>
              </w:rPr>
            </w:pPr>
            <w:r>
              <w:rPr>
                <w:sz w:val="16"/>
              </w:rPr>
              <w:t>16</w:t>
            </w:r>
          </w:p>
        </w:tc>
        <w:tc>
          <w:tcPr>
            <w:tcW w:w="1166" w:type="dxa"/>
            <w:tcBorders>
              <w:bottom w:val="single" w:sz="1" w:space="0" w:color="000000"/>
            </w:tcBorders>
          </w:tcPr>
          <w:p>
            <w:pPr>
              <w:pStyle w:val="TableParagraph"/>
              <w:spacing w:before="3"/>
              <w:rPr>
                <w:rFonts w:ascii="Times New Roman"/>
                <w:sz w:val="16"/>
              </w:rPr>
            </w:pPr>
          </w:p>
          <w:p>
            <w:pPr>
              <w:pStyle w:val="TableParagraph"/>
              <w:spacing w:before="1"/>
              <w:ind w:left="445"/>
              <w:rPr>
                <w:sz w:val="16"/>
              </w:rPr>
            </w:pPr>
            <w:r>
              <w:rPr>
                <w:sz w:val="16"/>
              </w:rPr>
              <w:t>1,135</w:t>
            </w:r>
          </w:p>
        </w:tc>
        <w:tc>
          <w:tcPr>
            <w:tcW w:w="927" w:type="dxa"/>
            <w:tcBorders>
              <w:bottom w:val="single" w:sz="1" w:space="0" w:color="000000"/>
            </w:tcBorders>
          </w:tcPr>
          <w:p>
            <w:pPr>
              <w:pStyle w:val="TableParagraph"/>
              <w:spacing w:before="3"/>
              <w:rPr>
                <w:rFonts w:ascii="Times New Roman"/>
                <w:sz w:val="16"/>
              </w:rPr>
            </w:pPr>
          </w:p>
          <w:p>
            <w:pPr>
              <w:pStyle w:val="TableParagraph"/>
              <w:spacing w:before="1"/>
              <w:ind w:left="445"/>
              <w:rPr>
                <w:sz w:val="16"/>
              </w:rPr>
            </w:pPr>
            <w:r>
              <w:rPr>
                <w:sz w:val="16"/>
              </w:rPr>
              <w:t>1,793</w:t>
            </w:r>
          </w:p>
        </w:tc>
      </w:tr>
      <w:tr>
        <w:trPr>
          <w:trHeight w:val="317" w:hRule="exact"/>
        </w:trPr>
        <w:tc>
          <w:tcPr>
            <w:tcW w:w="4281" w:type="dxa"/>
          </w:tcPr>
          <w:p>
            <w:pPr/>
          </w:p>
        </w:tc>
        <w:tc>
          <w:tcPr>
            <w:tcW w:w="1468" w:type="dxa"/>
            <w:tcBorders>
              <w:top w:val="single" w:sz="1" w:space="0" w:color="000000"/>
              <w:bottom w:val="single" w:sz="1" w:space="0" w:color="000000"/>
            </w:tcBorders>
          </w:tcPr>
          <w:p>
            <w:pPr>
              <w:pStyle w:val="TableParagraph"/>
              <w:spacing w:before="123"/>
              <w:ind w:right="381"/>
              <w:jc w:val="right"/>
              <w:rPr>
                <w:sz w:val="16"/>
              </w:rPr>
            </w:pPr>
            <w:r>
              <w:rPr>
                <w:sz w:val="16"/>
              </w:rPr>
              <w:t>642</w:t>
            </w:r>
          </w:p>
        </w:tc>
        <w:tc>
          <w:tcPr>
            <w:tcW w:w="1104" w:type="dxa"/>
            <w:tcBorders>
              <w:top w:val="single" w:sz="1" w:space="0" w:color="000000"/>
              <w:bottom w:val="single" w:sz="1" w:space="0" w:color="000000"/>
            </w:tcBorders>
          </w:tcPr>
          <w:p>
            <w:pPr>
              <w:pStyle w:val="TableParagraph"/>
              <w:spacing w:before="123"/>
              <w:ind w:right="318"/>
              <w:jc w:val="right"/>
              <w:rPr>
                <w:sz w:val="16"/>
              </w:rPr>
            </w:pPr>
            <w:r>
              <w:rPr>
                <w:sz w:val="16"/>
              </w:rPr>
              <w:t>16</w:t>
            </w:r>
          </w:p>
        </w:tc>
        <w:tc>
          <w:tcPr>
            <w:tcW w:w="1166" w:type="dxa"/>
            <w:tcBorders>
              <w:top w:val="single" w:sz="1" w:space="0" w:color="000000"/>
              <w:bottom w:val="single" w:sz="1" w:space="0" w:color="000000"/>
            </w:tcBorders>
          </w:tcPr>
          <w:p>
            <w:pPr>
              <w:pStyle w:val="TableParagraph"/>
              <w:spacing w:before="123"/>
              <w:ind w:left="445"/>
              <w:rPr>
                <w:sz w:val="16"/>
              </w:rPr>
            </w:pPr>
            <w:r>
              <w:rPr>
                <w:sz w:val="16"/>
              </w:rPr>
              <w:t>1,135</w:t>
            </w:r>
          </w:p>
        </w:tc>
        <w:tc>
          <w:tcPr>
            <w:tcW w:w="927" w:type="dxa"/>
            <w:tcBorders>
              <w:top w:val="single" w:sz="1" w:space="0" w:color="000000"/>
              <w:bottom w:val="single" w:sz="1" w:space="0" w:color="000000"/>
            </w:tcBorders>
          </w:tcPr>
          <w:p>
            <w:pPr>
              <w:pStyle w:val="TableParagraph"/>
              <w:spacing w:before="123"/>
              <w:ind w:left="445"/>
              <w:rPr>
                <w:sz w:val="16"/>
              </w:rPr>
            </w:pPr>
            <w:r>
              <w:rPr>
                <w:sz w:val="16"/>
              </w:rPr>
              <w:t>1,793</w:t>
            </w:r>
          </w:p>
        </w:tc>
      </w:tr>
      <w:tr>
        <w:trPr>
          <w:trHeight w:val="332" w:hRule="exact"/>
        </w:trPr>
        <w:tc>
          <w:tcPr>
            <w:tcW w:w="4281" w:type="dxa"/>
          </w:tcPr>
          <w:p>
            <w:pPr>
              <w:pStyle w:val="TableParagraph"/>
              <w:spacing w:before="124"/>
              <w:ind w:left="35"/>
              <w:rPr>
                <w:b/>
                <w:sz w:val="16"/>
              </w:rPr>
            </w:pPr>
            <w:r>
              <w:rPr>
                <w:b/>
                <w:sz w:val="16"/>
              </w:rPr>
              <w:t>Contributions</w:t>
            </w:r>
          </w:p>
        </w:tc>
        <w:tc>
          <w:tcPr>
            <w:tcW w:w="1468" w:type="dxa"/>
            <w:tcBorders>
              <w:top w:val="single" w:sz="1" w:space="0" w:color="000000"/>
            </w:tcBorders>
          </w:tcPr>
          <w:p>
            <w:pPr/>
          </w:p>
        </w:tc>
        <w:tc>
          <w:tcPr>
            <w:tcW w:w="1104" w:type="dxa"/>
            <w:tcBorders>
              <w:top w:val="single" w:sz="1" w:space="0" w:color="000000"/>
            </w:tcBorders>
          </w:tcPr>
          <w:p>
            <w:pPr/>
          </w:p>
        </w:tc>
        <w:tc>
          <w:tcPr>
            <w:tcW w:w="1166" w:type="dxa"/>
            <w:tcBorders>
              <w:top w:val="single" w:sz="1" w:space="0" w:color="000000"/>
            </w:tcBorders>
          </w:tcPr>
          <w:p>
            <w:pPr/>
          </w:p>
        </w:tc>
        <w:tc>
          <w:tcPr>
            <w:tcW w:w="927" w:type="dxa"/>
            <w:tcBorders>
              <w:top w:val="single" w:sz="1" w:space="0" w:color="000000"/>
            </w:tcBorders>
          </w:tcPr>
          <w:p>
            <w:pPr/>
          </w:p>
        </w:tc>
      </w:tr>
      <w:tr>
        <w:trPr>
          <w:trHeight w:val="229" w:hRule="exact"/>
        </w:trPr>
        <w:tc>
          <w:tcPr>
            <w:tcW w:w="4281" w:type="dxa"/>
          </w:tcPr>
          <w:p>
            <w:pPr>
              <w:pStyle w:val="TableParagraph"/>
              <w:spacing w:before="9"/>
              <w:ind w:left="35"/>
              <w:rPr>
                <w:sz w:val="16"/>
              </w:rPr>
            </w:pPr>
            <w:r>
              <w:rPr>
                <w:sz w:val="16"/>
              </w:rPr>
              <w:t>Employers</w:t>
            </w:r>
          </w:p>
        </w:tc>
        <w:tc>
          <w:tcPr>
            <w:tcW w:w="1468" w:type="dxa"/>
          </w:tcPr>
          <w:p>
            <w:pPr>
              <w:pStyle w:val="TableParagraph"/>
              <w:spacing w:before="6"/>
              <w:ind w:right="380"/>
              <w:jc w:val="right"/>
              <w:rPr>
                <w:sz w:val="16"/>
              </w:rPr>
            </w:pPr>
            <w:r>
              <w:rPr>
                <w:sz w:val="16"/>
              </w:rPr>
              <w:t>1,013</w:t>
            </w:r>
          </w:p>
        </w:tc>
        <w:tc>
          <w:tcPr>
            <w:tcW w:w="1104" w:type="dxa"/>
          </w:tcPr>
          <w:p>
            <w:pPr>
              <w:pStyle w:val="TableParagraph"/>
              <w:spacing w:before="6"/>
              <w:ind w:right="318"/>
              <w:jc w:val="right"/>
              <w:rPr>
                <w:sz w:val="16"/>
              </w:rPr>
            </w:pPr>
            <w:r>
              <w:rPr>
                <w:sz w:val="16"/>
              </w:rPr>
              <w:t>265</w:t>
            </w:r>
          </w:p>
        </w:tc>
        <w:tc>
          <w:tcPr>
            <w:tcW w:w="1166" w:type="dxa"/>
          </w:tcPr>
          <w:p>
            <w:pPr>
              <w:pStyle w:val="TableParagraph"/>
              <w:spacing w:before="6"/>
              <w:ind w:right="318"/>
              <w:jc w:val="right"/>
              <w:rPr>
                <w:sz w:val="16"/>
              </w:rPr>
            </w:pPr>
            <w:r>
              <w:rPr>
                <w:sz w:val="16"/>
              </w:rPr>
              <w:t>697</w:t>
            </w:r>
          </w:p>
        </w:tc>
        <w:tc>
          <w:tcPr>
            <w:tcW w:w="927" w:type="dxa"/>
          </w:tcPr>
          <w:p>
            <w:pPr>
              <w:pStyle w:val="TableParagraph"/>
              <w:spacing w:before="6"/>
              <w:ind w:left="445"/>
              <w:rPr>
                <w:sz w:val="16"/>
              </w:rPr>
            </w:pPr>
            <w:r>
              <w:rPr>
                <w:sz w:val="16"/>
              </w:rPr>
              <w:t>1,975</w:t>
            </w:r>
          </w:p>
        </w:tc>
      </w:tr>
      <w:tr>
        <w:trPr>
          <w:trHeight w:val="241" w:hRule="exact"/>
        </w:trPr>
        <w:tc>
          <w:tcPr>
            <w:tcW w:w="4281" w:type="dxa"/>
          </w:tcPr>
          <w:p>
            <w:pPr>
              <w:pStyle w:val="TableParagraph"/>
              <w:spacing w:before="22"/>
              <w:ind w:left="35"/>
              <w:rPr>
                <w:sz w:val="16"/>
              </w:rPr>
            </w:pPr>
            <w:r>
              <w:rPr>
                <w:sz w:val="16"/>
              </w:rPr>
              <w:t>Plan participants</w:t>
            </w:r>
          </w:p>
        </w:tc>
        <w:tc>
          <w:tcPr>
            <w:tcW w:w="1468" w:type="dxa"/>
            <w:tcBorders>
              <w:bottom w:val="single" w:sz="1" w:space="0" w:color="000000"/>
            </w:tcBorders>
          </w:tcPr>
          <w:p>
            <w:pPr>
              <w:pStyle w:val="TableParagraph"/>
              <w:spacing w:before="20"/>
              <w:ind w:right="381"/>
              <w:jc w:val="right"/>
              <w:rPr>
                <w:sz w:val="16"/>
              </w:rPr>
            </w:pPr>
            <w:r>
              <w:rPr>
                <w:sz w:val="16"/>
              </w:rPr>
              <w:t>572</w:t>
            </w:r>
          </w:p>
        </w:tc>
        <w:tc>
          <w:tcPr>
            <w:tcW w:w="1104" w:type="dxa"/>
            <w:tcBorders>
              <w:bottom w:val="single" w:sz="1" w:space="0" w:color="000000"/>
            </w:tcBorders>
          </w:tcPr>
          <w:p>
            <w:pPr>
              <w:pStyle w:val="TableParagraph"/>
              <w:spacing w:before="20"/>
              <w:ind w:right="317"/>
              <w:jc w:val="right"/>
              <w:rPr>
                <w:sz w:val="16"/>
              </w:rPr>
            </w:pPr>
            <w:r>
              <w:rPr>
                <w:w w:val="100"/>
                <w:sz w:val="16"/>
              </w:rPr>
              <w:t>-</w:t>
            </w:r>
          </w:p>
        </w:tc>
        <w:tc>
          <w:tcPr>
            <w:tcW w:w="1166" w:type="dxa"/>
            <w:tcBorders>
              <w:bottom w:val="single" w:sz="1" w:space="0" w:color="000000"/>
            </w:tcBorders>
          </w:tcPr>
          <w:p>
            <w:pPr>
              <w:pStyle w:val="TableParagraph"/>
              <w:spacing w:before="20"/>
              <w:ind w:right="318"/>
              <w:jc w:val="right"/>
              <w:rPr>
                <w:sz w:val="16"/>
              </w:rPr>
            </w:pPr>
            <w:r>
              <w:rPr>
                <w:sz w:val="16"/>
              </w:rPr>
              <w:t>178</w:t>
            </w:r>
          </w:p>
        </w:tc>
        <w:tc>
          <w:tcPr>
            <w:tcW w:w="927" w:type="dxa"/>
            <w:tcBorders>
              <w:bottom w:val="single" w:sz="1" w:space="0" w:color="000000"/>
            </w:tcBorders>
          </w:tcPr>
          <w:p>
            <w:pPr>
              <w:pStyle w:val="TableParagraph"/>
              <w:spacing w:before="20"/>
              <w:ind w:right="79"/>
              <w:jc w:val="right"/>
              <w:rPr>
                <w:sz w:val="16"/>
              </w:rPr>
            </w:pPr>
            <w:r>
              <w:rPr>
                <w:sz w:val="16"/>
              </w:rPr>
              <w:t>750</w:t>
            </w:r>
          </w:p>
        </w:tc>
      </w:tr>
      <w:tr>
        <w:trPr>
          <w:trHeight w:val="317" w:hRule="exact"/>
        </w:trPr>
        <w:tc>
          <w:tcPr>
            <w:tcW w:w="4281" w:type="dxa"/>
          </w:tcPr>
          <w:p>
            <w:pPr/>
          </w:p>
        </w:tc>
        <w:tc>
          <w:tcPr>
            <w:tcW w:w="1468" w:type="dxa"/>
            <w:tcBorders>
              <w:top w:val="single" w:sz="1" w:space="0" w:color="000000"/>
              <w:bottom w:val="single" w:sz="1" w:space="0" w:color="000000"/>
            </w:tcBorders>
          </w:tcPr>
          <w:p>
            <w:pPr>
              <w:pStyle w:val="TableParagraph"/>
              <w:spacing w:before="123"/>
              <w:ind w:right="380"/>
              <w:jc w:val="right"/>
              <w:rPr>
                <w:sz w:val="16"/>
              </w:rPr>
            </w:pPr>
            <w:r>
              <w:rPr>
                <w:sz w:val="16"/>
              </w:rPr>
              <w:t>1,585</w:t>
            </w:r>
          </w:p>
        </w:tc>
        <w:tc>
          <w:tcPr>
            <w:tcW w:w="1104" w:type="dxa"/>
            <w:tcBorders>
              <w:top w:val="single" w:sz="1" w:space="0" w:color="000000"/>
              <w:bottom w:val="single" w:sz="1" w:space="0" w:color="000000"/>
            </w:tcBorders>
          </w:tcPr>
          <w:p>
            <w:pPr>
              <w:pStyle w:val="TableParagraph"/>
              <w:spacing w:before="123"/>
              <w:ind w:right="318"/>
              <w:jc w:val="right"/>
              <w:rPr>
                <w:sz w:val="16"/>
              </w:rPr>
            </w:pPr>
            <w:r>
              <w:rPr>
                <w:sz w:val="16"/>
              </w:rPr>
              <w:t>265</w:t>
            </w:r>
          </w:p>
        </w:tc>
        <w:tc>
          <w:tcPr>
            <w:tcW w:w="1166" w:type="dxa"/>
            <w:tcBorders>
              <w:top w:val="single" w:sz="1" w:space="0" w:color="000000"/>
              <w:bottom w:val="single" w:sz="1" w:space="0" w:color="000000"/>
            </w:tcBorders>
          </w:tcPr>
          <w:p>
            <w:pPr>
              <w:pStyle w:val="TableParagraph"/>
              <w:spacing w:before="123"/>
              <w:ind w:right="318"/>
              <w:jc w:val="right"/>
              <w:rPr>
                <w:sz w:val="16"/>
              </w:rPr>
            </w:pPr>
            <w:r>
              <w:rPr>
                <w:sz w:val="16"/>
              </w:rPr>
              <w:t>875</w:t>
            </w:r>
          </w:p>
        </w:tc>
        <w:tc>
          <w:tcPr>
            <w:tcW w:w="927" w:type="dxa"/>
            <w:tcBorders>
              <w:top w:val="single" w:sz="1" w:space="0" w:color="000000"/>
              <w:bottom w:val="single" w:sz="1" w:space="0" w:color="000000"/>
            </w:tcBorders>
          </w:tcPr>
          <w:p>
            <w:pPr>
              <w:pStyle w:val="TableParagraph"/>
              <w:spacing w:before="123"/>
              <w:ind w:left="445"/>
              <w:rPr>
                <w:sz w:val="16"/>
              </w:rPr>
            </w:pPr>
            <w:r>
              <w:rPr>
                <w:sz w:val="16"/>
              </w:rPr>
              <w:t>2,725</w:t>
            </w:r>
          </w:p>
        </w:tc>
      </w:tr>
      <w:tr>
        <w:trPr>
          <w:trHeight w:val="332" w:hRule="exact"/>
        </w:trPr>
        <w:tc>
          <w:tcPr>
            <w:tcW w:w="4281" w:type="dxa"/>
          </w:tcPr>
          <w:p>
            <w:pPr>
              <w:pStyle w:val="TableParagraph"/>
              <w:spacing w:before="124"/>
              <w:ind w:left="35"/>
              <w:rPr>
                <w:b/>
                <w:sz w:val="16"/>
              </w:rPr>
            </w:pPr>
            <w:r>
              <w:rPr>
                <w:b/>
                <w:sz w:val="16"/>
              </w:rPr>
              <w:t>Payments from plan</w:t>
            </w:r>
          </w:p>
        </w:tc>
        <w:tc>
          <w:tcPr>
            <w:tcW w:w="1468" w:type="dxa"/>
            <w:tcBorders>
              <w:top w:val="single" w:sz="1" w:space="0" w:color="000000"/>
            </w:tcBorders>
          </w:tcPr>
          <w:p>
            <w:pPr/>
          </w:p>
        </w:tc>
        <w:tc>
          <w:tcPr>
            <w:tcW w:w="1104" w:type="dxa"/>
            <w:tcBorders>
              <w:top w:val="single" w:sz="1" w:space="0" w:color="000000"/>
            </w:tcBorders>
          </w:tcPr>
          <w:p>
            <w:pPr/>
          </w:p>
        </w:tc>
        <w:tc>
          <w:tcPr>
            <w:tcW w:w="1166" w:type="dxa"/>
            <w:tcBorders>
              <w:top w:val="single" w:sz="1" w:space="0" w:color="000000"/>
            </w:tcBorders>
          </w:tcPr>
          <w:p>
            <w:pPr/>
          </w:p>
        </w:tc>
        <w:tc>
          <w:tcPr>
            <w:tcW w:w="927" w:type="dxa"/>
            <w:tcBorders>
              <w:top w:val="single" w:sz="1" w:space="0" w:color="000000"/>
            </w:tcBorders>
          </w:tcPr>
          <w:p>
            <w:pPr/>
          </w:p>
        </w:tc>
      </w:tr>
      <w:tr>
        <w:trPr>
          <w:trHeight w:val="229" w:hRule="exact"/>
        </w:trPr>
        <w:tc>
          <w:tcPr>
            <w:tcW w:w="4281" w:type="dxa"/>
          </w:tcPr>
          <w:p>
            <w:pPr>
              <w:pStyle w:val="TableParagraph"/>
              <w:spacing w:before="9"/>
              <w:ind w:left="35"/>
              <w:rPr>
                <w:sz w:val="16"/>
              </w:rPr>
            </w:pPr>
            <w:r>
              <w:rPr>
                <w:sz w:val="16"/>
              </w:rPr>
              <w:t>Benefits paid</w:t>
            </w:r>
          </w:p>
        </w:tc>
        <w:tc>
          <w:tcPr>
            <w:tcW w:w="1468" w:type="dxa"/>
          </w:tcPr>
          <w:p>
            <w:pPr>
              <w:pStyle w:val="TableParagraph"/>
              <w:spacing w:before="6"/>
              <w:ind w:right="327"/>
              <w:jc w:val="right"/>
              <w:rPr>
                <w:sz w:val="16"/>
              </w:rPr>
            </w:pPr>
            <w:r>
              <w:rPr>
                <w:sz w:val="16"/>
              </w:rPr>
              <w:t>(8,008)</w:t>
            </w:r>
          </w:p>
        </w:tc>
        <w:tc>
          <w:tcPr>
            <w:tcW w:w="1104" w:type="dxa"/>
          </w:tcPr>
          <w:p>
            <w:pPr>
              <w:pStyle w:val="TableParagraph"/>
              <w:spacing w:before="6"/>
              <w:ind w:right="265"/>
              <w:jc w:val="right"/>
              <w:rPr>
                <w:sz w:val="16"/>
              </w:rPr>
            </w:pPr>
            <w:r>
              <w:rPr>
                <w:sz w:val="16"/>
              </w:rPr>
              <w:t>(1,609)</w:t>
            </w:r>
          </w:p>
        </w:tc>
        <w:tc>
          <w:tcPr>
            <w:tcW w:w="1166" w:type="dxa"/>
          </w:tcPr>
          <w:p>
            <w:pPr>
              <w:pStyle w:val="TableParagraph"/>
              <w:spacing w:before="6"/>
              <w:ind w:right="265"/>
              <w:jc w:val="right"/>
              <w:rPr>
                <w:sz w:val="16"/>
              </w:rPr>
            </w:pPr>
            <w:r>
              <w:rPr>
                <w:sz w:val="16"/>
              </w:rPr>
              <w:t>(16,157)</w:t>
            </w:r>
          </w:p>
        </w:tc>
        <w:tc>
          <w:tcPr>
            <w:tcW w:w="927" w:type="dxa"/>
          </w:tcPr>
          <w:p>
            <w:pPr>
              <w:pStyle w:val="TableParagraph"/>
              <w:spacing w:before="6"/>
              <w:ind w:right="26"/>
              <w:jc w:val="right"/>
              <w:rPr>
                <w:sz w:val="16"/>
              </w:rPr>
            </w:pPr>
            <w:r>
              <w:rPr>
                <w:sz w:val="16"/>
              </w:rPr>
              <w:t>(25,774)</w:t>
            </w:r>
          </w:p>
        </w:tc>
      </w:tr>
      <w:tr>
        <w:trPr>
          <w:trHeight w:val="241" w:hRule="exact"/>
        </w:trPr>
        <w:tc>
          <w:tcPr>
            <w:tcW w:w="4281" w:type="dxa"/>
          </w:tcPr>
          <w:p>
            <w:pPr>
              <w:pStyle w:val="TableParagraph"/>
              <w:spacing w:before="22"/>
              <w:ind w:left="35"/>
              <w:rPr>
                <w:sz w:val="16"/>
              </w:rPr>
            </w:pPr>
            <w:r>
              <w:rPr>
                <w:sz w:val="16"/>
              </w:rPr>
              <w:t>Taxes, premiums and expenses paid</w:t>
            </w:r>
          </w:p>
        </w:tc>
        <w:tc>
          <w:tcPr>
            <w:tcW w:w="1468" w:type="dxa"/>
            <w:tcBorders>
              <w:bottom w:val="single" w:sz="1" w:space="0" w:color="000000"/>
            </w:tcBorders>
          </w:tcPr>
          <w:p>
            <w:pPr>
              <w:pStyle w:val="TableParagraph"/>
              <w:spacing w:before="20"/>
              <w:ind w:right="328"/>
              <w:jc w:val="right"/>
              <w:rPr>
                <w:sz w:val="16"/>
              </w:rPr>
            </w:pPr>
            <w:r>
              <w:rPr>
                <w:sz w:val="16"/>
              </w:rPr>
              <w:t>(118)</w:t>
            </w:r>
          </w:p>
        </w:tc>
        <w:tc>
          <w:tcPr>
            <w:tcW w:w="1104" w:type="dxa"/>
            <w:tcBorders>
              <w:bottom w:val="single" w:sz="1" w:space="0" w:color="000000"/>
            </w:tcBorders>
          </w:tcPr>
          <w:p>
            <w:pPr>
              <w:pStyle w:val="TableParagraph"/>
              <w:spacing w:before="20"/>
              <w:ind w:right="265"/>
              <w:jc w:val="right"/>
              <w:rPr>
                <w:sz w:val="16"/>
              </w:rPr>
            </w:pPr>
            <w:r>
              <w:rPr>
                <w:sz w:val="16"/>
              </w:rPr>
              <w:t>(58)</w:t>
            </w:r>
          </w:p>
        </w:tc>
        <w:tc>
          <w:tcPr>
            <w:tcW w:w="1166" w:type="dxa"/>
            <w:tcBorders>
              <w:bottom w:val="single" w:sz="1" w:space="0" w:color="000000"/>
            </w:tcBorders>
          </w:tcPr>
          <w:p>
            <w:pPr>
              <w:pStyle w:val="TableParagraph"/>
              <w:spacing w:before="20"/>
              <w:ind w:left="445"/>
              <w:rPr>
                <w:sz w:val="16"/>
              </w:rPr>
            </w:pPr>
            <w:r>
              <w:rPr>
                <w:sz w:val="16"/>
              </w:rPr>
              <w:t>2,217</w:t>
            </w:r>
          </w:p>
        </w:tc>
        <w:tc>
          <w:tcPr>
            <w:tcW w:w="927" w:type="dxa"/>
            <w:tcBorders>
              <w:bottom w:val="single" w:sz="1" w:space="0" w:color="000000"/>
            </w:tcBorders>
          </w:tcPr>
          <w:p>
            <w:pPr>
              <w:pStyle w:val="TableParagraph"/>
              <w:spacing w:before="20"/>
              <w:ind w:left="445"/>
              <w:rPr>
                <w:sz w:val="16"/>
              </w:rPr>
            </w:pPr>
            <w:r>
              <w:rPr>
                <w:sz w:val="16"/>
              </w:rPr>
              <w:t>2,041</w:t>
            </w:r>
          </w:p>
        </w:tc>
      </w:tr>
      <w:tr>
        <w:trPr>
          <w:trHeight w:val="317" w:hRule="exact"/>
        </w:trPr>
        <w:tc>
          <w:tcPr>
            <w:tcW w:w="4281" w:type="dxa"/>
          </w:tcPr>
          <w:p>
            <w:pPr/>
          </w:p>
        </w:tc>
        <w:tc>
          <w:tcPr>
            <w:tcW w:w="1468" w:type="dxa"/>
            <w:tcBorders>
              <w:top w:val="single" w:sz="1" w:space="0" w:color="000000"/>
              <w:bottom w:val="single" w:sz="1" w:space="0" w:color="000000"/>
            </w:tcBorders>
          </w:tcPr>
          <w:p>
            <w:pPr>
              <w:pStyle w:val="TableParagraph"/>
              <w:spacing w:before="123"/>
              <w:ind w:right="327"/>
              <w:jc w:val="right"/>
              <w:rPr>
                <w:sz w:val="16"/>
              </w:rPr>
            </w:pPr>
            <w:r>
              <w:rPr>
                <w:sz w:val="16"/>
              </w:rPr>
              <w:t>(8,126)</w:t>
            </w:r>
          </w:p>
        </w:tc>
        <w:tc>
          <w:tcPr>
            <w:tcW w:w="1104" w:type="dxa"/>
            <w:tcBorders>
              <w:top w:val="single" w:sz="1" w:space="0" w:color="000000"/>
              <w:bottom w:val="single" w:sz="1" w:space="0" w:color="000000"/>
            </w:tcBorders>
          </w:tcPr>
          <w:p>
            <w:pPr>
              <w:pStyle w:val="TableParagraph"/>
              <w:spacing w:before="123"/>
              <w:ind w:right="265"/>
              <w:jc w:val="right"/>
              <w:rPr>
                <w:sz w:val="16"/>
              </w:rPr>
            </w:pPr>
            <w:r>
              <w:rPr>
                <w:sz w:val="16"/>
              </w:rPr>
              <w:t>(1,667)</w:t>
            </w:r>
          </w:p>
        </w:tc>
        <w:tc>
          <w:tcPr>
            <w:tcW w:w="1166" w:type="dxa"/>
            <w:tcBorders>
              <w:top w:val="single" w:sz="1" w:space="0" w:color="000000"/>
              <w:bottom w:val="single" w:sz="1" w:space="0" w:color="000000"/>
            </w:tcBorders>
          </w:tcPr>
          <w:p>
            <w:pPr>
              <w:pStyle w:val="TableParagraph"/>
              <w:spacing w:before="123"/>
              <w:ind w:right="265"/>
              <w:jc w:val="right"/>
              <w:rPr>
                <w:sz w:val="16"/>
              </w:rPr>
            </w:pPr>
            <w:r>
              <w:rPr>
                <w:sz w:val="16"/>
              </w:rPr>
              <w:t>(13,940)</w:t>
            </w:r>
          </w:p>
        </w:tc>
        <w:tc>
          <w:tcPr>
            <w:tcW w:w="927" w:type="dxa"/>
            <w:tcBorders>
              <w:top w:val="single" w:sz="1" w:space="0" w:color="000000"/>
              <w:bottom w:val="single" w:sz="1" w:space="0" w:color="000000"/>
            </w:tcBorders>
          </w:tcPr>
          <w:p>
            <w:pPr>
              <w:pStyle w:val="TableParagraph"/>
              <w:spacing w:before="123"/>
              <w:ind w:right="26"/>
              <w:jc w:val="right"/>
              <w:rPr>
                <w:sz w:val="16"/>
              </w:rPr>
            </w:pPr>
            <w:r>
              <w:rPr>
                <w:sz w:val="16"/>
              </w:rPr>
              <w:t>(23,733)</w:t>
            </w:r>
          </w:p>
        </w:tc>
      </w:tr>
      <w:tr>
        <w:trPr>
          <w:trHeight w:val="331" w:hRule="exact"/>
        </w:trPr>
        <w:tc>
          <w:tcPr>
            <w:tcW w:w="4281" w:type="dxa"/>
          </w:tcPr>
          <w:p>
            <w:pPr>
              <w:pStyle w:val="TableParagraph"/>
              <w:spacing w:before="124"/>
              <w:ind w:left="35"/>
              <w:rPr>
                <w:b/>
                <w:sz w:val="16"/>
              </w:rPr>
            </w:pPr>
            <w:r>
              <w:rPr>
                <w:b/>
                <w:sz w:val="16"/>
              </w:rPr>
              <w:t>Closing fair value of plans assets</w:t>
            </w:r>
          </w:p>
        </w:tc>
        <w:tc>
          <w:tcPr>
            <w:tcW w:w="1468" w:type="dxa"/>
            <w:tcBorders>
              <w:top w:val="single" w:sz="1" w:space="0" w:color="000000"/>
              <w:bottom w:val="single" w:sz="1" w:space="0" w:color="000000"/>
            </w:tcBorders>
          </w:tcPr>
          <w:p>
            <w:pPr>
              <w:pStyle w:val="TableParagraph"/>
              <w:spacing w:before="123"/>
              <w:ind w:right="380"/>
              <w:jc w:val="right"/>
              <w:rPr>
                <w:sz w:val="16"/>
              </w:rPr>
            </w:pPr>
            <w:r>
              <w:rPr>
                <w:sz w:val="16"/>
              </w:rPr>
              <w:t>27,654</w:t>
            </w:r>
          </w:p>
        </w:tc>
        <w:tc>
          <w:tcPr>
            <w:tcW w:w="1104" w:type="dxa"/>
            <w:tcBorders>
              <w:top w:val="single" w:sz="1" w:space="0" w:color="000000"/>
              <w:bottom w:val="single" w:sz="1" w:space="0" w:color="000000"/>
            </w:tcBorders>
          </w:tcPr>
          <w:p>
            <w:pPr>
              <w:pStyle w:val="TableParagraph"/>
              <w:spacing w:before="123"/>
              <w:ind w:right="318"/>
              <w:jc w:val="right"/>
              <w:rPr>
                <w:sz w:val="16"/>
              </w:rPr>
            </w:pPr>
            <w:r>
              <w:rPr>
                <w:sz w:val="16"/>
              </w:rPr>
              <w:t>2,215</w:t>
            </w:r>
          </w:p>
        </w:tc>
        <w:tc>
          <w:tcPr>
            <w:tcW w:w="1166" w:type="dxa"/>
            <w:tcBorders>
              <w:top w:val="single" w:sz="1" w:space="0" w:color="000000"/>
              <w:bottom w:val="single" w:sz="1" w:space="0" w:color="000000"/>
            </w:tcBorders>
          </w:tcPr>
          <w:p>
            <w:pPr>
              <w:pStyle w:val="TableParagraph"/>
              <w:spacing w:before="123"/>
              <w:ind w:left="356"/>
              <w:rPr>
                <w:sz w:val="16"/>
              </w:rPr>
            </w:pPr>
            <w:r>
              <w:rPr>
                <w:sz w:val="16"/>
              </w:rPr>
              <w:t>91,419</w:t>
            </w:r>
          </w:p>
        </w:tc>
        <w:tc>
          <w:tcPr>
            <w:tcW w:w="927" w:type="dxa"/>
            <w:tcBorders>
              <w:top w:val="single" w:sz="1" w:space="0" w:color="000000"/>
              <w:bottom w:val="single" w:sz="1" w:space="0" w:color="000000"/>
            </w:tcBorders>
          </w:tcPr>
          <w:p>
            <w:pPr>
              <w:pStyle w:val="TableParagraph"/>
              <w:spacing w:before="123"/>
              <w:ind w:left="267"/>
              <w:rPr>
                <w:sz w:val="16"/>
              </w:rPr>
            </w:pPr>
            <w:r>
              <w:rPr>
                <w:sz w:val="16"/>
              </w:rPr>
              <w:t>121,288</w:t>
            </w:r>
          </w:p>
        </w:tc>
      </w:tr>
    </w:tbl>
    <w:p>
      <w:pPr>
        <w:spacing w:after="0"/>
        <w:rPr>
          <w:sz w:val="16"/>
        </w:rPr>
        <w:sectPr>
          <w:pgSz w:w="11910" w:h="16840"/>
          <w:pgMar w:header="1037" w:footer="485" w:top="2220" w:bottom="700" w:left="900" w:right="880"/>
        </w:sectPr>
      </w:pPr>
    </w:p>
    <w:p>
      <w:pPr>
        <w:pStyle w:val="BodyText"/>
        <w:rPr>
          <w:rFonts w:ascii="Times New Roman"/>
          <w:sz w:val="20"/>
        </w:rPr>
      </w:pPr>
    </w:p>
    <w:p>
      <w:pPr>
        <w:pStyle w:val="BodyText"/>
        <w:rPr>
          <w:rFonts w:ascii="Times New Roman"/>
          <w:sz w:val="20"/>
        </w:rPr>
      </w:pPr>
    </w:p>
    <w:p>
      <w:pPr>
        <w:pStyle w:val="BodyText"/>
        <w:spacing w:before="5"/>
        <w:rPr>
          <w:rFonts w:ascii="Times New Roman"/>
        </w:rPr>
      </w:pPr>
    </w:p>
    <w:p>
      <w:pPr>
        <w:pStyle w:val="Heading9"/>
        <w:numPr>
          <w:ilvl w:val="0"/>
          <w:numId w:val="34"/>
        </w:numPr>
        <w:tabs>
          <w:tab w:pos="504" w:val="left" w:leader="none"/>
        </w:tabs>
        <w:spacing w:line="240" w:lineRule="auto" w:before="0" w:after="0"/>
        <w:ind w:left="504" w:right="0" w:hanging="394"/>
        <w:jc w:val="left"/>
      </w:pPr>
      <w:bookmarkStart w:name="42 Events Occurring After the Reporting " w:id="173"/>
      <w:bookmarkEnd w:id="173"/>
      <w:r>
        <w:rPr>
          <w:b w:val="0"/>
        </w:rPr>
      </w:r>
      <w:bookmarkStart w:name="42 Events Occurring After the Reporting " w:id="174"/>
      <w:bookmarkEnd w:id="174"/>
      <w:r>
        <w:rPr/>
        <w:t>Events</w:t>
      </w:r>
      <w:r>
        <w:rPr/>
        <w:t> Occurring After the Reporting</w:t>
      </w:r>
      <w:r>
        <w:rPr>
          <w:spacing w:val="-1"/>
        </w:rPr>
        <w:t> </w:t>
      </w:r>
      <w:r>
        <w:rPr/>
        <w:t>Date</w:t>
      </w:r>
    </w:p>
    <w:p>
      <w:pPr>
        <w:pStyle w:val="BodyText"/>
        <w:spacing w:before="11"/>
        <w:rPr>
          <w:b/>
          <w:sz w:val="24"/>
        </w:rPr>
      </w:pPr>
    </w:p>
    <w:p>
      <w:pPr>
        <w:pStyle w:val="BodyText"/>
        <w:ind w:left="504" w:right="87"/>
      </w:pPr>
      <w:r>
        <w:rPr/>
        <w:t>There are no events identified after the Statement of Financial Position date that would have a material impact on the financial statements.</w:t>
      </w:r>
    </w:p>
    <w:p>
      <w:pPr>
        <w:pStyle w:val="BodyText"/>
      </w:pPr>
    </w:p>
    <w:p>
      <w:pPr>
        <w:pStyle w:val="BodyText"/>
      </w:pPr>
    </w:p>
    <w:p>
      <w:pPr>
        <w:pStyle w:val="BodyText"/>
      </w:pPr>
    </w:p>
    <w:p>
      <w:pPr>
        <w:pStyle w:val="Heading9"/>
        <w:spacing w:before="161"/>
        <w:ind w:left="110" w:right="87"/>
      </w:pPr>
      <w:r>
        <w:rPr/>
        <w:t>End of Audited Financial Statements.</w:t>
      </w:r>
    </w:p>
    <w:p>
      <w:pPr>
        <w:spacing w:after="0"/>
        <w:sectPr>
          <w:pgSz w:w="11910" w:h="16840"/>
          <w:pgMar w:header="1037" w:footer="485" w:top="2220" w:bottom="700" w:left="900" w:right="1020"/>
        </w:sectPr>
      </w:pPr>
    </w:p>
    <w:p>
      <w:pPr>
        <w:pStyle w:val="BodyText"/>
        <w:rPr>
          <w:b/>
          <w:sz w:val="20"/>
        </w:rPr>
      </w:pPr>
    </w:p>
    <w:p>
      <w:pPr>
        <w:pStyle w:val="BodyText"/>
        <w:rPr>
          <w:b/>
          <w:sz w:val="20"/>
        </w:rPr>
      </w:pPr>
    </w:p>
    <w:p>
      <w:pPr>
        <w:pStyle w:val="BodyText"/>
        <w:rPr>
          <w:b/>
          <w:sz w:val="13"/>
        </w:rPr>
      </w:pPr>
    </w:p>
    <w:p>
      <w:pPr>
        <w:pStyle w:val="BodyText"/>
        <w:ind w:left="3863"/>
        <w:rPr>
          <w:sz w:val="20"/>
        </w:rPr>
      </w:pPr>
      <w:r>
        <w:rPr>
          <w:sz w:val="20"/>
        </w:rPr>
        <w:drawing>
          <wp:inline distT="0" distB="0" distL="0" distR="0">
            <wp:extent cx="1001268" cy="1060703"/>
            <wp:effectExtent l="0" t="0" r="0" b="0"/>
            <wp:docPr id="11" name="image9.jpeg" descr=""/>
            <wp:cNvGraphicFramePr>
              <a:graphicFrameLocks noChangeAspect="1"/>
            </wp:cNvGraphicFramePr>
            <a:graphic>
              <a:graphicData uri="http://schemas.openxmlformats.org/drawingml/2006/picture">
                <pic:pic>
                  <pic:nvPicPr>
                    <pic:cNvPr id="12" name="image9.jpeg"/>
                    <pic:cNvPicPr/>
                  </pic:nvPicPr>
                  <pic:blipFill>
                    <a:blip r:embed="rId35" cstate="print"/>
                    <a:stretch>
                      <a:fillRect/>
                    </a:stretch>
                  </pic:blipFill>
                  <pic:spPr>
                    <a:xfrm>
                      <a:off x="0" y="0"/>
                      <a:ext cx="1001268" cy="1060703"/>
                    </a:xfrm>
                    <a:prstGeom prst="rect">
                      <a:avLst/>
                    </a:prstGeom>
                  </pic:spPr>
                </pic:pic>
              </a:graphicData>
            </a:graphic>
          </wp:inline>
        </w:drawing>
      </w:r>
      <w:r>
        <w:rPr>
          <w:sz w:val="20"/>
        </w:rPr>
      </w:r>
    </w:p>
    <w:p>
      <w:pPr>
        <w:pStyle w:val="BodyText"/>
        <w:rPr>
          <w:b/>
          <w:sz w:val="20"/>
        </w:rPr>
      </w:pPr>
    </w:p>
    <w:p>
      <w:pPr>
        <w:pStyle w:val="BodyText"/>
        <w:spacing w:before="10"/>
        <w:rPr>
          <w:b/>
          <w:sz w:val="23"/>
        </w:rPr>
      </w:pPr>
    </w:p>
    <w:p>
      <w:pPr>
        <w:spacing w:before="71"/>
        <w:ind w:left="2582" w:right="3939" w:firstLine="0"/>
        <w:jc w:val="center"/>
        <w:rPr>
          <w:b/>
          <w:sz w:val="23"/>
        </w:rPr>
      </w:pPr>
      <w:r>
        <w:rPr/>
        <w:pict>
          <v:line style="position:absolute;mso-position-horizontal-relative:page;mso-position-vertical-relative:paragraph;z-index:2032" from="589.960693pt,331.48177pt" to="589.960693pt,-139.015884pt" stroked="true" strokeweight="1.079855pt" strokecolor="#c8c8c8">
            <w10:wrap type="none"/>
          </v:line>
        </w:pict>
      </w:r>
      <w:r>
        <w:rPr>
          <w:b/>
          <w:color w:val="131313"/>
          <w:sz w:val="23"/>
        </w:rPr>
        <w:t>INDEPENDENT  AUDITOR'S  REPORT</w:t>
      </w:r>
    </w:p>
    <w:p>
      <w:pPr>
        <w:pStyle w:val="Heading7"/>
        <w:spacing w:before="198"/>
        <w:ind w:left="3372" w:right="1440"/>
      </w:pPr>
      <w:r>
        <w:rPr>
          <w:color w:val="131313"/>
        </w:rPr>
        <w:t>Western  Sydney University</w:t>
      </w:r>
    </w:p>
    <w:p>
      <w:pPr>
        <w:pStyle w:val="BodyText"/>
        <w:rPr>
          <w:b/>
        </w:rPr>
      </w:pPr>
    </w:p>
    <w:p>
      <w:pPr>
        <w:pStyle w:val="BodyText"/>
        <w:rPr>
          <w:b/>
        </w:rPr>
      </w:pPr>
    </w:p>
    <w:p>
      <w:pPr>
        <w:pStyle w:val="BodyText"/>
        <w:spacing w:before="1"/>
        <w:rPr>
          <w:b/>
          <w:sz w:val="15"/>
        </w:rPr>
      </w:pPr>
    </w:p>
    <w:p>
      <w:pPr>
        <w:pStyle w:val="Heading8"/>
        <w:ind w:left="133" w:right="1440"/>
      </w:pPr>
      <w:r>
        <w:rPr>
          <w:color w:val="131313"/>
          <w:w w:val="105"/>
        </w:rPr>
        <w:t>To Members </w:t>
      </w:r>
      <w:r>
        <w:rPr>
          <w:color w:val="242424"/>
          <w:w w:val="105"/>
        </w:rPr>
        <w:t>of </w:t>
      </w:r>
      <w:r>
        <w:rPr>
          <w:color w:val="131313"/>
          <w:w w:val="105"/>
        </w:rPr>
        <w:t>the New </w:t>
      </w:r>
      <w:r>
        <w:rPr>
          <w:color w:val="242424"/>
          <w:w w:val="105"/>
        </w:rPr>
        <w:t>South </w:t>
      </w:r>
      <w:r>
        <w:rPr>
          <w:color w:val="131313"/>
          <w:w w:val="105"/>
        </w:rPr>
        <w:t>Wale</w:t>
      </w:r>
      <w:r>
        <w:rPr>
          <w:color w:val="343434"/>
          <w:w w:val="105"/>
        </w:rPr>
        <w:t>s </w:t>
      </w:r>
      <w:r>
        <w:rPr>
          <w:color w:val="131313"/>
          <w:w w:val="105"/>
        </w:rPr>
        <w:t>Parliament</w:t>
      </w:r>
    </w:p>
    <w:p>
      <w:pPr>
        <w:pStyle w:val="BodyText"/>
        <w:spacing w:before="6"/>
        <w:rPr>
          <w:sz w:val="16"/>
        </w:rPr>
      </w:pPr>
    </w:p>
    <w:p>
      <w:pPr>
        <w:spacing w:before="0"/>
        <w:ind w:left="147" w:right="1440" w:firstLine="0"/>
        <w:jc w:val="left"/>
        <w:rPr>
          <w:b/>
          <w:sz w:val="23"/>
        </w:rPr>
      </w:pPr>
      <w:r>
        <w:rPr>
          <w:b/>
          <w:color w:val="131313"/>
          <w:sz w:val="23"/>
        </w:rPr>
        <w:t>Opinion</w:t>
      </w:r>
    </w:p>
    <w:p>
      <w:pPr>
        <w:spacing w:line="264" w:lineRule="auto" w:before="133"/>
        <w:ind w:left="133" w:right="1440" w:firstLine="14"/>
        <w:jc w:val="left"/>
        <w:rPr>
          <w:sz w:val="19"/>
        </w:rPr>
      </w:pPr>
      <w:r>
        <w:rPr>
          <w:color w:val="131313"/>
          <w:w w:val="105"/>
          <w:sz w:val="19"/>
        </w:rPr>
        <w:t>I have </w:t>
      </w:r>
      <w:r>
        <w:rPr>
          <w:color w:val="242424"/>
          <w:w w:val="105"/>
          <w:sz w:val="19"/>
        </w:rPr>
        <w:t>audited </w:t>
      </w:r>
      <w:r>
        <w:rPr>
          <w:color w:val="131313"/>
          <w:w w:val="105"/>
          <w:sz w:val="19"/>
        </w:rPr>
        <w:t>the </w:t>
      </w:r>
      <w:r>
        <w:rPr>
          <w:color w:val="242424"/>
          <w:w w:val="105"/>
          <w:sz w:val="19"/>
        </w:rPr>
        <w:t>accompanying </w:t>
      </w:r>
      <w:r>
        <w:rPr>
          <w:color w:val="131313"/>
          <w:w w:val="105"/>
          <w:sz w:val="19"/>
        </w:rPr>
        <w:t>financial </w:t>
      </w:r>
      <w:r>
        <w:rPr>
          <w:color w:val="242424"/>
          <w:w w:val="105"/>
          <w:sz w:val="19"/>
        </w:rPr>
        <w:t>statements of </w:t>
      </w:r>
      <w:r>
        <w:rPr>
          <w:color w:val="131313"/>
          <w:w w:val="105"/>
          <w:sz w:val="19"/>
        </w:rPr>
        <w:t>West</w:t>
      </w:r>
      <w:r>
        <w:rPr>
          <w:color w:val="343434"/>
          <w:w w:val="105"/>
          <w:sz w:val="19"/>
        </w:rPr>
        <w:t>e</w:t>
      </w:r>
      <w:r>
        <w:rPr>
          <w:color w:val="131313"/>
          <w:w w:val="105"/>
          <w:sz w:val="19"/>
        </w:rPr>
        <w:t>rn </w:t>
      </w:r>
      <w:r>
        <w:rPr>
          <w:color w:val="242424"/>
          <w:w w:val="105"/>
          <w:sz w:val="19"/>
        </w:rPr>
        <w:t>Sydney University </w:t>
      </w:r>
      <w:r>
        <w:rPr>
          <w:color w:val="343434"/>
          <w:w w:val="105"/>
          <w:sz w:val="19"/>
        </w:rPr>
        <w:t>(</w:t>
      </w:r>
      <w:r>
        <w:rPr>
          <w:color w:val="131313"/>
          <w:w w:val="105"/>
          <w:sz w:val="19"/>
        </w:rPr>
        <w:t>t</w:t>
      </w:r>
      <w:r>
        <w:rPr>
          <w:color w:val="343434"/>
          <w:w w:val="105"/>
          <w:sz w:val="19"/>
        </w:rPr>
        <w:t>h</w:t>
      </w:r>
      <w:r>
        <w:rPr>
          <w:color w:val="131313"/>
          <w:w w:val="105"/>
          <w:sz w:val="19"/>
        </w:rPr>
        <w:t>e </w:t>
      </w:r>
      <w:r>
        <w:rPr>
          <w:color w:val="242424"/>
          <w:w w:val="105"/>
          <w:sz w:val="19"/>
        </w:rPr>
        <w:t>University), which </w:t>
      </w:r>
      <w:r>
        <w:rPr>
          <w:color w:val="343434"/>
          <w:w w:val="105"/>
          <w:sz w:val="19"/>
        </w:rPr>
        <w:t>co</w:t>
      </w:r>
      <w:r>
        <w:rPr>
          <w:color w:val="131313"/>
          <w:w w:val="105"/>
          <w:sz w:val="19"/>
        </w:rPr>
        <w:t>mpri</w:t>
      </w:r>
      <w:r>
        <w:rPr>
          <w:color w:val="343434"/>
          <w:w w:val="105"/>
          <w:sz w:val="19"/>
        </w:rPr>
        <w:t>se </w:t>
      </w:r>
      <w:r>
        <w:rPr>
          <w:color w:val="131313"/>
          <w:w w:val="105"/>
          <w:sz w:val="19"/>
        </w:rPr>
        <w:t>th</w:t>
      </w:r>
      <w:r>
        <w:rPr>
          <w:color w:val="343434"/>
          <w:w w:val="105"/>
          <w:sz w:val="19"/>
        </w:rPr>
        <w:t>e </w:t>
      </w:r>
      <w:r>
        <w:rPr>
          <w:color w:val="131313"/>
          <w:w w:val="105"/>
          <w:sz w:val="19"/>
        </w:rPr>
        <w:t>Income </w:t>
      </w:r>
      <w:r>
        <w:rPr>
          <w:color w:val="242424"/>
          <w:w w:val="105"/>
          <w:sz w:val="19"/>
        </w:rPr>
        <w:t>Statement and Stat13ment of Comprehensive </w:t>
      </w:r>
      <w:r>
        <w:rPr>
          <w:color w:val="343434"/>
          <w:w w:val="105"/>
          <w:sz w:val="19"/>
        </w:rPr>
        <w:t>Income </w:t>
      </w:r>
      <w:r>
        <w:rPr>
          <w:color w:val="131313"/>
          <w:w w:val="105"/>
          <w:sz w:val="19"/>
        </w:rPr>
        <w:t>for </w:t>
      </w:r>
      <w:r>
        <w:rPr>
          <w:color w:val="343434"/>
          <w:w w:val="105"/>
          <w:sz w:val="19"/>
        </w:rPr>
        <w:t>t</w:t>
      </w:r>
      <w:r>
        <w:rPr>
          <w:color w:val="131313"/>
          <w:w w:val="105"/>
          <w:sz w:val="19"/>
        </w:rPr>
        <w:t>he </w:t>
      </w:r>
      <w:r>
        <w:rPr>
          <w:color w:val="242424"/>
          <w:w w:val="105"/>
          <w:sz w:val="19"/>
        </w:rPr>
        <w:t>year ended </w:t>
      </w:r>
      <w:r>
        <w:rPr>
          <w:color w:val="343434"/>
          <w:w w:val="105"/>
          <w:sz w:val="19"/>
        </w:rPr>
        <w:t>3</w:t>
      </w:r>
      <w:r>
        <w:rPr>
          <w:color w:val="131313"/>
          <w:w w:val="105"/>
          <w:sz w:val="19"/>
        </w:rPr>
        <w:t>1 December </w:t>
      </w:r>
      <w:r>
        <w:rPr>
          <w:color w:val="242424"/>
          <w:w w:val="105"/>
          <w:sz w:val="19"/>
        </w:rPr>
        <w:t>2017, </w:t>
      </w:r>
      <w:r>
        <w:rPr>
          <w:color w:val="131313"/>
          <w:w w:val="105"/>
          <w:sz w:val="19"/>
        </w:rPr>
        <w:t>the </w:t>
      </w:r>
      <w:r>
        <w:rPr>
          <w:color w:val="242424"/>
          <w:w w:val="105"/>
          <w:sz w:val="19"/>
        </w:rPr>
        <w:t>Statement of </w:t>
      </w:r>
      <w:r>
        <w:rPr>
          <w:color w:val="131313"/>
          <w:w w:val="105"/>
          <w:sz w:val="19"/>
        </w:rPr>
        <w:t>Finan</w:t>
      </w:r>
      <w:r>
        <w:rPr>
          <w:color w:val="343434"/>
          <w:w w:val="105"/>
          <w:sz w:val="19"/>
        </w:rPr>
        <w:t>c</w:t>
      </w:r>
      <w:r>
        <w:rPr>
          <w:color w:val="131313"/>
          <w:w w:val="105"/>
          <w:sz w:val="19"/>
        </w:rPr>
        <w:t>i</w:t>
      </w:r>
      <w:r>
        <w:rPr>
          <w:color w:val="343434"/>
          <w:w w:val="105"/>
          <w:sz w:val="19"/>
        </w:rPr>
        <w:t>a</w:t>
      </w:r>
      <w:r>
        <w:rPr>
          <w:color w:val="131313"/>
          <w:w w:val="105"/>
          <w:sz w:val="19"/>
        </w:rPr>
        <w:t>l </w:t>
      </w:r>
      <w:r>
        <w:rPr>
          <w:color w:val="343434"/>
          <w:w w:val="105"/>
          <w:sz w:val="19"/>
        </w:rPr>
        <w:t>!P</w:t>
      </w:r>
      <w:r>
        <w:rPr>
          <w:color w:val="131313"/>
          <w:w w:val="105"/>
          <w:sz w:val="19"/>
        </w:rPr>
        <w:t>osition as </w:t>
      </w:r>
      <w:r>
        <w:rPr>
          <w:color w:val="242424"/>
          <w:w w:val="105"/>
          <w:sz w:val="19"/>
        </w:rPr>
        <w:t>at 31 </w:t>
      </w:r>
      <w:r>
        <w:rPr>
          <w:color w:val="131313"/>
          <w:w w:val="105"/>
          <w:sz w:val="19"/>
        </w:rPr>
        <w:t>December </w:t>
      </w:r>
      <w:r>
        <w:rPr>
          <w:color w:val="242424"/>
          <w:w w:val="105"/>
          <w:sz w:val="19"/>
        </w:rPr>
        <w:t>2017, </w:t>
      </w:r>
      <w:r>
        <w:rPr>
          <w:color w:val="131313"/>
          <w:w w:val="105"/>
          <w:sz w:val="19"/>
        </w:rPr>
        <w:t>the </w:t>
      </w:r>
      <w:r>
        <w:rPr>
          <w:color w:val="242424"/>
          <w:w w:val="105"/>
          <w:sz w:val="19"/>
        </w:rPr>
        <w:t>Statement of Changes </w:t>
      </w:r>
      <w:r>
        <w:rPr>
          <w:color w:val="131313"/>
          <w:w w:val="105"/>
          <w:sz w:val="19"/>
        </w:rPr>
        <w:t>in Equity and the </w:t>
      </w:r>
      <w:r>
        <w:rPr>
          <w:color w:val="343434"/>
          <w:w w:val="105"/>
          <w:sz w:val="19"/>
        </w:rPr>
        <w:t>S</w:t>
      </w:r>
      <w:r>
        <w:rPr>
          <w:color w:val="131313"/>
          <w:w w:val="105"/>
          <w:sz w:val="19"/>
        </w:rPr>
        <w:t>tatement </w:t>
      </w:r>
      <w:r>
        <w:rPr>
          <w:color w:val="242424"/>
          <w:w w:val="105"/>
          <w:sz w:val="19"/>
        </w:rPr>
        <w:t>of Cash </w:t>
      </w:r>
      <w:r>
        <w:rPr>
          <w:color w:val="131313"/>
          <w:w w:val="105"/>
          <w:sz w:val="19"/>
        </w:rPr>
        <w:t>Fl</w:t>
      </w:r>
      <w:r>
        <w:rPr>
          <w:color w:val="343434"/>
          <w:w w:val="105"/>
          <w:sz w:val="19"/>
        </w:rPr>
        <w:t>ows </w:t>
      </w:r>
      <w:r>
        <w:rPr>
          <w:color w:val="131313"/>
          <w:w w:val="105"/>
          <w:sz w:val="19"/>
        </w:rPr>
        <w:t>for the </w:t>
      </w:r>
      <w:r>
        <w:rPr>
          <w:color w:val="242424"/>
          <w:w w:val="105"/>
          <w:sz w:val="19"/>
        </w:rPr>
        <w:t>year </w:t>
      </w:r>
      <w:r>
        <w:rPr>
          <w:color w:val="131313"/>
          <w:w w:val="105"/>
          <w:sz w:val="19"/>
        </w:rPr>
        <w:t>th</w:t>
      </w:r>
      <w:r>
        <w:rPr>
          <w:color w:val="343434"/>
          <w:w w:val="105"/>
          <w:sz w:val="19"/>
        </w:rPr>
        <w:t>e</w:t>
      </w:r>
      <w:r>
        <w:rPr>
          <w:color w:val="131313"/>
          <w:w w:val="105"/>
          <w:sz w:val="19"/>
        </w:rPr>
        <w:t>n </w:t>
      </w:r>
      <w:r>
        <w:rPr>
          <w:color w:val="343434"/>
          <w:w w:val="105"/>
          <w:sz w:val="19"/>
        </w:rPr>
        <w:t>e</w:t>
      </w:r>
      <w:r>
        <w:rPr>
          <w:color w:val="131313"/>
          <w:w w:val="105"/>
          <w:sz w:val="19"/>
        </w:rPr>
        <w:t>nd</w:t>
      </w:r>
      <w:r>
        <w:rPr>
          <w:color w:val="343434"/>
          <w:w w:val="105"/>
          <w:sz w:val="19"/>
        </w:rPr>
        <w:t>ed, no</w:t>
      </w:r>
      <w:r>
        <w:rPr>
          <w:color w:val="131313"/>
          <w:w w:val="105"/>
          <w:sz w:val="19"/>
        </w:rPr>
        <w:t>t</w:t>
      </w:r>
      <w:r>
        <w:rPr>
          <w:color w:val="343434"/>
          <w:w w:val="105"/>
          <w:sz w:val="19"/>
        </w:rPr>
        <w:t>es comp</w:t>
      </w:r>
      <w:r>
        <w:rPr>
          <w:color w:val="131313"/>
          <w:w w:val="105"/>
          <w:sz w:val="19"/>
        </w:rPr>
        <w:t>r</w:t>
      </w:r>
      <w:r>
        <w:rPr>
          <w:color w:val="5B5B5B"/>
          <w:w w:val="105"/>
          <w:sz w:val="19"/>
        </w:rPr>
        <w:t>i</w:t>
      </w:r>
      <w:r>
        <w:rPr>
          <w:color w:val="343434"/>
          <w:w w:val="105"/>
          <w:sz w:val="19"/>
        </w:rPr>
        <w:t>s</w:t>
      </w:r>
      <w:r>
        <w:rPr>
          <w:color w:val="131313"/>
          <w:w w:val="105"/>
          <w:sz w:val="19"/>
        </w:rPr>
        <w:t>ing </w:t>
      </w:r>
      <w:r>
        <w:rPr>
          <w:color w:val="242424"/>
          <w:w w:val="105"/>
          <w:sz w:val="19"/>
        </w:rPr>
        <w:t>a summary of significant accounting </w:t>
      </w:r>
      <w:r>
        <w:rPr>
          <w:color w:val="131313"/>
          <w:w w:val="105"/>
          <w:sz w:val="19"/>
        </w:rPr>
        <w:t>poli</w:t>
      </w:r>
      <w:r>
        <w:rPr>
          <w:color w:val="343434"/>
          <w:w w:val="105"/>
          <w:sz w:val="19"/>
        </w:rPr>
        <w:t>c</w:t>
      </w:r>
      <w:r>
        <w:rPr>
          <w:color w:val="131313"/>
          <w:w w:val="105"/>
          <w:sz w:val="19"/>
        </w:rPr>
        <w:t>ies </w:t>
      </w:r>
      <w:r>
        <w:rPr>
          <w:color w:val="242424"/>
          <w:w w:val="105"/>
          <w:sz w:val="19"/>
        </w:rPr>
        <w:t>and other explanatory </w:t>
      </w:r>
      <w:r>
        <w:rPr>
          <w:color w:val="131313"/>
          <w:w w:val="105"/>
          <w:sz w:val="19"/>
        </w:rPr>
        <w:t>informati</w:t>
      </w:r>
      <w:r>
        <w:rPr>
          <w:color w:val="343434"/>
          <w:w w:val="105"/>
          <w:sz w:val="19"/>
        </w:rPr>
        <w:t>on, </w:t>
      </w:r>
      <w:r>
        <w:rPr>
          <w:color w:val="242424"/>
          <w:w w:val="105"/>
          <w:sz w:val="19"/>
        </w:rPr>
        <w:t>and </w:t>
      </w:r>
      <w:r>
        <w:rPr>
          <w:color w:val="131313"/>
          <w:w w:val="105"/>
          <w:sz w:val="19"/>
        </w:rPr>
        <w:t>t</w:t>
      </w:r>
      <w:r>
        <w:rPr>
          <w:color w:val="343434"/>
          <w:w w:val="105"/>
          <w:sz w:val="19"/>
        </w:rPr>
        <w:t>he </w:t>
      </w:r>
      <w:r>
        <w:rPr>
          <w:color w:val="242424"/>
          <w:w w:val="105"/>
          <w:sz w:val="19"/>
        </w:rPr>
        <w:t>responsible entities declaration of </w:t>
      </w:r>
      <w:r>
        <w:rPr>
          <w:color w:val="131313"/>
          <w:w w:val="105"/>
          <w:sz w:val="19"/>
        </w:rPr>
        <w:t>the Universit</w:t>
      </w:r>
      <w:r>
        <w:rPr>
          <w:color w:val="343434"/>
          <w:w w:val="105"/>
          <w:sz w:val="19"/>
        </w:rPr>
        <w:t>y </w:t>
      </w:r>
      <w:r>
        <w:rPr>
          <w:color w:val="242424"/>
          <w:w w:val="105"/>
          <w:sz w:val="19"/>
        </w:rPr>
        <w:t>and </w:t>
      </w:r>
      <w:r>
        <w:rPr>
          <w:color w:val="131313"/>
          <w:w w:val="105"/>
          <w:sz w:val="19"/>
        </w:rPr>
        <w:t>the </w:t>
      </w:r>
      <w:r>
        <w:rPr>
          <w:color w:val="242424"/>
          <w:w w:val="105"/>
          <w:sz w:val="19"/>
        </w:rPr>
        <w:t>consolidated entity. </w:t>
      </w:r>
      <w:r>
        <w:rPr>
          <w:color w:val="131313"/>
          <w:w w:val="105"/>
          <w:sz w:val="19"/>
        </w:rPr>
        <w:t>The </w:t>
      </w:r>
      <w:r>
        <w:rPr>
          <w:color w:val="242424"/>
          <w:w w:val="105"/>
          <w:sz w:val="19"/>
        </w:rPr>
        <w:t>consolidated ent</w:t>
      </w:r>
      <w:r>
        <w:rPr>
          <w:color w:val="4B4B4B"/>
          <w:w w:val="105"/>
          <w:sz w:val="19"/>
        </w:rPr>
        <w:t>i</w:t>
      </w:r>
      <w:r>
        <w:rPr>
          <w:color w:val="131313"/>
          <w:w w:val="105"/>
          <w:sz w:val="19"/>
        </w:rPr>
        <w:t>t</w:t>
      </w:r>
      <w:r>
        <w:rPr>
          <w:color w:val="343434"/>
          <w:w w:val="105"/>
          <w:sz w:val="19"/>
        </w:rPr>
        <w:t>y co</w:t>
      </w:r>
      <w:r>
        <w:rPr>
          <w:color w:val="131313"/>
          <w:w w:val="105"/>
          <w:sz w:val="19"/>
        </w:rPr>
        <w:t>mpri</w:t>
      </w:r>
      <w:r>
        <w:rPr>
          <w:color w:val="343434"/>
          <w:w w:val="105"/>
          <w:sz w:val="19"/>
        </w:rPr>
        <w:t>ses </w:t>
      </w:r>
      <w:r>
        <w:rPr>
          <w:color w:val="131313"/>
          <w:w w:val="105"/>
          <w:sz w:val="19"/>
        </w:rPr>
        <w:t>t</w:t>
      </w:r>
      <w:r>
        <w:rPr>
          <w:color w:val="343434"/>
          <w:w w:val="105"/>
          <w:sz w:val="19"/>
        </w:rPr>
        <w:t>he </w:t>
      </w:r>
      <w:r>
        <w:rPr>
          <w:color w:val="131313"/>
          <w:w w:val="105"/>
          <w:sz w:val="19"/>
        </w:rPr>
        <w:t>Universit</w:t>
      </w:r>
      <w:r>
        <w:rPr>
          <w:color w:val="343434"/>
          <w:w w:val="105"/>
          <w:sz w:val="19"/>
        </w:rPr>
        <w:t>y </w:t>
      </w:r>
      <w:r>
        <w:rPr>
          <w:color w:val="242424"/>
          <w:w w:val="105"/>
          <w:sz w:val="19"/>
        </w:rPr>
        <w:t>and </w:t>
      </w:r>
      <w:r>
        <w:rPr>
          <w:color w:val="131313"/>
          <w:w w:val="105"/>
          <w:sz w:val="19"/>
        </w:rPr>
        <w:t>the </w:t>
      </w:r>
      <w:r>
        <w:rPr>
          <w:color w:val="242424"/>
          <w:w w:val="105"/>
          <w:sz w:val="19"/>
        </w:rPr>
        <w:t>entities it controlled at </w:t>
      </w:r>
      <w:r>
        <w:rPr>
          <w:color w:val="131313"/>
          <w:w w:val="105"/>
          <w:sz w:val="19"/>
        </w:rPr>
        <w:t>th</w:t>
      </w:r>
      <w:r>
        <w:rPr>
          <w:color w:val="343434"/>
          <w:w w:val="105"/>
          <w:sz w:val="19"/>
        </w:rPr>
        <w:t>e </w:t>
      </w:r>
      <w:r>
        <w:rPr>
          <w:color w:val="242424"/>
          <w:w w:val="105"/>
          <w:sz w:val="19"/>
        </w:rPr>
        <w:t>year's end or </w:t>
      </w:r>
      <w:r>
        <w:rPr>
          <w:color w:val="131313"/>
          <w:w w:val="105"/>
          <w:sz w:val="19"/>
        </w:rPr>
        <w:t>from tim</w:t>
      </w:r>
      <w:r>
        <w:rPr>
          <w:color w:val="343434"/>
          <w:w w:val="105"/>
          <w:sz w:val="19"/>
        </w:rPr>
        <w:t>e </w:t>
      </w:r>
      <w:r>
        <w:rPr>
          <w:color w:val="131313"/>
          <w:w w:val="105"/>
          <w:sz w:val="19"/>
        </w:rPr>
        <w:t>to </w:t>
      </w:r>
      <w:r>
        <w:rPr>
          <w:color w:val="242424"/>
          <w:w w:val="105"/>
          <w:sz w:val="19"/>
        </w:rPr>
        <w:t>time </w:t>
      </w:r>
      <w:r>
        <w:rPr>
          <w:color w:val="343434"/>
          <w:w w:val="105"/>
          <w:sz w:val="19"/>
        </w:rPr>
        <w:t>dur</w:t>
      </w:r>
      <w:r>
        <w:rPr>
          <w:color w:val="131313"/>
          <w:w w:val="105"/>
          <w:sz w:val="19"/>
        </w:rPr>
        <w:t>ing th</w:t>
      </w:r>
      <w:r>
        <w:rPr>
          <w:color w:val="343434"/>
          <w:w w:val="105"/>
          <w:sz w:val="19"/>
        </w:rPr>
        <w:t>e </w:t>
      </w:r>
      <w:r>
        <w:rPr>
          <w:color w:val="131313"/>
          <w:w w:val="105"/>
          <w:sz w:val="19"/>
        </w:rPr>
        <w:t>fin</w:t>
      </w:r>
      <w:r>
        <w:rPr>
          <w:color w:val="343434"/>
          <w:w w:val="105"/>
          <w:sz w:val="19"/>
        </w:rPr>
        <w:t>anc</w:t>
      </w:r>
      <w:r>
        <w:rPr>
          <w:color w:val="131313"/>
          <w:w w:val="105"/>
          <w:sz w:val="19"/>
        </w:rPr>
        <w:t>ial </w:t>
      </w:r>
      <w:r>
        <w:rPr>
          <w:color w:val="242424"/>
          <w:w w:val="105"/>
          <w:sz w:val="19"/>
        </w:rPr>
        <w:t>year.</w:t>
      </w:r>
    </w:p>
    <w:p>
      <w:pPr>
        <w:pStyle w:val="BodyText"/>
        <w:spacing w:before="2"/>
        <w:rPr>
          <w:sz w:val="14"/>
        </w:rPr>
      </w:pPr>
    </w:p>
    <w:p>
      <w:pPr>
        <w:spacing w:before="0"/>
        <w:ind w:left="140" w:right="1440" w:firstLine="0"/>
        <w:jc w:val="left"/>
        <w:rPr>
          <w:sz w:val="19"/>
        </w:rPr>
      </w:pPr>
      <w:r>
        <w:rPr>
          <w:color w:val="131313"/>
          <w:w w:val="105"/>
          <w:sz w:val="19"/>
        </w:rPr>
        <w:t>In my </w:t>
      </w:r>
      <w:r>
        <w:rPr>
          <w:color w:val="343434"/>
          <w:w w:val="105"/>
          <w:sz w:val="19"/>
        </w:rPr>
        <w:t>op</w:t>
      </w:r>
      <w:r>
        <w:rPr>
          <w:color w:val="131313"/>
          <w:w w:val="105"/>
          <w:sz w:val="19"/>
        </w:rPr>
        <w:t>inion</w:t>
      </w:r>
      <w:r>
        <w:rPr>
          <w:color w:val="343434"/>
          <w:w w:val="105"/>
          <w:sz w:val="19"/>
        </w:rPr>
        <w:t>, </w:t>
      </w:r>
      <w:r>
        <w:rPr>
          <w:color w:val="131313"/>
          <w:w w:val="105"/>
          <w:sz w:val="19"/>
        </w:rPr>
        <w:t>the fin</w:t>
      </w:r>
      <w:r>
        <w:rPr>
          <w:color w:val="343434"/>
          <w:w w:val="105"/>
          <w:sz w:val="19"/>
        </w:rPr>
        <w:t>a</w:t>
      </w:r>
      <w:r>
        <w:rPr>
          <w:color w:val="131313"/>
          <w:w w:val="105"/>
          <w:sz w:val="19"/>
        </w:rPr>
        <w:t>n</w:t>
      </w:r>
      <w:r>
        <w:rPr>
          <w:color w:val="343434"/>
          <w:w w:val="105"/>
          <w:sz w:val="19"/>
        </w:rPr>
        <w:t>c</w:t>
      </w:r>
      <w:r>
        <w:rPr>
          <w:color w:val="131313"/>
          <w:w w:val="105"/>
          <w:sz w:val="19"/>
        </w:rPr>
        <w:t>ial </w:t>
      </w:r>
      <w:r>
        <w:rPr>
          <w:color w:val="242424"/>
          <w:w w:val="105"/>
          <w:sz w:val="19"/>
        </w:rPr>
        <w:t>statements:</w:t>
      </w:r>
    </w:p>
    <w:p>
      <w:pPr>
        <w:pStyle w:val="BodyText"/>
        <w:spacing w:before="3"/>
        <w:rPr>
          <w:sz w:val="17"/>
        </w:rPr>
      </w:pPr>
    </w:p>
    <w:p>
      <w:pPr>
        <w:spacing w:line="264" w:lineRule="auto" w:before="0"/>
        <w:ind w:left="694" w:right="1528" w:firstLine="0"/>
        <w:jc w:val="left"/>
        <w:rPr>
          <w:sz w:val="19"/>
        </w:rPr>
      </w:pPr>
      <w:r>
        <w:rPr>
          <w:color w:val="343434"/>
          <w:w w:val="105"/>
          <w:sz w:val="19"/>
        </w:rPr>
        <w:t>give</w:t>
      </w:r>
      <w:r>
        <w:rPr>
          <w:color w:val="343434"/>
          <w:spacing w:val="-11"/>
          <w:w w:val="105"/>
          <w:sz w:val="19"/>
        </w:rPr>
        <w:t> </w:t>
      </w:r>
      <w:r>
        <w:rPr>
          <w:color w:val="343434"/>
          <w:w w:val="105"/>
          <w:sz w:val="19"/>
        </w:rPr>
        <w:t>a</w:t>
      </w:r>
      <w:r>
        <w:rPr>
          <w:color w:val="343434"/>
          <w:spacing w:val="-15"/>
          <w:w w:val="105"/>
          <w:sz w:val="19"/>
        </w:rPr>
        <w:t> </w:t>
      </w:r>
      <w:r>
        <w:rPr>
          <w:color w:val="131313"/>
          <w:w w:val="105"/>
          <w:sz w:val="19"/>
        </w:rPr>
        <w:t>tru</w:t>
      </w:r>
      <w:r>
        <w:rPr>
          <w:color w:val="343434"/>
          <w:w w:val="105"/>
          <w:sz w:val="19"/>
        </w:rPr>
        <w:t>e</w:t>
      </w:r>
      <w:r>
        <w:rPr>
          <w:color w:val="343434"/>
          <w:spacing w:val="-10"/>
          <w:w w:val="105"/>
          <w:sz w:val="19"/>
        </w:rPr>
        <w:t> </w:t>
      </w:r>
      <w:r>
        <w:rPr>
          <w:color w:val="343434"/>
          <w:w w:val="105"/>
          <w:sz w:val="19"/>
        </w:rPr>
        <w:t>and</w:t>
      </w:r>
      <w:r>
        <w:rPr>
          <w:color w:val="343434"/>
          <w:spacing w:val="-10"/>
          <w:w w:val="105"/>
          <w:sz w:val="19"/>
        </w:rPr>
        <w:t> </w:t>
      </w:r>
      <w:r>
        <w:rPr>
          <w:color w:val="131313"/>
          <w:w w:val="105"/>
          <w:sz w:val="19"/>
        </w:rPr>
        <w:t>fair</w:t>
      </w:r>
      <w:r>
        <w:rPr>
          <w:color w:val="131313"/>
          <w:spacing w:val="-24"/>
          <w:w w:val="105"/>
          <w:sz w:val="19"/>
        </w:rPr>
        <w:t> </w:t>
      </w:r>
      <w:r>
        <w:rPr>
          <w:color w:val="343434"/>
          <w:w w:val="105"/>
          <w:sz w:val="19"/>
        </w:rPr>
        <w:t>v</w:t>
      </w:r>
      <w:r>
        <w:rPr>
          <w:color w:val="343434"/>
          <w:spacing w:val="-41"/>
          <w:w w:val="105"/>
          <w:sz w:val="19"/>
        </w:rPr>
        <w:t> </w:t>
      </w:r>
      <w:r>
        <w:rPr>
          <w:color w:val="131313"/>
          <w:spacing w:val="-9"/>
          <w:w w:val="105"/>
          <w:sz w:val="19"/>
        </w:rPr>
        <w:t>i</w:t>
      </w:r>
      <w:r>
        <w:rPr>
          <w:color w:val="343434"/>
          <w:spacing w:val="-9"/>
          <w:w w:val="105"/>
          <w:sz w:val="19"/>
        </w:rPr>
        <w:t>ew</w:t>
      </w:r>
      <w:r>
        <w:rPr>
          <w:color w:val="343434"/>
          <w:spacing w:val="-8"/>
          <w:w w:val="105"/>
          <w:sz w:val="19"/>
        </w:rPr>
        <w:t> </w:t>
      </w:r>
      <w:r>
        <w:rPr>
          <w:color w:val="343434"/>
          <w:w w:val="105"/>
          <w:sz w:val="19"/>
        </w:rPr>
        <w:t>of</w:t>
      </w:r>
      <w:r>
        <w:rPr>
          <w:color w:val="343434"/>
          <w:spacing w:val="-12"/>
          <w:w w:val="105"/>
          <w:sz w:val="19"/>
        </w:rPr>
        <w:t> </w:t>
      </w:r>
      <w:r>
        <w:rPr>
          <w:color w:val="131313"/>
          <w:w w:val="105"/>
          <w:sz w:val="19"/>
        </w:rPr>
        <w:t>th</w:t>
      </w:r>
      <w:r>
        <w:rPr>
          <w:color w:val="343434"/>
          <w:w w:val="105"/>
          <w:sz w:val="19"/>
        </w:rPr>
        <w:t>e</w:t>
      </w:r>
      <w:r>
        <w:rPr>
          <w:color w:val="343434"/>
          <w:spacing w:val="-21"/>
          <w:w w:val="105"/>
          <w:sz w:val="19"/>
        </w:rPr>
        <w:t> </w:t>
      </w:r>
      <w:r>
        <w:rPr>
          <w:color w:val="242424"/>
          <w:w w:val="105"/>
          <w:sz w:val="19"/>
        </w:rPr>
        <w:t>financi</w:t>
      </w:r>
      <w:r>
        <w:rPr>
          <w:color w:val="4B4B4B"/>
          <w:w w:val="105"/>
          <w:sz w:val="19"/>
        </w:rPr>
        <w:t>13</w:t>
      </w:r>
      <w:r>
        <w:rPr>
          <w:color w:val="131313"/>
          <w:w w:val="105"/>
          <w:sz w:val="19"/>
        </w:rPr>
        <w:t>1</w:t>
      </w:r>
      <w:r>
        <w:rPr>
          <w:color w:val="131313"/>
          <w:spacing w:val="-22"/>
          <w:w w:val="105"/>
          <w:sz w:val="19"/>
        </w:rPr>
        <w:t> </w:t>
      </w:r>
      <w:r>
        <w:rPr>
          <w:color w:val="343434"/>
          <w:w w:val="105"/>
          <w:sz w:val="19"/>
        </w:rPr>
        <w:t>pos</w:t>
      </w:r>
      <w:r>
        <w:rPr>
          <w:color w:val="131313"/>
          <w:w w:val="105"/>
          <w:sz w:val="19"/>
        </w:rPr>
        <w:t>iti</w:t>
      </w:r>
      <w:r>
        <w:rPr>
          <w:color w:val="343434"/>
          <w:w w:val="105"/>
          <w:sz w:val="19"/>
        </w:rPr>
        <w:t>on</w:t>
      </w:r>
      <w:r>
        <w:rPr>
          <w:color w:val="343434"/>
          <w:spacing w:val="-12"/>
          <w:w w:val="105"/>
          <w:sz w:val="19"/>
        </w:rPr>
        <w:t> </w:t>
      </w:r>
      <w:r>
        <w:rPr>
          <w:color w:val="343434"/>
          <w:w w:val="105"/>
          <w:sz w:val="19"/>
        </w:rPr>
        <w:t>of</w:t>
      </w:r>
      <w:r>
        <w:rPr>
          <w:color w:val="343434"/>
          <w:spacing w:val="-12"/>
          <w:w w:val="105"/>
          <w:sz w:val="19"/>
        </w:rPr>
        <w:t> </w:t>
      </w:r>
      <w:r>
        <w:rPr>
          <w:color w:val="242424"/>
          <w:w w:val="105"/>
          <w:sz w:val="19"/>
        </w:rPr>
        <w:t>the</w:t>
      </w:r>
      <w:r>
        <w:rPr>
          <w:color w:val="242424"/>
          <w:spacing w:val="3"/>
          <w:w w:val="105"/>
          <w:sz w:val="19"/>
        </w:rPr>
        <w:t> </w:t>
      </w:r>
      <w:r>
        <w:rPr>
          <w:color w:val="131313"/>
          <w:w w:val="105"/>
          <w:sz w:val="19"/>
        </w:rPr>
        <w:t>Univ</w:t>
      </w:r>
      <w:r>
        <w:rPr>
          <w:color w:val="343434"/>
          <w:w w:val="105"/>
          <w:sz w:val="19"/>
        </w:rPr>
        <w:t>ersity</w:t>
      </w:r>
      <w:r>
        <w:rPr>
          <w:color w:val="343434"/>
          <w:spacing w:val="1"/>
          <w:w w:val="105"/>
          <w:sz w:val="19"/>
        </w:rPr>
        <w:t> </w:t>
      </w:r>
      <w:r>
        <w:rPr>
          <w:color w:val="343434"/>
          <w:w w:val="105"/>
          <w:sz w:val="19"/>
        </w:rPr>
        <w:t>and</w:t>
      </w:r>
      <w:r>
        <w:rPr>
          <w:color w:val="343434"/>
          <w:spacing w:val="-11"/>
          <w:w w:val="105"/>
          <w:sz w:val="19"/>
        </w:rPr>
        <w:t> </w:t>
      </w:r>
      <w:r>
        <w:rPr>
          <w:color w:val="242424"/>
          <w:w w:val="105"/>
          <w:sz w:val="19"/>
        </w:rPr>
        <w:t>t</w:t>
      </w:r>
      <w:r>
        <w:rPr>
          <w:color w:val="4B4B4B"/>
          <w:w w:val="105"/>
          <w:sz w:val="19"/>
        </w:rPr>
        <w:t>he</w:t>
      </w:r>
      <w:r>
        <w:rPr>
          <w:color w:val="4B4B4B"/>
          <w:spacing w:val="-24"/>
          <w:w w:val="105"/>
          <w:sz w:val="19"/>
        </w:rPr>
        <w:t> </w:t>
      </w:r>
      <w:r>
        <w:rPr>
          <w:color w:val="343434"/>
          <w:w w:val="105"/>
          <w:sz w:val="19"/>
        </w:rPr>
        <w:t>conso</w:t>
      </w:r>
      <w:r>
        <w:rPr>
          <w:color w:val="131313"/>
          <w:w w:val="105"/>
          <w:sz w:val="19"/>
        </w:rPr>
        <w:t>l</w:t>
      </w:r>
      <w:r>
        <w:rPr>
          <w:color w:val="5B5B5B"/>
          <w:w w:val="105"/>
          <w:sz w:val="19"/>
        </w:rPr>
        <w:t>i</w:t>
      </w:r>
      <w:r>
        <w:rPr>
          <w:color w:val="343434"/>
          <w:w w:val="105"/>
          <w:sz w:val="19"/>
        </w:rPr>
        <w:t>dated</w:t>
      </w:r>
      <w:r>
        <w:rPr>
          <w:color w:val="343434"/>
          <w:spacing w:val="-15"/>
          <w:w w:val="105"/>
          <w:sz w:val="19"/>
        </w:rPr>
        <w:t> </w:t>
      </w:r>
      <w:r>
        <w:rPr>
          <w:color w:val="343434"/>
          <w:w w:val="105"/>
          <w:sz w:val="19"/>
        </w:rPr>
        <w:t>en</w:t>
      </w:r>
      <w:r>
        <w:rPr>
          <w:color w:val="131313"/>
          <w:w w:val="105"/>
          <w:sz w:val="19"/>
        </w:rPr>
        <w:t>tit</w:t>
      </w:r>
      <w:r>
        <w:rPr>
          <w:color w:val="343434"/>
          <w:w w:val="105"/>
          <w:sz w:val="19"/>
        </w:rPr>
        <w:t>y,</w:t>
      </w:r>
      <w:r>
        <w:rPr>
          <w:color w:val="343434"/>
          <w:spacing w:val="-6"/>
          <w:w w:val="105"/>
          <w:sz w:val="19"/>
        </w:rPr>
        <w:t> </w:t>
      </w:r>
      <w:r>
        <w:rPr>
          <w:color w:val="343434"/>
          <w:w w:val="105"/>
          <w:sz w:val="19"/>
        </w:rPr>
        <w:t>as </w:t>
      </w:r>
      <w:r>
        <w:rPr>
          <w:color w:val="242424"/>
          <w:w w:val="105"/>
          <w:sz w:val="19"/>
        </w:rPr>
        <w:t>at </w:t>
      </w:r>
      <w:r>
        <w:rPr>
          <w:color w:val="343434"/>
          <w:spacing w:val="3"/>
          <w:w w:val="105"/>
          <w:sz w:val="19"/>
        </w:rPr>
        <w:t>3</w:t>
      </w:r>
      <w:r>
        <w:rPr>
          <w:color w:val="131313"/>
          <w:spacing w:val="3"/>
          <w:w w:val="105"/>
          <w:sz w:val="19"/>
        </w:rPr>
        <w:t>1 </w:t>
      </w:r>
      <w:r>
        <w:rPr>
          <w:color w:val="242424"/>
          <w:w w:val="105"/>
          <w:sz w:val="19"/>
        </w:rPr>
        <w:t>December </w:t>
      </w:r>
      <w:r>
        <w:rPr>
          <w:color w:val="343434"/>
          <w:w w:val="105"/>
          <w:sz w:val="19"/>
        </w:rPr>
        <w:t>20 </w:t>
      </w:r>
      <w:r>
        <w:rPr>
          <w:color w:val="131313"/>
          <w:w w:val="105"/>
          <w:sz w:val="19"/>
        </w:rPr>
        <w:t>17</w:t>
      </w:r>
      <w:r>
        <w:rPr>
          <w:color w:val="4B4B4B"/>
          <w:w w:val="105"/>
          <w:sz w:val="19"/>
        </w:rPr>
        <w:t>, </w:t>
      </w:r>
      <w:r>
        <w:rPr>
          <w:color w:val="343434"/>
          <w:spacing w:val="2"/>
          <w:w w:val="105"/>
          <w:sz w:val="19"/>
        </w:rPr>
        <w:t>a</w:t>
      </w:r>
      <w:r>
        <w:rPr>
          <w:color w:val="131313"/>
          <w:spacing w:val="2"/>
          <w:w w:val="105"/>
          <w:sz w:val="19"/>
        </w:rPr>
        <w:t>nd </w:t>
      </w:r>
      <w:r>
        <w:rPr>
          <w:color w:val="242424"/>
          <w:w w:val="105"/>
          <w:sz w:val="19"/>
        </w:rPr>
        <w:t>of their </w:t>
      </w:r>
      <w:r>
        <w:rPr>
          <w:color w:val="131313"/>
          <w:w w:val="105"/>
          <w:sz w:val="19"/>
        </w:rPr>
        <w:t>finan</w:t>
      </w:r>
      <w:r>
        <w:rPr>
          <w:color w:val="343434"/>
          <w:w w:val="105"/>
          <w:sz w:val="19"/>
        </w:rPr>
        <w:t>c</w:t>
      </w:r>
      <w:r>
        <w:rPr>
          <w:color w:val="131313"/>
          <w:w w:val="105"/>
          <w:sz w:val="19"/>
        </w:rPr>
        <w:t>i</w:t>
      </w:r>
      <w:r>
        <w:rPr>
          <w:color w:val="343434"/>
          <w:w w:val="105"/>
          <w:sz w:val="19"/>
        </w:rPr>
        <w:t>a</w:t>
      </w:r>
      <w:r>
        <w:rPr>
          <w:color w:val="131313"/>
          <w:w w:val="105"/>
          <w:sz w:val="19"/>
        </w:rPr>
        <w:t>l </w:t>
      </w:r>
      <w:r>
        <w:rPr>
          <w:color w:val="242424"/>
          <w:w w:val="105"/>
          <w:sz w:val="19"/>
        </w:rPr>
        <w:t>performance </w:t>
      </w:r>
      <w:r>
        <w:rPr>
          <w:color w:val="343434"/>
          <w:w w:val="105"/>
          <w:sz w:val="19"/>
        </w:rPr>
        <w:t>a</w:t>
      </w:r>
      <w:r>
        <w:rPr>
          <w:color w:val="131313"/>
          <w:w w:val="105"/>
          <w:sz w:val="19"/>
        </w:rPr>
        <w:t>nd </w:t>
      </w:r>
      <w:r>
        <w:rPr>
          <w:color w:val="343434"/>
          <w:w w:val="105"/>
          <w:sz w:val="19"/>
        </w:rPr>
        <w:t>cash </w:t>
      </w:r>
      <w:r>
        <w:rPr>
          <w:color w:val="242424"/>
          <w:w w:val="105"/>
          <w:sz w:val="19"/>
        </w:rPr>
        <w:t>flows for the </w:t>
      </w:r>
      <w:r>
        <w:rPr>
          <w:color w:val="343434"/>
          <w:w w:val="105"/>
          <w:sz w:val="19"/>
        </w:rPr>
        <w:t>year </w:t>
      </w:r>
      <w:r>
        <w:rPr>
          <w:color w:val="131313"/>
          <w:spacing w:val="2"/>
          <w:w w:val="105"/>
          <w:sz w:val="19"/>
        </w:rPr>
        <w:t>th</w:t>
      </w:r>
      <w:r>
        <w:rPr>
          <w:color w:val="343434"/>
          <w:spacing w:val="2"/>
          <w:w w:val="105"/>
          <w:sz w:val="19"/>
        </w:rPr>
        <w:t>e</w:t>
      </w:r>
      <w:r>
        <w:rPr>
          <w:color w:val="131313"/>
          <w:spacing w:val="2"/>
          <w:w w:val="105"/>
          <w:sz w:val="19"/>
        </w:rPr>
        <w:t>n </w:t>
      </w:r>
      <w:r>
        <w:rPr>
          <w:color w:val="343434"/>
          <w:w w:val="105"/>
          <w:sz w:val="19"/>
        </w:rPr>
        <w:t>e</w:t>
      </w:r>
      <w:r>
        <w:rPr>
          <w:color w:val="131313"/>
          <w:w w:val="105"/>
          <w:sz w:val="19"/>
        </w:rPr>
        <w:t>nded in </w:t>
      </w:r>
      <w:r>
        <w:rPr>
          <w:color w:val="242424"/>
          <w:w w:val="105"/>
          <w:sz w:val="19"/>
        </w:rPr>
        <w:t>accordance with Australian Accounting</w:t>
      </w:r>
      <w:r>
        <w:rPr>
          <w:color w:val="242424"/>
          <w:spacing w:val="-14"/>
          <w:w w:val="105"/>
          <w:sz w:val="19"/>
        </w:rPr>
        <w:t> </w:t>
      </w:r>
      <w:r>
        <w:rPr>
          <w:color w:val="343434"/>
          <w:w w:val="105"/>
          <w:sz w:val="19"/>
        </w:rPr>
        <w:t>S</w:t>
      </w:r>
      <w:r>
        <w:rPr>
          <w:color w:val="131313"/>
          <w:w w:val="105"/>
          <w:sz w:val="19"/>
        </w:rPr>
        <w:t>t</w:t>
      </w:r>
      <w:r>
        <w:rPr>
          <w:color w:val="343434"/>
          <w:w w:val="105"/>
          <w:sz w:val="19"/>
        </w:rPr>
        <w:t>a</w:t>
      </w:r>
      <w:r>
        <w:rPr>
          <w:color w:val="131313"/>
          <w:w w:val="105"/>
          <w:sz w:val="19"/>
        </w:rPr>
        <w:t>nd</w:t>
      </w:r>
      <w:r>
        <w:rPr>
          <w:color w:val="343434"/>
          <w:w w:val="105"/>
          <w:sz w:val="19"/>
        </w:rPr>
        <w:t>ards</w:t>
      </w:r>
    </w:p>
    <w:p>
      <w:pPr>
        <w:spacing w:line="254" w:lineRule="auto" w:before="45"/>
        <w:ind w:left="694" w:right="1777" w:firstLine="0"/>
        <w:jc w:val="left"/>
        <w:rPr>
          <w:sz w:val="19"/>
        </w:rPr>
      </w:pPr>
      <w:r>
        <w:rPr>
          <w:color w:val="343434"/>
          <w:spacing w:val="-3"/>
          <w:w w:val="105"/>
          <w:sz w:val="19"/>
        </w:rPr>
        <w:t>a</w:t>
      </w:r>
      <w:r>
        <w:rPr>
          <w:color w:val="131313"/>
          <w:spacing w:val="-3"/>
          <w:w w:val="105"/>
          <w:sz w:val="19"/>
        </w:rPr>
        <w:t>r</w:t>
      </w:r>
      <w:r>
        <w:rPr>
          <w:color w:val="343434"/>
          <w:spacing w:val="-3"/>
          <w:w w:val="105"/>
          <w:sz w:val="19"/>
        </w:rPr>
        <w:t>e </w:t>
      </w:r>
      <w:r>
        <w:rPr>
          <w:color w:val="242424"/>
          <w:spacing w:val="-3"/>
          <w:w w:val="110"/>
          <w:sz w:val="19"/>
        </w:rPr>
        <w:t>in </w:t>
      </w:r>
      <w:r>
        <w:rPr>
          <w:color w:val="242424"/>
          <w:w w:val="105"/>
          <w:sz w:val="19"/>
        </w:rPr>
        <w:t>accordance with section </w:t>
      </w:r>
      <w:r>
        <w:rPr>
          <w:rFonts w:ascii="Times New Roman"/>
          <w:color w:val="131313"/>
          <w:w w:val="105"/>
          <w:sz w:val="21"/>
        </w:rPr>
        <w:t>41 </w:t>
      </w:r>
      <w:r>
        <w:rPr>
          <w:color w:val="242424"/>
          <w:w w:val="105"/>
          <w:sz w:val="19"/>
        </w:rPr>
        <w:t>B of </w:t>
      </w:r>
      <w:r>
        <w:rPr>
          <w:color w:val="131313"/>
          <w:w w:val="105"/>
          <w:sz w:val="19"/>
        </w:rPr>
        <w:t>th</w:t>
      </w:r>
      <w:r>
        <w:rPr>
          <w:color w:val="343434"/>
          <w:w w:val="105"/>
          <w:sz w:val="19"/>
        </w:rPr>
        <w:t>e </w:t>
      </w:r>
      <w:r>
        <w:rPr>
          <w:i/>
          <w:color w:val="343434"/>
          <w:w w:val="105"/>
          <w:sz w:val="19"/>
        </w:rPr>
        <w:t>Public </w:t>
      </w:r>
      <w:r>
        <w:rPr>
          <w:i/>
          <w:color w:val="242424"/>
          <w:w w:val="105"/>
          <w:sz w:val="19"/>
        </w:rPr>
        <w:t>Finance </w:t>
      </w:r>
      <w:r>
        <w:rPr>
          <w:i/>
          <w:color w:val="343434"/>
          <w:w w:val="105"/>
          <w:sz w:val="19"/>
        </w:rPr>
        <w:t>and </w:t>
      </w:r>
      <w:r>
        <w:rPr>
          <w:i/>
          <w:color w:val="242424"/>
          <w:spacing w:val="3"/>
          <w:w w:val="105"/>
          <w:sz w:val="19"/>
        </w:rPr>
        <w:t>Aud</w:t>
      </w:r>
      <w:r>
        <w:rPr>
          <w:i/>
          <w:color w:val="4B4B4B"/>
          <w:spacing w:val="3"/>
          <w:w w:val="105"/>
          <w:sz w:val="19"/>
        </w:rPr>
        <w:t>it </w:t>
      </w:r>
      <w:r>
        <w:rPr>
          <w:i/>
          <w:color w:val="343434"/>
          <w:w w:val="105"/>
          <w:sz w:val="19"/>
        </w:rPr>
        <w:t>Act 1983 </w:t>
      </w:r>
      <w:r>
        <w:rPr>
          <w:color w:val="343434"/>
          <w:w w:val="105"/>
          <w:sz w:val="19"/>
        </w:rPr>
        <w:t>(PF&amp;A </w:t>
      </w:r>
      <w:r>
        <w:rPr>
          <w:color w:val="242424"/>
          <w:spacing w:val="2"/>
          <w:w w:val="105"/>
          <w:sz w:val="19"/>
        </w:rPr>
        <w:t>A</w:t>
      </w:r>
      <w:r>
        <w:rPr>
          <w:color w:val="4B4B4B"/>
          <w:spacing w:val="2"/>
          <w:w w:val="105"/>
          <w:sz w:val="19"/>
        </w:rPr>
        <w:t>ct) </w:t>
      </w:r>
      <w:r>
        <w:rPr>
          <w:color w:val="343434"/>
          <w:w w:val="105"/>
          <w:sz w:val="19"/>
        </w:rPr>
        <w:t>and </w:t>
      </w:r>
      <w:r>
        <w:rPr>
          <w:color w:val="131313"/>
          <w:w w:val="105"/>
          <w:sz w:val="19"/>
        </w:rPr>
        <w:t>the </w:t>
      </w:r>
      <w:r>
        <w:rPr>
          <w:color w:val="131313"/>
          <w:spacing w:val="-6"/>
          <w:w w:val="105"/>
          <w:sz w:val="19"/>
        </w:rPr>
        <w:t>Publi</w:t>
      </w:r>
      <w:r>
        <w:rPr>
          <w:color w:val="343434"/>
          <w:spacing w:val="-6"/>
          <w:w w:val="105"/>
          <w:sz w:val="19"/>
        </w:rPr>
        <w:t>c </w:t>
      </w:r>
      <w:r>
        <w:rPr>
          <w:color w:val="131313"/>
          <w:w w:val="105"/>
          <w:sz w:val="19"/>
        </w:rPr>
        <w:t>Fin</w:t>
      </w:r>
      <w:r>
        <w:rPr>
          <w:color w:val="343434"/>
          <w:w w:val="105"/>
          <w:sz w:val="19"/>
        </w:rPr>
        <w:t>a</w:t>
      </w:r>
      <w:r>
        <w:rPr>
          <w:color w:val="131313"/>
          <w:w w:val="105"/>
          <w:sz w:val="19"/>
        </w:rPr>
        <w:t>n</w:t>
      </w:r>
      <w:r>
        <w:rPr>
          <w:color w:val="343434"/>
          <w:w w:val="105"/>
          <w:sz w:val="19"/>
        </w:rPr>
        <w:t>ce </w:t>
      </w:r>
      <w:r>
        <w:rPr>
          <w:color w:val="242424"/>
          <w:w w:val="105"/>
          <w:sz w:val="19"/>
        </w:rPr>
        <w:t>and Audit Regulation </w:t>
      </w:r>
      <w:r>
        <w:rPr>
          <w:color w:val="343434"/>
          <w:spacing w:val="-3"/>
          <w:w w:val="105"/>
          <w:sz w:val="19"/>
        </w:rPr>
        <w:t>2</w:t>
      </w:r>
      <w:r>
        <w:rPr>
          <w:color w:val="131313"/>
          <w:spacing w:val="-3"/>
          <w:w w:val="105"/>
          <w:sz w:val="19"/>
        </w:rPr>
        <w:t>015</w:t>
      </w:r>
    </w:p>
    <w:p>
      <w:pPr>
        <w:spacing w:line="264" w:lineRule="auto" w:before="71"/>
        <w:ind w:left="694" w:right="1528" w:firstLine="0"/>
        <w:jc w:val="left"/>
        <w:rPr>
          <w:i/>
          <w:sz w:val="19"/>
        </w:rPr>
      </w:pPr>
      <w:r>
        <w:rPr>
          <w:color w:val="242424"/>
          <w:w w:val="105"/>
          <w:sz w:val="19"/>
        </w:rPr>
        <w:t>comply with </w:t>
      </w:r>
      <w:r>
        <w:rPr>
          <w:color w:val="131313"/>
          <w:w w:val="105"/>
          <w:sz w:val="19"/>
        </w:rPr>
        <w:t>th</w:t>
      </w:r>
      <w:r>
        <w:rPr>
          <w:color w:val="343434"/>
          <w:w w:val="105"/>
          <w:sz w:val="19"/>
        </w:rPr>
        <w:t>e '</w:t>
      </w:r>
      <w:r>
        <w:rPr>
          <w:color w:val="131313"/>
          <w:w w:val="105"/>
          <w:sz w:val="19"/>
        </w:rPr>
        <w:t>Financial </w:t>
      </w:r>
      <w:r>
        <w:rPr>
          <w:color w:val="242424"/>
          <w:w w:val="105"/>
          <w:sz w:val="19"/>
        </w:rPr>
        <w:t>Statement Guidelines </w:t>
      </w:r>
      <w:r>
        <w:rPr>
          <w:color w:val="131313"/>
          <w:w w:val="105"/>
          <w:sz w:val="19"/>
        </w:rPr>
        <w:t>f</w:t>
      </w:r>
      <w:r>
        <w:rPr>
          <w:color w:val="343434"/>
          <w:w w:val="105"/>
          <w:sz w:val="19"/>
        </w:rPr>
        <w:t>o</w:t>
      </w:r>
      <w:r>
        <w:rPr>
          <w:color w:val="131313"/>
          <w:w w:val="105"/>
          <w:sz w:val="19"/>
        </w:rPr>
        <w:t>r </w:t>
      </w:r>
      <w:r>
        <w:rPr>
          <w:color w:val="242424"/>
          <w:w w:val="105"/>
          <w:sz w:val="19"/>
        </w:rPr>
        <w:t>Australian Highe</w:t>
      </w:r>
      <w:r>
        <w:rPr>
          <w:color w:val="5B5B5B"/>
          <w:w w:val="105"/>
          <w:sz w:val="19"/>
        </w:rPr>
        <w:t>r </w:t>
      </w:r>
      <w:r>
        <w:rPr>
          <w:color w:val="242424"/>
          <w:w w:val="105"/>
          <w:sz w:val="19"/>
        </w:rPr>
        <w:t>Education </w:t>
      </w:r>
      <w:r>
        <w:rPr>
          <w:color w:val="343434"/>
          <w:w w:val="105"/>
          <w:sz w:val="19"/>
        </w:rPr>
        <w:t>Providers </w:t>
      </w:r>
      <w:r>
        <w:rPr>
          <w:color w:val="242424"/>
          <w:w w:val="105"/>
          <w:sz w:val="19"/>
        </w:rPr>
        <w:t>fo</w:t>
      </w:r>
      <w:r>
        <w:rPr>
          <w:color w:val="4B4B4B"/>
          <w:w w:val="105"/>
          <w:sz w:val="19"/>
        </w:rPr>
        <w:t>r </w:t>
      </w:r>
      <w:r>
        <w:rPr>
          <w:color w:val="131313"/>
          <w:w w:val="105"/>
          <w:sz w:val="19"/>
        </w:rPr>
        <w:t>the </w:t>
      </w:r>
      <w:r>
        <w:rPr>
          <w:color w:val="343434"/>
          <w:w w:val="105"/>
          <w:sz w:val="19"/>
        </w:rPr>
        <w:t>20</w:t>
      </w:r>
      <w:r>
        <w:rPr>
          <w:color w:val="131313"/>
          <w:w w:val="105"/>
          <w:sz w:val="19"/>
        </w:rPr>
        <w:t>17 </w:t>
      </w:r>
      <w:r>
        <w:rPr>
          <w:color w:val="242424"/>
          <w:w w:val="105"/>
          <w:sz w:val="19"/>
        </w:rPr>
        <w:t>Reporting </w:t>
      </w:r>
      <w:r>
        <w:rPr>
          <w:color w:val="131313"/>
          <w:w w:val="105"/>
          <w:sz w:val="19"/>
        </w:rPr>
        <w:t>P</w:t>
      </w:r>
      <w:r>
        <w:rPr>
          <w:color w:val="343434"/>
          <w:w w:val="105"/>
          <w:sz w:val="19"/>
        </w:rPr>
        <w:t>er</w:t>
      </w:r>
      <w:r>
        <w:rPr>
          <w:color w:val="131313"/>
          <w:w w:val="105"/>
          <w:sz w:val="19"/>
        </w:rPr>
        <w:t>i</w:t>
      </w:r>
      <w:r>
        <w:rPr>
          <w:color w:val="343434"/>
          <w:w w:val="105"/>
          <w:sz w:val="19"/>
        </w:rPr>
        <w:t>od' </w:t>
      </w:r>
      <w:r>
        <w:rPr>
          <w:color w:val="242424"/>
          <w:w w:val="105"/>
          <w:sz w:val="19"/>
        </w:rPr>
        <w:t>(the Guidelines), </w:t>
      </w:r>
      <w:r>
        <w:rPr>
          <w:color w:val="131313"/>
          <w:w w:val="105"/>
          <w:sz w:val="19"/>
        </w:rPr>
        <w:t>i</w:t>
      </w:r>
      <w:r>
        <w:rPr>
          <w:color w:val="343434"/>
          <w:w w:val="105"/>
          <w:sz w:val="19"/>
        </w:rPr>
        <w:t>ssued </w:t>
      </w:r>
      <w:r>
        <w:rPr>
          <w:color w:val="242424"/>
          <w:w w:val="105"/>
          <w:sz w:val="19"/>
        </w:rPr>
        <w:t>by </w:t>
      </w:r>
      <w:r>
        <w:rPr>
          <w:color w:val="131313"/>
          <w:w w:val="105"/>
          <w:sz w:val="19"/>
        </w:rPr>
        <w:t>th</w:t>
      </w:r>
      <w:r>
        <w:rPr>
          <w:color w:val="343434"/>
          <w:w w:val="105"/>
          <w:sz w:val="19"/>
        </w:rPr>
        <w:t>e A</w:t>
      </w:r>
      <w:r>
        <w:rPr>
          <w:color w:val="131313"/>
          <w:w w:val="105"/>
          <w:sz w:val="19"/>
        </w:rPr>
        <w:t>us</w:t>
      </w:r>
      <w:r>
        <w:rPr>
          <w:color w:val="4B4B4B"/>
          <w:w w:val="105"/>
          <w:sz w:val="19"/>
        </w:rPr>
        <w:t>tra</w:t>
      </w:r>
      <w:r>
        <w:rPr>
          <w:color w:val="131313"/>
          <w:w w:val="105"/>
          <w:sz w:val="19"/>
        </w:rPr>
        <w:t>lian </w:t>
      </w:r>
      <w:r>
        <w:rPr>
          <w:color w:val="242424"/>
          <w:w w:val="105"/>
          <w:sz w:val="19"/>
        </w:rPr>
        <w:t>Government </w:t>
      </w:r>
      <w:r>
        <w:rPr>
          <w:color w:val="131313"/>
          <w:w w:val="105"/>
          <w:sz w:val="19"/>
        </w:rPr>
        <w:t>D</w:t>
      </w:r>
      <w:r>
        <w:rPr>
          <w:color w:val="343434"/>
          <w:w w:val="105"/>
          <w:sz w:val="19"/>
        </w:rPr>
        <w:t>epartment </w:t>
      </w:r>
      <w:r>
        <w:rPr>
          <w:color w:val="242424"/>
          <w:w w:val="105"/>
          <w:sz w:val="19"/>
        </w:rPr>
        <w:t>of Education </w:t>
      </w:r>
      <w:r>
        <w:rPr>
          <w:color w:val="343434"/>
          <w:w w:val="105"/>
          <w:sz w:val="19"/>
        </w:rPr>
        <w:t>a</w:t>
      </w:r>
      <w:r>
        <w:rPr>
          <w:color w:val="131313"/>
          <w:w w:val="105"/>
          <w:sz w:val="19"/>
        </w:rPr>
        <w:t>nd </w:t>
      </w:r>
      <w:r>
        <w:rPr>
          <w:color w:val="242424"/>
          <w:w w:val="105"/>
          <w:sz w:val="19"/>
        </w:rPr>
        <w:t>Training, pursuant </w:t>
      </w:r>
      <w:r>
        <w:rPr>
          <w:color w:val="131313"/>
          <w:w w:val="105"/>
          <w:sz w:val="19"/>
        </w:rPr>
        <w:t>t</w:t>
      </w:r>
      <w:r>
        <w:rPr>
          <w:color w:val="343434"/>
          <w:w w:val="105"/>
          <w:sz w:val="19"/>
        </w:rPr>
        <w:t>o </w:t>
      </w:r>
      <w:r>
        <w:rPr>
          <w:color w:val="131313"/>
          <w:w w:val="105"/>
          <w:sz w:val="19"/>
        </w:rPr>
        <w:t>th</w:t>
      </w:r>
      <w:r>
        <w:rPr>
          <w:color w:val="343434"/>
          <w:w w:val="105"/>
          <w:sz w:val="19"/>
        </w:rPr>
        <w:t>e </w:t>
      </w:r>
      <w:r>
        <w:rPr>
          <w:i/>
          <w:color w:val="131313"/>
          <w:w w:val="105"/>
          <w:sz w:val="19"/>
        </w:rPr>
        <w:t>Hi</w:t>
      </w:r>
      <w:r>
        <w:rPr>
          <w:i/>
          <w:color w:val="343434"/>
          <w:w w:val="105"/>
          <w:sz w:val="19"/>
        </w:rPr>
        <w:t>gher </w:t>
      </w:r>
      <w:r>
        <w:rPr>
          <w:i/>
          <w:color w:val="242424"/>
          <w:w w:val="105"/>
          <w:sz w:val="19"/>
        </w:rPr>
        <w:t>Education </w:t>
      </w:r>
      <w:r>
        <w:rPr>
          <w:i/>
          <w:color w:val="343434"/>
          <w:w w:val="105"/>
          <w:sz w:val="19"/>
        </w:rPr>
        <w:t>Support </w:t>
      </w:r>
      <w:r>
        <w:rPr>
          <w:i/>
          <w:color w:val="242424"/>
          <w:w w:val="105"/>
          <w:sz w:val="19"/>
        </w:rPr>
        <w:t>Act </w:t>
      </w:r>
      <w:r>
        <w:rPr>
          <w:i/>
          <w:color w:val="343434"/>
          <w:w w:val="105"/>
          <w:sz w:val="19"/>
        </w:rPr>
        <w:t>2003, </w:t>
      </w:r>
      <w:r>
        <w:rPr>
          <w:color w:val="343434"/>
          <w:w w:val="105"/>
          <w:sz w:val="19"/>
        </w:rPr>
        <w:t>t</w:t>
      </w:r>
      <w:r>
        <w:rPr>
          <w:color w:val="131313"/>
          <w:w w:val="105"/>
          <w:sz w:val="19"/>
        </w:rPr>
        <w:t>h</w:t>
      </w:r>
      <w:r>
        <w:rPr>
          <w:color w:val="343434"/>
          <w:w w:val="105"/>
          <w:sz w:val="19"/>
        </w:rPr>
        <w:t>e </w:t>
      </w:r>
      <w:r>
        <w:rPr>
          <w:i/>
          <w:color w:val="242424"/>
          <w:w w:val="105"/>
          <w:sz w:val="19"/>
        </w:rPr>
        <w:t>High</w:t>
      </w:r>
      <w:r>
        <w:rPr>
          <w:i/>
          <w:color w:val="4B4B4B"/>
          <w:w w:val="105"/>
          <w:sz w:val="19"/>
        </w:rPr>
        <w:t>er </w:t>
      </w:r>
      <w:r>
        <w:rPr>
          <w:i/>
          <w:color w:val="131313"/>
          <w:w w:val="105"/>
          <w:sz w:val="19"/>
        </w:rPr>
        <w:t>Edu</w:t>
      </w:r>
      <w:r>
        <w:rPr>
          <w:i/>
          <w:color w:val="343434"/>
          <w:w w:val="105"/>
          <w:sz w:val="19"/>
        </w:rPr>
        <w:t>cation </w:t>
      </w:r>
      <w:r>
        <w:rPr>
          <w:i/>
          <w:color w:val="131313"/>
          <w:w w:val="105"/>
          <w:sz w:val="19"/>
        </w:rPr>
        <w:t>Fun</w:t>
      </w:r>
      <w:r>
        <w:rPr>
          <w:i/>
          <w:color w:val="343434"/>
          <w:w w:val="105"/>
          <w:sz w:val="19"/>
        </w:rPr>
        <w:t>ding </w:t>
      </w:r>
      <w:r>
        <w:rPr>
          <w:i/>
          <w:color w:val="242424"/>
          <w:w w:val="105"/>
          <w:sz w:val="19"/>
        </w:rPr>
        <w:t>Act </w:t>
      </w:r>
      <w:r>
        <w:rPr>
          <w:i/>
          <w:color w:val="131313"/>
          <w:w w:val="105"/>
          <w:sz w:val="19"/>
        </w:rPr>
        <w:t>19</w:t>
      </w:r>
      <w:r>
        <w:rPr>
          <w:i/>
          <w:color w:val="343434"/>
          <w:w w:val="105"/>
          <w:sz w:val="19"/>
        </w:rPr>
        <w:t>88 </w:t>
      </w:r>
      <w:r>
        <w:rPr>
          <w:color w:val="343434"/>
          <w:w w:val="105"/>
          <w:sz w:val="19"/>
        </w:rPr>
        <w:t>a</w:t>
      </w:r>
      <w:r>
        <w:rPr>
          <w:color w:val="131313"/>
          <w:w w:val="105"/>
          <w:sz w:val="19"/>
        </w:rPr>
        <w:t>nd th</w:t>
      </w:r>
      <w:r>
        <w:rPr>
          <w:color w:val="343434"/>
          <w:w w:val="105"/>
          <w:sz w:val="19"/>
        </w:rPr>
        <w:t>e </w:t>
      </w:r>
      <w:r>
        <w:rPr>
          <w:i/>
          <w:color w:val="242424"/>
          <w:w w:val="105"/>
          <w:sz w:val="19"/>
        </w:rPr>
        <w:t>Australian Research </w:t>
      </w:r>
      <w:r>
        <w:rPr>
          <w:i/>
          <w:color w:val="343434"/>
          <w:w w:val="105"/>
          <w:sz w:val="19"/>
        </w:rPr>
        <w:t>Council Act 2001</w:t>
      </w:r>
    </w:p>
    <w:p>
      <w:pPr>
        <w:spacing w:before="62"/>
        <w:ind w:left="694" w:right="1440" w:firstLine="0"/>
        <w:jc w:val="left"/>
        <w:rPr>
          <w:i/>
          <w:sz w:val="19"/>
        </w:rPr>
      </w:pPr>
      <w:r>
        <w:rPr>
          <w:color w:val="131313"/>
          <w:w w:val="105"/>
          <w:sz w:val="19"/>
        </w:rPr>
        <w:t>h</w:t>
      </w:r>
      <w:r>
        <w:rPr>
          <w:color w:val="343434"/>
          <w:w w:val="105"/>
          <w:sz w:val="19"/>
        </w:rPr>
        <w:t>ave </w:t>
      </w:r>
      <w:r>
        <w:rPr>
          <w:color w:val="242424"/>
          <w:w w:val="105"/>
          <w:sz w:val="19"/>
        </w:rPr>
        <w:t>been prepared </w:t>
      </w:r>
      <w:r>
        <w:rPr>
          <w:color w:val="131313"/>
          <w:w w:val="105"/>
          <w:sz w:val="19"/>
        </w:rPr>
        <w:t>in </w:t>
      </w:r>
      <w:r>
        <w:rPr>
          <w:color w:val="343434"/>
          <w:w w:val="105"/>
          <w:sz w:val="19"/>
        </w:rPr>
        <w:t>acco</w:t>
      </w:r>
      <w:r>
        <w:rPr>
          <w:color w:val="131313"/>
          <w:w w:val="105"/>
          <w:sz w:val="19"/>
        </w:rPr>
        <w:t>rd</w:t>
      </w:r>
      <w:r>
        <w:rPr>
          <w:color w:val="343434"/>
          <w:w w:val="105"/>
          <w:sz w:val="19"/>
        </w:rPr>
        <w:t>a</w:t>
      </w:r>
      <w:r>
        <w:rPr>
          <w:color w:val="131313"/>
          <w:w w:val="105"/>
          <w:sz w:val="19"/>
        </w:rPr>
        <w:t>n</w:t>
      </w:r>
      <w:r>
        <w:rPr>
          <w:color w:val="343434"/>
          <w:w w:val="105"/>
          <w:sz w:val="19"/>
        </w:rPr>
        <w:t>ce w</w:t>
      </w:r>
      <w:r>
        <w:rPr>
          <w:color w:val="131313"/>
          <w:w w:val="105"/>
          <w:sz w:val="19"/>
        </w:rPr>
        <w:t>ith </w:t>
      </w:r>
      <w:r>
        <w:rPr>
          <w:color w:val="242424"/>
          <w:w w:val="105"/>
          <w:sz w:val="19"/>
        </w:rPr>
        <w:t>Division 60 </w:t>
      </w:r>
      <w:r>
        <w:rPr>
          <w:color w:val="343434"/>
          <w:w w:val="105"/>
          <w:sz w:val="19"/>
        </w:rPr>
        <w:t>o</w:t>
      </w:r>
      <w:r>
        <w:rPr>
          <w:color w:val="131313"/>
          <w:w w:val="105"/>
          <w:sz w:val="19"/>
        </w:rPr>
        <w:t>f the </w:t>
      </w:r>
      <w:r>
        <w:rPr>
          <w:i/>
          <w:color w:val="343434"/>
          <w:w w:val="105"/>
          <w:sz w:val="19"/>
        </w:rPr>
        <w:t>Australian Charities and</w:t>
      </w:r>
    </w:p>
    <w:p>
      <w:pPr>
        <w:spacing w:line="268" w:lineRule="auto" w:before="19"/>
        <w:ind w:left="694" w:right="1440" w:firstLine="0"/>
        <w:jc w:val="left"/>
        <w:rPr>
          <w:sz w:val="19"/>
        </w:rPr>
      </w:pPr>
      <w:r>
        <w:rPr>
          <w:i/>
          <w:color w:val="242424"/>
          <w:w w:val="105"/>
          <w:sz w:val="19"/>
        </w:rPr>
        <w:t>Not-for-profits </w:t>
      </w:r>
      <w:r>
        <w:rPr>
          <w:i/>
          <w:color w:val="343434"/>
          <w:w w:val="105"/>
          <w:sz w:val="19"/>
        </w:rPr>
        <w:t>Commission </w:t>
      </w:r>
      <w:r>
        <w:rPr>
          <w:i/>
          <w:color w:val="242424"/>
          <w:w w:val="105"/>
          <w:sz w:val="19"/>
        </w:rPr>
        <w:t>Act </w:t>
      </w:r>
      <w:r>
        <w:rPr>
          <w:i/>
          <w:color w:val="343434"/>
          <w:w w:val="105"/>
          <w:sz w:val="19"/>
        </w:rPr>
        <w:t>2012 </w:t>
      </w:r>
      <w:r>
        <w:rPr>
          <w:color w:val="242424"/>
          <w:w w:val="105"/>
          <w:sz w:val="19"/>
        </w:rPr>
        <w:t>and </w:t>
      </w:r>
      <w:r>
        <w:rPr>
          <w:color w:val="131313"/>
          <w:w w:val="105"/>
          <w:sz w:val="19"/>
        </w:rPr>
        <w:t>Divi</w:t>
      </w:r>
      <w:r>
        <w:rPr>
          <w:color w:val="343434"/>
          <w:w w:val="105"/>
          <w:sz w:val="19"/>
        </w:rPr>
        <w:t>sio</w:t>
      </w:r>
      <w:r>
        <w:rPr>
          <w:color w:val="131313"/>
          <w:w w:val="105"/>
          <w:sz w:val="19"/>
        </w:rPr>
        <w:t>n </w:t>
      </w:r>
      <w:r>
        <w:rPr>
          <w:color w:val="343434"/>
          <w:w w:val="105"/>
          <w:sz w:val="19"/>
        </w:rPr>
        <w:t>60 o</w:t>
      </w:r>
      <w:r>
        <w:rPr>
          <w:color w:val="131313"/>
          <w:w w:val="105"/>
          <w:sz w:val="19"/>
        </w:rPr>
        <w:t>f th</w:t>
      </w:r>
      <w:r>
        <w:rPr>
          <w:color w:val="343434"/>
          <w:w w:val="105"/>
          <w:sz w:val="19"/>
        </w:rPr>
        <w:t>e </w:t>
      </w:r>
      <w:r>
        <w:rPr>
          <w:color w:val="242424"/>
          <w:w w:val="105"/>
          <w:sz w:val="19"/>
        </w:rPr>
        <w:t>Australian Chari</w:t>
      </w:r>
      <w:r>
        <w:rPr>
          <w:color w:val="4B4B4B"/>
          <w:w w:val="105"/>
          <w:sz w:val="19"/>
        </w:rPr>
        <w:t>t</w:t>
      </w:r>
      <w:r>
        <w:rPr>
          <w:color w:val="131313"/>
          <w:w w:val="105"/>
          <w:sz w:val="19"/>
        </w:rPr>
        <w:t>ie</w:t>
      </w:r>
      <w:r>
        <w:rPr>
          <w:color w:val="343434"/>
          <w:w w:val="105"/>
          <w:sz w:val="19"/>
        </w:rPr>
        <w:t>s and </w:t>
      </w:r>
      <w:r>
        <w:rPr>
          <w:color w:val="131313"/>
          <w:w w:val="105"/>
          <w:sz w:val="19"/>
        </w:rPr>
        <w:t>N</w:t>
      </w:r>
      <w:r>
        <w:rPr>
          <w:color w:val="343434"/>
          <w:w w:val="105"/>
          <w:sz w:val="19"/>
        </w:rPr>
        <w:t>o</w:t>
      </w:r>
      <w:r>
        <w:rPr>
          <w:color w:val="131313"/>
          <w:w w:val="105"/>
          <w:sz w:val="19"/>
        </w:rPr>
        <w:t>t-</w:t>
      </w:r>
      <w:r>
        <w:rPr>
          <w:color w:val="4B4B4B"/>
          <w:w w:val="105"/>
          <w:sz w:val="19"/>
        </w:rPr>
        <w:t>fo</w:t>
      </w:r>
      <w:r>
        <w:rPr>
          <w:color w:val="131313"/>
          <w:w w:val="105"/>
          <w:sz w:val="19"/>
        </w:rPr>
        <w:t>r­ profit</w:t>
      </w:r>
      <w:r>
        <w:rPr>
          <w:color w:val="343434"/>
          <w:w w:val="105"/>
          <w:sz w:val="19"/>
        </w:rPr>
        <w:t>s Com</w:t>
      </w:r>
      <w:r>
        <w:rPr>
          <w:color w:val="131313"/>
          <w:w w:val="105"/>
          <w:sz w:val="19"/>
        </w:rPr>
        <w:t>mi</w:t>
      </w:r>
      <w:r>
        <w:rPr>
          <w:color w:val="343434"/>
          <w:w w:val="105"/>
          <w:sz w:val="19"/>
        </w:rPr>
        <w:t>ssio</w:t>
      </w:r>
      <w:r>
        <w:rPr>
          <w:color w:val="131313"/>
          <w:w w:val="105"/>
          <w:sz w:val="19"/>
        </w:rPr>
        <w:t>n </w:t>
      </w:r>
      <w:r>
        <w:rPr>
          <w:color w:val="242424"/>
          <w:w w:val="105"/>
          <w:sz w:val="19"/>
        </w:rPr>
        <w:t>Regulation </w:t>
      </w:r>
      <w:r>
        <w:rPr>
          <w:color w:val="343434"/>
          <w:w w:val="105"/>
          <w:sz w:val="19"/>
        </w:rPr>
        <w:t>20</w:t>
      </w:r>
      <w:r>
        <w:rPr>
          <w:color w:val="131313"/>
          <w:w w:val="105"/>
          <w:sz w:val="19"/>
        </w:rPr>
        <w:t>1</w:t>
      </w:r>
      <w:r>
        <w:rPr>
          <w:color w:val="343434"/>
          <w:w w:val="105"/>
          <w:sz w:val="19"/>
        </w:rPr>
        <w:t>3.</w:t>
      </w:r>
    </w:p>
    <w:p>
      <w:pPr>
        <w:pStyle w:val="BodyText"/>
        <w:spacing w:before="11"/>
        <w:rPr>
          <w:sz w:val="21"/>
        </w:rPr>
      </w:pPr>
    </w:p>
    <w:p>
      <w:pPr>
        <w:pStyle w:val="Heading8"/>
        <w:ind w:left="133" w:right="1440"/>
      </w:pPr>
      <w:r>
        <w:rPr>
          <w:color w:val="131313"/>
          <w:w w:val="105"/>
        </w:rPr>
        <w:t>M</w:t>
      </w:r>
      <w:r>
        <w:rPr>
          <w:color w:val="343434"/>
          <w:w w:val="105"/>
        </w:rPr>
        <w:t>y  op</w:t>
      </w:r>
      <w:r>
        <w:rPr>
          <w:color w:val="131313"/>
          <w:w w:val="105"/>
        </w:rPr>
        <w:t>ini</w:t>
      </w:r>
      <w:r>
        <w:rPr>
          <w:color w:val="343434"/>
          <w:w w:val="105"/>
        </w:rPr>
        <w:t>o</w:t>
      </w:r>
      <w:r>
        <w:rPr>
          <w:color w:val="131313"/>
          <w:w w:val="105"/>
        </w:rPr>
        <w:t>n </w:t>
      </w:r>
      <w:r>
        <w:rPr>
          <w:color w:val="343434"/>
          <w:w w:val="105"/>
        </w:rPr>
        <w:t>s</w:t>
      </w:r>
      <w:r>
        <w:rPr>
          <w:color w:val="131313"/>
          <w:w w:val="105"/>
        </w:rPr>
        <w:t>hould </w:t>
      </w:r>
      <w:r>
        <w:rPr>
          <w:color w:val="242424"/>
          <w:w w:val="105"/>
        </w:rPr>
        <w:t>be </w:t>
      </w:r>
      <w:r>
        <w:rPr>
          <w:color w:val="131313"/>
          <w:w w:val="105"/>
        </w:rPr>
        <w:t>read in </w:t>
      </w:r>
      <w:r>
        <w:rPr>
          <w:color w:val="343434"/>
          <w:w w:val="105"/>
        </w:rPr>
        <w:t>con</w:t>
      </w:r>
      <w:r>
        <w:rPr>
          <w:color w:val="131313"/>
          <w:w w:val="105"/>
        </w:rPr>
        <w:t>jun</w:t>
      </w:r>
      <w:r>
        <w:rPr>
          <w:color w:val="343434"/>
          <w:w w:val="105"/>
        </w:rPr>
        <w:t>c</w:t>
      </w:r>
      <w:r>
        <w:rPr>
          <w:color w:val="131313"/>
          <w:w w:val="105"/>
        </w:rPr>
        <w:t>ti</w:t>
      </w:r>
      <w:r>
        <w:rPr>
          <w:color w:val="343434"/>
          <w:w w:val="105"/>
        </w:rPr>
        <w:t>o</w:t>
      </w:r>
      <w:r>
        <w:rPr>
          <w:color w:val="131313"/>
          <w:w w:val="105"/>
        </w:rPr>
        <w:t>n </w:t>
      </w:r>
      <w:r>
        <w:rPr>
          <w:color w:val="343434"/>
          <w:w w:val="105"/>
        </w:rPr>
        <w:t>wi</w:t>
      </w:r>
      <w:r>
        <w:rPr>
          <w:color w:val="131313"/>
          <w:w w:val="105"/>
        </w:rPr>
        <w:t>th th</w:t>
      </w:r>
      <w:r>
        <w:rPr>
          <w:color w:val="343434"/>
          <w:w w:val="105"/>
        </w:rPr>
        <w:t>e </w:t>
      </w:r>
      <w:r>
        <w:rPr>
          <w:color w:val="242424"/>
          <w:w w:val="105"/>
        </w:rPr>
        <w:t>rest </w:t>
      </w:r>
      <w:r>
        <w:rPr>
          <w:color w:val="343434"/>
          <w:w w:val="105"/>
        </w:rPr>
        <w:t>o</w:t>
      </w:r>
      <w:r>
        <w:rPr>
          <w:color w:val="131313"/>
          <w:w w:val="105"/>
        </w:rPr>
        <w:t>f this rep</w:t>
      </w:r>
      <w:r>
        <w:rPr>
          <w:color w:val="343434"/>
          <w:w w:val="105"/>
        </w:rPr>
        <w:t>o</w:t>
      </w:r>
      <w:r>
        <w:rPr>
          <w:color w:val="131313"/>
          <w:w w:val="105"/>
        </w:rPr>
        <w:t>rt</w:t>
      </w:r>
      <w:r>
        <w:rPr>
          <w:color w:val="343434"/>
          <w:w w:val="105"/>
        </w:rPr>
        <w:t>.</w:t>
      </w:r>
    </w:p>
    <w:p>
      <w:pPr>
        <w:spacing w:before="68"/>
        <w:ind w:left="133" w:right="1440" w:firstLine="0"/>
        <w:jc w:val="left"/>
        <w:rPr>
          <w:b/>
          <w:sz w:val="23"/>
        </w:rPr>
      </w:pPr>
      <w:r>
        <w:rPr>
          <w:b/>
          <w:color w:val="131313"/>
          <w:w w:val="105"/>
          <w:sz w:val="23"/>
        </w:rPr>
        <w:t>Basis for Opinion</w:t>
      </w:r>
    </w:p>
    <w:p>
      <w:pPr>
        <w:spacing w:line="261" w:lineRule="auto" w:before="140"/>
        <w:ind w:left="119" w:right="1693" w:firstLine="14"/>
        <w:jc w:val="left"/>
        <w:rPr>
          <w:sz w:val="19"/>
        </w:rPr>
      </w:pPr>
      <w:r>
        <w:rPr>
          <w:color w:val="131313"/>
          <w:w w:val="110"/>
          <w:sz w:val="19"/>
        </w:rPr>
        <w:t>I</w:t>
      </w:r>
      <w:r>
        <w:rPr>
          <w:color w:val="131313"/>
          <w:spacing w:val="-41"/>
          <w:w w:val="110"/>
          <w:sz w:val="19"/>
        </w:rPr>
        <w:t> </w:t>
      </w:r>
      <w:r>
        <w:rPr>
          <w:color w:val="343434"/>
          <w:w w:val="110"/>
          <w:sz w:val="19"/>
        </w:rPr>
        <w:t>co</w:t>
      </w:r>
      <w:r>
        <w:rPr>
          <w:color w:val="131313"/>
          <w:w w:val="110"/>
          <w:sz w:val="19"/>
        </w:rPr>
        <w:t>ndu</w:t>
      </w:r>
      <w:r>
        <w:rPr>
          <w:color w:val="343434"/>
          <w:w w:val="110"/>
          <w:sz w:val="19"/>
        </w:rPr>
        <w:t>c</w:t>
      </w:r>
      <w:r>
        <w:rPr>
          <w:color w:val="131313"/>
          <w:w w:val="110"/>
          <w:sz w:val="19"/>
        </w:rPr>
        <w:t>t</w:t>
      </w:r>
      <w:r>
        <w:rPr>
          <w:color w:val="343434"/>
          <w:w w:val="110"/>
          <w:sz w:val="19"/>
        </w:rPr>
        <w:t>ed</w:t>
      </w:r>
      <w:r>
        <w:rPr>
          <w:color w:val="343434"/>
          <w:spacing w:val="-34"/>
          <w:w w:val="110"/>
          <w:sz w:val="19"/>
        </w:rPr>
        <w:t> </w:t>
      </w:r>
      <w:r>
        <w:rPr>
          <w:color w:val="242424"/>
          <w:w w:val="110"/>
          <w:sz w:val="19"/>
        </w:rPr>
        <w:t>my</w:t>
      </w:r>
      <w:r>
        <w:rPr>
          <w:color w:val="242424"/>
          <w:spacing w:val="-33"/>
          <w:w w:val="110"/>
          <w:sz w:val="19"/>
        </w:rPr>
        <w:t> </w:t>
      </w:r>
      <w:r>
        <w:rPr>
          <w:color w:val="242424"/>
          <w:w w:val="110"/>
          <w:sz w:val="19"/>
        </w:rPr>
        <w:t>audit</w:t>
      </w:r>
      <w:r>
        <w:rPr>
          <w:color w:val="242424"/>
          <w:spacing w:val="-29"/>
          <w:w w:val="110"/>
          <w:sz w:val="19"/>
        </w:rPr>
        <w:t> </w:t>
      </w:r>
      <w:r>
        <w:rPr>
          <w:color w:val="131313"/>
          <w:spacing w:val="-15"/>
          <w:w w:val="110"/>
          <w:sz w:val="19"/>
        </w:rPr>
        <w:t>in</w:t>
      </w:r>
      <w:r>
        <w:rPr>
          <w:color w:val="131313"/>
          <w:spacing w:val="-34"/>
          <w:w w:val="110"/>
          <w:sz w:val="19"/>
        </w:rPr>
        <w:t> </w:t>
      </w:r>
      <w:r>
        <w:rPr>
          <w:color w:val="343434"/>
          <w:w w:val="110"/>
          <w:sz w:val="19"/>
        </w:rPr>
        <w:t>acco</w:t>
      </w:r>
      <w:r>
        <w:rPr>
          <w:color w:val="131313"/>
          <w:w w:val="110"/>
          <w:sz w:val="19"/>
        </w:rPr>
        <w:t>rdan</w:t>
      </w:r>
      <w:r>
        <w:rPr>
          <w:color w:val="343434"/>
          <w:w w:val="110"/>
          <w:sz w:val="19"/>
        </w:rPr>
        <w:t>ce</w:t>
      </w:r>
      <w:r>
        <w:rPr>
          <w:color w:val="343434"/>
          <w:spacing w:val="-31"/>
          <w:w w:val="110"/>
          <w:sz w:val="19"/>
        </w:rPr>
        <w:t> </w:t>
      </w:r>
      <w:r>
        <w:rPr>
          <w:color w:val="242424"/>
          <w:w w:val="110"/>
          <w:sz w:val="19"/>
        </w:rPr>
        <w:t>with</w:t>
      </w:r>
      <w:r>
        <w:rPr>
          <w:color w:val="242424"/>
          <w:spacing w:val="-32"/>
          <w:w w:val="110"/>
          <w:sz w:val="19"/>
        </w:rPr>
        <w:t> </w:t>
      </w:r>
      <w:r>
        <w:rPr>
          <w:color w:val="343434"/>
          <w:w w:val="110"/>
          <w:sz w:val="19"/>
        </w:rPr>
        <w:t>Aus</w:t>
      </w:r>
      <w:r>
        <w:rPr>
          <w:color w:val="131313"/>
          <w:w w:val="110"/>
          <w:sz w:val="19"/>
        </w:rPr>
        <w:t>tr</w:t>
      </w:r>
      <w:r>
        <w:rPr>
          <w:color w:val="343434"/>
          <w:w w:val="110"/>
          <w:sz w:val="19"/>
        </w:rPr>
        <w:t>a</w:t>
      </w:r>
      <w:r>
        <w:rPr>
          <w:color w:val="131313"/>
          <w:w w:val="110"/>
          <w:sz w:val="19"/>
        </w:rPr>
        <w:t>li</w:t>
      </w:r>
      <w:r>
        <w:rPr>
          <w:color w:val="343434"/>
          <w:w w:val="110"/>
          <w:sz w:val="19"/>
        </w:rPr>
        <w:t>an</w:t>
      </w:r>
      <w:r>
        <w:rPr>
          <w:color w:val="343434"/>
          <w:spacing w:val="-33"/>
          <w:w w:val="110"/>
          <w:sz w:val="19"/>
        </w:rPr>
        <w:t> </w:t>
      </w:r>
      <w:r>
        <w:rPr>
          <w:color w:val="242424"/>
          <w:w w:val="110"/>
          <w:sz w:val="19"/>
        </w:rPr>
        <w:t>Auditing</w:t>
      </w:r>
      <w:r>
        <w:rPr>
          <w:color w:val="242424"/>
          <w:spacing w:val="-36"/>
          <w:w w:val="110"/>
          <w:sz w:val="19"/>
        </w:rPr>
        <w:t> </w:t>
      </w:r>
      <w:r>
        <w:rPr>
          <w:color w:val="343434"/>
          <w:w w:val="110"/>
          <w:sz w:val="19"/>
        </w:rPr>
        <w:t>S</w:t>
      </w:r>
      <w:r>
        <w:rPr>
          <w:color w:val="131313"/>
          <w:w w:val="110"/>
          <w:sz w:val="19"/>
        </w:rPr>
        <w:t>tandard</w:t>
      </w:r>
      <w:r>
        <w:rPr>
          <w:color w:val="343434"/>
          <w:w w:val="110"/>
          <w:sz w:val="19"/>
        </w:rPr>
        <w:t>s.</w:t>
      </w:r>
      <w:r>
        <w:rPr>
          <w:color w:val="343434"/>
          <w:spacing w:val="-28"/>
          <w:w w:val="110"/>
          <w:sz w:val="19"/>
        </w:rPr>
        <w:t> </w:t>
      </w:r>
      <w:r>
        <w:rPr>
          <w:color w:val="242424"/>
          <w:w w:val="110"/>
          <w:sz w:val="19"/>
        </w:rPr>
        <w:t>My</w:t>
      </w:r>
      <w:r>
        <w:rPr>
          <w:color w:val="242424"/>
          <w:spacing w:val="-34"/>
          <w:w w:val="110"/>
          <w:sz w:val="19"/>
        </w:rPr>
        <w:t> </w:t>
      </w:r>
      <w:r>
        <w:rPr>
          <w:color w:val="242424"/>
          <w:w w:val="110"/>
          <w:sz w:val="19"/>
        </w:rPr>
        <w:t>responsibilities</w:t>
      </w:r>
      <w:r>
        <w:rPr>
          <w:color w:val="242424"/>
          <w:spacing w:val="-30"/>
          <w:w w:val="110"/>
          <w:sz w:val="19"/>
        </w:rPr>
        <w:t> </w:t>
      </w:r>
      <w:r>
        <w:rPr>
          <w:color w:val="242424"/>
          <w:w w:val="110"/>
          <w:sz w:val="19"/>
        </w:rPr>
        <w:t>u</w:t>
      </w:r>
      <w:r>
        <w:rPr>
          <w:color w:val="4B4B4B"/>
          <w:w w:val="110"/>
          <w:sz w:val="19"/>
        </w:rPr>
        <w:t>nde</w:t>
      </w:r>
      <w:r>
        <w:rPr>
          <w:color w:val="242424"/>
          <w:w w:val="110"/>
          <w:sz w:val="19"/>
        </w:rPr>
        <w:t>r</w:t>
      </w:r>
      <w:r>
        <w:rPr>
          <w:color w:val="242424"/>
          <w:spacing w:val="-36"/>
          <w:w w:val="110"/>
          <w:sz w:val="19"/>
        </w:rPr>
        <w:t> </w:t>
      </w:r>
      <w:r>
        <w:rPr>
          <w:color w:val="4B4B4B"/>
          <w:w w:val="110"/>
          <w:sz w:val="19"/>
        </w:rPr>
        <w:t>t</w:t>
      </w:r>
      <w:r>
        <w:rPr>
          <w:color w:val="242424"/>
          <w:w w:val="110"/>
          <w:sz w:val="19"/>
        </w:rPr>
        <w:t>he </w:t>
      </w:r>
      <w:r>
        <w:rPr>
          <w:color w:val="343434"/>
          <w:w w:val="110"/>
          <w:sz w:val="19"/>
        </w:rPr>
        <w:t>sta</w:t>
      </w:r>
      <w:r>
        <w:rPr>
          <w:color w:val="131313"/>
          <w:w w:val="110"/>
          <w:sz w:val="19"/>
        </w:rPr>
        <w:t>ndards</w:t>
      </w:r>
      <w:r>
        <w:rPr>
          <w:color w:val="131313"/>
          <w:spacing w:val="-21"/>
          <w:w w:val="110"/>
          <w:sz w:val="19"/>
        </w:rPr>
        <w:t> </w:t>
      </w:r>
      <w:r>
        <w:rPr>
          <w:color w:val="343434"/>
          <w:w w:val="110"/>
          <w:sz w:val="19"/>
        </w:rPr>
        <w:t>a</w:t>
      </w:r>
      <w:r>
        <w:rPr>
          <w:color w:val="131313"/>
          <w:w w:val="110"/>
          <w:sz w:val="19"/>
        </w:rPr>
        <w:t>re</w:t>
      </w:r>
      <w:r>
        <w:rPr>
          <w:color w:val="131313"/>
          <w:spacing w:val="-32"/>
          <w:w w:val="110"/>
          <w:sz w:val="19"/>
        </w:rPr>
        <w:t> </w:t>
      </w:r>
      <w:r>
        <w:rPr>
          <w:color w:val="242424"/>
          <w:w w:val="110"/>
          <w:sz w:val="19"/>
        </w:rPr>
        <w:t>described</w:t>
      </w:r>
      <w:r>
        <w:rPr>
          <w:color w:val="242424"/>
          <w:spacing w:val="-17"/>
          <w:w w:val="110"/>
          <w:sz w:val="19"/>
        </w:rPr>
        <w:t> </w:t>
      </w:r>
      <w:r>
        <w:rPr>
          <w:color w:val="131313"/>
          <w:w w:val="110"/>
          <w:sz w:val="19"/>
        </w:rPr>
        <w:t>in</w:t>
      </w:r>
      <w:r>
        <w:rPr>
          <w:color w:val="131313"/>
          <w:spacing w:val="-31"/>
          <w:w w:val="110"/>
          <w:sz w:val="19"/>
        </w:rPr>
        <w:t> </w:t>
      </w:r>
      <w:r>
        <w:rPr>
          <w:color w:val="131313"/>
          <w:w w:val="110"/>
          <w:sz w:val="19"/>
        </w:rPr>
        <w:t>th</w:t>
      </w:r>
      <w:r>
        <w:rPr>
          <w:color w:val="343434"/>
          <w:w w:val="110"/>
          <w:sz w:val="19"/>
        </w:rPr>
        <w:t>e</w:t>
      </w:r>
      <w:r>
        <w:rPr>
          <w:color w:val="343434"/>
          <w:spacing w:val="-21"/>
          <w:w w:val="110"/>
          <w:sz w:val="19"/>
        </w:rPr>
        <w:t> </w:t>
      </w:r>
      <w:r>
        <w:rPr>
          <w:color w:val="131313"/>
          <w:w w:val="110"/>
          <w:sz w:val="19"/>
        </w:rPr>
        <w:t>'Au</w:t>
      </w:r>
      <w:r>
        <w:rPr>
          <w:color w:val="343434"/>
          <w:w w:val="110"/>
          <w:sz w:val="19"/>
        </w:rPr>
        <w:t>d</w:t>
      </w:r>
      <w:r>
        <w:rPr>
          <w:color w:val="131313"/>
          <w:w w:val="110"/>
          <w:sz w:val="19"/>
        </w:rPr>
        <w:t>it</w:t>
      </w:r>
      <w:r>
        <w:rPr>
          <w:color w:val="343434"/>
          <w:w w:val="110"/>
          <w:sz w:val="19"/>
        </w:rPr>
        <w:t>o</w:t>
      </w:r>
      <w:r>
        <w:rPr>
          <w:color w:val="131313"/>
          <w:w w:val="110"/>
          <w:sz w:val="19"/>
        </w:rPr>
        <w:t>r</w:t>
      </w:r>
      <w:r>
        <w:rPr>
          <w:color w:val="5B5B5B"/>
          <w:w w:val="110"/>
          <w:sz w:val="19"/>
        </w:rPr>
        <w:t>'</w:t>
      </w:r>
      <w:r>
        <w:rPr>
          <w:color w:val="343434"/>
          <w:w w:val="110"/>
          <w:sz w:val="19"/>
        </w:rPr>
        <w:t>s</w:t>
      </w:r>
      <w:r>
        <w:rPr>
          <w:color w:val="343434"/>
          <w:spacing w:val="-20"/>
          <w:w w:val="110"/>
          <w:sz w:val="19"/>
        </w:rPr>
        <w:t> </w:t>
      </w:r>
      <w:r>
        <w:rPr>
          <w:color w:val="131313"/>
          <w:w w:val="110"/>
          <w:sz w:val="19"/>
        </w:rPr>
        <w:t>R</w:t>
      </w:r>
      <w:r>
        <w:rPr>
          <w:color w:val="343434"/>
          <w:w w:val="110"/>
          <w:sz w:val="19"/>
        </w:rPr>
        <w:t>espons</w:t>
      </w:r>
      <w:r>
        <w:rPr>
          <w:color w:val="131313"/>
          <w:w w:val="110"/>
          <w:sz w:val="19"/>
        </w:rPr>
        <w:t>ibiliti</w:t>
      </w:r>
      <w:r>
        <w:rPr>
          <w:color w:val="343434"/>
          <w:w w:val="110"/>
          <w:sz w:val="19"/>
        </w:rPr>
        <w:t>es</w:t>
      </w:r>
      <w:r>
        <w:rPr>
          <w:color w:val="343434"/>
          <w:spacing w:val="-28"/>
          <w:w w:val="110"/>
          <w:sz w:val="19"/>
        </w:rPr>
        <w:t> </w:t>
      </w:r>
      <w:r>
        <w:rPr>
          <w:color w:val="343434"/>
          <w:spacing w:val="5"/>
          <w:w w:val="110"/>
          <w:sz w:val="19"/>
        </w:rPr>
        <w:t>fo</w:t>
      </w:r>
      <w:r>
        <w:rPr>
          <w:color w:val="131313"/>
          <w:spacing w:val="5"/>
          <w:w w:val="110"/>
          <w:sz w:val="19"/>
        </w:rPr>
        <w:t>r</w:t>
      </w:r>
      <w:r>
        <w:rPr>
          <w:color w:val="131313"/>
          <w:spacing w:val="-26"/>
          <w:w w:val="110"/>
          <w:sz w:val="19"/>
        </w:rPr>
        <w:t> </w:t>
      </w:r>
      <w:r>
        <w:rPr>
          <w:color w:val="131313"/>
          <w:w w:val="110"/>
          <w:sz w:val="19"/>
        </w:rPr>
        <w:t>th</w:t>
      </w:r>
      <w:r>
        <w:rPr>
          <w:color w:val="343434"/>
          <w:w w:val="110"/>
          <w:sz w:val="19"/>
        </w:rPr>
        <w:t>e</w:t>
      </w:r>
      <w:r>
        <w:rPr>
          <w:color w:val="343434"/>
          <w:spacing w:val="-34"/>
          <w:w w:val="110"/>
          <w:sz w:val="19"/>
        </w:rPr>
        <w:t> </w:t>
      </w:r>
      <w:r>
        <w:rPr>
          <w:color w:val="343434"/>
          <w:spacing w:val="3"/>
          <w:w w:val="110"/>
          <w:sz w:val="19"/>
        </w:rPr>
        <w:t>A</w:t>
      </w:r>
      <w:r>
        <w:rPr>
          <w:color w:val="131313"/>
          <w:spacing w:val="3"/>
          <w:w w:val="110"/>
          <w:sz w:val="19"/>
        </w:rPr>
        <w:t>udit</w:t>
      </w:r>
      <w:r>
        <w:rPr>
          <w:color w:val="131313"/>
          <w:spacing w:val="-31"/>
          <w:w w:val="110"/>
          <w:sz w:val="19"/>
        </w:rPr>
        <w:t> </w:t>
      </w:r>
      <w:r>
        <w:rPr>
          <w:color w:val="343434"/>
          <w:spacing w:val="-3"/>
          <w:w w:val="110"/>
          <w:sz w:val="19"/>
        </w:rPr>
        <w:t>o</w:t>
      </w:r>
      <w:r>
        <w:rPr>
          <w:color w:val="131313"/>
          <w:spacing w:val="-3"/>
          <w:w w:val="110"/>
          <w:sz w:val="19"/>
        </w:rPr>
        <w:t>f</w:t>
      </w:r>
      <w:r>
        <w:rPr>
          <w:color w:val="131313"/>
          <w:spacing w:val="-26"/>
          <w:w w:val="110"/>
          <w:sz w:val="19"/>
        </w:rPr>
        <w:t> </w:t>
      </w:r>
      <w:r>
        <w:rPr>
          <w:color w:val="131313"/>
          <w:spacing w:val="3"/>
          <w:w w:val="110"/>
          <w:sz w:val="19"/>
        </w:rPr>
        <w:t>t</w:t>
      </w:r>
      <w:r>
        <w:rPr>
          <w:color w:val="343434"/>
          <w:spacing w:val="3"/>
          <w:w w:val="110"/>
          <w:sz w:val="19"/>
        </w:rPr>
        <w:t>he</w:t>
      </w:r>
      <w:r>
        <w:rPr>
          <w:color w:val="343434"/>
          <w:spacing w:val="-28"/>
          <w:w w:val="110"/>
          <w:sz w:val="19"/>
        </w:rPr>
        <w:t> </w:t>
      </w:r>
      <w:r>
        <w:rPr>
          <w:color w:val="131313"/>
          <w:w w:val="110"/>
          <w:sz w:val="19"/>
        </w:rPr>
        <w:t>Fin</w:t>
      </w:r>
      <w:r>
        <w:rPr>
          <w:color w:val="343434"/>
          <w:w w:val="110"/>
          <w:sz w:val="19"/>
        </w:rPr>
        <w:t>anc</w:t>
      </w:r>
      <w:r>
        <w:rPr>
          <w:color w:val="131313"/>
          <w:w w:val="110"/>
          <w:sz w:val="19"/>
        </w:rPr>
        <w:t>i</w:t>
      </w:r>
      <w:r>
        <w:rPr>
          <w:color w:val="343434"/>
          <w:w w:val="110"/>
          <w:sz w:val="19"/>
        </w:rPr>
        <w:t>a</w:t>
      </w:r>
      <w:r>
        <w:rPr>
          <w:color w:val="131313"/>
          <w:w w:val="110"/>
          <w:sz w:val="19"/>
        </w:rPr>
        <w:t>l</w:t>
      </w:r>
      <w:r>
        <w:rPr>
          <w:color w:val="131313"/>
          <w:spacing w:val="-42"/>
          <w:w w:val="110"/>
          <w:sz w:val="19"/>
        </w:rPr>
        <w:t> </w:t>
      </w:r>
      <w:r>
        <w:rPr>
          <w:color w:val="343434"/>
          <w:w w:val="110"/>
          <w:sz w:val="19"/>
        </w:rPr>
        <w:t>Sta</w:t>
      </w:r>
      <w:r>
        <w:rPr>
          <w:color w:val="131313"/>
          <w:w w:val="110"/>
          <w:sz w:val="19"/>
        </w:rPr>
        <w:t>t</w:t>
      </w:r>
      <w:r>
        <w:rPr>
          <w:color w:val="343434"/>
          <w:w w:val="110"/>
          <w:sz w:val="19"/>
        </w:rPr>
        <w:t>emen</w:t>
      </w:r>
      <w:r>
        <w:rPr>
          <w:color w:val="131313"/>
          <w:w w:val="110"/>
          <w:sz w:val="19"/>
        </w:rPr>
        <w:t>t</w:t>
      </w:r>
      <w:r>
        <w:rPr>
          <w:color w:val="343434"/>
          <w:w w:val="110"/>
          <w:sz w:val="19"/>
        </w:rPr>
        <w:t>s' sec</w:t>
      </w:r>
      <w:r>
        <w:rPr>
          <w:color w:val="131313"/>
          <w:w w:val="110"/>
          <w:sz w:val="19"/>
        </w:rPr>
        <w:t>tion</w:t>
      </w:r>
      <w:r>
        <w:rPr>
          <w:color w:val="131313"/>
          <w:spacing w:val="-18"/>
          <w:w w:val="110"/>
          <w:sz w:val="19"/>
        </w:rPr>
        <w:t> </w:t>
      </w:r>
      <w:r>
        <w:rPr>
          <w:color w:val="343434"/>
          <w:w w:val="110"/>
          <w:sz w:val="19"/>
        </w:rPr>
        <w:t>of</w:t>
      </w:r>
      <w:r>
        <w:rPr>
          <w:color w:val="343434"/>
          <w:spacing w:val="-18"/>
          <w:w w:val="110"/>
          <w:sz w:val="19"/>
        </w:rPr>
        <w:t> </w:t>
      </w:r>
      <w:r>
        <w:rPr>
          <w:color w:val="131313"/>
          <w:spacing w:val="-5"/>
          <w:w w:val="110"/>
          <w:sz w:val="19"/>
        </w:rPr>
        <w:t>m</w:t>
      </w:r>
      <w:r>
        <w:rPr>
          <w:color w:val="343434"/>
          <w:spacing w:val="-5"/>
          <w:w w:val="110"/>
          <w:sz w:val="19"/>
        </w:rPr>
        <w:t>y</w:t>
      </w:r>
      <w:r>
        <w:rPr>
          <w:color w:val="343434"/>
          <w:spacing w:val="-18"/>
          <w:w w:val="110"/>
          <w:sz w:val="19"/>
        </w:rPr>
        <w:t> </w:t>
      </w:r>
      <w:r>
        <w:rPr>
          <w:color w:val="131313"/>
          <w:w w:val="110"/>
          <w:sz w:val="19"/>
        </w:rPr>
        <w:t>r</w:t>
      </w:r>
      <w:r>
        <w:rPr>
          <w:color w:val="343434"/>
          <w:w w:val="110"/>
          <w:sz w:val="19"/>
        </w:rPr>
        <w:t>epo</w:t>
      </w:r>
      <w:r>
        <w:rPr>
          <w:color w:val="131313"/>
          <w:w w:val="110"/>
          <w:sz w:val="19"/>
        </w:rPr>
        <w:t>rt</w:t>
      </w:r>
      <w:r>
        <w:rPr>
          <w:color w:val="5B5B5B"/>
          <w:w w:val="110"/>
          <w:sz w:val="19"/>
        </w:rPr>
        <w:t>.</w:t>
      </w:r>
    </w:p>
    <w:p>
      <w:pPr>
        <w:spacing w:line="410" w:lineRule="exact" w:before="23"/>
        <w:ind w:left="680" w:right="2783" w:hanging="548"/>
        <w:jc w:val="left"/>
        <w:rPr>
          <w:sz w:val="19"/>
        </w:rPr>
      </w:pPr>
      <w:r>
        <w:rPr>
          <w:color w:val="131313"/>
          <w:w w:val="105"/>
          <w:sz w:val="19"/>
        </w:rPr>
        <w:t>I </w:t>
      </w:r>
      <w:r>
        <w:rPr>
          <w:color w:val="343434"/>
          <w:w w:val="105"/>
          <w:sz w:val="19"/>
        </w:rPr>
        <w:t>am </w:t>
      </w:r>
      <w:r>
        <w:rPr>
          <w:color w:val="131313"/>
          <w:w w:val="105"/>
          <w:sz w:val="19"/>
        </w:rPr>
        <w:t>ind</w:t>
      </w:r>
      <w:r>
        <w:rPr>
          <w:color w:val="343434"/>
          <w:w w:val="105"/>
          <w:sz w:val="19"/>
        </w:rPr>
        <w:t>epe</w:t>
      </w:r>
      <w:r>
        <w:rPr>
          <w:color w:val="131313"/>
          <w:w w:val="105"/>
          <w:sz w:val="19"/>
        </w:rPr>
        <w:t>nd</w:t>
      </w:r>
      <w:r>
        <w:rPr>
          <w:color w:val="343434"/>
          <w:w w:val="105"/>
          <w:sz w:val="19"/>
        </w:rPr>
        <w:t>e</w:t>
      </w:r>
      <w:r>
        <w:rPr>
          <w:color w:val="131313"/>
          <w:w w:val="105"/>
          <w:sz w:val="19"/>
        </w:rPr>
        <w:t>nt </w:t>
      </w:r>
      <w:r>
        <w:rPr>
          <w:color w:val="343434"/>
          <w:w w:val="105"/>
          <w:sz w:val="19"/>
        </w:rPr>
        <w:t>of </w:t>
      </w:r>
      <w:r>
        <w:rPr>
          <w:color w:val="131313"/>
          <w:w w:val="105"/>
          <w:sz w:val="19"/>
        </w:rPr>
        <w:t>th</w:t>
      </w:r>
      <w:r>
        <w:rPr>
          <w:color w:val="343434"/>
          <w:w w:val="105"/>
          <w:sz w:val="19"/>
        </w:rPr>
        <w:t>e </w:t>
      </w:r>
      <w:r>
        <w:rPr>
          <w:color w:val="131313"/>
          <w:w w:val="105"/>
          <w:sz w:val="19"/>
        </w:rPr>
        <w:t>Uni</w:t>
      </w:r>
      <w:r>
        <w:rPr>
          <w:color w:val="343434"/>
          <w:w w:val="105"/>
          <w:sz w:val="19"/>
        </w:rPr>
        <w:t>vers</w:t>
      </w:r>
      <w:r>
        <w:rPr>
          <w:color w:val="131313"/>
          <w:w w:val="105"/>
          <w:sz w:val="19"/>
        </w:rPr>
        <w:t>it</w:t>
      </w:r>
      <w:r>
        <w:rPr>
          <w:color w:val="343434"/>
          <w:w w:val="105"/>
          <w:sz w:val="19"/>
        </w:rPr>
        <w:t>y </w:t>
      </w:r>
      <w:r>
        <w:rPr>
          <w:color w:val="131313"/>
          <w:w w:val="105"/>
          <w:sz w:val="19"/>
        </w:rPr>
        <w:t>in </w:t>
      </w:r>
      <w:r>
        <w:rPr>
          <w:color w:val="343434"/>
          <w:w w:val="105"/>
          <w:sz w:val="19"/>
        </w:rPr>
        <w:t>acco</w:t>
      </w:r>
      <w:r>
        <w:rPr>
          <w:color w:val="131313"/>
          <w:w w:val="105"/>
          <w:sz w:val="19"/>
        </w:rPr>
        <w:t>rd</w:t>
      </w:r>
      <w:r>
        <w:rPr>
          <w:color w:val="343434"/>
          <w:w w:val="105"/>
          <w:sz w:val="19"/>
        </w:rPr>
        <w:t>a</w:t>
      </w:r>
      <w:r>
        <w:rPr>
          <w:color w:val="131313"/>
          <w:w w:val="105"/>
          <w:sz w:val="19"/>
        </w:rPr>
        <w:t>n</w:t>
      </w:r>
      <w:r>
        <w:rPr>
          <w:color w:val="343434"/>
          <w:w w:val="105"/>
          <w:sz w:val="19"/>
        </w:rPr>
        <w:t>ce w</w:t>
      </w:r>
      <w:r>
        <w:rPr>
          <w:color w:val="131313"/>
          <w:w w:val="105"/>
          <w:sz w:val="19"/>
        </w:rPr>
        <w:t>ith th</w:t>
      </w:r>
      <w:r>
        <w:rPr>
          <w:color w:val="343434"/>
          <w:w w:val="105"/>
          <w:sz w:val="19"/>
        </w:rPr>
        <w:t>e </w:t>
      </w:r>
      <w:r>
        <w:rPr>
          <w:color w:val="131313"/>
          <w:w w:val="105"/>
          <w:sz w:val="19"/>
        </w:rPr>
        <w:t>r</w:t>
      </w:r>
      <w:r>
        <w:rPr>
          <w:color w:val="343434"/>
          <w:w w:val="105"/>
          <w:sz w:val="19"/>
        </w:rPr>
        <w:t>equ</w:t>
      </w:r>
      <w:r>
        <w:rPr>
          <w:color w:val="131313"/>
          <w:w w:val="105"/>
          <w:sz w:val="19"/>
        </w:rPr>
        <w:t>ir</w:t>
      </w:r>
      <w:r>
        <w:rPr>
          <w:color w:val="343434"/>
          <w:w w:val="105"/>
          <w:sz w:val="19"/>
        </w:rPr>
        <w:t>e</w:t>
      </w:r>
      <w:r>
        <w:rPr>
          <w:color w:val="131313"/>
          <w:w w:val="105"/>
          <w:sz w:val="19"/>
        </w:rPr>
        <w:t>m</w:t>
      </w:r>
      <w:r>
        <w:rPr>
          <w:color w:val="343434"/>
          <w:w w:val="105"/>
          <w:sz w:val="19"/>
        </w:rPr>
        <w:t>ents of </w:t>
      </w:r>
      <w:r>
        <w:rPr>
          <w:color w:val="242424"/>
          <w:w w:val="105"/>
          <w:sz w:val="19"/>
        </w:rPr>
        <w:t>the: Australian Auditing </w:t>
      </w:r>
      <w:r>
        <w:rPr>
          <w:color w:val="343434"/>
          <w:w w:val="105"/>
          <w:sz w:val="19"/>
        </w:rPr>
        <w:t>S</w:t>
      </w:r>
      <w:r>
        <w:rPr>
          <w:color w:val="131313"/>
          <w:w w:val="105"/>
          <w:sz w:val="19"/>
        </w:rPr>
        <w:t>t</w:t>
      </w:r>
      <w:r>
        <w:rPr>
          <w:color w:val="343434"/>
          <w:w w:val="105"/>
          <w:sz w:val="19"/>
        </w:rPr>
        <w:t>anda</w:t>
      </w:r>
      <w:r>
        <w:rPr>
          <w:color w:val="131313"/>
          <w:w w:val="105"/>
          <w:sz w:val="19"/>
        </w:rPr>
        <w:t>rd</w:t>
      </w:r>
      <w:r>
        <w:rPr>
          <w:color w:val="343434"/>
          <w:w w:val="105"/>
          <w:sz w:val="19"/>
        </w:rPr>
        <w:t>s</w:t>
      </w:r>
    </w:p>
    <w:p>
      <w:pPr>
        <w:spacing w:line="254" w:lineRule="auto" w:before="24"/>
        <w:ind w:left="694" w:right="2393" w:hanging="15"/>
        <w:jc w:val="left"/>
        <w:rPr>
          <w:sz w:val="19"/>
        </w:rPr>
      </w:pPr>
      <w:r>
        <w:rPr>
          <w:color w:val="343434"/>
          <w:w w:val="105"/>
          <w:sz w:val="19"/>
        </w:rPr>
        <w:t>Accou </w:t>
      </w:r>
      <w:r>
        <w:rPr>
          <w:color w:val="131313"/>
          <w:spacing w:val="-4"/>
          <w:w w:val="105"/>
          <w:sz w:val="19"/>
        </w:rPr>
        <w:t>n</w:t>
      </w:r>
      <w:r>
        <w:rPr>
          <w:color w:val="343434"/>
          <w:spacing w:val="-4"/>
          <w:w w:val="105"/>
          <w:sz w:val="19"/>
        </w:rPr>
        <w:t>t</w:t>
      </w:r>
      <w:r>
        <w:rPr>
          <w:color w:val="131313"/>
          <w:spacing w:val="-4"/>
          <w:w w:val="105"/>
          <w:sz w:val="19"/>
        </w:rPr>
        <w:t>ing </w:t>
      </w:r>
      <w:r>
        <w:rPr>
          <w:color w:val="131313"/>
          <w:w w:val="105"/>
          <w:sz w:val="19"/>
        </w:rPr>
        <w:t>P</w:t>
      </w:r>
      <w:r>
        <w:rPr>
          <w:color w:val="343434"/>
          <w:w w:val="105"/>
          <w:sz w:val="19"/>
        </w:rPr>
        <w:t>rofess</w:t>
      </w:r>
      <w:r>
        <w:rPr>
          <w:color w:val="131313"/>
          <w:w w:val="105"/>
          <w:sz w:val="19"/>
        </w:rPr>
        <w:t>i</w:t>
      </w:r>
      <w:r>
        <w:rPr>
          <w:color w:val="343434"/>
          <w:w w:val="105"/>
          <w:sz w:val="19"/>
        </w:rPr>
        <w:t>ona</w:t>
      </w:r>
      <w:r>
        <w:rPr>
          <w:color w:val="131313"/>
          <w:w w:val="105"/>
          <w:sz w:val="19"/>
        </w:rPr>
        <w:t>l </w:t>
      </w:r>
      <w:r>
        <w:rPr>
          <w:color w:val="343434"/>
          <w:w w:val="105"/>
          <w:sz w:val="19"/>
        </w:rPr>
        <w:t>and </w:t>
      </w:r>
      <w:r>
        <w:rPr>
          <w:color w:val="242424"/>
          <w:w w:val="105"/>
          <w:sz w:val="19"/>
        </w:rPr>
        <w:t>Ethical </w:t>
      </w:r>
      <w:r>
        <w:rPr>
          <w:color w:val="343434"/>
          <w:w w:val="105"/>
          <w:sz w:val="19"/>
        </w:rPr>
        <w:t>S</w:t>
      </w:r>
      <w:r>
        <w:rPr>
          <w:color w:val="131313"/>
          <w:w w:val="105"/>
          <w:sz w:val="19"/>
        </w:rPr>
        <w:t>t</w:t>
      </w:r>
      <w:r>
        <w:rPr>
          <w:color w:val="343434"/>
          <w:w w:val="105"/>
          <w:sz w:val="19"/>
        </w:rPr>
        <w:t>andards </w:t>
      </w:r>
      <w:r>
        <w:rPr>
          <w:color w:val="242424"/>
          <w:w w:val="105"/>
          <w:sz w:val="19"/>
        </w:rPr>
        <w:t>Board's </w:t>
      </w:r>
      <w:r>
        <w:rPr>
          <w:color w:val="343434"/>
          <w:w w:val="105"/>
          <w:sz w:val="19"/>
        </w:rPr>
        <w:t>APES </w:t>
      </w:r>
      <w:r>
        <w:rPr>
          <w:rFonts w:ascii="Times New Roman"/>
          <w:color w:val="343434"/>
          <w:spacing w:val="-5"/>
          <w:w w:val="105"/>
          <w:sz w:val="21"/>
        </w:rPr>
        <w:t>1</w:t>
      </w:r>
      <w:r>
        <w:rPr>
          <w:rFonts w:ascii="Times New Roman"/>
          <w:color w:val="131313"/>
          <w:spacing w:val="-5"/>
          <w:w w:val="105"/>
          <w:sz w:val="21"/>
        </w:rPr>
        <w:t>1</w:t>
      </w:r>
      <w:r>
        <w:rPr>
          <w:color w:val="343434"/>
          <w:spacing w:val="-5"/>
          <w:w w:val="105"/>
          <w:sz w:val="19"/>
        </w:rPr>
        <w:t>O</w:t>
      </w:r>
      <w:r>
        <w:rPr>
          <w:color w:val="343434"/>
          <w:w w:val="105"/>
          <w:sz w:val="19"/>
        </w:rPr>
        <w:t> 'Code o</w:t>
      </w:r>
      <w:r>
        <w:rPr>
          <w:color w:val="5B5B5B"/>
          <w:w w:val="105"/>
          <w:sz w:val="19"/>
        </w:rPr>
        <w:t>f </w:t>
      </w:r>
      <w:r>
        <w:rPr>
          <w:color w:val="343434"/>
          <w:w w:val="105"/>
          <w:sz w:val="19"/>
        </w:rPr>
        <w:t>E</w:t>
      </w:r>
      <w:r>
        <w:rPr>
          <w:color w:val="131313"/>
          <w:w w:val="105"/>
          <w:sz w:val="19"/>
        </w:rPr>
        <w:t>th</w:t>
      </w:r>
      <w:r>
        <w:rPr>
          <w:color w:val="343434"/>
          <w:w w:val="105"/>
          <w:sz w:val="19"/>
        </w:rPr>
        <w:t>ics </w:t>
      </w:r>
      <w:r>
        <w:rPr>
          <w:color w:val="242424"/>
          <w:w w:val="105"/>
          <w:sz w:val="19"/>
        </w:rPr>
        <w:t>for Prof</w:t>
      </w:r>
      <w:r>
        <w:rPr>
          <w:color w:val="4B4B4B"/>
          <w:w w:val="105"/>
          <w:sz w:val="19"/>
        </w:rPr>
        <w:t>ess</w:t>
      </w:r>
      <w:r>
        <w:rPr>
          <w:color w:val="131313"/>
          <w:w w:val="105"/>
          <w:sz w:val="19"/>
        </w:rPr>
        <w:t>i</w:t>
      </w:r>
      <w:r>
        <w:rPr>
          <w:color w:val="343434"/>
          <w:w w:val="105"/>
          <w:sz w:val="19"/>
        </w:rPr>
        <w:t>ona</w:t>
      </w:r>
      <w:r>
        <w:rPr>
          <w:color w:val="131313"/>
          <w:w w:val="105"/>
          <w:sz w:val="19"/>
        </w:rPr>
        <w:t>l</w:t>
      </w:r>
      <w:r>
        <w:rPr>
          <w:color w:val="343434"/>
          <w:w w:val="105"/>
          <w:sz w:val="19"/>
        </w:rPr>
        <w:t>Acco </w:t>
      </w:r>
      <w:r>
        <w:rPr>
          <w:color w:val="131313"/>
          <w:w w:val="105"/>
          <w:sz w:val="19"/>
        </w:rPr>
        <w:t>unt</w:t>
      </w:r>
      <w:r>
        <w:rPr>
          <w:color w:val="343434"/>
          <w:w w:val="105"/>
          <w:sz w:val="19"/>
        </w:rPr>
        <w:t>a</w:t>
      </w:r>
      <w:r>
        <w:rPr>
          <w:color w:val="131313"/>
          <w:w w:val="105"/>
          <w:sz w:val="19"/>
        </w:rPr>
        <w:t>nt</w:t>
      </w:r>
      <w:r>
        <w:rPr>
          <w:color w:val="343434"/>
          <w:w w:val="105"/>
          <w:sz w:val="19"/>
        </w:rPr>
        <w:t>s' (AP</w:t>
      </w:r>
      <w:r>
        <w:rPr>
          <w:color w:val="131313"/>
          <w:w w:val="105"/>
          <w:sz w:val="19"/>
        </w:rPr>
        <w:t>E</w:t>
      </w:r>
      <w:r>
        <w:rPr>
          <w:color w:val="343434"/>
          <w:w w:val="105"/>
          <w:sz w:val="19"/>
        </w:rPr>
        <w:t>S </w:t>
      </w:r>
      <w:r>
        <w:rPr>
          <w:color w:val="131313"/>
          <w:w w:val="105"/>
          <w:sz w:val="19"/>
        </w:rPr>
        <w:t>110</w:t>
      </w:r>
      <w:r>
        <w:rPr>
          <w:color w:val="343434"/>
          <w:w w:val="105"/>
          <w:sz w:val="19"/>
        </w:rPr>
        <w:t>).</w:t>
      </w:r>
    </w:p>
    <w:p>
      <w:pPr>
        <w:pStyle w:val="BodyText"/>
        <w:spacing w:before="1"/>
      </w:pPr>
    </w:p>
    <w:p>
      <w:pPr>
        <w:spacing w:before="0"/>
        <w:ind w:left="126" w:right="1440" w:firstLine="0"/>
        <w:jc w:val="left"/>
        <w:rPr>
          <w:sz w:val="19"/>
        </w:rPr>
      </w:pPr>
      <w:r>
        <w:rPr>
          <w:color w:val="131313"/>
          <w:w w:val="110"/>
          <w:sz w:val="19"/>
        </w:rPr>
        <w:t>I h</w:t>
      </w:r>
      <w:r>
        <w:rPr>
          <w:color w:val="343434"/>
          <w:w w:val="110"/>
          <w:sz w:val="19"/>
        </w:rPr>
        <w:t>ave </w:t>
      </w:r>
      <w:r>
        <w:rPr>
          <w:color w:val="131313"/>
          <w:w w:val="110"/>
          <w:sz w:val="19"/>
        </w:rPr>
        <w:t>fulfill</w:t>
      </w:r>
      <w:r>
        <w:rPr>
          <w:color w:val="343434"/>
          <w:w w:val="110"/>
          <w:sz w:val="19"/>
        </w:rPr>
        <w:t>ed </w:t>
      </w:r>
      <w:r>
        <w:rPr>
          <w:color w:val="131313"/>
          <w:w w:val="110"/>
          <w:sz w:val="19"/>
        </w:rPr>
        <w:t>m</w:t>
      </w:r>
      <w:r>
        <w:rPr>
          <w:color w:val="343434"/>
          <w:w w:val="110"/>
          <w:sz w:val="19"/>
        </w:rPr>
        <w:t>y </w:t>
      </w:r>
      <w:r>
        <w:rPr>
          <w:color w:val="242424"/>
          <w:w w:val="110"/>
          <w:sz w:val="19"/>
        </w:rPr>
        <w:t>other ethical </w:t>
      </w:r>
      <w:r>
        <w:rPr>
          <w:color w:val="131313"/>
          <w:w w:val="110"/>
          <w:sz w:val="19"/>
        </w:rPr>
        <w:t>r</w:t>
      </w:r>
      <w:r>
        <w:rPr>
          <w:color w:val="343434"/>
          <w:w w:val="110"/>
          <w:sz w:val="19"/>
        </w:rPr>
        <w:t>espons</w:t>
      </w:r>
      <w:r>
        <w:rPr>
          <w:color w:val="131313"/>
          <w:w w:val="110"/>
          <w:sz w:val="19"/>
        </w:rPr>
        <w:t>i</w:t>
      </w:r>
      <w:r>
        <w:rPr>
          <w:color w:val="343434"/>
          <w:w w:val="110"/>
          <w:sz w:val="19"/>
        </w:rPr>
        <w:t>bi</w:t>
      </w:r>
      <w:r>
        <w:rPr>
          <w:color w:val="131313"/>
          <w:w w:val="110"/>
          <w:sz w:val="19"/>
        </w:rPr>
        <w:t>liti</w:t>
      </w:r>
      <w:r>
        <w:rPr>
          <w:color w:val="343434"/>
          <w:w w:val="110"/>
          <w:sz w:val="19"/>
        </w:rPr>
        <w:t>es </w:t>
      </w:r>
      <w:r>
        <w:rPr>
          <w:color w:val="131313"/>
          <w:w w:val="120"/>
          <w:sz w:val="19"/>
        </w:rPr>
        <w:t>in </w:t>
      </w:r>
      <w:r>
        <w:rPr>
          <w:color w:val="242424"/>
          <w:w w:val="110"/>
          <w:sz w:val="19"/>
        </w:rPr>
        <w:t>accordan</w:t>
      </w:r>
      <w:r>
        <w:rPr>
          <w:color w:val="4B4B4B"/>
          <w:w w:val="110"/>
          <w:sz w:val="19"/>
        </w:rPr>
        <w:t>c</w:t>
      </w:r>
      <w:r>
        <w:rPr>
          <w:color w:val="242424"/>
          <w:w w:val="110"/>
          <w:sz w:val="19"/>
        </w:rPr>
        <w:t>e with APES </w:t>
      </w:r>
      <w:r>
        <w:rPr>
          <w:color w:val="131313"/>
          <w:w w:val="110"/>
          <w:sz w:val="19"/>
        </w:rPr>
        <w:t>110</w:t>
      </w:r>
      <w:r>
        <w:rPr>
          <w:color w:val="4B4B4B"/>
          <w:w w:val="110"/>
          <w:sz w:val="19"/>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2"/>
        </w:rPr>
      </w:pPr>
      <w:r>
        <w:rPr/>
        <w:pict>
          <v:line style="position:absolute;mso-position-horizontal-relative:page;mso-position-vertical-relative:paragraph;z-index:2008;mso-wrap-distance-left:0;mso-wrap-distance-right:0" from="66.591049pt,9.309732pt" to="518.330299pt,9.309732pt" stroked="true" strokeweight=".359952pt" strokecolor="#3b3b3b">
            <w10:wrap type="topAndBottom"/>
          </v:line>
        </w:pict>
      </w:r>
    </w:p>
    <w:p>
      <w:pPr>
        <w:spacing w:before="119"/>
        <w:ind w:left="119" w:right="1440" w:firstLine="0"/>
        <w:jc w:val="left"/>
        <w:rPr>
          <w:sz w:val="12"/>
        </w:rPr>
      </w:pPr>
      <w:r>
        <w:rPr>
          <w:color w:val="131313"/>
          <w:spacing w:val="-15"/>
          <w:w w:val="118"/>
          <w:sz w:val="12"/>
        </w:rPr>
        <w:t>L</w:t>
      </w:r>
      <w:r>
        <w:rPr>
          <w:color w:val="343434"/>
          <w:w w:val="103"/>
          <w:sz w:val="12"/>
        </w:rPr>
        <w:t>ev</w:t>
      </w:r>
      <w:r>
        <w:rPr>
          <w:color w:val="343434"/>
          <w:spacing w:val="-7"/>
          <w:w w:val="103"/>
          <w:sz w:val="12"/>
        </w:rPr>
        <w:t>e</w:t>
      </w:r>
      <w:r>
        <w:rPr>
          <w:color w:val="131313"/>
          <w:spacing w:val="-8"/>
          <w:w w:val="270"/>
          <w:sz w:val="12"/>
        </w:rPr>
        <w:t>l</w:t>
      </w:r>
      <w:r>
        <w:rPr>
          <w:color w:val="242424"/>
          <w:spacing w:val="-40"/>
          <w:w w:val="156"/>
          <w:sz w:val="12"/>
        </w:rPr>
        <w:t>1</w:t>
      </w:r>
      <w:r>
        <w:rPr>
          <w:color w:val="242424"/>
          <w:w w:val="125"/>
          <w:sz w:val="12"/>
        </w:rPr>
        <w:t>5,</w:t>
      </w:r>
      <w:r>
        <w:rPr>
          <w:color w:val="242424"/>
          <w:spacing w:val="-16"/>
          <w:sz w:val="12"/>
        </w:rPr>
        <w:t> </w:t>
      </w:r>
      <w:r>
        <w:rPr>
          <w:color w:val="131313"/>
          <w:spacing w:val="-4"/>
          <w:w w:val="156"/>
          <w:sz w:val="12"/>
        </w:rPr>
        <w:t>1</w:t>
      </w:r>
      <w:r>
        <w:rPr>
          <w:color w:val="242424"/>
          <w:w w:val="107"/>
          <w:sz w:val="12"/>
        </w:rPr>
        <w:t>Margaret</w:t>
      </w:r>
      <w:r>
        <w:rPr>
          <w:color w:val="242424"/>
          <w:spacing w:val="-5"/>
          <w:sz w:val="12"/>
        </w:rPr>
        <w:t> </w:t>
      </w:r>
      <w:r>
        <w:rPr>
          <w:color w:val="343434"/>
          <w:w w:val="104"/>
          <w:sz w:val="12"/>
        </w:rPr>
        <w:t>Street,</w:t>
      </w:r>
      <w:r>
        <w:rPr>
          <w:color w:val="343434"/>
          <w:spacing w:val="-1"/>
          <w:sz w:val="12"/>
        </w:rPr>
        <w:t> </w:t>
      </w:r>
      <w:r>
        <w:rPr>
          <w:color w:val="343434"/>
          <w:w w:val="103"/>
          <w:sz w:val="12"/>
        </w:rPr>
        <w:t>Sydney</w:t>
      </w:r>
      <w:r>
        <w:rPr>
          <w:color w:val="343434"/>
          <w:spacing w:val="4"/>
          <w:sz w:val="12"/>
        </w:rPr>
        <w:t> </w:t>
      </w:r>
      <w:r>
        <w:rPr>
          <w:color w:val="131313"/>
          <w:spacing w:val="-7"/>
          <w:w w:val="114"/>
          <w:sz w:val="12"/>
        </w:rPr>
        <w:t>N</w:t>
      </w:r>
      <w:r>
        <w:rPr>
          <w:color w:val="343434"/>
          <w:w w:val="97"/>
          <w:sz w:val="12"/>
        </w:rPr>
        <w:t>SW</w:t>
      </w:r>
      <w:r>
        <w:rPr>
          <w:color w:val="343434"/>
          <w:spacing w:val="7"/>
          <w:sz w:val="12"/>
        </w:rPr>
        <w:t> </w:t>
      </w:r>
      <w:r>
        <w:rPr>
          <w:color w:val="343434"/>
          <w:w w:val="100"/>
          <w:sz w:val="12"/>
        </w:rPr>
        <w:t>2000</w:t>
      </w:r>
      <w:r>
        <w:rPr>
          <w:color w:val="343434"/>
          <w:sz w:val="12"/>
        </w:rPr>
        <w:t> </w:t>
      </w:r>
      <w:r>
        <w:rPr>
          <w:color w:val="343434"/>
          <w:spacing w:val="-6"/>
          <w:sz w:val="12"/>
        </w:rPr>
        <w:t> </w:t>
      </w:r>
      <w:r>
        <w:rPr>
          <w:color w:val="242424"/>
          <w:w w:val="186"/>
          <w:sz w:val="12"/>
        </w:rPr>
        <w:t>I</w:t>
      </w:r>
      <w:r>
        <w:rPr>
          <w:color w:val="242424"/>
          <w:spacing w:val="5"/>
          <w:sz w:val="12"/>
        </w:rPr>
        <w:t> </w:t>
      </w:r>
      <w:r>
        <w:rPr>
          <w:color w:val="4B4B4B"/>
          <w:w w:val="96"/>
          <w:sz w:val="12"/>
        </w:rPr>
        <w:t>GPO</w:t>
      </w:r>
      <w:r>
        <w:rPr>
          <w:color w:val="4B4B4B"/>
          <w:spacing w:val="-4"/>
          <w:sz w:val="12"/>
        </w:rPr>
        <w:t> </w:t>
      </w:r>
      <w:r>
        <w:rPr>
          <w:color w:val="343434"/>
          <w:w w:val="103"/>
          <w:sz w:val="12"/>
        </w:rPr>
        <w:t>Box</w:t>
      </w:r>
      <w:r>
        <w:rPr>
          <w:color w:val="343434"/>
          <w:spacing w:val="-4"/>
          <w:sz w:val="12"/>
        </w:rPr>
        <w:t> </w:t>
      </w:r>
      <w:r>
        <w:rPr>
          <w:color w:val="343434"/>
          <w:spacing w:val="-25"/>
          <w:w w:val="133"/>
          <w:sz w:val="12"/>
        </w:rPr>
        <w:t>1</w:t>
      </w:r>
      <w:r>
        <w:rPr>
          <w:color w:val="5B5B5B"/>
          <w:w w:val="106"/>
          <w:sz w:val="12"/>
        </w:rPr>
        <w:t>2,</w:t>
      </w:r>
      <w:r>
        <w:rPr>
          <w:color w:val="5B5B5B"/>
          <w:spacing w:val="-4"/>
          <w:sz w:val="12"/>
        </w:rPr>
        <w:t> </w:t>
      </w:r>
      <w:r>
        <w:rPr>
          <w:color w:val="4B4B4B"/>
          <w:w w:val="96"/>
          <w:sz w:val="12"/>
        </w:rPr>
        <w:t>Sydney</w:t>
      </w:r>
      <w:r>
        <w:rPr>
          <w:color w:val="4B4B4B"/>
          <w:spacing w:val="-4"/>
          <w:sz w:val="12"/>
        </w:rPr>
        <w:t> </w:t>
      </w:r>
      <w:r>
        <w:rPr>
          <w:color w:val="242424"/>
          <w:spacing w:val="-14"/>
          <w:w w:val="114"/>
          <w:sz w:val="12"/>
        </w:rPr>
        <w:t>N</w:t>
      </w:r>
      <w:r>
        <w:rPr>
          <w:color w:val="5B5B5B"/>
          <w:spacing w:val="-11"/>
          <w:w w:val="102"/>
          <w:sz w:val="12"/>
        </w:rPr>
        <w:t>S</w:t>
      </w:r>
      <w:r>
        <w:rPr>
          <w:color w:val="343434"/>
          <w:w w:val="114"/>
          <w:sz w:val="12"/>
        </w:rPr>
        <w:t>W</w:t>
      </w:r>
      <w:r>
        <w:rPr>
          <w:color w:val="343434"/>
          <w:spacing w:val="-6"/>
          <w:sz w:val="12"/>
        </w:rPr>
        <w:t> </w:t>
      </w:r>
      <w:r>
        <w:rPr>
          <w:color w:val="4B4B4B"/>
          <w:w w:val="101"/>
          <w:sz w:val="12"/>
        </w:rPr>
        <w:t>2001</w:t>
      </w:r>
      <w:r>
        <w:rPr>
          <w:color w:val="4B4B4B"/>
          <w:sz w:val="12"/>
        </w:rPr>
        <w:t> </w:t>
      </w:r>
      <w:r>
        <w:rPr>
          <w:color w:val="4B4B4B"/>
          <w:spacing w:val="6"/>
          <w:sz w:val="12"/>
        </w:rPr>
        <w:t> </w:t>
      </w:r>
      <w:r>
        <w:rPr>
          <w:color w:val="343434"/>
          <w:w w:val="123"/>
          <w:sz w:val="12"/>
        </w:rPr>
        <w:t>I</w:t>
      </w:r>
      <w:r>
        <w:rPr>
          <w:color w:val="343434"/>
          <w:spacing w:val="11"/>
          <w:sz w:val="12"/>
        </w:rPr>
        <w:t> </w:t>
      </w:r>
      <w:r>
        <w:rPr>
          <w:color w:val="343434"/>
          <w:w w:val="112"/>
          <w:sz w:val="12"/>
        </w:rPr>
        <w:t>10</w:t>
      </w:r>
      <w:r>
        <w:rPr>
          <w:color w:val="343434"/>
          <w:spacing w:val="11"/>
          <w:w w:val="112"/>
          <w:sz w:val="12"/>
        </w:rPr>
        <w:t>2</w:t>
      </w:r>
      <w:r>
        <w:rPr>
          <w:color w:val="4B4B4B"/>
          <w:w w:val="106"/>
          <w:sz w:val="12"/>
        </w:rPr>
        <w:t>9275</w:t>
      </w:r>
      <w:r>
        <w:rPr>
          <w:color w:val="4B4B4B"/>
          <w:spacing w:val="-10"/>
          <w:sz w:val="12"/>
        </w:rPr>
        <w:t> </w:t>
      </w:r>
      <w:r>
        <w:rPr>
          <w:color w:val="343434"/>
          <w:w w:val="106"/>
          <w:sz w:val="12"/>
        </w:rPr>
        <w:t>7</w:t>
      </w:r>
      <w:r>
        <w:rPr>
          <w:color w:val="343434"/>
          <w:spacing w:val="-14"/>
          <w:w w:val="106"/>
          <w:sz w:val="12"/>
        </w:rPr>
        <w:t>1</w:t>
      </w:r>
      <w:r>
        <w:rPr>
          <w:color w:val="343434"/>
          <w:w w:val="105"/>
          <w:sz w:val="12"/>
        </w:rPr>
        <w:t>01</w:t>
      </w:r>
      <w:r>
        <w:rPr>
          <w:color w:val="343434"/>
          <w:sz w:val="12"/>
        </w:rPr>
        <w:t> </w:t>
      </w:r>
      <w:r>
        <w:rPr>
          <w:color w:val="343434"/>
          <w:spacing w:val="7"/>
          <w:sz w:val="12"/>
        </w:rPr>
        <w:t> </w:t>
      </w:r>
      <w:r>
        <w:rPr>
          <w:color w:val="343434"/>
          <w:w w:val="123"/>
          <w:sz w:val="12"/>
        </w:rPr>
        <w:t>I</w:t>
      </w:r>
      <w:r>
        <w:rPr>
          <w:color w:val="343434"/>
          <w:spacing w:val="11"/>
          <w:sz w:val="12"/>
        </w:rPr>
        <w:t> </w:t>
      </w:r>
      <w:r>
        <w:rPr>
          <w:rFonts w:ascii="Times New Roman"/>
          <w:color w:val="131313"/>
          <w:w w:val="81"/>
          <w:sz w:val="13"/>
        </w:rPr>
        <w:t>f</w:t>
      </w:r>
      <w:r>
        <w:rPr>
          <w:rFonts w:ascii="Times New Roman"/>
          <w:color w:val="131313"/>
          <w:spacing w:val="4"/>
          <w:sz w:val="13"/>
        </w:rPr>
        <w:t> </w:t>
      </w:r>
      <w:r>
        <w:rPr>
          <w:color w:val="4B4B4B"/>
          <w:w w:val="109"/>
          <w:sz w:val="12"/>
        </w:rPr>
        <w:t>02</w:t>
      </w:r>
      <w:r>
        <w:rPr>
          <w:color w:val="4B4B4B"/>
          <w:spacing w:val="-8"/>
          <w:sz w:val="12"/>
        </w:rPr>
        <w:t> </w:t>
      </w:r>
      <w:r>
        <w:rPr>
          <w:color w:val="4B4B4B"/>
          <w:w w:val="103"/>
          <w:sz w:val="12"/>
        </w:rPr>
        <w:t>9275</w:t>
      </w:r>
      <w:r>
        <w:rPr>
          <w:color w:val="4B4B4B"/>
          <w:spacing w:val="-9"/>
          <w:sz w:val="12"/>
        </w:rPr>
        <w:t> </w:t>
      </w:r>
      <w:r>
        <w:rPr>
          <w:color w:val="5B5B5B"/>
          <w:spacing w:val="2"/>
          <w:w w:val="114"/>
          <w:sz w:val="12"/>
        </w:rPr>
        <w:t>7</w:t>
      </w:r>
      <w:r>
        <w:rPr>
          <w:color w:val="242424"/>
          <w:spacing w:val="-10"/>
          <w:w w:val="111"/>
          <w:sz w:val="12"/>
        </w:rPr>
        <w:t>1</w:t>
      </w:r>
      <w:r>
        <w:rPr>
          <w:color w:val="5B5B5B"/>
          <w:w w:val="103"/>
          <w:sz w:val="12"/>
        </w:rPr>
        <w:t>79</w:t>
      </w:r>
      <w:r>
        <w:rPr>
          <w:color w:val="5B5B5B"/>
          <w:sz w:val="12"/>
        </w:rPr>
        <w:t> </w:t>
      </w:r>
      <w:r>
        <w:rPr>
          <w:color w:val="5B5B5B"/>
          <w:spacing w:val="-4"/>
          <w:sz w:val="12"/>
        </w:rPr>
        <w:t> </w:t>
      </w:r>
      <w:r>
        <w:rPr>
          <w:color w:val="4B4B4B"/>
          <w:w w:val="186"/>
          <w:sz w:val="12"/>
        </w:rPr>
        <w:t>I</w:t>
      </w:r>
      <w:r>
        <w:rPr>
          <w:color w:val="4B4B4B"/>
          <w:spacing w:val="-2"/>
          <w:sz w:val="12"/>
        </w:rPr>
        <w:t> </w:t>
      </w:r>
      <w:r>
        <w:rPr>
          <w:b/>
          <w:color w:val="4B4B4B"/>
          <w:w w:val="108"/>
          <w:sz w:val="12"/>
        </w:rPr>
        <w:t>e</w:t>
      </w:r>
      <w:r>
        <w:rPr>
          <w:b/>
          <w:color w:val="4B4B4B"/>
          <w:spacing w:val="-13"/>
          <w:sz w:val="12"/>
        </w:rPr>
        <w:t> </w:t>
      </w:r>
      <w:hyperlink r:id="rId36">
        <w:r>
          <w:rPr>
            <w:color w:val="5B5B5B"/>
            <w:w w:val="103"/>
            <w:sz w:val="12"/>
          </w:rPr>
          <w:t>mai</w:t>
        </w:r>
        <w:r>
          <w:rPr>
            <w:color w:val="343434"/>
            <w:spacing w:val="-22"/>
            <w:w w:val="133"/>
            <w:sz w:val="12"/>
          </w:rPr>
          <w:t>l</w:t>
        </w:r>
        <w:r>
          <w:rPr>
            <w:color w:val="797979"/>
            <w:w w:val="81"/>
            <w:sz w:val="12"/>
          </w:rPr>
          <w:t>@</w:t>
        </w:r>
        <w:r>
          <w:rPr>
            <w:color w:val="4B4B4B"/>
            <w:w w:val="98"/>
            <w:sz w:val="12"/>
          </w:rPr>
          <w:t>audit.ns</w:t>
        </w:r>
        <w:r>
          <w:rPr>
            <w:color w:val="4B4B4B"/>
            <w:spacing w:val="-6"/>
            <w:w w:val="98"/>
            <w:sz w:val="12"/>
          </w:rPr>
          <w:t>w</w:t>
        </w:r>
        <w:r>
          <w:rPr>
            <w:color w:val="797979"/>
            <w:spacing w:val="-46"/>
            <w:w w:val="177"/>
            <w:sz w:val="12"/>
          </w:rPr>
          <w:t>.</w:t>
        </w:r>
      </w:hyperlink>
      <w:r>
        <w:rPr>
          <w:color w:val="4B4B4B"/>
          <w:w w:val="99"/>
          <w:sz w:val="12"/>
        </w:rPr>
        <w:t>gov</w:t>
      </w:r>
      <w:r>
        <w:rPr>
          <w:color w:val="4B4B4B"/>
          <w:spacing w:val="-4"/>
          <w:w w:val="99"/>
          <w:sz w:val="12"/>
        </w:rPr>
        <w:t>.</w:t>
      </w:r>
      <w:r>
        <w:rPr>
          <w:color w:val="4B4B4B"/>
          <w:w w:val="105"/>
          <w:sz w:val="12"/>
        </w:rPr>
        <w:t>au</w:t>
      </w:r>
      <w:r>
        <w:rPr>
          <w:color w:val="4B4B4B"/>
          <w:sz w:val="12"/>
        </w:rPr>
        <w:t> </w:t>
      </w:r>
      <w:r>
        <w:rPr>
          <w:color w:val="4B4B4B"/>
          <w:spacing w:val="-7"/>
          <w:sz w:val="12"/>
        </w:rPr>
        <w:t> </w:t>
      </w:r>
      <w:r>
        <w:rPr>
          <w:color w:val="131313"/>
          <w:w w:val="123"/>
          <w:sz w:val="12"/>
        </w:rPr>
        <w:t>I</w:t>
      </w:r>
      <w:r>
        <w:rPr>
          <w:color w:val="131313"/>
          <w:spacing w:val="11"/>
          <w:sz w:val="12"/>
        </w:rPr>
        <w:t> </w:t>
      </w:r>
      <w:r>
        <w:rPr>
          <w:color w:val="343434"/>
          <w:w w:val="117"/>
          <w:sz w:val="12"/>
        </w:rPr>
        <w:t>audi</w:t>
      </w:r>
      <w:r>
        <w:rPr>
          <w:color w:val="343434"/>
          <w:spacing w:val="-4"/>
          <w:w w:val="117"/>
          <w:sz w:val="12"/>
        </w:rPr>
        <w:t>l</w:t>
      </w:r>
      <w:r>
        <w:rPr>
          <w:color w:val="343434"/>
          <w:w w:val="110"/>
          <w:sz w:val="12"/>
        </w:rPr>
        <w:t>nsw</w:t>
      </w:r>
      <w:r>
        <w:rPr>
          <w:color w:val="343434"/>
          <w:spacing w:val="-8"/>
          <w:w w:val="110"/>
          <w:sz w:val="12"/>
        </w:rPr>
        <w:t>.</w:t>
      </w:r>
      <w:r>
        <w:rPr>
          <w:color w:val="343434"/>
          <w:w w:val="104"/>
          <w:sz w:val="12"/>
        </w:rPr>
        <w:t>go</w:t>
      </w:r>
      <w:r>
        <w:rPr>
          <w:color w:val="343434"/>
          <w:spacing w:val="-23"/>
          <w:w w:val="105"/>
          <w:sz w:val="12"/>
        </w:rPr>
        <w:t>v</w:t>
      </w:r>
      <w:r>
        <w:rPr>
          <w:color w:val="343434"/>
          <w:spacing w:val="-43"/>
          <w:w w:val="237"/>
          <w:sz w:val="12"/>
        </w:rPr>
        <w:t>.</w:t>
      </w:r>
      <w:r>
        <w:rPr>
          <w:color w:val="343434"/>
          <w:w w:val="105"/>
          <w:sz w:val="12"/>
        </w:rPr>
        <w:t>au</w:t>
      </w:r>
    </w:p>
    <w:p>
      <w:pPr>
        <w:spacing w:after="0"/>
        <w:jc w:val="left"/>
        <w:rPr>
          <w:sz w:val="12"/>
        </w:rPr>
        <w:sectPr>
          <w:headerReference w:type="default" r:id="rId33"/>
          <w:footerReference w:type="default" r:id="rId34"/>
          <w:pgSz w:w="11900" w:h="16840"/>
          <w:pgMar w:header="0" w:footer="505" w:top="60" w:bottom="700" w:left="1220" w:right="0"/>
          <w:pgNumType w:start="93"/>
        </w:sectPr>
      </w:pPr>
    </w:p>
    <w:p>
      <w:pPr>
        <w:pStyle w:val="Heading8"/>
        <w:spacing w:line="261" w:lineRule="auto" w:before="49"/>
        <w:ind w:left="209" w:right="548" w:firstLine="7"/>
      </w:pPr>
      <w:r>
        <w:rPr/>
        <w:t>Parliament promotes independence by ensuring the Auditor-General and the Audit Office of New South Wales  are not compromised  in their  roles by:</w:t>
      </w:r>
    </w:p>
    <w:p>
      <w:pPr>
        <w:pStyle w:val="BodyText"/>
        <w:rPr>
          <w:sz w:val="15"/>
        </w:rPr>
      </w:pPr>
    </w:p>
    <w:p>
      <w:pPr>
        <w:spacing w:before="0"/>
        <w:ind w:left="770" w:right="548" w:firstLine="0"/>
        <w:jc w:val="left"/>
        <w:rPr>
          <w:sz w:val="19"/>
        </w:rPr>
      </w:pPr>
      <w:r>
        <w:rPr>
          <w:w w:val="105"/>
          <w:sz w:val="19"/>
        </w:rPr>
        <w:t>providing that only Parliament, and not the executive government, can remove an Auditor­</w:t>
      </w:r>
    </w:p>
    <w:p>
      <w:pPr>
        <w:spacing w:before="19"/>
        <w:ind w:left="763" w:right="548" w:firstLine="0"/>
        <w:jc w:val="left"/>
        <w:rPr>
          <w:sz w:val="19"/>
        </w:rPr>
      </w:pPr>
      <w:r>
        <w:rPr>
          <w:w w:val="105"/>
          <w:sz w:val="19"/>
        </w:rPr>
        <w:t>General</w:t>
      </w:r>
    </w:p>
    <w:p>
      <w:pPr>
        <w:spacing w:line="324" w:lineRule="auto" w:before="91"/>
        <w:ind w:left="763" w:right="2050" w:firstLine="0"/>
        <w:jc w:val="left"/>
        <w:rPr>
          <w:sz w:val="19"/>
        </w:rPr>
      </w:pPr>
      <w:r>
        <w:rPr>
          <w:sz w:val="19"/>
        </w:rPr>
        <w:t>mandating the Auditor-General as auditor of public sector agencies precluding the Auditor-General  from  providing  non-audit  services.</w:t>
      </w:r>
    </w:p>
    <w:p>
      <w:pPr>
        <w:spacing w:line="261" w:lineRule="auto" w:before="146"/>
        <w:ind w:left="195" w:right="548" w:firstLine="14"/>
        <w:jc w:val="left"/>
        <w:rPr>
          <w:sz w:val="19"/>
        </w:rPr>
      </w:pPr>
      <w:r>
        <w:rPr>
          <w:sz w:val="19"/>
        </w:rPr>
        <w:t>I believe the audit evidence I have obtained is sufficient and appropriate to provide a basis for my audit opinion.</w:t>
      </w:r>
    </w:p>
    <w:p>
      <w:pPr>
        <w:pStyle w:val="BodyText"/>
        <w:spacing w:before="3"/>
        <w:rPr>
          <w:sz w:val="14"/>
        </w:rPr>
      </w:pPr>
    </w:p>
    <w:p>
      <w:pPr>
        <w:spacing w:before="0"/>
        <w:ind w:left="202" w:right="548" w:firstLine="0"/>
        <w:jc w:val="left"/>
        <w:rPr>
          <w:b/>
          <w:sz w:val="23"/>
        </w:rPr>
      </w:pPr>
      <w:r>
        <w:rPr>
          <w:b/>
          <w:sz w:val="23"/>
        </w:rPr>
        <w:t>University  Board of Trustees'  Responsibilities  for the  Financial Statements</w:t>
      </w:r>
    </w:p>
    <w:p>
      <w:pPr>
        <w:spacing w:line="264" w:lineRule="auto" w:before="140"/>
        <w:ind w:left="187" w:right="357" w:firstLine="0"/>
        <w:jc w:val="left"/>
        <w:rPr>
          <w:sz w:val="19"/>
        </w:rPr>
      </w:pPr>
      <w:r>
        <w:rPr>
          <w:sz w:val="19"/>
        </w:rPr>
        <w:t>The Board of Trustees  is responsible for the preparation and fair presentation of the financial  statements in accordance  with Australian  Accounting  Standards,  the  PF&amp;A Act,  the Guidelines  and the </w:t>
      </w:r>
      <w:r>
        <w:rPr>
          <w:i/>
          <w:sz w:val="19"/>
        </w:rPr>
        <w:t>Australian Charities and the Not-for-profits Commission Act 2012, </w:t>
      </w:r>
      <w:r>
        <w:rPr>
          <w:sz w:val="19"/>
        </w:rPr>
        <w:t>and for such internal control  as  the Board of Trustees determine  is necessary to enable the  preparation  and fair  presentation of financial  statements  that are free from material  misstatement, whether  due to fraud or  </w:t>
      </w:r>
      <w:r>
        <w:rPr>
          <w:spacing w:val="13"/>
          <w:sz w:val="19"/>
        </w:rPr>
        <w:t> </w:t>
      </w:r>
      <w:r>
        <w:rPr>
          <w:sz w:val="19"/>
        </w:rPr>
        <w:t>error.</w:t>
      </w:r>
    </w:p>
    <w:p>
      <w:pPr>
        <w:pStyle w:val="BodyText"/>
        <w:spacing w:before="9"/>
        <w:rPr>
          <w:sz w:val="14"/>
        </w:rPr>
      </w:pPr>
    </w:p>
    <w:p>
      <w:pPr>
        <w:spacing w:line="264" w:lineRule="auto" w:before="0"/>
        <w:ind w:left="187" w:right="177" w:firstLine="7"/>
        <w:jc w:val="left"/>
        <w:rPr>
          <w:sz w:val="19"/>
        </w:rPr>
      </w:pPr>
      <w:r>
        <w:rPr>
          <w:sz w:val="19"/>
        </w:rPr>
        <w:t>In preparing the financial  statements,  the  Board of Trustees  is responsible  for assessing the University's ability to continue as a going concern, disclosing as applicable, matters related to going concern and using the going concern basis of accounting  except where the  University will  be dissolved by an Act of Parliament or otherwise c·ease  </w:t>
      </w:r>
      <w:r>
        <w:rPr>
          <w:spacing w:val="2"/>
          <w:sz w:val="19"/>
        </w:rPr>
        <w:t> </w:t>
      </w:r>
      <w:r>
        <w:rPr>
          <w:sz w:val="19"/>
        </w:rPr>
        <w:t>operations.</w:t>
      </w:r>
    </w:p>
    <w:p>
      <w:pPr>
        <w:pStyle w:val="BodyText"/>
        <w:spacing w:before="8"/>
        <w:rPr>
          <w:sz w:val="14"/>
        </w:rPr>
      </w:pPr>
    </w:p>
    <w:p>
      <w:pPr>
        <w:spacing w:before="0"/>
        <w:ind w:left="180" w:right="548" w:firstLine="0"/>
        <w:jc w:val="left"/>
        <w:rPr>
          <w:b/>
          <w:sz w:val="23"/>
        </w:rPr>
      </w:pPr>
      <w:r>
        <w:rPr>
          <w:b/>
          <w:sz w:val="23"/>
        </w:rPr>
        <w:t>Auditor's  Responsibilities  for the Audit of the  Financial</w:t>
      </w:r>
      <w:r>
        <w:rPr>
          <w:b/>
          <w:spacing w:val="63"/>
          <w:sz w:val="23"/>
        </w:rPr>
        <w:t> </w:t>
      </w:r>
      <w:r>
        <w:rPr>
          <w:b/>
          <w:sz w:val="23"/>
        </w:rPr>
        <w:t>Statements</w:t>
      </w:r>
    </w:p>
    <w:p>
      <w:pPr>
        <w:spacing w:before="126"/>
        <w:ind w:left="187" w:right="548" w:firstLine="0"/>
        <w:jc w:val="left"/>
        <w:rPr>
          <w:sz w:val="19"/>
        </w:rPr>
      </w:pPr>
      <w:r>
        <w:rPr>
          <w:sz w:val="19"/>
        </w:rPr>
        <w:t>My objectives  are to:</w:t>
      </w:r>
    </w:p>
    <w:p>
      <w:pPr>
        <w:pStyle w:val="BodyText"/>
        <w:spacing w:before="3"/>
        <w:rPr>
          <w:sz w:val="17"/>
        </w:rPr>
      </w:pPr>
    </w:p>
    <w:p>
      <w:pPr>
        <w:spacing w:line="261" w:lineRule="auto" w:before="0"/>
        <w:ind w:left="742" w:right="548" w:firstLine="0"/>
        <w:jc w:val="left"/>
        <w:rPr>
          <w:sz w:val="19"/>
        </w:rPr>
      </w:pPr>
      <w:r>
        <w:rPr>
          <w:sz w:val="19"/>
        </w:rPr>
        <w:t>obtain reasonable assurance about whether the financial statements as a whole are free from material  misstatement,  whether  due to fraud  or error</w:t>
      </w:r>
    </w:p>
    <w:p>
      <w:pPr>
        <w:spacing w:before="65"/>
        <w:ind w:left="742" w:right="548" w:firstLine="0"/>
        <w:jc w:val="left"/>
        <w:rPr>
          <w:sz w:val="19"/>
        </w:rPr>
      </w:pPr>
      <w:r>
        <w:rPr>
          <w:sz w:val="19"/>
        </w:rPr>
        <w:t>issue an  Independent Auditor's  Report including  my  opinion.</w:t>
      </w:r>
    </w:p>
    <w:p>
      <w:pPr>
        <w:pStyle w:val="BodyText"/>
        <w:spacing w:before="5"/>
        <w:rPr>
          <w:sz w:val="20"/>
        </w:rPr>
      </w:pPr>
    </w:p>
    <w:p>
      <w:pPr>
        <w:spacing w:line="261" w:lineRule="auto" w:before="0"/>
        <w:ind w:left="180" w:right="357" w:firstLine="7"/>
        <w:jc w:val="left"/>
        <w:rPr>
          <w:sz w:val="19"/>
        </w:rPr>
      </w:pPr>
      <w:r>
        <w:rPr>
          <w:w w:val="105"/>
          <w:sz w:val="19"/>
        </w:rPr>
        <w:t>Reasonable assurance is a high level of assurance, but does not guarantee an audit conducted in accordance with Australian Auditing Standards will always detect material misstatements.</w:t>
      </w:r>
    </w:p>
    <w:p>
      <w:pPr>
        <w:spacing w:line="261" w:lineRule="auto" w:before="0"/>
        <w:ind w:left="173" w:right="52" w:firstLine="7"/>
        <w:jc w:val="left"/>
        <w:rPr>
          <w:sz w:val="19"/>
        </w:rPr>
      </w:pPr>
      <w:r>
        <w:rPr>
          <w:w w:val="105"/>
          <w:sz w:val="19"/>
        </w:rPr>
        <w:t>Misstatements can arise from fraud or error. Misstatements are considered material if, individually or in aggregate, they could reasonably be expected to influence the economic decisions users take based on the financial statements.</w:t>
      </w:r>
    </w:p>
    <w:p>
      <w:pPr>
        <w:pStyle w:val="BodyText"/>
        <w:spacing w:before="7"/>
        <w:rPr>
          <w:sz w:val="15"/>
        </w:rPr>
      </w:pPr>
    </w:p>
    <w:p>
      <w:pPr>
        <w:spacing w:line="264" w:lineRule="auto" w:before="0"/>
        <w:ind w:left="173" w:right="357" w:hanging="8"/>
        <w:jc w:val="left"/>
        <w:rPr>
          <w:sz w:val="19"/>
        </w:rPr>
      </w:pPr>
      <w:r>
        <w:rPr>
          <w:sz w:val="19"/>
        </w:rPr>
        <w:t>A description of my responsibilities  for the audit of the financial  statements  is located at the Auditing  and Assurance Standards Board website at</w:t>
      </w:r>
      <w:r>
        <w:rPr>
          <w:spacing w:val="29"/>
          <w:sz w:val="19"/>
        </w:rPr>
        <w:t> </w:t>
      </w:r>
      <w:hyperlink r:id="rId39">
        <w:r>
          <w:rPr>
            <w:sz w:val="19"/>
            <w:u w:val="single"/>
          </w:rPr>
          <w:t>http://www.auasb.qov.au/auditors </w:t>
        </w:r>
        <w:r>
          <w:rPr>
            <w:spacing w:val="15"/>
            <w:sz w:val="19"/>
            <w:u w:val="single"/>
          </w:rPr>
          <w:t> </w:t>
        </w:r>
        <w:r>
          <w:rPr>
            <w:sz w:val="19"/>
            <w:u w:val="single"/>
          </w:rPr>
          <w:t>responsibilities/ar3.pdf</w:t>
        </w:r>
      </w:hyperlink>
      <w:r>
        <w:rPr>
          <w:w w:val="101"/>
          <w:sz w:val="19"/>
        </w:rPr>
        <w:t> </w:t>
      </w:r>
      <w:r>
        <w:rPr>
          <w:sz w:val="19"/>
        </w:rPr>
        <w:t>The description  forms  part of my auditor's </w:t>
      </w:r>
      <w:r>
        <w:rPr>
          <w:spacing w:val="28"/>
          <w:sz w:val="19"/>
        </w:rPr>
        <w:t> </w:t>
      </w:r>
      <w:r>
        <w:rPr>
          <w:sz w:val="19"/>
        </w:rPr>
        <w:t>report.</w:t>
      </w:r>
    </w:p>
    <w:p>
      <w:pPr>
        <w:pStyle w:val="BodyText"/>
        <w:spacing w:before="9"/>
        <w:rPr>
          <w:sz w:val="14"/>
        </w:rPr>
      </w:pPr>
    </w:p>
    <w:p>
      <w:pPr>
        <w:spacing w:before="0"/>
        <w:ind w:left="180" w:right="548" w:firstLine="0"/>
        <w:jc w:val="left"/>
        <w:rPr>
          <w:sz w:val="19"/>
        </w:rPr>
      </w:pPr>
      <w:r>
        <w:rPr>
          <w:sz w:val="19"/>
        </w:rPr>
        <w:t>My opinion  does  </w:t>
      </w:r>
      <w:r>
        <w:rPr>
          <w:i/>
          <w:sz w:val="19"/>
        </w:rPr>
        <w:t>not </w:t>
      </w:r>
      <w:r>
        <w:rPr>
          <w:sz w:val="19"/>
        </w:rPr>
        <w:t>provide assurance:</w:t>
      </w:r>
    </w:p>
    <w:p>
      <w:pPr>
        <w:pStyle w:val="BodyText"/>
        <w:spacing w:before="7"/>
        <w:rPr>
          <w:sz w:val="16"/>
        </w:rPr>
      </w:pPr>
    </w:p>
    <w:p>
      <w:pPr>
        <w:spacing w:before="1"/>
        <w:ind w:left="727" w:right="548" w:firstLine="0"/>
        <w:jc w:val="left"/>
        <w:rPr>
          <w:sz w:val="19"/>
        </w:rPr>
      </w:pPr>
      <w:r>
        <w:rPr>
          <w:sz w:val="19"/>
        </w:rPr>
        <w:t>that the  University  carried out  its activities  effectively,  efficiently  and economically</w:t>
      </w:r>
    </w:p>
    <w:p>
      <w:pPr>
        <w:spacing w:line="261" w:lineRule="auto" w:before="84"/>
        <w:ind w:left="727" w:right="548" w:firstLine="7"/>
        <w:jc w:val="left"/>
        <w:rPr>
          <w:sz w:val="19"/>
        </w:rPr>
      </w:pPr>
      <w:r>
        <w:rPr>
          <w:sz w:val="19"/>
        </w:rPr>
        <w:t>about the security and controls over the electronic publication of the audited financial statements  on any website  where they  may  be presented</w:t>
      </w:r>
    </w:p>
    <w:p>
      <w:pPr>
        <w:spacing w:before="65"/>
        <w:ind w:left="727" w:right="52" w:firstLine="0"/>
        <w:jc w:val="left"/>
        <w:rPr>
          <w:sz w:val="19"/>
        </w:rPr>
      </w:pPr>
      <w:r>
        <w:rPr>
          <w:w w:val="105"/>
          <w:sz w:val="19"/>
        </w:rPr>
        <w:t>about any other information which may have been hyperlinked to/from the financial statements.</w:t>
      </w:r>
    </w:p>
    <w:p>
      <w:pPr>
        <w:pStyle w:val="BodyText"/>
        <w:rPr>
          <w:sz w:val="20"/>
        </w:rPr>
      </w:pPr>
    </w:p>
    <w:p>
      <w:pPr>
        <w:pStyle w:val="BodyText"/>
        <w:rPr>
          <w:sz w:val="20"/>
        </w:rPr>
      </w:pPr>
    </w:p>
    <w:p>
      <w:pPr>
        <w:pStyle w:val="BodyText"/>
        <w:spacing w:before="1"/>
        <w:rPr>
          <w:sz w:val="10"/>
        </w:rPr>
      </w:pPr>
      <w:r>
        <w:rPr/>
        <w:drawing>
          <wp:anchor distT="0" distB="0" distL="0" distR="0" allowOverlap="1" layoutInCell="1" locked="0" behindDoc="0" simplePos="0" relativeHeight="2056">
            <wp:simplePos x="0" y="0"/>
            <wp:positionH relativeFrom="page">
              <wp:posOffset>877824</wp:posOffset>
            </wp:positionH>
            <wp:positionV relativeFrom="paragraph">
              <wp:posOffset>98781</wp:posOffset>
            </wp:positionV>
            <wp:extent cx="1389888" cy="530351"/>
            <wp:effectExtent l="0" t="0" r="0" b="0"/>
            <wp:wrapTopAndBottom/>
            <wp:docPr id="13" name="image10.png" descr=""/>
            <wp:cNvGraphicFramePr>
              <a:graphicFrameLocks noChangeAspect="1"/>
            </wp:cNvGraphicFramePr>
            <a:graphic>
              <a:graphicData uri="http://schemas.openxmlformats.org/drawingml/2006/picture">
                <pic:pic>
                  <pic:nvPicPr>
                    <pic:cNvPr id="14" name="image10.png"/>
                    <pic:cNvPicPr/>
                  </pic:nvPicPr>
                  <pic:blipFill>
                    <a:blip r:embed="rId40" cstate="print"/>
                    <a:stretch>
                      <a:fillRect/>
                    </a:stretch>
                  </pic:blipFill>
                  <pic:spPr>
                    <a:xfrm>
                      <a:off x="0" y="0"/>
                      <a:ext cx="1389888" cy="530351"/>
                    </a:xfrm>
                    <a:prstGeom prst="rect">
                      <a:avLst/>
                    </a:prstGeom>
                  </pic:spPr>
                </pic:pic>
              </a:graphicData>
            </a:graphic>
          </wp:anchor>
        </w:drawing>
      </w:r>
    </w:p>
    <w:p>
      <w:pPr>
        <w:pStyle w:val="BodyText"/>
        <w:spacing w:before="8"/>
        <w:rPr>
          <w:sz w:val="20"/>
        </w:rPr>
      </w:pPr>
    </w:p>
    <w:p>
      <w:pPr>
        <w:spacing w:before="0"/>
        <w:ind w:left="173" w:right="548" w:firstLine="0"/>
        <w:jc w:val="left"/>
        <w:rPr>
          <w:sz w:val="19"/>
        </w:rPr>
      </w:pPr>
      <w:r>
        <w:rPr>
          <w:w w:val="105"/>
          <w:sz w:val="19"/>
        </w:rPr>
        <w:t>Ian Goodwin</w:t>
      </w:r>
    </w:p>
    <w:p>
      <w:pPr>
        <w:spacing w:before="19"/>
        <w:ind w:left="159" w:right="548" w:firstLine="0"/>
        <w:jc w:val="left"/>
        <w:rPr>
          <w:sz w:val="19"/>
        </w:rPr>
      </w:pPr>
      <w:r>
        <w:rPr>
          <w:sz w:val="19"/>
        </w:rPr>
        <w:t>Acting  Auditor-General  of NSW</w:t>
      </w:r>
    </w:p>
    <w:p>
      <w:pPr>
        <w:pStyle w:val="BodyText"/>
      </w:pPr>
    </w:p>
    <w:p>
      <w:pPr>
        <w:pStyle w:val="BodyText"/>
      </w:pPr>
    </w:p>
    <w:p>
      <w:pPr>
        <w:pStyle w:val="BodyText"/>
        <w:spacing w:before="8"/>
        <w:rPr>
          <w:sz w:val="15"/>
        </w:rPr>
      </w:pPr>
    </w:p>
    <w:p>
      <w:pPr>
        <w:spacing w:line="268" w:lineRule="auto" w:before="0"/>
        <w:ind w:left="166" w:right="7908" w:hanging="51"/>
        <w:jc w:val="left"/>
        <w:rPr>
          <w:sz w:val="19"/>
        </w:rPr>
      </w:pPr>
      <w:r>
        <w:rPr>
          <w:w w:val="130"/>
          <w:sz w:val="19"/>
        </w:rPr>
        <w:t>oS' </w:t>
      </w:r>
      <w:r>
        <w:rPr>
          <w:w w:val="115"/>
          <w:sz w:val="19"/>
        </w:rPr>
        <w:t>pril 2018 SYDNEY</w:t>
      </w:r>
    </w:p>
    <w:p>
      <w:pPr>
        <w:spacing w:after="0" w:line="268" w:lineRule="auto"/>
        <w:jc w:val="left"/>
        <w:rPr>
          <w:sz w:val="19"/>
        </w:rPr>
        <w:sectPr>
          <w:headerReference w:type="default" r:id="rId37"/>
          <w:footerReference w:type="default" r:id="rId38"/>
          <w:pgSz w:w="11900" w:h="16840"/>
          <w:pgMar w:header="0" w:footer="505" w:top="1320" w:bottom="700" w:left="1180" w:right="1420"/>
          <w:pgNumType w:start="94"/>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Heading1"/>
        <w:spacing w:before="30"/>
        <w:ind w:right="480"/>
      </w:pPr>
      <w:bookmarkStart w:name="3. WSU Enterprises Pty Ltd - 2017 Financ" w:id="175"/>
      <w:bookmarkEnd w:id="175"/>
      <w:r>
        <w:rPr>
          <w:b w:val="0"/>
        </w:rPr>
      </w:r>
      <w:r>
        <w:rPr/>
        <w:t>Western Sydney University Enterprises Pty Limited Trading as Western Sydney University The College</w:t>
      </w:r>
    </w:p>
    <w:p>
      <w:pPr>
        <w:spacing w:line="230" w:lineRule="exact" w:before="0"/>
        <w:ind w:left="107" w:right="480" w:firstLine="0"/>
        <w:jc w:val="left"/>
        <w:rPr>
          <w:b/>
          <w:sz w:val="20"/>
        </w:rPr>
      </w:pPr>
      <w:r>
        <w:rPr>
          <w:b/>
          <w:sz w:val="20"/>
        </w:rPr>
        <w:t>ABN: 44 003 474 468</w:t>
      </w:r>
    </w:p>
    <w:p>
      <w:pPr>
        <w:pStyle w:val="BodyText"/>
        <w:spacing w:before="10"/>
        <w:rPr>
          <w:b/>
          <w:sz w:val="27"/>
        </w:rPr>
      </w:pPr>
    </w:p>
    <w:p>
      <w:pPr>
        <w:spacing w:before="1"/>
        <w:ind w:left="107" w:right="480" w:firstLine="0"/>
        <w:jc w:val="left"/>
        <w:rPr>
          <w:b/>
          <w:sz w:val="28"/>
        </w:rPr>
      </w:pPr>
      <w:r>
        <w:rPr>
          <w:b/>
          <w:sz w:val="28"/>
        </w:rPr>
        <w:t>Financial Statements</w:t>
      </w:r>
    </w:p>
    <w:p>
      <w:pPr>
        <w:spacing w:before="230"/>
        <w:ind w:left="107" w:right="480" w:firstLine="0"/>
        <w:jc w:val="left"/>
        <w:rPr>
          <w:b/>
          <w:sz w:val="20"/>
        </w:rPr>
      </w:pPr>
      <w:r>
        <w:rPr>
          <w:b/>
          <w:sz w:val="20"/>
        </w:rPr>
        <w:t>For the Year Ended 31 December 2017</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6"/>
        </w:rPr>
      </w:pPr>
    </w:p>
    <w:p>
      <w:pPr>
        <w:spacing w:before="0"/>
        <w:ind w:left="111" w:right="0" w:firstLine="0"/>
        <w:jc w:val="left"/>
        <w:rPr>
          <w:sz w:val="20"/>
        </w:rPr>
      </w:pPr>
      <w:r>
        <w:rPr>
          <w:sz w:val="20"/>
        </w:rPr>
        <w:t>These financial statements are of Western Sydney University Enterprises Pty Limited as an individual entity. The financial statements are presented in the Australian currency.</w:t>
      </w:r>
    </w:p>
    <w:p>
      <w:pPr>
        <w:spacing w:before="169"/>
        <w:ind w:left="111" w:right="480" w:firstLine="0"/>
        <w:jc w:val="left"/>
        <w:rPr>
          <w:sz w:val="20"/>
        </w:rPr>
      </w:pPr>
      <w:r>
        <w:rPr>
          <w:sz w:val="20"/>
        </w:rPr>
        <w:t>Western Sydney University Enterprises Pty Limited (the Company) is a company limited by shares, incorporated and domiciled in Australia. Its registered office and principal place of business is:</w:t>
      </w:r>
    </w:p>
    <w:p>
      <w:pPr>
        <w:spacing w:before="169"/>
        <w:ind w:left="111" w:right="480" w:firstLine="0"/>
        <w:jc w:val="left"/>
        <w:rPr>
          <w:sz w:val="20"/>
        </w:rPr>
      </w:pPr>
      <w:r>
        <w:rPr>
          <w:sz w:val="20"/>
        </w:rPr>
        <w:t>Nirimba Education Precinct</w:t>
      </w:r>
    </w:p>
    <w:p>
      <w:pPr>
        <w:spacing w:before="169"/>
        <w:ind w:left="111" w:right="480" w:firstLine="0"/>
        <w:jc w:val="left"/>
        <w:rPr>
          <w:sz w:val="20"/>
        </w:rPr>
      </w:pPr>
      <w:r>
        <w:rPr>
          <w:sz w:val="20"/>
        </w:rPr>
        <w:t>Eastern Road, Quakers Hill NSW 2763</w:t>
      </w:r>
    </w:p>
    <w:p>
      <w:pPr>
        <w:spacing w:before="169"/>
        <w:ind w:left="111" w:right="0" w:firstLine="0"/>
        <w:jc w:val="left"/>
        <w:rPr>
          <w:sz w:val="20"/>
        </w:rPr>
      </w:pPr>
      <w:r>
        <w:rPr>
          <w:sz w:val="20"/>
        </w:rPr>
        <w:t>A description of the nature of the Company's operations and its principal activities is included in the directors' report on pages 96 to 99, which is not part of these financial statements.</w:t>
      </w:r>
    </w:p>
    <w:p>
      <w:pPr>
        <w:spacing w:before="169"/>
        <w:ind w:left="111" w:right="498" w:firstLine="0"/>
        <w:jc w:val="left"/>
        <w:rPr>
          <w:sz w:val="20"/>
        </w:rPr>
      </w:pPr>
      <w:r>
        <w:rPr>
          <w:sz w:val="20"/>
        </w:rPr>
        <w:t>The financial statements were authorised for issue by the directors on 19 March 2018. The directors have the power to amend and reissue the financial statements.</w:t>
      </w:r>
    </w:p>
    <w:p>
      <w:pPr>
        <w:spacing w:after="0"/>
        <w:jc w:val="left"/>
        <w:rPr>
          <w:sz w:val="20"/>
        </w:rPr>
        <w:sectPr>
          <w:headerReference w:type="default" r:id="rId41"/>
          <w:footerReference w:type="default" r:id="rId42"/>
          <w:pgSz w:w="11910" w:h="16840"/>
          <w:pgMar w:header="0" w:footer="507" w:top="1600" w:bottom="700" w:left="900" w:right="1160"/>
          <w:pgNumType w:start="95"/>
        </w:sectPr>
      </w:pPr>
    </w:p>
    <w:p>
      <w:pPr>
        <w:pStyle w:val="BodyText"/>
        <w:spacing w:before="2"/>
        <w:rPr>
          <w:sz w:val="24"/>
        </w:rPr>
      </w:pPr>
    </w:p>
    <w:p>
      <w:pPr>
        <w:spacing w:before="64"/>
        <w:ind w:left="107" w:right="159" w:firstLine="0"/>
        <w:jc w:val="left"/>
        <w:rPr>
          <w:b/>
          <w:sz w:val="28"/>
        </w:rPr>
      </w:pPr>
      <w:r>
        <w:rPr>
          <w:b/>
          <w:sz w:val="28"/>
        </w:rPr>
        <w:t>Directors' Report</w:t>
      </w:r>
    </w:p>
    <w:p>
      <w:pPr>
        <w:pStyle w:val="Heading6"/>
        <w:ind w:left="107" w:right="159"/>
      </w:pPr>
      <w:r>
        <w:rPr/>
        <w:t>31 December 2017</w:t>
      </w:r>
    </w:p>
    <w:p>
      <w:pPr>
        <w:pStyle w:val="BodyText"/>
        <w:spacing w:before="11"/>
        <w:rPr>
          <w:b/>
          <w:sz w:val="24"/>
        </w:rPr>
      </w:pPr>
    </w:p>
    <w:p>
      <w:pPr>
        <w:pStyle w:val="BodyText"/>
        <w:ind w:left="504" w:right="372"/>
      </w:pPr>
      <w:r>
        <w:rPr/>
        <w:t>The directors present their report on Western Sydney University Enterprises Pty Limited trading as Western Sydney University The College (the Company) for the financial year ended 31 December 2017.</w:t>
      </w:r>
    </w:p>
    <w:p>
      <w:pPr>
        <w:pStyle w:val="BodyText"/>
        <w:spacing w:before="11"/>
        <w:rPr>
          <w:sz w:val="24"/>
        </w:rPr>
      </w:pPr>
    </w:p>
    <w:p>
      <w:pPr>
        <w:pStyle w:val="Heading9"/>
        <w:numPr>
          <w:ilvl w:val="0"/>
          <w:numId w:val="42"/>
        </w:numPr>
        <w:tabs>
          <w:tab w:pos="503" w:val="left" w:leader="none"/>
        </w:tabs>
        <w:spacing w:line="595" w:lineRule="auto" w:before="0" w:after="0"/>
        <w:ind w:left="502" w:right="7499" w:hanging="395"/>
        <w:jc w:val="left"/>
      </w:pPr>
      <w:r>
        <w:rPr/>
        <w:t>General information Information on directors</w:t>
      </w:r>
    </w:p>
    <w:p>
      <w:pPr>
        <w:pStyle w:val="BodyText"/>
        <w:spacing w:line="202" w:lineRule="exact"/>
        <w:ind w:left="503" w:right="159"/>
      </w:pPr>
      <w:r>
        <w:rPr/>
        <w:t>The name and qualification of each person who has been a director during the year and to the date of this report are:</w:t>
      </w:r>
    </w:p>
    <w:p>
      <w:pPr>
        <w:pStyle w:val="BodyText"/>
      </w:pPr>
    </w:p>
    <w:p>
      <w:pPr>
        <w:pStyle w:val="BodyText"/>
      </w:pPr>
    </w:p>
    <w:p>
      <w:pPr>
        <w:pStyle w:val="BodyText"/>
      </w:pPr>
    </w:p>
    <w:p>
      <w:pPr>
        <w:pStyle w:val="BodyText"/>
        <w:tabs>
          <w:tab w:pos="3647" w:val="left" w:leader="none"/>
        </w:tabs>
        <w:spacing w:before="140"/>
        <w:ind w:left="503" w:right="159"/>
      </w:pPr>
      <w:r>
        <w:rPr/>
        <w:t>Mr Ramy Aziz</w:t>
        <w:tab/>
        <w:t>B.Bus, FCPA, FGIA</w:t>
      </w:r>
    </w:p>
    <w:p>
      <w:pPr>
        <w:pStyle w:val="BodyText"/>
        <w:spacing w:before="8"/>
        <w:rPr>
          <w:sz w:val="25"/>
        </w:rPr>
      </w:pPr>
    </w:p>
    <w:p>
      <w:pPr>
        <w:pStyle w:val="BodyText"/>
        <w:tabs>
          <w:tab w:pos="3647" w:val="left" w:leader="none"/>
        </w:tabs>
        <w:spacing w:line="583" w:lineRule="auto"/>
        <w:ind w:left="503" w:right="2753"/>
      </w:pPr>
      <w:r>
        <w:rPr/>
        <w:t>Professor</w:t>
      </w:r>
      <w:r>
        <w:rPr>
          <w:spacing w:val="-1"/>
        </w:rPr>
        <w:t> </w:t>
      </w:r>
      <w:r>
        <w:rPr/>
        <w:t>Denise</w:t>
      </w:r>
      <w:r>
        <w:rPr>
          <w:spacing w:val="-1"/>
        </w:rPr>
        <w:t> </w:t>
      </w:r>
      <w:r>
        <w:rPr/>
        <w:t>Kirkpatrick</w:t>
        <w:tab/>
        <w:t>Doctor of Philosophy (PhD),</w:t>
      </w:r>
      <w:r>
        <w:rPr>
          <w:spacing w:val="-1"/>
        </w:rPr>
        <w:t> </w:t>
      </w:r>
      <w:r>
        <w:rPr/>
        <w:t>Education</w:t>
      </w:r>
      <w:r>
        <w:rPr>
          <w:spacing w:val="-1"/>
        </w:rPr>
        <w:t> </w:t>
      </w:r>
      <w:r>
        <w:rPr/>
        <w:t>(Chair)</w:t>
      </w:r>
      <w:r>
        <w:rPr>
          <w:w w:val="99"/>
        </w:rPr>
        <w:t> </w:t>
      </w:r>
      <w:r>
        <w:rPr/>
        <w:t>Mr</w:t>
      </w:r>
      <w:r>
        <w:rPr>
          <w:spacing w:val="-1"/>
        </w:rPr>
        <w:t> </w:t>
      </w:r>
      <w:r>
        <w:rPr/>
        <w:t>Angelo</w:t>
      </w:r>
      <w:r>
        <w:rPr>
          <w:spacing w:val="-1"/>
        </w:rPr>
        <w:t> </w:t>
      </w:r>
      <w:r>
        <w:rPr/>
        <w:t>Kourtis</w:t>
        <w:tab/>
        <w:t>BA</w:t>
      </w:r>
    </w:p>
    <w:p>
      <w:pPr>
        <w:pStyle w:val="BodyText"/>
        <w:tabs>
          <w:tab w:pos="3647" w:val="left" w:leader="none"/>
        </w:tabs>
        <w:spacing w:before="8"/>
        <w:ind w:left="503" w:right="159"/>
      </w:pPr>
      <w:r>
        <w:rPr/>
        <w:t>Professor</w:t>
      </w:r>
      <w:r>
        <w:rPr>
          <w:spacing w:val="-1"/>
        </w:rPr>
        <w:t> </w:t>
      </w:r>
      <w:r>
        <w:rPr/>
        <w:t>Simon</w:t>
      </w:r>
      <w:r>
        <w:rPr>
          <w:spacing w:val="-1"/>
        </w:rPr>
        <w:t> </w:t>
      </w:r>
      <w:r>
        <w:rPr/>
        <w:t>Barrie</w:t>
        <w:tab/>
        <w:t>Doctor of Philosophy (PhD), B.App</w:t>
      </w:r>
      <w:r>
        <w:rPr>
          <w:spacing w:val="-1"/>
        </w:rPr>
        <w:t> </w:t>
      </w:r>
      <w:r>
        <w:rPr/>
        <w:t>Sci</w:t>
      </w:r>
    </w:p>
    <w:p>
      <w:pPr>
        <w:pStyle w:val="BodyText"/>
      </w:pPr>
    </w:p>
    <w:p>
      <w:pPr>
        <w:pStyle w:val="BodyText"/>
        <w:tabs>
          <w:tab w:pos="3647" w:val="left" w:leader="none"/>
        </w:tabs>
        <w:spacing w:line="583" w:lineRule="auto" w:before="114"/>
        <w:ind w:left="503" w:right="2422"/>
      </w:pPr>
      <w:r>
        <w:rPr/>
        <w:t>Ms</w:t>
      </w:r>
      <w:r>
        <w:rPr>
          <w:spacing w:val="-1"/>
        </w:rPr>
        <w:t> </w:t>
      </w:r>
      <w:r>
        <w:rPr/>
        <w:t>Caroline</w:t>
      </w:r>
      <w:r>
        <w:rPr>
          <w:spacing w:val="-1"/>
        </w:rPr>
        <w:t> </w:t>
      </w:r>
      <w:r>
        <w:rPr/>
        <w:t>Hutchinson</w:t>
        <w:tab/>
        <w:t>B Economics, B Laws (Appointed 1</w:t>
      </w:r>
      <w:r>
        <w:rPr>
          <w:spacing w:val="-1"/>
        </w:rPr>
        <w:t> </w:t>
      </w:r>
      <w:r>
        <w:rPr/>
        <w:t>January</w:t>
      </w:r>
      <w:r>
        <w:rPr>
          <w:spacing w:val="-1"/>
        </w:rPr>
        <w:t> </w:t>
      </w:r>
      <w:r>
        <w:rPr/>
        <w:t>2017)</w:t>
      </w:r>
      <w:r>
        <w:rPr>
          <w:w w:val="99"/>
        </w:rPr>
        <w:t> </w:t>
      </w:r>
      <w:r>
        <w:rPr/>
        <w:t>Mr</w:t>
      </w:r>
      <w:r>
        <w:rPr>
          <w:spacing w:val="-1"/>
        </w:rPr>
        <w:t> </w:t>
      </w:r>
      <w:r>
        <w:rPr/>
        <w:t>Robin</w:t>
      </w:r>
      <w:r>
        <w:rPr>
          <w:spacing w:val="-1"/>
        </w:rPr>
        <w:t> </w:t>
      </w:r>
      <w:r>
        <w:rPr/>
        <w:t>Shreeve</w:t>
        <w:tab/>
        <w:t>B Arts (Hons), M Arts (Appointed 1 June</w:t>
      </w:r>
      <w:r>
        <w:rPr>
          <w:spacing w:val="-1"/>
        </w:rPr>
        <w:t> </w:t>
      </w:r>
      <w:r>
        <w:rPr/>
        <w:t>2017)</w:t>
      </w:r>
    </w:p>
    <w:p>
      <w:pPr>
        <w:pStyle w:val="BodyText"/>
        <w:tabs>
          <w:tab w:pos="3647" w:val="left" w:leader="none"/>
        </w:tabs>
        <w:spacing w:before="8"/>
        <w:ind w:left="503" w:right="159"/>
      </w:pPr>
      <w:r>
        <w:rPr/>
        <w:t>Ms</w:t>
      </w:r>
      <w:r>
        <w:rPr>
          <w:spacing w:val="-1"/>
        </w:rPr>
        <w:t> </w:t>
      </w:r>
      <w:r>
        <w:rPr/>
        <w:t>Le</w:t>
      </w:r>
      <w:r>
        <w:rPr>
          <w:spacing w:val="-1"/>
        </w:rPr>
        <w:t> </w:t>
      </w:r>
      <w:r>
        <w:rPr/>
        <w:t>Ho</w:t>
        <w:tab/>
        <w:t>Cert III Transport &amp; Logistics (Appointed 1 October</w:t>
      </w:r>
      <w:r>
        <w:rPr>
          <w:spacing w:val="-1"/>
        </w:rPr>
        <w:t> </w:t>
      </w:r>
      <w:r>
        <w:rPr/>
        <w:t>2017)</w:t>
      </w:r>
    </w:p>
    <w:p>
      <w:pPr>
        <w:pStyle w:val="BodyText"/>
      </w:pPr>
    </w:p>
    <w:p>
      <w:pPr>
        <w:pStyle w:val="BodyText"/>
        <w:spacing w:before="109"/>
        <w:ind w:left="503" w:right="159"/>
      </w:pPr>
      <w:r>
        <w:rPr/>
        <w:t>Directors have been in office since the start of the financial year to the date of this report unless otherwise stated.</w:t>
      </w:r>
    </w:p>
    <w:p>
      <w:pPr>
        <w:pStyle w:val="BodyText"/>
        <w:spacing w:before="7"/>
        <w:rPr>
          <w:sz w:val="26"/>
        </w:rPr>
      </w:pPr>
    </w:p>
    <w:p>
      <w:pPr>
        <w:pStyle w:val="Heading9"/>
        <w:ind w:left="502" w:right="159"/>
      </w:pPr>
      <w:r>
        <w:rPr/>
        <w:t>Principal activities and significant changes in nature of activities</w:t>
      </w:r>
    </w:p>
    <w:p>
      <w:pPr>
        <w:pStyle w:val="BodyText"/>
        <w:spacing w:before="4"/>
        <w:rPr>
          <w:b/>
          <w:sz w:val="25"/>
        </w:rPr>
      </w:pPr>
    </w:p>
    <w:p>
      <w:pPr>
        <w:pStyle w:val="BodyText"/>
        <w:ind w:left="504" w:right="159"/>
      </w:pPr>
      <w:r>
        <w:rPr/>
        <w:t>The principal activities of the Company during the financial year were.</w:t>
      </w:r>
    </w:p>
    <w:p>
      <w:pPr>
        <w:pStyle w:val="BodyText"/>
        <w:spacing w:before="6"/>
        <w:rPr>
          <w:sz w:val="25"/>
        </w:rPr>
      </w:pPr>
    </w:p>
    <w:p>
      <w:pPr>
        <w:pStyle w:val="ListParagraph"/>
        <w:numPr>
          <w:ilvl w:val="1"/>
          <w:numId w:val="42"/>
        </w:numPr>
        <w:tabs>
          <w:tab w:pos="1071" w:val="left" w:leader="none"/>
        </w:tabs>
        <w:spacing w:line="240" w:lineRule="auto" w:before="0" w:after="0"/>
        <w:ind w:left="1070" w:right="0" w:hanging="567"/>
        <w:jc w:val="left"/>
        <w:rPr>
          <w:sz w:val="18"/>
        </w:rPr>
      </w:pPr>
      <w:r>
        <w:rPr>
          <w:sz w:val="18"/>
        </w:rPr>
        <w:t>Provision of educational</w:t>
      </w:r>
      <w:r>
        <w:rPr>
          <w:spacing w:val="-1"/>
          <w:sz w:val="18"/>
        </w:rPr>
        <w:t> </w:t>
      </w:r>
      <w:r>
        <w:rPr>
          <w:sz w:val="18"/>
        </w:rPr>
        <w:t>services</w:t>
      </w:r>
    </w:p>
    <w:p>
      <w:pPr>
        <w:pStyle w:val="BodyText"/>
        <w:spacing w:before="11"/>
        <w:rPr>
          <w:sz w:val="24"/>
        </w:rPr>
      </w:pPr>
    </w:p>
    <w:p>
      <w:pPr>
        <w:pStyle w:val="BodyText"/>
        <w:ind w:left="503" w:right="159"/>
      </w:pPr>
      <w:r>
        <w:rPr/>
        <w:t>There were no significant changes in the nature of the Company's principal activities during the financial year.</w:t>
      </w:r>
    </w:p>
    <w:p>
      <w:pPr>
        <w:spacing w:after="0"/>
        <w:sectPr>
          <w:headerReference w:type="default" r:id="rId43"/>
          <w:pgSz w:w="11910" w:h="16840"/>
          <w:pgMar w:header="1038" w:footer="507" w:top="1720" w:bottom="700" w:left="900" w:right="920"/>
        </w:sectPr>
      </w:pPr>
    </w:p>
    <w:p>
      <w:pPr>
        <w:pStyle w:val="BodyText"/>
        <w:spacing w:before="2"/>
        <w:rPr>
          <w:sz w:val="24"/>
        </w:rPr>
      </w:pPr>
    </w:p>
    <w:p>
      <w:pPr>
        <w:pStyle w:val="Heading3"/>
        <w:ind w:right="159"/>
      </w:pPr>
      <w:r>
        <w:rPr/>
        <w:t>Directors' Report</w:t>
      </w:r>
    </w:p>
    <w:p>
      <w:pPr>
        <w:pStyle w:val="Heading6"/>
        <w:ind w:left="107" w:right="159"/>
      </w:pPr>
      <w:r>
        <w:rPr/>
        <w:t>31 December 2017</w:t>
      </w:r>
    </w:p>
    <w:p>
      <w:pPr>
        <w:pStyle w:val="BodyText"/>
        <w:spacing w:before="11"/>
        <w:rPr>
          <w:b/>
          <w:sz w:val="24"/>
        </w:rPr>
      </w:pPr>
    </w:p>
    <w:p>
      <w:pPr>
        <w:pStyle w:val="Heading9"/>
        <w:numPr>
          <w:ilvl w:val="0"/>
          <w:numId w:val="42"/>
        </w:numPr>
        <w:tabs>
          <w:tab w:pos="503" w:val="left" w:leader="none"/>
        </w:tabs>
        <w:spacing w:line="240" w:lineRule="auto" w:before="0" w:after="0"/>
        <w:ind w:left="502" w:right="0" w:hanging="394"/>
        <w:jc w:val="left"/>
      </w:pPr>
      <w:r>
        <w:rPr/>
        <w:t>Operating results and review of operations for the</w:t>
      </w:r>
      <w:r>
        <w:rPr>
          <w:spacing w:val="-3"/>
        </w:rPr>
        <w:t> </w:t>
      </w:r>
      <w:r>
        <w:rPr/>
        <w:t>year</w:t>
      </w:r>
    </w:p>
    <w:p>
      <w:pPr>
        <w:pStyle w:val="BodyText"/>
        <w:spacing w:before="11"/>
        <w:rPr>
          <w:b/>
          <w:sz w:val="24"/>
        </w:rPr>
      </w:pPr>
    </w:p>
    <w:p>
      <w:pPr>
        <w:pStyle w:val="BodyText"/>
        <w:ind w:left="503" w:right="159"/>
      </w:pPr>
      <w:r>
        <w:rPr/>
        <w:t>The net result of the Company for the year ended 31 December 2017 amounted to NIL (2016: NIL) which included a royalty payment to the parent entity of $22,919,450 (2016: $20,092,238).</w:t>
      </w:r>
    </w:p>
    <w:p>
      <w:pPr>
        <w:pStyle w:val="BodyText"/>
        <w:rPr>
          <w:sz w:val="25"/>
        </w:rPr>
      </w:pPr>
    </w:p>
    <w:p>
      <w:pPr>
        <w:pStyle w:val="BodyText"/>
        <w:ind w:left="503" w:right="192"/>
      </w:pPr>
      <w:r>
        <w:rPr/>
        <w:t>Student enrolments were slightly below the prior year after several years of strong growth. The 2017 year represented the first full year under a decentralised model of operation and the lower associated expenses were reflected in an increased royalty paid to the parent entity.</w:t>
      </w:r>
    </w:p>
    <w:p>
      <w:pPr>
        <w:pStyle w:val="BodyText"/>
        <w:rPr>
          <w:sz w:val="25"/>
        </w:rPr>
      </w:pPr>
    </w:p>
    <w:p>
      <w:pPr>
        <w:pStyle w:val="Heading9"/>
        <w:numPr>
          <w:ilvl w:val="0"/>
          <w:numId w:val="42"/>
        </w:numPr>
        <w:tabs>
          <w:tab w:pos="503" w:val="left" w:leader="none"/>
        </w:tabs>
        <w:spacing w:line="240" w:lineRule="auto" w:before="0" w:after="0"/>
        <w:ind w:left="502" w:right="0" w:hanging="395"/>
        <w:jc w:val="left"/>
      </w:pPr>
      <w:r>
        <w:rPr/>
        <w:t>Other</w:t>
      </w:r>
      <w:r>
        <w:rPr>
          <w:spacing w:val="-10"/>
        </w:rPr>
        <w:t> </w:t>
      </w:r>
      <w:r>
        <w:rPr/>
        <w:t>items</w:t>
      </w:r>
    </w:p>
    <w:p>
      <w:pPr>
        <w:pStyle w:val="BodyText"/>
        <w:spacing w:before="7"/>
        <w:rPr>
          <w:b/>
          <w:sz w:val="26"/>
        </w:rPr>
      </w:pPr>
    </w:p>
    <w:p>
      <w:pPr>
        <w:spacing w:before="0"/>
        <w:ind w:left="502" w:right="159" w:firstLine="0"/>
        <w:jc w:val="left"/>
        <w:rPr>
          <w:b/>
          <w:sz w:val="18"/>
        </w:rPr>
      </w:pPr>
      <w:r>
        <w:rPr>
          <w:b/>
          <w:sz w:val="18"/>
        </w:rPr>
        <w:t>Significant changes in state of affairs</w:t>
      </w:r>
    </w:p>
    <w:p>
      <w:pPr>
        <w:pStyle w:val="BodyText"/>
        <w:spacing w:before="4"/>
        <w:rPr>
          <w:b/>
          <w:sz w:val="25"/>
        </w:rPr>
      </w:pPr>
    </w:p>
    <w:p>
      <w:pPr>
        <w:pStyle w:val="BodyText"/>
        <w:ind w:left="503" w:right="128"/>
      </w:pPr>
      <w:r>
        <w:rPr/>
        <w:t>On 24 May 2017, the name of the Company was changed from UWS Enterprises Pty Limited to Western Sydney University Enterprises Pty Limited. No significant changes in the nature of the Company's activities occurred during the year.</w:t>
      </w:r>
    </w:p>
    <w:p>
      <w:pPr>
        <w:pStyle w:val="BodyText"/>
        <w:spacing w:before="7"/>
        <w:rPr>
          <w:sz w:val="26"/>
        </w:rPr>
      </w:pPr>
    </w:p>
    <w:p>
      <w:pPr>
        <w:pStyle w:val="Heading9"/>
        <w:ind w:left="502" w:right="159"/>
      </w:pPr>
      <w:r>
        <w:rPr/>
        <w:t>Events after the reporting date</w:t>
      </w:r>
    </w:p>
    <w:p>
      <w:pPr>
        <w:pStyle w:val="BodyText"/>
        <w:spacing w:before="4"/>
        <w:rPr>
          <w:b/>
          <w:sz w:val="25"/>
        </w:rPr>
      </w:pPr>
    </w:p>
    <w:p>
      <w:pPr>
        <w:pStyle w:val="BodyText"/>
        <w:ind w:left="504" w:right="10" w:hanging="1"/>
      </w:pPr>
      <w:r>
        <w:rPr/>
        <w:t>No matters or circumstances have arisen since the end of the financial year which significantly affected or could significantly affect the operations of the Company, the results of those operations or the state of affairs of the Company in future financial years.</w:t>
      </w:r>
    </w:p>
    <w:p>
      <w:pPr>
        <w:pStyle w:val="BodyText"/>
        <w:spacing w:before="7"/>
        <w:rPr>
          <w:sz w:val="26"/>
        </w:rPr>
      </w:pPr>
    </w:p>
    <w:p>
      <w:pPr>
        <w:pStyle w:val="Heading9"/>
        <w:ind w:left="502" w:right="159"/>
      </w:pPr>
      <w:r>
        <w:rPr/>
        <w:t>Future developments and results</w:t>
      </w:r>
    </w:p>
    <w:p>
      <w:pPr>
        <w:pStyle w:val="BodyText"/>
        <w:spacing w:before="4"/>
        <w:rPr>
          <w:b/>
          <w:sz w:val="25"/>
        </w:rPr>
      </w:pPr>
    </w:p>
    <w:p>
      <w:pPr>
        <w:pStyle w:val="BodyText"/>
        <w:ind w:left="503" w:right="159"/>
      </w:pPr>
      <w:r>
        <w:rPr/>
        <w:t>Likely developments in the operations of the Company and the expected results of those operations in future financial years have not been included in this report as the inclusion of such information is likely to result in unreasonable prejudice to the Company.</w:t>
      </w:r>
    </w:p>
    <w:p>
      <w:pPr>
        <w:pStyle w:val="BodyText"/>
        <w:spacing w:before="7"/>
        <w:rPr>
          <w:sz w:val="26"/>
        </w:rPr>
      </w:pPr>
    </w:p>
    <w:p>
      <w:pPr>
        <w:pStyle w:val="Heading9"/>
        <w:ind w:left="502" w:right="159"/>
      </w:pPr>
      <w:r>
        <w:rPr/>
        <w:t>Environmental issues</w:t>
      </w:r>
    </w:p>
    <w:p>
      <w:pPr>
        <w:pStyle w:val="BodyText"/>
        <w:spacing w:before="4"/>
        <w:rPr>
          <w:b/>
          <w:sz w:val="25"/>
        </w:rPr>
      </w:pPr>
    </w:p>
    <w:p>
      <w:pPr>
        <w:pStyle w:val="BodyText"/>
        <w:ind w:left="504" w:right="986"/>
      </w:pPr>
      <w:r>
        <w:rPr/>
        <w:t>The Company's operations are not regulated by any significant environmental regulations under a law of the Commonwealth or of a state or territory of Australia.</w:t>
      </w:r>
    </w:p>
    <w:p>
      <w:pPr>
        <w:pStyle w:val="BodyText"/>
        <w:spacing w:before="7"/>
        <w:rPr>
          <w:sz w:val="26"/>
        </w:rPr>
      </w:pPr>
    </w:p>
    <w:p>
      <w:pPr>
        <w:pStyle w:val="Heading9"/>
        <w:ind w:left="502" w:right="159"/>
      </w:pPr>
      <w:r>
        <w:rPr/>
        <w:t>Dividends paid or recommended</w:t>
      </w:r>
    </w:p>
    <w:p>
      <w:pPr>
        <w:pStyle w:val="BodyText"/>
        <w:spacing w:before="4"/>
        <w:rPr>
          <w:b/>
          <w:sz w:val="25"/>
        </w:rPr>
      </w:pPr>
    </w:p>
    <w:p>
      <w:pPr>
        <w:pStyle w:val="BodyText"/>
        <w:ind w:left="504" w:right="440"/>
      </w:pPr>
      <w:r>
        <w:rPr/>
        <w:t>No dividend was paid or payable since the commencement of the financial year and up to and including the date of signing the report (2016: nil).</w:t>
      </w:r>
    </w:p>
    <w:p>
      <w:pPr>
        <w:pStyle w:val="BodyText"/>
        <w:spacing w:before="7"/>
        <w:rPr>
          <w:sz w:val="26"/>
        </w:rPr>
      </w:pPr>
    </w:p>
    <w:p>
      <w:pPr>
        <w:pStyle w:val="Heading9"/>
        <w:ind w:left="502" w:right="159"/>
      </w:pPr>
      <w:r>
        <w:rPr/>
        <w:t>Company secretary</w:t>
      </w:r>
    </w:p>
    <w:p>
      <w:pPr>
        <w:pStyle w:val="BodyText"/>
        <w:spacing w:before="4"/>
        <w:rPr>
          <w:b/>
          <w:sz w:val="25"/>
        </w:rPr>
      </w:pPr>
    </w:p>
    <w:p>
      <w:pPr>
        <w:pStyle w:val="BodyText"/>
        <w:ind w:left="504" w:right="461"/>
      </w:pPr>
      <w:r>
        <w:rPr/>
        <w:t>Ms Wendy Barker held the position of Company Secretary for the whole of the financial year and to the date of this report.  Mr Ian Londish held the position of Company Secretary until 05 December 2017.</w:t>
      </w:r>
    </w:p>
    <w:p>
      <w:pPr>
        <w:spacing w:after="0"/>
        <w:sectPr>
          <w:pgSz w:w="11910" w:h="16840"/>
          <w:pgMar w:header="1038" w:footer="507" w:top="1720" w:bottom="700" w:left="900" w:right="920"/>
        </w:sectPr>
      </w:pPr>
    </w:p>
    <w:p>
      <w:pPr>
        <w:pStyle w:val="BodyText"/>
        <w:spacing w:before="2"/>
        <w:rPr>
          <w:sz w:val="24"/>
        </w:rPr>
      </w:pPr>
    </w:p>
    <w:p>
      <w:pPr>
        <w:pStyle w:val="Heading3"/>
      </w:pPr>
      <w:r>
        <w:rPr/>
        <w:t>Directors' Report</w:t>
      </w:r>
    </w:p>
    <w:p>
      <w:pPr>
        <w:pStyle w:val="Heading6"/>
        <w:ind w:left="107" w:right="161"/>
      </w:pPr>
      <w:r>
        <w:rPr/>
        <w:t>31 December 2017</w:t>
      </w:r>
    </w:p>
    <w:p>
      <w:pPr>
        <w:pStyle w:val="BodyText"/>
        <w:spacing w:before="7"/>
        <w:rPr>
          <w:b/>
          <w:sz w:val="26"/>
        </w:rPr>
      </w:pPr>
    </w:p>
    <w:p>
      <w:pPr>
        <w:pStyle w:val="Heading9"/>
        <w:ind w:left="502" w:right="161"/>
      </w:pPr>
      <w:r>
        <w:rPr/>
        <w:t>Meetings of directors</w:t>
      </w:r>
    </w:p>
    <w:p>
      <w:pPr>
        <w:pStyle w:val="BodyText"/>
        <w:spacing w:before="5"/>
        <w:rPr>
          <w:b/>
          <w:sz w:val="25"/>
        </w:rPr>
      </w:pPr>
    </w:p>
    <w:p>
      <w:pPr>
        <w:pStyle w:val="BodyText"/>
        <w:ind w:left="504" w:right="161"/>
      </w:pPr>
      <w:r>
        <w:rPr/>
        <w:t>During the </w:t>
      </w:r>
      <w:r>
        <w:rPr>
          <w:sz w:val="20"/>
        </w:rPr>
        <w:t>financial </w:t>
      </w:r>
      <w:r>
        <w:rPr/>
        <w:t>year ended 31 December 2017, 6 meetings of directors were held. Attendances by each director during the year were as follows:</w:t>
      </w:r>
    </w:p>
    <w:p>
      <w:pPr>
        <w:pStyle w:val="BodyText"/>
        <w:spacing w:before="1"/>
        <w:rPr>
          <w:sz w:val="26"/>
        </w:rPr>
      </w:pPr>
    </w:p>
    <w:tbl>
      <w:tblPr>
        <w:tblW w:w="0" w:type="auto"/>
        <w:jc w:val="left"/>
        <w:tblInd w:w="5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30"/>
        <w:gridCol w:w="737"/>
        <w:gridCol w:w="732"/>
      </w:tblGrid>
      <w:tr>
        <w:trPr>
          <w:trHeight w:val="490" w:hRule="exact"/>
        </w:trPr>
        <w:tc>
          <w:tcPr>
            <w:tcW w:w="4530" w:type="dxa"/>
            <w:vMerge w:val="restart"/>
            <w:tcBorders>
              <w:right w:val="single" w:sz="0" w:space="0" w:color="000000"/>
            </w:tcBorders>
          </w:tcPr>
          <w:p>
            <w:pPr/>
          </w:p>
        </w:tc>
        <w:tc>
          <w:tcPr>
            <w:tcW w:w="1469" w:type="dxa"/>
            <w:gridSpan w:val="2"/>
            <w:tcBorders>
              <w:top w:val="single" w:sz="0" w:space="0" w:color="000000"/>
              <w:left w:val="single" w:sz="0" w:space="0" w:color="000000"/>
              <w:bottom w:val="single" w:sz="0" w:space="0" w:color="000000"/>
              <w:right w:val="single" w:sz="0" w:space="0" w:color="000000"/>
            </w:tcBorders>
          </w:tcPr>
          <w:p>
            <w:pPr>
              <w:pStyle w:val="TableParagraph"/>
              <w:spacing w:line="268" w:lineRule="auto" w:before="57"/>
              <w:ind w:left="410" w:right="321" w:hanging="24"/>
              <w:rPr>
                <w:b/>
                <w:sz w:val="16"/>
              </w:rPr>
            </w:pPr>
            <w:r>
              <w:rPr>
                <w:b/>
                <w:sz w:val="16"/>
              </w:rPr>
              <w:t>Directors'</w:t>
            </w:r>
            <w:r>
              <w:rPr>
                <w:b/>
                <w:w w:val="99"/>
                <w:sz w:val="16"/>
              </w:rPr>
              <w:t> </w:t>
            </w:r>
            <w:r>
              <w:rPr>
                <w:b/>
                <w:sz w:val="16"/>
              </w:rPr>
              <w:t>Meetings</w:t>
            </w:r>
          </w:p>
        </w:tc>
      </w:tr>
      <w:tr>
        <w:trPr>
          <w:trHeight w:val="696" w:hRule="exact"/>
        </w:trPr>
        <w:tc>
          <w:tcPr>
            <w:tcW w:w="4530" w:type="dxa"/>
            <w:vMerge/>
            <w:tcBorders>
              <w:bottom w:val="single" w:sz="0" w:space="0" w:color="000000"/>
              <w:right w:val="single" w:sz="0" w:space="0" w:color="000000"/>
            </w:tcBorders>
          </w:tcPr>
          <w:p>
            <w:pPr/>
          </w:p>
        </w:tc>
        <w:tc>
          <w:tcPr>
            <w:tcW w:w="737" w:type="dxa"/>
            <w:tcBorders>
              <w:top w:val="single" w:sz="0" w:space="0" w:color="000000"/>
              <w:left w:val="single" w:sz="0" w:space="0" w:color="000000"/>
              <w:bottom w:val="single" w:sz="0" w:space="0" w:color="000000"/>
              <w:right w:val="single" w:sz="0" w:space="0" w:color="000000"/>
            </w:tcBorders>
          </w:tcPr>
          <w:p>
            <w:pPr>
              <w:pStyle w:val="TableParagraph"/>
              <w:spacing w:line="307" w:lineRule="auto" w:before="76"/>
              <w:ind w:left="60" w:right="18" w:firstLine="2"/>
              <w:jc w:val="center"/>
              <w:rPr>
                <w:b/>
                <w:sz w:val="14"/>
              </w:rPr>
            </w:pPr>
            <w:r>
              <w:rPr>
                <w:b/>
                <w:sz w:val="14"/>
              </w:rPr>
              <w:t>Number eligible to</w:t>
            </w:r>
            <w:r>
              <w:rPr>
                <w:b/>
                <w:w w:val="100"/>
                <w:sz w:val="14"/>
              </w:rPr>
              <w:t> </w:t>
            </w:r>
            <w:r>
              <w:rPr>
                <w:b/>
                <w:sz w:val="14"/>
              </w:rPr>
              <w:t>attend</w:t>
            </w:r>
          </w:p>
        </w:tc>
        <w:tc>
          <w:tcPr>
            <w:tcW w:w="732" w:type="dxa"/>
            <w:tcBorders>
              <w:top w:val="single" w:sz="0" w:space="0" w:color="000000"/>
              <w:left w:val="single" w:sz="0" w:space="0" w:color="000000"/>
              <w:bottom w:val="single" w:sz="0" w:space="0" w:color="000000"/>
              <w:right w:val="single" w:sz="0" w:space="0" w:color="000000"/>
            </w:tcBorders>
          </w:tcPr>
          <w:p>
            <w:pPr>
              <w:pStyle w:val="TableParagraph"/>
              <w:rPr>
                <w:sz w:val="14"/>
              </w:rPr>
            </w:pPr>
          </w:p>
          <w:p>
            <w:pPr>
              <w:pStyle w:val="TableParagraph"/>
              <w:spacing w:line="307" w:lineRule="auto" w:before="121"/>
              <w:ind w:left="98" w:right="29" w:firstLine="27"/>
              <w:rPr>
                <w:b/>
                <w:sz w:val="14"/>
              </w:rPr>
            </w:pPr>
            <w:r>
              <w:rPr>
                <w:b/>
                <w:sz w:val="14"/>
              </w:rPr>
              <w:t>Number attended</w:t>
            </w:r>
          </w:p>
        </w:tc>
      </w:tr>
      <w:tr>
        <w:trPr>
          <w:trHeight w:val="256" w:hRule="exact"/>
        </w:trPr>
        <w:tc>
          <w:tcPr>
            <w:tcW w:w="4530" w:type="dxa"/>
            <w:tcBorders>
              <w:top w:val="single" w:sz="0" w:space="0" w:color="000000"/>
              <w:left w:val="single" w:sz="0" w:space="0" w:color="000000"/>
              <w:right w:val="single" w:sz="0" w:space="0" w:color="000000"/>
            </w:tcBorders>
          </w:tcPr>
          <w:p>
            <w:pPr>
              <w:pStyle w:val="TableParagraph"/>
              <w:spacing w:before="34"/>
              <w:ind w:left="68"/>
              <w:rPr>
                <w:sz w:val="16"/>
              </w:rPr>
            </w:pPr>
            <w:r>
              <w:rPr>
                <w:sz w:val="16"/>
              </w:rPr>
              <w:t>Mr Ramy Aziz</w:t>
            </w:r>
          </w:p>
        </w:tc>
        <w:tc>
          <w:tcPr>
            <w:tcW w:w="737" w:type="dxa"/>
            <w:tcBorders>
              <w:top w:val="single" w:sz="0" w:space="0" w:color="000000"/>
              <w:left w:val="single" w:sz="0" w:space="0" w:color="000000"/>
              <w:right w:val="single" w:sz="0" w:space="0" w:color="000000"/>
            </w:tcBorders>
          </w:tcPr>
          <w:p>
            <w:pPr>
              <w:pStyle w:val="TableParagraph"/>
              <w:spacing w:before="33"/>
              <w:ind w:right="246"/>
              <w:jc w:val="right"/>
              <w:rPr>
                <w:sz w:val="16"/>
              </w:rPr>
            </w:pPr>
            <w:r>
              <w:rPr>
                <w:w w:val="99"/>
                <w:sz w:val="16"/>
              </w:rPr>
              <w:t>6</w:t>
            </w:r>
          </w:p>
        </w:tc>
        <w:tc>
          <w:tcPr>
            <w:tcW w:w="732" w:type="dxa"/>
            <w:tcBorders>
              <w:top w:val="single" w:sz="0" w:space="0" w:color="000000"/>
              <w:left w:val="single" w:sz="0" w:space="0" w:color="000000"/>
              <w:right w:val="single" w:sz="0" w:space="0" w:color="000000"/>
            </w:tcBorders>
          </w:tcPr>
          <w:p>
            <w:pPr>
              <w:pStyle w:val="TableParagraph"/>
              <w:spacing w:before="33"/>
              <w:ind w:right="239"/>
              <w:jc w:val="right"/>
              <w:rPr>
                <w:sz w:val="16"/>
              </w:rPr>
            </w:pPr>
            <w:r>
              <w:rPr>
                <w:w w:val="99"/>
                <w:sz w:val="16"/>
              </w:rPr>
              <w:t>6</w:t>
            </w:r>
          </w:p>
        </w:tc>
      </w:tr>
      <w:tr>
        <w:trPr>
          <w:trHeight w:val="241" w:hRule="exact"/>
        </w:trPr>
        <w:tc>
          <w:tcPr>
            <w:tcW w:w="4530" w:type="dxa"/>
            <w:tcBorders>
              <w:left w:val="single" w:sz="0" w:space="0" w:color="000000"/>
              <w:right w:val="single" w:sz="0" w:space="0" w:color="000000"/>
            </w:tcBorders>
          </w:tcPr>
          <w:p>
            <w:pPr>
              <w:pStyle w:val="TableParagraph"/>
              <w:spacing w:before="20"/>
              <w:ind w:left="68"/>
              <w:rPr>
                <w:sz w:val="16"/>
              </w:rPr>
            </w:pPr>
            <w:r>
              <w:rPr>
                <w:sz w:val="16"/>
              </w:rPr>
              <w:t>Professor Denise Kirkpatrick</w:t>
            </w:r>
          </w:p>
        </w:tc>
        <w:tc>
          <w:tcPr>
            <w:tcW w:w="737" w:type="dxa"/>
            <w:tcBorders>
              <w:left w:val="single" w:sz="0" w:space="0" w:color="000000"/>
              <w:right w:val="single" w:sz="0" w:space="0" w:color="000000"/>
            </w:tcBorders>
          </w:tcPr>
          <w:p>
            <w:pPr>
              <w:pStyle w:val="TableParagraph"/>
              <w:spacing w:before="19"/>
              <w:ind w:right="246"/>
              <w:jc w:val="right"/>
              <w:rPr>
                <w:sz w:val="16"/>
              </w:rPr>
            </w:pPr>
            <w:r>
              <w:rPr>
                <w:w w:val="99"/>
                <w:sz w:val="16"/>
              </w:rPr>
              <w:t>6</w:t>
            </w:r>
          </w:p>
        </w:tc>
        <w:tc>
          <w:tcPr>
            <w:tcW w:w="732" w:type="dxa"/>
            <w:tcBorders>
              <w:left w:val="single" w:sz="0" w:space="0" w:color="000000"/>
              <w:right w:val="single" w:sz="0" w:space="0" w:color="000000"/>
            </w:tcBorders>
          </w:tcPr>
          <w:p>
            <w:pPr>
              <w:pStyle w:val="TableParagraph"/>
              <w:spacing w:before="19"/>
              <w:ind w:right="239"/>
              <w:jc w:val="right"/>
              <w:rPr>
                <w:sz w:val="16"/>
              </w:rPr>
            </w:pPr>
            <w:r>
              <w:rPr>
                <w:w w:val="99"/>
                <w:sz w:val="16"/>
              </w:rPr>
              <w:t>6</w:t>
            </w:r>
          </w:p>
        </w:tc>
      </w:tr>
      <w:tr>
        <w:trPr>
          <w:trHeight w:val="241" w:hRule="exact"/>
        </w:trPr>
        <w:tc>
          <w:tcPr>
            <w:tcW w:w="4530" w:type="dxa"/>
            <w:tcBorders>
              <w:left w:val="single" w:sz="0" w:space="0" w:color="000000"/>
              <w:right w:val="single" w:sz="0" w:space="0" w:color="000000"/>
            </w:tcBorders>
          </w:tcPr>
          <w:p>
            <w:pPr>
              <w:pStyle w:val="TableParagraph"/>
              <w:spacing w:before="20"/>
              <w:ind w:left="68"/>
              <w:rPr>
                <w:sz w:val="16"/>
              </w:rPr>
            </w:pPr>
            <w:r>
              <w:rPr>
                <w:sz w:val="16"/>
              </w:rPr>
              <w:t>Mr Angelo Kourtis</w:t>
            </w:r>
          </w:p>
        </w:tc>
        <w:tc>
          <w:tcPr>
            <w:tcW w:w="737" w:type="dxa"/>
            <w:tcBorders>
              <w:left w:val="single" w:sz="0" w:space="0" w:color="000000"/>
              <w:right w:val="single" w:sz="0" w:space="0" w:color="000000"/>
            </w:tcBorders>
          </w:tcPr>
          <w:p>
            <w:pPr>
              <w:pStyle w:val="TableParagraph"/>
              <w:spacing w:before="19"/>
              <w:ind w:right="246"/>
              <w:jc w:val="right"/>
              <w:rPr>
                <w:sz w:val="16"/>
              </w:rPr>
            </w:pPr>
            <w:r>
              <w:rPr>
                <w:w w:val="99"/>
                <w:sz w:val="16"/>
              </w:rPr>
              <w:t>6</w:t>
            </w:r>
          </w:p>
        </w:tc>
        <w:tc>
          <w:tcPr>
            <w:tcW w:w="732" w:type="dxa"/>
            <w:tcBorders>
              <w:left w:val="single" w:sz="0" w:space="0" w:color="000000"/>
              <w:right w:val="single" w:sz="0" w:space="0" w:color="000000"/>
            </w:tcBorders>
          </w:tcPr>
          <w:p>
            <w:pPr>
              <w:pStyle w:val="TableParagraph"/>
              <w:spacing w:before="19"/>
              <w:ind w:right="239"/>
              <w:jc w:val="right"/>
              <w:rPr>
                <w:sz w:val="16"/>
              </w:rPr>
            </w:pPr>
            <w:r>
              <w:rPr>
                <w:w w:val="99"/>
                <w:sz w:val="16"/>
              </w:rPr>
              <w:t>4</w:t>
            </w:r>
          </w:p>
        </w:tc>
      </w:tr>
      <w:tr>
        <w:trPr>
          <w:trHeight w:val="241" w:hRule="exact"/>
        </w:trPr>
        <w:tc>
          <w:tcPr>
            <w:tcW w:w="4530" w:type="dxa"/>
            <w:tcBorders>
              <w:left w:val="single" w:sz="0" w:space="0" w:color="000000"/>
              <w:right w:val="single" w:sz="0" w:space="0" w:color="000000"/>
            </w:tcBorders>
          </w:tcPr>
          <w:p>
            <w:pPr>
              <w:pStyle w:val="TableParagraph"/>
              <w:spacing w:before="20"/>
              <w:ind w:left="68"/>
              <w:rPr>
                <w:sz w:val="16"/>
              </w:rPr>
            </w:pPr>
            <w:r>
              <w:rPr>
                <w:sz w:val="16"/>
              </w:rPr>
              <w:t>Professor Simon Barrie</w:t>
            </w:r>
          </w:p>
        </w:tc>
        <w:tc>
          <w:tcPr>
            <w:tcW w:w="737" w:type="dxa"/>
            <w:tcBorders>
              <w:left w:val="single" w:sz="0" w:space="0" w:color="000000"/>
              <w:right w:val="single" w:sz="0" w:space="0" w:color="000000"/>
            </w:tcBorders>
          </w:tcPr>
          <w:p>
            <w:pPr>
              <w:pStyle w:val="TableParagraph"/>
              <w:spacing w:before="19"/>
              <w:ind w:right="246"/>
              <w:jc w:val="right"/>
              <w:rPr>
                <w:sz w:val="16"/>
              </w:rPr>
            </w:pPr>
            <w:r>
              <w:rPr>
                <w:w w:val="99"/>
                <w:sz w:val="16"/>
              </w:rPr>
              <w:t>6</w:t>
            </w:r>
          </w:p>
        </w:tc>
        <w:tc>
          <w:tcPr>
            <w:tcW w:w="732" w:type="dxa"/>
            <w:tcBorders>
              <w:left w:val="single" w:sz="0" w:space="0" w:color="000000"/>
              <w:right w:val="single" w:sz="0" w:space="0" w:color="000000"/>
            </w:tcBorders>
          </w:tcPr>
          <w:p>
            <w:pPr>
              <w:pStyle w:val="TableParagraph"/>
              <w:spacing w:before="19"/>
              <w:ind w:right="239"/>
              <w:jc w:val="right"/>
              <w:rPr>
                <w:sz w:val="16"/>
              </w:rPr>
            </w:pPr>
            <w:r>
              <w:rPr>
                <w:w w:val="99"/>
                <w:sz w:val="16"/>
              </w:rPr>
              <w:t>6</w:t>
            </w:r>
          </w:p>
        </w:tc>
      </w:tr>
      <w:tr>
        <w:trPr>
          <w:trHeight w:val="241" w:hRule="exact"/>
        </w:trPr>
        <w:tc>
          <w:tcPr>
            <w:tcW w:w="4530" w:type="dxa"/>
            <w:tcBorders>
              <w:left w:val="single" w:sz="0" w:space="0" w:color="000000"/>
              <w:right w:val="single" w:sz="0" w:space="0" w:color="000000"/>
            </w:tcBorders>
          </w:tcPr>
          <w:p>
            <w:pPr>
              <w:pStyle w:val="TableParagraph"/>
              <w:spacing w:before="20"/>
              <w:ind w:left="68"/>
              <w:rPr>
                <w:sz w:val="16"/>
              </w:rPr>
            </w:pPr>
            <w:r>
              <w:rPr>
                <w:sz w:val="16"/>
              </w:rPr>
              <w:t>Ms Caroline Hutchinson</w:t>
            </w:r>
          </w:p>
        </w:tc>
        <w:tc>
          <w:tcPr>
            <w:tcW w:w="737" w:type="dxa"/>
            <w:tcBorders>
              <w:left w:val="single" w:sz="0" w:space="0" w:color="000000"/>
              <w:right w:val="single" w:sz="0" w:space="0" w:color="000000"/>
            </w:tcBorders>
          </w:tcPr>
          <w:p>
            <w:pPr>
              <w:pStyle w:val="TableParagraph"/>
              <w:spacing w:before="19"/>
              <w:ind w:right="246"/>
              <w:jc w:val="right"/>
              <w:rPr>
                <w:sz w:val="16"/>
              </w:rPr>
            </w:pPr>
            <w:r>
              <w:rPr>
                <w:w w:val="99"/>
                <w:sz w:val="16"/>
              </w:rPr>
              <w:t>6</w:t>
            </w:r>
          </w:p>
        </w:tc>
        <w:tc>
          <w:tcPr>
            <w:tcW w:w="732" w:type="dxa"/>
            <w:tcBorders>
              <w:left w:val="single" w:sz="0" w:space="0" w:color="000000"/>
              <w:right w:val="single" w:sz="0" w:space="0" w:color="000000"/>
            </w:tcBorders>
          </w:tcPr>
          <w:p>
            <w:pPr>
              <w:pStyle w:val="TableParagraph"/>
              <w:spacing w:before="19"/>
              <w:ind w:right="239"/>
              <w:jc w:val="right"/>
              <w:rPr>
                <w:sz w:val="16"/>
              </w:rPr>
            </w:pPr>
            <w:r>
              <w:rPr>
                <w:w w:val="99"/>
                <w:sz w:val="16"/>
              </w:rPr>
              <w:t>6</w:t>
            </w:r>
          </w:p>
        </w:tc>
      </w:tr>
      <w:tr>
        <w:trPr>
          <w:trHeight w:val="241" w:hRule="exact"/>
        </w:trPr>
        <w:tc>
          <w:tcPr>
            <w:tcW w:w="4530" w:type="dxa"/>
            <w:tcBorders>
              <w:left w:val="single" w:sz="0" w:space="0" w:color="000000"/>
              <w:right w:val="single" w:sz="0" w:space="0" w:color="000000"/>
            </w:tcBorders>
          </w:tcPr>
          <w:p>
            <w:pPr>
              <w:pStyle w:val="TableParagraph"/>
              <w:spacing w:before="20"/>
              <w:ind w:left="68"/>
              <w:rPr>
                <w:sz w:val="16"/>
              </w:rPr>
            </w:pPr>
            <w:r>
              <w:rPr>
                <w:sz w:val="16"/>
              </w:rPr>
              <w:t>Mr Robin Shreeve</w:t>
            </w:r>
          </w:p>
        </w:tc>
        <w:tc>
          <w:tcPr>
            <w:tcW w:w="737" w:type="dxa"/>
            <w:tcBorders>
              <w:left w:val="single" w:sz="0" w:space="0" w:color="000000"/>
              <w:right w:val="single" w:sz="0" w:space="0" w:color="000000"/>
            </w:tcBorders>
          </w:tcPr>
          <w:p>
            <w:pPr>
              <w:pStyle w:val="TableParagraph"/>
              <w:spacing w:before="19"/>
              <w:ind w:right="246"/>
              <w:jc w:val="right"/>
              <w:rPr>
                <w:sz w:val="16"/>
              </w:rPr>
            </w:pPr>
            <w:r>
              <w:rPr>
                <w:w w:val="99"/>
                <w:sz w:val="16"/>
              </w:rPr>
              <w:t>4</w:t>
            </w:r>
          </w:p>
        </w:tc>
        <w:tc>
          <w:tcPr>
            <w:tcW w:w="732" w:type="dxa"/>
            <w:tcBorders>
              <w:left w:val="single" w:sz="0" w:space="0" w:color="000000"/>
              <w:right w:val="single" w:sz="0" w:space="0" w:color="000000"/>
            </w:tcBorders>
          </w:tcPr>
          <w:p>
            <w:pPr>
              <w:pStyle w:val="TableParagraph"/>
              <w:spacing w:before="19"/>
              <w:ind w:right="239"/>
              <w:jc w:val="right"/>
              <w:rPr>
                <w:sz w:val="16"/>
              </w:rPr>
            </w:pPr>
            <w:r>
              <w:rPr>
                <w:w w:val="99"/>
                <w:sz w:val="16"/>
              </w:rPr>
              <w:t>4</w:t>
            </w:r>
          </w:p>
        </w:tc>
      </w:tr>
      <w:tr>
        <w:trPr>
          <w:trHeight w:val="477" w:hRule="exact"/>
        </w:trPr>
        <w:tc>
          <w:tcPr>
            <w:tcW w:w="4530" w:type="dxa"/>
            <w:tcBorders>
              <w:left w:val="single" w:sz="0" w:space="0" w:color="000000"/>
              <w:bottom w:val="single" w:sz="0" w:space="0" w:color="000000"/>
              <w:right w:val="single" w:sz="0" w:space="0" w:color="000000"/>
            </w:tcBorders>
          </w:tcPr>
          <w:p>
            <w:pPr>
              <w:pStyle w:val="TableParagraph"/>
              <w:spacing w:before="20"/>
              <w:ind w:left="68"/>
              <w:rPr>
                <w:sz w:val="16"/>
              </w:rPr>
            </w:pPr>
            <w:r>
              <w:rPr>
                <w:sz w:val="16"/>
              </w:rPr>
              <w:t>Ms Le Ho</w:t>
            </w:r>
          </w:p>
        </w:tc>
        <w:tc>
          <w:tcPr>
            <w:tcW w:w="737" w:type="dxa"/>
            <w:tcBorders>
              <w:left w:val="single" w:sz="0" w:space="0" w:color="000000"/>
              <w:bottom w:val="single" w:sz="0" w:space="0" w:color="000000"/>
              <w:right w:val="single" w:sz="0" w:space="0" w:color="000000"/>
            </w:tcBorders>
          </w:tcPr>
          <w:p>
            <w:pPr>
              <w:pStyle w:val="TableParagraph"/>
              <w:spacing w:before="19"/>
              <w:ind w:right="246"/>
              <w:jc w:val="right"/>
              <w:rPr>
                <w:sz w:val="16"/>
              </w:rPr>
            </w:pPr>
            <w:r>
              <w:rPr>
                <w:w w:val="99"/>
                <w:sz w:val="16"/>
              </w:rPr>
              <w:t>2</w:t>
            </w:r>
          </w:p>
        </w:tc>
        <w:tc>
          <w:tcPr>
            <w:tcW w:w="732" w:type="dxa"/>
            <w:tcBorders>
              <w:left w:val="single" w:sz="0" w:space="0" w:color="000000"/>
              <w:bottom w:val="single" w:sz="0" w:space="0" w:color="000000"/>
              <w:right w:val="single" w:sz="0" w:space="0" w:color="000000"/>
            </w:tcBorders>
          </w:tcPr>
          <w:p>
            <w:pPr>
              <w:pStyle w:val="TableParagraph"/>
              <w:spacing w:before="19"/>
              <w:ind w:right="239"/>
              <w:jc w:val="right"/>
              <w:rPr>
                <w:sz w:val="16"/>
              </w:rPr>
            </w:pPr>
            <w:r>
              <w:rPr>
                <w:w w:val="99"/>
                <w:sz w:val="16"/>
              </w:rPr>
              <w:t>2</w:t>
            </w:r>
          </w:p>
        </w:tc>
      </w:tr>
    </w:tbl>
    <w:p>
      <w:pPr>
        <w:pStyle w:val="BodyText"/>
        <w:spacing w:before="9"/>
      </w:pPr>
    </w:p>
    <w:p>
      <w:pPr>
        <w:pStyle w:val="Heading9"/>
        <w:spacing w:before="77"/>
        <w:ind w:left="502" w:right="161"/>
      </w:pPr>
      <w:r>
        <w:rPr/>
        <w:t>Indemnification and insurance of officers and auditors</w:t>
      </w:r>
    </w:p>
    <w:p>
      <w:pPr>
        <w:pStyle w:val="BodyText"/>
        <w:rPr>
          <w:b/>
          <w:sz w:val="25"/>
        </w:rPr>
      </w:pPr>
    </w:p>
    <w:p>
      <w:pPr>
        <w:pStyle w:val="BodyText"/>
        <w:ind w:left="504" w:right="337"/>
      </w:pPr>
      <w:r>
        <w:rPr/>
        <w:t>The Company is insured externally and in line with the parent entity's policies for all significant areas of risk exposure and accordingly, is not a self-insurer and makes no provision in its financial statements for internal coverage.</w:t>
      </w:r>
    </w:p>
    <w:p>
      <w:pPr>
        <w:pStyle w:val="BodyText"/>
        <w:rPr>
          <w:sz w:val="25"/>
        </w:rPr>
      </w:pPr>
    </w:p>
    <w:p>
      <w:pPr>
        <w:pStyle w:val="Heading9"/>
        <w:ind w:left="502" w:right="161"/>
      </w:pPr>
      <w:r>
        <w:rPr/>
        <w:t>Proceedings on behalf of company</w:t>
      </w:r>
    </w:p>
    <w:p>
      <w:pPr>
        <w:pStyle w:val="BodyText"/>
        <w:spacing w:before="11"/>
        <w:rPr>
          <w:b/>
          <w:sz w:val="24"/>
        </w:rPr>
      </w:pPr>
    </w:p>
    <w:p>
      <w:pPr>
        <w:pStyle w:val="BodyText"/>
        <w:ind w:left="503"/>
      </w:pPr>
      <w:r>
        <w:rPr/>
        <w:t>No person has applied for leave of court to bring proceedings on behalf of the Company or intervene in any proceedings to which the Company is a party for the purpose of taking responsibility on behalf of the Company for all or any part of those proceedings.</w:t>
      </w:r>
    </w:p>
    <w:p>
      <w:pPr>
        <w:pStyle w:val="BodyText"/>
        <w:rPr>
          <w:sz w:val="25"/>
        </w:rPr>
      </w:pPr>
    </w:p>
    <w:p>
      <w:pPr>
        <w:pStyle w:val="BodyText"/>
        <w:ind w:left="503" w:right="161"/>
      </w:pPr>
      <w:r>
        <w:rPr/>
        <w:t>The Company was not a party to any such proceedings during the year.</w:t>
      </w:r>
    </w:p>
    <w:p>
      <w:pPr>
        <w:pStyle w:val="BodyText"/>
        <w:spacing w:before="7"/>
        <w:rPr>
          <w:sz w:val="26"/>
        </w:rPr>
      </w:pPr>
    </w:p>
    <w:p>
      <w:pPr>
        <w:pStyle w:val="Heading9"/>
        <w:ind w:left="502" w:right="161"/>
      </w:pPr>
      <w:r>
        <w:rPr/>
        <w:t>Auditor's independence declaration</w:t>
      </w:r>
    </w:p>
    <w:p>
      <w:pPr>
        <w:pStyle w:val="BodyText"/>
        <w:spacing w:before="5"/>
        <w:rPr>
          <w:b/>
          <w:sz w:val="25"/>
        </w:rPr>
      </w:pPr>
    </w:p>
    <w:p>
      <w:pPr>
        <w:pStyle w:val="BodyText"/>
        <w:ind w:left="503" w:right="161"/>
      </w:pPr>
      <w:r>
        <w:rPr/>
        <w:t>The auditor's independence declaration in accordance with section 307C of the </w:t>
      </w:r>
      <w:r>
        <w:rPr>
          <w:i/>
        </w:rPr>
        <w:t>Corporations Act 2001</w:t>
      </w:r>
      <w:r>
        <w:rPr/>
        <w:t>, for the year ended 31 December 2017 has been received and can be found on page 101 of the financial statements.</w:t>
      </w:r>
    </w:p>
    <w:p>
      <w:pPr>
        <w:pStyle w:val="BodyText"/>
        <w:spacing w:before="11"/>
        <w:rPr>
          <w:sz w:val="24"/>
        </w:rPr>
      </w:pPr>
    </w:p>
    <w:p>
      <w:pPr>
        <w:pStyle w:val="BodyText"/>
        <w:ind w:left="504" w:right="161"/>
      </w:pPr>
      <w:r>
        <w:rPr/>
        <w:pict>
          <v:shape style="position:absolute;margin-left:67.888214pt;margin-top:8.911545pt;width:446.6pt;height:125.4pt;mso-position-horizontal-relative:page;mso-position-vertical-relative:paragraph;z-index:-1181944" type="#_x0000_t202" filled="false" stroked="false">
            <v:textbox inset="0,0,0,0">
              <w:txbxContent>
                <w:p>
                  <w:pPr>
                    <w:pStyle w:val="BodyText"/>
                  </w:pPr>
                </w:p>
                <w:p>
                  <w:pPr>
                    <w:pStyle w:val="BodyText"/>
                  </w:pPr>
                </w:p>
                <w:p>
                  <w:pPr>
                    <w:pStyle w:val="BodyText"/>
                  </w:pPr>
                </w:p>
                <w:p>
                  <w:pPr>
                    <w:pStyle w:val="BodyText"/>
                    <w:spacing w:before="5"/>
                    <w:rPr>
                      <w:sz w:val="16"/>
                    </w:rPr>
                  </w:pPr>
                </w:p>
                <w:p>
                  <w:pPr>
                    <w:pStyle w:val="BodyText"/>
                    <w:tabs>
                      <w:tab w:pos="4851" w:val="left" w:leader="none"/>
                    </w:tabs>
                    <w:ind w:left="44"/>
                  </w:pPr>
                  <w:r>
                    <w:rPr/>
                    <w:t>Director: ...............................................................</w:t>
                    <w:tab/>
                    <w:t>Director:</w:t>
                  </w:r>
                  <w:r>
                    <w:rPr>
                      <w:spacing w:val="-3"/>
                    </w:rPr>
                    <w:t> </w:t>
                  </w:r>
                  <w:r>
                    <w:rPr/>
                    <w:t>................................................................</w:t>
                  </w:r>
                </w:p>
                <w:p>
                  <w:pPr>
                    <w:pStyle w:val="BodyText"/>
                  </w:pPr>
                </w:p>
                <w:p>
                  <w:pPr>
                    <w:pStyle w:val="BodyText"/>
                  </w:pPr>
                </w:p>
                <w:p>
                  <w:pPr>
                    <w:pStyle w:val="BodyText"/>
                  </w:pPr>
                </w:p>
                <w:p>
                  <w:pPr>
                    <w:pStyle w:val="BodyText"/>
                  </w:pPr>
                </w:p>
                <w:p>
                  <w:pPr>
                    <w:pStyle w:val="BodyText"/>
                    <w:spacing w:before="8"/>
                  </w:pPr>
                </w:p>
                <w:p>
                  <w:pPr>
                    <w:pStyle w:val="BodyText"/>
                    <w:ind w:left="46"/>
                  </w:pPr>
                  <w:r>
                    <w:rPr/>
                    <w:t>Dated:</w:t>
                  </w:r>
                </w:p>
              </w:txbxContent>
            </v:textbox>
            <w10:wrap type="none"/>
          </v:shape>
        </w:pict>
      </w:r>
      <w:r>
        <w:rPr/>
        <w:drawing>
          <wp:anchor distT="0" distB="0" distL="0" distR="0" allowOverlap="1" layoutInCell="1" locked="0" behindDoc="1" simplePos="0" relativeHeight="267253535">
            <wp:simplePos x="0" y="0"/>
            <wp:positionH relativeFrom="page">
              <wp:posOffset>862180</wp:posOffset>
            </wp:positionH>
            <wp:positionV relativeFrom="paragraph">
              <wp:posOffset>113176</wp:posOffset>
            </wp:positionV>
            <wp:extent cx="5671630" cy="1592027"/>
            <wp:effectExtent l="0" t="0" r="0" b="0"/>
            <wp:wrapNone/>
            <wp:docPr id="15" name="image11.jpeg" descr=""/>
            <wp:cNvGraphicFramePr>
              <a:graphicFrameLocks noChangeAspect="1"/>
            </wp:cNvGraphicFramePr>
            <a:graphic>
              <a:graphicData uri="http://schemas.openxmlformats.org/drawingml/2006/picture">
                <pic:pic>
                  <pic:nvPicPr>
                    <pic:cNvPr id="16" name="image11.jpeg"/>
                    <pic:cNvPicPr/>
                  </pic:nvPicPr>
                  <pic:blipFill>
                    <a:blip r:embed="rId44" cstate="print"/>
                    <a:stretch>
                      <a:fillRect/>
                    </a:stretch>
                  </pic:blipFill>
                  <pic:spPr>
                    <a:xfrm>
                      <a:off x="0" y="0"/>
                      <a:ext cx="5671630" cy="1592027"/>
                    </a:xfrm>
                    <a:prstGeom prst="rect">
                      <a:avLst/>
                    </a:prstGeom>
                  </pic:spPr>
                </pic:pic>
              </a:graphicData>
            </a:graphic>
          </wp:anchor>
        </w:drawing>
      </w:r>
      <w:r>
        <w:rPr/>
        <w:t>This report is made in accordance with a resolution of the Board of Directors.</w:t>
      </w:r>
    </w:p>
    <w:p>
      <w:pPr>
        <w:spacing w:after="0"/>
        <w:sectPr>
          <w:pgSz w:w="11910" w:h="16840"/>
          <w:pgMar w:header="1038" w:footer="507" w:top="1720" w:bottom="700" w:left="900" w:right="860"/>
        </w:sectPr>
      </w:pPr>
    </w:p>
    <w:p>
      <w:pPr>
        <w:pStyle w:val="BodyText"/>
        <w:spacing w:before="2"/>
        <w:rPr>
          <w:sz w:val="24"/>
        </w:rPr>
      </w:pPr>
    </w:p>
    <w:p>
      <w:pPr>
        <w:pStyle w:val="Heading3"/>
        <w:ind w:left="147" w:right="220"/>
      </w:pPr>
      <w:r>
        <w:rPr/>
        <w:t>Directors' Declaration</w:t>
      </w:r>
    </w:p>
    <w:p>
      <w:pPr>
        <w:pStyle w:val="BodyText"/>
        <w:rPr>
          <w:b/>
          <w:sz w:val="25"/>
        </w:rPr>
      </w:pPr>
    </w:p>
    <w:p>
      <w:pPr>
        <w:pStyle w:val="BodyText"/>
        <w:ind w:left="147" w:right="220"/>
      </w:pPr>
      <w:r>
        <w:rPr/>
        <w:t>In the directors' opinion:</w:t>
      </w:r>
    </w:p>
    <w:p>
      <w:pPr>
        <w:pStyle w:val="BodyText"/>
        <w:spacing w:before="6"/>
        <w:rPr>
          <w:sz w:val="19"/>
        </w:rPr>
      </w:pPr>
    </w:p>
    <w:p>
      <w:pPr>
        <w:pStyle w:val="ListParagraph"/>
        <w:numPr>
          <w:ilvl w:val="0"/>
          <w:numId w:val="43"/>
        </w:numPr>
        <w:tabs>
          <w:tab w:pos="545" w:val="left" w:leader="none"/>
        </w:tabs>
        <w:spacing w:line="408" w:lineRule="auto" w:before="0" w:after="0"/>
        <w:ind w:left="544" w:right="697" w:hanging="396"/>
        <w:jc w:val="left"/>
        <w:rPr>
          <w:sz w:val="18"/>
        </w:rPr>
      </w:pPr>
      <w:r>
        <w:rPr>
          <w:sz w:val="18"/>
        </w:rPr>
        <w:t>the financial statements and notes, as set out on pages 102 to 137, are in accordance with the </w:t>
      </w:r>
      <w:r>
        <w:rPr>
          <w:i/>
          <w:sz w:val="18"/>
        </w:rPr>
        <w:t>Corporations</w:t>
      </w:r>
      <w:r>
        <w:rPr>
          <w:i/>
          <w:spacing w:val="-17"/>
          <w:sz w:val="18"/>
        </w:rPr>
        <w:t> </w:t>
      </w:r>
      <w:r>
        <w:rPr>
          <w:i/>
          <w:sz w:val="18"/>
        </w:rPr>
        <w:t>Act </w:t>
      </w:r>
      <w:r>
        <w:rPr>
          <w:i/>
          <w:sz w:val="18"/>
        </w:rPr>
        <w:t>2001</w:t>
      </w:r>
      <w:r>
        <w:rPr>
          <w:sz w:val="18"/>
        </w:rPr>
        <w:t>,</w:t>
      </w:r>
      <w:r>
        <w:rPr>
          <w:spacing w:val="-1"/>
          <w:sz w:val="18"/>
        </w:rPr>
        <w:t> </w:t>
      </w:r>
      <w:r>
        <w:rPr>
          <w:sz w:val="18"/>
        </w:rPr>
        <w:t>including:</w:t>
      </w:r>
    </w:p>
    <w:p>
      <w:pPr>
        <w:pStyle w:val="ListParagraph"/>
        <w:numPr>
          <w:ilvl w:val="1"/>
          <w:numId w:val="43"/>
        </w:numPr>
        <w:tabs>
          <w:tab w:pos="942" w:val="left" w:leader="none"/>
        </w:tabs>
        <w:spacing w:line="207" w:lineRule="exact" w:before="5" w:after="0"/>
        <w:ind w:left="941" w:right="0" w:hanging="397"/>
        <w:jc w:val="left"/>
        <w:rPr>
          <w:i/>
          <w:sz w:val="18"/>
        </w:rPr>
      </w:pPr>
      <w:r>
        <w:rPr>
          <w:sz w:val="18"/>
        </w:rPr>
        <w:t>complying with Accounting Standards, the </w:t>
      </w:r>
      <w:r>
        <w:rPr>
          <w:i/>
          <w:sz w:val="18"/>
        </w:rPr>
        <w:t>Corporations Regulations 2001, Public Finance and Audit Act</w:t>
      </w:r>
      <w:r>
        <w:rPr>
          <w:i/>
          <w:spacing w:val="-14"/>
          <w:sz w:val="18"/>
        </w:rPr>
        <w:t> </w:t>
      </w:r>
      <w:r>
        <w:rPr>
          <w:i/>
          <w:sz w:val="18"/>
        </w:rPr>
        <w:t>1983,</w:t>
      </w:r>
    </w:p>
    <w:p>
      <w:pPr>
        <w:spacing w:line="207" w:lineRule="exact" w:before="0"/>
        <w:ind w:left="941" w:right="220" w:firstLine="0"/>
        <w:jc w:val="left"/>
        <w:rPr>
          <w:sz w:val="18"/>
        </w:rPr>
      </w:pPr>
      <w:r>
        <w:rPr>
          <w:i/>
          <w:sz w:val="18"/>
        </w:rPr>
        <w:t>Public Finance and Audit Regulation 201</w:t>
      </w:r>
      <w:r>
        <w:rPr>
          <w:sz w:val="18"/>
        </w:rPr>
        <w:t>5 and other mandatory professional reporting requirements, and</w:t>
      </w:r>
    </w:p>
    <w:p>
      <w:pPr>
        <w:pStyle w:val="BodyText"/>
        <w:rPr>
          <w:sz w:val="25"/>
        </w:rPr>
      </w:pPr>
    </w:p>
    <w:p>
      <w:pPr>
        <w:pStyle w:val="ListParagraph"/>
        <w:numPr>
          <w:ilvl w:val="1"/>
          <w:numId w:val="43"/>
        </w:numPr>
        <w:tabs>
          <w:tab w:pos="942" w:val="left" w:leader="none"/>
        </w:tabs>
        <w:spacing w:line="240" w:lineRule="auto" w:before="0" w:after="0"/>
        <w:ind w:left="941" w:right="232" w:hanging="397"/>
        <w:jc w:val="left"/>
        <w:rPr>
          <w:sz w:val="18"/>
        </w:rPr>
      </w:pPr>
      <w:r>
        <w:rPr>
          <w:sz w:val="18"/>
        </w:rPr>
        <w:t>giving a true and fair view of the company's financial position as at 31 December 2017 and of its performance for the financial year ended on that date,</w:t>
      </w:r>
      <w:r>
        <w:rPr>
          <w:spacing w:val="-1"/>
          <w:sz w:val="18"/>
        </w:rPr>
        <w:t> </w:t>
      </w:r>
      <w:r>
        <w:rPr>
          <w:sz w:val="18"/>
        </w:rPr>
        <w:t>and;</w:t>
      </w:r>
    </w:p>
    <w:p>
      <w:pPr>
        <w:pStyle w:val="BodyText"/>
        <w:spacing w:before="10"/>
        <w:rPr>
          <w:sz w:val="17"/>
        </w:rPr>
      </w:pPr>
    </w:p>
    <w:p>
      <w:pPr>
        <w:pStyle w:val="ListParagraph"/>
        <w:numPr>
          <w:ilvl w:val="0"/>
          <w:numId w:val="43"/>
        </w:numPr>
        <w:tabs>
          <w:tab w:pos="545" w:val="left" w:leader="none"/>
        </w:tabs>
        <w:spacing w:line="240" w:lineRule="auto" w:before="0" w:after="0"/>
        <w:ind w:left="544" w:right="263" w:hanging="396"/>
        <w:jc w:val="left"/>
        <w:rPr>
          <w:sz w:val="18"/>
        </w:rPr>
      </w:pPr>
      <w:r>
        <w:rPr>
          <w:sz w:val="18"/>
        </w:rPr>
        <w:t>there are reasonable grounds to believe that the company will be able to pay its debts as and when they become due and</w:t>
      </w:r>
      <w:r>
        <w:rPr>
          <w:spacing w:val="-1"/>
          <w:sz w:val="18"/>
        </w:rPr>
        <w:t> </w:t>
      </w:r>
      <w:r>
        <w:rPr>
          <w:sz w:val="18"/>
        </w:rPr>
        <w:t>payable,</w:t>
      </w:r>
    </w:p>
    <w:p>
      <w:pPr>
        <w:pStyle w:val="BodyText"/>
        <w:spacing w:before="10"/>
        <w:rPr>
          <w:sz w:val="17"/>
        </w:rPr>
      </w:pPr>
    </w:p>
    <w:p>
      <w:pPr>
        <w:pStyle w:val="ListParagraph"/>
        <w:numPr>
          <w:ilvl w:val="0"/>
          <w:numId w:val="43"/>
        </w:numPr>
        <w:tabs>
          <w:tab w:pos="545" w:val="left" w:leader="none"/>
        </w:tabs>
        <w:spacing w:line="240" w:lineRule="auto" w:before="0" w:after="0"/>
        <w:ind w:left="544" w:right="104" w:hanging="396"/>
        <w:jc w:val="left"/>
        <w:rPr>
          <w:sz w:val="18"/>
        </w:rPr>
      </w:pPr>
      <w:r>
        <w:rPr>
          <w:sz w:val="18"/>
        </w:rPr>
        <w:t>We are not aware of any circumstances which would render any particulars in the financial statements to be misleading or</w:t>
      </w:r>
      <w:r>
        <w:rPr>
          <w:spacing w:val="-1"/>
          <w:sz w:val="18"/>
        </w:rPr>
        <w:t> </w:t>
      </w:r>
      <w:r>
        <w:rPr>
          <w:sz w:val="18"/>
        </w:rPr>
        <w:t>inaccurate.</w:t>
      </w:r>
    </w:p>
    <w:p>
      <w:pPr>
        <w:pStyle w:val="BodyText"/>
      </w:pPr>
    </w:p>
    <w:p>
      <w:pPr>
        <w:pStyle w:val="BodyText"/>
        <w:spacing w:before="10"/>
        <w:rPr>
          <w:sz w:val="24"/>
        </w:rPr>
      </w:pPr>
    </w:p>
    <w:p>
      <w:pPr>
        <w:pStyle w:val="BodyText"/>
        <w:spacing w:line="207" w:lineRule="exact"/>
        <w:ind w:left="148" w:right="220"/>
      </w:pPr>
      <w:r>
        <w:rPr/>
        <w:t>This declaration is made in accordance with a resolution of the Board of Directors, pursuant to section 295(4) of the</w:t>
      </w:r>
    </w:p>
    <w:p>
      <w:pPr>
        <w:spacing w:line="207" w:lineRule="exact" w:before="0"/>
        <w:ind w:left="148" w:right="220" w:firstLine="0"/>
        <w:jc w:val="left"/>
        <w:rPr>
          <w:sz w:val="18"/>
        </w:rPr>
      </w:pPr>
      <w:r>
        <w:rPr/>
        <w:pict>
          <v:shape style="position:absolute;margin-left:48.256775pt;margin-top:10.290115pt;width:467.55pt;height:136.15pt;mso-position-horizontal-relative:page;mso-position-vertical-relative:paragraph;z-index:-1181896"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rPr>
                      <w:sz w:val="21"/>
                    </w:rPr>
                  </w:pPr>
                </w:p>
                <w:p>
                  <w:pPr>
                    <w:pStyle w:val="BodyText"/>
                    <w:tabs>
                      <w:tab w:pos="5046" w:val="left" w:leader="none"/>
                    </w:tabs>
                    <w:ind w:left="84"/>
                  </w:pPr>
                  <w:r>
                    <w:rPr/>
                    <w:t>Director ..................................................................</w:t>
                    <w:tab/>
                    <w:t>Director</w:t>
                  </w:r>
                  <w:r>
                    <w:rPr>
                      <w:spacing w:val="-3"/>
                    </w:rPr>
                    <w:t> </w:t>
                  </w:r>
                  <w:r>
                    <w:rPr/>
                    <w:t>..................................................................</w:t>
                  </w:r>
                </w:p>
                <w:p>
                  <w:pPr>
                    <w:pStyle w:val="BodyText"/>
                  </w:pPr>
                </w:p>
                <w:p>
                  <w:pPr>
                    <w:pStyle w:val="BodyText"/>
                  </w:pPr>
                </w:p>
                <w:p>
                  <w:pPr>
                    <w:pStyle w:val="BodyText"/>
                    <w:spacing w:before="6"/>
                    <w:rPr>
                      <w:sz w:val="22"/>
                    </w:rPr>
                  </w:pPr>
                </w:p>
                <w:p>
                  <w:pPr>
                    <w:pStyle w:val="BodyText"/>
                    <w:spacing w:before="1"/>
                    <w:ind w:left="42"/>
                  </w:pPr>
                  <w:r>
                    <w:rPr/>
                    <w:t>Dated</w:t>
                  </w:r>
                </w:p>
              </w:txbxContent>
            </v:textbox>
            <w10:wrap type="none"/>
          </v:shape>
        </w:pict>
      </w:r>
      <w:r>
        <w:rPr>
          <w:i/>
          <w:sz w:val="18"/>
        </w:rPr>
        <w:t>Corporations Act 2001</w:t>
      </w:r>
      <w:r>
        <w:rPr>
          <w:sz w:val="18"/>
        </w:rPr>
        <w:t>, and 41(C) of the </w:t>
      </w:r>
      <w:r>
        <w:rPr>
          <w:i/>
          <w:sz w:val="18"/>
        </w:rPr>
        <w:t>Public Finance and Audit Act 1983</w:t>
      </w:r>
      <w:r>
        <w:rPr>
          <w:sz w:val="18"/>
        </w:rPr>
        <w:t>.</w:t>
      </w:r>
    </w:p>
    <w:p>
      <w:pPr>
        <w:pStyle w:val="BodyText"/>
        <w:ind w:left="105"/>
        <w:rPr>
          <w:sz w:val="20"/>
        </w:rPr>
      </w:pPr>
      <w:r>
        <w:rPr>
          <w:sz w:val="20"/>
        </w:rPr>
        <w:drawing>
          <wp:inline distT="0" distB="0" distL="0" distR="0">
            <wp:extent cx="5925933" cy="1725644"/>
            <wp:effectExtent l="0" t="0" r="0" b="0"/>
            <wp:docPr id="17" name="image12.jpeg" descr=""/>
            <wp:cNvGraphicFramePr>
              <a:graphicFrameLocks noChangeAspect="1"/>
            </wp:cNvGraphicFramePr>
            <a:graphic>
              <a:graphicData uri="http://schemas.openxmlformats.org/drawingml/2006/picture">
                <pic:pic>
                  <pic:nvPicPr>
                    <pic:cNvPr id="18" name="image12.jpeg"/>
                    <pic:cNvPicPr/>
                  </pic:nvPicPr>
                  <pic:blipFill>
                    <a:blip r:embed="rId45" cstate="print"/>
                    <a:stretch>
                      <a:fillRect/>
                    </a:stretch>
                  </pic:blipFill>
                  <pic:spPr>
                    <a:xfrm>
                      <a:off x="0" y="0"/>
                      <a:ext cx="5925933" cy="1725644"/>
                    </a:xfrm>
                    <a:prstGeom prst="rect">
                      <a:avLst/>
                    </a:prstGeom>
                  </pic:spPr>
                </pic:pic>
              </a:graphicData>
            </a:graphic>
          </wp:inline>
        </w:drawing>
      </w:r>
      <w:r>
        <w:rPr>
          <w:sz w:val="20"/>
        </w:rPr>
      </w:r>
    </w:p>
    <w:p>
      <w:pPr>
        <w:spacing w:after="0"/>
        <w:rPr>
          <w:sz w:val="20"/>
        </w:rPr>
        <w:sectPr>
          <w:pgSz w:w="11910" w:h="16840"/>
          <w:pgMar w:header="1038" w:footer="507" w:top="1720" w:bottom="700" w:left="860" w:right="920"/>
        </w:sectPr>
      </w:pPr>
    </w:p>
    <w:p>
      <w:pPr>
        <w:pStyle w:val="BodyText"/>
        <w:spacing w:before="7"/>
        <w:rPr>
          <w:sz w:val="19"/>
        </w:rPr>
      </w:pPr>
    </w:p>
    <w:p>
      <w:pPr>
        <w:pStyle w:val="Heading3"/>
        <w:spacing w:before="65"/>
        <w:ind w:left="147" w:right="220"/>
      </w:pPr>
      <w:r>
        <w:rPr/>
        <w:t>Responsible Entities' Declaration</w:t>
      </w:r>
    </w:p>
    <w:p>
      <w:pPr>
        <w:pStyle w:val="BodyText"/>
        <w:rPr>
          <w:b/>
          <w:sz w:val="25"/>
        </w:rPr>
      </w:pPr>
    </w:p>
    <w:p>
      <w:pPr>
        <w:pStyle w:val="BodyText"/>
        <w:ind w:left="147" w:right="220"/>
      </w:pPr>
      <w:r>
        <w:rPr/>
        <w:t>The responsible entities declare that in the responsible entities' opinion:</w:t>
      </w:r>
    </w:p>
    <w:p>
      <w:pPr>
        <w:pStyle w:val="BodyText"/>
        <w:rPr>
          <w:sz w:val="25"/>
        </w:rPr>
      </w:pPr>
    </w:p>
    <w:p>
      <w:pPr>
        <w:pStyle w:val="ListParagraph"/>
        <w:numPr>
          <w:ilvl w:val="0"/>
          <w:numId w:val="44"/>
        </w:numPr>
        <w:tabs>
          <w:tab w:pos="868" w:val="left" w:leader="none"/>
        </w:tabs>
        <w:spacing w:line="240" w:lineRule="auto" w:before="0" w:after="0"/>
        <w:ind w:left="868" w:right="319" w:hanging="720"/>
        <w:jc w:val="left"/>
        <w:rPr>
          <w:sz w:val="18"/>
        </w:rPr>
      </w:pPr>
      <w:r>
        <w:rPr>
          <w:sz w:val="18"/>
        </w:rPr>
        <w:t>there are reasonable grounds to believe that the registered entity is able to pay all of its debts, as and when they become due and payable;</w:t>
      </w:r>
      <w:r>
        <w:rPr>
          <w:spacing w:val="-1"/>
          <w:sz w:val="18"/>
        </w:rPr>
        <w:t> </w:t>
      </w:r>
      <w:r>
        <w:rPr>
          <w:sz w:val="18"/>
        </w:rPr>
        <w:t>and</w:t>
      </w:r>
    </w:p>
    <w:p>
      <w:pPr>
        <w:pStyle w:val="BodyText"/>
        <w:rPr>
          <w:sz w:val="25"/>
        </w:rPr>
      </w:pPr>
    </w:p>
    <w:p>
      <w:pPr>
        <w:pStyle w:val="ListParagraph"/>
        <w:numPr>
          <w:ilvl w:val="0"/>
          <w:numId w:val="44"/>
        </w:numPr>
        <w:tabs>
          <w:tab w:pos="868" w:val="left" w:leader="none"/>
        </w:tabs>
        <w:spacing w:line="240" w:lineRule="auto" w:before="0" w:after="0"/>
        <w:ind w:left="868" w:right="960" w:hanging="720"/>
        <w:jc w:val="left"/>
        <w:rPr>
          <w:i/>
          <w:sz w:val="18"/>
        </w:rPr>
      </w:pPr>
      <w:r>
        <w:rPr>
          <w:sz w:val="18"/>
        </w:rPr>
        <w:t>the financial statements and notes satisfy the requirements of the </w:t>
      </w:r>
      <w:r>
        <w:rPr>
          <w:i/>
          <w:sz w:val="18"/>
        </w:rPr>
        <w:t>Australian Charities and</w:t>
      </w:r>
      <w:r>
        <w:rPr>
          <w:i/>
          <w:spacing w:val="-11"/>
          <w:sz w:val="18"/>
        </w:rPr>
        <w:t> </w:t>
      </w:r>
      <w:r>
        <w:rPr>
          <w:i/>
          <w:sz w:val="18"/>
        </w:rPr>
        <w:t>Not-for-profits </w:t>
      </w:r>
      <w:r>
        <w:rPr>
          <w:i/>
          <w:sz w:val="18"/>
        </w:rPr>
        <w:t>Commission Act</w:t>
      </w:r>
      <w:r>
        <w:rPr>
          <w:i/>
          <w:spacing w:val="-1"/>
          <w:sz w:val="18"/>
        </w:rPr>
        <w:t> </w:t>
      </w:r>
      <w:r>
        <w:rPr>
          <w:i/>
          <w:sz w:val="18"/>
        </w:rPr>
        <w:t>2012.</w:t>
      </w:r>
    </w:p>
    <w:p>
      <w:pPr>
        <w:pStyle w:val="BodyText"/>
        <w:rPr>
          <w:i/>
          <w:sz w:val="25"/>
        </w:rPr>
      </w:pPr>
    </w:p>
    <w:p>
      <w:pPr>
        <w:spacing w:before="0" w:after="19"/>
        <w:ind w:left="147" w:right="130" w:firstLine="0"/>
        <w:jc w:val="left"/>
        <w:rPr>
          <w:i/>
          <w:sz w:val="18"/>
        </w:rPr>
      </w:pPr>
      <w:r>
        <w:rPr/>
        <w:pict>
          <v:shape style="position:absolute;margin-left:48.687897pt;margin-top:11.299957pt;width:495.25pt;height:98.05pt;mso-position-horizontal-relative:page;mso-position-vertical-relative:paragraph;z-index:-1181872" type="#_x0000_t202" filled="false" stroked="false">
            <v:textbox inset="0,0,0,0">
              <w:txbxContent>
                <w:p>
                  <w:pPr>
                    <w:pStyle w:val="BodyText"/>
                    <w:rPr>
                      <w:i/>
                    </w:rPr>
                  </w:pPr>
                </w:p>
                <w:p>
                  <w:pPr>
                    <w:pStyle w:val="BodyText"/>
                    <w:rPr>
                      <w:i/>
                    </w:rPr>
                  </w:pPr>
                </w:p>
                <w:p>
                  <w:pPr>
                    <w:pStyle w:val="BodyText"/>
                    <w:rPr>
                      <w:i/>
                    </w:rPr>
                  </w:pPr>
                </w:p>
                <w:p>
                  <w:pPr>
                    <w:pStyle w:val="BodyText"/>
                    <w:spacing w:before="141"/>
                    <w:ind w:left="34"/>
                  </w:pPr>
                  <w:r>
                    <w:rPr/>
                    <w:t>Director ..................................................................</w:t>
                  </w:r>
                </w:p>
                <w:p>
                  <w:pPr>
                    <w:pStyle w:val="BodyText"/>
                    <w:rPr>
                      <w:i/>
                    </w:rPr>
                  </w:pPr>
                </w:p>
                <w:p>
                  <w:pPr>
                    <w:pStyle w:val="BodyText"/>
                    <w:spacing w:before="9"/>
                    <w:rPr>
                      <w:i/>
                      <w:sz w:val="17"/>
                    </w:rPr>
                  </w:pPr>
                </w:p>
                <w:p>
                  <w:pPr>
                    <w:pStyle w:val="BodyText"/>
                    <w:ind w:left="34"/>
                  </w:pPr>
                  <w:r>
                    <w:rPr/>
                    <w:t>Date</w:t>
                  </w:r>
                </w:p>
              </w:txbxContent>
            </v:textbox>
            <w10:wrap type="none"/>
          </v:shape>
        </w:pict>
      </w:r>
      <w:r>
        <w:rPr>
          <w:sz w:val="18"/>
        </w:rPr>
        <w:t>Signed in accordance with subsection 60.15(2) of the </w:t>
      </w:r>
      <w:r>
        <w:rPr>
          <w:i/>
          <w:sz w:val="18"/>
        </w:rPr>
        <w:t>Australian Charities and Not-for-profits Commission Regulation 2013.</w:t>
      </w:r>
    </w:p>
    <w:p>
      <w:pPr>
        <w:pStyle w:val="BodyText"/>
        <w:ind w:left="113"/>
        <w:rPr>
          <w:sz w:val="20"/>
        </w:rPr>
      </w:pPr>
      <w:r>
        <w:rPr>
          <w:sz w:val="20"/>
        </w:rPr>
        <w:drawing>
          <wp:inline distT="0" distB="0" distL="0" distR="0">
            <wp:extent cx="6251837" cy="1237583"/>
            <wp:effectExtent l="0" t="0" r="0" b="0"/>
            <wp:docPr id="19" name="image13.jpeg" descr=""/>
            <wp:cNvGraphicFramePr>
              <a:graphicFrameLocks noChangeAspect="1"/>
            </wp:cNvGraphicFramePr>
            <a:graphic>
              <a:graphicData uri="http://schemas.openxmlformats.org/drawingml/2006/picture">
                <pic:pic>
                  <pic:nvPicPr>
                    <pic:cNvPr id="20" name="image13.jpeg"/>
                    <pic:cNvPicPr/>
                  </pic:nvPicPr>
                  <pic:blipFill>
                    <a:blip r:embed="rId46" cstate="print"/>
                    <a:stretch>
                      <a:fillRect/>
                    </a:stretch>
                  </pic:blipFill>
                  <pic:spPr>
                    <a:xfrm>
                      <a:off x="0" y="0"/>
                      <a:ext cx="6251837" cy="1237583"/>
                    </a:xfrm>
                    <a:prstGeom prst="rect">
                      <a:avLst/>
                    </a:prstGeom>
                  </pic:spPr>
                </pic:pic>
              </a:graphicData>
            </a:graphic>
          </wp:inline>
        </w:drawing>
      </w:r>
      <w:r>
        <w:rPr>
          <w:sz w:val="20"/>
        </w:rPr>
      </w:r>
    </w:p>
    <w:p>
      <w:pPr>
        <w:spacing w:after="0"/>
        <w:rPr>
          <w:sz w:val="20"/>
        </w:rPr>
        <w:sectPr>
          <w:pgSz w:w="11910" w:h="16840"/>
          <w:pgMar w:header="1038" w:footer="507" w:top="1720" w:bottom="700" w:left="860" w:right="920"/>
        </w:sectPr>
      </w:pPr>
    </w:p>
    <w:p>
      <w:pPr>
        <w:pStyle w:val="BodyText"/>
        <w:ind w:left="4970"/>
        <w:rPr>
          <w:sz w:val="20"/>
        </w:rPr>
      </w:pPr>
      <w:r>
        <w:rPr>
          <w:sz w:val="20"/>
        </w:rPr>
        <w:drawing>
          <wp:inline distT="0" distB="0" distL="0" distR="0">
            <wp:extent cx="999744" cy="1060703"/>
            <wp:effectExtent l="0" t="0" r="0" b="0"/>
            <wp:docPr id="21" name="image14.jpeg" descr=""/>
            <wp:cNvGraphicFramePr>
              <a:graphicFrameLocks noChangeAspect="1"/>
            </wp:cNvGraphicFramePr>
            <a:graphic>
              <a:graphicData uri="http://schemas.openxmlformats.org/drawingml/2006/picture">
                <pic:pic>
                  <pic:nvPicPr>
                    <pic:cNvPr id="22" name="image14.jpeg"/>
                    <pic:cNvPicPr/>
                  </pic:nvPicPr>
                  <pic:blipFill>
                    <a:blip r:embed="rId49" cstate="print"/>
                    <a:stretch>
                      <a:fillRect/>
                    </a:stretch>
                  </pic:blipFill>
                  <pic:spPr>
                    <a:xfrm>
                      <a:off x="0" y="0"/>
                      <a:ext cx="999744" cy="1060703"/>
                    </a:xfrm>
                    <a:prstGeom prst="rect">
                      <a:avLst/>
                    </a:prstGeom>
                  </pic:spPr>
                </pic:pic>
              </a:graphicData>
            </a:graphic>
          </wp:inline>
        </w:drawing>
      </w:r>
      <w:r>
        <w:rPr>
          <w:sz w:val="20"/>
        </w:rPr>
      </w:r>
    </w:p>
    <w:p>
      <w:pPr>
        <w:pStyle w:val="BodyText"/>
        <w:rPr>
          <w:i/>
          <w:sz w:val="20"/>
        </w:rPr>
      </w:pPr>
    </w:p>
    <w:p>
      <w:pPr>
        <w:pStyle w:val="BodyText"/>
        <w:rPr>
          <w:i/>
          <w:sz w:val="20"/>
        </w:rPr>
      </w:pPr>
    </w:p>
    <w:p>
      <w:pPr>
        <w:pStyle w:val="BodyText"/>
        <w:spacing w:before="8"/>
        <w:rPr>
          <w:i/>
          <w:sz w:val="28"/>
        </w:rPr>
      </w:pPr>
    </w:p>
    <w:p>
      <w:pPr>
        <w:pStyle w:val="Heading8"/>
        <w:spacing w:before="76"/>
        <w:ind w:left="1235" w:right="5447"/>
      </w:pPr>
      <w:r>
        <w:rPr>
          <w:color w:val="3D3D3D"/>
          <w:w w:val="105"/>
        </w:rPr>
        <w:t>To the Directors</w:t>
      </w:r>
    </w:p>
    <w:p>
      <w:pPr>
        <w:pStyle w:val="BodyText"/>
        <w:spacing w:before="10"/>
        <w:rPr>
          <w:sz w:val="16"/>
        </w:rPr>
      </w:pPr>
    </w:p>
    <w:p>
      <w:pPr>
        <w:spacing w:line="453" w:lineRule="auto" w:before="0"/>
        <w:ind w:left="1245" w:right="5447" w:hanging="10"/>
        <w:jc w:val="left"/>
        <w:rPr>
          <w:sz w:val="19"/>
        </w:rPr>
      </w:pPr>
      <w:r>
        <w:rPr/>
        <w:pict>
          <v:line style="position:absolute;mso-position-horizontal-relative:page;mso-position-vertical-relative:paragraph;z-index:2248" from="590.201599pt,192.663578pt" to="590.201599pt,.754778pt" stroked="true" strokeweight="1.919355pt" strokecolor="#d8d8d8">
            <w10:wrap type="none"/>
          </v:line>
        </w:pict>
      </w:r>
      <w:r>
        <w:rPr>
          <w:color w:val="3D3D3D"/>
          <w:w w:val="105"/>
          <w:sz w:val="19"/>
        </w:rPr>
        <w:t>Western Sydney </w:t>
      </w:r>
      <w:r>
        <w:rPr>
          <w:color w:val="2D2D2D"/>
          <w:w w:val="105"/>
          <w:sz w:val="19"/>
        </w:rPr>
        <w:t>Un</w:t>
      </w:r>
      <w:r>
        <w:rPr>
          <w:color w:val="505050"/>
          <w:w w:val="105"/>
          <w:sz w:val="19"/>
        </w:rPr>
        <w:t>ive</w:t>
      </w:r>
      <w:r>
        <w:rPr>
          <w:color w:val="1A1A1A"/>
          <w:w w:val="105"/>
          <w:sz w:val="19"/>
        </w:rPr>
        <w:t>r</w:t>
      </w:r>
      <w:r>
        <w:rPr>
          <w:color w:val="3D3D3D"/>
          <w:w w:val="105"/>
          <w:sz w:val="19"/>
        </w:rPr>
        <w:t>sity Enterpr</w:t>
      </w:r>
      <w:r>
        <w:rPr>
          <w:color w:val="1A1A1A"/>
          <w:w w:val="105"/>
          <w:sz w:val="19"/>
        </w:rPr>
        <w:t>ise</w:t>
      </w:r>
      <w:r>
        <w:rPr>
          <w:color w:val="3D3D3D"/>
          <w:w w:val="105"/>
          <w:sz w:val="19"/>
        </w:rPr>
        <w:t>s </w:t>
      </w:r>
      <w:r>
        <w:rPr>
          <w:color w:val="2D2D2D"/>
          <w:w w:val="105"/>
          <w:sz w:val="19"/>
        </w:rPr>
        <w:t>Pty </w:t>
      </w:r>
      <w:r>
        <w:rPr>
          <w:color w:val="3D3D3D"/>
          <w:w w:val="105"/>
          <w:sz w:val="19"/>
        </w:rPr>
        <w:t>Limited (trad</w:t>
      </w:r>
      <w:r>
        <w:rPr>
          <w:color w:val="080808"/>
          <w:w w:val="105"/>
          <w:sz w:val="19"/>
        </w:rPr>
        <w:t>i</w:t>
      </w:r>
      <w:r>
        <w:rPr>
          <w:color w:val="2D2D2D"/>
          <w:w w:val="105"/>
          <w:sz w:val="19"/>
        </w:rPr>
        <w:t>ng </w:t>
      </w:r>
      <w:r>
        <w:rPr>
          <w:color w:val="3D3D3D"/>
          <w:w w:val="105"/>
          <w:sz w:val="19"/>
        </w:rPr>
        <w:t>as Western Sydney </w:t>
      </w:r>
      <w:r>
        <w:rPr>
          <w:color w:val="2D2D2D"/>
          <w:w w:val="105"/>
          <w:sz w:val="19"/>
        </w:rPr>
        <w:t>University </w:t>
      </w:r>
      <w:r>
        <w:rPr>
          <w:color w:val="3D3D3D"/>
          <w:w w:val="105"/>
          <w:sz w:val="19"/>
        </w:rPr>
        <w:t>The Col</w:t>
      </w:r>
      <w:r>
        <w:rPr>
          <w:color w:val="1A1A1A"/>
          <w:w w:val="105"/>
          <w:sz w:val="19"/>
        </w:rPr>
        <w:t>l</w:t>
      </w:r>
      <w:r>
        <w:rPr>
          <w:color w:val="3D3D3D"/>
          <w:w w:val="105"/>
          <w:sz w:val="19"/>
        </w:rPr>
        <w:t>ege)</w:t>
      </w:r>
    </w:p>
    <w:p>
      <w:pPr>
        <w:pStyle w:val="BodyText"/>
      </w:pPr>
    </w:p>
    <w:p>
      <w:pPr>
        <w:pStyle w:val="BodyText"/>
        <w:spacing w:before="8"/>
        <w:rPr>
          <w:sz w:val="16"/>
        </w:rPr>
      </w:pPr>
    </w:p>
    <w:p>
      <w:pPr>
        <w:spacing w:before="0"/>
        <w:ind w:left="3701" w:right="1689" w:firstLine="0"/>
        <w:jc w:val="left"/>
        <w:rPr>
          <w:b/>
          <w:sz w:val="23"/>
        </w:rPr>
      </w:pPr>
      <w:r>
        <w:rPr>
          <w:b/>
          <w:color w:val="080808"/>
          <w:w w:val="105"/>
          <w:sz w:val="23"/>
        </w:rPr>
        <w:t>Auditor</w:t>
      </w:r>
      <w:r>
        <w:rPr>
          <w:b/>
          <w:color w:val="080808"/>
          <w:spacing w:val="-53"/>
          <w:w w:val="105"/>
          <w:sz w:val="23"/>
        </w:rPr>
        <w:t> </w:t>
      </w:r>
      <w:r>
        <w:rPr>
          <w:b/>
          <w:color w:val="2D2D2D"/>
          <w:w w:val="105"/>
          <w:sz w:val="23"/>
        </w:rPr>
        <w:t>'s </w:t>
      </w:r>
      <w:r>
        <w:rPr>
          <w:b/>
          <w:color w:val="1A1A1A"/>
          <w:w w:val="105"/>
          <w:sz w:val="23"/>
        </w:rPr>
        <w:t>Independence </w:t>
      </w:r>
      <w:r>
        <w:rPr>
          <w:b/>
          <w:color w:val="080808"/>
          <w:w w:val="105"/>
          <w:sz w:val="23"/>
        </w:rPr>
        <w:t>Declaration</w:t>
      </w:r>
    </w:p>
    <w:p>
      <w:pPr>
        <w:pStyle w:val="BodyText"/>
        <w:rPr>
          <w:b/>
          <w:sz w:val="22"/>
        </w:rPr>
      </w:pPr>
    </w:p>
    <w:p>
      <w:pPr>
        <w:pStyle w:val="BodyText"/>
        <w:rPr>
          <w:b/>
          <w:sz w:val="30"/>
        </w:rPr>
      </w:pPr>
    </w:p>
    <w:p>
      <w:pPr>
        <w:spacing w:line="264" w:lineRule="auto" w:before="0"/>
        <w:ind w:left="1235" w:right="1689" w:firstLine="0"/>
        <w:jc w:val="left"/>
        <w:rPr>
          <w:sz w:val="19"/>
        </w:rPr>
      </w:pPr>
      <w:r>
        <w:rPr>
          <w:color w:val="3D3D3D"/>
          <w:w w:val="105"/>
          <w:sz w:val="19"/>
        </w:rPr>
        <w:t>As auditor for </w:t>
      </w:r>
      <w:r>
        <w:rPr>
          <w:color w:val="2D2D2D"/>
          <w:w w:val="105"/>
          <w:sz w:val="19"/>
        </w:rPr>
        <w:t>the </w:t>
      </w:r>
      <w:r>
        <w:rPr>
          <w:color w:val="3D3D3D"/>
          <w:w w:val="105"/>
          <w:sz w:val="19"/>
        </w:rPr>
        <w:t>audit </w:t>
      </w:r>
      <w:r>
        <w:rPr>
          <w:color w:val="2D2D2D"/>
          <w:w w:val="105"/>
          <w:sz w:val="19"/>
        </w:rPr>
        <w:t>of the </w:t>
      </w:r>
      <w:r>
        <w:rPr>
          <w:color w:val="3D3D3D"/>
          <w:w w:val="105"/>
          <w:sz w:val="19"/>
        </w:rPr>
        <w:t>financia</w:t>
      </w:r>
      <w:r>
        <w:rPr>
          <w:color w:val="080808"/>
          <w:w w:val="105"/>
          <w:sz w:val="19"/>
        </w:rPr>
        <w:t>l </w:t>
      </w:r>
      <w:r>
        <w:rPr>
          <w:color w:val="3D3D3D"/>
          <w:w w:val="105"/>
          <w:sz w:val="19"/>
        </w:rPr>
        <w:t>statements of Western Sydney </w:t>
      </w:r>
      <w:r>
        <w:rPr>
          <w:color w:val="2D2D2D"/>
          <w:w w:val="105"/>
          <w:sz w:val="19"/>
        </w:rPr>
        <w:t>Univers</w:t>
      </w:r>
      <w:r>
        <w:rPr>
          <w:color w:val="505050"/>
          <w:w w:val="105"/>
          <w:sz w:val="19"/>
        </w:rPr>
        <w:t>ity </w:t>
      </w:r>
      <w:r>
        <w:rPr>
          <w:color w:val="3D3D3D"/>
          <w:w w:val="105"/>
          <w:sz w:val="19"/>
        </w:rPr>
        <w:t>Enterp</w:t>
      </w:r>
      <w:r>
        <w:rPr>
          <w:color w:val="1A1A1A"/>
          <w:w w:val="105"/>
          <w:sz w:val="19"/>
        </w:rPr>
        <w:t>ri</w:t>
      </w:r>
      <w:r>
        <w:rPr>
          <w:color w:val="3D3D3D"/>
          <w:w w:val="105"/>
          <w:sz w:val="19"/>
        </w:rPr>
        <w:t>ses </w:t>
      </w:r>
      <w:r>
        <w:rPr>
          <w:color w:val="2D2D2D"/>
          <w:w w:val="105"/>
          <w:sz w:val="19"/>
        </w:rPr>
        <w:t>Pty </w:t>
      </w:r>
      <w:r>
        <w:rPr>
          <w:color w:val="3D3D3D"/>
          <w:w w:val="105"/>
          <w:sz w:val="19"/>
        </w:rPr>
        <w:t>Limited </w:t>
      </w:r>
      <w:r>
        <w:rPr>
          <w:color w:val="505050"/>
          <w:w w:val="105"/>
          <w:sz w:val="19"/>
        </w:rPr>
        <w:t>(</w:t>
      </w:r>
      <w:r>
        <w:rPr>
          <w:color w:val="2D2D2D"/>
          <w:w w:val="105"/>
          <w:sz w:val="19"/>
        </w:rPr>
        <w:t>trad</w:t>
      </w:r>
      <w:r>
        <w:rPr>
          <w:color w:val="505050"/>
          <w:w w:val="105"/>
          <w:sz w:val="19"/>
        </w:rPr>
        <w:t>ing </w:t>
      </w:r>
      <w:r>
        <w:rPr>
          <w:color w:val="3D3D3D"/>
          <w:w w:val="105"/>
          <w:sz w:val="19"/>
        </w:rPr>
        <w:t>as Western </w:t>
      </w:r>
      <w:r>
        <w:rPr>
          <w:color w:val="2D2D2D"/>
          <w:w w:val="105"/>
          <w:sz w:val="19"/>
        </w:rPr>
        <w:t>Sydney Un</w:t>
      </w:r>
      <w:r>
        <w:rPr>
          <w:color w:val="505050"/>
          <w:w w:val="105"/>
          <w:sz w:val="19"/>
        </w:rPr>
        <w:t>iversity </w:t>
      </w:r>
      <w:r>
        <w:rPr>
          <w:color w:val="2D2D2D"/>
          <w:w w:val="105"/>
          <w:sz w:val="19"/>
        </w:rPr>
        <w:t>The </w:t>
      </w:r>
      <w:r>
        <w:rPr>
          <w:color w:val="3D3D3D"/>
          <w:w w:val="105"/>
          <w:sz w:val="19"/>
        </w:rPr>
        <w:t>College) for the year ended 3</w:t>
      </w:r>
      <w:r>
        <w:rPr>
          <w:color w:val="1A1A1A"/>
          <w:w w:val="105"/>
          <w:sz w:val="19"/>
        </w:rPr>
        <w:t>1 </w:t>
      </w:r>
      <w:r>
        <w:rPr>
          <w:color w:val="3D3D3D"/>
          <w:w w:val="105"/>
          <w:sz w:val="19"/>
        </w:rPr>
        <w:t>December 2017</w:t>
      </w:r>
      <w:r>
        <w:rPr>
          <w:color w:val="747474"/>
          <w:w w:val="105"/>
          <w:sz w:val="19"/>
        </w:rPr>
        <w:t>, </w:t>
      </w:r>
      <w:r>
        <w:rPr>
          <w:color w:val="3D3D3D"/>
          <w:w w:val="130"/>
          <w:sz w:val="19"/>
        </w:rPr>
        <w:t>I </w:t>
      </w:r>
      <w:r>
        <w:rPr>
          <w:color w:val="3D3D3D"/>
          <w:w w:val="105"/>
          <w:sz w:val="19"/>
        </w:rPr>
        <w:t>declare</w:t>
      </w:r>
      <w:r>
        <w:rPr>
          <w:color w:val="606060"/>
          <w:w w:val="105"/>
          <w:sz w:val="19"/>
        </w:rPr>
        <w:t>, </w:t>
      </w:r>
      <w:r>
        <w:rPr>
          <w:color w:val="3D3D3D"/>
          <w:w w:val="105"/>
          <w:sz w:val="19"/>
        </w:rPr>
        <w:t>to the best of my knowledge and belief, there have been no contravent </w:t>
      </w:r>
      <w:r>
        <w:rPr>
          <w:color w:val="1A1A1A"/>
          <w:w w:val="105"/>
          <w:sz w:val="19"/>
        </w:rPr>
        <w:t>io</w:t>
      </w:r>
      <w:r>
        <w:rPr>
          <w:color w:val="3D3D3D"/>
          <w:w w:val="105"/>
          <w:sz w:val="19"/>
        </w:rPr>
        <w:t>ns of</w:t>
      </w:r>
      <w:r>
        <w:rPr>
          <w:color w:val="606060"/>
          <w:w w:val="105"/>
          <w:sz w:val="19"/>
        </w:rPr>
        <w:t>:</w:t>
      </w:r>
    </w:p>
    <w:p>
      <w:pPr>
        <w:pStyle w:val="BodyText"/>
        <w:rPr>
          <w:sz w:val="15"/>
        </w:rPr>
      </w:pPr>
    </w:p>
    <w:p>
      <w:pPr>
        <w:spacing w:line="338" w:lineRule="auto" w:before="0"/>
        <w:ind w:left="1801" w:right="2008" w:firstLine="0"/>
        <w:jc w:val="left"/>
        <w:rPr>
          <w:sz w:val="19"/>
        </w:rPr>
      </w:pPr>
      <w:r>
        <w:rPr>
          <w:color w:val="2D2D2D"/>
          <w:w w:val="110"/>
          <w:sz w:val="19"/>
        </w:rPr>
        <w:t>the</w:t>
      </w:r>
      <w:r>
        <w:rPr>
          <w:color w:val="2D2D2D"/>
          <w:spacing w:val="-30"/>
          <w:w w:val="110"/>
          <w:sz w:val="19"/>
        </w:rPr>
        <w:t> </w:t>
      </w:r>
      <w:r>
        <w:rPr>
          <w:color w:val="3D3D3D"/>
          <w:w w:val="110"/>
          <w:sz w:val="19"/>
        </w:rPr>
        <w:t>auditor</w:t>
      </w:r>
      <w:r>
        <w:rPr>
          <w:color w:val="3D3D3D"/>
          <w:spacing w:val="-24"/>
          <w:w w:val="110"/>
          <w:sz w:val="19"/>
        </w:rPr>
        <w:t> </w:t>
      </w:r>
      <w:r>
        <w:rPr>
          <w:color w:val="3D3D3D"/>
          <w:w w:val="110"/>
          <w:sz w:val="19"/>
        </w:rPr>
        <w:t>independence</w:t>
      </w:r>
      <w:r>
        <w:rPr>
          <w:color w:val="3D3D3D"/>
          <w:spacing w:val="-20"/>
          <w:w w:val="110"/>
          <w:sz w:val="19"/>
        </w:rPr>
        <w:t> </w:t>
      </w:r>
      <w:r>
        <w:rPr>
          <w:color w:val="2D2D2D"/>
          <w:w w:val="110"/>
          <w:sz w:val="19"/>
        </w:rPr>
        <w:t>requirements</w:t>
      </w:r>
      <w:r>
        <w:rPr>
          <w:color w:val="2D2D2D"/>
          <w:spacing w:val="-28"/>
          <w:w w:val="110"/>
          <w:sz w:val="19"/>
        </w:rPr>
        <w:t> </w:t>
      </w:r>
      <w:r>
        <w:rPr>
          <w:color w:val="3D3D3D"/>
          <w:w w:val="110"/>
          <w:sz w:val="19"/>
        </w:rPr>
        <w:t>of</w:t>
      </w:r>
      <w:r>
        <w:rPr>
          <w:color w:val="3D3D3D"/>
          <w:spacing w:val="-30"/>
          <w:w w:val="110"/>
          <w:sz w:val="19"/>
        </w:rPr>
        <w:t> </w:t>
      </w:r>
      <w:r>
        <w:rPr>
          <w:color w:val="3D3D3D"/>
          <w:w w:val="110"/>
          <w:sz w:val="19"/>
        </w:rPr>
        <w:t>the</w:t>
      </w:r>
      <w:r>
        <w:rPr>
          <w:color w:val="3D3D3D"/>
          <w:spacing w:val="-25"/>
          <w:w w:val="110"/>
          <w:sz w:val="19"/>
        </w:rPr>
        <w:t> </w:t>
      </w:r>
      <w:r>
        <w:rPr>
          <w:i/>
          <w:color w:val="3D3D3D"/>
          <w:w w:val="110"/>
          <w:sz w:val="19"/>
        </w:rPr>
        <w:t>Corporations</w:t>
      </w:r>
      <w:r>
        <w:rPr>
          <w:i/>
          <w:color w:val="3D3D3D"/>
          <w:spacing w:val="-26"/>
          <w:w w:val="110"/>
          <w:sz w:val="19"/>
        </w:rPr>
        <w:t> </w:t>
      </w:r>
      <w:r>
        <w:rPr>
          <w:i/>
          <w:color w:val="3D3D3D"/>
          <w:w w:val="110"/>
          <w:sz w:val="19"/>
        </w:rPr>
        <w:t>Act</w:t>
      </w:r>
      <w:r>
        <w:rPr>
          <w:i/>
          <w:color w:val="3D3D3D"/>
          <w:spacing w:val="-22"/>
          <w:w w:val="110"/>
          <w:sz w:val="19"/>
        </w:rPr>
        <w:t> </w:t>
      </w:r>
      <w:r>
        <w:rPr>
          <w:i/>
          <w:color w:val="3D3D3D"/>
          <w:w w:val="110"/>
          <w:sz w:val="19"/>
        </w:rPr>
        <w:t>2001</w:t>
      </w:r>
      <w:r>
        <w:rPr>
          <w:i/>
          <w:color w:val="3D3D3D"/>
          <w:spacing w:val="-20"/>
          <w:w w:val="110"/>
          <w:sz w:val="19"/>
        </w:rPr>
        <w:t> </w:t>
      </w:r>
      <w:r>
        <w:rPr>
          <w:color w:val="2D2D2D"/>
          <w:spacing w:val="-17"/>
          <w:w w:val="110"/>
          <w:sz w:val="19"/>
        </w:rPr>
        <w:t>in</w:t>
      </w:r>
      <w:r>
        <w:rPr>
          <w:color w:val="2D2D2D"/>
          <w:spacing w:val="-30"/>
          <w:w w:val="110"/>
          <w:sz w:val="19"/>
        </w:rPr>
        <w:t> </w:t>
      </w:r>
      <w:r>
        <w:rPr>
          <w:color w:val="2D2D2D"/>
          <w:spacing w:val="-3"/>
          <w:w w:val="110"/>
          <w:sz w:val="19"/>
        </w:rPr>
        <w:t>re</w:t>
      </w:r>
      <w:r>
        <w:rPr>
          <w:color w:val="505050"/>
          <w:spacing w:val="-3"/>
          <w:w w:val="110"/>
          <w:sz w:val="19"/>
        </w:rPr>
        <w:t>lation</w:t>
      </w:r>
      <w:r>
        <w:rPr>
          <w:color w:val="505050"/>
          <w:spacing w:val="-31"/>
          <w:w w:val="110"/>
          <w:sz w:val="19"/>
        </w:rPr>
        <w:t> </w:t>
      </w:r>
      <w:r>
        <w:rPr>
          <w:color w:val="2D2D2D"/>
          <w:w w:val="110"/>
          <w:sz w:val="19"/>
        </w:rPr>
        <w:t>to</w:t>
      </w:r>
      <w:r>
        <w:rPr>
          <w:color w:val="2D2D2D"/>
          <w:spacing w:val="-26"/>
          <w:w w:val="110"/>
          <w:sz w:val="19"/>
        </w:rPr>
        <w:t> </w:t>
      </w:r>
      <w:r>
        <w:rPr>
          <w:color w:val="1A1A1A"/>
          <w:w w:val="110"/>
          <w:sz w:val="19"/>
        </w:rPr>
        <w:t>t</w:t>
      </w:r>
      <w:r>
        <w:rPr>
          <w:color w:val="3D3D3D"/>
          <w:w w:val="110"/>
          <w:sz w:val="19"/>
        </w:rPr>
        <w:t>he</w:t>
      </w:r>
      <w:r>
        <w:rPr>
          <w:color w:val="3D3D3D"/>
          <w:spacing w:val="-32"/>
          <w:w w:val="110"/>
          <w:sz w:val="19"/>
        </w:rPr>
        <w:t> </w:t>
      </w:r>
      <w:r>
        <w:rPr>
          <w:color w:val="3D3D3D"/>
          <w:w w:val="110"/>
          <w:sz w:val="19"/>
        </w:rPr>
        <w:t>audi</w:t>
      </w:r>
      <w:r>
        <w:rPr>
          <w:color w:val="1A1A1A"/>
          <w:w w:val="110"/>
          <w:sz w:val="19"/>
        </w:rPr>
        <w:t>t </w:t>
      </w:r>
      <w:r>
        <w:rPr>
          <w:color w:val="3D3D3D"/>
          <w:w w:val="110"/>
          <w:sz w:val="19"/>
        </w:rPr>
        <w:t>any</w:t>
      </w:r>
      <w:r>
        <w:rPr>
          <w:color w:val="3D3D3D"/>
          <w:spacing w:val="-25"/>
          <w:w w:val="110"/>
          <w:sz w:val="19"/>
        </w:rPr>
        <w:t> </w:t>
      </w:r>
      <w:r>
        <w:rPr>
          <w:color w:val="3D3D3D"/>
          <w:w w:val="110"/>
          <w:sz w:val="19"/>
        </w:rPr>
        <w:t>appl</w:t>
      </w:r>
      <w:r>
        <w:rPr>
          <w:color w:val="1A1A1A"/>
          <w:w w:val="110"/>
          <w:sz w:val="19"/>
        </w:rPr>
        <w:t>i</w:t>
      </w:r>
      <w:r>
        <w:rPr>
          <w:color w:val="3D3D3D"/>
          <w:w w:val="110"/>
          <w:sz w:val="19"/>
        </w:rPr>
        <w:t>cab</w:t>
      </w:r>
      <w:r>
        <w:rPr>
          <w:color w:val="1A1A1A"/>
          <w:w w:val="110"/>
          <w:sz w:val="19"/>
        </w:rPr>
        <w:t>l</w:t>
      </w:r>
      <w:r>
        <w:rPr>
          <w:color w:val="3D3D3D"/>
          <w:w w:val="110"/>
          <w:sz w:val="19"/>
        </w:rPr>
        <w:t>e</w:t>
      </w:r>
      <w:r>
        <w:rPr>
          <w:color w:val="3D3D3D"/>
          <w:spacing w:val="-26"/>
          <w:w w:val="110"/>
          <w:sz w:val="19"/>
        </w:rPr>
        <w:t> </w:t>
      </w:r>
      <w:r>
        <w:rPr>
          <w:color w:val="3D3D3D"/>
          <w:w w:val="110"/>
          <w:sz w:val="19"/>
        </w:rPr>
        <w:t>code</w:t>
      </w:r>
      <w:r>
        <w:rPr>
          <w:color w:val="3D3D3D"/>
          <w:spacing w:val="-29"/>
          <w:w w:val="110"/>
          <w:sz w:val="19"/>
        </w:rPr>
        <w:t> </w:t>
      </w:r>
      <w:r>
        <w:rPr>
          <w:color w:val="3D3D3D"/>
          <w:w w:val="110"/>
          <w:sz w:val="19"/>
        </w:rPr>
        <w:t>of</w:t>
      </w:r>
      <w:r>
        <w:rPr>
          <w:color w:val="3D3D3D"/>
          <w:spacing w:val="-21"/>
          <w:w w:val="110"/>
          <w:sz w:val="19"/>
        </w:rPr>
        <w:t> </w:t>
      </w:r>
      <w:r>
        <w:rPr>
          <w:color w:val="3D3D3D"/>
          <w:w w:val="110"/>
          <w:sz w:val="19"/>
        </w:rPr>
        <w:t>professional</w:t>
      </w:r>
      <w:r>
        <w:rPr>
          <w:color w:val="3D3D3D"/>
          <w:spacing w:val="-24"/>
          <w:w w:val="110"/>
          <w:sz w:val="19"/>
        </w:rPr>
        <w:t> </w:t>
      </w:r>
      <w:r>
        <w:rPr>
          <w:color w:val="3D3D3D"/>
          <w:w w:val="110"/>
          <w:sz w:val="19"/>
        </w:rPr>
        <w:t>conduct</w:t>
      </w:r>
      <w:r>
        <w:rPr>
          <w:color w:val="3D3D3D"/>
          <w:spacing w:val="-22"/>
          <w:w w:val="110"/>
          <w:sz w:val="19"/>
        </w:rPr>
        <w:t> </w:t>
      </w:r>
      <w:r>
        <w:rPr>
          <w:color w:val="3D3D3D"/>
          <w:spacing w:val="-12"/>
          <w:w w:val="110"/>
          <w:sz w:val="19"/>
        </w:rPr>
        <w:t>in</w:t>
      </w:r>
      <w:r>
        <w:rPr>
          <w:color w:val="3D3D3D"/>
          <w:spacing w:val="-27"/>
          <w:w w:val="110"/>
          <w:sz w:val="19"/>
        </w:rPr>
        <w:t> </w:t>
      </w:r>
      <w:r>
        <w:rPr>
          <w:color w:val="3D3D3D"/>
          <w:spacing w:val="-6"/>
          <w:w w:val="110"/>
          <w:sz w:val="19"/>
        </w:rPr>
        <w:t>relat</w:t>
      </w:r>
      <w:r>
        <w:rPr>
          <w:color w:val="1A1A1A"/>
          <w:spacing w:val="-6"/>
          <w:w w:val="110"/>
          <w:sz w:val="19"/>
        </w:rPr>
        <w:t>i</w:t>
      </w:r>
      <w:r>
        <w:rPr>
          <w:color w:val="3D3D3D"/>
          <w:spacing w:val="-6"/>
          <w:w w:val="110"/>
          <w:sz w:val="19"/>
        </w:rPr>
        <w:t>on</w:t>
      </w:r>
      <w:r>
        <w:rPr>
          <w:color w:val="3D3D3D"/>
          <w:spacing w:val="-28"/>
          <w:w w:val="110"/>
          <w:sz w:val="19"/>
        </w:rPr>
        <w:t> </w:t>
      </w:r>
      <w:r>
        <w:rPr>
          <w:color w:val="2D2D2D"/>
          <w:w w:val="110"/>
          <w:sz w:val="19"/>
        </w:rPr>
        <w:t>to</w:t>
      </w:r>
      <w:r>
        <w:rPr>
          <w:color w:val="2D2D2D"/>
          <w:spacing w:val="-22"/>
          <w:w w:val="110"/>
          <w:sz w:val="19"/>
        </w:rPr>
        <w:t> </w:t>
      </w:r>
      <w:r>
        <w:rPr>
          <w:color w:val="3D3D3D"/>
          <w:w w:val="110"/>
          <w:sz w:val="19"/>
        </w:rPr>
        <w:t>the</w:t>
      </w:r>
      <w:r>
        <w:rPr>
          <w:color w:val="3D3D3D"/>
          <w:spacing w:val="-21"/>
          <w:w w:val="110"/>
          <w:sz w:val="19"/>
        </w:rPr>
        <w:t> </w:t>
      </w:r>
      <w:r>
        <w:rPr>
          <w:color w:val="3D3D3D"/>
          <w:w w:val="110"/>
          <w:sz w:val="19"/>
        </w:rPr>
        <w:t>audit.</w:t>
      </w:r>
    </w:p>
    <w:p>
      <w:pPr>
        <w:pStyle w:val="BodyText"/>
        <w:rPr>
          <w:sz w:val="20"/>
        </w:rPr>
      </w:pPr>
    </w:p>
    <w:p>
      <w:pPr>
        <w:pStyle w:val="BodyText"/>
        <w:rPr>
          <w:sz w:val="20"/>
        </w:rPr>
      </w:pPr>
    </w:p>
    <w:p>
      <w:pPr>
        <w:pStyle w:val="BodyText"/>
        <w:rPr>
          <w:sz w:val="20"/>
        </w:rPr>
      </w:pPr>
    </w:p>
    <w:p>
      <w:pPr>
        <w:pStyle w:val="BodyText"/>
        <w:spacing w:before="6"/>
        <w:rPr>
          <w:sz w:val="28"/>
        </w:rPr>
      </w:pPr>
      <w:r>
        <w:rPr/>
        <w:pict>
          <v:group style="position:absolute;margin-left:115.141098pt;margin-top:18.347689pt;width:86.5pt;height:12.5pt;mso-position-horizontal-relative:page;mso-position-vertical-relative:paragraph;z-index:2176;mso-wrap-distance-left:0;mso-wrap-distance-right:0" coordorigin="2303,367" coordsize="1730,250">
            <v:shape style="position:absolute;left:2803;top:367;width:1229;height:250" type="#_x0000_t75" stroked="false">
              <v:imagedata r:id="rId50" o:title=""/>
            </v:shape>
            <v:line style="position:absolute" from="2313,574" to="3042,574" stroked="true" strokeweight=".959677pt" strokecolor="#1f5bb3"/>
            <w10:wrap type="topAndBottom"/>
          </v:group>
        </w:pict>
      </w:r>
    </w:p>
    <w:p>
      <w:pPr>
        <w:pStyle w:val="BodyText"/>
        <w:rPr>
          <w:sz w:val="15"/>
        </w:rPr>
      </w:pPr>
    </w:p>
    <w:p>
      <w:pPr>
        <w:spacing w:line="264" w:lineRule="auto" w:before="0"/>
        <w:ind w:left="1235" w:right="8443" w:firstLine="9"/>
        <w:jc w:val="left"/>
        <w:rPr>
          <w:sz w:val="19"/>
        </w:rPr>
      </w:pPr>
      <w:r>
        <w:rPr>
          <w:color w:val="2D2D2D"/>
          <w:w w:val="105"/>
          <w:sz w:val="19"/>
        </w:rPr>
        <w:t>Margaret Crawford </w:t>
      </w:r>
      <w:r>
        <w:rPr>
          <w:color w:val="3D3D3D"/>
          <w:w w:val="105"/>
          <w:sz w:val="19"/>
        </w:rPr>
        <w:t>Audi</w:t>
      </w:r>
      <w:r>
        <w:rPr>
          <w:color w:val="1A1A1A"/>
          <w:w w:val="105"/>
          <w:sz w:val="19"/>
        </w:rPr>
        <w:t>t</w:t>
      </w:r>
      <w:r>
        <w:rPr>
          <w:color w:val="3D3D3D"/>
          <w:w w:val="105"/>
          <w:sz w:val="19"/>
        </w:rPr>
        <w:t>or-Genera</w:t>
      </w:r>
      <w:r>
        <w:rPr>
          <w:color w:val="080808"/>
          <w:w w:val="105"/>
          <w:sz w:val="19"/>
        </w:rPr>
        <w:t>l </w:t>
      </w:r>
      <w:r>
        <w:rPr>
          <w:color w:val="3D3D3D"/>
          <w:w w:val="105"/>
          <w:sz w:val="19"/>
        </w:rPr>
        <w:t>of </w:t>
      </w:r>
      <w:r>
        <w:rPr>
          <w:color w:val="2D2D2D"/>
          <w:w w:val="105"/>
          <w:sz w:val="19"/>
        </w:rPr>
        <w:t>NSW</w:t>
      </w:r>
    </w:p>
    <w:p>
      <w:pPr>
        <w:pStyle w:val="BodyText"/>
      </w:pPr>
    </w:p>
    <w:p>
      <w:pPr>
        <w:pStyle w:val="BodyText"/>
        <w:rPr>
          <w:sz w:val="24"/>
        </w:rPr>
      </w:pPr>
    </w:p>
    <w:p>
      <w:pPr>
        <w:spacing w:line="247" w:lineRule="auto" w:before="0"/>
        <w:ind w:left="1245" w:right="9254" w:firstLine="0"/>
        <w:jc w:val="left"/>
        <w:rPr>
          <w:sz w:val="19"/>
        </w:rPr>
      </w:pPr>
      <w:r>
        <w:rPr/>
        <w:drawing>
          <wp:anchor distT="0" distB="0" distL="0" distR="0" allowOverlap="1" layoutInCell="1" locked="0" behindDoc="0" simplePos="0" relativeHeight="2224">
            <wp:simplePos x="0" y="0"/>
            <wp:positionH relativeFrom="page">
              <wp:posOffset>7473695</wp:posOffset>
            </wp:positionH>
            <wp:positionV relativeFrom="paragraph">
              <wp:posOffset>345625</wp:posOffset>
            </wp:positionV>
            <wp:extent cx="48768" cy="646176"/>
            <wp:effectExtent l="0" t="0" r="0" b="0"/>
            <wp:wrapNone/>
            <wp:docPr id="23" name="image16.png" descr=""/>
            <wp:cNvGraphicFramePr>
              <a:graphicFrameLocks noChangeAspect="1"/>
            </wp:cNvGraphicFramePr>
            <a:graphic>
              <a:graphicData uri="http://schemas.openxmlformats.org/drawingml/2006/picture">
                <pic:pic>
                  <pic:nvPicPr>
                    <pic:cNvPr id="24" name="image16.png"/>
                    <pic:cNvPicPr/>
                  </pic:nvPicPr>
                  <pic:blipFill>
                    <a:blip r:embed="rId51" cstate="print"/>
                    <a:stretch>
                      <a:fillRect/>
                    </a:stretch>
                  </pic:blipFill>
                  <pic:spPr>
                    <a:xfrm>
                      <a:off x="0" y="0"/>
                      <a:ext cx="48768" cy="646176"/>
                    </a:xfrm>
                    <a:prstGeom prst="rect">
                      <a:avLst/>
                    </a:prstGeom>
                  </pic:spPr>
                </pic:pic>
              </a:graphicData>
            </a:graphic>
          </wp:anchor>
        </w:drawing>
      </w:r>
      <w:r>
        <w:rPr>
          <w:rFonts w:ascii="Times New Roman"/>
          <w:color w:val="2A2A8C"/>
          <w:sz w:val="29"/>
        </w:rPr>
        <w:t>l</w:t>
      </w:r>
      <w:r>
        <w:rPr>
          <w:rFonts w:ascii="Times New Roman"/>
          <w:color w:val="2A2A8C"/>
          <w:spacing w:val="-52"/>
          <w:sz w:val="29"/>
        </w:rPr>
        <w:t> </w:t>
      </w:r>
      <w:r>
        <w:rPr>
          <w:color w:val="2A2A8C"/>
          <w:sz w:val="19"/>
        </w:rPr>
        <w:t>&lt;:,</w:t>
      </w:r>
      <w:r>
        <w:rPr>
          <w:color w:val="2D2D2D"/>
          <w:sz w:val="19"/>
        </w:rPr>
        <w:t>March </w:t>
      </w:r>
      <w:r>
        <w:rPr>
          <w:color w:val="3D3D3D"/>
          <w:sz w:val="19"/>
        </w:rPr>
        <w:t>2018 SYDNEY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2"/>
        </w:rPr>
      </w:pPr>
      <w:r>
        <w:rPr/>
        <w:pict>
          <v:line style="position:absolute;mso-position-horizontal-relative:page;mso-position-vertical-relative:paragraph;z-index:2200;mso-wrap-distance-left:0;mso-wrap-distance-right:0" from="37.427422pt,9.779472pt" to="547.016102pt,9.779472pt" stroked="true" strokeweight=".959677pt" strokecolor="#838383">
            <w10:wrap type="topAndBottom"/>
          </v:line>
        </w:pict>
      </w:r>
    </w:p>
    <w:p>
      <w:pPr>
        <w:spacing w:before="104"/>
        <w:ind w:left="103" w:right="1689" w:firstLine="0"/>
        <w:jc w:val="left"/>
        <w:rPr>
          <w:sz w:val="13"/>
        </w:rPr>
      </w:pPr>
      <w:r>
        <w:rPr>
          <w:color w:val="3D3D3D"/>
          <w:spacing w:val="-702"/>
          <w:w w:val="600"/>
          <w:sz w:val="13"/>
        </w:rPr>
        <w:t>l</w:t>
      </w:r>
      <w:r>
        <w:rPr>
          <w:color w:val="606060"/>
          <w:spacing w:val="-12"/>
          <w:w w:val="121"/>
          <w:sz w:val="13"/>
        </w:rPr>
        <w:t>e</w:t>
      </w:r>
      <w:r>
        <w:rPr>
          <w:color w:val="3D3D3D"/>
          <w:spacing w:val="7"/>
          <w:w w:val="106"/>
          <w:sz w:val="13"/>
        </w:rPr>
        <w:t>v</w:t>
      </w:r>
      <w:r>
        <w:rPr>
          <w:color w:val="606060"/>
          <w:w w:val="105"/>
          <w:sz w:val="13"/>
        </w:rPr>
        <w:t>e</w:t>
      </w:r>
      <w:r>
        <w:rPr>
          <w:color w:val="3D3D3D"/>
          <w:w w:val="165"/>
          <w:sz w:val="13"/>
        </w:rPr>
        <w:t>l</w:t>
      </w:r>
      <w:r>
        <w:rPr>
          <w:color w:val="3D3D3D"/>
          <w:spacing w:val="-8"/>
          <w:sz w:val="13"/>
        </w:rPr>
        <w:t> </w:t>
      </w:r>
      <w:r>
        <w:rPr>
          <w:color w:val="3D3D3D"/>
          <w:w w:val="112"/>
          <w:sz w:val="13"/>
        </w:rPr>
        <w:t>1</w:t>
      </w:r>
      <w:r>
        <w:rPr>
          <w:color w:val="3D3D3D"/>
          <w:spacing w:val="-10"/>
          <w:w w:val="112"/>
          <w:sz w:val="13"/>
        </w:rPr>
        <w:t>5</w:t>
      </w:r>
      <w:r>
        <w:rPr>
          <w:color w:val="606060"/>
          <w:w w:val="136"/>
          <w:sz w:val="13"/>
        </w:rPr>
        <w:t>,</w:t>
      </w:r>
      <w:r>
        <w:rPr>
          <w:color w:val="606060"/>
          <w:spacing w:val="-9"/>
          <w:sz w:val="13"/>
        </w:rPr>
        <w:t> </w:t>
      </w:r>
      <w:r>
        <w:rPr>
          <w:color w:val="2D2D2D"/>
          <w:w w:val="109"/>
          <w:sz w:val="13"/>
        </w:rPr>
        <w:t>1</w:t>
      </w:r>
      <w:r>
        <w:rPr>
          <w:color w:val="2D2D2D"/>
          <w:spacing w:val="-11"/>
          <w:sz w:val="13"/>
        </w:rPr>
        <w:t> </w:t>
      </w:r>
      <w:r>
        <w:rPr>
          <w:color w:val="3D3D3D"/>
          <w:w w:val="113"/>
          <w:sz w:val="13"/>
        </w:rPr>
        <w:t>Ma</w:t>
      </w:r>
      <w:r>
        <w:rPr>
          <w:color w:val="3D3D3D"/>
          <w:spacing w:val="-6"/>
          <w:w w:val="113"/>
          <w:sz w:val="13"/>
        </w:rPr>
        <w:t>r</w:t>
      </w:r>
      <w:r>
        <w:rPr>
          <w:color w:val="606060"/>
          <w:w w:val="104"/>
          <w:sz w:val="13"/>
        </w:rPr>
        <w:t>gar</w:t>
      </w:r>
      <w:r>
        <w:rPr>
          <w:color w:val="606060"/>
          <w:spacing w:val="5"/>
          <w:w w:val="104"/>
          <w:sz w:val="13"/>
        </w:rPr>
        <w:t>e</w:t>
      </w:r>
      <w:r>
        <w:rPr>
          <w:color w:val="3D3D3D"/>
          <w:w w:val="143"/>
          <w:sz w:val="13"/>
        </w:rPr>
        <w:t>t</w:t>
      </w:r>
      <w:r>
        <w:rPr>
          <w:color w:val="3D3D3D"/>
          <w:spacing w:val="-12"/>
          <w:sz w:val="13"/>
        </w:rPr>
        <w:t> </w:t>
      </w:r>
      <w:r>
        <w:rPr>
          <w:color w:val="505050"/>
          <w:w w:val="110"/>
          <w:sz w:val="13"/>
        </w:rPr>
        <w:t>Stree</w:t>
      </w:r>
      <w:r>
        <w:rPr>
          <w:color w:val="505050"/>
          <w:spacing w:val="-1"/>
          <w:w w:val="110"/>
          <w:sz w:val="13"/>
        </w:rPr>
        <w:t>t</w:t>
      </w:r>
      <w:r>
        <w:rPr>
          <w:color w:val="828282"/>
          <w:w w:val="136"/>
          <w:sz w:val="13"/>
        </w:rPr>
        <w:t>,</w:t>
      </w:r>
      <w:r>
        <w:rPr>
          <w:color w:val="828282"/>
          <w:spacing w:val="-19"/>
          <w:sz w:val="13"/>
        </w:rPr>
        <w:t> </w:t>
      </w:r>
      <w:r>
        <w:rPr>
          <w:color w:val="3D3D3D"/>
          <w:w w:val="112"/>
          <w:sz w:val="13"/>
        </w:rPr>
        <w:t>Sy</w:t>
      </w:r>
      <w:r>
        <w:rPr>
          <w:color w:val="3D3D3D"/>
          <w:spacing w:val="-4"/>
          <w:w w:val="112"/>
          <w:sz w:val="13"/>
        </w:rPr>
        <w:t>d</w:t>
      </w:r>
      <w:r>
        <w:rPr>
          <w:color w:val="606060"/>
          <w:spacing w:val="-11"/>
          <w:w w:val="120"/>
          <w:sz w:val="13"/>
        </w:rPr>
        <w:t>n</w:t>
      </w:r>
      <w:r>
        <w:rPr>
          <w:color w:val="3D3D3D"/>
          <w:w w:val="107"/>
          <w:sz w:val="13"/>
        </w:rPr>
        <w:t>ey</w:t>
      </w:r>
      <w:r>
        <w:rPr>
          <w:color w:val="3D3D3D"/>
          <w:spacing w:val="-3"/>
          <w:sz w:val="13"/>
        </w:rPr>
        <w:t> </w:t>
      </w:r>
      <w:r>
        <w:rPr>
          <w:color w:val="3D3D3D"/>
          <w:w w:val="109"/>
          <w:sz w:val="13"/>
        </w:rPr>
        <w:t>NSW</w:t>
      </w:r>
      <w:r>
        <w:rPr>
          <w:color w:val="3D3D3D"/>
          <w:spacing w:val="-5"/>
          <w:sz w:val="13"/>
        </w:rPr>
        <w:t> </w:t>
      </w:r>
      <w:r>
        <w:rPr>
          <w:color w:val="3D3D3D"/>
          <w:w w:val="104"/>
          <w:sz w:val="13"/>
        </w:rPr>
        <w:t>2000</w:t>
      </w:r>
      <w:r>
        <w:rPr>
          <w:color w:val="3D3D3D"/>
          <w:sz w:val="13"/>
        </w:rPr>
        <w:t> </w:t>
      </w:r>
      <w:r>
        <w:rPr>
          <w:color w:val="3D3D3D"/>
          <w:spacing w:val="8"/>
          <w:sz w:val="13"/>
        </w:rPr>
        <w:t> </w:t>
      </w:r>
      <w:r>
        <w:rPr>
          <w:color w:val="606060"/>
          <w:w w:val="152"/>
          <w:sz w:val="13"/>
        </w:rPr>
        <w:t>I</w:t>
      </w:r>
      <w:r>
        <w:rPr>
          <w:color w:val="606060"/>
          <w:spacing w:val="14"/>
          <w:sz w:val="13"/>
        </w:rPr>
        <w:t> </w:t>
      </w:r>
      <w:r>
        <w:rPr>
          <w:color w:val="747474"/>
          <w:w w:val="101"/>
          <w:sz w:val="13"/>
        </w:rPr>
        <w:t>GPO</w:t>
      </w:r>
      <w:r>
        <w:rPr>
          <w:color w:val="747474"/>
          <w:spacing w:val="-5"/>
          <w:sz w:val="13"/>
        </w:rPr>
        <w:t> </w:t>
      </w:r>
      <w:r>
        <w:rPr>
          <w:color w:val="747474"/>
          <w:w w:val="110"/>
          <w:sz w:val="13"/>
        </w:rPr>
        <w:t>Box</w:t>
      </w:r>
      <w:r>
        <w:rPr>
          <w:color w:val="747474"/>
          <w:spacing w:val="3"/>
          <w:sz w:val="13"/>
        </w:rPr>
        <w:t> </w:t>
      </w:r>
      <w:r>
        <w:rPr>
          <w:rFonts w:ascii="Times New Roman"/>
          <w:color w:val="828282"/>
          <w:w w:val="104"/>
          <w:sz w:val="15"/>
        </w:rPr>
        <w:t>12,</w:t>
      </w:r>
      <w:r>
        <w:rPr>
          <w:rFonts w:ascii="Times New Roman"/>
          <w:color w:val="828282"/>
          <w:spacing w:val="-22"/>
          <w:sz w:val="15"/>
        </w:rPr>
        <w:t> </w:t>
      </w:r>
      <w:r>
        <w:rPr>
          <w:color w:val="747474"/>
          <w:w w:val="101"/>
          <w:sz w:val="13"/>
        </w:rPr>
        <w:t>Sydney</w:t>
      </w:r>
      <w:r>
        <w:rPr>
          <w:color w:val="747474"/>
          <w:spacing w:val="1"/>
          <w:sz w:val="13"/>
        </w:rPr>
        <w:t> </w:t>
      </w:r>
      <w:r>
        <w:rPr>
          <w:color w:val="747474"/>
          <w:w w:val="102"/>
          <w:sz w:val="13"/>
        </w:rPr>
        <w:t>NSW</w:t>
      </w:r>
      <w:r>
        <w:rPr>
          <w:color w:val="747474"/>
          <w:spacing w:val="-3"/>
          <w:sz w:val="13"/>
        </w:rPr>
        <w:t> </w:t>
      </w:r>
      <w:r>
        <w:rPr>
          <w:rFonts w:ascii="Times New Roman"/>
          <w:color w:val="606060"/>
          <w:w w:val="101"/>
          <w:sz w:val="15"/>
        </w:rPr>
        <w:t>2001</w:t>
      </w:r>
      <w:r>
        <w:rPr>
          <w:rFonts w:ascii="Times New Roman"/>
          <w:color w:val="606060"/>
          <w:sz w:val="15"/>
        </w:rPr>
        <w:t> </w:t>
      </w:r>
      <w:r>
        <w:rPr>
          <w:rFonts w:ascii="Times New Roman"/>
          <w:color w:val="606060"/>
          <w:spacing w:val="5"/>
          <w:sz w:val="15"/>
        </w:rPr>
        <w:t> </w:t>
      </w:r>
      <w:r>
        <w:rPr>
          <w:color w:val="9C9C9C"/>
          <w:w w:val="230"/>
          <w:sz w:val="13"/>
        </w:rPr>
        <w:t>I</w:t>
      </w:r>
      <w:r>
        <w:rPr>
          <w:color w:val="9C9C9C"/>
          <w:spacing w:val="-14"/>
          <w:sz w:val="13"/>
        </w:rPr>
        <w:t> </w:t>
      </w:r>
      <w:r>
        <w:rPr>
          <w:rFonts w:ascii="Times New Roman"/>
          <w:color w:val="3D3D3D"/>
          <w:w w:val="102"/>
          <w:sz w:val="17"/>
        </w:rPr>
        <w:t>t</w:t>
      </w:r>
      <w:r>
        <w:rPr>
          <w:rFonts w:ascii="Times New Roman"/>
          <w:color w:val="3D3D3D"/>
          <w:spacing w:val="-15"/>
          <w:sz w:val="17"/>
        </w:rPr>
        <w:t> </w:t>
      </w:r>
      <w:r>
        <w:rPr>
          <w:rFonts w:ascii="Times New Roman"/>
          <w:color w:val="747474"/>
          <w:w w:val="116"/>
          <w:sz w:val="15"/>
        </w:rPr>
        <w:t>02</w:t>
      </w:r>
      <w:r>
        <w:rPr>
          <w:rFonts w:ascii="Times New Roman"/>
          <w:color w:val="747474"/>
          <w:spacing w:val="-10"/>
          <w:sz w:val="15"/>
        </w:rPr>
        <w:t> </w:t>
      </w:r>
      <w:r>
        <w:rPr>
          <w:rFonts w:ascii="Times New Roman"/>
          <w:color w:val="747474"/>
          <w:w w:val="106"/>
          <w:sz w:val="15"/>
        </w:rPr>
        <w:t>9275</w:t>
      </w:r>
      <w:r>
        <w:rPr>
          <w:rFonts w:ascii="Times New Roman"/>
          <w:color w:val="747474"/>
          <w:spacing w:val="-10"/>
          <w:sz w:val="15"/>
        </w:rPr>
        <w:t> </w:t>
      </w:r>
      <w:r>
        <w:rPr>
          <w:color w:val="747474"/>
          <w:w w:val="106"/>
          <w:sz w:val="13"/>
        </w:rPr>
        <w:t>7</w:t>
      </w:r>
      <w:r>
        <w:rPr>
          <w:color w:val="747474"/>
          <w:spacing w:val="-11"/>
          <w:w w:val="106"/>
          <w:sz w:val="13"/>
        </w:rPr>
        <w:t>1</w:t>
      </w:r>
      <w:r>
        <w:rPr>
          <w:color w:val="747474"/>
          <w:w w:val="114"/>
          <w:sz w:val="13"/>
        </w:rPr>
        <w:t>01</w:t>
      </w:r>
      <w:r>
        <w:rPr>
          <w:color w:val="747474"/>
          <w:sz w:val="13"/>
        </w:rPr>
        <w:t> </w:t>
      </w:r>
      <w:r>
        <w:rPr>
          <w:color w:val="747474"/>
          <w:spacing w:val="1"/>
          <w:sz w:val="13"/>
        </w:rPr>
        <w:t> </w:t>
      </w:r>
      <w:r>
        <w:rPr>
          <w:color w:val="828282"/>
          <w:w w:val="230"/>
          <w:sz w:val="13"/>
        </w:rPr>
        <w:t>I</w:t>
      </w:r>
      <w:r>
        <w:rPr>
          <w:color w:val="828282"/>
          <w:spacing w:val="-14"/>
          <w:sz w:val="13"/>
        </w:rPr>
        <w:t> </w:t>
      </w:r>
      <w:r>
        <w:rPr>
          <w:color w:val="3D3D3D"/>
          <w:w w:val="119"/>
          <w:sz w:val="13"/>
        </w:rPr>
        <w:t>f</w:t>
      </w:r>
      <w:r>
        <w:rPr>
          <w:color w:val="3D3D3D"/>
          <w:spacing w:val="-3"/>
          <w:sz w:val="13"/>
        </w:rPr>
        <w:t> </w:t>
      </w:r>
      <w:r>
        <w:rPr>
          <w:color w:val="828282"/>
          <w:w w:val="113"/>
          <w:sz w:val="13"/>
        </w:rPr>
        <w:t>02</w:t>
      </w:r>
      <w:r>
        <w:rPr>
          <w:color w:val="828282"/>
          <w:spacing w:val="-9"/>
          <w:sz w:val="13"/>
        </w:rPr>
        <w:t> </w:t>
      </w:r>
      <w:r>
        <w:rPr>
          <w:rFonts w:ascii="Times New Roman"/>
          <w:color w:val="747474"/>
          <w:w w:val="106"/>
          <w:sz w:val="15"/>
        </w:rPr>
        <w:t>9275</w:t>
      </w:r>
      <w:r>
        <w:rPr>
          <w:rFonts w:ascii="Times New Roman"/>
          <w:color w:val="747474"/>
          <w:spacing w:val="-1"/>
          <w:sz w:val="15"/>
        </w:rPr>
        <w:t> </w:t>
      </w:r>
      <w:r>
        <w:rPr>
          <w:rFonts w:ascii="Times New Roman"/>
          <w:color w:val="606060"/>
          <w:w w:val="101"/>
          <w:sz w:val="15"/>
        </w:rPr>
        <w:t>7179</w:t>
      </w:r>
      <w:r>
        <w:rPr>
          <w:rFonts w:ascii="Times New Roman"/>
          <w:color w:val="606060"/>
          <w:sz w:val="15"/>
        </w:rPr>
        <w:t> </w:t>
      </w:r>
      <w:r>
        <w:rPr>
          <w:rFonts w:ascii="Times New Roman"/>
          <w:color w:val="606060"/>
          <w:spacing w:val="5"/>
          <w:sz w:val="15"/>
        </w:rPr>
        <w:t> </w:t>
      </w:r>
      <w:r>
        <w:rPr>
          <w:color w:val="606060"/>
          <w:w w:val="152"/>
          <w:sz w:val="13"/>
        </w:rPr>
        <w:t>I</w:t>
      </w:r>
      <w:r>
        <w:rPr>
          <w:color w:val="606060"/>
          <w:spacing w:val="14"/>
          <w:sz w:val="13"/>
        </w:rPr>
        <w:t> </w:t>
      </w:r>
      <w:r>
        <w:rPr>
          <w:color w:val="3D3D3D"/>
          <w:w w:val="121"/>
          <w:sz w:val="13"/>
        </w:rPr>
        <w:t>e</w:t>
      </w:r>
      <w:r>
        <w:rPr>
          <w:color w:val="3D3D3D"/>
          <w:spacing w:val="-10"/>
          <w:sz w:val="13"/>
        </w:rPr>
        <w:t> </w:t>
      </w:r>
      <w:hyperlink r:id="rId36">
        <w:r>
          <w:rPr>
            <w:color w:val="747474"/>
            <w:w w:val="106"/>
            <w:sz w:val="13"/>
          </w:rPr>
          <w:t>mai</w:t>
        </w:r>
        <w:r>
          <w:rPr>
            <w:color w:val="747474"/>
            <w:spacing w:val="-16"/>
            <w:w w:val="106"/>
            <w:sz w:val="13"/>
          </w:rPr>
          <w:t>l</w:t>
        </w:r>
        <w:r>
          <w:rPr>
            <w:color w:val="747474"/>
            <w:w w:val="94"/>
            <w:sz w:val="13"/>
          </w:rPr>
          <w:t>@audi</w:t>
        </w:r>
        <w:r>
          <w:rPr>
            <w:color w:val="747474"/>
            <w:spacing w:val="10"/>
            <w:w w:val="94"/>
            <w:sz w:val="13"/>
          </w:rPr>
          <w:t>t</w:t>
        </w:r>
        <w:r>
          <w:rPr>
            <w:color w:val="505050"/>
            <w:w w:val="118"/>
            <w:sz w:val="13"/>
          </w:rPr>
          <w:t>.</w:t>
        </w:r>
        <w:r>
          <w:rPr>
            <w:color w:val="505050"/>
            <w:spacing w:val="-24"/>
            <w:w w:val="118"/>
            <w:sz w:val="13"/>
          </w:rPr>
          <w:t>n</w:t>
        </w:r>
        <w:r>
          <w:rPr>
            <w:color w:val="747474"/>
            <w:w w:val="110"/>
            <w:sz w:val="13"/>
          </w:rPr>
          <w:t>s</w:t>
        </w:r>
        <w:r>
          <w:rPr>
            <w:color w:val="747474"/>
            <w:spacing w:val="-43"/>
            <w:w w:val="109"/>
            <w:sz w:val="13"/>
          </w:rPr>
          <w:t>w</w:t>
        </w:r>
        <w:r>
          <w:rPr>
            <w:color w:val="747474"/>
            <w:spacing w:val="-81"/>
            <w:w w:val="218"/>
            <w:sz w:val="13"/>
          </w:rPr>
          <w:t>.</w:t>
        </w:r>
      </w:hyperlink>
      <w:r>
        <w:rPr>
          <w:color w:val="747474"/>
          <w:w w:val="105"/>
          <w:sz w:val="13"/>
        </w:rPr>
        <w:t>go</w:t>
      </w:r>
      <w:r>
        <w:rPr>
          <w:color w:val="747474"/>
          <w:spacing w:val="-11"/>
          <w:w w:val="105"/>
          <w:sz w:val="13"/>
        </w:rPr>
        <w:t>v</w:t>
      </w:r>
      <w:r>
        <w:rPr>
          <w:color w:val="747474"/>
          <w:w w:val="93"/>
          <w:sz w:val="13"/>
        </w:rPr>
        <w:t>.au</w:t>
      </w:r>
      <w:r>
        <w:rPr>
          <w:color w:val="747474"/>
          <w:sz w:val="13"/>
        </w:rPr>
        <w:t> </w:t>
      </w:r>
      <w:r>
        <w:rPr>
          <w:color w:val="747474"/>
          <w:spacing w:val="7"/>
          <w:sz w:val="13"/>
        </w:rPr>
        <w:t> </w:t>
      </w:r>
      <w:r>
        <w:rPr>
          <w:color w:val="9C9C9C"/>
          <w:w w:val="152"/>
          <w:sz w:val="13"/>
        </w:rPr>
        <w:t>I</w:t>
      </w:r>
      <w:r>
        <w:rPr>
          <w:color w:val="9C9C9C"/>
          <w:spacing w:val="4"/>
          <w:sz w:val="13"/>
        </w:rPr>
        <w:t> </w:t>
      </w:r>
      <w:r>
        <w:rPr>
          <w:color w:val="3D3D3D"/>
          <w:w w:val="115"/>
          <w:sz w:val="13"/>
        </w:rPr>
        <w:t>au</w:t>
      </w:r>
      <w:r>
        <w:rPr>
          <w:color w:val="3D3D3D"/>
          <w:spacing w:val="-24"/>
          <w:w w:val="115"/>
          <w:sz w:val="13"/>
        </w:rPr>
        <w:t>d</w:t>
      </w:r>
      <w:r>
        <w:rPr>
          <w:color w:val="3D3D3D"/>
          <w:spacing w:val="-47"/>
          <w:w w:val="249"/>
          <w:sz w:val="13"/>
        </w:rPr>
        <w:t>i</w:t>
      </w:r>
      <w:r>
        <w:rPr>
          <w:color w:val="3D3D3D"/>
          <w:w w:val="109"/>
          <w:sz w:val="13"/>
        </w:rPr>
        <w:t>t.ns</w:t>
      </w:r>
      <w:r>
        <w:rPr>
          <w:color w:val="3D3D3D"/>
          <w:spacing w:val="2"/>
          <w:w w:val="109"/>
          <w:sz w:val="13"/>
        </w:rPr>
        <w:t>w</w:t>
      </w:r>
      <w:r>
        <w:rPr>
          <w:color w:val="606060"/>
          <w:spacing w:val="-15"/>
          <w:w w:val="145"/>
          <w:sz w:val="13"/>
        </w:rPr>
        <w:t>.</w:t>
      </w:r>
      <w:r>
        <w:rPr>
          <w:color w:val="3D3D3D"/>
          <w:w w:val="110"/>
          <w:sz w:val="13"/>
        </w:rPr>
        <w:t>go</w:t>
      </w:r>
      <w:r>
        <w:rPr>
          <w:color w:val="3D3D3D"/>
          <w:spacing w:val="-22"/>
          <w:w w:val="111"/>
          <w:sz w:val="13"/>
        </w:rPr>
        <w:t>v</w:t>
      </w:r>
      <w:r>
        <w:rPr>
          <w:color w:val="3D3D3D"/>
          <w:spacing w:val="-51"/>
          <w:w w:val="218"/>
          <w:sz w:val="13"/>
        </w:rPr>
        <w:t>.</w:t>
      </w:r>
      <w:r>
        <w:rPr>
          <w:color w:val="3D3D3D"/>
          <w:w w:val="107"/>
          <w:sz w:val="13"/>
        </w:rPr>
        <w:t>au</w:t>
      </w:r>
    </w:p>
    <w:p>
      <w:pPr>
        <w:spacing w:after="0"/>
        <w:jc w:val="left"/>
        <w:rPr>
          <w:sz w:val="13"/>
        </w:rPr>
        <w:sectPr>
          <w:headerReference w:type="default" r:id="rId47"/>
          <w:footerReference w:type="default" r:id="rId48"/>
          <w:pgSz w:w="11900" w:h="16840"/>
          <w:pgMar w:header="0" w:footer="485" w:top="720" w:bottom="680" w:left="60" w:right="0"/>
          <w:pgNumType w:start="101"/>
        </w:sectPr>
      </w:pPr>
    </w:p>
    <w:p>
      <w:pPr>
        <w:pStyle w:val="BodyText"/>
        <w:spacing w:before="48"/>
        <w:ind w:left="147" w:right="19"/>
      </w:pPr>
      <w:r>
        <w:rPr/>
        <w:t>Start of Audited Financial Statements</w:t>
      </w:r>
    </w:p>
    <w:p>
      <w:pPr>
        <w:pStyle w:val="BodyText"/>
        <w:spacing w:before="11"/>
        <w:rPr>
          <w:sz w:val="17"/>
        </w:rPr>
      </w:pPr>
    </w:p>
    <w:p>
      <w:pPr>
        <w:spacing w:before="0"/>
        <w:ind w:left="148" w:right="19" w:hanging="1"/>
        <w:jc w:val="left"/>
        <w:rPr>
          <w:b/>
          <w:sz w:val="22"/>
        </w:rPr>
      </w:pPr>
      <w:r>
        <w:rPr>
          <w:b/>
          <w:sz w:val="22"/>
        </w:rPr>
        <w:t>Western Sydney University Enterprises Pty Limited Trading as Western Sydney University The College</w:t>
      </w:r>
    </w:p>
    <w:p>
      <w:pPr>
        <w:spacing w:before="56"/>
        <w:ind w:left="147" w:right="19" w:firstLine="0"/>
        <w:jc w:val="left"/>
        <w:rPr>
          <w:b/>
          <w:sz w:val="14"/>
        </w:rPr>
      </w:pPr>
      <w:r>
        <w:rPr>
          <w:b/>
          <w:sz w:val="14"/>
        </w:rPr>
        <w:t>ABN: 44 003 474 468</w:t>
      </w:r>
    </w:p>
    <w:p>
      <w:pPr>
        <w:pStyle w:val="BodyText"/>
        <w:spacing w:before="10"/>
        <w:rPr>
          <w:b/>
          <w:sz w:val="23"/>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90"/>
        <w:gridCol w:w="1469"/>
        <w:gridCol w:w="1410"/>
        <w:gridCol w:w="1185"/>
      </w:tblGrid>
      <w:tr>
        <w:trPr>
          <w:trHeight w:val="911" w:hRule="exact"/>
        </w:trPr>
        <w:tc>
          <w:tcPr>
            <w:tcW w:w="5890" w:type="dxa"/>
          </w:tcPr>
          <w:p>
            <w:pPr>
              <w:pStyle w:val="TableParagraph"/>
              <w:spacing w:before="64"/>
              <w:ind w:left="35"/>
              <w:rPr>
                <w:b/>
                <w:sz w:val="28"/>
              </w:rPr>
            </w:pPr>
            <w:r>
              <w:rPr>
                <w:b/>
                <w:sz w:val="28"/>
              </w:rPr>
              <w:t>Statement of Comprehensive Income</w:t>
            </w:r>
          </w:p>
          <w:p>
            <w:pPr>
              <w:pStyle w:val="TableParagraph"/>
              <w:spacing w:before="57"/>
              <w:ind w:left="35"/>
              <w:rPr>
                <w:b/>
                <w:sz w:val="22"/>
              </w:rPr>
            </w:pPr>
            <w:r>
              <w:rPr>
                <w:b/>
                <w:sz w:val="22"/>
              </w:rPr>
              <w:t>For the Year Ended 31 December 2017</w:t>
            </w:r>
          </w:p>
        </w:tc>
        <w:tc>
          <w:tcPr>
            <w:tcW w:w="4063" w:type="dxa"/>
            <w:gridSpan w:val="3"/>
          </w:tcPr>
          <w:p>
            <w:pPr/>
          </w:p>
        </w:tc>
      </w:tr>
      <w:tr>
        <w:trPr>
          <w:trHeight w:val="447" w:hRule="exact"/>
        </w:trPr>
        <w:tc>
          <w:tcPr>
            <w:tcW w:w="5890" w:type="dxa"/>
          </w:tcPr>
          <w:p>
            <w:pPr/>
          </w:p>
        </w:tc>
        <w:tc>
          <w:tcPr>
            <w:tcW w:w="1469" w:type="dxa"/>
          </w:tcPr>
          <w:p>
            <w:pPr/>
          </w:p>
        </w:tc>
        <w:tc>
          <w:tcPr>
            <w:tcW w:w="1410" w:type="dxa"/>
          </w:tcPr>
          <w:p>
            <w:pPr>
              <w:pStyle w:val="TableParagraph"/>
              <w:spacing w:before="1"/>
              <w:rPr>
                <w:b/>
                <w:sz w:val="17"/>
              </w:rPr>
            </w:pPr>
          </w:p>
          <w:p>
            <w:pPr>
              <w:pStyle w:val="TableParagraph"/>
              <w:ind w:left="675"/>
              <w:rPr>
                <w:b/>
                <w:sz w:val="18"/>
              </w:rPr>
            </w:pPr>
            <w:r>
              <w:rPr>
                <w:b/>
                <w:sz w:val="18"/>
              </w:rPr>
              <w:t>2017</w:t>
            </w:r>
          </w:p>
        </w:tc>
        <w:tc>
          <w:tcPr>
            <w:tcW w:w="1185" w:type="dxa"/>
          </w:tcPr>
          <w:p>
            <w:pPr>
              <w:pStyle w:val="TableParagraph"/>
              <w:spacing w:before="1"/>
              <w:rPr>
                <w:b/>
                <w:sz w:val="17"/>
              </w:rPr>
            </w:pPr>
          </w:p>
          <w:p>
            <w:pPr>
              <w:pStyle w:val="TableParagraph"/>
              <w:ind w:left="588"/>
              <w:rPr>
                <w:b/>
                <w:sz w:val="18"/>
              </w:rPr>
            </w:pPr>
            <w:r>
              <w:rPr>
                <w:b/>
                <w:sz w:val="18"/>
              </w:rPr>
              <w:t>2016</w:t>
            </w:r>
          </w:p>
        </w:tc>
      </w:tr>
      <w:tr>
        <w:trPr>
          <w:trHeight w:val="313" w:hRule="exact"/>
        </w:trPr>
        <w:tc>
          <w:tcPr>
            <w:tcW w:w="5890" w:type="dxa"/>
          </w:tcPr>
          <w:p>
            <w:pPr/>
          </w:p>
        </w:tc>
        <w:tc>
          <w:tcPr>
            <w:tcW w:w="1469" w:type="dxa"/>
          </w:tcPr>
          <w:p>
            <w:pPr>
              <w:pStyle w:val="TableParagraph"/>
              <w:spacing w:before="24"/>
              <w:ind w:left="909" w:right="18"/>
              <w:jc w:val="center"/>
              <w:rPr>
                <w:b/>
                <w:sz w:val="18"/>
              </w:rPr>
            </w:pPr>
            <w:r>
              <w:rPr>
                <w:b/>
                <w:sz w:val="18"/>
              </w:rPr>
              <w:t>Notes</w:t>
            </w:r>
          </w:p>
        </w:tc>
        <w:tc>
          <w:tcPr>
            <w:tcW w:w="1410" w:type="dxa"/>
          </w:tcPr>
          <w:p>
            <w:pPr>
              <w:pStyle w:val="TableParagraph"/>
              <w:spacing w:before="24"/>
              <w:ind w:left="926"/>
              <w:rPr>
                <w:b/>
                <w:sz w:val="18"/>
              </w:rPr>
            </w:pPr>
            <w:r>
              <w:rPr>
                <w:b/>
                <w:w w:val="99"/>
                <w:sz w:val="18"/>
              </w:rPr>
              <w:t>$</w:t>
            </w:r>
          </w:p>
        </w:tc>
        <w:tc>
          <w:tcPr>
            <w:tcW w:w="1185" w:type="dxa"/>
          </w:tcPr>
          <w:p>
            <w:pPr>
              <w:pStyle w:val="TableParagraph"/>
              <w:spacing w:before="24"/>
              <w:ind w:right="243"/>
              <w:jc w:val="right"/>
              <w:rPr>
                <w:b/>
                <w:sz w:val="18"/>
              </w:rPr>
            </w:pPr>
            <w:r>
              <w:rPr>
                <w:b/>
                <w:w w:val="99"/>
                <w:sz w:val="18"/>
              </w:rPr>
              <w:t>$</w:t>
            </w:r>
          </w:p>
        </w:tc>
      </w:tr>
      <w:tr>
        <w:trPr>
          <w:trHeight w:val="293" w:hRule="exact"/>
        </w:trPr>
        <w:tc>
          <w:tcPr>
            <w:tcW w:w="5890" w:type="dxa"/>
          </w:tcPr>
          <w:p>
            <w:pPr>
              <w:pStyle w:val="TableParagraph"/>
              <w:spacing w:before="63"/>
              <w:ind w:left="62"/>
              <w:rPr>
                <w:b/>
                <w:sz w:val="18"/>
              </w:rPr>
            </w:pPr>
            <w:r>
              <w:rPr>
                <w:b/>
                <w:sz w:val="18"/>
              </w:rPr>
              <w:t>Revenue</w:t>
            </w:r>
          </w:p>
        </w:tc>
        <w:tc>
          <w:tcPr>
            <w:tcW w:w="1469" w:type="dxa"/>
          </w:tcPr>
          <w:p>
            <w:pPr/>
          </w:p>
        </w:tc>
        <w:tc>
          <w:tcPr>
            <w:tcW w:w="1410" w:type="dxa"/>
          </w:tcPr>
          <w:p>
            <w:pPr/>
          </w:p>
        </w:tc>
        <w:tc>
          <w:tcPr>
            <w:tcW w:w="1185" w:type="dxa"/>
          </w:tcPr>
          <w:p>
            <w:pPr/>
          </w:p>
        </w:tc>
      </w:tr>
      <w:tr>
        <w:trPr>
          <w:trHeight w:val="250" w:hRule="exact"/>
        </w:trPr>
        <w:tc>
          <w:tcPr>
            <w:tcW w:w="5890" w:type="dxa"/>
          </w:tcPr>
          <w:p>
            <w:pPr>
              <w:pStyle w:val="TableParagraph"/>
              <w:spacing w:before="4"/>
              <w:ind w:left="62"/>
              <w:rPr>
                <w:sz w:val="18"/>
              </w:rPr>
            </w:pPr>
            <w:r>
              <w:rPr>
                <w:sz w:val="18"/>
              </w:rPr>
              <w:t>Rendering of services</w:t>
            </w:r>
          </w:p>
        </w:tc>
        <w:tc>
          <w:tcPr>
            <w:tcW w:w="1469" w:type="dxa"/>
          </w:tcPr>
          <w:p>
            <w:pPr>
              <w:pStyle w:val="TableParagraph"/>
              <w:spacing w:before="5"/>
              <w:ind w:left="909" w:right="17"/>
              <w:jc w:val="center"/>
              <w:rPr>
                <w:sz w:val="18"/>
              </w:rPr>
            </w:pPr>
            <w:r>
              <w:rPr>
                <w:sz w:val="18"/>
              </w:rPr>
              <w:t>14(a)</w:t>
            </w:r>
          </w:p>
        </w:tc>
        <w:tc>
          <w:tcPr>
            <w:tcW w:w="1410" w:type="dxa"/>
          </w:tcPr>
          <w:p>
            <w:pPr>
              <w:pStyle w:val="TableParagraph"/>
              <w:spacing w:before="5"/>
              <w:ind w:left="310"/>
              <w:rPr>
                <w:b/>
                <w:sz w:val="18"/>
              </w:rPr>
            </w:pPr>
            <w:r>
              <w:rPr>
                <w:b/>
                <w:sz w:val="18"/>
              </w:rPr>
              <w:t>59,399,557</w:t>
            </w:r>
          </w:p>
        </w:tc>
        <w:tc>
          <w:tcPr>
            <w:tcW w:w="1185" w:type="dxa"/>
          </w:tcPr>
          <w:p>
            <w:pPr>
              <w:pStyle w:val="TableParagraph"/>
              <w:spacing w:before="5"/>
              <w:ind w:right="83"/>
              <w:jc w:val="right"/>
              <w:rPr>
                <w:sz w:val="18"/>
              </w:rPr>
            </w:pPr>
            <w:r>
              <w:rPr>
                <w:w w:val="95"/>
                <w:sz w:val="18"/>
              </w:rPr>
              <w:t>60,565,646</w:t>
            </w:r>
          </w:p>
        </w:tc>
      </w:tr>
      <w:tr>
        <w:trPr>
          <w:trHeight w:val="264" w:hRule="exact"/>
        </w:trPr>
        <w:tc>
          <w:tcPr>
            <w:tcW w:w="5890" w:type="dxa"/>
          </w:tcPr>
          <w:p>
            <w:pPr>
              <w:pStyle w:val="TableParagraph"/>
              <w:spacing w:before="18"/>
              <w:ind w:left="62"/>
              <w:rPr>
                <w:sz w:val="18"/>
              </w:rPr>
            </w:pPr>
            <w:r>
              <w:rPr>
                <w:sz w:val="18"/>
              </w:rPr>
              <w:t>Interest revenue</w:t>
            </w:r>
          </w:p>
        </w:tc>
        <w:tc>
          <w:tcPr>
            <w:tcW w:w="1469" w:type="dxa"/>
          </w:tcPr>
          <w:p>
            <w:pPr/>
          </w:p>
        </w:tc>
        <w:tc>
          <w:tcPr>
            <w:tcW w:w="1410" w:type="dxa"/>
          </w:tcPr>
          <w:p>
            <w:pPr>
              <w:pStyle w:val="TableParagraph"/>
              <w:spacing w:before="19"/>
              <w:ind w:right="196"/>
              <w:jc w:val="right"/>
              <w:rPr>
                <w:b/>
                <w:sz w:val="18"/>
              </w:rPr>
            </w:pPr>
            <w:r>
              <w:rPr>
                <w:b/>
                <w:w w:val="95"/>
                <w:sz w:val="18"/>
              </w:rPr>
              <w:t>233,742</w:t>
            </w:r>
          </w:p>
        </w:tc>
        <w:tc>
          <w:tcPr>
            <w:tcW w:w="1185" w:type="dxa"/>
          </w:tcPr>
          <w:p>
            <w:pPr>
              <w:pStyle w:val="TableParagraph"/>
              <w:spacing w:before="19"/>
              <w:ind w:left="447"/>
              <w:rPr>
                <w:sz w:val="18"/>
              </w:rPr>
            </w:pPr>
            <w:r>
              <w:rPr>
                <w:sz w:val="18"/>
              </w:rPr>
              <w:t>149,633</w:t>
            </w:r>
          </w:p>
        </w:tc>
      </w:tr>
      <w:tr>
        <w:trPr>
          <w:trHeight w:val="469" w:hRule="exact"/>
        </w:trPr>
        <w:tc>
          <w:tcPr>
            <w:tcW w:w="5890" w:type="dxa"/>
          </w:tcPr>
          <w:p>
            <w:pPr>
              <w:pStyle w:val="TableParagraph"/>
              <w:spacing w:before="18"/>
              <w:ind w:left="62" w:right="1395"/>
              <w:rPr>
                <w:sz w:val="18"/>
              </w:rPr>
            </w:pPr>
            <w:r>
              <w:rPr>
                <w:sz w:val="18"/>
              </w:rPr>
              <w:t>Share of net profit or loss on investments accounted for using the equity method</w:t>
            </w:r>
          </w:p>
        </w:tc>
        <w:tc>
          <w:tcPr>
            <w:tcW w:w="1469" w:type="dxa"/>
          </w:tcPr>
          <w:p>
            <w:pPr>
              <w:pStyle w:val="TableParagraph"/>
              <w:spacing w:before="19"/>
              <w:ind w:left="891"/>
              <w:jc w:val="center"/>
              <w:rPr>
                <w:sz w:val="18"/>
              </w:rPr>
            </w:pPr>
            <w:r>
              <w:rPr>
                <w:w w:val="99"/>
                <w:sz w:val="18"/>
              </w:rPr>
              <w:t>7</w:t>
            </w:r>
          </w:p>
        </w:tc>
        <w:tc>
          <w:tcPr>
            <w:tcW w:w="1410" w:type="dxa"/>
          </w:tcPr>
          <w:p>
            <w:pPr>
              <w:pStyle w:val="TableParagraph"/>
              <w:spacing w:before="19"/>
              <w:ind w:right="137"/>
              <w:jc w:val="right"/>
              <w:rPr>
                <w:b/>
                <w:sz w:val="18"/>
              </w:rPr>
            </w:pPr>
            <w:r>
              <w:rPr>
                <w:b/>
                <w:w w:val="95"/>
                <w:sz w:val="18"/>
              </w:rPr>
              <w:t>(833,847)</w:t>
            </w:r>
          </w:p>
        </w:tc>
        <w:tc>
          <w:tcPr>
            <w:tcW w:w="1185" w:type="dxa"/>
          </w:tcPr>
          <w:p>
            <w:pPr>
              <w:pStyle w:val="TableParagraph"/>
              <w:spacing w:before="19"/>
              <w:ind w:right="24"/>
              <w:jc w:val="right"/>
              <w:rPr>
                <w:sz w:val="18"/>
              </w:rPr>
            </w:pPr>
            <w:r>
              <w:rPr>
                <w:w w:val="95"/>
                <w:sz w:val="18"/>
              </w:rPr>
              <w:t>(1,052,110)</w:t>
            </w:r>
          </w:p>
        </w:tc>
      </w:tr>
      <w:tr>
        <w:trPr>
          <w:trHeight w:val="263" w:hRule="exact"/>
        </w:trPr>
        <w:tc>
          <w:tcPr>
            <w:tcW w:w="5890" w:type="dxa"/>
          </w:tcPr>
          <w:p>
            <w:pPr>
              <w:pStyle w:val="TableParagraph"/>
              <w:spacing w:before="17"/>
              <w:ind w:left="62"/>
              <w:rPr>
                <w:sz w:val="18"/>
              </w:rPr>
            </w:pPr>
            <w:r>
              <w:rPr>
                <w:sz w:val="18"/>
              </w:rPr>
              <w:t>Other revenue</w:t>
            </w:r>
          </w:p>
        </w:tc>
        <w:tc>
          <w:tcPr>
            <w:tcW w:w="1469" w:type="dxa"/>
          </w:tcPr>
          <w:p>
            <w:pPr>
              <w:pStyle w:val="TableParagraph"/>
              <w:spacing w:before="19"/>
              <w:ind w:left="909" w:right="17"/>
              <w:jc w:val="center"/>
              <w:rPr>
                <w:sz w:val="18"/>
              </w:rPr>
            </w:pPr>
            <w:r>
              <w:rPr>
                <w:sz w:val="18"/>
              </w:rPr>
              <w:t>14(b)</w:t>
            </w:r>
          </w:p>
        </w:tc>
        <w:tc>
          <w:tcPr>
            <w:tcW w:w="1410" w:type="dxa"/>
            <w:tcBorders>
              <w:bottom w:val="single" w:sz="0" w:space="0" w:color="000000"/>
            </w:tcBorders>
          </w:tcPr>
          <w:p>
            <w:pPr>
              <w:pStyle w:val="TableParagraph"/>
              <w:spacing w:before="19"/>
              <w:ind w:right="196"/>
              <w:jc w:val="right"/>
              <w:rPr>
                <w:b/>
                <w:sz w:val="18"/>
              </w:rPr>
            </w:pPr>
            <w:r>
              <w:rPr>
                <w:b/>
                <w:w w:val="95"/>
                <w:sz w:val="18"/>
              </w:rPr>
              <w:t>806,407</w:t>
            </w:r>
          </w:p>
        </w:tc>
        <w:tc>
          <w:tcPr>
            <w:tcW w:w="1185" w:type="dxa"/>
            <w:tcBorders>
              <w:bottom w:val="single" w:sz="0" w:space="0" w:color="000000"/>
            </w:tcBorders>
          </w:tcPr>
          <w:p>
            <w:pPr>
              <w:pStyle w:val="TableParagraph"/>
              <w:spacing w:before="19"/>
              <w:ind w:left="447"/>
              <w:rPr>
                <w:sz w:val="18"/>
              </w:rPr>
            </w:pPr>
            <w:r>
              <w:rPr>
                <w:sz w:val="18"/>
              </w:rPr>
              <w:t>305,801</w:t>
            </w:r>
          </w:p>
        </w:tc>
      </w:tr>
      <w:tr>
        <w:trPr>
          <w:trHeight w:val="338" w:hRule="exact"/>
        </w:trPr>
        <w:tc>
          <w:tcPr>
            <w:tcW w:w="5890" w:type="dxa"/>
          </w:tcPr>
          <w:p>
            <w:pPr>
              <w:pStyle w:val="TableParagraph"/>
              <w:spacing w:before="123"/>
              <w:ind w:left="62"/>
              <w:rPr>
                <w:b/>
                <w:sz w:val="18"/>
              </w:rPr>
            </w:pPr>
            <w:r>
              <w:rPr>
                <w:b/>
                <w:sz w:val="18"/>
              </w:rPr>
              <w:t>Total revenue</w:t>
            </w:r>
          </w:p>
        </w:tc>
        <w:tc>
          <w:tcPr>
            <w:tcW w:w="1469" w:type="dxa"/>
          </w:tcPr>
          <w:p>
            <w:pPr/>
          </w:p>
        </w:tc>
        <w:tc>
          <w:tcPr>
            <w:tcW w:w="1410" w:type="dxa"/>
            <w:tcBorders>
              <w:top w:val="single" w:sz="0" w:space="0" w:color="000000"/>
              <w:bottom w:val="single" w:sz="0" w:space="0" w:color="000000"/>
            </w:tcBorders>
          </w:tcPr>
          <w:p>
            <w:pPr>
              <w:pStyle w:val="TableParagraph"/>
              <w:spacing w:before="122"/>
              <w:ind w:left="310"/>
              <w:rPr>
                <w:b/>
                <w:sz w:val="18"/>
              </w:rPr>
            </w:pPr>
            <w:r>
              <w:rPr>
                <w:b/>
                <w:sz w:val="18"/>
              </w:rPr>
              <w:t>59,605,859</w:t>
            </w:r>
          </w:p>
        </w:tc>
        <w:tc>
          <w:tcPr>
            <w:tcW w:w="1185" w:type="dxa"/>
            <w:tcBorders>
              <w:top w:val="single" w:sz="0" w:space="0" w:color="000000"/>
              <w:bottom w:val="single" w:sz="0" w:space="0" w:color="000000"/>
            </w:tcBorders>
          </w:tcPr>
          <w:p>
            <w:pPr>
              <w:pStyle w:val="TableParagraph"/>
              <w:spacing w:before="122"/>
              <w:ind w:right="83"/>
              <w:jc w:val="right"/>
              <w:rPr>
                <w:sz w:val="18"/>
              </w:rPr>
            </w:pPr>
            <w:r>
              <w:rPr>
                <w:w w:val="95"/>
                <w:sz w:val="18"/>
              </w:rPr>
              <w:t>59,968,970</w:t>
            </w:r>
          </w:p>
        </w:tc>
      </w:tr>
      <w:tr>
        <w:trPr>
          <w:trHeight w:val="466" w:hRule="exact"/>
        </w:trPr>
        <w:tc>
          <w:tcPr>
            <w:tcW w:w="5890" w:type="dxa"/>
          </w:tcPr>
          <w:p>
            <w:pPr>
              <w:pStyle w:val="TableParagraph"/>
              <w:spacing w:before="6"/>
              <w:rPr>
                <w:b/>
                <w:sz w:val="20"/>
              </w:rPr>
            </w:pPr>
          </w:p>
          <w:p>
            <w:pPr>
              <w:pStyle w:val="TableParagraph"/>
              <w:ind w:left="62"/>
              <w:rPr>
                <w:b/>
                <w:sz w:val="18"/>
              </w:rPr>
            </w:pPr>
            <w:r>
              <w:rPr>
                <w:b/>
                <w:sz w:val="18"/>
              </w:rPr>
              <w:t>Expenses</w:t>
            </w:r>
          </w:p>
        </w:tc>
        <w:tc>
          <w:tcPr>
            <w:tcW w:w="1469" w:type="dxa"/>
          </w:tcPr>
          <w:p>
            <w:pPr/>
          </w:p>
        </w:tc>
        <w:tc>
          <w:tcPr>
            <w:tcW w:w="1410" w:type="dxa"/>
            <w:tcBorders>
              <w:top w:val="single" w:sz="0" w:space="0" w:color="000000"/>
            </w:tcBorders>
          </w:tcPr>
          <w:p>
            <w:pPr/>
          </w:p>
        </w:tc>
        <w:tc>
          <w:tcPr>
            <w:tcW w:w="1185" w:type="dxa"/>
            <w:tcBorders>
              <w:top w:val="single" w:sz="0" w:space="0" w:color="000000"/>
            </w:tcBorders>
          </w:tcPr>
          <w:p>
            <w:pPr/>
          </w:p>
        </w:tc>
      </w:tr>
      <w:tr>
        <w:trPr>
          <w:trHeight w:val="250" w:hRule="exact"/>
        </w:trPr>
        <w:tc>
          <w:tcPr>
            <w:tcW w:w="5890" w:type="dxa"/>
          </w:tcPr>
          <w:p>
            <w:pPr>
              <w:pStyle w:val="TableParagraph"/>
              <w:spacing w:before="4"/>
              <w:ind w:left="62"/>
              <w:rPr>
                <w:sz w:val="18"/>
              </w:rPr>
            </w:pPr>
            <w:r>
              <w:rPr>
                <w:sz w:val="18"/>
              </w:rPr>
              <w:t>Employee related expenses</w:t>
            </w:r>
          </w:p>
        </w:tc>
        <w:tc>
          <w:tcPr>
            <w:tcW w:w="1469" w:type="dxa"/>
          </w:tcPr>
          <w:p>
            <w:pPr>
              <w:pStyle w:val="TableParagraph"/>
              <w:spacing w:before="5"/>
              <w:ind w:left="909" w:right="18"/>
              <w:jc w:val="center"/>
              <w:rPr>
                <w:sz w:val="18"/>
              </w:rPr>
            </w:pPr>
            <w:r>
              <w:rPr>
                <w:sz w:val="18"/>
              </w:rPr>
              <w:t>15</w:t>
            </w:r>
          </w:p>
        </w:tc>
        <w:tc>
          <w:tcPr>
            <w:tcW w:w="1410" w:type="dxa"/>
          </w:tcPr>
          <w:p>
            <w:pPr>
              <w:pStyle w:val="TableParagraph"/>
              <w:spacing w:before="5"/>
              <w:ind w:right="136"/>
              <w:jc w:val="right"/>
              <w:rPr>
                <w:b/>
                <w:sz w:val="18"/>
              </w:rPr>
            </w:pPr>
            <w:r>
              <w:rPr>
                <w:b/>
                <w:w w:val="95"/>
                <w:sz w:val="18"/>
              </w:rPr>
              <w:t>(29,426,549)</w:t>
            </w:r>
          </w:p>
        </w:tc>
        <w:tc>
          <w:tcPr>
            <w:tcW w:w="1185" w:type="dxa"/>
          </w:tcPr>
          <w:p>
            <w:pPr>
              <w:pStyle w:val="TableParagraph"/>
              <w:spacing w:before="5"/>
              <w:ind w:right="23"/>
              <w:jc w:val="right"/>
              <w:rPr>
                <w:sz w:val="18"/>
              </w:rPr>
            </w:pPr>
            <w:r>
              <w:rPr>
                <w:w w:val="95"/>
                <w:sz w:val="18"/>
              </w:rPr>
              <w:t>(31,811,836)</w:t>
            </w:r>
          </w:p>
        </w:tc>
      </w:tr>
      <w:tr>
        <w:trPr>
          <w:trHeight w:val="264" w:hRule="exact"/>
        </w:trPr>
        <w:tc>
          <w:tcPr>
            <w:tcW w:w="5890" w:type="dxa"/>
          </w:tcPr>
          <w:p>
            <w:pPr>
              <w:pStyle w:val="TableParagraph"/>
              <w:spacing w:before="18"/>
              <w:ind w:left="62"/>
              <w:rPr>
                <w:sz w:val="18"/>
              </w:rPr>
            </w:pPr>
            <w:r>
              <w:rPr>
                <w:sz w:val="18"/>
              </w:rPr>
              <w:t>Royalty to parent</w:t>
            </w:r>
          </w:p>
        </w:tc>
        <w:tc>
          <w:tcPr>
            <w:tcW w:w="1469" w:type="dxa"/>
          </w:tcPr>
          <w:p>
            <w:pPr>
              <w:pStyle w:val="TableParagraph"/>
              <w:spacing w:before="19"/>
              <w:ind w:left="909" w:right="18"/>
              <w:jc w:val="center"/>
              <w:rPr>
                <w:sz w:val="18"/>
              </w:rPr>
            </w:pPr>
            <w:r>
              <w:rPr>
                <w:sz w:val="18"/>
              </w:rPr>
              <w:t>16</w:t>
            </w:r>
          </w:p>
        </w:tc>
        <w:tc>
          <w:tcPr>
            <w:tcW w:w="1410" w:type="dxa"/>
          </w:tcPr>
          <w:p>
            <w:pPr>
              <w:pStyle w:val="TableParagraph"/>
              <w:spacing w:before="19"/>
              <w:ind w:right="136"/>
              <w:jc w:val="right"/>
              <w:rPr>
                <w:b/>
                <w:sz w:val="18"/>
              </w:rPr>
            </w:pPr>
            <w:r>
              <w:rPr>
                <w:b/>
                <w:w w:val="95"/>
                <w:sz w:val="18"/>
              </w:rPr>
              <w:t>(22,919,450)</w:t>
            </w:r>
          </w:p>
        </w:tc>
        <w:tc>
          <w:tcPr>
            <w:tcW w:w="1185" w:type="dxa"/>
          </w:tcPr>
          <w:p>
            <w:pPr>
              <w:pStyle w:val="TableParagraph"/>
              <w:spacing w:before="19"/>
              <w:ind w:right="23"/>
              <w:jc w:val="right"/>
              <w:rPr>
                <w:sz w:val="18"/>
              </w:rPr>
            </w:pPr>
            <w:r>
              <w:rPr>
                <w:w w:val="95"/>
                <w:sz w:val="18"/>
              </w:rPr>
              <w:t>(20,092,238)</w:t>
            </w:r>
          </w:p>
        </w:tc>
      </w:tr>
      <w:tr>
        <w:trPr>
          <w:trHeight w:val="264" w:hRule="exact"/>
        </w:trPr>
        <w:tc>
          <w:tcPr>
            <w:tcW w:w="5890" w:type="dxa"/>
          </w:tcPr>
          <w:p>
            <w:pPr>
              <w:pStyle w:val="TableParagraph"/>
              <w:spacing w:before="18"/>
              <w:ind w:left="62"/>
              <w:rPr>
                <w:sz w:val="18"/>
              </w:rPr>
            </w:pPr>
            <w:r>
              <w:rPr>
                <w:sz w:val="18"/>
              </w:rPr>
              <w:t>Fees for service</w:t>
            </w:r>
          </w:p>
        </w:tc>
        <w:tc>
          <w:tcPr>
            <w:tcW w:w="1469" w:type="dxa"/>
          </w:tcPr>
          <w:p>
            <w:pPr>
              <w:pStyle w:val="TableParagraph"/>
              <w:spacing w:before="19"/>
              <w:ind w:left="909" w:right="18"/>
              <w:jc w:val="center"/>
              <w:rPr>
                <w:sz w:val="18"/>
              </w:rPr>
            </w:pPr>
            <w:r>
              <w:rPr>
                <w:sz w:val="18"/>
              </w:rPr>
              <w:t>15</w:t>
            </w:r>
          </w:p>
        </w:tc>
        <w:tc>
          <w:tcPr>
            <w:tcW w:w="1410" w:type="dxa"/>
          </w:tcPr>
          <w:p>
            <w:pPr>
              <w:pStyle w:val="TableParagraph"/>
              <w:spacing w:before="19"/>
              <w:ind w:right="136"/>
              <w:jc w:val="right"/>
              <w:rPr>
                <w:b/>
                <w:sz w:val="18"/>
              </w:rPr>
            </w:pPr>
            <w:r>
              <w:rPr>
                <w:b/>
                <w:w w:val="95"/>
                <w:sz w:val="18"/>
              </w:rPr>
              <w:t>(3,297,498)</w:t>
            </w:r>
          </w:p>
        </w:tc>
        <w:tc>
          <w:tcPr>
            <w:tcW w:w="1185" w:type="dxa"/>
          </w:tcPr>
          <w:p>
            <w:pPr>
              <w:pStyle w:val="TableParagraph"/>
              <w:spacing w:before="19"/>
              <w:ind w:right="24"/>
              <w:jc w:val="right"/>
              <w:rPr>
                <w:sz w:val="18"/>
              </w:rPr>
            </w:pPr>
            <w:r>
              <w:rPr>
                <w:w w:val="95"/>
                <w:sz w:val="18"/>
              </w:rPr>
              <w:t>(3,858,286)</w:t>
            </w:r>
          </w:p>
        </w:tc>
      </w:tr>
      <w:tr>
        <w:trPr>
          <w:trHeight w:val="264" w:hRule="exact"/>
        </w:trPr>
        <w:tc>
          <w:tcPr>
            <w:tcW w:w="5890" w:type="dxa"/>
          </w:tcPr>
          <w:p>
            <w:pPr>
              <w:pStyle w:val="TableParagraph"/>
              <w:spacing w:before="18"/>
              <w:ind w:left="62"/>
              <w:rPr>
                <w:sz w:val="18"/>
              </w:rPr>
            </w:pPr>
            <w:r>
              <w:rPr>
                <w:sz w:val="18"/>
              </w:rPr>
              <w:t>Depreciation and amortisation expense</w:t>
            </w:r>
          </w:p>
        </w:tc>
        <w:tc>
          <w:tcPr>
            <w:tcW w:w="1469" w:type="dxa"/>
          </w:tcPr>
          <w:p>
            <w:pPr>
              <w:pStyle w:val="TableParagraph"/>
              <w:spacing w:before="19"/>
              <w:ind w:left="909" w:right="18"/>
              <w:jc w:val="center"/>
              <w:rPr>
                <w:sz w:val="18"/>
              </w:rPr>
            </w:pPr>
            <w:r>
              <w:rPr>
                <w:sz w:val="18"/>
              </w:rPr>
              <w:t>15</w:t>
            </w:r>
          </w:p>
        </w:tc>
        <w:tc>
          <w:tcPr>
            <w:tcW w:w="1410" w:type="dxa"/>
          </w:tcPr>
          <w:p>
            <w:pPr>
              <w:pStyle w:val="TableParagraph"/>
              <w:spacing w:before="19"/>
              <w:ind w:right="136"/>
              <w:jc w:val="right"/>
              <w:rPr>
                <w:b/>
                <w:sz w:val="18"/>
              </w:rPr>
            </w:pPr>
            <w:r>
              <w:rPr>
                <w:b/>
                <w:w w:val="95"/>
                <w:sz w:val="18"/>
              </w:rPr>
              <w:t>(1,669,715)</w:t>
            </w:r>
          </w:p>
        </w:tc>
        <w:tc>
          <w:tcPr>
            <w:tcW w:w="1185" w:type="dxa"/>
          </w:tcPr>
          <w:p>
            <w:pPr>
              <w:pStyle w:val="TableParagraph"/>
              <w:spacing w:before="19"/>
              <w:ind w:right="24"/>
              <w:jc w:val="right"/>
              <w:rPr>
                <w:sz w:val="18"/>
              </w:rPr>
            </w:pPr>
            <w:r>
              <w:rPr>
                <w:w w:val="95"/>
                <w:sz w:val="18"/>
              </w:rPr>
              <w:t>(1,235,440)</w:t>
            </w:r>
          </w:p>
        </w:tc>
      </w:tr>
      <w:tr>
        <w:trPr>
          <w:trHeight w:val="264" w:hRule="exact"/>
        </w:trPr>
        <w:tc>
          <w:tcPr>
            <w:tcW w:w="5890" w:type="dxa"/>
          </w:tcPr>
          <w:p>
            <w:pPr>
              <w:pStyle w:val="TableParagraph"/>
              <w:spacing w:before="18"/>
              <w:ind w:left="62"/>
              <w:rPr>
                <w:sz w:val="18"/>
              </w:rPr>
            </w:pPr>
            <w:r>
              <w:rPr>
                <w:sz w:val="18"/>
              </w:rPr>
              <w:t>Advertising, marketing and promotional expenses</w:t>
            </w:r>
          </w:p>
        </w:tc>
        <w:tc>
          <w:tcPr>
            <w:tcW w:w="1469" w:type="dxa"/>
          </w:tcPr>
          <w:p>
            <w:pPr/>
          </w:p>
        </w:tc>
        <w:tc>
          <w:tcPr>
            <w:tcW w:w="1410" w:type="dxa"/>
          </w:tcPr>
          <w:p>
            <w:pPr>
              <w:pStyle w:val="TableParagraph"/>
              <w:spacing w:before="19"/>
              <w:ind w:right="136"/>
              <w:jc w:val="right"/>
              <w:rPr>
                <w:b/>
                <w:sz w:val="18"/>
              </w:rPr>
            </w:pPr>
            <w:r>
              <w:rPr>
                <w:b/>
                <w:w w:val="95"/>
                <w:sz w:val="18"/>
              </w:rPr>
              <w:t>(355,619)</w:t>
            </w:r>
          </w:p>
        </w:tc>
        <w:tc>
          <w:tcPr>
            <w:tcW w:w="1185" w:type="dxa"/>
          </w:tcPr>
          <w:p>
            <w:pPr>
              <w:pStyle w:val="TableParagraph"/>
              <w:spacing w:before="19"/>
              <w:ind w:right="24"/>
              <w:jc w:val="right"/>
              <w:rPr>
                <w:sz w:val="18"/>
              </w:rPr>
            </w:pPr>
            <w:r>
              <w:rPr>
                <w:w w:val="95"/>
                <w:sz w:val="18"/>
              </w:rPr>
              <w:t>(132,018)</w:t>
            </w:r>
          </w:p>
        </w:tc>
      </w:tr>
      <w:tr>
        <w:trPr>
          <w:trHeight w:val="264" w:hRule="exact"/>
        </w:trPr>
        <w:tc>
          <w:tcPr>
            <w:tcW w:w="5890" w:type="dxa"/>
          </w:tcPr>
          <w:p>
            <w:pPr>
              <w:pStyle w:val="TableParagraph"/>
              <w:spacing w:before="18"/>
              <w:ind w:left="62"/>
              <w:rPr>
                <w:sz w:val="18"/>
              </w:rPr>
            </w:pPr>
            <w:r>
              <w:rPr>
                <w:sz w:val="18"/>
              </w:rPr>
              <w:t>Occupancy expenses</w:t>
            </w:r>
          </w:p>
        </w:tc>
        <w:tc>
          <w:tcPr>
            <w:tcW w:w="1469" w:type="dxa"/>
          </w:tcPr>
          <w:p>
            <w:pPr>
              <w:pStyle w:val="TableParagraph"/>
              <w:spacing w:before="19"/>
              <w:ind w:left="909" w:right="18"/>
              <w:jc w:val="center"/>
              <w:rPr>
                <w:sz w:val="18"/>
              </w:rPr>
            </w:pPr>
            <w:r>
              <w:rPr>
                <w:sz w:val="18"/>
              </w:rPr>
              <w:t>15</w:t>
            </w:r>
          </w:p>
        </w:tc>
        <w:tc>
          <w:tcPr>
            <w:tcW w:w="1410" w:type="dxa"/>
          </w:tcPr>
          <w:p>
            <w:pPr>
              <w:pStyle w:val="TableParagraph"/>
              <w:spacing w:before="19"/>
              <w:ind w:right="136"/>
              <w:jc w:val="right"/>
              <w:rPr>
                <w:b/>
                <w:sz w:val="18"/>
              </w:rPr>
            </w:pPr>
            <w:r>
              <w:rPr>
                <w:b/>
                <w:w w:val="95"/>
                <w:sz w:val="18"/>
              </w:rPr>
              <w:t>(288,576)</w:t>
            </w:r>
          </w:p>
        </w:tc>
        <w:tc>
          <w:tcPr>
            <w:tcW w:w="1185" w:type="dxa"/>
          </w:tcPr>
          <w:p>
            <w:pPr>
              <w:pStyle w:val="TableParagraph"/>
              <w:spacing w:before="19"/>
              <w:ind w:right="24"/>
              <w:jc w:val="right"/>
              <w:rPr>
                <w:sz w:val="18"/>
              </w:rPr>
            </w:pPr>
            <w:r>
              <w:rPr>
                <w:w w:val="95"/>
                <w:sz w:val="18"/>
              </w:rPr>
              <w:t>(339,947)</w:t>
            </w:r>
          </w:p>
        </w:tc>
      </w:tr>
      <w:tr>
        <w:trPr>
          <w:trHeight w:val="264" w:hRule="exact"/>
        </w:trPr>
        <w:tc>
          <w:tcPr>
            <w:tcW w:w="5890" w:type="dxa"/>
          </w:tcPr>
          <w:p>
            <w:pPr>
              <w:pStyle w:val="TableParagraph"/>
              <w:spacing w:before="18"/>
              <w:ind w:left="62"/>
              <w:rPr>
                <w:sz w:val="18"/>
              </w:rPr>
            </w:pPr>
            <w:r>
              <w:rPr>
                <w:sz w:val="18"/>
              </w:rPr>
              <w:t>Consumables and supplies</w:t>
            </w:r>
          </w:p>
        </w:tc>
        <w:tc>
          <w:tcPr>
            <w:tcW w:w="1469" w:type="dxa"/>
          </w:tcPr>
          <w:p>
            <w:pPr/>
          </w:p>
        </w:tc>
        <w:tc>
          <w:tcPr>
            <w:tcW w:w="1410" w:type="dxa"/>
          </w:tcPr>
          <w:p>
            <w:pPr>
              <w:pStyle w:val="TableParagraph"/>
              <w:spacing w:before="19"/>
              <w:ind w:right="136"/>
              <w:jc w:val="right"/>
              <w:rPr>
                <w:b/>
                <w:sz w:val="18"/>
              </w:rPr>
            </w:pPr>
            <w:r>
              <w:rPr>
                <w:b/>
                <w:w w:val="95"/>
                <w:sz w:val="18"/>
              </w:rPr>
              <w:t>(228,624)</w:t>
            </w:r>
          </w:p>
        </w:tc>
        <w:tc>
          <w:tcPr>
            <w:tcW w:w="1185" w:type="dxa"/>
          </w:tcPr>
          <w:p>
            <w:pPr>
              <w:pStyle w:val="TableParagraph"/>
              <w:spacing w:before="19"/>
              <w:ind w:right="24"/>
              <w:jc w:val="right"/>
              <w:rPr>
                <w:sz w:val="18"/>
              </w:rPr>
            </w:pPr>
            <w:r>
              <w:rPr>
                <w:w w:val="95"/>
                <w:sz w:val="18"/>
              </w:rPr>
              <w:t>(302,139)</w:t>
            </w:r>
          </w:p>
        </w:tc>
      </w:tr>
      <w:tr>
        <w:trPr>
          <w:trHeight w:val="264" w:hRule="exact"/>
        </w:trPr>
        <w:tc>
          <w:tcPr>
            <w:tcW w:w="5890" w:type="dxa"/>
          </w:tcPr>
          <w:p>
            <w:pPr>
              <w:pStyle w:val="TableParagraph"/>
              <w:spacing w:before="18"/>
              <w:ind w:left="62"/>
              <w:rPr>
                <w:sz w:val="18"/>
              </w:rPr>
            </w:pPr>
            <w:r>
              <w:rPr>
                <w:sz w:val="18"/>
              </w:rPr>
              <w:t>Student expenses</w:t>
            </w:r>
          </w:p>
        </w:tc>
        <w:tc>
          <w:tcPr>
            <w:tcW w:w="1469" w:type="dxa"/>
          </w:tcPr>
          <w:p>
            <w:pPr/>
          </w:p>
        </w:tc>
        <w:tc>
          <w:tcPr>
            <w:tcW w:w="1410" w:type="dxa"/>
          </w:tcPr>
          <w:p>
            <w:pPr>
              <w:pStyle w:val="TableParagraph"/>
              <w:spacing w:before="19"/>
              <w:ind w:right="136"/>
              <w:jc w:val="right"/>
              <w:rPr>
                <w:b/>
                <w:sz w:val="18"/>
              </w:rPr>
            </w:pPr>
            <w:r>
              <w:rPr>
                <w:b/>
                <w:w w:val="95"/>
                <w:sz w:val="18"/>
              </w:rPr>
              <w:t>(192,252)</w:t>
            </w:r>
          </w:p>
        </w:tc>
        <w:tc>
          <w:tcPr>
            <w:tcW w:w="1185" w:type="dxa"/>
          </w:tcPr>
          <w:p>
            <w:pPr>
              <w:pStyle w:val="TableParagraph"/>
              <w:spacing w:before="19"/>
              <w:ind w:right="24"/>
              <w:jc w:val="right"/>
              <w:rPr>
                <w:sz w:val="18"/>
              </w:rPr>
            </w:pPr>
            <w:r>
              <w:rPr>
                <w:w w:val="95"/>
                <w:sz w:val="18"/>
              </w:rPr>
              <w:t>(329,246)</w:t>
            </w:r>
          </w:p>
        </w:tc>
      </w:tr>
      <w:tr>
        <w:trPr>
          <w:trHeight w:val="263" w:hRule="exact"/>
        </w:trPr>
        <w:tc>
          <w:tcPr>
            <w:tcW w:w="5890" w:type="dxa"/>
          </w:tcPr>
          <w:p>
            <w:pPr>
              <w:pStyle w:val="TableParagraph"/>
              <w:spacing w:before="18"/>
              <w:ind w:left="62"/>
              <w:rPr>
                <w:sz w:val="18"/>
              </w:rPr>
            </w:pPr>
            <w:r>
              <w:rPr>
                <w:sz w:val="18"/>
              </w:rPr>
              <w:t>Other expenses</w:t>
            </w:r>
          </w:p>
        </w:tc>
        <w:tc>
          <w:tcPr>
            <w:tcW w:w="1469" w:type="dxa"/>
          </w:tcPr>
          <w:p>
            <w:pPr>
              <w:pStyle w:val="TableParagraph"/>
              <w:spacing w:before="19"/>
              <w:ind w:left="909" w:right="18"/>
              <w:jc w:val="center"/>
              <w:rPr>
                <w:sz w:val="18"/>
              </w:rPr>
            </w:pPr>
            <w:r>
              <w:rPr>
                <w:sz w:val="18"/>
              </w:rPr>
              <w:t>15</w:t>
            </w:r>
          </w:p>
        </w:tc>
        <w:tc>
          <w:tcPr>
            <w:tcW w:w="1410" w:type="dxa"/>
            <w:tcBorders>
              <w:bottom w:val="single" w:sz="0" w:space="0" w:color="000000"/>
            </w:tcBorders>
          </w:tcPr>
          <w:p>
            <w:pPr>
              <w:pStyle w:val="TableParagraph"/>
              <w:spacing w:before="19"/>
              <w:ind w:right="136"/>
              <w:jc w:val="right"/>
              <w:rPr>
                <w:b/>
                <w:sz w:val="18"/>
              </w:rPr>
            </w:pPr>
            <w:r>
              <w:rPr>
                <w:b/>
                <w:w w:val="95"/>
                <w:sz w:val="18"/>
              </w:rPr>
              <w:t>(1,227,576)</w:t>
            </w:r>
          </w:p>
        </w:tc>
        <w:tc>
          <w:tcPr>
            <w:tcW w:w="1185" w:type="dxa"/>
            <w:tcBorders>
              <w:bottom w:val="single" w:sz="0" w:space="0" w:color="000000"/>
            </w:tcBorders>
          </w:tcPr>
          <w:p>
            <w:pPr>
              <w:pStyle w:val="TableParagraph"/>
              <w:spacing w:before="19"/>
              <w:ind w:right="24"/>
              <w:jc w:val="right"/>
              <w:rPr>
                <w:sz w:val="18"/>
              </w:rPr>
            </w:pPr>
            <w:r>
              <w:rPr>
                <w:w w:val="95"/>
                <w:sz w:val="18"/>
              </w:rPr>
              <w:t>(1,867,820)</w:t>
            </w:r>
          </w:p>
        </w:tc>
      </w:tr>
      <w:tr>
        <w:trPr>
          <w:trHeight w:val="338" w:hRule="exact"/>
        </w:trPr>
        <w:tc>
          <w:tcPr>
            <w:tcW w:w="5890" w:type="dxa"/>
          </w:tcPr>
          <w:p>
            <w:pPr>
              <w:pStyle w:val="TableParagraph"/>
              <w:spacing w:before="123"/>
              <w:ind w:left="62"/>
              <w:rPr>
                <w:b/>
                <w:sz w:val="18"/>
              </w:rPr>
            </w:pPr>
            <w:r>
              <w:rPr>
                <w:b/>
                <w:sz w:val="18"/>
              </w:rPr>
              <w:t>Total Expenses</w:t>
            </w:r>
          </w:p>
        </w:tc>
        <w:tc>
          <w:tcPr>
            <w:tcW w:w="1469" w:type="dxa"/>
          </w:tcPr>
          <w:p>
            <w:pPr/>
          </w:p>
        </w:tc>
        <w:tc>
          <w:tcPr>
            <w:tcW w:w="1410" w:type="dxa"/>
            <w:tcBorders>
              <w:top w:val="single" w:sz="0" w:space="0" w:color="000000"/>
              <w:bottom w:val="single" w:sz="0" w:space="0" w:color="000000"/>
            </w:tcBorders>
          </w:tcPr>
          <w:p>
            <w:pPr>
              <w:pStyle w:val="TableParagraph"/>
              <w:spacing w:before="122"/>
              <w:ind w:right="136"/>
              <w:jc w:val="right"/>
              <w:rPr>
                <w:b/>
                <w:sz w:val="18"/>
              </w:rPr>
            </w:pPr>
            <w:r>
              <w:rPr>
                <w:b/>
                <w:sz w:val="18"/>
              </w:rPr>
              <w:t>(59,605,859)</w:t>
            </w:r>
          </w:p>
        </w:tc>
        <w:tc>
          <w:tcPr>
            <w:tcW w:w="1185" w:type="dxa"/>
            <w:tcBorders>
              <w:top w:val="single" w:sz="0" w:space="0" w:color="000000"/>
              <w:bottom w:val="single" w:sz="0" w:space="0" w:color="000000"/>
            </w:tcBorders>
          </w:tcPr>
          <w:p>
            <w:pPr>
              <w:pStyle w:val="TableParagraph"/>
              <w:spacing w:before="122"/>
              <w:ind w:right="23"/>
              <w:jc w:val="right"/>
              <w:rPr>
                <w:sz w:val="18"/>
              </w:rPr>
            </w:pPr>
            <w:r>
              <w:rPr>
                <w:sz w:val="18"/>
              </w:rPr>
              <w:t>(59,968,970)</w:t>
            </w:r>
          </w:p>
        </w:tc>
      </w:tr>
      <w:tr>
        <w:trPr>
          <w:trHeight w:val="338" w:hRule="exact"/>
        </w:trPr>
        <w:tc>
          <w:tcPr>
            <w:tcW w:w="5890" w:type="dxa"/>
          </w:tcPr>
          <w:p>
            <w:pPr>
              <w:pStyle w:val="TableParagraph"/>
              <w:spacing w:before="123"/>
              <w:ind w:left="62"/>
              <w:rPr>
                <w:b/>
                <w:sz w:val="18"/>
              </w:rPr>
            </w:pPr>
            <w:r>
              <w:rPr>
                <w:b/>
                <w:sz w:val="18"/>
              </w:rPr>
              <w:t>Surplus / (deficit) for the year</w:t>
            </w:r>
          </w:p>
        </w:tc>
        <w:tc>
          <w:tcPr>
            <w:tcW w:w="1469" w:type="dxa"/>
          </w:tcPr>
          <w:p>
            <w:pPr/>
          </w:p>
        </w:tc>
        <w:tc>
          <w:tcPr>
            <w:tcW w:w="1410" w:type="dxa"/>
            <w:tcBorders>
              <w:top w:val="single" w:sz="0" w:space="0" w:color="000000"/>
              <w:bottom w:val="single" w:sz="0" w:space="0" w:color="000000"/>
            </w:tcBorders>
          </w:tcPr>
          <w:p>
            <w:pPr>
              <w:pStyle w:val="TableParagraph"/>
              <w:spacing w:before="122"/>
              <w:ind w:right="111"/>
              <w:jc w:val="center"/>
              <w:rPr>
                <w:b/>
                <w:sz w:val="18"/>
              </w:rPr>
            </w:pPr>
            <w:r>
              <w:rPr>
                <w:b/>
                <w:w w:val="99"/>
                <w:sz w:val="18"/>
              </w:rPr>
              <w:t>-</w:t>
            </w:r>
          </w:p>
        </w:tc>
        <w:tc>
          <w:tcPr>
            <w:tcW w:w="1185" w:type="dxa"/>
            <w:tcBorders>
              <w:top w:val="single" w:sz="0" w:space="0" w:color="000000"/>
              <w:bottom w:val="single" w:sz="0" w:space="0" w:color="000000"/>
            </w:tcBorders>
          </w:tcPr>
          <w:p>
            <w:pPr>
              <w:pStyle w:val="TableParagraph"/>
              <w:spacing w:before="122"/>
              <w:ind w:right="111"/>
              <w:jc w:val="center"/>
              <w:rPr>
                <w:sz w:val="18"/>
              </w:rPr>
            </w:pPr>
            <w:r>
              <w:rPr>
                <w:w w:val="99"/>
                <w:sz w:val="18"/>
              </w:rPr>
              <w:t>-</w:t>
            </w:r>
          </w:p>
        </w:tc>
      </w:tr>
      <w:tr>
        <w:trPr>
          <w:trHeight w:val="283" w:hRule="exact"/>
        </w:trPr>
        <w:tc>
          <w:tcPr>
            <w:tcW w:w="5890" w:type="dxa"/>
          </w:tcPr>
          <w:p>
            <w:pPr>
              <w:pStyle w:val="TableParagraph"/>
              <w:spacing w:before="38"/>
              <w:ind w:left="62"/>
              <w:rPr>
                <w:sz w:val="18"/>
              </w:rPr>
            </w:pPr>
            <w:r>
              <w:rPr>
                <w:sz w:val="18"/>
              </w:rPr>
              <w:t>Other comprehensive income</w:t>
            </w:r>
          </w:p>
        </w:tc>
        <w:tc>
          <w:tcPr>
            <w:tcW w:w="1469" w:type="dxa"/>
          </w:tcPr>
          <w:p>
            <w:pPr/>
          </w:p>
        </w:tc>
        <w:tc>
          <w:tcPr>
            <w:tcW w:w="1410" w:type="dxa"/>
            <w:tcBorders>
              <w:top w:val="single" w:sz="0" w:space="0" w:color="000000"/>
              <w:bottom w:val="single" w:sz="0" w:space="0" w:color="000000"/>
            </w:tcBorders>
          </w:tcPr>
          <w:p>
            <w:pPr>
              <w:pStyle w:val="TableParagraph"/>
              <w:spacing w:before="38"/>
              <w:ind w:right="111"/>
              <w:jc w:val="center"/>
              <w:rPr>
                <w:b/>
                <w:sz w:val="18"/>
              </w:rPr>
            </w:pPr>
            <w:r>
              <w:rPr>
                <w:b/>
                <w:w w:val="99"/>
                <w:sz w:val="18"/>
              </w:rPr>
              <w:t>-</w:t>
            </w:r>
          </w:p>
        </w:tc>
        <w:tc>
          <w:tcPr>
            <w:tcW w:w="1185" w:type="dxa"/>
            <w:tcBorders>
              <w:top w:val="single" w:sz="0" w:space="0" w:color="000000"/>
              <w:bottom w:val="single" w:sz="0" w:space="0" w:color="000000"/>
            </w:tcBorders>
          </w:tcPr>
          <w:p>
            <w:pPr>
              <w:pStyle w:val="TableParagraph"/>
              <w:spacing w:before="38"/>
              <w:ind w:right="111"/>
              <w:jc w:val="center"/>
              <w:rPr>
                <w:sz w:val="18"/>
              </w:rPr>
            </w:pPr>
            <w:r>
              <w:rPr>
                <w:w w:val="99"/>
                <w:sz w:val="18"/>
              </w:rPr>
              <w:t>-</w:t>
            </w:r>
          </w:p>
        </w:tc>
      </w:tr>
      <w:tr>
        <w:trPr>
          <w:trHeight w:val="353" w:hRule="exact"/>
        </w:trPr>
        <w:tc>
          <w:tcPr>
            <w:tcW w:w="5890" w:type="dxa"/>
          </w:tcPr>
          <w:p>
            <w:pPr>
              <w:pStyle w:val="TableParagraph"/>
              <w:spacing w:before="123"/>
              <w:ind w:left="62"/>
              <w:rPr>
                <w:b/>
                <w:sz w:val="18"/>
              </w:rPr>
            </w:pPr>
            <w:r>
              <w:rPr>
                <w:b/>
                <w:sz w:val="18"/>
              </w:rPr>
              <w:t>Total comprehensive income for the year</w:t>
            </w:r>
          </w:p>
        </w:tc>
        <w:tc>
          <w:tcPr>
            <w:tcW w:w="1469" w:type="dxa"/>
          </w:tcPr>
          <w:p>
            <w:pPr/>
          </w:p>
        </w:tc>
        <w:tc>
          <w:tcPr>
            <w:tcW w:w="1410" w:type="dxa"/>
            <w:tcBorders>
              <w:top w:val="single" w:sz="0" w:space="0" w:color="000000"/>
              <w:bottom w:val="single" w:sz="0" w:space="0" w:color="000000"/>
            </w:tcBorders>
          </w:tcPr>
          <w:p>
            <w:pPr>
              <w:pStyle w:val="TableParagraph"/>
              <w:spacing w:before="122"/>
              <w:ind w:right="111"/>
              <w:jc w:val="center"/>
              <w:rPr>
                <w:b/>
                <w:sz w:val="18"/>
              </w:rPr>
            </w:pPr>
            <w:r>
              <w:rPr>
                <w:b/>
                <w:w w:val="99"/>
                <w:sz w:val="18"/>
              </w:rPr>
              <w:t>-</w:t>
            </w:r>
          </w:p>
        </w:tc>
        <w:tc>
          <w:tcPr>
            <w:tcW w:w="1185" w:type="dxa"/>
            <w:tcBorders>
              <w:top w:val="single" w:sz="0" w:space="0" w:color="000000"/>
              <w:bottom w:val="single" w:sz="0" w:space="0" w:color="000000"/>
            </w:tcBorders>
          </w:tcPr>
          <w:p>
            <w:pPr>
              <w:pStyle w:val="TableParagraph"/>
              <w:spacing w:before="122"/>
              <w:ind w:right="111"/>
              <w:jc w:val="center"/>
              <w:rPr>
                <w:sz w:val="18"/>
              </w:rPr>
            </w:pPr>
            <w:r>
              <w:rPr>
                <w:w w:val="99"/>
                <w:sz w:val="18"/>
              </w:rPr>
              <w:t>-</w:t>
            </w:r>
          </w:p>
        </w:tc>
      </w:tr>
      <w:tr>
        <w:trPr>
          <w:trHeight w:val="368" w:hRule="exact"/>
        </w:trPr>
        <w:tc>
          <w:tcPr>
            <w:tcW w:w="5890" w:type="dxa"/>
          </w:tcPr>
          <w:p>
            <w:pPr>
              <w:pStyle w:val="TableParagraph"/>
              <w:spacing w:before="138"/>
              <w:ind w:left="62"/>
              <w:rPr>
                <w:b/>
                <w:sz w:val="18"/>
              </w:rPr>
            </w:pPr>
            <w:r>
              <w:rPr>
                <w:b/>
                <w:sz w:val="18"/>
              </w:rPr>
              <w:t>Comprehensive income for the year attributable to</w:t>
            </w:r>
          </w:p>
        </w:tc>
        <w:tc>
          <w:tcPr>
            <w:tcW w:w="1469" w:type="dxa"/>
          </w:tcPr>
          <w:p>
            <w:pPr/>
          </w:p>
        </w:tc>
        <w:tc>
          <w:tcPr>
            <w:tcW w:w="1410" w:type="dxa"/>
            <w:tcBorders>
              <w:top w:val="single" w:sz="0" w:space="0" w:color="000000"/>
            </w:tcBorders>
          </w:tcPr>
          <w:p>
            <w:pPr/>
          </w:p>
        </w:tc>
        <w:tc>
          <w:tcPr>
            <w:tcW w:w="1185" w:type="dxa"/>
            <w:tcBorders>
              <w:top w:val="single" w:sz="0" w:space="0" w:color="000000"/>
            </w:tcBorders>
          </w:tcPr>
          <w:p>
            <w:pPr/>
          </w:p>
        </w:tc>
      </w:tr>
      <w:tr>
        <w:trPr>
          <w:trHeight w:val="250" w:hRule="exact"/>
        </w:trPr>
        <w:tc>
          <w:tcPr>
            <w:tcW w:w="5890" w:type="dxa"/>
          </w:tcPr>
          <w:p>
            <w:pPr>
              <w:pStyle w:val="TableParagraph"/>
              <w:spacing w:before="4"/>
              <w:ind w:left="62"/>
              <w:rPr>
                <w:sz w:val="18"/>
              </w:rPr>
            </w:pPr>
            <w:r>
              <w:rPr>
                <w:sz w:val="18"/>
              </w:rPr>
              <w:t>Non - controlling interest</w:t>
            </w:r>
          </w:p>
        </w:tc>
        <w:tc>
          <w:tcPr>
            <w:tcW w:w="1469" w:type="dxa"/>
          </w:tcPr>
          <w:p>
            <w:pPr/>
          </w:p>
        </w:tc>
        <w:tc>
          <w:tcPr>
            <w:tcW w:w="1410" w:type="dxa"/>
          </w:tcPr>
          <w:p>
            <w:pPr>
              <w:pStyle w:val="TableParagraph"/>
              <w:spacing w:before="5"/>
              <w:ind w:right="111"/>
              <w:jc w:val="center"/>
              <w:rPr>
                <w:b/>
                <w:sz w:val="18"/>
              </w:rPr>
            </w:pPr>
            <w:r>
              <w:rPr>
                <w:b/>
                <w:w w:val="99"/>
                <w:sz w:val="18"/>
              </w:rPr>
              <w:t>-</w:t>
            </w:r>
          </w:p>
        </w:tc>
        <w:tc>
          <w:tcPr>
            <w:tcW w:w="1185" w:type="dxa"/>
          </w:tcPr>
          <w:p>
            <w:pPr>
              <w:pStyle w:val="TableParagraph"/>
              <w:spacing w:before="5"/>
              <w:ind w:right="111"/>
              <w:jc w:val="center"/>
              <w:rPr>
                <w:sz w:val="18"/>
              </w:rPr>
            </w:pPr>
            <w:r>
              <w:rPr>
                <w:w w:val="99"/>
                <w:sz w:val="18"/>
              </w:rPr>
              <w:t>-</w:t>
            </w:r>
          </w:p>
        </w:tc>
      </w:tr>
      <w:tr>
        <w:trPr>
          <w:trHeight w:val="263" w:hRule="exact"/>
        </w:trPr>
        <w:tc>
          <w:tcPr>
            <w:tcW w:w="5890" w:type="dxa"/>
          </w:tcPr>
          <w:p>
            <w:pPr>
              <w:pStyle w:val="TableParagraph"/>
              <w:spacing w:before="18"/>
              <w:ind w:left="62"/>
              <w:rPr>
                <w:sz w:val="18"/>
              </w:rPr>
            </w:pPr>
            <w:r>
              <w:rPr>
                <w:sz w:val="18"/>
              </w:rPr>
              <w:t>Western Sydney University (The Parent)</w:t>
            </w:r>
          </w:p>
        </w:tc>
        <w:tc>
          <w:tcPr>
            <w:tcW w:w="1469" w:type="dxa"/>
          </w:tcPr>
          <w:p>
            <w:pPr/>
          </w:p>
        </w:tc>
        <w:tc>
          <w:tcPr>
            <w:tcW w:w="1410" w:type="dxa"/>
            <w:tcBorders>
              <w:bottom w:val="single" w:sz="0" w:space="0" w:color="000000"/>
            </w:tcBorders>
          </w:tcPr>
          <w:p>
            <w:pPr>
              <w:pStyle w:val="TableParagraph"/>
              <w:spacing w:before="19"/>
              <w:ind w:right="111"/>
              <w:jc w:val="center"/>
              <w:rPr>
                <w:b/>
                <w:sz w:val="18"/>
              </w:rPr>
            </w:pPr>
            <w:r>
              <w:rPr>
                <w:b/>
                <w:w w:val="99"/>
                <w:sz w:val="18"/>
              </w:rPr>
              <w:t>-</w:t>
            </w:r>
          </w:p>
        </w:tc>
        <w:tc>
          <w:tcPr>
            <w:tcW w:w="1185" w:type="dxa"/>
            <w:tcBorders>
              <w:bottom w:val="single" w:sz="0" w:space="0" w:color="000000"/>
            </w:tcBorders>
          </w:tcPr>
          <w:p>
            <w:pPr>
              <w:pStyle w:val="TableParagraph"/>
              <w:spacing w:before="19"/>
              <w:ind w:right="111"/>
              <w:jc w:val="center"/>
              <w:rPr>
                <w:sz w:val="18"/>
              </w:rPr>
            </w:pPr>
            <w:r>
              <w:rPr>
                <w:w w:val="99"/>
                <w:sz w:val="18"/>
              </w:rPr>
              <w:t>-</w:t>
            </w:r>
          </w:p>
        </w:tc>
      </w:tr>
      <w:tr>
        <w:trPr>
          <w:trHeight w:val="353" w:hRule="exact"/>
        </w:trPr>
        <w:tc>
          <w:tcPr>
            <w:tcW w:w="5890" w:type="dxa"/>
          </w:tcPr>
          <w:p>
            <w:pPr>
              <w:pStyle w:val="TableParagraph"/>
              <w:spacing w:before="123"/>
              <w:ind w:left="62"/>
              <w:rPr>
                <w:b/>
                <w:sz w:val="18"/>
              </w:rPr>
            </w:pPr>
            <w:r>
              <w:rPr>
                <w:b/>
                <w:sz w:val="18"/>
              </w:rPr>
              <w:t>Total comprehensive income for the year</w:t>
            </w:r>
          </w:p>
        </w:tc>
        <w:tc>
          <w:tcPr>
            <w:tcW w:w="1469" w:type="dxa"/>
          </w:tcPr>
          <w:p>
            <w:pPr/>
          </w:p>
        </w:tc>
        <w:tc>
          <w:tcPr>
            <w:tcW w:w="1410" w:type="dxa"/>
            <w:tcBorders>
              <w:top w:val="single" w:sz="0" w:space="0" w:color="000000"/>
              <w:bottom w:val="single" w:sz="0" w:space="0" w:color="000000"/>
            </w:tcBorders>
          </w:tcPr>
          <w:p>
            <w:pPr>
              <w:pStyle w:val="TableParagraph"/>
              <w:spacing w:before="122"/>
              <w:ind w:right="111"/>
              <w:jc w:val="center"/>
              <w:rPr>
                <w:b/>
                <w:sz w:val="18"/>
              </w:rPr>
            </w:pPr>
            <w:r>
              <w:rPr>
                <w:b/>
                <w:w w:val="99"/>
                <w:sz w:val="18"/>
              </w:rPr>
              <w:t>-</w:t>
            </w:r>
          </w:p>
        </w:tc>
        <w:tc>
          <w:tcPr>
            <w:tcW w:w="1185" w:type="dxa"/>
            <w:tcBorders>
              <w:top w:val="single" w:sz="0" w:space="0" w:color="000000"/>
              <w:bottom w:val="single" w:sz="0" w:space="0" w:color="000000"/>
            </w:tcBorders>
          </w:tcPr>
          <w:p>
            <w:pPr>
              <w:pStyle w:val="TableParagraph"/>
              <w:spacing w:before="122"/>
              <w:ind w:right="111"/>
              <w:jc w:val="center"/>
              <w:rPr>
                <w:sz w:val="18"/>
              </w:rPr>
            </w:pPr>
            <w:r>
              <w:rPr>
                <w:w w:val="99"/>
                <w:sz w:val="18"/>
              </w:rPr>
              <w:t>-</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2"/>
        </w:rPr>
      </w:pPr>
    </w:p>
    <w:p>
      <w:pPr>
        <w:pStyle w:val="BodyText"/>
        <w:spacing w:before="78"/>
        <w:ind w:left="2531" w:right="19"/>
      </w:pPr>
      <w:r>
        <w:rPr/>
        <w:t>The accompanying notes form part of these financial statements.</w:t>
      </w:r>
    </w:p>
    <w:p>
      <w:pPr>
        <w:spacing w:after="0"/>
        <w:sectPr>
          <w:headerReference w:type="default" r:id="rId52"/>
          <w:footerReference w:type="default" r:id="rId53"/>
          <w:pgSz w:w="11910" w:h="16840"/>
          <w:pgMar w:header="0" w:footer="507" w:top="960" w:bottom="700" w:left="860" w:right="860"/>
          <w:pgNumType w:start="102"/>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509"/>
        <w:gridCol w:w="1849"/>
        <w:gridCol w:w="1410"/>
        <w:gridCol w:w="1185"/>
      </w:tblGrid>
      <w:tr>
        <w:trPr>
          <w:trHeight w:val="911" w:hRule="exact"/>
        </w:trPr>
        <w:tc>
          <w:tcPr>
            <w:tcW w:w="5509" w:type="dxa"/>
          </w:tcPr>
          <w:p>
            <w:pPr>
              <w:pStyle w:val="TableParagraph"/>
              <w:spacing w:before="64"/>
              <w:ind w:left="35"/>
              <w:rPr>
                <w:b/>
                <w:sz w:val="28"/>
              </w:rPr>
            </w:pPr>
            <w:r>
              <w:rPr>
                <w:b/>
                <w:sz w:val="28"/>
              </w:rPr>
              <w:t>Statement of Financial Position</w:t>
            </w:r>
          </w:p>
          <w:p>
            <w:pPr>
              <w:pStyle w:val="TableParagraph"/>
              <w:spacing w:before="57"/>
              <w:ind w:left="35"/>
              <w:rPr>
                <w:b/>
                <w:sz w:val="22"/>
              </w:rPr>
            </w:pPr>
            <w:r>
              <w:rPr>
                <w:b/>
                <w:sz w:val="22"/>
              </w:rPr>
              <w:t>As At 31 December 2017</w:t>
            </w:r>
          </w:p>
        </w:tc>
        <w:tc>
          <w:tcPr>
            <w:tcW w:w="4443" w:type="dxa"/>
            <w:gridSpan w:val="3"/>
          </w:tcPr>
          <w:p>
            <w:pPr/>
          </w:p>
        </w:tc>
      </w:tr>
      <w:tr>
        <w:trPr>
          <w:trHeight w:val="447" w:hRule="exact"/>
        </w:trPr>
        <w:tc>
          <w:tcPr>
            <w:tcW w:w="5509" w:type="dxa"/>
          </w:tcPr>
          <w:p>
            <w:pPr/>
          </w:p>
        </w:tc>
        <w:tc>
          <w:tcPr>
            <w:tcW w:w="1849" w:type="dxa"/>
          </w:tcPr>
          <w:p>
            <w:pPr/>
          </w:p>
        </w:tc>
        <w:tc>
          <w:tcPr>
            <w:tcW w:w="1410" w:type="dxa"/>
          </w:tcPr>
          <w:p>
            <w:pPr>
              <w:pStyle w:val="TableParagraph"/>
              <w:spacing w:before="1"/>
              <w:rPr>
                <w:sz w:val="17"/>
              </w:rPr>
            </w:pPr>
          </w:p>
          <w:p>
            <w:pPr>
              <w:pStyle w:val="TableParagraph"/>
              <w:ind w:right="306"/>
              <w:jc w:val="right"/>
              <w:rPr>
                <w:b/>
                <w:sz w:val="18"/>
              </w:rPr>
            </w:pPr>
            <w:r>
              <w:rPr>
                <w:b/>
                <w:sz w:val="18"/>
              </w:rPr>
              <w:t>2017</w:t>
            </w:r>
          </w:p>
        </w:tc>
        <w:tc>
          <w:tcPr>
            <w:tcW w:w="1185" w:type="dxa"/>
          </w:tcPr>
          <w:p>
            <w:pPr>
              <w:pStyle w:val="TableParagraph"/>
              <w:spacing w:before="1"/>
              <w:rPr>
                <w:sz w:val="17"/>
              </w:rPr>
            </w:pPr>
          </w:p>
          <w:p>
            <w:pPr>
              <w:pStyle w:val="TableParagraph"/>
              <w:ind w:right="168"/>
              <w:jc w:val="right"/>
              <w:rPr>
                <w:b/>
                <w:sz w:val="18"/>
              </w:rPr>
            </w:pPr>
            <w:r>
              <w:rPr>
                <w:b/>
                <w:w w:val="95"/>
                <w:sz w:val="18"/>
              </w:rPr>
              <w:t>2016</w:t>
            </w:r>
          </w:p>
        </w:tc>
      </w:tr>
      <w:tr>
        <w:trPr>
          <w:trHeight w:val="313" w:hRule="exact"/>
        </w:trPr>
        <w:tc>
          <w:tcPr>
            <w:tcW w:w="5509" w:type="dxa"/>
          </w:tcPr>
          <w:p>
            <w:pPr/>
          </w:p>
        </w:tc>
        <w:tc>
          <w:tcPr>
            <w:tcW w:w="1849" w:type="dxa"/>
          </w:tcPr>
          <w:p>
            <w:pPr>
              <w:pStyle w:val="TableParagraph"/>
              <w:spacing w:before="24"/>
              <w:ind w:left="1289" w:right="18"/>
              <w:jc w:val="center"/>
              <w:rPr>
                <w:b/>
                <w:sz w:val="18"/>
              </w:rPr>
            </w:pPr>
            <w:r>
              <w:rPr>
                <w:b/>
                <w:sz w:val="18"/>
              </w:rPr>
              <w:t>Notes</w:t>
            </w:r>
          </w:p>
        </w:tc>
        <w:tc>
          <w:tcPr>
            <w:tcW w:w="1410" w:type="dxa"/>
          </w:tcPr>
          <w:p>
            <w:pPr>
              <w:pStyle w:val="TableParagraph"/>
              <w:spacing w:before="24"/>
              <w:ind w:left="926"/>
              <w:rPr>
                <w:b/>
                <w:sz w:val="18"/>
              </w:rPr>
            </w:pPr>
            <w:r>
              <w:rPr>
                <w:b/>
                <w:w w:val="99"/>
                <w:sz w:val="18"/>
              </w:rPr>
              <w:t>$</w:t>
            </w:r>
          </w:p>
        </w:tc>
        <w:tc>
          <w:tcPr>
            <w:tcW w:w="1185" w:type="dxa"/>
          </w:tcPr>
          <w:p>
            <w:pPr>
              <w:pStyle w:val="TableParagraph"/>
              <w:spacing w:before="24"/>
              <w:ind w:right="243"/>
              <w:jc w:val="right"/>
              <w:rPr>
                <w:b/>
                <w:sz w:val="18"/>
              </w:rPr>
            </w:pPr>
            <w:r>
              <w:rPr>
                <w:b/>
                <w:w w:val="99"/>
                <w:sz w:val="18"/>
              </w:rPr>
              <w:t>$</w:t>
            </w:r>
          </w:p>
        </w:tc>
      </w:tr>
      <w:tr>
        <w:trPr>
          <w:trHeight w:val="542" w:hRule="exact"/>
        </w:trPr>
        <w:tc>
          <w:tcPr>
            <w:tcW w:w="5509" w:type="dxa"/>
          </w:tcPr>
          <w:p>
            <w:pPr>
              <w:pStyle w:val="TableParagraph"/>
              <w:spacing w:before="63"/>
              <w:ind w:left="62"/>
              <w:rPr>
                <w:b/>
                <w:sz w:val="18"/>
              </w:rPr>
            </w:pPr>
            <w:r>
              <w:rPr>
                <w:b/>
                <w:sz w:val="18"/>
              </w:rPr>
              <w:t>ASSETS</w:t>
            </w:r>
          </w:p>
          <w:p>
            <w:pPr>
              <w:pStyle w:val="TableParagraph"/>
              <w:spacing w:before="27"/>
              <w:ind w:left="62"/>
              <w:rPr>
                <w:b/>
                <w:sz w:val="18"/>
              </w:rPr>
            </w:pPr>
            <w:r>
              <w:rPr>
                <w:b/>
                <w:sz w:val="18"/>
              </w:rPr>
              <w:t>Current Assets</w:t>
            </w:r>
          </w:p>
        </w:tc>
        <w:tc>
          <w:tcPr>
            <w:tcW w:w="1849" w:type="dxa"/>
          </w:tcPr>
          <w:p>
            <w:pPr/>
          </w:p>
        </w:tc>
        <w:tc>
          <w:tcPr>
            <w:tcW w:w="1410" w:type="dxa"/>
          </w:tcPr>
          <w:p>
            <w:pPr/>
          </w:p>
        </w:tc>
        <w:tc>
          <w:tcPr>
            <w:tcW w:w="1185" w:type="dxa"/>
          </w:tcPr>
          <w:p>
            <w:pPr/>
          </w:p>
        </w:tc>
      </w:tr>
      <w:tr>
        <w:trPr>
          <w:trHeight w:val="265" w:hRule="exact"/>
        </w:trPr>
        <w:tc>
          <w:tcPr>
            <w:tcW w:w="5509" w:type="dxa"/>
          </w:tcPr>
          <w:p>
            <w:pPr>
              <w:pStyle w:val="TableParagraph"/>
              <w:spacing w:before="19"/>
              <w:ind w:left="62"/>
              <w:rPr>
                <w:sz w:val="18"/>
              </w:rPr>
            </w:pPr>
            <w:r>
              <w:rPr>
                <w:sz w:val="18"/>
              </w:rPr>
              <w:t>Cash and cash equivalents</w:t>
            </w:r>
          </w:p>
        </w:tc>
        <w:tc>
          <w:tcPr>
            <w:tcW w:w="1849" w:type="dxa"/>
          </w:tcPr>
          <w:p>
            <w:pPr>
              <w:pStyle w:val="TableParagraph"/>
              <w:spacing w:before="20"/>
              <w:ind w:left="1271"/>
              <w:jc w:val="center"/>
              <w:rPr>
                <w:sz w:val="18"/>
              </w:rPr>
            </w:pPr>
            <w:r>
              <w:rPr>
                <w:w w:val="99"/>
                <w:sz w:val="18"/>
              </w:rPr>
              <w:t>2</w:t>
            </w:r>
          </w:p>
        </w:tc>
        <w:tc>
          <w:tcPr>
            <w:tcW w:w="1410" w:type="dxa"/>
          </w:tcPr>
          <w:p>
            <w:pPr>
              <w:pStyle w:val="TableParagraph"/>
              <w:spacing w:before="20"/>
              <w:ind w:right="196"/>
              <w:jc w:val="right"/>
              <w:rPr>
                <w:b/>
                <w:sz w:val="18"/>
              </w:rPr>
            </w:pPr>
            <w:r>
              <w:rPr>
                <w:b/>
                <w:w w:val="95"/>
                <w:sz w:val="18"/>
              </w:rPr>
              <w:t>906,965</w:t>
            </w:r>
          </w:p>
        </w:tc>
        <w:tc>
          <w:tcPr>
            <w:tcW w:w="1185" w:type="dxa"/>
          </w:tcPr>
          <w:p>
            <w:pPr>
              <w:pStyle w:val="TableParagraph"/>
              <w:spacing w:before="20"/>
              <w:ind w:right="84"/>
              <w:jc w:val="right"/>
              <w:rPr>
                <w:sz w:val="18"/>
              </w:rPr>
            </w:pPr>
            <w:r>
              <w:rPr>
                <w:w w:val="95"/>
                <w:sz w:val="18"/>
              </w:rPr>
              <w:t>1,109,058</w:t>
            </w:r>
          </w:p>
        </w:tc>
      </w:tr>
      <w:tr>
        <w:trPr>
          <w:trHeight w:val="264" w:hRule="exact"/>
        </w:trPr>
        <w:tc>
          <w:tcPr>
            <w:tcW w:w="5509" w:type="dxa"/>
          </w:tcPr>
          <w:p>
            <w:pPr>
              <w:pStyle w:val="TableParagraph"/>
              <w:spacing w:before="18"/>
              <w:ind w:left="62"/>
              <w:rPr>
                <w:sz w:val="18"/>
              </w:rPr>
            </w:pPr>
            <w:r>
              <w:rPr>
                <w:sz w:val="18"/>
              </w:rPr>
              <w:t>Loans to parent entity</w:t>
            </w:r>
          </w:p>
        </w:tc>
        <w:tc>
          <w:tcPr>
            <w:tcW w:w="1849" w:type="dxa"/>
          </w:tcPr>
          <w:p>
            <w:pPr>
              <w:pStyle w:val="TableParagraph"/>
              <w:spacing w:before="19"/>
              <w:ind w:left="1289" w:right="17"/>
              <w:jc w:val="center"/>
              <w:rPr>
                <w:sz w:val="18"/>
              </w:rPr>
            </w:pPr>
            <w:r>
              <w:rPr>
                <w:sz w:val="18"/>
              </w:rPr>
              <w:t>20(c)</w:t>
            </w:r>
          </w:p>
        </w:tc>
        <w:tc>
          <w:tcPr>
            <w:tcW w:w="1410" w:type="dxa"/>
          </w:tcPr>
          <w:p>
            <w:pPr>
              <w:pStyle w:val="TableParagraph"/>
              <w:spacing w:before="19"/>
              <w:ind w:right="196"/>
              <w:jc w:val="right"/>
              <w:rPr>
                <w:b/>
                <w:sz w:val="18"/>
              </w:rPr>
            </w:pPr>
            <w:r>
              <w:rPr>
                <w:b/>
                <w:w w:val="95"/>
                <w:sz w:val="18"/>
              </w:rPr>
              <w:t>7,001,886</w:t>
            </w:r>
          </w:p>
        </w:tc>
        <w:tc>
          <w:tcPr>
            <w:tcW w:w="1185" w:type="dxa"/>
          </w:tcPr>
          <w:p>
            <w:pPr>
              <w:pStyle w:val="TableParagraph"/>
              <w:spacing w:before="19"/>
              <w:ind w:right="84"/>
              <w:jc w:val="right"/>
              <w:rPr>
                <w:sz w:val="18"/>
              </w:rPr>
            </w:pPr>
            <w:r>
              <w:rPr>
                <w:w w:val="95"/>
                <w:sz w:val="18"/>
              </w:rPr>
              <w:t>5,651,726</w:t>
            </w:r>
          </w:p>
        </w:tc>
      </w:tr>
      <w:tr>
        <w:trPr>
          <w:trHeight w:val="264" w:hRule="exact"/>
        </w:trPr>
        <w:tc>
          <w:tcPr>
            <w:tcW w:w="5509" w:type="dxa"/>
          </w:tcPr>
          <w:p>
            <w:pPr>
              <w:pStyle w:val="TableParagraph"/>
              <w:spacing w:before="18"/>
              <w:ind w:left="62"/>
              <w:rPr>
                <w:sz w:val="18"/>
              </w:rPr>
            </w:pPr>
            <w:r>
              <w:rPr>
                <w:sz w:val="18"/>
              </w:rPr>
              <w:t>Trade and other receivables</w:t>
            </w:r>
          </w:p>
        </w:tc>
        <w:tc>
          <w:tcPr>
            <w:tcW w:w="1849" w:type="dxa"/>
          </w:tcPr>
          <w:p>
            <w:pPr>
              <w:pStyle w:val="TableParagraph"/>
              <w:spacing w:before="19"/>
              <w:ind w:left="1272"/>
              <w:jc w:val="center"/>
              <w:rPr>
                <w:sz w:val="18"/>
              </w:rPr>
            </w:pPr>
            <w:r>
              <w:rPr>
                <w:w w:val="99"/>
                <w:sz w:val="18"/>
              </w:rPr>
              <w:t>3</w:t>
            </w:r>
          </w:p>
        </w:tc>
        <w:tc>
          <w:tcPr>
            <w:tcW w:w="1410" w:type="dxa"/>
          </w:tcPr>
          <w:p>
            <w:pPr>
              <w:pStyle w:val="TableParagraph"/>
              <w:spacing w:before="19"/>
              <w:ind w:right="196"/>
              <w:jc w:val="right"/>
              <w:rPr>
                <w:b/>
                <w:sz w:val="18"/>
              </w:rPr>
            </w:pPr>
            <w:r>
              <w:rPr>
                <w:b/>
                <w:w w:val="95"/>
                <w:sz w:val="18"/>
              </w:rPr>
              <w:t>429,588</w:t>
            </w:r>
          </w:p>
        </w:tc>
        <w:tc>
          <w:tcPr>
            <w:tcW w:w="1185" w:type="dxa"/>
          </w:tcPr>
          <w:p>
            <w:pPr>
              <w:pStyle w:val="TableParagraph"/>
              <w:spacing w:before="19"/>
              <w:ind w:right="84"/>
              <w:jc w:val="right"/>
              <w:rPr>
                <w:sz w:val="18"/>
              </w:rPr>
            </w:pPr>
            <w:r>
              <w:rPr>
                <w:w w:val="95"/>
                <w:sz w:val="18"/>
              </w:rPr>
              <w:t>401,737</w:t>
            </w:r>
          </w:p>
        </w:tc>
      </w:tr>
      <w:tr>
        <w:trPr>
          <w:trHeight w:val="264" w:hRule="exact"/>
        </w:trPr>
        <w:tc>
          <w:tcPr>
            <w:tcW w:w="5509" w:type="dxa"/>
          </w:tcPr>
          <w:p>
            <w:pPr>
              <w:pStyle w:val="TableParagraph"/>
              <w:spacing w:before="18"/>
              <w:ind w:left="62"/>
              <w:rPr>
                <w:sz w:val="18"/>
              </w:rPr>
            </w:pPr>
            <w:r>
              <w:rPr>
                <w:sz w:val="18"/>
              </w:rPr>
              <w:t>Receivables from related parties</w:t>
            </w:r>
          </w:p>
        </w:tc>
        <w:tc>
          <w:tcPr>
            <w:tcW w:w="1849" w:type="dxa"/>
          </w:tcPr>
          <w:p>
            <w:pPr>
              <w:pStyle w:val="TableParagraph"/>
              <w:spacing w:before="19"/>
              <w:ind w:left="1289" w:right="17"/>
              <w:jc w:val="center"/>
              <w:rPr>
                <w:sz w:val="18"/>
              </w:rPr>
            </w:pPr>
            <w:r>
              <w:rPr>
                <w:sz w:val="18"/>
              </w:rPr>
              <w:t>20(d)</w:t>
            </w:r>
          </w:p>
        </w:tc>
        <w:tc>
          <w:tcPr>
            <w:tcW w:w="1410" w:type="dxa"/>
          </w:tcPr>
          <w:p>
            <w:pPr>
              <w:pStyle w:val="TableParagraph"/>
              <w:spacing w:before="19"/>
              <w:ind w:right="196"/>
              <w:jc w:val="right"/>
              <w:rPr>
                <w:b/>
                <w:sz w:val="18"/>
              </w:rPr>
            </w:pPr>
            <w:r>
              <w:rPr>
                <w:b/>
                <w:w w:val="95"/>
                <w:sz w:val="18"/>
              </w:rPr>
              <w:t>1,651,601</w:t>
            </w:r>
          </w:p>
        </w:tc>
        <w:tc>
          <w:tcPr>
            <w:tcW w:w="1185" w:type="dxa"/>
          </w:tcPr>
          <w:p>
            <w:pPr>
              <w:pStyle w:val="TableParagraph"/>
              <w:spacing w:before="19"/>
              <w:ind w:right="84"/>
              <w:jc w:val="right"/>
              <w:rPr>
                <w:sz w:val="18"/>
              </w:rPr>
            </w:pPr>
            <w:r>
              <w:rPr>
                <w:w w:val="95"/>
                <w:sz w:val="18"/>
              </w:rPr>
              <w:t>585,588</w:t>
            </w:r>
          </w:p>
        </w:tc>
      </w:tr>
      <w:tr>
        <w:trPr>
          <w:trHeight w:val="263" w:hRule="exact"/>
        </w:trPr>
        <w:tc>
          <w:tcPr>
            <w:tcW w:w="5509" w:type="dxa"/>
          </w:tcPr>
          <w:p>
            <w:pPr>
              <w:pStyle w:val="TableParagraph"/>
              <w:spacing w:before="18"/>
              <w:ind w:left="62"/>
              <w:rPr>
                <w:sz w:val="18"/>
              </w:rPr>
            </w:pPr>
            <w:r>
              <w:rPr>
                <w:sz w:val="18"/>
              </w:rPr>
              <w:t>Prepayments</w:t>
            </w:r>
          </w:p>
        </w:tc>
        <w:tc>
          <w:tcPr>
            <w:tcW w:w="1849" w:type="dxa"/>
          </w:tcPr>
          <w:p>
            <w:pPr>
              <w:pStyle w:val="TableParagraph"/>
              <w:spacing w:before="19"/>
              <w:ind w:left="1272"/>
              <w:jc w:val="center"/>
              <w:rPr>
                <w:sz w:val="18"/>
              </w:rPr>
            </w:pPr>
            <w:r>
              <w:rPr>
                <w:w w:val="99"/>
                <w:sz w:val="18"/>
              </w:rPr>
              <w:t>4</w:t>
            </w:r>
          </w:p>
        </w:tc>
        <w:tc>
          <w:tcPr>
            <w:tcW w:w="1410" w:type="dxa"/>
            <w:tcBorders>
              <w:bottom w:val="single" w:sz="0" w:space="0" w:color="000000"/>
            </w:tcBorders>
          </w:tcPr>
          <w:p>
            <w:pPr>
              <w:pStyle w:val="TableParagraph"/>
              <w:spacing w:before="19"/>
              <w:ind w:right="196"/>
              <w:jc w:val="right"/>
              <w:rPr>
                <w:b/>
                <w:sz w:val="18"/>
              </w:rPr>
            </w:pPr>
            <w:r>
              <w:rPr>
                <w:b/>
                <w:w w:val="95"/>
                <w:sz w:val="18"/>
              </w:rPr>
              <w:t>302,358</w:t>
            </w:r>
          </w:p>
        </w:tc>
        <w:tc>
          <w:tcPr>
            <w:tcW w:w="1185" w:type="dxa"/>
            <w:tcBorders>
              <w:bottom w:val="single" w:sz="0" w:space="0" w:color="000000"/>
            </w:tcBorders>
          </w:tcPr>
          <w:p>
            <w:pPr>
              <w:pStyle w:val="TableParagraph"/>
              <w:spacing w:before="19"/>
              <w:ind w:right="84"/>
              <w:jc w:val="right"/>
              <w:rPr>
                <w:sz w:val="18"/>
              </w:rPr>
            </w:pPr>
            <w:r>
              <w:rPr>
                <w:w w:val="95"/>
                <w:sz w:val="18"/>
              </w:rPr>
              <w:t>879,154</w:t>
            </w:r>
          </w:p>
        </w:tc>
      </w:tr>
      <w:tr>
        <w:trPr>
          <w:trHeight w:val="338" w:hRule="exact"/>
        </w:trPr>
        <w:tc>
          <w:tcPr>
            <w:tcW w:w="5509" w:type="dxa"/>
          </w:tcPr>
          <w:p>
            <w:pPr>
              <w:pStyle w:val="TableParagraph"/>
              <w:spacing w:before="38"/>
              <w:ind w:left="62"/>
              <w:rPr>
                <w:b/>
                <w:sz w:val="18"/>
              </w:rPr>
            </w:pPr>
            <w:r>
              <w:rPr>
                <w:b/>
                <w:sz w:val="18"/>
              </w:rPr>
              <w:t>Total Current Assets</w:t>
            </w:r>
          </w:p>
        </w:tc>
        <w:tc>
          <w:tcPr>
            <w:tcW w:w="1849" w:type="dxa"/>
          </w:tcPr>
          <w:p>
            <w:pPr/>
          </w:p>
        </w:tc>
        <w:tc>
          <w:tcPr>
            <w:tcW w:w="1410" w:type="dxa"/>
            <w:tcBorders>
              <w:top w:val="single" w:sz="0" w:space="0" w:color="000000"/>
              <w:bottom w:val="single" w:sz="0" w:space="0" w:color="000000"/>
            </w:tcBorders>
          </w:tcPr>
          <w:p>
            <w:pPr>
              <w:pStyle w:val="TableParagraph"/>
              <w:spacing w:before="122"/>
              <w:ind w:right="196"/>
              <w:jc w:val="right"/>
              <w:rPr>
                <w:b/>
                <w:sz w:val="18"/>
              </w:rPr>
            </w:pPr>
            <w:r>
              <w:rPr>
                <w:b/>
                <w:w w:val="95"/>
                <w:sz w:val="18"/>
              </w:rPr>
              <w:t>10,292,398</w:t>
            </w:r>
          </w:p>
        </w:tc>
        <w:tc>
          <w:tcPr>
            <w:tcW w:w="1185" w:type="dxa"/>
            <w:tcBorders>
              <w:top w:val="single" w:sz="0" w:space="0" w:color="000000"/>
              <w:bottom w:val="single" w:sz="0" w:space="0" w:color="000000"/>
            </w:tcBorders>
          </w:tcPr>
          <w:p>
            <w:pPr>
              <w:pStyle w:val="TableParagraph"/>
              <w:spacing w:before="122"/>
              <w:ind w:right="84"/>
              <w:jc w:val="right"/>
              <w:rPr>
                <w:sz w:val="18"/>
              </w:rPr>
            </w:pPr>
            <w:r>
              <w:rPr>
                <w:w w:val="95"/>
                <w:sz w:val="18"/>
              </w:rPr>
              <w:t>8,627,263</w:t>
            </w:r>
          </w:p>
        </w:tc>
      </w:tr>
      <w:tr>
        <w:trPr>
          <w:trHeight w:val="283" w:hRule="exact"/>
        </w:trPr>
        <w:tc>
          <w:tcPr>
            <w:tcW w:w="5509" w:type="dxa"/>
          </w:tcPr>
          <w:p>
            <w:pPr>
              <w:pStyle w:val="TableParagraph"/>
              <w:spacing w:before="38"/>
              <w:ind w:left="62"/>
              <w:rPr>
                <w:b/>
                <w:sz w:val="18"/>
              </w:rPr>
            </w:pPr>
            <w:r>
              <w:rPr>
                <w:b/>
                <w:sz w:val="18"/>
              </w:rPr>
              <w:t>Non-Current Assets</w:t>
            </w:r>
          </w:p>
        </w:tc>
        <w:tc>
          <w:tcPr>
            <w:tcW w:w="1849" w:type="dxa"/>
          </w:tcPr>
          <w:p>
            <w:pPr/>
          </w:p>
        </w:tc>
        <w:tc>
          <w:tcPr>
            <w:tcW w:w="1410" w:type="dxa"/>
            <w:tcBorders>
              <w:top w:val="single" w:sz="0" w:space="0" w:color="000000"/>
            </w:tcBorders>
          </w:tcPr>
          <w:p>
            <w:pPr/>
          </w:p>
        </w:tc>
        <w:tc>
          <w:tcPr>
            <w:tcW w:w="1185" w:type="dxa"/>
            <w:tcBorders>
              <w:top w:val="single" w:sz="0" w:space="0" w:color="000000"/>
            </w:tcBorders>
          </w:tcPr>
          <w:p>
            <w:pPr/>
          </w:p>
        </w:tc>
      </w:tr>
      <w:tr>
        <w:trPr>
          <w:trHeight w:val="265" w:hRule="exact"/>
        </w:trPr>
        <w:tc>
          <w:tcPr>
            <w:tcW w:w="5509" w:type="dxa"/>
          </w:tcPr>
          <w:p>
            <w:pPr>
              <w:pStyle w:val="TableParagraph"/>
              <w:spacing w:before="19"/>
              <w:ind w:left="62"/>
              <w:rPr>
                <w:sz w:val="18"/>
              </w:rPr>
            </w:pPr>
            <w:r>
              <w:rPr>
                <w:sz w:val="18"/>
              </w:rPr>
              <w:t>Loans to joint venture</w:t>
            </w:r>
          </w:p>
        </w:tc>
        <w:tc>
          <w:tcPr>
            <w:tcW w:w="1849" w:type="dxa"/>
          </w:tcPr>
          <w:p>
            <w:pPr>
              <w:pStyle w:val="TableParagraph"/>
              <w:spacing w:before="20"/>
              <w:ind w:left="1289" w:right="17"/>
              <w:jc w:val="center"/>
              <w:rPr>
                <w:sz w:val="18"/>
              </w:rPr>
            </w:pPr>
            <w:r>
              <w:rPr>
                <w:sz w:val="18"/>
              </w:rPr>
              <w:t>20(c)</w:t>
            </w:r>
          </w:p>
        </w:tc>
        <w:tc>
          <w:tcPr>
            <w:tcW w:w="1410" w:type="dxa"/>
          </w:tcPr>
          <w:p>
            <w:pPr>
              <w:pStyle w:val="TableParagraph"/>
              <w:spacing w:before="20"/>
              <w:ind w:right="196"/>
              <w:jc w:val="right"/>
              <w:rPr>
                <w:b/>
                <w:sz w:val="18"/>
              </w:rPr>
            </w:pPr>
            <w:r>
              <w:rPr>
                <w:b/>
                <w:w w:val="95"/>
                <w:sz w:val="18"/>
              </w:rPr>
              <w:t>214,043</w:t>
            </w:r>
          </w:p>
        </w:tc>
        <w:tc>
          <w:tcPr>
            <w:tcW w:w="1185" w:type="dxa"/>
          </w:tcPr>
          <w:p>
            <w:pPr>
              <w:pStyle w:val="TableParagraph"/>
              <w:spacing w:before="20"/>
              <w:ind w:right="84"/>
              <w:jc w:val="right"/>
              <w:rPr>
                <w:sz w:val="18"/>
              </w:rPr>
            </w:pPr>
            <w:r>
              <w:rPr>
                <w:w w:val="95"/>
                <w:sz w:val="18"/>
              </w:rPr>
              <w:t>247,890</w:t>
            </w:r>
          </w:p>
        </w:tc>
      </w:tr>
      <w:tr>
        <w:trPr>
          <w:trHeight w:val="264" w:hRule="exact"/>
        </w:trPr>
        <w:tc>
          <w:tcPr>
            <w:tcW w:w="5509" w:type="dxa"/>
          </w:tcPr>
          <w:p>
            <w:pPr>
              <w:pStyle w:val="TableParagraph"/>
              <w:spacing w:before="18"/>
              <w:ind w:left="62"/>
              <w:rPr>
                <w:sz w:val="18"/>
              </w:rPr>
            </w:pPr>
            <w:r>
              <w:rPr>
                <w:sz w:val="18"/>
              </w:rPr>
              <w:t>Property, plant and equipment</w:t>
            </w:r>
          </w:p>
        </w:tc>
        <w:tc>
          <w:tcPr>
            <w:tcW w:w="1849" w:type="dxa"/>
          </w:tcPr>
          <w:p>
            <w:pPr>
              <w:pStyle w:val="TableParagraph"/>
              <w:spacing w:before="19"/>
              <w:ind w:left="1272"/>
              <w:jc w:val="center"/>
              <w:rPr>
                <w:sz w:val="18"/>
              </w:rPr>
            </w:pPr>
            <w:r>
              <w:rPr>
                <w:w w:val="99"/>
                <w:sz w:val="18"/>
              </w:rPr>
              <w:t>5</w:t>
            </w:r>
          </w:p>
        </w:tc>
        <w:tc>
          <w:tcPr>
            <w:tcW w:w="1410" w:type="dxa"/>
          </w:tcPr>
          <w:p>
            <w:pPr>
              <w:pStyle w:val="TableParagraph"/>
              <w:spacing w:before="19"/>
              <w:ind w:right="196"/>
              <w:jc w:val="right"/>
              <w:rPr>
                <w:b/>
                <w:sz w:val="18"/>
              </w:rPr>
            </w:pPr>
            <w:r>
              <w:rPr>
                <w:b/>
                <w:w w:val="95"/>
                <w:sz w:val="18"/>
              </w:rPr>
              <w:t>4,254,369</w:t>
            </w:r>
          </w:p>
        </w:tc>
        <w:tc>
          <w:tcPr>
            <w:tcW w:w="1185" w:type="dxa"/>
          </w:tcPr>
          <w:p>
            <w:pPr>
              <w:pStyle w:val="TableParagraph"/>
              <w:spacing w:before="19"/>
              <w:ind w:right="84"/>
              <w:jc w:val="right"/>
              <w:rPr>
                <w:sz w:val="18"/>
              </w:rPr>
            </w:pPr>
            <w:r>
              <w:rPr>
                <w:w w:val="95"/>
                <w:sz w:val="18"/>
              </w:rPr>
              <w:t>5,262,295</w:t>
            </w:r>
          </w:p>
        </w:tc>
      </w:tr>
      <w:tr>
        <w:trPr>
          <w:trHeight w:val="263" w:hRule="exact"/>
        </w:trPr>
        <w:tc>
          <w:tcPr>
            <w:tcW w:w="5509" w:type="dxa"/>
          </w:tcPr>
          <w:p>
            <w:pPr>
              <w:pStyle w:val="TableParagraph"/>
              <w:spacing w:before="18"/>
              <w:ind w:left="62"/>
              <w:rPr>
                <w:sz w:val="18"/>
              </w:rPr>
            </w:pPr>
            <w:r>
              <w:rPr>
                <w:sz w:val="18"/>
              </w:rPr>
              <w:t>Intangible assets</w:t>
            </w:r>
          </w:p>
        </w:tc>
        <w:tc>
          <w:tcPr>
            <w:tcW w:w="1849" w:type="dxa"/>
          </w:tcPr>
          <w:p>
            <w:pPr>
              <w:pStyle w:val="TableParagraph"/>
              <w:spacing w:before="19"/>
              <w:ind w:left="1272"/>
              <w:jc w:val="center"/>
              <w:rPr>
                <w:sz w:val="18"/>
              </w:rPr>
            </w:pPr>
            <w:r>
              <w:rPr>
                <w:w w:val="99"/>
                <w:sz w:val="18"/>
              </w:rPr>
              <w:t>6</w:t>
            </w:r>
          </w:p>
        </w:tc>
        <w:tc>
          <w:tcPr>
            <w:tcW w:w="1410" w:type="dxa"/>
            <w:tcBorders>
              <w:bottom w:val="single" w:sz="0" w:space="0" w:color="000000"/>
            </w:tcBorders>
          </w:tcPr>
          <w:p>
            <w:pPr>
              <w:pStyle w:val="TableParagraph"/>
              <w:spacing w:before="19"/>
              <w:ind w:right="111"/>
              <w:jc w:val="center"/>
              <w:rPr>
                <w:b/>
                <w:sz w:val="18"/>
              </w:rPr>
            </w:pPr>
            <w:r>
              <w:rPr>
                <w:b/>
                <w:w w:val="99"/>
                <w:sz w:val="18"/>
              </w:rPr>
              <w:t>-</w:t>
            </w:r>
          </w:p>
        </w:tc>
        <w:tc>
          <w:tcPr>
            <w:tcW w:w="1185" w:type="dxa"/>
            <w:tcBorders>
              <w:bottom w:val="single" w:sz="0" w:space="0" w:color="000000"/>
            </w:tcBorders>
          </w:tcPr>
          <w:p>
            <w:pPr>
              <w:pStyle w:val="TableParagraph"/>
              <w:spacing w:before="19"/>
              <w:ind w:right="84"/>
              <w:jc w:val="right"/>
              <w:rPr>
                <w:sz w:val="18"/>
              </w:rPr>
            </w:pPr>
            <w:r>
              <w:rPr>
                <w:w w:val="95"/>
                <w:sz w:val="18"/>
              </w:rPr>
              <w:t>153,658</w:t>
            </w:r>
          </w:p>
        </w:tc>
      </w:tr>
      <w:tr>
        <w:trPr>
          <w:trHeight w:val="338" w:hRule="exact"/>
        </w:trPr>
        <w:tc>
          <w:tcPr>
            <w:tcW w:w="8767" w:type="dxa"/>
            <w:gridSpan w:val="3"/>
          </w:tcPr>
          <w:p>
            <w:pPr>
              <w:pStyle w:val="TableParagraph"/>
              <w:tabs>
                <w:tab w:pos="7767" w:val="left" w:leader="none"/>
              </w:tabs>
              <w:spacing w:before="28"/>
              <w:ind w:left="62"/>
              <w:rPr>
                <w:b/>
                <w:sz w:val="18"/>
              </w:rPr>
            </w:pPr>
            <w:r>
              <w:rPr>
                <w:b/>
                <w:sz w:val="18"/>
              </w:rPr>
              <w:t>Total Non-Current Assets</w:t>
              <w:tab/>
            </w:r>
            <w:r>
              <w:rPr>
                <w:b/>
                <w:position w:val="-7"/>
                <w:sz w:val="18"/>
              </w:rPr>
              <w:t>4,468,412</w:t>
            </w:r>
          </w:p>
        </w:tc>
        <w:tc>
          <w:tcPr>
            <w:tcW w:w="1185" w:type="dxa"/>
            <w:tcBorders>
              <w:bottom w:val="single" w:sz="0" w:space="0" w:color="000000"/>
            </w:tcBorders>
          </w:tcPr>
          <w:p>
            <w:pPr>
              <w:pStyle w:val="TableParagraph"/>
              <w:spacing w:before="113"/>
              <w:ind w:right="84"/>
              <w:jc w:val="right"/>
              <w:rPr>
                <w:sz w:val="18"/>
              </w:rPr>
            </w:pPr>
            <w:r>
              <w:rPr>
                <w:w w:val="95"/>
                <w:sz w:val="18"/>
              </w:rPr>
              <w:t>5,663,843</w:t>
            </w:r>
          </w:p>
        </w:tc>
      </w:tr>
      <w:tr>
        <w:trPr>
          <w:trHeight w:val="353" w:hRule="exact"/>
        </w:trPr>
        <w:tc>
          <w:tcPr>
            <w:tcW w:w="5509" w:type="dxa"/>
          </w:tcPr>
          <w:p>
            <w:pPr>
              <w:pStyle w:val="TableParagraph"/>
              <w:spacing w:before="28"/>
              <w:ind w:left="62"/>
              <w:rPr>
                <w:b/>
                <w:sz w:val="18"/>
              </w:rPr>
            </w:pPr>
            <w:r>
              <w:rPr>
                <w:b/>
                <w:sz w:val="18"/>
              </w:rPr>
              <w:t>Total Assets</w:t>
            </w:r>
          </w:p>
        </w:tc>
        <w:tc>
          <w:tcPr>
            <w:tcW w:w="1849" w:type="dxa"/>
          </w:tcPr>
          <w:p>
            <w:pPr/>
          </w:p>
        </w:tc>
        <w:tc>
          <w:tcPr>
            <w:tcW w:w="1410" w:type="dxa"/>
            <w:tcBorders>
              <w:bottom w:val="single" w:sz="0" w:space="0" w:color="000000"/>
            </w:tcBorders>
          </w:tcPr>
          <w:p>
            <w:pPr>
              <w:pStyle w:val="TableParagraph"/>
              <w:spacing w:before="113"/>
              <w:ind w:right="196"/>
              <w:jc w:val="right"/>
              <w:rPr>
                <w:b/>
                <w:sz w:val="18"/>
              </w:rPr>
            </w:pPr>
            <w:r>
              <w:rPr>
                <w:b/>
                <w:w w:val="95"/>
                <w:sz w:val="18"/>
              </w:rPr>
              <w:t>14,760,810</w:t>
            </w:r>
          </w:p>
        </w:tc>
        <w:tc>
          <w:tcPr>
            <w:tcW w:w="1185" w:type="dxa"/>
            <w:tcBorders>
              <w:bottom w:val="single" w:sz="0" w:space="0" w:color="000000"/>
            </w:tcBorders>
          </w:tcPr>
          <w:p>
            <w:pPr>
              <w:pStyle w:val="TableParagraph"/>
              <w:spacing w:before="113"/>
              <w:ind w:right="83"/>
              <w:jc w:val="right"/>
              <w:rPr>
                <w:sz w:val="18"/>
              </w:rPr>
            </w:pPr>
            <w:r>
              <w:rPr>
                <w:w w:val="95"/>
                <w:sz w:val="18"/>
              </w:rPr>
              <w:t>14,291,106</w:t>
            </w:r>
          </w:p>
        </w:tc>
      </w:tr>
      <w:tr>
        <w:trPr>
          <w:trHeight w:val="617" w:hRule="exact"/>
        </w:trPr>
        <w:tc>
          <w:tcPr>
            <w:tcW w:w="5509" w:type="dxa"/>
          </w:tcPr>
          <w:p>
            <w:pPr>
              <w:pStyle w:val="TableParagraph"/>
              <w:spacing w:before="138"/>
              <w:ind w:left="62"/>
              <w:rPr>
                <w:b/>
                <w:sz w:val="18"/>
              </w:rPr>
            </w:pPr>
            <w:r>
              <w:rPr>
                <w:b/>
                <w:sz w:val="18"/>
              </w:rPr>
              <w:t>LIABILITIES</w:t>
            </w:r>
          </w:p>
          <w:p>
            <w:pPr>
              <w:pStyle w:val="TableParagraph"/>
              <w:spacing w:before="27"/>
              <w:ind w:left="62"/>
              <w:rPr>
                <w:b/>
                <w:sz w:val="18"/>
              </w:rPr>
            </w:pPr>
            <w:r>
              <w:rPr>
                <w:b/>
                <w:sz w:val="18"/>
              </w:rPr>
              <w:t>Current Liabilities</w:t>
            </w:r>
          </w:p>
        </w:tc>
        <w:tc>
          <w:tcPr>
            <w:tcW w:w="1849" w:type="dxa"/>
          </w:tcPr>
          <w:p>
            <w:pPr/>
          </w:p>
        </w:tc>
        <w:tc>
          <w:tcPr>
            <w:tcW w:w="1410" w:type="dxa"/>
            <w:tcBorders>
              <w:top w:val="single" w:sz="0" w:space="0" w:color="000000"/>
            </w:tcBorders>
          </w:tcPr>
          <w:p>
            <w:pPr/>
          </w:p>
        </w:tc>
        <w:tc>
          <w:tcPr>
            <w:tcW w:w="1185" w:type="dxa"/>
            <w:tcBorders>
              <w:top w:val="single" w:sz="0" w:space="0" w:color="000000"/>
            </w:tcBorders>
          </w:tcPr>
          <w:p>
            <w:pPr/>
          </w:p>
        </w:tc>
      </w:tr>
      <w:tr>
        <w:trPr>
          <w:trHeight w:val="265" w:hRule="exact"/>
        </w:trPr>
        <w:tc>
          <w:tcPr>
            <w:tcW w:w="5509" w:type="dxa"/>
          </w:tcPr>
          <w:p>
            <w:pPr>
              <w:pStyle w:val="TableParagraph"/>
              <w:spacing w:before="19"/>
              <w:ind w:left="62"/>
              <w:rPr>
                <w:sz w:val="18"/>
              </w:rPr>
            </w:pPr>
            <w:r>
              <w:rPr>
                <w:sz w:val="18"/>
              </w:rPr>
              <w:t>Trade payables</w:t>
            </w:r>
          </w:p>
        </w:tc>
        <w:tc>
          <w:tcPr>
            <w:tcW w:w="1849" w:type="dxa"/>
          </w:tcPr>
          <w:p>
            <w:pPr/>
          </w:p>
        </w:tc>
        <w:tc>
          <w:tcPr>
            <w:tcW w:w="1410" w:type="dxa"/>
          </w:tcPr>
          <w:p>
            <w:pPr>
              <w:pStyle w:val="TableParagraph"/>
              <w:spacing w:before="20"/>
              <w:ind w:right="196"/>
              <w:jc w:val="right"/>
              <w:rPr>
                <w:b/>
                <w:sz w:val="18"/>
              </w:rPr>
            </w:pPr>
            <w:r>
              <w:rPr>
                <w:b/>
                <w:w w:val="95"/>
                <w:sz w:val="18"/>
              </w:rPr>
              <w:t>467,295</w:t>
            </w:r>
          </w:p>
        </w:tc>
        <w:tc>
          <w:tcPr>
            <w:tcW w:w="1185" w:type="dxa"/>
          </w:tcPr>
          <w:p>
            <w:pPr>
              <w:pStyle w:val="TableParagraph"/>
              <w:spacing w:before="20"/>
              <w:ind w:right="84"/>
              <w:jc w:val="right"/>
              <w:rPr>
                <w:sz w:val="18"/>
              </w:rPr>
            </w:pPr>
            <w:r>
              <w:rPr>
                <w:w w:val="95"/>
                <w:sz w:val="18"/>
              </w:rPr>
              <w:t>139,066</w:t>
            </w:r>
          </w:p>
        </w:tc>
      </w:tr>
      <w:tr>
        <w:trPr>
          <w:trHeight w:val="264" w:hRule="exact"/>
        </w:trPr>
        <w:tc>
          <w:tcPr>
            <w:tcW w:w="5509" w:type="dxa"/>
          </w:tcPr>
          <w:p>
            <w:pPr>
              <w:pStyle w:val="TableParagraph"/>
              <w:spacing w:before="18"/>
              <w:ind w:left="62"/>
              <w:rPr>
                <w:sz w:val="18"/>
              </w:rPr>
            </w:pPr>
            <w:r>
              <w:rPr>
                <w:sz w:val="18"/>
              </w:rPr>
              <w:t>Tuition fees advance receipts</w:t>
            </w:r>
          </w:p>
        </w:tc>
        <w:tc>
          <w:tcPr>
            <w:tcW w:w="1849" w:type="dxa"/>
          </w:tcPr>
          <w:p>
            <w:pPr/>
          </w:p>
        </w:tc>
        <w:tc>
          <w:tcPr>
            <w:tcW w:w="1410" w:type="dxa"/>
          </w:tcPr>
          <w:p>
            <w:pPr>
              <w:pStyle w:val="TableParagraph"/>
              <w:spacing w:before="19"/>
              <w:ind w:right="196"/>
              <w:jc w:val="right"/>
              <w:rPr>
                <w:b/>
                <w:sz w:val="18"/>
              </w:rPr>
            </w:pPr>
            <w:r>
              <w:rPr>
                <w:b/>
                <w:w w:val="95"/>
                <w:sz w:val="18"/>
              </w:rPr>
              <w:t>1,074,170</w:t>
            </w:r>
          </w:p>
        </w:tc>
        <w:tc>
          <w:tcPr>
            <w:tcW w:w="1185" w:type="dxa"/>
          </w:tcPr>
          <w:p>
            <w:pPr>
              <w:pStyle w:val="TableParagraph"/>
              <w:spacing w:before="19"/>
              <w:ind w:right="84"/>
              <w:jc w:val="right"/>
              <w:rPr>
                <w:sz w:val="18"/>
              </w:rPr>
            </w:pPr>
            <w:r>
              <w:rPr>
                <w:w w:val="95"/>
                <w:sz w:val="18"/>
              </w:rPr>
              <w:t>776,051</w:t>
            </w:r>
          </w:p>
        </w:tc>
      </w:tr>
      <w:tr>
        <w:trPr>
          <w:trHeight w:val="264" w:hRule="exact"/>
        </w:trPr>
        <w:tc>
          <w:tcPr>
            <w:tcW w:w="5509" w:type="dxa"/>
          </w:tcPr>
          <w:p>
            <w:pPr>
              <w:pStyle w:val="TableParagraph"/>
              <w:spacing w:before="18"/>
              <w:ind w:left="62"/>
              <w:rPr>
                <w:sz w:val="18"/>
              </w:rPr>
            </w:pPr>
            <w:r>
              <w:rPr>
                <w:sz w:val="18"/>
              </w:rPr>
              <w:t>Amounts due to related parties</w:t>
            </w:r>
          </w:p>
        </w:tc>
        <w:tc>
          <w:tcPr>
            <w:tcW w:w="1849" w:type="dxa"/>
          </w:tcPr>
          <w:p>
            <w:pPr>
              <w:pStyle w:val="TableParagraph"/>
              <w:spacing w:before="19"/>
              <w:ind w:left="1289" w:right="17"/>
              <w:jc w:val="center"/>
              <w:rPr>
                <w:sz w:val="18"/>
              </w:rPr>
            </w:pPr>
            <w:r>
              <w:rPr>
                <w:sz w:val="18"/>
              </w:rPr>
              <w:t>20(d)</w:t>
            </w:r>
          </w:p>
        </w:tc>
        <w:tc>
          <w:tcPr>
            <w:tcW w:w="1410" w:type="dxa"/>
          </w:tcPr>
          <w:p>
            <w:pPr>
              <w:pStyle w:val="TableParagraph"/>
              <w:spacing w:before="19"/>
              <w:ind w:right="111"/>
              <w:jc w:val="center"/>
              <w:rPr>
                <w:b/>
                <w:sz w:val="18"/>
              </w:rPr>
            </w:pPr>
            <w:r>
              <w:rPr>
                <w:b/>
                <w:w w:val="99"/>
                <w:sz w:val="18"/>
              </w:rPr>
              <w:t>-</w:t>
            </w:r>
          </w:p>
        </w:tc>
        <w:tc>
          <w:tcPr>
            <w:tcW w:w="1185" w:type="dxa"/>
          </w:tcPr>
          <w:p>
            <w:pPr>
              <w:pStyle w:val="TableParagraph"/>
              <w:spacing w:before="19"/>
              <w:ind w:right="84"/>
              <w:jc w:val="right"/>
              <w:rPr>
                <w:sz w:val="18"/>
              </w:rPr>
            </w:pPr>
            <w:r>
              <w:rPr>
                <w:w w:val="95"/>
                <w:sz w:val="18"/>
              </w:rPr>
              <w:t>684,058</w:t>
            </w:r>
          </w:p>
        </w:tc>
      </w:tr>
      <w:tr>
        <w:trPr>
          <w:trHeight w:val="264" w:hRule="exact"/>
        </w:trPr>
        <w:tc>
          <w:tcPr>
            <w:tcW w:w="5509" w:type="dxa"/>
          </w:tcPr>
          <w:p>
            <w:pPr>
              <w:pStyle w:val="TableParagraph"/>
              <w:spacing w:before="18"/>
              <w:ind w:left="62"/>
              <w:rPr>
                <w:sz w:val="18"/>
              </w:rPr>
            </w:pPr>
            <w:r>
              <w:rPr>
                <w:sz w:val="18"/>
              </w:rPr>
              <w:t>Accrued expenses</w:t>
            </w:r>
          </w:p>
        </w:tc>
        <w:tc>
          <w:tcPr>
            <w:tcW w:w="1849" w:type="dxa"/>
          </w:tcPr>
          <w:p>
            <w:pPr>
              <w:pStyle w:val="TableParagraph"/>
              <w:spacing w:before="19"/>
              <w:ind w:left="1272"/>
              <w:jc w:val="center"/>
              <w:rPr>
                <w:sz w:val="18"/>
              </w:rPr>
            </w:pPr>
            <w:r>
              <w:rPr>
                <w:w w:val="99"/>
                <w:sz w:val="18"/>
              </w:rPr>
              <w:t>8</w:t>
            </w:r>
          </w:p>
        </w:tc>
        <w:tc>
          <w:tcPr>
            <w:tcW w:w="1410" w:type="dxa"/>
          </w:tcPr>
          <w:p>
            <w:pPr>
              <w:pStyle w:val="TableParagraph"/>
              <w:spacing w:before="19"/>
              <w:ind w:right="196"/>
              <w:jc w:val="right"/>
              <w:rPr>
                <w:b/>
                <w:sz w:val="18"/>
              </w:rPr>
            </w:pPr>
            <w:r>
              <w:rPr>
                <w:b/>
                <w:w w:val="95"/>
                <w:sz w:val="18"/>
              </w:rPr>
              <w:t>3,016,451</w:t>
            </w:r>
          </w:p>
        </w:tc>
        <w:tc>
          <w:tcPr>
            <w:tcW w:w="1185" w:type="dxa"/>
          </w:tcPr>
          <w:p>
            <w:pPr>
              <w:pStyle w:val="TableParagraph"/>
              <w:spacing w:before="19"/>
              <w:ind w:right="84"/>
              <w:jc w:val="right"/>
              <w:rPr>
                <w:sz w:val="18"/>
              </w:rPr>
            </w:pPr>
            <w:r>
              <w:rPr>
                <w:w w:val="95"/>
                <w:sz w:val="18"/>
              </w:rPr>
              <w:t>2,210,500</w:t>
            </w:r>
          </w:p>
        </w:tc>
      </w:tr>
      <w:tr>
        <w:trPr>
          <w:trHeight w:val="264" w:hRule="exact"/>
        </w:trPr>
        <w:tc>
          <w:tcPr>
            <w:tcW w:w="5509" w:type="dxa"/>
          </w:tcPr>
          <w:p>
            <w:pPr>
              <w:pStyle w:val="TableParagraph"/>
              <w:spacing w:before="18"/>
              <w:ind w:left="62"/>
              <w:rPr>
                <w:sz w:val="18"/>
              </w:rPr>
            </w:pPr>
            <w:r>
              <w:rPr>
                <w:sz w:val="18"/>
              </w:rPr>
              <w:t>Provisions</w:t>
            </w:r>
          </w:p>
        </w:tc>
        <w:tc>
          <w:tcPr>
            <w:tcW w:w="1849" w:type="dxa"/>
          </w:tcPr>
          <w:p>
            <w:pPr>
              <w:pStyle w:val="TableParagraph"/>
              <w:spacing w:before="19"/>
              <w:ind w:left="1272"/>
              <w:jc w:val="center"/>
              <w:rPr>
                <w:sz w:val="18"/>
              </w:rPr>
            </w:pPr>
            <w:r>
              <w:rPr>
                <w:w w:val="99"/>
                <w:sz w:val="18"/>
              </w:rPr>
              <w:t>9</w:t>
            </w:r>
          </w:p>
        </w:tc>
        <w:tc>
          <w:tcPr>
            <w:tcW w:w="1410" w:type="dxa"/>
          </w:tcPr>
          <w:p>
            <w:pPr>
              <w:pStyle w:val="TableParagraph"/>
              <w:spacing w:before="19"/>
              <w:ind w:right="196"/>
              <w:jc w:val="right"/>
              <w:rPr>
                <w:b/>
                <w:sz w:val="18"/>
              </w:rPr>
            </w:pPr>
            <w:r>
              <w:rPr>
                <w:b/>
                <w:w w:val="95"/>
                <w:sz w:val="18"/>
              </w:rPr>
              <w:t>2,131,424</w:t>
            </w:r>
          </w:p>
        </w:tc>
        <w:tc>
          <w:tcPr>
            <w:tcW w:w="1185" w:type="dxa"/>
          </w:tcPr>
          <w:p>
            <w:pPr>
              <w:pStyle w:val="TableParagraph"/>
              <w:spacing w:before="19"/>
              <w:ind w:right="83"/>
              <w:jc w:val="right"/>
              <w:rPr>
                <w:sz w:val="18"/>
              </w:rPr>
            </w:pPr>
            <w:r>
              <w:rPr>
                <w:w w:val="95"/>
                <w:sz w:val="18"/>
              </w:rPr>
              <w:t>1,838,997</w:t>
            </w:r>
          </w:p>
        </w:tc>
      </w:tr>
      <w:tr>
        <w:trPr>
          <w:trHeight w:val="263" w:hRule="exact"/>
        </w:trPr>
        <w:tc>
          <w:tcPr>
            <w:tcW w:w="5509" w:type="dxa"/>
          </w:tcPr>
          <w:p>
            <w:pPr>
              <w:pStyle w:val="TableParagraph"/>
              <w:spacing w:before="18"/>
              <w:ind w:left="62"/>
              <w:rPr>
                <w:sz w:val="18"/>
              </w:rPr>
            </w:pPr>
            <w:r>
              <w:rPr>
                <w:sz w:val="18"/>
              </w:rPr>
              <w:t>Other liabilities</w:t>
            </w:r>
          </w:p>
        </w:tc>
        <w:tc>
          <w:tcPr>
            <w:tcW w:w="1849" w:type="dxa"/>
          </w:tcPr>
          <w:p>
            <w:pPr>
              <w:pStyle w:val="TableParagraph"/>
              <w:spacing w:before="19"/>
              <w:ind w:left="1289" w:right="17"/>
              <w:jc w:val="center"/>
              <w:rPr>
                <w:sz w:val="18"/>
              </w:rPr>
            </w:pPr>
            <w:r>
              <w:rPr>
                <w:sz w:val="18"/>
              </w:rPr>
              <w:t>10</w:t>
            </w:r>
          </w:p>
        </w:tc>
        <w:tc>
          <w:tcPr>
            <w:tcW w:w="1410" w:type="dxa"/>
            <w:tcBorders>
              <w:bottom w:val="single" w:sz="0" w:space="0" w:color="000000"/>
            </w:tcBorders>
          </w:tcPr>
          <w:p>
            <w:pPr>
              <w:pStyle w:val="TableParagraph"/>
              <w:spacing w:before="19"/>
              <w:ind w:right="196"/>
              <w:jc w:val="right"/>
              <w:rPr>
                <w:b/>
                <w:sz w:val="18"/>
              </w:rPr>
            </w:pPr>
            <w:r>
              <w:rPr>
                <w:b/>
                <w:w w:val="95"/>
                <w:sz w:val="18"/>
              </w:rPr>
              <w:t>554,021</w:t>
            </w:r>
          </w:p>
        </w:tc>
        <w:tc>
          <w:tcPr>
            <w:tcW w:w="1185" w:type="dxa"/>
            <w:tcBorders>
              <w:bottom w:val="single" w:sz="0" w:space="0" w:color="000000"/>
            </w:tcBorders>
          </w:tcPr>
          <w:p>
            <w:pPr>
              <w:pStyle w:val="TableParagraph"/>
              <w:spacing w:before="19"/>
              <w:ind w:right="83"/>
              <w:jc w:val="right"/>
              <w:rPr>
                <w:sz w:val="18"/>
              </w:rPr>
            </w:pPr>
            <w:r>
              <w:rPr>
                <w:w w:val="95"/>
                <w:sz w:val="18"/>
              </w:rPr>
              <w:t>1,113,673</w:t>
            </w:r>
          </w:p>
        </w:tc>
      </w:tr>
      <w:tr>
        <w:trPr>
          <w:trHeight w:val="338" w:hRule="exact"/>
        </w:trPr>
        <w:tc>
          <w:tcPr>
            <w:tcW w:w="5509" w:type="dxa"/>
          </w:tcPr>
          <w:p>
            <w:pPr>
              <w:pStyle w:val="TableParagraph"/>
              <w:spacing w:before="38"/>
              <w:ind w:left="62"/>
              <w:rPr>
                <w:b/>
                <w:sz w:val="18"/>
              </w:rPr>
            </w:pPr>
            <w:r>
              <w:rPr>
                <w:b/>
                <w:sz w:val="18"/>
              </w:rPr>
              <w:t>Total Current Liabilities</w:t>
            </w:r>
          </w:p>
        </w:tc>
        <w:tc>
          <w:tcPr>
            <w:tcW w:w="1849" w:type="dxa"/>
          </w:tcPr>
          <w:p>
            <w:pPr/>
          </w:p>
        </w:tc>
        <w:tc>
          <w:tcPr>
            <w:tcW w:w="1410" w:type="dxa"/>
            <w:tcBorders>
              <w:top w:val="single" w:sz="0" w:space="0" w:color="000000"/>
              <w:bottom w:val="single" w:sz="0" w:space="0" w:color="000000"/>
            </w:tcBorders>
          </w:tcPr>
          <w:p>
            <w:pPr>
              <w:pStyle w:val="TableParagraph"/>
              <w:spacing w:before="122"/>
              <w:ind w:right="196"/>
              <w:jc w:val="right"/>
              <w:rPr>
                <w:b/>
                <w:sz w:val="18"/>
              </w:rPr>
            </w:pPr>
            <w:r>
              <w:rPr>
                <w:b/>
                <w:w w:val="95"/>
                <w:sz w:val="18"/>
              </w:rPr>
              <w:t>7,243,361</w:t>
            </w:r>
          </w:p>
        </w:tc>
        <w:tc>
          <w:tcPr>
            <w:tcW w:w="1185" w:type="dxa"/>
            <w:tcBorders>
              <w:top w:val="single" w:sz="0" w:space="0" w:color="000000"/>
              <w:bottom w:val="single" w:sz="0" w:space="0" w:color="000000"/>
            </w:tcBorders>
          </w:tcPr>
          <w:p>
            <w:pPr>
              <w:pStyle w:val="TableParagraph"/>
              <w:spacing w:before="122"/>
              <w:ind w:right="84"/>
              <w:jc w:val="right"/>
              <w:rPr>
                <w:sz w:val="18"/>
              </w:rPr>
            </w:pPr>
            <w:r>
              <w:rPr>
                <w:w w:val="95"/>
                <w:sz w:val="18"/>
              </w:rPr>
              <w:t>6,762,345</w:t>
            </w:r>
          </w:p>
        </w:tc>
      </w:tr>
      <w:tr>
        <w:trPr>
          <w:trHeight w:val="283" w:hRule="exact"/>
        </w:trPr>
        <w:tc>
          <w:tcPr>
            <w:tcW w:w="5509" w:type="dxa"/>
          </w:tcPr>
          <w:p>
            <w:pPr>
              <w:pStyle w:val="TableParagraph"/>
              <w:spacing w:before="38"/>
              <w:ind w:left="62"/>
              <w:rPr>
                <w:b/>
                <w:sz w:val="18"/>
              </w:rPr>
            </w:pPr>
            <w:r>
              <w:rPr>
                <w:b/>
                <w:sz w:val="18"/>
              </w:rPr>
              <w:t>Non-Current Liabilities</w:t>
            </w:r>
          </w:p>
        </w:tc>
        <w:tc>
          <w:tcPr>
            <w:tcW w:w="1849" w:type="dxa"/>
          </w:tcPr>
          <w:p>
            <w:pPr/>
          </w:p>
        </w:tc>
        <w:tc>
          <w:tcPr>
            <w:tcW w:w="1410" w:type="dxa"/>
            <w:tcBorders>
              <w:top w:val="single" w:sz="0" w:space="0" w:color="000000"/>
            </w:tcBorders>
          </w:tcPr>
          <w:p>
            <w:pPr/>
          </w:p>
        </w:tc>
        <w:tc>
          <w:tcPr>
            <w:tcW w:w="1185" w:type="dxa"/>
            <w:tcBorders>
              <w:top w:val="single" w:sz="0" w:space="0" w:color="000000"/>
            </w:tcBorders>
          </w:tcPr>
          <w:p>
            <w:pPr/>
          </w:p>
        </w:tc>
      </w:tr>
      <w:tr>
        <w:trPr>
          <w:trHeight w:val="264" w:hRule="exact"/>
        </w:trPr>
        <w:tc>
          <w:tcPr>
            <w:tcW w:w="5509" w:type="dxa"/>
          </w:tcPr>
          <w:p>
            <w:pPr>
              <w:pStyle w:val="TableParagraph"/>
              <w:spacing w:before="19"/>
              <w:ind w:left="62"/>
              <w:rPr>
                <w:sz w:val="18"/>
              </w:rPr>
            </w:pPr>
            <w:r>
              <w:rPr>
                <w:sz w:val="18"/>
              </w:rPr>
              <w:t>Provisions</w:t>
            </w:r>
          </w:p>
        </w:tc>
        <w:tc>
          <w:tcPr>
            <w:tcW w:w="1849" w:type="dxa"/>
          </w:tcPr>
          <w:p>
            <w:pPr>
              <w:pStyle w:val="TableParagraph"/>
              <w:spacing w:before="20"/>
              <w:ind w:left="1272"/>
              <w:jc w:val="center"/>
              <w:rPr>
                <w:sz w:val="18"/>
              </w:rPr>
            </w:pPr>
            <w:r>
              <w:rPr>
                <w:w w:val="99"/>
                <w:sz w:val="18"/>
              </w:rPr>
              <w:t>9</w:t>
            </w:r>
          </w:p>
        </w:tc>
        <w:tc>
          <w:tcPr>
            <w:tcW w:w="1410" w:type="dxa"/>
            <w:tcBorders>
              <w:bottom w:val="single" w:sz="0" w:space="0" w:color="000000"/>
            </w:tcBorders>
          </w:tcPr>
          <w:p>
            <w:pPr>
              <w:pStyle w:val="TableParagraph"/>
              <w:spacing w:before="20"/>
              <w:ind w:right="196"/>
              <w:jc w:val="right"/>
              <w:rPr>
                <w:b/>
                <w:sz w:val="18"/>
              </w:rPr>
            </w:pPr>
            <w:r>
              <w:rPr>
                <w:b/>
                <w:w w:val="95"/>
                <w:sz w:val="18"/>
              </w:rPr>
              <w:t>752,000</w:t>
            </w:r>
          </w:p>
        </w:tc>
        <w:tc>
          <w:tcPr>
            <w:tcW w:w="1185" w:type="dxa"/>
            <w:tcBorders>
              <w:bottom w:val="single" w:sz="0" w:space="0" w:color="000000"/>
            </w:tcBorders>
          </w:tcPr>
          <w:p>
            <w:pPr>
              <w:pStyle w:val="TableParagraph"/>
              <w:spacing w:before="20"/>
              <w:ind w:right="84"/>
              <w:jc w:val="right"/>
              <w:rPr>
                <w:sz w:val="18"/>
              </w:rPr>
            </w:pPr>
            <w:r>
              <w:rPr>
                <w:w w:val="95"/>
                <w:sz w:val="18"/>
              </w:rPr>
              <w:t>763,312</w:t>
            </w:r>
          </w:p>
        </w:tc>
      </w:tr>
    </w:tbl>
    <w:p>
      <w:pPr>
        <w:pStyle w:val="Heading9"/>
        <w:tabs>
          <w:tab w:pos="8030" w:val="left" w:leader="none"/>
          <w:tab w:pos="9327" w:val="left" w:leader="none"/>
        </w:tabs>
        <w:spacing w:before="38"/>
        <w:ind w:left="175" w:right="19"/>
        <w:rPr>
          <w:b w:val="0"/>
        </w:rPr>
      </w:pPr>
      <w:r>
        <w:rPr/>
        <w:t>Total Non-Current Liabilities</w:t>
        <w:tab/>
      </w:r>
      <w:r>
        <w:rPr>
          <w:position w:val="-8"/>
        </w:rPr>
        <w:t>752,000</w:t>
        <w:tab/>
      </w:r>
      <w:r>
        <w:rPr>
          <w:b w:val="0"/>
          <w:position w:val="-8"/>
        </w:rPr>
        <w:t>763,312</w:t>
      </w:r>
    </w:p>
    <w:p>
      <w:pPr>
        <w:pStyle w:val="BodyText"/>
        <w:spacing w:line="20" w:lineRule="exact"/>
        <w:ind w:left="7469"/>
        <w:rPr>
          <w:sz w:val="2"/>
        </w:rPr>
      </w:pPr>
      <w:r>
        <w:rPr>
          <w:sz w:val="2"/>
        </w:rPr>
        <w:pict>
          <v:group style="width:129.85pt;height:1pt;mso-position-horizontal-relative:char;mso-position-vertical-relative:line" coordorigin="0,0" coordsize="2597,2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group>
        </w:pict>
      </w:r>
      <w:r>
        <w:rPr>
          <w:sz w:val="2"/>
        </w:rPr>
      </w:r>
    </w:p>
    <w:p>
      <w:pPr>
        <w:tabs>
          <w:tab w:pos="7880" w:val="left" w:leader="none"/>
          <w:tab w:pos="9177" w:val="left" w:leader="none"/>
        </w:tabs>
        <w:spacing w:before="16" w:after="18"/>
        <w:ind w:left="175" w:right="19" w:firstLine="0"/>
        <w:jc w:val="left"/>
        <w:rPr>
          <w:sz w:val="18"/>
        </w:rPr>
      </w:pPr>
      <w:r>
        <w:rPr/>
        <w:pict>
          <v:group style="position:absolute;margin-left:416.470001pt;margin-top:15.55231pt;width:129.85pt;height:1pt;mso-position-horizontal-relative:page;mso-position-vertical-relative:paragraph;z-index:-1181728" coordorigin="8329,311" coordsize="2597,20">
            <v:line style="position:absolute" from="8330,312" to="9628,312" stroked="true" strokeweight=".06pt" strokecolor="#000000"/>
            <v:line style="position:absolute" from="8330,313" to="9628,313" stroked="true" strokeweight=".06pt" strokecolor="#000000"/>
            <v:line style="position:absolute" from="8330,314" to="9628,314" stroked="true" strokeweight=".06pt" strokecolor="#000000"/>
            <v:line style="position:absolute" from="8330,316" to="9628,316" stroked="true" strokeweight=".06pt" strokecolor="#000000"/>
            <v:line style="position:absolute" from="8330,317" to="9628,317" stroked="true" strokeweight=".06pt" strokecolor="#000000"/>
            <v:line style="position:absolute" from="8330,318" to="9628,318" stroked="true" strokeweight=".06pt" strokecolor="#000000"/>
            <v:line style="position:absolute" from="8330,319" to="9628,319" stroked="true" strokeweight=".06pt" strokecolor="#000000"/>
            <v:line style="position:absolute" from="8330,320" to="9628,320" stroked="true" strokeweight=".06pt" strokecolor="#000000"/>
            <v:line style="position:absolute" from="8330,322" to="9628,322" stroked="true" strokeweight=".06pt" strokecolor="#000000"/>
            <v:line style="position:absolute" from="8330,323" to="9628,323" stroked="true" strokeweight=".06pt" strokecolor="#000000"/>
            <v:line style="position:absolute" from="8330,324" to="9628,324" stroked="true" strokeweight=".06pt" strokecolor="#000000"/>
            <v:line style="position:absolute" from="8330,325" to="9628,325" stroked="true" strokeweight=".06pt" strokecolor="#000000"/>
            <v:line style="position:absolute" from="8330,326" to="9628,326" stroked="true" strokeweight=".06pt" strokecolor="#000000"/>
            <v:line style="position:absolute" from="8330,328" to="9628,328" stroked="true" strokeweight=".06pt" strokecolor="#000000"/>
            <v:line style="position:absolute" from="8330,329" to="9628,329" stroked="true" strokeweight=".06pt" strokecolor="#000000"/>
            <v:line style="position:absolute" from="8330,330" to="9628,330" stroked="true" strokeweight=".06pt" strokecolor="#000000"/>
            <v:line style="position:absolute" from="9628,312" to="10925,312" stroked="true" strokeweight=".06pt" strokecolor="#000000"/>
            <v:line style="position:absolute" from="9628,313" to="10925,313" stroked="true" strokeweight=".06pt" strokecolor="#000000"/>
            <v:line style="position:absolute" from="9628,314" to="10925,314" stroked="true" strokeweight=".06pt" strokecolor="#000000"/>
            <v:line style="position:absolute" from="9628,316" to="10925,316" stroked="true" strokeweight=".06pt" strokecolor="#000000"/>
            <v:line style="position:absolute" from="9628,317" to="10925,317" stroked="true" strokeweight=".06pt" strokecolor="#000000"/>
            <v:line style="position:absolute" from="9628,318" to="10925,318" stroked="true" strokeweight=".06pt" strokecolor="#000000"/>
            <v:line style="position:absolute" from="9628,319" to="10925,319" stroked="true" strokeweight=".06pt" strokecolor="#000000"/>
            <v:line style="position:absolute" from="9628,320" to="10925,320" stroked="true" strokeweight=".06pt" strokecolor="#000000"/>
            <v:line style="position:absolute" from="9628,322" to="10925,322" stroked="true" strokeweight=".06pt" strokecolor="#000000"/>
            <v:line style="position:absolute" from="9628,323" to="10925,323" stroked="true" strokeweight=".06pt" strokecolor="#000000"/>
            <v:line style="position:absolute" from="9628,324" to="10925,324" stroked="true" strokeweight=".06pt" strokecolor="#000000"/>
            <v:line style="position:absolute" from="9628,325" to="10925,325" stroked="true" strokeweight=".06pt" strokecolor="#000000"/>
            <v:line style="position:absolute" from="9628,326" to="10925,326" stroked="true" strokeweight=".06pt" strokecolor="#000000"/>
            <v:line style="position:absolute" from="9628,328" to="10925,328" stroked="true" strokeweight=".06pt" strokecolor="#000000"/>
            <v:line style="position:absolute" from="9628,329" to="10925,329" stroked="true" strokeweight=".06pt" strokecolor="#000000"/>
            <v:line style="position:absolute" from="9628,330" to="10925,330" stroked="true" strokeweight=".06pt" strokecolor="#000000"/>
            <v:line style="position:absolute" from="8330,312" to="9628,312" stroked="true" strokeweight=".06pt" strokecolor="#000000"/>
            <v:line style="position:absolute" from="8330,313" to="9628,313" stroked="true" strokeweight=".06pt" strokecolor="#000000"/>
            <v:line style="position:absolute" from="8330,314" to="9628,314" stroked="true" strokeweight=".06pt" strokecolor="#000000"/>
            <v:line style="position:absolute" from="8330,316" to="9628,316" stroked="true" strokeweight=".06pt" strokecolor="#000000"/>
            <v:line style="position:absolute" from="8330,317" to="9628,317" stroked="true" strokeweight=".06pt" strokecolor="#000000"/>
            <v:line style="position:absolute" from="8330,318" to="9628,318" stroked="true" strokeweight=".06pt" strokecolor="#000000"/>
            <v:line style="position:absolute" from="8330,319" to="9628,319" stroked="true" strokeweight=".06pt" strokecolor="#000000"/>
            <v:line style="position:absolute" from="8330,320" to="9628,320" stroked="true" strokeweight=".06pt" strokecolor="#000000"/>
            <v:line style="position:absolute" from="8330,322" to="9628,322" stroked="true" strokeweight=".06pt" strokecolor="#000000"/>
            <v:line style="position:absolute" from="8330,323" to="9628,323" stroked="true" strokeweight=".06pt" strokecolor="#000000"/>
            <v:line style="position:absolute" from="8330,324" to="9628,324" stroked="true" strokeweight=".06pt" strokecolor="#000000"/>
            <v:line style="position:absolute" from="8330,325" to="9628,325" stroked="true" strokeweight=".06pt" strokecolor="#000000"/>
            <v:line style="position:absolute" from="8330,326" to="9628,326" stroked="true" strokeweight=".06pt" strokecolor="#000000"/>
            <v:line style="position:absolute" from="8330,328" to="9628,328" stroked="true" strokeweight=".06pt" strokecolor="#000000"/>
            <v:line style="position:absolute" from="8330,329" to="9628,329" stroked="true" strokeweight=".06pt" strokecolor="#000000"/>
            <v:line style="position:absolute" from="8330,330" to="9628,330" stroked="true" strokeweight=".06pt" strokecolor="#000000"/>
            <v:line style="position:absolute" from="9628,312" to="10925,312" stroked="true" strokeweight=".06pt" strokecolor="#000000"/>
            <v:line style="position:absolute" from="9628,313" to="10925,313" stroked="true" strokeweight=".06pt" strokecolor="#000000"/>
            <v:line style="position:absolute" from="9628,314" to="10925,314" stroked="true" strokeweight=".06pt" strokecolor="#000000"/>
            <v:line style="position:absolute" from="9628,316" to="10925,316" stroked="true" strokeweight=".06pt" strokecolor="#000000"/>
            <v:line style="position:absolute" from="9628,317" to="10925,317" stroked="true" strokeweight=".06pt" strokecolor="#000000"/>
            <v:line style="position:absolute" from="9628,318" to="10925,318" stroked="true" strokeweight=".06pt" strokecolor="#000000"/>
            <v:line style="position:absolute" from="9628,319" to="10925,319" stroked="true" strokeweight=".06pt" strokecolor="#000000"/>
            <v:line style="position:absolute" from="9628,320" to="10925,320" stroked="true" strokeweight=".06pt" strokecolor="#000000"/>
            <v:line style="position:absolute" from="9628,322" to="10925,322" stroked="true" strokeweight=".06pt" strokecolor="#000000"/>
            <v:line style="position:absolute" from="9628,323" to="10925,323" stroked="true" strokeweight=".06pt" strokecolor="#000000"/>
            <v:line style="position:absolute" from="9628,324" to="10925,324" stroked="true" strokeweight=".06pt" strokecolor="#000000"/>
            <v:line style="position:absolute" from="9628,325" to="10925,325" stroked="true" strokeweight=".06pt" strokecolor="#000000"/>
            <v:line style="position:absolute" from="9628,326" to="10925,326" stroked="true" strokeweight=".06pt" strokecolor="#000000"/>
            <v:line style="position:absolute" from="9628,328" to="10925,328" stroked="true" strokeweight=".06pt" strokecolor="#000000"/>
            <v:line style="position:absolute" from="9628,329" to="10925,329" stroked="true" strokeweight=".06pt" strokecolor="#000000"/>
            <v:line style="position:absolute" from="9628,330" to="10925,330" stroked="true" strokeweight=".06pt" strokecolor="#000000"/>
            <w10:wrap type="none"/>
          </v:group>
        </w:pict>
      </w:r>
      <w:r>
        <w:rPr>
          <w:b/>
          <w:position w:val="9"/>
          <w:sz w:val="18"/>
        </w:rPr>
        <w:t>Total Liabilities</w:t>
        <w:tab/>
      </w:r>
      <w:r>
        <w:rPr>
          <w:b/>
          <w:sz w:val="18"/>
        </w:rPr>
        <w:t>7,995,361</w:t>
        <w:tab/>
      </w:r>
      <w:r>
        <w:rPr>
          <w:sz w:val="18"/>
        </w:rPr>
        <w:t>7,525,657</w:t>
      </w:r>
    </w:p>
    <w:tbl>
      <w:tblPr>
        <w:tblW w:w="0" w:type="auto"/>
        <w:jc w:val="left"/>
        <w:tblInd w:w="14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06"/>
        <w:gridCol w:w="424"/>
        <w:gridCol w:w="1459"/>
        <w:gridCol w:w="1135"/>
      </w:tblGrid>
      <w:tr>
        <w:trPr>
          <w:trHeight w:val="344" w:hRule="exact"/>
        </w:trPr>
        <w:tc>
          <w:tcPr>
            <w:tcW w:w="6906" w:type="dxa"/>
          </w:tcPr>
          <w:p>
            <w:pPr>
              <w:pStyle w:val="TableParagraph"/>
              <w:spacing w:before="28"/>
              <w:ind w:left="35"/>
              <w:rPr>
                <w:b/>
                <w:sz w:val="18"/>
              </w:rPr>
            </w:pPr>
            <w:r>
              <w:rPr>
                <w:b/>
                <w:sz w:val="18"/>
              </w:rPr>
              <w:t>Net Assets</w:t>
            </w:r>
          </w:p>
        </w:tc>
        <w:tc>
          <w:tcPr>
            <w:tcW w:w="424" w:type="dxa"/>
          </w:tcPr>
          <w:p>
            <w:pPr/>
          </w:p>
        </w:tc>
        <w:tc>
          <w:tcPr>
            <w:tcW w:w="1459" w:type="dxa"/>
            <w:tcBorders>
              <w:bottom w:val="single" w:sz="0" w:space="0" w:color="000000"/>
            </w:tcBorders>
          </w:tcPr>
          <w:p>
            <w:pPr>
              <w:pStyle w:val="TableParagraph"/>
              <w:spacing w:before="113"/>
              <w:ind w:right="246"/>
              <w:jc w:val="right"/>
              <w:rPr>
                <w:b/>
                <w:sz w:val="18"/>
              </w:rPr>
            </w:pPr>
            <w:r>
              <w:rPr>
                <w:b/>
                <w:w w:val="95"/>
                <w:sz w:val="18"/>
              </w:rPr>
              <w:t>6,765,449</w:t>
            </w:r>
          </w:p>
        </w:tc>
        <w:tc>
          <w:tcPr>
            <w:tcW w:w="1135" w:type="dxa"/>
            <w:tcBorders>
              <w:bottom w:val="single" w:sz="0" w:space="0" w:color="000000"/>
            </w:tcBorders>
          </w:tcPr>
          <w:p>
            <w:pPr>
              <w:pStyle w:val="TableParagraph"/>
              <w:spacing w:before="113"/>
              <w:ind w:right="84"/>
              <w:jc w:val="right"/>
              <w:rPr>
                <w:sz w:val="18"/>
              </w:rPr>
            </w:pPr>
            <w:r>
              <w:rPr>
                <w:w w:val="95"/>
                <w:sz w:val="18"/>
              </w:rPr>
              <w:t>6,765,449</w:t>
            </w:r>
          </w:p>
        </w:tc>
      </w:tr>
      <w:tr>
        <w:trPr>
          <w:trHeight w:val="913" w:hRule="exact"/>
        </w:trPr>
        <w:tc>
          <w:tcPr>
            <w:tcW w:w="6906" w:type="dxa"/>
          </w:tcPr>
          <w:p>
            <w:pPr>
              <w:pStyle w:val="TableParagraph"/>
              <w:rPr>
                <w:sz w:val="18"/>
              </w:rPr>
            </w:pPr>
          </w:p>
          <w:p>
            <w:pPr>
              <w:pStyle w:val="TableParagraph"/>
              <w:spacing w:before="8"/>
              <w:rPr>
                <w:sz w:val="19"/>
              </w:rPr>
            </w:pPr>
          </w:p>
          <w:p>
            <w:pPr>
              <w:pStyle w:val="TableParagraph"/>
              <w:ind w:left="35"/>
              <w:rPr>
                <w:b/>
                <w:sz w:val="18"/>
              </w:rPr>
            </w:pPr>
            <w:r>
              <w:rPr>
                <w:b/>
                <w:sz w:val="18"/>
              </w:rPr>
              <w:t>EQUITY</w:t>
            </w:r>
          </w:p>
          <w:p>
            <w:pPr>
              <w:pStyle w:val="TableParagraph"/>
              <w:spacing w:before="27"/>
              <w:ind w:left="35"/>
              <w:rPr>
                <w:sz w:val="18"/>
              </w:rPr>
            </w:pPr>
            <w:r>
              <w:rPr>
                <w:sz w:val="18"/>
              </w:rPr>
              <w:t>Issued capital</w:t>
            </w:r>
          </w:p>
        </w:tc>
        <w:tc>
          <w:tcPr>
            <w:tcW w:w="424" w:type="dxa"/>
          </w:tcPr>
          <w:p>
            <w:pPr>
              <w:pStyle w:val="TableParagraph"/>
              <w:rPr>
                <w:sz w:val="18"/>
              </w:rPr>
            </w:pPr>
          </w:p>
          <w:p>
            <w:pPr>
              <w:pStyle w:val="TableParagraph"/>
              <w:rPr>
                <w:sz w:val="18"/>
              </w:rPr>
            </w:pPr>
          </w:p>
          <w:p>
            <w:pPr>
              <w:pStyle w:val="TableParagraph"/>
              <w:spacing w:before="1"/>
              <w:rPr>
                <w:sz w:val="22"/>
              </w:rPr>
            </w:pPr>
          </w:p>
          <w:p>
            <w:pPr>
              <w:pStyle w:val="TableParagraph"/>
              <w:spacing w:before="1"/>
              <w:ind w:left="35"/>
              <w:rPr>
                <w:sz w:val="18"/>
              </w:rPr>
            </w:pPr>
            <w:r>
              <w:rPr>
                <w:sz w:val="18"/>
              </w:rPr>
              <w:t>11</w:t>
            </w:r>
          </w:p>
        </w:tc>
        <w:tc>
          <w:tcPr>
            <w:tcW w:w="1459" w:type="dxa"/>
            <w:tcBorders>
              <w:top w:val="single" w:sz="0" w:space="0" w:color="000000"/>
            </w:tcBorders>
          </w:tcPr>
          <w:p>
            <w:pPr>
              <w:pStyle w:val="TableParagraph"/>
              <w:rPr>
                <w:sz w:val="18"/>
              </w:rPr>
            </w:pPr>
          </w:p>
          <w:p>
            <w:pPr>
              <w:pStyle w:val="TableParagraph"/>
              <w:rPr>
                <w:sz w:val="18"/>
              </w:rPr>
            </w:pPr>
          </w:p>
          <w:p>
            <w:pPr>
              <w:pStyle w:val="TableParagraph"/>
              <w:spacing w:before="1"/>
              <w:rPr>
                <w:sz w:val="22"/>
              </w:rPr>
            </w:pPr>
          </w:p>
          <w:p>
            <w:pPr>
              <w:pStyle w:val="TableParagraph"/>
              <w:ind w:right="248"/>
              <w:jc w:val="right"/>
              <w:rPr>
                <w:b/>
                <w:sz w:val="18"/>
              </w:rPr>
            </w:pPr>
            <w:r>
              <w:rPr>
                <w:b/>
                <w:w w:val="99"/>
                <w:sz w:val="18"/>
              </w:rPr>
              <w:t>1</w:t>
            </w:r>
          </w:p>
        </w:tc>
        <w:tc>
          <w:tcPr>
            <w:tcW w:w="1135" w:type="dxa"/>
            <w:tcBorders>
              <w:top w:val="single" w:sz="0" w:space="0" w:color="000000"/>
            </w:tcBorders>
          </w:tcPr>
          <w:p>
            <w:pPr>
              <w:pStyle w:val="TableParagraph"/>
              <w:rPr>
                <w:sz w:val="18"/>
              </w:rPr>
            </w:pPr>
          </w:p>
          <w:p>
            <w:pPr>
              <w:pStyle w:val="TableParagraph"/>
              <w:rPr>
                <w:sz w:val="18"/>
              </w:rPr>
            </w:pPr>
          </w:p>
          <w:p>
            <w:pPr>
              <w:pStyle w:val="TableParagraph"/>
              <w:spacing w:before="1"/>
              <w:rPr>
                <w:sz w:val="22"/>
              </w:rPr>
            </w:pPr>
          </w:p>
          <w:p>
            <w:pPr>
              <w:pStyle w:val="TableParagraph"/>
              <w:ind w:right="86"/>
              <w:jc w:val="right"/>
              <w:rPr>
                <w:sz w:val="18"/>
              </w:rPr>
            </w:pPr>
            <w:r>
              <w:rPr>
                <w:w w:val="99"/>
                <w:sz w:val="18"/>
              </w:rPr>
              <w:t>1</w:t>
            </w:r>
          </w:p>
        </w:tc>
      </w:tr>
      <w:tr>
        <w:trPr>
          <w:trHeight w:val="263" w:hRule="exact"/>
        </w:trPr>
        <w:tc>
          <w:tcPr>
            <w:tcW w:w="6906" w:type="dxa"/>
          </w:tcPr>
          <w:p>
            <w:pPr>
              <w:pStyle w:val="TableParagraph"/>
              <w:spacing w:before="18"/>
              <w:ind w:left="35"/>
              <w:rPr>
                <w:sz w:val="18"/>
              </w:rPr>
            </w:pPr>
            <w:r>
              <w:rPr>
                <w:sz w:val="18"/>
              </w:rPr>
              <w:t>Retained earnings</w:t>
            </w:r>
          </w:p>
        </w:tc>
        <w:tc>
          <w:tcPr>
            <w:tcW w:w="424" w:type="dxa"/>
          </w:tcPr>
          <w:p>
            <w:pPr/>
          </w:p>
        </w:tc>
        <w:tc>
          <w:tcPr>
            <w:tcW w:w="1459" w:type="dxa"/>
            <w:tcBorders>
              <w:bottom w:val="single" w:sz="0" w:space="0" w:color="000000"/>
            </w:tcBorders>
          </w:tcPr>
          <w:p>
            <w:pPr>
              <w:pStyle w:val="TableParagraph"/>
              <w:spacing w:before="19"/>
              <w:ind w:right="246"/>
              <w:jc w:val="right"/>
              <w:rPr>
                <w:b/>
                <w:sz w:val="18"/>
              </w:rPr>
            </w:pPr>
            <w:r>
              <w:rPr>
                <w:b/>
                <w:w w:val="95"/>
                <w:sz w:val="18"/>
              </w:rPr>
              <w:t>6,765,448</w:t>
            </w:r>
          </w:p>
        </w:tc>
        <w:tc>
          <w:tcPr>
            <w:tcW w:w="1135" w:type="dxa"/>
            <w:tcBorders>
              <w:bottom w:val="single" w:sz="0" w:space="0" w:color="000000"/>
            </w:tcBorders>
          </w:tcPr>
          <w:p>
            <w:pPr>
              <w:pStyle w:val="TableParagraph"/>
              <w:spacing w:before="19"/>
              <w:ind w:right="83"/>
              <w:jc w:val="right"/>
              <w:rPr>
                <w:sz w:val="18"/>
              </w:rPr>
            </w:pPr>
            <w:r>
              <w:rPr>
                <w:w w:val="95"/>
                <w:sz w:val="18"/>
              </w:rPr>
              <w:t>6,765,448</w:t>
            </w:r>
          </w:p>
        </w:tc>
      </w:tr>
      <w:tr>
        <w:trPr>
          <w:trHeight w:val="353" w:hRule="exact"/>
        </w:trPr>
        <w:tc>
          <w:tcPr>
            <w:tcW w:w="7330" w:type="dxa"/>
            <w:gridSpan w:val="2"/>
          </w:tcPr>
          <w:p>
            <w:pPr>
              <w:pStyle w:val="TableParagraph"/>
              <w:spacing w:before="28"/>
              <w:ind w:left="35"/>
              <w:rPr>
                <w:b/>
                <w:sz w:val="18"/>
              </w:rPr>
            </w:pPr>
            <w:r>
              <w:rPr>
                <w:b/>
                <w:sz w:val="18"/>
              </w:rPr>
              <w:t>Total Equity</w:t>
            </w:r>
          </w:p>
        </w:tc>
        <w:tc>
          <w:tcPr>
            <w:tcW w:w="1459" w:type="dxa"/>
            <w:tcBorders>
              <w:bottom w:val="single" w:sz="0" w:space="0" w:color="000000"/>
            </w:tcBorders>
          </w:tcPr>
          <w:p>
            <w:pPr>
              <w:pStyle w:val="TableParagraph"/>
              <w:spacing w:before="113"/>
              <w:ind w:right="246"/>
              <w:jc w:val="right"/>
              <w:rPr>
                <w:b/>
                <w:sz w:val="18"/>
              </w:rPr>
            </w:pPr>
            <w:r>
              <w:rPr>
                <w:b/>
                <w:w w:val="95"/>
                <w:sz w:val="18"/>
              </w:rPr>
              <w:t>6,765,449</w:t>
            </w:r>
          </w:p>
        </w:tc>
        <w:tc>
          <w:tcPr>
            <w:tcW w:w="1135" w:type="dxa"/>
            <w:tcBorders>
              <w:bottom w:val="single" w:sz="0" w:space="0" w:color="000000"/>
            </w:tcBorders>
          </w:tcPr>
          <w:p>
            <w:pPr>
              <w:pStyle w:val="TableParagraph"/>
              <w:spacing w:before="113"/>
              <w:ind w:right="84"/>
              <w:jc w:val="right"/>
              <w:rPr>
                <w:sz w:val="18"/>
              </w:rPr>
            </w:pPr>
            <w:r>
              <w:rPr>
                <w:w w:val="95"/>
                <w:sz w:val="18"/>
              </w:rPr>
              <w:t>6,765,449</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pStyle w:val="BodyText"/>
        <w:ind w:left="2531" w:right="19"/>
      </w:pPr>
      <w:r>
        <w:rPr/>
        <w:t>The accompanying notes form part of these financial statements.</w:t>
      </w:r>
    </w:p>
    <w:p>
      <w:pPr>
        <w:spacing w:after="0"/>
        <w:sectPr>
          <w:headerReference w:type="default" r:id="rId54"/>
          <w:pgSz w:w="11910" w:h="16840"/>
          <w:pgMar w:header="1038" w:footer="507" w:top="1720" w:bottom="700" w:left="860" w:right="860"/>
        </w:sectPr>
      </w:pPr>
    </w:p>
    <w:p>
      <w:pPr>
        <w:pStyle w:val="BodyText"/>
        <w:spacing w:before="2"/>
        <w:rPr>
          <w:sz w:val="24"/>
        </w:rPr>
      </w:pPr>
    </w:p>
    <w:p>
      <w:pPr>
        <w:pStyle w:val="Heading3"/>
      </w:pPr>
      <w:r>
        <w:rPr/>
        <w:t>Statement of Changes in Equity</w:t>
      </w:r>
    </w:p>
    <w:p>
      <w:pPr>
        <w:pStyle w:val="Heading6"/>
        <w:ind w:left="107" w:right="161"/>
      </w:pPr>
      <w:r>
        <w:rPr/>
        <w:t>For the Year Ended 31 December 2017</w:t>
      </w:r>
    </w:p>
    <w:p>
      <w:pPr>
        <w:pStyle w:val="BodyText"/>
        <w:spacing w:before="1"/>
        <w:rPr>
          <w:b/>
          <w:sz w:val="29"/>
        </w:rPr>
      </w:pPr>
    </w:p>
    <w:p>
      <w:pPr>
        <w:spacing w:after="0"/>
        <w:rPr>
          <w:sz w:val="29"/>
        </w:rPr>
        <w:sectPr>
          <w:pgSz w:w="11910" w:h="16840"/>
          <w:pgMar w:header="1038" w:footer="507" w:top="1720" w:bottom="700" w:left="900" w:right="860"/>
        </w:sectPr>
      </w:pPr>
    </w:p>
    <w:p>
      <w:pPr>
        <w:pStyle w:val="Heading9"/>
        <w:spacing w:before="77"/>
        <w:ind w:left="6664" w:firstLine="15"/>
        <w:jc w:val="right"/>
      </w:pPr>
      <w:r>
        <w:rPr/>
        <w:t>Issued</w:t>
      </w:r>
      <w:r>
        <w:rPr>
          <w:w w:val="100"/>
        </w:rPr>
        <w:t> </w:t>
      </w:r>
      <w:r>
        <w:rPr/>
        <w:t>Capital</w:t>
      </w:r>
    </w:p>
    <w:p>
      <w:pPr>
        <w:spacing w:before="66"/>
        <w:ind w:left="0" w:right="247" w:firstLine="0"/>
        <w:jc w:val="right"/>
        <w:rPr>
          <w:b/>
          <w:sz w:val="18"/>
        </w:rPr>
      </w:pPr>
      <w:r>
        <w:rPr>
          <w:b/>
          <w:w w:val="99"/>
          <w:sz w:val="18"/>
        </w:rPr>
        <w:t>$</w:t>
      </w:r>
    </w:p>
    <w:p>
      <w:pPr>
        <w:spacing w:before="77"/>
        <w:ind w:left="498" w:right="0" w:firstLine="1"/>
        <w:jc w:val="center"/>
        <w:rPr>
          <w:b/>
          <w:sz w:val="18"/>
        </w:rPr>
      </w:pPr>
      <w:r>
        <w:rPr/>
        <w:br w:type="column"/>
      </w:r>
      <w:r>
        <w:rPr>
          <w:b/>
          <w:sz w:val="18"/>
        </w:rPr>
        <w:t>Retained Earnings</w:t>
      </w:r>
    </w:p>
    <w:p>
      <w:pPr>
        <w:spacing w:before="66"/>
        <w:ind w:left="500" w:right="0" w:firstLine="0"/>
        <w:jc w:val="center"/>
        <w:rPr>
          <w:b/>
          <w:sz w:val="18"/>
        </w:rPr>
      </w:pPr>
      <w:r>
        <w:rPr>
          <w:b/>
          <w:w w:val="99"/>
          <w:sz w:val="18"/>
        </w:rPr>
        <w:t>$</w:t>
      </w:r>
    </w:p>
    <w:p>
      <w:pPr>
        <w:pStyle w:val="BodyText"/>
        <w:spacing w:before="8"/>
        <w:rPr>
          <w:b/>
          <w:sz w:val="24"/>
        </w:rPr>
      </w:pPr>
      <w:r>
        <w:rPr/>
        <w:br w:type="column"/>
      </w:r>
      <w:r>
        <w:rPr>
          <w:b/>
          <w:sz w:val="24"/>
        </w:rPr>
      </w:r>
    </w:p>
    <w:p>
      <w:pPr>
        <w:spacing w:before="0"/>
        <w:ind w:left="553" w:right="512" w:firstLine="0"/>
        <w:jc w:val="center"/>
        <w:rPr>
          <w:b/>
          <w:sz w:val="18"/>
        </w:rPr>
      </w:pPr>
      <w:r>
        <w:rPr>
          <w:b/>
          <w:sz w:val="18"/>
        </w:rPr>
        <w:t>Total</w:t>
      </w:r>
    </w:p>
    <w:p>
      <w:pPr>
        <w:spacing w:before="66"/>
        <w:ind w:left="42" w:right="0" w:firstLine="0"/>
        <w:jc w:val="center"/>
        <w:rPr>
          <w:b/>
          <w:sz w:val="18"/>
        </w:rPr>
      </w:pPr>
      <w:r>
        <w:rPr>
          <w:b/>
          <w:w w:val="99"/>
          <w:sz w:val="18"/>
        </w:rPr>
        <w:t>$</w:t>
      </w:r>
    </w:p>
    <w:p>
      <w:pPr>
        <w:spacing w:after="0"/>
        <w:jc w:val="center"/>
        <w:rPr>
          <w:sz w:val="18"/>
        </w:rPr>
        <w:sectPr>
          <w:type w:val="continuous"/>
          <w:pgSz w:w="11910" w:h="16840"/>
          <w:pgMar w:top="1580" w:bottom="280" w:left="900" w:right="860"/>
          <w:cols w:num="3" w:equalWidth="0">
            <w:col w:w="7265" w:space="40"/>
            <w:col w:w="1269" w:space="40"/>
            <w:col w:w="1536"/>
          </w:cols>
        </w:sectPr>
      </w:pPr>
    </w:p>
    <w:p>
      <w:pPr>
        <w:pStyle w:val="BodyText"/>
        <w:spacing w:before="8"/>
        <w:rPr>
          <w:b/>
          <w:sz w:val="2"/>
        </w:rPr>
      </w:pPr>
    </w:p>
    <w:p>
      <w:pPr>
        <w:pStyle w:val="BodyText"/>
        <w:spacing w:line="20" w:lineRule="exact"/>
        <w:ind w:left="6353"/>
        <w:rPr>
          <w:sz w:val="2"/>
        </w:rPr>
      </w:pPr>
      <w:r>
        <w:rPr>
          <w:sz w:val="2"/>
        </w:rPr>
        <w:pict>
          <v:group style="width:183.7pt;height:1pt;mso-position-horizontal-relative:char;mso-position-vertical-relative:line" coordorigin="0,0" coordsize="3674,20">
            <v:line style="position:absolute" from="1,1" to="1225,1" stroked="true" strokeweight=".06pt" strokecolor="#000000"/>
            <v:line style="position:absolute" from="1,2" to="1225,2" stroked="true" strokeweight=".06pt" strokecolor="#000000"/>
            <v:line style="position:absolute" from="1,3" to="1225,3" stroked="true" strokeweight=".06pt" strokecolor="#000000"/>
            <v:line style="position:absolute" from="1,5" to="1225,5" stroked="true" strokeweight=".06pt" strokecolor="#000000"/>
            <v:line style="position:absolute" from="1,6" to="1225,6" stroked="true" strokeweight=".06pt" strokecolor="#000000"/>
            <v:line style="position:absolute" from="1,7" to="1225,7" stroked="true" strokeweight=".06pt" strokecolor="#000000"/>
            <v:line style="position:absolute" from="1,8" to="1225,8" stroked="true" strokeweight=".06pt" strokecolor="#000000"/>
            <v:line style="position:absolute" from="1,9" to="1225,9" stroked="true" strokeweight=".06pt" strokecolor="#000000"/>
            <v:line style="position:absolute" from="1,11" to="1225,11" stroked="true" strokeweight=".06pt" strokecolor="#000000"/>
            <v:line style="position:absolute" from="1,12" to="1225,12" stroked="true" strokeweight=".06pt" strokecolor="#000000"/>
            <v:line style="position:absolute" from="1,13" to="1225,13" stroked="true" strokeweight=".06pt" strokecolor="#000000"/>
            <v:line style="position:absolute" from="1,14" to="1225,14" stroked="true" strokeweight=".06pt" strokecolor="#000000"/>
            <v:line style="position:absolute" from="1,15" to="1225,15" stroked="true" strokeweight=".06pt" strokecolor="#000000"/>
            <v:line style="position:absolute" from="1,17" to="1225,17" stroked="true" strokeweight=".06pt" strokecolor="#000000"/>
            <v:line style="position:absolute" from="1,18" to="1225,18" stroked="true" strokeweight=".06pt" strokecolor="#000000"/>
            <v:line style="position:absolute" from="1,19" to="1225,19" stroked="true" strokeweight=".06pt" strokecolor="#000000"/>
            <v:line style="position:absolute" from="1225,1" to="2449,1" stroked="true" strokeweight=".06pt" strokecolor="#000000"/>
            <v:line style="position:absolute" from="1225,2" to="2449,2" stroked="true" strokeweight=".06pt" strokecolor="#000000"/>
            <v:line style="position:absolute" from="1225,3" to="2449,3" stroked="true" strokeweight=".06pt" strokecolor="#000000"/>
            <v:line style="position:absolute" from="1225,5" to="2449,5" stroked="true" strokeweight=".06pt" strokecolor="#000000"/>
            <v:line style="position:absolute" from="1225,6" to="2449,6" stroked="true" strokeweight=".06pt" strokecolor="#000000"/>
            <v:line style="position:absolute" from="1225,7" to="2449,7" stroked="true" strokeweight=".06pt" strokecolor="#000000"/>
            <v:line style="position:absolute" from="1225,8" to="2449,8" stroked="true" strokeweight=".06pt" strokecolor="#000000"/>
            <v:line style="position:absolute" from="1225,9" to="2449,9" stroked="true" strokeweight=".06pt" strokecolor="#000000"/>
            <v:line style="position:absolute" from="1225,11" to="2449,11" stroked="true" strokeweight=".06pt" strokecolor="#000000"/>
            <v:line style="position:absolute" from="1225,12" to="2449,12" stroked="true" strokeweight=".06pt" strokecolor="#000000"/>
            <v:line style="position:absolute" from="1225,13" to="2449,13" stroked="true" strokeweight=".06pt" strokecolor="#000000"/>
            <v:line style="position:absolute" from="1225,14" to="2449,14" stroked="true" strokeweight=".06pt" strokecolor="#000000"/>
            <v:line style="position:absolute" from="1225,15" to="2449,15" stroked="true" strokeweight=".06pt" strokecolor="#000000"/>
            <v:line style="position:absolute" from="1225,17" to="2449,17" stroked="true" strokeweight=".06pt" strokecolor="#000000"/>
            <v:line style="position:absolute" from="1225,18" to="2449,18" stroked="true" strokeweight=".06pt" strokecolor="#000000"/>
            <v:line style="position:absolute" from="1225,19" to="2449,19" stroked="true" strokeweight=".06pt" strokecolor="#000000"/>
            <v:line style="position:absolute" from="2449,1" to="3673,1" stroked="true" strokeweight=".06pt" strokecolor="#000000"/>
            <v:line style="position:absolute" from="2449,2" to="3673,2" stroked="true" strokeweight=".06pt" strokecolor="#000000"/>
            <v:line style="position:absolute" from="2449,3" to="3673,3" stroked="true" strokeweight=".06pt" strokecolor="#000000"/>
            <v:line style="position:absolute" from="2449,5" to="3673,5" stroked="true" strokeweight=".06pt" strokecolor="#000000"/>
            <v:line style="position:absolute" from="2449,6" to="3673,6" stroked="true" strokeweight=".06pt" strokecolor="#000000"/>
            <v:line style="position:absolute" from="2449,7" to="3673,7" stroked="true" strokeweight=".06pt" strokecolor="#000000"/>
            <v:line style="position:absolute" from="2449,8" to="3673,8" stroked="true" strokeweight=".06pt" strokecolor="#000000"/>
            <v:line style="position:absolute" from="2449,9" to="3673,9" stroked="true" strokeweight=".06pt" strokecolor="#000000"/>
            <v:line style="position:absolute" from="2449,11" to="3673,11" stroked="true" strokeweight=".06pt" strokecolor="#000000"/>
            <v:line style="position:absolute" from="2449,12" to="3673,12" stroked="true" strokeweight=".06pt" strokecolor="#000000"/>
            <v:line style="position:absolute" from="2449,13" to="3673,13" stroked="true" strokeweight=".06pt" strokecolor="#000000"/>
            <v:line style="position:absolute" from="2449,14" to="3673,14" stroked="true" strokeweight=".06pt" strokecolor="#000000"/>
            <v:line style="position:absolute" from="2449,15" to="3673,15" stroked="true" strokeweight=".06pt" strokecolor="#000000"/>
            <v:line style="position:absolute" from="2449,17" to="3673,17" stroked="true" strokeweight=".06pt" strokecolor="#000000"/>
            <v:line style="position:absolute" from="2449,18" to="3673,18" stroked="true" strokeweight=".06pt" strokecolor="#000000"/>
            <v:line style="position:absolute" from="2449,19" to="3673,19" stroked="true" strokeweight=".06pt" strokecolor="#000000"/>
            <v:line style="position:absolute" from="1,1" to="1225,1" stroked="true" strokeweight=".06pt" strokecolor="#000000"/>
            <v:line style="position:absolute" from="1,2" to="1225,2" stroked="true" strokeweight=".06pt" strokecolor="#000000"/>
            <v:line style="position:absolute" from="1,3" to="1225,3" stroked="true" strokeweight=".06pt" strokecolor="#000000"/>
            <v:line style="position:absolute" from="1,5" to="1225,5" stroked="true" strokeweight=".06pt" strokecolor="#000000"/>
            <v:line style="position:absolute" from="1,6" to="1225,6" stroked="true" strokeweight=".06pt" strokecolor="#000000"/>
            <v:line style="position:absolute" from="1,7" to="1225,7" stroked="true" strokeweight=".06pt" strokecolor="#000000"/>
            <v:line style="position:absolute" from="1,8" to="1225,8" stroked="true" strokeweight=".06pt" strokecolor="#000000"/>
            <v:line style="position:absolute" from="1,9" to="1225,9" stroked="true" strokeweight=".06pt" strokecolor="#000000"/>
            <v:line style="position:absolute" from="1,11" to="1225,11" stroked="true" strokeweight=".06pt" strokecolor="#000000"/>
            <v:line style="position:absolute" from="1,12" to="1225,12" stroked="true" strokeweight=".06pt" strokecolor="#000000"/>
            <v:line style="position:absolute" from="1,13" to="1225,13" stroked="true" strokeweight=".06pt" strokecolor="#000000"/>
            <v:line style="position:absolute" from="1,14" to="1225,14" stroked="true" strokeweight=".06pt" strokecolor="#000000"/>
            <v:line style="position:absolute" from="1,15" to="1225,15" stroked="true" strokeweight=".06pt" strokecolor="#000000"/>
            <v:line style="position:absolute" from="1,17" to="1225,17" stroked="true" strokeweight=".06pt" strokecolor="#000000"/>
            <v:line style="position:absolute" from="1,18" to="1225,18" stroked="true" strokeweight=".06pt" strokecolor="#000000"/>
            <v:line style="position:absolute" from="1,19" to="1225,19" stroked="true" strokeweight=".06pt" strokecolor="#000000"/>
            <v:line style="position:absolute" from="1225,1" to="2449,1" stroked="true" strokeweight=".06pt" strokecolor="#000000"/>
            <v:line style="position:absolute" from="1225,2" to="2449,2" stroked="true" strokeweight=".06pt" strokecolor="#000000"/>
            <v:line style="position:absolute" from="1225,3" to="2449,3" stroked="true" strokeweight=".06pt" strokecolor="#000000"/>
            <v:line style="position:absolute" from="1225,5" to="2449,5" stroked="true" strokeweight=".06pt" strokecolor="#000000"/>
            <v:line style="position:absolute" from="1225,6" to="2449,6" stroked="true" strokeweight=".06pt" strokecolor="#000000"/>
            <v:line style="position:absolute" from="1225,7" to="2449,7" stroked="true" strokeweight=".06pt" strokecolor="#000000"/>
            <v:line style="position:absolute" from="1225,8" to="2449,8" stroked="true" strokeweight=".06pt" strokecolor="#000000"/>
            <v:line style="position:absolute" from="1225,9" to="2449,9" stroked="true" strokeweight=".06pt" strokecolor="#000000"/>
            <v:line style="position:absolute" from="1225,11" to="2449,11" stroked="true" strokeweight=".06pt" strokecolor="#000000"/>
            <v:line style="position:absolute" from="1225,12" to="2449,12" stroked="true" strokeweight=".06pt" strokecolor="#000000"/>
            <v:line style="position:absolute" from="1225,13" to="2449,13" stroked="true" strokeweight=".06pt" strokecolor="#000000"/>
            <v:line style="position:absolute" from="1225,14" to="2449,14" stroked="true" strokeweight=".06pt" strokecolor="#000000"/>
            <v:line style="position:absolute" from="1225,15" to="2449,15" stroked="true" strokeweight=".06pt" strokecolor="#000000"/>
            <v:line style="position:absolute" from="1225,17" to="2449,17" stroked="true" strokeweight=".06pt" strokecolor="#000000"/>
            <v:line style="position:absolute" from="1225,18" to="2449,18" stroked="true" strokeweight=".06pt" strokecolor="#000000"/>
            <v:line style="position:absolute" from="1225,19" to="2449,19" stroked="true" strokeweight=".06pt" strokecolor="#000000"/>
            <v:line style="position:absolute" from="2449,1" to="3673,1" stroked="true" strokeweight=".06pt" strokecolor="#000000"/>
            <v:line style="position:absolute" from="2449,2" to="3673,2" stroked="true" strokeweight=".06pt" strokecolor="#000000"/>
            <v:line style="position:absolute" from="2449,3" to="3673,3" stroked="true" strokeweight=".06pt" strokecolor="#000000"/>
            <v:line style="position:absolute" from="2449,5" to="3673,5" stroked="true" strokeweight=".06pt" strokecolor="#000000"/>
            <v:line style="position:absolute" from="2449,6" to="3673,6" stroked="true" strokeweight=".06pt" strokecolor="#000000"/>
            <v:line style="position:absolute" from="2449,7" to="3673,7" stroked="true" strokeweight=".06pt" strokecolor="#000000"/>
            <v:line style="position:absolute" from="2449,8" to="3673,8" stroked="true" strokeweight=".06pt" strokecolor="#000000"/>
            <v:line style="position:absolute" from="2449,9" to="3673,9" stroked="true" strokeweight=".06pt" strokecolor="#000000"/>
            <v:line style="position:absolute" from="2449,11" to="3673,11" stroked="true" strokeweight=".06pt" strokecolor="#000000"/>
            <v:line style="position:absolute" from="2449,12" to="3673,12" stroked="true" strokeweight=".06pt" strokecolor="#000000"/>
            <v:line style="position:absolute" from="2449,13" to="3673,13" stroked="true" strokeweight=".06pt" strokecolor="#000000"/>
            <v:line style="position:absolute" from="2449,14" to="3673,14" stroked="true" strokeweight=".06pt" strokecolor="#000000"/>
            <v:line style="position:absolute" from="2449,15" to="3673,15" stroked="true" strokeweight=".06pt" strokecolor="#000000"/>
            <v:line style="position:absolute" from="2449,17" to="3673,17" stroked="true" strokeweight=".06pt" strokecolor="#000000"/>
            <v:line style="position:absolute" from="2449,18" to="3673,18" stroked="true" strokeweight=".06pt" strokecolor="#000000"/>
            <v:line style="position:absolute" from="2449,19" to="3673,19" stroked="true" strokeweight=".06pt" strokecolor="#000000"/>
          </v:group>
        </w:pict>
      </w:r>
      <w:r>
        <w:rPr>
          <w:sz w:val="2"/>
        </w:rPr>
      </w:r>
    </w:p>
    <w:p>
      <w:pPr>
        <w:tabs>
          <w:tab w:pos="7389" w:val="left" w:leader="none"/>
          <w:tab w:pos="7915" w:val="left" w:leader="none"/>
          <w:tab w:pos="9139" w:val="left" w:leader="none"/>
        </w:tabs>
        <w:spacing w:before="39"/>
        <w:ind w:left="135" w:right="161" w:firstLine="0"/>
        <w:jc w:val="left"/>
        <w:rPr>
          <w:b/>
          <w:sz w:val="18"/>
        </w:rPr>
      </w:pPr>
      <w:r>
        <w:rPr>
          <w:b/>
          <w:sz w:val="18"/>
        </w:rPr>
        <w:t>Balance at 1</w:t>
      </w:r>
      <w:r>
        <w:rPr>
          <w:b/>
          <w:spacing w:val="-3"/>
          <w:sz w:val="18"/>
        </w:rPr>
        <w:t> </w:t>
      </w:r>
      <w:r>
        <w:rPr>
          <w:b/>
          <w:sz w:val="18"/>
        </w:rPr>
        <w:t>January</w:t>
      </w:r>
      <w:r>
        <w:rPr>
          <w:b/>
          <w:spacing w:val="-1"/>
          <w:sz w:val="18"/>
        </w:rPr>
        <w:t> </w:t>
      </w:r>
      <w:r>
        <w:rPr>
          <w:b/>
          <w:sz w:val="18"/>
        </w:rPr>
        <w:t>2017</w:t>
        <w:tab/>
        <w:t>1</w:t>
        <w:tab/>
        <w:t>6,765,448</w:t>
        <w:tab/>
        <w:t>6,765,449</w:t>
      </w:r>
    </w:p>
    <w:p>
      <w:pPr>
        <w:pStyle w:val="BodyText"/>
        <w:tabs>
          <w:tab w:pos="6934" w:val="left" w:leader="none"/>
          <w:tab w:pos="8158" w:val="left" w:leader="none"/>
          <w:tab w:pos="9369" w:val="left" w:leader="none"/>
        </w:tabs>
        <w:spacing w:before="58"/>
        <w:ind w:left="135" w:right="161"/>
        <w:rPr>
          <w:b/>
        </w:rPr>
      </w:pPr>
      <w:r>
        <w:rPr/>
        <w:t>Surplus / (deficit) for</w:t>
      </w:r>
      <w:r>
        <w:rPr>
          <w:spacing w:val="-1"/>
        </w:rPr>
        <w:t> </w:t>
      </w:r>
      <w:r>
        <w:rPr/>
        <w:t>the year</w:t>
        <w:tab/>
      </w:r>
      <w:r>
        <w:rPr>
          <w:b/>
        </w:rPr>
        <w:t>-</w:t>
        <w:tab/>
        <w:t>-</w:t>
        <w:tab/>
        <w:t>-</w:t>
      </w:r>
    </w:p>
    <w:p>
      <w:pPr>
        <w:pStyle w:val="BodyText"/>
        <w:tabs>
          <w:tab w:pos="6934" w:val="left" w:leader="none"/>
          <w:tab w:pos="8158" w:val="left" w:leader="none"/>
          <w:tab w:pos="9369" w:val="left" w:leader="none"/>
        </w:tabs>
        <w:spacing w:before="57"/>
        <w:ind w:left="135" w:right="161"/>
        <w:rPr>
          <w:b/>
        </w:rPr>
      </w:pPr>
      <w:r>
        <w:rPr/>
        <w:pict>
          <v:group style="position:absolute;margin-left:362.649994pt;margin-top:14.485193pt;width:183.7pt;height:1pt;mso-position-horizontal-relative:page;mso-position-vertical-relative:paragraph;z-index:2344;mso-wrap-distance-left:0;mso-wrap-distance-right:0" coordorigin="7253,290" coordsize="3674,20">
            <v:line style="position:absolute" from="7254,291" to="8478,291" stroked="true" strokeweight=".06pt" strokecolor="#000000"/>
            <v:line style="position:absolute" from="7254,292" to="8478,292" stroked="true" strokeweight=".06pt" strokecolor="#000000"/>
            <v:line style="position:absolute" from="7254,293" to="8478,293" stroked="true" strokeweight=".06pt" strokecolor="#000000"/>
            <v:line style="position:absolute" from="7254,294" to="8478,294" stroked="true" strokeweight=".06pt" strokecolor="#000000"/>
            <v:line style="position:absolute" from="7254,296" to="8478,296" stroked="true" strokeweight=".06pt" strokecolor="#000000"/>
            <v:line style="position:absolute" from="7254,297" to="8478,297" stroked="true" strokeweight=".06pt" strokecolor="#000000"/>
            <v:line style="position:absolute" from="7254,298" to="8478,298" stroked="true" strokeweight=".06pt" strokecolor="#000000"/>
            <v:line style="position:absolute" from="7254,299" to="8478,299" stroked="true" strokeweight=".06pt" strokecolor="#000000"/>
            <v:line style="position:absolute" from="7254,300" to="8478,300" stroked="true" strokeweight=".06pt" strokecolor="#000000"/>
            <v:line style="position:absolute" from="7254,302" to="8478,302" stroked="true" strokeweight=".06pt" strokecolor="#000000"/>
            <v:line style="position:absolute" from="7254,303" to="8478,303" stroked="true" strokeweight=".06pt" strokecolor="#000000"/>
            <v:line style="position:absolute" from="7254,304" to="8478,304" stroked="true" strokeweight=".06pt" strokecolor="#000000"/>
            <v:line style="position:absolute" from="7254,305" to="8478,305" stroked="true" strokeweight=".06pt" strokecolor="#000000"/>
            <v:line style="position:absolute" from="7254,306" to="8478,306" stroked="true" strokeweight=".06pt" strokecolor="#000000"/>
            <v:line style="position:absolute" from="7254,308" to="8478,308" stroked="true" strokeweight=".06pt" strokecolor="#000000"/>
            <v:line style="position:absolute" from="7254,309" to="8478,309" stroked="true" strokeweight=".06pt" strokecolor="#000000"/>
            <v:line style="position:absolute" from="8478,291" to="9702,291" stroked="true" strokeweight=".06pt" strokecolor="#000000"/>
            <v:line style="position:absolute" from="8478,292" to="9702,292" stroked="true" strokeweight=".06pt" strokecolor="#000000"/>
            <v:line style="position:absolute" from="8478,293" to="9702,293" stroked="true" strokeweight=".06pt" strokecolor="#000000"/>
            <v:line style="position:absolute" from="8478,294" to="9702,294" stroked="true" strokeweight=".06pt" strokecolor="#000000"/>
            <v:line style="position:absolute" from="8478,296" to="9702,296" stroked="true" strokeweight=".06pt" strokecolor="#000000"/>
            <v:line style="position:absolute" from="8478,297" to="9702,297" stroked="true" strokeweight=".06pt" strokecolor="#000000"/>
            <v:line style="position:absolute" from="8478,298" to="9702,298" stroked="true" strokeweight=".06pt" strokecolor="#000000"/>
            <v:line style="position:absolute" from="8478,299" to="9702,299" stroked="true" strokeweight=".06pt" strokecolor="#000000"/>
            <v:line style="position:absolute" from="8478,300" to="9702,300" stroked="true" strokeweight=".06pt" strokecolor="#000000"/>
            <v:line style="position:absolute" from="8478,302" to="9702,302" stroked="true" strokeweight=".06pt" strokecolor="#000000"/>
            <v:line style="position:absolute" from="8478,303" to="9702,303" stroked="true" strokeweight=".06pt" strokecolor="#000000"/>
            <v:line style="position:absolute" from="8478,304" to="9702,304" stroked="true" strokeweight=".06pt" strokecolor="#000000"/>
            <v:line style="position:absolute" from="8478,305" to="9702,305" stroked="true" strokeweight=".06pt" strokecolor="#000000"/>
            <v:line style="position:absolute" from="8478,306" to="9702,306" stroked="true" strokeweight=".06pt" strokecolor="#000000"/>
            <v:line style="position:absolute" from="8478,308" to="9702,308" stroked="true" strokeweight=".06pt" strokecolor="#000000"/>
            <v:line style="position:absolute" from="8478,309" to="9702,309" stroked="true" strokeweight=".06pt" strokecolor="#000000"/>
            <v:line style="position:absolute" from="9702,291" to="10926,291" stroked="true" strokeweight=".06pt" strokecolor="#000000"/>
            <v:line style="position:absolute" from="9702,292" to="10926,292" stroked="true" strokeweight=".06pt" strokecolor="#000000"/>
            <v:line style="position:absolute" from="9702,293" to="10926,293" stroked="true" strokeweight=".06pt" strokecolor="#000000"/>
            <v:line style="position:absolute" from="9702,294" to="10926,294" stroked="true" strokeweight=".06pt" strokecolor="#000000"/>
            <v:line style="position:absolute" from="9702,296" to="10926,296" stroked="true" strokeweight=".06pt" strokecolor="#000000"/>
            <v:line style="position:absolute" from="9702,297" to="10926,297" stroked="true" strokeweight=".06pt" strokecolor="#000000"/>
            <v:line style="position:absolute" from="9702,298" to="10926,298" stroked="true" strokeweight=".06pt" strokecolor="#000000"/>
            <v:line style="position:absolute" from="9702,299" to="10926,299" stroked="true" strokeweight=".06pt" strokecolor="#000000"/>
            <v:line style="position:absolute" from="9702,300" to="10926,300" stroked="true" strokeweight=".06pt" strokecolor="#000000"/>
            <v:line style="position:absolute" from="9702,302" to="10926,302" stroked="true" strokeweight=".06pt" strokecolor="#000000"/>
            <v:line style="position:absolute" from="9702,303" to="10926,303" stroked="true" strokeweight=".06pt" strokecolor="#000000"/>
            <v:line style="position:absolute" from="9702,304" to="10926,304" stroked="true" strokeweight=".06pt" strokecolor="#000000"/>
            <v:line style="position:absolute" from="9702,305" to="10926,305" stroked="true" strokeweight=".06pt" strokecolor="#000000"/>
            <v:line style="position:absolute" from="9702,306" to="10926,306" stroked="true" strokeweight=".06pt" strokecolor="#000000"/>
            <v:line style="position:absolute" from="9702,308" to="10926,308" stroked="true" strokeweight=".06pt" strokecolor="#000000"/>
            <v:line style="position:absolute" from="9702,309" to="10926,309" stroked="true" strokeweight=".06pt" strokecolor="#000000"/>
            <v:line style="position:absolute" from="7254,291" to="8478,291" stroked="true" strokeweight=".06pt" strokecolor="#000000"/>
            <v:line style="position:absolute" from="7254,292" to="8478,292" stroked="true" strokeweight=".06pt" strokecolor="#000000"/>
            <v:line style="position:absolute" from="7254,293" to="8478,293" stroked="true" strokeweight=".06pt" strokecolor="#000000"/>
            <v:line style="position:absolute" from="7254,294" to="8478,294" stroked="true" strokeweight=".06pt" strokecolor="#000000"/>
            <v:line style="position:absolute" from="7254,296" to="8478,296" stroked="true" strokeweight=".06pt" strokecolor="#000000"/>
            <v:line style="position:absolute" from="7254,297" to="8478,297" stroked="true" strokeweight=".06pt" strokecolor="#000000"/>
            <v:line style="position:absolute" from="7254,298" to="8478,298" stroked="true" strokeweight=".06pt" strokecolor="#000000"/>
            <v:line style="position:absolute" from="7254,299" to="8478,299" stroked="true" strokeweight=".06pt" strokecolor="#000000"/>
            <v:line style="position:absolute" from="7254,300" to="8478,300" stroked="true" strokeweight=".06pt" strokecolor="#000000"/>
            <v:line style="position:absolute" from="7254,302" to="8478,302" stroked="true" strokeweight=".06pt" strokecolor="#000000"/>
            <v:line style="position:absolute" from="7254,303" to="8478,303" stroked="true" strokeweight=".06pt" strokecolor="#000000"/>
            <v:line style="position:absolute" from="7254,304" to="8478,304" stroked="true" strokeweight=".06pt" strokecolor="#000000"/>
            <v:line style="position:absolute" from="7254,305" to="8478,305" stroked="true" strokeweight=".06pt" strokecolor="#000000"/>
            <v:line style="position:absolute" from="7254,306" to="8478,306" stroked="true" strokeweight=".06pt" strokecolor="#000000"/>
            <v:line style="position:absolute" from="7254,308" to="8478,308" stroked="true" strokeweight=".06pt" strokecolor="#000000"/>
            <v:line style="position:absolute" from="7254,309" to="8478,309" stroked="true" strokeweight=".06pt" strokecolor="#000000"/>
            <v:line style="position:absolute" from="8478,291" to="9702,291" stroked="true" strokeweight=".06pt" strokecolor="#000000"/>
            <v:line style="position:absolute" from="8478,292" to="9702,292" stroked="true" strokeweight=".06pt" strokecolor="#000000"/>
            <v:line style="position:absolute" from="8478,293" to="9702,293" stroked="true" strokeweight=".06pt" strokecolor="#000000"/>
            <v:line style="position:absolute" from="8478,294" to="9702,294" stroked="true" strokeweight=".06pt" strokecolor="#000000"/>
            <v:line style="position:absolute" from="8478,296" to="9702,296" stroked="true" strokeweight=".06pt" strokecolor="#000000"/>
            <v:line style="position:absolute" from="8478,297" to="9702,297" stroked="true" strokeweight=".06pt" strokecolor="#000000"/>
            <v:line style="position:absolute" from="8478,298" to="9702,298" stroked="true" strokeweight=".06pt" strokecolor="#000000"/>
            <v:line style="position:absolute" from="8478,299" to="9702,299" stroked="true" strokeweight=".06pt" strokecolor="#000000"/>
            <v:line style="position:absolute" from="8478,300" to="9702,300" stroked="true" strokeweight=".06pt" strokecolor="#000000"/>
            <v:line style="position:absolute" from="8478,302" to="9702,302" stroked="true" strokeweight=".06pt" strokecolor="#000000"/>
            <v:line style="position:absolute" from="8478,303" to="9702,303" stroked="true" strokeweight=".06pt" strokecolor="#000000"/>
            <v:line style="position:absolute" from="8478,304" to="9702,304" stroked="true" strokeweight=".06pt" strokecolor="#000000"/>
            <v:line style="position:absolute" from="8478,305" to="9702,305" stroked="true" strokeweight=".06pt" strokecolor="#000000"/>
            <v:line style="position:absolute" from="8478,306" to="9702,306" stroked="true" strokeweight=".06pt" strokecolor="#000000"/>
            <v:line style="position:absolute" from="8478,308" to="9702,308" stroked="true" strokeweight=".06pt" strokecolor="#000000"/>
            <v:line style="position:absolute" from="8478,309" to="9702,309" stroked="true" strokeweight=".06pt" strokecolor="#000000"/>
            <v:line style="position:absolute" from="9702,291" to="10926,291" stroked="true" strokeweight=".06pt" strokecolor="#000000"/>
            <v:line style="position:absolute" from="9702,292" to="10926,292" stroked="true" strokeweight=".06pt" strokecolor="#000000"/>
            <v:line style="position:absolute" from="9702,293" to="10926,293" stroked="true" strokeweight=".06pt" strokecolor="#000000"/>
            <v:line style="position:absolute" from="9702,294" to="10926,294" stroked="true" strokeweight=".06pt" strokecolor="#000000"/>
            <v:line style="position:absolute" from="9702,296" to="10926,296" stroked="true" strokeweight=".06pt" strokecolor="#000000"/>
            <v:line style="position:absolute" from="9702,297" to="10926,297" stroked="true" strokeweight=".06pt" strokecolor="#000000"/>
            <v:line style="position:absolute" from="9702,298" to="10926,298" stroked="true" strokeweight=".06pt" strokecolor="#000000"/>
            <v:line style="position:absolute" from="9702,299" to="10926,299" stroked="true" strokeweight=".06pt" strokecolor="#000000"/>
            <v:line style="position:absolute" from="9702,300" to="10926,300" stroked="true" strokeweight=".06pt" strokecolor="#000000"/>
            <v:line style="position:absolute" from="9702,302" to="10926,302" stroked="true" strokeweight=".06pt" strokecolor="#000000"/>
            <v:line style="position:absolute" from="9702,303" to="10926,303" stroked="true" strokeweight=".06pt" strokecolor="#000000"/>
            <v:line style="position:absolute" from="9702,304" to="10926,304" stroked="true" strokeweight=".06pt" strokecolor="#000000"/>
            <v:line style="position:absolute" from="9702,305" to="10926,305" stroked="true" strokeweight=".06pt" strokecolor="#000000"/>
            <v:line style="position:absolute" from="9702,306" to="10926,306" stroked="true" strokeweight=".06pt" strokecolor="#000000"/>
            <v:line style="position:absolute" from="9702,308" to="10926,308" stroked="true" strokeweight=".06pt" strokecolor="#000000"/>
            <v:line style="position:absolute" from="9702,309" to="10926,309" stroked="true" strokeweight=".06pt" strokecolor="#000000"/>
            <w10:wrap type="topAndBottom"/>
          </v:group>
        </w:pict>
      </w:r>
      <w:r>
        <w:rPr/>
        <w:pict>
          <v:group style="position:absolute;margin-left:362.649994pt;margin-top:31.405193pt;width:183.7pt;height:1pt;mso-position-horizontal-relative:page;mso-position-vertical-relative:paragraph;z-index:-1181560" coordorigin="7253,628" coordsize="3674,20">
            <v:line style="position:absolute" from="7254,629" to="8478,629" stroked="true" strokeweight=".06pt" strokecolor="#000000"/>
            <v:line style="position:absolute" from="7254,630" to="8478,630" stroked="true" strokeweight=".06pt" strokecolor="#000000"/>
            <v:line style="position:absolute" from="7254,632" to="8478,632" stroked="true" strokeweight=".06pt" strokecolor="#000000"/>
            <v:line style="position:absolute" from="7254,633" to="8478,633" stroked="true" strokeweight=".06pt" strokecolor="#000000"/>
            <v:line style="position:absolute" from="7254,634" to="8478,634" stroked="true" strokeweight=".06pt" strokecolor="#000000"/>
            <v:line style="position:absolute" from="7254,635" to="8478,635" stroked="true" strokeweight=".06pt" strokecolor="#000000"/>
            <v:line style="position:absolute" from="7254,636" to="8478,636" stroked="true" strokeweight=".06pt" strokecolor="#000000"/>
            <v:line style="position:absolute" from="7254,638" to="8478,638" stroked="true" strokeweight=".06pt" strokecolor="#000000"/>
            <v:line style="position:absolute" from="7254,639" to="8478,639" stroked="true" strokeweight=".06pt" strokecolor="#000000"/>
            <v:line style="position:absolute" from="7254,640" to="8478,640" stroked="true" strokeweight=".06pt" strokecolor="#000000"/>
            <v:line style="position:absolute" from="7254,641" to="8478,641" stroked="true" strokeweight=".06pt" strokecolor="#000000"/>
            <v:line style="position:absolute" from="7254,642" to="8478,642" stroked="true" strokeweight=".06pt" strokecolor="#000000"/>
            <v:line style="position:absolute" from="7254,644" to="8478,644" stroked="true" strokeweight=".06pt" strokecolor="#000000"/>
            <v:line style="position:absolute" from="7254,645" to="8478,645" stroked="true" strokeweight=".06pt" strokecolor="#000000"/>
            <v:line style="position:absolute" from="7254,646" to="8478,646" stroked="true" strokeweight=".06pt" strokecolor="#000000"/>
            <v:line style="position:absolute" from="7254,647" to="8478,647" stroked="true" strokeweight=".06pt" strokecolor="#000000"/>
            <v:line style="position:absolute" from="8478,629" to="9702,629" stroked="true" strokeweight=".06pt" strokecolor="#000000"/>
            <v:line style="position:absolute" from="8478,630" to="9702,630" stroked="true" strokeweight=".06pt" strokecolor="#000000"/>
            <v:line style="position:absolute" from="8478,632" to="9702,632" stroked="true" strokeweight=".06pt" strokecolor="#000000"/>
            <v:line style="position:absolute" from="8478,633" to="9702,633" stroked="true" strokeweight=".06pt" strokecolor="#000000"/>
            <v:line style="position:absolute" from="8478,634" to="9702,634" stroked="true" strokeweight=".06pt" strokecolor="#000000"/>
            <v:line style="position:absolute" from="8478,635" to="9702,635" stroked="true" strokeweight=".06pt" strokecolor="#000000"/>
            <v:line style="position:absolute" from="8478,636" to="9702,636" stroked="true" strokeweight=".06pt" strokecolor="#000000"/>
            <v:line style="position:absolute" from="8478,638" to="9702,638" stroked="true" strokeweight=".06pt" strokecolor="#000000"/>
            <v:line style="position:absolute" from="8478,639" to="9702,639" stroked="true" strokeweight=".06pt" strokecolor="#000000"/>
            <v:line style="position:absolute" from="8478,640" to="9702,640" stroked="true" strokeweight=".06pt" strokecolor="#000000"/>
            <v:line style="position:absolute" from="8478,641" to="9702,641" stroked="true" strokeweight=".06pt" strokecolor="#000000"/>
            <v:line style="position:absolute" from="8478,642" to="9702,642" stroked="true" strokeweight=".06pt" strokecolor="#000000"/>
            <v:line style="position:absolute" from="8478,644" to="9702,644" stroked="true" strokeweight=".06pt" strokecolor="#000000"/>
            <v:line style="position:absolute" from="8478,645" to="9702,645" stroked="true" strokeweight=".06pt" strokecolor="#000000"/>
            <v:line style="position:absolute" from="8478,646" to="9702,646" stroked="true" strokeweight=".06pt" strokecolor="#000000"/>
            <v:line style="position:absolute" from="8478,647" to="9702,647" stroked="true" strokeweight=".06pt" strokecolor="#000000"/>
            <v:line style="position:absolute" from="9702,629" to="10926,629" stroked="true" strokeweight=".06pt" strokecolor="#000000"/>
            <v:line style="position:absolute" from="9702,630" to="10926,630" stroked="true" strokeweight=".06pt" strokecolor="#000000"/>
            <v:line style="position:absolute" from="9702,632" to="10926,632" stroked="true" strokeweight=".06pt" strokecolor="#000000"/>
            <v:line style="position:absolute" from="9702,633" to="10926,633" stroked="true" strokeweight=".06pt" strokecolor="#000000"/>
            <v:line style="position:absolute" from="9702,634" to="10926,634" stroked="true" strokeweight=".06pt" strokecolor="#000000"/>
            <v:line style="position:absolute" from="9702,635" to="10926,635" stroked="true" strokeweight=".06pt" strokecolor="#000000"/>
            <v:line style="position:absolute" from="9702,636" to="10926,636" stroked="true" strokeweight=".06pt" strokecolor="#000000"/>
            <v:line style="position:absolute" from="9702,638" to="10926,638" stroked="true" strokeweight=".06pt" strokecolor="#000000"/>
            <v:line style="position:absolute" from="9702,639" to="10926,639" stroked="true" strokeweight=".06pt" strokecolor="#000000"/>
            <v:line style="position:absolute" from="9702,640" to="10926,640" stroked="true" strokeweight=".06pt" strokecolor="#000000"/>
            <v:line style="position:absolute" from="9702,641" to="10926,641" stroked="true" strokeweight=".06pt" strokecolor="#000000"/>
            <v:line style="position:absolute" from="9702,642" to="10926,642" stroked="true" strokeweight=".06pt" strokecolor="#000000"/>
            <v:line style="position:absolute" from="9702,644" to="10926,644" stroked="true" strokeweight=".06pt" strokecolor="#000000"/>
            <v:line style="position:absolute" from="9702,645" to="10926,645" stroked="true" strokeweight=".06pt" strokecolor="#000000"/>
            <v:line style="position:absolute" from="9702,646" to="10926,646" stroked="true" strokeweight=".06pt" strokecolor="#000000"/>
            <v:line style="position:absolute" from="9702,647" to="10926,647" stroked="true" strokeweight=".06pt" strokecolor="#000000"/>
            <v:line style="position:absolute" from="7254,629" to="8478,629" stroked="true" strokeweight=".06pt" strokecolor="#000000"/>
            <v:line style="position:absolute" from="7254,630" to="8478,630" stroked="true" strokeweight=".06pt" strokecolor="#000000"/>
            <v:line style="position:absolute" from="7254,632" to="8478,632" stroked="true" strokeweight=".06pt" strokecolor="#000000"/>
            <v:line style="position:absolute" from="7254,633" to="8478,633" stroked="true" strokeweight=".06pt" strokecolor="#000000"/>
            <v:line style="position:absolute" from="7254,634" to="8478,634" stroked="true" strokeweight=".06pt" strokecolor="#000000"/>
            <v:line style="position:absolute" from="7254,635" to="8478,635" stroked="true" strokeweight=".06pt" strokecolor="#000000"/>
            <v:line style="position:absolute" from="7254,636" to="8478,636" stroked="true" strokeweight=".06pt" strokecolor="#000000"/>
            <v:line style="position:absolute" from="7254,638" to="8478,638" stroked="true" strokeweight=".06pt" strokecolor="#000000"/>
            <v:line style="position:absolute" from="7254,639" to="8478,639" stroked="true" strokeweight=".06pt" strokecolor="#000000"/>
            <v:line style="position:absolute" from="7254,640" to="8478,640" stroked="true" strokeweight=".06pt" strokecolor="#000000"/>
            <v:line style="position:absolute" from="7254,641" to="8478,641" stroked="true" strokeweight=".06pt" strokecolor="#000000"/>
            <v:line style="position:absolute" from="7254,642" to="8478,642" stroked="true" strokeweight=".06pt" strokecolor="#000000"/>
            <v:line style="position:absolute" from="7254,644" to="8478,644" stroked="true" strokeweight=".06pt" strokecolor="#000000"/>
            <v:line style="position:absolute" from="7254,645" to="8478,645" stroked="true" strokeweight=".06pt" strokecolor="#000000"/>
            <v:line style="position:absolute" from="7254,646" to="8478,646" stroked="true" strokeweight=".06pt" strokecolor="#000000"/>
            <v:line style="position:absolute" from="7254,647" to="8478,647" stroked="true" strokeweight=".06pt" strokecolor="#000000"/>
            <v:line style="position:absolute" from="8478,629" to="9702,629" stroked="true" strokeweight=".06pt" strokecolor="#000000"/>
            <v:line style="position:absolute" from="8478,630" to="9702,630" stroked="true" strokeweight=".06pt" strokecolor="#000000"/>
            <v:line style="position:absolute" from="8478,632" to="9702,632" stroked="true" strokeweight=".06pt" strokecolor="#000000"/>
            <v:line style="position:absolute" from="8478,633" to="9702,633" stroked="true" strokeweight=".06pt" strokecolor="#000000"/>
            <v:line style="position:absolute" from="8478,634" to="9702,634" stroked="true" strokeweight=".06pt" strokecolor="#000000"/>
            <v:line style="position:absolute" from="8478,635" to="9702,635" stroked="true" strokeweight=".06pt" strokecolor="#000000"/>
            <v:line style="position:absolute" from="8478,636" to="9702,636" stroked="true" strokeweight=".06pt" strokecolor="#000000"/>
            <v:line style="position:absolute" from="8478,638" to="9702,638" stroked="true" strokeweight=".06pt" strokecolor="#000000"/>
            <v:line style="position:absolute" from="8478,639" to="9702,639" stroked="true" strokeweight=".06pt" strokecolor="#000000"/>
            <v:line style="position:absolute" from="8478,640" to="9702,640" stroked="true" strokeweight=".06pt" strokecolor="#000000"/>
            <v:line style="position:absolute" from="8478,641" to="9702,641" stroked="true" strokeweight=".06pt" strokecolor="#000000"/>
            <v:line style="position:absolute" from="8478,642" to="9702,642" stroked="true" strokeweight=".06pt" strokecolor="#000000"/>
            <v:line style="position:absolute" from="8478,644" to="9702,644" stroked="true" strokeweight=".06pt" strokecolor="#000000"/>
            <v:line style="position:absolute" from="8478,645" to="9702,645" stroked="true" strokeweight=".06pt" strokecolor="#000000"/>
            <v:line style="position:absolute" from="8478,646" to="9702,646" stroked="true" strokeweight=".06pt" strokecolor="#000000"/>
            <v:line style="position:absolute" from="8478,647" to="9702,647" stroked="true" strokeweight=".06pt" strokecolor="#000000"/>
            <v:line style="position:absolute" from="9702,629" to="10926,629" stroked="true" strokeweight=".06pt" strokecolor="#000000"/>
            <v:line style="position:absolute" from="9702,630" to="10926,630" stroked="true" strokeweight=".06pt" strokecolor="#000000"/>
            <v:line style="position:absolute" from="9702,632" to="10926,632" stroked="true" strokeweight=".06pt" strokecolor="#000000"/>
            <v:line style="position:absolute" from="9702,633" to="10926,633" stroked="true" strokeweight=".06pt" strokecolor="#000000"/>
            <v:line style="position:absolute" from="9702,634" to="10926,634" stroked="true" strokeweight=".06pt" strokecolor="#000000"/>
            <v:line style="position:absolute" from="9702,635" to="10926,635" stroked="true" strokeweight=".06pt" strokecolor="#000000"/>
            <v:line style="position:absolute" from="9702,636" to="10926,636" stroked="true" strokeweight=".06pt" strokecolor="#000000"/>
            <v:line style="position:absolute" from="9702,638" to="10926,638" stroked="true" strokeweight=".06pt" strokecolor="#000000"/>
            <v:line style="position:absolute" from="9702,639" to="10926,639" stroked="true" strokeweight=".06pt" strokecolor="#000000"/>
            <v:line style="position:absolute" from="9702,640" to="10926,640" stroked="true" strokeweight=".06pt" strokecolor="#000000"/>
            <v:line style="position:absolute" from="9702,641" to="10926,641" stroked="true" strokeweight=".06pt" strokecolor="#000000"/>
            <v:line style="position:absolute" from="9702,642" to="10926,642" stroked="true" strokeweight=".06pt" strokecolor="#000000"/>
            <v:line style="position:absolute" from="9702,644" to="10926,644" stroked="true" strokeweight=".06pt" strokecolor="#000000"/>
            <v:line style="position:absolute" from="9702,645" to="10926,645" stroked="true" strokeweight=".06pt" strokecolor="#000000"/>
            <v:line style="position:absolute" from="9702,646" to="10926,646" stroked="true" strokeweight=".06pt" strokecolor="#000000"/>
            <v:line style="position:absolute" from="9702,647" to="10926,647" stroked="true" strokeweight=".06pt" strokecolor="#000000"/>
            <w10:wrap type="none"/>
          </v:group>
        </w:pict>
      </w:r>
      <w:r>
        <w:rPr/>
        <w:t>Other</w:t>
      </w:r>
      <w:r>
        <w:rPr>
          <w:spacing w:val="-1"/>
        </w:rPr>
        <w:t> </w:t>
      </w:r>
      <w:r>
        <w:rPr/>
        <w:t>comprehensive</w:t>
      </w:r>
      <w:r>
        <w:rPr>
          <w:spacing w:val="-1"/>
        </w:rPr>
        <w:t> </w:t>
      </w:r>
      <w:r>
        <w:rPr/>
        <w:t>income</w:t>
        <w:tab/>
      </w:r>
      <w:r>
        <w:rPr>
          <w:b/>
        </w:rPr>
        <w:t>-</w:t>
        <w:tab/>
        <w:t>-</w:t>
        <w:tab/>
        <w:t>-</w:t>
      </w:r>
    </w:p>
    <w:p>
      <w:pPr>
        <w:pStyle w:val="Heading9"/>
        <w:tabs>
          <w:tab w:pos="6934" w:val="left" w:leader="none"/>
          <w:tab w:pos="7389" w:val="left" w:leader="none"/>
          <w:tab w:pos="7915" w:val="left" w:leader="none"/>
          <w:tab w:pos="8158" w:val="left" w:leader="none"/>
          <w:tab w:pos="9139" w:val="left" w:leader="none"/>
          <w:tab w:pos="9369" w:val="left" w:leader="none"/>
        </w:tabs>
        <w:spacing w:line="391" w:lineRule="auto" w:before="84"/>
        <w:ind w:left="135" w:right="202"/>
      </w:pPr>
      <w:r>
        <w:rPr/>
        <w:t>Total comprehensive income for</w:t>
      </w:r>
      <w:r>
        <w:rPr>
          <w:spacing w:val="-1"/>
        </w:rPr>
        <w:t> </w:t>
      </w:r>
      <w:r>
        <w:rPr/>
        <w:t>the</w:t>
      </w:r>
      <w:r>
        <w:rPr>
          <w:spacing w:val="-1"/>
        </w:rPr>
        <w:t> </w:t>
      </w:r>
      <w:r>
        <w:rPr/>
        <w:t>year</w:t>
        <w:tab/>
        <w:t>-</w:t>
        <w:tab/>
        <w:tab/>
        <w:tab/>
        <w:t>-</w:t>
        <w:tab/>
        <w:tab/>
        <w:t>- Balance at 31</w:t>
      </w:r>
      <w:r>
        <w:rPr>
          <w:spacing w:val="-3"/>
        </w:rPr>
        <w:t> </w:t>
      </w:r>
      <w:r>
        <w:rPr/>
        <w:t>December</w:t>
      </w:r>
      <w:r>
        <w:rPr>
          <w:spacing w:val="-1"/>
        </w:rPr>
        <w:t> </w:t>
      </w:r>
      <w:r>
        <w:rPr/>
        <w:t>2017</w:t>
        <w:tab/>
        <w:tab/>
        <w:t>1</w:t>
        <w:tab/>
        <w:t>6,765,448</w:t>
        <w:tab/>
        <w:t>6,765,449</w:t>
      </w:r>
    </w:p>
    <w:p>
      <w:pPr>
        <w:pStyle w:val="BodyText"/>
        <w:rPr>
          <w:b/>
          <w:sz w:val="20"/>
        </w:rPr>
      </w:pPr>
    </w:p>
    <w:p>
      <w:pPr>
        <w:pStyle w:val="BodyText"/>
        <w:rPr>
          <w:b/>
          <w:sz w:val="20"/>
        </w:rPr>
      </w:pPr>
    </w:p>
    <w:p>
      <w:pPr>
        <w:pStyle w:val="BodyText"/>
        <w:spacing w:before="5"/>
        <w:rPr>
          <w:b/>
          <w:sz w:val="26"/>
        </w:rPr>
      </w:pPr>
    </w:p>
    <w:p>
      <w:pPr>
        <w:spacing w:after="0"/>
        <w:rPr>
          <w:sz w:val="26"/>
        </w:rPr>
        <w:sectPr>
          <w:type w:val="continuous"/>
          <w:pgSz w:w="11910" w:h="16840"/>
          <w:pgMar w:top="1580" w:bottom="280" w:left="900" w:right="860"/>
        </w:sectPr>
      </w:pPr>
    </w:p>
    <w:p>
      <w:pPr>
        <w:spacing w:before="77"/>
        <w:ind w:left="6664" w:right="0" w:firstLine="15"/>
        <w:jc w:val="right"/>
        <w:rPr>
          <w:b/>
          <w:sz w:val="18"/>
        </w:rPr>
      </w:pPr>
      <w:r>
        <w:rPr/>
        <w:pict>
          <v:group style="position:absolute;margin-left:362.649994pt;margin-top:-44.637821pt;width:183.7pt;height:2.5pt;mso-position-horizontal-relative:page;mso-position-vertical-relative:paragraph;z-index:-1181536" coordorigin="7253,-893" coordsize="3674,50">
            <v:line style="position:absolute" from="7254,-892" to="8478,-892" stroked="true" strokeweight=".06pt" strokecolor="#000000"/>
            <v:line style="position:absolute" from="7254,-891" to="8478,-891" stroked="true" strokeweight=".06pt" strokecolor="#000000"/>
            <v:line style="position:absolute" from="7254,-889" to="8478,-889" stroked="true" strokeweight=".06pt" strokecolor="#000000"/>
            <v:line style="position:absolute" from="7254,-888" to="8478,-888" stroked="true" strokeweight=".06pt" strokecolor="#000000"/>
            <v:line style="position:absolute" from="7254,-887" to="8478,-887" stroked="true" strokeweight=".06pt" strokecolor="#000000"/>
            <v:line style="position:absolute" from="7254,-886" to="8478,-886" stroked="true" strokeweight=".06pt" strokecolor="#000000"/>
            <v:line style="position:absolute" from="7254,-885" to="8478,-885" stroked="true" strokeweight=".06pt" strokecolor="#000000"/>
            <v:line style="position:absolute" from="7254,-883" to="8478,-883" stroked="true" strokeweight=".06pt" strokecolor="#000000"/>
            <v:line style="position:absolute" from="7254,-882" to="8478,-882" stroked="true" strokeweight=".06pt" strokecolor="#000000"/>
            <v:line style="position:absolute" from="7254,-881" to="8478,-881" stroked="true" strokeweight=".06pt" strokecolor="#000000"/>
            <v:line style="position:absolute" from="7254,-880" to="8478,-880" stroked="true" strokeweight=".06pt" strokecolor="#000000"/>
            <v:line style="position:absolute" from="7254,-879" to="8478,-879" stroked="true" strokeweight=".06pt" strokecolor="#000000"/>
            <v:line style="position:absolute" from="7254,-877" to="8478,-877" stroked="true" strokeweight=".06pt" strokecolor="#000000"/>
            <v:line style="position:absolute" from="7254,-858" to="8478,-858" stroked="true" strokeweight=".06pt" strokecolor="#000000"/>
            <v:line style="position:absolute" from="7254,-857" to="8478,-857" stroked="true" strokeweight=".06pt" strokecolor="#000000"/>
            <v:line style="position:absolute" from="7254,-856" to="8478,-856" stroked="true" strokeweight=".06pt" strokecolor="#000000"/>
            <v:line style="position:absolute" from="7254,-855" to="8478,-855" stroked="true" strokeweight=".06pt" strokecolor="#000000"/>
            <v:line style="position:absolute" from="7254,-853" to="8478,-853" stroked="true" strokeweight=".06pt" strokecolor="#000000"/>
            <v:line style="position:absolute" from="7254,-852" to="8478,-852" stroked="true" strokeweight=".06pt" strokecolor="#000000"/>
            <v:line style="position:absolute" from="7254,-851" to="8478,-851" stroked="true" strokeweight=".06pt" strokecolor="#000000"/>
            <v:line style="position:absolute" from="7254,-850" to="8478,-850" stroked="true" strokeweight=".06pt" strokecolor="#000000"/>
            <v:line style="position:absolute" from="7254,-849" to="8478,-849" stroked="true" strokeweight=".06pt" strokecolor="#000000"/>
            <v:line style="position:absolute" from="7254,-847" to="8478,-847" stroked="true" strokeweight=".06pt" strokecolor="#000000"/>
            <v:line style="position:absolute" from="7254,-846" to="8478,-846" stroked="true" strokeweight=".06pt" strokecolor="#000000"/>
            <v:line style="position:absolute" from="7254,-845" to="8478,-845" stroked="true" strokeweight=".06pt" strokecolor="#000000"/>
            <v:line style="position:absolute" from="7254,-844" to="8478,-844" stroked="true" strokeweight=".06pt" strokecolor="#000000"/>
            <v:line style="position:absolute" from="8478,-892" to="9702,-892" stroked="true" strokeweight=".06pt" strokecolor="#000000"/>
            <v:line style="position:absolute" from="8478,-891" to="9702,-891" stroked="true" strokeweight=".06pt" strokecolor="#000000"/>
            <v:line style="position:absolute" from="8478,-889" to="9702,-889" stroked="true" strokeweight=".06pt" strokecolor="#000000"/>
            <v:line style="position:absolute" from="8478,-888" to="9702,-888" stroked="true" strokeweight=".06pt" strokecolor="#000000"/>
            <v:line style="position:absolute" from="8478,-887" to="9702,-887" stroked="true" strokeweight=".06pt" strokecolor="#000000"/>
            <v:line style="position:absolute" from="8478,-886" to="9702,-886" stroked="true" strokeweight=".06pt" strokecolor="#000000"/>
            <v:line style="position:absolute" from="8478,-885" to="9702,-885" stroked="true" strokeweight=".06pt" strokecolor="#000000"/>
            <v:line style="position:absolute" from="8478,-883" to="9702,-883" stroked="true" strokeweight=".06pt" strokecolor="#000000"/>
            <v:line style="position:absolute" from="8478,-882" to="9702,-882" stroked="true" strokeweight=".06pt" strokecolor="#000000"/>
            <v:line style="position:absolute" from="8478,-881" to="9702,-881" stroked="true" strokeweight=".06pt" strokecolor="#000000"/>
            <v:line style="position:absolute" from="8478,-880" to="9702,-880" stroked="true" strokeweight=".06pt" strokecolor="#000000"/>
            <v:line style="position:absolute" from="8478,-879" to="9702,-879" stroked="true" strokeweight=".06pt" strokecolor="#000000"/>
            <v:line style="position:absolute" from="8478,-877" to="9702,-877" stroked="true" strokeweight=".06pt" strokecolor="#000000"/>
            <v:line style="position:absolute" from="8478,-858" to="9702,-858" stroked="true" strokeweight=".06pt" strokecolor="#000000"/>
            <v:line style="position:absolute" from="8478,-857" to="9702,-857" stroked="true" strokeweight=".06pt" strokecolor="#000000"/>
            <v:line style="position:absolute" from="8478,-856" to="9702,-856" stroked="true" strokeweight=".06pt" strokecolor="#000000"/>
            <v:line style="position:absolute" from="8478,-855" to="9702,-855" stroked="true" strokeweight=".06pt" strokecolor="#000000"/>
            <v:line style="position:absolute" from="8478,-853" to="9702,-853" stroked="true" strokeweight=".06pt" strokecolor="#000000"/>
            <v:line style="position:absolute" from="8478,-852" to="9702,-852" stroked="true" strokeweight=".06pt" strokecolor="#000000"/>
            <v:line style="position:absolute" from="8478,-851" to="9702,-851" stroked="true" strokeweight=".06pt" strokecolor="#000000"/>
            <v:line style="position:absolute" from="8478,-850" to="9702,-850" stroked="true" strokeweight=".06pt" strokecolor="#000000"/>
            <v:line style="position:absolute" from="8478,-849" to="9702,-849" stroked="true" strokeweight=".06pt" strokecolor="#000000"/>
            <v:line style="position:absolute" from="8478,-847" to="9702,-847" stroked="true" strokeweight=".06pt" strokecolor="#000000"/>
            <v:line style="position:absolute" from="8478,-846" to="9702,-846" stroked="true" strokeweight=".06pt" strokecolor="#000000"/>
            <v:line style="position:absolute" from="8478,-845" to="9702,-845" stroked="true" strokeweight=".06pt" strokecolor="#000000"/>
            <v:line style="position:absolute" from="8478,-844" to="9702,-844" stroked="true" strokeweight=".06pt" strokecolor="#000000"/>
            <v:line style="position:absolute" from="9702,-892" to="10926,-892" stroked="true" strokeweight=".06pt" strokecolor="#000000"/>
            <v:line style="position:absolute" from="9702,-891" to="10926,-891" stroked="true" strokeweight=".06pt" strokecolor="#000000"/>
            <v:line style="position:absolute" from="9702,-889" to="10926,-889" stroked="true" strokeweight=".06pt" strokecolor="#000000"/>
            <v:line style="position:absolute" from="9702,-888" to="10926,-888" stroked="true" strokeweight=".06pt" strokecolor="#000000"/>
            <v:line style="position:absolute" from="9702,-887" to="10926,-887" stroked="true" strokeweight=".06pt" strokecolor="#000000"/>
            <v:line style="position:absolute" from="9702,-886" to="10926,-886" stroked="true" strokeweight=".06pt" strokecolor="#000000"/>
            <v:line style="position:absolute" from="9702,-885" to="10926,-885" stroked="true" strokeweight=".06pt" strokecolor="#000000"/>
            <v:line style="position:absolute" from="9702,-883" to="10926,-883" stroked="true" strokeweight=".06pt" strokecolor="#000000"/>
            <v:line style="position:absolute" from="9702,-882" to="10926,-882" stroked="true" strokeweight=".06pt" strokecolor="#000000"/>
            <v:line style="position:absolute" from="9702,-881" to="10926,-881" stroked="true" strokeweight=".06pt" strokecolor="#000000"/>
            <v:line style="position:absolute" from="9702,-880" to="10926,-880" stroked="true" strokeweight=".06pt" strokecolor="#000000"/>
            <v:line style="position:absolute" from="9702,-879" to="10926,-879" stroked="true" strokeweight=".06pt" strokecolor="#000000"/>
            <v:line style="position:absolute" from="9702,-877" to="10926,-877" stroked="true" strokeweight=".06pt" strokecolor="#000000"/>
            <v:line style="position:absolute" from="9702,-858" to="10926,-858" stroked="true" strokeweight=".06pt" strokecolor="#000000"/>
            <v:line style="position:absolute" from="9702,-857" to="10926,-857" stroked="true" strokeweight=".06pt" strokecolor="#000000"/>
            <v:line style="position:absolute" from="9702,-856" to="10926,-856" stroked="true" strokeweight=".06pt" strokecolor="#000000"/>
            <v:line style="position:absolute" from="9702,-855" to="10926,-855" stroked="true" strokeweight=".06pt" strokecolor="#000000"/>
            <v:line style="position:absolute" from="9702,-853" to="10926,-853" stroked="true" strokeweight=".06pt" strokecolor="#000000"/>
            <v:line style="position:absolute" from="9702,-852" to="10926,-852" stroked="true" strokeweight=".06pt" strokecolor="#000000"/>
            <v:line style="position:absolute" from="9702,-851" to="10926,-851" stroked="true" strokeweight=".06pt" strokecolor="#000000"/>
            <v:line style="position:absolute" from="9702,-850" to="10926,-850" stroked="true" strokeweight=".06pt" strokecolor="#000000"/>
            <v:line style="position:absolute" from="9702,-849" to="10926,-849" stroked="true" strokeweight=".06pt" strokecolor="#000000"/>
            <v:line style="position:absolute" from="9702,-847" to="10926,-847" stroked="true" strokeweight=".06pt" strokecolor="#000000"/>
            <v:line style="position:absolute" from="9702,-846" to="10926,-846" stroked="true" strokeweight=".06pt" strokecolor="#000000"/>
            <v:line style="position:absolute" from="9702,-845" to="10926,-845" stroked="true" strokeweight=".06pt" strokecolor="#000000"/>
            <v:line style="position:absolute" from="9702,-844" to="10926,-844" stroked="true" strokeweight=".06pt" strokecolor="#000000"/>
            <w10:wrap type="none"/>
          </v:group>
        </w:pict>
      </w:r>
      <w:r>
        <w:rPr>
          <w:b/>
          <w:sz w:val="18"/>
        </w:rPr>
        <w:t>Issued</w:t>
      </w:r>
      <w:r>
        <w:rPr>
          <w:b/>
          <w:w w:val="100"/>
          <w:sz w:val="18"/>
        </w:rPr>
        <w:t> </w:t>
      </w:r>
      <w:r>
        <w:rPr>
          <w:b/>
          <w:sz w:val="18"/>
        </w:rPr>
        <w:t>Capital</w:t>
      </w:r>
    </w:p>
    <w:p>
      <w:pPr>
        <w:spacing w:before="66"/>
        <w:ind w:left="0" w:right="247" w:firstLine="0"/>
        <w:jc w:val="right"/>
        <w:rPr>
          <w:b/>
          <w:sz w:val="18"/>
        </w:rPr>
      </w:pPr>
      <w:r>
        <w:rPr>
          <w:b/>
          <w:w w:val="99"/>
          <w:sz w:val="18"/>
        </w:rPr>
        <w:t>$</w:t>
      </w:r>
    </w:p>
    <w:p>
      <w:pPr>
        <w:spacing w:before="77"/>
        <w:ind w:left="498" w:right="0" w:firstLine="1"/>
        <w:jc w:val="center"/>
        <w:rPr>
          <w:b/>
          <w:sz w:val="18"/>
        </w:rPr>
      </w:pPr>
      <w:r>
        <w:rPr/>
        <w:br w:type="column"/>
      </w:r>
      <w:r>
        <w:rPr>
          <w:b/>
          <w:sz w:val="18"/>
        </w:rPr>
        <w:t>Retained Earnings</w:t>
      </w:r>
    </w:p>
    <w:p>
      <w:pPr>
        <w:spacing w:before="66"/>
        <w:ind w:left="500" w:right="0" w:firstLine="0"/>
        <w:jc w:val="center"/>
        <w:rPr>
          <w:b/>
          <w:sz w:val="18"/>
        </w:rPr>
      </w:pPr>
      <w:r>
        <w:rPr>
          <w:b/>
          <w:w w:val="99"/>
          <w:sz w:val="18"/>
        </w:rPr>
        <w:t>$</w:t>
      </w:r>
    </w:p>
    <w:p>
      <w:pPr>
        <w:pStyle w:val="BodyText"/>
        <w:spacing w:before="7"/>
        <w:rPr>
          <w:b/>
          <w:sz w:val="24"/>
        </w:rPr>
      </w:pPr>
      <w:r>
        <w:rPr/>
        <w:br w:type="column"/>
      </w:r>
      <w:r>
        <w:rPr>
          <w:b/>
          <w:sz w:val="24"/>
        </w:rPr>
      </w:r>
    </w:p>
    <w:p>
      <w:pPr>
        <w:spacing w:before="0"/>
        <w:ind w:left="553" w:right="512" w:firstLine="0"/>
        <w:jc w:val="center"/>
        <w:rPr>
          <w:b/>
          <w:sz w:val="18"/>
        </w:rPr>
      </w:pPr>
      <w:r>
        <w:rPr>
          <w:b/>
          <w:sz w:val="18"/>
        </w:rPr>
        <w:t>Total</w:t>
      </w:r>
    </w:p>
    <w:p>
      <w:pPr>
        <w:spacing w:before="66"/>
        <w:ind w:left="42" w:right="0" w:firstLine="0"/>
        <w:jc w:val="center"/>
        <w:rPr>
          <w:b/>
          <w:sz w:val="18"/>
        </w:rPr>
      </w:pPr>
      <w:r>
        <w:rPr>
          <w:b/>
          <w:w w:val="99"/>
          <w:sz w:val="18"/>
        </w:rPr>
        <w:t>$</w:t>
      </w:r>
    </w:p>
    <w:p>
      <w:pPr>
        <w:spacing w:after="0"/>
        <w:jc w:val="center"/>
        <w:rPr>
          <w:sz w:val="18"/>
        </w:rPr>
        <w:sectPr>
          <w:type w:val="continuous"/>
          <w:pgSz w:w="11910" w:h="16840"/>
          <w:pgMar w:top="1580" w:bottom="280" w:left="900" w:right="860"/>
          <w:cols w:num="3" w:equalWidth="0">
            <w:col w:w="7265" w:space="40"/>
            <w:col w:w="1269" w:space="40"/>
            <w:col w:w="1536"/>
          </w:cols>
        </w:sectPr>
      </w:pPr>
    </w:p>
    <w:p>
      <w:pPr>
        <w:pStyle w:val="BodyText"/>
        <w:spacing w:before="8"/>
        <w:rPr>
          <w:b/>
          <w:sz w:val="2"/>
        </w:rPr>
      </w:pPr>
    </w:p>
    <w:p>
      <w:pPr>
        <w:pStyle w:val="BodyText"/>
        <w:spacing w:line="20" w:lineRule="exact"/>
        <w:ind w:left="6353"/>
        <w:rPr>
          <w:sz w:val="2"/>
        </w:rPr>
      </w:pPr>
      <w:r>
        <w:rPr>
          <w:sz w:val="2"/>
        </w:rPr>
        <w:pict>
          <v:group style="width:183.7pt;height:1pt;mso-position-horizontal-relative:char;mso-position-vertical-relative:line" coordorigin="0,0" coordsize="3674,20">
            <v:line style="position:absolute" from="1,1" to="1225,1" stroked="true" strokeweight=".06pt" strokecolor="#000000"/>
            <v:line style="position:absolute" from="1,2" to="1225,2" stroked="true" strokeweight=".06pt" strokecolor="#000000"/>
            <v:line style="position:absolute" from="1,3" to="1225,3" stroked="true" strokeweight=".06pt" strokecolor="#000000"/>
            <v:line style="position:absolute" from="1,5" to="1225,5" stroked="true" strokeweight=".06pt" strokecolor="#000000"/>
            <v:line style="position:absolute" from="1,6" to="1225,6" stroked="true" strokeweight=".06pt" strokecolor="#000000"/>
            <v:line style="position:absolute" from="1,7" to="1225,7" stroked="true" strokeweight=".06pt" strokecolor="#000000"/>
            <v:line style="position:absolute" from="1,8" to="1225,8" stroked="true" strokeweight=".06pt" strokecolor="#000000"/>
            <v:line style="position:absolute" from="1,9" to="1225,9" stroked="true" strokeweight=".06pt" strokecolor="#000000"/>
            <v:line style="position:absolute" from="1,11" to="1225,11" stroked="true" strokeweight=".06pt" strokecolor="#000000"/>
            <v:line style="position:absolute" from="1,12" to="1225,12" stroked="true" strokeweight=".06pt" strokecolor="#000000"/>
            <v:line style="position:absolute" from="1,13" to="1225,13" stroked="true" strokeweight=".06pt" strokecolor="#000000"/>
            <v:line style="position:absolute" from="1,14" to="1225,14" stroked="true" strokeweight=".06pt" strokecolor="#000000"/>
            <v:line style="position:absolute" from="1,15" to="1225,15" stroked="true" strokeweight=".06pt" strokecolor="#000000"/>
            <v:line style="position:absolute" from="1,17" to="1225,17" stroked="true" strokeweight=".06pt" strokecolor="#000000"/>
            <v:line style="position:absolute" from="1,18" to="1225,18" stroked="true" strokeweight=".06pt" strokecolor="#000000"/>
            <v:line style="position:absolute" from="1,19" to="1225,19" stroked="true" strokeweight=".06pt" strokecolor="#000000"/>
            <v:line style="position:absolute" from="1225,1" to="2449,1" stroked="true" strokeweight=".06pt" strokecolor="#000000"/>
            <v:line style="position:absolute" from="1225,2" to="2449,2" stroked="true" strokeweight=".06pt" strokecolor="#000000"/>
            <v:line style="position:absolute" from="1225,3" to="2449,3" stroked="true" strokeweight=".06pt" strokecolor="#000000"/>
            <v:line style="position:absolute" from="1225,5" to="2449,5" stroked="true" strokeweight=".06pt" strokecolor="#000000"/>
            <v:line style="position:absolute" from="1225,6" to="2449,6" stroked="true" strokeweight=".06pt" strokecolor="#000000"/>
            <v:line style="position:absolute" from="1225,7" to="2449,7" stroked="true" strokeweight=".06pt" strokecolor="#000000"/>
            <v:line style="position:absolute" from="1225,8" to="2449,8" stroked="true" strokeweight=".06pt" strokecolor="#000000"/>
            <v:line style="position:absolute" from="1225,9" to="2449,9" stroked="true" strokeweight=".06pt" strokecolor="#000000"/>
            <v:line style="position:absolute" from="1225,11" to="2449,11" stroked="true" strokeweight=".06pt" strokecolor="#000000"/>
            <v:line style="position:absolute" from="1225,12" to="2449,12" stroked="true" strokeweight=".06pt" strokecolor="#000000"/>
            <v:line style="position:absolute" from="1225,13" to="2449,13" stroked="true" strokeweight=".06pt" strokecolor="#000000"/>
            <v:line style="position:absolute" from="1225,14" to="2449,14" stroked="true" strokeweight=".06pt" strokecolor="#000000"/>
            <v:line style="position:absolute" from="1225,15" to="2449,15" stroked="true" strokeweight=".06pt" strokecolor="#000000"/>
            <v:line style="position:absolute" from="1225,17" to="2449,17" stroked="true" strokeweight=".06pt" strokecolor="#000000"/>
            <v:line style="position:absolute" from="1225,18" to="2449,18" stroked="true" strokeweight=".06pt" strokecolor="#000000"/>
            <v:line style="position:absolute" from="1225,19" to="2449,19" stroked="true" strokeweight=".06pt" strokecolor="#000000"/>
            <v:line style="position:absolute" from="2449,1" to="3673,1" stroked="true" strokeweight=".06pt" strokecolor="#000000"/>
            <v:line style="position:absolute" from="2449,2" to="3673,2" stroked="true" strokeweight=".06pt" strokecolor="#000000"/>
            <v:line style="position:absolute" from="2449,3" to="3673,3" stroked="true" strokeweight=".06pt" strokecolor="#000000"/>
            <v:line style="position:absolute" from="2449,5" to="3673,5" stroked="true" strokeweight=".06pt" strokecolor="#000000"/>
            <v:line style="position:absolute" from="2449,6" to="3673,6" stroked="true" strokeweight=".06pt" strokecolor="#000000"/>
            <v:line style="position:absolute" from="2449,7" to="3673,7" stroked="true" strokeweight=".06pt" strokecolor="#000000"/>
            <v:line style="position:absolute" from="2449,8" to="3673,8" stroked="true" strokeweight=".06pt" strokecolor="#000000"/>
            <v:line style="position:absolute" from="2449,9" to="3673,9" stroked="true" strokeweight=".06pt" strokecolor="#000000"/>
            <v:line style="position:absolute" from="2449,11" to="3673,11" stroked="true" strokeweight=".06pt" strokecolor="#000000"/>
            <v:line style="position:absolute" from="2449,12" to="3673,12" stroked="true" strokeweight=".06pt" strokecolor="#000000"/>
            <v:line style="position:absolute" from="2449,13" to="3673,13" stroked="true" strokeweight=".06pt" strokecolor="#000000"/>
            <v:line style="position:absolute" from="2449,14" to="3673,14" stroked="true" strokeweight=".06pt" strokecolor="#000000"/>
            <v:line style="position:absolute" from="2449,15" to="3673,15" stroked="true" strokeweight=".06pt" strokecolor="#000000"/>
            <v:line style="position:absolute" from="2449,17" to="3673,17" stroked="true" strokeweight=".06pt" strokecolor="#000000"/>
            <v:line style="position:absolute" from="2449,18" to="3673,18" stroked="true" strokeweight=".06pt" strokecolor="#000000"/>
            <v:line style="position:absolute" from="2449,19" to="3673,19" stroked="true" strokeweight=".06pt" strokecolor="#000000"/>
            <v:line style="position:absolute" from="1,1" to="1225,1" stroked="true" strokeweight=".06pt" strokecolor="#000000"/>
            <v:line style="position:absolute" from="1,2" to="1225,2" stroked="true" strokeweight=".06pt" strokecolor="#000000"/>
            <v:line style="position:absolute" from="1,3" to="1225,3" stroked="true" strokeweight=".06pt" strokecolor="#000000"/>
            <v:line style="position:absolute" from="1,5" to="1225,5" stroked="true" strokeweight=".06pt" strokecolor="#000000"/>
            <v:line style="position:absolute" from="1,6" to="1225,6" stroked="true" strokeweight=".06pt" strokecolor="#000000"/>
            <v:line style="position:absolute" from="1,7" to="1225,7" stroked="true" strokeweight=".06pt" strokecolor="#000000"/>
            <v:line style="position:absolute" from="1,8" to="1225,8" stroked="true" strokeweight=".06pt" strokecolor="#000000"/>
            <v:line style="position:absolute" from="1,9" to="1225,9" stroked="true" strokeweight=".06pt" strokecolor="#000000"/>
            <v:line style="position:absolute" from="1,11" to="1225,11" stroked="true" strokeweight=".06pt" strokecolor="#000000"/>
            <v:line style="position:absolute" from="1,12" to="1225,12" stroked="true" strokeweight=".06pt" strokecolor="#000000"/>
            <v:line style="position:absolute" from="1,13" to="1225,13" stroked="true" strokeweight=".06pt" strokecolor="#000000"/>
            <v:line style="position:absolute" from="1,14" to="1225,14" stroked="true" strokeweight=".06pt" strokecolor="#000000"/>
            <v:line style="position:absolute" from="1,15" to="1225,15" stroked="true" strokeweight=".06pt" strokecolor="#000000"/>
            <v:line style="position:absolute" from="1,17" to="1225,17" stroked="true" strokeweight=".06pt" strokecolor="#000000"/>
            <v:line style="position:absolute" from="1,18" to="1225,18" stroked="true" strokeweight=".06pt" strokecolor="#000000"/>
            <v:line style="position:absolute" from="1,19" to="1225,19" stroked="true" strokeweight=".06pt" strokecolor="#000000"/>
            <v:line style="position:absolute" from="1225,1" to="2449,1" stroked="true" strokeweight=".06pt" strokecolor="#000000"/>
            <v:line style="position:absolute" from="1225,2" to="2449,2" stroked="true" strokeweight=".06pt" strokecolor="#000000"/>
            <v:line style="position:absolute" from="1225,3" to="2449,3" stroked="true" strokeweight=".06pt" strokecolor="#000000"/>
            <v:line style="position:absolute" from="1225,5" to="2449,5" stroked="true" strokeweight=".06pt" strokecolor="#000000"/>
            <v:line style="position:absolute" from="1225,6" to="2449,6" stroked="true" strokeweight=".06pt" strokecolor="#000000"/>
            <v:line style="position:absolute" from="1225,7" to="2449,7" stroked="true" strokeweight=".06pt" strokecolor="#000000"/>
            <v:line style="position:absolute" from="1225,8" to="2449,8" stroked="true" strokeweight=".06pt" strokecolor="#000000"/>
            <v:line style="position:absolute" from="1225,9" to="2449,9" stroked="true" strokeweight=".06pt" strokecolor="#000000"/>
            <v:line style="position:absolute" from="1225,11" to="2449,11" stroked="true" strokeweight=".06pt" strokecolor="#000000"/>
            <v:line style="position:absolute" from="1225,12" to="2449,12" stroked="true" strokeweight=".06pt" strokecolor="#000000"/>
            <v:line style="position:absolute" from="1225,13" to="2449,13" stroked="true" strokeweight=".06pt" strokecolor="#000000"/>
            <v:line style="position:absolute" from="1225,14" to="2449,14" stroked="true" strokeweight=".06pt" strokecolor="#000000"/>
            <v:line style="position:absolute" from="1225,15" to="2449,15" stroked="true" strokeweight=".06pt" strokecolor="#000000"/>
            <v:line style="position:absolute" from="1225,17" to="2449,17" stroked="true" strokeweight=".06pt" strokecolor="#000000"/>
            <v:line style="position:absolute" from="1225,18" to="2449,18" stroked="true" strokeweight=".06pt" strokecolor="#000000"/>
            <v:line style="position:absolute" from="1225,19" to="2449,19" stroked="true" strokeweight=".06pt" strokecolor="#000000"/>
            <v:line style="position:absolute" from="2449,1" to="3673,1" stroked="true" strokeweight=".06pt" strokecolor="#000000"/>
            <v:line style="position:absolute" from="2449,2" to="3673,2" stroked="true" strokeweight=".06pt" strokecolor="#000000"/>
            <v:line style="position:absolute" from="2449,3" to="3673,3" stroked="true" strokeweight=".06pt" strokecolor="#000000"/>
            <v:line style="position:absolute" from="2449,5" to="3673,5" stroked="true" strokeweight=".06pt" strokecolor="#000000"/>
            <v:line style="position:absolute" from="2449,6" to="3673,6" stroked="true" strokeweight=".06pt" strokecolor="#000000"/>
            <v:line style="position:absolute" from="2449,7" to="3673,7" stroked="true" strokeweight=".06pt" strokecolor="#000000"/>
            <v:line style="position:absolute" from="2449,8" to="3673,8" stroked="true" strokeweight=".06pt" strokecolor="#000000"/>
            <v:line style="position:absolute" from="2449,9" to="3673,9" stroked="true" strokeweight=".06pt" strokecolor="#000000"/>
            <v:line style="position:absolute" from="2449,11" to="3673,11" stroked="true" strokeweight=".06pt" strokecolor="#000000"/>
            <v:line style="position:absolute" from="2449,12" to="3673,12" stroked="true" strokeweight=".06pt" strokecolor="#000000"/>
            <v:line style="position:absolute" from="2449,13" to="3673,13" stroked="true" strokeweight=".06pt" strokecolor="#000000"/>
            <v:line style="position:absolute" from="2449,14" to="3673,14" stroked="true" strokeweight=".06pt" strokecolor="#000000"/>
            <v:line style="position:absolute" from="2449,15" to="3673,15" stroked="true" strokeweight=".06pt" strokecolor="#000000"/>
            <v:line style="position:absolute" from="2449,17" to="3673,17" stroked="true" strokeweight=".06pt" strokecolor="#000000"/>
            <v:line style="position:absolute" from="2449,18" to="3673,18" stroked="true" strokeweight=".06pt" strokecolor="#000000"/>
            <v:line style="position:absolute" from="2449,19" to="3673,19" stroked="true" strokeweight=".06pt" strokecolor="#000000"/>
          </v:group>
        </w:pict>
      </w:r>
      <w:r>
        <w:rPr>
          <w:sz w:val="2"/>
        </w:rPr>
      </w:r>
    </w:p>
    <w:p>
      <w:pPr>
        <w:tabs>
          <w:tab w:pos="7389" w:val="left" w:leader="none"/>
          <w:tab w:pos="7915" w:val="left" w:leader="none"/>
          <w:tab w:pos="9139" w:val="left" w:leader="none"/>
        </w:tabs>
        <w:spacing w:before="39"/>
        <w:ind w:left="135" w:right="161" w:firstLine="0"/>
        <w:jc w:val="left"/>
        <w:rPr>
          <w:sz w:val="18"/>
        </w:rPr>
      </w:pPr>
      <w:r>
        <w:rPr>
          <w:b/>
          <w:sz w:val="18"/>
        </w:rPr>
        <w:t>Balance at 1</w:t>
      </w:r>
      <w:r>
        <w:rPr>
          <w:b/>
          <w:spacing w:val="-3"/>
          <w:sz w:val="18"/>
        </w:rPr>
        <w:t> </w:t>
      </w:r>
      <w:r>
        <w:rPr>
          <w:b/>
          <w:sz w:val="18"/>
        </w:rPr>
        <w:t>January</w:t>
      </w:r>
      <w:r>
        <w:rPr>
          <w:b/>
          <w:spacing w:val="-1"/>
          <w:sz w:val="18"/>
        </w:rPr>
        <w:t> </w:t>
      </w:r>
      <w:r>
        <w:rPr>
          <w:b/>
          <w:sz w:val="18"/>
        </w:rPr>
        <w:t>2016</w:t>
        <w:tab/>
      </w:r>
      <w:r>
        <w:rPr>
          <w:sz w:val="18"/>
        </w:rPr>
        <w:t>1</w:t>
        <w:tab/>
        <w:t>6,765,448</w:t>
        <w:tab/>
        <w:t>6,765,449</w:t>
      </w:r>
    </w:p>
    <w:p>
      <w:pPr>
        <w:pStyle w:val="BodyText"/>
        <w:tabs>
          <w:tab w:pos="6934" w:val="left" w:leader="none"/>
          <w:tab w:pos="8158" w:val="left" w:leader="none"/>
          <w:tab w:pos="9369" w:val="left" w:leader="none"/>
        </w:tabs>
        <w:spacing w:before="58"/>
        <w:ind w:left="135" w:right="161"/>
      </w:pPr>
      <w:r>
        <w:rPr/>
        <w:t>Surplus / (deficit) for</w:t>
      </w:r>
      <w:r>
        <w:rPr>
          <w:spacing w:val="-1"/>
        </w:rPr>
        <w:t> </w:t>
      </w:r>
      <w:r>
        <w:rPr/>
        <w:t>the</w:t>
      </w:r>
      <w:r>
        <w:rPr>
          <w:spacing w:val="-1"/>
        </w:rPr>
        <w:t> </w:t>
      </w:r>
      <w:r>
        <w:rPr/>
        <w:t>year</w:t>
        <w:tab/>
        <w:t>-</w:t>
        <w:tab/>
        <w:t>-</w:t>
        <w:tab/>
        <w:t>-</w:t>
      </w:r>
    </w:p>
    <w:p>
      <w:pPr>
        <w:pStyle w:val="BodyText"/>
        <w:tabs>
          <w:tab w:pos="6934" w:val="left" w:leader="none"/>
          <w:tab w:pos="8158" w:val="left" w:leader="none"/>
          <w:tab w:pos="9369" w:val="left" w:leader="none"/>
        </w:tabs>
        <w:spacing w:before="57"/>
        <w:ind w:left="135" w:right="161"/>
      </w:pPr>
      <w:r>
        <w:rPr/>
        <w:pict>
          <v:group style="position:absolute;margin-left:362.649994pt;margin-top:14.485205pt;width:183.7pt;height:1pt;mso-position-horizontal-relative:page;mso-position-vertical-relative:paragraph;z-index:2392;mso-wrap-distance-left:0;mso-wrap-distance-right:0" coordorigin="7253,290" coordsize="3674,20">
            <v:line style="position:absolute" from="7254,291" to="8478,291" stroked="true" strokeweight=".06pt" strokecolor="#000000"/>
            <v:line style="position:absolute" from="7254,292" to="8478,292" stroked="true" strokeweight=".06pt" strokecolor="#000000"/>
            <v:line style="position:absolute" from="7254,293" to="8478,293" stroked="true" strokeweight=".06pt" strokecolor="#000000"/>
            <v:line style="position:absolute" from="7254,294" to="8478,294" stroked="true" strokeweight=".06pt" strokecolor="#000000"/>
            <v:line style="position:absolute" from="7254,296" to="8478,296" stroked="true" strokeweight=".06pt" strokecolor="#000000"/>
            <v:line style="position:absolute" from="7254,297" to="8478,297" stroked="true" strokeweight=".06pt" strokecolor="#000000"/>
            <v:line style="position:absolute" from="7254,298" to="8478,298" stroked="true" strokeweight=".06pt" strokecolor="#000000"/>
            <v:line style="position:absolute" from="7254,299" to="8478,299" stroked="true" strokeweight=".06pt" strokecolor="#000000"/>
            <v:line style="position:absolute" from="7254,300" to="8478,300" stroked="true" strokeweight=".06pt" strokecolor="#000000"/>
            <v:line style="position:absolute" from="7254,302" to="8478,302" stroked="true" strokeweight=".06pt" strokecolor="#000000"/>
            <v:line style="position:absolute" from="7254,303" to="8478,303" stroked="true" strokeweight=".06pt" strokecolor="#000000"/>
            <v:line style="position:absolute" from="7254,304" to="8478,304" stroked="true" strokeweight=".06pt" strokecolor="#000000"/>
            <v:line style="position:absolute" from="7254,305" to="8478,305" stroked="true" strokeweight=".06pt" strokecolor="#000000"/>
            <v:line style="position:absolute" from="7254,306" to="8478,306" stroked="true" strokeweight=".06pt" strokecolor="#000000"/>
            <v:line style="position:absolute" from="7254,308" to="8478,308" stroked="true" strokeweight=".06pt" strokecolor="#000000"/>
            <v:line style="position:absolute" from="7254,309" to="8478,309" stroked="true" strokeweight=".06pt" strokecolor="#000000"/>
            <v:line style="position:absolute" from="8478,291" to="9702,291" stroked="true" strokeweight=".06pt" strokecolor="#000000"/>
            <v:line style="position:absolute" from="8478,292" to="9702,292" stroked="true" strokeweight=".06pt" strokecolor="#000000"/>
            <v:line style="position:absolute" from="8478,293" to="9702,293" stroked="true" strokeweight=".06pt" strokecolor="#000000"/>
            <v:line style="position:absolute" from="8478,294" to="9702,294" stroked="true" strokeweight=".06pt" strokecolor="#000000"/>
            <v:line style="position:absolute" from="8478,296" to="9702,296" stroked="true" strokeweight=".06pt" strokecolor="#000000"/>
            <v:line style="position:absolute" from="8478,297" to="9702,297" stroked="true" strokeweight=".06pt" strokecolor="#000000"/>
            <v:line style="position:absolute" from="8478,298" to="9702,298" stroked="true" strokeweight=".06pt" strokecolor="#000000"/>
            <v:line style="position:absolute" from="8478,299" to="9702,299" stroked="true" strokeweight=".06pt" strokecolor="#000000"/>
            <v:line style="position:absolute" from="8478,300" to="9702,300" stroked="true" strokeweight=".06pt" strokecolor="#000000"/>
            <v:line style="position:absolute" from="8478,302" to="9702,302" stroked="true" strokeweight=".06pt" strokecolor="#000000"/>
            <v:line style="position:absolute" from="8478,303" to="9702,303" stroked="true" strokeweight=".06pt" strokecolor="#000000"/>
            <v:line style="position:absolute" from="8478,304" to="9702,304" stroked="true" strokeweight=".06pt" strokecolor="#000000"/>
            <v:line style="position:absolute" from="8478,305" to="9702,305" stroked="true" strokeweight=".06pt" strokecolor="#000000"/>
            <v:line style="position:absolute" from="8478,306" to="9702,306" stroked="true" strokeweight=".06pt" strokecolor="#000000"/>
            <v:line style="position:absolute" from="8478,308" to="9702,308" stroked="true" strokeweight=".06pt" strokecolor="#000000"/>
            <v:line style="position:absolute" from="8478,309" to="9702,309" stroked="true" strokeweight=".06pt" strokecolor="#000000"/>
            <v:line style="position:absolute" from="9702,291" to="10926,291" stroked="true" strokeweight=".06pt" strokecolor="#000000"/>
            <v:line style="position:absolute" from="9702,292" to="10926,292" stroked="true" strokeweight=".06pt" strokecolor="#000000"/>
            <v:line style="position:absolute" from="9702,293" to="10926,293" stroked="true" strokeweight=".06pt" strokecolor="#000000"/>
            <v:line style="position:absolute" from="9702,294" to="10926,294" stroked="true" strokeweight=".06pt" strokecolor="#000000"/>
            <v:line style="position:absolute" from="9702,296" to="10926,296" stroked="true" strokeweight=".06pt" strokecolor="#000000"/>
            <v:line style="position:absolute" from="9702,297" to="10926,297" stroked="true" strokeweight=".06pt" strokecolor="#000000"/>
            <v:line style="position:absolute" from="9702,298" to="10926,298" stroked="true" strokeweight=".06pt" strokecolor="#000000"/>
            <v:line style="position:absolute" from="9702,299" to="10926,299" stroked="true" strokeweight=".06pt" strokecolor="#000000"/>
            <v:line style="position:absolute" from="9702,300" to="10926,300" stroked="true" strokeweight=".06pt" strokecolor="#000000"/>
            <v:line style="position:absolute" from="9702,302" to="10926,302" stroked="true" strokeweight=".06pt" strokecolor="#000000"/>
            <v:line style="position:absolute" from="9702,303" to="10926,303" stroked="true" strokeweight=".06pt" strokecolor="#000000"/>
            <v:line style="position:absolute" from="9702,304" to="10926,304" stroked="true" strokeweight=".06pt" strokecolor="#000000"/>
            <v:line style="position:absolute" from="9702,305" to="10926,305" stroked="true" strokeweight=".06pt" strokecolor="#000000"/>
            <v:line style="position:absolute" from="9702,306" to="10926,306" stroked="true" strokeweight=".06pt" strokecolor="#000000"/>
            <v:line style="position:absolute" from="9702,308" to="10926,308" stroked="true" strokeweight=".06pt" strokecolor="#000000"/>
            <v:line style="position:absolute" from="9702,309" to="10926,309" stroked="true" strokeweight=".06pt" strokecolor="#000000"/>
            <v:line style="position:absolute" from="7254,291" to="8478,291" stroked="true" strokeweight=".06pt" strokecolor="#000000"/>
            <v:line style="position:absolute" from="7254,292" to="8478,292" stroked="true" strokeweight=".06pt" strokecolor="#000000"/>
            <v:line style="position:absolute" from="7254,293" to="8478,293" stroked="true" strokeweight=".06pt" strokecolor="#000000"/>
            <v:line style="position:absolute" from="7254,294" to="8478,294" stroked="true" strokeweight=".06pt" strokecolor="#000000"/>
            <v:line style="position:absolute" from="7254,296" to="8478,296" stroked="true" strokeweight=".06pt" strokecolor="#000000"/>
            <v:line style="position:absolute" from="7254,297" to="8478,297" stroked="true" strokeweight=".06pt" strokecolor="#000000"/>
            <v:line style="position:absolute" from="7254,298" to="8478,298" stroked="true" strokeweight=".06pt" strokecolor="#000000"/>
            <v:line style="position:absolute" from="7254,299" to="8478,299" stroked="true" strokeweight=".06pt" strokecolor="#000000"/>
            <v:line style="position:absolute" from="7254,300" to="8478,300" stroked="true" strokeweight=".06pt" strokecolor="#000000"/>
            <v:line style="position:absolute" from="7254,302" to="8478,302" stroked="true" strokeweight=".06pt" strokecolor="#000000"/>
            <v:line style="position:absolute" from="7254,303" to="8478,303" stroked="true" strokeweight=".06pt" strokecolor="#000000"/>
            <v:line style="position:absolute" from="7254,304" to="8478,304" stroked="true" strokeweight=".06pt" strokecolor="#000000"/>
            <v:line style="position:absolute" from="7254,305" to="8478,305" stroked="true" strokeweight=".06pt" strokecolor="#000000"/>
            <v:line style="position:absolute" from="7254,306" to="8478,306" stroked="true" strokeweight=".06pt" strokecolor="#000000"/>
            <v:line style="position:absolute" from="7254,308" to="8478,308" stroked="true" strokeweight=".06pt" strokecolor="#000000"/>
            <v:line style="position:absolute" from="7254,309" to="8478,309" stroked="true" strokeweight=".06pt" strokecolor="#000000"/>
            <v:line style="position:absolute" from="8478,291" to="9702,291" stroked="true" strokeweight=".06pt" strokecolor="#000000"/>
            <v:line style="position:absolute" from="8478,292" to="9702,292" stroked="true" strokeweight=".06pt" strokecolor="#000000"/>
            <v:line style="position:absolute" from="8478,293" to="9702,293" stroked="true" strokeweight=".06pt" strokecolor="#000000"/>
            <v:line style="position:absolute" from="8478,294" to="9702,294" stroked="true" strokeweight=".06pt" strokecolor="#000000"/>
            <v:line style="position:absolute" from="8478,296" to="9702,296" stroked="true" strokeweight=".06pt" strokecolor="#000000"/>
            <v:line style="position:absolute" from="8478,297" to="9702,297" stroked="true" strokeweight=".06pt" strokecolor="#000000"/>
            <v:line style="position:absolute" from="8478,298" to="9702,298" stroked="true" strokeweight=".06pt" strokecolor="#000000"/>
            <v:line style="position:absolute" from="8478,299" to="9702,299" stroked="true" strokeweight=".06pt" strokecolor="#000000"/>
            <v:line style="position:absolute" from="8478,300" to="9702,300" stroked="true" strokeweight=".06pt" strokecolor="#000000"/>
            <v:line style="position:absolute" from="8478,302" to="9702,302" stroked="true" strokeweight=".06pt" strokecolor="#000000"/>
            <v:line style="position:absolute" from="8478,303" to="9702,303" stroked="true" strokeweight=".06pt" strokecolor="#000000"/>
            <v:line style="position:absolute" from="8478,304" to="9702,304" stroked="true" strokeweight=".06pt" strokecolor="#000000"/>
            <v:line style="position:absolute" from="8478,305" to="9702,305" stroked="true" strokeweight=".06pt" strokecolor="#000000"/>
            <v:line style="position:absolute" from="8478,306" to="9702,306" stroked="true" strokeweight=".06pt" strokecolor="#000000"/>
            <v:line style="position:absolute" from="8478,308" to="9702,308" stroked="true" strokeweight=".06pt" strokecolor="#000000"/>
            <v:line style="position:absolute" from="8478,309" to="9702,309" stroked="true" strokeweight=".06pt" strokecolor="#000000"/>
            <v:line style="position:absolute" from="9702,291" to="10926,291" stroked="true" strokeweight=".06pt" strokecolor="#000000"/>
            <v:line style="position:absolute" from="9702,292" to="10926,292" stroked="true" strokeweight=".06pt" strokecolor="#000000"/>
            <v:line style="position:absolute" from="9702,293" to="10926,293" stroked="true" strokeweight=".06pt" strokecolor="#000000"/>
            <v:line style="position:absolute" from="9702,294" to="10926,294" stroked="true" strokeweight=".06pt" strokecolor="#000000"/>
            <v:line style="position:absolute" from="9702,296" to="10926,296" stroked="true" strokeweight=".06pt" strokecolor="#000000"/>
            <v:line style="position:absolute" from="9702,297" to="10926,297" stroked="true" strokeweight=".06pt" strokecolor="#000000"/>
            <v:line style="position:absolute" from="9702,298" to="10926,298" stroked="true" strokeweight=".06pt" strokecolor="#000000"/>
            <v:line style="position:absolute" from="9702,299" to="10926,299" stroked="true" strokeweight=".06pt" strokecolor="#000000"/>
            <v:line style="position:absolute" from="9702,300" to="10926,300" stroked="true" strokeweight=".06pt" strokecolor="#000000"/>
            <v:line style="position:absolute" from="9702,302" to="10926,302" stroked="true" strokeweight=".06pt" strokecolor="#000000"/>
            <v:line style="position:absolute" from="9702,303" to="10926,303" stroked="true" strokeweight=".06pt" strokecolor="#000000"/>
            <v:line style="position:absolute" from="9702,304" to="10926,304" stroked="true" strokeweight=".06pt" strokecolor="#000000"/>
            <v:line style="position:absolute" from="9702,305" to="10926,305" stroked="true" strokeweight=".06pt" strokecolor="#000000"/>
            <v:line style="position:absolute" from="9702,306" to="10926,306" stroked="true" strokeweight=".06pt" strokecolor="#000000"/>
            <v:line style="position:absolute" from="9702,308" to="10926,308" stroked="true" strokeweight=".06pt" strokecolor="#000000"/>
            <v:line style="position:absolute" from="9702,309" to="10926,309" stroked="true" strokeweight=".06pt" strokecolor="#000000"/>
            <w10:wrap type="topAndBottom"/>
          </v:group>
        </w:pict>
      </w:r>
      <w:r>
        <w:rPr/>
        <w:t>Other</w:t>
      </w:r>
      <w:r>
        <w:rPr>
          <w:spacing w:val="-1"/>
        </w:rPr>
        <w:t> </w:t>
      </w:r>
      <w:r>
        <w:rPr/>
        <w:t>comprehensive</w:t>
      </w:r>
      <w:r>
        <w:rPr>
          <w:spacing w:val="-1"/>
        </w:rPr>
        <w:t> </w:t>
      </w:r>
      <w:r>
        <w:rPr/>
        <w:t>income</w:t>
        <w:tab/>
        <w:t>-</w:t>
        <w:tab/>
        <w:t>-</w:t>
        <w:tab/>
        <w:t>-</w:t>
      </w:r>
    </w:p>
    <w:p>
      <w:pPr>
        <w:pStyle w:val="Heading9"/>
        <w:tabs>
          <w:tab w:pos="6934" w:val="left" w:leader="none"/>
          <w:tab w:pos="8158" w:val="left" w:leader="none"/>
          <w:tab w:pos="9369" w:val="left" w:leader="none"/>
        </w:tabs>
        <w:spacing w:before="84"/>
        <w:ind w:left="135" w:right="161"/>
        <w:rPr>
          <w:b w:val="0"/>
        </w:rPr>
      </w:pPr>
      <w:r>
        <w:rPr/>
        <w:t>Total comprehensive income for</w:t>
      </w:r>
      <w:r>
        <w:rPr>
          <w:spacing w:val="-1"/>
        </w:rPr>
        <w:t> </w:t>
      </w:r>
      <w:r>
        <w:rPr/>
        <w:t>the</w:t>
      </w:r>
      <w:r>
        <w:rPr>
          <w:spacing w:val="-1"/>
        </w:rPr>
        <w:t> </w:t>
      </w:r>
      <w:r>
        <w:rPr/>
        <w:t>year</w:t>
        <w:tab/>
      </w:r>
      <w:r>
        <w:rPr>
          <w:b w:val="0"/>
        </w:rPr>
        <w:t>-</w:t>
        <w:tab/>
        <w:t>-</w:t>
        <w:tab/>
        <w:t>-</w:t>
      </w:r>
    </w:p>
    <w:p>
      <w:pPr>
        <w:pStyle w:val="BodyText"/>
        <w:spacing w:line="20" w:lineRule="exact"/>
        <w:ind w:left="6353"/>
        <w:rPr>
          <w:sz w:val="2"/>
        </w:rPr>
      </w:pPr>
      <w:r>
        <w:rPr>
          <w:sz w:val="2"/>
        </w:rPr>
        <w:pict>
          <v:group style="width:183.7pt;height:1pt;mso-position-horizontal-relative:char;mso-position-vertical-relative:line" coordorigin="0,0" coordsize="3674,20">
            <v:line style="position:absolute" from="1,1" to="1225,1" stroked="true" strokeweight=".06pt" strokecolor="#000000"/>
            <v:line style="position:absolute" from="1,2" to="1225,2" stroked="true" strokeweight=".06pt" strokecolor="#000000"/>
            <v:line style="position:absolute" from="1,3" to="1225,3" stroked="true" strokeweight=".06pt" strokecolor="#000000"/>
            <v:line style="position:absolute" from="1,5" to="1225,5" stroked="true" strokeweight=".06pt" strokecolor="#000000"/>
            <v:line style="position:absolute" from="1,6" to="1225,6" stroked="true" strokeweight=".06pt" strokecolor="#000000"/>
            <v:line style="position:absolute" from="1,7" to="1225,7" stroked="true" strokeweight=".06pt" strokecolor="#000000"/>
            <v:line style="position:absolute" from="1,8" to="1225,8" stroked="true" strokeweight=".06pt" strokecolor="#000000"/>
            <v:line style="position:absolute" from="1,9" to="1225,9" stroked="true" strokeweight=".06pt" strokecolor="#000000"/>
            <v:line style="position:absolute" from="1,11" to="1225,11" stroked="true" strokeweight=".06pt" strokecolor="#000000"/>
            <v:line style="position:absolute" from="1,12" to="1225,12" stroked="true" strokeweight=".06pt" strokecolor="#000000"/>
            <v:line style="position:absolute" from="1,13" to="1225,13" stroked="true" strokeweight=".06pt" strokecolor="#000000"/>
            <v:line style="position:absolute" from="1,14" to="1225,14" stroked="true" strokeweight=".06pt" strokecolor="#000000"/>
            <v:line style="position:absolute" from="1,15" to="1225,15" stroked="true" strokeweight=".06pt" strokecolor="#000000"/>
            <v:line style="position:absolute" from="1,17" to="1225,17" stroked="true" strokeweight=".06pt" strokecolor="#000000"/>
            <v:line style="position:absolute" from="1,18" to="1225,18" stroked="true" strokeweight=".06pt" strokecolor="#000000"/>
            <v:line style="position:absolute" from="1,19" to="1225,19" stroked="true" strokeweight=".06pt" strokecolor="#000000"/>
            <v:line style="position:absolute" from="1225,1" to="2449,1" stroked="true" strokeweight=".06pt" strokecolor="#000000"/>
            <v:line style="position:absolute" from="1225,2" to="2449,2" stroked="true" strokeweight=".06pt" strokecolor="#000000"/>
            <v:line style="position:absolute" from="1225,3" to="2449,3" stroked="true" strokeweight=".06pt" strokecolor="#000000"/>
            <v:line style="position:absolute" from="1225,5" to="2449,5" stroked="true" strokeweight=".06pt" strokecolor="#000000"/>
            <v:line style="position:absolute" from="1225,6" to="2449,6" stroked="true" strokeweight=".06pt" strokecolor="#000000"/>
            <v:line style="position:absolute" from="1225,7" to="2449,7" stroked="true" strokeweight=".06pt" strokecolor="#000000"/>
            <v:line style="position:absolute" from="1225,8" to="2449,8" stroked="true" strokeweight=".06pt" strokecolor="#000000"/>
            <v:line style="position:absolute" from="1225,9" to="2449,9" stroked="true" strokeweight=".06pt" strokecolor="#000000"/>
            <v:line style="position:absolute" from="1225,11" to="2449,11" stroked="true" strokeweight=".06pt" strokecolor="#000000"/>
            <v:line style="position:absolute" from="1225,12" to="2449,12" stroked="true" strokeweight=".06pt" strokecolor="#000000"/>
            <v:line style="position:absolute" from="1225,13" to="2449,13" stroked="true" strokeweight=".06pt" strokecolor="#000000"/>
            <v:line style="position:absolute" from="1225,14" to="2449,14" stroked="true" strokeweight=".06pt" strokecolor="#000000"/>
            <v:line style="position:absolute" from="1225,15" to="2449,15" stroked="true" strokeweight=".06pt" strokecolor="#000000"/>
            <v:line style="position:absolute" from="1225,17" to="2449,17" stroked="true" strokeweight=".06pt" strokecolor="#000000"/>
            <v:line style="position:absolute" from="1225,18" to="2449,18" stroked="true" strokeweight=".06pt" strokecolor="#000000"/>
            <v:line style="position:absolute" from="1225,19" to="2449,19" stroked="true" strokeweight=".06pt" strokecolor="#000000"/>
            <v:line style="position:absolute" from="2449,1" to="3673,1" stroked="true" strokeweight=".06pt" strokecolor="#000000"/>
            <v:line style="position:absolute" from="2449,2" to="3673,2" stroked="true" strokeweight=".06pt" strokecolor="#000000"/>
            <v:line style="position:absolute" from="2449,3" to="3673,3" stroked="true" strokeweight=".06pt" strokecolor="#000000"/>
            <v:line style="position:absolute" from="2449,5" to="3673,5" stroked="true" strokeweight=".06pt" strokecolor="#000000"/>
            <v:line style="position:absolute" from="2449,6" to="3673,6" stroked="true" strokeweight=".06pt" strokecolor="#000000"/>
            <v:line style="position:absolute" from="2449,7" to="3673,7" stroked="true" strokeweight=".06pt" strokecolor="#000000"/>
            <v:line style="position:absolute" from="2449,8" to="3673,8" stroked="true" strokeweight=".06pt" strokecolor="#000000"/>
            <v:line style="position:absolute" from="2449,9" to="3673,9" stroked="true" strokeweight=".06pt" strokecolor="#000000"/>
            <v:line style="position:absolute" from="2449,11" to="3673,11" stroked="true" strokeweight=".06pt" strokecolor="#000000"/>
            <v:line style="position:absolute" from="2449,12" to="3673,12" stroked="true" strokeweight=".06pt" strokecolor="#000000"/>
            <v:line style="position:absolute" from="2449,13" to="3673,13" stroked="true" strokeweight=".06pt" strokecolor="#000000"/>
            <v:line style="position:absolute" from="2449,14" to="3673,14" stroked="true" strokeweight=".06pt" strokecolor="#000000"/>
            <v:line style="position:absolute" from="2449,15" to="3673,15" stroked="true" strokeweight=".06pt" strokecolor="#000000"/>
            <v:line style="position:absolute" from="2449,17" to="3673,17" stroked="true" strokeweight=".06pt" strokecolor="#000000"/>
            <v:line style="position:absolute" from="2449,18" to="3673,18" stroked="true" strokeweight=".06pt" strokecolor="#000000"/>
            <v:line style="position:absolute" from="2449,19" to="3673,19" stroked="true" strokeweight=".06pt" strokecolor="#000000"/>
            <v:line style="position:absolute" from="1,1" to="1225,1" stroked="true" strokeweight=".06pt" strokecolor="#000000"/>
            <v:line style="position:absolute" from="1,2" to="1225,2" stroked="true" strokeweight=".06pt" strokecolor="#000000"/>
            <v:line style="position:absolute" from="1,3" to="1225,3" stroked="true" strokeweight=".06pt" strokecolor="#000000"/>
            <v:line style="position:absolute" from="1,5" to="1225,5" stroked="true" strokeweight=".06pt" strokecolor="#000000"/>
            <v:line style="position:absolute" from="1,6" to="1225,6" stroked="true" strokeweight=".06pt" strokecolor="#000000"/>
            <v:line style="position:absolute" from="1,7" to="1225,7" stroked="true" strokeweight=".06pt" strokecolor="#000000"/>
            <v:line style="position:absolute" from="1,8" to="1225,8" stroked="true" strokeweight=".06pt" strokecolor="#000000"/>
            <v:line style="position:absolute" from="1,9" to="1225,9" stroked="true" strokeweight=".06pt" strokecolor="#000000"/>
            <v:line style="position:absolute" from="1,11" to="1225,11" stroked="true" strokeweight=".06pt" strokecolor="#000000"/>
            <v:line style="position:absolute" from="1,12" to="1225,12" stroked="true" strokeweight=".06pt" strokecolor="#000000"/>
            <v:line style="position:absolute" from="1,13" to="1225,13" stroked="true" strokeweight=".06pt" strokecolor="#000000"/>
            <v:line style="position:absolute" from="1,14" to="1225,14" stroked="true" strokeweight=".06pt" strokecolor="#000000"/>
            <v:line style="position:absolute" from="1,15" to="1225,15" stroked="true" strokeweight=".06pt" strokecolor="#000000"/>
            <v:line style="position:absolute" from="1,17" to="1225,17" stroked="true" strokeweight=".06pt" strokecolor="#000000"/>
            <v:line style="position:absolute" from="1,18" to="1225,18" stroked="true" strokeweight=".06pt" strokecolor="#000000"/>
            <v:line style="position:absolute" from="1,19" to="1225,19" stroked="true" strokeweight=".06pt" strokecolor="#000000"/>
            <v:line style="position:absolute" from="1225,1" to="2449,1" stroked="true" strokeweight=".06pt" strokecolor="#000000"/>
            <v:line style="position:absolute" from="1225,2" to="2449,2" stroked="true" strokeweight=".06pt" strokecolor="#000000"/>
            <v:line style="position:absolute" from="1225,3" to="2449,3" stroked="true" strokeweight=".06pt" strokecolor="#000000"/>
            <v:line style="position:absolute" from="1225,5" to="2449,5" stroked="true" strokeweight=".06pt" strokecolor="#000000"/>
            <v:line style="position:absolute" from="1225,6" to="2449,6" stroked="true" strokeweight=".06pt" strokecolor="#000000"/>
            <v:line style="position:absolute" from="1225,7" to="2449,7" stroked="true" strokeweight=".06pt" strokecolor="#000000"/>
            <v:line style="position:absolute" from="1225,8" to="2449,8" stroked="true" strokeweight=".06pt" strokecolor="#000000"/>
            <v:line style="position:absolute" from="1225,9" to="2449,9" stroked="true" strokeweight=".06pt" strokecolor="#000000"/>
            <v:line style="position:absolute" from="1225,11" to="2449,11" stroked="true" strokeweight=".06pt" strokecolor="#000000"/>
            <v:line style="position:absolute" from="1225,12" to="2449,12" stroked="true" strokeweight=".06pt" strokecolor="#000000"/>
            <v:line style="position:absolute" from="1225,13" to="2449,13" stroked="true" strokeweight=".06pt" strokecolor="#000000"/>
            <v:line style="position:absolute" from="1225,14" to="2449,14" stroked="true" strokeweight=".06pt" strokecolor="#000000"/>
            <v:line style="position:absolute" from="1225,15" to="2449,15" stroked="true" strokeweight=".06pt" strokecolor="#000000"/>
            <v:line style="position:absolute" from="1225,17" to="2449,17" stroked="true" strokeweight=".06pt" strokecolor="#000000"/>
            <v:line style="position:absolute" from="1225,18" to="2449,18" stroked="true" strokeweight=".06pt" strokecolor="#000000"/>
            <v:line style="position:absolute" from="1225,19" to="2449,19" stroked="true" strokeweight=".06pt" strokecolor="#000000"/>
            <v:line style="position:absolute" from="2449,1" to="3673,1" stroked="true" strokeweight=".06pt" strokecolor="#000000"/>
            <v:line style="position:absolute" from="2449,2" to="3673,2" stroked="true" strokeweight=".06pt" strokecolor="#000000"/>
            <v:line style="position:absolute" from="2449,3" to="3673,3" stroked="true" strokeweight=".06pt" strokecolor="#000000"/>
            <v:line style="position:absolute" from="2449,5" to="3673,5" stroked="true" strokeweight=".06pt" strokecolor="#000000"/>
            <v:line style="position:absolute" from="2449,6" to="3673,6" stroked="true" strokeweight=".06pt" strokecolor="#000000"/>
            <v:line style="position:absolute" from="2449,7" to="3673,7" stroked="true" strokeweight=".06pt" strokecolor="#000000"/>
            <v:line style="position:absolute" from="2449,8" to="3673,8" stroked="true" strokeweight=".06pt" strokecolor="#000000"/>
            <v:line style="position:absolute" from="2449,9" to="3673,9" stroked="true" strokeweight=".06pt" strokecolor="#000000"/>
            <v:line style="position:absolute" from="2449,11" to="3673,11" stroked="true" strokeweight=".06pt" strokecolor="#000000"/>
            <v:line style="position:absolute" from="2449,12" to="3673,12" stroked="true" strokeweight=".06pt" strokecolor="#000000"/>
            <v:line style="position:absolute" from="2449,13" to="3673,13" stroked="true" strokeweight=".06pt" strokecolor="#000000"/>
            <v:line style="position:absolute" from="2449,14" to="3673,14" stroked="true" strokeweight=".06pt" strokecolor="#000000"/>
            <v:line style="position:absolute" from="2449,15" to="3673,15" stroked="true" strokeweight=".06pt" strokecolor="#000000"/>
            <v:line style="position:absolute" from="2449,17" to="3673,17" stroked="true" strokeweight=".06pt" strokecolor="#000000"/>
            <v:line style="position:absolute" from="2449,18" to="3673,18" stroked="true" strokeweight=".06pt" strokecolor="#000000"/>
            <v:line style="position:absolute" from="2449,19" to="3673,19" stroked="true" strokeweight=".06pt" strokecolor="#000000"/>
          </v:group>
        </w:pict>
      </w:r>
      <w:r>
        <w:rPr>
          <w:sz w:val="2"/>
        </w:rPr>
      </w:r>
    </w:p>
    <w:p>
      <w:pPr>
        <w:tabs>
          <w:tab w:pos="7389" w:val="left" w:leader="none"/>
          <w:tab w:pos="7915" w:val="left" w:leader="none"/>
          <w:tab w:pos="9139" w:val="left" w:leader="none"/>
        </w:tabs>
        <w:spacing w:before="111"/>
        <w:ind w:left="135" w:right="161" w:firstLine="0"/>
        <w:jc w:val="left"/>
        <w:rPr>
          <w:sz w:val="18"/>
        </w:rPr>
      </w:pPr>
      <w:r>
        <w:rPr>
          <w:b/>
          <w:sz w:val="18"/>
        </w:rPr>
        <w:t>Balance at 31</w:t>
      </w:r>
      <w:r>
        <w:rPr>
          <w:b/>
          <w:spacing w:val="-3"/>
          <w:sz w:val="18"/>
        </w:rPr>
        <w:t> </w:t>
      </w:r>
      <w:r>
        <w:rPr>
          <w:b/>
          <w:sz w:val="18"/>
        </w:rPr>
        <w:t>December</w:t>
      </w:r>
      <w:r>
        <w:rPr>
          <w:b/>
          <w:spacing w:val="-1"/>
          <w:sz w:val="18"/>
        </w:rPr>
        <w:t> </w:t>
      </w:r>
      <w:r>
        <w:rPr>
          <w:b/>
          <w:sz w:val="18"/>
        </w:rPr>
        <w:t>2016</w:t>
        <w:tab/>
      </w:r>
      <w:r>
        <w:rPr>
          <w:sz w:val="18"/>
        </w:rPr>
        <w:t>1</w:t>
        <w:tab/>
        <w:t>6,765,448</w:t>
        <w:tab/>
        <w:t>6,765,449</w:t>
      </w:r>
    </w:p>
    <w:p>
      <w:pPr>
        <w:pStyle w:val="BodyText"/>
        <w:spacing w:line="50" w:lineRule="exact"/>
        <w:ind w:left="6353"/>
        <w:rPr>
          <w:sz w:val="5"/>
        </w:rPr>
      </w:pPr>
      <w:r>
        <w:rPr>
          <w:position w:val="0"/>
          <w:sz w:val="5"/>
        </w:rPr>
        <w:pict>
          <v:group style="width:183.7pt;height:2.5pt;mso-position-horizontal-relative:char;mso-position-vertical-relative:line" coordorigin="0,0" coordsize="3674,50">
            <v:line style="position:absolute" from="1,1" to="1225,1" stroked="true" strokeweight=".06pt" strokecolor="#000000"/>
            <v:line style="position:absolute" from="1,2" to="1225,2" stroked="true" strokeweight=".06pt" strokecolor="#000000"/>
            <v:line style="position:absolute" from="1,3" to="1225,3" stroked="true" strokeweight=".06pt" strokecolor="#000000"/>
            <v:line style="position:absolute" from="1,5" to="1225,5" stroked="true" strokeweight=".06pt" strokecolor="#000000"/>
            <v:line style="position:absolute" from="1,6" to="1225,6" stroked="true" strokeweight=".06pt" strokecolor="#000000"/>
            <v:line style="position:absolute" from="1,7" to="1225,7" stroked="true" strokeweight=".06pt" strokecolor="#000000"/>
            <v:line style="position:absolute" from="1,8" to="1225,8" stroked="true" strokeweight=".06pt" strokecolor="#000000"/>
            <v:line style="position:absolute" from="1,9" to="1225,9" stroked="true" strokeweight=".06pt" strokecolor="#000000"/>
            <v:line style="position:absolute" from="1,11" to="1225,11" stroked="true" strokeweight=".06pt" strokecolor="#000000"/>
            <v:line style="position:absolute" from="1,12" to="1225,12" stroked="true" strokeweight=".06pt" strokecolor="#000000"/>
            <v:line style="position:absolute" from="1,13" to="1225,13" stroked="true" strokeweight=".06pt" strokecolor="#000000"/>
            <v:line style="position:absolute" from="1,14" to="1225,14" stroked="true" strokeweight=".06pt" strokecolor="#000000"/>
            <v:line style="position:absolute" from="1,15" to="1225,15" stroked="true" strokeweight=".06pt" strokecolor="#000000"/>
            <v:line style="position:absolute" from="1,35" to="1225,35" stroked="true" strokeweight=".06pt" strokecolor="#000000"/>
            <v:line style="position:absolute" from="1,36" to="1225,36" stroked="true" strokeweight=".06pt" strokecolor="#000000"/>
            <v:line style="position:absolute" from="1,37" to="1225,37" stroked="true" strokeweight=".06pt" strokecolor="#000000"/>
            <v:line style="position:absolute" from="1,38" to="1225,38" stroked="true" strokeweight=".06pt" strokecolor="#000000"/>
            <v:line style="position:absolute" from="1,39" to="1225,39" stroked="true" strokeweight=".06pt" strokecolor="#000000"/>
            <v:line style="position:absolute" from="1,41" to="1225,41" stroked="true" strokeweight=".06pt" strokecolor="#000000"/>
            <v:line style="position:absolute" from="1,42" to="1225,42" stroked="true" strokeweight=".06pt" strokecolor="#000000"/>
            <v:line style="position:absolute" from="1,43" to="1225,43" stroked="true" strokeweight=".06pt" strokecolor="#000000"/>
            <v:line style="position:absolute" from="1,44" to="1225,44" stroked="true" strokeweight=".06pt" strokecolor="#000000"/>
            <v:line style="position:absolute" from="1,45" to="1225,45" stroked="true" strokeweight=".06pt" strokecolor="#000000"/>
            <v:line style="position:absolute" from="1,47" to="1225,47" stroked="true" strokeweight=".06pt" strokecolor="#000000"/>
            <v:line style="position:absolute" from="1,48" to="1225,48" stroked="true" strokeweight=".06pt" strokecolor="#000000"/>
            <v:line style="position:absolute" from="1,49" to="1225,49" stroked="true" strokeweight=".06pt" strokecolor="#000000"/>
            <v:line style="position:absolute" from="1225,1" to="2449,1" stroked="true" strokeweight=".06pt" strokecolor="#000000"/>
            <v:line style="position:absolute" from="1225,2" to="2449,2" stroked="true" strokeweight=".06pt" strokecolor="#000000"/>
            <v:line style="position:absolute" from="1225,3" to="2449,3" stroked="true" strokeweight=".06pt" strokecolor="#000000"/>
            <v:line style="position:absolute" from="1225,5" to="2449,5" stroked="true" strokeweight=".06pt" strokecolor="#000000"/>
            <v:line style="position:absolute" from="1225,6" to="2449,6" stroked="true" strokeweight=".06pt" strokecolor="#000000"/>
            <v:line style="position:absolute" from="1225,7" to="2449,7" stroked="true" strokeweight=".06pt" strokecolor="#000000"/>
            <v:line style="position:absolute" from="1225,8" to="2449,8" stroked="true" strokeweight=".06pt" strokecolor="#000000"/>
            <v:line style="position:absolute" from="1225,9" to="2449,9" stroked="true" strokeweight=".06pt" strokecolor="#000000"/>
            <v:line style="position:absolute" from="1225,11" to="2449,11" stroked="true" strokeweight=".06pt" strokecolor="#000000"/>
            <v:line style="position:absolute" from="1225,12" to="2449,12" stroked="true" strokeweight=".06pt" strokecolor="#000000"/>
            <v:line style="position:absolute" from="1225,13" to="2449,13" stroked="true" strokeweight=".06pt" strokecolor="#000000"/>
            <v:line style="position:absolute" from="1225,14" to="2449,14" stroked="true" strokeweight=".06pt" strokecolor="#000000"/>
            <v:line style="position:absolute" from="1225,15" to="2449,15" stroked="true" strokeweight=".06pt" strokecolor="#000000"/>
            <v:line style="position:absolute" from="1225,35" to="2449,35" stroked="true" strokeweight=".06pt" strokecolor="#000000"/>
            <v:line style="position:absolute" from="1225,36" to="2449,36" stroked="true" strokeweight=".06pt" strokecolor="#000000"/>
            <v:line style="position:absolute" from="1225,37" to="2449,37" stroked="true" strokeweight=".06pt" strokecolor="#000000"/>
            <v:line style="position:absolute" from="1225,38" to="2449,38" stroked="true" strokeweight=".06pt" strokecolor="#000000"/>
            <v:line style="position:absolute" from="1225,39" to="2449,39" stroked="true" strokeweight=".06pt" strokecolor="#000000"/>
            <v:line style="position:absolute" from="1225,41" to="2449,41" stroked="true" strokeweight=".06pt" strokecolor="#000000"/>
            <v:line style="position:absolute" from="1225,42" to="2449,42" stroked="true" strokeweight=".06pt" strokecolor="#000000"/>
            <v:line style="position:absolute" from="1225,43" to="2449,43" stroked="true" strokeweight=".06pt" strokecolor="#000000"/>
            <v:line style="position:absolute" from="1225,44" to="2449,44" stroked="true" strokeweight=".06pt" strokecolor="#000000"/>
            <v:line style="position:absolute" from="1225,45" to="2449,45" stroked="true" strokeweight=".06pt" strokecolor="#000000"/>
            <v:line style="position:absolute" from="1225,47" to="2449,47" stroked="true" strokeweight=".06pt" strokecolor="#000000"/>
            <v:line style="position:absolute" from="1225,48" to="2449,48" stroked="true" strokeweight=".06pt" strokecolor="#000000"/>
            <v:line style="position:absolute" from="1225,49" to="2449,49" stroked="true" strokeweight=".06pt" strokecolor="#000000"/>
            <v:line style="position:absolute" from="2449,1" to="3673,1" stroked="true" strokeweight=".06pt" strokecolor="#000000"/>
            <v:line style="position:absolute" from="2449,2" to="3673,2" stroked="true" strokeweight=".06pt" strokecolor="#000000"/>
            <v:line style="position:absolute" from="2449,3" to="3673,3" stroked="true" strokeweight=".06pt" strokecolor="#000000"/>
            <v:line style="position:absolute" from="2449,5" to="3673,5" stroked="true" strokeweight=".06pt" strokecolor="#000000"/>
            <v:line style="position:absolute" from="2449,6" to="3673,6" stroked="true" strokeweight=".06pt" strokecolor="#000000"/>
            <v:line style="position:absolute" from="2449,7" to="3673,7" stroked="true" strokeweight=".06pt" strokecolor="#000000"/>
            <v:line style="position:absolute" from="2449,8" to="3673,8" stroked="true" strokeweight=".06pt" strokecolor="#000000"/>
            <v:line style="position:absolute" from="2449,9" to="3673,9" stroked="true" strokeweight=".06pt" strokecolor="#000000"/>
            <v:line style="position:absolute" from="2449,11" to="3673,11" stroked="true" strokeweight=".06pt" strokecolor="#000000"/>
            <v:line style="position:absolute" from="2449,12" to="3673,12" stroked="true" strokeweight=".06pt" strokecolor="#000000"/>
            <v:line style="position:absolute" from="2449,13" to="3673,13" stroked="true" strokeweight=".06pt" strokecolor="#000000"/>
            <v:line style="position:absolute" from="2449,14" to="3673,14" stroked="true" strokeweight=".06pt" strokecolor="#000000"/>
            <v:line style="position:absolute" from="2449,15" to="3673,15" stroked="true" strokeweight=".06pt" strokecolor="#000000"/>
            <v:line style="position:absolute" from="2449,35" to="3673,35" stroked="true" strokeweight=".06pt" strokecolor="#000000"/>
            <v:line style="position:absolute" from="2449,36" to="3673,36" stroked="true" strokeweight=".06pt" strokecolor="#000000"/>
            <v:line style="position:absolute" from="2449,37" to="3673,37" stroked="true" strokeweight=".06pt" strokecolor="#000000"/>
            <v:line style="position:absolute" from="2449,38" to="3673,38" stroked="true" strokeweight=".06pt" strokecolor="#000000"/>
            <v:line style="position:absolute" from="2449,39" to="3673,39" stroked="true" strokeweight=".06pt" strokecolor="#000000"/>
            <v:line style="position:absolute" from="2449,41" to="3673,41" stroked="true" strokeweight=".06pt" strokecolor="#000000"/>
            <v:line style="position:absolute" from="2449,42" to="3673,42" stroked="true" strokeweight=".06pt" strokecolor="#000000"/>
            <v:line style="position:absolute" from="2449,43" to="3673,43" stroked="true" strokeweight=".06pt" strokecolor="#000000"/>
            <v:line style="position:absolute" from="2449,44" to="3673,44" stroked="true" strokeweight=".06pt" strokecolor="#000000"/>
            <v:line style="position:absolute" from="2449,45" to="3673,45" stroked="true" strokeweight=".06pt" strokecolor="#000000"/>
            <v:line style="position:absolute" from="2449,47" to="3673,47" stroked="true" strokeweight=".06pt" strokecolor="#000000"/>
            <v:line style="position:absolute" from="2449,48" to="3673,48" stroked="true" strokeweight=".06pt" strokecolor="#000000"/>
            <v:line style="position:absolute" from="2449,49" to="3673,49" stroked="true" strokeweight=".06pt" strokecolor="#000000"/>
          </v:group>
        </w:pict>
      </w:r>
      <w:r>
        <w:rPr>
          <w:position w:val="0"/>
          <w:sz w:val="5"/>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p>
    <w:p>
      <w:pPr>
        <w:pStyle w:val="BodyText"/>
        <w:spacing w:before="77"/>
        <w:ind w:left="2491" w:right="161"/>
      </w:pPr>
      <w:r>
        <w:rPr/>
        <w:t>The accompanying notes form part of these financial statements.</w:t>
      </w:r>
    </w:p>
    <w:p>
      <w:pPr>
        <w:spacing w:after="0"/>
        <w:sectPr>
          <w:type w:val="continuous"/>
          <w:pgSz w:w="11910" w:h="16840"/>
          <w:pgMar w:top="1580" w:bottom="280" w:left="900" w:right="86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46"/>
        <w:gridCol w:w="1912"/>
        <w:gridCol w:w="1410"/>
        <w:gridCol w:w="1185"/>
      </w:tblGrid>
      <w:tr>
        <w:trPr>
          <w:trHeight w:val="911" w:hRule="exact"/>
        </w:trPr>
        <w:tc>
          <w:tcPr>
            <w:tcW w:w="5446" w:type="dxa"/>
          </w:tcPr>
          <w:p>
            <w:pPr>
              <w:pStyle w:val="TableParagraph"/>
              <w:spacing w:before="64"/>
              <w:ind w:left="35"/>
              <w:rPr>
                <w:b/>
                <w:sz w:val="28"/>
              </w:rPr>
            </w:pPr>
            <w:r>
              <w:rPr>
                <w:b/>
                <w:sz w:val="28"/>
              </w:rPr>
              <w:t>Statement of Cash Flows</w:t>
            </w:r>
          </w:p>
          <w:p>
            <w:pPr>
              <w:pStyle w:val="TableParagraph"/>
              <w:spacing w:before="57"/>
              <w:ind w:left="35"/>
              <w:rPr>
                <w:b/>
                <w:sz w:val="22"/>
              </w:rPr>
            </w:pPr>
            <w:r>
              <w:rPr>
                <w:b/>
                <w:sz w:val="22"/>
              </w:rPr>
              <w:t>For the Year Ended 31 December 2017</w:t>
            </w:r>
          </w:p>
        </w:tc>
        <w:tc>
          <w:tcPr>
            <w:tcW w:w="4506" w:type="dxa"/>
            <w:gridSpan w:val="3"/>
          </w:tcPr>
          <w:p>
            <w:pPr/>
          </w:p>
        </w:tc>
      </w:tr>
      <w:tr>
        <w:trPr>
          <w:trHeight w:val="447" w:hRule="exact"/>
        </w:trPr>
        <w:tc>
          <w:tcPr>
            <w:tcW w:w="5446" w:type="dxa"/>
          </w:tcPr>
          <w:p>
            <w:pPr/>
          </w:p>
        </w:tc>
        <w:tc>
          <w:tcPr>
            <w:tcW w:w="1912" w:type="dxa"/>
          </w:tcPr>
          <w:p>
            <w:pPr/>
          </w:p>
        </w:tc>
        <w:tc>
          <w:tcPr>
            <w:tcW w:w="1410" w:type="dxa"/>
          </w:tcPr>
          <w:p>
            <w:pPr>
              <w:pStyle w:val="TableParagraph"/>
              <w:spacing w:before="1"/>
              <w:rPr>
                <w:sz w:val="17"/>
              </w:rPr>
            </w:pPr>
          </w:p>
          <w:p>
            <w:pPr>
              <w:pStyle w:val="TableParagraph"/>
              <w:ind w:left="675"/>
              <w:rPr>
                <w:b/>
                <w:sz w:val="18"/>
              </w:rPr>
            </w:pPr>
            <w:r>
              <w:rPr>
                <w:b/>
                <w:sz w:val="18"/>
              </w:rPr>
              <w:t>2017</w:t>
            </w:r>
          </w:p>
        </w:tc>
        <w:tc>
          <w:tcPr>
            <w:tcW w:w="1185" w:type="dxa"/>
          </w:tcPr>
          <w:p>
            <w:pPr>
              <w:pStyle w:val="TableParagraph"/>
              <w:spacing w:before="1"/>
              <w:rPr>
                <w:sz w:val="17"/>
              </w:rPr>
            </w:pPr>
          </w:p>
          <w:p>
            <w:pPr>
              <w:pStyle w:val="TableParagraph"/>
              <w:ind w:left="563"/>
              <w:rPr>
                <w:b/>
                <w:sz w:val="18"/>
              </w:rPr>
            </w:pPr>
            <w:r>
              <w:rPr>
                <w:b/>
                <w:sz w:val="18"/>
              </w:rPr>
              <w:t>2016</w:t>
            </w:r>
          </w:p>
        </w:tc>
      </w:tr>
      <w:tr>
        <w:trPr>
          <w:trHeight w:val="313" w:hRule="exact"/>
        </w:trPr>
        <w:tc>
          <w:tcPr>
            <w:tcW w:w="5446" w:type="dxa"/>
          </w:tcPr>
          <w:p>
            <w:pPr/>
          </w:p>
        </w:tc>
        <w:tc>
          <w:tcPr>
            <w:tcW w:w="1912" w:type="dxa"/>
          </w:tcPr>
          <w:p>
            <w:pPr>
              <w:pStyle w:val="TableParagraph"/>
              <w:spacing w:before="24"/>
              <w:ind w:right="36"/>
              <w:jc w:val="right"/>
              <w:rPr>
                <w:b/>
                <w:sz w:val="18"/>
              </w:rPr>
            </w:pPr>
            <w:r>
              <w:rPr>
                <w:b/>
                <w:sz w:val="18"/>
              </w:rPr>
              <w:t>Notes</w:t>
            </w:r>
          </w:p>
        </w:tc>
        <w:tc>
          <w:tcPr>
            <w:tcW w:w="1410" w:type="dxa"/>
          </w:tcPr>
          <w:p>
            <w:pPr>
              <w:pStyle w:val="TableParagraph"/>
              <w:spacing w:before="24"/>
              <w:ind w:right="355"/>
              <w:jc w:val="right"/>
              <w:rPr>
                <w:b/>
                <w:sz w:val="18"/>
              </w:rPr>
            </w:pPr>
            <w:r>
              <w:rPr>
                <w:b/>
                <w:w w:val="99"/>
                <w:sz w:val="18"/>
              </w:rPr>
              <w:t>$</w:t>
            </w:r>
          </w:p>
        </w:tc>
        <w:tc>
          <w:tcPr>
            <w:tcW w:w="1185" w:type="dxa"/>
          </w:tcPr>
          <w:p>
            <w:pPr>
              <w:pStyle w:val="TableParagraph"/>
              <w:spacing w:before="24"/>
              <w:ind w:right="268"/>
              <w:jc w:val="right"/>
              <w:rPr>
                <w:b/>
                <w:sz w:val="18"/>
              </w:rPr>
            </w:pPr>
            <w:r>
              <w:rPr>
                <w:b/>
                <w:w w:val="99"/>
                <w:sz w:val="18"/>
              </w:rPr>
              <w:t>$</w:t>
            </w:r>
          </w:p>
        </w:tc>
      </w:tr>
      <w:tr>
        <w:trPr>
          <w:trHeight w:val="543" w:hRule="exact"/>
        </w:trPr>
        <w:tc>
          <w:tcPr>
            <w:tcW w:w="5446" w:type="dxa"/>
          </w:tcPr>
          <w:p>
            <w:pPr>
              <w:pStyle w:val="TableParagraph"/>
              <w:spacing w:before="63"/>
              <w:ind w:left="62"/>
              <w:rPr>
                <w:b/>
                <w:sz w:val="18"/>
              </w:rPr>
            </w:pPr>
            <w:r>
              <w:rPr>
                <w:b/>
                <w:sz w:val="18"/>
              </w:rPr>
              <w:t>CASH FLOWS FROM OPERATING ACTIVITIES:</w:t>
            </w:r>
          </w:p>
          <w:p>
            <w:pPr>
              <w:pStyle w:val="TableParagraph"/>
              <w:spacing w:before="27"/>
              <w:ind w:left="62"/>
              <w:rPr>
                <w:sz w:val="18"/>
              </w:rPr>
            </w:pPr>
            <w:r>
              <w:rPr>
                <w:sz w:val="18"/>
              </w:rPr>
              <w:t>Receipts from customers</w:t>
            </w:r>
          </w:p>
        </w:tc>
        <w:tc>
          <w:tcPr>
            <w:tcW w:w="1912" w:type="dxa"/>
          </w:tcPr>
          <w:p>
            <w:pPr/>
          </w:p>
        </w:tc>
        <w:tc>
          <w:tcPr>
            <w:tcW w:w="1410" w:type="dxa"/>
          </w:tcPr>
          <w:p>
            <w:pPr>
              <w:pStyle w:val="TableParagraph"/>
              <w:spacing w:before="11"/>
              <w:rPr>
                <w:sz w:val="25"/>
              </w:rPr>
            </w:pPr>
          </w:p>
          <w:p>
            <w:pPr>
              <w:pStyle w:val="TableParagraph"/>
              <w:ind w:left="310"/>
              <w:rPr>
                <w:b/>
                <w:sz w:val="18"/>
              </w:rPr>
            </w:pPr>
            <w:r>
              <w:rPr>
                <w:b/>
                <w:sz w:val="18"/>
              </w:rPr>
              <w:t>59,777,225</w:t>
            </w:r>
          </w:p>
        </w:tc>
        <w:tc>
          <w:tcPr>
            <w:tcW w:w="1185" w:type="dxa"/>
          </w:tcPr>
          <w:p>
            <w:pPr>
              <w:pStyle w:val="TableParagraph"/>
              <w:spacing w:before="11"/>
              <w:rPr>
                <w:sz w:val="25"/>
              </w:rPr>
            </w:pPr>
          </w:p>
          <w:p>
            <w:pPr>
              <w:pStyle w:val="TableParagraph"/>
              <w:ind w:left="198"/>
              <w:rPr>
                <w:sz w:val="18"/>
              </w:rPr>
            </w:pPr>
            <w:r>
              <w:rPr>
                <w:sz w:val="18"/>
              </w:rPr>
              <w:t>60,604,124</w:t>
            </w:r>
          </w:p>
        </w:tc>
      </w:tr>
      <w:tr>
        <w:trPr>
          <w:trHeight w:val="264" w:hRule="exact"/>
        </w:trPr>
        <w:tc>
          <w:tcPr>
            <w:tcW w:w="5446" w:type="dxa"/>
          </w:tcPr>
          <w:p>
            <w:pPr>
              <w:pStyle w:val="TableParagraph"/>
              <w:spacing w:before="18"/>
              <w:ind w:left="62"/>
              <w:rPr>
                <w:sz w:val="18"/>
              </w:rPr>
            </w:pPr>
            <w:r>
              <w:rPr>
                <w:sz w:val="18"/>
              </w:rPr>
              <w:t>Payments to suppliers and employees</w:t>
            </w:r>
          </w:p>
        </w:tc>
        <w:tc>
          <w:tcPr>
            <w:tcW w:w="1912" w:type="dxa"/>
          </w:tcPr>
          <w:p>
            <w:pPr/>
          </w:p>
        </w:tc>
        <w:tc>
          <w:tcPr>
            <w:tcW w:w="1410" w:type="dxa"/>
          </w:tcPr>
          <w:p>
            <w:pPr>
              <w:pStyle w:val="TableParagraph"/>
              <w:spacing w:before="19"/>
              <w:ind w:right="136"/>
              <w:jc w:val="right"/>
              <w:rPr>
                <w:b/>
                <w:sz w:val="18"/>
              </w:rPr>
            </w:pPr>
            <w:r>
              <w:rPr>
                <w:b/>
                <w:w w:val="95"/>
                <w:sz w:val="18"/>
              </w:rPr>
              <w:t>(58,983,576)</w:t>
            </w:r>
          </w:p>
        </w:tc>
        <w:tc>
          <w:tcPr>
            <w:tcW w:w="1185" w:type="dxa"/>
          </w:tcPr>
          <w:p>
            <w:pPr>
              <w:pStyle w:val="TableParagraph"/>
              <w:spacing w:before="19"/>
              <w:ind w:right="23"/>
              <w:jc w:val="right"/>
              <w:rPr>
                <w:sz w:val="18"/>
              </w:rPr>
            </w:pPr>
            <w:r>
              <w:rPr>
                <w:w w:val="95"/>
                <w:sz w:val="18"/>
              </w:rPr>
              <w:t>(58,674,787)</w:t>
            </w:r>
          </w:p>
        </w:tc>
      </w:tr>
      <w:tr>
        <w:trPr>
          <w:trHeight w:val="264" w:hRule="exact"/>
        </w:trPr>
        <w:tc>
          <w:tcPr>
            <w:tcW w:w="5446" w:type="dxa"/>
          </w:tcPr>
          <w:p>
            <w:pPr>
              <w:pStyle w:val="TableParagraph"/>
              <w:spacing w:before="18"/>
              <w:ind w:left="62"/>
              <w:rPr>
                <w:sz w:val="18"/>
              </w:rPr>
            </w:pPr>
            <w:r>
              <w:rPr>
                <w:sz w:val="18"/>
              </w:rPr>
              <w:t>Interest received</w:t>
            </w:r>
          </w:p>
        </w:tc>
        <w:tc>
          <w:tcPr>
            <w:tcW w:w="1912" w:type="dxa"/>
          </w:tcPr>
          <w:p>
            <w:pPr/>
          </w:p>
        </w:tc>
        <w:tc>
          <w:tcPr>
            <w:tcW w:w="1410" w:type="dxa"/>
          </w:tcPr>
          <w:p>
            <w:pPr>
              <w:pStyle w:val="TableParagraph"/>
              <w:spacing w:before="19"/>
              <w:ind w:right="197"/>
              <w:jc w:val="right"/>
              <w:rPr>
                <w:b/>
                <w:sz w:val="18"/>
              </w:rPr>
            </w:pPr>
            <w:r>
              <w:rPr>
                <w:b/>
                <w:w w:val="95"/>
                <w:sz w:val="18"/>
              </w:rPr>
              <w:t>84,853</w:t>
            </w:r>
          </w:p>
        </w:tc>
        <w:tc>
          <w:tcPr>
            <w:tcW w:w="1185" w:type="dxa"/>
          </w:tcPr>
          <w:p>
            <w:pPr>
              <w:pStyle w:val="TableParagraph"/>
              <w:spacing w:before="19"/>
              <w:ind w:right="84"/>
              <w:jc w:val="right"/>
              <w:rPr>
                <w:sz w:val="18"/>
              </w:rPr>
            </w:pPr>
            <w:r>
              <w:rPr>
                <w:w w:val="95"/>
                <w:sz w:val="18"/>
              </w:rPr>
              <w:t>49,502</w:t>
            </w:r>
          </w:p>
        </w:tc>
      </w:tr>
      <w:tr>
        <w:trPr>
          <w:trHeight w:val="263" w:hRule="exact"/>
        </w:trPr>
        <w:tc>
          <w:tcPr>
            <w:tcW w:w="5446" w:type="dxa"/>
          </w:tcPr>
          <w:p>
            <w:pPr>
              <w:pStyle w:val="TableParagraph"/>
              <w:spacing w:before="18"/>
              <w:ind w:left="62"/>
              <w:rPr>
                <w:sz w:val="18"/>
              </w:rPr>
            </w:pPr>
            <w:r>
              <w:rPr>
                <w:sz w:val="18"/>
              </w:rPr>
              <w:t>Other receipts / (payments)</w:t>
            </w:r>
          </w:p>
        </w:tc>
        <w:tc>
          <w:tcPr>
            <w:tcW w:w="1912" w:type="dxa"/>
          </w:tcPr>
          <w:p>
            <w:pPr/>
          </w:p>
        </w:tc>
        <w:tc>
          <w:tcPr>
            <w:tcW w:w="1410" w:type="dxa"/>
            <w:tcBorders>
              <w:bottom w:val="single" w:sz="0" w:space="0" w:color="000000"/>
            </w:tcBorders>
          </w:tcPr>
          <w:p>
            <w:pPr>
              <w:pStyle w:val="TableParagraph"/>
              <w:spacing w:before="19"/>
              <w:ind w:right="196"/>
              <w:jc w:val="right"/>
              <w:rPr>
                <w:b/>
                <w:sz w:val="18"/>
              </w:rPr>
            </w:pPr>
            <w:r>
              <w:rPr>
                <w:b/>
                <w:w w:val="95"/>
                <w:sz w:val="18"/>
              </w:rPr>
              <w:t>806,407</w:t>
            </w:r>
          </w:p>
        </w:tc>
        <w:tc>
          <w:tcPr>
            <w:tcW w:w="1185" w:type="dxa"/>
            <w:tcBorders>
              <w:bottom w:val="single" w:sz="0" w:space="0" w:color="000000"/>
            </w:tcBorders>
          </w:tcPr>
          <w:p>
            <w:pPr>
              <w:pStyle w:val="TableParagraph"/>
              <w:spacing w:before="19"/>
              <w:ind w:left="447"/>
              <w:rPr>
                <w:sz w:val="18"/>
              </w:rPr>
            </w:pPr>
            <w:r>
              <w:rPr>
                <w:sz w:val="18"/>
              </w:rPr>
              <w:t>305,801</w:t>
            </w:r>
          </w:p>
        </w:tc>
      </w:tr>
    </w:tbl>
    <w:p>
      <w:pPr>
        <w:pStyle w:val="BodyText"/>
        <w:tabs>
          <w:tab w:pos="7081" w:val="left" w:leader="none"/>
          <w:tab w:pos="7880" w:val="left" w:leader="none"/>
          <w:tab w:pos="9177" w:val="left" w:leader="none"/>
        </w:tabs>
        <w:spacing w:before="39"/>
        <w:ind w:left="175" w:right="19"/>
      </w:pPr>
      <w:r>
        <w:rPr/>
        <w:t>Net cash provided by</w:t>
      </w:r>
      <w:r>
        <w:rPr>
          <w:spacing w:val="-1"/>
        </w:rPr>
        <w:t> </w:t>
      </w:r>
      <w:r>
        <w:rPr/>
        <w:t>operating</w:t>
      </w:r>
      <w:r>
        <w:rPr>
          <w:spacing w:val="-1"/>
        </w:rPr>
        <w:t> </w:t>
      </w:r>
      <w:r>
        <w:rPr/>
        <w:t>activities</w:t>
        <w:tab/>
        <w:t>21</w:t>
        <w:tab/>
      </w:r>
      <w:r>
        <w:rPr>
          <w:b/>
          <w:position w:val="-7"/>
        </w:rPr>
        <w:t>1,684,909</w:t>
        <w:tab/>
      </w:r>
      <w:r>
        <w:rPr>
          <w:position w:val="-7"/>
        </w:rPr>
        <w:t>2,284,640</w:t>
      </w:r>
    </w:p>
    <w:p>
      <w:pPr>
        <w:pStyle w:val="BodyText"/>
        <w:spacing w:line="20" w:lineRule="exact"/>
        <w:ind w:left="7469"/>
        <w:rPr>
          <w:sz w:val="2"/>
        </w:rPr>
      </w:pPr>
      <w:r>
        <w:rPr>
          <w:sz w:val="2"/>
        </w:rPr>
        <w:pict>
          <v:group style="width:129.85pt;height:1pt;mso-position-horizontal-relative:char;mso-position-vertical-relative:line" coordorigin="0,0" coordsize="2597,2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group>
        </w:pict>
      </w:r>
      <w:r>
        <w:rPr>
          <w:sz w:val="2"/>
        </w:rPr>
      </w:r>
    </w:p>
    <w:p>
      <w:pPr>
        <w:pStyle w:val="BodyText"/>
        <w:spacing w:before="9"/>
        <w:rPr>
          <w:sz w:val="28"/>
        </w:rPr>
      </w:pPr>
    </w:p>
    <w:tbl>
      <w:tblPr>
        <w:tblW w:w="0" w:type="auto"/>
        <w:jc w:val="left"/>
        <w:tblInd w:w="14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30"/>
        <w:gridCol w:w="1460"/>
        <w:gridCol w:w="1135"/>
      </w:tblGrid>
      <w:tr>
        <w:trPr>
          <w:trHeight w:val="557" w:hRule="exact"/>
        </w:trPr>
        <w:tc>
          <w:tcPr>
            <w:tcW w:w="7330" w:type="dxa"/>
          </w:tcPr>
          <w:p>
            <w:pPr>
              <w:pStyle w:val="TableParagraph"/>
              <w:spacing w:before="77"/>
              <w:ind w:left="35"/>
              <w:rPr>
                <w:b/>
                <w:sz w:val="18"/>
              </w:rPr>
            </w:pPr>
            <w:r>
              <w:rPr>
                <w:b/>
                <w:sz w:val="18"/>
              </w:rPr>
              <w:t>CASH FLOWS FROM INVESTING ACTIVITIES:</w:t>
            </w:r>
          </w:p>
          <w:p>
            <w:pPr>
              <w:pStyle w:val="TableParagraph"/>
              <w:spacing w:before="27"/>
              <w:ind w:left="35"/>
              <w:rPr>
                <w:sz w:val="18"/>
              </w:rPr>
            </w:pPr>
            <w:r>
              <w:rPr>
                <w:sz w:val="18"/>
              </w:rPr>
              <w:t>Return of capital works funding</w:t>
            </w:r>
          </w:p>
        </w:tc>
        <w:tc>
          <w:tcPr>
            <w:tcW w:w="1460" w:type="dxa"/>
          </w:tcPr>
          <w:p>
            <w:pPr>
              <w:pStyle w:val="TableParagraph"/>
              <w:rPr>
                <w:sz w:val="18"/>
              </w:rPr>
            </w:pPr>
          </w:p>
          <w:p>
            <w:pPr>
              <w:pStyle w:val="TableParagraph"/>
              <w:spacing w:before="105"/>
              <w:ind w:right="246"/>
              <w:jc w:val="right"/>
              <w:rPr>
                <w:b/>
                <w:sz w:val="18"/>
              </w:rPr>
            </w:pPr>
            <w:r>
              <w:rPr>
                <w:b/>
                <w:w w:val="95"/>
                <w:sz w:val="18"/>
              </w:rPr>
              <w:t>158,454</w:t>
            </w:r>
          </w:p>
        </w:tc>
        <w:tc>
          <w:tcPr>
            <w:tcW w:w="1135" w:type="dxa"/>
          </w:tcPr>
          <w:p>
            <w:pPr>
              <w:pStyle w:val="TableParagraph"/>
              <w:rPr>
                <w:sz w:val="18"/>
              </w:rPr>
            </w:pPr>
          </w:p>
          <w:p>
            <w:pPr>
              <w:pStyle w:val="TableParagraph"/>
              <w:spacing w:before="105"/>
              <w:ind w:right="161"/>
              <w:jc w:val="center"/>
              <w:rPr>
                <w:sz w:val="18"/>
              </w:rPr>
            </w:pPr>
            <w:r>
              <w:rPr>
                <w:w w:val="99"/>
                <w:sz w:val="18"/>
              </w:rPr>
              <w:t>-</w:t>
            </w:r>
          </w:p>
        </w:tc>
      </w:tr>
      <w:tr>
        <w:trPr>
          <w:trHeight w:val="264" w:hRule="exact"/>
        </w:trPr>
        <w:tc>
          <w:tcPr>
            <w:tcW w:w="7330" w:type="dxa"/>
          </w:tcPr>
          <w:p>
            <w:pPr>
              <w:pStyle w:val="TableParagraph"/>
              <w:spacing w:before="18"/>
              <w:ind w:left="35"/>
              <w:rPr>
                <w:sz w:val="18"/>
              </w:rPr>
            </w:pPr>
            <w:r>
              <w:rPr>
                <w:sz w:val="18"/>
              </w:rPr>
              <w:t>Purchase of property, plant and equipment</w:t>
            </w:r>
          </w:p>
        </w:tc>
        <w:tc>
          <w:tcPr>
            <w:tcW w:w="1460" w:type="dxa"/>
          </w:tcPr>
          <w:p>
            <w:pPr>
              <w:pStyle w:val="TableParagraph"/>
              <w:spacing w:before="19"/>
              <w:ind w:right="187"/>
              <w:jc w:val="right"/>
              <w:rPr>
                <w:b/>
                <w:sz w:val="18"/>
              </w:rPr>
            </w:pPr>
            <w:r>
              <w:rPr>
                <w:b/>
                <w:w w:val="95"/>
                <w:sz w:val="18"/>
              </w:rPr>
              <w:t>(44,185)</w:t>
            </w:r>
          </w:p>
        </w:tc>
        <w:tc>
          <w:tcPr>
            <w:tcW w:w="1135" w:type="dxa"/>
          </w:tcPr>
          <w:p>
            <w:pPr>
              <w:pStyle w:val="TableParagraph"/>
              <w:spacing w:before="19"/>
              <w:ind w:left="188"/>
              <w:rPr>
                <w:sz w:val="18"/>
              </w:rPr>
            </w:pPr>
            <w:r>
              <w:rPr>
                <w:sz w:val="18"/>
              </w:rPr>
              <w:t>(1,581,117)</w:t>
            </w:r>
          </w:p>
        </w:tc>
      </w:tr>
      <w:tr>
        <w:trPr>
          <w:trHeight w:val="264" w:hRule="exact"/>
        </w:trPr>
        <w:tc>
          <w:tcPr>
            <w:tcW w:w="7330" w:type="dxa"/>
          </w:tcPr>
          <w:p>
            <w:pPr>
              <w:pStyle w:val="TableParagraph"/>
              <w:spacing w:before="18"/>
              <w:ind w:left="35"/>
              <w:rPr>
                <w:sz w:val="18"/>
              </w:rPr>
            </w:pPr>
            <w:r>
              <w:rPr>
                <w:sz w:val="18"/>
              </w:rPr>
              <w:t>Payments for operations of joint venture</w:t>
            </w:r>
          </w:p>
        </w:tc>
        <w:tc>
          <w:tcPr>
            <w:tcW w:w="1460" w:type="dxa"/>
          </w:tcPr>
          <w:p>
            <w:pPr>
              <w:pStyle w:val="TableParagraph"/>
              <w:spacing w:before="19"/>
              <w:ind w:right="186"/>
              <w:jc w:val="right"/>
              <w:rPr>
                <w:b/>
                <w:sz w:val="18"/>
              </w:rPr>
            </w:pPr>
            <w:r>
              <w:rPr>
                <w:b/>
                <w:w w:val="95"/>
                <w:sz w:val="18"/>
              </w:rPr>
              <w:t>(800,000)</w:t>
            </w:r>
          </w:p>
        </w:tc>
        <w:tc>
          <w:tcPr>
            <w:tcW w:w="1135" w:type="dxa"/>
          </w:tcPr>
          <w:p>
            <w:pPr>
              <w:pStyle w:val="TableParagraph"/>
              <w:spacing w:before="19"/>
              <w:ind w:left="188"/>
              <w:rPr>
                <w:sz w:val="18"/>
              </w:rPr>
            </w:pPr>
            <w:r>
              <w:rPr>
                <w:sz w:val="18"/>
              </w:rPr>
              <w:t>(1,300,000)</w:t>
            </w:r>
          </w:p>
        </w:tc>
      </w:tr>
      <w:tr>
        <w:trPr>
          <w:trHeight w:val="264" w:hRule="exact"/>
        </w:trPr>
        <w:tc>
          <w:tcPr>
            <w:tcW w:w="7330" w:type="dxa"/>
          </w:tcPr>
          <w:p>
            <w:pPr>
              <w:pStyle w:val="TableParagraph"/>
              <w:spacing w:before="18"/>
              <w:ind w:left="35"/>
              <w:rPr>
                <w:sz w:val="18"/>
              </w:rPr>
            </w:pPr>
            <w:r>
              <w:rPr>
                <w:sz w:val="18"/>
              </w:rPr>
              <w:t>Repayments received from the parent entity</w:t>
            </w:r>
          </w:p>
        </w:tc>
        <w:tc>
          <w:tcPr>
            <w:tcW w:w="1460" w:type="dxa"/>
          </w:tcPr>
          <w:p>
            <w:pPr>
              <w:pStyle w:val="TableParagraph"/>
              <w:spacing w:before="19"/>
              <w:ind w:left="310"/>
              <w:rPr>
                <w:b/>
                <w:sz w:val="18"/>
              </w:rPr>
            </w:pPr>
            <w:r>
              <w:rPr>
                <w:b/>
                <w:sz w:val="18"/>
              </w:rPr>
              <w:t>12,774,984</w:t>
            </w:r>
          </w:p>
        </w:tc>
        <w:tc>
          <w:tcPr>
            <w:tcW w:w="1135" w:type="dxa"/>
          </w:tcPr>
          <w:p>
            <w:pPr>
              <w:pStyle w:val="TableParagraph"/>
              <w:spacing w:before="19"/>
              <w:ind w:left="248"/>
              <w:rPr>
                <w:sz w:val="18"/>
              </w:rPr>
            </w:pPr>
            <w:r>
              <w:rPr>
                <w:sz w:val="18"/>
              </w:rPr>
              <w:t>7,978,278</w:t>
            </w:r>
          </w:p>
        </w:tc>
      </w:tr>
      <w:tr>
        <w:trPr>
          <w:trHeight w:val="263" w:hRule="exact"/>
        </w:trPr>
        <w:tc>
          <w:tcPr>
            <w:tcW w:w="7330" w:type="dxa"/>
          </w:tcPr>
          <w:p>
            <w:pPr>
              <w:pStyle w:val="TableParagraph"/>
              <w:spacing w:before="18"/>
              <w:ind w:left="35"/>
              <w:rPr>
                <w:sz w:val="18"/>
              </w:rPr>
            </w:pPr>
            <w:r>
              <w:rPr>
                <w:sz w:val="18"/>
              </w:rPr>
              <w:t>Advances made to the parent entity</w:t>
            </w:r>
          </w:p>
        </w:tc>
        <w:tc>
          <w:tcPr>
            <w:tcW w:w="1460" w:type="dxa"/>
            <w:tcBorders>
              <w:bottom w:val="single" w:sz="0" w:space="0" w:color="000000"/>
            </w:tcBorders>
          </w:tcPr>
          <w:p>
            <w:pPr>
              <w:pStyle w:val="TableParagraph"/>
              <w:spacing w:before="19"/>
              <w:ind w:right="186"/>
              <w:jc w:val="right"/>
              <w:rPr>
                <w:b/>
                <w:sz w:val="18"/>
              </w:rPr>
            </w:pPr>
            <w:r>
              <w:rPr>
                <w:b/>
                <w:w w:val="95"/>
                <w:sz w:val="18"/>
              </w:rPr>
              <w:t>(13,976,255)</w:t>
            </w:r>
          </w:p>
        </w:tc>
        <w:tc>
          <w:tcPr>
            <w:tcW w:w="1135" w:type="dxa"/>
            <w:tcBorders>
              <w:bottom w:val="single" w:sz="0" w:space="0" w:color="000000"/>
            </w:tcBorders>
          </w:tcPr>
          <w:p>
            <w:pPr>
              <w:pStyle w:val="TableParagraph"/>
              <w:spacing w:before="19"/>
              <w:ind w:left="188"/>
              <w:rPr>
                <w:sz w:val="18"/>
              </w:rPr>
            </w:pPr>
            <w:r>
              <w:rPr>
                <w:sz w:val="18"/>
              </w:rPr>
              <w:t>(6,969,114)</w:t>
            </w:r>
          </w:p>
        </w:tc>
      </w:tr>
      <w:tr>
        <w:trPr>
          <w:trHeight w:val="338" w:hRule="exact"/>
        </w:trPr>
        <w:tc>
          <w:tcPr>
            <w:tcW w:w="7330" w:type="dxa"/>
          </w:tcPr>
          <w:p>
            <w:pPr>
              <w:pStyle w:val="TableParagraph"/>
              <w:spacing w:before="38"/>
              <w:ind w:left="35"/>
              <w:rPr>
                <w:sz w:val="18"/>
              </w:rPr>
            </w:pPr>
            <w:r>
              <w:rPr>
                <w:sz w:val="18"/>
              </w:rPr>
              <w:t>Net cash used in investing activities</w:t>
            </w:r>
          </w:p>
        </w:tc>
        <w:tc>
          <w:tcPr>
            <w:tcW w:w="1460" w:type="dxa"/>
            <w:tcBorders>
              <w:top w:val="single" w:sz="0" w:space="0" w:color="000000"/>
              <w:bottom w:val="single" w:sz="0" w:space="0" w:color="000000"/>
            </w:tcBorders>
          </w:tcPr>
          <w:p>
            <w:pPr>
              <w:pStyle w:val="TableParagraph"/>
              <w:spacing w:before="122"/>
              <w:ind w:right="186"/>
              <w:jc w:val="right"/>
              <w:rPr>
                <w:b/>
                <w:sz w:val="18"/>
              </w:rPr>
            </w:pPr>
            <w:r>
              <w:rPr>
                <w:b/>
                <w:w w:val="95"/>
                <w:sz w:val="18"/>
              </w:rPr>
              <w:t>(1,887,002)</w:t>
            </w:r>
          </w:p>
        </w:tc>
        <w:tc>
          <w:tcPr>
            <w:tcW w:w="1135" w:type="dxa"/>
            <w:tcBorders>
              <w:top w:val="single" w:sz="0" w:space="0" w:color="000000"/>
              <w:bottom w:val="single" w:sz="0" w:space="0" w:color="000000"/>
            </w:tcBorders>
          </w:tcPr>
          <w:p>
            <w:pPr>
              <w:pStyle w:val="TableParagraph"/>
              <w:spacing w:before="122"/>
              <w:ind w:left="188"/>
              <w:rPr>
                <w:sz w:val="18"/>
              </w:rPr>
            </w:pPr>
            <w:r>
              <w:rPr>
                <w:sz w:val="18"/>
              </w:rPr>
              <w:t>(1,871,953)</w:t>
            </w:r>
          </w:p>
        </w:tc>
      </w:tr>
      <w:tr>
        <w:trPr>
          <w:trHeight w:val="655" w:hRule="exact"/>
        </w:trPr>
        <w:tc>
          <w:tcPr>
            <w:tcW w:w="7330" w:type="dxa"/>
          </w:tcPr>
          <w:p>
            <w:pPr>
              <w:pStyle w:val="TableParagraph"/>
              <w:rPr>
                <w:sz w:val="18"/>
              </w:rPr>
            </w:pPr>
          </w:p>
          <w:p>
            <w:pPr>
              <w:pStyle w:val="TableParagraph"/>
              <w:spacing w:before="4"/>
              <w:rPr>
                <w:sz w:val="18"/>
              </w:rPr>
            </w:pPr>
          </w:p>
          <w:p>
            <w:pPr>
              <w:pStyle w:val="TableParagraph"/>
              <w:ind w:left="35"/>
              <w:rPr>
                <w:b/>
                <w:sz w:val="18"/>
              </w:rPr>
            </w:pPr>
            <w:r>
              <w:rPr>
                <w:b/>
                <w:sz w:val="18"/>
              </w:rPr>
              <w:t>CASH FLOWS FROM FINANCING ACTIVITIES:</w:t>
            </w:r>
          </w:p>
        </w:tc>
        <w:tc>
          <w:tcPr>
            <w:tcW w:w="1460" w:type="dxa"/>
            <w:tcBorders>
              <w:top w:val="single" w:sz="0" w:space="0" w:color="000000"/>
            </w:tcBorders>
          </w:tcPr>
          <w:p>
            <w:pPr/>
          </w:p>
        </w:tc>
        <w:tc>
          <w:tcPr>
            <w:tcW w:w="1135" w:type="dxa"/>
            <w:tcBorders>
              <w:top w:val="single" w:sz="0" w:space="0" w:color="000000"/>
            </w:tcBorders>
          </w:tcPr>
          <w:p>
            <w:pPr/>
          </w:p>
        </w:tc>
      </w:tr>
    </w:tbl>
    <w:p>
      <w:pPr>
        <w:pStyle w:val="BodyText"/>
        <w:tabs>
          <w:tab w:pos="7470" w:val="left" w:leader="none"/>
          <w:tab w:pos="8088" w:val="left" w:leader="none"/>
          <w:tab w:pos="9385" w:val="left" w:leader="none"/>
          <w:tab w:pos="10064" w:val="left" w:leader="none"/>
        </w:tabs>
        <w:spacing w:before="17"/>
        <w:ind w:left="175" w:right="19"/>
      </w:pPr>
      <w:r>
        <w:rPr/>
        <w:t>Net cash provided by</w:t>
      </w:r>
      <w:r>
        <w:rPr>
          <w:spacing w:val="-1"/>
        </w:rPr>
        <w:t> </w:t>
      </w:r>
      <w:r>
        <w:rPr/>
        <w:t>financing</w:t>
      </w:r>
      <w:r>
        <w:rPr>
          <w:spacing w:val="-1"/>
        </w:rPr>
        <w:t> </w:t>
      </w:r>
      <w:r>
        <w:rPr/>
        <w:t>activities</w:t>
        <w:tab/>
      </w:r>
      <w:r>
        <w:rPr>
          <w:rFonts w:ascii="Times New Roman"/>
          <w:position w:val="-8"/>
          <w:u w:val="single"/>
        </w:rPr>
        <w:t> </w:t>
        <w:tab/>
      </w:r>
      <w:r>
        <w:rPr>
          <w:b/>
          <w:position w:val="-8"/>
          <w:u w:val="single"/>
        </w:rPr>
        <w:t>-</w:t>
        <w:tab/>
      </w:r>
      <w:r>
        <w:rPr>
          <w:position w:val="-8"/>
          <w:u w:val="single"/>
        </w:rPr>
        <w:t>-</w:t>
        <w:tab/>
      </w:r>
    </w:p>
    <w:p>
      <w:pPr>
        <w:pStyle w:val="BodyText"/>
        <w:spacing w:before="6"/>
        <w:rPr>
          <w:sz w:val="22"/>
        </w:rPr>
      </w:pPr>
    </w:p>
    <w:tbl>
      <w:tblPr>
        <w:tblW w:w="0" w:type="auto"/>
        <w:jc w:val="left"/>
        <w:tblInd w:w="14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30"/>
        <w:gridCol w:w="1564"/>
        <w:gridCol w:w="1030"/>
      </w:tblGrid>
      <w:tr>
        <w:trPr>
          <w:trHeight w:val="323" w:hRule="exact"/>
        </w:trPr>
        <w:tc>
          <w:tcPr>
            <w:tcW w:w="7330" w:type="dxa"/>
          </w:tcPr>
          <w:p>
            <w:pPr>
              <w:pStyle w:val="TableParagraph"/>
              <w:spacing w:before="77"/>
              <w:ind w:left="35"/>
              <w:rPr>
                <w:b/>
                <w:sz w:val="18"/>
              </w:rPr>
            </w:pPr>
            <w:r>
              <w:rPr>
                <w:b/>
                <w:sz w:val="18"/>
              </w:rPr>
              <w:t>Net increase / (decrease) in cash  and cash equivalents held</w:t>
            </w:r>
          </w:p>
        </w:tc>
        <w:tc>
          <w:tcPr>
            <w:tcW w:w="1564" w:type="dxa"/>
          </w:tcPr>
          <w:p>
            <w:pPr>
              <w:pStyle w:val="TableParagraph"/>
              <w:spacing w:before="78"/>
              <w:ind w:left="500"/>
              <w:rPr>
                <w:b/>
                <w:sz w:val="18"/>
              </w:rPr>
            </w:pPr>
            <w:r>
              <w:rPr>
                <w:b/>
                <w:sz w:val="18"/>
              </w:rPr>
              <w:t>(202,093)</w:t>
            </w:r>
          </w:p>
        </w:tc>
        <w:tc>
          <w:tcPr>
            <w:tcW w:w="1030" w:type="dxa"/>
          </w:tcPr>
          <w:p>
            <w:pPr>
              <w:pStyle w:val="TableParagraph"/>
              <w:spacing w:before="78"/>
              <w:ind w:right="84"/>
              <w:jc w:val="right"/>
              <w:rPr>
                <w:sz w:val="18"/>
              </w:rPr>
            </w:pPr>
            <w:r>
              <w:rPr>
                <w:w w:val="95"/>
                <w:sz w:val="18"/>
              </w:rPr>
              <w:t>412,687</w:t>
            </w:r>
          </w:p>
        </w:tc>
      </w:tr>
      <w:tr>
        <w:trPr>
          <w:trHeight w:val="263" w:hRule="exact"/>
        </w:trPr>
        <w:tc>
          <w:tcPr>
            <w:tcW w:w="7330" w:type="dxa"/>
          </w:tcPr>
          <w:p>
            <w:pPr>
              <w:pStyle w:val="TableParagraph"/>
              <w:spacing w:before="18"/>
              <w:ind w:left="35"/>
              <w:rPr>
                <w:b/>
                <w:sz w:val="18"/>
              </w:rPr>
            </w:pPr>
            <w:r>
              <w:rPr>
                <w:b/>
                <w:sz w:val="18"/>
              </w:rPr>
              <w:t>Cash and cash equivalents at beginning of year</w:t>
            </w:r>
          </w:p>
        </w:tc>
        <w:tc>
          <w:tcPr>
            <w:tcW w:w="1564" w:type="dxa"/>
            <w:tcBorders>
              <w:bottom w:val="single" w:sz="0" w:space="0" w:color="000000"/>
            </w:tcBorders>
          </w:tcPr>
          <w:p>
            <w:pPr>
              <w:pStyle w:val="TableParagraph"/>
              <w:spacing w:before="19"/>
              <w:ind w:left="410"/>
              <w:rPr>
                <w:b/>
                <w:sz w:val="18"/>
              </w:rPr>
            </w:pPr>
            <w:r>
              <w:rPr>
                <w:b/>
                <w:sz w:val="18"/>
              </w:rPr>
              <w:t>1,109,058</w:t>
            </w:r>
          </w:p>
        </w:tc>
        <w:tc>
          <w:tcPr>
            <w:tcW w:w="1030" w:type="dxa"/>
            <w:tcBorders>
              <w:bottom w:val="single" w:sz="0" w:space="0" w:color="000000"/>
            </w:tcBorders>
          </w:tcPr>
          <w:p>
            <w:pPr>
              <w:pStyle w:val="TableParagraph"/>
              <w:spacing w:before="19"/>
              <w:ind w:right="84"/>
              <w:jc w:val="right"/>
              <w:rPr>
                <w:sz w:val="18"/>
              </w:rPr>
            </w:pPr>
            <w:r>
              <w:rPr>
                <w:w w:val="95"/>
                <w:sz w:val="18"/>
              </w:rPr>
              <w:t>696,371</w:t>
            </w:r>
          </w:p>
        </w:tc>
      </w:tr>
    </w:tbl>
    <w:p>
      <w:pPr>
        <w:pStyle w:val="Heading9"/>
        <w:tabs>
          <w:tab w:pos="7131" w:val="left" w:leader="none"/>
          <w:tab w:pos="8030" w:val="left" w:leader="none"/>
          <w:tab w:pos="9177" w:val="left" w:leader="none"/>
        </w:tabs>
        <w:spacing w:before="39" w:after="2"/>
        <w:ind w:left="175" w:right="19"/>
        <w:rPr>
          <w:b w:val="0"/>
        </w:rPr>
      </w:pPr>
      <w:r>
        <w:rPr/>
        <w:t>Cash and cash equivalents at end of</w:t>
      </w:r>
      <w:r>
        <w:rPr>
          <w:spacing w:val="-1"/>
        </w:rPr>
        <w:t> </w:t>
      </w:r>
      <w:r>
        <w:rPr/>
        <w:t>financial</w:t>
      </w:r>
      <w:r>
        <w:rPr>
          <w:spacing w:val="-1"/>
        </w:rPr>
        <w:t> </w:t>
      </w:r>
      <w:r>
        <w:rPr/>
        <w:t>year</w:t>
        <w:tab/>
      </w:r>
      <w:r>
        <w:rPr>
          <w:b w:val="0"/>
        </w:rPr>
        <w:t>2</w:t>
        <w:tab/>
      </w:r>
      <w:r>
        <w:rPr>
          <w:position w:val="-7"/>
        </w:rPr>
        <w:t>906,965</w:t>
        <w:tab/>
      </w:r>
      <w:r>
        <w:rPr>
          <w:b w:val="0"/>
          <w:position w:val="-7"/>
        </w:rPr>
        <w:t>1,109,058</w:t>
      </w:r>
    </w:p>
    <w:p>
      <w:pPr>
        <w:pStyle w:val="BodyText"/>
        <w:spacing w:line="50" w:lineRule="exact"/>
        <w:ind w:left="7469"/>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spacing w:after="0" w:line="50" w:lineRule="exact"/>
        <w:rPr>
          <w:sz w:val="5"/>
        </w:rPr>
        <w:sectPr>
          <w:pgSz w:w="11910" w:h="16840"/>
          <w:pgMar w:header="1038" w:footer="507" w:top="1720" w:bottom="700" w:left="860" w:right="860"/>
        </w:sectPr>
      </w:pPr>
    </w:p>
    <w:p>
      <w:pPr>
        <w:pStyle w:val="BodyText"/>
        <w:spacing w:before="2"/>
        <w:rPr>
          <w:sz w:val="24"/>
        </w:rPr>
      </w:pPr>
    </w:p>
    <w:p>
      <w:pPr>
        <w:spacing w:before="64"/>
        <w:ind w:left="107" w:right="161" w:firstLine="0"/>
        <w:jc w:val="left"/>
        <w:rPr>
          <w:b/>
          <w:sz w:val="28"/>
        </w:rPr>
      </w:pPr>
      <w:r>
        <w:rPr>
          <w:b/>
          <w:sz w:val="28"/>
        </w:rPr>
        <w:t>Notes to the Financial Statements</w:t>
      </w:r>
    </w:p>
    <w:p>
      <w:pPr>
        <w:spacing w:before="57"/>
        <w:ind w:left="107" w:right="161" w:firstLine="0"/>
        <w:jc w:val="left"/>
        <w:rPr>
          <w:b/>
          <w:sz w:val="22"/>
        </w:rPr>
      </w:pPr>
      <w:r>
        <w:rPr>
          <w:b/>
          <w:sz w:val="22"/>
        </w:rPr>
        <w:t>For the Year Ended 31 December 2017</w:t>
      </w:r>
    </w:p>
    <w:p>
      <w:pPr>
        <w:pStyle w:val="BodyText"/>
        <w:rPr>
          <w:b/>
          <w:sz w:val="22"/>
        </w:rPr>
      </w:pPr>
    </w:p>
    <w:p>
      <w:pPr>
        <w:pStyle w:val="BodyText"/>
        <w:rPr>
          <w:b/>
          <w:sz w:val="22"/>
        </w:rPr>
      </w:pPr>
    </w:p>
    <w:p>
      <w:pPr>
        <w:tabs>
          <w:tab w:pos="503" w:val="left" w:leader="none"/>
        </w:tabs>
        <w:spacing w:before="160"/>
        <w:ind w:left="109" w:right="161" w:firstLine="0"/>
        <w:jc w:val="left"/>
        <w:rPr>
          <w:b/>
          <w:sz w:val="18"/>
        </w:rPr>
      </w:pPr>
      <w:r>
        <w:rPr>
          <w:b/>
          <w:sz w:val="18"/>
        </w:rPr>
        <w:t>1</w:t>
        <w:tab/>
        <w:t>Summary of Significant Accounting</w:t>
      </w:r>
      <w:r>
        <w:rPr>
          <w:b/>
          <w:spacing w:val="-3"/>
          <w:sz w:val="18"/>
        </w:rPr>
        <w:t> </w:t>
      </w:r>
      <w:r>
        <w:rPr>
          <w:b/>
          <w:sz w:val="18"/>
        </w:rPr>
        <w:t>Policies</w:t>
      </w:r>
    </w:p>
    <w:p>
      <w:pPr>
        <w:pStyle w:val="BodyText"/>
        <w:rPr>
          <w:b/>
          <w:sz w:val="25"/>
        </w:rPr>
      </w:pPr>
    </w:p>
    <w:p>
      <w:pPr>
        <w:pStyle w:val="BodyText"/>
        <w:ind w:left="109" w:right="161"/>
      </w:pPr>
      <w:r>
        <w:rPr/>
        <w:t>Western Sydney University Enteprises Pty Limited trading as Western Sydney University The College (the Company) is a registered Company limited by shares and is a not-for-profit controlled entity of Western Sydney University. Prior to 24 May 2017 the Company was known as UWS Enterprises Pty Limited. The Company is incorporated and domiciled in Australia.</w:t>
      </w:r>
    </w:p>
    <w:p>
      <w:pPr>
        <w:pStyle w:val="BodyText"/>
        <w:rPr>
          <w:sz w:val="25"/>
        </w:rPr>
      </w:pPr>
    </w:p>
    <w:p>
      <w:pPr>
        <w:pStyle w:val="BodyText"/>
        <w:ind w:left="109" w:right="265"/>
      </w:pPr>
      <w:r>
        <w:rPr/>
        <w:t>The principal accounting policies adopted in the preparation of these financial statements are set out below. These policies have been consistently applied to all the years reported, unless otherwise stated</w:t>
      </w:r>
    </w:p>
    <w:p>
      <w:pPr>
        <w:pStyle w:val="BodyText"/>
        <w:spacing w:before="11"/>
        <w:rPr>
          <w:sz w:val="24"/>
        </w:rPr>
      </w:pPr>
    </w:p>
    <w:p>
      <w:pPr>
        <w:pStyle w:val="Heading9"/>
        <w:numPr>
          <w:ilvl w:val="0"/>
          <w:numId w:val="45"/>
        </w:numPr>
        <w:tabs>
          <w:tab w:pos="1071" w:val="left" w:leader="none"/>
        </w:tabs>
        <w:spacing w:line="240" w:lineRule="auto" w:before="0" w:after="0"/>
        <w:ind w:left="1070" w:right="0" w:hanging="566"/>
        <w:jc w:val="left"/>
      </w:pPr>
      <w:r>
        <w:rPr/>
        <w:t>Basis of</w:t>
      </w:r>
      <w:r>
        <w:rPr>
          <w:spacing w:val="-1"/>
        </w:rPr>
        <w:t> </w:t>
      </w:r>
      <w:r>
        <w:rPr/>
        <w:t>Preparation</w:t>
      </w:r>
    </w:p>
    <w:p>
      <w:pPr>
        <w:pStyle w:val="BodyText"/>
        <w:rPr>
          <w:b/>
          <w:sz w:val="25"/>
        </w:rPr>
      </w:pPr>
    </w:p>
    <w:p>
      <w:pPr>
        <w:spacing w:before="0"/>
        <w:ind w:left="1070" w:right="94" w:firstLine="0"/>
        <w:jc w:val="left"/>
        <w:rPr>
          <w:sz w:val="18"/>
        </w:rPr>
      </w:pPr>
      <w:r>
        <w:rPr>
          <w:sz w:val="18"/>
        </w:rPr>
        <w:t>The financial statements are general purpose financial statements which have been prepared in accordance with Australian Accounting Standards, Australian Accounting Interpretations, the </w:t>
      </w:r>
      <w:r>
        <w:rPr>
          <w:i/>
          <w:sz w:val="18"/>
        </w:rPr>
        <w:t>Corporations Act 2001</w:t>
      </w:r>
      <w:r>
        <w:rPr>
          <w:sz w:val="18"/>
        </w:rPr>
        <w:t>, the </w:t>
      </w:r>
      <w:r>
        <w:rPr>
          <w:i/>
          <w:sz w:val="18"/>
        </w:rPr>
        <w:t>Public </w:t>
      </w:r>
      <w:r>
        <w:rPr>
          <w:i/>
          <w:sz w:val="18"/>
        </w:rPr>
        <w:t>Finance &amp; Audit Act 1983</w:t>
      </w:r>
      <w:r>
        <w:rPr>
          <w:sz w:val="18"/>
        </w:rPr>
        <w:t>, </w:t>
      </w:r>
      <w:r>
        <w:rPr>
          <w:i/>
          <w:sz w:val="18"/>
        </w:rPr>
        <w:t>Public Finance &amp; Audit Regulation 2015</w:t>
      </w:r>
      <w:r>
        <w:rPr>
          <w:sz w:val="18"/>
        </w:rPr>
        <w:t>, the </w:t>
      </w:r>
      <w:r>
        <w:rPr>
          <w:i/>
          <w:sz w:val="18"/>
        </w:rPr>
        <w:t>Australian Charities and Not-for profits </w:t>
      </w:r>
      <w:r>
        <w:rPr>
          <w:i/>
          <w:sz w:val="18"/>
        </w:rPr>
        <w:t>Commission Act 2012 </w:t>
      </w:r>
      <w:r>
        <w:rPr>
          <w:sz w:val="18"/>
        </w:rPr>
        <w:t>and </w:t>
      </w:r>
      <w:r>
        <w:rPr>
          <w:i/>
          <w:sz w:val="18"/>
        </w:rPr>
        <w:t>Regulation 2013</w:t>
      </w:r>
      <w:r>
        <w:rPr>
          <w:sz w:val="18"/>
        </w:rPr>
        <w:t>.</w:t>
      </w:r>
    </w:p>
    <w:p>
      <w:pPr>
        <w:pStyle w:val="BodyText"/>
        <w:rPr>
          <w:sz w:val="25"/>
        </w:rPr>
      </w:pPr>
    </w:p>
    <w:p>
      <w:pPr>
        <w:pStyle w:val="BodyText"/>
        <w:ind w:left="1070" w:right="555"/>
      </w:pPr>
      <w:r>
        <w:rPr/>
        <w:t>The financial statements and notes of the Company comply with Australian Accounting Standards, some of which contain requirements specific to not-for-profit entities that are inconsistent with IFRS requirements.</w:t>
      </w:r>
    </w:p>
    <w:p>
      <w:pPr>
        <w:pStyle w:val="BodyText"/>
        <w:rPr>
          <w:sz w:val="25"/>
        </w:rPr>
      </w:pPr>
    </w:p>
    <w:p>
      <w:pPr>
        <w:pStyle w:val="BodyText"/>
        <w:ind w:left="1070" w:right="135"/>
      </w:pPr>
      <w:r>
        <w:rPr/>
        <w:t>The financial statements have been prepared on an accruals basis and are based on historical costs, modified, where applicable, by the measurement at fair value of selected non-current assets, financial assets and financial liabilities.</w:t>
      </w:r>
    </w:p>
    <w:p>
      <w:pPr>
        <w:pStyle w:val="BodyText"/>
        <w:rPr>
          <w:sz w:val="25"/>
        </w:rPr>
      </w:pPr>
    </w:p>
    <w:p>
      <w:pPr>
        <w:pStyle w:val="BodyText"/>
        <w:ind w:left="1070" w:right="161"/>
      </w:pPr>
      <w:r>
        <w:rPr/>
        <w:t>The financial statements were authorised for issue by the Directors of the Company on 4 April 2018.</w:t>
      </w:r>
    </w:p>
    <w:p>
      <w:pPr>
        <w:pStyle w:val="BodyText"/>
        <w:spacing w:before="10"/>
        <w:rPr>
          <w:sz w:val="24"/>
        </w:rPr>
      </w:pPr>
    </w:p>
    <w:p>
      <w:pPr>
        <w:pStyle w:val="Heading9"/>
        <w:numPr>
          <w:ilvl w:val="0"/>
          <w:numId w:val="45"/>
        </w:numPr>
        <w:tabs>
          <w:tab w:pos="1071" w:val="left" w:leader="none"/>
        </w:tabs>
        <w:spacing w:line="240" w:lineRule="auto" w:before="1" w:after="0"/>
        <w:ind w:left="1070" w:right="0" w:hanging="566"/>
        <w:jc w:val="left"/>
      </w:pPr>
      <w:r>
        <w:rPr/>
        <w:t>Principles of Consolidation</w:t>
      </w:r>
    </w:p>
    <w:p>
      <w:pPr>
        <w:pStyle w:val="BodyText"/>
        <w:rPr>
          <w:b/>
          <w:sz w:val="25"/>
        </w:rPr>
      </w:pPr>
    </w:p>
    <w:p>
      <w:pPr>
        <w:spacing w:before="0"/>
        <w:ind w:left="1070" w:right="161" w:firstLine="0"/>
        <w:jc w:val="left"/>
        <w:rPr>
          <w:i/>
          <w:sz w:val="18"/>
        </w:rPr>
      </w:pPr>
      <w:r>
        <w:rPr>
          <w:i/>
          <w:sz w:val="18"/>
        </w:rPr>
        <w:t>Joint Arrangements</w:t>
      </w:r>
    </w:p>
    <w:p>
      <w:pPr>
        <w:pStyle w:val="BodyText"/>
        <w:rPr>
          <w:i/>
          <w:sz w:val="25"/>
        </w:rPr>
      </w:pPr>
    </w:p>
    <w:p>
      <w:pPr>
        <w:pStyle w:val="BodyText"/>
        <w:ind w:left="1070" w:right="167"/>
      </w:pPr>
      <w:r>
        <w:rPr/>
        <w:t>The Company determined that the Joint Arrangement with Navitas Ltd for the establishment of the Western Sydney University International College Pty Ltd ("the International College") is a Joint Venture equally controlled by the Company and Navitas Ltd.</w:t>
      </w:r>
    </w:p>
    <w:p>
      <w:pPr>
        <w:pStyle w:val="BodyText"/>
        <w:rPr>
          <w:sz w:val="25"/>
        </w:rPr>
      </w:pPr>
    </w:p>
    <w:p>
      <w:pPr>
        <w:pStyle w:val="BodyText"/>
        <w:ind w:left="1070" w:right="150"/>
      </w:pPr>
      <w:r>
        <w:rPr/>
        <w:t>The Company's interest in the Joint Venture is accounted for in the financial statements using the equity method in accordance with AASB 11 Joint Arrangements.</w:t>
      </w:r>
    </w:p>
    <w:p>
      <w:pPr>
        <w:pStyle w:val="BodyText"/>
        <w:rPr>
          <w:sz w:val="25"/>
        </w:rPr>
      </w:pPr>
    </w:p>
    <w:p>
      <w:pPr>
        <w:pStyle w:val="BodyText"/>
        <w:ind w:left="1070" w:right="705"/>
      </w:pPr>
      <w:r>
        <w:rPr/>
        <w:t>Under the equity method of accounting, the Company recognises its share of the profits and losses in the International College in the statement of comprehensive income.</w:t>
      </w:r>
    </w:p>
    <w:p>
      <w:pPr>
        <w:pStyle w:val="BodyText"/>
        <w:rPr>
          <w:sz w:val="25"/>
        </w:rPr>
      </w:pPr>
    </w:p>
    <w:p>
      <w:pPr>
        <w:pStyle w:val="BodyText"/>
        <w:ind w:left="1070" w:right="225"/>
      </w:pPr>
      <w:r>
        <w:rPr/>
        <w:t>The initial recognition of the investment in joint venture is recognised at cost, which includes the purchase price and any directly attributable expenditures necessary to obtain it.</w:t>
      </w:r>
    </w:p>
    <w:p>
      <w:pPr>
        <w:pStyle w:val="BodyText"/>
        <w:rPr>
          <w:sz w:val="25"/>
        </w:rPr>
      </w:pPr>
    </w:p>
    <w:p>
      <w:pPr>
        <w:pStyle w:val="BodyText"/>
        <w:ind w:left="1070" w:right="691"/>
      </w:pPr>
      <w:r>
        <w:rPr/>
        <w:t>The carrying amount is adjusted to recognise the company's share of the profit or loss of the International College after the date of acquisition.</w:t>
      </w:r>
    </w:p>
    <w:p>
      <w:pPr>
        <w:pStyle w:val="BodyText"/>
        <w:rPr>
          <w:sz w:val="25"/>
        </w:rPr>
      </w:pPr>
    </w:p>
    <w:p>
      <w:pPr>
        <w:pStyle w:val="BodyText"/>
        <w:ind w:left="1070" w:right="184"/>
      </w:pPr>
      <w:r>
        <w:rPr/>
        <w:t>Any shareholder loans, in substance, could form a part of the company's net investment in the joint venture and are taken into account when assessing the amount of any losses recognised by the Company relating to its interest in the International College and distributions received from the International College reduce the carrying amount of the investment.</w:t>
      </w:r>
    </w:p>
    <w:p>
      <w:pPr>
        <w:spacing w:after="0"/>
        <w:sectPr>
          <w:pgSz w:w="11910" w:h="16840"/>
          <w:pgMar w:header="1038" w:footer="507" w:top="1720" w:bottom="700" w:left="900" w:right="860"/>
        </w:sectPr>
      </w:pPr>
    </w:p>
    <w:p>
      <w:pPr>
        <w:pStyle w:val="BodyText"/>
        <w:spacing w:before="2"/>
        <w:rPr>
          <w:sz w:val="24"/>
        </w:rPr>
      </w:pPr>
    </w:p>
    <w:p>
      <w:pPr>
        <w:pStyle w:val="Heading3"/>
      </w:pPr>
      <w:r>
        <w:rPr/>
        <w:t>Notes to the Financial Statements</w:t>
      </w:r>
    </w:p>
    <w:p>
      <w:pPr>
        <w:pStyle w:val="Heading6"/>
        <w:ind w:left="107" w:right="161"/>
      </w:pPr>
      <w:r>
        <w:rPr/>
        <w:t>For the Year Ended 31 December 2017</w:t>
      </w:r>
    </w:p>
    <w:p>
      <w:pPr>
        <w:pStyle w:val="BodyText"/>
        <w:rPr>
          <w:b/>
          <w:sz w:val="22"/>
        </w:rPr>
      </w:pPr>
    </w:p>
    <w:p>
      <w:pPr>
        <w:pStyle w:val="BodyText"/>
        <w:rPr>
          <w:b/>
          <w:sz w:val="22"/>
        </w:rPr>
      </w:pPr>
    </w:p>
    <w:p>
      <w:pPr>
        <w:pStyle w:val="Heading9"/>
        <w:tabs>
          <w:tab w:pos="503" w:val="left" w:leader="none"/>
        </w:tabs>
        <w:spacing w:before="160"/>
        <w:ind w:left="109" w:right="161"/>
      </w:pPr>
      <w:r>
        <w:rPr/>
        <w:t>1</w:t>
        <w:tab/>
        <w:t>Summary of Significant Accounting Policies</w:t>
      </w:r>
      <w:r>
        <w:rPr>
          <w:spacing w:val="-3"/>
        </w:rPr>
        <w:t> </w:t>
      </w:r>
      <w:r>
        <w:rPr/>
        <w:t>continued</w:t>
      </w:r>
    </w:p>
    <w:p>
      <w:pPr>
        <w:pStyle w:val="BodyText"/>
        <w:spacing w:before="11"/>
        <w:rPr>
          <w:b/>
          <w:sz w:val="24"/>
        </w:rPr>
      </w:pPr>
    </w:p>
    <w:p>
      <w:pPr>
        <w:pStyle w:val="ListParagraph"/>
        <w:numPr>
          <w:ilvl w:val="0"/>
          <w:numId w:val="45"/>
        </w:numPr>
        <w:tabs>
          <w:tab w:pos="1071" w:val="left" w:leader="none"/>
        </w:tabs>
        <w:spacing w:line="240" w:lineRule="auto" w:before="0" w:after="0"/>
        <w:ind w:left="1070" w:right="0" w:hanging="566"/>
        <w:jc w:val="left"/>
        <w:rPr>
          <w:b/>
          <w:sz w:val="18"/>
        </w:rPr>
      </w:pPr>
      <w:r>
        <w:rPr>
          <w:b/>
          <w:sz w:val="18"/>
        </w:rPr>
        <w:t>Foreign currency transactions and</w:t>
      </w:r>
      <w:r>
        <w:rPr>
          <w:b/>
          <w:spacing w:val="-2"/>
          <w:sz w:val="18"/>
        </w:rPr>
        <w:t> </w:t>
      </w:r>
      <w:r>
        <w:rPr>
          <w:b/>
          <w:sz w:val="18"/>
        </w:rPr>
        <w:t>balances</w:t>
      </w:r>
    </w:p>
    <w:p>
      <w:pPr>
        <w:pStyle w:val="BodyText"/>
        <w:rPr>
          <w:b/>
          <w:sz w:val="25"/>
        </w:rPr>
      </w:pPr>
    </w:p>
    <w:p>
      <w:pPr>
        <w:pStyle w:val="BodyText"/>
        <w:ind w:left="1070" w:right="305"/>
      </w:pPr>
      <w:r>
        <w:rPr/>
        <w:t>The functional currency of the Company is measured using the currency of the primary economic environment which is Australian dollars. The financial statements are presented in Australian dollars which is the parent entity's functional and presentation currency.</w:t>
      </w:r>
    </w:p>
    <w:p>
      <w:pPr>
        <w:pStyle w:val="BodyText"/>
        <w:spacing w:before="11"/>
        <w:rPr>
          <w:sz w:val="24"/>
        </w:rPr>
      </w:pPr>
    </w:p>
    <w:p>
      <w:pPr>
        <w:pStyle w:val="Heading9"/>
        <w:numPr>
          <w:ilvl w:val="0"/>
          <w:numId w:val="45"/>
        </w:numPr>
        <w:tabs>
          <w:tab w:pos="1071" w:val="left" w:leader="none"/>
        </w:tabs>
        <w:spacing w:line="240" w:lineRule="auto" w:before="0" w:after="0"/>
        <w:ind w:left="1070" w:right="0" w:hanging="566"/>
        <w:jc w:val="left"/>
      </w:pPr>
      <w:r>
        <w:rPr/>
        <w:t>Comparative</w:t>
      </w:r>
      <w:r>
        <w:rPr>
          <w:spacing w:val="-1"/>
        </w:rPr>
        <w:t> </w:t>
      </w:r>
      <w:r>
        <w:rPr/>
        <w:t>Amounts</w:t>
      </w:r>
    </w:p>
    <w:p>
      <w:pPr>
        <w:pStyle w:val="BodyText"/>
        <w:rPr>
          <w:b/>
          <w:sz w:val="25"/>
        </w:rPr>
      </w:pPr>
    </w:p>
    <w:p>
      <w:pPr>
        <w:pStyle w:val="BodyText"/>
        <w:ind w:left="1070" w:right="514"/>
      </w:pPr>
      <w:r>
        <w:rPr/>
        <w:t>When required by Accounting Standards, comparative figures have been adjusted to conform to changes in presentation for the current financial year.</w:t>
      </w:r>
    </w:p>
    <w:p>
      <w:pPr>
        <w:pStyle w:val="BodyText"/>
        <w:spacing w:before="11"/>
        <w:rPr>
          <w:sz w:val="24"/>
        </w:rPr>
      </w:pPr>
    </w:p>
    <w:p>
      <w:pPr>
        <w:pStyle w:val="BodyText"/>
        <w:ind w:left="1070" w:right="161"/>
      </w:pPr>
      <w:r>
        <w:rPr/>
        <w:t>The following items have been adjusted to conform with the current year's presentation.</w:t>
      </w:r>
    </w:p>
    <w:p>
      <w:pPr>
        <w:pStyle w:val="BodyText"/>
        <w:rPr>
          <w:sz w:val="20"/>
        </w:rPr>
      </w:pPr>
    </w:p>
    <w:p>
      <w:pPr>
        <w:pStyle w:val="BodyText"/>
        <w:spacing w:before="1" w:after="1"/>
        <w:rPr>
          <w:sz w:val="19"/>
        </w:rPr>
      </w:pPr>
    </w:p>
    <w:tbl>
      <w:tblPr>
        <w:tblW w:w="0" w:type="auto"/>
        <w:jc w:val="left"/>
        <w:tblInd w:w="106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728"/>
        <w:gridCol w:w="640"/>
        <w:gridCol w:w="1410"/>
        <w:gridCol w:w="1185"/>
      </w:tblGrid>
      <w:tr>
        <w:trPr>
          <w:trHeight w:val="914" w:hRule="exact"/>
        </w:trPr>
        <w:tc>
          <w:tcPr>
            <w:tcW w:w="5728" w:type="dxa"/>
          </w:tcPr>
          <w:p>
            <w:pPr/>
          </w:p>
        </w:tc>
        <w:tc>
          <w:tcPr>
            <w:tcW w:w="640" w:type="dxa"/>
          </w:tcPr>
          <w:p>
            <w:pPr>
              <w:pStyle w:val="TableParagraph"/>
              <w:rPr>
                <w:sz w:val="18"/>
              </w:rPr>
            </w:pPr>
          </w:p>
          <w:p>
            <w:pPr>
              <w:pStyle w:val="TableParagraph"/>
              <w:rPr>
                <w:sz w:val="18"/>
              </w:rPr>
            </w:pPr>
          </w:p>
          <w:p>
            <w:pPr>
              <w:pStyle w:val="TableParagraph"/>
              <w:spacing w:before="3"/>
              <w:rPr>
                <w:sz w:val="18"/>
              </w:rPr>
            </w:pPr>
          </w:p>
          <w:p>
            <w:pPr>
              <w:pStyle w:val="TableParagraph"/>
              <w:ind w:left="120" w:right="58"/>
              <w:jc w:val="center"/>
              <w:rPr>
                <w:b/>
                <w:sz w:val="18"/>
              </w:rPr>
            </w:pPr>
            <w:r>
              <w:rPr>
                <w:b/>
                <w:sz w:val="18"/>
              </w:rPr>
              <w:t>Note</w:t>
            </w:r>
          </w:p>
        </w:tc>
        <w:tc>
          <w:tcPr>
            <w:tcW w:w="1410" w:type="dxa"/>
          </w:tcPr>
          <w:p>
            <w:pPr>
              <w:pStyle w:val="TableParagraph"/>
              <w:spacing w:before="77"/>
              <w:ind w:left="234" w:right="343"/>
              <w:jc w:val="center"/>
              <w:rPr>
                <w:b/>
                <w:sz w:val="18"/>
              </w:rPr>
            </w:pPr>
            <w:r>
              <w:rPr>
                <w:b/>
                <w:sz w:val="18"/>
              </w:rPr>
              <w:t>2016</w:t>
            </w:r>
          </w:p>
          <w:p>
            <w:pPr>
              <w:pStyle w:val="TableParagraph"/>
              <w:spacing w:before="66"/>
              <w:ind w:left="234" w:right="345"/>
              <w:jc w:val="center"/>
              <w:rPr>
                <w:b/>
                <w:sz w:val="18"/>
              </w:rPr>
            </w:pPr>
            <w:r>
              <w:rPr>
                <w:b/>
                <w:sz w:val="18"/>
              </w:rPr>
              <w:t>Reported</w:t>
            </w:r>
          </w:p>
          <w:p>
            <w:pPr>
              <w:pStyle w:val="TableParagraph"/>
              <w:spacing w:before="66"/>
              <w:ind w:right="111"/>
              <w:jc w:val="center"/>
              <w:rPr>
                <w:b/>
                <w:sz w:val="18"/>
              </w:rPr>
            </w:pPr>
            <w:r>
              <w:rPr>
                <w:b/>
                <w:w w:val="99"/>
                <w:sz w:val="18"/>
              </w:rPr>
              <w:t>$</w:t>
            </w:r>
          </w:p>
        </w:tc>
        <w:tc>
          <w:tcPr>
            <w:tcW w:w="1185" w:type="dxa"/>
          </w:tcPr>
          <w:p>
            <w:pPr>
              <w:pStyle w:val="TableParagraph"/>
              <w:spacing w:before="77"/>
              <w:ind w:left="170" w:right="279"/>
              <w:jc w:val="center"/>
              <w:rPr>
                <w:b/>
                <w:sz w:val="18"/>
              </w:rPr>
            </w:pPr>
            <w:r>
              <w:rPr>
                <w:b/>
                <w:sz w:val="18"/>
              </w:rPr>
              <w:t>2016</w:t>
            </w:r>
          </w:p>
          <w:p>
            <w:pPr>
              <w:pStyle w:val="TableParagraph"/>
              <w:spacing w:before="66"/>
              <w:ind w:left="174" w:right="279"/>
              <w:jc w:val="center"/>
              <w:rPr>
                <w:b/>
                <w:sz w:val="18"/>
              </w:rPr>
            </w:pPr>
            <w:r>
              <w:rPr>
                <w:b/>
                <w:sz w:val="18"/>
              </w:rPr>
              <w:t>Revised</w:t>
            </w:r>
          </w:p>
          <w:p>
            <w:pPr>
              <w:pStyle w:val="TableParagraph"/>
              <w:spacing w:before="66"/>
              <w:ind w:right="109"/>
              <w:jc w:val="center"/>
              <w:rPr>
                <w:b/>
                <w:sz w:val="18"/>
              </w:rPr>
            </w:pPr>
            <w:r>
              <w:rPr>
                <w:b/>
                <w:w w:val="99"/>
                <w:sz w:val="18"/>
              </w:rPr>
              <w:t>$</w:t>
            </w:r>
          </w:p>
        </w:tc>
      </w:tr>
      <w:tr>
        <w:trPr>
          <w:trHeight w:val="557" w:hRule="exact"/>
        </w:trPr>
        <w:tc>
          <w:tcPr>
            <w:tcW w:w="5728" w:type="dxa"/>
          </w:tcPr>
          <w:p>
            <w:pPr>
              <w:pStyle w:val="TableParagraph"/>
              <w:spacing w:before="63"/>
              <w:ind w:left="35"/>
              <w:rPr>
                <w:b/>
                <w:sz w:val="18"/>
              </w:rPr>
            </w:pPr>
            <w:r>
              <w:rPr>
                <w:b/>
                <w:sz w:val="18"/>
              </w:rPr>
              <w:t>Statement of Comprehensive Income - Revenue</w:t>
            </w:r>
          </w:p>
          <w:p>
            <w:pPr>
              <w:pStyle w:val="TableParagraph"/>
              <w:spacing w:before="27"/>
              <w:ind w:left="35"/>
              <w:rPr>
                <w:sz w:val="18"/>
              </w:rPr>
            </w:pPr>
            <w:r>
              <w:rPr>
                <w:sz w:val="18"/>
              </w:rPr>
              <w:t>Other revenue</w:t>
            </w:r>
          </w:p>
        </w:tc>
        <w:tc>
          <w:tcPr>
            <w:tcW w:w="640" w:type="dxa"/>
          </w:tcPr>
          <w:p>
            <w:pPr>
              <w:pStyle w:val="TableParagraph"/>
              <w:spacing w:before="9"/>
              <w:rPr>
                <w:sz w:val="25"/>
              </w:rPr>
            </w:pPr>
          </w:p>
          <w:p>
            <w:pPr>
              <w:pStyle w:val="TableParagraph"/>
              <w:spacing w:before="1"/>
              <w:ind w:left="121" w:right="58"/>
              <w:jc w:val="center"/>
              <w:rPr>
                <w:sz w:val="18"/>
              </w:rPr>
            </w:pPr>
            <w:r>
              <w:rPr>
                <w:sz w:val="18"/>
              </w:rPr>
              <w:t>14(b)</w:t>
            </w:r>
          </w:p>
        </w:tc>
        <w:tc>
          <w:tcPr>
            <w:tcW w:w="1410" w:type="dxa"/>
            <w:tcBorders>
              <w:bottom w:val="single" w:sz="0" w:space="0" w:color="000000"/>
            </w:tcBorders>
          </w:tcPr>
          <w:p>
            <w:pPr>
              <w:pStyle w:val="TableParagraph"/>
              <w:spacing w:before="11"/>
              <w:rPr>
                <w:sz w:val="25"/>
              </w:rPr>
            </w:pPr>
          </w:p>
          <w:p>
            <w:pPr>
              <w:pStyle w:val="TableParagraph"/>
              <w:ind w:right="196"/>
              <w:jc w:val="right"/>
              <w:rPr>
                <w:sz w:val="18"/>
              </w:rPr>
            </w:pPr>
            <w:r>
              <w:rPr>
                <w:w w:val="95"/>
                <w:sz w:val="18"/>
              </w:rPr>
              <w:t>329,105</w:t>
            </w:r>
          </w:p>
        </w:tc>
        <w:tc>
          <w:tcPr>
            <w:tcW w:w="1185" w:type="dxa"/>
            <w:tcBorders>
              <w:bottom w:val="single" w:sz="0" w:space="0" w:color="000000"/>
            </w:tcBorders>
          </w:tcPr>
          <w:p>
            <w:pPr>
              <w:pStyle w:val="TableParagraph"/>
              <w:spacing w:before="11"/>
              <w:rPr>
                <w:sz w:val="25"/>
              </w:rPr>
            </w:pPr>
          </w:p>
          <w:p>
            <w:pPr>
              <w:pStyle w:val="TableParagraph"/>
              <w:ind w:left="447"/>
              <w:rPr>
                <w:sz w:val="18"/>
              </w:rPr>
            </w:pPr>
            <w:r>
              <w:rPr>
                <w:sz w:val="18"/>
              </w:rPr>
              <w:t>305,801</w:t>
            </w:r>
          </w:p>
        </w:tc>
      </w:tr>
      <w:tr>
        <w:trPr>
          <w:trHeight w:val="880" w:hRule="exact"/>
        </w:trPr>
        <w:tc>
          <w:tcPr>
            <w:tcW w:w="5728" w:type="dxa"/>
          </w:tcPr>
          <w:p>
            <w:pPr>
              <w:pStyle w:val="TableParagraph"/>
              <w:rPr>
                <w:sz w:val="18"/>
              </w:rPr>
            </w:pPr>
          </w:p>
          <w:p>
            <w:pPr>
              <w:pStyle w:val="TableParagraph"/>
              <w:spacing w:before="9"/>
              <w:rPr>
                <w:sz w:val="16"/>
              </w:rPr>
            </w:pPr>
          </w:p>
          <w:p>
            <w:pPr>
              <w:pStyle w:val="TableParagraph"/>
              <w:ind w:left="35"/>
              <w:rPr>
                <w:b/>
                <w:sz w:val="18"/>
              </w:rPr>
            </w:pPr>
            <w:r>
              <w:rPr>
                <w:b/>
                <w:sz w:val="18"/>
              </w:rPr>
              <w:t>Statement of Comprehensive Income - Expenses</w:t>
            </w:r>
          </w:p>
          <w:p>
            <w:pPr>
              <w:pStyle w:val="TableParagraph"/>
              <w:spacing w:before="27"/>
              <w:ind w:left="35"/>
              <w:rPr>
                <w:sz w:val="18"/>
              </w:rPr>
            </w:pPr>
            <w:r>
              <w:rPr>
                <w:sz w:val="18"/>
              </w:rPr>
              <w:t>Employee related expenses</w:t>
            </w:r>
          </w:p>
        </w:tc>
        <w:tc>
          <w:tcPr>
            <w:tcW w:w="640" w:type="dxa"/>
          </w:tcPr>
          <w:p>
            <w:pPr>
              <w:pStyle w:val="TableParagraph"/>
              <w:rPr>
                <w:sz w:val="18"/>
              </w:rPr>
            </w:pPr>
          </w:p>
          <w:p>
            <w:pPr>
              <w:pStyle w:val="TableParagraph"/>
              <w:rPr>
                <w:sz w:val="18"/>
              </w:rPr>
            </w:pPr>
          </w:p>
          <w:p>
            <w:pPr>
              <w:pStyle w:val="TableParagraph"/>
              <w:spacing w:before="1"/>
              <w:rPr>
                <w:sz w:val="19"/>
              </w:rPr>
            </w:pPr>
          </w:p>
          <w:p>
            <w:pPr>
              <w:pStyle w:val="TableParagraph"/>
              <w:ind w:left="119" w:right="58"/>
              <w:jc w:val="center"/>
              <w:rPr>
                <w:sz w:val="18"/>
              </w:rPr>
            </w:pPr>
            <w:r>
              <w:rPr>
                <w:sz w:val="18"/>
              </w:rPr>
              <w:t>15</w:t>
            </w:r>
          </w:p>
        </w:tc>
        <w:tc>
          <w:tcPr>
            <w:tcW w:w="1410" w:type="dxa"/>
            <w:tcBorders>
              <w:top w:val="single" w:sz="0" w:space="0" w:color="000000"/>
            </w:tcBorders>
          </w:tcPr>
          <w:p>
            <w:pPr>
              <w:pStyle w:val="TableParagraph"/>
              <w:rPr>
                <w:sz w:val="18"/>
              </w:rPr>
            </w:pPr>
          </w:p>
          <w:p>
            <w:pPr>
              <w:pStyle w:val="TableParagraph"/>
              <w:rPr>
                <w:sz w:val="18"/>
              </w:rPr>
            </w:pPr>
          </w:p>
          <w:p>
            <w:pPr>
              <w:pStyle w:val="TableParagraph"/>
              <w:spacing w:before="2"/>
              <w:rPr>
                <w:sz w:val="19"/>
              </w:rPr>
            </w:pPr>
          </w:p>
          <w:p>
            <w:pPr>
              <w:pStyle w:val="TableParagraph"/>
              <w:ind w:right="136"/>
              <w:jc w:val="right"/>
              <w:rPr>
                <w:sz w:val="18"/>
              </w:rPr>
            </w:pPr>
            <w:r>
              <w:rPr>
                <w:w w:val="95"/>
                <w:sz w:val="18"/>
              </w:rPr>
              <w:t>(31,835,140)</w:t>
            </w:r>
          </w:p>
        </w:tc>
        <w:tc>
          <w:tcPr>
            <w:tcW w:w="1185" w:type="dxa"/>
            <w:tcBorders>
              <w:top w:val="single" w:sz="0" w:space="0" w:color="000000"/>
            </w:tcBorders>
          </w:tcPr>
          <w:p>
            <w:pPr>
              <w:pStyle w:val="TableParagraph"/>
              <w:rPr>
                <w:sz w:val="18"/>
              </w:rPr>
            </w:pPr>
          </w:p>
          <w:p>
            <w:pPr>
              <w:pStyle w:val="TableParagraph"/>
              <w:rPr>
                <w:sz w:val="18"/>
              </w:rPr>
            </w:pPr>
          </w:p>
          <w:p>
            <w:pPr>
              <w:pStyle w:val="TableParagraph"/>
              <w:spacing w:before="2"/>
              <w:rPr>
                <w:sz w:val="19"/>
              </w:rPr>
            </w:pPr>
          </w:p>
          <w:p>
            <w:pPr>
              <w:pStyle w:val="TableParagraph"/>
              <w:ind w:right="24"/>
              <w:jc w:val="right"/>
              <w:rPr>
                <w:sz w:val="18"/>
              </w:rPr>
            </w:pPr>
            <w:r>
              <w:rPr>
                <w:w w:val="95"/>
                <w:sz w:val="18"/>
              </w:rPr>
              <w:t>(31,811,836)</w:t>
            </w:r>
          </w:p>
        </w:tc>
      </w:tr>
      <w:tr>
        <w:trPr>
          <w:trHeight w:val="264" w:hRule="exact"/>
        </w:trPr>
        <w:tc>
          <w:tcPr>
            <w:tcW w:w="5728" w:type="dxa"/>
          </w:tcPr>
          <w:p>
            <w:pPr>
              <w:pStyle w:val="TableParagraph"/>
              <w:spacing w:before="18"/>
              <w:ind w:left="35"/>
              <w:rPr>
                <w:sz w:val="18"/>
              </w:rPr>
            </w:pPr>
            <w:r>
              <w:rPr>
                <w:sz w:val="18"/>
              </w:rPr>
              <w:t>Student expenses</w:t>
            </w:r>
          </w:p>
        </w:tc>
        <w:tc>
          <w:tcPr>
            <w:tcW w:w="640" w:type="dxa"/>
          </w:tcPr>
          <w:p>
            <w:pPr/>
          </w:p>
        </w:tc>
        <w:tc>
          <w:tcPr>
            <w:tcW w:w="1410" w:type="dxa"/>
          </w:tcPr>
          <w:p>
            <w:pPr>
              <w:pStyle w:val="TableParagraph"/>
              <w:spacing w:before="19"/>
              <w:ind w:right="136"/>
              <w:jc w:val="right"/>
              <w:rPr>
                <w:sz w:val="18"/>
              </w:rPr>
            </w:pPr>
            <w:r>
              <w:rPr>
                <w:w w:val="95"/>
                <w:sz w:val="18"/>
              </w:rPr>
              <w:t>(491,411)</w:t>
            </w:r>
          </w:p>
        </w:tc>
        <w:tc>
          <w:tcPr>
            <w:tcW w:w="1185" w:type="dxa"/>
          </w:tcPr>
          <w:p>
            <w:pPr>
              <w:pStyle w:val="TableParagraph"/>
              <w:spacing w:before="19"/>
              <w:ind w:right="24"/>
              <w:jc w:val="right"/>
              <w:rPr>
                <w:sz w:val="18"/>
              </w:rPr>
            </w:pPr>
            <w:r>
              <w:rPr>
                <w:w w:val="95"/>
                <w:sz w:val="18"/>
              </w:rPr>
              <w:t>(329,246)</w:t>
            </w:r>
          </w:p>
        </w:tc>
      </w:tr>
      <w:tr>
        <w:trPr>
          <w:trHeight w:val="263" w:hRule="exact"/>
        </w:trPr>
        <w:tc>
          <w:tcPr>
            <w:tcW w:w="5728" w:type="dxa"/>
          </w:tcPr>
          <w:p>
            <w:pPr>
              <w:pStyle w:val="TableParagraph"/>
              <w:spacing w:before="18"/>
              <w:ind w:left="35"/>
              <w:rPr>
                <w:sz w:val="18"/>
              </w:rPr>
            </w:pPr>
            <w:r>
              <w:rPr>
                <w:sz w:val="18"/>
              </w:rPr>
              <w:t>Fees for service</w:t>
            </w:r>
          </w:p>
        </w:tc>
        <w:tc>
          <w:tcPr>
            <w:tcW w:w="640" w:type="dxa"/>
          </w:tcPr>
          <w:p>
            <w:pPr>
              <w:pStyle w:val="TableParagraph"/>
              <w:spacing w:before="18"/>
              <w:ind w:left="120" w:right="58"/>
              <w:jc w:val="center"/>
              <w:rPr>
                <w:sz w:val="18"/>
              </w:rPr>
            </w:pPr>
            <w:r>
              <w:rPr>
                <w:sz w:val="18"/>
              </w:rPr>
              <w:t>15</w:t>
            </w:r>
          </w:p>
        </w:tc>
        <w:tc>
          <w:tcPr>
            <w:tcW w:w="1410" w:type="dxa"/>
            <w:tcBorders>
              <w:bottom w:val="single" w:sz="0" w:space="0" w:color="000000"/>
            </w:tcBorders>
          </w:tcPr>
          <w:p>
            <w:pPr>
              <w:pStyle w:val="TableParagraph"/>
              <w:spacing w:before="19"/>
              <w:ind w:right="136"/>
              <w:jc w:val="right"/>
              <w:rPr>
                <w:sz w:val="18"/>
              </w:rPr>
            </w:pPr>
            <w:r>
              <w:rPr>
                <w:w w:val="95"/>
                <w:sz w:val="18"/>
              </w:rPr>
              <w:t>(3,696,121)</w:t>
            </w:r>
          </w:p>
        </w:tc>
        <w:tc>
          <w:tcPr>
            <w:tcW w:w="1185" w:type="dxa"/>
            <w:tcBorders>
              <w:bottom w:val="single" w:sz="0" w:space="0" w:color="000000"/>
            </w:tcBorders>
          </w:tcPr>
          <w:p>
            <w:pPr>
              <w:pStyle w:val="TableParagraph"/>
              <w:spacing w:before="19"/>
              <w:ind w:right="24"/>
              <w:jc w:val="right"/>
              <w:rPr>
                <w:sz w:val="18"/>
              </w:rPr>
            </w:pPr>
            <w:r>
              <w:rPr>
                <w:w w:val="95"/>
                <w:sz w:val="18"/>
              </w:rPr>
              <w:t>(3,858,286)</w:t>
            </w:r>
          </w:p>
        </w:tc>
      </w:tr>
      <w:tr>
        <w:trPr>
          <w:trHeight w:val="353" w:hRule="exact"/>
        </w:trPr>
        <w:tc>
          <w:tcPr>
            <w:tcW w:w="5728" w:type="dxa"/>
          </w:tcPr>
          <w:p>
            <w:pPr/>
          </w:p>
        </w:tc>
        <w:tc>
          <w:tcPr>
            <w:tcW w:w="640" w:type="dxa"/>
          </w:tcPr>
          <w:p>
            <w:pPr>
              <w:pStyle w:val="TableParagraph"/>
              <w:spacing w:before="38"/>
              <w:ind w:left="120" w:right="58"/>
              <w:jc w:val="center"/>
              <w:rPr>
                <w:sz w:val="18"/>
              </w:rPr>
            </w:pPr>
            <w:r>
              <w:rPr>
                <w:sz w:val="18"/>
              </w:rPr>
              <w:t>15</w:t>
            </w:r>
          </w:p>
        </w:tc>
        <w:tc>
          <w:tcPr>
            <w:tcW w:w="1410" w:type="dxa"/>
            <w:tcBorders>
              <w:top w:val="single" w:sz="0" w:space="0" w:color="000000"/>
              <w:bottom w:val="single" w:sz="0" w:space="0" w:color="000000"/>
            </w:tcBorders>
          </w:tcPr>
          <w:p>
            <w:pPr>
              <w:pStyle w:val="TableParagraph"/>
              <w:spacing w:before="122"/>
              <w:ind w:right="136"/>
              <w:jc w:val="right"/>
              <w:rPr>
                <w:sz w:val="18"/>
              </w:rPr>
            </w:pPr>
            <w:r>
              <w:rPr>
                <w:sz w:val="18"/>
              </w:rPr>
              <w:t>(36,022,672)</w:t>
            </w:r>
          </w:p>
        </w:tc>
        <w:tc>
          <w:tcPr>
            <w:tcW w:w="1185" w:type="dxa"/>
            <w:tcBorders>
              <w:top w:val="single" w:sz="0" w:space="0" w:color="000000"/>
              <w:bottom w:val="single" w:sz="0" w:space="0" w:color="000000"/>
            </w:tcBorders>
          </w:tcPr>
          <w:p>
            <w:pPr>
              <w:pStyle w:val="TableParagraph"/>
              <w:spacing w:before="122"/>
              <w:ind w:right="23"/>
              <w:jc w:val="right"/>
              <w:rPr>
                <w:sz w:val="18"/>
              </w:rPr>
            </w:pPr>
            <w:r>
              <w:rPr>
                <w:sz w:val="18"/>
              </w:rPr>
              <w:t>(35,999,368)</w:t>
            </w:r>
          </w:p>
        </w:tc>
      </w:tr>
      <w:tr>
        <w:trPr>
          <w:trHeight w:val="880" w:hRule="exact"/>
        </w:trPr>
        <w:tc>
          <w:tcPr>
            <w:tcW w:w="5728" w:type="dxa"/>
          </w:tcPr>
          <w:p>
            <w:pPr>
              <w:pStyle w:val="TableParagraph"/>
              <w:rPr>
                <w:sz w:val="18"/>
              </w:rPr>
            </w:pPr>
          </w:p>
          <w:p>
            <w:pPr>
              <w:pStyle w:val="TableParagraph"/>
              <w:spacing w:before="9"/>
              <w:rPr>
                <w:sz w:val="16"/>
              </w:rPr>
            </w:pPr>
          </w:p>
          <w:p>
            <w:pPr>
              <w:pStyle w:val="TableParagraph"/>
              <w:ind w:left="35"/>
              <w:rPr>
                <w:b/>
                <w:sz w:val="18"/>
              </w:rPr>
            </w:pPr>
            <w:r>
              <w:rPr>
                <w:b/>
                <w:sz w:val="18"/>
              </w:rPr>
              <w:t>Statement of Cash Flows - Cash Flows From Operating Activities</w:t>
            </w:r>
          </w:p>
          <w:p>
            <w:pPr>
              <w:pStyle w:val="TableParagraph"/>
              <w:spacing w:before="27"/>
              <w:ind w:left="35"/>
              <w:rPr>
                <w:sz w:val="18"/>
              </w:rPr>
            </w:pPr>
            <w:r>
              <w:rPr>
                <w:sz w:val="18"/>
              </w:rPr>
              <w:t>Payments to suppliers and employees</w:t>
            </w:r>
          </w:p>
        </w:tc>
        <w:tc>
          <w:tcPr>
            <w:tcW w:w="640" w:type="dxa"/>
          </w:tcPr>
          <w:p>
            <w:pPr/>
          </w:p>
        </w:tc>
        <w:tc>
          <w:tcPr>
            <w:tcW w:w="1410" w:type="dxa"/>
            <w:tcBorders>
              <w:top w:val="single" w:sz="0" w:space="0" w:color="000000"/>
            </w:tcBorders>
          </w:tcPr>
          <w:p>
            <w:pPr>
              <w:pStyle w:val="TableParagraph"/>
              <w:rPr>
                <w:sz w:val="18"/>
              </w:rPr>
            </w:pPr>
          </w:p>
          <w:p>
            <w:pPr>
              <w:pStyle w:val="TableParagraph"/>
              <w:rPr>
                <w:sz w:val="18"/>
              </w:rPr>
            </w:pPr>
          </w:p>
          <w:p>
            <w:pPr>
              <w:pStyle w:val="TableParagraph"/>
              <w:spacing w:before="2"/>
              <w:rPr>
                <w:sz w:val="19"/>
              </w:rPr>
            </w:pPr>
          </w:p>
          <w:p>
            <w:pPr>
              <w:pStyle w:val="TableParagraph"/>
              <w:ind w:right="136"/>
              <w:jc w:val="right"/>
              <w:rPr>
                <w:sz w:val="18"/>
              </w:rPr>
            </w:pPr>
            <w:r>
              <w:rPr>
                <w:w w:val="95"/>
                <w:sz w:val="18"/>
              </w:rPr>
              <w:t>(58,698,091)</w:t>
            </w:r>
          </w:p>
        </w:tc>
        <w:tc>
          <w:tcPr>
            <w:tcW w:w="1185" w:type="dxa"/>
            <w:tcBorders>
              <w:top w:val="single" w:sz="0" w:space="0" w:color="000000"/>
            </w:tcBorders>
          </w:tcPr>
          <w:p>
            <w:pPr>
              <w:pStyle w:val="TableParagraph"/>
              <w:rPr>
                <w:sz w:val="18"/>
              </w:rPr>
            </w:pPr>
          </w:p>
          <w:p>
            <w:pPr>
              <w:pStyle w:val="TableParagraph"/>
              <w:rPr>
                <w:sz w:val="18"/>
              </w:rPr>
            </w:pPr>
          </w:p>
          <w:p>
            <w:pPr>
              <w:pStyle w:val="TableParagraph"/>
              <w:spacing w:before="2"/>
              <w:rPr>
                <w:sz w:val="19"/>
              </w:rPr>
            </w:pPr>
          </w:p>
          <w:p>
            <w:pPr>
              <w:pStyle w:val="TableParagraph"/>
              <w:ind w:right="23"/>
              <w:jc w:val="right"/>
              <w:rPr>
                <w:sz w:val="18"/>
              </w:rPr>
            </w:pPr>
            <w:r>
              <w:rPr>
                <w:w w:val="95"/>
                <w:sz w:val="18"/>
              </w:rPr>
              <w:t>(58,674,787)</w:t>
            </w:r>
          </w:p>
        </w:tc>
      </w:tr>
      <w:tr>
        <w:trPr>
          <w:trHeight w:val="263" w:hRule="exact"/>
        </w:trPr>
        <w:tc>
          <w:tcPr>
            <w:tcW w:w="5728" w:type="dxa"/>
          </w:tcPr>
          <w:p>
            <w:pPr>
              <w:pStyle w:val="TableParagraph"/>
              <w:spacing w:before="18"/>
              <w:ind w:left="35"/>
              <w:rPr>
                <w:sz w:val="18"/>
              </w:rPr>
            </w:pPr>
            <w:r>
              <w:rPr>
                <w:sz w:val="18"/>
              </w:rPr>
              <w:t>Other receipts / payments</w:t>
            </w:r>
          </w:p>
        </w:tc>
        <w:tc>
          <w:tcPr>
            <w:tcW w:w="640" w:type="dxa"/>
          </w:tcPr>
          <w:p>
            <w:pPr/>
          </w:p>
        </w:tc>
        <w:tc>
          <w:tcPr>
            <w:tcW w:w="1410" w:type="dxa"/>
            <w:tcBorders>
              <w:bottom w:val="single" w:sz="0" w:space="0" w:color="000000"/>
            </w:tcBorders>
          </w:tcPr>
          <w:p>
            <w:pPr>
              <w:pStyle w:val="TableParagraph"/>
              <w:spacing w:before="19"/>
              <w:ind w:right="196"/>
              <w:jc w:val="right"/>
              <w:rPr>
                <w:sz w:val="18"/>
              </w:rPr>
            </w:pPr>
            <w:r>
              <w:rPr>
                <w:w w:val="95"/>
                <w:sz w:val="18"/>
              </w:rPr>
              <w:t>329,105</w:t>
            </w:r>
          </w:p>
        </w:tc>
        <w:tc>
          <w:tcPr>
            <w:tcW w:w="1185" w:type="dxa"/>
            <w:tcBorders>
              <w:bottom w:val="single" w:sz="0" w:space="0" w:color="000000"/>
            </w:tcBorders>
          </w:tcPr>
          <w:p>
            <w:pPr>
              <w:pStyle w:val="TableParagraph"/>
              <w:spacing w:before="19"/>
              <w:ind w:left="447"/>
              <w:rPr>
                <w:sz w:val="18"/>
              </w:rPr>
            </w:pPr>
            <w:r>
              <w:rPr>
                <w:sz w:val="18"/>
              </w:rPr>
              <w:t>305,801</w:t>
            </w:r>
          </w:p>
        </w:tc>
      </w:tr>
      <w:tr>
        <w:trPr>
          <w:trHeight w:val="353" w:hRule="exact"/>
        </w:trPr>
        <w:tc>
          <w:tcPr>
            <w:tcW w:w="5728" w:type="dxa"/>
          </w:tcPr>
          <w:p>
            <w:pPr/>
          </w:p>
        </w:tc>
        <w:tc>
          <w:tcPr>
            <w:tcW w:w="640" w:type="dxa"/>
          </w:tcPr>
          <w:p>
            <w:pPr/>
          </w:p>
        </w:tc>
        <w:tc>
          <w:tcPr>
            <w:tcW w:w="1410" w:type="dxa"/>
            <w:tcBorders>
              <w:top w:val="single" w:sz="0" w:space="0" w:color="000000"/>
              <w:bottom w:val="single" w:sz="0" w:space="0" w:color="000000"/>
            </w:tcBorders>
          </w:tcPr>
          <w:p>
            <w:pPr>
              <w:pStyle w:val="TableParagraph"/>
              <w:spacing w:before="122"/>
              <w:ind w:right="136"/>
              <w:jc w:val="right"/>
              <w:rPr>
                <w:sz w:val="18"/>
              </w:rPr>
            </w:pPr>
            <w:r>
              <w:rPr>
                <w:sz w:val="18"/>
              </w:rPr>
              <w:t>(58,368,986)</w:t>
            </w:r>
          </w:p>
        </w:tc>
        <w:tc>
          <w:tcPr>
            <w:tcW w:w="1185" w:type="dxa"/>
            <w:tcBorders>
              <w:top w:val="single" w:sz="0" w:space="0" w:color="000000"/>
              <w:bottom w:val="single" w:sz="0" w:space="0" w:color="000000"/>
            </w:tcBorders>
          </w:tcPr>
          <w:p>
            <w:pPr>
              <w:pStyle w:val="TableParagraph"/>
              <w:spacing w:before="122"/>
              <w:ind w:right="23"/>
              <w:jc w:val="right"/>
              <w:rPr>
                <w:sz w:val="18"/>
              </w:rPr>
            </w:pPr>
            <w:r>
              <w:rPr>
                <w:sz w:val="18"/>
              </w:rPr>
              <w:t>(58,368,986)</w:t>
            </w:r>
          </w:p>
        </w:tc>
      </w:tr>
      <w:tr>
        <w:trPr>
          <w:trHeight w:val="894" w:hRule="exact"/>
        </w:trPr>
        <w:tc>
          <w:tcPr>
            <w:tcW w:w="5728" w:type="dxa"/>
          </w:tcPr>
          <w:p>
            <w:pPr>
              <w:pStyle w:val="TableParagraph"/>
              <w:rPr>
                <w:sz w:val="18"/>
              </w:rPr>
            </w:pPr>
          </w:p>
          <w:p>
            <w:pPr>
              <w:pStyle w:val="TableParagraph"/>
              <w:spacing w:before="9"/>
              <w:rPr>
                <w:sz w:val="16"/>
              </w:rPr>
            </w:pPr>
          </w:p>
          <w:p>
            <w:pPr>
              <w:pStyle w:val="TableParagraph"/>
              <w:ind w:left="35"/>
              <w:rPr>
                <w:b/>
                <w:sz w:val="18"/>
              </w:rPr>
            </w:pPr>
            <w:r>
              <w:rPr>
                <w:b/>
                <w:sz w:val="18"/>
              </w:rPr>
              <w:t>Note 13 - Financial Risk Management</w:t>
            </w:r>
          </w:p>
          <w:p>
            <w:pPr>
              <w:pStyle w:val="TableParagraph"/>
              <w:spacing w:before="27"/>
              <w:ind w:left="35"/>
              <w:rPr>
                <w:sz w:val="18"/>
              </w:rPr>
            </w:pPr>
            <w:r>
              <w:rPr>
                <w:sz w:val="18"/>
              </w:rPr>
              <w:t>Loans to join venture</w:t>
            </w:r>
          </w:p>
        </w:tc>
        <w:tc>
          <w:tcPr>
            <w:tcW w:w="640" w:type="dxa"/>
          </w:tcPr>
          <w:p>
            <w:pPr>
              <w:pStyle w:val="TableParagraph"/>
              <w:rPr>
                <w:sz w:val="18"/>
              </w:rPr>
            </w:pPr>
          </w:p>
          <w:p>
            <w:pPr>
              <w:pStyle w:val="TableParagraph"/>
              <w:rPr>
                <w:sz w:val="18"/>
              </w:rPr>
            </w:pPr>
          </w:p>
          <w:p>
            <w:pPr>
              <w:pStyle w:val="TableParagraph"/>
              <w:spacing w:before="1"/>
              <w:rPr>
                <w:sz w:val="19"/>
              </w:rPr>
            </w:pPr>
          </w:p>
          <w:p>
            <w:pPr>
              <w:pStyle w:val="TableParagraph"/>
              <w:ind w:left="120" w:right="58"/>
              <w:jc w:val="center"/>
              <w:rPr>
                <w:sz w:val="18"/>
              </w:rPr>
            </w:pPr>
            <w:r>
              <w:rPr>
                <w:sz w:val="18"/>
              </w:rPr>
              <w:t>13</w:t>
            </w:r>
          </w:p>
        </w:tc>
        <w:tc>
          <w:tcPr>
            <w:tcW w:w="1410" w:type="dxa"/>
            <w:tcBorders>
              <w:top w:val="single" w:sz="0" w:space="0" w:color="000000"/>
              <w:bottom w:val="single" w:sz="0" w:space="0" w:color="000000"/>
            </w:tcBorders>
          </w:tcPr>
          <w:p>
            <w:pPr>
              <w:pStyle w:val="TableParagraph"/>
              <w:rPr>
                <w:sz w:val="18"/>
              </w:rPr>
            </w:pPr>
          </w:p>
          <w:p>
            <w:pPr>
              <w:pStyle w:val="TableParagraph"/>
              <w:rPr>
                <w:sz w:val="18"/>
              </w:rPr>
            </w:pPr>
          </w:p>
          <w:p>
            <w:pPr>
              <w:pStyle w:val="TableParagraph"/>
              <w:spacing w:before="2"/>
              <w:rPr>
                <w:sz w:val="19"/>
              </w:rPr>
            </w:pPr>
          </w:p>
          <w:p>
            <w:pPr>
              <w:pStyle w:val="TableParagraph"/>
              <w:ind w:right="196"/>
              <w:jc w:val="right"/>
              <w:rPr>
                <w:sz w:val="18"/>
              </w:rPr>
            </w:pPr>
            <w:r>
              <w:rPr>
                <w:w w:val="95"/>
                <w:sz w:val="18"/>
              </w:rPr>
              <w:t>247,890</w:t>
            </w:r>
          </w:p>
        </w:tc>
        <w:tc>
          <w:tcPr>
            <w:tcW w:w="1185" w:type="dxa"/>
            <w:tcBorders>
              <w:top w:val="single" w:sz="0" w:space="0" w:color="000000"/>
              <w:bottom w:val="single" w:sz="0" w:space="0" w:color="000000"/>
            </w:tcBorders>
          </w:tcPr>
          <w:p>
            <w:pPr>
              <w:pStyle w:val="TableParagraph"/>
              <w:rPr>
                <w:sz w:val="18"/>
              </w:rPr>
            </w:pPr>
          </w:p>
          <w:p>
            <w:pPr>
              <w:pStyle w:val="TableParagraph"/>
              <w:rPr>
                <w:sz w:val="18"/>
              </w:rPr>
            </w:pPr>
          </w:p>
          <w:p>
            <w:pPr>
              <w:pStyle w:val="TableParagraph"/>
              <w:spacing w:before="2"/>
              <w:rPr>
                <w:sz w:val="19"/>
              </w:rPr>
            </w:pPr>
          </w:p>
          <w:p>
            <w:pPr>
              <w:pStyle w:val="TableParagraph"/>
              <w:ind w:left="297"/>
              <w:rPr>
                <w:sz w:val="18"/>
              </w:rPr>
            </w:pPr>
            <w:r>
              <w:rPr>
                <w:sz w:val="18"/>
              </w:rPr>
              <w:t>1,300,000</w:t>
            </w:r>
          </w:p>
        </w:tc>
      </w:tr>
      <w:tr>
        <w:trPr>
          <w:trHeight w:val="880" w:hRule="exact"/>
        </w:trPr>
        <w:tc>
          <w:tcPr>
            <w:tcW w:w="5728" w:type="dxa"/>
          </w:tcPr>
          <w:p>
            <w:pPr>
              <w:pStyle w:val="TableParagraph"/>
              <w:rPr>
                <w:sz w:val="18"/>
              </w:rPr>
            </w:pPr>
          </w:p>
          <w:p>
            <w:pPr>
              <w:pStyle w:val="TableParagraph"/>
              <w:spacing w:before="9"/>
              <w:rPr>
                <w:sz w:val="16"/>
              </w:rPr>
            </w:pPr>
          </w:p>
          <w:p>
            <w:pPr>
              <w:pStyle w:val="TableParagraph"/>
              <w:ind w:left="35"/>
              <w:rPr>
                <w:b/>
                <w:sz w:val="18"/>
              </w:rPr>
            </w:pPr>
            <w:r>
              <w:rPr>
                <w:b/>
                <w:sz w:val="18"/>
              </w:rPr>
              <w:t>Note 14 (b) - Other revenue</w:t>
            </w:r>
          </w:p>
          <w:p>
            <w:pPr>
              <w:pStyle w:val="TableParagraph"/>
              <w:spacing w:before="27"/>
              <w:ind w:left="35"/>
              <w:rPr>
                <w:sz w:val="18"/>
              </w:rPr>
            </w:pPr>
            <w:r>
              <w:rPr>
                <w:sz w:val="18"/>
              </w:rPr>
              <w:t>Salary recoveries</w:t>
            </w:r>
          </w:p>
        </w:tc>
        <w:tc>
          <w:tcPr>
            <w:tcW w:w="640" w:type="dxa"/>
          </w:tcPr>
          <w:p>
            <w:pPr/>
          </w:p>
        </w:tc>
        <w:tc>
          <w:tcPr>
            <w:tcW w:w="1410" w:type="dxa"/>
            <w:tcBorders>
              <w:top w:val="single" w:sz="0" w:space="0" w:color="000000"/>
            </w:tcBorders>
          </w:tcPr>
          <w:p>
            <w:pPr>
              <w:pStyle w:val="TableParagraph"/>
              <w:rPr>
                <w:sz w:val="18"/>
              </w:rPr>
            </w:pPr>
          </w:p>
          <w:p>
            <w:pPr>
              <w:pStyle w:val="TableParagraph"/>
              <w:rPr>
                <w:sz w:val="18"/>
              </w:rPr>
            </w:pPr>
          </w:p>
          <w:p>
            <w:pPr>
              <w:pStyle w:val="TableParagraph"/>
              <w:spacing w:before="2"/>
              <w:rPr>
                <w:sz w:val="19"/>
              </w:rPr>
            </w:pPr>
          </w:p>
          <w:p>
            <w:pPr>
              <w:pStyle w:val="TableParagraph"/>
              <w:ind w:right="197"/>
              <w:jc w:val="right"/>
              <w:rPr>
                <w:sz w:val="18"/>
              </w:rPr>
            </w:pPr>
            <w:r>
              <w:rPr>
                <w:w w:val="95"/>
                <w:sz w:val="18"/>
              </w:rPr>
              <w:t>23,304</w:t>
            </w:r>
          </w:p>
        </w:tc>
        <w:tc>
          <w:tcPr>
            <w:tcW w:w="1185" w:type="dxa"/>
            <w:tcBorders>
              <w:top w:val="single" w:sz="0" w:space="0" w:color="000000"/>
            </w:tcBorders>
          </w:tcPr>
          <w:p>
            <w:pPr>
              <w:pStyle w:val="TableParagraph"/>
              <w:rPr>
                <w:sz w:val="18"/>
              </w:rPr>
            </w:pPr>
          </w:p>
          <w:p>
            <w:pPr>
              <w:pStyle w:val="TableParagraph"/>
              <w:rPr>
                <w:sz w:val="18"/>
              </w:rPr>
            </w:pPr>
          </w:p>
          <w:p>
            <w:pPr>
              <w:pStyle w:val="TableParagraph"/>
              <w:spacing w:before="2"/>
              <w:rPr>
                <w:sz w:val="19"/>
              </w:rPr>
            </w:pPr>
          </w:p>
          <w:p>
            <w:pPr>
              <w:pStyle w:val="TableParagraph"/>
              <w:ind w:right="111"/>
              <w:jc w:val="center"/>
              <w:rPr>
                <w:sz w:val="18"/>
              </w:rPr>
            </w:pPr>
            <w:r>
              <w:rPr>
                <w:w w:val="99"/>
                <w:sz w:val="18"/>
              </w:rPr>
              <w:t>-</w:t>
            </w:r>
          </w:p>
        </w:tc>
      </w:tr>
      <w:tr>
        <w:trPr>
          <w:trHeight w:val="264" w:hRule="exact"/>
        </w:trPr>
        <w:tc>
          <w:tcPr>
            <w:tcW w:w="5728" w:type="dxa"/>
          </w:tcPr>
          <w:p>
            <w:pPr>
              <w:pStyle w:val="TableParagraph"/>
              <w:spacing w:before="18"/>
              <w:ind w:left="35"/>
              <w:rPr>
                <w:sz w:val="18"/>
              </w:rPr>
            </w:pPr>
            <w:r>
              <w:rPr>
                <w:sz w:val="18"/>
              </w:rPr>
              <w:t>Service fee from joint venture</w:t>
            </w:r>
          </w:p>
        </w:tc>
        <w:tc>
          <w:tcPr>
            <w:tcW w:w="640" w:type="dxa"/>
          </w:tcPr>
          <w:p>
            <w:pPr/>
          </w:p>
        </w:tc>
        <w:tc>
          <w:tcPr>
            <w:tcW w:w="1410" w:type="dxa"/>
          </w:tcPr>
          <w:p>
            <w:pPr>
              <w:pStyle w:val="TableParagraph"/>
              <w:spacing w:before="19"/>
              <w:ind w:right="111"/>
              <w:jc w:val="center"/>
              <w:rPr>
                <w:sz w:val="18"/>
              </w:rPr>
            </w:pPr>
            <w:r>
              <w:rPr>
                <w:w w:val="99"/>
                <w:sz w:val="18"/>
              </w:rPr>
              <w:t>-</w:t>
            </w:r>
          </w:p>
        </w:tc>
        <w:tc>
          <w:tcPr>
            <w:tcW w:w="1185" w:type="dxa"/>
          </w:tcPr>
          <w:p>
            <w:pPr>
              <w:pStyle w:val="TableParagraph"/>
              <w:spacing w:before="19"/>
              <w:ind w:left="447"/>
              <w:rPr>
                <w:sz w:val="18"/>
              </w:rPr>
            </w:pPr>
            <w:r>
              <w:rPr>
                <w:sz w:val="18"/>
              </w:rPr>
              <w:t>217,274</w:t>
            </w:r>
          </w:p>
        </w:tc>
      </w:tr>
      <w:tr>
        <w:trPr>
          <w:trHeight w:val="263" w:hRule="exact"/>
        </w:trPr>
        <w:tc>
          <w:tcPr>
            <w:tcW w:w="5728" w:type="dxa"/>
          </w:tcPr>
          <w:p>
            <w:pPr>
              <w:pStyle w:val="TableParagraph"/>
              <w:spacing w:before="18"/>
              <w:ind w:left="35"/>
              <w:rPr>
                <w:sz w:val="18"/>
              </w:rPr>
            </w:pPr>
            <w:r>
              <w:rPr>
                <w:sz w:val="18"/>
              </w:rPr>
              <w:t>Other income</w:t>
            </w:r>
          </w:p>
        </w:tc>
        <w:tc>
          <w:tcPr>
            <w:tcW w:w="640" w:type="dxa"/>
          </w:tcPr>
          <w:p>
            <w:pPr/>
          </w:p>
        </w:tc>
        <w:tc>
          <w:tcPr>
            <w:tcW w:w="1410" w:type="dxa"/>
            <w:tcBorders>
              <w:bottom w:val="single" w:sz="0" w:space="0" w:color="000000"/>
            </w:tcBorders>
          </w:tcPr>
          <w:p>
            <w:pPr>
              <w:pStyle w:val="TableParagraph"/>
              <w:spacing w:before="19"/>
              <w:ind w:right="196"/>
              <w:jc w:val="right"/>
              <w:rPr>
                <w:sz w:val="18"/>
              </w:rPr>
            </w:pPr>
            <w:r>
              <w:rPr>
                <w:w w:val="95"/>
                <w:sz w:val="18"/>
              </w:rPr>
              <w:t>305,801</w:t>
            </w:r>
          </w:p>
        </w:tc>
        <w:tc>
          <w:tcPr>
            <w:tcW w:w="1185" w:type="dxa"/>
            <w:tcBorders>
              <w:bottom w:val="single" w:sz="0" w:space="0" w:color="000000"/>
            </w:tcBorders>
          </w:tcPr>
          <w:p>
            <w:pPr>
              <w:pStyle w:val="TableParagraph"/>
              <w:spacing w:before="19"/>
              <w:ind w:right="84"/>
              <w:jc w:val="right"/>
              <w:rPr>
                <w:sz w:val="18"/>
              </w:rPr>
            </w:pPr>
            <w:r>
              <w:rPr>
                <w:w w:val="95"/>
                <w:sz w:val="18"/>
              </w:rPr>
              <w:t>88,527</w:t>
            </w:r>
          </w:p>
        </w:tc>
      </w:tr>
      <w:tr>
        <w:trPr>
          <w:trHeight w:val="353" w:hRule="exact"/>
        </w:trPr>
        <w:tc>
          <w:tcPr>
            <w:tcW w:w="5728" w:type="dxa"/>
          </w:tcPr>
          <w:p>
            <w:pPr/>
          </w:p>
        </w:tc>
        <w:tc>
          <w:tcPr>
            <w:tcW w:w="640" w:type="dxa"/>
          </w:tcPr>
          <w:p>
            <w:pPr/>
          </w:p>
        </w:tc>
        <w:tc>
          <w:tcPr>
            <w:tcW w:w="1410" w:type="dxa"/>
            <w:tcBorders>
              <w:top w:val="single" w:sz="0" w:space="0" w:color="000000"/>
              <w:bottom w:val="single" w:sz="0" w:space="0" w:color="000000"/>
            </w:tcBorders>
          </w:tcPr>
          <w:p>
            <w:pPr>
              <w:pStyle w:val="TableParagraph"/>
              <w:spacing w:before="122"/>
              <w:ind w:right="196"/>
              <w:jc w:val="right"/>
              <w:rPr>
                <w:sz w:val="18"/>
              </w:rPr>
            </w:pPr>
            <w:r>
              <w:rPr>
                <w:w w:val="95"/>
                <w:sz w:val="18"/>
              </w:rPr>
              <w:t>329,105</w:t>
            </w:r>
          </w:p>
        </w:tc>
        <w:tc>
          <w:tcPr>
            <w:tcW w:w="1185" w:type="dxa"/>
            <w:tcBorders>
              <w:top w:val="single" w:sz="0" w:space="0" w:color="000000"/>
              <w:bottom w:val="single" w:sz="0" w:space="0" w:color="000000"/>
            </w:tcBorders>
          </w:tcPr>
          <w:p>
            <w:pPr>
              <w:pStyle w:val="TableParagraph"/>
              <w:spacing w:before="122"/>
              <w:ind w:left="447"/>
              <w:rPr>
                <w:sz w:val="18"/>
              </w:rPr>
            </w:pPr>
            <w:r>
              <w:rPr>
                <w:sz w:val="18"/>
              </w:rPr>
              <w:t>305,801</w:t>
            </w:r>
          </w:p>
        </w:tc>
      </w:tr>
    </w:tbl>
    <w:p>
      <w:pPr>
        <w:spacing w:after="0"/>
        <w:rPr>
          <w:sz w:val="18"/>
        </w:rPr>
        <w:sectPr>
          <w:pgSz w:w="11910" w:h="16840"/>
          <w:pgMar w:header="1038" w:footer="507" w:top="1720" w:bottom="700" w:left="900" w:right="860"/>
        </w:sectPr>
      </w:pPr>
    </w:p>
    <w:p>
      <w:pPr>
        <w:pStyle w:val="BodyText"/>
        <w:spacing w:before="2"/>
        <w:rPr>
          <w:sz w:val="24"/>
        </w:rPr>
      </w:pPr>
    </w:p>
    <w:p>
      <w:pPr>
        <w:pStyle w:val="Heading3"/>
      </w:pPr>
      <w:r>
        <w:rPr/>
        <w:t>Notes to the Financial Statements</w:t>
      </w:r>
    </w:p>
    <w:p>
      <w:pPr>
        <w:pStyle w:val="Heading6"/>
        <w:ind w:left="107" w:right="161"/>
      </w:pPr>
      <w:r>
        <w:rPr/>
        <w:t>For the Year Ended 31 December 2017</w:t>
      </w:r>
    </w:p>
    <w:p>
      <w:pPr>
        <w:pStyle w:val="BodyText"/>
        <w:rPr>
          <w:b/>
          <w:sz w:val="22"/>
        </w:rPr>
      </w:pPr>
    </w:p>
    <w:p>
      <w:pPr>
        <w:pStyle w:val="BodyText"/>
        <w:rPr>
          <w:b/>
          <w:sz w:val="22"/>
        </w:rPr>
      </w:pPr>
    </w:p>
    <w:p>
      <w:pPr>
        <w:pStyle w:val="Heading9"/>
        <w:tabs>
          <w:tab w:pos="503" w:val="left" w:leader="none"/>
        </w:tabs>
        <w:spacing w:before="160"/>
        <w:ind w:left="109" w:right="161"/>
      </w:pPr>
      <w:r>
        <w:rPr/>
        <w:t>1</w:t>
        <w:tab/>
        <w:t>Summary of Significant Accounting Policies</w:t>
      </w:r>
      <w:r>
        <w:rPr>
          <w:spacing w:val="-3"/>
        </w:rPr>
        <w:t> </w:t>
      </w:r>
      <w:r>
        <w:rPr/>
        <w:t>continued</w:t>
      </w:r>
    </w:p>
    <w:p>
      <w:pPr>
        <w:pStyle w:val="BodyText"/>
        <w:spacing w:before="3"/>
        <w:rPr>
          <w:b/>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3"/>
        <w:gridCol w:w="4520"/>
        <w:gridCol w:w="2010"/>
        <w:gridCol w:w="1408"/>
        <w:gridCol w:w="1187"/>
      </w:tblGrid>
      <w:tr>
        <w:trPr>
          <w:trHeight w:val="567" w:hRule="exact"/>
        </w:trPr>
        <w:tc>
          <w:tcPr>
            <w:tcW w:w="433" w:type="dxa"/>
          </w:tcPr>
          <w:p>
            <w:pPr>
              <w:pStyle w:val="TableParagraph"/>
              <w:spacing w:before="77"/>
              <w:ind w:left="35"/>
              <w:rPr>
                <w:b/>
                <w:sz w:val="18"/>
              </w:rPr>
            </w:pPr>
            <w:r>
              <w:rPr>
                <w:b/>
                <w:sz w:val="18"/>
              </w:rPr>
              <w:t>(d)</w:t>
            </w:r>
          </w:p>
        </w:tc>
        <w:tc>
          <w:tcPr>
            <w:tcW w:w="4520" w:type="dxa"/>
          </w:tcPr>
          <w:p>
            <w:pPr>
              <w:pStyle w:val="TableParagraph"/>
              <w:spacing w:before="77"/>
              <w:ind w:left="168"/>
              <w:rPr>
                <w:b/>
                <w:sz w:val="18"/>
              </w:rPr>
            </w:pPr>
            <w:r>
              <w:rPr>
                <w:b/>
                <w:sz w:val="18"/>
              </w:rPr>
              <w:t>Comparative Amounts continued</w:t>
            </w:r>
          </w:p>
        </w:tc>
        <w:tc>
          <w:tcPr>
            <w:tcW w:w="2010" w:type="dxa"/>
          </w:tcPr>
          <w:p>
            <w:pPr/>
          </w:p>
        </w:tc>
        <w:tc>
          <w:tcPr>
            <w:tcW w:w="1408" w:type="dxa"/>
          </w:tcPr>
          <w:p>
            <w:pPr>
              <w:pStyle w:val="TableParagraph"/>
              <w:rPr>
                <w:b/>
                <w:sz w:val="18"/>
              </w:rPr>
            </w:pPr>
          </w:p>
          <w:p>
            <w:pPr>
              <w:pStyle w:val="TableParagraph"/>
              <w:spacing w:before="110"/>
              <w:ind w:left="448"/>
              <w:rPr>
                <w:b/>
                <w:sz w:val="18"/>
              </w:rPr>
            </w:pPr>
            <w:r>
              <w:rPr>
                <w:b/>
                <w:sz w:val="18"/>
              </w:rPr>
              <w:t>2016</w:t>
            </w:r>
          </w:p>
        </w:tc>
        <w:tc>
          <w:tcPr>
            <w:tcW w:w="1187" w:type="dxa"/>
          </w:tcPr>
          <w:p>
            <w:pPr>
              <w:pStyle w:val="TableParagraph"/>
              <w:rPr>
                <w:b/>
                <w:sz w:val="18"/>
              </w:rPr>
            </w:pPr>
          </w:p>
          <w:p>
            <w:pPr>
              <w:pStyle w:val="TableParagraph"/>
              <w:spacing w:before="110"/>
              <w:ind w:left="338"/>
              <w:rPr>
                <w:b/>
                <w:sz w:val="18"/>
              </w:rPr>
            </w:pPr>
            <w:r>
              <w:rPr>
                <w:b/>
                <w:sz w:val="18"/>
              </w:rPr>
              <w:t>2016</w:t>
            </w:r>
          </w:p>
        </w:tc>
      </w:tr>
      <w:tr>
        <w:trPr>
          <w:trHeight w:val="274" w:hRule="exact"/>
        </w:trPr>
        <w:tc>
          <w:tcPr>
            <w:tcW w:w="433" w:type="dxa"/>
          </w:tcPr>
          <w:p>
            <w:pPr/>
          </w:p>
        </w:tc>
        <w:tc>
          <w:tcPr>
            <w:tcW w:w="4520" w:type="dxa"/>
          </w:tcPr>
          <w:p>
            <w:pPr/>
          </w:p>
        </w:tc>
        <w:tc>
          <w:tcPr>
            <w:tcW w:w="2010" w:type="dxa"/>
          </w:tcPr>
          <w:p>
            <w:pPr/>
          </w:p>
        </w:tc>
        <w:tc>
          <w:tcPr>
            <w:tcW w:w="1408" w:type="dxa"/>
          </w:tcPr>
          <w:p>
            <w:pPr>
              <w:pStyle w:val="TableParagraph"/>
              <w:spacing w:before="24"/>
              <w:ind w:left="253"/>
              <w:rPr>
                <w:b/>
                <w:sz w:val="18"/>
              </w:rPr>
            </w:pPr>
            <w:r>
              <w:rPr>
                <w:b/>
                <w:sz w:val="18"/>
              </w:rPr>
              <w:t>Reported</w:t>
            </w:r>
          </w:p>
        </w:tc>
        <w:tc>
          <w:tcPr>
            <w:tcW w:w="1187" w:type="dxa"/>
          </w:tcPr>
          <w:p>
            <w:pPr>
              <w:pStyle w:val="TableParagraph"/>
              <w:spacing w:before="24"/>
              <w:ind w:left="195"/>
              <w:rPr>
                <w:b/>
                <w:sz w:val="18"/>
              </w:rPr>
            </w:pPr>
            <w:r>
              <w:rPr>
                <w:b/>
                <w:sz w:val="18"/>
              </w:rPr>
              <w:t>Revised</w:t>
            </w:r>
          </w:p>
        </w:tc>
      </w:tr>
      <w:tr>
        <w:trPr>
          <w:trHeight w:val="313" w:hRule="exact"/>
        </w:trPr>
        <w:tc>
          <w:tcPr>
            <w:tcW w:w="433" w:type="dxa"/>
          </w:tcPr>
          <w:p>
            <w:pPr/>
          </w:p>
        </w:tc>
        <w:tc>
          <w:tcPr>
            <w:tcW w:w="4520" w:type="dxa"/>
          </w:tcPr>
          <w:p>
            <w:pPr/>
          </w:p>
        </w:tc>
        <w:tc>
          <w:tcPr>
            <w:tcW w:w="2010" w:type="dxa"/>
          </w:tcPr>
          <w:p>
            <w:pPr>
              <w:pStyle w:val="TableParagraph"/>
              <w:spacing w:before="24"/>
              <w:ind w:right="86"/>
              <w:jc w:val="right"/>
              <w:rPr>
                <w:b/>
                <w:sz w:val="18"/>
              </w:rPr>
            </w:pPr>
            <w:r>
              <w:rPr>
                <w:b/>
                <w:w w:val="95"/>
                <w:sz w:val="18"/>
              </w:rPr>
              <w:t>Note</w:t>
            </w:r>
          </w:p>
        </w:tc>
        <w:tc>
          <w:tcPr>
            <w:tcW w:w="1408" w:type="dxa"/>
          </w:tcPr>
          <w:p>
            <w:pPr>
              <w:pStyle w:val="TableParagraph"/>
              <w:spacing w:before="24"/>
              <w:ind w:right="107"/>
              <w:jc w:val="center"/>
              <w:rPr>
                <w:b/>
                <w:sz w:val="18"/>
              </w:rPr>
            </w:pPr>
            <w:r>
              <w:rPr>
                <w:b/>
                <w:w w:val="99"/>
                <w:sz w:val="18"/>
              </w:rPr>
              <w:t>$</w:t>
            </w:r>
          </w:p>
        </w:tc>
        <w:tc>
          <w:tcPr>
            <w:tcW w:w="1187" w:type="dxa"/>
          </w:tcPr>
          <w:p>
            <w:pPr>
              <w:pStyle w:val="TableParagraph"/>
              <w:spacing w:before="24"/>
              <w:ind w:right="107"/>
              <w:jc w:val="center"/>
              <w:rPr>
                <w:b/>
                <w:sz w:val="18"/>
              </w:rPr>
            </w:pPr>
            <w:r>
              <w:rPr>
                <w:b/>
                <w:w w:val="99"/>
                <w:sz w:val="18"/>
              </w:rPr>
              <w:t>$</w:t>
            </w:r>
          </w:p>
        </w:tc>
      </w:tr>
      <w:tr>
        <w:trPr>
          <w:trHeight w:val="543" w:hRule="exact"/>
        </w:trPr>
        <w:tc>
          <w:tcPr>
            <w:tcW w:w="433" w:type="dxa"/>
          </w:tcPr>
          <w:p>
            <w:pPr/>
          </w:p>
        </w:tc>
        <w:tc>
          <w:tcPr>
            <w:tcW w:w="4520" w:type="dxa"/>
          </w:tcPr>
          <w:p>
            <w:pPr>
              <w:pStyle w:val="TableParagraph"/>
              <w:spacing w:before="63"/>
              <w:ind w:left="197"/>
              <w:rPr>
                <w:b/>
                <w:sz w:val="18"/>
              </w:rPr>
            </w:pPr>
            <w:r>
              <w:rPr>
                <w:b/>
                <w:sz w:val="18"/>
              </w:rPr>
              <w:t>Note 15 - Expenses</w:t>
            </w:r>
          </w:p>
          <w:p>
            <w:pPr>
              <w:pStyle w:val="TableParagraph"/>
              <w:spacing w:before="27"/>
              <w:ind w:left="197"/>
              <w:rPr>
                <w:sz w:val="18"/>
              </w:rPr>
            </w:pPr>
            <w:r>
              <w:rPr>
                <w:sz w:val="18"/>
              </w:rPr>
              <w:t>Salaries and wages</w:t>
            </w:r>
          </w:p>
        </w:tc>
        <w:tc>
          <w:tcPr>
            <w:tcW w:w="2010" w:type="dxa"/>
          </w:tcPr>
          <w:p>
            <w:pPr>
              <w:pStyle w:val="TableParagraph"/>
              <w:spacing w:before="9"/>
              <w:rPr>
                <w:b/>
                <w:sz w:val="25"/>
              </w:rPr>
            </w:pPr>
          </w:p>
          <w:p>
            <w:pPr>
              <w:pStyle w:val="TableParagraph"/>
              <w:spacing w:before="1"/>
              <w:ind w:right="186"/>
              <w:jc w:val="right"/>
              <w:rPr>
                <w:sz w:val="18"/>
              </w:rPr>
            </w:pPr>
            <w:r>
              <w:rPr>
                <w:w w:val="95"/>
                <w:sz w:val="18"/>
              </w:rPr>
              <w:t>15</w:t>
            </w:r>
          </w:p>
        </w:tc>
        <w:tc>
          <w:tcPr>
            <w:tcW w:w="1408" w:type="dxa"/>
          </w:tcPr>
          <w:p>
            <w:pPr>
              <w:pStyle w:val="TableParagraph"/>
              <w:spacing w:before="11"/>
              <w:rPr>
                <w:b/>
                <w:sz w:val="25"/>
              </w:rPr>
            </w:pPr>
          </w:p>
          <w:p>
            <w:pPr>
              <w:pStyle w:val="TableParagraph"/>
              <w:ind w:right="193"/>
              <w:jc w:val="right"/>
              <w:rPr>
                <w:sz w:val="18"/>
              </w:rPr>
            </w:pPr>
            <w:r>
              <w:rPr>
                <w:w w:val="95"/>
                <w:sz w:val="18"/>
              </w:rPr>
              <w:t>25,416,923</w:t>
            </w:r>
          </w:p>
        </w:tc>
        <w:tc>
          <w:tcPr>
            <w:tcW w:w="1187" w:type="dxa"/>
          </w:tcPr>
          <w:p>
            <w:pPr>
              <w:pStyle w:val="TableParagraph"/>
              <w:spacing w:before="11"/>
              <w:rPr>
                <w:b/>
                <w:sz w:val="25"/>
              </w:rPr>
            </w:pPr>
          </w:p>
          <w:p>
            <w:pPr>
              <w:pStyle w:val="TableParagraph"/>
              <w:ind w:left="200"/>
              <w:rPr>
                <w:sz w:val="18"/>
              </w:rPr>
            </w:pPr>
            <w:r>
              <w:rPr>
                <w:sz w:val="18"/>
              </w:rPr>
              <w:t>25,393,619</w:t>
            </w:r>
          </w:p>
        </w:tc>
      </w:tr>
      <w:tr>
        <w:trPr>
          <w:trHeight w:val="264" w:hRule="exact"/>
        </w:trPr>
        <w:tc>
          <w:tcPr>
            <w:tcW w:w="433" w:type="dxa"/>
          </w:tcPr>
          <w:p>
            <w:pPr/>
          </w:p>
        </w:tc>
        <w:tc>
          <w:tcPr>
            <w:tcW w:w="4520" w:type="dxa"/>
          </w:tcPr>
          <w:p>
            <w:pPr>
              <w:pStyle w:val="TableParagraph"/>
              <w:spacing w:before="18"/>
              <w:ind w:left="197"/>
              <w:rPr>
                <w:sz w:val="18"/>
              </w:rPr>
            </w:pPr>
            <w:r>
              <w:rPr>
                <w:sz w:val="18"/>
              </w:rPr>
              <w:t>Study tours</w:t>
            </w:r>
          </w:p>
        </w:tc>
        <w:tc>
          <w:tcPr>
            <w:tcW w:w="2010" w:type="dxa"/>
          </w:tcPr>
          <w:p>
            <w:pPr>
              <w:pStyle w:val="TableParagraph"/>
              <w:spacing w:before="18"/>
              <w:ind w:right="186"/>
              <w:jc w:val="right"/>
              <w:rPr>
                <w:sz w:val="18"/>
              </w:rPr>
            </w:pPr>
            <w:r>
              <w:rPr>
                <w:w w:val="95"/>
                <w:sz w:val="18"/>
              </w:rPr>
              <w:t>15</w:t>
            </w:r>
          </w:p>
        </w:tc>
        <w:tc>
          <w:tcPr>
            <w:tcW w:w="1408" w:type="dxa"/>
          </w:tcPr>
          <w:p>
            <w:pPr>
              <w:pStyle w:val="TableParagraph"/>
              <w:spacing w:before="19"/>
              <w:ind w:right="194"/>
              <w:jc w:val="right"/>
              <w:rPr>
                <w:sz w:val="18"/>
              </w:rPr>
            </w:pPr>
            <w:r>
              <w:rPr>
                <w:w w:val="95"/>
                <w:sz w:val="18"/>
              </w:rPr>
              <w:t>65,957</w:t>
            </w:r>
          </w:p>
        </w:tc>
        <w:tc>
          <w:tcPr>
            <w:tcW w:w="1187" w:type="dxa"/>
          </w:tcPr>
          <w:p>
            <w:pPr>
              <w:pStyle w:val="TableParagraph"/>
              <w:spacing w:before="19"/>
              <w:ind w:right="84"/>
              <w:jc w:val="right"/>
              <w:rPr>
                <w:sz w:val="18"/>
              </w:rPr>
            </w:pPr>
            <w:r>
              <w:rPr>
                <w:w w:val="95"/>
                <w:sz w:val="18"/>
              </w:rPr>
              <w:t>228,122</w:t>
            </w:r>
          </w:p>
        </w:tc>
      </w:tr>
      <w:tr>
        <w:trPr>
          <w:trHeight w:val="264" w:hRule="exact"/>
        </w:trPr>
        <w:tc>
          <w:tcPr>
            <w:tcW w:w="433" w:type="dxa"/>
          </w:tcPr>
          <w:p>
            <w:pPr/>
          </w:p>
        </w:tc>
        <w:tc>
          <w:tcPr>
            <w:tcW w:w="4520" w:type="dxa"/>
          </w:tcPr>
          <w:p>
            <w:pPr>
              <w:pStyle w:val="TableParagraph"/>
              <w:spacing w:before="18"/>
              <w:ind w:left="197"/>
              <w:rPr>
                <w:sz w:val="18"/>
              </w:rPr>
            </w:pPr>
            <w:r>
              <w:rPr>
                <w:sz w:val="18"/>
              </w:rPr>
              <w:t>Testing fees</w:t>
            </w:r>
          </w:p>
        </w:tc>
        <w:tc>
          <w:tcPr>
            <w:tcW w:w="2010" w:type="dxa"/>
          </w:tcPr>
          <w:p>
            <w:pPr>
              <w:pStyle w:val="TableParagraph"/>
              <w:spacing w:before="18"/>
              <w:ind w:right="186"/>
              <w:jc w:val="right"/>
              <w:rPr>
                <w:sz w:val="18"/>
              </w:rPr>
            </w:pPr>
            <w:r>
              <w:rPr>
                <w:w w:val="95"/>
                <w:sz w:val="18"/>
              </w:rPr>
              <w:t>15</w:t>
            </w:r>
          </w:p>
        </w:tc>
        <w:tc>
          <w:tcPr>
            <w:tcW w:w="1408" w:type="dxa"/>
          </w:tcPr>
          <w:p>
            <w:pPr>
              <w:pStyle w:val="TableParagraph"/>
              <w:spacing w:before="19"/>
              <w:ind w:right="109"/>
              <w:jc w:val="center"/>
              <w:rPr>
                <w:sz w:val="18"/>
              </w:rPr>
            </w:pPr>
            <w:r>
              <w:rPr>
                <w:w w:val="99"/>
                <w:sz w:val="18"/>
              </w:rPr>
              <w:t>-</w:t>
            </w:r>
          </w:p>
        </w:tc>
        <w:tc>
          <w:tcPr>
            <w:tcW w:w="1187" w:type="dxa"/>
          </w:tcPr>
          <w:p>
            <w:pPr>
              <w:pStyle w:val="TableParagraph"/>
              <w:spacing w:before="19"/>
              <w:ind w:right="84"/>
              <w:jc w:val="right"/>
              <w:rPr>
                <w:sz w:val="18"/>
              </w:rPr>
            </w:pPr>
            <w:r>
              <w:rPr>
                <w:w w:val="95"/>
                <w:sz w:val="18"/>
              </w:rPr>
              <w:t>1,752,305</w:t>
            </w:r>
          </w:p>
        </w:tc>
      </w:tr>
      <w:tr>
        <w:trPr>
          <w:trHeight w:val="263" w:hRule="exact"/>
        </w:trPr>
        <w:tc>
          <w:tcPr>
            <w:tcW w:w="433" w:type="dxa"/>
          </w:tcPr>
          <w:p>
            <w:pPr/>
          </w:p>
        </w:tc>
        <w:tc>
          <w:tcPr>
            <w:tcW w:w="4520" w:type="dxa"/>
          </w:tcPr>
          <w:p>
            <w:pPr>
              <w:pStyle w:val="TableParagraph"/>
              <w:spacing w:before="18"/>
              <w:ind w:left="197"/>
              <w:rPr>
                <w:sz w:val="18"/>
              </w:rPr>
            </w:pPr>
            <w:r>
              <w:rPr>
                <w:sz w:val="18"/>
              </w:rPr>
              <w:t>Other</w:t>
            </w:r>
          </w:p>
        </w:tc>
        <w:tc>
          <w:tcPr>
            <w:tcW w:w="2010" w:type="dxa"/>
          </w:tcPr>
          <w:p>
            <w:pPr>
              <w:pStyle w:val="TableParagraph"/>
              <w:spacing w:before="18"/>
              <w:ind w:right="186"/>
              <w:jc w:val="right"/>
              <w:rPr>
                <w:sz w:val="18"/>
              </w:rPr>
            </w:pPr>
            <w:r>
              <w:rPr>
                <w:w w:val="95"/>
                <w:sz w:val="18"/>
              </w:rPr>
              <w:t>15</w:t>
            </w:r>
          </w:p>
        </w:tc>
        <w:tc>
          <w:tcPr>
            <w:tcW w:w="1408" w:type="dxa"/>
            <w:tcBorders>
              <w:bottom w:val="single" w:sz="0" w:space="0" w:color="000000"/>
            </w:tcBorders>
          </w:tcPr>
          <w:p>
            <w:pPr>
              <w:pStyle w:val="TableParagraph"/>
              <w:spacing w:before="19"/>
              <w:ind w:right="194"/>
              <w:jc w:val="right"/>
              <w:rPr>
                <w:sz w:val="18"/>
              </w:rPr>
            </w:pPr>
            <w:r>
              <w:rPr>
                <w:w w:val="95"/>
                <w:sz w:val="18"/>
              </w:rPr>
              <w:t>1,979,693</w:t>
            </w:r>
          </w:p>
        </w:tc>
        <w:tc>
          <w:tcPr>
            <w:tcW w:w="1187" w:type="dxa"/>
            <w:tcBorders>
              <w:bottom w:val="single" w:sz="0" w:space="0" w:color="000000"/>
            </w:tcBorders>
          </w:tcPr>
          <w:p>
            <w:pPr>
              <w:pStyle w:val="TableParagraph"/>
              <w:spacing w:before="19"/>
              <w:ind w:right="84"/>
              <w:jc w:val="right"/>
              <w:rPr>
                <w:sz w:val="18"/>
              </w:rPr>
            </w:pPr>
            <w:r>
              <w:rPr>
                <w:w w:val="95"/>
                <w:sz w:val="18"/>
              </w:rPr>
              <w:t>227,389</w:t>
            </w:r>
          </w:p>
        </w:tc>
      </w:tr>
    </w:tbl>
    <w:p>
      <w:pPr>
        <w:pStyle w:val="BodyText"/>
        <w:tabs>
          <w:tab w:pos="699" w:val="left" w:leader="none"/>
          <w:tab w:pos="1996" w:val="left" w:leader="none"/>
        </w:tabs>
        <w:spacing w:before="33"/>
        <w:ind w:right="202"/>
        <w:jc w:val="right"/>
      </w:pPr>
      <w:r>
        <w:rPr>
          <w:position w:val="9"/>
        </w:rPr>
        <w:t>15</w:t>
        <w:tab/>
      </w:r>
      <w:r>
        <w:rPr/>
        <w:t>27,462,573</w:t>
        <w:tab/>
      </w:r>
      <w:r>
        <w:rPr>
          <w:w w:val="95"/>
        </w:rPr>
        <w:t>27,601,435</w:t>
      </w:r>
    </w:p>
    <w:p>
      <w:pPr>
        <w:pStyle w:val="BodyText"/>
        <w:spacing w:line="50" w:lineRule="exact"/>
        <w:ind w:left="7430"/>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spacing w:before="8"/>
        <w:rPr>
          <w:sz w:val="25"/>
        </w:rPr>
      </w:pPr>
    </w:p>
    <w:tbl>
      <w:tblPr>
        <w:tblW w:w="0" w:type="auto"/>
        <w:jc w:val="left"/>
        <w:tblInd w:w="106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67"/>
        <w:gridCol w:w="2594"/>
      </w:tblGrid>
      <w:tr>
        <w:trPr>
          <w:trHeight w:val="557" w:hRule="exact"/>
        </w:trPr>
        <w:tc>
          <w:tcPr>
            <w:tcW w:w="6367" w:type="dxa"/>
          </w:tcPr>
          <w:p>
            <w:pPr>
              <w:pStyle w:val="TableParagraph"/>
              <w:spacing w:before="77"/>
              <w:ind w:left="35" w:right="859"/>
              <w:rPr>
                <w:b/>
                <w:sz w:val="18"/>
              </w:rPr>
            </w:pPr>
            <w:r>
              <w:rPr>
                <w:b/>
                <w:sz w:val="18"/>
              </w:rPr>
              <w:t>Note 20(b) - Related party transactions</w:t>
            </w:r>
          </w:p>
          <w:p>
            <w:pPr>
              <w:pStyle w:val="TableParagraph"/>
              <w:spacing w:before="27"/>
              <w:ind w:left="35" w:right="859"/>
              <w:rPr>
                <w:sz w:val="18"/>
              </w:rPr>
            </w:pPr>
            <w:r>
              <w:rPr>
                <w:sz w:val="18"/>
              </w:rPr>
              <w:t>Payment of management fee to joint venture</w:t>
            </w:r>
          </w:p>
        </w:tc>
        <w:tc>
          <w:tcPr>
            <w:tcW w:w="2594" w:type="dxa"/>
          </w:tcPr>
          <w:p>
            <w:pPr>
              <w:pStyle w:val="TableParagraph"/>
              <w:rPr>
                <w:sz w:val="18"/>
              </w:rPr>
            </w:pPr>
          </w:p>
          <w:p>
            <w:pPr>
              <w:pStyle w:val="TableParagraph"/>
              <w:tabs>
                <w:tab w:pos="1089" w:val="left" w:leader="none"/>
              </w:tabs>
              <w:spacing w:before="105"/>
              <w:ind w:right="84"/>
              <w:jc w:val="right"/>
              <w:rPr>
                <w:sz w:val="18"/>
              </w:rPr>
            </w:pPr>
            <w:r>
              <w:rPr>
                <w:sz w:val="18"/>
              </w:rPr>
              <w:t>-</w:t>
              <w:tab/>
            </w:r>
            <w:r>
              <w:rPr>
                <w:w w:val="95"/>
                <w:sz w:val="18"/>
              </w:rPr>
              <w:t>2,172,737</w:t>
            </w:r>
          </w:p>
        </w:tc>
      </w:tr>
      <w:tr>
        <w:trPr>
          <w:trHeight w:val="469" w:hRule="exact"/>
        </w:trPr>
        <w:tc>
          <w:tcPr>
            <w:tcW w:w="6367" w:type="dxa"/>
          </w:tcPr>
          <w:p>
            <w:pPr>
              <w:pStyle w:val="TableParagraph"/>
              <w:spacing w:before="18"/>
              <w:ind w:left="35" w:right="859"/>
              <w:rPr>
                <w:sz w:val="18"/>
              </w:rPr>
            </w:pPr>
            <w:r>
              <w:rPr>
                <w:sz w:val="18"/>
              </w:rPr>
              <w:t>Recoupment of commissions, salaries and other expenses from joint venture</w:t>
            </w:r>
          </w:p>
        </w:tc>
        <w:tc>
          <w:tcPr>
            <w:tcW w:w="2594" w:type="dxa"/>
          </w:tcPr>
          <w:p>
            <w:pPr>
              <w:pStyle w:val="TableParagraph"/>
              <w:spacing w:before="5"/>
              <w:rPr>
                <w:sz w:val="19"/>
              </w:rPr>
            </w:pPr>
          </w:p>
          <w:p>
            <w:pPr>
              <w:pStyle w:val="TableParagraph"/>
              <w:tabs>
                <w:tab w:pos="1029" w:val="left" w:leader="none"/>
              </w:tabs>
              <w:ind w:right="24"/>
              <w:jc w:val="right"/>
              <w:rPr>
                <w:sz w:val="18"/>
              </w:rPr>
            </w:pPr>
            <w:r>
              <w:rPr>
                <w:sz w:val="18"/>
              </w:rPr>
              <w:t>-</w:t>
              <w:tab/>
            </w:r>
            <w:r>
              <w:rPr>
                <w:w w:val="95"/>
                <w:sz w:val="18"/>
              </w:rPr>
              <w:t>(1,417,438)</w:t>
            </w:r>
          </w:p>
        </w:tc>
      </w:tr>
      <w:tr>
        <w:trPr>
          <w:trHeight w:val="263" w:hRule="exact"/>
        </w:trPr>
        <w:tc>
          <w:tcPr>
            <w:tcW w:w="6367" w:type="dxa"/>
          </w:tcPr>
          <w:p>
            <w:pPr>
              <w:pStyle w:val="TableParagraph"/>
              <w:spacing w:before="17"/>
              <w:ind w:left="35" w:right="859"/>
              <w:rPr>
                <w:sz w:val="18"/>
              </w:rPr>
            </w:pPr>
            <w:r>
              <w:rPr>
                <w:sz w:val="18"/>
              </w:rPr>
              <w:t>Service fee from joint venture</w:t>
            </w:r>
          </w:p>
        </w:tc>
        <w:tc>
          <w:tcPr>
            <w:tcW w:w="2594" w:type="dxa"/>
          </w:tcPr>
          <w:p>
            <w:pPr>
              <w:pStyle w:val="TableParagraph"/>
              <w:tabs>
                <w:tab w:pos="1179" w:val="left" w:leader="none"/>
              </w:tabs>
              <w:spacing w:before="19"/>
              <w:ind w:right="24"/>
              <w:jc w:val="right"/>
              <w:rPr>
                <w:sz w:val="18"/>
              </w:rPr>
            </w:pPr>
            <w:r>
              <w:rPr>
                <w:sz w:val="18"/>
              </w:rPr>
              <w:t>-</w:t>
              <w:tab/>
            </w:r>
            <w:r>
              <w:rPr>
                <w:w w:val="95"/>
                <w:sz w:val="18"/>
              </w:rPr>
              <w:t>(217,274)</w:t>
            </w:r>
          </w:p>
        </w:tc>
      </w:tr>
      <w:tr>
        <w:trPr>
          <w:trHeight w:val="264" w:hRule="exact"/>
        </w:trPr>
        <w:tc>
          <w:tcPr>
            <w:tcW w:w="6367" w:type="dxa"/>
          </w:tcPr>
          <w:p>
            <w:pPr>
              <w:pStyle w:val="TableParagraph"/>
              <w:spacing w:before="18"/>
              <w:ind w:left="35" w:right="859"/>
              <w:rPr>
                <w:sz w:val="18"/>
              </w:rPr>
            </w:pPr>
            <w:r>
              <w:rPr>
                <w:sz w:val="18"/>
              </w:rPr>
              <w:t>Share in loss of joint venture</w:t>
            </w:r>
          </w:p>
        </w:tc>
        <w:tc>
          <w:tcPr>
            <w:tcW w:w="2594" w:type="dxa"/>
          </w:tcPr>
          <w:p>
            <w:pPr>
              <w:pStyle w:val="TableParagraph"/>
              <w:tabs>
                <w:tab w:pos="1707" w:val="left" w:leader="none"/>
              </w:tabs>
              <w:spacing w:before="19"/>
              <w:ind w:left="350"/>
              <w:rPr>
                <w:sz w:val="18"/>
              </w:rPr>
            </w:pPr>
            <w:r>
              <w:rPr>
                <w:sz w:val="18"/>
              </w:rPr>
              <w:t>(1,052,110)</w:t>
              <w:tab/>
              <w:t>1,052,110</w:t>
            </w:r>
          </w:p>
        </w:tc>
      </w:tr>
      <w:tr>
        <w:trPr>
          <w:trHeight w:val="263" w:hRule="exact"/>
        </w:trPr>
        <w:tc>
          <w:tcPr>
            <w:tcW w:w="6367" w:type="dxa"/>
          </w:tcPr>
          <w:p>
            <w:pPr>
              <w:pStyle w:val="TableParagraph"/>
              <w:spacing w:before="18"/>
              <w:ind w:left="35" w:right="859"/>
              <w:rPr>
                <w:sz w:val="18"/>
              </w:rPr>
            </w:pPr>
            <w:r>
              <w:rPr>
                <w:sz w:val="18"/>
              </w:rPr>
              <w:t>Interest received on loan to joint venture</w:t>
            </w:r>
          </w:p>
        </w:tc>
        <w:tc>
          <w:tcPr>
            <w:tcW w:w="2594" w:type="dxa"/>
            <w:tcBorders>
              <w:bottom w:val="single" w:sz="0" w:space="0" w:color="000000"/>
            </w:tcBorders>
          </w:tcPr>
          <w:p>
            <w:pPr>
              <w:pStyle w:val="TableParagraph"/>
              <w:tabs>
                <w:tab w:pos="1237" w:val="left" w:leader="none"/>
              </w:tabs>
              <w:spacing w:before="19"/>
              <w:ind w:right="24"/>
              <w:jc w:val="right"/>
              <w:rPr>
                <w:sz w:val="18"/>
              </w:rPr>
            </w:pPr>
            <w:r>
              <w:rPr>
                <w:sz w:val="18"/>
              </w:rPr>
              <w:t>33,239</w:t>
              <w:tab/>
            </w:r>
            <w:r>
              <w:rPr>
                <w:spacing w:val="-1"/>
                <w:sz w:val="18"/>
              </w:rPr>
              <w:t>(33,239)</w:t>
            </w:r>
          </w:p>
        </w:tc>
      </w:tr>
      <w:tr>
        <w:trPr>
          <w:trHeight w:val="353" w:hRule="exact"/>
        </w:trPr>
        <w:tc>
          <w:tcPr>
            <w:tcW w:w="6367" w:type="dxa"/>
          </w:tcPr>
          <w:p>
            <w:pPr/>
          </w:p>
        </w:tc>
        <w:tc>
          <w:tcPr>
            <w:tcW w:w="2594" w:type="dxa"/>
            <w:tcBorders>
              <w:top w:val="single" w:sz="0" w:space="0" w:color="000000"/>
              <w:bottom w:val="single" w:sz="0" w:space="0" w:color="000000"/>
            </w:tcBorders>
          </w:tcPr>
          <w:p>
            <w:pPr>
              <w:pStyle w:val="TableParagraph"/>
              <w:tabs>
                <w:tab w:pos="1707" w:val="left" w:leader="none"/>
              </w:tabs>
              <w:spacing w:before="122"/>
              <w:ind w:left="350"/>
              <w:rPr>
                <w:sz w:val="18"/>
              </w:rPr>
            </w:pPr>
            <w:r>
              <w:rPr>
                <w:sz w:val="18"/>
              </w:rPr>
              <w:t>(1,018,871)</w:t>
              <w:tab/>
              <w:t>1,556,896</w:t>
            </w:r>
          </w:p>
        </w:tc>
      </w:tr>
    </w:tbl>
    <w:p>
      <w:pPr>
        <w:spacing w:after="0"/>
        <w:rPr>
          <w:sz w:val="18"/>
        </w:rPr>
        <w:sectPr>
          <w:pgSz w:w="11910" w:h="16840"/>
          <w:pgMar w:header="1038" w:footer="507" w:top="1720" w:bottom="700" w:left="900" w:right="860"/>
        </w:sectPr>
      </w:pPr>
    </w:p>
    <w:p>
      <w:pPr>
        <w:pStyle w:val="BodyText"/>
        <w:spacing w:before="2"/>
        <w:rPr>
          <w:sz w:val="24"/>
        </w:rPr>
      </w:pPr>
    </w:p>
    <w:p>
      <w:pPr>
        <w:pStyle w:val="Heading3"/>
      </w:pPr>
      <w:r>
        <w:rPr/>
        <w:t>Notes to the Financial Statements</w:t>
      </w:r>
    </w:p>
    <w:p>
      <w:pPr>
        <w:pStyle w:val="Heading6"/>
        <w:ind w:left="107" w:right="161"/>
      </w:pPr>
      <w:r>
        <w:rPr/>
        <w:t>For the Year Ended 31 December 2017</w:t>
      </w:r>
    </w:p>
    <w:p>
      <w:pPr>
        <w:pStyle w:val="BodyText"/>
        <w:rPr>
          <w:b/>
          <w:sz w:val="22"/>
        </w:rPr>
      </w:pPr>
    </w:p>
    <w:p>
      <w:pPr>
        <w:pStyle w:val="BodyText"/>
        <w:rPr>
          <w:b/>
          <w:sz w:val="22"/>
        </w:rPr>
      </w:pPr>
    </w:p>
    <w:p>
      <w:pPr>
        <w:pStyle w:val="Heading9"/>
        <w:tabs>
          <w:tab w:pos="503" w:val="left" w:leader="none"/>
        </w:tabs>
        <w:spacing w:before="160"/>
        <w:ind w:left="109" w:right="161"/>
      </w:pPr>
      <w:r>
        <w:rPr/>
        <w:t>1</w:t>
        <w:tab/>
        <w:t>Summary of Significant Accounting Policies</w:t>
      </w:r>
      <w:r>
        <w:rPr>
          <w:spacing w:val="-3"/>
        </w:rPr>
        <w:t> </w:t>
      </w:r>
      <w:r>
        <w:rPr/>
        <w:t>continued</w:t>
      </w:r>
    </w:p>
    <w:p>
      <w:pPr>
        <w:pStyle w:val="BodyText"/>
        <w:spacing w:before="11"/>
        <w:rPr>
          <w:b/>
          <w:sz w:val="24"/>
        </w:rPr>
      </w:pPr>
    </w:p>
    <w:p>
      <w:pPr>
        <w:pStyle w:val="ListParagraph"/>
        <w:numPr>
          <w:ilvl w:val="0"/>
          <w:numId w:val="45"/>
        </w:numPr>
        <w:tabs>
          <w:tab w:pos="1071" w:val="left" w:leader="none"/>
        </w:tabs>
        <w:spacing w:line="573" w:lineRule="auto" w:before="0" w:after="0"/>
        <w:ind w:left="1070" w:right="7681" w:hanging="566"/>
        <w:jc w:val="left"/>
        <w:rPr>
          <w:b/>
          <w:sz w:val="18"/>
        </w:rPr>
      </w:pPr>
      <w:r>
        <w:rPr>
          <w:b/>
          <w:sz w:val="18"/>
        </w:rPr>
        <w:t>Financial assets Classification</w:t>
      </w:r>
    </w:p>
    <w:p>
      <w:pPr>
        <w:pStyle w:val="BodyText"/>
        <w:spacing w:before="8"/>
        <w:ind w:left="1070" w:right="161"/>
      </w:pPr>
      <w:r>
        <w:rPr/>
        <w:t>The Company classifies its financial assets as loans and receivables.</w:t>
      </w:r>
    </w:p>
    <w:p>
      <w:pPr>
        <w:pStyle w:val="BodyText"/>
        <w:spacing w:before="11"/>
        <w:rPr>
          <w:sz w:val="24"/>
        </w:rPr>
      </w:pPr>
    </w:p>
    <w:p>
      <w:pPr>
        <w:pStyle w:val="ListParagraph"/>
        <w:numPr>
          <w:ilvl w:val="1"/>
          <w:numId w:val="45"/>
        </w:numPr>
        <w:tabs>
          <w:tab w:pos="1518" w:val="left" w:leader="none"/>
        </w:tabs>
        <w:spacing w:line="240" w:lineRule="auto" w:before="0" w:after="0"/>
        <w:ind w:left="1517" w:right="0" w:hanging="447"/>
        <w:jc w:val="left"/>
        <w:rPr>
          <w:i/>
          <w:sz w:val="18"/>
        </w:rPr>
      </w:pPr>
      <w:r>
        <w:rPr>
          <w:i/>
          <w:sz w:val="18"/>
        </w:rPr>
        <w:t>Loans and</w:t>
      </w:r>
      <w:r>
        <w:rPr>
          <w:i/>
          <w:spacing w:val="-1"/>
          <w:sz w:val="18"/>
        </w:rPr>
        <w:t> </w:t>
      </w:r>
      <w:r>
        <w:rPr>
          <w:i/>
          <w:sz w:val="18"/>
        </w:rPr>
        <w:t>receivables</w:t>
      </w:r>
    </w:p>
    <w:p>
      <w:pPr>
        <w:pStyle w:val="BodyText"/>
        <w:rPr>
          <w:i/>
          <w:sz w:val="25"/>
        </w:rPr>
      </w:pPr>
    </w:p>
    <w:p>
      <w:pPr>
        <w:pStyle w:val="BodyText"/>
        <w:ind w:left="1070" w:right="595"/>
      </w:pPr>
      <w:r>
        <w:rPr/>
        <w:t>Loans and receivables are non-derivative financial assets with fixed or determinable payments that are not quoted in an active market and are subsequently measured at amortised cost .</w:t>
      </w:r>
    </w:p>
    <w:p>
      <w:pPr>
        <w:pStyle w:val="BodyText"/>
        <w:rPr>
          <w:sz w:val="25"/>
        </w:rPr>
      </w:pPr>
    </w:p>
    <w:p>
      <w:pPr>
        <w:pStyle w:val="BodyText"/>
        <w:ind w:left="1070" w:right="457"/>
        <w:jc w:val="both"/>
      </w:pPr>
      <w:r>
        <w:rPr/>
        <w:t>Loans and receivables are included in current assets, except for those which are not expected to be realised within 12 months after the end of the reporting period, which are classified as non-current assets. Loans and receivables are included in trade and other receivables in the statement of financial position.</w:t>
      </w:r>
    </w:p>
    <w:p>
      <w:pPr>
        <w:pStyle w:val="BodyText"/>
        <w:spacing w:before="11"/>
        <w:rPr>
          <w:sz w:val="24"/>
        </w:rPr>
      </w:pPr>
    </w:p>
    <w:p>
      <w:pPr>
        <w:pStyle w:val="Heading9"/>
        <w:numPr>
          <w:ilvl w:val="0"/>
          <w:numId w:val="45"/>
        </w:numPr>
        <w:tabs>
          <w:tab w:pos="1071" w:val="left" w:leader="none"/>
        </w:tabs>
        <w:spacing w:line="240" w:lineRule="auto" w:before="0" w:after="0"/>
        <w:ind w:left="1070" w:right="0" w:hanging="566"/>
        <w:jc w:val="left"/>
      </w:pPr>
      <w:r>
        <w:rPr/>
        <w:t>Trade</w:t>
      </w:r>
      <w:r>
        <w:rPr>
          <w:spacing w:val="-1"/>
        </w:rPr>
        <w:t> </w:t>
      </w:r>
      <w:r>
        <w:rPr/>
        <w:t>receivables</w:t>
      </w:r>
    </w:p>
    <w:p>
      <w:pPr>
        <w:pStyle w:val="BodyText"/>
        <w:rPr>
          <w:b/>
          <w:sz w:val="25"/>
        </w:rPr>
      </w:pPr>
    </w:p>
    <w:p>
      <w:pPr>
        <w:pStyle w:val="BodyText"/>
        <w:ind w:left="1070" w:right="221"/>
      </w:pPr>
      <w:r>
        <w:rPr/>
        <w:t>Trade receivables are recognised initially at fair value and subsequently measured at amortised cost less provision for impairment. The Company's standard terms of trade for trade receivables is 14 days from the date of recognition. They are presented as current assets unless collection is not expected for more than 12 months after the reporting date.</w:t>
      </w:r>
    </w:p>
    <w:p>
      <w:pPr>
        <w:pStyle w:val="BodyText"/>
        <w:rPr>
          <w:sz w:val="25"/>
        </w:rPr>
      </w:pPr>
    </w:p>
    <w:p>
      <w:pPr>
        <w:pStyle w:val="BodyText"/>
        <w:ind w:left="1070" w:right="175"/>
      </w:pPr>
      <w:r>
        <w:rPr/>
        <w:t>Collectability of trade receivables is reviewed on an ongoing basis. Debts which are known to be uncollectable are written off. A provision for impairment of receivables is established when there is objective evidence that the Company will not be able to collect all amounts due according to the original terms of receivables. Significant financial difficulties of the debtor, probability that the debtor will enter bankruptcy or financial reorganisation and default or delinquency in payments are considered indicators that the trade receivable is impaired.</w:t>
      </w:r>
    </w:p>
    <w:p>
      <w:pPr>
        <w:pStyle w:val="BodyText"/>
        <w:rPr>
          <w:sz w:val="25"/>
        </w:rPr>
      </w:pPr>
    </w:p>
    <w:p>
      <w:pPr>
        <w:pStyle w:val="BodyText"/>
        <w:ind w:left="1070" w:right="584"/>
      </w:pPr>
      <w:r>
        <w:rPr/>
        <w:t>The amount of the provision is the difference between the assets carrying amount and the present value of estimated future cash flows, discounted at the effective interest rate. Cash flows relating to short-term receivables are not discounted if the effect is immaterial. The amount of the provision is recognised in the statement of comprehensive income.</w:t>
      </w:r>
    </w:p>
    <w:p>
      <w:pPr>
        <w:pStyle w:val="BodyText"/>
        <w:rPr>
          <w:sz w:val="25"/>
        </w:rPr>
      </w:pPr>
    </w:p>
    <w:p>
      <w:pPr>
        <w:pStyle w:val="BodyText"/>
        <w:ind w:left="1070" w:right="95"/>
      </w:pPr>
      <w:r>
        <w:rPr/>
        <w:t>When a trade receivable is uncollectable the amount of the loss is recognised in the statement of comprehensive income within ‘Other Expenses’. Subsequent recoveries of amounts previously written off are credited to ‘other revenue’ in the statement of comprehensive income.</w:t>
      </w:r>
    </w:p>
    <w:p>
      <w:pPr>
        <w:pStyle w:val="BodyText"/>
        <w:spacing w:before="10"/>
        <w:rPr>
          <w:sz w:val="24"/>
        </w:rPr>
      </w:pPr>
    </w:p>
    <w:p>
      <w:pPr>
        <w:pStyle w:val="Heading9"/>
        <w:numPr>
          <w:ilvl w:val="0"/>
          <w:numId w:val="45"/>
        </w:numPr>
        <w:tabs>
          <w:tab w:pos="1071" w:val="left" w:leader="none"/>
        </w:tabs>
        <w:spacing w:line="240" w:lineRule="auto" w:before="0" w:after="0"/>
        <w:ind w:left="1070" w:right="0" w:hanging="566"/>
        <w:jc w:val="left"/>
      </w:pPr>
      <w:r>
        <w:rPr/>
        <w:t>Cash and cash</w:t>
      </w:r>
      <w:r>
        <w:rPr>
          <w:spacing w:val="-1"/>
        </w:rPr>
        <w:t> </w:t>
      </w:r>
      <w:r>
        <w:rPr/>
        <w:t>equivalents</w:t>
      </w:r>
    </w:p>
    <w:p>
      <w:pPr>
        <w:pStyle w:val="BodyText"/>
        <w:rPr>
          <w:b/>
          <w:sz w:val="25"/>
        </w:rPr>
      </w:pPr>
    </w:p>
    <w:p>
      <w:pPr>
        <w:pStyle w:val="BodyText"/>
        <w:ind w:left="1070" w:right="175"/>
      </w:pPr>
      <w:r>
        <w:rPr/>
        <w:t>For the statement of cash flow presentation purposes, cash and cash equivalents include cash on hand, deposits held at call with banks, other short-term highly liquid investments with original maturities of three months or less which are convertible to a known amount of cash and subject to an insignificant risk of change in value. Bank overdrafts are shown within short-term borrowings in current liabilities on the statement of financial position.</w:t>
      </w:r>
    </w:p>
    <w:p>
      <w:pPr>
        <w:spacing w:after="0"/>
        <w:sectPr>
          <w:pgSz w:w="11910" w:h="16840"/>
          <w:pgMar w:header="1038" w:footer="507" w:top="1720" w:bottom="700" w:left="900" w:right="860"/>
        </w:sectPr>
      </w:pPr>
    </w:p>
    <w:p>
      <w:pPr>
        <w:pStyle w:val="BodyText"/>
        <w:spacing w:before="2"/>
        <w:rPr>
          <w:sz w:val="24"/>
        </w:rPr>
      </w:pPr>
    </w:p>
    <w:p>
      <w:pPr>
        <w:pStyle w:val="Heading3"/>
        <w:ind w:right="220"/>
      </w:pPr>
      <w:r>
        <w:rPr/>
        <w:t>Notes to the Financial Statements</w:t>
      </w:r>
    </w:p>
    <w:p>
      <w:pPr>
        <w:pStyle w:val="Heading6"/>
        <w:ind w:left="107" w:right="220"/>
      </w:pPr>
      <w:r>
        <w:rPr/>
        <w:t>For the Year Ended 31 December 2017</w:t>
      </w:r>
    </w:p>
    <w:p>
      <w:pPr>
        <w:pStyle w:val="BodyText"/>
        <w:rPr>
          <w:b/>
          <w:sz w:val="22"/>
        </w:rPr>
      </w:pPr>
    </w:p>
    <w:p>
      <w:pPr>
        <w:pStyle w:val="BodyText"/>
        <w:rPr>
          <w:b/>
          <w:sz w:val="22"/>
        </w:rPr>
      </w:pPr>
    </w:p>
    <w:p>
      <w:pPr>
        <w:pStyle w:val="Heading9"/>
        <w:tabs>
          <w:tab w:pos="503" w:val="left" w:leader="none"/>
        </w:tabs>
        <w:spacing w:before="160"/>
        <w:ind w:left="109" w:right="220"/>
      </w:pPr>
      <w:r>
        <w:rPr/>
        <w:t>1</w:t>
        <w:tab/>
        <w:t>Summary of Significant Accounting Policies</w:t>
      </w:r>
      <w:r>
        <w:rPr>
          <w:spacing w:val="-3"/>
        </w:rPr>
        <w:t> </w:t>
      </w:r>
      <w:r>
        <w:rPr/>
        <w:t>continued</w:t>
      </w:r>
    </w:p>
    <w:p>
      <w:pPr>
        <w:pStyle w:val="BodyText"/>
        <w:spacing w:before="11"/>
        <w:rPr>
          <w:b/>
          <w:sz w:val="24"/>
        </w:rPr>
      </w:pPr>
    </w:p>
    <w:p>
      <w:pPr>
        <w:pStyle w:val="ListParagraph"/>
        <w:numPr>
          <w:ilvl w:val="0"/>
          <w:numId w:val="45"/>
        </w:numPr>
        <w:tabs>
          <w:tab w:pos="1071" w:val="left" w:leader="none"/>
        </w:tabs>
        <w:spacing w:line="240" w:lineRule="auto" w:before="0" w:after="0"/>
        <w:ind w:left="1070" w:right="0" w:hanging="566"/>
        <w:jc w:val="left"/>
        <w:rPr>
          <w:b/>
          <w:sz w:val="18"/>
        </w:rPr>
      </w:pPr>
      <w:r>
        <w:rPr>
          <w:b/>
          <w:sz w:val="18"/>
        </w:rPr>
        <w:t>Employee</w:t>
      </w:r>
      <w:r>
        <w:rPr>
          <w:b/>
          <w:spacing w:val="-2"/>
          <w:sz w:val="18"/>
        </w:rPr>
        <w:t> </w:t>
      </w:r>
      <w:r>
        <w:rPr>
          <w:b/>
          <w:sz w:val="18"/>
        </w:rPr>
        <w:t>benefits</w:t>
      </w:r>
    </w:p>
    <w:p>
      <w:pPr>
        <w:pStyle w:val="BodyText"/>
        <w:rPr>
          <w:b/>
          <w:sz w:val="25"/>
        </w:rPr>
      </w:pPr>
    </w:p>
    <w:p>
      <w:pPr>
        <w:pStyle w:val="BodyText"/>
        <w:ind w:left="1070" w:right="324"/>
      </w:pPr>
      <w:r>
        <w:rPr/>
        <w:t>Liabilities for short-term employee benefits including wages and salaries and non-monetary benefits are measured at the amount expected to be paid when the liability is settled, if it is expected to be settled wholly before 12 months after the end of the reporting period, and is recognised in other payables. Liabilities for non- accumulating sick leave are recognised when the leave is taken and measured at the rates payable.</w:t>
      </w:r>
    </w:p>
    <w:p>
      <w:pPr>
        <w:pStyle w:val="BodyText"/>
        <w:rPr>
          <w:sz w:val="25"/>
        </w:rPr>
      </w:pPr>
    </w:p>
    <w:p>
      <w:pPr>
        <w:pStyle w:val="BodyText"/>
        <w:ind w:left="1070" w:right="367"/>
        <w:jc w:val="both"/>
      </w:pPr>
      <w:r>
        <w:rPr/>
        <w:t>The liability for other long-term benefits are those that are not expected to be settled wholly before 12 months after the end of the annual reporting period. Other long term employee benefits include such things as annual leave and long service leave.</w:t>
      </w:r>
    </w:p>
    <w:p>
      <w:pPr>
        <w:pStyle w:val="BodyText"/>
        <w:rPr>
          <w:sz w:val="25"/>
        </w:rPr>
      </w:pPr>
    </w:p>
    <w:p>
      <w:pPr>
        <w:pStyle w:val="BodyText"/>
        <w:ind w:left="1070" w:right="184"/>
      </w:pPr>
      <w:r>
        <w:rPr/>
        <w:t>It is measured at the present value of expected future payments to be made in respect of services provided by employees up to the reporting date using the projected credit method. Consideration is given to expected future wages and salary levels, experience of employee departures and periods of service. Expected future payments are discounted using market yields at the reporting date on national government bonds with terms to maturity and currency that match, as closely as possible, the estimated future cash flows.</w:t>
      </w:r>
    </w:p>
    <w:p>
      <w:pPr>
        <w:pStyle w:val="BodyText"/>
        <w:rPr>
          <w:sz w:val="25"/>
        </w:rPr>
      </w:pPr>
    </w:p>
    <w:p>
      <w:pPr>
        <w:pStyle w:val="BodyText"/>
        <w:ind w:left="1070" w:right="95"/>
      </w:pPr>
      <w:r>
        <w:rPr/>
        <w:t>Regardless of the expected timing of settlements, provisions made in respect of employee benefits are classified as current liability, unless there is an unconditional right to defer the settlement of the liability for at least 12 months after the reporting date, in which case it be classified as a non-current liability.</w:t>
      </w:r>
    </w:p>
    <w:p>
      <w:pPr>
        <w:pStyle w:val="BodyText"/>
        <w:rPr>
          <w:sz w:val="25"/>
        </w:rPr>
      </w:pPr>
    </w:p>
    <w:p>
      <w:pPr>
        <w:pStyle w:val="BodyText"/>
        <w:ind w:left="1070" w:right="115"/>
      </w:pPr>
      <w:r>
        <w:rPr/>
        <w:t>Termination benefits are payable when employment is terminated before the normal retirement date, or when an employee accepts an offer of benefits in exchange for the termination of employment. The Company recognises the expense and liability for termination benefits either when it can no longer withdraw the offer of those benefits or when it has recognised costs for restructuring within the scope of AASB 137 that involves the payment of termination benefits. The expense and liability are recognised when the Company is demonstrably committed to either terminating the employment of current employees according to a detailed formal plan without possibility of withdrawal or providing termination benefits as a result of an offer made to encourage voluntary redundancy.</w:t>
      </w:r>
    </w:p>
    <w:p>
      <w:pPr>
        <w:pStyle w:val="BodyText"/>
        <w:rPr>
          <w:sz w:val="25"/>
        </w:rPr>
      </w:pPr>
    </w:p>
    <w:p>
      <w:pPr>
        <w:pStyle w:val="BodyText"/>
        <w:ind w:left="1070" w:right="104"/>
      </w:pPr>
      <w:r>
        <w:rPr/>
        <w:t>Termination benefits are measured on initial recognition and subsequent changes are measured and recognised in accordance with the nature of the employee benefit. Benefits expected to be settled wholly within 12 months are measured at the undiscounted amount expected to be paid. Benefits not expected to be settled before 12 months after the end of the reporting period are discounted at present value.</w:t>
      </w:r>
    </w:p>
    <w:p>
      <w:pPr>
        <w:pStyle w:val="BodyText"/>
        <w:spacing w:before="9"/>
        <w:rPr>
          <w:sz w:val="24"/>
        </w:rPr>
      </w:pPr>
    </w:p>
    <w:p>
      <w:pPr>
        <w:pStyle w:val="Heading9"/>
        <w:numPr>
          <w:ilvl w:val="0"/>
          <w:numId w:val="45"/>
        </w:numPr>
        <w:tabs>
          <w:tab w:pos="1071" w:val="left" w:leader="none"/>
        </w:tabs>
        <w:spacing w:line="240" w:lineRule="auto" w:before="1" w:after="0"/>
        <w:ind w:left="1070" w:right="0" w:hanging="566"/>
        <w:jc w:val="left"/>
      </w:pPr>
      <w:r>
        <w:rPr/>
        <w:t>Provisions</w:t>
      </w:r>
    </w:p>
    <w:p>
      <w:pPr>
        <w:pStyle w:val="BodyText"/>
        <w:rPr>
          <w:b/>
          <w:sz w:val="25"/>
        </w:rPr>
      </w:pPr>
    </w:p>
    <w:p>
      <w:pPr>
        <w:pStyle w:val="BodyText"/>
        <w:ind w:left="1070" w:right="365"/>
      </w:pPr>
      <w:r>
        <w:rPr/>
        <w:t>Provisions for legal claims and service warranties are recognised when the Company has a present legal or constructive obligation as a result of past events; it is probable that an outflow of resources will be required to settle the obligation and the amount can be reliably estimated.</w:t>
      </w:r>
    </w:p>
    <w:p>
      <w:pPr>
        <w:pStyle w:val="BodyText"/>
        <w:rPr>
          <w:sz w:val="25"/>
        </w:rPr>
      </w:pPr>
    </w:p>
    <w:p>
      <w:pPr>
        <w:pStyle w:val="BodyText"/>
        <w:ind w:left="1070" w:right="220"/>
      </w:pPr>
      <w:r>
        <w:rPr/>
        <w:t>Provisions are not recognised for future operating losses.</w:t>
      </w:r>
    </w:p>
    <w:p>
      <w:pPr>
        <w:pStyle w:val="BodyText"/>
        <w:rPr>
          <w:sz w:val="25"/>
        </w:rPr>
      </w:pPr>
    </w:p>
    <w:p>
      <w:pPr>
        <w:pStyle w:val="BodyText"/>
        <w:ind w:left="1070" w:right="164"/>
      </w:pPr>
      <w:r>
        <w:rPr/>
        <w:t>Where there are a number of similar obligations, the likelihood that an outflow will be required in settlement is determined by considering the class of obligations as a whole. A provision is recognised even if the likelihood of an outflow with respect to any one item included in the same class of obligations may be small.</w:t>
      </w:r>
    </w:p>
    <w:p>
      <w:pPr>
        <w:pStyle w:val="BodyText"/>
        <w:rPr>
          <w:sz w:val="25"/>
        </w:rPr>
      </w:pPr>
    </w:p>
    <w:p>
      <w:pPr>
        <w:pStyle w:val="BodyText"/>
        <w:ind w:left="1070" w:right="414"/>
      </w:pPr>
      <w:r>
        <w:rPr/>
        <w:t>Provisions are measured at the present value of management's best estimate of the expenditure required to settle the obligation at the end of the reporting period. The discount rate used to determine the present value reflects current market assessments of the time value of money and the risks specific to the liability. The increase in the provision due to the passage of time is recognised as a finance cost.</w:t>
      </w:r>
    </w:p>
    <w:p>
      <w:pPr>
        <w:spacing w:after="0"/>
        <w:sectPr>
          <w:pgSz w:w="11910" w:h="16840"/>
          <w:pgMar w:header="1038" w:footer="507" w:top="1720" w:bottom="700" w:left="900" w:right="880"/>
        </w:sectPr>
      </w:pPr>
    </w:p>
    <w:p>
      <w:pPr>
        <w:pStyle w:val="BodyText"/>
        <w:spacing w:before="2"/>
        <w:rPr>
          <w:sz w:val="24"/>
        </w:rPr>
      </w:pPr>
    </w:p>
    <w:p>
      <w:pPr>
        <w:pStyle w:val="Heading3"/>
        <w:ind w:right="220"/>
      </w:pPr>
      <w:r>
        <w:rPr/>
        <w:t>Notes to the Financial Statements</w:t>
      </w:r>
    </w:p>
    <w:p>
      <w:pPr>
        <w:pStyle w:val="Heading6"/>
        <w:ind w:left="107" w:right="220"/>
      </w:pPr>
      <w:r>
        <w:rPr/>
        <w:t>For the Year Ended 31 December 2017</w:t>
      </w:r>
    </w:p>
    <w:p>
      <w:pPr>
        <w:pStyle w:val="BodyText"/>
        <w:rPr>
          <w:b/>
          <w:sz w:val="22"/>
        </w:rPr>
      </w:pPr>
    </w:p>
    <w:p>
      <w:pPr>
        <w:pStyle w:val="BodyText"/>
        <w:rPr>
          <w:b/>
          <w:sz w:val="22"/>
        </w:rPr>
      </w:pPr>
    </w:p>
    <w:p>
      <w:pPr>
        <w:pStyle w:val="Heading9"/>
        <w:tabs>
          <w:tab w:pos="503" w:val="left" w:leader="none"/>
        </w:tabs>
        <w:spacing w:before="160"/>
        <w:ind w:left="109" w:right="220"/>
      </w:pPr>
      <w:r>
        <w:rPr/>
        <w:t>1</w:t>
        <w:tab/>
        <w:t>Summary of Significant Accounting Policies</w:t>
      </w:r>
      <w:r>
        <w:rPr>
          <w:spacing w:val="-3"/>
        </w:rPr>
        <w:t> </w:t>
      </w:r>
      <w:r>
        <w:rPr/>
        <w:t>continued</w:t>
      </w:r>
    </w:p>
    <w:p>
      <w:pPr>
        <w:pStyle w:val="BodyText"/>
        <w:spacing w:before="11"/>
        <w:rPr>
          <w:b/>
          <w:sz w:val="24"/>
        </w:rPr>
      </w:pPr>
    </w:p>
    <w:p>
      <w:pPr>
        <w:pStyle w:val="ListParagraph"/>
        <w:numPr>
          <w:ilvl w:val="0"/>
          <w:numId w:val="45"/>
        </w:numPr>
        <w:tabs>
          <w:tab w:pos="1071" w:val="left" w:leader="none"/>
        </w:tabs>
        <w:spacing w:line="240" w:lineRule="auto" w:before="0" w:after="0"/>
        <w:ind w:left="1070" w:right="0" w:hanging="566"/>
        <w:jc w:val="left"/>
        <w:rPr>
          <w:b/>
          <w:sz w:val="18"/>
        </w:rPr>
      </w:pPr>
      <w:r>
        <w:rPr>
          <w:b/>
          <w:sz w:val="18"/>
        </w:rPr>
        <w:t>Trade and other</w:t>
      </w:r>
      <w:r>
        <w:rPr>
          <w:b/>
          <w:spacing w:val="-2"/>
          <w:sz w:val="18"/>
        </w:rPr>
        <w:t> </w:t>
      </w:r>
      <w:r>
        <w:rPr>
          <w:b/>
          <w:sz w:val="18"/>
        </w:rPr>
        <w:t>payables</w:t>
      </w:r>
    </w:p>
    <w:p>
      <w:pPr>
        <w:pStyle w:val="BodyText"/>
        <w:rPr>
          <w:b/>
          <w:sz w:val="25"/>
        </w:rPr>
      </w:pPr>
    </w:p>
    <w:p>
      <w:pPr>
        <w:pStyle w:val="BodyText"/>
        <w:ind w:left="1070" w:right="575"/>
      </w:pPr>
      <w:r>
        <w:rPr/>
        <w:t>These amounts represent liabilities for goods and services provided to the Company prior to the end of the financial year, which are unpaid.</w:t>
      </w:r>
    </w:p>
    <w:p>
      <w:pPr>
        <w:pStyle w:val="BodyText"/>
        <w:spacing w:before="11"/>
        <w:rPr>
          <w:sz w:val="24"/>
        </w:rPr>
      </w:pPr>
    </w:p>
    <w:p>
      <w:pPr>
        <w:pStyle w:val="Heading9"/>
        <w:numPr>
          <w:ilvl w:val="0"/>
          <w:numId w:val="45"/>
        </w:numPr>
        <w:tabs>
          <w:tab w:pos="1071" w:val="left" w:leader="none"/>
        </w:tabs>
        <w:spacing w:line="240" w:lineRule="auto" w:before="0" w:after="0"/>
        <w:ind w:left="1070" w:right="0" w:hanging="566"/>
        <w:jc w:val="left"/>
      </w:pPr>
      <w:r>
        <w:rPr/>
        <w:t>Leases</w:t>
      </w:r>
    </w:p>
    <w:p>
      <w:pPr>
        <w:pStyle w:val="BodyText"/>
        <w:rPr>
          <w:b/>
          <w:sz w:val="25"/>
        </w:rPr>
      </w:pPr>
    </w:p>
    <w:p>
      <w:pPr>
        <w:pStyle w:val="BodyText"/>
        <w:ind w:left="1070" w:right="225"/>
      </w:pPr>
      <w:r>
        <w:rPr/>
        <w:t>Lease payments for operating leases, where substantially all of the risks and rewards of ownership remain with the lessor, are charged as expenses on a straight-line basis over the life of the lease term.</w:t>
      </w:r>
    </w:p>
    <w:p>
      <w:pPr>
        <w:pStyle w:val="BodyText"/>
        <w:spacing w:before="11"/>
        <w:rPr>
          <w:sz w:val="24"/>
        </w:rPr>
      </w:pPr>
    </w:p>
    <w:p>
      <w:pPr>
        <w:pStyle w:val="Heading9"/>
        <w:numPr>
          <w:ilvl w:val="0"/>
          <w:numId w:val="45"/>
        </w:numPr>
        <w:tabs>
          <w:tab w:pos="1071" w:val="left" w:leader="none"/>
        </w:tabs>
        <w:spacing w:line="240" w:lineRule="auto" w:before="0" w:after="0"/>
        <w:ind w:left="1070" w:right="0" w:hanging="566"/>
        <w:jc w:val="left"/>
      </w:pPr>
      <w:r>
        <w:rPr/>
        <w:t>Revenue and other income</w:t>
      </w:r>
    </w:p>
    <w:p>
      <w:pPr>
        <w:pStyle w:val="BodyText"/>
        <w:rPr>
          <w:b/>
          <w:sz w:val="25"/>
        </w:rPr>
      </w:pPr>
    </w:p>
    <w:p>
      <w:pPr>
        <w:pStyle w:val="BodyText"/>
        <w:ind w:left="1070" w:right="98"/>
      </w:pPr>
      <w:r>
        <w:rPr/>
        <w:t>The Company recognises revenue when the amount of revenue can be reliably measured, it is probable that future economic benefits will flow to the Company and specific criteria have been met for each of the Company's activities as discussed below.</w:t>
      </w:r>
    </w:p>
    <w:p>
      <w:pPr>
        <w:pStyle w:val="BodyText"/>
        <w:rPr>
          <w:sz w:val="25"/>
        </w:rPr>
      </w:pPr>
    </w:p>
    <w:p>
      <w:pPr>
        <w:pStyle w:val="BodyText"/>
        <w:ind w:left="1070" w:right="274"/>
      </w:pPr>
      <w:r>
        <w:rPr/>
        <w:t>Revenue is measured at the fair value of the consideration received or receivable after taking into account any trade discounts and volume rebates allowed. Any consideration deferred is treated as the provision of finance and is discounted at a rate of interest that is generally accepted in the market for similar arrangements. The difference between the amount initially recognised and the amount ultimately received is interest revenue.</w:t>
      </w:r>
    </w:p>
    <w:p>
      <w:pPr>
        <w:pStyle w:val="BodyText"/>
        <w:rPr>
          <w:sz w:val="25"/>
        </w:rPr>
      </w:pPr>
    </w:p>
    <w:p>
      <w:pPr>
        <w:pStyle w:val="BodyText"/>
        <w:ind w:left="1070" w:right="220"/>
      </w:pPr>
      <w:r>
        <w:rPr/>
        <w:t>All revenue is stated net of the amount of goods and services tax (GST).</w:t>
      </w:r>
    </w:p>
    <w:p>
      <w:pPr>
        <w:pStyle w:val="BodyText"/>
        <w:spacing w:before="7"/>
        <w:rPr>
          <w:sz w:val="26"/>
        </w:rPr>
      </w:pPr>
    </w:p>
    <w:p>
      <w:pPr>
        <w:pStyle w:val="Heading9"/>
        <w:ind w:left="1070" w:right="220"/>
      </w:pPr>
      <w:r>
        <w:rPr/>
        <w:t>Rendering of services</w:t>
      </w:r>
    </w:p>
    <w:p>
      <w:pPr>
        <w:pStyle w:val="BodyText"/>
        <w:spacing w:before="4"/>
        <w:rPr>
          <w:b/>
          <w:sz w:val="25"/>
        </w:rPr>
      </w:pPr>
    </w:p>
    <w:p>
      <w:pPr>
        <w:pStyle w:val="BodyText"/>
        <w:ind w:left="1070" w:right="104"/>
      </w:pPr>
      <w:r>
        <w:rPr/>
        <w:t>Revenue recognition relating to the rendering of services is determined with reference to the stage of completion of the transaction at the end of the reporting period and where the outcome of the contract can be estimated reliably. Stage of completion is determined with reference to the services performed to date as a percentage of total anticipated services to be performed. Where the outcome cannot be estimated reliably, revenue is recognised only to the extent that related expenditure is recoverable.</w:t>
      </w:r>
    </w:p>
    <w:p>
      <w:pPr>
        <w:pStyle w:val="BodyText"/>
        <w:spacing w:before="10"/>
        <w:rPr>
          <w:sz w:val="24"/>
        </w:rPr>
      </w:pPr>
    </w:p>
    <w:p>
      <w:pPr>
        <w:pStyle w:val="Heading9"/>
        <w:numPr>
          <w:ilvl w:val="0"/>
          <w:numId w:val="45"/>
        </w:numPr>
        <w:tabs>
          <w:tab w:pos="1071" w:val="left" w:leader="none"/>
        </w:tabs>
        <w:spacing w:line="240" w:lineRule="auto" w:before="1" w:after="0"/>
        <w:ind w:left="1070" w:right="0" w:hanging="566"/>
        <w:jc w:val="left"/>
      </w:pPr>
      <w:r>
        <w:rPr/>
        <w:t>Goods and Services Tax</w:t>
      </w:r>
      <w:r>
        <w:rPr>
          <w:spacing w:val="-2"/>
        </w:rPr>
        <w:t> </w:t>
      </w:r>
      <w:r>
        <w:rPr/>
        <w:t>(GST)</w:t>
      </w:r>
    </w:p>
    <w:p>
      <w:pPr>
        <w:pStyle w:val="BodyText"/>
        <w:rPr>
          <w:b/>
          <w:sz w:val="25"/>
        </w:rPr>
      </w:pPr>
    </w:p>
    <w:p>
      <w:pPr>
        <w:pStyle w:val="BodyText"/>
        <w:ind w:left="1070" w:right="116"/>
      </w:pPr>
      <w:r>
        <w:rPr/>
        <w:t>Revenues, expenses and assets are recognised net of the amount of GST, except where the amount of GST incurred is not recoverable from the Australian Tax Office. In these circumstances the GST is recognised as part of the cost of acquisition of the asset or as part of an item of the expense. Receivables and payables in the statement of financial position are shown inclusive of GST.</w:t>
      </w:r>
    </w:p>
    <w:p>
      <w:pPr>
        <w:pStyle w:val="BodyText"/>
        <w:rPr>
          <w:sz w:val="25"/>
        </w:rPr>
      </w:pPr>
    </w:p>
    <w:p>
      <w:pPr>
        <w:pStyle w:val="BodyText"/>
        <w:ind w:left="1070" w:right="635"/>
      </w:pPr>
      <w:r>
        <w:rPr/>
        <w:t>Cash flows are presented on a gross basis. The GST components of cash flows arising from investing or financing activities, which are which are recoverable or payable to the taxation authority, are presented as operating cash flows.</w:t>
      </w:r>
    </w:p>
    <w:p>
      <w:pPr>
        <w:pStyle w:val="BodyText"/>
        <w:rPr>
          <w:sz w:val="25"/>
        </w:rPr>
      </w:pPr>
    </w:p>
    <w:p>
      <w:pPr>
        <w:pStyle w:val="BodyText"/>
        <w:ind w:left="1070" w:right="195"/>
      </w:pPr>
      <w:r>
        <w:rPr/>
        <w:t>The Company is grouped with the parent entity for GST purposes and therefore the net GST receivable or GST payable is not reflected within these statements.</w:t>
      </w:r>
    </w:p>
    <w:p>
      <w:pPr>
        <w:spacing w:after="0"/>
        <w:sectPr>
          <w:pgSz w:w="11910" w:h="16840"/>
          <w:pgMar w:header="1038" w:footer="507" w:top="1720" w:bottom="700" w:left="900" w:right="880"/>
        </w:sectPr>
      </w:pPr>
    </w:p>
    <w:p>
      <w:pPr>
        <w:pStyle w:val="BodyText"/>
        <w:spacing w:before="2"/>
        <w:rPr>
          <w:sz w:val="24"/>
        </w:rPr>
      </w:pPr>
    </w:p>
    <w:p>
      <w:pPr>
        <w:pStyle w:val="Heading3"/>
        <w:ind w:right="105"/>
      </w:pPr>
      <w:r>
        <w:rPr/>
        <w:t>Notes to the Financial Statements</w:t>
      </w:r>
    </w:p>
    <w:p>
      <w:pPr>
        <w:pStyle w:val="Heading6"/>
        <w:ind w:left="107" w:right="105"/>
      </w:pPr>
      <w:r>
        <w:rPr/>
        <w:t>For the Year Ended 31 December 2017</w:t>
      </w:r>
    </w:p>
    <w:p>
      <w:pPr>
        <w:pStyle w:val="BodyText"/>
        <w:rPr>
          <w:b/>
          <w:sz w:val="22"/>
        </w:rPr>
      </w:pPr>
    </w:p>
    <w:p>
      <w:pPr>
        <w:pStyle w:val="BodyText"/>
        <w:rPr>
          <w:b/>
          <w:sz w:val="22"/>
        </w:rPr>
      </w:pPr>
    </w:p>
    <w:p>
      <w:pPr>
        <w:pStyle w:val="Heading9"/>
        <w:tabs>
          <w:tab w:pos="503" w:val="left" w:leader="none"/>
        </w:tabs>
        <w:spacing w:before="160"/>
        <w:ind w:left="109" w:right="105"/>
      </w:pPr>
      <w:r>
        <w:rPr/>
        <w:t>1</w:t>
        <w:tab/>
        <w:t>Summary of Significant Accounting Policies</w:t>
      </w:r>
      <w:r>
        <w:rPr>
          <w:spacing w:val="-3"/>
        </w:rPr>
        <w:t> </w:t>
      </w:r>
      <w:r>
        <w:rPr/>
        <w:t>continued</w:t>
      </w:r>
    </w:p>
    <w:p>
      <w:pPr>
        <w:pStyle w:val="BodyText"/>
        <w:spacing w:before="11"/>
        <w:rPr>
          <w:b/>
          <w:sz w:val="24"/>
        </w:rPr>
      </w:pPr>
    </w:p>
    <w:p>
      <w:pPr>
        <w:pStyle w:val="ListParagraph"/>
        <w:numPr>
          <w:ilvl w:val="0"/>
          <w:numId w:val="45"/>
        </w:numPr>
        <w:tabs>
          <w:tab w:pos="1071" w:val="left" w:leader="none"/>
        </w:tabs>
        <w:spacing w:line="240" w:lineRule="auto" w:before="0" w:after="0"/>
        <w:ind w:left="1070" w:right="0" w:hanging="566"/>
        <w:jc w:val="left"/>
        <w:rPr>
          <w:b/>
          <w:sz w:val="18"/>
        </w:rPr>
      </w:pPr>
      <w:r>
        <w:rPr>
          <w:b/>
          <w:sz w:val="18"/>
        </w:rPr>
        <w:t>Critical accounting estimates and</w:t>
      </w:r>
      <w:r>
        <w:rPr>
          <w:b/>
          <w:spacing w:val="-5"/>
          <w:sz w:val="18"/>
        </w:rPr>
        <w:t> </w:t>
      </w:r>
      <w:r>
        <w:rPr>
          <w:b/>
          <w:sz w:val="18"/>
        </w:rPr>
        <w:t>judgements</w:t>
      </w:r>
    </w:p>
    <w:p>
      <w:pPr>
        <w:pStyle w:val="BodyText"/>
        <w:rPr>
          <w:b/>
          <w:sz w:val="25"/>
        </w:rPr>
      </w:pPr>
    </w:p>
    <w:p>
      <w:pPr>
        <w:pStyle w:val="BodyText"/>
        <w:ind w:left="1070" w:right="295"/>
      </w:pPr>
      <w:r>
        <w:rPr/>
        <w:t>The preparation of financial statements in conformity with Australian Accounting Standards requires the use of certain critical accounting estimates. It also requires management to exercise its judgement in the process of applying the Company's accounting policies. The estimates and underlying assumptions are reviewed on an ongoing basis. The areas involving a high degree of judgement or complexity, or areas where the assumptions and estimates are significant to the financial statements, are disclosed below:</w:t>
      </w:r>
    </w:p>
    <w:p>
      <w:pPr>
        <w:pStyle w:val="BodyText"/>
        <w:spacing w:before="7"/>
        <w:rPr>
          <w:sz w:val="26"/>
        </w:rPr>
      </w:pPr>
    </w:p>
    <w:p>
      <w:pPr>
        <w:pStyle w:val="Heading9"/>
        <w:ind w:left="1070" w:right="105"/>
      </w:pPr>
      <w:r>
        <w:rPr/>
        <w:t>Key judgements - provision for impairment of receivables</w:t>
      </w:r>
    </w:p>
    <w:p>
      <w:pPr>
        <w:pStyle w:val="BodyText"/>
        <w:spacing w:before="4"/>
        <w:rPr>
          <w:b/>
          <w:sz w:val="25"/>
        </w:rPr>
      </w:pPr>
    </w:p>
    <w:p>
      <w:pPr>
        <w:pStyle w:val="BodyText"/>
        <w:ind w:left="1070" w:right="335"/>
      </w:pPr>
      <w:r>
        <w:rPr/>
        <w:t>The value of the provision for impairment of receivables is estimated by considering the ageing of receivables, communication with the debtors and prior history.</w:t>
      </w:r>
    </w:p>
    <w:p>
      <w:pPr>
        <w:pStyle w:val="BodyText"/>
        <w:rPr>
          <w:sz w:val="25"/>
        </w:rPr>
      </w:pPr>
    </w:p>
    <w:p>
      <w:pPr>
        <w:pStyle w:val="Heading9"/>
        <w:ind w:left="1070" w:right="105"/>
      </w:pPr>
      <w:r>
        <w:rPr/>
        <w:t>Key judgements - provision for long service leave</w:t>
      </w:r>
    </w:p>
    <w:p>
      <w:pPr>
        <w:pStyle w:val="BodyText"/>
        <w:rPr>
          <w:b/>
          <w:sz w:val="25"/>
        </w:rPr>
      </w:pPr>
    </w:p>
    <w:p>
      <w:pPr>
        <w:pStyle w:val="BodyText"/>
        <w:ind w:left="1070" w:right="237"/>
        <w:jc w:val="both"/>
      </w:pPr>
      <w:r>
        <w:rPr/>
        <w:t>The value of the provision for long service leave is measured as the present value of expected future payments to be made in respect of services provided by employees up to the reporting date using the projected unit credit method.</w:t>
      </w:r>
    </w:p>
    <w:p>
      <w:pPr>
        <w:pStyle w:val="BodyText"/>
        <w:spacing w:before="10"/>
        <w:rPr>
          <w:sz w:val="24"/>
        </w:rPr>
      </w:pPr>
    </w:p>
    <w:p>
      <w:pPr>
        <w:pStyle w:val="Heading9"/>
        <w:numPr>
          <w:ilvl w:val="0"/>
          <w:numId w:val="45"/>
        </w:numPr>
        <w:tabs>
          <w:tab w:pos="1071" w:val="left" w:leader="none"/>
        </w:tabs>
        <w:spacing w:line="573" w:lineRule="auto" w:before="1" w:after="0"/>
        <w:ind w:left="1070" w:right="2010" w:hanging="566"/>
        <w:jc w:val="left"/>
      </w:pPr>
      <w:r>
        <w:rPr/>
        <w:t>New Accounting Standards and Interpretations not yet mandatory or early adopted Adoption of new and revised accounting standards</w:t>
      </w:r>
    </w:p>
    <w:p>
      <w:pPr>
        <w:pStyle w:val="BodyText"/>
        <w:spacing w:before="8"/>
        <w:ind w:left="1070" w:right="125"/>
      </w:pPr>
      <w:r>
        <w:rPr/>
        <w:t>The Company has adopted all standards which became effective for the first time for the financial year beginning 1 January 2017. The adoption of these standards has not caused any material adjustments to the reported financial position, performance or cash flow of the Company.</w:t>
      </w:r>
    </w:p>
    <w:p>
      <w:pPr>
        <w:pStyle w:val="BodyText"/>
        <w:rPr>
          <w:sz w:val="25"/>
        </w:rPr>
      </w:pPr>
    </w:p>
    <w:p>
      <w:pPr>
        <w:pStyle w:val="BodyText"/>
        <w:ind w:left="1070" w:right="105"/>
      </w:pPr>
      <w:r>
        <w:rPr/>
        <w:t>Certain new accounting standards and interpretations have been published that are not mandatory for 31 December 2017 reporting periods and have not yet been applied to the financial statements. The Company’s assessment of the impact of the new standards and interpretations is that they will not materially affect any of the amounts recognised in the financial statements or significantly impact the disclosures in relation to the Company.</w:t>
      </w:r>
    </w:p>
    <w:p>
      <w:pPr>
        <w:pStyle w:val="BodyText"/>
        <w:spacing w:before="11"/>
        <w:rPr>
          <w:sz w:val="24"/>
        </w:rPr>
      </w:pPr>
    </w:p>
    <w:p>
      <w:pPr>
        <w:pStyle w:val="Heading9"/>
        <w:numPr>
          <w:ilvl w:val="0"/>
          <w:numId w:val="45"/>
        </w:numPr>
        <w:tabs>
          <w:tab w:pos="1071" w:val="left" w:leader="none"/>
        </w:tabs>
        <w:spacing w:line="240" w:lineRule="auto" w:before="0" w:after="0"/>
        <w:ind w:left="1070" w:right="0" w:hanging="566"/>
        <w:jc w:val="left"/>
      </w:pPr>
      <w:r>
        <w:rPr/>
        <w:t>Property, Plant and Equipment</w:t>
      </w:r>
    </w:p>
    <w:p>
      <w:pPr>
        <w:pStyle w:val="BodyText"/>
        <w:rPr>
          <w:b/>
          <w:sz w:val="25"/>
        </w:rPr>
      </w:pPr>
    </w:p>
    <w:p>
      <w:pPr>
        <w:pStyle w:val="BodyText"/>
        <w:ind w:left="1070" w:right="985"/>
      </w:pPr>
      <w:r>
        <w:rPr/>
        <w:t>Each class of property, plant and equipment is carried at cost as indicated less, where applicable, any accumulated depreciation and impairment losses.</w:t>
      </w:r>
    </w:p>
    <w:p>
      <w:pPr>
        <w:pStyle w:val="BodyText"/>
        <w:rPr>
          <w:sz w:val="25"/>
        </w:rPr>
      </w:pPr>
    </w:p>
    <w:p>
      <w:pPr>
        <w:pStyle w:val="BodyText"/>
        <w:ind w:left="1071" w:right="113"/>
      </w:pPr>
      <w:r>
        <w:rPr/>
        <w:t>Subsequent costs are included in the asset’s carrying amount or recognised as a separate asset, as appropriate, only when it is probable that future economic benefits associated with the item will flow to the Company and the cost of the item can be measured reliably. All other repairs and maintenance are charged to the statement of comprehensive income during the financial period in which they are incurred.</w:t>
      </w:r>
    </w:p>
    <w:p>
      <w:pPr>
        <w:pStyle w:val="BodyText"/>
        <w:spacing w:before="7"/>
        <w:rPr>
          <w:sz w:val="26"/>
        </w:rPr>
      </w:pPr>
    </w:p>
    <w:p>
      <w:pPr>
        <w:pStyle w:val="Heading9"/>
        <w:ind w:left="1070" w:right="105"/>
      </w:pPr>
      <w:r>
        <w:rPr/>
        <w:t>Plant and equipment</w:t>
      </w:r>
    </w:p>
    <w:p>
      <w:pPr>
        <w:pStyle w:val="BodyText"/>
        <w:spacing w:before="4"/>
        <w:rPr>
          <w:b/>
          <w:sz w:val="25"/>
        </w:rPr>
      </w:pPr>
    </w:p>
    <w:p>
      <w:pPr>
        <w:pStyle w:val="BodyText"/>
        <w:ind w:left="1070" w:right="738"/>
      </w:pPr>
      <w:r>
        <w:rPr/>
        <w:t>Plant and equipment are measured on a cost basis (cost less depreciation and impairment losses). Cost includes expenditure that is directly attributable to the asset.</w:t>
      </w:r>
    </w:p>
    <w:p>
      <w:pPr>
        <w:spacing w:after="0"/>
        <w:sectPr>
          <w:pgSz w:w="11910" w:h="16840"/>
          <w:pgMar w:header="1038" w:footer="507" w:top="1720" w:bottom="700" w:left="900" w:right="840"/>
        </w:sectPr>
      </w:pPr>
    </w:p>
    <w:p>
      <w:pPr>
        <w:pStyle w:val="BodyText"/>
        <w:spacing w:before="2"/>
        <w:rPr>
          <w:sz w:val="24"/>
        </w:rPr>
      </w:pPr>
    </w:p>
    <w:p>
      <w:pPr>
        <w:pStyle w:val="Heading3"/>
        <w:ind w:right="159"/>
      </w:pPr>
      <w:r>
        <w:rPr/>
        <w:t>Notes to the Financial Statements</w:t>
      </w:r>
    </w:p>
    <w:p>
      <w:pPr>
        <w:pStyle w:val="Heading6"/>
        <w:ind w:left="107" w:right="159"/>
      </w:pPr>
      <w:r>
        <w:rPr/>
        <w:t>For the Year Ended 31 December 2017</w:t>
      </w:r>
    </w:p>
    <w:p>
      <w:pPr>
        <w:pStyle w:val="BodyText"/>
        <w:rPr>
          <w:b/>
          <w:sz w:val="22"/>
        </w:rPr>
      </w:pPr>
    </w:p>
    <w:p>
      <w:pPr>
        <w:pStyle w:val="BodyText"/>
        <w:rPr>
          <w:b/>
          <w:sz w:val="22"/>
        </w:rPr>
      </w:pPr>
    </w:p>
    <w:p>
      <w:pPr>
        <w:pStyle w:val="Heading9"/>
        <w:tabs>
          <w:tab w:pos="503" w:val="left" w:leader="none"/>
        </w:tabs>
        <w:spacing w:before="160"/>
        <w:ind w:left="109" w:right="159"/>
      </w:pPr>
      <w:r>
        <w:rPr/>
        <w:t>1</w:t>
        <w:tab/>
        <w:t>Summary of Significant Accounting Policies</w:t>
      </w:r>
      <w:r>
        <w:rPr>
          <w:spacing w:val="-3"/>
        </w:rPr>
        <w:t> </w:t>
      </w:r>
      <w:r>
        <w:rPr/>
        <w:t>continued</w:t>
      </w:r>
    </w:p>
    <w:p>
      <w:pPr>
        <w:pStyle w:val="BodyText"/>
        <w:spacing w:before="11"/>
        <w:rPr>
          <w:b/>
          <w:sz w:val="24"/>
        </w:rPr>
      </w:pPr>
    </w:p>
    <w:p>
      <w:pPr>
        <w:pStyle w:val="ListParagraph"/>
        <w:numPr>
          <w:ilvl w:val="0"/>
          <w:numId w:val="46"/>
        </w:numPr>
        <w:tabs>
          <w:tab w:pos="1071" w:val="left" w:leader="none"/>
        </w:tabs>
        <w:spacing w:line="595" w:lineRule="auto" w:before="0" w:after="0"/>
        <w:ind w:left="1070" w:right="5471" w:hanging="566"/>
        <w:jc w:val="left"/>
        <w:rPr>
          <w:b/>
          <w:sz w:val="18"/>
        </w:rPr>
      </w:pPr>
      <w:r>
        <w:rPr>
          <w:b/>
          <w:sz w:val="18"/>
        </w:rPr>
        <w:t>Property, Plant and Equipment continued Plant and equipment continued</w:t>
      </w:r>
    </w:p>
    <w:p>
      <w:pPr>
        <w:spacing w:line="202" w:lineRule="exact" w:before="0"/>
        <w:ind w:left="1070" w:right="159" w:firstLine="0"/>
        <w:jc w:val="left"/>
        <w:rPr>
          <w:b/>
          <w:sz w:val="18"/>
        </w:rPr>
      </w:pPr>
      <w:r>
        <w:rPr>
          <w:b/>
          <w:sz w:val="18"/>
        </w:rPr>
        <w:t>Artwork</w:t>
      </w:r>
    </w:p>
    <w:p>
      <w:pPr>
        <w:pStyle w:val="BodyText"/>
        <w:rPr>
          <w:b/>
          <w:sz w:val="25"/>
        </w:rPr>
      </w:pPr>
    </w:p>
    <w:p>
      <w:pPr>
        <w:pStyle w:val="BodyText"/>
        <w:ind w:left="1070" w:right="218"/>
      </w:pPr>
      <w:r>
        <w:rPr/>
        <w:t>Artwork is measured on a cost basis. Cost includes expenditure that is directly attributable to the asset. Art is a non-depreciable asset.</w:t>
      </w:r>
    </w:p>
    <w:p>
      <w:pPr>
        <w:pStyle w:val="BodyText"/>
        <w:rPr>
          <w:sz w:val="25"/>
        </w:rPr>
      </w:pPr>
    </w:p>
    <w:p>
      <w:pPr>
        <w:pStyle w:val="Heading9"/>
        <w:ind w:left="1070" w:right="159"/>
      </w:pPr>
      <w:r>
        <w:rPr/>
        <w:t>Leasehold Improvements</w:t>
      </w:r>
    </w:p>
    <w:p>
      <w:pPr>
        <w:pStyle w:val="BodyText"/>
        <w:rPr>
          <w:b/>
          <w:sz w:val="25"/>
        </w:rPr>
      </w:pPr>
    </w:p>
    <w:p>
      <w:pPr>
        <w:pStyle w:val="BodyText"/>
        <w:ind w:left="1070" w:right="115"/>
      </w:pPr>
      <w:r>
        <w:rPr/>
        <w:t>Leasehold improvements are measured on a cost basis. Cost includes expenditure that is directly attributable to the asset.</w:t>
      </w:r>
    </w:p>
    <w:p>
      <w:pPr>
        <w:pStyle w:val="BodyText"/>
        <w:spacing w:before="7"/>
        <w:rPr>
          <w:sz w:val="26"/>
        </w:rPr>
      </w:pPr>
    </w:p>
    <w:p>
      <w:pPr>
        <w:pStyle w:val="Heading9"/>
        <w:ind w:left="1070" w:right="159"/>
      </w:pPr>
      <w:r>
        <w:rPr/>
        <w:t>Depreciation</w:t>
      </w:r>
    </w:p>
    <w:p>
      <w:pPr>
        <w:pStyle w:val="BodyText"/>
        <w:spacing w:before="4"/>
        <w:rPr>
          <w:b/>
          <w:sz w:val="25"/>
        </w:rPr>
      </w:pPr>
    </w:p>
    <w:p>
      <w:pPr>
        <w:pStyle w:val="BodyText"/>
        <w:ind w:left="1070"/>
      </w:pPr>
      <w:r>
        <w:rPr/>
        <w:t>Depreciation on property, plant and equipment is calculated on a straight-line basis over the asset's useful life to the Company commencing from the time the asset is held ready for use. Leasehold improvements are depreciated over the shorter of either the unexpired period of the lease or the estimated useful lives of the improvements.</w:t>
      </w:r>
    </w:p>
    <w:p>
      <w:pPr>
        <w:pStyle w:val="BodyText"/>
        <w:rPr>
          <w:sz w:val="25"/>
        </w:rPr>
      </w:pPr>
    </w:p>
    <w:p>
      <w:pPr>
        <w:pStyle w:val="BodyText"/>
        <w:ind w:left="1070" w:right="159"/>
      </w:pPr>
      <w:r>
        <w:rPr/>
        <w:t>The estimated useful lives used for each class of depreciable assets are:</w:t>
      </w:r>
    </w:p>
    <w:p>
      <w:pPr>
        <w:pStyle w:val="BodyText"/>
      </w:pPr>
    </w:p>
    <w:p>
      <w:pPr>
        <w:pStyle w:val="BodyText"/>
      </w:pPr>
    </w:p>
    <w:p>
      <w:pPr>
        <w:pStyle w:val="Heading9"/>
        <w:tabs>
          <w:tab w:pos="5986" w:val="left" w:leader="none"/>
        </w:tabs>
        <w:spacing w:before="113"/>
        <w:ind w:left="1070" w:right="159"/>
      </w:pPr>
      <w:r>
        <w:rPr/>
        <w:t>Class of</w:t>
      </w:r>
      <w:r>
        <w:rPr>
          <w:spacing w:val="-1"/>
        </w:rPr>
        <w:t> </w:t>
      </w:r>
      <w:r>
        <w:rPr/>
        <w:t>Fixed</w:t>
      </w:r>
      <w:r>
        <w:rPr>
          <w:spacing w:val="-1"/>
        </w:rPr>
        <w:t> </w:t>
      </w:r>
      <w:r>
        <w:rPr/>
        <w:t>Asset</w:t>
        <w:tab/>
        <w:t>Useful Life</w:t>
      </w:r>
    </w:p>
    <w:p>
      <w:pPr>
        <w:pStyle w:val="BodyText"/>
        <w:rPr>
          <w:b/>
        </w:rPr>
      </w:pPr>
    </w:p>
    <w:p>
      <w:pPr>
        <w:pStyle w:val="BodyText"/>
        <w:tabs>
          <w:tab w:pos="6073" w:val="left" w:leader="none"/>
        </w:tabs>
        <w:spacing w:before="129"/>
        <w:ind w:left="1070" w:right="159"/>
      </w:pPr>
      <w:r>
        <w:rPr/>
        <w:t>Computer</w:t>
      </w:r>
      <w:r>
        <w:rPr>
          <w:spacing w:val="-1"/>
        </w:rPr>
        <w:t> </w:t>
      </w:r>
      <w:r>
        <w:rPr/>
        <w:t>Equipment</w:t>
        <w:tab/>
        <w:t>3-4</w:t>
      </w:r>
      <w:r>
        <w:rPr>
          <w:spacing w:val="-1"/>
        </w:rPr>
        <w:t> </w:t>
      </w:r>
      <w:r>
        <w:rPr/>
        <w:t>years</w:t>
      </w:r>
    </w:p>
    <w:p>
      <w:pPr>
        <w:pStyle w:val="BodyText"/>
        <w:tabs>
          <w:tab w:pos="6073" w:val="left" w:leader="none"/>
        </w:tabs>
        <w:spacing w:before="57"/>
        <w:ind w:left="1070" w:right="159"/>
      </w:pPr>
      <w:r>
        <w:rPr/>
        <w:t>Leasehold</w:t>
      </w:r>
      <w:r>
        <w:rPr>
          <w:spacing w:val="-1"/>
        </w:rPr>
        <w:t> </w:t>
      </w:r>
      <w:r>
        <w:rPr/>
        <w:t>improvements</w:t>
        <w:tab/>
        <w:t>2-6</w:t>
      </w:r>
      <w:r>
        <w:rPr>
          <w:spacing w:val="-1"/>
        </w:rPr>
        <w:t> </w:t>
      </w:r>
      <w:r>
        <w:rPr/>
        <w:t>years</w:t>
      </w:r>
    </w:p>
    <w:p>
      <w:pPr>
        <w:pStyle w:val="BodyText"/>
        <w:tabs>
          <w:tab w:pos="6073" w:val="left" w:leader="none"/>
        </w:tabs>
        <w:spacing w:before="57"/>
        <w:ind w:left="1070" w:right="159"/>
      </w:pPr>
      <w:r>
        <w:rPr/>
        <w:t>Motor</w:t>
      </w:r>
      <w:r>
        <w:rPr>
          <w:spacing w:val="-1"/>
        </w:rPr>
        <w:t> </w:t>
      </w:r>
      <w:r>
        <w:rPr/>
        <w:t>Vehicles</w:t>
        <w:tab/>
        <w:t>6-7</w:t>
      </w:r>
      <w:r>
        <w:rPr>
          <w:spacing w:val="-1"/>
        </w:rPr>
        <w:t> </w:t>
      </w:r>
      <w:r>
        <w:rPr/>
        <w:t>years</w:t>
      </w:r>
    </w:p>
    <w:p>
      <w:pPr>
        <w:pStyle w:val="BodyText"/>
        <w:tabs>
          <w:tab w:pos="5973" w:val="left" w:leader="none"/>
        </w:tabs>
        <w:spacing w:before="57"/>
        <w:ind w:left="1070" w:right="159"/>
      </w:pPr>
      <w:r>
        <w:rPr/>
        <w:t>Other</w:t>
      </w:r>
      <w:r>
        <w:rPr>
          <w:spacing w:val="-1"/>
        </w:rPr>
        <w:t> </w:t>
      </w:r>
      <w:r>
        <w:rPr/>
        <w:t>Equipment</w:t>
        <w:tab/>
        <w:t>10-20</w:t>
      </w:r>
      <w:r>
        <w:rPr>
          <w:spacing w:val="-1"/>
        </w:rPr>
        <w:t> </w:t>
      </w:r>
      <w:r>
        <w:rPr/>
        <w:t>years</w:t>
      </w:r>
    </w:p>
    <w:p>
      <w:pPr>
        <w:pStyle w:val="BodyText"/>
      </w:pPr>
    </w:p>
    <w:p>
      <w:pPr>
        <w:pStyle w:val="BodyText"/>
        <w:spacing w:before="108"/>
        <w:ind w:left="1070" w:right="690"/>
      </w:pPr>
      <w:r>
        <w:rPr/>
        <w:t>The assets' residual values and useful lives are reviewed, and adjusted if appropriate, at the end of each reporting period.</w:t>
      </w:r>
    </w:p>
    <w:p>
      <w:pPr>
        <w:pStyle w:val="BodyText"/>
        <w:rPr>
          <w:sz w:val="25"/>
        </w:rPr>
      </w:pPr>
    </w:p>
    <w:p>
      <w:pPr>
        <w:pStyle w:val="BodyText"/>
        <w:ind w:left="1070" w:right="127"/>
      </w:pPr>
      <w:r>
        <w:rPr/>
        <w:t>An asset's carrying amount is written down immediately to its recoverable amount if the asset's carrying amount is greater than its estimated recoverable amount.</w:t>
      </w:r>
    </w:p>
    <w:p>
      <w:pPr>
        <w:pStyle w:val="BodyText"/>
        <w:rPr>
          <w:sz w:val="25"/>
        </w:rPr>
      </w:pPr>
    </w:p>
    <w:p>
      <w:pPr>
        <w:pStyle w:val="BodyText"/>
        <w:ind w:left="1070" w:right="295"/>
      </w:pPr>
      <w:r>
        <w:rPr/>
        <w:t>Gains and losses on disposals are determined by comparing proceeds with the carrying amount. These gains and losses are included in the statement of comprehensive income.</w:t>
      </w:r>
    </w:p>
    <w:p>
      <w:pPr>
        <w:spacing w:after="0"/>
        <w:sectPr>
          <w:pgSz w:w="11910" w:h="16840"/>
          <w:pgMar w:header="1038" w:footer="507" w:top="1720" w:bottom="700" w:left="900" w:right="920"/>
        </w:sectPr>
      </w:pPr>
    </w:p>
    <w:p>
      <w:pPr>
        <w:pStyle w:val="BodyText"/>
        <w:spacing w:before="2"/>
        <w:rPr>
          <w:sz w:val="24"/>
        </w:rPr>
      </w:pPr>
    </w:p>
    <w:p>
      <w:pPr>
        <w:pStyle w:val="Heading3"/>
        <w:ind w:right="159"/>
      </w:pPr>
      <w:r>
        <w:rPr/>
        <w:t>Notes to the Financial Statements</w:t>
      </w:r>
    </w:p>
    <w:p>
      <w:pPr>
        <w:pStyle w:val="Heading6"/>
        <w:ind w:left="107" w:right="159"/>
      </w:pPr>
      <w:r>
        <w:rPr/>
        <w:t>For the Year Ended 31 December 2017</w:t>
      </w:r>
    </w:p>
    <w:p>
      <w:pPr>
        <w:pStyle w:val="BodyText"/>
        <w:rPr>
          <w:b/>
          <w:sz w:val="22"/>
        </w:rPr>
      </w:pPr>
    </w:p>
    <w:p>
      <w:pPr>
        <w:pStyle w:val="BodyText"/>
        <w:rPr>
          <w:b/>
          <w:sz w:val="22"/>
        </w:rPr>
      </w:pPr>
    </w:p>
    <w:p>
      <w:pPr>
        <w:pStyle w:val="Heading9"/>
        <w:tabs>
          <w:tab w:pos="503" w:val="left" w:leader="none"/>
        </w:tabs>
        <w:spacing w:before="160"/>
        <w:ind w:left="109" w:right="159"/>
      </w:pPr>
      <w:r>
        <w:rPr/>
        <w:t>1</w:t>
        <w:tab/>
        <w:t>Summary of Significant Accounting Policies</w:t>
      </w:r>
      <w:r>
        <w:rPr>
          <w:spacing w:val="-3"/>
        </w:rPr>
        <w:t> </w:t>
      </w:r>
      <w:r>
        <w:rPr/>
        <w:t>continued</w:t>
      </w:r>
    </w:p>
    <w:p>
      <w:pPr>
        <w:pStyle w:val="BodyText"/>
        <w:spacing w:before="11"/>
        <w:rPr>
          <w:b/>
          <w:sz w:val="24"/>
        </w:rPr>
      </w:pPr>
    </w:p>
    <w:p>
      <w:pPr>
        <w:pStyle w:val="ListParagraph"/>
        <w:numPr>
          <w:ilvl w:val="0"/>
          <w:numId w:val="46"/>
        </w:numPr>
        <w:tabs>
          <w:tab w:pos="1071" w:val="left" w:leader="none"/>
        </w:tabs>
        <w:spacing w:line="240" w:lineRule="auto" w:before="0" w:after="0"/>
        <w:ind w:left="1070" w:right="0" w:hanging="566"/>
        <w:jc w:val="left"/>
        <w:rPr>
          <w:b/>
          <w:sz w:val="18"/>
        </w:rPr>
      </w:pPr>
      <w:r>
        <w:rPr>
          <w:b/>
          <w:sz w:val="18"/>
        </w:rPr>
        <w:t>Impairment of</w:t>
      </w:r>
      <w:r>
        <w:rPr>
          <w:b/>
          <w:spacing w:val="-1"/>
          <w:sz w:val="18"/>
        </w:rPr>
        <w:t> </w:t>
      </w:r>
      <w:r>
        <w:rPr>
          <w:b/>
          <w:sz w:val="18"/>
        </w:rPr>
        <w:t>assets</w:t>
      </w:r>
    </w:p>
    <w:p>
      <w:pPr>
        <w:pStyle w:val="BodyText"/>
        <w:rPr>
          <w:b/>
          <w:sz w:val="25"/>
        </w:rPr>
      </w:pPr>
    </w:p>
    <w:p>
      <w:pPr>
        <w:pStyle w:val="BodyText"/>
        <w:ind w:left="1070" w:right="160"/>
      </w:pPr>
      <w:r>
        <w:rPr/>
        <w:t>Intangible assets that have an indefinite useful life are not subject to amortisation and are tested annually for impairment. Other assets are reviewed for impairment wherever events or changes to circumstances indicate that the carrying amount may not be recoverable. The recoverable amount is the higher of the asset's fair value less costs to sell and value in use.</w:t>
      </w:r>
    </w:p>
    <w:p>
      <w:pPr>
        <w:pStyle w:val="BodyText"/>
        <w:rPr>
          <w:sz w:val="25"/>
        </w:rPr>
      </w:pPr>
    </w:p>
    <w:p>
      <w:pPr>
        <w:pStyle w:val="BodyText"/>
        <w:ind w:left="1070" w:right="211"/>
      </w:pPr>
      <w:r>
        <w:rPr/>
        <w:t>An impairment loss is recognised for the amount by which the asset's carrying amount exceeds its recoverable amount (note 15a). For the purposes of assessing the impairment, assets are grouped as the lowest levels for which there are separately identifiable cash flows which are largely independent of the cash inflows from other assets or groups of assets (cash generating unit).</w:t>
      </w:r>
    </w:p>
    <w:p>
      <w:pPr>
        <w:pStyle w:val="BodyText"/>
        <w:spacing w:before="10"/>
        <w:rPr>
          <w:sz w:val="24"/>
        </w:rPr>
      </w:pPr>
    </w:p>
    <w:p>
      <w:pPr>
        <w:pStyle w:val="Heading9"/>
        <w:numPr>
          <w:ilvl w:val="0"/>
          <w:numId w:val="46"/>
        </w:numPr>
        <w:tabs>
          <w:tab w:pos="1071" w:val="left" w:leader="none"/>
        </w:tabs>
        <w:spacing w:line="240" w:lineRule="auto" w:before="1" w:after="0"/>
        <w:ind w:left="1070" w:right="0" w:hanging="566"/>
        <w:jc w:val="left"/>
      </w:pPr>
      <w:r>
        <w:rPr/>
        <w:t>Intangible</w:t>
      </w:r>
      <w:r>
        <w:rPr>
          <w:spacing w:val="-2"/>
        </w:rPr>
        <w:t> </w:t>
      </w:r>
      <w:r>
        <w:rPr/>
        <w:t>Assets</w:t>
      </w:r>
    </w:p>
    <w:p>
      <w:pPr>
        <w:pStyle w:val="BodyText"/>
        <w:spacing w:before="7"/>
        <w:rPr>
          <w:b/>
          <w:sz w:val="26"/>
        </w:rPr>
      </w:pPr>
    </w:p>
    <w:p>
      <w:pPr>
        <w:spacing w:before="0"/>
        <w:ind w:left="1070" w:right="159" w:firstLine="0"/>
        <w:jc w:val="left"/>
        <w:rPr>
          <w:b/>
          <w:sz w:val="18"/>
        </w:rPr>
      </w:pPr>
      <w:r>
        <w:rPr>
          <w:b/>
          <w:sz w:val="18"/>
        </w:rPr>
        <w:t>Development costs of Online Teaching Units</w:t>
      </w:r>
    </w:p>
    <w:p>
      <w:pPr>
        <w:pStyle w:val="BodyText"/>
        <w:spacing w:before="4"/>
        <w:rPr>
          <w:b/>
          <w:sz w:val="25"/>
        </w:rPr>
      </w:pPr>
    </w:p>
    <w:p>
      <w:pPr>
        <w:pStyle w:val="BodyText"/>
        <w:ind w:left="1070" w:right="154"/>
      </w:pPr>
      <w:r>
        <w:rPr/>
        <w:t>Costs directly attributable to the development of online teaching units are capitalised as intangible assets only when technical feasibility of the project is demonstrated, the Company has the intention and ability to complete and use the online units and the costs can be measured reliably. Such costs include the purchases of materials and services and payroll-related costs of employees directly involved in the project. Research costs are recognised as an expense when incurred.</w:t>
      </w:r>
    </w:p>
    <w:p>
      <w:pPr>
        <w:pStyle w:val="BodyText"/>
        <w:rPr>
          <w:sz w:val="25"/>
        </w:rPr>
      </w:pPr>
    </w:p>
    <w:p>
      <w:pPr>
        <w:pStyle w:val="Heading9"/>
        <w:ind w:left="1070" w:right="159"/>
      </w:pPr>
      <w:r>
        <w:rPr/>
        <w:t>Amortisation</w:t>
      </w:r>
    </w:p>
    <w:p>
      <w:pPr>
        <w:pStyle w:val="BodyText"/>
        <w:rPr>
          <w:b/>
          <w:sz w:val="25"/>
        </w:rPr>
      </w:pPr>
    </w:p>
    <w:p>
      <w:pPr>
        <w:pStyle w:val="BodyText"/>
        <w:ind w:left="1070" w:right="159"/>
      </w:pPr>
      <w:r>
        <w:rPr/>
        <w:t>Online teaching units are amortised for a period of two years on  a straight line basis.</w:t>
      </w:r>
    </w:p>
    <w:p>
      <w:pPr>
        <w:pStyle w:val="BodyText"/>
        <w:spacing w:before="11"/>
        <w:rPr>
          <w:sz w:val="24"/>
        </w:rPr>
      </w:pPr>
    </w:p>
    <w:p>
      <w:pPr>
        <w:pStyle w:val="Heading9"/>
        <w:numPr>
          <w:ilvl w:val="0"/>
          <w:numId w:val="46"/>
        </w:numPr>
        <w:tabs>
          <w:tab w:pos="1071" w:val="left" w:leader="none"/>
        </w:tabs>
        <w:spacing w:line="240" w:lineRule="auto" w:before="0" w:after="0"/>
        <w:ind w:left="1070" w:right="0" w:hanging="566"/>
        <w:jc w:val="left"/>
      </w:pPr>
      <w:r>
        <w:rPr/>
        <w:t>Royalties</w:t>
      </w:r>
    </w:p>
    <w:p>
      <w:pPr>
        <w:pStyle w:val="BodyText"/>
        <w:rPr>
          <w:b/>
          <w:sz w:val="25"/>
        </w:rPr>
      </w:pPr>
    </w:p>
    <w:p>
      <w:pPr>
        <w:pStyle w:val="BodyText"/>
        <w:ind w:left="1070" w:right="661"/>
      </w:pPr>
      <w:r>
        <w:rPr/>
        <w:t>Royalties are due by the Company for its access to the parent entity's intellectual property, infrastructure, premises and business services.</w:t>
      </w:r>
    </w:p>
    <w:p>
      <w:pPr>
        <w:pStyle w:val="BodyText"/>
        <w:spacing w:before="11"/>
        <w:rPr>
          <w:sz w:val="24"/>
        </w:rPr>
      </w:pPr>
    </w:p>
    <w:p>
      <w:pPr>
        <w:pStyle w:val="Heading9"/>
        <w:numPr>
          <w:ilvl w:val="0"/>
          <w:numId w:val="46"/>
        </w:numPr>
        <w:tabs>
          <w:tab w:pos="1071" w:val="left" w:leader="none"/>
        </w:tabs>
        <w:spacing w:line="240" w:lineRule="auto" w:before="0" w:after="0"/>
        <w:ind w:left="1070" w:right="0" w:hanging="566"/>
        <w:jc w:val="left"/>
      </w:pPr>
      <w:r>
        <w:rPr/>
        <w:t>Income</w:t>
      </w:r>
      <w:r>
        <w:rPr>
          <w:spacing w:val="-9"/>
        </w:rPr>
        <w:t> </w:t>
      </w:r>
      <w:r>
        <w:rPr/>
        <w:t>Tax</w:t>
      </w:r>
    </w:p>
    <w:p>
      <w:pPr>
        <w:pStyle w:val="BodyText"/>
        <w:rPr>
          <w:b/>
          <w:sz w:val="25"/>
        </w:rPr>
      </w:pPr>
    </w:p>
    <w:p>
      <w:pPr>
        <w:pStyle w:val="BodyText"/>
        <w:ind w:left="1070" w:right="159"/>
      </w:pPr>
      <w:r>
        <w:rPr/>
        <w:t>The Company is exempt from the payment of tax by virtue of section 50-5 of the </w:t>
      </w:r>
      <w:r>
        <w:rPr>
          <w:i/>
        </w:rPr>
        <w:t>Income Tax Assessment Act </w:t>
      </w:r>
      <w:r>
        <w:rPr>
          <w:i/>
        </w:rPr>
        <w:t>1997</w:t>
      </w:r>
      <w:r>
        <w:rPr/>
        <w:t>. Accordingly, no provision for income tax liability or future income tax benefit has been included in the accounts.</w:t>
      </w:r>
    </w:p>
    <w:p>
      <w:pPr>
        <w:spacing w:after="0"/>
        <w:sectPr>
          <w:pgSz w:w="11910" w:h="16840"/>
          <w:pgMar w:header="1038" w:footer="507" w:top="1720" w:bottom="700" w:left="900" w:right="920"/>
        </w:sectPr>
      </w:pPr>
    </w:p>
    <w:p>
      <w:pPr>
        <w:pStyle w:val="BodyText"/>
        <w:spacing w:before="2"/>
        <w:rPr>
          <w:sz w:val="24"/>
        </w:rPr>
      </w:pPr>
    </w:p>
    <w:p>
      <w:pPr>
        <w:pStyle w:val="Heading3"/>
        <w:ind w:left="147" w:right="19"/>
      </w:pPr>
      <w:r>
        <w:rPr/>
        <w:t>Notes to the Financial Statements</w:t>
      </w:r>
    </w:p>
    <w:p>
      <w:pPr>
        <w:pStyle w:val="Heading6"/>
        <w:ind w:left="147" w:right="19"/>
      </w:pPr>
      <w:r>
        <w:rPr/>
        <w:t>For the Year Ended 31 December 2017</w:t>
      </w:r>
    </w:p>
    <w:p>
      <w:pPr>
        <w:pStyle w:val="BodyText"/>
        <w:rPr>
          <w:b/>
          <w:sz w:val="20"/>
        </w:rPr>
      </w:pPr>
    </w:p>
    <w:p>
      <w:pPr>
        <w:pStyle w:val="BodyText"/>
        <w:rPr>
          <w:b/>
          <w:sz w:val="20"/>
        </w:rPr>
      </w:pPr>
    </w:p>
    <w:p>
      <w:pPr>
        <w:pStyle w:val="BodyText"/>
        <w:spacing w:before="3"/>
        <w:rPr>
          <w:b/>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6156"/>
        <w:gridCol w:w="2149"/>
        <w:gridCol w:w="1365"/>
      </w:tblGrid>
      <w:tr>
        <w:trPr>
          <w:trHeight w:val="567" w:hRule="exact"/>
        </w:trPr>
        <w:tc>
          <w:tcPr>
            <w:tcW w:w="282" w:type="dxa"/>
          </w:tcPr>
          <w:p>
            <w:pPr>
              <w:pStyle w:val="TableParagraph"/>
              <w:spacing w:before="77"/>
              <w:ind w:left="35"/>
              <w:rPr>
                <w:b/>
                <w:sz w:val="18"/>
              </w:rPr>
            </w:pPr>
            <w:r>
              <w:rPr>
                <w:b/>
                <w:w w:val="99"/>
                <w:sz w:val="18"/>
              </w:rPr>
              <w:t>2</w:t>
            </w:r>
          </w:p>
        </w:tc>
        <w:tc>
          <w:tcPr>
            <w:tcW w:w="6156" w:type="dxa"/>
          </w:tcPr>
          <w:p>
            <w:pPr>
              <w:pStyle w:val="TableParagraph"/>
              <w:spacing w:before="77"/>
              <w:ind w:left="148"/>
              <w:rPr>
                <w:b/>
                <w:sz w:val="18"/>
              </w:rPr>
            </w:pPr>
            <w:r>
              <w:rPr>
                <w:b/>
                <w:sz w:val="18"/>
              </w:rPr>
              <w:t>Cash and cash equivalents</w:t>
            </w:r>
          </w:p>
        </w:tc>
        <w:tc>
          <w:tcPr>
            <w:tcW w:w="2149" w:type="dxa"/>
          </w:tcPr>
          <w:p>
            <w:pPr>
              <w:pStyle w:val="TableParagraph"/>
              <w:rPr>
                <w:b/>
                <w:sz w:val="18"/>
              </w:rPr>
            </w:pPr>
          </w:p>
          <w:p>
            <w:pPr>
              <w:pStyle w:val="TableParagraph"/>
              <w:spacing w:before="110"/>
              <w:ind w:left="955"/>
              <w:rPr>
                <w:b/>
                <w:sz w:val="18"/>
              </w:rPr>
            </w:pPr>
            <w:r>
              <w:rPr>
                <w:b/>
                <w:sz w:val="18"/>
              </w:rPr>
              <w:t>2017</w:t>
            </w:r>
          </w:p>
        </w:tc>
        <w:tc>
          <w:tcPr>
            <w:tcW w:w="1365" w:type="dxa"/>
          </w:tcPr>
          <w:p>
            <w:pPr>
              <w:pStyle w:val="TableParagraph"/>
              <w:rPr>
                <w:b/>
                <w:sz w:val="18"/>
              </w:rPr>
            </w:pPr>
          </w:p>
          <w:p>
            <w:pPr>
              <w:pStyle w:val="TableParagraph"/>
              <w:spacing w:before="110"/>
              <w:ind w:left="538"/>
              <w:rPr>
                <w:b/>
                <w:sz w:val="18"/>
              </w:rPr>
            </w:pPr>
            <w:r>
              <w:rPr>
                <w:b/>
                <w:sz w:val="18"/>
              </w:rPr>
              <w:t>2016</w:t>
            </w:r>
          </w:p>
        </w:tc>
      </w:tr>
      <w:tr>
        <w:trPr>
          <w:trHeight w:val="271" w:hRule="exact"/>
        </w:trPr>
        <w:tc>
          <w:tcPr>
            <w:tcW w:w="282" w:type="dxa"/>
          </w:tcPr>
          <w:p>
            <w:pPr/>
          </w:p>
        </w:tc>
        <w:tc>
          <w:tcPr>
            <w:tcW w:w="6156" w:type="dxa"/>
          </w:tcPr>
          <w:p>
            <w:pPr/>
          </w:p>
        </w:tc>
        <w:tc>
          <w:tcPr>
            <w:tcW w:w="2149" w:type="dxa"/>
          </w:tcPr>
          <w:p>
            <w:pPr>
              <w:pStyle w:val="TableParagraph"/>
              <w:spacing w:before="24"/>
              <w:ind w:left="364"/>
              <w:jc w:val="center"/>
              <w:rPr>
                <w:b/>
                <w:sz w:val="18"/>
              </w:rPr>
            </w:pPr>
            <w:r>
              <w:rPr>
                <w:b/>
                <w:w w:val="99"/>
                <w:sz w:val="18"/>
              </w:rPr>
              <w:t>$</w:t>
            </w:r>
          </w:p>
        </w:tc>
        <w:tc>
          <w:tcPr>
            <w:tcW w:w="1365" w:type="dxa"/>
          </w:tcPr>
          <w:p>
            <w:pPr>
              <w:pStyle w:val="TableParagraph"/>
              <w:spacing w:before="24"/>
              <w:ind w:left="313"/>
              <w:jc w:val="center"/>
              <w:rPr>
                <w:b/>
                <w:sz w:val="18"/>
              </w:rPr>
            </w:pPr>
            <w:r>
              <w:rPr>
                <w:b/>
                <w:w w:val="99"/>
                <w:sz w:val="18"/>
              </w:rPr>
              <w:t>$</w:t>
            </w:r>
          </w:p>
        </w:tc>
      </w:tr>
      <w:tr>
        <w:trPr>
          <w:trHeight w:val="267" w:hRule="exact"/>
        </w:trPr>
        <w:tc>
          <w:tcPr>
            <w:tcW w:w="282" w:type="dxa"/>
          </w:tcPr>
          <w:p>
            <w:pPr/>
          </w:p>
        </w:tc>
        <w:tc>
          <w:tcPr>
            <w:tcW w:w="6156" w:type="dxa"/>
          </w:tcPr>
          <w:p>
            <w:pPr>
              <w:pStyle w:val="TableParagraph"/>
              <w:spacing w:before="22"/>
              <w:ind w:left="148"/>
              <w:rPr>
                <w:sz w:val="18"/>
              </w:rPr>
            </w:pPr>
            <w:r>
              <w:rPr>
                <w:sz w:val="18"/>
              </w:rPr>
              <w:t>Cash at bank and on hand</w:t>
            </w:r>
          </w:p>
        </w:tc>
        <w:tc>
          <w:tcPr>
            <w:tcW w:w="2149" w:type="dxa"/>
          </w:tcPr>
          <w:p>
            <w:pPr>
              <w:pStyle w:val="TableParagraph"/>
              <w:spacing w:before="21"/>
              <w:ind w:left="1019"/>
              <w:rPr>
                <w:b/>
                <w:sz w:val="18"/>
              </w:rPr>
            </w:pPr>
            <w:r>
              <w:rPr>
                <w:b/>
                <w:sz w:val="18"/>
              </w:rPr>
              <w:t>496,431</w:t>
            </w:r>
          </w:p>
        </w:tc>
        <w:tc>
          <w:tcPr>
            <w:tcW w:w="1365" w:type="dxa"/>
          </w:tcPr>
          <w:p>
            <w:pPr>
              <w:pStyle w:val="TableParagraph"/>
              <w:spacing w:before="21"/>
              <w:ind w:right="84"/>
              <w:jc w:val="right"/>
              <w:rPr>
                <w:sz w:val="18"/>
              </w:rPr>
            </w:pPr>
            <w:r>
              <w:rPr>
                <w:w w:val="95"/>
                <w:sz w:val="18"/>
              </w:rPr>
              <w:t>886,197</w:t>
            </w:r>
          </w:p>
        </w:tc>
      </w:tr>
      <w:tr>
        <w:trPr>
          <w:trHeight w:val="262" w:hRule="exact"/>
        </w:trPr>
        <w:tc>
          <w:tcPr>
            <w:tcW w:w="282" w:type="dxa"/>
          </w:tcPr>
          <w:p>
            <w:pPr/>
          </w:p>
        </w:tc>
        <w:tc>
          <w:tcPr>
            <w:tcW w:w="6156" w:type="dxa"/>
          </w:tcPr>
          <w:p>
            <w:pPr>
              <w:pStyle w:val="TableParagraph"/>
              <w:spacing w:before="19"/>
              <w:ind w:left="148"/>
              <w:rPr>
                <w:sz w:val="18"/>
              </w:rPr>
            </w:pPr>
            <w:r>
              <w:rPr>
                <w:sz w:val="18"/>
              </w:rPr>
              <w:t>TCorp Hour-Glass Investment Facility</w:t>
            </w:r>
          </w:p>
        </w:tc>
        <w:tc>
          <w:tcPr>
            <w:tcW w:w="2149" w:type="dxa"/>
            <w:tcBorders>
              <w:bottom w:val="single" w:sz="0" w:space="0" w:color="000000"/>
            </w:tcBorders>
          </w:tcPr>
          <w:p>
            <w:pPr>
              <w:pStyle w:val="TableParagraph"/>
              <w:spacing w:before="18"/>
              <w:ind w:left="1019"/>
              <w:rPr>
                <w:b/>
                <w:sz w:val="18"/>
              </w:rPr>
            </w:pPr>
            <w:r>
              <w:rPr>
                <w:b/>
                <w:sz w:val="18"/>
              </w:rPr>
              <w:t>410,534</w:t>
            </w:r>
          </w:p>
        </w:tc>
        <w:tc>
          <w:tcPr>
            <w:tcW w:w="1365" w:type="dxa"/>
            <w:tcBorders>
              <w:bottom w:val="single" w:sz="0" w:space="0" w:color="000000"/>
            </w:tcBorders>
          </w:tcPr>
          <w:p>
            <w:pPr>
              <w:pStyle w:val="TableParagraph"/>
              <w:spacing w:before="18"/>
              <w:ind w:right="84"/>
              <w:jc w:val="right"/>
              <w:rPr>
                <w:sz w:val="18"/>
              </w:rPr>
            </w:pPr>
            <w:r>
              <w:rPr>
                <w:w w:val="95"/>
                <w:sz w:val="18"/>
              </w:rPr>
              <w:t>222,861</w:t>
            </w:r>
          </w:p>
        </w:tc>
      </w:tr>
      <w:tr>
        <w:trPr>
          <w:trHeight w:val="353" w:hRule="exact"/>
        </w:trPr>
        <w:tc>
          <w:tcPr>
            <w:tcW w:w="282" w:type="dxa"/>
          </w:tcPr>
          <w:p>
            <w:pPr/>
          </w:p>
        </w:tc>
        <w:tc>
          <w:tcPr>
            <w:tcW w:w="6156" w:type="dxa"/>
          </w:tcPr>
          <w:p>
            <w:pPr>
              <w:pStyle w:val="TableParagraph"/>
              <w:spacing w:before="123"/>
              <w:ind w:left="148"/>
              <w:rPr>
                <w:sz w:val="18"/>
              </w:rPr>
            </w:pPr>
            <w:r>
              <w:rPr>
                <w:sz w:val="18"/>
              </w:rPr>
              <w:t>Total cash and cash equivalents</w:t>
            </w:r>
          </w:p>
        </w:tc>
        <w:tc>
          <w:tcPr>
            <w:tcW w:w="2149" w:type="dxa"/>
            <w:tcBorders>
              <w:top w:val="single" w:sz="0" w:space="0" w:color="000000"/>
              <w:bottom w:val="single" w:sz="0" w:space="0" w:color="000000"/>
            </w:tcBorders>
          </w:tcPr>
          <w:p>
            <w:pPr>
              <w:pStyle w:val="TableParagraph"/>
              <w:spacing w:before="122"/>
              <w:ind w:left="1020"/>
              <w:rPr>
                <w:b/>
                <w:sz w:val="18"/>
              </w:rPr>
            </w:pPr>
            <w:r>
              <w:rPr>
                <w:b/>
                <w:sz w:val="18"/>
              </w:rPr>
              <w:t>906,965</w:t>
            </w:r>
          </w:p>
        </w:tc>
        <w:tc>
          <w:tcPr>
            <w:tcW w:w="1365" w:type="dxa"/>
            <w:tcBorders>
              <w:top w:val="single" w:sz="0" w:space="0" w:color="000000"/>
              <w:bottom w:val="single" w:sz="0" w:space="0" w:color="000000"/>
            </w:tcBorders>
          </w:tcPr>
          <w:p>
            <w:pPr>
              <w:pStyle w:val="TableParagraph"/>
              <w:spacing w:before="122"/>
              <w:ind w:right="84"/>
              <w:jc w:val="right"/>
              <w:rPr>
                <w:sz w:val="18"/>
              </w:rPr>
            </w:pPr>
            <w:r>
              <w:rPr>
                <w:w w:val="95"/>
                <w:sz w:val="18"/>
              </w:rPr>
              <w:t>1,109,058</w:t>
            </w:r>
          </w:p>
        </w:tc>
      </w:tr>
      <w:tr>
        <w:trPr>
          <w:trHeight w:val="636" w:hRule="exact"/>
        </w:trPr>
        <w:tc>
          <w:tcPr>
            <w:tcW w:w="282" w:type="dxa"/>
          </w:tcPr>
          <w:p>
            <w:pPr/>
          </w:p>
        </w:tc>
        <w:tc>
          <w:tcPr>
            <w:tcW w:w="6156" w:type="dxa"/>
          </w:tcPr>
          <w:p>
            <w:pPr>
              <w:pStyle w:val="TableParagraph"/>
              <w:rPr>
                <w:b/>
                <w:sz w:val="18"/>
              </w:rPr>
            </w:pPr>
          </w:p>
          <w:p>
            <w:pPr>
              <w:pStyle w:val="TableParagraph"/>
              <w:spacing w:before="125"/>
              <w:ind w:left="147"/>
              <w:rPr>
                <w:b/>
                <w:sz w:val="18"/>
              </w:rPr>
            </w:pPr>
            <w:r>
              <w:rPr>
                <w:b/>
                <w:sz w:val="18"/>
              </w:rPr>
              <w:t>Reconciliation of cash</w:t>
            </w:r>
          </w:p>
        </w:tc>
        <w:tc>
          <w:tcPr>
            <w:tcW w:w="2149" w:type="dxa"/>
            <w:tcBorders>
              <w:top w:val="single" w:sz="0" w:space="0" w:color="000000"/>
            </w:tcBorders>
          </w:tcPr>
          <w:p>
            <w:pPr/>
          </w:p>
        </w:tc>
        <w:tc>
          <w:tcPr>
            <w:tcW w:w="1365" w:type="dxa"/>
            <w:tcBorders>
              <w:top w:val="single" w:sz="0" w:space="0" w:color="000000"/>
            </w:tcBorders>
          </w:tcPr>
          <w:p>
            <w:pPr/>
          </w:p>
        </w:tc>
      </w:tr>
    </w:tbl>
    <w:p>
      <w:pPr>
        <w:pStyle w:val="BodyText"/>
        <w:spacing w:before="4"/>
        <w:rPr>
          <w:b/>
          <w:sz w:val="10"/>
        </w:rPr>
      </w:pPr>
    </w:p>
    <w:p>
      <w:pPr>
        <w:pStyle w:val="BodyText"/>
        <w:spacing w:before="77" w:after="36"/>
        <w:ind w:left="545" w:right="19"/>
      </w:pPr>
      <w:r>
        <w:rPr/>
        <w:t>Cash at the end of the financial year as shown in the statement of cash flows is reconciled to items in the statement of financial position as follows:</w:t>
      </w:r>
    </w:p>
    <w:tbl>
      <w:tblPr>
        <w:tblW w:w="0" w:type="auto"/>
        <w:jc w:val="left"/>
        <w:tblInd w:w="5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42"/>
        <w:gridCol w:w="2149"/>
        <w:gridCol w:w="1364"/>
      </w:tblGrid>
      <w:tr>
        <w:trPr>
          <w:trHeight w:val="783" w:hRule="exact"/>
        </w:trPr>
        <w:tc>
          <w:tcPr>
            <w:tcW w:w="6042" w:type="dxa"/>
          </w:tcPr>
          <w:p>
            <w:pPr>
              <w:pStyle w:val="TableParagraph"/>
              <w:rPr>
                <w:sz w:val="18"/>
              </w:rPr>
            </w:pPr>
          </w:p>
          <w:p>
            <w:pPr>
              <w:pStyle w:val="TableParagraph"/>
              <w:rPr>
                <w:sz w:val="18"/>
              </w:rPr>
            </w:pPr>
          </w:p>
          <w:p>
            <w:pPr>
              <w:pStyle w:val="TableParagraph"/>
              <w:spacing w:before="126"/>
              <w:ind w:left="35"/>
              <w:rPr>
                <w:sz w:val="18"/>
              </w:rPr>
            </w:pPr>
            <w:r>
              <w:rPr>
                <w:sz w:val="18"/>
              </w:rPr>
              <w:t>Cash and cash equivalents</w:t>
            </w:r>
          </w:p>
        </w:tc>
        <w:tc>
          <w:tcPr>
            <w:tcW w:w="2149" w:type="dxa"/>
            <w:tcBorders>
              <w:bottom w:val="single" w:sz="0" w:space="0" w:color="000000"/>
            </w:tcBorders>
          </w:tcPr>
          <w:p>
            <w:pPr>
              <w:pStyle w:val="TableParagraph"/>
              <w:spacing w:line="204" w:lineRule="exact"/>
              <w:ind w:left="909" w:right="798"/>
              <w:jc w:val="center"/>
              <w:rPr>
                <w:b/>
                <w:sz w:val="18"/>
              </w:rPr>
            </w:pPr>
            <w:r>
              <w:rPr>
                <w:b/>
                <w:sz w:val="18"/>
              </w:rPr>
              <w:t>2017</w:t>
            </w:r>
          </w:p>
          <w:p>
            <w:pPr>
              <w:pStyle w:val="TableParagraph"/>
              <w:spacing w:line="312" w:lineRule="auto" w:before="66"/>
              <w:ind w:left="1019" w:right="459" w:firstLine="136"/>
              <w:rPr>
                <w:b/>
                <w:sz w:val="18"/>
              </w:rPr>
            </w:pPr>
            <w:r>
              <w:rPr>
                <w:b/>
                <w:sz w:val="18"/>
              </w:rPr>
              <w:t>$ 906,965</w:t>
            </w:r>
          </w:p>
        </w:tc>
        <w:tc>
          <w:tcPr>
            <w:tcW w:w="1364" w:type="dxa"/>
            <w:tcBorders>
              <w:bottom w:val="single" w:sz="0" w:space="0" w:color="000000"/>
            </w:tcBorders>
          </w:tcPr>
          <w:p>
            <w:pPr>
              <w:pStyle w:val="TableParagraph"/>
              <w:spacing w:line="204" w:lineRule="exact"/>
              <w:ind w:left="301" w:right="65"/>
              <w:jc w:val="center"/>
              <w:rPr>
                <w:b/>
                <w:sz w:val="18"/>
              </w:rPr>
            </w:pPr>
            <w:r>
              <w:rPr>
                <w:b/>
                <w:sz w:val="18"/>
              </w:rPr>
              <w:t>2016</w:t>
            </w:r>
          </w:p>
          <w:p>
            <w:pPr>
              <w:pStyle w:val="TableParagraph"/>
              <w:spacing w:before="66"/>
              <w:ind w:left="438"/>
              <w:jc w:val="center"/>
              <w:rPr>
                <w:b/>
                <w:sz w:val="18"/>
              </w:rPr>
            </w:pPr>
            <w:r>
              <w:rPr>
                <w:b/>
                <w:w w:val="99"/>
                <w:sz w:val="18"/>
              </w:rPr>
              <w:t>$</w:t>
            </w:r>
          </w:p>
          <w:p>
            <w:pPr>
              <w:pStyle w:val="TableParagraph"/>
              <w:spacing w:before="61"/>
              <w:ind w:left="458" w:right="65"/>
              <w:jc w:val="center"/>
              <w:rPr>
                <w:sz w:val="18"/>
              </w:rPr>
            </w:pPr>
            <w:r>
              <w:rPr>
                <w:sz w:val="18"/>
              </w:rPr>
              <w:t>1,109,058</w:t>
            </w:r>
          </w:p>
        </w:tc>
      </w:tr>
      <w:tr>
        <w:trPr>
          <w:trHeight w:val="353" w:hRule="exact"/>
        </w:trPr>
        <w:tc>
          <w:tcPr>
            <w:tcW w:w="6042" w:type="dxa"/>
          </w:tcPr>
          <w:p>
            <w:pPr>
              <w:pStyle w:val="TableParagraph"/>
              <w:spacing w:before="123"/>
              <w:ind w:left="35"/>
              <w:rPr>
                <w:b/>
                <w:sz w:val="18"/>
              </w:rPr>
            </w:pPr>
            <w:r>
              <w:rPr>
                <w:b/>
                <w:sz w:val="18"/>
              </w:rPr>
              <w:t>Balance as per statement of cash flows</w:t>
            </w:r>
          </w:p>
        </w:tc>
        <w:tc>
          <w:tcPr>
            <w:tcW w:w="2149" w:type="dxa"/>
            <w:tcBorders>
              <w:top w:val="single" w:sz="0" w:space="0" w:color="000000"/>
              <w:bottom w:val="single" w:sz="0" w:space="0" w:color="000000"/>
            </w:tcBorders>
          </w:tcPr>
          <w:p>
            <w:pPr>
              <w:pStyle w:val="TableParagraph"/>
              <w:spacing w:before="122"/>
              <w:ind w:left="1020"/>
              <w:rPr>
                <w:b/>
                <w:sz w:val="18"/>
              </w:rPr>
            </w:pPr>
            <w:r>
              <w:rPr>
                <w:b/>
                <w:sz w:val="18"/>
              </w:rPr>
              <w:t>906,965</w:t>
            </w:r>
          </w:p>
        </w:tc>
        <w:tc>
          <w:tcPr>
            <w:tcW w:w="1364" w:type="dxa"/>
            <w:tcBorders>
              <w:top w:val="single" w:sz="0" w:space="0" w:color="000000"/>
              <w:bottom w:val="single" w:sz="0" w:space="0" w:color="000000"/>
            </w:tcBorders>
          </w:tcPr>
          <w:p>
            <w:pPr>
              <w:pStyle w:val="TableParagraph"/>
              <w:spacing w:before="122"/>
              <w:ind w:left="478"/>
              <w:rPr>
                <w:sz w:val="18"/>
              </w:rPr>
            </w:pPr>
            <w:r>
              <w:rPr>
                <w:sz w:val="18"/>
              </w:rPr>
              <w:t>1,109,058</w:t>
            </w:r>
          </w:p>
        </w:tc>
      </w:tr>
      <w:tr>
        <w:trPr>
          <w:trHeight w:val="617" w:hRule="exact"/>
        </w:trPr>
        <w:tc>
          <w:tcPr>
            <w:tcW w:w="6042" w:type="dxa"/>
          </w:tcPr>
          <w:p>
            <w:pPr>
              <w:pStyle w:val="TableParagraph"/>
              <w:rPr>
                <w:sz w:val="18"/>
              </w:rPr>
            </w:pPr>
          </w:p>
          <w:p>
            <w:pPr>
              <w:pStyle w:val="TableParagraph"/>
              <w:spacing w:before="106"/>
              <w:ind w:left="35"/>
              <w:rPr>
                <w:sz w:val="18"/>
              </w:rPr>
            </w:pPr>
            <w:r>
              <w:rPr>
                <w:sz w:val="18"/>
              </w:rPr>
              <w:t>The Company's exposure to interest rate risk is discussed in Note 13.</w:t>
            </w:r>
          </w:p>
        </w:tc>
        <w:tc>
          <w:tcPr>
            <w:tcW w:w="2149" w:type="dxa"/>
            <w:tcBorders>
              <w:top w:val="single" w:sz="0" w:space="0" w:color="000000"/>
            </w:tcBorders>
          </w:tcPr>
          <w:p>
            <w:pPr/>
          </w:p>
        </w:tc>
        <w:tc>
          <w:tcPr>
            <w:tcW w:w="1364" w:type="dxa"/>
            <w:tcBorders>
              <w:top w:val="single" w:sz="0" w:space="0" w:color="000000"/>
            </w:tcBorders>
          </w:tcPr>
          <w:p>
            <w:pPr/>
          </w:p>
        </w:tc>
      </w:tr>
    </w:tbl>
    <w:p>
      <w:pPr>
        <w:spacing w:after="0"/>
        <w:sectPr>
          <w:pgSz w:w="11910" w:h="16840"/>
          <w:pgMar w:header="1038" w:footer="507" w:top="1720" w:bottom="700" w:left="860" w:right="860"/>
        </w:sectPr>
      </w:pPr>
    </w:p>
    <w:p>
      <w:pPr>
        <w:pStyle w:val="BodyText"/>
        <w:spacing w:before="2"/>
        <w:rPr>
          <w:sz w:val="24"/>
        </w:rPr>
      </w:pPr>
    </w:p>
    <w:p>
      <w:pPr>
        <w:pStyle w:val="Heading3"/>
        <w:ind w:left="147" w:right="19"/>
      </w:pPr>
      <w:r>
        <w:rPr/>
        <w:t>Notes to the Financial Statements</w:t>
      </w:r>
    </w:p>
    <w:p>
      <w:pPr>
        <w:pStyle w:val="Heading6"/>
        <w:ind w:left="147" w:right="19"/>
      </w:pPr>
      <w:r>
        <w:rPr/>
        <w:t>For the Year Ended 31 December 2017</w:t>
      </w:r>
    </w:p>
    <w:p>
      <w:pPr>
        <w:pStyle w:val="BodyText"/>
        <w:rPr>
          <w:b/>
          <w:sz w:val="20"/>
        </w:rPr>
      </w:pPr>
    </w:p>
    <w:p>
      <w:pPr>
        <w:pStyle w:val="BodyText"/>
        <w:rPr>
          <w:b/>
          <w:sz w:val="20"/>
        </w:rPr>
      </w:pPr>
    </w:p>
    <w:p>
      <w:pPr>
        <w:pStyle w:val="BodyText"/>
        <w:spacing w:before="3"/>
        <w:rPr>
          <w:b/>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6070"/>
        <w:gridCol w:w="1003"/>
        <w:gridCol w:w="1535"/>
        <w:gridCol w:w="1059"/>
      </w:tblGrid>
      <w:tr>
        <w:trPr>
          <w:trHeight w:val="567" w:hRule="exact"/>
        </w:trPr>
        <w:tc>
          <w:tcPr>
            <w:tcW w:w="283" w:type="dxa"/>
          </w:tcPr>
          <w:p>
            <w:pPr>
              <w:pStyle w:val="TableParagraph"/>
              <w:spacing w:before="77"/>
              <w:ind w:left="35"/>
              <w:rPr>
                <w:b/>
                <w:sz w:val="18"/>
              </w:rPr>
            </w:pPr>
            <w:r>
              <w:rPr>
                <w:b/>
                <w:w w:val="99"/>
                <w:sz w:val="18"/>
              </w:rPr>
              <w:t>3</w:t>
            </w:r>
          </w:p>
        </w:tc>
        <w:tc>
          <w:tcPr>
            <w:tcW w:w="6070" w:type="dxa"/>
          </w:tcPr>
          <w:p>
            <w:pPr>
              <w:pStyle w:val="TableParagraph"/>
              <w:spacing w:before="77"/>
              <w:ind w:left="147"/>
              <w:rPr>
                <w:b/>
                <w:sz w:val="18"/>
              </w:rPr>
            </w:pPr>
            <w:r>
              <w:rPr>
                <w:b/>
                <w:sz w:val="18"/>
              </w:rPr>
              <w:t>Trade and other receivables</w:t>
            </w:r>
          </w:p>
        </w:tc>
        <w:tc>
          <w:tcPr>
            <w:tcW w:w="1003" w:type="dxa"/>
          </w:tcPr>
          <w:p>
            <w:pPr/>
          </w:p>
        </w:tc>
        <w:tc>
          <w:tcPr>
            <w:tcW w:w="1535" w:type="dxa"/>
          </w:tcPr>
          <w:p>
            <w:pPr>
              <w:pStyle w:val="TableParagraph"/>
              <w:rPr>
                <w:b/>
                <w:sz w:val="18"/>
              </w:rPr>
            </w:pPr>
          </w:p>
          <w:p>
            <w:pPr>
              <w:pStyle w:val="TableParagraph"/>
              <w:spacing w:before="110"/>
              <w:ind w:right="383"/>
              <w:jc w:val="right"/>
              <w:rPr>
                <w:b/>
                <w:sz w:val="18"/>
              </w:rPr>
            </w:pPr>
            <w:r>
              <w:rPr>
                <w:b/>
                <w:w w:val="95"/>
                <w:sz w:val="18"/>
              </w:rPr>
              <w:t>2017</w:t>
            </w:r>
          </w:p>
        </w:tc>
        <w:tc>
          <w:tcPr>
            <w:tcW w:w="1059" w:type="dxa"/>
          </w:tcPr>
          <w:p>
            <w:pPr>
              <w:pStyle w:val="TableParagraph"/>
              <w:rPr>
                <w:b/>
                <w:sz w:val="18"/>
              </w:rPr>
            </w:pPr>
          </w:p>
          <w:p>
            <w:pPr>
              <w:pStyle w:val="TableParagraph"/>
              <w:spacing w:before="110"/>
              <w:ind w:right="134"/>
              <w:jc w:val="right"/>
              <w:rPr>
                <w:b/>
                <w:sz w:val="18"/>
              </w:rPr>
            </w:pPr>
            <w:r>
              <w:rPr>
                <w:b/>
                <w:w w:val="95"/>
                <w:sz w:val="18"/>
              </w:rPr>
              <w:t>2016</w:t>
            </w:r>
          </w:p>
        </w:tc>
      </w:tr>
      <w:tr>
        <w:trPr>
          <w:trHeight w:val="271" w:hRule="exact"/>
        </w:trPr>
        <w:tc>
          <w:tcPr>
            <w:tcW w:w="283" w:type="dxa"/>
          </w:tcPr>
          <w:p>
            <w:pPr/>
          </w:p>
        </w:tc>
        <w:tc>
          <w:tcPr>
            <w:tcW w:w="6070" w:type="dxa"/>
          </w:tcPr>
          <w:p>
            <w:pPr/>
          </w:p>
        </w:tc>
        <w:tc>
          <w:tcPr>
            <w:tcW w:w="1003" w:type="dxa"/>
          </w:tcPr>
          <w:p>
            <w:pPr>
              <w:pStyle w:val="TableParagraph"/>
              <w:spacing w:before="24"/>
              <w:ind w:right="77"/>
              <w:jc w:val="right"/>
              <w:rPr>
                <w:b/>
                <w:sz w:val="18"/>
              </w:rPr>
            </w:pPr>
            <w:r>
              <w:rPr>
                <w:b/>
                <w:w w:val="95"/>
                <w:sz w:val="18"/>
              </w:rPr>
              <w:t>Note</w:t>
            </w:r>
          </w:p>
        </w:tc>
        <w:tc>
          <w:tcPr>
            <w:tcW w:w="1535" w:type="dxa"/>
          </w:tcPr>
          <w:p>
            <w:pPr>
              <w:pStyle w:val="TableParagraph"/>
              <w:spacing w:before="24"/>
              <w:ind w:left="1000"/>
              <w:rPr>
                <w:b/>
                <w:sz w:val="18"/>
              </w:rPr>
            </w:pPr>
            <w:r>
              <w:rPr>
                <w:b/>
                <w:w w:val="99"/>
                <w:sz w:val="18"/>
              </w:rPr>
              <w:t>$</w:t>
            </w:r>
          </w:p>
        </w:tc>
        <w:tc>
          <w:tcPr>
            <w:tcW w:w="1059" w:type="dxa"/>
          </w:tcPr>
          <w:p>
            <w:pPr>
              <w:pStyle w:val="TableParagraph"/>
              <w:spacing w:before="24"/>
              <w:ind w:right="209"/>
              <w:jc w:val="right"/>
              <w:rPr>
                <w:b/>
                <w:sz w:val="18"/>
              </w:rPr>
            </w:pPr>
            <w:r>
              <w:rPr>
                <w:b/>
                <w:w w:val="99"/>
                <w:sz w:val="18"/>
              </w:rPr>
              <w:t>$</w:t>
            </w:r>
          </w:p>
        </w:tc>
      </w:tr>
      <w:tr>
        <w:trPr>
          <w:trHeight w:val="266" w:hRule="exact"/>
        </w:trPr>
        <w:tc>
          <w:tcPr>
            <w:tcW w:w="283" w:type="dxa"/>
          </w:tcPr>
          <w:p>
            <w:pPr/>
          </w:p>
        </w:tc>
        <w:tc>
          <w:tcPr>
            <w:tcW w:w="6070" w:type="dxa"/>
          </w:tcPr>
          <w:p>
            <w:pPr>
              <w:pStyle w:val="TableParagraph"/>
              <w:spacing w:before="21"/>
              <w:ind w:left="192"/>
              <w:rPr>
                <w:sz w:val="18"/>
              </w:rPr>
            </w:pPr>
            <w:r>
              <w:rPr>
                <w:sz w:val="18"/>
              </w:rPr>
              <w:t>Student receivables</w:t>
            </w:r>
          </w:p>
        </w:tc>
        <w:tc>
          <w:tcPr>
            <w:tcW w:w="1003" w:type="dxa"/>
          </w:tcPr>
          <w:p>
            <w:pPr/>
          </w:p>
        </w:tc>
        <w:tc>
          <w:tcPr>
            <w:tcW w:w="1535" w:type="dxa"/>
          </w:tcPr>
          <w:p>
            <w:pPr>
              <w:pStyle w:val="TableParagraph"/>
              <w:spacing w:before="22"/>
              <w:ind w:left="561"/>
              <w:rPr>
                <w:b/>
                <w:sz w:val="18"/>
              </w:rPr>
            </w:pPr>
            <w:r>
              <w:rPr>
                <w:b/>
                <w:sz w:val="18"/>
              </w:rPr>
              <w:t>151,122</w:t>
            </w:r>
          </w:p>
        </w:tc>
        <w:tc>
          <w:tcPr>
            <w:tcW w:w="1059" w:type="dxa"/>
          </w:tcPr>
          <w:p>
            <w:pPr>
              <w:pStyle w:val="TableParagraph"/>
              <w:spacing w:before="22"/>
              <w:ind w:left="323"/>
              <w:rPr>
                <w:sz w:val="18"/>
              </w:rPr>
            </w:pPr>
            <w:r>
              <w:rPr>
                <w:sz w:val="18"/>
              </w:rPr>
              <w:t>121,248</w:t>
            </w:r>
          </w:p>
        </w:tc>
      </w:tr>
      <w:tr>
        <w:trPr>
          <w:trHeight w:val="264" w:hRule="exact"/>
        </w:trPr>
        <w:tc>
          <w:tcPr>
            <w:tcW w:w="283" w:type="dxa"/>
          </w:tcPr>
          <w:p>
            <w:pPr/>
          </w:p>
        </w:tc>
        <w:tc>
          <w:tcPr>
            <w:tcW w:w="6070" w:type="dxa"/>
          </w:tcPr>
          <w:p>
            <w:pPr>
              <w:pStyle w:val="TableParagraph"/>
              <w:spacing w:before="18"/>
              <w:ind w:left="192"/>
              <w:rPr>
                <w:sz w:val="18"/>
              </w:rPr>
            </w:pPr>
            <w:r>
              <w:rPr>
                <w:sz w:val="18"/>
              </w:rPr>
              <w:t>Trade receivables</w:t>
            </w:r>
          </w:p>
        </w:tc>
        <w:tc>
          <w:tcPr>
            <w:tcW w:w="1003" w:type="dxa"/>
          </w:tcPr>
          <w:p>
            <w:pPr/>
          </w:p>
        </w:tc>
        <w:tc>
          <w:tcPr>
            <w:tcW w:w="1535" w:type="dxa"/>
          </w:tcPr>
          <w:p>
            <w:pPr>
              <w:pStyle w:val="TableParagraph"/>
              <w:spacing w:before="19"/>
              <w:ind w:left="562"/>
              <w:rPr>
                <w:b/>
                <w:sz w:val="18"/>
              </w:rPr>
            </w:pPr>
            <w:r>
              <w:rPr>
                <w:b/>
                <w:sz w:val="18"/>
              </w:rPr>
              <w:t>266,571</w:t>
            </w:r>
          </w:p>
        </w:tc>
        <w:tc>
          <w:tcPr>
            <w:tcW w:w="1059" w:type="dxa"/>
          </w:tcPr>
          <w:p>
            <w:pPr>
              <w:pStyle w:val="TableParagraph"/>
              <w:spacing w:before="19"/>
              <w:ind w:left="323"/>
              <w:rPr>
                <w:sz w:val="18"/>
              </w:rPr>
            </w:pPr>
            <w:r>
              <w:rPr>
                <w:sz w:val="18"/>
              </w:rPr>
              <w:t>304,953</w:t>
            </w:r>
          </w:p>
        </w:tc>
      </w:tr>
      <w:tr>
        <w:trPr>
          <w:trHeight w:val="263" w:hRule="exact"/>
        </w:trPr>
        <w:tc>
          <w:tcPr>
            <w:tcW w:w="283" w:type="dxa"/>
          </w:tcPr>
          <w:p>
            <w:pPr/>
          </w:p>
        </w:tc>
        <w:tc>
          <w:tcPr>
            <w:tcW w:w="6070" w:type="dxa"/>
          </w:tcPr>
          <w:p>
            <w:pPr>
              <w:pStyle w:val="TableParagraph"/>
              <w:spacing w:before="18"/>
              <w:ind w:left="192"/>
              <w:rPr>
                <w:sz w:val="18"/>
              </w:rPr>
            </w:pPr>
            <w:r>
              <w:rPr>
                <w:sz w:val="18"/>
              </w:rPr>
              <w:t>Less: Provision for impaired receivables</w:t>
            </w:r>
          </w:p>
        </w:tc>
        <w:tc>
          <w:tcPr>
            <w:tcW w:w="1003" w:type="dxa"/>
          </w:tcPr>
          <w:p>
            <w:pPr>
              <w:pStyle w:val="TableParagraph"/>
              <w:spacing w:before="20"/>
              <w:ind w:right="117"/>
              <w:jc w:val="right"/>
              <w:rPr>
                <w:sz w:val="18"/>
              </w:rPr>
            </w:pPr>
            <w:r>
              <w:rPr>
                <w:w w:val="95"/>
                <w:sz w:val="18"/>
              </w:rPr>
              <w:t>3(a)</w:t>
            </w:r>
          </w:p>
        </w:tc>
        <w:tc>
          <w:tcPr>
            <w:tcW w:w="1535" w:type="dxa"/>
            <w:tcBorders>
              <w:bottom w:val="single" w:sz="0" w:space="0" w:color="000000"/>
            </w:tcBorders>
          </w:tcPr>
          <w:p>
            <w:pPr>
              <w:pStyle w:val="TableParagraph"/>
              <w:spacing w:before="19"/>
              <w:ind w:right="261"/>
              <w:jc w:val="right"/>
              <w:rPr>
                <w:b/>
                <w:sz w:val="18"/>
              </w:rPr>
            </w:pPr>
            <w:r>
              <w:rPr>
                <w:b/>
                <w:w w:val="95"/>
                <w:sz w:val="18"/>
              </w:rPr>
              <w:t>(19,469)</w:t>
            </w:r>
          </w:p>
        </w:tc>
        <w:tc>
          <w:tcPr>
            <w:tcW w:w="1059" w:type="dxa"/>
            <w:tcBorders>
              <w:bottom w:val="single" w:sz="0" w:space="0" w:color="000000"/>
            </w:tcBorders>
          </w:tcPr>
          <w:p>
            <w:pPr>
              <w:pStyle w:val="TableParagraph"/>
              <w:spacing w:before="19"/>
              <w:ind w:right="22"/>
              <w:jc w:val="right"/>
              <w:rPr>
                <w:sz w:val="18"/>
              </w:rPr>
            </w:pPr>
            <w:r>
              <w:rPr>
                <w:w w:val="95"/>
                <w:sz w:val="18"/>
              </w:rPr>
              <w:t>(26,379)</w:t>
            </w:r>
          </w:p>
        </w:tc>
      </w:tr>
      <w:tr>
        <w:trPr>
          <w:trHeight w:val="338" w:hRule="exact"/>
        </w:trPr>
        <w:tc>
          <w:tcPr>
            <w:tcW w:w="283" w:type="dxa"/>
          </w:tcPr>
          <w:p>
            <w:pPr/>
          </w:p>
        </w:tc>
        <w:tc>
          <w:tcPr>
            <w:tcW w:w="6070" w:type="dxa"/>
          </w:tcPr>
          <w:p>
            <w:pPr>
              <w:pStyle w:val="TableParagraph"/>
              <w:spacing w:before="123"/>
              <w:ind w:left="192"/>
              <w:rPr>
                <w:b/>
                <w:sz w:val="18"/>
              </w:rPr>
            </w:pPr>
            <w:r>
              <w:rPr>
                <w:b/>
                <w:sz w:val="18"/>
              </w:rPr>
              <w:t>Net student and trade receivables</w:t>
            </w:r>
          </w:p>
        </w:tc>
        <w:tc>
          <w:tcPr>
            <w:tcW w:w="1003" w:type="dxa"/>
          </w:tcPr>
          <w:p>
            <w:pPr/>
          </w:p>
        </w:tc>
        <w:tc>
          <w:tcPr>
            <w:tcW w:w="1535" w:type="dxa"/>
            <w:tcBorders>
              <w:top w:val="single" w:sz="0" w:space="0" w:color="000000"/>
              <w:bottom w:val="single" w:sz="0" w:space="0" w:color="000000"/>
            </w:tcBorders>
          </w:tcPr>
          <w:p>
            <w:pPr>
              <w:pStyle w:val="TableParagraph"/>
              <w:spacing w:before="122"/>
              <w:ind w:left="561"/>
              <w:rPr>
                <w:b/>
                <w:sz w:val="18"/>
              </w:rPr>
            </w:pPr>
            <w:r>
              <w:rPr>
                <w:b/>
                <w:sz w:val="18"/>
              </w:rPr>
              <w:t>398,224</w:t>
            </w:r>
          </w:p>
        </w:tc>
        <w:tc>
          <w:tcPr>
            <w:tcW w:w="1059" w:type="dxa"/>
            <w:tcBorders>
              <w:top w:val="single" w:sz="0" w:space="0" w:color="000000"/>
              <w:bottom w:val="single" w:sz="0" w:space="0" w:color="000000"/>
            </w:tcBorders>
          </w:tcPr>
          <w:p>
            <w:pPr>
              <w:pStyle w:val="TableParagraph"/>
              <w:spacing w:before="122"/>
              <w:ind w:left="323"/>
              <w:rPr>
                <w:sz w:val="18"/>
              </w:rPr>
            </w:pPr>
            <w:r>
              <w:rPr>
                <w:sz w:val="18"/>
              </w:rPr>
              <w:t>399,822</w:t>
            </w:r>
          </w:p>
        </w:tc>
      </w:tr>
      <w:tr>
        <w:trPr>
          <w:trHeight w:val="284" w:hRule="exact"/>
        </w:trPr>
        <w:tc>
          <w:tcPr>
            <w:tcW w:w="283" w:type="dxa"/>
          </w:tcPr>
          <w:p>
            <w:pPr/>
          </w:p>
        </w:tc>
        <w:tc>
          <w:tcPr>
            <w:tcW w:w="6070" w:type="dxa"/>
          </w:tcPr>
          <w:p>
            <w:pPr>
              <w:pStyle w:val="TableParagraph"/>
              <w:spacing w:before="39"/>
              <w:ind w:left="192"/>
              <w:rPr>
                <w:sz w:val="18"/>
              </w:rPr>
            </w:pPr>
            <w:r>
              <w:rPr>
                <w:sz w:val="18"/>
              </w:rPr>
              <w:t>Accrued revenue</w:t>
            </w:r>
          </w:p>
        </w:tc>
        <w:tc>
          <w:tcPr>
            <w:tcW w:w="1003" w:type="dxa"/>
          </w:tcPr>
          <w:p>
            <w:pPr/>
          </w:p>
        </w:tc>
        <w:tc>
          <w:tcPr>
            <w:tcW w:w="1535" w:type="dxa"/>
            <w:tcBorders>
              <w:top w:val="single" w:sz="0" w:space="0" w:color="000000"/>
            </w:tcBorders>
          </w:tcPr>
          <w:p>
            <w:pPr>
              <w:pStyle w:val="TableParagraph"/>
              <w:spacing w:before="38"/>
              <w:ind w:right="321"/>
              <w:jc w:val="right"/>
              <w:rPr>
                <w:b/>
                <w:sz w:val="18"/>
              </w:rPr>
            </w:pPr>
            <w:r>
              <w:rPr>
                <w:b/>
                <w:w w:val="95"/>
                <w:sz w:val="18"/>
              </w:rPr>
              <w:t>28,288</w:t>
            </w:r>
          </w:p>
        </w:tc>
        <w:tc>
          <w:tcPr>
            <w:tcW w:w="1059" w:type="dxa"/>
            <w:tcBorders>
              <w:top w:val="single" w:sz="0" w:space="0" w:color="000000"/>
            </w:tcBorders>
          </w:tcPr>
          <w:p>
            <w:pPr>
              <w:pStyle w:val="TableParagraph"/>
              <w:spacing w:before="38"/>
              <w:ind w:right="220"/>
              <w:jc w:val="center"/>
              <w:rPr>
                <w:sz w:val="18"/>
              </w:rPr>
            </w:pPr>
            <w:r>
              <w:rPr>
                <w:w w:val="99"/>
                <w:sz w:val="18"/>
              </w:rPr>
              <w:t>-</w:t>
            </w:r>
          </w:p>
        </w:tc>
      </w:tr>
      <w:tr>
        <w:trPr>
          <w:trHeight w:val="265" w:hRule="exact"/>
        </w:trPr>
        <w:tc>
          <w:tcPr>
            <w:tcW w:w="283" w:type="dxa"/>
          </w:tcPr>
          <w:p>
            <w:pPr/>
          </w:p>
        </w:tc>
        <w:tc>
          <w:tcPr>
            <w:tcW w:w="6070" w:type="dxa"/>
          </w:tcPr>
          <w:p>
            <w:pPr>
              <w:pStyle w:val="TableParagraph"/>
              <w:spacing w:before="18"/>
              <w:ind w:left="192"/>
              <w:rPr>
                <w:sz w:val="18"/>
              </w:rPr>
            </w:pPr>
            <w:r>
              <w:rPr>
                <w:sz w:val="18"/>
              </w:rPr>
              <w:t>Accrued interest</w:t>
            </w:r>
          </w:p>
        </w:tc>
        <w:tc>
          <w:tcPr>
            <w:tcW w:w="1003" w:type="dxa"/>
          </w:tcPr>
          <w:p>
            <w:pPr/>
          </w:p>
        </w:tc>
        <w:tc>
          <w:tcPr>
            <w:tcW w:w="1535" w:type="dxa"/>
          </w:tcPr>
          <w:p>
            <w:pPr>
              <w:pStyle w:val="TableParagraph"/>
              <w:spacing w:before="19"/>
              <w:ind w:right="322"/>
              <w:jc w:val="right"/>
              <w:rPr>
                <w:b/>
                <w:sz w:val="18"/>
              </w:rPr>
            </w:pPr>
            <w:r>
              <w:rPr>
                <w:b/>
                <w:w w:val="95"/>
                <w:sz w:val="18"/>
              </w:rPr>
              <w:t>965</w:t>
            </w:r>
          </w:p>
        </w:tc>
        <w:tc>
          <w:tcPr>
            <w:tcW w:w="1059" w:type="dxa"/>
          </w:tcPr>
          <w:p>
            <w:pPr>
              <w:pStyle w:val="TableParagraph"/>
              <w:spacing w:before="19"/>
              <w:ind w:right="84"/>
              <w:jc w:val="right"/>
              <w:rPr>
                <w:sz w:val="18"/>
              </w:rPr>
            </w:pPr>
            <w:r>
              <w:rPr>
                <w:w w:val="95"/>
                <w:sz w:val="18"/>
              </w:rPr>
              <w:t>344</w:t>
            </w:r>
          </w:p>
        </w:tc>
      </w:tr>
      <w:tr>
        <w:trPr>
          <w:trHeight w:val="263" w:hRule="exact"/>
        </w:trPr>
        <w:tc>
          <w:tcPr>
            <w:tcW w:w="283" w:type="dxa"/>
          </w:tcPr>
          <w:p>
            <w:pPr/>
          </w:p>
        </w:tc>
        <w:tc>
          <w:tcPr>
            <w:tcW w:w="6070" w:type="dxa"/>
          </w:tcPr>
          <w:p>
            <w:pPr>
              <w:pStyle w:val="TableParagraph"/>
              <w:spacing w:before="20"/>
              <w:ind w:left="192"/>
              <w:rPr>
                <w:sz w:val="18"/>
              </w:rPr>
            </w:pPr>
            <w:r>
              <w:rPr>
                <w:sz w:val="18"/>
              </w:rPr>
              <w:t>Other receivables</w:t>
            </w:r>
          </w:p>
        </w:tc>
        <w:tc>
          <w:tcPr>
            <w:tcW w:w="1003" w:type="dxa"/>
          </w:tcPr>
          <w:p>
            <w:pPr/>
          </w:p>
        </w:tc>
        <w:tc>
          <w:tcPr>
            <w:tcW w:w="1535" w:type="dxa"/>
            <w:tcBorders>
              <w:bottom w:val="single" w:sz="0" w:space="0" w:color="000000"/>
            </w:tcBorders>
          </w:tcPr>
          <w:p>
            <w:pPr>
              <w:pStyle w:val="TableParagraph"/>
              <w:spacing w:before="19"/>
              <w:ind w:right="322"/>
              <w:jc w:val="right"/>
              <w:rPr>
                <w:b/>
                <w:sz w:val="18"/>
              </w:rPr>
            </w:pPr>
            <w:r>
              <w:rPr>
                <w:b/>
                <w:w w:val="95"/>
                <w:sz w:val="18"/>
              </w:rPr>
              <w:t>2,111</w:t>
            </w:r>
          </w:p>
        </w:tc>
        <w:tc>
          <w:tcPr>
            <w:tcW w:w="1059" w:type="dxa"/>
            <w:tcBorders>
              <w:bottom w:val="single" w:sz="0" w:space="0" w:color="000000"/>
            </w:tcBorders>
          </w:tcPr>
          <w:p>
            <w:pPr>
              <w:pStyle w:val="TableParagraph"/>
              <w:spacing w:before="19"/>
              <w:ind w:right="83"/>
              <w:jc w:val="right"/>
              <w:rPr>
                <w:sz w:val="18"/>
              </w:rPr>
            </w:pPr>
            <w:r>
              <w:rPr>
                <w:w w:val="95"/>
                <w:sz w:val="18"/>
              </w:rPr>
              <w:t>1,571</w:t>
            </w:r>
          </w:p>
        </w:tc>
      </w:tr>
      <w:tr>
        <w:trPr>
          <w:trHeight w:val="353" w:hRule="exact"/>
        </w:trPr>
        <w:tc>
          <w:tcPr>
            <w:tcW w:w="283" w:type="dxa"/>
          </w:tcPr>
          <w:p>
            <w:pPr/>
          </w:p>
        </w:tc>
        <w:tc>
          <w:tcPr>
            <w:tcW w:w="6070" w:type="dxa"/>
          </w:tcPr>
          <w:p>
            <w:pPr>
              <w:pStyle w:val="TableParagraph"/>
              <w:spacing w:before="123"/>
              <w:ind w:left="192"/>
              <w:rPr>
                <w:b/>
                <w:sz w:val="18"/>
              </w:rPr>
            </w:pPr>
            <w:r>
              <w:rPr>
                <w:b/>
                <w:sz w:val="18"/>
              </w:rPr>
              <w:t>Total current trade and other receivables</w:t>
            </w:r>
          </w:p>
        </w:tc>
        <w:tc>
          <w:tcPr>
            <w:tcW w:w="1003" w:type="dxa"/>
          </w:tcPr>
          <w:p>
            <w:pPr/>
          </w:p>
        </w:tc>
        <w:tc>
          <w:tcPr>
            <w:tcW w:w="1535" w:type="dxa"/>
            <w:tcBorders>
              <w:top w:val="single" w:sz="0" w:space="0" w:color="000000"/>
              <w:bottom w:val="single" w:sz="0" w:space="0" w:color="000000"/>
            </w:tcBorders>
          </w:tcPr>
          <w:p>
            <w:pPr>
              <w:pStyle w:val="TableParagraph"/>
              <w:spacing w:before="122"/>
              <w:ind w:left="561"/>
              <w:rPr>
                <w:b/>
                <w:sz w:val="18"/>
              </w:rPr>
            </w:pPr>
            <w:r>
              <w:rPr>
                <w:b/>
                <w:sz w:val="18"/>
              </w:rPr>
              <w:t>429,588</w:t>
            </w:r>
          </w:p>
        </w:tc>
        <w:tc>
          <w:tcPr>
            <w:tcW w:w="1059" w:type="dxa"/>
            <w:tcBorders>
              <w:top w:val="single" w:sz="0" w:space="0" w:color="000000"/>
              <w:bottom w:val="single" w:sz="0" w:space="0" w:color="000000"/>
            </w:tcBorders>
          </w:tcPr>
          <w:p>
            <w:pPr>
              <w:pStyle w:val="TableParagraph"/>
              <w:spacing w:before="122"/>
              <w:ind w:left="323"/>
              <w:rPr>
                <w:sz w:val="18"/>
              </w:rPr>
            </w:pPr>
            <w:r>
              <w:rPr>
                <w:sz w:val="18"/>
              </w:rPr>
              <w:t>401,737</w:t>
            </w:r>
          </w:p>
        </w:tc>
      </w:tr>
      <w:tr>
        <w:trPr>
          <w:trHeight w:val="695" w:hRule="exact"/>
        </w:trPr>
        <w:tc>
          <w:tcPr>
            <w:tcW w:w="283" w:type="dxa"/>
          </w:tcPr>
          <w:p>
            <w:pPr/>
          </w:p>
        </w:tc>
        <w:tc>
          <w:tcPr>
            <w:tcW w:w="6070" w:type="dxa"/>
          </w:tcPr>
          <w:p>
            <w:pPr>
              <w:pStyle w:val="TableParagraph"/>
              <w:rPr>
                <w:b/>
                <w:sz w:val="18"/>
              </w:rPr>
            </w:pPr>
          </w:p>
          <w:p>
            <w:pPr>
              <w:pStyle w:val="TableParagraph"/>
              <w:tabs>
                <w:tab w:pos="714" w:val="left" w:leader="none"/>
              </w:tabs>
              <w:spacing w:before="125"/>
              <w:ind w:left="147"/>
              <w:rPr>
                <w:b/>
                <w:sz w:val="18"/>
              </w:rPr>
            </w:pPr>
            <w:r>
              <w:rPr>
                <w:b/>
                <w:sz w:val="18"/>
              </w:rPr>
              <w:t>(a)</w:t>
              <w:tab/>
              <w:t>Provision for impairment of</w:t>
            </w:r>
            <w:r>
              <w:rPr>
                <w:b/>
                <w:spacing w:val="-1"/>
                <w:sz w:val="18"/>
              </w:rPr>
              <w:t> </w:t>
            </w:r>
            <w:r>
              <w:rPr>
                <w:b/>
                <w:sz w:val="18"/>
              </w:rPr>
              <w:t>receivables</w:t>
            </w:r>
          </w:p>
        </w:tc>
        <w:tc>
          <w:tcPr>
            <w:tcW w:w="1003" w:type="dxa"/>
          </w:tcPr>
          <w:p>
            <w:pPr/>
          </w:p>
        </w:tc>
        <w:tc>
          <w:tcPr>
            <w:tcW w:w="1535" w:type="dxa"/>
            <w:tcBorders>
              <w:top w:val="single" w:sz="0" w:space="0" w:color="000000"/>
            </w:tcBorders>
          </w:tcPr>
          <w:p>
            <w:pPr/>
          </w:p>
        </w:tc>
        <w:tc>
          <w:tcPr>
            <w:tcW w:w="1059" w:type="dxa"/>
            <w:tcBorders>
              <w:top w:val="single" w:sz="0" w:space="0" w:color="000000"/>
            </w:tcBorders>
          </w:tcPr>
          <w:p>
            <w:pPr/>
          </w:p>
        </w:tc>
      </w:tr>
      <w:tr>
        <w:trPr>
          <w:trHeight w:val="626" w:hRule="exact"/>
        </w:trPr>
        <w:tc>
          <w:tcPr>
            <w:tcW w:w="283" w:type="dxa"/>
          </w:tcPr>
          <w:p>
            <w:pPr/>
          </w:p>
        </w:tc>
        <w:tc>
          <w:tcPr>
            <w:tcW w:w="6070" w:type="dxa"/>
          </w:tcPr>
          <w:p>
            <w:pPr>
              <w:pStyle w:val="TableParagraph"/>
              <w:spacing w:before="136"/>
              <w:ind w:left="715"/>
              <w:rPr>
                <w:sz w:val="18"/>
              </w:rPr>
            </w:pPr>
            <w:r>
              <w:rPr>
                <w:sz w:val="18"/>
              </w:rPr>
              <w:t>Movement in provision for impaired receivables is as follows:</w:t>
            </w:r>
          </w:p>
        </w:tc>
        <w:tc>
          <w:tcPr>
            <w:tcW w:w="1003" w:type="dxa"/>
          </w:tcPr>
          <w:p>
            <w:pPr/>
          </w:p>
        </w:tc>
        <w:tc>
          <w:tcPr>
            <w:tcW w:w="1535" w:type="dxa"/>
          </w:tcPr>
          <w:p>
            <w:pPr>
              <w:pStyle w:val="TableParagraph"/>
              <w:rPr>
                <w:b/>
                <w:sz w:val="18"/>
              </w:rPr>
            </w:pPr>
          </w:p>
          <w:p>
            <w:pPr>
              <w:pStyle w:val="TableParagraph"/>
              <w:spacing w:before="8"/>
              <w:rPr>
                <w:b/>
                <w:sz w:val="14"/>
              </w:rPr>
            </w:pPr>
          </w:p>
          <w:p>
            <w:pPr>
              <w:pStyle w:val="TableParagraph"/>
              <w:ind w:left="651"/>
              <w:rPr>
                <w:b/>
                <w:sz w:val="18"/>
              </w:rPr>
            </w:pPr>
            <w:r>
              <w:rPr>
                <w:b/>
                <w:sz w:val="18"/>
              </w:rPr>
              <w:t>2017</w:t>
            </w:r>
          </w:p>
        </w:tc>
        <w:tc>
          <w:tcPr>
            <w:tcW w:w="1059" w:type="dxa"/>
          </w:tcPr>
          <w:p>
            <w:pPr>
              <w:pStyle w:val="TableParagraph"/>
              <w:rPr>
                <w:b/>
                <w:sz w:val="18"/>
              </w:rPr>
            </w:pPr>
          </w:p>
          <w:p>
            <w:pPr>
              <w:pStyle w:val="TableParagraph"/>
              <w:spacing w:before="8"/>
              <w:rPr>
                <w:b/>
                <w:sz w:val="14"/>
              </w:rPr>
            </w:pPr>
          </w:p>
          <w:p>
            <w:pPr>
              <w:pStyle w:val="TableParagraph"/>
              <w:ind w:left="463"/>
              <w:rPr>
                <w:b/>
                <w:sz w:val="18"/>
              </w:rPr>
            </w:pPr>
            <w:r>
              <w:rPr>
                <w:b/>
                <w:sz w:val="18"/>
              </w:rPr>
              <w:t>2016</w:t>
            </w:r>
          </w:p>
        </w:tc>
      </w:tr>
      <w:tr>
        <w:trPr>
          <w:trHeight w:val="271" w:hRule="exact"/>
        </w:trPr>
        <w:tc>
          <w:tcPr>
            <w:tcW w:w="283" w:type="dxa"/>
          </w:tcPr>
          <w:p>
            <w:pPr/>
          </w:p>
        </w:tc>
        <w:tc>
          <w:tcPr>
            <w:tcW w:w="6070" w:type="dxa"/>
          </w:tcPr>
          <w:p>
            <w:pPr/>
          </w:p>
        </w:tc>
        <w:tc>
          <w:tcPr>
            <w:tcW w:w="1003" w:type="dxa"/>
          </w:tcPr>
          <w:p>
            <w:pPr/>
          </w:p>
        </w:tc>
        <w:tc>
          <w:tcPr>
            <w:tcW w:w="1535" w:type="dxa"/>
          </w:tcPr>
          <w:p>
            <w:pPr>
              <w:pStyle w:val="TableParagraph"/>
              <w:spacing w:before="24"/>
              <w:ind w:left="369"/>
              <w:jc w:val="center"/>
              <w:rPr>
                <w:b/>
                <w:sz w:val="18"/>
              </w:rPr>
            </w:pPr>
            <w:r>
              <w:rPr>
                <w:b/>
                <w:w w:val="99"/>
                <w:sz w:val="18"/>
              </w:rPr>
              <w:t>$</w:t>
            </w:r>
          </w:p>
        </w:tc>
        <w:tc>
          <w:tcPr>
            <w:tcW w:w="1059" w:type="dxa"/>
          </w:tcPr>
          <w:p>
            <w:pPr>
              <w:pStyle w:val="TableParagraph"/>
              <w:spacing w:before="24"/>
              <w:ind w:left="689"/>
              <w:rPr>
                <w:b/>
                <w:sz w:val="18"/>
              </w:rPr>
            </w:pPr>
            <w:r>
              <w:rPr>
                <w:b/>
                <w:w w:val="99"/>
                <w:sz w:val="18"/>
              </w:rPr>
              <w:t>$</w:t>
            </w:r>
          </w:p>
        </w:tc>
      </w:tr>
      <w:tr>
        <w:trPr>
          <w:trHeight w:val="267" w:hRule="exact"/>
        </w:trPr>
        <w:tc>
          <w:tcPr>
            <w:tcW w:w="283" w:type="dxa"/>
          </w:tcPr>
          <w:p>
            <w:pPr/>
          </w:p>
        </w:tc>
        <w:tc>
          <w:tcPr>
            <w:tcW w:w="6070" w:type="dxa"/>
          </w:tcPr>
          <w:p>
            <w:pPr>
              <w:pStyle w:val="TableParagraph"/>
              <w:spacing w:before="22"/>
              <w:ind w:left="715"/>
              <w:rPr>
                <w:sz w:val="18"/>
              </w:rPr>
            </w:pPr>
            <w:r>
              <w:rPr>
                <w:sz w:val="18"/>
              </w:rPr>
              <w:t>Opening balance as at 1 January</w:t>
            </w:r>
          </w:p>
        </w:tc>
        <w:tc>
          <w:tcPr>
            <w:tcW w:w="1003" w:type="dxa"/>
          </w:tcPr>
          <w:p>
            <w:pPr/>
          </w:p>
        </w:tc>
        <w:tc>
          <w:tcPr>
            <w:tcW w:w="1535" w:type="dxa"/>
          </w:tcPr>
          <w:p>
            <w:pPr>
              <w:pStyle w:val="TableParagraph"/>
              <w:spacing w:before="21"/>
              <w:ind w:right="322"/>
              <w:jc w:val="right"/>
              <w:rPr>
                <w:b/>
                <w:sz w:val="18"/>
              </w:rPr>
            </w:pPr>
            <w:r>
              <w:rPr>
                <w:b/>
                <w:w w:val="95"/>
                <w:sz w:val="18"/>
              </w:rPr>
              <w:t>26,379</w:t>
            </w:r>
          </w:p>
        </w:tc>
        <w:tc>
          <w:tcPr>
            <w:tcW w:w="1059" w:type="dxa"/>
          </w:tcPr>
          <w:p>
            <w:pPr>
              <w:pStyle w:val="TableParagraph"/>
              <w:spacing w:before="21"/>
              <w:ind w:left="322"/>
              <w:rPr>
                <w:sz w:val="18"/>
              </w:rPr>
            </w:pPr>
            <w:r>
              <w:rPr>
                <w:sz w:val="18"/>
              </w:rPr>
              <w:t>258,905</w:t>
            </w:r>
          </w:p>
        </w:tc>
      </w:tr>
      <w:tr>
        <w:trPr>
          <w:trHeight w:val="264" w:hRule="exact"/>
        </w:trPr>
        <w:tc>
          <w:tcPr>
            <w:tcW w:w="283" w:type="dxa"/>
          </w:tcPr>
          <w:p>
            <w:pPr/>
          </w:p>
        </w:tc>
        <w:tc>
          <w:tcPr>
            <w:tcW w:w="6070" w:type="dxa"/>
          </w:tcPr>
          <w:p>
            <w:pPr>
              <w:pStyle w:val="TableParagraph"/>
              <w:spacing w:before="19"/>
              <w:ind w:left="715"/>
              <w:rPr>
                <w:sz w:val="18"/>
              </w:rPr>
            </w:pPr>
            <w:r>
              <w:rPr>
                <w:sz w:val="18"/>
              </w:rPr>
              <w:t>Provision for impairment recognised during the year</w:t>
            </w:r>
          </w:p>
        </w:tc>
        <w:tc>
          <w:tcPr>
            <w:tcW w:w="1003" w:type="dxa"/>
          </w:tcPr>
          <w:p>
            <w:pPr/>
          </w:p>
        </w:tc>
        <w:tc>
          <w:tcPr>
            <w:tcW w:w="1535" w:type="dxa"/>
          </w:tcPr>
          <w:p>
            <w:pPr>
              <w:pStyle w:val="TableParagraph"/>
              <w:spacing w:before="18"/>
              <w:ind w:right="321"/>
              <w:jc w:val="right"/>
              <w:rPr>
                <w:b/>
                <w:sz w:val="18"/>
              </w:rPr>
            </w:pPr>
            <w:r>
              <w:rPr>
                <w:b/>
                <w:w w:val="95"/>
                <w:sz w:val="18"/>
              </w:rPr>
              <w:t>27,097</w:t>
            </w:r>
          </w:p>
        </w:tc>
        <w:tc>
          <w:tcPr>
            <w:tcW w:w="1059" w:type="dxa"/>
          </w:tcPr>
          <w:p>
            <w:pPr>
              <w:pStyle w:val="TableParagraph"/>
              <w:spacing w:before="18"/>
              <w:ind w:right="83"/>
              <w:jc w:val="right"/>
              <w:rPr>
                <w:sz w:val="18"/>
              </w:rPr>
            </w:pPr>
            <w:r>
              <w:rPr>
                <w:w w:val="95"/>
                <w:sz w:val="18"/>
              </w:rPr>
              <w:t>16,137</w:t>
            </w:r>
          </w:p>
        </w:tc>
      </w:tr>
      <w:tr>
        <w:trPr>
          <w:trHeight w:val="262" w:hRule="exact"/>
        </w:trPr>
        <w:tc>
          <w:tcPr>
            <w:tcW w:w="283" w:type="dxa"/>
          </w:tcPr>
          <w:p>
            <w:pPr/>
          </w:p>
        </w:tc>
        <w:tc>
          <w:tcPr>
            <w:tcW w:w="6070" w:type="dxa"/>
          </w:tcPr>
          <w:p>
            <w:pPr>
              <w:pStyle w:val="TableParagraph"/>
              <w:spacing w:before="19"/>
              <w:ind w:left="715"/>
              <w:rPr>
                <w:sz w:val="18"/>
              </w:rPr>
            </w:pPr>
            <w:r>
              <w:rPr>
                <w:sz w:val="18"/>
              </w:rPr>
              <w:t>Bad debts written off</w:t>
            </w:r>
          </w:p>
        </w:tc>
        <w:tc>
          <w:tcPr>
            <w:tcW w:w="1003" w:type="dxa"/>
          </w:tcPr>
          <w:p>
            <w:pPr/>
          </w:p>
        </w:tc>
        <w:tc>
          <w:tcPr>
            <w:tcW w:w="1535" w:type="dxa"/>
            <w:tcBorders>
              <w:bottom w:val="single" w:sz="0" w:space="0" w:color="000000"/>
            </w:tcBorders>
          </w:tcPr>
          <w:p>
            <w:pPr>
              <w:pStyle w:val="TableParagraph"/>
              <w:spacing w:before="18"/>
              <w:ind w:right="261"/>
              <w:jc w:val="right"/>
              <w:rPr>
                <w:b/>
                <w:sz w:val="18"/>
              </w:rPr>
            </w:pPr>
            <w:r>
              <w:rPr>
                <w:b/>
                <w:w w:val="95"/>
                <w:sz w:val="18"/>
              </w:rPr>
              <w:t>(34,007)</w:t>
            </w:r>
          </w:p>
        </w:tc>
        <w:tc>
          <w:tcPr>
            <w:tcW w:w="1059" w:type="dxa"/>
            <w:tcBorders>
              <w:bottom w:val="single" w:sz="0" w:space="0" w:color="000000"/>
            </w:tcBorders>
          </w:tcPr>
          <w:p>
            <w:pPr>
              <w:pStyle w:val="TableParagraph"/>
              <w:spacing w:before="18"/>
              <w:ind w:right="23"/>
              <w:jc w:val="right"/>
              <w:rPr>
                <w:sz w:val="18"/>
              </w:rPr>
            </w:pPr>
            <w:r>
              <w:rPr>
                <w:w w:val="95"/>
                <w:sz w:val="18"/>
              </w:rPr>
              <w:t>(248,663)</w:t>
            </w:r>
          </w:p>
        </w:tc>
      </w:tr>
      <w:tr>
        <w:trPr>
          <w:trHeight w:val="353" w:hRule="exact"/>
        </w:trPr>
        <w:tc>
          <w:tcPr>
            <w:tcW w:w="283" w:type="dxa"/>
          </w:tcPr>
          <w:p>
            <w:pPr/>
          </w:p>
        </w:tc>
        <w:tc>
          <w:tcPr>
            <w:tcW w:w="6070" w:type="dxa"/>
          </w:tcPr>
          <w:p>
            <w:pPr>
              <w:pStyle w:val="TableParagraph"/>
              <w:spacing w:before="123"/>
              <w:ind w:left="715"/>
              <w:rPr>
                <w:b/>
                <w:sz w:val="18"/>
              </w:rPr>
            </w:pPr>
            <w:r>
              <w:rPr>
                <w:b/>
                <w:sz w:val="18"/>
              </w:rPr>
              <w:t>Balance as at 31 December</w:t>
            </w:r>
          </w:p>
        </w:tc>
        <w:tc>
          <w:tcPr>
            <w:tcW w:w="1003" w:type="dxa"/>
          </w:tcPr>
          <w:p>
            <w:pPr/>
          </w:p>
        </w:tc>
        <w:tc>
          <w:tcPr>
            <w:tcW w:w="1535" w:type="dxa"/>
            <w:tcBorders>
              <w:top w:val="single" w:sz="0" w:space="0" w:color="000000"/>
              <w:bottom w:val="single" w:sz="0" w:space="0" w:color="000000"/>
            </w:tcBorders>
          </w:tcPr>
          <w:p>
            <w:pPr>
              <w:pStyle w:val="TableParagraph"/>
              <w:spacing w:before="122"/>
              <w:ind w:right="321"/>
              <w:jc w:val="right"/>
              <w:rPr>
                <w:b/>
                <w:sz w:val="18"/>
              </w:rPr>
            </w:pPr>
            <w:r>
              <w:rPr>
                <w:b/>
                <w:w w:val="95"/>
                <w:sz w:val="18"/>
              </w:rPr>
              <w:t>19,469</w:t>
            </w:r>
          </w:p>
        </w:tc>
        <w:tc>
          <w:tcPr>
            <w:tcW w:w="1059" w:type="dxa"/>
            <w:tcBorders>
              <w:top w:val="single" w:sz="0" w:space="0" w:color="000000"/>
              <w:bottom w:val="single" w:sz="0" w:space="0" w:color="000000"/>
            </w:tcBorders>
          </w:tcPr>
          <w:p>
            <w:pPr>
              <w:pStyle w:val="TableParagraph"/>
              <w:spacing w:before="122"/>
              <w:ind w:right="83"/>
              <w:jc w:val="right"/>
              <w:rPr>
                <w:sz w:val="18"/>
              </w:rPr>
            </w:pPr>
            <w:r>
              <w:rPr>
                <w:w w:val="95"/>
                <w:sz w:val="18"/>
              </w:rPr>
              <w:t>26,379</w:t>
            </w:r>
          </w:p>
        </w:tc>
      </w:tr>
    </w:tbl>
    <w:p>
      <w:pPr>
        <w:pStyle w:val="BodyText"/>
        <w:spacing w:before="6"/>
        <w:rPr>
          <w:b/>
          <w:sz w:val="20"/>
        </w:rPr>
      </w:pPr>
    </w:p>
    <w:p>
      <w:pPr>
        <w:pStyle w:val="BodyText"/>
        <w:spacing w:before="77"/>
        <w:ind w:left="1111" w:right="296"/>
        <w:jc w:val="both"/>
      </w:pPr>
      <w:r>
        <w:rPr/>
        <w:t>The creation and release of the provision for impaired receivables has been included in ‘other expenses’ in the statement of comprehensive income. Amounts charged to the provision account are generally written off when there is no expectation of recovering additional cash.</w:t>
      </w:r>
    </w:p>
    <w:p>
      <w:pPr>
        <w:pStyle w:val="BodyText"/>
        <w:rPr>
          <w:sz w:val="25"/>
        </w:rPr>
      </w:pPr>
    </w:p>
    <w:p>
      <w:pPr>
        <w:pStyle w:val="BodyText"/>
        <w:ind w:left="1111" w:right="533"/>
      </w:pPr>
      <w:r>
        <w:rPr/>
        <w:t>The other amounts within receivables do not contain impaired assets and are not past due. Based on credit history, it is expected that these amounts will be received when due.</w:t>
      </w:r>
    </w:p>
    <w:p>
      <w:pPr>
        <w:pStyle w:val="BodyText"/>
        <w:rPr>
          <w:sz w:val="25"/>
        </w:rPr>
      </w:pPr>
    </w:p>
    <w:p>
      <w:pPr>
        <w:pStyle w:val="Heading9"/>
        <w:ind w:left="1112" w:right="19"/>
      </w:pPr>
      <w:r>
        <w:rPr/>
        <w:t>Credit risk</w:t>
      </w:r>
    </w:p>
    <w:p>
      <w:pPr>
        <w:pStyle w:val="BodyText"/>
        <w:rPr>
          <w:b/>
          <w:sz w:val="25"/>
        </w:rPr>
      </w:pPr>
    </w:p>
    <w:p>
      <w:pPr>
        <w:pStyle w:val="BodyText"/>
        <w:ind w:left="1112" w:right="293"/>
      </w:pPr>
      <w:r>
        <w:rPr/>
        <w:t>The Company has no significant concentration of credit risk with respect to any single counterparty or group of counterparties. The class of assets described as 'trade and other receivables' is considered to be the main source of credit risk related to the Company.</w:t>
      </w:r>
    </w:p>
    <w:p>
      <w:pPr>
        <w:pStyle w:val="BodyText"/>
        <w:spacing w:before="11"/>
        <w:rPr>
          <w:sz w:val="24"/>
        </w:rPr>
      </w:pPr>
    </w:p>
    <w:p>
      <w:pPr>
        <w:pStyle w:val="BodyText"/>
        <w:ind w:left="1112" w:right="19" w:hanging="1"/>
      </w:pPr>
      <w:r>
        <w:rPr/>
        <w:t>On a geographical basis, the Company has credit risk exposures in Australia only as all transactions are conducted in Australian dollars.</w:t>
      </w:r>
    </w:p>
    <w:p>
      <w:pPr>
        <w:spacing w:after="0"/>
        <w:sectPr>
          <w:pgSz w:w="11910" w:h="16840"/>
          <w:pgMar w:header="1038" w:footer="507" w:top="1720" w:bottom="700" w:left="860" w:right="860"/>
        </w:sectPr>
      </w:pPr>
    </w:p>
    <w:p>
      <w:pPr>
        <w:pStyle w:val="BodyText"/>
        <w:spacing w:before="2"/>
        <w:rPr>
          <w:sz w:val="24"/>
        </w:rPr>
      </w:pPr>
    </w:p>
    <w:p>
      <w:pPr>
        <w:pStyle w:val="Heading3"/>
        <w:ind w:left="147" w:right="19"/>
      </w:pPr>
      <w:r>
        <w:rPr/>
        <w:t>Notes to the Financial Statements</w:t>
      </w:r>
    </w:p>
    <w:p>
      <w:pPr>
        <w:pStyle w:val="Heading6"/>
        <w:ind w:left="147" w:right="19"/>
      </w:pPr>
      <w:r>
        <w:rPr/>
        <w:t>For the Year Ended 31 December 2017</w:t>
      </w:r>
    </w:p>
    <w:p>
      <w:pPr>
        <w:pStyle w:val="BodyText"/>
        <w:rPr>
          <w:b/>
          <w:sz w:val="22"/>
        </w:rPr>
      </w:pPr>
    </w:p>
    <w:p>
      <w:pPr>
        <w:pStyle w:val="BodyText"/>
        <w:rPr>
          <w:b/>
          <w:sz w:val="22"/>
        </w:rPr>
      </w:pPr>
    </w:p>
    <w:p>
      <w:pPr>
        <w:pStyle w:val="Heading9"/>
        <w:tabs>
          <w:tab w:pos="545" w:val="left" w:leader="none"/>
        </w:tabs>
        <w:spacing w:before="160"/>
        <w:ind w:left="149" w:right="19"/>
      </w:pPr>
      <w:r>
        <w:rPr/>
        <w:t>3</w:t>
        <w:tab/>
        <w:t>Trade and other receivables continued</w:t>
      </w:r>
    </w:p>
    <w:p>
      <w:pPr>
        <w:pStyle w:val="BodyText"/>
        <w:rPr>
          <w:b/>
          <w:sz w:val="25"/>
        </w:rPr>
      </w:pPr>
    </w:p>
    <w:p>
      <w:pPr>
        <w:pStyle w:val="BodyText"/>
        <w:ind w:left="545" w:right="99"/>
      </w:pPr>
      <w:r>
        <w:rPr/>
        <w:t>As at 31 December 2017, current trade and other receivables with a nominal value of $19,469 (2016: $26,379) were impaired. The amount of the provision was $19,469 (2016: $23,679). The individually impaired receivables mainly relate to individual debtors whose balances aged greater than 90 days.</w:t>
      </w:r>
    </w:p>
    <w:p>
      <w:pPr>
        <w:pStyle w:val="BodyText"/>
        <w:rPr>
          <w:sz w:val="25"/>
        </w:rPr>
      </w:pPr>
    </w:p>
    <w:p>
      <w:pPr>
        <w:pStyle w:val="BodyText"/>
        <w:spacing w:after="22"/>
        <w:ind w:left="545" w:right="19"/>
      </w:pPr>
      <w:r>
        <w:rPr/>
        <w:t>As at 31 December 2017 current trade and other receivables of $429,588 (2016: $401,737) were past due but not</w:t>
      </w:r>
    </w:p>
    <w:tbl>
      <w:tblPr>
        <w:tblW w:w="0" w:type="auto"/>
        <w:jc w:val="left"/>
        <w:tblInd w:w="5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709"/>
        <w:gridCol w:w="846"/>
      </w:tblGrid>
      <w:tr>
        <w:trPr>
          <w:trHeight w:val="416" w:hRule="exact"/>
        </w:trPr>
        <w:tc>
          <w:tcPr>
            <w:tcW w:w="8709" w:type="dxa"/>
          </w:tcPr>
          <w:p>
            <w:pPr>
              <w:pStyle w:val="TableParagraph"/>
              <w:spacing w:line="184" w:lineRule="exact"/>
              <w:ind w:left="35"/>
              <w:rPr>
                <w:sz w:val="18"/>
              </w:rPr>
            </w:pPr>
            <w:r>
              <w:rPr>
                <w:sz w:val="18"/>
              </w:rPr>
              <w:t>impaired.  These relate to a number of independent customers for whom there is no recent history of default.</w:t>
            </w:r>
          </w:p>
          <w:p>
            <w:pPr>
              <w:pStyle w:val="TableParagraph"/>
              <w:spacing w:line="207" w:lineRule="exact"/>
              <w:ind w:left="35"/>
              <w:rPr>
                <w:sz w:val="18"/>
              </w:rPr>
            </w:pPr>
            <w:r>
              <w:rPr>
                <w:sz w:val="18"/>
              </w:rPr>
              <w:t>ageing analysis of these receivables is as follows:</w:t>
            </w:r>
          </w:p>
        </w:tc>
        <w:tc>
          <w:tcPr>
            <w:tcW w:w="846" w:type="dxa"/>
          </w:tcPr>
          <w:p>
            <w:pPr>
              <w:pStyle w:val="TableParagraph"/>
              <w:spacing w:line="184" w:lineRule="exact"/>
              <w:ind w:left="50"/>
              <w:rPr>
                <w:sz w:val="18"/>
              </w:rPr>
            </w:pPr>
            <w:r>
              <w:rPr>
                <w:sz w:val="18"/>
              </w:rPr>
              <w:t>The</w:t>
            </w:r>
          </w:p>
        </w:tc>
      </w:tr>
      <w:tr>
        <w:trPr>
          <w:trHeight w:val="257" w:hRule="exact"/>
        </w:trPr>
        <w:tc>
          <w:tcPr>
            <w:tcW w:w="8709" w:type="dxa"/>
          </w:tcPr>
          <w:p>
            <w:pPr>
              <w:pStyle w:val="TableParagraph"/>
              <w:spacing w:before="7"/>
              <w:ind w:right="619"/>
              <w:jc w:val="right"/>
              <w:rPr>
                <w:b/>
                <w:sz w:val="18"/>
              </w:rPr>
            </w:pPr>
            <w:r>
              <w:rPr>
                <w:b/>
                <w:sz w:val="18"/>
              </w:rPr>
              <w:t>2017</w:t>
            </w:r>
          </w:p>
        </w:tc>
        <w:tc>
          <w:tcPr>
            <w:tcW w:w="846" w:type="dxa"/>
          </w:tcPr>
          <w:p>
            <w:pPr>
              <w:pStyle w:val="TableParagraph"/>
              <w:spacing w:before="7"/>
              <w:ind w:left="261"/>
              <w:rPr>
                <w:b/>
                <w:sz w:val="18"/>
              </w:rPr>
            </w:pPr>
            <w:r>
              <w:rPr>
                <w:b/>
                <w:sz w:val="18"/>
              </w:rPr>
              <w:t>2016</w:t>
            </w:r>
          </w:p>
        </w:tc>
      </w:tr>
      <w:tr>
        <w:trPr>
          <w:trHeight w:val="271" w:hRule="exact"/>
        </w:trPr>
        <w:tc>
          <w:tcPr>
            <w:tcW w:w="8709" w:type="dxa"/>
          </w:tcPr>
          <w:p>
            <w:pPr>
              <w:pStyle w:val="TableParagraph"/>
              <w:spacing w:before="24"/>
              <w:ind w:right="693"/>
              <w:jc w:val="right"/>
              <w:rPr>
                <w:b/>
                <w:sz w:val="18"/>
              </w:rPr>
            </w:pPr>
            <w:r>
              <w:rPr>
                <w:b/>
                <w:w w:val="99"/>
                <w:sz w:val="18"/>
              </w:rPr>
              <w:t>$</w:t>
            </w:r>
          </w:p>
        </w:tc>
        <w:tc>
          <w:tcPr>
            <w:tcW w:w="846" w:type="dxa"/>
          </w:tcPr>
          <w:p>
            <w:pPr>
              <w:pStyle w:val="TableParagraph"/>
              <w:spacing w:before="24"/>
              <w:ind w:left="177"/>
              <w:jc w:val="center"/>
              <w:rPr>
                <w:b/>
                <w:sz w:val="18"/>
              </w:rPr>
            </w:pPr>
            <w:r>
              <w:rPr>
                <w:b/>
                <w:w w:val="99"/>
                <w:sz w:val="18"/>
              </w:rPr>
              <w:t>$</w:t>
            </w:r>
          </w:p>
        </w:tc>
      </w:tr>
      <w:tr>
        <w:trPr>
          <w:trHeight w:val="267" w:hRule="exact"/>
        </w:trPr>
        <w:tc>
          <w:tcPr>
            <w:tcW w:w="8709" w:type="dxa"/>
          </w:tcPr>
          <w:p>
            <w:pPr>
              <w:pStyle w:val="TableParagraph"/>
              <w:tabs>
                <w:tab w:pos="7521" w:val="left" w:leader="none"/>
              </w:tabs>
              <w:spacing w:before="22"/>
              <w:ind w:left="61"/>
              <w:rPr>
                <w:b/>
                <w:sz w:val="18"/>
              </w:rPr>
            </w:pPr>
            <w:r>
              <w:rPr>
                <w:sz w:val="18"/>
              </w:rPr>
              <w:t>3 to</w:t>
            </w:r>
            <w:r>
              <w:rPr>
                <w:spacing w:val="-1"/>
                <w:sz w:val="18"/>
              </w:rPr>
              <w:t> </w:t>
            </w:r>
            <w:r>
              <w:rPr>
                <w:sz w:val="18"/>
              </w:rPr>
              <w:t>6 months</w:t>
              <w:tab/>
            </w:r>
            <w:r>
              <w:rPr>
                <w:b/>
                <w:sz w:val="18"/>
              </w:rPr>
              <w:t>415,937</w:t>
            </w:r>
          </w:p>
        </w:tc>
        <w:tc>
          <w:tcPr>
            <w:tcW w:w="846" w:type="dxa"/>
          </w:tcPr>
          <w:p>
            <w:pPr>
              <w:pStyle w:val="TableParagraph"/>
              <w:spacing w:before="21"/>
              <w:ind w:left="109"/>
              <w:rPr>
                <w:sz w:val="18"/>
              </w:rPr>
            </w:pPr>
            <w:r>
              <w:rPr>
                <w:sz w:val="18"/>
              </w:rPr>
              <w:t>383,917</w:t>
            </w:r>
          </w:p>
        </w:tc>
      </w:tr>
      <w:tr>
        <w:trPr>
          <w:trHeight w:val="264" w:hRule="exact"/>
        </w:trPr>
        <w:tc>
          <w:tcPr>
            <w:tcW w:w="8709" w:type="dxa"/>
          </w:tcPr>
          <w:p>
            <w:pPr>
              <w:pStyle w:val="TableParagraph"/>
              <w:tabs>
                <w:tab w:pos="7621" w:val="left" w:leader="none"/>
              </w:tabs>
              <w:spacing w:before="19"/>
              <w:ind w:left="61"/>
              <w:rPr>
                <w:b/>
                <w:sz w:val="18"/>
              </w:rPr>
            </w:pPr>
            <w:r>
              <w:rPr>
                <w:sz w:val="18"/>
              </w:rPr>
              <w:t>6 to</w:t>
            </w:r>
            <w:r>
              <w:rPr>
                <w:spacing w:val="-1"/>
                <w:sz w:val="18"/>
              </w:rPr>
              <w:t> </w:t>
            </w:r>
            <w:r>
              <w:rPr>
                <w:sz w:val="18"/>
              </w:rPr>
              <w:t>12 months</w:t>
              <w:tab/>
            </w:r>
            <w:r>
              <w:rPr>
                <w:b/>
                <w:sz w:val="18"/>
              </w:rPr>
              <w:t>13,651</w:t>
            </w:r>
          </w:p>
        </w:tc>
        <w:tc>
          <w:tcPr>
            <w:tcW w:w="846" w:type="dxa"/>
          </w:tcPr>
          <w:p>
            <w:pPr>
              <w:pStyle w:val="TableParagraph"/>
              <w:spacing w:before="18"/>
              <w:ind w:right="84"/>
              <w:jc w:val="right"/>
              <w:rPr>
                <w:sz w:val="18"/>
              </w:rPr>
            </w:pPr>
            <w:r>
              <w:rPr>
                <w:w w:val="95"/>
                <w:sz w:val="18"/>
              </w:rPr>
              <w:t>9,357</w:t>
            </w:r>
          </w:p>
        </w:tc>
      </w:tr>
      <w:tr>
        <w:trPr>
          <w:trHeight w:val="262" w:hRule="exact"/>
        </w:trPr>
        <w:tc>
          <w:tcPr>
            <w:tcW w:w="8709" w:type="dxa"/>
            <w:tcBorders>
              <w:bottom w:val="single" w:sz="0" w:space="0" w:color="000000"/>
            </w:tcBorders>
          </w:tcPr>
          <w:p>
            <w:pPr>
              <w:pStyle w:val="TableParagraph"/>
              <w:tabs>
                <w:tab w:pos="7579" w:val="left" w:leader="none"/>
              </w:tabs>
              <w:spacing w:before="19"/>
              <w:ind w:left="61"/>
              <w:rPr>
                <w:b/>
                <w:sz w:val="18"/>
              </w:rPr>
            </w:pPr>
            <w:r>
              <w:rPr>
                <w:sz w:val="18"/>
              </w:rPr>
              <w:t>Over 12 months</w:t>
              <w:tab/>
            </w:r>
            <w:r>
              <w:rPr>
                <w:b/>
                <w:sz w:val="18"/>
              </w:rPr>
              <w:t>-</w:t>
            </w:r>
          </w:p>
        </w:tc>
        <w:tc>
          <w:tcPr>
            <w:tcW w:w="846" w:type="dxa"/>
            <w:tcBorders>
              <w:bottom w:val="single" w:sz="0" w:space="0" w:color="000000"/>
            </w:tcBorders>
          </w:tcPr>
          <w:p>
            <w:pPr>
              <w:pStyle w:val="TableParagraph"/>
              <w:spacing w:before="18"/>
              <w:ind w:right="84"/>
              <w:jc w:val="right"/>
              <w:rPr>
                <w:sz w:val="18"/>
              </w:rPr>
            </w:pPr>
            <w:r>
              <w:rPr>
                <w:w w:val="95"/>
                <w:sz w:val="18"/>
              </w:rPr>
              <w:t>8,463</w:t>
            </w:r>
          </w:p>
        </w:tc>
      </w:tr>
      <w:tr>
        <w:trPr>
          <w:trHeight w:val="353" w:hRule="exact"/>
        </w:trPr>
        <w:tc>
          <w:tcPr>
            <w:tcW w:w="8709" w:type="dxa"/>
            <w:tcBorders>
              <w:top w:val="single" w:sz="0" w:space="0" w:color="000000"/>
              <w:bottom w:val="single" w:sz="0" w:space="0" w:color="000000"/>
            </w:tcBorders>
          </w:tcPr>
          <w:p>
            <w:pPr>
              <w:pStyle w:val="TableParagraph"/>
              <w:tabs>
                <w:tab w:pos="7521" w:val="left" w:leader="none"/>
              </w:tabs>
              <w:spacing w:before="122"/>
              <w:ind w:left="61"/>
              <w:rPr>
                <w:b/>
                <w:sz w:val="18"/>
              </w:rPr>
            </w:pPr>
            <w:r>
              <w:rPr>
                <w:b/>
                <w:sz w:val="18"/>
              </w:rPr>
              <w:t>Total past due but not impaired receivables</w:t>
              <w:tab/>
              <w:t>429,588</w:t>
            </w:r>
          </w:p>
        </w:tc>
        <w:tc>
          <w:tcPr>
            <w:tcW w:w="846" w:type="dxa"/>
            <w:tcBorders>
              <w:top w:val="single" w:sz="0" w:space="0" w:color="000000"/>
              <w:bottom w:val="single" w:sz="0" w:space="0" w:color="000000"/>
            </w:tcBorders>
          </w:tcPr>
          <w:p>
            <w:pPr>
              <w:pStyle w:val="TableParagraph"/>
              <w:spacing w:before="122"/>
              <w:ind w:left="109"/>
              <w:rPr>
                <w:sz w:val="18"/>
              </w:rPr>
            </w:pPr>
            <w:r>
              <w:rPr>
                <w:sz w:val="18"/>
              </w:rPr>
              <w:t>401,737</w:t>
            </w:r>
          </w:p>
        </w:tc>
      </w:tr>
    </w:tbl>
    <w:p>
      <w:pPr>
        <w:pStyle w:val="BodyText"/>
        <w:spacing w:before="6"/>
        <w:rPr>
          <w:sz w:val="20"/>
        </w:rPr>
      </w:pPr>
    </w:p>
    <w:p>
      <w:pPr>
        <w:pStyle w:val="BodyText"/>
        <w:spacing w:before="77"/>
        <w:ind w:left="545" w:right="19"/>
      </w:pPr>
      <w:r>
        <w:rPr/>
        <w:t>The balances of receivables that remain within initial trade terms are considered to be of high credit quality.</w:t>
      </w:r>
    </w:p>
    <w:p>
      <w:pPr>
        <w:pStyle w:val="BodyText"/>
        <w:spacing w:before="3"/>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7074"/>
        <w:gridCol w:w="1535"/>
        <w:gridCol w:w="1060"/>
      </w:tblGrid>
      <w:tr>
        <w:trPr>
          <w:trHeight w:val="567" w:hRule="exact"/>
        </w:trPr>
        <w:tc>
          <w:tcPr>
            <w:tcW w:w="282" w:type="dxa"/>
          </w:tcPr>
          <w:p>
            <w:pPr>
              <w:pStyle w:val="TableParagraph"/>
              <w:spacing w:before="77"/>
              <w:ind w:left="35"/>
              <w:rPr>
                <w:b/>
                <w:sz w:val="18"/>
              </w:rPr>
            </w:pPr>
            <w:r>
              <w:rPr>
                <w:b/>
                <w:w w:val="99"/>
                <w:sz w:val="18"/>
              </w:rPr>
              <w:t>4</w:t>
            </w:r>
          </w:p>
        </w:tc>
        <w:tc>
          <w:tcPr>
            <w:tcW w:w="7074" w:type="dxa"/>
          </w:tcPr>
          <w:p>
            <w:pPr>
              <w:pStyle w:val="TableParagraph"/>
              <w:spacing w:before="77"/>
              <w:ind w:left="147"/>
              <w:rPr>
                <w:b/>
                <w:sz w:val="18"/>
              </w:rPr>
            </w:pPr>
            <w:r>
              <w:rPr>
                <w:b/>
                <w:sz w:val="18"/>
              </w:rPr>
              <w:t>Prepayments</w:t>
            </w:r>
          </w:p>
        </w:tc>
        <w:tc>
          <w:tcPr>
            <w:tcW w:w="1535" w:type="dxa"/>
          </w:tcPr>
          <w:p>
            <w:pPr>
              <w:pStyle w:val="TableParagraph"/>
              <w:rPr>
                <w:sz w:val="18"/>
              </w:rPr>
            </w:pPr>
          </w:p>
          <w:p>
            <w:pPr>
              <w:pStyle w:val="TableParagraph"/>
              <w:spacing w:before="110"/>
              <w:ind w:left="675"/>
              <w:rPr>
                <w:b/>
                <w:sz w:val="18"/>
              </w:rPr>
            </w:pPr>
            <w:r>
              <w:rPr>
                <w:b/>
                <w:sz w:val="18"/>
              </w:rPr>
              <w:t>2017</w:t>
            </w:r>
          </w:p>
        </w:tc>
        <w:tc>
          <w:tcPr>
            <w:tcW w:w="1060" w:type="dxa"/>
          </w:tcPr>
          <w:p>
            <w:pPr>
              <w:pStyle w:val="TableParagraph"/>
              <w:rPr>
                <w:sz w:val="18"/>
              </w:rPr>
            </w:pPr>
          </w:p>
          <w:p>
            <w:pPr>
              <w:pStyle w:val="TableParagraph"/>
              <w:spacing w:before="110"/>
              <w:ind w:left="435"/>
              <w:rPr>
                <w:b/>
                <w:sz w:val="18"/>
              </w:rPr>
            </w:pPr>
            <w:r>
              <w:rPr>
                <w:b/>
                <w:sz w:val="18"/>
              </w:rPr>
              <w:t>2016</w:t>
            </w:r>
          </w:p>
        </w:tc>
      </w:tr>
      <w:tr>
        <w:trPr>
          <w:trHeight w:val="271" w:hRule="exact"/>
        </w:trPr>
        <w:tc>
          <w:tcPr>
            <w:tcW w:w="282" w:type="dxa"/>
          </w:tcPr>
          <w:p>
            <w:pPr/>
          </w:p>
        </w:tc>
        <w:tc>
          <w:tcPr>
            <w:tcW w:w="7074" w:type="dxa"/>
          </w:tcPr>
          <w:p>
            <w:pPr/>
          </w:p>
        </w:tc>
        <w:tc>
          <w:tcPr>
            <w:tcW w:w="1535" w:type="dxa"/>
          </w:tcPr>
          <w:p>
            <w:pPr>
              <w:pStyle w:val="TableParagraph"/>
              <w:spacing w:before="24"/>
              <w:ind w:left="368"/>
              <w:jc w:val="center"/>
              <w:rPr>
                <w:b/>
                <w:sz w:val="18"/>
              </w:rPr>
            </w:pPr>
            <w:r>
              <w:rPr>
                <w:b/>
                <w:w w:val="99"/>
                <w:sz w:val="18"/>
              </w:rPr>
              <w:t>$</w:t>
            </w:r>
          </w:p>
        </w:tc>
        <w:tc>
          <w:tcPr>
            <w:tcW w:w="1060" w:type="dxa"/>
          </w:tcPr>
          <w:p>
            <w:pPr>
              <w:pStyle w:val="TableParagraph"/>
              <w:spacing w:before="24"/>
              <w:ind w:left="661"/>
              <w:rPr>
                <w:b/>
                <w:sz w:val="18"/>
              </w:rPr>
            </w:pPr>
            <w:r>
              <w:rPr>
                <w:b/>
                <w:w w:val="99"/>
                <w:sz w:val="18"/>
              </w:rPr>
              <w:t>$</w:t>
            </w:r>
          </w:p>
        </w:tc>
      </w:tr>
      <w:tr>
        <w:trPr>
          <w:trHeight w:val="267" w:hRule="exact"/>
        </w:trPr>
        <w:tc>
          <w:tcPr>
            <w:tcW w:w="282" w:type="dxa"/>
          </w:tcPr>
          <w:p>
            <w:pPr/>
          </w:p>
        </w:tc>
        <w:tc>
          <w:tcPr>
            <w:tcW w:w="7074" w:type="dxa"/>
          </w:tcPr>
          <w:p>
            <w:pPr>
              <w:pStyle w:val="TableParagraph"/>
              <w:spacing w:before="22"/>
              <w:ind w:left="191"/>
              <w:rPr>
                <w:sz w:val="18"/>
              </w:rPr>
            </w:pPr>
            <w:r>
              <w:rPr>
                <w:sz w:val="18"/>
              </w:rPr>
              <w:t>Prepayments</w:t>
            </w:r>
          </w:p>
        </w:tc>
        <w:tc>
          <w:tcPr>
            <w:tcW w:w="1535" w:type="dxa"/>
          </w:tcPr>
          <w:p>
            <w:pPr>
              <w:pStyle w:val="TableParagraph"/>
              <w:spacing w:before="21"/>
              <w:ind w:right="322"/>
              <w:jc w:val="right"/>
              <w:rPr>
                <w:b/>
                <w:sz w:val="18"/>
              </w:rPr>
            </w:pPr>
            <w:r>
              <w:rPr>
                <w:b/>
                <w:w w:val="95"/>
                <w:sz w:val="18"/>
              </w:rPr>
              <w:t>52,358</w:t>
            </w:r>
          </w:p>
        </w:tc>
        <w:tc>
          <w:tcPr>
            <w:tcW w:w="1060" w:type="dxa"/>
          </w:tcPr>
          <w:p>
            <w:pPr>
              <w:pStyle w:val="TableParagraph"/>
              <w:spacing w:before="21"/>
              <w:ind w:right="84"/>
              <w:jc w:val="right"/>
              <w:rPr>
                <w:sz w:val="18"/>
              </w:rPr>
            </w:pPr>
            <w:r>
              <w:rPr>
                <w:w w:val="95"/>
                <w:sz w:val="18"/>
              </w:rPr>
              <w:t>6,754</w:t>
            </w:r>
          </w:p>
        </w:tc>
      </w:tr>
      <w:tr>
        <w:trPr>
          <w:trHeight w:val="262" w:hRule="exact"/>
        </w:trPr>
        <w:tc>
          <w:tcPr>
            <w:tcW w:w="282" w:type="dxa"/>
          </w:tcPr>
          <w:p>
            <w:pPr/>
          </w:p>
        </w:tc>
        <w:tc>
          <w:tcPr>
            <w:tcW w:w="7074" w:type="dxa"/>
          </w:tcPr>
          <w:p>
            <w:pPr>
              <w:pStyle w:val="TableParagraph"/>
              <w:spacing w:before="19"/>
              <w:ind w:left="191"/>
              <w:rPr>
                <w:sz w:val="18"/>
              </w:rPr>
            </w:pPr>
            <w:r>
              <w:rPr>
                <w:sz w:val="18"/>
              </w:rPr>
              <w:t>Payments made to parent entity for capital projects</w:t>
            </w:r>
          </w:p>
        </w:tc>
        <w:tc>
          <w:tcPr>
            <w:tcW w:w="1535" w:type="dxa"/>
            <w:tcBorders>
              <w:bottom w:val="single" w:sz="0" w:space="0" w:color="000000"/>
            </w:tcBorders>
          </w:tcPr>
          <w:p>
            <w:pPr>
              <w:pStyle w:val="TableParagraph"/>
              <w:spacing w:before="18"/>
              <w:ind w:right="321"/>
              <w:jc w:val="right"/>
              <w:rPr>
                <w:b/>
                <w:sz w:val="18"/>
              </w:rPr>
            </w:pPr>
            <w:r>
              <w:rPr>
                <w:b/>
                <w:w w:val="95"/>
                <w:sz w:val="18"/>
              </w:rPr>
              <w:t>250,000</w:t>
            </w:r>
          </w:p>
        </w:tc>
        <w:tc>
          <w:tcPr>
            <w:tcW w:w="1060" w:type="dxa"/>
            <w:tcBorders>
              <w:bottom w:val="single" w:sz="0" w:space="0" w:color="000000"/>
            </w:tcBorders>
          </w:tcPr>
          <w:p>
            <w:pPr>
              <w:pStyle w:val="TableParagraph"/>
              <w:spacing w:before="18"/>
              <w:ind w:right="83"/>
              <w:jc w:val="right"/>
              <w:rPr>
                <w:sz w:val="18"/>
              </w:rPr>
            </w:pPr>
            <w:r>
              <w:rPr>
                <w:w w:val="95"/>
                <w:sz w:val="18"/>
              </w:rPr>
              <w:t>872,400</w:t>
            </w:r>
          </w:p>
        </w:tc>
      </w:tr>
      <w:tr>
        <w:trPr>
          <w:trHeight w:val="353" w:hRule="exact"/>
        </w:trPr>
        <w:tc>
          <w:tcPr>
            <w:tcW w:w="282" w:type="dxa"/>
          </w:tcPr>
          <w:p>
            <w:pPr/>
          </w:p>
        </w:tc>
        <w:tc>
          <w:tcPr>
            <w:tcW w:w="7074" w:type="dxa"/>
          </w:tcPr>
          <w:p>
            <w:pPr>
              <w:pStyle w:val="TableParagraph"/>
              <w:spacing w:before="123"/>
              <w:ind w:left="191"/>
              <w:rPr>
                <w:b/>
                <w:sz w:val="18"/>
              </w:rPr>
            </w:pPr>
            <w:r>
              <w:rPr>
                <w:b/>
                <w:sz w:val="18"/>
              </w:rPr>
              <w:t>Total Prepayments</w:t>
            </w:r>
          </w:p>
        </w:tc>
        <w:tc>
          <w:tcPr>
            <w:tcW w:w="1535" w:type="dxa"/>
            <w:tcBorders>
              <w:top w:val="single" w:sz="0" w:space="0" w:color="000000"/>
              <w:bottom w:val="single" w:sz="0" w:space="0" w:color="000000"/>
            </w:tcBorders>
          </w:tcPr>
          <w:p>
            <w:pPr>
              <w:pStyle w:val="TableParagraph"/>
              <w:spacing w:before="122"/>
              <w:ind w:right="321"/>
              <w:jc w:val="right"/>
              <w:rPr>
                <w:b/>
                <w:sz w:val="18"/>
              </w:rPr>
            </w:pPr>
            <w:r>
              <w:rPr>
                <w:b/>
                <w:w w:val="95"/>
                <w:sz w:val="18"/>
              </w:rPr>
              <w:t>302,358</w:t>
            </w:r>
          </w:p>
        </w:tc>
        <w:tc>
          <w:tcPr>
            <w:tcW w:w="1060" w:type="dxa"/>
            <w:tcBorders>
              <w:top w:val="single" w:sz="0" w:space="0" w:color="000000"/>
              <w:bottom w:val="single" w:sz="0" w:space="0" w:color="000000"/>
            </w:tcBorders>
          </w:tcPr>
          <w:p>
            <w:pPr>
              <w:pStyle w:val="TableParagraph"/>
              <w:spacing w:before="122"/>
              <w:ind w:right="83"/>
              <w:jc w:val="right"/>
              <w:rPr>
                <w:sz w:val="18"/>
              </w:rPr>
            </w:pPr>
            <w:r>
              <w:rPr>
                <w:w w:val="95"/>
                <w:sz w:val="18"/>
              </w:rPr>
              <w:t>879,154</w:t>
            </w:r>
          </w:p>
        </w:tc>
      </w:tr>
    </w:tbl>
    <w:p>
      <w:pPr>
        <w:spacing w:after="0"/>
        <w:jc w:val="right"/>
        <w:rPr>
          <w:sz w:val="18"/>
        </w:rPr>
        <w:sectPr>
          <w:pgSz w:w="11910" w:h="16840"/>
          <w:pgMar w:header="1038" w:footer="507" w:top="1720" w:bottom="700" w:left="860" w:right="860"/>
        </w:sectPr>
      </w:pPr>
    </w:p>
    <w:p>
      <w:pPr>
        <w:pStyle w:val="BodyText"/>
        <w:spacing w:before="2"/>
        <w:rPr>
          <w:sz w:val="24"/>
        </w:rPr>
      </w:pPr>
    </w:p>
    <w:p>
      <w:pPr>
        <w:pStyle w:val="Heading3"/>
        <w:ind w:left="147" w:right="19"/>
      </w:pPr>
      <w:r>
        <w:rPr/>
        <w:t>Notes to the Financial Statements</w:t>
      </w:r>
    </w:p>
    <w:p>
      <w:pPr>
        <w:pStyle w:val="Heading6"/>
        <w:ind w:left="147" w:right="19"/>
      </w:pPr>
      <w:r>
        <w:rPr/>
        <w:t>For the Year Ended 31 December 2017</w:t>
      </w:r>
    </w:p>
    <w:p>
      <w:pPr>
        <w:pStyle w:val="BodyText"/>
        <w:rPr>
          <w:b/>
          <w:sz w:val="20"/>
        </w:rPr>
      </w:pPr>
    </w:p>
    <w:p>
      <w:pPr>
        <w:pStyle w:val="BodyText"/>
        <w:rPr>
          <w:b/>
          <w:sz w:val="20"/>
        </w:rPr>
      </w:pPr>
    </w:p>
    <w:p>
      <w:pPr>
        <w:pStyle w:val="BodyText"/>
        <w:spacing w:before="3"/>
        <w:rPr>
          <w:b/>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7074"/>
        <w:gridCol w:w="1461"/>
        <w:gridCol w:w="1134"/>
      </w:tblGrid>
      <w:tr>
        <w:trPr>
          <w:trHeight w:val="567" w:hRule="exact"/>
        </w:trPr>
        <w:tc>
          <w:tcPr>
            <w:tcW w:w="283" w:type="dxa"/>
          </w:tcPr>
          <w:p>
            <w:pPr>
              <w:pStyle w:val="TableParagraph"/>
              <w:spacing w:before="77"/>
              <w:ind w:left="35"/>
              <w:rPr>
                <w:b/>
                <w:sz w:val="18"/>
              </w:rPr>
            </w:pPr>
            <w:r>
              <w:rPr>
                <w:b/>
                <w:w w:val="99"/>
                <w:sz w:val="18"/>
              </w:rPr>
              <w:t>5</w:t>
            </w:r>
          </w:p>
        </w:tc>
        <w:tc>
          <w:tcPr>
            <w:tcW w:w="7074" w:type="dxa"/>
          </w:tcPr>
          <w:p>
            <w:pPr>
              <w:pStyle w:val="TableParagraph"/>
              <w:spacing w:before="77"/>
              <w:ind w:left="147"/>
              <w:rPr>
                <w:b/>
                <w:sz w:val="18"/>
              </w:rPr>
            </w:pPr>
            <w:r>
              <w:rPr>
                <w:b/>
                <w:sz w:val="18"/>
              </w:rPr>
              <w:t>Property, plant and equipment</w:t>
            </w:r>
          </w:p>
        </w:tc>
        <w:tc>
          <w:tcPr>
            <w:tcW w:w="1461" w:type="dxa"/>
          </w:tcPr>
          <w:p>
            <w:pPr>
              <w:pStyle w:val="TableParagraph"/>
              <w:rPr>
                <w:b/>
                <w:sz w:val="18"/>
              </w:rPr>
            </w:pPr>
          </w:p>
          <w:p>
            <w:pPr>
              <w:pStyle w:val="TableParagraph"/>
              <w:spacing w:before="110"/>
              <w:ind w:left="471"/>
              <w:rPr>
                <w:b/>
                <w:sz w:val="18"/>
              </w:rPr>
            </w:pPr>
            <w:r>
              <w:rPr>
                <w:b/>
                <w:sz w:val="18"/>
              </w:rPr>
              <w:t>2017</w:t>
            </w:r>
          </w:p>
        </w:tc>
        <w:tc>
          <w:tcPr>
            <w:tcW w:w="1134" w:type="dxa"/>
          </w:tcPr>
          <w:p>
            <w:pPr>
              <w:pStyle w:val="TableParagraph"/>
              <w:rPr>
                <w:b/>
                <w:sz w:val="18"/>
              </w:rPr>
            </w:pPr>
          </w:p>
          <w:p>
            <w:pPr>
              <w:pStyle w:val="TableParagraph"/>
              <w:spacing w:before="110"/>
              <w:ind w:left="293"/>
              <w:rPr>
                <w:b/>
                <w:sz w:val="18"/>
              </w:rPr>
            </w:pPr>
            <w:r>
              <w:rPr>
                <w:b/>
                <w:sz w:val="18"/>
              </w:rPr>
              <w:t>2016</w:t>
            </w:r>
          </w:p>
        </w:tc>
      </w:tr>
      <w:tr>
        <w:trPr>
          <w:trHeight w:val="313" w:hRule="exact"/>
        </w:trPr>
        <w:tc>
          <w:tcPr>
            <w:tcW w:w="283" w:type="dxa"/>
          </w:tcPr>
          <w:p>
            <w:pPr/>
          </w:p>
        </w:tc>
        <w:tc>
          <w:tcPr>
            <w:tcW w:w="7074" w:type="dxa"/>
          </w:tcPr>
          <w:p>
            <w:pPr/>
          </w:p>
        </w:tc>
        <w:tc>
          <w:tcPr>
            <w:tcW w:w="1461" w:type="dxa"/>
          </w:tcPr>
          <w:p>
            <w:pPr>
              <w:pStyle w:val="TableParagraph"/>
              <w:spacing w:before="24"/>
              <w:ind w:right="115"/>
              <w:jc w:val="center"/>
              <w:rPr>
                <w:b/>
                <w:sz w:val="18"/>
              </w:rPr>
            </w:pPr>
            <w:r>
              <w:rPr>
                <w:b/>
                <w:w w:val="99"/>
                <w:sz w:val="18"/>
              </w:rPr>
              <w:t>$</w:t>
            </w:r>
          </w:p>
        </w:tc>
        <w:tc>
          <w:tcPr>
            <w:tcW w:w="1134" w:type="dxa"/>
          </w:tcPr>
          <w:p>
            <w:pPr>
              <w:pStyle w:val="TableParagraph"/>
              <w:spacing w:before="24"/>
              <w:ind w:right="144"/>
              <w:jc w:val="center"/>
              <w:rPr>
                <w:b/>
                <w:sz w:val="18"/>
              </w:rPr>
            </w:pPr>
            <w:r>
              <w:rPr>
                <w:b/>
                <w:w w:val="99"/>
                <w:sz w:val="18"/>
              </w:rPr>
              <w:t>$</w:t>
            </w:r>
          </w:p>
        </w:tc>
      </w:tr>
      <w:tr>
        <w:trPr>
          <w:trHeight w:val="544" w:hRule="exact"/>
        </w:trPr>
        <w:tc>
          <w:tcPr>
            <w:tcW w:w="283" w:type="dxa"/>
          </w:tcPr>
          <w:p>
            <w:pPr/>
          </w:p>
        </w:tc>
        <w:tc>
          <w:tcPr>
            <w:tcW w:w="7074" w:type="dxa"/>
          </w:tcPr>
          <w:p>
            <w:pPr>
              <w:pStyle w:val="TableParagraph"/>
              <w:spacing w:before="63"/>
              <w:ind w:left="192"/>
              <w:rPr>
                <w:b/>
                <w:sz w:val="18"/>
              </w:rPr>
            </w:pPr>
            <w:r>
              <w:rPr>
                <w:b/>
                <w:sz w:val="18"/>
              </w:rPr>
              <w:t>Leasehold Improvements</w:t>
            </w:r>
          </w:p>
          <w:p>
            <w:pPr>
              <w:pStyle w:val="TableParagraph"/>
              <w:spacing w:before="29"/>
              <w:ind w:left="192"/>
              <w:rPr>
                <w:sz w:val="18"/>
              </w:rPr>
            </w:pPr>
            <w:r>
              <w:rPr>
                <w:sz w:val="18"/>
              </w:rPr>
              <w:t>At cost</w:t>
            </w:r>
          </w:p>
        </w:tc>
        <w:tc>
          <w:tcPr>
            <w:tcW w:w="1461" w:type="dxa"/>
          </w:tcPr>
          <w:p>
            <w:pPr>
              <w:pStyle w:val="TableParagraph"/>
              <w:spacing w:before="11"/>
              <w:rPr>
                <w:b/>
                <w:sz w:val="25"/>
              </w:rPr>
            </w:pPr>
          </w:p>
          <w:p>
            <w:pPr>
              <w:pStyle w:val="TableParagraph"/>
              <w:ind w:left="411"/>
              <w:rPr>
                <w:b/>
                <w:sz w:val="18"/>
              </w:rPr>
            </w:pPr>
            <w:r>
              <w:rPr>
                <w:b/>
                <w:sz w:val="18"/>
              </w:rPr>
              <w:t>7,808,816</w:t>
            </w:r>
          </w:p>
        </w:tc>
        <w:tc>
          <w:tcPr>
            <w:tcW w:w="1134" w:type="dxa"/>
          </w:tcPr>
          <w:p>
            <w:pPr>
              <w:pStyle w:val="TableParagraph"/>
              <w:spacing w:before="11"/>
              <w:rPr>
                <w:b/>
                <w:sz w:val="25"/>
              </w:rPr>
            </w:pPr>
          </w:p>
          <w:p>
            <w:pPr>
              <w:pStyle w:val="TableParagraph"/>
              <w:ind w:right="82"/>
              <w:jc w:val="right"/>
              <w:rPr>
                <w:sz w:val="18"/>
              </w:rPr>
            </w:pPr>
            <w:r>
              <w:rPr>
                <w:w w:val="95"/>
                <w:sz w:val="18"/>
              </w:rPr>
              <w:t>8,742,040</w:t>
            </w:r>
          </w:p>
        </w:tc>
      </w:tr>
      <w:tr>
        <w:trPr>
          <w:trHeight w:val="262" w:hRule="exact"/>
        </w:trPr>
        <w:tc>
          <w:tcPr>
            <w:tcW w:w="283" w:type="dxa"/>
          </w:tcPr>
          <w:p>
            <w:pPr/>
          </w:p>
        </w:tc>
        <w:tc>
          <w:tcPr>
            <w:tcW w:w="7074" w:type="dxa"/>
          </w:tcPr>
          <w:p>
            <w:pPr>
              <w:pStyle w:val="TableParagraph"/>
              <w:spacing w:before="19"/>
              <w:ind w:left="192"/>
              <w:rPr>
                <w:sz w:val="18"/>
              </w:rPr>
            </w:pPr>
            <w:r>
              <w:rPr>
                <w:sz w:val="18"/>
              </w:rPr>
              <w:t>Accumulated depreciation</w:t>
            </w:r>
          </w:p>
        </w:tc>
        <w:tc>
          <w:tcPr>
            <w:tcW w:w="1461" w:type="dxa"/>
            <w:tcBorders>
              <w:bottom w:val="single" w:sz="0" w:space="0" w:color="000000"/>
            </w:tcBorders>
          </w:tcPr>
          <w:p>
            <w:pPr>
              <w:pStyle w:val="TableParagraph"/>
              <w:spacing w:before="18"/>
              <w:ind w:right="186"/>
              <w:jc w:val="right"/>
              <w:rPr>
                <w:b/>
                <w:sz w:val="18"/>
              </w:rPr>
            </w:pPr>
            <w:r>
              <w:rPr>
                <w:b/>
                <w:w w:val="95"/>
                <w:sz w:val="18"/>
              </w:rPr>
              <w:t>(3,864,434)</w:t>
            </w:r>
          </w:p>
        </w:tc>
        <w:tc>
          <w:tcPr>
            <w:tcW w:w="1134" w:type="dxa"/>
            <w:tcBorders>
              <w:bottom w:val="single" w:sz="0" w:space="0" w:color="000000"/>
            </w:tcBorders>
          </w:tcPr>
          <w:p>
            <w:pPr>
              <w:pStyle w:val="TableParagraph"/>
              <w:spacing w:before="18"/>
              <w:ind w:right="22"/>
              <w:jc w:val="right"/>
              <w:rPr>
                <w:sz w:val="18"/>
              </w:rPr>
            </w:pPr>
            <w:r>
              <w:rPr>
                <w:w w:val="95"/>
                <w:sz w:val="18"/>
              </w:rPr>
              <w:t>(3,841,451)</w:t>
            </w:r>
          </w:p>
        </w:tc>
      </w:tr>
      <w:tr>
        <w:trPr>
          <w:trHeight w:val="338" w:hRule="exact"/>
        </w:trPr>
        <w:tc>
          <w:tcPr>
            <w:tcW w:w="283" w:type="dxa"/>
          </w:tcPr>
          <w:p>
            <w:pPr/>
          </w:p>
        </w:tc>
        <w:tc>
          <w:tcPr>
            <w:tcW w:w="7074" w:type="dxa"/>
          </w:tcPr>
          <w:p>
            <w:pPr>
              <w:pStyle w:val="TableParagraph"/>
              <w:spacing w:before="95"/>
              <w:ind w:left="192"/>
              <w:rPr>
                <w:b/>
                <w:sz w:val="18"/>
              </w:rPr>
            </w:pPr>
            <w:r>
              <w:rPr>
                <w:b/>
                <w:sz w:val="18"/>
              </w:rPr>
              <w:t>Total leasehold improvements</w:t>
            </w:r>
          </w:p>
        </w:tc>
        <w:tc>
          <w:tcPr>
            <w:tcW w:w="1461" w:type="dxa"/>
            <w:tcBorders>
              <w:top w:val="single" w:sz="0" w:space="0" w:color="000000"/>
              <w:bottom w:val="single" w:sz="0" w:space="0" w:color="000000"/>
            </w:tcBorders>
          </w:tcPr>
          <w:p>
            <w:pPr>
              <w:pStyle w:val="TableParagraph"/>
              <w:spacing w:before="122"/>
              <w:ind w:left="411"/>
              <w:rPr>
                <w:b/>
                <w:sz w:val="18"/>
              </w:rPr>
            </w:pPr>
            <w:r>
              <w:rPr>
                <w:b/>
                <w:sz w:val="18"/>
              </w:rPr>
              <w:t>3,944,382</w:t>
            </w:r>
          </w:p>
        </w:tc>
        <w:tc>
          <w:tcPr>
            <w:tcW w:w="1134" w:type="dxa"/>
            <w:tcBorders>
              <w:top w:val="single" w:sz="0" w:space="0" w:color="000000"/>
              <w:bottom w:val="single" w:sz="0" w:space="0" w:color="000000"/>
            </w:tcBorders>
          </w:tcPr>
          <w:p>
            <w:pPr>
              <w:pStyle w:val="TableParagraph"/>
              <w:spacing w:before="122"/>
              <w:ind w:right="82"/>
              <w:jc w:val="right"/>
              <w:rPr>
                <w:sz w:val="18"/>
              </w:rPr>
            </w:pPr>
            <w:r>
              <w:rPr>
                <w:w w:val="95"/>
                <w:sz w:val="18"/>
              </w:rPr>
              <w:t>4,900,589</w:t>
            </w:r>
          </w:p>
        </w:tc>
      </w:tr>
      <w:tr>
        <w:trPr>
          <w:trHeight w:val="604" w:hRule="exact"/>
        </w:trPr>
        <w:tc>
          <w:tcPr>
            <w:tcW w:w="283" w:type="dxa"/>
          </w:tcPr>
          <w:p>
            <w:pPr/>
          </w:p>
        </w:tc>
        <w:tc>
          <w:tcPr>
            <w:tcW w:w="7074" w:type="dxa"/>
          </w:tcPr>
          <w:p>
            <w:pPr>
              <w:pStyle w:val="TableParagraph"/>
              <w:spacing w:before="123"/>
              <w:ind w:left="192"/>
              <w:rPr>
                <w:b/>
                <w:sz w:val="18"/>
              </w:rPr>
            </w:pPr>
            <w:r>
              <w:rPr>
                <w:b/>
                <w:sz w:val="18"/>
              </w:rPr>
              <w:t>Plant and equipment</w:t>
            </w:r>
          </w:p>
          <w:p>
            <w:pPr>
              <w:pStyle w:val="TableParagraph"/>
              <w:spacing w:before="29"/>
              <w:ind w:left="192"/>
              <w:rPr>
                <w:sz w:val="18"/>
              </w:rPr>
            </w:pPr>
            <w:r>
              <w:rPr>
                <w:sz w:val="18"/>
              </w:rPr>
              <w:t>At cost</w:t>
            </w:r>
          </w:p>
        </w:tc>
        <w:tc>
          <w:tcPr>
            <w:tcW w:w="1461" w:type="dxa"/>
            <w:tcBorders>
              <w:top w:val="single" w:sz="0" w:space="0" w:color="000000"/>
            </w:tcBorders>
          </w:tcPr>
          <w:p>
            <w:pPr>
              <w:pStyle w:val="TableParagraph"/>
              <w:rPr>
                <w:b/>
                <w:sz w:val="18"/>
              </w:rPr>
            </w:pPr>
          </w:p>
          <w:p>
            <w:pPr>
              <w:pStyle w:val="TableParagraph"/>
              <w:spacing w:before="151"/>
              <w:ind w:right="246"/>
              <w:jc w:val="right"/>
              <w:rPr>
                <w:b/>
                <w:sz w:val="18"/>
              </w:rPr>
            </w:pPr>
            <w:r>
              <w:rPr>
                <w:b/>
                <w:w w:val="95"/>
                <w:sz w:val="18"/>
              </w:rPr>
              <w:t>787,844</w:t>
            </w:r>
          </w:p>
        </w:tc>
        <w:tc>
          <w:tcPr>
            <w:tcW w:w="1134" w:type="dxa"/>
            <w:tcBorders>
              <w:top w:val="single" w:sz="0" w:space="0" w:color="000000"/>
            </w:tcBorders>
          </w:tcPr>
          <w:p>
            <w:pPr>
              <w:pStyle w:val="TableParagraph"/>
              <w:rPr>
                <w:b/>
                <w:sz w:val="18"/>
              </w:rPr>
            </w:pPr>
          </w:p>
          <w:p>
            <w:pPr>
              <w:pStyle w:val="TableParagraph"/>
              <w:spacing w:before="151"/>
              <w:ind w:right="83"/>
              <w:jc w:val="right"/>
              <w:rPr>
                <w:sz w:val="18"/>
              </w:rPr>
            </w:pPr>
            <w:r>
              <w:rPr>
                <w:w w:val="95"/>
                <w:sz w:val="18"/>
              </w:rPr>
              <w:t>901,463</w:t>
            </w:r>
          </w:p>
        </w:tc>
      </w:tr>
      <w:tr>
        <w:trPr>
          <w:trHeight w:val="262" w:hRule="exact"/>
        </w:trPr>
        <w:tc>
          <w:tcPr>
            <w:tcW w:w="283" w:type="dxa"/>
          </w:tcPr>
          <w:p>
            <w:pPr/>
          </w:p>
        </w:tc>
        <w:tc>
          <w:tcPr>
            <w:tcW w:w="7074" w:type="dxa"/>
          </w:tcPr>
          <w:p>
            <w:pPr>
              <w:pStyle w:val="TableParagraph"/>
              <w:spacing w:before="19"/>
              <w:ind w:left="192"/>
              <w:rPr>
                <w:sz w:val="18"/>
              </w:rPr>
            </w:pPr>
            <w:r>
              <w:rPr>
                <w:sz w:val="18"/>
              </w:rPr>
              <w:t>Accumulated depreciation</w:t>
            </w:r>
          </w:p>
        </w:tc>
        <w:tc>
          <w:tcPr>
            <w:tcW w:w="1461" w:type="dxa"/>
            <w:tcBorders>
              <w:bottom w:val="single" w:sz="0" w:space="0" w:color="000000"/>
            </w:tcBorders>
          </w:tcPr>
          <w:p>
            <w:pPr>
              <w:pStyle w:val="TableParagraph"/>
              <w:spacing w:before="18"/>
              <w:ind w:right="186"/>
              <w:jc w:val="right"/>
              <w:rPr>
                <w:b/>
                <w:sz w:val="18"/>
              </w:rPr>
            </w:pPr>
            <w:r>
              <w:rPr>
                <w:b/>
                <w:w w:val="95"/>
                <w:sz w:val="18"/>
              </w:rPr>
              <w:t>(489,766)</w:t>
            </w:r>
          </w:p>
        </w:tc>
        <w:tc>
          <w:tcPr>
            <w:tcW w:w="1134" w:type="dxa"/>
            <w:tcBorders>
              <w:bottom w:val="single" w:sz="0" w:space="0" w:color="000000"/>
            </w:tcBorders>
          </w:tcPr>
          <w:p>
            <w:pPr>
              <w:pStyle w:val="TableParagraph"/>
              <w:spacing w:before="18"/>
              <w:ind w:right="23"/>
              <w:jc w:val="right"/>
              <w:rPr>
                <w:sz w:val="18"/>
              </w:rPr>
            </w:pPr>
            <w:r>
              <w:rPr>
                <w:w w:val="95"/>
                <w:sz w:val="18"/>
              </w:rPr>
              <w:t>(551,666)</w:t>
            </w:r>
          </w:p>
        </w:tc>
      </w:tr>
      <w:tr>
        <w:trPr>
          <w:trHeight w:val="338" w:hRule="exact"/>
        </w:trPr>
        <w:tc>
          <w:tcPr>
            <w:tcW w:w="283" w:type="dxa"/>
          </w:tcPr>
          <w:p>
            <w:pPr/>
          </w:p>
        </w:tc>
        <w:tc>
          <w:tcPr>
            <w:tcW w:w="7074" w:type="dxa"/>
          </w:tcPr>
          <w:p>
            <w:pPr>
              <w:pStyle w:val="TableParagraph"/>
              <w:spacing w:before="95"/>
              <w:ind w:left="192"/>
              <w:rPr>
                <w:b/>
                <w:sz w:val="18"/>
              </w:rPr>
            </w:pPr>
            <w:r>
              <w:rPr>
                <w:b/>
                <w:sz w:val="18"/>
              </w:rPr>
              <w:t>Total plant and equipment</w:t>
            </w:r>
          </w:p>
        </w:tc>
        <w:tc>
          <w:tcPr>
            <w:tcW w:w="1461" w:type="dxa"/>
            <w:tcBorders>
              <w:top w:val="single" w:sz="0" w:space="0" w:color="000000"/>
              <w:bottom w:val="single" w:sz="0" w:space="0" w:color="000000"/>
            </w:tcBorders>
          </w:tcPr>
          <w:p>
            <w:pPr>
              <w:pStyle w:val="TableParagraph"/>
              <w:spacing w:before="122"/>
              <w:ind w:right="246"/>
              <w:jc w:val="right"/>
              <w:rPr>
                <w:b/>
                <w:sz w:val="18"/>
              </w:rPr>
            </w:pPr>
            <w:r>
              <w:rPr>
                <w:b/>
                <w:w w:val="95"/>
                <w:sz w:val="18"/>
              </w:rPr>
              <w:t>298,078</w:t>
            </w:r>
          </w:p>
        </w:tc>
        <w:tc>
          <w:tcPr>
            <w:tcW w:w="1134" w:type="dxa"/>
            <w:tcBorders>
              <w:top w:val="single" w:sz="0" w:space="0" w:color="000000"/>
              <w:bottom w:val="single" w:sz="0" w:space="0" w:color="000000"/>
            </w:tcBorders>
          </w:tcPr>
          <w:p>
            <w:pPr>
              <w:pStyle w:val="TableParagraph"/>
              <w:spacing w:before="122"/>
              <w:ind w:right="83"/>
              <w:jc w:val="right"/>
              <w:rPr>
                <w:sz w:val="18"/>
              </w:rPr>
            </w:pPr>
            <w:r>
              <w:rPr>
                <w:w w:val="95"/>
                <w:sz w:val="18"/>
              </w:rPr>
              <w:t>349,797</w:t>
            </w:r>
          </w:p>
        </w:tc>
      </w:tr>
      <w:tr>
        <w:trPr>
          <w:trHeight w:val="602" w:hRule="exact"/>
        </w:trPr>
        <w:tc>
          <w:tcPr>
            <w:tcW w:w="283" w:type="dxa"/>
          </w:tcPr>
          <w:p>
            <w:pPr/>
          </w:p>
        </w:tc>
        <w:tc>
          <w:tcPr>
            <w:tcW w:w="7074" w:type="dxa"/>
          </w:tcPr>
          <w:p>
            <w:pPr>
              <w:pStyle w:val="TableParagraph"/>
              <w:spacing w:before="123"/>
              <w:ind w:left="192"/>
              <w:rPr>
                <w:b/>
                <w:sz w:val="18"/>
              </w:rPr>
            </w:pPr>
            <w:r>
              <w:rPr>
                <w:b/>
                <w:sz w:val="18"/>
              </w:rPr>
              <w:t>Artwork</w:t>
            </w:r>
          </w:p>
          <w:p>
            <w:pPr>
              <w:pStyle w:val="TableParagraph"/>
              <w:spacing w:before="29"/>
              <w:ind w:left="192"/>
              <w:rPr>
                <w:sz w:val="18"/>
              </w:rPr>
            </w:pPr>
            <w:r>
              <w:rPr>
                <w:sz w:val="18"/>
              </w:rPr>
              <w:t>At cost</w:t>
            </w:r>
          </w:p>
        </w:tc>
        <w:tc>
          <w:tcPr>
            <w:tcW w:w="1461" w:type="dxa"/>
            <w:tcBorders>
              <w:top w:val="single" w:sz="0" w:space="0" w:color="000000"/>
              <w:bottom w:val="single" w:sz="0" w:space="0" w:color="000000"/>
            </w:tcBorders>
          </w:tcPr>
          <w:p>
            <w:pPr>
              <w:pStyle w:val="TableParagraph"/>
              <w:rPr>
                <w:b/>
                <w:sz w:val="18"/>
              </w:rPr>
            </w:pPr>
          </w:p>
          <w:p>
            <w:pPr>
              <w:pStyle w:val="TableParagraph"/>
              <w:spacing w:before="151"/>
              <w:ind w:right="246"/>
              <w:jc w:val="right"/>
              <w:rPr>
                <w:b/>
                <w:sz w:val="18"/>
              </w:rPr>
            </w:pPr>
            <w:r>
              <w:rPr>
                <w:b/>
                <w:w w:val="95"/>
                <w:sz w:val="18"/>
              </w:rPr>
              <w:t>11,909</w:t>
            </w:r>
          </w:p>
        </w:tc>
        <w:tc>
          <w:tcPr>
            <w:tcW w:w="1134" w:type="dxa"/>
            <w:tcBorders>
              <w:top w:val="single" w:sz="0" w:space="0" w:color="000000"/>
              <w:bottom w:val="single" w:sz="0" w:space="0" w:color="000000"/>
            </w:tcBorders>
          </w:tcPr>
          <w:p>
            <w:pPr>
              <w:pStyle w:val="TableParagraph"/>
              <w:rPr>
                <w:b/>
                <w:sz w:val="18"/>
              </w:rPr>
            </w:pPr>
          </w:p>
          <w:p>
            <w:pPr>
              <w:pStyle w:val="TableParagraph"/>
              <w:spacing w:before="151"/>
              <w:ind w:right="83"/>
              <w:jc w:val="right"/>
              <w:rPr>
                <w:sz w:val="18"/>
              </w:rPr>
            </w:pPr>
            <w:r>
              <w:rPr>
                <w:w w:val="95"/>
                <w:sz w:val="18"/>
              </w:rPr>
              <w:t>11,909</w:t>
            </w:r>
          </w:p>
        </w:tc>
      </w:tr>
      <w:tr>
        <w:trPr>
          <w:trHeight w:val="338" w:hRule="exact"/>
        </w:trPr>
        <w:tc>
          <w:tcPr>
            <w:tcW w:w="283" w:type="dxa"/>
          </w:tcPr>
          <w:p>
            <w:pPr/>
          </w:p>
        </w:tc>
        <w:tc>
          <w:tcPr>
            <w:tcW w:w="7074" w:type="dxa"/>
          </w:tcPr>
          <w:p>
            <w:pPr>
              <w:pStyle w:val="TableParagraph"/>
              <w:spacing w:before="95"/>
              <w:ind w:left="192"/>
              <w:rPr>
                <w:b/>
                <w:sz w:val="18"/>
              </w:rPr>
            </w:pPr>
            <w:r>
              <w:rPr>
                <w:b/>
                <w:sz w:val="18"/>
              </w:rPr>
              <w:t>Total artwork</w:t>
            </w:r>
          </w:p>
        </w:tc>
        <w:tc>
          <w:tcPr>
            <w:tcW w:w="1461" w:type="dxa"/>
            <w:tcBorders>
              <w:top w:val="single" w:sz="0" w:space="0" w:color="000000"/>
              <w:bottom w:val="single" w:sz="0" w:space="0" w:color="000000"/>
            </w:tcBorders>
          </w:tcPr>
          <w:p>
            <w:pPr>
              <w:pStyle w:val="TableParagraph"/>
              <w:spacing w:before="122"/>
              <w:ind w:right="246"/>
              <w:jc w:val="right"/>
              <w:rPr>
                <w:b/>
                <w:sz w:val="18"/>
              </w:rPr>
            </w:pPr>
            <w:r>
              <w:rPr>
                <w:b/>
                <w:w w:val="95"/>
                <w:sz w:val="18"/>
              </w:rPr>
              <w:t>11,909</w:t>
            </w:r>
          </w:p>
        </w:tc>
        <w:tc>
          <w:tcPr>
            <w:tcW w:w="1134" w:type="dxa"/>
            <w:tcBorders>
              <w:top w:val="single" w:sz="0" w:space="0" w:color="000000"/>
              <w:bottom w:val="single" w:sz="0" w:space="0" w:color="000000"/>
            </w:tcBorders>
          </w:tcPr>
          <w:p>
            <w:pPr>
              <w:pStyle w:val="TableParagraph"/>
              <w:spacing w:before="122"/>
              <w:ind w:right="83"/>
              <w:jc w:val="right"/>
              <w:rPr>
                <w:sz w:val="18"/>
              </w:rPr>
            </w:pPr>
            <w:r>
              <w:rPr>
                <w:w w:val="95"/>
                <w:sz w:val="18"/>
              </w:rPr>
              <w:t>11,909</w:t>
            </w:r>
          </w:p>
        </w:tc>
      </w:tr>
      <w:tr>
        <w:trPr>
          <w:trHeight w:val="353" w:hRule="exact"/>
        </w:trPr>
        <w:tc>
          <w:tcPr>
            <w:tcW w:w="283" w:type="dxa"/>
          </w:tcPr>
          <w:p>
            <w:pPr/>
          </w:p>
        </w:tc>
        <w:tc>
          <w:tcPr>
            <w:tcW w:w="7074" w:type="dxa"/>
          </w:tcPr>
          <w:p>
            <w:pPr>
              <w:pStyle w:val="TableParagraph"/>
              <w:spacing w:before="123"/>
              <w:ind w:left="192"/>
              <w:rPr>
                <w:b/>
                <w:sz w:val="18"/>
              </w:rPr>
            </w:pPr>
            <w:r>
              <w:rPr>
                <w:b/>
                <w:sz w:val="18"/>
              </w:rPr>
              <w:t>Total property, plant and equipment</w:t>
            </w:r>
          </w:p>
        </w:tc>
        <w:tc>
          <w:tcPr>
            <w:tcW w:w="1461" w:type="dxa"/>
            <w:tcBorders>
              <w:top w:val="single" w:sz="0" w:space="0" w:color="000000"/>
              <w:bottom w:val="single" w:sz="0" w:space="0" w:color="000000"/>
            </w:tcBorders>
          </w:tcPr>
          <w:p>
            <w:pPr>
              <w:pStyle w:val="TableParagraph"/>
              <w:spacing w:before="122"/>
              <w:ind w:left="411"/>
              <w:rPr>
                <w:b/>
                <w:sz w:val="18"/>
              </w:rPr>
            </w:pPr>
            <w:r>
              <w:rPr>
                <w:b/>
                <w:sz w:val="18"/>
              </w:rPr>
              <w:t>4,254,369</w:t>
            </w:r>
          </w:p>
        </w:tc>
        <w:tc>
          <w:tcPr>
            <w:tcW w:w="1134" w:type="dxa"/>
            <w:tcBorders>
              <w:top w:val="single" w:sz="0" w:space="0" w:color="000000"/>
              <w:bottom w:val="single" w:sz="0" w:space="0" w:color="000000"/>
            </w:tcBorders>
          </w:tcPr>
          <w:p>
            <w:pPr>
              <w:pStyle w:val="TableParagraph"/>
              <w:spacing w:before="122"/>
              <w:ind w:right="82"/>
              <w:jc w:val="right"/>
              <w:rPr>
                <w:sz w:val="18"/>
              </w:rPr>
            </w:pPr>
            <w:r>
              <w:rPr>
                <w:w w:val="95"/>
                <w:sz w:val="18"/>
              </w:rPr>
              <w:t>5,262,295</w:t>
            </w:r>
          </w:p>
        </w:tc>
      </w:tr>
    </w:tbl>
    <w:p>
      <w:pPr>
        <w:pStyle w:val="BodyText"/>
        <w:rPr>
          <w:b/>
          <w:sz w:val="20"/>
        </w:rPr>
      </w:pPr>
    </w:p>
    <w:p>
      <w:pPr>
        <w:pStyle w:val="BodyText"/>
        <w:spacing w:before="2"/>
        <w:rPr>
          <w:b/>
          <w:sz w:val="20"/>
        </w:rPr>
      </w:pPr>
    </w:p>
    <w:p>
      <w:pPr>
        <w:pStyle w:val="Heading9"/>
        <w:numPr>
          <w:ilvl w:val="0"/>
          <w:numId w:val="47"/>
        </w:numPr>
        <w:tabs>
          <w:tab w:pos="1112" w:val="left" w:leader="none"/>
        </w:tabs>
        <w:spacing w:line="240" w:lineRule="auto" w:before="77" w:after="0"/>
        <w:ind w:left="1111" w:right="0" w:hanging="566"/>
        <w:jc w:val="left"/>
      </w:pPr>
      <w:r>
        <w:rPr/>
        <w:t>Movements in Carrying Amounts</w:t>
      </w:r>
    </w:p>
    <w:p>
      <w:pPr>
        <w:pStyle w:val="BodyText"/>
        <w:spacing w:before="4"/>
        <w:rPr>
          <w:b/>
          <w:sz w:val="25"/>
        </w:rPr>
      </w:pPr>
    </w:p>
    <w:p>
      <w:pPr>
        <w:pStyle w:val="BodyText"/>
        <w:ind w:left="1112" w:right="282"/>
      </w:pPr>
      <w:r>
        <w:rPr/>
        <w:t>Movement in the carrying amounts for each class of property, plant and equipment between the beginning and the end of the financial year:</w:t>
      </w:r>
    </w:p>
    <w:p>
      <w:pPr>
        <w:pStyle w:val="Heading9"/>
        <w:tabs>
          <w:tab w:pos="6083" w:val="left" w:leader="none"/>
        </w:tabs>
        <w:spacing w:before="33"/>
        <w:ind w:left="4945" w:right="19"/>
      </w:pPr>
      <w:r>
        <w:rPr/>
        <w:t>Leasehold</w:t>
        <w:tab/>
        <w:t>Property,</w:t>
      </w:r>
      <w:r>
        <w:rPr>
          <w:spacing w:val="-1"/>
        </w:rPr>
        <w:t> </w:t>
      </w:r>
      <w:r>
        <w:rPr/>
        <w:t>Plant</w:t>
      </w:r>
    </w:p>
    <w:p>
      <w:pPr>
        <w:spacing w:after="0"/>
        <w:sectPr>
          <w:pgSz w:w="11910" w:h="16840"/>
          <w:pgMar w:header="1038" w:footer="507" w:top="1720" w:bottom="700" w:left="860" w:right="860"/>
        </w:sectPr>
      </w:pPr>
    </w:p>
    <w:p>
      <w:pPr>
        <w:spacing w:line="206" w:lineRule="exact" w:before="0"/>
        <w:ind w:left="4778" w:right="-6" w:firstLine="0"/>
        <w:jc w:val="left"/>
        <w:rPr>
          <w:b/>
          <w:sz w:val="18"/>
        </w:rPr>
      </w:pPr>
      <w:r>
        <w:rPr>
          <w:b/>
          <w:sz w:val="18"/>
        </w:rPr>
        <w:t>improvements and Equipment</w:t>
      </w:r>
    </w:p>
    <w:p>
      <w:pPr>
        <w:spacing w:line="207" w:lineRule="exact" w:before="0"/>
        <w:ind w:left="302" w:right="-20" w:firstLine="0"/>
        <w:jc w:val="left"/>
        <w:rPr>
          <w:b/>
          <w:sz w:val="18"/>
        </w:rPr>
      </w:pPr>
      <w:r>
        <w:rPr/>
        <w:br w:type="column"/>
      </w:r>
      <w:r>
        <w:rPr>
          <w:b/>
          <w:sz w:val="18"/>
        </w:rPr>
        <w:t>Artwork</w:t>
      </w:r>
    </w:p>
    <w:p>
      <w:pPr>
        <w:spacing w:line="207" w:lineRule="exact" w:before="0"/>
        <w:ind w:left="736" w:right="0" w:firstLine="0"/>
        <w:jc w:val="left"/>
        <w:rPr>
          <w:b/>
          <w:sz w:val="18"/>
        </w:rPr>
      </w:pPr>
      <w:r>
        <w:rPr/>
        <w:br w:type="column"/>
      </w:r>
      <w:r>
        <w:rPr>
          <w:b/>
          <w:sz w:val="18"/>
        </w:rPr>
        <w:t>Total</w:t>
      </w:r>
    </w:p>
    <w:p>
      <w:pPr>
        <w:spacing w:after="0" w:line="207" w:lineRule="exact"/>
        <w:jc w:val="left"/>
        <w:rPr>
          <w:sz w:val="18"/>
        </w:rPr>
        <w:sectPr>
          <w:type w:val="continuous"/>
          <w:pgSz w:w="11910" w:h="16840"/>
          <w:pgMar w:top="1580" w:bottom="280" w:left="860" w:right="860"/>
          <w:cols w:num="3" w:equalWidth="0">
            <w:col w:w="7373" w:space="40"/>
            <w:col w:w="983" w:space="40"/>
            <w:col w:w="1754"/>
          </w:cols>
        </w:sectPr>
      </w:pPr>
    </w:p>
    <w:p>
      <w:pPr>
        <w:pStyle w:val="BodyText"/>
        <w:rPr>
          <w:b/>
        </w:rPr>
      </w:pPr>
    </w:p>
    <w:p>
      <w:pPr>
        <w:pStyle w:val="BodyText"/>
        <w:spacing w:before="5"/>
        <w:rPr>
          <w:b/>
        </w:rPr>
      </w:pPr>
    </w:p>
    <w:p>
      <w:pPr>
        <w:spacing w:before="0"/>
        <w:ind w:left="544" w:right="-20" w:firstLine="0"/>
        <w:jc w:val="left"/>
        <w:rPr>
          <w:b/>
          <w:sz w:val="18"/>
        </w:rPr>
      </w:pPr>
      <w:r>
        <w:rPr>
          <w:b/>
          <w:sz w:val="18"/>
        </w:rPr>
        <w:t>Year ended 2017</w:t>
      </w:r>
    </w:p>
    <w:p>
      <w:pPr>
        <w:pStyle w:val="BodyText"/>
        <w:spacing w:line="307" w:lineRule="auto" w:before="29"/>
        <w:ind w:left="544" w:right="-20"/>
      </w:pPr>
      <w:r>
        <w:rPr/>
        <w:t>Balance at the beginning of year</w:t>
      </w:r>
      <w:r>
        <w:rPr>
          <w:w w:val="99"/>
        </w:rPr>
        <w:t> </w:t>
      </w:r>
      <w:r>
        <w:rPr/>
        <w:t>Additions</w:t>
      </w:r>
    </w:p>
    <w:p>
      <w:pPr>
        <w:pStyle w:val="BodyText"/>
        <w:ind w:left="543" w:right="-20"/>
      </w:pPr>
      <w:r>
        <w:rPr/>
        <w:t>Depreciation expense</w:t>
      </w:r>
    </w:p>
    <w:p>
      <w:pPr>
        <w:pStyle w:val="Heading9"/>
        <w:spacing w:before="159"/>
        <w:ind w:left="543" w:right="-20"/>
      </w:pPr>
      <w:r>
        <w:rPr/>
        <w:t>Balance at 31 December 2017</w:t>
      </w:r>
    </w:p>
    <w:p>
      <w:pPr>
        <w:tabs>
          <w:tab w:pos="1850" w:val="left" w:leader="none"/>
          <w:tab w:pos="3182" w:val="left" w:leader="none"/>
          <w:tab w:pos="4514" w:val="left" w:leader="none"/>
        </w:tabs>
        <w:spacing w:before="66"/>
        <w:ind w:left="543" w:right="0" w:firstLine="0"/>
        <w:jc w:val="left"/>
        <w:rPr>
          <w:b/>
          <w:sz w:val="18"/>
        </w:rPr>
      </w:pPr>
      <w:r>
        <w:rPr/>
        <w:br w:type="column"/>
      </w:r>
      <w:r>
        <w:rPr>
          <w:b/>
          <w:sz w:val="18"/>
        </w:rPr>
        <w:t>$</w:t>
        <w:tab/>
        <w:t>$</w:t>
        <w:tab/>
        <w:t>$</w:t>
        <w:tab/>
        <w:t>$</w:t>
      </w:r>
    </w:p>
    <w:p>
      <w:pPr>
        <w:spacing w:after="0"/>
        <w:jc w:val="left"/>
        <w:rPr>
          <w:sz w:val="18"/>
        </w:rPr>
        <w:sectPr>
          <w:type w:val="continuous"/>
          <w:pgSz w:w="11910" w:h="16840"/>
          <w:pgMar w:top="1580" w:bottom="280" w:left="860" w:right="860"/>
          <w:cols w:num="2" w:equalWidth="0">
            <w:col w:w="3126" w:space="1697"/>
            <w:col w:w="5367"/>
          </w:cols>
        </w:sectPr>
      </w:pPr>
    </w:p>
    <w:p>
      <w:pPr>
        <w:pStyle w:val="BodyText"/>
        <w:rPr>
          <w:b/>
          <w:sz w:val="20"/>
        </w:rPr>
      </w:pPr>
    </w:p>
    <w:p>
      <w:pPr>
        <w:pStyle w:val="BodyText"/>
        <w:spacing w:before="9"/>
        <w:rPr>
          <w:b/>
          <w:sz w:val="21"/>
        </w:rPr>
      </w:pPr>
    </w:p>
    <w:p>
      <w:pPr>
        <w:spacing w:before="0"/>
        <w:ind w:left="544" w:right="19" w:firstLine="0"/>
        <w:jc w:val="left"/>
        <w:rPr>
          <w:b/>
          <w:sz w:val="18"/>
        </w:rPr>
      </w:pPr>
      <w:r>
        <w:rPr/>
        <w:pict>
          <v:shape style="position:absolute;margin-left:279.959991pt;margin-top:-78.750931pt;width:266.4pt;height:55.9pt;mso-position-horizontal-relative:page;mso-position-vertical-relative:paragraph;z-index:258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16"/>
                    <w:gridCol w:w="1345"/>
                    <w:gridCol w:w="1184"/>
                    <w:gridCol w:w="1183"/>
                  </w:tblGrid>
                  <w:tr>
                    <w:trPr>
                      <w:trHeight w:val="237" w:hRule="exact"/>
                    </w:trPr>
                    <w:tc>
                      <w:tcPr>
                        <w:tcW w:w="1616" w:type="dxa"/>
                      </w:tcPr>
                      <w:p>
                        <w:pPr>
                          <w:pStyle w:val="TableParagraph"/>
                          <w:spacing w:line="199" w:lineRule="exact"/>
                          <w:ind w:right="368"/>
                          <w:jc w:val="right"/>
                          <w:rPr>
                            <w:b/>
                            <w:sz w:val="18"/>
                          </w:rPr>
                        </w:pPr>
                        <w:r>
                          <w:rPr>
                            <w:b/>
                            <w:w w:val="95"/>
                            <w:sz w:val="18"/>
                          </w:rPr>
                          <w:t>4,900,589</w:t>
                        </w:r>
                      </w:p>
                    </w:tc>
                    <w:tc>
                      <w:tcPr>
                        <w:tcW w:w="1345" w:type="dxa"/>
                      </w:tcPr>
                      <w:p>
                        <w:pPr>
                          <w:pStyle w:val="TableParagraph"/>
                          <w:spacing w:line="199" w:lineRule="exact"/>
                          <w:ind w:right="381"/>
                          <w:jc w:val="right"/>
                          <w:rPr>
                            <w:b/>
                            <w:sz w:val="18"/>
                          </w:rPr>
                        </w:pPr>
                        <w:r>
                          <w:rPr>
                            <w:b/>
                            <w:w w:val="95"/>
                            <w:sz w:val="18"/>
                          </w:rPr>
                          <w:t>349,797</w:t>
                        </w:r>
                      </w:p>
                    </w:tc>
                    <w:tc>
                      <w:tcPr>
                        <w:tcW w:w="1184" w:type="dxa"/>
                      </w:tcPr>
                      <w:p>
                        <w:pPr>
                          <w:pStyle w:val="TableParagraph"/>
                          <w:spacing w:line="199" w:lineRule="exact"/>
                          <w:ind w:left="397"/>
                          <w:rPr>
                            <w:b/>
                            <w:sz w:val="18"/>
                          </w:rPr>
                        </w:pPr>
                        <w:r>
                          <w:rPr>
                            <w:b/>
                            <w:sz w:val="18"/>
                          </w:rPr>
                          <w:t>11,909</w:t>
                        </w:r>
                      </w:p>
                    </w:tc>
                    <w:tc>
                      <w:tcPr>
                        <w:tcW w:w="1183" w:type="dxa"/>
                      </w:tcPr>
                      <w:p>
                        <w:pPr>
                          <w:pStyle w:val="TableParagraph"/>
                          <w:spacing w:line="199" w:lineRule="exact"/>
                          <w:ind w:right="84"/>
                          <w:jc w:val="right"/>
                          <w:rPr>
                            <w:b/>
                            <w:sz w:val="18"/>
                          </w:rPr>
                        </w:pPr>
                        <w:r>
                          <w:rPr>
                            <w:b/>
                            <w:w w:val="95"/>
                            <w:sz w:val="18"/>
                          </w:rPr>
                          <w:t>5,262,295</w:t>
                        </w:r>
                      </w:p>
                    </w:tc>
                  </w:tr>
                  <w:tr>
                    <w:trPr>
                      <w:trHeight w:val="264" w:hRule="exact"/>
                    </w:trPr>
                    <w:tc>
                      <w:tcPr>
                        <w:tcW w:w="1616" w:type="dxa"/>
                      </w:tcPr>
                      <w:p>
                        <w:pPr>
                          <w:pStyle w:val="TableParagraph"/>
                          <w:spacing w:before="19"/>
                          <w:ind w:right="368"/>
                          <w:jc w:val="right"/>
                          <w:rPr>
                            <w:b/>
                            <w:sz w:val="18"/>
                          </w:rPr>
                        </w:pPr>
                        <w:r>
                          <w:rPr>
                            <w:b/>
                            <w:w w:val="95"/>
                            <w:sz w:val="18"/>
                          </w:rPr>
                          <w:t>463,946</w:t>
                        </w:r>
                      </w:p>
                    </w:tc>
                    <w:tc>
                      <w:tcPr>
                        <w:tcW w:w="1345" w:type="dxa"/>
                      </w:tcPr>
                      <w:p>
                        <w:pPr>
                          <w:pStyle w:val="TableParagraph"/>
                          <w:spacing w:before="19"/>
                          <w:ind w:right="382"/>
                          <w:jc w:val="right"/>
                          <w:rPr>
                            <w:b/>
                            <w:sz w:val="18"/>
                          </w:rPr>
                        </w:pPr>
                        <w:r>
                          <w:rPr>
                            <w:b/>
                            <w:w w:val="95"/>
                            <w:sz w:val="18"/>
                          </w:rPr>
                          <w:t>44,185</w:t>
                        </w:r>
                      </w:p>
                    </w:tc>
                    <w:tc>
                      <w:tcPr>
                        <w:tcW w:w="1184" w:type="dxa"/>
                      </w:tcPr>
                      <w:p>
                        <w:pPr>
                          <w:pStyle w:val="TableParagraph"/>
                          <w:spacing w:before="19"/>
                          <w:ind w:left="324"/>
                          <w:rPr>
                            <w:b/>
                            <w:sz w:val="18"/>
                          </w:rPr>
                        </w:pPr>
                        <w:r>
                          <w:rPr>
                            <w:b/>
                            <w:w w:val="99"/>
                            <w:sz w:val="18"/>
                          </w:rPr>
                          <w:t>-</w:t>
                        </w:r>
                      </w:p>
                    </w:tc>
                    <w:tc>
                      <w:tcPr>
                        <w:tcW w:w="1183" w:type="dxa"/>
                      </w:tcPr>
                      <w:p>
                        <w:pPr>
                          <w:pStyle w:val="TableParagraph"/>
                          <w:spacing w:before="19"/>
                          <w:ind w:right="84"/>
                          <w:jc w:val="right"/>
                          <w:rPr>
                            <w:b/>
                            <w:sz w:val="18"/>
                          </w:rPr>
                        </w:pPr>
                        <w:r>
                          <w:rPr>
                            <w:b/>
                            <w:w w:val="95"/>
                            <w:sz w:val="18"/>
                          </w:rPr>
                          <w:t>508,131</w:t>
                        </w:r>
                      </w:p>
                    </w:tc>
                  </w:tr>
                  <w:tr>
                    <w:trPr>
                      <w:trHeight w:val="263" w:hRule="exact"/>
                    </w:trPr>
                    <w:tc>
                      <w:tcPr>
                        <w:tcW w:w="1616" w:type="dxa"/>
                        <w:tcBorders>
                          <w:bottom w:val="single" w:sz="0" w:space="0" w:color="000000"/>
                        </w:tcBorders>
                      </w:tcPr>
                      <w:p>
                        <w:pPr>
                          <w:pStyle w:val="TableParagraph"/>
                          <w:spacing w:before="19"/>
                          <w:ind w:right="308"/>
                          <w:jc w:val="right"/>
                          <w:rPr>
                            <w:b/>
                            <w:sz w:val="18"/>
                          </w:rPr>
                        </w:pPr>
                        <w:r>
                          <w:rPr>
                            <w:b/>
                            <w:w w:val="95"/>
                            <w:sz w:val="18"/>
                          </w:rPr>
                          <w:t>(1,420,153)</w:t>
                        </w:r>
                      </w:p>
                    </w:tc>
                    <w:tc>
                      <w:tcPr>
                        <w:tcW w:w="1345" w:type="dxa"/>
                        <w:tcBorders>
                          <w:bottom w:val="single" w:sz="0" w:space="0" w:color="000000"/>
                        </w:tcBorders>
                      </w:tcPr>
                      <w:p>
                        <w:pPr>
                          <w:pStyle w:val="TableParagraph"/>
                          <w:spacing w:before="19"/>
                          <w:ind w:right="322"/>
                          <w:jc w:val="right"/>
                          <w:rPr>
                            <w:b/>
                            <w:sz w:val="18"/>
                          </w:rPr>
                        </w:pPr>
                        <w:r>
                          <w:rPr>
                            <w:b/>
                            <w:w w:val="95"/>
                            <w:sz w:val="18"/>
                          </w:rPr>
                          <w:t>(95,904)</w:t>
                        </w:r>
                      </w:p>
                    </w:tc>
                    <w:tc>
                      <w:tcPr>
                        <w:tcW w:w="1184" w:type="dxa"/>
                        <w:tcBorders>
                          <w:bottom w:val="single" w:sz="0" w:space="0" w:color="000000"/>
                        </w:tcBorders>
                      </w:tcPr>
                      <w:p>
                        <w:pPr>
                          <w:pStyle w:val="TableParagraph"/>
                          <w:spacing w:before="19"/>
                          <w:ind w:left="324"/>
                          <w:rPr>
                            <w:b/>
                            <w:sz w:val="18"/>
                          </w:rPr>
                        </w:pPr>
                        <w:r>
                          <w:rPr>
                            <w:b/>
                            <w:w w:val="99"/>
                            <w:sz w:val="18"/>
                          </w:rPr>
                          <w:t>-</w:t>
                        </w:r>
                      </w:p>
                    </w:tc>
                    <w:tc>
                      <w:tcPr>
                        <w:tcW w:w="1183" w:type="dxa"/>
                        <w:tcBorders>
                          <w:bottom w:val="single" w:sz="0" w:space="0" w:color="000000"/>
                        </w:tcBorders>
                      </w:tcPr>
                      <w:p>
                        <w:pPr>
                          <w:pStyle w:val="TableParagraph"/>
                          <w:spacing w:before="19"/>
                          <w:ind w:right="24"/>
                          <w:jc w:val="right"/>
                          <w:rPr>
                            <w:b/>
                            <w:sz w:val="18"/>
                          </w:rPr>
                        </w:pPr>
                        <w:r>
                          <w:rPr>
                            <w:b/>
                            <w:w w:val="95"/>
                            <w:sz w:val="18"/>
                          </w:rPr>
                          <w:t>(1,516,057)</w:t>
                        </w:r>
                      </w:p>
                    </w:tc>
                  </w:tr>
                  <w:tr>
                    <w:trPr>
                      <w:trHeight w:val="353" w:hRule="exact"/>
                    </w:trPr>
                    <w:tc>
                      <w:tcPr>
                        <w:tcW w:w="1616" w:type="dxa"/>
                        <w:tcBorders>
                          <w:top w:val="single" w:sz="0" w:space="0" w:color="000000"/>
                          <w:bottom w:val="single" w:sz="0" w:space="0" w:color="000000"/>
                        </w:tcBorders>
                      </w:tcPr>
                      <w:p>
                        <w:pPr>
                          <w:pStyle w:val="TableParagraph"/>
                          <w:spacing w:before="38"/>
                          <w:ind w:right="368"/>
                          <w:jc w:val="right"/>
                          <w:rPr>
                            <w:b/>
                            <w:sz w:val="18"/>
                          </w:rPr>
                        </w:pPr>
                        <w:r>
                          <w:rPr>
                            <w:b/>
                            <w:w w:val="95"/>
                            <w:sz w:val="18"/>
                          </w:rPr>
                          <w:t>3,944,382</w:t>
                        </w:r>
                      </w:p>
                    </w:tc>
                    <w:tc>
                      <w:tcPr>
                        <w:tcW w:w="1345" w:type="dxa"/>
                        <w:tcBorders>
                          <w:top w:val="single" w:sz="0" w:space="0" w:color="000000"/>
                          <w:bottom w:val="single" w:sz="0" w:space="0" w:color="000000"/>
                        </w:tcBorders>
                      </w:tcPr>
                      <w:p>
                        <w:pPr>
                          <w:pStyle w:val="TableParagraph"/>
                          <w:spacing w:before="38"/>
                          <w:ind w:right="381"/>
                          <w:jc w:val="right"/>
                          <w:rPr>
                            <w:b/>
                            <w:sz w:val="18"/>
                          </w:rPr>
                        </w:pPr>
                        <w:r>
                          <w:rPr>
                            <w:b/>
                            <w:w w:val="95"/>
                            <w:sz w:val="18"/>
                          </w:rPr>
                          <w:t>298,078</w:t>
                        </w:r>
                      </w:p>
                    </w:tc>
                    <w:tc>
                      <w:tcPr>
                        <w:tcW w:w="1184" w:type="dxa"/>
                        <w:tcBorders>
                          <w:top w:val="single" w:sz="0" w:space="0" w:color="000000"/>
                          <w:bottom w:val="single" w:sz="0" w:space="0" w:color="000000"/>
                        </w:tcBorders>
                      </w:tcPr>
                      <w:p>
                        <w:pPr>
                          <w:pStyle w:val="TableParagraph"/>
                          <w:spacing w:before="38"/>
                          <w:ind w:left="397"/>
                          <w:rPr>
                            <w:b/>
                            <w:sz w:val="18"/>
                          </w:rPr>
                        </w:pPr>
                        <w:r>
                          <w:rPr>
                            <w:b/>
                            <w:sz w:val="18"/>
                          </w:rPr>
                          <w:t>11,909</w:t>
                        </w:r>
                      </w:p>
                    </w:tc>
                    <w:tc>
                      <w:tcPr>
                        <w:tcW w:w="1183" w:type="dxa"/>
                        <w:tcBorders>
                          <w:top w:val="single" w:sz="0" w:space="0" w:color="000000"/>
                          <w:bottom w:val="single" w:sz="0" w:space="0" w:color="000000"/>
                        </w:tcBorders>
                      </w:tcPr>
                      <w:p>
                        <w:pPr>
                          <w:pStyle w:val="TableParagraph"/>
                          <w:spacing w:before="38"/>
                          <w:ind w:right="84"/>
                          <w:jc w:val="right"/>
                          <w:rPr>
                            <w:b/>
                            <w:sz w:val="18"/>
                          </w:rPr>
                        </w:pPr>
                        <w:r>
                          <w:rPr>
                            <w:b/>
                            <w:w w:val="95"/>
                            <w:sz w:val="18"/>
                          </w:rPr>
                          <w:t>4,254,369</w:t>
                        </w:r>
                      </w:p>
                    </w:tc>
                  </w:tr>
                </w:tbl>
                <w:p>
                  <w:pPr>
                    <w:pStyle w:val="BodyText"/>
                  </w:pPr>
                </w:p>
              </w:txbxContent>
            </v:textbox>
            <w10:wrap type="none"/>
          </v:shape>
        </w:pict>
      </w:r>
      <w:r>
        <w:rPr>
          <w:b/>
          <w:sz w:val="18"/>
        </w:rPr>
        <w:t>Year ended 2016</w:t>
      </w:r>
    </w:p>
    <w:p>
      <w:pPr>
        <w:pStyle w:val="BodyText"/>
        <w:spacing w:line="307" w:lineRule="auto" w:before="29"/>
        <w:ind w:left="544" w:right="7044"/>
      </w:pPr>
      <w:r>
        <w:rPr/>
        <w:pict>
          <v:shape style="position:absolute;margin-left:279.959991pt;margin-top:1.779063pt;width:266.4pt;height:55.9pt;mso-position-horizontal-relative:page;mso-position-vertical-relative:paragraph;z-index:260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86"/>
                    <w:gridCol w:w="1375"/>
                    <w:gridCol w:w="1184"/>
                    <w:gridCol w:w="1183"/>
                  </w:tblGrid>
                  <w:tr>
                    <w:trPr>
                      <w:trHeight w:val="237" w:hRule="exact"/>
                    </w:trPr>
                    <w:tc>
                      <w:tcPr>
                        <w:tcW w:w="1586" w:type="dxa"/>
                      </w:tcPr>
                      <w:p>
                        <w:pPr>
                          <w:pStyle w:val="TableParagraph"/>
                          <w:spacing w:line="199" w:lineRule="exact"/>
                          <w:ind w:right="338"/>
                          <w:jc w:val="right"/>
                          <w:rPr>
                            <w:sz w:val="18"/>
                          </w:rPr>
                        </w:pPr>
                        <w:r>
                          <w:rPr>
                            <w:w w:val="95"/>
                            <w:sz w:val="18"/>
                          </w:rPr>
                          <w:t>2,177,264</w:t>
                        </w:r>
                      </w:p>
                    </w:tc>
                    <w:tc>
                      <w:tcPr>
                        <w:tcW w:w="1375" w:type="dxa"/>
                      </w:tcPr>
                      <w:p>
                        <w:pPr>
                          <w:pStyle w:val="TableParagraph"/>
                          <w:spacing w:line="199" w:lineRule="exact"/>
                          <w:ind w:right="381"/>
                          <w:jc w:val="right"/>
                          <w:rPr>
                            <w:sz w:val="18"/>
                          </w:rPr>
                        </w:pPr>
                        <w:r>
                          <w:rPr>
                            <w:w w:val="95"/>
                            <w:sz w:val="18"/>
                          </w:rPr>
                          <w:t>170,278</w:t>
                        </w:r>
                      </w:p>
                    </w:tc>
                    <w:tc>
                      <w:tcPr>
                        <w:tcW w:w="1184" w:type="dxa"/>
                      </w:tcPr>
                      <w:p>
                        <w:pPr>
                          <w:pStyle w:val="TableParagraph"/>
                          <w:spacing w:line="199" w:lineRule="exact"/>
                          <w:ind w:left="397"/>
                          <w:rPr>
                            <w:sz w:val="18"/>
                          </w:rPr>
                        </w:pPr>
                        <w:r>
                          <w:rPr>
                            <w:sz w:val="18"/>
                          </w:rPr>
                          <w:t>11,909</w:t>
                        </w:r>
                      </w:p>
                    </w:tc>
                    <w:tc>
                      <w:tcPr>
                        <w:tcW w:w="1183" w:type="dxa"/>
                      </w:tcPr>
                      <w:p>
                        <w:pPr>
                          <w:pStyle w:val="TableParagraph"/>
                          <w:spacing w:line="199" w:lineRule="exact"/>
                          <w:ind w:right="84"/>
                          <w:jc w:val="right"/>
                          <w:rPr>
                            <w:sz w:val="18"/>
                          </w:rPr>
                        </w:pPr>
                        <w:r>
                          <w:rPr>
                            <w:w w:val="95"/>
                            <w:sz w:val="18"/>
                          </w:rPr>
                          <w:t>2,359,451</w:t>
                        </w:r>
                      </w:p>
                    </w:tc>
                  </w:tr>
                  <w:tr>
                    <w:trPr>
                      <w:trHeight w:val="264" w:hRule="exact"/>
                    </w:trPr>
                    <w:tc>
                      <w:tcPr>
                        <w:tcW w:w="1586" w:type="dxa"/>
                      </w:tcPr>
                      <w:p>
                        <w:pPr>
                          <w:pStyle w:val="TableParagraph"/>
                          <w:spacing w:before="19"/>
                          <w:ind w:right="338"/>
                          <w:jc w:val="right"/>
                          <w:rPr>
                            <w:sz w:val="18"/>
                          </w:rPr>
                        </w:pPr>
                        <w:r>
                          <w:rPr>
                            <w:w w:val="95"/>
                            <w:sz w:val="18"/>
                          </w:rPr>
                          <w:t>3,748,843</w:t>
                        </w:r>
                      </w:p>
                    </w:tc>
                    <w:tc>
                      <w:tcPr>
                        <w:tcW w:w="1375" w:type="dxa"/>
                      </w:tcPr>
                      <w:p>
                        <w:pPr>
                          <w:pStyle w:val="TableParagraph"/>
                          <w:spacing w:before="19"/>
                          <w:ind w:right="381"/>
                          <w:jc w:val="right"/>
                          <w:rPr>
                            <w:sz w:val="18"/>
                          </w:rPr>
                        </w:pPr>
                        <w:r>
                          <w:rPr>
                            <w:w w:val="95"/>
                            <w:sz w:val="18"/>
                          </w:rPr>
                          <w:t>279,685</w:t>
                        </w:r>
                      </w:p>
                    </w:tc>
                    <w:tc>
                      <w:tcPr>
                        <w:tcW w:w="1184" w:type="dxa"/>
                      </w:tcPr>
                      <w:p>
                        <w:pPr>
                          <w:pStyle w:val="TableParagraph"/>
                          <w:spacing w:before="19"/>
                          <w:ind w:left="323"/>
                          <w:rPr>
                            <w:sz w:val="18"/>
                          </w:rPr>
                        </w:pPr>
                        <w:r>
                          <w:rPr>
                            <w:w w:val="99"/>
                            <w:sz w:val="18"/>
                          </w:rPr>
                          <w:t>-</w:t>
                        </w:r>
                      </w:p>
                    </w:tc>
                    <w:tc>
                      <w:tcPr>
                        <w:tcW w:w="1183" w:type="dxa"/>
                      </w:tcPr>
                      <w:p>
                        <w:pPr>
                          <w:pStyle w:val="TableParagraph"/>
                          <w:spacing w:before="19"/>
                          <w:ind w:right="84"/>
                          <w:jc w:val="right"/>
                          <w:rPr>
                            <w:sz w:val="18"/>
                          </w:rPr>
                        </w:pPr>
                        <w:r>
                          <w:rPr>
                            <w:w w:val="95"/>
                            <w:sz w:val="18"/>
                          </w:rPr>
                          <w:t>4,028,528</w:t>
                        </w:r>
                      </w:p>
                    </w:tc>
                  </w:tr>
                  <w:tr>
                    <w:trPr>
                      <w:trHeight w:val="263" w:hRule="exact"/>
                    </w:trPr>
                    <w:tc>
                      <w:tcPr>
                        <w:tcW w:w="1586" w:type="dxa"/>
                        <w:tcBorders>
                          <w:bottom w:val="single" w:sz="0" w:space="0" w:color="000000"/>
                        </w:tcBorders>
                      </w:tcPr>
                      <w:p>
                        <w:pPr>
                          <w:pStyle w:val="TableParagraph"/>
                          <w:spacing w:before="19"/>
                          <w:ind w:right="278"/>
                          <w:jc w:val="right"/>
                          <w:rPr>
                            <w:sz w:val="18"/>
                          </w:rPr>
                        </w:pPr>
                        <w:r>
                          <w:rPr>
                            <w:w w:val="95"/>
                            <w:sz w:val="18"/>
                          </w:rPr>
                          <w:t>(1,025,518)</w:t>
                        </w:r>
                      </w:p>
                    </w:tc>
                    <w:tc>
                      <w:tcPr>
                        <w:tcW w:w="1375" w:type="dxa"/>
                        <w:tcBorders>
                          <w:bottom w:val="single" w:sz="0" w:space="0" w:color="000000"/>
                        </w:tcBorders>
                      </w:tcPr>
                      <w:p>
                        <w:pPr>
                          <w:pStyle w:val="TableParagraph"/>
                          <w:spacing w:before="19"/>
                          <w:ind w:right="321"/>
                          <w:jc w:val="right"/>
                          <w:rPr>
                            <w:sz w:val="18"/>
                          </w:rPr>
                        </w:pPr>
                        <w:r>
                          <w:rPr>
                            <w:w w:val="95"/>
                            <w:sz w:val="18"/>
                          </w:rPr>
                          <w:t>(100,166)</w:t>
                        </w:r>
                      </w:p>
                    </w:tc>
                    <w:tc>
                      <w:tcPr>
                        <w:tcW w:w="1184" w:type="dxa"/>
                        <w:tcBorders>
                          <w:bottom w:val="single" w:sz="0" w:space="0" w:color="000000"/>
                        </w:tcBorders>
                      </w:tcPr>
                      <w:p>
                        <w:pPr>
                          <w:pStyle w:val="TableParagraph"/>
                          <w:spacing w:before="19"/>
                          <w:ind w:left="323"/>
                          <w:rPr>
                            <w:sz w:val="18"/>
                          </w:rPr>
                        </w:pPr>
                        <w:r>
                          <w:rPr>
                            <w:w w:val="99"/>
                            <w:sz w:val="18"/>
                          </w:rPr>
                          <w:t>-</w:t>
                        </w:r>
                      </w:p>
                    </w:tc>
                    <w:tc>
                      <w:tcPr>
                        <w:tcW w:w="1183" w:type="dxa"/>
                        <w:tcBorders>
                          <w:bottom w:val="single" w:sz="0" w:space="0" w:color="000000"/>
                        </w:tcBorders>
                      </w:tcPr>
                      <w:p>
                        <w:pPr>
                          <w:pStyle w:val="TableParagraph"/>
                          <w:spacing w:before="19"/>
                          <w:ind w:right="24"/>
                          <w:jc w:val="right"/>
                          <w:rPr>
                            <w:sz w:val="18"/>
                          </w:rPr>
                        </w:pPr>
                        <w:r>
                          <w:rPr>
                            <w:w w:val="95"/>
                            <w:sz w:val="18"/>
                          </w:rPr>
                          <w:t>(1,125,684)</w:t>
                        </w:r>
                      </w:p>
                    </w:tc>
                  </w:tr>
                  <w:tr>
                    <w:trPr>
                      <w:trHeight w:val="353" w:hRule="exact"/>
                    </w:trPr>
                    <w:tc>
                      <w:tcPr>
                        <w:tcW w:w="1586" w:type="dxa"/>
                        <w:tcBorders>
                          <w:top w:val="single" w:sz="0" w:space="0" w:color="000000"/>
                          <w:bottom w:val="single" w:sz="0" w:space="0" w:color="000000"/>
                        </w:tcBorders>
                      </w:tcPr>
                      <w:p>
                        <w:pPr>
                          <w:pStyle w:val="TableParagraph"/>
                          <w:spacing w:before="38"/>
                          <w:ind w:right="338"/>
                          <w:jc w:val="right"/>
                          <w:rPr>
                            <w:sz w:val="18"/>
                          </w:rPr>
                        </w:pPr>
                        <w:r>
                          <w:rPr>
                            <w:w w:val="95"/>
                            <w:sz w:val="18"/>
                          </w:rPr>
                          <w:t>4,900,589</w:t>
                        </w:r>
                      </w:p>
                    </w:tc>
                    <w:tc>
                      <w:tcPr>
                        <w:tcW w:w="1375" w:type="dxa"/>
                        <w:tcBorders>
                          <w:top w:val="single" w:sz="0" w:space="0" w:color="000000"/>
                          <w:bottom w:val="single" w:sz="0" w:space="0" w:color="000000"/>
                        </w:tcBorders>
                      </w:tcPr>
                      <w:p>
                        <w:pPr>
                          <w:pStyle w:val="TableParagraph"/>
                          <w:spacing w:before="38"/>
                          <w:ind w:right="381"/>
                          <w:jc w:val="right"/>
                          <w:rPr>
                            <w:sz w:val="18"/>
                          </w:rPr>
                        </w:pPr>
                        <w:r>
                          <w:rPr>
                            <w:w w:val="95"/>
                            <w:sz w:val="18"/>
                          </w:rPr>
                          <w:t>349,797</w:t>
                        </w:r>
                      </w:p>
                    </w:tc>
                    <w:tc>
                      <w:tcPr>
                        <w:tcW w:w="1184" w:type="dxa"/>
                        <w:tcBorders>
                          <w:top w:val="single" w:sz="0" w:space="0" w:color="000000"/>
                          <w:bottom w:val="single" w:sz="0" w:space="0" w:color="000000"/>
                        </w:tcBorders>
                      </w:tcPr>
                      <w:p>
                        <w:pPr>
                          <w:pStyle w:val="TableParagraph"/>
                          <w:spacing w:before="38"/>
                          <w:ind w:left="397"/>
                          <w:rPr>
                            <w:sz w:val="18"/>
                          </w:rPr>
                        </w:pPr>
                        <w:r>
                          <w:rPr>
                            <w:sz w:val="18"/>
                          </w:rPr>
                          <w:t>11,909</w:t>
                        </w:r>
                      </w:p>
                    </w:tc>
                    <w:tc>
                      <w:tcPr>
                        <w:tcW w:w="1183" w:type="dxa"/>
                        <w:tcBorders>
                          <w:top w:val="single" w:sz="0" w:space="0" w:color="000000"/>
                          <w:bottom w:val="single" w:sz="0" w:space="0" w:color="000000"/>
                        </w:tcBorders>
                      </w:tcPr>
                      <w:p>
                        <w:pPr>
                          <w:pStyle w:val="TableParagraph"/>
                          <w:spacing w:before="38"/>
                          <w:ind w:right="84"/>
                          <w:jc w:val="right"/>
                          <w:rPr>
                            <w:sz w:val="18"/>
                          </w:rPr>
                        </w:pPr>
                        <w:r>
                          <w:rPr>
                            <w:w w:val="95"/>
                            <w:sz w:val="18"/>
                          </w:rPr>
                          <w:t>5,262,295</w:t>
                        </w:r>
                      </w:p>
                    </w:tc>
                  </w:tr>
                </w:tbl>
                <w:p>
                  <w:pPr>
                    <w:pStyle w:val="BodyText"/>
                  </w:pPr>
                </w:p>
              </w:txbxContent>
            </v:textbox>
            <w10:wrap type="none"/>
          </v:shape>
        </w:pict>
      </w:r>
      <w:r>
        <w:rPr/>
        <w:t>Balance at the beginning of year Additions</w:t>
      </w:r>
    </w:p>
    <w:p>
      <w:pPr>
        <w:pStyle w:val="BodyText"/>
        <w:ind w:left="543" w:right="19"/>
      </w:pPr>
      <w:r>
        <w:rPr/>
        <w:t>Depreciation expense</w:t>
      </w:r>
    </w:p>
    <w:p>
      <w:pPr>
        <w:pStyle w:val="Heading9"/>
        <w:spacing w:before="159"/>
        <w:ind w:left="543" w:right="19"/>
      </w:pPr>
      <w:r>
        <w:rPr/>
        <w:t>Balance at 31 December 2016</w:t>
      </w:r>
    </w:p>
    <w:p>
      <w:pPr>
        <w:spacing w:after="0"/>
        <w:sectPr>
          <w:type w:val="continuous"/>
          <w:pgSz w:w="11910" w:h="16840"/>
          <w:pgMar w:top="1580" w:bottom="280" w:left="860" w:right="860"/>
        </w:sectPr>
      </w:pPr>
    </w:p>
    <w:p>
      <w:pPr>
        <w:pStyle w:val="BodyText"/>
        <w:rPr>
          <w:b/>
          <w:sz w:val="20"/>
        </w:rPr>
      </w:pPr>
    </w:p>
    <w:p>
      <w:pPr>
        <w:pStyle w:val="BodyText"/>
        <w:rPr>
          <w:b/>
          <w:sz w:val="20"/>
        </w:rPr>
      </w:pPr>
    </w:p>
    <w:p>
      <w:pPr>
        <w:pStyle w:val="BodyText"/>
        <w:spacing w:before="8"/>
        <w:rPr>
          <w:b/>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7074"/>
        <w:gridCol w:w="1502"/>
        <w:gridCol w:w="1093"/>
      </w:tblGrid>
      <w:tr>
        <w:trPr>
          <w:trHeight w:val="567" w:hRule="exact"/>
        </w:trPr>
        <w:tc>
          <w:tcPr>
            <w:tcW w:w="282" w:type="dxa"/>
          </w:tcPr>
          <w:p>
            <w:pPr>
              <w:pStyle w:val="TableParagraph"/>
              <w:spacing w:before="77"/>
              <w:ind w:left="35"/>
              <w:rPr>
                <w:b/>
                <w:sz w:val="18"/>
              </w:rPr>
            </w:pPr>
            <w:r>
              <w:rPr>
                <w:b/>
                <w:w w:val="99"/>
                <w:sz w:val="18"/>
              </w:rPr>
              <w:t>6</w:t>
            </w:r>
          </w:p>
        </w:tc>
        <w:tc>
          <w:tcPr>
            <w:tcW w:w="7074" w:type="dxa"/>
          </w:tcPr>
          <w:p>
            <w:pPr>
              <w:pStyle w:val="TableParagraph"/>
              <w:spacing w:before="77"/>
              <w:ind w:left="148"/>
              <w:rPr>
                <w:b/>
                <w:sz w:val="18"/>
              </w:rPr>
            </w:pPr>
            <w:r>
              <w:rPr>
                <w:b/>
                <w:sz w:val="18"/>
              </w:rPr>
              <w:t>Intangible assets</w:t>
            </w:r>
          </w:p>
        </w:tc>
        <w:tc>
          <w:tcPr>
            <w:tcW w:w="1502" w:type="dxa"/>
          </w:tcPr>
          <w:p>
            <w:pPr>
              <w:pStyle w:val="TableParagraph"/>
              <w:rPr>
                <w:b/>
                <w:sz w:val="18"/>
              </w:rPr>
            </w:pPr>
          </w:p>
          <w:p>
            <w:pPr>
              <w:pStyle w:val="TableParagraph"/>
              <w:spacing w:before="110"/>
              <w:ind w:left="448"/>
              <w:rPr>
                <w:b/>
                <w:sz w:val="18"/>
              </w:rPr>
            </w:pPr>
            <w:r>
              <w:rPr>
                <w:b/>
                <w:sz w:val="18"/>
              </w:rPr>
              <w:t>2017</w:t>
            </w:r>
          </w:p>
        </w:tc>
        <w:tc>
          <w:tcPr>
            <w:tcW w:w="1093" w:type="dxa"/>
          </w:tcPr>
          <w:p>
            <w:pPr>
              <w:pStyle w:val="TableParagraph"/>
              <w:rPr>
                <w:b/>
                <w:sz w:val="18"/>
              </w:rPr>
            </w:pPr>
          </w:p>
          <w:p>
            <w:pPr>
              <w:pStyle w:val="TableParagraph"/>
              <w:spacing w:before="110"/>
              <w:ind w:left="230"/>
              <w:rPr>
                <w:b/>
                <w:sz w:val="18"/>
              </w:rPr>
            </w:pPr>
            <w:r>
              <w:rPr>
                <w:b/>
                <w:sz w:val="18"/>
              </w:rPr>
              <w:t>2016</w:t>
            </w:r>
          </w:p>
        </w:tc>
      </w:tr>
      <w:tr>
        <w:trPr>
          <w:trHeight w:val="313" w:hRule="exact"/>
        </w:trPr>
        <w:tc>
          <w:tcPr>
            <w:tcW w:w="282" w:type="dxa"/>
          </w:tcPr>
          <w:p>
            <w:pPr/>
          </w:p>
        </w:tc>
        <w:tc>
          <w:tcPr>
            <w:tcW w:w="7074" w:type="dxa"/>
          </w:tcPr>
          <w:p>
            <w:pPr/>
          </w:p>
        </w:tc>
        <w:tc>
          <w:tcPr>
            <w:tcW w:w="1502" w:type="dxa"/>
          </w:tcPr>
          <w:p>
            <w:pPr>
              <w:pStyle w:val="TableParagraph"/>
              <w:spacing w:before="24"/>
              <w:ind w:right="202"/>
              <w:jc w:val="center"/>
              <w:rPr>
                <w:b/>
                <w:sz w:val="18"/>
              </w:rPr>
            </w:pPr>
            <w:r>
              <w:rPr>
                <w:b/>
                <w:w w:val="99"/>
                <w:sz w:val="18"/>
              </w:rPr>
              <w:t>$</w:t>
            </w:r>
          </w:p>
        </w:tc>
        <w:tc>
          <w:tcPr>
            <w:tcW w:w="1093" w:type="dxa"/>
          </w:tcPr>
          <w:p>
            <w:pPr>
              <w:pStyle w:val="TableParagraph"/>
              <w:spacing w:before="24"/>
              <w:ind w:left="380"/>
              <w:rPr>
                <w:b/>
                <w:sz w:val="18"/>
              </w:rPr>
            </w:pPr>
            <w:r>
              <w:rPr>
                <w:b/>
                <w:w w:val="99"/>
                <w:sz w:val="18"/>
              </w:rPr>
              <w:t>$</w:t>
            </w:r>
          </w:p>
        </w:tc>
      </w:tr>
      <w:tr>
        <w:trPr>
          <w:trHeight w:val="544" w:hRule="exact"/>
        </w:trPr>
        <w:tc>
          <w:tcPr>
            <w:tcW w:w="282" w:type="dxa"/>
          </w:tcPr>
          <w:p>
            <w:pPr/>
          </w:p>
        </w:tc>
        <w:tc>
          <w:tcPr>
            <w:tcW w:w="7074" w:type="dxa"/>
          </w:tcPr>
          <w:p>
            <w:pPr>
              <w:pStyle w:val="TableParagraph"/>
              <w:spacing w:before="63"/>
              <w:ind w:left="147"/>
              <w:rPr>
                <w:b/>
                <w:sz w:val="18"/>
              </w:rPr>
            </w:pPr>
            <w:r>
              <w:rPr>
                <w:b/>
                <w:sz w:val="18"/>
              </w:rPr>
              <w:t>Online teaching units</w:t>
            </w:r>
          </w:p>
          <w:p>
            <w:pPr>
              <w:pStyle w:val="TableParagraph"/>
              <w:spacing w:before="29"/>
              <w:ind w:left="147"/>
              <w:rPr>
                <w:sz w:val="18"/>
              </w:rPr>
            </w:pPr>
            <w:r>
              <w:rPr>
                <w:sz w:val="18"/>
              </w:rPr>
              <w:t>At cost</w:t>
            </w:r>
          </w:p>
        </w:tc>
        <w:tc>
          <w:tcPr>
            <w:tcW w:w="1502" w:type="dxa"/>
          </w:tcPr>
          <w:p>
            <w:pPr>
              <w:pStyle w:val="TableParagraph"/>
              <w:spacing w:before="11"/>
              <w:rPr>
                <w:b/>
                <w:sz w:val="25"/>
              </w:rPr>
            </w:pPr>
          </w:p>
          <w:p>
            <w:pPr>
              <w:pStyle w:val="TableParagraph"/>
              <w:ind w:left="560"/>
              <w:rPr>
                <w:b/>
                <w:sz w:val="18"/>
              </w:rPr>
            </w:pPr>
            <w:r>
              <w:rPr>
                <w:b/>
                <w:sz w:val="18"/>
              </w:rPr>
              <w:t>263,414</w:t>
            </w:r>
          </w:p>
        </w:tc>
        <w:tc>
          <w:tcPr>
            <w:tcW w:w="1093" w:type="dxa"/>
          </w:tcPr>
          <w:p>
            <w:pPr>
              <w:pStyle w:val="TableParagraph"/>
              <w:spacing w:before="11"/>
              <w:rPr>
                <w:b/>
                <w:sz w:val="25"/>
              </w:rPr>
            </w:pPr>
          </w:p>
          <w:p>
            <w:pPr>
              <w:pStyle w:val="TableParagraph"/>
              <w:ind w:left="356"/>
              <w:rPr>
                <w:sz w:val="18"/>
              </w:rPr>
            </w:pPr>
            <w:r>
              <w:rPr>
                <w:sz w:val="18"/>
              </w:rPr>
              <w:t>263,414</w:t>
            </w:r>
          </w:p>
        </w:tc>
      </w:tr>
      <w:tr>
        <w:trPr>
          <w:trHeight w:val="262" w:hRule="exact"/>
        </w:trPr>
        <w:tc>
          <w:tcPr>
            <w:tcW w:w="282" w:type="dxa"/>
          </w:tcPr>
          <w:p>
            <w:pPr/>
          </w:p>
        </w:tc>
        <w:tc>
          <w:tcPr>
            <w:tcW w:w="7074" w:type="dxa"/>
          </w:tcPr>
          <w:p>
            <w:pPr>
              <w:pStyle w:val="TableParagraph"/>
              <w:spacing w:before="19"/>
              <w:ind w:left="147"/>
              <w:rPr>
                <w:sz w:val="18"/>
              </w:rPr>
            </w:pPr>
            <w:r>
              <w:rPr>
                <w:sz w:val="18"/>
              </w:rPr>
              <w:t>Accumulated amortisation</w:t>
            </w:r>
          </w:p>
        </w:tc>
        <w:tc>
          <w:tcPr>
            <w:tcW w:w="1502" w:type="dxa"/>
            <w:tcBorders>
              <w:bottom w:val="single" w:sz="0" w:space="0" w:color="000000"/>
            </w:tcBorders>
          </w:tcPr>
          <w:p>
            <w:pPr>
              <w:pStyle w:val="TableParagraph"/>
              <w:spacing w:before="18"/>
              <w:ind w:left="500"/>
              <w:rPr>
                <w:b/>
                <w:sz w:val="18"/>
              </w:rPr>
            </w:pPr>
            <w:r>
              <w:rPr>
                <w:b/>
                <w:sz w:val="18"/>
              </w:rPr>
              <w:t>(263,414)</w:t>
            </w:r>
          </w:p>
        </w:tc>
        <w:tc>
          <w:tcPr>
            <w:tcW w:w="1093" w:type="dxa"/>
            <w:tcBorders>
              <w:bottom w:val="single" w:sz="0" w:space="0" w:color="000000"/>
            </w:tcBorders>
          </w:tcPr>
          <w:p>
            <w:pPr>
              <w:pStyle w:val="TableParagraph"/>
              <w:spacing w:before="18"/>
              <w:ind w:left="296"/>
              <w:rPr>
                <w:sz w:val="18"/>
              </w:rPr>
            </w:pPr>
            <w:r>
              <w:rPr>
                <w:sz w:val="18"/>
              </w:rPr>
              <w:t>(109,756)</w:t>
            </w:r>
          </w:p>
        </w:tc>
      </w:tr>
      <w:tr>
        <w:trPr>
          <w:trHeight w:val="338" w:hRule="exact"/>
        </w:trPr>
        <w:tc>
          <w:tcPr>
            <w:tcW w:w="282" w:type="dxa"/>
          </w:tcPr>
          <w:p>
            <w:pPr/>
          </w:p>
        </w:tc>
        <w:tc>
          <w:tcPr>
            <w:tcW w:w="7074" w:type="dxa"/>
          </w:tcPr>
          <w:p>
            <w:pPr>
              <w:pStyle w:val="TableParagraph"/>
              <w:spacing w:before="123"/>
              <w:ind w:left="147"/>
              <w:rPr>
                <w:b/>
                <w:sz w:val="18"/>
              </w:rPr>
            </w:pPr>
            <w:r>
              <w:rPr>
                <w:b/>
                <w:sz w:val="18"/>
              </w:rPr>
              <w:t>Net carrying value</w:t>
            </w:r>
          </w:p>
        </w:tc>
        <w:tc>
          <w:tcPr>
            <w:tcW w:w="1502" w:type="dxa"/>
            <w:tcBorders>
              <w:top w:val="single" w:sz="0" w:space="0" w:color="000000"/>
              <w:bottom w:val="single" w:sz="0" w:space="0" w:color="000000"/>
            </w:tcBorders>
          </w:tcPr>
          <w:p>
            <w:pPr>
              <w:pStyle w:val="TableParagraph"/>
              <w:spacing w:before="122"/>
              <w:ind w:right="203"/>
              <w:jc w:val="center"/>
              <w:rPr>
                <w:b/>
                <w:sz w:val="18"/>
              </w:rPr>
            </w:pPr>
            <w:r>
              <w:rPr>
                <w:b/>
                <w:w w:val="99"/>
                <w:sz w:val="18"/>
              </w:rPr>
              <w:t>-</w:t>
            </w:r>
          </w:p>
        </w:tc>
        <w:tc>
          <w:tcPr>
            <w:tcW w:w="1093" w:type="dxa"/>
            <w:tcBorders>
              <w:top w:val="single" w:sz="0" w:space="0" w:color="000000"/>
              <w:bottom w:val="single" w:sz="0" w:space="0" w:color="000000"/>
            </w:tcBorders>
          </w:tcPr>
          <w:p>
            <w:pPr>
              <w:pStyle w:val="TableParagraph"/>
              <w:spacing w:before="122"/>
              <w:ind w:left="357"/>
              <w:rPr>
                <w:sz w:val="18"/>
              </w:rPr>
            </w:pPr>
            <w:r>
              <w:rPr>
                <w:sz w:val="18"/>
              </w:rPr>
              <w:t>153,658</w:t>
            </w:r>
          </w:p>
        </w:tc>
      </w:tr>
      <w:tr>
        <w:trPr>
          <w:trHeight w:val="353" w:hRule="exact"/>
        </w:trPr>
        <w:tc>
          <w:tcPr>
            <w:tcW w:w="282" w:type="dxa"/>
          </w:tcPr>
          <w:p>
            <w:pPr/>
          </w:p>
        </w:tc>
        <w:tc>
          <w:tcPr>
            <w:tcW w:w="7074" w:type="dxa"/>
          </w:tcPr>
          <w:p>
            <w:pPr>
              <w:pStyle w:val="TableParagraph"/>
              <w:spacing w:before="123"/>
              <w:ind w:left="147"/>
              <w:rPr>
                <w:b/>
                <w:sz w:val="18"/>
              </w:rPr>
            </w:pPr>
            <w:r>
              <w:rPr>
                <w:b/>
                <w:sz w:val="18"/>
              </w:rPr>
              <w:t>Total Intangibles</w:t>
            </w:r>
          </w:p>
        </w:tc>
        <w:tc>
          <w:tcPr>
            <w:tcW w:w="1502" w:type="dxa"/>
            <w:tcBorders>
              <w:top w:val="single" w:sz="0" w:space="0" w:color="000000"/>
              <w:bottom w:val="single" w:sz="0" w:space="0" w:color="000000"/>
            </w:tcBorders>
          </w:tcPr>
          <w:p>
            <w:pPr>
              <w:pStyle w:val="TableParagraph"/>
              <w:spacing w:before="122"/>
              <w:ind w:right="203"/>
              <w:jc w:val="center"/>
              <w:rPr>
                <w:b/>
                <w:sz w:val="18"/>
              </w:rPr>
            </w:pPr>
            <w:r>
              <w:rPr>
                <w:b/>
                <w:w w:val="99"/>
                <w:sz w:val="18"/>
              </w:rPr>
              <w:t>-</w:t>
            </w:r>
          </w:p>
        </w:tc>
        <w:tc>
          <w:tcPr>
            <w:tcW w:w="1093" w:type="dxa"/>
            <w:tcBorders>
              <w:top w:val="single" w:sz="0" w:space="0" w:color="000000"/>
              <w:bottom w:val="single" w:sz="0" w:space="0" w:color="000000"/>
            </w:tcBorders>
          </w:tcPr>
          <w:p>
            <w:pPr>
              <w:pStyle w:val="TableParagraph"/>
              <w:spacing w:before="122"/>
              <w:ind w:left="356"/>
              <w:rPr>
                <w:sz w:val="18"/>
              </w:rPr>
            </w:pPr>
            <w:r>
              <w:rPr>
                <w:sz w:val="18"/>
              </w:rPr>
              <w:t>153,658</w:t>
            </w:r>
          </w:p>
        </w:tc>
      </w:tr>
    </w:tbl>
    <w:p>
      <w:pPr>
        <w:pStyle w:val="BodyText"/>
        <w:spacing w:before="2"/>
        <w:rPr>
          <w:b/>
          <w:sz w:val="22"/>
        </w:rPr>
      </w:pPr>
    </w:p>
    <w:p>
      <w:pPr>
        <w:pStyle w:val="Heading9"/>
        <w:tabs>
          <w:tab w:pos="1111" w:val="left" w:leader="none"/>
        </w:tabs>
        <w:spacing w:before="77"/>
        <w:ind w:left="545" w:right="19"/>
      </w:pPr>
      <w:r>
        <w:rPr/>
        <w:t>(a)</w:t>
        <w:tab/>
        <w:t>Movements in carrying amounts of intangible assets</w:t>
      </w:r>
    </w:p>
    <w:p>
      <w:pPr>
        <w:pStyle w:val="BodyText"/>
        <w:rPr>
          <w:b/>
          <w:sz w:val="20"/>
        </w:rPr>
      </w:pPr>
    </w:p>
    <w:p>
      <w:pPr>
        <w:pStyle w:val="BodyText"/>
        <w:spacing w:before="6"/>
        <w:rPr>
          <w:b/>
          <w:sz w:val="19"/>
        </w:rPr>
      </w:pPr>
    </w:p>
    <w:tbl>
      <w:tblPr>
        <w:tblW w:w="0" w:type="auto"/>
        <w:jc w:val="left"/>
        <w:tblInd w:w="112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49"/>
        <w:gridCol w:w="1512"/>
        <w:gridCol w:w="1082"/>
      </w:tblGrid>
      <w:tr>
        <w:trPr>
          <w:trHeight w:val="740" w:hRule="exact"/>
        </w:trPr>
        <w:tc>
          <w:tcPr>
            <w:tcW w:w="6349" w:type="dxa"/>
            <w:vMerge w:val="restart"/>
          </w:tcPr>
          <w:p>
            <w:pPr/>
          </w:p>
        </w:tc>
        <w:tc>
          <w:tcPr>
            <w:tcW w:w="1512" w:type="dxa"/>
          </w:tcPr>
          <w:p>
            <w:pPr>
              <w:pStyle w:val="TableParagraph"/>
              <w:spacing w:before="77"/>
              <w:ind w:left="276" w:right="443" w:hanging="3"/>
              <w:jc w:val="center"/>
              <w:rPr>
                <w:b/>
                <w:sz w:val="18"/>
              </w:rPr>
            </w:pPr>
            <w:r>
              <w:rPr>
                <w:b/>
                <w:sz w:val="18"/>
              </w:rPr>
              <w:t>Online Teaching</w:t>
            </w:r>
            <w:r>
              <w:rPr>
                <w:b/>
                <w:w w:val="100"/>
                <w:sz w:val="18"/>
              </w:rPr>
              <w:t> </w:t>
            </w:r>
            <w:r>
              <w:rPr>
                <w:b/>
                <w:sz w:val="18"/>
              </w:rPr>
              <w:t>Units</w:t>
            </w:r>
          </w:p>
        </w:tc>
        <w:tc>
          <w:tcPr>
            <w:tcW w:w="1082" w:type="dxa"/>
          </w:tcPr>
          <w:p>
            <w:pPr>
              <w:pStyle w:val="TableParagraph"/>
              <w:rPr>
                <w:b/>
                <w:sz w:val="18"/>
              </w:rPr>
            </w:pPr>
          </w:p>
          <w:p>
            <w:pPr>
              <w:pStyle w:val="TableParagraph"/>
              <w:spacing w:before="6"/>
              <w:rPr>
                <w:b/>
                <w:sz w:val="24"/>
              </w:rPr>
            </w:pPr>
          </w:p>
          <w:p>
            <w:pPr>
              <w:pStyle w:val="TableParagraph"/>
              <w:spacing w:before="1"/>
              <w:ind w:left="241"/>
              <w:rPr>
                <w:b/>
                <w:sz w:val="18"/>
              </w:rPr>
            </w:pPr>
            <w:r>
              <w:rPr>
                <w:b/>
                <w:sz w:val="18"/>
              </w:rPr>
              <w:t>Total</w:t>
            </w:r>
          </w:p>
        </w:tc>
      </w:tr>
      <w:tr>
        <w:trPr>
          <w:trHeight w:val="313" w:hRule="exact"/>
        </w:trPr>
        <w:tc>
          <w:tcPr>
            <w:tcW w:w="6349" w:type="dxa"/>
            <w:vMerge/>
          </w:tcPr>
          <w:p>
            <w:pPr/>
          </w:p>
        </w:tc>
        <w:tc>
          <w:tcPr>
            <w:tcW w:w="1512" w:type="dxa"/>
          </w:tcPr>
          <w:p>
            <w:pPr>
              <w:pStyle w:val="TableParagraph"/>
              <w:spacing w:before="24"/>
              <w:ind w:right="166"/>
              <w:jc w:val="center"/>
              <w:rPr>
                <w:b/>
                <w:sz w:val="18"/>
              </w:rPr>
            </w:pPr>
            <w:r>
              <w:rPr>
                <w:b/>
                <w:w w:val="99"/>
                <w:sz w:val="18"/>
              </w:rPr>
              <w:t>$</w:t>
            </w:r>
          </w:p>
        </w:tc>
        <w:tc>
          <w:tcPr>
            <w:tcW w:w="1082" w:type="dxa"/>
          </w:tcPr>
          <w:p>
            <w:pPr>
              <w:pStyle w:val="TableParagraph"/>
              <w:spacing w:before="24"/>
              <w:ind w:right="166"/>
              <w:jc w:val="center"/>
              <w:rPr>
                <w:b/>
                <w:sz w:val="18"/>
              </w:rPr>
            </w:pPr>
            <w:r>
              <w:rPr>
                <w:b/>
                <w:w w:val="99"/>
                <w:sz w:val="18"/>
              </w:rPr>
              <w:t>$</w:t>
            </w:r>
          </w:p>
        </w:tc>
      </w:tr>
      <w:tr>
        <w:trPr>
          <w:trHeight w:val="544" w:hRule="exact"/>
        </w:trPr>
        <w:tc>
          <w:tcPr>
            <w:tcW w:w="6349" w:type="dxa"/>
          </w:tcPr>
          <w:p>
            <w:pPr>
              <w:pStyle w:val="TableParagraph"/>
              <w:spacing w:before="63"/>
              <w:ind w:left="35"/>
              <w:rPr>
                <w:b/>
                <w:sz w:val="18"/>
              </w:rPr>
            </w:pPr>
            <w:r>
              <w:rPr>
                <w:b/>
                <w:sz w:val="18"/>
              </w:rPr>
              <w:t>Year ended 2017</w:t>
            </w:r>
          </w:p>
          <w:p>
            <w:pPr>
              <w:pStyle w:val="TableParagraph"/>
              <w:spacing w:before="29"/>
              <w:ind w:left="35"/>
              <w:rPr>
                <w:sz w:val="18"/>
              </w:rPr>
            </w:pPr>
            <w:r>
              <w:rPr>
                <w:sz w:val="18"/>
              </w:rPr>
              <w:t>Balance at the beginning of the year</w:t>
            </w:r>
          </w:p>
        </w:tc>
        <w:tc>
          <w:tcPr>
            <w:tcW w:w="1512" w:type="dxa"/>
          </w:tcPr>
          <w:p>
            <w:pPr>
              <w:pStyle w:val="TableParagraph"/>
              <w:spacing w:before="11"/>
              <w:rPr>
                <w:b/>
                <w:sz w:val="25"/>
              </w:rPr>
            </w:pPr>
          </w:p>
          <w:p>
            <w:pPr>
              <w:pStyle w:val="TableParagraph"/>
              <w:ind w:left="560"/>
              <w:rPr>
                <w:b/>
                <w:sz w:val="18"/>
              </w:rPr>
            </w:pPr>
            <w:r>
              <w:rPr>
                <w:b/>
                <w:sz w:val="18"/>
              </w:rPr>
              <w:t>153,658</w:t>
            </w:r>
          </w:p>
        </w:tc>
        <w:tc>
          <w:tcPr>
            <w:tcW w:w="1082" w:type="dxa"/>
          </w:tcPr>
          <w:p>
            <w:pPr>
              <w:pStyle w:val="TableParagraph"/>
              <w:spacing w:before="11"/>
              <w:rPr>
                <w:b/>
                <w:sz w:val="25"/>
              </w:rPr>
            </w:pPr>
          </w:p>
          <w:p>
            <w:pPr>
              <w:pStyle w:val="TableParagraph"/>
              <w:ind w:left="345"/>
              <w:rPr>
                <w:b/>
                <w:sz w:val="18"/>
              </w:rPr>
            </w:pPr>
            <w:r>
              <w:rPr>
                <w:b/>
                <w:sz w:val="18"/>
              </w:rPr>
              <w:t>153,658</w:t>
            </w:r>
          </w:p>
        </w:tc>
      </w:tr>
      <w:tr>
        <w:trPr>
          <w:trHeight w:val="262" w:hRule="exact"/>
        </w:trPr>
        <w:tc>
          <w:tcPr>
            <w:tcW w:w="6349" w:type="dxa"/>
          </w:tcPr>
          <w:p>
            <w:pPr>
              <w:pStyle w:val="TableParagraph"/>
              <w:spacing w:before="19"/>
              <w:ind w:left="35"/>
              <w:rPr>
                <w:sz w:val="18"/>
              </w:rPr>
            </w:pPr>
            <w:r>
              <w:rPr>
                <w:sz w:val="18"/>
              </w:rPr>
              <w:t>Amortisation</w:t>
            </w:r>
          </w:p>
        </w:tc>
        <w:tc>
          <w:tcPr>
            <w:tcW w:w="1512" w:type="dxa"/>
            <w:tcBorders>
              <w:bottom w:val="single" w:sz="0" w:space="0" w:color="000000"/>
            </w:tcBorders>
          </w:tcPr>
          <w:p>
            <w:pPr>
              <w:pStyle w:val="TableParagraph"/>
              <w:spacing w:before="18"/>
              <w:ind w:left="500"/>
              <w:rPr>
                <w:b/>
                <w:sz w:val="18"/>
              </w:rPr>
            </w:pPr>
            <w:r>
              <w:rPr>
                <w:b/>
                <w:sz w:val="18"/>
              </w:rPr>
              <w:t>(153,658)</w:t>
            </w:r>
          </w:p>
        </w:tc>
        <w:tc>
          <w:tcPr>
            <w:tcW w:w="1082" w:type="dxa"/>
            <w:tcBorders>
              <w:bottom w:val="single" w:sz="0" w:space="0" w:color="000000"/>
            </w:tcBorders>
          </w:tcPr>
          <w:p>
            <w:pPr>
              <w:pStyle w:val="TableParagraph"/>
              <w:spacing w:before="18"/>
              <w:ind w:left="285"/>
              <w:rPr>
                <w:b/>
                <w:sz w:val="18"/>
              </w:rPr>
            </w:pPr>
            <w:r>
              <w:rPr>
                <w:b/>
                <w:sz w:val="18"/>
              </w:rPr>
              <w:t>(153,658)</w:t>
            </w:r>
          </w:p>
        </w:tc>
      </w:tr>
    </w:tbl>
    <w:p>
      <w:pPr>
        <w:tabs>
          <w:tab w:pos="8112" w:val="left" w:leader="none"/>
          <w:tab w:pos="9409" w:val="left" w:leader="none"/>
        </w:tabs>
        <w:spacing w:before="123"/>
        <w:ind w:left="1157" w:right="19" w:firstLine="0"/>
        <w:jc w:val="left"/>
        <w:rPr>
          <w:b/>
          <w:sz w:val="18"/>
        </w:rPr>
      </w:pPr>
      <w:r>
        <w:rPr>
          <w:b/>
          <w:sz w:val="18"/>
        </w:rPr>
        <w:t>Closing value at 31</w:t>
      </w:r>
      <w:r>
        <w:rPr>
          <w:b/>
          <w:spacing w:val="-1"/>
          <w:sz w:val="18"/>
        </w:rPr>
        <w:t> </w:t>
      </w:r>
      <w:r>
        <w:rPr>
          <w:b/>
          <w:sz w:val="18"/>
        </w:rPr>
        <w:t>December</w:t>
      </w:r>
      <w:r>
        <w:rPr>
          <w:b/>
          <w:spacing w:val="-1"/>
          <w:sz w:val="18"/>
        </w:rPr>
        <w:t> </w:t>
      </w:r>
      <w:r>
        <w:rPr>
          <w:b/>
          <w:sz w:val="18"/>
        </w:rPr>
        <w:t>2017</w:t>
        <w:tab/>
        <w:t>-</w:t>
        <w:tab/>
        <w:t>-</w:t>
      </w:r>
    </w:p>
    <w:p>
      <w:pPr>
        <w:pStyle w:val="BodyText"/>
        <w:spacing w:line="50" w:lineRule="exact"/>
        <w:ind w:left="7470"/>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rPr>
          <w:b/>
          <w:sz w:val="20"/>
        </w:rPr>
      </w:pPr>
    </w:p>
    <w:p>
      <w:pPr>
        <w:pStyle w:val="BodyText"/>
        <w:rPr>
          <w:b/>
          <w:sz w:val="20"/>
        </w:rPr>
      </w:pPr>
    </w:p>
    <w:p>
      <w:pPr>
        <w:pStyle w:val="BodyText"/>
        <w:rPr>
          <w:b/>
          <w:sz w:val="20"/>
        </w:rPr>
      </w:pPr>
    </w:p>
    <w:p>
      <w:pPr>
        <w:pStyle w:val="BodyText"/>
        <w:spacing w:before="1"/>
        <w:rPr>
          <w:b/>
          <w:sz w:val="22"/>
        </w:rPr>
      </w:pPr>
    </w:p>
    <w:tbl>
      <w:tblPr>
        <w:tblW w:w="0" w:type="auto"/>
        <w:jc w:val="left"/>
        <w:tblInd w:w="112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49"/>
        <w:gridCol w:w="1534"/>
        <w:gridCol w:w="1060"/>
      </w:tblGrid>
      <w:tr>
        <w:trPr>
          <w:trHeight w:val="660" w:hRule="exact"/>
        </w:trPr>
        <w:tc>
          <w:tcPr>
            <w:tcW w:w="6349" w:type="dxa"/>
          </w:tcPr>
          <w:p>
            <w:pPr>
              <w:pStyle w:val="TableParagraph"/>
              <w:rPr>
                <w:b/>
                <w:sz w:val="18"/>
              </w:rPr>
            </w:pPr>
          </w:p>
          <w:p>
            <w:pPr>
              <w:pStyle w:val="TableParagraph"/>
              <w:spacing w:before="4"/>
              <w:rPr>
                <w:b/>
                <w:sz w:val="19"/>
              </w:rPr>
            </w:pPr>
          </w:p>
          <w:p>
            <w:pPr>
              <w:pStyle w:val="TableParagraph"/>
              <w:ind w:left="35"/>
              <w:rPr>
                <w:b/>
                <w:sz w:val="18"/>
              </w:rPr>
            </w:pPr>
            <w:r>
              <w:rPr>
                <w:b/>
                <w:sz w:val="18"/>
              </w:rPr>
              <w:t>Year ended 2016</w:t>
            </w:r>
          </w:p>
        </w:tc>
        <w:tc>
          <w:tcPr>
            <w:tcW w:w="1534" w:type="dxa"/>
          </w:tcPr>
          <w:p>
            <w:pPr>
              <w:pStyle w:val="TableParagraph"/>
              <w:spacing w:before="77"/>
              <w:ind w:right="188"/>
              <w:jc w:val="center"/>
              <w:rPr>
                <w:b/>
                <w:sz w:val="18"/>
              </w:rPr>
            </w:pPr>
            <w:r>
              <w:rPr>
                <w:b/>
                <w:w w:val="99"/>
                <w:sz w:val="18"/>
              </w:rPr>
              <w:t>$</w:t>
            </w:r>
          </w:p>
        </w:tc>
        <w:tc>
          <w:tcPr>
            <w:tcW w:w="1060" w:type="dxa"/>
          </w:tcPr>
          <w:p>
            <w:pPr>
              <w:pStyle w:val="TableParagraph"/>
              <w:spacing w:before="77"/>
              <w:ind w:right="188"/>
              <w:jc w:val="center"/>
              <w:rPr>
                <w:b/>
                <w:sz w:val="18"/>
              </w:rPr>
            </w:pPr>
            <w:r>
              <w:rPr>
                <w:b/>
                <w:w w:val="99"/>
                <w:sz w:val="18"/>
              </w:rPr>
              <w:t>$</w:t>
            </w:r>
          </w:p>
        </w:tc>
      </w:tr>
      <w:tr>
        <w:trPr>
          <w:trHeight w:val="250" w:hRule="exact"/>
        </w:trPr>
        <w:tc>
          <w:tcPr>
            <w:tcW w:w="6349" w:type="dxa"/>
          </w:tcPr>
          <w:p>
            <w:pPr>
              <w:pStyle w:val="TableParagraph"/>
              <w:spacing w:before="6"/>
              <w:ind w:left="35"/>
              <w:rPr>
                <w:sz w:val="18"/>
              </w:rPr>
            </w:pPr>
            <w:r>
              <w:rPr>
                <w:sz w:val="18"/>
              </w:rPr>
              <w:t>Balance at the beginning of the year</w:t>
            </w:r>
          </w:p>
        </w:tc>
        <w:tc>
          <w:tcPr>
            <w:tcW w:w="1534" w:type="dxa"/>
          </w:tcPr>
          <w:p>
            <w:pPr>
              <w:pStyle w:val="TableParagraph"/>
              <w:spacing w:before="4"/>
              <w:ind w:left="560"/>
              <w:rPr>
                <w:sz w:val="18"/>
              </w:rPr>
            </w:pPr>
            <w:r>
              <w:rPr>
                <w:sz w:val="18"/>
              </w:rPr>
              <w:t>263,414</w:t>
            </w:r>
          </w:p>
        </w:tc>
        <w:tc>
          <w:tcPr>
            <w:tcW w:w="1060" w:type="dxa"/>
          </w:tcPr>
          <w:p>
            <w:pPr>
              <w:pStyle w:val="TableParagraph"/>
              <w:spacing w:before="4"/>
              <w:ind w:left="323"/>
              <w:rPr>
                <w:sz w:val="18"/>
              </w:rPr>
            </w:pPr>
            <w:r>
              <w:rPr>
                <w:sz w:val="18"/>
              </w:rPr>
              <w:t>263,414</w:t>
            </w:r>
          </w:p>
        </w:tc>
      </w:tr>
      <w:tr>
        <w:trPr>
          <w:trHeight w:val="262" w:hRule="exact"/>
        </w:trPr>
        <w:tc>
          <w:tcPr>
            <w:tcW w:w="6349" w:type="dxa"/>
          </w:tcPr>
          <w:p>
            <w:pPr>
              <w:pStyle w:val="TableParagraph"/>
              <w:spacing w:before="19"/>
              <w:ind w:left="35"/>
              <w:rPr>
                <w:sz w:val="18"/>
              </w:rPr>
            </w:pPr>
            <w:r>
              <w:rPr>
                <w:sz w:val="18"/>
              </w:rPr>
              <w:t>Amortisation</w:t>
            </w:r>
          </w:p>
        </w:tc>
        <w:tc>
          <w:tcPr>
            <w:tcW w:w="1534" w:type="dxa"/>
            <w:tcBorders>
              <w:bottom w:val="single" w:sz="0" w:space="0" w:color="000000"/>
            </w:tcBorders>
          </w:tcPr>
          <w:p>
            <w:pPr>
              <w:pStyle w:val="TableParagraph"/>
              <w:spacing w:before="18"/>
              <w:ind w:left="500"/>
              <w:rPr>
                <w:sz w:val="18"/>
              </w:rPr>
            </w:pPr>
            <w:r>
              <w:rPr>
                <w:sz w:val="18"/>
              </w:rPr>
              <w:t>(109,756)</w:t>
            </w:r>
          </w:p>
        </w:tc>
        <w:tc>
          <w:tcPr>
            <w:tcW w:w="1060" w:type="dxa"/>
            <w:tcBorders>
              <w:bottom w:val="single" w:sz="0" w:space="0" w:color="000000"/>
            </w:tcBorders>
          </w:tcPr>
          <w:p>
            <w:pPr>
              <w:pStyle w:val="TableParagraph"/>
              <w:spacing w:before="18"/>
              <w:ind w:left="263"/>
              <w:rPr>
                <w:sz w:val="18"/>
              </w:rPr>
            </w:pPr>
            <w:r>
              <w:rPr>
                <w:sz w:val="18"/>
              </w:rPr>
              <w:t>(109,756)</w:t>
            </w:r>
          </w:p>
        </w:tc>
      </w:tr>
      <w:tr>
        <w:trPr>
          <w:trHeight w:val="344" w:hRule="exact"/>
        </w:trPr>
        <w:tc>
          <w:tcPr>
            <w:tcW w:w="6349" w:type="dxa"/>
          </w:tcPr>
          <w:p>
            <w:pPr>
              <w:pStyle w:val="TableParagraph"/>
              <w:spacing w:before="123"/>
              <w:ind w:left="35"/>
              <w:rPr>
                <w:b/>
                <w:sz w:val="18"/>
              </w:rPr>
            </w:pPr>
            <w:r>
              <w:rPr>
                <w:b/>
                <w:sz w:val="18"/>
              </w:rPr>
              <w:t>Closing value at 31 December 2016</w:t>
            </w:r>
          </w:p>
        </w:tc>
        <w:tc>
          <w:tcPr>
            <w:tcW w:w="1534" w:type="dxa"/>
            <w:tcBorders>
              <w:top w:val="single" w:sz="0" w:space="0" w:color="000000"/>
              <w:bottom w:val="single" w:sz="0" w:space="0" w:color="000000"/>
            </w:tcBorders>
          </w:tcPr>
          <w:p>
            <w:pPr>
              <w:pStyle w:val="TableParagraph"/>
              <w:spacing w:before="122"/>
              <w:ind w:left="560"/>
              <w:rPr>
                <w:sz w:val="18"/>
              </w:rPr>
            </w:pPr>
            <w:r>
              <w:rPr>
                <w:sz w:val="18"/>
              </w:rPr>
              <w:t>153,658</w:t>
            </w:r>
          </w:p>
        </w:tc>
        <w:tc>
          <w:tcPr>
            <w:tcW w:w="1060" w:type="dxa"/>
            <w:tcBorders>
              <w:top w:val="single" w:sz="0" w:space="0" w:color="000000"/>
              <w:bottom w:val="single" w:sz="0" w:space="0" w:color="000000"/>
            </w:tcBorders>
          </w:tcPr>
          <w:p>
            <w:pPr>
              <w:pStyle w:val="TableParagraph"/>
              <w:spacing w:before="122"/>
              <w:ind w:left="323"/>
              <w:rPr>
                <w:sz w:val="18"/>
              </w:rPr>
            </w:pPr>
            <w:r>
              <w:rPr>
                <w:sz w:val="18"/>
              </w:rPr>
              <w:t>153,658</w:t>
            </w:r>
          </w:p>
        </w:tc>
      </w:tr>
    </w:tbl>
    <w:p>
      <w:pPr>
        <w:spacing w:after="0"/>
        <w:rPr>
          <w:sz w:val="18"/>
        </w:rPr>
        <w:sectPr>
          <w:headerReference w:type="default" r:id="rId55"/>
          <w:pgSz w:w="11910" w:h="16840"/>
          <w:pgMar w:header="1038" w:footer="507" w:top="2680" w:bottom="700" w:left="860" w:right="860"/>
        </w:sectPr>
      </w:pPr>
    </w:p>
    <w:p>
      <w:pPr>
        <w:pStyle w:val="BodyText"/>
        <w:rPr>
          <w:b/>
          <w:sz w:val="20"/>
        </w:rPr>
      </w:pPr>
    </w:p>
    <w:p>
      <w:pPr>
        <w:pStyle w:val="BodyText"/>
        <w:rPr>
          <w:b/>
          <w:sz w:val="20"/>
        </w:rPr>
      </w:pPr>
    </w:p>
    <w:p>
      <w:pPr>
        <w:pStyle w:val="BodyText"/>
        <w:spacing w:before="4"/>
        <w:rPr>
          <w:b/>
        </w:rPr>
      </w:pPr>
    </w:p>
    <w:p>
      <w:pPr>
        <w:pStyle w:val="ListParagraph"/>
        <w:numPr>
          <w:ilvl w:val="0"/>
          <w:numId w:val="48"/>
        </w:numPr>
        <w:tabs>
          <w:tab w:pos="506" w:val="left" w:leader="none"/>
        </w:tabs>
        <w:spacing w:line="240" w:lineRule="auto" w:before="0" w:after="0"/>
        <w:ind w:left="505" w:right="0" w:hanging="396"/>
        <w:jc w:val="left"/>
        <w:rPr>
          <w:b/>
          <w:sz w:val="18"/>
        </w:rPr>
      </w:pPr>
      <w:r>
        <w:rPr>
          <w:b/>
          <w:sz w:val="18"/>
        </w:rPr>
        <w:t>Investments accounted for using the equity</w:t>
      </w:r>
      <w:r>
        <w:rPr>
          <w:b/>
          <w:spacing w:val="-2"/>
          <w:sz w:val="18"/>
        </w:rPr>
        <w:t> </w:t>
      </w:r>
      <w:r>
        <w:rPr>
          <w:b/>
          <w:sz w:val="18"/>
        </w:rPr>
        <w:t>method</w:t>
      </w:r>
    </w:p>
    <w:p>
      <w:pPr>
        <w:pStyle w:val="BodyText"/>
        <w:spacing w:before="7"/>
        <w:rPr>
          <w:b/>
          <w:sz w:val="26"/>
        </w:rPr>
      </w:pPr>
    </w:p>
    <w:p>
      <w:pPr>
        <w:pStyle w:val="ListParagraph"/>
        <w:numPr>
          <w:ilvl w:val="1"/>
          <w:numId w:val="48"/>
        </w:numPr>
        <w:tabs>
          <w:tab w:pos="1072" w:val="left" w:leader="none"/>
        </w:tabs>
        <w:spacing w:line="240" w:lineRule="auto" w:before="0" w:after="0"/>
        <w:ind w:left="1071" w:right="0" w:hanging="566"/>
        <w:jc w:val="left"/>
        <w:rPr>
          <w:b/>
          <w:sz w:val="18"/>
        </w:rPr>
      </w:pPr>
      <w:r>
        <w:rPr>
          <w:b/>
          <w:sz w:val="18"/>
        </w:rPr>
        <w:t>Restrictions</w:t>
      </w:r>
    </w:p>
    <w:p>
      <w:pPr>
        <w:pStyle w:val="BodyText"/>
        <w:spacing w:before="4"/>
        <w:rPr>
          <w:b/>
          <w:sz w:val="25"/>
        </w:rPr>
      </w:pPr>
    </w:p>
    <w:p>
      <w:pPr>
        <w:pStyle w:val="BodyText"/>
        <w:ind w:left="1072" w:right="161"/>
      </w:pPr>
      <w:r>
        <w:rPr/>
        <w:t>The Company has nil restrictions from the joint venture with Navitas Ltd.</w:t>
      </w:r>
    </w:p>
    <w:p>
      <w:pPr>
        <w:pStyle w:val="BodyText"/>
        <w:spacing w:before="7"/>
        <w:rPr>
          <w:sz w:val="26"/>
        </w:rPr>
      </w:pPr>
    </w:p>
    <w:p>
      <w:pPr>
        <w:pStyle w:val="Heading9"/>
        <w:numPr>
          <w:ilvl w:val="1"/>
          <w:numId w:val="48"/>
        </w:numPr>
        <w:tabs>
          <w:tab w:pos="1072" w:val="left" w:leader="none"/>
        </w:tabs>
        <w:spacing w:line="240" w:lineRule="auto" w:before="0" w:after="0"/>
        <w:ind w:left="1071" w:right="0" w:hanging="516"/>
        <w:jc w:val="left"/>
      </w:pPr>
      <w:r>
        <w:rPr/>
        <w:t>Individually immaterial joint venture</w:t>
      </w:r>
    </w:p>
    <w:p>
      <w:pPr>
        <w:pStyle w:val="BodyText"/>
        <w:spacing w:before="4"/>
        <w:rPr>
          <w:b/>
          <w:sz w:val="25"/>
        </w:rPr>
      </w:pPr>
    </w:p>
    <w:p>
      <w:pPr>
        <w:pStyle w:val="BodyText"/>
        <w:spacing w:before="1"/>
        <w:ind w:left="1072" w:right="462"/>
      </w:pPr>
      <w:r>
        <w:rPr/>
        <w:t>Aggregate carrying amount of interest in the joint venture accounted for using the equity method that are not individually material in the financial statements:</w:t>
      </w:r>
    </w:p>
    <w:p>
      <w:pPr>
        <w:pStyle w:val="Heading9"/>
        <w:spacing w:before="33" w:after="36"/>
        <w:ind w:right="815"/>
        <w:jc w:val="right"/>
      </w:pPr>
      <w:r>
        <w:rPr/>
        <w:t>Joint Venture</w:t>
      </w:r>
    </w:p>
    <w:tbl>
      <w:tblPr>
        <w:tblW w:w="0" w:type="auto"/>
        <w:jc w:val="left"/>
        <w:tblInd w:w="10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51"/>
        <w:gridCol w:w="1460"/>
        <w:gridCol w:w="1134"/>
      </w:tblGrid>
      <w:tr>
        <w:trPr>
          <w:trHeight w:val="817" w:hRule="exact"/>
        </w:trPr>
        <w:tc>
          <w:tcPr>
            <w:tcW w:w="6351" w:type="dxa"/>
          </w:tcPr>
          <w:p>
            <w:pPr>
              <w:pStyle w:val="TableParagraph"/>
              <w:rPr>
                <w:b/>
                <w:sz w:val="18"/>
              </w:rPr>
            </w:pPr>
          </w:p>
          <w:p>
            <w:pPr>
              <w:pStyle w:val="TableParagraph"/>
              <w:rPr>
                <w:b/>
                <w:sz w:val="18"/>
              </w:rPr>
            </w:pPr>
          </w:p>
          <w:p>
            <w:pPr>
              <w:pStyle w:val="TableParagraph"/>
              <w:spacing w:before="160"/>
              <w:ind w:left="35"/>
              <w:rPr>
                <w:sz w:val="18"/>
              </w:rPr>
            </w:pPr>
            <w:r>
              <w:rPr>
                <w:sz w:val="18"/>
              </w:rPr>
              <w:t>Profit/(loss) from continuing operations</w:t>
            </w:r>
          </w:p>
        </w:tc>
        <w:tc>
          <w:tcPr>
            <w:tcW w:w="1460" w:type="dxa"/>
            <w:tcBorders>
              <w:bottom w:val="single" w:sz="0" w:space="0" w:color="000000"/>
            </w:tcBorders>
          </w:tcPr>
          <w:p>
            <w:pPr>
              <w:pStyle w:val="TableParagraph"/>
              <w:spacing w:before="30"/>
              <w:ind w:left="471" w:right="168"/>
              <w:rPr>
                <w:b/>
                <w:sz w:val="18"/>
              </w:rPr>
            </w:pPr>
            <w:r>
              <w:rPr>
                <w:b/>
                <w:sz w:val="18"/>
              </w:rPr>
              <w:t>2017</w:t>
            </w:r>
          </w:p>
          <w:p>
            <w:pPr>
              <w:pStyle w:val="TableParagraph"/>
              <w:spacing w:line="312" w:lineRule="auto" w:before="66"/>
              <w:ind w:left="501" w:right="168" w:firstLine="120"/>
              <w:rPr>
                <w:b/>
                <w:sz w:val="18"/>
              </w:rPr>
            </w:pPr>
            <w:r>
              <w:rPr>
                <w:b/>
                <w:sz w:val="18"/>
              </w:rPr>
              <w:t>$ (833,847)</w:t>
            </w:r>
          </w:p>
        </w:tc>
        <w:tc>
          <w:tcPr>
            <w:tcW w:w="1134" w:type="dxa"/>
            <w:tcBorders>
              <w:bottom w:val="single" w:sz="0" w:space="0" w:color="000000"/>
            </w:tcBorders>
          </w:tcPr>
          <w:p>
            <w:pPr>
              <w:pStyle w:val="TableParagraph"/>
              <w:spacing w:before="30"/>
              <w:ind w:left="289" w:right="403"/>
              <w:jc w:val="center"/>
              <w:rPr>
                <w:b/>
                <w:sz w:val="18"/>
              </w:rPr>
            </w:pPr>
            <w:r>
              <w:rPr>
                <w:b/>
                <w:sz w:val="18"/>
              </w:rPr>
              <w:t>2016</w:t>
            </w:r>
          </w:p>
          <w:p>
            <w:pPr>
              <w:pStyle w:val="TableParagraph"/>
              <w:spacing w:before="66"/>
              <w:ind w:right="115"/>
              <w:jc w:val="center"/>
              <w:rPr>
                <w:b/>
                <w:sz w:val="18"/>
              </w:rPr>
            </w:pPr>
            <w:r>
              <w:rPr>
                <w:b/>
                <w:w w:val="99"/>
                <w:sz w:val="18"/>
              </w:rPr>
              <w:t>$</w:t>
            </w:r>
          </w:p>
          <w:p>
            <w:pPr>
              <w:pStyle w:val="TableParagraph"/>
              <w:spacing w:before="61"/>
              <w:ind w:left="188"/>
              <w:rPr>
                <w:sz w:val="18"/>
              </w:rPr>
            </w:pPr>
            <w:r>
              <w:rPr>
                <w:sz w:val="18"/>
              </w:rPr>
              <w:t>(1,052,110)</w:t>
            </w:r>
          </w:p>
        </w:tc>
      </w:tr>
      <w:tr>
        <w:trPr>
          <w:trHeight w:val="285" w:hRule="exact"/>
        </w:trPr>
        <w:tc>
          <w:tcPr>
            <w:tcW w:w="6351" w:type="dxa"/>
          </w:tcPr>
          <w:p>
            <w:pPr>
              <w:pStyle w:val="TableParagraph"/>
              <w:spacing w:before="40"/>
              <w:ind w:left="35"/>
              <w:rPr>
                <w:sz w:val="18"/>
              </w:rPr>
            </w:pPr>
            <w:r>
              <w:rPr>
                <w:sz w:val="18"/>
              </w:rPr>
              <w:t>Profit/(loss) from continuing operations after income tax</w:t>
            </w:r>
          </w:p>
        </w:tc>
        <w:tc>
          <w:tcPr>
            <w:tcW w:w="1460" w:type="dxa"/>
            <w:tcBorders>
              <w:top w:val="single" w:sz="0" w:space="0" w:color="000000"/>
            </w:tcBorders>
          </w:tcPr>
          <w:p>
            <w:pPr>
              <w:pStyle w:val="TableParagraph"/>
              <w:spacing w:before="38"/>
              <w:ind w:left="501"/>
              <w:rPr>
                <w:b/>
                <w:sz w:val="18"/>
              </w:rPr>
            </w:pPr>
            <w:r>
              <w:rPr>
                <w:b/>
                <w:sz w:val="18"/>
              </w:rPr>
              <w:t>(833,847)</w:t>
            </w:r>
          </w:p>
        </w:tc>
        <w:tc>
          <w:tcPr>
            <w:tcW w:w="1134" w:type="dxa"/>
            <w:tcBorders>
              <w:top w:val="single" w:sz="0" w:space="0" w:color="000000"/>
            </w:tcBorders>
          </w:tcPr>
          <w:p>
            <w:pPr>
              <w:pStyle w:val="TableParagraph"/>
              <w:spacing w:before="38"/>
              <w:ind w:left="188"/>
              <w:rPr>
                <w:sz w:val="18"/>
              </w:rPr>
            </w:pPr>
            <w:r>
              <w:rPr>
                <w:sz w:val="18"/>
              </w:rPr>
              <w:t>(1,052,110)</w:t>
            </w:r>
          </w:p>
        </w:tc>
      </w:tr>
      <w:tr>
        <w:trPr>
          <w:trHeight w:val="262" w:hRule="exact"/>
        </w:trPr>
        <w:tc>
          <w:tcPr>
            <w:tcW w:w="6351" w:type="dxa"/>
          </w:tcPr>
          <w:p>
            <w:pPr>
              <w:pStyle w:val="TableParagraph"/>
              <w:spacing w:before="19"/>
              <w:ind w:left="35"/>
              <w:rPr>
                <w:sz w:val="18"/>
              </w:rPr>
            </w:pPr>
            <w:r>
              <w:rPr>
                <w:sz w:val="18"/>
              </w:rPr>
              <w:t>Other comprehensive income</w:t>
            </w:r>
          </w:p>
        </w:tc>
        <w:tc>
          <w:tcPr>
            <w:tcW w:w="1460" w:type="dxa"/>
            <w:tcBorders>
              <w:bottom w:val="single" w:sz="0" w:space="0" w:color="000000"/>
            </w:tcBorders>
          </w:tcPr>
          <w:p>
            <w:pPr>
              <w:pStyle w:val="TableParagraph"/>
              <w:spacing w:before="18"/>
              <w:ind w:right="116"/>
              <w:jc w:val="center"/>
              <w:rPr>
                <w:b/>
                <w:sz w:val="18"/>
              </w:rPr>
            </w:pPr>
            <w:r>
              <w:rPr>
                <w:b/>
                <w:w w:val="99"/>
                <w:sz w:val="18"/>
              </w:rPr>
              <w:t>-</w:t>
            </w:r>
          </w:p>
        </w:tc>
        <w:tc>
          <w:tcPr>
            <w:tcW w:w="1134" w:type="dxa"/>
            <w:tcBorders>
              <w:bottom w:val="single" w:sz="0" w:space="0" w:color="000000"/>
            </w:tcBorders>
          </w:tcPr>
          <w:p>
            <w:pPr>
              <w:pStyle w:val="TableParagraph"/>
              <w:spacing w:before="18"/>
              <w:ind w:right="116"/>
              <w:jc w:val="center"/>
              <w:rPr>
                <w:sz w:val="18"/>
              </w:rPr>
            </w:pPr>
            <w:r>
              <w:rPr>
                <w:w w:val="99"/>
                <w:sz w:val="18"/>
              </w:rPr>
              <w:t>-</w:t>
            </w:r>
          </w:p>
        </w:tc>
      </w:tr>
    </w:tbl>
    <w:p>
      <w:pPr>
        <w:tabs>
          <w:tab w:pos="7933" w:val="left" w:leader="none"/>
          <w:tab w:pos="9080" w:val="left" w:leader="none"/>
        </w:tabs>
        <w:spacing w:before="123"/>
        <w:ind w:left="1116" w:right="94" w:firstLine="0"/>
        <w:jc w:val="left"/>
        <w:rPr>
          <w:sz w:val="18"/>
        </w:rPr>
      </w:pPr>
      <w:r>
        <w:rPr>
          <w:b/>
          <w:sz w:val="18"/>
        </w:rPr>
        <w:t>Total comprehensive income</w:t>
        <w:tab/>
        <w:t>(833,847)</w:t>
        <w:tab/>
      </w:r>
      <w:r>
        <w:rPr>
          <w:sz w:val="18"/>
        </w:rPr>
        <w:t>(1,052,110)</w:t>
      </w:r>
    </w:p>
    <w:p>
      <w:pPr>
        <w:pStyle w:val="BodyText"/>
        <w:spacing w:line="50" w:lineRule="exact"/>
        <w:ind w:left="7430"/>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spacing w:before="2"/>
      </w:pPr>
    </w:p>
    <w:p>
      <w:pPr>
        <w:pStyle w:val="BodyText"/>
        <w:spacing w:before="77"/>
        <w:ind w:left="1072" w:right="709"/>
      </w:pPr>
      <w:r>
        <w:rPr/>
        <w:t>Capital commitments and contingent liabilities arising from the Company's interest in the joint venture are disclosed in notes 12 and 18, respectively.</w:t>
      </w:r>
    </w:p>
    <w:p>
      <w:pPr>
        <w:pStyle w:val="BodyText"/>
        <w:rPr>
          <w:sz w:val="25"/>
        </w:rPr>
      </w:pPr>
    </w:p>
    <w:p>
      <w:pPr>
        <w:pStyle w:val="BodyText"/>
        <w:ind w:left="1072" w:right="161"/>
      </w:pPr>
      <w:r>
        <w:rPr/>
        <w:t>Western Sydney University International College Pty Ltd has a reporting date of 30 June.</w:t>
      </w:r>
    </w:p>
    <w:p>
      <w:pPr>
        <w:pStyle w:val="BodyText"/>
        <w:spacing w:before="7"/>
        <w:rPr>
          <w:sz w:val="26"/>
        </w:rPr>
      </w:pPr>
    </w:p>
    <w:p>
      <w:pPr>
        <w:pStyle w:val="Heading9"/>
        <w:numPr>
          <w:ilvl w:val="1"/>
          <w:numId w:val="48"/>
        </w:numPr>
        <w:tabs>
          <w:tab w:pos="1072" w:val="left" w:leader="none"/>
        </w:tabs>
        <w:spacing w:line="240" w:lineRule="auto" w:before="0" w:after="0"/>
        <w:ind w:left="1071" w:right="0" w:hanging="566"/>
        <w:jc w:val="left"/>
      </w:pPr>
      <w:r>
        <w:rPr/>
        <w:t>Unrecognised share of losses of joint venture or</w:t>
      </w:r>
      <w:r>
        <w:rPr>
          <w:spacing w:val="-1"/>
        </w:rPr>
        <w:t> </w:t>
      </w:r>
      <w:r>
        <w:rPr/>
        <w:t>associate</w:t>
      </w:r>
    </w:p>
    <w:p>
      <w:pPr>
        <w:pStyle w:val="BodyText"/>
        <w:spacing w:before="4"/>
        <w:rPr>
          <w:b/>
          <w:sz w:val="25"/>
        </w:rPr>
      </w:pPr>
    </w:p>
    <w:p>
      <w:pPr>
        <w:pStyle w:val="BodyText"/>
        <w:ind w:left="1072" w:right="161"/>
      </w:pPr>
      <w:r>
        <w:rPr/>
        <w:t>The Company has no unrecognised share of losses from the joint venture with Navitas Ltd (2016: nil).</w:t>
      </w:r>
    </w:p>
    <w:p>
      <w:pPr>
        <w:pStyle w:val="BodyText"/>
        <w:spacing w:before="7"/>
        <w:rPr>
          <w:sz w:val="26"/>
        </w:rPr>
      </w:pPr>
    </w:p>
    <w:p>
      <w:pPr>
        <w:pStyle w:val="Heading9"/>
        <w:numPr>
          <w:ilvl w:val="1"/>
          <w:numId w:val="48"/>
        </w:numPr>
        <w:tabs>
          <w:tab w:pos="1072" w:val="left" w:leader="none"/>
        </w:tabs>
        <w:spacing w:line="240" w:lineRule="auto" w:before="0" w:after="0"/>
        <w:ind w:left="1071" w:right="0" w:hanging="566"/>
        <w:jc w:val="left"/>
      </w:pPr>
      <w:r>
        <w:rPr/>
        <w:t>Events Occurring After the Reporting</w:t>
      </w:r>
      <w:r>
        <w:rPr>
          <w:spacing w:val="-1"/>
        </w:rPr>
        <w:t> </w:t>
      </w:r>
      <w:r>
        <w:rPr/>
        <w:t>Date</w:t>
      </w:r>
    </w:p>
    <w:p>
      <w:pPr>
        <w:pStyle w:val="BodyText"/>
        <w:spacing w:before="4"/>
        <w:rPr>
          <w:b/>
          <w:sz w:val="25"/>
        </w:rPr>
      </w:pPr>
    </w:p>
    <w:p>
      <w:pPr>
        <w:pStyle w:val="BodyText"/>
        <w:ind w:left="1072" w:right="813"/>
      </w:pPr>
      <w:r>
        <w:rPr/>
        <w:t>There are no events identified after the reporting date that would have a material impact on the financial statements.</w:t>
      </w:r>
    </w:p>
    <w:p>
      <w:pPr>
        <w:pStyle w:val="BodyText"/>
        <w:spacing w:before="3"/>
      </w:pPr>
    </w:p>
    <w:p>
      <w:pPr>
        <w:spacing w:after="0"/>
        <w:sectPr>
          <w:pgSz w:w="11910" w:h="16840"/>
          <w:pgMar w:header="1038" w:footer="507" w:top="2680" w:bottom="700" w:left="900" w:right="860"/>
        </w:sectPr>
      </w:pPr>
    </w:p>
    <w:p>
      <w:pPr>
        <w:pStyle w:val="Heading9"/>
        <w:numPr>
          <w:ilvl w:val="0"/>
          <w:numId w:val="48"/>
        </w:numPr>
        <w:tabs>
          <w:tab w:pos="506" w:val="left" w:leader="none"/>
        </w:tabs>
        <w:spacing w:line="240" w:lineRule="auto" w:before="77" w:after="0"/>
        <w:ind w:left="505" w:right="0" w:hanging="396"/>
        <w:jc w:val="left"/>
      </w:pPr>
      <w:r>
        <w:rPr/>
        <w:t>Accrued</w:t>
      </w:r>
      <w:r>
        <w:rPr>
          <w:spacing w:val="-1"/>
        </w:rPr>
        <w:t> </w:t>
      </w:r>
      <w:r>
        <w:rPr/>
        <w:t>expenses</w:t>
      </w:r>
    </w:p>
    <w:p>
      <w:pPr>
        <w:pStyle w:val="BodyText"/>
        <w:rPr>
          <w:b/>
        </w:rPr>
      </w:pPr>
      <w:r>
        <w:rPr/>
        <w:br w:type="column"/>
      </w:r>
      <w:r>
        <w:rPr>
          <w:b/>
        </w:rPr>
      </w:r>
    </w:p>
    <w:p>
      <w:pPr>
        <w:spacing w:before="110"/>
        <w:ind w:left="109" w:right="0" w:firstLine="0"/>
        <w:jc w:val="center"/>
        <w:rPr>
          <w:b/>
          <w:sz w:val="18"/>
        </w:rPr>
      </w:pPr>
      <w:r>
        <w:rPr>
          <w:b/>
          <w:sz w:val="18"/>
        </w:rPr>
        <w:t>2017</w:t>
      </w:r>
    </w:p>
    <w:p>
      <w:pPr>
        <w:spacing w:before="66"/>
        <w:ind w:left="108" w:right="0" w:firstLine="0"/>
        <w:jc w:val="center"/>
        <w:rPr>
          <w:b/>
          <w:sz w:val="18"/>
        </w:rPr>
      </w:pPr>
      <w:r>
        <w:rPr>
          <w:b/>
          <w:w w:val="99"/>
          <w:sz w:val="18"/>
        </w:rPr>
        <w:t>$</w:t>
      </w:r>
    </w:p>
    <w:p>
      <w:pPr>
        <w:pStyle w:val="BodyText"/>
        <w:rPr>
          <w:b/>
        </w:rPr>
      </w:pPr>
      <w:r>
        <w:rPr/>
        <w:br w:type="column"/>
      </w:r>
      <w:r>
        <w:rPr>
          <w:b/>
        </w:rPr>
      </w:r>
    </w:p>
    <w:p>
      <w:pPr>
        <w:spacing w:before="110"/>
        <w:ind w:left="92" w:right="540" w:firstLine="0"/>
        <w:jc w:val="center"/>
        <w:rPr>
          <w:b/>
          <w:sz w:val="18"/>
        </w:rPr>
      </w:pPr>
      <w:r>
        <w:rPr>
          <w:b/>
          <w:sz w:val="18"/>
        </w:rPr>
        <w:t>2016</w:t>
      </w:r>
    </w:p>
    <w:p>
      <w:pPr>
        <w:spacing w:before="66"/>
        <w:ind w:left="0" w:right="448" w:firstLine="0"/>
        <w:jc w:val="center"/>
        <w:rPr>
          <w:b/>
          <w:sz w:val="18"/>
        </w:rPr>
      </w:pPr>
      <w:r>
        <w:rPr>
          <w:b/>
          <w:w w:val="99"/>
          <w:sz w:val="18"/>
        </w:rPr>
        <w:t>$</w:t>
      </w:r>
    </w:p>
    <w:p>
      <w:pPr>
        <w:spacing w:after="0"/>
        <w:jc w:val="center"/>
        <w:rPr>
          <w:sz w:val="18"/>
        </w:rPr>
        <w:sectPr>
          <w:type w:val="continuous"/>
          <w:pgSz w:w="11910" w:h="16840"/>
          <w:pgMar w:top="1580" w:bottom="280" w:left="900" w:right="860"/>
          <w:cols w:num="3" w:equalWidth="0">
            <w:col w:w="2096" w:space="5697"/>
            <w:col w:w="510" w:space="773"/>
            <w:col w:w="1074"/>
          </w:cols>
        </w:sectPr>
      </w:pPr>
    </w:p>
    <w:p>
      <w:pPr>
        <w:pStyle w:val="BodyText"/>
        <w:spacing w:before="11"/>
        <w:rPr>
          <w:b/>
          <w:sz w:val="5"/>
        </w:rPr>
      </w:pPr>
    </w:p>
    <w:tbl>
      <w:tblPr>
        <w:tblW w:w="0" w:type="auto"/>
        <w:jc w:val="left"/>
        <w:tblInd w:w="5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18"/>
        <w:gridCol w:w="1459"/>
        <w:gridCol w:w="1135"/>
      </w:tblGrid>
      <w:tr>
        <w:trPr>
          <w:trHeight w:val="557" w:hRule="exact"/>
        </w:trPr>
        <w:tc>
          <w:tcPr>
            <w:tcW w:w="6918" w:type="dxa"/>
          </w:tcPr>
          <w:p>
            <w:pPr>
              <w:pStyle w:val="TableParagraph"/>
              <w:spacing w:before="77"/>
              <w:ind w:left="35"/>
              <w:rPr>
                <w:b/>
                <w:sz w:val="18"/>
              </w:rPr>
            </w:pPr>
            <w:r>
              <w:rPr>
                <w:b/>
                <w:sz w:val="18"/>
              </w:rPr>
              <w:t>Current</w:t>
            </w:r>
          </w:p>
          <w:p>
            <w:pPr>
              <w:pStyle w:val="TableParagraph"/>
              <w:spacing w:before="27"/>
              <w:ind w:left="35"/>
              <w:rPr>
                <w:sz w:val="18"/>
              </w:rPr>
            </w:pPr>
            <w:r>
              <w:rPr>
                <w:sz w:val="18"/>
              </w:rPr>
              <w:t>Salary</w:t>
            </w:r>
          </w:p>
        </w:tc>
        <w:tc>
          <w:tcPr>
            <w:tcW w:w="1459" w:type="dxa"/>
          </w:tcPr>
          <w:p>
            <w:pPr>
              <w:pStyle w:val="TableParagraph"/>
              <w:rPr>
                <w:b/>
                <w:sz w:val="18"/>
              </w:rPr>
            </w:pPr>
          </w:p>
          <w:p>
            <w:pPr>
              <w:pStyle w:val="TableParagraph"/>
              <w:spacing w:before="105"/>
              <w:ind w:right="246"/>
              <w:jc w:val="right"/>
              <w:rPr>
                <w:b/>
                <w:sz w:val="18"/>
              </w:rPr>
            </w:pPr>
            <w:r>
              <w:rPr>
                <w:b/>
                <w:w w:val="95"/>
                <w:sz w:val="18"/>
              </w:rPr>
              <w:t>811,307</w:t>
            </w:r>
          </w:p>
        </w:tc>
        <w:tc>
          <w:tcPr>
            <w:tcW w:w="1135" w:type="dxa"/>
          </w:tcPr>
          <w:p>
            <w:pPr>
              <w:pStyle w:val="TableParagraph"/>
              <w:rPr>
                <w:b/>
                <w:sz w:val="18"/>
              </w:rPr>
            </w:pPr>
          </w:p>
          <w:p>
            <w:pPr>
              <w:pStyle w:val="TableParagraph"/>
              <w:spacing w:before="105"/>
              <w:ind w:right="84"/>
              <w:jc w:val="right"/>
              <w:rPr>
                <w:sz w:val="18"/>
              </w:rPr>
            </w:pPr>
            <w:r>
              <w:rPr>
                <w:w w:val="95"/>
                <w:sz w:val="18"/>
              </w:rPr>
              <w:t>329,858</w:t>
            </w:r>
          </w:p>
        </w:tc>
      </w:tr>
      <w:tr>
        <w:trPr>
          <w:trHeight w:val="264" w:hRule="exact"/>
        </w:trPr>
        <w:tc>
          <w:tcPr>
            <w:tcW w:w="6918" w:type="dxa"/>
          </w:tcPr>
          <w:p>
            <w:pPr>
              <w:pStyle w:val="TableParagraph"/>
              <w:spacing w:before="18"/>
              <w:ind w:left="35"/>
              <w:rPr>
                <w:sz w:val="18"/>
              </w:rPr>
            </w:pPr>
            <w:r>
              <w:rPr>
                <w:sz w:val="18"/>
              </w:rPr>
              <w:t>Non-salary overheads</w:t>
            </w:r>
          </w:p>
        </w:tc>
        <w:tc>
          <w:tcPr>
            <w:tcW w:w="1459" w:type="dxa"/>
          </w:tcPr>
          <w:p>
            <w:pPr>
              <w:pStyle w:val="TableParagraph"/>
              <w:spacing w:before="19"/>
              <w:ind w:right="246"/>
              <w:jc w:val="right"/>
              <w:rPr>
                <w:b/>
                <w:sz w:val="18"/>
              </w:rPr>
            </w:pPr>
            <w:r>
              <w:rPr>
                <w:b/>
                <w:w w:val="95"/>
                <w:sz w:val="18"/>
              </w:rPr>
              <w:t>362,583</w:t>
            </w:r>
          </w:p>
        </w:tc>
        <w:tc>
          <w:tcPr>
            <w:tcW w:w="1135" w:type="dxa"/>
          </w:tcPr>
          <w:p>
            <w:pPr>
              <w:pStyle w:val="TableParagraph"/>
              <w:spacing w:before="19"/>
              <w:ind w:right="84"/>
              <w:jc w:val="right"/>
              <w:rPr>
                <w:sz w:val="18"/>
              </w:rPr>
            </w:pPr>
            <w:r>
              <w:rPr>
                <w:w w:val="95"/>
                <w:sz w:val="18"/>
              </w:rPr>
              <w:t>391,568</w:t>
            </w:r>
          </w:p>
        </w:tc>
      </w:tr>
      <w:tr>
        <w:trPr>
          <w:trHeight w:val="264" w:hRule="exact"/>
        </w:trPr>
        <w:tc>
          <w:tcPr>
            <w:tcW w:w="6918" w:type="dxa"/>
          </w:tcPr>
          <w:p>
            <w:pPr>
              <w:pStyle w:val="TableParagraph"/>
              <w:spacing w:before="18"/>
              <w:ind w:left="35"/>
              <w:rPr>
                <w:sz w:val="18"/>
              </w:rPr>
            </w:pPr>
            <w:r>
              <w:rPr>
                <w:sz w:val="18"/>
              </w:rPr>
              <w:t>Agents' commissions</w:t>
            </w:r>
          </w:p>
        </w:tc>
        <w:tc>
          <w:tcPr>
            <w:tcW w:w="1459" w:type="dxa"/>
          </w:tcPr>
          <w:p>
            <w:pPr>
              <w:pStyle w:val="TableParagraph"/>
              <w:spacing w:before="19"/>
              <w:ind w:right="246"/>
              <w:jc w:val="right"/>
              <w:rPr>
                <w:b/>
                <w:sz w:val="18"/>
              </w:rPr>
            </w:pPr>
            <w:r>
              <w:rPr>
                <w:b/>
                <w:w w:val="95"/>
                <w:sz w:val="18"/>
              </w:rPr>
              <w:t>1,730,563</w:t>
            </w:r>
          </w:p>
        </w:tc>
        <w:tc>
          <w:tcPr>
            <w:tcW w:w="1135" w:type="dxa"/>
          </w:tcPr>
          <w:p>
            <w:pPr>
              <w:pStyle w:val="TableParagraph"/>
              <w:spacing w:before="19"/>
              <w:ind w:right="84"/>
              <w:jc w:val="right"/>
              <w:rPr>
                <w:sz w:val="18"/>
              </w:rPr>
            </w:pPr>
            <w:r>
              <w:rPr>
                <w:w w:val="95"/>
                <w:sz w:val="18"/>
              </w:rPr>
              <w:t>1,371,074</w:t>
            </w:r>
          </w:p>
        </w:tc>
      </w:tr>
      <w:tr>
        <w:trPr>
          <w:trHeight w:val="263" w:hRule="exact"/>
        </w:trPr>
        <w:tc>
          <w:tcPr>
            <w:tcW w:w="6918" w:type="dxa"/>
          </w:tcPr>
          <w:p>
            <w:pPr>
              <w:pStyle w:val="TableParagraph"/>
              <w:spacing w:before="18"/>
              <w:ind w:left="35"/>
              <w:rPr>
                <w:sz w:val="18"/>
              </w:rPr>
            </w:pPr>
            <w:r>
              <w:rPr>
                <w:sz w:val="18"/>
              </w:rPr>
              <w:t>Provision for staff redundancy</w:t>
            </w:r>
          </w:p>
        </w:tc>
        <w:tc>
          <w:tcPr>
            <w:tcW w:w="1459" w:type="dxa"/>
            <w:tcBorders>
              <w:bottom w:val="single" w:sz="0" w:space="0" w:color="000000"/>
            </w:tcBorders>
          </w:tcPr>
          <w:p>
            <w:pPr>
              <w:pStyle w:val="TableParagraph"/>
              <w:spacing w:before="19"/>
              <w:ind w:right="246"/>
              <w:jc w:val="right"/>
              <w:rPr>
                <w:b/>
                <w:sz w:val="18"/>
              </w:rPr>
            </w:pPr>
            <w:r>
              <w:rPr>
                <w:b/>
                <w:w w:val="95"/>
                <w:sz w:val="18"/>
              </w:rPr>
              <w:t>111,998</w:t>
            </w:r>
          </w:p>
        </w:tc>
        <w:tc>
          <w:tcPr>
            <w:tcW w:w="1135" w:type="dxa"/>
            <w:tcBorders>
              <w:bottom w:val="single" w:sz="0" w:space="0" w:color="000000"/>
            </w:tcBorders>
          </w:tcPr>
          <w:p>
            <w:pPr>
              <w:pStyle w:val="TableParagraph"/>
              <w:spacing w:before="19"/>
              <w:ind w:right="84"/>
              <w:jc w:val="right"/>
              <w:rPr>
                <w:sz w:val="18"/>
              </w:rPr>
            </w:pPr>
            <w:r>
              <w:rPr>
                <w:w w:val="95"/>
                <w:sz w:val="18"/>
              </w:rPr>
              <w:t>118,000</w:t>
            </w:r>
          </w:p>
        </w:tc>
      </w:tr>
      <w:tr>
        <w:trPr>
          <w:trHeight w:val="353" w:hRule="exact"/>
        </w:trPr>
        <w:tc>
          <w:tcPr>
            <w:tcW w:w="6918" w:type="dxa"/>
          </w:tcPr>
          <w:p>
            <w:pP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3,016,451</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2,210,500</w:t>
            </w:r>
          </w:p>
        </w:tc>
      </w:tr>
    </w:tbl>
    <w:p>
      <w:pPr>
        <w:spacing w:after="0"/>
        <w:jc w:val="right"/>
        <w:rPr>
          <w:sz w:val="18"/>
        </w:rPr>
        <w:sectPr>
          <w:type w:val="continuous"/>
          <w:pgSz w:w="11910" w:h="16840"/>
          <w:pgMar w:top="1580" w:bottom="280" w:left="900" w:right="860"/>
        </w:sectPr>
      </w:pPr>
    </w:p>
    <w:p>
      <w:pPr>
        <w:pStyle w:val="BodyText"/>
        <w:rPr>
          <w:b/>
          <w:sz w:val="20"/>
        </w:rPr>
      </w:pPr>
    </w:p>
    <w:p>
      <w:pPr>
        <w:pStyle w:val="BodyText"/>
        <w:rPr>
          <w:b/>
          <w:sz w:val="20"/>
        </w:rPr>
      </w:pPr>
    </w:p>
    <w:p>
      <w:pPr>
        <w:spacing w:after="0"/>
        <w:rPr>
          <w:sz w:val="20"/>
        </w:rPr>
        <w:sectPr>
          <w:pgSz w:w="11910" w:h="16840"/>
          <w:pgMar w:header="1038" w:footer="507" w:top="2680" w:bottom="700" w:left="860" w:right="860"/>
        </w:sectPr>
      </w:pPr>
    </w:p>
    <w:p>
      <w:pPr>
        <w:pStyle w:val="BodyText"/>
        <w:spacing w:before="4"/>
        <w:rPr>
          <w:b/>
        </w:rPr>
      </w:pPr>
    </w:p>
    <w:p>
      <w:pPr>
        <w:pStyle w:val="ListParagraph"/>
        <w:numPr>
          <w:ilvl w:val="0"/>
          <w:numId w:val="48"/>
        </w:numPr>
        <w:tabs>
          <w:tab w:pos="546" w:val="left" w:leader="none"/>
        </w:tabs>
        <w:spacing w:line="240" w:lineRule="auto" w:before="0" w:after="0"/>
        <w:ind w:left="545" w:right="0" w:hanging="396"/>
        <w:jc w:val="left"/>
        <w:rPr>
          <w:b/>
          <w:sz w:val="18"/>
        </w:rPr>
      </w:pPr>
      <w:r>
        <w:rPr>
          <w:b/>
          <w:sz w:val="18"/>
        </w:rPr>
        <w:t>Provisions</w:t>
      </w:r>
    </w:p>
    <w:p>
      <w:pPr>
        <w:pStyle w:val="BodyText"/>
        <w:rPr>
          <w:b/>
        </w:rPr>
      </w:pPr>
    </w:p>
    <w:p>
      <w:pPr>
        <w:pStyle w:val="BodyText"/>
        <w:rPr>
          <w:b/>
        </w:rPr>
      </w:pPr>
    </w:p>
    <w:p>
      <w:pPr>
        <w:spacing w:before="160"/>
        <w:ind w:left="545" w:right="0" w:firstLine="0"/>
        <w:jc w:val="left"/>
        <w:rPr>
          <w:b/>
          <w:sz w:val="18"/>
        </w:rPr>
      </w:pPr>
      <w:r>
        <w:rPr>
          <w:b/>
          <w:sz w:val="18"/>
        </w:rPr>
        <w:t>Current</w:t>
      </w:r>
    </w:p>
    <w:p>
      <w:pPr>
        <w:pStyle w:val="BodyText"/>
        <w:rPr>
          <w:b/>
        </w:rPr>
      </w:pPr>
      <w:r>
        <w:rPr/>
        <w:br w:type="column"/>
      </w:r>
      <w:r>
        <w:rPr>
          <w:b/>
        </w:rPr>
      </w:r>
    </w:p>
    <w:p>
      <w:pPr>
        <w:pStyle w:val="BodyText"/>
        <w:spacing w:before="3"/>
        <w:rPr>
          <w:b/>
          <w:sz w:val="21"/>
        </w:rPr>
      </w:pPr>
    </w:p>
    <w:p>
      <w:pPr>
        <w:spacing w:before="0"/>
        <w:ind w:left="149" w:right="0" w:firstLine="0"/>
        <w:jc w:val="center"/>
        <w:rPr>
          <w:b/>
          <w:sz w:val="18"/>
        </w:rPr>
      </w:pPr>
      <w:r>
        <w:rPr>
          <w:b/>
          <w:sz w:val="18"/>
        </w:rPr>
        <w:t>2017</w:t>
      </w:r>
    </w:p>
    <w:p>
      <w:pPr>
        <w:spacing w:before="66"/>
        <w:ind w:left="148" w:right="0" w:firstLine="0"/>
        <w:jc w:val="center"/>
        <w:rPr>
          <w:b/>
          <w:sz w:val="18"/>
        </w:rPr>
      </w:pPr>
      <w:r>
        <w:rPr>
          <w:b/>
          <w:w w:val="99"/>
          <w:sz w:val="18"/>
        </w:rPr>
        <w:t>$</w:t>
      </w:r>
    </w:p>
    <w:p>
      <w:pPr>
        <w:pStyle w:val="BodyText"/>
        <w:rPr>
          <w:b/>
        </w:rPr>
      </w:pPr>
      <w:r>
        <w:rPr/>
        <w:br w:type="column"/>
      </w:r>
      <w:r>
        <w:rPr>
          <w:b/>
        </w:rPr>
      </w:r>
    </w:p>
    <w:p>
      <w:pPr>
        <w:pStyle w:val="BodyText"/>
        <w:spacing w:before="3"/>
        <w:rPr>
          <w:b/>
          <w:sz w:val="21"/>
        </w:rPr>
      </w:pPr>
    </w:p>
    <w:p>
      <w:pPr>
        <w:spacing w:before="0"/>
        <w:ind w:left="133" w:right="562" w:firstLine="0"/>
        <w:jc w:val="center"/>
        <w:rPr>
          <w:b/>
          <w:sz w:val="18"/>
        </w:rPr>
      </w:pPr>
      <w:r>
        <w:rPr>
          <w:b/>
          <w:sz w:val="18"/>
        </w:rPr>
        <w:t>2016</w:t>
      </w:r>
    </w:p>
    <w:p>
      <w:pPr>
        <w:spacing w:before="66"/>
        <w:ind w:left="0" w:right="430" w:firstLine="0"/>
        <w:jc w:val="center"/>
        <w:rPr>
          <w:b/>
          <w:sz w:val="18"/>
        </w:rPr>
      </w:pPr>
      <w:r>
        <w:rPr>
          <w:b/>
          <w:w w:val="99"/>
          <w:sz w:val="18"/>
        </w:rPr>
        <w:t>$</w:t>
      </w:r>
    </w:p>
    <w:p>
      <w:pPr>
        <w:spacing w:after="0"/>
        <w:jc w:val="center"/>
        <w:rPr>
          <w:sz w:val="18"/>
        </w:rPr>
        <w:sectPr>
          <w:type w:val="continuous"/>
          <w:pgSz w:w="11910" w:h="16840"/>
          <w:pgMar w:top="1580" w:bottom="280" w:left="860" w:right="860"/>
          <w:cols w:num="3" w:equalWidth="0">
            <w:col w:w="1466" w:space="6304"/>
            <w:col w:w="550" w:space="734"/>
            <w:col w:w="1136"/>
          </w:cols>
        </w:sectPr>
      </w:pPr>
    </w:p>
    <w:p>
      <w:pPr>
        <w:tabs>
          <w:tab w:pos="7880" w:val="left" w:leader="none"/>
          <w:tab w:pos="9178" w:val="left" w:leader="none"/>
        </w:tabs>
        <w:spacing w:before="57"/>
        <w:ind w:left="545" w:right="19" w:firstLine="0"/>
        <w:jc w:val="left"/>
        <w:rPr>
          <w:sz w:val="18"/>
        </w:rPr>
      </w:pPr>
      <w:r>
        <w:rPr>
          <w:sz w:val="18"/>
        </w:rPr>
        <w:t>Annual</w:t>
      </w:r>
      <w:r>
        <w:rPr>
          <w:spacing w:val="-1"/>
          <w:sz w:val="18"/>
        </w:rPr>
        <w:t> </w:t>
      </w:r>
      <w:r>
        <w:rPr>
          <w:sz w:val="18"/>
        </w:rPr>
        <w:t>leave</w:t>
        <w:tab/>
      </w:r>
      <w:r>
        <w:rPr>
          <w:b/>
          <w:sz w:val="18"/>
        </w:rPr>
        <w:t>1,465,424</w:t>
        <w:tab/>
      </w:r>
      <w:r>
        <w:rPr>
          <w:sz w:val="18"/>
        </w:rPr>
        <w:t>1,396,560</w:t>
      </w:r>
    </w:p>
    <w:p>
      <w:pPr>
        <w:tabs>
          <w:tab w:pos="8030" w:val="left" w:leader="none"/>
          <w:tab w:pos="9328" w:val="left" w:leader="none"/>
        </w:tabs>
        <w:spacing w:before="57"/>
        <w:ind w:left="545" w:right="19" w:firstLine="0"/>
        <w:jc w:val="left"/>
        <w:rPr>
          <w:sz w:val="18"/>
        </w:rPr>
      </w:pPr>
      <w:r>
        <w:rPr/>
        <w:pict>
          <v:group style="position:absolute;margin-left:416.470001pt;margin-top:14.488217pt;width:129.85pt;height:1pt;mso-position-horizontal-relative:page;mso-position-vertical-relative:paragraph;z-index:2680;mso-wrap-distance-left:0;mso-wrap-distance-right:0" coordorigin="8329,290" coordsize="2597,20">
            <v:line style="position:absolute" from="8330,291" to="9628,291" stroked="true" strokeweight=".06pt" strokecolor="#000000"/>
            <v:line style="position:absolute" from="8330,292" to="9628,292" stroked="true" strokeweight=".06pt" strokecolor="#000000"/>
            <v:line style="position:absolute" from="8330,293" to="9628,293" stroked="true" strokeweight=".06pt" strokecolor="#000000"/>
            <v:line style="position:absolute" from="8330,294" to="9628,294" stroked="true" strokeweight=".06pt" strokecolor="#000000"/>
            <v:line style="position:absolute" from="8330,296" to="9628,296" stroked="true" strokeweight=".06pt" strokecolor="#000000"/>
            <v:line style="position:absolute" from="8330,297" to="9628,297" stroked="true" strokeweight=".06pt" strokecolor="#000000"/>
            <v:line style="position:absolute" from="8330,298" to="9628,298" stroked="true" strokeweight=".06pt" strokecolor="#000000"/>
            <v:line style="position:absolute" from="8330,299" to="9628,299" stroked="true" strokeweight=".06pt" strokecolor="#000000"/>
            <v:line style="position:absolute" from="8330,300" to="9628,300" stroked="true" strokeweight=".06pt" strokecolor="#000000"/>
            <v:line style="position:absolute" from="8330,302" to="9628,302" stroked="true" strokeweight=".06pt" strokecolor="#000000"/>
            <v:line style="position:absolute" from="8330,303" to="9628,303" stroked="true" strokeweight=".06pt" strokecolor="#000000"/>
            <v:line style="position:absolute" from="8330,304" to="9628,304" stroked="true" strokeweight=".06pt" strokecolor="#000000"/>
            <v:line style="position:absolute" from="8330,305" to="9628,305" stroked="true" strokeweight=".06pt" strokecolor="#000000"/>
            <v:line style="position:absolute" from="8330,306" to="9628,306" stroked="true" strokeweight=".06pt" strokecolor="#000000"/>
            <v:line style="position:absolute" from="8330,308" to="9628,308" stroked="true" strokeweight=".06pt" strokecolor="#000000"/>
            <v:line style="position:absolute" from="8330,309" to="9628,309" stroked="true" strokeweight=".06pt" strokecolor="#000000"/>
            <v:line style="position:absolute" from="9628,291" to="10925,291" stroked="true" strokeweight=".06pt" strokecolor="#000000"/>
            <v:line style="position:absolute" from="9628,292" to="10925,292" stroked="true" strokeweight=".06pt" strokecolor="#000000"/>
            <v:line style="position:absolute" from="9628,293" to="10925,293" stroked="true" strokeweight=".06pt" strokecolor="#000000"/>
            <v:line style="position:absolute" from="9628,294" to="10925,294" stroked="true" strokeweight=".06pt" strokecolor="#000000"/>
            <v:line style="position:absolute" from="9628,296" to="10925,296" stroked="true" strokeweight=".06pt" strokecolor="#000000"/>
            <v:line style="position:absolute" from="9628,297" to="10925,297" stroked="true" strokeweight=".06pt" strokecolor="#000000"/>
            <v:line style="position:absolute" from="9628,298" to="10925,298" stroked="true" strokeweight=".06pt" strokecolor="#000000"/>
            <v:line style="position:absolute" from="9628,299" to="10925,299" stroked="true" strokeweight=".06pt" strokecolor="#000000"/>
            <v:line style="position:absolute" from="9628,300" to="10925,300" stroked="true" strokeweight=".06pt" strokecolor="#000000"/>
            <v:line style="position:absolute" from="9628,302" to="10925,302" stroked="true" strokeweight=".06pt" strokecolor="#000000"/>
            <v:line style="position:absolute" from="9628,303" to="10925,303" stroked="true" strokeweight=".06pt" strokecolor="#000000"/>
            <v:line style="position:absolute" from="9628,304" to="10925,304" stroked="true" strokeweight=".06pt" strokecolor="#000000"/>
            <v:line style="position:absolute" from="9628,305" to="10925,305" stroked="true" strokeweight=".06pt" strokecolor="#000000"/>
            <v:line style="position:absolute" from="9628,306" to="10925,306" stroked="true" strokeweight=".06pt" strokecolor="#000000"/>
            <v:line style="position:absolute" from="9628,308" to="10925,308" stroked="true" strokeweight=".06pt" strokecolor="#000000"/>
            <v:line style="position:absolute" from="9628,309" to="10925,309" stroked="true" strokeweight=".06pt" strokecolor="#000000"/>
            <w10:wrap type="topAndBottom"/>
          </v:group>
        </w:pict>
      </w:r>
      <w:r>
        <w:rPr>
          <w:sz w:val="18"/>
        </w:rPr>
        <w:t>Long</w:t>
      </w:r>
      <w:r>
        <w:rPr>
          <w:spacing w:val="-1"/>
          <w:sz w:val="18"/>
        </w:rPr>
        <w:t> </w:t>
      </w:r>
      <w:r>
        <w:rPr>
          <w:sz w:val="18"/>
        </w:rPr>
        <w:t>service</w:t>
      </w:r>
      <w:r>
        <w:rPr>
          <w:spacing w:val="-1"/>
          <w:sz w:val="18"/>
        </w:rPr>
        <w:t> </w:t>
      </w:r>
      <w:r>
        <w:rPr>
          <w:sz w:val="18"/>
        </w:rPr>
        <w:t>leave</w:t>
        <w:tab/>
      </w:r>
      <w:r>
        <w:rPr>
          <w:b/>
          <w:sz w:val="18"/>
        </w:rPr>
        <w:t>666,000</w:t>
        <w:tab/>
      </w:r>
      <w:r>
        <w:rPr>
          <w:sz w:val="18"/>
        </w:rPr>
        <w:t>442,437</w:t>
      </w:r>
    </w:p>
    <w:p>
      <w:pPr>
        <w:tabs>
          <w:tab w:pos="1298" w:val="left" w:leader="none"/>
        </w:tabs>
        <w:spacing w:before="84"/>
        <w:ind w:left="0" w:right="202" w:firstLine="0"/>
        <w:jc w:val="right"/>
        <w:rPr>
          <w:sz w:val="18"/>
        </w:rPr>
      </w:pPr>
      <w:r>
        <w:rPr>
          <w:b/>
          <w:sz w:val="18"/>
        </w:rPr>
        <w:t>2,131,424</w:t>
        <w:tab/>
      </w:r>
      <w:r>
        <w:rPr>
          <w:spacing w:val="-1"/>
          <w:sz w:val="18"/>
        </w:rPr>
        <w:t>1,838,997</w:t>
      </w:r>
    </w:p>
    <w:p>
      <w:pPr>
        <w:pStyle w:val="BodyText"/>
        <w:spacing w:line="50" w:lineRule="exact"/>
        <w:ind w:left="7469"/>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spacing w:before="10"/>
        <w:rPr>
          <w:sz w:val="19"/>
        </w:rPr>
      </w:pPr>
    </w:p>
    <w:p>
      <w:pPr>
        <w:pStyle w:val="Heading9"/>
        <w:spacing w:before="77"/>
        <w:ind w:left="544" w:right="19"/>
      </w:pPr>
      <w:r>
        <w:rPr/>
        <w:t>Amounts not expected to be settled within the next 12 months</w:t>
      </w:r>
    </w:p>
    <w:p>
      <w:pPr>
        <w:pStyle w:val="BodyText"/>
        <w:spacing w:before="4"/>
        <w:rPr>
          <w:b/>
          <w:sz w:val="25"/>
        </w:rPr>
      </w:pPr>
    </w:p>
    <w:p>
      <w:pPr>
        <w:pStyle w:val="BodyText"/>
        <w:spacing w:after="36"/>
        <w:ind w:left="545" w:right="119"/>
      </w:pPr>
      <w:r>
        <w:rPr/>
        <w:t>The current provision for employee benefits includes accrued annual leave. The entire amount of the provision is presented as current, since the Company does not have an unconditional right to defer settlement of any of these obligations. However, based on past experience, the Company does not expect all employees to take the full amount of accrued leave or require payment within the next 12 months. The following amounts reflect leave that is not expected to be taken or paid within the next 12 months.</w:t>
      </w: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2"/>
        <w:gridCol w:w="7025"/>
        <w:gridCol w:w="1460"/>
        <w:gridCol w:w="1134"/>
      </w:tblGrid>
      <w:tr>
        <w:trPr>
          <w:trHeight w:val="794" w:hRule="exact"/>
        </w:trPr>
        <w:tc>
          <w:tcPr>
            <w:tcW w:w="332" w:type="dxa"/>
            <w:vMerge w:val="restart"/>
          </w:tcPr>
          <w:p>
            <w:pPr/>
          </w:p>
        </w:tc>
        <w:tc>
          <w:tcPr>
            <w:tcW w:w="7025" w:type="dxa"/>
          </w:tcPr>
          <w:p>
            <w:pPr>
              <w:pStyle w:val="TableParagraph"/>
              <w:rPr>
                <w:sz w:val="18"/>
              </w:rPr>
            </w:pPr>
          </w:p>
          <w:p>
            <w:pPr>
              <w:pStyle w:val="TableParagraph"/>
              <w:rPr>
                <w:sz w:val="18"/>
              </w:rPr>
            </w:pPr>
          </w:p>
          <w:p>
            <w:pPr>
              <w:pStyle w:val="TableParagraph"/>
              <w:spacing w:before="126"/>
              <w:ind w:left="97"/>
              <w:rPr>
                <w:sz w:val="18"/>
              </w:rPr>
            </w:pPr>
            <w:r>
              <w:rPr>
                <w:sz w:val="18"/>
              </w:rPr>
              <w:t>Annual leave obligations expected to be settled after 12 months</w:t>
            </w:r>
          </w:p>
        </w:tc>
        <w:tc>
          <w:tcPr>
            <w:tcW w:w="1460" w:type="dxa"/>
          </w:tcPr>
          <w:p>
            <w:pPr>
              <w:pStyle w:val="TableParagraph"/>
              <w:spacing w:line="204" w:lineRule="exact"/>
              <w:ind w:left="448" w:right="229"/>
              <w:rPr>
                <w:b/>
                <w:sz w:val="18"/>
              </w:rPr>
            </w:pPr>
            <w:r>
              <w:rPr>
                <w:b/>
                <w:sz w:val="18"/>
              </w:rPr>
              <w:t>2017</w:t>
            </w:r>
          </w:p>
          <w:p>
            <w:pPr>
              <w:pStyle w:val="TableParagraph"/>
              <w:spacing w:line="312" w:lineRule="auto" w:before="66"/>
              <w:ind w:left="560" w:right="229" w:firstLine="38"/>
              <w:rPr>
                <w:b/>
                <w:sz w:val="18"/>
              </w:rPr>
            </w:pPr>
            <w:r>
              <w:rPr>
                <w:b/>
                <w:sz w:val="18"/>
              </w:rPr>
              <w:t>$ 187,301</w:t>
            </w:r>
          </w:p>
        </w:tc>
        <w:tc>
          <w:tcPr>
            <w:tcW w:w="1134" w:type="dxa"/>
          </w:tcPr>
          <w:p>
            <w:pPr>
              <w:pStyle w:val="TableParagraph"/>
              <w:spacing w:line="204" w:lineRule="exact"/>
              <w:ind w:left="253" w:right="439"/>
              <w:jc w:val="center"/>
              <w:rPr>
                <w:b/>
                <w:sz w:val="18"/>
              </w:rPr>
            </w:pPr>
            <w:r>
              <w:rPr>
                <w:b/>
                <w:sz w:val="18"/>
              </w:rPr>
              <w:t>2016</w:t>
            </w:r>
          </w:p>
          <w:p>
            <w:pPr>
              <w:pStyle w:val="TableParagraph"/>
              <w:spacing w:before="66"/>
              <w:ind w:right="187"/>
              <w:jc w:val="center"/>
              <w:rPr>
                <w:b/>
                <w:sz w:val="18"/>
              </w:rPr>
            </w:pPr>
            <w:r>
              <w:rPr>
                <w:b/>
                <w:w w:val="99"/>
                <w:sz w:val="18"/>
              </w:rPr>
              <w:t>$</w:t>
            </w:r>
          </w:p>
          <w:p>
            <w:pPr>
              <w:pStyle w:val="TableParagraph"/>
              <w:spacing w:before="61"/>
              <w:ind w:left="398"/>
              <w:rPr>
                <w:sz w:val="18"/>
              </w:rPr>
            </w:pPr>
            <w:r>
              <w:rPr>
                <w:sz w:val="18"/>
              </w:rPr>
              <w:t>140,585</w:t>
            </w:r>
          </w:p>
        </w:tc>
      </w:tr>
      <w:tr>
        <w:trPr>
          <w:trHeight w:val="272" w:hRule="exact"/>
        </w:trPr>
        <w:tc>
          <w:tcPr>
            <w:tcW w:w="332" w:type="dxa"/>
            <w:vMerge/>
          </w:tcPr>
          <w:p>
            <w:pPr/>
          </w:p>
        </w:tc>
        <w:tc>
          <w:tcPr>
            <w:tcW w:w="7025" w:type="dxa"/>
          </w:tcPr>
          <w:p>
            <w:pPr>
              <w:pStyle w:val="TableParagraph"/>
              <w:spacing w:before="29"/>
              <w:ind w:left="97"/>
              <w:rPr>
                <w:sz w:val="18"/>
              </w:rPr>
            </w:pPr>
            <w:r>
              <w:rPr>
                <w:sz w:val="18"/>
              </w:rPr>
              <w:t>Long service leave obligations expected to be settled after 12 months</w:t>
            </w:r>
          </w:p>
        </w:tc>
        <w:tc>
          <w:tcPr>
            <w:tcW w:w="1460" w:type="dxa"/>
            <w:tcBorders>
              <w:bottom w:val="single" w:sz="0" w:space="0" w:color="000000"/>
            </w:tcBorders>
          </w:tcPr>
          <w:p>
            <w:pPr>
              <w:pStyle w:val="TableParagraph"/>
              <w:spacing w:before="28"/>
              <w:ind w:right="247"/>
              <w:jc w:val="right"/>
              <w:rPr>
                <w:b/>
                <w:sz w:val="18"/>
              </w:rPr>
            </w:pPr>
            <w:r>
              <w:rPr>
                <w:b/>
                <w:w w:val="95"/>
                <w:sz w:val="18"/>
              </w:rPr>
              <w:t>428,713</w:t>
            </w:r>
          </w:p>
        </w:tc>
        <w:tc>
          <w:tcPr>
            <w:tcW w:w="1134" w:type="dxa"/>
            <w:tcBorders>
              <w:bottom w:val="single" w:sz="0" w:space="0" w:color="000000"/>
            </w:tcBorders>
          </w:tcPr>
          <w:p>
            <w:pPr>
              <w:pStyle w:val="TableParagraph"/>
              <w:spacing w:before="28"/>
              <w:ind w:right="83"/>
              <w:jc w:val="right"/>
              <w:rPr>
                <w:sz w:val="18"/>
              </w:rPr>
            </w:pPr>
            <w:r>
              <w:rPr>
                <w:w w:val="95"/>
                <w:sz w:val="18"/>
              </w:rPr>
              <w:t>228,962</w:t>
            </w:r>
          </w:p>
        </w:tc>
      </w:tr>
      <w:tr>
        <w:trPr>
          <w:trHeight w:val="353" w:hRule="exact"/>
        </w:trPr>
        <w:tc>
          <w:tcPr>
            <w:tcW w:w="332" w:type="dxa"/>
            <w:vMerge/>
          </w:tcPr>
          <w:p>
            <w:pPr/>
          </w:p>
        </w:tc>
        <w:tc>
          <w:tcPr>
            <w:tcW w:w="7025" w:type="dxa"/>
          </w:tcPr>
          <w:p>
            <w:pPr/>
          </w:p>
        </w:tc>
        <w:tc>
          <w:tcPr>
            <w:tcW w:w="1460" w:type="dxa"/>
            <w:tcBorders>
              <w:top w:val="single" w:sz="0" w:space="0" w:color="000000"/>
              <w:bottom w:val="single" w:sz="0" w:space="0" w:color="000000"/>
            </w:tcBorders>
          </w:tcPr>
          <w:p>
            <w:pPr>
              <w:pStyle w:val="TableParagraph"/>
              <w:spacing w:before="122"/>
              <w:ind w:right="247"/>
              <w:jc w:val="right"/>
              <w:rPr>
                <w:b/>
                <w:sz w:val="18"/>
              </w:rPr>
            </w:pPr>
            <w:r>
              <w:rPr>
                <w:b/>
                <w:w w:val="95"/>
                <w:sz w:val="18"/>
              </w:rPr>
              <w:t>616,014</w:t>
            </w:r>
          </w:p>
        </w:tc>
        <w:tc>
          <w:tcPr>
            <w:tcW w:w="1134" w:type="dxa"/>
            <w:tcBorders>
              <w:top w:val="single" w:sz="0" w:space="0" w:color="000000"/>
              <w:bottom w:val="single" w:sz="0" w:space="0" w:color="000000"/>
            </w:tcBorders>
          </w:tcPr>
          <w:p>
            <w:pPr>
              <w:pStyle w:val="TableParagraph"/>
              <w:spacing w:before="122"/>
              <w:ind w:right="83"/>
              <w:jc w:val="right"/>
              <w:rPr>
                <w:sz w:val="18"/>
              </w:rPr>
            </w:pPr>
            <w:r>
              <w:rPr>
                <w:w w:val="95"/>
                <w:sz w:val="18"/>
              </w:rPr>
              <w:t>369,547</w:t>
            </w:r>
          </w:p>
        </w:tc>
      </w:tr>
      <w:tr>
        <w:trPr>
          <w:trHeight w:val="583" w:hRule="exact"/>
        </w:trPr>
        <w:tc>
          <w:tcPr>
            <w:tcW w:w="332" w:type="dxa"/>
            <w:vMerge/>
          </w:tcPr>
          <w:p>
            <w:pPr/>
          </w:p>
        </w:tc>
        <w:tc>
          <w:tcPr>
            <w:tcW w:w="7025" w:type="dxa"/>
          </w:tcPr>
          <w:p>
            <w:pPr/>
          </w:p>
        </w:tc>
        <w:tc>
          <w:tcPr>
            <w:tcW w:w="1460" w:type="dxa"/>
            <w:tcBorders>
              <w:top w:val="single" w:sz="0" w:space="0" w:color="000000"/>
            </w:tcBorders>
          </w:tcPr>
          <w:p>
            <w:pPr>
              <w:pStyle w:val="TableParagraph"/>
              <w:rPr>
                <w:sz w:val="18"/>
              </w:rPr>
            </w:pPr>
          </w:p>
          <w:p>
            <w:pPr>
              <w:pStyle w:val="TableParagraph"/>
              <w:spacing w:before="125"/>
              <w:ind w:left="471" w:right="229"/>
              <w:rPr>
                <w:b/>
                <w:sz w:val="18"/>
              </w:rPr>
            </w:pPr>
            <w:r>
              <w:rPr>
                <w:b/>
                <w:sz w:val="18"/>
              </w:rPr>
              <w:t>2017</w:t>
            </w:r>
          </w:p>
        </w:tc>
        <w:tc>
          <w:tcPr>
            <w:tcW w:w="1134" w:type="dxa"/>
            <w:tcBorders>
              <w:top w:val="single" w:sz="0" w:space="0" w:color="000000"/>
            </w:tcBorders>
          </w:tcPr>
          <w:p>
            <w:pPr>
              <w:pStyle w:val="TableParagraph"/>
              <w:rPr>
                <w:sz w:val="18"/>
              </w:rPr>
            </w:pPr>
          </w:p>
          <w:p>
            <w:pPr>
              <w:pStyle w:val="TableParagraph"/>
              <w:spacing w:before="125"/>
              <w:ind w:left="293"/>
              <w:rPr>
                <w:b/>
                <w:sz w:val="18"/>
              </w:rPr>
            </w:pPr>
            <w:r>
              <w:rPr>
                <w:b/>
                <w:sz w:val="18"/>
              </w:rPr>
              <w:t>2016</w:t>
            </w:r>
          </w:p>
        </w:tc>
      </w:tr>
      <w:tr>
        <w:trPr>
          <w:trHeight w:val="271" w:hRule="exact"/>
        </w:trPr>
        <w:tc>
          <w:tcPr>
            <w:tcW w:w="332" w:type="dxa"/>
            <w:vMerge/>
          </w:tcPr>
          <w:p>
            <w:pPr/>
          </w:p>
        </w:tc>
        <w:tc>
          <w:tcPr>
            <w:tcW w:w="7025" w:type="dxa"/>
          </w:tcPr>
          <w:p>
            <w:pPr/>
          </w:p>
        </w:tc>
        <w:tc>
          <w:tcPr>
            <w:tcW w:w="1460" w:type="dxa"/>
          </w:tcPr>
          <w:p>
            <w:pPr>
              <w:pStyle w:val="TableParagraph"/>
              <w:spacing w:before="24"/>
              <w:ind w:right="115"/>
              <w:jc w:val="center"/>
              <w:rPr>
                <w:b/>
                <w:sz w:val="18"/>
              </w:rPr>
            </w:pPr>
            <w:r>
              <w:rPr>
                <w:b/>
                <w:w w:val="99"/>
                <w:sz w:val="18"/>
              </w:rPr>
              <w:t>$</w:t>
            </w:r>
          </w:p>
        </w:tc>
        <w:tc>
          <w:tcPr>
            <w:tcW w:w="1134" w:type="dxa"/>
          </w:tcPr>
          <w:p>
            <w:pPr>
              <w:pStyle w:val="TableParagraph"/>
              <w:spacing w:before="24"/>
              <w:ind w:right="144"/>
              <w:jc w:val="center"/>
              <w:rPr>
                <w:b/>
                <w:sz w:val="18"/>
              </w:rPr>
            </w:pPr>
            <w:r>
              <w:rPr>
                <w:b/>
                <w:w w:val="99"/>
                <w:sz w:val="18"/>
              </w:rPr>
              <w:t>$</w:t>
            </w:r>
          </w:p>
        </w:tc>
      </w:tr>
      <w:tr>
        <w:trPr>
          <w:trHeight w:val="265" w:hRule="exact"/>
        </w:trPr>
        <w:tc>
          <w:tcPr>
            <w:tcW w:w="332" w:type="dxa"/>
            <w:vMerge/>
          </w:tcPr>
          <w:p>
            <w:pPr/>
          </w:p>
        </w:tc>
        <w:tc>
          <w:tcPr>
            <w:tcW w:w="7025" w:type="dxa"/>
          </w:tcPr>
          <w:p>
            <w:pPr>
              <w:pStyle w:val="TableParagraph"/>
              <w:spacing w:before="21"/>
              <w:ind w:left="137"/>
              <w:rPr>
                <w:b/>
                <w:sz w:val="18"/>
              </w:rPr>
            </w:pPr>
            <w:r>
              <w:rPr>
                <w:b/>
                <w:sz w:val="18"/>
              </w:rPr>
              <w:t>Non-Current</w:t>
            </w:r>
          </w:p>
        </w:tc>
        <w:tc>
          <w:tcPr>
            <w:tcW w:w="1460" w:type="dxa"/>
          </w:tcPr>
          <w:p>
            <w:pPr/>
          </w:p>
        </w:tc>
        <w:tc>
          <w:tcPr>
            <w:tcW w:w="1134" w:type="dxa"/>
          </w:tcPr>
          <w:p>
            <w:pPr/>
          </w:p>
        </w:tc>
      </w:tr>
      <w:tr>
        <w:trPr>
          <w:trHeight w:val="277" w:hRule="exact"/>
        </w:trPr>
        <w:tc>
          <w:tcPr>
            <w:tcW w:w="332" w:type="dxa"/>
            <w:vMerge/>
          </w:tcPr>
          <w:p>
            <w:pPr/>
          </w:p>
        </w:tc>
        <w:tc>
          <w:tcPr>
            <w:tcW w:w="7025" w:type="dxa"/>
          </w:tcPr>
          <w:p>
            <w:pPr>
              <w:pStyle w:val="TableParagraph"/>
              <w:spacing w:before="19"/>
              <w:ind w:left="137"/>
              <w:rPr>
                <w:sz w:val="18"/>
              </w:rPr>
            </w:pPr>
            <w:r>
              <w:rPr>
                <w:sz w:val="18"/>
              </w:rPr>
              <w:t>Long service leave</w:t>
            </w:r>
          </w:p>
        </w:tc>
        <w:tc>
          <w:tcPr>
            <w:tcW w:w="1460" w:type="dxa"/>
            <w:tcBorders>
              <w:bottom w:val="single" w:sz="0" w:space="0" w:color="000000"/>
            </w:tcBorders>
          </w:tcPr>
          <w:p>
            <w:pPr>
              <w:pStyle w:val="TableParagraph"/>
              <w:spacing w:before="18"/>
              <w:ind w:right="246"/>
              <w:jc w:val="right"/>
              <w:rPr>
                <w:b/>
                <w:sz w:val="18"/>
              </w:rPr>
            </w:pPr>
            <w:r>
              <w:rPr>
                <w:b/>
                <w:w w:val="95"/>
                <w:sz w:val="18"/>
              </w:rPr>
              <w:t>752,000</w:t>
            </w:r>
          </w:p>
        </w:tc>
        <w:tc>
          <w:tcPr>
            <w:tcW w:w="1134" w:type="dxa"/>
            <w:tcBorders>
              <w:bottom w:val="single" w:sz="0" w:space="0" w:color="000000"/>
            </w:tcBorders>
          </w:tcPr>
          <w:p>
            <w:pPr>
              <w:pStyle w:val="TableParagraph"/>
              <w:spacing w:before="18"/>
              <w:ind w:right="84"/>
              <w:jc w:val="right"/>
              <w:rPr>
                <w:sz w:val="18"/>
              </w:rPr>
            </w:pPr>
            <w:r>
              <w:rPr>
                <w:w w:val="95"/>
                <w:sz w:val="18"/>
              </w:rPr>
              <w:t>763,312</w:t>
            </w:r>
          </w:p>
        </w:tc>
      </w:tr>
      <w:tr>
        <w:trPr>
          <w:trHeight w:val="803" w:hRule="exact"/>
        </w:trPr>
        <w:tc>
          <w:tcPr>
            <w:tcW w:w="332" w:type="dxa"/>
          </w:tcPr>
          <w:p>
            <w:pPr>
              <w:pStyle w:val="TableParagraph"/>
              <w:rPr>
                <w:sz w:val="18"/>
              </w:rPr>
            </w:pPr>
          </w:p>
          <w:p>
            <w:pPr>
              <w:pStyle w:val="TableParagraph"/>
              <w:spacing w:before="106"/>
              <w:ind w:left="16" w:right="76"/>
              <w:jc w:val="center"/>
              <w:rPr>
                <w:b/>
                <w:sz w:val="18"/>
              </w:rPr>
            </w:pPr>
            <w:r>
              <w:rPr>
                <w:b/>
                <w:sz w:val="18"/>
              </w:rPr>
              <w:t>10</w:t>
            </w:r>
          </w:p>
        </w:tc>
        <w:tc>
          <w:tcPr>
            <w:tcW w:w="7025" w:type="dxa"/>
          </w:tcPr>
          <w:p>
            <w:pPr>
              <w:pStyle w:val="TableParagraph"/>
              <w:rPr>
                <w:sz w:val="18"/>
              </w:rPr>
            </w:pPr>
          </w:p>
          <w:p>
            <w:pPr>
              <w:pStyle w:val="TableParagraph"/>
              <w:spacing w:before="106"/>
              <w:ind w:left="98"/>
              <w:rPr>
                <w:b/>
                <w:sz w:val="18"/>
              </w:rPr>
            </w:pPr>
            <w:r>
              <w:rPr>
                <w:b/>
                <w:sz w:val="18"/>
              </w:rPr>
              <w:t>Other liabilities</w:t>
            </w:r>
          </w:p>
        </w:tc>
        <w:tc>
          <w:tcPr>
            <w:tcW w:w="1460" w:type="dxa"/>
            <w:tcBorders>
              <w:top w:val="single" w:sz="0" w:space="0" w:color="000000"/>
            </w:tcBorders>
          </w:tcPr>
          <w:p>
            <w:pPr>
              <w:pStyle w:val="TableParagraph"/>
              <w:rPr>
                <w:sz w:val="18"/>
              </w:rPr>
            </w:pPr>
          </w:p>
          <w:p>
            <w:pPr>
              <w:pStyle w:val="TableParagraph"/>
              <w:rPr>
                <w:sz w:val="18"/>
              </w:rPr>
            </w:pPr>
          </w:p>
          <w:p>
            <w:pPr>
              <w:pStyle w:val="TableParagraph"/>
              <w:spacing w:before="139"/>
              <w:ind w:left="470" w:right="229"/>
              <w:rPr>
                <w:b/>
                <w:sz w:val="18"/>
              </w:rPr>
            </w:pPr>
            <w:r>
              <w:rPr>
                <w:b/>
                <w:sz w:val="18"/>
              </w:rPr>
              <w:t>2017</w:t>
            </w:r>
          </w:p>
        </w:tc>
        <w:tc>
          <w:tcPr>
            <w:tcW w:w="1134" w:type="dxa"/>
            <w:tcBorders>
              <w:top w:val="single" w:sz="0" w:space="0" w:color="000000"/>
            </w:tcBorders>
          </w:tcPr>
          <w:p>
            <w:pPr>
              <w:pStyle w:val="TableParagraph"/>
              <w:rPr>
                <w:sz w:val="18"/>
              </w:rPr>
            </w:pPr>
          </w:p>
          <w:p>
            <w:pPr>
              <w:pStyle w:val="TableParagraph"/>
              <w:rPr>
                <w:sz w:val="18"/>
              </w:rPr>
            </w:pPr>
          </w:p>
          <w:p>
            <w:pPr>
              <w:pStyle w:val="TableParagraph"/>
              <w:spacing w:before="139"/>
              <w:ind w:left="272"/>
              <w:rPr>
                <w:b/>
                <w:sz w:val="18"/>
              </w:rPr>
            </w:pPr>
            <w:r>
              <w:rPr>
                <w:b/>
                <w:sz w:val="18"/>
              </w:rPr>
              <w:t>2016</w:t>
            </w:r>
          </w:p>
        </w:tc>
      </w:tr>
      <w:tr>
        <w:trPr>
          <w:trHeight w:val="271" w:hRule="exact"/>
        </w:trPr>
        <w:tc>
          <w:tcPr>
            <w:tcW w:w="332" w:type="dxa"/>
          </w:tcPr>
          <w:p>
            <w:pPr/>
          </w:p>
        </w:tc>
        <w:tc>
          <w:tcPr>
            <w:tcW w:w="7025" w:type="dxa"/>
          </w:tcPr>
          <w:p>
            <w:pPr/>
          </w:p>
        </w:tc>
        <w:tc>
          <w:tcPr>
            <w:tcW w:w="1460" w:type="dxa"/>
          </w:tcPr>
          <w:p>
            <w:pPr>
              <w:pStyle w:val="TableParagraph"/>
              <w:spacing w:before="24"/>
              <w:ind w:right="117"/>
              <w:jc w:val="center"/>
              <w:rPr>
                <w:b/>
                <w:sz w:val="18"/>
              </w:rPr>
            </w:pPr>
            <w:r>
              <w:rPr>
                <w:b/>
                <w:w w:val="99"/>
                <w:sz w:val="18"/>
              </w:rPr>
              <w:t>$</w:t>
            </w:r>
          </w:p>
        </w:tc>
        <w:tc>
          <w:tcPr>
            <w:tcW w:w="1134" w:type="dxa"/>
          </w:tcPr>
          <w:p>
            <w:pPr>
              <w:pStyle w:val="TableParagraph"/>
              <w:spacing w:before="24"/>
              <w:ind w:right="187"/>
              <w:jc w:val="center"/>
              <w:rPr>
                <w:b/>
                <w:sz w:val="18"/>
              </w:rPr>
            </w:pPr>
            <w:r>
              <w:rPr>
                <w:b/>
                <w:w w:val="99"/>
                <w:sz w:val="18"/>
              </w:rPr>
              <w:t>$</w:t>
            </w:r>
          </w:p>
        </w:tc>
      </w:tr>
      <w:tr>
        <w:trPr>
          <w:trHeight w:val="266" w:hRule="exact"/>
        </w:trPr>
        <w:tc>
          <w:tcPr>
            <w:tcW w:w="332" w:type="dxa"/>
          </w:tcPr>
          <w:p>
            <w:pPr/>
          </w:p>
        </w:tc>
        <w:tc>
          <w:tcPr>
            <w:tcW w:w="7025" w:type="dxa"/>
          </w:tcPr>
          <w:p>
            <w:pPr>
              <w:pStyle w:val="TableParagraph"/>
              <w:spacing w:before="21"/>
              <w:ind w:left="98"/>
              <w:rPr>
                <w:sz w:val="18"/>
              </w:rPr>
            </w:pPr>
            <w:r>
              <w:rPr>
                <w:sz w:val="18"/>
              </w:rPr>
              <w:t>Unearned IELTS revenue *</w:t>
            </w:r>
          </w:p>
        </w:tc>
        <w:tc>
          <w:tcPr>
            <w:tcW w:w="1460" w:type="dxa"/>
          </w:tcPr>
          <w:p>
            <w:pPr>
              <w:pStyle w:val="TableParagraph"/>
              <w:spacing w:before="22"/>
              <w:ind w:right="247"/>
              <w:jc w:val="right"/>
              <w:rPr>
                <w:b/>
                <w:sz w:val="18"/>
              </w:rPr>
            </w:pPr>
            <w:r>
              <w:rPr>
                <w:b/>
                <w:w w:val="95"/>
                <w:sz w:val="18"/>
              </w:rPr>
              <w:t>144,870</w:t>
            </w:r>
          </w:p>
        </w:tc>
        <w:tc>
          <w:tcPr>
            <w:tcW w:w="1134" w:type="dxa"/>
          </w:tcPr>
          <w:p>
            <w:pPr>
              <w:pStyle w:val="TableParagraph"/>
              <w:spacing w:before="22"/>
              <w:ind w:right="83"/>
              <w:jc w:val="right"/>
              <w:rPr>
                <w:sz w:val="18"/>
              </w:rPr>
            </w:pPr>
            <w:r>
              <w:rPr>
                <w:w w:val="95"/>
                <w:sz w:val="18"/>
              </w:rPr>
              <w:t>160,710</w:t>
            </w:r>
          </w:p>
        </w:tc>
      </w:tr>
      <w:tr>
        <w:trPr>
          <w:trHeight w:val="264" w:hRule="exact"/>
        </w:trPr>
        <w:tc>
          <w:tcPr>
            <w:tcW w:w="332" w:type="dxa"/>
          </w:tcPr>
          <w:p>
            <w:pPr/>
          </w:p>
        </w:tc>
        <w:tc>
          <w:tcPr>
            <w:tcW w:w="7025" w:type="dxa"/>
          </w:tcPr>
          <w:p>
            <w:pPr>
              <w:pStyle w:val="TableParagraph"/>
              <w:spacing w:before="18"/>
              <w:ind w:left="98"/>
              <w:rPr>
                <w:sz w:val="18"/>
              </w:rPr>
            </w:pPr>
            <w:r>
              <w:rPr>
                <w:sz w:val="18"/>
              </w:rPr>
              <w:t>Payroll tax</w:t>
            </w:r>
          </w:p>
        </w:tc>
        <w:tc>
          <w:tcPr>
            <w:tcW w:w="1460" w:type="dxa"/>
          </w:tcPr>
          <w:p>
            <w:pPr>
              <w:pStyle w:val="TableParagraph"/>
              <w:spacing w:before="19"/>
              <w:ind w:right="247"/>
              <w:jc w:val="right"/>
              <w:rPr>
                <w:b/>
                <w:sz w:val="18"/>
              </w:rPr>
            </w:pPr>
            <w:r>
              <w:rPr>
                <w:b/>
                <w:w w:val="95"/>
                <w:sz w:val="18"/>
              </w:rPr>
              <w:t>261,198</w:t>
            </w:r>
          </w:p>
        </w:tc>
        <w:tc>
          <w:tcPr>
            <w:tcW w:w="1134" w:type="dxa"/>
          </w:tcPr>
          <w:p>
            <w:pPr>
              <w:pStyle w:val="TableParagraph"/>
              <w:spacing w:before="19"/>
              <w:ind w:right="83"/>
              <w:jc w:val="right"/>
              <w:rPr>
                <w:sz w:val="18"/>
              </w:rPr>
            </w:pPr>
            <w:r>
              <w:rPr>
                <w:w w:val="95"/>
                <w:sz w:val="18"/>
              </w:rPr>
              <w:t>245,554</w:t>
            </w:r>
          </w:p>
        </w:tc>
      </w:tr>
      <w:tr>
        <w:trPr>
          <w:trHeight w:val="264" w:hRule="exact"/>
        </w:trPr>
        <w:tc>
          <w:tcPr>
            <w:tcW w:w="332" w:type="dxa"/>
          </w:tcPr>
          <w:p>
            <w:pPr/>
          </w:p>
        </w:tc>
        <w:tc>
          <w:tcPr>
            <w:tcW w:w="7025" w:type="dxa"/>
          </w:tcPr>
          <w:p>
            <w:pPr>
              <w:pStyle w:val="TableParagraph"/>
              <w:spacing w:before="18"/>
              <w:ind w:left="97"/>
              <w:rPr>
                <w:sz w:val="18"/>
              </w:rPr>
            </w:pPr>
            <w:r>
              <w:rPr>
                <w:sz w:val="18"/>
              </w:rPr>
              <w:t>Fringe benefits tax</w:t>
            </w:r>
          </w:p>
        </w:tc>
        <w:tc>
          <w:tcPr>
            <w:tcW w:w="1460" w:type="dxa"/>
          </w:tcPr>
          <w:p>
            <w:pPr>
              <w:pStyle w:val="TableParagraph"/>
              <w:spacing w:before="19"/>
              <w:ind w:right="248"/>
              <w:jc w:val="right"/>
              <w:rPr>
                <w:b/>
                <w:sz w:val="18"/>
              </w:rPr>
            </w:pPr>
            <w:r>
              <w:rPr>
                <w:b/>
                <w:w w:val="95"/>
                <w:sz w:val="18"/>
              </w:rPr>
              <w:t>16,795</w:t>
            </w:r>
          </w:p>
        </w:tc>
        <w:tc>
          <w:tcPr>
            <w:tcW w:w="1134" w:type="dxa"/>
          </w:tcPr>
          <w:p>
            <w:pPr>
              <w:pStyle w:val="TableParagraph"/>
              <w:spacing w:before="19"/>
              <w:ind w:right="84"/>
              <w:jc w:val="right"/>
              <w:rPr>
                <w:sz w:val="18"/>
              </w:rPr>
            </w:pPr>
            <w:r>
              <w:rPr>
                <w:w w:val="95"/>
                <w:sz w:val="18"/>
              </w:rPr>
              <w:t>18,587</w:t>
            </w:r>
          </w:p>
        </w:tc>
      </w:tr>
      <w:tr>
        <w:trPr>
          <w:trHeight w:val="263" w:hRule="exact"/>
        </w:trPr>
        <w:tc>
          <w:tcPr>
            <w:tcW w:w="332" w:type="dxa"/>
          </w:tcPr>
          <w:p>
            <w:pPr/>
          </w:p>
        </w:tc>
        <w:tc>
          <w:tcPr>
            <w:tcW w:w="7025" w:type="dxa"/>
          </w:tcPr>
          <w:p>
            <w:pPr>
              <w:pStyle w:val="TableParagraph"/>
              <w:spacing w:before="18"/>
              <w:ind w:left="97"/>
              <w:rPr>
                <w:sz w:val="18"/>
              </w:rPr>
            </w:pPr>
            <w:r>
              <w:rPr>
                <w:sz w:val="18"/>
              </w:rPr>
              <w:t>Other liabilities</w:t>
            </w:r>
          </w:p>
        </w:tc>
        <w:tc>
          <w:tcPr>
            <w:tcW w:w="1460" w:type="dxa"/>
            <w:tcBorders>
              <w:bottom w:val="single" w:sz="0" w:space="0" w:color="000000"/>
            </w:tcBorders>
          </w:tcPr>
          <w:p>
            <w:pPr>
              <w:pStyle w:val="TableParagraph"/>
              <w:spacing w:before="19"/>
              <w:ind w:right="248"/>
              <w:jc w:val="right"/>
              <w:rPr>
                <w:b/>
                <w:sz w:val="18"/>
              </w:rPr>
            </w:pPr>
            <w:r>
              <w:rPr>
                <w:b/>
                <w:w w:val="95"/>
                <w:sz w:val="18"/>
              </w:rPr>
              <w:t>131,158</w:t>
            </w:r>
          </w:p>
        </w:tc>
        <w:tc>
          <w:tcPr>
            <w:tcW w:w="1134" w:type="dxa"/>
            <w:tcBorders>
              <w:bottom w:val="single" w:sz="0" w:space="0" w:color="000000"/>
            </w:tcBorders>
          </w:tcPr>
          <w:p>
            <w:pPr>
              <w:pStyle w:val="TableParagraph"/>
              <w:spacing w:before="19"/>
              <w:ind w:right="83"/>
              <w:jc w:val="right"/>
              <w:rPr>
                <w:sz w:val="18"/>
              </w:rPr>
            </w:pPr>
            <w:r>
              <w:rPr>
                <w:w w:val="95"/>
                <w:sz w:val="18"/>
              </w:rPr>
              <w:t>688,822</w:t>
            </w:r>
          </w:p>
        </w:tc>
      </w:tr>
      <w:tr>
        <w:trPr>
          <w:trHeight w:val="353" w:hRule="exact"/>
        </w:trPr>
        <w:tc>
          <w:tcPr>
            <w:tcW w:w="332" w:type="dxa"/>
          </w:tcPr>
          <w:p>
            <w:pPr/>
          </w:p>
        </w:tc>
        <w:tc>
          <w:tcPr>
            <w:tcW w:w="7025" w:type="dxa"/>
          </w:tcPr>
          <w:p>
            <w:pPr/>
          </w:p>
        </w:tc>
        <w:tc>
          <w:tcPr>
            <w:tcW w:w="1460" w:type="dxa"/>
            <w:tcBorders>
              <w:top w:val="single" w:sz="0" w:space="0" w:color="000000"/>
              <w:bottom w:val="single" w:sz="0" w:space="0" w:color="000000"/>
            </w:tcBorders>
          </w:tcPr>
          <w:p>
            <w:pPr>
              <w:pStyle w:val="TableParagraph"/>
              <w:spacing w:before="122"/>
              <w:ind w:right="247"/>
              <w:jc w:val="right"/>
              <w:rPr>
                <w:b/>
                <w:sz w:val="18"/>
              </w:rPr>
            </w:pPr>
            <w:r>
              <w:rPr>
                <w:b/>
                <w:w w:val="95"/>
                <w:sz w:val="18"/>
              </w:rPr>
              <w:t>554,021</w:t>
            </w:r>
          </w:p>
        </w:tc>
        <w:tc>
          <w:tcPr>
            <w:tcW w:w="1134" w:type="dxa"/>
            <w:tcBorders>
              <w:top w:val="single" w:sz="0" w:space="0" w:color="000000"/>
              <w:bottom w:val="single" w:sz="0" w:space="0" w:color="000000"/>
            </w:tcBorders>
          </w:tcPr>
          <w:p>
            <w:pPr>
              <w:pStyle w:val="TableParagraph"/>
              <w:spacing w:before="122"/>
              <w:ind w:right="82"/>
              <w:jc w:val="right"/>
              <w:rPr>
                <w:sz w:val="18"/>
              </w:rPr>
            </w:pPr>
            <w:r>
              <w:rPr>
                <w:w w:val="95"/>
                <w:sz w:val="18"/>
              </w:rPr>
              <w:t>1,113,673</w:t>
            </w:r>
          </w:p>
        </w:tc>
      </w:tr>
      <w:tr>
        <w:trPr>
          <w:trHeight w:val="674" w:hRule="exact"/>
        </w:trPr>
        <w:tc>
          <w:tcPr>
            <w:tcW w:w="332" w:type="dxa"/>
          </w:tcPr>
          <w:p>
            <w:pPr/>
          </w:p>
        </w:tc>
        <w:tc>
          <w:tcPr>
            <w:tcW w:w="7025" w:type="dxa"/>
          </w:tcPr>
          <w:p>
            <w:pPr>
              <w:pStyle w:val="TableParagraph"/>
              <w:rPr>
                <w:sz w:val="18"/>
              </w:rPr>
            </w:pPr>
          </w:p>
          <w:p>
            <w:pPr>
              <w:pStyle w:val="TableParagraph"/>
              <w:spacing w:before="106"/>
              <w:ind w:left="98"/>
              <w:rPr>
                <w:sz w:val="18"/>
              </w:rPr>
            </w:pPr>
            <w:r>
              <w:rPr>
                <w:sz w:val="18"/>
              </w:rPr>
              <w:t>*Represents IELTS test fees paid in advance.</w:t>
            </w:r>
          </w:p>
        </w:tc>
        <w:tc>
          <w:tcPr>
            <w:tcW w:w="1460" w:type="dxa"/>
            <w:tcBorders>
              <w:top w:val="single" w:sz="0" w:space="0" w:color="000000"/>
            </w:tcBorders>
          </w:tcPr>
          <w:p>
            <w:pPr/>
          </w:p>
        </w:tc>
        <w:tc>
          <w:tcPr>
            <w:tcW w:w="1134" w:type="dxa"/>
            <w:tcBorders>
              <w:top w:val="single" w:sz="0" w:space="0" w:color="000000"/>
            </w:tcBorders>
          </w:tcPr>
          <w:p>
            <w:pPr/>
          </w:p>
        </w:tc>
      </w:tr>
      <w:tr>
        <w:trPr>
          <w:trHeight w:val="624" w:hRule="exact"/>
        </w:trPr>
        <w:tc>
          <w:tcPr>
            <w:tcW w:w="332" w:type="dxa"/>
          </w:tcPr>
          <w:p>
            <w:pPr>
              <w:pStyle w:val="TableParagraph"/>
              <w:spacing w:before="134"/>
              <w:ind w:left="16" w:right="76"/>
              <w:jc w:val="center"/>
              <w:rPr>
                <w:b/>
                <w:sz w:val="18"/>
              </w:rPr>
            </w:pPr>
            <w:r>
              <w:rPr>
                <w:b/>
                <w:sz w:val="18"/>
              </w:rPr>
              <w:t>11</w:t>
            </w:r>
          </w:p>
        </w:tc>
        <w:tc>
          <w:tcPr>
            <w:tcW w:w="7025" w:type="dxa"/>
          </w:tcPr>
          <w:p>
            <w:pPr>
              <w:pStyle w:val="TableParagraph"/>
              <w:spacing w:before="134"/>
              <w:ind w:left="98"/>
              <w:rPr>
                <w:b/>
                <w:sz w:val="18"/>
              </w:rPr>
            </w:pPr>
            <w:r>
              <w:rPr>
                <w:b/>
                <w:sz w:val="18"/>
              </w:rPr>
              <w:t>Issued Capital</w:t>
            </w:r>
          </w:p>
        </w:tc>
        <w:tc>
          <w:tcPr>
            <w:tcW w:w="1460" w:type="dxa"/>
          </w:tcPr>
          <w:p>
            <w:pPr>
              <w:pStyle w:val="TableParagraph"/>
              <w:rPr>
                <w:sz w:val="18"/>
              </w:rPr>
            </w:pPr>
          </w:p>
          <w:p>
            <w:pPr>
              <w:pStyle w:val="TableParagraph"/>
              <w:spacing w:before="6"/>
              <w:rPr>
                <w:sz w:val="14"/>
              </w:rPr>
            </w:pPr>
          </w:p>
          <w:p>
            <w:pPr>
              <w:pStyle w:val="TableParagraph"/>
              <w:ind w:left="448" w:right="229"/>
              <w:rPr>
                <w:b/>
                <w:sz w:val="18"/>
              </w:rPr>
            </w:pPr>
            <w:r>
              <w:rPr>
                <w:b/>
                <w:sz w:val="18"/>
              </w:rPr>
              <w:t>2017</w:t>
            </w:r>
          </w:p>
        </w:tc>
        <w:tc>
          <w:tcPr>
            <w:tcW w:w="1134" w:type="dxa"/>
          </w:tcPr>
          <w:p>
            <w:pPr>
              <w:pStyle w:val="TableParagraph"/>
              <w:rPr>
                <w:sz w:val="18"/>
              </w:rPr>
            </w:pPr>
          </w:p>
          <w:p>
            <w:pPr>
              <w:pStyle w:val="TableParagraph"/>
              <w:spacing w:before="6"/>
              <w:rPr>
                <w:sz w:val="14"/>
              </w:rPr>
            </w:pPr>
          </w:p>
          <w:p>
            <w:pPr>
              <w:pStyle w:val="TableParagraph"/>
              <w:ind w:left="272"/>
              <w:rPr>
                <w:b/>
                <w:sz w:val="18"/>
              </w:rPr>
            </w:pPr>
            <w:r>
              <w:rPr>
                <w:b/>
                <w:sz w:val="18"/>
              </w:rPr>
              <w:t>2016</w:t>
            </w:r>
          </w:p>
        </w:tc>
      </w:tr>
      <w:tr>
        <w:trPr>
          <w:trHeight w:val="271" w:hRule="exact"/>
        </w:trPr>
        <w:tc>
          <w:tcPr>
            <w:tcW w:w="332" w:type="dxa"/>
          </w:tcPr>
          <w:p>
            <w:pPr/>
          </w:p>
        </w:tc>
        <w:tc>
          <w:tcPr>
            <w:tcW w:w="7025" w:type="dxa"/>
          </w:tcPr>
          <w:p>
            <w:pPr/>
          </w:p>
        </w:tc>
        <w:tc>
          <w:tcPr>
            <w:tcW w:w="1460" w:type="dxa"/>
          </w:tcPr>
          <w:p>
            <w:pPr>
              <w:pStyle w:val="TableParagraph"/>
              <w:spacing w:before="24"/>
              <w:ind w:right="160"/>
              <w:jc w:val="center"/>
              <w:rPr>
                <w:b/>
                <w:sz w:val="18"/>
              </w:rPr>
            </w:pPr>
            <w:r>
              <w:rPr>
                <w:b/>
                <w:w w:val="99"/>
                <w:sz w:val="18"/>
              </w:rPr>
              <w:t>$</w:t>
            </w:r>
          </w:p>
        </w:tc>
        <w:tc>
          <w:tcPr>
            <w:tcW w:w="1134" w:type="dxa"/>
          </w:tcPr>
          <w:p>
            <w:pPr>
              <w:pStyle w:val="TableParagraph"/>
              <w:spacing w:before="24"/>
              <w:ind w:right="187"/>
              <w:jc w:val="center"/>
              <w:rPr>
                <w:b/>
                <w:sz w:val="18"/>
              </w:rPr>
            </w:pPr>
            <w:r>
              <w:rPr>
                <w:b/>
                <w:w w:val="99"/>
                <w:sz w:val="18"/>
              </w:rPr>
              <w:t>$</w:t>
            </w:r>
          </w:p>
        </w:tc>
      </w:tr>
      <w:tr>
        <w:trPr>
          <w:trHeight w:val="265" w:hRule="exact"/>
        </w:trPr>
        <w:tc>
          <w:tcPr>
            <w:tcW w:w="332" w:type="dxa"/>
          </w:tcPr>
          <w:p>
            <w:pPr/>
          </w:p>
        </w:tc>
        <w:tc>
          <w:tcPr>
            <w:tcW w:w="7025" w:type="dxa"/>
          </w:tcPr>
          <w:p>
            <w:pPr>
              <w:pStyle w:val="TableParagraph"/>
              <w:spacing w:before="22"/>
              <w:ind w:left="290"/>
              <w:rPr>
                <w:sz w:val="18"/>
              </w:rPr>
            </w:pPr>
            <w:r>
              <w:rPr>
                <w:sz w:val="18"/>
              </w:rPr>
              <w:t>Ordinary shares</w:t>
            </w:r>
          </w:p>
        </w:tc>
        <w:tc>
          <w:tcPr>
            <w:tcW w:w="1460" w:type="dxa"/>
            <w:tcBorders>
              <w:bottom w:val="single" w:sz="0" w:space="0" w:color="000000"/>
            </w:tcBorders>
          </w:tcPr>
          <w:p>
            <w:pPr>
              <w:pStyle w:val="TableParagraph"/>
              <w:spacing w:before="21"/>
              <w:ind w:right="249"/>
              <w:jc w:val="right"/>
              <w:rPr>
                <w:b/>
                <w:sz w:val="18"/>
              </w:rPr>
            </w:pPr>
            <w:r>
              <w:rPr>
                <w:b/>
                <w:w w:val="99"/>
                <w:sz w:val="18"/>
              </w:rPr>
              <w:t>1</w:t>
            </w:r>
          </w:p>
        </w:tc>
        <w:tc>
          <w:tcPr>
            <w:tcW w:w="1134" w:type="dxa"/>
            <w:tcBorders>
              <w:bottom w:val="single" w:sz="0" w:space="0" w:color="000000"/>
            </w:tcBorders>
          </w:tcPr>
          <w:p>
            <w:pPr>
              <w:pStyle w:val="TableParagraph"/>
              <w:spacing w:before="21"/>
              <w:ind w:right="85"/>
              <w:jc w:val="right"/>
              <w:rPr>
                <w:sz w:val="18"/>
              </w:rPr>
            </w:pPr>
            <w:r>
              <w:rPr>
                <w:w w:val="99"/>
                <w:sz w:val="18"/>
              </w:rPr>
              <w:t>1</w:t>
            </w:r>
          </w:p>
        </w:tc>
      </w:tr>
      <w:tr>
        <w:trPr>
          <w:trHeight w:val="353" w:hRule="exact"/>
        </w:trPr>
        <w:tc>
          <w:tcPr>
            <w:tcW w:w="332" w:type="dxa"/>
          </w:tcPr>
          <w:p>
            <w:pPr/>
          </w:p>
        </w:tc>
        <w:tc>
          <w:tcPr>
            <w:tcW w:w="7025" w:type="dxa"/>
          </w:tcPr>
          <w:p>
            <w:pPr>
              <w:pStyle w:val="TableParagraph"/>
              <w:spacing w:before="123"/>
              <w:ind w:left="98"/>
              <w:rPr>
                <w:b/>
                <w:sz w:val="18"/>
              </w:rPr>
            </w:pPr>
            <w:r>
              <w:rPr>
                <w:b/>
                <w:sz w:val="18"/>
              </w:rPr>
              <w:t>Total contributed equity</w:t>
            </w:r>
          </w:p>
        </w:tc>
        <w:tc>
          <w:tcPr>
            <w:tcW w:w="1460" w:type="dxa"/>
            <w:tcBorders>
              <w:top w:val="single" w:sz="0" w:space="0" w:color="000000"/>
              <w:bottom w:val="single" w:sz="0" w:space="0" w:color="000000"/>
            </w:tcBorders>
          </w:tcPr>
          <w:p>
            <w:pPr>
              <w:pStyle w:val="TableParagraph"/>
              <w:spacing w:before="122"/>
              <w:ind w:right="249"/>
              <w:jc w:val="right"/>
              <w:rPr>
                <w:b/>
                <w:sz w:val="18"/>
              </w:rPr>
            </w:pPr>
            <w:r>
              <w:rPr>
                <w:b/>
                <w:w w:val="99"/>
                <w:sz w:val="18"/>
              </w:rPr>
              <w:t>1</w:t>
            </w:r>
          </w:p>
        </w:tc>
        <w:tc>
          <w:tcPr>
            <w:tcW w:w="1134" w:type="dxa"/>
            <w:tcBorders>
              <w:top w:val="single" w:sz="0" w:space="0" w:color="000000"/>
              <w:bottom w:val="single" w:sz="0" w:space="0" w:color="000000"/>
            </w:tcBorders>
          </w:tcPr>
          <w:p>
            <w:pPr>
              <w:pStyle w:val="TableParagraph"/>
              <w:spacing w:before="122"/>
              <w:ind w:right="85"/>
              <w:jc w:val="right"/>
              <w:rPr>
                <w:sz w:val="18"/>
              </w:rPr>
            </w:pPr>
            <w:r>
              <w:rPr>
                <w:w w:val="99"/>
                <w:sz w:val="18"/>
              </w:rPr>
              <w:t>1</w:t>
            </w:r>
          </w:p>
        </w:tc>
      </w:tr>
    </w:tbl>
    <w:p>
      <w:pPr>
        <w:spacing w:after="0"/>
        <w:jc w:val="right"/>
        <w:rPr>
          <w:sz w:val="18"/>
        </w:rPr>
        <w:sectPr>
          <w:type w:val="continuous"/>
          <w:pgSz w:w="11910" w:h="16840"/>
          <w:pgMar w:top="1580" w:bottom="280" w:left="860" w:right="860"/>
        </w:sectPr>
      </w:pPr>
    </w:p>
    <w:p>
      <w:pPr>
        <w:pStyle w:val="BodyText"/>
        <w:rPr>
          <w:sz w:val="20"/>
        </w:rPr>
      </w:pPr>
    </w:p>
    <w:p>
      <w:pPr>
        <w:pStyle w:val="BodyText"/>
        <w:rPr>
          <w:sz w:val="20"/>
        </w:rPr>
      </w:pPr>
    </w:p>
    <w:p>
      <w:pPr>
        <w:pStyle w:val="BodyText"/>
        <w:spacing w:before="4"/>
      </w:pPr>
    </w:p>
    <w:p>
      <w:pPr>
        <w:pStyle w:val="Heading9"/>
        <w:numPr>
          <w:ilvl w:val="0"/>
          <w:numId w:val="49"/>
        </w:numPr>
        <w:tabs>
          <w:tab w:pos="506" w:val="left" w:leader="none"/>
        </w:tabs>
        <w:spacing w:line="240" w:lineRule="auto" w:before="0" w:after="0"/>
        <w:ind w:left="505" w:right="0" w:hanging="396"/>
        <w:jc w:val="left"/>
      </w:pPr>
      <w:r>
        <w:rPr/>
        <w:t>Capital and Leasing</w:t>
      </w:r>
      <w:r>
        <w:rPr>
          <w:spacing w:val="-1"/>
        </w:rPr>
        <w:t> </w:t>
      </w:r>
      <w:r>
        <w:rPr/>
        <w:t>Commitments</w:t>
      </w:r>
    </w:p>
    <w:p>
      <w:pPr>
        <w:pStyle w:val="BodyText"/>
        <w:spacing w:before="7"/>
        <w:rPr>
          <w:b/>
          <w:sz w:val="26"/>
        </w:rPr>
      </w:pPr>
    </w:p>
    <w:p>
      <w:pPr>
        <w:pStyle w:val="ListParagraph"/>
        <w:numPr>
          <w:ilvl w:val="1"/>
          <w:numId w:val="49"/>
        </w:numPr>
        <w:tabs>
          <w:tab w:pos="1072" w:val="left" w:leader="none"/>
        </w:tabs>
        <w:spacing w:line="240" w:lineRule="auto" w:before="0" w:after="0"/>
        <w:ind w:left="1071" w:right="0" w:hanging="566"/>
        <w:jc w:val="left"/>
        <w:rPr>
          <w:b/>
          <w:sz w:val="18"/>
        </w:rPr>
      </w:pPr>
      <w:r>
        <w:rPr>
          <w:b/>
          <w:sz w:val="18"/>
        </w:rPr>
        <w:t>Operating lease</w:t>
      </w:r>
      <w:r>
        <w:rPr>
          <w:b/>
          <w:spacing w:val="-1"/>
          <w:sz w:val="18"/>
        </w:rPr>
        <w:t> </w:t>
      </w:r>
      <w:r>
        <w:rPr>
          <w:b/>
          <w:sz w:val="18"/>
        </w:rPr>
        <w:t>commitments</w:t>
      </w:r>
    </w:p>
    <w:p>
      <w:pPr>
        <w:pStyle w:val="BodyText"/>
        <w:spacing w:before="4"/>
        <w:rPr>
          <w:b/>
          <w:sz w:val="25"/>
        </w:rPr>
      </w:pPr>
    </w:p>
    <w:p>
      <w:pPr>
        <w:pStyle w:val="BodyText"/>
        <w:ind w:left="1072" w:right="252"/>
      </w:pPr>
      <w:r>
        <w:rPr/>
        <w:t>The Company leases plant and office equipment under non-cancellable operating leases contracted for but not capitalised in the financial statements. The leases have renewal rights, whereby the terms of the lease are renegotiated.</w:t>
      </w:r>
    </w:p>
    <w:p>
      <w:pPr>
        <w:pStyle w:val="BodyText"/>
        <w:rPr>
          <w:sz w:val="20"/>
        </w:rPr>
      </w:pPr>
    </w:p>
    <w:p>
      <w:pPr>
        <w:pStyle w:val="BodyText"/>
        <w:spacing w:before="1"/>
        <w:rPr>
          <w:sz w:val="19"/>
        </w:rPr>
      </w:pPr>
    </w:p>
    <w:p>
      <w:pPr>
        <w:pStyle w:val="Heading9"/>
        <w:tabs>
          <w:tab w:pos="1282" w:val="left" w:leader="none"/>
        </w:tabs>
        <w:spacing w:before="78" w:after="36"/>
        <w:ind w:right="557"/>
        <w:jc w:val="right"/>
      </w:pPr>
      <w:r>
        <w:rPr/>
        <w:t>2017</w:t>
        <w:tab/>
      </w:r>
      <w:r>
        <w:rPr>
          <w:w w:val="95"/>
        </w:rPr>
        <w:t>2016</w:t>
      </w:r>
    </w:p>
    <w:tbl>
      <w:tblPr>
        <w:tblW w:w="0" w:type="auto"/>
        <w:jc w:val="left"/>
        <w:tblInd w:w="10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53"/>
        <w:gridCol w:w="1534"/>
        <w:gridCol w:w="1060"/>
      </w:tblGrid>
      <w:tr>
        <w:trPr>
          <w:trHeight w:val="544" w:hRule="exact"/>
        </w:trPr>
        <w:tc>
          <w:tcPr>
            <w:tcW w:w="6353" w:type="dxa"/>
          </w:tcPr>
          <w:p>
            <w:pPr>
              <w:pStyle w:val="TableParagraph"/>
              <w:rPr>
                <w:b/>
                <w:sz w:val="26"/>
              </w:rPr>
            </w:pPr>
          </w:p>
          <w:p>
            <w:pPr>
              <w:pStyle w:val="TableParagraph"/>
              <w:ind w:left="35"/>
              <w:rPr>
                <w:b/>
                <w:sz w:val="18"/>
              </w:rPr>
            </w:pPr>
            <w:r>
              <w:rPr>
                <w:b/>
                <w:sz w:val="18"/>
              </w:rPr>
              <w:t>Payable - minimum lease payments:</w:t>
            </w:r>
          </w:p>
        </w:tc>
        <w:tc>
          <w:tcPr>
            <w:tcW w:w="1534" w:type="dxa"/>
          </w:tcPr>
          <w:p>
            <w:pPr>
              <w:pStyle w:val="TableParagraph"/>
              <w:spacing w:before="30"/>
              <w:ind w:left="620"/>
              <w:rPr>
                <w:b/>
                <w:sz w:val="18"/>
              </w:rPr>
            </w:pPr>
            <w:r>
              <w:rPr>
                <w:b/>
                <w:w w:val="99"/>
                <w:sz w:val="18"/>
              </w:rPr>
              <w:t>$</w:t>
            </w:r>
          </w:p>
        </w:tc>
        <w:tc>
          <w:tcPr>
            <w:tcW w:w="1060" w:type="dxa"/>
          </w:tcPr>
          <w:p>
            <w:pPr>
              <w:pStyle w:val="TableParagraph"/>
              <w:spacing w:before="30"/>
              <w:ind w:left="368"/>
              <w:rPr>
                <w:b/>
                <w:sz w:val="18"/>
              </w:rPr>
            </w:pPr>
            <w:r>
              <w:rPr>
                <w:b/>
                <w:w w:val="99"/>
                <w:sz w:val="18"/>
              </w:rPr>
              <w:t>$</w:t>
            </w:r>
          </w:p>
        </w:tc>
      </w:tr>
      <w:tr>
        <w:trPr>
          <w:trHeight w:val="264" w:hRule="exact"/>
        </w:trPr>
        <w:tc>
          <w:tcPr>
            <w:tcW w:w="6353" w:type="dxa"/>
          </w:tcPr>
          <w:p>
            <w:pPr>
              <w:pStyle w:val="TableParagraph"/>
              <w:spacing w:before="18"/>
              <w:ind w:left="35"/>
              <w:rPr>
                <w:sz w:val="18"/>
              </w:rPr>
            </w:pPr>
            <w:r>
              <w:rPr>
                <w:sz w:val="18"/>
              </w:rPr>
              <w:t>- no later than 1 year</w:t>
            </w:r>
          </w:p>
        </w:tc>
        <w:tc>
          <w:tcPr>
            <w:tcW w:w="1534" w:type="dxa"/>
          </w:tcPr>
          <w:p>
            <w:pPr>
              <w:pStyle w:val="TableParagraph"/>
              <w:spacing w:before="19"/>
              <w:ind w:left="560"/>
              <w:rPr>
                <w:b/>
                <w:sz w:val="18"/>
              </w:rPr>
            </w:pPr>
            <w:r>
              <w:rPr>
                <w:b/>
                <w:sz w:val="18"/>
              </w:rPr>
              <w:t>307,480</w:t>
            </w:r>
          </w:p>
        </w:tc>
        <w:tc>
          <w:tcPr>
            <w:tcW w:w="1060" w:type="dxa"/>
          </w:tcPr>
          <w:p>
            <w:pPr>
              <w:pStyle w:val="TableParagraph"/>
              <w:spacing w:before="19"/>
              <w:ind w:left="323"/>
              <w:rPr>
                <w:sz w:val="18"/>
              </w:rPr>
            </w:pPr>
            <w:r>
              <w:rPr>
                <w:sz w:val="18"/>
              </w:rPr>
              <w:t>496,600</w:t>
            </w:r>
          </w:p>
        </w:tc>
      </w:tr>
      <w:tr>
        <w:trPr>
          <w:trHeight w:val="264" w:hRule="exact"/>
        </w:trPr>
        <w:tc>
          <w:tcPr>
            <w:tcW w:w="6353" w:type="dxa"/>
          </w:tcPr>
          <w:p>
            <w:pPr>
              <w:pStyle w:val="TableParagraph"/>
              <w:spacing w:before="18"/>
              <w:ind w:left="35"/>
              <w:rPr>
                <w:sz w:val="18"/>
              </w:rPr>
            </w:pPr>
            <w:r>
              <w:rPr>
                <w:sz w:val="18"/>
              </w:rPr>
              <w:t>- between 1 year and 5 years</w:t>
            </w:r>
          </w:p>
        </w:tc>
        <w:tc>
          <w:tcPr>
            <w:tcW w:w="1534" w:type="dxa"/>
          </w:tcPr>
          <w:p>
            <w:pPr>
              <w:pStyle w:val="TableParagraph"/>
              <w:spacing w:before="19"/>
              <w:ind w:left="560"/>
              <w:rPr>
                <w:b/>
                <w:sz w:val="18"/>
              </w:rPr>
            </w:pPr>
            <w:r>
              <w:rPr>
                <w:b/>
                <w:sz w:val="18"/>
              </w:rPr>
              <w:t>438,015</w:t>
            </w:r>
          </w:p>
        </w:tc>
        <w:tc>
          <w:tcPr>
            <w:tcW w:w="1060" w:type="dxa"/>
          </w:tcPr>
          <w:p>
            <w:pPr>
              <w:pStyle w:val="TableParagraph"/>
              <w:spacing w:before="19"/>
              <w:ind w:left="323"/>
              <w:rPr>
                <w:sz w:val="18"/>
              </w:rPr>
            </w:pPr>
            <w:r>
              <w:rPr>
                <w:sz w:val="18"/>
              </w:rPr>
              <w:t>194,769</w:t>
            </w:r>
          </w:p>
        </w:tc>
      </w:tr>
      <w:tr>
        <w:trPr>
          <w:trHeight w:val="263" w:hRule="exact"/>
        </w:trPr>
        <w:tc>
          <w:tcPr>
            <w:tcW w:w="6353" w:type="dxa"/>
          </w:tcPr>
          <w:p>
            <w:pPr>
              <w:pStyle w:val="TableParagraph"/>
              <w:spacing w:before="18"/>
              <w:ind w:left="35"/>
              <w:rPr>
                <w:sz w:val="18"/>
              </w:rPr>
            </w:pPr>
            <w:r>
              <w:rPr>
                <w:sz w:val="18"/>
              </w:rPr>
              <w:t>- greater than 5 years</w:t>
            </w:r>
          </w:p>
        </w:tc>
        <w:tc>
          <w:tcPr>
            <w:tcW w:w="1534" w:type="dxa"/>
            <w:tcBorders>
              <w:bottom w:val="single" w:sz="0" w:space="0" w:color="000000"/>
            </w:tcBorders>
          </w:tcPr>
          <w:p>
            <w:pPr>
              <w:pStyle w:val="TableParagraph"/>
              <w:spacing w:before="19"/>
              <w:ind w:right="193"/>
              <w:jc w:val="center"/>
              <w:rPr>
                <w:b/>
                <w:sz w:val="18"/>
              </w:rPr>
            </w:pPr>
            <w:r>
              <w:rPr>
                <w:b/>
                <w:w w:val="99"/>
                <w:sz w:val="18"/>
              </w:rPr>
              <w:t>-</w:t>
            </w:r>
          </w:p>
        </w:tc>
        <w:tc>
          <w:tcPr>
            <w:tcW w:w="1060" w:type="dxa"/>
            <w:tcBorders>
              <w:bottom w:val="single" w:sz="0" w:space="0" w:color="000000"/>
            </w:tcBorders>
          </w:tcPr>
          <w:p>
            <w:pPr>
              <w:pStyle w:val="TableParagraph"/>
              <w:spacing w:before="19"/>
              <w:ind w:right="221"/>
              <w:jc w:val="center"/>
              <w:rPr>
                <w:sz w:val="18"/>
              </w:rPr>
            </w:pPr>
            <w:r>
              <w:rPr>
                <w:w w:val="99"/>
                <w:sz w:val="18"/>
              </w:rPr>
              <w:t>-</w:t>
            </w:r>
          </w:p>
        </w:tc>
      </w:tr>
      <w:tr>
        <w:trPr>
          <w:trHeight w:val="359" w:hRule="exact"/>
        </w:trPr>
        <w:tc>
          <w:tcPr>
            <w:tcW w:w="6353" w:type="dxa"/>
          </w:tcPr>
          <w:p>
            <w:pPr>
              <w:pStyle w:val="TableParagraph"/>
              <w:spacing w:before="123"/>
              <w:ind w:left="35"/>
              <w:rPr>
                <w:b/>
                <w:sz w:val="18"/>
              </w:rPr>
            </w:pPr>
            <w:r>
              <w:rPr>
                <w:b/>
                <w:sz w:val="18"/>
              </w:rPr>
              <w:t>Total future minimum lease payments</w:t>
            </w:r>
          </w:p>
        </w:tc>
        <w:tc>
          <w:tcPr>
            <w:tcW w:w="1534" w:type="dxa"/>
            <w:tcBorders>
              <w:top w:val="single" w:sz="0" w:space="0" w:color="000000"/>
              <w:bottom w:val="single" w:sz="0" w:space="0" w:color="000000"/>
            </w:tcBorders>
          </w:tcPr>
          <w:p>
            <w:pPr>
              <w:pStyle w:val="TableParagraph"/>
              <w:spacing w:before="122"/>
              <w:ind w:left="560"/>
              <w:rPr>
                <w:b/>
                <w:sz w:val="18"/>
              </w:rPr>
            </w:pPr>
            <w:r>
              <w:rPr>
                <w:b/>
                <w:sz w:val="18"/>
              </w:rPr>
              <w:t>745,495</w:t>
            </w:r>
          </w:p>
        </w:tc>
        <w:tc>
          <w:tcPr>
            <w:tcW w:w="1060" w:type="dxa"/>
            <w:tcBorders>
              <w:top w:val="single" w:sz="0" w:space="0" w:color="000000"/>
              <w:bottom w:val="single" w:sz="0" w:space="0" w:color="000000"/>
            </w:tcBorders>
          </w:tcPr>
          <w:p>
            <w:pPr>
              <w:pStyle w:val="TableParagraph"/>
              <w:spacing w:before="122"/>
              <w:ind w:left="323"/>
              <w:rPr>
                <w:sz w:val="18"/>
              </w:rPr>
            </w:pPr>
            <w:r>
              <w:rPr>
                <w:sz w:val="18"/>
              </w:rPr>
              <w:t>691,369</w:t>
            </w:r>
          </w:p>
        </w:tc>
      </w:tr>
    </w:tbl>
    <w:p>
      <w:pPr>
        <w:pStyle w:val="BodyText"/>
        <w:rPr>
          <w:b/>
          <w:sz w:val="20"/>
        </w:rPr>
      </w:pPr>
    </w:p>
    <w:p>
      <w:pPr>
        <w:pStyle w:val="BodyText"/>
        <w:rPr>
          <w:b/>
          <w:sz w:val="20"/>
        </w:rPr>
      </w:pPr>
    </w:p>
    <w:p>
      <w:pPr>
        <w:pStyle w:val="BodyText"/>
        <w:spacing w:before="8"/>
        <w:rPr>
          <w:b/>
          <w:sz w:val="25"/>
        </w:rPr>
      </w:pPr>
    </w:p>
    <w:p>
      <w:pPr>
        <w:pStyle w:val="ListParagraph"/>
        <w:numPr>
          <w:ilvl w:val="1"/>
          <w:numId w:val="49"/>
        </w:numPr>
        <w:tabs>
          <w:tab w:pos="1072" w:val="left" w:leader="none"/>
        </w:tabs>
        <w:spacing w:line="240" w:lineRule="auto" w:before="77" w:after="0"/>
        <w:ind w:left="1071" w:right="0" w:hanging="566"/>
        <w:jc w:val="left"/>
        <w:rPr>
          <w:b/>
          <w:sz w:val="18"/>
        </w:rPr>
      </w:pPr>
      <w:r>
        <w:rPr>
          <w:b/>
          <w:sz w:val="18"/>
        </w:rPr>
        <w:t>Capital commitments</w:t>
      </w:r>
    </w:p>
    <w:p>
      <w:pPr>
        <w:pStyle w:val="BodyText"/>
        <w:rPr>
          <w:b/>
          <w:sz w:val="20"/>
        </w:rPr>
      </w:pPr>
    </w:p>
    <w:p>
      <w:pPr>
        <w:pStyle w:val="BodyText"/>
        <w:spacing w:before="6"/>
        <w:rPr>
          <w:b/>
          <w:sz w:val="19"/>
        </w:rPr>
      </w:pPr>
    </w:p>
    <w:p>
      <w:pPr>
        <w:spacing w:after="0"/>
        <w:rPr>
          <w:sz w:val="19"/>
        </w:rPr>
        <w:sectPr>
          <w:pgSz w:w="11910" w:h="16840"/>
          <w:pgMar w:header="1038" w:footer="507" w:top="2680" w:bottom="700" w:left="900" w:right="860"/>
        </w:sectPr>
      </w:pPr>
    </w:p>
    <w:p>
      <w:pPr>
        <w:pStyle w:val="BodyText"/>
        <w:rPr>
          <w:b/>
        </w:rPr>
      </w:pPr>
    </w:p>
    <w:p>
      <w:pPr>
        <w:pStyle w:val="BodyText"/>
        <w:rPr>
          <w:b/>
        </w:rPr>
      </w:pPr>
    </w:p>
    <w:p>
      <w:pPr>
        <w:pStyle w:val="BodyText"/>
        <w:spacing w:before="2"/>
        <w:rPr>
          <w:b/>
          <w:sz w:val="25"/>
        </w:rPr>
      </w:pPr>
    </w:p>
    <w:p>
      <w:pPr>
        <w:spacing w:before="0"/>
        <w:ind w:left="1117" w:right="-20" w:firstLine="0"/>
        <w:jc w:val="left"/>
        <w:rPr>
          <w:b/>
          <w:sz w:val="18"/>
        </w:rPr>
      </w:pPr>
      <w:r>
        <w:rPr>
          <w:b/>
          <w:sz w:val="18"/>
        </w:rPr>
        <w:t>Capital expenditure commitments contracted for:</w:t>
      </w:r>
    </w:p>
    <w:p>
      <w:pPr>
        <w:spacing w:before="78"/>
        <w:ind w:left="0" w:right="0" w:firstLine="0"/>
        <w:jc w:val="right"/>
        <w:rPr>
          <w:b/>
          <w:sz w:val="18"/>
        </w:rPr>
      </w:pPr>
      <w:r>
        <w:rPr/>
        <w:br w:type="column"/>
      </w:r>
      <w:r>
        <w:rPr>
          <w:b/>
          <w:sz w:val="18"/>
        </w:rPr>
        <w:t>2017</w:t>
      </w:r>
    </w:p>
    <w:p>
      <w:pPr>
        <w:spacing w:before="66"/>
        <w:ind w:left="0" w:right="148" w:firstLine="0"/>
        <w:jc w:val="right"/>
        <w:rPr>
          <w:b/>
          <w:sz w:val="18"/>
        </w:rPr>
      </w:pPr>
      <w:r>
        <w:rPr>
          <w:b/>
          <w:w w:val="99"/>
          <w:sz w:val="18"/>
        </w:rPr>
        <w:t>$</w:t>
      </w:r>
    </w:p>
    <w:p>
      <w:pPr>
        <w:spacing w:before="78"/>
        <w:ind w:left="824" w:right="540" w:firstLine="0"/>
        <w:jc w:val="center"/>
        <w:rPr>
          <w:b/>
          <w:sz w:val="18"/>
        </w:rPr>
      </w:pPr>
      <w:r>
        <w:rPr/>
        <w:br w:type="column"/>
      </w:r>
      <w:r>
        <w:rPr>
          <w:b/>
          <w:sz w:val="18"/>
        </w:rPr>
        <w:t>2016</w:t>
      </w:r>
    </w:p>
    <w:p>
      <w:pPr>
        <w:spacing w:before="66"/>
        <w:ind w:left="283" w:right="0" w:firstLine="0"/>
        <w:jc w:val="center"/>
        <w:rPr>
          <w:b/>
          <w:sz w:val="18"/>
        </w:rPr>
      </w:pPr>
      <w:r>
        <w:rPr>
          <w:b/>
          <w:w w:val="99"/>
          <w:sz w:val="18"/>
        </w:rPr>
        <w:t>$</w:t>
      </w:r>
    </w:p>
    <w:p>
      <w:pPr>
        <w:spacing w:after="0"/>
        <w:jc w:val="center"/>
        <w:rPr>
          <w:sz w:val="18"/>
        </w:rPr>
        <w:sectPr>
          <w:type w:val="continuous"/>
          <w:pgSz w:w="11910" w:h="16840"/>
          <w:pgMar w:top="1580" w:bottom="280" w:left="900" w:right="860"/>
          <w:cols w:num="3" w:equalWidth="0">
            <w:col w:w="5328" w:space="1458"/>
            <w:col w:w="1518" w:space="40"/>
            <w:col w:w="1806"/>
          </w:cols>
        </w:sectPr>
      </w:pPr>
    </w:p>
    <w:p>
      <w:pPr>
        <w:pStyle w:val="ListParagraph"/>
        <w:numPr>
          <w:ilvl w:val="0"/>
          <w:numId w:val="50"/>
        </w:numPr>
        <w:tabs>
          <w:tab w:pos="1227" w:val="left" w:leader="none"/>
          <w:tab w:pos="8192" w:val="left" w:leader="none"/>
          <w:tab w:pos="9289" w:val="left" w:leader="none"/>
        </w:tabs>
        <w:spacing w:line="240" w:lineRule="auto" w:before="28" w:after="0"/>
        <w:ind w:left="1227" w:right="0" w:hanging="110"/>
        <w:jc w:val="left"/>
        <w:rPr>
          <w:sz w:val="18"/>
        </w:rPr>
      </w:pPr>
      <w:r>
        <w:rPr>
          <w:sz w:val="18"/>
        </w:rPr>
        <w:t>no later than</w:t>
      </w:r>
      <w:r>
        <w:rPr>
          <w:spacing w:val="-1"/>
          <w:sz w:val="18"/>
        </w:rPr>
        <w:t> </w:t>
      </w:r>
      <w:r>
        <w:rPr>
          <w:sz w:val="18"/>
        </w:rPr>
        <w:t>1</w:t>
      </w:r>
      <w:r>
        <w:rPr>
          <w:spacing w:val="-1"/>
          <w:sz w:val="18"/>
        </w:rPr>
        <w:t> </w:t>
      </w:r>
      <w:r>
        <w:rPr>
          <w:sz w:val="18"/>
        </w:rPr>
        <w:t>year</w:t>
        <w:tab/>
      </w:r>
      <w:r>
        <w:rPr>
          <w:b/>
          <w:sz w:val="18"/>
        </w:rPr>
        <w:t>8,806</w:t>
        <w:tab/>
      </w:r>
      <w:r>
        <w:rPr>
          <w:sz w:val="18"/>
        </w:rPr>
        <w:t>365,312</w:t>
      </w:r>
    </w:p>
    <w:p>
      <w:pPr>
        <w:pStyle w:val="ListParagraph"/>
        <w:numPr>
          <w:ilvl w:val="0"/>
          <w:numId w:val="50"/>
        </w:numPr>
        <w:tabs>
          <w:tab w:pos="1228" w:val="left" w:leader="none"/>
          <w:tab w:pos="8072" w:val="left" w:leader="none"/>
          <w:tab w:pos="9355" w:val="left" w:leader="none"/>
        </w:tabs>
        <w:spacing w:line="240" w:lineRule="auto" w:before="57" w:after="0"/>
        <w:ind w:left="1227" w:right="0" w:hanging="110"/>
        <w:jc w:val="left"/>
        <w:rPr>
          <w:sz w:val="18"/>
        </w:rPr>
      </w:pPr>
      <w:r>
        <w:rPr>
          <w:sz w:val="18"/>
        </w:rPr>
        <w:t>between 1 year and</w:t>
      </w:r>
      <w:r>
        <w:rPr>
          <w:spacing w:val="-1"/>
          <w:sz w:val="18"/>
        </w:rPr>
        <w:t> </w:t>
      </w:r>
      <w:r>
        <w:rPr>
          <w:sz w:val="18"/>
        </w:rPr>
        <w:t>5</w:t>
      </w:r>
      <w:r>
        <w:rPr>
          <w:spacing w:val="-1"/>
          <w:sz w:val="18"/>
        </w:rPr>
        <w:t> </w:t>
      </w:r>
      <w:r>
        <w:rPr>
          <w:sz w:val="18"/>
        </w:rPr>
        <w:t>years</w:t>
        <w:tab/>
      </w:r>
      <w:r>
        <w:rPr>
          <w:b/>
          <w:sz w:val="18"/>
        </w:rPr>
        <w:t>-</w:t>
        <w:tab/>
      </w:r>
      <w:r>
        <w:rPr>
          <w:sz w:val="18"/>
        </w:rPr>
        <w:t>-</w:t>
      </w:r>
    </w:p>
    <w:p>
      <w:pPr>
        <w:pStyle w:val="ListParagraph"/>
        <w:numPr>
          <w:ilvl w:val="0"/>
          <w:numId w:val="50"/>
        </w:numPr>
        <w:tabs>
          <w:tab w:pos="1228" w:val="left" w:leader="none"/>
          <w:tab w:pos="8072" w:val="left" w:leader="none"/>
          <w:tab w:pos="9355" w:val="left" w:leader="none"/>
        </w:tabs>
        <w:spacing w:line="240" w:lineRule="auto" w:before="57" w:after="0"/>
        <w:ind w:left="1227" w:right="0" w:hanging="110"/>
        <w:jc w:val="left"/>
        <w:rPr>
          <w:sz w:val="18"/>
        </w:rPr>
      </w:pPr>
      <w:r>
        <w:rPr/>
        <w:pict>
          <v:group style="position:absolute;margin-left:416.529999pt;margin-top:14.536202pt;width:129.85pt;height:1pt;mso-position-horizontal-relative:page;mso-position-vertical-relative:paragraph;z-index:2728;mso-wrap-distance-left:0;mso-wrap-distance-right:0" coordorigin="8331,291" coordsize="2597,20">
            <v:line style="position:absolute" from="8332,292" to="9629,292" stroked="true" strokeweight=".06pt" strokecolor="#000000"/>
            <v:line style="position:absolute" from="8332,293" to="9629,293" stroked="true" strokeweight=".06pt" strokecolor="#000000"/>
            <v:line style="position:absolute" from="8332,294" to="9629,294" stroked="true" strokeweight=".06pt" strokecolor="#000000"/>
            <v:line style="position:absolute" from="8332,295" to="9629,295" stroked="true" strokeweight=".06pt" strokecolor="#000000"/>
            <v:line style="position:absolute" from="8332,297" to="9629,297" stroked="true" strokeweight=".06pt" strokecolor="#000000"/>
            <v:line style="position:absolute" from="8332,298" to="9629,298" stroked="true" strokeweight=".06pt" strokecolor="#000000"/>
            <v:line style="position:absolute" from="8332,299" to="9629,299" stroked="true" strokeweight=".06pt" strokecolor="#000000"/>
            <v:line style="position:absolute" from="8332,300" to="9629,300" stroked="true" strokeweight=".06pt" strokecolor="#000000"/>
            <v:line style="position:absolute" from="8332,301" to="9629,301" stroked="true" strokeweight=".06pt" strokecolor="#000000"/>
            <v:line style="position:absolute" from="8332,303" to="9629,303" stroked="true" strokeweight=".06pt" strokecolor="#000000"/>
            <v:line style="position:absolute" from="8332,304" to="9629,304" stroked="true" strokeweight=".06pt" strokecolor="#000000"/>
            <v:line style="position:absolute" from="8332,305" to="9629,305" stroked="true" strokeweight=".06pt" strokecolor="#000000"/>
            <v:line style="position:absolute" from="8332,306" to="9629,306" stroked="true" strokeweight=".06pt" strokecolor="#000000"/>
            <v:line style="position:absolute" from="8332,307" to="9629,307" stroked="true" strokeweight=".06pt" strokecolor="#000000"/>
            <v:line style="position:absolute" from="8332,309" to="9629,309" stroked="true" strokeweight=".06pt" strokecolor="#000000"/>
            <v:line style="position:absolute" from="8332,310" to="9629,310" stroked="true" strokeweight=".06pt" strokecolor="#000000"/>
            <v:line style="position:absolute" from="9629,292" to="10926,292" stroked="true" strokeweight=".06pt" strokecolor="#000000"/>
            <v:line style="position:absolute" from="9629,293" to="10926,293" stroked="true" strokeweight=".06pt" strokecolor="#000000"/>
            <v:line style="position:absolute" from="9629,294" to="10926,294" stroked="true" strokeweight=".06pt" strokecolor="#000000"/>
            <v:line style="position:absolute" from="9629,295" to="10926,295" stroked="true" strokeweight=".06pt" strokecolor="#000000"/>
            <v:line style="position:absolute" from="9629,297" to="10926,297" stroked="true" strokeweight=".06pt" strokecolor="#000000"/>
            <v:line style="position:absolute" from="9629,298" to="10926,298" stroked="true" strokeweight=".06pt" strokecolor="#000000"/>
            <v:line style="position:absolute" from="9629,299" to="10926,299" stroked="true" strokeweight=".06pt" strokecolor="#000000"/>
            <v:line style="position:absolute" from="9629,300" to="10926,300" stroked="true" strokeweight=".06pt" strokecolor="#000000"/>
            <v:line style="position:absolute" from="9629,301" to="10926,301" stroked="true" strokeweight=".06pt" strokecolor="#000000"/>
            <v:line style="position:absolute" from="9629,303" to="10926,303" stroked="true" strokeweight=".06pt" strokecolor="#000000"/>
            <v:line style="position:absolute" from="9629,304" to="10926,304" stroked="true" strokeweight=".06pt" strokecolor="#000000"/>
            <v:line style="position:absolute" from="9629,305" to="10926,305" stroked="true" strokeweight=".06pt" strokecolor="#000000"/>
            <v:line style="position:absolute" from="9629,306" to="10926,306" stroked="true" strokeweight=".06pt" strokecolor="#000000"/>
            <v:line style="position:absolute" from="9629,307" to="10926,307" stroked="true" strokeweight=".06pt" strokecolor="#000000"/>
            <v:line style="position:absolute" from="9629,309" to="10926,309" stroked="true" strokeweight=".06pt" strokecolor="#000000"/>
            <v:line style="position:absolute" from="9629,310" to="10926,310" stroked="true" strokeweight=".06pt" strokecolor="#000000"/>
            <v:line style="position:absolute" from="8332,292" to="9629,292" stroked="true" strokeweight=".06pt" strokecolor="#000000"/>
            <v:line style="position:absolute" from="8332,293" to="9629,293" stroked="true" strokeweight=".06pt" strokecolor="#000000"/>
            <v:line style="position:absolute" from="8332,294" to="9629,294" stroked="true" strokeweight=".06pt" strokecolor="#000000"/>
            <v:line style="position:absolute" from="8332,295" to="9629,295" stroked="true" strokeweight=".06pt" strokecolor="#000000"/>
            <v:line style="position:absolute" from="8332,297" to="9629,297" stroked="true" strokeweight=".06pt" strokecolor="#000000"/>
            <v:line style="position:absolute" from="8332,298" to="9629,298" stroked="true" strokeweight=".06pt" strokecolor="#000000"/>
            <v:line style="position:absolute" from="8332,299" to="9629,299" stroked="true" strokeweight=".06pt" strokecolor="#000000"/>
            <v:line style="position:absolute" from="8332,300" to="9629,300" stroked="true" strokeweight=".06pt" strokecolor="#000000"/>
            <v:line style="position:absolute" from="8332,301" to="9629,301" stroked="true" strokeweight=".06pt" strokecolor="#000000"/>
            <v:line style="position:absolute" from="8332,303" to="9629,303" stroked="true" strokeweight=".06pt" strokecolor="#000000"/>
            <v:line style="position:absolute" from="8332,304" to="9629,304" stroked="true" strokeweight=".06pt" strokecolor="#000000"/>
            <v:line style="position:absolute" from="8332,305" to="9629,305" stroked="true" strokeweight=".06pt" strokecolor="#000000"/>
            <v:line style="position:absolute" from="8332,306" to="9629,306" stroked="true" strokeweight=".06pt" strokecolor="#000000"/>
            <v:line style="position:absolute" from="8332,307" to="9629,307" stroked="true" strokeweight=".06pt" strokecolor="#000000"/>
            <v:line style="position:absolute" from="8332,309" to="9629,309" stroked="true" strokeweight=".06pt" strokecolor="#000000"/>
            <v:line style="position:absolute" from="8332,310" to="9629,310" stroked="true" strokeweight=".06pt" strokecolor="#000000"/>
            <v:line style="position:absolute" from="9629,292" to="10926,292" stroked="true" strokeweight=".06pt" strokecolor="#000000"/>
            <v:line style="position:absolute" from="9629,293" to="10926,293" stroked="true" strokeweight=".06pt" strokecolor="#000000"/>
            <v:line style="position:absolute" from="9629,294" to="10926,294" stroked="true" strokeweight=".06pt" strokecolor="#000000"/>
            <v:line style="position:absolute" from="9629,295" to="10926,295" stroked="true" strokeweight=".06pt" strokecolor="#000000"/>
            <v:line style="position:absolute" from="9629,297" to="10926,297" stroked="true" strokeweight=".06pt" strokecolor="#000000"/>
            <v:line style="position:absolute" from="9629,298" to="10926,298" stroked="true" strokeweight=".06pt" strokecolor="#000000"/>
            <v:line style="position:absolute" from="9629,299" to="10926,299" stroked="true" strokeweight=".06pt" strokecolor="#000000"/>
            <v:line style="position:absolute" from="9629,300" to="10926,300" stroked="true" strokeweight=".06pt" strokecolor="#000000"/>
            <v:line style="position:absolute" from="9629,301" to="10926,301" stroked="true" strokeweight=".06pt" strokecolor="#000000"/>
            <v:line style="position:absolute" from="9629,303" to="10926,303" stroked="true" strokeweight=".06pt" strokecolor="#000000"/>
            <v:line style="position:absolute" from="9629,304" to="10926,304" stroked="true" strokeweight=".06pt" strokecolor="#000000"/>
            <v:line style="position:absolute" from="9629,305" to="10926,305" stroked="true" strokeweight=".06pt" strokecolor="#000000"/>
            <v:line style="position:absolute" from="9629,306" to="10926,306" stroked="true" strokeweight=".06pt" strokecolor="#000000"/>
            <v:line style="position:absolute" from="9629,307" to="10926,307" stroked="true" strokeweight=".06pt" strokecolor="#000000"/>
            <v:line style="position:absolute" from="9629,309" to="10926,309" stroked="true" strokeweight=".06pt" strokecolor="#000000"/>
            <v:line style="position:absolute" from="9629,310" to="10926,310" stroked="true" strokeweight=".06pt" strokecolor="#000000"/>
            <w10:wrap type="topAndBottom"/>
          </v:group>
        </w:pict>
      </w:r>
      <w:r>
        <w:rPr>
          <w:sz w:val="18"/>
        </w:rPr>
        <w:t>greater than</w:t>
      </w:r>
      <w:r>
        <w:rPr>
          <w:spacing w:val="-1"/>
          <w:sz w:val="18"/>
        </w:rPr>
        <w:t> </w:t>
      </w:r>
      <w:r>
        <w:rPr>
          <w:sz w:val="18"/>
        </w:rPr>
        <w:t>5</w:t>
      </w:r>
      <w:r>
        <w:rPr>
          <w:spacing w:val="-1"/>
          <w:sz w:val="18"/>
        </w:rPr>
        <w:t> </w:t>
      </w:r>
      <w:r>
        <w:rPr>
          <w:sz w:val="18"/>
        </w:rPr>
        <w:t>years</w:t>
        <w:tab/>
      </w:r>
      <w:r>
        <w:rPr>
          <w:b/>
          <w:sz w:val="18"/>
        </w:rPr>
        <w:t>-</w:t>
        <w:tab/>
      </w:r>
      <w:r>
        <w:rPr>
          <w:sz w:val="18"/>
        </w:rPr>
        <w:t>-</w:t>
      </w:r>
    </w:p>
    <w:p>
      <w:pPr>
        <w:pStyle w:val="Heading9"/>
        <w:tabs>
          <w:tab w:pos="8192" w:val="left" w:leader="none"/>
          <w:tab w:pos="9289" w:val="left" w:leader="none"/>
        </w:tabs>
        <w:spacing w:before="84"/>
        <w:ind w:left="1117" w:right="161"/>
        <w:rPr>
          <w:b w:val="0"/>
        </w:rPr>
      </w:pPr>
      <w:r>
        <w:rPr/>
        <w:t>Total capital commitments</w:t>
        <w:tab/>
        <w:t>8,806</w:t>
        <w:tab/>
      </w:r>
      <w:r>
        <w:rPr>
          <w:b w:val="0"/>
        </w:rPr>
        <w:t>365,312</w:t>
      </w:r>
    </w:p>
    <w:p>
      <w:pPr>
        <w:pStyle w:val="BodyText"/>
        <w:spacing w:line="50" w:lineRule="exact"/>
        <w:ind w:left="7430"/>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rPr>
          <w:sz w:val="20"/>
        </w:rPr>
      </w:pPr>
    </w:p>
    <w:p>
      <w:pPr>
        <w:pStyle w:val="BodyText"/>
        <w:rPr>
          <w:sz w:val="20"/>
        </w:rPr>
      </w:pPr>
    </w:p>
    <w:p>
      <w:pPr>
        <w:pStyle w:val="BodyText"/>
        <w:spacing w:before="10"/>
        <w:rPr>
          <w:sz w:val="22"/>
        </w:rPr>
      </w:pPr>
    </w:p>
    <w:p>
      <w:pPr>
        <w:pStyle w:val="ListParagraph"/>
        <w:numPr>
          <w:ilvl w:val="1"/>
          <w:numId w:val="49"/>
        </w:numPr>
        <w:tabs>
          <w:tab w:pos="1072" w:val="left" w:leader="none"/>
        </w:tabs>
        <w:spacing w:line="240" w:lineRule="auto" w:before="77" w:after="0"/>
        <w:ind w:left="1071" w:right="0" w:hanging="566"/>
        <w:jc w:val="left"/>
        <w:rPr>
          <w:b/>
          <w:sz w:val="18"/>
        </w:rPr>
      </w:pPr>
      <w:r>
        <w:rPr>
          <w:b/>
          <w:sz w:val="18"/>
        </w:rPr>
        <w:t>Expenditure commitments from joint venture entities</w:t>
      </w:r>
    </w:p>
    <w:p>
      <w:pPr>
        <w:pStyle w:val="BodyText"/>
        <w:spacing w:before="4"/>
        <w:rPr>
          <w:b/>
          <w:sz w:val="20"/>
        </w:rPr>
      </w:pPr>
    </w:p>
    <w:p>
      <w:pPr>
        <w:spacing w:after="0"/>
        <w:rPr>
          <w:sz w:val="20"/>
        </w:rPr>
        <w:sectPr>
          <w:type w:val="continuous"/>
          <w:pgSz w:w="11910" w:h="16840"/>
          <w:pgMar w:top="1580" w:bottom="280" w:left="900" w:right="860"/>
        </w:sectPr>
      </w:pPr>
    </w:p>
    <w:p>
      <w:pPr>
        <w:pStyle w:val="BodyText"/>
        <w:rPr>
          <w:b/>
        </w:rPr>
      </w:pPr>
    </w:p>
    <w:p>
      <w:pPr>
        <w:pStyle w:val="BodyText"/>
        <w:rPr>
          <w:b/>
        </w:rPr>
      </w:pPr>
    </w:p>
    <w:p>
      <w:pPr>
        <w:pStyle w:val="BodyText"/>
        <w:spacing w:before="2"/>
        <w:rPr>
          <w:b/>
          <w:sz w:val="25"/>
        </w:rPr>
      </w:pPr>
    </w:p>
    <w:p>
      <w:pPr>
        <w:spacing w:before="0"/>
        <w:ind w:left="1115" w:right="-19" w:firstLine="0"/>
        <w:jc w:val="left"/>
        <w:rPr>
          <w:b/>
          <w:sz w:val="18"/>
        </w:rPr>
      </w:pPr>
      <w:r>
        <w:rPr>
          <w:b/>
          <w:sz w:val="18"/>
        </w:rPr>
        <w:t>Capital expenditure commitments contracted for:</w:t>
      </w:r>
    </w:p>
    <w:p>
      <w:pPr>
        <w:spacing w:before="77"/>
        <w:ind w:left="0" w:right="0" w:firstLine="0"/>
        <w:jc w:val="right"/>
        <w:rPr>
          <w:b/>
          <w:sz w:val="18"/>
        </w:rPr>
      </w:pPr>
      <w:r>
        <w:rPr/>
        <w:br w:type="column"/>
      </w:r>
      <w:r>
        <w:rPr>
          <w:b/>
          <w:sz w:val="18"/>
        </w:rPr>
        <w:t>2017</w:t>
      </w:r>
    </w:p>
    <w:p>
      <w:pPr>
        <w:spacing w:before="66"/>
        <w:ind w:left="0" w:right="148" w:firstLine="0"/>
        <w:jc w:val="right"/>
        <w:rPr>
          <w:b/>
          <w:sz w:val="18"/>
        </w:rPr>
      </w:pPr>
      <w:r>
        <w:rPr>
          <w:b/>
          <w:w w:val="99"/>
          <w:sz w:val="18"/>
        </w:rPr>
        <w:t>$</w:t>
      </w:r>
    </w:p>
    <w:p>
      <w:pPr>
        <w:spacing w:before="77"/>
        <w:ind w:left="824" w:right="542" w:firstLine="0"/>
        <w:jc w:val="center"/>
        <w:rPr>
          <w:b/>
          <w:sz w:val="18"/>
        </w:rPr>
      </w:pPr>
      <w:r>
        <w:rPr/>
        <w:br w:type="column"/>
      </w:r>
      <w:r>
        <w:rPr>
          <w:b/>
          <w:sz w:val="18"/>
        </w:rPr>
        <w:t>2016</w:t>
      </w:r>
    </w:p>
    <w:p>
      <w:pPr>
        <w:spacing w:before="66"/>
        <w:ind w:left="282" w:right="0" w:firstLine="0"/>
        <w:jc w:val="center"/>
        <w:rPr>
          <w:b/>
          <w:sz w:val="18"/>
        </w:rPr>
      </w:pPr>
      <w:r>
        <w:rPr>
          <w:b/>
          <w:w w:val="99"/>
          <w:sz w:val="18"/>
        </w:rPr>
        <w:t>$</w:t>
      </w:r>
    </w:p>
    <w:p>
      <w:pPr>
        <w:spacing w:after="0"/>
        <w:jc w:val="center"/>
        <w:rPr>
          <w:sz w:val="18"/>
        </w:rPr>
        <w:sectPr>
          <w:type w:val="continuous"/>
          <w:pgSz w:w="11910" w:h="16840"/>
          <w:pgMar w:top="1580" w:bottom="280" w:left="900" w:right="860"/>
          <w:cols w:num="3" w:equalWidth="0">
            <w:col w:w="5327" w:space="1459"/>
            <w:col w:w="1517" w:space="40"/>
            <w:col w:w="1807"/>
          </w:cols>
        </w:sectPr>
      </w:pPr>
    </w:p>
    <w:p>
      <w:pPr>
        <w:pStyle w:val="ListParagraph"/>
        <w:numPr>
          <w:ilvl w:val="0"/>
          <w:numId w:val="51"/>
        </w:numPr>
        <w:tabs>
          <w:tab w:pos="1226" w:val="left" w:leader="none"/>
          <w:tab w:pos="8071" w:val="left" w:leader="none"/>
          <w:tab w:pos="9287" w:val="left" w:leader="none"/>
        </w:tabs>
        <w:spacing w:line="240" w:lineRule="auto" w:before="28" w:after="0"/>
        <w:ind w:left="1225" w:right="0" w:hanging="110"/>
        <w:jc w:val="left"/>
        <w:rPr>
          <w:sz w:val="18"/>
        </w:rPr>
      </w:pPr>
      <w:r>
        <w:rPr>
          <w:sz w:val="18"/>
        </w:rPr>
        <w:t>no later than</w:t>
      </w:r>
      <w:r>
        <w:rPr>
          <w:spacing w:val="-1"/>
          <w:sz w:val="18"/>
        </w:rPr>
        <w:t> </w:t>
      </w:r>
      <w:r>
        <w:rPr>
          <w:sz w:val="18"/>
        </w:rPr>
        <w:t>1</w:t>
      </w:r>
      <w:r>
        <w:rPr>
          <w:spacing w:val="-1"/>
          <w:sz w:val="18"/>
        </w:rPr>
        <w:t> </w:t>
      </w:r>
      <w:r>
        <w:rPr>
          <w:sz w:val="18"/>
        </w:rPr>
        <w:t>year</w:t>
        <w:tab/>
      </w:r>
      <w:r>
        <w:rPr>
          <w:b/>
          <w:sz w:val="18"/>
        </w:rPr>
        <w:t>-</w:t>
        <w:tab/>
      </w:r>
      <w:r>
        <w:rPr>
          <w:sz w:val="18"/>
        </w:rPr>
        <w:t>101,408</w:t>
      </w:r>
    </w:p>
    <w:p>
      <w:pPr>
        <w:pStyle w:val="ListParagraph"/>
        <w:numPr>
          <w:ilvl w:val="0"/>
          <w:numId w:val="51"/>
        </w:numPr>
        <w:tabs>
          <w:tab w:pos="1226" w:val="left" w:leader="none"/>
          <w:tab w:pos="8071" w:val="left" w:leader="none"/>
          <w:tab w:pos="9353" w:val="left" w:leader="none"/>
        </w:tabs>
        <w:spacing w:line="240" w:lineRule="auto" w:before="57" w:after="0"/>
        <w:ind w:left="1226" w:right="0" w:hanging="110"/>
        <w:jc w:val="left"/>
        <w:rPr>
          <w:sz w:val="18"/>
        </w:rPr>
      </w:pPr>
      <w:r>
        <w:rPr>
          <w:sz w:val="18"/>
        </w:rPr>
        <w:t>between 1 year and</w:t>
      </w:r>
      <w:r>
        <w:rPr>
          <w:spacing w:val="-1"/>
          <w:sz w:val="18"/>
        </w:rPr>
        <w:t> </w:t>
      </w:r>
      <w:r>
        <w:rPr>
          <w:sz w:val="18"/>
        </w:rPr>
        <w:t>5</w:t>
      </w:r>
      <w:r>
        <w:rPr>
          <w:spacing w:val="-1"/>
          <w:sz w:val="18"/>
        </w:rPr>
        <w:t> </w:t>
      </w:r>
      <w:r>
        <w:rPr>
          <w:sz w:val="18"/>
        </w:rPr>
        <w:t>years</w:t>
        <w:tab/>
      </w:r>
      <w:r>
        <w:rPr>
          <w:b/>
          <w:sz w:val="18"/>
        </w:rPr>
        <w:t>-</w:t>
        <w:tab/>
      </w:r>
      <w:r>
        <w:rPr>
          <w:sz w:val="18"/>
        </w:rPr>
        <w:t>-</w:t>
      </w:r>
    </w:p>
    <w:p>
      <w:pPr>
        <w:pStyle w:val="ListParagraph"/>
        <w:numPr>
          <w:ilvl w:val="0"/>
          <w:numId w:val="51"/>
        </w:numPr>
        <w:tabs>
          <w:tab w:pos="1226" w:val="left" w:leader="none"/>
          <w:tab w:pos="8071" w:val="left" w:leader="none"/>
          <w:tab w:pos="9353" w:val="left" w:leader="none"/>
        </w:tabs>
        <w:spacing w:line="240" w:lineRule="auto" w:before="57" w:after="0"/>
        <w:ind w:left="1226" w:right="0" w:hanging="110"/>
        <w:jc w:val="left"/>
        <w:rPr>
          <w:sz w:val="18"/>
        </w:rPr>
      </w:pPr>
      <w:r>
        <w:rPr/>
        <w:pict>
          <v:group style="position:absolute;margin-left:416.470001pt;margin-top:14.536192pt;width:129.85pt;height:1pt;mso-position-horizontal-relative:page;mso-position-vertical-relative:paragraph;z-index:2776;mso-wrap-distance-left:0;mso-wrap-distance-right:0" coordorigin="8329,291" coordsize="2597,20">
            <v:line style="position:absolute" from="8330,292" to="9628,292" stroked="true" strokeweight=".06pt" strokecolor="#000000"/>
            <v:line style="position:absolute" from="8330,293" to="9628,293" stroked="true" strokeweight=".06pt" strokecolor="#000000"/>
            <v:line style="position:absolute" from="8330,294" to="9628,294" stroked="true" strokeweight=".06pt" strokecolor="#000000"/>
            <v:line style="position:absolute" from="8330,295" to="9628,295" stroked="true" strokeweight=".06pt" strokecolor="#000000"/>
            <v:line style="position:absolute" from="8330,297" to="9628,297" stroked="true" strokeweight=".06pt" strokecolor="#000000"/>
            <v:line style="position:absolute" from="8330,298" to="9628,298" stroked="true" strokeweight=".06pt" strokecolor="#000000"/>
            <v:line style="position:absolute" from="8330,299" to="9628,299" stroked="true" strokeweight=".06pt" strokecolor="#000000"/>
            <v:line style="position:absolute" from="8330,300" to="9628,300" stroked="true" strokeweight=".06pt" strokecolor="#000000"/>
            <v:line style="position:absolute" from="8330,301" to="9628,301" stroked="true" strokeweight=".06pt" strokecolor="#000000"/>
            <v:line style="position:absolute" from="8330,303" to="9628,303" stroked="true" strokeweight=".06pt" strokecolor="#000000"/>
            <v:line style="position:absolute" from="8330,304" to="9628,304" stroked="true" strokeweight=".06pt" strokecolor="#000000"/>
            <v:line style="position:absolute" from="8330,305" to="9628,305" stroked="true" strokeweight=".06pt" strokecolor="#000000"/>
            <v:line style="position:absolute" from="8330,306" to="9628,306" stroked="true" strokeweight=".06pt" strokecolor="#000000"/>
            <v:line style="position:absolute" from="8330,307" to="9628,307" stroked="true" strokeweight=".06pt" strokecolor="#000000"/>
            <v:line style="position:absolute" from="8330,309" to="9628,309" stroked="true" strokeweight=".06pt" strokecolor="#000000"/>
            <v:line style="position:absolute" from="8330,310" to="9628,310" stroked="true" strokeweight=".06pt" strokecolor="#000000"/>
            <v:line style="position:absolute" from="9628,292" to="10925,292" stroked="true" strokeweight=".06pt" strokecolor="#000000"/>
            <v:line style="position:absolute" from="9628,293" to="10925,293" stroked="true" strokeweight=".06pt" strokecolor="#000000"/>
            <v:line style="position:absolute" from="9628,294" to="10925,294" stroked="true" strokeweight=".06pt" strokecolor="#000000"/>
            <v:line style="position:absolute" from="9628,295" to="10925,295" stroked="true" strokeweight=".06pt" strokecolor="#000000"/>
            <v:line style="position:absolute" from="9628,297" to="10925,297" stroked="true" strokeweight=".06pt" strokecolor="#000000"/>
            <v:line style="position:absolute" from="9628,298" to="10925,298" stroked="true" strokeweight=".06pt" strokecolor="#000000"/>
            <v:line style="position:absolute" from="9628,299" to="10925,299" stroked="true" strokeweight=".06pt" strokecolor="#000000"/>
            <v:line style="position:absolute" from="9628,300" to="10925,300" stroked="true" strokeweight=".06pt" strokecolor="#000000"/>
            <v:line style="position:absolute" from="9628,301" to="10925,301" stroked="true" strokeweight=".06pt" strokecolor="#000000"/>
            <v:line style="position:absolute" from="9628,303" to="10925,303" stroked="true" strokeweight=".06pt" strokecolor="#000000"/>
            <v:line style="position:absolute" from="9628,304" to="10925,304" stroked="true" strokeweight=".06pt" strokecolor="#000000"/>
            <v:line style="position:absolute" from="9628,305" to="10925,305" stroked="true" strokeweight=".06pt" strokecolor="#000000"/>
            <v:line style="position:absolute" from="9628,306" to="10925,306" stroked="true" strokeweight=".06pt" strokecolor="#000000"/>
            <v:line style="position:absolute" from="9628,307" to="10925,307" stroked="true" strokeweight=".06pt" strokecolor="#000000"/>
            <v:line style="position:absolute" from="9628,309" to="10925,309" stroked="true" strokeweight=".06pt" strokecolor="#000000"/>
            <v:line style="position:absolute" from="9628,310" to="10925,310" stroked="true" strokeweight=".06pt" strokecolor="#000000"/>
            <v:line style="position:absolute" from="8330,292" to="9628,292" stroked="true" strokeweight=".06pt" strokecolor="#000000"/>
            <v:line style="position:absolute" from="8330,293" to="9628,293" stroked="true" strokeweight=".06pt" strokecolor="#000000"/>
            <v:line style="position:absolute" from="8330,294" to="9628,294" stroked="true" strokeweight=".06pt" strokecolor="#000000"/>
            <v:line style="position:absolute" from="8330,295" to="9628,295" stroked="true" strokeweight=".06pt" strokecolor="#000000"/>
            <v:line style="position:absolute" from="8330,297" to="9628,297" stroked="true" strokeweight=".06pt" strokecolor="#000000"/>
            <v:line style="position:absolute" from="8330,298" to="9628,298" stroked="true" strokeweight=".06pt" strokecolor="#000000"/>
            <v:line style="position:absolute" from="8330,299" to="9628,299" stroked="true" strokeweight=".06pt" strokecolor="#000000"/>
            <v:line style="position:absolute" from="8330,300" to="9628,300" stroked="true" strokeweight=".06pt" strokecolor="#000000"/>
            <v:line style="position:absolute" from="8330,301" to="9628,301" stroked="true" strokeweight=".06pt" strokecolor="#000000"/>
            <v:line style="position:absolute" from="8330,303" to="9628,303" stroked="true" strokeweight=".06pt" strokecolor="#000000"/>
            <v:line style="position:absolute" from="8330,304" to="9628,304" stroked="true" strokeweight=".06pt" strokecolor="#000000"/>
            <v:line style="position:absolute" from="8330,305" to="9628,305" stroked="true" strokeweight=".06pt" strokecolor="#000000"/>
            <v:line style="position:absolute" from="8330,306" to="9628,306" stroked="true" strokeweight=".06pt" strokecolor="#000000"/>
            <v:line style="position:absolute" from="8330,307" to="9628,307" stroked="true" strokeweight=".06pt" strokecolor="#000000"/>
            <v:line style="position:absolute" from="8330,309" to="9628,309" stroked="true" strokeweight=".06pt" strokecolor="#000000"/>
            <v:line style="position:absolute" from="8330,310" to="9628,310" stroked="true" strokeweight=".06pt" strokecolor="#000000"/>
            <v:line style="position:absolute" from="9628,292" to="10925,292" stroked="true" strokeweight=".06pt" strokecolor="#000000"/>
            <v:line style="position:absolute" from="9628,293" to="10925,293" stroked="true" strokeweight=".06pt" strokecolor="#000000"/>
            <v:line style="position:absolute" from="9628,294" to="10925,294" stroked="true" strokeweight=".06pt" strokecolor="#000000"/>
            <v:line style="position:absolute" from="9628,295" to="10925,295" stroked="true" strokeweight=".06pt" strokecolor="#000000"/>
            <v:line style="position:absolute" from="9628,297" to="10925,297" stroked="true" strokeweight=".06pt" strokecolor="#000000"/>
            <v:line style="position:absolute" from="9628,298" to="10925,298" stroked="true" strokeweight=".06pt" strokecolor="#000000"/>
            <v:line style="position:absolute" from="9628,299" to="10925,299" stroked="true" strokeweight=".06pt" strokecolor="#000000"/>
            <v:line style="position:absolute" from="9628,300" to="10925,300" stroked="true" strokeweight=".06pt" strokecolor="#000000"/>
            <v:line style="position:absolute" from="9628,301" to="10925,301" stroked="true" strokeweight=".06pt" strokecolor="#000000"/>
            <v:line style="position:absolute" from="9628,303" to="10925,303" stroked="true" strokeweight=".06pt" strokecolor="#000000"/>
            <v:line style="position:absolute" from="9628,304" to="10925,304" stroked="true" strokeweight=".06pt" strokecolor="#000000"/>
            <v:line style="position:absolute" from="9628,305" to="10925,305" stroked="true" strokeweight=".06pt" strokecolor="#000000"/>
            <v:line style="position:absolute" from="9628,306" to="10925,306" stroked="true" strokeweight=".06pt" strokecolor="#000000"/>
            <v:line style="position:absolute" from="9628,307" to="10925,307" stroked="true" strokeweight=".06pt" strokecolor="#000000"/>
            <v:line style="position:absolute" from="9628,309" to="10925,309" stroked="true" strokeweight=".06pt" strokecolor="#000000"/>
            <v:line style="position:absolute" from="9628,310" to="10925,310" stroked="true" strokeweight=".06pt" strokecolor="#000000"/>
            <w10:wrap type="topAndBottom"/>
          </v:group>
        </w:pict>
      </w:r>
      <w:r>
        <w:rPr>
          <w:sz w:val="18"/>
        </w:rPr>
        <w:t>greater than</w:t>
      </w:r>
      <w:r>
        <w:rPr>
          <w:spacing w:val="-1"/>
          <w:sz w:val="18"/>
        </w:rPr>
        <w:t> </w:t>
      </w:r>
      <w:r>
        <w:rPr>
          <w:sz w:val="18"/>
        </w:rPr>
        <w:t>5</w:t>
      </w:r>
      <w:r>
        <w:rPr>
          <w:spacing w:val="-1"/>
          <w:sz w:val="18"/>
        </w:rPr>
        <w:t> </w:t>
      </w:r>
      <w:r>
        <w:rPr>
          <w:sz w:val="18"/>
        </w:rPr>
        <w:t>years</w:t>
        <w:tab/>
      </w:r>
      <w:r>
        <w:rPr>
          <w:b/>
          <w:sz w:val="18"/>
        </w:rPr>
        <w:t>-</w:t>
        <w:tab/>
      </w:r>
      <w:r>
        <w:rPr>
          <w:sz w:val="18"/>
        </w:rPr>
        <w:t>-</w:t>
      </w:r>
    </w:p>
    <w:p>
      <w:pPr>
        <w:pStyle w:val="Heading9"/>
        <w:tabs>
          <w:tab w:pos="8071" w:val="left" w:leader="none"/>
          <w:tab w:pos="9287" w:val="left" w:leader="none"/>
        </w:tabs>
        <w:spacing w:before="84"/>
        <w:ind w:left="1116" w:right="161"/>
        <w:rPr>
          <w:b w:val="0"/>
        </w:rPr>
      </w:pPr>
      <w:r>
        <w:rPr/>
        <w:t>Total joint</w:t>
      </w:r>
      <w:r>
        <w:rPr>
          <w:spacing w:val="-2"/>
        </w:rPr>
        <w:t> </w:t>
      </w:r>
      <w:r>
        <w:rPr/>
        <w:t>venture</w:t>
      </w:r>
      <w:r>
        <w:rPr>
          <w:spacing w:val="-1"/>
        </w:rPr>
        <w:t> </w:t>
      </w:r>
      <w:r>
        <w:rPr/>
        <w:t>commitments</w:t>
        <w:tab/>
        <w:t>-</w:t>
        <w:tab/>
      </w:r>
      <w:r>
        <w:rPr>
          <w:b w:val="0"/>
        </w:rPr>
        <w:t>101,408</w:t>
      </w:r>
    </w:p>
    <w:p>
      <w:pPr>
        <w:pStyle w:val="BodyText"/>
        <w:spacing w:line="50" w:lineRule="exact"/>
        <w:ind w:left="7429"/>
        <w:rPr>
          <w:sz w:val="4"/>
        </w:rPr>
      </w:pPr>
      <w:r>
        <w:rPr>
          <w:position w:val="0"/>
          <w:sz w:val="4"/>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4"/>
        </w:rPr>
      </w:r>
    </w:p>
    <w:p>
      <w:pPr>
        <w:spacing w:after="0" w:line="50" w:lineRule="exact"/>
        <w:rPr>
          <w:sz w:val="4"/>
        </w:rPr>
        <w:sectPr>
          <w:type w:val="continuous"/>
          <w:pgSz w:w="11910" w:h="16840"/>
          <w:pgMar w:top="1580" w:bottom="280" w:left="900" w:right="860"/>
        </w:sectPr>
      </w:pPr>
    </w:p>
    <w:p>
      <w:pPr>
        <w:pStyle w:val="BodyText"/>
        <w:rPr>
          <w:sz w:val="20"/>
        </w:rPr>
      </w:pPr>
    </w:p>
    <w:p>
      <w:pPr>
        <w:pStyle w:val="BodyText"/>
        <w:rPr>
          <w:sz w:val="20"/>
        </w:rPr>
      </w:pPr>
    </w:p>
    <w:p>
      <w:pPr>
        <w:pStyle w:val="BodyText"/>
        <w:spacing w:before="4"/>
      </w:pPr>
    </w:p>
    <w:p>
      <w:pPr>
        <w:pStyle w:val="ListParagraph"/>
        <w:numPr>
          <w:ilvl w:val="0"/>
          <w:numId w:val="49"/>
        </w:numPr>
        <w:tabs>
          <w:tab w:pos="506" w:val="left" w:leader="none"/>
        </w:tabs>
        <w:spacing w:line="240" w:lineRule="auto" w:before="0" w:after="0"/>
        <w:ind w:left="505" w:right="0" w:hanging="396"/>
        <w:jc w:val="left"/>
        <w:rPr>
          <w:b/>
          <w:sz w:val="18"/>
        </w:rPr>
      </w:pPr>
      <w:r>
        <w:rPr>
          <w:b/>
          <w:sz w:val="18"/>
        </w:rPr>
        <w:t>Financial Risk</w:t>
      </w:r>
      <w:r>
        <w:rPr>
          <w:b/>
          <w:spacing w:val="-7"/>
          <w:sz w:val="18"/>
        </w:rPr>
        <w:t> </w:t>
      </w:r>
      <w:r>
        <w:rPr>
          <w:b/>
          <w:sz w:val="18"/>
        </w:rPr>
        <w:t>Management</w:t>
      </w:r>
    </w:p>
    <w:p>
      <w:pPr>
        <w:pStyle w:val="BodyText"/>
        <w:rPr>
          <w:b/>
          <w:sz w:val="25"/>
        </w:rPr>
      </w:pPr>
    </w:p>
    <w:p>
      <w:pPr>
        <w:pStyle w:val="BodyText"/>
        <w:ind w:left="504" w:right="88"/>
      </w:pPr>
      <w:r>
        <w:rPr/>
        <w:t>The Company's activities expose it to a variety of financial risks: market risk (including fair value interest rate risk), credit risk and liquidity risk. The Company's overall risk management program focuses on the unpredictability of financial markets and seeks to minimise potential adverse effects on the financial performance of the Company. The Company uses different methods to measure different types of risk to which it is exposed. These methods include sensitivity analysis in the case of interest rate and ageing analysis for credit risk.</w:t>
      </w:r>
    </w:p>
    <w:p>
      <w:pPr>
        <w:pStyle w:val="BodyText"/>
        <w:rPr>
          <w:sz w:val="25"/>
        </w:rPr>
      </w:pPr>
    </w:p>
    <w:p>
      <w:pPr>
        <w:pStyle w:val="BodyText"/>
        <w:ind w:left="505" w:right="161"/>
      </w:pPr>
      <w:r>
        <w:rPr/>
        <w:t>The Company's financial instruments consist mainly of deposits with banks and local money market instruments.</w:t>
      </w:r>
    </w:p>
    <w:p>
      <w:pPr>
        <w:pStyle w:val="BodyText"/>
        <w:spacing w:before="11"/>
        <w:rPr>
          <w:sz w:val="24"/>
        </w:rPr>
      </w:pPr>
    </w:p>
    <w:p>
      <w:pPr>
        <w:pStyle w:val="BodyText"/>
        <w:ind w:left="505" w:right="770"/>
      </w:pPr>
      <w:r>
        <w:rPr/>
        <w:t>The totals for each category of financial instruments, measured in accordance with AASB 139 as detailed in the accounting policies to these financial statements, are as follows:</w:t>
      </w:r>
    </w:p>
    <w:p>
      <w:pPr>
        <w:pStyle w:val="BodyText"/>
      </w:pPr>
    </w:p>
    <w:p>
      <w:pPr>
        <w:pStyle w:val="BodyText"/>
      </w:pPr>
    </w:p>
    <w:p>
      <w:pPr>
        <w:pStyle w:val="Heading9"/>
        <w:spacing w:before="113"/>
        <w:ind w:left="6574" w:right="2815" w:hanging="69"/>
      </w:pPr>
      <w:r>
        <w:rPr/>
        <w:t>Weighted average</w:t>
      </w:r>
    </w:p>
    <w:p>
      <w:pPr>
        <w:tabs>
          <w:tab w:pos="8406" w:val="left" w:leader="none"/>
        </w:tabs>
        <w:spacing w:line="206" w:lineRule="exact" w:before="0"/>
        <w:ind w:left="6398" w:right="161" w:firstLine="0"/>
        <w:jc w:val="left"/>
        <w:rPr>
          <w:b/>
          <w:sz w:val="18"/>
        </w:rPr>
      </w:pPr>
      <w:r>
        <w:rPr>
          <w:b/>
          <w:sz w:val="18"/>
        </w:rPr>
        <w:t>interest</w:t>
      </w:r>
      <w:r>
        <w:rPr>
          <w:b/>
          <w:spacing w:val="-1"/>
          <w:sz w:val="18"/>
        </w:rPr>
        <w:t> </w:t>
      </w:r>
      <w:r>
        <w:rPr>
          <w:b/>
          <w:sz w:val="18"/>
        </w:rPr>
        <w:t>rate</w:t>
        <w:tab/>
        <w:t>Balance</w:t>
      </w:r>
    </w:p>
    <w:p>
      <w:pPr>
        <w:pStyle w:val="BodyText"/>
        <w:spacing w:before="10"/>
        <w:rPr>
          <w:b/>
          <w:sz w:val="22"/>
        </w:rPr>
      </w:pPr>
    </w:p>
    <w:p>
      <w:pPr>
        <w:spacing w:after="0"/>
        <w:rPr>
          <w:sz w:val="22"/>
        </w:rPr>
        <w:sectPr>
          <w:pgSz w:w="11910" w:h="16840"/>
          <w:pgMar w:header="1038" w:footer="507" w:top="2680" w:bottom="700" w:left="900" w:right="860"/>
        </w:sectPr>
      </w:pPr>
    </w:p>
    <w:p>
      <w:pPr>
        <w:spacing w:before="77"/>
        <w:ind w:left="0" w:right="0" w:firstLine="0"/>
        <w:jc w:val="right"/>
        <w:rPr>
          <w:b/>
          <w:sz w:val="18"/>
        </w:rPr>
      </w:pPr>
      <w:r>
        <w:rPr>
          <w:b/>
          <w:sz w:val="18"/>
        </w:rPr>
        <w:t>2017</w:t>
      </w:r>
    </w:p>
    <w:p>
      <w:pPr>
        <w:spacing w:before="66"/>
        <w:ind w:left="0" w:right="118" w:firstLine="0"/>
        <w:jc w:val="right"/>
        <w:rPr>
          <w:b/>
          <w:sz w:val="18"/>
        </w:rPr>
      </w:pPr>
      <w:r>
        <w:rPr>
          <w:b/>
          <w:w w:val="99"/>
          <w:sz w:val="18"/>
        </w:rPr>
        <w:t>%</w:t>
      </w:r>
    </w:p>
    <w:p>
      <w:pPr>
        <w:spacing w:before="77"/>
        <w:ind w:left="86" w:right="0" w:firstLine="0"/>
        <w:jc w:val="center"/>
        <w:rPr>
          <w:b/>
          <w:sz w:val="18"/>
        </w:rPr>
      </w:pPr>
      <w:r>
        <w:rPr/>
        <w:br w:type="column"/>
      </w:r>
      <w:r>
        <w:rPr>
          <w:b/>
          <w:sz w:val="18"/>
        </w:rPr>
        <w:t>2016</w:t>
      </w:r>
    </w:p>
    <w:p>
      <w:pPr>
        <w:spacing w:before="66"/>
        <w:ind w:left="86" w:right="0" w:firstLine="0"/>
        <w:jc w:val="center"/>
        <w:rPr>
          <w:b/>
          <w:sz w:val="18"/>
        </w:rPr>
      </w:pPr>
      <w:r>
        <w:rPr>
          <w:b/>
          <w:w w:val="99"/>
          <w:sz w:val="18"/>
        </w:rPr>
        <w:t>%</w:t>
      </w:r>
    </w:p>
    <w:p>
      <w:pPr>
        <w:spacing w:before="77"/>
        <w:ind w:left="489" w:right="0" w:firstLine="0"/>
        <w:jc w:val="center"/>
        <w:rPr>
          <w:b/>
          <w:sz w:val="18"/>
        </w:rPr>
      </w:pPr>
      <w:r>
        <w:rPr/>
        <w:br w:type="column"/>
      </w:r>
      <w:r>
        <w:rPr>
          <w:b/>
          <w:sz w:val="18"/>
        </w:rPr>
        <w:t>2017</w:t>
      </w:r>
    </w:p>
    <w:p>
      <w:pPr>
        <w:spacing w:before="66"/>
        <w:ind w:left="0" w:right="148" w:firstLine="0"/>
        <w:jc w:val="right"/>
        <w:rPr>
          <w:b/>
          <w:sz w:val="18"/>
        </w:rPr>
      </w:pPr>
      <w:r>
        <w:rPr>
          <w:b/>
          <w:w w:val="99"/>
          <w:sz w:val="18"/>
        </w:rPr>
        <w:t>$</w:t>
      </w:r>
    </w:p>
    <w:p>
      <w:pPr>
        <w:spacing w:before="77"/>
        <w:ind w:left="824" w:right="540" w:firstLine="0"/>
        <w:jc w:val="center"/>
        <w:rPr>
          <w:b/>
          <w:sz w:val="18"/>
        </w:rPr>
      </w:pPr>
      <w:r>
        <w:rPr/>
        <w:br w:type="column"/>
      </w:r>
      <w:r>
        <w:rPr>
          <w:b/>
          <w:sz w:val="18"/>
        </w:rPr>
        <w:t>2016</w:t>
      </w:r>
    </w:p>
    <w:p>
      <w:pPr>
        <w:spacing w:before="66"/>
        <w:ind w:left="283" w:right="0" w:firstLine="0"/>
        <w:jc w:val="center"/>
        <w:rPr>
          <w:b/>
          <w:sz w:val="18"/>
        </w:rPr>
      </w:pPr>
      <w:r>
        <w:rPr>
          <w:b/>
          <w:w w:val="99"/>
          <w:sz w:val="18"/>
        </w:rPr>
        <w:t>$</w:t>
      </w:r>
    </w:p>
    <w:p>
      <w:pPr>
        <w:spacing w:after="0"/>
        <w:jc w:val="center"/>
        <w:rPr>
          <w:sz w:val="18"/>
        </w:rPr>
        <w:sectPr>
          <w:type w:val="continuous"/>
          <w:pgSz w:w="11910" w:h="16840"/>
          <w:pgMar w:top="1580" w:bottom="280" w:left="900" w:right="860"/>
          <w:cols w:num="4" w:equalWidth="0">
            <w:col w:w="6847" w:space="40"/>
            <w:col w:w="487" w:space="40"/>
            <w:col w:w="891" w:space="40"/>
            <w:col w:w="1805"/>
          </w:cols>
        </w:sectPr>
      </w:pPr>
    </w:p>
    <w:p>
      <w:pPr>
        <w:pStyle w:val="BodyText"/>
        <w:spacing w:before="11"/>
        <w:rPr>
          <w:b/>
          <w:sz w:val="5"/>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1"/>
        <w:gridCol w:w="4022"/>
        <w:gridCol w:w="1822"/>
        <w:gridCol w:w="516"/>
        <w:gridCol w:w="1474"/>
        <w:gridCol w:w="1121"/>
      </w:tblGrid>
      <w:tr>
        <w:trPr>
          <w:trHeight w:val="566" w:hRule="exact"/>
        </w:trPr>
        <w:tc>
          <w:tcPr>
            <w:tcW w:w="601" w:type="dxa"/>
            <w:vMerge w:val="restart"/>
          </w:tcPr>
          <w:p>
            <w:pPr/>
          </w:p>
        </w:tc>
        <w:tc>
          <w:tcPr>
            <w:tcW w:w="4022" w:type="dxa"/>
          </w:tcPr>
          <w:p>
            <w:pPr>
              <w:pStyle w:val="TableParagraph"/>
              <w:spacing w:before="77"/>
              <w:ind w:left="45"/>
              <w:rPr>
                <w:b/>
                <w:sz w:val="18"/>
              </w:rPr>
            </w:pPr>
            <w:r>
              <w:rPr>
                <w:b/>
                <w:sz w:val="18"/>
              </w:rPr>
              <w:t>Financial Assets</w:t>
            </w:r>
          </w:p>
          <w:p>
            <w:pPr>
              <w:pStyle w:val="TableParagraph"/>
              <w:spacing w:before="27"/>
              <w:ind w:left="45"/>
              <w:rPr>
                <w:sz w:val="18"/>
              </w:rPr>
            </w:pPr>
            <w:r>
              <w:rPr>
                <w:sz w:val="18"/>
              </w:rPr>
              <w:t>Cash and cash equivalents</w:t>
            </w:r>
          </w:p>
        </w:tc>
        <w:tc>
          <w:tcPr>
            <w:tcW w:w="1822" w:type="dxa"/>
          </w:tcPr>
          <w:p>
            <w:pPr>
              <w:pStyle w:val="TableParagraph"/>
              <w:rPr>
                <w:b/>
                <w:sz w:val="18"/>
              </w:rPr>
            </w:pPr>
          </w:p>
          <w:p>
            <w:pPr>
              <w:pStyle w:val="TableParagraph"/>
              <w:spacing w:before="105"/>
              <w:ind w:right="74"/>
              <w:jc w:val="right"/>
              <w:rPr>
                <w:b/>
                <w:sz w:val="18"/>
              </w:rPr>
            </w:pPr>
            <w:r>
              <w:rPr>
                <w:b/>
                <w:w w:val="95"/>
                <w:sz w:val="18"/>
              </w:rPr>
              <w:t>1.44</w:t>
            </w:r>
          </w:p>
        </w:tc>
        <w:tc>
          <w:tcPr>
            <w:tcW w:w="516" w:type="dxa"/>
          </w:tcPr>
          <w:p>
            <w:pPr>
              <w:pStyle w:val="TableParagraph"/>
              <w:rPr>
                <w:b/>
                <w:sz w:val="18"/>
              </w:rPr>
            </w:pPr>
          </w:p>
          <w:p>
            <w:pPr>
              <w:pStyle w:val="TableParagraph"/>
              <w:spacing w:before="105"/>
              <w:ind w:left="57" w:right="67"/>
              <w:jc w:val="center"/>
              <w:rPr>
                <w:sz w:val="18"/>
              </w:rPr>
            </w:pPr>
            <w:r>
              <w:rPr>
                <w:sz w:val="18"/>
              </w:rPr>
              <w:t>1.73</w:t>
            </w:r>
          </w:p>
        </w:tc>
        <w:tc>
          <w:tcPr>
            <w:tcW w:w="1474" w:type="dxa"/>
          </w:tcPr>
          <w:p>
            <w:pPr>
              <w:pStyle w:val="TableParagraph"/>
              <w:rPr>
                <w:b/>
                <w:sz w:val="18"/>
              </w:rPr>
            </w:pPr>
          </w:p>
          <w:p>
            <w:pPr>
              <w:pStyle w:val="TableParagraph"/>
              <w:spacing w:before="105"/>
              <w:ind w:right="232"/>
              <w:jc w:val="right"/>
              <w:rPr>
                <w:b/>
                <w:sz w:val="18"/>
              </w:rPr>
            </w:pPr>
            <w:r>
              <w:rPr>
                <w:b/>
                <w:w w:val="95"/>
                <w:sz w:val="18"/>
              </w:rPr>
              <w:t>906,965</w:t>
            </w:r>
          </w:p>
        </w:tc>
        <w:tc>
          <w:tcPr>
            <w:tcW w:w="1121" w:type="dxa"/>
          </w:tcPr>
          <w:p>
            <w:pPr>
              <w:pStyle w:val="TableParagraph"/>
              <w:rPr>
                <w:b/>
                <w:sz w:val="18"/>
              </w:rPr>
            </w:pPr>
          </w:p>
          <w:p>
            <w:pPr>
              <w:pStyle w:val="TableParagraph"/>
              <w:spacing w:before="105"/>
              <w:ind w:right="84"/>
              <w:jc w:val="right"/>
              <w:rPr>
                <w:sz w:val="18"/>
              </w:rPr>
            </w:pPr>
            <w:r>
              <w:rPr>
                <w:w w:val="95"/>
                <w:sz w:val="18"/>
              </w:rPr>
              <w:t>1,109,058</w:t>
            </w:r>
          </w:p>
        </w:tc>
      </w:tr>
      <w:tr>
        <w:trPr>
          <w:trHeight w:val="274" w:hRule="exact"/>
        </w:trPr>
        <w:tc>
          <w:tcPr>
            <w:tcW w:w="601" w:type="dxa"/>
            <w:vMerge/>
          </w:tcPr>
          <w:p>
            <w:pPr/>
          </w:p>
        </w:tc>
        <w:tc>
          <w:tcPr>
            <w:tcW w:w="4022" w:type="dxa"/>
          </w:tcPr>
          <w:p>
            <w:pPr>
              <w:pStyle w:val="TableParagraph"/>
              <w:spacing w:before="28"/>
              <w:ind w:left="45"/>
              <w:rPr>
                <w:sz w:val="18"/>
              </w:rPr>
            </w:pPr>
            <w:r>
              <w:rPr>
                <w:sz w:val="18"/>
              </w:rPr>
              <w:t>Loans to parent entity (1)</w:t>
            </w:r>
          </w:p>
        </w:tc>
        <w:tc>
          <w:tcPr>
            <w:tcW w:w="1822" w:type="dxa"/>
          </w:tcPr>
          <w:p>
            <w:pPr>
              <w:pStyle w:val="TableParagraph"/>
              <w:spacing w:before="29"/>
              <w:ind w:right="74"/>
              <w:jc w:val="right"/>
              <w:rPr>
                <w:b/>
                <w:sz w:val="18"/>
              </w:rPr>
            </w:pPr>
            <w:r>
              <w:rPr>
                <w:b/>
                <w:w w:val="95"/>
                <w:sz w:val="18"/>
              </w:rPr>
              <w:t>2.25</w:t>
            </w:r>
          </w:p>
        </w:tc>
        <w:tc>
          <w:tcPr>
            <w:tcW w:w="516" w:type="dxa"/>
          </w:tcPr>
          <w:p>
            <w:pPr>
              <w:pStyle w:val="TableParagraph"/>
              <w:spacing w:before="29"/>
              <w:ind w:left="57" w:right="67"/>
              <w:jc w:val="center"/>
              <w:rPr>
                <w:sz w:val="18"/>
              </w:rPr>
            </w:pPr>
            <w:r>
              <w:rPr>
                <w:sz w:val="18"/>
              </w:rPr>
              <w:t>2.40</w:t>
            </w:r>
          </w:p>
        </w:tc>
        <w:tc>
          <w:tcPr>
            <w:tcW w:w="1474" w:type="dxa"/>
          </w:tcPr>
          <w:p>
            <w:pPr>
              <w:pStyle w:val="TableParagraph"/>
              <w:spacing w:before="29"/>
              <w:ind w:right="232"/>
              <w:jc w:val="right"/>
              <w:rPr>
                <w:b/>
                <w:sz w:val="18"/>
              </w:rPr>
            </w:pPr>
            <w:r>
              <w:rPr>
                <w:b/>
                <w:w w:val="95"/>
                <w:sz w:val="18"/>
              </w:rPr>
              <w:t>7,001,886</w:t>
            </w:r>
          </w:p>
        </w:tc>
        <w:tc>
          <w:tcPr>
            <w:tcW w:w="1121" w:type="dxa"/>
          </w:tcPr>
          <w:p>
            <w:pPr>
              <w:pStyle w:val="TableParagraph"/>
              <w:spacing w:before="29"/>
              <w:ind w:right="84"/>
              <w:jc w:val="right"/>
              <w:rPr>
                <w:sz w:val="18"/>
              </w:rPr>
            </w:pPr>
            <w:r>
              <w:rPr>
                <w:w w:val="95"/>
                <w:sz w:val="18"/>
              </w:rPr>
              <w:t>5,651,726</w:t>
            </w:r>
          </w:p>
        </w:tc>
      </w:tr>
      <w:tr>
        <w:trPr>
          <w:trHeight w:val="264" w:hRule="exact"/>
        </w:trPr>
        <w:tc>
          <w:tcPr>
            <w:tcW w:w="601" w:type="dxa"/>
            <w:vMerge/>
          </w:tcPr>
          <w:p>
            <w:pPr/>
          </w:p>
        </w:tc>
        <w:tc>
          <w:tcPr>
            <w:tcW w:w="4022" w:type="dxa"/>
          </w:tcPr>
          <w:p>
            <w:pPr>
              <w:pStyle w:val="TableParagraph"/>
              <w:spacing w:before="18"/>
              <w:ind w:left="45"/>
              <w:rPr>
                <w:sz w:val="18"/>
              </w:rPr>
            </w:pPr>
            <w:r>
              <w:rPr>
                <w:sz w:val="18"/>
              </w:rPr>
              <w:t>Trade and other receivables (2)</w:t>
            </w:r>
          </w:p>
        </w:tc>
        <w:tc>
          <w:tcPr>
            <w:tcW w:w="1822" w:type="dxa"/>
          </w:tcPr>
          <w:p>
            <w:pPr/>
          </w:p>
        </w:tc>
        <w:tc>
          <w:tcPr>
            <w:tcW w:w="516" w:type="dxa"/>
          </w:tcPr>
          <w:p>
            <w:pPr/>
          </w:p>
        </w:tc>
        <w:tc>
          <w:tcPr>
            <w:tcW w:w="1474" w:type="dxa"/>
          </w:tcPr>
          <w:p>
            <w:pPr>
              <w:pStyle w:val="TableParagraph"/>
              <w:spacing w:before="19"/>
              <w:ind w:right="232"/>
              <w:jc w:val="right"/>
              <w:rPr>
                <w:b/>
                <w:sz w:val="18"/>
              </w:rPr>
            </w:pPr>
            <w:r>
              <w:rPr>
                <w:b/>
                <w:w w:val="95"/>
                <w:sz w:val="18"/>
              </w:rPr>
              <w:t>429,588</w:t>
            </w:r>
          </w:p>
        </w:tc>
        <w:tc>
          <w:tcPr>
            <w:tcW w:w="1121" w:type="dxa"/>
          </w:tcPr>
          <w:p>
            <w:pPr>
              <w:pStyle w:val="TableParagraph"/>
              <w:spacing w:before="19"/>
              <w:ind w:right="84"/>
              <w:jc w:val="right"/>
              <w:rPr>
                <w:sz w:val="18"/>
              </w:rPr>
            </w:pPr>
            <w:r>
              <w:rPr>
                <w:w w:val="95"/>
                <w:sz w:val="18"/>
              </w:rPr>
              <w:t>401,737</w:t>
            </w:r>
          </w:p>
        </w:tc>
      </w:tr>
      <w:tr>
        <w:trPr>
          <w:trHeight w:val="264" w:hRule="exact"/>
        </w:trPr>
        <w:tc>
          <w:tcPr>
            <w:tcW w:w="601" w:type="dxa"/>
            <w:vMerge/>
          </w:tcPr>
          <w:p>
            <w:pPr/>
          </w:p>
        </w:tc>
        <w:tc>
          <w:tcPr>
            <w:tcW w:w="4022" w:type="dxa"/>
          </w:tcPr>
          <w:p>
            <w:pPr>
              <w:pStyle w:val="TableParagraph"/>
              <w:spacing w:before="18"/>
              <w:ind w:left="45"/>
              <w:rPr>
                <w:sz w:val="18"/>
              </w:rPr>
            </w:pPr>
            <w:r>
              <w:rPr>
                <w:sz w:val="18"/>
              </w:rPr>
              <w:t>Receivables from related parties</w:t>
            </w:r>
          </w:p>
        </w:tc>
        <w:tc>
          <w:tcPr>
            <w:tcW w:w="1822" w:type="dxa"/>
          </w:tcPr>
          <w:p>
            <w:pPr/>
          </w:p>
        </w:tc>
        <w:tc>
          <w:tcPr>
            <w:tcW w:w="516" w:type="dxa"/>
          </w:tcPr>
          <w:p>
            <w:pPr/>
          </w:p>
        </w:tc>
        <w:tc>
          <w:tcPr>
            <w:tcW w:w="1474" w:type="dxa"/>
          </w:tcPr>
          <w:p>
            <w:pPr>
              <w:pStyle w:val="TableParagraph"/>
              <w:spacing w:before="19"/>
              <w:ind w:right="232"/>
              <w:jc w:val="right"/>
              <w:rPr>
                <w:b/>
                <w:sz w:val="18"/>
              </w:rPr>
            </w:pPr>
            <w:r>
              <w:rPr>
                <w:b/>
                <w:w w:val="95"/>
                <w:sz w:val="18"/>
              </w:rPr>
              <w:t>1,651,601</w:t>
            </w:r>
          </w:p>
        </w:tc>
        <w:tc>
          <w:tcPr>
            <w:tcW w:w="1121" w:type="dxa"/>
          </w:tcPr>
          <w:p>
            <w:pPr>
              <w:pStyle w:val="TableParagraph"/>
              <w:spacing w:before="19"/>
              <w:ind w:right="84"/>
              <w:jc w:val="right"/>
              <w:rPr>
                <w:sz w:val="18"/>
              </w:rPr>
            </w:pPr>
            <w:r>
              <w:rPr>
                <w:w w:val="95"/>
                <w:sz w:val="18"/>
              </w:rPr>
              <w:t>585,588</w:t>
            </w:r>
          </w:p>
        </w:tc>
      </w:tr>
      <w:tr>
        <w:trPr>
          <w:trHeight w:val="263" w:hRule="exact"/>
        </w:trPr>
        <w:tc>
          <w:tcPr>
            <w:tcW w:w="601" w:type="dxa"/>
            <w:vMerge/>
          </w:tcPr>
          <w:p>
            <w:pPr/>
          </w:p>
        </w:tc>
        <w:tc>
          <w:tcPr>
            <w:tcW w:w="4022" w:type="dxa"/>
          </w:tcPr>
          <w:p>
            <w:pPr>
              <w:pStyle w:val="TableParagraph"/>
              <w:spacing w:before="18"/>
              <w:ind w:left="45"/>
              <w:rPr>
                <w:sz w:val="18"/>
              </w:rPr>
            </w:pPr>
            <w:r>
              <w:rPr>
                <w:sz w:val="18"/>
              </w:rPr>
              <w:t>Loans to joint venture (3)</w:t>
            </w:r>
          </w:p>
        </w:tc>
        <w:tc>
          <w:tcPr>
            <w:tcW w:w="1822" w:type="dxa"/>
          </w:tcPr>
          <w:p>
            <w:pPr>
              <w:pStyle w:val="TableParagraph"/>
              <w:spacing w:before="19"/>
              <w:ind w:right="74"/>
              <w:jc w:val="right"/>
              <w:rPr>
                <w:b/>
                <w:sz w:val="18"/>
              </w:rPr>
            </w:pPr>
            <w:r>
              <w:rPr>
                <w:b/>
                <w:w w:val="95"/>
                <w:sz w:val="18"/>
              </w:rPr>
              <w:t>4.50</w:t>
            </w:r>
          </w:p>
        </w:tc>
        <w:tc>
          <w:tcPr>
            <w:tcW w:w="516" w:type="dxa"/>
          </w:tcPr>
          <w:p>
            <w:pPr>
              <w:pStyle w:val="TableParagraph"/>
              <w:spacing w:before="19"/>
              <w:ind w:left="57" w:right="67"/>
              <w:jc w:val="center"/>
              <w:rPr>
                <w:sz w:val="18"/>
              </w:rPr>
            </w:pPr>
            <w:r>
              <w:rPr>
                <w:sz w:val="18"/>
              </w:rPr>
              <w:t>4.67</w:t>
            </w:r>
          </w:p>
        </w:tc>
        <w:tc>
          <w:tcPr>
            <w:tcW w:w="1474" w:type="dxa"/>
            <w:tcBorders>
              <w:bottom w:val="single" w:sz="0" w:space="0" w:color="000000"/>
            </w:tcBorders>
          </w:tcPr>
          <w:p>
            <w:pPr>
              <w:pStyle w:val="TableParagraph"/>
              <w:spacing w:before="19"/>
              <w:ind w:right="232"/>
              <w:jc w:val="right"/>
              <w:rPr>
                <w:b/>
                <w:sz w:val="18"/>
              </w:rPr>
            </w:pPr>
            <w:r>
              <w:rPr>
                <w:b/>
                <w:w w:val="95"/>
                <w:sz w:val="18"/>
              </w:rPr>
              <w:t>2,100,000</w:t>
            </w:r>
          </w:p>
        </w:tc>
        <w:tc>
          <w:tcPr>
            <w:tcW w:w="1121" w:type="dxa"/>
            <w:tcBorders>
              <w:bottom w:val="single" w:sz="0" w:space="0" w:color="000000"/>
            </w:tcBorders>
          </w:tcPr>
          <w:p>
            <w:pPr>
              <w:pStyle w:val="TableParagraph"/>
              <w:spacing w:before="19"/>
              <w:ind w:right="84"/>
              <w:jc w:val="right"/>
              <w:rPr>
                <w:sz w:val="18"/>
              </w:rPr>
            </w:pPr>
            <w:r>
              <w:rPr>
                <w:w w:val="95"/>
                <w:sz w:val="18"/>
              </w:rPr>
              <w:t>1,300,000</w:t>
            </w:r>
          </w:p>
        </w:tc>
      </w:tr>
      <w:tr>
        <w:trPr>
          <w:trHeight w:val="298" w:hRule="exact"/>
        </w:trPr>
        <w:tc>
          <w:tcPr>
            <w:tcW w:w="601" w:type="dxa"/>
            <w:vMerge/>
          </w:tcPr>
          <w:p>
            <w:pPr/>
          </w:p>
        </w:tc>
        <w:tc>
          <w:tcPr>
            <w:tcW w:w="4022" w:type="dxa"/>
          </w:tcPr>
          <w:p>
            <w:pPr>
              <w:pStyle w:val="TableParagraph"/>
              <w:spacing w:before="39"/>
              <w:ind w:left="46"/>
              <w:rPr>
                <w:b/>
                <w:sz w:val="18"/>
              </w:rPr>
            </w:pPr>
            <w:r>
              <w:rPr>
                <w:b/>
                <w:sz w:val="18"/>
              </w:rPr>
              <w:t>Total financial assets</w:t>
            </w:r>
          </w:p>
        </w:tc>
        <w:tc>
          <w:tcPr>
            <w:tcW w:w="1822" w:type="dxa"/>
          </w:tcPr>
          <w:p>
            <w:pPr/>
          </w:p>
        </w:tc>
        <w:tc>
          <w:tcPr>
            <w:tcW w:w="516" w:type="dxa"/>
          </w:tcPr>
          <w:p>
            <w:pPr/>
          </w:p>
        </w:tc>
        <w:tc>
          <w:tcPr>
            <w:tcW w:w="1474" w:type="dxa"/>
            <w:tcBorders>
              <w:top w:val="single" w:sz="0" w:space="0" w:color="000000"/>
              <w:bottom w:val="single" w:sz="0" w:space="0" w:color="000000"/>
            </w:tcBorders>
          </w:tcPr>
          <w:p>
            <w:pPr>
              <w:pStyle w:val="TableParagraph"/>
              <w:spacing w:before="38"/>
              <w:ind w:right="231"/>
              <w:jc w:val="right"/>
              <w:rPr>
                <w:b/>
                <w:sz w:val="18"/>
              </w:rPr>
            </w:pPr>
            <w:r>
              <w:rPr>
                <w:b/>
                <w:w w:val="95"/>
                <w:sz w:val="18"/>
              </w:rPr>
              <w:t>12,090,040</w:t>
            </w:r>
          </w:p>
        </w:tc>
        <w:tc>
          <w:tcPr>
            <w:tcW w:w="1121" w:type="dxa"/>
            <w:tcBorders>
              <w:top w:val="single" w:sz="0" w:space="0" w:color="000000"/>
              <w:bottom w:val="single" w:sz="0" w:space="0" w:color="000000"/>
            </w:tcBorders>
          </w:tcPr>
          <w:p>
            <w:pPr>
              <w:pStyle w:val="TableParagraph"/>
              <w:spacing w:before="38"/>
              <w:ind w:right="84"/>
              <w:jc w:val="right"/>
              <w:rPr>
                <w:sz w:val="18"/>
              </w:rPr>
            </w:pPr>
            <w:r>
              <w:rPr>
                <w:w w:val="95"/>
                <w:sz w:val="18"/>
              </w:rPr>
              <w:t>9,048,109</w:t>
            </w:r>
          </w:p>
        </w:tc>
      </w:tr>
      <w:tr>
        <w:trPr>
          <w:trHeight w:val="618" w:hRule="exact"/>
        </w:trPr>
        <w:tc>
          <w:tcPr>
            <w:tcW w:w="601" w:type="dxa"/>
            <w:vMerge/>
          </w:tcPr>
          <w:p>
            <w:pPr/>
          </w:p>
        </w:tc>
        <w:tc>
          <w:tcPr>
            <w:tcW w:w="4022" w:type="dxa"/>
          </w:tcPr>
          <w:p>
            <w:pPr>
              <w:pStyle w:val="TableParagraph"/>
              <w:spacing w:before="138"/>
              <w:ind w:left="46"/>
              <w:rPr>
                <w:b/>
                <w:sz w:val="18"/>
              </w:rPr>
            </w:pPr>
            <w:r>
              <w:rPr>
                <w:b/>
                <w:sz w:val="18"/>
              </w:rPr>
              <w:t>Financial Liabilities</w:t>
            </w:r>
          </w:p>
          <w:p>
            <w:pPr>
              <w:pStyle w:val="TableParagraph"/>
              <w:spacing w:before="27"/>
              <w:ind w:left="46"/>
              <w:rPr>
                <w:sz w:val="18"/>
              </w:rPr>
            </w:pPr>
            <w:r>
              <w:rPr>
                <w:sz w:val="18"/>
              </w:rPr>
              <w:t>Trade payables (4)</w:t>
            </w:r>
          </w:p>
        </w:tc>
        <w:tc>
          <w:tcPr>
            <w:tcW w:w="1822" w:type="dxa"/>
          </w:tcPr>
          <w:p>
            <w:pPr/>
          </w:p>
        </w:tc>
        <w:tc>
          <w:tcPr>
            <w:tcW w:w="516" w:type="dxa"/>
          </w:tcPr>
          <w:p>
            <w:pPr/>
          </w:p>
        </w:tc>
        <w:tc>
          <w:tcPr>
            <w:tcW w:w="1474" w:type="dxa"/>
            <w:tcBorders>
              <w:top w:val="single" w:sz="0" w:space="0" w:color="000000"/>
            </w:tcBorders>
          </w:tcPr>
          <w:p>
            <w:pPr>
              <w:pStyle w:val="TableParagraph"/>
              <w:rPr>
                <w:b/>
                <w:sz w:val="18"/>
              </w:rPr>
            </w:pPr>
          </w:p>
          <w:p>
            <w:pPr>
              <w:pStyle w:val="TableParagraph"/>
              <w:spacing w:before="5"/>
              <w:rPr>
                <w:b/>
                <w:sz w:val="14"/>
              </w:rPr>
            </w:pPr>
          </w:p>
          <w:p>
            <w:pPr>
              <w:pStyle w:val="TableParagraph"/>
              <w:ind w:right="232"/>
              <w:jc w:val="right"/>
              <w:rPr>
                <w:b/>
                <w:sz w:val="18"/>
              </w:rPr>
            </w:pPr>
            <w:r>
              <w:rPr>
                <w:b/>
                <w:w w:val="95"/>
                <w:sz w:val="18"/>
              </w:rPr>
              <w:t>467,295</w:t>
            </w:r>
          </w:p>
        </w:tc>
        <w:tc>
          <w:tcPr>
            <w:tcW w:w="1121" w:type="dxa"/>
            <w:tcBorders>
              <w:top w:val="single" w:sz="0" w:space="0" w:color="000000"/>
            </w:tcBorders>
          </w:tcPr>
          <w:p>
            <w:pPr>
              <w:pStyle w:val="TableParagraph"/>
              <w:rPr>
                <w:b/>
                <w:sz w:val="18"/>
              </w:rPr>
            </w:pPr>
          </w:p>
          <w:p>
            <w:pPr>
              <w:pStyle w:val="TableParagraph"/>
              <w:spacing w:before="5"/>
              <w:rPr>
                <w:b/>
                <w:sz w:val="14"/>
              </w:rPr>
            </w:pPr>
          </w:p>
          <w:p>
            <w:pPr>
              <w:pStyle w:val="TableParagraph"/>
              <w:ind w:right="84"/>
              <w:jc w:val="right"/>
              <w:rPr>
                <w:sz w:val="18"/>
              </w:rPr>
            </w:pPr>
            <w:r>
              <w:rPr>
                <w:w w:val="95"/>
                <w:sz w:val="18"/>
              </w:rPr>
              <w:t>139,066</w:t>
            </w:r>
          </w:p>
        </w:tc>
      </w:tr>
      <w:tr>
        <w:trPr>
          <w:trHeight w:val="264" w:hRule="exact"/>
        </w:trPr>
        <w:tc>
          <w:tcPr>
            <w:tcW w:w="601" w:type="dxa"/>
            <w:vMerge/>
          </w:tcPr>
          <w:p>
            <w:pPr/>
          </w:p>
        </w:tc>
        <w:tc>
          <w:tcPr>
            <w:tcW w:w="4022" w:type="dxa"/>
          </w:tcPr>
          <w:p>
            <w:pPr>
              <w:pStyle w:val="TableParagraph"/>
              <w:spacing w:before="18"/>
              <w:ind w:left="46"/>
              <w:rPr>
                <w:sz w:val="18"/>
              </w:rPr>
            </w:pPr>
            <w:r>
              <w:rPr>
                <w:sz w:val="18"/>
              </w:rPr>
              <w:t>Amounts due to related parties</w:t>
            </w:r>
          </w:p>
        </w:tc>
        <w:tc>
          <w:tcPr>
            <w:tcW w:w="1822" w:type="dxa"/>
          </w:tcPr>
          <w:p>
            <w:pPr/>
          </w:p>
        </w:tc>
        <w:tc>
          <w:tcPr>
            <w:tcW w:w="516" w:type="dxa"/>
          </w:tcPr>
          <w:p>
            <w:pPr/>
          </w:p>
        </w:tc>
        <w:tc>
          <w:tcPr>
            <w:tcW w:w="1474" w:type="dxa"/>
          </w:tcPr>
          <w:p>
            <w:pPr>
              <w:pStyle w:val="TableParagraph"/>
              <w:spacing w:before="19"/>
              <w:ind w:right="130"/>
              <w:jc w:val="center"/>
              <w:rPr>
                <w:b/>
                <w:sz w:val="18"/>
              </w:rPr>
            </w:pPr>
            <w:r>
              <w:rPr>
                <w:b/>
                <w:w w:val="99"/>
                <w:sz w:val="18"/>
              </w:rPr>
              <w:t>-</w:t>
            </w:r>
          </w:p>
        </w:tc>
        <w:tc>
          <w:tcPr>
            <w:tcW w:w="1121" w:type="dxa"/>
          </w:tcPr>
          <w:p>
            <w:pPr>
              <w:pStyle w:val="TableParagraph"/>
              <w:spacing w:before="19"/>
              <w:ind w:right="84"/>
              <w:jc w:val="right"/>
              <w:rPr>
                <w:sz w:val="18"/>
              </w:rPr>
            </w:pPr>
            <w:r>
              <w:rPr>
                <w:w w:val="95"/>
                <w:sz w:val="18"/>
              </w:rPr>
              <w:t>684,058</w:t>
            </w:r>
          </w:p>
        </w:tc>
      </w:tr>
      <w:tr>
        <w:trPr>
          <w:trHeight w:val="264" w:hRule="exact"/>
        </w:trPr>
        <w:tc>
          <w:tcPr>
            <w:tcW w:w="601" w:type="dxa"/>
            <w:vMerge/>
          </w:tcPr>
          <w:p>
            <w:pPr/>
          </w:p>
        </w:tc>
        <w:tc>
          <w:tcPr>
            <w:tcW w:w="4022" w:type="dxa"/>
          </w:tcPr>
          <w:p>
            <w:pPr>
              <w:pStyle w:val="TableParagraph"/>
              <w:spacing w:before="18"/>
              <w:ind w:left="46"/>
              <w:rPr>
                <w:sz w:val="18"/>
              </w:rPr>
            </w:pPr>
            <w:r>
              <w:rPr>
                <w:sz w:val="18"/>
              </w:rPr>
              <w:t>Accrued expenses</w:t>
            </w:r>
          </w:p>
        </w:tc>
        <w:tc>
          <w:tcPr>
            <w:tcW w:w="1822" w:type="dxa"/>
          </w:tcPr>
          <w:p>
            <w:pPr/>
          </w:p>
        </w:tc>
        <w:tc>
          <w:tcPr>
            <w:tcW w:w="516" w:type="dxa"/>
          </w:tcPr>
          <w:p>
            <w:pPr/>
          </w:p>
        </w:tc>
        <w:tc>
          <w:tcPr>
            <w:tcW w:w="1474" w:type="dxa"/>
          </w:tcPr>
          <w:p>
            <w:pPr>
              <w:pStyle w:val="TableParagraph"/>
              <w:spacing w:before="19"/>
              <w:ind w:right="232"/>
              <w:jc w:val="right"/>
              <w:rPr>
                <w:b/>
                <w:sz w:val="18"/>
              </w:rPr>
            </w:pPr>
            <w:r>
              <w:rPr>
                <w:b/>
                <w:w w:val="95"/>
                <w:sz w:val="18"/>
              </w:rPr>
              <w:t>3,016,451</w:t>
            </w:r>
          </w:p>
        </w:tc>
        <w:tc>
          <w:tcPr>
            <w:tcW w:w="1121" w:type="dxa"/>
          </w:tcPr>
          <w:p>
            <w:pPr>
              <w:pStyle w:val="TableParagraph"/>
              <w:spacing w:before="19"/>
              <w:ind w:right="84"/>
              <w:jc w:val="right"/>
              <w:rPr>
                <w:sz w:val="18"/>
              </w:rPr>
            </w:pPr>
            <w:r>
              <w:rPr>
                <w:w w:val="95"/>
                <w:sz w:val="18"/>
              </w:rPr>
              <w:t>2,210,500</w:t>
            </w:r>
          </w:p>
        </w:tc>
      </w:tr>
      <w:tr>
        <w:trPr>
          <w:trHeight w:val="263" w:hRule="exact"/>
        </w:trPr>
        <w:tc>
          <w:tcPr>
            <w:tcW w:w="601" w:type="dxa"/>
            <w:vMerge/>
          </w:tcPr>
          <w:p>
            <w:pPr/>
          </w:p>
        </w:tc>
        <w:tc>
          <w:tcPr>
            <w:tcW w:w="4022" w:type="dxa"/>
          </w:tcPr>
          <w:p>
            <w:pPr>
              <w:pStyle w:val="TableParagraph"/>
              <w:spacing w:before="18"/>
              <w:ind w:left="46"/>
              <w:rPr>
                <w:sz w:val="18"/>
              </w:rPr>
            </w:pPr>
            <w:r>
              <w:rPr>
                <w:sz w:val="18"/>
              </w:rPr>
              <w:t>Other liabilities (4)</w:t>
            </w:r>
          </w:p>
        </w:tc>
        <w:tc>
          <w:tcPr>
            <w:tcW w:w="1822" w:type="dxa"/>
          </w:tcPr>
          <w:p>
            <w:pPr/>
          </w:p>
        </w:tc>
        <w:tc>
          <w:tcPr>
            <w:tcW w:w="516" w:type="dxa"/>
          </w:tcPr>
          <w:p>
            <w:pPr/>
          </w:p>
        </w:tc>
        <w:tc>
          <w:tcPr>
            <w:tcW w:w="1474" w:type="dxa"/>
            <w:tcBorders>
              <w:bottom w:val="single" w:sz="0" w:space="0" w:color="000000"/>
            </w:tcBorders>
          </w:tcPr>
          <w:p>
            <w:pPr>
              <w:pStyle w:val="TableParagraph"/>
              <w:spacing w:before="19"/>
              <w:ind w:right="233"/>
              <w:jc w:val="right"/>
              <w:rPr>
                <w:b/>
                <w:sz w:val="18"/>
              </w:rPr>
            </w:pPr>
            <w:r>
              <w:rPr>
                <w:b/>
                <w:w w:val="95"/>
                <w:sz w:val="18"/>
              </w:rPr>
              <w:t>7,028</w:t>
            </w:r>
          </w:p>
        </w:tc>
        <w:tc>
          <w:tcPr>
            <w:tcW w:w="1121" w:type="dxa"/>
            <w:tcBorders>
              <w:bottom w:val="single" w:sz="0" w:space="0" w:color="000000"/>
            </w:tcBorders>
          </w:tcPr>
          <w:p>
            <w:pPr>
              <w:pStyle w:val="TableParagraph"/>
              <w:spacing w:before="19"/>
              <w:ind w:right="84"/>
              <w:jc w:val="right"/>
              <w:rPr>
                <w:sz w:val="18"/>
              </w:rPr>
            </w:pPr>
            <w:r>
              <w:rPr>
                <w:w w:val="95"/>
                <w:sz w:val="18"/>
              </w:rPr>
              <w:t>380,756</w:t>
            </w:r>
          </w:p>
        </w:tc>
      </w:tr>
      <w:tr>
        <w:trPr>
          <w:trHeight w:val="298" w:hRule="exact"/>
        </w:trPr>
        <w:tc>
          <w:tcPr>
            <w:tcW w:w="601" w:type="dxa"/>
            <w:vMerge/>
          </w:tcPr>
          <w:p>
            <w:pPr/>
          </w:p>
        </w:tc>
        <w:tc>
          <w:tcPr>
            <w:tcW w:w="4022" w:type="dxa"/>
          </w:tcPr>
          <w:p>
            <w:pPr>
              <w:pStyle w:val="TableParagraph"/>
              <w:spacing w:before="39"/>
              <w:ind w:left="46"/>
              <w:rPr>
                <w:b/>
                <w:sz w:val="18"/>
              </w:rPr>
            </w:pPr>
            <w:r>
              <w:rPr>
                <w:b/>
                <w:sz w:val="18"/>
              </w:rPr>
              <w:t>Total financial liabilities</w:t>
            </w:r>
          </w:p>
        </w:tc>
        <w:tc>
          <w:tcPr>
            <w:tcW w:w="1822" w:type="dxa"/>
          </w:tcPr>
          <w:p>
            <w:pPr/>
          </w:p>
        </w:tc>
        <w:tc>
          <w:tcPr>
            <w:tcW w:w="516" w:type="dxa"/>
          </w:tcPr>
          <w:p>
            <w:pPr/>
          </w:p>
        </w:tc>
        <w:tc>
          <w:tcPr>
            <w:tcW w:w="1474" w:type="dxa"/>
            <w:tcBorders>
              <w:top w:val="single" w:sz="0" w:space="0" w:color="000000"/>
              <w:bottom w:val="single" w:sz="0" w:space="0" w:color="000000"/>
            </w:tcBorders>
          </w:tcPr>
          <w:p>
            <w:pPr>
              <w:pStyle w:val="TableParagraph"/>
              <w:spacing w:before="38"/>
              <w:ind w:right="232"/>
              <w:jc w:val="right"/>
              <w:rPr>
                <w:b/>
                <w:sz w:val="18"/>
              </w:rPr>
            </w:pPr>
            <w:r>
              <w:rPr>
                <w:b/>
                <w:w w:val="95"/>
                <w:sz w:val="18"/>
              </w:rPr>
              <w:t>3,490,774</w:t>
            </w:r>
          </w:p>
        </w:tc>
        <w:tc>
          <w:tcPr>
            <w:tcW w:w="1121" w:type="dxa"/>
            <w:tcBorders>
              <w:top w:val="single" w:sz="0" w:space="0" w:color="000000"/>
              <w:bottom w:val="single" w:sz="0" w:space="0" w:color="000000"/>
            </w:tcBorders>
          </w:tcPr>
          <w:p>
            <w:pPr>
              <w:pStyle w:val="TableParagraph"/>
              <w:spacing w:before="38"/>
              <w:ind w:right="84"/>
              <w:jc w:val="right"/>
              <w:rPr>
                <w:sz w:val="18"/>
              </w:rPr>
            </w:pPr>
            <w:r>
              <w:rPr>
                <w:w w:val="95"/>
                <w:sz w:val="18"/>
              </w:rPr>
              <w:t>3,414,380</w:t>
            </w:r>
          </w:p>
        </w:tc>
      </w:tr>
      <w:tr>
        <w:trPr>
          <w:trHeight w:val="617" w:hRule="exact"/>
        </w:trPr>
        <w:tc>
          <w:tcPr>
            <w:tcW w:w="601" w:type="dxa"/>
          </w:tcPr>
          <w:p>
            <w:pPr>
              <w:pStyle w:val="TableParagraph"/>
              <w:rPr>
                <w:b/>
                <w:sz w:val="18"/>
              </w:rPr>
            </w:pPr>
          </w:p>
          <w:p>
            <w:pPr>
              <w:pStyle w:val="TableParagraph"/>
              <w:spacing w:before="106"/>
              <w:ind w:left="35"/>
              <w:rPr>
                <w:sz w:val="18"/>
              </w:rPr>
            </w:pPr>
            <w:r>
              <w:rPr>
                <w:sz w:val="18"/>
              </w:rPr>
              <w:t>Notes:</w:t>
            </w:r>
          </w:p>
        </w:tc>
        <w:tc>
          <w:tcPr>
            <w:tcW w:w="4022" w:type="dxa"/>
          </w:tcPr>
          <w:p>
            <w:pPr/>
          </w:p>
        </w:tc>
        <w:tc>
          <w:tcPr>
            <w:tcW w:w="1822" w:type="dxa"/>
          </w:tcPr>
          <w:p>
            <w:pPr/>
          </w:p>
        </w:tc>
        <w:tc>
          <w:tcPr>
            <w:tcW w:w="516" w:type="dxa"/>
          </w:tcPr>
          <w:p>
            <w:pPr/>
          </w:p>
        </w:tc>
        <w:tc>
          <w:tcPr>
            <w:tcW w:w="1474" w:type="dxa"/>
            <w:tcBorders>
              <w:top w:val="single" w:sz="0" w:space="0" w:color="000000"/>
            </w:tcBorders>
          </w:tcPr>
          <w:p>
            <w:pPr/>
          </w:p>
        </w:tc>
        <w:tc>
          <w:tcPr>
            <w:tcW w:w="1121" w:type="dxa"/>
            <w:tcBorders>
              <w:top w:val="single" w:sz="0" w:space="0" w:color="000000"/>
            </w:tcBorders>
          </w:tcPr>
          <w:p>
            <w:pPr/>
          </w:p>
        </w:tc>
      </w:tr>
    </w:tbl>
    <w:p>
      <w:pPr>
        <w:pStyle w:val="BodyText"/>
        <w:spacing w:before="11"/>
        <w:rPr>
          <w:b/>
          <w:sz w:val="9"/>
        </w:rPr>
      </w:pPr>
    </w:p>
    <w:p>
      <w:pPr>
        <w:pStyle w:val="ListParagraph"/>
        <w:numPr>
          <w:ilvl w:val="0"/>
          <w:numId w:val="52"/>
        </w:numPr>
        <w:tabs>
          <w:tab w:pos="776" w:val="left" w:leader="none"/>
        </w:tabs>
        <w:spacing w:line="240" w:lineRule="auto" w:before="77" w:after="0"/>
        <w:ind w:left="775" w:right="0" w:hanging="270"/>
        <w:jc w:val="left"/>
        <w:rPr>
          <w:sz w:val="18"/>
        </w:rPr>
      </w:pPr>
      <w:r>
        <w:rPr>
          <w:sz w:val="18"/>
        </w:rPr>
        <w:t>The loan is repayable on demand and therefore classified as a current</w:t>
      </w:r>
      <w:r>
        <w:rPr>
          <w:spacing w:val="-1"/>
          <w:sz w:val="18"/>
        </w:rPr>
        <w:t> </w:t>
      </w:r>
      <w:r>
        <w:rPr>
          <w:sz w:val="18"/>
        </w:rPr>
        <w:t>asset.</w:t>
      </w:r>
    </w:p>
    <w:p>
      <w:pPr>
        <w:pStyle w:val="BodyText"/>
        <w:rPr>
          <w:sz w:val="25"/>
        </w:rPr>
      </w:pPr>
    </w:p>
    <w:p>
      <w:pPr>
        <w:pStyle w:val="ListParagraph"/>
        <w:numPr>
          <w:ilvl w:val="0"/>
          <w:numId w:val="52"/>
        </w:numPr>
        <w:tabs>
          <w:tab w:pos="776" w:val="left" w:leader="none"/>
        </w:tabs>
        <w:spacing w:line="240" w:lineRule="auto" w:before="0" w:after="0"/>
        <w:ind w:left="775" w:right="0" w:hanging="270"/>
        <w:jc w:val="left"/>
        <w:rPr>
          <w:sz w:val="18"/>
        </w:rPr>
      </w:pPr>
      <w:r>
        <w:rPr>
          <w:sz w:val="18"/>
        </w:rPr>
        <w:t>Excludes statutory receivables and prepayments (not within the scope of AASB</w:t>
      </w:r>
      <w:r>
        <w:rPr>
          <w:spacing w:val="-1"/>
          <w:sz w:val="18"/>
        </w:rPr>
        <w:t> </w:t>
      </w:r>
      <w:r>
        <w:rPr>
          <w:sz w:val="18"/>
        </w:rPr>
        <w:t>7).</w:t>
      </w:r>
    </w:p>
    <w:p>
      <w:pPr>
        <w:pStyle w:val="BodyText"/>
        <w:rPr>
          <w:sz w:val="25"/>
        </w:rPr>
      </w:pPr>
    </w:p>
    <w:p>
      <w:pPr>
        <w:pStyle w:val="ListParagraph"/>
        <w:numPr>
          <w:ilvl w:val="0"/>
          <w:numId w:val="52"/>
        </w:numPr>
        <w:tabs>
          <w:tab w:pos="774" w:val="left" w:leader="none"/>
        </w:tabs>
        <w:spacing w:line="240" w:lineRule="auto" w:before="0" w:after="0"/>
        <w:ind w:left="773" w:right="0" w:hanging="270"/>
        <w:jc w:val="left"/>
        <w:rPr>
          <w:sz w:val="18"/>
        </w:rPr>
      </w:pPr>
      <w:r>
        <w:rPr>
          <w:sz w:val="18"/>
        </w:rPr>
        <w:t>Excludes share in loss of joint venture which is charged against the loan per AASB</w:t>
      </w:r>
      <w:r>
        <w:rPr>
          <w:spacing w:val="-2"/>
          <w:sz w:val="18"/>
        </w:rPr>
        <w:t> </w:t>
      </w:r>
      <w:r>
        <w:rPr>
          <w:sz w:val="18"/>
        </w:rPr>
        <w:t>128.</w:t>
      </w:r>
    </w:p>
    <w:p>
      <w:pPr>
        <w:pStyle w:val="BodyText"/>
        <w:rPr>
          <w:sz w:val="25"/>
        </w:rPr>
      </w:pPr>
    </w:p>
    <w:p>
      <w:pPr>
        <w:pStyle w:val="ListParagraph"/>
        <w:numPr>
          <w:ilvl w:val="0"/>
          <w:numId w:val="52"/>
        </w:numPr>
        <w:tabs>
          <w:tab w:pos="776" w:val="left" w:leader="none"/>
        </w:tabs>
        <w:spacing w:line="240" w:lineRule="auto" w:before="0" w:after="0"/>
        <w:ind w:left="775" w:right="0" w:hanging="270"/>
        <w:jc w:val="left"/>
        <w:rPr>
          <w:sz w:val="18"/>
        </w:rPr>
      </w:pPr>
      <w:r>
        <w:rPr>
          <w:sz w:val="18"/>
        </w:rPr>
        <w:t>Excludes statutory payables and unearned revenue (not within the scope of AASB</w:t>
      </w:r>
      <w:r>
        <w:rPr>
          <w:spacing w:val="-1"/>
          <w:sz w:val="18"/>
        </w:rPr>
        <w:t> </w:t>
      </w:r>
      <w:r>
        <w:rPr>
          <w:sz w:val="18"/>
        </w:rPr>
        <w:t>7).</w:t>
      </w:r>
    </w:p>
    <w:p>
      <w:pPr>
        <w:spacing w:after="0" w:line="240" w:lineRule="auto"/>
        <w:jc w:val="left"/>
        <w:rPr>
          <w:sz w:val="18"/>
        </w:rPr>
        <w:sectPr>
          <w:type w:val="continuous"/>
          <w:pgSz w:w="11910" w:h="16840"/>
          <w:pgMar w:top="1580" w:bottom="280" w:left="900" w:right="860"/>
        </w:sectPr>
      </w:pPr>
    </w:p>
    <w:p>
      <w:pPr>
        <w:pStyle w:val="BodyText"/>
        <w:rPr>
          <w:sz w:val="20"/>
        </w:rPr>
      </w:pPr>
    </w:p>
    <w:p>
      <w:pPr>
        <w:pStyle w:val="BodyText"/>
        <w:rPr>
          <w:sz w:val="20"/>
        </w:rPr>
      </w:pPr>
    </w:p>
    <w:p>
      <w:pPr>
        <w:pStyle w:val="BodyText"/>
        <w:spacing w:before="4"/>
      </w:pPr>
    </w:p>
    <w:p>
      <w:pPr>
        <w:pStyle w:val="Heading9"/>
        <w:spacing w:line="595" w:lineRule="auto"/>
        <w:ind w:left="504" w:right="5720" w:hanging="395"/>
      </w:pPr>
      <w:r>
        <w:rPr/>
        <w:t>13 Financial Risk Management continued Financial risk management policies</w:t>
      </w:r>
    </w:p>
    <w:p>
      <w:pPr>
        <w:pStyle w:val="BodyText"/>
        <w:ind w:left="505" w:right="450"/>
      </w:pPr>
      <w:r>
        <w:rPr/>
        <w:t>The Board of Directors has overall responsibility for the establishment of the Company’s financial risk management framework.</w:t>
      </w:r>
    </w:p>
    <w:p>
      <w:pPr>
        <w:pStyle w:val="BodyText"/>
        <w:rPr>
          <w:sz w:val="25"/>
        </w:rPr>
      </w:pPr>
    </w:p>
    <w:p>
      <w:pPr>
        <w:pStyle w:val="BodyText"/>
        <w:ind w:left="505" w:right="830"/>
      </w:pPr>
      <w:r>
        <w:rPr/>
        <w:t>Risk management policies and systems are reviewed regularly to reflect changes in market conditions and the Company's activities.</w:t>
      </w:r>
    </w:p>
    <w:p>
      <w:pPr>
        <w:pStyle w:val="BodyText"/>
        <w:rPr>
          <w:sz w:val="25"/>
        </w:rPr>
      </w:pPr>
    </w:p>
    <w:p>
      <w:pPr>
        <w:pStyle w:val="BodyText"/>
        <w:ind w:left="505" w:right="309"/>
      </w:pPr>
      <w:r>
        <w:rPr/>
        <w:t>The Company does not actively engage in the trading of financial assets for speculative purposes nor does it write or buy options.</w:t>
      </w:r>
    </w:p>
    <w:p>
      <w:pPr>
        <w:pStyle w:val="BodyText"/>
        <w:rPr>
          <w:sz w:val="25"/>
        </w:rPr>
      </w:pPr>
    </w:p>
    <w:p>
      <w:pPr>
        <w:pStyle w:val="BodyText"/>
        <w:ind w:left="505" w:right="194"/>
      </w:pPr>
      <w:r>
        <w:rPr/>
        <w:t>Mitigation strategies for specific risks faced are described below:</w:t>
      </w:r>
    </w:p>
    <w:p>
      <w:pPr>
        <w:pStyle w:val="BodyText"/>
        <w:spacing w:before="7"/>
        <w:rPr>
          <w:sz w:val="26"/>
        </w:rPr>
      </w:pPr>
    </w:p>
    <w:p>
      <w:pPr>
        <w:pStyle w:val="Heading9"/>
        <w:numPr>
          <w:ilvl w:val="0"/>
          <w:numId w:val="53"/>
        </w:numPr>
        <w:tabs>
          <w:tab w:pos="1072" w:val="left" w:leader="none"/>
        </w:tabs>
        <w:spacing w:line="240" w:lineRule="auto" w:before="0" w:after="0"/>
        <w:ind w:left="1071" w:right="0" w:hanging="566"/>
        <w:jc w:val="left"/>
      </w:pPr>
      <w:r>
        <w:rPr/>
        <w:t>Credit</w:t>
      </w:r>
      <w:r>
        <w:rPr>
          <w:spacing w:val="-1"/>
        </w:rPr>
        <w:t> </w:t>
      </w:r>
      <w:r>
        <w:rPr/>
        <w:t>risk</w:t>
      </w:r>
    </w:p>
    <w:p>
      <w:pPr>
        <w:pStyle w:val="BodyText"/>
        <w:spacing w:before="4"/>
        <w:rPr>
          <w:b/>
          <w:sz w:val="25"/>
        </w:rPr>
      </w:pPr>
    </w:p>
    <w:p>
      <w:pPr>
        <w:pStyle w:val="BodyText"/>
        <w:ind w:left="1072" w:right="105"/>
        <w:jc w:val="both"/>
      </w:pPr>
      <w:r>
        <w:rPr/>
        <w:t>Exposure to credit risk relating to financial assets arises from the potential non-performance by counterparties of contract obligations that could lead to a financial loss to the Company and arises principally from the Company's receivables and cash deposits.</w:t>
      </w:r>
    </w:p>
    <w:p>
      <w:pPr>
        <w:pStyle w:val="BodyText"/>
        <w:rPr>
          <w:sz w:val="25"/>
        </w:rPr>
      </w:pPr>
    </w:p>
    <w:p>
      <w:pPr>
        <w:pStyle w:val="BodyText"/>
        <w:ind w:left="1072" w:right="443"/>
      </w:pPr>
      <w:r>
        <w:rPr/>
        <w:t>Services are sold subject to retention of title clauses, so that in the event of non-payment the Company may have a secured claim.</w:t>
      </w:r>
    </w:p>
    <w:p>
      <w:pPr>
        <w:pStyle w:val="BodyText"/>
        <w:rPr>
          <w:sz w:val="25"/>
        </w:rPr>
      </w:pPr>
    </w:p>
    <w:p>
      <w:pPr>
        <w:pStyle w:val="BodyText"/>
        <w:ind w:left="1072" w:right="303"/>
      </w:pPr>
      <w:r>
        <w:rPr/>
        <w:t>There are no material differences between the carrying amount and fair value of financial assets and liabilities and hence the carry amount represents fair value.</w:t>
      </w:r>
    </w:p>
    <w:p>
      <w:pPr>
        <w:pStyle w:val="BodyText"/>
        <w:spacing w:before="7"/>
        <w:rPr>
          <w:sz w:val="26"/>
        </w:rPr>
      </w:pPr>
    </w:p>
    <w:p>
      <w:pPr>
        <w:pStyle w:val="Heading9"/>
        <w:numPr>
          <w:ilvl w:val="0"/>
          <w:numId w:val="53"/>
        </w:numPr>
        <w:tabs>
          <w:tab w:pos="1072" w:val="left" w:leader="none"/>
        </w:tabs>
        <w:spacing w:line="240" w:lineRule="auto" w:before="0" w:after="0"/>
        <w:ind w:left="1071" w:right="0" w:hanging="566"/>
        <w:jc w:val="left"/>
      </w:pPr>
      <w:r>
        <w:rPr/>
        <w:t>Liquidity risk</w:t>
      </w:r>
    </w:p>
    <w:p>
      <w:pPr>
        <w:pStyle w:val="BodyText"/>
        <w:spacing w:before="4"/>
        <w:rPr>
          <w:b/>
          <w:sz w:val="25"/>
        </w:rPr>
      </w:pPr>
    </w:p>
    <w:p>
      <w:pPr>
        <w:pStyle w:val="BodyText"/>
        <w:ind w:left="1072" w:right="194"/>
      </w:pPr>
      <w:r>
        <w:rPr/>
        <w:t>Liquidity risk arises from the possibility that the Company might encounter difficulty in settling its debts or otherwise meeting its obligations related to financial liabilities. The Company manages this risk through the following mechanisms:</w:t>
      </w:r>
    </w:p>
    <w:p>
      <w:pPr>
        <w:pStyle w:val="BodyText"/>
        <w:spacing w:before="5"/>
        <w:rPr>
          <w:sz w:val="25"/>
        </w:rPr>
      </w:pPr>
    </w:p>
    <w:p>
      <w:pPr>
        <w:pStyle w:val="ListParagraph"/>
        <w:numPr>
          <w:ilvl w:val="1"/>
          <w:numId w:val="53"/>
        </w:numPr>
        <w:tabs>
          <w:tab w:pos="1640" w:val="left" w:leader="none"/>
        </w:tabs>
        <w:spacing w:line="259" w:lineRule="auto" w:before="1" w:after="0"/>
        <w:ind w:left="1639" w:right="109" w:hanging="567"/>
        <w:jc w:val="left"/>
        <w:rPr>
          <w:sz w:val="18"/>
        </w:rPr>
      </w:pPr>
      <w:r>
        <w:rPr>
          <w:sz w:val="18"/>
        </w:rPr>
        <w:t>preparing forward-looking cash flow analysis in relation to its operational, investing and financial activities which are monitored on a weekly basis, and reported monthly;</w:t>
      </w:r>
      <w:r>
        <w:rPr>
          <w:spacing w:val="-1"/>
          <w:sz w:val="18"/>
        </w:rPr>
        <w:t> </w:t>
      </w:r>
      <w:r>
        <w:rPr>
          <w:sz w:val="18"/>
        </w:rPr>
        <w:t>and</w:t>
      </w:r>
    </w:p>
    <w:p>
      <w:pPr>
        <w:pStyle w:val="BodyText"/>
        <w:spacing w:before="2"/>
        <w:rPr>
          <w:sz w:val="24"/>
        </w:rPr>
      </w:pPr>
    </w:p>
    <w:p>
      <w:pPr>
        <w:pStyle w:val="ListParagraph"/>
        <w:numPr>
          <w:ilvl w:val="1"/>
          <w:numId w:val="53"/>
        </w:numPr>
        <w:tabs>
          <w:tab w:pos="1640" w:val="left" w:leader="none"/>
        </w:tabs>
        <w:spacing w:line="259" w:lineRule="auto" w:before="0" w:after="0"/>
        <w:ind w:left="1639" w:right="269" w:hanging="567"/>
        <w:jc w:val="left"/>
        <w:rPr>
          <w:sz w:val="18"/>
        </w:rPr>
      </w:pPr>
      <w:r>
        <w:rPr>
          <w:sz w:val="18"/>
        </w:rPr>
        <w:t>only investing surplus cash with licensed banks covered by Australian Government Deposit Guarantee, NSW - Treasury Corporation or with the parent</w:t>
      </w:r>
      <w:r>
        <w:rPr>
          <w:spacing w:val="-1"/>
          <w:sz w:val="18"/>
        </w:rPr>
        <w:t> </w:t>
      </w:r>
      <w:r>
        <w:rPr>
          <w:sz w:val="18"/>
        </w:rPr>
        <w:t>entity;</w:t>
      </w:r>
    </w:p>
    <w:p>
      <w:pPr>
        <w:pStyle w:val="BodyText"/>
        <w:spacing w:before="8"/>
        <w:rPr>
          <w:sz w:val="23"/>
        </w:rPr>
      </w:pPr>
    </w:p>
    <w:p>
      <w:pPr>
        <w:pStyle w:val="BodyText"/>
        <w:ind w:left="1072" w:right="442"/>
      </w:pPr>
      <w:r>
        <w:rPr/>
        <w:t>Financial guarantee liabilities are treated as payable on demand since the Company has no control over the timing of any potential settlement of the liabilities.</w:t>
      </w:r>
    </w:p>
    <w:p>
      <w:pPr>
        <w:pStyle w:val="BodyText"/>
        <w:rPr>
          <w:sz w:val="25"/>
        </w:rPr>
      </w:pPr>
    </w:p>
    <w:p>
      <w:pPr>
        <w:pStyle w:val="BodyText"/>
        <w:ind w:left="1072" w:right="194"/>
      </w:pPr>
      <w:r>
        <w:rPr/>
        <w:t>The tables below reflect an undiscounted contractual maturity analysis for financial liabilities.</w:t>
      </w:r>
    </w:p>
    <w:p>
      <w:pPr>
        <w:spacing w:after="0"/>
        <w:sectPr>
          <w:pgSz w:w="11910" w:h="16840"/>
          <w:pgMar w:header="1038" w:footer="507" w:top="2680" w:bottom="700" w:left="900" w:right="900"/>
        </w:sectPr>
      </w:pPr>
    </w:p>
    <w:p>
      <w:pPr>
        <w:pStyle w:val="Heading6"/>
        <w:spacing w:before="45"/>
        <w:ind w:left="107" w:right="4300" w:hanging="1"/>
      </w:pPr>
      <w:r>
        <w:rPr/>
        <w:t>Western Sydney University Enterprises Pty Limited Trading as Western Sydney University The College</w:t>
      </w:r>
    </w:p>
    <w:p>
      <w:pPr>
        <w:spacing w:before="56"/>
        <w:ind w:left="107" w:right="214" w:firstLine="0"/>
        <w:jc w:val="left"/>
        <w:rPr>
          <w:b/>
          <w:sz w:val="14"/>
        </w:rPr>
      </w:pPr>
      <w:r>
        <w:rPr>
          <w:b/>
          <w:sz w:val="14"/>
        </w:rPr>
        <w:t>ABN: 44 003 474 468</w:t>
      </w:r>
    </w:p>
    <w:p>
      <w:pPr>
        <w:pStyle w:val="BodyText"/>
        <w:rPr>
          <w:b/>
          <w:sz w:val="14"/>
        </w:rPr>
      </w:pPr>
    </w:p>
    <w:p>
      <w:pPr>
        <w:pStyle w:val="BodyText"/>
        <w:spacing w:before="5"/>
        <w:rPr>
          <w:b/>
          <w:sz w:val="15"/>
        </w:rPr>
      </w:pPr>
    </w:p>
    <w:p>
      <w:pPr>
        <w:pStyle w:val="Heading3"/>
        <w:spacing w:before="0"/>
        <w:ind w:right="214"/>
      </w:pPr>
      <w:r>
        <w:rPr/>
        <w:t>Notes to the Financial Statements</w:t>
      </w:r>
    </w:p>
    <w:p>
      <w:pPr>
        <w:pStyle w:val="Heading6"/>
        <w:ind w:left="107" w:right="214"/>
      </w:pPr>
      <w:r>
        <w:rPr/>
        <w:t>For the Year Ended 31 December 2017</w:t>
      </w:r>
    </w:p>
    <w:p>
      <w:pPr>
        <w:pStyle w:val="BodyText"/>
        <w:rPr>
          <w:b/>
          <w:sz w:val="22"/>
        </w:rPr>
      </w:pPr>
    </w:p>
    <w:p>
      <w:pPr>
        <w:pStyle w:val="BodyText"/>
        <w:rPr>
          <w:b/>
          <w:sz w:val="22"/>
        </w:rPr>
      </w:pPr>
    </w:p>
    <w:p>
      <w:pPr>
        <w:pStyle w:val="Heading9"/>
        <w:spacing w:before="160"/>
        <w:ind w:left="109" w:right="214"/>
      </w:pPr>
      <w:r>
        <w:rPr/>
        <w:t>13    Financial Risk Management continued</w:t>
      </w:r>
    </w:p>
    <w:p>
      <w:pPr>
        <w:pStyle w:val="BodyText"/>
        <w:rPr>
          <w:b/>
          <w:sz w:val="25"/>
        </w:rPr>
      </w:pPr>
    </w:p>
    <w:p>
      <w:pPr>
        <w:spacing w:before="0"/>
        <w:ind w:left="1076" w:right="214" w:firstLine="0"/>
        <w:jc w:val="left"/>
        <w:rPr>
          <w:i/>
          <w:sz w:val="18"/>
        </w:rPr>
      </w:pPr>
      <w:r>
        <w:rPr>
          <w:i/>
          <w:sz w:val="18"/>
        </w:rPr>
        <w:t>Financial asset and liability maturity analysis - Non-derivative</w:t>
      </w:r>
    </w:p>
    <w:p>
      <w:pPr>
        <w:pStyle w:val="Heading9"/>
        <w:tabs>
          <w:tab w:pos="7961" w:val="left" w:leader="none"/>
          <w:tab w:pos="10512" w:val="left" w:leader="none"/>
          <w:tab w:pos="13439" w:val="left" w:leader="none"/>
        </w:tabs>
        <w:spacing w:before="33" w:after="36"/>
        <w:ind w:left="5301" w:right="214"/>
      </w:pPr>
      <w:r>
        <w:rPr/>
        <w:t>Within</w:t>
      </w:r>
      <w:r>
        <w:rPr>
          <w:spacing w:val="-1"/>
        </w:rPr>
        <w:t> </w:t>
      </w:r>
      <w:r>
        <w:rPr/>
        <w:t>1</w:t>
      </w:r>
      <w:r>
        <w:rPr>
          <w:spacing w:val="-1"/>
        </w:rPr>
        <w:t> </w:t>
      </w:r>
      <w:r>
        <w:rPr/>
        <w:t>Year</w:t>
        <w:tab/>
        <w:t>1 to</w:t>
      </w:r>
      <w:r>
        <w:rPr>
          <w:spacing w:val="-1"/>
        </w:rPr>
        <w:t> </w:t>
      </w:r>
      <w:r>
        <w:rPr/>
        <w:t>5</w:t>
      </w:r>
      <w:r>
        <w:rPr>
          <w:spacing w:val="-1"/>
        </w:rPr>
        <w:t> </w:t>
      </w:r>
      <w:r>
        <w:rPr/>
        <w:t>Years</w:t>
        <w:tab/>
        <w:t>Over</w:t>
      </w:r>
      <w:r>
        <w:rPr>
          <w:spacing w:val="-1"/>
        </w:rPr>
        <w:t> </w:t>
      </w:r>
      <w:r>
        <w:rPr/>
        <w:t>5</w:t>
      </w:r>
      <w:r>
        <w:rPr>
          <w:spacing w:val="-1"/>
        </w:rPr>
        <w:t> </w:t>
      </w:r>
      <w:r>
        <w:rPr/>
        <w:t>Years</w:t>
        <w:tab/>
        <w:t>Total</w:t>
      </w:r>
    </w:p>
    <w:tbl>
      <w:tblPr>
        <w:tblW w:w="0" w:type="auto"/>
        <w:jc w:val="left"/>
        <w:tblInd w:w="4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79"/>
        <w:gridCol w:w="1459"/>
        <w:gridCol w:w="1317"/>
        <w:gridCol w:w="1292"/>
        <w:gridCol w:w="1302"/>
        <w:gridCol w:w="1116"/>
        <w:gridCol w:w="1297"/>
        <w:gridCol w:w="1474"/>
        <w:gridCol w:w="1121"/>
      </w:tblGrid>
      <w:tr>
        <w:trPr>
          <w:trHeight w:val="594" w:hRule="exact"/>
        </w:trPr>
        <w:tc>
          <w:tcPr>
            <w:tcW w:w="4079" w:type="dxa"/>
          </w:tcPr>
          <w:p>
            <w:pPr/>
          </w:p>
        </w:tc>
        <w:tc>
          <w:tcPr>
            <w:tcW w:w="1459" w:type="dxa"/>
          </w:tcPr>
          <w:p>
            <w:pPr>
              <w:pStyle w:val="TableParagraph"/>
              <w:spacing w:before="30"/>
              <w:ind w:left="429" w:right="588"/>
              <w:jc w:val="center"/>
              <w:rPr>
                <w:b/>
                <w:sz w:val="18"/>
              </w:rPr>
            </w:pPr>
            <w:r>
              <w:rPr>
                <w:b/>
                <w:sz w:val="18"/>
              </w:rPr>
              <w:t>2017</w:t>
            </w:r>
          </w:p>
          <w:p>
            <w:pPr>
              <w:pStyle w:val="TableParagraph"/>
              <w:spacing w:before="66"/>
              <w:ind w:right="159"/>
              <w:jc w:val="center"/>
              <w:rPr>
                <w:b/>
                <w:sz w:val="18"/>
              </w:rPr>
            </w:pPr>
            <w:r>
              <w:rPr>
                <w:b/>
                <w:w w:val="99"/>
                <w:sz w:val="18"/>
              </w:rPr>
              <w:t>$</w:t>
            </w:r>
          </w:p>
        </w:tc>
        <w:tc>
          <w:tcPr>
            <w:tcW w:w="1317" w:type="dxa"/>
          </w:tcPr>
          <w:p>
            <w:pPr>
              <w:pStyle w:val="TableParagraph"/>
              <w:spacing w:before="30"/>
              <w:ind w:left="268" w:right="608"/>
              <w:jc w:val="center"/>
              <w:rPr>
                <w:b/>
                <w:sz w:val="18"/>
              </w:rPr>
            </w:pPr>
            <w:r>
              <w:rPr>
                <w:b/>
                <w:sz w:val="18"/>
              </w:rPr>
              <w:t>2016</w:t>
            </w:r>
          </w:p>
          <w:p>
            <w:pPr>
              <w:pStyle w:val="TableParagraph"/>
              <w:spacing w:before="66"/>
              <w:ind w:right="340"/>
              <w:jc w:val="center"/>
              <w:rPr>
                <w:b/>
                <w:sz w:val="18"/>
              </w:rPr>
            </w:pPr>
            <w:r>
              <w:rPr>
                <w:b/>
                <w:w w:val="99"/>
                <w:sz w:val="18"/>
              </w:rPr>
              <w:t>$</w:t>
            </w:r>
          </w:p>
        </w:tc>
        <w:tc>
          <w:tcPr>
            <w:tcW w:w="1292" w:type="dxa"/>
          </w:tcPr>
          <w:p>
            <w:pPr>
              <w:pStyle w:val="TableParagraph"/>
              <w:spacing w:before="30"/>
              <w:ind w:left="248" w:right="603"/>
              <w:jc w:val="center"/>
              <w:rPr>
                <w:b/>
                <w:sz w:val="18"/>
              </w:rPr>
            </w:pPr>
            <w:r>
              <w:rPr>
                <w:b/>
                <w:sz w:val="18"/>
              </w:rPr>
              <w:t>2017</w:t>
            </w:r>
          </w:p>
          <w:p>
            <w:pPr>
              <w:pStyle w:val="TableParagraph"/>
              <w:spacing w:before="66"/>
              <w:ind w:right="355"/>
              <w:jc w:val="center"/>
              <w:rPr>
                <w:b/>
                <w:sz w:val="18"/>
              </w:rPr>
            </w:pPr>
            <w:r>
              <w:rPr>
                <w:b/>
                <w:w w:val="99"/>
                <w:sz w:val="18"/>
              </w:rPr>
              <w:t>$</w:t>
            </w:r>
          </w:p>
        </w:tc>
        <w:tc>
          <w:tcPr>
            <w:tcW w:w="1302" w:type="dxa"/>
          </w:tcPr>
          <w:p>
            <w:pPr>
              <w:pStyle w:val="TableParagraph"/>
              <w:spacing w:before="30"/>
              <w:ind w:left="253" w:right="608"/>
              <w:jc w:val="center"/>
              <w:rPr>
                <w:b/>
                <w:sz w:val="18"/>
              </w:rPr>
            </w:pPr>
            <w:r>
              <w:rPr>
                <w:b/>
                <w:sz w:val="18"/>
              </w:rPr>
              <w:t>2016</w:t>
            </w:r>
          </w:p>
          <w:p>
            <w:pPr>
              <w:pStyle w:val="TableParagraph"/>
              <w:spacing w:before="66"/>
              <w:ind w:right="355"/>
              <w:jc w:val="center"/>
              <w:rPr>
                <w:b/>
                <w:sz w:val="18"/>
              </w:rPr>
            </w:pPr>
            <w:r>
              <w:rPr>
                <w:b/>
                <w:w w:val="99"/>
                <w:sz w:val="18"/>
              </w:rPr>
              <w:t>$</w:t>
            </w:r>
          </w:p>
        </w:tc>
        <w:tc>
          <w:tcPr>
            <w:tcW w:w="1116" w:type="dxa"/>
          </w:tcPr>
          <w:p>
            <w:pPr>
              <w:pStyle w:val="TableParagraph"/>
              <w:spacing w:before="30"/>
              <w:ind w:left="248" w:right="427"/>
              <w:jc w:val="center"/>
              <w:rPr>
                <w:b/>
                <w:sz w:val="18"/>
              </w:rPr>
            </w:pPr>
            <w:r>
              <w:rPr>
                <w:b/>
                <w:sz w:val="18"/>
              </w:rPr>
              <w:t>2017</w:t>
            </w:r>
          </w:p>
          <w:p>
            <w:pPr>
              <w:pStyle w:val="TableParagraph"/>
              <w:spacing w:before="66"/>
              <w:ind w:right="179"/>
              <w:jc w:val="center"/>
              <w:rPr>
                <w:b/>
                <w:sz w:val="18"/>
              </w:rPr>
            </w:pPr>
            <w:r>
              <w:rPr>
                <w:b/>
                <w:w w:val="99"/>
                <w:sz w:val="18"/>
              </w:rPr>
              <w:t>$</w:t>
            </w:r>
          </w:p>
        </w:tc>
        <w:tc>
          <w:tcPr>
            <w:tcW w:w="1297" w:type="dxa"/>
          </w:tcPr>
          <w:p>
            <w:pPr>
              <w:pStyle w:val="TableParagraph"/>
              <w:spacing w:before="30"/>
              <w:ind w:left="428" w:right="428"/>
              <w:jc w:val="center"/>
              <w:rPr>
                <w:b/>
                <w:sz w:val="18"/>
              </w:rPr>
            </w:pPr>
            <w:r>
              <w:rPr>
                <w:b/>
                <w:sz w:val="18"/>
              </w:rPr>
              <w:t>2016</w:t>
            </w:r>
          </w:p>
          <w:p>
            <w:pPr>
              <w:pStyle w:val="TableParagraph"/>
              <w:spacing w:before="66"/>
              <w:jc w:val="center"/>
              <w:rPr>
                <w:b/>
                <w:sz w:val="18"/>
              </w:rPr>
            </w:pPr>
            <w:r>
              <w:rPr>
                <w:b/>
                <w:w w:val="99"/>
                <w:sz w:val="18"/>
              </w:rPr>
              <w:t>$</w:t>
            </w:r>
          </w:p>
        </w:tc>
        <w:tc>
          <w:tcPr>
            <w:tcW w:w="1474" w:type="dxa"/>
          </w:tcPr>
          <w:p>
            <w:pPr>
              <w:pStyle w:val="TableParagraph"/>
              <w:spacing w:before="30"/>
              <w:ind w:left="429" w:right="603"/>
              <w:jc w:val="center"/>
              <w:rPr>
                <w:b/>
                <w:sz w:val="18"/>
              </w:rPr>
            </w:pPr>
            <w:r>
              <w:rPr>
                <w:b/>
                <w:sz w:val="18"/>
              </w:rPr>
              <w:t>2017</w:t>
            </w:r>
          </w:p>
          <w:p>
            <w:pPr>
              <w:pStyle w:val="TableParagraph"/>
              <w:spacing w:before="66"/>
              <w:ind w:right="175"/>
              <w:jc w:val="center"/>
              <w:rPr>
                <w:b/>
                <w:sz w:val="18"/>
              </w:rPr>
            </w:pPr>
            <w:r>
              <w:rPr>
                <w:b/>
                <w:w w:val="99"/>
                <w:sz w:val="18"/>
              </w:rPr>
              <w:t>$</w:t>
            </w:r>
          </w:p>
        </w:tc>
        <w:tc>
          <w:tcPr>
            <w:tcW w:w="1121" w:type="dxa"/>
          </w:tcPr>
          <w:p>
            <w:pPr>
              <w:pStyle w:val="TableParagraph"/>
              <w:spacing w:before="30"/>
              <w:ind w:left="252" w:right="427"/>
              <w:jc w:val="center"/>
              <w:rPr>
                <w:b/>
                <w:sz w:val="18"/>
              </w:rPr>
            </w:pPr>
            <w:r>
              <w:rPr>
                <w:b/>
                <w:sz w:val="18"/>
              </w:rPr>
              <w:t>2016</w:t>
            </w:r>
          </w:p>
          <w:p>
            <w:pPr>
              <w:pStyle w:val="TableParagraph"/>
              <w:spacing w:before="66"/>
              <w:ind w:right="175"/>
              <w:jc w:val="center"/>
              <w:rPr>
                <w:b/>
                <w:sz w:val="18"/>
              </w:rPr>
            </w:pPr>
            <w:r>
              <w:rPr>
                <w:b/>
                <w:w w:val="99"/>
                <w:sz w:val="18"/>
              </w:rPr>
              <w:t>$</w:t>
            </w:r>
          </w:p>
        </w:tc>
      </w:tr>
      <w:tr>
        <w:trPr>
          <w:trHeight w:val="293" w:hRule="exact"/>
        </w:trPr>
        <w:tc>
          <w:tcPr>
            <w:tcW w:w="4079" w:type="dxa"/>
          </w:tcPr>
          <w:p>
            <w:pPr>
              <w:pStyle w:val="TableParagraph"/>
              <w:spacing w:before="63"/>
              <w:ind w:left="35"/>
              <w:rPr>
                <w:b/>
                <w:sz w:val="18"/>
              </w:rPr>
            </w:pPr>
            <w:r>
              <w:rPr>
                <w:b/>
                <w:sz w:val="18"/>
              </w:rPr>
              <w:t>Financial assets due for receipt</w:t>
            </w:r>
          </w:p>
        </w:tc>
        <w:tc>
          <w:tcPr>
            <w:tcW w:w="1459" w:type="dxa"/>
          </w:tcPr>
          <w:p>
            <w:pPr/>
          </w:p>
        </w:tc>
        <w:tc>
          <w:tcPr>
            <w:tcW w:w="1317" w:type="dxa"/>
          </w:tcPr>
          <w:p>
            <w:pPr/>
          </w:p>
        </w:tc>
        <w:tc>
          <w:tcPr>
            <w:tcW w:w="1292" w:type="dxa"/>
          </w:tcPr>
          <w:p>
            <w:pPr/>
          </w:p>
        </w:tc>
        <w:tc>
          <w:tcPr>
            <w:tcW w:w="1302" w:type="dxa"/>
          </w:tcPr>
          <w:p>
            <w:pPr/>
          </w:p>
        </w:tc>
        <w:tc>
          <w:tcPr>
            <w:tcW w:w="1116" w:type="dxa"/>
          </w:tcPr>
          <w:p>
            <w:pPr/>
          </w:p>
        </w:tc>
        <w:tc>
          <w:tcPr>
            <w:tcW w:w="1297" w:type="dxa"/>
          </w:tcPr>
          <w:p>
            <w:pPr/>
          </w:p>
        </w:tc>
        <w:tc>
          <w:tcPr>
            <w:tcW w:w="1474" w:type="dxa"/>
          </w:tcPr>
          <w:p>
            <w:pPr/>
          </w:p>
        </w:tc>
        <w:tc>
          <w:tcPr>
            <w:tcW w:w="1121" w:type="dxa"/>
          </w:tcPr>
          <w:p>
            <w:pPr/>
          </w:p>
        </w:tc>
      </w:tr>
      <w:tr>
        <w:trPr>
          <w:trHeight w:val="250" w:hRule="exact"/>
        </w:trPr>
        <w:tc>
          <w:tcPr>
            <w:tcW w:w="4079" w:type="dxa"/>
          </w:tcPr>
          <w:p>
            <w:pPr>
              <w:pStyle w:val="TableParagraph"/>
              <w:spacing w:before="4"/>
              <w:ind w:left="35"/>
              <w:rPr>
                <w:sz w:val="18"/>
              </w:rPr>
            </w:pPr>
            <w:r>
              <w:rPr>
                <w:sz w:val="18"/>
              </w:rPr>
              <w:t>Cash and cash equivalents</w:t>
            </w:r>
          </w:p>
        </w:tc>
        <w:tc>
          <w:tcPr>
            <w:tcW w:w="1459" w:type="dxa"/>
          </w:tcPr>
          <w:p>
            <w:pPr>
              <w:pStyle w:val="TableParagraph"/>
              <w:spacing w:before="5"/>
              <w:ind w:right="246"/>
              <w:jc w:val="right"/>
              <w:rPr>
                <w:b/>
                <w:sz w:val="18"/>
              </w:rPr>
            </w:pPr>
            <w:r>
              <w:rPr>
                <w:b/>
                <w:w w:val="95"/>
                <w:sz w:val="18"/>
              </w:rPr>
              <w:t>906,965</w:t>
            </w:r>
          </w:p>
        </w:tc>
        <w:tc>
          <w:tcPr>
            <w:tcW w:w="1317" w:type="dxa"/>
          </w:tcPr>
          <w:p>
            <w:pPr>
              <w:pStyle w:val="TableParagraph"/>
              <w:spacing w:before="5"/>
              <w:ind w:right="266"/>
              <w:jc w:val="right"/>
              <w:rPr>
                <w:sz w:val="18"/>
              </w:rPr>
            </w:pPr>
            <w:r>
              <w:rPr>
                <w:w w:val="95"/>
                <w:sz w:val="18"/>
              </w:rPr>
              <w:t>1,109,058</w:t>
            </w:r>
          </w:p>
        </w:tc>
        <w:tc>
          <w:tcPr>
            <w:tcW w:w="6481" w:type="dxa"/>
            <w:gridSpan w:val="5"/>
          </w:tcPr>
          <w:p>
            <w:pPr>
              <w:pStyle w:val="TableParagraph"/>
              <w:tabs>
                <w:tab w:pos="1732" w:val="left" w:leader="none"/>
                <w:tab w:pos="3030" w:val="left" w:leader="none"/>
                <w:tab w:pos="4327" w:val="left" w:leader="none"/>
                <w:tab w:pos="5595" w:val="left" w:leader="none"/>
              </w:tabs>
              <w:spacing w:before="5"/>
              <w:ind w:left="435"/>
              <w:rPr>
                <w:b/>
                <w:sz w:val="18"/>
              </w:rPr>
            </w:pPr>
            <w:r>
              <w:rPr>
                <w:b/>
                <w:sz w:val="18"/>
              </w:rPr>
              <w:t>-</w:t>
              <w:tab/>
            </w:r>
            <w:r>
              <w:rPr>
                <w:sz w:val="18"/>
              </w:rPr>
              <w:t>-</w:t>
              <w:tab/>
            </w:r>
            <w:r>
              <w:rPr>
                <w:b/>
                <w:sz w:val="18"/>
              </w:rPr>
              <w:t>-</w:t>
              <w:tab/>
            </w:r>
            <w:r>
              <w:rPr>
                <w:sz w:val="18"/>
              </w:rPr>
              <w:t>-</w:t>
              <w:tab/>
            </w:r>
            <w:r>
              <w:rPr>
                <w:b/>
                <w:sz w:val="18"/>
              </w:rPr>
              <w:t>906,965</w:t>
            </w:r>
          </w:p>
        </w:tc>
        <w:tc>
          <w:tcPr>
            <w:tcW w:w="1121" w:type="dxa"/>
          </w:tcPr>
          <w:p>
            <w:pPr>
              <w:pStyle w:val="TableParagraph"/>
              <w:spacing w:before="5"/>
              <w:ind w:right="85"/>
              <w:jc w:val="right"/>
              <w:rPr>
                <w:sz w:val="18"/>
              </w:rPr>
            </w:pPr>
            <w:r>
              <w:rPr>
                <w:w w:val="95"/>
                <w:sz w:val="18"/>
              </w:rPr>
              <w:t>1,109,058</w:t>
            </w:r>
          </w:p>
        </w:tc>
      </w:tr>
      <w:tr>
        <w:trPr>
          <w:trHeight w:val="264" w:hRule="exact"/>
        </w:trPr>
        <w:tc>
          <w:tcPr>
            <w:tcW w:w="4079" w:type="dxa"/>
          </w:tcPr>
          <w:p>
            <w:pPr>
              <w:pStyle w:val="TableParagraph"/>
              <w:spacing w:before="18"/>
              <w:ind w:left="35"/>
              <w:rPr>
                <w:sz w:val="18"/>
              </w:rPr>
            </w:pPr>
            <w:r>
              <w:rPr>
                <w:sz w:val="18"/>
              </w:rPr>
              <w:t>Loans to parent entity</w:t>
            </w:r>
          </w:p>
        </w:tc>
        <w:tc>
          <w:tcPr>
            <w:tcW w:w="1459" w:type="dxa"/>
          </w:tcPr>
          <w:p>
            <w:pPr>
              <w:pStyle w:val="TableParagraph"/>
              <w:spacing w:before="19"/>
              <w:ind w:right="246"/>
              <w:jc w:val="right"/>
              <w:rPr>
                <w:b/>
                <w:sz w:val="18"/>
              </w:rPr>
            </w:pPr>
            <w:r>
              <w:rPr>
                <w:b/>
                <w:w w:val="95"/>
                <w:sz w:val="18"/>
              </w:rPr>
              <w:t>7,001,886</w:t>
            </w:r>
          </w:p>
        </w:tc>
        <w:tc>
          <w:tcPr>
            <w:tcW w:w="1317" w:type="dxa"/>
          </w:tcPr>
          <w:p>
            <w:pPr>
              <w:pStyle w:val="TableParagraph"/>
              <w:spacing w:before="19"/>
              <w:ind w:right="266"/>
              <w:jc w:val="right"/>
              <w:rPr>
                <w:sz w:val="18"/>
              </w:rPr>
            </w:pPr>
            <w:r>
              <w:rPr>
                <w:w w:val="95"/>
                <w:sz w:val="18"/>
              </w:rPr>
              <w:t>5,651,726</w:t>
            </w:r>
          </w:p>
        </w:tc>
        <w:tc>
          <w:tcPr>
            <w:tcW w:w="6481" w:type="dxa"/>
            <w:gridSpan w:val="5"/>
          </w:tcPr>
          <w:p>
            <w:pPr>
              <w:pStyle w:val="TableParagraph"/>
              <w:tabs>
                <w:tab w:pos="1733" w:val="left" w:leader="none"/>
                <w:tab w:pos="3030" w:val="left" w:leader="none"/>
                <w:tab w:pos="4327" w:val="left" w:leader="none"/>
                <w:tab w:pos="5445" w:val="left" w:leader="none"/>
              </w:tabs>
              <w:spacing w:before="19"/>
              <w:ind w:left="435"/>
              <w:rPr>
                <w:b/>
                <w:sz w:val="18"/>
              </w:rPr>
            </w:pPr>
            <w:r>
              <w:rPr>
                <w:b/>
                <w:sz w:val="18"/>
              </w:rPr>
              <w:t>-</w:t>
              <w:tab/>
            </w:r>
            <w:r>
              <w:rPr>
                <w:sz w:val="18"/>
              </w:rPr>
              <w:t>-</w:t>
              <w:tab/>
            </w:r>
            <w:r>
              <w:rPr>
                <w:b/>
                <w:sz w:val="18"/>
              </w:rPr>
              <w:t>-</w:t>
              <w:tab/>
            </w:r>
            <w:r>
              <w:rPr>
                <w:sz w:val="18"/>
              </w:rPr>
              <w:t>-</w:t>
              <w:tab/>
            </w:r>
            <w:r>
              <w:rPr>
                <w:b/>
                <w:sz w:val="18"/>
              </w:rPr>
              <w:t>7,001,886</w:t>
            </w:r>
          </w:p>
        </w:tc>
        <w:tc>
          <w:tcPr>
            <w:tcW w:w="1121" w:type="dxa"/>
          </w:tcPr>
          <w:p>
            <w:pPr>
              <w:pStyle w:val="TableParagraph"/>
              <w:spacing w:before="19"/>
              <w:ind w:right="84"/>
              <w:jc w:val="right"/>
              <w:rPr>
                <w:sz w:val="18"/>
              </w:rPr>
            </w:pPr>
            <w:r>
              <w:rPr>
                <w:w w:val="95"/>
                <w:sz w:val="18"/>
              </w:rPr>
              <w:t>5,651,726</w:t>
            </w:r>
          </w:p>
        </w:tc>
      </w:tr>
      <w:tr>
        <w:trPr>
          <w:trHeight w:val="264" w:hRule="exact"/>
        </w:trPr>
        <w:tc>
          <w:tcPr>
            <w:tcW w:w="4079" w:type="dxa"/>
          </w:tcPr>
          <w:p>
            <w:pPr>
              <w:pStyle w:val="TableParagraph"/>
              <w:spacing w:before="18"/>
              <w:ind w:left="35"/>
              <w:rPr>
                <w:sz w:val="18"/>
              </w:rPr>
            </w:pPr>
            <w:r>
              <w:rPr>
                <w:sz w:val="18"/>
              </w:rPr>
              <w:t>Trade and other receivables</w:t>
            </w:r>
          </w:p>
        </w:tc>
        <w:tc>
          <w:tcPr>
            <w:tcW w:w="1459" w:type="dxa"/>
          </w:tcPr>
          <w:p>
            <w:pPr>
              <w:pStyle w:val="TableParagraph"/>
              <w:spacing w:before="19"/>
              <w:ind w:right="246"/>
              <w:jc w:val="right"/>
              <w:rPr>
                <w:b/>
                <w:sz w:val="18"/>
              </w:rPr>
            </w:pPr>
            <w:r>
              <w:rPr>
                <w:b/>
                <w:w w:val="95"/>
                <w:sz w:val="18"/>
              </w:rPr>
              <w:t>429,588</w:t>
            </w:r>
          </w:p>
        </w:tc>
        <w:tc>
          <w:tcPr>
            <w:tcW w:w="1317" w:type="dxa"/>
          </w:tcPr>
          <w:p>
            <w:pPr>
              <w:pStyle w:val="TableParagraph"/>
              <w:spacing w:before="19"/>
              <w:ind w:right="266"/>
              <w:jc w:val="right"/>
              <w:rPr>
                <w:sz w:val="18"/>
              </w:rPr>
            </w:pPr>
            <w:r>
              <w:rPr>
                <w:w w:val="95"/>
                <w:sz w:val="18"/>
              </w:rPr>
              <w:t>401,737</w:t>
            </w:r>
          </w:p>
        </w:tc>
        <w:tc>
          <w:tcPr>
            <w:tcW w:w="6481" w:type="dxa"/>
            <w:gridSpan w:val="5"/>
          </w:tcPr>
          <w:p>
            <w:pPr>
              <w:pStyle w:val="TableParagraph"/>
              <w:tabs>
                <w:tab w:pos="1733" w:val="left" w:leader="none"/>
                <w:tab w:pos="3030" w:val="left" w:leader="none"/>
                <w:tab w:pos="4327" w:val="left" w:leader="none"/>
                <w:tab w:pos="5596" w:val="left" w:leader="none"/>
              </w:tabs>
              <w:spacing w:before="19"/>
              <w:ind w:left="436"/>
              <w:rPr>
                <w:b/>
                <w:sz w:val="18"/>
              </w:rPr>
            </w:pPr>
            <w:r>
              <w:rPr>
                <w:b/>
                <w:sz w:val="18"/>
              </w:rPr>
              <w:t>-</w:t>
              <w:tab/>
            </w:r>
            <w:r>
              <w:rPr>
                <w:sz w:val="18"/>
              </w:rPr>
              <w:t>-</w:t>
              <w:tab/>
            </w:r>
            <w:r>
              <w:rPr>
                <w:b/>
                <w:sz w:val="18"/>
              </w:rPr>
              <w:t>-</w:t>
              <w:tab/>
            </w:r>
            <w:r>
              <w:rPr>
                <w:sz w:val="18"/>
              </w:rPr>
              <w:t>-</w:t>
              <w:tab/>
            </w:r>
            <w:r>
              <w:rPr>
                <w:b/>
                <w:sz w:val="18"/>
              </w:rPr>
              <w:t>429,588</w:t>
            </w:r>
          </w:p>
        </w:tc>
        <w:tc>
          <w:tcPr>
            <w:tcW w:w="1121" w:type="dxa"/>
          </w:tcPr>
          <w:p>
            <w:pPr>
              <w:pStyle w:val="TableParagraph"/>
              <w:spacing w:before="19"/>
              <w:ind w:right="84"/>
              <w:jc w:val="right"/>
              <w:rPr>
                <w:sz w:val="18"/>
              </w:rPr>
            </w:pPr>
            <w:r>
              <w:rPr>
                <w:w w:val="95"/>
                <w:sz w:val="18"/>
              </w:rPr>
              <w:t>401,737</w:t>
            </w:r>
          </w:p>
        </w:tc>
      </w:tr>
      <w:tr>
        <w:trPr>
          <w:trHeight w:val="265" w:hRule="exact"/>
        </w:trPr>
        <w:tc>
          <w:tcPr>
            <w:tcW w:w="4079" w:type="dxa"/>
          </w:tcPr>
          <w:p>
            <w:pPr>
              <w:pStyle w:val="TableParagraph"/>
              <w:spacing w:before="18"/>
              <w:ind w:left="35"/>
              <w:rPr>
                <w:sz w:val="18"/>
              </w:rPr>
            </w:pPr>
            <w:r>
              <w:rPr>
                <w:sz w:val="18"/>
              </w:rPr>
              <w:t>Receivables from related parties</w:t>
            </w:r>
          </w:p>
        </w:tc>
        <w:tc>
          <w:tcPr>
            <w:tcW w:w="1459" w:type="dxa"/>
          </w:tcPr>
          <w:p>
            <w:pPr>
              <w:pStyle w:val="TableParagraph"/>
              <w:spacing w:before="19"/>
              <w:ind w:right="246"/>
              <w:jc w:val="right"/>
              <w:rPr>
                <w:b/>
                <w:sz w:val="18"/>
              </w:rPr>
            </w:pPr>
            <w:r>
              <w:rPr>
                <w:b/>
                <w:w w:val="95"/>
                <w:sz w:val="18"/>
              </w:rPr>
              <w:t>1,651,601</w:t>
            </w:r>
          </w:p>
        </w:tc>
        <w:tc>
          <w:tcPr>
            <w:tcW w:w="1317" w:type="dxa"/>
          </w:tcPr>
          <w:p>
            <w:pPr>
              <w:pStyle w:val="TableParagraph"/>
              <w:spacing w:before="19"/>
              <w:ind w:right="265"/>
              <w:jc w:val="right"/>
              <w:rPr>
                <w:sz w:val="18"/>
              </w:rPr>
            </w:pPr>
            <w:r>
              <w:rPr>
                <w:w w:val="95"/>
                <w:sz w:val="18"/>
              </w:rPr>
              <w:t>585,588</w:t>
            </w:r>
          </w:p>
        </w:tc>
        <w:tc>
          <w:tcPr>
            <w:tcW w:w="6481" w:type="dxa"/>
            <w:gridSpan w:val="5"/>
          </w:tcPr>
          <w:p>
            <w:pPr>
              <w:pStyle w:val="TableParagraph"/>
              <w:tabs>
                <w:tab w:pos="1733" w:val="left" w:leader="none"/>
                <w:tab w:pos="3030" w:val="left" w:leader="none"/>
                <w:tab w:pos="4328" w:val="left" w:leader="none"/>
                <w:tab w:pos="5446" w:val="left" w:leader="none"/>
              </w:tabs>
              <w:spacing w:before="19"/>
              <w:ind w:left="436"/>
              <w:rPr>
                <w:b/>
                <w:sz w:val="18"/>
              </w:rPr>
            </w:pPr>
            <w:r>
              <w:rPr>
                <w:b/>
                <w:sz w:val="18"/>
              </w:rPr>
              <w:t>-</w:t>
              <w:tab/>
            </w:r>
            <w:r>
              <w:rPr>
                <w:sz w:val="18"/>
              </w:rPr>
              <w:t>-</w:t>
              <w:tab/>
            </w:r>
            <w:r>
              <w:rPr>
                <w:b/>
                <w:sz w:val="18"/>
              </w:rPr>
              <w:t>-</w:t>
              <w:tab/>
            </w:r>
            <w:r>
              <w:rPr>
                <w:sz w:val="18"/>
              </w:rPr>
              <w:t>-</w:t>
              <w:tab/>
            </w:r>
            <w:r>
              <w:rPr>
                <w:b/>
                <w:sz w:val="18"/>
              </w:rPr>
              <w:t>1,651,601</w:t>
            </w:r>
          </w:p>
        </w:tc>
        <w:tc>
          <w:tcPr>
            <w:tcW w:w="1121" w:type="dxa"/>
          </w:tcPr>
          <w:p>
            <w:pPr>
              <w:pStyle w:val="TableParagraph"/>
              <w:spacing w:before="19"/>
              <w:ind w:right="84"/>
              <w:jc w:val="right"/>
              <w:rPr>
                <w:sz w:val="18"/>
              </w:rPr>
            </w:pPr>
            <w:r>
              <w:rPr>
                <w:w w:val="95"/>
                <w:sz w:val="18"/>
              </w:rPr>
              <w:t>585,588</w:t>
            </w:r>
          </w:p>
        </w:tc>
      </w:tr>
      <w:tr>
        <w:trPr>
          <w:trHeight w:val="263" w:hRule="exact"/>
        </w:trPr>
        <w:tc>
          <w:tcPr>
            <w:tcW w:w="8147" w:type="dxa"/>
            <w:gridSpan w:val="4"/>
          </w:tcPr>
          <w:p>
            <w:pPr>
              <w:pStyle w:val="TableParagraph"/>
              <w:tabs>
                <w:tab w:pos="4696" w:val="left" w:leader="none"/>
                <w:tab w:pos="5993" w:val="left" w:leader="none"/>
                <w:tab w:pos="7111" w:val="left" w:leader="none"/>
              </w:tabs>
              <w:spacing w:before="19"/>
              <w:ind w:left="35"/>
              <w:rPr>
                <w:b/>
                <w:sz w:val="18"/>
              </w:rPr>
            </w:pPr>
            <w:r>
              <w:rPr>
                <w:sz w:val="18"/>
              </w:rPr>
              <w:t>Loans to</w:t>
            </w:r>
            <w:r>
              <w:rPr>
                <w:spacing w:val="-1"/>
                <w:sz w:val="18"/>
              </w:rPr>
              <w:t> </w:t>
            </w:r>
            <w:r>
              <w:rPr>
                <w:sz w:val="18"/>
              </w:rPr>
              <w:t>joint</w:t>
            </w:r>
            <w:r>
              <w:rPr>
                <w:spacing w:val="-1"/>
                <w:sz w:val="18"/>
              </w:rPr>
              <w:t> </w:t>
            </w:r>
            <w:r>
              <w:rPr>
                <w:sz w:val="18"/>
              </w:rPr>
              <w:t>venture</w:t>
              <w:tab/>
            </w:r>
            <w:r>
              <w:rPr>
                <w:b/>
                <w:sz w:val="18"/>
              </w:rPr>
              <w:t>-</w:t>
              <w:tab/>
            </w:r>
            <w:r>
              <w:rPr>
                <w:sz w:val="18"/>
              </w:rPr>
              <w:t>-</w:t>
              <w:tab/>
            </w:r>
            <w:r>
              <w:rPr>
                <w:b/>
                <w:sz w:val="18"/>
              </w:rPr>
              <w:t>2,100,000</w:t>
            </w:r>
          </w:p>
        </w:tc>
        <w:tc>
          <w:tcPr>
            <w:tcW w:w="1302" w:type="dxa"/>
            <w:tcBorders>
              <w:bottom w:val="single" w:sz="0" w:space="0" w:color="000000"/>
            </w:tcBorders>
          </w:tcPr>
          <w:p>
            <w:pPr>
              <w:pStyle w:val="TableParagraph"/>
              <w:spacing w:before="19"/>
              <w:ind w:left="233"/>
              <w:rPr>
                <w:sz w:val="18"/>
              </w:rPr>
            </w:pPr>
            <w:r>
              <w:rPr>
                <w:sz w:val="18"/>
              </w:rPr>
              <w:t>1,300,000</w:t>
            </w:r>
          </w:p>
        </w:tc>
        <w:tc>
          <w:tcPr>
            <w:tcW w:w="3887" w:type="dxa"/>
            <w:gridSpan w:val="3"/>
            <w:tcBorders>
              <w:bottom w:val="single" w:sz="0" w:space="0" w:color="000000"/>
            </w:tcBorders>
          </w:tcPr>
          <w:p>
            <w:pPr>
              <w:pStyle w:val="TableParagraph"/>
              <w:tabs>
                <w:tab w:pos="1733" w:val="left" w:leader="none"/>
                <w:tab w:pos="2852" w:val="left" w:leader="none"/>
              </w:tabs>
              <w:spacing w:before="19"/>
              <w:ind w:left="436"/>
              <w:rPr>
                <w:b/>
                <w:sz w:val="18"/>
              </w:rPr>
            </w:pPr>
            <w:r>
              <w:rPr>
                <w:b/>
                <w:sz w:val="18"/>
              </w:rPr>
              <w:t>-</w:t>
              <w:tab/>
            </w:r>
            <w:r>
              <w:rPr>
                <w:sz w:val="18"/>
              </w:rPr>
              <w:t>-</w:t>
              <w:tab/>
            </w:r>
            <w:r>
              <w:rPr>
                <w:b/>
                <w:sz w:val="18"/>
              </w:rPr>
              <w:t>2,100,000</w:t>
            </w:r>
          </w:p>
        </w:tc>
        <w:tc>
          <w:tcPr>
            <w:tcW w:w="1121" w:type="dxa"/>
            <w:tcBorders>
              <w:bottom w:val="single" w:sz="0" w:space="0" w:color="000000"/>
            </w:tcBorders>
          </w:tcPr>
          <w:p>
            <w:pPr>
              <w:pStyle w:val="TableParagraph"/>
              <w:spacing w:before="19"/>
              <w:ind w:right="84"/>
              <w:jc w:val="right"/>
              <w:rPr>
                <w:sz w:val="18"/>
              </w:rPr>
            </w:pPr>
            <w:r>
              <w:rPr>
                <w:w w:val="95"/>
                <w:sz w:val="18"/>
              </w:rPr>
              <w:t>1,300,000</w:t>
            </w:r>
          </w:p>
        </w:tc>
      </w:tr>
      <w:tr>
        <w:trPr>
          <w:trHeight w:val="338" w:hRule="exact"/>
        </w:trPr>
        <w:tc>
          <w:tcPr>
            <w:tcW w:w="8147" w:type="dxa"/>
            <w:gridSpan w:val="4"/>
          </w:tcPr>
          <w:p>
            <w:pPr>
              <w:pStyle w:val="TableParagraph"/>
              <w:tabs>
                <w:tab w:pos="5786" w:val="left" w:leader="none"/>
                <w:tab w:pos="7112" w:val="left" w:leader="none"/>
              </w:tabs>
              <w:spacing w:before="123"/>
              <w:ind w:left="4489"/>
              <w:rPr>
                <w:b/>
                <w:sz w:val="18"/>
              </w:rPr>
            </w:pPr>
            <w:r>
              <w:rPr>
                <w:b/>
                <w:sz w:val="18"/>
              </w:rPr>
              <w:t>9,990,040</w:t>
              <w:tab/>
            </w:r>
            <w:r>
              <w:rPr>
                <w:sz w:val="18"/>
              </w:rPr>
              <w:t>7,748,109</w:t>
              <w:tab/>
            </w:r>
            <w:r>
              <w:rPr>
                <w:b/>
                <w:sz w:val="18"/>
              </w:rPr>
              <w:t>2,100,000</w:t>
            </w:r>
          </w:p>
        </w:tc>
        <w:tc>
          <w:tcPr>
            <w:tcW w:w="1302" w:type="dxa"/>
            <w:tcBorders>
              <w:top w:val="single" w:sz="0" w:space="0" w:color="000000"/>
              <w:bottom w:val="single" w:sz="0" w:space="0" w:color="000000"/>
            </w:tcBorders>
          </w:tcPr>
          <w:p>
            <w:pPr>
              <w:pStyle w:val="TableParagraph"/>
              <w:spacing w:before="122"/>
              <w:ind w:left="233"/>
              <w:rPr>
                <w:sz w:val="18"/>
              </w:rPr>
            </w:pPr>
            <w:r>
              <w:rPr>
                <w:sz w:val="18"/>
              </w:rPr>
              <w:t>1,300,000</w:t>
            </w:r>
          </w:p>
        </w:tc>
        <w:tc>
          <w:tcPr>
            <w:tcW w:w="3887" w:type="dxa"/>
            <w:gridSpan w:val="3"/>
            <w:tcBorders>
              <w:top w:val="single" w:sz="0" w:space="0" w:color="000000"/>
              <w:bottom w:val="single" w:sz="0" w:space="0" w:color="000000"/>
            </w:tcBorders>
          </w:tcPr>
          <w:p>
            <w:pPr>
              <w:pStyle w:val="TableParagraph"/>
              <w:tabs>
                <w:tab w:pos="1734" w:val="left" w:leader="none"/>
                <w:tab w:pos="2752" w:val="left" w:leader="none"/>
              </w:tabs>
              <w:spacing w:before="122"/>
              <w:ind w:left="436"/>
              <w:rPr>
                <w:b/>
                <w:sz w:val="18"/>
              </w:rPr>
            </w:pPr>
            <w:r>
              <w:rPr>
                <w:b/>
                <w:sz w:val="18"/>
              </w:rPr>
              <w:t>-</w:t>
              <w:tab/>
            </w:r>
            <w:r>
              <w:rPr>
                <w:sz w:val="18"/>
              </w:rPr>
              <w:t>-</w:t>
              <w:tab/>
            </w:r>
            <w:r>
              <w:rPr>
                <w:b/>
                <w:sz w:val="18"/>
              </w:rPr>
              <w:t>12,090,040</w:t>
            </w:r>
          </w:p>
        </w:tc>
        <w:tc>
          <w:tcPr>
            <w:tcW w:w="1121" w:type="dxa"/>
            <w:tcBorders>
              <w:top w:val="single" w:sz="0" w:space="0" w:color="000000"/>
              <w:bottom w:val="single" w:sz="0" w:space="0" w:color="000000"/>
            </w:tcBorders>
          </w:tcPr>
          <w:p>
            <w:pPr>
              <w:pStyle w:val="TableParagraph"/>
              <w:spacing w:before="122"/>
              <w:ind w:right="84"/>
              <w:jc w:val="right"/>
              <w:rPr>
                <w:sz w:val="18"/>
              </w:rPr>
            </w:pPr>
            <w:r>
              <w:rPr>
                <w:w w:val="95"/>
                <w:sz w:val="18"/>
              </w:rPr>
              <w:t>9,048,109</w:t>
            </w:r>
          </w:p>
        </w:tc>
      </w:tr>
      <w:tr>
        <w:trPr>
          <w:trHeight w:val="603" w:hRule="exact"/>
        </w:trPr>
        <w:tc>
          <w:tcPr>
            <w:tcW w:w="4079" w:type="dxa"/>
          </w:tcPr>
          <w:p>
            <w:pPr>
              <w:pStyle w:val="TableParagraph"/>
              <w:spacing w:before="113"/>
              <w:ind w:left="35"/>
              <w:rPr>
                <w:b/>
                <w:sz w:val="18"/>
              </w:rPr>
            </w:pPr>
            <w:r>
              <w:rPr>
                <w:b/>
                <w:sz w:val="18"/>
              </w:rPr>
              <w:t>Financial liabilities due for payment</w:t>
            </w:r>
          </w:p>
          <w:p>
            <w:pPr>
              <w:pStyle w:val="TableParagraph"/>
              <w:spacing w:before="27"/>
              <w:ind w:left="35"/>
              <w:rPr>
                <w:sz w:val="18"/>
              </w:rPr>
            </w:pPr>
            <w:r>
              <w:rPr>
                <w:sz w:val="18"/>
              </w:rPr>
              <w:t>Trade payables</w:t>
            </w:r>
          </w:p>
        </w:tc>
        <w:tc>
          <w:tcPr>
            <w:tcW w:w="1459" w:type="dxa"/>
          </w:tcPr>
          <w:p>
            <w:pPr>
              <w:pStyle w:val="TableParagraph"/>
              <w:rPr>
                <w:b/>
                <w:sz w:val="18"/>
              </w:rPr>
            </w:pPr>
          </w:p>
          <w:p>
            <w:pPr>
              <w:pStyle w:val="TableParagraph"/>
              <w:spacing w:before="142"/>
              <w:ind w:right="245"/>
              <w:jc w:val="right"/>
              <w:rPr>
                <w:b/>
                <w:sz w:val="18"/>
              </w:rPr>
            </w:pPr>
            <w:r>
              <w:rPr>
                <w:b/>
                <w:w w:val="95"/>
                <w:sz w:val="18"/>
              </w:rPr>
              <w:t>467,295</w:t>
            </w:r>
          </w:p>
        </w:tc>
        <w:tc>
          <w:tcPr>
            <w:tcW w:w="1317" w:type="dxa"/>
          </w:tcPr>
          <w:p>
            <w:pPr>
              <w:pStyle w:val="TableParagraph"/>
              <w:rPr>
                <w:b/>
                <w:sz w:val="18"/>
              </w:rPr>
            </w:pPr>
          </w:p>
          <w:p>
            <w:pPr>
              <w:pStyle w:val="TableParagraph"/>
              <w:spacing w:before="142"/>
              <w:ind w:right="265"/>
              <w:jc w:val="right"/>
              <w:rPr>
                <w:sz w:val="18"/>
              </w:rPr>
            </w:pPr>
            <w:r>
              <w:rPr>
                <w:w w:val="95"/>
                <w:sz w:val="18"/>
              </w:rPr>
              <w:t>139,066</w:t>
            </w:r>
          </w:p>
        </w:tc>
        <w:tc>
          <w:tcPr>
            <w:tcW w:w="6481" w:type="dxa"/>
            <w:gridSpan w:val="5"/>
          </w:tcPr>
          <w:p>
            <w:pPr>
              <w:pStyle w:val="TableParagraph"/>
              <w:rPr>
                <w:b/>
                <w:sz w:val="18"/>
              </w:rPr>
            </w:pPr>
          </w:p>
          <w:p>
            <w:pPr>
              <w:pStyle w:val="TableParagraph"/>
              <w:tabs>
                <w:tab w:pos="1734" w:val="left" w:leader="none"/>
                <w:tab w:pos="3031" w:val="left" w:leader="none"/>
                <w:tab w:pos="4328" w:val="left" w:leader="none"/>
                <w:tab w:pos="5597" w:val="left" w:leader="none"/>
              </w:tabs>
              <w:spacing w:before="142"/>
              <w:ind w:left="436"/>
              <w:rPr>
                <w:b/>
                <w:sz w:val="18"/>
              </w:rPr>
            </w:pPr>
            <w:r>
              <w:rPr>
                <w:b/>
                <w:sz w:val="18"/>
              </w:rPr>
              <w:t>-</w:t>
              <w:tab/>
            </w:r>
            <w:r>
              <w:rPr>
                <w:sz w:val="18"/>
              </w:rPr>
              <w:t>-</w:t>
              <w:tab/>
            </w:r>
            <w:r>
              <w:rPr>
                <w:b/>
                <w:sz w:val="18"/>
              </w:rPr>
              <w:t>-</w:t>
              <w:tab/>
            </w:r>
            <w:r>
              <w:rPr>
                <w:sz w:val="18"/>
              </w:rPr>
              <w:t>-</w:t>
              <w:tab/>
            </w:r>
            <w:r>
              <w:rPr>
                <w:b/>
                <w:sz w:val="18"/>
              </w:rPr>
              <w:t>467,295</w:t>
            </w:r>
          </w:p>
        </w:tc>
        <w:tc>
          <w:tcPr>
            <w:tcW w:w="1121" w:type="dxa"/>
          </w:tcPr>
          <w:p>
            <w:pPr>
              <w:pStyle w:val="TableParagraph"/>
              <w:rPr>
                <w:b/>
                <w:sz w:val="18"/>
              </w:rPr>
            </w:pPr>
          </w:p>
          <w:p>
            <w:pPr>
              <w:pStyle w:val="TableParagraph"/>
              <w:spacing w:before="142"/>
              <w:ind w:right="83"/>
              <w:jc w:val="right"/>
              <w:rPr>
                <w:sz w:val="18"/>
              </w:rPr>
            </w:pPr>
            <w:r>
              <w:rPr>
                <w:w w:val="95"/>
                <w:sz w:val="18"/>
              </w:rPr>
              <w:t>139,066</w:t>
            </w:r>
          </w:p>
        </w:tc>
      </w:tr>
      <w:tr>
        <w:trPr>
          <w:trHeight w:val="264" w:hRule="exact"/>
        </w:trPr>
        <w:tc>
          <w:tcPr>
            <w:tcW w:w="4079" w:type="dxa"/>
          </w:tcPr>
          <w:p>
            <w:pPr>
              <w:pStyle w:val="TableParagraph"/>
              <w:spacing w:before="18"/>
              <w:ind w:left="35"/>
              <w:rPr>
                <w:sz w:val="18"/>
              </w:rPr>
            </w:pPr>
            <w:r>
              <w:rPr>
                <w:sz w:val="18"/>
              </w:rPr>
              <w:t>Amounts due to related parties</w:t>
            </w:r>
          </w:p>
        </w:tc>
        <w:tc>
          <w:tcPr>
            <w:tcW w:w="1459" w:type="dxa"/>
          </w:tcPr>
          <w:p>
            <w:pPr>
              <w:pStyle w:val="TableParagraph"/>
              <w:spacing w:before="19"/>
              <w:ind w:right="161"/>
              <w:jc w:val="center"/>
              <w:rPr>
                <w:b/>
                <w:sz w:val="18"/>
              </w:rPr>
            </w:pPr>
            <w:r>
              <w:rPr>
                <w:b/>
                <w:w w:val="99"/>
                <w:sz w:val="18"/>
              </w:rPr>
              <w:t>-</w:t>
            </w:r>
          </w:p>
        </w:tc>
        <w:tc>
          <w:tcPr>
            <w:tcW w:w="1317" w:type="dxa"/>
          </w:tcPr>
          <w:p>
            <w:pPr>
              <w:pStyle w:val="TableParagraph"/>
              <w:spacing w:before="19"/>
              <w:ind w:right="265"/>
              <w:jc w:val="right"/>
              <w:rPr>
                <w:sz w:val="18"/>
              </w:rPr>
            </w:pPr>
            <w:r>
              <w:rPr>
                <w:w w:val="95"/>
                <w:sz w:val="18"/>
              </w:rPr>
              <w:t>684,058</w:t>
            </w:r>
          </w:p>
        </w:tc>
        <w:tc>
          <w:tcPr>
            <w:tcW w:w="6481" w:type="dxa"/>
            <w:gridSpan w:val="5"/>
          </w:tcPr>
          <w:p>
            <w:pPr>
              <w:pStyle w:val="TableParagraph"/>
              <w:tabs>
                <w:tab w:pos="1734" w:val="left" w:leader="none"/>
                <w:tab w:pos="3031" w:val="left" w:leader="none"/>
                <w:tab w:pos="4328" w:val="left" w:leader="none"/>
                <w:tab w:pos="5625" w:val="left" w:leader="none"/>
              </w:tabs>
              <w:spacing w:before="19"/>
              <w:ind w:left="436"/>
              <w:rPr>
                <w:b/>
                <w:sz w:val="18"/>
              </w:rPr>
            </w:pPr>
            <w:r>
              <w:rPr>
                <w:b/>
                <w:sz w:val="18"/>
              </w:rPr>
              <w:t>-</w:t>
              <w:tab/>
            </w:r>
            <w:r>
              <w:rPr>
                <w:sz w:val="18"/>
              </w:rPr>
              <w:t>-</w:t>
              <w:tab/>
            </w:r>
            <w:r>
              <w:rPr>
                <w:b/>
                <w:sz w:val="18"/>
              </w:rPr>
              <w:t>-</w:t>
              <w:tab/>
            </w:r>
            <w:r>
              <w:rPr>
                <w:sz w:val="18"/>
              </w:rPr>
              <w:t>-</w:t>
              <w:tab/>
            </w:r>
            <w:r>
              <w:rPr>
                <w:b/>
                <w:sz w:val="18"/>
              </w:rPr>
              <w:t>-</w:t>
            </w:r>
          </w:p>
        </w:tc>
        <w:tc>
          <w:tcPr>
            <w:tcW w:w="1121" w:type="dxa"/>
          </w:tcPr>
          <w:p>
            <w:pPr>
              <w:pStyle w:val="TableParagraph"/>
              <w:spacing w:before="19"/>
              <w:ind w:right="83"/>
              <w:jc w:val="right"/>
              <w:rPr>
                <w:sz w:val="18"/>
              </w:rPr>
            </w:pPr>
            <w:r>
              <w:rPr>
                <w:w w:val="95"/>
                <w:sz w:val="18"/>
              </w:rPr>
              <w:t>684,058</w:t>
            </w:r>
          </w:p>
        </w:tc>
      </w:tr>
      <w:tr>
        <w:trPr>
          <w:trHeight w:val="264" w:hRule="exact"/>
        </w:trPr>
        <w:tc>
          <w:tcPr>
            <w:tcW w:w="4079" w:type="dxa"/>
          </w:tcPr>
          <w:p>
            <w:pPr>
              <w:pStyle w:val="TableParagraph"/>
              <w:spacing w:before="18"/>
              <w:ind w:left="35"/>
              <w:rPr>
                <w:sz w:val="18"/>
              </w:rPr>
            </w:pPr>
            <w:r>
              <w:rPr>
                <w:sz w:val="18"/>
              </w:rPr>
              <w:t>Accrued expenses</w:t>
            </w:r>
          </w:p>
        </w:tc>
        <w:tc>
          <w:tcPr>
            <w:tcW w:w="1459" w:type="dxa"/>
          </w:tcPr>
          <w:p>
            <w:pPr>
              <w:pStyle w:val="TableParagraph"/>
              <w:spacing w:before="19"/>
              <w:ind w:right="245"/>
              <w:jc w:val="right"/>
              <w:rPr>
                <w:b/>
                <w:sz w:val="18"/>
              </w:rPr>
            </w:pPr>
            <w:r>
              <w:rPr>
                <w:b/>
                <w:w w:val="95"/>
                <w:sz w:val="18"/>
              </w:rPr>
              <w:t>3,016,451</w:t>
            </w:r>
          </w:p>
        </w:tc>
        <w:tc>
          <w:tcPr>
            <w:tcW w:w="1317" w:type="dxa"/>
          </w:tcPr>
          <w:p>
            <w:pPr>
              <w:pStyle w:val="TableParagraph"/>
              <w:spacing w:before="19"/>
              <w:ind w:right="265"/>
              <w:jc w:val="right"/>
              <w:rPr>
                <w:sz w:val="18"/>
              </w:rPr>
            </w:pPr>
            <w:r>
              <w:rPr>
                <w:w w:val="95"/>
                <w:sz w:val="18"/>
              </w:rPr>
              <w:t>2,210,500</w:t>
            </w:r>
          </w:p>
        </w:tc>
        <w:tc>
          <w:tcPr>
            <w:tcW w:w="6481" w:type="dxa"/>
            <w:gridSpan w:val="5"/>
          </w:tcPr>
          <w:p>
            <w:pPr>
              <w:pStyle w:val="TableParagraph"/>
              <w:tabs>
                <w:tab w:pos="1734" w:val="left" w:leader="none"/>
                <w:tab w:pos="3031" w:val="left" w:leader="none"/>
                <w:tab w:pos="4328" w:val="left" w:leader="none"/>
                <w:tab w:pos="5446" w:val="left" w:leader="none"/>
              </w:tabs>
              <w:spacing w:before="19"/>
              <w:ind w:left="436"/>
              <w:rPr>
                <w:b/>
                <w:sz w:val="18"/>
              </w:rPr>
            </w:pPr>
            <w:r>
              <w:rPr>
                <w:b/>
                <w:sz w:val="18"/>
              </w:rPr>
              <w:t>-</w:t>
              <w:tab/>
            </w:r>
            <w:r>
              <w:rPr>
                <w:sz w:val="18"/>
              </w:rPr>
              <w:t>-</w:t>
              <w:tab/>
            </w:r>
            <w:r>
              <w:rPr>
                <w:b/>
                <w:sz w:val="18"/>
              </w:rPr>
              <w:t>-</w:t>
              <w:tab/>
            </w:r>
            <w:r>
              <w:rPr>
                <w:sz w:val="18"/>
              </w:rPr>
              <w:t>-</w:t>
              <w:tab/>
            </w:r>
            <w:r>
              <w:rPr>
                <w:b/>
                <w:sz w:val="18"/>
              </w:rPr>
              <w:t>3,016,451</w:t>
            </w:r>
          </w:p>
        </w:tc>
        <w:tc>
          <w:tcPr>
            <w:tcW w:w="1121" w:type="dxa"/>
          </w:tcPr>
          <w:p>
            <w:pPr>
              <w:pStyle w:val="TableParagraph"/>
              <w:spacing w:before="19"/>
              <w:ind w:right="83"/>
              <w:jc w:val="right"/>
              <w:rPr>
                <w:sz w:val="18"/>
              </w:rPr>
            </w:pPr>
            <w:r>
              <w:rPr>
                <w:w w:val="95"/>
                <w:sz w:val="18"/>
              </w:rPr>
              <w:t>2,210,500</w:t>
            </w:r>
          </w:p>
        </w:tc>
      </w:tr>
      <w:tr>
        <w:trPr>
          <w:trHeight w:val="263" w:hRule="exact"/>
        </w:trPr>
        <w:tc>
          <w:tcPr>
            <w:tcW w:w="4079" w:type="dxa"/>
          </w:tcPr>
          <w:p>
            <w:pPr>
              <w:pStyle w:val="TableParagraph"/>
              <w:spacing w:before="18"/>
              <w:ind w:left="36"/>
              <w:rPr>
                <w:sz w:val="18"/>
              </w:rPr>
            </w:pPr>
            <w:r>
              <w:rPr>
                <w:sz w:val="18"/>
              </w:rPr>
              <w:t>Other liabilities</w:t>
            </w:r>
          </w:p>
        </w:tc>
        <w:tc>
          <w:tcPr>
            <w:tcW w:w="1459" w:type="dxa"/>
            <w:tcBorders>
              <w:bottom w:val="single" w:sz="0" w:space="0" w:color="000000"/>
            </w:tcBorders>
          </w:tcPr>
          <w:p>
            <w:pPr>
              <w:pStyle w:val="TableParagraph"/>
              <w:spacing w:before="19"/>
              <w:ind w:right="246"/>
              <w:jc w:val="right"/>
              <w:rPr>
                <w:b/>
                <w:sz w:val="18"/>
              </w:rPr>
            </w:pPr>
            <w:r>
              <w:rPr>
                <w:b/>
                <w:w w:val="95"/>
                <w:sz w:val="18"/>
              </w:rPr>
              <w:t>7,028</w:t>
            </w:r>
          </w:p>
        </w:tc>
        <w:tc>
          <w:tcPr>
            <w:tcW w:w="1317" w:type="dxa"/>
            <w:tcBorders>
              <w:bottom w:val="single" w:sz="0" w:space="0" w:color="000000"/>
            </w:tcBorders>
          </w:tcPr>
          <w:p>
            <w:pPr>
              <w:pStyle w:val="TableParagraph"/>
              <w:spacing w:before="19"/>
              <w:ind w:right="265"/>
              <w:jc w:val="right"/>
              <w:rPr>
                <w:sz w:val="18"/>
              </w:rPr>
            </w:pPr>
            <w:r>
              <w:rPr>
                <w:w w:val="95"/>
                <w:sz w:val="18"/>
              </w:rPr>
              <w:t>380,756</w:t>
            </w:r>
          </w:p>
        </w:tc>
        <w:tc>
          <w:tcPr>
            <w:tcW w:w="6481" w:type="dxa"/>
            <w:gridSpan w:val="5"/>
            <w:tcBorders>
              <w:bottom w:val="single" w:sz="0" w:space="0" w:color="000000"/>
            </w:tcBorders>
          </w:tcPr>
          <w:p>
            <w:pPr>
              <w:pStyle w:val="TableParagraph"/>
              <w:tabs>
                <w:tab w:pos="1734" w:val="left" w:leader="none"/>
                <w:tab w:pos="3031" w:val="left" w:leader="none"/>
                <w:tab w:pos="4328" w:val="left" w:leader="none"/>
                <w:tab w:pos="5796" w:val="left" w:leader="none"/>
              </w:tabs>
              <w:spacing w:before="19"/>
              <w:ind w:left="437"/>
              <w:rPr>
                <w:b/>
                <w:sz w:val="18"/>
              </w:rPr>
            </w:pPr>
            <w:r>
              <w:rPr>
                <w:b/>
                <w:sz w:val="18"/>
              </w:rPr>
              <w:t>-</w:t>
              <w:tab/>
            </w:r>
            <w:r>
              <w:rPr>
                <w:sz w:val="18"/>
              </w:rPr>
              <w:t>-</w:t>
              <w:tab/>
            </w:r>
            <w:r>
              <w:rPr>
                <w:b/>
                <w:sz w:val="18"/>
              </w:rPr>
              <w:t>-</w:t>
              <w:tab/>
            </w:r>
            <w:r>
              <w:rPr>
                <w:sz w:val="18"/>
              </w:rPr>
              <w:t>-</w:t>
              <w:tab/>
            </w:r>
            <w:r>
              <w:rPr>
                <w:b/>
                <w:sz w:val="18"/>
              </w:rPr>
              <w:t>7,028</w:t>
            </w:r>
          </w:p>
        </w:tc>
        <w:tc>
          <w:tcPr>
            <w:tcW w:w="1121" w:type="dxa"/>
            <w:tcBorders>
              <w:bottom w:val="single" w:sz="0" w:space="0" w:color="000000"/>
            </w:tcBorders>
          </w:tcPr>
          <w:p>
            <w:pPr>
              <w:pStyle w:val="TableParagraph"/>
              <w:spacing w:before="19"/>
              <w:ind w:right="83"/>
              <w:jc w:val="right"/>
              <w:rPr>
                <w:sz w:val="18"/>
              </w:rPr>
            </w:pPr>
            <w:r>
              <w:rPr>
                <w:w w:val="95"/>
                <w:sz w:val="18"/>
              </w:rPr>
              <w:t>380,756</w:t>
            </w:r>
          </w:p>
        </w:tc>
      </w:tr>
      <w:tr>
        <w:trPr>
          <w:trHeight w:val="338" w:hRule="exact"/>
        </w:trPr>
        <w:tc>
          <w:tcPr>
            <w:tcW w:w="4079" w:type="dxa"/>
          </w:tcPr>
          <w:p>
            <w:pPr/>
          </w:p>
        </w:tc>
        <w:tc>
          <w:tcPr>
            <w:tcW w:w="1459" w:type="dxa"/>
            <w:tcBorders>
              <w:top w:val="single" w:sz="0" w:space="0" w:color="000000"/>
              <w:bottom w:val="single" w:sz="0" w:space="0" w:color="000000"/>
            </w:tcBorders>
          </w:tcPr>
          <w:p>
            <w:pPr>
              <w:pStyle w:val="TableParagraph"/>
              <w:spacing w:before="122"/>
              <w:ind w:right="245"/>
              <w:jc w:val="right"/>
              <w:rPr>
                <w:b/>
                <w:sz w:val="18"/>
              </w:rPr>
            </w:pPr>
            <w:r>
              <w:rPr>
                <w:b/>
                <w:w w:val="95"/>
                <w:sz w:val="18"/>
              </w:rPr>
              <w:t>3,490,774</w:t>
            </w:r>
          </w:p>
        </w:tc>
        <w:tc>
          <w:tcPr>
            <w:tcW w:w="1317" w:type="dxa"/>
            <w:tcBorders>
              <w:top w:val="single" w:sz="0" w:space="0" w:color="000000"/>
              <w:bottom w:val="single" w:sz="0" w:space="0" w:color="000000"/>
            </w:tcBorders>
          </w:tcPr>
          <w:p>
            <w:pPr>
              <w:pStyle w:val="TableParagraph"/>
              <w:spacing w:before="122"/>
              <w:ind w:right="265"/>
              <w:jc w:val="right"/>
              <w:rPr>
                <w:sz w:val="18"/>
              </w:rPr>
            </w:pPr>
            <w:r>
              <w:rPr>
                <w:w w:val="95"/>
                <w:sz w:val="18"/>
              </w:rPr>
              <w:t>3,414,380</w:t>
            </w:r>
          </w:p>
        </w:tc>
        <w:tc>
          <w:tcPr>
            <w:tcW w:w="6481" w:type="dxa"/>
            <w:gridSpan w:val="5"/>
            <w:tcBorders>
              <w:top w:val="single" w:sz="0" w:space="0" w:color="000000"/>
              <w:bottom w:val="single" w:sz="0" w:space="0" w:color="000000"/>
            </w:tcBorders>
          </w:tcPr>
          <w:p>
            <w:pPr>
              <w:pStyle w:val="TableParagraph"/>
              <w:tabs>
                <w:tab w:pos="1733" w:val="left" w:leader="none"/>
                <w:tab w:pos="3031" w:val="left" w:leader="none"/>
                <w:tab w:pos="4328" w:val="left" w:leader="none"/>
                <w:tab w:pos="5446" w:val="left" w:leader="none"/>
              </w:tabs>
              <w:spacing w:before="122"/>
              <w:ind w:left="436"/>
              <w:rPr>
                <w:b/>
                <w:sz w:val="18"/>
              </w:rPr>
            </w:pPr>
            <w:r>
              <w:rPr>
                <w:b/>
                <w:sz w:val="18"/>
              </w:rPr>
              <w:t>-</w:t>
              <w:tab/>
            </w:r>
            <w:r>
              <w:rPr>
                <w:sz w:val="18"/>
              </w:rPr>
              <w:t>-</w:t>
              <w:tab/>
            </w:r>
            <w:r>
              <w:rPr>
                <w:b/>
                <w:sz w:val="18"/>
              </w:rPr>
              <w:t>-</w:t>
              <w:tab/>
            </w:r>
            <w:r>
              <w:rPr>
                <w:sz w:val="18"/>
              </w:rPr>
              <w:t>-</w:t>
              <w:tab/>
            </w:r>
            <w:r>
              <w:rPr>
                <w:b/>
                <w:sz w:val="18"/>
              </w:rPr>
              <w:t>3,490,774</w:t>
            </w:r>
          </w:p>
        </w:tc>
        <w:tc>
          <w:tcPr>
            <w:tcW w:w="1121" w:type="dxa"/>
            <w:tcBorders>
              <w:top w:val="single" w:sz="0" w:space="0" w:color="000000"/>
              <w:bottom w:val="single" w:sz="0" w:space="0" w:color="000000"/>
            </w:tcBorders>
          </w:tcPr>
          <w:p>
            <w:pPr>
              <w:pStyle w:val="TableParagraph"/>
              <w:spacing w:before="122"/>
              <w:ind w:right="84"/>
              <w:jc w:val="right"/>
              <w:rPr>
                <w:sz w:val="18"/>
              </w:rPr>
            </w:pPr>
            <w:r>
              <w:rPr>
                <w:w w:val="95"/>
                <w:sz w:val="18"/>
              </w:rPr>
              <w:t>3,414,380</w:t>
            </w:r>
          </w:p>
        </w:tc>
      </w:tr>
    </w:tbl>
    <w:p>
      <w:pPr>
        <w:pStyle w:val="BodyText"/>
        <w:spacing w:before="3"/>
        <w:rPr>
          <w:b/>
          <w:sz w:val="19"/>
        </w:rPr>
      </w:pPr>
    </w:p>
    <w:p>
      <w:pPr>
        <w:pStyle w:val="BodyText"/>
        <w:spacing w:before="77"/>
        <w:ind w:left="1072" w:right="373"/>
        <w:jc w:val="both"/>
      </w:pPr>
      <w:r>
        <w:rPr/>
        <w:t>The timing of cash flows presented in the table to settle financial liabilities reflects the earliest contractual settlement dates and does not reflect management's expectations that banking facilities will be rolled forward. The amounts disclosed in the table are the undiscounted contracted cash flows and therefore the balances in the table may not equal the balances in the statement of financial position due to the effect of discounting.</w:t>
      </w:r>
    </w:p>
    <w:p>
      <w:pPr>
        <w:pStyle w:val="BodyText"/>
        <w:rPr>
          <w:sz w:val="25"/>
        </w:rPr>
      </w:pPr>
    </w:p>
    <w:p>
      <w:pPr>
        <w:pStyle w:val="BodyText"/>
        <w:ind w:left="1072"/>
        <w:jc w:val="both"/>
      </w:pPr>
      <w:r>
        <w:rPr/>
        <w:t>The timing of expected outflows is not expected to be materially different from contracted cash flows.</w:t>
      </w:r>
    </w:p>
    <w:p>
      <w:pPr>
        <w:pStyle w:val="BodyText"/>
      </w:pPr>
    </w:p>
    <w:p>
      <w:pPr>
        <w:pStyle w:val="BodyText"/>
      </w:pPr>
    </w:p>
    <w:p>
      <w:pPr>
        <w:pStyle w:val="BodyText"/>
      </w:pPr>
    </w:p>
    <w:p>
      <w:pPr>
        <w:pStyle w:val="BodyText"/>
      </w:pPr>
    </w:p>
    <w:p>
      <w:pPr>
        <w:pStyle w:val="BodyText"/>
      </w:pPr>
    </w:p>
    <w:p>
      <w:pPr>
        <w:spacing w:before="118"/>
        <w:ind w:left="7367" w:right="7385" w:firstLine="0"/>
        <w:jc w:val="center"/>
        <w:rPr>
          <w:sz w:val="16"/>
        </w:rPr>
      </w:pPr>
      <w:r>
        <w:rPr>
          <w:sz w:val="16"/>
        </w:rPr>
        <w:t>125</w:t>
      </w:r>
    </w:p>
    <w:p>
      <w:pPr>
        <w:spacing w:after="0"/>
        <w:jc w:val="center"/>
        <w:rPr>
          <w:sz w:val="16"/>
        </w:rPr>
        <w:sectPr>
          <w:headerReference w:type="default" r:id="rId56"/>
          <w:footerReference w:type="default" r:id="rId57"/>
          <w:pgSz w:w="16840" w:h="11910" w:orient="landscape"/>
          <w:pgMar w:header="0" w:footer="0" w:top="960" w:bottom="280" w:left="900" w:right="880"/>
        </w:sectPr>
      </w:pPr>
    </w:p>
    <w:p>
      <w:pPr>
        <w:pStyle w:val="Heading6"/>
        <w:spacing w:before="49"/>
        <w:ind w:left="108" w:right="51" w:hanging="1"/>
      </w:pPr>
      <w:r>
        <w:rPr/>
        <w:t>Western Sydney University Enterprises Pty Limited Trading as Western Sydney University The College</w:t>
      </w:r>
    </w:p>
    <w:p>
      <w:pPr>
        <w:spacing w:before="56"/>
        <w:ind w:left="107" w:right="194" w:firstLine="0"/>
        <w:jc w:val="left"/>
        <w:rPr>
          <w:b/>
          <w:sz w:val="14"/>
        </w:rPr>
      </w:pPr>
      <w:r>
        <w:rPr>
          <w:b/>
          <w:sz w:val="14"/>
        </w:rPr>
        <w:t>ABN: 44 003 474 468</w:t>
      </w:r>
    </w:p>
    <w:p>
      <w:pPr>
        <w:pStyle w:val="BodyText"/>
        <w:rPr>
          <w:b/>
          <w:sz w:val="14"/>
        </w:rPr>
      </w:pPr>
    </w:p>
    <w:p>
      <w:pPr>
        <w:pStyle w:val="BodyText"/>
        <w:spacing w:before="5"/>
        <w:rPr>
          <w:b/>
          <w:sz w:val="15"/>
        </w:rPr>
      </w:pPr>
    </w:p>
    <w:p>
      <w:pPr>
        <w:pStyle w:val="Heading3"/>
        <w:spacing w:before="0"/>
        <w:ind w:right="194"/>
      </w:pPr>
      <w:r>
        <w:rPr/>
        <w:t>Notes to the Financial Statements</w:t>
      </w:r>
    </w:p>
    <w:p>
      <w:pPr>
        <w:pStyle w:val="Heading6"/>
        <w:ind w:left="107" w:right="194"/>
      </w:pPr>
      <w:r>
        <w:rPr/>
        <w:t>For the Year Ended 31 December 2017</w:t>
      </w:r>
    </w:p>
    <w:p>
      <w:pPr>
        <w:pStyle w:val="BodyText"/>
        <w:rPr>
          <w:b/>
          <w:sz w:val="22"/>
        </w:rPr>
      </w:pPr>
    </w:p>
    <w:p>
      <w:pPr>
        <w:pStyle w:val="BodyText"/>
        <w:rPr>
          <w:b/>
          <w:sz w:val="22"/>
        </w:rPr>
      </w:pPr>
    </w:p>
    <w:p>
      <w:pPr>
        <w:pStyle w:val="Heading9"/>
        <w:spacing w:before="160"/>
        <w:ind w:left="109" w:right="194"/>
      </w:pPr>
      <w:r>
        <w:rPr/>
        <w:t>13    Financial Risk Management continued</w:t>
      </w:r>
    </w:p>
    <w:p>
      <w:pPr>
        <w:pStyle w:val="BodyText"/>
        <w:rPr>
          <w:b/>
        </w:rPr>
      </w:pPr>
    </w:p>
    <w:p>
      <w:pPr>
        <w:pStyle w:val="BodyText"/>
        <w:spacing w:before="10"/>
        <w:rPr>
          <w:b/>
          <w:sz w:val="24"/>
        </w:rPr>
      </w:pPr>
    </w:p>
    <w:p>
      <w:pPr>
        <w:spacing w:before="0"/>
        <w:ind w:left="1076" w:right="194" w:firstLine="0"/>
        <w:jc w:val="left"/>
        <w:rPr>
          <w:i/>
          <w:sz w:val="18"/>
        </w:rPr>
      </w:pPr>
      <w:r>
        <w:rPr>
          <w:i/>
          <w:sz w:val="18"/>
        </w:rPr>
        <w:t>Financial assets pledged as collateral</w:t>
      </w:r>
    </w:p>
    <w:p>
      <w:pPr>
        <w:pStyle w:val="BodyText"/>
        <w:rPr>
          <w:i/>
          <w:sz w:val="25"/>
        </w:rPr>
      </w:pPr>
    </w:p>
    <w:p>
      <w:pPr>
        <w:pStyle w:val="BodyText"/>
        <w:ind w:left="1072" w:right="194"/>
      </w:pPr>
      <w:r>
        <w:rPr/>
        <w:t>No financial assets have been pledged as security for any financial liability.</w:t>
      </w:r>
    </w:p>
    <w:p>
      <w:pPr>
        <w:pStyle w:val="BodyText"/>
        <w:spacing w:before="7"/>
        <w:rPr>
          <w:sz w:val="26"/>
        </w:rPr>
      </w:pPr>
    </w:p>
    <w:p>
      <w:pPr>
        <w:pStyle w:val="Heading9"/>
        <w:numPr>
          <w:ilvl w:val="0"/>
          <w:numId w:val="53"/>
        </w:numPr>
        <w:tabs>
          <w:tab w:pos="1072" w:val="left" w:leader="none"/>
        </w:tabs>
        <w:spacing w:line="240" w:lineRule="auto" w:before="0" w:after="0"/>
        <w:ind w:left="1071" w:right="0" w:hanging="566"/>
        <w:jc w:val="left"/>
      </w:pPr>
      <w:r>
        <w:rPr/>
        <w:t>Market</w:t>
      </w:r>
      <w:r>
        <w:rPr>
          <w:spacing w:val="-1"/>
        </w:rPr>
        <w:t> </w:t>
      </w:r>
      <w:r>
        <w:rPr/>
        <w:t>risk</w:t>
      </w:r>
    </w:p>
    <w:p>
      <w:pPr>
        <w:pStyle w:val="BodyText"/>
        <w:spacing w:before="4"/>
        <w:rPr>
          <w:b/>
          <w:sz w:val="25"/>
        </w:rPr>
      </w:pPr>
    </w:p>
    <w:p>
      <w:pPr>
        <w:pStyle w:val="BodyText"/>
        <w:ind w:left="1072" w:right="374"/>
      </w:pPr>
      <w:r>
        <w:rPr/>
        <w:t>Market risk is the risk that the fair value or future cash flows of a financial instrument will fluctuate because of changes in market prices.</w:t>
      </w:r>
    </w:p>
    <w:p>
      <w:pPr>
        <w:pStyle w:val="BodyText"/>
        <w:rPr>
          <w:sz w:val="25"/>
        </w:rPr>
      </w:pPr>
    </w:p>
    <w:p>
      <w:pPr>
        <w:pStyle w:val="ListParagraph"/>
        <w:numPr>
          <w:ilvl w:val="0"/>
          <w:numId w:val="54"/>
        </w:numPr>
        <w:tabs>
          <w:tab w:pos="1213" w:val="left" w:leader="none"/>
        </w:tabs>
        <w:spacing w:line="240" w:lineRule="auto" w:before="0" w:after="0"/>
        <w:ind w:left="1212" w:right="0" w:hanging="140"/>
        <w:jc w:val="left"/>
        <w:rPr>
          <w:i/>
          <w:sz w:val="18"/>
        </w:rPr>
      </w:pPr>
      <w:r>
        <w:rPr>
          <w:i/>
          <w:sz w:val="18"/>
        </w:rPr>
        <w:t>Interest rate</w:t>
      </w:r>
      <w:r>
        <w:rPr>
          <w:i/>
          <w:spacing w:val="-1"/>
          <w:sz w:val="18"/>
        </w:rPr>
        <w:t> </w:t>
      </w:r>
      <w:r>
        <w:rPr>
          <w:i/>
          <w:sz w:val="18"/>
        </w:rPr>
        <w:t>risk</w:t>
      </w:r>
    </w:p>
    <w:p>
      <w:pPr>
        <w:pStyle w:val="BodyText"/>
        <w:rPr>
          <w:i/>
          <w:sz w:val="25"/>
        </w:rPr>
      </w:pPr>
    </w:p>
    <w:p>
      <w:pPr>
        <w:pStyle w:val="BodyText"/>
        <w:ind w:left="1072" w:right="283"/>
      </w:pPr>
      <w:r>
        <w:rPr/>
        <w:t>Exposure to interest rate risk arises on financial assets and financial liabilities recognised at the end of the reporting period, whereby a future change in interest rates will affect future cash flows or the fair value of fixed rate financial instruments.</w:t>
      </w:r>
    </w:p>
    <w:p>
      <w:pPr>
        <w:pStyle w:val="BodyText"/>
        <w:rPr>
          <w:sz w:val="25"/>
        </w:rPr>
      </w:pPr>
    </w:p>
    <w:p>
      <w:pPr>
        <w:pStyle w:val="ListParagraph"/>
        <w:numPr>
          <w:ilvl w:val="0"/>
          <w:numId w:val="54"/>
        </w:numPr>
        <w:tabs>
          <w:tab w:pos="1257" w:val="left" w:leader="none"/>
        </w:tabs>
        <w:spacing w:line="240" w:lineRule="auto" w:before="0" w:after="0"/>
        <w:ind w:left="1256" w:right="0" w:hanging="180"/>
        <w:jc w:val="left"/>
        <w:rPr>
          <w:i/>
          <w:sz w:val="18"/>
        </w:rPr>
      </w:pPr>
      <w:r>
        <w:rPr>
          <w:i/>
          <w:sz w:val="18"/>
        </w:rPr>
        <w:t>Price</w:t>
      </w:r>
      <w:r>
        <w:rPr>
          <w:i/>
          <w:spacing w:val="-9"/>
          <w:sz w:val="18"/>
        </w:rPr>
        <w:t> </w:t>
      </w:r>
      <w:r>
        <w:rPr>
          <w:i/>
          <w:sz w:val="18"/>
        </w:rPr>
        <w:t>risk</w:t>
      </w:r>
    </w:p>
    <w:p>
      <w:pPr>
        <w:pStyle w:val="BodyText"/>
        <w:rPr>
          <w:i/>
          <w:sz w:val="25"/>
        </w:rPr>
      </w:pPr>
    </w:p>
    <w:p>
      <w:pPr>
        <w:pStyle w:val="BodyText"/>
        <w:ind w:left="1072" w:right="103"/>
      </w:pPr>
      <w:r>
        <w:rPr/>
        <w:t>Price risk relates to the risk that the fair value or future cash flows of a financial instrument will fluctuate because of changes in market prices of securities held being available-for-sale or fair value through profit and loss.</w:t>
      </w:r>
    </w:p>
    <w:p>
      <w:pPr>
        <w:pStyle w:val="BodyText"/>
        <w:spacing w:before="11"/>
        <w:rPr>
          <w:sz w:val="24"/>
        </w:rPr>
      </w:pPr>
    </w:p>
    <w:p>
      <w:pPr>
        <w:pStyle w:val="BodyText"/>
        <w:ind w:left="1072" w:right="194"/>
      </w:pPr>
      <w:r>
        <w:rPr/>
        <w:t>To manage price risk in managed investment funds the Company has contracted out the management of portfolio to external managers. These fund managers are mandated to diversify investments of the portfolio under their management.</w:t>
      </w:r>
    </w:p>
    <w:p>
      <w:pPr>
        <w:pStyle w:val="BodyText"/>
        <w:rPr>
          <w:sz w:val="25"/>
        </w:rPr>
      </w:pPr>
    </w:p>
    <w:p>
      <w:pPr>
        <w:spacing w:before="0"/>
        <w:ind w:left="1076" w:right="194" w:firstLine="0"/>
        <w:jc w:val="left"/>
        <w:rPr>
          <w:i/>
          <w:sz w:val="18"/>
        </w:rPr>
      </w:pPr>
      <w:r>
        <w:rPr>
          <w:i/>
          <w:sz w:val="18"/>
        </w:rPr>
        <w:t>Sensitivity analysis</w:t>
      </w:r>
    </w:p>
    <w:p>
      <w:pPr>
        <w:pStyle w:val="BodyText"/>
        <w:spacing w:before="7"/>
        <w:rPr>
          <w:i/>
          <w:sz w:val="26"/>
        </w:rPr>
      </w:pPr>
    </w:p>
    <w:p>
      <w:pPr>
        <w:pStyle w:val="Heading9"/>
        <w:ind w:left="1039" w:right="194"/>
      </w:pPr>
      <w:r>
        <w:rPr/>
        <w:t>Interest Rate Risk - Sensitivity Analysis</w:t>
      </w:r>
    </w:p>
    <w:p>
      <w:pPr>
        <w:pStyle w:val="BodyText"/>
        <w:spacing w:before="4"/>
        <w:rPr>
          <w:b/>
          <w:sz w:val="25"/>
        </w:rPr>
      </w:pPr>
    </w:p>
    <w:p>
      <w:pPr>
        <w:pStyle w:val="BodyText"/>
        <w:ind w:left="1072" w:right="593"/>
      </w:pPr>
      <w:r>
        <w:rPr/>
        <w:t>The following sensitivity analysis is based on the interest rate risk exposures in existence at the end of the reporting period.</w:t>
      </w:r>
    </w:p>
    <w:p>
      <w:pPr>
        <w:pStyle w:val="BodyText"/>
        <w:rPr>
          <w:sz w:val="25"/>
        </w:rPr>
      </w:pPr>
    </w:p>
    <w:p>
      <w:pPr>
        <w:pStyle w:val="BodyText"/>
        <w:ind w:left="1071" w:right="214"/>
      </w:pPr>
      <w:r>
        <w:rPr/>
        <w:t>With all other things constant, an increase or decrease of 100 basis points would impact equity and the surplus or deficit, by the amounts shown below.</w:t>
      </w:r>
    </w:p>
    <w:p>
      <w:pPr>
        <w:pStyle w:val="BodyText"/>
        <w:rPr>
          <w:sz w:val="25"/>
        </w:rPr>
      </w:pPr>
    </w:p>
    <w:p>
      <w:pPr>
        <w:pStyle w:val="BodyText"/>
        <w:ind w:left="1071" w:right="174"/>
      </w:pPr>
      <w:r>
        <w:rPr/>
        <w:t>The movements in the surplus or deficit reflects the impact of changes in interest rates on variable rate loans or receivables and cash balances.</w:t>
      </w:r>
    </w:p>
    <w:p>
      <w:pPr>
        <w:pStyle w:val="BodyText"/>
        <w:rPr>
          <w:sz w:val="25"/>
        </w:rPr>
      </w:pPr>
    </w:p>
    <w:p>
      <w:pPr>
        <w:pStyle w:val="BodyText"/>
        <w:ind w:left="1072" w:right="112"/>
      </w:pPr>
      <w:r>
        <w:rPr/>
        <w:t>The net exposure at the end of the reporting period is representative of what the Company was and is expecting to be exposed to at the end of the next twelve months. The sensitivity analysis is performed on the same basis as in 2016.</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10"/>
        <w:ind w:left="3771" w:right="3771" w:firstLine="0"/>
        <w:jc w:val="center"/>
        <w:rPr>
          <w:sz w:val="16"/>
        </w:rPr>
      </w:pPr>
      <w:r>
        <w:rPr>
          <w:sz w:val="16"/>
        </w:rPr>
        <w:t>126</w:t>
      </w:r>
    </w:p>
    <w:p>
      <w:pPr>
        <w:spacing w:after="0"/>
        <w:jc w:val="center"/>
        <w:rPr>
          <w:sz w:val="16"/>
        </w:rPr>
        <w:sectPr>
          <w:headerReference w:type="default" r:id="rId58"/>
          <w:footerReference w:type="default" r:id="rId59"/>
          <w:pgSz w:w="11910" w:h="16840"/>
          <w:pgMar w:header="0" w:footer="0" w:top="960" w:bottom="280" w:left="900" w:right="900"/>
        </w:sectPr>
      </w:pPr>
    </w:p>
    <w:p>
      <w:pPr>
        <w:pStyle w:val="Heading6"/>
        <w:spacing w:before="45"/>
        <w:ind w:left="107" w:right="4300" w:hanging="1"/>
      </w:pPr>
      <w:r>
        <w:rPr/>
        <w:t>Western Sydney University Enterprises Pty Limited Trading as Western Sydney University The College</w:t>
      </w:r>
    </w:p>
    <w:p>
      <w:pPr>
        <w:spacing w:before="56"/>
        <w:ind w:left="107" w:right="214" w:firstLine="0"/>
        <w:jc w:val="left"/>
        <w:rPr>
          <w:b/>
          <w:sz w:val="14"/>
        </w:rPr>
      </w:pPr>
      <w:r>
        <w:rPr>
          <w:b/>
          <w:sz w:val="14"/>
        </w:rPr>
        <w:t>ABN: 44 003 474 468</w:t>
      </w:r>
    </w:p>
    <w:p>
      <w:pPr>
        <w:pStyle w:val="BodyText"/>
        <w:rPr>
          <w:b/>
          <w:sz w:val="14"/>
        </w:rPr>
      </w:pPr>
    </w:p>
    <w:p>
      <w:pPr>
        <w:pStyle w:val="BodyText"/>
        <w:spacing w:before="5"/>
        <w:rPr>
          <w:b/>
          <w:sz w:val="15"/>
        </w:rPr>
      </w:pPr>
    </w:p>
    <w:p>
      <w:pPr>
        <w:pStyle w:val="Heading3"/>
        <w:spacing w:before="0"/>
        <w:ind w:right="214"/>
      </w:pPr>
      <w:r>
        <w:rPr/>
        <w:t>Notes to the Financial Statements</w:t>
      </w:r>
    </w:p>
    <w:p>
      <w:pPr>
        <w:pStyle w:val="Heading6"/>
        <w:ind w:left="107" w:right="214"/>
      </w:pPr>
      <w:r>
        <w:rPr/>
        <w:t>For the Year Ended 31 December 2017</w:t>
      </w:r>
    </w:p>
    <w:p>
      <w:pPr>
        <w:pStyle w:val="BodyText"/>
        <w:rPr>
          <w:b/>
          <w:sz w:val="22"/>
        </w:rPr>
      </w:pPr>
    </w:p>
    <w:p>
      <w:pPr>
        <w:pStyle w:val="BodyText"/>
        <w:rPr>
          <w:b/>
          <w:sz w:val="22"/>
        </w:rPr>
      </w:pPr>
    </w:p>
    <w:p>
      <w:pPr>
        <w:pStyle w:val="Heading9"/>
        <w:numPr>
          <w:ilvl w:val="0"/>
          <w:numId w:val="55"/>
        </w:numPr>
        <w:tabs>
          <w:tab w:pos="505" w:val="left" w:leader="none"/>
        </w:tabs>
        <w:spacing w:line="240" w:lineRule="auto" w:before="160" w:after="0"/>
        <w:ind w:left="504" w:right="0" w:hanging="395"/>
        <w:jc w:val="left"/>
      </w:pPr>
      <w:r>
        <w:rPr/>
        <w:t>Financial Risk Management</w:t>
      </w:r>
      <w:r>
        <w:rPr>
          <w:spacing w:val="-1"/>
        </w:rPr>
        <w:t> </w:t>
      </w:r>
      <w:r>
        <w:rPr/>
        <w:t>continued</w:t>
      </w:r>
    </w:p>
    <w:p>
      <w:pPr>
        <w:pStyle w:val="BodyText"/>
        <w:spacing w:before="7"/>
        <w:rPr>
          <w:b/>
          <w:sz w:val="26"/>
        </w:rPr>
      </w:pPr>
    </w:p>
    <w:p>
      <w:pPr>
        <w:spacing w:before="0" w:after="36"/>
        <w:ind w:left="786" w:right="214" w:firstLine="0"/>
        <w:jc w:val="left"/>
        <w:rPr>
          <w:b/>
          <w:sz w:val="18"/>
        </w:rPr>
      </w:pPr>
      <w:r>
        <w:rPr>
          <w:b/>
          <w:sz w:val="18"/>
        </w:rPr>
        <w:t>Interest Rate Risk - Sensitivity Analysis continued</w:t>
      </w:r>
    </w:p>
    <w:tbl>
      <w:tblPr>
        <w:tblW w:w="0" w:type="auto"/>
        <w:jc w:val="left"/>
        <w:tblInd w:w="10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588"/>
        <w:gridCol w:w="1011"/>
        <w:gridCol w:w="1581"/>
        <w:gridCol w:w="1612"/>
        <w:gridCol w:w="1552"/>
        <w:gridCol w:w="1580"/>
      </w:tblGrid>
      <w:tr>
        <w:trPr>
          <w:trHeight w:val="492" w:hRule="exact"/>
        </w:trPr>
        <w:tc>
          <w:tcPr>
            <w:tcW w:w="6588" w:type="dxa"/>
            <w:vMerge w:val="restart"/>
          </w:tcPr>
          <w:p>
            <w:pPr/>
          </w:p>
        </w:tc>
        <w:tc>
          <w:tcPr>
            <w:tcW w:w="1011" w:type="dxa"/>
          </w:tcPr>
          <w:p>
            <w:pPr>
              <w:pStyle w:val="TableParagraph"/>
              <w:spacing w:before="10"/>
              <w:rPr>
                <w:b/>
                <w:sz w:val="23"/>
              </w:rPr>
            </w:pPr>
          </w:p>
          <w:p>
            <w:pPr>
              <w:pStyle w:val="TableParagraph"/>
              <w:spacing w:before="1"/>
              <w:ind w:left="121"/>
              <w:rPr>
                <w:b/>
                <w:sz w:val="18"/>
              </w:rPr>
            </w:pPr>
            <w:r>
              <w:rPr>
                <w:b/>
                <w:sz w:val="18"/>
              </w:rPr>
              <w:t>Carrying</w:t>
            </w:r>
          </w:p>
        </w:tc>
        <w:tc>
          <w:tcPr>
            <w:tcW w:w="1581" w:type="dxa"/>
          </w:tcPr>
          <w:p>
            <w:pPr>
              <w:pStyle w:val="TableParagraph"/>
              <w:spacing w:line="316" w:lineRule="auto" w:before="2"/>
              <w:ind w:left="87" w:right="73" w:firstLine="23"/>
              <w:rPr>
                <w:b/>
                <w:sz w:val="18"/>
              </w:rPr>
            </w:pPr>
            <w:r>
              <w:rPr>
                <w:b/>
                <w:sz w:val="18"/>
              </w:rPr>
              <w:t>Surplus / deficit 100 basis points</w:t>
            </w:r>
          </w:p>
        </w:tc>
        <w:tc>
          <w:tcPr>
            <w:tcW w:w="1612" w:type="dxa"/>
          </w:tcPr>
          <w:p>
            <w:pPr>
              <w:pStyle w:val="TableParagraph"/>
              <w:spacing w:line="316" w:lineRule="auto" w:before="2"/>
              <w:ind w:left="88" w:right="103" w:firstLine="23"/>
              <w:rPr>
                <w:b/>
                <w:sz w:val="18"/>
              </w:rPr>
            </w:pPr>
            <w:r>
              <w:rPr>
                <w:b/>
                <w:sz w:val="18"/>
              </w:rPr>
              <w:t>Surplus / deficit 100 basis points</w:t>
            </w:r>
          </w:p>
        </w:tc>
        <w:tc>
          <w:tcPr>
            <w:tcW w:w="1552" w:type="dxa"/>
          </w:tcPr>
          <w:p>
            <w:pPr>
              <w:pStyle w:val="TableParagraph"/>
              <w:spacing w:before="2"/>
              <w:ind w:left="38" w:right="71"/>
              <w:jc w:val="center"/>
              <w:rPr>
                <w:b/>
                <w:sz w:val="18"/>
              </w:rPr>
            </w:pPr>
            <w:r>
              <w:rPr>
                <w:b/>
                <w:sz w:val="18"/>
              </w:rPr>
              <w:t>Equity</w:t>
            </w:r>
          </w:p>
          <w:p>
            <w:pPr>
              <w:pStyle w:val="TableParagraph"/>
              <w:spacing w:before="66"/>
              <w:ind w:left="39" w:right="71"/>
              <w:jc w:val="center"/>
              <w:rPr>
                <w:b/>
                <w:sz w:val="18"/>
              </w:rPr>
            </w:pPr>
            <w:r>
              <w:rPr>
                <w:b/>
                <w:sz w:val="18"/>
              </w:rPr>
              <w:t>100 basis points</w:t>
            </w:r>
          </w:p>
        </w:tc>
        <w:tc>
          <w:tcPr>
            <w:tcW w:w="1580" w:type="dxa"/>
          </w:tcPr>
          <w:p>
            <w:pPr>
              <w:pStyle w:val="TableParagraph"/>
              <w:spacing w:before="2"/>
              <w:ind w:left="68" w:right="69"/>
              <w:jc w:val="center"/>
              <w:rPr>
                <w:b/>
                <w:sz w:val="18"/>
              </w:rPr>
            </w:pPr>
            <w:r>
              <w:rPr>
                <w:b/>
                <w:sz w:val="18"/>
              </w:rPr>
              <w:t>Equity</w:t>
            </w:r>
          </w:p>
          <w:p>
            <w:pPr>
              <w:pStyle w:val="TableParagraph"/>
              <w:spacing w:before="66"/>
              <w:ind w:left="69" w:right="69"/>
              <w:jc w:val="center"/>
              <w:rPr>
                <w:b/>
                <w:sz w:val="18"/>
              </w:rPr>
            </w:pPr>
            <w:r>
              <w:rPr>
                <w:b/>
                <w:sz w:val="18"/>
              </w:rPr>
              <w:t>100 basis points</w:t>
            </w:r>
          </w:p>
        </w:tc>
      </w:tr>
      <w:tr>
        <w:trPr>
          <w:trHeight w:val="240" w:hRule="exact"/>
        </w:trPr>
        <w:tc>
          <w:tcPr>
            <w:tcW w:w="6588" w:type="dxa"/>
            <w:vMerge/>
          </w:tcPr>
          <w:p>
            <w:pPr/>
          </w:p>
        </w:tc>
        <w:tc>
          <w:tcPr>
            <w:tcW w:w="1011" w:type="dxa"/>
          </w:tcPr>
          <w:p>
            <w:pPr>
              <w:pStyle w:val="TableParagraph"/>
              <w:spacing w:line="197" w:lineRule="exact"/>
              <w:ind w:left="164"/>
              <w:rPr>
                <w:b/>
                <w:sz w:val="18"/>
              </w:rPr>
            </w:pPr>
            <w:r>
              <w:rPr>
                <w:b/>
                <w:sz w:val="18"/>
              </w:rPr>
              <w:t>amount</w:t>
            </w:r>
          </w:p>
        </w:tc>
        <w:tc>
          <w:tcPr>
            <w:tcW w:w="1581" w:type="dxa"/>
          </w:tcPr>
          <w:p>
            <w:pPr>
              <w:pStyle w:val="TableParagraph"/>
              <w:spacing w:line="197" w:lineRule="exact"/>
              <w:ind w:left="423" w:right="73"/>
              <w:rPr>
                <w:b/>
                <w:sz w:val="18"/>
              </w:rPr>
            </w:pPr>
            <w:r>
              <w:rPr>
                <w:b/>
                <w:sz w:val="18"/>
              </w:rPr>
              <w:t>increase</w:t>
            </w:r>
          </w:p>
        </w:tc>
        <w:tc>
          <w:tcPr>
            <w:tcW w:w="1612" w:type="dxa"/>
          </w:tcPr>
          <w:p>
            <w:pPr>
              <w:pStyle w:val="TableParagraph"/>
              <w:spacing w:line="197" w:lineRule="exact"/>
              <w:ind w:left="399" w:right="103"/>
              <w:rPr>
                <w:b/>
                <w:sz w:val="18"/>
              </w:rPr>
            </w:pPr>
            <w:r>
              <w:rPr>
                <w:b/>
                <w:sz w:val="18"/>
              </w:rPr>
              <w:t>decrease</w:t>
            </w:r>
          </w:p>
        </w:tc>
        <w:tc>
          <w:tcPr>
            <w:tcW w:w="1552" w:type="dxa"/>
          </w:tcPr>
          <w:p>
            <w:pPr>
              <w:pStyle w:val="TableParagraph"/>
              <w:spacing w:line="197" w:lineRule="exact"/>
              <w:ind w:left="394"/>
              <w:rPr>
                <w:b/>
                <w:sz w:val="18"/>
              </w:rPr>
            </w:pPr>
            <w:r>
              <w:rPr>
                <w:b/>
                <w:sz w:val="18"/>
              </w:rPr>
              <w:t>increase</w:t>
            </w:r>
          </w:p>
        </w:tc>
        <w:tc>
          <w:tcPr>
            <w:tcW w:w="1580" w:type="dxa"/>
          </w:tcPr>
          <w:p>
            <w:pPr>
              <w:pStyle w:val="TableParagraph"/>
              <w:spacing w:line="197" w:lineRule="exact"/>
              <w:ind w:left="399"/>
              <w:rPr>
                <w:b/>
                <w:sz w:val="18"/>
              </w:rPr>
            </w:pPr>
            <w:r>
              <w:rPr>
                <w:b/>
                <w:sz w:val="18"/>
              </w:rPr>
              <w:t>decrease</w:t>
            </w:r>
          </w:p>
        </w:tc>
      </w:tr>
      <w:tr>
        <w:trPr>
          <w:trHeight w:val="313" w:hRule="exact"/>
        </w:trPr>
        <w:tc>
          <w:tcPr>
            <w:tcW w:w="6588" w:type="dxa"/>
            <w:vMerge/>
          </w:tcPr>
          <w:p>
            <w:pPr/>
          </w:p>
        </w:tc>
        <w:tc>
          <w:tcPr>
            <w:tcW w:w="1011" w:type="dxa"/>
          </w:tcPr>
          <w:p>
            <w:pPr>
              <w:pStyle w:val="TableParagraph"/>
              <w:spacing w:before="24"/>
              <w:ind w:right="28"/>
              <w:jc w:val="center"/>
              <w:rPr>
                <w:b/>
                <w:sz w:val="18"/>
              </w:rPr>
            </w:pPr>
            <w:r>
              <w:rPr>
                <w:b/>
                <w:w w:val="99"/>
                <w:sz w:val="18"/>
              </w:rPr>
              <w:t>$</w:t>
            </w:r>
          </w:p>
        </w:tc>
        <w:tc>
          <w:tcPr>
            <w:tcW w:w="1581" w:type="dxa"/>
          </w:tcPr>
          <w:p>
            <w:pPr>
              <w:pStyle w:val="TableParagraph"/>
              <w:spacing w:before="24"/>
              <w:ind w:right="3"/>
              <w:jc w:val="center"/>
              <w:rPr>
                <w:b/>
                <w:sz w:val="18"/>
              </w:rPr>
            </w:pPr>
            <w:r>
              <w:rPr>
                <w:b/>
                <w:w w:val="99"/>
                <w:sz w:val="18"/>
              </w:rPr>
              <w:t>$</w:t>
            </w:r>
          </w:p>
        </w:tc>
        <w:tc>
          <w:tcPr>
            <w:tcW w:w="1612" w:type="dxa"/>
          </w:tcPr>
          <w:p>
            <w:pPr>
              <w:pStyle w:val="TableParagraph"/>
              <w:spacing w:before="24"/>
              <w:ind w:right="31"/>
              <w:jc w:val="center"/>
              <w:rPr>
                <w:b/>
                <w:sz w:val="18"/>
              </w:rPr>
            </w:pPr>
            <w:r>
              <w:rPr>
                <w:b/>
                <w:w w:val="99"/>
                <w:sz w:val="18"/>
              </w:rPr>
              <w:t>$</w:t>
            </w:r>
          </w:p>
        </w:tc>
        <w:tc>
          <w:tcPr>
            <w:tcW w:w="1552" w:type="dxa"/>
          </w:tcPr>
          <w:p>
            <w:pPr>
              <w:pStyle w:val="TableParagraph"/>
              <w:spacing w:before="24"/>
              <w:ind w:right="31"/>
              <w:jc w:val="center"/>
              <w:rPr>
                <w:b/>
                <w:sz w:val="18"/>
              </w:rPr>
            </w:pPr>
            <w:r>
              <w:rPr>
                <w:b/>
                <w:w w:val="99"/>
                <w:sz w:val="18"/>
              </w:rPr>
              <w:t>$</w:t>
            </w:r>
          </w:p>
        </w:tc>
        <w:tc>
          <w:tcPr>
            <w:tcW w:w="1580" w:type="dxa"/>
          </w:tcPr>
          <w:p>
            <w:pPr>
              <w:pStyle w:val="TableParagraph"/>
              <w:spacing w:before="24"/>
              <w:ind w:right="1"/>
              <w:jc w:val="center"/>
              <w:rPr>
                <w:b/>
                <w:sz w:val="18"/>
              </w:rPr>
            </w:pPr>
            <w:r>
              <w:rPr>
                <w:b/>
                <w:w w:val="99"/>
                <w:sz w:val="18"/>
              </w:rPr>
              <w:t>$</w:t>
            </w:r>
          </w:p>
        </w:tc>
      </w:tr>
      <w:tr>
        <w:trPr>
          <w:trHeight w:val="336" w:hRule="exact"/>
        </w:trPr>
        <w:tc>
          <w:tcPr>
            <w:tcW w:w="6588" w:type="dxa"/>
          </w:tcPr>
          <w:p>
            <w:pPr>
              <w:pStyle w:val="TableParagraph"/>
              <w:spacing w:before="63"/>
              <w:ind w:left="36"/>
              <w:rPr>
                <w:b/>
                <w:sz w:val="18"/>
              </w:rPr>
            </w:pPr>
            <w:r>
              <w:rPr>
                <w:b/>
                <w:sz w:val="18"/>
              </w:rPr>
              <w:t>2017</w:t>
            </w:r>
          </w:p>
        </w:tc>
        <w:tc>
          <w:tcPr>
            <w:tcW w:w="1011" w:type="dxa"/>
          </w:tcPr>
          <w:p>
            <w:pPr/>
          </w:p>
        </w:tc>
        <w:tc>
          <w:tcPr>
            <w:tcW w:w="1581" w:type="dxa"/>
          </w:tcPr>
          <w:p>
            <w:pPr/>
          </w:p>
        </w:tc>
        <w:tc>
          <w:tcPr>
            <w:tcW w:w="1612" w:type="dxa"/>
          </w:tcPr>
          <w:p>
            <w:pPr/>
          </w:p>
        </w:tc>
        <w:tc>
          <w:tcPr>
            <w:tcW w:w="1552" w:type="dxa"/>
          </w:tcPr>
          <w:p>
            <w:pPr/>
          </w:p>
        </w:tc>
        <w:tc>
          <w:tcPr>
            <w:tcW w:w="1580" w:type="dxa"/>
          </w:tcPr>
          <w:p>
            <w:pPr/>
          </w:p>
        </w:tc>
      </w:tr>
      <w:tr>
        <w:trPr>
          <w:trHeight w:val="277" w:hRule="exact"/>
        </w:trPr>
        <w:tc>
          <w:tcPr>
            <w:tcW w:w="6588" w:type="dxa"/>
          </w:tcPr>
          <w:p>
            <w:pPr>
              <w:pStyle w:val="TableParagraph"/>
              <w:spacing w:before="46"/>
              <w:ind w:left="36"/>
              <w:rPr>
                <w:b/>
                <w:sz w:val="18"/>
              </w:rPr>
            </w:pPr>
            <w:r>
              <w:rPr>
                <w:b/>
                <w:sz w:val="18"/>
              </w:rPr>
              <w:t>Financial assets</w:t>
            </w:r>
          </w:p>
        </w:tc>
        <w:tc>
          <w:tcPr>
            <w:tcW w:w="1011" w:type="dxa"/>
          </w:tcPr>
          <w:p>
            <w:pPr/>
          </w:p>
        </w:tc>
        <w:tc>
          <w:tcPr>
            <w:tcW w:w="1581" w:type="dxa"/>
          </w:tcPr>
          <w:p>
            <w:pPr/>
          </w:p>
        </w:tc>
        <w:tc>
          <w:tcPr>
            <w:tcW w:w="1612" w:type="dxa"/>
          </w:tcPr>
          <w:p>
            <w:pPr/>
          </w:p>
        </w:tc>
        <w:tc>
          <w:tcPr>
            <w:tcW w:w="1552" w:type="dxa"/>
          </w:tcPr>
          <w:p>
            <w:pPr/>
          </w:p>
        </w:tc>
        <w:tc>
          <w:tcPr>
            <w:tcW w:w="1580" w:type="dxa"/>
          </w:tcPr>
          <w:p>
            <w:pPr/>
          </w:p>
        </w:tc>
      </w:tr>
      <w:tr>
        <w:trPr>
          <w:trHeight w:val="250" w:hRule="exact"/>
        </w:trPr>
        <w:tc>
          <w:tcPr>
            <w:tcW w:w="6588" w:type="dxa"/>
          </w:tcPr>
          <w:p>
            <w:pPr>
              <w:pStyle w:val="TableParagraph"/>
              <w:spacing w:before="6"/>
              <w:ind w:left="36"/>
              <w:rPr>
                <w:sz w:val="18"/>
              </w:rPr>
            </w:pPr>
            <w:r>
              <w:rPr>
                <w:sz w:val="18"/>
              </w:rPr>
              <w:t>Cash and cash equivalents</w:t>
            </w:r>
          </w:p>
        </w:tc>
        <w:tc>
          <w:tcPr>
            <w:tcW w:w="1011" w:type="dxa"/>
          </w:tcPr>
          <w:p>
            <w:pPr>
              <w:pStyle w:val="TableParagraph"/>
              <w:spacing w:before="4"/>
              <w:ind w:right="85"/>
              <w:jc w:val="right"/>
              <w:rPr>
                <w:sz w:val="18"/>
              </w:rPr>
            </w:pPr>
            <w:r>
              <w:rPr>
                <w:w w:val="95"/>
                <w:sz w:val="18"/>
              </w:rPr>
              <w:t>906,965</w:t>
            </w:r>
          </w:p>
        </w:tc>
        <w:tc>
          <w:tcPr>
            <w:tcW w:w="1581" w:type="dxa"/>
          </w:tcPr>
          <w:p>
            <w:pPr>
              <w:pStyle w:val="TableParagraph"/>
              <w:spacing w:before="4"/>
              <w:ind w:right="86"/>
              <w:jc w:val="right"/>
              <w:rPr>
                <w:sz w:val="18"/>
              </w:rPr>
            </w:pPr>
            <w:r>
              <w:rPr>
                <w:w w:val="95"/>
                <w:sz w:val="18"/>
              </w:rPr>
              <w:t>9,070</w:t>
            </w:r>
          </w:p>
        </w:tc>
        <w:tc>
          <w:tcPr>
            <w:tcW w:w="1612" w:type="dxa"/>
          </w:tcPr>
          <w:p>
            <w:pPr>
              <w:pStyle w:val="TableParagraph"/>
              <w:spacing w:before="4"/>
              <w:ind w:right="57"/>
              <w:jc w:val="right"/>
              <w:rPr>
                <w:sz w:val="18"/>
              </w:rPr>
            </w:pPr>
            <w:r>
              <w:rPr>
                <w:w w:val="95"/>
                <w:sz w:val="18"/>
              </w:rPr>
              <w:t>(9,070)</w:t>
            </w:r>
          </w:p>
        </w:tc>
        <w:tc>
          <w:tcPr>
            <w:tcW w:w="1552" w:type="dxa"/>
          </w:tcPr>
          <w:p>
            <w:pPr>
              <w:pStyle w:val="TableParagraph"/>
              <w:spacing w:before="4"/>
              <w:ind w:right="87"/>
              <w:jc w:val="right"/>
              <w:rPr>
                <w:sz w:val="18"/>
              </w:rPr>
            </w:pPr>
            <w:r>
              <w:rPr>
                <w:w w:val="95"/>
                <w:sz w:val="18"/>
              </w:rPr>
              <w:t>9,070</w:t>
            </w:r>
          </w:p>
        </w:tc>
        <w:tc>
          <w:tcPr>
            <w:tcW w:w="1580" w:type="dxa"/>
          </w:tcPr>
          <w:p>
            <w:pPr>
              <w:pStyle w:val="TableParagraph"/>
              <w:spacing w:before="4"/>
              <w:ind w:right="25"/>
              <w:jc w:val="right"/>
              <w:rPr>
                <w:sz w:val="18"/>
              </w:rPr>
            </w:pPr>
            <w:r>
              <w:rPr>
                <w:w w:val="95"/>
                <w:sz w:val="18"/>
              </w:rPr>
              <w:t>(9,070)</w:t>
            </w:r>
          </w:p>
        </w:tc>
      </w:tr>
      <w:tr>
        <w:trPr>
          <w:trHeight w:val="264" w:hRule="exact"/>
        </w:trPr>
        <w:tc>
          <w:tcPr>
            <w:tcW w:w="6588" w:type="dxa"/>
          </w:tcPr>
          <w:p>
            <w:pPr>
              <w:pStyle w:val="TableParagraph"/>
              <w:spacing w:before="19"/>
              <w:ind w:left="36"/>
              <w:rPr>
                <w:sz w:val="18"/>
              </w:rPr>
            </w:pPr>
            <w:r>
              <w:rPr>
                <w:sz w:val="18"/>
              </w:rPr>
              <w:t>Loans to parent entity</w:t>
            </w:r>
          </w:p>
        </w:tc>
        <w:tc>
          <w:tcPr>
            <w:tcW w:w="1011" w:type="dxa"/>
          </w:tcPr>
          <w:p>
            <w:pPr>
              <w:pStyle w:val="TableParagraph"/>
              <w:spacing w:before="18"/>
              <w:ind w:right="85"/>
              <w:jc w:val="right"/>
              <w:rPr>
                <w:sz w:val="18"/>
              </w:rPr>
            </w:pPr>
            <w:r>
              <w:rPr>
                <w:w w:val="95"/>
                <w:sz w:val="18"/>
              </w:rPr>
              <w:t>7,001,886</w:t>
            </w:r>
          </w:p>
        </w:tc>
        <w:tc>
          <w:tcPr>
            <w:tcW w:w="1581" w:type="dxa"/>
          </w:tcPr>
          <w:p>
            <w:pPr>
              <w:pStyle w:val="TableParagraph"/>
              <w:spacing w:before="18"/>
              <w:ind w:right="86"/>
              <w:jc w:val="right"/>
              <w:rPr>
                <w:sz w:val="18"/>
              </w:rPr>
            </w:pPr>
            <w:r>
              <w:rPr>
                <w:w w:val="95"/>
                <w:sz w:val="18"/>
              </w:rPr>
              <w:t>70,019</w:t>
            </w:r>
          </w:p>
        </w:tc>
        <w:tc>
          <w:tcPr>
            <w:tcW w:w="1612" w:type="dxa"/>
          </w:tcPr>
          <w:p>
            <w:pPr>
              <w:pStyle w:val="TableParagraph"/>
              <w:spacing w:before="18"/>
              <w:ind w:right="56"/>
              <w:jc w:val="right"/>
              <w:rPr>
                <w:sz w:val="18"/>
              </w:rPr>
            </w:pPr>
            <w:r>
              <w:rPr>
                <w:w w:val="95"/>
                <w:sz w:val="18"/>
              </w:rPr>
              <w:t>(70,019)</w:t>
            </w:r>
          </w:p>
        </w:tc>
        <w:tc>
          <w:tcPr>
            <w:tcW w:w="1552" w:type="dxa"/>
          </w:tcPr>
          <w:p>
            <w:pPr>
              <w:pStyle w:val="TableParagraph"/>
              <w:spacing w:before="18"/>
              <w:ind w:right="86"/>
              <w:jc w:val="right"/>
              <w:rPr>
                <w:sz w:val="18"/>
              </w:rPr>
            </w:pPr>
            <w:r>
              <w:rPr>
                <w:w w:val="95"/>
                <w:sz w:val="18"/>
              </w:rPr>
              <w:t>70,019</w:t>
            </w:r>
          </w:p>
        </w:tc>
        <w:tc>
          <w:tcPr>
            <w:tcW w:w="1580" w:type="dxa"/>
          </w:tcPr>
          <w:p>
            <w:pPr>
              <w:pStyle w:val="TableParagraph"/>
              <w:spacing w:before="18"/>
              <w:ind w:right="24"/>
              <w:jc w:val="right"/>
              <w:rPr>
                <w:sz w:val="18"/>
              </w:rPr>
            </w:pPr>
            <w:r>
              <w:rPr>
                <w:w w:val="95"/>
                <w:sz w:val="18"/>
              </w:rPr>
              <w:t>(70,019)</w:t>
            </w:r>
          </w:p>
        </w:tc>
      </w:tr>
      <w:tr>
        <w:trPr>
          <w:trHeight w:val="263" w:hRule="exact"/>
        </w:trPr>
        <w:tc>
          <w:tcPr>
            <w:tcW w:w="6588" w:type="dxa"/>
          </w:tcPr>
          <w:p>
            <w:pPr>
              <w:pStyle w:val="TableParagraph"/>
              <w:spacing w:before="19"/>
              <w:ind w:left="36"/>
              <w:rPr>
                <w:sz w:val="18"/>
              </w:rPr>
            </w:pPr>
            <w:r>
              <w:rPr>
                <w:sz w:val="18"/>
              </w:rPr>
              <w:t>Loans to joint venture</w:t>
            </w:r>
          </w:p>
        </w:tc>
        <w:tc>
          <w:tcPr>
            <w:tcW w:w="1011" w:type="dxa"/>
            <w:tcBorders>
              <w:bottom w:val="single" w:sz="0" w:space="0" w:color="000000"/>
            </w:tcBorders>
          </w:tcPr>
          <w:p>
            <w:pPr>
              <w:pStyle w:val="TableParagraph"/>
              <w:spacing w:before="18"/>
              <w:ind w:right="85"/>
              <w:jc w:val="right"/>
              <w:rPr>
                <w:sz w:val="18"/>
              </w:rPr>
            </w:pPr>
            <w:r>
              <w:rPr>
                <w:w w:val="95"/>
                <w:sz w:val="18"/>
              </w:rPr>
              <w:t>2,100,000</w:t>
            </w:r>
          </w:p>
        </w:tc>
        <w:tc>
          <w:tcPr>
            <w:tcW w:w="1581" w:type="dxa"/>
            <w:tcBorders>
              <w:bottom w:val="single" w:sz="0" w:space="0" w:color="000000"/>
            </w:tcBorders>
          </w:tcPr>
          <w:p>
            <w:pPr>
              <w:pStyle w:val="TableParagraph"/>
              <w:spacing w:before="18"/>
              <w:ind w:right="86"/>
              <w:jc w:val="right"/>
              <w:rPr>
                <w:sz w:val="18"/>
              </w:rPr>
            </w:pPr>
            <w:r>
              <w:rPr>
                <w:w w:val="95"/>
                <w:sz w:val="18"/>
              </w:rPr>
              <w:t>21,000</w:t>
            </w:r>
          </w:p>
        </w:tc>
        <w:tc>
          <w:tcPr>
            <w:tcW w:w="1612" w:type="dxa"/>
            <w:tcBorders>
              <w:bottom w:val="single" w:sz="0" w:space="0" w:color="000000"/>
            </w:tcBorders>
          </w:tcPr>
          <w:p>
            <w:pPr>
              <w:pStyle w:val="TableParagraph"/>
              <w:spacing w:before="18"/>
              <w:ind w:right="56"/>
              <w:jc w:val="right"/>
              <w:rPr>
                <w:sz w:val="18"/>
              </w:rPr>
            </w:pPr>
            <w:r>
              <w:rPr>
                <w:w w:val="95"/>
                <w:sz w:val="18"/>
              </w:rPr>
              <w:t>(21,000)</w:t>
            </w:r>
          </w:p>
        </w:tc>
        <w:tc>
          <w:tcPr>
            <w:tcW w:w="1552" w:type="dxa"/>
            <w:tcBorders>
              <w:bottom w:val="single" w:sz="0" w:space="0" w:color="000000"/>
            </w:tcBorders>
          </w:tcPr>
          <w:p>
            <w:pPr>
              <w:pStyle w:val="TableParagraph"/>
              <w:spacing w:before="18"/>
              <w:ind w:right="86"/>
              <w:jc w:val="right"/>
              <w:rPr>
                <w:sz w:val="18"/>
              </w:rPr>
            </w:pPr>
            <w:r>
              <w:rPr>
                <w:w w:val="95"/>
                <w:sz w:val="18"/>
              </w:rPr>
              <w:t>21,000</w:t>
            </w:r>
          </w:p>
        </w:tc>
        <w:tc>
          <w:tcPr>
            <w:tcW w:w="1580" w:type="dxa"/>
            <w:tcBorders>
              <w:bottom w:val="single" w:sz="0" w:space="0" w:color="000000"/>
            </w:tcBorders>
          </w:tcPr>
          <w:p>
            <w:pPr>
              <w:pStyle w:val="TableParagraph"/>
              <w:spacing w:before="18"/>
              <w:ind w:right="24"/>
              <w:jc w:val="right"/>
              <w:rPr>
                <w:sz w:val="18"/>
              </w:rPr>
            </w:pPr>
            <w:r>
              <w:rPr>
                <w:w w:val="95"/>
                <w:sz w:val="18"/>
              </w:rPr>
              <w:t>(21,000)</w:t>
            </w:r>
          </w:p>
        </w:tc>
      </w:tr>
      <w:tr>
        <w:trPr>
          <w:trHeight w:val="353" w:hRule="exact"/>
        </w:trPr>
        <w:tc>
          <w:tcPr>
            <w:tcW w:w="6588" w:type="dxa"/>
          </w:tcPr>
          <w:p>
            <w:pPr>
              <w:pStyle w:val="TableParagraph"/>
              <w:spacing w:before="123"/>
              <w:ind w:left="36"/>
              <w:rPr>
                <w:b/>
                <w:sz w:val="18"/>
              </w:rPr>
            </w:pPr>
            <w:r>
              <w:rPr>
                <w:b/>
                <w:sz w:val="18"/>
              </w:rPr>
              <w:t>Total increase / (decrease) in financial assets</w:t>
            </w:r>
          </w:p>
        </w:tc>
        <w:tc>
          <w:tcPr>
            <w:tcW w:w="1011" w:type="dxa"/>
            <w:tcBorders>
              <w:top w:val="single" w:sz="0" w:space="0" w:color="000000"/>
              <w:bottom w:val="single" w:sz="0" w:space="0" w:color="000000"/>
            </w:tcBorders>
          </w:tcPr>
          <w:p>
            <w:pPr>
              <w:pStyle w:val="TableParagraph"/>
              <w:spacing w:before="122"/>
              <w:ind w:right="85"/>
              <w:jc w:val="right"/>
              <w:rPr>
                <w:sz w:val="18"/>
              </w:rPr>
            </w:pPr>
            <w:r>
              <w:rPr>
                <w:w w:val="95"/>
                <w:sz w:val="18"/>
              </w:rPr>
              <w:t>10,008,851</w:t>
            </w:r>
          </w:p>
        </w:tc>
        <w:tc>
          <w:tcPr>
            <w:tcW w:w="1581" w:type="dxa"/>
            <w:tcBorders>
              <w:top w:val="single" w:sz="0" w:space="0" w:color="000000"/>
              <w:bottom w:val="single" w:sz="0" w:space="0" w:color="000000"/>
            </w:tcBorders>
          </w:tcPr>
          <w:p>
            <w:pPr>
              <w:pStyle w:val="TableParagraph"/>
              <w:spacing w:before="122"/>
              <w:ind w:right="86"/>
              <w:jc w:val="right"/>
              <w:rPr>
                <w:sz w:val="18"/>
              </w:rPr>
            </w:pPr>
            <w:r>
              <w:rPr>
                <w:w w:val="95"/>
                <w:sz w:val="18"/>
              </w:rPr>
              <w:t>100,089</w:t>
            </w:r>
          </w:p>
        </w:tc>
        <w:tc>
          <w:tcPr>
            <w:tcW w:w="1612" w:type="dxa"/>
            <w:tcBorders>
              <w:top w:val="single" w:sz="0" w:space="0" w:color="000000"/>
              <w:bottom w:val="single" w:sz="0" w:space="0" w:color="000000"/>
            </w:tcBorders>
          </w:tcPr>
          <w:p>
            <w:pPr>
              <w:pStyle w:val="TableParagraph"/>
              <w:spacing w:before="122"/>
              <w:ind w:right="56"/>
              <w:jc w:val="right"/>
              <w:rPr>
                <w:sz w:val="18"/>
              </w:rPr>
            </w:pPr>
            <w:r>
              <w:rPr>
                <w:sz w:val="18"/>
              </w:rPr>
              <w:t>(100,089)</w:t>
            </w:r>
          </w:p>
        </w:tc>
        <w:tc>
          <w:tcPr>
            <w:tcW w:w="1552" w:type="dxa"/>
            <w:tcBorders>
              <w:top w:val="single" w:sz="0" w:space="0" w:color="000000"/>
              <w:bottom w:val="single" w:sz="0" w:space="0" w:color="000000"/>
            </w:tcBorders>
          </w:tcPr>
          <w:p>
            <w:pPr>
              <w:pStyle w:val="TableParagraph"/>
              <w:spacing w:before="122"/>
              <w:ind w:right="86"/>
              <w:jc w:val="right"/>
              <w:rPr>
                <w:sz w:val="18"/>
              </w:rPr>
            </w:pPr>
            <w:r>
              <w:rPr>
                <w:w w:val="95"/>
                <w:sz w:val="18"/>
              </w:rPr>
              <w:t>100,089</w:t>
            </w:r>
          </w:p>
        </w:tc>
        <w:tc>
          <w:tcPr>
            <w:tcW w:w="1580" w:type="dxa"/>
            <w:tcBorders>
              <w:top w:val="single" w:sz="0" w:space="0" w:color="000000"/>
              <w:bottom w:val="single" w:sz="0" w:space="0" w:color="000000"/>
            </w:tcBorders>
          </w:tcPr>
          <w:p>
            <w:pPr>
              <w:pStyle w:val="TableParagraph"/>
              <w:spacing w:before="122"/>
              <w:ind w:right="24"/>
              <w:jc w:val="right"/>
              <w:rPr>
                <w:sz w:val="18"/>
              </w:rPr>
            </w:pPr>
            <w:r>
              <w:rPr>
                <w:sz w:val="18"/>
              </w:rPr>
              <w:t>(100,089)</w:t>
            </w:r>
          </w:p>
        </w:tc>
      </w:tr>
      <w:tr>
        <w:trPr>
          <w:trHeight w:val="685" w:hRule="exact"/>
        </w:trPr>
        <w:tc>
          <w:tcPr>
            <w:tcW w:w="6588" w:type="dxa"/>
          </w:tcPr>
          <w:p>
            <w:pPr>
              <w:pStyle w:val="TableParagraph"/>
              <w:rPr>
                <w:b/>
                <w:sz w:val="18"/>
              </w:rPr>
            </w:pPr>
          </w:p>
          <w:p>
            <w:pPr>
              <w:pStyle w:val="TableParagraph"/>
              <w:spacing w:before="9"/>
              <w:rPr>
                <w:b/>
                <w:sz w:val="17"/>
              </w:rPr>
            </w:pPr>
          </w:p>
          <w:p>
            <w:pPr>
              <w:pStyle w:val="TableParagraph"/>
              <w:ind w:left="36"/>
              <w:rPr>
                <w:b/>
                <w:sz w:val="18"/>
              </w:rPr>
            </w:pPr>
            <w:r>
              <w:rPr>
                <w:b/>
                <w:sz w:val="18"/>
              </w:rPr>
              <w:t>2016</w:t>
            </w:r>
          </w:p>
        </w:tc>
        <w:tc>
          <w:tcPr>
            <w:tcW w:w="1011" w:type="dxa"/>
            <w:tcBorders>
              <w:top w:val="single" w:sz="0" w:space="0" w:color="000000"/>
            </w:tcBorders>
          </w:tcPr>
          <w:p>
            <w:pPr/>
          </w:p>
        </w:tc>
        <w:tc>
          <w:tcPr>
            <w:tcW w:w="1581" w:type="dxa"/>
            <w:tcBorders>
              <w:top w:val="single" w:sz="0" w:space="0" w:color="000000"/>
            </w:tcBorders>
          </w:tcPr>
          <w:p>
            <w:pPr/>
          </w:p>
        </w:tc>
        <w:tc>
          <w:tcPr>
            <w:tcW w:w="1612" w:type="dxa"/>
            <w:tcBorders>
              <w:top w:val="single" w:sz="0" w:space="0" w:color="000000"/>
            </w:tcBorders>
          </w:tcPr>
          <w:p>
            <w:pPr/>
          </w:p>
        </w:tc>
        <w:tc>
          <w:tcPr>
            <w:tcW w:w="1552" w:type="dxa"/>
            <w:tcBorders>
              <w:top w:val="single" w:sz="0" w:space="0" w:color="000000"/>
            </w:tcBorders>
          </w:tcPr>
          <w:p>
            <w:pPr/>
          </w:p>
        </w:tc>
        <w:tc>
          <w:tcPr>
            <w:tcW w:w="1580" w:type="dxa"/>
            <w:tcBorders>
              <w:top w:val="single" w:sz="0" w:space="0" w:color="000000"/>
            </w:tcBorders>
          </w:tcPr>
          <w:p>
            <w:pPr/>
          </w:p>
        </w:tc>
      </w:tr>
      <w:tr>
        <w:trPr>
          <w:trHeight w:val="277" w:hRule="exact"/>
        </w:trPr>
        <w:tc>
          <w:tcPr>
            <w:tcW w:w="6588" w:type="dxa"/>
          </w:tcPr>
          <w:p>
            <w:pPr>
              <w:pStyle w:val="TableParagraph"/>
              <w:spacing w:before="46"/>
              <w:ind w:left="36"/>
              <w:rPr>
                <w:b/>
                <w:sz w:val="18"/>
              </w:rPr>
            </w:pPr>
            <w:r>
              <w:rPr>
                <w:b/>
                <w:sz w:val="18"/>
              </w:rPr>
              <w:t>Financial assets</w:t>
            </w:r>
          </w:p>
        </w:tc>
        <w:tc>
          <w:tcPr>
            <w:tcW w:w="1011" w:type="dxa"/>
          </w:tcPr>
          <w:p>
            <w:pPr/>
          </w:p>
        </w:tc>
        <w:tc>
          <w:tcPr>
            <w:tcW w:w="1581" w:type="dxa"/>
          </w:tcPr>
          <w:p>
            <w:pPr/>
          </w:p>
        </w:tc>
        <w:tc>
          <w:tcPr>
            <w:tcW w:w="1612" w:type="dxa"/>
          </w:tcPr>
          <w:p>
            <w:pPr/>
          </w:p>
        </w:tc>
        <w:tc>
          <w:tcPr>
            <w:tcW w:w="1552" w:type="dxa"/>
          </w:tcPr>
          <w:p>
            <w:pPr/>
          </w:p>
        </w:tc>
        <w:tc>
          <w:tcPr>
            <w:tcW w:w="1580" w:type="dxa"/>
          </w:tcPr>
          <w:p>
            <w:pPr/>
          </w:p>
        </w:tc>
      </w:tr>
      <w:tr>
        <w:trPr>
          <w:trHeight w:val="250" w:hRule="exact"/>
        </w:trPr>
        <w:tc>
          <w:tcPr>
            <w:tcW w:w="6588" w:type="dxa"/>
          </w:tcPr>
          <w:p>
            <w:pPr>
              <w:pStyle w:val="TableParagraph"/>
              <w:spacing w:before="6"/>
              <w:ind w:left="36"/>
              <w:rPr>
                <w:sz w:val="18"/>
              </w:rPr>
            </w:pPr>
            <w:r>
              <w:rPr>
                <w:sz w:val="18"/>
              </w:rPr>
              <w:t>Cash and cash equivalents</w:t>
            </w:r>
          </w:p>
        </w:tc>
        <w:tc>
          <w:tcPr>
            <w:tcW w:w="1011" w:type="dxa"/>
          </w:tcPr>
          <w:p>
            <w:pPr>
              <w:pStyle w:val="TableParagraph"/>
              <w:spacing w:before="4"/>
              <w:ind w:right="85"/>
              <w:jc w:val="right"/>
              <w:rPr>
                <w:sz w:val="18"/>
              </w:rPr>
            </w:pPr>
            <w:r>
              <w:rPr>
                <w:w w:val="95"/>
                <w:sz w:val="18"/>
              </w:rPr>
              <w:t>1,109,058</w:t>
            </w:r>
          </w:p>
        </w:tc>
        <w:tc>
          <w:tcPr>
            <w:tcW w:w="1581" w:type="dxa"/>
          </w:tcPr>
          <w:p>
            <w:pPr>
              <w:pStyle w:val="TableParagraph"/>
              <w:spacing w:before="4"/>
              <w:ind w:right="86"/>
              <w:jc w:val="right"/>
              <w:rPr>
                <w:sz w:val="18"/>
              </w:rPr>
            </w:pPr>
            <w:r>
              <w:rPr>
                <w:w w:val="95"/>
                <w:sz w:val="18"/>
              </w:rPr>
              <w:t>11,091</w:t>
            </w:r>
          </w:p>
        </w:tc>
        <w:tc>
          <w:tcPr>
            <w:tcW w:w="1612" w:type="dxa"/>
          </w:tcPr>
          <w:p>
            <w:pPr>
              <w:pStyle w:val="TableParagraph"/>
              <w:spacing w:before="4"/>
              <w:ind w:right="57"/>
              <w:jc w:val="right"/>
              <w:rPr>
                <w:sz w:val="18"/>
              </w:rPr>
            </w:pPr>
            <w:r>
              <w:rPr>
                <w:w w:val="95"/>
                <w:sz w:val="18"/>
              </w:rPr>
              <w:t>(11,091)</w:t>
            </w:r>
          </w:p>
        </w:tc>
        <w:tc>
          <w:tcPr>
            <w:tcW w:w="1552" w:type="dxa"/>
          </w:tcPr>
          <w:p>
            <w:pPr>
              <w:pStyle w:val="TableParagraph"/>
              <w:spacing w:before="4"/>
              <w:ind w:right="87"/>
              <w:jc w:val="right"/>
              <w:rPr>
                <w:sz w:val="18"/>
              </w:rPr>
            </w:pPr>
            <w:r>
              <w:rPr>
                <w:w w:val="95"/>
                <w:sz w:val="18"/>
              </w:rPr>
              <w:t>11,091</w:t>
            </w:r>
          </w:p>
        </w:tc>
        <w:tc>
          <w:tcPr>
            <w:tcW w:w="1580" w:type="dxa"/>
          </w:tcPr>
          <w:p>
            <w:pPr>
              <w:pStyle w:val="TableParagraph"/>
              <w:spacing w:before="4"/>
              <w:ind w:right="25"/>
              <w:jc w:val="right"/>
              <w:rPr>
                <w:sz w:val="18"/>
              </w:rPr>
            </w:pPr>
            <w:r>
              <w:rPr>
                <w:w w:val="95"/>
                <w:sz w:val="18"/>
              </w:rPr>
              <w:t>(11,091)</w:t>
            </w:r>
          </w:p>
        </w:tc>
      </w:tr>
      <w:tr>
        <w:trPr>
          <w:trHeight w:val="264" w:hRule="exact"/>
        </w:trPr>
        <w:tc>
          <w:tcPr>
            <w:tcW w:w="6588" w:type="dxa"/>
          </w:tcPr>
          <w:p>
            <w:pPr>
              <w:pStyle w:val="TableParagraph"/>
              <w:spacing w:before="19"/>
              <w:ind w:left="36"/>
              <w:rPr>
                <w:sz w:val="18"/>
              </w:rPr>
            </w:pPr>
            <w:r>
              <w:rPr>
                <w:sz w:val="18"/>
              </w:rPr>
              <w:t>Loans to parent entity</w:t>
            </w:r>
          </w:p>
        </w:tc>
        <w:tc>
          <w:tcPr>
            <w:tcW w:w="1011" w:type="dxa"/>
          </w:tcPr>
          <w:p>
            <w:pPr>
              <w:pStyle w:val="TableParagraph"/>
              <w:spacing w:before="18"/>
              <w:ind w:right="85"/>
              <w:jc w:val="right"/>
              <w:rPr>
                <w:sz w:val="18"/>
              </w:rPr>
            </w:pPr>
            <w:r>
              <w:rPr>
                <w:w w:val="95"/>
                <w:sz w:val="18"/>
              </w:rPr>
              <w:t>5,651,726</w:t>
            </w:r>
          </w:p>
        </w:tc>
        <w:tc>
          <w:tcPr>
            <w:tcW w:w="1581" w:type="dxa"/>
          </w:tcPr>
          <w:p>
            <w:pPr>
              <w:pStyle w:val="TableParagraph"/>
              <w:spacing w:before="18"/>
              <w:ind w:right="86"/>
              <w:jc w:val="right"/>
              <w:rPr>
                <w:sz w:val="18"/>
              </w:rPr>
            </w:pPr>
            <w:r>
              <w:rPr>
                <w:w w:val="95"/>
                <w:sz w:val="18"/>
              </w:rPr>
              <w:t>56,517</w:t>
            </w:r>
          </w:p>
        </w:tc>
        <w:tc>
          <w:tcPr>
            <w:tcW w:w="1612" w:type="dxa"/>
          </w:tcPr>
          <w:p>
            <w:pPr>
              <w:pStyle w:val="TableParagraph"/>
              <w:spacing w:before="18"/>
              <w:ind w:right="57"/>
              <w:jc w:val="right"/>
              <w:rPr>
                <w:sz w:val="18"/>
              </w:rPr>
            </w:pPr>
            <w:r>
              <w:rPr>
                <w:w w:val="95"/>
                <w:sz w:val="18"/>
              </w:rPr>
              <w:t>(56,517)</w:t>
            </w:r>
          </w:p>
        </w:tc>
        <w:tc>
          <w:tcPr>
            <w:tcW w:w="1552" w:type="dxa"/>
          </w:tcPr>
          <w:p>
            <w:pPr>
              <w:pStyle w:val="TableParagraph"/>
              <w:spacing w:before="18"/>
              <w:ind w:right="87"/>
              <w:jc w:val="right"/>
              <w:rPr>
                <w:sz w:val="18"/>
              </w:rPr>
            </w:pPr>
            <w:r>
              <w:rPr>
                <w:w w:val="95"/>
                <w:sz w:val="18"/>
              </w:rPr>
              <w:t>56,517</w:t>
            </w:r>
          </w:p>
        </w:tc>
        <w:tc>
          <w:tcPr>
            <w:tcW w:w="1580" w:type="dxa"/>
          </w:tcPr>
          <w:p>
            <w:pPr>
              <w:pStyle w:val="TableParagraph"/>
              <w:spacing w:before="18"/>
              <w:ind w:right="25"/>
              <w:jc w:val="right"/>
              <w:rPr>
                <w:sz w:val="18"/>
              </w:rPr>
            </w:pPr>
            <w:r>
              <w:rPr>
                <w:w w:val="95"/>
                <w:sz w:val="18"/>
              </w:rPr>
              <w:t>(56,517)</w:t>
            </w:r>
          </w:p>
        </w:tc>
      </w:tr>
      <w:tr>
        <w:trPr>
          <w:trHeight w:val="263" w:hRule="exact"/>
        </w:trPr>
        <w:tc>
          <w:tcPr>
            <w:tcW w:w="6588" w:type="dxa"/>
          </w:tcPr>
          <w:p>
            <w:pPr>
              <w:pStyle w:val="TableParagraph"/>
              <w:spacing w:before="19"/>
              <w:ind w:left="36"/>
              <w:rPr>
                <w:sz w:val="18"/>
              </w:rPr>
            </w:pPr>
            <w:r>
              <w:rPr>
                <w:sz w:val="18"/>
              </w:rPr>
              <w:t>Loans to joint venture</w:t>
            </w:r>
          </w:p>
        </w:tc>
        <w:tc>
          <w:tcPr>
            <w:tcW w:w="1011" w:type="dxa"/>
            <w:tcBorders>
              <w:bottom w:val="single" w:sz="0" w:space="0" w:color="000000"/>
            </w:tcBorders>
          </w:tcPr>
          <w:p>
            <w:pPr>
              <w:pStyle w:val="TableParagraph"/>
              <w:spacing w:before="18"/>
              <w:ind w:right="85"/>
              <w:jc w:val="right"/>
              <w:rPr>
                <w:sz w:val="18"/>
              </w:rPr>
            </w:pPr>
            <w:r>
              <w:rPr>
                <w:w w:val="95"/>
                <w:sz w:val="18"/>
              </w:rPr>
              <w:t>1,300,000</w:t>
            </w:r>
          </w:p>
        </w:tc>
        <w:tc>
          <w:tcPr>
            <w:tcW w:w="1581" w:type="dxa"/>
            <w:tcBorders>
              <w:bottom w:val="single" w:sz="0" w:space="0" w:color="000000"/>
            </w:tcBorders>
          </w:tcPr>
          <w:p>
            <w:pPr>
              <w:pStyle w:val="TableParagraph"/>
              <w:spacing w:before="18"/>
              <w:ind w:right="86"/>
              <w:jc w:val="right"/>
              <w:rPr>
                <w:sz w:val="18"/>
              </w:rPr>
            </w:pPr>
            <w:r>
              <w:rPr>
                <w:w w:val="95"/>
                <w:sz w:val="18"/>
              </w:rPr>
              <w:t>13,000</w:t>
            </w:r>
          </w:p>
        </w:tc>
        <w:tc>
          <w:tcPr>
            <w:tcW w:w="1612" w:type="dxa"/>
            <w:tcBorders>
              <w:bottom w:val="single" w:sz="0" w:space="0" w:color="000000"/>
            </w:tcBorders>
          </w:tcPr>
          <w:p>
            <w:pPr>
              <w:pStyle w:val="TableParagraph"/>
              <w:spacing w:before="18"/>
              <w:ind w:right="57"/>
              <w:jc w:val="right"/>
              <w:rPr>
                <w:sz w:val="18"/>
              </w:rPr>
            </w:pPr>
            <w:r>
              <w:rPr>
                <w:w w:val="95"/>
                <w:sz w:val="18"/>
              </w:rPr>
              <w:t>(13,000)</w:t>
            </w:r>
          </w:p>
        </w:tc>
        <w:tc>
          <w:tcPr>
            <w:tcW w:w="1552" w:type="dxa"/>
            <w:tcBorders>
              <w:bottom w:val="single" w:sz="0" w:space="0" w:color="000000"/>
            </w:tcBorders>
          </w:tcPr>
          <w:p>
            <w:pPr>
              <w:pStyle w:val="TableParagraph"/>
              <w:spacing w:before="18"/>
              <w:ind w:right="87"/>
              <w:jc w:val="right"/>
              <w:rPr>
                <w:sz w:val="18"/>
              </w:rPr>
            </w:pPr>
            <w:r>
              <w:rPr>
                <w:w w:val="95"/>
                <w:sz w:val="18"/>
              </w:rPr>
              <w:t>13,000</w:t>
            </w:r>
          </w:p>
        </w:tc>
        <w:tc>
          <w:tcPr>
            <w:tcW w:w="1580" w:type="dxa"/>
            <w:tcBorders>
              <w:bottom w:val="single" w:sz="0" w:space="0" w:color="000000"/>
            </w:tcBorders>
          </w:tcPr>
          <w:p>
            <w:pPr>
              <w:pStyle w:val="TableParagraph"/>
              <w:spacing w:before="18"/>
              <w:ind w:right="25"/>
              <w:jc w:val="right"/>
              <w:rPr>
                <w:sz w:val="18"/>
              </w:rPr>
            </w:pPr>
            <w:r>
              <w:rPr>
                <w:w w:val="95"/>
                <w:sz w:val="18"/>
              </w:rPr>
              <w:t>(13,000)</w:t>
            </w:r>
          </w:p>
        </w:tc>
      </w:tr>
      <w:tr>
        <w:trPr>
          <w:trHeight w:val="353" w:hRule="exact"/>
        </w:trPr>
        <w:tc>
          <w:tcPr>
            <w:tcW w:w="6588" w:type="dxa"/>
          </w:tcPr>
          <w:p>
            <w:pPr>
              <w:pStyle w:val="TableParagraph"/>
              <w:spacing w:before="123"/>
              <w:ind w:left="36"/>
              <w:rPr>
                <w:b/>
                <w:sz w:val="18"/>
              </w:rPr>
            </w:pPr>
            <w:r>
              <w:rPr>
                <w:b/>
                <w:sz w:val="18"/>
              </w:rPr>
              <w:t>Total increase / (decrease) in financial assets</w:t>
            </w:r>
          </w:p>
        </w:tc>
        <w:tc>
          <w:tcPr>
            <w:tcW w:w="1011" w:type="dxa"/>
            <w:tcBorders>
              <w:top w:val="single" w:sz="0" w:space="0" w:color="000000"/>
              <w:bottom w:val="single" w:sz="0" w:space="0" w:color="000000"/>
            </w:tcBorders>
          </w:tcPr>
          <w:p>
            <w:pPr>
              <w:pStyle w:val="TableParagraph"/>
              <w:spacing w:before="122"/>
              <w:ind w:right="85"/>
              <w:jc w:val="right"/>
              <w:rPr>
                <w:sz w:val="18"/>
              </w:rPr>
            </w:pPr>
            <w:r>
              <w:rPr>
                <w:w w:val="95"/>
                <w:sz w:val="18"/>
              </w:rPr>
              <w:t>8,060,784</w:t>
            </w:r>
          </w:p>
        </w:tc>
        <w:tc>
          <w:tcPr>
            <w:tcW w:w="1581" w:type="dxa"/>
            <w:tcBorders>
              <w:top w:val="single" w:sz="0" w:space="0" w:color="000000"/>
              <w:bottom w:val="single" w:sz="0" w:space="0" w:color="000000"/>
            </w:tcBorders>
          </w:tcPr>
          <w:p>
            <w:pPr>
              <w:pStyle w:val="TableParagraph"/>
              <w:spacing w:before="122"/>
              <w:ind w:right="86"/>
              <w:jc w:val="right"/>
              <w:rPr>
                <w:sz w:val="18"/>
              </w:rPr>
            </w:pPr>
            <w:r>
              <w:rPr>
                <w:w w:val="95"/>
                <w:sz w:val="18"/>
              </w:rPr>
              <w:t>80,608</w:t>
            </w:r>
          </w:p>
        </w:tc>
        <w:tc>
          <w:tcPr>
            <w:tcW w:w="1612" w:type="dxa"/>
            <w:tcBorders>
              <w:top w:val="single" w:sz="0" w:space="0" w:color="000000"/>
              <w:bottom w:val="single" w:sz="0" w:space="0" w:color="000000"/>
            </w:tcBorders>
          </w:tcPr>
          <w:p>
            <w:pPr>
              <w:pStyle w:val="TableParagraph"/>
              <w:spacing w:before="122"/>
              <w:ind w:right="56"/>
              <w:jc w:val="right"/>
              <w:rPr>
                <w:sz w:val="18"/>
              </w:rPr>
            </w:pPr>
            <w:r>
              <w:rPr>
                <w:w w:val="95"/>
                <w:sz w:val="18"/>
              </w:rPr>
              <w:t>(80,608)</w:t>
            </w:r>
          </w:p>
        </w:tc>
        <w:tc>
          <w:tcPr>
            <w:tcW w:w="1552" w:type="dxa"/>
            <w:tcBorders>
              <w:top w:val="single" w:sz="0" w:space="0" w:color="000000"/>
              <w:bottom w:val="single" w:sz="0" w:space="0" w:color="000000"/>
            </w:tcBorders>
          </w:tcPr>
          <w:p>
            <w:pPr>
              <w:pStyle w:val="TableParagraph"/>
              <w:spacing w:before="122"/>
              <w:ind w:right="86"/>
              <w:jc w:val="right"/>
              <w:rPr>
                <w:sz w:val="18"/>
              </w:rPr>
            </w:pPr>
            <w:r>
              <w:rPr>
                <w:w w:val="95"/>
                <w:sz w:val="18"/>
              </w:rPr>
              <w:t>80,608</w:t>
            </w:r>
          </w:p>
        </w:tc>
        <w:tc>
          <w:tcPr>
            <w:tcW w:w="1580" w:type="dxa"/>
            <w:tcBorders>
              <w:top w:val="single" w:sz="0" w:space="0" w:color="000000"/>
              <w:bottom w:val="single" w:sz="0" w:space="0" w:color="000000"/>
            </w:tcBorders>
          </w:tcPr>
          <w:p>
            <w:pPr>
              <w:pStyle w:val="TableParagraph"/>
              <w:spacing w:before="122"/>
              <w:ind w:right="24"/>
              <w:jc w:val="right"/>
              <w:rPr>
                <w:sz w:val="18"/>
              </w:rPr>
            </w:pPr>
            <w:r>
              <w:rPr>
                <w:w w:val="95"/>
                <w:sz w:val="18"/>
              </w:rPr>
              <w:t>(80,608)</w:t>
            </w:r>
          </w:p>
        </w:tc>
      </w:tr>
      <w:tr>
        <w:trPr>
          <w:trHeight w:val="617" w:hRule="exact"/>
        </w:trPr>
        <w:tc>
          <w:tcPr>
            <w:tcW w:w="6588" w:type="dxa"/>
          </w:tcPr>
          <w:p>
            <w:pPr>
              <w:pStyle w:val="TableParagraph"/>
              <w:rPr>
                <w:b/>
                <w:sz w:val="18"/>
              </w:rPr>
            </w:pPr>
          </w:p>
          <w:p>
            <w:pPr>
              <w:pStyle w:val="TableParagraph"/>
              <w:spacing w:before="106"/>
              <w:ind w:left="35"/>
              <w:rPr>
                <w:sz w:val="18"/>
              </w:rPr>
            </w:pPr>
            <w:r>
              <w:rPr>
                <w:sz w:val="18"/>
              </w:rPr>
              <w:t>None of the Company's financial liabilities are subject to interest rate risk.</w:t>
            </w:r>
          </w:p>
        </w:tc>
        <w:tc>
          <w:tcPr>
            <w:tcW w:w="1011" w:type="dxa"/>
            <w:tcBorders>
              <w:top w:val="single" w:sz="0" w:space="0" w:color="000000"/>
            </w:tcBorders>
          </w:tcPr>
          <w:p>
            <w:pPr/>
          </w:p>
        </w:tc>
        <w:tc>
          <w:tcPr>
            <w:tcW w:w="1581" w:type="dxa"/>
            <w:tcBorders>
              <w:top w:val="single" w:sz="0" w:space="0" w:color="000000"/>
            </w:tcBorders>
          </w:tcPr>
          <w:p>
            <w:pPr/>
          </w:p>
        </w:tc>
        <w:tc>
          <w:tcPr>
            <w:tcW w:w="1612" w:type="dxa"/>
            <w:tcBorders>
              <w:top w:val="single" w:sz="0" w:space="0" w:color="000000"/>
            </w:tcBorders>
          </w:tcPr>
          <w:p>
            <w:pPr/>
          </w:p>
        </w:tc>
        <w:tc>
          <w:tcPr>
            <w:tcW w:w="1552" w:type="dxa"/>
            <w:tcBorders>
              <w:top w:val="single" w:sz="0" w:space="0" w:color="000000"/>
            </w:tcBorders>
          </w:tcPr>
          <w:p>
            <w:pPr/>
          </w:p>
        </w:tc>
        <w:tc>
          <w:tcPr>
            <w:tcW w:w="1580" w:type="dxa"/>
            <w:tcBorders>
              <w:top w:val="single" w:sz="0" w:space="0" w:color="000000"/>
            </w:tcBorders>
          </w:tcPr>
          <w:p>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8"/>
        </w:rPr>
      </w:pPr>
    </w:p>
    <w:p>
      <w:pPr>
        <w:spacing w:before="80"/>
        <w:ind w:left="7367" w:right="7385" w:firstLine="0"/>
        <w:jc w:val="center"/>
        <w:rPr>
          <w:sz w:val="16"/>
        </w:rPr>
      </w:pPr>
      <w:r>
        <w:rPr>
          <w:sz w:val="16"/>
        </w:rPr>
        <w:t>127</w:t>
      </w:r>
    </w:p>
    <w:p>
      <w:pPr>
        <w:spacing w:after="0"/>
        <w:jc w:val="center"/>
        <w:rPr>
          <w:sz w:val="16"/>
        </w:rPr>
        <w:sectPr>
          <w:headerReference w:type="default" r:id="rId60"/>
          <w:footerReference w:type="default" r:id="rId61"/>
          <w:pgSz w:w="16840" w:h="11910" w:orient="landscape"/>
          <w:pgMar w:header="0" w:footer="0" w:top="960" w:bottom="280" w:left="900" w:right="880"/>
        </w:sectPr>
      </w:pPr>
    </w:p>
    <w:p>
      <w:pPr>
        <w:pStyle w:val="BodyText"/>
        <w:spacing w:before="2"/>
        <w:rPr>
          <w:sz w:val="24"/>
        </w:rPr>
      </w:pPr>
    </w:p>
    <w:p>
      <w:pPr>
        <w:pStyle w:val="Heading3"/>
        <w:ind w:right="220"/>
      </w:pPr>
      <w:r>
        <w:rPr/>
        <w:t>Notes to the Financial Statements</w:t>
      </w:r>
    </w:p>
    <w:p>
      <w:pPr>
        <w:pStyle w:val="Heading6"/>
        <w:ind w:left="107" w:right="220"/>
      </w:pPr>
      <w:r>
        <w:rPr/>
        <w:t>For the Year Ended 31 December 2017</w:t>
      </w:r>
    </w:p>
    <w:p>
      <w:pPr>
        <w:pStyle w:val="BodyText"/>
        <w:spacing w:before="10"/>
        <w:rPr>
          <w:b/>
          <w:sz w:val="32"/>
        </w:rPr>
      </w:pPr>
    </w:p>
    <w:p>
      <w:pPr>
        <w:pStyle w:val="Heading9"/>
        <w:numPr>
          <w:ilvl w:val="0"/>
          <w:numId w:val="55"/>
        </w:numPr>
        <w:tabs>
          <w:tab w:pos="506" w:val="left" w:leader="none"/>
        </w:tabs>
        <w:spacing w:line="240" w:lineRule="auto" w:before="0" w:after="0"/>
        <w:ind w:left="505" w:right="0" w:hanging="396"/>
        <w:jc w:val="left"/>
      </w:pPr>
      <w:r>
        <w:rPr/>
        <w:t>Revenue</w:t>
      </w:r>
    </w:p>
    <w:p>
      <w:pPr>
        <w:pStyle w:val="BodyText"/>
        <w:spacing w:before="11"/>
        <w:rPr>
          <w:b/>
          <w:sz w:val="19"/>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4"/>
        <w:gridCol w:w="6535"/>
        <w:gridCol w:w="1410"/>
        <w:gridCol w:w="1184"/>
      </w:tblGrid>
      <w:tr>
        <w:trPr>
          <w:trHeight w:val="572" w:hRule="exact"/>
        </w:trPr>
        <w:tc>
          <w:tcPr>
            <w:tcW w:w="424" w:type="dxa"/>
          </w:tcPr>
          <w:p>
            <w:pPr>
              <w:pStyle w:val="TableParagraph"/>
              <w:spacing w:before="77"/>
              <w:ind w:left="35"/>
              <w:rPr>
                <w:b/>
                <w:sz w:val="18"/>
              </w:rPr>
            </w:pPr>
            <w:r>
              <w:rPr>
                <w:b/>
                <w:sz w:val="18"/>
              </w:rPr>
              <w:t>(a)</w:t>
            </w:r>
          </w:p>
        </w:tc>
        <w:tc>
          <w:tcPr>
            <w:tcW w:w="6535" w:type="dxa"/>
          </w:tcPr>
          <w:p>
            <w:pPr>
              <w:pStyle w:val="TableParagraph"/>
              <w:spacing w:before="77"/>
              <w:ind w:left="177"/>
              <w:rPr>
                <w:b/>
                <w:sz w:val="18"/>
              </w:rPr>
            </w:pPr>
            <w:r>
              <w:rPr>
                <w:b/>
                <w:sz w:val="18"/>
              </w:rPr>
              <w:t>Rendering of services</w:t>
            </w:r>
          </w:p>
        </w:tc>
        <w:tc>
          <w:tcPr>
            <w:tcW w:w="1410" w:type="dxa"/>
          </w:tcPr>
          <w:p>
            <w:pPr>
              <w:pStyle w:val="TableParagraph"/>
              <w:rPr>
                <w:b/>
                <w:sz w:val="18"/>
              </w:rPr>
            </w:pPr>
          </w:p>
          <w:p>
            <w:pPr>
              <w:pStyle w:val="TableParagraph"/>
              <w:spacing w:before="115"/>
              <w:ind w:left="452" w:right="516"/>
              <w:jc w:val="center"/>
              <w:rPr>
                <w:b/>
                <w:sz w:val="18"/>
              </w:rPr>
            </w:pPr>
            <w:r>
              <w:rPr>
                <w:b/>
                <w:sz w:val="18"/>
              </w:rPr>
              <w:t>2017</w:t>
            </w:r>
          </w:p>
        </w:tc>
        <w:tc>
          <w:tcPr>
            <w:tcW w:w="1184" w:type="dxa"/>
          </w:tcPr>
          <w:p>
            <w:pPr>
              <w:pStyle w:val="TableParagraph"/>
              <w:rPr>
                <w:b/>
                <w:sz w:val="18"/>
              </w:rPr>
            </w:pPr>
          </w:p>
          <w:p>
            <w:pPr>
              <w:pStyle w:val="TableParagraph"/>
              <w:spacing w:before="115"/>
              <w:ind w:left="343"/>
              <w:rPr>
                <w:b/>
                <w:sz w:val="18"/>
              </w:rPr>
            </w:pPr>
            <w:r>
              <w:rPr>
                <w:b/>
                <w:sz w:val="18"/>
              </w:rPr>
              <w:t>2016</w:t>
            </w:r>
          </w:p>
        </w:tc>
      </w:tr>
      <w:tr>
        <w:trPr>
          <w:trHeight w:val="271" w:hRule="exact"/>
        </w:trPr>
        <w:tc>
          <w:tcPr>
            <w:tcW w:w="424" w:type="dxa"/>
          </w:tcPr>
          <w:p>
            <w:pPr/>
          </w:p>
        </w:tc>
        <w:tc>
          <w:tcPr>
            <w:tcW w:w="6535" w:type="dxa"/>
          </w:tcPr>
          <w:p>
            <w:pPr/>
          </w:p>
        </w:tc>
        <w:tc>
          <w:tcPr>
            <w:tcW w:w="1410" w:type="dxa"/>
          </w:tcPr>
          <w:p>
            <w:pPr>
              <w:pStyle w:val="TableParagraph"/>
              <w:spacing w:before="24"/>
              <w:ind w:right="65"/>
              <w:jc w:val="center"/>
              <w:rPr>
                <w:b/>
                <w:sz w:val="18"/>
              </w:rPr>
            </w:pPr>
            <w:r>
              <w:rPr>
                <w:b/>
                <w:w w:val="99"/>
                <w:sz w:val="18"/>
              </w:rPr>
              <w:t>$</w:t>
            </w:r>
          </w:p>
        </w:tc>
        <w:tc>
          <w:tcPr>
            <w:tcW w:w="1184" w:type="dxa"/>
          </w:tcPr>
          <w:p>
            <w:pPr>
              <w:pStyle w:val="TableParagraph"/>
              <w:spacing w:before="24"/>
              <w:ind w:right="94"/>
              <w:jc w:val="center"/>
              <w:rPr>
                <w:b/>
                <w:sz w:val="18"/>
              </w:rPr>
            </w:pPr>
            <w:r>
              <w:rPr>
                <w:b/>
                <w:w w:val="99"/>
                <w:sz w:val="18"/>
              </w:rPr>
              <w:t>$</w:t>
            </w:r>
          </w:p>
        </w:tc>
      </w:tr>
      <w:tr>
        <w:trPr>
          <w:trHeight w:val="266" w:hRule="exact"/>
        </w:trPr>
        <w:tc>
          <w:tcPr>
            <w:tcW w:w="424" w:type="dxa"/>
          </w:tcPr>
          <w:p>
            <w:pPr/>
          </w:p>
        </w:tc>
        <w:tc>
          <w:tcPr>
            <w:tcW w:w="6535" w:type="dxa"/>
          </w:tcPr>
          <w:p>
            <w:pPr>
              <w:pStyle w:val="TableParagraph"/>
              <w:spacing w:before="21"/>
              <w:ind w:left="203"/>
              <w:rPr>
                <w:sz w:val="18"/>
              </w:rPr>
            </w:pPr>
            <w:r>
              <w:rPr>
                <w:sz w:val="18"/>
              </w:rPr>
              <w:t>Tuition income</w:t>
            </w:r>
          </w:p>
        </w:tc>
        <w:tc>
          <w:tcPr>
            <w:tcW w:w="1410" w:type="dxa"/>
          </w:tcPr>
          <w:p>
            <w:pPr>
              <w:pStyle w:val="TableParagraph"/>
              <w:spacing w:before="22"/>
              <w:ind w:right="195"/>
              <w:jc w:val="right"/>
              <w:rPr>
                <w:b/>
                <w:sz w:val="18"/>
              </w:rPr>
            </w:pPr>
            <w:r>
              <w:rPr>
                <w:b/>
                <w:w w:val="95"/>
                <w:sz w:val="18"/>
              </w:rPr>
              <w:t>55,899,633</w:t>
            </w:r>
          </w:p>
        </w:tc>
        <w:tc>
          <w:tcPr>
            <w:tcW w:w="1184" w:type="dxa"/>
          </w:tcPr>
          <w:p>
            <w:pPr>
              <w:pStyle w:val="TableParagraph"/>
              <w:spacing w:before="22"/>
              <w:ind w:right="83"/>
              <w:jc w:val="right"/>
              <w:rPr>
                <w:sz w:val="18"/>
              </w:rPr>
            </w:pPr>
            <w:r>
              <w:rPr>
                <w:w w:val="95"/>
                <w:sz w:val="18"/>
              </w:rPr>
              <w:t>57,062,410</w:t>
            </w:r>
          </w:p>
        </w:tc>
      </w:tr>
      <w:tr>
        <w:trPr>
          <w:trHeight w:val="264" w:hRule="exact"/>
        </w:trPr>
        <w:tc>
          <w:tcPr>
            <w:tcW w:w="424" w:type="dxa"/>
          </w:tcPr>
          <w:p>
            <w:pPr/>
          </w:p>
        </w:tc>
        <w:tc>
          <w:tcPr>
            <w:tcW w:w="6535" w:type="dxa"/>
          </w:tcPr>
          <w:p>
            <w:pPr>
              <w:pStyle w:val="TableParagraph"/>
              <w:spacing w:before="18"/>
              <w:ind w:left="203"/>
              <w:rPr>
                <w:sz w:val="18"/>
              </w:rPr>
            </w:pPr>
            <w:r>
              <w:rPr>
                <w:sz w:val="18"/>
              </w:rPr>
              <w:t>Student test fees</w:t>
            </w:r>
          </w:p>
        </w:tc>
        <w:tc>
          <w:tcPr>
            <w:tcW w:w="1410" w:type="dxa"/>
          </w:tcPr>
          <w:p>
            <w:pPr>
              <w:pStyle w:val="TableParagraph"/>
              <w:spacing w:before="19"/>
              <w:ind w:right="196"/>
              <w:jc w:val="right"/>
              <w:rPr>
                <w:b/>
                <w:sz w:val="18"/>
              </w:rPr>
            </w:pPr>
            <w:r>
              <w:rPr>
                <w:b/>
                <w:w w:val="95"/>
                <w:sz w:val="18"/>
              </w:rPr>
              <w:t>3,266,014</w:t>
            </w:r>
          </w:p>
        </w:tc>
        <w:tc>
          <w:tcPr>
            <w:tcW w:w="1184" w:type="dxa"/>
          </w:tcPr>
          <w:p>
            <w:pPr>
              <w:pStyle w:val="TableParagraph"/>
              <w:spacing w:before="19"/>
              <w:ind w:right="84"/>
              <w:jc w:val="right"/>
              <w:rPr>
                <w:sz w:val="18"/>
              </w:rPr>
            </w:pPr>
            <w:r>
              <w:rPr>
                <w:w w:val="95"/>
                <w:sz w:val="18"/>
              </w:rPr>
              <w:t>3,310,884</w:t>
            </w:r>
          </w:p>
        </w:tc>
      </w:tr>
      <w:tr>
        <w:trPr>
          <w:trHeight w:val="263" w:hRule="exact"/>
        </w:trPr>
        <w:tc>
          <w:tcPr>
            <w:tcW w:w="424" w:type="dxa"/>
          </w:tcPr>
          <w:p>
            <w:pPr/>
          </w:p>
        </w:tc>
        <w:tc>
          <w:tcPr>
            <w:tcW w:w="6535" w:type="dxa"/>
          </w:tcPr>
          <w:p>
            <w:pPr>
              <w:pStyle w:val="TableParagraph"/>
              <w:spacing w:before="18"/>
              <w:ind w:left="203"/>
              <w:rPr>
                <w:sz w:val="18"/>
              </w:rPr>
            </w:pPr>
            <w:r>
              <w:rPr>
                <w:sz w:val="18"/>
              </w:rPr>
              <w:t>Student charges</w:t>
            </w:r>
          </w:p>
        </w:tc>
        <w:tc>
          <w:tcPr>
            <w:tcW w:w="1410" w:type="dxa"/>
            <w:tcBorders>
              <w:bottom w:val="single" w:sz="0" w:space="0" w:color="000000"/>
            </w:tcBorders>
          </w:tcPr>
          <w:p>
            <w:pPr>
              <w:pStyle w:val="TableParagraph"/>
              <w:spacing w:before="19"/>
              <w:ind w:right="196"/>
              <w:jc w:val="right"/>
              <w:rPr>
                <w:b/>
                <w:sz w:val="18"/>
              </w:rPr>
            </w:pPr>
            <w:r>
              <w:rPr>
                <w:b/>
                <w:w w:val="95"/>
                <w:sz w:val="18"/>
              </w:rPr>
              <w:t>233,910</w:t>
            </w:r>
          </w:p>
        </w:tc>
        <w:tc>
          <w:tcPr>
            <w:tcW w:w="1184" w:type="dxa"/>
            <w:tcBorders>
              <w:bottom w:val="single" w:sz="0" w:space="0" w:color="000000"/>
            </w:tcBorders>
          </w:tcPr>
          <w:p>
            <w:pPr>
              <w:pStyle w:val="TableParagraph"/>
              <w:spacing w:before="19"/>
              <w:ind w:right="84"/>
              <w:jc w:val="right"/>
              <w:rPr>
                <w:sz w:val="18"/>
              </w:rPr>
            </w:pPr>
            <w:r>
              <w:rPr>
                <w:w w:val="95"/>
                <w:sz w:val="18"/>
              </w:rPr>
              <w:t>192,352</w:t>
            </w:r>
          </w:p>
        </w:tc>
      </w:tr>
      <w:tr>
        <w:trPr>
          <w:trHeight w:val="353" w:hRule="exact"/>
        </w:trPr>
        <w:tc>
          <w:tcPr>
            <w:tcW w:w="424" w:type="dxa"/>
          </w:tcPr>
          <w:p>
            <w:pPr/>
          </w:p>
        </w:tc>
        <w:tc>
          <w:tcPr>
            <w:tcW w:w="6535" w:type="dxa"/>
          </w:tcPr>
          <w:p>
            <w:pPr>
              <w:pStyle w:val="TableParagraph"/>
              <w:spacing w:before="123"/>
              <w:ind w:left="203"/>
              <w:rPr>
                <w:b/>
                <w:sz w:val="18"/>
              </w:rPr>
            </w:pPr>
            <w:r>
              <w:rPr>
                <w:b/>
                <w:sz w:val="18"/>
              </w:rPr>
              <w:t>Total revenue from rendering of services</w:t>
            </w:r>
          </w:p>
        </w:tc>
        <w:tc>
          <w:tcPr>
            <w:tcW w:w="1410" w:type="dxa"/>
            <w:tcBorders>
              <w:top w:val="single" w:sz="0" w:space="0" w:color="000000"/>
              <w:bottom w:val="single" w:sz="0" w:space="0" w:color="000000"/>
            </w:tcBorders>
          </w:tcPr>
          <w:p>
            <w:pPr>
              <w:pStyle w:val="TableParagraph"/>
              <w:spacing w:before="122"/>
              <w:ind w:right="195"/>
              <w:jc w:val="right"/>
              <w:rPr>
                <w:b/>
                <w:sz w:val="18"/>
              </w:rPr>
            </w:pPr>
            <w:r>
              <w:rPr>
                <w:b/>
                <w:w w:val="95"/>
                <w:sz w:val="18"/>
              </w:rPr>
              <w:t>59,399,557</w:t>
            </w:r>
          </w:p>
        </w:tc>
        <w:tc>
          <w:tcPr>
            <w:tcW w:w="1184" w:type="dxa"/>
            <w:tcBorders>
              <w:top w:val="single" w:sz="0" w:space="0" w:color="000000"/>
              <w:bottom w:val="single" w:sz="0" w:space="0" w:color="000000"/>
            </w:tcBorders>
          </w:tcPr>
          <w:p>
            <w:pPr>
              <w:pStyle w:val="TableParagraph"/>
              <w:spacing w:before="122"/>
              <w:ind w:right="83"/>
              <w:jc w:val="right"/>
              <w:rPr>
                <w:sz w:val="18"/>
              </w:rPr>
            </w:pPr>
            <w:r>
              <w:rPr>
                <w:w w:val="95"/>
                <w:sz w:val="18"/>
              </w:rPr>
              <w:t>60,565,646</w:t>
            </w:r>
          </w:p>
        </w:tc>
      </w:tr>
      <w:tr>
        <w:trPr>
          <w:trHeight w:val="827" w:hRule="exact"/>
        </w:trPr>
        <w:tc>
          <w:tcPr>
            <w:tcW w:w="424" w:type="dxa"/>
          </w:tcPr>
          <w:p>
            <w:pPr>
              <w:pStyle w:val="TableParagraph"/>
              <w:rPr>
                <w:b/>
                <w:sz w:val="18"/>
              </w:rPr>
            </w:pPr>
          </w:p>
          <w:p>
            <w:pPr>
              <w:pStyle w:val="TableParagraph"/>
              <w:spacing w:before="125"/>
              <w:ind w:left="35"/>
              <w:rPr>
                <w:b/>
                <w:sz w:val="18"/>
              </w:rPr>
            </w:pPr>
            <w:r>
              <w:rPr>
                <w:b/>
                <w:sz w:val="18"/>
              </w:rPr>
              <w:t>(b)</w:t>
            </w:r>
          </w:p>
        </w:tc>
        <w:tc>
          <w:tcPr>
            <w:tcW w:w="6535" w:type="dxa"/>
          </w:tcPr>
          <w:p>
            <w:pPr>
              <w:pStyle w:val="TableParagraph"/>
              <w:rPr>
                <w:b/>
                <w:sz w:val="18"/>
              </w:rPr>
            </w:pPr>
          </w:p>
          <w:p>
            <w:pPr>
              <w:pStyle w:val="TableParagraph"/>
              <w:spacing w:before="125"/>
              <w:ind w:left="177"/>
              <w:rPr>
                <w:b/>
                <w:sz w:val="18"/>
              </w:rPr>
            </w:pPr>
            <w:r>
              <w:rPr>
                <w:b/>
                <w:sz w:val="18"/>
              </w:rPr>
              <w:t>Other revenue</w:t>
            </w:r>
          </w:p>
        </w:tc>
        <w:tc>
          <w:tcPr>
            <w:tcW w:w="1410" w:type="dxa"/>
            <w:tcBorders>
              <w:top w:val="single" w:sz="0" w:space="0" w:color="000000"/>
            </w:tcBorders>
          </w:tcPr>
          <w:p>
            <w:pPr>
              <w:pStyle w:val="TableParagraph"/>
              <w:rPr>
                <w:b/>
                <w:sz w:val="18"/>
              </w:rPr>
            </w:pPr>
          </w:p>
          <w:p>
            <w:pPr>
              <w:pStyle w:val="TableParagraph"/>
              <w:rPr>
                <w:b/>
                <w:sz w:val="18"/>
              </w:rPr>
            </w:pPr>
          </w:p>
          <w:p>
            <w:pPr>
              <w:pStyle w:val="TableParagraph"/>
              <w:spacing w:before="2"/>
              <w:rPr>
                <w:b/>
                <w:sz w:val="14"/>
              </w:rPr>
            </w:pPr>
          </w:p>
          <w:p>
            <w:pPr>
              <w:pStyle w:val="TableParagraph"/>
              <w:ind w:left="448"/>
              <w:rPr>
                <w:b/>
                <w:sz w:val="18"/>
              </w:rPr>
            </w:pPr>
            <w:r>
              <w:rPr>
                <w:b/>
                <w:sz w:val="18"/>
              </w:rPr>
              <w:t>2017</w:t>
            </w:r>
          </w:p>
        </w:tc>
        <w:tc>
          <w:tcPr>
            <w:tcW w:w="1184" w:type="dxa"/>
            <w:tcBorders>
              <w:top w:val="single" w:sz="0" w:space="0" w:color="000000"/>
            </w:tcBorders>
          </w:tcPr>
          <w:p>
            <w:pPr>
              <w:pStyle w:val="TableParagraph"/>
              <w:rPr>
                <w:b/>
                <w:sz w:val="18"/>
              </w:rPr>
            </w:pPr>
          </w:p>
          <w:p>
            <w:pPr>
              <w:pStyle w:val="TableParagraph"/>
              <w:rPr>
                <w:b/>
                <w:sz w:val="18"/>
              </w:rPr>
            </w:pPr>
          </w:p>
          <w:p>
            <w:pPr>
              <w:pStyle w:val="TableParagraph"/>
              <w:spacing w:before="2"/>
              <w:rPr>
                <w:b/>
                <w:sz w:val="14"/>
              </w:rPr>
            </w:pPr>
          </w:p>
          <w:p>
            <w:pPr>
              <w:pStyle w:val="TableParagraph"/>
              <w:ind w:left="322"/>
              <w:rPr>
                <w:b/>
                <w:sz w:val="18"/>
              </w:rPr>
            </w:pPr>
            <w:r>
              <w:rPr>
                <w:b/>
                <w:sz w:val="18"/>
              </w:rPr>
              <w:t>2016</w:t>
            </w:r>
          </w:p>
        </w:tc>
      </w:tr>
      <w:tr>
        <w:trPr>
          <w:trHeight w:val="271" w:hRule="exact"/>
        </w:trPr>
        <w:tc>
          <w:tcPr>
            <w:tcW w:w="424" w:type="dxa"/>
          </w:tcPr>
          <w:p>
            <w:pPr/>
          </w:p>
        </w:tc>
        <w:tc>
          <w:tcPr>
            <w:tcW w:w="6535" w:type="dxa"/>
          </w:tcPr>
          <w:p>
            <w:pPr/>
          </w:p>
        </w:tc>
        <w:tc>
          <w:tcPr>
            <w:tcW w:w="1410" w:type="dxa"/>
          </w:tcPr>
          <w:p>
            <w:pPr>
              <w:pStyle w:val="TableParagraph"/>
              <w:spacing w:before="24"/>
              <w:ind w:right="110"/>
              <w:jc w:val="center"/>
              <w:rPr>
                <w:b/>
                <w:sz w:val="18"/>
              </w:rPr>
            </w:pPr>
            <w:r>
              <w:rPr>
                <w:b/>
                <w:w w:val="99"/>
                <w:sz w:val="18"/>
              </w:rPr>
              <w:t>$</w:t>
            </w:r>
          </w:p>
        </w:tc>
        <w:tc>
          <w:tcPr>
            <w:tcW w:w="1184" w:type="dxa"/>
          </w:tcPr>
          <w:p>
            <w:pPr>
              <w:pStyle w:val="TableParagraph"/>
              <w:spacing w:before="24"/>
              <w:ind w:right="137"/>
              <w:jc w:val="center"/>
              <w:rPr>
                <w:b/>
                <w:sz w:val="18"/>
              </w:rPr>
            </w:pPr>
            <w:r>
              <w:rPr>
                <w:b/>
                <w:w w:val="99"/>
                <w:sz w:val="18"/>
              </w:rPr>
              <w:t>$</w:t>
            </w:r>
          </w:p>
        </w:tc>
      </w:tr>
      <w:tr>
        <w:trPr>
          <w:trHeight w:val="266" w:hRule="exact"/>
        </w:trPr>
        <w:tc>
          <w:tcPr>
            <w:tcW w:w="424" w:type="dxa"/>
          </w:tcPr>
          <w:p>
            <w:pPr/>
          </w:p>
        </w:tc>
        <w:tc>
          <w:tcPr>
            <w:tcW w:w="6535" w:type="dxa"/>
          </w:tcPr>
          <w:p>
            <w:pPr>
              <w:pStyle w:val="TableParagraph"/>
              <w:spacing w:before="21"/>
              <w:ind w:left="159"/>
              <w:rPr>
                <w:sz w:val="18"/>
              </w:rPr>
            </w:pPr>
            <w:r>
              <w:rPr>
                <w:sz w:val="18"/>
              </w:rPr>
              <w:t>Service fee from joint venture</w:t>
            </w:r>
          </w:p>
        </w:tc>
        <w:tc>
          <w:tcPr>
            <w:tcW w:w="1410" w:type="dxa"/>
          </w:tcPr>
          <w:p>
            <w:pPr>
              <w:pStyle w:val="TableParagraph"/>
              <w:spacing w:before="22"/>
              <w:ind w:right="197"/>
              <w:jc w:val="right"/>
              <w:rPr>
                <w:b/>
                <w:sz w:val="18"/>
              </w:rPr>
            </w:pPr>
            <w:r>
              <w:rPr>
                <w:b/>
                <w:w w:val="95"/>
                <w:sz w:val="18"/>
              </w:rPr>
              <w:t>619,439</w:t>
            </w:r>
          </w:p>
        </w:tc>
        <w:tc>
          <w:tcPr>
            <w:tcW w:w="1184" w:type="dxa"/>
          </w:tcPr>
          <w:p>
            <w:pPr>
              <w:pStyle w:val="TableParagraph"/>
              <w:spacing w:before="22"/>
              <w:ind w:right="83"/>
              <w:jc w:val="right"/>
              <w:rPr>
                <w:sz w:val="18"/>
              </w:rPr>
            </w:pPr>
            <w:r>
              <w:rPr>
                <w:w w:val="95"/>
                <w:sz w:val="18"/>
              </w:rPr>
              <w:t>217,274</w:t>
            </w:r>
          </w:p>
        </w:tc>
      </w:tr>
      <w:tr>
        <w:trPr>
          <w:trHeight w:val="263" w:hRule="exact"/>
        </w:trPr>
        <w:tc>
          <w:tcPr>
            <w:tcW w:w="424" w:type="dxa"/>
          </w:tcPr>
          <w:p>
            <w:pPr/>
          </w:p>
        </w:tc>
        <w:tc>
          <w:tcPr>
            <w:tcW w:w="6535" w:type="dxa"/>
          </w:tcPr>
          <w:p>
            <w:pPr>
              <w:pStyle w:val="TableParagraph"/>
              <w:spacing w:before="18"/>
              <w:ind w:left="159"/>
              <w:rPr>
                <w:sz w:val="18"/>
              </w:rPr>
            </w:pPr>
            <w:r>
              <w:rPr>
                <w:sz w:val="18"/>
              </w:rPr>
              <w:t>Other income</w:t>
            </w:r>
          </w:p>
        </w:tc>
        <w:tc>
          <w:tcPr>
            <w:tcW w:w="1410" w:type="dxa"/>
            <w:tcBorders>
              <w:bottom w:val="single" w:sz="0" w:space="0" w:color="000000"/>
            </w:tcBorders>
          </w:tcPr>
          <w:p>
            <w:pPr>
              <w:pStyle w:val="TableParagraph"/>
              <w:spacing w:before="19"/>
              <w:ind w:right="197"/>
              <w:jc w:val="right"/>
              <w:rPr>
                <w:b/>
                <w:sz w:val="18"/>
              </w:rPr>
            </w:pPr>
            <w:r>
              <w:rPr>
                <w:b/>
                <w:w w:val="95"/>
                <w:sz w:val="18"/>
              </w:rPr>
              <w:t>186,968</w:t>
            </w:r>
          </w:p>
        </w:tc>
        <w:tc>
          <w:tcPr>
            <w:tcW w:w="1184" w:type="dxa"/>
            <w:tcBorders>
              <w:bottom w:val="single" w:sz="0" w:space="0" w:color="000000"/>
            </w:tcBorders>
          </w:tcPr>
          <w:p>
            <w:pPr>
              <w:pStyle w:val="TableParagraph"/>
              <w:spacing w:before="19"/>
              <w:ind w:right="83"/>
              <w:jc w:val="right"/>
              <w:rPr>
                <w:sz w:val="18"/>
              </w:rPr>
            </w:pPr>
            <w:r>
              <w:rPr>
                <w:w w:val="95"/>
                <w:sz w:val="18"/>
              </w:rPr>
              <w:t>88,527</w:t>
            </w:r>
          </w:p>
        </w:tc>
      </w:tr>
      <w:tr>
        <w:trPr>
          <w:trHeight w:val="353" w:hRule="exact"/>
        </w:trPr>
        <w:tc>
          <w:tcPr>
            <w:tcW w:w="424" w:type="dxa"/>
          </w:tcPr>
          <w:p>
            <w:pPr/>
          </w:p>
        </w:tc>
        <w:tc>
          <w:tcPr>
            <w:tcW w:w="6535" w:type="dxa"/>
          </w:tcPr>
          <w:p>
            <w:pPr>
              <w:pStyle w:val="TableParagraph"/>
              <w:spacing w:before="123"/>
              <w:ind w:left="159"/>
              <w:rPr>
                <w:b/>
                <w:sz w:val="18"/>
              </w:rPr>
            </w:pPr>
            <w:r>
              <w:rPr>
                <w:b/>
                <w:sz w:val="18"/>
              </w:rPr>
              <w:t>Total other revenue</w:t>
            </w:r>
          </w:p>
        </w:tc>
        <w:tc>
          <w:tcPr>
            <w:tcW w:w="1410" w:type="dxa"/>
            <w:tcBorders>
              <w:top w:val="single" w:sz="0" w:space="0" w:color="000000"/>
              <w:bottom w:val="single" w:sz="0" w:space="0" w:color="000000"/>
            </w:tcBorders>
          </w:tcPr>
          <w:p>
            <w:pPr>
              <w:pStyle w:val="TableParagraph"/>
              <w:spacing w:before="122"/>
              <w:ind w:right="197"/>
              <w:jc w:val="right"/>
              <w:rPr>
                <w:b/>
                <w:sz w:val="18"/>
              </w:rPr>
            </w:pPr>
            <w:r>
              <w:rPr>
                <w:b/>
                <w:w w:val="95"/>
                <w:sz w:val="18"/>
              </w:rPr>
              <w:t>806,407</w:t>
            </w:r>
          </w:p>
        </w:tc>
        <w:tc>
          <w:tcPr>
            <w:tcW w:w="1184" w:type="dxa"/>
            <w:tcBorders>
              <w:top w:val="single" w:sz="0" w:space="0" w:color="000000"/>
              <w:bottom w:val="single" w:sz="0" w:space="0" w:color="000000"/>
            </w:tcBorders>
          </w:tcPr>
          <w:p>
            <w:pPr>
              <w:pStyle w:val="TableParagraph"/>
              <w:spacing w:before="122"/>
              <w:ind w:right="83"/>
              <w:jc w:val="right"/>
              <w:rPr>
                <w:sz w:val="18"/>
              </w:rPr>
            </w:pPr>
            <w:r>
              <w:rPr>
                <w:w w:val="95"/>
                <w:sz w:val="18"/>
              </w:rPr>
              <w:t>305,801</w:t>
            </w:r>
          </w:p>
        </w:tc>
      </w:tr>
    </w:tbl>
    <w:p>
      <w:pPr>
        <w:spacing w:after="0"/>
        <w:jc w:val="right"/>
        <w:rPr>
          <w:sz w:val="18"/>
        </w:rPr>
        <w:sectPr>
          <w:headerReference w:type="default" r:id="rId62"/>
          <w:footerReference w:type="default" r:id="rId63"/>
          <w:pgSz w:w="11910" w:h="16840"/>
          <w:pgMar w:header="1038" w:footer="507" w:top="1720" w:bottom="700" w:left="900" w:right="880"/>
          <w:pgNumType w:start="128"/>
        </w:sectPr>
      </w:pPr>
    </w:p>
    <w:p>
      <w:pPr>
        <w:pStyle w:val="BodyText"/>
        <w:spacing w:before="2"/>
        <w:rPr>
          <w:b/>
          <w:sz w:val="24"/>
        </w:rPr>
      </w:pPr>
    </w:p>
    <w:p>
      <w:pPr>
        <w:spacing w:before="64"/>
        <w:ind w:left="147" w:right="19" w:firstLine="0"/>
        <w:jc w:val="left"/>
        <w:rPr>
          <w:b/>
          <w:sz w:val="28"/>
        </w:rPr>
      </w:pPr>
      <w:r>
        <w:rPr>
          <w:b/>
          <w:sz w:val="28"/>
        </w:rPr>
        <w:t>Notes to the Financial Statements</w:t>
      </w:r>
    </w:p>
    <w:p>
      <w:pPr>
        <w:spacing w:before="57"/>
        <w:ind w:left="147" w:right="19" w:firstLine="0"/>
        <w:jc w:val="left"/>
        <w:rPr>
          <w:b/>
          <w:sz w:val="22"/>
        </w:rPr>
      </w:pPr>
      <w:r>
        <w:rPr>
          <w:b/>
          <w:sz w:val="22"/>
        </w:rPr>
        <w:t>For the Year Ended 31 December 2017</w:t>
      </w:r>
    </w:p>
    <w:p>
      <w:pPr>
        <w:pStyle w:val="BodyText"/>
        <w:rPr>
          <w:b/>
          <w:sz w:val="20"/>
        </w:rPr>
      </w:pPr>
    </w:p>
    <w:p>
      <w:pPr>
        <w:pStyle w:val="BodyText"/>
        <w:rPr>
          <w:b/>
          <w:sz w:val="20"/>
        </w:rPr>
      </w:pPr>
    </w:p>
    <w:p>
      <w:pPr>
        <w:pStyle w:val="BodyText"/>
        <w:spacing w:before="3"/>
        <w:rPr>
          <w:b/>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6957"/>
        <w:gridCol w:w="1451"/>
        <w:gridCol w:w="1213"/>
      </w:tblGrid>
      <w:tr>
        <w:trPr>
          <w:trHeight w:val="567" w:hRule="exact"/>
        </w:trPr>
        <w:tc>
          <w:tcPr>
            <w:tcW w:w="333" w:type="dxa"/>
          </w:tcPr>
          <w:p>
            <w:pPr>
              <w:pStyle w:val="TableParagraph"/>
              <w:spacing w:before="77"/>
              <w:ind w:left="35"/>
              <w:rPr>
                <w:b/>
                <w:sz w:val="18"/>
              </w:rPr>
            </w:pPr>
            <w:r>
              <w:rPr>
                <w:b/>
                <w:sz w:val="18"/>
              </w:rPr>
              <w:t>15</w:t>
            </w:r>
          </w:p>
        </w:tc>
        <w:tc>
          <w:tcPr>
            <w:tcW w:w="6957" w:type="dxa"/>
          </w:tcPr>
          <w:p>
            <w:pPr>
              <w:pStyle w:val="TableParagraph"/>
              <w:spacing w:before="77"/>
              <w:ind w:left="97"/>
              <w:rPr>
                <w:b/>
                <w:sz w:val="18"/>
              </w:rPr>
            </w:pPr>
            <w:r>
              <w:rPr>
                <w:b/>
                <w:sz w:val="18"/>
              </w:rPr>
              <w:t>Expenses</w:t>
            </w:r>
          </w:p>
        </w:tc>
        <w:tc>
          <w:tcPr>
            <w:tcW w:w="1451" w:type="dxa"/>
          </w:tcPr>
          <w:p>
            <w:pPr>
              <w:pStyle w:val="TableParagraph"/>
              <w:rPr>
                <w:b/>
                <w:sz w:val="18"/>
              </w:rPr>
            </w:pPr>
          </w:p>
          <w:p>
            <w:pPr>
              <w:pStyle w:val="TableParagraph"/>
              <w:spacing w:before="110"/>
              <w:ind w:left="454"/>
              <w:rPr>
                <w:b/>
                <w:sz w:val="18"/>
              </w:rPr>
            </w:pPr>
            <w:r>
              <w:rPr>
                <w:b/>
                <w:sz w:val="18"/>
              </w:rPr>
              <w:t>2017</w:t>
            </w:r>
          </w:p>
        </w:tc>
        <w:tc>
          <w:tcPr>
            <w:tcW w:w="1213" w:type="dxa"/>
          </w:tcPr>
          <w:p>
            <w:pPr>
              <w:pStyle w:val="TableParagraph"/>
              <w:rPr>
                <w:b/>
                <w:sz w:val="18"/>
              </w:rPr>
            </w:pPr>
          </w:p>
          <w:p>
            <w:pPr>
              <w:pStyle w:val="TableParagraph"/>
              <w:spacing w:before="110"/>
              <w:ind w:left="321"/>
              <w:rPr>
                <w:b/>
                <w:sz w:val="18"/>
              </w:rPr>
            </w:pPr>
            <w:r>
              <w:rPr>
                <w:b/>
                <w:sz w:val="18"/>
              </w:rPr>
              <w:t>2016</w:t>
            </w:r>
          </w:p>
        </w:tc>
      </w:tr>
      <w:tr>
        <w:trPr>
          <w:trHeight w:val="313" w:hRule="exact"/>
        </w:trPr>
        <w:tc>
          <w:tcPr>
            <w:tcW w:w="333" w:type="dxa"/>
          </w:tcPr>
          <w:p>
            <w:pPr/>
          </w:p>
        </w:tc>
        <w:tc>
          <w:tcPr>
            <w:tcW w:w="6957" w:type="dxa"/>
          </w:tcPr>
          <w:p>
            <w:pPr/>
          </w:p>
        </w:tc>
        <w:tc>
          <w:tcPr>
            <w:tcW w:w="1451" w:type="dxa"/>
          </w:tcPr>
          <w:p>
            <w:pPr>
              <w:pStyle w:val="TableParagraph"/>
              <w:spacing w:before="24"/>
              <w:ind w:right="139"/>
              <w:jc w:val="center"/>
              <w:rPr>
                <w:b/>
                <w:sz w:val="18"/>
              </w:rPr>
            </w:pPr>
            <w:r>
              <w:rPr>
                <w:b/>
                <w:w w:val="99"/>
                <w:sz w:val="18"/>
              </w:rPr>
              <w:t>$</w:t>
            </w:r>
          </w:p>
        </w:tc>
        <w:tc>
          <w:tcPr>
            <w:tcW w:w="1213" w:type="dxa"/>
          </w:tcPr>
          <w:p>
            <w:pPr>
              <w:pStyle w:val="TableParagraph"/>
              <w:spacing w:before="24"/>
              <w:ind w:right="167"/>
              <w:jc w:val="center"/>
              <w:rPr>
                <w:b/>
                <w:sz w:val="18"/>
              </w:rPr>
            </w:pPr>
            <w:r>
              <w:rPr>
                <w:b/>
                <w:w w:val="99"/>
                <w:sz w:val="18"/>
              </w:rPr>
              <w:t>$</w:t>
            </w:r>
          </w:p>
        </w:tc>
      </w:tr>
      <w:tr>
        <w:trPr>
          <w:trHeight w:val="544" w:hRule="exact"/>
        </w:trPr>
        <w:tc>
          <w:tcPr>
            <w:tcW w:w="333" w:type="dxa"/>
          </w:tcPr>
          <w:p>
            <w:pPr/>
          </w:p>
        </w:tc>
        <w:tc>
          <w:tcPr>
            <w:tcW w:w="6957" w:type="dxa"/>
          </w:tcPr>
          <w:p>
            <w:pPr>
              <w:pStyle w:val="TableParagraph"/>
              <w:spacing w:before="63"/>
              <w:ind w:left="125"/>
              <w:rPr>
                <w:b/>
                <w:sz w:val="18"/>
              </w:rPr>
            </w:pPr>
            <w:r>
              <w:rPr>
                <w:b/>
                <w:sz w:val="18"/>
              </w:rPr>
              <w:t>Employee related expense (including academic and non academic)</w:t>
            </w:r>
          </w:p>
          <w:p>
            <w:pPr>
              <w:pStyle w:val="TableParagraph"/>
              <w:spacing w:before="29"/>
              <w:ind w:left="125"/>
              <w:rPr>
                <w:sz w:val="18"/>
              </w:rPr>
            </w:pPr>
            <w:r>
              <w:rPr>
                <w:sz w:val="18"/>
              </w:rPr>
              <w:t>Salaries and wages</w:t>
            </w:r>
          </w:p>
        </w:tc>
        <w:tc>
          <w:tcPr>
            <w:tcW w:w="1451" w:type="dxa"/>
          </w:tcPr>
          <w:p>
            <w:pPr>
              <w:pStyle w:val="TableParagraph"/>
              <w:spacing w:before="11"/>
              <w:rPr>
                <w:b/>
                <w:sz w:val="25"/>
              </w:rPr>
            </w:pPr>
          </w:p>
          <w:p>
            <w:pPr>
              <w:pStyle w:val="TableParagraph"/>
              <w:ind w:right="225"/>
              <w:jc w:val="right"/>
              <w:rPr>
                <w:b/>
                <w:sz w:val="18"/>
              </w:rPr>
            </w:pPr>
            <w:r>
              <w:rPr>
                <w:b/>
                <w:w w:val="95"/>
                <w:sz w:val="18"/>
              </w:rPr>
              <w:t>23,103,409</w:t>
            </w:r>
          </w:p>
        </w:tc>
        <w:tc>
          <w:tcPr>
            <w:tcW w:w="1213" w:type="dxa"/>
          </w:tcPr>
          <w:p>
            <w:pPr>
              <w:pStyle w:val="TableParagraph"/>
              <w:spacing w:before="11"/>
              <w:rPr>
                <w:b/>
                <w:sz w:val="25"/>
              </w:rPr>
            </w:pPr>
          </w:p>
          <w:p>
            <w:pPr>
              <w:pStyle w:val="TableParagraph"/>
              <w:ind w:right="83"/>
              <w:jc w:val="right"/>
              <w:rPr>
                <w:sz w:val="18"/>
              </w:rPr>
            </w:pPr>
            <w:r>
              <w:rPr>
                <w:w w:val="95"/>
                <w:sz w:val="18"/>
              </w:rPr>
              <w:t>25,393,619</w:t>
            </w:r>
          </w:p>
        </w:tc>
      </w:tr>
      <w:tr>
        <w:trPr>
          <w:trHeight w:val="264" w:hRule="exact"/>
        </w:trPr>
        <w:tc>
          <w:tcPr>
            <w:tcW w:w="333" w:type="dxa"/>
          </w:tcPr>
          <w:p>
            <w:pPr/>
          </w:p>
        </w:tc>
        <w:tc>
          <w:tcPr>
            <w:tcW w:w="6957" w:type="dxa"/>
          </w:tcPr>
          <w:p>
            <w:pPr>
              <w:pStyle w:val="TableParagraph"/>
              <w:spacing w:before="19"/>
              <w:ind w:left="125"/>
              <w:rPr>
                <w:sz w:val="18"/>
              </w:rPr>
            </w:pPr>
            <w:r>
              <w:rPr>
                <w:sz w:val="18"/>
              </w:rPr>
              <w:t>Leave</w:t>
            </w:r>
          </w:p>
        </w:tc>
        <w:tc>
          <w:tcPr>
            <w:tcW w:w="1451" w:type="dxa"/>
          </w:tcPr>
          <w:p>
            <w:pPr>
              <w:pStyle w:val="TableParagraph"/>
              <w:spacing w:before="18"/>
              <w:ind w:right="225"/>
              <w:jc w:val="right"/>
              <w:rPr>
                <w:b/>
                <w:sz w:val="18"/>
              </w:rPr>
            </w:pPr>
            <w:r>
              <w:rPr>
                <w:b/>
                <w:w w:val="95"/>
                <w:sz w:val="18"/>
              </w:rPr>
              <w:t>1,763,566</w:t>
            </w:r>
          </w:p>
        </w:tc>
        <w:tc>
          <w:tcPr>
            <w:tcW w:w="1213" w:type="dxa"/>
          </w:tcPr>
          <w:p>
            <w:pPr>
              <w:pStyle w:val="TableParagraph"/>
              <w:spacing w:before="18"/>
              <w:ind w:right="83"/>
              <w:jc w:val="right"/>
              <w:rPr>
                <w:sz w:val="18"/>
              </w:rPr>
            </w:pPr>
            <w:r>
              <w:rPr>
                <w:w w:val="95"/>
                <w:sz w:val="18"/>
              </w:rPr>
              <w:t>1,554,063</w:t>
            </w:r>
          </w:p>
        </w:tc>
      </w:tr>
      <w:tr>
        <w:trPr>
          <w:trHeight w:val="274" w:hRule="exact"/>
        </w:trPr>
        <w:tc>
          <w:tcPr>
            <w:tcW w:w="333" w:type="dxa"/>
          </w:tcPr>
          <w:p>
            <w:pPr/>
          </w:p>
        </w:tc>
        <w:tc>
          <w:tcPr>
            <w:tcW w:w="6957" w:type="dxa"/>
          </w:tcPr>
          <w:p>
            <w:pPr>
              <w:pStyle w:val="TableParagraph"/>
              <w:spacing w:before="19"/>
              <w:ind w:left="125"/>
              <w:rPr>
                <w:sz w:val="18"/>
              </w:rPr>
            </w:pPr>
            <w:r>
              <w:rPr>
                <w:sz w:val="18"/>
              </w:rPr>
              <w:t>Superannuation</w:t>
            </w:r>
          </w:p>
        </w:tc>
        <w:tc>
          <w:tcPr>
            <w:tcW w:w="1451" w:type="dxa"/>
          </w:tcPr>
          <w:p>
            <w:pPr>
              <w:pStyle w:val="TableParagraph"/>
              <w:spacing w:before="18"/>
              <w:ind w:right="225"/>
              <w:jc w:val="right"/>
              <w:rPr>
                <w:b/>
                <w:sz w:val="18"/>
              </w:rPr>
            </w:pPr>
            <w:r>
              <w:rPr>
                <w:b/>
                <w:w w:val="95"/>
                <w:sz w:val="18"/>
              </w:rPr>
              <w:t>2,573,618</w:t>
            </w:r>
          </w:p>
        </w:tc>
        <w:tc>
          <w:tcPr>
            <w:tcW w:w="1213" w:type="dxa"/>
          </w:tcPr>
          <w:p>
            <w:pPr>
              <w:pStyle w:val="TableParagraph"/>
              <w:spacing w:before="18"/>
              <w:ind w:right="83"/>
              <w:jc w:val="right"/>
              <w:rPr>
                <w:sz w:val="18"/>
              </w:rPr>
            </w:pPr>
            <w:r>
              <w:rPr>
                <w:w w:val="95"/>
                <w:sz w:val="18"/>
              </w:rPr>
              <w:t>2,561,789</w:t>
            </w:r>
          </w:p>
        </w:tc>
      </w:tr>
      <w:tr>
        <w:trPr>
          <w:trHeight w:val="283" w:hRule="exact"/>
        </w:trPr>
        <w:tc>
          <w:tcPr>
            <w:tcW w:w="333" w:type="dxa"/>
          </w:tcPr>
          <w:p>
            <w:pPr/>
          </w:p>
        </w:tc>
        <w:tc>
          <w:tcPr>
            <w:tcW w:w="6957" w:type="dxa"/>
          </w:tcPr>
          <w:p>
            <w:pPr>
              <w:pStyle w:val="TableParagraph"/>
              <w:spacing w:before="29"/>
              <w:ind w:left="125"/>
              <w:rPr>
                <w:sz w:val="18"/>
              </w:rPr>
            </w:pPr>
            <w:r>
              <w:rPr>
                <w:sz w:val="18"/>
              </w:rPr>
              <w:t>Payroll tax</w:t>
            </w:r>
          </w:p>
        </w:tc>
        <w:tc>
          <w:tcPr>
            <w:tcW w:w="1451" w:type="dxa"/>
          </w:tcPr>
          <w:p>
            <w:pPr>
              <w:pStyle w:val="TableParagraph"/>
              <w:spacing w:before="28"/>
              <w:ind w:right="225"/>
              <w:jc w:val="right"/>
              <w:rPr>
                <w:b/>
                <w:sz w:val="18"/>
              </w:rPr>
            </w:pPr>
            <w:r>
              <w:rPr>
                <w:b/>
                <w:w w:val="95"/>
                <w:sz w:val="18"/>
              </w:rPr>
              <w:t>1,581,192</w:t>
            </w:r>
          </w:p>
        </w:tc>
        <w:tc>
          <w:tcPr>
            <w:tcW w:w="1213" w:type="dxa"/>
          </w:tcPr>
          <w:p>
            <w:pPr>
              <w:pStyle w:val="TableParagraph"/>
              <w:spacing w:before="28"/>
              <w:ind w:right="83"/>
              <w:jc w:val="right"/>
              <w:rPr>
                <w:sz w:val="18"/>
              </w:rPr>
            </w:pPr>
            <w:r>
              <w:rPr>
                <w:w w:val="95"/>
                <w:sz w:val="18"/>
              </w:rPr>
              <w:t>1,691,369</w:t>
            </w:r>
          </w:p>
        </w:tc>
      </w:tr>
      <w:tr>
        <w:trPr>
          <w:trHeight w:val="274" w:hRule="exact"/>
        </w:trPr>
        <w:tc>
          <w:tcPr>
            <w:tcW w:w="333" w:type="dxa"/>
          </w:tcPr>
          <w:p>
            <w:pPr/>
          </w:p>
        </w:tc>
        <w:tc>
          <w:tcPr>
            <w:tcW w:w="6957" w:type="dxa"/>
          </w:tcPr>
          <w:p>
            <w:pPr>
              <w:pStyle w:val="TableParagraph"/>
              <w:spacing w:before="29"/>
              <w:ind w:left="125"/>
              <w:rPr>
                <w:sz w:val="18"/>
              </w:rPr>
            </w:pPr>
            <w:r>
              <w:rPr>
                <w:sz w:val="18"/>
              </w:rPr>
              <w:t>Workers compensation</w:t>
            </w:r>
          </w:p>
        </w:tc>
        <w:tc>
          <w:tcPr>
            <w:tcW w:w="1451" w:type="dxa"/>
          </w:tcPr>
          <w:p>
            <w:pPr>
              <w:pStyle w:val="TableParagraph"/>
              <w:spacing w:before="28"/>
              <w:ind w:right="225"/>
              <w:jc w:val="right"/>
              <w:rPr>
                <w:b/>
                <w:sz w:val="18"/>
              </w:rPr>
            </w:pPr>
            <w:r>
              <w:rPr>
                <w:b/>
                <w:w w:val="95"/>
                <w:sz w:val="18"/>
              </w:rPr>
              <w:t>90,226</w:t>
            </w:r>
          </w:p>
        </w:tc>
        <w:tc>
          <w:tcPr>
            <w:tcW w:w="1213" w:type="dxa"/>
          </w:tcPr>
          <w:p>
            <w:pPr>
              <w:pStyle w:val="TableParagraph"/>
              <w:spacing w:before="28"/>
              <w:ind w:right="84"/>
              <w:jc w:val="right"/>
              <w:rPr>
                <w:sz w:val="18"/>
              </w:rPr>
            </w:pPr>
            <w:r>
              <w:rPr>
                <w:w w:val="95"/>
                <w:sz w:val="18"/>
              </w:rPr>
              <w:t>106,206</w:t>
            </w:r>
          </w:p>
        </w:tc>
      </w:tr>
      <w:tr>
        <w:trPr>
          <w:trHeight w:val="263" w:hRule="exact"/>
        </w:trPr>
        <w:tc>
          <w:tcPr>
            <w:tcW w:w="333" w:type="dxa"/>
          </w:tcPr>
          <w:p>
            <w:pPr/>
          </w:p>
        </w:tc>
        <w:tc>
          <w:tcPr>
            <w:tcW w:w="6957" w:type="dxa"/>
          </w:tcPr>
          <w:p>
            <w:pPr>
              <w:pStyle w:val="TableParagraph"/>
              <w:spacing w:before="19"/>
              <w:ind w:left="125"/>
              <w:rPr>
                <w:sz w:val="18"/>
              </w:rPr>
            </w:pPr>
            <w:r>
              <w:rPr>
                <w:sz w:val="18"/>
              </w:rPr>
              <w:t>Redundancies</w:t>
            </w:r>
          </w:p>
        </w:tc>
        <w:tc>
          <w:tcPr>
            <w:tcW w:w="1451" w:type="dxa"/>
            <w:tcBorders>
              <w:bottom w:val="single" w:sz="0" w:space="0" w:color="000000"/>
            </w:tcBorders>
          </w:tcPr>
          <w:p>
            <w:pPr>
              <w:pStyle w:val="TableParagraph"/>
              <w:spacing w:before="18"/>
              <w:ind w:right="225"/>
              <w:jc w:val="right"/>
              <w:rPr>
                <w:b/>
                <w:sz w:val="18"/>
              </w:rPr>
            </w:pPr>
            <w:r>
              <w:rPr>
                <w:b/>
                <w:w w:val="95"/>
                <w:sz w:val="18"/>
              </w:rPr>
              <w:t>314,538</w:t>
            </w:r>
          </w:p>
        </w:tc>
        <w:tc>
          <w:tcPr>
            <w:tcW w:w="1213" w:type="dxa"/>
            <w:tcBorders>
              <w:bottom w:val="single" w:sz="0" w:space="0" w:color="000000"/>
            </w:tcBorders>
          </w:tcPr>
          <w:p>
            <w:pPr>
              <w:pStyle w:val="TableParagraph"/>
              <w:spacing w:before="18"/>
              <w:ind w:right="84"/>
              <w:jc w:val="right"/>
              <w:rPr>
                <w:sz w:val="18"/>
              </w:rPr>
            </w:pPr>
            <w:r>
              <w:rPr>
                <w:w w:val="95"/>
                <w:sz w:val="18"/>
              </w:rPr>
              <w:t>504,790</w:t>
            </w:r>
          </w:p>
        </w:tc>
      </w:tr>
      <w:tr>
        <w:trPr>
          <w:trHeight w:val="353" w:hRule="exact"/>
        </w:trPr>
        <w:tc>
          <w:tcPr>
            <w:tcW w:w="333" w:type="dxa"/>
          </w:tcPr>
          <w:p>
            <w:pPr/>
          </w:p>
        </w:tc>
        <w:tc>
          <w:tcPr>
            <w:tcW w:w="6957" w:type="dxa"/>
          </w:tcPr>
          <w:p>
            <w:pPr>
              <w:pStyle w:val="TableParagraph"/>
              <w:spacing w:before="123"/>
              <w:ind w:left="125"/>
              <w:rPr>
                <w:b/>
                <w:sz w:val="18"/>
              </w:rPr>
            </w:pPr>
            <w:r>
              <w:rPr>
                <w:b/>
                <w:sz w:val="18"/>
              </w:rPr>
              <w:t>Total employee related expenses</w:t>
            </w:r>
          </w:p>
        </w:tc>
        <w:tc>
          <w:tcPr>
            <w:tcW w:w="1451" w:type="dxa"/>
            <w:tcBorders>
              <w:top w:val="single" w:sz="0" w:space="0" w:color="000000"/>
              <w:bottom w:val="single" w:sz="0" w:space="0" w:color="000000"/>
            </w:tcBorders>
          </w:tcPr>
          <w:p>
            <w:pPr>
              <w:pStyle w:val="TableParagraph"/>
              <w:spacing w:before="122"/>
              <w:ind w:right="225"/>
              <w:jc w:val="right"/>
              <w:rPr>
                <w:b/>
                <w:sz w:val="18"/>
              </w:rPr>
            </w:pPr>
            <w:r>
              <w:rPr>
                <w:b/>
                <w:w w:val="95"/>
                <w:sz w:val="18"/>
              </w:rPr>
              <w:t>29,426,549</w:t>
            </w:r>
          </w:p>
        </w:tc>
        <w:tc>
          <w:tcPr>
            <w:tcW w:w="1213" w:type="dxa"/>
            <w:tcBorders>
              <w:top w:val="single" w:sz="0" w:space="0" w:color="000000"/>
              <w:bottom w:val="single" w:sz="0" w:space="0" w:color="000000"/>
            </w:tcBorders>
          </w:tcPr>
          <w:p>
            <w:pPr>
              <w:pStyle w:val="TableParagraph"/>
              <w:spacing w:before="122"/>
              <w:ind w:right="83"/>
              <w:jc w:val="right"/>
              <w:rPr>
                <w:sz w:val="18"/>
              </w:rPr>
            </w:pPr>
            <w:r>
              <w:rPr>
                <w:w w:val="95"/>
                <w:sz w:val="18"/>
              </w:rPr>
              <w:t>31,811,836</w:t>
            </w:r>
          </w:p>
        </w:tc>
      </w:tr>
      <w:tr>
        <w:trPr>
          <w:trHeight w:val="298" w:hRule="exact"/>
        </w:trPr>
        <w:tc>
          <w:tcPr>
            <w:tcW w:w="333" w:type="dxa"/>
          </w:tcPr>
          <w:p>
            <w:pPr/>
          </w:p>
        </w:tc>
        <w:tc>
          <w:tcPr>
            <w:tcW w:w="6957" w:type="dxa"/>
          </w:tcPr>
          <w:p>
            <w:pPr>
              <w:pStyle w:val="TableParagraph"/>
              <w:spacing w:before="53"/>
              <w:ind w:left="125"/>
              <w:rPr>
                <w:b/>
                <w:sz w:val="18"/>
              </w:rPr>
            </w:pPr>
            <w:r>
              <w:rPr>
                <w:b/>
                <w:sz w:val="18"/>
              </w:rPr>
              <w:t>Fees for service</w:t>
            </w:r>
          </w:p>
        </w:tc>
        <w:tc>
          <w:tcPr>
            <w:tcW w:w="1451" w:type="dxa"/>
            <w:tcBorders>
              <w:top w:val="single" w:sz="0" w:space="0" w:color="000000"/>
            </w:tcBorders>
          </w:tcPr>
          <w:p>
            <w:pPr/>
          </w:p>
        </w:tc>
        <w:tc>
          <w:tcPr>
            <w:tcW w:w="1213" w:type="dxa"/>
            <w:tcBorders>
              <w:top w:val="single" w:sz="0" w:space="0" w:color="000000"/>
            </w:tcBorders>
          </w:tcPr>
          <w:p>
            <w:pPr/>
          </w:p>
        </w:tc>
      </w:tr>
      <w:tr>
        <w:trPr>
          <w:trHeight w:val="264" w:hRule="exact"/>
        </w:trPr>
        <w:tc>
          <w:tcPr>
            <w:tcW w:w="333" w:type="dxa"/>
          </w:tcPr>
          <w:p>
            <w:pPr/>
          </w:p>
        </w:tc>
        <w:tc>
          <w:tcPr>
            <w:tcW w:w="6957" w:type="dxa"/>
          </w:tcPr>
          <w:p>
            <w:pPr>
              <w:pStyle w:val="TableParagraph"/>
              <w:spacing w:before="19"/>
              <w:ind w:left="125"/>
              <w:rPr>
                <w:sz w:val="18"/>
              </w:rPr>
            </w:pPr>
            <w:r>
              <w:rPr>
                <w:sz w:val="18"/>
              </w:rPr>
              <w:t>Testing fees</w:t>
            </w:r>
          </w:p>
        </w:tc>
        <w:tc>
          <w:tcPr>
            <w:tcW w:w="1451" w:type="dxa"/>
          </w:tcPr>
          <w:p>
            <w:pPr>
              <w:pStyle w:val="TableParagraph"/>
              <w:spacing w:before="18"/>
              <w:ind w:right="225"/>
              <w:jc w:val="right"/>
              <w:rPr>
                <w:b/>
                <w:sz w:val="18"/>
              </w:rPr>
            </w:pPr>
            <w:r>
              <w:rPr>
                <w:b/>
                <w:w w:val="95"/>
                <w:sz w:val="18"/>
              </w:rPr>
              <w:t>1,704,985</w:t>
            </w:r>
          </w:p>
        </w:tc>
        <w:tc>
          <w:tcPr>
            <w:tcW w:w="1213" w:type="dxa"/>
          </w:tcPr>
          <w:p>
            <w:pPr>
              <w:pStyle w:val="TableParagraph"/>
              <w:spacing w:before="18"/>
              <w:ind w:right="84"/>
              <w:jc w:val="right"/>
              <w:rPr>
                <w:sz w:val="18"/>
              </w:rPr>
            </w:pPr>
            <w:r>
              <w:rPr>
                <w:w w:val="95"/>
                <w:sz w:val="18"/>
              </w:rPr>
              <w:t>1,752,305</w:t>
            </w:r>
          </w:p>
        </w:tc>
      </w:tr>
      <w:tr>
        <w:trPr>
          <w:trHeight w:val="264" w:hRule="exact"/>
        </w:trPr>
        <w:tc>
          <w:tcPr>
            <w:tcW w:w="333" w:type="dxa"/>
          </w:tcPr>
          <w:p>
            <w:pPr/>
          </w:p>
        </w:tc>
        <w:tc>
          <w:tcPr>
            <w:tcW w:w="6957" w:type="dxa"/>
          </w:tcPr>
          <w:p>
            <w:pPr>
              <w:pStyle w:val="TableParagraph"/>
              <w:spacing w:before="19"/>
              <w:ind w:left="125"/>
              <w:rPr>
                <w:sz w:val="18"/>
              </w:rPr>
            </w:pPr>
            <w:r>
              <w:rPr>
                <w:sz w:val="18"/>
              </w:rPr>
              <w:t>Study tours</w:t>
            </w:r>
          </w:p>
        </w:tc>
        <w:tc>
          <w:tcPr>
            <w:tcW w:w="1451" w:type="dxa"/>
          </w:tcPr>
          <w:p>
            <w:pPr>
              <w:pStyle w:val="TableParagraph"/>
              <w:spacing w:before="18"/>
              <w:ind w:right="225"/>
              <w:jc w:val="right"/>
              <w:rPr>
                <w:b/>
                <w:sz w:val="18"/>
              </w:rPr>
            </w:pPr>
            <w:r>
              <w:rPr>
                <w:b/>
                <w:w w:val="95"/>
                <w:sz w:val="18"/>
              </w:rPr>
              <w:t>637,608</w:t>
            </w:r>
          </w:p>
        </w:tc>
        <w:tc>
          <w:tcPr>
            <w:tcW w:w="1213" w:type="dxa"/>
          </w:tcPr>
          <w:p>
            <w:pPr>
              <w:pStyle w:val="TableParagraph"/>
              <w:spacing w:before="18"/>
              <w:ind w:right="84"/>
              <w:jc w:val="right"/>
              <w:rPr>
                <w:sz w:val="18"/>
              </w:rPr>
            </w:pPr>
            <w:r>
              <w:rPr>
                <w:w w:val="95"/>
                <w:sz w:val="18"/>
              </w:rPr>
              <w:t>228,122</w:t>
            </w:r>
          </w:p>
        </w:tc>
      </w:tr>
      <w:tr>
        <w:trPr>
          <w:trHeight w:val="274" w:hRule="exact"/>
        </w:trPr>
        <w:tc>
          <w:tcPr>
            <w:tcW w:w="333" w:type="dxa"/>
          </w:tcPr>
          <w:p>
            <w:pPr/>
          </w:p>
        </w:tc>
        <w:tc>
          <w:tcPr>
            <w:tcW w:w="6957" w:type="dxa"/>
          </w:tcPr>
          <w:p>
            <w:pPr>
              <w:pStyle w:val="TableParagraph"/>
              <w:spacing w:before="19"/>
              <w:ind w:left="125"/>
              <w:rPr>
                <w:sz w:val="18"/>
              </w:rPr>
            </w:pPr>
            <w:r>
              <w:rPr>
                <w:sz w:val="18"/>
              </w:rPr>
              <w:t>Agent's commission</w:t>
            </w:r>
          </w:p>
        </w:tc>
        <w:tc>
          <w:tcPr>
            <w:tcW w:w="1451" w:type="dxa"/>
          </w:tcPr>
          <w:p>
            <w:pPr>
              <w:pStyle w:val="TableParagraph"/>
              <w:spacing w:before="18"/>
              <w:ind w:right="225"/>
              <w:jc w:val="right"/>
              <w:rPr>
                <w:b/>
                <w:sz w:val="18"/>
              </w:rPr>
            </w:pPr>
            <w:r>
              <w:rPr>
                <w:b/>
                <w:w w:val="95"/>
                <w:sz w:val="18"/>
              </w:rPr>
              <w:t>362,258</w:t>
            </w:r>
          </w:p>
        </w:tc>
        <w:tc>
          <w:tcPr>
            <w:tcW w:w="1213" w:type="dxa"/>
          </w:tcPr>
          <w:p>
            <w:pPr>
              <w:pStyle w:val="TableParagraph"/>
              <w:spacing w:before="18"/>
              <w:ind w:right="84"/>
              <w:jc w:val="right"/>
              <w:rPr>
                <w:sz w:val="18"/>
              </w:rPr>
            </w:pPr>
            <w:r>
              <w:rPr>
                <w:w w:val="95"/>
                <w:sz w:val="18"/>
              </w:rPr>
              <w:t>865,336</w:t>
            </w:r>
          </w:p>
        </w:tc>
      </w:tr>
      <w:tr>
        <w:trPr>
          <w:trHeight w:val="283" w:hRule="exact"/>
        </w:trPr>
        <w:tc>
          <w:tcPr>
            <w:tcW w:w="333" w:type="dxa"/>
          </w:tcPr>
          <w:p>
            <w:pPr/>
          </w:p>
        </w:tc>
        <w:tc>
          <w:tcPr>
            <w:tcW w:w="6957" w:type="dxa"/>
          </w:tcPr>
          <w:p>
            <w:pPr>
              <w:pStyle w:val="TableParagraph"/>
              <w:spacing w:before="29"/>
              <w:ind w:left="125"/>
              <w:rPr>
                <w:sz w:val="18"/>
              </w:rPr>
            </w:pPr>
            <w:r>
              <w:rPr>
                <w:sz w:val="18"/>
              </w:rPr>
              <w:t>Consultants</w:t>
            </w:r>
          </w:p>
        </w:tc>
        <w:tc>
          <w:tcPr>
            <w:tcW w:w="1451" w:type="dxa"/>
          </w:tcPr>
          <w:p>
            <w:pPr>
              <w:pStyle w:val="TableParagraph"/>
              <w:spacing w:before="28"/>
              <w:ind w:right="225"/>
              <w:jc w:val="right"/>
              <w:rPr>
                <w:b/>
                <w:sz w:val="18"/>
              </w:rPr>
            </w:pPr>
            <w:r>
              <w:rPr>
                <w:b/>
                <w:w w:val="95"/>
                <w:sz w:val="18"/>
              </w:rPr>
              <w:t>267,950</w:t>
            </w:r>
          </w:p>
        </w:tc>
        <w:tc>
          <w:tcPr>
            <w:tcW w:w="1213" w:type="dxa"/>
          </w:tcPr>
          <w:p>
            <w:pPr>
              <w:pStyle w:val="TableParagraph"/>
              <w:spacing w:before="28"/>
              <w:ind w:right="84"/>
              <w:jc w:val="right"/>
              <w:rPr>
                <w:sz w:val="18"/>
              </w:rPr>
            </w:pPr>
            <w:r>
              <w:rPr>
                <w:w w:val="95"/>
                <w:sz w:val="18"/>
              </w:rPr>
              <w:t>275,877</w:t>
            </w:r>
          </w:p>
        </w:tc>
      </w:tr>
      <w:tr>
        <w:trPr>
          <w:trHeight w:val="274" w:hRule="exact"/>
        </w:trPr>
        <w:tc>
          <w:tcPr>
            <w:tcW w:w="333" w:type="dxa"/>
          </w:tcPr>
          <w:p>
            <w:pPr/>
          </w:p>
        </w:tc>
        <w:tc>
          <w:tcPr>
            <w:tcW w:w="6957" w:type="dxa"/>
          </w:tcPr>
          <w:p>
            <w:pPr>
              <w:pStyle w:val="TableParagraph"/>
              <w:spacing w:before="29"/>
              <w:ind w:left="125"/>
              <w:rPr>
                <w:sz w:val="18"/>
              </w:rPr>
            </w:pPr>
            <w:r>
              <w:rPr>
                <w:sz w:val="18"/>
              </w:rPr>
              <w:t>Temporary contract staff</w:t>
            </w:r>
          </w:p>
        </w:tc>
        <w:tc>
          <w:tcPr>
            <w:tcW w:w="1451" w:type="dxa"/>
          </w:tcPr>
          <w:p>
            <w:pPr>
              <w:pStyle w:val="TableParagraph"/>
              <w:spacing w:before="28"/>
              <w:ind w:right="226"/>
              <w:jc w:val="right"/>
              <w:rPr>
                <w:b/>
                <w:sz w:val="18"/>
              </w:rPr>
            </w:pPr>
            <w:r>
              <w:rPr>
                <w:b/>
                <w:w w:val="95"/>
                <w:sz w:val="18"/>
              </w:rPr>
              <w:t>66,491</w:t>
            </w:r>
          </w:p>
        </w:tc>
        <w:tc>
          <w:tcPr>
            <w:tcW w:w="1213" w:type="dxa"/>
          </w:tcPr>
          <w:p>
            <w:pPr>
              <w:pStyle w:val="TableParagraph"/>
              <w:spacing w:before="28"/>
              <w:ind w:right="84"/>
              <w:jc w:val="right"/>
              <w:rPr>
                <w:sz w:val="18"/>
              </w:rPr>
            </w:pPr>
            <w:r>
              <w:rPr>
                <w:w w:val="95"/>
                <w:sz w:val="18"/>
              </w:rPr>
              <w:t>317,097</w:t>
            </w:r>
          </w:p>
        </w:tc>
      </w:tr>
      <w:tr>
        <w:trPr>
          <w:trHeight w:val="264" w:hRule="exact"/>
        </w:trPr>
        <w:tc>
          <w:tcPr>
            <w:tcW w:w="333" w:type="dxa"/>
          </w:tcPr>
          <w:p>
            <w:pPr/>
          </w:p>
        </w:tc>
        <w:tc>
          <w:tcPr>
            <w:tcW w:w="6957" w:type="dxa"/>
          </w:tcPr>
          <w:p>
            <w:pPr>
              <w:pStyle w:val="TableParagraph"/>
              <w:spacing w:before="19"/>
              <w:ind w:left="125"/>
              <w:rPr>
                <w:sz w:val="18"/>
              </w:rPr>
            </w:pPr>
            <w:r>
              <w:rPr>
                <w:sz w:val="18"/>
              </w:rPr>
              <w:t>Services from Parent</w:t>
            </w:r>
          </w:p>
        </w:tc>
        <w:tc>
          <w:tcPr>
            <w:tcW w:w="1451" w:type="dxa"/>
          </w:tcPr>
          <w:p>
            <w:pPr>
              <w:pStyle w:val="TableParagraph"/>
              <w:spacing w:before="18"/>
              <w:ind w:right="226"/>
              <w:jc w:val="right"/>
              <w:rPr>
                <w:b/>
                <w:sz w:val="18"/>
              </w:rPr>
            </w:pPr>
            <w:r>
              <w:rPr>
                <w:b/>
                <w:w w:val="95"/>
                <w:sz w:val="18"/>
              </w:rPr>
              <w:t>852</w:t>
            </w:r>
          </w:p>
        </w:tc>
        <w:tc>
          <w:tcPr>
            <w:tcW w:w="1213" w:type="dxa"/>
          </w:tcPr>
          <w:p>
            <w:pPr>
              <w:pStyle w:val="TableParagraph"/>
              <w:spacing w:before="18"/>
              <w:ind w:right="84"/>
              <w:jc w:val="right"/>
              <w:rPr>
                <w:sz w:val="18"/>
              </w:rPr>
            </w:pPr>
            <w:r>
              <w:rPr>
                <w:w w:val="95"/>
                <w:sz w:val="18"/>
              </w:rPr>
              <w:t>192,161</w:t>
            </w:r>
          </w:p>
        </w:tc>
      </w:tr>
      <w:tr>
        <w:trPr>
          <w:trHeight w:val="262" w:hRule="exact"/>
        </w:trPr>
        <w:tc>
          <w:tcPr>
            <w:tcW w:w="333" w:type="dxa"/>
          </w:tcPr>
          <w:p>
            <w:pPr/>
          </w:p>
        </w:tc>
        <w:tc>
          <w:tcPr>
            <w:tcW w:w="6957" w:type="dxa"/>
          </w:tcPr>
          <w:p>
            <w:pPr>
              <w:pStyle w:val="TableParagraph"/>
              <w:spacing w:before="19"/>
              <w:ind w:left="125"/>
              <w:rPr>
                <w:sz w:val="18"/>
              </w:rPr>
            </w:pPr>
            <w:r>
              <w:rPr>
                <w:sz w:val="18"/>
              </w:rPr>
              <w:t>Other</w:t>
            </w:r>
          </w:p>
        </w:tc>
        <w:tc>
          <w:tcPr>
            <w:tcW w:w="1451" w:type="dxa"/>
            <w:tcBorders>
              <w:bottom w:val="single" w:sz="0" w:space="0" w:color="000000"/>
            </w:tcBorders>
          </w:tcPr>
          <w:p>
            <w:pPr>
              <w:pStyle w:val="TableParagraph"/>
              <w:spacing w:before="18"/>
              <w:ind w:right="225"/>
              <w:jc w:val="right"/>
              <w:rPr>
                <w:b/>
                <w:sz w:val="18"/>
              </w:rPr>
            </w:pPr>
            <w:r>
              <w:rPr>
                <w:b/>
                <w:w w:val="95"/>
                <w:sz w:val="18"/>
              </w:rPr>
              <w:t>257,354</w:t>
            </w:r>
          </w:p>
        </w:tc>
        <w:tc>
          <w:tcPr>
            <w:tcW w:w="1213" w:type="dxa"/>
            <w:tcBorders>
              <w:bottom w:val="single" w:sz="0" w:space="0" w:color="000000"/>
            </w:tcBorders>
          </w:tcPr>
          <w:p>
            <w:pPr>
              <w:pStyle w:val="TableParagraph"/>
              <w:spacing w:before="18"/>
              <w:ind w:right="84"/>
              <w:jc w:val="right"/>
              <w:rPr>
                <w:sz w:val="18"/>
              </w:rPr>
            </w:pPr>
            <w:r>
              <w:rPr>
                <w:w w:val="95"/>
                <w:sz w:val="18"/>
              </w:rPr>
              <w:t>227,389</w:t>
            </w:r>
          </w:p>
        </w:tc>
      </w:tr>
      <w:tr>
        <w:trPr>
          <w:trHeight w:val="353" w:hRule="exact"/>
        </w:trPr>
        <w:tc>
          <w:tcPr>
            <w:tcW w:w="333" w:type="dxa"/>
          </w:tcPr>
          <w:p>
            <w:pPr/>
          </w:p>
        </w:tc>
        <w:tc>
          <w:tcPr>
            <w:tcW w:w="6957" w:type="dxa"/>
          </w:tcPr>
          <w:p>
            <w:pPr>
              <w:pStyle w:val="TableParagraph"/>
              <w:spacing w:before="123"/>
              <w:ind w:left="175"/>
              <w:rPr>
                <w:b/>
                <w:sz w:val="18"/>
              </w:rPr>
            </w:pPr>
            <w:r>
              <w:rPr>
                <w:b/>
                <w:sz w:val="18"/>
              </w:rPr>
              <w:t>Total fees for service</w:t>
            </w:r>
          </w:p>
        </w:tc>
        <w:tc>
          <w:tcPr>
            <w:tcW w:w="1451" w:type="dxa"/>
            <w:tcBorders>
              <w:top w:val="single" w:sz="0" w:space="0" w:color="000000"/>
              <w:bottom w:val="single" w:sz="0" w:space="0" w:color="000000"/>
            </w:tcBorders>
          </w:tcPr>
          <w:p>
            <w:pPr>
              <w:pStyle w:val="TableParagraph"/>
              <w:spacing w:before="122"/>
              <w:ind w:right="225"/>
              <w:jc w:val="right"/>
              <w:rPr>
                <w:b/>
                <w:sz w:val="18"/>
              </w:rPr>
            </w:pPr>
            <w:r>
              <w:rPr>
                <w:b/>
                <w:w w:val="95"/>
                <w:sz w:val="18"/>
              </w:rPr>
              <w:t>3,297,498</w:t>
            </w:r>
          </w:p>
        </w:tc>
        <w:tc>
          <w:tcPr>
            <w:tcW w:w="1213" w:type="dxa"/>
            <w:tcBorders>
              <w:top w:val="single" w:sz="0" w:space="0" w:color="000000"/>
              <w:bottom w:val="single" w:sz="0" w:space="0" w:color="000000"/>
            </w:tcBorders>
          </w:tcPr>
          <w:p>
            <w:pPr>
              <w:pStyle w:val="TableParagraph"/>
              <w:spacing w:before="122"/>
              <w:ind w:right="84"/>
              <w:jc w:val="right"/>
              <w:rPr>
                <w:sz w:val="18"/>
              </w:rPr>
            </w:pPr>
            <w:r>
              <w:rPr>
                <w:w w:val="95"/>
                <w:sz w:val="18"/>
              </w:rPr>
              <w:t>3,858,287</w:t>
            </w:r>
          </w:p>
        </w:tc>
      </w:tr>
      <w:tr>
        <w:trPr>
          <w:trHeight w:val="619" w:hRule="exact"/>
        </w:trPr>
        <w:tc>
          <w:tcPr>
            <w:tcW w:w="333" w:type="dxa"/>
          </w:tcPr>
          <w:p>
            <w:pPr/>
          </w:p>
        </w:tc>
        <w:tc>
          <w:tcPr>
            <w:tcW w:w="6957" w:type="dxa"/>
          </w:tcPr>
          <w:p>
            <w:pPr>
              <w:pStyle w:val="TableParagraph"/>
              <w:spacing w:before="138"/>
              <w:ind w:left="125"/>
              <w:rPr>
                <w:b/>
                <w:sz w:val="18"/>
              </w:rPr>
            </w:pPr>
            <w:r>
              <w:rPr>
                <w:b/>
                <w:sz w:val="18"/>
              </w:rPr>
              <w:t>Depreciation and amortisation</w:t>
            </w:r>
          </w:p>
          <w:p>
            <w:pPr>
              <w:pStyle w:val="TableParagraph"/>
              <w:spacing w:before="29"/>
              <w:ind w:left="125"/>
              <w:rPr>
                <w:sz w:val="18"/>
              </w:rPr>
            </w:pPr>
            <w:r>
              <w:rPr>
                <w:sz w:val="18"/>
              </w:rPr>
              <w:t>Leasehold improvements</w:t>
            </w:r>
          </w:p>
        </w:tc>
        <w:tc>
          <w:tcPr>
            <w:tcW w:w="1451" w:type="dxa"/>
            <w:tcBorders>
              <w:top w:val="single" w:sz="0" w:space="0" w:color="000000"/>
            </w:tcBorders>
          </w:tcPr>
          <w:p>
            <w:pPr>
              <w:pStyle w:val="TableParagraph"/>
              <w:rPr>
                <w:b/>
                <w:sz w:val="18"/>
              </w:rPr>
            </w:pPr>
          </w:p>
          <w:p>
            <w:pPr>
              <w:pStyle w:val="TableParagraph"/>
              <w:spacing w:before="4"/>
              <w:rPr>
                <w:b/>
                <w:sz w:val="14"/>
              </w:rPr>
            </w:pPr>
          </w:p>
          <w:p>
            <w:pPr>
              <w:pStyle w:val="TableParagraph"/>
              <w:spacing w:before="1"/>
              <w:ind w:right="225"/>
              <w:jc w:val="right"/>
              <w:rPr>
                <w:b/>
                <w:sz w:val="18"/>
              </w:rPr>
            </w:pPr>
            <w:r>
              <w:rPr>
                <w:b/>
                <w:w w:val="95"/>
                <w:sz w:val="18"/>
              </w:rPr>
              <w:t>1,420,153</w:t>
            </w:r>
          </w:p>
        </w:tc>
        <w:tc>
          <w:tcPr>
            <w:tcW w:w="1213" w:type="dxa"/>
            <w:tcBorders>
              <w:top w:val="single" w:sz="0" w:space="0" w:color="000000"/>
            </w:tcBorders>
          </w:tcPr>
          <w:p>
            <w:pPr>
              <w:pStyle w:val="TableParagraph"/>
              <w:rPr>
                <w:b/>
                <w:sz w:val="18"/>
              </w:rPr>
            </w:pPr>
          </w:p>
          <w:p>
            <w:pPr>
              <w:pStyle w:val="TableParagraph"/>
              <w:spacing w:before="4"/>
              <w:rPr>
                <w:b/>
                <w:sz w:val="14"/>
              </w:rPr>
            </w:pPr>
          </w:p>
          <w:p>
            <w:pPr>
              <w:pStyle w:val="TableParagraph"/>
              <w:spacing w:before="1"/>
              <w:ind w:right="84"/>
              <w:jc w:val="right"/>
              <w:rPr>
                <w:sz w:val="18"/>
              </w:rPr>
            </w:pPr>
            <w:r>
              <w:rPr>
                <w:w w:val="95"/>
                <w:sz w:val="18"/>
              </w:rPr>
              <w:t>1,025,518</w:t>
            </w:r>
          </w:p>
        </w:tc>
      </w:tr>
      <w:tr>
        <w:trPr>
          <w:trHeight w:val="264" w:hRule="exact"/>
        </w:trPr>
        <w:tc>
          <w:tcPr>
            <w:tcW w:w="333" w:type="dxa"/>
          </w:tcPr>
          <w:p>
            <w:pPr/>
          </w:p>
        </w:tc>
        <w:tc>
          <w:tcPr>
            <w:tcW w:w="6957" w:type="dxa"/>
          </w:tcPr>
          <w:p>
            <w:pPr>
              <w:pStyle w:val="TableParagraph"/>
              <w:spacing w:before="19"/>
              <w:ind w:left="125"/>
              <w:rPr>
                <w:sz w:val="18"/>
              </w:rPr>
            </w:pPr>
            <w:r>
              <w:rPr>
                <w:sz w:val="18"/>
              </w:rPr>
              <w:t>Intangible assets</w:t>
            </w:r>
          </w:p>
        </w:tc>
        <w:tc>
          <w:tcPr>
            <w:tcW w:w="1451" w:type="dxa"/>
          </w:tcPr>
          <w:p>
            <w:pPr>
              <w:pStyle w:val="TableParagraph"/>
              <w:spacing w:before="18"/>
              <w:ind w:right="225"/>
              <w:jc w:val="right"/>
              <w:rPr>
                <w:b/>
                <w:sz w:val="18"/>
              </w:rPr>
            </w:pPr>
            <w:r>
              <w:rPr>
                <w:b/>
                <w:w w:val="95"/>
                <w:sz w:val="18"/>
              </w:rPr>
              <w:t>153,658</w:t>
            </w:r>
          </w:p>
        </w:tc>
        <w:tc>
          <w:tcPr>
            <w:tcW w:w="1213" w:type="dxa"/>
          </w:tcPr>
          <w:p>
            <w:pPr>
              <w:pStyle w:val="TableParagraph"/>
              <w:spacing w:before="18"/>
              <w:ind w:right="84"/>
              <w:jc w:val="right"/>
              <w:rPr>
                <w:sz w:val="18"/>
              </w:rPr>
            </w:pPr>
            <w:r>
              <w:rPr>
                <w:w w:val="95"/>
                <w:sz w:val="18"/>
              </w:rPr>
              <w:t>109,756</w:t>
            </w:r>
          </w:p>
        </w:tc>
      </w:tr>
      <w:tr>
        <w:trPr>
          <w:trHeight w:val="262" w:hRule="exact"/>
        </w:trPr>
        <w:tc>
          <w:tcPr>
            <w:tcW w:w="333" w:type="dxa"/>
          </w:tcPr>
          <w:p>
            <w:pPr/>
          </w:p>
        </w:tc>
        <w:tc>
          <w:tcPr>
            <w:tcW w:w="6957" w:type="dxa"/>
          </w:tcPr>
          <w:p>
            <w:pPr>
              <w:pStyle w:val="TableParagraph"/>
              <w:spacing w:before="19"/>
              <w:ind w:left="125"/>
              <w:rPr>
                <w:sz w:val="18"/>
              </w:rPr>
            </w:pPr>
            <w:r>
              <w:rPr>
                <w:sz w:val="18"/>
              </w:rPr>
              <w:t>Plant and equipment</w:t>
            </w:r>
          </w:p>
        </w:tc>
        <w:tc>
          <w:tcPr>
            <w:tcW w:w="1451" w:type="dxa"/>
            <w:tcBorders>
              <w:bottom w:val="single" w:sz="0" w:space="0" w:color="000000"/>
            </w:tcBorders>
          </w:tcPr>
          <w:p>
            <w:pPr>
              <w:pStyle w:val="TableParagraph"/>
              <w:spacing w:before="18"/>
              <w:ind w:right="226"/>
              <w:jc w:val="right"/>
              <w:rPr>
                <w:b/>
                <w:sz w:val="18"/>
              </w:rPr>
            </w:pPr>
            <w:r>
              <w:rPr>
                <w:b/>
                <w:w w:val="95"/>
                <w:sz w:val="18"/>
              </w:rPr>
              <w:t>95,904</w:t>
            </w:r>
          </w:p>
        </w:tc>
        <w:tc>
          <w:tcPr>
            <w:tcW w:w="1213" w:type="dxa"/>
            <w:tcBorders>
              <w:bottom w:val="single" w:sz="0" w:space="0" w:color="000000"/>
            </w:tcBorders>
          </w:tcPr>
          <w:p>
            <w:pPr>
              <w:pStyle w:val="TableParagraph"/>
              <w:spacing w:before="18"/>
              <w:ind w:right="84"/>
              <w:jc w:val="right"/>
              <w:rPr>
                <w:sz w:val="18"/>
              </w:rPr>
            </w:pPr>
            <w:r>
              <w:rPr>
                <w:w w:val="95"/>
                <w:sz w:val="18"/>
              </w:rPr>
              <w:t>100,166</w:t>
            </w:r>
          </w:p>
        </w:tc>
      </w:tr>
      <w:tr>
        <w:trPr>
          <w:trHeight w:val="353" w:hRule="exact"/>
        </w:trPr>
        <w:tc>
          <w:tcPr>
            <w:tcW w:w="333" w:type="dxa"/>
          </w:tcPr>
          <w:p>
            <w:pPr/>
          </w:p>
        </w:tc>
        <w:tc>
          <w:tcPr>
            <w:tcW w:w="6957" w:type="dxa"/>
          </w:tcPr>
          <w:p>
            <w:pPr>
              <w:pStyle w:val="TableParagraph"/>
              <w:spacing w:before="94"/>
              <w:ind w:left="125"/>
              <w:rPr>
                <w:b/>
                <w:sz w:val="18"/>
              </w:rPr>
            </w:pPr>
            <w:r>
              <w:rPr>
                <w:b/>
                <w:sz w:val="18"/>
              </w:rPr>
              <w:t>Total depreciation and amortisation</w:t>
            </w:r>
          </w:p>
        </w:tc>
        <w:tc>
          <w:tcPr>
            <w:tcW w:w="1451" w:type="dxa"/>
            <w:tcBorders>
              <w:top w:val="single" w:sz="0" w:space="0" w:color="000000"/>
              <w:bottom w:val="single" w:sz="0" w:space="0" w:color="000000"/>
            </w:tcBorders>
          </w:tcPr>
          <w:p>
            <w:pPr>
              <w:pStyle w:val="TableParagraph"/>
              <w:spacing w:before="122"/>
              <w:ind w:right="225"/>
              <w:jc w:val="right"/>
              <w:rPr>
                <w:b/>
                <w:sz w:val="18"/>
              </w:rPr>
            </w:pPr>
            <w:r>
              <w:rPr>
                <w:b/>
                <w:w w:val="95"/>
                <w:sz w:val="18"/>
              </w:rPr>
              <w:t>1,669,715</w:t>
            </w:r>
          </w:p>
        </w:tc>
        <w:tc>
          <w:tcPr>
            <w:tcW w:w="1213" w:type="dxa"/>
            <w:tcBorders>
              <w:top w:val="single" w:sz="0" w:space="0" w:color="000000"/>
              <w:bottom w:val="single" w:sz="0" w:space="0" w:color="000000"/>
            </w:tcBorders>
          </w:tcPr>
          <w:p>
            <w:pPr>
              <w:pStyle w:val="TableParagraph"/>
              <w:spacing w:before="122"/>
              <w:ind w:right="84"/>
              <w:jc w:val="right"/>
              <w:rPr>
                <w:sz w:val="18"/>
              </w:rPr>
            </w:pPr>
            <w:r>
              <w:rPr>
                <w:w w:val="95"/>
                <w:sz w:val="18"/>
              </w:rPr>
              <w:t>1,235,440</w:t>
            </w:r>
          </w:p>
        </w:tc>
      </w:tr>
      <w:tr>
        <w:trPr>
          <w:trHeight w:val="619" w:hRule="exact"/>
        </w:trPr>
        <w:tc>
          <w:tcPr>
            <w:tcW w:w="333" w:type="dxa"/>
          </w:tcPr>
          <w:p>
            <w:pPr/>
          </w:p>
        </w:tc>
        <w:tc>
          <w:tcPr>
            <w:tcW w:w="6957" w:type="dxa"/>
          </w:tcPr>
          <w:p>
            <w:pPr>
              <w:pStyle w:val="TableParagraph"/>
              <w:spacing w:before="138"/>
              <w:ind w:left="125"/>
              <w:rPr>
                <w:b/>
                <w:sz w:val="18"/>
              </w:rPr>
            </w:pPr>
            <w:r>
              <w:rPr>
                <w:b/>
                <w:sz w:val="18"/>
              </w:rPr>
              <w:t>Occupancy expenses</w:t>
            </w:r>
          </w:p>
          <w:p>
            <w:pPr>
              <w:pStyle w:val="TableParagraph"/>
              <w:spacing w:before="29"/>
              <w:ind w:left="125"/>
              <w:rPr>
                <w:sz w:val="18"/>
              </w:rPr>
            </w:pPr>
            <w:r>
              <w:rPr>
                <w:sz w:val="18"/>
              </w:rPr>
              <w:t>Lease of building teaching space</w:t>
            </w:r>
          </w:p>
        </w:tc>
        <w:tc>
          <w:tcPr>
            <w:tcW w:w="1451" w:type="dxa"/>
            <w:tcBorders>
              <w:top w:val="single" w:sz="0" w:space="0" w:color="000000"/>
            </w:tcBorders>
          </w:tcPr>
          <w:p>
            <w:pPr>
              <w:pStyle w:val="TableParagraph"/>
              <w:rPr>
                <w:b/>
                <w:sz w:val="18"/>
              </w:rPr>
            </w:pPr>
          </w:p>
          <w:p>
            <w:pPr>
              <w:pStyle w:val="TableParagraph"/>
              <w:spacing w:before="4"/>
              <w:rPr>
                <w:b/>
                <w:sz w:val="14"/>
              </w:rPr>
            </w:pPr>
          </w:p>
          <w:p>
            <w:pPr>
              <w:pStyle w:val="TableParagraph"/>
              <w:spacing w:before="1"/>
              <w:ind w:right="225"/>
              <w:jc w:val="right"/>
              <w:rPr>
                <w:b/>
                <w:sz w:val="18"/>
              </w:rPr>
            </w:pPr>
            <w:r>
              <w:rPr>
                <w:b/>
                <w:w w:val="95"/>
                <w:sz w:val="18"/>
              </w:rPr>
              <w:t>193,928</w:t>
            </w:r>
          </w:p>
        </w:tc>
        <w:tc>
          <w:tcPr>
            <w:tcW w:w="1213" w:type="dxa"/>
            <w:tcBorders>
              <w:top w:val="single" w:sz="0" w:space="0" w:color="000000"/>
            </w:tcBorders>
          </w:tcPr>
          <w:p>
            <w:pPr>
              <w:pStyle w:val="TableParagraph"/>
              <w:rPr>
                <w:b/>
                <w:sz w:val="18"/>
              </w:rPr>
            </w:pPr>
          </w:p>
          <w:p>
            <w:pPr>
              <w:pStyle w:val="TableParagraph"/>
              <w:spacing w:before="4"/>
              <w:rPr>
                <w:b/>
                <w:sz w:val="14"/>
              </w:rPr>
            </w:pPr>
          </w:p>
          <w:p>
            <w:pPr>
              <w:pStyle w:val="TableParagraph"/>
              <w:spacing w:before="1"/>
              <w:ind w:right="84"/>
              <w:jc w:val="right"/>
              <w:rPr>
                <w:sz w:val="18"/>
              </w:rPr>
            </w:pPr>
            <w:r>
              <w:rPr>
                <w:w w:val="95"/>
                <w:sz w:val="18"/>
              </w:rPr>
              <w:t>250,000</w:t>
            </w:r>
          </w:p>
        </w:tc>
      </w:tr>
      <w:tr>
        <w:trPr>
          <w:trHeight w:val="264" w:hRule="exact"/>
        </w:trPr>
        <w:tc>
          <w:tcPr>
            <w:tcW w:w="333" w:type="dxa"/>
          </w:tcPr>
          <w:p>
            <w:pPr/>
          </w:p>
        </w:tc>
        <w:tc>
          <w:tcPr>
            <w:tcW w:w="6957" w:type="dxa"/>
          </w:tcPr>
          <w:p>
            <w:pPr>
              <w:pStyle w:val="TableParagraph"/>
              <w:spacing w:before="19"/>
              <w:ind w:left="125"/>
              <w:rPr>
                <w:sz w:val="18"/>
              </w:rPr>
            </w:pPr>
            <w:r>
              <w:rPr>
                <w:sz w:val="18"/>
              </w:rPr>
              <w:t>Cleaning</w:t>
            </w:r>
          </w:p>
        </w:tc>
        <w:tc>
          <w:tcPr>
            <w:tcW w:w="1451" w:type="dxa"/>
          </w:tcPr>
          <w:p>
            <w:pPr>
              <w:pStyle w:val="TableParagraph"/>
              <w:spacing w:before="18"/>
              <w:ind w:right="226"/>
              <w:jc w:val="right"/>
              <w:rPr>
                <w:b/>
                <w:sz w:val="18"/>
              </w:rPr>
            </w:pPr>
            <w:r>
              <w:rPr>
                <w:b/>
                <w:w w:val="95"/>
                <w:sz w:val="18"/>
              </w:rPr>
              <w:t>23,213</w:t>
            </w:r>
          </w:p>
        </w:tc>
        <w:tc>
          <w:tcPr>
            <w:tcW w:w="1213" w:type="dxa"/>
          </w:tcPr>
          <w:p>
            <w:pPr>
              <w:pStyle w:val="TableParagraph"/>
              <w:spacing w:before="18"/>
              <w:ind w:right="84"/>
              <w:jc w:val="right"/>
              <w:rPr>
                <w:sz w:val="18"/>
              </w:rPr>
            </w:pPr>
            <w:r>
              <w:rPr>
                <w:w w:val="95"/>
                <w:sz w:val="18"/>
              </w:rPr>
              <w:t>33,227</w:t>
            </w:r>
          </w:p>
        </w:tc>
      </w:tr>
      <w:tr>
        <w:trPr>
          <w:trHeight w:val="262" w:hRule="exact"/>
        </w:trPr>
        <w:tc>
          <w:tcPr>
            <w:tcW w:w="333" w:type="dxa"/>
          </w:tcPr>
          <w:p>
            <w:pPr/>
          </w:p>
        </w:tc>
        <w:tc>
          <w:tcPr>
            <w:tcW w:w="6957" w:type="dxa"/>
          </w:tcPr>
          <w:p>
            <w:pPr>
              <w:pStyle w:val="TableParagraph"/>
              <w:spacing w:before="19"/>
              <w:ind w:left="125"/>
              <w:rPr>
                <w:sz w:val="18"/>
              </w:rPr>
            </w:pPr>
            <w:r>
              <w:rPr>
                <w:sz w:val="18"/>
              </w:rPr>
              <w:t>Other</w:t>
            </w:r>
          </w:p>
        </w:tc>
        <w:tc>
          <w:tcPr>
            <w:tcW w:w="1451" w:type="dxa"/>
            <w:tcBorders>
              <w:bottom w:val="single" w:sz="0" w:space="0" w:color="000000"/>
            </w:tcBorders>
          </w:tcPr>
          <w:p>
            <w:pPr>
              <w:pStyle w:val="TableParagraph"/>
              <w:spacing w:before="18"/>
              <w:ind w:right="226"/>
              <w:jc w:val="right"/>
              <w:rPr>
                <w:b/>
                <w:sz w:val="18"/>
              </w:rPr>
            </w:pPr>
            <w:r>
              <w:rPr>
                <w:b/>
                <w:w w:val="95"/>
                <w:sz w:val="18"/>
              </w:rPr>
              <w:t>71,435</w:t>
            </w:r>
          </w:p>
        </w:tc>
        <w:tc>
          <w:tcPr>
            <w:tcW w:w="1213" w:type="dxa"/>
            <w:tcBorders>
              <w:bottom w:val="single" w:sz="0" w:space="0" w:color="000000"/>
            </w:tcBorders>
          </w:tcPr>
          <w:p>
            <w:pPr>
              <w:pStyle w:val="TableParagraph"/>
              <w:spacing w:before="18"/>
              <w:ind w:right="84"/>
              <w:jc w:val="right"/>
              <w:rPr>
                <w:sz w:val="18"/>
              </w:rPr>
            </w:pPr>
            <w:r>
              <w:rPr>
                <w:w w:val="95"/>
                <w:sz w:val="18"/>
              </w:rPr>
              <w:t>56,720</w:t>
            </w:r>
          </w:p>
        </w:tc>
      </w:tr>
      <w:tr>
        <w:trPr>
          <w:trHeight w:val="353" w:hRule="exact"/>
        </w:trPr>
        <w:tc>
          <w:tcPr>
            <w:tcW w:w="333" w:type="dxa"/>
          </w:tcPr>
          <w:p>
            <w:pPr/>
          </w:p>
        </w:tc>
        <w:tc>
          <w:tcPr>
            <w:tcW w:w="6957" w:type="dxa"/>
          </w:tcPr>
          <w:p>
            <w:pPr>
              <w:pStyle w:val="TableParagraph"/>
              <w:spacing w:before="123"/>
              <w:ind w:left="175"/>
              <w:rPr>
                <w:b/>
                <w:sz w:val="18"/>
              </w:rPr>
            </w:pPr>
            <w:r>
              <w:rPr>
                <w:b/>
                <w:sz w:val="18"/>
              </w:rPr>
              <w:t>Total occupancy expenses</w:t>
            </w:r>
          </w:p>
        </w:tc>
        <w:tc>
          <w:tcPr>
            <w:tcW w:w="1451" w:type="dxa"/>
            <w:tcBorders>
              <w:top w:val="single" w:sz="0" w:space="0" w:color="000000"/>
              <w:bottom w:val="single" w:sz="0" w:space="0" w:color="000000"/>
            </w:tcBorders>
          </w:tcPr>
          <w:p>
            <w:pPr>
              <w:pStyle w:val="TableParagraph"/>
              <w:spacing w:before="122"/>
              <w:ind w:right="225"/>
              <w:jc w:val="right"/>
              <w:rPr>
                <w:b/>
                <w:sz w:val="18"/>
              </w:rPr>
            </w:pPr>
            <w:r>
              <w:rPr>
                <w:b/>
                <w:w w:val="95"/>
                <w:sz w:val="18"/>
              </w:rPr>
              <w:t>288,576</w:t>
            </w:r>
          </w:p>
        </w:tc>
        <w:tc>
          <w:tcPr>
            <w:tcW w:w="1213" w:type="dxa"/>
            <w:tcBorders>
              <w:top w:val="single" w:sz="0" w:space="0" w:color="000000"/>
              <w:bottom w:val="single" w:sz="0" w:space="0" w:color="000000"/>
            </w:tcBorders>
          </w:tcPr>
          <w:p>
            <w:pPr>
              <w:pStyle w:val="TableParagraph"/>
              <w:spacing w:before="122"/>
              <w:ind w:right="84"/>
              <w:jc w:val="right"/>
              <w:rPr>
                <w:sz w:val="18"/>
              </w:rPr>
            </w:pPr>
            <w:r>
              <w:rPr>
                <w:w w:val="95"/>
                <w:sz w:val="18"/>
              </w:rPr>
              <w:t>339,947</w:t>
            </w:r>
          </w:p>
        </w:tc>
      </w:tr>
      <w:tr>
        <w:trPr>
          <w:trHeight w:val="619" w:hRule="exact"/>
        </w:trPr>
        <w:tc>
          <w:tcPr>
            <w:tcW w:w="333" w:type="dxa"/>
          </w:tcPr>
          <w:p>
            <w:pPr/>
          </w:p>
        </w:tc>
        <w:tc>
          <w:tcPr>
            <w:tcW w:w="6957" w:type="dxa"/>
          </w:tcPr>
          <w:p>
            <w:pPr>
              <w:pStyle w:val="TableParagraph"/>
              <w:spacing w:before="138"/>
              <w:ind w:left="125"/>
              <w:rPr>
                <w:b/>
                <w:sz w:val="18"/>
              </w:rPr>
            </w:pPr>
            <w:r>
              <w:rPr>
                <w:b/>
                <w:sz w:val="18"/>
              </w:rPr>
              <w:t>Other expenses</w:t>
            </w:r>
          </w:p>
          <w:p>
            <w:pPr>
              <w:pStyle w:val="TableParagraph"/>
              <w:spacing w:before="29"/>
              <w:ind w:left="125"/>
              <w:rPr>
                <w:sz w:val="18"/>
              </w:rPr>
            </w:pPr>
            <w:r>
              <w:rPr>
                <w:sz w:val="18"/>
              </w:rPr>
              <w:t>Minor Equipment</w:t>
            </w:r>
          </w:p>
        </w:tc>
        <w:tc>
          <w:tcPr>
            <w:tcW w:w="1451" w:type="dxa"/>
            <w:tcBorders>
              <w:top w:val="single" w:sz="0" w:space="0" w:color="000000"/>
            </w:tcBorders>
          </w:tcPr>
          <w:p>
            <w:pPr>
              <w:pStyle w:val="TableParagraph"/>
              <w:rPr>
                <w:b/>
                <w:sz w:val="18"/>
              </w:rPr>
            </w:pPr>
          </w:p>
          <w:p>
            <w:pPr>
              <w:pStyle w:val="TableParagraph"/>
              <w:spacing w:before="4"/>
              <w:rPr>
                <w:b/>
                <w:sz w:val="14"/>
              </w:rPr>
            </w:pPr>
          </w:p>
          <w:p>
            <w:pPr>
              <w:pStyle w:val="TableParagraph"/>
              <w:spacing w:before="1"/>
              <w:ind w:right="226"/>
              <w:jc w:val="right"/>
              <w:rPr>
                <w:b/>
                <w:sz w:val="18"/>
              </w:rPr>
            </w:pPr>
            <w:r>
              <w:rPr>
                <w:b/>
                <w:w w:val="95"/>
                <w:sz w:val="18"/>
              </w:rPr>
              <w:t>55,088</w:t>
            </w:r>
          </w:p>
        </w:tc>
        <w:tc>
          <w:tcPr>
            <w:tcW w:w="1213" w:type="dxa"/>
            <w:tcBorders>
              <w:top w:val="single" w:sz="0" w:space="0" w:color="000000"/>
            </w:tcBorders>
          </w:tcPr>
          <w:p>
            <w:pPr>
              <w:pStyle w:val="TableParagraph"/>
              <w:rPr>
                <w:b/>
                <w:sz w:val="18"/>
              </w:rPr>
            </w:pPr>
          </w:p>
          <w:p>
            <w:pPr>
              <w:pStyle w:val="TableParagraph"/>
              <w:spacing w:before="4"/>
              <w:rPr>
                <w:b/>
                <w:sz w:val="14"/>
              </w:rPr>
            </w:pPr>
          </w:p>
          <w:p>
            <w:pPr>
              <w:pStyle w:val="TableParagraph"/>
              <w:spacing w:before="1"/>
              <w:ind w:right="84"/>
              <w:jc w:val="right"/>
              <w:rPr>
                <w:sz w:val="18"/>
              </w:rPr>
            </w:pPr>
            <w:r>
              <w:rPr>
                <w:w w:val="95"/>
                <w:sz w:val="18"/>
              </w:rPr>
              <w:t>149,466</w:t>
            </w:r>
          </w:p>
        </w:tc>
      </w:tr>
      <w:tr>
        <w:trPr>
          <w:trHeight w:val="264" w:hRule="exact"/>
        </w:trPr>
        <w:tc>
          <w:tcPr>
            <w:tcW w:w="333" w:type="dxa"/>
          </w:tcPr>
          <w:p>
            <w:pPr/>
          </w:p>
        </w:tc>
        <w:tc>
          <w:tcPr>
            <w:tcW w:w="6957" w:type="dxa"/>
          </w:tcPr>
          <w:p>
            <w:pPr>
              <w:pStyle w:val="TableParagraph"/>
              <w:spacing w:before="19"/>
              <w:ind w:left="125"/>
              <w:rPr>
                <w:sz w:val="18"/>
              </w:rPr>
            </w:pPr>
            <w:r>
              <w:rPr>
                <w:sz w:val="18"/>
              </w:rPr>
              <w:t>Staff recruitment</w:t>
            </w:r>
          </w:p>
        </w:tc>
        <w:tc>
          <w:tcPr>
            <w:tcW w:w="1451" w:type="dxa"/>
          </w:tcPr>
          <w:p>
            <w:pPr>
              <w:pStyle w:val="TableParagraph"/>
              <w:spacing w:before="18"/>
              <w:ind w:right="226"/>
              <w:jc w:val="right"/>
              <w:rPr>
                <w:b/>
                <w:sz w:val="18"/>
              </w:rPr>
            </w:pPr>
            <w:r>
              <w:rPr>
                <w:b/>
                <w:w w:val="95"/>
                <w:sz w:val="18"/>
              </w:rPr>
              <w:t>2,407</w:t>
            </w:r>
          </w:p>
        </w:tc>
        <w:tc>
          <w:tcPr>
            <w:tcW w:w="1213" w:type="dxa"/>
          </w:tcPr>
          <w:p>
            <w:pPr>
              <w:pStyle w:val="TableParagraph"/>
              <w:spacing w:before="18"/>
              <w:ind w:right="84"/>
              <w:jc w:val="right"/>
              <w:rPr>
                <w:sz w:val="18"/>
              </w:rPr>
            </w:pPr>
            <w:r>
              <w:rPr>
                <w:w w:val="95"/>
                <w:sz w:val="18"/>
              </w:rPr>
              <w:t>71,240</w:t>
            </w:r>
          </w:p>
        </w:tc>
      </w:tr>
      <w:tr>
        <w:trPr>
          <w:trHeight w:val="264" w:hRule="exact"/>
        </w:trPr>
        <w:tc>
          <w:tcPr>
            <w:tcW w:w="333" w:type="dxa"/>
          </w:tcPr>
          <w:p>
            <w:pPr/>
          </w:p>
        </w:tc>
        <w:tc>
          <w:tcPr>
            <w:tcW w:w="6957" w:type="dxa"/>
          </w:tcPr>
          <w:p>
            <w:pPr>
              <w:pStyle w:val="TableParagraph"/>
              <w:spacing w:before="19"/>
              <w:ind w:left="125"/>
              <w:rPr>
                <w:sz w:val="18"/>
              </w:rPr>
            </w:pPr>
            <w:r>
              <w:rPr>
                <w:sz w:val="18"/>
              </w:rPr>
              <w:t>Training and seminars</w:t>
            </w:r>
          </w:p>
        </w:tc>
        <w:tc>
          <w:tcPr>
            <w:tcW w:w="1451" w:type="dxa"/>
          </w:tcPr>
          <w:p>
            <w:pPr>
              <w:pStyle w:val="TableParagraph"/>
              <w:spacing w:before="18"/>
              <w:ind w:right="226"/>
              <w:jc w:val="right"/>
              <w:rPr>
                <w:b/>
                <w:sz w:val="18"/>
              </w:rPr>
            </w:pPr>
            <w:r>
              <w:rPr>
                <w:b/>
                <w:w w:val="95"/>
                <w:sz w:val="18"/>
              </w:rPr>
              <w:t>23,411</w:t>
            </w:r>
          </w:p>
        </w:tc>
        <w:tc>
          <w:tcPr>
            <w:tcW w:w="1213" w:type="dxa"/>
          </w:tcPr>
          <w:p>
            <w:pPr>
              <w:pStyle w:val="TableParagraph"/>
              <w:spacing w:before="18"/>
              <w:ind w:right="84"/>
              <w:jc w:val="right"/>
              <w:rPr>
                <w:sz w:val="18"/>
              </w:rPr>
            </w:pPr>
            <w:r>
              <w:rPr>
                <w:w w:val="95"/>
                <w:sz w:val="18"/>
              </w:rPr>
              <w:t>38,050</w:t>
            </w:r>
          </w:p>
        </w:tc>
      </w:tr>
      <w:tr>
        <w:trPr>
          <w:trHeight w:val="264" w:hRule="exact"/>
        </w:trPr>
        <w:tc>
          <w:tcPr>
            <w:tcW w:w="333" w:type="dxa"/>
          </w:tcPr>
          <w:p>
            <w:pPr/>
          </w:p>
        </w:tc>
        <w:tc>
          <w:tcPr>
            <w:tcW w:w="6957" w:type="dxa"/>
          </w:tcPr>
          <w:p>
            <w:pPr>
              <w:pStyle w:val="TableParagraph"/>
              <w:spacing w:before="19"/>
              <w:ind w:left="125"/>
              <w:rPr>
                <w:sz w:val="18"/>
              </w:rPr>
            </w:pPr>
            <w:r>
              <w:rPr>
                <w:sz w:val="18"/>
              </w:rPr>
              <w:t>Conference fees</w:t>
            </w:r>
          </w:p>
        </w:tc>
        <w:tc>
          <w:tcPr>
            <w:tcW w:w="1451" w:type="dxa"/>
          </w:tcPr>
          <w:p>
            <w:pPr>
              <w:pStyle w:val="TableParagraph"/>
              <w:spacing w:before="18"/>
              <w:ind w:right="225"/>
              <w:jc w:val="right"/>
              <w:rPr>
                <w:b/>
                <w:sz w:val="18"/>
              </w:rPr>
            </w:pPr>
            <w:r>
              <w:rPr>
                <w:b/>
                <w:w w:val="95"/>
                <w:sz w:val="18"/>
              </w:rPr>
              <w:t>14,534</w:t>
            </w:r>
          </w:p>
        </w:tc>
        <w:tc>
          <w:tcPr>
            <w:tcW w:w="1213" w:type="dxa"/>
          </w:tcPr>
          <w:p>
            <w:pPr>
              <w:pStyle w:val="TableParagraph"/>
              <w:spacing w:before="18"/>
              <w:ind w:right="84"/>
              <w:jc w:val="right"/>
              <w:rPr>
                <w:sz w:val="18"/>
              </w:rPr>
            </w:pPr>
            <w:r>
              <w:rPr>
                <w:w w:val="95"/>
                <w:sz w:val="18"/>
              </w:rPr>
              <w:t>19,077</w:t>
            </w:r>
          </w:p>
        </w:tc>
      </w:tr>
      <w:tr>
        <w:trPr>
          <w:trHeight w:val="263" w:hRule="exact"/>
        </w:trPr>
        <w:tc>
          <w:tcPr>
            <w:tcW w:w="333" w:type="dxa"/>
          </w:tcPr>
          <w:p>
            <w:pPr/>
          </w:p>
        </w:tc>
        <w:tc>
          <w:tcPr>
            <w:tcW w:w="6957" w:type="dxa"/>
          </w:tcPr>
          <w:p>
            <w:pPr>
              <w:pStyle w:val="TableParagraph"/>
              <w:spacing w:before="19"/>
              <w:ind w:left="125"/>
              <w:rPr>
                <w:sz w:val="18"/>
              </w:rPr>
            </w:pPr>
            <w:r>
              <w:rPr>
                <w:sz w:val="18"/>
              </w:rPr>
              <w:t>Other expenses (See (a) below)</w:t>
            </w:r>
          </w:p>
        </w:tc>
        <w:tc>
          <w:tcPr>
            <w:tcW w:w="1451" w:type="dxa"/>
            <w:tcBorders>
              <w:bottom w:val="single" w:sz="0" w:space="0" w:color="000000"/>
            </w:tcBorders>
          </w:tcPr>
          <w:p>
            <w:pPr>
              <w:pStyle w:val="TableParagraph"/>
              <w:spacing w:before="18"/>
              <w:ind w:right="225"/>
              <w:jc w:val="right"/>
              <w:rPr>
                <w:b/>
                <w:sz w:val="18"/>
              </w:rPr>
            </w:pPr>
            <w:r>
              <w:rPr>
                <w:b/>
                <w:w w:val="95"/>
                <w:sz w:val="18"/>
              </w:rPr>
              <w:t>1,132,136</w:t>
            </w:r>
          </w:p>
        </w:tc>
        <w:tc>
          <w:tcPr>
            <w:tcW w:w="1213" w:type="dxa"/>
            <w:tcBorders>
              <w:bottom w:val="single" w:sz="0" w:space="0" w:color="000000"/>
            </w:tcBorders>
          </w:tcPr>
          <w:p>
            <w:pPr>
              <w:pStyle w:val="TableParagraph"/>
              <w:spacing w:before="18"/>
              <w:ind w:right="83"/>
              <w:jc w:val="right"/>
              <w:rPr>
                <w:sz w:val="18"/>
              </w:rPr>
            </w:pPr>
            <w:r>
              <w:rPr>
                <w:w w:val="95"/>
                <w:sz w:val="18"/>
              </w:rPr>
              <w:t>1,589,987</w:t>
            </w:r>
          </w:p>
        </w:tc>
      </w:tr>
      <w:tr>
        <w:trPr>
          <w:trHeight w:val="353" w:hRule="exact"/>
        </w:trPr>
        <w:tc>
          <w:tcPr>
            <w:tcW w:w="333" w:type="dxa"/>
          </w:tcPr>
          <w:p>
            <w:pPr/>
          </w:p>
        </w:tc>
        <w:tc>
          <w:tcPr>
            <w:tcW w:w="6957" w:type="dxa"/>
          </w:tcPr>
          <w:p>
            <w:pPr>
              <w:pStyle w:val="TableParagraph"/>
              <w:spacing w:before="123"/>
              <w:ind w:left="175"/>
              <w:rPr>
                <w:b/>
                <w:sz w:val="18"/>
              </w:rPr>
            </w:pPr>
            <w:r>
              <w:rPr>
                <w:b/>
                <w:sz w:val="18"/>
              </w:rPr>
              <w:t>Total other expenses</w:t>
            </w:r>
          </w:p>
        </w:tc>
        <w:tc>
          <w:tcPr>
            <w:tcW w:w="1451" w:type="dxa"/>
            <w:tcBorders>
              <w:top w:val="single" w:sz="0" w:space="0" w:color="000000"/>
              <w:bottom w:val="single" w:sz="0" w:space="0" w:color="000000"/>
            </w:tcBorders>
          </w:tcPr>
          <w:p>
            <w:pPr>
              <w:pStyle w:val="TableParagraph"/>
              <w:spacing w:before="122"/>
              <w:ind w:right="225"/>
              <w:jc w:val="right"/>
              <w:rPr>
                <w:b/>
                <w:sz w:val="18"/>
              </w:rPr>
            </w:pPr>
            <w:r>
              <w:rPr>
                <w:b/>
                <w:w w:val="95"/>
                <w:sz w:val="18"/>
              </w:rPr>
              <w:t>1,227,576</w:t>
            </w:r>
          </w:p>
        </w:tc>
        <w:tc>
          <w:tcPr>
            <w:tcW w:w="1213" w:type="dxa"/>
            <w:tcBorders>
              <w:top w:val="single" w:sz="0" w:space="0" w:color="000000"/>
              <w:bottom w:val="single" w:sz="0" w:space="0" w:color="000000"/>
            </w:tcBorders>
          </w:tcPr>
          <w:p>
            <w:pPr>
              <w:pStyle w:val="TableParagraph"/>
              <w:spacing w:before="122"/>
              <w:ind w:right="84"/>
              <w:jc w:val="right"/>
              <w:rPr>
                <w:sz w:val="18"/>
              </w:rPr>
            </w:pPr>
            <w:r>
              <w:rPr>
                <w:w w:val="95"/>
                <w:sz w:val="18"/>
              </w:rPr>
              <w:t>1,867,820</w:t>
            </w:r>
          </w:p>
        </w:tc>
      </w:tr>
    </w:tbl>
    <w:p>
      <w:pPr>
        <w:spacing w:after="0"/>
        <w:jc w:val="right"/>
        <w:rPr>
          <w:sz w:val="18"/>
        </w:rPr>
        <w:sectPr>
          <w:pgSz w:w="11910" w:h="16840"/>
          <w:pgMar w:header="1038" w:footer="507" w:top="1720" w:bottom="700" w:left="860" w:right="860"/>
        </w:sectPr>
      </w:pPr>
    </w:p>
    <w:p>
      <w:pPr>
        <w:pStyle w:val="BodyText"/>
        <w:spacing w:before="2"/>
        <w:rPr>
          <w:b/>
          <w:sz w:val="24"/>
        </w:rPr>
      </w:pPr>
    </w:p>
    <w:p>
      <w:pPr>
        <w:spacing w:before="64"/>
        <w:ind w:left="107" w:right="105" w:firstLine="0"/>
        <w:jc w:val="left"/>
        <w:rPr>
          <w:b/>
          <w:sz w:val="28"/>
        </w:rPr>
      </w:pPr>
      <w:r>
        <w:rPr>
          <w:b/>
          <w:sz w:val="28"/>
        </w:rPr>
        <w:t>Notes to the Financial Statements</w:t>
      </w:r>
    </w:p>
    <w:p>
      <w:pPr>
        <w:spacing w:before="57"/>
        <w:ind w:left="107" w:right="105" w:firstLine="0"/>
        <w:jc w:val="left"/>
        <w:rPr>
          <w:b/>
          <w:sz w:val="22"/>
        </w:rPr>
      </w:pPr>
      <w:r>
        <w:rPr>
          <w:b/>
          <w:sz w:val="22"/>
        </w:rPr>
        <w:t>For the Year Ended 31 December 2017</w:t>
      </w:r>
    </w:p>
    <w:p>
      <w:pPr>
        <w:pStyle w:val="BodyText"/>
        <w:rPr>
          <w:b/>
          <w:sz w:val="22"/>
        </w:rPr>
      </w:pPr>
    </w:p>
    <w:p>
      <w:pPr>
        <w:pStyle w:val="BodyText"/>
        <w:rPr>
          <w:b/>
          <w:sz w:val="22"/>
        </w:rPr>
      </w:pPr>
    </w:p>
    <w:p>
      <w:pPr>
        <w:pStyle w:val="ListParagraph"/>
        <w:numPr>
          <w:ilvl w:val="0"/>
          <w:numId w:val="55"/>
        </w:numPr>
        <w:tabs>
          <w:tab w:pos="506" w:val="left" w:leader="none"/>
        </w:tabs>
        <w:spacing w:line="240" w:lineRule="auto" w:before="160" w:after="0"/>
        <w:ind w:left="505" w:right="0" w:hanging="396"/>
        <w:jc w:val="left"/>
        <w:rPr>
          <w:b/>
          <w:sz w:val="18"/>
        </w:rPr>
      </w:pPr>
      <w:r>
        <w:rPr>
          <w:b/>
          <w:sz w:val="18"/>
        </w:rPr>
        <w:t>Expenses continued</w:t>
      </w:r>
    </w:p>
    <w:p>
      <w:pPr>
        <w:pStyle w:val="BodyText"/>
        <w:spacing w:before="3"/>
        <w:rPr>
          <w:b/>
        </w:rPr>
      </w:pPr>
    </w:p>
    <w:p>
      <w:pPr>
        <w:spacing w:after="0"/>
        <w:sectPr>
          <w:pgSz w:w="11910" w:h="16840"/>
          <w:pgMar w:header="1038" w:footer="507" w:top="1720" w:bottom="700" w:left="900" w:right="840"/>
        </w:sectPr>
      </w:pPr>
    </w:p>
    <w:p>
      <w:pPr>
        <w:pStyle w:val="ListParagraph"/>
        <w:numPr>
          <w:ilvl w:val="1"/>
          <w:numId w:val="55"/>
        </w:numPr>
        <w:tabs>
          <w:tab w:pos="776" w:val="left" w:leader="none"/>
        </w:tabs>
        <w:spacing w:line="240" w:lineRule="auto" w:before="77" w:after="0"/>
        <w:ind w:left="775" w:right="0" w:hanging="270"/>
        <w:jc w:val="left"/>
        <w:rPr>
          <w:sz w:val="18"/>
        </w:rPr>
      </w:pPr>
      <w:r>
        <w:rPr>
          <w:sz w:val="18"/>
        </w:rPr>
        <w:t>Other</w:t>
      </w:r>
      <w:r>
        <w:rPr>
          <w:spacing w:val="-1"/>
          <w:sz w:val="18"/>
        </w:rPr>
        <w:t> </w:t>
      </w:r>
      <w:r>
        <w:rPr>
          <w:sz w:val="18"/>
        </w:rPr>
        <w:t>Expenses</w:t>
      </w:r>
    </w:p>
    <w:p>
      <w:pPr>
        <w:pStyle w:val="BodyText"/>
      </w:pPr>
      <w:r>
        <w:rPr/>
        <w:br w:type="column"/>
      </w:r>
      <w:r>
        <w:rPr/>
      </w:r>
    </w:p>
    <w:p>
      <w:pPr>
        <w:pStyle w:val="Heading9"/>
        <w:spacing w:before="110"/>
        <w:ind w:left="505"/>
        <w:jc w:val="center"/>
      </w:pPr>
      <w:r>
        <w:rPr/>
        <w:t>2017</w:t>
      </w:r>
    </w:p>
    <w:p>
      <w:pPr>
        <w:spacing w:before="66"/>
        <w:ind w:left="0" w:right="148" w:firstLine="0"/>
        <w:jc w:val="right"/>
        <w:rPr>
          <w:b/>
          <w:sz w:val="18"/>
        </w:rPr>
      </w:pPr>
      <w:r>
        <w:rPr>
          <w:b/>
          <w:w w:val="99"/>
          <w:sz w:val="18"/>
        </w:rPr>
        <w:t>$</w:t>
      </w:r>
    </w:p>
    <w:p>
      <w:pPr>
        <w:pStyle w:val="BodyText"/>
        <w:rPr>
          <w:b/>
        </w:rPr>
      </w:pPr>
      <w:r>
        <w:rPr/>
        <w:br w:type="column"/>
      </w:r>
      <w:r>
        <w:rPr>
          <w:b/>
        </w:rPr>
      </w:r>
    </w:p>
    <w:p>
      <w:pPr>
        <w:spacing w:before="110"/>
        <w:ind w:left="488" w:right="609" w:firstLine="0"/>
        <w:jc w:val="center"/>
        <w:rPr>
          <w:b/>
          <w:sz w:val="18"/>
        </w:rPr>
      </w:pPr>
      <w:r>
        <w:rPr>
          <w:b/>
          <w:sz w:val="18"/>
        </w:rPr>
        <w:t>2016</w:t>
      </w:r>
    </w:p>
    <w:p>
      <w:pPr>
        <w:spacing w:before="66"/>
        <w:ind w:left="0" w:right="121" w:firstLine="0"/>
        <w:jc w:val="center"/>
        <w:rPr>
          <w:b/>
          <w:sz w:val="18"/>
        </w:rPr>
      </w:pPr>
      <w:r>
        <w:rPr>
          <w:b/>
          <w:w w:val="99"/>
          <w:sz w:val="18"/>
        </w:rPr>
        <w:t>$</w:t>
      </w:r>
    </w:p>
    <w:p>
      <w:pPr>
        <w:spacing w:after="0"/>
        <w:jc w:val="center"/>
        <w:rPr>
          <w:sz w:val="18"/>
        </w:rPr>
        <w:sectPr>
          <w:type w:val="continuous"/>
          <w:pgSz w:w="11910" w:h="16840"/>
          <w:pgMar w:top="1580" w:bottom="280" w:left="900" w:right="840"/>
          <w:cols w:num="3" w:equalWidth="0">
            <w:col w:w="2066" w:space="5247"/>
            <w:col w:w="906" w:space="412"/>
            <w:col w:w="1539"/>
          </w:cols>
        </w:sectPr>
      </w:pPr>
    </w:p>
    <w:p>
      <w:pPr>
        <w:pStyle w:val="BodyText"/>
        <w:tabs>
          <w:tab w:pos="7935" w:val="left" w:leader="none"/>
          <w:tab w:pos="9290" w:val="left" w:leader="none"/>
        </w:tabs>
        <w:spacing w:before="63"/>
        <w:ind w:left="532" w:right="105"/>
      </w:pPr>
      <w:r>
        <w:rPr/>
        <w:t>Postage, printing, telephone</w:t>
      </w:r>
      <w:r>
        <w:rPr>
          <w:spacing w:val="-1"/>
        </w:rPr>
        <w:t> </w:t>
      </w:r>
      <w:r>
        <w:rPr/>
        <w:t>&amp;</w:t>
      </w:r>
      <w:r>
        <w:rPr>
          <w:spacing w:val="-1"/>
        </w:rPr>
        <w:t> </w:t>
      </w:r>
      <w:r>
        <w:rPr/>
        <w:t>internet</w:t>
        <w:tab/>
      </w:r>
      <w:r>
        <w:rPr>
          <w:b/>
        </w:rPr>
        <w:t>532,391</w:t>
        <w:tab/>
      </w:r>
      <w:r>
        <w:rPr/>
        <w:t>673,734</w:t>
      </w:r>
    </w:p>
    <w:p>
      <w:pPr>
        <w:tabs>
          <w:tab w:pos="7935" w:val="left" w:leader="none"/>
          <w:tab w:pos="9290" w:val="left" w:leader="none"/>
        </w:tabs>
        <w:spacing w:before="57"/>
        <w:ind w:left="532" w:right="105" w:firstLine="0"/>
        <w:jc w:val="left"/>
        <w:rPr>
          <w:sz w:val="18"/>
        </w:rPr>
      </w:pPr>
      <w:r>
        <w:rPr>
          <w:sz w:val="18"/>
        </w:rPr>
        <w:t>Equipment</w:t>
      </w:r>
      <w:r>
        <w:rPr>
          <w:spacing w:val="-1"/>
          <w:sz w:val="18"/>
        </w:rPr>
        <w:t> </w:t>
      </w:r>
      <w:r>
        <w:rPr>
          <w:sz w:val="18"/>
        </w:rPr>
        <w:t>lease</w:t>
        <w:tab/>
      </w:r>
      <w:r>
        <w:rPr>
          <w:b/>
          <w:sz w:val="18"/>
        </w:rPr>
        <w:t>369,090</w:t>
        <w:tab/>
      </w:r>
      <w:r>
        <w:rPr>
          <w:sz w:val="18"/>
        </w:rPr>
        <w:t>388,355</w:t>
      </w:r>
    </w:p>
    <w:p>
      <w:pPr>
        <w:tabs>
          <w:tab w:pos="7935" w:val="left" w:leader="none"/>
          <w:tab w:pos="9290" w:val="left" w:leader="none"/>
        </w:tabs>
        <w:spacing w:before="57"/>
        <w:ind w:left="533" w:right="105" w:firstLine="0"/>
        <w:jc w:val="left"/>
        <w:rPr>
          <w:sz w:val="18"/>
        </w:rPr>
      </w:pPr>
      <w:r>
        <w:rPr>
          <w:sz w:val="18"/>
        </w:rPr>
        <w:t>Motor</w:t>
      </w:r>
      <w:r>
        <w:rPr>
          <w:spacing w:val="-1"/>
          <w:sz w:val="18"/>
        </w:rPr>
        <w:t> </w:t>
      </w:r>
      <w:r>
        <w:rPr>
          <w:sz w:val="18"/>
        </w:rPr>
        <w:t>vehicle</w:t>
      </w:r>
      <w:r>
        <w:rPr>
          <w:spacing w:val="-1"/>
          <w:sz w:val="18"/>
        </w:rPr>
        <w:t> </w:t>
      </w:r>
      <w:r>
        <w:rPr>
          <w:sz w:val="18"/>
        </w:rPr>
        <w:t>expenses</w:t>
        <w:tab/>
      </w:r>
      <w:r>
        <w:rPr>
          <w:b/>
          <w:sz w:val="18"/>
        </w:rPr>
        <w:t>101,453</w:t>
        <w:tab/>
      </w:r>
      <w:r>
        <w:rPr>
          <w:sz w:val="18"/>
        </w:rPr>
        <w:t>139,435</w:t>
      </w:r>
    </w:p>
    <w:p>
      <w:pPr>
        <w:tabs>
          <w:tab w:pos="8035" w:val="left" w:leader="none"/>
          <w:tab w:pos="9290" w:val="left" w:leader="none"/>
        </w:tabs>
        <w:spacing w:before="57"/>
        <w:ind w:left="533" w:right="105" w:firstLine="0"/>
        <w:jc w:val="left"/>
        <w:rPr>
          <w:sz w:val="18"/>
        </w:rPr>
      </w:pPr>
      <w:r>
        <w:rPr>
          <w:sz w:val="18"/>
        </w:rPr>
        <w:t>Staff travel</w:t>
        <w:tab/>
      </w:r>
      <w:r>
        <w:rPr>
          <w:b/>
          <w:sz w:val="18"/>
        </w:rPr>
        <w:t>57,976</w:t>
        <w:tab/>
      </w:r>
      <w:r>
        <w:rPr>
          <w:sz w:val="18"/>
        </w:rPr>
        <w:t>125,605</w:t>
      </w:r>
    </w:p>
    <w:p>
      <w:pPr>
        <w:pStyle w:val="BodyText"/>
        <w:tabs>
          <w:tab w:pos="8035" w:val="left" w:leader="none"/>
          <w:tab w:pos="9390" w:val="left" w:leader="none"/>
        </w:tabs>
        <w:spacing w:before="57"/>
        <w:ind w:left="533" w:right="105"/>
      </w:pPr>
      <w:r>
        <w:rPr/>
        <w:t>Repairs</w:t>
      </w:r>
      <w:r>
        <w:rPr>
          <w:spacing w:val="-1"/>
        </w:rPr>
        <w:t> </w:t>
      </w:r>
      <w:r>
        <w:rPr/>
        <w:t>&amp;</w:t>
      </w:r>
      <w:r>
        <w:rPr>
          <w:spacing w:val="-1"/>
        </w:rPr>
        <w:t> </w:t>
      </w:r>
      <w:r>
        <w:rPr/>
        <w:t>maintenance</w:t>
        <w:tab/>
      </w:r>
      <w:r>
        <w:rPr>
          <w:b/>
        </w:rPr>
        <w:t>25,864</w:t>
        <w:tab/>
      </w:r>
      <w:r>
        <w:rPr/>
        <w:t>68,907</w:t>
      </w:r>
    </w:p>
    <w:p>
      <w:pPr>
        <w:tabs>
          <w:tab w:pos="8035" w:val="left" w:leader="none"/>
          <w:tab w:pos="9390" w:val="left" w:leader="none"/>
        </w:tabs>
        <w:spacing w:before="57"/>
        <w:ind w:left="533" w:right="105" w:firstLine="0"/>
        <w:jc w:val="left"/>
        <w:rPr>
          <w:sz w:val="18"/>
        </w:rPr>
      </w:pPr>
      <w:r>
        <w:rPr>
          <w:sz w:val="18"/>
        </w:rPr>
        <w:t>Furniture</w:t>
        <w:tab/>
      </w:r>
      <w:r>
        <w:rPr>
          <w:b/>
          <w:sz w:val="18"/>
        </w:rPr>
        <w:t>22,035</w:t>
        <w:tab/>
      </w:r>
      <w:r>
        <w:rPr>
          <w:sz w:val="18"/>
        </w:rPr>
        <w:t>67,508</w:t>
      </w:r>
    </w:p>
    <w:p>
      <w:pPr>
        <w:pStyle w:val="BodyText"/>
        <w:tabs>
          <w:tab w:pos="8035" w:val="left" w:leader="none"/>
          <w:tab w:pos="9490" w:val="left" w:leader="none"/>
        </w:tabs>
        <w:spacing w:before="57"/>
        <w:ind w:left="533" w:right="105"/>
      </w:pPr>
      <w:r>
        <w:rPr/>
        <w:t>Fringe Benefits Tax on</w:t>
      </w:r>
      <w:r>
        <w:rPr>
          <w:spacing w:val="-1"/>
        </w:rPr>
        <w:t> </w:t>
      </w:r>
      <w:r>
        <w:rPr/>
        <w:t>motor</w:t>
      </w:r>
      <w:r>
        <w:rPr>
          <w:spacing w:val="-1"/>
        </w:rPr>
        <w:t> </w:t>
      </w:r>
      <w:r>
        <w:rPr/>
        <w:t>vehicles</w:t>
        <w:tab/>
      </w:r>
      <w:r>
        <w:rPr>
          <w:b/>
        </w:rPr>
        <w:t>16,254</w:t>
        <w:tab/>
      </w:r>
      <w:r>
        <w:rPr/>
        <w:t>2,544</w:t>
      </w:r>
    </w:p>
    <w:p>
      <w:pPr>
        <w:pStyle w:val="BodyText"/>
        <w:tabs>
          <w:tab w:pos="8075" w:val="left" w:leader="none"/>
          <w:tab w:pos="9390" w:val="left" w:leader="none"/>
        </w:tabs>
        <w:spacing w:before="57"/>
        <w:ind w:left="533" w:right="105"/>
      </w:pPr>
      <w:r>
        <w:rPr/>
        <w:t>Provision for</w:t>
      </w:r>
      <w:r>
        <w:rPr>
          <w:spacing w:val="-1"/>
        </w:rPr>
        <w:t> </w:t>
      </w:r>
      <w:r>
        <w:rPr/>
        <w:t>impaired</w:t>
      </w:r>
      <w:r>
        <w:rPr>
          <w:spacing w:val="-1"/>
        </w:rPr>
        <w:t> </w:t>
      </w:r>
      <w:r>
        <w:rPr/>
        <w:t>receivables</w:t>
        <w:tab/>
      </w:r>
      <w:r>
        <w:rPr>
          <w:b/>
        </w:rPr>
        <w:t>(6,910)</w:t>
        <w:tab/>
      </w:r>
      <w:r>
        <w:rPr/>
        <w:t>16,137</w:t>
      </w:r>
    </w:p>
    <w:p>
      <w:pPr>
        <w:tabs>
          <w:tab w:pos="8035" w:val="left" w:leader="none"/>
          <w:tab w:pos="9290" w:val="left" w:leader="none"/>
        </w:tabs>
        <w:spacing w:before="57"/>
        <w:ind w:left="533" w:right="105" w:firstLine="0"/>
        <w:jc w:val="left"/>
        <w:rPr>
          <w:sz w:val="18"/>
        </w:rPr>
      </w:pPr>
      <w:r>
        <w:rPr/>
        <w:pict>
          <v:group style="position:absolute;margin-left:413.109985pt;margin-top:14.530201pt;width:133.3pt;height:1pt;mso-position-horizontal-relative:page;mso-position-vertical-relative:paragraph;z-index:2824;mso-wrap-distance-left:0;mso-wrap-distance-right:0" coordorigin="8262,291" coordsize="2666,20">
            <v:line style="position:absolute" from="8263,292" to="9572,292" stroked="true" strokeweight=".06pt" strokecolor="#000000"/>
            <v:line style="position:absolute" from="8263,293" to="9572,293" stroked="true" strokeweight=".06pt" strokecolor="#000000"/>
            <v:line style="position:absolute" from="8263,294" to="9572,294" stroked="true" strokeweight=".06pt" strokecolor="#000000"/>
            <v:line style="position:absolute" from="8263,295" to="9572,295" stroked="true" strokeweight=".06pt" strokecolor="#000000"/>
            <v:line style="position:absolute" from="8263,296" to="9572,296" stroked="true" strokeweight=".06pt" strokecolor="#000000"/>
            <v:line style="position:absolute" from="8263,298" to="9572,298" stroked="true" strokeweight=".06pt" strokecolor="#000000"/>
            <v:line style="position:absolute" from="8263,299" to="9572,299" stroked="true" strokeweight=".06pt" strokecolor="#000000"/>
            <v:line style="position:absolute" from="8263,300" to="9572,300" stroked="true" strokeweight=".06pt" strokecolor="#000000"/>
            <v:line style="position:absolute" from="8263,301" to="9572,301" stroked="true" strokeweight=".06pt" strokecolor="#000000"/>
            <v:line style="position:absolute" from="8263,302" to="9572,302" stroked="true" strokeweight=".06pt" strokecolor="#000000"/>
            <v:line style="position:absolute" from="8263,304" to="9572,304" stroked="true" strokeweight=".06pt" strokecolor="#000000"/>
            <v:line style="position:absolute" from="8263,305" to="9572,305" stroked="true" strokeweight=".06pt" strokecolor="#000000"/>
            <v:line style="position:absolute" from="8263,306" to="9572,306" stroked="true" strokeweight=".06pt" strokecolor="#000000"/>
            <v:line style="position:absolute" from="8263,307" to="9572,307" stroked="true" strokeweight=".06pt" strokecolor="#000000"/>
            <v:line style="position:absolute" from="8263,308" to="9572,308" stroked="true" strokeweight=".06pt" strokecolor="#000000"/>
            <v:line style="position:absolute" from="8263,310" to="9572,310" stroked="true" strokeweight=".06pt" strokecolor="#000000"/>
            <v:line style="position:absolute" from="9572,292" to="10927,292" stroked="true" strokeweight=".06pt" strokecolor="#000000"/>
            <v:line style="position:absolute" from="9572,293" to="10927,293" stroked="true" strokeweight=".06pt" strokecolor="#000000"/>
            <v:line style="position:absolute" from="9572,294" to="10927,294" stroked="true" strokeweight=".06pt" strokecolor="#000000"/>
            <v:line style="position:absolute" from="9572,295" to="10927,295" stroked="true" strokeweight=".06pt" strokecolor="#000000"/>
            <v:line style="position:absolute" from="9572,296" to="10927,296" stroked="true" strokeweight=".06pt" strokecolor="#000000"/>
            <v:line style="position:absolute" from="9572,298" to="10927,298" stroked="true" strokeweight=".06pt" strokecolor="#000000"/>
            <v:line style="position:absolute" from="9572,299" to="10927,299" stroked="true" strokeweight=".06pt" strokecolor="#000000"/>
            <v:line style="position:absolute" from="9572,300" to="10927,300" stroked="true" strokeweight=".06pt" strokecolor="#000000"/>
            <v:line style="position:absolute" from="9572,301" to="10927,301" stroked="true" strokeweight=".06pt" strokecolor="#000000"/>
            <v:line style="position:absolute" from="9572,302" to="10927,302" stroked="true" strokeweight=".06pt" strokecolor="#000000"/>
            <v:line style="position:absolute" from="9572,304" to="10927,304" stroked="true" strokeweight=".06pt" strokecolor="#000000"/>
            <v:line style="position:absolute" from="9572,305" to="10927,305" stroked="true" strokeweight=".06pt" strokecolor="#000000"/>
            <v:line style="position:absolute" from="9572,306" to="10927,306" stroked="true" strokeweight=".06pt" strokecolor="#000000"/>
            <v:line style="position:absolute" from="9572,307" to="10927,307" stroked="true" strokeweight=".06pt" strokecolor="#000000"/>
            <v:line style="position:absolute" from="9572,308" to="10927,308" stroked="true" strokeweight=".06pt" strokecolor="#000000"/>
            <v:line style="position:absolute" from="9572,310" to="10927,310" stroked="true" strokeweight=".06pt" strokecolor="#000000"/>
            <v:line style="position:absolute" from="8263,292" to="9572,292" stroked="true" strokeweight=".06pt" strokecolor="#000000"/>
            <v:line style="position:absolute" from="8263,293" to="9572,293" stroked="true" strokeweight=".06pt" strokecolor="#000000"/>
            <v:line style="position:absolute" from="8263,294" to="9572,294" stroked="true" strokeweight=".06pt" strokecolor="#000000"/>
            <v:line style="position:absolute" from="8263,295" to="9572,295" stroked="true" strokeweight=".06pt" strokecolor="#000000"/>
            <v:line style="position:absolute" from="8263,296" to="9572,296" stroked="true" strokeweight=".06pt" strokecolor="#000000"/>
            <v:line style="position:absolute" from="8263,298" to="9572,298" stroked="true" strokeweight=".06pt" strokecolor="#000000"/>
            <v:line style="position:absolute" from="8263,299" to="9572,299" stroked="true" strokeweight=".06pt" strokecolor="#000000"/>
            <v:line style="position:absolute" from="8263,300" to="9572,300" stroked="true" strokeweight=".06pt" strokecolor="#000000"/>
            <v:line style="position:absolute" from="8263,301" to="9572,301" stroked="true" strokeweight=".06pt" strokecolor="#000000"/>
            <v:line style="position:absolute" from="8263,302" to="9572,302" stroked="true" strokeweight=".06pt" strokecolor="#000000"/>
            <v:line style="position:absolute" from="8263,304" to="9572,304" stroked="true" strokeweight=".06pt" strokecolor="#000000"/>
            <v:line style="position:absolute" from="8263,305" to="9572,305" stroked="true" strokeweight=".06pt" strokecolor="#000000"/>
            <v:line style="position:absolute" from="8263,306" to="9572,306" stroked="true" strokeweight=".06pt" strokecolor="#000000"/>
            <v:line style="position:absolute" from="8263,307" to="9572,307" stroked="true" strokeweight=".06pt" strokecolor="#000000"/>
            <v:line style="position:absolute" from="8263,308" to="9572,308" stroked="true" strokeweight=".06pt" strokecolor="#000000"/>
            <v:line style="position:absolute" from="8263,310" to="9572,310" stroked="true" strokeweight=".06pt" strokecolor="#000000"/>
            <v:line style="position:absolute" from="9572,292" to="10927,292" stroked="true" strokeweight=".06pt" strokecolor="#000000"/>
            <v:line style="position:absolute" from="9572,293" to="10927,293" stroked="true" strokeweight=".06pt" strokecolor="#000000"/>
            <v:line style="position:absolute" from="9572,294" to="10927,294" stroked="true" strokeweight=".06pt" strokecolor="#000000"/>
            <v:line style="position:absolute" from="9572,295" to="10927,295" stroked="true" strokeweight=".06pt" strokecolor="#000000"/>
            <v:line style="position:absolute" from="9572,296" to="10927,296" stroked="true" strokeweight=".06pt" strokecolor="#000000"/>
            <v:line style="position:absolute" from="9572,298" to="10927,298" stroked="true" strokeweight=".06pt" strokecolor="#000000"/>
            <v:line style="position:absolute" from="9572,299" to="10927,299" stroked="true" strokeweight=".06pt" strokecolor="#000000"/>
            <v:line style="position:absolute" from="9572,300" to="10927,300" stroked="true" strokeweight=".06pt" strokecolor="#000000"/>
            <v:line style="position:absolute" from="9572,301" to="10927,301" stroked="true" strokeweight=".06pt" strokecolor="#000000"/>
            <v:line style="position:absolute" from="9572,302" to="10927,302" stroked="true" strokeweight=".06pt" strokecolor="#000000"/>
            <v:line style="position:absolute" from="9572,304" to="10927,304" stroked="true" strokeweight=".06pt" strokecolor="#000000"/>
            <v:line style="position:absolute" from="9572,305" to="10927,305" stroked="true" strokeweight=".06pt" strokecolor="#000000"/>
            <v:line style="position:absolute" from="9572,306" to="10927,306" stroked="true" strokeweight=".06pt" strokecolor="#000000"/>
            <v:line style="position:absolute" from="9572,307" to="10927,307" stroked="true" strokeweight=".06pt" strokecolor="#000000"/>
            <v:line style="position:absolute" from="9572,308" to="10927,308" stroked="true" strokeweight=".06pt" strokecolor="#000000"/>
            <v:line style="position:absolute" from="9572,310" to="10927,310" stroked="true" strokeweight=".06pt" strokecolor="#000000"/>
            <w10:wrap type="topAndBottom"/>
          </v:group>
        </w:pict>
      </w:r>
      <w:r>
        <w:rPr>
          <w:sz w:val="18"/>
        </w:rPr>
        <w:t>Sundry</w:t>
      </w:r>
      <w:r>
        <w:rPr>
          <w:spacing w:val="-1"/>
          <w:sz w:val="18"/>
        </w:rPr>
        <w:t> </w:t>
      </w:r>
      <w:r>
        <w:rPr>
          <w:sz w:val="18"/>
        </w:rPr>
        <w:t>expenses</w:t>
        <w:tab/>
      </w:r>
      <w:r>
        <w:rPr>
          <w:b/>
          <w:sz w:val="18"/>
        </w:rPr>
        <w:t>13,983</w:t>
        <w:tab/>
      </w:r>
      <w:r>
        <w:rPr>
          <w:sz w:val="18"/>
        </w:rPr>
        <w:t>107,762</w:t>
      </w:r>
    </w:p>
    <w:p>
      <w:pPr>
        <w:tabs>
          <w:tab w:pos="7785" w:val="left" w:leader="none"/>
          <w:tab w:pos="9140" w:val="left" w:leader="none"/>
        </w:tabs>
        <w:spacing w:before="55"/>
        <w:ind w:left="532" w:right="105" w:firstLine="0"/>
        <w:jc w:val="left"/>
        <w:rPr>
          <w:sz w:val="18"/>
        </w:rPr>
      </w:pPr>
      <w:r>
        <w:rPr>
          <w:b/>
          <w:position w:val="-2"/>
          <w:sz w:val="18"/>
        </w:rPr>
        <w:t>Total other expenses</w:t>
        <w:tab/>
      </w:r>
      <w:r>
        <w:rPr>
          <w:b/>
          <w:sz w:val="18"/>
        </w:rPr>
        <w:t>1,132,136</w:t>
        <w:tab/>
      </w:r>
      <w:r>
        <w:rPr>
          <w:sz w:val="18"/>
        </w:rPr>
        <w:t>1,589,987</w:t>
      </w:r>
    </w:p>
    <w:p>
      <w:pPr>
        <w:pStyle w:val="BodyText"/>
        <w:spacing w:line="50" w:lineRule="exact"/>
        <w:ind w:left="7362"/>
        <w:rPr>
          <w:sz w:val="5"/>
        </w:rPr>
      </w:pPr>
      <w:r>
        <w:rPr>
          <w:position w:val="0"/>
          <w:sz w:val="5"/>
        </w:rPr>
        <w:pict>
          <v:group style="width:133.3pt;height:2.5pt;mso-position-horizontal-relative:char;mso-position-vertical-relative:line" coordorigin="0,0" coordsize="2666,50">
            <v:line style="position:absolute" from="1,1" to="1310,1" stroked="true" strokeweight=".06pt" strokecolor="#000000"/>
            <v:line style="position:absolute" from="1,2" to="1310,2" stroked="true" strokeweight=".06pt" strokecolor="#000000"/>
            <v:line style="position:absolute" from="1,3" to="1310,3" stroked="true" strokeweight=".06pt" strokecolor="#000000"/>
            <v:line style="position:absolute" from="1,5" to="1310,5" stroked="true" strokeweight=".06pt" strokecolor="#000000"/>
            <v:line style="position:absolute" from="1,6" to="1310,6" stroked="true" strokeweight=".06pt" strokecolor="#000000"/>
            <v:line style="position:absolute" from="1,7" to="1310,7" stroked="true" strokeweight=".06pt" strokecolor="#000000"/>
            <v:line style="position:absolute" from="1,8" to="1310,8" stroked="true" strokeweight=".06pt" strokecolor="#000000"/>
            <v:line style="position:absolute" from="1,9" to="1310,9" stroked="true" strokeweight=".06pt" strokecolor="#000000"/>
            <v:line style="position:absolute" from="1,11" to="1310,11" stroked="true" strokeweight=".06pt" strokecolor="#000000"/>
            <v:line style="position:absolute" from="1,12" to="1310,12" stroked="true" strokeweight=".06pt" strokecolor="#000000"/>
            <v:line style="position:absolute" from="1,13" to="1310,13" stroked="true" strokeweight=".06pt" strokecolor="#000000"/>
            <v:line style="position:absolute" from="1,14" to="1310,14" stroked="true" strokeweight=".06pt" strokecolor="#000000"/>
            <v:line style="position:absolute" from="1,15" to="1310,15" stroked="true" strokeweight=".06pt" strokecolor="#000000"/>
            <v:line style="position:absolute" from="1,35" to="1310,35" stroked="true" strokeweight=".06pt" strokecolor="#000000"/>
            <v:line style="position:absolute" from="1,36" to="1310,36" stroked="true" strokeweight=".06pt" strokecolor="#000000"/>
            <v:line style="position:absolute" from="1,37" to="1310,37" stroked="true" strokeweight=".06pt" strokecolor="#000000"/>
            <v:line style="position:absolute" from="1,38" to="1310,38" stroked="true" strokeweight=".06pt" strokecolor="#000000"/>
            <v:line style="position:absolute" from="1,39" to="1310,39" stroked="true" strokeweight=".06pt" strokecolor="#000000"/>
            <v:line style="position:absolute" from="1,41" to="1310,41" stroked="true" strokeweight=".06pt" strokecolor="#000000"/>
            <v:line style="position:absolute" from="1,42" to="1310,42" stroked="true" strokeweight=".06pt" strokecolor="#000000"/>
            <v:line style="position:absolute" from="1,43" to="1310,43" stroked="true" strokeweight=".06pt" strokecolor="#000000"/>
            <v:line style="position:absolute" from="1,44" to="1310,44" stroked="true" strokeweight=".06pt" strokecolor="#000000"/>
            <v:line style="position:absolute" from="1,45" to="1310,45" stroked="true" strokeweight=".06pt" strokecolor="#000000"/>
            <v:line style="position:absolute" from="1,47" to="1310,47" stroked="true" strokeweight=".06pt" strokecolor="#000000"/>
            <v:line style="position:absolute" from="1,48" to="1310,48" stroked="true" strokeweight=".06pt" strokecolor="#000000"/>
            <v:line style="position:absolute" from="1,49" to="1310,49" stroked="true" strokeweight=".06pt" strokecolor="#000000"/>
            <v:line style="position:absolute" from="1310,1" to="2665,1" stroked="true" strokeweight=".06pt" strokecolor="#000000"/>
            <v:line style="position:absolute" from="1310,2" to="2665,2" stroked="true" strokeweight=".06pt" strokecolor="#000000"/>
            <v:line style="position:absolute" from="1310,3" to="2665,3" stroked="true" strokeweight=".06pt" strokecolor="#000000"/>
            <v:line style="position:absolute" from="1310,5" to="2665,5" stroked="true" strokeweight=".06pt" strokecolor="#000000"/>
            <v:line style="position:absolute" from="1310,6" to="2665,6" stroked="true" strokeweight=".06pt" strokecolor="#000000"/>
            <v:line style="position:absolute" from="1310,7" to="2665,7" stroked="true" strokeweight=".06pt" strokecolor="#000000"/>
            <v:line style="position:absolute" from="1310,8" to="2665,8" stroked="true" strokeweight=".06pt" strokecolor="#000000"/>
            <v:line style="position:absolute" from="1310,9" to="2665,9" stroked="true" strokeweight=".06pt" strokecolor="#000000"/>
            <v:line style="position:absolute" from="1310,11" to="2665,11" stroked="true" strokeweight=".06pt" strokecolor="#000000"/>
            <v:line style="position:absolute" from="1310,12" to="2665,12" stroked="true" strokeweight=".06pt" strokecolor="#000000"/>
            <v:line style="position:absolute" from="1310,13" to="2665,13" stroked="true" strokeweight=".06pt" strokecolor="#000000"/>
            <v:line style="position:absolute" from="1310,14" to="2665,14" stroked="true" strokeweight=".06pt" strokecolor="#000000"/>
            <v:line style="position:absolute" from="1310,15" to="2665,15" stroked="true" strokeweight=".06pt" strokecolor="#000000"/>
            <v:line style="position:absolute" from="1310,35" to="2665,35" stroked="true" strokeweight=".06pt" strokecolor="#000000"/>
            <v:line style="position:absolute" from="1310,36" to="2665,36" stroked="true" strokeweight=".06pt" strokecolor="#000000"/>
            <v:line style="position:absolute" from="1310,37" to="2665,37" stroked="true" strokeweight=".06pt" strokecolor="#000000"/>
            <v:line style="position:absolute" from="1310,38" to="2665,38" stroked="true" strokeweight=".06pt" strokecolor="#000000"/>
            <v:line style="position:absolute" from="1310,39" to="2665,39" stroked="true" strokeweight=".06pt" strokecolor="#000000"/>
            <v:line style="position:absolute" from="1310,41" to="2665,41" stroked="true" strokeweight=".06pt" strokecolor="#000000"/>
            <v:line style="position:absolute" from="1310,42" to="2665,42" stroked="true" strokeweight=".06pt" strokecolor="#000000"/>
            <v:line style="position:absolute" from="1310,43" to="2665,43" stroked="true" strokeweight=".06pt" strokecolor="#000000"/>
            <v:line style="position:absolute" from="1310,44" to="2665,44" stroked="true" strokeweight=".06pt" strokecolor="#000000"/>
            <v:line style="position:absolute" from="1310,45" to="2665,45" stroked="true" strokeweight=".06pt" strokecolor="#000000"/>
            <v:line style="position:absolute" from="1310,47" to="2665,47" stroked="true" strokeweight=".06pt" strokecolor="#000000"/>
            <v:line style="position:absolute" from="1310,48" to="2665,48" stroked="true" strokeweight=".06pt" strokecolor="#000000"/>
            <v:line style="position:absolute" from="1310,49" to="2665,49" stroked="true" strokeweight=".06pt" strokecolor="#000000"/>
          </v:group>
        </w:pict>
      </w:r>
      <w:r>
        <w:rPr>
          <w:position w:val="0"/>
          <w:sz w:val="5"/>
        </w:rPr>
      </w:r>
    </w:p>
    <w:p>
      <w:pPr>
        <w:pStyle w:val="BodyText"/>
        <w:spacing w:before="1"/>
      </w:pPr>
    </w:p>
    <w:p>
      <w:pPr>
        <w:pStyle w:val="Heading9"/>
        <w:numPr>
          <w:ilvl w:val="0"/>
          <w:numId w:val="55"/>
        </w:numPr>
        <w:tabs>
          <w:tab w:pos="504" w:val="left" w:leader="none"/>
        </w:tabs>
        <w:spacing w:line="240" w:lineRule="auto" w:before="77" w:after="0"/>
        <w:ind w:left="503" w:right="0" w:hanging="394"/>
        <w:jc w:val="left"/>
      </w:pPr>
      <w:r>
        <w:rPr/>
        <w:t>Royalty to</w:t>
      </w:r>
      <w:r>
        <w:rPr>
          <w:spacing w:val="-2"/>
        </w:rPr>
        <w:t> </w:t>
      </w:r>
      <w:r>
        <w:rPr/>
        <w:t>parent</w:t>
      </w:r>
    </w:p>
    <w:p>
      <w:pPr>
        <w:pStyle w:val="BodyText"/>
        <w:rPr>
          <w:b/>
          <w:sz w:val="25"/>
        </w:rPr>
      </w:pPr>
    </w:p>
    <w:p>
      <w:pPr>
        <w:pStyle w:val="BodyText"/>
        <w:ind w:left="505" w:right="396"/>
      </w:pPr>
      <w:r>
        <w:rPr/>
        <w:t>The Company pays a Royalty to the parent entity for access to the parent entity's intellectual property, infrastructure, premises and business services. The Royalty is determined as 100% of the Company's operating surplus before royalty.</w:t>
      </w:r>
    </w:p>
    <w:p>
      <w:pPr>
        <w:pStyle w:val="BodyText"/>
        <w:spacing w:before="3"/>
      </w:pPr>
    </w:p>
    <w:p>
      <w:pPr>
        <w:spacing w:after="0"/>
        <w:sectPr>
          <w:type w:val="continuous"/>
          <w:pgSz w:w="11910" w:h="16840"/>
          <w:pgMar w:top="1580" w:bottom="280" w:left="900" w:right="840"/>
        </w:sectPr>
      </w:pPr>
    </w:p>
    <w:p>
      <w:pPr>
        <w:pStyle w:val="Heading9"/>
        <w:numPr>
          <w:ilvl w:val="0"/>
          <w:numId w:val="55"/>
        </w:numPr>
        <w:tabs>
          <w:tab w:pos="506" w:val="left" w:leader="none"/>
        </w:tabs>
        <w:spacing w:line="240" w:lineRule="auto" w:before="77" w:after="0"/>
        <w:ind w:left="505" w:right="0" w:hanging="396"/>
        <w:jc w:val="left"/>
      </w:pPr>
      <w:r>
        <w:rPr/>
        <w:t>Remuneration of Auditors</w:t>
      </w:r>
    </w:p>
    <w:p>
      <w:pPr>
        <w:pStyle w:val="BodyText"/>
        <w:rPr>
          <w:b/>
        </w:rPr>
      </w:pPr>
    </w:p>
    <w:p>
      <w:pPr>
        <w:pStyle w:val="BodyText"/>
        <w:rPr>
          <w:b/>
        </w:rPr>
      </w:pPr>
    </w:p>
    <w:p>
      <w:pPr>
        <w:pStyle w:val="BodyText"/>
        <w:spacing w:before="160"/>
        <w:ind w:left="549" w:right="-20"/>
      </w:pPr>
      <w:r>
        <w:rPr/>
        <w:t>The Audit Office of New South Wales</w:t>
      </w:r>
    </w:p>
    <w:p>
      <w:pPr>
        <w:pStyle w:val="BodyText"/>
      </w:pPr>
      <w:r>
        <w:rPr/>
        <w:br w:type="column"/>
      </w:r>
      <w:r>
        <w:rPr/>
      </w:r>
    </w:p>
    <w:p>
      <w:pPr>
        <w:pStyle w:val="Heading9"/>
        <w:spacing w:before="110"/>
        <w:ind w:left="109"/>
        <w:jc w:val="center"/>
      </w:pPr>
      <w:r>
        <w:rPr/>
        <w:t>2017</w:t>
      </w:r>
    </w:p>
    <w:p>
      <w:pPr>
        <w:spacing w:before="66"/>
        <w:ind w:left="108" w:right="0" w:firstLine="0"/>
        <w:jc w:val="center"/>
        <w:rPr>
          <w:b/>
          <w:sz w:val="18"/>
        </w:rPr>
      </w:pPr>
      <w:r>
        <w:rPr>
          <w:b/>
          <w:w w:val="99"/>
          <w:sz w:val="18"/>
        </w:rPr>
        <w:t>$</w:t>
      </w:r>
    </w:p>
    <w:p>
      <w:pPr>
        <w:pStyle w:val="BodyText"/>
        <w:rPr>
          <w:b/>
        </w:rPr>
      </w:pPr>
      <w:r>
        <w:rPr/>
        <w:br w:type="column"/>
      </w:r>
      <w:r>
        <w:rPr>
          <w:b/>
        </w:rPr>
      </w:r>
    </w:p>
    <w:p>
      <w:pPr>
        <w:spacing w:before="110"/>
        <w:ind w:left="93" w:right="420" w:firstLine="0"/>
        <w:jc w:val="center"/>
        <w:rPr>
          <w:b/>
          <w:sz w:val="18"/>
        </w:rPr>
      </w:pPr>
      <w:r>
        <w:rPr>
          <w:b/>
          <w:sz w:val="18"/>
        </w:rPr>
        <w:t>2016</w:t>
      </w:r>
    </w:p>
    <w:p>
      <w:pPr>
        <w:spacing w:before="66"/>
        <w:ind w:left="0" w:right="328" w:firstLine="0"/>
        <w:jc w:val="center"/>
        <w:rPr>
          <w:b/>
          <w:sz w:val="18"/>
        </w:rPr>
      </w:pPr>
      <w:r>
        <w:rPr>
          <w:b/>
          <w:w w:val="99"/>
          <w:sz w:val="18"/>
        </w:rPr>
        <w:t>$</w:t>
      </w:r>
    </w:p>
    <w:p>
      <w:pPr>
        <w:spacing w:after="0"/>
        <w:jc w:val="center"/>
        <w:rPr>
          <w:sz w:val="18"/>
        </w:rPr>
        <w:sectPr>
          <w:type w:val="continuous"/>
          <w:pgSz w:w="11910" w:h="16840"/>
          <w:pgMar w:top="1580" w:bottom="280" w:left="900" w:right="840"/>
          <w:cols w:num="3" w:equalWidth="0">
            <w:col w:w="3521" w:space="4733"/>
            <w:col w:w="510" w:space="452"/>
            <w:col w:w="954"/>
          </w:cols>
        </w:sectPr>
      </w:pPr>
    </w:p>
    <w:p>
      <w:pPr>
        <w:pStyle w:val="BodyText"/>
        <w:tabs>
          <w:tab w:pos="8369" w:val="left" w:leader="none"/>
          <w:tab w:pos="9389" w:val="left" w:leader="none"/>
        </w:tabs>
        <w:spacing w:before="55"/>
        <w:ind w:left="549" w:right="105"/>
      </w:pPr>
      <w:r>
        <w:rPr/>
        <w:pict>
          <v:group style="position:absolute;margin-left:448.570007pt;margin-top:14.439288pt;width:97.85pt;height:1pt;mso-position-horizontal-relative:page;mso-position-vertical-relative:paragraph;z-index:2872;mso-wrap-distance-left:0;mso-wrap-distance-right:0" coordorigin="8971,289" coordsize="1957,20">
            <v:line style="position:absolute" from="8972,290" to="9907,290" stroked="true" strokeweight=".06pt" strokecolor="#000000"/>
            <v:line style="position:absolute" from="8972,291" to="9907,291" stroked="true" strokeweight=".06pt" strokecolor="#000000"/>
            <v:line style="position:absolute" from="8972,292" to="9907,292" stroked="true" strokeweight=".06pt" strokecolor="#000000"/>
            <v:line style="position:absolute" from="8972,293" to="9907,293" stroked="true" strokeweight=".06pt" strokecolor="#000000"/>
            <v:line style="position:absolute" from="8972,295" to="9907,295" stroked="true" strokeweight=".06pt" strokecolor="#000000"/>
            <v:line style="position:absolute" from="8972,296" to="9907,296" stroked="true" strokeweight=".06pt" strokecolor="#000000"/>
            <v:line style="position:absolute" from="8972,297" to="9907,297" stroked="true" strokeweight=".06pt" strokecolor="#000000"/>
            <v:line style="position:absolute" from="8972,298" to="9907,298" stroked="true" strokeweight=".06pt" strokecolor="#000000"/>
            <v:line style="position:absolute" from="8972,299" to="9907,299" stroked="true" strokeweight=".06pt" strokecolor="#000000"/>
            <v:line style="position:absolute" from="8972,301" to="9907,301" stroked="true" strokeweight=".06pt" strokecolor="#000000"/>
            <v:line style="position:absolute" from="8972,302" to="9907,302" stroked="true" strokeweight=".06pt" strokecolor="#000000"/>
            <v:line style="position:absolute" from="8972,303" to="9907,303" stroked="true" strokeweight=".06pt" strokecolor="#000000"/>
            <v:line style="position:absolute" from="8972,304" to="9907,304" stroked="true" strokeweight=".06pt" strokecolor="#000000"/>
            <v:line style="position:absolute" from="8972,305" to="9907,305" stroked="true" strokeweight=".06pt" strokecolor="#000000"/>
            <v:line style="position:absolute" from="8972,307" to="9907,307" stroked="true" strokeweight=".06pt" strokecolor="#000000"/>
            <v:line style="position:absolute" from="8972,308" to="9907,308" stroked="true" strokeweight=".06pt" strokecolor="#000000"/>
            <v:line style="position:absolute" from="9907,290" to="10927,290" stroked="true" strokeweight=".06pt" strokecolor="#000000"/>
            <v:line style="position:absolute" from="9907,291" to="10927,291" stroked="true" strokeweight=".06pt" strokecolor="#000000"/>
            <v:line style="position:absolute" from="9907,292" to="10927,292" stroked="true" strokeweight=".06pt" strokecolor="#000000"/>
            <v:line style="position:absolute" from="9907,293" to="10927,293" stroked="true" strokeweight=".06pt" strokecolor="#000000"/>
            <v:line style="position:absolute" from="9907,295" to="10927,295" stroked="true" strokeweight=".06pt" strokecolor="#000000"/>
            <v:line style="position:absolute" from="9907,296" to="10927,296" stroked="true" strokeweight=".06pt" strokecolor="#000000"/>
            <v:line style="position:absolute" from="9907,297" to="10927,297" stroked="true" strokeweight=".06pt" strokecolor="#000000"/>
            <v:line style="position:absolute" from="9907,298" to="10927,298" stroked="true" strokeweight=".06pt" strokecolor="#000000"/>
            <v:line style="position:absolute" from="9907,299" to="10927,299" stroked="true" strokeweight=".06pt" strokecolor="#000000"/>
            <v:line style="position:absolute" from="9907,301" to="10927,301" stroked="true" strokeweight=".06pt" strokecolor="#000000"/>
            <v:line style="position:absolute" from="9907,302" to="10927,302" stroked="true" strokeweight=".06pt" strokecolor="#000000"/>
            <v:line style="position:absolute" from="9907,303" to="10927,303" stroked="true" strokeweight=".06pt" strokecolor="#000000"/>
            <v:line style="position:absolute" from="9907,304" to="10927,304" stroked="true" strokeweight=".06pt" strokecolor="#000000"/>
            <v:line style="position:absolute" from="9907,305" to="10927,305" stroked="true" strokeweight=".06pt" strokecolor="#000000"/>
            <v:line style="position:absolute" from="9907,307" to="10927,307" stroked="true" strokeweight=".06pt" strokecolor="#000000"/>
            <v:line style="position:absolute" from="9907,308" to="10927,308" stroked="true" strokeweight=".06pt" strokecolor="#000000"/>
            <w10:wrap type="topAndBottom"/>
          </v:group>
        </w:pict>
      </w:r>
      <w:r>
        <w:rPr/>
        <w:t>- Audit of</w:t>
      </w:r>
      <w:r>
        <w:rPr>
          <w:spacing w:val="-1"/>
        </w:rPr>
        <w:t> </w:t>
      </w:r>
      <w:r>
        <w:rPr/>
        <w:t>financial</w:t>
      </w:r>
      <w:r>
        <w:rPr>
          <w:spacing w:val="-1"/>
        </w:rPr>
        <w:t> </w:t>
      </w:r>
      <w:r>
        <w:rPr/>
        <w:t>statements</w:t>
        <w:tab/>
      </w:r>
      <w:r>
        <w:rPr>
          <w:b/>
        </w:rPr>
        <w:t>38,460</w:t>
        <w:tab/>
      </w:r>
      <w:r>
        <w:rPr/>
        <w:t>34,440</w:t>
      </w:r>
    </w:p>
    <w:p>
      <w:pPr>
        <w:pStyle w:val="Heading9"/>
        <w:tabs>
          <w:tab w:pos="8369" w:val="left" w:leader="none"/>
          <w:tab w:pos="9389" w:val="left" w:leader="none"/>
        </w:tabs>
        <w:spacing w:before="84"/>
        <w:ind w:left="549" w:right="105"/>
        <w:rPr>
          <w:b w:val="0"/>
        </w:rPr>
      </w:pPr>
      <w:r>
        <w:rPr/>
        <w:t>Total remuneration for audit</w:t>
      </w:r>
      <w:r>
        <w:rPr>
          <w:spacing w:val="-2"/>
        </w:rPr>
        <w:t> </w:t>
      </w:r>
      <w:r>
        <w:rPr/>
        <w:t>(excluding</w:t>
      </w:r>
      <w:r>
        <w:rPr>
          <w:spacing w:val="-1"/>
        </w:rPr>
        <w:t> </w:t>
      </w:r>
      <w:r>
        <w:rPr/>
        <w:t>GST)</w:t>
        <w:tab/>
        <w:t>38,460</w:t>
        <w:tab/>
      </w:r>
      <w:r>
        <w:rPr>
          <w:b w:val="0"/>
        </w:rPr>
        <w:t>34,440</w:t>
      </w:r>
    </w:p>
    <w:p>
      <w:pPr>
        <w:pStyle w:val="BodyText"/>
        <w:spacing w:line="50" w:lineRule="exact"/>
        <w:ind w:left="8071"/>
        <w:rPr>
          <w:sz w:val="5"/>
        </w:rPr>
      </w:pPr>
      <w:r>
        <w:rPr>
          <w:position w:val="0"/>
          <w:sz w:val="5"/>
        </w:rPr>
        <w:pict>
          <v:group style="width:97.85pt;height:2.5pt;mso-position-horizontal-relative:char;mso-position-vertical-relative:line" coordorigin="0,0" coordsize="1957,50">
            <v:line style="position:absolute" from="1,1" to="936,1" stroked="true" strokeweight=".06pt" strokecolor="#000000"/>
            <v:line style="position:absolute" from="1,2" to="936,2" stroked="true" strokeweight=".06pt" strokecolor="#000000"/>
            <v:line style="position:absolute" from="1,3" to="936,3" stroked="true" strokeweight=".06pt" strokecolor="#000000"/>
            <v:line style="position:absolute" from="1,5" to="936,5" stroked="true" strokeweight=".06pt" strokecolor="#000000"/>
            <v:line style="position:absolute" from="1,6" to="936,6" stroked="true" strokeweight=".06pt" strokecolor="#000000"/>
            <v:line style="position:absolute" from="1,7" to="936,7" stroked="true" strokeweight=".06pt" strokecolor="#000000"/>
            <v:line style="position:absolute" from="1,8" to="936,8" stroked="true" strokeweight=".06pt" strokecolor="#000000"/>
            <v:line style="position:absolute" from="1,9" to="936,9" stroked="true" strokeweight=".06pt" strokecolor="#000000"/>
            <v:line style="position:absolute" from="1,11" to="936,11" stroked="true" strokeweight=".06pt" strokecolor="#000000"/>
            <v:line style="position:absolute" from="1,12" to="936,12" stroked="true" strokeweight=".06pt" strokecolor="#000000"/>
            <v:line style="position:absolute" from="1,13" to="936,13" stroked="true" strokeweight=".06pt" strokecolor="#000000"/>
            <v:line style="position:absolute" from="1,14" to="936,14" stroked="true" strokeweight=".06pt" strokecolor="#000000"/>
            <v:line style="position:absolute" from="1,15" to="936,15" stroked="true" strokeweight=".06pt" strokecolor="#000000"/>
            <v:line style="position:absolute" from="1,35" to="936,35" stroked="true" strokeweight=".06pt" strokecolor="#000000"/>
            <v:line style="position:absolute" from="1,36" to="936,36" stroked="true" strokeweight=".06pt" strokecolor="#000000"/>
            <v:line style="position:absolute" from="1,37" to="936,37" stroked="true" strokeweight=".06pt" strokecolor="#000000"/>
            <v:line style="position:absolute" from="1,38" to="936,38" stroked="true" strokeweight=".06pt" strokecolor="#000000"/>
            <v:line style="position:absolute" from="1,39" to="936,39" stroked="true" strokeweight=".06pt" strokecolor="#000000"/>
            <v:line style="position:absolute" from="1,41" to="936,41" stroked="true" strokeweight=".06pt" strokecolor="#000000"/>
            <v:line style="position:absolute" from="1,42" to="936,42" stroked="true" strokeweight=".06pt" strokecolor="#000000"/>
            <v:line style="position:absolute" from="1,43" to="936,43" stroked="true" strokeweight=".06pt" strokecolor="#000000"/>
            <v:line style="position:absolute" from="1,44" to="936,44" stroked="true" strokeweight=".06pt" strokecolor="#000000"/>
            <v:line style="position:absolute" from="1,45" to="936,45" stroked="true" strokeweight=".06pt" strokecolor="#000000"/>
            <v:line style="position:absolute" from="1,47" to="936,47" stroked="true" strokeweight=".06pt" strokecolor="#000000"/>
            <v:line style="position:absolute" from="1,48" to="936,48" stroked="true" strokeweight=".06pt" strokecolor="#000000"/>
            <v:line style="position:absolute" from="1,49" to="936,49" stroked="true" strokeweight=".06pt" strokecolor="#000000"/>
            <v:line style="position:absolute" from="936,1" to="1956,1" stroked="true" strokeweight=".06pt" strokecolor="#000000"/>
            <v:line style="position:absolute" from="936,2" to="1956,2" stroked="true" strokeweight=".06pt" strokecolor="#000000"/>
            <v:line style="position:absolute" from="936,3" to="1956,3" stroked="true" strokeweight=".06pt" strokecolor="#000000"/>
            <v:line style="position:absolute" from="936,5" to="1956,5" stroked="true" strokeweight=".06pt" strokecolor="#000000"/>
            <v:line style="position:absolute" from="936,6" to="1956,6" stroked="true" strokeweight=".06pt" strokecolor="#000000"/>
            <v:line style="position:absolute" from="936,7" to="1956,7" stroked="true" strokeweight=".06pt" strokecolor="#000000"/>
            <v:line style="position:absolute" from="936,8" to="1956,8" stroked="true" strokeweight=".06pt" strokecolor="#000000"/>
            <v:line style="position:absolute" from="936,9" to="1956,9" stroked="true" strokeweight=".06pt" strokecolor="#000000"/>
            <v:line style="position:absolute" from="936,11" to="1956,11" stroked="true" strokeweight=".06pt" strokecolor="#000000"/>
            <v:line style="position:absolute" from="936,12" to="1956,12" stroked="true" strokeweight=".06pt" strokecolor="#000000"/>
            <v:line style="position:absolute" from="936,13" to="1956,13" stroked="true" strokeweight=".06pt" strokecolor="#000000"/>
            <v:line style="position:absolute" from="936,14" to="1956,14" stroked="true" strokeweight=".06pt" strokecolor="#000000"/>
            <v:line style="position:absolute" from="936,15" to="1956,15" stroked="true" strokeweight=".06pt" strokecolor="#000000"/>
            <v:line style="position:absolute" from="936,35" to="1956,35" stroked="true" strokeweight=".06pt" strokecolor="#000000"/>
            <v:line style="position:absolute" from="936,36" to="1956,36" stroked="true" strokeweight=".06pt" strokecolor="#000000"/>
            <v:line style="position:absolute" from="936,37" to="1956,37" stroked="true" strokeweight=".06pt" strokecolor="#000000"/>
            <v:line style="position:absolute" from="936,38" to="1956,38" stroked="true" strokeweight=".06pt" strokecolor="#000000"/>
            <v:line style="position:absolute" from="936,39" to="1956,39" stroked="true" strokeweight=".06pt" strokecolor="#000000"/>
            <v:line style="position:absolute" from="936,41" to="1956,41" stroked="true" strokeweight=".06pt" strokecolor="#000000"/>
            <v:line style="position:absolute" from="936,42" to="1956,42" stroked="true" strokeweight=".06pt" strokecolor="#000000"/>
            <v:line style="position:absolute" from="936,43" to="1956,43" stroked="true" strokeweight=".06pt" strokecolor="#000000"/>
            <v:line style="position:absolute" from="936,44" to="1956,44" stroked="true" strokeweight=".06pt" strokecolor="#000000"/>
            <v:line style="position:absolute" from="936,45" to="1956,45" stroked="true" strokeweight=".06pt" strokecolor="#000000"/>
            <v:line style="position:absolute" from="936,47" to="1956,47" stroked="true" strokeweight=".06pt" strokecolor="#000000"/>
            <v:line style="position:absolute" from="936,48" to="1956,48" stroked="true" strokeweight=".06pt" strokecolor="#000000"/>
            <v:line style="position:absolute" from="936,49" to="1956,49" stroked="true" strokeweight=".06pt" strokecolor="#000000"/>
          </v:group>
        </w:pict>
      </w:r>
      <w:r>
        <w:rPr>
          <w:position w:val="0"/>
          <w:sz w:val="5"/>
        </w:rPr>
      </w:r>
    </w:p>
    <w:p>
      <w:pPr>
        <w:pStyle w:val="BodyText"/>
        <w:spacing w:before="2"/>
      </w:pPr>
    </w:p>
    <w:p>
      <w:pPr>
        <w:pStyle w:val="ListParagraph"/>
        <w:numPr>
          <w:ilvl w:val="0"/>
          <w:numId w:val="55"/>
        </w:numPr>
        <w:tabs>
          <w:tab w:pos="506" w:val="left" w:leader="none"/>
        </w:tabs>
        <w:spacing w:line="240" w:lineRule="auto" w:before="77" w:after="0"/>
        <w:ind w:left="505" w:right="0" w:hanging="396"/>
        <w:jc w:val="left"/>
        <w:rPr>
          <w:b/>
          <w:sz w:val="18"/>
        </w:rPr>
      </w:pPr>
      <w:r>
        <w:rPr>
          <w:b/>
          <w:sz w:val="18"/>
        </w:rPr>
        <w:t>Contingencies</w:t>
      </w:r>
    </w:p>
    <w:p>
      <w:pPr>
        <w:pStyle w:val="BodyText"/>
        <w:spacing w:before="7"/>
        <w:rPr>
          <w:b/>
          <w:sz w:val="26"/>
        </w:rPr>
      </w:pPr>
    </w:p>
    <w:p>
      <w:pPr>
        <w:tabs>
          <w:tab w:pos="1071" w:val="left" w:leader="none"/>
        </w:tabs>
        <w:spacing w:before="0"/>
        <w:ind w:left="505" w:right="105" w:firstLine="0"/>
        <w:jc w:val="left"/>
        <w:rPr>
          <w:b/>
          <w:sz w:val="18"/>
        </w:rPr>
      </w:pPr>
      <w:r>
        <w:rPr>
          <w:b/>
          <w:sz w:val="18"/>
        </w:rPr>
        <w:t>(a)</w:t>
        <w:tab/>
        <w:t>Contingent Liabilities</w:t>
      </w:r>
    </w:p>
    <w:p>
      <w:pPr>
        <w:pStyle w:val="BodyText"/>
        <w:spacing w:before="4"/>
        <w:rPr>
          <w:b/>
          <w:sz w:val="25"/>
        </w:rPr>
      </w:pPr>
    </w:p>
    <w:p>
      <w:pPr>
        <w:spacing w:before="0"/>
        <w:ind w:left="1072" w:right="105" w:firstLine="0"/>
        <w:jc w:val="left"/>
        <w:rPr>
          <w:i/>
          <w:sz w:val="18"/>
        </w:rPr>
      </w:pPr>
      <w:r>
        <w:rPr>
          <w:i/>
          <w:sz w:val="18"/>
        </w:rPr>
        <w:t>Claims</w:t>
      </w:r>
    </w:p>
    <w:p>
      <w:pPr>
        <w:pStyle w:val="BodyText"/>
        <w:rPr>
          <w:i/>
          <w:sz w:val="25"/>
        </w:rPr>
      </w:pPr>
    </w:p>
    <w:p>
      <w:pPr>
        <w:pStyle w:val="BodyText"/>
        <w:ind w:left="1072" w:right="103"/>
      </w:pPr>
      <w:r>
        <w:rPr/>
        <w:t>The Directors of the Company are not aware of the existence of any legal claims as at 31 December 2017 (2016: nil).</w:t>
      </w:r>
    </w:p>
    <w:p>
      <w:pPr>
        <w:pStyle w:val="BodyText"/>
        <w:rPr>
          <w:sz w:val="25"/>
        </w:rPr>
      </w:pPr>
    </w:p>
    <w:p>
      <w:pPr>
        <w:spacing w:before="0"/>
        <w:ind w:left="1072" w:right="105" w:firstLine="0"/>
        <w:jc w:val="left"/>
        <w:rPr>
          <w:i/>
          <w:sz w:val="18"/>
        </w:rPr>
      </w:pPr>
      <w:r>
        <w:rPr>
          <w:i/>
          <w:sz w:val="18"/>
        </w:rPr>
        <w:t>Guarantees</w:t>
      </w:r>
    </w:p>
    <w:p>
      <w:pPr>
        <w:pStyle w:val="BodyText"/>
        <w:rPr>
          <w:i/>
          <w:sz w:val="25"/>
        </w:rPr>
      </w:pPr>
    </w:p>
    <w:p>
      <w:pPr>
        <w:pStyle w:val="BodyText"/>
        <w:ind w:left="1072" w:right="122"/>
      </w:pPr>
      <w:r>
        <w:rPr/>
        <w:t>The Directors of the Company are not aware of any guarantees that are in place as at 31 December 2017 (2016: nil).</w:t>
      </w:r>
    </w:p>
    <w:p>
      <w:pPr>
        <w:pStyle w:val="BodyText"/>
        <w:rPr>
          <w:sz w:val="25"/>
        </w:rPr>
      </w:pPr>
    </w:p>
    <w:p>
      <w:pPr>
        <w:pStyle w:val="BodyText"/>
        <w:ind w:left="1072" w:right="105"/>
      </w:pPr>
      <w:r>
        <w:rPr/>
        <w:t>The Directors of the Company are not aware of any further instances.</w:t>
      </w:r>
    </w:p>
    <w:p>
      <w:pPr>
        <w:spacing w:after="0"/>
        <w:sectPr>
          <w:type w:val="continuous"/>
          <w:pgSz w:w="11910" w:h="16840"/>
          <w:pgMar w:top="1580" w:bottom="280" w:left="900" w:right="840"/>
        </w:sectPr>
      </w:pPr>
    </w:p>
    <w:p>
      <w:pPr>
        <w:pStyle w:val="BodyText"/>
        <w:spacing w:before="2"/>
        <w:rPr>
          <w:sz w:val="24"/>
        </w:rPr>
      </w:pPr>
    </w:p>
    <w:p>
      <w:pPr>
        <w:pStyle w:val="Heading3"/>
        <w:ind w:right="159"/>
      </w:pPr>
      <w:r>
        <w:rPr/>
        <w:t>Notes to the Financial Statements</w:t>
      </w:r>
    </w:p>
    <w:p>
      <w:pPr>
        <w:pStyle w:val="Heading6"/>
        <w:ind w:left="107" w:right="159"/>
      </w:pPr>
      <w:r>
        <w:rPr/>
        <w:t>For the Year Ended 31 December 2017</w:t>
      </w:r>
    </w:p>
    <w:p>
      <w:pPr>
        <w:pStyle w:val="BodyText"/>
        <w:rPr>
          <w:b/>
          <w:sz w:val="22"/>
        </w:rPr>
      </w:pPr>
    </w:p>
    <w:p>
      <w:pPr>
        <w:pStyle w:val="BodyText"/>
        <w:rPr>
          <w:b/>
          <w:sz w:val="22"/>
        </w:rPr>
      </w:pPr>
    </w:p>
    <w:p>
      <w:pPr>
        <w:pStyle w:val="Heading9"/>
        <w:numPr>
          <w:ilvl w:val="0"/>
          <w:numId w:val="55"/>
        </w:numPr>
        <w:tabs>
          <w:tab w:pos="506" w:val="left" w:leader="none"/>
        </w:tabs>
        <w:spacing w:line="240" w:lineRule="auto" w:before="160" w:after="0"/>
        <w:ind w:left="505" w:right="0" w:hanging="396"/>
        <w:jc w:val="left"/>
      </w:pPr>
      <w:r>
        <w:rPr/>
        <w:t>Key management personnel</w:t>
      </w:r>
      <w:r>
        <w:rPr>
          <w:spacing w:val="-2"/>
        </w:rPr>
        <w:t> </w:t>
      </w:r>
      <w:r>
        <w:rPr/>
        <w:t>disclosures</w:t>
      </w:r>
    </w:p>
    <w:p>
      <w:pPr>
        <w:pStyle w:val="BodyText"/>
        <w:spacing w:before="7"/>
        <w:rPr>
          <w:b/>
          <w:sz w:val="26"/>
        </w:rPr>
      </w:pPr>
    </w:p>
    <w:p>
      <w:pPr>
        <w:pStyle w:val="ListParagraph"/>
        <w:numPr>
          <w:ilvl w:val="0"/>
          <w:numId w:val="56"/>
        </w:numPr>
        <w:tabs>
          <w:tab w:pos="1072" w:val="left" w:leader="none"/>
        </w:tabs>
        <w:spacing w:line="240" w:lineRule="auto" w:before="0" w:after="0"/>
        <w:ind w:left="1071" w:right="0" w:hanging="566"/>
        <w:jc w:val="left"/>
        <w:rPr>
          <w:b/>
          <w:sz w:val="18"/>
        </w:rPr>
      </w:pPr>
      <w:r>
        <w:rPr>
          <w:b/>
          <w:sz w:val="18"/>
        </w:rPr>
        <w:t>Responsible persons and executive</w:t>
      </w:r>
      <w:r>
        <w:rPr>
          <w:b/>
          <w:spacing w:val="-1"/>
          <w:sz w:val="18"/>
        </w:rPr>
        <w:t> </w:t>
      </w:r>
      <w:r>
        <w:rPr>
          <w:b/>
          <w:sz w:val="18"/>
        </w:rPr>
        <w:t>officers</w:t>
      </w:r>
    </w:p>
    <w:p>
      <w:pPr>
        <w:pStyle w:val="BodyText"/>
        <w:spacing w:before="4"/>
        <w:rPr>
          <w:b/>
          <w:sz w:val="25"/>
        </w:rPr>
      </w:pPr>
    </w:p>
    <w:p>
      <w:pPr>
        <w:pStyle w:val="BodyText"/>
        <w:ind w:left="1072" w:right="703"/>
      </w:pPr>
      <w:r>
        <w:rPr/>
        <w:t>The following persons were responsible persons and executive offices of the Western Sydney University Enterprises Pty Limited during the financial year.</w:t>
      </w:r>
    </w:p>
    <w:p>
      <w:pPr>
        <w:pStyle w:val="BodyText"/>
      </w:pPr>
    </w:p>
    <w:p>
      <w:pPr>
        <w:pStyle w:val="BodyText"/>
        <w:spacing w:line="607" w:lineRule="auto" w:before="132"/>
        <w:ind w:left="1072" w:right="4255"/>
      </w:pPr>
      <w:r>
        <w:rPr/>
        <w:t>Mr Andrew Dawkins - CEO (Resigned 3 November 2017) Mr Alan Moran - Acting CEO (Appointed 6 November 2017)</w:t>
      </w:r>
    </w:p>
    <w:p>
      <w:pPr>
        <w:pStyle w:val="Heading9"/>
        <w:numPr>
          <w:ilvl w:val="0"/>
          <w:numId w:val="56"/>
        </w:numPr>
        <w:tabs>
          <w:tab w:pos="1072" w:val="left" w:leader="none"/>
        </w:tabs>
        <w:spacing w:line="240" w:lineRule="auto" w:before="26" w:after="0"/>
        <w:ind w:left="1071" w:right="0" w:hanging="566"/>
        <w:jc w:val="left"/>
      </w:pPr>
      <w:r>
        <w:rPr/>
        <w:t>Board of</w:t>
      </w:r>
      <w:r>
        <w:rPr>
          <w:spacing w:val="-1"/>
        </w:rPr>
        <w:t> </w:t>
      </w:r>
      <w:r>
        <w:rPr/>
        <w:t>Directors</w:t>
      </w:r>
    </w:p>
    <w:p>
      <w:pPr>
        <w:pStyle w:val="BodyText"/>
        <w:spacing w:before="4"/>
        <w:rPr>
          <w:b/>
          <w:sz w:val="25"/>
        </w:rPr>
      </w:pPr>
    </w:p>
    <w:p>
      <w:pPr>
        <w:pStyle w:val="BodyText"/>
        <w:ind w:left="1072" w:right="504"/>
      </w:pPr>
      <w:r>
        <w:rPr/>
        <w:t>The following persons were Non-Executive Directors of Western Sydney University Enterprises Pty Limited during the financial year.</w:t>
      </w:r>
    </w:p>
    <w:p>
      <w:pPr>
        <w:pStyle w:val="BodyText"/>
      </w:pPr>
    </w:p>
    <w:p>
      <w:pPr>
        <w:pStyle w:val="BodyText"/>
        <w:spacing w:line="607" w:lineRule="auto" w:before="132"/>
        <w:ind w:left="1072" w:right="6127"/>
      </w:pPr>
      <w:r>
        <w:rPr/>
        <w:t>Mr Ramy Aziz (Independent) Professor Denise Kirkpatrick (Chair) Mr Angelo Kourtis</w:t>
      </w:r>
    </w:p>
    <w:p>
      <w:pPr>
        <w:pStyle w:val="BodyText"/>
        <w:spacing w:before="8"/>
        <w:ind w:left="1072" w:right="159"/>
      </w:pPr>
      <w:r>
        <w:rPr/>
        <w:t>Professor Simon Barrie</w:t>
      </w:r>
    </w:p>
    <w:p>
      <w:pPr>
        <w:pStyle w:val="BodyText"/>
      </w:pPr>
    </w:p>
    <w:p>
      <w:pPr>
        <w:pStyle w:val="BodyText"/>
        <w:spacing w:line="607" w:lineRule="auto" w:before="109"/>
        <w:ind w:left="1072" w:right="3654"/>
      </w:pPr>
      <w:r>
        <w:rPr/>
        <w:t>Ms Caroline Hutchinson (Independent - Appointed 1 January 2017) Mr Robin Shreeve (Independent - Appointed 1 June 2017)</w:t>
      </w:r>
    </w:p>
    <w:p>
      <w:pPr>
        <w:pStyle w:val="BodyText"/>
        <w:spacing w:before="8"/>
        <w:ind w:left="1072" w:right="159"/>
      </w:pPr>
      <w:r>
        <w:rPr/>
        <w:t>Ms Le Ho (Independent - Appointed 1 October 2017)</w:t>
      </w:r>
    </w:p>
    <w:p>
      <w:pPr>
        <w:spacing w:after="0"/>
        <w:sectPr>
          <w:pgSz w:w="11910" w:h="16840"/>
          <w:pgMar w:header="1038" w:footer="507" w:top="1720" w:bottom="700" w:left="900" w:right="920"/>
        </w:sectPr>
      </w:pPr>
    </w:p>
    <w:p>
      <w:pPr>
        <w:pStyle w:val="BodyText"/>
        <w:spacing w:before="2"/>
        <w:rPr>
          <w:sz w:val="24"/>
        </w:rPr>
      </w:pPr>
    </w:p>
    <w:p>
      <w:pPr>
        <w:pStyle w:val="Heading3"/>
      </w:pPr>
      <w:r>
        <w:rPr/>
        <w:t>Notes to the Financial Statements</w:t>
      </w:r>
    </w:p>
    <w:p>
      <w:pPr>
        <w:pStyle w:val="Heading6"/>
        <w:ind w:left="107" w:right="161"/>
      </w:pPr>
      <w:r>
        <w:rPr/>
        <w:t>For the Year Ended 31 December 2017</w:t>
      </w:r>
    </w:p>
    <w:p>
      <w:pPr>
        <w:pStyle w:val="BodyText"/>
        <w:rPr>
          <w:b/>
          <w:sz w:val="22"/>
        </w:rPr>
      </w:pPr>
    </w:p>
    <w:p>
      <w:pPr>
        <w:pStyle w:val="BodyText"/>
        <w:rPr>
          <w:b/>
          <w:sz w:val="22"/>
        </w:rPr>
      </w:pPr>
    </w:p>
    <w:p>
      <w:pPr>
        <w:pStyle w:val="Heading9"/>
        <w:numPr>
          <w:ilvl w:val="0"/>
          <w:numId w:val="57"/>
        </w:numPr>
        <w:tabs>
          <w:tab w:pos="506" w:val="left" w:leader="none"/>
        </w:tabs>
        <w:spacing w:line="240" w:lineRule="auto" w:before="160" w:after="0"/>
        <w:ind w:left="505" w:right="0" w:hanging="396"/>
        <w:jc w:val="left"/>
      </w:pPr>
      <w:r>
        <w:rPr/>
        <w:t>Key management personnel disclosures</w:t>
      </w:r>
      <w:r>
        <w:rPr>
          <w:spacing w:val="-2"/>
        </w:rPr>
        <w:t> </w:t>
      </w:r>
      <w:r>
        <w:rPr/>
        <w:t>continued</w:t>
      </w:r>
    </w:p>
    <w:p>
      <w:pPr>
        <w:pStyle w:val="BodyText"/>
        <w:spacing w:before="11"/>
        <w:rPr>
          <w:b/>
          <w:sz w:val="19"/>
        </w:rPr>
      </w:pPr>
    </w:p>
    <w:p>
      <w:pPr>
        <w:spacing w:after="0"/>
        <w:rPr>
          <w:sz w:val="19"/>
        </w:rPr>
        <w:sectPr>
          <w:pgSz w:w="11910" w:h="16840"/>
          <w:pgMar w:header="1038" w:footer="507" w:top="1720" w:bottom="700" w:left="900" w:right="860"/>
        </w:sectPr>
      </w:pPr>
    </w:p>
    <w:p>
      <w:pPr>
        <w:pStyle w:val="ListParagraph"/>
        <w:numPr>
          <w:ilvl w:val="0"/>
          <w:numId w:val="56"/>
        </w:numPr>
        <w:tabs>
          <w:tab w:pos="1072" w:val="left" w:leader="none"/>
        </w:tabs>
        <w:spacing w:line="240" w:lineRule="auto" w:before="77" w:after="0"/>
        <w:ind w:left="1071" w:right="0" w:hanging="566"/>
        <w:jc w:val="left"/>
        <w:rPr>
          <w:b/>
          <w:sz w:val="18"/>
        </w:rPr>
      </w:pPr>
      <w:r>
        <w:rPr>
          <w:b/>
          <w:sz w:val="18"/>
        </w:rPr>
        <w:t>Remuneration of Board Members and</w:t>
      </w:r>
      <w:r>
        <w:rPr>
          <w:b/>
          <w:spacing w:val="-1"/>
          <w:sz w:val="18"/>
        </w:rPr>
        <w:t> </w:t>
      </w:r>
      <w:r>
        <w:rPr>
          <w:b/>
          <w:sz w:val="18"/>
        </w:rPr>
        <w:t>Executives</w:t>
      </w:r>
    </w:p>
    <w:p>
      <w:pPr>
        <w:pStyle w:val="BodyText"/>
        <w:rPr>
          <w:b/>
        </w:rPr>
      </w:pPr>
    </w:p>
    <w:p>
      <w:pPr>
        <w:pStyle w:val="BodyText"/>
        <w:rPr>
          <w:b/>
        </w:rPr>
      </w:pPr>
    </w:p>
    <w:p>
      <w:pPr>
        <w:pStyle w:val="BodyText"/>
        <w:spacing w:before="8"/>
        <w:rPr>
          <w:b/>
          <w:sz w:val="21"/>
        </w:rPr>
      </w:pPr>
    </w:p>
    <w:p>
      <w:pPr>
        <w:spacing w:before="1"/>
        <w:ind w:left="1100" w:right="0" w:firstLine="0"/>
        <w:jc w:val="left"/>
        <w:rPr>
          <w:b/>
          <w:sz w:val="18"/>
        </w:rPr>
      </w:pPr>
      <w:r>
        <w:rPr>
          <w:b/>
          <w:sz w:val="18"/>
        </w:rPr>
        <w:t>Remuneration of board members</w:t>
      </w:r>
    </w:p>
    <w:p>
      <w:pPr>
        <w:pStyle w:val="BodyText"/>
        <w:rPr>
          <w:b/>
        </w:rPr>
      </w:pPr>
      <w:r>
        <w:rPr/>
        <w:br w:type="column"/>
      </w:r>
      <w:r>
        <w:rPr>
          <w:b/>
        </w:rPr>
      </w:r>
    </w:p>
    <w:p>
      <w:pPr>
        <w:spacing w:before="115"/>
        <w:ind w:left="506" w:right="0" w:firstLine="0"/>
        <w:jc w:val="center"/>
        <w:rPr>
          <w:b/>
          <w:sz w:val="18"/>
        </w:rPr>
      </w:pPr>
      <w:r>
        <w:rPr>
          <w:b/>
          <w:sz w:val="18"/>
        </w:rPr>
        <w:t>2017</w:t>
      </w:r>
    </w:p>
    <w:p>
      <w:pPr>
        <w:spacing w:before="66"/>
        <w:ind w:left="505" w:right="0" w:firstLine="0"/>
        <w:jc w:val="center"/>
        <w:rPr>
          <w:b/>
          <w:sz w:val="18"/>
        </w:rPr>
      </w:pPr>
      <w:r>
        <w:rPr>
          <w:b/>
          <w:sz w:val="18"/>
        </w:rPr>
        <w:t>Number</w:t>
      </w:r>
    </w:p>
    <w:p>
      <w:pPr>
        <w:pStyle w:val="BodyText"/>
        <w:rPr>
          <w:b/>
        </w:rPr>
      </w:pPr>
      <w:r>
        <w:rPr/>
        <w:br w:type="column"/>
      </w:r>
      <w:r>
        <w:rPr>
          <w:b/>
        </w:rPr>
      </w:r>
    </w:p>
    <w:p>
      <w:pPr>
        <w:spacing w:before="115"/>
        <w:ind w:left="487" w:right="421" w:firstLine="0"/>
        <w:jc w:val="center"/>
        <w:rPr>
          <w:b/>
          <w:sz w:val="18"/>
        </w:rPr>
      </w:pPr>
      <w:r>
        <w:rPr>
          <w:b/>
          <w:sz w:val="18"/>
        </w:rPr>
        <w:t>2016</w:t>
      </w:r>
    </w:p>
    <w:p>
      <w:pPr>
        <w:spacing w:before="66"/>
        <w:ind w:left="487" w:right="423" w:firstLine="0"/>
        <w:jc w:val="center"/>
        <w:rPr>
          <w:b/>
          <w:sz w:val="18"/>
        </w:rPr>
      </w:pPr>
      <w:r>
        <w:rPr>
          <w:b/>
          <w:sz w:val="18"/>
        </w:rPr>
        <w:t>Number</w:t>
      </w:r>
    </w:p>
    <w:p>
      <w:pPr>
        <w:spacing w:after="0"/>
        <w:jc w:val="center"/>
        <w:rPr>
          <w:sz w:val="18"/>
        </w:rPr>
        <w:sectPr>
          <w:type w:val="continuous"/>
          <w:pgSz w:w="11910" w:h="16840"/>
          <w:pgMar w:top="1580" w:bottom="280" w:left="900" w:right="860"/>
          <w:cols w:num="3" w:equalWidth="0">
            <w:col w:w="5273" w:space="1963"/>
            <w:col w:w="1186" w:space="97"/>
            <w:col w:w="1631"/>
          </w:cols>
        </w:sectPr>
      </w:pPr>
    </w:p>
    <w:p>
      <w:pPr>
        <w:pStyle w:val="BodyText"/>
        <w:tabs>
          <w:tab w:pos="8541" w:val="left" w:leader="none"/>
          <w:tab w:pos="9938" w:val="right" w:leader="none"/>
        </w:tabs>
        <w:spacing w:before="29"/>
        <w:ind w:left="1100"/>
      </w:pPr>
      <w:r>
        <w:rPr/>
        <w:pict>
          <v:group style="position:absolute;margin-left:416.529999pt;margin-top:13.085191pt;width:129.85pt;height:1pt;mso-position-horizontal-relative:page;mso-position-vertical-relative:paragraph;z-index:2968" coordorigin="8331,262" coordsize="2597,20">
            <v:line style="position:absolute" from="8332,263" to="9629,263" stroked="true" strokeweight=".06pt" strokecolor="#000000"/>
            <v:line style="position:absolute" from="8332,264" to="9629,264" stroked="true" strokeweight=".06pt" strokecolor="#000000"/>
            <v:line style="position:absolute" from="8332,265" to="9629,265" stroked="true" strokeweight=".06pt" strokecolor="#000000"/>
            <v:line style="position:absolute" from="8332,266" to="9629,266" stroked="true" strokeweight=".06pt" strokecolor="#000000"/>
            <v:line style="position:absolute" from="8332,268" to="9629,268" stroked="true" strokeweight=".06pt" strokecolor="#000000"/>
            <v:line style="position:absolute" from="8332,269" to="9629,269" stroked="true" strokeweight=".06pt" strokecolor="#000000"/>
            <v:line style="position:absolute" from="8332,270" to="9629,270" stroked="true" strokeweight=".06pt" strokecolor="#000000"/>
            <v:line style="position:absolute" from="8332,271" to="9629,271" stroked="true" strokeweight=".06pt" strokecolor="#000000"/>
            <v:line style="position:absolute" from="8332,272" to="9629,272" stroked="true" strokeweight=".06pt" strokecolor="#000000"/>
            <v:line style="position:absolute" from="8332,274" to="9629,274" stroked="true" strokeweight=".06pt" strokecolor="#000000"/>
            <v:line style="position:absolute" from="8332,275" to="9629,275" stroked="true" strokeweight=".06pt" strokecolor="#000000"/>
            <v:line style="position:absolute" from="8332,276" to="9629,276" stroked="true" strokeweight=".06pt" strokecolor="#000000"/>
            <v:line style="position:absolute" from="8332,277" to="9629,277" stroked="true" strokeweight=".06pt" strokecolor="#000000"/>
            <v:line style="position:absolute" from="8332,278" to="9629,278" stroked="true" strokeweight=".06pt" strokecolor="#000000"/>
            <v:line style="position:absolute" from="8332,280" to="9629,280" stroked="true" strokeweight=".06pt" strokecolor="#000000"/>
            <v:line style="position:absolute" from="8332,281" to="9629,281" stroked="true" strokeweight=".06pt" strokecolor="#000000"/>
            <v:line style="position:absolute" from="9629,263" to="10926,263" stroked="true" strokeweight=".06pt" strokecolor="#000000"/>
            <v:line style="position:absolute" from="9629,264" to="10926,264" stroked="true" strokeweight=".06pt" strokecolor="#000000"/>
            <v:line style="position:absolute" from="9629,265" to="10926,265" stroked="true" strokeweight=".06pt" strokecolor="#000000"/>
            <v:line style="position:absolute" from="9629,266" to="10926,266" stroked="true" strokeweight=".06pt" strokecolor="#000000"/>
            <v:line style="position:absolute" from="9629,268" to="10926,268" stroked="true" strokeweight=".06pt" strokecolor="#000000"/>
            <v:line style="position:absolute" from="9629,269" to="10926,269" stroked="true" strokeweight=".06pt" strokecolor="#000000"/>
            <v:line style="position:absolute" from="9629,270" to="10926,270" stroked="true" strokeweight=".06pt" strokecolor="#000000"/>
            <v:line style="position:absolute" from="9629,271" to="10926,271" stroked="true" strokeweight=".06pt" strokecolor="#000000"/>
            <v:line style="position:absolute" from="9629,272" to="10926,272" stroked="true" strokeweight=".06pt" strokecolor="#000000"/>
            <v:line style="position:absolute" from="9629,274" to="10926,274" stroked="true" strokeweight=".06pt" strokecolor="#000000"/>
            <v:line style="position:absolute" from="9629,275" to="10926,275" stroked="true" strokeweight=".06pt" strokecolor="#000000"/>
            <v:line style="position:absolute" from="9629,276" to="10926,276" stroked="true" strokeweight=".06pt" strokecolor="#000000"/>
            <v:line style="position:absolute" from="9629,277" to="10926,277" stroked="true" strokeweight=".06pt" strokecolor="#000000"/>
            <v:line style="position:absolute" from="9629,278" to="10926,278" stroked="true" strokeweight=".06pt" strokecolor="#000000"/>
            <v:line style="position:absolute" from="9629,280" to="10926,280" stroked="true" strokeweight=".06pt" strokecolor="#000000"/>
            <v:line style="position:absolute" from="9629,281" to="10926,281" stroked="true" strokeweight=".06pt" strokecolor="#000000"/>
            <w10:wrap type="none"/>
          </v:group>
        </w:pict>
      </w:r>
      <w:r>
        <w:rPr/>
        <w:t>$10,000</w:t>
      </w:r>
      <w:r>
        <w:rPr>
          <w:spacing w:val="-1"/>
        </w:rPr>
        <w:t> </w:t>
      </w:r>
      <w:r>
        <w:rPr/>
        <w:t>to</w:t>
      </w:r>
      <w:r>
        <w:rPr>
          <w:spacing w:val="-1"/>
        </w:rPr>
        <w:t> </w:t>
      </w:r>
      <w:r>
        <w:rPr/>
        <w:t>$19,999</w:t>
        <w:tab/>
      </w:r>
      <w:r>
        <w:rPr>
          <w:b/>
        </w:rPr>
        <w:t>3</w:t>
      </w:r>
      <w:r>
        <w:rPr>
          <w:rFonts w:ascii="Times New Roman"/>
        </w:rPr>
        <w:tab/>
      </w:r>
      <w:r>
        <w:rPr/>
        <w:t>1</w:t>
      </w:r>
    </w:p>
    <w:p>
      <w:pPr>
        <w:tabs>
          <w:tab w:pos="1297" w:val="left" w:leader="none"/>
        </w:tabs>
        <w:spacing w:before="159"/>
        <w:ind w:left="0" w:right="203" w:firstLine="0"/>
        <w:jc w:val="right"/>
        <w:rPr>
          <w:sz w:val="18"/>
        </w:rPr>
      </w:pPr>
      <w:r>
        <w:rPr/>
        <w:pict>
          <v:group style="position:absolute;margin-left:416.529999pt;margin-top:18.202211pt;width:129.85pt;height:1pt;mso-position-horizontal-relative:page;mso-position-vertical-relative:paragraph;z-index:-1181032" coordorigin="8331,364" coordsize="2597,20">
            <v:line style="position:absolute" from="8332,365" to="9629,365" stroked="true" strokeweight=".06pt" strokecolor="#000000"/>
            <v:line style="position:absolute" from="8332,366" to="9629,366" stroked="true" strokeweight=".06pt" strokecolor="#000000"/>
            <v:line style="position:absolute" from="8332,367" to="9629,367" stroked="true" strokeweight=".06pt" strokecolor="#000000"/>
            <v:line style="position:absolute" from="8332,369" to="9629,369" stroked="true" strokeweight=".06pt" strokecolor="#000000"/>
            <v:line style="position:absolute" from="8332,370" to="9629,370" stroked="true" strokeweight=".06pt" strokecolor="#000000"/>
            <v:line style="position:absolute" from="8332,371" to="9629,371" stroked="true" strokeweight=".06pt" strokecolor="#000000"/>
            <v:line style="position:absolute" from="8332,372" to="9629,372" stroked="true" strokeweight=".06pt" strokecolor="#000000"/>
            <v:line style="position:absolute" from="8332,373" to="9629,373" stroked="true" strokeweight=".06pt" strokecolor="#000000"/>
            <v:line style="position:absolute" from="8332,375" to="9629,375" stroked="true" strokeweight=".06pt" strokecolor="#000000"/>
            <v:line style="position:absolute" from="8332,376" to="9629,376" stroked="true" strokeweight=".06pt" strokecolor="#000000"/>
            <v:line style="position:absolute" from="8332,377" to="9629,377" stroked="true" strokeweight=".06pt" strokecolor="#000000"/>
            <v:line style="position:absolute" from="8332,378" to="9629,378" stroked="true" strokeweight=".06pt" strokecolor="#000000"/>
            <v:line style="position:absolute" from="8332,379" to="9629,379" stroked="true" strokeweight=".06pt" strokecolor="#000000"/>
            <v:line style="position:absolute" from="8332,381" to="9629,381" stroked="true" strokeweight=".06pt" strokecolor="#000000"/>
            <v:line style="position:absolute" from="8332,382" to="9629,382" stroked="true" strokeweight=".06pt" strokecolor="#000000"/>
            <v:line style="position:absolute" from="8332,383" to="9629,383" stroked="true" strokeweight=".06pt" strokecolor="#000000"/>
            <v:line style="position:absolute" from="9629,365" to="10926,365" stroked="true" strokeweight=".06pt" strokecolor="#000000"/>
            <v:line style="position:absolute" from="9629,366" to="10926,366" stroked="true" strokeweight=".06pt" strokecolor="#000000"/>
            <v:line style="position:absolute" from="9629,367" to="10926,367" stroked="true" strokeweight=".06pt" strokecolor="#000000"/>
            <v:line style="position:absolute" from="9629,369" to="10926,369" stroked="true" strokeweight=".06pt" strokecolor="#000000"/>
            <v:line style="position:absolute" from="9629,370" to="10926,370" stroked="true" strokeweight=".06pt" strokecolor="#000000"/>
            <v:line style="position:absolute" from="9629,371" to="10926,371" stroked="true" strokeweight=".06pt" strokecolor="#000000"/>
            <v:line style="position:absolute" from="9629,372" to="10926,372" stroked="true" strokeweight=".06pt" strokecolor="#000000"/>
            <v:line style="position:absolute" from="9629,373" to="10926,373" stroked="true" strokeweight=".06pt" strokecolor="#000000"/>
            <v:line style="position:absolute" from="9629,375" to="10926,375" stroked="true" strokeweight=".06pt" strokecolor="#000000"/>
            <v:line style="position:absolute" from="9629,376" to="10926,376" stroked="true" strokeweight=".06pt" strokecolor="#000000"/>
            <v:line style="position:absolute" from="9629,377" to="10926,377" stroked="true" strokeweight=".06pt" strokecolor="#000000"/>
            <v:line style="position:absolute" from="9629,378" to="10926,378" stroked="true" strokeweight=".06pt" strokecolor="#000000"/>
            <v:line style="position:absolute" from="9629,379" to="10926,379" stroked="true" strokeweight=".06pt" strokecolor="#000000"/>
            <v:line style="position:absolute" from="9629,381" to="10926,381" stroked="true" strokeweight=".06pt" strokecolor="#000000"/>
            <v:line style="position:absolute" from="9629,382" to="10926,382" stroked="true" strokeweight=".06pt" strokecolor="#000000"/>
            <v:line style="position:absolute" from="9629,383" to="10926,383" stroked="true" strokeweight=".06pt" strokecolor="#000000"/>
            <w10:wrap type="none"/>
          </v:group>
        </w:pict>
      </w:r>
      <w:r>
        <w:rPr>
          <w:b/>
          <w:sz w:val="18"/>
        </w:rPr>
        <w:t>3</w:t>
        <w:tab/>
      </w:r>
      <w:r>
        <w:rPr>
          <w:spacing w:val="-1"/>
          <w:sz w:val="18"/>
        </w:rPr>
        <w:t>1</w:t>
      </w:r>
    </w:p>
    <w:p>
      <w:pPr>
        <w:pStyle w:val="Heading9"/>
        <w:spacing w:before="405"/>
        <w:ind w:left="1100" w:right="161"/>
      </w:pPr>
      <w:r>
        <w:rPr/>
        <w:t>Remuneration of executive officers*</w:t>
      </w:r>
    </w:p>
    <w:p>
      <w:pPr>
        <w:pStyle w:val="BodyText"/>
        <w:tabs>
          <w:tab w:pos="8050" w:val="left" w:leader="none"/>
          <w:tab w:pos="9838" w:val="left" w:leader="none"/>
        </w:tabs>
        <w:spacing w:before="29"/>
        <w:ind w:left="1100" w:right="161"/>
      </w:pPr>
      <w:r>
        <w:rPr/>
        <w:t>$250,000</w:t>
      </w:r>
      <w:r>
        <w:rPr>
          <w:spacing w:val="-1"/>
        </w:rPr>
        <w:t> </w:t>
      </w:r>
      <w:r>
        <w:rPr/>
        <w:t>to</w:t>
      </w:r>
      <w:r>
        <w:rPr>
          <w:spacing w:val="-1"/>
        </w:rPr>
        <w:t> </w:t>
      </w:r>
      <w:r>
        <w:rPr/>
        <w:t>$259,999</w:t>
        <w:tab/>
      </w:r>
      <w:r>
        <w:rPr>
          <w:b/>
        </w:rPr>
        <w:t>-</w:t>
      </w:r>
      <w:r>
        <w:rPr>
          <w:rFonts w:ascii="Times New Roman"/>
        </w:rPr>
        <w:tab/>
      </w:r>
      <w:r>
        <w:rPr/>
        <w:t>1</w:t>
      </w:r>
    </w:p>
    <w:p>
      <w:pPr>
        <w:pStyle w:val="BodyText"/>
        <w:tabs>
          <w:tab w:pos="8050" w:val="left" w:leader="none"/>
          <w:tab w:pos="9838" w:val="left" w:leader="none"/>
        </w:tabs>
        <w:spacing w:before="57"/>
        <w:ind w:left="1100" w:right="161"/>
      </w:pPr>
      <w:r>
        <w:rPr/>
        <w:t>$270,000</w:t>
      </w:r>
      <w:r>
        <w:rPr>
          <w:spacing w:val="-1"/>
        </w:rPr>
        <w:t> </w:t>
      </w:r>
      <w:r>
        <w:rPr/>
        <w:t>-</w:t>
      </w:r>
      <w:r>
        <w:rPr>
          <w:spacing w:val="-1"/>
        </w:rPr>
        <w:t> </w:t>
      </w:r>
      <w:r>
        <w:rPr/>
        <w:t>$279,999</w:t>
        <w:tab/>
      </w:r>
      <w:r>
        <w:rPr>
          <w:b/>
        </w:rPr>
        <w:t>-</w:t>
        <w:tab/>
      </w:r>
      <w:r>
        <w:rPr/>
        <w:t>1</w:t>
      </w:r>
    </w:p>
    <w:p>
      <w:pPr>
        <w:pStyle w:val="BodyText"/>
        <w:tabs>
          <w:tab w:pos="8541" w:val="left" w:leader="none"/>
          <w:tab w:pos="9333" w:val="left" w:leader="none"/>
        </w:tabs>
        <w:spacing w:before="57"/>
        <w:ind w:left="1100" w:right="161"/>
      </w:pPr>
      <w:r>
        <w:rPr/>
        <w:t>$290,000</w:t>
      </w:r>
      <w:r>
        <w:rPr>
          <w:spacing w:val="-1"/>
        </w:rPr>
        <w:t> </w:t>
      </w:r>
      <w:r>
        <w:rPr/>
        <w:t>-</w:t>
      </w:r>
      <w:r>
        <w:rPr>
          <w:spacing w:val="-1"/>
        </w:rPr>
        <w:t> </w:t>
      </w:r>
      <w:r>
        <w:rPr/>
        <w:t>$299,999</w:t>
        <w:tab/>
      </w:r>
      <w:r>
        <w:rPr>
          <w:b/>
        </w:rPr>
        <w:t>1</w:t>
        <w:tab/>
      </w:r>
      <w:r>
        <w:rPr/>
        <w:t>-</w:t>
      </w:r>
    </w:p>
    <w:p>
      <w:pPr>
        <w:pStyle w:val="BodyText"/>
        <w:tabs>
          <w:tab w:pos="8541" w:val="left" w:leader="none"/>
          <w:tab w:pos="9838" w:val="left" w:leader="none"/>
        </w:tabs>
        <w:spacing w:before="57"/>
        <w:ind w:left="1100" w:right="161"/>
      </w:pPr>
      <w:r>
        <w:rPr/>
        <w:pict>
          <v:group style="position:absolute;margin-left:416.529999pt;margin-top:14.503188pt;width:129.85pt;height:1pt;mso-position-horizontal-relative:page;mso-position-vertical-relative:paragraph;z-index:2920;mso-wrap-distance-left:0;mso-wrap-distance-right:0" coordorigin="8331,290" coordsize="2597,20">
            <v:line style="position:absolute" from="8332,291" to="9629,291" stroked="true" strokeweight=".06pt" strokecolor="#000000"/>
            <v:line style="position:absolute" from="8332,292" to="9629,292" stroked="true" strokeweight=".06pt" strokecolor="#000000"/>
            <v:line style="position:absolute" from="8332,293" to="9629,293" stroked="true" strokeweight=".06pt" strokecolor="#000000"/>
            <v:line style="position:absolute" from="8332,295" to="9629,295" stroked="true" strokeweight=".06pt" strokecolor="#000000"/>
            <v:line style="position:absolute" from="8332,296" to="9629,296" stroked="true" strokeweight=".06pt" strokecolor="#000000"/>
            <v:line style="position:absolute" from="8332,297" to="9629,297" stroked="true" strokeweight=".06pt" strokecolor="#000000"/>
            <v:line style="position:absolute" from="8332,298" to="9629,298" stroked="true" strokeweight=".06pt" strokecolor="#000000"/>
            <v:line style="position:absolute" from="8332,299" to="9629,299" stroked="true" strokeweight=".06pt" strokecolor="#000000"/>
            <v:line style="position:absolute" from="8332,301" to="9629,301" stroked="true" strokeweight=".06pt" strokecolor="#000000"/>
            <v:line style="position:absolute" from="8332,302" to="9629,302" stroked="true" strokeweight=".06pt" strokecolor="#000000"/>
            <v:line style="position:absolute" from="8332,303" to="9629,303" stroked="true" strokeweight=".06pt" strokecolor="#000000"/>
            <v:line style="position:absolute" from="8332,304" to="9629,304" stroked="true" strokeweight=".06pt" strokecolor="#000000"/>
            <v:line style="position:absolute" from="8332,305" to="9629,305" stroked="true" strokeweight=".06pt" strokecolor="#000000"/>
            <v:line style="position:absolute" from="8332,307" to="9629,307" stroked="true" strokeweight=".06pt" strokecolor="#000000"/>
            <v:line style="position:absolute" from="8332,308" to="9629,308" stroked="true" strokeweight=".06pt" strokecolor="#000000"/>
            <v:line style="position:absolute" from="8332,309" to="9629,309" stroked="true" strokeweight=".06pt" strokecolor="#000000"/>
            <v:line style="position:absolute" from="9629,291" to="10926,291" stroked="true" strokeweight=".06pt" strokecolor="#000000"/>
            <v:line style="position:absolute" from="9629,292" to="10926,292" stroked="true" strokeweight=".06pt" strokecolor="#000000"/>
            <v:line style="position:absolute" from="9629,293" to="10926,293" stroked="true" strokeweight=".06pt" strokecolor="#000000"/>
            <v:line style="position:absolute" from="9629,295" to="10926,295" stroked="true" strokeweight=".06pt" strokecolor="#000000"/>
            <v:line style="position:absolute" from="9629,296" to="10926,296" stroked="true" strokeweight=".06pt" strokecolor="#000000"/>
            <v:line style="position:absolute" from="9629,297" to="10926,297" stroked="true" strokeweight=".06pt" strokecolor="#000000"/>
            <v:line style="position:absolute" from="9629,298" to="10926,298" stroked="true" strokeweight=".06pt" strokecolor="#000000"/>
            <v:line style="position:absolute" from="9629,299" to="10926,299" stroked="true" strokeweight=".06pt" strokecolor="#000000"/>
            <v:line style="position:absolute" from="9629,301" to="10926,301" stroked="true" strokeweight=".06pt" strokecolor="#000000"/>
            <v:line style="position:absolute" from="9629,302" to="10926,302" stroked="true" strokeweight=".06pt" strokecolor="#000000"/>
            <v:line style="position:absolute" from="9629,303" to="10926,303" stroked="true" strokeweight=".06pt" strokecolor="#000000"/>
            <v:line style="position:absolute" from="9629,304" to="10926,304" stroked="true" strokeweight=".06pt" strokecolor="#000000"/>
            <v:line style="position:absolute" from="9629,305" to="10926,305" stroked="true" strokeweight=".06pt" strokecolor="#000000"/>
            <v:line style="position:absolute" from="9629,307" to="10926,307" stroked="true" strokeweight=".06pt" strokecolor="#000000"/>
            <v:line style="position:absolute" from="9629,308" to="10926,308" stroked="true" strokeweight=".06pt" strokecolor="#000000"/>
            <v:line style="position:absolute" from="9629,309" to="10926,309" stroked="true" strokeweight=".06pt" strokecolor="#000000"/>
            <w10:wrap type="topAndBottom"/>
          </v:group>
        </w:pict>
      </w:r>
      <w:r>
        <w:rPr/>
        <w:t>$300,000</w:t>
      </w:r>
      <w:r>
        <w:rPr>
          <w:spacing w:val="-1"/>
        </w:rPr>
        <w:t> </w:t>
      </w:r>
      <w:r>
        <w:rPr/>
        <w:t>-</w:t>
      </w:r>
      <w:r>
        <w:rPr>
          <w:spacing w:val="-1"/>
        </w:rPr>
        <w:t> </w:t>
      </w:r>
      <w:r>
        <w:rPr/>
        <w:t>$309,999</w:t>
        <w:tab/>
      </w:r>
      <w:r>
        <w:rPr>
          <w:b/>
        </w:rPr>
        <w:t>1</w:t>
        <w:tab/>
      </w:r>
      <w:r>
        <w:rPr/>
        <w:t>1</w:t>
      </w:r>
    </w:p>
    <w:p>
      <w:pPr>
        <w:tabs>
          <w:tab w:pos="1297" w:val="left" w:leader="none"/>
        </w:tabs>
        <w:spacing w:before="84"/>
        <w:ind w:left="0" w:right="203" w:firstLine="0"/>
        <w:jc w:val="right"/>
        <w:rPr>
          <w:sz w:val="18"/>
        </w:rPr>
      </w:pPr>
      <w:r>
        <w:rPr>
          <w:b/>
          <w:sz w:val="18"/>
        </w:rPr>
        <w:t>2</w:t>
        <w:tab/>
      </w:r>
      <w:r>
        <w:rPr>
          <w:spacing w:val="-1"/>
          <w:sz w:val="18"/>
        </w:rPr>
        <w:t>3</w:t>
      </w:r>
    </w:p>
    <w:p>
      <w:pPr>
        <w:pStyle w:val="BodyText"/>
        <w:spacing w:line="20" w:lineRule="exact"/>
        <w:ind w:left="7430"/>
        <w:rPr>
          <w:sz w:val="2"/>
        </w:rPr>
      </w:pPr>
      <w:r>
        <w:rPr>
          <w:sz w:val="2"/>
        </w:rPr>
        <w:pict>
          <v:group style="width:129.85pt;height:1pt;mso-position-horizontal-relative:char;mso-position-vertical-relative:line" coordorigin="0,0" coordsize="2597,2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group>
        </w:pict>
      </w:r>
      <w:r>
        <w:rPr>
          <w:sz w:val="2"/>
        </w:rPr>
      </w:r>
    </w:p>
    <w:p>
      <w:pPr>
        <w:pStyle w:val="BodyText"/>
        <w:spacing w:before="2"/>
      </w:pPr>
    </w:p>
    <w:p>
      <w:pPr>
        <w:pStyle w:val="BodyText"/>
        <w:spacing w:before="77"/>
        <w:ind w:left="1072" w:right="312"/>
      </w:pPr>
      <w:r>
        <w:rPr/>
        <w:t>*Remuneration is reflected of an annualised total remuneration package for those key management personnel who were members of the Executive for a part of any year.</w:t>
      </w:r>
    </w:p>
    <w:p>
      <w:pPr>
        <w:pStyle w:val="BodyText"/>
        <w:spacing w:before="7"/>
        <w:rPr>
          <w:sz w:val="26"/>
        </w:rPr>
      </w:pPr>
    </w:p>
    <w:p>
      <w:pPr>
        <w:pStyle w:val="Heading9"/>
        <w:numPr>
          <w:ilvl w:val="0"/>
          <w:numId w:val="56"/>
        </w:numPr>
        <w:tabs>
          <w:tab w:pos="1072" w:val="left" w:leader="none"/>
        </w:tabs>
        <w:spacing w:line="240" w:lineRule="auto" w:before="0" w:after="0"/>
        <w:ind w:left="1071" w:right="0" w:hanging="566"/>
        <w:jc w:val="left"/>
      </w:pPr>
      <w:r>
        <w:rPr/>
        <w:t>Key management personnel</w:t>
      </w:r>
      <w:r>
        <w:rPr>
          <w:spacing w:val="-1"/>
        </w:rPr>
        <w:t> </w:t>
      </w:r>
      <w:r>
        <w:rPr/>
        <w:t>compensation</w:t>
      </w:r>
    </w:p>
    <w:p>
      <w:pPr>
        <w:pStyle w:val="BodyText"/>
        <w:spacing w:before="4"/>
        <w:rPr>
          <w:b/>
          <w:sz w:val="25"/>
        </w:rPr>
      </w:pPr>
    </w:p>
    <w:p>
      <w:pPr>
        <w:pStyle w:val="BodyText"/>
        <w:ind w:left="1072" w:right="583"/>
      </w:pPr>
      <w:r>
        <w:rPr/>
        <w:t>Total remuneration to independent Board members and Executives of the Company during the year are as follows:</w:t>
      </w:r>
    </w:p>
    <w:p>
      <w:pPr>
        <w:pStyle w:val="BodyText"/>
        <w:spacing w:before="1" w:after="1"/>
        <w:rPr>
          <w:sz w:val="10"/>
        </w:rPr>
      </w:pPr>
    </w:p>
    <w:tbl>
      <w:tblPr>
        <w:tblW w:w="0" w:type="auto"/>
        <w:jc w:val="left"/>
        <w:tblInd w:w="106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66"/>
        <w:gridCol w:w="1472"/>
        <w:gridCol w:w="1122"/>
      </w:tblGrid>
      <w:tr>
        <w:trPr>
          <w:trHeight w:val="613" w:hRule="exact"/>
        </w:trPr>
        <w:tc>
          <w:tcPr>
            <w:tcW w:w="6366" w:type="dxa"/>
          </w:tcPr>
          <w:p>
            <w:pPr/>
          </w:p>
        </w:tc>
        <w:tc>
          <w:tcPr>
            <w:tcW w:w="1472" w:type="dxa"/>
          </w:tcPr>
          <w:p>
            <w:pPr>
              <w:pStyle w:val="TableParagraph"/>
              <w:spacing w:before="77"/>
              <w:ind w:left="430" w:right="601"/>
              <w:jc w:val="center"/>
              <w:rPr>
                <w:b/>
                <w:sz w:val="18"/>
              </w:rPr>
            </w:pPr>
            <w:r>
              <w:rPr>
                <w:b/>
                <w:sz w:val="18"/>
              </w:rPr>
              <w:t>2017</w:t>
            </w:r>
          </w:p>
          <w:p>
            <w:pPr>
              <w:pStyle w:val="TableParagraph"/>
              <w:spacing w:before="66"/>
              <w:ind w:right="170"/>
              <w:jc w:val="center"/>
              <w:rPr>
                <w:b/>
                <w:sz w:val="18"/>
              </w:rPr>
            </w:pPr>
            <w:r>
              <w:rPr>
                <w:b/>
                <w:w w:val="99"/>
                <w:sz w:val="18"/>
              </w:rPr>
              <w:t>$</w:t>
            </w:r>
          </w:p>
        </w:tc>
        <w:tc>
          <w:tcPr>
            <w:tcW w:w="1122" w:type="dxa"/>
          </w:tcPr>
          <w:p>
            <w:pPr>
              <w:pStyle w:val="TableParagraph"/>
              <w:spacing w:before="77"/>
              <w:ind w:left="241" w:right="440"/>
              <w:jc w:val="center"/>
              <w:rPr>
                <w:b/>
                <w:sz w:val="18"/>
              </w:rPr>
            </w:pPr>
            <w:r>
              <w:rPr>
                <w:b/>
                <w:sz w:val="18"/>
              </w:rPr>
              <w:t>2016</w:t>
            </w:r>
          </w:p>
          <w:p>
            <w:pPr>
              <w:pStyle w:val="TableParagraph"/>
              <w:spacing w:before="66"/>
              <w:ind w:right="199"/>
              <w:jc w:val="center"/>
              <w:rPr>
                <w:b/>
                <w:sz w:val="18"/>
              </w:rPr>
            </w:pPr>
            <w:r>
              <w:rPr>
                <w:b/>
                <w:w w:val="99"/>
                <w:sz w:val="18"/>
              </w:rPr>
              <w:t>$</w:t>
            </w:r>
          </w:p>
        </w:tc>
      </w:tr>
      <w:tr>
        <w:trPr>
          <w:trHeight w:val="282" w:hRule="exact"/>
        </w:trPr>
        <w:tc>
          <w:tcPr>
            <w:tcW w:w="6366" w:type="dxa"/>
          </w:tcPr>
          <w:p>
            <w:pPr>
              <w:pStyle w:val="TableParagraph"/>
              <w:spacing w:before="37"/>
              <w:ind w:left="35"/>
              <w:rPr>
                <w:sz w:val="18"/>
              </w:rPr>
            </w:pPr>
            <w:r>
              <w:rPr>
                <w:sz w:val="18"/>
              </w:rPr>
              <w:t>Short-term employee benefits</w:t>
            </w:r>
          </w:p>
        </w:tc>
        <w:tc>
          <w:tcPr>
            <w:tcW w:w="1472" w:type="dxa"/>
          </w:tcPr>
          <w:p>
            <w:pPr>
              <w:pStyle w:val="TableParagraph"/>
              <w:spacing w:before="36"/>
              <w:ind w:right="258"/>
              <w:jc w:val="right"/>
              <w:rPr>
                <w:b/>
                <w:sz w:val="18"/>
              </w:rPr>
            </w:pPr>
            <w:r>
              <w:rPr>
                <w:b/>
                <w:w w:val="95"/>
                <w:sz w:val="18"/>
              </w:rPr>
              <w:t>302,679</w:t>
            </w:r>
          </w:p>
        </w:tc>
        <w:tc>
          <w:tcPr>
            <w:tcW w:w="1122" w:type="dxa"/>
          </w:tcPr>
          <w:p>
            <w:pPr>
              <w:pStyle w:val="TableParagraph"/>
              <w:spacing w:before="36"/>
              <w:ind w:right="83"/>
              <w:jc w:val="right"/>
              <w:rPr>
                <w:sz w:val="18"/>
              </w:rPr>
            </w:pPr>
            <w:r>
              <w:rPr>
                <w:w w:val="95"/>
                <w:sz w:val="18"/>
              </w:rPr>
              <w:t>281,022</w:t>
            </w:r>
          </w:p>
        </w:tc>
      </w:tr>
      <w:tr>
        <w:trPr>
          <w:trHeight w:val="262" w:hRule="exact"/>
        </w:trPr>
        <w:tc>
          <w:tcPr>
            <w:tcW w:w="6366" w:type="dxa"/>
          </w:tcPr>
          <w:p>
            <w:pPr>
              <w:pStyle w:val="TableParagraph"/>
              <w:spacing w:before="19"/>
              <w:ind w:left="35"/>
              <w:rPr>
                <w:sz w:val="18"/>
              </w:rPr>
            </w:pPr>
            <w:r>
              <w:rPr>
                <w:sz w:val="18"/>
              </w:rPr>
              <w:t>Post-employment benefits</w:t>
            </w:r>
          </w:p>
        </w:tc>
        <w:tc>
          <w:tcPr>
            <w:tcW w:w="1472" w:type="dxa"/>
            <w:tcBorders>
              <w:bottom w:val="single" w:sz="0" w:space="0" w:color="000000"/>
            </w:tcBorders>
          </w:tcPr>
          <w:p>
            <w:pPr>
              <w:pStyle w:val="TableParagraph"/>
              <w:spacing w:before="18"/>
              <w:ind w:right="258"/>
              <w:jc w:val="right"/>
              <w:rPr>
                <w:b/>
                <w:sz w:val="18"/>
              </w:rPr>
            </w:pPr>
            <w:r>
              <w:rPr>
                <w:b/>
                <w:w w:val="95"/>
                <w:sz w:val="18"/>
              </w:rPr>
              <w:t>24,841</w:t>
            </w:r>
          </w:p>
        </w:tc>
        <w:tc>
          <w:tcPr>
            <w:tcW w:w="1122" w:type="dxa"/>
            <w:tcBorders>
              <w:bottom w:val="single" w:sz="0" w:space="0" w:color="000000"/>
            </w:tcBorders>
          </w:tcPr>
          <w:p>
            <w:pPr>
              <w:pStyle w:val="TableParagraph"/>
              <w:spacing w:before="18"/>
              <w:ind w:right="83"/>
              <w:jc w:val="right"/>
              <w:rPr>
                <w:sz w:val="18"/>
              </w:rPr>
            </w:pPr>
            <w:r>
              <w:rPr>
                <w:w w:val="95"/>
                <w:sz w:val="18"/>
              </w:rPr>
              <w:t>21,475</w:t>
            </w:r>
          </w:p>
        </w:tc>
      </w:tr>
      <w:tr>
        <w:trPr>
          <w:trHeight w:val="560" w:hRule="exact"/>
        </w:trPr>
        <w:tc>
          <w:tcPr>
            <w:tcW w:w="6366" w:type="dxa"/>
          </w:tcPr>
          <w:p>
            <w:pPr>
              <w:pStyle w:val="TableParagraph"/>
              <w:spacing w:before="123"/>
              <w:ind w:left="35" w:right="4180"/>
              <w:rPr>
                <w:b/>
                <w:sz w:val="18"/>
              </w:rPr>
            </w:pPr>
            <w:r>
              <w:rPr>
                <w:b/>
                <w:sz w:val="18"/>
              </w:rPr>
              <w:t>Total key management personnel compensation</w:t>
            </w:r>
          </w:p>
        </w:tc>
        <w:tc>
          <w:tcPr>
            <w:tcW w:w="1472" w:type="dxa"/>
            <w:tcBorders>
              <w:top w:val="single" w:sz="0" w:space="0" w:color="000000"/>
              <w:bottom w:val="single" w:sz="0" w:space="0" w:color="000000"/>
            </w:tcBorders>
          </w:tcPr>
          <w:p>
            <w:pPr>
              <w:pStyle w:val="TableParagraph"/>
              <w:rPr>
                <w:sz w:val="18"/>
              </w:rPr>
            </w:pPr>
          </w:p>
          <w:p>
            <w:pPr>
              <w:pStyle w:val="TableParagraph"/>
              <w:spacing w:before="122"/>
              <w:ind w:right="258"/>
              <w:jc w:val="right"/>
              <w:rPr>
                <w:b/>
                <w:sz w:val="18"/>
              </w:rPr>
            </w:pPr>
            <w:r>
              <w:rPr>
                <w:b/>
                <w:w w:val="95"/>
                <w:sz w:val="18"/>
              </w:rPr>
              <w:t>327,520</w:t>
            </w:r>
          </w:p>
        </w:tc>
        <w:tc>
          <w:tcPr>
            <w:tcW w:w="1122" w:type="dxa"/>
            <w:tcBorders>
              <w:top w:val="single" w:sz="0" w:space="0" w:color="000000"/>
              <w:bottom w:val="single" w:sz="0" w:space="0" w:color="000000"/>
            </w:tcBorders>
          </w:tcPr>
          <w:p>
            <w:pPr>
              <w:pStyle w:val="TableParagraph"/>
              <w:rPr>
                <w:sz w:val="18"/>
              </w:rPr>
            </w:pPr>
          </w:p>
          <w:p>
            <w:pPr>
              <w:pStyle w:val="TableParagraph"/>
              <w:spacing w:before="122"/>
              <w:ind w:right="83"/>
              <w:jc w:val="right"/>
              <w:rPr>
                <w:sz w:val="18"/>
              </w:rPr>
            </w:pPr>
            <w:r>
              <w:rPr>
                <w:w w:val="95"/>
                <w:sz w:val="18"/>
              </w:rPr>
              <w:t>302,497</w:t>
            </w:r>
          </w:p>
        </w:tc>
      </w:tr>
    </w:tbl>
    <w:p>
      <w:pPr>
        <w:pStyle w:val="BodyText"/>
        <w:rPr>
          <w:sz w:val="20"/>
        </w:rPr>
      </w:pPr>
    </w:p>
    <w:p>
      <w:pPr>
        <w:pStyle w:val="BodyText"/>
        <w:spacing w:before="2"/>
        <w:rPr>
          <w:sz w:val="16"/>
        </w:rPr>
      </w:pPr>
    </w:p>
    <w:p>
      <w:pPr>
        <w:pStyle w:val="Heading9"/>
        <w:spacing w:before="77"/>
        <w:ind w:left="504" w:right="161"/>
      </w:pPr>
      <w:r>
        <w:rPr/>
        <w:t>Other key management personnel transactions</w:t>
      </w:r>
    </w:p>
    <w:p>
      <w:pPr>
        <w:pStyle w:val="BodyText"/>
        <w:spacing w:before="4"/>
        <w:rPr>
          <w:b/>
          <w:sz w:val="25"/>
        </w:rPr>
      </w:pPr>
    </w:p>
    <w:p>
      <w:pPr>
        <w:pStyle w:val="BodyText"/>
        <w:ind w:left="505" w:right="161"/>
      </w:pPr>
      <w:r>
        <w:rPr/>
        <w:t>For details of other transactions with key management personnel, refer to Note 20: Related Party Transactions.</w:t>
      </w:r>
    </w:p>
    <w:p>
      <w:pPr>
        <w:spacing w:after="0"/>
        <w:sectPr>
          <w:type w:val="continuous"/>
          <w:pgSz w:w="11910" w:h="16840"/>
          <w:pgMar w:top="1580" w:bottom="280" w:left="900" w:right="860"/>
        </w:sectPr>
      </w:pPr>
    </w:p>
    <w:p>
      <w:pPr>
        <w:pStyle w:val="BodyText"/>
        <w:spacing w:before="2"/>
        <w:rPr>
          <w:sz w:val="24"/>
        </w:rPr>
      </w:pPr>
    </w:p>
    <w:p>
      <w:pPr>
        <w:pStyle w:val="Heading3"/>
      </w:pPr>
      <w:r>
        <w:rPr/>
        <w:t>Notes to the Financial Statements</w:t>
      </w:r>
    </w:p>
    <w:p>
      <w:pPr>
        <w:pStyle w:val="Heading6"/>
        <w:ind w:left="107" w:right="161"/>
      </w:pPr>
      <w:r>
        <w:rPr/>
        <w:t>For the Year Ended 31 December 2017</w:t>
      </w:r>
    </w:p>
    <w:p>
      <w:pPr>
        <w:pStyle w:val="BodyText"/>
        <w:rPr>
          <w:b/>
          <w:sz w:val="22"/>
        </w:rPr>
      </w:pPr>
    </w:p>
    <w:p>
      <w:pPr>
        <w:pStyle w:val="BodyText"/>
        <w:rPr>
          <w:b/>
          <w:sz w:val="22"/>
        </w:rPr>
      </w:pPr>
    </w:p>
    <w:p>
      <w:pPr>
        <w:pStyle w:val="Heading9"/>
        <w:numPr>
          <w:ilvl w:val="0"/>
          <w:numId w:val="57"/>
        </w:numPr>
        <w:tabs>
          <w:tab w:pos="506" w:val="left" w:leader="none"/>
        </w:tabs>
        <w:spacing w:line="240" w:lineRule="auto" w:before="160" w:after="0"/>
        <w:ind w:left="505" w:right="0" w:hanging="396"/>
        <w:jc w:val="left"/>
      </w:pPr>
      <w:r>
        <w:rPr/>
        <w:t>Related</w:t>
      </w:r>
      <w:r>
        <w:rPr>
          <w:spacing w:val="-1"/>
        </w:rPr>
        <w:t> </w:t>
      </w:r>
      <w:r>
        <w:rPr/>
        <w:t>Parties</w:t>
      </w:r>
    </w:p>
    <w:p>
      <w:pPr>
        <w:pStyle w:val="BodyText"/>
        <w:spacing w:before="7"/>
        <w:rPr>
          <w:b/>
          <w:sz w:val="26"/>
        </w:rPr>
      </w:pPr>
    </w:p>
    <w:p>
      <w:pPr>
        <w:pStyle w:val="ListParagraph"/>
        <w:numPr>
          <w:ilvl w:val="1"/>
          <w:numId w:val="57"/>
        </w:numPr>
        <w:tabs>
          <w:tab w:pos="1072" w:val="left" w:leader="none"/>
        </w:tabs>
        <w:spacing w:line="240" w:lineRule="auto" w:before="0" w:after="0"/>
        <w:ind w:left="1071" w:right="0" w:hanging="566"/>
        <w:jc w:val="left"/>
        <w:rPr>
          <w:b/>
          <w:sz w:val="18"/>
        </w:rPr>
      </w:pPr>
      <w:r>
        <w:rPr>
          <w:b/>
          <w:sz w:val="18"/>
        </w:rPr>
        <w:t>The Company's main related parties are as</w:t>
      </w:r>
      <w:r>
        <w:rPr>
          <w:b/>
          <w:spacing w:val="-1"/>
          <w:sz w:val="18"/>
        </w:rPr>
        <w:t> </w:t>
      </w:r>
      <w:r>
        <w:rPr>
          <w:b/>
          <w:sz w:val="18"/>
        </w:rPr>
        <w:t>follows:</w:t>
      </w:r>
    </w:p>
    <w:p>
      <w:pPr>
        <w:pStyle w:val="BodyText"/>
        <w:spacing w:before="4"/>
        <w:rPr>
          <w:b/>
          <w:sz w:val="25"/>
        </w:rPr>
      </w:pPr>
    </w:p>
    <w:p>
      <w:pPr>
        <w:pStyle w:val="ListParagraph"/>
        <w:numPr>
          <w:ilvl w:val="2"/>
          <w:numId w:val="57"/>
        </w:numPr>
        <w:tabs>
          <w:tab w:pos="1249" w:val="left" w:leader="none"/>
        </w:tabs>
        <w:spacing w:line="240" w:lineRule="auto" w:before="1" w:after="0"/>
        <w:ind w:left="1248" w:right="0" w:hanging="209"/>
        <w:jc w:val="left"/>
        <w:rPr>
          <w:i/>
          <w:sz w:val="18"/>
        </w:rPr>
      </w:pPr>
      <w:r>
        <w:rPr>
          <w:i/>
          <w:sz w:val="18"/>
        </w:rPr>
        <w:t>Entities exercising control over the</w:t>
      </w:r>
      <w:r>
        <w:rPr>
          <w:i/>
          <w:spacing w:val="-10"/>
          <w:sz w:val="18"/>
        </w:rPr>
        <w:t> </w:t>
      </w:r>
      <w:r>
        <w:rPr>
          <w:i/>
          <w:sz w:val="18"/>
        </w:rPr>
        <w:t>Company:</w:t>
      </w:r>
    </w:p>
    <w:p>
      <w:pPr>
        <w:pStyle w:val="BodyText"/>
        <w:rPr>
          <w:i/>
          <w:sz w:val="25"/>
        </w:rPr>
      </w:pPr>
    </w:p>
    <w:p>
      <w:pPr>
        <w:pStyle w:val="BodyText"/>
        <w:ind w:left="1072" w:right="161"/>
      </w:pPr>
      <w:r>
        <w:rPr/>
        <w:t>The parent entity, which exercises control over the Company, is Western Sydney University which wholly owns the Company.</w:t>
      </w:r>
    </w:p>
    <w:p>
      <w:pPr>
        <w:pStyle w:val="BodyText"/>
        <w:spacing w:before="11"/>
        <w:rPr>
          <w:sz w:val="24"/>
        </w:rPr>
      </w:pPr>
    </w:p>
    <w:p>
      <w:pPr>
        <w:pStyle w:val="ListParagraph"/>
        <w:numPr>
          <w:ilvl w:val="2"/>
          <w:numId w:val="57"/>
        </w:numPr>
        <w:tabs>
          <w:tab w:pos="1216" w:val="left" w:leader="none"/>
        </w:tabs>
        <w:spacing w:line="240" w:lineRule="auto" w:before="0" w:after="0"/>
        <w:ind w:left="1215" w:right="0" w:hanging="249"/>
        <w:jc w:val="left"/>
        <w:rPr>
          <w:i/>
          <w:sz w:val="18"/>
        </w:rPr>
      </w:pPr>
      <w:r>
        <w:rPr>
          <w:i/>
          <w:sz w:val="18"/>
        </w:rPr>
        <w:t>Joint Venture with Navitas</w:t>
      </w:r>
      <w:r>
        <w:rPr>
          <w:i/>
          <w:spacing w:val="-1"/>
          <w:sz w:val="18"/>
        </w:rPr>
        <w:t> </w:t>
      </w:r>
      <w:r>
        <w:rPr>
          <w:i/>
          <w:sz w:val="18"/>
        </w:rPr>
        <w:t>Ltd:</w:t>
      </w:r>
    </w:p>
    <w:p>
      <w:pPr>
        <w:pStyle w:val="BodyText"/>
        <w:rPr>
          <w:i/>
          <w:sz w:val="25"/>
        </w:rPr>
      </w:pPr>
    </w:p>
    <w:p>
      <w:pPr>
        <w:pStyle w:val="BodyText"/>
        <w:ind w:left="1072" w:right="113"/>
      </w:pPr>
      <w:r>
        <w:rPr/>
        <w:t>In April 2015, the Company entered into a Joint Venture Agreement with Navitas Ltd to form Western Sydney University International College Pty Ltd to operate an international college at Parramatta, New South Wales. The Company owns 50% of the entity.</w:t>
      </w:r>
    </w:p>
    <w:p>
      <w:pPr>
        <w:pStyle w:val="BodyText"/>
        <w:spacing w:before="7"/>
        <w:rPr>
          <w:sz w:val="26"/>
        </w:rPr>
      </w:pPr>
    </w:p>
    <w:p>
      <w:pPr>
        <w:pStyle w:val="Heading9"/>
        <w:numPr>
          <w:ilvl w:val="1"/>
          <w:numId w:val="57"/>
        </w:numPr>
        <w:tabs>
          <w:tab w:pos="1072" w:val="left" w:leader="none"/>
        </w:tabs>
        <w:spacing w:line="240" w:lineRule="auto" w:before="0" w:after="0"/>
        <w:ind w:left="1071" w:right="0" w:hanging="566"/>
        <w:jc w:val="left"/>
      </w:pPr>
      <w:r>
        <w:rPr/>
        <w:t>Transactions with related parties</w:t>
      </w:r>
    </w:p>
    <w:p>
      <w:pPr>
        <w:pStyle w:val="BodyText"/>
        <w:spacing w:before="4"/>
        <w:rPr>
          <w:b/>
          <w:sz w:val="25"/>
        </w:rPr>
      </w:pPr>
    </w:p>
    <w:p>
      <w:pPr>
        <w:pStyle w:val="BodyText"/>
        <w:ind w:left="1072" w:right="263"/>
      </w:pPr>
      <w:r>
        <w:rPr/>
        <w:t>Transactions between related parties are on normal commercial terms and conditions no more favourable than those available to other parties unless otherwise stated.</w:t>
      </w:r>
    </w:p>
    <w:p>
      <w:pPr>
        <w:pStyle w:val="BodyText"/>
        <w:rPr>
          <w:sz w:val="25"/>
        </w:rPr>
      </w:pPr>
    </w:p>
    <w:p>
      <w:pPr>
        <w:pStyle w:val="BodyText"/>
        <w:spacing w:after="36"/>
        <w:ind w:left="1072" w:right="161"/>
      </w:pPr>
      <w:r>
        <w:rPr/>
        <w:t>The following transactions occurred with related parties:</w:t>
      </w:r>
    </w:p>
    <w:tbl>
      <w:tblPr>
        <w:tblW w:w="0" w:type="auto"/>
        <w:jc w:val="left"/>
        <w:tblInd w:w="103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27"/>
        <w:gridCol w:w="1219"/>
        <w:gridCol w:w="1042"/>
      </w:tblGrid>
      <w:tr>
        <w:trPr>
          <w:trHeight w:val="560" w:hRule="exact"/>
        </w:trPr>
        <w:tc>
          <w:tcPr>
            <w:tcW w:w="6727" w:type="dxa"/>
          </w:tcPr>
          <w:p>
            <w:pPr/>
          </w:p>
        </w:tc>
        <w:tc>
          <w:tcPr>
            <w:tcW w:w="1219" w:type="dxa"/>
          </w:tcPr>
          <w:p>
            <w:pPr>
              <w:pStyle w:val="TableParagraph"/>
              <w:spacing w:line="204" w:lineRule="exact"/>
              <w:ind w:left="379" w:right="399"/>
              <w:jc w:val="center"/>
              <w:rPr>
                <w:b/>
                <w:sz w:val="18"/>
              </w:rPr>
            </w:pPr>
            <w:r>
              <w:rPr>
                <w:b/>
                <w:sz w:val="18"/>
              </w:rPr>
              <w:t>2017</w:t>
            </w:r>
          </w:p>
          <w:p>
            <w:pPr>
              <w:pStyle w:val="TableParagraph"/>
              <w:spacing w:before="66"/>
              <w:ind w:right="20"/>
              <w:jc w:val="center"/>
              <w:rPr>
                <w:b/>
                <w:sz w:val="18"/>
              </w:rPr>
            </w:pPr>
            <w:r>
              <w:rPr>
                <w:b/>
                <w:w w:val="99"/>
                <w:sz w:val="18"/>
              </w:rPr>
              <w:t>$</w:t>
            </w:r>
          </w:p>
        </w:tc>
        <w:tc>
          <w:tcPr>
            <w:tcW w:w="1042" w:type="dxa"/>
          </w:tcPr>
          <w:p>
            <w:pPr>
              <w:pStyle w:val="TableParagraph"/>
              <w:spacing w:line="204" w:lineRule="exact"/>
              <w:ind w:left="276" w:right="324"/>
              <w:jc w:val="center"/>
              <w:rPr>
                <w:b/>
                <w:sz w:val="18"/>
              </w:rPr>
            </w:pPr>
            <w:r>
              <w:rPr>
                <w:b/>
                <w:sz w:val="18"/>
              </w:rPr>
              <w:t>2016</w:t>
            </w:r>
          </w:p>
          <w:p>
            <w:pPr>
              <w:pStyle w:val="TableParagraph"/>
              <w:spacing w:before="66"/>
              <w:ind w:right="49"/>
              <w:jc w:val="center"/>
              <w:rPr>
                <w:b/>
                <w:sz w:val="18"/>
              </w:rPr>
            </w:pPr>
            <w:r>
              <w:rPr>
                <w:b/>
                <w:w w:val="99"/>
                <w:sz w:val="18"/>
              </w:rPr>
              <w:t>$</w:t>
            </w:r>
          </w:p>
        </w:tc>
      </w:tr>
      <w:tr>
        <w:trPr>
          <w:trHeight w:val="543" w:hRule="exact"/>
        </w:trPr>
        <w:tc>
          <w:tcPr>
            <w:tcW w:w="6727" w:type="dxa"/>
          </w:tcPr>
          <w:p>
            <w:pPr>
              <w:pStyle w:val="TableParagraph"/>
              <w:spacing w:before="63"/>
              <w:ind w:left="88"/>
              <w:rPr>
                <w:b/>
                <w:sz w:val="18"/>
              </w:rPr>
            </w:pPr>
            <w:r>
              <w:rPr>
                <w:b/>
                <w:sz w:val="18"/>
              </w:rPr>
              <w:t>Purchase of goods and services</w:t>
            </w:r>
          </w:p>
          <w:p>
            <w:pPr>
              <w:pStyle w:val="TableParagraph"/>
              <w:spacing w:before="27"/>
              <w:ind w:left="88"/>
              <w:rPr>
                <w:sz w:val="18"/>
              </w:rPr>
            </w:pPr>
            <w:r>
              <w:rPr>
                <w:sz w:val="18"/>
              </w:rPr>
              <w:t>Payment to parent entity for capital projects</w:t>
            </w:r>
          </w:p>
        </w:tc>
        <w:tc>
          <w:tcPr>
            <w:tcW w:w="1219" w:type="dxa"/>
          </w:tcPr>
          <w:p>
            <w:pPr>
              <w:pStyle w:val="TableParagraph"/>
              <w:spacing w:before="11"/>
              <w:rPr>
                <w:sz w:val="25"/>
              </w:rPr>
            </w:pPr>
          </w:p>
          <w:p>
            <w:pPr>
              <w:pStyle w:val="TableParagraph"/>
              <w:ind w:right="152"/>
              <w:jc w:val="right"/>
              <w:rPr>
                <w:b/>
                <w:sz w:val="18"/>
              </w:rPr>
            </w:pPr>
            <w:r>
              <w:rPr>
                <w:b/>
                <w:w w:val="95"/>
                <w:sz w:val="18"/>
              </w:rPr>
              <w:t>463,946</w:t>
            </w:r>
          </w:p>
        </w:tc>
        <w:tc>
          <w:tcPr>
            <w:tcW w:w="1042" w:type="dxa"/>
          </w:tcPr>
          <w:p>
            <w:pPr>
              <w:pStyle w:val="TableParagraph"/>
              <w:spacing w:before="11"/>
              <w:rPr>
                <w:sz w:val="25"/>
              </w:rPr>
            </w:pPr>
          </w:p>
          <w:p>
            <w:pPr>
              <w:pStyle w:val="TableParagraph"/>
              <w:ind w:right="84"/>
              <w:jc w:val="right"/>
              <w:rPr>
                <w:sz w:val="18"/>
              </w:rPr>
            </w:pPr>
            <w:r>
              <w:rPr>
                <w:w w:val="95"/>
                <w:sz w:val="18"/>
              </w:rPr>
              <w:t>3,748,844</w:t>
            </w:r>
          </w:p>
        </w:tc>
      </w:tr>
      <w:tr>
        <w:trPr>
          <w:trHeight w:val="263" w:hRule="exact"/>
        </w:trPr>
        <w:tc>
          <w:tcPr>
            <w:tcW w:w="6727" w:type="dxa"/>
          </w:tcPr>
          <w:p>
            <w:pPr>
              <w:pStyle w:val="TableParagraph"/>
              <w:spacing w:before="18"/>
              <w:ind w:left="88"/>
              <w:rPr>
                <w:sz w:val="18"/>
              </w:rPr>
            </w:pPr>
            <w:r>
              <w:rPr>
                <w:sz w:val="18"/>
              </w:rPr>
              <w:t>Purchase of catering services from other related parties</w:t>
            </w:r>
          </w:p>
        </w:tc>
        <w:tc>
          <w:tcPr>
            <w:tcW w:w="1219" w:type="dxa"/>
            <w:tcBorders>
              <w:bottom w:val="single" w:sz="0" w:space="0" w:color="000000"/>
            </w:tcBorders>
          </w:tcPr>
          <w:p>
            <w:pPr>
              <w:pStyle w:val="TableParagraph"/>
              <w:spacing w:before="19"/>
              <w:ind w:right="153"/>
              <w:jc w:val="right"/>
              <w:rPr>
                <w:b/>
                <w:sz w:val="18"/>
              </w:rPr>
            </w:pPr>
            <w:r>
              <w:rPr>
                <w:b/>
                <w:w w:val="95"/>
                <w:sz w:val="18"/>
              </w:rPr>
              <w:t>38,675</w:t>
            </w:r>
          </w:p>
        </w:tc>
        <w:tc>
          <w:tcPr>
            <w:tcW w:w="1042" w:type="dxa"/>
            <w:tcBorders>
              <w:bottom w:val="single" w:sz="0" w:space="0" w:color="000000"/>
            </w:tcBorders>
          </w:tcPr>
          <w:p>
            <w:pPr>
              <w:pStyle w:val="TableParagraph"/>
              <w:spacing w:before="19"/>
              <w:ind w:right="84"/>
              <w:jc w:val="right"/>
              <w:rPr>
                <w:sz w:val="18"/>
              </w:rPr>
            </w:pPr>
            <w:r>
              <w:rPr>
                <w:w w:val="95"/>
                <w:sz w:val="18"/>
              </w:rPr>
              <w:t>115,782</w:t>
            </w:r>
          </w:p>
        </w:tc>
      </w:tr>
      <w:tr>
        <w:trPr>
          <w:trHeight w:val="353" w:hRule="exact"/>
        </w:trPr>
        <w:tc>
          <w:tcPr>
            <w:tcW w:w="6727" w:type="dxa"/>
          </w:tcPr>
          <w:p>
            <w:pPr>
              <w:pStyle w:val="TableParagraph"/>
              <w:spacing w:before="123"/>
              <w:ind w:left="88"/>
              <w:rPr>
                <w:b/>
                <w:sz w:val="18"/>
              </w:rPr>
            </w:pPr>
            <w:r>
              <w:rPr>
                <w:b/>
                <w:sz w:val="18"/>
              </w:rPr>
              <w:t>Total</w:t>
            </w:r>
          </w:p>
        </w:tc>
        <w:tc>
          <w:tcPr>
            <w:tcW w:w="1219" w:type="dxa"/>
            <w:tcBorders>
              <w:top w:val="single" w:sz="0" w:space="0" w:color="000000"/>
              <w:bottom w:val="single" w:sz="0" w:space="0" w:color="000000"/>
            </w:tcBorders>
          </w:tcPr>
          <w:p>
            <w:pPr>
              <w:pStyle w:val="TableParagraph"/>
              <w:spacing w:before="122"/>
              <w:ind w:right="152"/>
              <w:jc w:val="right"/>
              <w:rPr>
                <w:b/>
                <w:sz w:val="18"/>
              </w:rPr>
            </w:pPr>
            <w:r>
              <w:rPr>
                <w:b/>
                <w:w w:val="95"/>
                <w:sz w:val="18"/>
              </w:rPr>
              <w:t>502,621</w:t>
            </w:r>
          </w:p>
        </w:tc>
        <w:tc>
          <w:tcPr>
            <w:tcW w:w="1042" w:type="dxa"/>
            <w:tcBorders>
              <w:top w:val="single" w:sz="0" w:space="0" w:color="000000"/>
              <w:bottom w:val="single" w:sz="0" w:space="0" w:color="000000"/>
            </w:tcBorders>
          </w:tcPr>
          <w:p>
            <w:pPr>
              <w:pStyle w:val="TableParagraph"/>
              <w:spacing w:before="122"/>
              <w:ind w:right="84"/>
              <w:jc w:val="right"/>
              <w:rPr>
                <w:sz w:val="18"/>
              </w:rPr>
            </w:pPr>
            <w:r>
              <w:rPr>
                <w:w w:val="95"/>
                <w:sz w:val="18"/>
              </w:rPr>
              <w:t>3,864,626</w:t>
            </w:r>
          </w:p>
        </w:tc>
      </w:tr>
    </w:tbl>
    <w:p>
      <w:pPr>
        <w:pStyle w:val="BodyText"/>
        <w:rPr>
          <w:sz w:val="20"/>
        </w:rPr>
      </w:pPr>
    </w:p>
    <w:p>
      <w:pPr>
        <w:pStyle w:val="BodyText"/>
        <w:spacing w:before="3"/>
        <w:rPr>
          <w:sz w:val="28"/>
        </w:rPr>
      </w:pPr>
    </w:p>
    <w:tbl>
      <w:tblPr>
        <w:tblW w:w="0" w:type="auto"/>
        <w:jc w:val="left"/>
        <w:tblInd w:w="109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673"/>
        <w:gridCol w:w="1200"/>
        <w:gridCol w:w="1061"/>
      </w:tblGrid>
      <w:tr>
        <w:trPr>
          <w:trHeight w:val="566" w:hRule="exact"/>
        </w:trPr>
        <w:tc>
          <w:tcPr>
            <w:tcW w:w="6673" w:type="dxa"/>
          </w:tcPr>
          <w:p>
            <w:pPr>
              <w:pStyle w:val="TableParagraph"/>
              <w:spacing w:before="77"/>
              <w:ind w:left="35"/>
              <w:rPr>
                <w:b/>
                <w:sz w:val="18"/>
              </w:rPr>
            </w:pPr>
            <w:r>
              <w:rPr>
                <w:b/>
                <w:sz w:val="18"/>
              </w:rPr>
              <w:t>Other transactions</w:t>
            </w:r>
          </w:p>
          <w:p>
            <w:pPr>
              <w:pStyle w:val="TableParagraph"/>
              <w:spacing w:before="27"/>
              <w:ind w:left="35"/>
              <w:rPr>
                <w:sz w:val="18"/>
              </w:rPr>
            </w:pPr>
            <w:r>
              <w:rPr>
                <w:sz w:val="18"/>
              </w:rPr>
              <w:t>Royalty to parent entity*</w:t>
            </w:r>
          </w:p>
        </w:tc>
        <w:tc>
          <w:tcPr>
            <w:tcW w:w="1200" w:type="dxa"/>
          </w:tcPr>
          <w:p>
            <w:pPr>
              <w:pStyle w:val="TableParagraph"/>
              <w:rPr>
                <w:sz w:val="18"/>
              </w:rPr>
            </w:pPr>
          </w:p>
          <w:p>
            <w:pPr>
              <w:pStyle w:val="TableParagraph"/>
              <w:spacing w:before="105"/>
              <w:ind w:right="132"/>
              <w:jc w:val="right"/>
              <w:rPr>
                <w:b/>
                <w:sz w:val="18"/>
              </w:rPr>
            </w:pPr>
            <w:r>
              <w:rPr>
                <w:b/>
                <w:w w:val="95"/>
                <w:sz w:val="18"/>
              </w:rPr>
              <w:t>22,919,450</w:t>
            </w:r>
          </w:p>
        </w:tc>
        <w:tc>
          <w:tcPr>
            <w:tcW w:w="1061" w:type="dxa"/>
          </w:tcPr>
          <w:p>
            <w:pPr>
              <w:pStyle w:val="TableParagraph"/>
              <w:rPr>
                <w:sz w:val="18"/>
              </w:rPr>
            </w:pPr>
          </w:p>
          <w:p>
            <w:pPr>
              <w:pStyle w:val="TableParagraph"/>
              <w:spacing w:before="105"/>
              <w:ind w:right="83"/>
              <w:jc w:val="right"/>
              <w:rPr>
                <w:sz w:val="18"/>
              </w:rPr>
            </w:pPr>
            <w:r>
              <w:rPr>
                <w:w w:val="95"/>
                <w:sz w:val="18"/>
              </w:rPr>
              <w:t>20,092,238</w:t>
            </w:r>
          </w:p>
        </w:tc>
      </w:tr>
      <w:tr>
        <w:trPr>
          <w:trHeight w:val="274" w:hRule="exact"/>
        </w:trPr>
        <w:tc>
          <w:tcPr>
            <w:tcW w:w="6673" w:type="dxa"/>
          </w:tcPr>
          <w:p>
            <w:pPr>
              <w:pStyle w:val="TableParagraph"/>
              <w:spacing w:before="28"/>
              <w:ind w:left="35"/>
              <w:rPr>
                <w:sz w:val="18"/>
              </w:rPr>
            </w:pPr>
            <w:r>
              <w:rPr>
                <w:sz w:val="18"/>
              </w:rPr>
              <w:t>Payment of management fee to joint venture</w:t>
            </w:r>
          </w:p>
        </w:tc>
        <w:tc>
          <w:tcPr>
            <w:tcW w:w="1200" w:type="dxa"/>
          </w:tcPr>
          <w:p>
            <w:pPr>
              <w:pStyle w:val="TableParagraph"/>
              <w:spacing w:before="29"/>
              <w:ind w:right="132"/>
              <w:jc w:val="right"/>
              <w:rPr>
                <w:b/>
                <w:sz w:val="18"/>
              </w:rPr>
            </w:pPr>
            <w:r>
              <w:rPr>
                <w:b/>
                <w:w w:val="95"/>
                <w:sz w:val="18"/>
              </w:rPr>
              <w:t>6,194,392</w:t>
            </w:r>
          </w:p>
        </w:tc>
        <w:tc>
          <w:tcPr>
            <w:tcW w:w="1061" w:type="dxa"/>
          </w:tcPr>
          <w:p>
            <w:pPr>
              <w:pStyle w:val="TableParagraph"/>
              <w:spacing w:before="29"/>
              <w:ind w:left="174"/>
              <w:rPr>
                <w:sz w:val="18"/>
              </w:rPr>
            </w:pPr>
            <w:r>
              <w:rPr>
                <w:sz w:val="18"/>
              </w:rPr>
              <w:t>2,172,737</w:t>
            </w:r>
          </w:p>
        </w:tc>
      </w:tr>
      <w:tr>
        <w:trPr>
          <w:trHeight w:val="264" w:hRule="exact"/>
        </w:trPr>
        <w:tc>
          <w:tcPr>
            <w:tcW w:w="6673" w:type="dxa"/>
          </w:tcPr>
          <w:p>
            <w:pPr>
              <w:pStyle w:val="TableParagraph"/>
              <w:spacing w:before="18"/>
              <w:ind w:left="35"/>
              <w:rPr>
                <w:sz w:val="18"/>
              </w:rPr>
            </w:pPr>
            <w:r>
              <w:rPr>
                <w:sz w:val="18"/>
              </w:rPr>
              <w:t>Share of loss of joint venture</w:t>
            </w:r>
          </w:p>
        </w:tc>
        <w:tc>
          <w:tcPr>
            <w:tcW w:w="1200" w:type="dxa"/>
          </w:tcPr>
          <w:p>
            <w:pPr>
              <w:pStyle w:val="TableParagraph"/>
              <w:spacing w:before="19"/>
              <w:ind w:right="132"/>
              <w:jc w:val="right"/>
              <w:rPr>
                <w:b/>
                <w:sz w:val="18"/>
              </w:rPr>
            </w:pPr>
            <w:r>
              <w:rPr>
                <w:b/>
                <w:w w:val="95"/>
                <w:sz w:val="18"/>
              </w:rPr>
              <w:t>833,847</w:t>
            </w:r>
          </w:p>
        </w:tc>
        <w:tc>
          <w:tcPr>
            <w:tcW w:w="1061" w:type="dxa"/>
          </w:tcPr>
          <w:p>
            <w:pPr>
              <w:pStyle w:val="TableParagraph"/>
              <w:spacing w:before="19"/>
              <w:ind w:left="174"/>
              <w:rPr>
                <w:sz w:val="18"/>
              </w:rPr>
            </w:pPr>
            <w:r>
              <w:rPr>
                <w:sz w:val="18"/>
              </w:rPr>
              <w:t>1,052,110</w:t>
            </w:r>
          </w:p>
        </w:tc>
      </w:tr>
      <w:tr>
        <w:trPr>
          <w:trHeight w:val="264" w:hRule="exact"/>
        </w:trPr>
        <w:tc>
          <w:tcPr>
            <w:tcW w:w="6673" w:type="dxa"/>
          </w:tcPr>
          <w:p>
            <w:pPr>
              <w:pStyle w:val="TableParagraph"/>
              <w:spacing w:before="18"/>
              <w:ind w:left="35"/>
              <w:rPr>
                <w:sz w:val="18"/>
              </w:rPr>
            </w:pPr>
            <w:r>
              <w:rPr>
                <w:sz w:val="18"/>
              </w:rPr>
              <w:t>Recoupment of commissions, salaries and other expenses from joint venture</w:t>
            </w:r>
          </w:p>
        </w:tc>
        <w:tc>
          <w:tcPr>
            <w:tcW w:w="1200" w:type="dxa"/>
          </w:tcPr>
          <w:p>
            <w:pPr>
              <w:pStyle w:val="TableParagraph"/>
              <w:spacing w:before="19"/>
              <w:ind w:right="72"/>
              <w:jc w:val="right"/>
              <w:rPr>
                <w:b/>
                <w:sz w:val="18"/>
              </w:rPr>
            </w:pPr>
            <w:r>
              <w:rPr>
                <w:b/>
                <w:w w:val="95"/>
                <w:sz w:val="18"/>
              </w:rPr>
              <w:t>(3,040,209)</w:t>
            </w:r>
          </w:p>
        </w:tc>
        <w:tc>
          <w:tcPr>
            <w:tcW w:w="1061" w:type="dxa"/>
          </w:tcPr>
          <w:p>
            <w:pPr>
              <w:pStyle w:val="TableParagraph"/>
              <w:spacing w:before="19"/>
              <w:ind w:right="24"/>
              <w:jc w:val="right"/>
              <w:rPr>
                <w:sz w:val="18"/>
              </w:rPr>
            </w:pPr>
            <w:r>
              <w:rPr>
                <w:w w:val="95"/>
                <w:sz w:val="18"/>
              </w:rPr>
              <w:t>(1,417,438)</w:t>
            </w:r>
          </w:p>
        </w:tc>
      </w:tr>
      <w:tr>
        <w:trPr>
          <w:trHeight w:val="264" w:hRule="exact"/>
        </w:trPr>
        <w:tc>
          <w:tcPr>
            <w:tcW w:w="6673" w:type="dxa"/>
          </w:tcPr>
          <w:p>
            <w:pPr>
              <w:pStyle w:val="TableParagraph"/>
              <w:spacing w:before="18"/>
              <w:ind w:left="35"/>
              <w:rPr>
                <w:sz w:val="18"/>
              </w:rPr>
            </w:pPr>
            <w:r>
              <w:rPr>
                <w:sz w:val="18"/>
              </w:rPr>
              <w:t>Service fee from joint venture</w:t>
            </w:r>
          </w:p>
        </w:tc>
        <w:tc>
          <w:tcPr>
            <w:tcW w:w="1200" w:type="dxa"/>
          </w:tcPr>
          <w:p>
            <w:pPr>
              <w:pStyle w:val="TableParagraph"/>
              <w:spacing w:before="19"/>
              <w:ind w:right="72"/>
              <w:jc w:val="right"/>
              <w:rPr>
                <w:b/>
                <w:sz w:val="18"/>
              </w:rPr>
            </w:pPr>
            <w:r>
              <w:rPr>
                <w:b/>
                <w:w w:val="95"/>
                <w:sz w:val="18"/>
              </w:rPr>
              <w:t>(619,439)</w:t>
            </w:r>
          </w:p>
        </w:tc>
        <w:tc>
          <w:tcPr>
            <w:tcW w:w="1061" w:type="dxa"/>
          </w:tcPr>
          <w:p>
            <w:pPr>
              <w:pStyle w:val="TableParagraph"/>
              <w:spacing w:before="19"/>
              <w:ind w:right="24"/>
              <w:jc w:val="right"/>
              <w:rPr>
                <w:sz w:val="18"/>
              </w:rPr>
            </w:pPr>
            <w:r>
              <w:rPr>
                <w:w w:val="95"/>
                <w:sz w:val="18"/>
              </w:rPr>
              <w:t>(217,274)</w:t>
            </w:r>
          </w:p>
        </w:tc>
      </w:tr>
      <w:tr>
        <w:trPr>
          <w:trHeight w:val="263" w:hRule="exact"/>
        </w:trPr>
        <w:tc>
          <w:tcPr>
            <w:tcW w:w="6673" w:type="dxa"/>
          </w:tcPr>
          <w:p>
            <w:pPr>
              <w:pStyle w:val="TableParagraph"/>
              <w:spacing w:before="18"/>
              <w:ind w:left="35"/>
              <w:rPr>
                <w:sz w:val="18"/>
              </w:rPr>
            </w:pPr>
            <w:r>
              <w:rPr>
                <w:sz w:val="18"/>
              </w:rPr>
              <w:t>Interest received on loan to joint venture</w:t>
            </w:r>
          </w:p>
        </w:tc>
        <w:tc>
          <w:tcPr>
            <w:tcW w:w="1200" w:type="dxa"/>
            <w:tcBorders>
              <w:bottom w:val="single" w:sz="0" w:space="0" w:color="000000"/>
            </w:tcBorders>
          </w:tcPr>
          <w:p>
            <w:pPr>
              <w:pStyle w:val="TableParagraph"/>
              <w:spacing w:before="19"/>
              <w:ind w:right="73"/>
              <w:jc w:val="right"/>
              <w:rPr>
                <w:b/>
                <w:sz w:val="18"/>
              </w:rPr>
            </w:pPr>
            <w:r>
              <w:rPr>
                <w:b/>
                <w:w w:val="95"/>
                <w:sz w:val="18"/>
              </w:rPr>
              <w:t>(70,040)</w:t>
            </w:r>
          </w:p>
        </w:tc>
        <w:tc>
          <w:tcPr>
            <w:tcW w:w="1061" w:type="dxa"/>
            <w:tcBorders>
              <w:bottom w:val="single" w:sz="0" w:space="0" w:color="000000"/>
            </w:tcBorders>
          </w:tcPr>
          <w:p>
            <w:pPr>
              <w:pStyle w:val="TableParagraph"/>
              <w:spacing w:before="19"/>
              <w:ind w:right="24"/>
              <w:jc w:val="right"/>
              <w:rPr>
                <w:sz w:val="18"/>
              </w:rPr>
            </w:pPr>
            <w:r>
              <w:rPr>
                <w:w w:val="95"/>
                <w:sz w:val="18"/>
              </w:rPr>
              <w:t>(33,239)</w:t>
            </w:r>
          </w:p>
        </w:tc>
      </w:tr>
      <w:tr>
        <w:trPr>
          <w:trHeight w:val="353" w:hRule="exact"/>
        </w:trPr>
        <w:tc>
          <w:tcPr>
            <w:tcW w:w="6673" w:type="dxa"/>
          </w:tcPr>
          <w:p>
            <w:pPr>
              <w:pStyle w:val="TableParagraph"/>
              <w:spacing w:before="123"/>
              <w:ind w:left="35"/>
              <w:rPr>
                <w:b/>
                <w:sz w:val="18"/>
              </w:rPr>
            </w:pPr>
            <w:r>
              <w:rPr>
                <w:b/>
                <w:sz w:val="18"/>
              </w:rPr>
              <w:t>Total</w:t>
            </w:r>
          </w:p>
        </w:tc>
        <w:tc>
          <w:tcPr>
            <w:tcW w:w="1200" w:type="dxa"/>
            <w:tcBorders>
              <w:top w:val="single" w:sz="0" w:space="0" w:color="000000"/>
              <w:bottom w:val="single" w:sz="0" w:space="0" w:color="000000"/>
            </w:tcBorders>
          </w:tcPr>
          <w:p>
            <w:pPr>
              <w:pStyle w:val="TableParagraph"/>
              <w:spacing w:before="122"/>
              <w:ind w:right="132"/>
              <w:jc w:val="right"/>
              <w:rPr>
                <w:b/>
                <w:sz w:val="18"/>
              </w:rPr>
            </w:pPr>
            <w:r>
              <w:rPr>
                <w:b/>
                <w:w w:val="95"/>
                <w:sz w:val="18"/>
              </w:rPr>
              <w:t>26,218,001</w:t>
            </w:r>
          </w:p>
        </w:tc>
        <w:tc>
          <w:tcPr>
            <w:tcW w:w="1061" w:type="dxa"/>
            <w:tcBorders>
              <w:top w:val="single" w:sz="0" w:space="0" w:color="000000"/>
              <w:bottom w:val="single" w:sz="0" w:space="0" w:color="000000"/>
            </w:tcBorders>
          </w:tcPr>
          <w:p>
            <w:pPr>
              <w:pStyle w:val="TableParagraph"/>
              <w:spacing w:before="122"/>
              <w:ind w:right="83"/>
              <w:jc w:val="right"/>
              <w:rPr>
                <w:sz w:val="18"/>
              </w:rPr>
            </w:pPr>
            <w:r>
              <w:rPr>
                <w:w w:val="95"/>
                <w:sz w:val="18"/>
              </w:rPr>
              <w:t>21,649,134</w:t>
            </w:r>
          </w:p>
        </w:tc>
      </w:tr>
    </w:tbl>
    <w:p>
      <w:pPr>
        <w:pStyle w:val="BodyText"/>
        <w:spacing w:before="6"/>
        <w:rPr>
          <w:sz w:val="20"/>
        </w:rPr>
      </w:pPr>
    </w:p>
    <w:p>
      <w:pPr>
        <w:pStyle w:val="BodyText"/>
        <w:spacing w:before="77"/>
        <w:ind w:left="1071" w:right="410"/>
      </w:pPr>
      <w:r>
        <w:rPr/>
        <w:t>*Royalty was paid for the use of the parent entity's services, infrastructure, premises and intellectual property during the year.</w:t>
      </w:r>
    </w:p>
    <w:p>
      <w:pPr>
        <w:spacing w:after="0"/>
        <w:sectPr>
          <w:pgSz w:w="11910" w:h="16840"/>
          <w:pgMar w:header="1038" w:footer="507" w:top="1720" w:bottom="700" w:left="900" w:right="860"/>
        </w:sectPr>
      </w:pPr>
    </w:p>
    <w:p>
      <w:pPr>
        <w:pStyle w:val="BodyText"/>
        <w:spacing w:before="2"/>
        <w:rPr>
          <w:sz w:val="24"/>
        </w:rPr>
      </w:pPr>
    </w:p>
    <w:p>
      <w:pPr>
        <w:pStyle w:val="Heading3"/>
      </w:pPr>
      <w:r>
        <w:rPr/>
        <w:t>Notes to the Financial Statements</w:t>
      </w:r>
    </w:p>
    <w:p>
      <w:pPr>
        <w:pStyle w:val="Heading6"/>
        <w:ind w:left="107" w:right="161"/>
      </w:pPr>
      <w:r>
        <w:rPr/>
        <w:t>For the Year Ended 31 December 2017</w:t>
      </w:r>
    </w:p>
    <w:p>
      <w:pPr>
        <w:pStyle w:val="BodyText"/>
        <w:rPr>
          <w:b/>
          <w:sz w:val="22"/>
        </w:rPr>
      </w:pPr>
    </w:p>
    <w:p>
      <w:pPr>
        <w:pStyle w:val="BodyText"/>
        <w:rPr>
          <w:b/>
          <w:sz w:val="22"/>
        </w:rPr>
      </w:pPr>
    </w:p>
    <w:p>
      <w:pPr>
        <w:pStyle w:val="Heading9"/>
        <w:spacing w:before="160"/>
        <w:ind w:left="109" w:right="161"/>
      </w:pPr>
      <w:r>
        <w:rPr/>
        <w:t>20    Related Parties continued</w:t>
      </w:r>
    </w:p>
    <w:p>
      <w:pPr>
        <w:pStyle w:val="BodyText"/>
        <w:spacing w:before="11"/>
        <w:rPr>
          <w:b/>
          <w:sz w:val="19"/>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
        <w:gridCol w:w="6532"/>
        <w:gridCol w:w="1460"/>
        <w:gridCol w:w="1134"/>
      </w:tblGrid>
      <w:tr>
        <w:trPr>
          <w:trHeight w:val="572" w:hRule="exact"/>
        </w:trPr>
        <w:tc>
          <w:tcPr>
            <w:tcW w:w="428" w:type="dxa"/>
          </w:tcPr>
          <w:p>
            <w:pPr>
              <w:pStyle w:val="TableParagraph"/>
              <w:spacing w:before="77"/>
              <w:ind w:left="35"/>
              <w:rPr>
                <w:b/>
                <w:sz w:val="18"/>
              </w:rPr>
            </w:pPr>
            <w:r>
              <w:rPr>
                <w:b/>
                <w:sz w:val="18"/>
              </w:rPr>
              <w:t>(c)</w:t>
            </w:r>
          </w:p>
        </w:tc>
        <w:tc>
          <w:tcPr>
            <w:tcW w:w="6532" w:type="dxa"/>
          </w:tcPr>
          <w:p>
            <w:pPr>
              <w:pStyle w:val="TableParagraph"/>
              <w:spacing w:before="77"/>
              <w:ind w:left="173"/>
              <w:rPr>
                <w:b/>
                <w:sz w:val="18"/>
              </w:rPr>
            </w:pPr>
            <w:r>
              <w:rPr>
                <w:b/>
                <w:sz w:val="18"/>
              </w:rPr>
              <w:t>Loans to/from related parties</w:t>
            </w:r>
          </w:p>
        </w:tc>
        <w:tc>
          <w:tcPr>
            <w:tcW w:w="1460" w:type="dxa"/>
          </w:tcPr>
          <w:p>
            <w:pPr>
              <w:pStyle w:val="TableParagraph"/>
              <w:rPr>
                <w:b/>
                <w:sz w:val="18"/>
              </w:rPr>
            </w:pPr>
          </w:p>
          <w:p>
            <w:pPr>
              <w:pStyle w:val="TableParagraph"/>
              <w:spacing w:before="115"/>
              <w:ind w:left="449"/>
              <w:rPr>
                <w:b/>
                <w:sz w:val="18"/>
              </w:rPr>
            </w:pPr>
            <w:r>
              <w:rPr>
                <w:b/>
                <w:sz w:val="18"/>
              </w:rPr>
              <w:t>2017</w:t>
            </w:r>
          </w:p>
        </w:tc>
        <w:tc>
          <w:tcPr>
            <w:tcW w:w="1134" w:type="dxa"/>
          </w:tcPr>
          <w:p>
            <w:pPr>
              <w:pStyle w:val="TableParagraph"/>
              <w:rPr>
                <w:b/>
                <w:sz w:val="18"/>
              </w:rPr>
            </w:pPr>
          </w:p>
          <w:p>
            <w:pPr>
              <w:pStyle w:val="TableParagraph"/>
              <w:spacing w:before="115"/>
              <w:ind w:left="272"/>
              <w:rPr>
                <w:b/>
                <w:sz w:val="18"/>
              </w:rPr>
            </w:pPr>
            <w:r>
              <w:rPr>
                <w:b/>
                <w:sz w:val="18"/>
              </w:rPr>
              <w:t>2016</w:t>
            </w:r>
          </w:p>
        </w:tc>
      </w:tr>
      <w:tr>
        <w:trPr>
          <w:trHeight w:val="313" w:hRule="exact"/>
        </w:trPr>
        <w:tc>
          <w:tcPr>
            <w:tcW w:w="428" w:type="dxa"/>
          </w:tcPr>
          <w:p>
            <w:pPr/>
          </w:p>
        </w:tc>
        <w:tc>
          <w:tcPr>
            <w:tcW w:w="6532" w:type="dxa"/>
          </w:tcPr>
          <w:p>
            <w:pPr/>
          </w:p>
        </w:tc>
        <w:tc>
          <w:tcPr>
            <w:tcW w:w="1460" w:type="dxa"/>
          </w:tcPr>
          <w:p>
            <w:pPr>
              <w:pStyle w:val="TableParagraph"/>
              <w:spacing w:before="24"/>
              <w:ind w:right="158"/>
              <w:jc w:val="center"/>
              <w:rPr>
                <w:b/>
                <w:sz w:val="18"/>
              </w:rPr>
            </w:pPr>
            <w:r>
              <w:rPr>
                <w:b/>
                <w:w w:val="99"/>
                <w:sz w:val="18"/>
              </w:rPr>
              <w:t>$</w:t>
            </w:r>
          </w:p>
        </w:tc>
        <w:tc>
          <w:tcPr>
            <w:tcW w:w="1134" w:type="dxa"/>
          </w:tcPr>
          <w:p>
            <w:pPr>
              <w:pStyle w:val="TableParagraph"/>
              <w:spacing w:before="24"/>
              <w:ind w:right="187"/>
              <w:jc w:val="center"/>
              <w:rPr>
                <w:b/>
                <w:sz w:val="18"/>
              </w:rPr>
            </w:pPr>
            <w:r>
              <w:rPr>
                <w:b/>
                <w:w w:val="99"/>
                <w:sz w:val="18"/>
              </w:rPr>
              <w:t>$</w:t>
            </w:r>
          </w:p>
        </w:tc>
      </w:tr>
      <w:tr>
        <w:trPr>
          <w:trHeight w:val="544" w:hRule="exact"/>
        </w:trPr>
        <w:tc>
          <w:tcPr>
            <w:tcW w:w="428" w:type="dxa"/>
          </w:tcPr>
          <w:p>
            <w:pPr/>
          </w:p>
        </w:tc>
        <w:tc>
          <w:tcPr>
            <w:tcW w:w="6532" w:type="dxa"/>
          </w:tcPr>
          <w:p>
            <w:pPr>
              <w:pStyle w:val="TableParagraph"/>
              <w:spacing w:before="63"/>
              <w:ind w:left="175"/>
              <w:rPr>
                <w:b/>
                <w:sz w:val="18"/>
              </w:rPr>
            </w:pPr>
            <w:r>
              <w:rPr>
                <w:b/>
                <w:sz w:val="18"/>
              </w:rPr>
              <w:t>Loans to Parent</w:t>
            </w:r>
          </w:p>
          <w:p>
            <w:pPr>
              <w:pStyle w:val="TableParagraph"/>
              <w:spacing w:before="29"/>
              <w:ind w:left="175"/>
              <w:rPr>
                <w:sz w:val="18"/>
              </w:rPr>
            </w:pPr>
            <w:r>
              <w:rPr>
                <w:sz w:val="18"/>
              </w:rPr>
              <w:t>Beginning of the year</w:t>
            </w:r>
          </w:p>
        </w:tc>
        <w:tc>
          <w:tcPr>
            <w:tcW w:w="1460" w:type="dxa"/>
          </w:tcPr>
          <w:p>
            <w:pPr>
              <w:pStyle w:val="TableParagraph"/>
              <w:spacing w:before="11"/>
              <w:rPr>
                <w:b/>
                <w:sz w:val="25"/>
              </w:rPr>
            </w:pPr>
          </w:p>
          <w:p>
            <w:pPr>
              <w:pStyle w:val="TableParagraph"/>
              <w:ind w:left="411"/>
              <w:rPr>
                <w:b/>
                <w:sz w:val="18"/>
              </w:rPr>
            </w:pPr>
            <w:r>
              <w:rPr>
                <w:b/>
                <w:sz w:val="18"/>
              </w:rPr>
              <w:t>5,651,726</w:t>
            </w:r>
          </w:p>
        </w:tc>
        <w:tc>
          <w:tcPr>
            <w:tcW w:w="1134" w:type="dxa"/>
          </w:tcPr>
          <w:p>
            <w:pPr>
              <w:pStyle w:val="TableParagraph"/>
              <w:spacing w:before="11"/>
              <w:rPr>
                <w:b/>
                <w:sz w:val="25"/>
              </w:rPr>
            </w:pPr>
          </w:p>
          <w:p>
            <w:pPr>
              <w:pStyle w:val="TableParagraph"/>
              <w:ind w:left="248"/>
              <w:rPr>
                <w:sz w:val="18"/>
              </w:rPr>
            </w:pPr>
            <w:r>
              <w:rPr>
                <w:sz w:val="18"/>
              </w:rPr>
              <w:t>6,560,759</w:t>
            </w:r>
          </w:p>
        </w:tc>
      </w:tr>
      <w:tr>
        <w:trPr>
          <w:trHeight w:val="264" w:hRule="exact"/>
        </w:trPr>
        <w:tc>
          <w:tcPr>
            <w:tcW w:w="428" w:type="dxa"/>
          </w:tcPr>
          <w:p>
            <w:pPr/>
          </w:p>
        </w:tc>
        <w:tc>
          <w:tcPr>
            <w:tcW w:w="6532" w:type="dxa"/>
          </w:tcPr>
          <w:p>
            <w:pPr>
              <w:pStyle w:val="TableParagraph"/>
              <w:spacing w:before="19"/>
              <w:ind w:left="175"/>
              <w:rPr>
                <w:sz w:val="18"/>
              </w:rPr>
            </w:pPr>
            <w:r>
              <w:rPr>
                <w:sz w:val="18"/>
              </w:rPr>
              <w:t>Loans advanced</w:t>
            </w:r>
          </w:p>
        </w:tc>
        <w:tc>
          <w:tcPr>
            <w:tcW w:w="1460" w:type="dxa"/>
          </w:tcPr>
          <w:p>
            <w:pPr>
              <w:pStyle w:val="TableParagraph"/>
              <w:spacing w:before="18"/>
              <w:ind w:left="312"/>
              <w:rPr>
                <w:b/>
                <w:sz w:val="18"/>
              </w:rPr>
            </w:pPr>
            <w:r>
              <w:rPr>
                <w:b/>
                <w:sz w:val="18"/>
              </w:rPr>
              <w:t>13,976,255</w:t>
            </w:r>
          </w:p>
        </w:tc>
        <w:tc>
          <w:tcPr>
            <w:tcW w:w="1134" w:type="dxa"/>
          </w:tcPr>
          <w:p>
            <w:pPr>
              <w:pStyle w:val="TableParagraph"/>
              <w:spacing w:before="18"/>
              <w:ind w:left="248"/>
              <w:rPr>
                <w:sz w:val="18"/>
              </w:rPr>
            </w:pPr>
            <w:r>
              <w:rPr>
                <w:sz w:val="18"/>
              </w:rPr>
              <w:t>6,969,114</w:t>
            </w:r>
          </w:p>
        </w:tc>
      </w:tr>
      <w:tr>
        <w:trPr>
          <w:trHeight w:val="264" w:hRule="exact"/>
        </w:trPr>
        <w:tc>
          <w:tcPr>
            <w:tcW w:w="428" w:type="dxa"/>
          </w:tcPr>
          <w:p>
            <w:pPr/>
          </w:p>
        </w:tc>
        <w:tc>
          <w:tcPr>
            <w:tcW w:w="6532" w:type="dxa"/>
          </w:tcPr>
          <w:p>
            <w:pPr>
              <w:pStyle w:val="TableParagraph"/>
              <w:spacing w:before="19"/>
              <w:ind w:left="175"/>
              <w:rPr>
                <w:sz w:val="18"/>
              </w:rPr>
            </w:pPr>
            <w:r>
              <w:rPr>
                <w:sz w:val="18"/>
              </w:rPr>
              <w:t>Loan repayment received</w:t>
            </w:r>
          </w:p>
        </w:tc>
        <w:tc>
          <w:tcPr>
            <w:tcW w:w="1460" w:type="dxa"/>
          </w:tcPr>
          <w:p>
            <w:pPr>
              <w:pStyle w:val="TableParagraph"/>
              <w:spacing w:before="18"/>
              <w:ind w:right="185"/>
              <w:jc w:val="right"/>
              <w:rPr>
                <w:b/>
                <w:sz w:val="18"/>
              </w:rPr>
            </w:pPr>
            <w:r>
              <w:rPr>
                <w:b/>
                <w:w w:val="95"/>
                <w:sz w:val="18"/>
              </w:rPr>
              <w:t>(12,774,984)</w:t>
            </w:r>
          </w:p>
        </w:tc>
        <w:tc>
          <w:tcPr>
            <w:tcW w:w="1134" w:type="dxa"/>
          </w:tcPr>
          <w:p>
            <w:pPr>
              <w:pStyle w:val="TableParagraph"/>
              <w:spacing w:before="18"/>
              <w:ind w:left="188"/>
              <w:rPr>
                <w:sz w:val="18"/>
              </w:rPr>
            </w:pPr>
            <w:r>
              <w:rPr>
                <w:sz w:val="18"/>
              </w:rPr>
              <w:t>(7,978,277)</w:t>
            </w:r>
          </w:p>
        </w:tc>
      </w:tr>
      <w:tr>
        <w:trPr>
          <w:trHeight w:val="263" w:hRule="exact"/>
        </w:trPr>
        <w:tc>
          <w:tcPr>
            <w:tcW w:w="428" w:type="dxa"/>
          </w:tcPr>
          <w:p>
            <w:pPr/>
          </w:p>
        </w:tc>
        <w:tc>
          <w:tcPr>
            <w:tcW w:w="6532" w:type="dxa"/>
          </w:tcPr>
          <w:p>
            <w:pPr>
              <w:pStyle w:val="TableParagraph"/>
              <w:spacing w:before="19"/>
              <w:ind w:left="175"/>
              <w:rPr>
                <w:sz w:val="18"/>
              </w:rPr>
            </w:pPr>
            <w:r>
              <w:rPr>
                <w:sz w:val="18"/>
              </w:rPr>
              <w:t>Interest charged</w:t>
            </w:r>
          </w:p>
        </w:tc>
        <w:tc>
          <w:tcPr>
            <w:tcW w:w="1460" w:type="dxa"/>
            <w:tcBorders>
              <w:bottom w:val="single" w:sz="0" w:space="0" w:color="000000"/>
            </w:tcBorders>
          </w:tcPr>
          <w:p>
            <w:pPr>
              <w:pStyle w:val="TableParagraph"/>
              <w:spacing w:before="18"/>
              <w:ind w:right="246"/>
              <w:jc w:val="right"/>
              <w:rPr>
                <w:b/>
                <w:sz w:val="18"/>
              </w:rPr>
            </w:pPr>
            <w:r>
              <w:rPr>
                <w:b/>
                <w:w w:val="95"/>
                <w:sz w:val="18"/>
              </w:rPr>
              <w:t>148,889</w:t>
            </w:r>
          </w:p>
        </w:tc>
        <w:tc>
          <w:tcPr>
            <w:tcW w:w="1134" w:type="dxa"/>
            <w:tcBorders>
              <w:bottom w:val="single" w:sz="0" w:space="0" w:color="000000"/>
            </w:tcBorders>
          </w:tcPr>
          <w:p>
            <w:pPr>
              <w:pStyle w:val="TableParagraph"/>
              <w:spacing w:before="18"/>
              <w:ind w:left="398"/>
              <w:rPr>
                <w:sz w:val="18"/>
              </w:rPr>
            </w:pPr>
            <w:r>
              <w:rPr>
                <w:sz w:val="18"/>
              </w:rPr>
              <w:t>100,130</w:t>
            </w:r>
          </w:p>
        </w:tc>
      </w:tr>
      <w:tr>
        <w:trPr>
          <w:trHeight w:val="353" w:hRule="exact"/>
        </w:trPr>
        <w:tc>
          <w:tcPr>
            <w:tcW w:w="428" w:type="dxa"/>
          </w:tcPr>
          <w:p>
            <w:pPr/>
          </w:p>
        </w:tc>
        <w:tc>
          <w:tcPr>
            <w:tcW w:w="6532" w:type="dxa"/>
          </w:tcPr>
          <w:p>
            <w:pPr>
              <w:pStyle w:val="TableParagraph"/>
              <w:spacing w:before="123"/>
              <w:ind w:left="175"/>
              <w:rPr>
                <w:b/>
                <w:sz w:val="18"/>
              </w:rPr>
            </w:pPr>
            <w:r>
              <w:rPr>
                <w:b/>
                <w:sz w:val="18"/>
              </w:rPr>
              <w:t>End of year</w:t>
            </w:r>
          </w:p>
        </w:tc>
        <w:tc>
          <w:tcPr>
            <w:tcW w:w="1460" w:type="dxa"/>
            <w:tcBorders>
              <w:top w:val="single" w:sz="0" w:space="0" w:color="000000"/>
              <w:bottom w:val="single" w:sz="0" w:space="0" w:color="000000"/>
            </w:tcBorders>
          </w:tcPr>
          <w:p>
            <w:pPr>
              <w:pStyle w:val="TableParagraph"/>
              <w:spacing w:before="122"/>
              <w:ind w:left="411"/>
              <w:rPr>
                <w:b/>
                <w:sz w:val="18"/>
              </w:rPr>
            </w:pPr>
            <w:r>
              <w:rPr>
                <w:b/>
                <w:sz w:val="18"/>
              </w:rPr>
              <w:t>7,001,886</w:t>
            </w:r>
          </w:p>
        </w:tc>
        <w:tc>
          <w:tcPr>
            <w:tcW w:w="1134" w:type="dxa"/>
            <w:tcBorders>
              <w:top w:val="single" w:sz="0" w:space="0" w:color="000000"/>
              <w:bottom w:val="single" w:sz="0" w:space="0" w:color="000000"/>
            </w:tcBorders>
          </w:tcPr>
          <w:p>
            <w:pPr>
              <w:pStyle w:val="TableParagraph"/>
              <w:spacing w:before="122"/>
              <w:ind w:left="248"/>
              <w:rPr>
                <w:sz w:val="18"/>
              </w:rPr>
            </w:pPr>
            <w:r>
              <w:rPr>
                <w:sz w:val="18"/>
              </w:rPr>
              <w:t>5,651,726</w:t>
            </w:r>
          </w:p>
        </w:tc>
      </w:tr>
      <w:tr>
        <w:trPr>
          <w:trHeight w:val="780" w:hRule="exact"/>
        </w:trPr>
        <w:tc>
          <w:tcPr>
            <w:tcW w:w="428" w:type="dxa"/>
          </w:tcPr>
          <w:p>
            <w:pPr/>
          </w:p>
        </w:tc>
        <w:tc>
          <w:tcPr>
            <w:tcW w:w="6532" w:type="dxa"/>
          </w:tcPr>
          <w:p>
            <w:pPr>
              <w:pStyle w:val="TableParagraph"/>
              <w:rPr>
                <w:b/>
                <w:sz w:val="26"/>
              </w:rPr>
            </w:pPr>
          </w:p>
          <w:p>
            <w:pPr>
              <w:pStyle w:val="TableParagraph"/>
              <w:ind w:left="202"/>
              <w:rPr>
                <w:b/>
                <w:sz w:val="18"/>
              </w:rPr>
            </w:pPr>
            <w:r>
              <w:rPr>
                <w:b/>
                <w:sz w:val="18"/>
              </w:rPr>
              <w:t>Loans to Joint Venture</w:t>
            </w:r>
          </w:p>
          <w:p>
            <w:pPr>
              <w:pStyle w:val="TableParagraph"/>
              <w:spacing w:before="29"/>
              <w:ind w:left="202"/>
              <w:rPr>
                <w:sz w:val="18"/>
              </w:rPr>
            </w:pPr>
            <w:r>
              <w:rPr>
                <w:sz w:val="18"/>
              </w:rPr>
              <w:t>Beginning of the year</w:t>
            </w:r>
          </w:p>
        </w:tc>
        <w:tc>
          <w:tcPr>
            <w:tcW w:w="1460" w:type="dxa"/>
            <w:tcBorders>
              <w:top w:val="single" w:sz="0" w:space="0" w:color="000000"/>
            </w:tcBorders>
          </w:tcPr>
          <w:p>
            <w:pPr>
              <w:pStyle w:val="TableParagraph"/>
              <w:rPr>
                <w:b/>
                <w:sz w:val="18"/>
              </w:rPr>
            </w:pPr>
          </w:p>
          <w:p>
            <w:pPr>
              <w:pStyle w:val="TableParagraph"/>
              <w:rPr>
                <w:b/>
                <w:sz w:val="18"/>
              </w:rPr>
            </w:pPr>
          </w:p>
          <w:p>
            <w:pPr>
              <w:pStyle w:val="TableParagraph"/>
              <w:spacing w:before="119"/>
              <w:ind w:right="247"/>
              <w:jc w:val="right"/>
              <w:rPr>
                <w:b/>
                <w:sz w:val="18"/>
              </w:rPr>
            </w:pPr>
            <w:r>
              <w:rPr>
                <w:b/>
                <w:w w:val="95"/>
                <w:sz w:val="18"/>
              </w:rPr>
              <w:t>247,890</w:t>
            </w:r>
          </w:p>
        </w:tc>
        <w:tc>
          <w:tcPr>
            <w:tcW w:w="1134" w:type="dxa"/>
            <w:tcBorders>
              <w:top w:val="single" w:sz="0" w:space="0" w:color="000000"/>
            </w:tcBorders>
          </w:tcPr>
          <w:p>
            <w:pPr>
              <w:pStyle w:val="TableParagraph"/>
              <w:rPr>
                <w:b/>
                <w:sz w:val="18"/>
              </w:rPr>
            </w:pPr>
          </w:p>
          <w:p>
            <w:pPr>
              <w:pStyle w:val="TableParagraph"/>
              <w:rPr>
                <w:b/>
                <w:sz w:val="18"/>
              </w:rPr>
            </w:pPr>
          </w:p>
          <w:p>
            <w:pPr>
              <w:pStyle w:val="TableParagraph"/>
              <w:spacing w:before="119"/>
              <w:ind w:right="190"/>
              <w:jc w:val="center"/>
              <w:rPr>
                <w:sz w:val="18"/>
              </w:rPr>
            </w:pPr>
            <w:r>
              <w:rPr>
                <w:w w:val="99"/>
                <w:sz w:val="18"/>
              </w:rPr>
              <w:t>-</w:t>
            </w:r>
          </w:p>
        </w:tc>
      </w:tr>
      <w:tr>
        <w:trPr>
          <w:trHeight w:val="264" w:hRule="exact"/>
        </w:trPr>
        <w:tc>
          <w:tcPr>
            <w:tcW w:w="428" w:type="dxa"/>
          </w:tcPr>
          <w:p>
            <w:pPr/>
          </w:p>
        </w:tc>
        <w:tc>
          <w:tcPr>
            <w:tcW w:w="6532" w:type="dxa"/>
          </w:tcPr>
          <w:p>
            <w:pPr>
              <w:pStyle w:val="TableParagraph"/>
              <w:spacing w:before="19"/>
              <w:ind w:left="202"/>
              <w:rPr>
                <w:sz w:val="18"/>
              </w:rPr>
            </w:pPr>
            <w:r>
              <w:rPr>
                <w:sz w:val="18"/>
              </w:rPr>
              <w:t>Loans advanced</w:t>
            </w:r>
          </w:p>
        </w:tc>
        <w:tc>
          <w:tcPr>
            <w:tcW w:w="1460" w:type="dxa"/>
          </w:tcPr>
          <w:p>
            <w:pPr>
              <w:pStyle w:val="TableParagraph"/>
              <w:spacing w:before="18"/>
              <w:ind w:right="247"/>
              <w:jc w:val="right"/>
              <w:rPr>
                <w:b/>
                <w:sz w:val="18"/>
              </w:rPr>
            </w:pPr>
            <w:r>
              <w:rPr>
                <w:b/>
                <w:w w:val="95"/>
                <w:sz w:val="18"/>
              </w:rPr>
              <w:t>800,000</w:t>
            </w:r>
          </w:p>
        </w:tc>
        <w:tc>
          <w:tcPr>
            <w:tcW w:w="1134" w:type="dxa"/>
          </w:tcPr>
          <w:p>
            <w:pPr>
              <w:pStyle w:val="TableParagraph"/>
              <w:spacing w:before="18"/>
              <w:ind w:left="247"/>
              <w:rPr>
                <w:sz w:val="18"/>
              </w:rPr>
            </w:pPr>
            <w:r>
              <w:rPr>
                <w:sz w:val="18"/>
              </w:rPr>
              <w:t>1,300,000</w:t>
            </w:r>
          </w:p>
        </w:tc>
      </w:tr>
      <w:tr>
        <w:trPr>
          <w:trHeight w:val="262" w:hRule="exact"/>
        </w:trPr>
        <w:tc>
          <w:tcPr>
            <w:tcW w:w="428" w:type="dxa"/>
          </w:tcPr>
          <w:p>
            <w:pPr/>
          </w:p>
        </w:tc>
        <w:tc>
          <w:tcPr>
            <w:tcW w:w="6532" w:type="dxa"/>
          </w:tcPr>
          <w:p>
            <w:pPr>
              <w:pStyle w:val="TableParagraph"/>
              <w:spacing w:before="19"/>
              <w:ind w:left="202"/>
              <w:rPr>
                <w:sz w:val="18"/>
              </w:rPr>
            </w:pPr>
            <w:r>
              <w:rPr>
                <w:sz w:val="18"/>
              </w:rPr>
              <w:t>Share of loss of joint venture</w:t>
            </w:r>
          </w:p>
        </w:tc>
        <w:tc>
          <w:tcPr>
            <w:tcW w:w="1460" w:type="dxa"/>
            <w:tcBorders>
              <w:bottom w:val="single" w:sz="0" w:space="0" w:color="000000"/>
            </w:tcBorders>
          </w:tcPr>
          <w:p>
            <w:pPr>
              <w:pStyle w:val="TableParagraph"/>
              <w:spacing w:before="18"/>
              <w:ind w:right="187"/>
              <w:jc w:val="right"/>
              <w:rPr>
                <w:b/>
                <w:sz w:val="18"/>
              </w:rPr>
            </w:pPr>
            <w:r>
              <w:rPr>
                <w:b/>
                <w:w w:val="95"/>
                <w:sz w:val="18"/>
              </w:rPr>
              <w:t>(833,847)</w:t>
            </w:r>
          </w:p>
        </w:tc>
        <w:tc>
          <w:tcPr>
            <w:tcW w:w="1134" w:type="dxa"/>
            <w:tcBorders>
              <w:bottom w:val="single" w:sz="0" w:space="0" w:color="000000"/>
            </w:tcBorders>
          </w:tcPr>
          <w:p>
            <w:pPr>
              <w:pStyle w:val="TableParagraph"/>
              <w:spacing w:before="18"/>
              <w:ind w:left="187"/>
              <w:rPr>
                <w:sz w:val="18"/>
              </w:rPr>
            </w:pPr>
            <w:r>
              <w:rPr>
                <w:sz w:val="18"/>
              </w:rPr>
              <w:t>(1,052,110)</w:t>
            </w:r>
          </w:p>
        </w:tc>
      </w:tr>
      <w:tr>
        <w:trPr>
          <w:trHeight w:val="353" w:hRule="exact"/>
        </w:trPr>
        <w:tc>
          <w:tcPr>
            <w:tcW w:w="428" w:type="dxa"/>
          </w:tcPr>
          <w:p>
            <w:pPr/>
          </w:p>
        </w:tc>
        <w:tc>
          <w:tcPr>
            <w:tcW w:w="6532" w:type="dxa"/>
          </w:tcPr>
          <w:p>
            <w:pPr>
              <w:pStyle w:val="TableParagraph"/>
              <w:spacing w:before="123"/>
              <w:ind w:left="202"/>
              <w:rPr>
                <w:b/>
                <w:sz w:val="18"/>
              </w:rPr>
            </w:pPr>
            <w:r>
              <w:rPr>
                <w:b/>
                <w:sz w:val="18"/>
              </w:rPr>
              <w:t>End of year</w:t>
            </w:r>
          </w:p>
        </w:tc>
        <w:tc>
          <w:tcPr>
            <w:tcW w:w="1460" w:type="dxa"/>
            <w:tcBorders>
              <w:top w:val="single" w:sz="0" w:space="0" w:color="000000"/>
              <w:bottom w:val="single" w:sz="0" w:space="0" w:color="000000"/>
            </w:tcBorders>
          </w:tcPr>
          <w:p>
            <w:pPr>
              <w:pStyle w:val="TableParagraph"/>
              <w:spacing w:before="122"/>
              <w:ind w:right="247"/>
              <w:jc w:val="right"/>
              <w:rPr>
                <w:b/>
                <w:sz w:val="18"/>
              </w:rPr>
            </w:pPr>
            <w:r>
              <w:rPr>
                <w:b/>
                <w:w w:val="95"/>
                <w:sz w:val="18"/>
              </w:rPr>
              <w:t>214,043</w:t>
            </w:r>
          </w:p>
        </w:tc>
        <w:tc>
          <w:tcPr>
            <w:tcW w:w="1134" w:type="dxa"/>
            <w:tcBorders>
              <w:top w:val="single" w:sz="0" w:space="0" w:color="000000"/>
              <w:bottom w:val="single" w:sz="0" w:space="0" w:color="000000"/>
            </w:tcBorders>
          </w:tcPr>
          <w:p>
            <w:pPr>
              <w:pStyle w:val="TableParagraph"/>
              <w:spacing w:before="122"/>
              <w:ind w:left="397"/>
              <w:rPr>
                <w:sz w:val="18"/>
              </w:rPr>
            </w:pPr>
            <w:r>
              <w:rPr>
                <w:sz w:val="18"/>
              </w:rPr>
              <w:t>247,890</w:t>
            </w:r>
          </w:p>
        </w:tc>
      </w:tr>
    </w:tbl>
    <w:p>
      <w:pPr>
        <w:pStyle w:val="BodyText"/>
        <w:rPr>
          <w:b/>
          <w:sz w:val="20"/>
        </w:rPr>
      </w:pPr>
    </w:p>
    <w:p>
      <w:pPr>
        <w:pStyle w:val="BodyText"/>
        <w:spacing w:before="2"/>
        <w:rPr>
          <w:b/>
          <w:sz w:val="21"/>
        </w:rPr>
      </w:pPr>
    </w:p>
    <w:p>
      <w:pPr>
        <w:pStyle w:val="BodyText"/>
        <w:spacing w:before="1"/>
        <w:ind w:left="1072" w:right="802"/>
      </w:pPr>
      <w:r>
        <w:rPr/>
        <w:t>No provisions for impaired receivables have been raised in relation to any outstanding balances, and no expense has been recognised in respect of bad or doubtful debts due from related parties.</w:t>
      </w:r>
    </w:p>
    <w:p>
      <w:pPr>
        <w:spacing w:after="0"/>
        <w:sectPr>
          <w:pgSz w:w="11910" w:h="16840"/>
          <w:pgMar w:header="1038" w:footer="507" w:top="1720" w:bottom="700" w:left="900" w:right="860"/>
        </w:sectPr>
      </w:pPr>
    </w:p>
    <w:p>
      <w:pPr>
        <w:pStyle w:val="BodyText"/>
        <w:spacing w:before="2"/>
        <w:rPr>
          <w:sz w:val="24"/>
        </w:rPr>
      </w:pPr>
    </w:p>
    <w:p>
      <w:pPr>
        <w:pStyle w:val="Heading3"/>
      </w:pPr>
      <w:r>
        <w:rPr/>
        <w:t>Notes to the Financial Statements</w:t>
      </w:r>
    </w:p>
    <w:p>
      <w:pPr>
        <w:pStyle w:val="Heading6"/>
        <w:ind w:left="107" w:right="161"/>
      </w:pPr>
      <w:r>
        <w:rPr/>
        <w:t>For the Year Ended 31 December 2017</w:t>
      </w:r>
    </w:p>
    <w:p>
      <w:pPr>
        <w:pStyle w:val="BodyText"/>
        <w:rPr>
          <w:b/>
          <w:sz w:val="22"/>
        </w:rPr>
      </w:pPr>
    </w:p>
    <w:p>
      <w:pPr>
        <w:pStyle w:val="BodyText"/>
        <w:rPr>
          <w:b/>
          <w:sz w:val="22"/>
        </w:rPr>
      </w:pPr>
    </w:p>
    <w:p>
      <w:pPr>
        <w:pStyle w:val="Heading9"/>
        <w:numPr>
          <w:ilvl w:val="0"/>
          <w:numId w:val="58"/>
        </w:numPr>
        <w:tabs>
          <w:tab w:pos="506" w:val="left" w:leader="none"/>
        </w:tabs>
        <w:spacing w:line="240" w:lineRule="auto" w:before="160" w:after="0"/>
        <w:ind w:left="505" w:right="0" w:hanging="396"/>
        <w:jc w:val="left"/>
      </w:pPr>
      <w:r>
        <w:rPr/>
        <w:t>Related Parties continued</w:t>
      </w:r>
    </w:p>
    <w:p>
      <w:pPr>
        <w:pStyle w:val="BodyText"/>
        <w:spacing w:before="7"/>
        <w:rPr>
          <w:b/>
          <w:sz w:val="26"/>
        </w:rPr>
      </w:pPr>
    </w:p>
    <w:p>
      <w:pPr>
        <w:tabs>
          <w:tab w:pos="1071" w:val="left" w:leader="none"/>
        </w:tabs>
        <w:spacing w:before="0"/>
        <w:ind w:left="505" w:right="161" w:firstLine="0"/>
        <w:jc w:val="left"/>
        <w:rPr>
          <w:b/>
          <w:sz w:val="18"/>
        </w:rPr>
      </w:pPr>
      <w:r>
        <w:rPr>
          <w:b/>
          <w:sz w:val="18"/>
        </w:rPr>
        <w:t>(d)</w:t>
        <w:tab/>
        <w:t>Outstanding balances</w:t>
      </w:r>
    </w:p>
    <w:p>
      <w:pPr>
        <w:pStyle w:val="BodyText"/>
        <w:spacing w:before="4"/>
        <w:rPr>
          <w:b/>
          <w:sz w:val="25"/>
        </w:rPr>
      </w:pPr>
    </w:p>
    <w:p>
      <w:pPr>
        <w:pStyle w:val="BodyText"/>
        <w:ind w:left="1072" w:right="161"/>
      </w:pPr>
      <w:r>
        <w:rPr/>
        <w:t>The following balances are outstanding at the reporting date in relation to transactions with related parties:</w:t>
      </w:r>
    </w:p>
    <w:p>
      <w:pPr>
        <w:pStyle w:val="BodyText"/>
        <w:rPr>
          <w:sz w:val="20"/>
        </w:rPr>
      </w:pPr>
    </w:p>
    <w:p>
      <w:pPr>
        <w:pStyle w:val="BodyText"/>
        <w:spacing w:before="1" w:after="1"/>
        <w:rPr>
          <w:sz w:val="19"/>
        </w:rPr>
      </w:pPr>
    </w:p>
    <w:tbl>
      <w:tblPr>
        <w:tblW w:w="0" w:type="auto"/>
        <w:jc w:val="left"/>
        <w:tblInd w:w="106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68"/>
        <w:gridCol w:w="1460"/>
        <w:gridCol w:w="1135"/>
      </w:tblGrid>
      <w:tr>
        <w:trPr>
          <w:trHeight w:val="612" w:hRule="exact"/>
        </w:trPr>
        <w:tc>
          <w:tcPr>
            <w:tcW w:w="6368" w:type="dxa"/>
          </w:tcPr>
          <w:p>
            <w:pPr/>
          </w:p>
        </w:tc>
        <w:tc>
          <w:tcPr>
            <w:tcW w:w="1460" w:type="dxa"/>
          </w:tcPr>
          <w:p>
            <w:pPr>
              <w:pStyle w:val="TableParagraph"/>
              <w:spacing w:before="77"/>
              <w:ind w:left="429" w:right="589"/>
              <w:jc w:val="center"/>
              <w:rPr>
                <w:b/>
                <w:sz w:val="18"/>
              </w:rPr>
            </w:pPr>
            <w:r>
              <w:rPr>
                <w:b/>
                <w:sz w:val="18"/>
              </w:rPr>
              <w:t>2017</w:t>
            </w:r>
          </w:p>
          <w:p>
            <w:pPr>
              <w:pStyle w:val="TableParagraph"/>
              <w:spacing w:before="66"/>
              <w:ind w:right="160"/>
              <w:jc w:val="center"/>
              <w:rPr>
                <w:b/>
                <w:sz w:val="18"/>
              </w:rPr>
            </w:pPr>
            <w:r>
              <w:rPr>
                <w:b/>
                <w:w w:val="99"/>
                <w:sz w:val="18"/>
              </w:rPr>
              <w:t>$</w:t>
            </w:r>
          </w:p>
        </w:tc>
        <w:tc>
          <w:tcPr>
            <w:tcW w:w="1135" w:type="dxa"/>
          </w:tcPr>
          <w:p>
            <w:pPr>
              <w:pStyle w:val="TableParagraph"/>
              <w:spacing w:before="77"/>
              <w:ind w:left="254" w:right="440"/>
              <w:jc w:val="center"/>
              <w:rPr>
                <w:b/>
                <w:sz w:val="18"/>
              </w:rPr>
            </w:pPr>
            <w:r>
              <w:rPr>
                <w:b/>
                <w:sz w:val="18"/>
              </w:rPr>
              <w:t>2016</w:t>
            </w:r>
          </w:p>
          <w:p>
            <w:pPr>
              <w:pStyle w:val="TableParagraph"/>
              <w:spacing w:before="66"/>
              <w:ind w:right="186"/>
              <w:jc w:val="center"/>
              <w:rPr>
                <w:b/>
                <w:sz w:val="18"/>
              </w:rPr>
            </w:pPr>
            <w:r>
              <w:rPr>
                <w:b/>
                <w:w w:val="99"/>
                <w:sz w:val="18"/>
              </w:rPr>
              <w:t>$</w:t>
            </w:r>
          </w:p>
        </w:tc>
      </w:tr>
      <w:tr>
        <w:trPr>
          <w:trHeight w:val="280" w:hRule="exact"/>
        </w:trPr>
        <w:tc>
          <w:tcPr>
            <w:tcW w:w="6368" w:type="dxa"/>
          </w:tcPr>
          <w:p>
            <w:pPr>
              <w:pStyle w:val="TableParagraph"/>
              <w:spacing w:before="35"/>
              <w:ind w:left="35"/>
              <w:rPr>
                <w:sz w:val="18"/>
              </w:rPr>
            </w:pPr>
            <w:r>
              <w:rPr>
                <w:sz w:val="18"/>
              </w:rPr>
              <w:t>Current receivables (loans)</w:t>
            </w:r>
          </w:p>
        </w:tc>
        <w:tc>
          <w:tcPr>
            <w:tcW w:w="1460" w:type="dxa"/>
          </w:tcPr>
          <w:p>
            <w:pPr/>
          </w:p>
        </w:tc>
        <w:tc>
          <w:tcPr>
            <w:tcW w:w="1135" w:type="dxa"/>
          </w:tcPr>
          <w:p>
            <w:pPr/>
          </w:p>
        </w:tc>
      </w:tr>
      <w:tr>
        <w:trPr>
          <w:trHeight w:val="223" w:hRule="exact"/>
        </w:trPr>
        <w:tc>
          <w:tcPr>
            <w:tcW w:w="6368" w:type="dxa"/>
          </w:tcPr>
          <w:p>
            <w:pPr>
              <w:pStyle w:val="TableParagraph"/>
              <w:spacing w:before="19"/>
              <w:ind w:left="249"/>
              <w:rPr>
                <w:sz w:val="18"/>
              </w:rPr>
            </w:pPr>
            <w:r>
              <w:rPr>
                <w:sz w:val="18"/>
              </w:rPr>
              <w:t>Western Sydney University</w:t>
            </w:r>
          </w:p>
        </w:tc>
        <w:tc>
          <w:tcPr>
            <w:tcW w:w="1460" w:type="dxa"/>
          </w:tcPr>
          <w:p>
            <w:pPr>
              <w:pStyle w:val="TableParagraph"/>
              <w:spacing w:before="18"/>
              <w:ind w:right="246"/>
              <w:jc w:val="right"/>
              <w:rPr>
                <w:b/>
                <w:sz w:val="18"/>
              </w:rPr>
            </w:pPr>
            <w:r>
              <w:rPr>
                <w:b/>
                <w:w w:val="95"/>
                <w:sz w:val="18"/>
              </w:rPr>
              <w:t>7,001,886</w:t>
            </w:r>
          </w:p>
        </w:tc>
        <w:tc>
          <w:tcPr>
            <w:tcW w:w="1135" w:type="dxa"/>
          </w:tcPr>
          <w:p>
            <w:pPr>
              <w:pStyle w:val="TableParagraph"/>
              <w:spacing w:before="18"/>
              <w:ind w:right="83"/>
              <w:jc w:val="right"/>
              <w:rPr>
                <w:sz w:val="18"/>
              </w:rPr>
            </w:pPr>
            <w:r>
              <w:rPr>
                <w:w w:val="95"/>
                <w:sz w:val="18"/>
              </w:rPr>
              <w:t>5,651,726</w:t>
            </w:r>
          </w:p>
        </w:tc>
      </w:tr>
      <w:tr>
        <w:trPr>
          <w:trHeight w:val="303" w:hRule="exact"/>
        </w:trPr>
        <w:tc>
          <w:tcPr>
            <w:tcW w:w="6368" w:type="dxa"/>
          </w:tcPr>
          <w:p>
            <w:pPr>
              <w:pStyle w:val="TableParagraph"/>
              <w:spacing w:before="58"/>
              <w:ind w:left="35"/>
              <w:rPr>
                <w:sz w:val="18"/>
              </w:rPr>
            </w:pPr>
            <w:r>
              <w:rPr>
                <w:sz w:val="18"/>
              </w:rPr>
              <w:t>Current receivables (provision of services)</w:t>
            </w:r>
          </w:p>
        </w:tc>
        <w:tc>
          <w:tcPr>
            <w:tcW w:w="1460" w:type="dxa"/>
          </w:tcPr>
          <w:p>
            <w:pPr/>
          </w:p>
        </w:tc>
        <w:tc>
          <w:tcPr>
            <w:tcW w:w="1135" w:type="dxa"/>
          </w:tcPr>
          <w:p>
            <w:pPr/>
          </w:p>
        </w:tc>
      </w:tr>
      <w:tr>
        <w:trPr>
          <w:trHeight w:val="262" w:hRule="exact"/>
        </w:trPr>
        <w:tc>
          <w:tcPr>
            <w:tcW w:w="6368" w:type="dxa"/>
          </w:tcPr>
          <w:p>
            <w:pPr>
              <w:pStyle w:val="TableParagraph"/>
              <w:spacing w:before="19"/>
              <w:ind w:right="1643"/>
              <w:jc w:val="right"/>
              <w:rPr>
                <w:sz w:val="18"/>
              </w:rPr>
            </w:pPr>
            <w:r>
              <w:rPr>
                <w:sz w:val="18"/>
              </w:rPr>
              <w:t>Western Sydney University International College Pty Ltd</w:t>
            </w:r>
          </w:p>
        </w:tc>
        <w:tc>
          <w:tcPr>
            <w:tcW w:w="1460" w:type="dxa"/>
            <w:tcBorders>
              <w:bottom w:val="single" w:sz="0" w:space="0" w:color="000000"/>
            </w:tcBorders>
          </w:tcPr>
          <w:p>
            <w:pPr>
              <w:pStyle w:val="TableParagraph"/>
              <w:spacing w:before="18"/>
              <w:ind w:right="246"/>
              <w:jc w:val="right"/>
              <w:rPr>
                <w:b/>
                <w:sz w:val="18"/>
              </w:rPr>
            </w:pPr>
            <w:r>
              <w:rPr>
                <w:b/>
                <w:w w:val="95"/>
                <w:sz w:val="18"/>
              </w:rPr>
              <w:t>1,651,601</w:t>
            </w:r>
          </w:p>
        </w:tc>
        <w:tc>
          <w:tcPr>
            <w:tcW w:w="1135" w:type="dxa"/>
            <w:tcBorders>
              <w:bottom w:val="single" w:sz="0" w:space="0" w:color="000000"/>
            </w:tcBorders>
          </w:tcPr>
          <w:p>
            <w:pPr>
              <w:pStyle w:val="TableParagraph"/>
              <w:spacing w:before="18"/>
              <w:ind w:right="83"/>
              <w:jc w:val="right"/>
              <w:rPr>
                <w:sz w:val="18"/>
              </w:rPr>
            </w:pPr>
            <w:r>
              <w:rPr>
                <w:w w:val="95"/>
                <w:sz w:val="18"/>
              </w:rPr>
              <w:t>585,588</w:t>
            </w:r>
          </w:p>
        </w:tc>
      </w:tr>
      <w:tr>
        <w:trPr>
          <w:trHeight w:val="338" w:hRule="exact"/>
        </w:trPr>
        <w:tc>
          <w:tcPr>
            <w:tcW w:w="6368" w:type="dxa"/>
          </w:tcPr>
          <w:p>
            <w:pPr>
              <w:pStyle w:val="TableParagraph"/>
              <w:spacing w:before="123"/>
              <w:ind w:left="35"/>
              <w:rPr>
                <w:b/>
                <w:sz w:val="18"/>
              </w:rPr>
            </w:pPr>
            <w:r>
              <w:rPr>
                <w:b/>
                <w:sz w:val="18"/>
              </w:rPr>
              <w:t>Total current receivables</w:t>
            </w: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8,653,487</w:t>
            </w:r>
          </w:p>
        </w:tc>
        <w:tc>
          <w:tcPr>
            <w:tcW w:w="1135" w:type="dxa"/>
            <w:tcBorders>
              <w:top w:val="single" w:sz="0" w:space="0" w:color="000000"/>
              <w:bottom w:val="single" w:sz="0" w:space="0" w:color="000000"/>
            </w:tcBorders>
          </w:tcPr>
          <w:p>
            <w:pPr>
              <w:pStyle w:val="TableParagraph"/>
              <w:spacing w:before="122"/>
              <w:ind w:right="82"/>
              <w:jc w:val="right"/>
              <w:rPr>
                <w:sz w:val="18"/>
              </w:rPr>
            </w:pPr>
            <w:r>
              <w:rPr>
                <w:w w:val="95"/>
                <w:sz w:val="18"/>
              </w:rPr>
              <w:t>6,237,314</w:t>
            </w:r>
          </w:p>
        </w:tc>
      </w:tr>
      <w:tr>
        <w:trPr>
          <w:trHeight w:val="548" w:hRule="exact"/>
        </w:trPr>
        <w:tc>
          <w:tcPr>
            <w:tcW w:w="6368" w:type="dxa"/>
          </w:tcPr>
          <w:p>
            <w:pPr>
              <w:pStyle w:val="TableParagraph"/>
              <w:spacing w:before="6"/>
              <w:rPr>
                <w:sz w:val="25"/>
              </w:rPr>
            </w:pPr>
          </w:p>
          <w:p>
            <w:pPr>
              <w:pStyle w:val="TableParagraph"/>
              <w:ind w:left="35"/>
              <w:rPr>
                <w:sz w:val="18"/>
              </w:rPr>
            </w:pPr>
            <w:r>
              <w:rPr>
                <w:sz w:val="18"/>
              </w:rPr>
              <w:t>Non-current receivables (loans)</w:t>
            </w:r>
          </w:p>
        </w:tc>
        <w:tc>
          <w:tcPr>
            <w:tcW w:w="1460" w:type="dxa"/>
            <w:tcBorders>
              <w:top w:val="single" w:sz="0" w:space="0" w:color="000000"/>
            </w:tcBorders>
          </w:tcPr>
          <w:p>
            <w:pPr/>
          </w:p>
        </w:tc>
        <w:tc>
          <w:tcPr>
            <w:tcW w:w="1135" w:type="dxa"/>
            <w:tcBorders>
              <w:top w:val="single" w:sz="0" w:space="0" w:color="000000"/>
            </w:tcBorders>
          </w:tcPr>
          <w:p>
            <w:pPr/>
          </w:p>
        </w:tc>
      </w:tr>
      <w:tr>
        <w:trPr>
          <w:trHeight w:val="272" w:hRule="exact"/>
        </w:trPr>
        <w:tc>
          <w:tcPr>
            <w:tcW w:w="6368" w:type="dxa"/>
          </w:tcPr>
          <w:p>
            <w:pPr>
              <w:pStyle w:val="TableParagraph"/>
              <w:spacing w:before="29"/>
              <w:ind w:right="1643"/>
              <w:jc w:val="right"/>
              <w:rPr>
                <w:sz w:val="18"/>
              </w:rPr>
            </w:pPr>
            <w:r>
              <w:rPr>
                <w:sz w:val="18"/>
              </w:rPr>
              <w:t>Western Sydney University International College Pty Ltd</w:t>
            </w:r>
          </w:p>
        </w:tc>
        <w:tc>
          <w:tcPr>
            <w:tcW w:w="1460" w:type="dxa"/>
            <w:tcBorders>
              <w:bottom w:val="single" w:sz="0" w:space="0" w:color="000000"/>
            </w:tcBorders>
          </w:tcPr>
          <w:p>
            <w:pPr>
              <w:pStyle w:val="TableParagraph"/>
              <w:spacing w:before="28"/>
              <w:ind w:right="247"/>
              <w:jc w:val="right"/>
              <w:rPr>
                <w:b/>
                <w:sz w:val="18"/>
              </w:rPr>
            </w:pPr>
            <w:r>
              <w:rPr>
                <w:b/>
                <w:w w:val="95"/>
                <w:sz w:val="18"/>
              </w:rPr>
              <w:t>214,043</w:t>
            </w:r>
          </w:p>
        </w:tc>
        <w:tc>
          <w:tcPr>
            <w:tcW w:w="1135" w:type="dxa"/>
            <w:tcBorders>
              <w:bottom w:val="single" w:sz="0" w:space="0" w:color="000000"/>
            </w:tcBorders>
          </w:tcPr>
          <w:p>
            <w:pPr>
              <w:pStyle w:val="TableParagraph"/>
              <w:spacing w:before="28"/>
              <w:ind w:right="83"/>
              <w:jc w:val="right"/>
              <w:rPr>
                <w:sz w:val="18"/>
              </w:rPr>
            </w:pPr>
            <w:r>
              <w:rPr>
                <w:w w:val="95"/>
                <w:sz w:val="18"/>
              </w:rPr>
              <w:t>247,890</w:t>
            </w:r>
          </w:p>
        </w:tc>
      </w:tr>
      <w:tr>
        <w:trPr>
          <w:trHeight w:val="338" w:hRule="exact"/>
        </w:trPr>
        <w:tc>
          <w:tcPr>
            <w:tcW w:w="6368" w:type="dxa"/>
          </w:tcPr>
          <w:p>
            <w:pPr>
              <w:pStyle w:val="TableParagraph"/>
              <w:spacing w:before="123"/>
              <w:ind w:left="35"/>
              <w:rPr>
                <w:b/>
                <w:sz w:val="18"/>
              </w:rPr>
            </w:pPr>
            <w:r>
              <w:rPr>
                <w:b/>
                <w:sz w:val="18"/>
              </w:rPr>
              <w:t>Total non-current receivables</w:t>
            </w: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214,043</w:t>
            </w:r>
          </w:p>
        </w:tc>
        <w:tc>
          <w:tcPr>
            <w:tcW w:w="1135" w:type="dxa"/>
            <w:tcBorders>
              <w:top w:val="single" w:sz="0" w:space="0" w:color="000000"/>
              <w:bottom w:val="single" w:sz="0" w:space="0" w:color="000000"/>
            </w:tcBorders>
          </w:tcPr>
          <w:p>
            <w:pPr>
              <w:pStyle w:val="TableParagraph"/>
              <w:spacing w:before="122"/>
              <w:ind w:right="83"/>
              <w:jc w:val="right"/>
              <w:rPr>
                <w:sz w:val="18"/>
              </w:rPr>
            </w:pPr>
            <w:r>
              <w:rPr>
                <w:w w:val="95"/>
                <w:sz w:val="18"/>
              </w:rPr>
              <w:t>247,890</w:t>
            </w:r>
          </w:p>
        </w:tc>
      </w:tr>
      <w:tr>
        <w:trPr>
          <w:trHeight w:val="544" w:hRule="exact"/>
        </w:trPr>
        <w:tc>
          <w:tcPr>
            <w:tcW w:w="6368" w:type="dxa"/>
          </w:tcPr>
          <w:p>
            <w:pPr>
              <w:pStyle w:val="TableParagraph"/>
              <w:rPr>
                <w:sz w:val="26"/>
              </w:rPr>
            </w:pPr>
          </w:p>
          <w:p>
            <w:pPr>
              <w:pStyle w:val="TableParagraph"/>
              <w:ind w:left="35"/>
              <w:rPr>
                <w:sz w:val="18"/>
              </w:rPr>
            </w:pPr>
            <w:r>
              <w:rPr>
                <w:sz w:val="18"/>
              </w:rPr>
              <w:t>Current payables (purchase of services)</w:t>
            </w:r>
          </w:p>
        </w:tc>
        <w:tc>
          <w:tcPr>
            <w:tcW w:w="1460" w:type="dxa"/>
            <w:tcBorders>
              <w:top w:val="single" w:sz="0" w:space="0" w:color="000000"/>
            </w:tcBorders>
          </w:tcPr>
          <w:p>
            <w:pPr/>
          </w:p>
        </w:tc>
        <w:tc>
          <w:tcPr>
            <w:tcW w:w="1135" w:type="dxa"/>
            <w:tcBorders>
              <w:top w:val="single" w:sz="0" w:space="0" w:color="000000"/>
            </w:tcBorders>
          </w:tcPr>
          <w:p>
            <w:pPr/>
          </w:p>
        </w:tc>
      </w:tr>
      <w:tr>
        <w:trPr>
          <w:trHeight w:val="262" w:hRule="exact"/>
        </w:trPr>
        <w:tc>
          <w:tcPr>
            <w:tcW w:w="6368" w:type="dxa"/>
          </w:tcPr>
          <w:p>
            <w:pPr>
              <w:pStyle w:val="TableParagraph"/>
              <w:spacing w:before="19"/>
              <w:ind w:right="1643"/>
              <w:jc w:val="right"/>
              <w:rPr>
                <w:sz w:val="18"/>
              </w:rPr>
            </w:pPr>
            <w:r>
              <w:rPr>
                <w:sz w:val="18"/>
              </w:rPr>
              <w:t>Western Sydney University International College Pty Ltd</w:t>
            </w:r>
          </w:p>
        </w:tc>
        <w:tc>
          <w:tcPr>
            <w:tcW w:w="1460" w:type="dxa"/>
            <w:tcBorders>
              <w:bottom w:val="single" w:sz="0" w:space="0" w:color="000000"/>
            </w:tcBorders>
          </w:tcPr>
          <w:p>
            <w:pPr>
              <w:pStyle w:val="TableParagraph"/>
              <w:spacing w:before="18"/>
              <w:ind w:right="162"/>
              <w:jc w:val="center"/>
              <w:rPr>
                <w:b/>
                <w:sz w:val="18"/>
              </w:rPr>
            </w:pPr>
            <w:r>
              <w:rPr>
                <w:b/>
                <w:w w:val="99"/>
                <w:sz w:val="18"/>
              </w:rPr>
              <w:t>-</w:t>
            </w:r>
          </w:p>
        </w:tc>
        <w:tc>
          <w:tcPr>
            <w:tcW w:w="1135" w:type="dxa"/>
            <w:tcBorders>
              <w:bottom w:val="single" w:sz="0" w:space="0" w:color="000000"/>
            </w:tcBorders>
          </w:tcPr>
          <w:p>
            <w:pPr>
              <w:pStyle w:val="TableParagraph"/>
              <w:spacing w:before="18"/>
              <w:ind w:right="83"/>
              <w:jc w:val="right"/>
              <w:rPr>
                <w:sz w:val="18"/>
              </w:rPr>
            </w:pPr>
            <w:r>
              <w:rPr>
                <w:w w:val="95"/>
                <w:sz w:val="18"/>
              </w:rPr>
              <w:t>684,058</w:t>
            </w:r>
          </w:p>
        </w:tc>
      </w:tr>
      <w:tr>
        <w:trPr>
          <w:trHeight w:val="338" w:hRule="exact"/>
        </w:trPr>
        <w:tc>
          <w:tcPr>
            <w:tcW w:w="6368" w:type="dxa"/>
          </w:tcPr>
          <w:p>
            <w:pPr>
              <w:pStyle w:val="TableParagraph"/>
              <w:spacing w:before="123"/>
              <w:ind w:left="35"/>
              <w:rPr>
                <w:b/>
                <w:sz w:val="18"/>
              </w:rPr>
            </w:pPr>
            <w:r>
              <w:rPr>
                <w:b/>
                <w:sz w:val="18"/>
              </w:rPr>
              <w:t>Total current payables</w:t>
            </w:r>
          </w:p>
        </w:tc>
        <w:tc>
          <w:tcPr>
            <w:tcW w:w="1460" w:type="dxa"/>
            <w:tcBorders>
              <w:top w:val="single" w:sz="0" w:space="0" w:color="000000"/>
              <w:bottom w:val="single" w:sz="0" w:space="0" w:color="000000"/>
            </w:tcBorders>
          </w:tcPr>
          <w:p>
            <w:pPr>
              <w:pStyle w:val="TableParagraph"/>
              <w:spacing w:before="122"/>
              <w:ind w:right="161"/>
              <w:jc w:val="center"/>
              <w:rPr>
                <w:b/>
                <w:sz w:val="18"/>
              </w:rPr>
            </w:pPr>
            <w:r>
              <w:rPr>
                <w:b/>
                <w:w w:val="99"/>
                <w:sz w:val="18"/>
              </w:rPr>
              <w:t>-</w:t>
            </w:r>
          </w:p>
        </w:tc>
        <w:tc>
          <w:tcPr>
            <w:tcW w:w="1135" w:type="dxa"/>
            <w:tcBorders>
              <w:top w:val="single" w:sz="0" w:space="0" w:color="000000"/>
              <w:bottom w:val="single" w:sz="0" w:space="0" w:color="000000"/>
            </w:tcBorders>
          </w:tcPr>
          <w:p>
            <w:pPr>
              <w:pStyle w:val="TableParagraph"/>
              <w:spacing w:before="122"/>
              <w:ind w:right="83"/>
              <w:jc w:val="right"/>
              <w:rPr>
                <w:sz w:val="18"/>
              </w:rPr>
            </w:pPr>
            <w:r>
              <w:rPr>
                <w:w w:val="95"/>
                <w:sz w:val="18"/>
              </w:rPr>
              <w:t>684,058</w:t>
            </w:r>
          </w:p>
        </w:tc>
      </w:tr>
    </w:tbl>
    <w:p>
      <w:pPr>
        <w:pStyle w:val="BodyText"/>
        <w:spacing w:before="3"/>
        <w:rPr>
          <w:sz w:val="19"/>
        </w:rPr>
      </w:pPr>
    </w:p>
    <w:p>
      <w:pPr>
        <w:pStyle w:val="BodyText"/>
        <w:spacing w:before="77"/>
        <w:ind w:left="1072" w:right="802"/>
      </w:pPr>
      <w:r>
        <w:rPr/>
        <w:t>No provisions for impaired receivables have been raised in relation to any outstanding balances, and no expense has been recognised in respect of bad or doubtful debts due from related parties.</w:t>
      </w:r>
    </w:p>
    <w:p>
      <w:pPr>
        <w:spacing w:after="0"/>
        <w:sectPr>
          <w:pgSz w:w="11910" w:h="16840"/>
          <w:pgMar w:header="1038" w:footer="507" w:top="1720" w:bottom="700" w:left="900" w:right="860"/>
        </w:sectPr>
      </w:pPr>
    </w:p>
    <w:p>
      <w:pPr>
        <w:pStyle w:val="BodyText"/>
        <w:spacing w:before="2"/>
        <w:rPr>
          <w:sz w:val="24"/>
        </w:rPr>
      </w:pPr>
    </w:p>
    <w:p>
      <w:pPr>
        <w:pStyle w:val="Heading3"/>
        <w:ind w:left="147" w:right="19"/>
      </w:pPr>
      <w:r>
        <w:rPr/>
        <w:t>Notes to the Financial Statements</w:t>
      </w:r>
    </w:p>
    <w:p>
      <w:pPr>
        <w:pStyle w:val="Heading6"/>
        <w:ind w:left="147" w:right="19"/>
      </w:pPr>
      <w:r>
        <w:rPr/>
        <w:t>For the Year Ended 31 December 2017</w:t>
      </w:r>
    </w:p>
    <w:p>
      <w:pPr>
        <w:pStyle w:val="BodyText"/>
        <w:rPr>
          <w:b/>
          <w:sz w:val="22"/>
        </w:rPr>
      </w:pPr>
    </w:p>
    <w:p>
      <w:pPr>
        <w:pStyle w:val="BodyText"/>
        <w:rPr>
          <w:b/>
          <w:sz w:val="22"/>
        </w:rPr>
      </w:pPr>
    </w:p>
    <w:p>
      <w:pPr>
        <w:pStyle w:val="Heading9"/>
        <w:numPr>
          <w:ilvl w:val="0"/>
          <w:numId w:val="58"/>
        </w:numPr>
        <w:tabs>
          <w:tab w:pos="546" w:val="left" w:leader="none"/>
        </w:tabs>
        <w:spacing w:line="240" w:lineRule="auto" w:before="160" w:after="0"/>
        <w:ind w:left="545" w:right="0" w:hanging="396"/>
        <w:jc w:val="left"/>
      </w:pPr>
      <w:r>
        <w:rPr/>
        <w:t>Reconciliation of Surplus to Net Cash Flows From Operating</w:t>
      </w:r>
      <w:r>
        <w:rPr>
          <w:spacing w:val="-1"/>
        </w:rPr>
        <w:t> </w:t>
      </w:r>
      <w:r>
        <w:rPr/>
        <w:t>Activities</w:t>
      </w:r>
    </w:p>
    <w:p>
      <w:pPr>
        <w:pStyle w:val="BodyText"/>
        <w:rPr>
          <w:b/>
          <w:sz w:val="20"/>
        </w:rPr>
      </w:pPr>
    </w:p>
    <w:p>
      <w:pPr>
        <w:pStyle w:val="BodyText"/>
        <w:spacing w:before="1" w:after="1"/>
        <w:rPr>
          <w:b/>
          <w:sz w:val="19"/>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6"/>
        <w:gridCol w:w="6942"/>
        <w:gridCol w:w="1490"/>
        <w:gridCol w:w="1113"/>
      </w:tblGrid>
      <w:tr>
        <w:trPr>
          <w:trHeight w:val="864" w:hRule="exact"/>
        </w:trPr>
        <w:tc>
          <w:tcPr>
            <w:tcW w:w="7357" w:type="dxa"/>
            <w:gridSpan w:val="2"/>
          </w:tcPr>
          <w:p>
            <w:pPr>
              <w:pStyle w:val="TableParagraph"/>
              <w:rPr>
                <w:b/>
                <w:sz w:val="18"/>
              </w:rPr>
            </w:pPr>
          </w:p>
          <w:p>
            <w:pPr>
              <w:pStyle w:val="TableParagraph"/>
              <w:rPr>
                <w:b/>
                <w:sz w:val="18"/>
              </w:rPr>
            </w:pPr>
          </w:p>
          <w:p>
            <w:pPr>
              <w:pStyle w:val="TableParagraph"/>
              <w:spacing w:before="8"/>
              <w:rPr>
                <w:b/>
                <w:sz w:val="17"/>
              </w:rPr>
            </w:pPr>
          </w:p>
          <w:p>
            <w:pPr>
              <w:pStyle w:val="TableParagraph"/>
              <w:spacing w:before="1"/>
              <w:ind w:left="470"/>
              <w:rPr>
                <w:sz w:val="18"/>
              </w:rPr>
            </w:pPr>
            <w:r>
              <w:rPr>
                <w:sz w:val="18"/>
              </w:rPr>
              <w:t>Surplus for the year</w:t>
            </w:r>
          </w:p>
        </w:tc>
        <w:tc>
          <w:tcPr>
            <w:tcW w:w="1490" w:type="dxa"/>
          </w:tcPr>
          <w:p>
            <w:pPr>
              <w:pStyle w:val="TableParagraph"/>
              <w:spacing w:before="77"/>
              <w:ind w:left="452" w:right="596"/>
              <w:jc w:val="center"/>
              <w:rPr>
                <w:b/>
                <w:sz w:val="18"/>
              </w:rPr>
            </w:pPr>
            <w:r>
              <w:rPr>
                <w:b/>
                <w:sz w:val="18"/>
              </w:rPr>
              <w:t>2017</w:t>
            </w:r>
          </w:p>
          <w:p>
            <w:pPr>
              <w:pStyle w:val="TableParagraph"/>
              <w:spacing w:before="66"/>
              <w:ind w:right="144"/>
              <w:jc w:val="center"/>
              <w:rPr>
                <w:b/>
                <w:sz w:val="18"/>
              </w:rPr>
            </w:pPr>
            <w:r>
              <w:rPr>
                <w:b/>
                <w:w w:val="99"/>
                <w:sz w:val="18"/>
              </w:rPr>
              <w:t>$</w:t>
            </w:r>
          </w:p>
          <w:p>
            <w:pPr>
              <w:pStyle w:val="TableParagraph"/>
              <w:spacing w:before="62"/>
              <w:ind w:right="146"/>
              <w:jc w:val="center"/>
              <w:rPr>
                <w:b/>
                <w:sz w:val="18"/>
              </w:rPr>
            </w:pPr>
            <w:r>
              <w:rPr>
                <w:b/>
                <w:w w:val="99"/>
                <w:sz w:val="18"/>
              </w:rPr>
              <w:t>-</w:t>
            </w:r>
          </w:p>
        </w:tc>
        <w:tc>
          <w:tcPr>
            <w:tcW w:w="1113" w:type="dxa"/>
          </w:tcPr>
          <w:p>
            <w:pPr>
              <w:pStyle w:val="TableParagraph"/>
              <w:spacing w:before="77"/>
              <w:ind w:left="245" w:right="426"/>
              <w:jc w:val="center"/>
              <w:rPr>
                <w:b/>
                <w:sz w:val="18"/>
              </w:rPr>
            </w:pPr>
            <w:r>
              <w:rPr>
                <w:b/>
                <w:sz w:val="18"/>
              </w:rPr>
              <w:t>2016</w:t>
            </w:r>
          </w:p>
          <w:p>
            <w:pPr>
              <w:pStyle w:val="TableParagraph"/>
              <w:spacing w:before="66"/>
              <w:ind w:right="182"/>
              <w:jc w:val="center"/>
              <w:rPr>
                <w:b/>
                <w:sz w:val="18"/>
              </w:rPr>
            </w:pPr>
            <w:r>
              <w:rPr>
                <w:b/>
                <w:w w:val="99"/>
                <w:sz w:val="18"/>
              </w:rPr>
              <w:t>$</w:t>
            </w:r>
          </w:p>
          <w:p>
            <w:pPr>
              <w:pStyle w:val="TableParagraph"/>
              <w:spacing w:before="62"/>
              <w:ind w:right="183"/>
              <w:jc w:val="center"/>
              <w:rPr>
                <w:sz w:val="18"/>
              </w:rPr>
            </w:pPr>
            <w:r>
              <w:rPr>
                <w:w w:val="99"/>
                <w:sz w:val="18"/>
              </w:rPr>
              <w:t>-</w:t>
            </w:r>
          </w:p>
        </w:tc>
      </w:tr>
      <w:tr>
        <w:trPr>
          <w:trHeight w:val="262" w:hRule="exact"/>
        </w:trPr>
        <w:tc>
          <w:tcPr>
            <w:tcW w:w="7357" w:type="dxa"/>
            <w:gridSpan w:val="2"/>
          </w:tcPr>
          <w:p>
            <w:pPr>
              <w:pStyle w:val="TableParagraph"/>
              <w:spacing w:before="18"/>
              <w:ind w:left="470"/>
              <w:rPr>
                <w:sz w:val="18"/>
              </w:rPr>
            </w:pPr>
            <w:r>
              <w:rPr>
                <w:sz w:val="18"/>
              </w:rPr>
              <w:t>Non-cash flows in surplus</w:t>
            </w:r>
          </w:p>
        </w:tc>
        <w:tc>
          <w:tcPr>
            <w:tcW w:w="1490" w:type="dxa"/>
          </w:tcPr>
          <w:p>
            <w:pPr/>
          </w:p>
        </w:tc>
        <w:tc>
          <w:tcPr>
            <w:tcW w:w="1113" w:type="dxa"/>
          </w:tcPr>
          <w:p>
            <w:pPr/>
          </w:p>
        </w:tc>
      </w:tr>
      <w:tr>
        <w:trPr>
          <w:trHeight w:val="263" w:hRule="exact"/>
        </w:trPr>
        <w:tc>
          <w:tcPr>
            <w:tcW w:w="7357" w:type="dxa"/>
            <w:gridSpan w:val="2"/>
          </w:tcPr>
          <w:p>
            <w:pPr>
              <w:pStyle w:val="TableParagraph"/>
              <w:spacing w:before="17"/>
              <w:ind w:left="685"/>
              <w:rPr>
                <w:sz w:val="18"/>
              </w:rPr>
            </w:pPr>
            <w:r>
              <w:rPr>
                <w:sz w:val="18"/>
              </w:rPr>
              <w:t>Depreciation and amortisation</w:t>
            </w:r>
          </w:p>
        </w:tc>
        <w:tc>
          <w:tcPr>
            <w:tcW w:w="1490" w:type="dxa"/>
          </w:tcPr>
          <w:p>
            <w:pPr>
              <w:pStyle w:val="TableParagraph"/>
              <w:spacing w:before="19"/>
              <w:ind w:left="411"/>
              <w:rPr>
                <w:b/>
                <w:sz w:val="18"/>
              </w:rPr>
            </w:pPr>
            <w:r>
              <w:rPr>
                <w:b/>
                <w:sz w:val="18"/>
              </w:rPr>
              <w:t>1,669,715</w:t>
            </w:r>
          </w:p>
        </w:tc>
        <w:tc>
          <w:tcPr>
            <w:tcW w:w="1113" w:type="dxa"/>
          </w:tcPr>
          <w:p>
            <w:pPr>
              <w:pStyle w:val="TableParagraph"/>
              <w:spacing w:before="19"/>
              <w:ind w:left="217"/>
              <w:rPr>
                <w:sz w:val="18"/>
              </w:rPr>
            </w:pPr>
            <w:r>
              <w:rPr>
                <w:sz w:val="18"/>
              </w:rPr>
              <w:t>1,235,440</w:t>
            </w:r>
          </w:p>
        </w:tc>
      </w:tr>
      <w:tr>
        <w:trPr>
          <w:trHeight w:val="264" w:hRule="exact"/>
        </w:trPr>
        <w:tc>
          <w:tcPr>
            <w:tcW w:w="7357" w:type="dxa"/>
            <w:gridSpan w:val="2"/>
          </w:tcPr>
          <w:p>
            <w:pPr>
              <w:pStyle w:val="TableParagraph"/>
              <w:spacing w:before="18"/>
              <w:ind w:left="685"/>
              <w:rPr>
                <w:sz w:val="18"/>
              </w:rPr>
            </w:pPr>
            <w:r>
              <w:rPr>
                <w:sz w:val="18"/>
              </w:rPr>
              <w:t>Western Sydney University loan interest non cash</w:t>
            </w:r>
          </w:p>
        </w:tc>
        <w:tc>
          <w:tcPr>
            <w:tcW w:w="1490" w:type="dxa"/>
          </w:tcPr>
          <w:p>
            <w:pPr>
              <w:pStyle w:val="TableParagraph"/>
              <w:spacing w:before="19"/>
              <w:ind w:right="215"/>
              <w:jc w:val="right"/>
              <w:rPr>
                <w:b/>
                <w:sz w:val="18"/>
              </w:rPr>
            </w:pPr>
            <w:r>
              <w:rPr>
                <w:b/>
                <w:w w:val="95"/>
                <w:sz w:val="18"/>
              </w:rPr>
              <w:t>(148,889)</w:t>
            </w:r>
          </w:p>
        </w:tc>
        <w:tc>
          <w:tcPr>
            <w:tcW w:w="1113" w:type="dxa"/>
          </w:tcPr>
          <w:p>
            <w:pPr>
              <w:pStyle w:val="TableParagraph"/>
              <w:spacing w:before="19"/>
              <w:ind w:right="33"/>
              <w:jc w:val="right"/>
              <w:rPr>
                <w:sz w:val="18"/>
              </w:rPr>
            </w:pPr>
            <w:r>
              <w:rPr>
                <w:w w:val="95"/>
                <w:sz w:val="18"/>
              </w:rPr>
              <w:t>(100,130)</w:t>
            </w:r>
          </w:p>
        </w:tc>
      </w:tr>
      <w:tr>
        <w:trPr>
          <w:trHeight w:val="264" w:hRule="exact"/>
        </w:trPr>
        <w:tc>
          <w:tcPr>
            <w:tcW w:w="7357" w:type="dxa"/>
            <w:gridSpan w:val="2"/>
          </w:tcPr>
          <w:p>
            <w:pPr>
              <w:pStyle w:val="TableParagraph"/>
              <w:spacing w:before="18"/>
              <w:ind w:left="685"/>
              <w:rPr>
                <w:sz w:val="18"/>
              </w:rPr>
            </w:pPr>
            <w:r>
              <w:rPr>
                <w:sz w:val="18"/>
              </w:rPr>
              <w:t>Provision for impaired receivables</w:t>
            </w:r>
          </w:p>
        </w:tc>
        <w:tc>
          <w:tcPr>
            <w:tcW w:w="1490" w:type="dxa"/>
          </w:tcPr>
          <w:p>
            <w:pPr>
              <w:pStyle w:val="TableParagraph"/>
              <w:spacing w:before="19"/>
              <w:ind w:right="216"/>
              <w:jc w:val="right"/>
              <w:rPr>
                <w:b/>
                <w:sz w:val="18"/>
              </w:rPr>
            </w:pPr>
            <w:r>
              <w:rPr>
                <w:b/>
                <w:w w:val="95"/>
                <w:sz w:val="18"/>
              </w:rPr>
              <w:t>(6,910)</w:t>
            </w:r>
          </w:p>
        </w:tc>
        <w:tc>
          <w:tcPr>
            <w:tcW w:w="1113" w:type="dxa"/>
          </w:tcPr>
          <w:p>
            <w:pPr>
              <w:pStyle w:val="TableParagraph"/>
              <w:spacing w:before="19"/>
              <w:ind w:right="93"/>
              <w:jc w:val="right"/>
              <w:rPr>
                <w:sz w:val="18"/>
              </w:rPr>
            </w:pPr>
            <w:r>
              <w:rPr>
                <w:w w:val="95"/>
                <w:sz w:val="18"/>
              </w:rPr>
              <w:t>16,137</w:t>
            </w:r>
          </w:p>
        </w:tc>
      </w:tr>
      <w:tr>
        <w:trPr>
          <w:trHeight w:val="223" w:hRule="exact"/>
        </w:trPr>
        <w:tc>
          <w:tcPr>
            <w:tcW w:w="7357" w:type="dxa"/>
            <w:gridSpan w:val="2"/>
          </w:tcPr>
          <w:p>
            <w:pPr>
              <w:pStyle w:val="TableParagraph"/>
              <w:spacing w:before="18"/>
              <w:ind w:left="685"/>
              <w:rPr>
                <w:sz w:val="18"/>
              </w:rPr>
            </w:pPr>
            <w:r>
              <w:rPr>
                <w:sz w:val="18"/>
              </w:rPr>
              <w:t>Share of joint venture entity net profit after income tax and dividends</w:t>
            </w:r>
          </w:p>
        </w:tc>
        <w:tc>
          <w:tcPr>
            <w:tcW w:w="1490" w:type="dxa"/>
          </w:tcPr>
          <w:p>
            <w:pPr>
              <w:pStyle w:val="TableParagraph"/>
              <w:spacing w:before="19"/>
              <w:ind w:left="561"/>
              <w:rPr>
                <w:b/>
                <w:sz w:val="18"/>
              </w:rPr>
            </w:pPr>
            <w:r>
              <w:rPr>
                <w:b/>
                <w:sz w:val="18"/>
              </w:rPr>
              <w:t>833,847</w:t>
            </w:r>
          </w:p>
        </w:tc>
        <w:tc>
          <w:tcPr>
            <w:tcW w:w="1113" w:type="dxa"/>
          </w:tcPr>
          <w:p>
            <w:pPr>
              <w:pStyle w:val="TableParagraph"/>
              <w:spacing w:before="19"/>
              <w:ind w:left="217"/>
              <w:rPr>
                <w:sz w:val="18"/>
              </w:rPr>
            </w:pPr>
            <w:r>
              <w:rPr>
                <w:sz w:val="18"/>
              </w:rPr>
              <w:t>1,052,110</w:t>
            </w:r>
          </w:p>
        </w:tc>
      </w:tr>
      <w:tr>
        <w:trPr>
          <w:trHeight w:val="304" w:hRule="exact"/>
        </w:trPr>
        <w:tc>
          <w:tcPr>
            <w:tcW w:w="7357" w:type="dxa"/>
            <w:gridSpan w:val="2"/>
          </w:tcPr>
          <w:p>
            <w:pPr>
              <w:pStyle w:val="TableParagraph"/>
              <w:spacing w:before="60"/>
              <w:ind w:left="470"/>
              <w:rPr>
                <w:sz w:val="18"/>
              </w:rPr>
            </w:pPr>
            <w:r>
              <w:rPr>
                <w:sz w:val="18"/>
              </w:rPr>
              <w:t>Changes in assets and liabilities</w:t>
            </w:r>
          </w:p>
        </w:tc>
        <w:tc>
          <w:tcPr>
            <w:tcW w:w="1490" w:type="dxa"/>
          </w:tcPr>
          <w:p>
            <w:pPr/>
          </w:p>
        </w:tc>
        <w:tc>
          <w:tcPr>
            <w:tcW w:w="1113" w:type="dxa"/>
          </w:tcPr>
          <w:p>
            <w:pPr/>
          </w:p>
        </w:tc>
      </w:tr>
      <w:tr>
        <w:trPr>
          <w:trHeight w:val="263" w:hRule="exact"/>
        </w:trPr>
        <w:tc>
          <w:tcPr>
            <w:tcW w:w="416" w:type="dxa"/>
          </w:tcPr>
          <w:p>
            <w:pPr/>
          </w:p>
        </w:tc>
        <w:tc>
          <w:tcPr>
            <w:tcW w:w="6942" w:type="dxa"/>
          </w:tcPr>
          <w:p>
            <w:pPr>
              <w:pStyle w:val="TableParagraph"/>
              <w:spacing w:before="17"/>
              <w:ind w:left="269"/>
              <w:rPr>
                <w:sz w:val="18"/>
              </w:rPr>
            </w:pPr>
            <w:r>
              <w:rPr>
                <w:sz w:val="18"/>
              </w:rPr>
              <w:t>(increase)/decrease in trade and other receivables</w:t>
            </w:r>
          </w:p>
        </w:tc>
        <w:tc>
          <w:tcPr>
            <w:tcW w:w="1490" w:type="dxa"/>
          </w:tcPr>
          <w:p>
            <w:pPr>
              <w:pStyle w:val="TableParagraph"/>
              <w:spacing w:before="19"/>
              <w:ind w:right="216"/>
              <w:jc w:val="right"/>
              <w:rPr>
                <w:b/>
                <w:sz w:val="18"/>
              </w:rPr>
            </w:pPr>
            <w:r>
              <w:rPr>
                <w:b/>
                <w:w w:val="95"/>
                <w:sz w:val="18"/>
              </w:rPr>
              <w:t>(20,941)</w:t>
            </w:r>
          </w:p>
        </w:tc>
        <w:tc>
          <w:tcPr>
            <w:tcW w:w="1113" w:type="dxa"/>
          </w:tcPr>
          <w:p>
            <w:pPr>
              <w:pStyle w:val="TableParagraph"/>
              <w:spacing w:before="19"/>
              <w:ind w:right="33"/>
              <w:jc w:val="right"/>
              <w:rPr>
                <w:sz w:val="18"/>
              </w:rPr>
            </w:pPr>
            <w:r>
              <w:rPr>
                <w:w w:val="95"/>
                <w:sz w:val="18"/>
              </w:rPr>
              <w:t>(48,787)</w:t>
            </w:r>
          </w:p>
        </w:tc>
      </w:tr>
      <w:tr>
        <w:trPr>
          <w:trHeight w:val="264" w:hRule="exact"/>
        </w:trPr>
        <w:tc>
          <w:tcPr>
            <w:tcW w:w="416" w:type="dxa"/>
          </w:tcPr>
          <w:p>
            <w:pPr/>
          </w:p>
        </w:tc>
        <w:tc>
          <w:tcPr>
            <w:tcW w:w="6942" w:type="dxa"/>
          </w:tcPr>
          <w:p>
            <w:pPr>
              <w:pStyle w:val="TableParagraph"/>
              <w:spacing w:before="18"/>
              <w:ind w:left="269"/>
              <w:rPr>
                <w:sz w:val="18"/>
              </w:rPr>
            </w:pPr>
            <w:r>
              <w:rPr>
                <w:sz w:val="18"/>
              </w:rPr>
              <w:t>(increase)/decrease in prepayments</w:t>
            </w:r>
          </w:p>
        </w:tc>
        <w:tc>
          <w:tcPr>
            <w:tcW w:w="1490" w:type="dxa"/>
          </w:tcPr>
          <w:p>
            <w:pPr>
              <w:pStyle w:val="TableParagraph"/>
              <w:spacing w:before="19"/>
              <w:ind w:right="216"/>
              <w:jc w:val="right"/>
              <w:rPr>
                <w:b/>
                <w:sz w:val="18"/>
              </w:rPr>
            </w:pPr>
            <w:r>
              <w:rPr>
                <w:b/>
                <w:w w:val="95"/>
                <w:sz w:val="18"/>
              </w:rPr>
              <w:t>(45,604)</w:t>
            </w:r>
          </w:p>
        </w:tc>
        <w:tc>
          <w:tcPr>
            <w:tcW w:w="1113" w:type="dxa"/>
          </w:tcPr>
          <w:p>
            <w:pPr>
              <w:pStyle w:val="TableParagraph"/>
              <w:spacing w:before="19"/>
              <w:ind w:left="367"/>
              <w:rPr>
                <w:sz w:val="18"/>
              </w:rPr>
            </w:pPr>
            <w:r>
              <w:rPr>
                <w:sz w:val="18"/>
              </w:rPr>
              <w:t>124,488</w:t>
            </w:r>
          </w:p>
        </w:tc>
      </w:tr>
      <w:tr>
        <w:trPr>
          <w:trHeight w:val="264" w:hRule="exact"/>
        </w:trPr>
        <w:tc>
          <w:tcPr>
            <w:tcW w:w="416" w:type="dxa"/>
          </w:tcPr>
          <w:p>
            <w:pPr/>
          </w:p>
        </w:tc>
        <w:tc>
          <w:tcPr>
            <w:tcW w:w="6942" w:type="dxa"/>
          </w:tcPr>
          <w:p>
            <w:pPr>
              <w:pStyle w:val="TableParagraph"/>
              <w:spacing w:before="18"/>
              <w:ind w:left="269"/>
              <w:rPr>
                <w:sz w:val="18"/>
              </w:rPr>
            </w:pPr>
            <w:r>
              <w:rPr>
                <w:sz w:val="18"/>
              </w:rPr>
              <w:t>increase/(decrease) in related party account balances</w:t>
            </w:r>
          </w:p>
        </w:tc>
        <w:tc>
          <w:tcPr>
            <w:tcW w:w="1490" w:type="dxa"/>
          </w:tcPr>
          <w:p>
            <w:pPr>
              <w:pStyle w:val="TableParagraph"/>
              <w:spacing w:before="19"/>
              <w:ind w:right="215"/>
              <w:jc w:val="right"/>
              <w:rPr>
                <w:b/>
                <w:sz w:val="18"/>
              </w:rPr>
            </w:pPr>
            <w:r>
              <w:rPr>
                <w:b/>
                <w:w w:val="95"/>
                <w:sz w:val="18"/>
              </w:rPr>
              <w:t>(1,750,071)</w:t>
            </w:r>
          </w:p>
        </w:tc>
        <w:tc>
          <w:tcPr>
            <w:tcW w:w="1113" w:type="dxa"/>
          </w:tcPr>
          <w:p>
            <w:pPr>
              <w:pStyle w:val="TableParagraph"/>
              <w:spacing w:before="19"/>
              <w:ind w:left="367"/>
              <w:rPr>
                <w:sz w:val="18"/>
              </w:rPr>
            </w:pPr>
            <w:r>
              <w:rPr>
                <w:sz w:val="18"/>
              </w:rPr>
              <w:t>106,021</w:t>
            </w:r>
          </w:p>
        </w:tc>
      </w:tr>
      <w:tr>
        <w:trPr>
          <w:trHeight w:val="264" w:hRule="exact"/>
        </w:trPr>
        <w:tc>
          <w:tcPr>
            <w:tcW w:w="416" w:type="dxa"/>
          </w:tcPr>
          <w:p>
            <w:pPr/>
          </w:p>
        </w:tc>
        <w:tc>
          <w:tcPr>
            <w:tcW w:w="6942" w:type="dxa"/>
          </w:tcPr>
          <w:p>
            <w:pPr>
              <w:pStyle w:val="TableParagraph"/>
              <w:spacing w:before="18"/>
              <w:ind w:left="269"/>
              <w:rPr>
                <w:sz w:val="18"/>
              </w:rPr>
            </w:pPr>
            <w:r>
              <w:rPr>
                <w:sz w:val="18"/>
              </w:rPr>
              <w:t>increase/(decrease) in accruals</w:t>
            </w:r>
          </w:p>
        </w:tc>
        <w:tc>
          <w:tcPr>
            <w:tcW w:w="1490" w:type="dxa"/>
          </w:tcPr>
          <w:p>
            <w:pPr>
              <w:pStyle w:val="TableParagraph"/>
              <w:spacing w:before="19"/>
              <w:ind w:left="561"/>
              <w:rPr>
                <w:b/>
                <w:sz w:val="18"/>
              </w:rPr>
            </w:pPr>
            <w:r>
              <w:rPr>
                <w:b/>
                <w:sz w:val="18"/>
              </w:rPr>
              <w:t>805,951</w:t>
            </w:r>
          </w:p>
        </w:tc>
        <w:tc>
          <w:tcPr>
            <w:tcW w:w="1113" w:type="dxa"/>
          </w:tcPr>
          <w:p>
            <w:pPr>
              <w:pStyle w:val="TableParagraph"/>
              <w:spacing w:before="19"/>
              <w:ind w:right="93"/>
              <w:jc w:val="right"/>
              <w:rPr>
                <w:sz w:val="18"/>
              </w:rPr>
            </w:pPr>
            <w:r>
              <w:rPr>
                <w:w w:val="95"/>
                <w:sz w:val="18"/>
              </w:rPr>
              <w:t>67,698</w:t>
            </w:r>
          </w:p>
        </w:tc>
      </w:tr>
      <w:tr>
        <w:trPr>
          <w:trHeight w:val="264" w:hRule="exact"/>
        </w:trPr>
        <w:tc>
          <w:tcPr>
            <w:tcW w:w="416" w:type="dxa"/>
          </w:tcPr>
          <w:p>
            <w:pPr/>
          </w:p>
        </w:tc>
        <w:tc>
          <w:tcPr>
            <w:tcW w:w="6942" w:type="dxa"/>
          </w:tcPr>
          <w:p>
            <w:pPr>
              <w:pStyle w:val="TableParagraph"/>
              <w:spacing w:before="18"/>
              <w:ind w:left="269"/>
              <w:rPr>
                <w:sz w:val="18"/>
              </w:rPr>
            </w:pPr>
            <w:r>
              <w:rPr>
                <w:sz w:val="18"/>
              </w:rPr>
              <w:t>increase/(decrease) in trade and other payables</w:t>
            </w:r>
          </w:p>
        </w:tc>
        <w:tc>
          <w:tcPr>
            <w:tcW w:w="1490" w:type="dxa"/>
          </w:tcPr>
          <w:p>
            <w:pPr>
              <w:pStyle w:val="TableParagraph"/>
              <w:spacing w:before="19"/>
              <w:ind w:left="561"/>
              <w:rPr>
                <w:b/>
                <w:sz w:val="18"/>
              </w:rPr>
            </w:pPr>
            <w:r>
              <w:rPr>
                <w:b/>
                <w:sz w:val="18"/>
              </w:rPr>
              <w:t>328,229</w:t>
            </w:r>
          </w:p>
        </w:tc>
        <w:tc>
          <w:tcPr>
            <w:tcW w:w="1113" w:type="dxa"/>
          </w:tcPr>
          <w:p>
            <w:pPr>
              <w:pStyle w:val="TableParagraph"/>
              <w:spacing w:before="19"/>
              <w:ind w:right="32"/>
              <w:jc w:val="right"/>
              <w:rPr>
                <w:sz w:val="18"/>
              </w:rPr>
            </w:pPr>
            <w:r>
              <w:rPr>
                <w:w w:val="95"/>
                <w:sz w:val="18"/>
              </w:rPr>
              <w:t>(352,097)</w:t>
            </w:r>
          </w:p>
        </w:tc>
      </w:tr>
      <w:tr>
        <w:trPr>
          <w:trHeight w:val="264" w:hRule="exact"/>
        </w:trPr>
        <w:tc>
          <w:tcPr>
            <w:tcW w:w="416" w:type="dxa"/>
          </w:tcPr>
          <w:p>
            <w:pPr/>
          </w:p>
        </w:tc>
        <w:tc>
          <w:tcPr>
            <w:tcW w:w="6942" w:type="dxa"/>
          </w:tcPr>
          <w:p>
            <w:pPr>
              <w:pStyle w:val="TableParagraph"/>
              <w:spacing w:before="18"/>
              <w:ind w:left="269"/>
              <w:rPr>
                <w:sz w:val="18"/>
              </w:rPr>
            </w:pPr>
            <w:r>
              <w:rPr>
                <w:sz w:val="18"/>
              </w:rPr>
              <w:t>increase/(decrease) in other operating liabilities</w:t>
            </w:r>
          </w:p>
        </w:tc>
        <w:tc>
          <w:tcPr>
            <w:tcW w:w="1490" w:type="dxa"/>
          </w:tcPr>
          <w:p>
            <w:pPr>
              <w:pStyle w:val="TableParagraph"/>
              <w:spacing w:before="19"/>
              <w:ind w:right="215"/>
              <w:jc w:val="right"/>
              <w:rPr>
                <w:b/>
                <w:sz w:val="18"/>
              </w:rPr>
            </w:pPr>
            <w:r>
              <w:rPr>
                <w:b/>
                <w:w w:val="95"/>
                <w:sz w:val="18"/>
              </w:rPr>
              <w:t>(261,533)</w:t>
            </w:r>
          </w:p>
        </w:tc>
        <w:tc>
          <w:tcPr>
            <w:tcW w:w="1113" w:type="dxa"/>
          </w:tcPr>
          <w:p>
            <w:pPr>
              <w:pStyle w:val="TableParagraph"/>
              <w:spacing w:before="19"/>
              <w:ind w:left="367"/>
              <w:rPr>
                <w:sz w:val="18"/>
              </w:rPr>
            </w:pPr>
            <w:r>
              <w:rPr>
                <w:sz w:val="18"/>
              </w:rPr>
              <w:t>378,956</w:t>
            </w:r>
          </w:p>
        </w:tc>
      </w:tr>
      <w:tr>
        <w:trPr>
          <w:trHeight w:val="263" w:hRule="exact"/>
        </w:trPr>
        <w:tc>
          <w:tcPr>
            <w:tcW w:w="416" w:type="dxa"/>
          </w:tcPr>
          <w:p>
            <w:pPr/>
          </w:p>
        </w:tc>
        <w:tc>
          <w:tcPr>
            <w:tcW w:w="6942" w:type="dxa"/>
          </w:tcPr>
          <w:p>
            <w:pPr>
              <w:pStyle w:val="TableParagraph"/>
              <w:spacing w:before="18"/>
              <w:ind w:left="269"/>
              <w:rPr>
                <w:sz w:val="18"/>
              </w:rPr>
            </w:pPr>
            <w:r>
              <w:rPr>
                <w:sz w:val="18"/>
              </w:rPr>
              <w:t>increase/(decrease) in employee benefits</w:t>
            </w:r>
          </w:p>
        </w:tc>
        <w:tc>
          <w:tcPr>
            <w:tcW w:w="1490" w:type="dxa"/>
            <w:tcBorders>
              <w:bottom w:val="single" w:sz="0" w:space="0" w:color="000000"/>
            </w:tcBorders>
          </w:tcPr>
          <w:p>
            <w:pPr>
              <w:pStyle w:val="TableParagraph"/>
              <w:spacing w:before="19"/>
              <w:ind w:left="561"/>
              <w:rPr>
                <w:b/>
                <w:sz w:val="18"/>
              </w:rPr>
            </w:pPr>
            <w:r>
              <w:rPr>
                <w:b/>
                <w:sz w:val="18"/>
              </w:rPr>
              <w:t>281,115</w:t>
            </w:r>
          </w:p>
        </w:tc>
        <w:tc>
          <w:tcPr>
            <w:tcW w:w="1113" w:type="dxa"/>
            <w:tcBorders>
              <w:bottom w:val="single" w:sz="0" w:space="0" w:color="000000"/>
            </w:tcBorders>
          </w:tcPr>
          <w:p>
            <w:pPr>
              <w:pStyle w:val="TableParagraph"/>
              <w:spacing w:before="19"/>
              <w:ind w:right="32"/>
              <w:jc w:val="right"/>
              <w:rPr>
                <w:sz w:val="18"/>
              </w:rPr>
            </w:pPr>
            <w:r>
              <w:rPr>
                <w:w w:val="95"/>
                <w:sz w:val="18"/>
              </w:rPr>
              <w:t>(195,196)</w:t>
            </w:r>
          </w:p>
        </w:tc>
      </w:tr>
      <w:tr>
        <w:trPr>
          <w:trHeight w:val="353" w:hRule="exact"/>
        </w:trPr>
        <w:tc>
          <w:tcPr>
            <w:tcW w:w="416" w:type="dxa"/>
          </w:tcPr>
          <w:p>
            <w:pPr/>
          </w:p>
        </w:tc>
        <w:tc>
          <w:tcPr>
            <w:tcW w:w="6942" w:type="dxa"/>
          </w:tcPr>
          <w:p>
            <w:pPr>
              <w:pStyle w:val="TableParagraph"/>
              <w:spacing w:before="38"/>
              <w:ind w:left="54"/>
              <w:rPr>
                <w:sz w:val="18"/>
              </w:rPr>
            </w:pPr>
            <w:r>
              <w:rPr>
                <w:sz w:val="18"/>
              </w:rPr>
              <w:t>Net cash flows provided by operating activities</w:t>
            </w:r>
          </w:p>
        </w:tc>
        <w:tc>
          <w:tcPr>
            <w:tcW w:w="1490" w:type="dxa"/>
            <w:tcBorders>
              <w:top w:val="single" w:sz="0" w:space="0" w:color="000000"/>
              <w:bottom w:val="single" w:sz="0" w:space="0" w:color="000000"/>
            </w:tcBorders>
          </w:tcPr>
          <w:p>
            <w:pPr>
              <w:pStyle w:val="TableParagraph"/>
              <w:spacing w:before="122"/>
              <w:ind w:left="411"/>
              <w:rPr>
                <w:b/>
                <w:sz w:val="18"/>
              </w:rPr>
            </w:pPr>
            <w:r>
              <w:rPr>
                <w:b/>
                <w:sz w:val="18"/>
              </w:rPr>
              <w:t>1,684,909</w:t>
            </w:r>
          </w:p>
        </w:tc>
        <w:tc>
          <w:tcPr>
            <w:tcW w:w="1113" w:type="dxa"/>
            <w:tcBorders>
              <w:top w:val="single" w:sz="0" w:space="0" w:color="000000"/>
              <w:bottom w:val="single" w:sz="0" w:space="0" w:color="000000"/>
            </w:tcBorders>
          </w:tcPr>
          <w:p>
            <w:pPr>
              <w:pStyle w:val="TableParagraph"/>
              <w:spacing w:before="122"/>
              <w:ind w:left="217"/>
              <w:rPr>
                <w:sz w:val="18"/>
              </w:rPr>
            </w:pPr>
            <w:r>
              <w:rPr>
                <w:sz w:val="18"/>
              </w:rPr>
              <w:t>2,284,640</w:t>
            </w:r>
          </w:p>
        </w:tc>
      </w:tr>
      <w:tr>
        <w:trPr>
          <w:trHeight w:val="617" w:hRule="exact"/>
        </w:trPr>
        <w:tc>
          <w:tcPr>
            <w:tcW w:w="416" w:type="dxa"/>
          </w:tcPr>
          <w:p>
            <w:pPr>
              <w:pStyle w:val="TableParagraph"/>
              <w:rPr>
                <w:b/>
                <w:sz w:val="18"/>
              </w:rPr>
            </w:pPr>
          </w:p>
          <w:p>
            <w:pPr>
              <w:pStyle w:val="TableParagraph"/>
              <w:spacing w:before="106"/>
              <w:ind w:left="35"/>
              <w:rPr>
                <w:b/>
                <w:sz w:val="18"/>
              </w:rPr>
            </w:pPr>
            <w:r>
              <w:rPr>
                <w:b/>
                <w:sz w:val="18"/>
              </w:rPr>
              <w:t>22</w:t>
            </w:r>
          </w:p>
        </w:tc>
        <w:tc>
          <w:tcPr>
            <w:tcW w:w="6942" w:type="dxa"/>
          </w:tcPr>
          <w:p>
            <w:pPr>
              <w:pStyle w:val="TableParagraph"/>
              <w:rPr>
                <w:b/>
                <w:sz w:val="18"/>
              </w:rPr>
            </w:pPr>
          </w:p>
          <w:p>
            <w:pPr>
              <w:pStyle w:val="TableParagraph"/>
              <w:spacing w:before="106"/>
              <w:ind w:left="15"/>
              <w:rPr>
                <w:b/>
                <w:sz w:val="18"/>
              </w:rPr>
            </w:pPr>
            <w:r>
              <w:rPr>
                <w:b/>
                <w:sz w:val="18"/>
              </w:rPr>
              <w:t>Events Occurring After the Reporting Date</w:t>
            </w:r>
          </w:p>
        </w:tc>
        <w:tc>
          <w:tcPr>
            <w:tcW w:w="1490" w:type="dxa"/>
            <w:tcBorders>
              <w:top w:val="single" w:sz="0" w:space="0" w:color="000000"/>
            </w:tcBorders>
          </w:tcPr>
          <w:p>
            <w:pPr/>
          </w:p>
        </w:tc>
        <w:tc>
          <w:tcPr>
            <w:tcW w:w="1113" w:type="dxa"/>
            <w:tcBorders>
              <w:top w:val="single" w:sz="0" w:space="0" w:color="000000"/>
            </w:tcBorders>
          </w:tcPr>
          <w:p>
            <w:pPr/>
          </w:p>
        </w:tc>
      </w:tr>
    </w:tbl>
    <w:p>
      <w:pPr>
        <w:pStyle w:val="BodyText"/>
        <w:spacing w:before="10"/>
        <w:rPr>
          <w:b/>
          <w:sz w:val="9"/>
        </w:rPr>
      </w:pPr>
    </w:p>
    <w:p>
      <w:pPr>
        <w:pStyle w:val="BodyText"/>
        <w:spacing w:before="78"/>
        <w:ind w:left="545" w:right="19"/>
      </w:pPr>
      <w:r>
        <w:rPr/>
        <w:t>No matters or circumstances have arisen since the end of the financial year which significantly affected or may significantly affect the operations of the Company, the results of those operations, or the state of affairs of the Company in future financial years.</w:t>
      </w:r>
    </w:p>
    <w:p>
      <w:pPr>
        <w:spacing w:after="0"/>
        <w:sectPr>
          <w:pgSz w:w="11910" w:h="16840"/>
          <w:pgMar w:header="1038" w:footer="507" w:top="1720" w:bottom="700" w:left="860" w:right="860"/>
        </w:sectPr>
      </w:pPr>
    </w:p>
    <w:p>
      <w:pPr>
        <w:pStyle w:val="BodyText"/>
        <w:spacing w:before="2"/>
        <w:rPr>
          <w:sz w:val="24"/>
        </w:rPr>
      </w:pPr>
    </w:p>
    <w:p>
      <w:pPr>
        <w:pStyle w:val="Heading3"/>
        <w:ind w:right="159"/>
      </w:pPr>
      <w:r>
        <w:rPr/>
        <w:t>Notes to the Financial Statements</w:t>
      </w:r>
    </w:p>
    <w:p>
      <w:pPr>
        <w:pStyle w:val="Heading6"/>
        <w:ind w:left="107" w:right="159"/>
      </w:pPr>
      <w:r>
        <w:rPr/>
        <w:t>For the Year Ended 31 December 2017</w:t>
      </w:r>
    </w:p>
    <w:p>
      <w:pPr>
        <w:pStyle w:val="BodyText"/>
        <w:spacing w:before="10"/>
        <w:rPr>
          <w:b/>
          <w:sz w:val="32"/>
        </w:rPr>
      </w:pPr>
    </w:p>
    <w:p>
      <w:pPr>
        <w:pStyle w:val="Heading9"/>
        <w:ind w:left="109" w:right="159"/>
      </w:pPr>
      <w:r>
        <w:rPr/>
        <w:t>23    Company Details</w:t>
      </w:r>
    </w:p>
    <w:p>
      <w:pPr>
        <w:pStyle w:val="BodyText"/>
        <w:spacing w:before="1"/>
        <w:rPr>
          <w:b/>
          <w:sz w:val="25"/>
        </w:rPr>
      </w:pPr>
    </w:p>
    <w:p>
      <w:pPr>
        <w:pStyle w:val="BodyText"/>
        <w:ind w:left="705" w:right="159"/>
      </w:pPr>
      <w:r>
        <w:rPr/>
        <w:t>The registered office of the Company</w:t>
      </w:r>
    </w:p>
    <w:p>
      <w:pPr>
        <w:pStyle w:val="BodyText"/>
        <w:spacing w:line="302" w:lineRule="auto" w:before="54"/>
        <w:ind w:left="718" w:right="1158"/>
      </w:pPr>
      <w:r>
        <w:rPr/>
        <w:t>Western Sydney University Enterprises Pty Limited Trading as Western Sydney University The College Nirimba Education Precinct</w:t>
      </w:r>
    </w:p>
    <w:p>
      <w:pPr>
        <w:pStyle w:val="BodyText"/>
        <w:spacing w:before="2"/>
        <w:ind w:left="718" w:right="159"/>
      </w:pPr>
      <w:r>
        <w:rPr/>
        <w:t>Eastern Road, Quakers Hill NSW 2763</w:t>
      </w:r>
    </w:p>
    <w:p>
      <w:pPr>
        <w:pStyle w:val="BodyText"/>
      </w:pPr>
    </w:p>
    <w:p>
      <w:pPr>
        <w:pStyle w:val="BodyText"/>
      </w:pPr>
    </w:p>
    <w:p>
      <w:pPr>
        <w:pStyle w:val="BodyText"/>
        <w:spacing w:before="2"/>
        <w:rPr>
          <w:sz w:val="14"/>
        </w:rPr>
      </w:pPr>
    </w:p>
    <w:p>
      <w:pPr>
        <w:pStyle w:val="BodyText"/>
        <w:spacing w:before="1"/>
        <w:ind w:left="718" w:right="159"/>
      </w:pPr>
      <w:r>
        <w:rPr/>
        <w:t>End of Audited Financial Statements</w:t>
      </w:r>
    </w:p>
    <w:p>
      <w:pPr>
        <w:spacing w:after="0"/>
        <w:sectPr>
          <w:pgSz w:w="11910" w:h="16840"/>
          <w:pgMar w:header="1038" w:footer="507" w:top="1720" w:bottom="700" w:left="900" w:right="920"/>
        </w:sectPr>
      </w:pPr>
    </w:p>
    <w:p>
      <w:pPr>
        <w:pStyle w:val="BodyText"/>
        <w:rPr>
          <w:sz w:val="20"/>
        </w:rPr>
      </w:pPr>
      <w:r>
        <w:rPr/>
        <w:pict>
          <v:group style="position:absolute;margin-left:589.440002pt;margin-top:4.072721pt;width:3.85pt;height:806.55pt;mso-position-horizontal-relative:page;mso-position-vertical-relative:page;z-index:3040" coordorigin="11789,81" coordsize="77,16131">
            <v:shape style="position:absolute;left:11789;top:12480;width:77;height:1248" type="#_x0000_t75" stroked="false">
              <v:imagedata r:id="rId66" o:title=""/>
            </v:shape>
            <v:line style="position:absolute" from="11833,16197" to="11833,96" stroked="true" strokeweight="1.439516pt" strokecolor="#d8d8d8"/>
            <w10:wrap type="none"/>
          </v:group>
        </w:pict>
      </w:r>
    </w:p>
    <w:p>
      <w:pPr>
        <w:pStyle w:val="BodyText"/>
        <w:spacing w:before="9"/>
        <w:rPr>
          <w:sz w:val="29"/>
        </w:rPr>
      </w:pPr>
    </w:p>
    <w:p>
      <w:pPr>
        <w:pStyle w:val="BodyText"/>
        <w:ind w:left="4467"/>
        <w:rPr>
          <w:sz w:val="20"/>
        </w:rPr>
      </w:pPr>
      <w:r>
        <w:rPr>
          <w:sz w:val="20"/>
        </w:rPr>
        <w:drawing>
          <wp:inline distT="0" distB="0" distL="0" distR="0">
            <wp:extent cx="999744" cy="1060703"/>
            <wp:effectExtent l="0" t="0" r="0" b="0"/>
            <wp:docPr id="25" name="image18.jpeg" descr=""/>
            <wp:cNvGraphicFramePr>
              <a:graphicFrameLocks noChangeAspect="1"/>
            </wp:cNvGraphicFramePr>
            <a:graphic>
              <a:graphicData uri="http://schemas.openxmlformats.org/drawingml/2006/picture">
                <pic:pic>
                  <pic:nvPicPr>
                    <pic:cNvPr id="26" name="image18.jpeg"/>
                    <pic:cNvPicPr/>
                  </pic:nvPicPr>
                  <pic:blipFill>
                    <a:blip r:embed="rId67" cstate="print"/>
                    <a:stretch>
                      <a:fillRect/>
                    </a:stretch>
                  </pic:blipFill>
                  <pic:spPr>
                    <a:xfrm>
                      <a:off x="0" y="0"/>
                      <a:ext cx="999744" cy="1060703"/>
                    </a:xfrm>
                    <a:prstGeom prst="rect">
                      <a:avLst/>
                    </a:prstGeom>
                  </pic:spPr>
                </pic:pic>
              </a:graphicData>
            </a:graphic>
          </wp:inline>
        </w:drawing>
      </w:r>
      <w:r>
        <w:rPr>
          <w:sz w:val="20"/>
        </w:rPr>
      </w:r>
    </w:p>
    <w:p>
      <w:pPr>
        <w:pStyle w:val="BodyText"/>
        <w:rPr>
          <w:sz w:val="20"/>
        </w:rPr>
      </w:pPr>
    </w:p>
    <w:p>
      <w:pPr>
        <w:pStyle w:val="BodyText"/>
        <w:rPr>
          <w:sz w:val="24"/>
        </w:rPr>
      </w:pPr>
    </w:p>
    <w:p>
      <w:pPr>
        <w:pStyle w:val="Heading6"/>
        <w:spacing w:before="73"/>
        <w:ind w:left="2791" w:right="3553"/>
        <w:jc w:val="center"/>
      </w:pPr>
      <w:r>
        <w:rPr>
          <w:color w:val="0F0F0F"/>
          <w:w w:val="110"/>
        </w:rPr>
        <w:t>INDEPENDENT AUDITOR</w:t>
      </w:r>
      <w:r>
        <w:rPr>
          <w:color w:val="0F0F0F"/>
          <w:spacing w:val="-50"/>
          <w:w w:val="110"/>
        </w:rPr>
        <w:t> </w:t>
      </w:r>
      <w:r>
        <w:rPr>
          <w:color w:val="3B3B3B"/>
          <w:w w:val="110"/>
        </w:rPr>
        <w:t>'</w:t>
      </w:r>
      <w:r>
        <w:rPr>
          <w:color w:val="0F0F0F"/>
          <w:w w:val="110"/>
        </w:rPr>
        <w:t>S REPORT</w:t>
      </w:r>
    </w:p>
    <w:p>
      <w:pPr>
        <w:pStyle w:val="Heading7"/>
        <w:spacing w:line="441" w:lineRule="auto" w:before="187"/>
        <w:ind w:left="2791" w:right="3575"/>
        <w:jc w:val="center"/>
      </w:pPr>
      <w:r>
        <w:rPr>
          <w:color w:val="0F0F0F"/>
          <w:w w:val="105"/>
        </w:rPr>
        <w:t>We</w:t>
      </w:r>
      <w:r>
        <w:rPr>
          <w:color w:val="3B3B3B"/>
          <w:w w:val="105"/>
        </w:rPr>
        <w:t>s</w:t>
      </w:r>
      <w:r>
        <w:rPr>
          <w:color w:val="0F0F0F"/>
          <w:w w:val="105"/>
        </w:rPr>
        <w:t>tern Sydney Uni</w:t>
      </w:r>
      <w:r>
        <w:rPr>
          <w:color w:val="3B3B3B"/>
          <w:w w:val="105"/>
        </w:rPr>
        <w:t>v</w:t>
      </w:r>
      <w:r>
        <w:rPr>
          <w:color w:val="212121"/>
          <w:w w:val="105"/>
        </w:rPr>
        <w:t>er</w:t>
      </w:r>
      <w:r>
        <w:rPr>
          <w:color w:val="3B3B3B"/>
          <w:w w:val="105"/>
        </w:rPr>
        <w:t>s</w:t>
      </w:r>
      <w:r>
        <w:rPr>
          <w:color w:val="0F0F0F"/>
          <w:w w:val="105"/>
        </w:rPr>
        <w:t>it</w:t>
      </w:r>
      <w:r>
        <w:rPr>
          <w:color w:val="3B3B3B"/>
          <w:w w:val="105"/>
        </w:rPr>
        <w:t>y </w:t>
      </w:r>
      <w:r>
        <w:rPr>
          <w:color w:val="0F0F0F"/>
          <w:w w:val="105"/>
        </w:rPr>
        <w:t>Enterpris</w:t>
      </w:r>
      <w:r>
        <w:rPr>
          <w:color w:val="3B3B3B"/>
          <w:w w:val="105"/>
        </w:rPr>
        <w:t>es </w:t>
      </w:r>
      <w:r>
        <w:rPr>
          <w:color w:val="0F0F0F"/>
          <w:w w:val="105"/>
        </w:rPr>
        <w:t>Pt</w:t>
      </w:r>
      <w:r>
        <w:rPr>
          <w:color w:val="3B3B3B"/>
          <w:w w:val="105"/>
        </w:rPr>
        <w:t>y </w:t>
      </w:r>
      <w:r>
        <w:rPr>
          <w:color w:val="0F0F0F"/>
          <w:w w:val="105"/>
        </w:rPr>
        <w:t>Limited Trading </w:t>
      </w:r>
      <w:r>
        <w:rPr>
          <w:color w:val="3B3B3B"/>
          <w:w w:val="105"/>
        </w:rPr>
        <w:t>as </w:t>
      </w:r>
      <w:r>
        <w:rPr>
          <w:color w:val="212121"/>
          <w:w w:val="105"/>
        </w:rPr>
        <w:t>We</w:t>
      </w:r>
      <w:r>
        <w:rPr>
          <w:color w:val="3B3B3B"/>
          <w:w w:val="105"/>
        </w:rPr>
        <w:t>s</w:t>
      </w:r>
      <w:r>
        <w:rPr>
          <w:color w:val="0F0F0F"/>
          <w:w w:val="105"/>
        </w:rPr>
        <w:t>tern </w:t>
      </w:r>
      <w:r>
        <w:rPr>
          <w:color w:val="3B3B3B"/>
          <w:w w:val="105"/>
        </w:rPr>
        <w:t>Sy</w:t>
      </w:r>
      <w:r>
        <w:rPr>
          <w:color w:val="212121"/>
          <w:w w:val="105"/>
        </w:rPr>
        <w:t>dne</w:t>
      </w:r>
      <w:r>
        <w:rPr>
          <w:color w:val="3B3B3B"/>
          <w:w w:val="105"/>
        </w:rPr>
        <w:t>y </w:t>
      </w:r>
      <w:r>
        <w:rPr>
          <w:color w:val="0F0F0F"/>
          <w:w w:val="105"/>
        </w:rPr>
        <w:t>Univer</w:t>
      </w:r>
      <w:r>
        <w:rPr>
          <w:color w:val="3B3B3B"/>
          <w:w w:val="105"/>
        </w:rPr>
        <w:t>s</w:t>
      </w:r>
      <w:r>
        <w:rPr>
          <w:color w:val="212121"/>
          <w:w w:val="105"/>
        </w:rPr>
        <w:t>it</w:t>
      </w:r>
      <w:r>
        <w:rPr>
          <w:color w:val="3B3B3B"/>
          <w:w w:val="105"/>
        </w:rPr>
        <w:t>y </w:t>
      </w:r>
      <w:r>
        <w:rPr>
          <w:color w:val="0F0F0F"/>
          <w:w w:val="105"/>
        </w:rPr>
        <w:t>The </w:t>
      </w:r>
      <w:r>
        <w:rPr>
          <w:color w:val="212121"/>
          <w:w w:val="105"/>
        </w:rPr>
        <w:t>Colleg</w:t>
      </w:r>
      <w:r>
        <w:rPr>
          <w:color w:val="3B3B3B"/>
          <w:w w:val="105"/>
        </w:rPr>
        <w:t>e</w:t>
      </w:r>
    </w:p>
    <w:p>
      <w:pPr>
        <w:pStyle w:val="BodyText"/>
        <w:rPr>
          <w:b/>
        </w:rPr>
      </w:pPr>
    </w:p>
    <w:p>
      <w:pPr>
        <w:pStyle w:val="BodyText"/>
        <w:spacing w:before="4"/>
        <w:rPr>
          <w:b/>
        </w:rPr>
      </w:pPr>
    </w:p>
    <w:p>
      <w:pPr>
        <w:pStyle w:val="Heading8"/>
        <w:spacing w:line="273" w:lineRule="auto" w:before="1"/>
        <w:ind w:left="741" w:right="2237" w:hanging="10"/>
      </w:pPr>
      <w:r>
        <w:rPr>
          <w:color w:val="3B3B3B"/>
          <w:w w:val="105"/>
        </w:rPr>
        <w:t>To Membe</w:t>
      </w:r>
      <w:r>
        <w:rPr>
          <w:color w:val="212121"/>
          <w:w w:val="105"/>
        </w:rPr>
        <w:t>r</w:t>
      </w:r>
      <w:r>
        <w:rPr>
          <w:color w:val="3B3B3B"/>
          <w:w w:val="105"/>
        </w:rPr>
        <w:t>s of the New South Wales Parliament and Members of Western Sydney University Enterprises Pty Limited</w:t>
      </w:r>
    </w:p>
    <w:p>
      <w:pPr>
        <w:spacing w:before="155"/>
        <w:ind w:left="741" w:right="2237" w:firstLine="0"/>
        <w:jc w:val="left"/>
        <w:rPr>
          <w:b/>
          <w:sz w:val="22"/>
        </w:rPr>
      </w:pPr>
      <w:r>
        <w:rPr>
          <w:b/>
          <w:color w:val="0F0F0F"/>
          <w:w w:val="110"/>
          <w:sz w:val="22"/>
        </w:rPr>
        <w:t>Opinion</w:t>
      </w:r>
    </w:p>
    <w:p>
      <w:pPr>
        <w:spacing w:line="240" w:lineRule="exact" w:before="126"/>
        <w:ind w:left="732" w:right="1721" w:firstLine="9"/>
        <w:jc w:val="left"/>
        <w:rPr>
          <w:sz w:val="19"/>
        </w:rPr>
      </w:pPr>
      <w:r>
        <w:rPr>
          <w:color w:val="3B3B3B"/>
          <w:spacing w:val="4"/>
          <w:w w:val="110"/>
          <w:sz w:val="19"/>
        </w:rPr>
        <w:t>Ihave</w:t>
      </w:r>
      <w:r>
        <w:rPr>
          <w:color w:val="3B3B3B"/>
          <w:spacing w:val="-42"/>
          <w:w w:val="110"/>
          <w:sz w:val="19"/>
        </w:rPr>
        <w:t> </w:t>
      </w:r>
      <w:r>
        <w:rPr>
          <w:color w:val="3B3B3B"/>
          <w:w w:val="110"/>
          <w:sz w:val="19"/>
        </w:rPr>
        <w:t>audited</w:t>
      </w:r>
      <w:r>
        <w:rPr>
          <w:color w:val="3B3B3B"/>
          <w:spacing w:val="-34"/>
          <w:w w:val="110"/>
          <w:sz w:val="19"/>
        </w:rPr>
        <w:t> </w:t>
      </w:r>
      <w:r>
        <w:rPr>
          <w:color w:val="3B3B3B"/>
          <w:w w:val="110"/>
          <w:sz w:val="19"/>
        </w:rPr>
        <w:t>the</w:t>
      </w:r>
      <w:r>
        <w:rPr>
          <w:color w:val="3B3B3B"/>
          <w:spacing w:val="-35"/>
          <w:w w:val="110"/>
          <w:sz w:val="19"/>
        </w:rPr>
        <w:t> </w:t>
      </w:r>
      <w:r>
        <w:rPr>
          <w:color w:val="3B3B3B"/>
          <w:w w:val="110"/>
          <w:sz w:val="19"/>
        </w:rPr>
        <w:t>accompanying</w:t>
      </w:r>
      <w:r>
        <w:rPr>
          <w:color w:val="3B3B3B"/>
          <w:spacing w:val="-42"/>
          <w:w w:val="110"/>
          <w:sz w:val="19"/>
        </w:rPr>
        <w:t> </w:t>
      </w:r>
      <w:r>
        <w:rPr>
          <w:color w:val="3B3B3B"/>
          <w:w w:val="110"/>
          <w:sz w:val="19"/>
        </w:rPr>
        <w:t>financia</w:t>
      </w:r>
      <w:r>
        <w:rPr>
          <w:color w:val="0F0F0F"/>
          <w:w w:val="110"/>
          <w:sz w:val="19"/>
        </w:rPr>
        <w:t>l</w:t>
      </w:r>
      <w:r>
        <w:rPr>
          <w:color w:val="0F0F0F"/>
          <w:spacing w:val="-41"/>
          <w:w w:val="110"/>
          <w:sz w:val="19"/>
        </w:rPr>
        <w:t> </w:t>
      </w:r>
      <w:r>
        <w:rPr>
          <w:color w:val="3B3B3B"/>
          <w:w w:val="110"/>
          <w:sz w:val="19"/>
        </w:rPr>
        <w:t>statements</w:t>
      </w:r>
      <w:r>
        <w:rPr>
          <w:color w:val="3B3B3B"/>
          <w:spacing w:val="-32"/>
          <w:w w:val="110"/>
          <w:sz w:val="19"/>
        </w:rPr>
        <w:t> </w:t>
      </w:r>
      <w:r>
        <w:rPr>
          <w:color w:val="3B3B3B"/>
          <w:w w:val="110"/>
          <w:sz w:val="19"/>
        </w:rPr>
        <w:t>of</w:t>
      </w:r>
      <w:r>
        <w:rPr>
          <w:color w:val="3B3B3B"/>
          <w:spacing w:val="-39"/>
          <w:w w:val="110"/>
          <w:sz w:val="19"/>
        </w:rPr>
        <w:t> </w:t>
      </w:r>
      <w:r>
        <w:rPr>
          <w:color w:val="3B3B3B"/>
          <w:w w:val="110"/>
          <w:sz w:val="19"/>
        </w:rPr>
        <w:t>Western</w:t>
      </w:r>
      <w:r>
        <w:rPr>
          <w:color w:val="3B3B3B"/>
          <w:spacing w:val="-29"/>
          <w:w w:val="110"/>
          <w:sz w:val="19"/>
        </w:rPr>
        <w:t> </w:t>
      </w:r>
      <w:r>
        <w:rPr>
          <w:color w:val="3B3B3B"/>
          <w:w w:val="110"/>
          <w:sz w:val="19"/>
        </w:rPr>
        <w:t>Sydney</w:t>
      </w:r>
      <w:r>
        <w:rPr>
          <w:color w:val="3B3B3B"/>
          <w:spacing w:val="-30"/>
          <w:w w:val="110"/>
          <w:sz w:val="19"/>
        </w:rPr>
        <w:t> </w:t>
      </w:r>
      <w:r>
        <w:rPr>
          <w:color w:val="3B3B3B"/>
          <w:spacing w:val="-4"/>
          <w:w w:val="110"/>
          <w:sz w:val="19"/>
        </w:rPr>
        <w:t>University</w:t>
      </w:r>
      <w:r>
        <w:rPr>
          <w:color w:val="3B3B3B"/>
          <w:spacing w:val="-31"/>
          <w:w w:val="110"/>
          <w:sz w:val="19"/>
        </w:rPr>
        <w:t> </w:t>
      </w:r>
      <w:r>
        <w:rPr>
          <w:color w:val="3B3B3B"/>
          <w:w w:val="110"/>
          <w:sz w:val="19"/>
        </w:rPr>
        <w:t>Enterprises</w:t>
      </w:r>
      <w:r>
        <w:rPr>
          <w:color w:val="3B3B3B"/>
          <w:spacing w:val="-37"/>
          <w:w w:val="110"/>
          <w:sz w:val="19"/>
        </w:rPr>
        <w:t> </w:t>
      </w:r>
      <w:r>
        <w:rPr>
          <w:color w:val="3B3B3B"/>
          <w:w w:val="110"/>
          <w:sz w:val="19"/>
        </w:rPr>
        <w:t>Pty </w:t>
      </w:r>
      <w:r>
        <w:rPr>
          <w:color w:val="3B3B3B"/>
          <w:spacing w:val="-6"/>
          <w:w w:val="110"/>
          <w:sz w:val="19"/>
        </w:rPr>
        <w:t>Lim</w:t>
      </w:r>
      <w:r>
        <w:rPr>
          <w:color w:val="212121"/>
          <w:spacing w:val="-6"/>
          <w:w w:val="110"/>
          <w:sz w:val="19"/>
        </w:rPr>
        <w:t>i</w:t>
      </w:r>
      <w:r>
        <w:rPr>
          <w:color w:val="3B3B3B"/>
          <w:spacing w:val="-6"/>
          <w:w w:val="110"/>
          <w:sz w:val="19"/>
        </w:rPr>
        <w:t>ted </w:t>
      </w:r>
      <w:r>
        <w:rPr>
          <w:color w:val="3B3B3B"/>
          <w:w w:val="110"/>
          <w:sz w:val="19"/>
        </w:rPr>
        <w:t>trading as Wes</w:t>
      </w:r>
      <w:r>
        <w:rPr>
          <w:color w:val="0F0F0F"/>
          <w:w w:val="110"/>
          <w:sz w:val="19"/>
        </w:rPr>
        <w:t>t</w:t>
      </w:r>
      <w:r>
        <w:rPr>
          <w:color w:val="3B3B3B"/>
          <w:w w:val="110"/>
          <w:sz w:val="19"/>
        </w:rPr>
        <w:t>ern Sydney Univers</w:t>
      </w:r>
      <w:r>
        <w:rPr>
          <w:color w:val="212121"/>
          <w:w w:val="110"/>
          <w:sz w:val="19"/>
        </w:rPr>
        <w:t>i</w:t>
      </w:r>
      <w:r>
        <w:rPr>
          <w:color w:val="3B3B3B"/>
          <w:w w:val="110"/>
          <w:sz w:val="19"/>
        </w:rPr>
        <w:t>ty The Col</w:t>
      </w:r>
      <w:r>
        <w:rPr>
          <w:color w:val="0F0F0F"/>
          <w:w w:val="110"/>
          <w:sz w:val="19"/>
        </w:rPr>
        <w:t>l</w:t>
      </w:r>
      <w:r>
        <w:rPr>
          <w:color w:val="3B3B3B"/>
          <w:w w:val="110"/>
          <w:sz w:val="19"/>
        </w:rPr>
        <w:t>ege (the </w:t>
      </w:r>
      <w:r>
        <w:rPr>
          <w:color w:val="3B3B3B"/>
          <w:spacing w:val="2"/>
          <w:w w:val="110"/>
          <w:sz w:val="19"/>
        </w:rPr>
        <w:t>Company)</w:t>
      </w:r>
      <w:r>
        <w:rPr>
          <w:color w:val="6E6E6E"/>
          <w:spacing w:val="2"/>
          <w:w w:val="110"/>
          <w:sz w:val="19"/>
        </w:rPr>
        <w:t>, </w:t>
      </w:r>
      <w:r>
        <w:rPr>
          <w:color w:val="3B3B3B"/>
          <w:w w:val="110"/>
          <w:sz w:val="19"/>
        </w:rPr>
        <w:t>wh</w:t>
      </w:r>
      <w:r>
        <w:rPr>
          <w:color w:val="212121"/>
          <w:w w:val="110"/>
          <w:sz w:val="19"/>
        </w:rPr>
        <w:t>i</w:t>
      </w:r>
      <w:r>
        <w:rPr>
          <w:color w:val="3B3B3B"/>
          <w:w w:val="110"/>
          <w:sz w:val="19"/>
        </w:rPr>
        <w:t>ch comprise, the Statement </w:t>
      </w:r>
      <w:r>
        <w:rPr>
          <w:rFonts w:ascii="Times New Roman"/>
          <w:i/>
          <w:color w:val="3B3B3B"/>
          <w:w w:val="110"/>
          <w:sz w:val="25"/>
        </w:rPr>
        <w:t>o: </w:t>
      </w:r>
      <w:r>
        <w:rPr>
          <w:color w:val="3B3B3B"/>
          <w:w w:val="110"/>
          <w:sz w:val="19"/>
        </w:rPr>
        <w:t>Comprehensive Income </w:t>
      </w:r>
      <w:r>
        <w:rPr>
          <w:color w:val="212121"/>
          <w:w w:val="110"/>
          <w:sz w:val="19"/>
        </w:rPr>
        <w:t>f</w:t>
      </w:r>
      <w:r>
        <w:rPr>
          <w:color w:val="3B3B3B"/>
          <w:w w:val="110"/>
          <w:sz w:val="19"/>
        </w:rPr>
        <w:t>or the </w:t>
      </w:r>
      <w:r>
        <w:rPr>
          <w:color w:val="3B3B3B"/>
          <w:spacing w:val="3"/>
          <w:w w:val="110"/>
          <w:sz w:val="19"/>
        </w:rPr>
        <w:t>yea</w:t>
      </w:r>
      <w:r>
        <w:rPr>
          <w:color w:val="212121"/>
          <w:spacing w:val="3"/>
          <w:w w:val="110"/>
          <w:sz w:val="19"/>
        </w:rPr>
        <w:t>r </w:t>
      </w:r>
      <w:r>
        <w:rPr>
          <w:color w:val="3B3B3B"/>
          <w:w w:val="110"/>
          <w:sz w:val="19"/>
        </w:rPr>
        <w:t>ended 31 December 2017</w:t>
      </w:r>
      <w:r>
        <w:rPr>
          <w:color w:val="6E6E6E"/>
          <w:w w:val="110"/>
          <w:sz w:val="19"/>
        </w:rPr>
        <w:t>, </w:t>
      </w:r>
      <w:r>
        <w:rPr>
          <w:color w:val="3B3B3B"/>
          <w:w w:val="110"/>
          <w:sz w:val="19"/>
        </w:rPr>
        <w:t>the Statemen</w:t>
      </w:r>
      <w:r>
        <w:rPr>
          <w:color w:val="0F0F0F"/>
          <w:w w:val="110"/>
          <w:sz w:val="19"/>
        </w:rPr>
        <w:t>t </w:t>
      </w:r>
      <w:r>
        <w:rPr>
          <w:color w:val="3B3B3B"/>
          <w:w w:val="110"/>
          <w:sz w:val="19"/>
        </w:rPr>
        <w:t>of Financia</w:t>
      </w:r>
      <w:r>
        <w:rPr>
          <w:color w:val="0F0F0F"/>
          <w:w w:val="110"/>
          <w:sz w:val="19"/>
        </w:rPr>
        <w:t>l</w:t>
      </w:r>
      <w:r>
        <w:rPr>
          <w:color w:val="0F0F0F"/>
          <w:spacing w:val="-44"/>
          <w:w w:val="110"/>
          <w:sz w:val="19"/>
        </w:rPr>
        <w:t> </w:t>
      </w:r>
      <w:r>
        <w:rPr>
          <w:color w:val="3B3B3B"/>
          <w:spacing w:val="-7"/>
          <w:w w:val="110"/>
          <w:sz w:val="19"/>
        </w:rPr>
        <w:t>Position</w:t>
      </w:r>
      <w:r>
        <w:rPr>
          <w:color w:val="3B3B3B"/>
          <w:spacing w:val="-18"/>
          <w:w w:val="110"/>
          <w:sz w:val="19"/>
        </w:rPr>
        <w:t> </w:t>
      </w:r>
      <w:r>
        <w:rPr>
          <w:color w:val="3B3B3B"/>
          <w:w w:val="110"/>
          <w:sz w:val="19"/>
        </w:rPr>
        <w:t>as</w:t>
      </w:r>
      <w:r>
        <w:rPr>
          <w:color w:val="3B3B3B"/>
          <w:spacing w:val="-30"/>
          <w:w w:val="110"/>
          <w:sz w:val="19"/>
        </w:rPr>
        <w:t> </w:t>
      </w:r>
      <w:r>
        <w:rPr>
          <w:color w:val="3B3B3B"/>
          <w:w w:val="110"/>
          <w:sz w:val="19"/>
        </w:rPr>
        <w:t>at</w:t>
      </w:r>
      <w:r>
        <w:rPr>
          <w:color w:val="3B3B3B"/>
          <w:spacing w:val="-20"/>
          <w:w w:val="110"/>
          <w:sz w:val="19"/>
        </w:rPr>
        <w:t> </w:t>
      </w:r>
      <w:r>
        <w:rPr>
          <w:color w:val="3B3B3B"/>
          <w:w w:val="110"/>
          <w:sz w:val="19"/>
        </w:rPr>
        <w:t>31</w:t>
      </w:r>
      <w:r>
        <w:rPr>
          <w:color w:val="3B3B3B"/>
          <w:spacing w:val="-25"/>
          <w:w w:val="110"/>
          <w:sz w:val="19"/>
        </w:rPr>
        <w:t> </w:t>
      </w:r>
      <w:r>
        <w:rPr>
          <w:color w:val="3B3B3B"/>
          <w:w w:val="110"/>
          <w:sz w:val="19"/>
        </w:rPr>
        <w:t>Decembe</w:t>
      </w:r>
      <w:r>
        <w:rPr>
          <w:color w:val="212121"/>
          <w:w w:val="110"/>
          <w:sz w:val="19"/>
        </w:rPr>
        <w:t>r</w:t>
      </w:r>
      <w:r>
        <w:rPr>
          <w:color w:val="212121"/>
          <w:spacing w:val="-29"/>
          <w:w w:val="110"/>
          <w:sz w:val="19"/>
        </w:rPr>
        <w:t> </w:t>
      </w:r>
      <w:r>
        <w:rPr>
          <w:color w:val="3B3B3B"/>
          <w:w w:val="110"/>
          <w:sz w:val="19"/>
        </w:rPr>
        <w:t>2017,</w:t>
      </w:r>
      <w:r>
        <w:rPr>
          <w:color w:val="3B3B3B"/>
          <w:spacing w:val="-20"/>
          <w:w w:val="110"/>
          <w:sz w:val="19"/>
        </w:rPr>
        <w:t> </w:t>
      </w:r>
      <w:r>
        <w:rPr>
          <w:color w:val="3B3B3B"/>
          <w:w w:val="110"/>
          <w:sz w:val="19"/>
        </w:rPr>
        <w:t>Statement</w:t>
      </w:r>
      <w:r>
        <w:rPr>
          <w:color w:val="3B3B3B"/>
          <w:spacing w:val="-27"/>
          <w:w w:val="110"/>
          <w:sz w:val="19"/>
        </w:rPr>
        <w:t> </w:t>
      </w:r>
      <w:r>
        <w:rPr>
          <w:color w:val="3B3B3B"/>
          <w:w w:val="110"/>
          <w:sz w:val="19"/>
        </w:rPr>
        <w:t>of</w:t>
      </w:r>
      <w:r>
        <w:rPr>
          <w:color w:val="3B3B3B"/>
          <w:spacing w:val="-20"/>
          <w:w w:val="110"/>
          <w:sz w:val="19"/>
        </w:rPr>
        <w:t> </w:t>
      </w:r>
      <w:r>
        <w:rPr>
          <w:color w:val="3B3B3B"/>
          <w:w w:val="110"/>
          <w:sz w:val="19"/>
        </w:rPr>
        <w:t>Changes</w:t>
      </w:r>
      <w:r>
        <w:rPr>
          <w:color w:val="3B3B3B"/>
          <w:spacing w:val="-19"/>
          <w:w w:val="110"/>
          <w:sz w:val="19"/>
        </w:rPr>
        <w:t> </w:t>
      </w:r>
      <w:r>
        <w:rPr>
          <w:color w:val="3B3B3B"/>
          <w:spacing w:val="-12"/>
          <w:w w:val="110"/>
          <w:sz w:val="19"/>
        </w:rPr>
        <w:t>in</w:t>
      </w:r>
      <w:r>
        <w:rPr>
          <w:color w:val="3B3B3B"/>
          <w:spacing w:val="-27"/>
          <w:w w:val="110"/>
          <w:sz w:val="19"/>
        </w:rPr>
        <w:t> </w:t>
      </w:r>
      <w:r>
        <w:rPr>
          <w:color w:val="3B3B3B"/>
          <w:spacing w:val="-3"/>
          <w:w w:val="110"/>
          <w:sz w:val="19"/>
        </w:rPr>
        <w:t>Equity</w:t>
      </w:r>
      <w:r>
        <w:rPr>
          <w:color w:val="3B3B3B"/>
          <w:spacing w:val="-18"/>
          <w:w w:val="110"/>
          <w:sz w:val="19"/>
        </w:rPr>
        <w:t> </w:t>
      </w:r>
      <w:r>
        <w:rPr>
          <w:color w:val="3B3B3B"/>
          <w:w w:val="110"/>
          <w:sz w:val="19"/>
        </w:rPr>
        <w:t>and</w:t>
      </w:r>
      <w:r>
        <w:rPr>
          <w:color w:val="3B3B3B"/>
          <w:spacing w:val="-21"/>
          <w:w w:val="110"/>
          <w:sz w:val="19"/>
        </w:rPr>
        <w:t> </w:t>
      </w:r>
      <w:r>
        <w:rPr>
          <w:color w:val="3B3B3B"/>
          <w:w w:val="110"/>
          <w:sz w:val="19"/>
        </w:rPr>
        <w:t>Statemen</w:t>
      </w:r>
      <w:r>
        <w:rPr>
          <w:color w:val="0F0F0F"/>
          <w:w w:val="110"/>
          <w:sz w:val="19"/>
        </w:rPr>
        <w:t>t</w:t>
      </w:r>
      <w:r>
        <w:rPr>
          <w:color w:val="0F0F0F"/>
          <w:spacing w:val="-32"/>
          <w:w w:val="110"/>
          <w:sz w:val="19"/>
        </w:rPr>
        <w:t> </w:t>
      </w:r>
      <w:r>
        <w:rPr>
          <w:color w:val="3B3B3B"/>
          <w:w w:val="110"/>
          <w:sz w:val="19"/>
        </w:rPr>
        <w:t>of</w:t>
      </w:r>
      <w:r>
        <w:rPr>
          <w:color w:val="3B3B3B"/>
          <w:spacing w:val="-20"/>
          <w:w w:val="110"/>
          <w:sz w:val="19"/>
        </w:rPr>
        <w:t> </w:t>
      </w:r>
      <w:r>
        <w:rPr>
          <w:color w:val="3B3B3B"/>
          <w:w w:val="110"/>
          <w:sz w:val="19"/>
        </w:rPr>
        <w:t>Cash </w:t>
      </w:r>
      <w:r>
        <w:rPr>
          <w:color w:val="3B3B3B"/>
          <w:spacing w:val="-4"/>
          <w:w w:val="110"/>
          <w:sz w:val="19"/>
        </w:rPr>
        <w:t>Flows</w:t>
      </w:r>
      <w:r>
        <w:rPr>
          <w:color w:val="3B3B3B"/>
          <w:spacing w:val="-23"/>
          <w:w w:val="110"/>
          <w:sz w:val="19"/>
        </w:rPr>
        <w:t> </w:t>
      </w:r>
      <w:r>
        <w:rPr>
          <w:color w:val="3B3B3B"/>
          <w:w w:val="110"/>
          <w:sz w:val="19"/>
        </w:rPr>
        <w:t>for</w:t>
      </w:r>
      <w:r>
        <w:rPr>
          <w:color w:val="3B3B3B"/>
          <w:spacing w:val="-20"/>
          <w:w w:val="110"/>
          <w:sz w:val="19"/>
        </w:rPr>
        <w:t> </w:t>
      </w:r>
      <w:r>
        <w:rPr>
          <w:color w:val="3B3B3B"/>
          <w:w w:val="110"/>
          <w:sz w:val="19"/>
        </w:rPr>
        <w:t>the</w:t>
      </w:r>
      <w:r>
        <w:rPr>
          <w:color w:val="3B3B3B"/>
          <w:spacing w:val="-26"/>
          <w:w w:val="110"/>
          <w:sz w:val="19"/>
        </w:rPr>
        <w:t> </w:t>
      </w:r>
      <w:r>
        <w:rPr>
          <w:color w:val="3B3B3B"/>
          <w:w w:val="110"/>
          <w:sz w:val="19"/>
        </w:rPr>
        <w:t>year</w:t>
      </w:r>
      <w:r>
        <w:rPr>
          <w:color w:val="3B3B3B"/>
          <w:spacing w:val="-26"/>
          <w:w w:val="110"/>
          <w:sz w:val="19"/>
        </w:rPr>
        <w:t> </w:t>
      </w:r>
      <w:r>
        <w:rPr>
          <w:color w:val="3B3B3B"/>
          <w:w w:val="110"/>
          <w:sz w:val="19"/>
        </w:rPr>
        <w:t>then</w:t>
      </w:r>
      <w:r>
        <w:rPr>
          <w:color w:val="3B3B3B"/>
          <w:spacing w:val="-23"/>
          <w:w w:val="110"/>
          <w:sz w:val="19"/>
        </w:rPr>
        <w:t> </w:t>
      </w:r>
      <w:r>
        <w:rPr>
          <w:color w:val="3B3B3B"/>
          <w:w w:val="110"/>
          <w:sz w:val="19"/>
        </w:rPr>
        <w:t>ended</w:t>
      </w:r>
      <w:r>
        <w:rPr>
          <w:color w:val="6E6E6E"/>
          <w:w w:val="110"/>
          <w:sz w:val="19"/>
        </w:rPr>
        <w:t>,</w:t>
      </w:r>
      <w:r>
        <w:rPr>
          <w:color w:val="6E6E6E"/>
          <w:spacing w:val="-40"/>
          <w:w w:val="110"/>
          <w:sz w:val="19"/>
        </w:rPr>
        <w:t> </w:t>
      </w:r>
      <w:r>
        <w:rPr>
          <w:color w:val="3B3B3B"/>
          <w:w w:val="110"/>
          <w:sz w:val="19"/>
        </w:rPr>
        <w:t>notes</w:t>
      </w:r>
      <w:r>
        <w:rPr>
          <w:color w:val="3B3B3B"/>
          <w:spacing w:val="-31"/>
          <w:w w:val="110"/>
          <w:sz w:val="19"/>
        </w:rPr>
        <w:t> </w:t>
      </w:r>
      <w:r>
        <w:rPr>
          <w:color w:val="3B3B3B"/>
          <w:w w:val="110"/>
          <w:sz w:val="19"/>
        </w:rPr>
        <w:t>comprising</w:t>
      </w:r>
      <w:r>
        <w:rPr>
          <w:color w:val="3B3B3B"/>
          <w:spacing w:val="-31"/>
          <w:w w:val="110"/>
          <w:sz w:val="19"/>
        </w:rPr>
        <w:t> </w:t>
      </w:r>
      <w:r>
        <w:rPr>
          <w:color w:val="3B3B3B"/>
          <w:w w:val="110"/>
          <w:sz w:val="19"/>
        </w:rPr>
        <w:t>a</w:t>
      </w:r>
      <w:r>
        <w:rPr>
          <w:color w:val="3B3B3B"/>
          <w:spacing w:val="-26"/>
          <w:w w:val="110"/>
          <w:sz w:val="19"/>
        </w:rPr>
        <w:t> </w:t>
      </w:r>
      <w:r>
        <w:rPr>
          <w:color w:val="3B3B3B"/>
          <w:w w:val="110"/>
          <w:sz w:val="19"/>
        </w:rPr>
        <w:t>summary</w:t>
      </w:r>
      <w:r>
        <w:rPr>
          <w:color w:val="3B3B3B"/>
          <w:spacing w:val="-12"/>
          <w:w w:val="110"/>
          <w:sz w:val="19"/>
        </w:rPr>
        <w:t> </w:t>
      </w:r>
      <w:r>
        <w:rPr>
          <w:color w:val="3B3B3B"/>
          <w:w w:val="110"/>
          <w:sz w:val="19"/>
        </w:rPr>
        <w:t>of</w:t>
      </w:r>
      <w:r>
        <w:rPr>
          <w:color w:val="3B3B3B"/>
          <w:spacing w:val="-27"/>
          <w:w w:val="110"/>
          <w:sz w:val="19"/>
        </w:rPr>
        <w:t> </w:t>
      </w:r>
      <w:r>
        <w:rPr>
          <w:color w:val="3B3B3B"/>
          <w:w w:val="110"/>
          <w:sz w:val="19"/>
        </w:rPr>
        <w:t>significant</w:t>
      </w:r>
      <w:r>
        <w:rPr>
          <w:color w:val="3B3B3B"/>
          <w:spacing w:val="-13"/>
          <w:w w:val="110"/>
          <w:sz w:val="19"/>
        </w:rPr>
        <w:t> </w:t>
      </w:r>
      <w:r>
        <w:rPr>
          <w:color w:val="3B3B3B"/>
          <w:w w:val="110"/>
          <w:sz w:val="19"/>
        </w:rPr>
        <w:t>accounting</w:t>
      </w:r>
      <w:r>
        <w:rPr>
          <w:color w:val="3B3B3B"/>
          <w:spacing w:val="-25"/>
          <w:w w:val="110"/>
          <w:sz w:val="19"/>
        </w:rPr>
        <w:t> </w:t>
      </w:r>
      <w:r>
        <w:rPr>
          <w:color w:val="3B3B3B"/>
          <w:w w:val="110"/>
          <w:sz w:val="19"/>
        </w:rPr>
        <w:t>policies</w:t>
      </w:r>
      <w:r>
        <w:rPr>
          <w:color w:val="3B3B3B"/>
          <w:spacing w:val="-31"/>
          <w:w w:val="110"/>
          <w:sz w:val="19"/>
        </w:rPr>
        <w:t> </w:t>
      </w:r>
      <w:r>
        <w:rPr>
          <w:color w:val="3B3B3B"/>
          <w:w w:val="110"/>
          <w:sz w:val="19"/>
        </w:rPr>
        <w:t>and other</w:t>
      </w:r>
      <w:r>
        <w:rPr>
          <w:color w:val="3B3B3B"/>
          <w:spacing w:val="-37"/>
          <w:w w:val="110"/>
          <w:sz w:val="19"/>
        </w:rPr>
        <w:t> </w:t>
      </w:r>
      <w:r>
        <w:rPr>
          <w:color w:val="3B3B3B"/>
          <w:w w:val="110"/>
          <w:sz w:val="19"/>
        </w:rPr>
        <w:t>explanatory</w:t>
      </w:r>
      <w:r>
        <w:rPr>
          <w:color w:val="3B3B3B"/>
          <w:spacing w:val="-35"/>
          <w:w w:val="110"/>
          <w:sz w:val="19"/>
        </w:rPr>
        <w:t> </w:t>
      </w:r>
      <w:r>
        <w:rPr>
          <w:color w:val="3B3B3B"/>
          <w:spacing w:val="-3"/>
          <w:w w:val="110"/>
          <w:sz w:val="19"/>
        </w:rPr>
        <w:t>information</w:t>
      </w:r>
      <w:r>
        <w:rPr>
          <w:color w:val="6E6E6E"/>
          <w:spacing w:val="-3"/>
          <w:w w:val="110"/>
          <w:sz w:val="19"/>
        </w:rPr>
        <w:t>,</w:t>
      </w:r>
      <w:r>
        <w:rPr>
          <w:color w:val="6E6E6E"/>
          <w:spacing w:val="-42"/>
          <w:w w:val="110"/>
          <w:sz w:val="19"/>
        </w:rPr>
        <w:t> </w:t>
      </w:r>
      <w:r>
        <w:rPr>
          <w:color w:val="3B3B3B"/>
          <w:w w:val="110"/>
          <w:sz w:val="19"/>
        </w:rPr>
        <w:t>the</w:t>
      </w:r>
      <w:r>
        <w:rPr>
          <w:color w:val="3B3B3B"/>
          <w:spacing w:val="-38"/>
          <w:w w:val="110"/>
          <w:sz w:val="19"/>
        </w:rPr>
        <w:t> </w:t>
      </w:r>
      <w:r>
        <w:rPr>
          <w:color w:val="3B3B3B"/>
          <w:w w:val="110"/>
          <w:sz w:val="19"/>
        </w:rPr>
        <w:t>direc</w:t>
      </w:r>
      <w:r>
        <w:rPr>
          <w:color w:val="0F0F0F"/>
          <w:w w:val="110"/>
          <w:sz w:val="19"/>
        </w:rPr>
        <w:t>t</w:t>
      </w:r>
      <w:r>
        <w:rPr>
          <w:color w:val="3B3B3B"/>
          <w:w w:val="110"/>
          <w:sz w:val="19"/>
        </w:rPr>
        <w:t>ors'</w:t>
      </w:r>
      <w:r>
        <w:rPr>
          <w:color w:val="3B3B3B"/>
          <w:spacing w:val="-39"/>
          <w:w w:val="110"/>
          <w:sz w:val="19"/>
        </w:rPr>
        <w:t> </w:t>
      </w:r>
      <w:r>
        <w:rPr>
          <w:color w:val="3B3B3B"/>
          <w:w w:val="110"/>
          <w:sz w:val="19"/>
        </w:rPr>
        <w:t>declaration</w:t>
      </w:r>
      <w:r>
        <w:rPr>
          <w:color w:val="3B3B3B"/>
          <w:spacing w:val="-45"/>
          <w:w w:val="110"/>
          <w:sz w:val="19"/>
        </w:rPr>
        <w:t> </w:t>
      </w:r>
      <w:r>
        <w:rPr>
          <w:color w:val="3B3B3B"/>
          <w:w w:val="110"/>
          <w:sz w:val="19"/>
        </w:rPr>
        <w:t>and</w:t>
      </w:r>
      <w:r>
        <w:rPr>
          <w:color w:val="3B3B3B"/>
          <w:spacing w:val="-38"/>
          <w:w w:val="110"/>
          <w:sz w:val="19"/>
        </w:rPr>
        <w:t> </w:t>
      </w:r>
      <w:r>
        <w:rPr>
          <w:color w:val="3B3B3B"/>
          <w:w w:val="110"/>
          <w:sz w:val="19"/>
        </w:rPr>
        <w:t>the</w:t>
      </w:r>
      <w:r>
        <w:rPr>
          <w:color w:val="3B3B3B"/>
          <w:spacing w:val="-34"/>
          <w:w w:val="110"/>
          <w:sz w:val="19"/>
        </w:rPr>
        <w:t> </w:t>
      </w:r>
      <w:r>
        <w:rPr>
          <w:color w:val="3B3B3B"/>
          <w:w w:val="110"/>
          <w:sz w:val="19"/>
        </w:rPr>
        <w:t>responsible</w:t>
      </w:r>
      <w:r>
        <w:rPr>
          <w:color w:val="3B3B3B"/>
          <w:spacing w:val="-41"/>
          <w:w w:val="110"/>
          <w:sz w:val="19"/>
        </w:rPr>
        <w:t> </w:t>
      </w:r>
      <w:r>
        <w:rPr>
          <w:color w:val="3B3B3B"/>
          <w:w w:val="110"/>
          <w:sz w:val="19"/>
        </w:rPr>
        <w:t>entity's</w:t>
      </w:r>
      <w:r>
        <w:rPr>
          <w:color w:val="3B3B3B"/>
          <w:spacing w:val="-37"/>
          <w:w w:val="110"/>
          <w:sz w:val="19"/>
        </w:rPr>
        <w:t> </w:t>
      </w:r>
      <w:r>
        <w:rPr>
          <w:color w:val="3B3B3B"/>
          <w:w w:val="110"/>
          <w:sz w:val="19"/>
        </w:rPr>
        <w:t>declarat</w:t>
      </w:r>
      <w:r>
        <w:rPr>
          <w:color w:val="212121"/>
          <w:w w:val="110"/>
          <w:sz w:val="19"/>
        </w:rPr>
        <w:t>i</w:t>
      </w:r>
      <w:r>
        <w:rPr>
          <w:color w:val="3B3B3B"/>
          <w:w w:val="110"/>
          <w:sz w:val="19"/>
        </w:rPr>
        <w:t>on</w:t>
      </w:r>
      <w:r>
        <w:rPr>
          <w:color w:val="6E6E6E"/>
          <w:w w:val="110"/>
          <w:sz w:val="19"/>
        </w:rPr>
        <w:t>.</w:t>
      </w:r>
    </w:p>
    <w:p>
      <w:pPr>
        <w:pStyle w:val="BodyText"/>
        <w:spacing w:before="2"/>
        <w:rPr>
          <w:sz w:val="16"/>
        </w:rPr>
      </w:pPr>
    </w:p>
    <w:p>
      <w:pPr>
        <w:spacing w:before="0"/>
        <w:ind w:left="741" w:right="2237" w:firstLine="0"/>
        <w:jc w:val="left"/>
        <w:rPr>
          <w:sz w:val="19"/>
        </w:rPr>
      </w:pPr>
      <w:r>
        <w:rPr>
          <w:color w:val="3B3B3B"/>
          <w:w w:val="110"/>
          <w:sz w:val="19"/>
        </w:rPr>
        <w:t>In my opinion </w:t>
      </w:r>
      <w:r>
        <w:rPr>
          <w:color w:val="212121"/>
          <w:w w:val="110"/>
          <w:sz w:val="19"/>
        </w:rPr>
        <w:t>t</w:t>
      </w:r>
      <w:r>
        <w:rPr>
          <w:color w:val="3B3B3B"/>
          <w:w w:val="110"/>
          <w:sz w:val="19"/>
        </w:rPr>
        <w:t>he financial statements</w:t>
      </w:r>
      <w:r>
        <w:rPr>
          <w:color w:val="6E6E6E"/>
          <w:w w:val="110"/>
          <w:sz w:val="19"/>
        </w:rPr>
        <w:t>:</w:t>
      </w:r>
    </w:p>
    <w:p>
      <w:pPr>
        <w:pStyle w:val="BodyText"/>
        <w:spacing w:before="10"/>
        <w:rPr>
          <w:sz w:val="16"/>
        </w:rPr>
      </w:pPr>
    </w:p>
    <w:p>
      <w:pPr>
        <w:spacing w:before="0"/>
        <w:ind w:left="1298" w:right="2237" w:firstLine="0"/>
        <w:jc w:val="left"/>
        <w:rPr>
          <w:sz w:val="19"/>
        </w:rPr>
      </w:pPr>
      <w:r>
        <w:rPr>
          <w:color w:val="3B3B3B"/>
          <w:w w:val="110"/>
          <w:sz w:val="19"/>
        </w:rPr>
        <w:t>are </w:t>
      </w:r>
      <w:r>
        <w:rPr>
          <w:color w:val="525252"/>
          <w:w w:val="110"/>
          <w:sz w:val="19"/>
        </w:rPr>
        <w:t>in </w:t>
      </w:r>
      <w:r>
        <w:rPr>
          <w:color w:val="3B3B3B"/>
          <w:w w:val="110"/>
          <w:sz w:val="19"/>
        </w:rPr>
        <w:t>accordance with </w:t>
      </w:r>
      <w:r>
        <w:rPr>
          <w:color w:val="212121"/>
          <w:w w:val="110"/>
          <w:sz w:val="19"/>
        </w:rPr>
        <w:t>t</w:t>
      </w:r>
      <w:r>
        <w:rPr>
          <w:color w:val="3B3B3B"/>
          <w:w w:val="110"/>
          <w:sz w:val="19"/>
        </w:rPr>
        <w:t>he </w:t>
      </w:r>
      <w:r>
        <w:rPr>
          <w:i/>
          <w:color w:val="3B3B3B"/>
          <w:w w:val="110"/>
          <w:sz w:val="19"/>
        </w:rPr>
        <w:t>Corporations Act 2001</w:t>
      </w:r>
      <w:r>
        <w:rPr>
          <w:i/>
          <w:color w:val="6E6E6E"/>
          <w:w w:val="110"/>
          <w:sz w:val="19"/>
        </w:rPr>
        <w:t>, </w:t>
      </w:r>
      <w:r>
        <w:rPr>
          <w:color w:val="3B3B3B"/>
          <w:w w:val="110"/>
          <w:sz w:val="19"/>
        </w:rPr>
        <w:t>including</w:t>
      </w:r>
      <w:r>
        <w:rPr>
          <w:color w:val="6E6E6E"/>
          <w:w w:val="110"/>
          <w:sz w:val="19"/>
        </w:rPr>
        <w:t>:</w:t>
      </w:r>
    </w:p>
    <w:p>
      <w:pPr>
        <w:pStyle w:val="Heading8"/>
        <w:spacing w:line="264" w:lineRule="auto" w:before="79"/>
        <w:ind w:left="1864" w:right="1721" w:hanging="10"/>
      </w:pPr>
      <w:r>
        <w:rPr>
          <w:color w:val="3B3B3B"/>
          <w:w w:val="105"/>
        </w:rPr>
        <w:t>giving a </w:t>
      </w:r>
      <w:r>
        <w:rPr>
          <w:color w:val="212121"/>
          <w:w w:val="105"/>
        </w:rPr>
        <w:t>t</w:t>
      </w:r>
      <w:r>
        <w:rPr>
          <w:color w:val="3B3B3B"/>
          <w:w w:val="105"/>
        </w:rPr>
        <w:t>rue and fa</w:t>
      </w:r>
      <w:r>
        <w:rPr>
          <w:color w:val="212121"/>
          <w:w w:val="105"/>
        </w:rPr>
        <w:t>i</w:t>
      </w:r>
      <w:r>
        <w:rPr>
          <w:color w:val="3B3B3B"/>
          <w:w w:val="105"/>
        </w:rPr>
        <w:t>r view of the Company's financial position as a</w:t>
      </w:r>
      <w:r>
        <w:rPr>
          <w:color w:val="0F0F0F"/>
          <w:w w:val="105"/>
        </w:rPr>
        <w:t>t </w:t>
      </w:r>
      <w:r>
        <w:rPr>
          <w:color w:val="3B3B3B"/>
          <w:w w:val="105"/>
        </w:rPr>
        <w:t>31 December 2017 and i</w:t>
      </w:r>
      <w:r>
        <w:rPr>
          <w:color w:val="212121"/>
          <w:w w:val="105"/>
        </w:rPr>
        <w:t>t</w:t>
      </w:r>
      <w:r>
        <w:rPr>
          <w:color w:val="3B3B3B"/>
          <w:w w:val="105"/>
        </w:rPr>
        <w:t>s performance for the year ended on that date</w:t>
      </w:r>
    </w:p>
    <w:p>
      <w:pPr>
        <w:spacing w:before="67"/>
        <w:ind w:left="1855" w:right="0" w:firstLine="0"/>
        <w:jc w:val="left"/>
        <w:rPr>
          <w:sz w:val="19"/>
        </w:rPr>
      </w:pPr>
      <w:r>
        <w:rPr>
          <w:color w:val="3B3B3B"/>
          <w:w w:val="105"/>
          <w:sz w:val="19"/>
        </w:rPr>
        <w:t>complying with Austral</w:t>
      </w:r>
      <w:r>
        <w:rPr>
          <w:color w:val="212121"/>
          <w:w w:val="105"/>
          <w:sz w:val="19"/>
        </w:rPr>
        <w:t>i</w:t>
      </w:r>
      <w:r>
        <w:rPr>
          <w:color w:val="3B3B3B"/>
          <w:w w:val="105"/>
          <w:sz w:val="19"/>
        </w:rPr>
        <w:t>an Accounting Standards and </w:t>
      </w:r>
      <w:r>
        <w:rPr>
          <w:color w:val="212121"/>
          <w:w w:val="105"/>
          <w:sz w:val="19"/>
        </w:rPr>
        <w:t>t</w:t>
      </w:r>
      <w:r>
        <w:rPr>
          <w:color w:val="3B3B3B"/>
          <w:w w:val="105"/>
          <w:sz w:val="19"/>
        </w:rPr>
        <w:t>he Co</w:t>
      </w:r>
      <w:r>
        <w:rPr>
          <w:color w:val="212121"/>
          <w:w w:val="105"/>
          <w:sz w:val="19"/>
        </w:rPr>
        <w:t>r</w:t>
      </w:r>
      <w:r>
        <w:rPr>
          <w:color w:val="3B3B3B"/>
          <w:w w:val="105"/>
          <w:sz w:val="19"/>
        </w:rPr>
        <w:t>porations Regula</w:t>
      </w:r>
      <w:r>
        <w:rPr>
          <w:color w:val="212121"/>
          <w:w w:val="105"/>
          <w:sz w:val="19"/>
        </w:rPr>
        <w:t>t</w:t>
      </w:r>
      <w:r>
        <w:rPr>
          <w:color w:val="3B3B3B"/>
          <w:w w:val="105"/>
          <w:sz w:val="19"/>
        </w:rPr>
        <w:t>ions 2001</w:t>
      </w:r>
    </w:p>
    <w:p>
      <w:pPr>
        <w:spacing w:line="264" w:lineRule="auto" w:before="88"/>
        <w:ind w:left="1298" w:right="1726" w:firstLine="0"/>
        <w:jc w:val="left"/>
        <w:rPr>
          <w:sz w:val="19"/>
        </w:rPr>
      </w:pPr>
      <w:r>
        <w:rPr>
          <w:color w:val="3B3B3B"/>
          <w:w w:val="105"/>
          <w:sz w:val="19"/>
        </w:rPr>
        <w:t>are </w:t>
      </w:r>
      <w:r>
        <w:rPr>
          <w:color w:val="525252"/>
          <w:w w:val="115"/>
          <w:sz w:val="19"/>
        </w:rPr>
        <w:t>in </w:t>
      </w:r>
      <w:r>
        <w:rPr>
          <w:color w:val="3B3B3B"/>
          <w:w w:val="105"/>
          <w:sz w:val="19"/>
        </w:rPr>
        <w:t>accordance with section 41B of the </w:t>
      </w:r>
      <w:r>
        <w:rPr>
          <w:i/>
          <w:color w:val="3B3B3B"/>
          <w:w w:val="105"/>
          <w:sz w:val="19"/>
        </w:rPr>
        <w:t>Public Finance and Audit Act 1983 </w:t>
      </w:r>
      <w:r>
        <w:rPr>
          <w:color w:val="3B3B3B"/>
          <w:w w:val="105"/>
          <w:sz w:val="19"/>
        </w:rPr>
        <w:t>(PF&amp;A Ac</w:t>
      </w:r>
      <w:r>
        <w:rPr>
          <w:color w:val="212121"/>
          <w:w w:val="105"/>
          <w:sz w:val="19"/>
        </w:rPr>
        <w:t>t</w:t>
      </w:r>
      <w:r>
        <w:rPr>
          <w:color w:val="3B3B3B"/>
          <w:w w:val="105"/>
          <w:sz w:val="19"/>
        </w:rPr>
        <w:t>) and the  Public Finance and Audit Regulation 2015</w:t>
      </w:r>
    </w:p>
    <w:p>
      <w:pPr>
        <w:pStyle w:val="Heading8"/>
        <w:spacing w:line="264" w:lineRule="auto" w:before="57"/>
        <w:ind w:left="1288" w:right="2611" w:firstLine="9"/>
      </w:pPr>
      <w:r>
        <w:rPr>
          <w:color w:val="3B3B3B"/>
          <w:w w:val="110"/>
        </w:rPr>
        <w:t>have</w:t>
      </w:r>
      <w:r>
        <w:rPr>
          <w:color w:val="3B3B3B"/>
          <w:spacing w:val="-21"/>
          <w:w w:val="110"/>
        </w:rPr>
        <w:t> </w:t>
      </w:r>
      <w:r>
        <w:rPr>
          <w:color w:val="3B3B3B"/>
          <w:w w:val="110"/>
        </w:rPr>
        <w:t>been</w:t>
      </w:r>
      <w:r>
        <w:rPr>
          <w:color w:val="3B3B3B"/>
          <w:spacing w:val="-25"/>
          <w:w w:val="110"/>
        </w:rPr>
        <w:t> </w:t>
      </w:r>
      <w:r>
        <w:rPr>
          <w:color w:val="3B3B3B"/>
          <w:w w:val="110"/>
        </w:rPr>
        <w:t>prepared</w:t>
      </w:r>
      <w:r>
        <w:rPr>
          <w:color w:val="3B3B3B"/>
          <w:spacing w:val="-15"/>
          <w:w w:val="110"/>
        </w:rPr>
        <w:t> </w:t>
      </w:r>
      <w:r>
        <w:rPr>
          <w:color w:val="3B3B3B"/>
          <w:spacing w:val="-12"/>
          <w:w w:val="110"/>
        </w:rPr>
        <w:t>in</w:t>
      </w:r>
      <w:r>
        <w:rPr>
          <w:color w:val="3B3B3B"/>
          <w:spacing w:val="-30"/>
          <w:w w:val="110"/>
        </w:rPr>
        <w:t> </w:t>
      </w:r>
      <w:r>
        <w:rPr>
          <w:color w:val="3B3B3B"/>
          <w:w w:val="110"/>
        </w:rPr>
        <w:t>accordance</w:t>
      </w:r>
      <w:r>
        <w:rPr>
          <w:color w:val="3B3B3B"/>
          <w:spacing w:val="-15"/>
          <w:w w:val="110"/>
        </w:rPr>
        <w:t> </w:t>
      </w:r>
      <w:r>
        <w:rPr>
          <w:color w:val="3B3B3B"/>
          <w:spacing w:val="3"/>
          <w:w w:val="110"/>
        </w:rPr>
        <w:t>wit</w:t>
      </w:r>
      <w:r>
        <w:rPr>
          <w:color w:val="212121"/>
          <w:spacing w:val="3"/>
          <w:w w:val="110"/>
        </w:rPr>
        <w:t>h</w:t>
      </w:r>
      <w:r>
        <w:rPr>
          <w:color w:val="212121"/>
          <w:spacing w:val="-17"/>
          <w:w w:val="110"/>
        </w:rPr>
        <w:t> </w:t>
      </w:r>
      <w:r>
        <w:rPr>
          <w:color w:val="3B3B3B"/>
          <w:spacing w:val="-4"/>
          <w:w w:val="110"/>
        </w:rPr>
        <w:t>Division</w:t>
      </w:r>
      <w:r>
        <w:rPr>
          <w:color w:val="3B3B3B"/>
          <w:spacing w:val="-31"/>
          <w:w w:val="110"/>
        </w:rPr>
        <w:t> </w:t>
      </w:r>
      <w:r>
        <w:rPr>
          <w:color w:val="3B3B3B"/>
          <w:w w:val="110"/>
        </w:rPr>
        <w:t>60</w:t>
      </w:r>
      <w:r>
        <w:rPr>
          <w:color w:val="3B3B3B"/>
          <w:spacing w:val="-22"/>
          <w:w w:val="110"/>
        </w:rPr>
        <w:t> </w:t>
      </w:r>
      <w:r>
        <w:rPr>
          <w:color w:val="3B3B3B"/>
          <w:w w:val="110"/>
        </w:rPr>
        <w:t>of</w:t>
      </w:r>
      <w:r>
        <w:rPr>
          <w:color w:val="3B3B3B"/>
          <w:spacing w:val="-24"/>
          <w:w w:val="110"/>
        </w:rPr>
        <w:t> </w:t>
      </w:r>
      <w:r>
        <w:rPr>
          <w:color w:val="3B3B3B"/>
          <w:w w:val="110"/>
        </w:rPr>
        <w:t>the</w:t>
      </w:r>
      <w:r>
        <w:rPr>
          <w:color w:val="3B3B3B"/>
          <w:spacing w:val="-23"/>
          <w:w w:val="110"/>
        </w:rPr>
        <w:t> </w:t>
      </w:r>
      <w:r>
        <w:rPr>
          <w:color w:val="3B3B3B"/>
          <w:w w:val="110"/>
        </w:rPr>
        <w:t>Australian</w:t>
      </w:r>
      <w:r>
        <w:rPr>
          <w:color w:val="3B3B3B"/>
          <w:spacing w:val="-9"/>
          <w:w w:val="110"/>
        </w:rPr>
        <w:t> </w:t>
      </w:r>
      <w:r>
        <w:rPr>
          <w:color w:val="3B3B3B"/>
          <w:spacing w:val="-4"/>
          <w:w w:val="110"/>
        </w:rPr>
        <w:t>Chari</w:t>
      </w:r>
      <w:r>
        <w:rPr>
          <w:color w:val="212121"/>
          <w:spacing w:val="-4"/>
          <w:w w:val="110"/>
        </w:rPr>
        <w:t>t</w:t>
      </w:r>
      <w:r>
        <w:rPr>
          <w:color w:val="3B3B3B"/>
          <w:spacing w:val="-4"/>
          <w:w w:val="110"/>
        </w:rPr>
        <w:t>ies</w:t>
      </w:r>
      <w:r>
        <w:rPr>
          <w:color w:val="3B3B3B"/>
          <w:spacing w:val="-27"/>
          <w:w w:val="110"/>
        </w:rPr>
        <w:t> </w:t>
      </w:r>
      <w:r>
        <w:rPr>
          <w:color w:val="3B3B3B"/>
          <w:w w:val="110"/>
        </w:rPr>
        <w:t>and </w:t>
      </w:r>
      <w:r>
        <w:rPr>
          <w:i/>
          <w:color w:val="3B3B3B"/>
          <w:w w:val="110"/>
        </w:rPr>
        <w:t>Not</w:t>
      </w:r>
      <w:r>
        <w:rPr>
          <w:i/>
          <w:color w:val="212121"/>
          <w:w w:val="110"/>
        </w:rPr>
        <w:t>-</w:t>
      </w:r>
      <w:r>
        <w:rPr>
          <w:i/>
          <w:color w:val="3B3B3B"/>
          <w:w w:val="110"/>
        </w:rPr>
        <w:t>for-profits</w:t>
      </w:r>
      <w:r>
        <w:rPr>
          <w:i/>
          <w:color w:val="3B3B3B"/>
          <w:spacing w:val="-23"/>
          <w:w w:val="110"/>
        </w:rPr>
        <w:t> </w:t>
      </w:r>
      <w:r>
        <w:rPr>
          <w:i/>
          <w:color w:val="3B3B3B"/>
          <w:w w:val="110"/>
        </w:rPr>
        <w:t>Commission</w:t>
      </w:r>
      <w:r>
        <w:rPr>
          <w:i/>
          <w:color w:val="3B3B3B"/>
          <w:spacing w:val="-32"/>
          <w:w w:val="110"/>
        </w:rPr>
        <w:t> </w:t>
      </w:r>
      <w:r>
        <w:rPr>
          <w:i/>
          <w:color w:val="3B3B3B"/>
          <w:w w:val="110"/>
        </w:rPr>
        <w:t>Act</w:t>
      </w:r>
      <w:r>
        <w:rPr>
          <w:i/>
          <w:color w:val="3B3B3B"/>
          <w:spacing w:val="-27"/>
          <w:w w:val="110"/>
        </w:rPr>
        <w:t> </w:t>
      </w:r>
      <w:r>
        <w:rPr>
          <w:i/>
          <w:color w:val="3B3B3B"/>
          <w:w w:val="110"/>
        </w:rPr>
        <w:t>2012</w:t>
      </w:r>
      <w:r>
        <w:rPr>
          <w:i/>
          <w:color w:val="3B3B3B"/>
          <w:spacing w:val="-32"/>
          <w:w w:val="110"/>
        </w:rPr>
        <w:t> </w:t>
      </w:r>
      <w:r>
        <w:rPr>
          <w:color w:val="3B3B3B"/>
          <w:w w:val="110"/>
        </w:rPr>
        <w:t>and</w:t>
      </w:r>
      <w:r>
        <w:rPr>
          <w:color w:val="3B3B3B"/>
          <w:spacing w:val="-25"/>
          <w:w w:val="110"/>
        </w:rPr>
        <w:t> </w:t>
      </w:r>
      <w:r>
        <w:rPr>
          <w:color w:val="3B3B3B"/>
          <w:w w:val="110"/>
        </w:rPr>
        <w:t>Division</w:t>
      </w:r>
      <w:r>
        <w:rPr>
          <w:color w:val="3B3B3B"/>
          <w:spacing w:val="-33"/>
          <w:w w:val="110"/>
        </w:rPr>
        <w:t> </w:t>
      </w:r>
      <w:r>
        <w:rPr>
          <w:color w:val="3B3B3B"/>
          <w:w w:val="110"/>
        </w:rPr>
        <w:t>60</w:t>
      </w:r>
      <w:r>
        <w:rPr>
          <w:color w:val="3B3B3B"/>
          <w:spacing w:val="-33"/>
          <w:w w:val="110"/>
        </w:rPr>
        <w:t> </w:t>
      </w:r>
      <w:r>
        <w:rPr>
          <w:color w:val="3B3B3B"/>
          <w:w w:val="110"/>
        </w:rPr>
        <w:t>of</w:t>
      </w:r>
      <w:r>
        <w:rPr>
          <w:color w:val="3B3B3B"/>
          <w:spacing w:val="-34"/>
          <w:w w:val="110"/>
        </w:rPr>
        <w:t> </w:t>
      </w:r>
      <w:r>
        <w:rPr>
          <w:color w:val="212121"/>
          <w:w w:val="110"/>
        </w:rPr>
        <w:t>t</w:t>
      </w:r>
      <w:r>
        <w:rPr>
          <w:color w:val="3B3B3B"/>
          <w:w w:val="110"/>
        </w:rPr>
        <w:t>he</w:t>
      </w:r>
      <w:r>
        <w:rPr>
          <w:color w:val="3B3B3B"/>
          <w:spacing w:val="-35"/>
          <w:w w:val="110"/>
        </w:rPr>
        <w:t> </w:t>
      </w:r>
      <w:r>
        <w:rPr>
          <w:color w:val="3B3B3B"/>
          <w:spacing w:val="-3"/>
          <w:w w:val="110"/>
        </w:rPr>
        <w:t>Austra</w:t>
      </w:r>
      <w:r>
        <w:rPr>
          <w:color w:val="212121"/>
          <w:spacing w:val="-3"/>
          <w:w w:val="110"/>
        </w:rPr>
        <w:t>l</w:t>
      </w:r>
      <w:r>
        <w:rPr>
          <w:color w:val="3B3B3B"/>
          <w:spacing w:val="-3"/>
          <w:w w:val="110"/>
        </w:rPr>
        <w:t>ian</w:t>
      </w:r>
      <w:r>
        <w:rPr>
          <w:color w:val="3B3B3B"/>
          <w:spacing w:val="-34"/>
          <w:w w:val="110"/>
        </w:rPr>
        <w:t> </w:t>
      </w:r>
      <w:r>
        <w:rPr>
          <w:color w:val="3B3B3B"/>
          <w:w w:val="110"/>
        </w:rPr>
        <w:t>Cha</w:t>
      </w:r>
      <w:r>
        <w:rPr>
          <w:color w:val="212121"/>
          <w:w w:val="110"/>
        </w:rPr>
        <w:t>ri</w:t>
      </w:r>
      <w:r>
        <w:rPr>
          <w:color w:val="3B3B3B"/>
          <w:w w:val="110"/>
        </w:rPr>
        <w:t>ties</w:t>
      </w:r>
      <w:r>
        <w:rPr>
          <w:color w:val="3B3B3B"/>
          <w:spacing w:val="-32"/>
          <w:w w:val="110"/>
        </w:rPr>
        <w:t> </w:t>
      </w:r>
      <w:r>
        <w:rPr>
          <w:color w:val="3B3B3B"/>
          <w:w w:val="110"/>
        </w:rPr>
        <w:t>and </w:t>
      </w:r>
      <w:r>
        <w:rPr>
          <w:color w:val="3B3B3B"/>
          <w:spacing w:val="-4"/>
          <w:w w:val="105"/>
        </w:rPr>
        <w:t>Not</w:t>
      </w:r>
      <w:r>
        <w:rPr>
          <w:color w:val="0F0F0F"/>
          <w:spacing w:val="-4"/>
          <w:w w:val="105"/>
        </w:rPr>
        <w:t>-</w:t>
      </w:r>
      <w:r>
        <w:rPr>
          <w:color w:val="3B3B3B"/>
          <w:spacing w:val="-4"/>
          <w:w w:val="105"/>
        </w:rPr>
        <w:t>fo</w:t>
      </w:r>
      <w:r>
        <w:rPr>
          <w:color w:val="212121"/>
          <w:spacing w:val="-4"/>
          <w:w w:val="105"/>
        </w:rPr>
        <w:t>r</w:t>
      </w:r>
      <w:r>
        <w:rPr>
          <w:spacing w:val="-4"/>
          <w:w w:val="105"/>
        </w:rPr>
        <w:t>-</w:t>
      </w:r>
      <w:r>
        <w:rPr>
          <w:color w:val="3B3B3B"/>
          <w:spacing w:val="-4"/>
          <w:w w:val="105"/>
        </w:rPr>
        <w:t>p</w:t>
      </w:r>
      <w:r>
        <w:rPr>
          <w:color w:val="212121"/>
          <w:spacing w:val="-4"/>
          <w:w w:val="105"/>
        </w:rPr>
        <w:t>r</w:t>
      </w:r>
      <w:r>
        <w:rPr>
          <w:color w:val="3B3B3B"/>
          <w:spacing w:val="-4"/>
          <w:w w:val="105"/>
        </w:rPr>
        <w:t>ofits </w:t>
      </w:r>
      <w:r>
        <w:rPr>
          <w:color w:val="3B3B3B"/>
          <w:w w:val="105"/>
        </w:rPr>
        <w:t>Commission Regurat</w:t>
      </w:r>
      <w:r>
        <w:rPr>
          <w:color w:val="212121"/>
          <w:w w:val="105"/>
        </w:rPr>
        <w:t>i</w:t>
      </w:r>
      <w:r>
        <w:rPr>
          <w:color w:val="3B3B3B"/>
          <w:w w:val="105"/>
        </w:rPr>
        <w:t>on</w:t>
      </w:r>
      <w:r>
        <w:rPr>
          <w:color w:val="3B3B3B"/>
          <w:spacing w:val="25"/>
          <w:w w:val="105"/>
        </w:rPr>
        <w:t> </w:t>
      </w:r>
      <w:r>
        <w:rPr>
          <w:color w:val="3B3B3B"/>
          <w:w w:val="105"/>
        </w:rPr>
        <w:t>2013.</w:t>
      </w:r>
    </w:p>
    <w:p>
      <w:pPr>
        <w:pStyle w:val="BodyText"/>
        <w:spacing w:before="6"/>
        <w:rPr>
          <w:sz w:val="17"/>
        </w:rPr>
      </w:pPr>
    </w:p>
    <w:p>
      <w:pPr>
        <w:spacing w:before="0"/>
        <w:ind w:left="732" w:right="2237" w:firstLine="0"/>
        <w:jc w:val="left"/>
        <w:rPr>
          <w:sz w:val="19"/>
        </w:rPr>
      </w:pPr>
      <w:r>
        <w:rPr>
          <w:color w:val="3B3B3B"/>
          <w:w w:val="110"/>
          <w:sz w:val="19"/>
        </w:rPr>
        <w:t>My opinion should be read in conjunction w</w:t>
      </w:r>
      <w:r>
        <w:rPr>
          <w:color w:val="212121"/>
          <w:w w:val="110"/>
          <w:sz w:val="19"/>
        </w:rPr>
        <w:t>i</w:t>
      </w:r>
      <w:r>
        <w:rPr>
          <w:color w:val="3B3B3B"/>
          <w:w w:val="110"/>
          <w:sz w:val="19"/>
        </w:rPr>
        <w:t>th the rest of this report.</w:t>
      </w:r>
    </w:p>
    <w:p>
      <w:pPr>
        <w:pStyle w:val="BodyText"/>
        <w:spacing w:before="10"/>
        <w:rPr>
          <w:sz w:val="16"/>
        </w:rPr>
      </w:pPr>
    </w:p>
    <w:p>
      <w:pPr>
        <w:spacing w:before="0"/>
        <w:ind w:left="741" w:right="2237" w:firstLine="0"/>
        <w:jc w:val="left"/>
        <w:rPr>
          <w:b/>
          <w:sz w:val="22"/>
        </w:rPr>
      </w:pPr>
      <w:r>
        <w:rPr>
          <w:b/>
          <w:color w:val="0F0F0F"/>
          <w:w w:val="105"/>
          <w:sz w:val="22"/>
        </w:rPr>
        <w:t>Basis for Opinion</w:t>
      </w:r>
    </w:p>
    <w:p>
      <w:pPr>
        <w:spacing w:line="268" w:lineRule="auto" w:before="130"/>
        <w:ind w:left="732" w:right="1677" w:firstLine="9"/>
        <w:jc w:val="left"/>
        <w:rPr>
          <w:sz w:val="19"/>
        </w:rPr>
      </w:pPr>
      <w:r>
        <w:rPr>
          <w:color w:val="3B3B3B"/>
          <w:w w:val="110"/>
          <w:sz w:val="19"/>
        </w:rPr>
        <w:t>I</w:t>
      </w:r>
      <w:r>
        <w:rPr>
          <w:color w:val="3B3B3B"/>
          <w:spacing w:val="-33"/>
          <w:w w:val="110"/>
          <w:sz w:val="19"/>
        </w:rPr>
        <w:t> </w:t>
      </w:r>
      <w:r>
        <w:rPr>
          <w:color w:val="3B3B3B"/>
          <w:w w:val="110"/>
          <w:sz w:val="19"/>
        </w:rPr>
        <w:t>conducted</w:t>
      </w:r>
      <w:r>
        <w:rPr>
          <w:color w:val="3B3B3B"/>
          <w:spacing w:val="-16"/>
          <w:w w:val="110"/>
          <w:sz w:val="19"/>
        </w:rPr>
        <w:t> </w:t>
      </w:r>
      <w:r>
        <w:rPr>
          <w:color w:val="3B3B3B"/>
          <w:w w:val="110"/>
          <w:sz w:val="19"/>
        </w:rPr>
        <w:t>my</w:t>
      </w:r>
      <w:r>
        <w:rPr>
          <w:color w:val="3B3B3B"/>
          <w:spacing w:val="-22"/>
          <w:w w:val="110"/>
          <w:sz w:val="19"/>
        </w:rPr>
        <w:t> </w:t>
      </w:r>
      <w:r>
        <w:rPr>
          <w:color w:val="3B3B3B"/>
          <w:w w:val="110"/>
          <w:sz w:val="19"/>
        </w:rPr>
        <w:t>audi</w:t>
      </w:r>
      <w:r>
        <w:rPr>
          <w:color w:val="212121"/>
          <w:w w:val="110"/>
          <w:sz w:val="19"/>
        </w:rPr>
        <w:t>t</w:t>
      </w:r>
      <w:r>
        <w:rPr>
          <w:color w:val="212121"/>
          <w:spacing w:val="-26"/>
          <w:w w:val="110"/>
          <w:sz w:val="19"/>
        </w:rPr>
        <w:t> </w:t>
      </w:r>
      <w:r>
        <w:rPr>
          <w:color w:val="3B3B3B"/>
          <w:spacing w:val="-12"/>
          <w:w w:val="110"/>
          <w:sz w:val="19"/>
        </w:rPr>
        <w:t>in</w:t>
      </w:r>
      <w:r>
        <w:rPr>
          <w:color w:val="3B3B3B"/>
          <w:spacing w:val="-33"/>
          <w:w w:val="110"/>
          <w:sz w:val="19"/>
        </w:rPr>
        <w:t> </w:t>
      </w:r>
      <w:r>
        <w:rPr>
          <w:color w:val="3B3B3B"/>
          <w:w w:val="110"/>
          <w:sz w:val="19"/>
        </w:rPr>
        <w:t>acco</w:t>
      </w:r>
      <w:r>
        <w:rPr>
          <w:color w:val="212121"/>
          <w:w w:val="110"/>
          <w:sz w:val="19"/>
        </w:rPr>
        <w:t>r</w:t>
      </w:r>
      <w:r>
        <w:rPr>
          <w:color w:val="3B3B3B"/>
          <w:w w:val="110"/>
          <w:sz w:val="19"/>
        </w:rPr>
        <w:t>dance</w:t>
      </w:r>
      <w:r>
        <w:rPr>
          <w:color w:val="3B3B3B"/>
          <w:spacing w:val="-27"/>
          <w:w w:val="110"/>
          <w:sz w:val="19"/>
        </w:rPr>
        <w:t> </w:t>
      </w:r>
      <w:r>
        <w:rPr>
          <w:color w:val="3B3B3B"/>
          <w:w w:val="110"/>
          <w:sz w:val="19"/>
        </w:rPr>
        <w:t>with</w:t>
      </w:r>
      <w:r>
        <w:rPr>
          <w:color w:val="3B3B3B"/>
          <w:spacing w:val="-26"/>
          <w:w w:val="110"/>
          <w:sz w:val="19"/>
        </w:rPr>
        <w:t> </w:t>
      </w:r>
      <w:r>
        <w:rPr>
          <w:color w:val="3B3B3B"/>
          <w:w w:val="110"/>
          <w:sz w:val="19"/>
        </w:rPr>
        <w:t>Austral</w:t>
      </w:r>
      <w:r>
        <w:rPr>
          <w:color w:val="3B3B3B"/>
          <w:spacing w:val="-47"/>
          <w:w w:val="110"/>
          <w:sz w:val="19"/>
        </w:rPr>
        <w:t> </w:t>
      </w:r>
      <w:r>
        <w:rPr>
          <w:color w:val="3B3B3B"/>
          <w:spacing w:val="-12"/>
          <w:w w:val="110"/>
          <w:sz w:val="19"/>
        </w:rPr>
        <w:t>ian</w:t>
      </w:r>
      <w:r>
        <w:rPr>
          <w:color w:val="3B3B3B"/>
          <w:spacing w:val="-27"/>
          <w:w w:val="110"/>
          <w:sz w:val="19"/>
        </w:rPr>
        <w:t> </w:t>
      </w:r>
      <w:r>
        <w:rPr>
          <w:color w:val="3B3B3B"/>
          <w:w w:val="110"/>
          <w:sz w:val="19"/>
        </w:rPr>
        <w:t>Auditing</w:t>
      </w:r>
      <w:r>
        <w:rPr>
          <w:color w:val="3B3B3B"/>
          <w:spacing w:val="-25"/>
          <w:w w:val="110"/>
          <w:sz w:val="19"/>
        </w:rPr>
        <w:t> </w:t>
      </w:r>
      <w:r>
        <w:rPr>
          <w:color w:val="3B3B3B"/>
          <w:spacing w:val="2"/>
          <w:w w:val="110"/>
          <w:sz w:val="19"/>
        </w:rPr>
        <w:t>Standards</w:t>
      </w:r>
      <w:r>
        <w:rPr>
          <w:color w:val="6E6E6E"/>
          <w:spacing w:val="2"/>
          <w:w w:val="110"/>
          <w:sz w:val="19"/>
        </w:rPr>
        <w:t>.</w:t>
      </w:r>
      <w:r>
        <w:rPr>
          <w:color w:val="6E6E6E"/>
          <w:spacing w:val="-43"/>
          <w:w w:val="110"/>
          <w:sz w:val="19"/>
        </w:rPr>
        <w:t> </w:t>
      </w:r>
      <w:r>
        <w:rPr>
          <w:color w:val="3B3B3B"/>
          <w:w w:val="110"/>
          <w:sz w:val="19"/>
        </w:rPr>
        <w:t>My</w:t>
      </w:r>
      <w:r>
        <w:rPr>
          <w:color w:val="3B3B3B"/>
          <w:spacing w:val="-24"/>
          <w:w w:val="110"/>
          <w:sz w:val="19"/>
        </w:rPr>
        <w:t> </w:t>
      </w:r>
      <w:r>
        <w:rPr>
          <w:color w:val="3B3B3B"/>
          <w:spacing w:val="-5"/>
          <w:w w:val="110"/>
          <w:sz w:val="19"/>
        </w:rPr>
        <w:t>respo</w:t>
      </w:r>
      <w:r>
        <w:rPr>
          <w:color w:val="212121"/>
          <w:spacing w:val="-5"/>
          <w:w w:val="110"/>
          <w:sz w:val="19"/>
        </w:rPr>
        <w:t>n</w:t>
      </w:r>
      <w:r>
        <w:rPr>
          <w:color w:val="3B3B3B"/>
          <w:spacing w:val="-5"/>
          <w:w w:val="110"/>
          <w:sz w:val="19"/>
        </w:rPr>
        <w:t>sibi</w:t>
      </w:r>
      <w:r>
        <w:rPr>
          <w:color w:val="0F0F0F"/>
          <w:spacing w:val="-5"/>
          <w:w w:val="110"/>
          <w:sz w:val="19"/>
        </w:rPr>
        <w:t>l</w:t>
      </w:r>
      <w:r>
        <w:rPr>
          <w:color w:val="3B3B3B"/>
          <w:spacing w:val="-5"/>
          <w:w w:val="110"/>
          <w:sz w:val="19"/>
        </w:rPr>
        <w:t>it</w:t>
      </w:r>
      <w:r>
        <w:rPr>
          <w:color w:val="212121"/>
          <w:spacing w:val="-5"/>
          <w:w w:val="110"/>
          <w:sz w:val="19"/>
        </w:rPr>
        <w:t>i</w:t>
      </w:r>
      <w:r>
        <w:rPr>
          <w:color w:val="3B3B3B"/>
          <w:spacing w:val="-5"/>
          <w:w w:val="110"/>
          <w:sz w:val="19"/>
        </w:rPr>
        <w:t>es</w:t>
      </w:r>
      <w:r>
        <w:rPr>
          <w:color w:val="3B3B3B"/>
          <w:spacing w:val="-24"/>
          <w:w w:val="110"/>
          <w:sz w:val="19"/>
        </w:rPr>
        <w:t> </w:t>
      </w:r>
      <w:r>
        <w:rPr>
          <w:color w:val="3B3B3B"/>
          <w:spacing w:val="-3"/>
          <w:w w:val="110"/>
          <w:sz w:val="19"/>
        </w:rPr>
        <w:t>under</w:t>
      </w:r>
      <w:r>
        <w:rPr>
          <w:color w:val="3B3B3B"/>
          <w:spacing w:val="-23"/>
          <w:w w:val="110"/>
          <w:sz w:val="19"/>
        </w:rPr>
        <w:t> </w:t>
      </w:r>
      <w:r>
        <w:rPr>
          <w:color w:val="3B3B3B"/>
          <w:w w:val="110"/>
          <w:sz w:val="19"/>
        </w:rPr>
        <w:t>the </w:t>
      </w:r>
      <w:r>
        <w:rPr>
          <w:color w:val="3B3B3B"/>
          <w:w w:val="115"/>
          <w:sz w:val="19"/>
        </w:rPr>
        <w:t>s</w:t>
      </w:r>
      <w:r>
        <w:rPr>
          <w:color w:val="212121"/>
          <w:w w:val="115"/>
          <w:sz w:val="19"/>
        </w:rPr>
        <w:t>t</w:t>
      </w:r>
      <w:r>
        <w:rPr>
          <w:color w:val="3B3B3B"/>
          <w:w w:val="115"/>
          <w:sz w:val="19"/>
        </w:rPr>
        <w:t>andards</w:t>
      </w:r>
      <w:r>
        <w:rPr>
          <w:color w:val="3B3B3B"/>
          <w:spacing w:val="-39"/>
          <w:w w:val="115"/>
          <w:sz w:val="19"/>
        </w:rPr>
        <w:t> </w:t>
      </w:r>
      <w:r>
        <w:rPr>
          <w:color w:val="3B3B3B"/>
          <w:w w:val="115"/>
          <w:sz w:val="19"/>
        </w:rPr>
        <w:t>are</w:t>
      </w:r>
      <w:r>
        <w:rPr>
          <w:color w:val="3B3B3B"/>
          <w:spacing w:val="-45"/>
          <w:w w:val="115"/>
          <w:sz w:val="19"/>
        </w:rPr>
        <w:t> </w:t>
      </w:r>
      <w:r>
        <w:rPr>
          <w:color w:val="3B3B3B"/>
          <w:w w:val="115"/>
          <w:sz w:val="19"/>
        </w:rPr>
        <w:t>described</w:t>
      </w:r>
      <w:r>
        <w:rPr>
          <w:color w:val="3B3B3B"/>
          <w:spacing w:val="-43"/>
          <w:w w:val="115"/>
          <w:sz w:val="19"/>
        </w:rPr>
        <w:t> </w:t>
      </w:r>
      <w:r>
        <w:rPr>
          <w:color w:val="3B3B3B"/>
          <w:spacing w:val="-12"/>
          <w:w w:val="115"/>
          <w:sz w:val="19"/>
        </w:rPr>
        <w:t>in</w:t>
      </w:r>
      <w:r>
        <w:rPr>
          <w:color w:val="3B3B3B"/>
          <w:spacing w:val="-44"/>
          <w:w w:val="115"/>
          <w:sz w:val="19"/>
        </w:rPr>
        <w:t> </w:t>
      </w:r>
      <w:r>
        <w:rPr>
          <w:color w:val="3B3B3B"/>
          <w:w w:val="115"/>
          <w:sz w:val="19"/>
        </w:rPr>
        <w:t>the</w:t>
      </w:r>
      <w:r>
        <w:rPr>
          <w:color w:val="3B3B3B"/>
          <w:spacing w:val="-43"/>
          <w:w w:val="115"/>
          <w:sz w:val="19"/>
        </w:rPr>
        <w:t> </w:t>
      </w:r>
      <w:r>
        <w:rPr>
          <w:color w:val="6E6E6E"/>
          <w:w w:val="115"/>
          <w:sz w:val="19"/>
        </w:rPr>
        <w:t>'</w:t>
      </w:r>
      <w:r>
        <w:rPr>
          <w:color w:val="3B3B3B"/>
          <w:w w:val="115"/>
          <w:sz w:val="19"/>
        </w:rPr>
        <w:t>Auditor's</w:t>
      </w:r>
      <w:r>
        <w:rPr>
          <w:color w:val="3B3B3B"/>
          <w:spacing w:val="-39"/>
          <w:w w:val="115"/>
          <w:sz w:val="19"/>
        </w:rPr>
        <w:t> </w:t>
      </w:r>
      <w:r>
        <w:rPr>
          <w:color w:val="3B3B3B"/>
          <w:spacing w:val="-6"/>
          <w:w w:val="115"/>
          <w:sz w:val="19"/>
        </w:rPr>
        <w:t>Responsibilities</w:t>
      </w:r>
      <w:r>
        <w:rPr>
          <w:color w:val="3B3B3B"/>
          <w:spacing w:val="-42"/>
          <w:w w:val="115"/>
          <w:sz w:val="19"/>
        </w:rPr>
        <w:t> </w:t>
      </w:r>
      <w:r>
        <w:rPr>
          <w:color w:val="3B3B3B"/>
          <w:w w:val="115"/>
          <w:sz w:val="19"/>
        </w:rPr>
        <w:t>for</w:t>
      </w:r>
      <w:r>
        <w:rPr>
          <w:color w:val="3B3B3B"/>
          <w:spacing w:val="-40"/>
          <w:w w:val="115"/>
          <w:sz w:val="19"/>
        </w:rPr>
        <w:t> </w:t>
      </w:r>
      <w:r>
        <w:rPr>
          <w:color w:val="212121"/>
          <w:w w:val="115"/>
          <w:sz w:val="19"/>
        </w:rPr>
        <w:t>t</w:t>
      </w:r>
      <w:r>
        <w:rPr>
          <w:color w:val="3B3B3B"/>
          <w:w w:val="115"/>
          <w:sz w:val="19"/>
        </w:rPr>
        <w:t>he</w:t>
      </w:r>
      <w:r>
        <w:rPr>
          <w:color w:val="3B3B3B"/>
          <w:spacing w:val="-48"/>
          <w:w w:val="115"/>
          <w:sz w:val="19"/>
        </w:rPr>
        <w:t> </w:t>
      </w:r>
      <w:r>
        <w:rPr>
          <w:color w:val="3B3B3B"/>
          <w:w w:val="115"/>
          <w:sz w:val="19"/>
        </w:rPr>
        <w:t>Audit</w:t>
      </w:r>
      <w:r>
        <w:rPr>
          <w:color w:val="3B3B3B"/>
          <w:spacing w:val="-39"/>
          <w:w w:val="115"/>
          <w:sz w:val="19"/>
        </w:rPr>
        <w:t> </w:t>
      </w:r>
      <w:r>
        <w:rPr>
          <w:color w:val="3B3B3B"/>
          <w:w w:val="115"/>
          <w:sz w:val="19"/>
        </w:rPr>
        <w:t>of</w:t>
      </w:r>
      <w:r>
        <w:rPr>
          <w:color w:val="3B3B3B"/>
          <w:spacing w:val="-47"/>
          <w:w w:val="115"/>
          <w:sz w:val="19"/>
        </w:rPr>
        <w:t> </w:t>
      </w:r>
      <w:r>
        <w:rPr>
          <w:color w:val="212121"/>
          <w:w w:val="115"/>
          <w:sz w:val="19"/>
        </w:rPr>
        <w:t>t</w:t>
      </w:r>
      <w:r>
        <w:rPr>
          <w:color w:val="3B3B3B"/>
          <w:w w:val="115"/>
          <w:sz w:val="19"/>
        </w:rPr>
        <w:t>he</w:t>
      </w:r>
      <w:r>
        <w:rPr>
          <w:color w:val="3B3B3B"/>
          <w:spacing w:val="-45"/>
          <w:w w:val="115"/>
          <w:sz w:val="19"/>
        </w:rPr>
        <w:t> </w:t>
      </w:r>
      <w:r>
        <w:rPr>
          <w:color w:val="3B3B3B"/>
          <w:spacing w:val="-3"/>
          <w:w w:val="115"/>
          <w:sz w:val="19"/>
        </w:rPr>
        <w:t>Financial</w:t>
      </w:r>
      <w:r>
        <w:rPr>
          <w:color w:val="3B3B3B"/>
          <w:spacing w:val="-41"/>
          <w:w w:val="115"/>
          <w:sz w:val="19"/>
        </w:rPr>
        <w:t> </w:t>
      </w:r>
      <w:r>
        <w:rPr>
          <w:color w:val="3B3B3B"/>
          <w:w w:val="115"/>
          <w:sz w:val="19"/>
        </w:rPr>
        <w:t>S</w:t>
      </w:r>
      <w:r>
        <w:rPr>
          <w:color w:val="212121"/>
          <w:w w:val="115"/>
          <w:sz w:val="19"/>
        </w:rPr>
        <w:t>t</w:t>
      </w:r>
      <w:r>
        <w:rPr>
          <w:color w:val="3B3B3B"/>
          <w:w w:val="115"/>
          <w:sz w:val="19"/>
        </w:rPr>
        <w:t>atements' </w:t>
      </w:r>
      <w:r>
        <w:rPr>
          <w:color w:val="3B3B3B"/>
          <w:w w:val="110"/>
          <w:sz w:val="19"/>
        </w:rPr>
        <w:t>section</w:t>
      </w:r>
      <w:r>
        <w:rPr>
          <w:color w:val="3B3B3B"/>
          <w:spacing w:val="-30"/>
          <w:w w:val="110"/>
          <w:sz w:val="19"/>
        </w:rPr>
        <w:t> </w:t>
      </w:r>
      <w:r>
        <w:rPr>
          <w:color w:val="3B3B3B"/>
          <w:w w:val="110"/>
          <w:sz w:val="19"/>
        </w:rPr>
        <w:t>of</w:t>
      </w:r>
      <w:r>
        <w:rPr>
          <w:color w:val="3B3B3B"/>
          <w:spacing w:val="-38"/>
          <w:w w:val="110"/>
          <w:sz w:val="19"/>
        </w:rPr>
        <w:t> </w:t>
      </w:r>
      <w:r>
        <w:rPr>
          <w:color w:val="3B3B3B"/>
          <w:w w:val="110"/>
          <w:sz w:val="19"/>
        </w:rPr>
        <w:t>my</w:t>
      </w:r>
      <w:r>
        <w:rPr>
          <w:color w:val="3B3B3B"/>
          <w:spacing w:val="-35"/>
          <w:w w:val="110"/>
          <w:sz w:val="19"/>
        </w:rPr>
        <w:t> </w:t>
      </w:r>
      <w:r>
        <w:rPr>
          <w:color w:val="3B3B3B"/>
          <w:spacing w:val="2"/>
          <w:w w:val="110"/>
          <w:sz w:val="19"/>
        </w:rPr>
        <w:t>report</w:t>
      </w:r>
      <w:r>
        <w:rPr>
          <w:color w:val="6E6E6E"/>
          <w:spacing w:val="2"/>
          <w:w w:val="110"/>
          <w:sz w:val="19"/>
        </w:rPr>
        <w:t>.</w:t>
      </w:r>
    </w:p>
    <w:p>
      <w:pPr>
        <w:spacing w:line="412" w:lineRule="exact" w:before="7"/>
        <w:ind w:left="1298" w:right="3660" w:hanging="557"/>
        <w:jc w:val="left"/>
        <w:rPr>
          <w:sz w:val="19"/>
        </w:rPr>
      </w:pPr>
      <w:r>
        <w:rPr>
          <w:color w:val="3B3B3B"/>
          <w:spacing w:val="4"/>
          <w:w w:val="110"/>
          <w:sz w:val="19"/>
        </w:rPr>
        <w:t>Iam</w:t>
      </w:r>
      <w:r>
        <w:rPr>
          <w:color w:val="3B3B3B"/>
          <w:spacing w:val="-20"/>
          <w:w w:val="110"/>
          <w:sz w:val="19"/>
        </w:rPr>
        <w:t> </w:t>
      </w:r>
      <w:r>
        <w:rPr>
          <w:color w:val="3B3B3B"/>
          <w:spacing w:val="-4"/>
          <w:w w:val="110"/>
          <w:sz w:val="19"/>
        </w:rPr>
        <w:t>independent</w:t>
      </w:r>
      <w:r>
        <w:rPr>
          <w:color w:val="3B3B3B"/>
          <w:spacing w:val="-20"/>
          <w:w w:val="110"/>
          <w:sz w:val="19"/>
        </w:rPr>
        <w:t> </w:t>
      </w:r>
      <w:r>
        <w:rPr>
          <w:color w:val="3B3B3B"/>
          <w:w w:val="110"/>
          <w:sz w:val="19"/>
        </w:rPr>
        <w:t>of</w:t>
      </w:r>
      <w:r>
        <w:rPr>
          <w:color w:val="3B3B3B"/>
          <w:spacing w:val="-32"/>
          <w:w w:val="110"/>
          <w:sz w:val="19"/>
        </w:rPr>
        <w:t> </w:t>
      </w:r>
      <w:r>
        <w:rPr>
          <w:color w:val="3B3B3B"/>
          <w:w w:val="110"/>
          <w:sz w:val="19"/>
        </w:rPr>
        <w:t>the</w:t>
      </w:r>
      <w:r>
        <w:rPr>
          <w:color w:val="3B3B3B"/>
          <w:spacing w:val="-20"/>
          <w:w w:val="110"/>
          <w:sz w:val="19"/>
        </w:rPr>
        <w:t> </w:t>
      </w:r>
      <w:r>
        <w:rPr>
          <w:color w:val="3B3B3B"/>
          <w:w w:val="110"/>
          <w:sz w:val="19"/>
        </w:rPr>
        <w:t>Company</w:t>
      </w:r>
      <w:r>
        <w:rPr>
          <w:color w:val="3B3B3B"/>
          <w:spacing w:val="-12"/>
          <w:w w:val="110"/>
          <w:sz w:val="19"/>
        </w:rPr>
        <w:t> in</w:t>
      </w:r>
      <w:r>
        <w:rPr>
          <w:color w:val="3B3B3B"/>
          <w:spacing w:val="-26"/>
          <w:w w:val="110"/>
          <w:sz w:val="19"/>
        </w:rPr>
        <w:t> </w:t>
      </w:r>
      <w:r>
        <w:rPr>
          <w:color w:val="3B3B3B"/>
          <w:w w:val="110"/>
          <w:sz w:val="19"/>
        </w:rPr>
        <w:t>accordance</w:t>
      </w:r>
      <w:r>
        <w:rPr>
          <w:color w:val="3B3B3B"/>
          <w:spacing w:val="-25"/>
          <w:w w:val="110"/>
          <w:sz w:val="19"/>
        </w:rPr>
        <w:t> </w:t>
      </w:r>
      <w:r>
        <w:rPr>
          <w:color w:val="3B3B3B"/>
          <w:w w:val="110"/>
          <w:sz w:val="19"/>
        </w:rPr>
        <w:t>wi</w:t>
      </w:r>
      <w:r>
        <w:rPr>
          <w:color w:val="212121"/>
          <w:w w:val="110"/>
          <w:sz w:val="19"/>
        </w:rPr>
        <w:t>t</w:t>
      </w:r>
      <w:r>
        <w:rPr>
          <w:color w:val="3B3B3B"/>
          <w:w w:val="110"/>
          <w:sz w:val="19"/>
        </w:rPr>
        <w:t>h</w:t>
      </w:r>
      <w:r>
        <w:rPr>
          <w:color w:val="3B3B3B"/>
          <w:spacing w:val="-26"/>
          <w:w w:val="110"/>
          <w:sz w:val="19"/>
        </w:rPr>
        <w:t> </w:t>
      </w:r>
      <w:r>
        <w:rPr>
          <w:color w:val="3B3B3B"/>
          <w:w w:val="110"/>
          <w:sz w:val="19"/>
        </w:rPr>
        <w:t>the</w:t>
      </w:r>
      <w:r>
        <w:rPr>
          <w:color w:val="3B3B3B"/>
          <w:spacing w:val="-20"/>
          <w:w w:val="110"/>
          <w:sz w:val="19"/>
        </w:rPr>
        <w:t> </w:t>
      </w:r>
      <w:r>
        <w:rPr>
          <w:color w:val="3B3B3B"/>
          <w:w w:val="110"/>
          <w:sz w:val="19"/>
        </w:rPr>
        <w:t>requiremen</w:t>
      </w:r>
      <w:r>
        <w:rPr>
          <w:color w:val="212121"/>
          <w:w w:val="110"/>
          <w:sz w:val="19"/>
        </w:rPr>
        <w:t>t</w:t>
      </w:r>
      <w:r>
        <w:rPr>
          <w:color w:val="3B3B3B"/>
          <w:w w:val="110"/>
          <w:sz w:val="19"/>
        </w:rPr>
        <w:t>s</w:t>
      </w:r>
      <w:r>
        <w:rPr>
          <w:color w:val="3B3B3B"/>
          <w:spacing w:val="-24"/>
          <w:w w:val="110"/>
          <w:sz w:val="19"/>
        </w:rPr>
        <w:t> </w:t>
      </w:r>
      <w:r>
        <w:rPr>
          <w:color w:val="3B3B3B"/>
          <w:w w:val="110"/>
          <w:sz w:val="19"/>
        </w:rPr>
        <w:t>of</w:t>
      </w:r>
      <w:r>
        <w:rPr>
          <w:color w:val="3B3B3B"/>
          <w:spacing w:val="-26"/>
          <w:w w:val="110"/>
          <w:sz w:val="19"/>
        </w:rPr>
        <w:t> </w:t>
      </w:r>
      <w:r>
        <w:rPr>
          <w:color w:val="3B3B3B"/>
          <w:w w:val="110"/>
          <w:sz w:val="19"/>
        </w:rPr>
        <w:t>the: </w:t>
      </w:r>
      <w:r>
        <w:rPr>
          <w:color w:val="3B3B3B"/>
          <w:w w:val="105"/>
          <w:sz w:val="19"/>
        </w:rPr>
        <w:t>Austra</w:t>
      </w:r>
      <w:r>
        <w:rPr>
          <w:color w:val="0F0F0F"/>
          <w:w w:val="105"/>
          <w:sz w:val="19"/>
        </w:rPr>
        <w:t>li</w:t>
      </w:r>
      <w:r>
        <w:rPr>
          <w:color w:val="3B3B3B"/>
          <w:w w:val="105"/>
          <w:sz w:val="19"/>
        </w:rPr>
        <w:t>an Aud</w:t>
      </w:r>
      <w:r>
        <w:rPr>
          <w:color w:val="0F0F0F"/>
          <w:w w:val="105"/>
          <w:sz w:val="19"/>
        </w:rPr>
        <w:t>i</w:t>
      </w:r>
      <w:r>
        <w:rPr>
          <w:color w:val="3B3B3B"/>
          <w:w w:val="105"/>
          <w:sz w:val="19"/>
        </w:rPr>
        <w:t>ting</w:t>
      </w:r>
      <w:r>
        <w:rPr>
          <w:color w:val="3B3B3B"/>
          <w:spacing w:val="-23"/>
          <w:w w:val="105"/>
          <w:sz w:val="19"/>
        </w:rPr>
        <w:t> </w:t>
      </w:r>
      <w:r>
        <w:rPr>
          <w:color w:val="3B3B3B"/>
          <w:w w:val="105"/>
          <w:sz w:val="19"/>
        </w:rPr>
        <w:t>Standards</w:t>
      </w:r>
    </w:p>
    <w:p>
      <w:pPr>
        <w:spacing w:before="37"/>
        <w:ind w:left="1308" w:right="2237" w:firstLine="0"/>
        <w:jc w:val="left"/>
        <w:rPr>
          <w:i/>
          <w:sz w:val="19"/>
        </w:rPr>
      </w:pPr>
      <w:r>
        <w:rPr>
          <w:i/>
          <w:color w:val="3B3B3B"/>
          <w:sz w:val="19"/>
        </w:rPr>
        <w:t>Corporations  Act 2001</w:t>
      </w:r>
    </w:p>
    <w:p>
      <w:pPr>
        <w:spacing w:line="264" w:lineRule="auto" w:before="79"/>
        <w:ind w:left="1308" w:right="2421" w:hanging="10"/>
        <w:jc w:val="left"/>
        <w:rPr>
          <w:sz w:val="19"/>
        </w:rPr>
      </w:pPr>
      <w:r>
        <w:rPr>
          <w:color w:val="3B3B3B"/>
          <w:w w:val="110"/>
          <w:sz w:val="19"/>
        </w:rPr>
        <w:t>Accounting</w:t>
      </w:r>
      <w:r>
        <w:rPr>
          <w:color w:val="3B3B3B"/>
          <w:spacing w:val="-28"/>
          <w:w w:val="110"/>
          <w:sz w:val="19"/>
        </w:rPr>
        <w:t> </w:t>
      </w:r>
      <w:r>
        <w:rPr>
          <w:color w:val="3B3B3B"/>
          <w:w w:val="110"/>
          <w:sz w:val="19"/>
        </w:rPr>
        <w:t>Professional</w:t>
      </w:r>
      <w:r>
        <w:rPr>
          <w:color w:val="3B3B3B"/>
          <w:spacing w:val="-33"/>
          <w:w w:val="110"/>
          <w:sz w:val="19"/>
        </w:rPr>
        <w:t> </w:t>
      </w:r>
      <w:r>
        <w:rPr>
          <w:color w:val="3B3B3B"/>
          <w:w w:val="110"/>
          <w:sz w:val="19"/>
        </w:rPr>
        <w:t>and</w:t>
      </w:r>
      <w:r>
        <w:rPr>
          <w:color w:val="3B3B3B"/>
          <w:spacing w:val="-30"/>
          <w:w w:val="110"/>
          <w:sz w:val="19"/>
        </w:rPr>
        <w:t> </w:t>
      </w:r>
      <w:r>
        <w:rPr>
          <w:color w:val="3B3B3B"/>
          <w:spacing w:val="-6"/>
          <w:w w:val="110"/>
          <w:sz w:val="19"/>
        </w:rPr>
        <w:t>E</w:t>
      </w:r>
      <w:r>
        <w:rPr>
          <w:color w:val="212121"/>
          <w:spacing w:val="-6"/>
          <w:w w:val="110"/>
          <w:sz w:val="19"/>
        </w:rPr>
        <w:t>t</w:t>
      </w:r>
      <w:r>
        <w:rPr>
          <w:color w:val="3B3B3B"/>
          <w:spacing w:val="-6"/>
          <w:w w:val="110"/>
          <w:sz w:val="19"/>
        </w:rPr>
        <w:t>hical</w:t>
      </w:r>
      <w:r>
        <w:rPr>
          <w:color w:val="3B3B3B"/>
          <w:spacing w:val="-36"/>
          <w:w w:val="110"/>
          <w:sz w:val="19"/>
        </w:rPr>
        <w:t> </w:t>
      </w:r>
      <w:r>
        <w:rPr>
          <w:color w:val="3B3B3B"/>
          <w:w w:val="110"/>
          <w:sz w:val="19"/>
        </w:rPr>
        <w:t>Standards</w:t>
      </w:r>
      <w:r>
        <w:rPr>
          <w:color w:val="3B3B3B"/>
          <w:spacing w:val="-23"/>
          <w:w w:val="110"/>
          <w:sz w:val="19"/>
        </w:rPr>
        <w:t> </w:t>
      </w:r>
      <w:r>
        <w:rPr>
          <w:color w:val="3B3B3B"/>
          <w:spacing w:val="-3"/>
          <w:w w:val="110"/>
          <w:sz w:val="19"/>
        </w:rPr>
        <w:t>Board</w:t>
      </w:r>
      <w:r>
        <w:rPr>
          <w:color w:val="6E6E6E"/>
          <w:spacing w:val="-3"/>
          <w:w w:val="110"/>
          <w:sz w:val="19"/>
        </w:rPr>
        <w:t>'</w:t>
      </w:r>
      <w:r>
        <w:rPr>
          <w:color w:val="3B3B3B"/>
          <w:spacing w:val="-3"/>
          <w:w w:val="110"/>
          <w:sz w:val="19"/>
        </w:rPr>
        <w:t>s</w:t>
      </w:r>
      <w:r>
        <w:rPr>
          <w:color w:val="3B3B3B"/>
          <w:spacing w:val="-38"/>
          <w:w w:val="110"/>
          <w:sz w:val="19"/>
        </w:rPr>
        <w:t> </w:t>
      </w:r>
      <w:r>
        <w:rPr>
          <w:color w:val="3B3B3B"/>
          <w:w w:val="110"/>
          <w:sz w:val="19"/>
        </w:rPr>
        <w:t>APES</w:t>
      </w:r>
      <w:r>
        <w:rPr>
          <w:color w:val="3B3B3B"/>
          <w:spacing w:val="-17"/>
          <w:w w:val="110"/>
          <w:sz w:val="19"/>
        </w:rPr>
        <w:t> </w:t>
      </w:r>
      <w:r>
        <w:rPr>
          <w:color w:val="3B3B3B"/>
          <w:spacing w:val="-6"/>
          <w:w w:val="110"/>
          <w:sz w:val="19"/>
        </w:rPr>
        <w:t>11O</w:t>
      </w:r>
      <w:r>
        <w:rPr>
          <w:color w:val="3B3B3B"/>
          <w:spacing w:val="-28"/>
          <w:w w:val="110"/>
          <w:sz w:val="19"/>
        </w:rPr>
        <w:t> </w:t>
      </w:r>
      <w:r>
        <w:rPr>
          <w:color w:val="525252"/>
          <w:w w:val="110"/>
          <w:sz w:val="19"/>
        </w:rPr>
        <w:t>'Code</w:t>
      </w:r>
      <w:r>
        <w:rPr>
          <w:color w:val="525252"/>
          <w:spacing w:val="-39"/>
          <w:w w:val="110"/>
          <w:sz w:val="19"/>
        </w:rPr>
        <w:t> </w:t>
      </w:r>
      <w:r>
        <w:rPr>
          <w:color w:val="3B3B3B"/>
          <w:w w:val="110"/>
          <w:sz w:val="19"/>
        </w:rPr>
        <w:t>of</w:t>
      </w:r>
      <w:r>
        <w:rPr>
          <w:color w:val="3B3B3B"/>
          <w:spacing w:val="-26"/>
          <w:w w:val="110"/>
          <w:sz w:val="19"/>
        </w:rPr>
        <w:t> </w:t>
      </w:r>
      <w:r>
        <w:rPr>
          <w:color w:val="3B3B3B"/>
          <w:w w:val="110"/>
          <w:sz w:val="19"/>
        </w:rPr>
        <w:t>Ethics</w:t>
      </w:r>
      <w:r>
        <w:rPr>
          <w:color w:val="3B3B3B"/>
          <w:spacing w:val="-34"/>
          <w:w w:val="110"/>
          <w:sz w:val="19"/>
        </w:rPr>
        <w:t> </w:t>
      </w:r>
      <w:r>
        <w:rPr>
          <w:color w:val="3B3B3B"/>
          <w:w w:val="110"/>
          <w:sz w:val="19"/>
        </w:rPr>
        <w:t>for </w:t>
      </w:r>
      <w:r>
        <w:rPr>
          <w:color w:val="3B3B3B"/>
          <w:w w:val="105"/>
          <w:sz w:val="19"/>
        </w:rPr>
        <w:t>Professiona</w:t>
      </w:r>
      <w:r>
        <w:rPr>
          <w:color w:val="0F0F0F"/>
          <w:w w:val="105"/>
          <w:sz w:val="19"/>
        </w:rPr>
        <w:t>l </w:t>
      </w:r>
      <w:r>
        <w:rPr>
          <w:color w:val="3B3B3B"/>
          <w:w w:val="105"/>
          <w:sz w:val="19"/>
        </w:rPr>
        <w:t>Accountants </w:t>
      </w:r>
      <w:r>
        <w:rPr>
          <w:color w:val="6E6E6E"/>
          <w:w w:val="105"/>
          <w:sz w:val="19"/>
        </w:rPr>
        <w:t>' </w:t>
      </w:r>
      <w:r>
        <w:rPr>
          <w:color w:val="525252"/>
          <w:w w:val="105"/>
          <w:sz w:val="19"/>
        </w:rPr>
        <w:t>(APES</w:t>
      </w:r>
      <w:r>
        <w:rPr>
          <w:color w:val="525252"/>
          <w:spacing w:val="-26"/>
          <w:w w:val="105"/>
          <w:sz w:val="19"/>
        </w:rPr>
        <w:t> </w:t>
      </w:r>
      <w:r>
        <w:rPr>
          <w:color w:val="3B3B3B"/>
          <w:spacing w:val="-8"/>
          <w:w w:val="105"/>
          <w:sz w:val="19"/>
        </w:rPr>
        <w:t>1</w:t>
      </w:r>
      <w:r>
        <w:rPr>
          <w:color w:val="212121"/>
          <w:spacing w:val="-8"/>
          <w:w w:val="105"/>
          <w:sz w:val="19"/>
        </w:rPr>
        <w:t>1</w:t>
      </w:r>
      <w:r>
        <w:rPr>
          <w:color w:val="3B3B3B"/>
          <w:spacing w:val="-8"/>
          <w:w w:val="105"/>
          <w:sz w:val="19"/>
        </w:rPr>
        <w:t>0).</w:t>
      </w:r>
    </w:p>
    <w:p>
      <w:pPr>
        <w:pStyle w:val="BodyText"/>
        <w:spacing w:before="6"/>
        <w:rPr>
          <w:sz w:val="17"/>
        </w:rPr>
      </w:pPr>
    </w:p>
    <w:p>
      <w:pPr>
        <w:spacing w:before="0"/>
        <w:ind w:left="741" w:right="2237" w:firstLine="0"/>
        <w:jc w:val="left"/>
        <w:rPr>
          <w:sz w:val="19"/>
        </w:rPr>
      </w:pPr>
      <w:r>
        <w:rPr>
          <w:color w:val="212121"/>
          <w:w w:val="105"/>
          <w:sz w:val="19"/>
        </w:rPr>
        <w:t>I</w:t>
      </w:r>
      <w:r>
        <w:rPr>
          <w:color w:val="3B3B3B"/>
          <w:w w:val="105"/>
          <w:sz w:val="19"/>
        </w:rPr>
        <w:t>have fulfilled my other ethical responsibilities in accordance with APES 110</w:t>
      </w:r>
      <w:r>
        <w:rPr>
          <w:color w:val="6E6E6E"/>
          <w:w w:val="105"/>
          <w:sz w:val="19"/>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r>
        <w:rPr/>
        <w:pict>
          <v:line style="position:absolute;mso-position-horizontal-relative:page;mso-position-vertical-relative:paragraph;z-index:3016;mso-wrap-distance-left:0;mso-wrap-distance-right:0" from="38.387100pt,13.927852pt" to="548.935500pt,13.927852pt" stroked="true" strokeweight=".959677pt" strokecolor="#4f4f4f">
            <w10:wrap type="topAndBottom"/>
          </v:line>
        </w:pict>
      </w:r>
    </w:p>
    <w:p>
      <w:pPr>
        <w:spacing w:before="127"/>
        <w:ind w:left="157" w:right="904" w:firstLine="0"/>
        <w:jc w:val="center"/>
        <w:rPr>
          <w:sz w:val="15"/>
        </w:rPr>
      </w:pPr>
      <w:r>
        <w:rPr>
          <w:color w:val="212121"/>
          <w:spacing w:val="-18"/>
          <w:w w:val="112"/>
          <w:sz w:val="15"/>
        </w:rPr>
        <w:t>L</w:t>
      </w:r>
      <w:r>
        <w:rPr>
          <w:color w:val="3B3B3B"/>
          <w:w w:val="97"/>
          <w:sz w:val="15"/>
        </w:rPr>
        <w:t>evel</w:t>
      </w:r>
      <w:r>
        <w:rPr>
          <w:color w:val="3B3B3B"/>
          <w:spacing w:val="-5"/>
          <w:sz w:val="15"/>
        </w:rPr>
        <w:t> </w:t>
      </w:r>
      <w:r>
        <w:rPr>
          <w:color w:val="3B3B3B"/>
          <w:spacing w:val="-33"/>
          <w:w w:val="118"/>
          <w:sz w:val="15"/>
        </w:rPr>
        <w:t>1</w:t>
      </w:r>
      <w:r>
        <w:rPr>
          <w:color w:val="3B3B3B"/>
          <w:w w:val="97"/>
          <w:sz w:val="15"/>
        </w:rPr>
        <w:t>5,</w:t>
      </w:r>
      <w:r>
        <w:rPr>
          <w:color w:val="3B3B3B"/>
          <w:spacing w:val="-1"/>
          <w:sz w:val="15"/>
        </w:rPr>
        <w:t> </w:t>
      </w:r>
      <w:r>
        <w:rPr>
          <w:color w:val="3B3B3B"/>
          <w:spacing w:val="6"/>
          <w:w w:val="118"/>
          <w:sz w:val="15"/>
        </w:rPr>
        <w:t>1</w:t>
      </w:r>
      <w:r>
        <w:rPr>
          <w:color w:val="212121"/>
          <w:spacing w:val="-13"/>
          <w:w w:val="109"/>
          <w:sz w:val="15"/>
        </w:rPr>
        <w:t>M</w:t>
      </w:r>
      <w:r>
        <w:rPr>
          <w:color w:val="3B3B3B"/>
          <w:w w:val="95"/>
          <w:sz w:val="15"/>
        </w:rPr>
        <w:t>argaret</w:t>
      </w:r>
      <w:r>
        <w:rPr>
          <w:color w:val="3B3B3B"/>
          <w:spacing w:val="1"/>
          <w:sz w:val="15"/>
        </w:rPr>
        <w:t> </w:t>
      </w:r>
      <w:r>
        <w:rPr>
          <w:color w:val="3B3B3B"/>
          <w:w w:val="90"/>
          <w:sz w:val="15"/>
        </w:rPr>
        <w:t>Street,</w:t>
      </w:r>
      <w:r>
        <w:rPr>
          <w:color w:val="3B3B3B"/>
          <w:spacing w:val="-2"/>
          <w:sz w:val="15"/>
        </w:rPr>
        <w:t> </w:t>
      </w:r>
      <w:r>
        <w:rPr>
          <w:color w:val="212121"/>
          <w:spacing w:val="-13"/>
          <w:w w:val="98"/>
          <w:sz w:val="15"/>
        </w:rPr>
        <w:t>S</w:t>
      </w:r>
      <w:r>
        <w:rPr>
          <w:color w:val="3B3B3B"/>
          <w:w w:val="94"/>
          <w:sz w:val="15"/>
        </w:rPr>
        <w:t>ydney</w:t>
      </w:r>
      <w:r>
        <w:rPr>
          <w:color w:val="3B3B3B"/>
          <w:sz w:val="15"/>
        </w:rPr>
        <w:t> </w:t>
      </w:r>
      <w:r>
        <w:rPr>
          <w:color w:val="212121"/>
          <w:spacing w:val="-15"/>
          <w:w w:val="110"/>
          <w:sz w:val="15"/>
        </w:rPr>
        <w:t>N</w:t>
      </w:r>
      <w:r>
        <w:rPr>
          <w:color w:val="3B3B3B"/>
          <w:w w:val="88"/>
          <w:sz w:val="15"/>
        </w:rPr>
        <w:t>SW</w:t>
      </w:r>
      <w:r>
        <w:rPr>
          <w:color w:val="3B3B3B"/>
          <w:spacing w:val="-7"/>
          <w:sz w:val="15"/>
        </w:rPr>
        <w:t> </w:t>
      </w:r>
      <w:r>
        <w:rPr>
          <w:color w:val="3B3B3B"/>
          <w:w w:val="92"/>
          <w:sz w:val="15"/>
        </w:rPr>
        <w:t>2000</w:t>
      </w:r>
      <w:r>
        <w:rPr>
          <w:color w:val="3B3B3B"/>
          <w:sz w:val="15"/>
        </w:rPr>
        <w:t> </w:t>
      </w:r>
      <w:r>
        <w:rPr>
          <w:color w:val="3B3B3B"/>
          <w:spacing w:val="-10"/>
          <w:sz w:val="15"/>
        </w:rPr>
        <w:t> </w:t>
      </w:r>
      <w:r>
        <w:rPr>
          <w:color w:val="525252"/>
          <w:w w:val="132"/>
          <w:sz w:val="15"/>
        </w:rPr>
        <w:t>I</w:t>
      </w:r>
      <w:r>
        <w:rPr>
          <w:color w:val="525252"/>
          <w:spacing w:val="8"/>
          <w:sz w:val="15"/>
        </w:rPr>
        <w:t> </w:t>
      </w:r>
      <w:r>
        <w:rPr>
          <w:color w:val="3B3B3B"/>
          <w:w w:val="87"/>
          <w:sz w:val="15"/>
        </w:rPr>
        <w:t>GPO</w:t>
      </w:r>
      <w:r>
        <w:rPr>
          <w:color w:val="3B3B3B"/>
          <w:spacing w:val="-9"/>
          <w:sz w:val="15"/>
        </w:rPr>
        <w:t> </w:t>
      </w:r>
      <w:r>
        <w:rPr>
          <w:color w:val="525252"/>
          <w:w w:val="95"/>
          <w:sz w:val="15"/>
        </w:rPr>
        <w:t>Box</w:t>
      </w:r>
      <w:r>
        <w:rPr>
          <w:color w:val="525252"/>
          <w:spacing w:val="-2"/>
          <w:sz w:val="15"/>
        </w:rPr>
        <w:t> </w:t>
      </w:r>
      <w:r>
        <w:rPr>
          <w:color w:val="525252"/>
          <w:w w:val="91"/>
          <w:sz w:val="15"/>
        </w:rPr>
        <w:t>1</w:t>
      </w:r>
      <w:r>
        <w:rPr>
          <w:color w:val="525252"/>
          <w:spacing w:val="-10"/>
          <w:w w:val="91"/>
          <w:sz w:val="15"/>
        </w:rPr>
        <w:t>2</w:t>
      </w:r>
      <w:r>
        <w:rPr>
          <w:color w:val="212121"/>
          <w:w w:val="118"/>
          <w:sz w:val="15"/>
        </w:rPr>
        <w:t>,</w:t>
      </w:r>
      <w:r>
        <w:rPr>
          <w:color w:val="212121"/>
          <w:spacing w:val="-24"/>
          <w:sz w:val="15"/>
        </w:rPr>
        <w:t> </w:t>
      </w:r>
      <w:r>
        <w:rPr>
          <w:color w:val="3B3B3B"/>
          <w:w w:val="93"/>
          <w:sz w:val="15"/>
        </w:rPr>
        <w:t>Sy</w:t>
      </w:r>
      <w:r>
        <w:rPr>
          <w:color w:val="3B3B3B"/>
          <w:spacing w:val="-13"/>
          <w:w w:val="93"/>
          <w:sz w:val="15"/>
        </w:rPr>
        <w:t>d</w:t>
      </w:r>
      <w:r>
        <w:rPr>
          <w:color w:val="3B3B3B"/>
          <w:w w:val="93"/>
          <w:sz w:val="15"/>
        </w:rPr>
        <w:t>ney</w:t>
      </w:r>
      <w:r>
        <w:rPr>
          <w:color w:val="3B3B3B"/>
          <w:spacing w:val="-20"/>
          <w:sz w:val="15"/>
        </w:rPr>
        <w:t> </w:t>
      </w:r>
      <w:r>
        <w:rPr>
          <w:color w:val="525252"/>
          <w:w w:val="91"/>
          <w:sz w:val="15"/>
        </w:rPr>
        <w:t>NSW</w:t>
      </w:r>
      <w:r>
        <w:rPr>
          <w:color w:val="525252"/>
          <w:spacing w:val="-18"/>
          <w:sz w:val="15"/>
        </w:rPr>
        <w:t> </w:t>
      </w:r>
      <w:r>
        <w:rPr>
          <w:color w:val="525252"/>
          <w:w w:val="92"/>
          <w:sz w:val="15"/>
        </w:rPr>
        <w:t>2001</w:t>
      </w:r>
      <w:r>
        <w:rPr>
          <w:color w:val="525252"/>
          <w:sz w:val="15"/>
        </w:rPr>
        <w:t> </w:t>
      </w:r>
      <w:r>
        <w:rPr>
          <w:color w:val="525252"/>
          <w:spacing w:val="-10"/>
          <w:sz w:val="15"/>
        </w:rPr>
        <w:t> </w:t>
      </w:r>
      <w:r>
        <w:rPr>
          <w:color w:val="6E6E6E"/>
          <w:w w:val="199"/>
          <w:sz w:val="15"/>
        </w:rPr>
        <w:t>I</w:t>
      </w:r>
      <w:r>
        <w:rPr>
          <w:color w:val="6E6E6E"/>
          <w:spacing w:val="-20"/>
          <w:sz w:val="15"/>
        </w:rPr>
        <w:t> </w:t>
      </w:r>
      <w:r>
        <w:rPr>
          <w:color w:val="3B3B3B"/>
          <w:w w:val="118"/>
          <w:sz w:val="15"/>
        </w:rPr>
        <w:t>t0</w:t>
      </w:r>
      <w:r>
        <w:rPr>
          <w:color w:val="3B3B3B"/>
          <w:spacing w:val="20"/>
          <w:w w:val="118"/>
          <w:sz w:val="15"/>
        </w:rPr>
        <w:t>2</w:t>
      </w:r>
      <w:r>
        <w:rPr>
          <w:color w:val="525252"/>
          <w:w w:val="96"/>
          <w:sz w:val="15"/>
        </w:rPr>
        <w:t>9275</w:t>
      </w:r>
      <w:r>
        <w:rPr>
          <w:color w:val="525252"/>
          <w:spacing w:val="-11"/>
          <w:sz w:val="15"/>
        </w:rPr>
        <w:t> </w:t>
      </w:r>
      <w:r>
        <w:rPr>
          <w:color w:val="3B3B3B"/>
          <w:w w:val="91"/>
          <w:sz w:val="15"/>
        </w:rPr>
        <w:t>7</w:t>
      </w:r>
      <w:r>
        <w:rPr>
          <w:color w:val="3B3B3B"/>
          <w:spacing w:val="-10"/>
          <w:w w:val="91"/>
          <w:sz w:val="15"/>
        </w:rPr>
        <w:t>1</w:t>
      </w:r>
      <w:r>
        <w:rPr>
          <w:color w:val="3B3B3B"/>
          <w:w w:val="98"/>
          <w:sz w:val="15"/>
        </w:rPr>
        <w:t>01</w:t>
      </w:r>
      <w:r>
        <w:rPr>
          <w:color w:val="3B3B3B"/>
          <w:sz w:val="15"/>
        </w:rPr>
        <w:t> </w:t>
      </w:r>
      <w:r>
        <w:rPr>
          <w:color w:val="3B3B3B"/>
          <w:spacing w:val="-9"/>
          <w:sz w:val="15"/>
        </w:rPr>
        <w:t> </w:t>
      </w:r>
      <w:r>
        <w:rPr>
          <w:color w:val="6E6E6E"/>
          <w:w w:val="199"/>
          <w:sz w:val="15"/>
        </w:rPr>
        <w:t>I</w:t>
      </w:r>
      <w:r>
        <w:rPr>
          <w:color w:val="6E6E6E"/>
          <w:spacing w:val="-20"/>
          <w:sz w:val="15"/>
        </w:rPr>
        <w:t> </w:t>
      </w:r>
      <w:r>
        <w:rPr>
          <w:color w:val="212121"/>
          <w:w w:val="124"/>
          <w:sz w:val="15"/>
        </w:rPr>
        <w:t>f</w:t>
      </w:r>
      <w:r>
        <w:rPr>
          <w:color w:val="212121"/>
          <w:spacing w:val="-17"/>
          <w:sz w:val="15"/>
        </w:rPr>
        <w:t> </w:t>
      </w:r>
      <w:r>
        <w:rPr>
          <w:color w:val="3B3B3B"/>
          <w:w w:val="98"/>
          <w:sz w:val="15"/>
        </w:rPr>
        <w:t>02</w:t>
      </w:r>
      <w:r>
        <w:rPr>
          <w:color w:val="3B3B3B"/>
          <w:spacing w:val="-15"/>
          <w:sz w:val="15"/>
        </w:rPr>
        <w:t> </w:t>
      </w:r>
      <w:r>
        <w:rPr>
          <w:color w:val="3B3B3B"/>
          <w:w w:val="93"/>
          <w:sz w:val="15"/>
        </w:rPr>
        <w:t>9275</w:t>
      </w:r>
      <w:r>
        <w:rPr>
          <w:color w:val="3B3B3B"/>
          <w:spacing w:val="-1"/>
          <w:sz w:val="15"/>
        </w:rPr>
        <w:t> </w:t>
      </w:r>
      <w:r>
        <w:rPr>
          <w:color w:val="3B3B3B"/>
          <w:w w:val="90"/>
          <w:sz w:val="15"/>
        </w:rPr>
        <w:t>7179</w:t>
      </w:r>
      <w:r>
        <w:rPr>
          <w:color w:val="3B3B3B"/>
          <w:sz w:val="15"/>
        </w:rPr>
        <w:t> </w:t>
      </w:r>
      <w:r>
        <w:rPr>
          <w:color w:val="3B3B3B"/>
          <w:spacing w:val="-13"/>
          <w:sz w:val="15"/>
        </w:rPr>
        <w:t> </w:t>
      </w:r>
      <w:r>
        <w:rPr>
          <w:color w:val="525252"/>
          <w:w w:val="213"/>
          <w:sz w:val="14"/>
        </w:rPr>
        <w:t>I</w:t>
      </w:r>
      <w:r>
        <w:rPr>
          <w:color w:val="525252"/>
          <w:spacing w:val="-7"/>
          <w:sz w:val="14"/>
        </w:rPr>
        <w:t> </w:t>
      </w:r>
      <w:r>
        <w:rPr>
          <w:color w:val="3B3B3B"/>
          <w:w w:val="91"/>
          <w:sz w:val="15"/>
        </w:rPr>
        <w:t>e</w:t>
      </w:r>
      <w:r>
        <w:rPr>
          <w:color w:val="3B3B3B"/>
          <w:spacing w:val="-13"/>
          <w:sz w:val="15"/>
        </w:rPr>
        <w:t> </w:t>
      </w:r>
      <w:hyperlink r:id="rId68">
        <w:r>
          <w:rPr>
            <w:color w:val="525252"/>
            <w:w w:val="92"/>
            <w:sz w:val="15"/>
          </w:rPr>
          <w:t>m</w:t>
        </w:r>
        <w:r>
          <w:rPr>
            <w:color w:val="525252"/>
            <w:w w:val="92"/>
            <w:sz w:val="15"/>
          </w:rPr>
          <w:t>a</w:t>
        </w:r>
        <w:r>
          <w:rPr>
            <w:color w:val="525252"/>
            <w:w w:val="92"/>
            <w:sz w:val="15"/>
          </w:rPr>
          <w:t>i</w:t>
        </w:r>
        <w:r>
          <w:rPr>
            <w:color w:val="525252"/>
            <w:spacing w:val="-27"/>
            <w:sz w:val="15"/>
          </w:rPr>
          <w:t> </w:t>
        </w:r>
        <w:r>
          <w:rPr>
            <w:color w:val="525252"/>
            <w:w w:val="84"/>
            <w:sz w:val="15"/>
          </w:rPr>
          <w:t>@audit.nsw</w:t>
        </w:r>
        <w:r>
          <w:rPr>
            <w:color w:val="525252"/>
            <w:spacing w:val="-3"/>
            <w:w w:val="84"/>
            <w:sz w:val="15"/>
          </w:rPr>
          <w:t>.</w:t>
        </w:r>
        <w:r>
          <w:rPr>
            <w:color w:val="525252"/>
            <w:w w:val="91"/>
            <w:sz w:val="15"/>
          </w:rPr>
          <w:t>go</w:t>
        </w:r>
        <w:r>
          <w:rPr>
            <w:color w:val="525252"/>
            <w:spacing w:val="-12"/>
            <w:w w:val="91"/>
            <w:sz w:val="15"/>
          </w:rPr>
          <w:t>v</w:t>
        </w:r>
        <w:r>
          <w:rPr>
            <w:color w:val="525252"/>
            <w:w w:val="86"/>
            <w:sz w:val="15"/>
          </w:rPr>
          <w:t>.au</w:t>
        </w:r>
      </w:hyperlink>
      <w:r>
        <w:rPr>
          <w:color w:val="525252"/>
          <w:sz w:val="15"/>
        </w:rPr>
        <w:t> </w:t>
      </w:r>
      <w:r>
        <w:rPr>
          <w:color w:val="525252"/>
          <w:spacing w:val="-16"/>
          <w:sz w:val="15"/>
        </w:rPr>
        <w:t> </w:t>
      </w:r>
      <w:r>
        <w:rPr>
          <w:color w:val="6E6E6E"/>
          <w:w w:val="213"/>
          <w:sz w:val="14"/>
        </w:rPr>
        <w:t>I</w:t>
      </w:r>
      <w:r>
        <w:rPr>
          <w:color w:val="6E6E6E"/>
          <w:spacing w:val="-17"/>
          <w:sz w:val="14"/>
        </w:rPr>
        <w:t> </w:t>
      </w:r>
      <w:r>
        <w:rPr>
          <w:color w:val="3B3B3B"/>
          <w:w w:val="100"/>
          <w:sz w:val="15"/>
        </w:rPr>
        <w:t>au</w:t>
      </w:r>
      <w:r>
        <w:rPr>
          <w:color w:val="3B3B3B"/>
          <w:spacing w:val="-14"/>
          <w:w w:val="100"/>
          <w:sz w:val="15"/>
        </w:rPr>
        <w:t>d</w:t>
      </w:r>
      <w:r>
        <w:rPr>
          <w:color w:val="3B3B3B"/>
          <w:spacing w:val="-35"/>
          <w:w w:val="215"/>
          <w:sz w:val="15"/>
        </w:rPr>
        <w:t>i</w:t>
      </w:r>
      <w:r>
        <w:rPr>
          <w:color w:val="3B3B3B"/>
          <w:w w:val="94"/>
          <w:sz w:val="15"/>
        </w:rPr>
        <w:t>t.ns</w:t>
      </w:r>
      <w:r>
        <w:rPr>
          <w:color w:val="3B3B3B"/>
          <w:spacing w:val="-6"/>
          <w:w w:val="94"/>
          <w:sz w:val="15"/>
        </w:rPr>
        <w:t>w</w:t>
      </w:r>
      <w:r>
        <w:rPr>
          <w:color w:val="212121"/>
          <w:spacing w:val="-41"/>
          <w:w w:val="189"/>
          <w:sz w:val="15"/>
        </w:rPr>
        <w:t>.</w:t>
      </w:r>
      <w:r>
        <w:rPr>
          <w:color w:val="3B3B3B"/>
          <w:w w:val="92"/>
          <w:sz w:val="15"/>
        </w:rPr>
        <w:t>gov.au</w:t>
      </w:r>
    </w:p>
    <w:p>
      <w:pPr>
        <w:spacing w:after="0"/>
        <w:jc w:val="center"/>
        <w:rPr>
          <w:sz w:val="15"/>
        </w:rPr>
        <w:sectPr>
          <w:headerReference w:type="default" r:id="rId64"/>
          <w:footerReference w:type="default" r:id="rId65"/>
          <w:pgSz w:w="11900" w:h="16840"/>
          <w:pgMar w:header="0" w:footer="513" w:top="80" w:bottom="700" w:left="640" w:right="0"/>
          <w:pgNumType w:start="138"/>
        </w:sectPr>
      </w:pPr>
    </w:p>
    <w:p>
      <w:pPr>
        <w:spacing w:before="45"/>
        <w:ind w:left="131" w:right="1613" w:firstLine="0"/>
        <w:jc w:val="left"/>
        <w:rPr>
          <w:b/>
          <w:sz w:val="23"/>
        </w:rPr>
      </w:pPr>
      <w:r>
        <w:rPr>
          <w:b/>
          <w:color w:val="131313"/>
          <w:w w:val="105"/>
          <w:sz w:val="23"/>
        </w:rPr>
        <w:t>Basis fo</w:t>
      </w:r>
      <w:r>
        <w:rPr>
          <w:b/>
          <w:color w:val="3D3D3D"/>
          <w:w w:val="105"/>
          <w:sz w:val="23"/>
        </w:rPr>
        <w:t>r </w:t>
      </w:r>
      <w:r>
        <w:rPr>
          <w:b/>
          <w:color w:val="131313"/>
          <w:w w:val="105"/>
          <w:sz w:val="23"/>
        </w:rPr>
        <w:t>Opin</w:t>
      </w:r>
      <w:r>
        <w:rPr>
          <w:b/>
          <w:color w:val="3D3D3D"/>
          <w:w w:val="105"/>
          <w:sz w:val="23"/>
        </w:rPr>
        <w:t>i</w:t>
      </w:r>
      <w:r>
        <w:rPr>
          <w:b/>
          <w:color w:val="131313"/>
          <w:w w:val="105"/>
          <w:sz w:val="23"/>
        </w:rPr>
        <w:t>on</w:t>
      </w:r>
    </w:p>
    <w:p>
      <w:pPr>
        <w:pStyle w:val="Heading8"/>
        <w:spacing w:line="264" w:lineRule="auto" w:before="128"/>
        <w:ind w:left="121" w:firstLine="9"/>
      </w:pPr>
      <w:r>
        <w:rPr>
          <w:color w:val="3D3D3D"/>
          <w:w w:val="105"/>
        </w:rPr>
        <w:t>I conducted my audit </w:t>
      </w:r>
      <w:r>
        <w:rPr>
          <w:color w:val="3D3D3D"/>
          <w:spacing w:val="-17"/>
          <w:w w:val="115"/>
        </w:rPr>
        <w:t>in </w:t>
      </w:r>
      <w:r>
        <w:rPr>
          <w:color w:val="3D3D3D"/>
          <w:w w:val="105"/>
        </w:rPr>
        <w:t>accordance with Aus</w:t>
      </w:r>
      <w:r>
        <w:rPr>
          <w:color w:val="131313"/>
          <w:w w:val="105"/>
        </w:rPr>
        <w:t>t</w:t>
      </w:r>
      <w:r>
        <w:rPr>
          <w:color w:val="3D3D3D"/>
          <w:w w:val="105"/>
        </w:rPr>
        <w:t>ralian Auditing Standards</w:t>
      </w:r>
      <w:r>
        <w:rPr>
          <w:color w:val="6D6D6D"/>
          <w:w w:val="105"/>
        </w:rPr>
        <w:t>. </w:t>
      </w:r>
      <w:r>
        <w:rPr>
          <w:color w:val="3D3D3D"/>
          <w:w w:val="105"/>
        </w:rPr>
        <w:t>My responslbllities under the standards are described </w:t>
      </w:r>
      <w:r>
        <w:rPr>
          <w:color w:val="3D3D3D"/>
          <w:spacing w:val="-17"/>
          <w:w w:val="115"/>
        </w:rPr>
        <w:t>in </w:t>
      </w:r>
      <w:r>
        <w:rPr>
          <w:color w:val="3D3D3D"/>
          <w:w w:val="105"/>
        </w:rPr>
        <w:t>the </w:t>
      </w:r>
      <w:r>
        <w:rPr>
          <w:color w:val="6D6D6D"/>
          <w:spacing w:val="-3"/>
          <w:w w:val="105"/>
        </w:rPr>
        <w:t>'</w:t>
      </w:r>
      <w:r>
        <w:rPr>
          <w:color w:val="3D3D3D"/>
          <w:spacing w:val="-3"/>
          <w:w w:val="105"/>
        </w:rPr>
        <w:t>Auditor's </w:t>
      </w:r>
      <w:r>
        <w:rPr>
          <w:color w:val="3D3D3D"/>
          <w:w w:val="105"/>
        </w:rPr>
        <w:t>Responsibilities for the Audit of the Financial Statements</w:t>
      </w:r>
      <w:r>
        <w:rPr>
          <w:color w:val="6D6D6D"/>
          <w:w w:val="105"/>
        </w:rPr>
        <w:t>' </w:t>
      </w:r>
      <w:r>
        <w:rPr>
          <w:color w:val="3D3D3D"/>
          <w:w w:val="105"/>
        </w:rPr>
        <w:t>section of </w:t>
      </w:r>
      <w:r>
        <w:rPr>
          <w:i/>
          <w:color w:val="3D3D3D"/>
          <w:w w:val="105"/>
          <w:sz w:val="20"/>
        </w:rPr>
        <w:t>my </w:t>
      </w:r>
      <w:r>
        <w:rPr>
          <w:color w:val="3D3D3D"/>
          <w:w w:val="105"/>
        </w:rPr>
        <w:t>report</w:t>
      </w:r>
      <w:r>
        <w:rPr>
          <w:color w:val="6D6D6D"/>
          <w:w w:val="105"/>
        </w:rPr>
        <w:t>.</w:t>
      </w:r>
    </w:p>
    <w:p>
      <w:pPr>
        <w:spacing w:line="412" w:lineRule="exact" w:before="8"/>
        <w:ind w:left="668" w:right="3630" w:hanging="547"/>
        <w:jc w:val="left"/>
        <w:rPr>
          <w:sz w:val="19"/>
        </w:rPr>
      </w:pPr>
      <w:r>
        <w:rPr>
          <w:color w:val="3D3D3D"/>
          <w:spacing w:val="7"/>
          <w:w w:val="110"/>
          <w:sz w:val="19"/>
        </w:rPr>
        <w:t>Iam</w:t>
      </w:r>
      <w:r>
        <w:rPr>
          <w:color w:val="3D3D3D"/>
          <w:spacing w:val="-21"/>
          <w:w w:val="110"/>
          <w:sz w:val="19"/>
        </w:rPr>
        <w:t> </w:t>
      </w:r>
      <w:r>
        <w:rPr>
          <w:color w:val="3D3D3D"/>
          <w:spacing w:val="-3"/>
          <w:w w:val="110"/>
          <w:sz w:val="19"/>
        </w:rPr>
        <w:t>independen</w:t>
      </w:r>
      <w:r>
        <w:rPr>
          <w:color w:val="131313"/>
          <w:spacing w:val="-3"/>
          <w:w w:val="110"/>
          <w:sz w:val="19"/>
        </w:rPr>
        <w:t>t</w:t>
      </w:r>
      <w:r>
        <w:rPr>
          <w:color w:val="131313"/>
          <w:spacing w:val="-25"/>
          <w:w w:val="110"/>
          <w:sz w:val="19"/>
        </w:rPr>
        <w:t> </w:t>
      </w:r>
      <w:r>
        <w:rPr>
          <w:color w:val="3D3D3D"/>
          <w:w w:val="110"/>
          <w:sz w:val="19"/>
        </w:rPr>
        <w:t>of</w:t>
      </w:r>
      <w:r>
        <w:rPr>
          <w:color w:val="3D3D3D"/>
          <w:spacing w:val="-27"/>
          <w:w w:val="110"/>
          <w:sz w:val="19"/>
        </w:rPr>
        <w:t> </w:t>
      </w:r>
      <w:r>
        <w:rPr>
          <w:color w:val="3D3D3D"/>
          <w:w w:val="110"/>
          <w:sz w:val="19"/>
        </w:rPr>
        <w:t>the</w:t>
      </w:r>
      <w:r>
        <w:rPr>
          <w:color w:val="3D3D3D"/>
          <w:spacing w:val="-21"/>
          <w:w w:val="110"/>
          <w:sz w:val="19"/>
        </w:rPr>
        <w:t> </w:t>
      </w:r>
      <w:r>
        <w:rPr>
          <w:color w:val="3D3D3D"/>
          <w:w w:val="110"/>
          <w:sz w:val="19"/>
        </w:rPr>
        <w:t>Company</w:t>
      </w:r>
      <w:r>
        <w:rPr>
          <w:color w:val="3D3D3D"/>
          <w:spacing w:val="-19"/>
          <w:w w:val="110"/>
          <w:sz w:val="19"/>
        </w:rPr>
        <w:t> </w:t>
      </w:r>
      <w:r>
        <w:rPr>
          <w:color w:val="3D3D3D"/>
          <w:spacing w:val="-12"/>
          <w:w w:val="110"/>
          <w:sz w:val="19"/>
        </w:rPr>
        <w:t>in</w:t>
      </w:r>
      <w:r>
        <w:rPr>
          <w:color w:val="3D3D3D"/>
          <w:spacing w:val="-27"/>
          <w:w w:val="110"/>
          <w:sz w:val="19"/>
        </w:rPr>
        <w:t> </w:t>
      </w:r>
      <w:r>
        <w:rPr>
          <w:color w:val="3D3D3D"/>
          <w:w w:val="110"/>
          <w:sz w:val="19"/>
        </w:rPr>
        <w:t>accordance</w:t>
      </w:r>
      <w:r>
        <w:rPr>
          <w:color w:val="3D3D3D"/>
          <w:spacing w:val="-13"/>
          <w:w w:val="110"/>
          <w:sz w:val="19"/>
        </w:rPr>
        <w:t> </w:t>
      </w:r>
      <w:r>
        <w:rPr>
          <w:color w:val="3D3D3D"/>
          <w:w w:val="110"/>
          <w:sz w:val="19"/>
        </w:rPr>
        <w:t>with</w:t>
      </w:r>
      <w:r>
        <w:rPr>
          <w:color w:val="3D3D3D"/>
          <w:spacing w:val="-19"/>
          <w:w w:val="110"/>
          <w:sz w:val="19"/>
        </w:rPr>
        <w:t> </w:t>
      </w:r>
      <w:r>
        <w:rPr>
          <w:color w:val="3D3D3D"/>
          <w:w w:val="110"/>
          <w:sz w:val="19"/>
        </w:rPr>
        <w:t>the</w:t>
      </w:r>
      <w:r>
        <w:rPr>
          <w:color w:val="3D3D3D"/>
          <w:spacing w:val="-21"/>
          <w:w w:val="110"/>
          <w:sz w:val="19"/>
        </w:rPr>
        <w:t> </w:t>
      </w:r>
      <w:r>
        <w:rPr>
          <w:color w:val="3D3D3D"/>
          <w:w w:val="110"/>
          <w:sz w:val="19"/>
        </w:rPr>
        <w:t>requirements</w:t>
      </w:r>
      <w:r>
        <w:rPr>
          <w:color w:val="3D3D3D"/>
          <w:spacing w:val="-21"/>
          <w:w w:val="110"/>
          <w:sz w:val="19"/>
        </w:rPr>
        <w:t> </w:t>
      </w:r>
      <w:r>
        <w:rPr>
          <w:color w:val="3D3D3D"/>
          <w:w w:val="110"/>
          <w:sz w:val="19"/>
        </w:rPr>
        <w:t>of</w:t>
      </w:r>
      <w:r>
        <w:rPr>
          <w:color w:val="3D3D3D"/>
          <w:spacing w:val="-27"/>
          <w:w w:val="110"/>
          <w:sz w:val="19"/>
        </w:rPr>
        <w:t> </w:t>
      </w:r>
      <w:r>
        <w:rPr>
          <w:color w:val="3D3D3D"/>
          <w:w w:val="110"/>
          <w:sz w:val="19"/>
        </w:rPr>
        <w:t>the</w:t>
      </w:r>
      <w:r>
        <w:rPr>
          <w:color w:val="6D6D6D"/>
          <w:w w:val="110"/>
          <w:sz w:val="19"/>
        </w:rPr>
        <w:t>: </w:t>
      </w:r>
      <w:r>
        <w:rPr>
          <w:color w:val="3D3D3D"/>
          <w:w w:val="105"/>
          <w:sz w:val="19"/>
        </w:rPr>
        <w:t>Australian Auditing</w:t>
      </w:r>
      <w:r>
        <w:rPr>
          <w:color w:val="3D3D3D"/>
          <w:spacing w:val="-21"/>
          <w:w w:val="105"/>
          <w:sz w:val="19"/>
        </w:rPr>
        <w:t> </w:t>
      </w:r>
      <w:r>
        <w:rPr>
          <w:color w:val="3D3D3D"/>
          <w:w w:val="105"/>
          <w:sz w:val="19"/>
        </w:rPr>
        <w:t>Standards</w:t>
      </w:r>
    </w:p>
    <w:p>
      <w:pPr>
        <w:spacing w:before="46"/>
        <w:ind w:left="688" w:right="1613" w:firstLine="0"/>
        <w:jc w:val="left"/>
        <w:rPr>
          <w:i/>
          <w:sz w:val="19"/>
        </w:rPr>
      </w:pPr>
      <w:r>
        <w:rPr/>
        <w:pict>
          <v:line style="position:absolute;mso-position-horizontal-relative:page;mso-position-vertical-relative:paragraph;z-index:3064" from="591.161316pt,666.099802pt" to="591.161316pt,7.372702pt" stroked="true" strokeweight="1.439516pt" strokecolor="#dbdbdb">
            <w10:wrap type="none"/>
          </v:line>
        </w:pict>
      </w:r>
      <w:r>
        <w:rPr>
          <w:i/>
          <w:color w:val="3D3D3D"/>
          <w:w w:val="105"/>
          <w:sz w:val="19"/>
        </w:rPr>
        <w:t>Corporations Act 2001</w:t>
      </w:r>
    </w:p>
    <w:p>
      <w:pPr>
        <w:spacing w:line="264" w:lineRule="auto" w:before="79"/>
        <w:ind w:left="688" w:right="2449" w:hanging="20"/>
        <w:jc w:val="left"/>
        <w:rPr>
          <w:sz w:val="19"/>
        </w:rPr>
      </w:pPr>
      <w:r>
        <w:rPr>
          <w:color w:val="3D3D3D"/>
          <w:w w:val="110"/>
          <w:sz w:val="19"/>
        </w:rPr>
        <w:t>Accounting</w:t>
      </w:r>
      <w:r>
        <w:rPr>
          <w:color w:val="3D3D3D"/>
          <w:spacing w:val="-32"/>
          <w:w w:val="110"/>
          <w:sz w:val="19"/>
        </w:rPr>
        <w:t> </w:t>
      </w:r>
      <w:r>
        <w:rPr>
          <w:color w:val="3D3D3D"/>
          <w:w w:val="110"/>
          <w:sz w:val="19"/>
        </w:rPr>
        <w:t>Professional</w:t>
      </w:r>
      <w:r>
        <w:rPr>
          <w:color w:val="3D3D3D"/>
          <w:spacing w:val="-37"/>
          <w:w w:val="110"/>
          <w:sz w:val="19"/>
        </w:rPr>
        <w:t> </w:t>
      </w:r>
      <w:r>
        <w:rPr>
          <w:color w:val="3D3D3D"/>
          <w:w w:val="110"/>
          <w:sz w:val="19"/>
        </w:rPr>
        <w:t>and</w:t>
      </w:r>
      <w:r>
        <w:rPr>
          <w:color w:val="3D3D3D"/>
          <w:spacing w:val="-29"/>
          <w:w w:val="110"/>
          <w:sz w:val="19"/>
        </w:rPr>
        <w:t> </w:t>
      </w:r>
      <w:r>
        <w:rPr>
          <w:color w:val="3D3D3D"/>
          <w:w w:val="110"/>
          <w:sz w:val="19"/>
        </w:rPr>
        <w:t>Ethica</w:t>
      </w:r>
      <w:r>
        <w:rPr>
          <w:color w:val="131313"/>
          <w:w w:val="110"/>
          <w:sz w:val="19"/>
        </w:rPr>
        <w:t>l</w:t>
      </w:r>
      <w:r>
        <w:rPr>
          <w:color w:val="131313"/>
          <w:spacing w:val="-35"/>
          <w:w w:val="110"/>
          <w:sz w:val="19"/>
        </w:rPr>
        <w:t> </w:t>
      </w:r>
      <w:r>
        <w:rPr>
          <w:color w:val="3D3D3D"/>
          <w:w w:val="110"/>
          <w:sz w:val="19"/>
        </w:rPr>
        <w:t>Standards</w:t>
      </w:r>
      <w:r>
        <w:rPr>
          <w:color w:val="3D3D3D"/>
          <w:spacing w:val="-21"/>
          <w:w w:val="110"/>
          <w:sz w:val="19"/>
        </w:rPr>
        <w:t> </w:t>
      </w:r>
      <w:r>
        <w:rPr>
          <w:color w:val="3D3D3D"/>
          <w:w w:val="110"/>
          <w:sz w:val="19"/>
        </w:rPr>
        <w:t>Board</w:t>
      </w:r>
      <w:r>
        <w:rPr>
          <w:color w:val="6D6D6D"/>
          <w:w w:val="110"/>
          <w:sz w:val="19"/>
        </w:rPr>
        <w:t>'</w:t>
      </w:r>
      <w:r>
        <w:rPr>
          <w:color w:val="3D3D3D"/>
          <w:w w:val="110"/>
          <w:sz w:val="19"/>
        </w:rPr>
        <w:t>s</w:t>
      </w:r>
      <w:r>
        <w:rPr>
          <w:color w:val="3D3D3D"/>
          <w:spacing w:val="-36"/>
          <w:w w:val="110"/>
          <w:sz w:val="19"/>
        </w:rPr>
        <w:t> </w:t>
      </w:r>
      <w:r>
        <w:rPr>
          <w:color w:val="3D3D3D"/>
          <w:w w:val="110"/>
          <w:sz w:val="19"/>
        </w:rPr>
        <w:t>APES</w:t>
      </w:r>
      <w:r>
        <w:rPr>
          <w:color w:val="3D3D3D"/>
          <w:spacing w:val="-20"/>
          <w:w w:val="110"/>
          <w:sz w:val="19"/>
        </w:rPr>
        <w:t> </w:t>
      </w:r>
      <w:r>
        <w:rPr>
          <w:color w:val="262626"/>
          <w:spacing w:val="-9"/>
          <w:w w:val="110"/>
          <w:sz w:val="19"/>
        </w:rPr>
        <w:t>110</w:t>
      </w:r>
      <w:r>
        <w:rPr>
          <w:color w:val="262626"/>
          <w:spacing w:val="-35"/>
          <w:w w:val="110"/>
          <w:sz w:val="19"/>
        </w:rPr>
        <w:t> </w:t>
      </w:r>
      <w:r>
        <w:rPr>
          <w:color w:val="525252"/>
          <w:w w:val="110"/>
          <w:sz w:val="19"/>
        </w:rPr>
        <w:t>'Code</w:t>
      </w:r>
      <w:r>
        <w:rPr>
          <w:color w:val="525252"/>
          <w:spacing w:val="-29"/>
          <w:w w:val="110"/>
          <w:sz w:val="19"/>
        </w:rPr>
        <w:t> </w:t>
      </w:r>
      <w:r>
        <w:rPr>
          <w:color w:val="3D3D3D"/>
          <w:w w:val="110"/>
          <w:sz w:val="19"/>
        </w:rPr>
        <w:t>of</w:t>
      </w:r>
      <w:r>
        <w:rPr>
          <w:color w:val="3D3D3D"/>
          <w:spacing w:val="-29"/>
          <w:w w:val="110"/>
          <w:sz w:val="19"/>
        </w:rPr>
        <w:t> </w:t>
      </w:r>
      <w:r>
        <w:rPr>
          <w:color w:val="3D3D3D"/>
          <w:spacing w:val="-3"/>
          <w:w w:val="110"/>
          <w:sz w:val="19"/>
        </w:rPr>
        <w:t>Ethics</w:t>
      </w:r>
      <w:r>
        <w:rPr>
          <w:color w:val="3D3D3D"/>
          <w:spacing w:val="-37"/>
          <w:w w:val="110"/>
          <w:sz w:val="19"/>
        </w:rPr>
        <w:t> </w:t>
      </w:r>
      <w:r>
        <w:rPr>
          <w:color w:val="3D3D3D"/>
          <w:w w:val="110"/>
          <w:sz w:val="19"/>
        </w:rPr>
        <w:t>for </w:t>
      </w:r>
      <w:r>
        <w:rPr>
          <w:color w:val="3D3D3D"/>
          <w:w w:val="105"/>
          <w:sz w:val="19"/>
        </w:rPr>
        <w:t>Professiona</w:t>
      </w:r>
      <w:r>
        <w:rPr>
          <w:color w:val="131313"/>
          <w:w w:val="105"/>
          <w:sz w:val="19"/>
        </w:rPr>
        <w:t>l</w:t>
      </w:r>
      <w:r>
        <w:rPr>
          <w:color w:val="131313"/>
          <w:spacing w:val="-25"/>
          <w:w w:val="105"/>
          <w:sz w:val="19"/>
        </w:rPr>
        <w:t> </w:t>
      </w:r>
      <w:r>
        <w:rPr>
          <w:color w:val="3D3D3D"/>
          <w:w w:val="105"/>
          <w:sz w:val="19"/>
        </w:rPr>
        <w:t>Accountants</w:t>
      </w:r>
      <w:r>
        <w:rPr>
          <w:color w:val="3D3D3D"/>
          <w:spacing w:val="-34"/>
          <w:w w:val="105"/>
          <w:sz w:val="19"/>
        </w:rPr>
        <w:t> </w:t>
      </w:r>
      <w:r>
        <w:rPr>
          <w:color w:val="6D6D6D"/>
          <w:w w:val="105"/>
          <w:sz w:val="19"/>
        </w:rPr>
        <w:t>'</w:t>
      </w:r>
      <w:r>
        <w:rPr>
          <w:color w:val="6D6D6D"/>
          <w:spacing w:val="-22"/>
          <w:w w:val="105"/>
          <w:sz w:val="19"/>
        </w:rPr>
        <w:t> </w:t>
      </w:r>
      <w:r>
        <w:rPr>
          <w:color w:val="3D3D3D"/>
          <w:w w:val="105"/>
          <w:sz w:val="19"/>
        </w:rPr>
        <w:t>(APES</w:t>
      </w:r>
      <w:r>
        <w:rPr>
          <w:color w:val="3D3D3D"/>
          <w:spacing w:val="4"/>
          <w:w w:val="105"/>
          <w:sz w:val="19"/>
        </w:rPr>
        <w:t> </w:t>
      </w:r>
      <w:r>
        <w:rPr>
          <w:color w:val="3D3D3D"/>
          <w:spacing w:val="-4"/>
          <w:w w:val="105"/>
          <w:sz w:val="19"/>
        </w:rPr>
        <w:t>110).</w:t>
      </w:r>
    </w:p>
    <w:p>
      <w:pPr>
        <w:pStyle w:val="BodyText"/>
        <w:spacing w:before="6"/>
        <w:rPr>
          <w:sz w:val="17"/>
        </w:rPr>
      </w:pPr>
    </w:p>
    <w:p>
      <w:pPr>
        <w:spacing w:before="0"/>
        <w:ind w:left="121" w:right="1613" w:firstLine="0"/>
        <w:jc w:val="left"/>
        <w:rPr>
          <w:sz w:val="19"/>
        </w:rPr>
      </w:pPr>
      <w:r>
        <w:rPr>
          <w:color w:val="3D3D3D"/>
          <w:w w:val="105"/>
          <w:sz w:val="19"/>
        </w:rPr>
        <w:t>Ihave fu</w:t>
      </w:r>
      <w:r>
        <w:rPr>
          <w:color w:val="131313"/>
          <w:w w:val="105"/>
          <w:sz w:val="19"/>
        </w:rPr>
        <w:t>l</w:t>
      </w:r>
      <w:r>
        <w:rPr>
          <w:color w:val="3D3D3D"/>
          <w:w w:val="105"/>
          <w:sz w:val="19"/>
        </w:rPr>
        <w:t>filled my other ethica</w:t>
      </w:r>
      <w:r>
        <w:rPr>
          <w:color w:val="131313"/>
          <w:w w:val="105"/>
          <w:sz w:val="19"/>
        </w:rPr>
        <w:t>l </w:t>
      </w:r>
      <w:r>
        <w:rPr>
          <w:color w:val="3D3D3D"/>
          <w:w w:val="105"/>
          <w:sz w:val="19"/>
        </w:rPr>
        <w:t>responsibilities in accordance with APES </w:t>
      </w:r>
      <w:r>
        <w:rPr>
          <w:color w:val="262626"/>
          <w:w w:val="105"/>
          <w:sz w:val="19"/>
        </w:rPr>
        <w:t>110</w:t>
      </w:r>
      <w:r>
        <w:rPr>
          <w:color w:val="6D6D6D"/>
          <w:w w:val="105"/>
          <w:sz w:val="19"/>
        </w:rPr>
        <w:t>.</w:t>
      </w:r>
    </w:p>
    <w:p>
      <w:pPr>
        <w:pStyle w:val="BodyText"/>
        <w:rPr>
          <w:sz w:val="16"/>
        </w:rPr>
      </w:pPr>
    </w:p>
    <w:p>
      <w:pPr>
        <w:spacing w:line="264" w:lineRule="auto" w:before="0"/>
        <w:ind w:left="112" w:right="2035" w:firstLine="9"/>
        <w:jc w:val="left"/>
        <w:rPr>
          <w:sz w:val="19"/>
        </w:rPr>
      </w:pPr>
      <w:r>
        <w:rPr>
          <w:color w:val="3D3D3D"/>
          <w:w w:val="110"/>
          <w:sz w:val="19"/>
        </w:rPr>
        <w:t>Parliament</w:t>
      </w:r>
      <w:r>
        <w:rPr>
          <w:color w:val="3D3D3D"/>
          <w:spacing w:val="-28"/>
          <w:w w:val="110"/>
          <w:sz w:val="19"/>
        </w:rPr>
        <w:t> </w:t>
      </w:r>
      <w:r>
        <w:rPr>
          <w:color w:val="3D3D3D"/>
          <w:w w:val="110"/>
          <w:sz w:val="19"/>
        </w:rPr>
        <w:t>promotes</w:t>
      </w:r>
      <w:r>
        <w:rPr>
          <w:color w:val="3D3D3D"/>
          <w:spacing w:val="-33"/>
          <w:w w:val="110"/>
          <w:sz w:val="19"/>
        </w:rPr>
        <w:t> </w:t>
      </w:r>
      <w:r>
        <w:rPr>
          <w:color w:val="3D3D3D"/>
          <w:spacing w:val="-3"/>
          <w:w w:val="110"/>
          <w:sz w:val="19"/>
        </w:rPr>
        <w:t>independence</w:t>
      </w:r>
      <w:r>
        <w:rPr>
          <w:color w:val="3D3D3D"/>
          <w:spacing w:val="-32"/>
          <w:w w:val="110"/>
          <w:sz w:val="19"/>
        </w:rPr>
        <w:t> </w:t>
      </w:r>
      <w:r>
        <w:rPr>
          <w:color w:val="3D3D3D"/>
          <w:w w:val="110"/>
          <w:sz w:val="19"/>
        </w:rPr>
        <w:t>by</w:t>
      </w:r>
      <w:r>
        <w:rPr>
          <w:color w:val="3D3D3D"/>
          <w:spacing w:val="-30"/>
          <w:w w:val="110"/>
          <w:sz w:val="19"/>
        </w:rPr>
        <w:t> </w:t>
      </w:r>
      <w:r>
        <w:rPr>
          <w:color w:val="3D3D3D"/>
          <w:spacing w:val="-3"/>
          <w:w w:val="110"/>
          <w:sz w:val="19"/>
        </w:rPr>
        <w:t>ensuring</w:t>
      </w:r>
      <w:r>
        <w:rPr>
          <w:color w:val="3D3D3D"/>
          <w:spacing w:val="-36"/>
          <w:w w:val="110"/>
          <w:sz w:val="19"/>
        </w:rPr>
        <w:t> </w:t>
      </w:r>
      <w:r>
        <w:rPr>
          <w:color w:val="3D3D3D"/>
          <w:w w:val="110"/>
          <w:sz w:val="19"/>
        </w:rPr>
        <w:t>the</w:t>
      </w:r>
      <w:r>
        <w:rPr>
          <w:color w:val="3D3D3D"/>
          <w:spacing w:val="-33"/>
          <w:w w:val="110"/>
          <w:sz w:val="19"/>
        </w:rPr>
        <w:t> </w:t>
      </w:r>
      <w:r>
        <w:rPr>
          <w:color w:val="3D3D3D"/>
          <w:w w:val="110"/>
          <w:sz w:val="19"/>
        </w:rPr>
        <w:t>Auditor-General</w:t>
      </w:r>
      <w:r>
        <w:rPr>
          <w:color w:val="3D3D3D"/>
          <w:spacing w:val="-37"/>
          <w:w w:val="110"/>
          <w:sz w:val="19"/>
        </w:rPr>
        <w:t> </w:t>
      </w:r>
      <w:r>
        <w:rPr>
          <w:color w:val="3D3D3D"/>
          <w:w w:val="110"/>
          <w:sz w:val="19"/>
        </w:rPr>
        <w:t>and</w:t>
      </w:r>
      <w:r>
        <w:rPr>
          <w:color w:val="3D3D3D"/>
          <w:spacing w:val="-33"/>
          <w:w w:val="110"/>
          <w:sz w:val="19"/>
        </w:rPr>
        <w:t> </w:t>
      </w:r>
      <w:r>
        <w:rPr>
          <w:color w:val="3D3D3D"/>
          <w:w w:val="110"/>
          <w:sz w:val="19"/>
        </w:rPr>
        <w:t>the</w:t>
      </w:r>
      <w:r>
        <w:rPr>
          <w:color w:val="3D3D3D"/>
          <w:spacing w:val="-28"/>
          <w:w w:val="110"/>
          <w:sz w:val="19"/>
        </w:rPr>
        <w:t> </w:t>
      </w:r>
      <w:r>
        <w:rPr>
          <w:color w:val="3D3D3D"/>
          <w:w w:val="110"/>
          <w:sz w:val="19"/>
        </w:rPr>
        <w:t>Audit</w:t>
      </w:r>
      <w:r>
        <w:rPr>
          <w:color w:val="3D3D3D"/>
          <w:spacing w:val="-27"/>
          <w:w w:val="110"/>
          <w:sz w:val="19"/>
        </w:rPr>
        <w:t> </w:t>
      </w:r>
      <w:r>
        <w:rPr>
          <w:color w:val="3D3D3D"/>
          <w:spacing w:val="-3"/>
          <w:w w:val="110"/>
          <w:sz w:val="19"/>
        </w:rPr>
        <w:t>Office</w:t>
      </w:r>
      <w:r>
        <w:rPr>
          <w:color w:val="3D3D3D"/>
          <w:spacing w:val="-36"/>
          <w:w w:val="110"/>
          <w:sz w:val="19"/>
        </w:rPr>
        <w:t> </w:t>
      </w:r>
      <w:r>
        <w:rPr>
          <w:color w:val="3D3D3D"/>
          <w:w w:val="110"/>
          <w:sz w:val="19"/>
        </w:rPr>
        <w:t>of</w:t>
      </w:r>
      <w:r>
        <w:rPr>
          <w:color w:val="3D3D3D"/>
          <w:spacing w:val="-28"/>
          <w:w w:val="110"/>
          <w:sz w:val="19"/>
        </w:rPr>
        <w:t> </w:t>
      </w:r>
      <w:r>
        <w:rPr>
          <w:color w:val="3D3D3D"/>
          <w:w w:val="110"/>
          <w:sz w:val="19"/>
        </w:rPr>
        <w:t>New South</w:t>
      </w:r>
      <w:r>
        <w:rPr>
          <w:color w:val="3D3D3D"/>
          <w:spacing w:val="-23"/>
          <w:w w:val="110"/>
          <w:sz w:val="19"/>
        </w:rPr>
        <w:t> </w:t>
      </w:r>
      <w:r>
        <w:rPr>
          <w:color w:val="3D3D3D"/>
          <w:w w:val="110"/>
          <w:sz w:val="19"/>
        </w:rPr>
        <w:t>Wales</w:t>
      </w:r>
      <w:r>
        <w:rPr>
          <w:color w:val="3D3D3D"/>
          <w:spacing w:val="-23"/>
          <w:w w:val="110"/>
          <w:sz w:val="19"/>
        </w:rPr>
        <w:t> </w:t>
      </w:r>
      <w:r>
        <w:rPr>
          <w:color w:val="3D3D3D"/>
          <w:w w:val="110"/>
          <w:sz w:val="19"/>
        </w:rPr>
        <w:t>are</w:t>
      </w:r>
      <w:r>
        <w:rPr>
          <w:color w:val="3D3D3D"/>
          <w:spacing w:val="-16"/>
          <w:w w:val="110"/>
          <w:sz w:val="19"/>
        </w:rPr>
        <w:t> </w:t>
      </w:r>
      <w:r>
        <w:rPr>
          <w:color w:val="3D3D3D"/>
          <w:w w:val="110"/>
          <w:sz w:val="19"/>
        </w:rPr>
        <w:t>not</w:t>
      </w:r>
      <w:r>
        <w:rPr>
          <w:color w:val="3D3D3D"/>
          <w:spacing w:val="-28"/>
          <w:w w:val="110"/>
          <w:sz w:val="19"/>
        </w:rPr>
        <w:t> </w:t>
      </w:r>
      <w:r>
        <w:rPr>
          <w:color w:val="3D3D3D"/>
          <w:w w:val="110"/>
          <w:sz w:val="19"/>
        </w:rPr>
        <w:t>compromised</w:t>
      </w:r>
      <w:r>
        <w:rPr>
          <w:color w:val="3D3D3D"/>
          <w:spacing w:val="-19"/>
          <w:w w:val="110"/>
          <w:sz w:val="19"/>
        </w:rPr>
        <w:t> </w:t>
      </w:r>
      <w:r>
        <w:rPr>
          <w:color w:val="3D3D3D"/>
          <w:spacing w:val="-12"/>
          <w:w w:val="110"/>
          <w:sz w:val="19"/>
        </w:rPr>
        <w:t>in</w:t>
      </w:r>
      <w:r>
        <w:rPr>
          <w:color w:val="3D3D3D"/>
          <w:spacing w:val="-32"/>
          <w:w w:val="110"/>
          <w:sz w:val="19"/>
        </w:rPr>
        <w:t> </w:t>
      </w:r>
      <w:r>
        <w:rPr>
          <w:color w:val="3D3D3D"/>
          <w:w w:val="110"/>
          <w:sz w:val="19"/>
        </w:rPr>
        <w:t>their</w:t>
      </w:r>
      <w:r>
        <w:rPr>
          <w:color w:val="3D3D3D"/>
          <w:spacing w:val="-18"/>
          <w:w w:val="110"/>
          <w:sz w:val="19"/>
        </w:rPr>
        <w:t> </w:t>
      </w:r>
      <w:r>
        <w:rPr>
          <w:color w:val="3D3D3D"/>
          <w:spacing w:val="-3"/>
          <w:w w:val="110"/>
          <w:sz w:val="19"/>
        </w:rPr>
        <w:t>roles</w:t>
      </w:r>
      <w:r>
        <w:rPr>
          <w:color w:val="3D3D3D"/>
          <w:spacing w:val="-23"/>
          <w:w w:val="110"/>
          <w:sz w:val="19"/>
        </w:rPr>
        <w:t> </w:t>
      </w:r>
      <w:r>
        <w:rPr>
          <w:color w:val="3D3D3D"/>
          <w:spacing w:val="2"/>
          <w:w w:val="110"/>
          <w:sz w:val="19"/>
        </w:rPr>
        <w:t>by</w:t>
      </w:r>
      <w:r>
        <w:rPr>
          <w:color w:val="6D6D6D"/>
          <w:spacing w:val="2"/>
          <w:w w:val="110"/>
          <w:sz w:val="19"/>
        </w:rPr>
        <w:t>:</w:t>
      </w:r>
    </w:p>
    <w:p>
      <w:pPr>
        <w:pStyle w:val="BodyText"/>
        <w:rPr>
          <w:sz w:val="15"/>
        </w:rPr>
      </w:pPr>
    </w:p>
    <w:p>
      <w:pPr>
        <w:spacing w:before="0"/>
        <w:ind w:left="678" w:right="1613" w:firstLine="0"/>
        <w:jc w:val="left"/>
        <w:rPr>
          <w:sz w:val="19"/>
        </w:rPr>
      </w:pPr>
      <w:r>
        <w:rPr>
          <w:color w:val="3D3D3D"/>
          <w:w w:val="105"/>
          <w:sz w:val="19"/>
        </w:rPr>
        <w:t>providing that only Parliament</w:t>
      </w:r>
      <w:r>
        <w:rPr>
          <w:color w:val="7E7E7E"/>
          <w:w w:val="105"/>
          <w:sz w:val="19"/>
        </w:rPr>
        <w:t>, </w:t>
      </w:r>
      <w:r>
        <w:rPr>
          <w:color w:val="3D3D3D"/>
          <w:w w:val="105"/>
          <w:sz w:val="19"/>
        </w:rPr>
        <w:t>and not the executive government</w:t>
      </w:r>
      <w:r>
        <w:rPr>
          <w:color w:val="6D6D6D"/>
          <w:w w:val="105"/>
          <w:sz w:val="19"/>
        </w:rPr>
        <w:t>, </w:t>
      </w:r>
      <w:r>
        <w:rPr>
          <w:color w:val="3D3D3D"/>
          <w:w w:val="105"/>
          <w:sz w:val="19"/>
        </w:rPr>
        <w:t>can remove an Aud</w:t>
      </w:r>
      <w:r>
        <w:rPr>
          <w:color w:val="131313"/>
          <w:w w:val="105"/>
          <w:sz w:val="19"/>
        </w:rPr>
        <w:t>i</w:t>
      </w:r>
      <w:r>
        <w:rPr>
          <w:color w:val="3D3D3D"/>
          <w:w w:val="105"/>
          <w:sz w:val="19"/>
        </w:rPr>
        <w:t>tor­</w:t>
      </w:r>
    </w:p>
    <w:p>
      <w:pPr>
        <w:spacing w:before="31"/>
        <w:ind w:left="678" w:right="1613" w:firstLine="0"/>
        <w:jc w:val="left"/>
        <w:rPr>
          <w:sz w:val="19"/>
        </w:rPr>
      </w:pPr>
      <w:r>
        <w:rPr>
          <w:color w:val="3D3D3D"/>
          <w:sz w:val="19"/>
        </w:rPr>
        <w:t>General</w:t>
      </w:r>
    </w:p>
    <w:p>
      <w:pPr>
        <w:spacing w:line="326" w:lineRule="auto" w:before="79"/>
        <w:ind w:left="678" w:right="4072" w:firstLine="0"/>
        <w:jc w:val="left"/>
        <w:rPr>
          <w:sz w:val="19"/>
        </w:rPr>
      </w:pPr>
      <w:r>
        <w:rPr>
          <w:color w:val="3D3D3D"/>
          <w:w w:val="105"/>
          <w:sz w:val="19"/>
        </w:rPr>
        <w:t>mandating</w:t>
      </w:r>
      <w:r>
        <w:rPr>
          <w:color w:val="3D3D3D"/>
          <w:spacing w:val="-14"/>
          <w:w w:val="105"/>
          <w:sz w:val="19"/>
        </w:rPr>
        <w:t> </w:t>
      </w:r>
      <w:r>
        <w:rPr>
          <w:color w:val="3D3D3D"/>
          <w:w w:val="105"/>
          <w:sz w:val="19"/>
        </w:rPr>
        <w:t>the</w:t>
      </w:r>
      <w:r>
        <w:rPr>
          <w:color w:val="3D3D3D"/>
          <w:spacing w:val="-24"/>
          <w:w w:val="105"/>
          <w:sz w:val="19"/>
        </w:rPr>
        <w:t> </w:t>
      </w:r>
      <w:r>
        <w:rPr>
          <w:color w:val="3D3D3D"/>
          <w:w w:val="105"/>
          <w:sz w:val="19"/>
        </w:rPr>
        <w:t>Auditor-GeneraJ as</w:t>
      </w:r>
      <w:r>
        <w:rPr>
          <w:color w:val="3D3D3D"/>
          <w:spacing w:val="-13"/>
          <w:w w:val="105"/>
          <w:sz w:val="19"/>
        </w:rPr>
        <w:t> </w:t>
      </w:r>
      <w:r>
        <w:rPr>
          <w:color w:val="3D3D3D"/>
          <w:w w:val="105"/>
          <w:sz w:val="19"/>
        </w:rPr>
        <w:t>auditor</w:t>
      </w:r>
      <w:r>
        <w:rPr>
          <w:color w:val="3D3D3D"/>
          <w:spacing w:val="-7"/>
          <w:w w:val="105"/>
          <w:sz w:val="19"/>
        </w:rPr>
        <w:t> </w:t>
      </w:r>
      <w:r>
        <w:rPr>
          <w:color w:val="3D3D3D"/>
          <w:w w:val="105"/>
          <w:sz w:val="19"/>
        </w:rPr>
        <w:t>of</w:t>
      </w:r>
      <w:r>
        <w:rPr>
          <w:color w:val="3D3D3D"/>
          <w:spacing w:val="-9"/>
          <w:w w:val="105"/>
          <w:sz w:val="19"/>
        </w:rPr>
        <w:t> </w:t>
      </w:r>
      <w:r>
        <w:rPr>
          <w:color w:val="3D3D3D"/>
          <w:w w:val="105"/>
          <w:sz w:val="19"/>
        </w:rPr>
        <w:t>public</w:t>
      </w:r>
      <w:r>
        <w:rPr>
          <w:color w:val="3D3D3D"/>
          <w:spacing w:val="-18"/>
          <w:w w:val="105"/>
          <w:sz w:val="19"/>
        </w:rPr>
        <w:t> </w:t>
      </w:r>
      <w:r>
        <w:rPr>
          <w:color w:val="3D3D3D"/>
          <w:w w:val="105"/>
          <w:sz w:val="19"/>
        </w:rPr>
        <w:t>sector</w:t>
      </w:r>
      <w:r>
        <w:rPr>
          <w:color w:val="3D3D3D"/>
          <w:spacing w:val="-12"/>
          <w:w w:val="105"/>
          <w:sz w:val="19"/>
        </w:rPr>
        <w:t> </w:t>
      </w:r>
      <w:r>
        <w:rPr>
          <w:color w:val="3D3D3D"/>
          <w:w w:val="105"/>
          <w:sz w:val="19"/>
        </w:rPr>
        <w:t>agencies </w:t>
      </w:r>
      <w:r>
        <w:rPr>
          <w:color w:val="3D3D3D"/>
          <w:spacing w:val="-3"/>
          <w:w w:val="105"/>
          <w:sz w:val="19"/>
        </w:rPr>
        <w:t>precluding </w:t>
      </w:r>
      <w:r>
        <w:rPr>
          <w:color w:val="3D3D3D"/>
          <w:w w:val="105"/>
          <w:sz w:val="19"/>
        </w:rPr>
        <w:t>the Auditor-Genera</w:t>
      </w:r>
      <w:r>
        <w:rPr>
          <w:color w:val="131313"/>
          <w:w w:val="105"/>
          <w:sz w:val="19"/>
        </w:rPr>
        <w:t>l </w:t>
      </w:r>
      <w:r>
        <w:rPr>
          <w:color w:val="3D3D3D"/>
          <w:w w:val="105"/>
          <w:sz w:val="19"/>
        </w:rPr>
        <w:t>f</w:t>
      </w:r>
      <w:r>
        <w:rPr>
          <w:color w:val="131313"/>
          <w:w w:val="105"/>
          <w:sz w:val="19"/>
        </w:rPr>
        <w:t>r</w:t>
      </w:r>
      <w:r>
        <w:rPr>
          <w:color w:val="3D3D3D"/>
          <w:w w:val="105"/>
          <w:sz w:val="19"/>
        </w:rPr>
        <w:t>om </w:t>
      </w:r>
      <w:r>
        <w:rPr>
          <w:color w:val="3D3D3D"/>
          <w:spacing w:val="-3"/>
          <w:w w:val="105"/>
          <w:sz w:val="19"/>
        </w:rPr>
        <w:t>providing </w:t>
      </w:r>
      <w:r>
        <w:rPr>
          <w:color w:val="3D3D3D"/>
          <w:w w:val="105"/>
          <w:sz w:val="19"/>
        </w:rPr>
        <w:t>non-audit</w:t>
      </w:r>
      <w:r>
        <w:rPr>
          <w:color w:val="3D3D3D"/>
          <w:spacing w:val="18"/>
          <w:w w:val="105"/>
          <w:sz w:val="19"/>
        </w:rPr>
        <w:t> </w:t>
      </w:r>
      <w:r>
        <w:rPr>
          <w:color w:val="3D3D3D"/>
          <w:w w:val="105"/>
          <w:sz w:val="19"/>
        </w:rPr>
        <w:t>services.</w:t>
      </w:r>
    </w:p>
    <w:p>
      <w:pPr>
        <w:spacing w:line="268" w:lineRule="auto" w:before="137"/>
        <w:ind w:left="112" w:right="1773" w:firstLine="9"/>
        <w:jc w:val="left"/>
        <w:rPr>
          <w:sz w:val="19"/>
        </w:rPr>
      </w:pPr>
      <w:r>
        <w:rPr>
          <w:color w:val="3D3D3D"/>
          <w:w w:val="110"/>
          <w:sz w:val="19"/>
        </w:rPr>
        <w:t>Iconfirm the independence declaration, required by the </w:t>
      </w:r>
      <w:r>
        <w:rPr>
          <w:i/>
          <w:color w:val="3D3D3D"/>
          <w:w w:val="110"/>
          <w:sz w:val="19"/>
        </w:rPr>
        <w:t>Corporations Act </w:t>
      </w:r>
      <w:r>
        <w:rPr>
          <w:i/>
          <w:color w:val="3D3D3D"/>
          <w:spacing w:val="2"/>
          <w:w w:val="110"/>
          <w:sz w:val="19"/>
        </w:rPr>
        <w:t>2001</w:t>
      </w:r>
      <w:r>
        <w:rPr>
          <w:i/>
          <w:color w:val="7E7E7E"/>
          <w:spacing w:val="2"/>
          <w:w w:val="110"/>
          <w:sz w:val="19"/>
        </w:rPr>
        <w:t>, </w:t>
      </w:r>
      <w:r>
        <w:rPr>
          <w:color w:val="3D3D3D"/>
          <w:w w:val="110"/>
          <w:sz w:val="19"/>
        </w:rPr>
        <w:t>provided </w:t>
      </w:r>
      <w:r>
        <w:rPr>
          <w:color w:val="131313"/>
          <w:spacing w:val="-8"/>
          <w:w w:val="110"/>
          <w:sz w:val="19"/>
        </w:rPr>
        <w:t>t</w:t>
      </w:r>
      <w:r>
        <w:rPr>
          <w:color w:val="3D3D3D"/>
          <w:spacing w:val="-8"/>
          <w:w w:val="110"/>
          <w:sz w:val="19"/>
        </w:rPr>
        <w:t>o </w:t>
      </w:r>
      <w:r>
        <w:rPr>
          <w:color w:val="262626"/>
          <w:w w:val="110"/>
          <w:sz w:val="19"/>
        </w:rPr>
        <w:t>the </w:t>
      </w:r>
      <w:r>
        <w:rPr>
          <w:color w:val="3D3D3D"/>
          <w:w w:val="110"/>
          <w:sz w:val="19"/>
        </w:rPr>
        <w:t>directors</w:t>
      </w:r>
      <w:r>
        <w:rPr>
          <w:color w:val="3D3D3D"/>
          <w:spacing w:val="-17"/>
          <w:w w:val="110"/>
          <w:sz w:val="19"/>
        </w:rPr>
        <w:t> </w:t>
      </w:r>
      <w:r>
        <w:rPr>
          <w:color w:val="3D3D3D"/>
          <w:w w:val="110"/>
          <w:sz w:val="19"/>
        </w:rPr>
        <w:t>of</w:t>
      </w:r>
      <w:r>
        <w:rPr>
          <w:color w:val="3D3D3D"/>
          <w:spacing w:val="-19"/>
          <w:w w:val="110"/>
          <w:sz w:val="19"/>
        </w:rPr>
        <w:t> </w:t>
      </w:r>
      <w:r>
        <w:rPr>
          <w:color w:val="3D3D3D"/>
          <w:w w:val="110"/>
          <w:sz w:val="19"/>
        </w:rPr>
        <w:t>the</w:t>
      </w:r>
      <w:r>
        <w:rPr>
          <w:color w:val="3D3D3D"/>
          <w:spacing w:val="-20"/>
          <w:w w:val="110"/>
          <w:sz w:val="19"/>
        </w:rPr>
        <w:t> </w:t>
      </w:r>
      <w:r>
        <w:rPr>
          <w:color w:val="3D3D3D"/>
          <w:w w:val="110"/>
          <w:sz w:val="19"/>
        </w:rPr>
        <w:t>Company</w:t>
      </w:r>
      <w:r>
        <w:rPr>
          <w:color w:val="3D3D3D"/>
          <w:spacing w:val="-17"/>
          <w:w w:val="110"/>
          <w:sz w:val="19"/>
        </w:rPr>
        <w:t> </w:t>
      </w:r>
      <w:r>
        <w:rPr>
          <w:color w:val="3D3D3D"/>
          <w:w w:val="110"/>
          <w:sz w:val="19"/>
        </w:rPr>
        <w:t>on</w:t>
      </w:r>
      <w:r>
        <w:rPr>
          <w:color w:val="3D3D3D"/>
          <w:spacing w:val="-21"/>
          <w:w w:val="110"/>
          <w:sz w:val="19"/>
        </w:rPr>
        <w:t> </w:t>
      </w:r>
      <w:r>
        <w:rPr>
          <w:color w:val="3D3D3D"/>
          <w:spacing w:val="-22"/>
          <w:w w:val="110"/>
          <w:sz w:val="19"/>
        </w:rPr>
        <w:t>16</w:t>
      </w:r>
      <w:r>
        <w:rPr>
          <w:color w:val="3D3D3D"/>
          <w:spacing w:val="-26"/>
          <w:w w:val="110"/>
          <w:sz w:val="19"/>
        </w:rPr>
        <w:t> </w:t>
      </w:r>
      <w:r>
        <w:rPr>
          <w:color w:val="3D3D3D"/>
          <w:w w:val="110"/>
          <w:sz w:val="19"/>
        </w:rPr>
        <w:t>March</w:t>
      </w:r>
      <w:r>
        <w:rPr>
          <w:color w:val="3D3D3D"/>
          <w:spacing w:val="-26"/>
          <w:w w:val="110"/>
          <w:sz w:val="19"/>
        </w:rPr>
        <w:t> </w:t>
      </w:r>
      <w:r>
        <w:rPr>
          <w:color w:val="3D3D3D"/>
          <w:w w:val="110"/>
          <w:sz w:val="19"/>
        </w:rPr>
        <w:t>2018,</w:t>
      </w:r>
      <w:r>
        <w:rPr>
          <w:color w:val="3D3D3D"/>
          <w:spacing w:val="-25"/>
          <w:w w:val="110"/>
          <w:sz w:val="19"/>
        </w:rPr>
        <w:t> </w:t>
      </w:r>
      <w:r>
        <w:rPr>
          <w:color w:val="3D3D3D"/>
          <w:w w:val="110"/>
          <w:sz w:val="19"/>
        </w:rPr>
        <w:t>would</w:t>
      </w:r>
      <w:r>
        <w:rPr>
          <w:color w:val="3D3D3D"/>
          <w:spacing w:val="-23"/>
          <w:w w:val="110"/>
          <w:sz w:val="19"/>
        </w:rPr>
        <w:t> </w:t>
      </w:r>
      <w:r>
        <w:rPr>
          <w:color w:val="3D3D3D"/>
          <w:w w:val="110"/>
          <w:sz w:val="19"/>
        </w:rPr>
        <w:t>be</w:t>
      </w:r>
      <w:r>
        <w:rPr>
          <w:color w:val="3D3D3D"/>
          <w:spacing w:val="-28"/>
          <w:w w:val="110"/>
          <w:sz w:val="19"/>
        </w:rPr>
        <w:t> </w:t>
      </w:r>
      <w:r>
        <w:rPr>
          <w:color w:val="3D3D3D"/>
          <w:spacing w:val="-12"/>
          <w:w w:val="110"/>
          <w:sz w:val="19"/>
        </w:rPr>
        <w:t>in</w:t>
      </w:r>
      <w:r>
        <w:rPr>
          <w:color w:val="3D3D3D"/>
          <w:spacing w:val="-32"/>
          <w:w w:val="110"/>
          <w:sz w:val="19"/>
        </w:rPr>
        <w:t> </w:t>
      </w:r>
      <w:r>
        <w:rPr>
          <w:color w:val="262626"/>
          <w:w w:val="110"/>
          <w:sz w:val="19"/>
        </w:rPr>
        <w:t>the</w:t>
      </w:r>
      <w:r>
        <w:rPr>
          <w:color w:val="262626"/>
          <w:spacing w:val="-19"/>
          <w:w w:val="110"/>
          <w:sz w:val="19"/>
        </w:rPr>
        <w:t> </w:t>
      </w:r>
      <w:r>
        <w:rPr>
          <w:color w:val="3D3D3D"/>
          <w:w w:val="110"/>
          <w:sz w:val="19"/>
        </w:rPr>
        <w:t>same</w:t>
      </w:r>
      <w:r>
        <w:rPr>
          <w:color w:val="3D3D3D"/>
          <w:spacing w:val="-24"/>
          <w:w w:val="110"/>
          <w:sz w:val="19"/>
        </w:rPr>
        <w:t> </w:t>
      </w:r>
      <w:r>
        <w:rPr>
          <w:color w:val="3D3D3D"/>
          <w:w w:val="110"/>
          <w:sz w:val="19"/>
        </w:rPr>
        <w:t>terms</w:t>
      </w:r>
      <w:r>
        <w:rPr>
          <w:color w:val="3D3D3D"/>
          <w:spacing w:val="-15"/>
          <w:w w:val="110"/>
          <w:sz w:val="19"/>
        </w:rPr>
        <w:t> </w:t>
      </w:r>
      <w:r>
        <w:rPr>
          <w:color w:val="262626"/>
          <w:w w:val="110"/>
          <w:sz w:val="19"/>
        </w:rPr>
        <w:t>if</w:t>
      </w:r>
      <w:r>
        <w:rPr>
          <w:color w:val="262626"/>
          <w:spacing w:val="-25"/>
          <w:w w:val="110"/>
          <w:sz w:val="19"/>
        </w:rPr>
        <w:t> </w:t>
      </w:r>
      <w:r>
        <w:rPr>
          <w:color w:val="3D3D3D"/>
          <w:w w:val="110"/>
          <w:sz w:val="19"/>
        </w:rPr>
        <w:t>provided</w:t>
      </w:r>
      <w:r>
        <w:rPr>
          <w:color w:val="3D3D3D"/>
          <w:spacing w:val="-20"/>
          <w:w w:val="110"/>
          <w:sz w:val="19"/>
        </w:rPr>
        <w:t> </w:t>
      </w:r>
      <w:r>
        <w:rPr>
          <w:color w:val="3D3D3D"/>
          <w:w w:val="110"/>
          <w:sz w:val="19"/>
        </w:rPr>
        <w:t>to</w:t>
      </w:r>
      <w:r>
        <w:rPr>
          <w:color w:val="3D3D3D"/>
          <w:spacing w:val="-27"/>
          <w:w w:val="110"/>
          <w:sz w:val="19"/>
        </w:rPr>
        <w:t> </w:t>
      </w:r>
      <w:r>
        <w:rPr>
          <w:color w:val="3D3D3D"/>
          <w:w w:val="110"/>
          <w:sz w:val="19"/>
        </w:rPr>
        <w:t>the</w:t>
      </w:r>
      <w:r>
        <w:rPr>
          <w:color w:val="3D3D3D"/>
          <w:spacing w:val="-26"/>
          <w:w w:val="110"/>
          <w:sz w:val="19"/>
        </w:rPr>
        <w:t> </w:t>
      </w:r>
      <w:r>
        <w:rPr>
          <w:color w:val="3D3D3D"/>
          <w:w w:val="110"/>
          <w:sz w:val="19"/>
        </w:rPr>
        <w:t>directors as</w:t>
      </w:r>
      <w:r>
        <w:rPr>
          <w:color w:val="3D3D3D"/>
          <w:spacing w:val="-33"/>
          <w:w w:val="110"/>
          <w:sz w:val="19"/>
        </w:rPr>
        <w:t> </w:t>
      </w:r>
      <w:r>
        <w:rPr>
          <w:color w:val="3D3D3D"/>
          <w:w w:val="110"/>
          <w:sz w:val="19"/>
        </w:rPr>
        <w:t>at</w:t>
      </w:r>
      <w:r>
        <w:rPr>
          <w:color w:val="3D3D3D"/>
          <w:spacing w:val="-36"/>
          <w:w w:val="110"/>
          <w:sz w:val="19"/>
        </w:rPr>
        <w:t> </w:t>
      </w:r>
      <w:r>
        <w:rPr>
          <w:color w:val="3D3D3D"/>
          <w:w w:val="110"/>
          <w:sz w:val="19"/>
        </w:rPr>
        <w:t>the</w:t>
      </w:r>
      <w:r>
        <w:rPr>
          <w:color w:val="3D3D3D"/>
          <w:spacing w:val="-26"/>
          <w:w w:val="110"/>
          <w:sz w:val="19"/>
        </w:rPr>
        <w:t> </w:t>
      </w:r>
      <w:r>
        <w:rPr>
          <w:color w:val="3D3D3D"/>
          <w:w w:val="110"/>
          <w:sz w:val="19"/>
        </w:rPr>
        <w:t>time</w:t>
      </w:r>
      <w:r>
        <w:rPr>
          <w:color w:val="3D3D3D"/>
          <w:spacing w:val="-36"/>
          <w:w w:val="110"/>
          <w:sz w:val="19"/>
        </w:rPr>
        <w:t> </w:t>
      </w:r>
      <w:r>
        <w:rPr>
          <w:color w:val="3D3D3D"/>
          <w:w w:val="110"/>
          <w:sz w:val="19"/>
        </w:rPr>
        <w:t>of</w:t>
      </w:r>
      <w:r>
        <w:rPr>
          <w:color w:val="3D3D3D"/>
          <w:spacing w:val="-31"/>
          <w:w w:val="110"/>
          <w:sz w:val="19"/>
        </w:rPr>
        <w:t> </w:t>
      </w:r>
      <w:r>
        <w:rPr>
          <w:color w:val="3D3D3D"/>
          <w:w w:val="110"/>
          <w:sz w:val="19"/>
        </w:rPr>
        <w:t>this</w:t>
      </w:r>
      <w:r>
        <w:rPr>
          <w:color w:val="3D3D3D"/>
          <w:spacing w:val="-29"/>
          <w:w w:val="110"/>
          <w:sz w:val="19"/>
        </w:rPr>
        <w:t> </w:t>
      </w:r>
      <w:r>
        <w:rPr>
          <w:color w:val="3D3D3D"/>
          <w:w w:val="110"/>
          <w:sz w:val="19"/>
        </w:rPr>
        <w:t>Independent</w:t>
      </w:r>
      <w:r>
        <w:rPr>
          <w:color w:val="3D3D3D"/>
          <w:spacing w:val="-35"/>
          <w:w w:val="110"/>
          <w:sz w:val="19"/>
        </w:rPr>
        <w:t> </w:t>
      </w:r>
      <w:r>
        <w:rPr>
          <w:color w:val="3D3D3D"/>
          <w:w w:val="110"/>
          <w:sz w:val="19"/>
        </w:rPr>
        <w:t>Auditor</w:t>
      </w:r>
      <w:r>
        <w:rPr>
          <w:color w:val="6D6D6D"/>
          <w:w w:val="110"/>
          <w:sz w:val="19"/>
        </w:rPr>
        <w:t>'</w:t>
      </w:r>
      <w:r>
        <w:rPr>
          <w:color w:val="3D3D3D"/>
          <w:w w:val="110"/>
          <w:sz w:val="19"/>
        </w:rPr>
        <w:t>s</w:t>
      </w:r>
      <w:r>
        <w:rPr>
          <w:color w:val="3D3D3D"/>
          <w:spacing w:val="-23"/>
          <w:w w:val="110"/>
          <w:sz w:val="19"/>
        </w:rPr>
        <w:t> </w:t>
      </w:r>
      <w:r>
        <w:rPr>
          <w:color w:val="3D3D3D"/>
          <w:w w:val="110"/>
          <w:sz w:val="19"/>
        </w:rPr>
        <w:t>Report.</w:t>
      </w:r>
    </w:p>
    <w:p>
      <w:pPr>
        <w:spacing w:line="273" w:lineRule="auto" w:before="159"/>
        <w:ind w:left="112" w:right="1613" w:firstLine="9"/>
        <w:jc w:val="left"/>
        <w:rPr>
          <w:sz w:val="19"/>
        </w:rPr>
      </w:pPr>
      <w:r>
        <w:rPr>
          <w:color w:val="3D3D3D"/>
          <w:spacing w:val="-4"/>
          <w:w w:val="110"/>
          <w:sz w:val="19"/>
        </w:rPr>
        <w:t>Ibe</w:t>
      </w:r>
      <w:r>
        <w:rPr>
          <w:color w:val="131313"/>
          <w:spacing w:val="-4"/>
          <w:w w:val="110"/>
          <w:sz w:val="19"/>
        </w:rPr>
        <w:t>l</w:t>
      </w:r>
      <w:r>
        <w:rPr>
          <w:color w:val="3D3D3D"/>
          <w:spacing w:val="-4"/>
          <w:w w:val="110"/>
          <w:sz w:val="19"/>
        </w:rPr>
        <w:t>ieve</w:t>
      </w:r>
      <w:r>
        <w:rPr>
          <w:color w:val="3D3D3D"/>
          <w:spacing w:val="-10"/>
          <w:w w:val="110"/>
          <w:sz w:val="19"/>
        </w:rPr>
        <w:t> </w:t>
      </w:r>
      <w:r>
        <w:rPr>
          <w:color w:val="3D3D3D"/>
          <w:w w:val="110"/>
          <w:sz w:val="19"/>
        </w:rPr>
        <w:t>the</w:t>
      </w:r>
      <w:r>
        <w:rPr>
          <w:color w:val="3D3D3D"/>
          <w:spacing w:val="-36"/>
          <w:w w:val="110"/>
          <w:sz w:val="19"/>
        </w:rPr>
        <w:t> </w:t>
      </w:r>
      <w:r>
        <w:rPr>
          <w:color w:val="3D3D3D"/>
          <w:w w:val="110"/>
          <w:sz w:val="19"/>
        </w:rPr>
        <w:t>audit</w:t>
      </w:r>
      <w:r>
        <w:rPr>
          <w:color w:val="3D3D3D"/>
          <w:spacing w:val="-18"/>
          <w:w w:val="110"/>
          <w:sz w:val="19"/>
        </w:rPr>
        <w:t> </w:t>
      </w:r>
      <w:r>
        <w:rPr>
          <w:color w:val="3D3D3D"/>
          <w:w w:val="110"/>
          <w:sz w:val="19"/>
        </w:rPr>
        <w:t>evidence</w:t>
      </w:r>
      <w:r>
        <w:rPr>
          <w:color w:val="3D3D3D"/>
          <w:spacing w:val="-14"/>
          <w:w w:val="110"/>
          <w:sz w:val="19"/>
        </w:rPr>
        <w:t> </w:t>
      </w:r>
      <w:r>
        <w:rPr>
          <w:color w:val="3D3D3D"/>
          <w:spacing w:val="4"/>
          <w:w w:val="110"/>
          <w:sz w:val="19"/>
        </w:rPr>
        <w:t>Ihave</w:t>
      </w:r>
      <w:r>
        <w:rPr>
          <w:color w:val="3D3D3D"/>
          <w:spacing w:val="-19"/>
          <w:w w:val="110"/>
          <w:sz w:val="19"/>
        </w:rPr>
        <w:t> </w:t>
      </w:r>
      <w:r>
        <w:rPr>
          <w:color w:val="3D3D3D"/>
          <w:w w:val="110"/>
          <w:sz w:val="19"/>
        </w:rPr>
        <w:t>obtained</w:t>
      </w:r>
      <w:r>
        <w:rPr>
          <w:color w:val="3D3D3D"/>
          <w:spacing w:val="-20"/>
          <w:w w:val="110"/>
          <w:sz w:val="19"/>
        </w:rPr>
        <w:t> </w:t>
      </w:r>
      <w:r>
        <w:rPr>
          <w:color w:val="3D3D3D"/>
          <w:spacing w:val="-17"/>
          <w:w w:val="110"/>
          <w:sz w:val="19"/>
        </w:rPr>
        <w:t>is</w:t>
      </w:r>
      <w:r>
        <w:rPr>
          <w:color w:val="3D3D3D"/>
          <w:spacing w:val="-19"/>
          <w:w w:val="110"/>
          <w:sz w:val="19"/>
        </w:rPr>
        <w:t> </w:t>
      </w:r>
      <w:r>
        <w:rPr>
          <w:color w:val="3D3D3D"/>
          <w:w w:val="110"/>
          <w:sz w:val="19"/>
        </w:rPr>
        <w:t>sufficient</w:t>
      </w:r>
      <w:r>
        <w:rPr>
          <w:color w:val="3D3D3D"/>
          <w:spacing w:val="-20"/>
          <w:w w:val="110"/>
          <w:sz w:val="19"/>
        </w:rPr>
        <w:t> </w:t>
      </w:r>
      <w:r>
        <w:rPr>
          <w:color w:val="3D3D3D"/>
          <w:w w:val="110"/>
          <w:sz w:val="19"/>
        </w:rPr>
        <w:t>and</w:t>
      </w:r>
      <w:r>
        <w:rPr>
          <w:color w:val="3D3D3D"/>
          <w:spacing w:val="-15"/>
          <w:w w:val="110"/>
          <w:sz w:val="19"/>
        </w:rPr>
        <w:t> </w:t>
      </w:r>
      <w:r>
        <w:rPr>
          <w:color w:val="3D3D3D"/>
          <w:w w:val="110"/>
          <w:sz w:val="19"/>
        </w:rPr>
        <w:t>appropriate</w:t>
      </w:r>
      <w:r>
        <w:rPr>
          <w:color w:val="3D3D3D"/>
          <w:spacing w:val="-26"/>
          <w:w w:val="110"/>
          <w:sz w:val="19"/>
        </w:rPr>
        <w:t> </w:t>
      </w:r>
      <w:r>
        <w:rPr>
          <w:color w:val="3D3D3D"/>
          <w:w w:val="110"/>
          <w:sz w:val="19"/>
        </w:rPr>
        <w:t>to</w:t>
      </w:r>
      <w:r>
        <w:rPr>
          <w:color w:val="3D3D3D"/>
          <w:spacing w:val="-16"/>
          <w:w w:val="110"/>
          <w:sz w:val="19"/>
        </w:rPr>
        <w:t> </w:t>
      </w:r>
      <w:r>
        <w:rPr>
          <w:color w:val="3D3D3D"/>
          <w:w w:val="110"/>
          <w:sz w:val="19"/>
        </w:rPr>
        <w:t>provide</w:t>
      </w:r>
      <w:r>
        <w:rPr>
          <w:color w:val="3D3D3D"/>
          <w:spacing w:val="-18"/>
          <w:w w:val="110"/>
          <w:sz w:val="19"/>
        </w:rPr>
        <w:t> </w:t>
      </w:r>
      <w:r>
        <w:rPr>
          <w:color w:val="3D3D3D"/>
          <w:w w:val="110"/>
          <w:sz w:val="19"/>
        </w:rPr>
        <w:t>a</w:t>
      </w:r>
      <w:r>
        <w:rPr>
          <w:color w:val="3D3D3D"/>
          <w:spacing w:val="-20"/>
          <w:w w:val="110"/>
          <w:sz w:val="19"/>
        </w:rPr>
        <w:t> </w:t>
      </w:r>
      <w:r>
        <w:rPr>
          <w:color w:val="3D3D3D"/>
          <w:spacing w:val="-3"/>
          <w:w w:val="110"/>
          <w:sz w:val="19"/>
        </w:rPr>
        <w:t>basis</w:t>
      </w:r>
      <w:r>
        <w:rPr>
          <w:color w:val="3D3D3D"/>
          <w:spacing w:val="-34"/>
          <w:w w:val="110"/>
          <w:sz w:val="19"/>
        </w:rPr>
        <w:t> </w:t>
      </w:r>
      <w:r>
        <w:rPr>
          <w:color w:val="3D3D3D"/>
          <w:w w:val="110"/>
          <w:sz w:val="19"/>
        </w:rPr>
        <w:t>for</w:t>
      </w:r>
      <w:r>
        <w:rPr>
          <w:color w:val="3D3D3D"/>
          <w:spacing w:val="-14"/>
          <w:w w:val="110"/>
          <w:sz w:val="19"/>
        </w:rPr>
        <w:t> </w:t>
      </w:r>
      <w:r>
        <w:rPr>
          <w:color w:val="3D3D3D"/>
          <w:w w:val="110"/>
          <w:sz w:val="19"/>
        </w:rPr>
        <w:t>my </w:t>
      </w:r>
      <w:r>
        <w:rPr>
          <w:color w:val="3D3D3D"/>
          <w:w w:val="105"/>
          <w:sz w:val="19"/>
        </w:rPr>
        <w:t>audit</w:t>
      </w:r>
      <w:r>
        <w:rPr>
          <w:color w:val="3D3D3D"/>
          <w:spacing w:val="-20"/>
          <w:w w:val="105"/>
          <w:sz w:val="19"/>
        </w:rPr>
        <w:t> </w:t>
      </w:r>
      <w:r>
        <w:rPr>
          <w:color w:val="3D3D3D"/>
          <w:w w:val="105"/>
          <w:sz w:val="19"/>
        </w:rPr>
        <w:t>opinion.</w:t>
      </w:r>
    </w:p>
    <w:p>
      <w:pPr>
        <w:spacing w:before="155"/>
        <w:ind w:left="121" w:right="1613" w:firstLine="0"/>
        <w:jc w:val="left"/>
        <w:rPr>
          <w:b/>
          <w:sz w:val="23"/>
        </w:rPr>
      </w:pPr>
      <w:r>
        <w:rPr>
          <w:b/>
          <w:color w:val="131313"/>
          <w:w w:val="105"/>
          <w:sz w:val="23"/>
        </w:rPr>
        <w:t>Directors</w:t>
      </w:r>
      <w:r>
        <w:rPr>
          <w:b/>
          <w:color w:val="3D3D3D"/>
          <w:w w:val="105"/>
          <w:sz w:val="23"/>
        </w:rPr>
        <w:t>' </w:t>
      </w:r>
      <w:r>
        <w:rPr>
          <w:b/>
          <w:color w:val="131313"/>
          <w:w w:val="105"/>
          <w:sz w:val="23"/>
        </w:rPr>
        <w:t>Responsibilities for the Financial Statements</w:t>
      </w:r>
    </w:p>
    <w:p>
      <w:pPr>
        <w:spacing w:line="264" w:lineRule="auto" w:before="137"/>
        <w:ind w:left="112" w:right="1525" w:hanging="10"/>
        <w:jc w:val="left"/>
        <w:rPr>
          <w:sz w:val="19"/>
        </w:rPr>
      </w:pPr>
      <w:r>
        <w:rPr>
          <w:color w:val="3D3D3D"/>
          <w:w w:val="105"/>
          <w:sz w:val="19"/>
        </w:rPr>
        <w:t>The direc</w:t>
      </w:r>
      <w:r>
        <w:rPr>
          <w:color w:val="131313"/>
          <w:w w:val="105"/>
          <w:sz w:val="19"/>
        </w:rPr>
        <w:t>t</w:t>
      </w:r>
      <w:r>
        <w:rPr>
          <w:color w:val="3D3D3D"/>
          <w:w w:val="105"/>
          <w:sz w:val="19"/>
        </w:rPr>
        <w:t>ors of the Company are responsib</w:t>
      </w:r>
      <w:r>
        <w:rPr>
          <w:color w:val="131313"/>
          <w:w w:val="105"/>
          <w:sz w:val="19"/>
        </w:rPr>
        <w:t>l</w:t>
      </w:r>
      <w:r>
        <w:rPr>
          <w:color w:val="3D3D3D"/>
          <w:w w:val="105"/>
          <w:sz w:val="19"/>
        </w:rPr>
        <w:t>e for the preparation and fair presentation of </w:t>
      </w:r>
      <w:r>
        <w:rPr>
          <w:color w:val="131313"/>
          <w:w w:val="105"/>
          <w:sz w:val="19"/>
        </w:rPr>
        <w:t>t</w:t>
      </w:r>
      <w:r>
        <w:rPr>
          <w:color w:val="3D3D3D"/>
          <w:w w:val="105"/>
          <w:sz w:val="19"/>
        </w:rPr>
        <w:t>he financia</w:t>
      </w:r>
      <w:r>
        <w:rPr>
          <w:color w:val="131313"/>
          <w:w w:val="105"/>
          <w:sz w:val="19"/>
        </w:rPr>
        <w:t>l </w:t>
      </w:r>
      <w:r>
        <w:rPr>
          <w:color w:val="3D3D3D"/>
          <w:w w:val="105"/>
          <w:sz w:val="19"/>
        </w:rPr>
        <w:t>s</w:t>
      </w:r>
      <w:r>
        <w:rPr>
          <w:color w:val="131313"/>
          <w:w w:val="105"/>
          <w:sz w:val="19"/>
        </w:rPr>
        <w:t>t</w:t>
      </w:r>
      <w:r>
        <w:rPr>
          <w:color w:val="3D3D3D"/>
          <w:w w:val="105"/>
          <w:sz w:val="19"/>
        </w:rPr>
        <w:t>atemen</w:t>
      </w:r>
      <w:r>
        <w:rPr>
          <w:color w:val="131313"/>
          <w:w w:val="105"/>
          <w:sz w:val="19"/>
        </w:rPr>
        <w:t>t</w:t>
      </w:r>
      <w:r>
        <w:rPr>
          <w:color w:val="3D3D3D"/>
          <w:w w:val="105"/>
          <w:sz w:val="19"/>
        </w:rPr>
        <w:t>s in accordance with Australian Accounting Standards</w:t>
      </w:r>
      <w:r>
        <w:rPr>
          <w:color w:val="6D6D6D"/>
          <w:w w:val="105"/>
          <w:sz w:val="19"/>
        </w:rPr>
        <w:t>, </w:t>
      </w:r>
      <w:r>
        <w:rPr>
          <w:color w:val="3D3D3D"/>
          <w:w w:val="105"/>
          <w:sz w:val="19"/>
        </w:rPr>
        <w:t>the PF&amp;A </w:t>
      </w:r>
      <w:r>
        <w:rPr>
          <w:color w:val="262626"/>
          <w:w w:val="105"/>
          <w:sz w:val="19"/>
        </w:rPr>
        <w:t>Act</w:t>
      </w:r>
      <w:r>
        <w:rPr>
          <w:color w:val="6D6D6D"/>
          <w:w w:val="105"/>
          <w:sz w:val="19"/>
        </w:rPr>
        <w:t>, </w:t>
      </w:r>
      <w:r>
        <w:rPr>
          <w:i/>
          <w:color w:val="3D3D3D"/>
          <w:w w:val="105"/>
          <w:sz w:val="19"/>
        </w:rPr>
        <w:t>the Australian </w:t>
      </w:r>
      <w:r>
        <w:rPr>
          <w:i/>
          <w:color w:val="3D3D3D"/>
          <w:w w:val="105"/>
          <w:sz w:val="19"/>
        </w:rPr>
        <w:t>Charities and Not-for-profits Commission Act 2012 </w:t>
      </w:r>
      <w:r>
        <w:rPr>
          <w:color w:val="3D3D3D"/>
          <w:w w:val="105"/>
          <w:sz w:val="19"/>
        </w:rPr>
        <w:t>and the </w:t>
      </w:r>
      <w:r>
        <w:rPr>
          <w:i/>
          <w:color w:val="3D3D3D"/>
          <w:w w:val="105"/>
          <w:sz w:val="19"/>
        </w:rPr>
        <w:t>Corporations Act 2001 </w:t>
      </w:r>
      <w:r>
        <w:rPr>
          <w:color w:val="3D3D3D"/>
          <w:w w:val="105"/>
          <w:sz w:val="19"/>
        </w:rPr>
        <w:t>and for such internal control as the directors determine is necessary to enable the prepara</w:t>
      </w:r>
      <w:r>
        <w:rPr>
          <w:color w:val="131313"/>
          <w:w w:val="105"/>
          <w:sz w:val="19"/>
        </w:rPr>
        <w:t>ti</w:t>
      </w:r>
      <w:r>
        <w:rPr>
          <w:color w:val="3D3D3D"/>
          <w:w w:val="105"/>
          <w:sz w:val="19"/>
        </w:rPr>
        <w:t>on and fair presentation of financial statements </w:t>
      </w:r>
      <w:r>
        <w:rPr>
          <w:color w:val="262626"/>
          <w:w w:val="105"/>
          <w:sz w:val="19"/>
        </w:rPr>
        <w:t>that </w:t>
      </w:r>
      <w:r>
        <w:rPr>
          <w:color w:val="3D3D3D"/>
          <w:w w:val="105"/>
          <w:sz w:val="19"/>
        </w:rPr>
        <w:t>are free from material misstatement. whether due </w:t>
      </w:r>
      <w:r>
        <w:rPr>
          <w:color w:val="262626"/>
          <w:w w:val="105"/>
          <w:sz w:val="19"/>
        </w:rPr>
        <w:t>to </w:t>
      </w:r>
      <w:r>
        <w:rPr>
          <w:color w:val="3D3D3D"/>
          <w:w w:val="105"/>
          <w:sz w:val="19"/>
        </w:rPr>
        <w:t>fraud or error</w:t>
      </w:r>
      <w:r>
        <w:rPr>
          <w:color w:val="6D6D6D"/>
          <w:w w:val="105"/>
          <w:sz w:val="19"/>
        </w:rPr>
        <w:t>.</w:t>
      </w:r>
    </w:p>
    <w:p>
      <w:pPr>
        <w:pStyle w:val="BodyText"/>
        <w:rPr>
          <w:sz w:val="15"/>
        </w:rPr>
      </w:pPr>
    </w:p>
    <w:p>
      <w:pPr>
        <w:spacing w:line="264" w:lineRule="auto" w:before="0"/>
        <w:ind w:left="112" w:right="1470" w:firstLine="9"/>
        <w:jc w:val="left"/>
        <w:rPr>
          <w:sz w:val="19"/>
        </w:rPr>
      </w:pPr>
      <w:r>
        <w:rPr>
          <w:color w:val="3D3D3D"/>
          <w:w w:val="105"/>
          <w:sz w:val="19"/>
        </w:rPr>
        <w:t>In preparing the financial statements</w:t>
      </w:r>
      <w:r>
        <w:rPr>
          <w:color w:val="6D6D6D"/>
          <w:w w:val="105"/>
          <w:sz w:val="19"/>
        </w:rPr>
        <w:t>.</w:t>
      </w:r>
      <w:r>
        <w:rPr>
          <w:color w:val="3D3D3D"/>
          <w:w w:val="105"/>
          <w:sz w:val="19"/>
        </w:rPr>
        <w:t>the directors are responsible for assessing the Company's ability to continue as a going concern</w:t>
      </w:r>
      <w:r>
        <w:rPr>
          <w:color w:val="6D6D6D"/>
          <w:w w:val="105"/>
          <w:sz w:val="19"/>
        </w:rPr>
        <w:t>, </w:t>
      </w:r>
      <w:r>
        <w:rPr>
          <w:color w:val="3D3D3D"/>
          <w:w w:val="105"/>
          <w:sz w:val="19"/>
        </w:rPr>
        <w:t>disclosing</w:t>
      </w:r>
      <w:r>
        <w:rPr>
          <w:color w:val="6D6D6D"/>
          <w:w w:val="105"/>
          <w:sz w:val="19"/>
        </w:rPr>
        <w:t>, </w:t>
      </w:r>
      <w:r>
        <w:rPr>
          <w:color w:val="3D3D3D"/>
          <w:w w:val="105"/>
          <w:sz w:val="19"/>
        </w:rPr>
        <w:t>as applicable, matters </w:t>
      </w:r>
      <w:r>
        <w:rPr>
          <w:color w:val="262626"/>
          <w:w w:val="105"/>
          <w:sz w:val="19"/>
        </w:rPr>
        <w:t>related </w:t>
      </w:r>
      <w:r>
        <w:rPr>
          <w:color w:val="3D3D3D"/>
          <w:w w:val="105"/>
          <w:sz w:val="19"/>
        </w:rPr>
        <w:t>to going concern and </w:t>
      </w:r>
      <w:r>
        <w:rPr>
          <w:color w:val="262626"/>
          <w:w w:val="105"/>
          <w:sz w:val="19"/>
        </w:rPr>
        <w:t>using </w:t>
      </w:r>
      <w:r>
        <w:rPr>
          <w:color w:val="3D3D3D"/>
          <w:w w:val="105"/>
          <w:sz w:val="19"/>
        </w:rPr>
        <w:t>the </w:t>
      </w:r>
      <w:r>
        <w:rPr>
          <w:color w:val="262626"/>
          <w:w w:val="105"/>
          <w:sz w:val="19"/>
        </w:rPr>
        <w:t>go</w:t>
      </w:r>
      <w:r>
        <w:rPr>
          <w:color w:val="525252"/>
          <w:w w:val="105"/>
          <w:sz w:val="19"/>
        </w:rPr>
        <w:t>ing </w:t>
      </w:r>
      <w:r>
        <w:rPr>
          <w:color w:val="3D3D3D"/>
          <w:w w:val="105"/>
          <w:sz w:val="19"/>
        </w:rPr>
        <w:t>concern basis of accounting unless the directors either </w:t>
      </w:r>
      <w:r>
        <w:rPr>
          <w:color w:val="262626"/>
          <w:w w:val="105"/>
          <w:sz w:val="19"/>
        </w:rPr>
        <w:t>intend to </w:t>
      </w:r>
      <w:r>
        <w:rPr>
          <w:color w:val="131313"/>
          <w:w w:val="105"/>
          <w:sz w:val="19"/>
        </w:rPr>
        <w:t>l</w:t>
      </w:r>
      <w:r>
        <w:rPr>
          <w:color w:val="3D3D3D"/>
          <w:w w:val="105"/>
          <w:sz w:val="19"/>
        </w:rPr>
        <w:t>iquidate the Company or to cease operations, or have no realistic alternative but to do so</w:t>
      </w:r>
      <w:r>
        <w:rPr>
          <w:color w:val="6D6D6D"/>
          <w:w w:val="105"/>
          <w:sz w:val="19"/>
        </w:rPr>
        <w:t>.</w:t>
      </w:r>
    </w:p>
    <w:p>
      <w:pPr>
        <w:pStyle w:val="BodyText"/>
        <w:spacing w:before="3"/>
        <w:rPr>
          <w:sz w:val="14"/>
        </w:rPr>
      </w:pPr>
    </w:p>
    <w:p>
      <w:pPr>
        <w:spacing w:before="0"/>
        <w:ind w:left="112" w:right="1613" w:firstLine="0"/>
        <w:jc w:val="left"/>
        <w:rPr>
          <w:b/>
          <w:sz w:val="23"/>
        </w:rPr>
      </w:pPr>
      <w:r>
        <w:rPr>
          <w:b/>
          <w:color w:val="131313"/>
          <w:w w:val="105"/>
          <w:sz w:val="23"/>
        </w:rPr>
        <w:t>Auditor </w:t>
      </w:r>
      <w:r>
        <w:rPr>
          <w:b/>
          <w:color w:val="525252"/>
          <w:w w:val="105"/>
          <w:sz w:val="23"/>
        </w:rPr>
        <w:t>'</w:t>
      </w:r>
      <w:r>
        <w:rPr>
          <w:b/>
          <w:color w:val="131313"/>
          <w:w w:val="105"/>
          <w:sz w:val="23"/>
        </w:rPr>
        <w:t>s Responsibilities for the Audit of the Financ</w:t>
      </w:r>
      <w:r>
        <w:rPr>
          <w:b/>
          <w:color w:val="3D3D3D"/>
          <w:w w:val="105"/>
          <w:sz w:val="23"/>
        </w:rPr>
        <w:t>i</w:t>
      </w:r>
      <w:r>
        <w:rPr>
          <w:b/>
          <w:color w:val="131313"/>
          <w:w w:val="105"/>
          <w:sz w:val="23"/>
        </w:rPr>
        <w:t>al Statements</w:t>
      </w:r>
    </w:p>
    <w:p>
      <w:pPr>
        <w:spacing w:before="137"/>
        <w:ind w:left="112" w:right="1613" w:firstLine="0"/>
        <w:jc w:val="left"/>
        <w:rPr>
          <w:sz w:val="19"/>
        </w:rPr>
      </w:pPr>
      <w:r>
        <w:rPr>
          <w:color w:val="3D3D3D"/>
          <w:w w:val="105"/>
          <w:sz w:val="19"/>
        </w:rPr>
        <w:t>My objectives are </w:t>
      </w:r>
      <w:r>
        <w:rPr>
          <w:color w:val="262626"/>
          <w:w w:val="105"/>
          <w:sz w:val="19"/>
        </w:rPr>
        <w:t>to</w:t>
      </w:r>
      <w:r>
        <w:rPr>
          <w:color w:val="6D6D6D"/>
          <w:w w:val="105"/>
          <w:sz w:val="19"/>
        </w:rPr>
        <w:t>:</w:t>
      </w:r>
    </w:p>
    <w:p>
      <w:pPr>
        <w:pStyle w:val="BodyText"/>
        <w:rPr>
          <w:sz w:val="16"/>
        </w:rPr>
      </w:pPr>
    </w:p>
    <w:p>
      <w:pPr>
        <w:spacing w:line="264" w:lineRule="auto" w:before="0"/>
        <w:ind w:left="678" w:right="1613" w:hanging="10"/>
        <w:jc w:val="left"/>
        <w:rPr>
          <w:sz w:val="19"/>
        </w:rPr>
      </w:pPr>
      <w:r>
        <w:rPr>
          <w:color w:val="3D3D3D"/>
          <w:w w:val="105"/>
          <w:sz w:val="19"/>
        </w:rPr>
        <w:t>obtain reasonable assurance about whether the financia</w:t>
      </w:r>
      <w:r>
        <w:rPr>
          <w:color w:val="131313"/>
          <w:w w:val="105"/>
          <w:sz w:val="19"/>
        </w:rPr>
        <w:t>l </w:t>
      </w:r>
      <w:r>
        <w:rPr>
          <w:color w:val="3D3D3D"/>
          <w:w w:val="105"/>
          <w:sz w:val="19"/>
        </w:rPr>
        <w:t>statements as a whole are free from material misstatement, whether due to fraud or error</w:t>
      </w:r>
    </w:p>
    <w:p>
      <w:pPr>
        <w:spacing w:before="57"/>
        <w:ind w:left="678" w:right="1613" w:firstLine="0"/>
        <w:jc w:val="left"/>
        <w:rPr>
          <w:sz w:val="19"/>
        </w:rPr>
      </w:pPr>
      <w:r>
        <w:rPr>
          <w:color w:val="262626"/>
          <w:w w:val="105"/>
          <w:sz w:val="19"/>
        </w:rPr>
        <w:t>issue </w:t>
      </w:r>
      <w:r>
        <w:rPr>
          <w:color w:val="3D3D3D"/>
          <w:w w:val="105"/>
          <w:sz w:val="19"/>
        </w:rPr>
        <w:t>an Independent Auditor</w:t>
      </w:r>
      <w:r>
        <w:rPr>
          <w:color w:val="6D6D6D"/>
          <w:w w:val="105"/>
          <w:sz w:val="19"/>
        </w:rPr>
        <w:t>'</w:t>
      </w:r>
      <w:r>
        <w:rPr>
          <w:color w:val="3D3D3D"/>
          <w:w w:val="105"/>
          <w:sz w:val="19"/>
        </w:rPr>
        <w:t>s Report inc</w:t>
      </w:r>
      <w:r>
        <w:rPr>
          <w:color w:val="131313"/>
          <w:w w:val="105"/>
          <w:sz w:val="19"/>
        </w:rPr>
        <w:t>l</w:t>
      </w:r>
      <w:r>
        <w:rPr>
          <w:color w:val="3D3D3D"/>
          <w:w w:val="105"/>
          <w:sz w:val="19"/>
        </w:rPr>
        <w:t>uding my  opinion</w:t>
      </w:r>
      <w:r>
        <w:rPr>
          <w:color w:val="7E7E7E"/>
          <w:w w:val="105"/>
          <w:sz w:val="19"/>
        </w:rPr>
        <w:t>.</w:t>
      </w:r>
    </w:p>
    <w:p>
      <w:pPr>
        <w:pStyle w:val="BodyText"/>
        <w:spacing w:before="4"/>
        <w:rPr>
          <w:sz w:val="19"/>
        </w:rPr>
      </w:pPr>
    </w:p>
    <w:p>
      <w:pPr>
        <w:spacing w:line="264" w:lineRule="auto" w:before="0"/>
        <w:ind w:left="112" w:right="1916" w:firstLine="9"/>
        <w:jc w:val="left"/>
        <w:rPr>
          <w:sz w:val="19"/>
        </w:rPr>
      </w:pPr>
      <w:r>
        <w:rPr>
          <w:color w:val="3D3D3D"/>
          <w:w w:val="110"/>
          <w:sz w:val="19"/>
        </w:rPr>
        <w:t>Reasonable</w:t>
      </w:r>
      <w:r>
        <w:rPr>
          <w:color w:val="3D3D3D"/>
          <w:spacing w:val="-37"/>
          <w:w w:val="110"/>
          <w:sz w:val="19"/>
        </w:rPr>
        <w:t> </w:t>
      </w:r>
      <w:r>
        <w:rPr>
          <w:color w:val="3D3D3D"/>
          <w:w w:val="110"/>
          <w:sz w:val="19"/>
        </w:rPr>
        <w:t>assurance</w:t>
      </w:r>
      <w:r>
        <w:rPr>
          <w:color w:val="3D3D3D"/>
          <w:spacing w:val="-16"/>
          <w:w w:val="110"/>
          <w:sz w:val="19"/>
        </w:rPr>
        <w:t> </w:t>
      </w:r>
      <w:r>
        <w:rPr>
          <w:color w:val="3D3D3D"/>
          <w:spacing w:val="-17"/>
          <w:w w:val="120"/>
          <w:sz w:val="19"/>
        </w:rPr>
        <w:t>is</w:t>
      </w:r>
      <w:r>
        <w:rPr>
          <w:color w:val="3D3D3D"/>
          <w:spacing w:val="-33"/>
          <w:w w:val="120"/>
          <w:sz w:val="19"/>
        </w:rPr>
        <w:t> </w:t>
      </w:r>
      <w:r>
        <w:rPr>
          <w:color w:val="3D3D3D"/>
          <w:w w:val="110"/>
          <w:sz w:val="19"/>
        </w:rPr>
        <w:t>a</w:t>
      </w:r>
      <w:r>
        <w:rPr>
          <w:color w:val="3D3D3D"/>
          <w:spacing w:val="-24"/>
          <w:w w:val="110"/>
          <w:sz w:val="19"/>
        </w:rPr>
        <w:t> </w:t>
      </w:r>
      <w:r>
        <w:rPr>
          <w:color w:val="3D3D3D"/>
          <w:spacing w:val="-4"/>
          <w:w w:val="110"/>
          <w:sz w:val="19"/>
        </w:rPr>
        <w:t>high</w:t>
      </w:r>
      <w:r>
        <w:rPr>
          <w:color w:val="3D3D3D"/>
          <w:spacing w:val="-26"/>
          <w:w w:val="110"/>
          <w:sz w:val="19"/>
        </w:rPr>
        <w:t> </w:t>
      </w:r>
      <w:r>
        <w:rPr>
          <w:color w:val="3D3D3D"/>
          <w:w w:val="110"/>
          <w:sz w:val="19"/>
        </w:rPr>
        <w:t>level</w:t>
      </w:r>
      <w:r>
        <w:rPr>
          <w:color w:val="3D3D3D"/>
          <w:spacing w:val="-32"/>
          <w:w w:val="110"/>
          <w:sz w:val="19"/>
        </w:rPr>
        <w:t> </w:t>
      </w:r>
      <w:r>
        <w:rPr>
          <w:color w:val="3D3D3D"/>
          <w:w w:val="110"/>
          <w:sz w:val="19"/>
        </w:rPr>
        <w:t>of</w:t>
      </w:r>
      <w:r>
        <w:rPr>
          <w:color w:val="3D3D3D"/>
          <w:spacing w:val="-25"/>
          <w:w w:val="110"/>
          <w:sz w:val="19"/>
        </w:rPr>
        <w:t> </w:t>
      </w:r>
      <w:r>
        <w:rPr>
          <w:color w:val="3D3D3D"/>
          <w:w w:val="110"/>
          <w:sz w:val="19"/>
        </w:rPr>
        <w:t>assurance</w:t>
      </w:r>
      <w:r>
        <w:rPr>
          <w:color w:val="6D6D6D"/>
          <w:w w:val="110"/>
          <w:sz w:val="19"/>
        </w:rPr>
        <w:t>,</w:t>
      </w:r>
      <w:r>
        <w:rPr>
          <w:color w:val="6D6D6D"/>
          <w:spacing w:val="-28"/>
          <w:w w:val="110"/>
          <w:sz w:val="19"/>
        </w:rPr>
        <w:t> </w:t>
      </w:r>
      <w:r>
        <w:rPr>
          <w:color w:val="3D3D3D"/>
          <w:w w:val="110"/>
          <w:sz w:val="19"/>
        </w:rPr>
        <w:t>but</w:t>
      </w:r>
      <w:r>
        <w:rPr>
          <w:color w:val="3D3D3D"/>
          <w:spacing w:val="-31"/>
          <w:w w:val="110"/>
          <w:sz w:val="19"/>
        </w:rPr>
        <w:t> </w:t>
      </w:r>
      <w:r>
        <w:rPr>
          <w:color w:val="3D3D3D"/>
          <w:w w:val="110"/>
          <w:sz w:val="19"/>
        </w:rPr>
        <w:t>does</w:t>
      </w:r>
      <w:r>
        <w:rPr>
          <w:color w:val="3D3D3D"/>
          <w:spacing w:val="-25"/>
          <w:w w:val="110"/>
          <w:sz w:val="19"/>
        </w:rPr>
        <w:t> </w:t>
      </w:r>
      <w:r>
        <w:rPr>
          <w:color w:val="3D3D3D"/>
          <w:w w:val="110"/>
          <w:sz w:val="19"/>
        </w:rPr>
        <w:t>not</w:t>
      </w:r>
      <w:r>
        <w:rPr>
          <w:color w:val="3D3D3D"/>
          <w:spacing w:val="-33"/>
          <w:w w:val="110"/>
          <w:sz w:val="19"/>
        </w:rPr>
        <w:t> </w:t>
      </w:r>
      <w:r>
        <w:rPr>
          <w:color w:val="3D3D3D"/>
          <w:w w:val="110"/>
          <w:sz w:val="19"/>
        </w:rPr>
        <w:t>guarantee</w:t>
      </w:r>
      <w:r>
        <w:rPr>
          <w:color w:val="3D3D3D"/>
          <w:spacing w:val="-25"/>
          <w:w w:val="110"/>
          <w:sz w:val="19"/>
        </w:rPr>
        <w:t> </w:t>
      </w:r>
      <w:r>
        <w:rPr>
          <w:color w:val="3D3D3D"/>
          <w:w w:val="110"/>
          <w:sz w:val="19"/>
        </w:rPr>
        <w:t>an</w:t>
      </w:r>
      <w:r>
        <w:rPr>
          <w:color w:val="3D3D3D"/>
          <w:spacing w:val="-31"/>
          <w:w w:val="110"/>
          <w:sz w:val="19"/>
        </w:rPr>
        <w:t> </w:t>
      </w:r>
      <w:r>
        <w:rPr>
          <w:color w:val="3D3D3D"/>
          <w:w w:val="110"/>
          <w:sz w:val="19"/>
        </w:rPr>
        <w:t>audit</w:t>
      </w:r>
      <w:r>
        <w:rPr>
          <w:color w:val="3D3D3D"/>
          <w:spacing w:val="-27"/>
          <w:w w:val="110"/>
          <w:sz w:val="19"/>
        </w:rPr>
        <w:t> </w:t>
      </w:r>
      <w:r>
        <w:rPr>
          <w:color w:val="3D3D3D"/>
          <w:w w:val="110"/>
          <w:sz w:val="19"/>
        </w:rPr>
        <w:t>conducted</w:t>
      </w:r>
      <w:r>
        <w:rPr>
          <w:color w:val="3D3D3D"/>
          <w:spacing w:val="-12"/>
          <w:w w:val="110"/>
          <w:sz w:val="19"/>
        </w:rPr>
        <w:t> </w:t>
      </w:r>
      <w:r>
        <w:rPr>
          <w:color w:val="131313"/>
          <w:spacing w:val="-12"/>
          <w:w w:val="120"/>
          <w:sz w:val="19"/>
        </w:rPr>
        <w:t>i</w:t>
      </w:r>
      <w:r>
        <w:rPr>
          <w:color w:val="3D3D3D"/>
          <w:spacing w:val="-12"/>
          <w:w w:val="120"/>
          <w:sz w:val="19"/>
        </w:rPr>
        <w:t>n </w:t>
      </w:r>
      <w:r>
        <w:rPr>
          <w:color w:val="3D3D3D"/>
          <w:w w:val="105"/>
          <w:sz w:val="19"/>
        </w:rPr>
        <w:t>accordance</w:t>
      </w:r>
      <w:r>
        <w:rPr>
          <w:color w:val="3D3D3D"/>
          <w:spacing w:val="3"/>
          <w:w w:val="105"/>
          <w:sz w:val="19"/>
        </w:rPr>
        <w:t> </w:t>
      </w:r>
      <w:r>
        <w:rPr>
          <w:color w:val="3D3D3D"/>
          <w:w w:val="105"/>
          <w:sz w:val="19"/>
        </w:rPr>
        <w:t>with</w:t>
      </w:r>
      <w:r>
        <w:rPr>
          <w:color w:val="3D3D3D"/>
          <w:spacing w:val="-7"/>
          <w:w w:val="105"/>
          <w:sz w:val="19"/>
        </w:rPr>
        <w:t> </w:t>
      </w:r>
      <w:r>
        <w:rPr>
          <w:color w:val="3D3D3D"/>
          <w:w w:val="105"/>
          <w:sz w:val="19"/>
        </w:rPr>
        <w:t>Australian</w:t>
      </w:r>
      <w:r>
        <w:rPr>
          <w:color w:val="3D3D3D"/>
          <w:spacing w:val="-8"/>
          <w:w w:val="105"/>
          <w:sz w:val="19"/>
        </w:rPr>
        <w:t> </w:t>
      </w:r>
      <w:r>
        <w:rPr>
          <w:color w:val="3D3D3D"/>
          <w:w w:val="105"/>
          <w:sz w:val="19"/>
        </w:rPr>
        <w:t>Auditing</w:t>
      </w:r>
      <w:r>
        <w:rPr>
          <w:color w:val="3D3D3D"/>
          <w:spacing w:val="-6"/>
          <w:w w:val="105"/>
          <w:sz w:val="19"/>
        </w:rPr>
        <w:t> </w:t>
      </w:r>
      <w:r>
        <w:rPr>
          <w:color w:val="3D3D3D"/>
          <w:w w:val="105"/>
          <w:sz w:val="19"/>
        </w:rPr>
        <w:t>Standards</w:t>
      </w:r>
      <w:r>
        <w:rPr>
          <w:color w:val="3D3D3D"/>
          <w:spacing w:val="-1"/>
          <w:w w:val="105"/>
          <w:sz w:val="19"/>
        </w:rPr>
        <w:t> </w:t>
      </w:r>
      <w:r>
        <w:rPr>
          <w:color w:val="3D3D3D"/>
          <w:spacing w:val="2"/>
          <w:w w:val="105"/>
          <w:sz w:val="19"/>
        </w:rPr>
        <w:t>will</w:t>
      </w:r>
      <w:r>
        <w:rPr>
          <w:color w:val="3D3D3D"/>
          <w:spacing w:val="-11"/>
          <w:w w:val="105"/>
          <w:sz w:val="19"/>
        </w:rPr>
        <w:t> </w:t>
      </w:r>
      <w:r>
        <w:rPr>
          <w:color w:val="3D3D3D"/>
          <w:w w:val="105"/>
          <w:sz w:val="19"/>
        </w:rPr>
        <w:t>a</w:t>
      </w:r>
      <w:r>
        <w:rPr>
          <w:color w:val="131313"/>
          <w:w w:val="105"/>
          <w:sz w:val="19"/>
        </w:rPr>
        <w:t>l</w:t>
      </w:r>
      <w:r>
        <w:rPr>
          <w:color w:val="3D3D3D"/>
          <w:w w:val="105"/>
          <w:sz w:val="19"/>
        </w:rPr>
        <w:t>ways</w:t>
      </w:r>
      <w:r>
        <w:rPr>
          <w:color w:val="3D3D3D"/>
          <w:spacing w:val="6"/>
          <w:w w:val="105"/>
          <w:sz w:val="19"/>
        </w:rPr>
        <w:t> </w:t>
      </w:r>
      <w:r>
        <w:rPr>
          <w:color w:val="3D3D3D"/>
          <w:w w:val="105"/>
          <w:sz w:val="19"/>
        </w:rPr>
        <w:t>detect</w:t>
      </w:r>
      <w:r>
        <w:rPr>
          <w:color w:val="3D3D3D"/>
          <w:spacing w:val="6"/>
          <w:w w:val="105"/>
          <w:sz w:val="19"/>
        </w:rPr>
        <w:t> </w:t>
      </w:r>
      <w:r>
        <w:rPr>
          <w:color w:val="3D3D3D"/>
          <w:w w:val="105"/>
          <w:sz w:val="19"/>
        </w:rPr>
        <w:t>material</w:t>
      </w:r>
      <w:r>
        <w:rPr>
          <w:color w:val="3D3D3D"/>
          <w:spacing w:val="-4"/>
          <w:w w:val="105"/>
          <w:sz w:val="19"/>
        </w:rPr>
        <w:t> </w:t>
      </w:r>
      <w:r>
        <w:rPr>
          <w:color w:val="3D3D3D"/>
          <w:w w:val="105"/>
          <w:sz w:val="19"/>
        </w:rPr>
        <w:t>misstatements</w:t>
      </w:r>
      <w:r>
        <w:rPr>
          <w:color w:val="3D3D3D"/>
          <w:spacing w:val="-28"/>
          <w:w w:val="105"/>
          <w:sz w:val="19"/>
        </w:rPr>
        <w:t> </w:t>
      </w:r>
      <w:r>
        <w:rPr>
          <w:color w:val="6D6D6D"/>
          <w:w w:val="105"/>
          <w:sz w:val="19"/>
        </w:rPr>
        <w:t>.</w:t>
      </w:r>
    </w:p>
    <w:p>
      <w:pPr>
        <w:spacing w:line="264" w:lineRule="auto" w:before="0"/>
        <w:ind w:left="112" w:right="1470" w:firstLine="9"/>
        <w:jc w:val="left"/>
        <w:rPr>
          <w:sz w:val="19"/>
        </w:rPr>
      </w:pPr>
      <w:r>
        <w:rPr>
          <w:color w:val="3D3D3D"/>
          <w:w w:val="105"/>
          <w:sz w:val="19"/>
        </w:rPr>
        <w:t>Misstatements can arise from fraud or error. Misstatements are considered material if, individually or </w:t>
      </w:r>
      <w:r>
        <w:rPr>
          <w:color w:val="3D3D3D"/>
          <w:spacing w:val="-17"/>
          <w:w w:val="115"/>
          <w:sz w:val="19"/>
        </w:rPr>
        <w:t>in </w:t>
      </w:r>
      <w:r>
        <w:rPr>
          <w:color w:val="3D3D3D"/>
          <w:w w:val="105"/>
          <w:sz w:val="19"/>
        </w:rPr>
        <w:t>aggregate, they could reasonably be expected </w:t>
      </w:r>
      <w:r>
        <w:rPr>
          <w:color w:val="131313"/>
          <w:w w:val="105"/>
          <w:sz w:val="19"/>
        </w:rPr>
        <w:t>t</w:t>
      </w:r>
      <w:r>
        <w:rPr>
          <w:color w:val="3D3D3D"/>
          <w:w w:val="105"/>
          <w:sz w:val="19"/>
        </w:rPr>
        <w:t>o </w:t>
      </w:r>
      <w:r>
        <w:rPr>
          <w:color w:val="3D3D3D"/>
          <w:spacing w:val="-3"/>
          <w:w w:val="105"/>
          <w:sz w:val="19"/>
        </w:rPr>
        <w:t>influence </w:t>
      </w:r>
      <w:r>
        <w:rPr>
          <w:color w:val="3D3D3D"/>
          <w:w w:val="105"/>
          <w:sz w:val="19"/>
        </w:rPr>
        <w:t>the econom</w:t>
      </w:r>
      <w:r>
        <w:rPr>
          <w:color w:val="131313"/>
          <w:w w:val="105"/>
          <w:sz w:val="19"/>
        </w:rPr>
        <w:t>i</w:t>
      </w:r>
      <w:r>
        <w:rPr>
          <w:color w:val="3D3D3D"/>
          <w:w w:val="105"/>
          <w:sz w:val="19"/>
        </w:rPr>
        <w:t>c decisions users take based on the financial statements.</w:t>
      </w:r>
    </w:p>
    <w:p>
      <w:pPr>
        <w:pStyle w:val="BodyText"/>
        <w:rPr>
          <w:sz w:val="15"/>
        </w:rPr>
      </w:pPr>
    </w:p>
    <w:p>
      <w:pPr>
        <w:spacing w:line="264" w:lineRule="auto" w:before="0"/>
        <w:ind w:left="102" w:right="1192" w:firstLine="9"/>
        <w:jc w:val="left"/>
        <w:rPr>
          <w:sz w:val="19"/>
        </w:rPr>
      </w:pPr>
      <w:r>
        <w:rPr>
          <w:color w:val="3D3D3D"/>
          <w:w w:val="110"/>
          <w:sz w:val="19"/>
        </w:rPr>
        <w:t>A description of my </w:t>
      </w:r>
      <w:r>
        <w:rPr>
          <w:color w:val="3D3D3D"/>
          <w:spacing w:val="-5"/>
          <w:w w:val="110"/>
          <w:sz w:val="19"/>
        </w:rPr>
        <w:t>responsibilities </w:t>
      </w:r>
      <w:r>
        <w:rPr>
          <w:color w:val="3D3D3D"/>
          <w:w w:val="110"/>
          <w:sz w:val="19"/>
        </w:rPr>
        <w:t>for the </w:t>
      </w:r>
      <w:r>
        <w:rPr>
          <w:color w:val="3D3D3D"/>
          <w:spacing w:val="-5"/>
          <w:w w:val="110"/>
          <w:sz w:val="19"/>
        </w:rPr>
        <w:t>aud</w:t>
      </w:r>
      <w:r>
        <w:rPr>
          <w:color w:val="131313"/>
          <w:spacing w:val="-5"/>
          <w:w w:val="110"/>
          <w:sz w:val="19"/>
        </w:rPr>
        <w:t>i</w:t>
      </w:r>
      <w:r>
        <w:rPr>
          <w:color w:val="3D3D3D"/>
          <w:spacing w:val="-5"/>
          <w:w w:val="110"/>
          <w:sz w:val="19"/>
        </w:rPr>
        <w:t>t </w:t>
      </w:r>
      <w:r>
        <w:rPr>
          <w:color w:val="3D3D3D"/>
          <w:w w:val="110"/>
          <w:sz w:val="19"/>
        </w:rPr>
        <w:t>of the financ</w:t>
      </w:r>
      <w:r>
        <w:rPr>
          <w:color w:val="131313"/>
          <w:w w:val="110"/>
          <w:sz w:val="19"/>
        </w:rPr>
        <w:t>i</w:t>
      </w:r>
      <w:r>
        <w:rPr>
          <w:color w:val="3D3D3D"/>
          <w:w w:val="110"/>
          <w:sz w:val="19"/>
        </w:rPr>
        <w:t>al statements </w:t>
      </w:r>
      <w:r>
        <w:rPr>
          <w:color w:val="131313"/>
          <w:spacing w:val="-17"/>
          <w:w w:val="110"/>
          <w:sz w:val="19"/>
        </w:rPr>
        <w:t>i</w:t>
      </w:r>
      <w:r>
        <w:rPr>
          <w:color w:val="3D3D3D"/>
          <w:spacing w:val="-17"/>
          <w:w w:val="110"/>
          <w:sz w:val="19"/>
        </w:rPr>
        <w:t>s </w:t>
      </w:r>
      <w:r>
        <w:rPr>
          <w:color w:val="525252"/>
          <w:w w:val="110"/>
          <w:sz w:val="19"/>
        </w:rPr>
        <w:t>located </w:t>
      </w:r>
      <w:r>
        <w:rPr>
          <w:color w:val="3D3D3D"/>
          <w:w w:val="110"/>
          <w:sz w:val="19"/>
        </w:rPr>
        <w:t>at </w:t>
      </w:r>
      <w:r>
        <w:rPr>
          <w:color w:val="262626"/>
          <w:w w:val="110"/>
          <w:sz w:val="19"/>
        </w:rPr>
        <w:t>the </w:t>
      </w:r>
      <w:r>
        <w:rPr>
          <w:color w:val="3D3D3D"/>
          <w:w w:val="110"/>
          <w:sz w:val="19"/>
        </w:rPr>
        <w:t>Auditing </w:t>
      </w:r>
      <w:r>
        <w:rPr>
          <w:color w:val="3D3D3D"/>
          <w:w w:val="105"/>
          <w:sz w:val="19"/>
        </w:rPr>
        <w:t>and Assurance Standards </w:t>
      </w:r>
      <w:r>
        <w:rPr>
          <w:color w:val="262626"/>
          <w:w w:val="105"/>
          <w:sz w:val="19"/>
        </w:rPr>
        <w:t>Board </w:t>
      </w:r>
      <w:r>
        <w:rPr>
          <w:color w:val="3D3D3D"/>
          <w:w w:val="105"/>
          <w:sz w:val="19"/>
        </w:rPr>
        <w:t>website at: </w:t>
      </w:r>
      <w:hyperlink r:id="rId71">
        <w:r>
          <w:rPr>
            <w:color w:val="3D3D3D"/>
            <w:spacing w:val="-4"/>
            <w:w w:val="105"/>
            <w:sz w:val="19"/>
            <w:u w:val="single" w:color="000000"/>
          </w:rPr>
          <w:t>http</w:t>
        </w:r>
        <w:r>
          <w:rPr>
            <w:color w:val="7E7E7E"/>
            <w:spacing w:val="-4"/>
            <w:w w:val="105"/>
            <w:sz w:val="19"/>
            <w:u w:val="single" w:color="000000"/>
          </w:rPr>
          <w:t>:</w:t>
        </w:r>
        <w:r>
          <w:rPr>
            <w:color w:val="525252"/>
            <w:spacing w:val="-4"/>
            <w:w w:val="105"/>
            <w:sz w:val="19"/>
            <w:u w:val="single" w:color="000000"/>
          </w:rPr>
          <w:t>//www </w:t>
        </w:r>
        <w:r>
          <w:rPr>
            <w:color w:val="6D6D6D"/>
            <w:spacing w:val="-3"/>
            <w:w w:val="105"/>
            <w:sz w:val="19"/>
            <w:u w:val="single" w:color="000000"/>
          </w:rPr>
          <w:t>.</w:t>
        </w:r>
        <w:r>
          <w:rPr>
            <w:color w:val="3D3D3D"/>
            <w:spacing w:val="-3"/>
            <w:w w:val="105"/>
            <w:sz w:val="19"/>
            <w:u w:val="single" w:color="000000"/>
          </w:rPr>
          <w:t>auasb</w:t>
        </w:r>
        <w:r>
          <w:rPr>
            <w:color w:val="6D6D6D"/>
            <w:spacing w:val="-3"/>
            <w:w w:val="105"/>
            <w:sz w:val="19"/>
            <w:u w:val="single" w:color="000000"/>
          </w:rPr>
          <w:t>.</w:t>
        </w:r>
        <w:r>
          <w:rPr>
            <w:color w:val="3D3D3D"/>
            <w:spacing w:val="-3"/>
            <w:w w:val="105"/>
            <w:sz w:val="19"/>
            <w:u w:val="single" w:color="000000"/>
          </w:rPr>
          <w:t>aov.au/auditors </w:t>
        </w:r>
        <w:r>
          <w:rPr>
            <w:color w:val="6D6D6D"/>
            <w:w w:val="105"/>
            <w:sz w:val="19"/>
            <w:u w:val="single" w:color="000000"/>
          </w:rPr>
          <w:t>r</w:t>
        </w:r>
        <w:r>
          <w:rPr>
            <w:color w:val="3D3D3D"/>
            <w:w w:val="105"/>
            <w:sz w:val="19"/>
            <w:u w:val="single" w:color="000000"/>
          </w:rPr>
          <w:t>esponsibilit</w:t>
        </w:r>
        <w:r>
          <w:rPr>
            <w:color w:val="6D6D6D"/>
            <w:w w:val="105"/>
            <w:sz w:val="19"/>
            <w:u w:val="single" w:color="000000"/>
          </w:rPr>
          <w:t>i</w:t>
        </w:r>
        <w:r>
          <w:rPr>
            <w:color w:val="3D3D3D"/>
            <w:w w:val="105"/>
            <w:sz w:val="19"/>
            <w:u w:val="single" w:color="000000"/>
          </w:rPr>
          <w:t>es/ar4 </w:t>
        </w:r>
        <w:r>
          <w:rPr>
            <w:color w:val="7E7E7E"/>
            <w:w w:val="105"/>
            <w:sz w:val="19"/>
            <w:u w:val="single" w:color="000000"/>
          </w:rPr>
          <w:t>.</w:t>
        </w:r>
        <w:r>
          <w:rPr>
            <w:color w:val="3D3D3D"/>
            <w:w w:val="105"/>
            <w:sz w:val="19"/>
            <w:u w:val="single" w:color="000000"/>
          </w:rPr>
          <w:t>Pdf</w:t>
        </w:r>
        <w:r>
          <w:rPr>
            <w:color w:val="6D6D6D"/>
            <w:w w:val="105"/>
            <w:sz w:val="19"/>
          </w:rPr>
          <w:t>.</w:t>
        </w:r>
      </w:hyperlink>
      <w:r>
        <w:rPr>
          <w:color w:val="6D6D6D"/>
          <w:w w:val="105"/>
          <w:sz w:val="19"/>
        </w:rPr>
        <w:t> </w:t>
      </w:r>
      <w:r>
        <w:rPr>
          <w:color w:val="131313"/>
          <w:w w:val="110"/>
          <w:sz w:val="19"/>
        </w:rPr>
        <w:t>T</w:t>
      </w:r>
      <w:r>
        <w:rPr>
          <w:color w:val="3D3D3D"/>
          <w:w w:val="110"/>
          <w:sz w:val="19"/>
        </w:rPr>
        <w:t>he </w:t>
      </w:r>
      <w:r>
        <w:rPr>
          <w:color w:val="3D3D3D"/>
          <w:spacing w:val="-3"/>
          <w:w w:val="110"/>
          <w:sz w:val="19"/>
        </w:rPr>
        <w:t>descript</w:t>
      </w:r>
      <w:r>
        <w:rPr>
          <w:color w:val="131313"/>
          <w:spacing w:val="-3"/>
          <w:w w:val="110"/>
          <w:sz w:val="19"/>
        </w:rPr>
        <w:t>i</w:t>
      </w:r>
      <w:r>
        <w:rPr>
          <w:color w:val="3D3D3D"/>
          <w:spacing w:val="-3"/>
          <w:w w:val="110"/>
          <w:sz w:val="19"/>
        </w:rPr>
        <w:t>on </w:t>
      </w:r>
      <w:r>
        <w:rPr>
          <w:color w:val="262626"/>
          <w:w w:val="110"/>
          <w:sz w:val="19"/>
        </w:rPr>
        <w:t>forms </w:t>
      </w:r>
      <w:r>
        <w:rPr>
          <w:color w:val="3D3D3D"/>
          <w:w w:val="110"/>
          <w:sz w:val="19"/>
        </w:rPr>
        <w:t>part of my auditor's report.</w:t>
      </w:r>
    </w:p>
    <w:p>
      <w:pPr>
        <w:spacing w:after="0" w:line="264" w:lineRule="auto"/>
        <w:jc w:val="left"/>
        <w:rPr>
          <w:sz w:val="19"/>
        </w:rPr>
        <w:sectPr>
          <w:headerReference w:type="default" r:id="rId69"/>
          <w:footerReference w:type="default" r:id="rId70"/>
          <w:pgSz w:w="11900" w:h="16840"/>
          <w:pgMar w:header="0" w:footer="0" w:top="1380" w:bottom="60" w:left="1260" w:right="0"/>
          <w:pgNumType w:start="13"/>
        </w:sectPr>
      </w:pPr>
    </w:p>
    <w:p>
      <w:pPr>
        <w:pStyle w:val="BodyText"/>
        <w:rPr>
          <w:sz w:val="20"/>
        </w:rPr>
      </w:pPr>
      <w:r>
        <w:rPr/>
        <w:pict>
          <v:line style="position:absolute;mso-position-horizontal-relative:page;mso-position-vertical-relative:page;z-index:3136" from="590.681519pt,834.803397pt" to="590.681519pt,579.564697pt" stroked="true" strokeweight="1.439516pt" strokecolor="#d8d8d8">
            <w10:wrap type="none"/>
          </v:line>
        </w:pict>
      </w:r>
    </w:p>
    <w:p>
      <w:pPr>
        <w:pStyle w:val="BodyText"/>
        <w:rPr>
          <w:sz w:val="20"/>
        </w:rPr>
      </w:pPr>
    </w:p>
    <w:p>
      <w:pPr>
        <w:pStyle w:val="BodyText"/>
        <w:rPr>
          <w:sz w:val="20"/>
        </w:rPr>
      </w:pPr>
    </w:p>
    <w:p>
      <w:pPr>
        <w:pStyle w:val="BodyText"/>
        <w:rPr>
          <w:sz w:val="20"/>
        </w:rPr>
      </w:pPr>
    </w:p>
    <w:p>
      <w:pPr>
        <w:pStyle w:val="BodyText"/>
        <w:spacing w:before="1"/>
        <w:rPr>
          <w:sz w:val="26"/>
        </w:rPr>
      </w:pPr>
    </w:p>
    <w:p>
      <w:pPr>
        <w:pStyle w:val="Heading8"/>
        <w:spacing w:before="76"/>
        <w:ind w:left="301" w:right="2478"/>
      </w:pPr>
      <w:r>
        <w:rPr/>
        <w:pict>
          <v:line style="position:absolute;mso-position-horizontal-relative:page;mso-position-vertical-relative:paragraph;z-index:3112" from="590.201599pt,494.402005pt" to="590.201599pt,-60.214474pt" stroked="true" strokeweight="1.439516pt" strokecolor="#cfcfcf">
            <w10:wrap type="none"/>
          </v:line>
        </w:pict>
      </w:r>
      <w:r>
        <w:rPr>
          <w:color w:val="383838"/>
          <w:w w:val="105"/>
        </w:rPr>
        <w:t>My opinion </w:t>
      </w:r>
      <w:r>
        <w:rPr>
          <w:color w:val="4B4B4B"/>
          <w:w w:val="105"/>
        </w:rPr>
        <w:t>does </w:t>
      </w:r>
      <w:r>
        <w:rPr>
          <w:color w:val="383838"/>
          <w:w w:val="105"/>
        </w:rPr>
        <w:t>not provide assurance:</w:t>
      </w:r>
    </w:p>
    <w:p>
      <w:pPr>
        <w:pStyle w:val="BodyText"/>
        <w:spacing w:before="10"/>
        <w:rPr>
          <w:sz w:val="16"/>
        </w:rPr>
      </w:pPr>
    </w:p>
    <w:p>
      <w:pPr>
        <w:spacing w:before="0"/>
        <w:ind w:left="858" w:right="2478" w:firstLine="0"/>
        <w:jc w:val="left"/>
        <w:rPr>
          <w:sz w:val="19"/>
        </w:rPr>
      </w:pPr>
      <w:r>
        <w:rPr>
          <w:color w:val="232323"/>
          <w:w w:val="105"/>
          <w:sz w:val="19"/>
        </w:rPr>
        <w:t>that </w:t>
      </w:r>
      <w:r>
        <w:rPr>
          <w:color w:val="383838"/>
          <w:w w:val="105"/>
          <w:sz w:val="19"/>
        </w:rPr>
        <w:t>the Company carried out </w:t>
      </w:r>
      <w:r>
        <w:rPr>
          <w:color w:val="232323"/>
          <w:w w:val="105"/>
          <w:sz w:val="19"/>
        </w:rPr>
        <w:t>its </w:t>
      </w:r>
      <w:r>
        <w:rPr>
          <w:color w:val="383838"/>
          <w:w w:val="105"/>
          <w:sz w:val="19"/>
        </w:rPr>
        <w:t>act</w:t>
      </w:r>
      <w:r>
        <w:rPr>
          <w:color w:val="0F0F0F"/>
          <w:w w:val="105"/>
          <w:sz w:val="19"/>
        </w:rPr>
        <w:t>i</w:t>
      </w:r>
      <w:r>
        <w:rPr>
          <w:color w:val="383838"/>
          <w:w w:val="105"/>
          <w:sz w:val="19"/>
        </w:rPr>
        <w:t>vities effective</w:t>
      </w:r>
      <w:r>
        <w:rPr>
          <w:color w:val="0F0F0F"/>
          <w:w w:val="105"/>
          <w:sz w:val="19"/>
        </w:rPr>
        <w:t>l</w:t>
      </w:r>
      <w:r>
        <w:rPr>
          <w:color w:val="383838"/>
          <w:w w:val="105"/>
          <w:sz w:val="19"/>
        </w:rPr>
        <w:t>y</w:t>
      </w:r>
      <w:r>
        <w:rPr>
          <w:color w:val="626262"/>
          <w:w w:val="105"/>
          <w:sz w:val="19"/>
        </w:rPr>
        <w:t>, </w:t>
      </w:r>
      <w:r>
        <w:rPr>
          <w:color w:val="383838"/>
          <w:w w:val="105"/>
          <w:sz w:val="19"/>
        </w:rPr>
        <w:t>efficiently and economically</w:t>
      </w:r>
    </w:p>
    <w:p>
      <w:pPr>
        <w:spacing w:line="264" w:lineRule="auto" w:before="79"/>
        <w:ind w:left="858" w:right="2478" w:firstLine="0"/>
        <w:jc w:val="left"/>
        <w:rPr>
          <w:sz w:val="19"/>
        </w:rPr>
      </w:pPr>
      <w:r>
        <w:rPr>
          <w:color w:val="383838"/>
          <w:w w:val="105"/>
          <w:sz w:val="19"/>
        </w:rPr>
        <w:t>abou</w:t>
      </w:r>
      <w:r>
        <w:rPr>
          <w:color w:val="0F0F0F"/>
          <w:w w:val="105"/>
          <w:sz w:val="19"/>
        </w:rPr>
        <w:t>t </w:t>
      </w:r>
      <w:r>
        <w:rPr>
          <w:color w:val="232323"/>
          <w:w w:val="105"/>
          <w:sz w:val="19"/>
        </w:rPr>
        <w:t>the </w:t>
      </w:r>
      <w:r>
        <w:rPr>
          <w:color w:val="383838"/>
          <w:w w:val="105"/>
          <w:sz w:val="19"/>
        </w:rPr>
        <w:t>security and controls over </w:t>
      </w:r>
      <w:r>
        <w:rPr>
          <w:color w:val="232323"/>
          <w:w w:val="105"/>
          <w:sz w:val="19"/>
        </w:rPr>
        <w:t>the </w:t>
      </w:r>
      <w:r>
        <w:rPr>
          <w:color w:val="383838"/>
          <w:w w:val="105"/>
          <w:sz w:val="19"/>
        </w:rPr>
        <w:t>e</w:t>
      </w:r>
      <w:r>
        <w:rPr>
          <w:color w:val="0F0F0F"/>
          <w:w w:val="105"/>
          <w:sz w:val="19"/>
        </w:rPr>
        <w:t>l</w:t>
      </w:r>
      <w:r>
        <w:rPr>
          <w:color w:val="383838"/>
          <w:w w:val="105"/>
          <w:sz w:val="19"/>
        </w:rPr>
        <w:t>ectronic publication of the audited financial statements on any website where </w:t>
      </w:r>
      <w:r>
        <w:rPr>
          <w:color w:val="232323"/>
          <w:w w:val="105"/>
          <w:sz w:val="19"/>
        </w:rPr>
        <w:t>they </w:t>
      </w:r>
      <w:r>
        <w:rPr>
          <w:color w:val="383838"/>
          <w:w w:val="105"/>
          <w:sz w:val="19"/>
        </w:rPr>
        <w:t>may be presented</w:t>
      </w:r>
    </w:p>
    <w:p>
      <w:pPr>
        <w:spacing w:before="57"/>
        <w:ind w:left="858" w:right="0" w:firstLine="0"/>
        <w:jc w:val="left"/>
        <w:rPr>
          <w:sz w:val="19"/>
        </w:rPr>
      </w:pPr>
      <w:r>
        <w:rPr>
          <w:color w:val="383838"/>
          <w:w w:val="105"/>
          <w:sz w:val="19"/>
        </w:rPr>
        <w:t>about any other informat</w:t>
      </w:r>
      <w:r>
        <w:rPr>
          <w:color w:val="0F0F0F"/>
          <w:w w:val="105"/>
          <w:sz w:val="19"/>
        </w:rPr>
        <w:t>i</w:t>
      </w:r>
      <w:r>
        <w:rPr>
          <w:color w:val="383838"/>
          <w:w w:val="105"/>
          <w:sz w:val="19"/>
        </w:rPr>
        <w:t>on which may have been </w:t>
      </w:r>
      <w:r>
        <w:rPr>
          <w:color w:val="232323"/>
          <w:w w:val="105"/>
          <w:sz w:val="19"/>
        </w:rPr>
        <w:t>hyperlinked </w:t>
      </w:r>
      <w:r>
        <w:rPr>
          <w:color w:val="383838"/>
          <w:w w:val="105"/>
          <w:sz w:val="19"/>
        </w:rPr>
        <w:t>to/from </w:t>
      </w:r>
      <w:r>
        <w:rPr>
          <w:color w:val="0F0F0F"/>
          <w:w w:val="105"/>
          <w:sz w:val="19"/>
        </w:rPr>
        <w:t>t</w:t>
      </w:r>
      <w:r>
        <w:rPr>
          <w:color w:val="383838"/>
          <w:w w:val="105"/>
          <w:sz w:val="19"/>
        </w:rPr>
        <w:t>he </w:t>
      </w:r>
      <w:r>
        <w:rPr>
          <w:color w:val="4B4B4B"/>
          <w:w w:val="105"/>
          <w:sz w:val="19"/>
        </w:rPr>
        <w:t>financial  </w:t>
      </w:r>
      <w:r>
        <w:rPr>
          <w:color w:val="383838"/>
          <w:w w:val="105"/>
          <w:sz w:val="19"/>
        </w:rPr>
        <w:t>statements</w:t>
      </w:r>
      <w:r>
        <w:rPr>
          <w:color w:val="626262"/>
          <w:w w:val="105"/>
          <w:sz w:val="19"/>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0"/>
        </w:rPr>
      </w:pPr>
      <w:r>
        <w:rPr/>
        <w:pict>
          <v:group style="position:absolute;margin-left:74.879997pt;margin-top:7.758316pt;width:133.450pt;height:18.25pt;mso-position-horizontal-relative:page;mso-position-vertical-relative:paragraph;z-index:3088;mso-wrap-distance-left:0;mso-wrap-distance-right:0" coordorigin="1498,155" coordsize="2669,365">
            <v:shape style="position:absolute;left:1498;top:194;width:672;height:326" type="#_x0000_t75" stroked="false">
              <v:imagedata r:id="rId74" o:title=""/>
            </v:shape>
            <v:shape style="position:absolute;left:3533;top:155;width:634;height:288" type="#_x0000_t75" stroked="false">
              <v:imagedata r:id="rId75" o:title=""/>
            </v:shape>
            <v:line style="position:absolute" from="2140,398" to="3820,398" stroked="true" strokeweight=".959677pt" strokecolor="#2860b3"/>
            <w10:wrap type="topAndBottom"/>
          </v:group>
        </w:pict>
      </w:r>
    </w:p>
    <w:p>
      <w:pPr>
        <w:pStyle w:val="BodyText"/>
        <w:spacing w:before="3"/>
        <w:rPr>
          <w:sz w:val="14"/>
        </w:rPr>
      </w:pPr>
    </w:p>
    <w:p>
      <w:pPr>
        <w:spacing w:line="264" w:lineRule="auto" w:before="1"/>
        <w:ind w:left="282" w:right="8386" w:firstLine="9"/>
        <w:jc w:val="left"/>
        <w:rPr>
          <w:sz w:val="19"/>
        </w:rPr>
      </w:pPr>
      <w:r>
        <w:rPr>
          <w:color w:val="383838"/>
          <w:w w:val="105"/>
          <w:sz w:val="19"/>
        </w:rPr>
        <w:t>Margaret Crawford Auditor-General of NSW</w:t>
      </w:r>
    </w:p>
    <w:p>
      <w:pPr>
        <w:pStyle w:val="BodyText"/>
      </w:pPr>
    </w:p>
    <w:p>
      <w:pPr>
        <w:pStyle w:val="BodyText"/>
        <w:spacing w:before="8"/>
        <w:rPr>
          <w:sz w:val="16"/>
        </w:rPr>
      </w:pPr>
    </w:p>
    <w:p>
      <w:pPr>
        <w:spacing w:line="256" w:lineRule="auto" w:before="1"/>
        <w:ind w:left="282" w:right="8402" w:hanging="173"/>
        <w:jc w:val="left"/>
        <w:rPr>
          <w:sz w:val="19"/>
        </w:rPr>
      </w:pPr>
      <w:r>
        <w:rPr>
          <w:color w:val="2F3BA3"/>
          <w:w w:val="105"/>
          <w:position w:val="12"/>
          <w:sz w:val="26"/>
        </w:rPr>
        <w:t>!l.1-</w:t>
      </w:r>
      <w:r>
        <w:rPr>
          <w:color w:val="232323"/>
          <w:w w:val="105"/>
          <w:sz w:val="19"/>
        </w:rPr>
        <w:t>March </w:t>
      </w:r>
      <w:r>
        <w:rPr>
          <w:color w:val="383838"/>
          <w:w w:val="105"/>
          <w:sz w:val="19"/>
        </w:rPr>
        <w:t>2018 SYDNEY</w:t>
      </w:r>
    </w:p>
    <w:p>
      <w:pPr>
        <w:spacing w:after="0" w:line="256" w:lineRule="auto"/>
        <w:jc w:val="left"/>
        <w:rPr>
          <w:sz w:val="19"/>
        </w:rPr>
        <w:sectPr>
          <w:headerReference w:type="default" r:id="rId72"/>
          <w:footerReference w:type="default" r:id="rId73"/>
          <w:pgSz w:w="11900" w:h="16840"/>
          <w:pgMar w:header="0" w:footer="0" w:top="80" w:bottom="80" w:left="1080" w:right="0"/>
          <w:pgNumType w:start="14"/>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Heading1"/>
        <w:spacing w:line="643" w:lineRule="exact" w:before="30"/>
        <w:ind w:right="71"/>
      </w:pPr>
      <w:bookmarkStart w:name="4. Western Unlimited Ltd - 2017 Financia" w:id="176"/>
      <w:bookmarkEnd w:id="176"/>
      <w:r>
        <w:rPr>
          <w:b w:val="0"/>
        </w:rPr>
      </w:r>
      <w:r>
        <w:rPr/>
        <w:t>Western Unlimited Ltd</w:t>
      </w:r>
    </w:p>
    <w:p>
      <w:pPr>
        <w:pStyle w:val="Heading3"/>
        <w:spacing w:line="322" w:lineRule="exact" w:before="0"/>
        <w:ind w:right="71"/>
      </w:pPr>
      <w:r>
        <w:rPr/>
        <w:t>(formerly uwsconnect Limited)</w:t>
      </w:r>
    </w:p>
    <w:p>
      <w:pPr>
        <w:spacing w:before="230"/>
        <w:ind w:left="107" w:right="71" w:firstLine="0"/>
        <w:jc w:val="left"/>
        <w:rPr>
          <w:b/>
          <w:sz w:val="20"/>
        </w:rPr>
      </w:pPr>
      <w:r>
        <w:rPr>
          <w:b/>
          <w:sz w:val="20"/>
        </w:rPr>
        <w:t>ABN 45 107 759 197</w:t>
      </w:r>
    </w:p>
    <w:p>
      <w:pPr>
        <w:pStyle w:val="BodyText"/>
        <w:rPr>
          <w:b/>
          <w:sz w:val="20"/>
        </w:rPr>
      </w:pPr>
    </w:p>
    <w:p>
      <w:pPr>
        <w:pStyle w:val="BodyText"/>
        <w:rPr>
          <w:b/>
          <w:sz w:val="20"/>
        </w:rPr>
      </w:pPr>
    </w:p>
    <w:p>
      <w:pPr>
        <w:pStyle w:val="BodyText"/>
        <w:spacing w:before="10"/>
        <w:rPr>
          <w:b/>
          <w:sz w:val="15"/>
        </w:rPr>
      </w:pPr>
    </w:p>
    <w:p>
      <w:pPr>
        <w:spacing w:before="0"/>
        <w:ind w:left="107" w:right="71" w:firstLine="0"/>
        <w:jc w:val="left"/>
        <w:rPr>
          <w:b/>
          <w:sz w:val="28"/>
        </w:rPr>
      </w:pPr>
      <w:r>
        <w:rPr>
          <w:b/>
          <w:sz w:val="28"/>
        </w:rPr>
        <w:t>Financial Statements</w:t>
      </w:r>
    </w:p>
    <w:p>
      <w:pPr>
        <w:spacing w:before="230"/>
        <w:ind w:left="107" w:right="71" w:firstLine="0"/>
        <w:jc w:val="left"/>
        <w:rPr>
          <w:b/>
          <w:sz w:val="20"/>
        </w:rPr>
      </w:pPr>
      <w:r>
        <w:rPr>
          <w:b/>
          <w:sz w:val="20"/>
        </w:rPr>
        <w:t>For the Year Ended 31 December 2017</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0"/>
        </w:rPr>
      </w:pPr>
    </w:p>
    <w:p>
      <w:pPr>
        <w:spacing w:before="0"/>
        <w:ind w:left="107" w:right="71" w:firstLine="0"/>
        <w:jc w:val="left"/>
        <w:rPr>
          <w:sz w:val="20"/>
        </w:rPr>
      </w:pPr>
      <w:r>
        <w:rPr>
          <w:sz w:val="20"/>
        </w:rPr>
        <w:t>These financial statements are the individual entity statements of Western Unlimited Ltd (the Company). The financial statements are presented in the Australian currency.</w:t>
      </w:r>
    </w:p>
    <w:p>
      <w:pPr>
        <w:pStyle w:val="BodyText"/>
        <w:spacing w:before="10"/>
        <w:rPr>
          <w:sz w:val="24"/>
        </w:rPr>
      </w:pPr>
    </w:p>
    <w:p>
      <w:pPr>
        <w:spacing w:line="297" w:lineRule="auto" w:before="0"/>
        <w:ind w:left="787" w:right="71" w:hanging="680"/>
        <w:jc w:val="left"/>
        <w:rPr>
          <w:sz w:val="20"/>
        </w:rPr>
      </w:pPr>
      <w:r>
        <w:rPr>
          <w:sz w:val="20"/>
        </w:rPr>
        <w:t>The Company is limited by guarantee, incorporated and domiciled in Australia. Its registered office is: Western Sydney University</w:t>
      </w:r>
    </w:p>
    <w:p>
      <w:pPr>
        <w:spacing w:line="297" w:lineRule="auto" w:before="2"/>
        <w:ind w:left="787" w:right="6900" w:firstLine="0"/>
        <w:jc w:val="left"/>
        <w:rPr>
          <w:sz w:val="20"/>
        </w:rPr>
      </w:pPr>
      <w:r>
        <w:rPr>
          <w:sz w:val="20"/>
        </w:rPr>
        <w:t>Great Western Highway Werrington NSW 2747</w:t>
      </w:r>
    </w:p>
    <w:p>
      <w:pPr>
        <w:pStyle w:val="BodyText"/>
        <w:rPr>
          <w:sz w:val="25"/>
        </w:rPr>
      </w:pPr>
    </w:p>
    <w:p>
      <w:pPr>
        <w:spacing w:before="0"/>
        <w:ind w:left="107" w:right="149" w:firstLine="0"/>
        <w:jc w:val="left"/>
        <w:rPr>
          <w:sz w:val="20"/>
        </w:rPr>
      </w:pPr>
      <w:r>
        <w:rPr>
          <w:sz w:val="20"/>
        </w:rPr>
        <w:t>The financial statements were authorised for issue by the directors on 15 March 2018. The directors have the power to amend and reissue the financial statements.</w:t>
      </w:r>
    </w:p>
    <w:p>
      <w:pPr>
        <w:spacing w:after="0"/>
        <w:jc w:val="left"/>
        <w:rPr>
          <w:sz w:val="20"/>
        </w:rPr>
        <w:sectPr>
          <w:headerReference w:type="default" r:id="rId76"/>
          <w:footerReference w:type="default" r:id="rId77"/>
          <w:pgSz w:w="11910" w:h="16840"/>
          <w:pgMar w:header="0" w:footer="460" w:top="1600" w:bottom="640" w:left="900" w:right="1180"/>
          <w:pgNumType w:start="141"/>
        </w:sectPr>
      </w:pPr>
    </w:p>
    <w:p>
      <w:pPr>
        <w:pStyle w:val="BodyText"/>
        <w:rPr>
          <w:sz w:val="20"/>
        </w:rPr>
      </w:pPr>
      <w:r>
        <w:rPr/>
        <w:pict>
          <v:line style="position:absolute;mso-position-horizontal-relative:page;mso-position-vertical-relative:page;z-index:3208" from="589.240784pt,830.8405pt" to="589.240784pt,5.039761pt" stroked="true" strokeweight="1.439806pt" strokecolor="#cccccc">
            <w10:wrap type="none"/>
          </v:line>
        </w:pict>
      </w:r>
    </w:p>
    <w:p>
      <w:pPr>
        <w:pStyle w:val="BodyText"/>
        <w:rPr>
          <w:sz w:val="20"/>
        </w:rPr>
      </w:pPr>
    </w:p>
    <w:p>
      <w:pPr>
        <w:pStyle w:val="BodyText"/>
        <w:spacing w:before="4"/>
        <w:rPr>
          <w:sz w:val="14"/>
        </w:rPr>
      </w:pPr>
    </w:p>
    <w:p>
      <w:pPr>
        <w:pStyle w:val="BodyText"/>
        <w:ind w:left="4065"/>
        <w:rPr>
          <w:sz w:val="20"/>
        </w:rPr>
      </w:pPr>
      <w:r>
        <w:rPr>
          <w:sz w:val="20"/>
        </w:rPr>
        <w:drawing>
          <wp:inline distT="0" distB="0" distL="0" distR="0">
            <wp:extent cx="1001268" cy="1060703"/>
            <wp:effectExtent l="0" t="0" r="0" b="0"/>
            <wp:docPr id="27" name="image21.jpeg" descr=""/>
            <wp:cNvGraphicFramePr>
              <a:graphicFrameLocks noChangeAspect="1"/>
            </wp:cNvGraphicFramePr>
            <a:graphic>
              <a:graphicData uri="http://schemas.openxmlformats.org/drawingml/2006/picture">
                <pic:pic>
                  <pic:nvPicPr>
                    <pic:cNvPr id="28" name="image21.jpeg"/>
                    <pic:cNvPicPr/>
                  </pic:nvPicPr>
                  <pic:blipFill>
                    <a:blip r:embed="rId80" cstate="print"/>
                    <a:stretch>
                      <a:fillRect/>
                    </a:stretch>
                  </pic:blipFill>
                  <pic:spPr>
                    <a:xfrm>
                      <a:off x="0" y="0"/>
                      <a:ext cx="1001268" cy="1060703"/>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8"/>
        <w:ind w:left="335" w:right="1513"/>
      </w:pPr>
      <w:r>
        <w:rPr>
          <w:color w:val="111111"/>
        </w:rPr>
        <w:t>To  the Dir</w:t>
      </w:r>
      <w:r>
        <w:rPr>
          <w:color w:val="383838"/>
        </w:rPr>
        <w:t>ecto</w:t>
      </w:r>
      <w:r>
        <w:rPr>
          <w:color w:val="111111"/>
        </w:rPr>
        <w:t>rs</w:t>
      </w:r>
    </w:p>
    <w:p>
      <w:pPr>
        <w:pStyle w:val="BodyText"/>
        <w:spacing w:before="1"/>
        <w:rPr>
          <w:sz w:val="10"/>
        </w:rPr>
      </w:pPr>
    </w:p>
    <w:p>
      <w:pPr>
        <w:spacing w:before="76"/>
        <w:ind w:left="335" w:right="1513" w:firstLine="0"/>
        <w:jc w:val="left"/>
        <w:rPr>
          <w:sz w:val="19"/>
        </w:rPr>
      </w:pPr>
      <w:r>
        <w:rPr>
          <w:color w:val="262626"/>
          <w:w w:val="105"/>
          <w:sz w:val="19"/>
        </w:rPr>
        <w:t>Western </w:t>
      </w:r>
      <w:r>
        <w:rPr>
          <w:color w:val="111111"/>
          <w:w w:val="105"/>
          <w:sz w:val="19"/>
        </w:rPr>
        <w:t>Unlimited Ltd </w:t>
      </w:r>
      <w:r>
        <w:rPr>
          <w:color w:val="262626"/>
          <w:w w:val="105"/>
          <w:sz w:val="19"/>
        </w:rPr>
        <w:t>(formerly </w:t>
      </w:r>
      <w:r>
        <w:rPr>
          <w:color w:val="111111"/>
          <w:w w:val="105"/>
          <w:sz w:val="19"/>
        </w:rPr>
        <w:t>uwsconn</w:t>
      </w:r>
      <w:r>
        <w:rPr>
          <w:color w:val="383838"/>
          <w:w w:val="105"/>
          <w:sz w:val="19"/>
        </w:rPr>
        <w:t>ec</w:t>
      </w:r>
      <w:r>
        <w:rPr>
          <w:color w:val="111111"/>
          <w:w w:val="105"/>
          <w:sz w:val="19"/>
        </w:rPr>
        <w:t>t Limited)</w:t>
      </w:r>
    </w:p>
    <w:p>
      <w:pPr>
        <w:pStyle w:val="BodyText"/>
      </w:pPr>
    </w:p>
    <w:p>
      <w:pPr>
        <w:pStyle w:val="BodyText"/>
      </w:pPr>
    </w:p>
    <w:p>
      <w:pPr>
        <w:pStyle w:val="BodyText"/>
        <w:spacing w:before="9"/>
        <w:rPr>
          <w:sz w:val="15"/>
        </w:rPr>
      </w:pPr>
    </w:p>
    <w:p>
      <w:pPr>
        <w:spacing w:before="0"/>
        <w:ind w:left="2787" w:right="4040" w:firstLine="0"/>
        <w:jc w:val="center"/>
        <w:rPr>
          <w:b/>
          <w:sz w:val="22"/>
        </w:rPr>
      </w:pPr>
      <w:r>
        <w:rPr>
          <w:b/>
          <w:color w:val="111111"/>
          <w:w w:val="105"/>
          <w:sz w:val="22"/>
        </w:rPr>
        <w:t>Auditor's lndep1endence Declaration</w:t>
      </w:r>
    </w:p>
    <w:p>
      <w:pPr>
        <w:pStyle w:val="BodyText"/>
        <w:rPr>
          <w:b/>
          <w:sz w:val="22"/>
        </w:rPr>
      </w:pPr>
    </w:p>
    <w:p>
      <w:pPr>
        <w:pStyle w:val="BodyText"/>
        <w:spacing w:before="5"/>
        <w:rPr>
          <w:b/>
          <w:sz w:val="30"/>
        </w:rPr>
      </w:pPr>
    </w:p>
    <w:p>
      <w:pPr>
        <w:spacing w:line="264" w:lineRule="auto" w:before="0"/>
        <w:ind w:left="335" w:right="1513" w:hanging="15"/>
        <w:jc w:val="left"/>
        <w:rPr>
          <w:sz w:val="19"/>
        </w:rPr>
      </w:pPr>
      <w:r>
        <w:rPr>
          <w:color w:val="262626"/>
          <w:w w:val="105"/>
          <w:sz w:val="19"/>
        </w:rPr>
        <w:t>As auditor </w:t>
      </w:r>
      <w:r>
        <w:rPr>
          <w:color w:val="111111"/>
          <w:spacing w:val="2"/>
          <w:w w:val="105"/>
          <w:sz w:val="19"/>
        </w:rPr>
        <w:t>f</w:t>
      </w:r>
      <w:r>
        <w:rPr>
          <w:color w:val="383838"/>
          <w:spacing w:val="2"/>
          <w:w w:val="105"/>
          <w:sz w:val="19"/>
        </w:rPr>
        <w:t>o</w:t>
      </w:r>
      <w:r>
        <w:rPr>
          <w:color w:val="111111"/>
          <w:spacing w:val="2"/>
          <w:w w:val="105"/>
          <w:sz w:val="19"/>
        </w:rPr>
        <w:t>r </w:t>
      </w:r>
      <w:r>
        <w:rPr>
          <w:color w:val="111111"/>
          <w:w w:val="105"/>
          <w:sz w:val="19"/>
        </w:rPr>
        <w:t>the </w:t>
      </w:r>
      <w:r>
        <w:rPr>
          <w:color w:val="262626"/>
          <w:w w:val="105"/>
          <w:sz w:val="19"/>
        </w:rPr>
        <w:t>audit of </w:t>
      </w:r>
      <w:r>
        <w:rPr>
          <w:color w:val="111111"/>
          <w:w w:val="105"/>
          <w:sz w:val="19"/>
        </w:rPr>
        <w:t>the financial </w:t>
      </w:r>
      <w:r>
        <w:rPr>
          <w:color w:val="262626"/>
          <w:w w:val="105"/>
          <w:sz w:val="19"/>
        </w:rPr>
        <w:t>statements of </w:t>
      </w:r>
      <w:r>
        <w:rPr>
          <w:color w:val="111111"/>
          <w:w w:val="105"/>
          <w:sz w:val="19"/>
        </w:rPr>
        <w:t>Western </w:t>
      </w:r>
      <w:r>
        <w:rPr>
          <w:color w:val="111111"/>
          <w:spacing w:val="-4"/>
          <w:w w:val="105"/>
          <w:sz w:val="19"/>
        </w:rPr>
        <w:t>Unlimited </w:t>
      </w:r>
      <w:r>
        <w:rPr>
          <w:color w:val="111111"/>
          <w:w w:val="105"/>
          <w:sz w:val="19"/>
        </w:rPr>
        <w:t>Ltd f</w:t>
      </w:r>
      <w:r>
        <w:rPr>
          <w:color w:val="383838"/>
          <w:w w:val="105"/>
          <w:sz w:val="19"/>
        </w:rPr>
        <w:t>or </w:t>
      </w:r>
      <w:r>
        <w:rPr>
          <w:color w:val="262626"/>
          <w:w w:val="105"/>
          <w:sz w:val="19"/>
        </w:rPr>
        <w:t>the year ended 31 December</w:t>
      </w:r>
      <w:r>
        <w:rPr>
          <w:color w:val="262626"/>
          <w:spacing w:val="-3"/>
          <w:w w:val="105"/>
          <w:sz w:val="19"/>
        </w:rPr>
        <w:t> </w:t>
      </w:r>
      <w:r>
        <w:rPr>
          <w:color w:val="262626"/>
          <w:w w:val="105"/>
          <w:sz w:val="19"/>
        </w:rPr>
        <w:t>2017,</w:t>
      </w:r>
      <w:r>
        <w:rPr>
          <w:color w:val="262626"/>
          <w:spacing w:val="-1"/>
          <w:w w:val="105"/>
          <w:sz w:val="19"/>
        </w:rPr>
        <w:t> </w:t>
      </w:r>
      <w:r>
        <w:rPr>
          <w:color w:val="111111"/>
          <w:w w:val="105"/>
          <w:sz w:val="19"/>
        </w:rPr>
        <w:t>I</w:t>
      </w:r>
      <w:r>
        <w:rPr>
          <w:color w:val="111111"/>
          <w:spacing w:val="-22"/>
          <w:w w:val="105"/>
          <w:sz w:val="19"/>
        </w:rPr>
        <w:t> </w:t>
      </w:r>
      <w:r>
        <w:rPr>
          <w:color w:val="262626"/>
          <w:w w:val="105"/>
          <w:sz w:val="19"/>
        </w:rPr>
        <w:t>declare</w:t>
      </w:r>
      <w:r>
        <w:rPr>
          <w:color w:val="262626"/>
          <w:spacing w:val="-32"/>
          <w:w w:val="105"/>
          <w:sz w:val="19"/>
        </w:rPr>
        <w:t> </w:t>
      </w:r>
      <w:r>
        <w:rPr>
          <w:color w:val="4D4D4D"/>
          <w:w w:val="105"/>
          <w:sz w:val="19"/>
        </w:rPr>
        <w:t>,</w:t>
      </w:r>
      <w:r>
        <w:rPr>
          <w:color w:val="4D4D4D"/>
          <w:spacing w:val="-15"/>
          <w:w w:val="105"/>
          <w:sz w:val="19"/>
        </w:rPr>
        <w:t> </w:t>
      </w:r>
      <w:r>
        <w:rPr>
          <w:color w:val="111111"/>
          <w:w w:val="105"/>
          <w:sz w:val="19"/>
        </w:rPr>
        <w:t>to</w:t>
      </w:r>
      <w:r>
        <w:rPr>
          <w:color w:val="111111"/>
          <w:spacing w:val="-4"/>
          <w:w w:val="105"/>
          <w:sz w:val="19"/>
        </w:rPr>
        <w:t> </w:t>
      </w:r>
      <w:r>
        <w:rPr>
          <w:color w:val="111111"/>
          <w:w w:val="105"/>
          <w:sz w:val="19"/>
        </w:rPr>
        <w:t>the</w:t>
      </w:r>
      <w:r>
        <w:rPr>
          <w:color w:val="111111"/>
          <w:spacing w:val="4"/>
          <w:w w:val="105"/>
          <w:sz w:val="19"/>
        </w:rPr>
        <w:t> </w:t>
      </w:r>
      <w:r>
        <w:rPr>
          <w:color w:val="262626"/>
          <w:w w:val="105"/>
          <w:sz w:val="19"/>
        </w:rPr>
        <w:t>best</w:t>
      </w:r>
      <w:r>
        <w:rPr>
          <w:color w:val="262626"/>
          <w:spacing w:val="-10"/>
          <w:w w:val="105"/>
          <w:sz w:val="19"/>
        </w:rPr>
        <w:t> </w:t>
      </w:r>
      <w:r>
        <w:rPr>
          <w:color w:val="383838"/>
          <w:w w:val="105"/>
          <w:sz w:val="19"/>
        </w:rPr>
        <w:t>of</w:t>
      </w:r>
      <w:r>
        <w:rPr>
          <w:color w:val="383838"/>
          <w:spacing w:val="-1"/>
          <w:w w:val="105"/>
          <w:sz w:val="19"/>
        </w:rPr>
        <w:t> </w:t>
      </w:r>
      <w:r>
        <w:rPr>
          <w:color w:val="262626"/>
          <w:w w:val="105"/>
          <w:sz w:val="19"/>
        </w:rPr>
        <w:t>my</w:t>
      </w:r>
      <w:r>
        <w:rPr>
          <w:color w:val="262626"/>
          <w:spacing w:val="1"/>
          <w:w w:val="105"/>
          <w:sz w:val="19"/>
        </w:rPr>
        <w:t> </w:t>
      </w:r>
      <w:r>
        <w:rPr>
          <w:color w:val="262626"/>
          <w:w w:val="105"/>
          <w:sz w:val="19"/>
        </w:rPr>
        <w:t>knowledge</w:t>
      </w:r>
      <w:r>
        <w:rPr>
          <w:color w:val="262626"/>
          <w:spacing w:val="1"/>
          <w:w w:val="105"/>
          <w:sz w:val="19"/>
        </w:rPr>
        <w:t> </w:t>
      </w:r>
      <w:r>
        <w:rPr>
          <w:color w:val="383838"/>
          <w:w w:val="105"/>
          <w:sz w:val="19"/>
        </w:rPr>
        <w:t>a</w:t>
      </w:r>
      <w:r>
        <w:rPr>
          <w:color w:val="111111"/>
          <w:w w:val="105"/>
          <w:sz w:val="19"/>
        </w:rPr>
        <w:t>nd</w:t>
      </w:r>
      <w:r>
        <w:rPr>
          <w:color w:val="111111"/>
          <w:spacing w:val="-13"/>
          <w:w w:val="105"/>
          <w:sz w:val="19"/>
        </w:rPr>
        <w:t> </w:t>
      </w:r>
      <w:r>
        <w:rPr>
          <w:color w:val="262626"/>
          <w:w w:val="105"/>
          <w:sz w:val="19"/>
        </w:rPr>
        <w:t>belief,</w:t>
      </w:r>
      <w:r>
        <w:rPr>
          <w:color w:val="262626"/>
          <w:spacing w:val="1"/>
          <w:w w:val="105"/>
          <w:sz w:val="19"/>
        </w:rPr>
        <w:t> </w:t>
      </w:r>
      <w:r>
        <w:rPr>
          <w:color w:val="111111"/>
          <w:w w:val="105"/>
          <w:sz w:val="19"/>
        </w:rPr>
        <w:t>there</w:t>
      </w:r>
      <w:r>
        <w:rPr>
          <w:color w:val="111111"/>
          <w:spacing w:val="8"/>
          <w:w w:val="105"/>
          <w:sz w:val="19"/>
        </w:rPr>
        <w:t> </w:t>
      </w:r>
      <w:r>
        <w:rPr>
          <w:color w:val="262626"/>
          <w:w w:val="105"/>
          <w:sz w:val="19"/>
        </w:rPr>
        <w:t>have</w:t>
      </w:r>
      <w:r>
        <w:rPr>
          <w:color w:val="262626"/>
          <w:spacing w:val="-4"/>
          <w:w w:val="105"/>
          <w:sz w:val="19"/>
        </w:rPr>
        <w:t> </w:t>
      </w:r>
      <w:r>
        <w:rPr>
          <w:color w:val="262626"/>
          <w:w w:val="105"/>
          <w:sz w:val="19"/>
        </w:rPr>
        <w:t>been</w:t>
      </w:r>
      <w:r>
        <w:rPr>
          <w:color w:val="262626"/>
          <w:spacing w:val="-2"/>
          <w:w w:val="105"/>
          <w:sz w:val="19"/>
        </w:rPr>
        <w:t> </w:t>
      </w:r>
      <w:r>
        <w:rPr>
          <w:color w:val="262626"/>
          <w:w w:val="105"/>
          <w:sz w:val="19"/>
        </w:rPr>
        <w:t>no</w:t>
      </w:r>
      <w:r>
        <w:rPr>
          <w:color w:val="262626"/>
          <w:spacing w:val="-13"/>
          <w:w w:val="105"/>
          <w:sz w:val="19"/>
        </w:rPr>
        <w:t> </w:t>
      </w:r>
      <w:r>
        <w:rPr>
          <w:color w:val="262626"/>
          <w:w w:val="105"/>
          <w:sz w:val="19"/>
        </w:rPr>
        <w:t>cont</w:t>
      </w:r>
      <w:r>
        <w:rPr>
          <w:color w:val="5D5D5D"/>
          <w:w w:val="105"/>
          <w:sz w:val="19"/>
        </w:rPr>
        <w:t>r</w:t>
      </w:r>
      <w:r>
        <w:rPr>
          <w:color w:val="383838"/>
          <w:w w:val="105"/>
          <w:sz w:val="19"/>
        </w:rPr>
        <w:t>aven</w:t>
      </w:r>
      <w:r>
        <w:rPr>
          <w:color w:val="111111"/>
          <w:w w:val="105"/>
          <w:sz w:val="19"/>
        </w:rPr>
        <w:t>t</w:t>
      </w:r>
      <w:r>
        <w:rPr>
          <w:color w:val="5D5D5D"/>
          <w:w w:val="105"/>
          <w:sz w:val="19"/>
        </w:rPr>
        <w:t>i</w:t>
      </w:r>
      <w:r>
        <w:rPr>
          <w:color w:val="383838"/>
          <w:w w:val="105"/>
          <w:sz w:val="19"/>
        </w:rPr>
        <w:t>ons </w:t>
      </w:r>
      <w:r>
        <w:rPr>
          <w:color w:val="262626"/>
          <w:w w:val="105"/>
          <w:sz w:val="19"/>
        </w:rPr>
        <w:t>of any applicable code of </w:t>
      </w:r>
      <w:r>
        <w:rPr>
          <w:color w:val="111111"/>
          <w:w w:val="105"/>
          <w:sz w:val="19"/>
        </w:rPr>
        <w:t>professional </w:t>
      </w:r>
      <w:r>
        <w:rPr>
          <w:color w:val="262626"/>
          <w:w w:val="105"/>
          <w:sz w:val="19"/>
        </w:rPr>
        <w:t>conduct </w:t>
      </w:r>
      <w:r>
        <w:rPr>
          <w:color w:val="111111"/>
          <w:w w:val="105"/>
          <w:sz w:val="19"/>
        </w:rPr>
        <w:t>in relation to the</w:t>
      </w:r>
      <w:r>
        <w:rPr>
          <w:color w:val="111111"/>
          <w:spacing w:val="-27"/>
          <w:w w:val="105"/>
          <w:sz w:val="19"/>
        </w:rPr>
        <w:t> </w:t>
      </w:r>
      <w:r>
        <w:rPr>
          <w:color w:val="262626"/>
          <w:w w:val="105"/>
          <w:sz w:val="19"/>
        </w:rPr>
        <w:t>audit.</w:t>
      </w:r>
    </w:p>
    <w:p>
      <w:pPr>
        <w:pStyle w:val="BodyText"/>
        <w:rPr>
          <w:sz w:val="20"/>
        </w:rPr>
      </w:pPr>
    </w:p>
    <w:p>
      <w:pPr>
        <w:pStyle w:val="BodyText"/>
        <w:rPr>
          <w:sz w:val="20"/>
        </w:rPr>
      </w:pPr>
    </w:p>
    <w:p>
      <w:pPr>
        <w:pStyle w:val="BodyText"/>
        <w:rPr>
          <w:sz w:val="20"/>
        </w:rPr>
      </w:pPr>
    </w:p>
    <w:p>
      <w:pPr>
        <w:pStyle w:val="BodyText"/>
        <w:spacing w:before="2"/>
        <w:rPr>
          <w:sz w:val="15"/>
        </w:rPr>
      </w:pPr>
      <w:r>
        <w:rPr/>
        <w:drawing>
          <wp:anchor distT="0" distB="0" distL="0" distR="0" allowOverlap="1" layoutInCell="1" locked="0" behindDoc="0" simplePos="0" relativeHeight="3160">
            <wp:simplePos x="0" y="0"/>
            <wp:positionH relativeFrom="page">
              <wp:posOffset>864108</wp:posOffset>
            </wp:positionH>
            <wp:positionV relativeFrom="paragraph">
              <wp:posOffset>135670</wp:posOffset>
            </wp:positionV>
            <wp:extent cx="1792223" cy="192024"/>
            <wp:effectExtent l="0" t="0" r="0" b="0"/>
            <wp:wrapTopAndBottom/>
            <wp:docPr id="29" name="image22.jpeg" descr=""/>
            <wp:cNvGraphicFramePr>
              <a:graphicFrameLocks noChangeAspect="1"/>
            </wp:cNvGraphicFramePr>
            <a:graphic>
              <a:graphicData uri="http://schemas.openxmlformats.org/drawingml/2006/picture">
                <pic:pic>
                  <pic:nvPicPr>
                    <pic:cNvPr id="30" name="image22.jpeg"/>
                    <pic:cNvPicPr/>
                  </pic:nvPicPr>
                  <pic:blipFill>
                    <a:blip r:embed="rId81" cstate="print"/>
                    <a:stretch>
                      <a:fillRect/>
                    </a:stretch>
                  </pic:blipFill>
                  <pic:spPr>
                    <a:xfrm>
                      <a:off x="0" y="0"/>
                      <a:ext cx="1792223" cy="192024"/>
                    </a:xfrm>
                    <a:prstGeom prst="rect">
                      <a:avLst/>
                    </a:prstGeom>
                  </pic:spPr>
                </pic:pic>
              </a:graphicData>
            </a:graphic>
          </wp:anchor>
        </w:drawing>
      </w:r>
    </w:p>
    <w:p>
      <w:pPr>
        <w:spacing w:line="261" w:lineRule="auto" w:before="145"/>
        <w:ind w:left="321" w:right="8452" w:firstLine="14"/>
        <w:jc w:val="left"/>
        <w:rPr>
          <w:sz w:val="19"/>
        </w:rPr>
      </w:pPr>
      <w:r>
        <w:rPr>
          <w:color w:val="111111"/>
          <w:w w:val="105"/>
          <w:sz w:val="19"/>
        </w:rPr>
        <w:t>Marg</w:t>
      </w:r>
      <w:r>
        <w:rPr>
          <w:color w:val="383838"/>
          <w:w w:val="105"/>
          <w:sz w:val="19"/>
        </w:rPr>
        <w:t>aret </w:t>
      </w:r>
      <w:r>
        <w:rPr>
          <w:color w:val="262626"/>
          <w:w w:val="105"/>
          <w:sz w:val="19"/>
        </w:rPr>
        <w:t>Crawford Auditor</w:t>
      </w:r>
      <w:r>
        <w:rPr>
          <w:color w:val="4D4D4D"/>
          <w:w w:val="105"/>
          <w:sz w:val="19"/>
        </w:rPr>
        <w:t>-</w:t>
      </w:r>
      <w:r>
        <w:rPr>
          <w:color w:val="262626"/>
          <w:w w:val="105"/>
          <w:sz w:val="19"/>
        </w:rPr>
        <w:t>General of </w:t>
      </w:r>
      <w:r>
        <w:rPr>
          <w:color w:val="111111"/>
          <w:w w:val="105"/>
          <w:sz w:val="19"/>
        </w:rPr>
        <w:t>N</w:t>
      </w:r>
      <w:r>
        <w:rPr>
          <w:color w:val="383838"/>
          <w:w w:val="105"/>
          <w:sz w:val="19"/>
        </w:rPr>
        <w:t>SW</w:t>
      </w:r>
    </w:p>
    <w:p>
      <w:pPr>
        <w:pStyle w:val="BodyText"/>
      </w:pPr>
    </w:p>
    <w:p>
      <w:pPr>
        <w:pStyle w:val="BodyText"/>
        <w:spacing w:before="9"/>
        <w:rPr>
          <w:sz w:val="22"/>
        </w:rPr>
      </w:pPr>
    </w:p>
    <w:p>
      <w:pPr>
        <w:tabs>
          <w:tab w:pos="551" w:val="left" w:leader="none"/>
        </w:tabs>
        <w:spacing w:line="232" w:lineRule="auto" w:before="0"/>
        <w:ind w:left="335" w:right="9327" w:hanging="231"/>
        <w:jc w:val="left"/>
        <w:rPr>
          <w:sz w:val="19"/>
        </w:rPr>
      </w:pPr>
      <w:r>
        <w:rPr>
          <w:rFonts w:ascii="Times New Roman"/>
          <w:b/>
          <w:color w:val="070869"/>
          <w:w w:val="85"/>
          <w:sz w:val="33"/>
        </w:rPr>
        <w:t>\</w:t>
      </w:r>
      <w:r>
        <w:rPr>
          <w:rFonts w:ascii="Times New Roman"/>
          <w:b/>
          <w:color w:val="070869"/>
          <w:spacing w:val="-60"/>
          <w:w w:val="85"/>
          <w:sz w:val="33"/>
        </w:rPr>
        <w:t> </w:t>
      </w:r>
      <w:r>
        <w:rPr>
          <w:rFonts w:ascii="Times New Roman"/>
          <w:b/>
          <w:color w:val="070869"/>
          <w:w w:val="85"/>
          <w:sz w:val="33"/>
        </w:rPr>
        <w:t>Di</w:t>
        <w:tab/>
      </w:r>
      <w:r>
        <w:rPr>
          <w:color w:val="111111"/>
          <w:sz w:val="19"/>
        </w:rPr>
        <w:t>Mar</w:t>
      </w:r>
      <w:r>
        <w:rPr>
          <w:color w:val="383838"/>
          <w:sz w:val="19"/>
        </w:rPr>
        <w:t>c</w:t>
      </w:r>
      <w:r>
        <w:rPr>
          <w:color w:val="111111"/>
          <w:sz w:val="19"/>
        </w:rPr>
        <w:t>h </w:t>
      </w:r>
      <w:r>
        <w:rPr>
          <w:color w:val="111111"/>
          <w:spacing w:val="1"/>
          <w:sz w:val="19"/>
        </w:rPr>
        <w:t> </w:t>
      </w:r>
      <w:r>
        <w:rPr>
          <w:color w:val="111111"/>
          <w:sz w:val="19"/>
        </w:rPr>
        <w:t>2018</w:t>
      </w:r>
      <w:r>
        <w:rPr>
          <w:color w:val="111111"/>
          <w:w w:val="103"/>
          <w:sz w:val="19"/>
        </w:rPr>
        <w:t> </w:t>
      </w:r>
      <w:r>
        <w:rPr>
          <w:color w:val="262626"/>
          <w:sz w:val="19"/>
        </w:rPr>
        <w:t>SYDNEY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r>
        <w:rPr/>
        <w:pict>
          <v:line style="position:absolute;mso-position-horizontal-relative:page;mso-position-vertical-relative:paragraph;z-index:3184;mso-wrap-distance-left:0;mso-wrap-distance-right:0" from="127.062897pt,11.239017pt" to="516.530597pt,11.239017pt" stroked="true" strokeweight=".359952pt" strokecolor="#838383">
            <w10:wrap type="topAndBottom"/>
          </v:line>
        </w:pict>
      </w:r>
    </w:p>
    <w:p>
      <w:pPr>
        <w:spacing w:before="88"/>
        <w:ind w:left="343" w:right="1513" w:firstLine="0"/>
        <w:jc w:val="left"/>
        <w:rPr>
          <w:sz w:val="11"/>
        </w:rPr>
      </w:pPr>
      <w:r>
        <w:rPr>
          <w:color w:val="262626"/>
          <w:spacing w:val="-15"/>
          <w:w w:val="129"/>
          <w:sz w:val="11"/>
        </w:rPr>
        <w:t>L</w:t>
      </w:r>
      <w:r>
        <w:rPr>
          <w:color w:val="4D4D4D"/>
          <w:w w:val="120"/>
          <w:sz w:val="11"/>
        </w:rPr>
        <w:t>e</w:t>
      </w:r>
      <w:r>
        <w:rPr>
          <w:color w:val="4D4D4D"/>
          <w:spacing w:val="-4"/>
          <w:w w:val="120"/>
          <w:sz w:val="11"/>
        </w:rPr>
        <w:t>v</w:t>
      </w:r>
      <w:r>
        <w:rPr>
          <w:color w:val="6E6E6E"/>
          <w:spacing w:val="-10"/>
          <w:w w:val="120"/>
          <w:sz w:val="11"/>
        </w:rPr>
        <w:t>e</w:t>
      </w:r>
      <w:r>
        <w:rPr>
          <w:color w:val="262626"/>
          <w:w w:val="220"/>
          <w:sz w:val="11"/>
        </w:rPr>
        <w:t>l</w:t>
      </w:r>
      <w:r>
        <w:rPr>
          <w:color w:val="262626"/>
          <w:spacing w:val="-13"/>
          <w:sz w:val="11"/>
        </w:rPr>
        <w:t> </w:t>
      </w:r>
      <w:r>
        <w:rPr>
          <w:color w:val="111111"/>
          <w:spacing w:val="-18"/>
          <w:w w:val="121"/>
          <w:sz w:val="11"/>
        </w:rPr>
        <w:t>1</w:t>
      </w:r>
      <w:r>
        <w:rPr>
          <w:color w:val="5D5D5D"/>
          <w:w w:val="127"/>
          <w:sz w:val="11"/>
        </w:rPr>
        <w:t>5,</w:t>
      </w:r>
      <w:r>
        <w:rPr>
          <w:color w:val="5D5D5D"/>
          <w:spacing w:val="10"/>
          <w:sz w:val="11"/>
        </w:rPr>
        <w:t> </w:t>
      </w:r>
      <w:r>
        <w:rPr>
          <w:color w:val="262626"/>
          <w:w w:val="96"/>
          <w:sz w:val="11"/>
        </w:rPr>
        <w:t>1</w:t>
      </w:r>
      <w:r>
        <w:rPr>
          <w:color w:val="262626"/>
          <w:spacing w:val="-4"/>
          <w:sz w:val="11"/>
        </w:rPr>
        <w:t> </w:t>
      </w:r>
      <w:r>
        <w:rPr>
          <w:color w:val="262626"/>
          <w:spacing w:val="-6"/>
          <w:w w:val="131"/>
          <w:sz w:val="11"/>
        </w:rPr>
        <w:t>M</w:t>
      </w:r>
      <w:r>
        <w:rPr>
          <w:color w:val="6E6E6E"/>
          <w:spacing w:val="5"/>
          <w:w w:val="107"/>
          <w:sz w:val="11"/>
        </w:rPr>
        <w:t>a</w:t>
      </w:r>
      <w:r>
        <w:rPr>
          <w:color w:val="383838"/>
          <w:w w:val="118"/>
          <w:sz w:val="11"/>
        </w:rPr>
        <w:t>r</w:t>
      </w:r>
      <w:r>
        <w:rPr>
          <w:color w:val="383838"/>
          <w:spacing w:val="-2"/>
          <w:w w:val="118"/>
          <w:sz w:val="11"/>
        </w:rPr>
        <w:t>g</w:t>
      </w:r>
      <w:r>
        <w:rPr>
          <w:color w:val="5D5D5D"/>
          <w:spacing w:val="-9"/>
          <w:w w:val="107"/>
          <w:sz w:val="11"/>
        </w:rPr>
        <w:t>a</w:t>
      </w:r>
      <w:r>
        <w:rPr>
          <w:color w:val="383838"/>
          <w:spacing w:val="-7"/>
          <w:w w:val="136"/>
          <w:sz w:val="11"/>
        </w:rPr>
        <w:t>r</w:t>
      </w:r>
      <w:r>
        <w:rPr>
          <w:color w:val="5D5D5D"/>
          <w:spacing w:val="-2"/>
          <w:w w:val="120"/>
          <w:sz w:val="11"/>
        </w:rPr>
        <w:t>e</w:t>
      </w:r>
      <w:r>
        <w:rPr>
          <w:color w:val="383838"/>
          <w:w w:val="126"/>
          <w:sz w:val="11"/>
        </w:rPr>
        <w:t>t</w:t>
      </w:r>
      <w:r>
        <w:rPr>
          <w:color w:val="383838"/>
          <w:spacing w:val="2"/>
          <w:sz w:val="11"/>
        </w:rPr>
        <w:t> </w:t>
      </w:r>
      <w:r>
        <w:rPr>
          <w:color w:val="5D5D5D"/>
          <w:w w:val="115"/>
          <w:sz w:val="11"/>
        </w:rPr>
        <w:t>S</w:t>
      </w:r>
      <w:r>
        <w:rPr>
          <w:color w:val="5D5D5D"/>
          <w:spacing w:val="2"/>
          <w:w w:val="115"/>
          <w:sz w:val="11"/>
        </w:rPr>
        <w:t>t</w:t>
      </w:r>
      <w:r>
        <w:rPr>
          <w:color w:val="383838"/>
          <w:spacing w:val="-6"/>
          <w:w w:val="113"/>
          <w:sz w:val="11"/>
        </w:rPr>
        <w:t>r</w:t>
      </w:r>
      <w:r>
        <w:rPr>
          <w:color w:val="5D5D5D"/>
          <w:w w:val="114"/>
          <w:sz w:val="11"/>
        </w:rPr>
        <w:t>ee</w:t>
      </w:r>
      <w:r>
        <w:rPr>
          <w:color w:val="5D5D5D"/>
          <w:spacing w:val="11"/>
          <w:w w:val="114"/>
          <w:sz w:val="11"/>
        </w:rPr>
        <w:t>t</w:t>
      </w:r>
      <w:r>
        <w:rPr>
          <w:color w:val="383838"/>
          <w:w w:val="120"/>
          <w:sz w:val="11"/>
        </w:rPr>
        <w:t>,</w:t>
      </w:r>
      <w:r>
        <w:rPr>
          <w:color w:val="383838"/>
          <w:spacing w:val="-10"/>
          <w:sz w:val="11"/>
        </w:rPr>
        <w:t> </w:t>
      </w:r>
      <w:r>
        <w:rPr>
          <w:color w:val="5D5D5D"/>
          <w:spacing w:val="-13"/>
          <w:w w:val="124"/>
          <w:sz w:val="11"/>
        </w:rPr>
        <w:t>S</w:t>
      </w:r>
      <w:r>
        <w:rPr>
          <w:color w:val="383838"/>
          <w:spacing w:val="5"/>
          <w:w w:val="108"/>
          <w:sz w:val="11"/>
        </w:rPr>
        <w:t>y</w:t>
      </w:r>
      <w:r>
        <w:rPr>
          <w:color w:val="5D5D5D"/>
          <w:w w:val="116"/>
          <w:sz w:val="11"/>
        </w:rPr>
        <w:t>dn</w:t>
      </w:r>
      <w:r>
        <w:rPr>
          <w:color w:val="5D5D5D"/>
          <w:spacing w:val="1"/>
          <w:w w:val="116"/>
          <w:sz w:val="11"/>
        </w:rPr>
        <w:t>e</w:t>
      </w:r>
      <w:r>
        <w:rPr>
          <w:color w:val="383838"/>
          <w:w w:val="108"/>
          <w:sz w:val="11"/>
        </w:rPr>
        <w:t>y</w:t>
      </w:r>
      <w:r>
        <w:rPr>
          <w:color w:val="383838"/>
          <w:spacing w:val="10"/>
          <w:sz w:val="11"/>
        </w:rPr>
        <w:t> </w:t>
      </w:r>
      <w:r>
        <w:rPr>
          <w:color w:val="383838"/>
          <w:spacing w:val="-5"/>
          <w:w w:val="113"/>
          <w:sz w:val="11"/>
        </w:rPr>
        <w:t>N</w:t>
      </w:r>
      <w:r>
        <w:rPr>
          <w:color w:val="6E6E6E"/>
          <w:spacing w:val="-11"/>
          <w:w w:val="112"/>
          <w:sz w:val="11"/>
        </w:rPr>
        <w:t>S</w:t>
      </w:r>
      <w:r>
        <w:rPr>
          <w:color w:val="4D4D4D"/>
          <w:w w:val="111"/>
          <w:sz w:val="11"/>
        </w:rPr>
        <w:t>W</w:t>
      </w:r>
      <w:r>
        <w:rPr>
          <w:color w:val="4D4D4D"/>
          <w:spacing w:val="11"/>
          <w:sz w:val="11"/>
        </w:rPr>
        <w:t> </w:t>
      </w:r>
      <w:r>
        <w:rPr>
          <w:color w:val="4D4D4D"/>
          <w:w w:val="107"/>
          <w:sz w:val="11"/>
        </w:rPr>
        <w:t>2000</w:t>
      </w:r>
      <w:r>
        <w:rPr>
          <w:color w:val="4D4D4D"/>
          <w:sz w:val="11"/>
        </w:rPr>
        <w:t> </w:t>
      </w:r>
      <w:r>
        <w:rPr>
          <w:color w:val="4D4D4D"/>
          <w:spacing w:val="5"/>
          <w:sz w:val="11"/>
        </w:rPr>
        <w:t> </w:t>
      </w:r>
      <w:r>
        <w:rPr>
          <w:color w:val="838383"/>
          <w:w w:val="204"/>
          <w:sz w:val="11"/>
        </w:rPr>
        <w:t>I</w:t>
      </w:r>
      <w:r>
        <w:rPr>
          <w:color w:val="838383"/>
          <w:spacing w:val="7"/>
          <w:sz w:val="11"/>
        </w:rPr>
        <w:t> </w:t>
      </w:r>
      <w:r>
        <w:rPr>
          <w:color w:val="838383"/>
          <w:w w:val="102"/>
          <w:sz w:val="11"/>
        </w:rPr>
        <w:t>GPO</w:t>
      </w:r>
      <w:r>
        <w:rPr>
          <w:color w:val="838383"/>
          <w:spacing w:val="5"/>
          <w:sz w:val="11"/>
        </w:rPr>
        <w:t> </w:t>
      </w:r>
      <w:r>
        <w:rPr>
          <w:color w:val="6E6E6E"/>
          <w:w w:val="109"/>
          <w:sz w:val="11"/>
        </w:rPr>
        <w:t>Box</w:t>
      </w:r>
      <w:r>
        <w:rPr>
          <w:color w:val="6E6E6E"/>
          <w:sz w:val="11"/>
        </w:rPr>
        <w:t> </w:t>
      </w:r>
      <w:r>
        <w:rPr>
          <w:color w:val="6E6E6E"/>
          <w:spacing w:val="-11"/>
          <w:sz w:val="11"/>
        </w:rPr>
        <w:t> </w:t>
      </w:r>
      <w:r>
        <w:rPr>
          <w:color w:val="5D5D5D"/>
          <w:spacing w:val="-9"/>
          <w:w w:val="96"/>
          <w:sz w:val="11"/>
        </w:rPr>
        <w:t>1</w:t>
      </w:r>
      <w:r>
        <w:rPr>
          <w:color w:val="838383"/>
          <w:spacing w:val="-3"/>
          <w:w w:val="121"/>
          <w:sz w:val="11"/>
        </w:rPr>
        <w:t>2</w:t>
      </w:r>
      <w:r>
        <w:rPr>
          <w:color w:val="5D5D5D"/>
          <w:spacing w:val="9"/>
          <w:w w:val="182"/>
          <w:sz w:val="11"/>
        </w:rPr>
        <w:t>,</w:t>
      </w:r>
      <w:r>
        <w:rPr>
          <w:color w:val="838383"/>
          <w:w w:val="107"/>
          <w:sz w:val="11"/>
        </w:rPr>
        <w:t>Sydn</w:t>
      </w:r>
      <w:r>
        <w:rPr>
          <w:color w:val="838383"/>
          <w:spacing w:val="-6"/>
          <w:w w:val="107"/>
          <w:sz w:val="11"/>
        </w:rPr>
        <w:t>e</w:t>
      </w:r>
      <w:r>
        <w:rPr>
          <w:color w:val="5D5D5D"/>
          <w:w w:val="108"/>
          <w:sz w:val="11"/>
        </w:rPr>
        <w:t>y</w:t>
      </w:r>
      <w:r>
        <w:rPr>
          <w:color w:val="5D5D5D"/>
          <w:spacing w:val="3"/>
          <w:sz w:val="11"/>
        </w:rPr>
        <w:t> </w:t>
      </w:r>
      <w:r>
        <w:rPr>
          <w:color w:val="5D5D5D"/>
          <w:spacing w:val="-12"/>
          <w:w w:val="113"/>
          <w:sz w:val="11"/>
        </w:rPr>
        <w:t>N</w:t>
      </w:r>
      <w:r>
        <w:rPr>
          <w:color w:val="838383"/>
          <w:w w:val="111"/>
          <w:sz w:val="11"/>
        </w:rPr>
        <w:t>SW</w:t>
      </w:r>
      <w:r>
        <w:rPr>
          <w:color w:val="838383"/>
          <w:spacing w:val="1"/>
          <w:sz w:val="11"/>
        </w:rPr>
        <w:t> </w:t>
      </w:r>
      <w:r>
        <w:rPr>
          <w:color w:val="838383"/>
          <w:w w:val="111"/>
          <w:sz w:val="11"/>
        </w:rPr>
        <w:t>2001</w:t>
      </w:r>
      <w:r>
        <w:rPr>
          <w:color w:val="838383"/>
          <w:sz w:val="11"/>
        </w:rPr>
        <w:t> </w:t>
      </w:r>
      <w:r>
        <w:rPr>
          <w:color w:val="838383"/>
          <w:spacing w:val="10"/>
          <w:sz w:val="11"/>
        </w:rPr>
        <w:t> </w:t>
      </w:r>
      <w:r>
        <w:rPr>
          <w:color w:val="383838"/>
          <w:w w:val="135"/>
          <w:sz w:val="11"/>
        </w:rPr>
        <w:t>I</w:t>
      </w:r>
      <w:r>
        <w:rPr>
          <w:color w:val="383838"/>
          <w:sz w:val="11"/>
        </w:rPr>
        <w:t> </w:t>
      </w:r>
      <w:r>
        <w:rPr>
          <w:color w:val="383838"/>
          <w:spacing w:val="-9"/>
          <w:sz w:val="11"/>
        </w:rPr>
        <w:t> </w:t>
      </w:r>
      <w:r>
        <w:rPr>
          <w:rFonts w:ascii="Times New Roman"/>
          <w:color w:val="383838"/>
          <w:w w:val="92"/>
          <w:sz w:val="14"/>
        </w:rPr>
        <w:t>t</w:t>
      </w:r>
      <w:r>
        <w:rPr>
          <w:rFonts w:ascii="Times New Roman"/>
          <w:color w:val="383838"/>
          <w:spacing w:val="-7"/>
          <w:sz w:val="14"/>
        </w:rPr>
        <w:t> </w:t>
      </w:r>
      <w:r>
        <w:rPr>
          <w:color w:val="838383"/>
          <w:w w:val="126"/>
          <w:sz w:val="11"/>
        </w:rPr>
        <w:t>02</w:t>
      </w:r>
      <w:r>
        <w:rPr>
          <w:color w:val="838383"/>
          <w:spacing w:val="-14"/>
          <w:sz w:val="11"/>
        </w:rPr>
        <w:t> </w:t>
      </w:r>
      <w:r>
        <w:rPr>
          <w:color w:val="838383"/>
          <w:w w:val="113"/>
          <w:sz w:val="11"/>
        </w:rPr>
        <w:t>9275</w:t>
      </w:r>
      <w:r>
        <w:rPr>
          <w:color w:val="838383"/>
          <w:sz w:val="11"/>
        </w:rPr>
        <w:t> </w:t>
      </w:r>
      <w:r>
        <w:rPr>
          <w:color w:val="838383"/>
          <w:spacing w:val="11"/>
          <w:w w:val="110"/>
          <w:sz w:val="11"/>
        </w:rPr>
        <w:t>7</w:t>
      </w:r>
      <w:r>
        <w:rPr>
          <w:color w:val="4D4D4D"/>
          <w:spacing w:val="-9"/>
          <w:w w:val="96"/>
          <w:sz w:val="11"/>
        </w:rPr>
        <w:t>1</w:t>
      </w:r>
      <w:r>
        <w:rPr>
          <w:color w:val="6E6E6E"/>
          <w:w w:val="115"/>
          <w:sz w:val="11"/>
        </w:rPr>
        <w:t>01</w:t>
      </w:r>
      <w:r>
        <w:rPr>
          <w:color w:val="6E6E6E"/>
          <w:sz w:val="11"/>
        </w:rPr>
        <w:t> </w:t>
      </w:r>
      <w:r>
        <w:rPr>
          <w:color w:val="6E6E6E"/>
          <w:spacing w:val="5"/>
          <w:sz w:val="11"/>
        </w:rPr>
        <w:t> </w:t>
      </w:r>
      <w:r>
        <w:rPr>
          <w:color w:val="6E6E6E"/>
          <w:w w:val="204"/>
          <w:sz w:val="11"/>
        </w:rPr>
        <w:t>I</w:t>
      </w:r>
      <w:r>
        <w:rPr>
          <w:color w:val="6E6E6E"/>
          <w:spacing w:val="7"/>
          <w:sz w:val="11"/>
        </w:rPr>
        <w:t> </w:t>
      </w:r>
      <w:r>
        <w:rPr>
          <w:color w:val="383838"/>
          <w:w w:val="76"/>
          <w:sz w:val="12"/>
        </w:rPr>
        <w:t>f</w:t>
      </w:r>
      <w:r>
        <w:rPr>
          <w:color w:val="383838"/>
          <w:spacing w:val="5"/>
          <w:sz w:val="12"/>
        </w:rPr>
        <w:t> </w:t>
      </w:r>
      <w:r>
        <w:rPr>
          <w:color w:val="6E6E6E"/>
          <w:w w:val="119"/>
          <w:sz w:val="11"/>
        </w:rPr>
        <w:t>02</w:t>
      </w:r>
      <w:r>
        <w:rPr>
          <w:color w:val="6E6E6E"/>
          <w:spacing w:val="-12"/>
          <w:sz w:val="11"/>
        </w:rPr>
        <w:t> </w:t>
      </w:r>
      <w:r>
        <w:rPr>
          <w:color w:val="838383"/>
          <w:w w:val="113"/>
          <w:sz w:val="11"/>
        </w:rPr>
        <w:t>9275</w:t>
      </w:r>
      <w:r>
        <w:rPr>
          <w:color w:val="838383"/>
          <w:spacing w:val="7"/>
          <w:sz w:val="11"/>
        </w:rPr>
        <w:t> </w:t>
      </w:r>
      <w:r>
        <w:rPr>
          <w:color w:val="838383"/>
          <w:spacing w:val="12"/>
          <w:w w:val="96"/>
          <w:sz w:val="11"/>
        </w:rPr>
        <w:t>7</w:t>
      </w:r>
      <w:r>
        <w:rPr>
          <w:color w:val="262626"/>
          <w:spacing w:val="-2"/>
          <w:w w:val="96"/>
          <w:sz w:val="11"/>
        </w:rPr>
        <w:t>1</w:t>
      </w:r>
      <w:r>
        <w:rPr>
          <w:color w:val="838383"/>
          <w:w w:val="112"/>
          <w:sz w:val="11"/>
        </w:rPr>
        <w:t>79</w:t>
      </w:r>
      <w:r>
        <w:rPr>
          <w:color w:val="838383"/>
          <w:sz w:val="11"/>
        </w:rPr>
        <w:t> </w:t>
      </w:r>
      <w:r>
        <w:rPr>
          <w:color w:val="838383"/>
          <w:spacing w:val="9"/>
          <w:sz w:val="11"/>
        </w:rPr>
        <w:t> </w:t>
      </w:r>
      <w:r>
        <w:rPr>
          <w:color w:val="838383"/>
          <w:w w:val="204"/>
          <w:sz w:val="11"/>
        </w:rPr>
        <w:t>I</w:t>
      </w:r>
      <w:r>
        <w:rPr>
          <w:color w:val="838383"/>
          <w:sz w:val="11"/>
        </w:rPr>
        <w:t> </w:t>
      </w:r>
      <w:r>
        <w:rPr>
          <w:color w:val="838383"/>
          <w:w w:val="120"/>
          <w:sz w:val="11"/>
        </w:rPr>
        <w:t>e</w:t>
      </w:r>
      <w:r>
        <w:rPr>
          <w:color w:val="838383"/>
          <w:spacing w:val="-4"/>
          <w:sz w:val="11"/>
        </w:rPr>
        <w:t> </w:t>
      </w:r>
      <w:hyperlink r:id="rId82">
        <w:r>
          <w:rPr>
            <w:color w:val="838383"/>
            <w:w w:val="105"/>
            <w:sz w:val="11"/>
          </w:rPr>
          <w:t>ma</w:t>
        </w:r>
        <w:r>
          <w:rPr>
            <w:color w:val="838383"/>
            <w:spacing w:val="-8"/>
            <w:w w:val="105"/>
            <w:sz w:val="11"/>
          </w:rPr>
          <w:t>,</w:t>
        </w:r>
        <w:r>
          <w:rPr>
            <w:color w:val="5D5D5D"/>
            <w:spacing w:val="-15"/>
            <w:w w:val="146"/>
            <w:sz w:val="11"/>
          </w:rPr>
          <w:t>l</w:t>
        </w:r>
        <w:r>
          <w:rPr>
            <w:color w:val="838383"/>
            <w:w w:val="101"/>
            <w:sz w:val="11"/>
          </w:rPr>
          <w:t>@aud</w:t>
        </w:r>
        <w:r>
          <w:rPr>
            <w:color w:val="838383"/>
            <w:spacing w:val="-2"/>
            <w:w w:val="101"/>
            <w:sz w:val="11"/>
          </w:rPr>
          <w:t>i</w:t>
        </w:r>
        <w:r>
          <w:rPr>
            <w:color w:val="5D5D5D"/>
            <w:w w:val="147"/>
            <w:sz w:val="11"/>
          </w:rPr>
          <w:t>l</w:t>
        </w:r>
        <w:r>
          <w:rPr>
            <w:color w:val="5D5D5D"/>
            <w:spacing w:val="-17"/>
            <w:w w:val="147"/>
            <w:sz w:val="11"/>
          </w:rPr>
          <w:t>.</w:t>
        </w:r>
        <w:r>
          <w:rPr>
            <w:color w:val="9A9A9A"/>
            <w:w w:val="114"/>
            <w:sz w:val="11"/>
          </w:rPr>
          <w:t>n</w:t>
        </w:r>
        <w:r>
          <w:rPr>
            <w:color w:val="9A9A9A"/>
            <w:spacing w:val="-12"/>
            <w:w w:val="114"/>
            <w:sz w:val="11"/>
          </w:rPr>
          <w:t>s</w:t>
        </w:r>
        <w:r>
          <w:rPr>
            <w:color w:val="5D5D5D"/>
            <w:w w:val="112"/>
            <w:sz w:val="11"/>
          </w:rPr>
          <w:t>w</w:t>
        </w:r>
        <w:r>
          <w:rPr>
            <w:color w:val="5D5D5D"/>
            <w:spacing w:val="-9"/>
            <w:w w:val="112"/>
            <w:sz w:val="11"/>
          </w:rPr>
          <w:t>.</w:t>
        </w:r>
        <w:r>
          <w:rPr>
            <w:color w:val="838383"/>
            <w:w w:val="114"/>
            <w:sz w:val="11"/>
          </w:rPr>
          <w:t>go</w:t>
        </w:r>
        <w:r>
          <w:rPr>
            <w:color w:val="838383"/>
            <w:spacing w:val="-17"/>
            <w:w w:val="114"/>
            <w:sz w:val="11"/>
          </w:rPr>
          <w:t>v</w:t>
        </w:r>
        <w:r>
          <w:rPr>
            <w:color w:val="383838"/>
            <w:spacing w:val="-31"/>
            <w:w w:val="193"/>
            <w:sz w:val="11"/>
          </w:rPr>
          <w:t>.</w:t>
        </w:r>
      </w:hyperlink>
      <w:r>
        <w:rPr>
          <w:color w:val="838383"/>
          <w:w w:val="114"/>
          <w:sz w:val="11"/>
        </w:rPr>
        <w:t>au</w:t>
      </w:r>
      <w:r>
        <w:rPr>
          <w:color w:val="838383"/>
          <w:sz w:val="11"/>
        </w:rPr>
        <w:t> </w:t>
      </w:r>
      <w:r>
        <w:rPr>
          <w:color w:val="838383"/>
          <w:spacing w:val="-1"/>
          <w:sz w:val="11"/>
        </w:rPr>
        <w:t> </w:t>
      </w:r>
      <w:r>
        <w:rPr>
          <w:color w:val="6E6E6E"/>
          <w:w w:val="204"/>
          <w:sz w:val="11"/>
        </w:rPr>
        <w:t>I</w:t>
      </w:r>
      <w:r>
        <w:rPr>
          <w:color w:val="6E6E6E"/>
          <w:spacing w:val="-7"/>
          <w:sz w:val="11"/>
        </w:rPr>
        <w:t> </w:t>
      </w:r>
      <w:r>
        <w:rPr>
          <w:color w:val="5D5D5D"/>
          <w:spacing w:val="-2"/>
          <w:w w:val="120"/>
          <w:sz w:val="11"/>
        </w:rPr>
        <w:t>a</w:t>
      </w:r>
      <w:r>
        <w:rPr>
          <w:color w:val="262626"/>
          <w:spacing w:val="-4"/>
          <w:w w:val="122"/>
          <w:sz w:val="11"/>
        </w:rPr>
        <w:t>u</w:t>
      </w:r>
      <w:r>
        <w:rPr>
          <w:color w:val="4D4D4D"/>
          <w:w w:val="110"/>
          <w:sz w:val="11"/>
        </w:rPr>
        <w:t>dil.</w:t>
      </w:r>
      <w:r>
        <w:rPr>
          <w:color w:val="4D4D4D"/>
          <w:spacing w:val="6"/>
          <w:w w:val="110"/>
          <w:sz w:val="11"/>
        </w:rPr>
        <w:t>n</w:t>
      </w:r>
      <w:r>
        <w:rPr>
          <w:color w:val="838383"/>
          <w:spacing w:val="-8"/>
          <w:w w:val="119"/>
          <w:sz w:val="11"/>
        </w:rPr>
        <w:t>s</w:t>
      </w:r>
      <w:r>
        <w:rPr>
          <w:color w:val="5D5D5D"/>
          <w:w w:val="110"/>
          <w:sz w:val="11"/>
        </w:rPr>
        <w:t>w.go</w:t>
      </w:r>
      <w:r>
        <w:rPr>
          <w:color w:val="5D5D5D"/>
          <w:spacing w:val="-36"/>
          <w:w w:val="111"/>
          <w:sz w:val="11"/>
        </w:rPr>
        <w:t>v</w:t>
      </w:r>
      <w:r>
        <w:rPr>
          <w:color w:val="9A9A9A"/>
          <w:spacing w:val="-77"/>
          <w:w w:val="259"/>
          <w:sz w:val="11"/>
        </w:rPr>
        <w:t>.</w:t>
      </w:r>
      <w:r>
        <w:rPr>
          <w:color w:val="6E6E6E"/>
          <w:spacing w:val="-10"/>
          <w:w w:val="120"/>
          <w:sz w:val="11"/>
        </w:rPr>
        <w:t>a</w:t>
      </w:r>
      <w:r>
        <w:rPr>
          <w:color w:val="4D4D4D"/>
          <w:w w:val="153"/>
          <w:sz w:val="11"/>
        </w:rPr>
        <w:t>u</w:t>
      </w:r>
    </w:p>
    <w:p>
      <w:pPr>
        <w:spacing w:after="0"/>
        <w:jc w:val="left"/>
        <w:rPr>
          <w:sz w:val="11"/>
        </w:rPr>
        <w:sectPr>
          <w:headerReference w:type="default" r:id="rId78"/>
          <w:footerReference w:type="default" r:id="rId79"/>
          <w:pgSz w:w="11900" w:h="16840"/>
          <w:pgMar w:header="0" w:footer="460" w:top="80" w:bottom="640" w:left="960" w:right="0"/>
          <w:pgNumType w:start="142"/>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15"/>
        <w:gridCol w:w="1443"/>
        <w:gridCol w:w="1410"/>
        <w:gridCol w:w="1185"/>
      </w:tblGrid>
      <w:tr>
        <w:trPr>
          <w:trHeight w:val="911" w:hRule="exact"/>
        </w:trPr>
        <w:tc>
          <w:tcPr>
            <w:tcW w:w="5915" w:type="dxa"/>
          </w:tcPr>
          <w:p>
            <w:pPr>
              <w:pStyle w:val="TableParagraph"/>
              <w:spacing w:before="64"/>
              <w:ind w:left="35"/>
              <w:rPr>
                <w:b/>
                <w:sz w:val="28"/>
              </w:rPr>
            </w:pPr>
            <w:r>
              <w:rPr>
                <w:b/>
                <w:sz w:val="28"/>
              </w:rPr>
              <w:t>Statement of Comprehensive Income</w:t>
            </w:r>
          </w:p>
          <w:p>
            <w:pPr>
              <w:pStyle w:val="TableParagraph"/>
              <w:spacing w:before="57"/>
              <w:ind w:left="35"/>
              <w:rPr>
                <w:b/>
                <w:sz w:val="22"/>
              </w:rPr>
            </w:pPr>
            <w:r>
              <w:rPr>
                <w:b/>
                <w:sz w:val="22"/>
              </w:rPr>
              <w:t>For the Year Ended 31 December 2017</w:t>
            </w:r>
          </w:p>
        </w:tc>
        <w:tc>
          <w:tcPr>
            <w:tcW w:w="4037" w:type="dxa"/>
            <w:gridSpan w:val="3"/>
          </w:tcPr>
          <w:p>
            <w:pPr/>
          </w:p>
        </w:tc>
      </w:tr>
      <w:tr>
        <w:trPr>
          <w:trHeight w:val="447" w:hRule="exact"/>
        </w:trPr>
        <w:tc>
          <w:tcPr>
            <w:tcW w:w="5915" w:type="dxa"/>
          </w:tcPr>
          <w:p>
            <w:pPr/>
          </w:p>
        </w:tc>
        <w:tc>
          <w:tcPr>
            <w:tcW w:w="1443" w:type="dxa"/>
          </w:tcPr>
          <w:p>
            <w:pPr/>
          </w:p>
        </w:tc>
        <w:tc>
          <w:tcPr>
            <w:tcW w:w="1410" w:type="dxa"/>
          </w:tcPr>
          <w:p>
            <w:pPr>
              <w:pStyle w:val="TableParagraph"/>
              <w:spacing w:before="1"/>
              <w:rPr>
                <w:sz w:val="17"/>
              </w:rPr>
            </w:pPr>
          </w:p>
          <w:p>
            <w:pPr>
              <w:pStyle w:val="TableParagraph"/>
              <w:ind w:left="448"/>
              <w:rPr>
                <w:b/>
                <w:sz w:val="18"/>
              </w:rPr>
            </w:pPr>
            <w:r>
              <w:rPr>
                <w:b/>
                <w:sz w:val="18"/>
              </w:rPr>
              <w:t>2017</w:t>
            </w:r>
          </w:p>
        </w:tc>
        <w:tc>
          <w:tcPr>
            <w:tcW w:w="1185" w:type="dxa"/>
          </w:tcPr>
          <w:p>
            <w:pPr>
              <w:pStyle w:val="TableParagraph"/>
              <w:spacing w:before="1"/>
              <w:rPr>
                <w:sz w:val="17"/>
              </w:rPr>
            </w:pPr>
          </w:p>
          <w:p>
            <w:pPr>
              <w:pStyle w:val="TableParagraph"/>
              <w:ind w:left="336"/>
              <w:rPr>
                <w:b/>
                <w:sz w:val="18"/>
              </w:rPr>
            </w:pPr>
            <w:r>
              <w:rPr>
                <w:b/>
                <w:sz w:val="18"/>
              </w:rPr>
              <w:t>2016</w:t>
            </w:r>
          </w:p>
        </w:tc>
      </w:tr>
      <w:tr>
        <w:trPr>
          <w:trHeight w:val="313" w:hRule="exact"/>
        </w:trPr>
        <w:tc>
          <w:tcPr>
            <w:tcW w:w="5915" w:type="dxa"/>
          </w:tcPr>
          <w:p>
            <w:pPr/>
          </w:p>
        </w:tc>
        <w:tc>
          <w:tcPr>
            <w:tcW w:w="1443" w:type="dxa"/>
          </w:tcPr>
          <w:p>
            <w:pPr>
              <w:pStyle w:val="TableParagraph"/>
              <w:spacing w:before="24"/>
              <w:ind w:left="933" w:right="68"/>
              <w:jc w:val="center"/>
              <w:rPr>
                <w:b/>
                <w:sz w:val="18"/>
              </w:rPr>
            </w:pPr>
            <w:r>
              <w:rPr>
                <w:b/>
                <w:sz w:val="18"/>
              </w:rPr>
              <w:t>Note</w:t>
            </w:r>
          </w:p>
        </w:tc>
        <w:tc>
          <w:tcPr>
            <w:tcW w:w="1410" w:type="dxa"/>
          </w:tcPr>
          <w:p>
            <w:pPr>
              <w:pStyle w:val="TableParagraph"/>
              <w:spacing w:before="24"/>
              <w:ind w:right="110"/>
              <w:jc w:val="center"/>
              <w:rPr>
                <w:b/>
                <w:sz w:val="18"/>
              </w:rPr>
            </w:pPr>
            <w:r>
              <w:rPr>
                <w:b/>
                <w:w w:val="99"/>
                <w:sz w:val="18"/>
              </w:rPr>
              <w:t>$</w:t>
            </w:r>
          </w:p>
        </w:tc>
        <w:tc>
          <w:tcPr>
            <w:tcW w:w="1185" w:type="dxa"/>
          </w:tcPr>
          <w:p>
            <w:pPr>
              <w:pStyle w:val="TableParagraph"/>
              <w:spacing w:before="24"/>
              <w:ind w:right="110"/>
              <w:jc w:val="center"/>
              <w:rPr>
                <w:b/>
                <w:sz w:val="18"/>
              </w:rPr>
            </w:pPr>
            <w:r>
              <w:rPr>
                <w:b/>
                <w:w w:val="99"/>
                <w:sz w:val="18"/>
              </w:rPr>
              <w:t>$</w:t>
            </w:r>
          </w:p>
        </w:tc>
      </w:tr>
      <w:tr>
        <w:trPr>
          <w:trHeight w:val="453" w:hRule="exact"/>
        </w:trPr>
        <w:tc>
          <w:tcPr>
            <w:tcW w:w="5915" w:type="dxa"/>
          </w:tcPr>
          <w:p>
            <w:pPr>
              <w:pStyle w:val="TableParagraph"/>
              <w:spacing w:before="63"/>
              <w:ind w:left="62"/>
              <w:rPr>
                <w:b/>
                <w:sz w:val="18"/>
              </w:rPr>
            </w:pPr>
            <w:r>
              <w:rPr>
                <w:b/>
                <w:sz w:val="18"/>
              </w:rPr>
              <w:t>Revenue</w:t>
            </w:r>
          </w:p>
        </w:tc>
        <w:tc>
          <w:tcPr>
            <w:tcW w:w="1443" w:type="dxa"/>
          </w:tcPr>
          <w:p>
            <w:pPr/>
          </w:p>
        </w:tc>
        <w:tc>
          <w:tcPr>
            <w:tcW w:w="1410" w:type="dxa"/>
          </w:tcPr>
          <w:p>
            <w:pPr/>
          </w:p>
        </w:tc>
        <w:tc>
          <w:tcPr>
            <w:tcW w:w="1185" w:type="dxa"/>
          </w:tcPr>
          <w:p>
            <w:pPr/>
          </w:p>
        </w:tc>
      </w:tr>
      <w:tr>
        <w:trPr>
          <w:trHeight w:val="409" w:hRule="exact"/>
        </w:trPr>
        <w:tc>
          <w:tcPr>
            <w:tcW w:w="5915" w:type="dxa"/>
          </w:tcPr>
          <w:p>
            <w:pPr>
              <w:pStyle w:val="TableParagraph"/>
              <w:spacing w:before="2"/>
              <w:rPr>
                <w:sz w:val="14"/>
              </w:rPr>
            </w:pPr>
          </w:p>
          <w:p>
            <w:pPr>
              <w:pStyle w:val="TableParagraph"/>
              <w:ind w:left="62"/>
              <w:rPr>
                <w:sz w:val="18"/>
              </w:rPr>
            </w:pPr>
            <w:r>
              <w:rPr>
                <w:sz w:val="18"/>
              </w:rPr>
              <w:t>Sale of goods</w:t>
            </w:r>
          </w:p>
        </w:tc>
        <w:tc>
          <w:tcPr>
            <w:tcW w:w="1443" w:type="dxa"/>
          </w:tcPr>
          <w:p>
            <w:pPr>
              <w:pStyle w:val="TableParagraph"/>
              <w:spacing w:before="3"/>
              <w:rPr>
                <w:sz w:val="14"/>
              </w:rPr>
            </w:pPr>
          </w:p>
          <w:p>
            <w:pPr>
              <w:pStyle w:val="TableParagraph"/>
              <w:spacing w:before="1"/>
              <w:ind w:left="866"/>
              <w:jc w:val="center"/>
              <w:rPr>
                <w:sz w:val="18"/>
              </w:rPr>
            </w:pPr>
            <w:r>
              <w:rPr>
                <w:w w:val="99"/>
                <w:sz w:val="18"/>
              </w:rPr>
              <w:t>3</w:t>
            </w:r>
          </w:p>
        </w:tc>
        <w:tc>
          <w:tcPr>
            <w:tcW w:w="1410" w:type="dxa"/>
          </w:tcPr>
          <w:p>
            <w:pPr>
              <w:pStyle w:val="TableParagraph"/>
              <w:spacing w:before="3"/>
              <w:rPr>
                <w:sz w:val="14"/>
              </w:rPr>
            </w:pPr>
          </w:p>
          <w:p>
            <w:pPr>
              <w:pStyle w:val="TableParagraph"/>
              <w:spacing w:before="1"/>
              <w:ind w:left="410"/>
              <w:rPr>
                <w:b/>
                <w:sz w:val="18"/>
              </w:rPr>
            </w:pPr>
            <w:r>
              <w:rPr>
                <w:b/>
                <w:sz w:val="18"/>
              </w:rPr>
              <w:t>5,361,382</w:t>
            </w:r>
          </w:p>
        </w:tc>
        <w:tc>
          <w:tcPr>
            <w:tcW w:w="1185" w:type="dxa"/>
          </w:tcPr>
          <w:p>
            <w:pPr>
              <w:pStyle w:val="TableParagraph"/>
              <w:spacing w:before="3"/>
              <w:rPr>
                <w:sz w:val="14"/>
              </w:rPr>
            </w:pPr>
          </w:p>
          <w:p>
            <w:pPr>
              <w:pStyle w:val="TableParagraph"/>
              <w:spacing w:before="1"/>
              <w:ind w:left="198"/>
              <w:rPr>
                <w:sz w:val="18"/>
              </w:rPr>
            </w:pPr>
            <w:r>
              <w:rPr>
                <w:sz w:val="18"/>
              </w:rPr>
              <w:t>17,257,788</w:t>
            </w:r>
          </w:p>
        </w:tc>
      </w:tr>
      <w:tr>
        <w:trPr>
          <w:trHeight w:val="264" w:hRule="exact"/>
        </w:trPr>
        <w:tc>
          <w:tcPr>
            <w:tcW w:w="5915" w:type="dxa"/>
          </w:tcPr>
          <w:p>
            <w:pPr>
              <w:pStyle w:val="TableParagraph"/>
              <w:spacing w:before="18"/>
              <w:ind w:left="62"/>
              <w:rPr>
                <w:sz w:val="18"/>
              </w:rPr>
            </w:pPr>
            <w:r>
              <w:rPr>
                <w:sz w:val="18"/>
              </w:rPr>
              <w:t>Rendering of services</w:t>
            </w:r>
          </w:p>
        </w:tc>
        <w:tc>
          <w:tcPr>
            <w:tcW w:w="1443" w:type="dxa"/>
          </w:tcPr>
          <w:p>
            <w:pPr>
              <w:pStyle w:val="TableParagraph"/>
              <w:spacing w:before="19"/>
              <w:ind w:left="866"/>
              <w:jc w:val="center"/>
              <w:rPr>
                <w:sz w:val="18"/>
              </w:rPr>
            </w:pPr>
            <w:r>
              <w:rPr>
                <w:w w:val="99"/>
                <w:sz w:val="18"/>
              </w:rPr>
              <w:t>3</w:t>
            </w:r>
          </w:p>
        </w:tc>
        <w:tc>
          <w:tcPr>
            <w:tcW w:w="1410" w:type="dxa"/>
          </w:tcPr>
          <w:p>
            <w:pPr>
              <w:pStyle w:val="TableParagraph"/>
              <w:spacing w:before="19"/>
              <w:ind w:right="196"/>
              <w:jc w:val="right"/>
              <w:rPr>
                <w:b/>
                <w:sz w:val="18"/>
              </w:rPr>
            </w:pPr>
            <w:r>
              <w:rPr>
                <w:b/>
                <w:w w:val="95"/>
                <w:sz w:val="18"/>
              </w:rPr>
              <w:t>941,284</w:t>
            </w:r>
          </w:p>
        </w:tc>
        <w:tc>
          <w:tcPr>
            <w:tcW w:w="1185" w:type="dxa"/>
          </w:tcPr>
          <w:p>
            <w:pPr>
              <w:pStyle w:val="TableParagraph"/>
              <w:spacing w:before="19"/>
              <w:ind w:left="447"/>
              <w:rPr>
                <w:sz w:val="18"/>
              </w:rPr>
            </w:pPr>
            <w:r>
              <w:rPr>
                <w:sz w:val="18"/>
              </w:rPr>
              <w:t>999,279</w:t>
            </w:r>
          </w:p>
        </w:tc>
      </w:tr>
      <w:tr>
        <w:trPr>
          <w:trHeight w:val="264" w:hRule="exact"/>
        </w:trPr>
        <w:tc>
          <w:tcPr>
            <w:tcW w:w="5915" w:type="dxa"/>
          </w:tcPr>
          <w:p>
            <w:pPr>
              <w:pStyle w:val="TableParagraph"/>
              <w:spacing w:before="18"/>
              <w:ind w:left="62"/>
              <w:rPr>
                <w:sz w:val="18"/>
              </w:rPr>
            </w:pPr>
            <w:r>
              <w:rPr>
                <w:sz w:val="18"/>
              </w:rPr>
              <w:t>University funding</w:t>
            </w:r>
          </w:p>
        </w:tc>
        <w:tc>
          <w:tcPr>
            <w:tcW w:w="1443" w:type="dxa"/>
          </w:tcPr>
          <w:p>
            <w:pPr>
              <w:pStyle w:val="TableParagraph"/>
              <w:spacing w:before="19"/>
              <w:ind w:left="866"/>
              <w:jc w:val="center"/>
              <w:rPr>
                <w:sz w:val="18"/>
              </w:rPr>
            </w:pPr>
            <w:r>
              <w:rPr>
                <w:w w:val="99"/>
                <w:sz w:val="18"/>
              </w:rPr>
              <w:t>3</w:t>
            </w:r>
          </w:p>
        </w:tc>
        <w:tc>
          <w:tcPr>
            <w:tcW w:w="1410" w:type="dxa"/>
          </w:tcPr>
          <w:p>
            <w:pPr>
              <w:pStyle w:val="TableParagraph"/>
              <w:spacing w:before="19"/>
              <w:ind w:left="410"/>
              <w:rPr>
                <w:b/>
                <w:sz w:val="18"/>
              </w:rPr>
            </w:pPr>
            <w:r>
              <w:rPr>
                <w:b/>
                <w:sz w:val="18"/>
              </w:rPr>
              <w:t>2,418,063</w:t>
            </w:r>
          </w:p>
        </w:tc>
        <w:tc>
          <w:tcPr>
            <w:tcW w:w="1185" w:type="dxa"/>
          </w:tcPr>
          <w:p>
            <w:pPr>
              <w:pStyle w:val="TableParagraph"/>
              <w:spacing w:before="19"/>
              <w:ind w:left="297"/>
              <w:rPr>
                <w:sz w:val="18"/>
              </w:rPr>
            </w:pPr>
            <w:r>
              <w:rPr>
                <w:sz w:val="18"/>
              </w:rPr>
              <w:t>1,994,063</w:t>
            </w:r>
          </w:p>
        </w:tc>
      </w:tr>
      <w:tr>
        <w:trPr>
          <w:trHeight w:val="263" w:hRule="exact"/>
        </w:trPr>
        <w:tc>
          <w:tcPr>
            <w:tcW w:w="5915" w:type="dxa"/>
          </w:tcPr>
          <w:p>
            <w:pPr>
              <w:pStyle w:val="TableParagraph"/>
              <w:spacing w:before="18"/>
              <w:ind w:left="62"/>
              <w:rPr>
                <w:sz w:val="18"/>
              </w:rPr>
            </w:pPr>
            <w:r>
              <w:rPr>
                <w:sz w:val="18"/>
              </w:rPr>
              <w:t>Other revenue</w:t>
            </w:r>
          </w:p>
        </w:tc>
        <w:tc>
          <w:tcPr>
            <w:tcW w:w="1443" w:type="dxa"/>
          </w:tcPr>
          <w:p>
            <w:pPr>
              <w:pStyle w:val="TableParagraph"/>
              <w:spacing w:before="19"/>
              <w:ind w:left="866"/>
              <w:jc w:val="center"/>
              <w:rPr>
                <w:sz w:val="18"/>
              </w:rPr>
            </w:pPr>
            <w:r>
              <w:rPr>
                <w:w w:val="99"/>
                <w:sz w:val="18"/>
              </w:rPr>
              <w:t>3</w:t>
            </w:r>
          </w:p>
        </w:tc>
        <w:tc>
          <w:tcPr>
            <w:tcW w:w="1410" w:type="dxa"/>
            <w:tcBorders>
              <w:bottom w:val="single" w:sz="0" w:space="0" w:color="000000"/>
            </w:tcBorders>
          </w:tcPr>
          <w:p>
            <w:pPr>
              <w:pStyle w:val="TableParagraph"/>
              <w:spacing w:before="19"/>
              <w:ind w:right="196"/>
              <w:jc w:val="right"/>
              <w:rPr>
                <w:b/>
                <w:sz w:val="18"/>
              </w:rPr>
            </w:pPr>
            <w:r>
              <w:rPr>
                <w:b/>
                <w:w w:val="95"/>
                <w:sz w:val="18"/>
              </w:rPr>
              <w:t>740,617</w:t>
            </w:r>
          </w:p>
        </w:tc>
        <w:tc>
          <w:tcPr>
            <w:tcW w:w="1185" w:type="dxa"/>
            <w:tcBorders>
              <w:bottom w:val="single" w:sz="0" w:space="0" w:color="000000"/>
            </w:tcBorders>
          </w:tcPr>
          <w:p>
            <w:pPr>
              <w:pStyle w:val="TableParagraph"/>
              <w:spacing w:before="19"/>
              <w:ind w:left="447"/>
              <w:rPr>
                <w:sz w:val="18"/>
              </w:rPr>
            </w:pPr>
            <w:r>
              <w:rPr>
                <w:sz w:val="18"/>
              </w:rPr>
              <w:t>799,781</w:t>
            </w:r>
          </w:p>
        </w:tc>
      </w:tr>
      <w:tr>
        <w:trPr>
          <w:trHeight w:val="338" w:hRule="exact"/>
        </w:trPr>
        <w:tc>
          <w:tcPr>
            <w:tcW w:w="5915" w:type="dxa"/>
          </w:tcPr>
          <w:p>
            <w:pPr>
              <w:pStyle w:val="TableParagraph"/>
              <w:spacing w:before="123"/>
              <w:ind w:left="62"/>
              <w:rPr>
                <w:b/>
                <w:sz w:val="18"/>
              </w:rPr>
            </w:pPr>
            <w:r>
              <w:rPr>
                <w:b/>
                <w:sz w:val="18"/>
              </w:rPr>
              <w:t>Total revenue from operations</w:t>
            </w:r>
          </w:p>
        </w:tc>
        <w:tc>
          <w:tcPr>
            <w:tcW w:w="1443" w:type="dxa"/>
          </w:tcPr>
          <w:p>
            <w:pPr/>
          </w:p>
        </w:tc>
        <w:tc>
          <w:tcPr>
            <w:tcW w:w="1410" w:type="dxa"/>
            <w:tcBorders>
              <w:top w:val="single" w:sz="0" w:space="0" w:color="000000"/>
              <w:bottom w:val="single" w:sz="0" w:space="0" w:color="000000"/>
            </w:tcBorders>
          </w:tcPr>
          <w:p>
            <w:pPr>
              <w:pStyle w:val="TableParagraph"/>
              <w:spacing w:before="122"/>
              <w:ind w:left="410"/>
              <w:rPr>
                <w:b/>
                <w:sz w:val="18"/>
              </w:rPr>
            </w:pPr>
            <w:r>
              <w:rPr>
                <w:b/>
                <w:sz w:val="18"/>
              </w:rPr>
              <w:t>9,461,346</w:t>
            </w:r>
          </w:p>
        </w:tc>
        <w:tc>
          <w:tcPr>
            <w:tcW w:w="1185" w:type="dxa"/>
            <w:tcBorders>
              <w:top w:val="single" w:sz="0" w:space="0" w:color="000000"/>
              <w:bottom w:val="single" w:sz="0" w:space="0" w:color="000000"/>
            </w:tcBorders>
          </w:tcPr>
          <w:p>
            <w:pPr>
              <w:pStyle w:val="TableParagraph"/>
              <w:spacing w:before="122"/>
              <w:ind w:left="198"/>
              <w:rPr>
                <w:sz w:val="18"/>
              </w:rPr>
            </w:pPr>
            <w:r>
              <w:rPr>
                <w:sz w:val="18"/>
              </w:rPr>
              <w:t>21,050,911</w:t>
            </w:r>
          </w:p>
        </w:tc>
      </w:tr>
      <w:tr>
        <w:trPr>
          <w:trHeight w:val="603" w:hRule="exact"/>
        </w:trPr>
        <w:tc>
          <w:tcPr>
            <w:tcW w:w="5915" w:type="dxa"/>
          </w:tcPr>
          <w:p>
            <w:pPr>
              <w:pStyle w:val="TableParagraph"/>
              <w:rPr>
                <w:sz w:val="18"/>
              </w:rPr>
            </w:pPr>
          </w:p>
          <w:p>
            <w:pPr>
              <w:pStyle w:val="TableParagraph"/>
              <w:spacing w:before="150"/>
              <w:ind w:left="62"/>
              <w:rPr>
                <w:sz w:val="18"/>
              </w:rPr>
            </w:pPr>
            <w:r>
              <w:rPr>
                <w:sz w:val="18"/>
              </w:rPr>
              <w:t>Gain on disposal of assets</w:t>
            </w:r>
          </w:p>
        </w:tc>
        <w:tc>
          <w:tcPr>
            <w:tcW w:w="1443" w:type="dxa"/>
          </w:tcPr>
          <w:p>
            <w:pPr>
              <w:pStyle w:val="TableParagraph"/>
              <w:rPr>
                <w:sz w:val="18"/>
              </w:rPr>
            </w:pPr>
          </w:p>
          <w:p>
            <w:pPr>
              <w:pStyle w:val="TableParagraph"/>
              <w:spacing w:before="151"/>
              <w:ind w:left="866"/>
              <w:jc w:val="center"/>
              <w:rPr>
                <w:sz w:val="18"/>
              </w:rPr>
            </w:pPr>
            <w:r>
              <w:rPr>
                <w:w w:val="99"/>
                <w:sz w:val="18"/>
              </w:rPr>
              <w:t>4</w:t>
            </w:r>
          </w:p>
        </w:tc>
        <w:tc>
          <w:tcPr>
            <w:tcW w:w="1410" w:type="dxa"/>
            <w:tcBorders>
              <w:top w:val="single" w:sz="0" w:space="0" w:color="000000"/>
            </w:tcBorders>
          </w:tcPr>
          <w:p>
            <w:pPr>
              <w:pStyle w:val="TableParagraph"/>
              <w:rPr>
                <w:sz w:val="18"/>
              </w:rPr>
            </w:pPr>
          </w:p>
          <w:p>
            <w:pPr>
              <w:pStyle w:val="TableParagraph"/>
              <w:spacing w:before="151"/>
              <w:ind w:right="197"/>
              <w:jc w:val="right"/>
              <w:rPr>
                <w:b/>
                <w:sz w:val="18"/>
              </w:rPr>
            </w:pPr>
            <w:r>
              <w:rPr>
                <w:b/>
                <w:w w:val="95"/>
                <w:sz w:val="18"/>
              </w:rPr>
              <w:t>85,596</w:t>
            </w:r>
          </w:p>
        </w:tc>
        <w:tc>
          <w:tcPr>
            <w:tcW w:w="1185" w:type="dxa"/>
            <w:tcBorders>
              <w:top w:val="single" w:sz="0" w:space="0" w:color="000000"/>
            </w:tcBorders>
          </w:tcPr>
          <w:p>
            <w:pPr>
              <w:pStyle w:val="TableParagraph"/>
              <w:rPr>
                <w:sz w:val="18"/>
              </w:rPr>
            </w:pPr>
          </w:p>
          <w:p>
            <w:pPr>
              <w:pStyle w:val="TableParagraph"/>
              <w:spacing w:before="151"/>
              <w:ind w:left="447"/>
              <w:rPr>
                <w:sz w:val="18"/>
              </w:rPr>
            </w:pPr>
            <w:r>
              <w:rPr>
                <w:sz w:val="18"/>
              </w:rPr>
              <w:t>374,111</w:t>
            </w:r>
          </w:p>
        </w:tc>
      </w:tr>
      <w:tr>
        <w:trPr>
          <w:trHeight w:val="263" w:hRule="exact"/>
        </w:trPr>
        <w:tc>
          <w:tcPr>
            <w:tcW w:w="5915" w:type="dxa"/>
          </w:tcPr>
          <w:p>
            <w:pPr>
              <w:pStyle w:val="TableParagraph"/>
              <w:spacing w:before="18"/>
              <w:ind w:left="62"/>
              <w:rPr>
                <w:sz w:val="18"/>
              </w:rPr>
            </w:pPr>
            <w:r>
              <w:rPr>
                <w:sz w:val="18"/>
              </w:rPr>
              <w:t>Loans forgiven by the ultimate parent entity</w:t>
            </w:r>
          </w:p>
        </w:tc>
        <w:tc>
          <w:tcPr>
            <w:tcW w:w="1443" w:type="dxa"/>
          </w:tcPr>
          <w:p>
            <w:pPr/>
          </w:p>
        </w:tc>
        <w:tc>
          <w:tcPr>
            <w:tcW w:w="1410" w:type="dxa"/>
            <w:tcBorders>
              <w:bottom w:val="single" w:sz="0" w:space="0" w:color="000000"/>
            </w:tcBorders>
          </w:tcPr>
          <w:p>
            <w:pPr>
              <w:pStyle w:val="TableParagraph"/>
              <w:spacing w:before="19"/>
              <w:ind w:left="410"/>
              <w:rPr>
                <w:b/>
                <w:sz w:val="18"/>
              </w:rPr>
            </w:pPr>
            <w:r>
              <w:rPr>
                <w:b/>
                <w:sz w:val="18"/>
              </w:rPr>
              <w:t>3,935,385</w:t>
            </w:r>
          </w:p>
        </w:tc>
        <w:tc>
          <w:tcPr>
            <w:tcW w:w="1185" w:type="dxa"/>
            <w:tcBorders>
              <w:bottom w:val="single" w:sz="0" w:space="0" w:color="000000"/>
            </w:tcBorders>
          </w:tcPr>
          <w:p>
            <w:pPr>
              <w:pStyle w:val="TableParagraph"/>
              <w:spacing w:before="19"/>
              <w:ind w:right="228"/>
              <w:jc w:val="right"/>
              <w:rPr>
                <w:sz w:val="18"/>
              </w:rPr>
            </w:pPr>
            <w:r>
              <w:rPr>
                <w:w w:val="99"/>
                <w:sz w:val="18"/>
              </w:rPr>
              <w:t>-</w:t>
            </w:r>
          </w:p>
        </w:tc>
      </w:tr>
      <w:tr>
        <w:trPr>
          <w:trHeight w:val="338" w:hRule="exact"/>
        </w:trPr>
        <w:tc>
          <w:tcPr>
            <w:tcW w:w="5915" w:type="dxa"/>
          </w:tcPr>
          <w:p>
            <w:pPr>
              <w:pStyle w:val="TableParagraph"/>
              <w:spacing w:before="123"/>
              <w:ind w:left="62"/>
              <w:rPr>
                <w:b/>
                <w:sz w:val="18"/>
              </w:rPr>
            </w:pPr>
            <w:r>
              <w:rPr>
                <w:b/>
                <w:sz w:val="18"/>
              </w:rPr>
              <w:t>Total income</w:t>
            </w:r>
          </w:p>
        </w:tc>
        <w:tc>
          <w:tcPr>
            <w:tcW w:w="1443" w:type="dxa"/>
          </w:tcPr>
          <w:p>
            <w:pPr/>
          </w:p>
        </w:tc>
        <w:tc>
          <w:tcPr>
            <w:tcW w:w="1410" w:type="dxa"/>
            <w:tcBorders>
              <w:top w:val="single" w:sz="0" w:space="0" w:color="000000"/>
              <w:bottom w:val="single" w:sz="0" w:space="0" w:color="000000"/>
            </w:tcBorders>
          </w:tcPr>
          <w:p>
            <w:pPr>
              <w:pStyle w:val="TableParagraph"/>
              <w:spacing w:before="122"/>
              <w:ind w:left="310"/>
              <w:rPr>
                <w:b/>
                <w:sz w:val="18"/>
              </w:rPr>
            </w:pPr>
            <w:r>
              <w:rPr>
                <w:b/>
                <w:sz w:val="18"/>
              </w:rPr>
              <w:t>13,482,327</w:t>
            </w:r>
          </w:p>
        </w:tc>
        <w:tc>
          <w:tcPr>
            <w:tcW w:w="1185" w:type="dxa"/>
            <w:tcBorders>
              <w:top w:val="single" w:sz="0" w:space="0" w:color="000000"/>
              <w:bottom w:val="single" w:sz="0" w:space="0" w:color="000000"/>
            </w:tcBorders>
          </w:tcPr>
          <w:p>
            <w:pPr>
              <w:pStyle w:val="TableParagraph"/>
              <w:spacing w:before="122"/>
              <w:ind w:left="198"/>
              <w:rPr>
                <w:sz w:val="18"/>
              </w:rPr>
            </w:pPr>
            <w:r>
              <w:rPr>
                <w:sz w:val="18"/>
              </w:rPr>
              <w:t>21,425,022</w:t>
            </w:r>
          </w:p>
        </w:tc>
      </w:tr>
      <w:tr>
        <w:trPr>
          <w:trHeight w:val="832" w:hRule="exact"/>
        </w:trPr>
        <w:tc>
          <w:tcPr>
            <w:tcW w:w="5915" w:type="dxa"/>
          </w:tcPr>
          <w:p>
            <w:pPr>
              <w:pStyle w:val="TableParagraph"/>
              <w:rPr>
                <w:sz w:val="18"/>
              </w:rPr>
            </w:pPr>
          </w:p>
          <w:p>
            <w:pPr>
              <w:pStyle w:val="TableParagraph"/>
              <w:spacing w:before="5"/>
              <w:rPr>
                <w:sz w:val="20"/>
              </w:rPr>
            </w:pPr>
          </w:p>
          <w:p>
            <w:pPr>
              <w:pStyle w:val="TableParagraph"/>
              <w:ind w:left="62"/>
              <w:rPr>
                <w:b/>
                <w:sz w:val="18"/>
              </w:rPr>
            </w:pPr>
            <w:r>
              <w:rPr>
                <w:b/>
                <w:sz w:val="18"/>
              </w:rPr>
              <w:t>Expenses</w:t>
            </w:r>
          </w:p>
        </w:tc>
        <w:tc>
          <w:tcPr>
            <w:tcW w:w="1443" w:type="dxa"/>
          </w:tcPr>
          <w:p>
            <w:pPr/>
          </w:p>
        </w:tc>
        <w:tc>
          <w:tcPr>
            <w:tcW w:w="1410" w:type="dxa"/>
            <w:tcBorders>
              <w:top w:val="single" w:sz="0" w:space="0" w:color="000000"/>
            </w:tcBorders>
          </w:tcPr>
          <w:p>
            <w:pPr/>
          </w:p>
        </w:tc>
        <w:tc>
          <w:tcPr>
            <w:tcW w:w="1185" w:type="dxa"/>
            <w:tcBorders>
              <w:top w:val="single" w:sz="0" w:space="0" w:color="000000"/>
            </w:tcBorders>
          </w:tcPr>
          <w:p>
            <w:pPr/>
          </w:p>
        </w:tc>
      </w:tr>
      <w:tr>
        <w:trPr>
          <w:trHeight w:val="409" w:hRule="exact"/>
        </w:trPr>
        <w:tc>
          <w:tcPr>
            <w:tcW w:w="5915" w:type="dxa"/>
          </w:tcPr>
          <w:p>
            <w:pPr>
              <w:pStyle w:val="TableParagraph"/>
              <w:spacing w:before="2"/>
              <w:rPr>
                <w:sz w:val="14"/>
              </w:rPr>
            </w:pPr>
          </w:p>
          <w:p>
            <w:pPr>
              <w:pStyle w:val="TableParagraph"/>
              <w:ind w:left="62"/>
              <w:rPr>
                <w:sz w:val="18"/>
              </w:rPr>
            </w:pPr>
            <w:r>
              <w:rPr>
                <w:sz w:val="18"/>
              </w:rPr>
              <w:t>Raw materials and consumables used</w:t>
            </w:r>
          </w:p>
        </w:tc>
        <w:tc>
          <w:tcPr>
            <w:tcW w:w="1443" w:type="dxa"/>
          </w:tcPr>
          <w:p>
            <w:pPr/>
          </w:p>
        </w:tc>
        <w:tc>
          <w:tcPr>
            <w:tcW w:w="1410" w:type="dxa"/>
          </w:tcPr>
          <w:p>
            <w:pPr>
              <w:pStyle w:val="TableParagraph"/>
              <w:spacing w:before="3"/>
              <w:rPr>
                <w:sz w:val="14"/>
              </w:rPr>
            </w:pPr>
          </w:p>
          <w:p>
            <w:pPr>
              <w:pStyle w:val="TableParagraph"/>
              <w:spacing w:before="1"/>
              <w:ind w:right="136"/>
              <w:jc w:val="right"/>
              <w:rPr>
                <w:b/>
                <w:sz w:val="18"/>
              </w:rPr>
            </w:pPr>
            <w:r>
              <w:rPr>
                <w:b/>
                <w:w w:val="95"/>
                <w:sz w:val="18"/>
              </w:rPr>
              <w:t>(2,580,142)</w:t>
            </w:r>
          </w:p>
        </w:tc>
        <w:tc>
          <w:tcPr>
            <w:tcW w:w="1185" w:type="dxa"/>
          </w:tcPr>
          <w:p>
            <w:pPr>
              <w:pStyle w:val="TableParagraph"/>
              <w:spacing w:before="3"/>
              <w:rPr>
                <w:sz w:val="14"/>
              </w:rPr>
            </w:pPr>
          </w:p>
          <w:p>
            <w:pPr>
              <w:pStyle w:val="TableParagraph"/>
              <w:spacing w:before="1"/>
              <w:ind w:right="23"/>
              <w:jc w:val="right"/>
              <w:rPr>
                <w:sz w:val="18"/>
              </w:rPr>
            </w:pPr>
            <w:r>
              <w:rPr>
                <w:w w:val="95"/>
                <w:sz w:val="18"/>
              </w:rPr>
              <w:t>(11,838,685)</w:t>
            </w:r>
          </w:p>
        </w:tc>
      </w:tr>
      <w:tr>
        <w:trPr>
          <w:trHeight w:val="264" w:hRule="exact"/>
        </w:trPr>
        <w:tc>
          <w:tcPr>
            <w:tcW w:w="5915" w:type="dxa"/>
          </w:tcPr>
          <w:p>
            <w:pPr>
              <w:pStyle w:val="TableParagraph"/>
              <w:spacing w:before="18"/>
              <w:ind w:left="62"/>
              <w:rPr>
                <w:sz w:val="18"/>
              </w:rPr>
            </w:pPr>
            <w:r>
              <w:rPr>
                <w:sz w:val="18"/>
              </w:rPr>
              <w:t>Employee related expense</w:t>
            </w:r>
          </w:p>
        </w:tc>
        <w:tc>
          <w:tcPr>
            <w:tcW w:w="1443" w:type="dxa"/>
          </w:tcPr>
          <w:p>
            <w:pPr>
              <w:pStyle w:val="TableParagraph"/>
              <w:spacing w:before="19"/>
              <w:ind w:left="866"/>
              <w:jc w:val="center"/>
              <w:rPr>
                <w:sz w:val="18"/>
              </w:rPr>
            </w:pPr>
            <w:r>
              <w:rPr>
                <w:w w:val="99"/>
                <w:sz w:val="18"/>
              </w:rPr>
              <w:t>5</w:t>
            </w:r>
          </w:p>
        </w:tc>
        <w:tc>
          <w:tcPr>
            <w:tcW w:w="1410" w:type="dxa"/>
          </w:tcPr>
          <w:p>
            <w:pPr>
              <w:pStyle w:val="TableParagraph"/>
              <w:spacing w:before="19"/>
              <w:ind w:right="136"/>
              <w:jc w:val="right"/>
              <w:rPr>
                <w:b/>
                <w:sz w:val="18"/>
              </w:rPr>
            </w:pPr>
            <w:r>
              <w:rPr>
                <w:b/>
                <w:w w:val="95"/>
                <w:sz w:val="18"/>
              </w:rPr>
              <w:t>(5,517,944)</w:t>
            </w:r>
          </w:p>
        </w:tc>
        <w:tc>
          <w:tcPr>
            <w:tcW w:w="1185" w:type="dxa"/>
          </w:tcPr>
          <w:p>
            <w:pPr>
              <w:pStyle w:val="TableParagraph"/>
              <w:spacing w:before="19"/>
              <w:ind w:right="24"/>
              <w:jc w:val="right"/>
              <w:rPr>
                <w:sz w:val="18"/>
              </w:rPr>
            </w:pPr>
            <w:r>
              <w:rPr>
                <w:w w:val="95"/>
                <w:sz w:val="18"/>
              </w:rPr>
              <w:t>(8,389,159)</w:t>
            </w:r>
          </w:p>
        </w:tc>
      </w:tr>
      <w:tr>
        <w:trPr>
          <w:trHeight w:val="264" w:hRule="exact"/>
        </w:trPr>
        <w:tc>
          <w:tcPr>
            <w:tcW w:w="5915" w:type="dxa"/>
          </w:tcPr>
          <w:p>
            <w:pPr>
              <w:pStyle w:val="TableParagraph"/>
              <w:spacing w:before="18"/>
              <w:ind w:left="62"/>
              <w:rPr>
                <w:sz w:val="18"/>
              </w:rPr>
            </w:pPr>
            <w:r>
              <w:rPr>
                <w:sz w:val="18"/>
              </w:rPr>
              <w:t>Depreciation and amortisation expense</w:t>
            </w:r>
          </w:p>
        </w:tc>
        <w:tc>
          <w:tcPr>
            <w:tcW w:w="1443" w:type="dxa"/>
          </w:tcPr>
          <w:p>
            <w:pPr>
              <w:pStyle w:val="TableParagraph"/>
              <w:spacing w:before="19"/>
              <w:ind w:left="866"/>
              <w:jc w:val="center"/>
              <w:rPr>
                <w:sz w:val="18"/>
              </w:rPr>
            </w:pPr>
            <w:r>
              <w:rPr>
                <w:w w:val="99"/>
                <w:sz w:val="18"/>
              </w:rPr>
              <w:t>5</w:t>
            </w:r>
          </w:p>
        </w:tc>
        <w:tc>
          <w:tcPr>
            <w:tcW w:w="1410" w:type="dxa"/>
          </w:tcPr>
          <w:p>
            <w:pPr>
              <w:pStyle w:val="TableParagraph"/>
              <w:spacing w:before="19"/>
              <w:ind w:right="137"/>
              <w:jc w:val="right"/>
              <w:rPr>
                <w:b/>
                <w:sz w:val="18"/>
              </w:rPr>
            </w:pPr>
            <w:r>
              <w:rPr>
                <w:b/>
                <w:w w:val="95"/>
                <w:sz w:val="18"/>
              </w:rPr>
              <w:t>(20,059)</w:t>
            </w:r>
          </w:p>
        </w:tc>
        <w:tc>
          <w:tcPr>
            <w:tcW w:w="1185" w:type="dxa"/>
          </w:tcPr>
          <w:p>
            <w:pPr>
              <w:pStyle w:val="TableParagraph"/>
              <w:spacing w:before="19"/>
              <w:ind w:right="24"/>
              <w:jc w:val="right"/>
              <w:rPr>
                <w:sz w:val="18"/>
              </w:rPr>
            </w:pPr>
            <w:r>
              <w:rPr>
                <w:w w:val="95"/>
                <w:sz w:val="18"/>
              </w:rPr>
              <w:t>(58,966)</w:t>
            </w:r>
          </w:p>
        </w:tc>
      </w:tr>
      <w:tr>
        <w:trPr>
          <w:trHeight w:val="264" w:hRule="exact"/>
        </w:trPr>
        <w:tc>
          <w:tcPr>
            <w:tcW w:w="5915" w:type="dxa"/>
          </w:tcPr>
          <w:p>
            <w:pPr>
              <w:pStyle w:val="TableParagraph"/>
              <w:spacing w:before="18"/>
              <w:ind w:left="62"/>
              <w:rPr>
                <w:sz w:val="18"/>
              </w:rPr>
            </w:pPr>
            <w:r>
              <w:rPr>
                <w:sz w:val="18"/>
              </w:rPr>
              <w:t>Occupancy expenses</w:t>
            </w:r>
          </w:p>
        </w:tc>
        <w:tc>
          <w:tcPr>
            <w:tcW w:w="1443" w:type="dxa"/>
          </w:tcPr>
          <w:p>
            <w:pPr>
              <w:pStyle w:val="TableParagraph"/>
              <w:spacing w:before="19"/>
              <w:ind w:left="866"/>
              <w:jc w:val="center"/>
              <w:rPr>
                <w:sz w:val="18"/>
              </w:rPr>
            </w:pPr>
            <w:r>
              <w:rPr>
                <w:w w:val="99"/>
                <w:sz w:val="18"/>
              </w:rPr>
              <w:t>5</w:t>
            </w:r>
          </w:p>
        </w:tc>
        <w:tc>
          <w:tcPr>
            <w:tcW w:w="1410" w:type="dxa"/>
          </w:tcPr>
          <w:p>
            <w:pPr>
              <w:pStyle w:val="TableParagraph"/>
              <w:spacing w:before="19"/>
              <w:ind w:right="136"/>
              <w:jc w:val="right"/>
              <w:rPr>
                <w:b/>
                <w:sz w:val="18"/>
              </w:rPr>
            </w:pPr>
            <w:r>
              <w:rPr>
                <w:b/>
                <w:w w:val="95"/>
                <w:sz w:val="18"/>
              </w:rPr>
              <w:t>(220,957)</w:t>
            </w:r>
          </w:p>
        </w:tc>
        <w:tc>
          <w:tcPr>
            <w:tcW w:w="1185" w:type="dxa"/>
          </w:tcPr>
          <w:p>
            <w:pPr>
              <w:pStyle w:val="TableParagraph"/>
              <w:spacing w:before="19"/>
              <w:ind w:right="24"/>
              <w:jc w:val="right"/>
              <w:rPr>
                <w:sz w:val="18"/>
              </w:rPr>
            </w:pPr>
            <w:r>
              <w:rPr>
                <w:w w:val="95"/>
                <w:sz w:val="18"/>
              </w:rPr>
              <w:t>(348,390)</w:t>
            </w:r>
          </w:p>
        </w:tc>
      </w:tr>
      <w:tr>
        <w:trPr>
          <w:trHeight w:val="264" w:hRule="exact"/>
        </w:trPr>
        <w:tc>
          <w:tcPr>
            <w:tcW w:w="5915" w:type="dxa"/>
          </w:tcPr>
          <w:p>
            <w:pPr>
              <w:pStyle w:val="TableParagraph"/>
              <w:spacing w:before="18"/>
              <w:ind w:left="62"/>
              <w:rPr>
                <w:sz w:val="18"/>
              </w:rPr>
            </w:pPr>
            <w:r>
              <w:rPr>
                <w:sz w:val="18"/>
              </w:rPr>
              <w:t>Minor equipment</w:t>
            </w:r>
          </w:p>
        </w:tc>
        <w:tc>
          <w:tcPr>
            <w:tcW w:w="1443" w:type="dxa"/>
          </w:tcPr>
          <w:p>
            <w:pPr/>
          </w:p>
        </w:tc>
        <w:tc>
          <w:tcPr>
            <w:tcW w:w="1410" w:type="dxa"/>
          </w:tcPr>
          <w:p>
            <w:pPr>
              <w:pStyle w:val="TableParagraph"/>
              <w:spacing w:before="19"/>
              <w:ind w:right="137"/>
              <w:jc w:val="right"/>
              <w:rPr>
                <w:b/>
                <w:sz w:val="18"/>
              </w:rPr>
            </w:pPr>
            <w:r>
              <w:rPr>
                <w:b/>
                <w:w w:val="95"/>
                <w:sz w:val="18"/>
              </w:rPr>
              <w:t>(76,935)</w:t>
            </w:r>
          </w:p>
        </w:tc>
        <w:tc>
          <w:tcPr>
            <w:tcW w:w="1185" w:type="dxa"/>
          </w:tcPr>
          <w:p>
            <w:pPr>
              <w:pStyle w:val="TableParagraph"/>
              <w:spacing w:before="19"/>
              <w:ind w:right="24"/>
              <w:jc w:val="right"/>
              <w:rPr>
                <w:sz w:val="18"/>
              </w:rPr>
            </w:pPr>
            <w:r>
              <w:rPr>
                <w:w w:val="95"/>
                <w:sz w:val="18"/>
              </w:rPr>
              <w:t>(98,906)</w:t>
            </w:r>
          </w:p>
        </w:tc>
      </w:tr>
      <w:tr>
        <w:trPr>
          <w:trHeight w:val="264" w:hRule="exact"/>
        </w:trPr>
        <w:tc>
          <w:tcPr>
            <w:tcW w:w="5915" w:type="dxa"/>
          </w:tcPr>
          <w:p>
            <w:pPr>
              <w:pStyle w:val="TableParagraph"/>
              <w:spacing w:before="18"/>
              <w:ind w:left="62"/>
              <w:rPr>
                <w:sz w:val="18"/>
              </w:rPr>
            </w:pPr>
            <w:r>
              <w:rPr>
                <w:sz w:val="18"/>
              </w:rPr>
              <w:t>Finance costs</w:t>
            </w:r>
          </w:p>
        </w:tc>
        <w:tc>
          <w:tcPr>
            <w:tcW w:w="1443" w:type="dxa"/>
          </w:tcPr>
          <w:p>
            <w:pPr/>
          </w:p>
        </w:tc>
        <w:tc>
          <w:tcPr>
            <w:tcW w:w="1410" w:type="dxa"/>
          </w:tcPr>
          <w:p>
            <w:pPr>
              <w:pStyle w:val="TableParagraph"/>
              <w:spacing w:before="19"/>
              <w:ind w:right="136"/>
              <w:jc w:val="right"/>
              <w:rPr>
                <w:b/>
                <w:sz w:val="18"/>
              </w:rPr>
            </w:pPr>
            <w:r>
              <w:rPr>
                <w:b/>
                <w:w w:val="95"/>
                <w:sz w:val="18"/>
              </w:rPr>
              <w:t>(176,975)</w:t>
            </w:r>
          </w:p>
        </w:tc>
        <w:tc>
          <w:tcPr>
            <w:tcW w:w="1185" w:type="dxa"/>
          </w:tcPr>
          <w:p>
            <w:pPr>
              <w:pStyle w:val="TableParagraph"/>
              <w:spacing w:before="19"/>
              <w:ind w:right="24"/>
              <w:jc w:val="right"/>
              <w:rPr>
                <w:sz w:val="18"/>
              </w:rPr>
            </w:pPr>
            <w:r>
              <w:rPr>
                <w:w w:val="95"/>
                <w:sz w:val="18"/>
              </w:rPr>
              <w:t>(199,317)</w:t>
            </w:r>
          </w:p>
        </w:tc>
      </w:tr>
      <w:tr>
        <w:trPr>
          <w:trHeight w:val="263" w:hRule="exact"/>
        </w:trPr>
        <w:tc>
          <w:tcPr>
            <w:tcW w:w="5915" w:type="dxa"/>
          </w:tcPr>
          <w:p>
            <w:pPr>
              <w:pStyle w:val="TableParagraph"/>
              <w:spacing w:before="18"/>
              <w:ind w:left="62"/>
              <w:rPr>
                <w:sz w:val="18"/>
              </w:rPr>
            </w:pPr>
            <w:r>
              <w:rPr>
                <w:sz w:val="18"/>
              </w:rPr>
              <w:t>Other expenses</w:t>
            </w:r>
          </w:p>
        </w:tc>
        <w:tc>
          <w:tcPr>
            <w:tcW w:w="1443" w:type="dxa"/>
          </w:tcPr>
          <w:p>
            <w:pPr>
              <w:pStyle w:val="TableParagraph"/>
              <w:spacing w:before="19"/>
              <w:ind w:left="866"/>
              <w:jc w:val="center"/>
              <w:rPr>
                <w:sz w:val="18"/>
              </w:rPr>
            </w:pPr>
            <w:r>
              <w:rPr>
                <w:w w:val="99"/>
                <w:sz w:val="18"/>
              </w:rPr>
              <w:t>5</w:t>
            </w:r>
          </w:p>
        </w:tc>
        <w:tc>
          <w:tcPr>
            <w:tcW w:w="1410" w:type="dxa"/>
            <w:tcBorders>
              <w:bottom w:val="single" w:sz="0" w:space="0" w:color="000000"/>
            </w:tcBorders>
          </w:tcPr>
          <w:p>
            <w:pPr>
              <w:pStyle w:val="TableParagraph"/>
              <w:spacing w:before="19"/>
              <w:ind w:right="136"/>
              <w:jc w:val="right"/>
              <w:rPr>
                <w:b/>
                <w:sz w:val="18"/>
              </w:rPr>
            </w:pPr>
            <w:r>
              <w:rPr>
                <w:b/>
                <w:w w:val="95"/>
                <w:sz w:val="18"/>
              </w:rPr>
              <w:t>(1,779,901)</w:t>
            </w:r>
          </w:p>
        </w:tc>
        <w:tc>
          <w:tcPr>
            <w:tcW w:w="1185" w:type="dxa"/>
            <w:tcBorders>
              <w:bottom w:val="single" w:sz="0" w:space="0" w:color="000000"/>
            </w:tcBorders>
          </w:tcPr>
          <w:p>
            <w:pPr>
              <w:pStyle w:val="TableParagraph"/>
              <w:spacing w:before="19"/>
              <w:ind w:right="24"/>
              <w:jc w:val="right"/>
              <w:rPr>
                <w:sz w:val="18"/>
              </w:rPr>
            </w:pPr>
            <w:r>
              <w:rPr>
                <w:w w:val="95"/>
                <w:sz w:val="18"/>
              </w:rPr>
              <w:t>(2,046,091)</w:t>
            </w:r>
          </w:p>
        </w:tc>
      </w:tr>
      <w:tr>
        <w:trPr>
          <w:trHeight w:val="338" w:hRule="exact"/>
        </w:trPr>
        <w:tc>
          <w:tcPr>
            <w:tcW w:w="5915" w:type="dxa"/>
          </w:tcPr>
          <w:p>
            <w:pPr>
              <w:pStyle w:val="TableParagraph"/>
              <w:spacing w:before="123"/>
              <w:ind w:left="62"/>
              <w:rPr>
                <w:b/>
                <w:sz w:val="18"/>
              </w:rPr>
            </w:pPr>
            <w:r>
              <w:rPr>
                <w:b/>
                <w:sz w:val="18"/>
              </w:rPr>
              <w:t>Total expenses</w:t>
            </w:r>
          </w:p>
        </w:tc>
        <w:tc>
          <w:tcPr>
            <w:tcW w:w="1443" w:type="dxa"/>
          </w:tcPr>
          <w:p>
            <w:pPr/>
          </w:p>
        </w:tc>
        <w:tc>
          <w:tcPr>
            <w:tcW w:w="1410" w:type="dxa"/>
            <w:tcBorders>
              <w:top w:val="single" w:sz="0" w:space="0" w:color="000000"/>
              <w:bottom w:val="single" w:sz="0" w:space="0" w:color="000000"/>
            </w:tcBorders>
          </w:tcPr>
          <w:p>
            <w:pPr>
              <w:pStyle w:val="TableParagraph"/>
              <w:spacing w:before="122"/>
              <w:ind w:right="136"/>
              <w:jc w:val="right"/>
              <w:rPr>
                <w:b/>
                <w:sz w:val="18"/>
              </w:rPr>
            </w:pPr>
            <w:r>
              <w:rPr>
                <w:b/>
                <w:sz w:val="18"/>
              </w:rPr>
              <w:t>(10,372,913)</w:t>
            </w:r>
          </w:p>
        </w:tc>
        <w:tc>
          <w:tcPr>
            <w:tcW w:w="1185" w:type="dxa"/>
            <w:tcBorders>
              <w:top w:val="single" w:sz="0" w:space="0" w:color="000000"/>
              <w:bottom w:val="single" w:sz="0" w:space="0" w:color="000000"/>
            </w:tcBorders>
          </w:tcPr>
          <w:p>
            <w:pPr>
              <w:pStyle w:val="TableParagraph"/>
              <w:spacing w:before="122"/>
              <w:ind w:right="23"/>
              <w:jc w:val="right"/>
              <w:rPr>
                <w:sz w:val="18"/>
              </w:rPr>
            </w:pPr>
            <w:r>
              <w:rPr>
                <w:sz w:val="18"/>
              </w:rPr>
              <w:t>(22,979,514)</w:t>
            </w:r>
          </w:p>
        </w:tc>
      </w:tr>
      <w:tr>
        <w:trPr>
          <w:trHeight w:val="338" w:hRule="exact"/>
        </w:trPr>
        <w:tc>
          <w:tcPr>
            <w:tcW w:w="5915" w:type="dxa"/>
          </w:tcPr>
          <w:p>
            <w:pPr>
              <w:pStyle w:val="TableParagraph"/>
              <w:spacing w:before="123"/>
              <w:ind w:left="62"/>
              <w:rPr>
                <w:b/>
                <w:sz w:val="18"/>
              </w:rPr>
            </w:pPr>
            <w:r>
              <w:rPr>
                <w:b/>
                <w:sz w:val="18"/>
              </w:rPr>
              <w:t>Surplus / (Deficit) for the year</w:t>
            </w:r>
          </w:p>
        </w:tc>
        <w:tc>
          <w:tcPr>
            <w:tcW w:w="1443" w:type="dxa"/>
          </w:tcPr>
          <w:p>
            <w:pPr/>
          </w:p>
        </w:tc>
        <w:tc>
          <w:tcPr>
            <w:tcW w:w="1410" w:type="dxa"/>
            <w:tcBorders>
              <w:top w:val="single" w:sz="0" w:space="0" w:color="000000"/>
              <w:bottom w:val="single" w:sz="0" w:space="0" w:color="000000"/>
            </w:tcBorders>
          </w:tcPr>
          <w:p>
            <w:pPr>
              <w:pStyle w:val="TableParagraph"/>
              <w:spacing w:before="122"/>
              <w:ind w:left="410"/>
              <w:rPr>
                <w:b/>
                <w:sz w:val="18"/>
              </w:rPr>
            </w:pPr>
            <w:r>
              <w:rPr>
                <w:b/>
                <w:sz w:val="18"/>
              </w:rPr>
              <w:t>3,109,414</w:t>
            </w:r>
          </w:p>
        </w:tc>
        <w:tc>
          <w:tcPr>
            <w:tcW w:w="1185" w:type="dxa"/>
            <w:tcBorders>
              <w:top w:val="single" w:sz="0" w:space="0" w:color="000000"/>
              <w:bottom w:val="single" w:sz="0" w:space="0" w:color="000000"/>
            </w:tcBorders>
          </w:tcPr>
          <w:p>
            <w:pPr>
              <w:pStyle w:val="TableParagraph"/>
              <w:spacing w:before="122"/>
              <w:ind w:right="24"/>
              <w:jc w:val="right"/>
              <w:rPr>
                <w:sz w:val="18"/>
              </w:rPr>
            </w:pPr>
            <w:r>
              <w:rPr>
                <w:w w:val="95"/>
                <w:sz w:val="18"/>
              </w:rPr>
              <w:t>(1,554,492)</w:t>
            </w:r>
          </w:p>
        </w:tc>
      </w:tr>
      <w:tr>
        <w:trPr>
          <w:trHeight w:val="283" w:hRule="exact"/>
        </w:trPr>
        <w:tc>
          <w:tcPr>
            <w:tcW w:w="5915" w:type="dxa"/>
          </w:tcPr>
          <w:p>
            <w:pPr>
              <w:pStyle w:val="TableParagraph"/>
              <w:spacing w:before="38"/>
              <w:ind w:left="62"/>
              <w:rPr>
                <w:sz w:val="18"/>
              </w:rPr>
            </w:pPr>
            <w:r>
              <w:rPr>
                <w:sz w:val="18"/>
              </w:rPr>
              <w:t>Other comprehensive income for the year</w:t>
            </w:r>
          </w:p>
        </w:tc>
        <w:tc>
          <w:tcPr>
            <w:tcW w:w="1443" w:type="dxa"/>
          </w:tcPr>
          <w:p>
            <w:pPr/>
          </w:p>
        </w:tc>
        <w:tc>
          <w:tcPr>
            <w:tcW w:w="1410" w:type="dxa"/>
            <w:tcBorders>
              <w:top w:val="single" w:sz="0" w:space="0" w:color="000000"/>
              <w:bottom w:val="single" w:sz="0" w:space="0" w:color="000000"/>
            </w:tcBorders>
          </w:tcPr>
          <w:p>
            <w:pPr>
              <w:pStyle w:val="TableParagraph"/>
              <w:spacing w:before="38"/>
              <w:ind w:right="341"/>
              <w:jc w:val="right"/>
              <w:rPr>
                <w:b/>
                <w:sz w:val="18"/>
              </w:rPr>
            </w:pPr>
            <w:r>
              <w:rPr>
                <w:b/>
                <w:w w:val="99"/>
                <w:sz w:val="18"/>
              </w:rPr>
              <w:t>-</w:t>
            </w:r>
          </w:p>
        </w:tc>
        <w:tc>
          <w:tcPr>
            <w:tcW w:w="1185" w:type="dxa"/>
            <w:tcBorders>
              <w:top w:val="single" w:sz="0" w:space="0" w:color="000000"/>
              <w:bottom w:val="single" w:sz="0" w:space="0" w:color="000000"/>
            </w:tcBorders>
          </w:tcPr>
          <w:p>
            <w:pPr>
              <w:pStyle w:val="TableParagraph"/>
              <w:spacing w:before="38"/>
              <w:ind w:right="228"/>
              <w:jc w:val="right"/>
              <w:rPr>
                <w:sz w:val="18"/>
              </w:rPr>
            </w:pPr>
            <w:r>
              <w:rPr>
                <w:w w:val="99"/>
                <w:sz w:val="18"/>
              </w:rPr>
              <w:t>-</w:t>
            </w:r>
          </w:p>
        </w:tc>
      </w:tr>
      <w:tr>
        <w:trPr>
          <w:trHeight w:val="353" w:hRule="exact"/>
        </w:trPr>
        <w:tc>
          <w:tcPr>
            <w:tcW w:w="5915" w:type="dxa"/>
          </w:tcPr>
          <w:p>
            <w:pPr>
              <w:pStyle w:val="TableParagraph"/>
              <w:spacing w:before="123"/>
              <w:ind w:left="62"/>
              <w:rPr>
                <w:b/>
                <w:sz w:val="18"/>
              </w:rPr>
            </w:pPr>
            <w:r>
              <w:rPr>
                <w:b/>
                <w:sz w:val="18"/>
              </w:rPr>
              <w:t>Total comprehensive income for the year</w:t>
            </w:r>
          </w:p>
        </w:tc>
        <w:tc>
          <w:tcPr>
            <w:tcW w:w="1443" w:type="dxa"/>
          </w:tcPr>
          <w:p>
            <w:pPr/>
          </w:p>
        </w:tc>
        <w:tc>
          <w:tcPr>
            <w:tcW w:w="1410" w:type="dxa"/>
            <w:tcBorders>
              <w:top w:val="single" w:sz="0" w:space="0" w:color="000000"/>
              <w:bottom w:val="single" w:sz="0" w:space="0" w:color="000000"/>
            </w:tcBorders>
          </w:tcPr>
          <w:p>
            <w:pPr>
              <w:pStyle w:val="TableParagraph"/>
              <w:spacing w:before="122"/>
              <w:ind w:left="410"/>
              <w:rPr>
                <w:b/>
                <w:sz w:val="18"/>
              </w:rPr>
            </w:pPr>
            <w:r>
              <w:rPr>
                <w:b/>
                <w:sz w:val="18"/>
              </w:rPr>
              <w:t>3,109,414</w:t>
            </w:r>
          </w:p>
        </w:tc>
        <w:tc>
          <w:tcPr>
            <w:tcW w:w="1185" w:type="dxa"/>
            <w:tcBorders>
              <w:top w:val="single" w:sz="0" w:space="0" w:color="000000"/>
              <w:bottom w:val="single" w:sz="0" w:space="0" w:color="000000"/>
            </w:tcBorders>
          </w:tcPr>
          <w:p>
            <w:pPr>
              <w:pStyle w:val="TableParagraph"/>
              <w:spacing w:before="122"/>
              <w:ind w:right="24"/>
              <w:jc w:val="right"/>
              <w:rPr>
                <w:sz w:val="18"/>
              </w:rPr>
            </w:pPr>
            <w:r>
              <w:rPr>
                <w:w w:val="95"/>
                <w:sz w:val="18"/>
              </w:rPr>
              <w:t>(1,554,492)</w:t>
            </w:r>
          </w:p>
        </w:tc>
      </w:tr>
      <w:tr>
        <w:trPr>
          <w:trHeight w:val="937" w:hRule="exact"/>
        </w:trPr>
        <w:tc>
          <w:tcPr>
            <w:tcW w:w="5915" w:type="dxa"/>
          </w:tcPr>
          <w:p>
            <w:pPr>
              <w:pStyle w:val="TableParagraph"/>
              <w:rPr>
                <w:sz w:val="18"/>
              </w:rPr>
            </w:pPr>
          </w:p>
          <w:p>
            <w:pPr>
              <w:pStyle w:val="TableParagraph"/>
              <w:spacing w:before="9"/>
              <w:rPr>
                <w:sz w:val="21"/>
              </w:rPr>
            </w:pPr>
          </w:p>
          <w:p>
            <w:pPr>
              <w:pStyle w:val="TableParagraph"/>
              <w:ind w:left="62"/>
              <w:rPr>
                <w:b/>
                <w:sz w:val="18"/>
              </w:rPr>
            </w:pPr>
            <w:r>
              <w:rPr>
                <w:b/>
                <w:sz w:val="18"/>
              </w:rPr>
              <w:t>Comprehensive income for the year attributable to:</w:t>
            </w:r>
          </w:p>
          <w:p>
            <w:pPr>
              <w:pStyle w:val="TableParagraph"/>
              <w:spacing w:before="27"/>
              <w:ind w:left="62"/>
              <w:rPr>
                <w:sz w:val="18"/>
              </w:rPr>
            </w:pPr>
            <w:r>
              <w:rPr>
                <w:sz w:val="18"/>
              </w:rPr>
              <w:t>Non-controlling interests</w:t>
            </w:r>
          </w:p>
        </w:tc>
        <w:tc>
          <w:tcPr>
            <w:tcW w:w="1443" w:type="dxa"/>
          </w:tcPr>
          <w:p>
            <w:pPr/>
          </w:p>
        </w:tc>
        <w:tc>
          <w:tcPr>
            <w:tcW w:w="1410" w:type="dxa"/>
            <w:tcBorders>
              <w:top w:val="single" w:sz="0" w:space="0" w:color="000000"/>
            </w:tcBorders>
          </w:tcPr>
          <w:p>
            <w:pPr>
              <w:pStyle w:val="TableParagraph"/>
              <w:rPr>
                <w:sz w:val="18"/>
              </w:rPr>
            </w:pPr>
          </w:p>
          <w:p>
            <w:pPr>
              <w:pStyle w:val="TableParagraph"/>
              <w:rPr>
                <w:sz w:val="18"/>
              </w:rPr>
            </w:pPr>
          </w:p>
          <w:p>
            <w:pPr>
              <w:pStyle w:val="TableParagraph"/>
              <w:spacing w:before="2"/>
              <w:rPr>
                <w:sz w:val="24"/>
              </w:rPr>
            </w:pPr>
          </w:p>
          <w:p>
            <w:pPr>
              <w:pStyle w:val="TableParagraph"/>
              <w:ind w:right="341"/>
              <w:jc w:val="right"/>
              <w:rPr>
                <w:b/>
                <w:sz w:val="18"/>
              </w:rPr>
            </w:pPr>
            <w:r>
              <w:rPr>
                <w:b/>
                <w:w w:val="99"/>
                <w:sz w:val="18"/>
              </w:rPr>
              <w:t>-</w:t>
            </w:r>
          </w:p>
        </w:tc>
        <w:tc>
          <w:tcPr>
            <w:tcW w:w="1185" w:type="dxa"/>
            <w:tcBorders>
              <w:top w:val="single" w:sz="0" w:space="0" w:color="000000"/>
            </w:tcBorders>
          </w:tcPr>
          <w:p>
            <w:pPr>
              <w:pStyle w:val="TableParagraph"/>
              <w:rPr>
                <w:sz w:val="18"/>
              </w:rPr>
            </w:pPr>
          </w:p>
          <w:p>
            <w:pPr>
              <w:pStyle w:val="TableParagraph"/>
              <w:rPr>
                <w:sz w:val="18"/>
              </w:rPr>
            </w:pPr>
          </w:p>
          <w:p>
            <w:pPr>
              <w:pStyle w:val="TableParagraph"/>
              <w:spacing w:before="2"/>
              <w:rPr>
                <w:sz w:val="24"/>
              </w:rPr>
            </w:pPr>
          </w:p>
          <w:p>
            <w:pPr>
              <w:pStyle w:val="TableParagraph"/>
              <w:ind w:right="228"/>
              <w:jc w:val="right"/>
              <w:rPr>
                <w:sz w:val="18"/>
              </w:rPr>
            </w:pPr>
            <w:r>
              <w:rPr>
                <w:w w:val="99"/>
                <w:sz w:val="18"/>
              </w:rPr>
              <w:t>-</w:t>
            </w:r>
          </w:p>
        </w:tc>
      </w:tr>
      <w:tr>
        <w:trPr>
          <w:trHeight w:val="263" w:hRule="exact"/>
        </w:trPr>
        <w:tc>
          <w:tcPr>
            <w:tcW w:w="5915" w:type="dxa"/>
          </w:tcPr>
          <w:p>
            <w:pPr>
              <w:pStyle w:val="TableParagraph"/>
              <w:spacing w:before="18"/>
              <w:ind w:left="62"/>
              <w:rPr>
                <w:sz w:val="18"/>
              </w:rPr>
            </w:pPr>
            <w:r>
              <w:rPr>
                <w:sz w:val="18"/>
              </w:rPr>
              <w:t>Parent</w:t>
            </w:r>
          </w:p>
        </w:tc>
        <w:tc>
          <w:tcPr>
            <w:tcW w:w="1443" w:type="dxa"/>
          </w:tcPr>
          <w:p>
            <w:pPr/>
          </w:p>
        </w:tc>
        <w:tc>
          <w:tcPr>
            <w:tcW w:w="1410" w:type="dxa"/>
            <w:tcBorders>
              <w:bottom w:val="single" w:sz="0" w:space="0" w:color="000000"/>
            </w:tcBorders>
          </w:tcPr>
          <w:p>
            <w:pPr>
              <w:pStyle w:val="TableParagraph"/>
              <w:spacing w:before="19"/>
              <w:ind w:left="410"/>
              <w:rPr>
                <w:b/>
                <w:sz w:val="18"/>
              </w:rPr>
            </w:pPr>
            <w:r>
              <w:rPr>
                <w:b/>
                <w:sz w:val="18"/>
              </w:rPr>
              <w:t>3,109,414</w:t>
            </w:r>
          </w:p>
        </w:tc>
        <w:tc>
          <w:tcPr>
            <w:tcW w:w="1185" w:type="dxa"/>
            <w:tcBorders>
              <w:bottom w:val="single" w:sz="0" w:space="0" w:color="000000"/>
            </w:tcBorders>
          </w:tcPr>
          <w:p>
            <w:pPr>
              <w:pStyle w:val="TableParagraph"/>
              <w:spacing w:before="19"/>
              <w:ind w:right="24"/>
              <w:jc w:val="right"/>
              <w:rPr>
                <w:sz w:val="18"/>
              </w:rPr>
            </w:pPr>
            <w:r>
              <w:rPr>
                <w:w w:val="95"/>
                <w:sz w:val="18"/>
              </w:rPr>
              <w:t>(1,554,492)</w:t>
            </w:r>
          </w:p>
        </w:tc>
      </w:tr>
      <w:tr>
        <w:trPr>
          <w:trHeight w:val="353" w:hRule="exact"/>
        </w:trPr>
        <w:tc>
          <w:tcPr>
            <w:tcW w:w="5915" w:type="dxa"/>
          </w:tcPr>
          <w:p>
            <w:pPr>
              <w:pStyle w:val="TableParagraph"/>
              <w:spacing w:before="123"/>
              <w:ind w:left="62"/>
              <w:rPr>
                <w:b/>
                <w:sz w:val="18"/>
              </w:rPr>
            </w:pPr>
            <w:r>
              <w:rPr>
                <w:b/>
                <w:sz w:val="18"/>
              </w:rPr>
              <w:t>Total comprehensive income for the year</w:t>
            </w:r>
          </w:p>
        </w:tc>
        <w:tc>
          <w:tcPr>
            <w:tcW w:w="1443" w:type="dxa"/>
          </w:tcPr>
          <w:p>
            <w:pPr/>
          </w:p>
        </w:tc>
        <w:tc>
          <w:tcPr>
            <w:tcW w:w="1410" w:type="dxa"/>
            <w:tcBorders>
              <w:top w:val="single" w:sz="0" w:space="0" w:color="000000"/>
              <w:bottom w:val="single" w:sz="0" w:space="0" w:color="000000"/>
            </w:tcBorders>
          </w:tcPr>
          <w:p>
            <w:pPr>
              <w:pStyle w:val="TableParagraph"/>
              <w:spacing w:before="122"/>
              <w:ind w:left="410"/>
              <w:rPr>
                <w:b/>
                <w:sz w:val="18"/>
              </w:rPr>
            </w:pPr>
            <w:r>
              <w:rPr>
                <w:b/>
                <w:sz w:val="18"/>
              </w:rPr>
              <w:t>3,109,414</w:t>
            </w:r>
          </w:p>
        </w:tc>
        <w:tc>
          <w:tcPr>
            <w:tcW w:w="1185" w:type="dxa"/>
            <w:tcBorders>
              <w:top w:val="single" w:sz="0" w:space="0" w:color="000000"/>
              <w:bottom w:val="single" w:sz="0" w:space="0" w:color="000000"/>
            </w:tcBorders>
          </w:tcPr>
          <w:p>
            <w:pPr>
              <w:pStyle w:val="TableParagraph"/>
              <w:spacing w:before="122"/>
              <w:ind w:right="24"/>
              <w:jc w:val="right"/>
              <w:rPr>
                <w:sz w:val="18"/>
              </w:rPr>
            </w:pPr>
            <w:r>
              <w:rPr>
                <w:w w:val="95"/>
                <w:sz w:val="18"/>
              </w:rPr>
              <w:t>(1,554,492)</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pStyle w:val="BodyText"/>
        <w:spacing w:before="77"/>
        <w:ind w:left="2531" w:right="19"/>
      </w:pPr>
      <w:r>
        <w:rPr/>
        <w:t>The accompanying notes form part of these financial statements.</w:t>
      </w:r>
    </w:p>
    <w:p>
      <w:pPr>
        <w:spacing w:after="0"/>
        <w:sectPr>
          <w:headerReference w:type="default" r:id="rId83"/>
          <w:pgSz w:w="11910" w:h="16840"/>
          <w:pgMar w:header="1038" w:footer="460" w:top="1460" w:bottom="700" w:left="860" w:right="86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884"/>
        <w:gridCol w:w="474"/>
        <w:gridCol w:w="1459"/>
        <w:gridCol w:w="1135"/>
      </w:tblGrid>
      <w:tr>
        <w:trPr>
          <w:trHeight w:val="911" w:hRule="exact"/>
        </w:trPr>
        <w:tc>
          <w:tcPr>
            <w:tcW w:w="6884" w:type="dxa"/>
          </w:tcPr>
          <w:p>
            <w:pPr>
              <w:pStyle w:val="TableParagraph"/>
              <w:spacing w:before="64"/>
              <w:ind w:left="35"/>
              <w:rPr>
                <w:b/>
                <w:sz w:val="28"/>
              </w:rPr>
            </w:pPr>
            <w:r>
              <w:rPr>
                <w:b/>
                <w:sz w:val="28"/>
              </w:rPr>
              <w:t>Statement of Financial Position</w:t>
            </w:r>
          </w:p>
          <w:p>
            <w:pPr>
              <w:pStyle w:val="TableParagraph"/>
              <w:spacing w:before="57"/>
              <w:ind w:left="35"/>
              <w:rPr>
                <w:b/>
                <w:sz w:val="22"/>
              </w:rPr>
            </w:pPr>
            <w:r>
              <w:rPr>
                <w:b/>
                <w:sz w:val="22"/>
              </w:rPr>
              <w:t>As at 31 December 2017</w:t>
            </w:r>
          </w:p>
        </w:tc>
        <w:tc>
          <w:tcPr>
            <w:tcW w:w="3068" w:type="dxa"/>
            <w:gridSpan w:val="3"/>
          </w:tcPr>
          <w:p>
            <w:pPr/>
          </w:p>
        </w:tc>
      </w:tr>
      <w:tr>
        <w:trPr>
          <w:trHeight w:val="447" w:hRule="exact"/>
        </w:trPr>
        <w:tc>
          <w:tcPr>
            <w:tcW w:w="6884" w:type="dxa"/>
          </w:tcPr>
          <w:p>
            <w:pPr/>
          </w:p>
        </w:tc>
        <w:tc>
          <w:tcPr>
            <w:tcW w:w="474" w:type="dxa"/>
          </w:tcPr>
          <w:p>
            <w:pPr/>
          </w:p>
        </w:tc>
        <w:tc>
          <w:tcPr>
            <w:tcW w:w="1459" w:type="dxa"/>
          </w:tcPr>
          <w:p>
            <w:pPr>
              <w:pStyle w:val="TableParagraph"/>
              <w:spacing w:before="1"/>
              <w:rPr>
                <w:sz w:val="17"/>
              </w:rPr>
            </w:pPr>
          </w:p>
          <w:p>
            <w:pPr>
              <w:pStyle w:val="TableParagraph"/>
              <w:ind w:left="448"/>
              <w:rPr>
                <w:b/>
                <w:sz w:val="18"/>
              </w:rPr>
            </w:pPr>
            <w:r>
              <w:rPr>
                <w:b/>
                <w:sz w:val="18"/>
              </w:rPr>
              <w:t>2017</w:t>
            </w:r>
          </w:p>
        </w:tc>
        <w:tc>
          <w:tcPr>
            <w:tcW w:w="1135" w:type="dxa"/>
          </w:tcPr>
          <w:p>
            <w:pPr>
              <w:pStyle w:val="TableParagraph"/>
              <w:spacing w:before="1"/>
              <w:rPr>
                <w:sz w:val="17"/>
              </w:rPr>
            </w:pPr>
          </w:p>
          <w:p>
            <w:pPr>
              <w:pStyle w:val="TableParagraph"/>
              <w:ind w:left="286"/>
              <w:rPr>
                <w:b/>
                <w:sz w:val="18"/>
              </w:rPr>
            </w:pPr>
            <w:r>
              <w:rPr>
                <w:b/>
                <w:sz w:val="18"/>
              </w:rPr>
              <w:t>2016</w:t>
            </w:r>
          </w:p>
        </w:tc>
      </w:tr>
      <w:tr>
        <w:trPr>
          <w:trHeight w:val="313" w:hRule="exact"/>
        </w:trPr>
        <w:tc>
          <w:tcPr>
            <w:tcW w:w="6884" w:type="dxa"/>
          </w:tcPr>
          <w:p>
            <w:pPr/>
          </w:p>
        </w:tc>
        <w:tc>
          <w:tcPr>
            <w:tcW w:w="474" w:type="dxa"/>
          </w:tcPr>
          <w:p>
            <w:pPr>
              <w:pStyle w:val="TableParagraph"/>
              <w:spacing w:before="24"/>
              <w:ind w:left="-15" w:right="86"/>
              <w:jc w:val="center"/>
              <w:rPr>
                <w:b/>
                <w:sz w:val="18"/>
              </w:rPr>
            </w:pPr>
            <w:r>
              <w:rPr>
                <w:b/>
                <w:sz w:val="18"/>
              </w:rPr>
              <w:t>Note</w:t>
            </w:r>
          </w:p>
        </w:tc>
        <w:tc>
          <w:tcPr>
            <w:tcW w:w="1459" w:type="dxa"/>
          </w:tcPr>
          <w:p>
            <w:pPr>
              <w:pStyle w:val="TableParagraph"/>
              <w:spacing w:before="24"/>
              <w:ind w:right="159"/>
              <w:jc w:val="center"/>
              <w:rPr>
                <w:b/>
                <w:sz w:val="18"/>
              </w:rPr>
            </w:pPr>
            <w:r>
              <w:rPr>
                <w:b/>
                <w:w w:val="99"/>
                <w:sz w:val="18"/>
              </w:rPr>
              <w:t>$</w:t>
            </w:r>
          </w:p>
        </w:tc>
        <w:tc>
          <w:tcPr>
            <w:tcW w:w="1135" w:type="dxa"/>
          </w:tcPr>
          <w:p>
            <w:pPr>
              <w:pStyle w:val="TableParagraph"/>
              <w:spacing w:before="24"/>
              <w:ind w:right="159"/>
              <w:jc w:val="center"/>
              <w:rPr>
                <w:b/>
                <w:sz w:val="18"/>
              </w:rPr>
            </w:pPr>
            <w:r>
              <w:rPr>
                <w:b/>
                <w:w w:val="99"/>
                <w:sz w:val="18"/>
              </w:rPr>
              <w:t>$</w:t>
            </w:r>
          </w:p>
        </w:tc>
      </w:tr>
      <w:tr>
        <w:trPr>
          <w:trHeight w:val="542" w:hRule="exact"/>
        </w:trPr>
        <w:tc>
          <w:tcPr>
            <w:tcW w:w="6884" w:type="dxa"/>
          </w:tcPr>
          <w:p>
            <w:pPr>
              <w:pStyle w:val="TableParagraph"/>
              <w:spacing w:before="63"/>
              <w:ind w:left="62"/>
              <w:rPr>
                <w:b/>
                <w:sz w:val="18"/>
              </w:rPr>
            </w:pPr>
            <w:r>
              <w:rPr>
                <w:b/>
                <w:sz w:val="18"/>
              </w:rPr>
              <w:t>ASSETS</w:t>
            </w:r>
          </w:p>
          <w:p>
            <w:pPr>
              <w:pStyle w:val="TableParagraph"/>
              <w:spacing w:before="27"/>
              <w:ind w:left="62"/>
              <w:rPr>
                <w:b/>
                <w:sz w:val="18"/>
              </w:rPr>
            </w:pPr>
            <w:r>
              <w:rPr>
                <w:b/>
                <w:sz w:val="18"/>
              </w:rPr>
              <w:t>Current assets</w:t>
            </w:r>
          </w:p>
        </w:tc>
        <w:tc>
          <w:tcPr>
            <w:tcW w:w="474" w:type="dxa"/>
          </w:tcPr>
          <w:p>
            <w:pPr/>
          </w:p>
        </w:tc>
        <w:tc>
          <w:tcPr>
            <w:tcW w:w="1459" w:type="dxa"/>
          </w:tcPr>
          <w:p>
            <w:pPr/>
          </w:p>
        </w:tc>
        <w:tc>
          <w:tcPr>
            <w:tcW w:w="1135" w:type="dxa"/>
          </w:tcPr>
          <w:p>
            <w:pPr/>
          </w:p>
        </w:tc>
      </w:tr>
      <w:tr>
        <w:trPr>
          <w:trHeight w:val="265" w:hRule="exact"/>
        </w:trPr>
        <w:tc>
          <w:tcPr>
            <w:tcW w:w="6884" w:type="dxa"/>
          </w:tcPr>
          <w:p>
            <w:pPr>
              <w:pStyle w:val="TableParagraph"/>
              <w:spacing w:before="19"/>
              <w:ind w:left="62"/>
              <w:rPr>
                <w:sz w:val="18"/>
              </w:rPr>
            </w:pPr>
            <w:r>
              <w:rPr>
                <w:sz w:val="18"/>
              </w:rPr>
              <w:t>Cash and cash equivalents</w:t>
            </w:r>
          </w:p>
        </w:tc>
        <w:tc>
          <w:tcPr>
            <w:tcW w:w="474" w:type="dxa"/>
          </w:tcPr>
          <w:p>
            <w:pPr>
              <w:pStyle w:val="TableParagraph"/>
              <w:spacing w:before="20"/>
              <w:ind w:right="101"/>
              <w:jc w:val="center"/>
              <w:rPr>
                <w:sz w:val="18"/>
              </w:rPr>
            </w:pPr>
            <w:r>
              <w:rPr>
                <w:w w:val="99"/>
                <w:sz w:val="18"/>
              </w:rPr>
              <w:t>7</w:t>
            </w:r>
          </w:p>
        </w:tc>
        <w:tc>
          <w:tcPr>
            <w:tcW w:w="1459" w:type="dxa"/>
          </w:tcPr>
          <w:p>
            <w:pPr>
              <w:pStyle w:val="TableParagraph"/>
              <w:spacing w:before="20"/>
              <w:ind w:right="246"/>
              <w:jc w:val="right"/>
              <w:rPr>
                <w:b/>
                <w:sz w:val="18"/>
              </w:rPr>
            </w:pPr>
            <w:r>
              <w:rPr>
                <w:b/>
                <w:w w:val="95"/>
                <w:sz w:val="18"/>
              </w:rPr>
              <w:t>142,653</w:t>
            </w:r>
          </w:p>
        </w:tc>
        <w:tc>
          <w:tcPr>
            <w:tcW w:w="1135" w:type="dxa"/>
          </w:tcPr>
          <w:p>
            <w:pPr>
              <w:pStyle w:val="TableParagraph"/>
              <w:spacing w:before="20"/>
              <w:ind w:left="398"/>
              <w:rPr>
                <w:sz w:val="18"/>
              </w:rPr>
            </w:pPr>
            <w:r>
              <w:rPr>
                <w:sz w:val="18"/>
              </w:rPr>
              <w:t>496,008</w:t>
            </w:r>
          </w:p>
        </w:tc>
      </w:tr>
      <w:tr>
        <w:trPr>
          <w:trHeight w:val="264" w:hRule="exact"/>
        </w:trPr>
        <w:tc>
          <w:tcPr>
            <w:tcW w:w="6884" w:type="dxa"/>
          </w:tcPr>
          <w:p>
            <w:pPr>
              <w:pStyle w:val="TableParagraph"/>
              <w:spacing w:before="18"/>
              <w:ind w:left="62"/>
              <w:rPr>
                <w:sz w:val="18"/>
              </w:rPr>
            </w:pPr>
            <w:r>
              <w:rPr>
                <w:sz w:val="18"/>
              </w:rPr>
              <w:t>Trade and other receivables</w:t>
            </w:r>
          </w:p>
        </w:tc>
        <w:tc>
          <w:tcPr>
            <w:tcW w:w="474" w:type="dxa"/>
          </w:tcPr>
          <w:p>
            <w:pPr>
              <w:pStyle w:val="TableParagraph"/>
              <w:spacing w:before="19"/>
              <w:ind w:right="101"/>
              <w:jc w:val="center"/>
              <w:rPr>
                <w:sz w:val="18"/>
              </w:rPr>
            </w:pPr>
            <w:r>
              <w:rPr>
                <w:w w:val="99"/>
                <w:sz w:val="18"/>
              </w:rPr>
              <w:t>8</w:t>
            </w:r>
          </w:p>
        </w:tc>
        <w:tc>
          <w:tcPr>
            <w:tcW w:w="1459" w:type="dxa"/>
          </w:tcPr>
          <w:p>
            <w:pPr>
              <w:pStyle w:val="TableParagraph"/>
              <w:spacing w:before="19"/>
              <w:ind w:right="246"/>
              <w:jc w:val="right"/>
              <w:rPr>
                <w:b/>
                <w:sz w:val="18"/>
              </w:rPr>
            </w:pPr>
            <w:r>
              <w:rPr>
                <w:b/>
                <w:w w:val="95"/>
                <w:sz w:val="18"/>
              </w:rPr>
              <w:t>105,261</w:t>
            </w:r>
          </w:p>
        </w:tc>
        <w:tc>
          <w:tcPr>
            <w:tcW w:w="1135" w:type="dxa"/>
          </w:tcPr>
          <w:p>
            <w:pPr>
              <w:pStyle w:val="TableParagraph"/>
              <w:spacing w:before="19"/>
              <w:ind w:left="248"/>
              <w:rPr>
                <w:sz w:val="18"/>
              </w:rPr>
            </w:pPr>
            <w:r>
              <w:rPr>
                <w:sz w:val="18"/>
              </w:rPr>
              <w:t>2,746,448</w:t>
            </w:r>
          </w:p>
        </w:tc>
      </w:tr>
      <w:tr>
        <w:trPr>
          <w:trHeight w:val="264" w:hRule="exact"/>
        </w:trPr>
        <w:tc>
          <w:tcPr>
            <w:tcW w:w="6884" w:type="dxa"/>
          </w:tcPr>
          <w:p>
            <w:pPr>
              <w:pStyle w:val="TableParagraph"/>
              <w:spacing w:before="18"/>
              <w:ind w:left="62"/>
              <w:rPr>
                <w:sz w:val="18"/>
              </w:rPr>
            </w:pPr>
            <w:r>
              <w:rPr>
                <w:sz w:val="18"/>
              </w:rPr>
              <w:t>Inventories</w:t>
            </w:r>
          </w:p>
        </w:tc>
        <w:tc>
          <w:tcPr>
            <w:tcW w:w="474" w:type="dxa"/>
          </w:tcPr>
          <w:p>
            <w:pPr>
              <w:pStyle w:val="TableParagraph"/>
              <w:spacing w:before="19"/>
              <w:ind w:right="101"/>
              <w:jc w:val="center"/>
              <w:rPr>
                <w:sz w:val="18"/>
              </w:rPr>
            </w:pPr>
            <w:r>
              <w:rPr>
                <w:w w:val="99"/>
                <w:sz w:val="18"/>
              </w:rPr>
              <w:t>9</w:t>
            </w:r>
          </w:p>
        </w:tc>
        <w:tc>
          <w:tcPr>
            <w:tcW w:w="1459" w:type="dxa"/>
          </w:tcPr>
          <w:p>
            <w:pPr>
              <w:pStyle w:val="TableParagraph"/>
              <w:spacing w:before="19"/>
              <w:ind w:right="246"/>
              <w:jc w:val="right"/>
              <w:rPr>
                <w:b/>
                <w:sz w:val="18"/>
              </w:rPr>
            </w:pPr>
            <w:r>
              <w:rPr>
                <w:b/>
                <w:w w:val="95"/>
                <w:sz w:val="18"/>
              </w:rPr>
              <w:t>58,060</w:t>
            </w:r>
          </w:p>
        </w:tc>
        <w:tc>
          <w:tcPr>
            <w:tcW w:w="1135" w:type="dxa"/>
          </w:tcPr>
          <w:p>
            <w:pPr>
              <w:pStyle w:val="TableParagraph"/>
              <w:spacing w:before="19"/>
              <w:ind w:right="84"/>
              <w:jc w:val="right"/>
              <w:rPr>
                <w:sz w:val="18"/>
              </w:rPr>
            </w:pPr>
            <w:r>
              <w:rPr>
                <w:w w:val="95"/>
                <w:sz w:val="18"/>
              </w:rPr>
              <w:t>14,753</w:t>
            </w:r>
          </w:p>
        </w:tc>
      </w:tr>
      <w:tr>
        <w:trPr>
          <w:trHeight w:val="264" w:hRule="exact"/>
        </w:trPr>
        <w:tc>
          <w:tcPr>
            <w:tcW w:w="6884" w:type="dxa"/>
          </w:tcPr>
          <w:p>
            <w:pPr>
              <w:pStyle w:val="TableParagraph"/>
              <w:spacing w:before="18"/>
              <w:ind w:left="62"/>
              <w:rPr>
                <w:sz w:val="18"/>
              </w:rPr>
            </w:pPr>
            <w:r>
              <w:rPr>
                <w:sz w:val="18"/>
              </w:rPr>
              <w:t>Other assets</w:t>
            </w:r>
          </w:p>
        </w:tc>
        <w:tc>
          <w:tcPr>
            <w:tcW w:w="474" w:type="dxa"/>
          </w:tcPr>
          <w:p>
            <w:pPr/>
          </w:p>
        </w:tc>
        <w:tc>
          <w:tcPr>
            <w:tcW w:w="1459" w:type="dxa"/>
          </w:tcPr>
          <w:p>
            <w:pPr>
              <w:pStyle w:val="TableParagraph"/>
              <w:spacing w:before="19"/>
              <w:ind w:right="246"/>
              <w:jc w:val="right"/>
              <w:rPr>
                <w:b/>
                <w:sz w:val="18"/>
              </w:rPr>
            </w:pPr>
            <w:r>
              <w:rPr>
                <w:b/>
                <w:w w:val="95"/>
                <w:sz w:val="18"/>
              </w:rPr>
              <w:t>43,738</w:t>
            </w:r>
          </w:p>
        </w:tc>
        <w:tc>
          <w:tcPr>
            <w:tcW w:w="1135" w:type="dxa"/>
          </w:tcPr>
          <w:p>
            <w:pPr>
              <w:pStyle w:val="TableParagraph"/>
              <w:spacing w:before="19"/>
              <w:ind w:right="84"/>
              <w:jc w:val="right"/>
              <w:rPr>
                <w:sz w:val="18"/>
              </w:rPr>
            </w:pPr>
            <w:r>
              <w:rPr>
                <w:w w:val="95"/>
                <w:sz w:val="18"/>
              </w:rPr>
              <w:t>41,055</w:t>
            </w:r>
          </w:p>
        </w:tc>
      </w:tr>
      <w:tr>
        <w:trPr>
          <w:trHeight w:val="263" w:hRule="exact"/>
        </w:trPr>
        <w:tc>
          <w:tcPr>
            <w:tcW w:w="6884" w:type="dxa"/>
          </w:tcPr>
          <w:p>
            <w:pPr>
              <w:pStyle w:val="TableParagraph"/>
              <w:spacing w:before="18"/>
              <w:ind w:left="62"/>
              <w:rPr>
                <w:sz w:val="18"/>
              </w:rPr>
            </w:pPr>
            <w:r>
              <w:rPr>
                <w:sz w:val="18"/>
              </w:rPr>
              <w:t>Disposal groups classified as held for sale</w:t>
            </w:r>
          </w:p>
        </w:tc>
        <w:tc>
          <w:tcPr>
            <w:tcW w:w="474" w:type="dxa"/>
          </w:tcPr>
          <w:p>
            <w:pPr>
              <w:pStyle w:val="TableParagraph"/>
              <w:spacing w:before="19"/>
              <w:ind w:left="66" w:right="167"/>
              <w:jc w:val="center"/>
              <w:rPr>
                <w:sz w:val="18"/>
              </w:rPr>
            </w:pPr>
            <w:r>
              <w:rPr>
                <w:sz w:val="18"/>
              </w:rPr>
              <w:t>10</w:t>
            </w:r>
          </w:p>
        </w:tc>
        <w:tc>
          <w:tcPr>
            <w:tcW w:w="1459" w:type="dxa"/>
            <w:tcBorders>
              <w:bottom w:val="single" w:sz="0" w:space="0" w:color="000000"/>
            </w:tcBorders>
          </w:tcPr>
          <w:p>
            <w:pPr>
              <w:pStyle w:val="TableParagraph"/>
              <w:spacing w:before="19"/>
              <w:ind w:right="390"/>
              <w:jc w:val="right"/>
              <w:rPr>
                <w:b/>
                <w:sz w:val="18"/>
              </w:rPr>
            </w:pPr>
            <w:r>
              <w:rPr>
                <w:b/>
                <w:w w:val="99"/>
                <w:sz w:val="18"/>
              </w:rPr>
              <w:t>-</w:t>
            </w:r>
          </w:p>
        </w:tc>
        <w:tc>
          <w:tcPr>
            <w:tcW w:w="1135" w:type="dxa"/>
            <w:tcBorders>
              <w:bottom w:val="single" w:sz="0" w:space="0" w:color="000000"/>
            </w:tcBorders>
          </w:tcPr>
          <w:p>
            <w:pPr>
              <w:pStyle w:val="TableParagraph"/>
              <w:spacing w:before="19"/>
              <w:ind w:left="398"/>
              <w:rPr>
                <w:sz w:val="18"/>
              </w:rPr>
            </w:pPr>
            <w:r>
              <w:rPr>
                <w:sz w:val="18"/>
              </w:rPr>
              <w:t>130,266</w:t>
            </w:r>
          </w:p>
        </w:tc>
      </w:tr>
      <w:tr>
        <w:trPr>
          <w:trHeight w:val="338" w:hRule="exact"/>
        </w:trPr>
        <w:tc>
          <w:tcPr>
            <w:tcW w:w="6884" w:type="dxa"/>
          </w:tcPr>
          <w:p>
            <w:pPr>
              <w:pStyle w:val="TableParagraph"/>
              <w:spacing w:before="38"/>
              <w:ind w:left="62"/>
              <w:rPr>
                <w:b/>
                <w:sz w:val="18"/>
              </w:rPr>
            </w:pPr>
            <w:r>
              <w:rPr>
                <w:b/>
                <w:sz w:val="18"/>
              </w:rPr>
              <w:t>Total current assets</w:t>
            </w:r>
          </w:p>
        </w:tc>
        <w:tc>
          <w:tcPr>
            <w:tcW w:w="474" w:type="dxa"/>
          </w:tcPr>
          <w:p>
            <w:pP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349,712</w:t>
            </w:r>
          </w:p>
        </w:tc>
        <w:tc>
          <w:tcPr>
            <w:tcW w:w="1135" w:type="dxa"/>
            <w:tcBorders>
              <w:top w:val="single" w:sz="0" w:space="0" w:color="000000"/>
              <w:bottom w:val="single" w:sz="0" w:space="0" w:color="000000"/>
            </w:tcBorders>
          </w:tcPr>
          <w:p>
            <w:pPr>
              <w:pStyle w:val="TableParagraph"/>
              <w:spacing w:before="122"/>
              <w:ind w:left="248"/>
              <w:rPr>
                <w:sz w:val="18"/>
              </w:rPr>
            </w:pPr>
            <w:r>
              <w:rPr>
                <w:sz w:val="18"/>
              </w:rPr>
              <w:t>3,428,530</w:t>
            </w:r>
          </w:p>
        </w:tc>
      </w:tr>
      <w:tr>
        <w:trPr>
          <w:trHeight w:val="283" w:hRule="exact"/>
        </w:trPr>
        <w:tc>
          <w:tcPr>
            <w:tcW w:w="6884" w:type="dxa"/>
          </w:tcPr>
          <w:p>
            <w:pPr>
              <w:pStyle w:val="TableParagraph"/>
              <w:spacing w:before="38"/>
              <w:ind w:left="62"/>
              <w:rPr>
                <w:b/>
                <w:sz w:val="18"/>
              </w:rPr>
            </w:pPr>
            <w:r>
              <w:rPr>
                <w:b/>
                <w:sz w:val="18"/>
              </w:rPr>
              <w:t>Non-current assets</w:t>
            </w:r>
          </w:p>
        </w:tc>
        <w:tc>
          <w:tcPr>
            <w:tcW w:w="474" w:type="dxa"/>
          </w:tcPr>
          <w:p>
            <w:pPr/>
          </w:p>
        </w:tc>
        <w:tc>
          <w:tcPr>
            <w:tcW w:w="1459" w:type="dxa"/>
            <w:tcBorders>
              <w:top w:val="single" w:sz="0" w:space="0" w:color="000000"/>
            </w:tcBorders>
          </w:tcPr>
          <w:p>
            <w:pPr/>
          </w:p>
        </w:tc>
        <w:tc>
          <w:tcPr>
            <w:tcW w:w="1135" w:type="dxa"/>
            <w:tcBorders>
              <w:top w:val="single" w:sz="0" w:space="0" w:color="000000"/>
            </w:tcBorders>
          </w:tcPr>
          <w:p>
            <w:pPr/>
          </w:p>
        </w:tc>
      </w:tr>
      <w:tr>
        <w:trPr>
          <w:trHeight w:val="265" w:hRule="exact"/>
        </w:trPr>
        <w:tc>
          <w:tcPr>
            <w:tcW w:w="6884" w:type="dxa"/>
          </w:tcPr>
          <w:p>
            <w:pPr>
              <w:pStyle w:val="TableParagraph"/>
              <w:spacing w:before="19"/>
              <w:ind w:left="62"/>
              <w:rPr>
                <w:sz w:val="18"/>
              </w:rPr>
            </w:pPr>
            <w:r>
              <w:rPr>
                <w:sz w:val="18"/>
              </w:rPr>
              <w:t>Property, plant and equipment</w:t>
            </w:r>
          </w:p>
        </w:tc>
        <w:tc>
          <w:tcPr>
            <w:tcW w:w="474" w:type="dxa"/>
          </w:tcPr>
          <w:p>
            <w:pPr>
              <w:pStyle w:val="TableParagraph"/>
              <w:spacing w:before="20"/>
              <w:ind w:left="66" w:right="167"/>
              <w:jc w:val="center"/>
              <w:rPr>
                <w:sz w:val="18"/>
              </w:rPr>
            </w:pPr>
            <w:r>
              <w:rPr>
                <w:sz w:val="18"/>
              </w:rPr>
              <w:t>11</w:t>
            </w:r>
          </w:p>
        </w:tc>
        <w:tc>
          <w:tcPr>
            <w:tcW w:w="1459" w:type="dxa"/>
          </w:tcPr>
          <w:p>
            <w:pPr>
              <w:pStyle w:val="TableParagraph"/>
              <w:spacing w:before="20"/>
              <w:ind w:right="246"/>
              <w:jc w:val="right"/>
              <w:rPr>
                <w:b/>
                <w:sz w:val="18"/>
              </w:rPr>
            </w:pPr>
            <w:r>
              <w:rPr>
                <w:b/>
                <w:w w:val="95"/>
                <w:sz w:val="18"/>
              </w:rPr>
              <w:t>34,346</w:t>
            </w:r>
          </w:p>
        </w:tc>
        <w:tc>
          <w:tcPr>
            <w:tcW w:w="1135" w:type="dxa"/>
          </w:tcPr>
          <w:p>
            <w:pPr>
              <w:pStyle w:val="TableParagraph"/>
              <w:spacing w:before="20"/>
              <w:ind w:right="84"/>
              <w:jc w:val="right"/>
              <w:rPr>
                <w:sz w:val="18"/>
              </w:rPr>
            </w:pPr>
            <w:r>
              <w:rPr>
                <w:w w:val="95"/>
                <w:sz w:val="18"/>
              </w:rPr>
              <w:t>66,143</w:t>
            </w:r>
          </w:p>
        </w:tc>
      </w:tr>
      <w:tr>
        <w:trPr>
          <w:trHeight w:val="263" w:hRule="exact"/>
        </w:trPr>
        <w:tc>
          <w:tcPr>
            <w:tcW w:w="6884" w:type="dxa"/>
          </w:tcPr>
          <w:p>
            <w:pPr>
              <w:pStyle w:val="TableParagraph"/>
              <w:spacing w:before="18"/>
              <w:ind w:left="62"/>
              <w:rPr>
                <w:sz w:val="18"/>
              </w:rPr>
            </w:pPr>
            <w:r>
              <w:rPr>
                <w:sz w:val="18"/>
              </w:rPr>
              <w:t>Intangible assets</w:t>
            </w:r>
          </w:p>
        </w:tc>
        <w:tc>
          <w:tcPr>
            <w:tcW w:w="474" w:type="dxa"/>
          </w:tcPr>
          <w:p>
            <w:pPr>
              <w:pStyle w:val="TableParagraph"/>
              <w:spacing w:before="19"/>
              <w:ind w:left="66" w:right="167"/>
              <w:jc w:val="center"/>
              <w:rPr>
                <w:sz w:val="18"/>
              </w:rPr>
            </w:pPr>
            <w:r>
              <w:rPr>
                <w:sz w:val="18"/>
              </w:rPr>
              <w:t>12</w:t>
            </w:r>
          </w:p>
        </w:tc>
        <w:tc>
          <w:tcPr>
            <w:tcW w:w="1459" w:type="dxa"/>
            <w:tcBorders>
              <w:bottom w:val="single" w:sz="0" w:space="0" w:color="000000"/>
            </w:tcBorders>
          </w:tcPr>
          <w:p>
            <w:pPr>
              <w:pStyle w:val="TableParagraph"/>
              <w:spacing w:before="19"/>
              <w:ind w:right="390"/>
              <w:jc w:val="right"/>
              <w:rPr>
                <w:b/>
                <w:sz w:val="18"/>
              </w:rPr>
            </w:pPr>
            <w:r>
              <w:rPr>
                <w:b/>
                <w:w w:val="99"/>
                <w:sz w:val="18"/>
              </w:rPr>
              <w:t>-</w:t>
            </w:r>
          </w:p>
        </w:tc>
        <w:tc>
          <w:tcPr>
            <w:tcW w:w="1135" w:type="dxa"/>
            <w:tcBorders>
              <w:bottom w:val="single" w:sz="0" w:space="0" w:color="000000"/>
            </w:tcBorders>
          </w:tcPr>
          <w:p>
            <w:pPr>
              <w:pStyle w:val="TableParagraph"/>
              <w:spacing w:before="19"/>
              <w:ind w:right="228"/>
              <w:jc w:val="right"/>
              <w:rPr>
                <w:sz w:val="18"/>
              </w:rPr>
            </w:pPr>
            <w:r>
              <w:rPr>
                <w:w w:val="99"/>
                <w:sz w:val="18"/>
              </w:rPr>
              <w:t>-</w:t>
            </w:r>
          </w:p>
        </w:tc>
      </w:tr>
      <w:tr>
        <w:trPr>
          <w:trHeight w:val="338" w:hRule="exact"/>
        </w:trPr>
        <w:tc>
          <w:tcPr>
            <w:tcW w:w="8817" w:type="dxa"/>
            <w:gridSpan w:val="3"/>
          </w:tcPr>
          <w:p>
            <w:pPr>
              <w:pStyle w:val="TableParagraph"/>
              <w:tabs>
                <w:tab w:pos="8017" w:val="left" w:leader="none"/>
              </w:tabs>
              <w:spacing w:before="28"/>
              <w:ind w:left="62"/>
              <w:rPr>
                <w:b/>
                <w:sz w:val="18"/>
              </w:rPr>
            </w:pPr>
            <w:r>
              <w:rPr>
                <w:b/>
                <w:sz w:val="18"/>
              </w:rPr>
              <w:t>Total non-current assets</w:t>
              <w:tab/>
            </w:r>
            <w:r>
              <w:rPr>
                <w:b/>
                <w:position w:val="-8"/>
                <w:sz w:val="18"/>
              </w:rPr>
              <w:t>34,346</w:t>
            </w:r>
          </w:p>
        </w:tc>
        <w:tc>
          <w:tcPr>
            <w:tcW w:w="1135" w:type="dxa"/>
            <w:tcBorders>
              <w:bottom w:val="single" w:sz="0" w:space="0" w:color="000000"/>
            </w:tcBorders>
          </w:tcPr>
          <w:p>
            <w:pPr>
              <w:pStyle w:val="TableParagraph"/>
              <w:spacing w:before="113"/>
              <w:ind w:right="84"/>
              <w:jc w:val="right"/>
              <w:rPr>
                <w:sz w:val="18"/>
              </w:rPr>
            </w:pPr>
            <w:r>
              <w:rPr>
                <w:w w:val="95"/>
                <w:sz w:val="18"/>
              </w:rPr>
              <w:t>66,143</w:t>
            </w:r>
          </w:p>
        </w:tc>
      </w:tr>
      <w:tr>
        <w:trPr>
          <w:trHeight w:val="353" w:hRule="exact"/>
        </w:trPr>
        <w:tc>
          <w:tcPr>
            <w:tcW w:w="6884" w:type="dxa"/>
          </w:tcPr>
          <w:p>
            <w:pPr>
              <w:pStyle w:val="TableParagraph"/>
              <w:spacing w:before="28"/>
              <w:ind w:left="62"/>
              <w:rPr>
                <w:b/>
                <w:sz w:val="18"/>
              </w:rPr>
            </w:pPr>
            <w:r>
              <w:rPr>
                <w:b/>
                <w:sz w:val="18"/>
              </w:rPr>
              <w:t>Total assets</w:t>
            </w:r>
          </w:p>
        </w:tc>
        <w:tc>
          <w:tcPr>
            <w:tcW w:w="474" w:type="dxa"/>
          </w:tcPr>
          <w:p>
            <w:pPr/>
          </w:p>
        </w:tc>
        <w:tc>
          <w:tcPr>
            <w:tcW w:w="1459" w:type="dxa"/>
            <w:tcBorders>
              <w:bottom w:val="single" w:sz="0" w:space="0" w:color="000000"/>
            </w:tcBorders>
          </w:tcPr>
          <w:p>
            <w:pPr>
              <w:pStyle w:val="TableParagraph"/>
              <w:spacing w:before="113"/>
              <w:ind w:right="246"/>
              <w:jc w:val="right"/>
              <w:rPr>
                <w:b/>
                <w:sz w:val="18"/>
              </w:rPr>
            </w:pPr>
            <w:r>
              <w:rPr>
                <w:b/>
                <w:w w:val="95"/>
                <w:sz w:val="18"/>
              </w:rPr>
              <w:t>384,058</w:t>
            </w:r>
          </w:p>
        </w:tc>
        <w:tc>
          <w:tcPr>
            <w:tcW w:w="1135" w:type="dxa"/>
            <w:tcBorders>
              <w:bottom w:val="single" w:sz="0" w:space="0" w:color="000000"/>
            </w:tcBorders>
          </w:tcPr>
          <w:p>
            <w:pPr>
              <w:pStyle w:val="TableParagraph"/>
              <w:spacing w:before="113"/>
              <w:ind w:left="248"/>
              <w:rPr>
                <w:sz w:val="18"/>
              </w:rPr>
            </w:pPr>
            <w:r>
              <w:rPr>
                <w:sz w:val="18"/>
              </w:rPr>
              <w:t>3,494,673</w:t>
            </w:r>
          </w:p>
        </w:tc>
      </w:tr>
      <w:tr>
        <w:trPr>
          <w:trHeight w:val="617" w:hRule="exact"/>
        </w:trPr>
        <w:tc>
          <w:tcPr>
            <w:tcW w:w="6884" w:type="dxa"/>
          </w:tcPr>
          <w:p>
            <w:pPr>
              <w:pStyle w:val="TableParagraph"/>
              <w:spacing w:before="138"/>
              <w:ind w:left="62"/>
              <w:rPr>
                <w:b/>
                <w:sz w:val="18"/>
              </w:rPr>
            </w:pPr>
            <w:r>
              <w:rPr>
                <w:b/>
                <w:sz w:val="18"/>
              </w:rPr>
              <w:t>LIABILITIES</w:t>
            </w:r>
          </w:p>
          <w:p>
            <w:pPr>
              <w:pStyle w:val="TableParagraph"/>
              <w:spacing w:before="27"/>
              <w:ind w:left="62"/>
              <w:rPr>
                <w:b/>
                <w:sz w:val="18"/>
              </w:rPr>
            </w:pPr>
            <w:r>
              <w:rPr>
                <w:b/>
                <w:sz w:val="18"/>
              </w:rPr>
              <w:t>Current liabilities</w:t>
            </w:r>
          </w:p>
        </w:tc>
        <w:tc>
          <w:tcPr>
            <w:tcW w:w="474" w:type="dxa"/>
          </w:tcPr>
          <w:p>
            <w:pPr/>
          </w:p>
        </w:tc>
        <w:tc>
          <w:tcPr>
            <w:tcW w:w="1459" w:type="dxa"/>
            <w:tcBorders>
              <w:top w:val="single" w:sz="0" w:space="0" w:color="000000"/>
            </w:tcBorders>
          </w:tcPr>
          <w:p>
            <w:pPr/>
          </w:p>
        </w:tc>
        <w:tc>
          <w:tcPr>
            <w:tcW w:w="1135" w:type="dxa"/>
            <w:tcBorders>
              <w:top w:val="single" w:sz="0" w:space="0" w:color="000000"/>
            </w:tcBorders>
          </w:tcPr>
          <w:p>
            <w:pPr/>
          </w:p>
        </w:tc>
      </w:tr>
      <w:tr>
        <w:trPr>
          <w:trHeight w:val="265" w:hRule="exact"/>
        </w:trPr>
        <w:tc>
          <w:tcPr>
            <w:tcW w:w="6884" w:type="dxa"/>
          </w:tcPr>
          <w:p>
            <w:pPr>
              <w:pStyle w:val="TableParagraph"/>
              <w:spacing w:before="19"/>
              <w:ind w:left="62"/>
              <w:rPr>
                <w:sz w:val="18"/>
              </w:rPr>
            </w:pPr>
            <w:r>
              <w:rPr>
                <w:sz w:val="18"/>
              </w:rPr>
              <w:t>Trade and other payables</w:t>
            </w:r>
          </w:p>
        </w:tc>
        <w:tc>
          <w:tcPr>
            <w:tcW w:w="474" w:type="dxa"/>
          </w:tcPr>
          <w:p>
            <w:pPr>
              <w:pStyle w:val="TableParagraph"/>
              <w:spacing w:before="20"/>
              <w:ind w:left="66" w:right="167"/>
              <w:jc w:val="center"/>
              <w:rPr>
                <w:sz w:val="18"/>
              </w:rPr>
            </w:pPr>
            <w:r>
              <w:rPr>
                <w:sz w:val="18"/>
              </w:rPr>
              <w:t>13</w:t>
            </w:r>
          </w:p>
        </w:tc>
        <w:tc>
          <w:tcPr>
            <w:tcW w:w="1459" w:type="dxa"/>
          </w:tcPr>
          <w:p>
            <w:pPr>
              <w:pStyle w:val="TableParagraph"/>
              <w:spacing w:before="20"/>
              <w:ind w:right="246"/>
              <w:jc w:val="right"/>
              <w:rPr>
                <w:b/>
                <w:sz w:val="18"/>
              </w:rPr>
            </w:pPr>
            <w:r>
              <w:rPr>
                <w:b/>
                <w:w w:val="95"/>
                <w:sz w:val="18"/>
              </w:rPr>
              <w:t>367,297</w:t>
            </w:r>
          </w:p>
        </w:tc>
        <w:tc>
          <w:tcPr>
            <w:tcW w:w="1135" w:type="dxa"/>
          </w:tcPr>
          <w:p>
            <w:pPr>
              <w:pStyle w:val="TableParagraph"/>
              <w:spacing w:before="20"/>
              <w:ind w:left="248"/>
              <w:rPr>
                <w:sz w:val="18"/>
              </w:rPr>
            </w:pPr>
            <w:r>
              <w:rPr>
                <w:sz w:val="18"/>
              </w:rPr>
              <w:t>1,497,736</w:t>
            </w:r>
          </w:p>
        </w:tc>
      </w:tr>
      <w:tr>
        <w:trPr>
          <w:trHeight w:val="264" w:hRule="exact"/>
        </w:trPr>
        <w:tc>
          <w:tcPr>
            <w:tcW w:w="6884" w:type="dxa"/>
          </w:tcPr>
          <w:p>
            <w:pPr>
              <w:pStyle w:val="TableParagraph"/>
              <w:spacing w:before="18"/>
              <w:ind w:left="62"/>
              <w:rPr>
                <w:sz w:val="18"/>
              </w:rPr>
            </w:pPr>
            <w:r>
              <w:rPr>
                <w:sz w:val="18"/>
              </w:rPr>
              <w:t>Borrowings from the parent</w:t>
            </w:r>
          </w:p>
        </w:tc>
        <w:tc>
          <w:tcPr>
            <w:tcW w:w="474" w:type="dxa"/>
          </w:tcPr>
          <w:p>
            <w:pPr>
              <w:pStyle w:val="TableParagraph"/>
              <w:spacing w:before="19"/>
              <w:ind w:left="66" w:right="167"/>
              <w:jc w:val="center"/>
              <w:rPr>
                <w:sz w:val="18"/>
              </w:rPr>
            </w:pPr>
            <w:r>
              <w:rPr>
                <w:sz w:val="18"/>
              </w:rPr>
              <w:t>14</w:t>
            </w:r>
          </w:p>
        </w:tc>
        <w:tc>
          <w:tcPr>
            <w:tcW w:w="1459" w:type="dxa"/>
          </w:tcPr>
          <w:p>
            <w:pPr>
              <w:pStyle w:val="TableParagraph"/>
              <w:spacing w:before="19"/>
              <w:ind w:right="246"/>
              <w:jc w:val="right"/>
              <w:rPr>
                <w:b/>
                <w:sz w:val="18"/>
              </w:rPr>
            </w:pPr>
            <w:r>
              <w:rPr>
                <w:b/>
                <w:w w:val="95"/>
                <w:sz w:val="18"/>
              </w:rPr>
              <w:t>799,365</w:t>
            </w:r>
          </w:p>
        </w:tc>
        <w:tc>
          <w:tcPr>
            <w:tcW w:w="1135" w:type="dxa"/>
          </w:tcPr>
          <w:p>
            <w:pPr>
              <w:pStyle w:val="TableParagraph"/>
              <w:spacing w:before="19"/>
              <w:ind w:left="248"/>
              <w:rPr>
                <w:sz w:val="18"/>
              </w:rPr>
            </w:pPr>
            <w:r>
              <w:rPr>
                <w:sz w:val="18"/>
              </w:rPr>
              <w:t>5,618,407</w:t>
            </w:r>
          </w:p>
        </w:tc>
      </w:tr>
      <w:tr>
        <w:trPr>
          <w:trHeight w:val="264" w:hRule="exact"/>
        </w:trPr>
        <w:tc>
          <w:tcPr>
            <w:tcW w:w="6884" w:type="dxa"/>
          </w:tcPr>
          <w:p>
            <w:pPr>
              <w:pStyle w:val="TableParagraph"/>
              <w:spacing w:before="18"/>
              <w:ind w:left="62"/>
              <w:rPr>
                <w:sz w:val="18"/>
              </w:rPr>
            </w:pPr>
            <w:r>
              <w:rPr>
                <w:sz w:val="18"/>
              </w:rPr>
              <w:t>Provisions</w:t>
            </w:r>
          </w:p>
        </w:tc>
        <w:tc>
          <w:tcPr>
            <w:tcW w:w="474" w:type="dxa"/>
          </w:tcPr>
          <w:p>
            <w:pPr>
              <w:pStyle w:val="TableParagraph"/>
              <w:spacing w:before="19"/>
              <w:ind w:left="66" w:right="167"/>
              <w:jc w:val="center"/>
              <w:rPr>
                <w:sz w:val="18"/>
              </w:rPr>
            </w:pPr>
            <w:r>
              <w:rPr>
                <w:sz w:val="18"/>
              </w:rPr>
              <w:t>15</w:t>
            </w:r>
          </w:p>
        </w:tc>
        <w:tc>
          <w:tcPr>
            <w:tcW w:w="1459" w:type="dxa"/>
          </w:tcPr>
          <w:p>
            <w:pPr>
              <w:pStyle w:val="TableParagraph"/>
              <w:spacing w:before="19"/>
              <w:ind w:right="246"/>
              <w:jc w:val="right"/>
              <w:rPr>
                <w:b/>
                <w:sz w:val="18"/>
              </w:rPr>
            </w:pPr>
            <w:r>
              <w:rPr>
                <w:b/>
                <w:w w:val="95"/>
                <w:sz w:val="18"/>
              </w:rPr>
              <w:t>374,226</w:t>
            </w:r>
          </w:p>
        </w:tc>
        <w:tc>
          <w:tcPr>
            <w:tcW w:w="1135" w:type="dxa"/>
          </w:tcPr>
          <w:p>
            <w:pPr>
              <w:pStyle w:val="TableParagraph"/>
              <w:spacing w:before="19"/>
              <w:ind w:left="398"/>
              <w:rPr>
                <w:sz w:val="18"/>
              </w:rPr>
            </w:pPr>
            <w:r>
              <w:rPr>
                <w:sz w:val="18"/>
              </w:rPr>
              <w:t>448,673</w:t>
            </w:r>
          </w:p>
        </w:tc>
      </w:tr>
      <w:tr>
        <w:trPr>
          <w:trHeight w:val="263" w:hRule="exact"/>
        </w:trPr>
        <w:tc>
          <w:tcPr>
            <w:tcW w:w="6884" w:type="dxa"/>
          </w:tcPr>
          <w:p>
            <w:pPr>
              <w:pStyle w:val="TableParagraph"/>
              <w:spacing w:before="18"/>
              <w:ind w:left="62"/>
              <w:rPr>
                <w:sz w:val="18"/>
              </w:rPr>
            </w:pPr>
            <w:r>
              <w:rPr>
                <w:sz w:val="18"/>
              </w:rPr>
              <w:t>Other liabilities</w:t>
            </w:r>
          </w:p>
        </w:tc>
        <w:tc>
          <w:tcPr>
            <w:tcW w:w="474" w:type="dxa"/>
          </w:tcPr>
          <w:p>
            <w:pPr>
              <w:pStyle w:val="TableParagraph"/>
              <w:spacing w:before="19"/>
              <w:ind w:left="66" w:right="167"/>
              <w:jc w:val="center"/>
              <w:rPr>
                <w:sz w:val="18"/>
              </w:rPr>
            </w:pPr>
            <w:r>
              <w:rPr>
                <w:sz w:val="18"/>
              </w:rPr>
              <w:t>16</w:t>
            </w:r>
          </w:p>
        </w:tc>
        <w:tc>
          <w:tcPr>
            <w:tcW w:w="1459" w:type="dxa"/>
            <w:tcBorders>
              <w:bottom w:val="single" w:sz="0" w:space="0" w:color="000000"/>
            </w:tcBorders>
          </w:tcPr>
          <w:p>
            <w:pPr>
              <w:pStyle w:val="TableParagraph"/>
              <w:spacing w:before="19"/>
              <w:ind w:right="390"/>
              <w:jc w:val="right"/>
              <w:rPr>
                <w:b/>
                <w:sz w:val="18"/>
              </w:rPr>
            </w:pPr>
            <w:r>
              <w:rPr>
                <w:b/>
                <w:w w:val="99"/>
                <w:sz w:val="18"/>
              </w:rPr>
              <w:t>-</w:t>
            </w:r>
          </w:p>
        </w:tc>
        <w:tc>
          <w:tcPr>
            <w:tcW w:w="1135" w:type="dxa"/>
            <w:tcBorders>
              <w:bottom w:val="single" w:sz="0" w:space="0" w:color="000000"/>
            </w:tcBorders>
          </w:tcPr>
          <w:p>
            <w:pPr>
              <w:pStyle w:val="TableParagraph"/>
              <w:spacing w:before="19"/>
              <w:ind w:left="398"/>
              <w:rPr>
                <w:sz w:val="18"/>
              </w:rPr>
            </w:pPr>
            <w:r>
              <w:rPr>
                <w:sz w:val="18"/>
              </w:rPr>
              <w:t>104,985</w:t>
            </w:r>
          </w:p>
        </w:tc>
      </w:tr>
      <w:tr>
        <w:trPr>
          <w:trHeight w:val="338" w:hRule="exact"/>
        </w:trPr>
        <w:tc>
          <w:tcPr>
            <w:tcW w:w="6884" w:type="dxa"/>
          </w:tcPr>
          <w:p>
            <w:pPr>
              <w:pStyle w:val="TableParagraph"/>
              <w:spacing w:before="38"/>
              <w:ind w:left="62"/>
              <w:rPr>
                <w:b/>
                <w:sz w:val="18"/>
              </w:rPr>
            </w:pPr>
            <w:r>
              <w:rPr>
                <w:b/>
                <w:sz w:val="18"/>
              </w:rPr>
              <w:t>Total current liabilities</w:t>
            </w:r>
          </w:p>
        </w:tc>
        <w:tc>
          <w:tcPr>
            <w:tcW w:w="474" w:type="dxa"/>
          </w:tcPr>
          <w:p>
            <w:pPr/>
          </w:p>
        </w:tc>
        <w:tc>
          <w:tcPr>
            <w:tcW w:w="1459" w:type="dxa"/>
            <w:tcBorders>
              <w:top w:val="single" w:sz="0" w:space="0" w:color="000000"/>
              <w:bottom w:val="single" w:sz="0" w:space="0" w:color="000000"/>
            </w:tcBorders>
          </w:tcPr>
          <w:p>
            <w:pPr>
              <w:pStyle w:val="TableParagraph"/>
              <w:spacing w:before="122"/>
              <w:ind w:left="410"/>
              <w:rPr>
                <w:b/>
                <w:sz w:val="18"/>
              </w:rPr>
            </w:pPr>
            <w:r>
              <w:rPr>
                <w:b/>
                <w:sz w:val="18"/>
              </w:rPr>
              <w:t>1,540,888</w:t>
            </w:r>
          </w:p>
        </w:tc>
        <w:tc>
          <w:tcPr>
            <w:tcW w:w="1135" w:type="dxa"/>
            <w:tcBorders>
              <w:top w:val="single" w:sz="0" w:space="0" w:color="000000"/>
              <w:bottom w:val="single" w:sz="0" w:space="0" w:color="000000"/>
            </w:tcBorders>
          </w:tcPr>
          <w:p>
            <w:pPr>
              <w:pStyle w:val="TableParagraph"/>
              <w:spacing w:before="122"/>
              <w:ind w:left="248"/>
              <w:rPr>
                <w:sz w:val="18"/>
              </w:rPr>
            </w:pPr>
            <w:r>
              <w:rPr>
                <w:sz w:val="18"/>
              </w:rPr>
              <w:t>7,669,801</w:t>
            </w:r>
          </w:p>
        </w:tc>
      </w:tr>
      <w:tr>
        <w:trPr>
          <w:trHeight w:val="283" w:hRule="exact"/>
        </w:trPr>
        <w:tc>
          <w:tcPr>
            <w:tcW w:w="6884" w:type="dxa"/>
          </w:tcPr>
          <w:p>
            <w:pPr>
              <w:pStyle w:val="TableParagraph"/>
              <w:spacing w:before="38"/>
              <w:ind w:left="62"/>
              <w:rPr>
                <w:b/>
                <w:sz w:val="18"/>
              </w:rPr>
            </w:pPr>
            <w:r>
              <w:rPr>
                <w:b/>
                <w:sz w:val="18"/>
              </w:rPr>
              <w:t>Non-current liabilities</w:t>
            </w:r>
          </w:p>
        </w:tc>
        <w:tc>
          <w:tcPr>
            <w:tcW w:w="474" w:type="dxa"/>
          </w:tcPr>
          <w:p>
            <w:pPr/>
          </w:p>
        </w:tc>
        <w:tc>
          <w:tcPr>
            <w:tcW w:w="1459" w:type="dxa"/>
            <w:tcBorders>
              <w:top w:val="single" w:sz="0" w:space="0" w:color="000000"/>
            </w:tcBorders>
          </w:tcPr>
          <w:p>
            <w:pPr/>
          </w:p>
        </w:tc>
        <w:tc>
          <w:tcPr>
            <w:tcW w:w="1135" w:type="dxa"/>
            <w:tcBorders>
              <w:top w:val="single" w:sz="0" w:space="0" w:color="000000"/>
            </w:tcBorders>
          </w:tcPr>
          <w:p>
            <w:pPr/>
          </w:p>
        </w:tc>
      </w:tr>
      <w:tr>
        <w:trPr>
          <w:trHeight w:val="264" w:hRule="exact"/>
        </w:trPr>
        <w:tc>
          <w:tcPr>
            <w:tcW w:w="6884" w:type="dxa"/>
          </w:tcPr>
          <w:p>
            <w:pPr>
              <w:pStyle w:val="TableParagraph"/>
              <w:spacing w:before="19"/>
              <w:ind w:left="62"/>
              <w:rPr>
                <w:sz w:val="18"/>
              </w:rPr>
            </w:pPr>
            <w:r>
              <w:rPr>
                <w:sz w:val="18"/>
              </w:rPr>
              <w:t>Provisions</w:t>
            </w:r>
          </w:p>
        </w:tc>
        <w:tc>
          <w:tcPr>
            <w:tcW w:w="474" w:type="dxa"/>
          </w:tcPr>
          <w:p>
            <w:pPr>
              <w:pStyle w:val="TableParagraph"/>
              <w:spacing w:before="20"/>
              <w:ind w:left="66" w:right="167"/>
              <w:jc w:val="center"/>
              <w:rPr>
                <w:sz w:val="18"/>
              </w:rPr>
            </w:pPr>
            <w:r>
              <w:rPr>
                <w:sz w:val="18"/>
              </w:rPr>
              <w:t>15</w:t>
            </w:r>
          </w:p>
        </w:tc>
        <w:tc>
          <w:tcPr>
            <w:tcW w:w="1459" w:type="dxa"/>
            <w:tcBorders>
              <w:bottom w:val="single" w:sz="0" w:space="0" w:color="000000"/>
            </w:tcBorders>
          </w:tcPr>
          <w:p>
            <w:pPr>
              <w:pStyle w:val="TableParagraph"/>
              <w:spacing w:before="20"/>
              <w:ind w:right="246"/>
              <w:jc w:val="right"/>
              <w:rPr>
                <w:b/>
                <w:sz w:val="18"/>
              </w:rPr>
            </w:pPr>
            <w:r>
              <w:rPr>
                <w:b/>
                <w:w w:val="95"/>
                <w:sz w:val="18"/>
              </w:rPr>
              <w:t>73,000</w:t>
            </w:r>
          </w:p>
        </w:tc>
        <w:tc>
          <w:tcPr>
            <w:tcW w:w="1135" w:type="dxa"/>
            <w:tcBorders>
              <w:bottom w:val="single" w:sz="0" w:space="0" w:color="000000"/>
            </w:tcBorders>
          </w:tcPr>
          <w:p>
            <w:pPr>
              <w:pStyle w:val="TableParagraph"/>
              <w:spacing w:before="20"/>
              <w:ind w:left="398"/>
              <w:rPr>
                <w:sz w:val="18"/>
              </w:rPr>
            </w:pPr>
            <w:r>
              <w:rPr>
                <w:sz w:val="18"/>
              </w:rPr>
              <w:t>164,116</w:t>
            </w:r>
          </w:p>
        </w:tc>
      </w:tr>
      <w:tr>
        <w:trPr>
          <w:trHeight w:val="338" w:hRule="exact"/>
        </w:trPr>
        <w:tc>
          <w:tcPr>
            <w:tcW w:w="7357" w:type="dxa"/>
            <w:gridSpan w:val="2"/>
          </w:tcPr>
          <w:p>
            <w:pPr>
              <w:pStyle w:val="TableParagraph"/>
              <w:spacing w:before="28"/>
              <w:ind w:left="62"/>
              <w:rPr>
                <w:b/>
                <w:sz w:val="18"/>
              </w:rPr>
            </w:pPr>
            <w:r>
              <w:rPr>
                <w:b/>
                <w:sz w:val="18"/>
              </w:rPr>
              <w:t>Total non-current liabilities</w:t>
            </w:r>
          </w:p>
        </w:tc>
        <w:tc>
          <w:tcPr>
            <w:tcW w:w="1459" w:type="dxa"/>
            <w:tcBorders>
              <w:bottom w:val="single" w:sz="0" w:space="0" w:color="000000"/>
            </w:tcBorders>
          </w:tcPr>
          <w:p>
            <w:pPr>
              <w:pStyle w:val="TableParagraph"/>
              <w:spacing w:before="113"/>
              <w:ind w:right="246"/>
              <w:jc w:val="right"/>
              <w:rPr>
                <w:b/>
                <w:sz w:val="18"/>
              </w:rPr>
            </w:pPr>
            <w:r>
              <w:rPr>
                <w:b/>
                <w:w w:val="95"/>
                <w:sz w:val="18"/>
              </w:rPr>
              <w:t>73,000</w:t>
            </w:r>
          </w:p>
        </w:tc>
        <w:tc>
          <w:tcPr>
            <w:tcW w:w="1135" w:type="dxa"/>
            <w:tcBorders>
              <w:bottom w:val="single" w:sz="0" w:space="0" w:color="000000"/>
            </w:tcBorders>
          </w:tcPr>
          <w:p>
            <w:pPr>
              <w:pStyle w:val="TableParagraph"/>
              <w:spacing w:before="113"/>
              <w:ind w:left="398"/>
              <w:rPr>
                <w:sz w:val="18"/>
              </w:rPr>
            </w:pPr>
            <w:r>
              <w:rPr>
                <w:sz w:val="18"/>
              </w:rPr>
              <w:t>164,116</w:t>
            </w:r>
          </w:p>
        </w:tc>
      </w:tr>
      <w:tr>
        <w:trPr>
          <w:trHeight w:val="338" w:hRule="exact"/>
        </w:trPr>
        <w:tc>
          <w:tcPr>
            <w:tcW w:w="7357" w:type="dxa"/>
            <w:gridSpan w:val="2"/>
          </w:tcPr>
          <w:p>
            <w:pPr>
              <w:pStyle w:val="TableParagraph"/>
              <w:spacing w:before="38"/>
              <w:ind w:left="62"/>
              <w:rPr>
                <w:b/>
                <w:sz w:val="18"/>
              </w:rPr>
            </w:pPr>
            <w:r>
              <w:rPr>
                <w:b/>
                <w:sz w:val="18"/>
              </w:rPr>
              <w:t>Total liabilities</w:t>
            </w:r>
          </w:p>
        </w:tc>
        <w:tc>
          <w:tcPr>
            <w:tcW w:w="1459" w:type="dxa"/>
            <w:tcBorders>
              <w:top w:val="single" w:sz="0" w:space="0" w:color="000000"/>
              <w:bottom w:val="single" w:sz="0" w:space="0" w:color="000000"/>
            </w:tcBorders>
          </w:tcPr>
          <w:p>
            <w:pPr>
              <w:pStyle w:val="TableParagraph"/>
              <w:spacing w:before="122"/>
              <w:ind w:left="410"/>
              <w:rPr>
                <w:b/>
                <w:sz w:val="18"/>
              </w:rPr>
            </w:pPr>
            <w:r>
              <w:rPr>
                <w:b/>
                <w:sz w:val="18"/>
              </w:rPr>
              <w:t>1,613,888</w:t>
            </w:r>
          </w:p>
        </w:tc>
        <w:tc>
          <w:tcPr>
            <w:tcW w:w="1135" w:type="dxa"/>
            <w:tcBorders>
              <w:top w:val="single" w:sz="0" w:space="0" w:color="000000"/>
              <w:bottom w:val="single" w:sz="0" w:space="0" w:color="000000"/>
            </w:tcBorders>
          </w:tcPr>
          <w:p>
            <w:pPr>
              <w:pStyle w:val="TableParagraph"/>
              <w:spacing w:before="122"/>
              <w:ind w:left="248"/>
              <w:rPr>
                <w:sz w:val="18"/>
              </w:rPr>
            </w:pPr>
            <w:r>
              <w:rPr>
                <w:sz w:val="18"/>
              </w:rPr>
              <w:t>7,833,917</w:t>
            </w:r>
          </w:p>
        </w:tc>
      </w:tr>
      <w:tr>
        <w:trPr>
          <w:trHeight w:val="353" w:hRule="exact"/>
        </w:trPr>
        <w:tc>
          <w:tcPr>
            <w:tcW w:w="7357" w:type="dxa"/>
            <w:gridSpan w:val="2"/>
          </w:tcPr>
          <w:p>
            <w:pPr>
              <w:pStyle w:val="TableParagraph"/>
              <w:spacing w:before="38"/>
              <w:ind w:left="62"/>
              <w:rPr>
                <w:b/>
                <w:sz w:val="18"/>
              </w:rPr>
            </w:pPr>
            <w:r>
              <w:rPr>
                <w:b/>
                <w:sz w:val="18"/>
              </w:rPr>
              <w:t>Net assets</w:t>
            </w:r>
          </w:p>
        </w:tc>
        <w:tc>
          <w:tcPr>
            <w:tcW w:w="1459" w:type="dxa"/>
            <w:tcBorders>
              <w:top w:val="single" w:sz="0" w:space="0" w:color="000000"/>
              <w:bottom w:val="single" w:sz="0" w:space="0" w:color="000000"/>
            </w:tcBorders>
          </w:tcPr>
          <w:p>
            <w:pPr>
              <w:pStyle w:val="TableParagraph"/>
              <w:spacing w:before="122"/>
              <w:ind w:right="186"/>
              <w:jc w:val="right"/>
              <w:rPr>
                <w:b/>
                <w:sz w:val="18"/>
              </w:rPr>
            </w:pPr>
            <w:r>
              <w:rPr>
                <w:b/>
                <w:w w:val="95"/>
                <w:sz w:val="18"/>
              </w:rPr>
              <w:t>(1,229,830)</w:t>
            </w:r>
          </w:p>
        </w:tc>
        <w:tc>
          <w:tcPr>
            <w:tcW w:w="1135" w:type="dxa"/>
            <w:tcBorders>
              <w:top w:val="single" w:sz="0" w:space="0" w:color="000000"/>
              <w:bottom w:val="single" w:sz="0" w:space="0" w:color="000000"/>
            </w:tcBorders>
          </w:tcPr>
          <w:p>
            <w:pPr>
              <w:pStyle w:val="TableParagraph"/>
              <w:spacing w:before="122"/>
              <w:ind w:right="24"/>
              <w:jc w:val="right"/>
              <w:rPr>
                <w:sz w:val="18"/>
              </w:rPr>
            </w:pPr>
            <w:r>
              <w:rPr>
                <w:w w:val="95"/>
                <w:sz w:val="18"/>
              </w:rPr>
              <w:t>(4,339,244)</w:t>
            </w:r>
          </w:p>
        </w:tc>
      </w:tr>
      <w:tr>
        <w:trPr>
          <w:trHeight w:val="913" w:hRule="exact"/>
        </w:trPr>
        <w:tc>
          <w:tcPr>
            <w:tcW w:w="7357" w:type="dxa"/>
            <w:gridSpan w:val="2"/>
          </w:tcPr>
          <w:p>
            <w:pPr>
              <w:pStyle w:val="TableParagraph"/>
              <w:rPr>
                <w:sz w:val="18"/>
              </w:rPr>
            </w:pPr>
          </w:p>
          <w:p>
            <w:pPr>
              <w:pStyle w:val="TableParagraph"/>
              <w:spacing w:before="8"/>
              <w:rPr>
                <w:sz w:val="19"/>
              </w:rPr>
            </w:pPr>
          </w:p>
          <w:p>
            <w:pPr>
              <w:pStyle w:val="TableParagraph"/>
              <w:ind w:left="62"/>
              <w:rPr>
                <w:b/>
                <w:sz w:val="18"/>
              </w:rPr>
            </w:pPr>
            <w:r>
              <w:rPr>
                <w:b/>
                <w:sz w:val="18"/>
              </w:rPr>
              <w:t>EQUITY</w:t>
            </w:r>
          </w:p>
          <w:p>
            <w:pPr>
              <w:pStyle w:val="TableParagraph"/>
              <w:tabs>
                <w:tab w:pos="7168" w:val="right" w:leader="none"/>
              </w:tabs>
              <w:spacing w:before="28"/>
              <w:ind w:left="62"/>
              <w:rPr>
                <w:sz w:val="18"/>
              </w:rPr>
            </w:pPr>
            <w:r>
              <w:rPr>
                <w:sz w:val="18"/>
              </w:rPr>
              <w:t>Retained Earning</w:t>
            </w:r>
            <w:r>
              <w:rPr>
                <w:rFonts w:ascii="Times New Roman"/>
                <w:sz w:val="18"/>
              </w:rPr>
              <w:tab/>
            </w:r>
            <w:r>
              <w:rPr>
                <w:sz w:val="18"/>
              </w:rPr>
              <w:t>17</w:t>
            </w:r>
          </w:p>
        </w:tc>
        <w:tc>
          <w:tcPr>
            <w:tcW w:w="1459" w:type="dxa"/>
            <w:tcBorders>
              <w:top w:val="single" w:sz="0" w:space="0" w:color="000000"/>
              <w:bottom w:val="single" w:sz="0" w:space="0" w:color="000000"/>
            </w:tcBorders>
          </w:tcPr>
          <w:p>
            <w:pPr>
              <w:pStyle w:val="TableParagraph"/>
              <w:rPr>
                <w:sz w:val="18"/>
              </w:rPr>
            </w:pPr>
          </w:p>
          <w:p>
            <w:pPr>
              <w:pStyle w:val="TableParagraph"/>
              <w:rPr>
                <w:sz w:val="18"/>
              </w:rPr>
            </w:pPr>
          </w:p>
          <w:p>
            <w:pPr>
              <w:pStyle w:val="TableParagraph"/>
              <w:spacing w:before="1"/>
              <w:rPr>
                <w:sz w:val="22"/>
              </w:rPr>
            </w:pPr>
          </w:p>
          <w:p>
            <w:pPr>
              <w:pStyle w:val="TableParagraph"/>
              <w:ind w:right="186"/>
              <w:jc w:val="right"/>
              <w:rPr>
                <w:b/>
                <w:sz w:val="18"/>
              </w:rPr>
            </w:pPr>
            <w:r>
              <w:rPr>
                <w:b/>
                <w:w w:val="95"/>
                <w:sz w:val="18"/>
              </w:rPr>
              <w:t>(1,229,830)</w:t>
            </w:r>
          </w:p>
        </w:tc>
        <w:tc>
          <w:tcPr>
            <w:tcW w:w="1135" w:type="dxa"/>
            <w:tcBorders>
              <w:top w:val="single" w:sz="0" w:space="0" w:color="000000"/>
              <w:bottom w:val="single" w:sz="0" w:space="0" w:color="000000"/>
            </w:tcBorders>
          </w:tcPr>
          <w:p>
            <w:pPr>
              <w:pStyle w:val="TableParagraph"/>
              <w:rPr>
                <w:sz w:val="18"/>
              </w:rPr>
            </w:pPr>
          </w:p>
          <w:p>
            <w:pPr>
              <w:pStyle w:val="TableParagraph"/>
              <w:rPr>
                <w:sz w:val="18"/>
              </w:rPr>
            </w:pPr>
          </w:p>
          <w:p>
            <w:pPr>
              <w:pStyle w:val="TableParagraph"/>
              <w:spacing w:before="1"/>
              <w:rPr>
                <w:sz w:val="22"/>
              </w:rPr>
            </w:pPr>
          </w:p>
          <w:p>
            <w:pPr>
              <w:pStyle w:val="TableParagraph"/>
              <w:ind w:right="24"/>
              <w:jc w:val="right"/>
              <w:rPr>
                <w:sz w:val="18"/>
              </w:rPr>
            </w:pPr>
            <w:r>
              <w:rPr>
                <w:w w:val="95"/>
                <w:sz w:val="18"/>
              </w:rPr>
              <w:t>(4,339,244)</w:t>
            </w:r>
          </w:p>
        </w:tc>
      </w:tr>
      <w:tr>
        <w:trPr>
          <w:trHeight w:val="353" w:hRule="exact"/>
        </w:trPr>
        <w:tc>
          <w:tcPr>
            <w:tcW w:w="7357" w:type="dxa"/>
            <w:gridSpan w:val="2"/>
          </w:tcPr>
          <w:p>
            <w:pPr>
              <w:pStyle w:val="TableParagraph"/>
              <w:spacing w:before="38"/>
              <w:ind w:left="62"/>
              <w:rPr>
                <w:b/>
                <w:sz w:val="18"/>
              </w:rPr>
            </w:pPr>
            <w:r>
              <w:rPr>
                <w:b/>
                <w:sz w:val="18"/>
              </w:rPr>
              <w:t>Total equity</w:t>
            </w:r>
          </w:p>
        </w:tc>
        <w:tc>
          <w:tcPr>
            <w:tcW w:w="1459" w:type="dxa"/>
            <w:tcBorders>
              <w:top w:val="single" w:sz="0" w:space="0" w:color="000000"/>
              <w:bottom w:val="single" w:sz="0" w:space="0" w:color="000000"/>
            </w:tcBorders>
          </w:tcPr>
          <w:p>
            <w:pPr>
              <w:pStyle w:val="TableParagraph"/>
              <w:spacing w:before="122"/>
              <w:ind w:right="186"/>
              <w:jc w:val="right"/>
              <w:rPr>
                <w:b/>
                <w:sz w:val="18"/>
              </w:rPr>
            </w:pPr>
            <w:r>
              <w:rPr>
                <w:b/>
                <w:w w:val="95"/>
                <w:sz w:val="18"/>
              </w:rPr>
              <w:t>(1,229,830)</w:t>
            </w:r>
          </w:p>
        </w:tc>
        <w:tc>
          <w:tcPr>
            <w:tcW w:w="1135" w:type="dxa"/>
            <w:tcBorders>
              <w:top w:val="single" w:sz="0" w:space="0" w:color="000000"/>
              <w:bottom w:val="single" w:sz="0" w:space="0" w:color="000000"/>
            </w:tcBorders>
          </w:tcPr>
          <w:p>
            <w:pPr>
              <w:pStyle w:val="TableParagraph"/>
              <w:spacing w:before="122"/>
              <w:ind w:right="24"/>
              <w:jc w:val="right"/>
              <w:rPr>
                <w:sz w:val="18"/>
              </w:rPr>
            </w:pPr>
            <w:r>
              <w:rPr>
                <w:w w:val="95"/>
                <w:sz w:val="18"/>
              </w:rPr>
              <w:t>(4,339,244)</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p>
    <w:p>
      <w:pPr>
        <w:pStyle w:val="BodyText"/>
        <w:ind w:left="2531" w:right="19"/>
      </w:pPr>
      <w:r>
        <w:rPr/>
        <w:t>The accompanying notes form part of these financial statements.</w:t>
      </w:r>
    </w:p>
    <w:p>
      <w:pPr>
        <w:spacing w:after="0"/>
        <w:sectPr>
          <w:pgSz w:w="11910" w:h="16840"/>
          <w:pgMar w:header="1038" w:footer="460" w:top="1460" w:bottom="700" w:left="860" w:right="86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505"/>
        <w:gridCol w:w="1257"/>
        <w:gridCol w:w="1191"/>
      </w:tblGrid>
      <w:tr>
        <w:trPr>
          <w:trHeight w:val="911" w:hRule="exact"/>
        </w:trPr>
        <w:tc>
          <w:tcPr>
            <w:tcW w:w="7505" w:type="dxa"/>
          </w:tcPr>
          <w:p>
            <w:pPr>
              <w:pStyle w:val="TableParagraph"/>
              <w:spacing w:before="64"/>
              <w:ind w:left="35"/>
              <w:rPr>
                <w:b/>
                <w:sz w:val="28"/>
              </w:rPr>
            </w:pPr>
            <w:r>
              <w:rPr>
                <w:b/>
                <w:sz w:val="28"/>
              </w:rPr>
              <w:t>Statement of Changes in Equity</w:t>
            </w:r>
          </w:p>
          <w:p>
            <w:pPr>
              <w:pStyle w:val="TableParagraph"/>
              <w:spacing w:before="57"/>
              <w:ind w:left="35"/>
              <w:rPr>
                <w:b/>
                <w:sz w:val="22"/>
              </w:rPr>
            </w:pPr>
            <w:r>
              <w:rPr>
                <w:b/>
                <w:sz w:val="22"/>
              </w:rPr>
              <w:t>For the Year Ended 31 December 2017</w:t>
            </w:r>
          </w:p>
        </w:tc>
        <w:tc>
          <w:tcPr>
            <w:tcW w:w="2448" w:type="dxa"/>
            <w:gridSpan w:val="2"/>
          </w:tcPr>
          <w:p>
            <w:pPr/>
          </w:p>
        </w:tc>
      </w:tr>
      <w:tr>
        <w:trPr>
          <w:trHeight w:val="653" w:hRule="exact"/>
        </w:trPr>
        <w:tc>
          <w:tcPr>
            <w:tcW w:w="7505" w:type="dxa"/>
          </w:tcPr>
          <w:p>
            <w:pPr/>
          </w:p>
        </w:tc>
        <w:tc>
          <w:tcPr>
            <w:tcW w:w="1257" w:type="dxa"/>
          </w:tcPr>
          <w:p>
            <w:pPr>
              <w:pStyle w:val="TableParagraph"/>
              <w:spacing w:before="1"/>
              <w:rPr>
                <w:sz w:val="17"/>
              </w:rPr>
            </w:pPr>
          </w:p>
          <w:p>
            <w:pPr>
              <w:pStyle w:val="TableParagraph"/>
              <w:ind w:left="225" w:right="241" w:firstLine="5"/>
              <w:rPr>
                <w:b/>
                <w:sz w:val="18"/>
              </w:rPr>
            </w:pPr>
            <w:r>
              <w:rPr>
                <w:b/>
                <w:sz w:val="18"/>
              </w:rPr>
              <w:t>Retained Earnings</w:t>
            </w:r>
          </w:p>
        </w:tc>
        <w:tc>
          <w:tcPr>
            <w:tcW w:w="1191" w:type="dxa"/>
          </w:tcPr>
          <w:p>
            <w:pPr>
              <w:pStyle w:val="TableParagraph"/>
              <w:rPr>
                <w:sz w:val="18"/>
              </w:rPr>
            </w:pPr>
          </w:p>
          <w:p>
            <w:pPr>
              <w:pStyle w:val="TableParagraph"/>
              <w:spacing w:before="1"/>
              <w:rPr>
                <w:sz w:val="17"/>
              </w:rPr>
            </w:pPr>
          </w:p>
          <w:p>
            <w:pPr>
              <w:pStyle w:val="TableParagraph"/>
              <w:ind w:left="59"/>
              <w:rPr>
                <w:b/>
                <w:sz w:val="18"/>
              </w:rPr>
            </w:pPr>
            <w:r>
              <w:rPr>
                <w:b/>
                <w:sz w:val="18"/>
              </w:rPr>
              <w:t>Total equity</w:t>
            </w:r>
          </w:p>
        </w:tc>
      </w:tr>
      <w:tr>
        <w:trPr>
          <w:trHeight w:val="272" w:hRule="exact"/>
        </w:trPr>
        <w:tc>
          <w:tcPr>
            <w:tcW w:w="7505" w:type="dxa"/>
          </w:tcPr>
          <w:p>
            <w:pPr/>
          </w:p>
        </w:tc>
        <w:tc>
          <w:tcPr>
            <w:tcW w:w="1257" w:type="dxa"/>
            <w:tcBorders>
              <w:bottom w:val="single" w:sz="0" w:space="0" w:color="000000"/>
            </w:tcBorders>
          </w:tcPr>
          <w:p>
            <w:pPr>
              <w:pStyle w:val="TableParagraph"/>
              <w:spacing w:before="23"/>
              <w:ind w:right="31"/>
              <w:jc w:val="center"/>
              <w:rPr>
                <w:b/>
                <w:sz w:val="18"/>
              </w:rPr>
            </w:pPr>
            <w:r>
              <w:rPr>
                <w:b/>
                <w:w w:val="99"/>
                <w:sz w:val="18"/>
              </w:rPr>
              <w:t>$</w:t>
            </w:r>
          </w:p>
        </w:tc>
        <w:tc>
          <w:tcPr>
            <w:tcW w:w="1191" w:type="dxa"/>
            <w:tcBorders>
              <w:bottom w:val="single" w:sz="0" w:space="0" w:color="000000"/>
            </w:tcBorders>
          </w:tcPr>
          <w:p>
            <w:pPr>
              <w:pStyle w:val="TableParagraph"/>
              <w:spacing w:before="23"/>
              <w:ind w:right="58"/>
              <w:jc w:val="center"/>
              <w:rPr>
                <w:b/>
                <w:sz w:val="18"/>
              </w:rPr>
            </w:pPr>
            <w:r>
              <w:rPr>
                <w:b/>
                <w:w w:val="99"/>
                <w:sz w:val="18"/>
              </w:rPr>
              <w:t>$</w:t>
            </w:r>
          </w:p>
        </w:tc>
      </w:tr>
      <w:tr>
        <w:trPr>
          <w:trHeight w:val="294" w:hRule="exact"/>
        </w:trPr>
        <w:tc>
          <w:tcPr>
            <w:tcW w:w="7505" w:type="dxa"/>
          </w:tcPr>
          <w:p>
            <w:pPr>
              <w:pStyle w:val="TableParagraph"/>
              <w:spacing w:before="44"/>
              <w:ind w:left="62"/>
              <w:rPr>
                <w:b/>
                <w:sz w:val="18"/>
              </w:rPr>
            </w:pPr>
            <w:r>
              <w:rPr>
                <w:b/>
                <w:sz w:val="18"/>
              </w:rPr>
              <w:t>Balance 1 January 2017</w:t>
            </w:r>
          </w:p>
        </w:tc>
        <w:tc>
          <w:tcPr>
            <w:tcW w:w="1257" w:type="dxa"/>
            <w:tcBorders>
              <w:top w:val="single" w:sz="0" w:space="0" w:color="000000"/>
            </w:tcBorders>
          </w:tcPr>
          <w:p>
            <w:pPr>
              <w:pStyle w:val="TableParagraph"/>
              <w:spacing w:before="48"/>
              <w:ind w:right="57"/>
              <w:jc w:val="right"/>
              <w:rPr>
                <w:b/>
                <w:sz w:val="18"/>
              </w:rPr>
            </w:pPr>
            <w:r>
              <w:rPr>
                <w:b/>
                <w:w w:val="95"/>
                <w:sz w:val="18"/>
              </w:rPr>
              <w:t>(4,339,244)</w:t>
            </w:r>
          </w:p>
        </w:tc>
        <w:tc>
          <w:tcPr>
            <w:tcW w:w="1191" w:type="dxa"/>
            <w:tcBorders>
              <w:top w:val="single" w:sz="0" w:space="0" w:color="000000"/>
            </w:tcBorders>
          </w:tcPr>
          <w:p>
            <w:pPr>
              <w:pStyle w:val="TableParagraph"/>
              <w:spacing w:before="48"/>
              <w:ind w:right="24"/>
              <w:jc w:val="right"/>
              <w:rPr>
                <w:b/>
                <w:sz w:val="18"/>
              </w:rPr>
            </w:pPr>
            <w:r>
              <w:rPr>
                <w:b/>
                <w:w w:val="95"/>
                <w:sz w:val="18"/>
              </w:rPr>
              <w:t>(4,339,244)</w:t>
            </w:r>
          </w:p>
        </w:tc>
      </w:tr>
      <w:tr>
        <w:trPr>
          <w:trHeight w:val="263" w:hRule="exact"/>
        </w:trPr>
        <w:tc>
          <w:tcPr>
            <w:tcW w:w="7505" w:type="dxa"/>
          </w:tcPr>
          <w:p>
            <w:pPr>
              <w:pStyle w:val="TableParagraph"/>
              <w:spacing w:before="20"/>
              <w:ind w:left="62"/>
              <w:rPr>
                <w:sz w:val="18"/>
              </w:rPr>
            </w:pPr>
            <w:r>
              <w:rPr>
                <w:sz w:val="18"/>
              </w:rPr>
              <w:t>Surplus / (Deficit) for the year</w:t>
            </w:r>
          </w:p>
        </w:tc>
        <w:tc>
          <w:tcPr>
            <w:tcW w:w="1257" w:type="dxa"/>
            <w:tcBorders>
              <w:bottom w:val="single" w:sz="0" w:space="0" w:color="000000"/>
            </w:tcBorders>
          </w:tcPr>
          <w:p>
            <w:pPr>
              <w:pStyle w:val="TableParagraph"/>
              <w:spacing w:before="19"/>
              <w:ind w:right="117"/>
              <w:jc w:val="right"/>
              <w:rPr>
                <w:b/>
                <w:sz w:val="18"/>
              </w:rPr>
            </w:pPr>
            <w:r>
              <w:rPr>
                <w:b/>
                <w:w w:val="95"/>
                <w:sz w:val="18"/>
              </w:rPr>
              <w:t>3,109,414</w:t>
            </w:r>
          </w:p>
        </w:tc>
        <w:tc>
          <w:tcPr>
            <w:tcW w:w="1191" w:type="dxa"/>
            <w:tcBorders>
              <w:bottom w:val="single" w:sz="0" w:space="0" w:color="000000"/>
            </w:tcBorders>
          </w:tcPr>
          <w:p>
            <w:pPr>
              <w:pStyle w:val="TableParagraph"/>
              <w:spacing w:before="19"/>
              <w:ind w:left="304"/>
              <w:rPr>
                <w:b/>
                <w:sz w:val="18"/>
              </w:rPr>
            </w:pPr>
            <w:r>
              <w:rPr>
                <w:b/>
                <w:sz w:val="18"/>
              </w:rPr>
              <w:t>3,109,414</w:t>
            </w:r>
          </w:p>
        </w:tc>
      </w:tr>
      <w:tr>
        <w:trPr>
          <w:trHeight w:val="338" w:hRule="exact"/>
        </w:trPr>
        <w:tc>
          <w:tcPr>
            <w:tcW w:w="7505" w:type="dxa"/>
          </w:tcPr>
          <w:p>
            <w:pPr>
              <w:pStyle w:val="TableParagraph"/>
              <w:spacing w:before="123"/>
              <w:ind w:left="62"/>
              <w:rPr>
                <w:b/>
                <w:sz w:val="18"/>
              </w:rPr>
            </w:pPr>
            <w:r>
              <w:rPr>
                <w:b/>
                <w:sz w:val="18"/>
              </w:rPr>
              <w:t>Total comprehensive income for the year</w:t>
            </w:r>
          </w:p>
        </w:tc>
        <w:tc>
          <w:tcPr>
            <w:tcW w:w="1257" w:type="dxa"/>
            <w:tcBorders>
              <w:top w:val="single" w:sz="0" w:space="0" w:color="000000"/>
              <w:bottom w:val="single" w:sz="0" w:space="0" w:color="000000"/>
            </w:tcBorders>
          </w:tcPr>
          <w:p>
            <w:pPr>
              <w:pStyle w:val="TableParagraph"/>
              <w:spacing w:before="122"/>
              <w:ind w:right="117"/>
              <w:jc w:val="right"/>
              <w:rPr>
                <w:b/>
                <w:sz w:val="18"/>
              </w:rPr>
            </w:pPr>
            <w:r>
              <w:rPr>
                <w:b/>
                <w:w w:val="95"/>
                <w:sz w:val="18"/>
              </w:rPr>
              <w:t>3,109,414</w:t>
            </w:r>
          </w:p>
        </w:tc>
        <w:tc>
          <w:tcPr>
            <w:tcW w:w="1191" w:type="dxa"/>
            <w:tcBorders>
              <w:top w:val="single" w:sz="0" w:space="0" w:color="000000"/>
              <w:bottom w:val="single" w:sz="0" w:space="0" w:color="000000"/>
            </w:tcBorders>
          </w:tcPr>
          <w:p>
            <w:pPr>
              <w:pStyle w:val="TableParagraph"/>
              <w:spacing w:before="122"/>
              <w:ind w:left="304"/>
              <w:rPr>
                <w:b/>
                <w:sz w:val="18"/>
              </w:rPr>
            </w:pPr>
            <w:r>
              <w:rPr>
                <w:b/>
                <w:sz w:val="18"/>
              </w:rPr>
              <w:t>3,109,414</w:t>
            </w:r>
          </w:p>
        </w:tc>
      </w:tr>
      <w:tr>
        <w:trPr>
          <w:trHeight w:val="353" w:hRule="exact"/>
        </w:trPr>
        <w:tc>
          <w:tcPr>
            <w:tcW w:w="7505" w:type="dxa"/>
          </w:tcPr>
          <w:p>
            <w:pPr>
              <w:pStyle w:val="TableParagraph"/>
              <w:tabs>
                <w:tab w:pos="7316" w:val="right" w:leader="none"/>
              </w:tabs>
              <w:spacing w:before="43"/>
              <w:ind w:left="62"/>
              <w:rPr>
                <w:sz w:val="18"/>
              </w:rPr>
            </w:pPr>
            <w:r>
              <w:rPr>
                <w:b/>
                <w:sz w:val="18"/>
              </w:rPr>
              <w:t>Balance at 31</w:t>
            </w:r>
            <w:r>
              <w:rPr>
                <w:b/>
                <w:spacing w:val="-2"/>
                <w:sz w:val="18"/>
              </w:rPr>
              <w:t> </w:t>
            </w:r>
            <w:r>
              <w:rPr>
                <w:b/>
                <w:sz w:val="18"/>
              </w:rPr>
              <w:t>December 2017</w:t>
            </w:r>
            <w:r>
              <w:rPr>
                <w:rFonts w:ascii="Times New Roman"/>
                <w:position w:val="8"/>
                <w:sz w:val="18"/>
              </w:rPr>
              <w:tab/>
            </w:r>
            <w:r>
              <w:rPr>
                <w:position w:val="8"/>
                <w:sz w:val="18"/>
              </w:rPr>
              <w:t>17</w:t>
            </w:r>
          </w:p>
        </w:tc>
        <w:tc>
          <w:tcPr>
            <w:tcW w:w="1257" w:type="dxa"/>
            <w:tcBorders>
              <w:top w:val="single" w:sz="0" w:space="0" w:color="000000"/>
              <w:bottom w:val="single" w:sz="0" w:space="0" w:color="000000"/>
            </w:tcBorders>
          </w:tcPr>
          <w:p>
            <w:pPr>
              <w:pStyle w:val="TableParagraph"/>
              <w:spacing w:before="122"/>
              <w:ind w:right="57"/>
              <w:jc w:val="right"/>
              <w:rPr>
                <w:b/>
                <w:sz w:val="18"/>
              </w:rPr>
            </w:pPr>
            <w:r>
              <w:rPr>
                <w:b/>
                <w:w w:val="95"/>
                <w:sz w:val="18"/>
              </w:rPr>
              <w:t>(1,229,830)</w:t>
            </w:r>
          </w:p>
        </w:tc>
        <w:tc>
          <w:tcPr>
            <w:tcW w:w="1191" w:type="dxa"/>
            <w:tcBorders>
              <w:top w:val="single" w:sz="0" w:space="0" w:color="000000"/>
              <w:bottom w:val="single" w:sz="0" w:space="0" w:color="000000"/>
            </w:tcBorders>
          </w:tcPr>
          <w:p>
            <w:pPr>
              <w:pStyle w:val="TableParagraph"/>
              <w:spacing w:before="122"/>
              <w:ind w:right="24"/>
              <w:jc w:val="right"/>
              <w:rPr>
                <w:b/>
                <w:sz w:val="18"/>
              </w:rPr>
            </w:pPr>
            <w:r>
              <w:rPr>
                <w:b/>
                <w:w w:val="95"/>
                <w:sz w:val="18"/>
              </w:rPr>
              <w:t>(1,229,830)</w:t>
            </w:r>
          </w:p>
        </w:tc>
      </w:tr>
      <w:tr>
        <w:trPr>
          <w:trHeight w:val="811" w:hRule="exact"/>
        </w:trPr>
        <w:tc>
          <w:tcPr>
            <w:tcW w:w="7505" w:type="dxa"/>
          </w:tcPr>
          <w:p>
            <w:pPr/>
          </w:p>
        </w:tc>
        <w:tc>
          <w:tcPr>
            <w:tcW w:w="1257" w:type="dxa"/>
            <w:tcBorders>
              <w:top w:val="single" w:sz="0" w:space="0" w:color="000000"/>
            </w:tcBorders>
          </w:tcPr>
          <w:p>
            <w:pPr>
              <w:pStyle w:val="TableParagraph"/>
              <w:rPr>
                <w:sz w:val="18"/>
              </w:rPr>
            </w:pPr>
          </w:p>
          <w:p>
            <w:pPr>
              <w:pStyle w:val="TableParagraph"/>
              <w:spacing w:before="146"/>
              <w:ind w:left="225" w:right="241" w:firstLine="5"/>
              <w:rPr>
                <w:b/>
                <w:sz w:val="18"/>
              </w:rPr>
            </w:pPr>
            <w:r>
              <w:rPr>
                <w:b/>
                <w:sz w:val="18"/>
              </w:rPr>
              <w:t>Retained Earnings</w:t>
            </w:r>
          </w:p>
        </w:tc>
        <w:tc>
          <w:tcPr>
            <w:tcW w:w="1191" w:type="dxa"/>
            <w:tcBorders>
              <w:top w:val="single" w:sz="0" w:space="0" w:color="000000"/>
            </w:tcBorders>
          </w:tcPr>
          <w:p>
            <w:pPr>
              <w:pStyle w:val="TableParagraph"/>
              <w:rPr>
                <w:sz w:val="18"/>
              </w:rPr>
            </w:pPr>
          </w:p>
          <w:p>
            <w:pPr>
              <w:pStyle w:val="TableParagraph"/>
              <w:rPr>
                <w:sz w:val="18"/>
              </w:rPr>
            </w:pPr>
          </w:p>
          <w:p>
            <w:pPr>
              <w:pStyle w:val="TableParagraph"/>
              <w:spacing w:before="146"/>
              <w:ind w:left="59"/>
              <w:rPr>
                <w:b/>
                <w:sz w:val="18"/>
              </w:rPr>
            </w:pPr>
            <w:r>
              <w:rPr>
                <w:b/>
                <w:sz w:val="18"/>
              </w:rPr>
              <w:t>Total equity</w:t>
            </w:r>
          </w:p>
        </w:tc>
      </w:tr>
      <w:tr>
        <w:trPr>
          <w:trHeight w:val="272" w:hRule="exact"/>
        </w:trPr>
        <w:tc>
          <w:tcPr>
            <w:tcW w:w="7505" w:type="dxa"/>
          </w:tcPr>
          <w:p>
            <w:pPr/>
          </w:p>
        </w:tc>
        <w:tc>
          <w:tcPr>
            <w:tcW w:w="1257" w:type="dxa"/>
            <w:tcBorders>
              <w:bottom w:val="single" w:sz="0" w:space="0" w:color="000000"/>
            </w:tcBorders>
          </w:tcPr>
          <w:p>
            <w:pPr>
              <w:pStyle w:val="TableParagraph"/>
              <w:spacing w:before="23"/>
              <w:ind w:right="31"/>
              <w:jc w:val="center"/>
              <w:rPr>
                <w:b/>
                <w:sz w:val="18"/>
              </w:rPr>
            </w:pPr>
            <w:r>
              <w:rPr>
                <w:b/>
                <w:w w:val="99"/>
                <w:sz w:val="18"/>
              </w:rPr>
              <w:t>$</w:t>
            </w:r>
          </w:p>
        </w:tc>
        <w:tc>
          <w:tcPr>
            <w:tcW w:w="1191" w:type="dxa"/>
            <w:tcBorders>
              <w:bottom w:val="single" w:sz="0" w:space="0" w:color="000000"/>
            </w:tcBorders>
          </w:tcPr>
          <w:p>
            <w:pPr>
              <w:pStyle w:val="TableParagraph"/>
              <w:spacing w:before="23"/>
              <w:ind w:right="58"/>
              <w:jc w:val="center"/>
              <w:rPr>
                <w:b/>
                <w:sz w:val="18"/>
              </w:rPr>
            </w:pPr>
            <w:r>
              <w:rPr>
                <w:b/>
                <w:w w:val="99"/>
                <w:sz w:val="18"/>
              </w:rPr>
              <w:t>$</w:t>
            </w:r>
          </w:p>
        </w:tc>
      </w:tr>
      <w:tr>
        <w:trPr>
          <w:trHeight w:val="294" w:hRule="exact"/>
        </w:trPr>
        <w:tc>
          <w:tcPr>
            <w:tcW w:w="7505" w:type="dxa"/>
          </w:tcPr>
          <w:p>
            <w:pPr>
              <w:pStyle w:val="TableParagraph"/>
              <w:spacing w:before="44"/>
              <w:ind w:left="62"/>
              <w:rPr>
                <w:b/>
                <w:sz w:val="18"/>
              </w:rPr>
            </w:pPr>
            <w:r>
              <w:rPr>
                <w:b/>
                <w:sz w:val="18"/>
              </w:rPr>
              <w:t>Balance 1 January 2016</w:t>
            </w:r>
          </w:p>
        </w:tc>
        <w:tc>
          <w:tcPr>
            <w:tcW w:w="1257" w:type="dxa"/>
            <w:tcBorders>
              <w:top w:val="single" w:sz="0" w:space="0" w:color="000000"/>
            </w:tcBorders>
          </w:tcPr>
          <w:p>
            <w:pPr>
              <w:pStyle w:val="TableParagraph"/>
              <w:spacing w:before="48"/>
              <w:ind w:right="57"/>
              <w:jc w:val="right"/>
              <w:rPr>
                <w:sz w:val="18"/>
              </w:rPr>
            </w:pPr>
            <w:r>
              <w:rPr>
                <w:w w:val="95"/>
                <w:sz w:val="18"/>
              </w:rPr>
              <w:t>(2,784,752)</w:t>
            </w:r>
          </w:p>
        </w:tc>
        <w:tc>
          <w:tcPr>
            <w:tcW w:w="1191" w:type="dxa"/>
            <w:tcBorders>
              <w:top w:val="single" w:sz="0" w:space="0" w:color="000000"/>
            </w:tcBorders>
          </w:tcPr>
          <w:p>
            <w:pPr>
              <w:pStyle w:val="TableParagraph"/>
              <w:spacing w:before="48"/>
              <w:ind w:right="24"/>
              <w:jc w:val="right"/>
              <w:rPr>
                <w:sz w:val="18"/>
              </w:rPr>
            </w:pPr>
            <w:r>
              <w:rPr>
                <w:w w:val="95"/>
                <w:sz w:val="18"/>
              </w:rPr>
              <w:t>(2,784,752)</w:t>
            </w:r>
          </w:p>
        </w:tc>
      </w:tr>
      <w:tr>
        <w:trPr>
          <w:trHeight w:val="263" w:hRule="exact"/>
        </w:trPr>
        <w:tc>
          <w:tcPr>
            <w:tcW w:w="7505" w:type="dxa"/>
          </w:tcPr>
          <w:p>
            <w:pPr>
              <w:pStyle w:val="TableParagraph"/>
              <w:spacing w:before="20"/>
              <w:ind w:left="62"/>
              <w:rPr>
                <w:sz w:val="18"/>
              </w:rPr>
            </w:pPr>
            <w:r>
              <w:rPr>
                <w:sz w:val="18"/>
              </w:rPr>
              <w:t>Surplus / (Deficit) for the year</w:t>
            </w:r>
          </w:p>
        </w:tc>
        <w:tc>
          <w:tcPr>
            <w:tcW w:w="1257" w:type="dxa"/>
            <w:tcBorders>
              <w:bottom w:val="single" w:sz="0" w:space="0" w:color="000000"/>
            </w:tcBorders>
          </w:tcPr>
          <w:p>
            <w:pPr>
              <w:pStyle w:val="TableParagraph"/>
              <w:spacing w:before="19"/>
              <w:ind w:right="57"/>
              <w:jc w:val="right"/>
              <w:rPr>
                <w:sz w:val="18"/>
              </w:rPr>
            </w:pPr>
            <w:r>
              <w:rPr>
                <w:w w:val="95"/>
                <w:sz w:val="18"/>
              </w:rPr>
              <w:t>(1,554,492)</w:t>
            </w:r>
          </w:p>
        </w:tc>
        <w:tc>
          <w:tcPr>
            <w:tcW w:w="1191" w:type="dxa"/>
            <w:tcBorders>
              <w:bottom w:val="single" w:sz="0" w:space="0" w:color="000000"/>
            </w:tcBorders>
          </w:tcPr>
          <w:p>
            <w:pPr>
              <w:pStyle w:val="TableParagraph"/>
              <w:spacing w:before="19"/>
              <w:ind w:right="24"/>
              <w:jc w:val="right"/>
              <w:rPr>
                <w:sz w:val="18"/>
              </w:rPr>
            </w:pPr>
            <w:r>
              <w:rPr>
                <w:w w:val="95"/>
                <w:sz w:val="18"/>
              </w:rPr>
              <w:t>(1,554,492)</w:t>
            </w:r>
          </w:p>
        </w:tc>
      </w:tr>
      <w:tr>
        <w:trPr>
          <w:trHeight w:val="338" w:hRule="exact"/>
        </w:trPr>
        <w:tc>
          <w:tcPr>
            <w:tcW w:w="7505" w:type="dxa"/>
          </w:tcPr>
          <w:p>
            <w:pPr>
              <w:pStyle w:val="TableParagraph"/>
              <w:spacing w:before="123"/>
              <w:ind w:left="62"/>
              <w:rPr>
                <w:b/>
                <w:sz w:val="18"/>
              </w:rPr>
            </w:pPr>
            <w:r>
              <w:rPr>
                <w:b/>
                <w:sz w:val="18"/>
              </w:rPr>
              <w:t>Total comprehensive income for the year</w:t>
            </w:r>
          </w:p>
        </w:tc>
        <w:tc>
          <w:tcPr>
            <w:tcW w:w="1257" w:type="dxa"/>
            <w:tcBorders>
              <w:top w:val="single" w:sz="0" w:space="0" w:color="000000"/>
              <w:bottom w:val="single" w:sz="0" w:space="0" w:color="000000"/>
            </w:tcBorders>
          </w:tcPr>
          <w:p>
            <w:pPr>
              <w:pStyle w:val="TableParagraph"/>
              <w:spacing w:before="122"/>
              <w:ind w:right="57"/>
              <w:jc w:val="right"/>
              <w:rPr>
                <w:sz w:val="18"/>
              </w:rPr>
            </w:pPr>
            <w:r>
              <w:rPr>
                <w:w w:val="95"/>
                <w:sz w:val="18"/>
              </w:rPr>
              <w:t>(1,554,492)</w:t>
            </w:r>
          </w:p>
        </w:tc>
        <w:tc>
          <w:tcPr>
            <w:tcW w:w="1191" w:type="dxa"/>
            <w:tcBorders>
              <w:top w:val="single" w:sz="0" w:space="0" w:color="000000"/>
              <w:bottom w:val="single" w:sz="0" w:space="0" w:color="000000"/>
            </w:tcBorders>
          </w:tcPr>
          <w:p>
            <w:pPr>
              <w:pStyle w:val="TableParagraph"/>
              <w:spacing w:before="122"/>
              <w:ind w:right="24"/>
              <w:jc w:val="right"/>
              <w:rPr>
                <w:sz w:val="18"/>
              </w:rPr>
            </w:pPr>
            <w:r>
              <w:rPr>
                <w:w w:val="95"/>
                <w:sz w:val="18"/>
              </w:rPr>
              <w:t>(1,554,492)</w:t>
            </w:r>
          </w:p>
        </w:tc>
      </w:tr>
      <w:tr>
        <w:trPr>
          <w:trHeight w:val="353" w:hRule="exact"/>
        </w:trPr>
        <w:tc>
          <w:tcPr>
            <w:tcW w:w="7505" w:type="dxa"/>
          </w:tcPr>
          <w:p>
            <w:pPr>
              <w:pStyle w:val="TableParagraph"/>
              <w:tabs>
                <w:tab w:pos="7316" w:val="right" w:leader="none"/>
              </w:tabs>
              <w:spacing w:before="43"/>
              <w:ind w:left="62"/>
              <w:rPr>
                <w:sz w:val="18"/>
              </w:rPr>
            </w:pPr>
            <w:r>
              <w:rPr>
                <w:b/>
                <w:sz w:val="18"/>
              </w:rPr>
              <w:t>Balance at 31</w:t>
            </w:r>
            <w:r>
              <w:rPr>
                <w:b/>
                <w:spacing w:val="-2"/>
                <w:sz w:val="18"/>
              </w:rPr>
              <w:t> </w:t>
            </w:r>
            <w:r>
              <w:rPr>
                <w:b/>
                <w:sz w:val="18"/>
              </w:rPr>
              <w:t>December 2016</w:t>
            </w:r>
            <w:r>
              <w:rPr>
                <w:rFonts w:ascii="Times New Roman"/>
                <w:position w:val="8"/>
                <w:sz w:val="18"/>
              </w:rPr>
              <w:tab/>
            </w:r>
            <w:r>
              <w:rPr>
                <w:position w:val="8"/>
                <w:sz w:val="18"/>
              </w:rPr>
              <w:t>17</w:t>
            </w:r>
          </w:p>
        </w:tc>
        <w:tc>
          <w:tcPr>
            <w:tcW w:w="1257" w:type="dxa"/>
            <w:tcBorders>
              <w:top w:val="single" w:sz="0" w:space="0" w:color="000000"/>
              <w:bottom w:val="single" w:sz="0" w:space="0" w:color="000000"/>
            </w:tcBorders>
          </w:tcPr>
          <w:p>
            <w:pPr>
              <w:pStyle w:val="TableParagraph"/>
              <w:spacing w:before="122"/>
              <w:ind w:right="57"/>
              <w:jc w:val="right"/>
              <w:rPr>
                <w:sz w:val="18"/>
              </w:rPr>
            </w:pPr>
            <w:r>
              <w:rPr>
                <w:w w:val="95"/>
                <w:sz w:val="18"/>
              </w:rPr>
              <w:t>(4,339,244)</w:t>
            </w:r>
          </w:p>
        </w:tc>
        <w:tc>
          <w:tcPr>
            <w:tcW w:w="1191" w:type="dxa"/>
            <w:tcBorders>
              <w:top w:val="single" w:sz="0" w:space="0" w:color="000000"/>
              <w:bottom w:val="single" w:sz="0" w:space="0" w:color="000000"/>
            </w:tcBorders>
          </w:tcPr>
          <w:p>
            <w:pPr>
              <w:pStyle w:val="TableParagraph"/>
              <w:spacing w:before="122"/>
              <w:ind w:right="24"/>
              <w:jc w:val="right"/>
              <w:rPr>
                <w:sz w:val="18"/>
              </w:rPr>
            </w:pPr>
            <w:r>
              <w:rPr>
                <w:w w:val="95"/>
                <w:sz w:val="18"/>
              </w:rPr>
              <w:t>(4,339,244)</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pStyle w:val="BodyText"/>
        <w:ind w:left="2531" w:right="19"/>
      </w:pPr>
      <w:r>
        <w:rPr/>
        <w:t>The accompanying notes form part of these financial statements.</w:t>
      </w:r>
    </w:p>
    <w:p>
      <w:pPr>
        <w:spacing w:after="0"/>
        <w:sectPr>
          <w:pgSz w:w="11910" w:h="16840"/>
          <w:pgMar w:header="1038" w:footer="460" w:top="1460" w:bottom="700" w:left="860" w:right="86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49"/>
        <w:gridCol w:w="1909"/>
        <w:gridCol w:w="1410"/>
        <w:gridCol w:w="1185"/>
      </w:tblGrid>
      <w:tr>
        <w:trPr>
          <w:trHeight w:val="911" w:hRule="exact"/>
        </w:trPr>
        <w:tc>
          <w:tcPr>
            <w:tcW w:w="5449" w:type="dxa"/>
          </w:tcPr>
          <w:p>
            <w:pPr>
              <w:pStyle w:val="TableParagraph"/>
              <w:spacing w:before="64"/>
              <w:ind w:left="35"/>
              <w:rPr>
                <w:b/>
                <w:sz w:val="28"/>
              </w:rPr>
            </w:pPr>
            <w:r>
              <w:rPr>
                <w:b/>
                <w:sz w:val="28"/>
              </w:rPr>
              <w:t>Statement of Cash Flows</w:t>
            </w:r>
          </w:p>
          <w:p>
            <w:pPr>
              <w:pStyle w:val="TableParagraph"/>
              <w:spacing w:before="57"/>
              <w:ind w:left="35"/>
              <w:rPr>
                <w:b/>
                <w:sz w:val="22"/>
              </w:rPr>
            </w:pPr>
            <w:r>
              <w:rPr>
                <w:b/>
                <w:sz w:val="22"/>
              </w:rPr>
              <w:t>For the Year Ended 31 December 2017</w:t>
            </w:r>
          </w:p>
        </w:tc>
        <w:tc>
          <w:tcPr>
            <w:tcW w:w="4503" w:type="dxa"/>
            <w:gridSpan w:val="3"/>
          </w:tcPr>
          <w:p>
            <w:pPr/>
          </w:p>
        </w:tc>
      </w:tr>
      <w:tr>
        <w:trPr>
          <w:trHeight w:val="447" w:hRule="exact"/>
        </w:trPr>
        <w:tc>
          <w:tcPr>
            <w:tcW w:w="5449" w:type="dxa"/>
          </w:tcPr>
          <w:p>
            <w:pPr/>
          </w:p>
        </w:tc>
        <w:tc>
          <w:tcPr>
            <w:tcW w:w="1909" w:type="dxa"/>
          </w:tcPr>
          <w:p>
            <w:pPr/>
          </w:p>
        </w:tc>
        <w:tc>
          <w:tcPr>
            <w:tcW w:w="1410" w:type="dxa"/>
          </w:tcPr>
          <w:p>
            <w:pPr>
              <w:pStyle w:val="TableParagraph"/>
              <w:spacing w:before="1"/>
              <w:rPr>
                <w:sz w:val="17"/>
              </w:rPr>
            </w:pPr>
          </w:p>
          <w:p>
            <w:pPr>
              <w:pStyle w:val="TableParagraph"/>
              <w:ind w:left="448"/>
              <w:rPr>
                <w:b/>
                <w:sz w:val="18"/>
              </w:rPr>
            </w:pPr>
            <w:r>
              <w:rPr>
                <w:b/>
                <w:sz w:val="18"/>
              </w:rPr>
              <w:t>2017</w:t>
            </w:r>
          </w:p>
        </w:tc>
        <w:tc>
          <w:tcPr>
            <w:tcW w:w="1185" w:type="dxa"/>
          </w:tcPr>
          <w:p>
            <w:pPr>
              <w:pStyle w:val="TableParagraph"/>
              <w:spacing w:before="1"/>
              <w:rPr>
                <w:sz w:val="17"/>
              </w:rPr>
            </w:pPr>
          </w:p>
          <w:p>
            <w:pPr>
              <w:pStyle w:val="TableParagraph"/>
              <w:ind w:left="336"/>
              <w:rPr>
                <w:b/>
                <w:sz w:val="18"/>
              </w:rPr>
            </w:pPr>
            <w:r>
              <w:rPr>
                <w:b/>
                <w:sz w:val="18"/>
              </w:rPr>
              <w:t>2016</w:t>
            </w:r>
          </w:p>
        </w:tc>
      </w:tr>
      <w:tr>
        <w:trPr>
          <w:trHeight w:val="313" w:hRule="exact"/>
        </w:trPr>
        <w:tc>
          <w:tcPr>
            <w:tcW w:w="5449" w:type="dxa"/>
          </w:tcPr>
          <w:p>
            <w:pPr/>
          </w:p>
        </w:tc>
        <w:tc>
          <w:tcPr>
            <w:tcW w:w="1909" w:type="dxa"/>
          </w:tcPr>
          <w:p>
            <w:pPr>
              <w:pStyle w:val="TableParagraph"/>
              <w:spacing w:before="24"/>
              <w:ind w:right="86"/>
              <w:jc w:val="right"/>
              <w:rPr>
                <w:b/>
                <w:sz w:val="18"/>
              </w:rPr>
            </w:pPr>
            <w:r>
              <w:rPr>
                <w:b/>
                <w:w w:val="95"/>
                <w:sz w:val="18"/>
              </w:rPr>
              <w:t>Note</w:t>
            </w:r>
          </w:p>
        </w:tc>
        <w:tc>
          <w:tcPr>
            <w:tcW w:w="1410" w:type="dxa"/>
          </w:tcPr>
          <w:p>
            <w:pPr>
              <w:pStyle w:val="TableParagraph"/>
              <w:spacing w:before="24"/>
              <w:ind w:right="110"/>
              <w:jc w:val="center"/>
              <w:rPr>
                <w:b/>
                <w:sz w:val="18"/>
              </w:rPr>
            </w:pPr>
            <w:r>
              <w:rPr>
                <w:b/>
                <w:w w:val="99"/>
                <w:sz w:val="18"/>
              </w:rPr>
              <w:t>$</w:t>
            </w:r>
          </w:p>
        </w:tc>
        <w:tc>
          <w:tcPr>
            <w:tcW w:w="1185" w:type="dxa"/>
          </w:tcPr>
          <w:p>
            <w:pPr>
              <w:pStyle w:val="TableParagraph"/>
              <w:spacing w:before="24"/>
              <w:ind w:right="110"/>
              <w:jc w:val="center"/>
              <w:rPr>
                <w:b/>
                <w:sz w:val="18"/>
              </w:rPr>
            </w:pPr>
            <w:r>
              <w:rPr>
                <w:b/>
                <w:w w:val="99"/>
                <w:sz w:val="18"/>
              </w:rPr>
              <w:t>$</w:t>
            </w:r>
          </w:p>
        </w:tc>
      </w:tr>
      <w:tr>
        <w:trPr>
          <w:trHeight w:val="543" w:hRule="exact"/>
        </w:trPr>
        <w:tc>
          <w:tcPr>
            <w:tcW w:w="5449" w:type="dxa"/>
          </w:tcPr>
          <w:p>
            <w:pPr>
              <w:pStyle w:val="TableParagraph"/>
              <w:spacing w:before="63"/>
              <w:ind w:left="62"/>
              <w:rPr>
                <w:b/>
                <w:sz w:val="18"/>
              </w:rPr>
            </w:pPr>
            <w:r>
              <w:rPr>
                <w:b/>
                <w:sz w:val="18"/>
              </w:rPr>
              <w:t>CASH FLOWS FROM OPERATING ACTIVITIES</w:t>
            </w:r>
          </w:p>
          <w:p>
            <w:pPr>
              <w:pStyle w:val="TableParagraph"/>
              <w:spacing w:before="27"/>
              <w:ind w:left="62"/>
              <w:rPr>
                <w:sz w:val="18"/>
              </w:rPr>
            </w:pPr>
            <w:r>
              <w:rPr>
                <w:sz w:val="18"/>
              </w:rPr>
              <w:t>Receipts from customers</w:t>
            </w:r>
          </w:p>
        </w:tc>
        <w:tc>
          <w:tcPr>
            <w:tcW w:w="1909" w:type="dxa"/>
          </w:tcPr>
          <w:p>
            <w:pPr/>
          </w:p>
        </w:tc>
        <w:tc>
          <w:tcPr>
            <w:tcW w:w="1410" w:type="dxa"/>
          </w:tcPr>
          <w:p>
            <w:pPr>
              <w:pStyle w:val="TableParagraph"/>
              <w:spacing w:before="11"/>
              <w:rPr>
                <w:sz w:val="25"/>
              </w:rPr>
            </w:pPr>
          </w:p>
          <w:p>
            <w:pPr>
              <w:pStyle w:val="TableParagraph"/>
              <w:ind w:left="310"/>
              <w:rPr>
                <w:b/>
                <w:sz w:val="18"/>
              </w:rPr>
            </w:pPr>
            <w:r>
              <w:rPr>
                <w:b/>
                <w:sz w:val="18"/>
              </w:rPr>
              <w:t>12,018,622</w:t>
            </w:r>
          </w:p>
        </w:tc>
        <w:tc>
          <w:tcPr>
            <w:tcW w:w="1185" w:type="dxa"/>
          </w:tcPr>
          <w:p>
            <w:pPr>
              <w:pStyle w:val="TableParagraph"/>
              <w:spacing w:before="11"/>
              <w:rPr>
                <w:sz w:val="25"/>
              </w:rPr>
            </w:pPr>
          </w:p>
          <w:p>
            <w:pPr>
              <w:pStyle w:val="TableParagraph"/>
              <w:ind w:left="198"/>
              <w:rPr>
                <w:sz w:val="18"/>
              </w:rPr>
            </w:pPr>
            <w:r>
              <w:rPr>
                <w:sz w:val="18"/>
              </w:rPr>
              <w:t>21,333,696</w:t>
            </w:r>
          </w:p>
        </w:tc>
      </w:tr>
      <w:tr>
        <w:trPr>
          <w:trHeight w:val="264" w:hRule="exact"/>
        </w:trPr>
        <w:tc>
          <w:tcPr>
            <w:tcW w:w="5449" w:type="dxa"/>
          </w:tcPr>
          <w:p>
            <w:pPr>
              <w:pStyle w:val="TableParagraph"/>
              <w:spacing w:before="18"/>
              <w:ind w:left="62"/>
              <w:rPr>
                <w:sz w:val="18"/>
              </w:rPr>
            </w:pPr>
            <w:r>
              <w:rPr>
                <w:sz w:val="18"/>
              </w:rPr>
              <w:t>Payments to suppliers and employees</w:t>
            </w:r>
          </w:p>
        </w:tc>
        <w:tc>
          <w:tcPr>
            <w:tcW w:w="1909" w:type="dxa"/>
          </w:tcPr>
          <w:p>
            <w:pPr/>
          </w:p>
        </w:tc>
        <w:tc>
          <w:tcPr>
            <w:tcW w:w="1410" w:type="dxa"/>
          </w:tcPr>
          <w:p>
            <w:pPr>
              <w:pStyle w:val="TableParagraph"/>
              <w:spacing w:before="19"/>
              <w:ind w:right="136"/>
              <w:jc w:val="right"/>
              <w:rPr>
                <w:b/>
                <w:sz w:val="18"/>
              </w:rPr>
            </w:pPr>
            <w:r>
              <w:rPr>
                <w:b/>
                <w:w w:val="95"/>
                <w:sz w:val="18"/>
              </w:rPr>
              <w:t>(11,982,694)</w:t>
            </w:r>
          </w:p>
        </w:tc>
        <w:tc>
          <w:tcPr>
            <w:tcW w:w="1185" w:type="dxa"/>
          </w:tcPr>
          <w:p>
            <w:pPr>
              <w:pStyle w:val="TableParagraph"/>
              <w:spacing w:before="19"/>
              <w:ind w:right="23"/>
              <w:jc w:val="right"/>
              <w:rPr>
                <w:sz w:val="18"/>
              </w:rPr>
            </w:pPr>
            <w:r>
              <w:rPr>
                <w:w w:val="95"/>
                <w:sz w:val="18"/>
              </w:rPr>
              <w:t>(21,832,076)</w:t>
            </w:r>
          </w:p>
        </w:tc>
      </w:tr>
      <w:tr>
        <w:trPr>
          <w:trHeight w:val="264" w:hRule="exact"/>
        </w:trPr>
        <w:tc>
          <w:tcPr>
            <w:tcW w:w="5449" w:type="dxa"/>
          </w:tcPr>
          <w:p>
            <w:pPr>
              <w:pStyle w:val="TableParagraph"/>
              <w:spacing w:before="18"/>
              <w:ind w:left="62"/>
              <w:rPr>
                <w:sz w:val="18"/>
              </w:rPr>
            </w:pPr>
            <w:r>
              <w:rPr>
                <w:sz w:val="18"/>
              </w:rPr>
              <w:t>Interest received</w:t>
            </w:r>
          </w:p>
        </w:tc>
        <w:tc>
          <w:tcPr>
            <w:tcW w:w="1909" w:type="dxa"/>
          </w:tcPr>
          <w:p>
            <w:pPr/>
          </w:p>
        </w:tc>
        <w:tc>
          <w:tcPr>
            <w:tcW w:w="1410" w:type="dxa"/>
          </w:tcPr>
          <w:p>
            <w:pPr>
              <w:pStyle w:val="TableParagraph"/>
              <w:spacing w:before="19"/>
              <w:ind w:right="197"/>
              <w:jc w:val="right"/>
              <w:rPr>
                <w:b/>
                <w:sz w:val="18"/>
              </w:rPr>
            </w:pPr>
            <w:r>
              <w:rPr>
                <w:b/>
                <w:w w:val="95"/>
                <w:sz w:val="18"/>
              </w:rPr>
              <w:t>6,999</w:t>
            </w:r>
          </w:p>
        </w:tc>
        <w:tc>
          <w:tcPr>
            <w:tcW w:w="1185" w:type="dxa"/>
          </w:tcPr>
          <w:p>
            <w:pPr>
              <w:pStyle w:val="TableParagraph"/>
              <w:spacing w:before="19"/>
              <w:ind w:right="84"/>
              <w:jc w:val="right"/>
              <w:rPr>
                <w:sz w:val="18"/>
              </w:rPr>
            </w:pPr>
            <w:r>
              <w:rPr>
                <w:w w:val="95"/>
                <w:sz w:val="18"/>
              </w:rPr>
              <w:t>16,400</w:t>
            </w:r>
          </w:p>
        </w:tc>
      </w:tr>
      <w:tr>
        <w:trPr>
          <w:trHeight w:val="263" w:hRule="exact"/>
        </w:trPr>
        <w:tc>
          <w:tcPr>
            <w:tcW w:w="5449" w:type="dxa"/>
          </w:tcPr>
          <w:p>
            <w:pPr>
              <w:pStyle w:val="TableParagraph"/>
              <w:spacing w:before="18"/>
              <w:ind w:left="62"/>
              <w:rPr>
                <w:sz w:val="18"/>
              </w:rPr>
            </w:pPr>
            <w:r>
              <w:rPr>
                <w:sz w:val="18"/>
              </w:rPr>
              <w:t>Interest paid</w:t>
            </w:r>
          </w:p>
        </w:tc>
        <w:tc>
          <w:tcPr>
            <w:tcW w:w="1909" w:type="dxa"/>
          </w:tcPr>
          <w:p>
            <w:pPr/>
          </w:p>
        </w:tc>
        <w:tc>
          <w:tcPr>
            <w:tcW w:w="1410" w:type="dxa"/>
            <w:tcBorders>
              <w:bottom w:val="single" w:sz="0" w:space="0" w:color="000000"/>
            </w:tcBorders>
          </w:tcPr>
          <w:p>
            <w:pPr>
              <w:pStyle w:val="TableParagraph"/>
              <w:spacing w:before="19"/>
              <w:ind w:right="136"/>
              <w:jc w:val="right"/>
              <w:rPr>
                <w:b/>
                <w:sz w:val="18"/>
              </w:rPr>
            </w:pPr>
            <w:r>
              <w:rPr>
                <w:b/>
                <w:w w:val="95"/>
                <w:sz w:val="18"/>
              </w:rPr>
              <w:t>(176,975)</w:t>
            </w:r>
          </w:p>
        </w:tc>
        <w:tc>
          <w:tcPr>
            <w:tcW w:w="1185" w:type="dxa"/>
            <w:tcBorders>
              <w:bottom w:val="single" w:sz="0" w:space="0" w:color="000000"/>
            </w:tcBorders>
          </w:tcPr>
          <w:p>
            <w:pPr>
              <w:pStyle w:val="TableParagraph"/>
              <w:spacing w:before="19"/>
              <w:ind w:right="24"/>
              <w:jc w:val="right"/>
              <w:rPr>
                <w:sz w:val="18"/>
              </w:rPr>
            </w:pPr>
            <w:r>
              <w:rPr>
                <w:w w:val="95"/>
                <w:sz w:val="18"/>
              </w:rPr>
              <w:t>(199,317)</w:t>
            </w:r>
          </w:p>
        </w:tc>
      </w:tr>
      <w:tr>
        <w:trPr>
          <w:trHeight w:val="338" w:hRule="exact"/>
        </w:trPr>
        <w:tc>
          <w:tcPr>
            <w:tcW w:w="5449" w:type="dxa"/>
          </w:tcPr>
          <w:p>
            <w:pPr>
              <w:pStyle w:val="TableParagraph"/>
              <w:spacing w:before="38"/>
              <w:ind w:left="62"/>
              <w:rPr>
                <w:b/>
                <w:sz w:val="18"/>
              </w:rPr>
            </w:pPr>
            <w:r>
              <w:rPr>
                <w:b/>
                <w:sz w:val="18"/>
              </w:rPr>
              <w:t>Net cash used in operating activities</w:t>
            </w:r>
          </w:p>
        </w:tc>
        <w:tc>
          <w:tcPr>
            <w:tcW w:w="1909" w:type="dxa"/>
          </w:tcPr>
          <w:p>
            <w:pPr>
              <w:pStyle w:val="TableParagraph"/>
              <w:spacing w:before="39"/>
              <w:ind w:right="186"/>
              <w:jc w:val="right"/>
              <w:rPr>
                <w:sz w:val="18"/>
              </w:rPr>
            </w:pPr>
            <w:r>
              <w:rPr>
                <w:w w:val="95"/>
                <w:sz w:val="18"/>
              </w:rPr>
              <w:t>25</w:t>
            </w:r>
          </w:p>
        </w:tc>
        <w:tc>
          <w:tcPr>
            <w:tcW w:w="1410" w:type="dxa"/>
            <w:tcBorders>
              <w:top w:val="single" w:sz="0" w:space="0" w:color="000000"/>
              <w:bottom w:val="single" w:sz="0" w:space="0" w:color="000000"/>
            </w:tcBorders>
          </w:tcPr>
          <w:p>
            <w:pPr>
              <w:pStyle w:val="TableParagraph"/>
              <w:spacing w:before="122"/>
              <w:ind w:right="136"/>
              <w:jc w:val="right"/>
              <w:rPr>
                <w:b/>
                <w:sz w:val="18"/>
              </w:rPr>
            </w:pPr>
            <w:r>
              <w:rPr>
                <w:b/>
                <w:sz w:val="18"/>
              </w:rPr>
              <w:t>(134,048)</w:t>
            </w:r>
          </w:p>
        </w:tc>
        <w:tc>
          <w:tcPr>
            <w:tcW w:w="1185" w:type="dxa"/>
            <w:tcBorders>
              <w:top w:val="single" w:sz="0" w:space="0" w:color="000000"/>
              <w:bottom w:val="single" w:sz="0" w:space="0" w:color="000000"/>
            </w:tcBorders>
          </w:tcPr>
          <w:p>
            <w:pPr>
              <w:pStyle w:val="TableParagraph"/>
              <w:spacing w:before="122"/>
              <w:ind w:right="24"/>
              <w:jc w:val="right"/>
              <w:rPr>
                <w:sz w:val="18"/>
              </w:rPr>
            </w:pPr>
            <w:r>
              <w:rPr>
                <w:sz w:val="18"/>
              </w:rPr>
              <w:t>(681,297)</w:t>
            </w:r>
          </w:p>
        </w:tc>
      </w:tr>
      <w:tr>
        <w:trPr>
          <w:trHeight w:val="898" w:hRule="exact"/>
        </w:trPr>
        <w:tc>
          <w:tcPr>
            <w:tcW w:w="5449" w:type="dxa"/>
          </w:tcPr>
          <w:p>
            <w:pPr>
              <w:pStyle w:val="TableParagraph"/>
              <w:rPr>
                <w:sz w:val="18"/>
              </w:rPr>
            </w:pPr>
          </w:p>
          <w:p>
            <w:pPr>
              <w:pStyle w:val="TableParagraph"/>
              <w:spacing w:before="4"/>
              <w:rPr>
                <w:sz w:val="18"/>
              </w:rPr>
            </w:pPr>
          </w:p>
          <w:p>
            <w:pPr>
              <w:pStyle w:val="TableParagraph"/>
              <w:ind w:left="62"/>
              <w:rPr>
                <w:b/>
                <w:sz w:val="18"/>
              </w:rPr>
            </w:pPr>
            <w:r>
              <w:rPr>
                <w:b/>
                <w:sz w:val="18"/>
              </w:rPr>
              <w:t>CASH FLOWS FROM INVESTING ACTIVITIES</w:t>
            </w:r>
          </w:p>
          <w:p>
            <w:pPr>
              <w:pStyle w:val="TableParagraph"/>
              <w:spacing w:before="27"/>
              <w:ind w:left="62"/>
              <w:rPr>
                <w:sz w:val="18"/>
              </w:rPr>
            </w:pPr>
            <w:r>
              <w:rPr>
                <w:sz w:val="18"/>
              </w:rPr>
              <w:t>Proceeds from sale of plant and equipment</w:t>
            </w:r>
          </w:p>
        </w:tc>
        <w:tc>
          <w:tcPr>
            <w:tcW w:w="1909" w:type="dxa"/>
          </w:tcPr>
          <w:p>
            <w:pPr/>
          </w:p>
        </w:tc>
        <w:tc>
          <w:tcPr>
            <w:tcW w:w="1410" w:type="dxa"/>
            <w:tcBorders>
              <w:top w:val="single" w:sz="0" w:space="0" w:color="000000"/>
              <w:bottom w:val="single" w:sz="0" w:space="0" w:color="000000"/>
            </w:tcBorders>
          </w:tcPr>
          <w:p>
            <w:pPr>
              <w:pStyle w:val="TableParagraph"/>
              <w:rPr>
                <w:sz w:val="18"/>
              </w:rPr>
            </w:pPr>
          </w:p>
          <w:p>
            <w:pPr>
              <w:pStyle w:val="TableParagraph"/>
              <w:rPr>
                <w:sz w:val="18"/>
              </w:rPr>
            </w:pPr>
          </w:p>
          <w:p>
            <w:pPr>
              <w:pStyle w:val="TableParagraph"/>
              <w:spacing w:before="9"/>
              <w:rPr>
                <w:sz w:val="20"/>
              </w:rPr>
            </w:pPr>
          </w:p>
          <w:p>
            <w:pPr>
              <w:pStyle w:val="TableParagraph"/>
              <w:ind w:right="196"/>
              <w:jc w:val="right"/>
              <w:rPr>
                <w:b/>
                <w:sz w:val="18"/>
              </w:rPr>
            </w:pPr>
            <w:r>
              <w:rPr>
                <w:b/>
                <w:w w:val="95"/>
                <w:sz w:val="18"/>
              </w:rPr>
              <w:t>664,350</w:t>
            </w:r>
          </w:p>
        </w:tc>
        <w:tc>
          <w:tcPr>
            <w:tcW w:w="1185" w:type="dxa"/>
            <w:tcBorders>
              <w:top w:val="single" w:sz="0" w:space="0" w:color="000000"/>
              <w:bottom w:val="single" w:sz="0" w:space="0" w:color="000000"/>
            </w:tcBorders>
          </w:tcPr>
          <w:p>
            <w:pPr>
              <w:pStyle w:val="TableParagraph"/>
              <w:rPr>
                <w:sz w:val="18"/>
              </w:rPr>
            </w:pPr>
          </w:p>
          <w:p>
            <w:pPr>
              <w:pStyle w:val="TableParagraph"/>
              <w:rPr>
                <w:sz w:val="18"/>
              </w:rPr>
            </w:pPr>
          </w:p>
          <w:p>
            <w:pPr>
              <w:pStyle w:val="TableParagraph"/>
              <w:spacing w:before="9"/>
              <w:rPr>
                <w:sz w:val="20"/>
              </w:rPr>
            </w:pPr>
          </w:p>
          <w:p>
            <w:pPr>
              <w:pStyle w:val="TableParagraph"/>
              <w:ind w:right="84"/>
              <w:jc w:val="right"/>
              <w:rPr>
                <w:sz w:val="18"/>
              </w:rPr>
            </w:pPr>
            <w:r>
              <w:rPr>
                <w:w w:val="95"/>
                <w:sz w:val="18"/>
              </w:rPr>
              <w:t>66,850</w:t>
            </w:r>
          </w:p>
        </w:tc>
      </w:tr>
      <w:tr>
        <w:trPr>
          <w:trHeight w:val="338" w:hRule="exact"/>
        </w:trPr>
        <w:tc>
          <w:tcPr>
            <w:tcW w:w="5449" w:type="dxa"/>
          </w:tcPr>
          <w:p>
            <w:pPr>
              <w:pStyle w:val="TableParagraph"/>
              <w:spacing w:before="38"/>
              <w:ind w:left="62"/>
              <w:rPr>
                <w:b/>
                <w:sz w:val="18"/>
              </w:rPr>
            </w:pPr>
            <w:r>
              <w:rPr>
                <w:b/>
                <w:sz w:val="18"/>
              </w:rPr>
              <w:t>Net cash provided by investing activities</w:t>
            </w:r>
          </w:p>
        </w:tc>
        <w:tc>
          <w:tcPr>
            <w:tcW w:w="1909" w:type="dxa"/>
          </w:tcPr>
          <w:p>
            <w:pPr/>
          </w:p>
        </w:tc>
        <w:tc>
          <w:tcPr>
            <w:tcW w:w="1410" w:type="dxa"/>
            <w:tcBorders>
              <w:top w:val="single" w:sz="0" w:space="0" w:color="000000"/>
              <w:bottom w:val="single" w:sz="0" w:space="0" w:color="000000"/>
            </w:tcBorders>
          </w:tcPr>
          <w:p>
            <w:pPr>
              <w:pStyle w:val="TableParagraph"/>
              <w:spacing w:before="122"/>
              <w:ind w:right="196"/>
              <w:jc w:val="right"/>
              <w:rPr>
                <w:b/>
                <w:sz w:val="18"/>
              </w:rPr>
            </w:pPr>
            <w:r>
              <w:rPr>
                <w:b/>
                <w:w w:val="95"/>
                <w:sz w:val="18"/>
              </w:rPr>
              <w:t>664,350</w:t>
            </w:r>
          </w:p>
        </w:tc>
        <w:tc>
          <w:tcPr>
            <w:tcW w:w="1185" w:type="dxa"/>
            <w:tcBorders>
              <w:top w:val="single" w:sz="0" w:space="0" w:color="000000"/>
              <w:bottom w:val="single" w:sz="0" w:space="0" w:color="000000"/>
            </w:tcBorders>
          </w:tcPr>
          <w:p>
            <w:pPr>
              <w:pStyle w:val="TableParagraph"/>
              <w:spacing w:before="122"/>
              <w:ind w:right="84"/>
              <w:jc w:val="right"/>
              <w:rPr>
                <w:sz w:val="18"/>
              </w:rPr>
            </w:pPr>
            <w:r>
              <w:rPr>
                <w:w w:val="95"/>
                <w:sz w:val="18"/>
              </w:rPr>
              <w:t>66,850</w:t>
            </w:r>
          </w:p>
        </w:tc>
      </w:tr>
      <w:tr>
        <w:trPr>
          <w:trHeight w:val="898" w:hRule="exact"/>
        </w:trPr>
        <w:tc>
          <w:tcPr>
            <w:tcW w:w="5449" w:type="dxa"/>
          </w:tcPr>
          <w:p>
            <w:pPr>
              <w:pStyle w:val="TableParagraph"/>
              <w:rPr>
                <w:sz w:val="18"/>
              </w:rPr>
            </w:pPr>
          </w:p>
          <w:p>
            <w:pPr>
              <w:pStyle w:val="TableParagraph"/>
              <w:spacing w:before="4"/>
              <w:rPr>
                <w:sz w:val="18"/>
              </w:rPr>
            </w:pPr>
          </w:p>
          <w:p>
            <w:pPr>
              <w:pStyle w:val="TableParagraph"/>
              <w:ind w:left="62"/>
              <w:rPr>
                <w:b/>
                <w:sz w:val="18"/>
              </w:rPr>
            </w:pPr>
            <w:r>
              <w:rPr>
                <w:b/>
                <w:sz w:val="18"/>
              </w:rPr>
              <w:t>CASH FLOWS FROM FINANCING ACTIVITIES</w:t>
            </w:r>
          </w:p>
          <w:p>
            <w:pPr>
              <w:pStyle w:val="TableParagraph"/>
              <w:spacing w:before="27"/>
              <w:ind w:left="62"/>
              <w:rPr>
                <w:sz w:val="18"/>
              </w:rPr>
            </w:pPr>
            <w:r>
              <w:rPr>
                <w:sz w:val="18"/>
              </w:rPr>
              <w:t>Proceeds from borrowings</w:t>
            </w:r>
          </w:p>
        </w:tc>
        <w:tc>
          <w:tcPr>
            <w:tcW w:w="1909" w:type="dxa"/>
          </w:tcPr>
          <w:p>
            <w:pPr/>
          </w:p>
        </w:tc>
        <w:tc>
          <w:tcPr>
            <w:tcW w:w="1410" w:type="dxa"/>
            <w:tcBorders>
              <w:top w:val="single" w:sz="0" w:space="0" w:color="000000"/>
            </w:tcBorders>
          </w:tcPr>
          <w:p>
            <w:pPr>
              <w:pStyle w:val="TableParagraph"/>
              <w:rPr>
                <w:sz w:val="18"/>
              </w:rPr>
            </w:pPr>
          </w:p>
          <w:p>
            <w:pPr>
              <w:pStyle w:val="TableParagraph"/>
              <w:rPr>
                <w:sz w:val="18"/>
              </w:rPr>
            </w:pPr>
          </w:p>
          <w:p>
            <w:pPr>
              <w:pStyle w:val="TableParagraph"/>
              <w:spacing w:before="9"/>
              <w:rPr>
                <w:sz w:val="20"/>
              </w:rPr>
            </w:pPr>
          </w:p>
          <w:p>
            <w:pPr>
              <w:pStyle w:val="TableParagraph"/>
              <w:ind w:right="196"/>
              <w:jc w:val="right"/>
              <w:rPr>
                <w:b/>
                <w:sz w:val="18"/>
              </w:rPr>
            </w:pPr>
            <w:r>
              <w:rPr>
                <w:b/>
                <w:w w:val="95"/>
                <w:sz w:val="18"/>
              </w:rPr>
              <w:t>899,900</w:t>
            </w:r>
          </w:p>
        </w:tc>
        <w:tc>
          <w:tcPr>
            <w:tcW w:w="1185" w:type="dxa"/>
            <w:tcBorders>
              <w:top w:val="single" w:sz="0" w:space="0" w:color="000000"/>
            </w:tcBorders>
          </w:tcPr>
          <w:p>
            <w:pPr>
              <w:pStyle w:val="TableParagraph"/>
              <w:rPr>
                <w:sz w:val="18"/>
              </w:rPr>
            </w:pPr>
          </w:p>
          <w:p>
            <w:pPr>
              <w:pStyle w:val="TableParagraph"/>
              <w:rPr>
                <w:sz w:val="18"/>
              </w:rPr>
            </w:pPr>
          </w:p>
          <w:p>
            <w:pPr>
              <w:pStyle w:val="TableParagraph"/>
              <w:spacing w:before="9"/>
              <w:rPr>
                <w:sz w:val="20"/>
              </w:rPr>
            </w:pPr>
          </w:p>
          <w:p>
            <w:pPr>
              <w:pStyle w:val="TableParagraph"/>
              <w:ind w:left="297"/>
              <w:rPr>
                <w:sz w:val="18"/>
              </w:rPr>
            </w:pPr>
            <w:r>
              <w:rPr>
                <w:sz w:val="18"/>
              </w:rPr>
              <w:t>1,599,713</w:t>
            </w:r>
          </w:p>
        </w:tc>
      </w:tr>
      <w:tr>
        <w:trPr>
          <w:trHeight w:val="263" w:hRule="exact"/>
        </w:trPr>
        <w:tc>
          <w:tcPr>
            <w:tcW w:w="5449" w:type="dxa"/>
          </w:tcPr>
          <w:p>
            <w:pPr>
              <w:pStyle w:val="TableParagraph"/>
              <w:spacing w:before="18"/>
              <w:ind w:left="62"/>
              <w:rPr>
                <w:sz w:val="18"/>
              </w:rPr>
            </w:pPr>
            <w:r>
              <w:rPr>
                <w:sz w:val="18"/>
              </w:rPr>
              <w:t>Payment of borrowings</w:t>
            </w:r>
          </w:p>
        </w:tc>
        <w:tc>
          <w:tcPr>
            <w:tcW w:w="1909" w:type="dxa"/>
          </w:tcPr>
          <w:p>
            <w:pPr/>
          </w:p>
        </w:tc>
        <w:tc>
          <w:tcPr>
            <w:tcW w:w="1410" w:type="dxa"/>
            <w:tcBorders>
              <w:bottom w:val="single" w:sz="0" w:space="0" w:color="000000"/>
            </w:tcBorders>
          </w:tcPr>
          <w:p>
            <w:pPr>
              <w:pStyle w:val="TableParagraph"/>
              <w:spacing w:before="19"/>
              <w:ind w:right="136"/>
              <w:jc w:val="right"/>
              <w:rPr>
                <w:b/>
                <w:sz w:val="18"/>
              </w:rPr>
            </w:pPr>
            <w:r>
              <w:rPr>
                <w:b/>
                <w:w w:val="95"/>
                <w:sz w:val="18"/>
              </w:rPr>
              <w:t>(1,783,557)</w:t>
            </w:r>
          </w:p>
        </w:tc>
        <w:tc>
          <w:tcPr>
            <w:tcW w:w="1185" w:type="dxa"/>
            <w:tcBorders>
              <w:bottom w:val="single" w:sz="0" w:space="0" w:color="000000"/>
            </w:tcBorders>
          </w:tcPr>
          <w:p>
            <w:pPr>
              <w:pStyle w:val="TableParagraph"/>
              <w:spacing w:before="19"/>
              <w:ind w:right="24"/>
              <w:jc w:val="right"/>
              <w:rPr>
                <w:sz w:val="18"/>
              </w:rPr>
            </w:pPr>
            <w:r>
              <w:rPr>
                <w:w w:val="95"/>
                <w:sz w:val="18"/>
              </w:rPr>
              <w:t>(991,799)</w:t>
            </w:r>
          </w:p>
        </w:tc>
      </w:tr>
    </w:tbl>
    <w:p>
      <w:pPr>
        <w:pStyle w:val="Heading9"/>
        <w:tabs>
          <w:tab w:pos="7970" w:val="left" w:leader="none"/>
          <w:tab w:pos="9327" w:val="left" w:leader="none"/>
        </w:tabs>
        <w:spacing w:before="38"/>
        <w:ind w:left="175" w:right="19"/>
        <w:rPr>
          <w:b w:val="0"/>
        </w:rPr>
      </w:pPr>
      <w:r>
        <w:rPr/>
        <w:t>Net cash (used in) / provided by financing activities</w:t>
        <w:tab/>
      </w:r>
      <w:r>
        <w:rPr>
          <w:position w:val="-8"/>
        </w:rPr>
        <w:t>(883,657)</w:t>
        <w:tab/>
      </w:r>
      <w:r>
        <w:rPr>
          <w:b w:val="0"/>
          <w:position w:val="-8"/>
        </w:rPr>
        <w:t>607,914</w:t>
      </w:r>
    </w:p>
    <w:p>
      <w:pPr>
        <w:pStyle w:val="BodyText"/>
        <w:spacing w:line="20" w:lineRule="exact"/>
        <w:ind w:left="7469"/>
        <w:rPr>
          <w:sz w:val="2"/>
        </w:rPr>
      </w:pPr>
      <w:r>
        <w:rPr>
          <w:sz w:val="2"/>
        </w:rPr>
        <w:pict>
          <v:group style="width:129.85pt;height:1pt;mso-position-horizontal-relative:char;mso-position-vertical-relative:line" coordorigin="0,0" coordsize="2597,2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group>
        </w:pict>
      </w:r>
      <w:r>
        <w:rPr>
          <w:sz w:val="2"/>
        </w:rPr>
      </w:r>
    </w:p>
    <w:p>
      <w:pPr>
        <w:pStyle w:val="BodyText"/>
        <w:rPr>
          <w:sz w:val="20"/>
        </w:rPr>
      </w:pPr>
    </w:p>
    <w:p>
      <w:pPr>
        <w:pStyle w:val="BodyText"/>
        <w:spacing w:before="6" w:after="1"/>
        <w:rPr>
          <w:sz w:val="28"/>
        </w:rPr>
      </w:pPr>
    </w:p>
    <w:tbl>
      <w:tblPr>
        <w:tblW w:w="0" w:type="auto"/>
        <w:jc w:val="left"/>
        <w:tblInd w:w="14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30"/>
        <w:gridCol w:w="1564"/>
        <w:gridCol w:w="1030"/>
      </w:tblGrid>
      <w:tr>
        <w:trPr>
          <w:trHeight w:val="323" w:hRule="exact"/>
        </w:trPr>
        <w:tc>
          <w:tcPr>
            <w:tcW w:w="7330" w:type="dxa"/>
          </w:tcPr>
          <w:p>
            <w:pPr>
              <w:pStyle w:val="TableParagraph"/>
              <w:spacing w:before="77"/>
              <w:ind w:left="35"/>
              <w:rPr>
                <w:b/>
                <w:sz w:val="18"/>
              </w:rPr>
            </w:pPr>
            <w:r>
              <w:rPr>
                <w:b/>
                <w:sz w:val="18"/>
              </w:rPr>
              <w:t>Net (decrease) / increase in cash and cash equivalents held</w:t>
            </w:r>
          </w:p>
        </w:tc>
        <w:tc>
          <w:tcPr>
            <w:tcW w:w="1564" w:type="dxa"/>
          </w:tcPr>
          <w:p>
            <w:pPr>
              <w:pStyle w:val="TableParagraph"/>
              <w:spacing w:before="78"/>
              <w:ind w:left="480" w:right="273"/>
              <w:jc w:val="center"/>
              <w:rPr>
                <w:b/>
                <w:sz w:val="18"/>
              </w:rPr>
            </w:pPr>
            <w:r>
              <w:rPr>
                <w:b/>
                <w:sz w:val="18"/>
              </w:rPr>
              <w:t>(353,355)</w:t>
            </w:r>
          </w:p>
        </w:tc>
        <w:tc>
          <w:tcPr>
            <w:tcW w:w="1030" w:type="dxa"/>
          </w:tcPr>
          <w:p>
            <w:pPr>
              <w:pStyle w:val="TableParagraph"/>
              <w:spacing w:before="78"/>
              <w:ind w:left="432"/>
              <w:rPr>
                <w:sz w:val="18"/>
              </w:rPr>
            </w:pPr>
            <w:r>
              <w:rPr>
                <w:sz w:val="18"/>
              </w:rPr>
              <w:t>(6,533)</w:t>
            </w:r>
          </w:p>
        </w:tc>
      </w:tr>
      <w:tr>
        <w:trPr>
          <w:trHeight w:val="263" w:hRule="exact"/>
        </w:trPr>
        <w:tc>
          <w:tcPr>
            <w:tcW w:w="7330" w:type="dxa"/>
          </w:tcPr>
          <w:p>
            <w:pPr>
              <w:pStyle w:val="TableParagraph"/>
              <w:spacing w:before="19"/>
              <w:ind w:left="35"/>
              <w:rPr>
                <w:sz w:val="18"/>
              </w:rPr>
            </w:pPr>
            <w:r>
              <w:rPr>
                <w:sz w:val="18"/>
              </w:rPr>
              <w:t>Cash and cash equivalents at beginning of the year</w:t>
            </w:r>
          </w:p>
        </w:tc>
        <w:tc>
          <w:tcPr>
            <w:tcW w:w="1564" w:type="dxa"/>
            <w:tcBorders>
              <w:bottom w:val="single" w:sz="0" w:space="0" w:color="000000"/>
            </w:tcBorders>
          </w:tcPr>
          <w:p>
            <w:pPr>
              <w:pStyle w:val="TableParagraph"/>
              <w:spacing w:before="19"/>
              <w:ind w:left="480" w:right="273"/>
              <w:jc w:val="center"/>
              <w:rPr>
                <w:b/>
                <w:sz w:val="18"/>
              </w:rPr>
            </w:pPr>
            <w:r>
              <w:rPr>
                <w:b/>
                <w:sz w:val="18"/>
              </w:rPr>
              <w:t>496,008</w:t>
            </w:r>
          </w:p>
        </w:tc>
        <w:tc>
          <w:tcPr>
            <w:tcW w:w="1030" w:type="dxa"/>
            <w:tcBorders>
              <w:bottom w:val="single" w:sz="0" w:space="0" w:color="000000"/>
            </w:tcBorders>
          </w:tcPr>
          <w:p>
            <w:pPr>
              <w:pStyle w:val="TableParagraph"/>
              <w:spacing w:before="19"/>
              <w:ind w:left="293"/>
              <w:rPr>
                <w:sz w:val="18"/>
              </w:rPr>
            </w:pPr>
            <w:r>
              <w:rPr>
                <w:sz w:val="18"/>
              </w:rPr>
              <w:t>502,541</w:t>
            </w:r>
          </w:p>
        </w:tc>
      </w:tr>
    </w:tbl>
    <w:p>
      <w:pPr>
        <w:tabs>
          <w:tab w:pos="7131" w:val="left" w:leader="none"/>
          <w:tab w:pos="8030" w:val="left" w:leader="none"/>
          <w:tab w:pos="9327" w:val="left" w:leader="none"/>
        </w:tabs>
        <w:spacing w:before="39" w:after="2"/>
        <w:ind w:left="175" w:right="19" w:firstLine="0"/>
        <w:jc w:val="left"/>
        <w:rPr>
          <w:sz w:val="18"/>
        </w:rPr>
      </w:pPr>
      <w:r>
        <w:rPr>
          <w:b/>
          <w:sz w:val="18"/>
        </w:rPr>
        <w:t>Cash and cash equivalents at end of</w:t>
      </w:r>
      <w:r>
        <w:rPr>
          <w:b/>
          <w:spacing w:val="-1"/>
          <w:sz w:val="18"/>
        </w:rPr>
        <w:t> </w:t>
      </w:r>
      <w:r>
        <w:rPr>
          <w:b/>
          <w:sz w:val="18"/>
        </w:rPr>
        <w:t>financial</w:t>
      </w:r>
      <w:r>
        <w:rPr>
          <w:b/>
          <w:spacing w:val="-1"/>
          <w:sz w:val="18"/>
        </w:rPr>
        <w:t> </w:t>
      </w:r>
      <w:r>
        <w:rPr>
          <w:b/>
          <w:sz w:val="18"/>
        </w:rPr>
        <w:t>year</w:t>
        <w:tab/>
      </w:r>
      <w:r>
        <w:rPr>
          <w:sz w:val="18"/>
        </w:rPr>
        <w:t>7</w:t>
        <w:tab/>
      </w:r>
      <w:r>
        <w:rPr>
          <w:b/>
          <w:position w:val="-7"/>
          <w:sz w:val="18"/>
        </w:rPr>
        <w:t>142,653</w:t>
        <w:tab/>
      </w:r>
      <w:r>
        <w:rPr>
          <w:position w:val="-7"/>
          <w:sz w:val="18"/>
        </w:rPr>
        <w:t>496,008</w:t>
      </w:r>
    </w:p>
    <w:p>
      <w:pPr>
        <w:pStyle w:val="BodyText"/>
        <w:spacing w:line="50" w:lineRule="exact"/>
        <w:ind w:left="7469"/>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pStyle w:val="BodyText"/>
        <w:spacing w:before="78"/>
        <w:ind w:left="2531" w:right="19"/>
      </w:pPr>
      <w:r>
        <w:rPr/>
        <w:t>The accompanying notes form part of these financial statements.</w:t>
      </w:r>
    </w:p>
    <w:p>
      <w:pPr>
        <w:spacing w:after="0"/>
        <w:sectPr>
          <w:pgSz w:w="11910" w:h="16840"/>
          <w:pgMar w:header="1038" w:footer="460" w:top="1460" w:bottom="700" w:left="860" w:right="860"/>
        </w:sectPr>
      </w:pPr>
    </w:p>
    <w:p>
      <w:pPr>
        <w:pStyle w:val="BodyText"/>
        <w:spacing w:before="2"/>
        <w:rPr>
          <w:sz w:val="24"/>
        </w:rPr>
      </w:pPr>
    </w:p>
    <w:p>
      <w:pPr>
        <w:pStyle w:val="Heading3"/>
        <w:ind w:right="220"/>
      </w:pPr>
      <w:r>
        <w:rPr/>
        <w:t>Notes to the Financial Statements</w:t>
      </w:r>
    </w:p>
    <w:p>
      <w:pPr>
        <w:pStyle w:val="Heading6"/>
        <w:ind w:left="107" w:right="220"/>
      </w:pPr>
      <w:r>
        <w:rPr/>
        <w:t>For the Year Ended 31 December 2017</w:t>
      </w:r>
    </w:p>
    <w:p>
      <w:pPr>
        <w:pStyle w:val="BodyText"/>
        <w:spacing w:before="11"/>
        <w:rPr>
          <w:b/>
          <w:sz w:val="24"/>
        </w:rPr>
      </w:pPr>
    </w:p>
    <w:p>
      <w:pPr>
        <w:pStyle w:val="Heading9"/>
        <w:tabs>
          <w:tab w:pos="503" w:val="left" w:leader="none"/>
        </w:tabs>
        <w:ind w:left="109" w:right="220"/>
      </w:pPr>
      <w:r>
        <w:rPr/>
        <w:t>1</w:t>
        <w:tab/>
        <w:t>Summary of Significant Accounting</w:t>
      </w:r>
      <w:r>
        <w:rPr>
          <w:spacing w:val="-3"/>
        </w:rPr>
        <w:t> </w:t>
      </w:r>
      <w:r>
        <w:rPr/>
        <w:t>Policies</w:t>
      </w:r>
    </w:p>
    <w:p>
      <w:pPr>
        <w:pStyle w:val="BodyText"/>
        <w:rPr>
          <w:b/>
          <w:sz w:val="25"/>
        </w:rPr>
      </w:pPr>
    </w:p>
    <w:p>
      <w:pPr>
        <w:pStyle w:val="BodyText"/>
        <w:ind w:left="505" w:right="190"/>
      </w:pPr>
      <w:r>
        <w:rPr/>
        <w:t>Western Unlimited Ltd (the Company) is a registered Company limited by guarantee and is a controlled entity of Western Sydney University. The Company name change to Western Unlimited Ltd was completed on 15 June 2017. The Company was previously known as uwsconnect Limited. The Company is incorporated and domiciled in Australia.</w:t>
      </w:r>
    </w:p>
    <w:p>
      <w:pPr>
        <w:pStyle w:val="BodyText"/>
        <w:spacing w:line="496" w:lineRule="exact" w:before="59"/>
        <w:ind w:left="505" w:right="4192"/>
      </w:pPr>
      <w:r>
        <w:rPr/>
        <w:t>The principal place of business for Western Unlimited Ltd is: Western Sydney University</w:t>
      </w:r>
    </w:p>
    <w:p>
      <w:pPr>
        <w:pStyle w:val="BodyText"/>
        <w:spacing w:line="302" w:lineRule="auto"/>
        <w:ind w:left="505" w:right="7694"/>
      </w:pPr>
      <w:r>
        <w:rPr/>
        <w:t>Great Western Highway Werrington NSW 2747</w:t>
      </w:r>
    </w:p>
    <w:p>
      <w:pPr>
        <w:pStyle w:val="BodyText"/>
        <w:spacing w:before="9"/>
        <w:rPr>
          <w:sz w:val="22"/>
        </w:rPr>
      </w:pPr>
    </w:p>
    <w:p>
      <w:pPr>
        <w:pStyle w:val="BodyText"/>
        <w:ind w:left="505" w:right="629"/>
      </w:pPr>
      <w:r>
        <w:rPr/>
        <w:t>The principal accounting policies adopted in the preparation of these financial statements is set out below. These policies have been consistently applied for all years reported unless otherwise stated</w:t>
      </w:r>
    </w:p>
    <w:p>
      <w:pPr>
        <w:pStyle w:val="Heading9"/>
        <w:numPr>
          <w:ilvl w:val="0"/>
          <w:numId w:val="59"/>
        </w:numPr>
        <w:tabs>
          <w:tab w:pos="1071" w:val="left" w:leader="none"/>
        </w:tabs>
        <w:spacing w:line="240" w:lineRule="auto" w:before="112" w:after="0"/>
        <w:ind w:left="1070" w:right="0" w:hanging="566"/>
        <w:jc w:val="left"/>
      </w:pPr>
      <w:r>
        <w:rPr/>
        <w:t>Basis of</w:t>
      </w:r>
      <w:r>
        <w:rPr>
          <w:spacing w:val="-1"/>
        </w:rPr>
        <w:t> </w:t>
      </w:r>
      <w:r>
        <w:rPr/>
        <w:t>Preparation</w:t>
      </w:r>
    </w:p>
    <w:p>
      <w:pPr>
        <w:pStyle w:val="BodyText"/>
        <w:rPr>
          <w:b/>
        </w:rPr>
      </w:pPr>
    </w:p>
    <w:p>
      <w:pPr>
        <w:pStyle w:val="BodyText"/>
        <w:spacing w:before="6"/>
        <w:rPr>
          <w:b/>
          <w:sz w:val="19"/>
        </w:rPr>
      </w:pPr>
    </w:p>
    <w:p>
      <w:pPr>
        <w:pStyle w:val="BodyText"/>
        <w:ind w:left="503" w:right="141"/>
      </w:pPr>
      <w:r>
        <w:rPr/>
        <w:t>The financial statements are general purpose financial statements which have been prepared on an accruals basis and in accordance with:</w:t>
      </w:r>
    </w:p>
    <w:p>
      <w:pPr>
        <w:pStyle w:val="ListParagraph"/>
        <w:numPr>
          <w:ilvl w:val="0"/>
          <w:numId w:val="60"/>
        </w:numPr>
        <w:tabs>
          <w:tab w:pos="614" w:val="left" w:leader="none"/>
        </w:tabs>
        <w:spacing w:line="240" w:lineRule="auto" w:before="112" w:after="0"/>
        <w:ind w:left="613" w:right="0" w:hanging="110"/>
        <w:jc w:val="left"/>
        <w:rPr>
          <w:i/>
          <w:sz w:val="18"/>
        </w:rPr>
      </w:pPr>
      <w:r>
        <w:rPr>
          <w:sz w:val="18"/>
        </w:rPr>
        <w:t>Australian Accounting Standards (which include Australian Accounting</w:t>
      </w:r>
      <w:r>
        <w:rPr>
          <w:spacing w:val="-20"/>
          <w:sz w:val="18"/>
        </w:rPr>
        <w:t> </w:t>
      </w:r>
      <w:r>
        <w:rPr>
          <w:sz w:val="18"/>
        </w:rPr>
        <w:t>Interpretations)</w:t>
      </w:r>
      <w:r>
        <w:rPr>
          <w:i/>
          <w:sz w:val="18"/>
        </w:rPr>
        <w:t>,</w:t>
      </w:r>
    </w:p>
    <w:p>
      <w:pPr>
        <w:pStyle w:val="ListParagraph"/>
        <w:numPr>
          <w:ilvl w:val="0"/>
          <w:numId w:val="60"/>
        </w:numPr>
        <w:tabs>
          <w:tab w:pos="614" w:val="left" w:leader="none"/>
        </w:tabs>
        <w:spacing w:line="240" w:lineRule="auto" w:before="112" w:after="0"/>
        <w:ind w:left="613" w:right="0" w:hanging="110"/>
        <w:jc w:val="left"/>
        <w:rPr>
          <w:sz w:val="18"/>
        </w:rPr>
      </w:pPr>
      <w:r>
        <w:rPr>
          <w:sz w:val="18"/>
        </w:rPr>
        <w:t>the </w:t>
      </w:r>
      <w:r>
        <w:rPr>
          <w:i/>
          <w:sz w:val="18"/>
        </w:rPr>
        <w:t>Public Finance and Audit Act</w:t>
      </w:r>
      <w:r>
        <w:rPr>
          <w:i/>
          <w:spacing w:val="-7"/>
          <w:sz w:val="18"/>
        </w:rPr>
        <w:t> </w:t>
      </w:r>
      <w:r>
        <w:rPr>
          <w:i/>
          <w:sz w:val="18"/>
        </w:rPr>
        <w:t>1983</w:t>
      </w:r>
      <w:r>
        <w:rPr>
          <w:sz w:val="18"/>
        </w:rPr>
        <w:t>,</w:t>
      </w:r>
    </w:p>
    <w:p>
      <w:pPr>
        <w:pStyle w:val="ListParagraph"/>
        <w:numPr>
          <w:ilvl w:val="0"/>
          <w:numId w:val="60"/>
        </w:numPr>
        <w:tabs>
          <w:tab w:pos="614" w:val="left" w:leader="none"/>
        </w:tabs>
        <w:spacing w:line="240" w:lineRule="auto" w:before="112" w:after="0"/>
        <w:ind w:left="613" w:right="0" w:hanging="110"/>
        <w:jc w:val="left"/>
        <w:rPr>
          <w:sz w:val="18"/>
        </w:rPr>
      </w:pPr>
      <w:r>
        <w:rPr>
          <w:sz w:val="18"/>
        </w:rPr>
        <w:t>the </w:t>
      </w:r>
      <w:r>
        <w:rPr>
          <w:i/>
          <w:sz w:val="18"/>
        </w:rPr>
        <w:t>Public Finance and Audit Regulation</w:t>
      </w:r>
      <w:r>
        <w:rPr>
          <w:i/>
          <w:spacing w:val="-11"/>
          <w:sz w:val="18"/>
        </w:rPr>
        <w:t> </w:t>
      </w:r>
      <w:r>
        <w:rPr>
          <w:i/>
          <w:sz w:val="18"/>
        </w:rPr>
        <w:t>2015</w:t>
      </w:r>
      <w:r>
        <w:rPr>
          <w:sz w:val="18"/>
        </w:rPr>
        <w:t>,</w:t>
      </w:r>
    </w:p>
    <w:p>
      <w:pPr>
        <w:pStyle w:val="ListParagraph"/>
        <w:numPr>
          <w:ilvl w:val="0"/>
          <w:numId w:val="60"/>
        </w:numPr>
        <w:tabs>
          <w:tab w:pos="614" w:val="left" w:leader="none"/>
        </w:tabs>
        <w:spacing w:line="240" w:lineRule="auto" w:before="112" w:after="0"/>
        <w:ind w:left="613" w:right="0" w:hanging="110"/>
        <w:jc w:val="left"/>
        <w:rPr>
          <w:sz w:val="18"/>
        </w:rPr>
      </w:pPr>
      <w:r>
        <w:rPr>
          <w:sz w:val="18"/>
        </w:rPr>
        <w:t>the </w:t>
      </w:r>
      <w:r>
        <w:rPr>
          <w:i/>
          <w:sz w:val="18"/>
        </w:rPr>
        <w:t>Australian Charities and Not-for-profits Commission Act 2012 (ACNC Act) and Regulation</w:t>
      </w:r>
      <w:r>
        <w:rPr>
          <w:i/>
          <w:spacing w:val="1"/>
          <w:sz w:val="18"/>
        </w:rPr>
        <w:t> </w:t>
      </w:r>
      <w:r>
        <w:rPr>
          <w:i/>
          <w:spacing w:val="-4"/>
          <w:sz w:val="18"/>
        </w:rPr>
        <w:t>201</w:t>
      </w:r>
      <w:r>
        <w:rPr>
          <w:spacing w:val="-4"/>
          <w:sz w:val="18"/>
        </w:rPr>
        <w:t>3.</w:t>
      </w:r>
    </w:p>
    <w:p>
      <w:pPr>
        <w:pStyle w:val="BodyText"/>
        <w:rPr>
          <w:sz w:val="25"/>
        </w:rPr>
      </w:pPr>
    </w:p>
    <w:p>
      <w:pPr>
        <w:pStyle w:val="BodyText"/>
        <w:ind w:left="503" w:right="192"/>
      </w:pPr>
      <w:r>
        <w:rPr/>
        <w:t>Western Unlimited Ltd is a not-for-profit entity and these statements have been prepared on that basis. Some of the Australian Accounting Standards requirements for not-for-profit entities are inconsistent with the International Financial Reporting Standards (IFRS) requirements.</w:t>
      </w:r>
    </w:p>
    <w:p>
      <w:pPr>
        <w:pStyle w:val="BodyText"/>
        <w:rPr>
          <w:sz w:val="25"/>
        </w:rPr>
      </w:pPr>
    </w:p>
    <w:p>
      <w:pPr>
        <w:pStyle w:val="Heading9"/>
        <w:numPr>
          <w:ilvl w:val="1"/>
          <w:numId w:val="59"/>
        </w:numPr>
        <w:tabs>
          <w:tab w:pos="1108" w:val="left" w:leader="none"/>
        </w:tabs>
        <w:spacing w:line="240" w:lineRule="auto" w:before="0" w:after="0"/>
        <w:ind w:left="1107" w:right="0" w:hanging="320"/>
        <w:jc w:val="left"/>
      </w:pPr>
      <w:r>
        <w:rPr/>
        <w:t>Date of authorisation for</w:t>
      </w:r>
      <w:r>
        <w:rPr>
          <w:spacing w:val="-1"/>
        </w:rPr>
        <w:t> </w:t>
      </w:r>
      <w:r>
        <w:rPr/>
        <w:t>issue</w:t>
      </w:r>
    </w:p>
    <w:p>
      <w:pPr>
        <w:pStyle w:val="BodyText"/>
        <w:rPr>
          <w:b/>
          <w:sz w:val="25"/>
        </w:rPr>
      </w:pPr>
    </w:p>
    <w:p>
      <w:pPr>
        <w:pStyle w:val="BodyText"/>
        <w:ind w:left="1070"/>
      </w:pPr>
      <w:r>
        <w:rPr/>
        <w:t>The financial statements were authorised for issue by the Board members of Western Unlimited Ltd on 15 March 2018.</w:t>
      </w:r>
    </w:p>
    <w:p>
      <w:pPr>
        <w:pStyle w:val="BodyText"/>
        <w:rPr>
          <w:sz w:val="25"/>
        </w:rPr>
      </w:pPr>
    </w:p>
    <w:p>
      <w:pPr>
        <w:pStyle w:val="Heading9"/>
        <w:numPr>
          <w:ilvl w:val="1"/>
          <w:numId w:val="59"/>
        </w:numPr>
        <w:tabs>
          <w:tab w:pos="1108" w:val="left" w:leader="none"/>
        </w:tabs>
        <w:spacing w:line="240" w:lineRule="auto" w:before="0" w:after="0"/>
        <w:ind w:left="1107" w:right="0" w:hanging="320"/>
        <w:jc w:val="left"/>
      </w:pPr>
      <w:r>
        <w:rPr/>
        <w:t>Historical cost convention</w:t>
      </w:r>
    </w:p>
    <w:p>
      <w:pPr>
        <w:pStyle w:val="BodyText"/>
        <w:rPr>
          <w:b/>
          <w:sz w:val="25"/>
        </w:rPr>
      </w:pPr>
    </w:p>
    <w:p>
      <w:pPr>
        <w:pStyle w:val="BodyText"/>
        <w:ind w:left="1070" w:right="1045"/>
      </w:pPr>
      <w:r>
        <w:rPr/>
        <w:t>These financial statements have been prepared under the historical cost convention, modified by the measurement at fair value of selected financial assets and liabilities.</w:t>
      </w:r>
    </w:p>
    <w:p>
      <w:pPr>
        <w:pStyle w:val="BodyText"/>
        <w:rPr>
          <w:sz w:val="25"/>
        </w:rPr>
      </w:pPr>
    </w:p>
    <w:p>
      <w:pPr>
        <w:pStyle w:val="Heading9"/>
        <w:numPr>
          <w:ilvl w:val="1"/>
          <w:numId w:val="59"/>
        </w:numPr>
        <w:tabs>
          <w:tab w:pos="1108" w:val="left" w:leader="none"/>
        </w:tabs>
        <w:spacing w:line="240" w:lineRule="auto" w:before="0" w:after="0"/>
        <w:ind w:left="1107" w:right="0" w:hanging="320"/>
        <w:jc w:val="left"/>
      </w:pPr>
      <w:r>
        <w:rPr/>
        <w:t>Critical accounting</w:t>
      </w:r>
      <w:r>
        <w:rPr>
          <w:spacing w:val="-1"/>
        </w:rPr>
        <w:t> </w:t>
      </w:r>
      <w:r>
        <w:rPr/>
        <w:t>estimates</w:t>
      </w:r>
    </w:p>
    <w:p>
      <w:pPr>
        <w:pStyle w:val="BodyText"/>
        <w:rPr>
          <w:b/>
          <w:sz w:val="25"/>
        </w:rPr>
      </w:pPr>
    </w:p>
    <w:p>
      <w:pPr>
        <w:pStyle w:val="BodyText"/>
        <w:ind w:left="1070" w:right="150"/>
      </w:pPr>
      <w:r>
        <w:rPr/>
        <w:t>The preparation of financial statements requires the use of certain critical accounting estimates. It also requires management to exercise its judgement in the process of applying the Company's accounting policies. Estimates and judgements are continually evaluated and are based on historic experience and other factors, including expectations of future events that may have a financial impact of the Company and that are believed to be reasonable under the circumstances. Actual results may differ from the estimates.</w:t>
      </w:r>
    </w:p>
    <w:p>
      <w:pPr>
        <w:pStyle w:val="BodyText"/>
        <w:rPr>
          <w:sz w:val="25"/>
        </w:rPr>
      </w:pPr>
    </w:p>
    <w:p>
      <w:pPr>
        <w:pStyle w:val="BodyText"/>
        <w:ind w:left="1070" w:right="145"/>
      </w:pPr>
      <w:r>
        <w:rPr/>
        <w:t>These accounting policies have been consistently applied to all periods in the financial statements. The estimates and assumptions are reviewed on an ongoing basis. Revisions to any estimates are recognised in the period in which the estimate is reviewed, if the revision affects only that period or in a period of the revision and the future periods if the revision affects both current and future periods.</w:t>
      </w:r>
    </w:p>
    <w:p>
      <w:pPr>
        <w:spacing w:after="0"/>
        <w:sectPr>
          <w:pgSz w:w="11910" w:h="16840"/>
          <w:pgMar w:header="1038" w:footer="460" w:top="1460" w:bottom="700" w:left="900" w:right="880"/>
        </w:sectPr>
      </w:pPr>
    </w:p>
    <w:p>
      <w:pPr>
        <w:pStyle w:val="BodyText"/>
        <w:spacing w:before="2"/>
        <w:rPr>
          <w:sz w:val="24"/>
        </w:rPr>
      </w:pPr>
    </w:p>
    <w:p>
      <w:pPr>
        <w:pStyle w:val="Heading3"/>
      </w:pPr>
      <w:r>
        <w:rPr/>
        <w:t>Notes to the Financial Statements</w:t>
      </w:r>
    </w:p>
    <w:p>
      <w:pPr>
        <w:pStyle w:val="Heading6"/>
        <w:ind w:left="107" w:right="161"/>
      </w:pPr>
      <w:r>
        <w:rPr/>
        <w:t>For the Year Ended 31 December 2017</w:t>
      </w:r>
    </w:p>
    <w:p>
      <w:pPr>
        <w:pStyle w:val="BodyText"/>
        <w:spacing w:before="11"/>
        <w:rPr>
          <w:b/>
          <w:sz w:val="24"/>
        </w:rPr>
      </w:pPr>
    </w:p>
    <w:p>
      <w:pPr>
        <w:pStyle w:val="Heading9"/>
        <w:tabs>
          <w:tab w:pos="503" w:val="left" w:leader="none"/>
        </w:tabs>
        <w:ind w:left="109" w:right="161"/>
      </w:pPr>
      <w:r>
        <w:rPr/>
        <w:t>1</w:t>
        <w:tab/>
        <w:t>Summary of Significant Accounting Policies</w:t>
      </w:r>
      <w:r>
        <w:rPr>
          <w:spacing w:val="-5"/>
        </w:rPr>
        <w:t> </w:t>
      </w:r>
      <w:r>
        <w:rPr/>
        <w:t>(Continued)</w:t>
      </w:r>
    </w:p>
    <w:p>
      <w:pPr>
        <w:pStyle w:val="ListParagraph"/>
        <w:numPr>
          <w:ilvl w:val="0"/>
          <w:numId w:val="59"/>
        </w:numPr>
        <w:tabs>
          <w:tab w:pos="1071" w:val="left" w:leader="none"/>
        </w:tabs>
        <w:spacing w:line="240" w:lineRule="auto" w:before="112" w:after="0"/>
        <w:ind w:left="1070" w:right="0" w:hanging="566"/>
        <w:jc w:val="left"/>
        <w:rPr>
          <w:b/>
          <w:sz w:val="18"/>
        </w:rPr>
      </w:pPr>
      <w:r>
        <w:rPr>
          <w:b/>
          <w:sz w:val="18"/>
        </w:rPr>
        <w:t>Revenue</w:t>
      </w:r>
      <w:r>
        <w:rPr>
          <w:b/>
          <w:spacing w:val="-1"/>
          <w:sz w:val="18"/>
        </w:rPr>
        <w:t> </w:t>
      </w:r>
      <w:r>
        <w:rPr>
          <w:b/>
          <w:sz w:val="18"/>
        </w:rPr>
        <w:t>recognition</w:t>
      </w:r>
    </w:p>
    <w:p>
      <w:pPr>
        <w:pStyle w:val="BodyText"/>
        <w:spacing w:before="112"/>
        <w:ind w:left="504" w:right="91"/>
      </w:pPr>
      <w:r>
        <w:rPr/>
        <w:t>The Company recognises revenue when the amount can be reliably measured, it is probable that future economic benefits will flow to the Company and specific criteria have been met for each of the Company's activities as described below. The Company bases its estimates on historical results, taking into consideration the type of customer, the type of transaction and the specifics of each arrangement.</w:t>
      </w:r>
    </w:p>
    <w:p>
      <w:pPr>
        <w:pStyle w:val="BodyText"/>
        <w:spacing w:before="112"/>
        <w:ind w:left="504" w:right="300"/>
      </w:pPr>
      <w:r>
        <w:rPr/>
        <w:t>Revenue is measured at the fair value of the consideration received or receivable. Amounts disclosed as revenue are net of returns, trade allowances, rebates and amounts collected on behalf of third parties.</w:t>
      </w:r>
    </w:p>
    <w:p>
      <w:pPr>
        <w:pStyle w:val="BodyText"/>
        <w:spacing w:before="112"/>
        <w:ind w:left="504" w:right="161"/>
      </w:pPr>
      <w:r>
        <w:rPr/>
        <w:t>Revenue is recognised for the major business activities as follows:</w:t>
      </w:r>
    </w:p>
    <w:p>
      <w:pPr>
        <w:pStyle w:val="Heading9"/>
        <w:numPr>
          <w:ilvl w:val="1"/>
          <w:numId w:val="59"/>
        </w:numPr>
        <w:tabs>
          <w:tab w:pos="1639" w:val="left" w:leader="none"/>
        </w:tabs>
        <w:spacing w:line="240" w:lineRule="auto" w:before="131" w:after="0"/>
        <w:ind w:left="1638" w:right="0" w:hanging="568"/>
        <w:jc w:val="left"/>
      </w:pPr>
      <w:r>
        <w:rPr/>
        <w:t>Sale of goods and rendering of</w:t>
      </w:r>
      <w:r>
        <w:rPr>
          <w:spacing w:val="-1"/>
        </w:rPr>
        <w:t> </w:t>
      </w:r>
      <w:r>
        <w:rPr/>
        <w:t>services</w:t>
      </w:r>
    </w:p>
    <w:p>
      <w:pPr>
        <w:pStyle w:val="BodyText"/>
        <w:spacing w:before="117"/>
        <w:ind w:left="1070" w:right="197"/>
        <w:jc w:val="both"/>
      </w:pPr>
      <w:r>
        <w:rPr/>
        <w:t>A sale is recorded when goods have been delivered to the customer, the customer has accepted the goods and collectability of the related receivables is probable. Revenue from rendering of services is recognised when that service has been provided.</w:t>
      </w:r>
    </w:p>
    <w:p>
      <w:pPr>
        <w:pStyle w:val="Heading9"/>
        <w:numPr>
          <w:ilvl w:val="1"/>
          <w:numId w:val="59"/>
        </w:numPr>
        <w:tabs>
          <w:tab w:pos="1639" w:val="left" w:leader="none"/>
        </w:tabs>
        <w:spacing w:line="240" w:lineRule="auto" w:before="131" w:after="0"/>
        <w:ind w:left="1638" w:right="0" w:hanging="568"/>
        <w:jc w:val="left"/>
      </w:pPr>
      <w:r>
        <w:rPr/>
        <w:t>Other</w:t>
      </w:r>
      <w:r>
        <w:rPr>
          <w:spacing w:val="-1"/>
        </w:rPr>
        <w:t> </w:t>
      </w:r>
      <w:r>
        <w:rPr/>
        <w:t>revenue</w:t>
      </w:r>
    </w:p>
    <w:p>
      <w:pPr>
        <w:pStyle w:val="BodyText"/>
        <w:spacing w:before="117"/>
        <w:ind w:left="1070" w:right="224"/>
      </w:pPr>
      <w:r>
        <w:rPr/>
        <w:t>All other material revenue is accounted for on an accrual basis. Funding from the parent entity is received monthly in advance. Only the revenue pertaining to the month is accounted as revenue with the balance shown as income earned in advance.</w:t>
      </w:r>
    </w:p>
    <w:p>
      <w:pPr>
        <w:pStyle w:val="BodyText"/>
      </w:pPr>
    </w:p>
    <w:p>
      <w:pPr>
        <w:pStyle w:val="BodyText"/>
        <w:spacing w:before="5"/>
        <w:rPr>
          <w:sz w:val="19"/>
        </w:rPr>
      </w:pPr>
    </w:p>
    <w:p>
      <w:pPr>
        <w:pStyle w:val="Heading9"/>
        <w:numPr>
          <w:ilvl w:val="0"/>
          <w:numId w:val="59"/>
        </w:numPr>
        <w:tabs>
          <w:tab w:pos="1071" w:val="left" w:leader="none"/>
        </w:tabs>
        <w:spacing w:line="240" w:lineRule="auto" w:before="0" w:after="0"/>
        <w:ind w:left="1070" w:right="0" w:hanging="566"/>
        <w:jc w:val="left"/>
      </w:pPr>
      <w:r>
        <w:rPr/>
        <w:t>Finance</w:t>
      </w:r>
      <w:r>
        <w:rPr>
          <w:spacing w:val="-12"/>
        </w:rPr>
        <w:t> </w:t>
      </w:r>
      <w:r>
        <w:rPr/>
        <w:t>costs</w:t>
      </w:r>
    </w:p>
    <w:p>
      <w:pPr>
        <w:pStyle w:val="BodyText"/>
        <w:spacing w:before="112"/>
        <w:ind w:left="503" w:right="161"/>
      </w:pPr>
      <w:r>
        <w:rPr/>
        <w:t>Finance costs relating to the  Western Sydney University loan facilities are expensed.</w:t>
      </w:r>
    </w:p>
    <w:p>
      <w:pPr>
        <w:pStyle w:val="BodyText"/>
      </w:pPr>
    </w:p>
    <w:p>
      <w:pPr>
        <w:pStyle w:val="BodyText"/>
        <w:spacing w:before="6"/>
        <w:rPr>
          <w:sz w:val="19"/>
        </w:rPr>
      </w:pPr>
    </w:p>
    <w:p>
      <w:pPr>
        <w:pStyle w:val="Heading9"/>
        <w:numPr>
          <w:ilvl w:val="0"/>
          <w:numId w:val="59"/>
        </w:numPr>
        <w:tabs>
          <w:tab w:pos="1071" w:val="left" w:leader="none"/>
        </w:tabs>
        <w:spacing w:line="240" w:lineRule="auto" w:before="0" w:after="0"/>
        <w:ind w:left="1070" w:right="0" w:hanging="566"/>
        <w:jc w:val="left"/>
      </w:pPr>
      <w:r>
        <w:rPr/>
        <w:t>Income</w:t>
      </w:r>
      <w:r>
        <w:rPr>
          <w:spacing w:val="-9"/>
        </w:rPr>
        <w:t> </w:t>
      </w:r>
      <w:r>
        <w:rPr/>
        <w:t>Tax</w:t>
      </w:r>
    </w:p>
    <w:p>
      <w:pPr>
        <w:pStyle w:val="BodyText"/>
        <w:spacing w:before="112"/>
        <w:ind w:left="503" w:right="171"/>
      </w:pPr>
      <w:r>
        <w:rPr/>
        <w:t>The Company is exempt from the payment of tax by virtue of section 50-B of the Income Tax Assessment Act 1997. Accordingly, no provision for income tax liability or future income income tax benefit has been included in the accounts.</w:t>
      </w:r>
    </w:p>
    <w:p>
      <w:pPr>
        <w:pStyle w:val="BodyText"/>
      </w:pPr>
    </w:p>
    <w:p>
      <w:pPr>
        <w:pStyle w:val="BodyText"/>
        <w:spacing w:before="5"/>
        <w:rPr>
          <w:sz w:val="19"/>
        </w:rPr>
      </w:pPr>
    </w:p>
    <w:p>
      <w:pPr>
        <w:pStyle w:val="Heading9"/>
        <w:numPr>
          <w:ilvl w:val="0"/>
          <w:numId w:val="59"/>
        </w:numPr>
        <w:tabs>
          <w:tab w:pos="1071" w:val="left" w:leader="none"/>
        </w:tabs>
        <w:spacing w:line="240" w:lineRule="auto" w:before="1" w:after="0"/>
        <w:ind w:left="1070" w:right="0" w:hanging="566"/>
        <w:jc w:val="left"/>
      </w:pPr>
      <w:r>
        <w:rPr/>
        <w:t>Cash and cash</w:t>
      </w:r>
      <w:r>
        <w:rPr>
          <w:spacing w:val="-1"/>
        </w:rPr>
        <w:t> </w:t>
      </w:r>
      <w:r>
        <w:rPr/>
        <w:t>equivalents</w:t>
      </w:r>
    </w:p>
    <w:p>
      <w:pPr>
        <w:pStyle w:val="BodyText"/>
        <w:spacing w:before="112"/>
        <w:ind w:left="503" w:right="371"/>
      </w:pPr>
      <w:r>
        <w:rPr/>
        <w:t>For the purpose of presentation in the statement of cash flows, cash and cash equivalents include cash on hand and cash at bank.</w:t>
      </w:r>
    </w:p>
    <w:p>
      <w:pPr>
        <w:pStyle w:val="BodyText"/>
      </w:pPr>
    </w:p>
    <w:p>
      <w:pPr>
        <w:pStyle w:val="BodyText"/>
        <w:spacing w:before="5"/>
        <w:rPr>
          <w:sz w:val="19"/>
        </w:rPr>
      </w:pPr>
    </w:p>
    <w:p>
      <w:pPr>
        <w:pStyle w:val="Heading9"/>
        <w:numPr>
          <w:ilvl w:val="0"/>
          <w:numId w:val="59"/>
        </w:numPr>
        <w:tabs>
          <w:tab w:pos="1071" w:val="left" w:leader="none"/>
        </w:tabs>
        <w:spacing w:line="240" w:lineRule="auto" w:before="1" w:after="0"/>
        <w:ind w:left="1070" w:right="0" w:hanging="566"/>
        <w:jc w:val="left"/>
      </w:pPr>
      <w:r>
        <w:rPr/>
        <w:t>Trade</w:t>
      </w:r>
      <w:r>
        <w:rPr>
          <w:spacing w:val="-1"/>
        </w:rPr>
        <w:t> </w:t>
      </w:r>
      <w:r>
        <w:rPr/>
        <w:t>receivables</w:t>
      </w:r>
    </w:p>
    <w:p>
      <w:pPr>
        <w:pStyle w:val="BodyText"/>
        <w:spacing w:before="112"/>
        <w:ind w:left="503" w:right="151"/>
      </w:pPr>
      <w:r>
        <w:rPr/>
        <w:t>Trade receivables are recognised initially at fair value and subsequently measured at amortised cost using the effective interest method, less provision for impairment. The amount of the provision is recognised in the income statement. This is recognised as the difference between the assets carrying amount and the present value of estimated future cash flows, discounted at the effective interest rate. Collectability of trade receivables is reviewed on an ongoing basis at board level. Individual debts that are known to be uncollectable are written off when identified.</w:t>
      </w:r>
    </w:p>
    <w:p>
      <w:pPr>
        <w:pStyle w:val="BodyText"/>
        <w:spacing w:before="112"/>
        <w:ind w:left="503" w:right="392"/>
      </w:pPr>
      <w:r>
        <w:rPr/>
        <w:t>Short term receivables, with no stated interest rates, are measured at the original invoice amount where the effect of discounting is immaterial.</w:t>
      </w:r>
    </w:p>
    <w:p>
      <w:pPr>
        <w:pStyle w:val="BodyText"/>
      </w:pPr>
    </w:p>
    <w:p>
      <w:pPr>
        <w:pStyle w:val="BodyText"/>
        <w:spacing w:before="5"/>
        <w:rPr>
          <w:sz w:val="19"/>
        </w:rPr>
      </w:pPr>
    </w:p>
    <w:p>
      <w:pPr>
        <w:pStyle w:val="Heading9"/>
        <w:numPr>
          <w:ilvl w:val="0"/>
          <w:numId w:val="59"/>
        </w:numPr>
        <w:tabs>
          <w:tab w:pos="1071" w:val="left" w:leader="none"/>
        </w:tabs>
        <w:spacing w:line="240" w:lineRule="auto" w:before="0" w:after="0"/>
        <w:ind w:left="1070" w:right="0" w:hanging="566"/>
        <w:jc w:val="left"/>
      </w:pPr>
      <w:r>
        <w:rPr/>
        <w:t>Inventories</w:t>
      </w:r>
    </w:p>
    <w:p>
      <w:pPr>
        <w:pStyle w:val="BodyText"/>
        <w:spacing w:before="112"/>
        <w:ind w:left="503" w:right="481"/>
      </w:pPr>
      <w:r>
        <w:rPr/>
        <w:t>All inventories are measured at the lower of cost and net realisable value. All stock is valued at a weighted average cost.</w:t>
      </w:r>
    </w:p>
    <w:p>
      <w:pPr>
        <w:spacing w:after="0"/>
        <w:sectPr>
          <w:pgSz w:w="11910" w:h="16840"/>
          <w:pgMar w:header="1038" w:footer="460" w:top="1460" w:bottom="700" w:left="900" w:right="860"/>
        </w:sectPr>
      </w:pPr>
    </w:p>
    <w:p>
      <w:pPr>
        <w:pStyle w:val="BodyText"/>
        <w:spacing w:before="2"/>
        <w:rPr>
          <w:sz w:val="24"/>
        </w:rPr>
      </w:pPr>
    </w:p>
    <w:p>
      <w:pPr>
        <w:pStyle w:val="Heading3"/>
        <w:ind w:right="220"/>
      </w:pPr>
      <w:r>
        <w:rPr/>
        <w:t>Notes to the Financial Statements</w:t>
      </w:r>
    </w:p>
    <w:p>
      <w:pPr>
        <w:pStyle w:val="Heading6"/>
        <w:ind w:left="107" w:right="220"/>
      </w:pPr>
      <w:r>
        <w:rPr/>
        <w:t>For the Year Ended 31 December 2017</w:t>
      </w:r>
    </w:p>
    <w:p>
      <w:pPr>
        <w:pStyle w:val="BodyText"/>
        <w:spacing w:before="11"/>
        <w:rPr>
          <w:b/>
          <w:sz w:val="24"/>
        </w:rPr>
      </w:pPr>
    </w:p>
    <w:p>
      <w:pPr>
        <w:pStyle w:val="Heading9"/>
        <w:tabs>
          <w:tab w:pos="503" w:val="left" w:leader="none"/>
        </w:tabs>
        <w:ind w:left="109" w:right="220"/>
      </w:pPr>
      <w:r>
        <w:rPr/>
        <w:t>1</w:t>
        <w:tab/>
        <w:t>Summary of Significant Accounting Policies</w:t>
      </w:r>
      <w:r>
        <w:rPr>
          <w:spacing w:val="-5"/>
        </w:rPr>
        <w:t> </w:t>
      </w:r>
      <w:r>
        <w:rPr/>
        <w:t>(Continued)</w:t>
      </w:r>
    </w:p>
    <w:p>
      <w:pPr>
        <w:pStyle w:val="ListParagraph"/>
        <w:numPr>
          <w:ilvl w:val="0"/>
          <w:numId w:val="59"/>
        </w:numPr>
        <w:tabs>
          <w:tab w:pos="1071" w:val="left" w:leader="none"/>
        </w:tabs>
        <w:spacing w:line="240" w:lineRule="auto" w:before="112" w:after="0"/>
        <w:ind w:left="1070" w:right="0" w:hanging="566"/>
        <w:jc w:val="left"/>
        <w:rPr>
          <w:b/>
          <w:sz w:val="18"/>
        </w:rPr>
      </w:pPr>
      <w:r>
        <w:rPr>
          <w:b/>
          <w:sz w:val="18"/>
        </w:rPr>
        <w:t>Financial</w:t>
      </w:r>
      <w:r>
        <w:rPr>
          <w:b/>
          <w:spacing w:val="-1"/>
          <w:sz w:val="18"/>
        </w:rPr>
        <w:t> </w:t>
      </w:r>
      <w:r>
        <w:rPr>
          <w:b/>
          <w:sz w:val="18"/>
        </w:rPr>
        <w:t>assets</w:t>
      </w:r>
    </w:p>
    <w:p>
      <w:pPr>
        <w:pStyle w:val="BodyText"/>
        <w:rPr>
          <w:b/>
          <w:sz w:val="25"/>
        </w:rPr>
      </w:pPr>
    </w:p>
    <w:p>
      <w:pPr>
        <w:spacing w:before="0"/>
        <w:ind w:left="503" w:right="220" w:firstLine="0"/>
        <w:jc w:val="left"/>
        <w:rPr>
          <w:b/>
          <w:sz w:val="18"/>
        </w:rPr>
      </w:pPr>
      <w:r>
        <w:rPr>
          <w:b/>
          <w:sz w:val="18"/>
        </w:rPr>
        <w:t>Classification</w:t>
      </w:r>
    </w:p>
    <w:p>
      <w:pPr>
        <w:pStyle w:val="BodyText"/>
        <w:spacing w:before="112"/>
        <w:ind w:left="503" w:right="220"/>
      </w:pPr>
      <w:r>
        <w:rPr/>
        <w:t>The Company classifies its investments as loans and receivables.</w:t>
      </w:r>
    </w:p>
    <w:p>
      <w:pPr>
        <w:pStyle w:val="BodyText"/>
        <w:rPr>
          <w:sz w:val="25"/>
        </w:rPr>
      </w:pPr>
    </w:p>
    <w:p>
      <w:pPr>
        <w:pStyle w:val="Heading9"/>
        <w:ind w:left="503" w:right="220"/>
      </w:pPr>
      <w:r>
        <w:rPr/>
        <w:t>Loans and receivables</w:t>
      </w:r>
    </w:p>
    <w:p>
      <w:pPr>
        <w:pStyle w:val="BodyText"/>
        <w:spacing w:before="112"/>
        <w:ind w:left="503" w:right="101"/>
      </w:pPr>
      <w:r>
        <w:rPr/>
        <w:t>Loans and receivables are non-derivative financial assets with fixed or determinable payments that are not quoted in an active market. They are included in current assets, except for those with maturities greater than 12 months after the reporting period which are classified as non current assets. Loans and receivables are included in trade and other receivables (note 8) in the Statement of Financial Position.</w:t>
      </w:r>
    </w:p>
    <w:p>
      <w:pPr>
        <w:pStyle w:val="BodyText"/>
        <w:rPr>
          <w:sz w:val="25"/>
        </w:rPr>
      </w:pPr>
    </w:p>
    <w:p>
      <w:pPr>
        <w:pStyle w:val="Heading9"/>
        <w:ind w:left="503" w:right="220"/>
      </w:pPr>
      <w:r>
        <w:rPr/>
        <w:t>Measurement</w:t>
      </w:r>
    </w:p>
    <w:p>
      <w:pPr>
        <w:pStyle w:val="BodyText"/>
        <w:spacing w:before="112"/>
        <w:ind w:left="503" w:right="220"/>
      </w:pPr>
      <w:r>
        <w:rPr/>
        <w:t>Details on how the fair value of financial instruments is determined are disclosed in note 2.</w:t>
      </w:r>
    </w:p>
    <w:p>
      <w:pPr>
        <w:pStyle w:val="BodyText"/>
        <w:rPr>
          <w:sz w:val="25"/>
        </w:rPr>
      </w:pPr>
    </w:p>
    <w:p>
      <w:pPr>
        <w:pStyle w:val="Heading9"/>
        <w:ind w:left="503" w:right="220"/>
      </w:pPr>
      <w:r>
        <w:rPr/>
        <w:t>Assets carried at amortised cost</w:t>
      </w:r>
    </w:p>
    <w:p>
      <w:pPr>
        <w:pStyle w:val="BodyText"/>
        <w:spacing w:before="112"/>
        <w:ind w:left="503" w:right="113"/>
      </w:pPr>
      <w:r>
        <w:rPr/>
        <w:t>For loans and receivables, the amount of the loss is measured as the difference between the asset's carrying amount and the present value of estimated future cash flows (excluding future credit losses that have not been incurred) discounted at the financial asset's original effective interest rate. The carrying amount of the asset is reduced and the amount of the loss is recognised in the Statement of Comprehensive Income. If the loan has a variable interest rate, the discount rate for measuring any impairment loss is the current effective interest rate determined under the contract. As a practical expedient, when deriving fair values where the observable market price are not available also requires significant assumption and</w:t>
      </w:r>
      <w:r>
        <w:rPr>
          <w:spacing w:val="-1"/>
        </w:rPr>
        <w:t> </w:t>
      </w:r>
      <w:r>
        <w:rPr/>
        <w:t>judgement.</w:t>
      </w:r>
    </w:p>
    <w:p>
      <w:pPr>
        <w:pStyle w:val="BodyText"/>
        <w:spacing w:before="112"/>
        <w:ind w:left="503" w:right="171"/>
      </w:pPr>
      <w:r>
        <w:rPr/>
        <w:t>If, in a subsequent period, the amount of the impairment loss decreases and the decrease can be related objectively to an event occurring after the impairment was recognised (such as an improvement in the debtor's credit rating), the reversal of the previously recognised impairment loss is recognised in the income statement.</w:t>
      </w:r>
    </w:p>
    <w:p>
      <w:pPr>
        <w:pStyle w:val="BodyText"/>
        <w:spacing w:before="112"/>
        <w:ind w:left="503" w:right="220"/>
      </w:pPr>
      <w:r>
        <w:rPr/>
        <w:t>Impairment testing of trade receivables is described in note 1(f).</w:t>
      </w:r>
    </w:p>
    <w:p>
      <w:pPr>
        <w:pStyle w:val="BodyText"/>
        <w:spacing w:before="7"/>
        <w:rPr>
          <w:sz w:val="25"/>
        </w:rPr>
      </w:pPr>
    </w:p>
    <w:p>
      <w:pPr>
        <w:pStyle w:val="Heading9"/>
        <w:numPr>
          <w:ilvl w:val="0"/>
          <w:numId w:val="59"/>
        </w:numPr>
        <w:tabs>
          <w:tab w:pos="1071" w:val="left" w:leader="none"/>
        </w:tabs>
        <w:spacing w:line="240" w:lineRule="auto" w:before="1" w:after="0"/>
        <w:ind w:left="1070" w:right="0" w:hanging="566"/>
        <w:jc w:val="left"/>
      </w:pPr>
      <w:r>
        <w:rPr/>
        <w:t>Property, Plant and Equipment</w:t>
      </w:r>
    </w:p>
    <w:p>
      <w:pPr>
        <w:pStyle w:val="BodyText"/>
        <w:spacing w:before="112"/>
        <w:ind w:left="503" w:right="220"/>
      </w:pPr>
      <w:r>
        <w:rPr/>
        <w:t>Property, plant and equipment are stated at cost less accumulated depreciation.</w:t>
      </w:r>
    </w:p>
    <w:p>
      <w:pPr>
        <w:pStyle w:val="BodyText"/>
        <w:spacing w:before="112"/>
        <w:ind w:left="503" w:right="267"/>
      </w:pPr>
      <w:r>
        <w:rPr/>
        <w:t>Subsequent costs are included in the asset's carrying amount or recognised as a separate asset, as appropriate, only when it is probable that future economic benefits associated with the item will flow to the company and the cost of the item can be measured reliably. All other repairs and maintenance are charged to the statement of comprehensive income during the reporting period in which they are incurred.</w:t>
      </w:r>
    </w:p>
    <w:p>
      <w:pPr>
        <w:pStyle w:val="BodyText"/>
        <w:spacing w:before="112"/>
        <w:ind w:left="503" w:right="381"/>
      </w:pPr>
      <w:r>
        <w:rPr/>
        <w:t>Depreciation on assets is calculated using the straight line method to allocate their cost or re-valued amounts, net of their residual values, over their estimated useful lives. Leasehold improvements are depreciated over the shorter of their useful life or the remaining life of the lease.</w:t>
      </w:r>
    </w:p>
    <w:p>
      <w:pPr>
        <w:pStyle w:val="BodyText"/>
        <w:spacing w:before="112"/>
        <w:ind w:left="503" w:right="220"/>
      </w:pPr>
      <w:r>
        <w:rPr/>
        <w:t>The estimated useful lives for each class of depreciable assets are:</w:t>
      </w:r>
    </w:p>
    <w:p>
      <w:pPr>
        <w:pStyle w:val="BodyText"/>
        <w:spacing w:before="9"/>
        <w:rPr>
          <w:sz w:val="20"/>
        </w:rPr>
      </w:pPr>
    </w:p>
    <w:p>
      <w:pPr>
        <w:pStyle w:val="Heading9"/>
        <w:tabs>
          <w:tab w:pos="5699" w:val="left" w:leader="none"/>
        </w:tabs>
        <w:ind w:left="1070" w:right="220"/>
      </w:pPr>
      <w:r>
        <w:rPr/>
        <w:t>Class</w:t>
      </w:r>
      <w:r>
        <w:rPr>
          <w:spacing w:val="-1"/>
        </w:rPr>
        <w:t> </w:t>
      </w:r>
      <w:r>
        <w:rPr/>
        <w:t>of</w:t>
      </w:r>
      <w:r>
        <w:rPr>
          <w:spacing w:val="-1"/>
        </w:rPr>
        <w:t> </w:t>
      </w:r>
      <w:r>
        <w:rPr/>
        <w:t>Assets</w:t>
        <w:tab/>
        <w:t>Useful Life</w:t>
      </w:r>
    </w:p>
    <w:p>
      <w:pPr>
        <w:pStyle w:val="BodyText"/>
        <w:tabs>
          <w:tab w:pos="5870" w:val="left" w:leader="none"/>
        </w:tabs>
        <w:spacing w:before="63"/>
        <w:ind w:left="1070" w:right="220"/>
      </w:pPr>
      <w:r>
        <w:rPr/>
        <w:t>Plant</w:t>
      </w:r>
      <w:r>
        <w:rPr>
          <w:spacing w:val="-1"/>
        </w:rPr>
        <w:t> </w:t>
      </w:r>
      <w:r>
        <w:rPr/>
        <w:t>and</w:t>
      </w:r>
      <w:r>
        <w:rPr>
          <w:spacing w:val="-1"/>
        </w:rPr>
        <w:t> </w:t>
      </w:r>
      <w:r>
        <w:rPr/>
        <w:t>Equipment</w:t>
        <w:tab/>
        <w:t>3-10</w:t>
      </w:r>
      <w:r>
        <w:rPr>
          <w:spacing w:val="-1"/>
        </w:rPr>
        <w:t> </w:t>
      </w:r>
      <w:r>
        <w:rPr/>
        <w:t>years</w:t>
      </w:r>
    </w:p>
    <w:p>
      <w:pPr>
        <w:pStyle w:val="BodyText"/>
        <w:tabs>
          <w:tab w:pos="5969" w:val="left" w:leader="none"/>
        </w:tabs>
        <w:spacing w:before="57"/>
        <w:ind w:left="1070" w:right="220"/>
      </w:pPr>
      <w:r>
        <w:rPr/>
        <w:t>Motor</w:t>
      </w:r>
      <w:r>
        <w:rPr>
          <w:spacing w:val="-1"/>
        </w:rPr>
        <w:t> </w:t>
      </w:r>
      <w:r>
        <w:rPr/>
        <w:t>Vehicles</w:t>
        <w:tab/>
        <w:t>6-7</w:t>
      </w:r>
      <w:r>
        <w:rPr>
          <w:spacing w:val="-1"/>
        </w:rPr>
        <w:t> </w:t>
      </w:r>
      <w:r>
        <w:rPr/>
        <w:t>years</w:t>
      </w:r>
    </w:p>
    <w:p>
      <w:pPr>
        <w:pStyle w:val="BodyText"/>
        <w:tabs>
          <w:tab w:pos="5969" w:val="left" w:leader="none"/>
        </w:tabs>
        <w:spacing w:before="57"/>
        <w:ind w:left="1070" w:right="220"/>
      </w:pPr>
      <w:r>
        <w:rPr/>
        <w:t>Computer</w:t>
      </w:r>
      <w:r>
        <w:rPr>
          <w:spacing w:val="-1"/>
        </w:rPr>
        <w:t> </w:t>
      </w:r>
      <w:r>
        <w:rPr/>
        <w:t>Equipment</w:t>
        <w:tab/>
        <w:t>3-4</w:t>
      </w:r>
      <w:r>
        <w:rPr>
          <w:spacing w:val="-1"/>
        </w:rPr>
        <w:t> </w:t>
      </w:r>
      <w:r>
        <w:rPr/>
        <w:t>years</w:t>
      </w:r>
    </w:p>
    <w:p>
      <w:pPr>
        <w:pStyle w:val="BodyText"/>
        <w:tabs>
          <w:tab w:pos="5969" w:val="left" w:leader="none"/>
        </w:tabs>
        <w:spacing w:before="57"/>
        <w:ind w:left="1070" w:right="220"/>
      </w:pPr>
      <w:r>
        <w:rPr/>
        <w:t>Leasehold</w:t>
      </w:r>
      <w:r>
        <w:rPr>
          <w:spacing w:val="-1"/>
        </w:rPr>
        <w:t> </w:t>
      </w:r>
      <w:r>
        <w:rPr/>
        <w:t>Improvements</w:t>
        <w:tab/>
        <w:t>2-6</w:t>
      </w:r>
      <w:r>
        <w:rPr>
          <w:spacing w:val="-1"/>
        </w:rPr>
        <w:t> </w:t>
      </w:r>
      <w:r>
        <w:rPr/>
        <w:t>years</w:t>
      </w:r>
    </w:p>
    <w:p>
      <w:pPr>
        <w:pStyle w:val="BodyText"/>
        <w:tabs>
          <w:tab w:pos="5770" w:val="left" w:leader="none"/>
        </w:tabs>
        <w:spacing w:before="57"/>
        <w:ind w:left="1070" w:right="220"/>
      </w:pPr>
      <w:r>
        <w:rPr/>
        <w:t>Other Property, Plant</w:t>
      </w:r>
      <w:r>
        <w:rPr>
          <w:spacing w:val="-1"/>
        </w:rPr>
        <w:t> </w:t>
      </w:r>
      <w:r>
        <w:rPr/>
        <w:t>and</w:t>
      </w:r>
      <w:r>
        <w:rPr>
          <w:spacing w:val="-1"/>
        </w:rPr>
        <w:t> </w:t>
      </w:r>
      <w:r>
        <w:rPr/>
        <w:t>Equipment</w:t>
        <w:tab/>
        <w:t>10-20</w:t>
      </w:r>
      <w:r>
        <w:rPr>
          <w:spacing w:val="-1"/>
        </w:rPr>
        <w:t> </w:t>
      </w:r>
      <w:r>
        <w:rPr/>
        <w:t>years</w:t>
      </w:r>
    </w:p>
    <w:p>
      <w:pPr>
        <w:pStyle w:val="BodyText"/>
        <w:spacing w:before="139"/>
        <w:ind w:left="503" w:right="537"/>
      </w:pPr>
      <w:r>
        <w:rPr/>
        <w:t>The asset's residual values and useful lives are reviewed, and adjusted if appropriate, at the end of each reporting period.</w:t>
      </w:r>
    </w:p>
    <w:p>
      <w:pPr>
        <w:pStyle w:val="BodyText"/>
        <w:spacing w:before="112"/>
        <w:ind w:left="503" w:right="554"/>
      </w:pPr>
      <w:r>
        <w:rPr/>
        <w:t>An asset's carrying amount is written down immediately to its recoverable amount if the asset's carrying amount is greater than its estimated recoverable amount.</w:t>
      </w:r>
    </w:p>
    <w:p>
      <w:pPr>
        <w:spacing w:after="0"/>
        <w:sectPr>
          <w:pgSz w:w="11910" w:h="16840"/>
          <w:pgMar w:header="1038" w:footer="460" w:top="1460" w:bottom="700" w:left="900" w:right="880"/>
        </w:sectPr>
      </w:pPr>
    </w:p>
    <w:p>
      <w:pPr>
        <w:pStyle w:val="BodyText"/>
        <w:spacing w:before="2"/>
        <w:rPr>
          <w:sz w:val="24"/>
        </w:rPr>
      </w:pPr>
    </w:p>
    <w:p>
      <w:pPr>
        <w:pStyle w:val="Heading3"/>
        <w:ind w:right="105"/>
      </w:pPr>
      <w:r>
        <w:rPr/>
        <w:t>Notes to the Financial Statements</w:t>
      </w:r>
    </w:p>
    <w:p>
      <w:pPr>
        <w:pStyle w:val="Heading6"/>
        <w:ind w:left="107" w:right="105"/>
      </w:pPr>
      <w:r>
        <w:rPr/>
        <w:t>For the Year Ended 31 December 2017</w:t>
      </w:r>
    </w:p>
    <w:p>
      <w:pPr>
        <w:pStyle w:val="BodyText"/>
        <w:spacing w:before="11"/>
        <w:rPr>
          <w:b/>
          <w:sz w:val="24"/>
        </w:rPr>
      </w:pPr>
    </w:p>
    <w:p>
      <w:pPr>
        <w:pStyle w:val="Heading9"/>
        <w:tabs>
          <w:tab w:pos="503" w:val="left" w:leader="none"/>
        </w:tabs>
        <w:ind w:left="109" w:right="105"/>
      </w:pPr>
      <w:r>
        <w:rPr/>
        <w:t>1</w:t>
        <w:tab/>
        <w:t>Summary of Significant Accounting Policies</w:t>
      </w:r>
      <w:r>
        <w:rPr>
          <w:spacing w:val="-5"/>
        </w:rPr>
        <w:t> </w:t>
      </w:r>
      <w:r>
        <w:rPr/>
        <w:t>(Continued)</w:t>
      </w:r>
    </w:p>
    <w:p>
      <w:pPr>
        <w:pStyle w:val="ListParagraph"/>
        <w:numPr>
          <w:ilvl w:val="0"/>
          <w:numId w:val="61"/>
        </w:numPr>
        <w:tabs>
          <w:tab w:pos="1071" w:val="left" w:leader="none"/>
        </w:tabs>
        <w:spacing w:line="240" w:lineRule="auto" w:before="112" w:after="0"/>
        <w:ind w:left="1070" w:right="0" w:hanging="566"/>
        <w:jc w:val="left"/>
        <w:rPr>
          <w:b/>
          <w:sz w:val="18"/>
        </w:rPr>
      </w:pPr>
      <w:r>
        <w:rPr>
          <w:b/>
          <w:sz w:val="18"/>
        </w:rPr>
        <w:t>Property, Plant and Equipment</w:t>
      </w:r>
      <w:r>
        <w:rPr>
          <w:b/>
          <w:spacing w:val="-2"/>
          <w:sz w:val="18"/>
        </w:rPr>
        <w:t> </w:t>
      </w:r>
      <w:r>
        <w:rPr>
          <w:b/>
          <w:sz w:val="18"/>
        </w:rPr>
        <w:t>(Continued)</w:t>
      </w:r>
    </w:p>
    <w:p>
      <w:pPr>
        <w:pStyle w:val="BodyText"/>
        <w:spacing w:before="112"/>
        <w:ind w:left="504" w:right="200"/>
      </w:pPr>
      <w:r>
        <w:rPr/>
        <w:t>Gains and losses on disposals are determined by comparing proceeds with carrying amount. These are included in the statement of comprehensive income.</w:t>
      </w:r>
    </w:p>
    <w:p>
      <w:pPr>
        <w:pStyle w:val="BodyText"/>
      </w:pPr>
    </w:p>
    <w:p>
      <w:pPr>
        <w:pStyle w:val="BodyText"/>
        <w:spacing w:before="5"/>
        <w:rPr>
          <w:sz w:val="19"/>
        </w:rPr>
      </w:pPr>
    </w:p>
    <w:p>
      <w:pPr>
        <w:pStyle w:val="Heading9"/>
        <w:numPr>
          <w:ilvl w:val="0"/>
          <w:numId w:val="59"/>
        </w:numPr>
        <w:tabs>
          <w:tab w:pos="1071" w:val="left" w:leader="none"/>
        </w:tabs>
        <w:spacing w:line="240" w:lineRule="auto" w:before="1" w:after="0"/>
        <w:ind w:left="1070" w:right="0" w:hanging="566"/>
        <w:jc w:val="left"/>
      </w:pPr>
      <w:r>
        <w:rPr/>
        <w:t>Intangible</w:t>
      </w:r>
      <w:r>
        <w:rPr>
          <w:spacing w:val="-2"/>
        </w:rPr>
        <w:t> </w:t>
      </w:r>
      <w:r>
        <w:rPr/>
        <w:t>Assets</w:t>
      </w:r>
    </w:p>
    <w:p>
      <w:pPr>
        <w:pStyle w:val="ListParagraph"/>
        <w:numPr>
          <w:ilvl w:val="1"/>
          <w:numId w:val="59"/>
        </w:numPr>
        <w:tabs>
          <w:tab w:pos="1638" w:val="left" w:leader="none"/>
        </w:tabs>
        <w:spacing w:line="240" w:lineRule="auto" w:before="131" w:after="0"/>
        <w:ind w:left="1637" w:right="0" w:hanging="567"/>
        <w:jc w:val="left"/>
        <w:rPr>
          <w:sz w:val="18"/>
        </w:rPr>
      </w:pPr>
      <w:r>
        <w:rPr>
          <w:sz w:val="18"/>
        </w:rPr>
        <w:t>IT development and</w:t>
      </w:r>
      <w:r>
        <w:rPr>
          <w:spacing w:val="-1"/>
          <w:sz w:val="18"/>
        </w:rPr>
        <w:t> </w:t>
      </w:r>
      <w:r>
        <w:rPr>
          <w:sz w:val="18"/>
        </w:rPr>
        <w:t>software</w:t>
      </w:r>
    </w:p>
    <w:p>
      <w:pPr>
        <w:pStyle w:val="BodyText"/>
        <w:spacing w:before="117"/>
        <w:ind w:left="1070" w:right="236"/>
      </w:pPr>
      <w:r>
        <w:rPr/>
        <w:t>Costs incurred in developing products or systems and costs incurred in acquiring software and licences that contribute to future financial benefits through revenue generation and/or cost reduction, are capitalised to software and systems. Costs capitalised include external direct costs of materials and service and direct payroll and payroll related costs to employee's time spent on the project. Amortisation is calculated on a straight line basis over periods generally ranging from 3 to 5 years.</w:t>
      </w:r>
    </w:p>
    <w:p>
      <w:pPr>
        <w:pStyle w:val="ListParagraph"/>
        <w:numPr>
          <w:ilvl w:val="1"/>
          <w:numId w:val="59"/>
        </w:numPr>
        <w:tabs>
          <w:tab w:pos="1638" w:val="left" w:leader="none"/>
        </w:tabs>
        <w:spacing w:line="240" w:lineRule="auto" w:before="131" w:after="0"/>
        <w:ind w:left="1637" w:right="0" w:hanging="567"/>
        <w:jc w:val="left"/>
        <w:rPr>
          <w:sz w:val="18"/>
        </w:rPr>
      </w:pPr>
      <w:r>
        <w:rPr>
          <w:sz w:val="18"/>
        </w:rPr>
        <w:t>Franchise</w:t>
      </w:r>
      <w:r>
        <w:rPr>
          <w:spacing w:val="-1"/>
          <w:sz w:val="18"/>
        </w:rPr>
        <w:t> </w:t>
      </w:r>
      <w:r>
        <w:rPr>
          <w:sz w:val="18"/>
        </w:rPr>
        <w:t>Fees</w:t>
      </w:r>
    </w:p>
    <w:p>
      <w:pPr>
        <w:pStyle w:val="BodyText"/>
        <w:spacing w:before="117"/>
        <w:ind w:left="1070" w:right="105"/>
      </w:pPr>
      <w:r>
        <w:rPr/>
        <w:t>Cost incurred to acquire Subway Franchises are amortised over a period of 20 years on a straight line basis.</w:t>
      </w:r>
    </w:p>
    <w:p>
      <w:pPr>
        <w:pStyle w:val="Heading9"/>
        <w:numPr>
          <w:ilvl w:val="0"/>
          <w:numId w:val="59"/>
        </w:numPr>
        <w:tabs>
          <w:tab w:pos="1071" w:val="left" w:leader="none"/>
        </w:tabs>
        <w:spacing w:line="240" w:lineRule="auto" w:before="112" w:after="0"/>
        <w:ind w:left="1070" w:right="0" w:hanging="566"/>
        <w:jc w:val="left"/>
      </w:pPr>
      <w:r>
        <w:rPr/>
        <w:t>Trade and other</w:t>
      </w:r>
      <w:r>
        <w:rPr>
          <w:spacing w:val="-1"/>
        </w:rPr>
        <w:t> </w:t>
      </w:r>
      <w:r>
        <w:rPr/>
        <w:t>payables</w:t>
      </w:r>
    </w:p>
    <w:p>
      <w:pPr>
        <w:pStyle w:val="BodyText"/>
        <w:rPr>
          <w:b/>
          <w:sz w:val="25"/>
        </w:rPr>
      </w:pPr>
    </w:p>
    <w:p>
      <w:pPr>
        <w:pStyle w:val="BodyText"/>
        <w:ind w:left="504" w:right="270"/>
      </w:pPr>
      <w:r>
        <w:rPr/>
        <w:t>These amounts represent liabilities for goods and services provided to the Company prior to the end of the financial year which are unpaid. The amounts are unsecured and are usually paid according to the credit terms agreed with the suppliers. Trade and other payables are presented as current liabilities unless payment is not due within 12 months from the reporting date.</w:t>
      </w:r>
    </w:p>
    <w:p>
      <w:pPr>
        <w:pStyle w:val="Heading9"/>
        <w:numPr>
          <w:ilvl w:val="0"/>
          <w:numId w:val="59"/>
        </w:numPr>
        <w:tabs>
          <w:tab w:pos="1071" w:val="left" w:leader="none"/>
        </w:tabs>
        <w:spacing w:line="240" w:lineRule="auto" w:before="112" w:after="0"/>
        <w:ind w:left="1070" w:right="0" w:hanging="566"/>
        <w:jc w:val="left"/>
      </w:pPr>
      <w:r>
        <w:rPr/>
        <w:t>Employee</w:t>
      </w:r>
      <w:r>
        <w:rPr>
          <w:spacing w:val="-2"/>
        </w:rPr>
        <w:t> </w:t>
      </w:r>
      <w:r>
        <w:rPr/>
        <w:t>benefits</w:t>
      </w:r>
    </w:p>
    <w:p>
      <w:pPr>
        <w:pStyle w:val="BodyText"/>
        <w:rPr>
          <w:b/>
          <w:sz w:val="25"/>
        </w:rPr>
      </w:pPr>
    </w:p>
    <w:p>
      <w:pPr>
        <w:pStyle w:val="BodyText"/>
        <w:ind w:left="504" w:right="430"/>
      </w:pPr>
      <w:r>
        <w:rPr/>
        <w:t>Liabilities for wages and salaries, including non-monetary benefits, expected to be settled within 12 months after the end of each reporting period are measured at the amounts expected to be paid when the liabilities are settled and recognised in other payables. The liability for annual leave is recognised in the provision for employee benefits.</w:t>
      </w:r>
    </w:p>
    <w:p>
      <w:pPr>
        <w:pStyle w:val="BodyText"/>
      </w:pPr>
    </w:p>
    <w:p>
      <w:pPr>
        <w:pStyle w:val="ListParagraph"/>
        <w:numPr>
          <w:ilvl w:val="1"/>
          <w:numId w:val="59"/>
        </w:numPr>
        <w:tabs>
          <w:tab w:pos="1639" w:val="left" w:leader="none"/>
        </w:tabs>
        <w:spacing w:line="240" w:lineRule="auto" w:before="108" w:after="0"/>
        <w:ind w:left="1638" w:right="0" w:hanging="568"/>
        <w:jc w:val="left"/>
        <w:rPr>
          <w:sz w:val="18"/>
        </w:rPr>
      </w:pPr>
      <w:r>
        <w:rPr>
          <w:sz w:val="18"/>
        </w:rPr>
        <w:t>Provisions</w:t>
      </w:r>
    </w:p>
    <w:p>
      <w:pPr>
        <w:pStyle w:val="BodyText"/>
        <w:spacing w:before="4"/>
        <w:rPr>
          <w:sz w:val="25"/>
        </w:rPr>
      </w:pPr>
    </w:p>
    <w:p>
      <w:pPr>
        <w:pStyle w:val="BodyText"/>
        <w:ind w:left="1070" w:right="135"/>
      </w:pPr>
      <w:r>
        <w:rPr/>
        <w:t>The liability for long service leave and annual leave, which is not expected to be settled within 12 months after the end of the reporting period in which the employees render the related service, is recognised in the provision for employee benefits and measured at the present value of expected future payments to be made when the liability is settled. Consideration is given to expected future wage and salary levels, experience of employee departures and periods of service. Expected future payments are discounted using market yields at the reporting date on national government bonds with terms to maturity and currency that match, as closely as possible, the estimated future cash outflows.</w:t>
      </w:r>
    </w:p>
    <w:p>
      <w:pPr>
        <w:pStyle w:val="BodyText"/>
        <w:rPr>
          <w:sz w:val="25"/>
        </w:rPr>
      </w:pPr>
    </w:p>
    <w:p>
      <w:pPr>
        <w:pStyle w:val="BodyText"/>
        <w:ind w:left="1070" w:right="135"/>
      </w:pPr>
      <w:r>
        <w:rPr/>
        <w:t>Regardless of the expected timing of settlements, provisions made in respect of employee benefits are classified as a current liability, unless there is an unconditional right to defer the settlement of the liability for at least 12 months after the reporting date, in which case, it would be classified as a non-current liability.</w:t>
      </w:r>
    </w:p>
    <w:p>
      <w:pPr>
        <w:pStyle w:val="BodyText"/>
        <w:rPr>
          <w:sz w:val="25"/>
        </w:rPr>
      </w:pPr>
    </w:p>
    <w:p>
      <w:pPr>
        <w:pStyle w:val="BodyText"/>
        <w:ind w:left="1070" w:right="224"/>
      </w:pPr>
      <w:r>
        <w:rPr/>
        <w:t>Contributions to the defined fund are recognised as an expense as they become payable. Prepaid contributions are recognised as an asset to the extent that a cash refund or a reduction in the future payment is available.</w:t>
      </w:r>
    </w:p>
    <w:p>
      <w:pPr>
        <w:pStyle w:val="BodyText"/>
        <w:rPr>
          <w:sz w:val="25"/>
        </w:rPr>
      </w:pPr>
    </w:p>
    <w:p>
      <w:pPr>
        <w:pStyle w:val="BodyText"/>
        <w:ind w:left="1070" w:right="108"/>
      </w:pPr>
      <w:r>
        <w:rPr/>
        <w:t>Termination benefits are payable when employment is terminated before the normal retirement date, or where an employee accepts voluntary redundancy in exchange for these benefits. The Company recognises termination benefits when it is demonstrably committed to either terminating the employment of current employees according to a detailed formal plan without possibility of withdrawal or to providing termination benefits as a result of an offer made to encourage voluntary redundancy. Benefits falling due more than 12 months after the end of the reporting period are discounted to present</w:t>
      </w:r>
      <w:r>
        <w:rPr>
          <w:spacing w:val="-1"/>
        </w:rPr>
        <w:t> </w:t>
      </w:r>
      <w:r>
        <w:rPr/>
        <w:t>value.</w:t>
      </w:r>
    </w:p>
    <w:p>
      <w:pPr>
        <w:spacing w:after="0"/>
        <w:sectPr>
          <w:pgSz w:w="11910" w:h="16840"/>
          <w:pgMar w:header="1038" w:footer="460" w:top="1460" w:bottom="700" w:left="900" w:right="840"/>
        </w:sectPr>
      </w:pPr>
    </w:p>
    <w:p>
      <w:pPr>
        <w:pStyle w:val="BodyText"/>
        <w:spacing w:before="2"/>
        <w:rPr>
          <w:sz w:val="24"/>
        </w:rPr>
      </w:pPr>
    </w:p>
    <w:p>
      <w:pPr>
        <w:pStyle w:val="Heading3"/>
        <w:ind w:right="220"/>
      </w:pPr>
      <w:r>
        <w:rPr/>
        <w:t>Notes to the Financial Statements</w:t>
      </w:r>
    </w:p>
    <w:p>
      <w:pPr>
        <w:pStyle w:val="Heading6"/>
        <w:ind w:left="107" w:right="220"/>
      </w:pPr>
      <w:r>
        <w:rPr/>
        <w:t>For the Year Ended 31 December 2017</w:t>
      </w:r>
    </w:p>
    <w:p>
      <w:pPr>
        <w:pStyle w:val="BodyText"/>
        <w:spacing w:before="11"/>
        <w:rPr>
          <w:b/>
          <w:sz w:val="24"/>
        </w:rPr>
      </w:pPr>
    </w:p>
    <w:p>
      <w:pPr>
        <w:pStyle w:val="Heading9"/>
        <w:numPr>
          <w:ilvl w:val="0"/>
          <w:numId w:val="62"/>
        </w:numPr>
        <w:tabs>
          <w:tab w:pos="504" w:val="left" w:leader="none"/>
        </w:tabs>
        <w:spacing w:line="240" w:lineRule="auto" w:before="0" w:after="0"/>
        <w:ind w:left="503" w:right="0" w:hanging="394"/>
        <w:jc w:val="left"/>
      </w:pPr>
      <w:r>
        <w:rPr/>
        <w:t>Summary of Significant Accounting Policies</w:t>
      </w:r>
      <w:r>
        <w:rPr>
          <w:spacing w:val="-5"/>
        </w:rPr>
        <w:t> </w:t>
      </w:r>
      <w:r>
        <w:rPr/>
        <w:t>(Continued)</w:t>
      </w:r>
    </w:p>
    <w:p>
      <w:pPr>
        <w:pStyle w:val="ListParagraph"/>
        <w:numPr>
          <w:ilvl w:val="0"/>
          <w:numId w:val="59"/>
        </w:numPr>
        <w:tabs>
          <w:tab w:pos="1071" w:val="left" w:leader="none"/>
        </w:tabs>
        <w:spacing w:line="240" w:lineRule="auto" w:before="112" w:after="0"/>
        <w:ind w:left="1070" w:right="0" w:hanging="566"/>
        <w:jc w:val="left"/>
        <w:rPr>
          <w:b/>
          <w:sz w:val="18"/>
        </w:rPr>
      </w:pPr>
      <w:r>
        <w:rPr>
          <w:b/>
          <w:sz w:val="18"/>
        </w:rPr>
        <w:t>Borrowings</w:t>
      </w:r>
    </w:p>
    <w:p>
      <w:pPr>
        <w:pStyle w:val="BodyText"/>
        <w:spacing w:before="112"/>
        <w:ind w:left="504" w:right="110"/>
      </w:pPr>
      <w:r>
        <w:rPr/>
        <w:t>Borrowings are initially recognised at fair value, net of transaction costs incurred. Borrowings are subsequently measured at amortised cost. Any difference between the proceeds (net of transaction costs) and the redemption amount is recognised in the Statement of Comprehensive Income over the period of the borrowings using the effective interest method. Fees paid on the establishment of loan facilities are recognised as transaction costs of the loan to the extent that it is probable that some or all of the facility will be drawn down. In this case, the fee is deferred until the draw down occurs. To the extent there is no evidence that it is probable that some or all of the facility will be drawn down, the fee is capitalised as a prepayment for liquidity services and amortised over the period of the facility to which it relates.</w:t>
      </w:r>
    </w:p>
    <w:p>
      <w:pPr>
        <w:pStyle w:val="BodyText"/>
        <w:spacing w:before="112"/>
        <w:ind w:left="504" w:right="791"/>
      </w:pPr>
      <w:r>
        <w:rPr/>
        <w:t>Borrowings are removed from the statement of financial position when the obligation specified in the contract is discharged, cancelled or expired.</w:t>
      </w:r>
    </w:p>
    <w:p>
      <w:pPr>
        <w:pStyle w:val="BodyText"/>
        <w:spacing w:before="112"/>
        <w:ind w:left="504" w:right="191"/>
      </w:pPr>
      <w:r>
        <w:rPr/>
        <w:t>Borrowings are classified as current liabilities unless the Company has an unconditional right to defer settlement of the liability for at least 12 months after the reporting period.</w:t>
      </w:r>
    </w:p>
    <w:p>
      <w:pPr>
        <w:pStyle w:val="BodyText"/>
      </w:pPr>
    </w:p>
    <w:p>
      <w:pPr>
        <w:pStyle w:val="BodyText"/>
        <w:spacing w:before="5"/>
        <w:rPr>
          <w:sz w:val="19"/>
        </w:rPr>
      </w:pPr>
    </w:p>
    <w:p>
      <w:pPr>
        <w:pStyle w:val="Heading9"/>
        <w:numPr>
          <w:ilvl w:val="0"/>
          <w:numId w:val="59"/>
        </w:numPr>
        <w:tabs>
          <w:tab w:pos="1071" w:val="left" w:leader="none"/>
        </w:tabs>
        <w:spacing w:line="240" w:lineRule="auto" w:before="0" w:after="0"/>
        <w:ind w:left="1070" w:right="0" w:hanging="566"/>
        <w:jc w:val="left"/>
      </w:pPr>
      <w:r>
        <w:rPr/>
        <w:t>Goods and Services Tax</w:t>
      </w:r>
      <w:r>
        <w:rPr>
          <w:spacing w:val="-2"/>
        </w:rPr>
        <w:t> </w:t>
      </w:r>
      <w:r>
        <w:rPr/>
        <w:t>(GST)</w:t>
      </w:r>
    </w:p>
    <w:p>
      <w:pPr>
        <w:pStyle w:val="BodyText"/>
        <w:spacing w:before="112"/>
        <w:ind w:left="503" w:right="261"/>
      </w:pPr>
      <w:r>
        <w:rPr/>
        <w:t>Revenues, expenses and assets are recognised net of the amount of associated GST, unless the GST incurred is not recoverable from the Australian Taxation Office. In this case it is recognised as part of the cost of acquisition of the asset or as part of the expense.</w:t>
      </w:r>
    </w:p>
    <w:p>
      <w:pPr>
        <w:pStyle w:val="BodyText"/>
        <w:spacing w:before="112"/>
        <w:ind w:left="503" w:right="141"/>
      </w:pPr>
      <w:r>
        <w:rPr/>
        <w:t>Receivables and payables are stated inclusive of the amount of GST receivable or payable. The net amount of GST recoverable from, or payable to, the taxation authority is included with other receivables or payables in the statement of financial position.</w:t>
      </w:r>
    </w:p>
    <w:p>
      <w:pPr>
        <w:pStyle w:val="BodyText"/>
        <w:spacing w:before="112"/>
        <w:ind w:left="503" w:right="522"/>
      </w:pPr>
      <w:r>
        <w:rPr/>
        <w:t>Cash flows are presented on a gross basis. The GST components of cash flows arising from investing or financing activities which are recoverable from, or payable to the taxation authority, are presented as operating cash flows.</w:t>
      </w:r>
    </w:p>
    <w:p>
      <w:pPr>
        <w:pStyle w:val="BodyText"/>
      </w:pPr>
    </w:p>
    <w:p>
      <w:pPr>
        <w:pStyle w:val="BodyText"/>
        <w:spacing w:before="5"/>
        <w:rPr>
          <w:sz w:val="19"/>
        </w:rPr>
      </w:pPr>
    </w:p>
    <w:p>
      <w:pPr>
        <w:pStyle w:val="Heading9"/>
        <w:numPr>
          <w:ilvl w:val="0"/>
          <w:numId w:val="59"/>
        </w:numPr>
        <w:tabs>
          <w:tab w:pos="1071" w:val="left" w:leader="none"/>
        </w:tabs>
        <w:spacing w:line="240" w:lineRule="auto" w:before="1" w:after="0"/>
        <w:ind w:left="1070" w:right="0" w:hanging="566"/>
        <w:jc w:val="left"/>
      </w:pPr>
      <w:r>
        <w:rPr/>
        <w:t>New Accounting Standards and Interpretations not yet mandatory or early</w:t>
      </w:r>
      <w:r>
        <w:rPr>
          <w:spacing w:val="-3"/>
        </w:rPr>
        <w:t> </w:t>
      </w:r>
      <w:r>
        <w:rPr/>
        <w:t>adopted</w:t>
      </w:r>
    </w:p>
    <w:p>
      <w:pPr>
        <w:pStyle w:val="BodyText"/>
        <w:spacing w:before="112"/>
        <w:ind w:left="503" w:right="91"/>
      </w:pPr>
      <w:r>
        <w:rPr/>
        <w:t>Certain new accounting standards and interpretations have been published that are not mandatory for 31 December 2017 reporting periods and have not yet been applied to the financial statements. The Company's assessment of the impact of these new standards and interpretations is that they will not materially affect any of the amounts recognised in the financial statements or significantly impact the disclosures in relation to the Company.</w:t>
      </w:r>
    </w:p>
    <w:p>
      <w:pPr>
        <w:pStyle w:val="Heading9"/>
        <w:spacing w:before="112"/>
        <w:ind w:left="503" w:right="220"/>
      </w:pPr>
      <w:r>
        <w:rPr/>
        <w:t>Adoption of new and revised accounting standards</w:t>
      </w:r>
    </w:p>
    <w:p>
      <w:pPr>
        <w:pStyle w:val="BodyText"/>
        <w:spacing w:before="112"/>
        <w:ind w:left="503" w:right="501"/>
      </w:pPr>
      <w:r>
        <w:rPr/>
        <w:t>The Company has adopted all standards which became effective for the first time for the financial year beginning 1 January 2017. The adoption of these standards has not caused any material adjustments to the reported financial position, performance or cash flow of the Company.</w:t>
      </w:r>
    </w:p>
    <w:p>
      <w:pPr>
        <w:pStyle w:val="BodyText"/>
      </w:pPr>
    </w:p>
    <w:p>
      <w:pPr>
        <w:pStyle w:val="BodyText"/>
        <w:spacing w:before="5"/>
        <w:rPr>
          <w:sz w:val="19"/>
        </w:rPr>
      </w:pPr>
    </w:p>
    <w:p>
      <w:pPr>
        <w:pStyle w:val="Heading9"/>
        <w:numPr>
          <w:ilvl w:val="0"/>
          <w:numId w:val="59"/>
        </w:numPr>
        <w:tabs>
          <w:tab w:pos="1071" w:val="left" w:leader="none"/>
        </w:tabs>
        <w:spacing w:line="240" w:lineRule="auto" w:before="1" w:after="0"/>
        <w:ind w:left="1070" w:right="0" w:hanging="566"/>
        <w:jc w:val="left"/>
      </w:pPr>
      <w:r>
        <w:rPr/>
        <w:t>Comparative</w:t>
      </w:r>
      <w:r>
        <w:rPr>
          <w:spacing w:val="-1"/>
        </w:rPr>
        <w:t> </w:t>
      </w:r>
      <w:r>
        <w:rPr/>
        <w:t>amounts</w:t>
      </w:r>
    </w:p>
    <w:p>
      <w:pPr>
        <w:pStyle w:val="BodyText"/>
        <w:spacing w:before="112"/>
        <w:ind w:left="503" w:right="1061"/>
      </w:pPr>
      <w:r>
        <w:rPr/>
        <w:t>When required by Accounting Standards, comparative figures have been adjusted to conform to changes in presentation for the current year. No Comparative adjustments were made in 2017.</w:t>
      </w:r>
    </w:p>
    <w:p>
      <w:pPr>
        <w:spacing w:after="0"/>
        <w:sectPr>
          <w:pgSz w:w="11910" w:h="16840"/>
          <w:pgMar w:header="1038" w:footer="460" w:top="1460" w:bottom="700" w:left="900" w:right="880"/>
        </w:sectPr>
      </w:pPr>
    </w:p>
    <w:p>
      <w:pPr>
        <w:pStyle w:val="BodyText"/>
        <w:spacing w:before="2"/>
        <w:rPr>
          <w:sz w:val="24"/>
        </w:rPr>
      </w:pPr>
    </w:p>
    <w:p>
      <w:pPr>
        <w:pStyle w:val="Heading3"/>
      </w:pPr>
      <w:r>
        <w:rPr/>
        <w:t>Notes to the Financial Statements</w:t>
      </w:r>
    </w:p>
    <w:p>
      <w:pPr>
        <w:pStyle w:val="Heading6"/>
        <w:ind w:left="107" w:right="161"/>
      </w:pPr>
      <w:r>
        <w:rPr/>
        <w:t>For the Year Ended 31 December 2017</w:t>
      </w:r>
    </w:p>
    <w:p>
      <w:pPr>
        <w:pStyle w:val="BodyText"/>
        <w:rPr>
          <w:b/>
          <w:sz w:val="22"/>
        </w:rPr>
      </w:pPr>
    </w:p>
    <w:p>
      <w:pPr>
        <w:pStyle w:val="Heading9"/>
        <w:numPr>
          <w:ilvl w:val="0"/>
          <w:numId w:val="62"/>
        </w:numPr>
        <w:tabs>
          <w:tab w:pos="506" w:val="left" w:leader="none"/>
        </w:tabs>
        <w:spacing w:line="240" w:lineRule="auto" w:before="178" w:after="0"/>
        <w:ind w:left="505" w:right="0" w:hanging="396"/>
        <w:jc w:val="left"/>
      </w:pPr>
      <w:r>
        <w:rPr/>
        <w:t>Financial Risk</w:t>
      </w:r>
      <w:r>
        <w:rPr>
          <w:spacing w:val="-7"/>
        </w:rPr>
        <w:t> </w:t>
      </w:r>
      <w:r>
        <w:rPr/>
        <w:t>Management</w:t>
      </w:r>
    </w:p>
    <w:p>
      <w:pPr>
        <w:pStyle w:val="BodyText"/>
        <w:spacing w:before="112"/>
        <w:ind w:left="505" w:right="100"/>
      </w:pPr>
      <w:r>
        <w:rPr/>
        <w:t>The Company's activities expose it to a variety of financial risks: market risk (including interest rate risk), credit risk and liquidity risk. The Company's overall risk management program focuses on the unpredictability of financial markets and seeks to minimise potential adverse effects on the financial performance of the Company. The Company uses different methods to measure different types of risk to which it is exposed. These methods include sensitivity analysis in the case of interest rate and aging analysis for credit risk to determine market risk.</w:t>
      </w:r>
    </w:p>
    <w:p>
      <w:pPr>
        <w:pStyle w:val="BodyText"/>
        <w:spacing w:before="112"/>
        <w:ind w:left="505" w:right="161"/>
      </w:pPr>
      <w:r>
        <w:rPr/>
        <w:t>The Company holds the following financial instruments:</w:t>
      </w:r>
    </w:p>
    <w:p>
      <w:pPr>
        <w:pStyle w:val="BodyText"/>
        <w:spacing w:before="1"/>
        <w:rPr>
          <w:sz w:val="10"/>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61"/>
        <w:gridCol w:w="1459"/>
        <w:gridCol w:w="1135"/>
      </w:tblGrid>
      <w:tr>
        <w:trPr>
          <w:trHeight w:val="655" w:hRule="exact"/>
        </w:trPr>
        <w:tc>
          <w:tcPr>
            <w:tcW w:w="6961" w:type="dxa"/>
          </w:tcPr>
          <w:p>
            <w:pPr/>
          </w:p>
        </w:tc>
        <w:tc>
          <w:tcPr>
            <w:tcW w:w="1459" w:type="dxa"/>
          </w:tcPr>
          <w:p>
            <w:pPr>
              <w:pStyle w:val="TableParagraph"/>
              <w:spacing w:before="77"/>
              <w:ind w:left="429" w:right="588"/>
              <w:jc w:val="center"/>
              <w:rPr>
                <w:b/>
                <w:sz w:val="18"/>
              </w:rPr>
            </w:pPr>
            <w:r>
              <w:rPr>
                <w:b/>
                <w:sz w:val="18"/>
              </w:rPr>
              <w:t>2017</w:t>
            </w:r>
          </w:p>
          <w:p>
            <w:pPr>
              <w:pStyle w:val="TableParagraph"/>
              <w:spacing w:before="66"/>
              <w:ind w:right="159"/>
              <w:jc w:val="center"/>
              <w:rPr>
                <w:b/>
                <w:sz w:val="18"/>
              </w:rPr>
            </w:pPr>
            <w:r>
              <w:rPr>
                <w:b/>
                <w:w w:val="99"/>
                <w:sz w:val="18"/>
              </w:rPr>
              <w:t>$</w:t>
            </w:r>
          </w:p>
        </w:tc>
        <w:tc>
          <w:tcPr>
            <w:tcW w:w="1135" w:type="dxa"/>
          </w:tcPr>
          <w:p>
            <w:pPr>
              <w:pStyle w:val="TableParagraph"/>
              <w:spacing w:before="77"/>
              <w:ind w:left="253" w:right="441"/>
              <w:jc w:val="center"/>
              <w:rPr>
                <w:b/>
                <w:sz w:val="18"/>
              </w:rPr>
            </w:pPr>
            <w:r>
              <w:rPr>
                <w:b/>
                <w:sz w:val="18"/>
              </w:rPr>
              <w:t>2016</w:t>
            </w:r>
          </w:p>
          <w:p>
            <w:pPr>
              <w:pStyle w:val="TableParagraph"/>
              <w:spacing w:before="66"/>
              <w:ind w:right="188"/>
              <w:jc w:val="center"/>
              <w:rPr>
                <w:b/>
                <w:sz w:val="18"/>
              </w:rPr>
            </w:pPr>
            <w:r>
              <w:rPr>
                <w:b/>
                <w:w w:val="99"/>
                <w:sz w:val="18"/>
              </w:rPr>
              <w:t>$</w:t>
            </w:r>
          </w:p>
        </w:tc>
      </w:tr>
      <w:tr>
        <w:trPr>
          <w:trHeight w:val="559" w:hRule="exact"/>
        </w:trPr>
        <w:tc>
          <w:tcPr>
            <w:tcW w:w="6961" w:type="dxa"/>
          </w:tcPr>
          <w:p>
            <w:pPr>
              <w:pStyle w:val="TableParagraph"/>
              <w:spacing w:before="78"/>
              <w:ind w:left="63"/>
              <w:rPr>
                <w:b/>
                <w:sz w:val="18"/>
              </w:rPr>
            </w:pPr>
            <w:r>
              <w:rPr>
                <w:b/>
                <w:sz w:val="18"/>
              </w:rPr>
              <w:t>Financial Assets</w:t>
            </w:r>
          </w:p>
          <w:p>
            <w:pPr>
              <w:pStyle w:val="TableParagraph"/>
              <w:spacing w:before="29"/>
              <w:ind w:left="63"/>
              <w:rPr>
                <w:sz w:val="18"/>
              </w:rPr>
            </w:pPr>
            <w:r>
              <w:rPr>
                <w:sz w:val="18"/>
              </w:rPr>
              <w:t>Cash and cash equivalents</w:t>
            </w:r>
          </w:p>
        </w:tc>
        <w:tc>
          <w:tcPr>
            <w:tcW w:w="1459" w:type="dxa"/>
          </w:tcPr>
          <w:p>
            <w:pPr>
              <w:pStyle w:val="TableParagraph"/>
              <w:rPr>
                <w:sz w:val="18"/>
              </w:rPr>
            </w:pPr>
          </w:p>
          <w:p>
            <w:pPr>
              <w:pStyle w:val="TableParagraph"/>
              <w:spacing w:before="106"/>
              <w:ind w:right="246"/>
              <w:jc w:val="right"/>
              <w:rPr>
                <w:b/>
                <w:sz w:val="18"/>
              </w:rPr>
            </w:pPr>
            <w:r>
              <w:rPr>
                <w:b/>
                <w:w w:val="95"/>
                <w:sz w:val="18"/>
              </w:rPr>
              <w:t>142,653</w:t>
            </w:r>
          </w:p>
        </w:tc>
        <w:tc>
          <w:tcPr>
            <w:tcW w:w="1135" w:type="dxa"/>
          </w:tcPr>
          <w:p>
            <w:pPr>
              <w:pStyle w:val="TableParagraph"/>
              <w:rPr>
                <w:sz w:val="18"/>
              </w:rPr>
            </w:pPr>
          </w:p>
          <w:p>
            <w:pPr>
              <w:pStyle w:val="TableParagraph"/>
              <w:spacing w:before="106"/>
              <w:ind w:right="84"/>
              <w:jc w:val="right"/>
              <w:rPr>
                <w:sz w:val="18"/>
              </w:rPr>
            </w:pPr>
            <w:r>
              <w:rPr>
                <w:w w:val="95"/>
                <w:sz w:val="18"/>
              </w:rPr>
              <w:t>496,008</w:t>
            </w:r>
          </w:p>
        </w:tc>
      </w:tr>
      <w:tr>
        <w:trPr>
          <w:trHeight w:val="262" w:hRule="exact"/>
        </w:trPr>
        <w:tc>
          <w:tcPr>
            <w:tcW w:w="6961" w:type="dxa"/>
          </w:tcPr>
          <w:p>
            <w:pPr>
              <w:pStyle w:val="TableParagraph"/>
              <w:spacing w:before="19"/>
              <w:ind w:left="63"/>
              <w:rPr>
                <w:sz w:val="18"/>
              </w:rPr>
            </w:pPr>
            <w:r>
              <w:rPr>
                <w:sz w:val="18"/>
              </w:rPr>
              <w:t>Trade and other receivables*</w:t>
            </w:r>
          </w:p>
        </w:tc>
        <w:tc>
          <w:tcPr>
            <w:tcW w:w="1459" w:type="dxa"/>
            <w:tcBorders>
              <w:bottom w:val="single" w:sz="0" w:space="0" w:color="000000"/>
            </w:tcBorders>
          </w:tcPr>
          <w:p>
            <w:pPr>
              <w:pStyle w:val="TableParagraph"/>
              <w:spacing w:before="18"/>
              <w:ind w:right="246"/>
              <w:jc w:val="right"/>
              <w:rPr>
                <w:b/>
                <w:sz w:val="18"/>
              </w:rPr>
            </w:pPr>
            <w:r>
              <w:rPr>
                <w:b/>
                <w:w w:val="95"/>
                <w:sz w:val="18"/>
              </w:rPr>
              <w:t>99,215</w:t>
            </w:r>
          </w:p>
        </w:tc>
        <w:tc>
          <w:tcPr>
            <w:tcW w:w="1135" w:type="dxa"/>
            <w:tcBorders>
              <w:bottom w:val="single" w:sz="0" w:space="0" w:color="000000"/>
            </w:tcBorders>
          </w:tcPr>
          <w:p>
            <w:pPr>
              <w:pStyle w:val="TableParagraph"/>
              <w:spacing w:before="18"/>
              <w:ind w:right="84"/>
              <w:jc w:val="right"/>
              <w:rPr>
                <w:sz w:val="18"/>
              </w:rPr>
            </w:pPr>
            <w:r>
              <w:rPr>
                <w:w w:val="95"/>
                <w:sz w:val="18"/>
              </w:rPr>
              <w:t>2,696,450</w:t>
            </w:r>
          </w:p>
        </w:tc>
      </w:tr>
      <w:tr>
        <w:trPr>
          <w:trHeight w:val="353" w:hRule="exact"/>
        </w:trPr>
        <w:tc>
          <w:tcPr>
            <w:tcW w:w="6961" w:type="dxa"/>
          </w:tcPr>
          <w:p>
            <w:pPr>
              <w:pStyle w:val="TableParagraph"/>
              <w:spacing w:before="123"/>
              <w:ind w:left="63"/>
              <w:rPr>
                <w:b/>
                <w:sz w:val="18"/>
              </w:rPr>
            </w:pPr>
            <w:r>
              <w:rPr>
                <w:b/>
                <w:sz w:val="18"/>
              </w:rPr>
              <w:t>Total Financial Assets</w:t>
            </w: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241,868</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3,192,458</w:t>
            </w:r>
          </w:p>
        </w:tc>
      </w:tr>
      <w:tr>
        <w:trPr>
          <w:trHeight w:val="619" w:hRule="exact"/>
        </w:trPr>
        <w:tc>
          <w:tcPr>
            <w:tcW w:w="6961" w:type="dxa"/>
          </w:tcPr>
          <w:p>
            <w:pPr>
              <w:pStyle w:val="TableParagraph"/>
              <w:spacing w:before="138"/>
              <w:ind w:left="63"/>
              <w:rPr>
                <w:b/>
                <w:sz w:val="18"/>
              </w:rPr>
            </w:pPr>
            <w:r>
              <w:rPr>
                <w:b/>
                <w:sz w:val="18"/>
              </w:rPr>
              <w:t>Financial Liabilities</w:t>
            </w:r>
          </w:p>
          <w:p>
            <w:pPr>
              <w:pStyle w:val="TableParagraph"/>
              <w:spacing w:before="29"/>
              <w:ind w:left="63"/>
              <w:rPr>
                <w:sz w:val="18"/>
              </w:rPr>
            </w:pPr>
            <w:r>
              <w:rPr>
                <w:sz w:val="18"/>
              </w:rPr>
              <w:t>Trade and other payables**</w:t>
            </w:r>
          </w:p>
        </w:tc>
        <w:tc>
          <w:tcPr>
            <w:tcW w:w="1459" w:type="dxa"/>
            <w:tcBorders>
              <w:top w:val="single" w:sz="0" w:space="0" w:color="000000"/>
            </w:tcBorders>
          </w:tcPr>
          <w:p>
            <w:pPr>
              <w:pStyle w:val="TableParagraph"/>
              <w:rPr>
                <w:sz w:val="18"/>
              </w:rPr>
            </w:pPr>
          </w:p>
          <w:p>
            <w:pPr>
              <w:pStyle w:val="TableParagraph"/>
              <w:spacing w:before="5"/>
              <w:rPr>
                <w:sz w:val="14"/>
              </w:rPr>
            </w:pPr>
          </w:p>
          <w:p>
            <w:pPr>
              <w:pStyle w:val="TableParagraph"/>
              <w:ind w:right="246"/>
              <w:jc w:val="right"/>
              <w:rPr>
                <w:b/>
                <w:sz w:val="18"/>
              </w:rPr>
            </w:pPr>
            <w:r>
              <w:rPr>
                <w:b/>
                <w:w w:val="95"/>
                <w:sz w:val="18"/>
              </w:rPr>
              <w:t>342,157</w:t>
            </w:r>
          </w:p>
        </w:tc>
        <w:tc>
          <w:tcPr>
            <w:tcW w:w="1135" w:type="dxa"/>
            <w:tcBorders>
              <w:top w:val="single" w:sz="0" w:space="0" w:color="000000"/>
            </w:tcBorders>
          </w:tcPr>
          <w:p>
            <w:pPr>
              <w:pStyle w:val="TableParagraph"/>
              <w:rPr>
                <w:sz w:val="18"/>
              </w:rPr>
            </w:pPr>
          </w:p>
          <w:p>
            <w:pPr>
              <w:pStyle w:val="TableParagraph"/>
              <w:spacing w:before="5"/>
              <w:rPr>
                <w:sz w:val="14"/>
              </w:rPr>
            </w:pPr>
          </w:p>
          <w:p>
            <w:pPr>
              <w:pStyle w:val="TableParagraph"/>
              <w:ind w:right="84"/>
              <w:jc w:val="right"/>
              <w:rPr>
                <w:sz w:val="18"/>
              </w:rPr>
            </w:pPr>
            <w:r>
              <w:rPr>
                <w:w w:val="95"/>
                <w:sz w:val="18"/>
              </w:rPr>
              <w:t>1,446,162</w:t>
            </w:r>
          </w:p>
        </w:tc>
      </w:tr>
      <w:tr>
        <w:trPr>
          <w:trHeight w:val="262" w:hRule="exact"/>
        </w:trPr>
        <w:tc>
          <w:tcPr>
            <w:tcW w:w="6961" w:type="dxa"/>
          </w:tcPr>
          <w:p>
            <w:pPr>
              <w:pStyle w:val="TableParagraph"/>
              <w:spacing w:before="19"/>
              <w:ind w:left="63"/>
              <w:rPr>
                <w:sz w:val="18"/>
              </w:rPr>
            </w:pPr>
            <w:r>
              <w:rPr>
                <w:sz w:val="18"/>
              </w:rPr>
              <w:t>Borrowings from the parent</w:t>
            </w:r>
          </w:p>
        </w:tc>
        <w:tc>
          <w:tcPr>
            <w:tcW w:w="1459" w:type="dxa"/>
            <w:tcBorders>
              <w:bottom w:val="single" w:sz="0" w:space="0" w:color="000000"/>
            </w:tcBorders>
          </w:tcPr>
          <w:p>
            <w:pPr>
              <w:pStyle w:val="TableParagraph"/>
              <w:spacing w:before="18"/>
              <w:ind w:right="246"/>
              <w:jc w:val="right"/>
              <w:rPr>
                <w:b/>
                <w:sz w:val="18"/>
              </w:rPr>
            </w:pPr>
            <w:r>
              <w:rPr>
                <w:b/>
                <w:w w:val="95"/>
                <w:sz w:val="18"/>
              </w:rPr>
              <w:t>799,365</w:t>
            </w:r>
          </w:p>
        </w:tc>
        <w:tc>
          <w:tcPr>
            <w:tcW w:w="1135" w:type="dxa"/>
            <w:tcBorders>
              <w:bottom w:val="single" w:sz="0" w:space="0" w:color="000000"/>
            </w:tcBorders>
          </w:tcPr>
          <w:p>
            <w:pPr>
              <w:pStyle w:val="TableParagraph"/>
              <w:spacing w:before="18"/>
              <w:ind w:right="84"/>
              <w:jc w:val="right"/>
              <w:rPr>
                <w:sz w:val="18"/>
              </w:rPr>
            </w:pPr>
            <w:r>
              <w:rPr>
                <w:w w:val="95"/>
                <w:sz w:val="18"/>
              </w:rPr>
              <w:t>5,618,407</w:t>
            </w:r>
          </w:p>
        </w:tc>
      </w:tr>
      <w:tr>
        <w:trPr>
          <w:trHeight w:val="353" w:hRule="exact"/>
        </w:trPr>
        <w:tc>
          <w:tcPr>
            <w:tcW w:w="6961" w:type="dxa"/>
          </w:tcPr>
          <w:p>
            <w:pPr>
              <w:pStyle w:val="TableParagraph"/>
              <w:spacing w:before="123"/>
              <w:ind w:left="63"/>
              <w:rPr>
                <w:b/>
                <w:sz w:val="18"/>
              </w:rPr>
            </w:pPr>
            <w:r>
              <w:rPr>
                <w:b/>
                <w:sz w:val="18"/>
              </w:rPr>
              <w:t>Total Financial Liabilities</w:t>
            </w: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1,141,522</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7,064,569</w:t>
            </w:r>
          </w:p>
        </w:tc>
      </w:tr>
      <w:tr>
        <w:trPr>
          <w:trHeight w:val="674" w:hRule="exact"/>
        </w:trPr>
        <w:tc>
          <w:tcPr>
            <w:tcW w:w="6961" w:type="dxa"/>
          </w:tcPr>
          <w:p>
            <w:pPr>
              <w:pStyle w:val="TableParagraph"/>
              <w:rPr>
                <w:sz w:val="18"/>
              </w:rPr>
            </w:pPr>
          </w:p>
          <w:p>
            <w:pPr>
              <w:pStyle w:val="TableParagraph"/>
              <w:spacing w:before="106"/>
              <w:ind w:left="35"/>
              <w:rPr>
                <w:sz w:val="18"/>
              </w:rPr>
            </w:pPr>
            <w:r>
              <w:rPr>
                <w:sz w:val="18"/>
              </w:rPr>
              <w:t>* Excludes statutory receivables and prepayments (not within the scope of AASB 7).</w:t>
            </w:r>
          </w:p>
        </w:tc>
        <w:tc>
          <w:tcPr>
            <w:tcW w:w="1459" w:type="dxa"/>
            <w:tcBorders>
              <w:top w:val="single" w:sz="0" w:space="0" w:color="000000"/>
            </w:tcBorders>
          </w:tcPr>
          <w:p>
            <w:pPr/>
          </w:p>
        </w:tc>
        <w:tc>
          <w:tcPr>
            <w:tcW w:w="1135" w:type="dxa"/>
            <w:tcBorders>
              <w:top w:val="single" w:sz="0" w:space="0" w:color="000000"/>
            </w:tcBorders>
          </w:tcPr>
          <w:p>
            <w:pPr/>
          </w:p>
        </w:tc>
      </w:tr>
      <w:tr>
        <w:trPr>
          <w:trHeight w:val="504" w:hRule="exact"/>
        </w:trPr>
        <w:tc>
          <w:tcPr>
            <w:tcW w:w="6961" w:type="dxa"/>
          </w:tcPr>
          <w:p>
            <w:pPr>
              <w:pStyle w:val="TableParagraph"/>
              <w:spacing w:before="134"/>
              <w:ind w:left="35"/>
              <w:rPr>
                <w:sz w:val="18"/>
              </w:rPr>
            </w:pPr>
            <w:r>
              <w:rPr>
                <w:sz w:val="18"/>
              </w:rPr>
              <w:t>**Excludes statutory payables and unearned revenue (not within the scope of AASB 7)</w:t>
            </w:r>
          </w:p>
        </w:tc>
        <w:tc>
          <w:tcPr>
            <w:tcW w:w="1459" w:type="dxa"/>
          </w:tcPr>
          <w:p>
            <w:pPr/>
          </w:p>
        </w:tc>
        <w:tc>
          <w:tcPr>
            <w:tcW w:w="1135" w:type="dxa"/>
          </w:tcPr>
          <w:p>
            <w:pPr/>
          </w:p>
        </w:tc>
      </w:tr>
      <w:tr>
        <w:trPr>
          <w:trHeight w:val="447" w:hRule="exact"/>
        </w:trPr>
        <w:tc>
          <w:tcPr>
            <w:tcW w:w="6961" w:type="dxa"/>
          </w:tcPr>
          <w:p>
            <w:pPr>
              <w:pStyle w:val="TableParagraph"/>
              <w:tabs>
                <w:tab w:pos="601" w:val="left" w:leader="none"/>
              </w:tabs>
              <w:spacing w:before="143"/>
              <w:ind w:left="35"/>
              <w:rPr>
                <w:b/>
                <w:sz w:val="18"/>
              </w:rPr>
            </w:pPr>
            <w:r>
              <w:rPr>
                <w:b/>
                <w:sz w:val="18"/>
              </w:rPr>
              <w:t>(a)</w:t>
              <w:tab/>
              <w:t>Market</w:t>
            </w:r>
            <w:r>
              <w:rPr>
                <w:b/>
                <w:spacing w:val="-1"/>
                <w:sz w:val="18"/>
              </w:rPr>
              <w:t> </w:t>
            </w:r>
            <w:r>
              <w:rPr>
                <w:b/>
                <w:sz w:val="18"/>
              </w:rPr>
              <w:t>risk</w:t>
            </w:r>
          </w:p>
        </w:tc>
        <w:tc>
          <w:tcPr>
            <w:tcW w:w="1459" w:type="dxa"/>
          </w:tcPr>
          <w:p>
            <w:pPr/>
          </w:p>
        </w:tc>
        <w:tc>
          <w:tcPr>
            <w:tcW w:w="1135" w:type="dxa"/>
          </w:tcPr>
          <w:p>
            <w:pPr/>
          </w:p>
        </w:tc>
      </w:tr>
    </w:tbl>
    <w:p>
      <w:pPr>
        <w:pStyle w:val="BodyText"/>
        <w:spacing w:before="4"/>
        <w:rPr>
          <w:sz w:val="10"/>
        </w:rPr>
      </w:pPr>
    </w:p>
    <w:p>
      <w:pPr>
        <w:pStyle w:val="ListParagraph"/>
        <w:numPr>
          <w:ilvl w:val="1"/>
          <w:numId w:val="62"/>
        </w:numPr>
        <w:tabs>
          <w:tab w:pos="715" w:val="left" w:leader="none"/>
        </w:tabs>
        <w:spacing w:line="240" w:lineRule="auto" w:before="77" w:after="0"/>
        <w:ind w:left="714" w:right="0" w:hanging="209"/>
        <w:jc w:val="left"/>
        <w:rPr>
          <w:sz w:val="18"/>
        </w:rPr>
      </w:pPr>
      <w:r>
        <w:rPr>
          <w:sz w:val="18"/>
        </w:rPr>
        <w:t>Cash flow and fair value interest rate</w:t>
      </w:r>
      <w:r>
        <w:rPr>
          <w:spacing w:val="-1"/>
          <w:sz w:val="18"/>
        </w:rPr>
        <w:t> </w:t>
      </w:r>
      <w:r>
        <w:rPr>
          <w:sz w:val="18"/>
        </w:rPr>
        <w:t>risk</w:t>
      </w:r>
    </w:p>
    <w:p>
      <w:pPr>
        <w:pStyle w:val="BodyText"/>
        <w:rPr>
          <w:sz w:val="25"/>
        </w:rPr>
      </w:pPr>
    </w:p>
    <w:p>
      <w:pPr>
        <w:pStyle w:val="BodyText"/>
        <w:ind w:left="505" w:right="337"/>
      </w:pPr>
      <w:r>
        <w:rPr/>
        <w:t>The Company's main interest rate risk arises from short term borrowings. Borrowings issued at variable rates expose the Company to cash flow interest rate risk.</w:t>
      </w:r>
    </w:p>
    <w:p>
      <w:pPr>
        <w:pStyle w:val="BodyText"/>
        <w:rPr>
          <w:sz w:val="25"/>
        </w:rPr>
      </w:pPr>
    </w:p>
    <w:p>
      <w:pPr>
        <w:pStyle w:val="BodyText"/>
        <w:spacing w:after="36"/>
        <w:ind w:left="505" w:right="161"/>
      </w:pPr>
      <w:r>
        <w:rPr/>
        <w:t>As at the end of the reporting period, the Company had the following variable rate borrowings:</w:t>
      </w:r>
    </w:p>
    <w:tbl>
      <w:tblPr>
        <w:tblW w:w="0" w:type="auto"/>
        <w:jc w:val="left"/>
        <w:tblInd w:w="5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04"/>
        <w:gridCol w:w="1154"/>
        <w:gridCol w:w="1805"/>
        <w:gridCol w:w="1155"/>
      </w:tblGrid>
      <w:tr>
        <w:trPr>
          <w:trHeight w:val="440" w:hRule="exact"/>
        </w:trPr>
        <w:tc>
          <w:tcPr>
            <w:tcW w:w="5404" w:type="dxa"/>
          </w:tcPr>
          <w:p>
            <w:pPr>
              <w:pStyle w:val="TableParagraph"/>
              <w:spacing w:line="180" w:lineRule="exact"/>
              <w:ind w:right="126"/>
              <w:jc w:val="right"/>
              <w:rPr>
                <w:b/>
                <w:sz w:val="16"/>
              </w:rPr>
            </w:pPr>
            <w:r>
              <w:rPr>
                <w:b/>
                <w:sz w:val="16"/>
              </w:rPr>
              <w:t>2017</w:t>
            </w:r>
          </w:p>
          <w:p>
            <w:pPr>
              <w:pStyle w:val="TableParagraph"/>
              <w:spacing w:before="67"/>
              <w:ind w:right="357"/>
              <w:jc w:val="right"/>
              <w:rPr>
                <w:b/>
                <w:sz w:val="16"/>
              </w:rPr>
            </w:pPr>
            <w:r>
              <w:rPr>
                <w:b/>
                <w:sz w:val="16"/>
              </w:rPr>
              <w:t>Weighted average</w:t>
            </w:r>
          </w:p>
        </w:tc>
        <w:tc>
          <w:tcPr>
            <w:tcW w:w="1154" w:type="dxa"/>
          </w:tcPr>
          <w:p>
            <w:pPr/>
          </w:p>
        </w:tc>
        <w:tc>
          <w:tcPr>
            <w:tcW w:w="1805" w:type="dxa"/>
          </w:tcPr>
          <w:p>
            <w:pPr>
              <w:pStyle w:val="TableParagraph"/>
              <w:spacing w:line="180" w:lineRule="exact"/>
              <w:ind w:right="126"/>
              <w:jc w:val="right"/>
              <w:rPr>
                <w:b/>
                <w:sz w:val="16"/>
              </w:rPr>
            </w:pPr>
            <w:r>
              <w:rPr>
                <w:b/>
                <w:sz w:val="16"/>
              </w:rPr>
              <w:t>2016</w:t>
            </w:r>
          </w:p>
          <w:p>
            <w:pPr>
              <w:pStyle w:val="TableParagraph"/>
              <w:spacing w:before="67"/>
              <w:ind w:left="79"/>
              <w:rPr>
                <w:b/>
                <w:sz w:val="16"/>
              </w:rPr>
            </w:pPr>
            <w:r>
              <w:rPr>
                <w:b/>
                <w:sz w:val="16"/>
              </w:rPr>
              <w:t>Weighted average</w:t>
            </w:r>
          </w:p>
        </w:tc>
        <w:tc>
          <w:tcPr>
            <w:tcW w:w="1155" w:type="dxa"/>
          </w:tcPr>
          <w:p>
            <w:pPr/>
          </w:p>
        </w:tc>
      </w:tr>
      <w:tr>
        <w:trPr>
          <w:trHeight w:val="219" w:hRule="exact"/>
        </w:trPr>
        <w:tc>
          <w:tcPr>
            <w:tcW w:w="5404" w:type="dxa"/>
          </w:tcPr>
          <w:p>
            <w:pPr>
              <w:pStyle w:val="TableParagraph"/>
              <w:spacing w:line="175" w:lineRule="exact"/>
              <w:ind w:right="585"/>
              <w:jc w:val="right"/>
              <w:rPr>
                <w:b/>
                <w:sz w:val="16"/>
              </w:rPr>
            </w:pPr>
            <w:r>
              <w:rPr>
                <w:b/>
                <w:sz w:val="16"/>
              </w:rPr>
              <w:t>interest rate</w:t>
            </w:r>
          </w:p>
        </w:tc>
        <w:tc>
          <w:tcPr>
            <w:tcW w:w="1154" w:type="dxa"/>
          </w:tcPr>
          <w:p>
            <w:pPr>
              <w:pStyle w:val="TableParagraph"/>
              <w:spacing w:line="175" w:lineRule="exact"/>
              <w:ind w:left="128"/>
              <w:rPr>
                <w:b/>
                <w:sz w:val="16"/>
              </w:rPr>
            </w:pPr>
            <w:r>
              <w:rPr>
                <w:b/>
                <w:sz w:val="16"/>
              </w:rPr>
              <w:t>Balance</w:t>
            </w:r>
          </w:p>
        </w:tc>
        <w:tc>
          <w:tcPr>
            <w:tcW w:w="1805" w:type="dxa"/>
          </w:tcPr>
          <w:p>
            <w:pPr>
              <w:pStyle w:val="TableParagraph"/>
              <w:spacing w:line="175" w:lineRule="exact"/>
              <w:ind w:left="303"/>
              <w:rPr>
                <w:b/>
                <w:sz w:val="16"/>
              </w:rPr>
            </w:pPr>
            <w:r>
              <w:rPr>
                <w:b/>
                <w:sz w:val="16"/>
              </w:rPr>
              <w:t>interest rate</w:t>
            </w:r>
          </w:p>
        </w:tc>
        <w:tc>
          <w:tcPr>
            <w:tcW w:w="1155" w:type="dxa"/>
          </w:tcPr>
          <w:p>
            <w:pPr>
              <w:pStyle w:val="TableParagraph"/>
              <w:spacing w:line="175" w:lineRule="exact"/>
              <w:ind w:left="128"/>
              <w:rPr>
                <w:b/>
                <w:sz w:val="16"/>
              </w:rPr>
            </w:pPr>
            <w:r>
              <w:rPr>
                <w:b/>
                <w:sz w:val="16"/>
              </w:rPr>
              <w:t>Balance</w:t>
            </w:r>
          </w:p>
        </w:tc>
      </w:tr>
      <w:tr>
        <w:trPr>
          <w:trHeight w:val="270" w:hRule="exact"/>
        </w:trPr>
        <w:tc>
          <w:tcPr>
            <w:tcW w:w="5404" w:type="dxa"/>
          </w:tcPr>
          <w:p>
            <w:pPr>
              <w:pStyle w:val="TableParagraph"/>
              <w:spacing w:before="46"/>
              <w:ind w:right="969"/>
              <w:jc w:val="right"/>
              <w:rPr>
                <w:b/>
                <w:sz w:val="16"/>
              </w:rPr>
            </w:pPr>
            <w:r>
              <w:rPr>
                <w:b/>
                <w:w w:val="99"/>
                <w:sz w:val="16"/>
              </w:rPr>
              <w:t>%</w:t>
            </w:r>
          </w:p>
        </w:tc>
        <w:tc>
          <w:tcPr>
            <w:tcW w:w="1154" w:type="dxa"/>
          </w:tcPr>
          <w:p>
            <w:pPr>
              <w:pStyle w:val="TableParagraph"/>
              <w:spacing w:before="46"/>
              <w:ind w:right="283"/>
              <w:jc w:val="center"/>
              <w:rPr>
                <w:b/>
                <w:sz w:val="16"/>
              </w:rPr>
            </w:pPr>
            <w:r>
              <w:rPr>
                <w:b/>
                <w:w w:val="99"/>
                <w:sz w:val="16"/>
              </w:rPr>
              <w:t>$</w:t>
            </w:r>
          </w:p>
        </w:tc>
        <w:tc>
          <w:tcPr>
            <w:tcW w:w="1805" w:type="dxa"/>
          </w:tcPr>
          <w:p>
            <w:pPr>
              <w:pStyle w:val="TableParagraph"/>
              <w:spacing w:before="24"/>
              <w:ind w:right="281"/>
              <w:jc w:val="center"/>
              <w:rPr>
                <w:b/>
                <w:sz w:val="18"/>
              </w:rPr>
            </w:pPr>
            <w:r>
              <w:rPr>
                <w:b/>
                <w:w w:val="99"/>
                <w:sz w:val="18"/>
              </w:rPr>
              <w:t>%</w:t>
            </w:r>
          </w:p>
        </w:tc>
        <w:tc>
          <w:tcPr>
            <w:tcW w:w="1155" w:type="dxa"/>
          </w:tcPr>
          <w:p>
            <w:pPr>
              <w:pStyle w:val="TableParagraph"/>
              <w:spacing w:before="24"/>
              <w:ind w:right="281"/>
              <w:jc w:val="center"/>
              <w:rPr>
                <w:b/>
                <w:sz w:val="18"/>
              </w:rPr>
            </w:pPr>
            <w:r>
              <w:rPr>
                <w:b/>
                <w:w w:val="99"/>
                <w:sz w:val="18"/>
              </w:rPr>
              <w:t>$</w:t>
            </w:r>
          </w:p>
        </w:tc>
      </w:tr>
      <w:tr>
        <w:trPr>
          <w:trHeight w:val="244" w:hRule="exact"/>
        </w:trPr>
        <w:tc>
          <w:tcPr>
            <w:tcW w:w="5404" w:type="dxa"/>
            <w:tcBorders>
              <w:bottom w:val="single" w:sz="0" w:space="0" w:color="000000"/>
            </w:tcBorders>
          </w:tcPr>
          <w:p>
            <w:pPr>
              <w:pStyle w:val="TableParagraph"/>
              <w:spacing w:before="22"/>
              <w:ind w:right="375"/>
              <w:jc w:val="right"/>
              <w:rPr>
                <w:sz w:val="16"/>
              </w:rPr>
            </w:pPr>
            <w:r>
              <w:rPr>
                <w:w w:val="99"/>
                <w:sz w:val="16"/>
              </w:rPr>
              <w:t>4</w:t>
            </w:r>
          </w:p>
        </w:tc>
        <w:tc>
          <w:tcPr>
            <w:tcW w:w="1154" w:type="dxa"/>
            <w:tcBorders>
              <w:bottom w:val="single" w:sz="0" w:space="0" w:color="000000"/>
            </w:tcBorders>
          </w:tcPr>
          <w:p>
            <w:pPr>
              <w:pStyle w:val="TableParagraph"/>
              <w:spacing w:before="22"/>
              <w:ind w:right="77"/>
              <w:jc w:val="right"/>
              <w:rPr>
                <w:sz w:val="16"/>
              </w:rPr>
            </w:pPr>
            <w:r>
              <w:rPr>
                <w:w w:val="95"/>
                <w:sz w:val="16"/>
              </w:rPr>
              <w:t>799,365</w:t>
            </w:r>
          </w:p>
        </w:tc>
        <w:tc>
          <w:tcPr>
            <w:tcW w:w="1805" w:type="dxa"/>
            <w:tcBorders>
              <w:bottom w:val="single" w:sz="0" w:space="0" w:color="000000"/>
            </w:tcBorders>
          </w:tcPr>
          <w:p>
            <w:pPr>
              <w:pStyle w:val="TableParagraph"/>
              <w:spacing w:before="22"/>
              <w:ind w:right="402"/>
              <w:jc w:val="right"/>
              <w:rPr>
                <w:sz w:val="16"/>
              </w:rPr>
            </w:pPr>
            <w:r>
              <w:rPr>
                <w:w w:val="99"/>
                <w:sz w:val="16"/>
              </w:rPr>
              <w:t>4</w:t>
            </w:r>
          </w:p>
        </w:tc>
        <w:tc>
          <w:tcPr>
            <w:tcW w:w="1155" w:type="dxa"/>
            <w:tcBorders>
              <w:bottom w:val="single" w:sz="0" w:space="0" w:color="000000"/>
            </w:tcBorders>
          </w:tcPr>
          <w:p>
            <w:pPr>
              <w:pStyle w:val="TableParagraph"/>
              <w:spacing w:before="22"/>
              <w:ind w:right="77"/>
              <w:jc w:val="right"/>
              <w:rPr>
                <w:sz w:val="16"/>
              </w:rPr>
            </w:pPr>
            <w:r>
              <w:rPr>
                <w:w w:val="95"/>
                <w:sz w:val="16"/>
              </w:rPr>
              <w:t>5,618,407</w:t>
            </w:r>
          </w:p>
        </w:tc>
      </w:tr>
      <w:tr>
        <w:trPr>
          <w:trHeight w:val="336" w:hRule="exact"/>
        </w:trPr>
        <w:tc>
          <w:tcPr>
            <w:tcW w:w="5404" w:type="dxa"/>
            <w:tcBorders>
              <w:top w:val="single" w:sz="0" w:space="0" w:color="000000"/>
              <w:bottom w:val="single" w:sz="0" w:space="0" w:color="000000"/>
            </w:tcBorders>
          </w:tcPr>
          <w:p>
            <w:pPr>
              <w:pStyle w:val="TableParagraph"/>
              <w:tabs>
                <w:tab w:pos="4964" w:val="right" w:leader="none"/>
              </w:tabs>
              <w:spacing w:before="122"/>
              <w:ind w:right="402"/>
              <w:jc w:val="right"/>
              <w:rPr>
                <w:b/>
                <w:sz w:val="16"/>
              </w:rPr>
            </w:pPr>
            <w:r>
              <w:rPr>
                <w:b/>
                <w:sz w:val="16"/>
              </w:rPr>
              <w:t>Net exposure to cash flow interest</w:t>
            </w:r>
            <w:r>
              <w:rPr>
                <w:b/>
                <w:spacing w:val="-8"/>
                <w:sz w:val="16"/>
              </w:rPr>
              <w:t> </w:t>
            </w:r>
            <w:r>
              <w:rPr>
                <w:b/>
                <w:sz w:val="16"/>
              </w:rPr>
              <w:t>rate</w:t>
            </w:r>
            <w:r>
              <w:rPr>
                <w:b/>
                <w:spacing w:val="-2"/>
                <w:sz w:val="16"/>
              </w:rPr>
              <w:t> </w:t>
            </w:r>
            <w:r>
              <w:rPr>
                <w:b/>
                <w:sz w:val="16"/>
              </w:rPr>
              <w:t>risk</w:t>
            </w:r>
            <w:r>
              <w:rPr>
                <w:rFonts w:ascii="Times New Roman"/>
                <w:sz w:val="16"/>
              </w:rPr>
              <w:tab/>
            </w:r>
            <w:r>
              <w:rPr>
                <w:b/>
                <w:sz w:val="16"/>
              </w:rPr>
              <w:t>4</w:t>
            </w:r>
          </w:p>
        </w:tc>
        <w:tc>
          <w:tcPr>
            <w:tcW w:w="1154" w:type="dxa"/>
            <w:tcBorders>
              <w:top w:val="single" w:sz="0" w:space="0" w:color="000000"/>
              <w:bottom w:val="single" w:sz="0" w:space="0" w:color="000000"/>
            </w:tcBorders>
          </w:tcPr>
          <w:p>
            <w:pPr>
              <w:pStyle w:val="TableParagraph"/>
              <w:spacing w:before="122"/>
              <w:ind w:right="77"/>
              <w:jc w:val="right"/>
              <w:rPr>
                <w:b/>
                <w:sz w:val="16"/>
              </w:rPr>
            </w:pPr>
            <w:r>
              <w:rPr>
                <w:b/>
                <w:w w:val="95"/>
                <w:sz w:val="16"/>
              </w:rPr>
              <w:t>799,365</w:t>
            </w:r>
          </w:p>
        </w:tc>
        <w:tc>
          <w:tcPr>
            <w:tcW w:w="1805" w:type="dxa"/>
            <w:tcBorders>
              <w:top w:val="single" w:sz="0" w:space="0" w:color="000000"/>
              <w:bottom w:val="single" w:sz="0" w:space="0" w:color="000000"/>
            </w:tcBorders>
          </w:tcPr>
          <w:p>
            <w:pPr>
              <w:pStyle w:val="TableParagraph"/>
              <w:spacing w:before="122"/>
              <w:ind w:right="402"/>
              <w:jc w:val="right"/>
              <w:rPr>
                <w:sz w:val="16"/>
              </w:rPr>
            </w:pPr>
            <w:r>
              <w:rPr>
                <w:w w:val="99"/>
                <w:sz w:val="16"/>
              </w:rPr>
              <w:t>4</w:t>
            </w:r>
          </w:p>
        </w:tc>
        <w:tc>
          <w:tcPr>
            <w:tcW w:w="1155" w:type="dxa"/>
            <w:tcBorders>
              <w:top w:val="single" w:sz="0" w:space="0" w:color="000000"/>
              <w:bottom w:val="single" w:sz="0" w:space="0" w:color="000000"/>
            </w:tcBorders>
          </w:tcPr>
          <w:p>
            <w:pPr>
              <w:pStyle w:val="TableParagraph"/>
              <w:spacing w:before="122"/>
              <w:ind w:right="77"/>
              <w:jc w:val="right"/>
              <w:rPr>
                <w:sz w:val="16"/>
              </w:rPr>
            </w:pPr>
            <w:r>
              <w:rPr>
                <w:w w:val="95"/>
                <w:sz w:val="16"/>
              </w:rPr>
              <w:t>5,618,407</w:t>
            </w:r>
          </w:p>
        </w:tc>
      </w:tr>
    </w:tbl>
    <w:p>
      <w:pPr>
        <w:spacing w:after="0"/>
        <w:jc w:val="right"/>
        <w:rPr>
          <w:sz w:val="16"/>
        </w:rPr>
        <w:sectPr>
          <w:pgSz w:w="11910" w:h="16840"/>
          <w:pgMar w:header="1038" w:footer="460" w:top="1460" w:bottom="700" w:left="900" w:right="860"/>
        </w:sectPr>
      </w:pPr>
    </w:p>
    <w:p>
      <w:pPr>
        <w:pStyle w:val="BodyText"/>
        <w:spacing w:before="2"/>
        <w:rPr>
          <w:sz w:val="24"/>
        </w:rPr>
      </w:pPr>
    </w:p>
    <w:p>
      <w:pPr>
        <w:pStyle w:val="Heading3"/>
      </w:pPr>
      <w:r>
        <w:rPr/>
        <w:t>Notes to the Financial Statements</w:t>
      </w:r>
    </w:p>
    <w:p>
      <w:pPr>
        <w:pStyle w:val="Heading6"/>
        <w:ind w:left="107" w:right="161"/>
      </w:pPr>
      <w:r>
        <w:rPr/>
        <w:t>For the Year Ended 31 December 2017</w:t>
      </w:r>
    </w:p>
    <w:p>
      <w:pPr>
        <w:pStyle w:val="BodyText"/>
        <w:spacing w:before="11"/>
        <w:rPr>
          <w:b/>
          <w:sz w:val="24"/>
        </w:rPr>
      </w:pPr>
    </w:p>
    <w:p>
      <w:pPr>
        <w:pStyle w:val="Heading9"/>
        <w:tabs>
          <w:tab w:pos="505" w:val="left" w:leader="none"/>
        </w:tabs>
        <w:ind w:left="109" w:right="161"/>
      </w:pPr>
      <w:r>
        <w:rPr/>
        <w:t>2</w:t>
        <w:tab/>
        <w:t>Financial Risk Management</w:t>
      </w:r>
      <w:r>
        <w:rPr>
          <w:spacing w:val="-3"/>
        </w:rPr>
        <w:t> </w:t>
      </w:r>
      <w:r>
        <w:rPr/>
        <w:t>(Continued)</w:t>
      </w:r>
    </w:p>
    <w:p>
      <w:pPr>
        <w:pStyle w:val="ListParagraph"/>
        <w:numPr>
          <w:ilvl w:val="1"/>
          <w:numId w:val="62"/>
        </w:numPr>
        <w:tabs>
          <w:tab w:pos="755" w:val="left" w:leader="none"/>
        </w:tabs>
        <w:spacing w:line="240" w:lineRule="auto" w:before="112" w:after="0"/>
        <w:ind w:left="754" w:right="0" w:hanging="249"/>
        <w:jc w:val="left"/>
        <w:rPr>
          <w:sz w:val="18"/>
        </w:rPr>
      </w:pPr>
      <w:r>
        <w:rPr>
          <w:sz w:val="18"/>
        </w:rPr>
        <w:t>Summarised sensitivity</w:t>
      </w:r>
      <w:r>
        <w:rPr>
          <w:spacing w:val="-1"/>
          <w:sz w:val="18"/>
        </w:rPr>
        <w:t> </w:t>
      </w:r>
      <w:r>
        <w:rPr>
          <w:sz w:val="18"/>
        </w:rPr>
        <w:t>analysis</w:t>
      </w:r>
    </w:p>
    <w:p>
      <w:pPr>
        <w:pStyle w:val="BodyText"/>
        <w:rPr>
          <w:sz w:val="25"/>
        </w:rPr>
      </w:pPr>
    </w:p>
    <w:p>
      <w:pPr>
        <w:pStyle w:val="BodyText"/>
        <w:ind w:left="505" w:right="256"/>
      </w:pPr>
      <w:r>
        <w:rPr/>
        <w:t>The following table summarises the sensitivity of the Company's financial assets and financial liabilities to interest rate risk.</w:t>
      </w:r>
    </w:p>
    <w:p>
      <w:pPr>
        <w:pStyle w:val="BodyText"/>
        <w:rPr>
          <w:sz w:val="20"/>
        </w:rPr>
      </w:pPr>
    </w:p>
    <w:p>
      <w:pPr>
        <w:pStyle w:val="BodyText"/>
        <w:spacing w:before="10"/>
      </w:pPr>
    </w:p>
    <w:tbl>
      <w:tblPr>
        <w:tblW w:w="0" w:type="auto"/>
        <w:jc w:val="left"/>
        <w:tblInd w:w="4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61"/>
        <w:gridCol w:w="1493"/>
        <w:gridCol w:w="1688"/>
        <w:gridCol w:w="1286"/>
        <w:gridCol w:w="1661"/>
        <w:gridCol w:w="1241"/>
      </w:tblGrid>
      <w:tr>
        <w:trPr>
          <w:trHeight w:val="545" w:hRule="exact"/>
        </w:trPr>
        <w:tc>
          <w:tcPr>
            <w:tcW w:w="2161" w:type="dxa"/>
          </w:tcPr>
          <w:p>
            <w:pPr/>
          </w:p>
        </w:tc>
        <w:tc>
          <w:tcPr>
            <w:tcW w:w="1493" w:type="dxa"/>
          </w:tcPr>
          <w:p>
            <w:pPr>
              <w:pStyle w:val="TableParagraph"/>
              <w:rPr>
                <w:sz w:val="16"/>
              </w:rPr>
            </w:pPr>
          </w:p>
          <w:p>
            <w:pPr>
              <w:pStyle w:val="TableParagraph"/>
              <w:spacing w:before="8"/>
              <w:rPr>
                <w:sz w:val="12"/>
              </w:rPr>
            </w:pPr>
          </w:p>
          <w:p>
            <w:pPr>
              <w:pStyle w:val="TableParagraph"/>
              <w:ind w:right="114"/>
              <w:jc w:val="right"/>
              <w:rPr>
                <w:b/>
                <w:sz w:val="16"/>
              </w:rPr>
            </w:pPr>
            <w:r>
              <w:rPr>
                <w:b/>
                <w:sz w:val="16"/>
              </w:rPr>
              <w:t>Carrying amount</w:t>
            </w:r>
          </w:p>
        </w:tc>
        <w:tc>
          <w:tcPr>
            <w:tcW w:w="1688" w:type="dxa"/>
          </w:tcPr>
          <w:p>
            <w:pPr>
              <w:pStyle w:val="TableParagraph"/>
              <w:spacing w:before="79"/>
              <w:ind w:left="80" w:right="327"/>
              <w:jc w:val="center"/>
              <w:rPr>
                <w:b/>
                <w:sz w:val="16"/>
              </w:rPr>
            </w:pPr>
            <w:r>
              <w:rPr>
                <w:b/>
                <w:sz w:val="16"/>
              </w:rPr>
              <w:t>-1%</w:t>
            </w:r>
          </w:p>
          <w:p>
            <w:pPr>
              <w:pStyle w:val="TableParagraph"/>
              <w:spacing w:before="67"/>
              <w:ind w:left="80" w:right="331"/>
              <w:jc w:val="center"/>
              <w:rPr>
                <w:b/>
                <w:sz w:val="16"/>
              </w:rPr>
            </w:pPr>
            <w:r>
              <w:rPr>
                <w:b/>
                <w:sz w:val="16"/>
              </w:rPr>
              <w:t>Surplus/(Deficit)</w:t>
            </w:r>
          </w:p>
        </w:tc>
        <w:tc>
          <w:tcPr>
            <w:tcW w:w="1286" w:type="dxa"/>
          </w:tcPr>
          <w:p>
            <w:pPr>
              <w:pStyle w:val="TableParagraph"/>
              <w:spacing w:before="79"/>
              <w:ind w:left="242" w:right="515"/>
              <w:jc w:val="center"/>
              <w:rPr>
                <w:b/>
                <w:sz w:val="16"/>
              </w:rPr>
            </w:pPr>
            <w:r>
              <w:rPr>
                <w:b/>
                <w:sz w:val="16"/>
              </w:rPr>
              <w:t>-1%</w:t>
            </w:r>
          </w:p>
          <w:p>
            <w:pPr>
              <w:pStyle w:val="TableParagraph"/>
              <w:spacing w:before="67"/>
              <w:ind w:left="242" w:right="515"/>
              <w:jc w:val="center"/>
              <w:rPr>
                <w:b/>
                <w:sz w:val="16"/>
              </w:rPr>
            </w:pPr>
            <w:r>
              <w:rPr>
                <w:b/>
                <w:sz w:val="16"/>
              </w:rPr>
              <w:t>Equity</w:t>
            </w:r>
          </w:p>
        </w:tc>
        <w:tc>
          <w:tcPr>
            <w:tcW w:w="1661" w:type="dxa"/>
          </w:tcPr>
          <w:p>
            <w:pPr>
              <w:pStyle w:val="TableParagraph"/>
              <w:spacing w:before="79"/>
              <w:ind w:left="54" w:right="328"/>
              <w:jc w:val="center"/>
              <w:rPr>
                <w:b/>
                <w:sz w:val="16"/>
              </w:rPr>
            </w:pPr>
            <w:r>
              <w:rPr>
                <w:b/>
                <w:sz w:val="16"/>
              </w:rPr>
              <w:t>+1%</w:t>
            </w:r>
          </w:p>
          <w:p>
            <w:pPr>
              <w:pStyle w:val="TableParagraph"/>
              <w:spacing w:before="67"/>
              <w:ind w:left="54" w:right="331"/>
              <w:jc w:val="center"/>
              <w:rPr>
                <w:b/>
                <w:sz w:val="16"/>
              </w:rPr>
            </w:pPr>
            <w:r>
              <w:rPr>
                <w:b/>
                <w:sz w:val="16"/>
              </w:rPr>
              <w:t>Surplus/(Deficit)</w:t>
            </w:r>
          </w:p>
        </w:tc>
        <w:tc>
          <w:tcPr>
            <w:tcW w:w="1241" w:type="dxa"/>
          </w:tcPr>
          <w:p>
            <w:pPr>
              <w:pStyle w:val="TableParagraph"/>
              <w:spacing w:before="79"/>
              <w:ind w:left="342"/>
              <w:rPr>
                <w:b/>
                <w:sz w:val="16"/>
              </w:rPr>
            </w:pPr>
            <w:r>
              <w:rPr>
                <w:b/>
                <w:sz w:val="16"/>
              </w:rPr>
              <w:t>+1%</w:t>
            </w:r>
          </w:p>
          <w:p>
            <w:pPr>
              <w:pStyle w:val="TableParagraph"/>
              <w:spacing w:before="67"/>
              <w:ind w:left="261"/>
              <w:rPr>
                <w:b/>
                <w:sz w:val="16"/>
              </w:rPr>
            </w:pPr>
            <w:r>
              <w:rPr>
                <w:b/>
                <w:sz w:val="16"/>
              </w:rPr>
              <w:t>Equity</w:t>
            </w:r>
          </w:p>
        </w:tc>
      </w:tr>
      <w:tr>
        <w:trPr>
          <w:trHeight w:val="280" w:hRule="exact"/>
        </w:trPr>
        <w:tc>
          <w:tcPr>
            <w:tcW w:w="2161" w:type="dxa"/>
          </w:tcPr>
          <w:p>
            <w:pPr>
              <w:pStyle w:val="TableParagraph"/>
              <w:spacing w:before="13"/>
              <w:ind w:left="35"/>
              <w:rPr>
                <w:b/>
                <w:sz w:val="16"/>
              </w:rPr>
            </w:pPr>
            <w:r>
              <w:rPr>
                <w:b/>
                <w:sz w:val="16"/>
              </w:rPr>
              <w:t>31 December 2017</w:t>
            </w:r>
          </w:p>
        </w:tc>
        <w:tc>
          <w:tcPr>
            <w:tcW w:w="1493" w:type="dxa"/>
          </w:tcPr>
          <w:p>
            <w:pPr>
              <w:pStyle w:val="TableParagraph"/>
              <w:spacing w:before="37"/>
              <w:ind w:right="18"/>
              <w:jc w:val="center"/>
              <w:rPr>
                <w:b/>
                <w:sz w:val="14"/>
              </w:rPr>
            </w:pPr>
            <w:r>
              <w:rPr>
                <w:b/>
                <w:w w:val="100"/>
                <w:sz w:val="14"/>
              </w:rPr>
              <w:t>$</w:t>
            </w:r>
          </w:p>
        </w:tc>
        <w:tc>
          <w:tcPr>
            <w:tcW w:w="1688" w:type="dxa"/>
          </w:tcPr>
          <w:p>
            <w:pPr>
              <w:pStyle w:val="TableParagraph"/>
              <w:spacing w:before="37"/>
              <w:ind w:right="251"/>
              <w:jc w:val="center"/>
              <w:rPr>
                <w:b/>
                <w:sz w:val="14"/>
              </w:rPr>
            </w:pPr>
            <w:r>
              <w:rPr>
                <w:b/>
                <w:w w:val="100"/>
                <w:sz w:val="14"/>
              </w:rPr>
              <w:t>$</w:t>
            </w:r>
          </w:p>
        </w:tc>
        <w:tc>
          <w:tcPr>
            <w:tcW w:w="1286" w:type="dxa"/>
          </w:tcPr>
          <w:p>
            <w:pPr>
              <w:pStyle w:val="TableParagraph"/>
              <w:spacing w:before="37"/>
              <w:ind w:right="277"/>
              <w:jc w:val="center"/>
              <w:rPr>
                <w:b/>
                <w:sz w:val="14"/>
              </w:rPr>
            </w:pPr>
            <w:r>
              <w:rPr>
                <w:b/>
                <w:w w:val="100"/>
                <w:sz w:val="14"/>
              </w:rPr>
              <w:t>$</w:t>
            </w:r>
          </w:p>
        </w:tc>
        <w:tc>
          <w:tcPr>
            <w:tcW w:w="1661" w:type="dxa"/>
          </w:tcPr>
          <w:p>
            <w:pPr>
              <w:pStyle w:val="TableParagraph"/>
              <w:spacing w:before="37"/>
              <w:ind w:right="277"/>
              <w:jc w:val="center"/>
              <w:rPr>
                <w:b/>
                <w:sz w:val="14"/>
              </w:rPr>
            </w:pPr>
            <w:r>
              <w:rPr>
                <w:b/>
                <w:w w:val="100"/>
                <w:sz w:val="14"/>
              </w:rPr>
              <w:t>$</w:t>
            </w:r>
          </w:p>
        </w:tc>
        <w:tc>
          <w:tcPr>
            <w:tcW w:w="1241" w:type="dxa"/>
          </w:tcPr>
          <w:p>
            <w:pPr>
              <w:pStyle w:val="TableParagraph"/>
              <w:spacing w:before="37"/>
              <w:ind w:right="232"/>
              <w:jc w:val="center"/>
              <w:rPr>
                <w:b/>
                <w:sz w:val="14"/>
              </w:rPr>
            </w:pPr>
            <w:r>
              <w:rPr>
                <w:b/>
                <w:w w:val="100"/>
                <w:sz w:val="14"/>
              </w:rPr>
              <w:t>$</w:t>
            </w:r>
          </w:p>
        </w:tc>
      </w:tr>
      <w:tr>
        <w:trPr>
          <w:trHeight w:val="498" w:hRule="exact"/>
        </w:trPr>
        <w:tc>
          <w:tcPr>
            <w:tcW w:w="2161" w:type="dxa"/>
          </w:tcPr>
          <w:p>
            <w:pPr>
              <w:pStyle w:val="TableParagraph"/>
              <w:spacing w:before="64"/>
              <w:ind w:left="35"/>
              <w:rPr>
                <w:b/>
                <w:sz w:val="16"/>
              </w:rPr>
            </w:pPr>
            <w:r>
              <w:rPr>
                <w:b/>
                <w:sz w:val="16"/>
              </w:rPr>
              <w:t>Financial Assets</w:t>
            </w:r>
          </w:p>
          <w:p>
            <w:pPr>
              <w:pStyle w:val="TableParagraph"/>
              <w:spacing w:before="29"/>
              <w:ind w:left="35"/>
              <w:rPr>
                <w:sz w:val="16"/>
              </w:rPr>
            </w:pPr>
            <w:r>
              <w:rPr>
                <w:sz w:val="16"/>
              </w:rPr>
              <w:t>Cash and cash equivalents</w:t>
            </w:r>
          </w:p>
        </w:tc>
        <w:tc>
          <w:tcPr>
            <w:tcW w:w="1493" w:type="dxa"/>
            <w:tcBorders>
              <w:bottom w:val="single" w:sz="0" w:space="0" w:color="000000"/>
            </w:tcBorders>
          </w:tcPr>
          <w:p>
            <w:pPr>
              <w:pStyle w:val="TableParagraph"/>
              <w:rPr>
                <w:sz w:val="16"/>
              </w:rPr>
            </w:pPr>
          </w:p>
          <w:p>
            <w:pPr>
              <w:pStyle w:val="TableParagraph"/>
              <w:spacing w:before="92"/>
              <w:ind w:right="99"/>
              <w:jc w:val="right"/>
              <w:rPr>
                <w:sz w:val="16"/>
              </w:rPr>
            </w:pPr>
            <w:r>
              <w:rPr>
                <w:w w:val="95"/>
                <w:sz w:val="16"/>
              </w:rPr>
              <w:t>142,653</w:t>
            </w:r>
          </w:p>
        </w:tc>
        <w:tc>
          <w:tcPr>
            <w:tcW w:w="1688" w:type="dxa"/>
            <w:tcBorders>
              <w:bottom w:val="single" w:sz="0" w:space="0" w:color="000000"/>
            </w:tcBorders>
          </w:tcPr>
          <w:p>
            <w:pPr>
              <w:pStyle w:val="TableParagraph"/>
              <w:rPr>
                <w:sz w:val="16"/>
              </w:rPr>
            </w:pPr>
          </w:p>
          <w:p>
            <w:pPr>
              <w:pStyle w:val="TableParagraph"/>
              <w:spacing w:before="92"/>
              <w:ind w:right="259"/>
              <w:jc w:val="right"/>
              <w:rPr>
                <w:sz w:val="16"/>
              </w:rPr>
            </w:pPr>
            <w:r>
              <w:rPr>
                <w:sz w:val="16"/>
              </w:rPr>
              <w:t>(1,427)</w:t>
            </w:r>
          </w:p>
        </w:tc>
        <w:tc>
          <w:tcPr>
            <w:tcW w:w="1286" w:type="dxa"/>
            <w:tcBorders>
              <w:bottom w:val="single" w:sz="0" w:space="0" w:color="000000"/>
            </w:tcBorders>
          </w:tcPr>
          <w:p>
            <w:pPr>
              <w:pStyle w:val="TableParagraph"/>
              <w:rPr>
                <w:sz w:val="16"/>
              </w:rPr>
            </w:pPr>
          </w:p>
          <w:p>
            <w:pPr>
              <w:pStyle w:val="TableParagraph"/>
              <w:spacing w:before="92"/>
              <w:ind w:right="72"/>
              <w:jc w:val="right"/>
              <w:rPr>
                <w:sz w:val="16"/>
              </w:rPr>
            </w:pPr>
            <w:r>
              <w:rPr>
                <w:sz w:val="16"/>
              </w:rPr>
              <w:t>(1,427)</w:t>
            </w:r>
          </w:p>
        </w:tc>
        <w:tc>
          <w:tcPr>
            <w:tcW w:w="1661" w:type="dxa"/>
            <w:tcBorders>
              <w:bottom w:val="single" w:sz="0" w:space="0" w:color="000000"/>
            </w:tcBorders>
          </w:tcPr>
          <w:p>
            <w:pPr>
              <w:pStyle w:val="TableParagraph"/>
              <w:rPr>
                <w:sz w:val="16"/>
              </w:rPr>
            </w:pPr>
          </w:p>
          <w:p>
            <w:pPr>
              <w:pStyle w:val="TableParagraph"/>
              <w:spacing w:before="92"/>
              <w:ind w:right="312"/>
              <w:jc w:val="right"/>
              <w:rPr>
                <w:sz w:val="16"/>
              </w:rPr>
            </w:pPr>
            <w:r>
              <w:rPr>
                <w:w w:val="95"/>
                <w:sz w:val="16"/>
              </w:rPr>
              <w:t>1,427</w:t>
            </w:r>
          </w:p>
        </w:tc>
        <w:tc>
          <w:tcPr>
            <w:tcW w:w="1241" w:type="dxa"/>
            <w:tcBorders>
              <w:bottom w:val="single" w:sz="0" w:space="0" w:color="000000"/>
            </w:tcBorders>
          </w:tcPr>
          <w:p>
            <w:pPr>
              <w:pStyle w:val="TableParagraph"/>
              <w:rPr>
                <w:sz w:val="16"/>
              </w:rPr>
            </w:pPr>
          </w:p>
          <w:p>
            <w:pPr>
              <w:pStyle w:val="TableParagraph"/>
              <w:spacing w:before="92"/>
              <w:ind w:right="79"/>
              <w:jc w:val="right"/>
              <w:rPr>
                <w:sz w:val="16"/>
              </w:rPr>
            </w:pPr>
            <w:r>
              <w:rPr>
                <w:w w:val="95"/>
                <w:sz w:val="16"/>
              </w:rPr>
              <w:t>1,427</w:t>
            </w:r>
          </w:p>
        </w:tc>
      </w:tr>
      <w:tr>
        <w:trPr>
          <w:trHeight w:val="316" w:hRule="exact"/>
        </w:trPr>
        <w:tc>
          <w:tcPr>
            <w:tcW w:w="2161" w:type="dxa"/>
          </w:tcPr>
          <w:p>
            <w:pPr>
              <w:pStyle w:val="TableParagraph"/>
              <w:spacing w:before="123"/>
              <w:ind w:left="35"/>
              <w:rPr>
                <w:b/>
                <w:sz w:val="16"/>
              </w:rPr>
            </w:pPr>
            <w:r>
              <w:rPr>
                <w:b/>
                <w:sz w:val="16"/>
              </w:rPr>
              <w:t>Total Financial Assets</w:t>
            </w:r>
          </w:p>
        </w:tc>
        <w:tc>
          <w:tcPr>
            <w:tcW w:w="1493" w:type="dxa"/>
            <w:tcBorders>
              <w:top w:val="single" w:sz="0" w:space="0" w:color="000000"/>
              <w:bottom w:val="single" w:sz="0" w:space="0" w:color="000000"/>
            </w:tcBorders>
          </w:tcPr>
          <w:p>
            <w:pPr>
              <w:pStyle w:val="TableParagraph"/>
              <w:spacing w:before="122"/>
              <w:ind w:right="99"/>
              <w:jc w:val="right"/>
              <w:rPr>
                <w:sz w:val="16"/>
              </w:rPr>
            </w:pPr>
            <w:r>
              <w:rPr>
                <w:w w:val="95"/>
                <w:sz w:val="16"/>
              </w:rPr>
              <w:t>142,653</w:t>
            </w:r>
          </w:p>
        </w:tc>
        <w:tc>
          <w:tcPr>
            <w:tcW w:w="1688" w:type="dxa"/>
            <w:tcBorders>
              <w:top w:val="single" w:sz="0" w:space="0" w:color="000000"/>
              <w:bottom w:val="single" w:sz="0" w:space="0" w:color="000000"/>
            </w:tcBorders>
          </w:tcPr>
          <w:p>
            <w:pPr>
              <w:pStyle w:val="TableParagraph"/>
              <w:spacing w:before="122"/>
              <w:ind w:right="259"/>
              <w:jc w:val="right"/>
              <w:rPr>
                <w:sz w:val="16"/>
              </w:rPr>
            </w:pPr>
            <w:r>
              <w:rPr>
                <w:sz w:val="16"/>
              </w:rPr>
              <w:t>(1,427)</w:t>
            </w:r>
          </w:p>
        </w:tc>
        <w:tc>
          <w:tcPr>
            <w:tcW w:w="1286" w:type="dxa"/>
            <w:tcBorders>
              <w:top w:val="single" w:sz="0" w:space="0" w:color="000000"/>
              <w:bottom w:val="single" w:sz="0" w:space="0" w:color="000000"/>
            </w:tcBorders>
          </w:tcPr>
          <w:p>
            <w:pPr>
              <w:pStyle w:val="TableParagraph"/>
              <w:spacing w:before="122"/>
              <w:ind w:right="72"/>
              <w:jc w:val="right"/>
              <w:rPr>
                <w:sz w:val="16"/>
              </w:rPr>
            </w:pPr>
            <w:r>
              <w:rPr>
                <w:sz w:val="16"/>
              </w:rPr>
              <w:t>(1,427)</w:t>
            </w:r>
          </w:p>
        </w:tc>
        <w:tc>
          <w:tcPr>
            <w:tcW w:w="1661" w:type="dxa"/>
            <w:tcBorders>
              <w:top w:val="single" w:sz="0" w:space="0" w:color="000000"/>
              <w:bottom w:val="single" w:sz="0" w:space="0" w:color="000000"/>
            </w:tcBorders>
          </w:tcPr>
          <w:p>
            <w:pPr>
              <w:pStyle w:val="TableParagraph"/>
              <w:spacing w:before="122"/>
              <w:ind w:right="312"/>
              <w:jc w:val="right"/>
              <w:rPr>
                <w:sz w:val="16"/>
              </w:rPr>
            </w:pPr>
            <w:r>
              <w:rPr>
                <w:w w:val="95"/>
                <w:sz w:val="16"/>
              </w:rPr>
              <w:t>1,427</w:t>
            </w:r>
          </w:p>
        </w:tc>
        <w:tc>
          <w:tcPr>
            <w:tcW w:w="1241" w:type="dxa"/>
            <w:tcBorders>
              <w:top w:val="single" w:sz="0" w:space="0" w:color="000000"/>
              <w:bottom w:val="single" w:sz="0" w:space="0" w:color="000000"/>
            </w:tcBorders>
          </w:tcPr>
          <w:p>
            <w:pPr>
              <w:pStyle w:val="TableParagraph"/>
              <w:spacing w:before="122"/>
              <w:ind w:right="79"/>
              <w:jc w:val="right"/>
              <w:rPr>
                <w:sz w:val="16"/>
              </w:rPr>
            </w:pPr>
            <w:r>
              <w:rPr>
                <w:w w:val="95"/>
                <w:sz w:val="16"/>
              </w:rPr>
              <w:t>1,427</w:t>
            </w:r>
          </w:p>
        </w:tc>
      </w:tr>
      <w:tr>
        <w:trPr>
          <w:trHeight w:val="853" w:hRule="exact"/>
        </w:trPr>
        <w:tc>
          <w:tcPr>
            <w:tcW w:w="2161" w:type="dxa"/>
          </w:tcPr>
          <w:p>
            <w:pPr>
              <w:pStyle w:val="TableParagraph"/>
              <w:rPr>
                <w:sz w:val="16"/>
              </w:rPr>
            </w:pPr>
          </w:p>
          <w:p>
            <w:pPr>
              <w:pStyle w:val="TableParagraph"/>
              <w:spacing w:before="5"/>
              <w:rPr>
                <w:sz w:val="20"/>
              </w:rPr>
            </w:pPr>
          </w:p>
          <w:p>
            <w:pPr>
              <w:pStyle w:val="TableParagraph"/>
              <w:ind w:left="35"/>
              <w:rPr>
                <w:b/>
                <w:sz w:val="16"/>
              </w:rPr>
            </w:pPr>
            <w:r>
              <w:rPr>
                <w:b/>
                <w:sz w:val="16"/>
              </w:rPr>
              <w:t>Financial Liabilities</w:t>
            </w:r>
          </w:p>
          <w:p>
            <w:pPr>
              <w:pStyle w:val="TableParagraph"/>
              <w:spacing w:before="29"/>
              <w:ind w:left="35"/>
              <w:rPr>
                <w:sz w:val="16"/>
              </w:rPr>
            </w:pPr>
            <w:r>
              <w:rPr>
                <w:sz w:val="16"/>
              </w:rPr>
              <w:t>Borrowings</w:t>
            </w:r>
          </w:p>
        </w:tc>
        <w:tc>
          <w:tcPr>
            <w:tcW w:w="1493" w:type="dxa"/>
            <w:tcBorders>
              <w:top w:val="single" w:sz="0" w:space="0" w:color="000000"/>
              <w:bottom w:val="single" w:sz="0" w:space="0" w:color="000000"/>
            </w:tcBorders>
          </w:tcPr>
          <w:p>
            <w:pPr>
              <w:pStyle w:val="TableParagraph"/>
              <w:rPr>
                <w:sz w:val="16"/>
              </w:rPr>
            </w:pPr>
          </w:p>
          <w:p>
            <w:pPr>
              <w:pStyle w:val="TableParagraph"/>
              <w:rPr>
                <w:sz w:val="16"/>
              </w:rPr>
            </w:pPr>
          </w:p>
          <w:p>
            <w:pPr>
              <w:pStyle w:val="TableParagraph"/>
              <w:spacing w:before="10"/>
              <w:rPr>
                <w:sz w:val="22"/>
              </w:rPr>
            </w:pPr>
          </w:p>
          <w:p>
            <w:pPr>
              <w:pStyle w:val="TableParagraph"/>
              <w:ind w:right="99"/>
              <w:jc w:val="right"/>
              <w:rPr>
                <w:sz w:val="16"/>
              </w:rPr>
            </w:pPr>
            <w:r>
              <w:rPr>
                <w:w w:val="95"/>
                <w:sz w:val="16"/>
              </w:rPr>
              <w:t>799,365</w:t>
            </w:r>
          </w:p>
        </w:tc>
        <w:tc>
          <w:tcPr>
            <w:tcW w:w="1688" w:type="dxa"/>
            <w:tcBorders>
              <w:top w:val="single" w:sz="0" w:space="0" w:color="000000"/>
              <w:bottom w:val="single" w:sz="0" w:space="0" w:color="000000"/>
            </w:tcBorders>
          </w:tcPr>
          <w:p>
            <w:pPr>
              <w:pStyle w:val="TableParagraph"/>
              <w:rPr>
                <w:sz w:val="16"/>
              </w:rPr>
            </w:pPr>
          </w:p>
          <w:p>
            <w:pPr>
              <w:pStyle w:val="TableParagraph"/>
              <w:rPr>
                <w:sz w:val="16"/>
              </w:rPr>
            </w:pPr>
          </w:p>
          <w:p>
            <w:pPr>
              <w:pStyle w:val="TableParagraph"/>
              <w:spacing w:before="10"/>
              <w:rPr>
                <w:sz w:val="22"/>
              </w:rPr>
            </w:pPr>
          </w:p>
          <w:p>
            <w:pPr>
              <w:pStyle w:val="TableParagraph"/>
              <w:ind w:right="312"/>
              <w:jc w:val="right"/>
              <w:rPr>
                <w:sz w:val="16"/>
              </w:rPr>
            </w:pPr>
            <w:r>
              <w:rPr>
                <w:sz w:val="16"/>
              </w:rPr>
              <w:t>7,994</w:t>
            </w:r>
          </w:p>
        </w:tc>
        <w:tc>
          <w:tcPr>
            <w:tcW w:w="1286" w:type="dxa"/>
            <w:tcBorders>
              <w:top w:val="single" w:sz="0" w:space="0" w:color="000000"/>
              <w:bottom w:val="single" w:sz="0" w:space="0" w:color="000000"/>
            </w:tcBorders>
          </w:tcPr>
          <w:p>
            <w:pPr>
              <w:pStyle w:val="TableParagraph"/>
              <w:rPr>
                <w:sz w:val="16"/>
              </w:rPr>
            </w:pPr>
          </w:p>
          <w:p>
            <w:pPr>
              <w:pStyle w:val="TableParagraph"/>
              <w:rPr>
                <w:sz w:val="16"/>
              </w:rPr>
            </w:pPr>
          </w:p>
          <w:p>
            <w:pPr>
              <w:pStyle w:val="TableParagraph"/>
              <w:spacing w:before="10"/>
              <w:rPr>
                <w:sz w:val="22"/>
              </w:rPr>
            </w:pPr>
          </w:p>
          <w:p>
            <w:pPr>
              <w:pStyle w:val="TableParagraph"/>
              <w:ind w:right="125"/>
              <w:jc w:val="right"/>
              <w:rPr>
                <w:sz w:val="16"/>
              </w:rPr>
            </w:pPr>
            <w:r>
              <w:rPr>
                <w:sz w:val="16"/>
              </w:rPr>
              <w:t>7,994</w:t>
            </w:r>
          </w:p>
        </w:tc>
        <w:tc>
          <w:tcPr>
            <w:tcW w:w="1661" w:type="dxa"/>
            <w:tcBorders>
              <w:top w:val="single" w:sz="0" w:space="0" w:color="000000"/>
              <w:bottom w:val="single" w:sz="0" w:space="0" w:color="000000"/>
            </w:tcBorders>
          </w:tcPr>
          <w:p>
            <w:pPr>
              <w:pStyle w:val="TableParagraph"/>
              <w:rPr>
                <w:sz w:val="16"/>
              </w:rPr>
            </w:pPr>
          </w:p>
          <w:p>
            <w:pPr>
              <w:pStyle w:val="TableParagraph"/>
              <w:rPr>
                <w:sz w:val="16"/>
              </w:rPr>
            </w:pPr>
          </w:p>
          <w:p>
            <w:pPr>
              <w:pStyle w:val="TableParagraph"/>
              <w:spacing w:before="10"/>
              <w:rPr>
                <w:sz w:val="22"/>
              </w:rPr>
            </w:pPr>
          </w:p>
          <w:p>
            <w:pPr>
              <w:pStyle w:val="TableParagraph"/>
              <w:ind w:right="259"/>
              <w:jc w:val="right"/>
              <w:rPr>
                <w:sz w:val="16"/>
              </w:rPr>
            </w:pPr>
            <w:r>
              <w:rPr>
                <w:sz w:val="16"/>
              </w:rPr>
              <w:t>(7,994)</w:t>
            </w:r>
          </w:p>
        </w:tc>
        <w:tc>
          <w:tcPr>
            <w:tcW w:w="1241" w:type="dxa"/>
            <w:tcBorders>
              <w:top w:val="single" w:sz="0" w:space="0" w:color="000000"/>
              <w:bottom w:val="single" w:sz="0" w:space="0" w:color="000000"/>
            </w:tcBorders>
          </w:tcPr>
          <w:p>
            <w:pPr>
              <w:pStyle w:val="TableParagraph"/>
              <w:rPr>
                <w:sz w:val="16"/>
              </w:rPr>
            </w:pPr>
          </w:p>
          <w:p>
            <w:pPr>
              <w:pStyle w:val="TableParagraph"/>
              <w:rPr>
                <w:sz w:val="16"/>
              </w:rPr>
            </w:pPr>
          </w:p>
          <w:p>
            <w:pPr>
              <w:pStyle w:val="TableParagraph"/>
              <w:spacing w:before="10"/>
              <w:rPr>
                <w:sz w:val="22"/>
              </w:rPr>
            </w:pPr>
          </w:p>
          <w:p>
            <w:pPr>
              <w:pStyle w:val="TableParagraph"/>
              <w:ind w:right="26"/>
              <w:jc w:val="right"/>
              <w:rPr>
                <w:sz w:val="16"/>
              </w:rPr>
            </w:pPr>
            <w:r>
              <w:rPr>
                <w:sz w:val="16"/>
              </w:rPr>
              <w:t>(7,994)</w:t>
            </w:r>
          </w:p>
        </w:tc>
      </w:tr>
      <w:tr>
        <w:trPr>
          <w:trHeight w:val="316" w:hRule="exact"/>
        </w:trPr>
        <w:tc>
          <w:tcPr>
            <w:tcW w:w="2161" w:type="dxa"/>
          </w:tcPr>
          <w:p>
            <w:pPr>
              <w:pStyle w:val="TableParagraph"/>
              <w:spacing w:before="123"/>
              <w:ind w:left="35"/>
              <w:rPr>
                <w:b/>
                <w:sz w:val="16"/>
              </w:rPr>
            </w:pPr>
            <w:r>
              <w:rPr>
                <w:b/>
                <w:sz w:val="16"/>
              </w:rPr>
              <w:t>Total Financial Liabilities</w:t>
            </w:r>
          </w:p>
        </w:tc>
        <w:tc>
          <w:tcPr>
            <w:tcW w:w="1493" w:type="dxa"/>
            <w:tcBorders>
              <w:top w:val="single" w:sz="0" w:space="0" w:color="000000"/>
              <w:bottom w:val="single" w:sz="0" w:space="0" w:color="000000"/>
            </w:tcBorders>
          </w:tcPr>
          <w:p>
            <w:pPr>
              <w:pStyle w:val="TableParagraph"/>
              <w:spacing w:before="122"/>
              <w:ind w:right="99"/>
              <w:jc w:val="right"/>
              <w:rPr>
                <w:sz w:val="16"/>
              </w:rPr>
            </w:pPr>
            <w:r>
              <w:rPr>
                <w:w w:val="95"/>
                <w:sz w:val="16"/>
              </w:rPr>
              <w:t>799,365</w:t>
            </w:r>
          </w:p>
        </w:tc>
        <w:tc>
          <w:tcPr>
            <w:tcW w:w="1688" w:type="dxa"/>
            <w:tcBorders>
              <w:top w:val="single" w:sz="0" w:space="0" w:color="000000"/>
              <w:bottom w:val="single" w:sz="0" w:space="0" w:color="000000"/>
            </w:tcBorders>
          </w:tcPr>
          <w:p>
            <w:pPr>
              <w:pStyle w:val="TableParagraph"/>
              <w:spacing w:before="122"/>
              <w:ind w:right="312"/>
              <w:jc w:val="right"/>
              <w:rPr>
                <w:sz w:val="16"/>
              </w:rPr>
            </w:pPr>
            <w:r>
              <w:rPr>
                <w:sz w:val="16"/>
              </w:rPr>
              <w:t>7,994</w:t>
            </w:r>
          </w:p>
        </w:tc>
        <w:tc>
          <w:tcPr>
            <w:tcW w:w="1286" w:type="dxa"/>
            <w:tcBorders>
              <w:top w:val="single" w:sz="0" w:space="0" w:color="000000"/>
              <w:bottom w:val="single" w:sz="0" w:space="0" w:color="000000"/>
            </w:tcBorders>
          </w:tcPr>
          <w:p>
            <w:pPr>
              <w:pStyle w:val="TableParagraph"/>
              <w:spacing w:before="122"/>
              <w:ind w:right="125"/>
              <w:jc w:val="right"/>
              <w:rPr>
                <w:sz w:val="16"/>
              </w:rPr>
            </w:pPr>
            <w:r>
              <w:rPr>
                <w:sz w:val="16"/>
              </w:rPr>
              <w:t>7,994</w:t>
            </w:r>
          </w:p>
        </w:tc>
        <w:tc>
          <w:tcPr>
            <w:tcW w:w="1661" w:type="dxa"/>
            <w:tcBorders>
              <w:top w:val="single" w:sz="0" w:space="0" w:color="000000"/>
              <w:bottom w:val="single" w:sz="0" w:space="0" w:color="000000"/>
            </w:tcBorders>
          </w:tcPr>
          <w:p>
            <w:pPr>
              <w:pStyle w:val="TableParagraph"/>
              <w:spacing w:before="122"/>
              <w:ind w:right="259"/>
              <w:jc w:val="right"/>
              <w:rPr>
                <w:sz w:val="16"/>
              </w:rPr>
            </w:pPr>
            <w:r>
              <w:rPr>
                <w:sz w:val="16"/>
              </w:rPr>
              <w:t>(7,994)</w:t>
            </w:r>
          </w:p>
        </w:tc>
        <w:tc>
          <w:tcPr>
            <w:tcW w:w="1241" w:type="dxa"/>
            <w:tcBorders>
              <w:top w:val="single" w:sz="0" w:space="0" w:color="000000"/>
              <w:bottom w:val="single" w:sz="0" w:space="0" w:color="000000"/>
            </w:tcBorders>
          </w:tcPr>
          <w:p>
            <w:pPr>
              <w:pStyle w:val="TableParagraph"/>
              <w:spacing w:before="122"/>
              <w:ind w:right="26"/>
              <w:jc w:val="right"/>
              <w:rPr>
                <w:sz w:val="16"/>
              </w:rPr>
            </w:pPr>
            <w:r>
              <w:rPr>
                <w:sz w:val="16"/>
              </w:rPr>
              <w:t>(7,994)</w:t>
            </w:r>
          </w:p>
        </w:tc>
      </w:tr>
    </w:tbl>
    <w:p>
      <w:pPr>
        <w:pStyle w:val="BodyText"/>
        <w:rPr>
          <w:sz w:val="20"/>
        </w:rPr>
      </w:pPr>
    </w:p>
    <w:p>
      <w:pPr>
        <w:pStyle w:val="BodyText"/>
        <w:spacing w:before="10"/>
        <w:rPr>
          <w:sz w:val="19"/>
        </w:rPr>
      </w:pPr>
    </w:p>
    <w:tbl>
      <w:tblPr>
        <w:tblW w:w="0" w:type="auto"/>
        <w:jc w:val="left"/>
        <w:tblInd w:w="4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61"/>
        <w:gridCol w:w="1493"/>
        <w:gridCol w:w="1688"/>
        <w:gridCol w:w="1286"/>
        <w:gridCol w:w="1661"/>
        <w:gridCol w:w="1241"/>
      </w:tblGrid>
      <w:tr>
        <w:trPr>
          <w:trHeight w:val="545" w:hRule="exact"/>
        </w:trPr>
        <w:tc>
          <w:tcPr>
            <w:tcW w:w="2161" w:type="dxa"/>
          </w:tcPr>
          <w:p>
            <w:pPr/>
          </w:p>
        </w:tc>
        <w:tc>
          <w:tcPr>
            <w:tcW w:w="1493" w:type="dxa"/>
          </w:tcPr>
          <w:p>
            <w:pPr>
              <w:pStyle w:val="TableParagraph"/>
              <w:rPr>
                <w:sz w:val="16"/>
              </w:rPr>
            </w:pPr>
          </w:p>
          <w:p>
            <w:pPr>
              <w:pStyle w:val="TableParagraph"/>
              <w:spacing w:before="8"/>
              <w:rPr>
                <w:sz w:val="12"/>
              </w:rPr>
            </w:pPr>
          </w:p>
          <w:p>
            <w:pPr>
              <w:pStyle w:val="TableParagraph"/>
              <w:ind w:right="114"/>
              <w:jc w:val="right"/>
              <w:rPr>
                <w:b/>
                <w:sz w:val="16"/>
              </w:rPr>
            </w:pPr>
            <w:r>
              <w:rPr>
                <w:b/>
                <w:sz w:val="16"/>
              </w:rPr>
              <w:t>Carrying amount</w:t>
            </w:r>
          </w:p>
        </w:tc>
        <w:tc>
          <w:tcPr>
            <w:tcW w:w="1688" w:type="dxa"/>
          </w:tcPr>
          <w:p>
            <w:pPr>
              <w:pStyle w:val="TableParagraph"/>
              <w:spacing w:before="79"/>
              <w:ind w:left="80" w:right="327"/>
              <w:jc w:val="center"/>
              <w:rPr>
                <w:b/>
                <w:sz w:val="16"/>
              </w:rPr>
            </w:pPr>
            <w:r>
              <w:rPr>
                <w:b/>
                <w:sz w:val="16"/>
              </w:rPr>
              <w:t>-1%</w:t>
            </w:r>
          </w:p>
          <w:p>
            <w:pPr>
              <w:pStyle w:val="TableParagraph"/>
              <w:spacing w:before="67"/>
              <w:ind w:left="80" w:right="331"/>
              <w:jc w:val="center"/>
              <w:rPr>
                <w:b/>
                <w:sz w:val="16"/>
              </w:rPr>
            </w:pPr>
            <w:r>
              <w:rPr>
                <w:b/>
                <w:sz w:val="16"/>
              </w:rPr>
              <w:t>Surplus/(Deficit)</w:t>
            </w:r>
          </w:p>
        </w:tc>
        <w:tc>
          <w:tcPr>
            <w:tcW w:w="1286" w:type="dxa"/>
          </w:tcPr>
          <w:p>
            <w:pPr>
              <w:pStyle w:val="TableParagraph"/>
              <w:spacing w:before="79"/>
              <w:ind w:left="242" w:right="515"/>
              <w:jc w:val="center"/>
              <w:rPr>
                <w:b/>
                <w:sz w:val="16"/>
              </w:rPr>
            </w:pPr>
            <w:r>
              <w:rPr>
                <w:b/>
                <w:sz w:val="16"/>
              </w:rPr>
              <w:t>-1%</w:t>
            </w:r>
          </w:p>
          <w:p>
            <w:pPr>
              <w:pStyle w:val="TableParagraph"/>
              <w:spacing w:before="67"/>
              <w:ind w:left="242" w:right="515"/>
              <w:jc w:val="center"/>
              <w:rPr>
                <w:b/>
                <w:sz w:val="16"/>
              </w:rPr>
            </w:pPr>
            <w:r>
              <w:rPr>
                <w:b/>
                <w:sz w:val="16"/>
              </w:rPr>
              <w:t>Equity</w:t>
            </w:r>
          </w:p>
        </w:tc>
        <w:tc>
          <w:tcPr>
            <w:tcW w:w="1661" w:type="dxa"/>
          </w:tcPr>
          <w:p>
            <w:pPr>
              <w:pStyle w:val="TableParagraph"/>
              <w:spacing w:before="79"/>
              <w:ind w:left="54" w:right="328"/>
              <w:jc w:val="center"/>
              <w:rPr>
                <w:b/>
                <w:sz w:val="16"/>
              </w:rPr>
            </w:pPr>
            <w:r>
              <w:rPr>
                <w:b/>
                <w:sz w:val="16"/>
              </w:rPr>
              <w:t>+1%</w:t>
            </w:r>
          </w:p>
          <w:p>
            <w:pPr>
              <w:pStyle w:val="TableParagraph"/>
              <w:spacing w:before="67"/>
              <w:ind w:left="54" w:right="331"/>
              <w:jc w:val="center"/>
              <w:rPr>
                <w:b/>
                <w:sz w:val="16"/>
              </w:rPr>
            </w:pPr>
            <w:r>
              <w:rPr>
                <w:b/>
                <w:sz w:val="16"/>
              </w:rPr>
              <w:t>Surplus/(Deficit)</w:t>
            </w:r>
          </w:p>
        </w:tc>
        <w:tc>
          <w:tcPr>
            <w:tcW w:w="1241" w:type="dxa"/>
          </w:tcPr>
          <w:p>
            <w:pPr>
              <w:pStyle w:val="TableParagraph"/>
              <w:spacing w:before="79"/>
              <w:ind w:left="343"/>
              <w:rPr>
                <w:b/>
                <w:sz w:val="16"/>
              </w:rPr>
            </w:pPr>
            <w:r>
              <w:rPr>
                <w:b/>
                <w:sz w:val="16"/>
              </w:rPr>
              <w:t>+1%</w:t>
            </w:r>
          </w:p>
          <w:p>
            <w:pPr>
              <w:pStyle w:val="TableParagraph"/>
              <w:spacing w:before="67"/>
              <w:ind w:left="261"/>
              <w:rPr>
                <w:b/>
                <w:sz w:val="16"/>
              </w:rPr>
            </w:pPr>
            <w:r>
              <w:rPr>
                <w:b/>
                <w:sz w:val="16"/>
              </w:rPr>
              <w:t>Equity</w:t>
            </w:r>
          </w:p>
        </w:tc>
      </w:tr>
      <w:tr>
        <w:trPr>
          <w:trHeight w:val="280" w:hRule="exact"/>
        </w:trPr>
        <w:tc>
          <w:tcPr>
            <w:tcW w:w="2161" w:type="dxa"/>
          </w:tcPr>
          <w:p>
            <w:pPr>
              <w:pStyle w:val="TableParagraph"/>
              <w:spacing w:before="13"/>
              <w:ind w:left="35"/>
              <w:rPr>
                <w:b/>
                <w:sz w:val="16"/>
              </w:rPr>
            </w:pPr>
            <w:r>
              <w:rPr>
                <w:b/>
                <w:sz w:val="16"/>
              </w:rPr>
              <w:t>31 December 2016</w:t>
            </w:r>
          </w:p>
        </w:tc>
        <w:tc>
          <w:tcPr>
            <w:tcW w:w="1493" w:type="dxa"/>
          </w:tcPr>
          <w:p>
            <w:pPr>
              <w:pStyle w:val="TableParagraph"/>
              <w:spacing w:before="37"/>
              <w:ind w:right="18"/>
              <w:jc w:val="center"/>
              <w:rPr>
                <w:b/>
                <w:sz w:val="14"/>
              </w:rPr>
            </w:pPr>
            <w:r>
              <w:rPr>
                <w:b/>
                <w:w w:val="100"/>
                <w:sz w:val="14"/>
              </w:rPr>
              <w:t>$</w:t>
            </w:r>
          </w:p>
        </w:tc>
        <w:tc>
          <w:tcPr>
            <w:tcW w:w="1688" w:type="dxa"/>
          </w:tcPr>
          <w:p>
            <w:pPr>
              <w:pStyle w:val="TableParagraph"/>
              <w:spacing w:before="37"/>
              <w:ind w:right="251"/>
              <w:jc w:val="center"/>
              <w:rPr>
                <w:b/>
                <w:sz w:val="14"/>
              </w:rPr>
            </w:pPr>
            <w:r>
              <w:rPr>
                <w:b/>
                <w:w w:val="100"/>
                <w:sz w:val="14"/>
              </w:rPr>
              <w:t>$</w:t>
            </w:r>
          </w:p>
        </w:tc>
        <w:tc>
          <w:tcPr>
            <w:tcW w:w="1286" w:type="dxa"/>
          </w:tcPr>
          <w:p>
            <w:pPr>
              <w:pStyle w:val="TableParagraph"/>
              <w:spacing w:before="37"/>
              <w:ind w:right="277"/>
              <w:jc w:val="center"/>
              <w:rPr>
                <w:b/>
                <w:sz w:val="14"/>
              </w:rPr>
            </w:pPr>
            <w:r>
              <w:rPr>
                <w:b/>
                <w:w w:val="100"/>
                <w:sz w:val="14"/>
              </w:rPr>
              <w:t>$</w:t>
            </w:r>
          </w:p>
        </w:tc>
        <w:tc>
          <w:tcPr>
            <w:tcW w:w="1661" w:type="dxa"/>
          </w:tcPr>
          <w:p>
            <w:pPr>
              <w:pStyle w:val="TableParagraph"/>
              <w:spacing w:before="37"/>
              <w:ind w:right="277"/>
              <w:jc w:val="center"/>
              <w:rPr>
                <w:b/>
                <w:sz w:val="14"/>
              </w:rPr>
            </w:pPr>
            <w:r>
              <w:rPr>
                <w:b/>
                <w:w w:val="100"/>
                <w:sz w:val="14"/>
              </w:rPr>
              <w:t>$</w:t>
            </w:r>
          </w:p>
        </w:tc>
        <w:tc>
          <w:tcPr>
            <w:tcW w:w="1241" w:type="dxa"/>
          </w:tcPr>
          <w:p>
            <w:pPr>
              <w:pStyle w:val="TableParagraph"/>
              <w:spacing w:before="37"/>
              <w:ind w:right="232"/>
              <w:jc w:val="center"/>
              <w:rPr>
                <w:b/>
                <w:sz w:val="14"/>
              </w:rPr>
            </w:pPr>
            <w:r>
              <w:rPr>
                <w:b/>
                <w:w w:val="100"/>
                <w:sz w:val="14"/>
              </w:rPr>
              <w:t>$</w:t>
            </w:r>
          </w:p>
        </w:tc>
      </w:tr>
      <w:tr>
        <w:trPr>
          <w:trHeight w:val="498" w:hRule="exact"/>
        </w:trPr>
        <w:tc>
          <w:tcPr>
            <w:tcW w:w="2161" w:type="dxa"/>
          </w:tcPr>
          <w:p>
            <w:pPr>
              <w:pStyle w:val="TableParagraph"/>
              <w:spacing w:before="64"/>
              <w:ind w:left="35"/>
              <w:rPr>
                <w:b/>
                <w:sz w:val="16"/>
              </w:rPr>
            </w:pPr>
            <w:r>
              <w:rPr>
                <w:b/>
                <w:sz w:val="16"/>
              </w:rPr>
              <w:t>Financial Assets</w:t>
            </w:r>
          </w:p>
          <w:p>
            <w:pPr>
              <w:pStyle w:val="TableParagraph"/>
              <w:spacing w:before="29"/>
              <w:ind w:left="35"/>
              <w:rPr>
                <w:sz w:val="16"/>
              </w:rPr>
            </w:pPr>
            <w:r>
              <w:rPr>
                <w:sz w:val="16"/>
              </w:rPr>
              <w:t>Cash and cash equivalents</w:t>
            </w:r>
          </w:p>
        </w:tc>
        <w:tc>
          <w:tcPr>
            <w:tcW w:w="1493" w:type="dxa"/>
            <w:tcBorders>
              <w:bottom w:val="single" w:sz="0" w:space="0" w:color="000000"/>
            </w:tcBorders>
          </w:tcPr>
          <w:p>
            <w:pPr>
              <w:pStyle w:val="TableParagraph"/>
              <w:rPr>
                <w:sz w:val="16"/>
              </w:rPr>
            </w:pPr>
          </w:p>
          <w:p>
            <w:pPr>
              <w:pStyle w:val="TableParagraph"/>
              <w:spacing w:before="92"/>
              <w:ind w:right="99"/>
              <w:jc w:val="right"/>
              <w:rPr>
                <w:sz w:val="16"/>
              </w:rPr>
            </w:pPr>
            <w:r>
              <w:rPr>
                <w:w w:val="95"/>
                <w:sz w:val="16"/>
              </w:rPr>
              <w:t>496,008</w:t>
            </w:r>
          </w:p>
        </w:tc>
        <w:tc>
          <w:tcPr>
            <w:tcW w:w="1688" w:type="dxa"/>
            <w:tcBorders>
              <w:bottom w:val="single" w:sz="0" w:space="0" w:color="000000"/>
            </w:tcBorders>
          </w:tcPr>
          <w:p>
            <w:pPr>
              <w:pStyle w:val="TableParagraph"/>
              <w:rPr>
                <w:sz w:val="16"/>
              </w:rPr>
            </w:pPr>
          </w:p>
          <w:p>
            <w:pPr>
              <w:pStyle w:val="TableParagraph"/>
              <w:spacing w:before="92"/>
              <w:ind w:right="259"/>
              <w:jc w:val="right"/>
              <w:rPr>
                <w:sz w:val="16"/>
              </w:rPr>
            </w:pPr>
            <w:r>
              <w:rPr>
                <w:sz w:val="16"/>
              </w:rPr>
              <w:t>(4,960)</w:t>
            </w:r>
          </w:p>
        </w:tc>
        <w:tc>
          <w:tcPr>
            <w:tcW w:w="1286" w:type="dxa"/>
            <w:tcBorders>
              <w:bottom w:val="single" w:sz="0" w:space="0" w:color="000000"/>
            </w:tcBorders>
          </w:tcPr>
          <w:p>
            <w:pPr>
              <w:pStyle w:val="TableParagraph"/>
              <w:rPr>
                <w:sz w:val="16"/>
              </w:rPr>
            </w:pPr>
          </w:p>
          <w:p>
            <w:pPr>
              <w:pStyle w:val="TableParagraph"/>
              <w:spacing w:before="92"/>
              <w:ind w:right="72"/>
              <w:jc w:val="right"/>
              <w:rPr>
                <w:sz w:val="16"/>
              </w:rPr>
            </w:pPr>
            <w:r>
              <w:rPr>
                <w:sz w:val="16"/>
              </w:rPr>
              <w:t>(4,960)</w:t>
            </w:r>
          </w:p>
        </w:tc>
        <w:tc>
          <w:tcPr>
            <w:tcW w:w="1661" w:type="dxa"/>
            <w:tcBorders>
              <w:bottom w:val="single" w:sz="0" w:space="0" w:color="000000"/>
            </w:tcBorders>
          </w:tcPr>
          <w:p>
            <w:pPr>
              <w:pStyle w:val="TableParagraph"/>
              <w:rPr>
                <w:sz w:val="16"/>
              </w:rPr>
            </w:pPr>
          </w:p>
          <w:p>
            <w:pPr>
              <w:pStyle w:val="TableParagraph"/>
              <w:spacing w:before="92"/>
              <w:ind w:right="312"/>
              <w:jc w:val="right"/>
              <w:rPr>
                <w:sz w:val="16"/>
              </w:rPr>
            </w:pPr>
            <w:r>
              <w:rPr>
                <w:w w:val="95"/>
                <w:sz w:val="16"/>
              </w:rPr>
              <w:t>4,960</w:t>
            </w:r>
          </w:p>
        </w:tc>
        <w:tc>
          <w:tcPr>
            <w:tcW w:w="1241" w:type="dxa"/>
            <w:tcBorders>
              <w:bottom w:val="single" w:sz="0" w:space="0" w:color="000000"/>
            </w:tcBorders>
          </w:tcPr>
          <w:p>
            <w:pPr>
              <w:pStyle w:val="TableParagraph"/>
              <w:rPr>
                <w:sz w:val="16"/>
              </w:rPr>
            </w:pPr>
          </w:p>
          <w:p>
            <w:pPr>
              <w:pStyle w:val="TableParagraph"/>
              <w:spacing w:before="92"/>
              <w:ind w:right="79"/>
              <w:jc w:val="right"/>
              <w:rPr>
                <w:sz w:val="16"/>
              </w:rPr>
            </w:pPr>
            <w:r>
              <w:rPr>
                <w:w w:val="95"/>
                <w:sz w:val="16"/>
              </w:rPr>
              <w:t>4,960</w:t>
            </w:r>
          </w:p>
        </w:tc>
      </w:tr>
      <w:tr>
        <w:trPr>
          <w:trHeight w:val="316" w:hRule="exact"/>
        </w:trPr>
        <w:tc>
          <w:tcPr>
            <w:tcW w:w="2161" w:type="dxa"/>
          </w:tcPr>
          <w:p>
            <w:pPr>
              <w:pStyle w:val="TableParagraph"/>
              <w:spacing w:before="123"/>
              <w:ind w:left="35"/>
              <w:rPr>
                <w:b/>
                <w:sz w:val="16"/>
              </w:rPr>
            </w:pPr>
            <w:r>
              <w:rPr>
                <w:b/>
                <w:sz w:val="16"/>
              </w:rPr>
              <w:t>Total Financial Assets</w:t>
            </w:r>
          </w:p>
        </w:tc>
        <w:tc>
          <w:tcPr>
            <w:tcW w:w="1493" w:type="dxa"/>
            <w:tcBorders>
              <w:top w:val="single" w:sz="0" w:space="0" w:color="000000"/>
              <w:bottom w:val="single" w:sz="0" w:space="0" w:color="000000"/>
            </w:tcBorders>
          </w:tcPr>
          <w:p>
            <w:pPr>
              <w:pStyle w:val="TableParagraph"/>
              <w:spacing w:before="122"/>
              <w:ind w:right="99"/>
              <w:jc w:val="right"/>
              <w:rPr>
                <w:sz w:val="16"/>
              </w:rPr>
            </w:pPr>
            <w:r>
              <w:rPr>
                <w:w w:val="95"/>
                <w:sz w:val="16"/>
              </w:rPr>
              <w:t>496,008</w:t>
            </w:r>
          </w:p>
        </w:tc>
        <w:tc>
          <w:tcPr>
            <w:tcW w:w="1688" w:type="dxa"/>
            <w:tcBorders>
              <w:top w:val="single" w:sz="0" w:space="0" w:color="000000"/>
              <w:bottom w:val="single" w:sz="0" w:space="0" w:color="000000"/>
            </w:tcBorders>
          </w:tcPr>
          <w:p>
            <w:pPr>
              <w:pStyle w:val="TableParagraph"/>
              <w:spacing w:before="122"/>
              <w:ind w:right="259"/>
              <w:jc w:val="right"/>
              <w:rPr>
                <w:sz w:val="16"/>
              </w:rPr>
            </w:pPr>
            <w:r>
              <w:rPr>
                <w:sz w:val="16"/>
              </w:rPr>
              <w:t>(4,960)</w:t>
            </w:r>
          </w:p>
        </w:tc>
        <w:tc>
          <w:tcPr>
            <w:tcW w:w="1286" w:type="dxa"/>
            <w:tcBorders>
              <w:top w:val="single" w:sz="0" w:space="0" w:color="000000"/>
              <w:bottom w:val="single" w:sz="0" w:space="0" w:color="000000"/>
            </w:tcBorders>
          </w:tcPr>
          <w:p>
            <w:pPr>
              <w:pStyle w:val="TableParagraph"/>
              <w:spacing w:before="122"/>
              <w:ind w:right="72"/>
              <w:jc w:val="right"/>
              <w:rPr>
                <w:sz w:val="16"/>
              </w:rPr>
            </w:pPr>
            <w:r>
              <w:rPr>
                <w:sz w:val="16"/>
              </w:rPr>
              <w:t>(4,960)</w:t>
            </w:r>
          </w:p>
        </w:tc>
        <w:tc>
          <w:tcPr>
            <w:tcW w:w="1661" w:type="dxa"/>
            <w:tcBorders>
              <w:top w:val="single" w:sz="0" w:space="0" w:color="000000"/>
              <w:bottom w:val="single" w:sz="0" w:space="0" w:color="000000"/>
            </w:tcBorders>
          </w:tcPr>
          <w:p>
            <w:pPr>
              <w:pStyle w:val="TableParagraph"/>
              <w:spacing w:before="122"/>
              <w:ind w:right="312"/>
              <w:jc w:val="right"/>
              <w:rPr>
                <w:sz w:val="16"/>
              </w:rPr>
            </w:pPr>
            <w:r>
              <w:rPr>
                <w:w w:val="95"/>
                <w:sz w:val="16"/>
              </w:rPr>
              <w:t>4,960</w:t>
            </w:r>
          </w:p>
        </w:tc>
        <w:tc>
          <w:tcPr>
            <w:tcW w:w="1241" w:type="dxa"/>
            <w:tcBorders>
              <w:top w:val="single" w:sz="0" w:space="0" w:color="000000"/>
              <w:bottom w:val="single" w:sz="0" w:space="0" w:color="000000"/>
            </w:tcBorders>
          </w:tcPr>
          <w:p>
            <w:pPr>
              <w:pStyle w:val="TableParagraph"/>
              <w:spacing w:before="122"/>
              <w:ind w:right="79"/>
              <w:jc w:val="right"/>
              <w:rPr>
                <w:sz w:val="16"/>
              </w:rPr>
            </w:pPr>
            <w:r>
              <w:rPr>
                <w:w w:val="95"/>
                <w:sz w:val="16"/>
              </w:rPr>
              <w:t>4,960</w:t>
            </w:r>
          </w:p>
        </w:tc>
      </w:tr>
      <w:tr>
        <w:trPr>
          <w:trHeight w:val="557" w:hRule="exact"/>
        </w:trPr>
        <w:tc>
          <w:tcPr>
            <w:tcW w:w="2161" w:type="dxa"/>
          </w:tcPr>
          <w:p>
            <w:pPr>
              <w:pStyle w:val="TableParagraph"/>
              <w:spacing w:before="123"/>
              <w:ind w:left="35"/>
              <w:rPr>
                <w:b/>
                <w:sz w:val="16"/>
              </w:rPr>
            </w:pPr>
            <w:r>
              <w:rPr>
                <w:b/>
                <w:sz w:val="16"/>
              </w:rPr>
              <w:t>Financial Liabilities</w:t>
            </w:r>
          </w:p>
          <w:p>
            <w:pPr>
              <w:pStyle w:val="TableParagraph"/>
              <w:spacing w:before="29"/>
              <w:ind w:left="35"/>
              <w:rPr>
                <w:sz w:val="16"/>
              </w:rPr>
            </w:pPr>
            <w:r>
              <w:rPr>
                <w:sz w:val="16"/>
              </w:rPr>
              <w:t>Borrowings</w:t>
            </w:r>
          </w:p>
        </w:tc>
        <w:tc>
          <w:tcPr>
            <w:tcW w:w="1493" w:type="dxa"/>
            <w:tcBorders>
              <w:top w:val="single" w:sz="0" w:space="0" w:color="000000"/>
              <w:bottom w:val="single" w:sz="0" w:space="0" w:color="000000"/>
            </w:tcBorders>
          </w:tcPr>
          <w:p>
            <w:pPr>
              <w:pStyle w:val="TableParagraph"/>
              <w:rPr>
                <w:sz w:val="16"/>
              </w:rPr>
            </w:pPr>
          </w:p>
          <w:p>
            <w:pPr>
              <w:pStyle w:val="TableParagraph"/>
              <w:spacing w:before="1"/>
              <w:rPr>
                <w:sz w:val="13"/>
              </w:rPr>
            </w:pPr>
          </w:p>
          <w:p>
            <w:pPr>
              <w:pStyle w:val="TableParagraph"/>
              <w:ind w:right="99"/>
              <w:jc w:val="right"/>
              <w:rPr>
                <w:sz w:val="16"/>
              </w:rPr>
            </w:pPr>
            <w:r>
              <w:rPr>
                <w:w w:val="95"/>
                <w:sz w:val="16"/>
              </w:rPr>
              <w:t>5,618,407</w:t>
            </w:r>
          </w:p>
        </w:tc>
        <w:tc>
          <w:tcPr>
            <w:tcW w:w="1688" w:type="dxa"/>
            <w:tcBorders>
              <w:top w:val="single" w:sz="0" w:space="0" w:color="000000"/>
              <w:bottom w:val="single" w:sz="0" w:space="0" w:color="000000"/>
            </w:tcBorders>
          </w:tcPr>
          <w:p>
            <w:pPr>
              <w:pStyle w:val="TableParagraph"/>
              <w:rPr>
                <w:sz w:val="16"/>
              </w:rPr>
            </w:pPr>
          </w:p>
          <w:p>
            <w:pPr>
              <w:pStyle w:val="TableParagraph"/>
              <w:spacing w:before="1"/>
              <w:rPr>
                <w:sz w:val="13"/>
              </w:rPr>
            </w:pPr>
          </w:p>
          <w:p>
            <w:pPr>
              <w:pStyle w:val="TableParagraph"/>
              <w:ind w:right="312"/>
              <w:jc w:val="right"/>
              <w:rPr>
                <w:sz w:val="16"/>
              </w:rPr>
            </w:pPr>
            <w:r>
              <w:rPr>
                <w:w w:val="95"/>
                <w:sz w:val="16"/>
              </w:rPr>
              <w:t>56,184</w:t>
            </w:r>
          </w:p>
        </w:tc>
        <w:tc>
          <w:tcPr>
            <w:tcW w:w="1286" w:type="dxa"/>
            <w:tcBorders>
              <w:top w:val="single" w:sz="0" w:space="0" w:color="000000"/>
              <w:bottom w:val="single" w:sz="0" w:space="0" w:color="000000"/>
            </w:tcBorders>
          </w:tcPr>
          <w:p>
            <w:pPr>
              <w:pStyle w:val="TableParagraph"/>
              <w:rPr>
                <w:sz w:val="16"/>
              </w:rPr>
            </w:pPr>
          </w:p>
          <w:p>
            <w:pPr>
              <w:pStyle w:val="TableParagraph"/>
              <w:spacing w:before="1"/>
              <w:rPr>
                <w:sz w:val="13"/>
              </w:rPr>
            </w:pPr>
          </w:p>
          <w:p>
            <w:pPr>
              <w:pStyle w:val="TableParagraph"/>
              <w:ind w:right="125"/>
              <w:jc w:val="right"/>
              <w:rPr>
                <w:sz w:val="16"/>
              </w:rPr>
            </w:pPr>
            <w:r>
              <w:rPr>
                <w:w w:val="95"/>
                <w:sz w:val="16"/>
              </w:rPr>
              <w:t>56,184</w:t>
            </w:r>
          </w:p>
        </w:tc>
        <w:tc>
          <w:tcPr>
            <w:tcW w:w="1661" w:type="dxa"/>
            <w:tcBorders>
              <w:top w:val="single" w:sz="0" w:space="0" w:color="000000"/>
              <w:bottom w:val="single" w:sz="0" w:space="0" w:color="000000"/>
            </w:tcBorders>
          </w:tcPr>
          <w:p>
            <w:pPr>
              <w:pStyle w:val="TableParagraph"/>
              <w:rPr>
                <w:sz w:val="16"/>
              </w:rPr>
            </w:pPr>
          </w:p>
          <w:p>
            <w:pPr>
              <w:pStyle w:val="TableParagraph"/>
              <w:spacing w:before="1"/>
              <w:rPr>
                <w:sz w:val="13"/>
              </w:rPr>
            </w:pPr>
          </w:p>
          <w:p>
            <w:pPr>
              <w:pStyle w:val="TableParagraph"/>
              <w:ind w:right="259"/>
              <w:jc w:val="right"/>
              <w:rPr>
                <w:sz w:val="16"/>
              </w:rPr>
            </w:pPr>
            <w:r>
              <w:rPr>
                <w:sz w:val="16"/>
              </w:rPr>
              <w:t>(56,184)</w:t>
            </w:r>
          </w:p>
        </w:tc>
        <w:tc>
          <w:tcPr>
            <w:tcW w:w="1241" w:type="dxa"/>
            <w:tcBorders>
              <w:top w:val="single" w:sz="0" w:space="0" w:color="000000"/>
              <w:bottom w:val="single" w:sz="0" w:space="0" w:color="000000"/>
            </w:tcBorders>
          </w:tcPr>
          <w:p>
            <w:pPr>
              <w:pStyle w:val="TableParagraph"/>
              <w:rPr>
                <w:sz w:val="16"/>
              </w:rPr>
            </w:pPr>
          </w:p>
          <w:p>
            <w:pPr>
              <w:pStyle w:val="TableParagraph"/>
              <w:spacing w:before="1"/>
              <w:rPr>
                <w:sz w:val="13"/>
              </w:rPr>
            </w:pPr>
          </w:p>
          <w:p>
            <w:pPr>
              <w:pStyle w:val="TableParagraph"/>
              <w:ind w:right="26"/>
              <w:jc w:val="right"/>
              <w:rPr>
                <w:sz w:val="16"/>
              </w:rPr>
            </w:pPr>
            <w:r>
              <w:rPr>
                <w:sz w:val="16"/>
              </w:rPr>
              <w:t>(56,184)</w:t>
            </w:r>
          </w:p>
        </w:tc>
      </w:tr>
      <w:tr>
        <w:trPr>
          <w:trHeight w:val="316" w:hRule="exact"/>
        </w:trPr>
        <w:tc>
          <w:tcPr>
            <w:tcW w:w="2161" w:type="dxa"/>
          </w:tcPr>
          <w:p>
            <w:pPr>
              <w:pStyle w:val="TableParagraph"/>
              <w:spacing w:before="123"/>
              <w:ind w:left="35"/>
              <w:rPr>
                <w:b/>
                <w:sz w:val="16"/>
              </w:rPr>
            </w:pPr>
            <w:r>
              <w:rPr>
                <w:b/>
                <w:sz w:val="16"/>
              </w:rPr>
              <w:t>Total Financial Liabilities</w:t>
            </w:r>
          </w:p>
        </w:tc>
        <w:tc>
          <w:tcPr>
            <w:tcW w:w="1493" w:type="dxa"/>
            <w:tcBorders>
              <w:top w:val="single" w:sz="0" w:space="0" w:color="000000"/>
              <w:bottom w:val="single" w:sz="0" w:space="0" w:color="000000"/>
            </w:tcBorders>
          </w:tcPr>
          <w:p>
            <w:pPr>
              <w:pStyle w:val="TableParagraph"/>
              <w:spacing w:before="122"/>
              <w:ind w:right="99"/>
              <w:jc w:val="right"/>
              <w:rPr>
                <w:sz w:val="16"/>
              </w:rPr>
            </w:pPr>
            <w:r>
              <w:rPr>
                <w:w w:val="95"/>
                <w:sz w:val="16"/>
              </w:rPr>
              <w:t>5,618,407</w:t>
            </w:r>
          </w:p>
        </w:tc>
        <w:tc>
          <w:tcPr>
            <w:tcW w:w="1688" w:type="dxa"/>
            <w:tcBorders>
              <w:top w:val="single" w:sz="0" w:space="0" w:color="000000"/>
              <w:bottom w:val="single" w:sz="0" w:space="0" w:color="000000"/>
            </w:tcBorders>
          </w:tcPr>
          <w:p>
            <w:pPr>
              <w:pStyle w:val="TableParagraph"/>
              <w:spacing w:before="122"/>
              <w:ind w:right="312"/>
              <w:jc w:val="right"/>
              <w:rPr>
                <w:sz w:val="16"/>
              </w:rPr>
            </w:pPr>
            <w:r>
              <w:rPr>
                <w:w w:val="95"/>
                <w:sz w:val="16"/>
              </w:rPr>
              <w:t>56,184</w:t>
            </w:r>
          </w:p>
        </w:tc>
        <w:tc>
          <w:tcPr>
            <w:tcW w:w="1286" w:type="dxa"/>
            <w:tcBorders>
              <w:top w:val="single" w:sz="0" w:space="0" w:color="000000"/>
              <w:bottom w:val="single" w:sz="0" w:space="0" w:color="000000"/>
            </w:tcBorders>
          </w:tcPr>
          <w:p>
            <w:pPr>
              <w:pStyle w:val="TableParagraph"/>
              <w:spacing w:before="122"/>
              <w:ind w:right="125"/>
              <w:jc w:val="right"/>
              <w:rPr>
                <w:sz w:val="16"/>
              </w:rPr>
            </w:pPr>
            <w:r>
              <w:rPr>
                <w:w w:val="95"/>
                <w:sz w:val="16"/>
              </w:rPr>
              <w:t>56,184</w:t>
            </w:r>
          </w:p>
        </w:tc>
        <w:tc>
          <w:tcPr>
            <w:tcW w:w="1661" w:type="dxa"/>
            <w:tcBorders>
              <w:top w:val="single" w:sz="0" w:space="0" w:color="000000"/>
              <w:bottom w:val="single" w:sz="0" w:space="0" w:color="000000"/>
            </w:tcBorders>
          </w:tcPr>
          <w:p>
            <w:pPr>
              <w:pStyle w:val="TableParagraph"/>
              <w:spacing w:before="122"/>
              <w:ind w:right="259"/>
              <w:jc w:val="right"/>
              <w:rPr>
                <w:sz w:val="16"/>
              </w:rPr>
            </w:pPr>
            <w:r>
              <w:rPr>
                <w:sz w:val="16"/>
              </w:rPr>
              <w:t>(56,184)</w:t>
            </w:r>
          </w:p>
        </w:tc>
        <w:tc>
          <w:tcPr>
            <w:tcW w:w="1241" w:type="dxa"/>
            <w:tcBorders>
              <w:top w:val="single" w:sz="0" w:space="0" w:color="000000"/>
              <w:bottom w:val="single" w:sz="0" w:space="0" w:color="000000"/>
            </w:tcBorders>
          </w:tcPr>
          <w:p>
            <w:pPr>
              <w:pStyle w:val="TableParagraph"/>
              <w:spacing w:before="122"/>
              <w:ind w:right="26"/>
              <w:jc w:val="right"/>
              <w:rPr>
                <w:sz w:val="16"/>
              </w:rPr>
            </w:pPr>
            <w:r>
              <w:rPr>
                <w:sz w:val="16"/>
              </w:rPr>
              <w:t>(56,184)</w:t>
            </w:r>
          </w:p>
        </w:tc>
      </w:tr>
    </w:tbl>
    <w:p>
      <w:pPr>
        <w:pStyle w:val="BodyText"/>
        <w:spacing w:before="10"/>
        <w:rPr>
          <w:sz w:val="20"/>
        </w:rPr>
      </w:pPr>
    </w:p>
    <w:p>
      <w:pPr>
        <w:pStyle w:val="Heading9"/>
        <w:numPr>
          <w:ilvl w:val="0"/>
          <w:numId w:val="63"/>
        </w:numPr>
        <w:tabs>
          <w:tab w:pos="1072" w:val="left" w:leader="none"/>
        </w:tabs>
        <w:spacing w:line="240" w:lineRule="auto" w:before="77" w:after="0"/>
        <w:ind w:left="1071" w:right="0" w:hanging="566"/>
        <w:jc w:val="left"/>
      </w:pPr>
      <w:r>
        <w:rPr/>
        <w:t>Credit</w:t>
      </w:r>
      <w:r>
        <w:rPr>
          <w:spacing w:val="-2"/>
        </w:rPr>
        <w:t> </w:t>
      </w:r>
      <w:r>
        <w:rPr/>
        <w:t>risk</w:t>
      </w:r>
    </w:p>
    <w:p>
      <w:pPr>
        <w:pStyle w:val="BodyText"/>
        <w:spacing w:before="4"/>
        <w:rPr>
          <w:b/>
          <w:sz w:val="25"/>
        </w:rPr>
      </w:pPr>
    </w:p>
    <w:p>
      <w:pPr>
        <w:pStyle w:val="BodyText"/>
        <w:ind w:left="505" w:right="159"/>
      </w:pPr>
      <w:r>
        <w:rPr/>
        <w:t>The credit risk on financial assets of the Company which have been recognised on the statement of financial position is generally the carrying amount, net of provision for loss. Credit risk arises where there is a possibility of the Company's debtors defaulting on their contractual obligation, resulting in financial loss to the Company. The Company does not have any significant exposure to any unrelated customer.</w:t>
      </w:r>
    </w:p>
    <w:p>
      <w:pPr>
        <w:spacing w:after="0"/>
        <w:sectPr>
          <w:pgSz w:w="11910" w:h="16840"/>
          <w:pgMar w:header="1038" w:footer="460" w:top="1460" w:bottom="700" w:left="900" w:right="860"/>
        </w:sectPr>
      </w:pPr>
    </w:p>
    <w:p>
      <w:pPr>
        <w:pStyle w:val="BodyText"/>
        <w:spacing w:before="2"/>
        <w:rPr>
          <w:sz w:val="24"/>
        </w:rPr>
      </w:pPr>
    </w:p>
    <w:p>
      <w:pPr>
        <w:pStyle w:val="Heading3"/>
        <w:ind w:right="220"/>
      </w:pPr>
      <w:r>
        <w:rPr/>
        <w:t>Notes to the Financial Statements</w:t>
      </w:r>
    </w:p>
    <w:p>
      <w:pPr>
        <w:pStyle w:val="Heading6"/>
        <w:ind w:left="107" w:right="220"/>
      </w:pPr>
      <w:r>
        <w:rPr/>
        <w:t>For the Year Ended 31 December 2017</w:t>
      </w:r>
    </w:p>
    <w:p>
      <w:pPr>
        <w:pStyle w:val="BodyText"/>
        <w:spacing w:before="11"/>
        <w:rPr>
          <w:b/>
          <w:sz w:val="24"/>
        </w:rPr>
      </w:pPr>
    </w:p>
    <w:p>
      <w:pPr>
        <w:pStyle w:val="Heading9"/>
        <w:tabs>
          <w:tab w:pos="505" w:val="left" w:leader="none"/>
        </w:tabs>
        <w:ind w:left="109" w:right="220"/>
      </w:pPr>
      <w:r>
        <w:rPr/>
        <w:t>2</w:t>
        <w:tab/>
        <w:t>Financial Risk Management</w:t>
      </w:r>
      <w:r>
        <w:rPr>
          <w:spacing w:val="-3"/>
        </w:rPr>
        <w:t> </w:t>
      </w:r>
      <w:r>
        <w:rPr/>
        <w:t>(Continued)</w:t>
      </w:r>
    </w:p>
    <w:p>
      <w:pPr>
        <w:pStyle w:val="ListParagraph"/>
        <w:numPr>
          <w:ilvl w:val="0"/>
          <w:numId w:val="63"/>
        </w:numPr>
        <w:tabs>
          <w:tab w:pos="1072" w:val="left" w:leader="none"/>
        </w:tabs>
        <w:spacing w:line="240" w:lineRule="auto" w:before="18" w:after="0"/>
        <w:ind w:left="1071" w:right="0" w:hanging="566"/>
        <w:jc w:val="left"/>
        <w:rPr>
          <w:b/>
          <w:sz w:val="18"/>
        </w:rPr>
      </w:pPr>
      <w:r>
        <w:rPr>
          <w:b/>
          <w:sz w:val="18"/>
        </w:rPr>
        <w:t>Liquidity risk</w:t>
      </w:r>
    </w:p>
    <w:p>
      <w:pPr>
        <w:pStyle w:val="BodyText"/>
        <w:spacing w:before="4"/>
        <w:rPr>
          <w:b/>
          <w:sz w:val="25"/>
        </w:rPr>
      </w:pPr>
    </w:p>
    <w:p>
      <w:pPr>
        <w:pStyle w:val="BodyText"/>
        <w:ind w:left="505" w:right="840"/>
      </w:pPr>
      <w:r>
        <w:rPr/>
        <w:t>Prudent liquidity risk management implies maintaining sufficient cash and the availability of funding through an adequate amount of committed credit facilities to meet obligations when due.</w:t>
      </w:r>
    </w:p>
    <w:p>
      <w:pPr>
        <w:pStyle w:val="BodyText"/>
        <w:rPr>
          <w:sz w:val="25"/>
        </w:rPr>
      </w:pPr>
    </w:p>
    <w:p>
      <w:pPr>
        <w:pStyle w:val="BodyText"/>
        <w:ind w:left="505" w:right="876"/>
      </w:pPr>
      <w:r>
        <w:rPr/>
        <w:t>The tables below summarise the Company's financial liabilities into relevant maturity groupings based on their contractual maturities for all non- derivative financial liabilities.</w:t>
      </w:r>
    </w:p>
    <w:p>
      <w:pPr>
        <w:pStyle w:val="BodyText"/>
        <w:rPr>
          <w:sz w:val="25"/>
        </w:rPr>
      </w:pPr>
    </w:p>
    <w:p>
      <w:pPr>
        <w:pStyle w:val="BodyText"/>
        <w:ind w:left="505" w:right="99"/>
      </w:pPr>
      <w:r>
        <w:rPr/>
        <w:t>The amounts disclosed in the tables are the contractual undiscounted cash flows. Balances due within 12 months equal their carrying balances as the impact of discounting is not significant.</w:t>
      </w:r>
    </w:p>
    <w:p>
      <w:pPr>
        <w:pStyle w:val="BodyText"/>
        <w:rPr>
          <w:sz w:val="25"/>
        </w:rPr>
      </w:pPr>
    </w:p>
    <w:p>
      <w:pPr>
        <w:pStyle w:val="Heading9"/>
        <w:ind w:left="1072" w:right="220"/>
      </w:pPr>
      <w:r>
        <w:rPr/>
        <w:t>Contractual maturities of financial assets and liabilities</w:t>
      </w:r>
    </w:p>
    <w:p>
      <w:pPr>
        <w:pStyle w:val="BodyText"/>
        <w:spacing w:before="7"/>
        <w:rPr>
          <w:b/>
          <w:sz w:val="13"/>
        </w:rPr>
      </w:pPr>
    </w:p>
    <w:tbl>
      <w:tblPr>
        <w:tblW w:w="0" w:type="auto"/>
        <w:jc w:val="left"/>
        <w:tblInd w:w="10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16"/>
        <w:gridCol w:w="1156"/>
        <w:gridCol w:w="3473"/>
        <w:gridCol w:w="962"/>
        <w:gridCol w:w="981"/>
      </w:tblGrid>
      <w:tr>
        <w:trPr>
          <w:trHeight w:val="445" w:hRule="exact"/>
        </w:trPr>
        <w:tc>
          <w:tcPr>
            <w:tcW w:w="2416" w:type="dxa"/>
          </w:tcPr>
          <w:p>
            <w:pPr/>
          </w:p>
        </w:tc>
        <w:tc>
          <w:tcPr>
            <w:tcW w:w="1156" w:type="dxa"/>
          </w:tcPr>
          <w:p>
            <w:pPr>
              <w:pStyle w:val="TableParagraph"/>
              <w:rPr>
                <w:b/>
                <w:sz w:val="14"/>
              </w:rPr>
            </w:pPr>
          </w:p>
          <w:p>
            <w:pPr>
              <w:pStyle w:val="TableParagraph"/>
              <w:spacing w:before="82"/>
              <w:ind w:right="48"/>
              <w:jc w:val="right"/>
              <w:rPr>
                <w:b/>
                <w:sz w:val="14"/>
              </w:rPr>
            </w:pPr>
            <w:r>
              <w:rPr>
                <w:b/>
                <w:sz w:val="14"/>
              </w:rPr>
              <w:t>Less than 1 year</w:t>
            </w:r>
          </w:p>
        </w:tc>
        <w:tc>
          <w:tcPr>
            <w:tcW w:w="3473" w:type="dxa"/>
          </w:tcPr>
          <w:p>
            <w:pPr>
              <w:pStyle w:val="TableParagraph"/>
              <w:spacing w:line="161" w:lineRule="exact" w:before="82"/>
              <w:ind w:left="50"/>
              <w:rPr>
                <w:b/>
                <w:sz w:val="14"/>
              </w:rPr>
            </w:pPr>
            <w:r>
              <w:rPr>
                <w:b/>
                <w:sz w:val="14"/>
              </w:rPr>
              <w:t>Between 1 and</w:t>
            </w:r>
          </w:p>
          <w:p>
            <w:pPr>
              <w:pStyle w:val="TableParagraph"/>
              <w:tabs>
                <w:tab w:pos="1256" w:val="left" w:leader="none"/>
                <w:tab w:pos="2398" w:val="left" w:leader="none"/>
              </w:tabs>
              <w:ind w:left="302"/>
              <w:rPr>
                <w:b/>
                <w:sz w:val="14"/>
              </w:rPr>
            </w:pPr>
            <w:r>
              <w:rPr>
                <w:b/>
                <w:sz w:val="14"/>
              </w:rPr>
              <w:t>5 years</w:t>
              <w:tab/>
              <w:t>Over 5 years</w:t>
              <w:tab/>
              <w:t>Non</w:t>
            </w:r>
            <w:r>
              <w:rPr>
                <w:b/>
                <w:spacing w:val="2"/>
                <w:sz w:val="14"/>
              </w:rPr>
              <w:t> </w:t>
            </w:r>
            <w:r>
              <w:rPr>
                <w:b/>
                <w:sz w:val="14"/>
              </w:rPr>
              <w:t>interest</w:t>
            </w:r>
          </w:p>
        </w:tc>
        <w:tc>
          <w:tcPr>
            <w:tcW w:w="962" w:type="dxa"/>
          </w:tcPr>
          <w:p>
            <w:pPr>
              <w:pStyle w:val="TableParagraph"/>
              <w:spacing w:before="82"/>
              <w:ind w:left="159" w:right="241" w:hanging="34"/>
              <w:rPr>
                <w:b/>
                <w:sz w:val="14"/>
              </w:rPr>
            </w:pPr>
            <w:r>
              <w:rPr>
                <w:b/>
                <w:sz w:val="14"/>
              </w:rPr>
              <w:t>Carrying amount</w:t>
            </w:r>
          </w:p>
        </w:tc>
        <w:tc>
          <w:tcPr>
            <w:tcW w:w="981" w:type="dxa"/>
          </w:tcPr>
          <w:p>
            <w:pPr>
              <w:pStyle w:val="TableParagraph"/>
              <w:spacing w:before="82"/>
              <w:ind w:left="67" w:right="92" w:firstLine="128"/>
              <w:rPr>
                <w:b/>
                <w:sz w:val="14"/>
              </w:rPr>
            </w:pPr>
            <w:r>
              <w:rPr>
                <w:b/>
                <w:sz w:val="14"/>
              </w:rPr>
              <w:t>Average interest rate</w:t>
            </w:r>
          </w:p>
        </w:tc>
      </w:tr>
      <w:tr>
        <w:trPr>
          <w:trHeight w:val="226" w:hRule="exact"/>
        </w:trPr>
        <w:tc>
          <w:tcPr>
            <w:tcW w:w="2416" w:type="dxa"/>
          </w:tcPr>
          <w:p>
            <w:pPr>
              <w:pStyle w:val="TableParagraph"/>
              <w:spacing w:before="26"/>
              <w:ind w:left="35"/>
              <w:rPr>
                <w:b/>
                <w:sz w:val="14"/>
              </w:rPr>
            </w:pPr>
            <w:r>
              <w:rPr>
                <w:b/>
                <w:sz w:val="14"/>
              </w:rPr>
              <w:t>31 December 2017</w:t>
            </w:r>
          </w:p>
        </w:tc>
        <w:tc>
          <w:tcPr>
            <w:tcW w:w="1156" w:type="dxa"/>
          </w:tcPr>
          <w:p>
            <w:pPr>
              <w:pStyle w:val="TableParagraph"/>
              <w:spacing w:before="26"/>
              <w:ind w:right="48"/>
              <w:jc w:val="center"/>
              <w:rPr>
                <w:b/>
                <w:sz w:val="14"/>
              </w:rPr>
            </w:pPr>
            <w:r>
              <w:rPr>
                <w:b/>
                <w:w w:val="100"/>
                <w:sz w:val="14"/>
              </w:rPr>
              <w:t>$</w:t>
            </w:r>
          </w:p>
        </w:tc>
        <w:tc>
          <w:tcPr>
            <w:tcW w:w="3473" w:type="dxa"/>
          </w:tcPr>
          <w:p>
            <w:pPr>
              <w:pStyle w:val="TableParagraph"/>
              <w:tabs>
                <w:tab w:pos="1636" w:val="left" w:leader="none"/>
                <w:tab w:pos="2769" w:val="left" w:leader="none"/>
              </w:tabs>
              <w:spacing w:before="26"/>
              <w:ind w:left="504"/>
              <w:rPr>
                <w:b/>
                <w:sz w:val="14"/>
              </w:rPr>
            </w:pPr>
            <w:r>
              <w:rPr>
                <w:b/>
                <w:sz w:val="14"/>
              </w:rPr>
              <w:t>$</w:t>
              <w:tab/>
              <w:t>$</w:t>
              <w:tab/>
              <w:t>$</w:t>
            </w:r>
          </w:p>
        </w:tc>
        <w:tc>
          <w:tcPr>
            <w:tcW w:w="962" w:type="dxa"/>
          </w:tcPr>
          <w:p>
            <w:pPr>
              <w:pStyle w:val="TableParagraph"/>
              <w:spacing w:before="26"/>
              <w:ind w:right="135"/>
              <w:jc w:val="center"/>
              <w:rPr>
                <w:b/>
                <w:sz w:val="14"/>
              </w:rPr>
            </w:pPr>
            <w:r>
              <w:rPr>
                <w:b/>
                <w:w w:val="100"/>
                <w:sz w:val="14"/>
              </w:rPr>
              <w:t>$</w:t>
            </w:r>
          </w:p>
        </w:tc>
        <w:tc>
          <w:tcPr>
            <w:tcW w:w="981" w:type="dxa"/>
          </w:tcPr>
          <w:p>
            <w:pPr>
              <w:pStyle w:val="TableParagraph"/>
              <w:spacing w:before="26"/>
              <w:ind w:right="32"/>
              <w:jc w:val="center"/>
              <w:rPr>
                <w:b/>
                <w:sz w:val="14"/>
              </w:rPr>
            </w:pPr>
            <w:r>
              <w:rPr>
                <w:b/>
                <w:w w:val="100"/>
                <w:sz w:val="14"/>
              </w:rPr>
              <w:t>%</w:t>
            </w:r>
          </w:p>
        </w:tc>
      </w:tr>
      <w:tr>
        <w:trPr>
          <w:trHeight w:val="221" w:hRule="exact"/>
        </w:trPr>
        <w:tc>
          <w:tcPr>
            <w:tcW w:w="2416" w:type="dxa"/>
          </w:tcPr>
          <w:p>
            <w:pPr>
              <w:pStyle w:val="TableParagraph"/>
              <w:spacing w:before="25"/>
              <w:ind w:left="35"/>
              <w:rPr>
                <w:sz w:val="14"/>
              </w:rPr>
            </w:pPr>
            <w:r>
              <w:rPr>
                <w:sz w:val="14"/>
              </w:rPr>
              <w:t>Cash and cash equivalents</w:t>
            </w:r>
          </w:p>
        </w:tc>
        <w:tc>
          <w:tcPr>
            <w:tcW w:w="1156" w:type="dxa"/>
          </w:tcPr>
          <w:p>
            <w:pPr>
              <w:pStyle w:val="TableParagraph"/>
              <w:spacing w:before="24"/>
              <w:ind w:right="95"/>
              <w:jc w:val="right"/>
              <w:rPr>
                <w:sz w:val="14"/>
              </w:rPr>
            </w:pPr>
            <w:r>
              <w:rPr>
                <w:sz w:val="14"/>
              </w:rPr>
              <w:t>142,653</w:t>
            </w:r>
          </w:p>
        </w:tc>
        <w:tc>
          <w:tcPr>
            <w:tcW w:w="3473" w:type="dxa"/>
          </w:tcPr>
          <w:p>
            <w:pPr>
              <w:pStyle w:val="TableParagraph"/>
              <w:tabs>
                <w:tab w:pos="1978" w:val="left" w:leader="none"/>
                <w:tab w:pos="3111" w:val="left" w:leader="none"/>
              </w:tabs>
              <w:spacing w:before="24"/>
              <w:ind w:left="846"/>
              <w:rPr>
                <w:sz w:val="14"/>
              </w:rPr>
            </w:pPr>
            <w:r>
              <w:rPr>
                <w:sz w:val="14"/>
              </w:rPr>
              <w:t>-</w:t>
              <w:tab/>
              <w:t>-</w:t>
              <w:tab/>
              <w:t>-</w:t>
            </w:r>
          </w:p>
        </w:tc>
        <w:tc>
          <w:tcPr>
            <w:tcW w:w="962" w:type="dxa"/>
          </w:tcPr>
          <w:p>
            <w:pPr>
              <w:pStyle w:val="TableParagraph"/>
              <w:spacing w:before="24"/>
              <w:ind w:right="112"/>
              <w:jc w:val="right"/>
              <w:rPr>
                <w:sz w:val="14"/>
              </w:rPr>
            </w:pPr>
            <w:r>
              <w:rPr>
                <w:sz w:val="14"/>
              </w:rPr>
              <w:t>142,653</w:t>
            </w:r>
          </w:p>
        </w:tc>
        <w:tc>
          <w:tcPr>
            <w:tcW w:w="981" w:type="dxa"/>
          </w:tcPr>
          <w:p>
            <w:pPr>
              <w:pStyle w:val="TableParagraph"/>
              <w:spacing w:before="24"/>
              <w:ind w:right="73"/>
              <w:jc w:val="right"/>
              <w:rPr>
                <w:sz w:val="14"/>
              </w:rPr>
            </w:pPr>
            <w:r>
              <w:rPr>
                <w:w w:val="100"/>
                <w:sz w:val="14"/>
              </w:rPr>
              <w:t>1</w:t>
            </w:r>
          </w:p>
        </w:tc>
      </w:tr>
      <w:tr>
        <w:trPr>
          <w:trHeight w:val="218" w:hRule="exact"/>
        </w:trPr>
        <w:tc>
          <w:tcPr>
            <w:tcW w:w="2416" w:type="dxa"/>
          </w:tcPr>
          <w:p>
            <w:pPr>
              <w:pStyle w:val="TableParagraph"/>
              <w:spacing w:before="22"/>
              <w:ind w:left="35"/>
              <w:rPr>
                <w:sz w:val="14"/>
              </w:rPr>
            </w:pPr>
            <w:r>
              <w:rPr>
                <w:sz w:val="14"/>
              </w:rPr>
              <w:t>Trade and other receivables</w:t>
            </w:r>
          </w:p>
        </w:tc>
        <w:tc>
          <w:tcPr>
            <w:tcW w:w="1156" w:type="dxa"/>
          </w:tcPr>
          <w:p>
            <w:pPr>
              <w:pStyle w:val="TableParagraph"/>
              <w:spacing w:before="21"/>
              <w:ind w:right="95"/>
              <w:jc w:val="right"/>
              <w:rPr>
                <w:sz w:val="14"/>
              </w:rPr>
            </w:pPr>
            <w:r>
              <w:rPr>
                <w:sz w:val="14"/>
              </w:rPr>
              <w:t>99,215</w:t>
            </w:r>
          </w:p>
        </w:tc>
        <w:tc>
          <w:tcPr>
            <w:tcW w:w="3473" w:type="dxa"/>
          </w:tcPr>
          <w:p>
            <w:pPr>
              <w:pStyle w:val="TableParagraph"/>
              <w:tabs>
                <w:tab w:pos="1132" w:val="left" w:leader="none"/>
                <w:tab w:pos="2024" w:val="left" w:leader="none"/>
              </w:tabs>
              <w:spacing w:before="21"/>
              <w:ind w:right="170"/>
              <w:jc w:val="right"/>
              <w:rPr>
                <w:sz w:val="14"/>
              </w:rPr>
            </w:pPr>
            <w:r>
              <w:rPr>
                <w:sz w:val="14"/>
              </w:rPr>
              <w:t>-</w:t>
              <w:tab/>
              <w:t>-</w:t>
              <w:tab/>
              <w:t>99,215</w:t>
            </w:r>
          </w:p>
        </w:tc>
        <w:tc>
          <w:tcPr>
            <w:tcW w:w="962" w:type="dxa"/>
          </w:tcPr>
          <w:p>
            <w:pPr>
              <w:pStyle w:val="TableParagraph"/>
              <w:spacing w:before="21"/>
              <w:ind w:right="112"/>
              <w:jc w:val="right"/>
              <w:rPr>
                <w:sz w:val="14"/>
              </w:rPr>
            </w:pPr>
            <w:r>
              <w:rPr>
                <w:sz w:val="14"/>
              </w:rPr>
              <w:t>99,215</w:t>
            </w:r>
          </w:p>
        </w:tc>
        <w:tc>
          <w:tcPr>
            <w:tcW w:w="981" w:type="dxa"/>
          </w:tcPr>
          <w:p>
            <w:pPr>
              <w:pStyle w:val="TableParagraph"/>
              <w:spacing w:before="21"/>
              <w:ind w:right="215"/>
              <w:jc w:val="right"/>
              <w:rPr>
                <w:sz w:val="14"/>
              </w:rPr>
            </w:pPr>
            <w:r>
              <w:rPr>
                <w:w w:val="100"/>
                <w:sz w:val="14"/>
              </w:rPr>
              <w:t>-</w:t>
            </w:r>
          </w:p>
        </w:tc>
      </w:tr>
      <w:tr>
        <w:trPr>
          <w:trHeight w:val="218" w:hRule="exact"/>
        </w:trPr>
        <w:tc>
          <w:tcPr>
            <w:tcW w:w="2416" w:type="dxa"/>
          </w:tcPr>
          <w:p>
            <w:pPr>
              <w:pStyle w:val="TableParagraph"/>
              <w:spacing w:before="22"/>
              <w:ind w:left="35"/>
              <w:rPr>
                <w:sz w:val="14"/>
              </w:rPr>
            </w:pPr>
            <w:r>
              <w:rPr>
                <w:sz w:val="14"/>
              </w:rPr>
              <w:t>Trade and other payables</w:t>
            </w:r>
          </w:p>
        </w:tc>
        <w:tc>
          <w:tcPr>
            <w:tcW w:w="1156" w:type="dxa"/>
          </w:tcPr>
          <w:p>
            <w:pPr>
              <w:pStyle w:val="TableParagraph"/>
              <w:spacing w:before="21"/>
              <w:ind w:right="48"/>
              <w:jc w:val="right"/>
              <w:rPr>
                <w:sz w:val="14"/>
              </w:rPr>
            </w:pPr>
            <w:r>
              <w:rPr>
                <w:sz w:val="14"/>
              </w:rPr>
              <w:t>(342,157)</w:t>
            </w:r>
          </w:p>
        </w:tc>
        <w:tc>
          <w:tcPr>
            <w:tcW w:w="3473" w:type="dxa"/>
          </w:tcPr>
          <w:p>
            <w:pPr>
              <w:pStyle w:val="TableParagraph"/>
              <w:tabs>
                <w:tab w:pos="1132" w:val="left" w:leader="none"/>
                <w:tab w:pos="1899" w:val="left" w:leader="none"/>
              </w:tabs>
              <w:spacing w:before="21"/>
              <w:ind w:right="124"/>
              <w:jc w:val="right"/>
              <w:rPr>
                <w:sz w:val="14"/>
              </w:rPr>
            </w:pPr>
            <w:r>
              <w:rPr>
                <w:sz w:val="14"/>
              </w:rPr>
              <w:t>-</w:t>
              <w:tab/>
              <w:t>-</w:t>
              <w:tab/>
              <w:t>(342,157)</w:t>
            </w:r>
          </w:p>
        </w:tc>
        <w:tc>
          <w:tcPr>
            <w:tcW w:w="962" w:type="dxa"/>
          </w:tcPr>
          <w:p>
            <w:pPr>
              <w:pStyle w:val="TableParagraph"/>
              <w:spacing w:before="21"/>
              <w:ind w:right="65"/>
              <w:jc w:val="right"/>
              <w:rPr>
                <w:sz w:val="14"/>
              </w:rPr>
            </w:pPr>
            <w:r>
              <w:rPr>
                <w:sz w:val="14"/>
              </w:rPr>
              <w:t>(342,157)</w:t>
            </w:r>
          </w:p>
        </w:tc>
        <w:tc>
          <w:tcPr>
            <w:tcW w:w="981" w:type="dxa"/>
          </w:tcPr>
          <w:p>
            <w:pPr>
              <w:pStyle w:val="TableParagraph"/>
              <w:spacing w:before="21"/>
              <w:ind w:right="215"/>
              <w:jc w:val="right"/>
              <w:rPr>
                <w:sz w:val="14"/>
              </w:rPr>
            </w:pPr>
            <w:r>
              <w:rPr>
                <w:w w:val="100"/>
                <w:sz w:val="14"/>
              </w:rPr>
              <w:t>-</w:t>
            </w:r>
          </w:p>
        </w:tc>
      </w:tr>
      <w:tr>
        <w:trPr>
          <w:trHeight w:val="219" w:hRule="exact"/>
        </w:trPr>
        <w:tc>
          <w:tcPr>
            <w:tcW w:w="2416" w:type="dxa"/>
          </w:tcPr>
          <w:p>
            <w:pPr>
              <w:pStyle w:val="TableParagraph"/>
              <w:spacing w:before="22"/>
              <w:ind w:left="35"/>
              <w:rPr>
                <w:sz w:val="14"/>
              </w:rPr>
            </w:pPr>
            <w:r>
              <w:rPr>
                <w:sz w:val="14"/>
              </w:rPr>
              <w:t>Borrowings</w:t>
            </w:r>
          </w:p>
        </w:tc>
        <w:tc>
          <w:tcPr>
            <w:tcW w:w="1156" w:type="dxa"/>
            <w:tcBorders>
              <w:bottom w:val="single" w:sz="0" w:space="0" w:color="000000"/>
            </w:tcBorders>
          </w:tcPr>
          <w:p>
            <w:pPr>
              <w:pStyle w:val="TableParagraph"/>
              <w:spacing w:before="21"/>
              <w:ind w:right="48"/>
              <w:jc w:val="right"/>
              <w:rPr>
                <w:sz w:val="14"/>
              </w:rPr>
            </w:pPr>
            <w:r>
              <w:rPr>
                <w:sz w:val="14"/>
              </w:rPr>
              <w:t>(799,365)</w:t>
            </w:r>
          </w:p>
        </w:tc>
        <w:tc>
          <w:tcPr>
            <w:tcW w:w="3473" w:type="dxa"/>
            <w:tcBorders>
              <w:bottom w:val="single" w:sz="0" w:space="0" w:color="000000"/>
            </w:tcBorders>
          </w:tcPr>
          <w:p>
            <w:pPr>
              <w:pStyle w:val="TableParagraph"/>
              <w:tabs>
                <w:tab w:pos="1978" w:val="left" w:leader="none"/>
                <w:tab w:pos="3111" w:val="left" w:leader="none"/>
              </w:tabs>
              <w:spacing w:before="21"/>
              <w:ind w:left="846"/>
              <w:rPr>
                <w:sz w:val="14"/>
              </w:rPr>
            </w:pPr>
            <w:r>
              <w:rPr>
                <w:sz w:val="14"/>
              </w:rPr>
              <w:t>-</w:t>
              <w:tab/>
              <w:t>-</w:t>
              <w:tab/>
              <w:t>-</w:t>
            </w:r>
          </w:p>
        </w:tc>
        <w:tc>
          <w:tcPr>
            <w:tcW w:w="962" w:type="dxa"/>
            <w:tcBorders>
              <w:bottom w:val="single" w:sz="0" w:space="0" w:color="000000"/>
            </w:tcBorders>
          </w:tcPr>
          <w:p>
            <w:pPr>
              <w:pStyle w:val="TableParagraph"/>
              <w:spacing w:before="21"/>
              <w:ind w:right="65"/>
              <w:jc w:val="right"/>
              <w:rPr>
                <w:sz w:val="14"/>
              </w:rPr>
            </w:pPr>
            <w:r>
              <w:rPr>
                <w:sz w:val="14"/>
              </w:rPr>
              <w:t>(799,365)</w:t>
            </w:r>
          </w:p>
        </w:tc>
        <w:tc>
          <w:tcPr>
            <w:tcW w:w="981" w:type="dxa"/>
            <w:tcBorders>
              <w:bottom w:val="single" w:sz="0" w:space="0" w:color="000000"/>
            </w:tcBorders>
          </w:tcPr>
          <w:p>
            <w:pPr>
              <w:pStyle w:val="TableParagraph"/>
              <w:spacing w:before="21"/>
              <w:ind w:right="73"/>
              <w:jc w:val="right"/>
              <w:rPr>
                <w:sz w:val="14"/>
              </w:rPr>
            </w:pPr>
            <w:r>
              <w:rPr>
                <w:w w:val="100"/>
                <w:sz w:val="14"/>
              </w:rPr>
              <w:t>4</w:t>
            </w:r>
          </w:p>
        </w:tc>
      </w:tr>
    </w:tbl>
    <w:p>
      <w:pPr>
        <w:tabs>
          <w:tab w:pos="3956" w:val="left" w:leader="none"/>
          <w:tab w:pos="5453" w:val="left" w:leader="none"/>
          <w:tab w:pos="6586" w:val="left" w:leader="none"/>
          <w:tab w:pos="7353" w:val="left" w:leader="none"/>
          <w:tab w:pos="8373" w:val="left" w:leader="none"/>
        </w:tabs>
        <w:spacing w:before="123"/>
        <w:ind w:left="1071" w:right="220" w:firstLine="0"/>
        <w:jc w:val="left"/>
        <w:rPr>
          <w:sz w:val="14"/>
        </w:rPr>
      </w:pPr>
      <w:r>
        <w:rPr>
          <w:b/>
          <w:sz w:val="14"/>
        </w:rPr>
        <w:t>Total non derivatives</w:t>
        <w:tab/>
      </w:r>
      <w:r>
        <w:rPr>
          <w:sz w:val="14"/>
        </w:rPr>
        <w:t>(899,654)</w:t>
        <w:tab/>
        <w:t>-</w:t>
        <w:tab/>
        <w:t>-</w:t>
        <w:tab/>
        <w:t>(242,942)</w:t>
        <w:tab/>
        <w:t>(899,654)</w:t>
      </w:r>
    </w:p>
    <w:p>
      <w:pPr>
        <w:pStyle w:val="BodyText"/>
        <w:spacing w:line="60" w:lineRule="exact"/>
        <w:ind w:left="3451"/>
        <w:rPr>
          <w:sz w:val="6"/>
        </w:rPr>
      </w:pPr>
      <w:r>
        <w:rPr>
          <w:position w:val="0"/>
          <w:sz w:val="6"/>
        </w:rPr>
        <w:pict>
          <v:group style="width:328.7pt;height:3.05pt;mso-position-horizontal-relative:char;mso-position-vertical-relative:line" coordorigin="0,0" coordsize="6574,61">
            <v:line style="position:absolute" from="1,1" to="1134,1" stroked="true" strokeweight=".06pt" strokecolor="#000000"/>
            <v:line style="position:absolute" from="1,2" to="1134,2" stroked="true" strokeweight=".06pt" strokecolor="#000000"/>
            <v:line style="position:absolute" from="1,3" to="1134,3" stroked="true" strokeweight=".06pt" strokecolor="#000000"/>
            <v:line style="position:absolute" from="1,5" to="1134,5" stroked="true" strokeweight=".06pt" strokecolor="#000000"/>
            <v:line style="position:absolute" from="1,6" to="1134,6" stroked="true" strokeweight=".06pt" strokecolor="#000000"/>
            <v:line style="position:absolute" from="1,7" to="1134,7" stroked="true" strokeweight=".06pt" strokecolor="#000000"/>
            <v:line style="position:absolute" from="1,8" to="1134,8" stroked="true" strokeweight=".06pt" strokecolor="#000000"/>
            <v:line style="position:absolute" from="1,9" to="1134,9" stroked="true" strokeweight=".06pt" strokecolor="#000000"/>
            <v:line style="position:absolute" from="1,11" to="1134,11" stroked="true" strokeweight=".06pt" strokecolor="#000000"/>
            <v:line style="position:absolute" from="1,12" to="1134,12" stroked="true" strokeweight=".06pt" strokecolor="#000000"/>
            <v:line style="position:absolute" from="1,13" to="1134,13" stroked="true" strokeweight=".06pt" strokecolor="#000000"/>
            <v:line style="position:absolute" from="1,14" to="1134,14" stroked="true" strokeweight=".06pt" strokecolor="#000000"/>
            <v:line style="position:absolute" from="1,15" to="1134,15" stroked="true" strokeweight=".06pt" strokecolor="#000000"/>
            <v:line style="position:absolute" from="1,17" to="1134,17" stroked="true" strokeweight=".06pt" strokecolor="#000000"/>
            <v:line style="position:absolute" from="1,18" to="1134,18" stroked="true" strokeweight=".06pt" strokecolor="#000000"/>
            <v:line style="position:absolute" from="1,19" to="1134,19" stroked="true" strokeweight=".06pt" strokecolor="#000000"/>
            <v:line style="position:absolute" from="1,42" to="1134,42" stroked="true" strokeweight=".06pt" strokecolor="#000000"/>
            <v:line style="position:absolute" from="1,43" to="1134,43" stroked="true" strokeweight=".06pt" strokecolor="#000000"/>
            <v:line style="position:absolute" from="1,44" to="1134,44" stroked="true" strokeweight=".06pt" strokecolor="#000000"/>
            <v:line style="position:absolute" from="1,45" to="1134,45" stroked="true" strokeweight=".06pt" strokecolor="#000000"/>
            <v:line style="position:absolute" from="1,47" to="1134,47" stroked="true" strokeweight=".06pt" strokecolor="#000000"/>
            <v:line style="position:absolute" from="1,48" to="1134,48" stroked="true" strokeweight=".06pt" strokecolor="#000000"/>
            <v:line style="position:absolute" from="1,49" to="1134,49" stroked="true" strokeweight=".06pt" strokecolor="#000000"/>
            <v:line style="position:absolute" from="1,50" to="1134,50" stroked="true" strokeweight=".06pt" strokecolor="#000000"/>
            <v:line style="position:absolute" from="1,51" to="1134,51" stroked="true" strokeweight=".06pt" strokecolor="#000000"/>
            <v:line style="position:absolute" from="1,53" to="1134,53" stroked="true" strokeweight=".06pt" strokecolor="#000000"/>
            <v:line style="position:absolute" from="1,54" to="1134,54" stroked="true" strokeweight=".06pt" strokecolor="#000000"/>
            <v:line style="position:absolute" from="1,55" to="1134,55" stroked="true" strokeweight=".06pt" strokecolor="#000000"/>
            <v:line style="position:absolute" from="1,56" to="1134,56" stroked="true" strokeweight=".06pt" strokecolor="#000000"/>
            <v:line style="position:absolute" from="1,57" to="1134,57" stroked="true" strokeweight=".06pt" strokecolor="#000000"/>
            <v:line style="position:absolute" from="1,59" to="1134,59" stroked="true" strokeweight=".06pt" strokecolor="#000000"/>
            <v:line style="position:absolute" from="1,60" to="1134,60" stroked="true" strokeweight=".06pt" strokecolor="#000000"/>
            <v:line style="position:absolute" from="1134,1" to="2267,1" stroked="true" strokeweight=".06pt" strokecolor="#000000"/>
            <v:line style="position:absolute" from="1134,2" to="2267,2" stroked="true" strokeweight=".06pt" strokecolor="#000000"/>
            <v:line style="position:absolute" from="1134,3" to="2267,3" stroked="true" strokeweight=".06pt" strokecolor="#000000"/>
            <v:line style="position:absolute" from="1134,5" to="2267,5" stroked="true" strokeweight=".06pt" strokecolor="#000000"/>
            <v:line style="position:absolute" from="1134,6" to="2267,6" stroked="true" strokeweight=".06pt" strokecolor="#000000"/>
            <v:line style="position:absolute" from="1134,7" to="2267,7" stroked="true" strokeweight=".06pt" strokecolor="#000000"/>
            <v:line style="position:absolute" from="1134,8" to="2267,8" stroked="true" strokeweight=".06pt" strokecolor="#000000"/>
            <v:line style="position:absolute" from="1134,9" to="2267,9" stroked="true" strokeweight=".06pt" strokecolor="#000000"/>
            <v:line style="position:absolute" from="1134,11" to="2267,11" stroked="true" strokeweight=".06pt" strokecolor="#000000"/>
            <v:line style="position:absolute" from="1134,12" to="2267,12" stroked="true" strokeweight=".06pt" strokecolor="#000000"/>
            <v:line style="position:absolute" from="1134,13" to="2267,13" stroked="true" strokeweight=".06pt" strokecolor="#000000"/>
            <v:line style="position:absolute" from="1134,14" to="2267,14" stroked="true" strokeweight=".06pt" strokecolor="#000000"/>
            <v:line style="position:absolute" from="1134,15" to="2267,15" stroked="true" strokeweight=".06pt" strokecolor="#000000"/>
            <v:line style="position:absolute" from="1134,17" to="2267,17" stroked="true" strokeweight=".06pt" strokecolor="#000000"/>
            <v:line style="position:absolute" from="1134,18" to="2267,18" stroked="true" strokeweight=".06pt" strokecolor="#000000"/>
            <v:line style="position:absolute" from="1134,19" to="2267,19" stroked="true" strokeweight=".06pt" strokecolor="#000000"/>
            <v:line style="position:absolute" from="1134,42" to="2267,42" stroked="true" strokeweight=".06pt" strokecolor="#000000"/>
            <v:line style="position:absolute" from="1134,43" to="2267,43" stroked="true" strokeweight=".06pt" strokecolor="#000000"/>
            <v:line style="position:absolute" from="1134,44" to="2267,44" stroked="true" strokeweight=".06pt" strokecolor="#000000"/>
            <v:line style="position:absolute" from="1134,45" to="2267,45" stroked="true" strokeweight=".06pt" strokecolor="#000000"/>
            <v:line style="position:absolute" from="1134,47" to="2267,47" stroked="true" strokeweight=".06pt" strokecolor="#000000"/>
            <v:line style="position:absolute" from="1134,48" to="2267,48" stroked="true" strokeweight=".06pt" strokecolor="#000000"/>
            <v:line style="position:absolute" from="1134,49" to="2267,49" stroked="true" strokeweight=".06pt" strokecolor="#000000"/>
            <v:line style="position:absolute" from="1134,50" to="2267,50" stroked="true" strokeweight=".06pt" strokecolor="#000000"/>
            <v:line style="position:absolute" from="1134,51" to="2267,51" stroked="true" strokeweight=".06pt" strokecolor="#000000"/>
            <v:line style="position:absolute" from="1134,53" to="2267,53" stroked="true" strokeweight=".06pt" strokecolor="#000000"/>
            <v:line style="position:absolute" from="1134,54" to="2267,54" stroked="true" strokeweight=".06pt" strokecolor="#000000"/>
            <v:line style="position:absolute" from="1134,55" to="2267,55" stroked="true" strokeweight=".06pt" strokecolor="#000000"/>
            <v:line style="position:absolute" from="1134,56" to="2267,56" stroked="true" strokeweight=".06pt" strokecolor="#000000"/>
            <v:line style="position:absolute" from="1134,57" to="2267,57" stroked="true" strokeweight=".06pt" strokecolor="#000000"/>
            <v:line style="position:absolute" from="1134,59" to="2267,59" stroked="true" strokeweight=".06pt" strokecolor="#000000"/>
            <v:line style="position:absolute" from="1134,60" to="2267,60" stroked="true" strokeweight=".06pt" strokecolor="#000000"/>
            <v:line style="position:absolute" from="2267,1" to="3399,1" stroked="true" strokeweight=".06pt" strokecolor="#000000"/>
            <v:line style="position:absolute" from="2267,2" to="3399,2" stroked="true" strokeweight=".06pt" strokecolor="#000000"/>
            <v:line style="position:absolute" from="2267,3" to="3399,3" stroked="true" strokeweight=".06pt" strokecolor="#000000"/>
            <v:line style="position:absolute" from="2267,5" to="3399,5" stroked="true" strokeweight=".06pt" strokecolor="#000000"/>
            <v:line style="position:absolute" from="2267,6" to="3399,6" stroked="true" strokeweight=".06pt" strokecolor="#000000"/>
            <v:line style="position:absolute" from="2267,7" to="3399,7" stroked="true" strokeweight=".06pt" strokecolor="#000000"/>
            <v:line style="position:absolute" from="2267,8" to="3399,8" stroked="true" strokeweight=".06pt" strokecolor="#000000"/>
            <v:line style="position:absolute" from="2267,9" to="3399,9" stroked="true" strokeweight=".06pt" strokecolor="#000000"/>
            <v:line style="position:absolute" from="2267,11" to="3399,11" stroked="true" strokeweight=".06pt" strokecolor="#000000"/>
            <v:line style="position:absolute" from="2267,12" to="3399,12" stroked="true" strokeweight=".06pt" strokecolor="#000000"/>
            <v:line style="position:absolute" from="2267,13" to="3399,13" stroked="true" strokeweight=".06pt" strokecolor="#000000"/>
            <v:line style="position:absolute" from="2267,14" to="3399,14" stroked="true" strokeweight=".06pt" strokecolor="#000000"/>
            <v:line style="position:absolute" from="2267,15" to="3399,15" stroked="true" strokeweight=".06pt" strokecolor="#000000"/>
            <v:line style="position:absolute" from="2267,17" to="3399,17" stroked="true" strokeweight=".06pt" strokecolor="#000000"/>
            <v:line style="position:absolute" from="2267,18" to="3399,18" stroked="true" strokeweight=".06pt" strokecolor="#000000"/>
            <v:line style="position:absolute" from="2267,19" to="3399,19" stroked="true" strokeweight=".06pt" strokecolor="#000000"/>
            <v:line style="position:absolute" from="2267,42" to="3399,42" stroked="true" strokeweight=".06pt" strokecolor="#000000"/>
            <v:line style="position:absolute" from="2267,43" to="3399,43" stroked="true" strokeweight=".06pt" strokecolor="#000000"/>
            <v:line style="position:absolute" from="2267,44" to="3399,44" stroked="true" strokeweight=".06pt" strokecolor="#000000"/>
            <v:line style="position:absolute" from="2267,45" to="3399,45" stroked="true" strokeweight=".06pt" strokecolor="#000000"/>
            <v:line style="position:absolute" from="2267,47" to="3399,47" stroked="true" strokeweight=".06pt" strokecolor="#000000"/>
            <v:line style="position:absolute" from="2267,48" to="3399,48" stroked="true" strokeweight=".06pt" strokecolor="#000000"/>
            <v:line style="position:absolute" from="2267,49" to="3399,49" stroked="true" strokeweight=".06pt" strokecolor="#000000"/>
            <v:line style="position:absolute" from="2267,50" to="3399,50" stroked="true" strokeweight=".06pt" strokecolor="#000000"/>
            <v:line style="position:absolute" from="2267,51" to="3399,51" stroked="true" strokeweight=".06pt" strokecolor="#000000"/>
            <v:line style="position:absolute" from="2267,53" to="3399,53" stroked="true" strokeweight=".06pt" strokecolor="#000000"/>
            <v:line style="position:absolute" from="2267,54" to="3399,54" stroked="true" strokeweight=".06pt" strokecolor="#000000"/>
            <v:line style="position:absolute" from="2267,55" to="3399,55" stroked="true" strokeweight=".06pt" strokecolor="#000000"/>
            <v:line style="position:absolute" from="2267,56" to="3399,56" stroked="true" strokeweight=".06pt" strokecolor="#000000"/>
            <v:line style="position:absolute" from="2267,57" to="3399,57" stroked="true" strokeweight=".06pt" strokecolor="#000000"/>
            <v:line style="position:absolute" from="2267,59" to="3399,59" stroked="true" strokeweight=".06pt" strokecolor="#000000"/>
            <v:line style="position:absolute" from="2267,60" to="3399,60" stroked="true" strokeweight=".06pt" strokecolor="#000000"/>
            <v:line style="position:absolute" from="3399,1" to="4532,1" stroked="true" strokeweight=".06pt" strokecolor="#000000"/>
            <v:line style="position:absolute" from="3399,2" to="4532,2" stroked="true" strokeweight=".06pt" strokecolor="#000000"/>
            <v:line style="position:absolute" from="3399,3" to="4532,3" stroked="true" strokeweight=".06pt" strokecolor="#000000"/>
            <v:line style="position:absolute" from="3399,5" to="4532,5" stroked="true" strokeweight=".06pt" strokecolor="#000000"/>
            <v:line style="position:absolute" from="3399,6" to="4532,6" stroked="true" strokeweight=".06pt" strokecolor="#000000"/>
            <v:line style="position:absolute" from="3399,7" to="4532,7" stroked="true" strokeweight=".06pt" strokecolor="#000000"/>
            <v:line style="position:absolute" from="3399,8" to="4532,8" stroked="true" strokeweight=".06pt" strokecolor="#000000"/>
            <v:line style="position:absolute" from="3399,9" to="4532,9" stroked="true" strokeweight=".06pt" strokecolor="#000000"/>
            <v:line style="position:absolute" from="3399,11" to="4532,11" stroked="true" strokeweight=".06pt" strokecolor="#000000"/>
            <v:line style="position:absolute" from="3399,12" to="4532,12" stroked="true" strokeweight=".06pt" strokecolor="#000000"/>
            <v:line style="position:absolute" from="3399,13" to="4532,13" stroked="true" strokeweight=".06pt" strokecolor="#000000"/>
            <v:line style="position:absolute" from="3399,14" to="4532,14" stroked="true" strokeweight=".06pt" strokecolor="#000000"/>
            <v:line style="position:absolute" from="3399,15" to="4532,15" stroked="true" strokeweight=".06pt" strokecolor="#000000"/>
            <v:line style="position:absolute" from="3399,17" to="4532,17" stroked="true" strokeweight=".06pt" strokecolor="#000000"/>
            <v:line style="position:absolute" from="3399,18" to="4532,18" stroked="true" strokeweight=".06pt" strokecolor="#000000"/>
            <v:line style="position:absolute" from="3399,19" to="4532,19" stroked="true" strokeweight=".06pt" strokecolor="#000000"/>
            <v:line style="position:absolute" from="3399,42" to="4532,42" stroked="true" strokeweight=".06pt" strokecolor="#000000"/>
            <v:line style="position:absolute" from="3399,43" to="4532,43" stroked="true" strokeweight=".06pt" strokecolor="#000000"/>
            <v:line style="position:absolute" from="3399,44" to="4532,44" stroked="true" strokeweight=".06pt" strokecolor="#000000"/>
            <v:line style="position:absolute" from="3399,45" to="4532,45" stroked="true" strokeweight=".06pt" strokecolor="#000000"/>
            <v:line style="position:absolute" from="3399,47" to="4532,47" stroked="true" strokeweight=".06pt" strokecolor="#000000"/>
            <v:line style="position:absolute" from="3399,48" to="4532,48" stroked="true" strokeweight=".06pt" strokecolor="#000000"/>
            <v:line style="position:absolute" from="3399,49" to="4532,49" stroked="true" strokeweight=".06pt" strokecolor="#000000"/>
            <v:line style="position:absolute" from="3399,50" to="4532,50" stroked="true" strokeweight=".06pt" strokecolor="#000000"/>
            <v:line style="position:absolute" from="3399,51" to="4532,51" stroked="true" strokeweight=".06pt" strokecolor="#000000"/>
            <v:line style="position:absolute" from="3399,53" to="4532,53" stroked="true" strokeweight=".06pt" strokecolor="#000000"/>
            <v:line style="position:absolute" from="3399,54" to="4532,54" stroked="true" strokeweight=".06pt" strokecolor="#000000"/>
            <v:line style="position:absolute" from="3399,55" to="4532,55" stroked="true" strokeweight=".06pt" strokecolor="#000000"/>
            <v:line style="position:absolute" from="3399,56" to="4532,56" stroked="true" strokeweight=".06pt" strokecolor="#000000"/>
            <v:line style="position:absolute" from="3399,57" to="4532,57" stroked="true" strokeweight=".06pt" strokecolor="#000000"/>
            <v:line style="position:absolute" from="3399,59" to="4532,59" stroked="true" strokeweight=".06pt" strokecolor="#000000"/>
            <v:line style="position:absolute" from="3399,60" to="4532,60" stroked="true" strokeweight=".06pt" strokecolor="#000000"/>
            <v:line style="position:absolute" from="4532,1" to="5552,1" stroked="true" strokeweight=".06pt" strokecolor="#000000"/>
            <v:line style="position:absolute" from="4532,2" to="5552,2" stroked="true" strokeweight=".06pt" strokecolor="#000000"/>
            <v:line style="position:absolute" from="4532,3" to="5552,3" stroked="true" strokeweight=".06pt" strokecolor="#000000"/>
            <v:line style="position:absolute" from="4532,5" to="5552,5" stroked="true" strokeweight=".06pt" strokecolor="#000000"/>
            <v:line style="position:absolute" from="4532,6" to="5552,6" stroked="true" strokeweight=".06pt" strokecolor="#000000"/>
            <v:line style="position:absolute" from="4532,7" to="5552,7" stroked="true" strokeweight=".06pt" strokecolor="#000000"/>
            <v:line style="position:absolute" from="4532,8" to="5552,8" stroked="true" strokeweight=".06pt" strokecolor="#000000"/>
            <v:line style="position:absolute" from="4532,9" to="5552,9" stroked="true" strokeweight=".06pt" strokecolor="#000000"/>
            <v:line style="position:absolute" from="4532,11" to="5552,11" stroked="true" strokeweight=".06pt" strokecolor="#000000"/>
            <v:line style="position:absolute" from="4532,12" to="5552,12" stroked="true" strokeweight=".06pt" strokecolor="#000000"/>
            <v:line style="position:absolute" from="4532,13" to="5552,13" stroked="true" strokeweight=".06pt" strokecolor="#000000"/>
            <v:line style="position:absolute" from="4532,14" to="5552,14" stroked="true" strokeweight=".06pt" strokecolor="#000000"/>
            <v:line style="position:absolute" from="4532,15" to="5552,15" stroked="true" strokeweight=".06pt" strokecolor="#000000"/>
            <v:line style="position:absolute" from="4532,17" to="5552,17" stroked="true" strokeweight=".06pt" strokecolor="#000000"/>
            <v:line style="position:absolute" from="4532,18" to="5552,18" stroked="true" strokeweight=".06pt" strokecolor="#000000"/>
            <v:line style="position:absolute" from="4532,19" to="5552,19" stroked="true" strokeweight=".06pt" strokecolor="#000000"/>
            <v:line style="position:absolute" from="4532,42" to="5552,42" stroked="true" strokeweight=".06pt" strokecolor="#000000"/>
            <v:line style="position:absolute" from="4532,43" to="5552,43" stroked="true" strokeweight=".06pt" strokecolor="#000000"/>
            <v:line style="position:absolute" from="4532,44" to="5552,44" stroked="true" strokeweight=".06pt" strokecolor="#000000"/>
            <v:line style="position:absolute" from="4532,45" to="5552,45" stroked="true" strokeweight=".06pt" strokecolor="#000000"/>
            <v:line style="position:absolute" from="4532,47" to="5552,47" stroked="true" strokeweight=".06pt" strokecolor="#000000"/>
            <v:line style="position:absolute" from="4532,48" to="5552,48" stroked="true" strokeweight=".06pt" strokecolor="#000000"/>
            <v:line style="position:absolute" from="4532,49" to="5552,49" stroked="true" strokeweight=".06pt" strokecolor="#000000"/>
            <v:line style="position:absolute" from="4532,50" to="5552,50" stroked="true" strokeweight=".06pt" strokecolor="#000000"/>
            <v:line style="position:absolute" from="4532,51" to="5552,51" stroked="true" strokeweight=".06pt" strokecolor="#000000"/>
            <v:line style="position:absolute" from="4532,53" to="5552,53" stroked="true" strokeweight=".06pt" strokecolor="#000000"/>
            <v:line style="position:absolute" from="4532,54" to="5552,54" stroked="true" strokeweight=".06pt" strokecolor="#000000"/>
            <v:line style="position:absolute" from="4532,55" to="5552,55" stroked="true" strokeweight=".06pt" strokecolor="#000000"/>
            <v:line style="position:absolute" from="4532,56" to="5552,56" stroked="true" strokeweight=".06pt" strokecolor="#000000"/>
            <v:line style="position:absolute" from="4532,57" to="5552,57" stroked="true" strokeweight=".06pt" strokecolor="#000000"/>
            <v:line style="position:absolute" from="4532,59" to="5552,59" stroked="true" strokeweight=".06pt" strokecolor="#000000"/>
            <v:line style="position:absolute" from="4532,60" to="5552,60" stroked="true" strokeweight=".06pt" strokecolor="#000000"/>
            <v:line style="position:absolute" from="5552,1" to="6572,1" stroked="true" strokeweight=".06pt" strokecolor="#000000"/>
            <v:line style="position:absolute" from="5552,2" to="6572,2" stroked="true" strokeweight=".06pt" strokecolor="#000000"/>
            <v:line style="position:absolute" from="5552,3" to="6572,3" stroked="true" strokeweight=".06pt" strokecolor="#000000"/>
            <v:line style="position:absolute" from="5552,5" to="6572,5" stroked="true" strokeweight=".06pt" strokecolor="#000000"/>
            <v:line style="position:absolute" from="5552,6" to="6572,6" stroked="true" strokeweight=".06pt" strokecolor="#000000"/>
            <v:line style="position:absolute" from="5552,7" to="6572,7" stroked="true" strokeweight=".06pt" strokecolor="#000000"/>
            <v:line style="position:absolute" from="5552,8" to="6572,8" stroked="true" strokeweight=".06pt" strokecolor="#000000"/>
            <v:line style="position:absolute" from="5552,9" to="6572,9" stroked="true" strokeweight=".06pt" strokecolor="#000000"/>
            <v:line style="position:absolute" from="5552,11" to="6572,11" stroked="true" strokeweight=".06pt" strokecolor="#000000"/>
            <v:line style="position:absolute" from="5552,12" to="6572,12" stroked="true" strokeweight=".06pt" strokecolor="#000000"/>
            <v:line style="position:absolute" from="5552,13" to="6572,13" stroked="true" strokeweight=".06pt" strokecolor="#000000"/>
            <v:line style="position:absolute" from="5552,14" to="6572,14" stroked="true" strokeweight=".06pt" strokecolor="#000000"/>
            <v:line style="position:absolute" from="5552,15" to="6572,15" stroked="true" strokeweight=".06pt" strokecolor="#000000"/>
            <v:line style="position:absolute" from="5552,17" to="6572,17" stroked="true" strokeweight=".06pt" strokecolor="#000000"/>
            <v:line style="position:absolute" from="5552,18" to="6572,18" stroked="true" strokeweight=".06pt" strokecolor="#000000"/>
            <v:line style="position:absolute" from="5552,19" to="6572,19" stroked="true" strokeweight=".06pt" strokecolor="#000000"/>
            <v:line style="position:absolute" from="5552,42" to="6572,42" stroked="true" strokeweight=".06pt" strokecolor="#000000"/>
            <v:line style="position:absolute" from="5552,43" to="6572,43" stroked="true" strokeweight=".06pt" strokecolor="#000000"/>
            <v:line style="position:absolute" from="5552,44" to="6572,44" stroked="true" strokeweight=".06pt" strokecolor="#000000"/>
            <v:line style="position:absolute" from="5552,45" to="6572,45" stroked="true" strokeweight=".06pt" strokecolor="#000000"/>
            <v:line style="position:absolute" from="5552,47" to="6572,47" stroked="true" strokeweight=".06pt" strokecolor="#000000"/>
            <v:line style="position:absolute" from="5552,48" to="6572,48" stroked="true" strokeweight=".06pt" strokecolor="#000000"/>
            <v:line style="position:absolute" from="5552,49" to="6572,49" stroked="true" strokeweight=".06pt" strokecolor="#000000"/>
            <v:line style="position:absolute" from="5552,50" to="6572,50" stroked="true" strokeweight=".06pt" strokecolor="#000000"/>
            <v:line style="position:absolute" from="5552,51" to="6572,51" stroked="true" strokeweight=".06pt" strokecolor="#000000"/>
            <v:line style="position:absolute" from="5552,53" to="6572,53" stroked="true" strokeweight=".06pt" strokecolor="#000000"/>
            <v:line style="position:absolute" from="5552,54" to="6572,54" stroked="true" strokeweight=".06pt" strokecolor="#000000"/>
            <v:line style="position:absolute" from="5552,55" to="6572,55" stroked="true" strokeweight=".06pt" strokecolor="#000000"/>
            <v:line style="position:absolute" from="5552,56" to="6572,56" stroked="true" strokeweight=".06pt" strokecolor="#000000"/>
            <v:line style="position:absolute" from="5552,57" to="6572,57" stroked="true" strokeweight=".06pt" strokecolor="#000000"/>
            <v:line style="position:absolute" from="5552,59" to="6572,59" stroked="true" strokeweight=".06pt" strokecolor="#000000"/>
            <v:line style="position:absolute" from="5552,60" to="6572,60" stroked="true" strokeweight=".06pt" strokecolor="#000000"/>
          </v:group>
        </w:pict>
      </w:r>
      <w:r>
        <w:rPr>
          <w:position w:val="0"/>
          <w:sz w:val="6"/>
        </w:rPr>
      </w:r>
    </w:p>
    <w:p>
      <w:pPr>
        <w:pStyle w:val="BodyText"/>
        <w:rPr>
          <w:sz w:val="20"/>
        </w:rPr>
      </w:pPr>
    </w:p>
    <w:p>
      <w:pPr>
        <w:pStyle w:val="BodyText"/>
        <w:spacing w:before="8"/>
      </w:pPr>
    </w:p>
    <w:tbl>
      <w:tblPr>
        <w:tblW w:w="0" w:type="auto"/>
        <w:jc w:val="left"/>
        <w:tblInd w:w="10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16"/>
        <w:gridCol w:w="1156"/>
        <w:gridCol w:w="3472"/>
        <w:gridCol w:w="962"/>
        <w:gridCol w:w="981"/>
      </w:tblGrid>
      <w:tr>
        <w:trPr>
          <w:trHeight w:val="445" w:hRule="exact"/>
        </w:trPr>
        <w:tc>
          <w:tcPr>
            <w:tcW w:w="2416" w:type="dxa"/>
          </w:tcPr>
          <w:p>
            <w:pPr/>
          </w:p>
        </w:tc>
        <w:tc>
          <w:tcPr>
            <w:tcW w:w="1156" w:type="dxa"/>
          </w:tcPr>
          <w:p>
            <w:pPr>
              <w:pStyle w:val="TableParagraph"/>
              <w:rPr>
                <w:sz w:val="14"/>
              </w:rPr>
            </w:pPr>
          </w:p>
          <w:p>
            <w:pPr>
              <w:pStyle w:val="TableParagraph"/>
              <w:spacing w:before="82"/>
              <w:ind w:right="48"/>
              <w:jc w:val="right"/>
              <w:rPr>
                <w:b/>
                <w:sz w:val="14"/>
              </w:rPr>
            </w:pPr>
            <w:r>
              <w:rPr>
                <w:b/>
                <w:sz w:val="14"/>
              </w:rPr>
              <w:t>Less than 1 year</w:t>
            </w:r>
          </w:p>
        </w:tc>
        <w:tc>
          <w:tcPr>
            <w:tcW w:w="3472" w:type="dxa"/>
          </w:tcPr>
          <w:p>
            <w:pPr>
              <w:pStyle w:val="TableParagraph"/>
              <w:spacing w:line="161" w:lineRule="exact" w:before="82"/>
              <w:ind w:left="50"/>
              <w:rPr>
                <w:b/>
                <w:sz w:val="14"/>
              </w:rPr>
            </w:pPr>
            <w:r>
              <w:rPr>
                <w:b/>
                <w:sz w:val="14"/>
              </w:rPr>
              <w:t>Between 1 and</w:t>
            </w:r>
          </w:p>
          <w:p>
            <w:pPr>
              <w:pStyle w:val="TableParagraph"/>
              <w:tabs>
                <w:tab w:pos="1256" w:val="left" w:leader="none"/>
                <w:tab w:pos="2398" w:val="left" w:leader="none"/>
              </w:tabs>
              <w:ind w:left="302"/>
              <w:rPr>
                <w:b/>
                <w:sz w:val="14"/>
              </w:rPr>
            </w:pPr>
            <w:r>
              <w:rPr>
                <w:b/>
                <w:sz w:val="14"/>
              </w:rPr>
              <w:t>5 years</w:t>
              <w:tab/>
              <w:t>Over 5 years</w:t>
              <w:tab/>
              <w:t>Non</w:t>
            </w:r>
            <w:r>
              <w:rPr>
                <w:b/>
                <w:spacing w:val="2"/>
                <w:sz w:val="14"/>
              </w:rPr>
              <w:t> </w:t>
            </w:r>
            <w:r>
              <w:rPr>
                <w:b/>
                <w:sz w:val="14"/>
              </w:rPr>
              <w:t>interest</w:t>
            </w:r>
          </w:p>
        </w:tc>
        <w:tc>
          <w:tcPr>
            <w:tcW w:w="962" w:type="dxa"/>
          </w:tcPr>
          <w:p>
            <w:pPr>
              <w:pStyle w:val="TableParagraph"/>
              <w:spacing w:before="82"/>
              <w:ind w:left="159" w:right="241" w:hanging="34"/>
              <w:rPr>
                <w:b/>
                <w:sz w:val="14"/>
              </w:rPr>
            </w:pPr>
            <w:r>
              <w:rPr>
                <w:b/>
                <w:sz w:val="14"/>
              </w:rPr>
              <w:t>Carrying amount</w:t>
            </w:r>
          </w:p>
        </w:tc>
        <w:tc>
          <w:tcPr>
            <w:tcW w:w="981" w:type="dxa"/>
          </w:tcPr>
          <w:p>
            <w:pPr>
              <w:pStyle w:val="TableParagraph"/>
              <w:spacing w:before="82"/>
              <w:ind w:left="68" w:right="91" w:firstLine="128"/>
              <w:rPr>
                <w:b/>
                <w:sz w:val="14"/>
              </w:rPr>
            </w:pPr>
            <w:r>
              <w:rPr>
                <w:b/>
                <w:sz w:val="14"/>
              </w:rPr>
              <w:t>Average interest rate</w:t>
            </w:r>
          </w:p>
        </w:tc>
      </w:tr>
      <w:tr>
        <w:trPr>
          <w:trHeight w:val="226" w:hRule="exact"/>
        </w:trPr>
        <w:tc>
          <w:tcPr>
            <w:tcW w:w="2416" w:type="dxa"/>
          </w:tcPr>
          <w:p>
            <w:pPr>
              <w:pStyle w:val="TableParagraph"/>
              <w:spacing w:before="26"/>
              <w:ind w:left="35"/>
              <w:rPr>
                <w:b/>
                <w:sz w:val="14"/>
              </w:rPr>
            </w:pPr>
            <w:r>
              <w:rPr>
                <w:b/>
                <w:sz w:val="14"/>
              </w:rPr>
              <w:t>31 December 2016</w:t>
            </w:r>
          </w:p>
        </w:tc>
        <w:tc>
          <w:tcPr>
            <w:tcW w:w="1156" w:type="dxa"/>
          </w:tcPr>
          <w:p>
            <w:pPr>
              <w:pStyle w:val="TableParagraph"/>
              <w:spacing w:before="26"/>
              <w:ind w:right="48"/>
              <w:jc w:val="center"/>
              <w:rPr>
                <w:b/>
                <w:sz w:val="14"/>
              </w:rPr>
            </w:pPr>
            <w:r>
              <w:rPr>
                <w:b/>
                <w:w w:val="100"/>
                <w:sz w:val="14"/>
              </w:rPr>
              <w:t>$</w:t>
            </w:r>
          </w:p>
        </w:tc>
        <w:tc>
          <w:tcPr>
            <w:tcW w:w="3472" w:type="dxa"/>
          </w:tcPr>
          <w:p>
            <w:pPr>
              <w:pStyle w:val="TableParagraph"/>
              <w:tabs>
                <w:tab w:pos="1636" w:val="left" w:leader="none"/>
                <w:tab w:pos="2769" w:val="left" w:leader="none"/>
              </w:tabs>
              <w:spacing w:before="26"/>
              <w:ind w:left="504"/>
              <w:rPr>
                <w:b/>
                <w:sz w:val="14"/>
              </w:rPr>
            </w:pPr>
            <w:r>
              <w:rPr>
                <w:b/>
                <w:sz w:val="14"/>
              </w:rPr>
              <w:t>$</w:t>
              <w:tab/>
              <w:t>$</w:t>
              <w:tab/>
              <w:t>$</w:t>
            </w:r>
          </w:p>
        </w:tc>
        <w:tc>
          <w:tcPr>
            <w:tcW w:w="962" w:type="dxa"/>
          </w:tcPr>
          <w:p>
            <w:pPr>
              <w:pStyle w:val="TableParagraph"/>
              <w:spacing w:before="26"/>
              <w:ind w:right="134"/>
              <w:jc w:val="center"/>
              <w:rPr>
                <w:b/>
                <w:sz w:val="14"/>
              </w:rPr>
            </w:pPr>
            <w:r>
              <w:rPr>
                <w:b/>
                <w:w w:val="100"/>
                <w:sz w:val="14"/>
              </w:rPr>
              <w:t>$</w:t>
            </w:r>
          </w:p>
        </w:tc>
        <w:tc>
          <w:tcPr>
            <w:tcW w:w="981" w:type="dxa"/>
          </w:tcPr>
          <w:p>
            <w:pPr>
              <w:pStyle w:val="TableParagraph"/>
              <w:spacing w:before="26"/>
              <w:ind w:right="31"/>
              <w:jc w:val="center"/>
              <w:rPr>
                <w:b/>
                <w:sz w:val="14"/>
              </w:rPr>
            </w:pPr>
            <w:r>
              <w:rPr>
                <w:b/>
                <w:w w:val="100"/>
                <w:sz w:val="14"/>
              </w:rPr>
              <w:t>%</w:t>
            </w:r>
          </w:p>
        </w:tc>
      </w:tr>
      <w:tr>
        <w:trPr>
          <w:trHeight w:val="221" w:hRule="exact"/>
        </w:trPr>
        <w:tc>
          <w:tcPr>
            <w:tcW w:w="2416" w:type="dxa"/>
          </w:tcPr>
          <w:p>
            <w:pPr>
              <w:pStyle w:val="TableParagraph"/>
              <w:spacing w:before="25"/>
              <w:ind w:left="35"/>
              <w:rPr>
                <w:sz w:val="14"/>
              </w:rPr>
            </w:pPr>
            <w:r>
              <w:rPr>
                <w:sz w:val="14"/>
              </w:rPr>
              <w:t>Cash and cash equivalents</w:t>
            </w:r>
          </w:p>
        </w:tc>
        <w:tc>
          <w:tcPr>
            <w:tcW w:w="1156" w:type="dxa"/>
          </w:tcPr>
          <w:p>
            <w:pPr>
              <w:pStyle w:val="TableParagraph"/>
              <w:spacing w:before="24"/>
              <w:ind w:right="95"/>
              <w:jc w:val="right"/>
              <w:rPr>
                <w:sz w:val="14"/>
              </w:rPr>
            </w:pPr>
            <w:r>
              <w:rPr>
                <w:sz w:val="14"/>
              </w:rPr>
              <w:t>496,008</w:t>
            </w:r>
          </w:p>
        </w:tc>
        <w:tc>
          <w:tcPr>
            <w:tcW w:w="3472" w:type="dxa"/>
          </w:tcPr>
          <w:p>
            <w:pPr>
              <w:pStyle w:val="TableParagraph"/>
              <w:tabs>
                <w:tab w:pos="1978" w:val="left" w:leader="none"/>
                <w:tab w:pos="3111" w:val="left" w:leader="none"/>
              </w:tabs>
              <w:spacing w:before="24"/>
              <w:ind w:left="846"/>
              <w:rPr>
                <w:sz w:val="14"/>
              </w:rPr>
            </w:pPr>
            <w:r>
              <w:rPr>
                <w:sz w:val="14"/>
              </w:rPr>
              <w:t>-</w:t>
              <w:tab/>
              <w:t>-</w:t>
              <w:tab/>
              <w:t>-</w:t>
            </w:r>
          </w:p>
        </w:tc>
        <w:tc>
          <w:tcPr>
            <w:tcW w:w="962" w:type="dxa"/>
          </w:tcPr>
          <w:p>
            <w:pPr>
              <w:pStyle w:val="TableParagraph"/>
              <w:spacing w:before="24"/>
              <w:ind w:right="112"/>
              <w:jc w:val="right"/>
              <w:rPr>
                <w:sz w:val="14"/>
              </w:rPr>
            </w:pPr>
            <w:r>
              <w:rPr>
                <w:sz w:val="14"/>
              </w:rPr>
              <w:t>496,008</w:t>
            </w:r>
          </w:p>
        </w:tc>
        <w:tc>
          <w:tcPr>
            <w:tcW w:w="981" w:type="dxa"/>
          </w:tcPr>
          <w:p>
            <w:pPr>
              <w:pStyle w:val="TableParagraph"/>
              <w:spacing w:before="24"/>
              <w:ind w:right="73"/>
              <w:jc w:val="right"/>
              <w:rPr>
                <w:sz w:val="14"/>
              </w:rPr>
            </w:pPr>
            <w:r>
              <w:rPr>
                <w:w w:val="100"/>
                <w:sz w:val="14"/>
              </w:rPr>
              <w:t>2</w:t>
            </w:r>
          </w:p>
        </w:tc>
      </w:tr>
      <w:tr>
        <w:trPr>
          <w:trHeight w:val="218" w:hRule="exact"/>
        </w:trPr>
        <w:tc>
          <w:tcPr>
            <w:tcW w:w="2416" w:type="dxa"/>
          </w:tcPr>
          <w:p>
            <w:pPr>
              <w:pStyle w:val="TableParagraph"/>
              <w:spacing w:before="22"/>
              <w:ind w:left="35"/>
              <w:rPr>
                <w:sz w:val="14"/>
              </w:rPr>
            </w:pPr>
            <w:r>
              <w:rPr>
                <w:sz w:val="14"/>
              </w:rPr>
              <w:t>Trade and other receivables</w:t>
            </w:r>
          </w:p>
        </w:tc>
        <w:tc>
          <w:tcPr>
            <w:tcW w:w="1156" w:type="dxa"/>
          </w:tcPr>
          <w:p>
            <w:pPr>
              <w:pStyle w:val="TableParagraph"/>
              <w:spacing w:before="21"/>
              <w:ind w:right="95"/>
              <w:jc w:val="right"/>
              <w:rPr>
                <w:sz w:val="14"/>
              </w:rPr>
            </w:pPr>
            <w:r>
              <w:rPr>
                <w:sz w:val="14"/>
              </w:rPr>
              <w:t>2,696,450</w:t>
            </w:r>
          </w:p>
        </w:tc>
        <w:tc>
          <w:tcPr>
            <w:tcW w:w="3472" w:type="dxa"/>
          </w:tcPr>
          <w:p>
            <w:pPr>
              <w:pStyle w:val="TableParagraph"/>
              <w:tabs>
                <w:tab w:pos="1132" w:val="left" w:leader="none"/>
                <w:tab w:pos="1828" w:val="left" w:leader="none"/>
              </w:tabs>
              <w:spacing w:before="21"/>
              <w:ind w:right="171"/>
              <w:jc w:val="right"/>
              <w:rPr>
                <w:sz w:val="14"/>
              </w:rPr>
            </w:pPr>
            <w:r>
              <w:rPr>
                <w:sz w:val="14"/>
              </w:rPr>
              <w:t>-</w:t>
              <w:tab/>
              <w:t>-</w:t>
              <w:tab/>
              <w:t>2,696,450</w:t>
            </w:r>
          </w:p>
        </w:tc>
        <w:tc>
          <w:tcPr>
            <w:tcW w:w="962" w:type="dxa"/>
          </w:tcPr>
          <w:p>
            <w:pPr>
              <w:pStyle w:val="TableParagraph"/>
              <w:spacing w:before="21"/>
              <w:ind w:right="112"/>
              <w:jc w:val="right"/>
              <w:rPr>
                <w:sz w:val="14"/>
              </w:rPr>
            </w:pPr>
            <w:r>
              <w:rPr>
                <w:sz w:val="14"/>
              </w:rPr>
              <w:t>2,696,450</w:t>
            </w:r>
          </w:p>
        </w:tc>
        <w:tc>
          <w:tcPr>
            <w:tcW w:w="981" w:type="dxa"/>
          </w:tcPr>
          <w:p>
            <w:pPr>
              <w:pStyle w:val="TableParagraph"/>
              <w:spacing w:before="21"/>
              <w:ind w:right="215"/>
              <w:jc w:val="right"/>
              <w:rPr>
                <w:sz w:val="14"/>
              </w:rPr>
            </w:pPr>
            <w:r>
              <w:rPr>
                <w:w w:val="100"/>
                <w:sz w:val="14"/>
              </w:rPr>
              <w:t>-</w:t>
            </w:r>
          </w:p>
        </w:tc>
      </w:tr>
      <w:tr>
        <w:trPr>
          <w:trHeight w:val="218" w:hRule="exact"/>
        </w:trPr>
        <w:tc>
          <w:tcPr>
            <w:tcW w:w="2416" w:type="dxa"/>
          </w:tcPr>
          <w:p>
            <w:pPr>
              <w:pStyle w:val="TableParagraph"/>
              <w:spacing w:before="22"/>
              <w:ind w:left="35"/>
              <w:rPr>
                <w:sz w:val="14"/>
              </w:rPr>
            </w:pPr>
            <w:r>
              <w:rPr>
                <w:sz w:val="14"/>
              </w:rPr>
              <w:t>Trade and other payables</w:t>
            </w:r>
          </w:p>
        </w:tc>
        <w:tc>
          <w:tcPr>
            <w:tcW w:w="1156" w:type="dxa"/>
          </w:tcPr>
          <w:p>
            <w:pPr>
              <w:pStyle w:val="TableParagraph"/>
              <w:spacing w:before="21"/>
              <w:ind w:right="49"/>
              <w:jc w:val="right"/>
              <w:rPr>
                <w:sz w:val="14"/>
              </w:rPr>
            </w:pPr>
            <w:r>
              <w:rPr>
                <w:sz w:val="14"/>
              </w:rPr>
              <w:t>(1,446,162)</w:t>
            </w:r>
          </w:p>
        </w:tc>
        <w:tc>
          <w:tcPr>
            <w:tcW w:w="3472" w:type="dxa"/>
          </w:tcPr>
          <w:p>
            <w:pPr>
              <w:pStyle w:val="TableParagraph"/>
              <w:tabs>
                <w:tab w:pos="1132" w:val="left" w:leader="none"/>
                <w:tab w:pos="1781" w:val="left" w:leader="none"/>
              </w:tabs>
              <w:spacing w:before="21"/>
              <w:ind w:right="124"/>
              <w:jc w:val="right"/>
              <w:rPr>
                <w:sz w:val="14"/>
              </w:rPr>
            </w:pPr>
            <w:r>
              <w:rPr>
                <w:sz w:val="14"/>
              </w:rPr>
              <w:t>-</w:t>
              <w:tab/>
              <w:t>-</w:t>
              <w:tab/>
            </w:r>
            <w:r>
              <w:rPr>
                <w:spacing w:val="-1"/>
                <w:sz w:val="14"/>
              </w:rPr>
              <w:t>(1,446,162)</w:t>
            </w:r>
          </w:p>
        </w:tc>
        <w:tc>
          <w:tcPr>
            <w:tcW w:w="962" w:type="dxa"/>
          </w:tcPr>
          <w:p>
            <w:pPr>
              <w:pStyle w:val="TableParagraph"/>
              <w:spacing w:before="21"/>
              <w:ind w:right="66"/>
              <w:jc w:val="right"/>
              <w:rPr>
                <w:sz w:val="14"/>
              </w:rPr>
            </w:pPr>
            <w:r>
              <w:rPr>
                <w:sz w:val="14"/>
              </w:rPr>
              <w:t>(1,446,162)</w:t>
            </w:r>
          </w:p>
        </w:tc>
        <w:tc>
          <w:tcPr>
            <w:tcW w:w="981" w:type="dxa"/>
          </w:tcPr>
          <w:p>
            <w:pPr>
              <w:pStyle w:val="TableParagraph"/>
              <w:spacing w:before="21"/>
              <w:ind w:right="215"/>
              <w:jc w:val="right"/>
              <w:rPr>
                <w:sz w:val="14"/>
              </w:rPr>
            </w:pPr>
            <w:r>
              <w:rPr>
                <w:w w:val="100"/>
                <w:sz w:val="14"/>
              </w:rPr>
              <w:t>-</w:t>
            </w:r>
          </w:p>
        </w:tc>
      </w:tr>
      <w:tr>
        <w:trPr>
          <w:trHeight w:val="219" w:hRule="exact"/>
        </w:trPr>
        <w:tc>
          <w:tcPr>
            <w:tcW w:w="2416" w:type="dxa"/>
          </w:tcPr>
          <w:p>
            <w:pPr>
              <w:pStyle w:val="TableParagraph"/>
              <w:spacing w:before="22"/>
              <w:ind w:left="35"/>
              <w:rPr>
                <w:sz w:val="14"/>
              </w:rPr>
            </w:pPr>
            <w:r>
              <w:rPr>
                <w:sz w:val="14"/>
              </w:rPr>
              <w:t>Borrowings</w:t>
            </w:r>
          </w:p>
        </w:tc>
        <w:tc>
          <w:tcPr>
            <w:tcW w:w="1156" w:type="dxa"/>
            <w:tcBorders>
              <w:bottom w:val="single" w:sz="0" w:space="0" w:color="000000"/>
            </w:tcBorders>
          </w:tcPr>
          <w:p>
            <w:pPr>
              <w:pStyle w:val="TableParagraph"/>
              <w:spacing w:before="21"/>
              <w:ind w:right="49"/>
              <w:jc w:val="right"/>
              <w:rPr>
                <w:sz w:val="14"/>
              </w:rPr>
            </w:pPr>
            <w:r>
              <w:rPr>
                <w:sz w:val="14"/>
              </w:rPr>
              <w:t>(5,618,407)</w:t>
            </w:r>
          </w:p>
        </w:tc>
        <w:tc>
          <w:tcPr>
            <w:tcW w:w="3472" w:type="dxa"/>
            <w:tcBorders>
              <w:bottom w:val="single" w:sz="0" w:space="0" w:color="000000"/>
            </w:tcBorders>
          </w:tcPr>
          <w:p>
            <w:pPr>
              <w:pStyle w:val="TableParagraph"/>
              <w:tabs>
                <w:tab w:pos="1978" w:val="left" w:leader="none"/>
                <w:tab w:pos="3111" w:val="left" w:leader="none"/>
              </w:tabs>
              <w:spacing w:before="21"/>
              <w:ind w:left="846"/>
              <w:rPr>
                <w:sz w:val="14"/>
              </w:rPr>
            </w:pPr>
            <w:r>
              <w:rPr>
                <w:sz w:val="14"/>
              </w:rPr>
              <w:t>-</w:t>
              <w:tab/>
              <w:t>-</w:t>
              <w:tab/>
              <w:t>-</w:t>
            </w:r>
          </w:p>
        </w:tc>
        <w:tc>
          <w:tcPr>
            <w:tcW w:w="962" w:type="dxa"/>
            <w:tcBorders>
              <w:bottom w:val="single" w:sz="0" w:space="0" w:color="000000"/>
            </w:tcBorders>
          </w:tcPr>
          <w:p>
            <w:pPr>
              <w:pStyle w:val="TableParagraph"/>
              <w:spacing w:before="21"/>
              <w:ind w:right="66"/>
              <w:jc w:val="right"/>
              <w:rPr>
                <w:sz w:val="14"/>
              </w:rPr>
            </w:pPr>
            <w:r>
              <w:rPr>
                <w:sz w:val="14"/>
              </w:rPr>
              <w:t>(5,618,407)</w:t>
            </w:r>
          </w:p>
        </w:tc>
        <w:tc>
          <w:tcPr>
            <w:tcW w:w="981" w:type="dxa"/>
            <w:tcBorders>
              <w:bottom w:val="single" w:sz="0" w:space="0" w:color="000000"/>
            </w:tcBorders>
          </w:tcPr>
          <w:p>
            <w:pPr>
              <w:pStyle w:val="TableParagraph"/>
              <w:spacing w:before="21"/>
              <w:ind w:right="73"/>
              <w:jc w:val="right"/>
              <w:rPr>
                <w:sz w:val="14"/>
              </w:rPr>
            </w:pPr>
            <w:r>
              <w:rPr>
                <w:w w:val="100"/>
                <w:sz w:val="14"/>
              </w:rPr>
              <w:t>4</w:t>
            </w:r>
          </w:p>
        </w:tc>
      </w:tr>
    </w:tbl>
    <w:p>
      <w:pPr>
        <w:tabs>
          <w:tab w:pos="3838" w:val="left" w:leader="none"/>
          <w:tab w:pos="5453" w:val="left" w:leader="none"/>
          <w:tab w:pos="6586" w:val="left" w:leader="none"/>
          <w:tab w:pos="7282" w:val="left" w:leader="none"/>
          <w:tab w:pos="8255" w:val="left" w:leader="none"/>
        </w:tabs>
        <w:spacing w:before="123"/>
        <w:ind w:left="1071" w:right="220" w:firstLine="0"/>
        <w:jc w:val="left"/>
        <w:rPr>
          <w:sz w:val="14"/>
        </w:rPr>
      </w:pPr>
      <w:r>
        <w:rPr>
          <w:b/>
          <w:sz w:val="14"/>
        </w:rPr>
        <w:t>Total non derivatives</w:t>
        <w:tab/>
      </w:r>
      <w:r>
        <w:rPr>
          <w:sz w:val="14"/>
        </w:rPr>
        <w:t>(3,872,111)</w:t>
        <w:tab/>
        <w:t>-</w:t>
        <w:tab/>
        <w:t>-</w:t>
        <w:tab/>
        <w:t>1,250,288</w:t>
        <w:tab/>
        <w:t>(3,872,111)</w:t>
      </w:r>
    </w:p>
    <w:p>
      <w:pPr>
        <w:pStyle w:val="BodyText"/>
        <w:spacing w:line="60" w:lineRule="exact"/>
        <w:ind w:left="3451"/>
        <w:rPr>
          <w:sz w:val="6"/>
        </w:rPr>
      </w:pPr>
      <w:r>
        <w:rPr>
          <w:position w:val="0"/>
          <w:sz w:val="6"/>
        </w:rPr>
        <w:pict>
          <v:group style="width:328.7pt;height:3.05pt;mso-position-horizontal-relative:char;mso-position-vertical-relative:line" coordorigin="0,0" coordsize="6574,61">
            <v:line style="position:absolute" from="1,1" to="1134,1" stroked="true" strokeweight=".06pt" strokecolor="#000000"/>
            <v:line style="position:absolute" from="1,2" to="1134,2" stroked="true" strokeweight=".06pt" strokecolor="#000000"/>
            <v:line style="position:absolute" from="1,3" to="1134,3" stroked="true" strokeweight=".06pt" strokecolor="#000000"/>
            <v:line style="position:absolute" from="1,5" to="1134,5" stroked="true" strokeweight=".06pt" strokecolor="#000000"/>
            <v:line style="position:absolute" from="1,6" to="1134,6" stroked="true" strokeweight=".06pt" strokecolor="#000000"/>
            <v:line style="position:absolute" from="1,7" to="1134,7" stroked="true" strokeweight=".06pt" strokecolor="#000000"/>
            <v:line style="position:absolute" from="1,8" to="1134,8" stroked="true" strokeweight=".06pt" strokecolor="#000000"/>
            <v:line style="position:absolute" from="1,9" to="1134,9" stroked="true" strokeweight=".06pt" strokecolor="#000000"/>
            <v:line style="position:absolute" from="1,11" to="1134,11" stroked="true" strokeweight=".06pt" strokecolor="#000000"/>
            <v:line style="position:absolute" from="1,12" to="1134,12" stroked="true" strokeweight=".06pt" strokecolor="#000000"/>
            <v:line style="position:absolute" from="1,13" to="1134,13" stroked="true" strokeweight=".06pt" strokecolor="#000000"/>
            <v:line style="position:absolute" from="1,14" to="1134,14" stroked="true" strokeweight=".06pt" strokecolor="#000000"/>
            <v:line style="position:absolute" from="1,15" to="1134,15" stroked="true" strokeweight=".06pt" strokecolor="#000000"/>
            <v:line style="position:absolute" from="1,17" to="1134,17" stroked="true" strokeweight=".06pt" strokecolor="#000000"/>
            <v:line style="position:absolute" from="1,18" to="1134,18" stroked="true" strokeweight=".06pt" strokecolor="#000000"/>
            <v:line style="position:absolute" from="1,19" to="1134,19" stroked="true" strokeweight=".06pt" strokecolor="#000000"/>
            <v:line style="position:absolute" from="1,42" to="1134,42" stroked="true" strokeweight=".06pt" strokecolor="#000000"/>
            <v:line style="position:absolute" from="1,43" to="1134,43" stroked="true" strokeweight=".06pt" strokecolor="#000000"/>
            <v:line style="position:absolute" from="1,44" to="1134,44" stroked="true" strokeweight=".06pt" strokecolor="#000000"/>
            <v:line style="position:absolute" from="1,45" to="1134,45" stroked="true" strokeweight=".06pt" strokecolor="#000000"/>
            <v:line style="position:absolute" from="1,47" to="1134,47" stroked="true" strokeweight=".06pt" strokecolor="#000000"/>
            <v:line style="position:absolute" from="1,48" to="1134,48" stroked="true" strokeweight=".06pt" strokecolor="#000000"/>
            <v:line style="position:absolute" from="1,49" to="1134,49" stroked="true" strokeweight=".06pt" strokecolor="#000000"/>
            <v:line style="position:absolute" from="1,50" to="1134,50" stroked="true" strokeweight=".06pt" strokecolor="#000000"/>
            <v:line style="position:absolute" from="1,51" to="1134,51" stroked="true" strokeweight=".06pt" strokecolor="#000000"/>
            <v:line style="position:absolute" from="1,53" to="1134,53" stroked="true" strokeweight=".06pt" strokecolor="#000000"/>
            <v:line style="position:absolute" from="1,54" to="1134,54" stroked="true" strokeweight=".06pt" strokecolor="#000000"/>
            <v:line style="position:absolute" from="1,55" to="1134,55" stroked="true" strokeweight=".06pt" strokecolor="#000000"/>
            <v:line style="position:absolute" from="1,56" to="1134,56" stroked="true" strokeweight=".06pt" strokecolor="#000000"/>
            <v:line style="position:absolute" from="1,57" to="1134,57" stroked="true" strokeweight=".06pt" strokecolor="#000000"/>
            <v:line style="position:absolute" from="1,59" to="1134,59" stroked="true" strokeweight=".06pt" strokecolor="#000000"/>
            <v:line style="position:absolute" from="1,60" to="1134,60" stroked="true" strokeweight=".06pt" strokecolor="#000000"/>
            <v:line style="position:absolute" from="1134,1" to="2267,1" stroked="true" strokeweight=".06pt" strokecolor="#000000"/>
            <v:line style="position:absolute" from="1134,2" to="2267,2" stroked="true" strokeweight=".06pt" strokecolor="#000000"/>
            <v:line style="position:absolute" from="1134,3" to="2267,3" stroked="true" strokeweight=".06pt" strokecolor="#000000"/>
            <v:line style="position:absolute" from="1134,5" to="2267,5" stroked="true" strokeweight=".06pt" strokecolor="#000000"/>
            <v:line style="position:absolute" from="1134,6" to="2267,6" stroked="true" strokeweight=".06pt" strokecolor="#000000"/>
            <v:line style="position:absolute" from="1134,7" to="2267,7" stroked="true" strokeweight=".06pt" strokecolor="#000000"/>
            <v:line style="position:absolute" from="1134,8" to="2267,8" stroked="true" strokeweight=".06pt" strokecolor="#000000"/>
            <v:line style="position:absolute" from="1134,9" to="2267,9" stroked="true" strokeweight=".06pt" strokecolor="#000000"/>
            <v:line style="position:absolute" from="1134,11" to="2267,11" stroked="true" strokeweight=".06pt" strokecolor="#000000"/>
            <v:line style="position:absolute" from="1134,12" to="2267,12" stroked="true" strokeweight=".06pt" strokecolor="#000000"/>
            <v:line style="position:absolute" from="1134,13" to="2267,13" stroked="true" strokeweight=".06pt" strokecolor="#000000"/>
            <v:line style="position:absolute" from="1134,14" to="2267,14" stroked="true" strokeweight=".06pt" strokecolor="#000000"/>
            <v:line style="position:absolute" from="1134,15" to="2267,15" stroked="true" strokeweight=".06pt" strokecolor="#000000"/>
            <v:line style="position:absolute" from="1134,17" to="2267,17" stroked="true" strokeweight=".06pt" strokecolor="#000000"/>
            <v:line style="position:absolute" from="1134,18" to="2267,18" stroked="true" strokeweight=".06pt" strokecolor="#000000"/>
            <v:line style="position:absolute" from="1134,19" to="2267,19" stroked="true" strokeweight=".06pt" strokecolor="#000000"/>
            <v:line style="position:absolute" from="1134,42" to="2267,42" stroked="true" strokeweight=".06pt" strokecolor="#000000"/>
            <v:line style="position:absolute" from="1134,43" to="2267,43" stroked="true" strokeweight=".06pt" strokecolor="#000000"/>
            <v:line style="position:absolute" from="1134,44" to="2267,44" stroked="true" strokeweight=".06pt" strokecolor="#000000"/>
            <v:line style="position:absolute" from="1134,45" to="2267,45" stroked="true" strokeweight=".06pt" strokecolor="#000000"/>
            <v:line style="position:absolute" from="1134,47" to="2267,47" stroked="true" strokeweight=".06pt" strokecolor="#000000"/>
            <v:line style="position:absolute" from="1134,48" to="2267,48" stroked="true" strokeweight=".06pt" strokecolor="#000000"/>
            <v:line style="position:absolute" from="1134,49" to="2267,49" stroked="true" strokeweight=".06pt" strokecolor="#000000"/>
            <v:line style="position:absolute" from="1134,50" to="2267,50" stroked="true" strokeweight=".06pt" strokecolor="#000000"/>
            <v:line style="position:absolute" from="1134,51" to="2267,51" stroked="true" strokeweight=".06pt" strokecolor="#000000"/>
            <v:line style="position:absolute" from="1134,53" to="2267,53" stroked="true" strokeweight=".06pt" strokecolor="#000000"/>
            <v:line style="position:absolute" from="1134,54" to="2267,54" stroked="true" strokeweight=".06pt" strokecolor="#000000"/>
            <v:line style="position:absolute" from="1134,55" to="2267,55" stroked="true" strokeweight=".06pt" strokecolor="#000000"/>
            <v:line style="position:absolute" from="1134,56" to="2267,56" stroked="true" strokeweight=".06pt" strokecolor="#000000"/>
            <v:line style="position:absolute" from="1134,57" to="2267,57" stroked="true" strokeweight=".06pt" strokecolor="#000000"/>
            <v:line style="position:absolute" from="1134,59" to="2267,59" stroked="true" strokeweight=".06pt" strokecolor="#000000"/>
            <v:line style="position:absolute" from="1134,60" to="2267,60" stroked="true" strokeweight=".06pt" strokecolor="#000000"/>
            <v:line style="position:absolute" from="2267,1" to="3399,1" stroked="true" strokeweight=".06pt" strokecolor="#000000"/>
            <v:line style="position:absolute" from="2267,2" to="3399,2" stroked="true" strokeweight=".06pt" strokecolor="#000000"/>
            <v:line style="position:absolute" from="2267,3" to="3399,3" stroked="true" strokeweight=".06pt" strokecolor="#000000"/>
            <v:line style="position:absolute" from="2267,5" to="3399,5" stroked="true" strokeweight=".06pt" strokecolor="#000000"/>
            <v:line style="position:absolute" from="2267,6" to="3399,6" stroked="true" strokeweight=".06pt" strokecolor="#000000"/>
            <v:line style="position:absolute" from="2267,7" to="3399,7" stroked="true" strokeweight=".06pt" strokecolor="#000000"/>
            <v:line style="position:absolute" from="2267,8" to="3399,8" stroked="true" strokeweight=".06pt" strokecolor="#000000"/>
            <v:line style="position:absolute" from="2267,9" to="3399,9" stroked="true" strokeweight=".06pt" strokecolor="#000000"/>
            <v:line style="position:absolute" from="2267,11" to="3399,11" stroked="true" strokeweight=".06pt" strokecolor="#000000"/>
            <v:line style="position:absolute" from="2267,12" to="3399,12" stroked="true" strokeweight=".06pt" strokecolor="#000000"/>
            <v:line style="position:absolute" from="2267,13" to="3399,13" stroked="true" strokeweight=".06pt" strokecolor="#000000"/>
            <v:line style="position:absolute" from="2267,14" to="3399,14" stroked="true" strokeweight=".06pt" strokecolor="#000000"/>
            <v:line style="position:absolute" from="2267,15" to="3399,15" stroked="true" strokeweight=".06pt" strokecolor="#000000"/>
            <v:line style="position:absolute" from="2267,17" to="3399,17" stroked="true" strokeweight=".06pt" strokecolor="#000000"/>
            <v:line style="position:absolute" from="2267,18" to="3399,18" stroked="true" strokeweight=".06pt" strokecolor="#000000"/>
            <v:line style="position:absolute" from="2267,19" to="3399,19" stroked="true" strokeweight=".06pt" strokecolor="#000000"/>
            <v:line style="position:absolute" from="2267,42" to="3399,42" stroked="true" strokeweight=".06pt" strokecolor="#000000"/>
            <v:line style="position:absolute" from="2267,43" to="3399,43" stroked="true" strokeweight=".06pt" strokecolor="#000000"/>
            <v:line style="position:absolute" from="2267,44" to="3399,44" stroked="true" strokeweight=".06pt" strokecolor="#000000"/>
            <v:line style="position:absolute" from="2267,45" to="3399,45" stroked="true" strokeweight=".06pt" strokecolor="#000000"/>
            <v:line style="position:absolute" from="2267,47" to="3399,47" stroked="true" strokeweight=".06pt" strokecolor="#000000"/>
            <v:line style="position:absolute" from="2267,48" to="3399,48" stroked="true" strokeweight=".06pt" strokecolor="#000000"/>
            <v:line style="position:absolute" from="2267,49" to="3399,49" stroked="true" strokeweight=".06pt" strokecolor="#000000"/>
            <v:line style="position:absolute" from="2267,50" to="3399,50" stroked="true" strokeweight=".06pt" strokecolor="#000000"/>
            <v:line style="position:absolute" from="2267,51" to="3399,51" stroked="true" strokeweight=".06pt" strokecolor="#000000"/>
            <v:line style="position:absolute" from="2267,53" to="3399,53" stroked="true" strokeweight=".06pt" strokecolor="#000000"/>
            <v:line style="position:absolute" from="2267,54" to="3399,54" stroked="true" strokeweight=".06pt" strokecolor="#000000"/>
            <v:line style="position:absolute" from="2267,55" to="3399,55" stroked="true" strokeweight=".06pt" strokecolor="#000000"/>
            <v:line style="position:absolute" from="2267,56" to="3399,56" stroked="true" strokeweight=".06pt" strokecolor="#000000"/>
            <v:line style="position:absolute" from="2267,57" to="3399,57" stroked="true" strokeweight=".06pt" strokecolor="#000000"/>
            <v:line style="position:absolute" from="2267,59" to="3399,59" stroked="true" strokeweight=".06pt" strokecolor="#000000"/>
            <v:line style="position:absolute" from="2267,60" to="3399,60" stroked="true" strokeweight=".06pt" strokecolor="#000000"/>
            <v:line style="position:absolute" from="3399,1" to="4532,1" stroked="true" strokeweight=".06pt" strokecolor="#000000"/>
            <v:line style="position:absolute" from="3399,2" to="4532,2" stroked="true" strokeweight=".06pt" strokecolor="#000000"/>
            <v:line style="position:absolute" from="3399,3" to="4532,3" stroked="true" strokeweight=".06pt" strokecolor="#000000"/>
            <v:line style="position:absolute" from="3399,5" to="4532,5" stroked="true" strokeweight=".06pt" strokecolor="#000000"/>
            <v:line style="position:absolute" from="3399,6" to="4532,6" stroked="true" strokeweight=".06pt" strokecolor="#000000"/>
            <v:line style="position:absolute" from="3399,7" to="4532,7" stroked="true" strokeweight=".06pt" strokecolor="#000000"/>
            <v:line style="position:absolute" from="3399,8" to="4532,8" stroked="true" strokeweight=".06pt" strokecolor="#000000"/>
            <v:line style="position:absolute" from="3399,9" to="4532,9" stroked="true" strokeweight=".06pt" strokecolor="#000000"/>
            <v:line style="position:absolute" from="3399,11" to="4532,11" stroked="true" strokeweight=".06pt" strokecolor="#000000"/>
            <v:line style="position:absolute" from="3399,12" to="4532,12" stroked="true" strokeweight=".06pt" strokecolor="#000000"/>
            <v:line style="position:absolute" from="3399,13" to="4532,13" stroked="true" strokeweight=".06pt" strokecolor="#000000"/>
            <v:line style="position:absolute" from="3399,14" to="4532,14" stroked="true" strokeweight=".06pt" strokecolor="#000000"/>
            <v:line style="position:absolute" from="3399,15" to="4532,15" stroked="true" strokeweight=".06pt" strokecolor="#000000"/>
            <v:line style="position:absolute" from="3399,17" to="4532,17" stroked="true" strokeweight=".06pt" strokecolor="#000000"/>
            <v:line style="position:absolute" from="3399,18" to="4532,18" stroked="true" strokeweight=".06pt" strokecolor="#000000"/>
            <v:line style="position:absolute" from="3399,19" to="4532,19" stroked="true" strokeweight=".06pt" strokecolor="#000000"/>
            <v:line style="position:absolute" from="3399,42" to="4532,42" stroked="true" strokeweight=".06pt" strokecolor="#000000"/>
            <v:line style="position:absolute" from="3399,43" to="4532,43" stroked="true" strokeweight=".06pt" strokecolor="#000000"/>
            <v:line style="position:absolute" from="3399,44" to="4532,44" stroked="true" strokeweight=".06pt" strokecolor="#000000"/>
            <v:line style="position:absolute" from="3399,45" to="4532,45" stroked="true" strokeweight=".06pt" strokecolor="#000000"/>
            <v:line style="position:absolute" from="3399,47" to="4532,47" stroked="true" strokeweight=".06pt" strokecolor="#000000"/>
            <v:line style="position:absolute" from="3399,48" to="4532,48" stroked="true" strokeweight=".06pt" strokecolor="#000000"/>
            <v:line style="position:absolute" from="3399,49" to="4532,49" stroked="true" strokeweight=".06pt" strokecolor="#000000"/>
            <v:line style="position:absolute" from="3399,50" to="4532,50" stroked="true" strokeweight=".06pt" strokecolor="#000000"/>
            <v:line style="position:absolute" from="3399,51" to="4532,51" stroked="true" strokeweight=".06pt" strokecolor="#000000"/>
            <v:line style="position:absolute" from="3399,53" to="4532,53" stroked="true" strokeweight=".06pt" strokecolor="#000000"/>
            <v:line style="position:absolute" from="3399,54" to="4532,54" stroked="true" strokeweight=".06pt" strokecolor="#000000"/>
            <v:line style="position:absolute" from="3399,55" to="4532,55" stroked="true" strokeweight=".06pt" strokecolor="#000000"/>
            <v:line style="position:absolute" from="3399,56" to="4532,56" stroked="true" strokeweight=".06pt" strokecolor="#000000"/>
            <v:line style="position:absolute" from="3399,57" to="4532,57" stroked="true" strokeweight=".06pt" strokecolor="#000000"/>
            <v:line style="position:absolute" from="3399,59" to="4532,59" stroked="true" strokeweight=".06pt" strokecolor="#000000"/>
            <v:line style="position:absolute" from="3399,60" to="4532,60" stroked="true" strokeweight=".06pt" strokecolor="#000000"/>
            <v:line style="position:absolute" from="4532,1" to="5552,1" stroked="true" strokeweight=".06pt" strokecolor="#000000"/>
            <v:line style="position:absolute" from="4532,2" to="5552,2" stroked="true" strokeweight=".06pt" strokecolor="#000000"/>
            <v:line style="position:absolute" from="4532,3" to="5552,3" stroked="true" strokeweight=".06pt" strokecolor="#000000"/>
            <v:line style="position:absolute" from="4532,5" to="5552,5" stroked="true" strokeweight=".06pt" strokecolor="#000000"/>
            <v:line style="position:absolute" from="4532,6" to="5552,6" stroked="true" strokeweight=".06pt" strokecolor="#000000"/>
            <v:line style="position:absolute" from="4532,7" to="5552,7" stroked="true" strokeweight=".06pt" strokecolor="#000000"/>
            <v:line style="position:absolute" from="4532,8" to="5552,8" stroked="true" strokeweight=".06pt" strokecolor="#000000"/>
            <v:line style="position:absolute" from="4532,9" to="5552,9" stroked="true" strokeweight=".06pt" strokecolor="#000000"/>
            <v:line style="position:absolute" from="4532,11" to="5552,11" stroked="true" strokeweight=".06pt" strokecolor="#000000"/>
            <v:line style="position:absolute" from="4532,12" to="5552,12" stroked="true" strokeweight=".06pt" strokecolor="#000000"/>
            <v:line style="position:absolute" from="4532,13" to="5552,13" stroked="true" strokeweight=".06pt" strokecolor="#000000"/>
            <v:line style="position:absolute" from="4532,14" to="5552,14" stroked="true" strokeweight=".06pt" strokecolor="#000000"/>
            <v:line style="position:absolute" from="4532,15" to="5552,15" stroked="true" strokeweight=".06pt" strokecolor="#000000"/>
            <v:line style="position:absolute" from="4532,17" to="5552,17" stroked="true" strokeweight=".06pt" strokecolor="#000000"/>
            <v:line style="position:absolute" from="4532,18" to="5552,18" stroked="true" strokeweight=".06pt" strokecolor="#000000"/>
            <v:line style="position:absolute" from="4532,19" to="5552,19" stroked="true" strokeweight=".06pt" strokecolor="#000000"/>
            <v:line style="position:absolute" from="4532,42" to="5552,42" stroked="true" strokeweight=".06pt" strokecolor="#000000"/>
            <v:line style="position:absolute" from="4532,43" to="5552,43" stroked="true" strokeweight=".06pt" strokecolor="#000000"/>
            <v:line style="position:absolute" from="4532,44" to="5552,44" stroked="true" strokeweight=".06pt" strokecolor="#000000"/>
            <v:line style="position:absolute" from="4532,45" to="5552,45" stroked="true" strokeweight=".06pt" strokecolor="#000000"/>
            <v:line style="position:absolute" from="4532,47" to="5552,47" stroked="true" strokeweight=".06pt" strokecolor="#000000"/>
            <v:line style="position:absolute" from="4532,48" to="5552,48" stroked="true" strokeweight=".06pt" strokecolor="#000000"/>
            <v:line style="position:absolute" from="4532,49" to="5552,49" stroked="true" strokeweight=".06pt" strokecolor="#000000"/>
            <v:line style="position:absolute" from="4532,50" to="5552,50" stroked="true" strokeweight=".06pt" strokecolor="#000000"/>
            <v:line style="position:absolute" from="4532,51" to="5552,51" stroked="true" strokeweight=".06pt" strokecolor="#000000"/>
            <v:line style="position:absolute" from="4532,53" to="5552,53" stroked="true" strokeweight=".06pt" strokecolor="#000000"/>
            <v:line style="position:absolute" from="4532,54" to="5552,54" stroked="true" strokeweight=".06pt" strokecolor="#000000"/>
            <v:line style="position:absolute" from="4532,55" to="5552,55" stroked="true" strokeweight=".06pt" strokecolor="#000000"/>
            <v:line style="position:absolute" from="4532,56" to="5552,56" stroked="true" strokeweight=".06pt" strokecolor="#000000"/>
            <v:line style="position:absolute" from="4532,57" to="5552,57" stroked="true" strokeweight=".06pt" strokecolor="#000000"/>
            <v:line style="position:absolute" from="4532,59" to="5552,59" stroked="true" strokeweight=".06pt" strokecolor="#000000"/>
            <v:line style="position:absolute" from="4532,60" to="5552,60" stroked="true" strokeweight=".06pt" strokecolor="#000000"/>
            <v:line style="position:absolute" from="5552,1" to="6572,1" stroked="true" strokeweight=".06pt" strokecolor="#000000"/>
            <v:line style="position:absolute" from="5552,2" to="6572,2" stroked="true" strokeweight=".06pt" strokecolor="#000000"/>
            <v:line style="position:absolute" from="5552,3" to="6572,3" stroked="true" strokeweight=".06pt" strokecolor="#000000"/>
            <v:line style="position:absolute" from="5552,5" to="6572,5" stroked="true" strokeweight=".06pt" strokecolor="#000000"/>
            <v:line style="position:absolute" from="5552,6" to="6572,6" stroked="true" strokeweight=".06pt" strokecolor="#000000"/>
            <v:line style="position:absolute" from="5552,7" to="6572,7" stroked="true" strokeweight=".06pt" strokecolor="#000000"/>
            <v:line style="position:absolute" from="5552,8" to="6572,8" stroked="true" strokeweight=".06pt" strokecolor="#000000"/>
            <v:line style="position:absolute" from="5552,9" to="6572,9" stroked="true" strokeweight=".06pt" strokecolor="#000000"/>
            <v:line style="position:absolute" from="5552,11" to="6572,11" stroked="true" strokeweight=".06pt" strokecolor="#000000"/>
            <v:line style="position:absolute" from="5552,12" to="6572,12" stroked="true" strokeweight=".06pt" strokecolor="#000000"/>
            <v:line style="position:absolute" from="5552,13" to="6572,13" stroked="true" strokeweight=".06pt" strokecolor="#000000"/>
            <v:line style="position:absolute" from="5552,14" to="6572,14" stroked="true" strokeweight=".06pt" strokecolor="#000000"/>
            <v:line style="position:absolute" from="5552,15" to="6572,15" stroked="true" strokeweight=".06pt" strokecolor="#000000"/>
            <v:line style="position:absolute" from="5552,17" to="6572,17" stroked="true" strokeweight=".06pt" strokecolor="#000000"/>
            <v:line style="position:absolute" from="5552,18" to="6572,18" stroked="true" strokeweight=".06pt" strokecolor="#000000"/>
            <v:line style="position:absolute" from="5552,19" to="6572,19" stroked="true" strokeweight=".06pt" strokecolor="#000000"/>
            <v:line style="position:absolute" from="5552,42" to="6572,42" stroked="true" strokeweight=".06pt" strokecolor="#000000"/>
            <v:line style="position:absolute" from="5552,43" to="6572,43" stroked="true" strokeweight=".06pt" strokecolor="#000000"/>
            <v:line style="position:absolute" from="5552,44" to="6572,44" stroked="true" strokeweight=".06pt" strokecolor="#000000"/>
            <v:line style="position:absolute" from="5552,45" to="6572,45" stroked="true" strokeweight=".06pt" strokecolor="#000000"/>
            <v:line style="position:absolute" from="5552,47" to="6572,47" stroked="true" strokeweight=".06pt" strokecolor="#000000"/>
            <v:line style="position:absolute" from="5552,48" to="6572,48" stroked="true" strokeweight=".06pt" strokecolor="#000000"/>
            <v:line style="position:absolute" from="5552,49" to="6572,49" stroked="true" strokeweight=".06pt" strokecolor="#000000"/>
            <v:line style="position:absolute" from="5552,50" to="6572,50" stroked="true" strokeweight=".06pt" strokecolor="#000000"/>
            <v:line style="position:absolute" from="5552,51" to="6572,51" stroked="true" strokeweight=".06pt" strokecolor="#000000"/>
            <v:line style="position:absolute" from="5552,53" to="6572,53" stroked="true" strokeweight=".06pt" strokecolor="#000000"/>
            <v:line style="position:absolute" from="5552,54" to="6572,54" stroked="true" strokeweight=".06pt" strokecolor="#000000"/>
            <v:line style="position:absolute" from="5552,55" to="6572,55" stroked="true" strokeweight=".06pt" strokecolor="#000000"/>
            <v:line style="position:absolute" from="5552,56" to="6572,56" stroked="true" strokeweight=".06pt" strokecolor="#000000"/>
            <v:line style="position:absolute" from="5552,57" to="6572,57" stroked="true" strokeweight=".06pt" strokecolor="#000000"/>
            <v:line style="position:absolute" from="5552,59" to="6572,59" stroked="true" strokeweight=".06pt" strokecolor="#000000"/>
            <v:line style="position:absolute" from="5552,60" to="6572,60" stroked="true" strokeweight=".06pt" strokecolor="#000000"/>
          </v:group>
        </w:pict>
      </w:r>
      <w:r>
        <w:rPr>
          <w:position w:val="0"/>
          <w:sz w:val="6"/>
        </w:rPr>
      </w:r>
    </w:p>
    <w:p>
      <w:pPr>
        <w:spacing w:after="0" w:line="60" w:lineRule="exact"/>
        <w:rPr>
          <w:sz w:val="6"/>
        </w:rPr>
        <w:sectPr>
          <w:pgSz w:w="11910" w:h="16840"/>
          <w:pgMar w:header="1038" w:footer="460" w:top="1460" w:bottom="700" w:left="900" w:right="880"/>
        </w:sectPr>
      </w:pPr>
    </w:p>
    <w:p>
      <w:pPr>
        <w:pStyle w:val="BodyText"/>
        <w:spacing w:before="2"/>
        <w:rPr>
          <w:sz w:val="24"/>
        </w:rPr>
      </w:pPr>
    </w:p>
    <w:p>
      <w:pPr>
        <w:pStyle w:val="Heading3"/>
        <w:ind w:right="220"/>
      </w:pPr>
      <w:r>
        <w:rPr/>
        <w:t>Notes to the Financial Statements</w:t>
      </w:r>
    </w:p>
    <w:p>
      <w:pPr>
        <w:pStyle w:val="Heading6"/>
        <w:ind w:left="107" w:right="220"/>
      </w:pPr>
      <w:r>
        <w:rPr/>
        <w:t>For the Year Ended 31 December 2017</w:t>
      </w:r>
    </w:p>
    <w:p>
      <w:pPr>
        <w:pStyle w:val="BodyText"/>
        <w:spacing w:before="11"/>
        <w:rPr>
          <w:b/>
          <w:sz w:val="24"/>
        </w:rPr>
      </w:pPr>
    </w:p>
    <w:p>
      <w:pPr>
        <w:pStyle w:val="Heading9"/>
        <w:numPr>
          <w:ilvl w:val="0"/>
          <w:numId w:val="64"/>
        </w:numPr>
        <w:tabs>
          <w:tab w:pos="506" w:val="left" w:leader="none"/>
        </w:tabs>
        <w:spacing w:line="240" w:lineRule="auto" w:before="0" w:after="0"/>
        <w:ind w:left="505" w:right="0" w:hanging="396"/>
        <w:jc w:val="left"/>
      </w:pPr>
      <w:r>
        <w:rPr/>
        <w:t>Financial Risk Management</w:t>
      </w:r>
      <w:r>
        <w:rPr>
          <w:spacing w:val="-3"/>
        </w:rPr>
        <w:t> </w:t>
      </w:r>
      <w:r>
        <w:rPr/>
        <w:t>(Continued)</w:t>
      </w:r>
    </w:p>
    <w:p>
      <w:pPr>
        <w:pStyle w:val="ListParagraph"/>
        <w:numPr>
          <w:ilvl w:val="0"/>
          <w:numId w:val="63"/>
        </w:numPr>
        <w:tabs>
          <w:tab w:pos="1072" w:val="left" w:leader="none"/>
        </w:tabs>
        <w:spacing w:line="240" w:lineRule="auto" w:before="18" w:after="0"/>
        <w:ind w:left="1071" w:right="0" w:hanging="566"/>
        <w:jc w:val="left"/>
        <w:rPr>
          <w:b/>
          <w:sz w:val="18"/>
        </w:rPr>
      </w:pPr>
      <w:r>
        <w:rPr>
          <w:b/>
          <w:sz w:val="18"/>
        </w:rPr>
        <w:t>Fair value</w:t>
      </w:r>
      <w:r>
        <w:rPr>
          <w:b/>
          <w:spacing w:val="-1"/>
          <w:sz w:val="18"/>
        </w:rPr>
        <w:t> </w:t>
      </w:r>
      <w:r>
        <w:rPr>
          <w:b/>
          <w:sz w:val="18"/>
        </w:rPr>
        <w:t>measurements</w:t>
      </w:r>
    </w:p>
    <w:p>
      <w:pPr>
        <w:pStyle w:val="BodyText"/>
        <w:spacing w:before="4"/>
        <w:rPr>
          <w:b/>
          <w:sz w:val="25"/>
        </w:rPr>
      </w:pPr>
    </w:p>
    <w:p>
      <w:pPr>
        <w:pStyle w:val="BodyText"/>
        <w:ind w:left="1072" w:right="253"/>
      </w:pPr>
      <w:r>
        <w:rPr/>
        <w:t>The fair value of financial assets and financial liabilities must be estimated for recognition and measurement or for disclosure purposes.</w:t>
      </w:r>
    </w:p>
    <w:p>
      <w:pPr>
        <w:pStyle w:val="BodyText"/>
        <w:rPr>
          <w:sz w:val="25"/>
        </w:rPr>
      </w:pPr>
    </w:p>
    <w:p>
      <w:pPr>
        <w:pStyle w:val="BodyText"/>
        <w:ind w:left="1072" w:right="839"/>
      </w:pPr>
      <w:r>
        <w:rPr/>
        <w:t>As the Company's financial instruments are short term in nature, their carrying values recognised in the statement of financial position approximates their fair value.</w:t>
      </w:r>
    </w:p>
    <w:p>
      <w:pPr>
        <w:pStyle w:val="BodyText"/>
        <w:rPr>
          <w:sz w:val="25"/>
        </w:rPr>
      </w:pPr>
    </w:p>
    <w:p>
      <w:pPr>
        <w:pStyle w:val="BodyText"/>
        <w:ind w:left="1072" w:right="220"/>
      </w:pPr>
      <w:r>
        <w:rPr/>
        <w:t>The carrying amount and aggregate fair values of financial assets and financial liabilities at balance date are:</w:t>
      </w:r>
    </w:p>
    <w:p>
      <w:pPr>
        <w:pStyle w:val="BodyText"/>
      </w:pPr>
    </w:p>
    <w:p>
      <w:pPr>
        <w:pStyle w:val="BodyText"/>
      </w:pPr>
    </w:p>
    <w:p>
      <w:pPr>
        <w:pStyle w:val="BodyText"/>
        <w:spacing w:before="9"/>
        <w:rPr>
          <w:sz w:val="23"/>
        </w:rPr>
      </w:pPr>
    </w:p>
    <w:p>
      <w:pPr>
        <w:pStyle w:val="Heading9"/>
        <w:tabs>
          <w:tab w:pos="8333" w:val="left" w:leader="none"/>
        </w:tabs>
        <w:ind w:left="5437" w:right="220"/>
      </w:pPr>
      <w:r>
        <w:rPr/>
        <w:t>Carrying Amount</w:t>
        <w:tab/>
        <w:t>Fair Value</w:t>
      </w:r>
    </w:p>
    <w:p>
      <w:pPr>
        <w:spacing w:after="0"/>
        <w:sectPr>
          <w:pgSz w:w="11910" w:h="16840"/>
          <w:pgMar w:header="1038" w:footer="460" w:top="1460" w:bottom="700" w:left="900" w:right="880"/>
        </w:sectPr>
      </w:pPr>
    </w:p>
    <w:p>
      <w:pPr>
        <w:pStyle w:val="BodyText"/>
        <w:rPr>
          <w:b/>
        </w:rPr>
      </w:pPr>
    </w:p>
    <w:p>
      <w:pPr>
        <w:spacing w:before="133"/>
        <w:ind w:left="0" w:right="0" w:firstLine="0"/>
        <w:jc w:val="right"/>
        <w:rPr>
          <w:b/>
          <w:sz w:val="18"/>
        </w:rPr>
      </w:pPr>
      <w:r>
        <w:rPr>
          <w:b/>
          <w:w w:val="95"/>
          <w:sz w:val="18"/>
        </w:rPr>
        <w:t>Note</w:t>
      </w:r>
    </w:p>
    <w:p>
      <w:pPr>
        <w:spacing w:before="66"/>
        <w:ind w:left="526" w:right="0" w:firstLine="0"/>
        <w:jc w:val="center"/>
        <w:rPr>
          <w:b/>
          <w:sz w:val="18"/>
        </w:rPr>
      </w:pPr>
      <w:r>
        <w:rPr/>
        <w:br w:type="column"/>
      </w:r>
      <w:r>
        <w:rPr>
          <w:b/>
          <w:sz w:val="18"/>
        </w:rPr>
        <w:t>2017</w:t>
      </w:r>
    </w:p>
    <w:p>
      <w:pPr>
        <w:spacing w:before="66"/>
        <w:ind w:left="0" w:right="148" w:firstLine="0"/>
        <w:jc w:val="right"/>
        <w:rPr>
          <w:b/>
          <w:sz w:val="18"/>
        </w:rPr>
      </w:pPr>
      <w:r>
        <w:rPr>
          <w:b/>
          <w:w w:val="99"/>
          <w:sz w:val="18"/>
        </w:rPr>
        <w:t>$</w:t>
      </w:r>
    </w:p>
    <w:p>
      <w:pPr>
        <w:spacing w:before="66"/>
        <w:ind w:left="0" w:right="0" w:firstLine="0"/>
        <w:jc w:val="right"/>
        <w:rPr>
          <w:b/>
          <w:sz w:val="18"/>
        </w:rPr>
      </w:pPr>
      <w:r>
        <w:rPr/>
        <w:br w:type="column"/>
      </w:r>
      <w:r>
        <w:rPr>
          <w:b/>
          <w:sz w:val="18"/>
        </w:rPr>
        <w:t>2016</w:t>
      </w:r>
    </w:p>
    <w:p>
      <w:pPr>
        <w:spacing w:before="66"/>
        <w:ind w:left="0" w:right="148" w:firstLine="0"/>
        <w:jc w:val="right"/>
        <w:rPr>
          <w:b/>
          <w:sz w:val="18"/>
        </w:rPr>
      </w:pPr>
      <w:r>
        <w:rPr>
          <w:b/>
          <w:w w:val="99"/>
          <w:sz w:val="18"/>
        </w:rPr>
        <w:t>$</w:t>
      </w:r>
    </w:p>
    <w:p>
      <w:pPr>
        <w:spacing w:before="66"/>
        <w:ind w:left="0" w:right="0" w:firstLine="0"/>
        <w:jc w:val="right"/>
        <w:rPr>
          <w:b/>
          <w:sz w:val="18"/>
        </w:rPr>
      </w:pPr>
      <w:r>
        <w:rPr/>
        <w:br w:type="column"/>
      </w:r>
      <w:r>
        <w:rPr>
          <w:b/>
          <w:sz w:val="18"/>
        </w:rPr>
        <w:t>2017</w:t>
      </w:r>
    </w:p>
    <w:p>
      <w:pPr>
        <w:spacing w:before="66"/>
        <w:ind w:left="0" w:right="148" w:firstLine="0"/>
        <w:jc w:val="right"/>
        <w:rPr>
          <w:b/>
          <w:sz w:val="18"/>
        </w:rPr>
      </w:pPr>
      <w:r>
        <w:rPr>
          <w:b/>
          <w:w w:val="99"/>
          <w:sz w:val="18"/>
        </w:rPr>
        <w:t>$</w:t>
      </w:r>
    </w:p>
    <w:p>
      <w:pPr>
        <w:spacing w:before="66"/>
        <w:ind w:left="823" w:right="507" w:firstLine="0"/>
        <w:jc w:val="center"/>
        <w:rPr>
          <w:b/>
          <w:sz w:val="18"/>
        </w:rPr>
      </w:pPr>
      <w:r>
        <w:rPr/>
        <w:br w:type="column"/>
      </w:r>
      <w:r>
        <w:rPr>
          <w:b/>
          <w:sz w:val="18"/>
        </w:rPr>
        <w:t>2016</w:t>
      </w:r>
    </w:p>
    <w:p>
      <w:pPr>
        <w:spacing w:before="66"/>
        <w:ind w:left="316" w:right="0" w:firstLine="0"/>
        <w:jc w:val="center"/>
        <w:rPr>
          <w:b/>
          <w:sz w:val="18"/>
        </w:rPr>
      </w:pPr>
      <w:r>
        <w:rPr>
          <w:b/>
          <w:w w:val="99"/>
          <w:sz w:val="18"/>
        </w:rPr>
        <w:t>$</w:t>
      </w:r>
    </w:p>
    <w:p>
      <w:pPr>
        <w:spacing w:after="0"/>
        <w:jc w:val="center"/>
        <w:rPr>
          <w:sz w:val="18"/>
        </w:rPr>
        <w:sectPr>
          <w:type w:val="continuous"/>
          <w:pgSz w:w="11910" w:h="16840"/>
          <w:pgMar w:top="1580" w:bottom="280" w:left="900" w:right="880"/>
          <w:cols w:num="5" w:equalWidth="0">
            <w:col w:w="4755" w:space="40"/>
            <w:col w:w="927" w:space="40"/>
            <w:col w:w="1243" w:space="40"/>
            <w:col w:w="1272" w:space="40"/>
            <w:col w:w="1773"/>
          </w:cols>
        </w:sectPr>
      </w:pPr>
    </w:p>
    <w:p>
      <w:pPr>
        <w:pStyle w:val="BodyText"/>
        <w:spacing w:before="11"/>
        <w:rPr>
          <w:b/>
          <w:sz w:val="5"/>
        </w:rPr>
      </w:pPr>
    </w:p>
    <w:tbl>
      <w:tblPr>
        <w:tblW w:w="0" w:type="auto"/>
        <w:jc w:val="left"/>
        <w:tblInd w:w="10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50"/>
        <w:gridCol w:w="904"/>
        <w:gridCol w:w="1474"/>
        <w:gridCol w:w="1372"/>
        <w:gridCol w:w="1222"/>
        <w:gridCol w:w="1120"/>
      </w:tblGrid>
      <w:tr>
        <w:trPr>
          <w:trHeight w:val="557" w:hRule="exact"/>
        </w:trPr>
        <w:tc>
          <w:tcPr>
            <w:tcW w:w="2850" w:type="dxa"/>
          </w:tcPr>
          <w:p>
            <w:pPr>
              <w:pStyle w:val="TableParagraph"/>
              <w:spacing w:before="77"/>
              <w:ind w:left="35"/>
              <w:rPr>
                <w:b/>
                <w:sz w:val="18"/>
              </w:rPr>
            </w:pPr>
            <w:r>
              <w:rPr>
                <w:b/>
                <w:sz w:val="18"/>
              </w:rPr>
              <w:t>Financial assets</w:t>
            </w:r>
          </w:p>
          <w:p>
            <w:pPr>
              <w:pStyle w:val="TableParagraph"/>
              <w:spacing w:before="29"/>
              <w:ind w:left="35"/>
              <w:rPr>
                <w:sz w:val="18"/>
              </w:rPr>
            </w:pPr>
            <w:r>
              <w:rPr>
                <w:sz w:val="18"/>
              </w:rPr>
              <w:t>Cash and cash equivalents</w:t>
            </w:r>
          </w:p>
        </w:tc>
        <w:tc>
          <w:tcPr>
            <w:tcW w:w="904" w:type="dxa"/>
          </w:tcPr>
          <w:p>
            <w:pPr>
              <w:pStyle w:val="TableParagraph"/>
              <w:rPr>
                <w:b/>
                <w:sz w:val="18"/>
              </w:rPr>
            </w:pPr>
          </w:p>
          <w:p>
            <w:pPr>
              <w:pStyle w:val="TableParagraph"/>
              <w:spacing w:before="104"/>
              <w:ind w:right="227"/>
              <w:jc w:val="right"/>
              <w:rPr>
                <w:sz w:val="18"/>
              </w:rPr>
            </w:pPr>
            <w:r>
              <w:rPr>
                <w:w w:val="99"/>
                <w:sz w:val="18"/>
              </w:rPr>
              <w:t>7</w:t>
            </w:r>
          </w:p>
        </w:tc>
        <w:tc>
          <w:tcPr>
            <w:tcW w:w="1474" w:type="dxa"/>
          </w:tcPr>
          <w:p>
            <w:pPr>
              <w:pStyle w:val="TableParagraph"/>
              <w:rPr>
                <w:b/>
                <w:sz w:val="18"/>
              </w:rPr>
            </w:pPr>
          </w:p>
          <w:p>
            <w:pPr>
              <w:pStyle w:val="TableParagraph"/>
              <w:spacing w:before="105"/>
              <w:ind w:right="232"/>
              <w:jc w:val="right"/>
              <w:rPr>
                <w:b/>
                <w:sz w:val="18"/>
              </w:rPr>
            </w:pPr>
            <w:r>
              <w:rPr>
                <w:b/>
                <w:w w:val="95"/>
                <w:sz w:val="18"/>
              </w:rPr>
              <w:t>142,653</w:t>
            </w:r>
          </w:p>
        </w:tc>
        <w:tc>
          <w:tcPr>
            <w:tcW w:w="1372" w:type="dxa"/>
          </w:tcPr>
          <w:p>
            <w:pPr>
              <w:pStyle w:val="TableParagraph"/>
              <w:rPr>
                <w:b/>
                <w:sz w:val="18"/>
              </w:rPr>
            </w:pPr>
          </w:p>
          <w:p>
            <w:pPr>
              <w:pStyle w:val="TableParagraph"/>
              <w:spacing w:before="105"/>
              <w:ind w:right="335"/>
              <w:jc w:val="right"/>
              <w:rPr>
                <w:sz w:val="18"/>
              </w:rPr>
            </w:pPr>
            <w:r>
              <w:rPr>
                <w:w w:val="95"/>
                <w:sz w:val="18"/>
              </w:rPr>
              <w:t>496,008</w:t>
            </w:r>
          </w:p>
        </w:tc>
        <w:tc>
          <w:tcPr>
            <w:tcW w:w="1222" w:type="dxa"/>
          </w:tcPr>
          <w:p>
            <w:pPr>
              <w:pStyle w:val="TableParagraph"/>
              <w:rPr>
                <w:b/>
                <w:sz w:val="18"/>
              </w:rPr>
            </w:pPr>
          </w:p>
          <w:p>
            <w:pPr>
              <w:pStyle w:val="TableParagraph"/>
              <w:spacing w:before="105"/>
              <w:ind w:right="232"/>
              <w:jc w:val="right"/>
              <w:rPr>
                <w:b/>
                <w:sz w:val="18"/>
              </w:rPr>
            </w:pPr>
            <w:r>
              <w:rPr>
                <w:b/>
                <w:w w:val="95"/>
                <w:sz w:val="18"/>
              </w:rPr>
              <w:t>142,653</w:t>
            </w:r>
          </w:p>
        </w:tc>
        <w:tc>
          <w:tcPr>
            <w:tcW w:w="1120" w:type="dxa"/>
          </w:tcPr>
          <w:p>
            <w:pPr>
              <w:pStyle w:val="TableParagraph"/>
              <w:rPr>
                <w:b/>
                <w:sz w:val="18"/>
              </w:rPr>
            </w:pPr>
          </w:p>
          <w:p>
            <w:pPr>
              <w:pStyle w:val="TableParagraph"/>
              <w:spacing w:before="105"/>
              <w:ind w:right="83"/>
              <w:jc w:val="right"/>
              <w:rPr>
                <w:sz w:val="18"/>
              </w:rPr>
            </w:pPr>
            <w:r>
              <w:rPr>
                <w:w w:val="95"/>
                <w:sz w:val="18"/>
              </w:rPr>
              <w:t>496,008</w:t>
            </w:r>
          </w:p>
        </w:tc>
      </w:tr>
      <w:tr>
        <w:trPr>
          <w:trHeight w:val="263" w:hRule="exact"/>
        </w:trPr>
        <w:tc>
          <w:tcPr>
            <w:tcW w:w="2850" w:type="dxa"/>
          </w:tcPr>
          <w:p>
            <w:pPr>
              <w:pStyle w:val="TableParagraph"/>
              <w:spacing w:before="20"/>
              <w:ind w:left="35"/>
              <w:rPr>
                <w:sz w:val="18"/>
              </w:rPr>
            </w:pPr>
            <w:r>
              <w:rPr>
                <w:sz w:val="18"/>
              </w:rPr>
              <w:t>Trade and other receivables</w:t>
            </w:r>
          </w:p>
        </w:tc>
        <w:tc>
          <w:tcPr>
            <w:tcW w:w="904" w:type="dxa"/>
          </w:tcPr>
          <w:p>
            <w:pPr>
              <w:pStyle w:val="TableParagraph"/>
              <w:spacing w:before="18"/>
              <w:ind w:right="227"/>
              <w:jc w:val="right"/>
              <w:rPr>
                <w:sz w:val="18"/>
              </w:rPr>
            </w:pPr>
            <w:r>
              <w:rPr>
                <w:w w:val="99"/>
                <w:sz w:val="18"/>
              </w:rPr>
              <w:t>8</w:t>
            </w:r>
          </w:p>
        </w:tc>
        <w:tc>
          <w:tcPr>
            <w:tcW w:w="1474" w:type="dxa"/>
            <w:tcBorders>
              <w:bottom w:val="single" w:sz="0" w:space="0" w:color="000000"/>
            </w:tcBorders>
          </w:tcPr>
          <w:p>
            <w:pPr>
              <w:pStyle w:val="TableParagraph"/>
              <w:spacing w:before="19"/>
              <w:ind w:right="233"/>
              <w:jc w:val="right"/>
              <w:rPr>
                <w:b/>
                <w:sz w:val="18"/>
              </w:rPr>
            </w:pPr>
            <w:r>
              <w:rPr>
                <w:b/>
                <w:w w:val="95"/>
                <w:sz w:val="18"/>
              </w:rPr>
              <w:t>99,215</w:t>
            </w:r>
          </w:p>
        </w:tc>
        <w:tc>
          <w:tcPr>
            <w:tcW w:w="1372" w:type="dxa"/>
            <w:tcBorders>
              <w:bottom w:val="single" w:sz="0" w:space="0" w:color="000000"/>
            </w:tcBorders>
          </w:tcPr>
          <w:p>
            <w:pPr>
              <w:pStyle w:val="TableParagraph"/>
              <w:spacing w:before="19"/>
              <w:ind w:right="335"/>
              <w:jc w:val="right"/>
              <w:rPr>
                <w:sz w:val="18"/>
              </w:rPr>
            </w:pPr>
            <w:r>
              <w:rPr>
                <w:w w:val="95"/>
                <w:sz w:val="18"/>
              </w:rPr>
              <w:t>2,696,450</w:t>
            </w:r>
          </w:p>
        </w:tc>
        <w:tc>
          <w:tcPr>
            <w:tcW w:w="1222" w:type="dxa"/>
            <w:tcBorders>
              <w:bottom w:val="single" w:sz="0" w:space="0" w:color="000000"/>
            </w:tcBorders>
          </w:tcPr>
          <w:p>
            <w:pPr>
              <w:pStyle w:val="TableParagraph"/>
              <w:spacing w:before="19"/>
              <w:ind w:right="233"/>
              <w:jc w:val="right"/>
              <w:rPr>
                <w:b/>
                <w:sz w:val="18"/>
              </w:rPr>
            </w:pPr>
            <w:r>
              <w:rPr>
                <w:b/>
                <w:w w:val="95"/>
                <w:sz w:val="18"/>
              </w:rPr>
              <w:t>99,215</w:t>
            </w:r>
          </w:p>
        </w:tc>
        <w:tc>
          <w:tcPr>
            <w:tcW w:w="1120" w:type="dxa"/>
            <w:tcBorders>
              <w:bottom w:val="single" w:sz="0" w:space="0" w:color="000000"/>
            </w:tcBorders>
          </w:tcPr>
          <w:p>
            <w:pPr>
              <w:pStyle w:val="TableParagraph"/>
              <w:spacing w:before="19"/>
              <w:ind w:right="82"/>
              <w:jc w:val="right"/>
              <w:rPr>
                <w:sz w:val="18"/>
              </w:rPr>
            </w:pPr>
            <w:r>
              <w:rPr>
                <w:w w:val="95"/>
                <w:sz w:val="18"/>
              </w:rPr>
              <w:t>2,696,450</w:t>
            </w:r>
          </w:p>
        </w:tc>
      </w:tr>
      <w:tr>
        <w:trPr>
          <w:trHeight w:val="337" w:hRule="exact"/>
        </w:trPr>
        <w:tc>
          <w:tcPr>
            <w:tcW w:w="2850" w:type="dxa"/>
          </w:tcPr>
          <w:p>
            <w:pPr>
              <w:pStyle w:val="TableParagraph"/>
              <w:spacing w:before="123"/>
              <w:ind w:left="35"/>
              <w:rPr>
                <w:b/>
                <w:sz w:val="18"/>
              </w:rPr>
            </w:pPr>
            <w:r>
              <w:rPr>
                <w:b/>
                <w:sz w:val="18"/>
              </w:rPr>
              <w:t>Total financial assets</w:t>
            </w:r>
          </w:p>
        </w:tc>
        <w:tc>
          <w:tcPr>
            <w:tcW w:w="904" w:type="dxa"/>
          </w:tcPr>
          <w:p>
            <w:pPr/>
          </w:p>
        </w:tc>
        <w:tc>
          <w:tcPr>
            <w:tcW w:w="1474" w:type="dxa"/>
            <w:tcBorders>
              <w:top w:val="single" w:sz="0" w:space="0" w:color="000000"/>
              <w:bottom w:val="single" w:sz="0" w:space="0" w:color="000000"/>
            </w:tcBorders>
          </w:tcPr>
          <w:p>
            <w:pPr>
              <w:pStyle w:val="TableParagraph"/>
              <w:spacing w:before="122"/>
              <w:ind w:right="232"/>
              <w:jc w:val="right"/>
              <w:rPr>
                <w:b/>
                <w:sz w:val="18"/>
              </w:rPr>
            </w:pPr>
            <w:r>
              <w:rPr>
                <w:b/>
                <w:w w:val="95"/>
                <w:sz w:val="18"/>
              </w:rPr>
              <w:t>241,868</w:t>
            </w:r>
          </w:p>
        </w:tc>
        <w:tc>
          <w:tcPr>
            <w:tcW w:w="1372" w:type="dxa"/>
            <w:tcBorders>
              <w:top w:val="single" w:sz="0" w:space="0" w:color="000000"/>
              <w:bottom w:val="single" w:sz="0" w:space="0" w:color="000000"/>
            </w:tcBorders>
          </w:tcPr>
          <w:p>
            <w:pPr>
              <w:pStyle w:val="TableParagraph"/>
              <w:spacing w:before="122"/>
              <w:ind w:right="335"/>
              <w:jc w:val="right"/>
              <w:rPr>
                <w:sz w:val="18"/>
              </w:rPr>
            </w:pPr>
            <w:r>
              <w:rPr>
                <w:w w:val="95"/>
                <w:sz w:val="18"/>
              </w:rPr>
              <w:t>3,192,458</w:t>
            </w:r>
          </w:p>
        </w:tc>
        <w:tc>
          <w:tcPr>
            <w:tcW w:w="1222" w:type="dxa"/>
            <w:tcBorders>
              <w:top w:val="single" w:sz="0" w:space="0" w:color="000000"/>
              <w:bottom w:val="single" w:sz="0" w:space="0" w:color="000000"/>
            </w:tcBorders>
          </w:tcPr>
          <w:p>
            <w:pPr>
              <w:pStyle w:val="TableParagraph"/>
              <w:spacing w:before="122"/>
              <w:ind w:right="232"/>
              <w:jc w:val="right"/>
              <w:rPr>
                <w:b/>
                <w:sz w:val="18"/>
              </w:rPr>
            </w:pPr>
            <w:r>
              <w:rPr>
                <w:b/>
                <w:w w:val="95"/>
                <w:sz w:val="18"/>
              </w:rPr>
              <w:t>241,868</w:t>
            </w:r>
          </w:p>
        </w:tc>
        <w:tc>
          <w:tcPr>
            <w:tcW w:w="1120" w:type="dxa"/>
            <w:tcBorders>
              <w:top w:val="single" w:sz="0" w:space="0" w:color="000000"/>
              <w:bottom w:val="single" w:sz="0" w:space="0" w:color="000000"/>
            </w:tcBorders>
          </w:tcPr>
          <w:p>
            <w:pPr>
              <w:pStyle w:val="TableParagraph"/>
              <w:spacing w:before="122"/>
              <w:ind w:right="82"/>
              <w:jc w:val="right"/>
              <w:rPr>
                <w:sz w:val="18"/>
              </w:rPr>
            </w:pPr>
            <w:r>
              <w:rPr>
                <w:w w:val="95"/>
                <w:sz w:val="18"/>
              </w:rPr>
              <w:t>3,192,458</w:t>
            </w:r>
          </w:p>
        </w:tc>
      </w:tr>
    </w:tbl>
    <w:p>
      <w:pPr>
        <w:pStyle w:val="BodyText"/>
        <w:rPr>
          <w:b/>
          <w:sz w:val="20"/>
        </w:rPr>
      </w:pPr>
    </w:p>
    <w:p>
      <w:pPr>
        <w:pStyle w:val="BodyText"/>
        <w:rPr>
          <w:b/>
          <w:sz w:val="20"/>
        </w:rPr>
      </w:pPr>
    </w:p>
    <w:p>
      <w:pPr>
        <w:pStyle w:val="BodyText"/>
        <w:spacing w:before="3" w:after="1"/>
        <w:rPr>
          <w:b/>
          <w:sz w:val="22"/>
        </w:rPr>
      </w:pPr>
    </w:p>
    <w:tbl>
      <w:tblPr>
        <w:tblW w:w="0" w:type="auto"/>
        <w:jc w:val="left"/>
        <w:tblInd w:w="10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30"/>
        <w:gridCol w:w="1024"/>
        <w:gridCol w:w="1474"/>
        <w:gridCol w:w="1297"/>
        <w:gridCol w:w="1297"/>
        <w:gridCol w:w="1120"/>
      </w:tblGrid>
      <w:tr>
        <w:trPr>
          <w:trHeight w:val="557" w:hRule="exact"/>
        </w:trPr>
        <w:tc>
          <w:tcPr>
            <w:tcW w:w="2730" w:type="dxa"/>
          </w:tcPr>
          <w:p>
            <w:pPr>
              <w:pStyle w:val="TableParagraph"/>
              <w:spacing w:before="77"/>
              <w:ind w:left="35"/>
              <w:rPr>
                <w:b/>
                <w:sz w:val="18"/>
              </w:rPr>
            </w:pPr>
            <w:r>
              <w:rPr>
                <w:b/>
                <w:sz w:val="18"/>
              </w:rPr>
              <w:t>Financial Liabilities</w:t>
            </w:r>
          </w:p>
          <w:p>
            <w:pPr>
              <w:pStyle w:val="TableParagraph"/>
              <w:spacing w:before="29"/>
              <w:ind w:left="35"/>
              <w:rPr>
                <w:sz w:val="18"/>
              </w:rPr>
            </w:pPr>
            <w:r>
              <w:rPr>
                <w:sz w:val="18"/>
              </w:rPr>
              <w:t>Trade and other payables</w:t>
            </w:r>
          </w:p>
        </w:tc>
        <w:tc>
          <w:tcPr>
            <w:tcW w:w="1024" w:type="dxa"/>
          </w:tcPr>
          <w:p>
            <w:pPr>
              <w:pStyle w:val="TableParagraph"/>
              <w:rPr>
                <w:b/>
                <w:sz w:val="18"/>
              </w:rPr>
            </w:pPr>
          </w:p>
          <w:p>
            <w:pPr>
              <w:pStyle w:val="TableParagraph"/>
              <w:spacing w:before="104"/>
              <w:ind w:right="178"/>
              <w:jc w:val="right"/>
              <w:rPr>
                <w:sz w:val="18"/>
              </w:rPr>
            </w:pPr>
            <w:r>
              <w:rPr>
                <w:sz w:val="18"/>
              </w:rPr>
              <w:t>13</w:t>
            </w:r>
          </w:p>
        </w:tc>
        <w:tc>
          <w:tcPr>
            <w:tcW w:w="1474" w:type="dxa"/>
          </w:tcPr>
          <w:p>
            <w:pPr>
              <w:pStyle w:val="TableParagraph"/>
              <w:rPr>
                <w:b/>
                <w:sz w:val="18"/>
              </w:rPr>
            </w:pPr>
          </w:p>
          <w:p>
            <w:pPr>
              <w:pStyle w:val="TableParagraph"/>
              <w:spacing w:before="105"/>
              <w:ind w:right="232"/>
              <w:jc w:val="right"/>
              <w:rPr>
                <w:b/>
                <w:sz w:val="18"/>
              </w:rPr>
            </w:pPr>
            <w:r>
              <w:rPr>
                <w:b/>
                <w:w w:val="95"/>
                <w:sz w:val="18"/>
              </w:rPr>
              <w:t>342,157</w:t>
            </w:r>
          </w:p>
        </w:tc>
        <w:tc>
          <w:tcPr>
            <w:tcW w:w="1297" w:type="dxa"/>
          </w:tcPr>
          <w:p>
            <w:pPr>
              <w:pStyle w:val="TableParagraph"/>
              <w:rPr>
                <w:b/>
                <w:sz w:val="18"/>
              </w:rPr>
            </w:pPr>
          </w:p>
          <w:p>
            <w:pPr>
              <w:pStyle w:val="TableParagraph"/>
              <w:spacing w:before="105"/>
              <w:ind w:left="215" w:right="240"/>
              <w:jc w:val="center"/>
              <w:rPr>
                <w:sz w:val="18"/>
              </w:rPr>
            </w:pPr>
            <w:r>
              <w:rPr>
                <w:sz w:val="18"/>
              </w:rPr>
              <w:t>1,446,162</w:t>
            </w:r>
          </w:p>
        </w:tc>
        <w:tc>
          <w:tcPr>
            <w:tcW w:w="1297" w:type="dxa"/>
          </w:tcPr>
          <w:p>
            <w:pPr>
              <w:pStyle w:val="TableParagraph"/>
              <w:rPr>
                <w:b/>
                <w:sz w:val="18"/>
              </w:rPr>
            </w:pPr>
          </w:p>
          <w:p>
            <w:pPr>
              <w:pStyle w:val="TableParagraph"/>
              <w:spacing w:before="105"/>
              <w:ind w:right="232"/>
              <w:jc w:val="right"/>
              <w:rPr>
                <w:b/>
                <w:sz w:val="18"/>
              </w:rPr>
            </w:pPr>
            <w:r>
              <w:rPr>
                <w:b/>
                <w:w w:val="95"/>
                <w:sz w:val="18"/>
              </w:rPr>
              <w:t>342,157</w:t>
            </w:r>
          </w:p>
        </w:tc>
        <w:tc>
          <w:tcPr>
            <w:tcW w:w="1120" w:type="dxa"/>
          </w:tcPr>
          <w:p>
            <w:pPr>
              <w:pStyle w:val="TableParagraph"/>
              <w:rPr>
                <w:b/>
                <w:sz w:val="18"/>
              </w:rPr>
            </w:pPr>
          </w:p>
          <w:p>
            <w:pPr>
              <w:pStyle w:val="TableParagraph"/>
              <w:spacing w:before="105"/>
              <w:ind w:left="214" w:right="65"/>
              <w:jc w:val="center"/>
              <w:rPr>
                <w:sz w:val="18"/>
              </w:rPr>
            </w:pPr>
            <w:r>
              <w:rPr>
                <w:sz w:val="18"/>
              </w:rPr>
              <w:t>1,446,162</w:t>
            </w:r>
          </w:p>
        </w:tc>
      </w:tr>
      <w:tr>
        <w:trPr>
          <w:trHeight w:val="263" w:hRule="exact"/>
        </w:trPr>
        <w:tc>
          <w:tcPr>
            <w:tcW w:w="2730" w:type="dxa"/>
          </w:tcPr>
          <w:p>
            <w:pPr>
              <w:pStyle w:val="TableParagraph"/>
              <w:spacing w:before="20"/>
              <w:ind w:left="35"/>
              <w:rPr>
                <w:sz w:val="18"/>
              </w:rPr>
            </w:pPr>
            <w:r>
              <w:rPr>
                <w:sz w:val="18"/>
              </w:rPr>
              <w:t>Borrowings</w:t>
            </w:r>
          </w:p>
        </w:tc>
        <w:tc>
          <w:tcPr>
            <w:tcW w:w="1024" w:type="dxa"/>
          </w:tcPr>
          <w:p>
            <w:pPr>
              <w:pStyle w:val="TableParagraph"/>
              <w:spacing w:before="18"/>
              <w:ind w:right="178"/>
              <w:jc w:val="right"/>
              <w:rPr>
                <w:sz w:val="18"/>
              </w:rPr>
            </w:pPr>
            <w:r>
              <w:rPr>
                <w:sz w:val="18"/>
              </w:rPr>
              <w:t>14</w:t>
            </w:r>
          </w:p>
        </w:tc>
        <w:tc>
          <w:tcPr>
            <w:tcW w:w="1474" w:type="dxa"/>
            <w:tcBorders>
              <w:bottom w:val="single" w:sz="0" w:space="0" w:color="000000"/>
            </w:tcBorders>
          </w:tcPr>
          <w:p>
            <w:pPr>
              <w:pStyle w:val="TableParagraph"/>
              <w:spacing w:before="19"/>
              <w:ind w:right="232"/>
              <w:jc w:val="right"/>
              <w:rPr>
                <w:b/>
                <w:sz w:val="18"/>
              </w:rPr>
            </w:pPr>
            <w:r>
              <w:rPr>
                <w:b/>
                <w:w w:val="95"/>
                <w:sz w:val="18"/>
              </w:rPr>
              <w:t>799,365</w:t>
            </w:r>
          </w:p>
        </w:tc>
        <w:tc>
          <w:tcPr>
            <w:tcW w:w="1297" w:type="dxa"/>
            <w:tcBorders>
              <w:bottom w:val="single" w:sz="0" w:space="0" w:color="000000"/>
            </w:tcBorders>
          </w:tcPr>
          <w:p>
            <w:pPr>
              <w:pStyle w:val="TableParagraph"/>
              <w:spacing w:before="19"/>
              <w:ind w:left="215" w:right="240"/>
              <w:jc w:val="center"/>
              <w:rPr>
                <w:sz w:val="18"/>
              </w:rPr>
            </w:pPr>
            <w:r>
              <w:rPr>
                <w:sz w:val="18"/>
              </w:rPr>
              <w:t>5,618,407</w:t>
            </w:r>
          </w:p>
        </w:tc>
        <w:tc>
          <w:tcPr>
            <w:tcW w:w="1297" w:type="dxa"/>
            <w:tcBorders>
              <w:bottom w:val="single" w:sz="0" w:space="0" w:color="000000"/>
            </w:tcBorders>
          </w:tcPr>
          <w:p>
            <w:pPr>
              <w:pStyle w:val="TableParagraph"/>
              <w:spacing w:before="19"/>
              <w:ind w:right="232"/>
              <w:jc w:val="right"/>
              <w:rPr>
                <w:b/>
                <w:sz w:val="18"/>
              </w:rPr>
            </w:pPr>
            <w:r>
              <w:rPr>
                <w:b/>
                <w:w w:val="95"/>
                <w:sz w:val="18"/>
              </w:rPr>
              <w:t>799,365</w:t>
            </w:r>
          </w:p>
        </w:tc>
        <w:tc>
          <w:tcPr>
            <w:tcW w:w="1120" w:type="dxa"/>
            <w:tcBorders>
              <w:bottom w:val="single" w:sz="0" w:space="0" w:color="000000"/>
            </w:tcBorders>
          </w:tcPr>
          <w:p>
            <w:pPr>
              <w:pStyle w:val="TableParagraph"/>
              <w:spacing w:before="19"/>
              <w:ind w:left="214" w:right="65"/>
              <w:jc w:val="center"/>
              <w:rPr>
                <w:sz w:val="18"/>
              </w:rPr>
            </w:pPr>
            <w:r>
              <w:rPr>
                <w:sz w:val="18"/>
              </w:rPr>
              <w:t>5,618,407</w:t>
            </w:r>
          </w:p>
        </w:tc>
      </w:tr>
      <w:tr>
        <w:trPr>
          <w:trHeight w:val="353" w:hRule="exact"/>
        </w:trPr>
        <w:tc>
          <w:tcPr>
            <w:tcW w:w="2730" w:type="dxa"/>
          </w:tcPr>
          <w:p>
            <w:pPr>
              <w:pStyle w:val="TableParagraph"/>
              <w:spacing w:before="123"/>
              <w:ind w:left="35"/>
              <w:rPr>
                <w:b/>
                <w:sz w:val="18"/>
              </w:rPr>
            </w:pPr>
            <w:r>
              <w:rPr>
                <w:b/>
                <w:sz w:val="18"/>
              </w:rPr>
              <w:t>Total financial liabilities</w:t>
            </w:r>
          </w:p>
        </w:tc>
        <w:tc>
          <w:tcPr>
            <w:tcW w:w="1024" w:type="dxa"/>
          </w:tcPr>
          <w:p>
            <w:pPr/>
          </w:p>
        </w:tc>
        <w:tc>
          <w:tcPr>
            <w:tcW w:w="1474" w:type="dxa"/>
            <w:tcBorders>
              <w:top w:val="single" w:sz="0" w:space="0" w:color="000000"/>
              <w:bottom w:val="single" w:sz="0" w:space="0" w:color="000000"/>
            </w:tcBorders>
          </w:tcPr>
          <w:p>
            <w:pPr>
              <w:pStyle w:val="TableParagraph"/>
              <w:spacing w:before="122"/>
              <w:ind w:right="232"/>
              <w:jc w:val="right"/>
              <w:rPr>
                <w:b/>
                <w:sz w:val="18"/>
              </w:rPr>
            </w:pPr>
            <w:r>
              <w:rPr>
                <w:b/>
                <w:w w:val="95"/>
                <w:sz w:val="18"/>
              </w:rPr>
              <w:t>1,141,522</w:t>
            </w:r>
          </w:p>
        </w:tc>
        <w:tc>
          <w:tcPr>
            <w:tcW w:w="1297" w:type="dxa"/>
            <w:tcBorders>
              <w:top w:val="single" w:sz="0" w:space="0" w:color="000000"/>
              <w:bottom w:val="single" w:sz="0" w:space="0" w:color="000000"/>
            </w:tcBorders>
          </w:tcPr>
          <w:p>
            <w:pPr>
              <w:pStyle w:val="TableParagraph"/>
              <w:spacing w:before="122"/>
              <w:ind w:left="215" w:right="240"/>
              <w:jc w:val="center"/>
              <w:rPr>
                <w:sz w:val="18"/>
              </w:rPr>
            </w:pPr>
            <w:r>
              <w:rPr>
                <w:sz w:val="18"/>
              </w:rPr>
              <w:t>7,064,569</w:t>
            </w:r>
          </w:p>
        </w:tc>
        <w:tc>
          <w:tcPr>
            <w:tcW w:w="1297" w:type="dxa"/>
            <w:tcBorders>
              <w:top w:val="single" w:sz="0" w:space="0" w:color="000000"/>
              <w:bottom w:val="single" w:sz="0" w:space="0" w:color="000000"/>
            </w:tcBorders>
          </w:tcPr>
          <w:p>
            <w:pPr>
              <w:pStyle w:val="TableParagraph"/>
              <w:spacing w:before="122"/>
              <w:ind w:right="232"/>
              <w:jc w:val="right"/>
              <w:rPr>
                <w:b/>
                <w:sz w:val="18"/>
              </w:rPr>
            </w:pPr>
            <w:r>
              <w:rPr>
                <w:b/>
                <w:w w:val="95"/>
                <w:sz w:val="18"/>
              </w:rPr>
              <w:t>1,141,522</w:t>
            </w:r>
          </w:p>
        </w:tc>
        <w:tc>
          <w:tcPr>
            <w:tcW w:w="1120" w:type="dxa"/>
            <w:tcBorders>
              <w:top w:val="single" w:sz="0" w:space="0" w:color="000000"/>
              <w:bottom w:val="single" w:sz="0" w:space="0" w:color="000000"/>
            </w:tcBorders>
          </w:tcPr>
          <w:p>
            <w:pPr>
              <w:pStyle w:val="TableParagraph"/>
              <w:spacing w:before="122"/>
              <w:ind w:left="214" w:right="65"/>
              <w:jc w:val="center"/>
              <w:rPr>
                <w:sz w:val="18"/>
              </w:rPr>
            </w:pPr>
            <w:r>
              <w:rPr>
                <w:sz w:val="18"/>
              </w:rPr>
              <w:t>7,064,569</w:t>
            </w:r>
          </w:p>
        </w:tc>
      </w:tr>
    </w:tbl>
    <w:p>
      <w:pPr>
        <w:spacing w:after="0"/>
        <w:jc w:val="center"/>
        <w:rPr>
          <w:sz w:val="18"/>
        </w:rPr>
        <w:sectPr>
          <w:type w:val="continuous"/>
          <w:pgSz w:w="11910" w:h="16840"/>
          <w:pgMar w:top="1580" w:bottom="280" w:left="900" w:right="880"/>
        </w:sectPr>
      </w:pPr>
    </w:p>
    <w:p>
      <w:pPr>
        <w:pStyle w:val="BodyText"/>
        <w:spacing w:before="2"/>
        <w:rPr>
          <w:b/>
          <w:sz w:val="24"/>
        </w:rPr>
      </w:pPr>
    </w:p>
    <w:p>
      <w:pPr>
        <w:spacing w:before="64"/>
        <w:ind w:left="147" w:right="19" w:firstLine="0"/>
        <w:jc w:val="left"/>
        <w:rPr>
          <w:b/>
          <w:sz w:val="28"/>
        </w:rPr>
      </w:pPr>
      <w:r>
        <w:rPr>
          <w:b/>
          <w:sz w:val="28"/>
        </w:rPr>
        <w:t>Notes to the Financial Statements</w:t>
      </w:r>
    </w:p>
    <w:p>
      <w:pPr>
        <w:spacing w:before="57"/>
        <w:ind w:left="147" w:right="19" w:firstLine="0"/>
        <w:jc w:val="left"/>
        <w:rPr>
          <w:b/>
          <w:sz w:val="22"/>
        </w:rPr>
      </w:pPr>
      <w:r>
        <w:rPr>
          <w:b/>
          <w:sz w:val="22"/>
        </w:rPr>
        <w:t>For the Year Ended 31 December 2017</w:t>
      </w:r>
    </w:p>
    <w:p>
      <w:pPr>
        <w:pStyle w:val="BodyText"/>
        <w:rPr>
          <w:b/>
          <w:sz w:val="22"/>
        </w:rPr>
      </w:pPr>
    </w:p>
    <w:p>
      <w:pPr>
        <w:pStyle w:val="BodyText"/>
        <w:spacing w:before="8"/>
        <w:rPr>
          <w:b/>
          <w:sz w:val="20"/>
        </w:rPr>
      </w:pPr>
    </w:p>
    <w:p>
      <w:pPr>
        <w:pStyle w:val="ListParagraph"/>
        <w:numPr>
          <w:ilvl w:val="0"/>
          <w:numId w:val="64"/>
        </w:numPr>
        <w:tabs>
          <w:tab w:pos="546" w:val="left" w:leader="none"/>
        </w:tabs>
        <w:spacing w:line="240" w:lineRule="auto" w:before="0" w:after="0"/>
        <w:ind w:left="545" w:right="0" w:hanging="396"/>
        <w:jc w:val="left"/>
        <w:rPr>
          <w:b/>
          <w:sz w:val="18"/>
        </w:rPr>
      </w:pPr>
      <w:r>
        <w:rPr>
          <w:b/>
          <w:sz w:val="18"/>
        </w:rPr>
        <w:t>Revenue</w:t>
      </w:r>
    </w:p>
    <w:p>
      <w:pPr>
        <w:pStyle w:val="BodyText"/>
        <w:rPr>
          <w:b/>
          <w:sz w:val="20"/>
        </w:rPr>
      </w:pPr>
    </w:p>
    <w:p>
      <w:pPr>
        <w:pStyle w:val="BodyText"/>
        <w:spacing w:before="2" w:after="1"/>
        <w:rPr>
          <w:b/>
          <w:sz w:val="21"/>
        </w:rPr>
      </w:pPr>
    </w:p>
    <w:tbl>
      <w:tblPr>
        <w:tblW w:w="0" w:type="auto"/>
        <w:jc w:val="left"/>
        <w:tblInd w:w="5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60"/>
        <w:gridCol w:w="1411"/>
        <w:gridCol w:w="1184"/>
      </w:tblGrid>
      <w:tr>
        <w:trPr>
          <w:trHeight w:val="640" w:hRule="exact"/>
        </w:trPr>
        <w:tc>
          <w:tcPr>
            <w:tcW w:w="6960" w:type="dxa"/>
          </w:tcPr>
          <w:p>
            <w:pPr/>
          </w:p>
        </w:tc>
        <w:tc>
          <w:tcPr>
            <w:tcW w:w="1411" w:type="dxa"/>
          </w:tcPr>
          <w:p>
            <w:pPr>
              <w:pStyle w:val="TableParagraph"/>
              <w:spacing w:before="77"/>
              <w:ind w:left="430" w:right="540"/>
              <w:jc w:val="center"/>
              <w:rPr>
                <w:b/>
                <w:sz w:val="18"/>
              </w:rPr>
            </w:pPr>
            <w:r>
              <w:rPr>
                <w:b/>
                <w:sz w:val="18"/>
              </w:rPr>
              <w:t>2017</w:t>
            </w:r>
          </w:p>
          <w:p>
            <w:pPr>
              <w:pStyle w:val="TableParagraph"/>
              <w:spacing w:before="66"/>
              <w:ind w:right="111"/>
              <w:jc w:val="center"/>
              <w:rPr>
                <w:b/>
                <w:sz w:val="18"/>
              </w:rPr>
            </w:pPr>
            <w:r>
              <w:rPr>
                <w:b/>
                <w:w w:val="99"/>
                <w:sz w:val="18"/>
              </w:rPr>
              <w:t>$</w:t>
            </w:r>
          </w:p>
        </w:tc>
        <w:tc>
          <w:tcPr>
            <w:tcW w:w="1184" w:type="dxa"/>
          </w:tcPr>
          <w:p>
            <w:pPr>
              <w:pStyle w:val="TableParagraph"/>
              <w:spacing w:before="77"/>
              <w:ind w:left="304" w:right="438"/>
              <w:jc w:val="center"/>
              <w:rPr>
                <w:b/>
                <w:sz w:val="18"/>
              </w:rPr>
            </w:pPr>
            <w:r>
              <w:rPr>
                <w:b/>
                <w:sz w:val="18"/>
              </w:rPr>
              <w:t>2016</w:t>
            </w:r>
          </w:p>
          <w:p>
            <w:pPr>
              <w:pStyle w:val="TableParagraph"/>
              <w:spacing w:before="66"/>
              <w:ind w:right="135"/>
              <w:jc w:val="center"/>
              <w:rPr>
                <w:b/>
                <w:sz w:val="18"/>
              </w:rPr>
            </w:pPr>
            <w:r>
              <w:rPr>
                <w:b/>
                <w:w w:val="99"/>
                <w:sz w:val="18"/>
              </w:rPr>
              <w:t>$</w:t>
            </w:r>
          </w:p>
        </w:tc>
      </w:tr>
      <w:tr>
        <w:trPr>
          <w:trHeight w:val="543" w:hRule="exact"/>
        </w:trPr>
        <w:tc>
          <w:tcPr>
            <w:tcW w:w="6960" w:type="dxa"/>
          </w:tcPr>
          <w:p>
            <w:pPr>
              <w:pStyle w:val="TableParagraph"/>
              <w:spacing w:before="63"/>
              <w:ind w:left="35"/>
              <w:rPr>
                <w:b/>
                <w:sz w:val="18"/>
              </w:rPr>
            </w:pPr>
            <w:r>
              <w:rPr>
                <w:b/>
                <w:sz w:val="18"/>
              </w:rPr>
              <w:t>Sale of goods</w:t>
            </w:r>
          </w:p>
          <w:p>
            <w:pPr>
              <w:pStyle w:val="TableParagraph"/>
              <w:spacing w:before="27"/>
              <w:ind w:left="186"/>
              <w:rPr>
                <w:sz w:val="18"/>
              </w:rPr>
            </w:pPr>
            <w:r>
              <w:rPr>
                <w:sz w:val="18"/>
              </w:rPr>
              <w:t>Books</w:t>
            </w:r>
          </w:p>
        </w:tc>
        <w:tc>
          <w:tcPr>
            <w:tcW w:w="1411" w:type="dxa"/>
          </w:tcPr>
          <w:p>
            <w:pPr>
              <w:pStyle w:val="TableParagraph"/>
              <w:spacing w:before="11"/>
              <w:rPr>
                <w:b/>
                <w:sz w:val="25"/>
              </w:rPr>
            </w:pPr>
          </w:p>
          <w:p>
            <w:pPr>
              <w:pStyle w:val="TableParagraph"/>
              <w:ind w:right="197"/>
              <w:jc w:val="right"/>
              <w:rPr>
                <w:b/>
                <w:sz w:val="18"/>
              </w:rPr>
            </w:pPr>
            <w:r>
              <w:rPr>
                <w:b/>
                <w:w w:val="95"/>
                <w:sz w:val="18"/>
              </w:rPr>
              <w:t>394,400</w:t>
            </w:r>
          </w:p>
        </w:tc>
        <w:tc>
          <w:tcPr>
            <w:tcW w:w="1184" w:type="dxa"/>
          </w:tcPr>
          <w:p>
            <w:pPr>
              <w:pStyle w:val="TableParagraph"/>
              <w:spacing w:before="11"/>
              <w:rPr>
                <w:b/>
                <w:sz w:val="25"/>
              </w:rPr>
            </w:pPr>
          </w:p>
          <w:p>
            <w:pPr>
              <w:pStyle w:val="TableParagraph"/>
              <w:ind w:right="81"/>
              <w:jc w:val="right"/>
              <w:rPr>
                <w:sz w:val="18"/>
              </w:rPr>
            </w:pPr>
            <w:r>
              <w:rPr>
                <w:w w:val="95"/>
                <w:sz w:val="18"/>
              </w:rPr>
              <w:t>10,020,803</w:t>
            </w:r>
          </w:p>
        </w:tc>
      </w:tr>
      <w:tr>
        <w:trPr>
          <w:trHeight w:val="264" w:hRule="exact"/>
        </w:trPr>
        <w:tc>
          <w:tcPr>
            <w:tcW w:w="6960" w:type="dxa"/>
          </w:tcPr>
          <w:p>
            <w:pPr>
              <w:pStyle w:val="TableParagraph"/>
              <w:spacing w:before="18"/>
              <w:ind w:left="186"/>
              <w:rPr>
                <w:sz w:val="18"/>
              </w:rPr>
            </w:pPr>
            <w:r>
              <w:rPr>
                <w:sz w:val="18"/>
              </w:rPr>
              <w:t>Food and beverage</w:t>
            </w:r>
          </w:p>
        </w:tc>
        <w:tc>
          <w:tcPr>
            <w:tcW w:w="1411" w:type="dxa"/>
          </w:tcPr>
          <w:p>
            <w:pPr>
              <w:pStyle w:val="TableParagraph"/>
              <w:spacing w:before="19"/>
              <w:ind w:right="197"/>
              <w:jc w:val="right"/>
              <w:rPr>
                <w:b/>
                <w:sz w:val="18"/>
              </w:rPr>
            </w:pPr>
            <w:r>
              <w:rPr>
                <w:b/>
                <w:w w:val="95"/>
                <w:sz w:val="18"/>
              </w:rPr>
              <w:t>4,911,329</w:t>
            </w:r>
          </w:p>
        </w:tc>
        <w:tc>
          <w:tcPr>
            <w:tcW w:w="1184" w:type="dxa"/>
          </w:tcPr>
          <w:p>
            <w:pPr>
              <w:pStyle w:val="TableParagraph"/>
              <w:spacing w:before="19"/>
              <w:ind w:right="81"/>
              <w:jc w:val="right"/>
              <w:rPr>
                <w:sz w:val="18"/>
              </w:rPr>
            </w:pPr>
            <w:r>
              <w:rPr>
                <w:w w:val="95"/>
                <w:sz w:val="18"/>
              </w:rPr>
              <w:t>6,990,275</w:t>
            </w:r>
          </w:p>
        </w:tc>
      </w:tr>
      <w:tr>
        <w:trPr>
          <w:trHeight w:val="263" w:hRule="exact"/>
        </w:trPr>
        <w:tc>
          <w:tcPr>
            <w:tcW w:w="6960" w:type="dxa"/>
          </w:tcPr>
          <w:p>
            <w:pPr>
              <w:pStyle w:val="TableParagraph"/>
              <w:spacing w:before="18"/>
              <w:ind w:left="186"/>
              <w:rPr>
                <w:sz w:val="18"/>
              </w:rPr>
            </w:pPr>
            <w:r>
              <w:rPr>
                <w:sz w:val="18"/>
              </w:rPr>
              <w:t>Retail</w:t>
            </w:r>
          </w:p>
        </w:tc>
        <w:tc>
          <w:tcPr>
            <w:tcW w:w="1411" w:type="dxa"/>
            <w:tcBorders>
              <w:bottom w:val="single" w:sz="0" w:space="0" w:color="000000"/>
            </w:tcBorders>
          </w:tcPr>
          <w:p>
            <w:pPr>
              <w:pStyle w:val="TableParagraph"/>
              <w:spacing w:before="19"/>
              <w:ind w:right="198"/>
              <w:jc w:val="right"/>
              <w:rPr>
                <w:b/>
                <w:sz w:val="18"/>
              </w:rPr>
            </w:pPr>
            <w:r>
              <w:rPr>
                <w:b/>
                <w:w w:val="95"/>
                <w:sz w:val="18"/>
              </w:rPr>
              <w:t>55,653</w:t>
            </w:r>
          </w:p>
        </w:tc>
        <w:tc>
          <w:tcPr>
            <w:tcW w:w="1184" w:type="dxa"/>
            <w:tcBorders>
              <w:bottom w:val="single" w:sz="0" w:space="0" w:color="000000"/>
            </w:tcBorders>
          </w:tcPr>
          <w:p>
            <w:pPr>
              <w:pStyle w:val="TableParagraph"/>
              <w:spacing w:before="19"/>
              <w:ind w:right="81"/>
              <w:jc w:val="right"/>
              <w:rPr>
                <w:sz w:val="18"/>
              </w:rPr>
            </w:pPr>
            <w:r>
              <w:rPr>
                <w:w w:val="95"/>
                <w:sz w:val="18"/>
              </w:rPr>
              <w:t>246,710</w:t>
            </w:r>
          </w:p>
        </w:tc>
      </w:tr>
      <w:tr>
        <w:trPr>
          <w:trHeight w:val="338" w:hRule="exact"/>
        </w:trPr>
        <w:tc>
          <w:tcPr>
            <w:tcW w:w="6960" w:type="dxa"/>
          </w:tcPr>
          <w:p>
            <w:pPr>
              <w:pStyle w:val="TableParagraph"/>
              <w:spacing w:before="123"/>
              <w:ind w:left="35"/>
              <w:rPr>
                <w:b/>
                <w:sz w:val="18"/>
              </w:rPr>
            </w:pPr>
            <w:r>
              <w:rPr>
                <w:b/>
                <w:sz w:val="18"/>
              </w:rPr>
              <w:t>Total sale of goods</w:t>
            </w:r>
          </w:p>
        </w:tc>
        <w:tc>
          <w:tcPr>
            <w:tcW w:w="1411" w:type="dxa"/>
            <w:tcBorders>
              <w:top w:val="single" w:sz="0" w:space="0" w:color="000000"/>
              <w:bottom w:val="single" w:sz="0" w:space="0" w:color="000000"/>
            </w:tcBorders>
          </w:tcPr>
          <w:p>
            <w:pPr>
              <w:pStyle w:val="TableParagraph"/>
              <w:spacing w:before="122"/>
              <w:ind w:right="197"/>
              <w:jc w:val="right"/>
              <w:rPr>
                <w:b/>
                <w:sz w:val="18"/>
              </w:rPr>
            </w:pPr>
            <w:r>
              <w:rPr>
                <w:b/>
                <w:w w:val="95"/>
                <w:sz w:val="18"/>
              </w:rPr>
              <w:t>5,361,382</w:t>
            </w:r>
          </w:p>
        </w:tc>
        <w:tc>
          <w:tcPr>
            <w:tcW w:w="1184" w:type="dxa"/>
            <w:tcBorders>
              <w:top w:val="single" w:sz="0" w:space="0" w:color="000000"/>
              <w:bottom w:val="single" w:sz="0" w:space="0" w:color="000000"/>
            </w:tcBorders>
          </w:tcPr>
          <w:p>
            <w:pPr>
              <w:pStyle w:val="TableParagraph"/>
              <w:spacing w:before="122"/>
              <w:ind w:right="81"/>
              <w:jc w:val="right"/>
              <w:rPr>
                <w:sz w:val="18"/>
              </w:rPr>
            </w:pPr>
            <w:r>
              <w:rPr>
                <w:w w:val="95"/>
                <w:sz w:val="18"/>
              </w:rPr>
              <w:t>17,257,788</w:t>
            </w:r>
          </w:p>
        </w:tc>
      </w:tr>
      <w:tr>
        <w:trPr>
          <w:trHeight w:val="603" w:hRule="exact"/>
        </w:trPr>
        <w:tc>
          <w:tcPr>
            <w:tcW w:w="6960" w:type="dxa"/>
          </w:tcPr>
          <w:p>
            <w:pPr>
              <w:pStyle w:val="TableParagraph"/>
              <w:spacing w:before="123"/>
              <w:ind w:left="35"/>
              <w:rPr>
                <w:b/>
                <w:sz w:val="18"/>
              </w:rPr>
            </w:pPr>
            <w:r>
              <w:rPr>
                <w:b/>
                <w:sz w:val="18"/>
              </w:rPr>
              <w:t>Rendering of services</w:t>
            </w:r>
          </w:p>
          <w:p>
            <w:pPr>
              <w:pStyle w:val="TableParagraph"/>
              <w:spacing w:before="27"/>
              <w:ind w:left="186"/>
              <w:rPr>
                <w:sz w:val="18"/>
              </w:rPr>
            </w:pPr>
            <w:r>
              <w:rPr>
                <w:sz w:val="18"/>
              </w:rPr>
              <w:t>Sports</w:t>
            </w:r>
          </w:p>
        </w:tc>
        <w:tc>
          <w:tcPr>
            <w:tcW w:w="1411" w:type="dxa"/>
            <w:tcBorders>
              <w:top w:val="single" w:sz="0" w:space="0" w:color="000000"/>
            </w:tcBorders>
          </w:tcPr>
          <w:p>
            <w:pPr>
              <w:pStyle w:val="TableParagraph"/>
              <w:rPr>
                <w:b/>
                <w:sz w:val="18"/>
              </w:rPr>
            </w:pPr>
          </w:p>
          <w:p>
            <w:pPr>
              <w:pStyle w:val="TableParagraph"/>
              <w:spacing w:before="151"/>
              <w:ind w:right="197"/>
              <w:jc w:val="right"/>
              <w:rPr>
                <w:b/>
                <w:sz w:val="18"/>
              </w:rPr>
            </w:pPr>
            <w:r>
              <w:rPr>
                <w:b/>
                <w:w w:val="95"/>
                <w:sz w:val="18"/>
              </w:rPr>
              <w:t>938,157</w:t>
            </w:r>
          </w:p>
        </w:tc>
        <w:tc>
          <w:tcPr>
            <w:tcW w:w="1184" w:type="dxa"/>
            <w:tcBorders>
              <w:top w:val="single" w:sz="0" w:space="0" w:color="000000"/>
            </w:tcBorders>
          </w:tcPr>
          <w:p>
            <w:pPr>
              <w:pStyle w:val="TableParagraph"/>
              <w:rPr>
                <w:b/>
                <w:sz w:val="18"/>
              </w:rPr>
            </w:pPr>
          </w:p>
          <w:p>
            <w:pPr>
              <w:pStyle w:val="TableParagraph"/>
              <w:spacing w:before="151"/>
              <w:ind w:right="81"/>
              <w:jc w:val="right"/>
              <w:rPr>
                <w:sz w:val="18"/>
              </w:rPr>
            </w:pPr>
            <w:r>
              <w:rPr>
                <w:w w:val="95"/>
                <w:sz w:val="18"/>
              </w:rPr>
              <w:t>989,201</w:t>
            </w:r>
          </w:p>
        </w:tc>
      </w:tr>
      <w:tr>
        <w:trPr>
          <w:trHeight w:val="263" w:hRule="exact"/>
        </w:trPr>
        <w:tc>
          <w:tcPr>
            <w:tcW w:w="6960" w:type="dxa"/>
          </w:tcPr>
          <w:p>
            <w:pPr>
              <w:pStyle w:val="TableParagraph"/>
              <w:spacing w:before="18"/>
              <w:ind w:left="186"/>
              <w:rPr>
                <w:sz w:val="18"/>
              </w:rPr>
            </w:pPr>
            <w:r>
              <w:rPr>
                <w:sz w:val="18"/>
              </w:rPr>
              <w:t>Venue hire</w:t>
            </w:r>
          </w:p>
        </w:tc>
        <w:tc>
          <w:tcPr>
            <w:tcW w:w="1411" w:type="dxa"/>
            <w:tcBorders>
              <w:bottom w:val="single" w:sz="0" w:space="0" w:color="000000"/>
            </w:tcBorders>
          </w:tcPr>
          <w:p>
            <w:pPr>
              <w:pStyle w:val="TableParagraph"/>
              <w:spacing w:before="19"/>
              <w:ind w:right="198"/>
              <w:jc w:val="right"/>
              <w:rPr>
                <w:b/>
                <w:sz w:val="18"/>
              </w:rPr>
            </w:pPr>
            <w:r>
              <w:rPr>
                <w:b/>
                <w:w w:val="95"/>
                <w:sz w:val="18"/>
              </w:rPr>
              <w:t>3,127</w:t>
            </w:r>
          </w:p>
        </w:tc>
        <w:tc>
          <w:tcPr>
            <w:tcW w:w="1184" w:type="dxa"/>
            <w:tcBorders>
              <w:bottom w:val="single" w:sz="0" w:space="0" w:color="000000"/>
            </w:tcBorders>
          </w:tcPr>
          <w:p>
            <w:pPr>
              <w:pStyle w:val="TableParagraph"/>
              <w:spacing w:before="19"/>
              <w:ind w:right="82"/>
              <w:jc w:val="right"/>
              <w:rPr>
                <w:sz w:val="18"/>
              </w:rPr>
            </w:pPr>
            <w:r>
              <w:rPr>
                <w:w w:val="95"/>
                <w:sz w:val="18"/>
              </w:rPr>
              <w:t>10,078</w:t>
            </w:r>
          </w:p>
        </w:tc>
      </w:tr>
      <w:tr>
        <w:trPr>
          <w:trHeight w:val="338" w:hRule="exact"/>
        </w:trPr>
        <w:tc>
          <w:tcPr>
            <w:tcW w:w="6960" w:type="dxa"/>
          </w:tcPr>
          <w:p>
            <w:pPr>
              <w:pStyle w:val="TableParagraph"/>
              <w:spacing w:before="123"/>
              <w:ind w:left="35"/>
              <w:rPr>
                <w:b/>
                <w:sz w:val="18"/>
              </w:rPr>
            </w:pPr>
            <w:r>
              <w:rPr>
                <w:b/>
                <w:sz w:val="18"/>
              </w:rPr>
              <w:t>Total rendering of services</w:t>
            </w:r>
          </w:p>
        </w:tc>
        <w:tc>
          <w:tcPr>
            <w:tcW w:w="1411" w:type="dxa"/>
            <w:tcBorders>
              <w:top w:val="single" w:sz="0" w:space="0" w:color="000000"/>
              <w:bottom w:val="single" w:sz="0" w:space="0" w:color="000000"/>
            </w:tcBorders>
          </w:tcPr>
          <w:p>
            <w:pPr>
              <w:pStyle w:val="TableParagraph"/>
              <w:spacing w:before="122"/>
              <w:ind w:right="197"/>
              <w:jc w:val="right"/>
              <w:rPr>
                <w:b/>
                <w:sz w:val="18"/>
              </w:rPr>
            </w:pPr>
            <w:r>
              <w:rPr>
                <w:b/>
                <w:w w:val="95"/>
                <w:sz w:val="18"/>
              </w:rPr>
              <w:t>941,284</w:t>
            </w:r>
          </w:p>
        </w:tc>
        <w:tc>
          <w:tcPr>
            <w:tcW w:w="1184" w:type="dxa"/>
            <w:tcBorders>
              <w:top w:val="single" w:sz="0" w:space="0" w:color="000000"/>
              <w:bottom w:val="single" w:sz="0" w:space="0" w:color="000000"/>
            </w:tcBorders>
          </w:tcPr>
          <w:p>
            <w:pPr>
              <w:pStyle w:val="TableParagraph"/>
              <w:spacing w:before="122"/>
              <w:ind w:right="81"/>
              <w:jc w:val="right"/>
              <w:rPr>
                <w:sz w:val="18"/>
              </w:rPr>
            </w:pPr>
            <w:r>
              <w:rPr>
                <w:w w:val="95"/>
                <w:sz w:val="18"/>
              </w:rPr>
              <w:t>999,279</w:t>
            </w:r>
          </w:p>
        </w:tc>
      </w:tr>
      <w:tr>
        <w:trPr>
          <w:trHeight w:val="603" w:hRule="exact"/>
        </w:trPr>
        <w:tc>
          <w:tcPr>
            <w:tcW w:w="6960" w:type="dxa"/>
          </w:tcPr>
          <w:p>
            <w:pPr>
              <w:pStyle w:val="TableParagraph"/>
              <w:spacing w:before="123"/>
              <w:ind w:left="85"/>
              <w:rPr>
                <w:b/>
                <w:sz w:val="18"/>
              </w:rPr>
            </w:pPr>
            <w:r>
              <w:rPr>
                <w:b/>
                <w:sz w:val="18"/>
              </w:rPr>
              <w:t>University funding</w:t>
            </w:r>
          </w:p>
          <w:p>
            <w:pPr>
              <w:pStyle w:val="TableParagraph"/>
              <w:spacing w:before="27"/>
              <w:ind w:left="186"/>
              <w:rPr>
                <w:sz w:val="18"/>
              </w:rPr>
            </w:pPr>
            <w:r>
              <w:rPr>
                <w:sz w:val="18"/>
              </w:rPr>
              <w:t>University funding - general</w:t>
            </w:r>
          </w:p>
        </w:tc>
        <w:tc>
          <w:tcPr>
            <w:tcW w:w="1411" w:type="dxa"/>
            <w:tcBorders>
              <w:top w:val="single" w:sz="0" w:space="0" w:color="000000"/>
            </w:tcBorders>
          </w:tcPr>
          <w:p>
            <w:pPr>
              <w:pStyle w:val="TableParagraph"/>
              <w:rPr>
                <w:b/>
                <w:sz w:val="18"/>
              </w:rPr>
            </w:pPr>
          </w:p>
          <w:p>
            <w:pPr>
              <w:pStyle w:val="TableParagraph"/>
              <w:spacing w:before="151"/>
              <w:ind w:right="197"/>
              <w:jc w:val="right"/>
              <w:rPr>
                <w:b/>
                <w:sz w:val="18"/>
              </w:rPr>
            </w:pPr>
            <w:r>
              <w:rPr>
                <w:b/>
                <w:w w:val="95"/>
                <w:sz w:val="18"/>
              </w:rPr>
              <w:t>1,200,000</w:t>
            </w:r>
          </w:p>
        </w:tc>
        <w:tc>
          <w:tcPr>
            <w:tcW w:w="1184" w:type="dxa"/>
            <w:tcBorders>
              <w:top w:val="single" w:sz="0" w:space="0" w:color="000000"/>
            </w:tcBorders>
          </w:tcPr>
          <w:p>
            <w:pPr>
              <w:pStyle w:val="TableParagraph"/>
              <w:rPr>
                <w:b/>
                <w:sz w:val="18"/>
              </w:rPr>
            </w:pPr>
          </w:p>
          <w:p>
            <w:pPr>
              <w:pStyle w:val="TableParagraph"/>
              <w:spacing w:before="151"/>
              <w:ind w:right="81"/>
              <w:jc w:val="right"/>
              <w:rPr>
                <w:sz w:val="18"/>
              </w:rPr>
            </w:pPr>
            <w:r>
              <w:rPr>
                <w:w w:val="95"/>
                <w:sz w:val="18"/>
              </w:rPr>
              <w:t>1,200,000</w:t>
            </w:r>
          </w:p>
        </w:tc>
      </w:tr>
      <w:tr>
        <w:trPr>
          <w:trHeight w:val="264" w:hRule="exact"/>
        </w:trPr>
        <w:tc>
          <w:tcPr>
            <w:tcW w:w="6960" w:type="dxa"/>
          </w:tcPr>
          <w:p>
            <w:pPr>
              <w:pStyle w:val="TableParagraph"/>
              <w:spacing w:before="18"/>
              <w:ind w:left="186"/>
              <w:rPr>
                <w:sz w:val="18"/>
              </w:rPr>
            </w:pPr>
            <w:r>
              <w:rPr>
                <w:sz w:val="18"/>
              </w:rPr>
              <w:t>University funding - community services</w:t>
            </w:r>
          </w:p>
        </w:tc>
        <w:tc>
          <w:tcPr>
            <w:tcW w:w="1411" w:type="dxa"/>
          </w:tcPr>
          <w:p>
            <w:pPr>
              <w:pStyle w:val="TableParagraph"/>
              <w:spacing w:before="19"/>
              <w:ind w:right="197"/>
              <w:jc w:val="right"/>
              <w:rPr>
                <w:b/>
                <w:sz w:val="18"/>
              </w:rPr>
            </w:pPr>
            <w:r>
              <w:rPr>
                <w:b/>
                <w:w w:val="95"/>
                <w:sz w:val="18"/>
              </w:rPr>
              <w:t>425,694</w:t>
            </w:r>
          </w:p>
        </w:tc>
        <w:tc>
          <w:tcPr>
            <w:tcW w:w="1184" w:type="dxa"/>
          </w:tcPr>
          <w:p>
            <w:pPr>
              <w:pStyle w:val="TableParagraph"/>
              <w:spacing w:before="19"/>
              <w:ind w:right="81"/>
              <w:jc w:val="right"/>
              <w:rPr>
                <w:sz w:val="18"/>
              </w:rPr>
            </w:pPr>
            <w:r>
              <w:rPr>
                <w:w w:val="95"/>
                <w:sz w:val="18"/>
              </w:rPr>
              <w:t>171,433</w:t>
            </w:r>
          </w:p>
        </w:tc>
      </w:tr>
      <w:tr>
        <w:trPr>
          <w:trHeight w:val="264" w:hRule="exact"/>
        </w:trPr>
        <w:tc>
          <w:tcPr>
            <w:tcW w:w="6960" w:type="dxa"/>
          </w:tcPr>
          <w:p>
            <w:pPr>
              <w:pStyle w:val="TableParagraph"/>
              <w:spacing w:before="18"/>
              <w:ind w:left="186"/>
              <w:rPr>
                <w:sz w:val="18"/>
              </w:rPr>
            </w:pPr>
            <w:r>
              <w:rPr>
                <w:sz w:val="18"/>
              </w:rPr>
              <w:t>University funding - clubs</w:t>
            </w:r>
          </w:p>
        </w:tc>
        <w:tc>
          <w:tcPr>
            <w:tcW w:w="1411" w:type="dxa"/>
          </w:tcPr>
          <w:p>
            <w:pPr>
              <w:pStyle w:val="TableParagraph"/>
              <w:spacing w:before="19"/>
              <w:ind w:right="197"/>
              <w:jc w:val="right"/>
              <w:rPr>
                <w:b/>
                <w:sz w:val="18"/>
              </w:rPr>
            </w:pPr>
            <w:r>
              <w:rPr>
                <w:b/>
                <w:w w:val="95"/>
                <w:sz w:val="18"/>
              </w:rPr>
              <w:t>350,000</w:t>
            </w:r>
          </w:p>
        </w:tc>
        <w:tc>
          <w:tcPr>
            <w:tcW w:w="1184" w:type="dxa"/>
          </w:tcPr>
          <w:p>
            <w:pPr>
              <w:pStyle w:val="TableParagraph"/>
              <w:spacing w:before="19"/>
              <w:ind w:right="81"/>
              <w:jc w:val="right"/>
              <w:rPr>
                <w:sz w:val="18"/>
              </w:rPr>
            </w:pPr>
            <w:r>
              <w:rPr>
                <w:w w:val="95"/>
                <w:sz w:val="18"/>
              </w:rPr>
              <w:t>350,000</w:t>
            </w:r>
          </w:p>
        </w:tc>
      </w:tr>
      <w:tr>
        <w:trPr>
          <w:trHeight w:val="263" w:hRule="exact"/>
        </w:trPr>
        <w:tc>
          <w:tcPr>
            <w:tcW w:w="6960" w:type="dxa"/>
          </w:tcPr>
          <w:p>
            <w:pPr>
              <w:pStyle w:val="TableParagraph"/>
              <w:spacing w:before="18"/>
              <w:ind w:left="186"/>
              <w:rPr>
                <w:sz w:val="18"/>
              </w:rPr>
            </w:pPr>
            <w:r>
              <w:rPr>
                <w:sz w:val="18"/>
              </w:rPr>
              <w:t>University funding - sport</w:t>
            </w:r>
          </w:p>
        </w:tc>
        <w:tc>
          <w:tcPr>
            <w:tcW w:w="1411" w:type="dxa"/>
            <w:tcBorders>
              <w:bottom w:val="single" w:sz="0" w:space="0" w:color="000000"/>
            </w:tcBorders>
          </w:tcPr>
          <w:p>
            <w:pPr>
              <w:pStyle w:val="TableParagraph"/>
              <w:spacing w:before="19"/>
              <w:ind w:right="197"/>
              <w:jc w:val="right"/>
              <w:rPr>
                <w:b/>
                <w:sz w:val="18"/>
              </w:rPr>
            </w:pPr>
            <w:r>
              <w:rPr>
                <w:b/>
                <w:w w:val="95"/>
                <w:sz w:val="18"/>
              </w:rPr>
              <w:t>442,369</w:t>
            </w:r>
          </w:p>
        </w:tc>
        <w:tc>
          <w:tcPr>
            <w:tcW w:w="1184" w:type="dxa"/>
            <w:tcBorders>
              <w:bottom w:val="single" w:sz="0" w:space="0" w:color="000000"/>
            </w:tcBorders>
          </w:tcPr>
          <w:p>
            <w:pPr>
              <w:pStyle w:val="TableParagraph"/>
              <w:spacing w:before="19"/>
              <w:ind w:right="81"/>
              <w:jc w:val="right"/>
              <w:rPr>
                <w:sz w:val="18"/>
              </w:rPr>
            </w:pPr>
            <w:r>
              <w:rPr>
                <w:w w:val="95"/>
                <w:sz w:val="18"/>
              </w:rPr>
              <w:t>272,630</w:t>
            </w:r>
          </w:p>
        </w:tc>
      </w:tr>
      <w:tr>
        <w:trPr>
          <w:trHeight w:val="338" w:hRule="exact"/>
        </w:trPr>
        <w:tc>
          <w:tcPr>
            <w:tcW w:w="6960" w:type="dxa"/>
          </w:tcPr>
          <w:p>
            <w:pPr>
              <w:pStyle w:val="TableParagraph"/>
              <w:spacing w:before="123"/>
              <w:ind w:left="186"/>
              <w:rPr>
                <w:b/>
                <w:sz w:val="18"/>
              </w:rPr>
            </w:pPr>
            <w:r>
              <w:rPr>
                <w:b/>
                <w:sz w:val="18"/>
              </w:rPr>
              <w:t>Total University Funding</w:t>
            </w:r>
          </w:p>
        </w:tc>
        <w:tc>
          <w:tcPr>
            <w:tcW w:w="1411" w:type="dxa"/>
            <w:tcBorders>
              <w:top w:val="single" w:sz="0" w:space="0" w:color="000000"/>
              <w:bottom w:val="single" w:sz="0" w:space="0" w:color="000000"/>
            </w:tcBorders>
          </w:tcPr>
          <w:p>
            <w:pPr>
              <w:pStyle w:val="TableParagraph"/>
              <w:spacing w:before="122"/>
              <w:ind w:right="197"/>
              <w:jc w:val="right"/>
              <w:rPr>
                <w:b/>
                <w:sz w:val="18"/>
              </w:rPr>
            </w:pPr>
            <w:r>
              <w:rPr>
                <w:b/>
                <w:w w:val="95"/>
                <w:sz w:val="18"/>
              </w:rPr>
              <w:t>2,418,063</w:t>
            </w:r>
          </w:p>
        </w:tc>
        <w:tc>
          <w:tcPr>
            <w:tcW w:w="1184" w:type="dxa"/>
            <w:tcBorders>
              <w:top w:val="single" w:sz="0" w:space="0" w:color="000000"/>
              <w:bottom w:val="single" w:sz="0" w:space="0" w:color="000000"/>
            </w:tcBorders>
          </w:tcPr>
          <w:p>
            <w:pPr>
              <w:pStyle w:val="TableParagraph"/>
              <w:spacing w:before="122"/>
              <w:ind w:right="81"/>
              <w:jc w:val="right"/>
              <w:rPr>
                <w:sz w:val="18"/>
              </w:rPr>
            </w:pPr>
            <w:r>
              <w:rPr>
                <w:w w:val="95"/>
                <w:sz w:val="18"/>
              </w:rPr>
              <w:t>1,994,063</w:t>
            </w:r>
          </w:p>
        </w:tc>
      </w:tr>
      <w:tr>
        <w:trPr>
          <w:trHeight w:val="603" w:hRule="exact"/>
        </w:trPr>
        <w:tc>
          <w:tcPr>
            <w:tcW w:w="6960" w:type="dxa"/>
          </w:tcPr>
          <w:p>
            <w:pPr>
              <w:pStyle w:val="TableParagraph"/>
              <w:spacing w:before="123"/>
              <w:ind w:left="16" w:right="5683"/>
              <w:jc w:val="center"/>
              <w:rPr>
                <w:b/>
                <w:sz w:val="18"/>
              </w:rPr>
            </w:pPr>
            <w:r>
              <w:rPr>
                <w:b/>
                <w:sz w:val="18"/>
              </w:rPr>
              <w:t>Other revenue</w:t>
            </w:r>
          </w:p>
          <w:p>
            <w:pPr>
              <w:pStyle w:val="TableParagraph"/>
              <w:spacing w:before="27"/>
              <w:ind w:left="16" w:right="5651"/>
              <w:jc w:val="center"/>
              <w:rPr>
                <w:sz w:val="18"/>
              </w:rPr>
            </w:pPr>
            <w:r>
              <w:rPr>
                <w:sz w:val="18"/>
              </w:rPr>
              <w:t>Bank interest</w:t>
            </w:r>
          </w:p>
        </w:tc>
        <w:tc>
          <w:tcPr>
            <w:tcW w:w="1411" w:type="dxa"/>
            <w:tcBorders>
              <w:top w:val="single" w:sz="0" w:space="0" w:color="000000"/>
            </w:tcBorders>
          </w:tcPr>
          <w:p>
            <w:pPr>
              <w:pStyle w:val="TableParagraph"/>
              <w:rPr>
                <w:b/>
                <w:sz w:val="18"/>
              </w:rPr>
            </w:pPr>
          </w:p>
          <w:p>
            <w:pPr>
              <w:pStyle w:val="TableParagraph"/>
              <w:spacing w:before="151"/>
              <w:ind w:right="198"/>
              <w:jc w:val="right"/>
              <w:rPr>
                <w:b/>
                <w:sz w:val="18"/>
              </w:rPr>
            </w:pPr>
            <w:r>
              <w:rPr>
                <w:b/>
                <w:w w:val="95"/>
                <w:sz w:val="18"/>
              </w:rPr>
              <w:t>6,999</w:t>
            </w:r>
          </w:p>
        </w:tc>
        <w:tc>
          <w:tcPr>
            <w:tcW w:w="1184" w:type="dxa"/>
            <w:tcBorders>
              <w:top w:val="single" w:sz="0" w:space="0" w:color="000000"/>
            </w:tcBorders>
          </w:tcPr>
          <w:p>
            <w:pPr>
              <w:pStyle w:val="TableParagraph"/>
              <w:rPr>
                <w:b/>
                <w:sz w:val="18"/>
              </w:rPr>
            </w:pPr>
          </w:p>
          <w:p>
            <w:pPr>
              <w:pStyle w:val="TableParagraph"/>
              <w:spacing w:before="151"/>
              <w:ind w:right="82"/>
              <w:jc w:val="right"/>
              <w:rPr>
                <w:sz w:val="18"/>
              </w:rPr>
            </w:pPr>
            <w:r>
              <w:rPr>
                <w:w w:val="95"/>
                <w:sz w:val="18"/>
              </w:rPr>
              <w:t>16,400</w:t>
            </w:r>
          </w:p>
        </w:tc>
      </w:tr>
      <w:tr>
        <w:trPr>
          <w:trHeight w:val="263" w:hRule="exact"/>
        </w:trPr>
        <w:tc>
          <w:tcPr>
            <w:tcW w:w="6960" w:type="dxa"/>
          </w:tcPr>
          <w:p>
            <w:pPr>
              <w:pStyle w:val="TableParagraph"/>
              <w:spacing w:before="18"/>
              <w:ind w:left="135"/>
              <w:rPr>
                <w:sz w:val="18"/>
              </w:rPr>
            </w:pPr>
            <w:r>
              <w:rPr>
                <w:sz w:val="18"/>
              </w:rPr>
              <w:t>Other revenue</w:t>
            </w:r>
          </w:p>
        </w:tc>
        <w:tc>
          <w:tcPr>
            <w:tcW w:w="1411" w:type="dxa"/>
            <w:tcBorders>
              <w:bottom w:val="single" w:sz="0" w:space="0" w:color="000000"/>
            </w:tcBorders>
          </w:tcPr>
          <w:p>
            <w:pPr>
              <w:pStyle w:val="TableParagraph"/>
              <w:spacing w:before="19"/>
              <w:ind w:right="197"/>
              <w:jc w:val="right"/>
              <w:rPr>
                <w:b/>
                <w:sz w:val="18"/>
              </w:rPr>
            </w:pPr>
            <w:r>
              <w:rPr>
                <w:b/>
                <w:w w:val="95"/>
                <w:sz w:val="18"/>
              </w:rPr>
              <w:t>733,618</w:t>
            </w:r>
          </w:p>
        </w:tc>
        <w:tc>
          <w:tcPr>
            <w:tcW w:w="1184" w:type="dxa"/>
            <w:tcBorders>
              <w:bottom w:val="single" w:sz="0" w:space="0" w:color="000000"/>
            </w:tcBorders>
          </w:tcPr>
          <w:p>
            <w:pPr>
              <w:pStyle w:val="TableParagraph"/>
              <w:spacing w:before="19"/>
              <w:ind w:right="81"/>
              <w:jc w:val="right"/>
              <w:rPr>
                <w:sz w:val="18"/>
              </w:rPr>
            </w:pPr>
            <w:r>
              <w:rPr>
                <w:w w:val="95"/>
                <w:sz w:val="18"/>
              </w:rPr>
              <w:t>783,381</w:t>
            </w:r>
          </w:p>
        </w:tc>
      </w:tr>
      <w:tr>
        <w:trPr>
          <w:trHeight w:val="338" w:hRule="exact"/>
        </w:trPr>
        <w:tc>
          <w:tcPr>
            <w:tcW w:w="6960" w:type="dxa"/>
          </w:tcPr>
          <w:p>
            <w:pPr>
              <w:pStyle w:val="TableParagraph"/>
              <w:spacing w:before="123"/>
              <w:ind w:left="85"/>
              <w:rPr>
                <w:b/>
                <w:sz w:val="18"/>
              </w:rPr>
            </w:pPr>
            <w:r>
              <w:rPr>
                <w:b/>
                <w:sz w:val="18"/>
              </w:rPr>
              <w:t>Total other revenue</w:t>
            </w:r>
          </w:p>
        </w:tc>
        <w:tc>
          <w:tcPr>
            <w:tcW w:w="1411" w:type="dxa"/>
            <w:tcBorders>
              <w:top w:val="single" w:sz="0" w:space="0" w:color="000000"/>
              <w:bottom w:val="single" w:sz="0" w:space="0" w:color="000000"/>
            </w:tcBorders>
          </w:tcPr>
          <w:p>
            <w:pPr>
              <w:pStyle w:val="TableParagraph"/>
              <w:spacing w:before="122"/>
              <w:ind w:right="197"/>
              <w:jc w:val="right"/>
              <w:rPr>
                <w:b/>
                <w:sz w:val="18"/>
              </w:rPr>
            </w:pPr>
            <w:r>
              <w:rPr>
                <w:b/>
                <w:w w:val="95"/>
                <w:sz w:val="18"/>
              </w:rPr>
              <w:t>740,617</w:t>
            </w:r>
          </w:p>
        </w:tc>
        <w:tc>
          <w:tcPr>
            <w:tcW w:w="1184" w:type="dxa"/>
            <w:tcBorders>
              <w:top w:val="single" w:sz="0" w:space="0" w:color="000000"/>
              <w:bottom w:val="single" w:sz="0" w:space="0" w:color="000000"/>
            </w:tcBorders>
          </w:tcPr>
          <w:p>
            <w:pPr>
              <w:pStyle w:val="TableParagraph"/>
              <w:spacing w:before="122"/>
              <w:ind w:right="81"/>
              <w:jc w:val="right"/>
              <w:rPr>
                <w:sz w:val="18"/>
              </w:rPr>
            </w:pPr>
            <w:r>
              <w:rPr>
                <w:w w:val="95"/>
                <w:sz w:val="18"/>
              </w:rPr>
              <w:t>799,781</w:t>
            </w:r>
          </w:p>
        </w:tc>
      </w:tr>
      <w:tr>
        <w:trPr>
          <w:trHeight w:val="353" w:hRule="exact"/>
        </w:trPr>
        <w:tc>
          <w:tcPr>
            <w:tcW w:w="6960" w:type="dxa"/>
          </w:tcPr>
          <w:p>
            <w:pPr>
              <w:pStyle w:val="TableParagraph"/>
              <w:spacing w:before="123"/>
              <w:ind w:left="35"/>
              <w:rPr>
                <w:b/>
                <w:sz w:val="18"/>
              </w:rPr>
            </w:pPr>
            <w:r>
              <w:rPr>
                <w:b/>
                <w:sz w:val="18"/>
              </w:rPr>
              <w:t>Total revenue</w:t>
            </w:r>
          </w:p>
        </w:tc>
        <w:tc>
          <w:tcPr>
            <w:tcW w:w="1411" w:type="dxa"/>
            <w:tcBorders>
              <w:top w:val="single" w:sz="0" w:space="0" w:color="000000"/>
              <w:bottom w:val="single" w:sz="0" w:space="0" w:color="000000"/>
            </w:tcBorders>
          </w:tcPr>
          <w:p>
            <w:pPr>
              <w:pStyle w:val="TableParagraph"/>
              <w:spacing w:before="122"/>
              <w:ind w:right="197"/>
              <w:jc w:val="right"/>
              <w:rPr>
                <w:b/>
                <w:sz w:val="18"/>
              </w:rPr>
            </w:pPr>
            <w:r>
              <w:rPr>
                <w:b/>
                <w:w w:val="95"/>
                <w:sz w:val="18"/>
              </w:rPr>
              <w:t>9,461,346</w:t>
            </w:r>
          </w:p>
        </w:tc>
        <w:tc>
          <w:tcPr>
            <w:tcW w:w="1184" w:type="dxa"/>
            <w:tcBorders>
              <w:top w:val="single" w:sz="0" w:space="0" w:color="000000"/>
              <w:bottom w:val="single" w:sz="0" w:space="0" w:color="000000"/>
            </w:tcBorders>
          </w:tcPr>
          <w:p>
            <w:pPr>
              <w:pStyle w:val="TableParagraph"/>
              <w:spacing w:before="122"/>
              <w:ind w:right="81"/>
              <w:jc w:val="right"/>
              <w:rPr>
                <w:sz w:val="18"/>
              </w:rPr>
            </w:pPr>
            <w:r>
              <w:rPr>
                <w:w w:val="95"/>
                <w:sz w:val="18"/>
              </w:rPr>
              <w:t>21,050,911</w:t>
            </w:r>
          </w:p>
        </w:tc>
      </w:tr>
    </w:tbl>
    <w:p>
      <w:pPr>
        <w:pStyle w:val="BodyText"/>
        <w:rPr>
          <w:b/>
          <w:sz w:val="20"/>
        </w:rPr>
      </w:pPr>
    </w:p>
    <w:p>
      <w:pPr>
        <w:pStyle w:val="BodyText"/>
        <w:spacing w:before="4"/>
        <w:rPr>
          <w:b/>
          <w:sz w:val="19"/>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7074"/>
        <w:gridCol w:w="1502"/>
        <w:gridCol w:w="1092"/>
      </w:tblGrid>
      <w:tr>
        <w:trPr>
          <w:trHeight w:val="728" w:hRule="exact"/>
        </w:trPr>
        <w:tc>
          <w:tcPr>
            <w:tcW w:w="282" w:type="dxa"/>
          </w:tcPr>
          <w:p>
            <w:pPr>
              <w:pStyle w:val="TableParagraph"/>
              <w:spacing w:before="77"/>
              <w:ind w:left="35"/>
              <w:rPr>
                <w:b/>
                <w:sz w:val="18"/>
              </w:rPr>
            </w:pPr>
            <w:r>
              <w:rPr>
                <w:b/>
                <w:w w:val="99"/>
                <w:sz w:val="18"/>
              </w:rPr>
              <w:t>4</w:t>
            </w:r>
          </w:p>
        </w:tc>
        <w:tc>
          <w:tcPr>
            <w:tcW w:w="7074" w:type="dxa"/>
          </w:tcPr>
          <w:p>
            <w:pPr>
              <w:pStyle w:val="TableParagraph"/>
              <w:spacing w:before="77"/>
              <w:ind w:left="147"/>
              <w:rPr>
                <w:b/>
                <w:sz w:val="18"/>
              </w:rPr>
            </w:pPr>
            <w:r>
              <w:rPr>
                <w:b/>
                <w:sz w:val="18"/>
              </w:rPr>
              <w:t>Gain on disposal of assets</w:t>
            </w:r>
          </w:p>
        </w:tc>
        <w:tc>
          <w:tcPr>
            <w:tcW w:w="1502" w:type="dxa"/>
          </w:tcPr>
          <w:p>
            <w:pPr>
              <w:pStyle w:val="TableParagraph"/>
              <w:rPr>
                <w:b/>
                <w:sz w:val="18"/>
              </w:rPr>
            </w:pPr>
          </w:p>
          <w:p>
            <w:pPr>
              <w:pStyle w:val="TableParagraph"/>
              <w:spacing w:before="6"/>
              <w:rPr>
                <w:b/>
                <w:sz w:val="23"/>
              </w:rPr>
            </w:pPr>
          </w:p>
          <w:p>
            <w:pPr>
              <w:pStyle w:val="TableParagraph"/>
              <w:ind w:left="435"/>
              <w:rPr>
                <w:b/>
                <w:sz w:val="18"/>
              </w:rPr>
            </w:pPr>
            <w:r>
              <w:rPr>
                <w:b/>
                <w:sz w:val="18"/>
              </w:rPr>
              <w:t>2017</w:t>
            </w:r>
          </w:p>
        </w:tc>
        <w:tc>
          <w:tcPr>
            <w:tcW w:w="1092" w:type="dxa"/>
          </w:tcPr>
          <w:p>
            <w:pPr>
              <w:pStyle w:val="TableParagraph"/>
              <w:rPr>
                <w:b/>
                <w:sz w:val="18"/>
              </w:rPr>
            </w:pPr>
          </w:p>
          <w:p>
            <w:pPr>
              <w:pStyle w:val="TableParagraph"/>
              <w:spacing w:before="6"/>
              <w:rPr>
                <w:b/>
                <w:sz w:val="23"/>
              </w:rPr>
            </w:pPr>
          </w:p>
          <w:p>
            <w:pPr>
              <w:pStyle w:val="TableParagraph"/>
              <w:ind w:left="230"/>
              <w:rPr>
                <w:b/>
                <w:sz w:val="18"/>
              </w:rPr>
            </w:pPr>
            <w:r>
              <w:rPr>
                <w:b/>
                <w:sz w:val="18"/>
              </w:rPr>
              <w:t>2016</w:t>
            </w:r>
          </w:p>
        </w:tc>
      </w:tr>
      <w:tr>
        <w:trPr>
          <w:trHeight w:val="271" w:hRule="exact"/>
        </w:trPr>
        <w:tc>
          <w:tcPr>
            <w:tcW w:w="282" w:type="dxa"/>
          </w:tcPr>
          <w:p>
            <w:pPr/>
          </w:p>
        </w:tc>
        <w:tc>
          <w:tcPr>
            <w:tcW w:w="7074" w:type="dxa"/>
          </w:tcPr>
          <w:p>
            <w:pPr/>
          </w:p>
        </w:tc>
        <w:tc>
          <w:tcPr>
            <w:tcW w:w="1502" w:type="dxa"/>
          </w:tcPr>
          <w:p>
            <w:pPr>
              <w:pStyle w:val="TableParagraph"/>
              <w:spacing w:before="24"/>
              <w:ind w:right="229"/>
              <w:jc w:val="center"/>
              <w:rPr>
                <w:b/>
                <w:sz w:val="18"/>
              </w:rPr>
            </w:pPr>
            <w:r>
              <w:rPr>
                <w:b/>
                <w:w w:val="99"/>
                <w:sz w:val="18"/>
              </w:rPr>
              <w:t>$</w:t>
            </w:r>
          </w:p>
        </w:tc>
        <w:tc>
          <w:tcPr>
            <w:tcW w:w="1092" w:type="dxa"/>
          </w:tcPr>
          <w:p>
            <w:pPr>
              <w:pStyle w:val="TableParagraph"/>
              <w:spacing w:before="24"/>
              <w:ind w:left="380"/>
              <w:rPr>
                <w:b/>
                <w:sz w:val="18"/>
              </w:rPr>
            </w:pPr>
            <w:r>
              <w:rPr>
                <w:b/>
                <w:w w:val="99"/>
                <w:sz w:val="18"/>
              </w:rPr>
              <w:t>$</w:t>
            </w:r>
          </w:p>
        </w:tc>
      </w:tr>
      <w:tr>
        <w:trPr>
          <w:trHeight w:val="267" w:hRule="exact"/>
        </w:trPr>
        <w:tc>
          <w:tcPr>
            <w:tcW w:w="282" w:type="dxa"/>
          </w:tcPr>
          <w:p>
            <w:pPr/>
          </w:p>
        </w:tc>
        <w:tc>
          <w:tcPr>
            <w:tcW w:w="7074" w:type="dxa"/>
          </w:tcPr>
          <w:p>
            <w:pPr>
              <w:pStyle w:val="TableParagraph"/>
              <w:spacing w:before="22"/>
              <w:ind w:left="147"/>
              <w:rPr>
                <w:sz w:val="18"/>
              </w:rPr>
            </w:pPr>
            <w:r>
              <w:rPr>
                <w:sz w:val="18"/>
              </w:rPr>
              <w:t>Proceeds from sale</w:t>
            </w:r>
          </w:p>
        </w:tc>
        <w:tc>
          <w:tcPr>
            <w:tcW w:w="1502" w:type="dxa"/>
          </w:tcPr>
          <w:p>
            <w:pPr>
              <w:pStyle w:val="TableParagraph"/>
              <w:spacing w:before="21"/>
              <w:ind w:left="561"/>
              <w:rPr>
                <w:b/>
                <w:sz w:val="18"/>
              </w:rPr>
            </w:pPr>
            <w:r>
              <w:rPr>
                <w:b/>
                <w:sz w:val="18"/>
              </w:rPr>
              <w:t>234,350</w:t>
            </w:r>
          </w:p>
        </w:tc>
        <w:tc>
          <w:tcPr>
            <w:tcW w:w="1092" w:type="dxa"/>
          </w:tcPr>
          <w:p>
            <w:pPr>
              <w:pStyle w:val="TableParagraph"/>
              <w:spacing w:before="21"/>
              <w:ind w:left="356"/>
              <w:rPr>
                <w:sz w:val="18"/>
              </w:rPr>
            </w:pPr>
            <w:r>
              <w:rPr>
                <w:sz w:val="18"/>
              </w:rPr>
              <w:t>490,100</w:t>
            </w:r>
          </w:p>
        </w:tc>
      </w:tr>
      <w:tr>
        <w:trPr>
          <w:trHeight w:val="262" w:hRule="exact"/>
        </w:trPr>
        <w:tc>
          <w:tcPr>
            <w:tcW w:w="282" w:type="dxa"/>
          </w:tcPr>
          <w:p>
            <w:pPr/>
          </w:p>
        </w:tc>
        <w:tc>
          <w:tcPr>
            <w:tcW w:w="7074" w:type="dxa"/>
          </w:tcPr>
          <w:p>
            <w:pPr>
              <w:pStyle w:val="TableParagraph"/>
              <w:spacing w:before="19"/>
              <w:ind w:left="147"/>
              <w:rPr>
                <w:sz w:val="18"/>
              </w:rPr>
            </w:pPr>
            <w:r>
              <w:rPr>
                <w:sz w:val="18"/>
              </w:rPr>
              <w:t>Carrying amount of assets sold</w:t>
            </w:r>
          </w:p>
        </w:tc>
        <w:tc>
          <w:tcPr>
            <w:tcW w:w="1502" w:type="dxa"/>
            <w:tcBorders>
              <w:bottom w:val="single" w:sz="0" w:space="0" w:color="000000"/>
            </w:tcBorders>
          </w:tcPr>
          <w:p>
            <w:pPr>
              <w:pStyle w:val="TableParagraph"/>
              <w:spacing w:before="18"/>
              <w:ind w:right="228"/>
              <w:jc w:val="right"/>
              <w:rPr>
                <w:b/>
                <w:sz w:val="18"/>
              </w:rPr>
            </w:pPr>
            <w:r>
              <w:rPr>
                <w:b/>
                <w:w w:val="95"/>
                <w:sz w:val="18"/>
              </w:rPr>
              <w:t>(148,754)</w:t>
            </w:r>
          </w:p>
        </w:tc>
        <w:tc>
          <w:tcPr>
            <w:tcW w:w="1092" w:type="dxa"/>
            <w:tcBorders>
              <w:bottom w:val="single" w:sz="0" w:space="0" w:color="000000"/>
            </w:tcBorders>
          </w:tcPr>
          <w:p>
            <w:pPr>
              <w:pStyle w:val="TableParagraph"/>
              <w:spacing w:before="18"/>
              <w:ind w:left="296"/>
              <w:rPr>
                <w:sz w:val="18"/>
              </w:rPr>
            </w:pPr>
            <w:r>
              <w:rPr>
                <w:sz w:val="18"/>
              </w:rPr>
              <w:t>(115,989)</w:t>
            </w:r>
          </w:p>
        </w:tc>
      </w:tr>
      <w:tr>
        <w:trPr>
          <w:trHeight w:val="338" w:hRule="exact"/>
        </w:trPr>
        <w:tc>
          <w:tcPr>
            <w:tcW w:w="282" w:type="dxa"/>
          </w:tcPr>
          <w:p>
            <w:pPr/>
          </w:p>
        </w:tc>
        <w:tc>
          <w:tcPr>
            <w:tcW w:w="7074" w:type="dxa"/>
          </w:tcPr>
          <w:p>
            <w:pPr>
              <w:pStyle w:val="TableParagraph"/>
              <w:spacing w:before="123"/>
              <w:ind w:left="147"/>
              <w:rPr>
                <w:b/>
                <w:sz w:val="18"/>
              </w:rPr>
            </w:pPr>
            <w:r>
              <w:rPr>
                <w:b/>
                <w:sz w:val="18"/>
              </w:rPr>
              <w:t>Total gain on disposal of assets</w:t>
            </w:r>
          </w:p>
        </w:tc>
        <w:tc>
          <w:tcPr>
            <w:tcW w:w="1502" w:type="dxa"/>
            <w:tcBorders>
              <w:top w:val="single" w:sz="0" w:space="0" w:color="000000"/>
              <w:bottom w:val="single" w:sz="0" w:space="0" w:color="000000"/>
            </w:tcBorders>
          </w:tcPr>
          <w:p>
            <w:pPr>
              <w:pStyle w:val="TableParagraph"/>
              <w:spacing w:before="122"/>
              <w:ind w:right="288"/>
              <w:jc w:val="right"/>
              <w:rPr>
                <w:b/>
                <w:sz w:val="18"/>
              </w:rPr>
            </w:pPr>
            <w:r>
              <w:rPr>
                <w:b/>
                <w:w w:val="95"/>
                <w:sz w:val="18"/>
              </w:rPr>
              <w:t>85,596</w:t>
            </w:r>
          </w:p>
        </w:tc>
        <w:tc>
          <w:tcPr>
            <w:tcW w:w="1092" w:type="dxa"/>
            <w:tcBorders>
              <w:top w:val="single" w:sz="0" w:space="0" w:color="000000"/>
              <w:bottom w:val="single" w:sz="0" w:space="0" w:color="000000"/>
            </w:tcBorders>
          </w:tcPr>
          <w:p>
            <w:pPr>
              <w:pStyle w:val="TableParagraph"/>
              <w:spacing w:before="122"/>
              <w:ind w:left="356"/>
              <w:rPr>
                <w:sz w:val="18"/>
              </w:rPr>
            </w:pPr>
            <w:r>
              <w:rPr>
                <w:sz w:val="18"/>
              </w:rPr>
              <w:t>374,111</w:t>
            </w:r>
          </w:p>
        </w:tc>
      </w:tr>
    </w:tbl>
    <w:p>
      <w:pPr>
        <w:spacing w:after="0"/>
        <w:rPr>
          <w:sz w:val="18"/>
        </w:rPr>
        <w:sectPr>
          <w:pgSz w:w="11910" w:h="16840"/>
          <w:pgMar w:header="1038" w:footer="460" w:top="1460" w:bottom="700" w:left="860" w:right="860"/>
        </w:sectPr>
      </w:pPr>
    </w:p>
    <w:p>
      <w:pPr>
        <w:pStyle w:val="BodyText"/>
        <w:spacing w:before="2"/>
        <w:rPr>
          <w:b/>
          <w:sz w:val="24"/>
        </w:rPr>
      </w:pPr>
    </w:p>
    <w:p>
      <w:pPr>
        <w:spacing w:before="64"/>
        <w:ind w:left="147" w:right="19" w:firstLine="0"/>
        <w:jc w:val="left"/>
        <w:rPr>
          <w:b/>
          <w:sz w:val="28"/>
        </w:rPr>
      </w:pPr>
      <w:r>
        <w:rPr>
          <w:b/>
          <w:sz w:val="28"/>
        </w:rPr>
        <w:t>Notes to the Financial Statements</w:t>
      </w:r>
    </w:p>
    <w:p>
      <w:pPr>
        <w:spacing w:before="57" w:after="35"/>
        <w:ind w:left="147" w:right="19" w:firstLine="0"/>
        <w:jc w:val="left"/>
        <w:rPr>
          <w:b/>
          <w:sz w:val="22"/>
        </w:rPr>
      </w:pPr>
      <w:r>
        <w:rPr>
          <w:b/>
          <w:sz w:val="22"/>
        </w:rPr>
        <w:t>For the Year Ended 31 December 2017</w:t>
      </w: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7074"/>
        <w:gridCol w:w="1461"/>
        <w:gridCol w:w="1134"/>
      </w:tblGrid>
      <w:tr>
        <w:trPr>
          <w:trHeight w:val="567" w:hRule="exact"/>
        </w:trPr>
        <w:tc>
          <w:tcPr>
            <w:tcW w:w="282" w:type="dxa"/>
          </w:tcPr>
          <w:p>
            <w:pPr>
              <w:pStyle w:val="TableParagraph"/>
              <w:spacing w:before="77"/>
              <w:ind w:left="35"/>
              <w:rPr>
                <w:b/>
                <w:sz w:val="18"/>
              </w:rPr>
            </w:pPr>
            <w:r>
              <w:rPr>
                <w:b/>
                <w:w w:val="99"/>
                <w:sz w:val="18"/>
              </w:rPr>
              <w:t>5</w:t>
            </w:r>
          </w:p>
        </w:tc>
        <w:tc>
          <w:tcPr>
            <w:tcW w:w="7074" w:type="dxa"/>
          </w:tcPr>
          <w:p>
            <w:pPr>
              <w:pStyle w:val="TableParagraph"/>
              <w:spacing w:before="77"/>
              <w:ind w:left="147"/>
              <w:rPr>
                <w:b/>
                <w:sz w:val="18"/>
              </w:rPr>
            </w:pPr>
            <w:r>
              <w:rPr>
                <w:b/>
                <w:sz w:val="18"/>
              </w:rPr>
              <w:t>Expenses</w:t>
            </w:r>
          </w:p>
        </w:tc>
        <w:tc>
          <w:tcPr>
            <w:tcW w:w="1461" w:type="dxa"/>
          </w:tcPr>
          <w:p>
            <w:pPr>
              <w:pStyle w:val="TableParagraph"/>
              <w:rPr>
                <w:b/>
                <w:sz w:val="18"/>
              </w:rPr>
            </w:pPr>
          </w:p>
          <w:p>
            <w:pPr>
              <w:pStyle w:val="TableParagraph"/>
              <w:spacing w:before="110"/>
              <w:ind w:left="435"/>
              <w:rPr>
                <w:b/>
                <w:sz w:val="18"/>
              </w:rPr>
            </w:pPr>
            <w:r>
              <w:rPr>
                <w:b/>
                <w:sz w:val="18"/>
              </w:rPr>
              <w:t>2017</w:t>
            </w:r>
          </w:p>
        </w:tc>
        <w:tc>
          <w:tcPr>
            <w:tcW w:w="1134" w:type="dxa"/>
          </w:tcPr>
          <w:p>
            <w:pPr>
              <w:pStyle w:val="TableParagraph"/>
              <w:rPr>
                <w:b/>
                <w:sz w:val="18"/>
              </w:rPr>
            </w:pPr>
          </w:p>
          <w:p>
            <w:pPr>
              <w:pStyle w:val="TableParagraph"/>
              <w:spacing w:before="110"/>
              <w:ind w:left="271"/>
              <w:rPr>
                <w:b/>
                <w:sz w:val="18"/>
              </w:rPr>
            </w:pPr>
            <w:r>
              <w:rPr>
                <w:b/>
                <w:sz w:val="18"/>
              </w:rPr>
              <w:t>2016</w:t>
            </w:r>
          </w:p>
        </w:tc>
      </w:tr>
      <w:tr>
        <w:trPr>
          <w:trHeight w:val="313" w:hRule="exact"/>
        </w:trPr>
        <w:tc>
          <w:tcPr>
            <w:tcW w:w="282" w:type="dxa"/>
          </w:tcPr>
          <w:p>
            <w:pPr/>
          </w:p>
        </w:tc>
        <w:tc>
          <w:tcPr>
            <w:tcW w:w="7074" w:type="dxa"/>
          </w:tcPr>
          <w:p>
            <w:pPr/>
          </w:p>
        </w:tc>
        <w:tc>
          <w:tcPr>
            <w:tcW w:w="1461" w:type="dxa"/>
          </w:tcPr>
          <w:p>
            <w:pPr>
              <w:pStyle w:val="TableParagraph"/>
              <w:spacing w:before="24"/>
              <w:ind w:right="187"/>
              <w:jc w:val="center"/>
              <w:rPr>
                <w:b/>
                <w:sz w:val="18"/>
              </w:rPr>
            </w:pPr>
            <w:r>
              <w:rPr>
                <w:b/>
                <w:w w:val="99"/>
                <w:sz w:val="18"/>
              </w:rPr>
              <w:t>$</w:t>
            </w:r>
          </w:p>
        </w:tc>
        <w:tc>
          <w:tcPr>
            <w:tcW w:w="1134" w:type="dxa"/>
          </w:tcPr>
          <w:p>
            <w:pPr>
              <w:pStyle w:val="TableParagraph"/>
              <w:spacing w:before="24"/>
              <w:ind w:right="187"/>
              <w:jc w:val="center"/>
              <w:rPr>
                <w:b/>
                <w:sz w:val="18"/>
              </w:rPr>
            </w:pPr>
            <w:r>
              <w:rPr>
                <w:b/>
                <w:w w:val="99"/>
                <w:sz w:val="18"/>
              </w:rPr>
              <w:t>$</w:t>
            </w:r>
          </w:p>
        </w:tc>
      </w:tr>
      <w:tr>
        <w:trPr>
          <w:trHeight w:val="544" w:hRule="exact"/>
        </w:trPr>
        <w:tc>
          <w:tcPr>
            <w:tcW w:w="282" w:type="dxa"/>
          </w:tcPr>
          <w:p>
            <w:pPr/>
          </w:p>
        </w:tc>
        <w:tc>
          <w:tcPr>
            <w:tcW w:w="7074" w:type="dxa"/>
          </w:tcPr>
          <w:p>
            <w:pPr>
              <w:pStyle w:val="TableParagraph"/>
              <w:spacing w:before="63"/>
              <w:ind w:left="147"/>
              <w:rPr>
                <w:b/>
                <w:sz w:val="18"/>
              </w:rPr>
            </w:pPr>
            <w:r>
              <w:rPr>
                <w:b/>
                <w:sz w:val="18"/>
              </w:rPr>
              <w:t>Employee related expense</w:t>
            </w:r>
          </w:p>
          <w:p>
            <w:pPr>
              <w:pStyle w:val="TableParagraph"/>
              <w:spacing w:before="29"/>
              <w:ind w:left="147"/>
              <w:rPr>
                <w:sz w:val="18"/>
              </w:rPr>
            </w:pPr>
            <w:r>
              <w:rPr>
                <w:sz w:val="18"/>
              </w:rPr>
              <w:t>Salaries and wages</w:t>
            </w:r>
          </w:p>
        </w:tc>
        <w:tc>
          <w:tcPr>
            <w:tcW w:w="1461" w:type="dxa"/>
          </w:tcPr>
          <w:p>
            <w:pPr>
              <w:pStyle w:val="TableParagraph"/>
              <w:spacing w:before="11"/>
              <w:rPr>
                <w:b/>
                <w:sz w:val="25"/>
              </w:rPr>
            </w:pPr>
          </w:p>
          <w:p>
            <w:pPr>
              <w:pStyle w:val="TableParagraph"/>
              <w:ind w:right="246"/>
              <w:jc w:val="right"/>
              <w:rPr>
                <w:b/>
                <w:sz w:val="18"/>
              </w:rPr>
            </w:pPr>
            <w:r>
              <w:rPr>
                <w:b/>
                <w:w w:val="95"/>
                <w:sz w:val="18"/>
              </w:rPr>
              <w:t>4,566,992</w:t>
            </w:r>
          </w:p>
        </w:tc>
        <w:tc>
          <w:tcPr>
            <w:tcW w:w="1134" w:type="dxa"/>
          </w:tcPr>
          <w:p>
            <w:pPr>
              <w:pStyle w:val="TableParagraph"/>
              <w:spacing w:before="11"/>
              <w:rPr>
                <w:b/>
                <w:sz w:val="25"/>
              </w:rPr>
            </w:pPr>
          </w:p>
          <w:p>
            <w:pPr>
              <w:pStyle w:val="TableParagraph"/>
              <w:ind w:right="82"/>
              <w:jc w:val="right"/>
              <w:rPr>
                <w:sz w:val="18"/>
              </w:rPr>
            </w:pPr>
            <w:r>
              <w:rPr>
                <w:w w:val="95"/>
                <w:sz w:val="18"/>
              </w:rPr>
              <w:t>6,770,007</w:t>
            </w:r>
          </w:p>
        </w:tc>
      </w:tr>
      <w:tr>
        <w:trPr>
          <w:trHeight w:val="264" w:hRule="exact"/>
        </w:trPr>
        <w:tc>
          <w:tcPr>
            <w:tcW w:w="282" w:type="dxa"/>
          </w:tcPr>
          <w:p>
            <w:pPr/>
          </w:p>
        </w:tc>
        <w:tc>
          <w:tcPr>
            <w:tcW w:w="7074" w:type="dxa"/>
          </w:tcPr>
          <w:p>
            <w:pPr>
              <w:pStyle w:val="TableParagraph"/>
              <w:spacing w:before="19"/>
              <w:ind w:left="147"/>
              <w:rPr>
                <w:sz w:val="18"/>
              </w:rPr>
            </w:pPr>
            <w:r>
              <w:rPr>
                <w:sz w:val="18"/>
              </w:rPr>
              <w:t>Superannuation</w:t>
            </w:r>
          </w:p>
        </w:tc>
        <w:tc>
          <w:tcPr>
            <w:tcW w:w="1461" w:type="dxa"/>
          </w:tcPr>
          <w:p>
            <w:pPr>
              <w:pStyle w:val="TableParagraph"/>
              <w:spacing w:before="18"/>
              <w:ind w:right="246"/>
              <w:jc w:val="right"/>
              <w:rPr>
                <w:b/>
                <w:sz w:val="18"/>
              </w:rPr>
            </w:pPr>
            <w:r>
              <w:rPr>
                <w:b/>
                <w:w w:val="95"/>
                <w:sz w:val="18"/>
              </w:rPr>
              <w:t>405,629</w:t>
            </w:r>
          </w:p>
        </w:tc>
        <w:tc>
          <w:tcPr>
            <w:tcW w:w="1134" w:type="dxa"/>
          </w:tcPr>
          <w:p>
            <w:pPr>
              <w:pStyle w:val="TableParagraph"/>
              <w:spacing w:before="18"/>
              <w:ind w:right="83"/>
              <w:jc w:val="right"/>
              <w:rPr>
                <w:sz w:val="18"/>
              </w:rPr>
            </w:pPr>
            <w:r>
              <w:rPr>
                <w:w w:val="95"/>
                <w:sz w:val="18"/>
              </w:rPr>
              <w:t>605,151</w:t>
            </w:r>
          </w:p>
        </w:tc>
      </w:tr>
      <w:tr>
        <w:trPr>
          <w:trHeight w:val="264" w:hRule="exact"/>
        </w:trPr>
        <w:tc>
          <w:tcPr>
            <w:tcW w:w="282" w:type="dxa"/>
          </w:tcPr>
          <w:p>
            <w:pPr/>
          </w:p>
        </w:tc>
        <w:tc>
          <w:tcPr>
            <w:tcW w:w="7074" w:type="dxa"/>
          </w:tcPr>
          <w:p>
            <w:pPr>
              <w:pStyle w:val="TableParagraph"/>
              <w:spacing w:before="19"/>
              <w:ind w:left="147"/>
              <w:rPr>
                <w:sz w:val="18"/>
              </w:rPr>
            </w:pPr>
            <w:r>
              <w:rPr>
                <w:sz w:val="18"/>
              </w:rPr>
              <w:t>Annual leave</w:t>
            </w:r>
          </w:p>
        </w:tc>
        <w:tc>
          <w:tcPr>
            <w:tcW w:w="1461" w:type="dxa"/>
          </w:tcPr>
          <w:p>
            <w:pPr>
              <w:pStyle w:val="TableParagraph"/>
              <w:spacing w:before="18"/>
              <w:ind w:right="246"/>
              <w:jc w:val="right"/>
              <w:rPr>
                <w:b/>
                <w:sz w:val="18"/>
              </w:rPr>
            </w:pPr>
            <w:r>
              <w:rPr>
                <w:b/>
                <w:w w:val="95"/>
                <w:sz w:val="18"/>
              </w:rPr>
              <w:t>170,742</w:t>
            </w:r>
          </w:p>
        </w:tc>
        <w:tc>
          <w:tcPr>
            <w:tcW w:w="1134" w:type="dxa"/>
          </w:tcPr>
          <w:p>
            <w:pPr>
              <w:pStyle w:val="TableParagraph"/>
              <w:spacing w:before="18"/>
              <w:ind w:right="83"/>
              <w:jc w:val="right"/>
              <w:rPr>
                <w:sz w:val="18"/>
              </w:rPr>
            </w:pPr>
            <w:r>
              <w:rPr>
                <w:w w:val="95"/>
                <w:sz w:val="18"/>
              </w:rPr>
              <w:t>274,348</w:t>
            </w:r>
          </w:p>
        </w:tc>
      </w:tr>
      <w:tr>
        <w:trPr>
          <w:trHeight w:val="264" w:hRule="exact"/>
        </w:trPr>
        <w:tc>
          <w:tcPr>
            <w:tcW w:w="282" w:type="dxa"/>
          </w:tcPr>
          <w:p>
            <w:pPr/>
          </w:p>
        </w:tc>
        <w:tc>
          <w:tcPr>
            <w:tcW w:w="7074" w:type="dxa"/>
          </w:tcPr>
          <w:p>
            <w:pPr>
              <w:pStyle w:val="TableParagraph"/>
              <w:spacing w:before="19"/>
              <w:ind w:left="147"/>
              <w:rPr>
                <w:sz w:val="18"/>
              </w:rPr>
            </w:pPr>
            <w:r>
              <w:rPr>
                <w:sz w:val="18"/>
              </w:rPr>
              <w:t>Long service leave</w:t>
            </w:r>
          </w:p>
        </w:tc>
        <w:tc>
          <w:tcPr>
            <w:tcW w:w="1461" w:type="dxa"/>
          </w:tcPr>
          <w:p>
            <w:pPr>
              <w:pStyle w:val="TableParagraph"/>
              <w:spacing w:before="18"/>
              <w:ind w:right="246"/>
              <w:jc w:val="right"/>
              <w:rPr>
                <w:b/>
                <w:sz w:val="18"/>
              </w:rPr>
            </w:pPr>
            <w:r>
              <w:rPr>
                <w:b/>
                <w:w w:val="95"/>
                <w:sz w:val="18"/>
              </w:rPr>
              <w:t>108,524</w:t>
            </w:r>
          </w:p>
        </w:tc>
        <w:tc>
          <w:tcPr>
            <w:tcW w:w="1134" w:type="dxa"/>
          </w:tcPr>
          <w:p>
            <w:pPr>
              <w:pStyle w:val="TableParagraph"/>
              <w:spacing w:before="18"/>
              <w:ind w:right="83"/>
              <w:jc w:val="right"/>
              <w:rPr>
                <w:sz w:val="18"/>
              </w:rPr>
            </w:pPr>
            <w:r>
              <w:rPr>
                <w:w w:val="95"/>
                <w:sz w:val="18"/>
              </w:rPr>
              <w:t>61,609</w:t>
            </w:r>
          </w:p>
        </w:tc>
      </w:tr>
      <w:tr>
        <w:trPr>
          <w:trHeight w:val="264" w:hRule="exact"/>
        </w:trPr>
        <w:tc>
          <w:tcPr>
            <w:tcW w:w="282" w:type="dxa"/>
          </w:tcPr>
          <w:p>
            <w:pPr/>
          </w:p>
        </w:tc>
        <w:tc>
          <w:tcPr>
            <w:tcW w:w="7074" w:type="dxa"/>
          </w:tcPr>
          <w:p>
            <w:pPr>
              <w:pStyle w:val="TableParagraph"/>
              <w:spacing w:before="19"/>
              <w:ind w:left="147"/>
              <w:rPr>
                <w:sz w:val="18"/>
              </w:rPr>
            </w:pPr>
            <w:r>
              <w:rPr>
                <w:sz w:val="18"/>
              </w:rPr>
              <w:t>Workers compensation</w:t>
            </w:r>
          </w:p>
        </w:tc>
        <w:tc>
          <w:tcPr>
            <w:tcW w:w="1461" w:type="dxa"/>
          </w:tcPr>
          <w:p>
            <w:pPr>
              <w:pStyle w:val="TableParagraph"/>
              <w:spacing w:before="18"/>
              <w:ind w:right="247"/>
              <w:jc w:val="right"/>
              <w:rPr>
                <w:b/>
                <w:sz w:val="18"/>
              </w:rPr>
            </w:pPr>
            <w:r>
              <w:rPr>
                <w:b/>
                <w:w w:val="95"/>
                <w:sz w:val="18"/>
              </w:rPr>
              <w:t>39,442</w:t>
            </w:r>
          </w:p>
        </w:tc>
        <w:tc>
          <w:tcPr>
            <w:tcW w:w="1134" w:type="dxa"/>
          </w:tcPr>
          <w:p>
            <w:pPr>
              <w:pStyle w:val="TableParagraph"/>
              <w:spacing w:before="18"/>
              <w:ind w:right="83"/>
              <w:jc w:val="right"/>
              <w:rPr>
                <w:sz w:val="18"/>
              </w:rPr>
            </w:pPr>
            <w:r>
              <w:rPr>
                <w:w w:val="95"/>
                <w:sz w:val="18"/>
              </w:rPr>
              <w:t>189,655</w:t>
            </w:r>
          </w:p>
        </w:tc>
      </w:tr>
      <w:tr>
        <w:trPr>
          <w:trHeight w:val="264" w:hRule="exact"/>
        </w:trPr>
        <w:tc>
          <w:tcPr>
            <w:tcW w:w="282" w:type="dxa"/>
          </w:tcPr>
          <w:p>
            <w:pPr/>
          </w:p>
        </w:tc>
        <w:tc>
          <w:tcPr>
            <w:tcW w:w="7074" w:type="dxa"/>
          </w:tcPr>
          <w:p>
            <w:pPr>
              <w:pStyle w:val="TableParagraph"/>
              <w:spacing w:before="19"/>
              <w:ind w:left="147"/>
              <w:rPr>
                <w:sz w:val="18"/>
              </w:rPr>
            </w:pPr>
            <w:r>
              <w:rPr>
                <w:sz w:val="18"/>
              </w:rPr>
              <w:t>Termination benefits</w:t>
            </w:r>
          </w:p>
        </w:tc>
        <w:tc>
          <w:tcPr>
            <w:tcW w:w="1461" w:type="dxa"/>
          </w:tcPr>
          <w:p>
            <w:pPr>
              <w:pStyle w:val="TableParagraph"/>
              <w:spacing w:before="18"/>
              <w:ind w:right="390"/>
              <w:jc w:val="right"/>
              <w:rPr>
                <w:b/>
                <w:sz w:val="18"/>
              </w:rPr>
            </w:pPr>
            <w:r>
              <w:rPr>
                <w:b/>
                <w:w w:val="99"/>
                <w:sz w:val="18"/>
              </w:rPr>
              <w:t>-</w:t>
            </w:r>
          </w:p>
        </w:tc>
        <w:tc>
          <w:tcPr>
            <w:tcW w:w="1134" w:type="dxa"/>
          </w:tcPr>
          <w:p>
            <w:pPr>
              <w:pStyle w:val="TableParagraph"/>
              <w:spacing w:before="18"/>
              <w:ind w:right="83"/>
              <w:jc w:val="right"/>
              <w:rPr>
                <w:sz w:val="18"/>
              </w:rPr>
            </w:pPr>
            <w:r>
              <w:rPr>
                <w:w w:val="95"/>
                <w:sz w:val="18"/>
              </w:rPr>
              <w:t>257,012</w:t>
            </w:r>
          </w:p>
        </w:tc>
      </w:tr>
      <w:tr>
        <w:trPr>
          <w:trHeight w:val="262" w:hRule="exact"/>
        </w:trPr>
        <w:tc>
          <w:tcPr>
            <w:tcW w:w="282" w:type="dxa"/>
          </w:tcPr>
          <w:p>
            <w:pPr/>
          </w:p>
        </w:tc>
        <w:tc>
          <w:tcPr>
            <w:tcW w:w="7074" w:type="dxa"/>
          </w:tcPr>
          <w:p>
            <w:pPr>
              <w:pStyle w:val="TableParagraph"/>
              <w:spacing w:before="19"/>
              <w:ind w:left="147"/>
              <w:rPr>
                <w:sz w:val="18"/>
              </w:rPr>
            </w:pPr>
            <w:r>
              <w:rPr>
                <w:sz w:val="18"/>
              </w:rPr>
              <w:t>Other</w:t>
            </w:r>
          </w:p>
        </w:tc>
        <w:tc>
          <w:tcPr>
            <w:tcW w:w="1461" w:type="dxa"/>
            <w:tcBorders>
              <w:bottom w:val="single" w:sz="0" w:space="0" w:color="000000"/>
            </w:tcBorders>
          </w:tcPr>
          <w:p>
            <w:pPr>
              <w:pStyle w:val="TableParagraph"/>
              <w:spacing w:before="18"/>
              <w:ind w:right="246"/>
              <w:jc w:val="right"/>
              <w:rPr>
                <w:b/>
                <w:sz w:val="18"/>
              </w:rPr>
            </w:pPr>
            <w:r>
              <w:rPr>
                <w:b/>
                <w:w w:val="95"/>
                <w:sz w:val="18"/>
              </w:rPr>
              <w:t>226,615</w:t>
            </w:r>
          </w:p>
        </w:tc>
        <w:tc>
          <w:tcPr>
            <w:tcW w:w="1134" w:type="dxa"/>
            <w:tcBorders>
              <w:bottom w:val="single" w:sz="0" w:space="0" w:color="000000"/>
            </w:tcBorders>
          </w:tcPr>
          <w:p>
            <w:pPr>
              <w:pStyle w:val="TableParagraph"/>
              <w:spacing w:before="18"/>
              <w:ind w:right="83"/>
              <w:jc w:val="right"/>
              <w:rPr>
                <w:sz w:val="18"/>
              </w:rPr>
            </w:pPr>
            <w:r>
              <w:rPr>
                <w:w w:val="95"/>
                <w:sz w:val="18"/>
              </w:rPr>
              <w:t>231,377</w:t>
            </w:r>
          </w:p>
        </w:tc>
      </w:tr>
      <w:tr>
        <w:trPr>
          <w:trHeight w:val="338" w:hRule="exact"/>
        </w:trPr>
        <w:tc>
          <w:tcPr>
            <w:tcW w:w="282" w:type="dxa"/>
          </w:tcPr>
          <w:p>
            <w:pPr/>
          </w:p>
        </w:tc>
        <w:tc>
          <w:tcPr>
            <w:tcW w:w="7074" w:type="dxa"/>
          </w:tcPr>
          <w:p>
            <w:pPr>
              <w:pStyle w:val="TableParagraph"/>
              <w:spacing w:before="123"/>
              <w:ind w:left="147"/>
              <w:rPr>
                <w:b/>
                <w:sz w:val="18"/>
              </w:rPr>
            </w:pPr>
            <w:r>
              <w:rPr>
                <w:b/>
                <w:sz w:val="18"/>
              </w:rPr>
              <w:t>Total employee related expenses</w:t>
            </w:r>
          </w:p>
        </w:tc>
        <w:tc>
          <w:tcPr>
            <w:tcW w:w="1461" w:type="dxa"/>
            <w:tcBorders>
              <w:top w:val="single" w:sz="0" w:space="0" w:color="000000"/>
              <w:bottom w:val="single" w:sz="0" w:space="0" w:color="000000"/>
            </w:tcBorders>
          </w:tcPr>
          <w:p>
            <w:pPr>
              <w:pStyle w:val="TableParagraph"/>
              <w:spacing w:before="122"/>
              <w:ind w:right="246"/>
              <w:jc w:val="right"/>
              <w:rPr>
                <w:b/>
                <w:sz w:val="18"/>
              </w:rPr>
            </w:pPr>
            <w:r>
              <w:rPr>
                <w:b/>
                <w:w w:val="95"/>
                <w:sz w:val="18"/>
              </w:rPr>
              <w:t>5,517,944</w:t>
            </w:r>
          </w:p>
        </w:tc>
        <w:tc>
          <w:tcPr>
            <w:tcW w:w="1134" w:type="dxa"/>
            <w:tcBorders>
              <w:top w:val="single" w:sz="0" w:space="0" w:color="000000"/>
              <w:bottom w:val="single" w:sz="0" w:space="0" w:color="000000"/>
            </w:tcBorders>
          </w:tcPr>
          <w:p>
            <w:pPr>
              <w:pStyle w:val="TableParagraph"/>
              <w:spacing w:before="122"/>
              <w:ind w:right="82"/>
              <w:jc w:val="right"/>
              <w:rPr>
                <w:sz w:val="18"/>
              </w:rPr>
            </w:pPr>
            <w:r>
              <w:rPr>
                <w:w w:val="95"/>
                <w:sz w:val="18"/>
              </w:rPr>
              <w:t>8,389,159</w:t>
            </w:r>
          </w:p>
        </w:tc>
      </w:tr>
      <w:tr>
        <w:trPr>
          <w:trHeight w:val="604" w:hRule="exact"/>
        </w:trPr>
        <w:tc>
          <w:tcPr>
            <w:tcW w:w="282" w:type="dxa"/>
          </w:tcPr>
          <w:p>
            <w:pPr/>
          </w:p>
        </w:tc>
        <w:tc>
          <w:tcPr>
            <w:tcW w:w="7074" w:type="dxa"/>
          </w:tcPr>
          <w:p>
            <w:pPr>
              <w:pStyle w:val="TableParagraph"/>
              <w:spacing w:before="123"/>
              <w:ind w:left="148"/>
              <w:rPr>
                <w:b/>
                <w:sz w:val="18"/>
              </w:rPr>
            </w:pPr>
            <w:r>
              <w:rPr>
                <w:b/>
                <w:sz w:val="18"/>
              </w:rPr>
              <w:t>Depreciation</w:t>
            </w:r>
          </w:p>
          <w:p>
            <w:pPr>
              <w:pStyle w:val="TableParagraph"/>
              <w:spacing w:before="29"/>
              <w:ind w:left="148"/>
              <w:rPr>
                <w:sz w:val="18"/>
              </w:rPr>
            </w:pPr>
            <w:r>
              <w:rPr>
                <w:sz w:val="18"/>
              </w:rPr>
              <w:t>Plant and equipment</w:t>
            </w:r>
          </w:p>
        </w:tc>
        <w:tc>
          <w:tcPr>
            <w:tcW w:w="1461" w:type="dxa"/>
            <w:tcBorders>
              <w:top w:val="single" w:sz="0" w:space="0" w:color="000000"/>
            </w:tcBorders>
          </w:tcPr>
          <w:p>
            <w:pPr>
              <w:pStyle w:val="TableParagraph"/>
              <w:rPr>
                <w:b/>
                <w:sz w:val="18"/>
              </w:rPr>
            </w:pPr>
          </w:p>
          <w:p>
            <w:pPr>
              <w:pStyle w:val="TableParagraph"/>
              <w:spacing w:before="151"/>
              <w:ind w:right="246"/>
              <w:jc w:val="right"/>
              <w:rPr>
                <w:b/>
                <w:sz w:val="18"/>
              </w:rPr>
            </w:pPr>
            <w:r>
              <w:rPr>
                <w:b/>
                <w:w w:val="95"/>
                <w:sz w:val="18"/>
              </w:rPr>
              <w:t>8,914</w:t>
            </w:r>
          </w:p>
        </w:tc>
        <w:tc>
          <w:tcPr>
            <w:tcW w:w="1134" w:type="dxa"/>
            <w:tcBorders>
              <w:top w:val="single" w:sz="0" w:space="0" w:color="000000"/>
            </w:tcBorders>
          </w:tcPr>
          <w:p>
            <w:pPr>
              <w:pStyle w:val="TableParagraph"/>
              <w:rPr>
                <w:b/>
                <w:sz w:val="18"/>
              </w:rPr>
            </w:pPr>
          </w:p>
          <w:p>
            <w:pPr>
              <w:pStyle w:val="TableParagraph"/>
              <w:spacing w:before="151"/>
              <w:ind w:right="82"/>
              <w:jc w:val="right"/>
              <w:rPr>
                <w:sz w:val="18"/>
              </w:rPr>
            </w:pPr>
            <w:r>
              <w:rPr>
                <w:w w:val="95"/>
                <w:sz w:val="18"/>
              </w:rPr>
              <w:t>15,646</w:t>
            </w:r>
          </w:p>
        </w:tc>
      </w:tr>
      <w:tr>
        <w:trPr>
          <w:trHeight w:val="262" w:hRule="exact"/>
        </w:trPr>
        <w:tc>
          <w:tcPr>
            <w:tcW w:w="282" w:type="dxa"/>
          </w:tcPr>
          <w:p>
            <w:pPr/>
          </w:p>
        </w:tc>
        <w:tc>
          <w:tcPr>
            <w:tcW w:w="7074" w:type="dxa"/>
          </w:tcPr>
          <w:p>
            <w:pPr>
              <w:pStyle w:val="TableParagraph"/>
              <w:spacing w:before="19"/>
              <w:ind w:left="148"/>
              <w:rPr>
                <w:sz w:val="18"/>
              </w:rPr>
            </w:pPr>
            <w:r>
              <w:rPr>
                <w:sz w:val="18"/>
              </w:rPr>
              <w:t>Motor vehicles</w:t>
            </w:r>
          </w:p>
        </w:tc>
        <w:tc>
          <w:tcPr>
            <w:tcW w:w="1461" w:type="dxa"/>
            <w:tcBorders>
              <w:bottom w:val="single" w:sz="0" w:space="0" w:color="000000"/>
            </w:tcBorders>
          </w:tcPr>
          <w:p>
            <w:pPr>
              <w:pStyle w:val="TableParagraph"/>
              <w:spacing w:before="18"/>
              <w:ind w:right="245"/>
              <w:jc w:val="right"/>
              <w:rPr>
                <w:b/>
                <w:sz w:val="18"/>
              </w:rPr>
            </w:pPr>
            <w:r>
              <w:rPr>
                <w:b/>
                <w:w w:val="95"/>
                <w:sz w:val="18"/>
              </w:rPr>
              <w:t>11,145</w:t>
            </w:r>
          </w:p>
        </w:tc>
        <w:tc>
          <w:tcPr>
            <w:tcW w:w="1134" w:type="dxa"/>
            <w:tcBorders>
              <w:bottom w:val="single" w:sz="0" w:space="0" w:color="000000"/>
            </w:tcBorders>
          </w:tcPr>
          <w:p>
            <w:pPr>
              <w:pStyle w:val="TableParagraph"/>
              <w:spacing w:before="18"/>
              <w:ind w:right="82"/>
              <w:jc w:val="right"/>
              <w:rPr>
                <w:sz w:val="18"/>
              </w:rPr>
            </w:pPr>
            <w:r>
              <w:rPr>
                <w:w w:val="95"/>
                <w:sz w:val="18"/>
              </w:rPr>
              <w:t>32,378</w:t>
            </w:r>
          </w:p>
        </w:tc>
      </w:tr>
      <w:tr>
        <w:trPr>
          <w:trHeight w:val="338" w:hRule="exact"/>
        </w:trPr>
        <w:tc>
          <w:tcPr>
            <w:tcW w:w="282" w:type="dxa"/>
          </w:tcPr>
          <w:p>
            <w:pPr/>
          </w:p>
        </w:tc>
        <w:tc>
          <w:tcPr>
            <w:tcW w:w="7074" w:type="dxa"/>
          </w:tcPr>
          <w:p>
            <w:pPr>
              <w:pStyle w:val="TableParagraph"/>
              <w:spacing w:before="123"/>
              <w:ind w:left="148"/>
              <w:rPr>
                <w:b/>
                <w:sz w:val="18"/>
              </w:rPr>
            </w:pPr>
            <w:r>
              <w:rPr>
                <w:b/>
                <w:sz w:val="18"/>
              </w:rPr>
              <w:t>Total depreciation</w:t>
            </w:r>
          </w:p>
        </w:tc>
        <w:tc>
          <w:tcPr>
            <w:tcW w:w="1461" w:type="dxa"/>
            <w:tcBorders>
              <w:top w:val="single" w:sz="0" w:space="0" w:color="000000"/>
              <w:bottom w:val="single" w:sz="0" w:space="0" w:color="000000"/>
            </w:tcBorders>
          </w:tcPr>
          <w:p>
            <w:pPr>
              <w:pStyle w:val="TableParagraph"/>
              <w:spacing w:before="122"/>
              <w:ind w:right="245"/>
              <w:jc w:val="right"/>
              <w:rPr>
                <w:b/>
                <w:sz w:val="18"/>
              </w:rPr>
            </w:pPr>
            <w:r>
              <w:rPr>
                <w:b/>
                <w:w w:val="95"/>
                <w:sz w:val="18"/>
              </w:rPr>
              <w:t>20,059</w:t>
            </w:r>
          </w:p>
        </w:tc>
        <w:tc>
          <w:tcPr>
            <w:tcW w:w="1134" w:type="dxa"/>
            <w:tcBorders>
              <w:top w:val="single" w:sz="0" w:space="0" w:color="000000"/>
              <w:bottom w:val="single" w:sz="0" w:space="0" w:color="000000"/>
            </w:tcBorders>
          </w:tcPr>
          <w:p>
            <w:pPr>
              <w:pStyle w:val="TableParagraph"/>
              <w:spacing w:before="122"/>
              <w:ind w:right="82"/>
              <w:jc w:val="right"/>
              <w:rPr>
                <w:sz w:val="18"/>
              </w:rPr>
            </w:pPr>
            <w:r>
              <w:rPr>
                <w:w w:val="95"/>
                <w:sz w:val="18"/>
              </w:rPr>
              <w:t>48,024</w:t>
            </w:r>
          </w:p>
        </w:tc>
      </w:tr>
      <w:tr>
        <w:trPr>
          <w:trHeight w:val="602" w:hRule="exact"/>
        </w:trPr>
        <w:tc>
          <w:tcPr>
            <w:tcW w:w="282" w:type="dxa"/>
          </w:tcPr>
          <w:p>
            <w:pPr/>
          </w:p>
        </w:tc>
        <w:tc>
          <w:tcPr>
            <w:tcW w:w="7074" w:type="dxa"/>
          </w:tcPr>
          <w:p>
            <w:pPr>
              <w:pStyle w:val="TableParagraph"/>
              <w:spacing w:before="123"/>
              <w:ind w:left="147"/>
              <w:rPr>
                <w:b/>
                <w:sz w:val="18"/>
              </w:rPr>
            </w:pPr>
            <w:r>
              <w:rPr>
                <w:b/>
                <w:sz w:val="18"/>
              </w:rPr>
              <w:t>Amortisation</w:t>
            </w:r>
          </w:p>
          <w:p>
            <w:pPr>
              <w:pStyle w:val="TableParagraph"/>
              <w:spacing w:before="29"/>
              <w:ind w:left="147"/>
              <w:rPr>
                <w:sz w:val="18"/>
              </w:rPr>
            </w:pPr>
            <w:r>
              <w:rPr>
                <w:sz w:val="18"/>
              </w:rPr>
              <w:t>Franchise fees</w:t>
            </w:r>
          </w:p>
        </w:tc>
        <w:tc>
          <w:tcPr>
            <w:tcW w:w="1461" w:type="dxa"/>
            <w:tcBorders>
              <w:top w:val="single" w:sz="0" w:space="0" w:color="000000"/>
              <w:bottom w:val="single" w:sz="0" w:space="0" w:color="000000"/>
            </w:tcBorders>
          </w:tcPr>
          <w:p>
            <w:pPr>
              <w:pStyle w:val="TableParagraph"/>
              <w:rPr>
                <w:b/>
                <w:sz w:val="18"/>
              </w:rPr>
            </w:pPr>
          </w:p>
          <w:p>
            <w:pPr>
              <w:pStyle w:val="TableParagraph"/>
              <w:spacing w:before="151"/>
              <w:ind w:right="390"/>
              <w:jc w:val="right"/>
              <w:rPr>
                <w:b/>
                <w:sz w:val="18"/>
              </w:rPr>
            </w:pPr>
            <w:r>
              <w:rPr>
                <w:b/>
                <w:w w:val="99"/>
                <w:sz w:val="18"/>
              </w:rPr>
              <w:t>-</w:t>
            </w:r>
          </w:p>
        </w:tc>
        <w:tc>
          <w:tcPr>
            <w:tcW w:w="1134" w:type="dxa"/>
            <w:tcBorders>
              <w:top w:val="single" w:sz="0" w:space="0" w:color="000000"/>
              <w:bottom w:val="single" w:sz="0" w:space="0" w:color="000000"/>
            </w:tcBorders>
          </w:tcPr>
          <w:p>
            <w:pPr>
              <w:pStyle w:val="TableParagraph"/>
              <w:rPr>
                <w:b/>
                <w:sz w:val="18"/>
              </w:rPr>
            </w:pPr>
          </w:p>
          <w:p>
            <w:pPr>
              <w:pStyle w:val="TableParagraph"/>
              <w:spacing w:before="151"/>
              <w:ind w:right="83"/>
              <w:jc w:val="right"/>
              <w:rPr>
                <w:sz w:val="18"/>
              </w:rPr>
            </w:pPr>
            <w:r>
              <w:rPr>
                <w:w w:val="95"/>
                <w:sz w:val="18"/>
              </w:rPr>
              <w:t>10,942</w:t>
            </w:r>
          </w:p>
        </w:tc>
      </w:tr>
      <w:tr>
        <w:trPr>
          <w:trHeight w:val="338" w:hRule="exact"/>
        </w:trPr>
        <w:tc>
          <w:tcPr>
            <w:tcW w:w="282" w:type="dxa"/>
          </w:tcPr>
          <w:p>
            <w:pPr/>
          </w:p>
        </w:tc>
        <w:tc>
          <w:tcPr>
            <w:tcW w:w="7074" w:type="dxa"/>
          </w:tcPr>
          <w:p>
            <w:pPr>
              <w:pStyle w:val="TableParagraph"/>
              <w:spacing w:before="123"/>
              <w:ind w:left="148"/>
              <w:rPr>
                <w:b/>
                <w:sz w:val="18"/>
              </w:rPr>
            </w:pPr>
            <w:r>
              <w:rPr>
                <w:b/>
                <w:sz w:val="18"/>
              </w:rPr>
              <w:t>Total depreciation and amortisation</w:t>
            </w:r>
          </w:p>
        </w:tc>
        <w:tc>
          <w:tcPr>
            <w:tcW w:w="1461" w:type="dxa"/>
            <w:tcBorders>
              <w:top w:val="single" w:sz="0" w:space="0" w:color="000000"/>
              <w:bottom w:val="single" w:sz="0" w:space="0" w:color="000000"/>
            </w:tcBorders>
          </w:tcPr>
          <w:p>
            <w:pPr>
              <w:pStyle w:val="TableParagraph"/>
              <w:spacing w:before="122"/>
              <w:ind w:right="389"/>
              <w:jc w:val="right"/>
              <w:rPr>
                <w:b/>
                <w:sz w:val="18"/>
              </w:rPr>
            </w:pPr>
            <w:r>
              <w:rPr>
                <w:b/>
                <w:w w:val="99"/>
                <w:sz w:val="18"/>
              </w:rPr>
              <w:t>-</w:t>
            </w:r>
          </w:p>
        </w:tc>
        <w:tc>
          <w:tcPr>
            <w:tcW w:w="1134" w:type="dxa"/>
            <w:tcBorders>
              <w:top w:val="single" w:sz="0" w:space="0" w:color="000000"/>
              <w:bottom w:val="single" w:sz="0" w:space="0" w:color="000000"/>
            </w:tcBorders>
          </w:tcPr>
          <w:p>
            <w:pPr>
              <w:pStyle w:val="TableParagraph"/>
              <w:spacing w:before="122"/>
              <w:ind w:right="82"/>
              <w:jc w:val="right"/>
              <w:rPr>
                <w:sz w:val="18"/>
              </w:rPr>
            </w:pPr>
            <w:r>
              <w:rPr>
                <w:w w:val="95"/>
                <w:sz w:val="18"/>
              </w:rPr>
              <w:t>58,966</w:t>
            </w:r>
          </w:p>
        </w:tc>
      </w:tr>
    </w:tbl>
    <w:p>
      <w:pPr>
        <w:pStyle w:val="BodyText"/>
        <w:rPr>
          <w:b/>
          <w:sz w:val="20"/>
        </w:rPr>
      </w:pPr>
    </w:p>
    <w:p>
      <w:pPr>
        <w:pStyle w:val="BodyText"/>
        <w:rPr>
          <w:b/>
          <w:sz w:val="13"/>
        </w:rPr>
      </w:pPr>
    </w:p>
    <w:tbl>
      <w:tblPr>
        <w:tblW w:w="0" w:type="auto"/>
        <w:jc w:val="left"/>
        <w:tblInd w:w="5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61"/>
        <w:gridCol w:w="1535"/>
        <w:gridCol w:w="1059"/>
      </w:tblGrid>
      <w:tr>
        <w:trPr>
          <w:trHeight w:val="558" w:hRule="exact"/>
        </w:trPr>
        <w:tc>
          <w:tcPr>
            <w:tcW w:w="6961" w:type="dxa"/>
          </w:tcPr>
          <w:p>
            <w:pPr>
              <w:pStyle w:val="TableParagraph"/>
              <w:spacing w:before="77"/>
              <w:ind w:left="35"/>
              <w:rPr>
                <w:b/>
                <w:sz w:val="18"/>
              </w:rPr>
            </w:pPr>
            <w:r>
              <w:rPr>
                <w:b/>
                <w:sz w:val="18"/>
              </w:rPr>
              <w:t>Occupancy expenses*</w:t>
            </w:r>
          </w:p>
          <w:p>
            <w:pPr>
              <w:pStyle w:val="TableParagraph"/>
              <w:spacing w:before="29"/>
              <w:ind w:left="35"/>
              <w:rPr>
                <w:sz w:val="18"/>
              </w:rPr>
            </w:pPr>
            <w:r>
              <w:rPr>
                <w:sz w:val="18"/>
              </w:rPr>
              <w:t>Minimum lease payments on operating leases</w:t>
            </w:r>
          </w:p>
        </w:tc>
        <w:tc>
          <w:tcPr>
            <w:tcW w:w="1535" w:type="dxa"/>
          </w:tcPr>
          <w:p>
            <w:pPr>
              <w:pStyle w:val="TableParagraph"/>
              <w:rPr>
                <w:b/>
                <w:sz w:val="18"/>
              </w:rPr>
            </w:pPr>
          </w:p>
          <w:p>
            <w:pPr>
              <w:pStyle w:val="TableParagraph"/>
              <w:spacing w:before="105"/>
              <w:ind w:right="321"/>
              <w:jc w:val="right"/>
              <w:rPr>
                <w:b/>
                <w:sz w:val="18"/>
              </w:rPr>
            </w:pPr>
            <w:r>
              <w:rPr>
                <w:b/>
                <w:w w:val="95"/>
                <w:sz w:val="18"/>
              </w:rPr>
              <w:t>24,774</w:t>
            </w:r>
          </w:p>
        </w:tc>
        <w:tc>
          <w:tcPr>
            <w:tcW w:w="1059" w:type="dxa"/>
          </w:tcPr>
          <w:p>
            <w:pPr>
              <w:pStyle w:val="TableParagraph"/>
              <w:rPr>
                <w:b/>
                <w:sz w:val="18"/>
              </w:rPr>
            </w:pPr>
          </w:p>
          <w:p>
            <w:pPr>
              <w:pStyle w:val="TableParagraph"/>
              <w:spacing w:before="105"/>
              <w:ind w:right="83"/>
              <w:jc w:val="right"/>
              <w:rPr>
                <w:sz w:val="18"/>
              </w:rPr>
            </w:pPr>
            <w:r>
              <w:rPr>
                <w:w w:val="95"/>
                <w:sz w:val="18"/>
              </w:rPr>
              <w:t>76,442</w:t>
            </w:r>
          </w:p>
        </w:tc>
      </w:tr>
      <w:tr>
        <w:trPr>
          <w:trHeight w:val="264" w:hRule="exact"/>
        </w:trPr>
        <w:tc>
          <w:tcPr>
            <w:tcW w:w="6961" w:type="dxa"/>
          </w:tcPr>
          <w:p>
            <w:pPr>
              <w:pStyle w:val="TableParagraph"/>
              <w:spacing w:before="19"/>
              <w:ind w:left="35"/>
              <w:rPr>
                <w:sz w:val="18"/>
              </w:rPr>
            </w:pPr>
            <w:r>
              <w:rPr>
                <w:sz w:val="18"/>
              </w:rPr>
              <w:t>Repairs and maintenance</w:t>
            </w:r>
          </w:p>
        </w:tc>
        <w:tc>
          <w:tcPr>
            <w:tcW w:w="1535" w:type="dxa"/>
          </w:tcPr>
          <w:p>
            <w:pPr>
              <w:pStyle w:val="TableParagraph"/>
              <w:spacing w:before="18"/>
              <w:ind w:right="321"/>
              <w:jc w:val="right"/>
              <w:rPr>
                <w:b/>
                <w:sz w:val="18"/>
              </w:rPr>
            </w:pPr>
            <w:r>
              <w:rPr>
                <w:b/>
                <w:w w:val="95"/>
                <w:sz w:val="18"/>
              </w:rPr>
              <w:t>94,523</w:t>
            </w:r>
          </w:p>
        </w:tc>
        <w:tc>
          <w:tcPr>
            <w:tcW w:w="1059" w:type="dxa"/>
          </w:tcPr>
          <w:p>
            <w:pPr>
              <w:pStyle w:val="TableParagraph"/>
              <w:spacing w:before="18"/>
              <w:ind w:right="83"/>
              <w:jc w:val="right"/>
              <w:rPr>
                <w:sz w:val="18"/>
              </w:rPr>
            </w:pPr>
            <w:r>
              <w:rPr>
                <w:w w:val="95"/>
                <w:sz w:val="18"/>
              </w:rPr>
              <w:t>116,899</w:t>
            </w:r>
          </w:p>
        </w:tc>
      </w:tr>
      <w:tr>
        <w:trPr>
          <w:trHeight w:val="264" w:hRule="exact"/>
        </w:trPr>
        <w:tc>
          <w:tcPr>
            <w:tcW w:w="6961" w:type="dxa"/>
          </w:tcPr>
          <w:p>
            <w:pPr>
              <w:pStyle w:val="TableParagraph"/>
              <w:spacing w:before="19"/>
              <w:ind w:left="35"/>
              <w:rPr>
                <w:sz w:val="18"/>
              </w:rPr>
            </w:pPr>
            <w:r>
              <w:rPr>
                <w:sz w:val="18"/>
              </w:rPr>
              <w:t>Utilities</w:t>
            </w:r>
          </w:p>
        </w:tc>
        <w:tc>
          <w:tcPr>
            <w:tcW w:w="1535" w:type="dxa"/>
          </w:tcPr>
          <w:p>
            <w:pPr>
              <w:pStyle w:val="TableParagraph"/>
              <w:spacing w:before="18"/>
              <w:ind w:right="321"/>
              <w:jc w:val="right"/>
              <w:rPr>
                <w:b/>
                <w:sz w:val="18"/>
              </w:rPr>
            </w:pPr>
            <w:r>
              <w:rPr>
                <w:b/>
                <w:w w:val="95"/>
                <w:sz w:val="18"/>
              </w:rPr>
              <w:t>33,861</w:t>
            </w:r>
          </w:p>
        </w:tc>
        <w:tc>
          <w:tcPr>
            <w:tcW w:w="1059" w:type="dxa"/>
          </w:tcPr>
          <w:p>
            <w:pPr>
              <w:pStyle w:val="TableParagraph"/>
              <w:spacing w:before="18"/>
              <w:ind w:right="83"/>
              <w:jc w:val="right"/>
              <w:rPr>
                <w:sz w:val="18"/>
              </w:rPr>
            </w:pPr>
            <w:r>
              <w:rPr>
                <w:w w:val="95"/>
                <w:sz w:val="18"/>
              </w:rPr>
              <w:t>57,451</w:t>
            </w:r>
          </w:p>
        </w:tc>
      </w:tr>
      <w:tr>
        <w:trPr>
          <w:trHeight w:val="264" w:hRule="exact"/>
        </w:trPr>
        <w:tc>
          <w:tcPr>
            <w:tcW w:w="6961" w:type="dxa"/>
          </w:tcPr>
          <w:p>
            <w:pPr>
              <w:pStyle w:val="TableParagraph"/>
              <w:spacing w:before="19"/>
              <w:ind w:left="35"/>
              <w:rPr>
                <w:sz w:val="18"/>
              </w:rPr>
            </w:pPr>
            <w:r>
              <w:rPr>
                <w:sz w:val="18"/>
              </w:rPr>
              <w:t>Cleaning and waste removal</w:t>
            </w:r>
          </w:p>
        </w:tc>
        <w:tc>
          <w:tcPr>
            <w:tcW w:w="1535" w:type="dxa"/>
          </w:tcPr>
          <w:p>
            <w:pPr>
              <w:pStyle w:val="TableParagraph"/>
              <w:spacing w:before="18"/>
              <w:ind w:right="321"/>
              <w:jc w:val="right"/>
              <w:rPr>
                <w:b/>
                <w:sz w:val="18"/>
              </w:rPr>
            </w:pPr>
            <w:r>
              <w:rPr>
                <w:b/>
                <w:w w:val="95"/>
                <w:sz w:val="18"/>
              </w:rPr>
              <w:t>39,376</w:t>
            </w:r>
          </w:p>
        </w:tc>
        <w:tc>
          <w:tcPr>
            <w:tcW w:w="1059" w:type="dxa"/>
          </w:tcPr>
          <w:p>
            <w:pPr>
              <w:pStyle w:val="TableParagraph"/>
              <w:spacing w:before="18"/>
              <w:ind w:right="83"/>
              <w:jc w:val="right"/>
              <w:rPr>
                <w:sz w:val="18"/>
              </w:rPr>
            </w:pPr>
            <w:r>
              <w:rPr>
                <w:w w:val="95"/>
                <w:sz w:val="18"/>
              </w:rPr>
              <w:t>69,162</w:t>
            </w:r>
          </w:p>
        </w:tc>
      </w:tr>
      <w:tr>
        <w:trPr>
          <w:trHeight w:val="262" w:hRule="exact"/>
        </w:trPr>
        <w:tc>
          <w:tcPr>
            <w:tcW w:w="6961" w:type="dxa"/>
          </w:tcPr>
          <w:p>
            <w:pPr>
              <w:pStyle w:val="TableParagraph"/>
              <w:spacing w:before="19"/>
              <w:ind w:left="35"/>
              <w:rPr>
                <w:sz w:val="18"/>
              </w:rPr>
            </w:pPr>
            <w:r>
              <w:rPr>
                <w:sz w:val="18"/>
              </w:rPr>
              <w:t>Security</w:t>
            </w:r>
          </w:p>
        </w:tc>
        <w:tc>
          <w:tcPr>
            <w:tcW w:w="1535" w:type="dxa"/>
            <w:tcBorders>
              <w:bottom w:val="single" w:sz="0" w:space="0" w:color="000000"/>
            </w:tcBorders>
          </w:tcPr>
          <w:p>
            <w:pPr>
              <w:pStyle w:val="TableParagraph"/>
              <w:spacing w:before="18"/>
              <w:ind w:right="321"/>
              <w:jc w:val="right"/>
              <w:rPr>
                <w:b/>
                <w:sz w:val="18"/>
              </w:rPr>
            </w:pPr>
            <w:r>
              <w:rPr>
                <w:b/>
                <w:w w:val="95"/>
                <w:sz w:val="18"/>
              </w:rPr>
              <w:t>28,423</w:t>
            </w:r>
          </w:p>
        </w:tc>
        <w:tc>
          <w:tcPr>
            <w:tcW w:w="1059" w:type="dxa"/>
            <w:tcBorders>
              <w:bottom w:val="single" w:sz="0" w:space="0" w:color="000000"/>
            </w:tcBorders>
          </w:tcPr>
          <w:p>
            <w:pPr>
              <w:pStyle w:val="TableParagraph"/>
              <w:spacing w:before="18"/>
              <w:ind w:right="83"/>
              <w:jc w:val="right"/>
              <w:rPr>
                <w:sz w:val="18"/>
              </w:rPr>
            </w:pPr>
            <w:r>
              <w:rPr>
                <w:w w:val="95"/>
                <w:sz w:val="18"/>
              </w:rPr>
              <w:t>28,436</w:t>
            </w:r>
          </w:p>
        </w:tc>
      </w:tr>
      <w:tr>
        <w:trPr>
          <w:trHeight w:val="338" w:hRule="exact"/>
        </w:trPr>
        <w:tc>
          <w:tcPr>
            <w:tcW w:w="6961" w:type="dxa"/>
          </w:tcPr>
          <w:p>
            <w:pPr>
              <w:pStyle w:val="TableParagraph"/>
              <w:spacing w:before="123"/>
              <w:ind w:left="35"/>
              <w:rPr>
                <w:b/>
                <w:sz w:val="18"/>
              </w:rPr>
            </w:pPr>
            <w:r>
              <w:rPr>
                <w:b/>
                <w:sz w:val="18"/>
              </w:rPr>
              <w:t>Total occupancy expenses</w:t>
            </w:r>
          </w:p>
        </w:tc>
        <w:tc>
          <w:tcPr>
            <w:tcW w:w="1535" w:type="dxa"/>
            <w:tcBorders>
              <w:top w:val="single" w:sz="0" w:space="0" w:color="000000"/>
              <w:bottom w:val="single" w:sz="0" w:space="0" w:color="000000"/>
            </w:tcBorders>
          </w:tcPr>
          <w:p>
            <w:pPr>
              <w:pStyle w:val="TableParagraph"/>
              <w:spacing w:before="122"/>
              <w:ind w:right="321"/>
              <w:jc w:val="right"/>
              <w:rPr>
                <w:b/>
                <w:sz w:val="18"/>
              </w:rPr>
            </w:pPr>
            <w:r>
              <w:rPr>
                <w:b/>
                <w:w w:val="95"/>
                <w:sz w:val="18"/>
              </w:rPr>
              <w:t>220,957</w:t>
            </w:r>
          </w:p>
        </w:tc>
        <w:tc>
          <w:tcPr>
            <w:tcW w:w="1059" w:type="dxa"/>
            <w:tcBorders>
              <w:top w:val="single" w:sz="0" w:space="0" w:color="000000"/>
              <w:bottom w:val="single" w:sz="0" w:space="0" w:color="000000"/>
            </w:tcBorders>
          </w:tcPr>
          <w:p>
            <w:pPr>
              <w:pStyle w:val="TableParagraph"/>
              <w:spacing w:before="122"/>
              <w:ind w:right="83"/>
              <w:jc w:val="right"/>
              <w:rPr>
                <w:sz w:val="18"/>
              </w:rPr>
            </w:pPr>
            <w:r>
              <w:rPr>
                <w:w w:val="95"/>
                <w:sz w:val="18"/>
              </w:rPr>
              <w:t>348,390</w:t>
            </w:r>
          </w:p>
        </w:tc>
      </w:tr>
    </w:tbl>
    <w:p>
      <w:pPr>
        <w:pStyle w:val="BodyText"/>
        <w:spacing w:before="3"/>
        <w:rPr>
          <w:b/>
          <w:sz w:val="19"/>
        </w:rPr>
      </w:pPr>
    </w:p>
    <w:p>
      <w:pPr>
        <w:pStyle w:val="BodyText"/>
        <w:spacing w:before="77"/>
        <w:ind w:left="545" w:right="132"/>
        <w:jc w:val="both"/>
      </w:pPr>
      <w:r>
        <w:rPr/>
        <w:t>* Western Unlimited Ltd currently resides in facilities owned by the University for which there is no charge. The value of this accomodation cannot be reliably measured or quantified due to the specialised nature of the premises, therefore no expense has been recognised in the financial statements.</w:t>
      </w:r>
    </w:p>
    <w:p>
      <w:pPr>
        <w:pStyle w:val="Heading9"/>
        <w:spacing w:before="142" w:after="36"/>
        <w:ind w:left="545"/>
        <w:jc w:val="both"/>
      </w:pPr>
      <w:r>
        <w:rPr/>
        <w:t>Other expenses</w:t>
      </w:r>
    </w:p>
    <w:tbl>
      <w:tblPr>
        <w:tblW w:w="0" w:type="auto"/>
        <w:jc w:val="left"/>
        <w:tblInd w:w="5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61"/>
        <w:gridCol w:w="1461"/>
        <w:gridCol w:w="1134"/>
      </w:tblGrid>
      <w:tr>
        <w:trPr>
          <w:trHeight w:val="238" w:hRule="exact"/>
        </w:trPr>
        <w:tc>
          <w:tcPr>
            <w:tcW w:w="6961" w:type="dxa"/>
          </w:tcPr>
          <w:p>
            <w:pPr>
              <w:pStyle w:val="TableParagraph"/>
              <w:spacing w:line="200" w:lineRule="exact"/>
              <w:ind w:left="35"/>
              <w:rPr>
                <w:sz w:val="18"/>
              </w:rPr>
            </w:pPr>
            <w:r>
              <w:rPr>
                <w:sz w:val="18"/>
              </w:rPr>
              <w:t>Advertising, promotions and events</w:t>
            </w:r>
          </w:p>
        </w:tc>
        <w:tc>
          <w:tcPr>
            <w:tcW w:w="1461" w:type="dxa"/>
          </w:tcPr>
          <w:p>
            <w:pPr>
              <w:pStyle w:val="TableParagraph"/>
              <w:spacing w:line="199" w:lineRule="exact"/>
              <w:ind w:right="246"/>
              <w:jc w:val="right"/>
              <w:rPr>
                <w:b/>
                <w:sz w:val="18"/>
              </w:rPr>
            </w:pPr>
            <w:r>
              <w:rPr>
                <w:b/>
                <w:w w:val="95"/>
                <w:sz w:val="18"/>
              </w:rPr>
              <w:t>781,796</w:t>
            </w:r>
          </w:p>
        </w:tc>
        <w:tc>
          <w:tcPr>
            <w:tcW w:w="1134" w:type="dxa"/>
          </w:tcPr>
          <w:p>
            <w:pPr>
              <w:pStyle w:val="TableParagraph"/>
              <w:spacing w:line="199" w:lineRule="exact"/>
              <w:ind w:right="83"/>
              <w:jc w:val="right"/>
              <w:rPr>
                <w:sz w:val="18"/>
              </w:rPr>
            </w:pPr>
            <w:r>
              <w:rPr>
                <w:w w:val="95"/>
                <w:sz w:val="18"/>
              </w:rPr>
              <w:t>674,046</w:t>
            </w:r>
          </w:p>
        </w:tc>
      </w:tr>
      <w:tr>
        <w:trPr>
          <w:trHeight w:val="264" w:hRule="exact"/>
        </w:trPr>
        <w:tc>
          <w:tcPr>
            <w:tcW w:w="6961" w:type="dxa"/>
          </w:tcPr>
          <w:p>
            <w:pPr>
              <w:pStyle w:val="TableParagraph"/>
              <w:spacing w:before="19"/>
              <w:ind w:left="35"/>
              <w:rPr>
                <w:sz w:val="18"/>
              </w:rPr>
            </w:pPr>
            <w:r>
              <w:rPr>
                <w:sz w:val="18"/>
              </w:rPr>
              <w:t>Consumables and supplies</w:t>
            </w:r>
          </w:p>
        </w:tc>
        <w:tc>
          <w:tcPr>
            <w:tcW w:w="1461" w:type="dxa"/>
          </w:tcPr>
          <w:p>
            <w:pPr>
              <w:pStyle w:val="TableParagraph"/>
              <w:spacing w:before="18"/>
              <w:ind w:right="246"/>
              <w:jc w:val="right"/>
              <w:rPr>
                <w:b/>
                <w:sz w:val="18"/>
              </w:rPr>
            </w:pPr>
            <w:r>
              <w:rPr>
                <w:b/>
                <w:w w:val="95"/>
                <w:sz w:val="18"/>
              </w:rPr>
              <w:t>360,520</w:t>
            </w:r>
          </w:p>
        </w:tc>
        <w:tc>
          <w:tcPr>
            <w:tcW w:w="1134" w:type="dxa"/>
          </w:tcPr>
          <w:p>
            <w:pPr>
              <w:pStyle w:val="TableParagraph"/>
              <w:spacing w:before="18"/>
              <w:ind w:right="83"/>
              <w:jc w:val="right"/>
              <w:rPr>
                <w:sz w:val="18"/>
              </w:rPr>
            </w:pPr>
            <w:r>
              <w:rPr>
                <w:w w:val="95"/>
                <w:sz w:val="18"/>
              </w:rPr>
              <w:t>532,418</w:t>
            </w:r>
          </w:p>
        </w:tc>
      </w:tr>
      <w:tr>
        <w:trPr>
          <w:trHeight w:val="264" w:hRule="exact"/>
        </w:trPr>
        <w:tc>
          <w:tcPr>
            <w:tcW w:w="6961" w:type="dxa"/>
          </w:tcPr>
          <w:p>
            <w:pPr>
              <w:pStyle w:val="TableParagraph"/>
              <w:spacing w:before="19"/>
              <w:ind w:left="35"/>
              <w:rPr>
                <w:sz w:val="18"/>
              </w:rPr>
            </w:pPr>
            <w:r>
              <w:rPr>
                <w:sz w:val="18"/>
              </w:rPr>
              <w:t>Consultancy, agency and service provider fees</w:t>
            </w:r>
          </w:p>
        </w:tc>
        <w:tc>
          <w:tcPr>
            <w:tcW w:w="1461" w:type="dxa"/>
          </w:tcPr>
          <w:p>
            <w:pPr>
              <w:pStyle w:val="TableParagraph"/>
              <w:spacing w:before="18"/>
              <w:ind w:right="246"/>
              <w:jc w:val="right"/>
              <w:rPr>
                <w:b/>
                <w:sz w:val="18"/>
              </w:rPr>
            </w:pPr>
            <w:r>
              <w:rPr>
                <w:b/>
                <w:w w:val="95"/>
                <w:sz w:val="18"/>
              </w:rPr>
              <w:t>234,065</w:t>
            </w:r>
          </w:p>
        </w:tc>
        <w:tc>
          <w:tcPr>
            <w:tcW w:w="1134" w:type="dxa"/>
          </w:tcPr>
          <w:p>
            <w:pPr>
              <w:pStyle w:val="TableParagraph"/>
              <w:spacing w:before="18"/>
              <w:ind w:right="83"/>
              <w:jc w:val="right"/>
              <w:rPr>
                <w:sz w:val="18"/>
              </w:rPr>
            </w:pPr>
            <w:r>
              <w:rPr>
                <w:w w:val="95"/>
                <w:sz w:val="18"/>
              </w:rPr>
              <w:t>111,322</w:t>
            </w:r>
          </w:p>
        </w:tc>
      </w:tr>
      <w:tr>
        <w:trPr>
          <w:trHeight w:val="264" w:hRule="exact"/>
        </w:trPr>
        <w:tc>
          <w:tcPr>
            <w:tcW w:w="6961" w:type="dxa"/>
          </w:tcPr>
          <w:p>
            <w:pPr>
              <w:pStyle w:val="TableParagraph"/>
              <w:spacing w:before="19"/>
              <w:ind w:left="35"/>
              <w:rPr>
                <w:sz w:val="18"/>
              </w:rPr>
            </w:pPr>
            <w:r>
              <w:rPr>
                <w:sz w:val="18"/>
              </w:rPr>
              <w:t>Equipment hire</w:t>
            </w:r>
          </w:p>
        </w:tc>
        <w:tc>
          <w:tcPr>
            <w:tcW w:w="1461" w:type="dxa"/>
          </w:tcPr>
          <w:p>
            <w:pPr>
              <w:pStyle w:val="TableParagraph"/>
              <w:spacing w:before="18"/>
              <w:ind w:right="246"/>
              <w:jc w:val="right"/>
              <w:rPr>
                <w:b/>
                <w:sz w:val="18"/>
              </w:rPr>
            </w:pPr>
            <w:r>
              <w:rPr>
                <w:b/>
                <w:w w:val="95"/>
                <w:sz w:val="18"/>
              </w:rPr>
              <w:t>44,788</w:t>
            </w:r>
          </w:p>
        </w:tc>
        <w:tc>
          <w:tcPr>
            <w:tcW w:w="1134" w:type="dxa"/>
          </w:tcPr>
          <w:p>
            <w:pPr>
              <w:pStyle w:val="TableParagraph"/>
              <w:spacing w:before="18"/>
              <w:ind w:right="83"/>
              <w:jc w:val="right"/>
              <w:rPr>
                <w:sz w:val="18"/>
              </w:rPr>
            </w:pPr>
            <w:r>
              <w:rPr>
                <w:w w:val="95"/>
                <w:sz w:val="18"/>
              </w:rPr>
              <w:t>133,405</w:t>
            </w:r>
          </w:p>
        </w:tc>
      </w:tr>
      <w:tr>
        <w:trPr>
          <w:trHeight w:val="264" w:hRule="exact"/>
        </w:trPr>
        <w:tc>
          <w:tcPr>
            <w:tcW w:w="6961" w:type="dxa"/>
          </w:tcPr>
          <w:p>
            <w:pPr>
              <w:pStyle w:val="TableParagraph"/>
              <w:spacing w:before="19"/>
              <w:ind w:left="35"/>
              <w:rPr>
                <w:sz w:val="18"/>
              </w:rPr>
            </w:pPr>
            <w:r>
              <w:rPr>
                <w:sz w:val="18"/>
              </w:rPr>
              <w:t>Motor vehicle</w:t>
            </w:r>
          </w:p>
        </w:tc>
        <w:tc>
          <w:tcPr>
            <w:tcW w:w="1461" w:type="dxa"/>
          </w:tcPr>
          <w:p>
            <w:pPr>
              <w:pStyle w:val="TableParagraph"/>
              <w:spacing w:before="18"/>
              <w:ind w:right="246"/>
              <w:jc w:val="right"/>
              <w:rPr>
                <w:b/>
                <w:sz w:val="18"/>
              </w:rPr>
            </w:pPr>
            <w:r>
              <w:rPr>
                <w:b/>
                <w:w w:val="95"/>
                <w:sz w:val="18"/>
              </w:rPr>
              <w:t>68,872</w:t>
            </w:r>
          </w:p>
        </w:tc>
        <w:tc>
          <w:tcPr>
            <w:tcW w:w="1134" w:type="dxa"/>
          </w:tcPr>
          <w:p>
            <w:pPr>
              <w:pStyle w:val="TableParagraph"/>
              <w:spacing w:before="18"/>
              <w:ind w:right="83"/>
              <w:jc w:val="right"/>
              <w:rPr>
                <w:sz w:val="18"/>
              </w:rPr>
            </w:pPr>
            <w:r>
              <w:rPr>
                <w:w w:val="95"/>
                <w:sz w:val="18"/>
              </w:rPr>
              <w:t>128,001</w:t>
            </w:r>
          </w:p>
        </w:tc>
      </w:tr>
      <w:tr>
        <w:trPr>
          <w:trHeight w:val="262" w:hRule="exact"/>
        </w:trPr>
        <w:tc>
          <w:tcPr>
            <w:tcW w:w="6961" w:type="dxa"/>
          </w:tcPr>
          <w:p>
            <w:pPr>
              <w:pStyle w:val="TableParagraph"/>
              <w:spacing w:before="19"/>
              <w:ind w:left="35"/>
              <w:rPr>
                <w:sz w:val="18"/>
              </w:rPr>
            </w:pPr>
            <w:r>
              <w:rPr>
                <w:sz w:val="18"/>
              </w:rPr>
              <w:t>Other</w:t>
            </w:r>
          </w:p>
        </w:tc>
        <w:tc>
          <w:tcPr>
            <w:tcW w:w="1461" w:type="dxa"/>
            <w:tcBorders>
              <w:bottom w:val="single" w:sz="0" w:space="0" w:color="000000"/>
            </w:tcBorders>
          </w:tcPr>
          <w:p>
            <w:pPr>
              <w:pStyle w:val="TableParagraph"/>
              <w:spacing w:before="18"/>
              <w:ind w:right="246"/>
              <w:jc w:val="right"/>
              <w:rPr>
                <w:b/>
                <w:sz w:val="18"/>
              </w:rPr>
            </w:pPr>
            <w:r>
              <w:rPr>
                <w:b/>
                <w:w w:val="95"/>
                <w:sz w:val="18"/>
              </w:rPr>
              <w:t>289,860</w:t>
            </w:r>
          </w:p>
        </w:tc>
        <w:tc>
          <w:tcPr>
            <w:tcW w:w="1134" w:type="dxa"/>
            <w:tcBorders>
              <w:bottom w:val="single" w:sz="0" w:space="0" w:color="000000"/>
            </w:tcBorders>
          </w:tcPr>
          <w:p>
            <w:pPr>
              <w:pStyle w:val="TableParagraph"/>
              <w:spacing w:before="18"/>
              <w:ind w:right="83"/>
              <w:jc w:val="right"/>
              <w:rPr>
                <w:sz w:val="18"/>
              </w:rPr>
            </w:pPr>
            <w:r>
              <w:rPr>
                <w:w w:val="95"/>
                <w:sz w:val="18"/>
              </w:rPr>
              <w:t>466,899</w:t>
            </w:r>
          </w:p>
        </w:tc>
      </w:tr>
      <w:tr>
        <w:trPr>
          <w:trHeight w:val="338" w:hRule="exact"/>
        </w:trPr>
        <w:tc>
          <w:tcPr>
            <w:tcW w:w="6961" w:type="dxa"/>
          </w:tcPr>
          <w:p>
            <w:pPr>
              <w:pStyle w:val="TableParagraph"/>
              <w:spacing w:before="123"/>
              <w:ind w:left="35"/>
              <w:rPr>
                <w:b/>
                <w:sz w:val="18"/>
              </w:rPr>
            </w:pPr>
            <w:r>
              <w:rPr>
                <w:b/>
                <w:sz w:val="18"/>
              </w:rPr>
              <w:t>Total other expenses</w:t>
            </w:r>
          </w:p>
        </w:tc>
        <w:tc>
          <w:tcPr>
            <w:tcW w:w="1461" w:type="dxa"/>
            <w:tcBorders>
              <w:top w:val="single" w:sz="0" w:space="0" w:color="000000"/>
              <w:bottom w:val="single" w:sz="0" w:space="0" w:color="000000"/>
            </w:tcBorders>
          </w:tcPr>
          <w:p>
            <w:pPr>
              <w:pStyle w:val="TableParagraph"/>
              <w:spacing w:before="122"/>
              <w:ind w:right="246"/>
              <w:jc w:val="right"/>
              <w:rPr>
                <w:b/>
                <w:sz w:val="18"/>
              </w:rPr>
            </w:pPr>
            <w:r>
              <w:rPr>
                <w:b/>
                <w:w w:val="95"/>
                <w:sz w:val="18"/>
              </w:rPr>
              <w:t>1,779,901</w:t>
            </w:r>
          </w:p>
        </w:tc>
        <w:tc>
          <w:tcPr>
            <w:tcW w:w="1134" w:type="dxa"/>
            <w:tcBorders>
              <w:top w:val="single" w:sz="0" w:space="0" w:color="000000"/>
              <w:bottom w:val="single" w:sz="0" w:space="0" w:color="000000"/>
            </w:tcBorders>
          </w:tcPr>
          <w:p>
            <w:pPr>
              <w:pStyle w:val="TableParagraph"/>
              <w:spacing w:before="122"/>
              <w:ind w:right="82"/>
              <w:jc w:val="right"/>
              <w:rPr>
                <w:sz w:val="18"/>
              </w:rPr>
            </w:pPr>
            <w:r>
              <w:rPr>
                <w:w w:val="95"/>
                <w:sz w:val="18"/>
              </w:rPr>
              <w:t>2,046,091</w:t>
            </w:r>
          </w:p>
        </w:tc>
      </w:tr>
    </w:tbl>
    <w:p>
      <w:pPr>
        <w:spacing w:after="0"/>
        <w:jc w:val="right"/>
        <w:rPr>
          <w:sz w:val="18"/>
        </w:rPr>
        <w:sectPr>
          <w:pgSz w:w="11910" w:h="16840"/>
          <w:pgMar w:header="1038" w:footer="460" w:top="1460" w:bottom="700" w:left="860" w:right="860"/>
        </w:sectPr>
      </w:pPr>
    </w:p>
    <w:p>
      <w:pPr>
        <w:pStyle w:val="BodyText"/>
        <w:spacing w:before="2"/>
        <w:rPr>
          <w:b/>
          <w:sz w:val="24"/>
        </w:rPr>
      </w:pPr>
    </w:p>
    <w:p>
      <w:pPr>
        <w:spacing w:before="64"/>
        <w:ind w:left="107" w:right="161" w:firstLine="0"/>
        <w:jc w:val="left"/>
        <w:rPr>
          <w:b/>
          <w:sz w:val="28"/>
        </w:rPr>
      </w:pPr>
      <w:r>
        <w:rPr>
          <w:b/>
          <w:sz w:val="28"/>
        </w:rPr>
        <w:t>Notes to the Financial Statements</w:t>
      </w:r>
    </w:p>
    <w:p>
      <w:pPr>
        <w:spacing w:before="57"/>
        <w:ind w:left="107" w:right="161" w:firstLine="0"/>
        <w:jc w:val="left"/>
        <w:rPr>
          <w:b/>
          <w:sz w:val="22"/>
        </w:rPr>
      </w:pPr>
      <w:r>
        <w:rPr>
          <w:b/>
          <w:sz w:val="22"/>
        </w:rPr>
        <w:t>For the Year Ended 31 December 2017</w:t>
      </w:r>
    </w:p>
    <w:p>
      <w:pPr>
        <w:pStyle w:val="BodyText"/>
        <w:spacing w:before="1"/>
        <w:rPr>
          <w:b/>
          <w:sz w:val="25"/>
        </w:rPr>
      </w:pPr>
    </w:p>
    <w:p>
      <w:pPr>
        <w:pStyle w:val="ListParagraph"/>
        <w:numPr>
          <w:ilvl w:val="0"/>
          <w:numId w:val="65"/>
        </w:numPr>
        <w:tabs>
          <w:tab w:pos="506" w:val="left" w:leader="none"/>
        </w:tabs>
        <w:spacing w:line="240" w:lineRule="auto" w:before="0" w:after="0"/>
        <w:ind w:left="505" w:right="0" w:hanging="396"/>
        <w:jc w:val="left"/>
        <w:rPr>
          <w:b/>
          <w:sz w:val="18"/>
        </w:rPr>
      </w:pPr>
      <w:r>
        <w:rPr>
          <w:b/>
          <w:sz w:val="18"/>
        </w:rPr>
        <w:t>Discontinued Operations</w:t>
      </w:r>
    </w:p>
    <w:p>
      <w:pPr>
        <w:pStyle w:val="BodyText"/>
        <w:rPr>
          <w:b/>
          <w:sz w:val="25"/>
        </w:rPr>
      </w:pPr>
    </w:p>
    <w:p>
      <w:pPr>
        <w:pStyle w:val="BodyText"/>
        <w:ind w:left="505" w:right="160"/>
      </w:pPr>
      <w:r>
        <w:rPr/>
        <w:t>On 22nd November 2016, Western Unlimited Ltd entered into an agreement with University Co-operative Bookshop Limited to dispose of its Retail business. The University Co-operative Bookshop Limited purchased all of the remaining inventory, fixtures and fittings of the outlets. The University Co-operative Bookshop Limited took over Retail operations, commencing trading from 15 December 2016.</w:t>
      </w:r>
    </w:p>
    <w:p>
      <w:pPr>
        <w:pStyle w:val="BodyText"/>
        <w:rPr>
          <w:sz w:val="25"/>
        </w:rPr>
      </w:pPr>
    </w:p>
    <w:p>
      <w:pPr>
        <w:pStyle w:val="BodyText"/>
        <w:ind w:left="505" w:right="295"/>
      </w:pPr>
      <w:r>
        <w:rPr/>
        <w:t>Total Revenues for Western Unlimited Ltd's retail operation for the year ending 31 December 2016 were $10,360,475 (2015: $9,721,372). Expenditures for the Retail operation cannot be reliably measured or quantified.</w:t>
      </w:r>
    </w:p>
    <w:p>
      <w:pPr>
        <w:pStyle w:val="BodyText"/>
        <w:rPr>
          <w:sz w:val="20"/>
        </w:rPr>
      </w:pPr>
    </w:p>
    <w:p>
      <w:pPr>
        <w:pStyle w:val="BodyText"/>
        <w:rPr>
          <w:sz w:val="26"/>
        </w:rPr>
      </w:pPr>
    </w:p>
    <w:p>
      <w:pPr>
        <w:spacing w:after="0"/>
        <w:rPr>
          <w:sz w:val="26"/>
        </w:rPr>
        <w:sectPr>
          <w:pgSz w:w="11910" w:h="16840"/>
          <w:pgMar w:header="1038" w:footer="460" w:top="1460" w:bottom="700" w:left="900" w:right="860"/>
        </w:sectPr>
      </w:pPr>
    </w:p>
    <w:p>
      <w:pPr>
        <w:pStyle w:val="Heading9"/>
        <w:numPr>
          <w:ilvl w:val="0"/>
          <w:numId w:val="65"/>
        </w:numPr>
        <w:tabs>
          <w:tab w:pos="506" w:val="left" w:leader="none"/>
        </w:tabs>
        <w:spacing w:line="240" w:lineRule="auto" w:before="77" w:after="0"/>
        <w:ind w:left="505" w:right="0" w:hanging="396"/>
        <w:jc w:val="left"/>
      </w:pPr>
      <w:r>
        <w:rPr/>
        <w:t>Cash and cash</w:t>
      </w:r>
      <w:r>
        <w:rPr>
          <w:spacing w:val="-1"/>
        </w:rPr>
        <w:t> </w:t>
      </w:r>
      <w:r>
        <w:rPr/>
        <w:t>equivalents</w:t>
      </w:r>
    </w:p>
    <w:p>
      <w:pPr>
        <w:pStyle w:val="BodyText"/>
        <w:rPr>
          <w:b/>
        </w:rPr>
      </w:pPr>
      <w:r>
        <w:rPr/>
        <w:br w:type="column"/>
      </w:r>
      <w:r>
        <w:rPr>
          <w:b/>
        </w:rPr>
      </w:r>
    </w:p>
    <w:p>
      <w:pPr>
        <w:spacing w:before="110"/>
        <w:ind w:left="109" w:right="0" w:firstLine="0"/>
        <w:jc w:val="center"/>
        <w:rPr>
          <w:b/>
          <w:sz w:val="18"/>
        </w:rPr>
      </w:pPr>
      <w:r>
        <w:rPr>
          <w:b/>
          <w:sz w:val="18"/>
        </w:rPr>
        <w:t>2017</w:t>
      </w:r>
    </w:p>
    <w:p>
      <w:pPr>
        <w:spacing w:before="66"/>
        <w:ind w:left="108" w:right="0" w:firstLine="0"/>
        <w:jc w:val="center"/>
        <w:rPr>
          <w:b/>
          <w:sz w:val="18"/>
        </w:rPr>
      </w:pPr>
      <w:r>
        <w:rPr>
          <w:b/>
          <w:w w:val="99"/>
          <w:sz w:val="18"/>
        </w:rPr>
        <w:t>$</w:t>
      </w:r>
    </w:p>
    <w:p>
      <w:pPr>
        <w:pStyle w:val="BodyText"/>
        <w:rPr>
          <w:b/>
        </w:rPr>
      </w:pPr>
      <w:r>
        <w:rPr/>
        <w:br w:type="column"/>
      </w:r>
      <w:r>
        <w:rPr>
          <w:b/>
        </w:rPr>
      </w:r>
    </w:p>
    <w:p>
      <w:pPr>
        <w:spacing w:before="110"/>
        <w:ind w:left="93" w:right="563" w:firstLine="0"/>
        <w:jc w:val="center"/>
        <w:rPr>
          <w:b/>
          <w:sz w:val="18"/>
        </w:rPr>
      </w:pPr>
      <w:r>
        <w:rPr>
          <w:b/>
          <w:sz w:val="18"/>
        </w:rPr>
        <w:t>2016</w:t>
      </w:r>
    </w:p>
    <w:p>
      <w:pPr>
        <w:spacing w:before="66"/>
        <w:ind w:left="0" w:right="471" w:firstLine="0"/>
        <w:jc w:val="center"/>
        <w:rPr>
          <w:b/>
          <w:sz w:val="18"/>
        </w:rPr>
      </w:pPr>
      <w:r>
        <w:rPr>
          <w:b/>
          <w:w w:val="99"/>
          <w:sz w:val="18"/>
        </w:rPr>
        <w:t>$</w:t>
      </w:r>
    </w:p>
    <w:p>
      <w:pPr>
        <w:spacing w:after="0"/>
        <w:jc w:val="center"/>
        <w:rPr>
          <w:sz w:val="18"/>
        </w:rPr>
        <w:sectPr>
          <w:type w:val="continuous"/>
          <w:pgSz w:w="11910" w:h="16840"/>
          <w:pgMar w:top="1580" w:bottom="280" w:left="900" w:right="860"/>
          <w:cols w:num="3" w:equalWidth="0">
            <w:col w:w="2817" w:space="4952"/>
            <w:col w:w="510" w:space="774"/>
            <w:col w:w="1097"/>
          </w:cols>
        </w:sectPr>
      </w:pPr>
    </w:p>
    <w:p>
      <w:pPr>
        <w:pStyle w:val="BodyText"/>
        <w:tabs>
          <w:tab w:pos="7429" w:val="left" w:leader="none"/>
          <w:tab w:pos="7989" w:val="left" w:leader="none"/>
          <w:tab w:pos="9287" w:val="left" w:leader="none"/>
        </w:tabs>
        <w:spacing w:before="118"/>
        <w:ind w:left="504" w:right="161"/>
      </w:pPr>
      <w:r>
        <w:rPr/>
        <w:t>Cash at bank and</w:t>
      </w:r>
      <w:r>
        <w:rPr>
          <w:spacing w:val="-1"/>
        </w:rPr>
        <w:t> </w:t>
      </w:r>
      <w:r>
        <w:rPr/>
        <w:t>on</w:t>
      </w:r>
      <w:r>
        <w:rPr>
          <w:spacing w:val="-1"/>
        </w:rPr>
        <w:t> </w:t>
      </w:r>
      <w:r>
        <w:rPr/>
        <w:t>hand</w:t>
        <w:tab/>
      </w:r>
      <w:r>
        <w:rPr>
          <w:rFonts w:ascii="Times New Roman"/>
          <w:position w:val="-2"/>
          <w:u w:val="single"/>
        </w:rPr>
        <w:t> </w:t>
        <w:tab/>
      </w:r>
      <w:r>
        <w:rPr>
          <w:b/>
          <w:position w:val="-2"/>
          <w:u w:val="single"/>
        </w:rPr>
        <w:t>142,653</w:t>
        <w:tab/>
      </w:r>
      <w:r>
        <w:rPr>
          <w:position w:val="-2"/>
          <w:u w:val="single"/>
        </w:rPr>
        <w:t>496,008</w:t>
      </w:r>
    </w:p>
    <w:p>
      <w:pPr>
        <w:pStyle w:val="Heading9"/>
        <w:tabs>
          <w:tab w:pos="7989" w:val="left" w:leader="none"/>
          <w:tab w:pos="9287" w:val="left" w:leader="none"/>
        </w:tabs>
        <w:spacing w:before="129"/>
        <w:ind w:left="504" w:right="161"/>
        <w:rPr>
          <w:b w:val="0"/>
        </w:rPr>
      </w:pPr>
      <w:r>
        <w:rPr/>
        <w:t>Total cash and</w:t>
      </w:r>
      <w:r>
        <w:rPr>
          <w:spacing w:val="-1"/>
        </w:rPr>
        <w:t> </w:t>
      </w:r>
      <w:r>
        <w:rPr/>
        <w:t>cash equivalents</w:t>
        <w:tab/>
        <w:t>142,653</w:t>
        <w:tab/>
      </w:r>
      <w:r>
        <w:rPr>
          <w:b w:val="0"/>
        </w:rPr>
        <w:t>496,008</w:t>
      </w:r>
    </w:p>
    <w:p>
      <w:pPr>
        <w:pStyle w:val="BodyText"/>
        <w:spacing w:line="50" w:lineRule="exact"/>
        <w:ind w:left="7428"/>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spacing w:before="10"/>
        <w:rPr>
          <w:sz w:val="19"/>
        </w:rPr>
      </w:pPr>
    </w:p>
    <w:p>
      <w:pPr>
        <w:pStyle w:val="ListParagraph"/>
        <w:numPr>
          <w:ilvl w:val="1"/>
          <w:numId w:val="65"/>
        </w:numPr>
        <w:tabs>
          <w:tab w:pos="1072" w:val="left" w:leader="none"/>
        </w:tabs>
        <w:spacing w:line="240" w:lineRule="auto" w:before="77" w:after="0"/>
        <w:ind w:left="1071" w:right="0" w:hanging="566"/>
        <w:jc w:val="left"/>
        <w:rPr>
          <w:sz w:val="18"/>
        </w:rPr>
      </w:pPr>
      <w:r>
        <w:rPr>
          <w:sz w:val="18"/>
        </w:rPr>
        <w:t>Reconciliation to cash at the end of the</w:t>
      </w:r>
      <w:r>
        <w:rPr>
          <w:spacing w:val="-1"/>
          <w:sz w:val="18"/>
        </w:rPr>
        <w:t> </w:t>
      </w:r>
      <w:r>
        <w:rPr>
          <w:sz w:val="18"/>
        </w:rPr>
        <w:t>year</w:t>
      </w:r>
    </w:p>
    <w:p>
      <w:pPr>
        <w:pStyle w:val="BodyText"/>
        <w:spacing w:before="4"/>
        <w:rPr>
          <w:sz w:val="25"/>
        </w:rPr>
      </w:pPr>
    </w:p>
    <w:p>
      <w:pPr>
        <w:pStyle w:val="BodyText"/>
        <w:spacing w:after="36"/>
        <w:ind w:left="505" w:right="439"/>
      </w:pPr>
      <w:r>
        <w:rPr/>
        <w:t>The above figures are reconciled to cash at the end of the financial year as shown in the statement of cash flows as follows:</w:t>
      </w:r>
    </w:p>
    <w:tbl>
      <w:tblPr>
        <w:tblW w:w="0" w:type="auto"/>
        <w:jc w:val="left"/>
        <w:tblInd w:w="103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93"/>
        <w:gridCol w:w="1472"/>
        <w:gridCol w:w="1123"/>
      </w:tblGrid>
      <w:tr>
        <w:trPr>
          <w:trHeight w:val="783" w:hRule="exact"/>
        </w:trPr>
        <w:tc>
          <w:tcPr>
            <w:tcW w:w="6393" w:type="dxa"/>
          </w:tcPr>
          <w:p>
            <w:pPr>
              <w:pStyle w:val="TableParagraph"/>
              <w:rPr>
                <w:sz w:val="18"/>
              </w:rPr>
            </w:pPr>
          </w:p>
          <w:p>
            <w:pPr>
              <w:pStyle w:val="TableParagraph"/>
              <w:rPr>
                <w:sz w:val="18"/>
              </w:rPr>
            </w:pPr>
          </w:p>
          <w:p>
            <w:pPr>
              <w:pStyle w:val="TableParagraph"/>
              <w:spacing w:before="126"/>
              <w:ind w:left="35"/>
              <w:rPr>
                <w:sz w:val="18"/>
              </w:rPr>
            </w:pPr>
            <w:r>
              <w:rPr>
                <w:sz w:val="18"/>
              </w:rPr>
              <w:t>Balance as above</w:t>
            </w:r>
          </w:p>
        </w:tc>
        <w:tc>
          <w:tcPr>
            <w:tcW w:w="1472" w:type="dxa"/>
            <w:tcBorders>
              <w:bottom w:val="single" w:sz="0" w:space="0" w:color="000000"/>
            </w:tcBorders>
          </w:tcPr>
          <w:p>
            <w:pPr>
              <w:pStyle w:val="TableParagraph"/>
              <w:spacing w:line="204" w:lineRule="exact"/>
              <w:ind w:left="448" w:right="241"/>
              <w:rPr>
                <w:b/>
                <w:sz w:val="18"/>
              </w:rPr>
            </w:pPr>
            <w:r>
              <w:rPr>
                <w:b/>
                <w:sz w:val="18"/>
              </w:rPr>
              <w:t>2017</w:t>
            </w:r>
          </w:p>
          <w:p>
            <w:pPr>
              <w:pStyle w:val="TableParagraph"/>
              <w:spacing w:line="312" w:lineRule="auto" w:before="66"/>
              <w:ind w:left="560" w:right="241" w:firstLine="38"/>
              <w:rPr>
                <w:b/>
                <w:sz w:val="18"/>
              </w:rPr>
            </w:pPr>
            <w:r>
              <w:rPr>
                <w:b/>
                <w:sz w:val="18"/>
              </w:rPr>
              <w:t>$ 142,653</w:t>
            </w:r>
          </w:p>
        </w:tc>
        <w:tc>
          <w:tcPr>
            <w:tcW w:w="1123" w:type="dxa"/>
            <w:tcBorders>
              <w:bottom w:val="single" w:sz="0" w:space="0" w:color="000000"/>
            </w:tcBorders>
          </w:tcPr>
          <w:p>
            <w:pPr>
              <w:pStyle w:val="TableParagraph"/>
              <w:spacing w:line="204" w:lineRule="exact"/>
              <w:ind w:left="242" w:right="440"/>
              <w:jc w:val="center"/>
              <w:rPr>
                <w:b/>
                <w:sz w:val="18"/>
              </w:rPr>
            </w:pPr>
            <w:r>
              <w:rPr>
                <w:b/>
                <w:sz w:val="18"/>
              </w:rPr>
              <w:t>2016</w:t>
            </w:r>
          </w:p>
          <w:p>
            <w:pPr>
              <w:pStyle w:val="TableParagraph"/>
              <w:spacing w:before="66"/>
              <w:ind w:right="198"/>
              <w:jc w:val="center"/>
              <w:rPr>
                <w:b/>
                <w:sz w:val="18"/>
              </w:rPr>
            </w:pPr>
            <w:r>
              <w:rPr>
                <w:b/>
                <w:w w:val="99"/>
                <w:sz w:val="18"/>
              </w:rPr>
              <w:t>$</w:t>
            </w:r>
          </w:p>
          <w:p>
            <w:pPr>
              <w:pStyle w:val="TableParagraph"/>
              <w:spacing w:before="62"/>
              <w:ind w:left="386"/>
              <w:rPr>
                <w:sz w:val="18"/>
              </w:rPr>
            </w:pPr>
            <w:r>
              <w:rPr>
                <w:sz w:val="18"/>
              </w:rPr>
              <w:t>496,008</w:t>
            </w:r>
          </w:p>
        </w:tc>
      </w:tr>
      <w:tr>
        <w:trPr>
          <w:trHeight w:val="353" w:hRule="exact"/>
        </w:trPr>
        <w:tc>
          <w:tcPr>
            <w:tcW w:w="6393" w:type="dxa"/>
          </w:tcPr>
          <w:p>
            <w:pPr>
              <w:pStyle w:val="TableParagraph"/>
              <w:spacing w:before="123"/>
              <w:ind w:left="35"/>
              <w:rPr>
                <w:sz w:val="18"/>
              </w:rPr>
            </w:pPr>
            <w:r>
              <w:rPr>
                <w:sz w:val="18"/>
              </w:rPr>
              <w:t>Balance as per statement of cash flows</w:t>
            </w:r>
          </w:p>
        </w:tc>
        <w:tc>
          <w:tcPr>
            <w:tcW w:w="1472" w:type="dxa"/>
            <w:tcBorders>
              <w:top w:val="single" w:sz="0" w:space="0" w:color="000000"/>
              <w:bottom w:val="single" w:sz="0" w:space="0" w:color="000000"/>
            </w:tcBorders>
          </w:tcPr>
          <w:p>
            <w:pPr>
              <w:pStyle w:val="TableParagraph"/>
              <w:spacing w:before="122"/>
              <w:ind w:left="560"/>
              <w:rPr>
                <w:b/>
                <w:sz w:val="18"/>
              </w:rPr>
            </w:pPr>
            <w:r>
              <w:rPr>
                <w:b/>
                <w:sz w:val="18"/>
              </w:rPr>
              <w:t>142,653</w:t>
            </w:r>
          </w:p>
        </w:tc>
        <w:tc>
          <w:tcPr>
            <w:tcW w:w="1123" w:type="dxa"/>
            <w:tcBorders>
              <w:top w:val="single" w:sz="0" w:space="0" w:color="000000"/>
              <w:bottom w:val="single" w:sz="0" w:space="0" w:color="000000"/>
            </w:tcBorders>
          </w:tcPr>
          <w:p>
            <w:pPr>
              <w:pStyle w:val="TableParagraph"/>
              <w:spacing w:before="122"/>
              <w:ind w:left="386"/>
              <w:rPr>
                <w:sz w:val="18"/>
              </w:rPr>
            </w:pPr>
            <w:r>
              <w:rPr>
                <w:sz w:val="18"/>
              </w:rPr>
              <w:t>496,008</w:t>
            </w:r>
          </w:p>
        </w:tc>
      </w:tr>
    </w:tbl>
    <w:p>
      <w:pPr>
        <w:pStyle w:val="BodyText"/>
        <w:spacing w:before="6"/>
        <w:rPr>
          <w:sz w:val="20"/>
        </w:rPr>
      </w:pPr>
    </w:p>
    <w:p>
      <w:pPr>
        <w:pStyle w:val="BodyText"/>
        <w:spacing w:before="77"/>
        <w:ind w:left="505" w:right="176"/>
      </w:pPr>
      <w:r>
        <w:rPr/>
        <w:t>The Company's exposure to interest rate risk is discussed in note 2. The maximum exposure to credit risk at the end of each reporting period is the carrying amount of each class of cash and cash equivalents mentioned above.</w:t>
      </w:r>
    </w:p>
    <w:p>
      <w:pPr>
        <w:pStyle w:val="BodyText"/>
        <w:rPr>
          <w:sz w:val="25"/>
        </w:rPr>
      </w:pPr>
    </w:p>
    <w:p>
      <w:pPr>
        <w:pStyle w:val="BodyText"/>
        <w:ind w:left="505" w:right="161"/>
      </w:pPr>
      <w:r>
        <w:rPr/>
        <w:t>Cash at bank is interest bearing and Cash on hand is non-interest bearing.</w:t>
      </w:r>
    </w:p>
    <w:p>
      <w:pPr>
        <w:spacing w:after="0"/>
        <w:sectPr>
          <w:type w:val="continuous"/>
          <w:pgSz w:w="11910" w:h="16840"/>
          <w:pgMar w:top="1580" w:bottom="280" w:left="900" w:right="860"/>
        </w:sectPr>
      </w:pPr>
    </w:p>
    <w:p>
      <w:pPr>
        <w:pStyle w:val="BodyText"/>
        <w:spacing w:before="2"/>
        <w:rPr>
          <w:sz w:val="24"/>
        </w:rPr>
      </w:pPr>
    </w:p>
    <w:p>
      <w:pPr>
        <w:pStyle w:val="Heading3"/>
        <w:ind w:left="147" w:right="19"/>
      </w:pPr>
      <w:r>
        <w:rPr/>
        <w:t>Notes to the Financial Statements</w:t>
      </w:r>
    </w:p>
    <w:p>
      <w:pPr>
        <w:pStyle w:val="Heading6"/>
        <w:ind w:left="147" w:right="19"/>
      </w:pPr>
      <w:r>
        <w:rPr/>
        <w:t>For the Year Ended 31 December 2017</w:t>
      </w:r>
    </w:p>
    <w:p>
      <w:pPr>
        <w:pStyle w:val="BodyText"/>
        <w:spacing w:before="3"/>
        <w:rPr>
          <w:b/>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7073"/>
        <w:gridCol w:w="1460"/>
        <w:gridCol w:w="1135"/>
      </w:tblGrid>
      <w:tr>
        <w:trPr>
          <w:trHeight w:val="567" w:hRule="exact"/>
        </w:trPr>
        <w:tc>
          <w:tcPr>
            <w:tcW w:w="282" w:type="dxa"/>
          </w:tcPr>
          <w:p>
            <w:pPr>
              <w:pStyle w:val="TableParagraph"/>
              <w:spacing w:before="77"/>
              <w:ind w:left="35"/>
              <w:rPr>
                <w:b/>
                <w:sz w:val="18"/>
              </w:rPr>
            </w:pPr>
            <w:r>
              <w:rPr>
                <w:b/>
                <w:w w:val="99"/>
                <w:sz w:val="18"/>
              </w:rPr>
              <w:t>8</w:t>
            </w:r>
          </w:p>
        </w:tc>
        <w:tc>
          <w:tcPr>
            <w:tcW w:w="7073" w:type="dxa"/>
          </w:tcPr>
          <w:p>
            <w:pPr>
              <w:pStyle w:val="TableParagraph"/>
              <w:spacing w:before="77"/>
              <w:ind w:left="148"/>
              <w:rPr>
                <w:b/>
                <w:sz w:val="18"/>
              </w:rPr>
            </w:pPr>
            <w:r>
              <w:rPr>
                <w:b/>
                <w:sz w:val="18"/>
              </w:rPr>
              <w:t>Trade and other receivables</w:t>
            </w:r>
          </w:p>
        </w:tc>
        <w:tc>
          <w:tcPr>
            <w:tcW w:w="1460" w:type="dxa"/>
          </w:tcPr>
          <w:p>
            <w:pPr>
              <w:pStyle w:val="TableParagraph"/>
              <w:rPr>
                <w:b/>
                <w:sz w:val="18"/>
              </w:rPr>
            </w:pPr>
          </w:p>
          <w:p>
            <w:pPr>
              <w:pStyle w:val="TableParagraph"/>
              <w:spacing w:before="110"/>
              <w:ind w:left="448"/>
              <w:rPr>
                <w:b/>
                <w:sz w:val="18"/>
              </w:rPr>
            </w:pPr>
            <w:r>
              <w:rPr>
                <w:b/>
                <w:sz w:val="18"/>
              </w:rPr>
              <w:t>2017</w:t>
            </w:r>
          </w:p>
        </w:tc>
        <w:tc>
          <w:tcPr>
            <w:tcW w:w="1135" w:type="dxa"/>
          </w:tcPr>
          <w:p>
            <w:pPr>
              <w:pStyle w:val="TableParagraph"/>
              <w:rPr>
                <w:b/>
                <w:sz w:val="18"/>
              </w:rPr>
            </w:pPr>
          </w:p>
          <w:p>
            <w:pPr>
              <w:pStyle w:val="TableParagraph"/>
              <w:spacing w:before="110"/>
              <w:ind w:left="272"/>
              <w:rPr>
                <w:b/>
                <w:sz w:val="18"/>
              </w:rPr>
            </w:pPr>
            <w:r>
              <w:rPr>
                <w:b/>
                <w:sz w:val="18"/>
              </w:rPr>
              <w:t>2016</w:t>
            </w:r>
          </w:p>
        </w:tc>
      </w:tr>
      <w:tr>
        <w:trPr>
          <w:trHeight w:val="271" w:hRule="exact"/>
        </w:trPr>
        <w:tc>
          <w:tcPr>
            <w:tcW w:w="282" w:type="dxa"/>
          </w:tcPr>
          <w:p>
            <w:pPr/>
          </w:p>
        </w:tc>
        <w:tc>
          <w:tcPr>
            <w:tcW w:w="7073" w:type="dxa"/>
          </w:tcPr>
          <w:p>
            <w:pPr/>
          </w:p>
        </w:tc>
        <w:tc>
          <w:tcPr>
            <w:tcW w:w="1460" w:type="dxa"/>
          </w:tcPr>
          <w:p>
            <w:pPr>
              <w:pStyle w:val="TableParagraph"/>
              <w:spacing w:before="24"/>
              <w:ind w:right="160"/>
              <w:jc w:val="center"/>
              <w:rPr>
                <w:b/>
                <w:sz w:val="18"/>
              </w:rPr>
            </w:pPr>
            <w:r>
              <w:rPr>
                <w:b/>
                <w:w w:val="99"/>
                <w:sz w:val="18"/>
              </w:rPr>
              <w:t>$</w:t>
            </w:r>
          </w:p>
        </w:tc>
        <w:tc>
          <w:tcPr>
            <w:tcW w:w="1135" w:type="dxa"/>
          </w:tcPr>
          <w:p>
            <w:pPr>
              <w:pStyle w:val="TableParagraph"/>
              <w:spacing w:before="24"/>
              <w:ind w:right="186"/>
              <w:jc w:val="center"/>
              <w:rPr>
                <w:b/>
                <w:sz w:val="18"/>
              </w:rPr>
            </w:pPr>
            <w:r>
              <w:rPr>
                <w:b/>
                <w:w w:val="99"/>
                <w:sz w:val="18"/>
              </w:rPr>
              <w:t>$</w:t>
            </w:r>
          </w:p>
        </w:tc>
      </w:tr>
      <w:tr>
        <w:trPr>
          <w:trHeight w:val="266" w:hRule="exact"/>
        </w:trPr>
        <w:tc>
          <w:tcPr>
            <w:tcW w:w="282" w:type="dxa"/>
          </w:tcPr>
          <w:p>
            <w:pPr/>
          </w:p>
        </w:tc>
        <w:tc>
          <w:tcPr>
            <w:tcW w:w="7073" w:type="dxa"/>
          </w:tcPr>
          <w:p>
            <w:pPr>
              <w:pStyle w:val="TableParagraph"/>
              <w:spacing w:before="21"/>
              <w:ind w:left="147"/>
              <w:rPr>
                <w:sz w:val="18"/>
              </w:rPr>
            </w:pPr>
            <w:r>
              <w:rPr>
                <w:sz w:val="18"/>
              </w:rPr>
              <w:t>Trade receivables</w:t>
            </w:r>
          </w:p>
        </w:tc>
        <w:tc>
          <w:tcPr>
            <w:tcW w:w="1460" w:type="dxa"/>
          </w:tcPr>
          <w:p>
            <w:pPr>
              <w:pStyle w:val="TableParagraph"/>
              <w:spacing w:before="22"/>
              <w:ind w:right="247"/>
              <w:jc w:val="right"/>
              <w:rPr>
                <w:b/>
                <w:sz w:val="18"/>
              </w:rPr>
            </w:pPr>
            <w:r>
              <w:rPr>
                <w:b/>
                <w:w w:val="95"/>
                <w:sz w:val="18"/>
              </w:rPr>
              <w:t>99,215</w:t>
            </w:r>
          </w:p>
        </w:tc>
        <w:tc>
          <w:tcPr>
            <w:tcW w:w="1135" w:type="dxa"/>
          </w:tcPr>
          <w:p>
            <w:pPr>
              <w:pStyle w:val="TableParagraph"/>
              <w:spacing w:before="22"/>
              <w:ind w:right="82"/>
              <w:jc w:val="right"/>
              <w:rPr>
                <w:sz w:val="18"/>
              </w:rPr>
            </w:pPr>
            <w:r>
              <w:rPr>
                <w:w w:val="95"/>
                <w:sz w:val="18"/>
              </w:rPr>
              <w:t>2,696,450</w:t>
            </w:r>
          </w:p>
        </w:tc>
      </w:tr>
      <w:tr>
        <w:trPr>
          <w:trHeight w:val="263" w:hRule="exact"/>
        </w:trPr>
        <w:tc>
          <w:tcPr>
            <w:tcW w:w="282" w:type="dxa"/>
          </w:tcPr>
          <w:p>
            <w:pPr/>
          </w:p>
        </w:tc>
        <w:tc>
          <w:tcPr>
            <w:tcW w:w="7073" w:type="dxa"/>
          </w:tcPr>
          <w:p>
            <w:pPr>
              <w:pStyle w:val="TableParagraph"/>
              <w:spacing w:before="18"/>
              <w:ind w:left="147"/>
              <w:rPr>
                <w:sz w:val="18"/>
              </w:rPr>
            </w:pPr>
            <w:r>
              <w:rPr>
                <w:sz w:val="18"/>
              </w:rPr>
              <w:t>Prepayments</w:t>
            </w:r>
          </w:p>
        </w:tc>
        <w:tc>
          <w:tcPr>
            <w:tcW w:w="1460" w:type="dxa"/>
            <w:tcBorders>
              <w:bottom w:val="single" w:sz="0" w:space="0" w:color="000000"/>
            </w:tcBorders>
          </w:tcPr>
          <w:p>
            <w:pPr>
              <w:pStyle w:val="TableParagraph"/>
              <w:spacing w:before="19"/>
              <w:ind w:right="247"/>
              <w:jc w:val="right"/>
              <w:rPr>
                <w:b/>
                <w:sz w:val="18"/>
              </w:rPr>
            </w:pPr>
            <w:r>
              <w:rPr>
                <w:b/>
                <w:w w:val="95"/>
                <w:sz w:val="18"/>
              </w:rPr>
              <w:t>6,046</w:t>
            </w:r>
          </w:p>
        </w:tc>
        <w:tc>
          <w:tcPr>
            <w:tcW w:w="1135" w:type="dxa"/>
            <w:tcBorders>
              <w:bottom w:val="single" w:sz="0" w:space="0" w:color="000000"/>
            </w:tcBorders>
          </w:tcPr>
          <w:p>
            <w:pPr>
              <w:pStyle w:val="TableParagraph"/>
              <w:spacing w:before="19"/>
              <w:ind w:right="83"/>
              <w:jc w:val="right"/>
              <w:rPr>
                <w:sz w:val="18"/>
              </w:rPr>
            </w:pPr>
            <w:r>
              <w:rPr>
                <w:w w:val="95"/>
                <w:sz w:val="18"/>
              </w:rPr>
              <w:t>49,998</w:t>
            </w:r>
          </w:p>
        </w:tc>
      </w:tr>
      <w:tr>
        <w:trPr>
          <w:trHeight w:val="353" w:hRule="exact"/>
        </w:trPr>
        <w:tc>
          <w:tcPr>
            <w:tcW w:w="282" w:type="dxa"/>
          </w:tcPr>
          <w:p>
            <w:pPr/>
          </w:p>
        </w:tc>
        <w:tc>
          <w:tcPr>
            <w:tcW w:w="7073" w:type="dxa"/>
          </w:tcPr>
          <w:p>
            <w:pPr>
              <w:pStyle w:val="TableParagraph"/>
              <w:spacing w:before="123"/>
              <w:ind w:left="147"/>
              <w:rPr>
                <w:b/>
                <w:sz w:val="18"/>
              </w:rPr>
            </w:pPr>
            <w:r>
              <w:rPr>
                <w:b/>
                <w:sz w:val="18"/>
              </w:rPr>
              <w:t>Total current trade and other receivables</w:t>
            </w: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105,261</w:t>
            </w:r>
          </w:p>
        </w:tc>
        <w:tc>
          <w:tcPr>
            <w:tcW w:w="1135" w:type="dxa"/>
            <w:tcBorders>
              <w:top w:val="single" w:sz="0" w:space="0" w:color="000000"/>
              <w:bottom w:val="single" w:sz="0" w:space="0" w:color="000000"/>
            </w:tcBorders>
          </w:tcPr>
          <w:p>
            <w:pPr>
              <w:pStyle w:val="TableParagraph"/>
              <w:spacing w:before="122"/>
              <w:ind w:right="82"/>
              <w:jc w:val="right"/>
              <w:rPr>
                <w:sz w:val="18"/>
              </w:rPr>
            </w:pPr>
            <w:r>
              <w:rPr>
                <w:w w:val="95"/>
                <w:sz w:val="18"/>
              </w:rPr>
              <w:t>2,746,448</w:t>
            </w:r>
          </w:p>
        </w:tc>
      </w:tr>
      <w:tr>
        <w:trPr>
          <w:trHeight w:val="617" w:hRule="exact"/>
        </w:trPr>
        <w:tc>
          <w:tcPr>
            <w:tcW w:w="282" w:type="dxa"/>
          </w:tcPr>
          <w:p>
            <w:pPr/>
          </w:p>
        </w:tc>
        <w:tc>
          <w:tcPr>
            <w:tcW w:w="7073" w:type="dxa"/>
          </w:tcPr>
          <w:p>
            <w:pPr>
              <w:pStyle w:val="TableParagraph"/>
              <w:rPr>
                <w:b/>
                <w:sz w:val="18"/>
              </w:rPr>
            </w:pPr>
          </w:p>
          <w:p>
            <w:pPr>
              <w:pStyle w:val="TableParagraph"/>
              <w:spacing w:before="106"/>
              <w:ind w:left="148"/>
              <w:rPr>
                <w:sz w:val="18"/>
              </w:rPr>
            </w:pPr>
            <w:r>
              <w:rPr>
                <w:sz w:val="18"/>
              </w:rPr>
              <w:t>Trade and other receivables are non-interest bearing.</w:t>
            </w:r>
          </w:p>
        </w:tc>
        <w:tc>
          <w:tcPr>
            <w:tcW w:w="1460" w:type="dxa"/>
            <w:tcBorders>
              <w:top w:val="single" w:sz="0" w:space="0" w:color="000000"/>
            </w:tcBorders>
          </w:tcPr>
          <w:p>
            <w:pPr/>
          </w:p>
        </w:tc>
        <w:tc>
          <w:tcPr>
            <w:tcW w:w="1135" w:type="dxa"/>
            <w:tcBorders>
              <w:top w:val="single" w:sz="0" w:space="0" w:color="000000"/>
            </w:tcBorders>
          </w:tcPr>
          <w:p>
            <w:pPr/>
          </w:p>
        </w:tc>
      </w:tr>
    </w:tbl>
    <w:p>
      <w:pPr>
        <w:pStyle w:val="BodyText"/>
        <w:spacing w:before="10"/>
        <w:rPr>
          <w:b/>
          <w:sz w:val="9"/>
        </w:rPr>
      </w:pPr>
    </w:p>
    <w:p>
      <w:pPr>
        <w:pStyle w:val="BodyText"/>
        <w:spacing w:before="78"/>
        <w:ind w:left="545" w:right="19"/>
      </w:pPr>
      <w:r>
        <w:rPr/>
        <w:t>At 31 December 2017, current receivables of Western Unlimited Ltd with a nominal value of $ Nil (2016: Nil) were impaired. The amount of the provision was $Nil (2016 Nil).</w:t>
      </w:r>
    </w:p>
    <w:p>
      <w:pPr>
        <w:pStyle w:val="BodyText"/>
        <w:rPr>
          <w:sz w:val="25"/>
        </w:rPr>
      </w:pPr>
    </w:p>
    <w:p>
      <w:pPr>
        <w:pStyle w:val="BodyText"/>
        <w:spacing w:after="36"/>
        <w:ind w:left="545" w:right="19"/>
      </w:pPr>
      <w:r>
        <w:rPr/>
        <w:t>As at 31 December 2017 trade receivables of $99,215 (2016:$75,172) were past due but not impaired. The ageing of these receivables is as follows:</w:t>
      </w:r>
    </w:p>
    <w:tbl>
      <w:tblPr>
        <w:tblW w:w="0" w:type="auto"/>
        <w:jc w:val="left"/>
        <w:tblInd w:w="5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61"/>
        <w:gridCol w:w="1472"/>
        <w:gridCol w:w="1122"/>
      </w:tblGrid>
      <w:tr>
        <w:trPr>
          <w:trHeight w:val="563" w:hRule="exact"/>
        </w:trPr>
        <w:tc>
          <w:tcPr>
            <w:tcW w:w="6961" w:type="dxa"/>
          </w:tcPr>
          <w:p>
            <w:pPr/>
          </w:p>
        </w:tc>
        <w:tc>
          <w:tcPr>
            <w:tcW w:w="1472" w:type="dxa"/>
          </w:tcPr>
          <w:p>
            <w:pPr>
              <w:pStyle w:val="TableParagraph"/>
              <w:spacing w:before="26"/>
              <w:ind w:left="416" w:right="614"/>
              <w:jc w:val="center"/>
              <w:rPr>
                <w:b/>
                <w:sz w:val="18"/>
              </w:rPr>
            </w:pPr>
            <w:r>
              <w:rPr>
                <w:b/>
                <w:sz w:val="18"/>
              </w:rPr>
              <w:t>2017</w:t>
            </w:r>
          </w:p>
          <w:p>
            <w:pPr>
              <w:pStyle w:val="TableParagraph"/>
              <w:spacing w:before="66"/>
              <w:ind w:right="198"/>
              <w:jc w:val="center"/>
              <w:rPr>
                <w:b/>
                <w:sz w:val="18"/>
              </w:rPr>
            </w:pPr>
            <w:r>
              <w:rPr>
                <w:b/>
                <w:w w:val="99"/>
                <w:sz w:val="18"/>
              </w:rPr>
              <w:t>$</w:t>
            </w:r>
          </w:p>
        </w:tc>
        <w:tc>
          <w:tcPr>
            <w:tcW w:w="1122" w:type="dxa"/>
          </w:tcPr>
          <w:p>
            <w:pPr>
              <w:pStyle w:val="TableParagraph"/>
              <w:spacing w:before="26"/>
              <w:ind w:left="241" w:right="439"/>
              <w:jc w:val="center"/>
              <w:rPr>
                <w:b/>
                <w:sz w:val="18"/>
              </w:rPr>
            </w:pPr>
            <w:r>
              <w:rPr>
                <w:b/>
                <w:sz w:val="18"/>
              </w:rPr>
              <w:t>2016</w:t>
            </w:r>
          </w:p>
          <w:p>
            <w:pPr>
              <w:pStyle w:val="TableParagraph"/>
              <w:spacing w:before="66"/>
              <w:ind w:right="198"/>
              <w:jc w:val="center"/>
              <w:rPr>
                <w:b/>
                <w:sz w:val="18"/>
              </w:rPr>
            </w:pPr>
            <w:r>
              <w:rPr>
                <w:b/>
                <w:w w:val="99"/>
                <w:sz w:val="18"/>
              </w:rPr>
              <w:t>$</w:t>
            </w:r>
          </w:p>
        </w:tc>
      </w:tr>
      <w:tr>
        <w:trPr>
          <w:trHeight w:val="282" w:hRule="exact"/>
        </w:trPr>
        <w:tc>
          <w:tcPr>
            <w:tcW w:w="6961" w:type="dxa"/>
          </w:tcPr>
          <w:p>
            <w:pPr>
              <w:pStyle w:val="TableParagraph"/>
              <w:spacing w:before="37"/>
              <w:ind w:left="35"/>
              <w:rPr>
                <w:sz w:val="18"/>
              </w:rPr>
            </w:pPr>
            <w:r>
              <w:rPr>
                <w:sz w:val="18"/>
              </w:rPr>
              <w:t>Up to 3 months</w:t>
            </w:r>
          </w:p>
        </w:tc>
        <w:tc>
          <w:tcPr>
            <w:tcW w:w="1472" w:type="dxa"/>
          </w:tcPr>
          <w:p>
            <w:pPr>
              <w:pStyle w:val="TableParagraph"/>
              <w:spacing w:before="36"/>
              <w:ind w:right="258"/>
              <w:jc w:val="right"/>
              <w:rPr>
                <w:b/>
                <w:sz w:val="18"/>
              </w:rPr>
            </w:pPr>
            <w:r>
              <w:rPr>
                <w:b/>
                <w:w w:val="95"/>
                <w:sz w:val="18"/>
              </w:rPr>
              <w:t>78,205</w:t>
            </w:r>
          </w:p>
        </w:tc>
        <w:tc>
          <w:tcPr>
            <w:tcW w:w="1122" w:type="dxa"/>
          </w:tcPr>
          <w:p>
            <w:pPr>
              <w:pStyle w:val="TableParagraph"/>
              <w:spacing w:before="36"/>
              <w:ind w:right="83"/>
              <w:jc w:val="right"/>
              <w:rPr>
                <w:sz w:val="18"/>
              </w:rPr>
            </w:pPr>
            <w:r>
              <w:rPr>
                <w:w w:val="95"/>
                <w:sz w:val="18"/>
              </w:rPr>
              <w:t>22,002</w:t>
            </w:r>
          </w:p>
        </w:tc>
      </w:tr>
      <w:tr>
        <w:trPr>
          <w:trHeight w:val="264" w:hRule="exact"/>
        </w:trPr>
        <w:tc>
          <w:tcPr>
            <w:tcW w:w="6961" w:type="dxa"/>
          </w:tcPr>
          <w:p>
            <w:pPr>
              <w:pStyle w:val="TableParagraph"/>
              <w:spacing w:before="19"/>
              <w:ind w:left="35"/>
              <w:rPr>
                <w:sz w:val="18"/>
              </w:rPr>
            </w:pPr>
            <w:r>
              <w:rPr>
                <w:sz w:val="18"/>
              </w:rPr>
              <w:t>3 to 6 months</w:t>
            </w:r>
          </w:p>
        </w:tc>
        <w:tc>
          <w:tcPr>
            <w:tcW w:w="1472" w:type="dxa"/>
          </w:tcPr>
          <w:p>
            <w:pPr>
              <w:pStyle w:val="TableParagraph"/>
              <w:spacing w:before="18"/>
              <w:ind w:right="258"/>
              <w:jc w:val="right"/>
              <w:rPr>
                <w:b/>
                <w:sz w:val="18"/>
              </w:rPr>
            </w:pPr>
            <w:r>
              <w:rPr>
                <w:b/>
                <w:w w:val="95"/>
                <w:sz w:val="18"/>
              </w:rPr>
              <w:t>12,554</w:t>
            </w:r>
          </w:p>
        </w:tc>
        <w:tc>
          <w:tcPr>
            <w:tcW w:w="1122" w:type="dxa"/>
          </w:tcPr>
          <w:p>
            <w:pPr>
              <w:pStyle w:val="TableParagraph"/>
              <w:spacing w:before="18"/>
              <w:ind w:right="84"/>
              <w:jc w:val="right"/>
              <w:rPr>
                <w:sz w:val="18"/>
              </w:rPr>
            </w:pPr>
            <w:r>
              <w:rPr>
                <w:w w:val="95"/>
                <w:sz w:val="18"/>
              </w:rPr>
              <w:t>7,339</w:t>
            </w:r>
          </w:p>
        </w:tc>
      </w:tr>
      <w:tr>
        <w:trPr>
          <w:trHeight w:val="262" w:hRule="exact"/>
        </w:trPr>
        <w:tc>
          <w:tcPr>
            <w:tcW w:w="6961" w:type="dxa"/>
          </w:tcPr>
          <w:p>
            <w:pPr>
              <w:pStyle w:val="TableParagraph"/>
              <w:spacing w:before="19"/>
              <w:ind w:left="35"/>
              <w:rPr>
                <w:sz w:val="18"/>
              </w:rPr>
            </w:pPr>
            <w:r>
              <w:rPr>
                <w:sz w:val="18"/>
              </w:rPr>
              <w:t>Over 6 months</w:t>
            </w:r>
          </w:p>
        </w:tc>
        <w:tc>
          <w:tcPr>
            <w:tcW w:w="1472" w:type="dxa"/>
            <w:tcBorders>
              <w:bottom w:val="single" w:sz="0" w:space="0" w:color="000000"/>
            </w:tcBorders>
          </w:tcPr>
          <w:p>
            <w:pPr>
              <w:pStyle w:val="TableParagraph"/>
              <w:spacing w:before="18"/>
              <w:ind w:right="259"/>
              <w:jc w:val="right"/>
              <w:rPr>
                <w:b/>
                <w:sz w:val="18"/>
              </w:rPr>
            </w:pPr>
            <w:r>
              <w:rPr>
                <w:b/>
                <w:w w:val="95"/>
                <w:sz w:val="18"/>
              </w:rPr>
              <w:t>8,456</w:t>
            </w:r>
          </w:p>
        </w:tc>
        <w:tc>
          <w:tcPr>
            <w:tcW w:w="1122" w:type="dxa"/>
            <w:tcBorders>
              <w:bottom w:val="single" w:sz="0" w:space="0" w:color="000000"/>
            </w:tcBorders>
          </w:tcPr>
          <w:p>
            <w:pPr>
              <w:pStyle w:val="TableParagraph"/>
              <w:spacing w:before="18"/>
              <w:ind w:right="83"/>
              <w:jc w:val="right"/>
              <w:rPr>
                <w:sz w:val="18"/>
              </w:rPr>
            </w:pPr>
            <w:r>
              <w:rPr>
                <w:w w:val="95"/>
                <w:sz w:val="18"/>
              </w:rPr>
              <w:t>45,831</w:t>
            </w:r>
          </w:p>
        </w:tc>
      </w:tr>
      <w:tr>
        <w:trPr>
          <w:trHeight w:val="338" w:hRule="exact"/>
        </w:trPr>
        <w:tc>
          <w:tcPr>
            <w:tcW w:w="6961" w:type="dxa"/>
          </w:tcPr>
          <w:p>
            <w:pPr>
              <w:pStyle w:val="TableParagraph"/>
              <w:spacing w:before="123"/>
              <w:ind w:left="35"/>
              <w:rPr>
                <w:b/>
                <w:sz w:val="18"/>
              </w:rPr>
            </w:pPr>
            <w:r>
              <w:rPr>
                <w:b/>
                <w:sz w:val="18"/>
              </w:rPr>
              <w:t>Total past due but not impaired</w:t>
            </w:r>
          </w:p>
        </w:tc>
        <w:tc>
          <w:tcPr>
            <w:tcW w:w="1472" w:type="dxa"/>
            <w:tcBorders>
              <w:top w:val="single" w:sz="0" w:space="0" w:color="000000"/>
              <w:bottom w:val="single" w:sz="0" w:space="0" w:color="000000"/>
            </w:tcBorders>
          </w:tcPr>
          <w:p>
            <w:pPr>
              <w:pStyle w:val="TableParagraph"/>
              <w:spacing w:before="122"/>
              <w:ind w:right="258"/>
              <w:jc w:val="right"/>
              <w:rPr>
                <w:b/>
                <w:sz w:val="18"/>
              </w:rPr>
            </w:pPr>
            <w:r>
              <w:rPr>
                <w:b/>
                <w:w w:val="95"/>
                <w:sz w:val="18"/>
              </w:rPr>
              <w:t>99,215</w:t>
            </w:r>
          </w:p>
        </w:tc>
        <w:tc>
          <w:tcPr>
            <w:tcW w:w="1122" w:type="dxa"/>
            <w:tcBorders>
              <w:top w:val="single" w:sz="0" w:space="0" w:color="000000"/>
              <w:bottom w:val="single" w:sz="0" w:space="0" w:color="000000"/>
            </w:tcBorders>
          </w:tcPr>
          <w:p>
            <w:pPr>
              <w:pStyle w:val="TableParagraph"/>
              <w:spacing w:before="122"/>
              <w:ind w:right="83"/>
              <w:jc w:val="right"/>
              <w:rPr>
                <w:sz w:val="18"/>
              </w:rPr>
            </w:pPr>
            <w:r>
              <w:rPr>
                <w:w w:val="95"/>
                <w:sz w:val="18"/>
              </w:rPr>
              <w:t>75,172</w:t>
            </w:r>
          </w:p>
        </w:tc>
      </w:tr>
    </w:tbl>
    <w:p>
      <w:pPr>
        <w:pStyle w:val="BodyText"/>
        <w:spacing w:before="3"/>
        <w:rPr>
          <w:sz w:val="19"/>
        </w:rPr>
      </w:pPr>
    </w:p>
    <w:p>
      <w:pPr>
        <w:pStyle w:val="BodyText"/>
        <w:spacing w:before="77"/>
        <w:ind w:left="545" w:right="169"/>
      </w:pPr>
      <w:r>
        <w:rPr/>
        <w:t>The other amounts within receivables do not contain impaired assets and are not past due. Based on the credit history, it is expected that these amounts will be received when due.</w:t>
      </w:r>
    </w:p>
    <w:p>
      <w:pPr>
        <w:pStyle w:val="BodyText"/>
        <w:spacing w:before="7"/>
        <w:rPr>
          <w:sz w:val="26"/>
        </w:rPr>
      </w:pPr>
    </w:p>
    <w:p>
      <w:pPr>
        <w:pStyle w:val="Heading9"/>
        <w:ind w:left="149" w:right="19"/>
      </w:pPr>
      <w:r>
        <w:rPr/>
        <w:t>(a)   Fair value and credit risk</w:t>
      </w:r>
    </w:p>
    <w:p>
      <w:pPr>
        <w:pStyle w:val="BodyText"/>
        <w:spacing w:before="4"/>
        <w:rPr>
          <w:b/>
          <w:sz w:val="25"/>
        </w:rPr>
      </w:pPr>
    </w:p>
    <w:p>
      <w:pPr>
        <w:pStyle w:val="BodyText"/>
        <w:ind w:left="545" w:right="19"/>
      </w:pPr>
      <w:r>
        <w:rPr/>
        <w:t>Due to the short term nature of these receivables, their carrying amount is assumed to approximate their fair value.</w:t>
      </w:r>
    </w:p>
    <w:p>
      <w:pPr>
        <w:pStyle w:val="BodyText"/>
        <w:rPr>
          <w:sz w:val="25"/>
        </w:rPr>
      </w:pPr>
    </w:p>
    <w:p>
      <w:pPr>
        <w:pStyle w:val="BodyText"/>
        <w:ind w:left="545" w:right="169"/>
      </w:pPr>
      <w:r>
        <w:rPr/>
        <w:t>The maximum exposure to credit risk at the end of each reporting period is the carrying amount of each class of receivables mentioned above. Refer to note 2 for more information on the risk management policy of the Company and the credit quality of the entity's trade receivables.</w:t>
      </w:r>
    </w:p>
    <w:p>
      <w:pPr>
        <w:spacing w:after="0"/>
        <w:sectPr>
          <w:pgSz w:w="11910" w:h="16840"/>
          <w:pgMar w:header="1038" w:footer="460" w:top="1460" w:bottom="700" w:left="860" w:right="860"/>
        </w:sectPr>
      </w:pPr>
    </w:p>
    <w:p>
      <w:pPr>
        <w:pStyle w:val="BodyText"/>
        <w:spacing w:before="8"/>
      </w:pPr>
    </w:p>
    <w:p>
      <w:pPr>
        <w:spacing w:after="0"/>
        <w:sectPr>
          <w:headerReference w:type="default" r:id="rId84"/>
          <w:pgSz w:w="11910" w:h="16840"/>
          <w:pgMar w:header="1038" w:footer="460" w:top="2440" w:bottom="700" w:left="900" w:right="860"/>
        </w:sectPr>
      </w:pPr>
    </w:p>
    <w:p>
      <w:pPr>
        <w:pStyle w:val="Heading9"/>
        <w:numPr>
          <w:ilvl w:val="0"/>
          <w:numId w:val="66"/>
        </w:numPr>
        <w:tabs>
          <w:tab w:pos="506" w:val="left" w:leader="none"/>
        </w:tabs>
        <w:spacing w:line="240" w:lineRule="auto" w:before="77" w:after="0"/>
        <w:ind w:left="505" w:right="0" w:hanging="396"/>
        <w:jc w:val="left"/>
      </w:pPr>
      <w:r>
        <w:rPr/>
        <w:t>Inventories</w:t>
      </w:r>
    </w:p>
    <w:p>
      <w:pPr>
        <w:pStyle w:val="BodyText"/>
        <w:rPr>
          <w:b/>
        </w:rPr>
      </w:pPr>
    </w:p>
    <w:p>
      <w:pPr>
        <w:pStyle w:val="BodyText"/>
        <w:rPr>
          <w:b/>
        </w:rPr>
      </w:pPr>
    </w:p>
    <w:p>
      <w:pPr>
        <w:pStyle w:val="BodyText"/>
        <w:spacing w:before="3"/>
        <w:rPr>
          <w:b/>
          <w:sz w:val="21"/>
        </w:rPr>
      </w:pPr>
    </w:p>
    <w:p>
      <w:pPr>
        <w:spacing w:before="1"/>
        <w:ind w:left="503" w:right="-18" w:firstLine="0"/>
        <w:jc w:val="left"/>
        <w:rPr>
          <w:b/>
          <w:sz w:val="18"/>
        </w:rPr>
      </w:pPr>
      <w:r>
        <w:rPr>
          <w:b/>
          <w:sz w:val="18"/>
        </w:rPr>
        <w:t>Finished goods</w:t>
      </w:r>
    </w:p>
    <w:p>
      <w:pPr>
        <w:pStyle w:val="BodyText"/>
        <w:rPr>
          <w:b/>
        </w:rPr>
      </w:pPr>
      <w:r>
        <w:rPr/>
        <w:br w:type="column"/>
      </w:r>
      <w:r>
        <w:rPr>
          <w:b/>
        </w:rPr>
      </w:r>
    </w:p>
    <w:p>
      <w:pPr>
        <w:spacing w:before="110"/>
        <w:ind w:left="109" w:right="0" w:firstLine="0"/>
        <w:jc w:val="center"/>
        <w:rPr>
          <w:b/>
          <w:sz w:val="18"/>
        </w:rPr>
      </w:pPr>
      <w:r>
        <w:rPr>
          <w:b/>
          <w:sz w:val="18"/>
        </w:rPr>
        <w:t>2017</w:t>
      </w:r>
    </w:p>
    <w:p>
      <w:pPr>
        <w:spacing w:before="66"/>
        <w:ind w:left="108" w:right="0" w:firstLine="0"/>
        <w:jc w:val="center"/>
        <w:rPr>
          <w:b/>
          <w:sz w:val="18"/>
        </w:rPr>
      </w:pPr>
      <w:r>
        <w:rPr>
          <w:b/>
          <w:w w:val="99"/>
          <w:sz w:val="18"/>
        </w:rPr>
        <w:t>$</w:t>
      </w:r>
    </w:p>
    <w:p>
      <w:pPr>
        <w:pStyle w:val="BodyText"/>
        <w:rPr>
          <w:b/>
        </w:rPr>
      </w:pPr>
      <w:r>
        <w:rPr/>
        <w:br w:type="column"/>
      </w:r>
      <w:r>
        <w:rPr>
          <w:b/>
        </w:rPr>
      </w:r>
    </w:p>
    <w:p>
      <w:pPr>
        <w:spacing w:before="110"/>
        <w:ind w:left="93" w:right="563" w:firstLine="0"/>
        <w:jc w:val="center"/>
        <w:rPr>
          <w:b/>
          <w:sz w:val="18"/>
        </w:rPr>
      </w:pPr>
      <w:r>
        <w:rPr>
          <w:b/>
          <w:sz w:val="18"/>
        </w:rPr>
        <w:t>2016</w:t>
      </w:r>
    </w:p>
    <w:p>
      <w:pPr>
        <w:spacing w:before="66"/>
        <w:ind w:left="0" w:right="471" w:firstLine="0"/>
        <w:jc w:val="center"/>
        <w:rPr>
          <w:b/>
          <w:sz w:val="18"/>
        </w:rPr>
      </w:pPr>
      <w:r>
        <w:rPr>
          <w:b/>
          <w:w w:val="99"/>
          <w:sz w:val="18"/>
        </w:rPr>
        <w:t>$</w:t>
      </w:r>
    </w:p>
    <w:p>
      <w:pPr>
        <w:spacing w:after="0"/>
        <w:jc w:val="center"/>
        <w:rPr>
          <w:sz w:val="18"/>
        </w:rPr>
        <w:sectPr>
          <w:type w:val="continuous"/>
          <w:pgSz w:w="11910" w:h="16840"/>
          <w:pgMar w:top="1580" w:bottom="280" w:left="900" w:right="860"/>
          <w:cols w:num="3" w:equalWidth="0">
            <w:col w:w="1835" w:space="5934"/>
            <w:col w:w="510" w:space="774"/>
            <w:col w:w="1097"/>
          </w:cols>
        </w:sectPr>
      </w:pPr>
    </w:p>
    <w:p>
      <w:pPr>
        <w:pStyle w:val="BodyText"/>
        <w:tabs>
          <w:tab w:pos="8089" w:val="left" w:leader="none"/>
          <w:tab w:pos="9387" w:val="left" w:leader="none"/>
        </w:tabs>
        <w:spacing w:before="28"/>
        <w:ind w:left="504" w:right="161"/>
      </w:pPr>
      <w:r>
        <w:rPr/>
        <w:pict>
          <v:group style="position:absolute;margin-left:416.410004pt;margin-top:13.089185pt;width:129.85pt;height:1pt;mso-position-horizontal-relative:page;mso-position-vertical-relative:paragraph;z-index:3352;mso-wrap-distance-left:0;mso-wrap-distance-right:0" coordorigin="8328,262" coordsize="2597,20">
            <v:line style="position:absolute" from="8329,263" to="9626,263" stroked="true" strokeweight=".06pt" strokecolor="#000000"/>
            <v:line style="position:absolute" from="8329,264" to="9626,264" stroked="true" strokeweight=".06pt" strokecolor="#000000"/>
            <v:line style="position:absolute" from="8329,265" to="9626,265" stroked="true" strokeweight=".06pt" strokecolor="#000000"/>
            <v:line style="position:absolute" from="8329,266" to="9626,266" stroked="true" strokeweight=".06pt" strokecolor="#000000"/>
            <v:line style="position:absolute" from="8329,268" to="9626,268" stroked="true" strokeweight=".06pt" strokecolor="#000000"/>
            <v:line style="position:absolute" from="8329,269" to="9626,269" stroked="true" strokeweight=".06pt" strokecolor="#000000"/>
            <v:line style="position:absolute" from="8329,270" to="9626,270" stroked="true" strokeweight=".06pt" strokecolor="#000000"/>
            <v:line style="position:absolute" from="8329,271" to="9626,271" stroked="true" strokeweight=".06pt" strokecolor="#000000"/>
            <v:line style="position:absolute" from="8329,272" to="9626,272" stroked="true" strokeweight=".06pt" strokecolor="#000000"/>
            <v:line style="position:absolute" from="8329,274" to="9626,274" stroked="true" strokeweight=".06pt" strokecolor="#000000"/>
            <v:line style="position:absolute" from="8329,275" to="9626,275" stroked="true" strokeweight=".06pt" strokecolor="#000000"/>
            <v:line style="position:absolute" from="8329,276" to="9626,276" stroked="true" strokeweight=".06pt" strokecolor="#000000"/>
            <v:line style="position:absolute" from="8329,277" to="9626,277" stroked="true" strokeweight=".06pt" strokecolor="#000000"/>
            <v:line style="position:absolute" from="8329,278" to="9626,278" stroked="true" strokeweight=".06pt" strokecolor="#000000"/>
            <v:line style="position:absolute" from="8329,280" to="9626,280" stroked="true" strokeweight=".06pt" strokecolor="#000000"/>
            <v:line style="position:absolute" from="8329,281" to="9626,281" stroked="true" strokeweight=".06pt" strokecolor="#000000"/>
            <v:line style="position:absolute" from="9626,263" to="10924,263" stroked="true" strokeweight=".06pt" strokecolor="#000000"/>
            <v:line style="position:absolute" from="9626,264" to="10924,264" stroked="true" strokeweight=".06pt" strokecolor="#000000"/>
            <v:line style="position:absolute" from="9626,265" to="10924,265" stroked="true" strokeweight=".06pt" strokecolor="#000000"/>
            <v:line style="position:absolute" from="9626,266" to="10924,266" stroked="true" strokeweight=".06pt" strokecolor="#000000"/>
            <v:line style="position:absolute" from="9626,268" to="10924,268" stroked="true" strokeweight=".06pt" strokecolor="#000000"/>
            <v:line style="position:absolute" from="9626,269" to="10924,269" stroked="true" strokeweight=".06pt" strokecolor="#000000"/>
            <v:line style="position:absolute" from="9626,270" to="10924,270" stroked="true" strokeweight=".06pt" strokecolor="#000000"/>
            <v:line style="position:absolute" from="9626,271" to="10924,271" stroked="true" strokeweight=".06pt" strokecolor="#000000"/>
            <v:line style="position:absolute" from="9626,272" to="10924,272" stroked="true" strokeweight=".06pt" strokecolor="#000000"/>
            <v:line style="position:absolute" from="9626,274" to="10924,274" stroked="true" strokeweight=".06pt" strokecolor="#000000"/>
            <v:line style="position:absolute" from="9626,275" to="10924,275" stroked="true" strokeweight=".06pt" strokecolor="#000000"/>
            <v:line style="position:absolute" from="9626,276" to="10924,276" stroked="true" strokeweight=".06pt" strokecolor="#000000"/>
            <v:line style="position:absolute" from="9626,277" to="10924,277" stroked="true" strokeweight=".06pt" strokecolor="#000000"/>
            <v:line style="position:absolute" from="9626,278" to="10924,278" stroked="true" strokeweight=".06pt" strokecolor="#000000"/>
            <v:line style="position:absolute" from="9626,280" to="10924,280" stroked="true" strokeweight=".06pt" strokecolor="#000000"/>
            <v:line style="position:absolute" from="9626,281" to="10924,281" stroked="true" strokeweight=".06pt" strokecolor="#000000"/>
            <w10:wrap type="topAndBottom"/>
          </v:group>
        </w:pict>
      </w:r>
      <w:r>
        <w:rPr/>
        <w:t>At net</w:t>
      </w:r>
      <w:r>
        <w:rPr>
          <w:spacing w:val="-1"/>
        </w:rPr>
        <w:t> </w:t>
      </w:r>
      <w:r>
        <w:rPr/>
        <w:t>realisable</w:t>
      </w:r>
      <w:r>
        <w:rPr>
          <w:spacing w:val="-1"/>
        </w:rPr>
        <w:t> </w:t>
      </w:r>
      <w:r>
        <w:rPr/>
        <w:t>value</w:t>
        <w:tab/>
      </w:r>
      <w:r>
        <w:rPr>
          <w:b/>
        </w:rPr>
        <w:t>58,060</w:t>
        <w:tab/>
      </w:r>
      <w:r>
        <w:rPr/>
        <w:t>14,753</w:t>
      </w:r>
    </w:p>
    <w:p>
      <w:pPr>
        <w:tabs>
          <w:tab w:pos="1298" w:val="left" w:leader="none"/>
        </w:tabs>
        <w:spacing w:before="84"/>
        <w:ind w:left="0" w:right="204" w:firstLine="0"/>
        <w:jc w:val="right"/>
        <w:rPr>
          <w:sz w:val="18"/>
        </w:rPr>
      </w:pPr>
      <w:r>
        <w:rPr>
          <w:b/>
          <w:sz w:val="18"/>
        </w:rPr>
        <w:t>58,060</w:t>
        <w:tab/>
      </w:r>
      <w:r>
        <w:rPr>
          <w:w w:val="95"/>
          <w:sz w:val="18"/>
        </w:rPr>
        <w:t>14,753</w:t>
      </w:r>
    </w:p>
    <w:p>
      <w:pPr>
        <w:pStyle w:val="BodyText"/>
        <w:spacing w:line="50" w:lineRule="exact"/>
        <w:ind w:left="7428"/>
        <w:rPr>
          <w:sz w:val="4"/>
        </w:rPr>
      </w:pPr>
      <w:r>
        <w:rPr>
          <w:position w:val="0"/>
          <w:sz w:val="4"/>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4"/>
        </w:rPr>
      </w:r>
    </w:p>
    <w:p>
      <w:pPr>
        <w:pStyle w:val="BodyText"/>
        <w:spacing w:before="10"/>
        <w:rPr>
          <w:sz w:val="19"/>
        </w:rPr>
      </w:pPr>
    </w:p>
    <w:p>
      <w:pPr>
        <w:pStyle w:val="Heading9"/>
        <w:spacing w:before="77"/>
        <w:ind w:left="504" w:right="161"/>
      </w:pPr>
      <w:r>
        <w:rPr/>
        <w:t>Provision for impairment</w:t>
      </w:r>
    </w:p>
    <w:p>
      <w:pPr>
        <w:pStyle w:val="BodyText"/>
        <w:spacing w:before="4"/>
        <w:rPr>
          <w:b/>
          <w:sz w:val="25"/>
        </w:rPr>
      </w:pPr>
    </w:p>
    <w:p>
      <w:pPr>
        <w:pStyle w:val="BodyText"/>
        <w:ind w:left="505" w:right="559"/>
      </w:pPr>
      <w:r>
        <w:rPr/>
        <w:t>Provision for impairment of inventories to net realisable value recognised as an expense during the year ended 31 December 2017 amounted to $Nil  (2016: $Nil).</w:t>
      </w:r>
    </w:p>
    <w:p>
      <w:pPr>
        <w:pStyle w:val="BodyText"/>
        <w:spacing w:before="3"/>
      </w:pPr>
    </w:p>
    <w:p>
      <w:pPr>
        <w:spacing w:after="0"/>
        <w:sectPr>
          <w:type w:val="continuous"/>
          <w:pgSz w:w="11910" w:h="16840"/>
          <w:pgMar w:top="1580" w:bottom="280" w:left="900" w:right="860"/>
        </w:sectPr>
      </w:pPr>
    </w:p>
    <w:p>
      <w:pPr>
        <w:pStyle w:val="Heading9"/>
        <w:spacing w:before="77"/>
        <w:ind w:left="504" w:right="-20"/>
      </w:pPr>
      <w:r>
        <w:rPr/>
        <w:t>Movement in the allowance for impairment</w:t>
      </w:r>
    </w:p>
    <w:p>
      <w:pPr>
        <w:pStyle w:val="BodyText"/>
        <w:rPr>
          <w:b/>
        </w:rPr>
      </w:pPr>
      <w:r>
        <w:rPr/>
        <w:br w:type="column"/>
      </w:r>
      <w:r>
        <w:rPr>
          <w:b/>
        </w:rPr>
      </w:r>
    </w:p>
    <w:p>
      <w:pPr>
        <w:spacing w:before="140"/>
        <w:ind w:left="503" w:right="0" w:firstLine="0"/>
        <w:jc w:val="center"/>
        <w:rPr>
          <w:b/>
          <w:sz w:val="18"/>
        </w:rPr>
      </w:pPr>
      <w:r>
        <w:rPr>
          <w:b/>
          <w:sz w:val="18"/>
        </w:rPr>
        <w:t>2017</w:t>
      </w:r>
    </w:p>
    <w:p>
      <w:pPr>
        <w:spacing w:before="66"/>
        <w:ind w:left="0" w:right="148" w:firstLine="0"/>
        <w:jc w:val="right"/>
        <w:rPr>
          <w:b/>
          <w:sz w:val="18"/>
        </w:rPr>
      </w:pPr>
      <w:r>
        <w:rPr>
          <w:b/>
          <w:w w:val="99"/>
          <w:sz w:val="18"/>
        </w:rPr>
        <w:t>$</w:t>
      </w:r>
    </w:p>
    <w:p>
      <w:pPr>
        <w:pStyle w:val="BodyText"/>
        <w:rPr>
          <w:b/>
        </w:rPr>
      </w:pPr>
      <w:r>
        <w:rPr/>
        <w:br w:type="column"/>
      </w:r>
      <w:r>
        <w:rPr>
          <w:b/>
        </w:rPr>
      </w:r>
    </w:p>
    <w:p>
      <w:pPr>
        <w:spacing w:before="140"/>
        <w:ind w:left="300" w:right="374" w:firstLine="0"/>
        <w:jc w:val="center"/>
        <w:rPr>
          <w:b/>
          <w:sz w:val="18"/>
        </w:rPr>
      </w:pPr>
      <w:r>
        <w:rPr>
          <w:b/>
          <w:sz w:val="18"/>
        </w:rPr>
        <w:t>2016</w:t>
      </w:r>
    </w:p>
    <w:p>
      <w:pPr>
        <w:spacing w:before="66"/>
        <w:ind w:left="0" w:right="75" w:firstLine="0"/>
        <w:jc w:val="center"/>
        <w:rPr>
          <w:b/>
          <w:sz w:val="18"/>
        </w:rPr>
      </w:pPr>
      <w:r>
        <w:rPr>
          <w:b/>
          <w:w w:val="99"/>
          <w:sz w:val="18"/>
        </w:rPr>
        <w:t>$</w:t>
      </w:r>
    </w:p>
    <w:p>
      <w:pPr>
        <w:spacing w:after="0"/>
        <w:jc w:val="center"/>
        <w:rPr>
          <w:sz w:val="18"/>
        </w:rPr>
        <w:sectPr>
          <w:type w:val="continuous"/>
          <w:pgSz w:w="11910" w:h="16840"/>
          <w:pgMar w:top="1580" w:bottom="280" w:left="900" w:right="860"/>
          <w:cols w:num="3" w:equalWidth="0">
            <w:col w:w="4145" w:space="3217"/>
            <w:col w:w="905" w:space="392"/>
            <w:col w:w="1491"/>
          </w:cols>
        </w:sectPr>
      </w:pPr>
    </w:p>
    <w:p>
      <w:pPr>
        <w:pStyle w:val="BodyText"/>
        <w:tabs>
          <w:tab w:pos="8438" w:val="left" w:leader="none"/>
          <w:tab w:pos="9388" w:val="left" w:leader="none"/>
        </w:tabs>
        <w:spacing w:before="93"/>
        <w:ind w:left="504" w:right="161"/>
      </w:pPr>
      <w:r>
        <w:rPr/>
        <w:t>At</w:t>
      </w:r>
      <w:r>
        <w:rPr>
          <w:spacing w:val="-1"/>
        </w:rPr>
        <w:t> </w:t>
      </w:r>
      <w:r>
        <w:rPr/>
        <w:t>1</w:t>
      </w:r>
      <w:r>
        <w:rPr>
          <w:spacing w:val="-1"/>
        </w:rPr>
        <w:t> </w:t>
      </w:r>
      <w:r>
        <w:rPr/>
        <w:t>January</w:t>
        <w:tab/>
      </w:r>
      <w:r>
        <w:rPr>
          <w:b/>
        </w:rPr>
        <w:t>-</w:t>
        <w:tab/>
      </w:r>
      <w:r>
        <w:rPr/>
        <w:t>66,000</w:t>
      </w:r>
    </w:p>
    <w:p>
      <w:pPr>
        <w:pStyle w:val="BodyText"/>
        <w:tabs>
          <w:tab w:pos="8438" w:val="left" w:leader="none"/>
          <w:tab w:pos="9328" w:val="left" w:leader="none"/>
        </w:tabs>
        <w:spacing w:before="57"/>
        <w:ind w:left="504" w:right="94"/>
      </w:pPr>
      <w:r>
        <w:rPr/>
        <w:pict>
          <v:group style="position:absolute;margin-left:416.470001pt;margin-top:14.482201pt;width:129.85pt;height:1pt;mso-position-horizontal-relative:page;mso-position-vertical-relative:paragraph;z-index:3400;mso-wrap-distance-left:0;mso-wrap-distance-right:0" coordorigin="8329,290" coordsize="2597,20">
            <v:line style="position:absolute" from="8330,291" to="9628,291" stroked="true" strokeweight=".06pt" strokecolor="#000000"/>
            <v:line style="position:absolute" from="8330,292" to="9628,292" stroked="true" strokeweight=".06pt" strokecolor="#000000"/>
            <v:line style="position:absolute" from="8330,293" to="9628,293" stroked="true" strokeweight=".06pt" strokecolor="#000000"/>
            <v:line style="position:absolute" from="8330,294" to="9628,294" stroked="true" strokeweight=".06pt" strokecolor="#000000"/>
            <v:line style="position:absolute" from="8330,295" to="9628,295" stroked="true" strokeweight=".06pt" strokecolor="#000000"/>
            <v:line style="position:absolute" from="8330,297" to="9628,297" stroked="true" strokeweight=".06pt" strokecolor="#000000"/>
            <v:line style="position:absolute" from="8330,298" to="9628,298" stroked="true" strokeweight=".06pt" strokecolor="#000000"/>
            <v:line style="position:absolute" from="8330,299" to="9628,299" stroked="true" strokeweight=".06pt" strokecolor="#000000"/>
            <v:line style="position:absolute" from="8330,300" to="9628,300" stroked="true" strokeweight=".06pt" strokecolor="#000000"/>
            <v:line style="position:absolute" from="8330,301" to="9628,301" stroked="true" strokeweight=".06pt" strokecolor="#000000"/>
            <v:line style="position:absolute" from="8330,303" to="9628,303" stroked="true" strokeweight=".06pt" strokecolor="#000000"/>
            <v:line style="position:absolute" from="8330,304" to="9628,304" stroked="true" strokeweight=".06pt" strokecolor="#000000"/>
            <v:line style="position:absolute" from="8330,305" to="9628,305" stroked="true" strokeweight=".06pt" strokecolor="#000000"/>
            <v:line style="position:absolute" from="8330,306" to="9628,306" stroked="true" strokeweight=".06pt" strokecolor="#000000"/>
            <v:line style="position:absolute" from="8330,307" to="9628,307" stroked="true" strokeweight=".06pt" strokecolor="#000000"/>
            <v:line style="position:absolute" from="8330,309" to="9628,309" stroked="true" strokeweight=".06pt" strokecolor="#000000"/>
            <v:line style="position:absolute" from="9628,291" to="10925,291" stroked="true" strokeweight=".06pt" strokecolor="#000000"/>
            <v:line style="position:absolute" from="9628,292" to="10925,292" stroked="true" strokeweight=".06pt" strokecolor="#000000"/>
            <v:line style="position:absolute" from="9628,293" to="10925,293" stroked="true" strokeweight=".06pt" strokecolor="#000000"/>
            <v:line style="position:absolute" from="9628,294" to="10925,294" stroked="true" strokeweight=".06pt" strokecolor="#000000"/>
            <v:line style="position:absolute" from="9628,295" to="10925,295" stroked="true" strokeweight=".06pt" strokecolor="#000000"/>
            <v:line style="position:absolute" from="9628,297" to="10925,297" stroked="true" strokeweight=".06pt" strokecolor="#000000"/>
            <v:line style="position:absolute" from="9628,298" to="10925,298" stroked="true" strokeweight=".06pt" strokecolor="#000000"/>
            <v:line style="position:absolute" from="9628,299" to="10925,299" stroked="true" strokeweight=".06pt" strokecolor="#000000"/>
            <v:line style="position:absolute" from="9628,300" to="10925,300" stroked="true" strokeweight=".06pt" strokecolor="#000000"/>
            <v:line style="position:absolute" from="9628,301" to="10925,301" stroked="true" strokeweight=".06pt" strokecolor="#000000"/>
            <v:line style="position:absolute" from="9628,303" to="10925,303" stroked="true" strokeweight=".06pt" strokecolor="#000000"/>
            <v:line style="position:absolute" from="9628,304" to="10925,304" stroked="true" strokeweight=".06pt" strokecolor="#000000"/>
            <v:line style="position:absolute" from="9628,305" to="10925,305" stroked="true" strokeweight=".06pt" strokecolor="#000000"/>
            <v:line style="position:absolute" from="9628,306" to="10925,306" stroked="true" strokeweight=".06pt" strokecolor="#000000"/>
            <v:line style="position:absolute" from="9628,307" to="10925,307" stroked="true" strokeweight=".06pt" strokecolor="#000000"/>
            <v:line style="position:absolute" from="9628,309" to="10925,309" stroked="true" strokeweight=".06pt" strokecolor="#000000"/>
            <w10:wrap type="topAndBottom"/>
          </v:group>
        </w:pict>
      </w:r>
      <w:r>
        <w:rPr/>
        <w:t>Provision used during</w:t>
      </w:r>
      <w:r>
        <w:rPr>
          <w:spacing w:val="-1"/>
        </w:rPr>
        <w:t> </w:t>
      </w:r>
      <w:r>
        <w:rPr/>
        <w:t>the</w:t>
      </w:r>
      <w:r>
        <w:rPr>
          <w:spacing w:val="-1"/>
        </w:rPr>
        <w:t> </w:t>
      </w:r>
      <w:r>
        <w:rPr/>
        <w:t>year</w:t>
        <w:tab/>
      </w:r>
      <w:r>
        <w:rPr>
          <w:b/>
        </w:rPr>
        <w:t>-</w:t>
        <w:tab/>
      </w:r>
      <w:r>
        <w:rPr/>
        <w:t>(66,000)</w:t>
      </w:r>
    </w:p>
    <w:p>
      <w:pPr>
        <w:pStyle w:val="Heading9"/>
        <w:tabs>
          <w:tab w:pos="8438" w:val="left" w:leader="none"/>
          <w:tab w:pos="9735" w:val="left" w:leader="none"/>
        </w:tabs>
        <w:spacing w:before="84"/>
        <w:ind w:left="504" w:right="161"/>
        <w:rPr>
          <w:b w:val="0"/>
        </w:rPr>
      </w:pPr>
      <w:r>
        <w:rPr/>
        <w:t>At</w:t>
      </w:r>
      <w:r>
        <w:rPr>
          <w:spacing w:val="-1"/>
        </w:rPr>
        <w:t> </w:t>
      </w:r>
      <w:r>
        <w:rPr/>
        <w:t>31</w:t>
      </w:r>
      <w:r>
        <w:rPr>
          <w:spacing w:val="-1"/>
        </w:rPr>
        <w:t> </w:t>
      </w:r>
      <w:r>
        <w:rPr/>
        <w:t>December</w:t>
        <w:tab/>
        <w:t>-</w:t>
        <w:tab/>
      </w:r>
      <w:r>
        <w:rPr>
          <w:b w:val="0"/>
        </w:rPr>
        <w:t>-</w:t>
      </w:r>
    </w:p>
    <w:p>
      <w:pPr>
        <w:pStyle w:val="BodyText"/>
        <w:spacing w:line="50" w:lineRule="exact"/>
        <w:ind w:left="7429"/>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spacing w:before="2"/>
      </w:pPr>
    </w:p>
    <w:p>
      <w:pPr>
        <w:spacing w:after="0"/>
        <w:sectPr>
          <w:type w:val="continuous"/>
          <w:pgSz w:w="11910" w:h="16840"/>
          <w:pgMar w:top="1580" w:bottom="280" w:left="900" w:right="860"/>
        </w:sectPr>
      </w:pPr>
    </w:p>
    <w:p>
      <w:pPr>
        <w:pStyle w:val="ListParagraph"/>
        <w:numPr>
          <w:ilvl w:val="0"/>
          <w:numId w:val="66"/>
        </w:numPr>
        <w:tabs>
          <w:tab w:pos="504" w:val="left" w:leader="none"/>
        </w:tabs>
        <w:spacing w:line="240" w:lineRule="auto" w:before="77" w:after="0"/>
        <w:ind w:left="503" w:right="0" w:hanging="394"/>
        <w:jc w:val="left"/>
        <w:rPr>
          <w:b/>
          <w:sz w:val="18"/>
        </w:rPr>
      </w:pPr>
      <w:r>
        <w:rPr>
          <w:b/>
          <w:sz w:val="18"/>
        </w:rPr>
        <w:t>Disposal group classified as held for</w:t>
      </w:r>
      <w:r>
        <w:rPr>
          <w:b/>
          <w:spacing w:val="-1"/>
          <w:sz w:val="18"/>
        </w:rPr>
        <w:t> </w:t>
      </w:r>
      <w:r>
        <w:rPr>
          <w:b/>
          <w:sz w:val="18"/>
        </w:rPr>
        <w:t>sale</w:t>
      </w:r>
    </w:p>
    <w:p>
      <w:pPr>
        <w:pStyle w:val="BodyText"/>
        <w:rPr>
          <w:b/>
        </w:rPr>
      </w:pPr>
    </w:p>
    <w:p>
      <w:pPr>
        <w:pStyle w:val="BodyText"/>
        <w:rPr>
          <w:b/>
        </w:rPr>
      </w:pPr>
    </w:p>
    <w:p>
      <w:pPr>
        <w:pStyle w:val="BodyText"/>
        <w:spacing w:before="10"/>
        <w:rPr>
          <w:b/>
          <w:sz w:val="23"/>
        </w:rPr>
      </w:pPr>
    </w:p>
    <w:p>
      <w:pPr>
        <w:spacing w:before="1"/>
        <w:ind w:left="504" w:right="0" w:firstLine="0"/>
        <w:jc w:val="left"/>
        <w:rPr>
          <w:b/>
          <w:sz w:val="18"/>
        </w:rPr>
      </w:pPr>
      <w:r>
        <w:rPr>
          <w:b/>
          <w:sz w:val="18"/>
        </w:rPr>
        <w:t>Current</w:t>
      </w:r>
    </w:p>
    <w:p>
      <w:pPr>
        <w:pStyle w:val="BodyText"/>
        <w:rPr>
          <w:b/>
        </w:rPr>
      </w:pPr>
      <w:r>
        <w:rPr/>
        <w:br w:type="column"/>
      </w:r>
      <w:r>
        <w:rPr>
          <w:b/>
        </w:rPr>
      </w:r>
    </w:p>
    <w:p>
      <w:pPr>
        <w:spacing w:before="140"/>
        <w:ind w:left="109" w:right="0" w:firstLine="0"/>
        <w:jc w:val="center"/>
        <w:rPr>
          <w:b/>
          <w:sz w:val="18"/>
        </w:rPr>
      </w:pPr>
      <w:r>
        <w:rPr>
          <w:b/>
          <w:sz w:val="18"/>
        </w:rPr>
        <w:t>2017</w:t>
      </w:r>
    </w:p>
    <w:p>
      <w:pPr>
        <w:spacing w:before="66"/>
        <w:ind w:left="108" w:right="0" w:firstLine="0"/>
        <w:jc w:val="center"/>
        <w:rPr>
          <w:b/>
          <w:sz w:val="18"/>
        </w:rPr>
      </w:pPr>
      <w:r>
        <w:rPr>
          <w:b/>
          <w:w w:val="99"/>
          <w:sz w:val="18"/>
        </w:rPr>
        <w:t>$</w:t>
      </w:r>
    </w:p>
    <w:p>
      <w:pPr>
        <w:pStyle w:val="BodyText"/>
        <w:rPr>
          <w:b/>
        </w:rPr>
      </w:pPr>
      <w:r>
        <w:rPr/>
        <w:br w:type="column"/>
      </w:r>
      <w:r>
        <w:rPr>
          <w:b/>
        </w:rPr>
      </w:r>
    </w:p>
    <w:p>
      <w:pPr>
        <w:spacing w:before="140"/>
        <w:ind w:left="93" w:right="549" w:firstLine="0"/>
        <w:jc w:val="center"/>
        <w:rPr>
          <w:b/>
          <w:sz w:val="18"/>
        </w:rPr>
      </w:pPr>
      <w:r>
        <w:rPr>
          <w:b/>
          <w:sz w:val="18"/>
        </w:rPr>
        <w:t>2016</w:t>
      </w:r>
    </w:p>
    <w:p>
      <w:pPr>
        <w:spacing w:before="66"/>
        <w:ind w:left="0" w:right="456" w:firstLine="0"/>
        <w:jc w:val="center"/>
        <w:rPr>
          <w:b/>
          <w:sz w:val="18"/>
        </w:rPr>
      </w:pPr>
      <w:r>
        <w:rPr>
          <w:b/>
          <w:w w:val="99"/>
          <w:sz w:val="18"/>
        </w:rPr>
        <w:t>$</w:t>
      </w:r>
    </w:p>
    <w:p>
      <w:pPr>
        <w:spacing w:after="0"/>
        <w:jc w:val="center"/>
        <w:rPr>
          <w:sz w:val="18"/>
        </w:rPr>
        <w:sectPr>
          <w:type w:val="continuous"/>
          <w:pgSz w:w="11910" w:h="16840"/>
          <w:pgMar w:top="1580" w:bottom="280" w:left="900" w:right="860"/>
          <w:cols w:num="3" w:equalWidth="0">
            <w:col w:w="4046" w:space="3711"/>
            <w:col w:w="510" w:space="800"/>
            <w:col w:w="1083"/>
          </w:cols>
        </w:sectPr>
      </w:pPr>
    </w:p>
    <w:p>
      <w:pPr>
        <w:pStyle w:val="BodyText"/>
        <w:tabs>
          <w:tab w:pos="8438" w:val="left" w:leader="none"/>
          <w:tab w:pos="9287" w:val="left" w:leader="none"/>
        </w:tabs>
        <w:spacing w:before="29"/>
        <w:ind w:left="504" w:right="161"/>
      </w:pPr>
      <w:r>
        <w:rPr/>
        <w:pict>
          <v:group style="position:absolute;margin-left:416.470001pt;margin-top:13.082206pt;width:129.85pt;height:1pt;mso-position-horizontal-relative:page;mso-position-vertical-relative:paragraph;z-index:3448;mso-wrap-distance-left:0;mso-wrap-distance-right:0" coordorigin="8329,262" coordsize="2597,20">
            <v:line style="position:absolute" from="8330,263" to="9628,263" stroked="true" strokeweight=".06pt" strokecolor="#000000"/>
            <v:line style="position:absolute" from="8330,264" to="9628,264" stroked="true" strokeweight=".06pt" strokecolor="#000000"/>
            <v:line style="position:absolute" from="8330,265" to="9628,265" stroked="true" strokeweight=".06pt" strokecolor="#000000"/>
            <v:line style="position:absolute" from="8330,266" to="9628,266" stroked="true" strokeweight=".06pt" strokecolor="#000000"/>
            <v:line style="position:absolute" from="8330,267" to="9628,267" stroked="true" strokeweight=".06pt" strokecolor="#000000"/>
            <v:line style="position:absolute" from="8330,269" to="9628,269" stroked="true" strokeweight=".06pt" strokecolor="#000000"/>
            <v:line style="position:absolute" from="8330,270" to="9628,270" stroked="true" strokeweight=".06pt" strokecolor="#000000"/>
            <v:line style="position:absolute" from="8330,271" to="9628,271" stroked="true" strokeweight=".06pt" strokecolor="#000000"/>
            <v:line style="position:absolute" from="8330,272" to="9628,272" stroked="true" strokeweight=".06pt" strokecolor="#000000"/>
            <v:line style="position:absolute" from="8330,273" to="9628,273" stroked="true" strokeweight=".06pt" strokecolor="#000000"/>
            <v:line style="position:absolute" from="8330,275" to="9628,275" stroked="true" strokeweight=".06pt" strokecolor="#000000"/>
            <v:line style="position:absolute" from="8330,276" to="9628,276" stroked="true" strokeweight=".06pt" strokecolor="#000000"/>
            <v:line style="position:absolute" from="8330,277" to="9628,277" stroked="true" strokeweight=".06pt" strokecolor="#000000"/>
            <v:line style="position:absolute" from="8330,278" to="9628,278" stroked="true" strokeweight=".06pt" strokecolor="#000000"/>
            <v:line style="position:absolute" from="8330,279" to="9628,279" stroked="true" strokeweight=".06pt" strokecolor="#000000"/>
            <v:line style="position:absolute" from="8330,281" to="9628,281" stroked="true" strokeweight=".06pt" strokecolor="#000000"/>
            <v:line style="position:absolute" from="9628,263" to="10925,263" stroked="true" strokeweight=".06pt" strokecolor="#000000"/>
            <v:line style="position:absolute" from="9628,264" to="10925,264" stroked="true" strokeweight=".06pt" strokecolor="#000000"/>
            <v:line style="position:absolute" from="9628,265" to="10925,265" stroked="true" strokeweight=".06pt" strokecolor="#000000"/>
            <v:line style="position:absolute" from="9628,266" to="10925,266" stroked="true" strokeweight=".06pt" strokecolor="#000000"/>
            <v:line style="position:absolute" from="9628,267" to="10925,267" stroked="true" strokeweight=".06pt" strokecolor="#000000"/>
            <v:line style="position:absolute" from="9628,269" to="10925,269" stroked="true" strokeweight=".06pt" strokecolor="#000000"/>
            <v:line style="position:absolute" from="9628,270" to="10925,270" stroked="true" strokeweight=".06pt" strokecolor="#000000"/>
            <v:line style="position:absolute" from="9628,271" to="10925,271" stroked="true" strokeweight=".06pt" strokecolor="#000000"/>
            <v:line style="position:absolute" from="9628,272" to="10925,272" stroked="true" strokeweight=".06pt" strokecolor="#000000"/>
            <v:line style="position:absolute" from="9628,273" to="10925,273" stroked="true" strokeweight=".06pt" strokecolor="#000000"/>
            <v:line style="position:absolute" from="9628,275" to="10925,275" stroked="true" strokeweight=".06pt" strokecolor="#000000"/>
            <v:line style="position:absolute" from="9628,276" to="10925,276" stroked="true" strokeweight=".06pt" strokecolor="#000000"/>
            <v:line style="position:absolute" from="9628,277" to="10925,277" stroked="true" strokeweight=".06pt" strokecolor="#000000"/>
            <v:line style="position:absolute" from="9628,278" to="10925,278" stroked="true" strokeweight=".06pt" strokecolor="#000000"/>
            <v:line style="position:absolute" from="9628,279" to="10925,279" stroked="true" strokeweight=".06pt" strokecolor="#000000"/>
            <v:line style="position:absolute" from="9628,281" to="10925,281" stroked="true" strokeweight=".06pt" strokecolor="#000000"/>
            <w10:wrap type="topAndBottom"/>
          </v:group>
        </w:pict>
      </w:r>
      <w:r>
        <w:rPr/>
        <w:t>Disposal group relating to franchised</w:t>
      </w:r>
      <w:r>
        <w:rPr>
          <w:spacing w:val="-1"/>
        </w:rPr>
        <w:t> </w:t>
      </w:r>
      <w:r>
        <w:rPr/>
        <w:t>Subway</w:t>
      </w:r>
      <w:r>
        <w:rPr>
          <w:spacing w:val="-1"/>
        </w:rPr>
        <w:t> </w:t>
      </w:r>
      <w:r>
        <w:rPr/>
        <w:t>outlets</w:t>
        <w:tab/>
      </w:r>
      <w:r>
        <w:rPr>
          <w:b/>
        </w:rPr>
        <w:t>-</w:t>
        <w:tab/>
      </w:r>
      <w:r>
        <w:rPr/>
        <w:t>130,266</w:t>
      </w:r>
    </w:p>
    <w:p>
      <w:pPr>
        <w:tabs>
          <w:tab w:pos="849" w:val="left" w:leader="none"/>
        </w:tabs>
        <w:spacing w:before="84"/>
        <w:ind w:left="0" w:right="203" w:firstLine="0"/>
        <w:jc w:val="right"/>
        <w:rPr>
          <w:sz w:val="18"/>
        </w:rPr>
      </w:pPr>
      <w:r>
        <w:rPr>
          <w:b/>
          <w:sz w:val="18"/>
        </w:rPr>
        <w:t>-</w:t>
        <w:tab/>
      </w:r>
      <w:r>
        <w:rPr>
          <w:spacing w:val="-1"/>
          <w:sz w:val="18"/>
        </w:rPr>
        <w:t>130,266</w:t>
      </w:r>
    </w:p>
    <w:p>
      <w:pPr>
        <w:pStyle w:val="BodyText"/>
        <w:spacing w:line="60" w:lineRule="exact"/>
        <w:ind w:left="7429"/>
        <w:rPr>
          <w:sz w:val="6"/>
        </w:rPr>
      </w:pPr>
      <w:r>
        <w:rPr>
          <w:position w:val="0"/>
          <w:sz w:val="6"/>
        </w:rPr>
        <w:pict>
          <v:group style="width:129.85pt;height:3.05pt;mso-position-horizontal-relative:char;mso-position-vertical-relative:line" coordorigin="0,0" coordsize="2597,6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50" to="1298,50" stroked="true" strokeweight=".06pt" strokecolor="#000000"/>
            <v:line style="position:absolute" from="1,51" to="1298,51" stroked="true" strokeweight=".06pt" strokecolor="#000000"/>
            <v:line style="position:absolute" from="1,53" to="1298,53" stroked="true" strokeweight=".06pt" strokecolor="#000000"/>
            <v:line style="position:absolute" from="1,54" to="1298,54" stroked="true" strokeweight=".06pt" strokecolor="#000000"/>
            <v:line style="position:absolute" from="1,55" to="1298,55" stroked="true" strokeweight=".06pt" strokecolor="#000000"/>
            <v:line style="position:absolute" from="1,56" to="1298,56" stroked="true" strokeweight=".06pt" strokecolor="#000000"/>
            <v:line style="position:absolute" from="1,57" to="1298,57" stroked="true" strokeweight=".06pt" strokecolor="#000000"/>
            <v:line style="position:absolute" from="1,59" to="1298,59" stroked="true" strokeweight=".06pt" strokecolor="#000000"/>
            <v:line style="position:absolute" from="1,60" to="1298,6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line style="position:absolute" from="1298,50" to="2595,50" stroked="true" strokeweight=".06pt" strokecolor="#000000"/>
            <v:line style="position:absolute" from="1298,51" to="2595,51" stroked="true" strokeweight=".06pt" strokecolor="#000000"/>
            <v:line style="position:absolute" from="1298,53" to="2595,53" stroked="true" strokeweight=".06pt" strokecolor="#000000"/>
            <v:line style="position:absolute" from="1298,54" to="2595,54" stroked="true" strokeweight=".06pt" strokecolor="#000000"/>
            <v:line style="position:absolute" from="1298,55" to="2595,55" stroked="true" strokeweight=".06pt" strokecolor="#000000"/>
            <v:line style="position:absolute" from="1298,56" to="2595,56" stroked="true" strokeweight=".06pt" strokecolor="#000000"/>
            <v:line style="position:absolute" from="1298,57" to="2595,57" stroked="true" strokeweight=".06pt" strokecolor="#000000"/>
            <v:line style="position:absolute" from="1298,59" to="2595,59" stroked="true" strokeweight=".06pt" strokecolor="#000000"/>
            <v:line style="position:absolute" from="1298,60" to="2595,60" stroked="true" strokeweight=".06pt" strokecolor="#000000"/>
          </v:group>
        </w:pict>
      </w:r>
      <w:r>
        <w:rPr>
          <w:position w:val="0"/>
          <w:sz w:val="6"/>
        </w:rPr>
      </w:r>
    </w:p>
    <w:p>
      <w:pPr>
        <w:pStyle w:val="BodyText"/>
        <w:spacing w:before="3"/>
      </w:pPr>
    </w:p>
    <w:p>
      <w:pPr>
        <w:pStyle w:val="BodyText"/>
        <w:spacing w:before="77"/>
        <w:ind w:left="505" w:right="410"/>
      </w:pPr>
      <w:r>
        <w:rPr/>
        <w:t>Non-current assets (or disposal groups) held for sale are carried at the lower of the carrying amount or the fair value less costs to sell.</w:t>
      </w:r>
    </w:p>
    <w:p>
      <w:pPr>
        <w:pStyle w:val="BodyText"/>
        <w:rPr>
          <w:sz w:val="25"/>
        </w:rPr>
      </w:pPr>
    </w:p>
    <w:p>
      <w:pPr>
        <w:pStyle w:val="BodyText"/>
        <w:ind w:left="505" w:right="219"/>
      </w:pPr>
      <w:r>
        <w:rPr/>
        <w:t>Western Unlimited Ltd entered into agreements to sell both its Parramatta and Kingswood Subway outlets in 2016. Settlement of the Parramatta Subway outlet occured on 21 December 2016. A gain of $347,505 was recognised in the 2016 year.</w:t>
      </w:r>
    </w:p>
    <w:p>
      <w:pPr>
        <w:pStyle w:val="BodyText"/>
        <w:rPr>
          <w:sz w:val="25"/>
        </w:rPr>
      </w:pPr>
    </w:p>
    <w:p>
      <w:pPr>
        <w:pStyle w:val="BodyText"/>
        <w:ind w:left="505" w:right="418"/>
      </w:pPr>
      <w:r>
        <w:rPr/>
        <w:t>Settlement of the Kingswood Subway outlet occured on 16 March 2017 and a gain on disposal of $69,734 has been recognised in the 2017 year.</w:t>
      </w:r>
    </w:p>
    <w:p>
      <w:pPr>
        <w:spacing w:after="0"/>
        <w:sectPr>
          <w:type w:val="continuous"/>
          <w:pgSz w:w="11910" w:h="16840"/>
          <w:pgMar w:top="1580" w:bottom="280" w:left="900" w:right="860"/>
        </w:sectPr>
      </w:pPr>
    </w:p>
    <w:p>
      <w:pPr>
        <w:pStyle w:val="BodyText"/>
        <w:rPr>
          <w:sz w:val="20"/>
        </w:rPr>
      </w:pPr>
    </w:p>
    <w:p>
      <w:pPr>
        <w:pStyle w:val="BodyText"/>
        <w:spacing w:before="2" w:after="1"/>
        <w:rPr>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2"/>
        <w:gridCol w:w="7024"/>
        <w:gridCol w:w="1502"/>
        <w:gridCol w:w="1093"/>
      </w:tblGrid>
      <w:tr>
        <w:trPr>
          <w:trHeight w:val="567" w:hRule="exact"/>
        </w:trPr>
        <w:tc>
          <w:tcPr>
            <w:tcW w:w="332" w:type="dxa"/>
          </w:tcPr>
          <w:p>
            <w:pPr>
              <w:pStyle w:val="TableParagraph"/>
              <w:spacing w:before="77"/>
              <w:ind w:left="35"/>
              <w:rPr>
                <w:b/>
                <w:sz w:val="18"/>
              </w:rPr>
            </w:pPr>
            <w:r>
              <w:rPr>
                <w:b/>
                <w:sz w:val="18"/>
              </w:rPr>
              <w:t>11</w:t>
            </w:r>
          </w:p>
        </w:tc>
        <w:tc>
          <w:tcPr>
            <w:tcW w:w="7024" w:type="dxa"/>
          </w:tcPr>
          <w:p>
            <w:pPr>
              <w:pStyle w:val="TableParagraph"/>
              <w:spacing w:before="77"/>
              <w:ind w:left="98"/>
              <w:rPr>
                <w:b/>
                <w:sz w:val="18"/>
              </w:rPr>
            </w:pPr>
            <w:r>
              <w:rPr>
                <w:b/>
                <w:sz w:val="18"/>
              </w:rPr>
              <w:t>Property, plant and equipment</w:t>
            </w:r>
          </w:p>
        </w:tc>
        <w:tc>
          <w:tcPr>
            <w:tcW w:w="1502" w:type="dxa"/>
          </w:tcPr>
          <w:p>
            <w:pPr>
              <w:pStyle w:val="TableParagraph"/>
              <w:rPr>
                <w:sz w:val="18"/>
              </w:rPr>
            </w:pPr>
          </w:p>
          <w:p>
            <w:pPr>
              <w:pStyle w:val="TableParagraph"/>
              <w:spacing w:before="110"/>
              <w:ind w:left="448"/>
              <w:rPr>
                <w:b/>
                <w:sz w:val="18"/>
              </w:rPr>
            </w:pPr>
            <w:r>
              <w:rPr>
                <w:b/>
                <w:sz w:val="18"/>
              </w:rPr>
              <w:t>2017</w:t>
            </w:r>
          </w:p>
        </w:tc>
        <w:tc>
          <w:tcPr>
            <w:tcW w:w="1093" w:type="dxa"/>
          </w:tcPr>
          <w:p>
            <w:pPr>
              <w:pStyle w:val="TableParagraph"/>
              <w:rPr>
                <w:sz w:val="18"/>
              </w:rPr>
            </w:pPr>
          </w:p>
          <w:p>
            <w:pPr>
              <w:pStyle w:val="TableParagraph"/>
              <w:spacing w:before="110"/>
              <w:ind w:left="230"/>
              <w:rPr>
                <w:b/>
                <w:sz w:val="18"/>
              </w:rPr>
            </w:pPr>
            <w:r>
              <w:rPr>
                <w:b/>
                <w:sz w:val="18"/>
              </w:rPr>
              <w:t>2016</w:t>
            </w:r>
          </w:p>
        </w:tc>
      </w:tr>
      <w:tr>
        <w:trPr>
          <w:trHeight w:val="313" w:hRule="exact"/>
        </w:trPr>
        <w:tc>
          <w:tcPr>
            <w:tcW w:w="332" w:type="dxa"/>
          </w:tcPr>
          <w:p>
            <w:pPr/>
          </w:p>
        </w:tc>
        <w:tc>
          <w:tcPr>
            <w:tcW w:w="7024" w:type="dxa"/>
          </w:tcPr>
          <w:p>
            <w:pPr/>
          </w:p>
        </w:tc>
        <w:tc>
          <w:tcPr>
            <w:tcW w:w="1502" w:type="dxa"/>
          </w:tcPr>
          <w:p>
            <w:pPr>
              <w:pStyle w:val="TableParagraph"/>
              <w:spacing w:before="24"/>
              <w:ind w:right="202"/>
              <w:jc w:val="center"/>
              <w:rPr>
                <w:b/>
                <w:sz w:val="18"/>
              </w:rPr>
            </w:pPr>
            <w:r>
              <w:rPr>
                <w:b/>
                <w:w w:val="99"/>
                <w:sz w:val="18"/>
              </w:rPr>
              <w:t>$</w:t>
            </w:r>
          </w:p>
        </w:tc>
        <w:tc>
          <w:tcPr>
            <w:tcW w:w="1093" w:type="dxa"/>
          </w:tcPr>
          <w:p>
            <w:pPr>
              <w:pStyle w:val="TableParagraph"/>
              <w:spacing w:before="24"/>
              <w:ind w:left="380"/>
              <w:rPr>
                <w:b/>
                <w:sz w:val="18"/>
              </w:rPr>
            </w:pPr>
            <w:r>
              <w:rPr>
                <w:b/>
                <w:w w:val="99"/>
                <w:sz w:val="18"/>
              </w:rPr>
              <w:t>$</w:t>
            </w:r>
          </w:p>
        </w:tc>
      </w:tr>
      <w:tr>
        <w:trPr>
          <w:trHeight w:val="544" w:hRule="exact"/>
        </w:trPr>
        <w:tc>
          <w:tcPr>
            <w:tcW w:w="332" w:type="dxa"/>
          </w:tcPr>
          <w:p>
            <w:pPr/>
          </w:p>
        </w:tc>
        <w:tc>
          <w:tcPr>
            <w:tcW w:w="7024" w:type="dxa"/>
          </w:tcPr>
          <w:p>
            <w:pPr>
              <w:pStyle w:val="TableParagraph"/>
              <w:spacing w:before="63"/>
              <w:ind w:left="97"/>
              <w:rPr>
                <w:b/>
                <w:sz w:val="18"/>
              </w:rPr>
            </w:pPr>
            <w:r>
              <w:rPr>
                <w:b/>
                <w:sz w:val="18"/>
              </w:rPr>
              <w:t>Plant and equipment</w:t>
            </w:r>
          </w:p>
          <w:p>
            <w:pPr>
              <w:pStyle w:val="TableParagraph"/>
              <w:spacing w:before="29"/>
              <w:ind w:left="97"/>
              <w:rPr>
                <w:sz w:val="18"/>
              </w:rPr>
            </w:pPr>
            <w:r>
              <w:rPr>
                <w:sz w:val="18"/>
              </w:rPr>
              <w:t>At cost</w:t>
            </w:r>
          </w:p>
        </w:tc>
        <w:tc>
          <w:tcPr>
            <w:tcW w:w="1502" w:type="dxa"/>
          </w:tcPr>
          <w:p>
            <w:pPr>
              <w:pStyle w:val="TableParagraph"/>
              <w:spacing w:before="11"/>
              <w:rPr>
                <w:sz w:val="25"/>
              </w:rPr>
            </w:pPr>
          </w:p>
          <w:p>
            <w:pPr>
              <w:pStyle w:val="TableParagraph"/>
              <w:ind w:left="560"/>
              <w:rPr>
                <w:b/>
                <w:sz w:val="18"/>
              </w:rPr>
            </w:pPr>
            <w:r>
              <w:rPr>
                <w:b/>
                <w:sz w:val="18"/>
              </w:rPr>
              <w:t>209,920</w:t>
            </w:r>
          </w:p>
        </w:tc>
        <w:tc>
          <w:tcPr>
            <w:tcW w:w="1093" w:type="dxa"/>
          </w:tcPr>
          <w:p>
            <w:pPr>
              <w:pStyle w:val="TableParagraph"/>
              <w:spacing w:before="11"/>
              <w:rPr>
                <w:sz w:val="25"/>
              </w:rPr>
            </w:pPr>
          </w:p>
          <w:p>
            <w:pPr>
              <w:pStyle w:val="TableParagraph"/>
              <w:ind w:left="356"/>
              <w:rPr>
                <w:sz w:val="18"/>
              </w:rPr>
            </w:pPr>
            <w:r>
              <w:rPr>
                <w:sz w:val="18"/>
              </w:rPr>
              <w:t>225,782</w:t>
            </w:r>
          </w:p>
        </w:tc>
      </w:tr>
      <w:tr>
        <w:trPr>
          <w:trHeight w:val="262" w:hRule="exact"/>
        </w:trPr>
        <w:tc>
          <w:tcPr>
            <w:tcW w:w="332" w:type="dxa"/>
          </w:tcPr>
          <w:p>
            <w:pPr/>
          </w:p>
        </w:tc>
        <w:tc>
          <w:tcPr>
            <w:tcW w:w="7024" w:type="dxa"/>
          </w:tcPr>
          <w:p>
            <w:pPr>
              <w:pStyle w:val="TableParagraph"/>
              <w:spacing w:before="19"/>
              <w:ind w:left="97"/>
              <w:rPr>
                <w:sz w:val="18"/>
              </w:rPr>
            </w:pPr>
            <w:r>
              <w:rPr>
                <w:sz w:val="18"/>
              </w:rPr>
              <w:t>Accumulated depreciation</w:t>
            </w:r>
          </w:p>
        </w:tc>
        <w:tc>
          <w:tcPr>
            <w:tcW w:w="1502" w:type="dxa"/>
            <w:tcBorders>
              <w:bottom w:val="single" w:sz="0" w:space="0" w:color="000000"/>
            </w:tcBorders>
          </w:tcPr>
          <w:p>
            <w:pPr>
              <w:pStyle w:val="TableParagraph"/>
              <w:spacing w:before="18"/>
              <w:ind w:right="230"/>
              <w:jc w:val="right"/>
              <w:rPr>
                <w:b/>
                <w:sz w:val="18"/>
              </w:rPr>
            </w:pPr>
            <w:r>
              <w:rPr>
                <w:b/>
                <w:w w:val="95"/>
                <w:sz w:val="18"/>
              </w:rPr>
              <w:t>(179,736)</w:t>
            </w:r>
          </w:p>
        </w:tc>
        <w:tc>
          <w:tcPr>
            <w:tcW w:w="1093" w:type="dxa"/>
            <w:tcBorders>
              <w:bottom w:val="single" w:sz="0" w:space="0" w:color="000000"/>
            </w:tcBorders>
          </w:tcPr>
          <w:p>
            <w:pPr>
              <w:pStyle w:val="TableParagraph"/>
              <w:spacing w:before="18"/>
              <w:ind w:right="23"/>
              <w:jc w:val="right"/>
              <w:rPr>
                <w:sz w:val="18"/>
              </w:rPr>
            </w:pPr>
            <w:r>
              <w:rPr>
                <w:w w:val="95"/>
                <w:sz w:val="18"/>
              </w:rPr>
              <w:t>(191,601)</w:t>
            </w:r>
          </w:p>
        </w:tc>
      </w:tr>
      <w:tr>
        <w:trPr>
          <w:trHeight w:val="338" w:hRule="exact"/>
        </w:trPr>
        <w:tc>
          <w:tcPr>
            <w:tcW w:w="332" w:type="dxa"/>
          </w:tcPr>
          <w:p>
            <w:pPr/>
          </w:p>
        </w:tc>
        <w:tc>
          <w:tcPr>
            <w:tcW w:w="7024" w:type="dxa"/>
          </w:tcPr>
          <w:p>
            <w:pPr>
              <w:pStyle w:val="TableParagraph"/>
              <w:spacing w:before="95"/>
              <w:ind w:left="97"/>
              <w:rPr>
                <w:sz w:val="18"/>
              </w:rPr>
            </w:pPr>
            <w:r>
              <w:rPr>
                <w:sz w:val="18"/>
              </w:rPr>
              <w:t>Total plant and equipment</w:t>
            </w:r>
          </w:p>
        </w:tc>
        <w:tc>
          <w:tcPr>
            <w:tcW w:w="1502" w:type="dxa"/>
            <w:tcBorders>
              <w:top w:val="single" w:sz="0" w:space="0" w:color="000000"/>
              <w:bottom w:val="single" w:sz="0" w:space="0" w:color="000000"/>
            </w:tcBorders>
          </w:tcPr>
          <w:p>
            <w:pPr>
              <w:pStyle w:val="TableParagraph"/>
              <w:spacing w:before="122"/>
              <w:ind w:right="289"/>
              <w:jc w:val="right"/>
              <w:rPr>
                <w:b/>
                <w:sz w:val="18"/>
              </w:rPr>
            </w:pPr>
            <w:r>
              <w:rPr>
                <w:b/>
                <w:w w:val="95"/>
                <w:sz w:val="18"/>
              </w:rPr>
              <w:t>30,184</w:t>
            </w:r>
          </w:p>
        </w:tc>
        <w:tc>
          <w:tcPr>
            <w:tcW w:w="1093" w:type="dxa"/>
            <w:tcBorders>
              <w:top w:val="single" w:sz="0" w:space="0" w:color="000000"/>
              <w:bottom w:val="single" w:sz="0" w:space="0" w:color="000000"/>
            </w:tcBorders>
          </w:tcPr>
          <w:p>
            <w:pPr>
              <w:pStyle w:val="TableParagraph"/>
              <w:spacing w:before="122"/>
              <w:ind w:right="83"/>
              <w:jc w:val="right"/>
              <w:rPr>
                <w:sz w:val="18"/>
              </w:rPr>
            </w:pPr>
            <w:r>
              <w:rPr>
                <w:w w:val="95"/>
                <w:sz w:val="18"/>
              </w:rPr>
              <w:t>34,181</w:t>
            </w:r>
          </w:p>
        </w:tc>
      </w:tr>
      <w:tr>
        <w:trPr>
          <w:trHeight w:val="604" w:hRule="exact"/>
        </w:trPr>
        <w:tc>
          <w:tcPr>
            <w:tcW w:w="332" w:type="dxa"/>
          </w:tcPr>
          <w:p>
            <w:pPr/>
          </w:p>
        </w:tc>
        <w:tc>
          <w:tcPr>
            <w:tcW w:w="7024" w:type="dxa"/>
          </w:tcPr>
          <w:p>
            <w:pPr>
              <w:pStyle w:val="TableParagraph"/>
              <w:spacing w:before="123"/>
              <w:ind w:left="97"/>
              <w:rPr>
                <w:b/>
                <w:sz w:val="18"/>
              </w:rPr>
            </w:pPr>
            <w:r>
              <w:rPr>
                <w:b/>
                <w:sz w:val="18"/>
              </w:rPr>
              <w:t>Motor vehicles</w:t>
            </w:r>
          </w:p>
          <w:p>
            <w:pPr>
              <w:pStyle w:val="TableParagraph"/>
              <w:spacing w:before="29"/>
              <w:ind w:left="97"/>
              <w:rPr>
                <w:sz w:val="18"/>
              </w:rPr>
            </w:pPr>
            <w:r>
              <w:rPr>
                <w:sz w:val="18"/>
              </w:rPr>
              <w:t>At cost</w:t>
            </w:r>
          </w:p>
        </w:tc>
        <w:tc>
          <w:tcPr>
            <w:tcW w:w="1502" w:type="dxa"/>
            <w:tcBorders>
              <w:top w:val="single" w:sz="0" w:space="0" w:color="000000"/>
            </w:tcBorders>
          </w:tcPr>
          <w:p>
            <w:pPr>
              <w:pStyle w:val="TableParagraph"/>
              <w:rPr>
                <w:sz w:val="18"/>
              </w:rPr>
            </w:pPr>
          </w:p>
          <w:p>
            <w:pPr>
              <w:pStyle w:val="TableParagraph"/>
              <w:spacing w:before="151"/>
              <w:ind w:left="560"/>
              <w:rPr>
                <w:b/>
                <w:sz w:val="18"/>
              </w:rPr>
            </w:pPr>
            <w:r>
              <w:rPr>
                <w:b/>
                <w:sz w:val="18"/>
              </w:rPr>
              <w:t>193,576</w:t>
            </w:r>
          </w:p>
        </w:tc>
        <w:tc>
          <w:tcPr>
            <w:tcW w:w="1093" w:type="dxa"/>
            <w:tcBorders>
              <w:top w:val="single" w:sz="0" w:space="0" w:color="000000"/>
            </w:tcBorders>
          </w:tcPr>
          <w:p>
            <w:pPr>
              <w:pStyle w:val="TableParagraph"/>
              <w:rPr>
                <w:sz w:val="18"/>
              </w:rPr>
            </w:pPr>
          </w:p>
          <w:p>
            <w:pPr>
              <w:pStyle w:val="TableParagraph"/>
              <w:spacing w:before="151"/>
              <w:ind w:left="356"/>
              <w:rPr>
                <w:sz w:val="18"/>
              </w:rPr>
            </w:pPr>
            <w:r>
              <w:rPr>
                <w:sz w:val="18"/>
              </w:rPr>
              <w:t>285,038</w:t>
            </w:r>
          </w:p>
        </w:tc>
      </w:tr>
      <w:tr>
        <w:trPr>
          <w:trHeight w:val="262" w:hRule="exact"/>
        </w:trPr>
        <w:tc>
          <w:tcPr>
            <w:tcW w:w="332" w:type="dxa"/>
          </w:tcPr>
          <w:p>
            <w:pPr/>
          </w:p>
        </w:tc>
        <w:tc>
          <w:tcPr>
            <w:tcW w:w="7024" w:type="dxa"/>
          </w:tcPr>
          <w:p>
            <w:pPr>
              <w:pStyle w:val="TableParagraph"/>
              <w:spacing w:before="19"/>
              <w:ind w:left="97"/>
              <w:rPr>
                <w:sz w:val="18"/>
              </w:rPr>
            </w:pPr>
            <w:r>
              <w:rPr>
                <w:sz w:val="18"/>
              </w:rPr>
              <w:t>Accumulated depreciation</w:t>
            </w:r>
          </w:p>
        </w:tc>
        <w:tc>
          <w:tcPr>
            <w:tcW w:w="1502" w:type="dxa"/>
            <w:tcBorders>
              <w:bottom w:val="single" w:sz="0" w:space="0" w:color="000000"/>
            </w:tcBorders>
          </w:tcPr>
          <w:p>
            <w:pPr>
              <w:pStyle w:val="TableParagraph"/>
              <w:spacing w:before="18"/>
              <w:ind w:right="230"/>
              <w:jc w:val="right"/>
              <w:rPr>
                <w:b/>
                <w:sz w:val="18"/>
              </w:rPr>
            </w:pPr>
            <w:r>
              <w:rPr>
                <w:b/>
                <w:w w:val="95"/>
                <w:sz w:val="18"/>
              </w:rPr>
              <w:t>(189,414)</w:t>
            </w:r>
          </w:p>
        </w:tc>
        <w:tc>
          <w:tcPr>
            <w:tcW w:w="1093" w:type="dxa"/>
            <w:tcBorders>
              <w:bottom w:val="single" w:sz="0" w:space="0" w:color="000000"/>
            </w:tcBorders>
          </w:tcPr>
          <w:p>
            <w:pPr>
              <w:pStyle w:val="TableParagraph"/>
              <w:spacing w:before="18"/>
              <w:ind w:right="23"/>
              <w:jc w:val="right"/>
              <w:rPr>
                <w:sz w:val="18"/>
              </w:rPr>
            </w:pPr>
            <w:r>
              <w:rPr>
                <w:w w:val="95"/>
                <w:sz w:val="18"/>
              </w:rPr>
              <w:t>(253,076)</w:t>
            </w:r>
          </w:p>
        </w:tc>
      </w:tr>
      <w:tr>
        <w:trPr>
          <w:trHeight w:val="338" w:hRule="exact"/>
        </w:trPr>
        <w:tc>
          <w:tcPr>
            <w:tcW w:w="332" w:type="dxa"/>
          </w:tcPr>
          <w:p>
            <w:pPr/>
          </w:p>
        </w:tc>
        <w:tc>
          <w:tcPr>
            <w:tcW w:w="7024" w:type="dxa"/>
          </w:tcPr>
          <w:p>
            <w:pPr>
              <w:pStyle w:val="TableParagraph"/>
              <w:spacing w:before="95"/>
              <w:ind w:left="97"/>
              <w:rPr>
                <w:sz w:val="18"/>
              </w:rPr>
            </w:pPr>
            <w:r>
              <w:rPr>
                <w:sz w:val="18"/>
              </w:rPr>
              <w:t>Total motor vehicles</w:t>
            </w:r>
          </w:p>
        </w:tc>
        <w:tc>
          <w:tcPr>
            <w:tcW w:w="1502" w:type="dxa"/>
            <w:tcBorders>
              <w:top w:val="single" w:sz="0" w:space="0" w:color="000000"/>
              <w:bottom w:val="single" w:sz="0" w:space="0" w:color="000000"/>
            </w:tcBorders>
          </w:tcPr>
          <w:p>
            <w:pPr>
              <w:pStyle w:val="TableParagraph"/>
              <w:spacing w:before="122"/>
              <w:ind w:right="289"/>
              <w:jc w:val="right"/>
              <w:rPr>
                <w:b/>
                <w:sz w:val="18"/>
              </w:rPr>
            </w:pPr>
            <w:r>
              <w:rPr>
                <w:b/>
                <w:w w:val="95"/>
                <w:sz w:val="18"/>
              </w:rPr>
              <w:t>4,162</w:t>
            </w:r>
          </w:p>
        </w:tc>
        <w:tc>
          <w:tcPr>
            <w:tcW w:w="1093" w:type="dxa"/>
            <w:tcBorders>
              <w:top w:val="single" w:sz="0" w:space="0" w:color="000000"/>
              <w:bottom w:val="single" w:sz="0" w:space="0" w:color="000000"/>
            </w:tcBorders>
          </w:tcPr>
          <w:p>
            <w:pPr>
              <w:pStyle w:val="TableParagraph"/>
              <w:spacing w:before="122"/>
              <w:ind w:right="83"/>
              <w:jc w:val="right"/>
              <w:rPr>
                <w:sz w:val="18"/>
              </w:rPr>
            </w:pPr>
            <w:r>
              <w:rPr>
                <w:w w:val="95"/>
                <w:sz w:val="18"/>
              </w:rPr>
              <w:t>31,962</w:t>
            </w:r>
          </w:p>
        </w:tc>
      </w:tr>
      <w:tr>
        <w:trPr>
          <w:trHeight w:val="353" w:hRule="exact"/>
        </w:trPr>
        <w:tc>
          <w:tcPr>
            <w:tcW w:w="332" w:type="dxa"/>
          </w:tcPr>
          <w:p>
            <w:pPr/>
          </w:p>
        </w:tc>
        <w:tc>
          <w:tcPr>
            <w:tcW w:w="7024" w:type="dxa"/>
          </w:tcPr>
          <w:p>
            <w:pPr>
              <w:pStyle w:val="TableParagraph"/>
              <w:spacing w:before="123"/>
              <w:ind w:left="97"/>
              <w:rPr>
                <w:b/>
                <w:sz w:val="18"/>
              </w:rPr>
            </w:pPr>
            <w:r>
              <w:rPr>
                <w:b/>
                <w:sz w:val="18"/>
              </w:rPr>
              <w:t>Total property, plant and equipment</w:t>
            </w:r>
          </w:p>
        </w:tc>
        <w:tc>
          <w:tcPr>
            <w:tcW w:w="1502" w:type="dxa"/>
            <w:tcBorders>
              <w:top w:val="single" w:sz="0" w:space="0" w:color="000000"/>
              <w:bottom w:val="single" w:sz="0" w:space="0" w:color="000000"/>
            </w:tcBorders>
          </w:tcPr>
          <w:p>
            <w:pPr>
              <w:pStyle w:val="TableParagraph"/>
              <w:spacing w:before="122"/>
              <w:ind w:right="289"/>
              <w:jc w:val="right"/>
              <w:rPr>
                <w:b/>
                <w:sz w:val="18"/>
              </w:rPr>
            </w:pPr>
            <w:r>
              <w:rPr>
                <w:b/>
                <w:w w:val="95"/>
                <w:sz w:val="18"/>
              </w:rPr>
              <w:t>34,346</w:t>
            </w:r>
          </w:p>
        </w:tc>
        <w:tc>
          <w:tcPr>
            <w:tcW w:w="1093" w:type="dxa"/>
            <w:tcBorders>
              <w:top w:val="single" w:sz="0" w:space="0" w:color="000000"/>
              <w:bottom w:val="single" w:sz="0" w:space="0" w:color="000000"/>
            </w:tcBorders>
          </w:tcPr>
          <w:p>
            <w:pPr>
              <w:pStyle w:val="TableParagraph"/>
              <w:spacing w:before="122"/>
              <w:ind w:right="83"/>
              <w:jc w:val="right"/>
              <w:rPr>
                <w:sz w:val="18"/>
              </w:rPr>
            </w:pPr>
            <w:r>
              <w:rPr>
                <w:w w:val="95"/>
                <w:sz w:val="18"/>
              </w:rPr>
              <w:t>66,143</w:t>
            </w:r>
          </w:p>
        </w:tc>
      </w:tr>
    </w:tbl>
    <w:p>
      <w:pPr>
        <w:pStyle w:val="BodyText"/>
        <w:spacing w:before="2"/>
        <w:rPr>
          <w:sz w:val="22"/>
        </w:rPr>
      </w:pPr>
    </w:p>
    <w:p>
      <w:pPr>
        <w:pStyle w:val="Heading9"/>
        <w:numPr>
          <w:ilvl w:val="1"/>
          <w:numId w:val="66"/>
        </w:numPr>
        <w:tabs>
          <w:tab w:pos="1112" w:val="left" w:leader="none"/>
        </w:tabs>
        <w:spacing w:line="240" w:lineRule="auto" w:before="77" w:after="0"/>
        <w:ind w:left="1111" w:right="0" w:hanging="566"/>
        <w:jc w:val="left"/>
      </w:pPr>
      <w:r>
        <w:rPr/>
        <w:t>Movements in carrying amounts of property, plant and equipment</w:t>
      </w:r>
    </w:p>
    <w:p>
      <w:pPr>
        <w:pStyle w:val="BodyText"/>
        <w:spacing w:before="4"/>
        <w:rPr>
          <w:b/>
          <w:sz w:val="25"/>
        </w:rPr>
      </w:pPr>
    </w:p>
    <w:p>
      <w:pPr>
        <w:pStyle w:val="BodyText"/>
        <w:spacing w:after="36"/>
        <w:ind w:left="1112" w:right="282"/>
      </w:pPr>
      <w:r>
        <w:rPr/>
        <w:t>Movement in the carrying amounts for each class of property, plant and equipment between the beginning and the end of the current financial year:</w:t>
      </w:r>
    </w:p>
    <w:tbl>
      <w:tblPr>
        <w:tblW w:w="0" w:type="auto"/>
        <w:jc w:val="left"/>
        <w:tblInd w:w="112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51"/>
        <w:gridCol w:w="1437"/>
        <w:gridCol w:w="1372"/>
        <w:gridCol w:w="1083"/>
      </w:tblGrid>
      <w:tr>
        <w:trPr>
          <w:trHeight w:val="453" w:hRule="exact"/>
        </w:trPr>
        <w:tc>
          <w:tcPr>
            <w:tcW w:w="5051" w:type="dxa"/>
            <w:vMerge w:val="restart"/>
          </w:tcPr>
          <w:p>
            <w:pPr/>
          </w:p>
        </w:tc>
        <w:tc>
          <w:tcPr>
            <w:tcW w:w="1437" w:type="dxa"/>
          </w:tcPr>
          <w:p>
            <w:pPr>
              <w:pStyle w:val="TableParagraph"/>
              <w:spacing w:line="206" w:lineRule="exact" w:before="1"/>
              <w:ind w:left="205" w:right="281" w:firstLine="59"/>
              <w:rPr>
                <w:b/>
                <w:sz w:val="18"/>
              </w:rPr>
            </w:pPr>
            <w:r>
              <w:rPr>
                <w:b/>
                <w:sz w:val="18"/>
              </w:rPr>
              <w:t>Plant and Equipment</w:t>
            </w:r>
          </w:p>
        </w:tc>
        <w:tc>
          <w:tcPr>
            <w:tcW w:w="1372" w:type="dxa"/>
          </w:tcPr>
          <w:p>
            <w:pPr>
              <w:pStyle w:val="TableParagraph"/>
              <w:spacing w:line="206" w:lineRule="exact" w:before="1"/>
              <w:ind w:left="166" w:right="456" w:firstLine="115"/>
              <w:rPr>
                <w:b/>
                <w:sz w:val="18"/>
              </w:rPr>
            </w:pPr>
            <w:r>
              <w:rPr>
                <w:b/>
                <w:sz w:val="18"/>
              </w:rPr>
              <w:t>Motor Vehicles</w:t>
            </w:r>
          </w:p>
        </w:tc>
        <w:tc>
          <w:tcPr>
            <w:tcW w:w="1083" w:type="dxa"/>
          </w:tcPr>
          <w:p>
            <w:pPr>
              <w:pStyle w:val="TableParagraph"/>
              <w:spacing w:before="7"/>
              <w:rPr>
                <w:sz w:val="17"/>
              </w:rPr>
            </w:pPr>
          </w:p>
          <w:p>
            <w:pPr>
              <w:pStyle w:val="TableParagraph"/>
              <w:spacing w:before="1"/>
              <w:ind w:left="241"/>
              <w:rPr>
                <w:b/>
                <w:sz w:val="18"/>
              </w:rPr>
            </w:pPr>
            <w:r>
              <w:rPr>
                <w:b/>
                <w:sz w:val="18"/>
              </w:rPr>
              <w:t>Total</w:t>
            </w:r>
          </w:p>
        </w:tc>
      </w:tr>
      <w:tr>
        <w:trPr>
          <w:trHeight w:val="313" w:hRule="exact"/>
        </w:trPr>
        <w:tc>
          <w:tcPr>
            <w:tcW w:w="5051" w:type="dxa"/>
            <w:vMerge/>
          </w:tcPr>
          <w:p>
            <w:pPr/>
          </w:p>
        </w:tc>
        <w:tc>
          <w:tcPr>
            <w:tcW w:w="1437" w:type="dxa"/>
          </w:tcPr>
          <w:p>
            <w:pPr>
              <w:pStyle w:val="TableParagraph"/>
              <w:spacing w:before="23"/>
              <w:ind w:left="621"/>
              <w:rPr>
                <w:b/>
                <w:sz w:val="18"/>
              </w:rPr>
            </w:pPr>
            <w:r>
              <w:rPr>
                <w:b/>
                <w:w w:val="99"/>
                <w:sz w:val="18"/>
              </w:rPr>
              <w:t>$</w:t>
            </w:r>
          </w:p>
        </w:tc>
        <w:tc>
          <w:tcPr>
            <w:tcW w:w="1372" w:type="dxa"/>
          </w:tcPr>
          <w:p>
            <w:pPr>
              <w:pStyle w:val="TableParagraph"/>
              <w:spacing w:before="23"/>
              <w:ind w:left="482"/>
              <w:rPr>
                <w:b/>
                <w:sz w:val="18"/>
              </w:rPr>
            </w:pPr>
            <w:r>
              <w:rPr>
                <w:b/>
                <w:w w:val="99"/>
                <w:sz w:val="18"/>
              </w:rPr>
              <w:t>$</w:t>
            </w:r>
          </w:p>
        </w:tc>
        <w:tc>
          <w:tcPr>
            <w:tcW w:w="1083" w:type="dxa"/>
          </w:tcPr>
          <w:p>
            <w:pPr>
              <w:pStyle w:val="TableParagraph"/>
              <w:spacing w:before="23"/>
              <w:ind w:right="166"/>
              <w:jc w:val="center"/>
              <w:rPr>
                <w:b/>
                <w:sz w:val="18"/>
              </w:rPr>
            </w:pPr>
            <w:r>
              <w:rPr>
                <w:b/>
                <w:w w:val="99"/>
                <w:sz w:val="18"/>
              </w:rPr>
              <w:t>$</w:t>
            </w:r>
          </w:p>
        </w:tc>
      </w:tr>
      <w:tr>
        <w:trPr>
          <w:trHeight w:val="503" w:hRule="exact"/>
        </w:trPr>
        <w:tc>
          <w:tcPr>
            <w:tcW w:w="5051" w:type="dxa"/>
          </w:tcPr>
          <w:p>
            <w:pPr>
              <w:pStyle w:val="TableParagraph"/>
              <w:spacing w:before="63"/>
              <w:ind w:left="35"/>
              <w:rPr>
                <w:b/>
                <w:sz w:val="18"/>
              </w:rPr>
            </w:pPr>
            <w:r>
              <w:rPr>
                <w:b/>
                <w:sz w:val="18"/>
              </w:rPr>
              <w:t>Year ended 31 December 2017</w:t>
            </w:r>
          </w:p>
          <w:p>
            <w:pPr>
              <w:pStyle w:val="TableParagraph"/>
              <w:spacing w:before="29"/>
              <w:ind w:left="35"/>
              <w:rPr>
                <w:sz w:val="18"/>
              </w:rPr>
            </w:pPr>
            <w:r>
              <w:rPr>
                <w:sz w:val="18"/>
              </w:rPr>
              <w:t>Balance at the begining of the year</w:t>
            </w:r>
          </w:p>
        </w:tc>
        <w:tc>
          <w:tcPr>
            <w:tcW w:w="1437" w:type="dxa"/>
          </w:tcPr>
          <w:p>
            <w:pPr>
              <w:pStyle w:val="TableParagraph"/>
              <w:spacing w:before="11"/>
              <w:rPr>
                <w:sz w:val="25"/>
              </w:rPr>
            </w:pPr>
          </w:p>
          <w:p>
            <w:pPr>
              <w:pStyle w:val="TableParagraph"/>
              <w:ind w:left="660"/>
              <w:rPr>
                <w:b/>
                <w:sz w:val="18"/>
              </w:rPr>
            </w:pPr>
            <w:r>
              <w:rPr>
                <w:b/>
                <w:sz w:val="18"/>
              </w:rPr>
              <w:t>40,932</w:t>
            </w:r>
          </w:p>
        </w:tc>
        <w:tc>
          <w:tcPr>
            <w:tcW w:w="1372" w:type="dxa"/>
          </w:tcPr>
          <w:p>
            <w:pPr>
              <w:pStyle w:val="TableParagraph"/>
              <w:spacing w:before="11"/>
              <w:rPr>
                <w:sz w:val="25"/>
              </w:rPr>
            </w:pPr>
          </w:p>
          <w:p>
            <w:pPr>
              <w:pStyle w:val="TableParagraph"/>
              <w:ind w:left="520"/>
              <w:rPr>
                <w:b/>
                <w:sz w:val="18"/>
              </w:rPr>
            </w:pPr>
            <w:r>
              <w:rPr>
                <w:b/>
                <w:sz w:val="18"/>
              </w:rPr>
              <w:t>25,211</w:t>
            </w:r>
          </w:p>
        </w:tc>
        <w:tc>
          <w:tcPr>
            <w:tcW w:w="1083" w:type="dxa"/>
          </w:tcPr>
          <w:p>
            <w:pPr>
              <w:pStyle w:val="TableParagraph"/>
              <w:spacing w:before="11"/>
              <w:rPr>
                <w:sz w:val="25"/>
              </w:rPr>
            </w:pPr>
          </w:p>
          <w:p>
            <w:pPr>
              <w:pStyle w:val="TableParagraph"/>
              <w:ind w:left="445"/>
              <w:rPr>
                <w:b/>
                <w:sz w:val="18"/>
              </w:rPr>
            </w:pPr>
            <w:r>
              <w:rPr>
                <w:b/>
                <w:sz w:val="18"/>
              </w:rPr>
              <w:t>66,143</w:t>
            </w:r>
          </w:p>
        </w:tc>
      </w:tr>
      <w:tr>
        <w:trPr>
          <w:trHeight w:val="305" w:hRule="exact"/>
        </w:trPr>
        <w:tc>
          <w:tcPr>
            <w:tcW w:w="5051" w:type="dxa"/>
          </w:tcPr>
          <w:p>
            <w:pPr>
              <w:pStyle w:val="TableParagraph"/>
              <w:spacing w:before="61"/>
              <w:ind w:left="35"/>
              <w:rPr>
                <w:sz w:val="18"/>
              </w:rPr>
            </w:pPr>
            <w:r>
              <w:rPr>
                <w:sz w:val="18"/>
              </w:rPr>
              <w:t>Additions</w:t>
            </w:r>
          </w:p>
        </w:tc>
        <w:tc>
          <w:tcPr>
            <w:tcW w:w="1437" w:type="dxa"/>
          </w:tcPr>
          <w:p>
            <w:pPr>
              <w:pStyle w:val="TableParagraph"/>
              <w:spacing w:before="60"/>
              <w:ind w:right="367"/>
              <w:jc w:val="right"/>
              <w:rPr>
                <w:b/>
                <w:sz w:val="18"/>
              </w:rPr>
            </w:pPr>
            <w:r>
              <w:rPr>
                <w:b/>
                <w:w w:val="99"/>
                <w:sz w:val="18"/>
              </w:rPr>
              <w:t>-</w:t>
            </w:r>
          </w:p>
        </w:tc>
        <w:tc>
          <w:tcPr>
            <w:tcW w:w="1372" w:type="dxa"/>
          </w:tcPr>
          <w:p>
            <w:pPr>
              <w:pStyle w:val="TableParagraph"/>
              <w:spacing w:before="60"/>
              <w:ind w:left="867"/>
              <w:rPr>
                <w:b/>
                <w:sz w:val="18"/>
              </w:rPr>
            </w:pPr>
            <w:r>
              <w:rPr>
                <w:b/>
                <w:w w:val="99"/>
                <w:sz w:val="18"/>
              </w:rPr>
              <w:t>-</w:t>
            </w:r>
          </w:p>
        </w:tc>
        <w:tc>
          <w:tcPr>
            <w:tcW w:w="1083" w:type="dxa"/>
          </w:tcPr>
          <w:p>
            <w:pPr>
              <w:pStyle w:val="TableParagraph"/>
              <w:spacing w:before="60"/>
              <w:ind w:right="228"/>
              <w:jc w:val="right"/>
              <w:rPr>
                <w:b/>
                <w:sz w:val="18"/>
              </w:rPr>
            </w:pPr>
            <w:r>
              <w:rPr>
                <w:b/>
                <w:w w:val="99"/>
                <w:sz w:val="18"/>
              </w:rPr>
              <w:t>-</w:t>
            </w:r>
          </w:p>
        </w:tc>
      </w:tr>
      <w:tr>
        <w:trPr>
          <w:trHeight w:val="264" w:hRule="exact"/>
        </w:trPr>
        <w:tc>
          <w:tcPr>
            <w:tcW w:w="5051" w:type="dxa"/>
          </w:tcPr>
          <w:p>
            <w:pPr>
              <w:pStyle w:val="TableParagraph"/>
              <w:spacing w:before="19"/>
              <w:ind w:left="35"/>
              <w:rPr>
                <w:sz w:val="18"/>
              </w:rPr>
            </w:pPr>
            <w:r>
              <w:rPr>
                <w:sz w:val="18"/>
              </w:rPr>
              <w:t>Disposals - written down value</w:t>
            </w:r>
          </w:p>
        </w:tc>
        <w:tc>
          <w:tcPr>
            <w:tcW w:w="1437" w:type="dxa"/>
          </w:tcPr>
          <w:p>
            <w:pPr>
              <w:pStyle w:val="TableParagraph"/>
              <w:spacing w:before="18"/>
              <w:ind w:left="699"/>
              <w:rPr>
                <w:b/>
                <w:sz w:val="18"/>
              </w:rPr>
            </w:pPr>
            <w:r>
              <w:rPr>
                <w:b/>
                <w:sz w:val="18"/>
              </w:rPr>
              <w:t>(1,834)</w:t>
            </w:r>
          </w:p>
        </w:tc>
        <w:tc>
          <w:tcPr>
            <w:tcW w:w="1372" w:type="dxa"/>
          </w:tcPr>
          <w:p>
            <w:pPr>
              <w:pStyle w:val="TableParagraph"/>
              <w:spacing w:before="18"/>
              <w:ind w:right="239"/>
              <w:jc w:val="right"/>
              <w:rPr>
                <w:b/>
                <w:sz w:val="18"/>
              </w:rPr>
            </w:pPr>
            <w:r>
              <w:rPr>
                <w:b/>
                <w:w w:val="95"/>
                <w:sz w:val="18"/>
              </w:rPr>
              <w:t>(16,654)</w:t>
            </w:r>
          </w:p>
        </w:tc>
        <w:tc>
          <w:tcPr>
            <w:tcW w:w="1083" w:type="dxa"/>
          </w:tcPr>
          <w:p>
            <w:pPr>
              <w:pStyle w:val="TableParagraph"/>
              <w:spacing w:before="18"/>
              <w:ind w:right="24"/>
              <w:jc w:val="right"/>
              <w:rPr>
                <w:b/>
                <w:sz w:val="18"/>
              </w:rPr>
            </w:pPr>
            <w:r>
              <w:rPr>
                <w:b/>
                <w:w w:val="95"/>
                <w:sz w:val="18"/>
              </w:rPr>
              <w:t>(18,488)</w:t>
            </w:r>
          </w:p>
        </w:tc>
      </w:tr>
      <w:tr>
        <w:trPr>
          <w:trHeight w:val="264" w:hRule="exact"/>
        </w:trPr>
        <w:tc>
          <w:tcPr>
            <w:tcW w:w="5051" w:type="dxa"/>
          </w:tcPr>
          <w:p>
            <w:pPr>
              <w:pStyle w:val="TableParagraph"/>
              <w:spacing w:before="19"/>
              <w:ind w:left="35"/>
              <w:rPr>
                <w:sz w:val="18"/>
              </w:rPr>
            </w:pPr>
            <w:r>
              <w:rPr>
                <w:sz w:val="18"/>
              </w:rPr>
              <w:t>Depreciation charge</w:t>
            </w:r>
          </w:p>
        </w:tc>
        <w:tc>
          <w:tcPr>
            <w:tcW w:w="1437" w:type="dxa"/>
          </w:tcPr>
          <w:p>
            <w:pPr>
              <w:pStyle w:val="TableParagraph"/>
              <w:spacing w:before="18"/>
              <w:ind w:left="699"/>
              <w:rPr>
                <w:b/>
                <w:sz w:val="18"/>
              </w:rPr>
            </w:pPr>
            <w:r>
              <w:rPr>
                <w:b/>
                <w:sz w:val="18"/>
              </w:rPr>
              <w:t>(8,914)</w:t>
            </w:r>
          </w:p>
        </w:tc>
        <w:tc>
          <w:tcPr>
            <w:tcW w:w="1372" w:type="dxa"/>
          </w:tcPr>
          <w:p>
            <w:pPr>
              <w:pStyle w:val="TableParagraph"/>
              <w:spacing w:before="18"/>
              <w:ind w:right="239"/>
              <w:jc w:val="right"/>
              <w:rPr>
                <w:b/>
                <w:sz w:val="18"/>
              </w:rPr>
            </w:pPr>
            <w:r>
              <w:rPr>
                <w:b/>
                <w:w w:val="95"/>
                <w:sz w:val="18"/>
              </w:rPr>
              <w:t>(11,145)</w:t>
            </w:r>
          </w:p>
        </w:tc>
        <w:tc>
          <w:tcPr>
            <w:tcW w:w="1083" w:type="dxa"/>
          </w:tcPr>
          <w:p>
            <w:pPr>
              <w:pStyle w:val="TableParagraph"/>
              <w:spacing w:before="18"/>
              <w:ind w:right="24"/>
              <w:jc w:val="right"/>
              <w:rPr>
                <w:b/>
                <w:sz w:val="18"/>
              </w:rPr>
            </w:pPr>
            <w:r>
              <w:rPr>
                <w:b/>
                <w:w w:val="95"/>
                <w:sz w:val="18"/>
              </w:rPr>
              <w:t>(20,059)</w:t>
            </w:r>
          </w:p>
        </w:tc>
      </w:tr>
      <w:tr>
        <w:trPr>
          <w:trHeight w:val="262" w:hRule="exact"/>
        </w:trPr>
        <w:tc>
          <w:tcPr>
            <w:tcW w:w="5051" w:type="dxa"/>
          </w:tcPr>
          <w:p>
            <w:pPr>
              <w:pStyle w:val="TableParagraph"/>
              <w:spacing w:before="19"/>
              <w:ind w:left="35"/>
              <w:rPr>
                <w:sz w:val="18"/>
              </w:rPr>
            </w:pPr>
            <w:r>
              <w:rPr>
                <w:sz w:val="18"/>
              </w:rPr>
              <w:t>Non-cash adjustment</w:t>
            </w:r>
          </w:p>
        </w:tc>
        <w:tc>
          <w:tcPr>
            <w:tcW w:w="1437" w:type="dxa"/>
            <w:tcBorders>
              <w:bottom w:val="single" w:sz="0" w:space="0" w:color="000000"/>
            </w:tcBorders>
          </w:tcPr>
          <w:p>
            <w:pPr>
              <w:pStyle w:val="TableParagraph"/>
              <w:spacing w:before="18"/>
              <w:ind w:right="367"/>
              <w:jc w:val="right"/>
              <w:rPr>
                <w:b/>
                <w:sz w:val="18"/>
              </w:rPr>
            </w:pPr>
            <w:r>
              <w:rPr>
                <w:b/>
                <w:w w:val="99"/>
                <w:sz w:val="18"/>
              </w:rPr>
              <w:t>-</w:t>
            </w:r>
          </w:p>
        </w:tc>
        <w:tc>
          <w:tcPr>
            <w:tcW w:w="1372" w:type="dxa"/>
            <w:tcBorders>
              <w:bottom w:val="single" w:sz="0" w:space="0" w:color="000000"/>
            </w:tcBorders>
          </w:tcPr>
          <w:p>
            <w:pPr>
              <w:pStyle w:val="TableParagraph"/>
              <w:spacing w:before="18"/>
              <w:ind w:right="299"/>
              <w:jc w:val="right"/>
              <w:rPr>
                <w:b/>
                <w:sz w:val="18"/>
              </w:rPr>
            </w:pPr>
            <w:r>
              <w:rPr>
                <w:b/>
                <w:w w:val="95"/>
                <w:sz w:val="18"/>
              </w:rPr>
              <w:t>6,750</w:t>
            </w:r>
          </w:p>
        </w:tc>
        <w:tc>
          <w:tcPr>
            <w:tcW w:w="1083" w:type="dxa"/>
            <w:tcBorders>
              <w:bottom w:val="single" w:sz="0" w:space="0" w:color="000000"/>
            </w:tcBorders>
          </w:tcPr>
          <w:p>
            <w:pPr>
              <w:pStyle w:val="TableParagraph"/>
              <w:spacing w:before="18"/>
              <w:ind w:right="85"/>
              <w:jc w:val="right"/>
              <w:rPr>
                <w:b/>
                <w:sz w:val="18"/>
              </w:rPr>
            </w:pPr>
            <w:r>
              <w:rPr>
                <w:b/>
                <w:w w:val="95"/>
                <w:sz w:val="18"/>
              </w:rPr>
              <w:t>6,750</w:t>
            </w:r>
          </w:p>
        </w:tc>
      </w:tr>
    </w:tbl>
    <w:p>
      <w:pPr>
        <w:pStyle w:val="Heading9"/>
        <w:tabs>
          <w:tab w:pos="6833" w:val="left" w:leader="none"/>
          <w:tab w:pos="8229" w:val="left" w:leader="none"/>
          <w:tab w:pos="9427" w:val="left" w:leader="none"/>
        </w:tabs>
        <w:spacing w:before="123"/>
        <w:ind w:left="1157" w:right="19"/>
      </w:pPr>
      <w:r>
        <w:rPr/>
        <w:t>Balance at the end of</w:t>
      </w:r>
      <w:r>
        <w:rPr>
          <w:spacing w:val="-1"/>
        </w:rPr>
        <w:t> </w:t>
      </w:r>
      <w:r>
        <w:rPr/>
        <w:t>the</w:t>
      </w:r>
      <w:r>
        <w:rPr>
          <w:spacing w:val="-2"/>
        </w:rPr>
        <w:t> </w:t>
      </w:r>
      <w:r>
        <w:rPr/>
        <w:t>year</w:t>
        <w:tab/>
        <w:t>30,184</w:t>
        <w:tab/>
        <w:t>4,162</w:t>
        <w:tab/>
        <w:t>34,346</w:t>
      </w:r>
    </w:p>
    <w:p>
      <w:pPr>
        <w:pStyle w:val="BodyText"/>
        <w:spacing w:line="50" w:lineRule="exact"/>
        <w:ind w:left="6172"/>
        <w:rPr>
          <w:sz w:val="5"/>
        </w:rPr>
      </w:pPr>
      <w:r>
        <w:rPr>
          <w:position w:val="0"/>
          <w:sz w:val="5"/>
        </w:rPr>
        <w:pict>
          <v:group style="width:194.7pt;height:2.5pt;mso-position-horizontal-relative:char;mso-position-vertical-relative:line" coordorigin="0,0" coordsize="3894,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line style="position:absolute" from="2595,1" to="3893,1" stroked="true" strokeweight=".06pt" strokecolor="#000000"/>
            <v:line style="position:absolute" from="2595,2" to="3893,2" stroked="true" strokeweight=".06pt" strokecolor="#000000"/>
            <v:line style="position:absolute" from="2595,3" to="3893,3" stroked="true" strokeweight=".06pt" strokecolor="#000000"/>
            <v:line style="position:absolute" from="2595,5" to="3893,5" stroked="true" strokeweight=".06pt" strokecolor="#000000"/>
            <v:line style="position:absolute" from="2595,6" to="3893,6" stroked="true" strokeweight=".06pt" strokecolor="#000000"/>
            <v:line style="position:absolute" from="2595,7" to="3893,7" stroked="true" strokeweight=".06pt" strokecolor="#000000"/>
            <v:line style="position:absolute" from="2595,8" to="3893,8" stroked="true" strokeweight=".06pt" strokecolor="#000000"/>
            <v:line style="position:absolute" from="2595,9" to="3893,9" stroked="true" strokeweight=".06pt" strokecolor="#000000"/>
            <v:line style="position:absolute" from="2595,11" to="3893,11" stroked="true" strokeweight=".06pt" strokecolor="#000000"/>
            <v:line style="position:absolute" from="2595,12" to="3893,12" stroked="true" strokeweight=".06pt" strokecolor="#000000"/>
            <v:line style="position:absolute" from="2595,13" to="3893,13" stroked="true" strokeweight=".06pt" strokecolor="#000000"/>
            <v:line style="position:absolute" from="2595,14" to="3893,14" stroked="true" strokeweight=".06pt" strokecolor="#000000"/>
            <v:line style="position:absolute" from="2595,15" to="3893,15" stroked="true" strokeweight=".06pt" strokecolor="#000000"/>
            <v:line style="position:absolute" from="2595,35" to="3893,35" stroked="true" strokeweight=".06pt" strokecolor="#000000"/>
            <v:line style="position:absolute" from="2595,36" to="3893,36" stroked="true" strokeweight=".06pt" strokecolor="#000000"/>
            <v:line style="position:absolute" from="2595,37" to="3893,37" stroked="true" strokeweight=".06pt" strokecolor="#000000"/>
            <v:line style="position:absolute" from="2595,38" to="3893,38" stroked="true" strokeweight=".06pt" strokecolor="#000000"/>
            <v:line style="position:absolute" from="2595,39" to="3893,39" stroked="true" strokeweight=".06pt" strokecolor="#000000"/>
            <v:line style="position:absolute" from="2595,41" to="3893,41" stroked="true" strokeweight=".06pt" strokecolor="#000000"/>
            <v:line style="position:absolute" from="2595,42" to="3893,42" stroked="true" strokeweight=".06pt" strokecolor="#000000"/>
            <v:line style="position:absolute" from="2595,43" to="3893,43" stroked="true" strokeweight=".06pt" strokecolor="#000000"/>
            <v:line style="position:absolute" from="2595,44" to="3893,44" stroked="true" strokeweight=".06pt" strokecolor="#000000"/>
            <v:line style="position:absolute" from="2595,45" to="3893,45" stroked="true" strokeweight=".06pt" strokecolor="#000000"/>
            <v:line style="position:absolute" from="2595,47" to="3893,47" stroked="true" strokeweight=".06pt" strokecolor="#000000"/>
            <v:line style="position:absolute" from="2595,48" to="3893,48" stroked="true" strokeweight=".06pt" strokecolor="#000000"/>
            <v:line style="position:absolute" from="2595,49" to="3893,49" stroked="true" strokeweight=".06pt" strokecolor="#000000"/>
          </v:group>
        </w:pict>
      </w:r>
      <w:r>
        <w:rPr>
          <w:position w:val="0"/>
          <w:sz w:val="5"/>
        </w:rPr>
      </w:r>
    </w:p>
    <w:p>
      <w:pPr>
        <w:pStyle w:val="BodyText"/>
        <w:rPr>
          <w:b/>
          <w:sz w:val="20"/>
        </w:rPr>
      </w:pPr>
    </w:p>
    <w:p>
      <w:pPr>
        <w:pStyle w:val="BodyText"/>
        <w:rPr>
          <w:b/>
          <w:sz w:val="20"/>
        </w:rPr>
      </w:pPr>
    </w:p>
    <w:p>
      <w:pPr>
        <w:pStyle w:val="BodyText"/>
        <w:rPr>
          <w:b/>
          <w:sz w:val="20"/>
        </w:rPr>
      </w:pPr>
    </w:p>
    <w:p>
      <w:pPr>
        <w:pStyle w:val="BodyText"/>
        <w:spacing w:before="1"/>
        <w:rPr>
          <w:b/>
          <w:sz w:val="22"/>
        </w:rPr>
      </w:pPr>
    </w:p>
    <w:tbl>
      <w:tblPr>
        <w:tblW w:w="0" w:type="auto"/>
        <w:jc w:val="left"/>
        <w:tblInd w:w="112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51"/>
        <w:gridCol w:w="1437"/>
        <w:gridCol w:w="1372"/>
        <w:gridCol w:w="1083"/>
      </w:tblGrid>
      <w:tr>
        <w:trPr>
          <w:trHeight w:val="533" w:hRule="exact"/>
        </w:trPr>
        <w:tc>
          <w:tcPr>
            <w:tcW w:w="5051" w:type="dxa"/>
            <w:vMerge w:val="restart"/>
          </w:tcPr>
          <w:p>
            <w:pPr/>
          </w:p>
        </w:tc>
        <w:tc>
          <w:tcPr>
            <w:tcW w:w="1437" w:type="dxa"/>
          </w:tcPr>
          <w:p>
            <w:pPr>
              <w:pStyle w:val="TableParagraph"/>
              <w:spacing w:before="77"/>
              <w:ind w:left="205" w:right="281" w:firstLine="59"/>
              <w:rPr>
                <w:b/>
                <w:sz w:val="18"/>
              </w:rPr>
            </w:pPr>
            <w:r>
              <w:rPr>
                <w:b/>
                <w:sz w:val="18"/>
              </w:rPr>
              <w:t>Plant and Equipment</w:t>
            </w:r>
          </w:p>
        </w:tc>
        <w:tc>
          <w:tcPr>
            <w:tcW w:w="1372" w:type="dxa"/>
          </w:tcPr>
          <w:p>
            <w:pPr>
              <w:pStyle w:val="TableParagraph"/>
              <w:spacing w:before="77"/>
              <w:ind w:left="166" w:right="455" w:firstLine="115"/>
              <w:rPr>
                <w:b/>
                <w:sz w:val="18"/>
              </w:rPr>
            </w:pPr>
            <w:r>
              <w:rPr>
                <w:b/>
                <w:sz w:val="18"/>
              </w:rPr>
              <w:t>Motor Vehicles</w:t>
            </w:r>
          </w:p>
        </w:tc>
        <w:tc>
          <w:tcPr>
            <w:tcW w:w="1083" w:type="dxa"/>
          </w:tcPr>
          <w:p>
            <w:pPr>
              <w:pStyle w:val="TableParagraph"/>
              <w:spacing w:before="7"/>
              <w:rPr>
                <w:b/>
                <w:sz w:val="24"/>
              </w:rPr>
            </w:pPr>
          </w:p>
          <w:p>
            <w:pPr>
              <w:pStyle w:val="TableParagraph"/>
              <w:ind w:left="241"/>
              <w:rPr>
                <w:b/>
                <w:sz w:val="18"/>
              </w:rPr>
            </w:pPr>
            <w:r>
              <w:rPr>
                <w:b/>
                <w:sz w:val="18"/>
              </w:rPr>
              <w:t>Total</w:t>
            </w:r>
          </w:p>
        </w:tc>
      </w:tr>
      <w:tr>
        <w:trPr>
          <w:trHeight w:val="313" w:hRule="exact"/>
        </w:trPr>
        <w:tc>
          <w:tcPr>
            <w:tcW w:w="5051" w:type="dxa"/>
            <w:vMerge/>
          </w:tcPr>
          <w:p>
            <w:pPr/>
          </w:p>
        </w:tc>
        <w:tc>
          <w:tcPr>
            <w:tcW w:w="1437" w:type="dxa"/>
          </w:tcPr>
          <w:p>
            <w:pPr>
              <w:pStyle w:val="TableParagraph"/>
              <w:spacing w:before="23"/>
              <w:ind w:right="91"/>
              <w:jc w:val="center"/>
              <w:rPr>
                <w:b/>
                <w:sz w:val="18"/>
              </w:rPr>
            </w:pPr>
            <w:r>
              <w:rPr>
                <w:b/>
                <w:w w:val="99"/>
                <w:sz w:val="18"/>
              </w:rPr>
              <w:t>$</w:t>
            </w:r>
          </w:p>
        </w:tc>
        <w:tc>
          <w:tcPr>
            <w:tcW w:w="1372" w:type="dxa"/>
          </w:tcPr>
          <w:p>
            <w:pPr>
              <w:pStyle w:val="TableParagraph"/>
              <w:spacing w:before="23"/>
              <w:ind w:left="482"/>
              <w:rPr>
                <w:b/>
                <w:sz w:val="18"/>
              </w:rPr>
            </w:pPr>
            <w:r>
              <w:rPr>
                <w:b/>
                <w:w w:val="99"/>
                <w:sz w:val="18"/>
              </w:rPr>
              <w:t>$</w:t>
            </w:r>
          </w:p>
        </w:tc>
        <w:tc>
          <w:tcPr>
            <w:tcW w:w="1083" w:type="dxa"/>
          </w:tcPr>
          <w:p>
            <w:pPr>
              <w:pStyle w:val="TableParagraph"/>
              <w:spacing w:before="23"/>
              <w:ind w:right="166"/>
              <w:jc w:val="center"/>
              <w:rPr>
                <w:b/>
                <w:sz w:val="18"/>
              </w:rPr>
            </w:pPr>
            <w:r>
              <w:rPr>
                <w:b/>
                <w:w w:val="99"/>
                <w:sz w:val="18"/>
              </w:rPr>
              <w:t>$</w:t>
            </w:r>
          </w:p>
        </w:tc>
      </w:tr>
      <w:tr>
        <w:trPr>
          <w:trHeight w:val="503" w:hRule="exact"/>
        </w:trPr>
        <w:tc>
          <w:tcPr>
            <w:tcW w:w="5051" w:type="dxa"/>
          </w:tcPr>
          <w:p>
            <w:pPr>
              <w:pStyle w:val="TableParagraph"/>
              <w:spacing w:before="63"/>
              <w:ind w:left="35"/>
              <w:rPr>
                <w:b/>
                <w:sz w:val="18"/>
              </w:rPr>
            </w:pPr>
            <w:r>
              <w:rPr>
                <w:b/>
                <w:sz w:val="18"/>
              </w:rPr>
              <w:t>Year ended 31 December 2016</w:t>
            </w:r>
          </w:p>
          <w:p>
            <w:pPr>
              <w:pStyle w:val="TableParagraph"/>
              <w:spacing w:before="29"/>
              <w:ind w:left="35"/>
              <w:rPr>
                <w:sz w:val="18"/>
              </w:rPr>
            </w:pPr>
            <w:r>
              <w:rPr>
                <w:sz w:val="18"/>
              </w:rPr>
              <w:t>Balance at the begining of the year</w:t>
            </w:r>
          </w:p>
        </w:tc>
        <w:tc>
          <w:tcPr>
            <w:tcW w:w="1437" w:type="dxa"/>
          </w:tcPr>
          <w:p>
            <w:pPr>
              <w:pStyle w:val="TableParagraph"/>
              <w:spacing w:before="11"/>
              <w:rPr>
                <w:b/>
                <w:sz w:val="25"/>
              </w:rPr>
            </w:pPr>
          </w:p>
          <w:p>
            <w:pPr>
              <w:pStyle w:val="TableParagraph"/>
              <w:ind w:right="224"/>
              <w:jc w:val="right"/>
              <w:rPr>
                <w:sz w:val="18"/>
              </w:rPr>
            </w:pPr>
            <w:r>
              <w:rPr>
                <w:w w:val="95"/>
                <w:sz w:val="18"/>
              </w:rPr>
              <w:t>57,802</w:t>
            </w:r>
          </w:p>
        </w:tc>
        <w:tc>
          <w:tcPr>
            <w:tcW w:w="1372" w:type="dxa"/>
          </w:tcPr>
          <w:p>
            <w:pPr>
              <w:pStyle w:val="TableParagraph"/>
              <w:spacing w:before="11"/>
              <w:rPr>
                <w:b/>
                <w:sz w:val="25"/>
              </w:rPr>
            </w:pPr>
          </w:p>
          <w:p>
            <w:pPr>
              <w:pStyle w:val="TableParagraph"/>
              <w:ind w:left="520"/>
              <w:rPr>
                <w:sz w:val="18"/>
              </w:rPr>
            </w:pPr>
            <w:r>
              <w:rPr>
                <w:sz w:val="18"/>
              </w:rPr>
              <w:t>96,609</w:t>
            </w:r>
          </w:p>
        </w:tc>
        <w:tc>
          <w:tcPr>
            <w:tcW w:w="1083" w:type="dxa"/>
          </w:tcPr>
          <w:p>
            <w:pPr>
              <w:pStyle w:val="TableParagraph"/>
              <w:spacing w:before="11"/>
              <w:rPr>
                <w:b/>
                <w:sz w:val="25"/>
              </w:rPr>
            </w:pPr>
          </w:p>
          <w:p>
            <w:pPr>
              <w:pStyle w:val="TableParagraph"/>
              <w:ind w:left="345"/>
              <w:rPr>
                <w:sz w:val="18"/>
              </w:rPr>
            </w:pPr>
            <w:r>
              <w:rPr>
                <w:sz w:val="18"/>
              </w:rPr>
              <w:t>154,411</w:t>
            </w:r>
          </w:p>
        </w:tc>
      </w:tr>
      <w:tr>
        <w:trPr>
          <w:trHeight w:val="305" w:hRule="exact"/>
        </w:trPr>
        <w:tc>
          <w:tcPr>
            <w:tcW w:w="5051" w:type="dxa"/>
          </w:tcPr>
          <w:p>
            <w:pPr>
              <w:pStyle w:val="TableParagraph"/>
              <w:spacing w:before="61"/>
              <w:ind w:left="35"/>
              <w:rPr>
                <w:sz w:val="18"/>
              </w:rPr>
            </w:pPr>
            <w:r>
              <w:rPr>
                <w:sz w:val="18"/>
              </w:rPr>
              <w:t>Additions</w:t>
            </w:r>
          </w:p>
        </w:tc>
        <w:tc>
          <w:tcPr>
            <w:tcW w:w="1437" w:type="dxa"/>
          </w:tcPr>
          <w:p>
            <w:pPr>
              <w:pStyle w:val="TableParagraph"/>
              <w:spacing w:before="60"/>
              <w:ind w:right="368"/>
              <w:jc w:val="right"/>
              <w:rPr>
                <w:sz w:val="18"/>
              </w:rPr>
            </w:pPr>
            <w:r>
              <w:rPr>
                <w:w w:val="99"/>
                <w:sz w:val="18"/>
              </w:rPr>
              <w:t>-</w:t>
            </w:r>
          </w:p>
        </w:tc>
        <w:tc>
          <w:tcPr>
            <w:tcW w:w="1372" w:type="dxa"/>
          </w:tcPr>
          <w:p>
            <w:pPr>
              <w:pStyle w:val="TableParagraph"/>
              <w:spacing w:before="60"/>
              <w:ind w:left="867"/>
              <w:rPr>
                <w:sz w:val="18"/>
              </w:rPr>
            </w:pPr>
            <w:r>
              <w:rPr>
                <w:w w:val="99"/>
                <w:sz w:val="18"/>
              </w:rPr>
              <w:t>-</w:t>
            </w:r>
          </w:p>
        </w:tc>
        <w:tc>
          <w:tcPr>
            <w:tcW w:w="1083" w:type="dxa"/>
          </w:tcPr>
          <w:p>
            <w:pPr>
              <w:pStyle w:val="TableParagraph"/>
              <w:spacing w:before="60"/>
              <w:ind w:right="228"/>
              <w:jc w:val="right"/>
              <w:rPr>
                <w:sz w:val="18"/>
              </w:rPr>
            </w:pPr>
            <w:r>
              <w:rPr>
                <w:w w:val="99"/>
                <w:sz w:val="18"/>
              </w:rPr>
              <w:t>-</w:t>
            </w:r>
          </w:p>
        </w:tc>
      </w:tr>
      <w:tr>
        <w:trPr>
          <w:trHeight w:val="264" w:hRule="exact"/>
        </w:trPr>
        <w:tc>
          <w:tcPr>
            <w:tcW w:w="5051" w:type="dxa"/>
          </w:tcPr>
          <w:p>
            <w:pPr>
              <w:pStyle w:val="TableParagraph"/>
              <w:spacing w:before="19"/>
              <w:ind w:left="35"/>
              <w:rPr>
                <w:sz w:val="18"/>
              </w:rPr>
            </w:pPr>
            <w:r>
              <w:rPr>
                <w:sz w:val="18"/>
              </w:rPr>
              <w:t>Disposals - written down value</w:t>
            </w:r>
          </w:p>
        </w:tc>
        <w:tc>
          <w:tcPr>
            <w:tcW w:w="1437" w:type="dxa"/>
          </w:tcPr>
          <w:p>
            <w:pPr>
              <w:pStyle w:val="TableParagraph"/>
              <w:spacing w:before="18"/>
              <w:ind w:right="164"/>
              <w:jc w:val="right"/>
              <w:rPr>
                <w:sz w:val="18"/>
              </w:rPr>
            </w:pPr>
            <w:r>
              <w:rPr>
                <w:w w:val="95"/>
                <w:sz w:val="18"/>
              </w:rPr>
              <w:t>(1,224)</w:t>
            </w:r>
          </w:p>
        </w:tc>
        <w:tc>
          <w:tcPr>
            <w:tcW w:w="1372" w:type="dxa"/>
          </w:tcPr>
          <w:p>
            <w:pPr>
              <w:pStyle w:val="TableParagraph"/>
              <w:spacing w:before="18"/>
              <w:ind w:left="460"/>
              <w:rPr>
                <w:sz w:val="18"/>
              </w:rPr>
            </w:pPr>
            <w:r>
              <w:rPr>
                <w:sz w:val="18"/>
              </w:rPr>
              <w:t>(39,020)</w:t>
            </w:r>
          </w:p>
        </w:tc>
        <w:tc>
          <w:tcPr>
            <w:tcW w:w="1083" w:type="dxa"/>
          </w:tcPr>
          <w:p>
            <w:pPr>
              <w:pStyle w:val="TableParagraph"/>
              <w:spacing w:before="18"/>
              <w:ind w:right="24"/>
              <w:jc w:val="right"/>
              <w:rPr>
                <w:sz w:val="18"/>
              </w:rPr>
            </w:pPr>
            <w:r>
              <w:rPr>
                <w:w w:val="95"/>
                <w:sz w:val="18"/>
              </w:rPr>
              <w:t>(40,244)</w:t>
            </w:r>
          </w:p>
        </w:tc>
      </w:tr>
      <w:tr>
        <w:trPr>
          <w:trHeight w:val="262" w:hRule="exact"/>
        </w:trPr>
        <w:tc>
          <w:tcPr>
            <w:tcW w:w="5051" w:type="dxa"/>
          </w:tcPr>
          <w:p>
            <w:pPr>
              <w:pStyle w:val="TableParagraph"/>
              <w:spacing w:before="19"/>
              <w:ind w:left="35"/>
              <w:rPr>
                <w:sz w:val="18"/>
              </w:rPr>
            </w:pPr>
            <w:r>
              <w:rPr>
                <w:sz w:val="18"/>
              </w:rPr>
              <w:t>Depreciation charge</w:t>
            </w:r>
          </w:p>
        </w:tc>
        <w:tc>
          <w:tcPr>
            <w:tcW w:w="1437" w:type="dxa"/>
            <w:tcBorders>
              <w:bottom w:val="single" w:sz="0" w:space="0" w:color="000000"/>
            </w:tcBorders>
          </w:tcPr>
          <w:p>
            <w:pPr>
              <w:pStyle w:val="TableParagraph"/>
              <w:spacing w:before="18"/>
              <w:ind w:right="164"/>
              <w:jc w:val="right"/>
              <w:rPr>
                <w:sz w:val="18"/>
              </w:rPr>
            </w:pPr>
            <w:r>
              <w:rPr>
                <w:w w:val="95"/>
                <w:sz w:val="18"/>
              </w:rPr>
              <w:t>(15,646)</w:t>
            </w:r>
          </w:p>
        </w:tc>
        <w:tc>
          <w:tcPr>
            <w:tcW w:w="1372" w:type="dxa"/>
            <w:tcBorders>
              <w:bottom w:val="single" w:sz="0" w:space="0" w:color="000000"/>
            </w:tcBorders>
          </w:tcPr>
          <w:p>
            <w:pPr>
              <w:pStyle w:val="TableParagraph"/>
              <w:spacing w:before="18"/>
              <w:ind w:left="460"/>
              <w:rPr>
                <w:sz w:val="18"/>
              </w:rPr>
            </w:pPr>
            <w:r>
              <w:rPr>
                <w:sz w:val="18"/>
              </w:rPr>
              <w:t>(32,378)</w:t>
            </w:r>
          </w:p>
        </w:tc>
        <w:tc>
          <w:tcPr>
            <w:tcW w:w="1083" w:type="dxa"/>
            <w:tcBorders>
              <w:bottom w:val="single" w:sz="0" w:space="0" w:color="000000"/>
            </w:tcBorders>
          </w:tcPr>
          <w:p>
            <w:pPr>
              <w:pStyle w:val="TableParagraph"/>
              <w:spacing w:before="18"/>
              <w:ind w:right="24"/>
              <w:jc w:val="right"/>
              <w:rPr>
                <w:sz w:val="18"/>
              </w:rPr>
            </w:pPr>
            <w:r>
              <w:rPr>
                <w:w w:val="95"/>
                <w:sz w:val="18"/>
              </w:rPr>
              <w:t>(48,024)</w:t>
            </w:r>
          </w:p>
        </w:tc>
      </w:tr>
      <w:tr>
        <w:trPr>
          <w:trHeight w:val="353" w:hRule="exact"/>
        </w:trPr>
        <w:tc>
          <w:tcPr>
            <w:tcW w:w="5051" w:type="dxa"/>
          </w:tcPr>
          <w:p>
            <w:pPr>
              <w:pStyle w:val="TableParagraph"/>
              <w:spacing w:before="123"/>
              <w:ind w:left="35"/>
              <w:rPr>
                <w:b/>
                <w:sz w:val="18"/>
              </w:rPr>
            </w:pPr>
            <w:r>
              <w:rPr>
                <w:b/>
                <w:sz w:val="18"/>
              </w:rPr>
              <w:t>Balance at the end of the year</w:t>
            </w:r>
          </w:p>
        </w:tc>
        <w:tc>
          <w:tcPr>
            <w:tcW w:w="1437" w:type="dxa"/>
            <w:tcBorders>
              <w:top w:val="single" w:sz="0" w:space="0" w:color="000000"/>
              <w:bottom w:val="single" w:sz="0" w:space="0" w:color="000000"/>
            </w:tcBorders>
          </w:tcPr>
          <w:p>
            <w:pPr>
              <w:pStyle w:val="TableParagraph"/>
              <w:spacing w:before="122"/>
              <w:ind w:right="224"/>
              <w:jc w:val="right"/>
              <w:rPr>
                <w:sz w:val="18"/>
              </w:rPr>
            </w:pPr>
            <w:r>
              <w:rPr>
                <w:w w:val="95"/>
                <w:sz w:val="18"/>
              </w:rPr>
              <w:t>40,932</w:t>
            </w:r>
          </w:p>
        </w:tc>
        <w:tc>
          <w:tcPr>
            <w:tcW w:w="1372" w:type="dxa"/>
            <w:tcBorders>
              <w:top w:val="single" w:sz="0" w:space="0" w:color="000000"/>
              <w:bottom w:val="single" w:sz="0" w:space="0" w:color="000000"/>
            </w:tcBorders>
          </w:tcPr>
          <w:p>
            <w:pPr>
              <w:pStyle w:val="TableParagraph"/>
              <w:spacing w:before="122"/>
              <w:ind w:left="520"/>
              <w:rPr>
                <w:sz w:val="18"/>
              </w:rPr>
            </w:pPr>
            <w:r>
              <w:rPr>
                <w:sz w:val="18"/>
              </w:rPr>
              <w:t>25,211</w:t>
            </w:r>
          </w:p>
        </w:tc>
        <w:tc>
          <w:tcPr>
            <w:tcW w:w="1083" w:type="dxa"/>
            <w:tcBorders>
              <w:top w:val="single" w:sz="0" w:space="0" w:color="000000"/>
              <w:bottom w:val="single" w:sz="0" w:space="0" w:color="000000"/>
            </w:tcBorders>
          </w:tcPr>
          <w:p>
            <w:pPr>
              <w:pStyle w:val="TableParagraph"/>
              <w:spacing w:before="122"/>
              <w:ind w:left="445"/>
              <w:rPr>
                <w:sz w:val="18"/>
              </w:rPr>
            </w:pPr>
            <w:r>
              <w:rPr>
                <w:sz w:val="18"/>
              </w:rPr>
              <w:t>66,143</w:t>
            </w:r>
          </w:p>
        </w:tc>
      </w:tr>
    </w:tbl>
    <w:p>
      <w:pPr>
        <w:spacing w:after="0"/>
        <w:rPr>
          <w:sz w:val="18"/>
        </w:rPr>
        <w:sectPr>
          <w:pgSz w:w="11910" w:h="16840"/>
          <w:pgMar w:header="1038" w:footer="460" w:top="2440" w:bottom="700" w:left="860" w:right="860"/>
        </w:sectPr>
      </w:pPr>
    </w:p>
    <w:p>
      <w:pPr>
        <w:pStyle w:val="BodyText"/>
        <w:rPr>
          <w:b/>
          <w:sz w:val="20"/>
        </w:rPr>
      </w:pPr>
    </w:p>
    <w:p>
      <w:pPr>
        <w:spacing w:after="0"/>
        <w:rPr>
          <w:sz w:val="20"/>
        </w:rPr>
        <w:sectPr>
          <w:pgSz w:w="11910" w:h="16840"/>
          <w:pgMar w:header="1038" w:footer="460" w:top="2440" w:bottom="700" w:left="860" w:right="860"/>
        </w:sectPr>
      </w:pPr>
    </w:p>
    <w:p>
      <w:pPr>
        <w:pStyle w:val="BodyText"/>
        <w:spacing w:before="10"/>
        <w:rPr>
          <w:b/>
          <w:sz w:val="17"/>
        </w:rPr>
      </w:pPr>
    </w:p>
    <w:p>
      <w:pPr>
        <w:spacing w:before="1"/>
        <w:ind w:left="149" w:right="-20" w:firstLine="0"/>
        <w:jc w:val="left"/>
        <w:rPr>
          <w:b/>
          <w:sz w:val="18"/>
        </w:rPr>
      </w:pPr>
      <w:r>
        <w:rPr>
          <w:b/>
          <w:sz w:val="18"/>
        </w:rPr>
        <w:t>12    Intangible assets</w:t>
      </w:r>
    </w:p>
    <w:p>
      <w:pPr>
        <w:pStyle w:val="BodyText"/>
        <w:rPr>
          <w:b/>
        </w:rPr>
      </w:pPr>
    </w:p>
    <w:p>
      <w:pPr>
        <w:pStyle w:val="BodyText"/>
        <w:spacing w:before="7"/>
        <w:rPr>
          <w:b/>
          <w:sz w:val="26"/>
        </w:rPr>
      </w:pPr>
    </w:p>
    <w:p>
      <w:pPr>
        <w:spacing w:before="0"/>
        <w:ind w:left="544" w:right="-20" w:firstLine="0"/>
        <w:jc w:val="left"/>
        <w:rPr>
          <w:b/>
          <w:sz w:val="18"/>
        </w:rPr>
      </w:pPr>
      <w:r>
        <w:rPr>
          <w:b/>
          <w:sz w:val="18"/>
        </w:rPr>
        <w:t>At 1 January 2017</w:t>
      </w:r>
    </w:p>
    <w:p>
      <w:pPr>
        <w:pStyle w:val="BodyText"/>
        <w:rPr>
          <w:b/>
        </w:rPr>
      </w:pPr>
      <w:r>
        <w:rPr/>
        <w:br w:type="column"/>
      </w:r>
      <w:r>
        <w:rPr>
          <w:b/>
        </w:rPr>
      </w:r>
    </w:p>
    <w:p>
      <w:pPr>
        <w:pStyle w:val="BodyText"/>
        <w:rPr>
          <w:b/>
        </w:rPr>
      </w:pPr>
    </w:p>
    <w:p>
      <w:pPr>
        <w:pStyle w:val="BodyText"/>
        <w:spacing w:before="8"/>
        <w:rPr>
          <w:b/>
          <w:sz w:val="20"/>
        </w:rPr>
      </w:pPr>
    </w:p>
    <w:p>
      <w:pPr>
        <w:spacing w:before="0"/>
        <w:ind w:left="149" w:right="0" w:firstLine="0"/>
        <w:jc w:val="center"/>
        <w:rPr>
          <w:b/>
          <w:sz w:val="18"/>
        </w:rPr>
      </w:pPr>
      <w:r>
        <w:rPr>
          <w:b/>
          <w:sz w:val="18"/>
        </w:rPr>
        <w:t>Software</w:t>
      </w:r>
    </w:p>
    <w:p>
      <w:pPr>
        <w:spacing w:before="66"/>
        <w:ind w:left="153" w:right="0" w:firstLine="0"/>
        <w:jc w:val="center"/>
        <w:rPr>
          <w:b/>
          <w:sz w:val="18"/>
        </w:rPr>
      </w:pPr>
      <w:r>
        <w:rPr>
          <w:b/>
          <w:w w:val="99"/>
          <w:sz w:val="18"/>
        </w:rPr>
        <w:t>$</w:t>
      </w:r>
    </w:p>
    <w:p>
      <w:pPr>
        <w:pStyle w:val="BodyText"/>
        <w:rPr>
          <w:b/>
        </w:rPr>
      </w:pPr>
      <w:r>
        <w:rPr/>
        <w:br w:type="column"/>
      </w:r>
      <w:r>
        <w:rPr>
          <w:b/>
        </w:rPr>
      </w:r>
    </w:p>
    <w:p>
      <w:pPr>
        <w:pStyle w:val="BodyText"/>
        <w:spacing w:before="9"/>
        <w:rPr>
          <w:b/>
          <w:sz w:val="20"/>
        </w:rPr>
      </w:pPr>
    </w:p>
    <w:p>
      <w:pPr>
        <w:spacing w:before="0"/>
        <w:ind w:left="149" w:right="0" w:firstLine="0"/>
        <w:jc w:val="center"/>
        <w:rPr>
          <w:b/>
          <w:sz w:val="18"/>
        </w:rPr>
      </w:pPr>
      <w:r>
        <w:rPr>
          <w:b/>
          <w:sz w:val="18"/>
        </w:rPr>
        <w:t>Franchise</w:t>
      </w:r>
      <w:r>
        <w:rPr>
          <w:b/>
          <w:w w:val="99"/>
          <w:sz w:val="18"/>
        </w:rPr>
        <w:t> </w:t>
      </w:r>
      <w:r>
        <w:rPr>
          <w:b/>
          <w:sz w:val="18"/>
        </w:rPr>
        <w:t>fees</w:t>
      </w:r>
    </w:p>
    <w:p>
      <w:pPr>
        <w:spacing w:before="66"/>
        <w:ind w:left="150" w:right="0" w:firstLine="0"/>
        <w:jc w:val="center"/>
        <w:rPr>
          <w:b/>
          <w:sz w:val="18"/>
        </w:rPr>
      </w:pPr>
      <w:r>
        <w:rPr>
          <w:b/>
          <w:w w:val="99"/>
          <w:sz w:val="18"/>
        </w:rPr>
        <w:t>$</w:t>
      </w:r>
    </w:p>
    <w:p>
      <w:pPr>
        <w:pStyle w:val="BodyText"/>
        <w:rPr>
          <w:b/>
        </w:rPr>
      </w:pPr>
      <w:r>
        <w:rPr/>
        <w:br w:type="column"/>
      </w:r>
      <w:r>
        <w:rPr>
          <w:b/>
        </w:rPr>
      </w:r>
    </w:p>
    <w:p>
      <w:pPr>
        <w:pStyle w:val="BodyText"/>
        <w:rPr>
          <w:b/>
        </w:rPr>
      </w:pPr>
    </w:p>
    <w:p>
      <w:pPr>
        <w:pStyle w:val="BodyText"/>
        <w:spacing w:before="8"/>
        <w:rPr>
          <w:b/>
          <w:sz w:val="20"/>
        </w:rPr>
      </w:pPr>
    </w:p>
    <w:p>
      <w:pPr>
        <w:spacing w:before="0"/>
        <w:ind w:left="133" w:right="535" w:firstLine="0"/>
        <w:jc w:val="center"/>
        <w:rPr>
          <w:b/>
          <w:sz w:val="18"/>
        </w:rPr>
      </w:pPr>
      <w:r>
        <w:rPr>
          <w:b/>
          <w:sz w:val="18"/>
        </w:rPr>
        <w:t>Total</w:t>
      </w:r>
    </w:p>
    <w:p>
      <w:pPr>
        <w:spacing w:before="66"/>
        <w:ind w:left="0" w:right="401" w:firstLine="0"/>
        <w:jc w:val="center"/>
        <w:rPr>
          <w:b/>
          <w:sz w:val="18"/>
        </w:rPr>
      </w:pPr>
      <w:r>
        <w:rPr>
          <w:b/>
          <w:w w:val="99"/>
          <w:sz w:val="18"/>
        </w:rPr>
        <w:t>$</w:t>
      </w:r>
    </w:p>
    <w:p>
      <w:pPr>
        <w:spacing w:after="0"/>
        <w:jc w:val="center"/>
        <w:rPr>
          <w:sz w:val="18"/>
        </w:rPr>
        <w:sectPr>
          <w:type w:val="continuous"/>
          <w:pgSz w:w="11910" w:h="16840"/>
          <w:pgMar w:top="1580" w:bottom="280" w:left="860" w:right="860"/>
          <w:cols w:num="4" w:equalWidth="0">
            <w:col w:w="2075" w:space="4202"/>
            <w:col w:w="910" w:space="357"/>
            <w:col w:w="1000" w:space="507"/>
            <w:col w:w="1139"/>
          </w:cols>
        </w:sectPr>
      </w:pPr>
    </w:p>
    <w:p>
      <w:pPr>
        <w:tabs>
          <w:tab w:pos="6834" w:val="left" w:leader="none"/>
          <w:tab w:pos="8130" w:val="left" w:leader="none"/>
          <w:tab w:pos="9427" w:val="left" w:leader="none"/>
        </w:tabs>
        <w:spacing w:before="63"/>
        <w:ind w:left="544" w:right="19" w:firstLine="0"/>
        <w:jc w:val="left"/>
        <w:rPr>
          <w:b/>
          <w:sz w:val="18"/>
        </w:rPr>
      </w:pPr>
      <w:r>
        <w:rPr>
          <w:sz w:val="18"/>
        </w:rPr>
        <w:t>Cost</w:t>
        <w:tab/>
      </w:r>
      <w:r>
        <w:rPr>
          <w:b/>
          <w:sz w:val="18"/>
        </w:rPr>
        <w:t>65,500</w:t>
        <w:tab/>
        <w:t>15,000</w:t>
        <w:tab/>
        <w:t>80,500</w:t>
      </w:r>
    </w:p>
    <w:p>
      <w:pPr>
        <w:tabs>
          <w:tab w:pos="6774" w:val="left" w:leader="none"/>
          <w:tab w:pos="7181" w:val="left" w:leader="none"/>
          <w:tab w:pos="8070" w:val="left" w:leader="none"/>
          <w:tab w:pos="8477" w:val="left" w:leader="none"/>
          <w:tab w:pos="9367" w:val="left" w:leader="none"/>
          <w:tab w:pos="9774" w:val="left" w:leader="none"/>
        </w:tabs>
        <w:spacing w:line="424" w:lineRule="auto" w:before="57"/>
        <w:ind w:left="544" w:right="144" w:firstLine="0"/>
        <w:jc w:val="left"/>
        <w:rPr>
          <w:b/>
          <w:sz w:val="18"/>
        </w:rPr>
      </w:pPr>
      <w:r>
        <w:rPr/>
        <w:pict>
          <v:group style="position:absolute;margin-left:351.609985pt;margin-top:14.482168pt;width:194.7pt;height:1pt;mso-position-horizontal-relative:page;mso-position-vertical-relative:paragraph;z-index:-1180288" coordorigin="7032,290" coordsize="3894,20">
            <v:line style="position:absolute" from="7033,291" to="8330,291" stroked="true" strokeweight=".06pt" strokecolor="#000000"/>
            <v:line style="position:absolute" from="7033,292" to="8330,292" stroked="true" strokeweight=".06pt" strokecolor="#000000"/>
            <v:line style="position:absolute" from="7033,293" to="8330,293" stroked="true" strokeweight=".06pt" strokecolor="#000000"/>
            <v:line style="position:absolute" from="7033,294" to="8330,294" stroked="true" strokeweight=".06pt" strokecolor="#000000"/>
            <v:line style="position:absolute" from="7033,295" to="8330,295" stroked="true" strokeweight=".06pt" strokecolor="#000000"/>
            <v:line style="position:absolute" from="7033,297" to="8330,297" stroked="true" strokeweight=".06pt" strokecolor="#000000"/>
            <v:line style="position:absolute" from="7033,298" to="8330,298" stroked="true" strokeweight=".06pt" strokecolor="#000000"/>
            <v:line style="position:absolute" from="7033,299" to="8330,299" stroked="true" strokeweight=".06pt" strokecolor="#000000"/>
            <v:line style="position:absolute" from="7033,300" to="8330,300" stroked="true" strokeweight=".06pt" strokecolor="#000000"/>
            <v:line style="position:absolute" from="7033,301" to="8330,301" stroked="true" strokeweight=".06pt" strokecolor="#000000"/>
            <v:line style="position:absolute" from="7033,303" to="8330,303" stroked="true" strokeweight=".06pt" strokecolor="#000000"/>
            <v:line style="position:absolute" from="7033,304" to="8330,304" stroked="true" strokeweight=".06pt" strokecolor="#000000"/>
            <v:line style="position:absolute" from="7033,305" to="8330,305" stroked="true" strokeweight=".06pt" strokecolor="#000000"/>
            <v:line style="position:absolute" from="7033,306" to="8330,306" stroked="true" strokeweight=".06pt" strokecolor="#000000"/>
            <v:line style="position:absolute" from="7033,307" to="8330,307" stroked="true" strokeweight=".06pt" strokecolor="#000000"/>
            <v:line style="position:absolute" from="7033,309" to="8330,309" stroked="true" strokeweight=".06pt" strokecolor="#000000"/>
            <v:line style="position:absolute" from="8330,291" to="9628,291" stroked="true" strokeweight=".06pt" strokecolor="#000000"/>
            <v:line style="position:absolute" from="8330,292" to="9628,292" stroked="true" strokeweight=".06pt" strokecolor="#000000"/>
            <v:line style="position:absolute" from="8330,293" to="9628,293" stroked="true" strokeweight=".06pt" strokecolor="#000000"/>
            <v:line style="position:absolute" from="8330,294" to="9628,294" stroked="true" strokeweight=".06pt" strokecolor="#000000"/>
            <v:line style="position:absolute" from="8330,295" to="9628,295" stroked="true" strokeweight=".06pt" strokecolor="#000000"/>
            <v:line style="position:absolute" from="8330,297" to="9628,297" stroked="true" strokeweight=".06pt" strokecolor="#000000"/>
            <v:line style="position:absolute" from="8330,298" to="9628,298" stroked="true" strokeweight=".06pt" strokecolor="#000000"/>
            <v:line style="position:absolute" from="8330,299" to="9628,299" stroked="true" strokeweight=".06pt" strokecolor="#000000"/>
            <v:line style="position:absolute" from="8330,300" to="9628,300" stroked="true" strokeweight=".06pt" strokecolor="#000000"/>
            <v:line style="position:absolute" from="8330,301" to="9628,301" stroked="true" strokeweight=".06pt" strokecolor="#000000"/>
            <v:line style="position:absolute" from="8330,303" to="9628,303" stroked="true" strokeweight=".06pt" strokecolor="#000000"/>
            <v:line style="position:absolute" from="8330,304" to="9628,304" stroked="true" strokeweight=".06pt" strokecolor="#000000"/>
            <v:line style="position:absolute" from="8330,305" to="9628,305" stroked="true" strokeweight=".06pt" strokecolor="#000000"/>
            <v:line style="position:absolute" from="8330,306" to="9628,306" stroked="true" strokeweight=".06pt" strokecolor="#000000"/>
            <v:line style="position:absolute" from="8330,307" to="9628,307" stroked="true" strokeweight=".06pt" strokecolor="#000000"/>
            <v:line style="position:absolute" from="8330,309" to="9628,309" stroked="true" strokeweight=".06pt" strokecolor="#000000"/>
            <v:line style="position:absolute" from="9628,291" to="10925,291" stroked="true" strokeweight=".06pt" strokecolor="#000000"/>
            <v:line style="position:absolute" from="9628,292" to="10925,292" stroked="true" strokeweight=".06pt" strokecolor="#000000"/>
            <v:line style="position:absolute" from="9628,293" to="10925,293" stroked="true" strokeweight=".06pt" strokecolor="#000000"/>
            <v:line style="position:absolute" from="9628,294" to="10925,294" stroked="true" strokeweight=".06pt" strokecolor="#000000"/>
            <v:line style="position:absolute" from="9628,295" to="10925,295" stroked="true" strokeweight=".06pt" strokecolor="#000000"/>
            <v:line style="position:absolute" from="9628,297" to="10925,297" stroked="true" strokeweight=".06pt" strokecolor="#000000"/>
            <v:line style="position:absolute" from="9628,298" to="10925,298" stroked="true" strokeweight=".06pt" strokecolor="#000000"/>
            <v:line style="position:absolute" from="9628,299" to="10925,299" stroked="true" strokeweight=".06pt" strokecolor="#000000"/>
            <v:line style="position:absolute" from="9628,300" to="10925,300" stroked="true" strokeweight=".06pt" strokecolor="#000000"/>
            <v:line style="position:absolute" from="9628,301" to="10925,301" stroked="true" strokeweight=".06pt" strokecolor="#000000"/>
            <v:line style="position:absolute" from="9628,303" to="10925,303" stroked="true" strokeweight=".06pt" strokecolor="#000000"/>
            <v:line style="position:absolute" from="9628,304" to="10925,304" stroked="true" strokeweight=".06pt" strokecolor="#000000"/>
            <v:line style="position:absolute" from="9628,305" to="10925,305" stroked="true" strokeweight=".06pt" strokecolor="#000000"/>
            <v:line style="position:absolute" from="9628,306" to="10925,306" stroked="true" strokeweight=".06pt" strokecolor="#000000"/>
            <v:line style="position:absolute" from="9628,307" to="10925,307" stroked="true" strokeweight=".06pt" strokecolor="#000000"/>
            <v:line style="position:absolute" from="9628,309" to="10925,309" stroked="true" strokeweight=".06pt" strokecolor="#000000"/>
            <w10:wrap type="none"/>
          </v:group>
        </w:pict>
      </w:r>
      <w:r>
        <w:rPr/>
        <w:pict>
          <v:group style="position:absolute;margin-left:351.609985pt;margin-top:31.402168pt;width:194.7pt;height:3.05pt;mso-position-horizontal-relative:page;mso-position-vertical-relative:paragraph;z-index:-1180264" coordorigin="7032,628" coordsize="3894,61">
            <v:line style="position:absolute" from="7033,629" to="8330,629" stroked="true" strokeweight=".06pt" strokecolor="#000000"/>
            <v:line style="position:absolute" from="7033,630" to="8330,630" stroked="true" strokeweight=".06pt" strokecolor="#000000"/>
            <v:line style="position:absolute" from="7033,631" to="8330,631" stroked="true" strokeweight=".06pt" strokecolor="#000000"/>
            <v:line style="position:absolute" from="7033,633" to="8330,633" stroked="true" strokeweight=".06pt" strokecolor="#000000"/>
            <v:line style="position:absolute" from="7033,634" to="8330,634" stroked="true" strokeweight=".06pt" strokecolor="#000000"/>
            <v:line style="position:absolute" from="7033,635" to="8330,635" stroked="true" strokeweight=".06pt" strokecolor="#000000"/>
            <v:line style="position:absolute" from="7033,636" to="8330,636" stroked="true" strokeweight=".06pt" strokecolor="#000000"/>
            <v:line style="position:absolute" from="7033,637" to="8330,637" stroked="true" strokeweight=".06pt" strokecolor="#000000"/>
            <v:line style="position:absolute" from="7033,639" to="8330,639" stroked="true" strokeweight=".06pt" strokecolor="#000000"/>
            <v:line style="position:absolute" from="7033,640" to="8330,640" stroked="true" strokeweight=".06pt" strokecolor="#000000"/>
            <v:line style="position:absolute" from="7033,641" to="8330,641" stroked="true" strokeweight=".06pt" strokecolor="#000000"/>
            <v:line style="position:absolute" from="7033,642" to="8330,642" stroked="true" strokeweight=".06pt" strokecolor="#000000"/>
            <v:line style="position:absolute" from="7033,643" to="8330,643" stroked="true" strokeweight=".06pt" strokecolor="#000000"/>
            <v:line style="position:absolute" from="7033,645" to="8330,645" stroked="true" strokeweight=".06pt" strokecolor="#000000"/>
            <v:line style="position:absolute" from="7033,646" to="8330,646" stroked="true" strokeweight=".06pt" strokecolor="#000000"/>
            <v:line style="position:absolute" from="7033,647" to="8330,647" stroked="true" strokeweight=".06pt" strokecolor="#000000"/>
            <v:line style="position:absolute" from="7033,670" to="8330,670" stroked="true" strokeweight=".06pt" strokecolor="#000000"/>
            <v:line style="position:absolute" from="7033,671" to="8330,671" stroked="true" strokeweight=".06pt" strokecolor="#000000"/>
            <v:line style="position:absolute" from="7033,672" to="8330,672" stroked="true" strokeweight=".06pt" strokecolor="#000000"/>
            <v:line style="position:absolute" from="7033,673" to="8330,673" stroked="true" strokeweight=".06pt" strokecolor="#000000"/>
            <v:line style="position:absolute" from="7033,675" to="8330,675" stroked="true" strokeweight=".06pt" strokecolor="#000000"/>
            <v:line style="position:absolute" from="7033,676" to="8330,676" stroked="true" strokeweight=".06pt" strokecolor="#000000"/>
            <v:line style="position:absolute" from="7033,677" to="8330,677" stroked="true" strokeweight=".06pt" strokecolor="#000000"/>
            <v:line style="position:absolute" from="7033,678" to="8330,678" stroked="true" strokeweight=".06pt" strokecolor="#000000"/>
            <v:line style="position:absolute" from="7033,679" to="8330,679" stroked="true" strokeweight=".06pt" strokecolor="#000000"/>
            <v:line style="position:absolute" from="7033,681" to="8330,681" stroked="true" strokeweight=".06pt" strokecolor="#000000"/>
            <v:line style="position:absolute" from="7033,682" to="8330,682" stroked="true" strokeweight=".06pt" strokecolor="#000000"/>
            <v:line style="position:absolute" from="7033,683" to="8330,683" stroked="true" strokeweight=".06pt" strokecolor="#000000"/>
            <v:line style="position:absolute" from="7033,684" to="8330,684" stroked="true" strokeweight=".06pt" strokecolor="#000000"/>
            <v:line style="position:absolute" from="7033,685" to="8330,685" stroked="true" strokeweight=".06pt" strokecolor="#000000"/>
            <v:line style="position:absolute" from="7033,687" to="8330,687" stroked="true" strokeweight=".06pt" strokecolor="#000000"/>
            <v:line style="position:absolute" from="7033,688" to="8330,688" stroked="true" strokeweight=".06pt" strokecolor="#000000"/>
            <v:line style="position:absolute" from="8330,629" to="9628,629" stroked="true" strokeweight=".06pt" strokecolor="#000000"/>
            <v:line style="position:absolute" from="8330,630" to="9628,630" stroked="true" strokeweight=".06pt" strokecolor="#000000"/>
            <v:line style="position:absolute" from="8330,631" to="9628,631" stroked="true" strokeweight=".06pt" strokecolor="#000000"/>
            <v:line style="position:absolute" from="8330,633" to="9628,633" stroked="true" strokeweight=".06pt" strokecolor="#000000"/>
            <v:line style="position:absolute" from="8330,634" to="9628,634" stroked="true" strokeweight=".06pt" strokecolor="#000000"/>
            <v:line style="position:absolute" from="8330,635" to="9628,635" stroked="true" strokeweight=".06pt" strokecolor="#000000"/>
            <v:line style="position:absolute" from="8330,636" to="9628,636" stroked="true" strokeweight=".06pt" strokecolor="#000000"/>
            <v:line style="position:absolute" from="8330,637" to="9628,637" stroked="true" strokeweight=".06pt" strokecolor="#000000"/>
            <v:line style="position:absolute" from="8330,639" to="9628,639" stroked="true" strokeweight=".06pt" strokecolor="#000000"/>
            <v:line style="position:absolute" from="8330,640" to="9628,640" stroked="true" strokeweight=".06pt" strokecolor="#000000"/>
            <v:line style="position:absolute" from="8330,641" to="9628,641" stroked="true" strokeweight=".06pt" strokecolor="#000000"/>
            <v:line style="position:absolute" from="8330,642" to="9628,642" stroked="true" strokeweight=".06pt" strokecolor="#000000"/>
            <v:line style="position:absolute" from="8330,643" to="9628,643" stroked="true" strokeweight=".06pt" strokecolor="#000000"/>
            <v:line style="position:absolute" from="8330,645" to="9628,645" stroked="true" strokeweight=".06pt" strokecolor="#000000"/>
            <v:line style="position:absolute" from="8330,646" to="9628,646" stroked="true" strokeweight=".06pt" strokecolor="#000000"/>
            <v:line style="position:absolute" from="8330,647" to="9628,647" stroked="true" strokeweight=".06pt" strokecolor="#000000"/>
            <v:line style="position:absolute" from="8330,670" to="9628,670" stroked="true" strokeweight=".06pt" strokecolor="#000000"/>
            <v:line style="position:absolute" from="8330,671" to="9628,671" stroked="true" strokeweight=".06pt" strokecolor="#000000"/>
            <v:line style="position:absolute" from="8330,672" to="9628,672" stroked="true" strokeweight=".06pt" strokecolor="#000000"/>
            <v:line style="position:absolute" from="8330,673" to="9628,673" stroked="true" strokeweight=".06pt" strokecolor="#000000"/>
            <v:line style="position:absolute" from="8330,675" to="9628,675" stroked="true" strokeweight=".06pt" strokecolor="#000000"/>
            <v:line style="position:absolute" from="8330,676" to="9628,676" stroked="true" strokeweight=".06pt" strokecolor="#000000"/>
            <v:line style="position:absolute" from="8330,677" to="9628,677" stroked="true" strokeweight=".06pt" strokecolor="#000000"/>
            <v:line style="position:absolute" from="8330,678" to="9628,678" stroked="true" strokeweight=".06pt" strokecolor="#000000"/>
            <v:line style="position:absolute" from="8330,679" to="9628,679" stroked="true" strokeweight=".06pt" strokecolor="#000000"/>
            <v:line style="position:absolute" from="8330,681" to="9628,681" stroked="true" strokeweight=".06pt" strokecolor="#000000"/>
            <v:line style="position:absolute" from="8330,682" to="9628,682" stroked="true" strokeweight=".06pt" strokecolor="#000000"/>
            <v:line style="position:absolute" from="8330,683" to="9628,683" stroked="true" strokeweight=".06pt" strokecolor="#000000"/>
            <v:line style="position:absolute" from="8330,684" to="9628,684" stroked="true" strokeweight=".06pt" strokecolor="#000000"/>
            <v:line style="position:absolute" from="8330,685" to="9628,685" stroked="true" strokeweight=".06pt" strokecolor="#000000"/>
            <v:line style="position:absolute" from="8330,687" to="9628,687" stroked="true" strokeweight=".06pt" strokecolor="#000000"/>
            <v:line style="position:absolute" from="8330,688" to="9628,688" stroked="true" strokeweight=".06pt" strokecolor="#000000"/>
            <v:line style="position:absolute" from="9628,629" to="10925,629" stroked="true" strokeweight=".06pt" strokecolor="#000000"/>
            <v:line style="position:absolute" from="9628,630" to="10925,630" stroked="true" strokeweight=".06pt" strokecolor="#000000"/>
            <v:line style="position:absolute" from="9628,631" to="10925,631" stroked="true" strokeweight=".06pt" strokecolor="#000000"/>
            <v:line style="position:absolute" from="9628,633" to="10925,633" stroked="true" strokeweight=".06pt" strokecolor="#000000"/>
            <v:line style="position:absolute" from="9628,634" to="10925,634" stroked="true" strokeweight=".06pt" strokecolor="#000000"/>
            <v:line style="position:absolute" from="9628,635" to="10925,635" stroked="true" strokeweight=".06pt" strokecolor="#000000"/>
            <v:line style="position:absolute" from="9628,636" to="10925,636" stroked="true" strokeweight=".06pt" strokecolor="#000000"/>
            <v:line style="position:absolute" from="9628,637" to="10925,637" stroked="true" strokeweight=".06pt" strokecolor="#000000"/>
            <v:line style="position:absolute" from="9628,639" to="10925,639" stroked="true" strokeweight=".06pt" strokecolor="#000000"/>
            <v:line style="position:absolute" from="9628,640" to="10925,640" stroked="true" strokeweight=".06pt" strokecolor="#000000"/>
            <v:line style="position:absolute" from="9628,641" to="10925,641" stroked="true" strokeweight=".06pt" strokecolor="#000000"/>
            <v:line style="position:absolute" from="9628,642" to="10925,642" stroked="true" strokeweight=".06pt" strokecolor="#000000"/>
            <v:line style="position:absolute" from="9628,643" to="10925,643" stroked="true" strokeweight=".06pt" strokecolor="#000000"/>
            <v:line style="position:absolute" from="9628,645" to="10925,645" stroked="true" strokeweight=".06pt" strokecolor="#000000"/>
            <v:line style="position:absolute" from="9628,646" to="10925,646" stroked="true" strokeweight=".06pt" strokecolor="#000000"/>
            <v:line style="position:absolute" from="9628,647" to="10925,647" stroked="true" strokeweight=".06pt" strokecolor="#000000"/>
            <v:line style="position:absolute" from="9628,670" to="10925,670" stroked="true" strokeweight=".06pt" strokecolor="#000000"/>
            <v:line style="position:absolute" from="9628,671" to="10925,671" stroked="true" strokeweight=".06pt" strokecolor="#000000"/>
            <v:line style="position:absolute" from="9628,672" to="10925,672" stroked="true" strokeweight=".06pt" strokecolor="#000000"/>
            <v:line style="position:absolute" from="9628,673" to="10925,673" stroked="true" strokeweight=".06pt" strokecolor="#000000"/>
            <v:line style="position:absolute" from="9628,675" to="10925,675" stroked="true" strokeweight=".06pt" strokecolor="#000000"/>
            <v:line style="position:absolute" from="9628,676" to="10925,676" stroked="true" strokeweight=".06pt" strokecolor="#000000"/>
            <v:line style="position:absolute" from="9628,677" to="10925,677" stroked="true" strokeweight=".06pt" strokecolor="#000000"/>
            <v:line style="position:absolute" from="9628,678" to="10925,678" stroked="true" strokeweight=".06pt" strokecolor="#000000"/>
            <v:line style="position:absolute" from="9628,679" to="10925,679" stroked="true" strokeweight=".06pt" strokecolor="#000000"/>
            <v:line style="position:absolute" from="9628,681" to="10925,681" stroked="true" strokeweight=".06pt" strokecolor="#000000"/>
            <v:line style="position:absolute" from="9628,682" to="10925,682" stroked="true" strokeweight=".06pt" strokecolor="#000000"/>
            <v:line style="position:absolute" from="9628,683" to="10925,683" stroked="true" strokeweight=".06pt" strokecolor="#000000"/>
            <v:line style="position:absolute" from="9628,684" to="10925,684" stroked="true" strokeweight=".06pt" strokecolor="#000000"/>
            <v:line style="position:absolute" from="9628,685" to="10925,685" stroked="true" strokeweight=".06pt" strokecolor="#000000"/>
            <v:line style="position:absolute" from="9628,687" to="10925,687" stroked="true" strokeweight=".06pt" strokecolor="#000000"/>
            <v:line style="position:absolute" from="9628,688" to="10925,688" stroked="true" strokeweight=".06pt" strokecolor="#000000"/>
            <w10:wrap type="none"/>
          </v:group>
        </w:pict>
      </w:r>
      <w:r>
        <w:rPr>
          <w:sz w:val="18"/>
        </w:rPr>
        <w:t>Accumulated</w:t>
      </w:r>
      <w:r>
        <w:rPr>
          <w:spacing w:val="-1"/>
          <w:sz w:val="18"/>
        </w:rPr>
        <w:t> </w:t>
      </w:r>
      <w:r>
        <w:rPr>
          <w:sz w:val="18"/>
        </w:rPr>
        <w:t>amortisation</w:t>
        <w:tab/>
      </w:r>
      <w:r>
        <w:rPr>
          <w:b/>
          <w:sz w:val="18"/>
        </w:rPr>
        <w:t>(65,500)</w:t>
        <w:tab/>
        <w:t>(15,000)</w:t>
        <w:tab/>
        <w:t>(80,500) Net book amount</w:t>
        <w:tab/>
        <w:tab/>
        <w:t>-</w:t>
        <w:tab/>
        <w:tab/>
        <w:t>-</w:t>
        <w:tab/>
        <w:tab/>
        <w:t>-</w:t>
      </w:r>
    </w:p>
    <w:p>
      <w:pPr>
        <w:pStyle w:val="Heading9"/>
        <w:spacing w:before="99"/>
        <w:ind w:left="545" w:right="19"/>
      </w:pPr>
      <w:r>
        <w:rPr/>
        <w:t>Year ended 31 December 2017</w:t>
      </w:r>
    </w:p>
    <w:p>
      <w:pPr>
        <w:pStyle w:val="BodyText"/>
        <w:tabs>
          <w:tab w:pos="7181" w:val="left" w:leader="none"/>
          <w:tab w:pos="8478" w:val="left" w:leader="none"/>
          <w:tab w:pos="9775" w:val="left" w:leader="none"/>
        </w:tabs>
        <w:spacing w:before="63"/>
        <w:ind w:left="545" w:right="19"/>
        <w:rPr>
          <w:b/>
        </w:rPr>
      </w:pPr>
      <w:r>
        <w:rPr/>
        <w:t>Opening net</w:t>
      </w:r>
      <w:r>
        <w:rPr>
          <w:spacing w:val="-1"/>
        </w:rPr>
        <w:t> </w:t>
      </w:r>
      <w:r>
        <w:rPr/>
        <w:t>book</w:t>
      </w:r>
      <w:r>
        <w:rPr>
          <w:spacing w:val="-1"/>
        </w:rPr>
        <w:t> </w:t>
      </w:r>
      <w:r>
        <w:rPr/>
        <w:t>amount</w:t>
        <w:tab/>
      </w:r>
      <w:r>
        <w:rPr>
          <w:b/>
        </w:rPr>
        <w:t>-</w:t>
        <w:tab/>
        <w:t>-</w:t>
        <w:tab/>
        <w:t>-</w:t>
      </w:r>
    </w:p>
    <w:p>
      <w:pPr>
        <w:tabs>
          <w:tab w:pos="7181" w:val="left" w:leader="none"/>
          <w:tab w:pos="8478" w:val="left" w:leader="none"/>
          <w:tab w:pos="9775" w:val="left" w:leader="none"/>
        </w:tabs>
        <w:spacing w:before="57"/>
        <w:ind w:left="545" w:right="19" w:firstLine="0"/>
        <w:jc w:val="left"/>
        <w:rPr>
          <w:b/>
          <w:sz w:val="18"/>
        </w:rPr>
      </w:pPr>
      <w:r>
        <w:rPr/>
        <w:pict>
          <v:group style="position:absolute;margin-left:351.670013pt;margin-top:14.482312pt;width:194.7pt;height:1pt;mso-position-horizontal-relative:page;mso-position-vertical-relative:paragraph;z-index:3520;mso-wrap-distance-left:0;mso-wrap-distance-right:0" coordorigin="7033,290" coordsize="3894,20">
            <v:line style="position:absolute" from="7034,291" to="8332,291" stroked="true" strokeweight=".06pt" strokecolor="#000000"/>
            <v:line style="position:absolute" from="7034,292" to="8332,292" stroked="true" strokeweight=".06pt" strokecolor="#000000"/>
            <v:line style="position:absolute" from="7034,293" to="8332,293" stroked="true" strokeweight=".06pt" strokecolor="#000000"/>
            <v:line style="position:absolute" from="7034,294" to="8332,294" stroked="true" strokeweight=".06pt" strokecolor="#000000"/>
            <v:line style="position:absolute" from="7034,295" to="8332,295" stroked="true" strokeweight=".06pt" strokecolor="#000000"/>
            <v:line style="position:absolute" from="7034,297" to="8332,297" stroked="true" strokeweight=".06pt" strokecolor="#000000"/>
            <v:line style="position:absolute" from="7034,298" to="8332,298" stroked="true" strokeweight=".06pt" strokecolor="#000000"/>
            <v:line style="position:absolute" from="7034,299" to="8332,299" stroked="true" strokeweight=".06pt" strokecolor="#000000"/>
            <v:line style="position:absolute" from="7034,300" to="8332,300" stroked="true" strokeweight=".06pt" strokecolor="#000000"/>
            <v:line style="position:absolute" from="7034,301" to="8332,301" stroked="true" strokeweight=".06pt" strokecolor="#000000"/>
            <v:line style="position:absolute" from="7034,303" to="8332,303" stroked="true" strokeweight=".06pt" strokecolor="#000000"/>
            <v:line style="position:absolute" from="7034,304" to="8332,304" stroked="true" strokeweight=".06pt" strokecolor="#000000"/>
            <v:line style="position:absolute" from="7034,305" to="8332,305" stroked="true" strokeweight=".06pt" strokecolor="#000000"/>
            <v:line style="position:absolute" from="7034,306" to="8332,306" stroked="true" strokeweight=".06pt" strokecolor="#000000"/>
            <v:line style="position:absolute" from="7034,307" to="8332,307" stroked="true" strokeweight=".06pt" strokecolor="#000000"/>
            <v:line style="position:absolute" from="7034,309" to="8332,309" stroked="true" strokeweight=".06pt" strokecolor="#000000"/>
            <v:line style="position:absolute" from="8332,291" to="9629,291" stroked="true" strokeweight=".06pt" strokecolor="#000000"/>
            <v:line style="position:absolute" from="8332,292" to="9629,292" stroked="true" strokeweight=".06pt" strokecolor="#000000"/>
            <v:line style="position:absolute" from="8332,293" to="9629,293" stroked="true" strokeweight=".06pt" strokecolor="#000000"/>
            <v:line style="position:absolute" from="8332,294" to="9629,294" stroked="true" strokeweight=".06pt" strokecolor="#000000"/>
            <v:line style="position:absolute" from="8332,295" to="9629,295" stroked="true" strokeweight=".06pt" strokecolor="#000000"/>
            <v:line style="position:absolute" from="8332,297" to="9629,297" stroked="true" strokeweight=".06pt" strokecolor="#000000"/>
            <v:line style="position:absolute" from="8332,298" to="9629,298" stroked="true" strokeweight=".06pt" strokecolor="#000000"/>
            <v:line style="position:absolute" from="8332,299" to="9629,299" stroked="true" strokeweight=".06pt" strokecolor="#000000"/>
            <v:line style="position:absolute" from="8332,300" to="9629,300" stroked="true" strokeweight=".06pt" strokecolor="#000000"/>
            <v:line style="position:absolute" from="8332,301" to="9629,301" stroked="true" strokeweight=".06pt" strokecolor="#000000"/>
            <v:line style="position:absolute" from="8332,303" to="9629,303" stroked="true" strokeweight=".06pt" strokecolor="#000000"/>
            <v:line style="position:absolute" from="8332,304" to="9629,304" stroked="true" strokeweight=".06pt" strokecolor="#000000"/>
            <v:line style="position:absolute" from="8332,305" to="9629,305" stroked="true" strokeweight=".06pt" strokecolor="#000000"/>
            <v:line style="position:absolute" from="8332,306" to="9629,306" stroked="true" strokeweight=".06pt" strokecolor="#000000"/>
            <v:line style="position:absolute" from="8332,307" to="9629,307" stroked="true" strokeweight=".06pt" strokecolor="#000000"/>
            <v:line style="position:absolute" from="8332,309" to="9629,309" stroked="true" strokeweight=".06pt" strokecolor="#000000"/>
            <v:line style="position:absolute" from="9629,291" to="10926,291" stroked="true" strokeweight=".06pt" strokecolor="#000000"/>
            <v:line style="position:absolute" from="9629,292" to="10926,292" stroked="true" strokeweight=".06pt" strokecolor="#000000"/>
            <v:line style="position:absolute" from="9629,293" to="10926,293" stroked="true" strokeweight=".06pt" strokecolor="#000000"/>
            <v:line style="position:absolute" from="9629,294" to="10926,294" stroked="true" strokeweight=".06pt" strokecolor="#000000"/>
            <v:line style="position:absolute" from="9629,295" to="10926,295" stroked="true" strokeweight=".06pt" strokecolor="#000000"/>
            <v:line style="position:absolute" from="9629,297" to="10926,297" stroked="true" strokeweight=".06pt" strokecolor="#000000"/>
            <v:line style="position:absolute" from="9629,298" to="10926,298" stroked="true" strokeweight=".06pt" strokecolor="#000000"/>
            <v:line style="position:absolute" from="9629,299" to="10926,299" stroked="true" strokeweight=".06pt" strokecolor="#000000"/>
            <v:line style="position:absolute" from="9629,300" to="10926,300" stroked="true" strokeweight=".06pt" strokecolor="#000000"/>
            <v:line style="position:absolute" from="9629,301" to="10926,301" stroked="true" strokeweight=".06pt" strokecolor="#000000"/>
            <v:line style="position:absolute" from="9629,303" to="10926,303" stroked="true" strokeweight=".06pt" strokecolor="#000000"/>
            <v:line style="position:absolute" from="9629,304" to="10926,304" stroked="true" strokeweight=".06pt" strokecolor="#000000"/>
            <v:line style="position:absolute" from="9629,305" to="10926,305" stroked="true" strokeweight=".06pt" strokecolor="#000000"/>
            <v:line style="position:absolute" from="9629,306" to="10926,306" stroked="true" strokeweight=".06pt" strokecolor="#000000"/>
            <v:line style="position:absolute" from="9629,307" to="10926,307" stroked="true" strokeweight=".06pt" strokecolor="#000000"/>
            <v:line style="position:absolute" from="9629,309" to="10926,309" stroked="true" strokeweight=".06pt" strokecolor="#000000"/>
            <w10:wrap type="topAndBottom"/>
          </v:group>
        </w:pict>
      </w:r>
      <w:r>
        <w:rPr>
          <w:sz w:val="18"/>
        </w:rPr>
        <w:t>Disposal*</w:t>
        <w:tab/>
      </w:r>
      <w:r>
        <w:rPr>
          <w:b/>
          <w:sz w:val="18"/>
        </w:rPr>
        <w:t>-</w:t>
        <w:tab/>
        <w:t>-</w:t>
        <w:tab/>
        <w:t>-</w:t>
      </w:r>
    </w:p>
    <w:p>
      <w:pPr>
        <w:pStyle w:val="Heading9"/>
        <w:tabs>
          <w:tab w:pos="7181" w:val="left" w:leader="none"/>
          <w:tab w:pos="8478" w:val="left" w:leader="none"/>
          <w:tab w:pos="9775" w:val="left" w:leader="none"/>
        </w:tabs>
        <w:spacing w:before="84"/>
        <w:ind w:left="545" w:right="19"/>
      </w:pPr>
      <w:r>
        <w:rPr/>
        <w:t>Closing net</w:t>
      </w:r>
      <w:r>
        <w:rPr>
          <w:spacing w:val="-1"/>
        </w:rPr>
        <w:t> </w:t>
      </w:r>
      <w:r>
        <w:rPr/>
        <w:t>book</w:t>
      </w:r>
      <w:r>
        <w:rPr>
          <w:spacing w:val="-1"/>
        </w:rPr>
        <w:t> </w:t>
      </w:r>
      <w:r>
        <w:rPr/>
        <w:t>amount</w:t>
        <w:tab/>
        <w:t>-</w:t>
        <w:tab/>
        <w:t>-</w:t>
        <w:tab/>
        <w:t>-</w:t>
      </w:r>
    </w:p>
    <w:p>
      <w:pPr>
        <w:pStyle w:val="BodyText"/>
        <w:spacing w:line="20" w:lineRule="exact"/>
        <w:ind w:left="6173"/>
        <w:rPr>
          <w:sz w:val="2"/>
        </w:rPr>
      </w:pPr>
      <w:r>
        <w:rPr>
          <w:sz w:val="2"/>
        </w:rPr>
        <w:pict>
          <v:group style="width:194.7pt;height:1pt;mso-position-horizontal-relative:char;mso-position-vertical-relative:line" coordorigin="0,0" coordsize="3894,2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2595,1" to="3893,1" stroked="true" strokeweight=".06pt" strokecolor="#000000"/>
            <v:line style="position:absolute" from="2595,2" to="3893,2" stroked="true" strokeweight=".06pt" strokecolor="#000000"/>
            <v:line style="position:absolute" from="2595,3" to="3893,3" stroked="true" strokeweight=".06pt" strokecolor="#000000"/>
            <v:line style="position:absolute" from="2595,5" to="3893,5" stroked="true" strokeweight=".06pt" strokecolor="#000000"/>
            <v:line style="position:absolute" from="2595,6" to="3893,6" stroked="true" strokeweight=".06pt" strokecolor="#000000"/>
            <v:line style="position:absolute" from="2595,7" to="3893,7" stroked="true" strokeweight=".06pt" strokecolor="#000000"/>
            <v:line style="position:absolute" from="2595,8" to="3893,8" stroked="true" strokeweight=".06pt" strokecolor="#000000"/>
            <v:line style="position:absolute" from="2595,9" to="3893,9" stroked="true" strokeweight=".06pt" strokecolor="#000000"/>
            <v:line style="position:absolute" from="2595,11" to="3893,11" stroked="true" strokeweight=".06pt" strokecolor="#000000"/>
            <v:line style="position:absolute" from="2595,12" to="3893,12" stroked="true" strokeweight=".06pt" strokecolor="#000000"/>
            <v:line style="position:absolute" from="2595,13" to="3893,13" stroked="true" strokeweight=".06pt" strokecolor="#000000"/>
            <v:line style="position:absolute" from="2595,14" to="3893,14" stroked="true" strokeweight=".06pt" strokecolor="#000000"/>
            <v:line style="position:absolute" from="2595,15" to="3893,15" stroked="true" strokeweight=".06pt" strokecolor="#000000"/>
            <v:line style="position:absolute" from="2595,17" to="3893,17" stroked="true" strokeweight=".06pt" strokecolor="#000000"/>
            <v:line style="position:absolute" from="2595,18" to="3893,18" stroked="true" strokeweight=".06pt" strokecolor="#000000"/>
            <v:line style="position:absolute" from="2595,19" to="3893,19" stroked="true" strokeweight=".06pt" strokecolor="#000000"/>
          </v:group>
        </w:pict>
      </w:r>
      <w:r>
        <w:rPr>
          <w:sz w:val="2"/>
        </w:rPr>
      </w:r>
    </w:p>
    <w:p>
      <w:pPr>
        <w:pStyle w:val="BodyText"/>
        <w:spacing w:before="2"/>
        <w:rPr>
          <w:b/>
        </w:rPr>
      </w:pPr>
    </w:p>
    <w:p>
      <w:pPr>
        <w:spacing w:before="77"/>
        <w:ind w:left="545" w:right="19" w:firstLine="0"/>
        <w:jc w:val="left"/>
        <w:rPr>
          <w:sz w:val="16"/>
        </w:rPr>
      </w:pPr>
      <w:r>
        <w:rPr>
          <w:sz w:val="18"/>
        </w:rPr>
        <w:t>* </w:t>
      </w:r>
      <w:r>
        <w:rPr>
          <w:sz w:val="16"/>
        </w:rPr>
        <w:t>One intangible asset with a carrying value of nil was disposed of during the year</w:t>
      </w:r>
    </w:p>
    <w:p>
      <w:pPr>
        <w:pStyle w:val="BodyText"/>
        <w:spacing w:before="9"/>
        <w:rPr>
          <w:sz w:val="16"/>
        </w:rPr>
      </w:pPr>
    </w:p>
    <w:p>
      <w:pPr>
        <w:pStyle w:val="Heading9"/>
        <w:spacing w:before="1"/>
        <w:ind w:left="545" w:right="19"/>
      </w:pPr>
      <w:r>
        <w:rPr/>
        <w:t>At 31 December 2017</w:t>
      </w:r>
    </w:p>
    <w:p>
      <w:pPr>
        <w:pStyle w:val="BodyText"/>
        <w:tabs>
          <w:tab w:pos="6834" w:val="left" w:leader="none"/>
          <w:tab w:pos="8478" w:val="left" w:leader="none"/>
          <w:tab w:pos="9428" w:val="left" w:leader="none"/>
        </w:tabs>
        <w:spacing w:before="63"/>
        <w:ind w:left="545" w:right="19"/>
      </w:pPr>
      <w:r>
        <w:rPr/>
        <w:t>Cost</w:t>
        <w:tab/>
        <w:t>65,500</w:t>
        <w:tab/>
        <w:t>-</w:t>
        <w:tab/>
        <w:t>65,500</w:t>
      </w:r>
    </w:p>
    <w:p>
      <w:pPr>
        <w:pStyle w:val="BodyText"/>
        <w:tabs>
          <w:tab w:pos="6774" w:val="left" w:leader="none"/>
          <w:tab w:pos="8478" w:val="left" w:leader="none"/>
          <w:tab w:pos="9368" w:val="left" w:leader="none"/>
        </w:tabs>
        <w:spacing w:before="57"/>
        <w:ind w:left="545" w:right="19"/>
      </w:pPr>
      <w:r>
        <w:rPr/>
        <w:pict>
          <v:group style="position:absolute;margin-left:351.670013pt;margin-top:14.482189pt;width:194.7pt;height:1pt;mso-position-horizontal-relative:page;mso-position-vertical-relative:paragraph;z-index:3568;mso-wrap-distance-left:0;mso-wrap-distance-right:0" coordorigin="7033,290" coordsize="3894,20">
            <v:line style="position:absolute" from="7034,291" to="8332,291" stroked="true" strokeweight=".06pt" strokecolor="#000000"/>
            <v:line style="position:absolute" from="7034,292" to="8332,292" stroked="true" strokeweight=".06pt" strokecolor="#000000"/>
            <v:line style="position:absolute" from="7034,293" to="8332,293" stroked="true" strokeweight=".06pt" strokecolor="#000000"/>
            <v:line style="position:absolute" from="7034,294" to="8332,294" stroked="true" strokeweight=".06pt" strokecolor="#000000"/>
            <v:line style="position:absolute" from="7034,295" to="8332,295" stroked="true" strokeweight=".06pt" strokecolor="#000000"/>
            <v:line style="position:absolute" from="7034,297" to="8332,297" stroked="true" strokeweight=".06pt" strokecolor="#000000"/>
            <v:line style="position:absolute" from="7034,298" to="8332,298" stroked="true" strokeweight=".06pt" strokecolor="#000000"/>
            <v:line style="position:absolute" from="7034,299" to="8332,299" stroked="true" strokeweight=".06pt" strokecolor="#000000"/>
            <v:line style="position:absolute" from="7034,300" to="8332,300" stroked="true" strokeweight=".06pt" strokecolor="#000000"/>
            <v:line style="position:absolute" from="7034,301" to="8332,301" stroked="true" strokeweight=".06pt" strokecolor="#000000"/>
            <v:line style="position:absolute" from="7034,303" to="8332,303" stroked="true" strokeweight=".06pt" strokecolor="#000000"/>
            <v:line style="position:absolute" from="7034,304" to="8332,304" stroked="true" strokeweight=".06pt" strokecolor="#000000"/>
            <v:line style="position:absolute" from="7034,305" to="8332,305" stroked="true" strokeweight=".06pt" strokecolor="#000000"/>
            <v:line style="position:absolute" from="7034,306" to="8332,306" stroked="true" strokeweight=".06pt" strokecolor="#000000"/>
            <v:line style="position:absolute" from="7034,307" to="8332,307" stroked="true" strokeweight=".06pt" strokecolor="#000000"/>
            <v:line style="position:absolute" from="7034,309" to="8332,309" stroked="true" strokeweight=".06pt" strokecolor="#000000"/>
            <v:line style="position:absolute" from="8332,291" to="9629,291" stroked="true" strokeweight=".06pt" strokecolor="#000000"/>
            <v:line style="position:absolute" from="8332,292" to="9629,292" stroked="true" strokeweight=".06pt" strokecolor="#000000"/>
            <v:line style="position:absolute" from="8332,293" to="9629,293" stroked="true" strokeweight=".06pt" strokecolor="#000000"/>
            <v:line style="position:absolute" from="8332,294" to="9629,294" stroked="true" strokeweight=".06pt" strokecolor="#000000"/>
            <v:line style="position:absolute" from="8332,295" to="9629,295" stroked="true" strokeweight=".06pt" strokecolor="#000000"/>
            <v:line style="position:absolute" from="8332,297" to="9629,297" stroked="true" strokeweight=".06pt" strokecolor="#000000"/>
            <v:line style="position:absolute" from="8332,298" to="9629,298" stroked="true" strokeweight=".06pt" strokecolor="#000000"/>
            <v:line style="position:absolute" from="8332,299" to="9629,299" stroked="true" strokeweight=".06pt" strokecolor="#000000"/>
            <v:line style="position:absolute" from="8332,300" to="9629,300" stroked="true" strokeweight=".06pt" strokecolor="#000000"/>
            <v:line style="position:absolute" from="8332,301" to="9629,301" stroked="true" strokeweight=".06pt" strokecolor="#000000"/>
            <v:line style="position:absolute" from="8332,303" to="9629,303" stroked="true" strokeweight=".06pt" strokecolor="#000000"/>
            <v:line style="position:absolute" from="8332,304" to="9629,304" stroked="true" strokeweight=".06pt" strokecolor="#000000"/>
            <v:line style="position:absolute" from="8332,305" to="9629,305" stroked="true" strokeweight=".06pt" strokecolor="#000000"/>
            <v:line style="position:absolute" from="8332,306" to="9629,306" stroked="true" strokeweight=".06pt" strokecolor="#000000"/>
            <v:line style="position:absolute" from="8332,307" to="9629,307" stroked="true" strokeweight=".06pt" strokecolor="#000000"/>
            <v:line style="position:absolute" from="8332,309" to="9629,309" stroked="true" strokeweight=".06pt" strokecolor="#000000"/>
            <v:line style="position:absolute" from="9629,291" to="10926,291" stroked="true" strokeweight=".06pt" strokecolor="#000000"/>
            <v:line style="position:absolute" from="9629,292" to="10926,292" stroked="true" strokeweight=".06pt" strokecolor="#000000"/>
            <v:line style="position:absolute" from="9629,293" to="10926,293" stroked="true" strokeweight=".06pt" strokecolor="#000000"/>
            <v:line style="position:absolute" from="9629,294" to="10926,294" stroked="true" strokeweight=".06pt" strokecolor="#000000"/>
            <v:line style="position:absolute" from="9629,295" to="10926,295" stroked="true" strokeweight=".06pt" strokecolor="#000000"/>
            <v:line style="position:absolute" from="9629,297" to="10926,297" stroked="true" strokeweight=".06pt" strokecolor="#000000"/>
            <v:line style="position:absolute" from="9629,298" to="10926,298" stroked="true" strokeweight=".06pt" strokecolor="#000000"/>
            <v:line style="position:absolute" from="9629,299" to="10926,299" stroked="true" strokeweight=".06pt" strokecolor="#000000"/>
            <v:line style="position:absolute" from="9629,300" to="10926,300" stroked="true" strokeweight=".06pt" strokecolor="#000000"/>
            <v:line style="position:absolute" from="9629,301" to="10926,301" stroked="true" strokeweight=".06pt" strokecolor="#000000"/>
            <v:line style="position:absolute" from="9629,303" to="10926,303" stroked="true" strokeweight=".06pt" strokecolor="#000000"/>
            <v:line style="position:absolute" from="9629,304" to="10926,304" stroked="true" strokeweight=".06pt" strokecolor="#000000"/>
            <v:line style="position:absolute" from="9629,305" to="10926,305" stroked="true" strokeweight=".06pt" strokecolor="#000000"/>
            <v:line style="position:absolute" from="9629,306" to="10926,306" stroked="true" strokeweight=".06pt" strokecolor="#000000"/>
            <v:line style="position:absolute" from="9629,307" to="10926,307" stroked="true" strokeweight=".06pt" strokecolor="#000000"/>
            <v:line style="position:absolute" from="9629,309" to="10926,309" stroked="true" strokeweight=".06pt" strokecolor="#000000"/>
            <w10:wrap type="topAndBottom"/>
          </v:group>
        </w:pict>
      </w:r>
      <w:r>
        <w:rPr/>
        <w:t>Accumulated</w:t>
      </w:r>
      <w:r>
        <w:rPr>
          <w:spacing w:val="-1"/>
        </w:rPr>
        <w:t> </w:t>
      </w:r>
      <w:r>
        <w:rPr/>
        <w:t>amortisation</w:t>
        <w:tab/>
        <w:t>(65,500)</w:t>
        <w:tab/>
        <w:t>-</w:t>
        <w:tab/>
        <w:t>(65,500)</w:t>
      </w:r>
    </w:p>
    <w:p>
      <w:pPr>
        <w:pStyle w:val="Heading9"/>
        <w:tabs>
          <w:tab w:pos="7181" w:val="left" w:leader="none"/>
          <w:tab w:pos="8478" w:val="left" w:leader="none"/>
          <w:tab w:pos="9775" w:val="left" w:leader="none"/>
        </w:tabs>
        <w:spacing w:before="84"/>
        <w:ind w:left="545" w:right="19"/>
      </w:pPr>
      <w:r>
        <w:rPr/>
        <w:t>Net book amount</w:t>
        <w:tab/>
        <w:t>-</w:t>
        <w:tab/>
        <w:t>-</w:t>
        <w:tab/>
        <w:t>-</w:t>
      </w:r>
    </w:p>
    <w:p>
      <w:pPr>
        <w:pStyle w:val="BodyText"/>
        <w:spacing w:line="50" w:lineRule="exact"/>
        <w:ind w:left="6173"/>
        <w:rPr>
          <w:sz w:val="5"/>
        </w:rPr>
      </w:pPr>
      <w:r>
        <w:rPr>
          <w:position w:val="0"/>
          <w:sz w:val="5"/>
        </w:rPr>
        <w:pict>
          <v:group style="width:194.7pt;height:2.5pt;mso-position-horizontal-relative:char;mso-position-vertical-relative:line" coordorigin="0,0" coordsize="3894,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line style="position:absolute" from="2595,1" to="3893,1" stroked="true" strokeweight=".06pt" strokecolor="#000000"/>
            <v:line style="position:absolute" from="2595,2" to="3893,2" stroked="true" strokeweight=".06pt" strokecolor="#000000"/>
            <v:line style="position:absolute" from="2595,3" to="3893,3" stroked="true" strokeweight=".06pt" strokecolor="#000000"/>
            <v:line style="position:absolute" from="2595,5" to="3893,5" stroked="true" strokeweight=".06pt" strokecolor="#000000"/>
            <v:line style="position:absolute" from="2595,6" to="3893,6" stroked="true" strokeweight=".06pt" strokecolor="#000000"/>
            <v:line style="position:absolute" from="2595,7" to="3893,7" stroked="true" strokeweight=".06pt" strokecolor="#000000"/>
            <v:line style="position:absolute" from="2595,8" to="3893,8" stroked="true" strokeweight=".06pt" strokecolor="#000000"/>
            <v:line style="position:absolute" from="2595,9" to="3893,9" stroked="true" strokeweight=".06pt" strokecolor="#000000"/>
            <v:line style="position:absolute" from="2595,11" to="3893,11" stroked="true" strokeweight=".06pt" strokecolor="#000000"/>
            <v:line style="position:absolute" from="2595,12" to="3893,12" stroked="true" strokeweight=".06pt" strokecolor="#000000"/>
            <v:line style="position:absolute" from="2595,13" to="3893,13" stroked="true" strokeweight=".06pt" strokecolor="#000000"/>
            <v:line style="position:absolute" from="2595,14" to="3893,14" stroked="true" strokeweight=".06pt" strokecolor="#000000"/>
            <v:line style="position:absolute" from="2595,15" to="3893,15" stroked="true" strokeweight=".06pt" strokecolor="#000000"/>
            <v:line style="position:absolute" from="2595,35" to="3893,35" stroked="true" strokeweight=".06pt" strokecolor="#000000"/>
            <v:line style="position:absolute" from="2595,36" to="3893,36" stroked="true" strokeweight=".06pt" strokecolor="#000000"/>
            <v:line style="position:absolute" from="2595,37" to="3893,37" stroked="true" strokeweight=".06pt" strokecolor="#000000"/>
            <v:line style="position:absolute" from="2595,38" to="3893,38" stroked="true" strokeweight=".06pt" strokecolor="#000000"/>
            <v:line style="position:absolute" from="2595,39" to="3893,39" stroked="true" strokeweight=".06pt" strokecolor="#000000"/>
            <v:line style="position:absolute" from="2595,41" to="3893,41" stroked="true" strokeweight=".06pt" strokecolor="#000000"/>
            <v:line style="position:absolute" from="2595,42" to="3893,42" stroked="true" strokeweight=".06pt" strokecolor="#000000"/>
            <v:line style="position:absolute" from="2595,43" to="3893,43" stroked="true" strokeweight=".06pt" strokecolor="#000000"/>
            <v:line style="position:absolute" from="2595,44" to="3893,44" stroked="true" strokeweight=".06pt" strokecolor="#000000"/>
            <v:line style="position:absolute" from="2595,45" to="3893,45" stroked="true" strokeweight=".06pt" strokecolor="#000000"/>
            <v:line style="position:absolute" from="2595,47" to="3893,47" stroked="true" strokeweight=".06pt" strokecolor="#000000"/>
            <v:line style="position:absolute" from="2595,48" to="3893,48" stroked="true" strokeweight=".06pt" strokecolor="#000000"/>
            <v:line style="position:absolute" from="2595,49" to="3893,49" stroked="true" strokeweight=".06pt" strokecolor="#000000"/>
          </v:group>
        </w:pict>
      </w:r>
      <w:r>
        <w:rPr>
          <w:position w:val="0"/>
          <w:sz w:val="5"/>
        </w:rPr>
      </w:r>
    </w:p>
    <w:p>
      <w:pPr>
        <w:pStyle w:val="BodyText"/>
        <w:rPr>
          <w:b/>
          <w:sz w:val="20"/>
        </w:rPr>
      </w:pPr>
    </w:p>
    <w:p>
      <w:pPr>
        <w:pStyle w:val="BodyText"/>
        <w:spacing w:before="6"/>
        <w:rPr>
          <w:b/>
          <w:sz w:val="20"/>
        </w:rPr>
      </w:pPr>
    </w:p>
    <w:p>
      <w:pPr>
        <w:spacing w:before="0"/>
        <w:ind w:left="545" w:right="19" w:firstLine="0"/>
        <w:jc w:val="left"/>
        <w:rPr>
          <w:b/>
          <w:sz w:val="18"/>
        </w:rPr>
      </w:pPr>
      <w:r>
        <w:rPr>
          <w:b/>
          <w:sz w:val="18"/>
        </w:rPr>
        <w:t>At 1 January 2016</w:t>
      </w:r>
    </w:p>
    <w:p>
      <w:pPr>
        <w:pStyle w:val="BodyText"/>
        <w:tabs>
          <w:tab w:pos="6834" w:val="left" w:leader="none"/>
          <w:tab w:pos="8131" w:val="left" w:leader="none"/>
          <w:tab w:pos="9428" w:val="left" w:leader="none"/>
        </w:tabs>
        <w:spacing w:before="63"/>
        <w:ind w:left="545" w:right="19"/>
      </w:pPr>
      <w:r>
        <w:rPr/>
        <w:t>Cost</w:t>
        <w:tab/>
        <w:t>65,500</w:t>
        <w:tab/>
        <w:t>15,000</w:t>
        <w:tab/>
        <w:t>80,500</w:t>
      </w:r>
    </w:p>
    <w:p>
      <w:pPr>
        <w:pStyle w:val="BodyText"/>
        <w:tabs>
          <w:tab w:pos="6774" w:val="left" w:leader="none"/>
          <w:tab w:pos="8071" w:val="left" w:leader="none"/>
          <w:tab w:pos="9368" w:val="left" w:leader="none"/>
        </w:tabs>
        <w:spacing w:before="57"/>
        <w:ind w:left="545" w:right="19"/>
      </w:pPr>
      <w:r>
        <w:rPr/>
        <w:pict>
          <v:group style="position:absolute;margin-left:351.670013pt;margin-top:14.482196pt;width:194.7pt;height:1pt;mso-position-horizontal-relative:page;mso-position-vertical-relative:paragraph;z-index:3616;mso-wrap-distance-left:0;mso-wrap-distance-right:0" coordorigin="7033,290" coordsize="3894,20">
            <v:line style="position:absolute" from="7034,291" to="8332,291" stroked="true" strokeweight=".06pt" strokecolor="#000000"/>
            <v:line style="position:absolute" from="7034,292" to="8332,292" stroked="true" strokeweight=".06pt" strokecolor="#000000"/>
            <v:line style="position:absolute" from="7034,293" to="8332,293" stroked="true" strokeweight=".06pt" strokecolor="#000000"/>
            <v:line style="position:absolute" from="7034,294" to="8332,294" stroked="true" strokeweight=".06pt" strokecolor="#000000"/>
            <v:line style="position:absolute" from="7034,295" to="8332,295" stroked="true" strokeweight=".06pt" strokecolor="#000000"/>
            <v:line style="position:absolute" from="7034,297" to="8332,297" stroked="true" strokeweight=".06pt" strokecolor="#000000"/>
            <v:line style="position:absolute" from="7034,298" to="8332,298" stroked="true" strokeweight=".06pt" strokecolor="#000000"/>
            <v:line style="position:absolute" from="7034,299" to="8332,299" stroked="true" strokeweight=".06pt" strokecolor="#000000"/>
            <v:line style="position:absolute" from="7034,300" to="8332,300" stroked="true" strokeweight=".06pt" strokecolor="#000000"/>
            <v:line style="position:absolute" from="7034,301" to="8332,301" stroked="true" strokeweight=".06pt" strokecolor="#000000"/>
            <v:line style="position:absolute" from="7034,303" to="8332,303" stroked="true" strokeweight=".06pt" strokecolor="#000000"/>
            <v:line style="position:absolute" from="7034,304" to="8332,304" stroked="true" strokeweight=".06pt" strokecolor="#000000"/>
            <v:line style="position:absolute" from="7034,305" to="8332,305" stroked="true" strokeweight=".06pt" strokecolor="#000000"/>
            <v:line style="position:absolute" from="7034,306" to="8332,306" stroked="true" strokeweight=".06pt" strokecolor="#000000"/>
            <v:line style="position:absolute" from="7034,307" to="8332,307" stroked="true" strokeweight=".06pt" strokecolor="#000000"/>
            <v:line style="position:absolute" from="7034,309" to="8332,309" stroked="true" strokeweight=".06pt" strokecolor="#000000"/>
            <v:line style="position:absolute" from="8332,291" to="9629,291" stroked="true" strokeweight=".06pt" strokecolor="#000000"/>
            <v:line style="position:absolute" from="8332,292" to="9629,292" stroked="true" strokeweight=".06pt" strokecolor="#000000"/>
            <v:line style="position:absolute" from="8332,293" to="9629,293" stroked="true" strokeweight=".06pt" strokecolor="#000000"/>
            <v:line style="position:absolute" from="8332,294" to="9629,294" stroked="true" strokeweight=".06pt" strokecolor="#000000"/>
            <v:line style="position:absolute" from="8332,295" to="9629,295" stroked="true" strokeweight=".06pt" strokecolor="#000000"/>
            <v:line style="position:absolute" from="8332,297" to="9629,297" stroked="true" strokeweight=".06pt" strokecolor="#000000"/>
            <v:line style="position:absolute" from="8332,298" to="9629,298" stroked="true" strokeweight=".06pt" strokecolor="#000000"/>
            <v:line style="position:absolute" from="8332,299" to="9629,299" stroked="true" strokeweight=".06pt" strokecolor="#000000"/>
            <v:line style="position:absolute" from="8332,300" to="9629,300" stroked="true" strokeweight=".06pt" strokecolor="#000000"/>
            <v:line style="position:absolute" from="8332,301" to="9629,301" stroked="true" strokeweight=".06pt" strokecolor="#000000"/>
            <v:line style="position:absolute" from="8332,303" to="9629,303" stroked="true" strokeweight=".06pt" strokecolor="#000000"/>
            <v:line style="position:absolute" from="8332,304" to="9629,304" stroked="true" strokeweight=".06pt" strokecolor="#000000"/>
            <v:line style="position:absolute" from="8332,305" to="9629,305" stroked="true" strokeweight=".06pt" strokecolor="#000000"/>
            <v:line style="position:absolute" from="8332,306" to="9629,306" stroked="true" strokeweight=".06pt" strokecolor="#000000"/>
            <v:line style="position:absolute" from="8332,307" to="9629,307" stroked="true" strokeweight=".06pt" strokecolor="#000000"/>
            <v:line style="position:absolute" from="8332,309" to="9629,309" stroked="true" strokeweight=".06pt" strokecolor="#000000"/>
            <v:line style="position:absolute" from="9629,291" to="10926,291" stroked="true" strokeweight=".06pt" strokecolor="#000000"/>
            <v:line style="position:absolute" from="9629,292" to="10926,292" stroked="true" strokeweight=".06pt" strokecolor="#000000"/>
            <v:line style="position:absolute" from="9629,293" to="10926,293" stroked="true" strokeweight=".06pt" strokecolor="#000000"/>
            <v:line style="position:absolute" from="9629,294" to="10926,294" stroked="true" strokeweight=".06pt" strokecolor="#000000"/>
            <v:line style="position:absolute" from="9629,295" to="10926,295" stroked="true" strokeweight=".06pt" strokecolor="#000000"/>
            <v:line style="position:absolute" from="9629,297" to="10926,297" stroked="true" strokeweight=".06pt" strokecolor="#000000"/>
            <v:line style="position:absolute" from="9629,298" to="10926,298" stroked="true" strokeweight=".06pt" strokecolor="#000000"/>
            <v:line style="position:absolute" from="9629,299" to="10926,299" stroked="true" strokeweight=".06pt" strokecolor="#000000"/>
            <v:line style="position:absolute" from="9629,300" to="10926,300" stroked="true" strokeweight=".06pt" strokecolor="#000000"/>
            <v:line style="position:absolute" from="9629,301" to="10926,301" stroked="true" strokeweight=".06pt" strokecolor="#000000"/>
            <v:line style="position:absolute" from="9629,303" to="10926,303" stroked="true" strokeweight=".06pt" strokecolor="#000000"/>
            <v:line style="position:absolute" from="9629,304" to="10926,304" stroked="true" strokeweight=".06pt" strokecolor="#000000"/>
            <v:line style="position:absolute" from="9629,305" to="10926,305" stroked="true" strokeweight=".06pt" strokecolor="#000000"/>
            <v:line style="position:absolute" from="9629,306" to="10926,306" stroked="true" strokeweight=".06pt" strokecolor="#000000"/>
            <v:line style="position:absolute" from="9629,307" to="10926,307" stroked="true" strokeweight=".06pt" strokecolor="#000000"/>
            <v:line style="position:absolute" from="9629,309" to="10926,309" stroked="true" strokeweight=".06pt" strokecolor="#000000"/>
            <w10:wrap type="topAndBottom"/>
          </v:group>
        </w:pict>
      </w:r>
      <w:r>
        <w:rPr/>
        <w:t>Accumulated</w:t>
      </w:r>
      <w:r>
        <w:rPr>
          <w:spacing w:val="-1"/>
        </w:rPr>
        <w:t> </w:t>
      </w:r>
      <w:r>
        <w:rPr/>
        <w:t>amortisation</w:t>
        <w:tab/>
        <w:t>(65,500)</w:t>
        <w:tab/>
        <w:t>(15,000)</w:t>
        <w:tab/>
        <w:t>(80,500)</w:t>
      </w:r>
    </w:p>
    <w:p>
      <w:pPr>
        <w:pStyle w:val="Heading9"/>
        <w:tabs>
          <w:tab w:pos="7181" w:val="left" w:leader="none"/>
          <w:tab w:pos="8478" w:val="left" w:leader="none"/>
          <w:tab w:pos="9775" w:val="left" w:leader="none"/>
        </w:tabs>
        <w:spacing w:before="84"/>
        <w:ind w:left="545" w:right="19"/>
      </w:pPr>
      <w:r>
        <w:rPr/>
        <w:t>Net book amount</w:t>
        <w:tab/>
        <w:t>-</w:t>
        <w:tab/>
        <w:t>-</w:t>
        <w:tab/>
        <w:t>-</w:t>
      </w:r>
    </w:p>
    <w:p>
      <w:pPr>
        <w:pStyle w:val="BodyText"/>
        <w:spacing w:line="50" w:lineRule="exact"/>
        <w:ind w:left="6173"/>
        <w:rPr>
          <w:sz w:val="5"/>
        </w:rPr>
      </w:pPr>
      <w:r>
        <w:rPr>
          <w:position w:val="0"/>
          <w:sz w:val="5"/>
        </w:rPr>
        <w:pict>
          <v:group style="width:194.7pt;height:2.5pt;mso-position-horizontal-relative:char;mso-position-vertical-relative:line" coordorigin="0,0" coordsize="3894,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line style="position:absolute" from="2595,1" to="3893,1" stroked="true" strokeweight=".06pt" strokecolor="#000000"/>
            <v:line style="position:absolute" from="2595,2" to="3893,2" stroked="true" strokeweight=".06pt" strokecolor="#000000"/>
            <v:line style="position:absolute" from="2595,3" to="3893,3" stroked="true" strokeweight=".06pt" strokecolor="#000000"/>
            <v:line style="position:absolute" from="2595,5" to="3893,5" stroked="true" strokeweight=".06pt" strokecolor="#000000"/>
            <v:line style="position:absolute" from="2595,6" to="3893,6" stroked="true" strokeweight=".06pt" strokecolor="#000000"/>
            <v:line style="position:absolute" from="2595,7" to="3893,7" stroked="true" strokeweight=".06pt" strokecolor="#000000"/>
            <v:line style="position:absolute" from="2595,8" to="3893,8" stroked="true" strokeweight=".06pt" strokecolor="#000000"/>
            <v:line style="position:absolute" from="2595,9" to="3893,9" stroked="true" strokeweight=".06pt" strokecolor="#000000"/>
            <v:line style="position:absolute" from="2595,11" to="3893,11" stroked="true" strokeweight=".06pt" strokecolor="#000000"/>
            <v:line style="position:absolute" from="2595,12" to="3893,12" stroked="true" strokeweight=".06pt" strokecolor="#000000"/>
            <v:line style="position:absolute" from="2595,13" to="3893,13" stroked="true" strokeweight=".06pt" strokecolor="#000000"/>
            <v:line style="position:absolute" from="2595,14" to="3893,14" stroked="true" strokeweight=".06pt" strokecolor="#000000"/>
            <v:line style="position:absolute" from="2595,15" to="3893,15" stroked="true" strokeweight=".06pt" strokecolor="#000000"/>
            <v:line style="position:absolute" from="2595,35" to="3893,35" stroked="true" strokeweight=".06pt" strokecolor="#000000"/>
            <v:line style="position:absolute" from="2595,36" to="3893,36" stroked="true" strokeweight=".06pt" strokecolor="#000000"/>
            <v:line style="position:absolute" from="2595,37" to="3893,37" stroked="true" strokeweight=".06pt" strokecolor="#000000"/>
            <v:line style="position:absolute" from="2595,38" to="3893,38" stroked="true" strokeweight=".06pt" strokecolor="#000000"/>
            <v:line style="position:absolute" from="2595,39" to="3893,39" stroked="true" strokeweight=".06pt" strokecolor="#000000"/>
            <v:line style="position:absolute" from="2595,41" to="3893,41" stroked="true" strokeweight=".06pt" strokecolor="#000000"/>
            <v:line style="position:absolute" from="2595,42" to="3893,42" stroked="true" strokeweight=".06pt" strokecolor="#000000"/>
            <v:line style="position:absolute" from="2595,43" to="3893,43" stroked="true" strokeweight=".06pt" strokecolor="#000000"/>
            <v:line style="position:absolute" from="2595,44" to="3893,44" stroked="true" strokeweight=".06pt" strokecolor="#000000"/>
            <v:line style="position:absolute" from="2595,45" to="3893,45" stroked="true" strokeweight=".06pt" strokecolor="#000000"/>
            <v:line style="position:absolute" from="2595,47" to="3893,47" stroked="true" strokeweight=".06pt" strokecolor="#000000"/>
            <v:line style="position:absolute" from="2595,48" to="3893,48" stroked="true" strokeweight=".06pt" strokecolor="#000000"/>
            <v:line style="position:absolute" from="2595,49" to="3893,49" stroked="true" strokeweight=".06pt" strokecolor="#000000"/>
          </v:group>
        </w:pict>
      </w:r>
      <w:r>
        <w:rPr>
          <w:position w:val="0"/>
          <w:sz w:val="5"/>
        </w:rPr>
      </w:r>
    </w:p>
    <w:p>
      <w:pPr>
        <w:pStyle w:val="BodyText"/>
        <w:spacing w:before="10"/>
        <w:rPr>
          <w:b/>
          <w:sz w:val="19"/>
        </w:rPr>
      </w:pPr>
    </w:p>
    <w:p>
      <w:pPr>
        <w:spacing w:before="77"/>
        <w:ind w:left="545" w:right="19" w:firstLine="0"/>
        <w:jc w:val="left"/>
        <w:rPr>
          <w:b/>
          <w:sz w:val="18"/>
        </w:rPr>
      </w:pPr>
      <w:r>
        <w:rPr>
          <w:b/>
          <w:sz w:val="18"/>
        </w:rPr>
        <w:t>Year ended 31 December 2016</w:t>
      </w:r>
    </w:p>
    <w:p>
      <w:pPr>
        <w:pStyle w:val="BodyText"/>
        <w:tabs>
          <w:tab w:pos="7182" w:val="left" w:leader="none"/>
          <w:tab w:pos="8131" w:val="left" w:leader="none"/>
          <w:tab w:pos="9428" w:val="left" w:leader="none"/>
        </w:tabs>
        <w:spacing w:before="63"/>
        <w:ind w:left="545" w:right="19"/>
      </w:pPr>
      <w:r>
        <w:rPr/>
        <w:t>Opening net</w:t>
      </w:r>
      <w:r>
        <w:rPr>
          <w:spacing w:val="-1"/>
        </w:rPr>
        <w:t> </w:t>
      </w:r>
      <w:r>
        <w:rPr/>
        <w:t>book</w:t>
      </w:r>
      <w:r>
        <w:rPr>
          <w:spacing w:val="-1"/>
        </w:rPr>
        <w:t> </w:t>
      </w:r>
      <w:r>
        <w:rPr/>
        <w:t>amount</w:t>
        <w:tab/>
      </w:r>
      <w:r>
        <w:rPr>
          <w:b/>
        </w:rPr>
        <w:t>-</w:t>
        <w:tab/>
      </w:r>
      <w:r>
        <w:rPr/>
        <w:t>10,942</w:t>
        <w:tab/>
        <w:t>10,942</w:t>
      </w:r>
    </w:p>
    <w:p>
      <w:pPr>
        <w:pStyle w:val="BodyText"/>
        <w:tabs>
          <w:tab w:pos="7182" w:val="left" w:leader="none"/>
          <w:tab w:pos="8071" w:val="left" w:leader="none"/>
          <w:tab w:pos="9368" w:val="left" w:leader="none"/>
        </w:tabs>
        <w:spacing w:before="57"/>
        <w:ind w:left="545" w:right="19"/>
      </w:pPr>
      <w:r>
        <w:rPr/>
        <w:pict>
          <v:group style="position:absolute;margin-left:351.670013pt;margin-top:14.482182pt;width:194.7pt;height:1pt;mso-position-horizontal-relative:page;mso-position-vertical-relative:paragraph;z-index:3664;mso-wrap-distance-left:0;mso-wrap-distance-right:0" coordorigin="7033,290" coordsize="3894,20">
            <v:line style="position:absolute" from="7034,291" to="8332,291" stroked="true" strokeweight=".06pt" strokecolor="#000000"/>
            <v:line style="position:absolute" from="7034,292" to="8332,292" stroked="true" strokeweight=".06pt" strokecolor="#000000"/>
            <v:line style="position:absolute" from="7034,293" to="8332,293" stroked="true" strokeweight=".06pt" strokecolor="#000000"/>
            <v:line style="position:absolute" from="7034,294" to="8332,294" stroked="true" strokeweight=".06pt" strokecolor="#000000"/>
            <v:line style="position:absolute" from="7034,295" to="8332,295" stroked="true" strokeweight=".06pt" strokecolor="#000000"/>
            <v:line style="position:absolute" from="7034,297" to="8332,297" stroked="true" strokeweight=".06pt" strokecolor="#000000"/>
            <v:line style="position:absolute" from="7034,298" to="8332,298" stroked="true" strokeweight=".06pt" strokecolor="#000000"/>
            <v:line style="position:absolute" from="7034,299" to="8332,299" stroked="true" strokeweight=".06pt" strokecolor="#000000"/>
            <v:line style="position:absolute" from="7034,300" to="8332,300" stroked="true" strokeweight=".06pt" strokecolor="#000000"/>
            <v:line style="position:absolute" from="7034,301" to="8332,301" stroked="true" strokeweight=".06pt" strokecolor="#000000"/>
            <v:line style="position:absolute" from="7034,303" to="8332,303" stroked="true" strokeweight=".06pt" strokecolor="#000000"/>
            <v:line style="position:absolute" from="7034,304" to="8332,304" stroked="true" strokeweight=".06pt" strokecolor="#000000"/>
            <v:line style="position:absolute" from="7034,305" to="8332,305" stroked="true" strokeweight=".06pt" strokecolor="#000000"/>
            <v:line style="position:absolute" from="7034,306" to="8332,306" stroked="true" strokeweight=".06pt" strokecolor="#000000"/>
            <v:line style="position:absolute" from="7034,307" to="8332,307" stroked="true" strokeweight=".06pt" strokecolor="#000000"/>
            <v:line style="position:absolute" from="7034,309" to="8332,309" stroked="true" strokeweight=".06pt" strokecolor="#000000"/>
            <v:line style="position:absolute" from="8332,291" to="9629,291" stroked="true" strokeweight=".06pt" strokecolor="#000000"/>
            <v:line style="position:absolute" from="8332,292" to="9629,292" stroked="true" strokeweight=".06pt" strokecolor="#000000"/>
            <v:line style="position:absolute" from="8332,293" to="9629,293" stroked="true" strokeweight=".06pt" strokecolor="#000000"/>
            <v:line style="position:absolute" from="8332,294" to="9629,294" stroked="true" strokeweight=".06pt" strokecolor="#000000"/>
            <v:line style="position:absolute" from="8332,295" to="9629,295" stroked="true" strokeweight=".06pt" strokecolor="#000000"/>
            <v:line style="position:absolute" from="8332,297" to="9629,297" stroked="true" strokeweight=".06pt" strokecolor="#000000"/>
            <v:line style="position:absolute" from="8332,298" to="9629,298" stroked="true" strokeweight=".06pt" strokecolor="#000000"/>
            <v:line style="position:absolute" from="8332,299" to="9629,299" stroked="true" strokeweight=".06pt" strokecolor="#000000"/>
            <v:line style="position:absolute" from="8332,300" to="9629,300" stroked="true" strokeweight=".06pt" strokecolor="#000000"/>
            <v:line style="position:absolute" from="8332,301" to="9629,301" stroked="true" strokeweight=".06pt" strokecolor="#000000"/>
            <v:line style="position:absolute" from="8332,303" to="9629,303" stroked="true" strokeweight=".06pt" strokecolor="#000000"/>
            <v:line style="position:absolute" from="8332,304" to="9629,304" stroked="true" strokeweight=".06pt" strokecolor="#000000"/>
            <v:line style="position:absolute" from="8332,305" to="9629,305" stroked="true" strokeweight=".06pt" strokecolor="#000000"/>
            <v:line style="position:absolute" from="8332,306" to="9629,306" stroked="true" strokeweight=".06pt" strokecolor="#000000"/>
            <v:line style="position:absolute" from="8332,307" to="9629,307" stroked="true" strokeweight=".06pt" strokecolor="#000000"/>
            <v:line style="position:absolute" from="8332,309" to="9629,309" stroked="true" strokeweight=".06pt" strokecolor="#000000"/>
            <v:line style="position:absolute" from="9629,291" to="10926,291" stroked="true" strokeweight=".06pt" strokecolor="#000000"/>
            <v:line style="position:absolute" from="9629,292" to="10926,292" stroked="true" strokeweight=".06pt" strokecolor="#000000"/>
            <v:line style="position:absolute" from="9629,293" to="10926,293" stroked="true" strokeweight=".06pt" strokecolor="#000000"/>
            <v:line style="position:absolute" from="9629,294" to="10926,294" stroked="true" strokeweight=".06pt" strokecolor="#000000"/>
            <v:line style="position:absolute" from="9629,295" to="10926,295" stroked="true" strokeweight=".06pt" strokecolor="#000000"/>
            <v:line style="position:absolute" from="9629,297" to="10926,297" stroked="true" strokeweight=".06pt" strokecolor="#000000"/>
            <v:line style="position:absolute" from="9629,298" to="10926,298" stroked="true" strokeweight=".06pt" strokecolor="#000000"/>
            <v:line style="position:absolute" from="9629,299" to="10926,299" stroked="true" strokeweight=".06pt" strokecolor="#000000"/>
            <v:line style="position:absolute" from="9629,300" to="10926,300" stroked="true" strokeweight=".06pt" strokecolor="#000000"/>
            <v:line style="position:absolute" from="9629,301" to="10926,301" stroked="true" strokeweight=".06pt" strokecolor="#000000"/>
            <v:line style="position:absolute" from="9629,303" to="10926,303" stroked="true" strokeweight=".06pt" strokecolor="#000000"/>
            <v:line style="position:absolute" from="9629,304" to="10926,304" stroked="true" strokeweight=".06pt" strokecolor="#000000"/>
            <v:line style="position:absolute" from="9629,305" to="10926,305" stroked="true" strokeweight=".06pt" strokecolor="#000000"/>
            <v:line style="position:absolute" from="9629,306" to="10926,306" stroked="true" strokeweight=".06pt" strokecolor="#000000"/>
            <v:line style="position:absolute" from="9629,307" to="10926,307" stroked="true" strokeweight=".06pt" strokecolor="#000000"/>
            <v:line style="position:absolute" from="9629,309" to="10926,309" stroked="true" strokeweight=".06pt" strokecolor="#000000"/>
            <w10:wrap type="topAndBottom"/>
          </v:group>
        </w:pict>
      </w:r>
      <w:r>
        <w:rPr/>
        <w:t>Amortisation</w:t>
      </w:r>
      <w:r>
        <w:rPr>
          <w:spacing w:val="-1"/>
        </w:rPr>
        <w:t> </w:t>
      </w:r>
      <w:r>
        <w:rPr/>
        <w:t>charge</w:t>
        <w:tab/>
      </w:r>
      <w:r>
        <w:rPr>
          <w:b/>
        </w:rPr>
        <w:t>-</w:t>
        <w:tab/>
      </w:r>
      <w:r>
        <w:rPr/>
        <w:t>(10,942)</w:t>
        <w:tab/>
        <w:t>(10,942)</w:t>
      </w:r>
    </w:p>
    <w:p>
      <w:pPr>
        <w:pStyle w:val="Heading9"/>
        <w:tabs>
          <w:tab w:pos="7182" w:val="left" w:leader="none"/>
          <w:tab w:pos="8478" w:val="left" w:leader="none"/>
          <w:tab w:pos="9775" w:val="left" w:leader="none"/>
        </w:tabs>
        <w:spacing w:before="84"/>
        <w:ind w:left="545" w:right="19"/>
      </w:pPr>
      <w:r>
        <w:rPr/>
        <w:t>Closing net</w:t>
      </w:r>
      <w:r>
        <w:rPr>
          <w:spacing w:val="-1"/>
        </w:rPr>
        <w:t> </w:t>
      </w:r>
      <w:r>
        <w:rPr/>
        <w:t>book</w:t>
      </w:r>
      <w:r>
        <w:rPr>
          <w:spacing w:val="-1"/>
        </w:rPr>
        <w:t> </w:t>
      </w:r>
      <w:r>
        <w:rPr/>
        <w:t>amount</w:t>
        <w:tab/>
        <w:t>-</w:t>
        <w:tab/>
        <w:t>-</w:t>
        <w:tab/>
        <w:t>-</w:t>
      </w:r>
    </w:p>
    <w:p>
      <w:pPr>
        <w:pStyle w:val="BodyText"/>
        <w:spacing w:line="20" w:lineRule="exact"/>
        <w:ind w:left="6173"/>
        <w:rPr>
          <w:sz w:val="2"/>
        </w:rPr>
      </w:pPr>
      <w:r>
        <w:rPr>
          <w:sz w:val="2"/>
        </w:rPr>
        <w:pict>
          <v:group style="width:194.7pt;height:1pt;mso-position-horizontal-relative:char;mso-position-vertical-relative:line" coordorigin="0,0" coordsize="3894,2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2595,1" to="3893,1" stroked="true" strokeweight=".06pt" strokecolor="#000000"/>
            <v:line style="position:absolute" from="2595,2" to="3893,2" stroked="true" strokeweight=".06pt" strokecolor="#000000"/>
            <v:line style="position:absolute" from="2595,3" to="3893,3" stroked="true" strokeweight=".06pt" strokecolor="#000000"/>
            <v:line style="position:absolute" from="2595,5" to="3893,5" stroked="true" strokeweight=".06pt" strokecolor="#000000"/>
            <v:line style="position:absolute" from="2595,6" to="3893,6" stroked="true" strokeweight=".06pt" strokecolor="#000000"/>
            <v:line style="position:absolute" from="2595,7" to="3893,7" stroked="true" strokeweight=".06pt" strokecolor="#000000"/>
            <v:line style="position:absolute" from="2595,8" to="3893,8" stroked="true" strokeweight=".06pt" strokecolor="#000000"/>
            <v:line style="position:absolute" from="2595,9" to="3893,9" stroked="true" strokeweight=".06pt" strokecolor="#000000"/>
            <v:line style="position:absolute" from="2595,11" to="3893,11" stroked="true" strokeweight=".06pt" strokecolor="#000000"/>
            <v:line style="position:absolute" from="2595,12" to="3893,12" stroked="true" strokeweight=".06pt" strokecolor="#000000"/>
            <v:line style="position:absolute" from="2595,13" to="3893,13" stroked="true" strokeweight=".06pt" strokecolor="#000000"/>
            <v:line style="position:absolute" from="2595,14" to="3893,14" stroked="true" strokeweight=".06pt" strokecolor="#000000"/>
            <v:line style="position:absolute" from="2595,15" to="3893,15" stroked="true" strokeweight=".06pt" strokecolor="#000000"/>
            <v:line style="position:absolute" from="2595,17" to="3893,17" stroked="true" strokeweight=".06pt" strokecolor="#000000"/>
            <v:line style="position:absolute" from="2595,18" to="3893,18" stroked="true" strokeweight=".06pt" strokecolor="#000000"/>
            <v:line style="position:absolute" from="2595,19" to="3893,19" stroked="true" strokeweight=".06pt" strokecolor="#000000"/>
          </v:group>
        </w:pict>
      </w:r>
      <w:r>
        <w:rPr>
          <w:sz w:val="2"/>
        </w:rPr>
      </w:r>
    </w:p>
    <w:p>
      <w:pPr>
        <w:pStyle w:val="BodyText"/>
        <w:spacing w:before="10"/>
        <w:rPr>
          <w:b/>
          <w:sz w:val="19"/>
        </w:rPr>
      </w:pPr>
    </w:p>
    <w:tbl>
      <w:tblPr>
        <w:tblW w:w="0" w:type="auto"/>
        <w:jc w:val="left"/>
        <w:tblInd w:w="5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664"/>
        <w:gridCol w:w="1584"/>
        <w:gridCol w:w="1297"/>
        <w:gridCol w:w="1011"/>
      </w:tblGrid>
      <w:tr>
        <w:trPr>
          <w:trHeight w:val="591" w:hRule="exact"/>
        </w:trPr>
        <w:tc>
          <w:tcPr>
            <w:tcW w:w="5664" w:type="dxa"/>
          </w:tcPr>
          <w:p>
            <w:pPr>
              <w:pStyle w:val="TableParagraph"/>
              <w:spacing w:before="77"/>
              <w:ind w:left="35"/>
              <w:rPr>
                <w:b/>
                <w:sz w:val="18"/>
              </w:rPr>
            </w:pPr>
            <w:r>
              <w:rPr>
                <w:b/>
                <w:sz w:val="18"/>
              </w:rPr>
              <w:t>At 31 December 2016</w:t>
            </w:r>
          </w:p>
          <w:p>
            <w:pPr>
              <w:pStyle w:val="TableParagraph"/>
              <w:spacing w:before="63"/>
              <w:ind w:left="35"/>
              <w:rPr>
                <w:sz w:val="18"/>
              </w:rPr>
            </w:pPr>
            <w:r>
              <w:rPr>
                <w:sz w:val="18"/>
              </w:rPr>
              <w:t>Cost</w:t>
            </w:r>
          </w:p>
        </w:tc>
        <w:tc>
          <w:tcPr>
            <w:tcW w:w="1584" w:type="dxa"/>
          </w:tcPr>
          <w:p>
            <w:pPr>
              <w:pStyle w:val="TableParagraph"/>
              <w:rPr>
                <w:b/>
                <w:sz w:val="18"/>
              </w:rPr>
            </w:pPr>
          </w:p>
          <w:p>
            <w:pPr>
              <w:pStyle w:val="TableParagraph"/>
              <w:spacing w:before="139"/>
              <w:ind w:right="370"/>
              <w:jc w:val="right"/>
              <w:rPr>
                <w:sz w:val="18"/>
              </w:rPr>
            </w:pPr>
            <w:r>
              <w:rPr>
                <w:w w:val="95"/>
                <w:sz w:val="18"/>
              </w:rPr>
              <w:t>65,500</w:t>
            </w:r>
          </w:p>
        </w:tc>
        <w:tc>
          <w:tcPr>
            <w:tcW w:w="1297" w:type="dxa"/>
          </w:tcPr>
          <w:p>
            <w:pPr>
              <w:pStyle w:val="TableParagraph"/>
              <w:rPr>
                <w:b/>
                <w:sz w:val="18"/>
              </w:rPr>
            </w:pPr>
          </w:p>
          <w:p>
            <w:pPr>
              <w:pStyle w:val="TableParagraph"/>
              <w:spacing w:before="139"/>
              <w:ind w:left="293" w:right="293"/>
              <w:jc w:val="center"/>
              <w:rPr>
                <w:sz w:val="18"/>
              </w:rPr>
            </w:pPr>
            <w:r>
              <w:rPr>
                <w:sz w:val="18"/>
              </w:rPr>
              <w:t>15,000</w:t>
            </w:r>
          </w:p>
        </w:tc>
        <w:tc>
          <w:tcPr>
            <w:tcW w:w="1011" w:type="dxa"/>
          </w:tcPr>
          <w:p>
            <w:pPr>
              <w:pStyle w:val="TableParagraph"/>
              <w:rPr>
                <w:b/>
                <w:sz w:val="18"/>
              </w:rPr>
            </w:pPr>
          </w:p>
          <w:p>
            <w:pPr>
              <w:pStyle w:val="TableParagraph"/>
              <w:spacing w:before="139"/>
              <w:ind w:left="293" w:right="7"/>
              <w:jc w:val="center"/>
              <w:rPr>
                <w:sz w:val="18"/>
              </w:rPr>
            </w:pPr>
            <w:r>
              <w:rPr>
                <w:sz w:val="18"/>
              </w:rPr>
              <w:t>80,500</w:t>
            </w:r>
          </w:p>
        </w:tc>
      </w:tr>
      <w:tr>
        <w:trPr>
          <w:trHeight w:val="262" w:hRule="exact"/>
        </w:trPr>
        <w:tc>
          <w:tcPr>
            <w:tcW w:w="5664" w:type="dxa"/>
          </w:tcPr>
          <w:p>
            <w:pPr>
              <w:pStyle w:val="TableParagraph"/>
              <w:spacing w:before="19"/>
              <w:ind w:left="35"/>
              <w:rPr>
                <w:sz w:val="18"/>
              </w:rPr>
            </w:pPr>
            <w:r>
              <w:rPr>
                <w:sz w:val="18"/>
              </w:rPr>
              <w:t>Accumulated amortisation</w:t>
            </w:r>
          </w:p>
        </w:tc>
        <w:tc>
          <w:tcPr>
            <w:tcW w:w="1584" w:type="dxa"/>
            <w:tcBorders>
              <w:bottom w:val="single" w:sz="0" w:space="0" w:color="000000"/>
            </w:tcBorders>
          </w:tcPr>
          <w:p>
            <w:pPr>
              <w:pStyle w:val="TableParagraph"/>
              <w:spacing w:before="18"/>
              <w:ind w:right="310"/>
              <w:jc w:val="right"/>
              <w:rPr>
                <w:sz w:val="18"/>
              </w:rPr>
            </w:pPr>
            <w:r>
              <w:rPr>
                <w:w w:val="95"/>
                <w:sz w:val="18"/>
              </w:rPr>
              <w:t>(65,500)</w:t>
            </w:r>
          </w:p>
        </w:tc>
        <w:tc>
          <w:tcPr>
            <w:tcW w:w="1297" w:type="dxa"/>
            <w:tcBorders>
              <w:bottom w:val="single" w:sz="0" w:space="0" w:color="000000"/>
            </w:tcBorders>
          </w:tcPr>
          <w:p>
            <w:pPr>
              <w:pStyle w:val="TableParagraph"/>
              <w:spacing w:before="18"/>
              <w:ind w:left="293" w:right="293"/>
              <w:jc w:val="center"/>
              <w:rPr>
                <w:sz w:val="18"/>
              </w:rPr>
            </w:pPr>
            <w:r>
              <w:rPr>
                <w:sz w:val="18"/>
              </w:rPr>
              <w:t>(15,000)</w:t>
            </w:r>
          </w:p>
        </w:tc>
        <w:tc>
          <w:tcPr>
            <w:tcW w:w="1011" w:type="dxa"/>
            <w:tcBorders>
              <w:bottom w:val="single" w:sz="0" w:space="0" w:color="000000"/>
            </w:tcBorders>
          </w:tcPr>
          <w:p>
            <w:pPr>
              <w:pStyle w:val="TableParagraph"/>
              <w:spacing w:before="18"/>
              <w:ind w:left="293" w:right="7"/>
              <w:jc w:val="center"/>
              <w:rPr>
                <w:sz w:val="18"/>
              </w:rPr>
            </w:pPr>
            <w:r>
              <w:rPr>
                <w:sz w:val="18"/>
              </w:rPr>
              <w:t>(80,500)</w:t>
            </w:r>
          </w:p>
        </w:tc>
      </w:tr>
    </w:tbl>
    <w:p>
      <w:pPr>
        <w:tabs>
          <w:tab w:pos="7182" w:val="left" w:leader="none"/>
          <w:tab w:pos="8478" w:val="left" w:leader="none"/>
          <w:tab w:pos="9775" w:val="left" w:leader="none"/>
        </w:tabs>
        <w:spacing w:before="123"/>
        <w:ind w:left="545" w:right="19" w:firstLine="0"/>
        <w:jc w:val="left"/>
        <w:rPr>
          <w:sz w:val="18"/>
        </w:rPr>
      </w:pPr>
      <w:r>
        <w:rPr>
          <w:b/>
          <w:sz w:val="18"/>
        </w:rPr>
        <w:t>Net book amount</w:t>
        <w:tab/>
      </w:r>
      <w:r>
        <w:rPr>
          <w:sz w:val="18"/>
        </w:rPr>
        <w:t>-</w:t>
        <w:tab/>
        <w:t>-</w:t>
        <w:tab/>
        <w:t>-</w:t>
      </w:r>
    </w:p>
    <w:p>
      <w:pPr>
        <w:pStyle w:val="BodyText"/>
        <w:spacing w:line="50" w:lineRule="exact"/>
        <w:ind w:left="6173"/>
        <w:rPr>
          <w:sz w:val="5"/>
        </w:rPr>
      </w:pPr>
      <w:r>
        <w:rPr>
          <w:position w:val="0"/>
          <w:sz w:val="5"/>
        </w:rPr>
        <w:pict>
          <v:group style="width:194.7pt;height:2.5pt;mso-position-horizontal-relative:char;mso-position-vertical-relative:line" coordorigin="0,0" coordsize="3894,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line style="position:absolute" from="2595,1" to="3893,1" stroked="true" strokeweight=".06pt" strokecolor="#000000"/>
            <v:line style="position:absolute" from="2595,2" to="3893,2" stroked="true" strokeweight=".06pt" strokecolor="#000000"/>
            <v:line style="position:absolute" from="2595,3" to="3893,3" stroked="true" strokeweight=".06pt" strokecolor="#000000"/>
            <v:line style="position:absolute" from="2595,5" to="3893,5" stroked="true" strokeweight=".06pt" strokecolor="#000000"/>
            <v:line style="position:absolute" from="2595,6" to="3893,6" stroked="true" strokeweight=".06pt" strokecolor="#000000"/>
            <v:line style="position:absolute" from="2595,7" to="3893,7" stroked="true" strokeweight=".06pt" strokecolor="#000000"/>
            <v:line style="position:absolute" from="2595,8" to="3893,8" stroked="true" strokeweight=".06pt" strokecolor="#000000"/>
            <v:line style="position:absolute" from="2595,9" to="3893,9" stroked="true" strokeweight=".06pt" strokecolor="#000000"/>
            <v:line style="position:absolute" from="2595,11" to="3893,11" stroked="true" strokeweight=".06pt" strokecolor="#000000"/>
            <v:line style="position:absolute" from="2595,12" to="3893,12" stroked="true" strokeweight=".06pt" strokecolor="#000000"/>
            <v:line style="position:absolute" from="2595,13" to="3893,13" stroked="true" strokeweight=".06pt" strokecolor="#000000"/>
            <v:line style="position:absolute" from="2595,14" to="3893,14" stroked="true" strokeweight=".06pt" strokecolor="#000000"/>
            <v:line style="position:absolute" from="2595,15" to="3893,15" stroked="true" strokeweight=".06pt" strokecolor="#000000"/>
            <v:line style="position:absolute" from="2595,35" to="3893,35" stroked="true" strokeweight=".06pt" strokecolor="#000000"/>
            <v:line style="position:absolute" from="2595,36" to="3893,36" stroked="true" strokeweight=".06pt" strokecolor="#000000"/>
            <v:line style="position:absolute" from="2595,37" to="3893,37" stroked="true" strokeweight=".06pt" strokecolor="#000000"/>
            <v:line style="position:absolute" from="2595,38" to="3893,38" stroked="true" strokeweight=".06pt" strokecolor="#000000"/>
            <v:line style="position:absolute" from="2595,39" to="3893,39" stroked="true" strokeweight=".06pt" strokecolor="#000000"/>
            <v:line style="position:absolute" from="2595,41" to="3893,41" stroked="true" strokeweight=".06pt" strokecolor="#000000"/>
            <v:line style="position:absolute" from="2595,42" to="3893,42" stroked="true" strokeweight=".06pt" strokecolor="#000000"/>
            <v:line style="position:absolute" from="2595,43" to="3893,43" stroked="true" strokeweight=".06pt" strokecolor="#000000"/>
            <v:line style="position:absolute" from="2595,44" to="3893,44" stroked="true" strokeweight=".06pt" strokecolor="#000000"/>
            <v:line style="position:absolute" from="2595,45" to="3893,45" stroked="true" strokeweight=".06pt" strokecolor="#000000"/>
            <v:line style="position:absolute" from="2595,47" to="3893,47" stroked="true" strokeweight=".06pt" strokecolor="#000000"/>
            <v:line style="position:absolute" from="2595,48" to="3893,48" stroked="true" strokeweight=".06pt" strokecolor="#000000"/>
            <v:line style="position:absolute" from="2595,49" to="3893,49" stroked="true" strokeweight=".06pt" strokecolor="#000000"/>
          </v:group>
        </w:pict>
      </w:r>
      <w:r>
        <w:rPr>
          <w:position w:val="0"/>
          <w:sz w:val="5"/>
        </w:rPr>
      </w:r>
    </w:p>
    <w:p>
      <w:pPr>
        <w:pStyle w:val="BodyText"/>
        <w:spacing w:before="2"/>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7023"/>
        <w:gridCol w:w="1460"/>
        <w:gridCol w:w="1135"/>
      </w:tblGrid>
      <w:tr>
        <w:trPr>
          <w:trHeight w:val="567" w:hRule="exact"/>
        </w:trPr>
        <w:tc>
          <w:tcPr>
            <w:tcW w:w="333" w:type="dxa"/>
          </w:tcPr>
          <w:p>
            <w:pPr>
              <w:pStyle w:val="TableParagraph"/>
              <w:spacing w:before="77"/>
              <w:ind w:left="35"/>
              <w:rPr>
                <w:b/>
                <w:sz w:val="18"/>
              </w:rPr>
            </w:pPr>
            <w:r>
              <w:rPr>
                <w:b/>
                <w:sz w:val="18"/>
              </w:rPr>
              <w:t>13</w:t>
            </w:r>
          </w:p>
        </w:tc>
        <w:tc>
          <w:tcPr>
            <w:tcW w:w="7023" w:type="dxa"/>
          </w:tcPr>
          <w:p>
            <w:pPr>
              <w:pStyle w:val="TableParagraph"/>
              <w:spacing w:before="77"/>
              <w:ind w:left="97"/>
              <w:rPr>
                <w:b/>
                <w:sz w:val="18"/>
              </w:rPr>
            </w:pPr>
            <w:r>
              <w:rPr>
                <w:b/>
                <w:sz w:val="18"/>
              </w:rPr>
              <w:t>Trade and other payables</w:t>
            </w:r>
          </w:p>
        </w:tc>
        <w:tc>
          <w:tcPr>
            <w:tcW w:w="1460" w:type="dxa"/>
          </w:tcPr>
          <w:p>
            <w:pPr>
              <w:pStyle w:val="TableParagraph"/>
              <w:rPr>
                <w:sz w:val="18"/>
              </w:rPr>
            </w:pPr>
          </w:p>
          <w:p>
            <w:pPr>
              <w:pStyle w:val="TableParagraph"/>
              <w:spacing w:before="110"/>
              <w:ind w:left="448"/>
              <w:rPr>
                <w:b/>
                <w:sz w:val="18"/>
              </w:rPr>
            </w:pPr>
            <w:r>
              <w:rPr>
                <w:b/>
                <w:sz w:val="18"/>
              </w:rPr>
              <w:t>2017</w:t>
            </w:r>
          </w:p>
        </w:tc>
        <w:tc>
          <w:tcPr>
            <w:tcW w:w="1135" w:type="dxa"/>
          </w:tcPr>
          <w:p>
            <w:pPr>
              <w:pStyle w:val="TableParagraph"/>
              <w:rPr>
                <w:sz w:val="18"/>
              </w:rPr>
            </w:pPr>
          </w:p>
          <w:p>
            <w:pPr>
              <w:pStyle w:val="TableParagraph"/>
              <w:spacing w:before="110"/>
              <w:ind w:left="272"/>
              <w:rPr>
                <w:b/>
                <w:sz w:val="18"/>
              </w:rPr>
            </w:pPr>
            <w:r>
              <w:rPr>
                <w:b/>
                <w:sz w:val="18"/>
              </w:rPr>
              <w:t>2016</w:t>
            </w:r>
          </w:p>
        </w:tc>
      </w:tr>
      <w:tr>
        <w:trPr>
          <w:trHeight w:val="271" w:hRule="exact"/>
        </w:trPr>
        <w:tc>
          <w:tcPr>
            <w:tcW w:w="333" w:type="dxa"/>
          </w:tcPr>
          <w:p>
            <w:pPr/>
          </w:p>
        </w:tc>
        <w:tc>
          <w:tcPr>
            <w:tcW w:w="7023" w:type="dxa"/>
          </w:tcPr>
          <w:p>
            <w:pPr/>
          </w:p>
        </w:tc>
        <w:tc>
          <w:tcPr>
            <w:tcW w:w="1460" w:type="dxa"/>
          </w:tcPr>
          <w:p>
            <w:pPr>
              <w:pStyle w:val="TableParagraph"/>
              <w:spacing w:before="24"/>
              <w:ind w:right="160"/>
              <w:jc w:val="center"/>
              <w:rPr>
                <w:b/>
                <w:sz w:val="18"/>
              </w:rPr>
            </w:pPr>
            <w:r>
              <w:rPr>
                <w:b/>
                <w:w w:val="99"/>
                <w:sz w:val="18"/>
              </w:rPr>
              <w:t>$</w:t>
            </w:r>
          </w:p>
        </w:tc>
        <w:tc>
          <w:tcPr>
            <w:tcW w:w="1135" w:type="dxa"/>
          </w:tcPr>
          <w:p>
            <w:pPr>
              <w:pStyle w:val="TableParagraph"/>
              <w:spacing w:before="24"/>
              <w:ind w:right="186"/>
              <w:jc w:val="center"/>
              <w:rPr>
                <w:b/>
                <w:sz w:val="18"/>
              </w:rPr>
            </w:pPr>
            <w:r>
              <w:rPr>
                <w:b/>
                <w:w w:val="99"/>
                <w:sz w:val="18"/>
              </w:rPr>
              <w:t>$</w:t>
            </w:r>
          </w:p>
        </w:tc>
      </w:tr>
      <w:tr>
        <w:trPr>
          <w:trHeight w:val="266" w:hRule="exact"/>
        </w:trPr>
        <w:tc>
          <w:tcPr>
            <w:tcW w:w="333" w:type="dxa"/>
          </w:tcPr>
          <w:p>
            <w:pPr/>
          </w:p>
        </w:tc>
        <w:tc>
          <w:tcPr>
            <w:tcW w:w="7023" w:type="dxa"/>
          </w:tcPr>
          <w:p>
            <w:pPr>
              <w:pStyle w:val="TableParagraph"/>
              <w:spacing w:before="21"/>
              <w:ind w:left="97"/>
              <w:rPr>
                <w:sz w:val="18"/>
              </w:rPr>
            </w:pPr>
            <w:r>
              <w:rPr>
                <w:sz w:val="18"/>
              </w:rPr>
              <w:t>Trade payables</w:t>
            </w:r>
          </w:p>
        </w:tc>
        <w:tc>
          <w:tcPr>
            <w:tcW w:w="1460" w:type="dxa"/>
          </w:tcPr>
          <w:p>
            <w:pPr>
              <w:pStyle w:val="TableParagraph"/>
              <w:spacing w:before="22"/>
              <w:ind w:right="246"/>
              <w:jc w:val="right"/>
              <w:rPr>
                <w:b/>
                <w:sz w:val="18"/>
              </w:rPr>
            </w:pPr>
            <w:r>
              <w:rPr>
                <w:b/>
                <w:w w:val="95"/>
                <w:sz w:val="18"/>
              </w:rPr>
              <w:t>145,047</w:t>
            </w:r>
          </w:p>
        </w:tc>
        <w:tc>
          <w:tcPr>
            <w:tcW w:w="1135" w:type="dxa"/>
          </w:tcPr>
          <w:p>
            <w:pPr>
              <w:pStyle w:val="TableParagraph"/>
              <w:spacing w:before="22"/>
              <w:ind w:right="83"/>
              <w:jc w:val="right"/>
              <w:rPr>
                <w:sz w:val="18"/>
              </w:rPr>
            </w:pPr>
            <w:r>
              <w:rPr>
                <w:w w:val="95"/>
                <w:sz w:val="18"/>
              </w:rPr>
              <w:t>200,065</w:t>
            </w:r>
          </w:p>
        </w:tc>
      </w:tr>
      <w:tr>
        <w:trPr>
          <w:trHeight w:val="264" w:hRule="exact"/>
        </w:trPr>
        <w:tc>
          <w:tcPr>
            <w:tcW w:w="333" w:type="dxa"/>
          </w:tcPr>
          <w:p>
            <w:pPr/>
          </w:p>
        </w:tc>
        <w:tc>
          <w:tcPr>
            <w:tcW w:w="7023" w:type="dxa"/>
          </w:tcPr>
          <w:p>
            <w:pPr>
              <w:pStyle w:val="TableParagraph"/>
              <w:spacing w:before="18"/>
              <w:ind w:left="97"/>
              <w:rPr>
                <w:sz w:val="18"/>
              </w:rPr>
            </w:pPr>
            <w:r>
              <w:rPr>
                <w:sz w:val="18"/>
              </w:rPr>
              <w:t>Accrued expenses</w:t>
            </w:r>
          </w:p>
        </w:tc>
        <w:tc>
          <w:tcPr>
            <w:tcW w:w="1460" w:type="dxa"/>
          </w:tcPr>
          <w:p>
            <w:pPr>
              <w:pStyle w:val="TableParagraph"/>
              <w:spacing w:before="19"/>
              <w:ind w:right="246"/>
              <w:jc w:val="right"/>
              <w:rPr>
                <w:b/>
                <w:sz w:val="18"/>
              </w:rPr>
            </w:pPr>
            <w:r>
              <w:rPr>
                <w:b/>
                <w:w w:val="95"/>
                <w:sz w:val="18"/>
              </w:rPr>
              <w:t>152,698</w:t>
            </w:r>
          </w:p>
        </w:tc>
        <w:tc>
          <w:tcPr>
            <w:tcW w:w="1135" w:type="dxa"/>
          </w:tcPr>
          <w:p>
            <w:pPr>
              <w:pStyle w:val="TableParagraph"/>
              <w:spacing w:before="19"/>
              <w:ind w:right="83"/>
              <w:jc w:val="right"/>
              <w:rPr>
                <w:sz w:val="18"/>
              </w:rPr>
            </w:pPr>
            <w:r>
              <w:rPr>
                <w:w w:val="95"/>
                <w:sz w:val="18"/>
              </w:rPr>
              <w:t>786,383</w:t>
            </w:r>
          </w:p>
        </w:tc>
      </w:tr>
      <w:tr>
        <w:trPr>
          <w:trHeight w:val="263" w:hRule="exact"/>
        </w:trPr>
        <w:tc>
          <w:tcPr>
            <w:tcW w:w="333" w:type="dxa"/>
          </w:tcPr>
          <w:p>
            <w:pPr/>
          </w:p>
        </w:tc>
        <w:tc>
          <w:tcPr>
            <w:tcW w:w="7023" w:type="dxa"/>
          </w:tcPr>
          <w:p>
            <w:pPr>
              <w:pStyle w:val="TableParagraph"/>
              <w:spacing w:before="18"/>
              <w:ind w:left="97"/>
              <w:rPr>
                <w:sz w:val="18"/>
              </w:rPr>
            </w:pPr>
            <w:r>
              <w:rPr>
                <w:sz w:val="18"/>
              </w:rPr>
              <w:t>Other payables</w:t>
            </w:r>
          </w:p>
        </w:tc>
        <w:tc>
          <w:tcPr>
            <w:tcW w:w="1460" w:type="dxa"/>
            <w:tcBorders>
              <w:bottom w:val="single" w:sz="0" w:space="0" w:color="000000"/>
            </w:tcBorders>
          </w:tcPr>
          <w:p>
            <w:pPr>
              <w:pStyle w:val="TableParagraph"/>
              <w:spacing w:before="19"/>
              <w:ind w:right="247"/>
              <w:jc w:val="right"/>
              <w:rPr>
                <w:b/>
                <w:sz w:val="18"/>
              </w:rPr>
            </w:pPr>
            <w:r>
              <w:rPr>
                <w:b/>
                <w:w w:val="95"/>
                <w:sz w:val="18"/>
              </w:rPr>
              <w:t>69,552</w:t>
            </w:r>
          </w:p>
        </w:tc>
        <w:tc>
          <w:tcPr>
            <w:tcW w:w="1135" w:type="dxa"/>
            <w:tcBorders>
              <w:bottom w:val="single" w:sz="0" w:space="0" w:color="000000"/>
            </w:tcBorders>
          </w:tcPr>
          <w:p>
            <w:pPr>
              <w:pStyle w:val="TableParagraph"/>
              <w:spacing w:before="19"/>
              <w:ind w:right="83"/>
              <w:jc w:val="right"/>
              <w:rPr>
                <w:sz w:val="18"/>
              </w:rPr>
            </w:pPr>
            <w:r>
              <w:rPr>
                <w:w w:val="95"/>
                <w:sz w:val="18"/>
              </w:rPr>
              <w:t>511,288</w:t>
            </w:r>
          </w:p>
        </w:tc>
      </w:tr>
      <w:tr>
        <w:trPr>
          <w:trHeight w:val="353" w:hRule="exact"/>
        </w:trPr>
        <w:tc>
          <w:tcPr>
            <w:tcW w:w="333" w:type="dxa"/>
          </w:tcPr>
          <w:p>
            <w:pPr/>
          </w:p>
        </w:tc>
        <w:tc>
          <w:tcPr>
            <w:tcW w:w="7023" w:type="dxa"/>
          </w:tcPr>
          <w:p>
            <w:pP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367,297</w:t>
            </w:r>
          </w:p>
        </w:tc>
        <w:tc>
          <w:tcPr>
            <w:tcW w:w="1135" w:type="dxa"/>
            <w:tcBorders>
              <w:top w:val="single" w:sz="0" w:space="0" w:color="000000"/>
              <w:bottom w:val="single" w:sz="0" w:space="0" w:color="000000"/>
            </w:tcBorders>
          </w:tcPr>
          <w:p>
            <w:pPr>
              <w:pStyle w:val="TableParagraph"/>
              <w:spacing w:before="122"/>
              <w:ind w:right="82"/>
              <w:jc w:val="right"/>
              <w:rPr>
                <w:sz w:val="18"/>
              </w:rPr>
            </w:pPr>
            <w:r>
              <w:rPr>
                <w:w w:val="95"/>
                <w:sz w:val="18"/>
              </w:rPr>
              <w:t>1,497,736</w:t>
            </w:r>
          </w:p>
        </w:tc>
      </w:tr>
    </w:tbl>
    <w:p>
      <w:pPr>
        <w:spacing w:after="0"/>
        <w:jc w:val="right"/>
        <w:rPr>
          <w:sz w:val="18"/>
        </w:rPr>
        <w:sectPr>
          <w:type w:val="continuous"/>
          <w:pgSz w:w="11910" w:h="16840"/>
          <w:pgMar w:top="1580" w:bottom="280" w:left="860" w:right="860"/>
        </w:sectPr>
      </w:pPr>
    </w:p>
    <w:p>
      <w:pPr>
        <w:pStyle w:val="BodyText"/>
        <w:spacing w:before="8"/>
        <w:rPr>
          <w:rFonts w:ascii="Times New Roman"/>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2"/>
        <w:gridCol w:w="7025"/>
        <w:gridCol w:w="1460"/>
        <w:gridCol w:w="1134"/>
      </w:tblGrid>
      <w:tr>
        <w:trPr>
          <w:trHeight w:val="567" w:hRule="exact"/>
        </w:trPr>
        <w:tc>
          <w:tcPr>
            <w:tcW w:w="332" w:type="dxa"/>
          </w:tcPr>
          <w:p>
            <w:pPr>
              <w:pStyle w:val="TableParagraph"/>
              <w:spacing w:before="77"/>
              <w:ind w:left="16" w:right="76"/>
              <w:jc w:val="center"/>
              <w:rPr>
                <w:b/>
                <w:sz w:val="18"/>
              </w:rPr>
            </w:pPr>
            <w:r>
              <w:rPr>
                <w:b/>
                <w:sz w:val="18"/>
              </w:rPr>
              <w:t>14</w:t>
            </w:r>
          </w:p>
        </w:tc>
        <w:tc>
          <w:tcPr>
            <w:tcW w:w="7025" w:type="dxa"/>
          </w:tcPr>
          <w:p>
            <w:pPr>
              <w:pStyle w:val="TableParagraph"/>
              <w:spacing w:before="77"/>
              <w:ind w:left="97"/>
              <w:rPr>
                <w:b/>
                <w:sz w:val="18"/>
              </w:rPr>
            </w:pPr>
            <w:r>
              <w:rPr>
                <w:b/>
                <w:sz w:val="18"/>
              </w:rPr>
              <w:t>Borrowings from the Parent</w:t>
            </w:r>
          </w:p>
        </w:tc>
        <w:tc>
          <w:tcPr>
            <w:tcW w:w="1460" w:type="dxa"/>
          </w:tcPr>
          <w:p>
            <w:pPr>
              <w:pStyle w:val="TableParagraph"/>
              <w:rPr>
                <w:rFonts w:ascii="Times New Roman"/>
                <w:sz w:val="18"/>
              </w:rPr>
            </w:pPr>
          </w:p>
          <w:p>
            <w:pPr>
              <w:pStyle w:val="TableParagraph"/>
              <w:spacing w:before="110"/>
              <w:ind w:left="435"/>
              <w:rPr>
                <w:b/>
                <w:sz w:val="18"/>
              </w:rPr>
            </w:pPr>
            <w:r>
              <w:rPr>
                <w:b/>
                <w:sz w:val="18"/>
              </w:rPr>
              <w:t>2017</w:t>
            </w:r>
          </w:p>
        </w:tc>
        <w:tc>
          <w:tcPr>
            <w:tcW w:w="1134" w:type="dxa"/>
          </w:tcPr>
          <w:p>
            <w:pPr>
              <w:pStyle w:val="TableParagraph"/>
              <w:rPr>
                <w:rFonts w:ascii="Times New Roman"/>
                <w:sz w:val="18"/>
              </w:rPr>
            </w:pPr>
          </w:p>
          <w:p>
            <w:pPr>
              <w:pStyle w:val="TableParagraph"/>
              <w:spacing w:before="110"/>
              <w:ind w:left="272"/>
              <w:rPr>
                <w:b/>
                <w:sz w:val="18"/>
              </w:rPr>
            </w:pPr>
            <w:r>
              <w:rPr>
                <w:b/>
                <w:sz w:val="18"/>
              </w:rPr>
              <w:t>2016</w:t>
            </w:r>
          </w:p>
        </w:tc>
      </w:tr>
      <w:tr>
        <w:trPr>
          <w:trHeight w:val="271" w:hRule="exact"/>
        </w:trPr>
        <w:tc>
          <w:tcPr>
            <w:tcW w:w="332" w:type="dxa"/>
          </w:tcPr>
          <w:p>
            <w:pPr/>
          </w:p>
        </w:tc>
        <w:tc>
          <w:tcPr>
            <w:tcW w:w="7025" w:type="dxa"/>
          </w:tcPr>
          <w:p>
            <w:pPr>
              <w:pStyle w:val="TableParagraph"/>
              <w:spacing w:before="24"/>
              <w:ind w:left="98"/>
              <w:rPr>
                <w:b/>
                <w:sz w:val="18"/>
              </w:rPr>
            </w:pPr>
            <w:r>
              <w:rPr>
                <w:b/>
                <w:sz w:val="18"/>
              </w:rPr>
              <w:t>Unsecured - current</w:t>
            </w:r>
          </w:p>
        </w:tc>
        <w:tc>
          <w:tcPr>
            <w:tcW w:w="1460" w:type="dxa"/>
          </w:tcPr>
          <w:p>
            <w:pPr>
              <w:pStyle w:val="TableParagraph"/>
              <w:spacing w:before="24"/>
              <w:ind w:right="187"/>
              <w:jc w:val="center"/>
              <w:rPr>
                <w:b/>
                <w:sz w:val="18"/>
              </w:rPr>
            </w:pPr>
            <w:r>
              <w:rPr>
                <w:b/>
                <w:w w:val="99"/>
                <w:sz w:val="18"/>
              </w:rPr>
              <w:t>$</w:t>
            </w:r>
          </w:p>
        </w:tc>
        <w:tc>
          <w:tcPr>
            <w:tcW w:w="1134" w:type="dxa"/>
          </w:tcPr>
          <w:p>
            <w:pPr>
              <w:pStyle w:val="TableParagraph"/>
              <w:spacing w:before="24"/>
              <w:ind w:right="187"/>
              <w:jc w:val="center"/>
              <w:rPr>
                <w:b/>
                <w:sz w:val="18"/>
              </w:rPr>
            </w:pPr>
            <w:r>
              <w:rPr>
                <w:b/>
                <w:w w:val="99"/>
                <w:sz w:val="18"/>
              </w:rPr>
              <w:t>$</w:t>
            </w:r>
          </w:p>
        </w:tc>
      </w:tr>
      <w:tr>
        <w:trPr>
          <w:trHeight w:val="265" w:hRule="exact"/>
        </w:trPr>
        <w:tc>
          <w:tcPr>
            <w:tcW w:w="332" w:type="dxa"/>
          </w:tcPr>
          <w:p>
            <w:pPr/>
          </w:p>
        </w:tc>
        <w:tc>
          <w:tcPr>
            <w:tcW w:w="7025" w:type="dxa"/>
          </w:tcPr>
          <w:p>
            <w:pPr>
              <w:pStyle w:val="TableParagraph"/>
              <w:spacing w:before="22"/>
              <w:ind w:left="98"/>
              <w:rPr>
                <w:sz w:val="18"/>
              </w:rPr>
            </w:pPr>
            <w:r>
              <w:rPr>
                <w:sz w:val="18"/>
              </w:rPr>
              <w:t>Loans from related parties</w:t>
            </w:r>
          </w:p>
        </w:tc>
        <w:tc>
          <w:tcPr>
            <w:tcW w:w="1460" w:type="dxa"/>
            <w:tcBorders>
              <w:bottom w:val="single" w:sz="0" w:space="0" w:color="000000"/>
            </w:tcBorders>
          </w:tcPr>
          <w:p>
            <w:pPr>
              <w:pStyle w:val="TableParagraph"/>
              <w:spacing w:before="21"/>
              <w:ind w:right="246"/>
              <w:jc w:val="right"/>
              <w:rPr>
                <w:b/>
                <w:sz w:val="18"/>
              </w:rPr>
            </w:pPr>
            <w:r>
              <w:rPr>
                <w:b/>
                <w:w w:val="95"/>
                <w:sz w:val="18"/>
              </w:rPr>
              <w:t>799,365</w:t>
            </w:r>
          </w:p>
        </w:tc>
        <w:tc>
          <w:tcPr>
            <w:tcW w:w="1134" w:type="dxa"/>
            <w:tcBorders>
              <w:bottom w:val="single" w:sz="0" w:space="0" w:color="000000"/>
            </w:tcBorders>
          </w:tcPr>
          <w:p>
            <w:pPr>
              <w:pStyle w:val="TableParagraph"/>
              <w:spacing w:before="21"/>
              <w:ind w:right="82"/>
              <w:jc w:val="right"/>
              <w:rPr>
                <w:sz w:val="18"/>
              </w:rPr>
            </w:pPr>
            <w:r>
              <w:rPr>
                <w:w w:val="95"/>
                <w:sz w:val="18"/>
              </w:rPr>
              <w:t>5,618,407</w:t>
            </w:r>
          </w:p>
        </w:tc>
      </w:tr>
      <w:tr>
        <w:trPr>
          <w:trHeight w:val="353" w:hRule="exact"/>
        </w:trPr>
        <w:tc>
          <w:tcPr>
            <w:tcW w:w="332" w:type="dxa"/>
          </w:tcPr>
          <w:p>
            <w:pPr/>
          </w:p>
        </w:tc>
        <w:tc>
          <w:tcPr>
            <w:tcW w:w="7025" w:type="dxa"/>
          </w:tcPr>
          <w:p>
            <w:pPr>
              <w:pStyle w:val="TableParagraph"/>
              <w:spacing w:before="123"/>
              <w:ind w:left="98"/>
              <w:rPr>
                <w:b/>
                <w:sz w:val="18"/>
              </w:rPr>
            </w:pPr>
            <w:r>
              <w:rPr>
                <w:b/>
                <w:sz w:val="18"/>
              </w:rPr>
              <w:t>Total current borrowings</w:t>
            </w: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799,365</w:t>
            </w:r>
          </w:p>
        </w:tc>
        <w:tc>
          <w:tcPr>
            <w:tcW w:w="1134" w:type="dxa"/>
            <w:tcBorders>
              <w:top w:val="single" w:sz="0" w:space="0" w:color="000000"/>
              <w:bottom w:val="single" w:sz="0" w:space="0" w:color="000000"/>
            </w:tcBorders>
          </w:tcPr>
          <w:p>
            <w:pPr>
              <w:pStyle w:val="TableParagraph"/>
              <w:spacing w:before="122"/>
              <w:ind w:right="82"/>
              <w:jc w:val="right"/>
              <w:rPr>
                <w:sz w:val="18"/>
              </w:rPr>
            </w:pPr>
            <w:r>
              <w:rPr>
                <w:w w:val="95"/>
                <w:sz w:val="18"/>
              </w:rPr>
              <w:t>5,618,407</w:t>
            </w:r>
          </w:p>
        </w:tc>
      </w:tr>
      <w:tr>
        <w:trPr>
          <w:trHeight w:val="674" w:hRule="exact"/>
        </w:trPr>
        <w:tc>
          <w:tcPr>
            <w:tcW w:w="332" w:type="dxa"/>
          </w:tcPr>
          <w:p>
            <w:pPr/>
          </w:p>
        </w:tc>
        <w:tc>
          <w:tcPr>
            <w:tcW w:w="7025" w:type="dxa"/>
          </w:tcPr>
          <w:p>
            <w:pPr>
              <w:pStyle w:val="TableParagraph"/>
              <w:rPr>
                <w:rFonts w:ascii="Times New Roman"/>
                <w:sz w:val="18"/>
              </w:rPr>
            </w:pPr>
          </w:p>
          <w:p>
            <w:pPr>
              <w:pStyle w:val="TableParagraph"/>
              <w:spacing w:before="106"/>
              <w:ind w:left="98"/>
              <w:rPr>
                <w:sz w:val="18"/>
              </w:rPr>
            </w:pPr>
            <w:r>
              <w:rPr>
                <w:sz w:val="18"/>
              </w:rPr>
              <w:t>Western Unlimited Ltd has an unused borrowing facility to the value of $1.701M.</w:t>
            </w:r>
          </w:p>
        </w:tc>
        <w:tc>
          <w:tcPr>
            <w:tcW w:w="1460" w:type="dxa"/>
            <w:tcBorders>
              <w:top w:val="single" w:sz="0" w:space="0" w:color="000000"/>
            </w:tcBorders>
          </w:tcPr>
          <w:p>
            <w:pPr/>
          </w:p>
        </w:tc>
        <w:tc>
          <w:tcPr>
            <w:tcW w:w="1134" w:type="dxa"/>
            <w:tcBorders>
              <w:top w:val="single" w:sz="0" w:space="0" w:color="000000"/>
            </w:tcBorders>
          </w:tcPr>
          <w:p>
            <w:pPr/>
          </w:p>
        </w:tc>
      </w:tr>
      <w:tr>
        <w:trPr>
          <w:trHeight w:val="495" w:hRule="exact"/>
        </w:trPr>
        <w:tc>
          <w:tcPr>
            <w:tcW w:w="332" w:type="dxa"/>
          </w:tcPr>
          <w:p>
            <w:pPr>
              <w:pStyle w:val="TableParagraph"/>
              <w:spacing w:before="134"/>
              <w:ind w:left="16" w:right="76"/>
              <w:jc w:val="center"/>
              <w:rPr>
                <w:b/>
                <w:sz w:val="18"/>
              </w:rPr>
            </w:pPr>
            <w:r>
              <w:rPr>
                <w:b/>
                <w:sz w:val="18"/>
              </w:rPr>
              <w:t>15</w:t>
            </w:r>
          </w:p>
        </w:tc>
        <w:tc>
          <w:tcPr>
            <w:tcW w:w="7025" w:type="dxa"/>
          </w:tcPr>
          <w:p>
            <w:pPr>
              <w:pStyle w:val="TableParagraph"/>
              <w:spacing w:before="134"/>
              <w:ind w:left="98"/>
              <w:rPr>
                <w:b/>
                <w:sz w:val="18"/>
              </w:rPr>
            </w:pPr>
            <w:r>
              <w:rPr>
                <w:b/>
                <w:sz w:val="18"/>
              </w:rPr>
              <w:t>Provisions</w:t>
            </w:r>
          </w:p>
        </w:tc>
        <w:tc>
          <w:tcPr>
            <w:tcW w:w="1460" w:type="dxa"/>
          </w:tcPr>
          <w:p>
            <w:pPr/>
          </w:p>
        </w:tc>
        <w:tc>
          <w:tcPr>
            <w:tcW w:w="1134" w:type="dxa"/>
          </w:tcPr>
          <w:p>
            <w:pPr/>
          </w:p>
        </w:tc>
      </w:tr>
      <w:tr>
        <w:trPr>
          <w:trHeight w:val="625" w:hRule="exact"/>
        </w:trPr>
        <w:tc>
          <w:tcPr>
            <w:tcW w:w="332" w:type="dxa"/>
          </w:tcPr>
          <w:p>
            <w:pPr/>
          </w:p>
        </w:tc>
        <w:tc>
          <w:tcPr>
            <w:tcW w:w="7025" w:type="dxa"/>
          </w:tcPr>
          <w:p>
            <w:pPr>
              <w:pStyle w:val="TableParagraph"/>
              <w:spacing w:before="134"/>
              <w:ind w:left="98"/>
              <w:rPr>
                <w:b/>
                <w:sz w:val="18"/>
              </w:rPr>
            </w:pPr>
            <w:r>
              <w:rPr>
                <w:b/>
                <w:sz w:val="18"/>
              </w:rPr>
              <w:t>Current provisions expected to be settled within 12 months.</w:t>
            </w:r>
          </w:p>
        </w:tc>
        <w:tc>
          <w:tcPr>
            <w:tcW w:w="1460" w:type="dxa"/>
          </w:tcPr>
          <w:p>
            <w:pPr>
              <w:pStyle w:val="TableParagraph"/>
              <w:rPr>
                <w:rFonts w:ascii="Times New Roman"/>
                <w:sz w:val="18"/>
              </w:rPr>
            </w:pPr>
          </w:p>
          <w:p>
            <w:pPr>
              <w:pStyle w:val="TableParagraph"/>
              <w:spacing w:before="6"/>
              <w:rPr>
                <w:rFonts w:ascii="Times New Roman"/>
                <w:sz w:val="14"/>
              </w:rPr>
            </w:pPr>
          </w:p>
          <w:p>
            <w:pPr>
              <w:pStyle w:val="TableParagraph"/>
              <w:ind w:left="448"/>
              <w:rPr>
                <w:b/>
                <w:sz w:val="18"/>
              </w:rPr>
            </w:pPr>
            <w:r>
              <w:rPr>
                <w:b/>
                <w:sz w:val="18"/>
              </w:rPr>
              <w:t>2017</w:t>
            </w:r>
          </w:p>
        </w:tc>
        <w:tc>
          <w:tcPr>
            <w:tcW w:w="1134" w:type="dxa"/>
          </w:tcPr>
          <w:p>
            <w:pPr>
              <w:pStyle w:val="TableParagraph"/>
              <w:rPr>
                <w:rFonts w:ascii="Times New Roman"/>
                <w:sz w:val="18"/>
              </w:rPr>
            </w:pPr>
          </w:p>
          <w:p>
            <w:pPr>
              <w:pStyle w:val="TableParagraph"/>
              <w:spacing w:before="6"/>
              <w:rPr>
                <w:rFonts w:ascii="Times New Roman"/>
                <w:sz w:val="14"/>
              </w:rPr>
            </w:pPr>
          </w:p>
          <w:p>
            <w:pPr>
              <w:pStyle w:val="TableParagraph"/>
              <w:ind w:left="272"/>
              <w:rPr>
                <w:b/>
                <w:sz w:val="18"/>
              </w:rPr>
            </w:pPr>
            <w:r>
              <w:rPr>
                <w:b/>
                <w:sz w:val="18"/>
              </w:rPr>
              <w:t>2016</w:t>
            </w:r>
          </w:p>
        </w:tc>
      </w:tr>
      <w:tr>
        <w:trPr>
          <w:trHeight w:val="271" w:hRule="exact"/>
        </w:trPr>
        <w:tc>
          <w:tcPr>
            <w:tcW w:w="332" w:type="dxa"/>
          </w:tcPr>
          <w:p>
            <w:pPr/>
          </w:p>
        </w:tc>
        <w:tc>
          <w:tcPr>
            <w:tcW w:w="7025" w:type="dxa"/>
          </w:tcPr>
          <w:p>
            <w:pPr/>
          </w:p>
        </w:tc>
        <w:tc>
          <w:tcPr>
            <w:tcW w:w="1460" w:type="dxa"/>
          </w:tcPr>
          <w:p>
            <w:pPr>
              <w:pStyle w:val="TableParagraph"/>
              <w:spacing w:before="24"/>
              <w:ind w:right="161"/>
              <w:jc w:val="center"/>
              <w:rPr>
                <w:b/>
                <w:sz w:val="18"/>
              </w:rPr>
            </w:pPr>
            <w:r>
              <w:rPr>
                <w:b/>
                <w:w w:val="99"/>
                <w:sz w:val="18"/>
              </w:rPr>
              <w:t>$</w:t>
            </w:r>
          </w:p>
        </w:tc>
        <w:tc>
          <w:tcPr>
            <w:tcW w:w="1134" w:type="dxa"/>
          </w:tcPr>
          <w:p>
            <w:pPr>
              <w:pStyle w:val="TableParagraph"/>
              <w:spacing w:before="24"/>
              <w:ind w:right="187"/>
              <w:jc w:val="center"/>
              <w:rPr>
                <w:b/>
                <w:sz w:val="18"/>
              </w:rPr>
            </w:pPr>
            <w:r>
              <w:rPr>
                <w:b/>
                <w:w w:val="99"/>
                <w:sz w:val="18"/>
              </w:rPr>
              <w:t>$</w:t>
            </w:r>
          </w:p>
        </w:tc>
      </w:tr>
      <w:tr>
        <w:trPr>
          <w:trHeight w:val="267" w:hRule="exact"/>
        </w:trPr>
        <w:tc>
          <w:tcPr>
            <w:tcW w:w="332" w:type="dxa"/>
          </w:tcPr>
          <w:p>
            <w:pPr/>
          </w:p>
        </w:tc>
        <w:tc>
          <w:tcPr>
            <w:tcW w:w="7025" w:type="dxa"/>
          </w:tcPr>
          <w:p>
            <w:pPr>
              <w:pStyle w:val="TableParagraph"/>
              <w:spacing w:before="22"/>
              <w:ind w:left="98"/>
              <w:rPr>
                <w:sz w:val="18"/>
              </w:rPr>
            </w:pPr>
            <w:r>
              <w:rPr>
                <w:sz w:val="18"/>
              </w:rPr>
              <w:t>Annual leave</w:t>
            </w:r>
          </w:p>
        </w:tc>
        <w:tc>
          <w:tcPr>
            <w:tcW w:w="1460" w:type="dxa"/>
          </w:tcPr>
          <w:p>
            <w:pPr>
              <w:pStyle w:val="TableParagraph"/>
              <w:spacing w:before="21"/>
              <w:ind w:right="247"/>
              <w:jc w:val="right"/>
              <w:rPr>
                <w:b/>
                <w:sz w:val="18"/>
              </w:rPr>
            </w:pPr>
            <w:r>
              <w:rPr>
                <w:b/>
                <w:w w:val="95"/>
                <w:sz w:val="18"/>
              </w:rPr>
              <w:t>143,874</w:t>
            </w:r>
          </w:p>
        </w:tc>
        <w:tc>
          <w:tcPr>
            <w:tcW w:w="1134" w:type="dxa"/>
          </w:tcPr>
          <w:p>
            <w:pPr>
              <w:pStyle w:val="TableParagraph"/>
              <w:spacing w:before="21"/>
              <w:ind w:right="83"/>
              <w:jc w:val="right"/>
              <w:rPr>
                <w:sz w:val="18"/>
              </w:rPr>
            </w:pPr>
            <w:r>
              <w:rPr>
                <w:w w:val="95"/>
                <w:sz w:val="18"/>
              </w:rPr>
              <w:t>136,730</w:t>
            </w:r>
          </w:p>
        </w:tc>
      </w:tr>
      <w:tr>
        <w:trPr>
          <w:trHeight w:val="262" w:hRule="exact"/>
        </w:trPr>
        <w:tc>
          <w:tcPr>
            <w:tcW w:w="332" w:type="dxa"/>
          </w:tcPr>
          <w:p>
            <w:pPr/>
          </w:p>
        </w:tc>
        <w:tc>
          <w:tcPr>
            <w:tcW w:w="7025" w:type="dxa"/>
          </w:tcPr>
          <w:p>
            <w:pPr>
              <w:pStyle w:val="TableParagraph"/>
              <w:spacing w:before="19"/>
              <w:ind w:left="98"/>
              <w:rPr>
                <w:sz w:val="18"/>
              </w:rPr>
            </w:pPr>
            <w:r>
              <w:rPr>
                <w:sz w:val="18"/>
              </w:rPr>
              <w:t>Long service leave</w:t>
            </w:r>
          </w:p>
        </w:tc>
        <w:tc>
          <w:tcPr>
            <w:tcW w:w="1460" w:type="dxa"/>
            <w:tcBorders>
              <w:bottom w:val="single" w:sz="0" w:space="0" w:color="000000"/>
            </w:tcBorders>
          </w:tcPr>
          <w:p>
            <w:pPr>
              <w:pStyle w:val="TableParagraph"/>
              <w:spacing w:before="18"/>
              <w:ind w:right="248"/>
              <w:jc w:val="right"/>
              <w:rPr>
                <w:b/>
                <w:sz w:val="18"/>
              </w:rPr>
            </w:pPr>
            <w:r>
              <w:rPr>
                <w:b/>
                <w:w w:val="95"/>
                <w:sz w:val="18"/>
              </w:rPr>
              <w:t>53,785</w:t>
            </w:r>
          </w:p>
        </w:tc>
        <w:tc>
          <w:tcPr>
            <w:tcW w:w="1134" w:type="dxa"/>
            <w:tcBorders>
              <w:bottom w:val="single" w:sz="0" w:space="0" w:color="000000"/>
            </w:tcBorders>
          </w:tcPr>
          <w:p>
            <w:pPr>
              <w:pStyle w:val="TableParagraph"/>
              <w:spacing w:before="18"/>
              <w:ind w:right="83"/>
              <w:jc w:val="right"/>
              <w:rPr>
                <w:sz w:val="18"/>
              </w:rPr>
            </w:pPr>
            <w:r>
              <w:rPr>
                <w:w w:val="95"/>
                <w:sz w:val="18"/>
              </w:rPr>
              <w:t>72,597</w:t>
            </w:r>
          </w:p>
        </w:tc>
      </w:tr>
      <w:tr>
        <w:trPr>
          <w:trHeight w:val="338" w:hRule="exact"/>
        </w:trPr>
        <w:tc>
          <w:tcPr>
            <w:tcW w:w="332" w:type="dxa"/>
          </w:tcPr>
          <w:p>
            <w:pPr/>
          </w:p>
        </w:tc>
        <w:tc>
          <w:tcPr>
            <w:tcW w:w="7025" w:type="dxa"/>
          </w:tcPr>
          <w:p>
            <w:pPr/>
          </w:p>
        </w:tc>
        <w:tc>
          <w:tcPr>
            <w:tcW w:w="1460" w:type="dxa"/>
            <w:tcBorders>
              <w:top w:val="single" w:sz="0" w:space="0" w:color="000000"/>
              <w:bottom w:val="single" w:sz="0" w:space="0" w:color="000000"/>
            </w:tcBorders>
          </w:tcPr>
          <w:p>
            <w:pPr>
              <w:pStyle w:val="TableParagraph"/>
              <w:spacing w:before="122"/>
              <w:ind w:right="247"/>
              <w:jc w:val="right"/>
              <w:rPr>
                <w:b/>
                <w:sz w:val="18"/>
              </w:rPr>
            </w:pPr>
            <w:r>
              <w:rPr>
                <w:b/>
                <w:w w:val="95"/>
                <w:sz w:val="18"/>
              </w:rPr>
              <w:t>197,659</w:t>
            </w:r>
          </w:p>
        </w:tc>
        <w:tc>
          <w:tcPr>
            <w:tcW w:w="1134" w:type="dxa"/>
            <w:tcBorders>
              <w:top w:val="single" w:sz="0" w:space="0" w:color="000000"/>
              <w:bottom w:val="single" w:sz="0" w:space="0" w:color="000000"/>
            </w:tcBorders>
          </w:tcPr>
          <w:p>
            <w:pPr>
              <w:pStyle w:val="TableParagraph"/>
              <w:spacing w:before="122"/>
              <w:ind w:right="83"/>
              <w:jc w:val="right"/>
              <w:rPr>
                <w:sz w:val="18"/>
              </w:rPr>
            </w:pPr>
            <w:r>
              <w:rPr>
                <w:w w:val="95"/>
                <w:sz w:val="18"/>
              </w:rPr>
              <w:t>209,327</w:t>
            </w:r>
          </w:p>
        </w:tc>
      </w:tr>
      <w:tr>
        <w:trPr>
          <w:trHeight w:val="789" w:hRule="exact"/>
        </w:trPr>
        <w:tc>
          <w:tcPr>
            <w:tcW w:w="332" w:type="dxa"/>
          </w:tcPr>
          <w:p>
            <w:pPr/>
          </w:p>
        </w:tc>
        <w:tc>
          <w:tcPr>
            <w:tcW w:w="7025" w:type="dxa"/>
          </w:tcPr>
          <w:p>
            <w:pPr>
              <w:pStyle w:val="TableParagraph"/>
              <w:rPr>
                <w:rFonts w:ascii="Times New Roman"/>
                <w:sz w:val="26"/>
              </w:rPr>
            </w:pPr>
          </w:p>
          <w:p>
            <w:pPr>
              <w:pStyle w:val="TableParagraph"/>
              <w:ind w:left="98"/>
              <w:rPr>
                <w:b/>
                <w:sz w:val="18"/>
              </w:rPr>
            </w:pPr>
            <w:r>
              <w:rPr>
                <w:b/>
                <w:sz w:val="18"/>
              </w:rPr>
              <w:t>Current provisions expected to be settled after more than 12 months</w:t>
            </w:r>
          </w:p>
        </w:tc>
        <w:tc>
          <w:tcPr>
            <w:tcW w:w="1460" w:type="dxa"/>
            <w:tcBorders>
              <w:top w:val="single" w:sz="0" w:space="0" w:color="000000"/>
            </w:tcBorders>
          </w:tcPr>
          <w:p>
            <w:pPr>
              <w:pStyle w:val="TableParagraph"/>
              <w:rPr>
                <w:rFonts w:ascii="Times New Roman"/>
                <w:sz w:val="18"/>
              </w:rPr>
            </w:pPr>
          </w:p>
          <w:p>
            <w:pPr>
              <w:pStyle w:val="TableParagraph"/>
              <w:rPr>
                <w:rFonts w:ascii="Times New Roman"/>
                <w:sz w:val="18"/>
              </w:rPr>
            </w:pPr>
          </w:p>
          <w:p>
            <w:pPr>
              <w:pStyle w:val="TableParagraph"/>
              <w:spacing w:before="125"/>
              <w:ind w:left="448"/>
              <w:rPr>
                <w:b/>
                <w:sz w:val="18"/>
              </w:rPr>
            </w:pPr>
            <w:r>
              <w:rPr>
                <w:b/>
                <w:sz w:val="18"/>
              </w:rPr>
              <w:t>2017</w:t>
            </w:r>
          </w:p>
        </w:tc>
        <w:tc>
          <w:tcPr>
            <w:tcW w:w="1134" w:type="dxa"/>
            <w:tcBorders>
              <w:top w:val="single" w:sz="0" w:space="0" w:color="000000"/>
            </w:tcBorders>
          </w:tcPr>
          <w:p>
            <w:pPr>
              <w:pStyle w:val="TableParagraph"/>
              <w:rPr>
                <w:rFonts w:ascii="Times New Roman"/>
                <w:sz w:val="18"/>
              </w:rPr>
            </w:pPr>
          </w:p>
          <w:p>
            <w:pPr>
              <w:pStyle w:val="TableParagraph"/>
              <w:rPr>
                <w:rFonts w:ascii="Times New Roman"/>
                <w:sz w:val="18"/>
              </w:rPr>
            </w:pPr>
          </w:p>
          <w:p>
            <w:pPr>
              <w:pStyle w:val="TableParagraph"/>
              <w:spacing w:before="125"/>
              <w:ind w:left="272"/>
              <w:rPr>
                <w:b/>
                <w:sz w:val="18"/>
              </w:rPr>
            </w:pPr>
            <w:r>
              <w:rPr>
                <w:b/>
                <w:sz w:val="18"/>
              </w:rPr>
              <w:t>2016</w:t>
            </w:r>
          </w:p>
        </w:tc>
      </w:tr>
      <w:tr>
        <w:trPr>
          <w:trHeight w:val="271" w:hRule="exact"/>
        </w:trPr>
        <w:tc>
          <w:tcPr>
            <w:tcW w:w="332" w:type="dxa"/>
          </w:tcPr>
          <w:p>
            <w:pPr/>
          </w:p>
        </w:tc>
        <w:tc>
          <w:tcPr>
            <w:tcW w:w="7025" w:type="dxa"/>
          </w:tcPr>
          <w:p>
            <w:pPr/>
          </w:p>
        </w:tc>
        <w:tc>
          <w:tcPr>
            <w:tcW w:w="1460" w:type="dxa"/>
          </w:tcPr>
          <w:p>
            <w:pPr>
              <w:pStyle w:val="TableParagraph"/>
              <w:spacing w:before="24"/>
              <w:ind w:right="161"/>
              <w:jc w:val="center"/>
              <w:rPr>
                <w:b/>
                <w:sz w:val="18"/>
              </w:rPr>
            </w:pPr>
            <w:r>
              <w:rPr>
                <w:b/>
                <w:w w:val="99"/>
                <w:sz w:val="18"/>
              </w:rPr>
              <w:t>$</w:t>
            </w:r>
          </w:p>
        </w:tc>
        <w:tc>
          <w:tcPr>
            <w:tcW w:w="1134" w:type="dxa"/>
          </w:tcPr>
          <w:p>
            <w:pPr>
              <w:pStyle w:val="TableParagraph"/>
              <w:spacing w:before="24"/>
              <w:ind w:right="187"/>
              <w:jc w:val="center"/>
              <w:rPr>
                <w:b/>
                <w:sz w:val="18"/>
              </w:rPr>
            </w:pPr>
            <w:r>
              <w:rPr>
                <w:b/>
                <w:w w:val="99"/>
                <w:sz w:val="18"/>
              </w:rPr>
              <w:t>$</w:t>
            </w:r>
          </w:p>
        </w:tc>
      </w:tr>
      <w:tr>
        <w:trPr>
          <w:trHeight w:val="267" w:hRule="exact"/>
        </w:trPr>
        <w:tc>
          <w:tcPr>
            <w:tcW w:w="332" w:type="dxa"/>
          </w:tcPr>
          <w:p>
            <w:pPr/>
          </w:p>
        </w:tc>
        <w:tc>
          <w:tcPr>
            <w:tcW w:w="7025" w:type="dxa"/>
          </w:tcPr>
          <w:p>
            <w:pPr>
              <w:pStyle w:val="TableParagraph"/>
              <w:spacing w:before="22"/>
              <w:ind w:left="98"/>
              <w:rPr>
                <w:sz w:val="18"/>
              </w:rPr>
            </w:pPr>
            <w:r>
              <w:rPr>
                <w:sz w:val="18"/>
              </w:rPr>
              <w:t>Annual leave</w:t>
            </w:r>
          </w:p>
        </w:tc>
        <w:tc>
          <w:tcPr>
            <w:tcW w:w="1460" w:type="dxa"/>
          </w:tcPr>
          <w:p>
            <w:pPr>
              <w:pStyle w:val="TableParagraph"/>
              <w:spacing w:before="21"/>
              <w:ind w:right="247"/>
              <w:jc w:val="right"/>
              <w:rPr>
                <w:b/>
                <w:sz w:val="18"/>
              </w:rPr>
            </w:pPr>
            <w:r>
              <w:rPr>
                <w:b/>
                <w:w w:val="95"/>
                <w:sz w:val="18"/>
              </w:rPr>
              <w:t>61,567</w:t>
            </w:r>
          </w:p>
        </w:tc>
        <w:tc>
          <w:tcPr>
            <w:tcW w:w="1134" w:type="dxa"/>
          </w:tcPr>
          <w:p>
            <w:pPr>
              <w:pStyle w:val="TableParagraph"/>
              <w:spacing w:before="21"/>
              <w:ind w:right="83"/>
              <w:jc w:val="right"/>
              <w:rPr>
                <w:sz w:val="18"/>
              </w:rPr>
            </w:pPr>
            <w:r>
              <w:rPr>
                <w:w w:val="95"/>
                <w:sz w:val="18"/>
              </w:rPr>
              <w:t>149,420</w:t>
            </w:r>
          </w:p>
        </w:tc>
      </w:tr>
      <w:tr>
        <w:trPr>
          <w:trHeight w:val="262" w:hRule="exact"/>
        </w:trPr>
        <w:tc>
          <w:tcPr>
            <w:tcW w:w="332" w:type="dxa"/>
          </w:tcPr>
          <w:p>
            <w:pPr/>
          </w:p>
        </w:tc>
        <w:tc>
          <w:tcPr>
            <w:tcW w:w="7025" w:type="dxa"/>
          </w:tcPr>
          <w:p>
            <w:pPr>
              <w:pStyle w:val="TableParagraph"/>
              <w:spacing w:before="19"/>
              <w:ind w:left="98"/>
              <w:rPr>
                <w:sz w:val="18"/>
              </w:rPr>
            </w:pPr>
            <w:r>
              <w:rPr>
                <w:sz w:val="18"/>
              </w:rPr>
              <w:t>Long service leave</w:t>
            </w:r>
          </w:p>
        </w:tc>
        <w:tc>
          <w:tcPr>
            <w:tcW w:w="1460" w:type="dxa"/>
            <w:tcBorders>
              <w:bottom w:val="single" w:sz="0" w:space="0" w:color="000000"/>
            </w:tcBorders>
          </w:tcPr>
          <w:p>
            <w:pPr>
              <w:pStyle w:val="TableParagraph"/>
              <w:spacing w:before="18"/>
              <w:ind w:right="247"/>
              <w:jc w:val="right"/>
              <w:rPr>
                <w:b/>
                <w:sz w:val="18"/>
              </w:rPr>
            </w:pPr>
            <w:r>
              <w:rPr>
                <w:b/>
                <w:w w:val="95"/>
                <w:sz w:val="18"/>
              </w:rPr>
              <w:t>115,000</w:t>
            </w:r>
          </w:p>
        </w:tc>
        <w:tc>
          <w:tcPr>
            <w:tcW w:w="1134" w:type="dxa"/>
            <w:tcBorders>
              <w:bottom w:val="single" w:sz="0" w:space="0" w:color="000000"/>
            </w:tcBorders>
          </w:tcPr>
          <w:p>
            <w:pPr>
              <w:pStyle w:val="TableParagraph"/>
              <w:spacing w:before="18"/>
              <w:ind w:right="83"/>
              <w:jc w:val="right"/>
              <w:rPr>
                <w:sz w:val="18"/>
              </w:rPr>
            </w:pPr>
            <w:r>
              <w:rPr>
                <w:w w:val="95"/>
                <w:sz w:val="18"/>
              </w:rPr>
              <w:t>89,926</w:t>
            </w:r>
          </w:p>
        </w:tc>
      </w:tr>
      <w:tr>
        <w:trPr>
          <w:trHeight w:val="338" w:hRule="exact"/>
        </w:trPr>
        <w:tc>
          <w:tcPr>
            <w:tcW w:w="332" w:type="dxa"/>
          </w:tcPr>
          <w:p>
            <w:pPr/>
          </w:p>
        </w:tc>
        <w:tc>
          <w:tcPr>
            <w:tcW w:w="7025" w:type="dxa"/>
          </w:tcPr>
          <w:p>
            <w:pPr/>
          </w:p>
        </w:tc>
        <w:tc>
          <w:tcPr>
            <w:tcW w:w="1460" w:type="dxa"/>
            <w:tcBorders>
              <w:top w:val="single" w:sz="0" w:space="0" w:color="000000"/>
              <w:bottom w:val="single" w:sz="0" w:space="0" w:color="000000"/>
            </w:tcBorders>
          </w:tcPr>
          <w:p>
            <w:pPr>
              <w:pStyle w:val="TableParagraph"/>
              <w:spacing w:before="122"/>
              <w:ind w:right="247"/>
              <w:jc w:val="right"/>
              <w:rPr>
                <w:b/>
                <w:sz w:val="18"/>
              </w:rPr>
            </w:pPr>
            <w:r>
              <w:rPr>
                <w:b/>
                <w:w w:val="95"/>
                <w:sz w:val="18"/>
              </w:rPr>
              <w:t>176,567</w:t>
            </w:r>
          </w:p>
        </w:tc>
        <w:tc>
          <w:tcPr>
            <w:tcW w:w="1134" w:type="dxa"/>
            <w:tcBorders>
              <w:top w:val="single" w:sz="0" w:space="0" w:color="000000"/>
              <w:bottom w:val="single" w:sz="0" w:space="0" w:color="000000"/>
            </w:tcBorders>
          </w:tcPr>
          <w:p>
            <w:pPr>
              <w:pStyle w:val="TableParagraph"/>
              <w:spacing w:before="122"/>
              <w:ind w:right="83"/>
              <w:jc w:val="right"/>
              <w:rPr>
                <w:sz w:val="18"/>
              </w:rPr>
            </w:pPr>
            <w:r>
              <w:rPr>
                <w:w w:val="95"/>
                <w:sz w:val="18"/>
              </w:rPr>
              <w:t>239,346</w:t>
            </w:r>
          </w:p>
        </w:tc>
      </w:tr>
      <w:tr>
        <w:trPr>
          <w:trHeight w:val="353" w:hRule="exact"/>
        </w:trPr>
        <w:tc>
          <w:tcPr>
            <w:tcW w:w="332" w:type="dxa"/>
          </w:tcPr>
          <w:p>
            <w:pPr/>
          </w:p>
        </w:tc>
        <w:tc>
          <w:tcPr>
            <w:tcW w:w="7025" w:type="dxa"/>
          </w:tcPr>
          <w:p>
            <w:pPr>
              <w:pStyle w:val="TableParagraph"/>
              <w:spacing w:before="123"/>
              <w:ind w:left="98"/>
              <w:rPr>
                <w:b/>
                <w:sz w:val="18"/>
              </w:rPr>
            </w:pPr>
            <w:r>
              <w:rPr>
                <w:b/>
                <w:sz w:val="18"/>
              </w:rPr>
              <w:t>Total current provisions</w:t>
            </w:r>
          </w:p>
        </w:tc>
        <w:tc>
          <w:tcPr>
            <w:tcW w:w="1460" w:type="dxa"/>
            <w:tcBorders>
              <w:top w:val="single" w:sz="0" w:space="0" w:color="000000"/>
              <w:bottom w:val="single" w:sz="0" w:space="0" w:color="000000"/>
            </w:tcBorders>
          </w:tcPr>
          <w:p>
            <w:pPr>
              <w:pStyle w:val="TableParagraph"/>
              <w:spacing w:before="122"/>
              <w:ind w:right="247"/>
              <w:jc w:val="right"/>
              <w:rPr>
                <w:b/>
                <w:sz w:val="18"/>
              </w:rPr>
            </w:pPr>
            <w:r>
              <w:rPr>
                <w:b/>
                <w:w w:val="95"/>
                <w:sz w:val="18"/>
              </w:rPr>
              <w:t>374,226</w:t>
            </w:r>
          </w:p>
        </w:tc>
        <w:tc>
          <w:tcPr>
            <w:tcW w:w="1134" w:type="dxa"/>
            <w:tcBorders>
              <w:top w:val="single" w:sz="0" w:space="0" w:color="000000"/>
              <w:bottom w:val="single" w:sz="0" w:space="0" w:color="000000"/>
            </w:tcBorders>
          </w:tcPr>
          <w:p>
            <w:pPr>
              <w:pStyle w:val="TableParagraph"/>
              <w:spacing w:before="122"/>
              <w:ind w:right="83"/>
              <w:jc w:val="right"/>
              <w:rPr>
                <w:sz w:val="18"/>
              </w:rPr>
            </w:pPr>
            <w:r>
              <w:rPr>
                <w:w w:val="95"/>
                <w:sz w:val="18"/>
              </w:rPr>
              <w:t>448,673</w:t>
            </w:r>
          </w:p>
        </w:tc>
      </w:tr>
      <w:tr>
        <w:trPr>
          <w:trHeight w:val="628" w:hRule="exact"/>
        </w:trPr>
        <w:tc>
          <w:tcPr>
            <w:tcW w:w="332" w:type="dxa"/>
          </w:tcPr>
          <w:p>
            <w:pPr/>
          </w:p>
        </w:tc>
        <w:tc>
          <w:tcPr>
            <w:tcW w:w="7025" w:type="dxa"/>
          </w:tcPr>
          <w:p>
            <w:pPr>
              <w:pStyle w:val="TableParagraph"/>
              <w:rPr>
                <w:rFonts w:ascii="Times New Roman"/>
                <w:sz w:val="18"/>
              </w:rPr>
            </w:pPr>
          </w:p>
          <w:p>
            <w:pPr>
              <w:pStyle w:val="TableParagraph"/>
              <w:spacing w:before="107"/>
              <w:ind w:left="98"/>
              <w:rPr>
                <w:b/>
                <w:sz w:val="18"/>
              </w:rPr>
            </w:pPr>
            <w:r>
              <w:rPr>
                <w:b/>
                <w:sz w:val="18"/>
              </w:rPr>
              <w:t>Non-current provisions</w:t>
            </w:r>
          </w:p>
        </w:tc>
        <w:tc>
          <w:tcPr>
            <w:tcW w:w="1460" w:type="dxa"/>
            <w:tcBorders>
              <w:top w:val="single" w:sz="0" w:space="0" w:color="000000"/>
            </w:tcBorders>
          </w:tcPr>
          <w:p>
            <w:pPr/>
          </w:p>
        </w:tc>
        <w:tc>
          <w:tcPr>
            <w:tcW w:w="1134" w:type="dxa"/>
            <w:tcBorders>
              <w:top w:val="single" w:sz="0" w:space="0" w:color="000000"/>
            </w:tcBorders>
          </w:tcPr>
          <w:p>
            <w:pPr/>
          </w:p>
        </w:tc>
      </w:tr>
      <w:tr>
        <w:trPr>
          <w:trHeight w:val="337" w:hRule="exact"/>
        </w:trPr>
        <w:tc>
          <w:tcPr>
            <w:tcW w:w="332" w:type="dxa"/>
          </w:tcPr>
          <w:p>
            <w:pPr/>
          </w:p>
        </w:tc>
        <w:tc>
          <w:tcPr>
            <w:tcW w:w="7025" w:type="dxa"/>
          </w:tcPr>
          <w:p>
            <w:pPr/>
          </w:p>
        </w:tc>
        <w:tc>
          <w:tcPr>
            <w:tcW w:w="1460" w:type="dxa"/>
          </w:tcPr>
          <w:p>
            <w:pPr>
              <w:pStyle w:val="TableParagraph"/>
              <w:spacing w:before="87"/>
              <w:ind w:left="434"/>
              <w:rPr>
                <w:b/>
                <w:sz w:val="18"/>
              </w:rPr>
            </w:pPr>
            <w:r>
              <w:rPr>
                <w:b/>
                <w:sz w:val="18"/>
              </w:rPr>
              <w:t>2017</w:t>
            </w:r>
          </w:p>
        </w:tc>
        <w:tc>
          <w:tcPr>
            <w:tcW w:w="1134" w:type="dxa"/>
          </w:tcPr>
          <w:p>
            <w:pPr>
              <w:pStyle w:val="TableParagraph"/>
              <w:spacing w:before="87"/>
              <w:ind w:left="271"/>
              <w:rPr>
                <w:b/>
                <w:sz w:val="18"/>
              </w:rPr>
            </w:pPr>
            <w:r>
              <w:rPr>
                <w:b/>
                <w:sz w:val="18"/>
              </w:rPr>
              <w:t>2016</w:t>
            </w:r>
          </w:p>
        </w:tc>
      </w:tr>
      <w:tr>
        <w:trPr>
          <w:trHeight w:val="271" w:hRule="exact"/>
        </w:trPr>
        <w:tc>
          <w:tcPr>
            <w:tcW w:w="332" w:type="dxa"/>
          </w:tcPr>
          <w:p>
            <w:pPr/>
          </w:p>
        </w:tc>
        <w:tc>
          <w:tcPr>
            <w:tcW w:w="7025" w:type="dxa"/>
          </w:tcPr>
          <w:p>
            <w:pPr/>
          </w:p>
        </w:tc>
        <w:tc>
          <w:tcPr>
            <w:tcW w:w="1460" w:type="dxa"/>
          </w:tcPr>
          <w:p>
            <w:pPr>
              <w:pStyle w:val="TableParagraph"/>
              <w:spacing w:before="24"/>
              <w:ind w:right="189"/>
              <w:jc w:val="center"/>
              <w:rPr>
                <w:b/>
                <w:sz w:val="18"/>
              </w:rPr>
            </w:pPr>
            <w:r>
              <w:rPr>
                <w:b/>
                <w:w w:val="99"/>
                <w:sz w:val="18"/>
              </w:rPr>
              <w:t>$</w:t>
            </w:r>
          </w:p>
        </w:tc>
        <w:tc>
          <w:tcPr>
            <w:tcW w:w="1134" w:type="dxa"/>
          </w:tcPr>
          <w:p>
            <w:pPr>
              <w:pStyle w:val="TableParagraph"/>
              <w:spacing w:before="24"/>
              <w:ind w:right="189"/>
              <w:jc w:val="center"/>
              <w:rPr>
                <w:b/>
                <w:sz w:val="18"/>
              </w:rPr>
            </w:pPr>
            <w:r>
              <w:rPr>
                <w:b/>
                <w:w w:val="99"/>
                <w:sz w:val="18"/>
              </w:rPr>
              <w:t>$</w:t>
            </w:r>
          </w:p>
        </w:tc>
      </w:tr>
      <w:tr>
        <w:trPr>
          <w:trHeight w:val="265" w:hRule="exact"/>
        </w:trPr>
        <w:tc>
          <w:tcPr>
            <w:tcW w:w="332" w:type="dxa"/>
          </w:tcPr>
          <w:p>
            <w:pPr/>
          </w:p>
        </w:tc>
        <w:tc>
          <w:tcPr>
            <w:tcW w:w="7025" w:type="dxa"/>
          </w:tcPr>
          <w:p>
            <w:pPr>
              <w:pStyle w:val="TableParagraph"/>
              <w:spacing w:before="22"/>
              <w:ind w:left="97"/>
              <w:rPr>
                <w:sz w:val="18"/>
              </w:rPr>
            </w:pPr>
            <w:r>
              <w:rPr>
                <w:sz w:val="18"/>
              </w:rPr>
              <w:t>Long service leave</w:t>
            </w:r>
          </w:p>
        </w:tc>
        <w:tc>
          <w:tcPr>
            <w:tcW w:w="1460" w:type="dxa"/>
            <w:tcBorders>
              <w:bottom w:val="single" w:sz="0" w:space="0" w:color="000000"/>
            </w:tcBorders>
          </w:tcPr>
          <w:p>
            <w:pPr>
              <w:pStyle w:val="TableParagraph"/>
              <w:spacing w:before="21"/>
              <w:ind w:right="248"/>
              <w:jc w:val="right"/>
              <w:rPr>
                <w:b/>
                <w:sz w:val="18"/>
              </w:rPr>
            </w:pPr>
            <w:r>
              <w:rPr>
                <w:b/>
                <w:w w:val="95"/>
                <w:sz w:val="18"/>
              </w:rPr>
              <w:t>73,000</w:t>
            </w:r>
          </w:p>
        </w:tc>
        <w:tc>
          <w:tcPr>
            <w:tcW w:w="1134" w:type="dxa"/>
            <w:tcBorders>
              <w:bottom w:val="single" w:sz="0" w:space="0" w:color="000000"/>
            </w:tcBorders>
          </w:tcPr>
          <w:p>
            <w:pPr>
              <w:pStyle w:val="TableParagraph"/>
              <w:spacing w:before="21"/>
              <w:ind w:right="84"/>
              <w:jc w:val="right"/>
              <w:rPr>
                <w:sz w:val="18"/>
              </w:rPr>
            </w:pPr>
            <w:r>
              <w:rPr>
                <w:w w:val="95"/>
                <w:sz w:val="18"/>
              </w:rPr>
              <w:t>164,116</w:t>
            </w:r>
          </w:p>
        </w:tc>
      </w:tr>
      <w:tr>
        <w:trPr>
          <w:trHeight w:val="359" w:hRule="exact"/>
        </w:trPr>
        <w:tc>
          <w:tcPr>
            <w:tcW w:w="332" w:type="dxa"/>
          </w:tcPr>
          <w:p>
            <w:pPr/>
          </w:p>
        </w:tc>
        <w:tc>
          <w:tcPr>
            <w:tcW w:w="7025" w:type="dxa"/>
          </w:tcPr>
          <w:p>
            <w:pPr>
              <w:pStyle w:val="TableParagraph"/>
              <w:spacing w:before="123"/>
              <w:ind w:left="97"/>
              <w:rPr>
                <w:b/>
                <w:sz w:val="18"/>
              </w:rPr>
            </w:pPr>
            <w:r>
              <w:rPr>
                <w:b/>
                <w:sz w:val="18"/>
              </w:rPr>
              <w:t>Total non-current provisions</w:t>
            </w:r>
          </w:p>
        </w:tc>
        <w:tc>
          <w:tcPr>
            <w:tcW w:w="1460" w:type="dxa"/>
            <w:tcBorders>
              <w:top w:val="single" w:sz="0" w:space="0" w:color="000000"/>
              <w:bottom w:val="single" w:sz="0" w:space="0" w:color="000000"/>
            </w:tcBorders>
          </w:tcPr>
          <w:p>
            <w:pPr>
              <w:pStyle w:val="TableParagraph"/>
              <w:spacing w:before="122"/>
              <w:ind w:right="248"/>
              <w:jc w:val="right"/>
              <w:rPr>
                <w:b/>
                <w:sz w:val="18"/>
              </w:rPr>
            </w:pPr>
            <w:r>
              <w:rPr>
                <w:b/>
                <w:w w:val="95"/>
                <w:sz w:val="18"/>
              </w:rPr>
              <w:t>73,000</w:t>
            </w:r>
          </w:p>
        </w:tc>
        <w:tc>
          <w:tcPr>
            <w:tcW w:w="1134" w:type="dxa"/>
            <w:tcBorders>
              <w:top w:val="single" w:sz="0" w:space="0" w:color="000000"/>
              <w:bottom w:val="single" w:sz="0" w:space="0" w:color="000000"/>
            </w:tcBorders>
          </w:tcPr>
          <w:p>
            <w:pPr>
              <w:pStyle w:val="TableParagraph"/>
              <w:spacing w:before="122"/>
              <w:ind w:right="84"/>
              <w:jc w:val="right"/>
              <w:rPr>
                <w:sz w:val="18"/>
              </w:rPr>
            </w:pPr>
            <w:r>
              <w:rPr>
                <w:w w:val="95"/>
                <w:sz w:val="18"/>
              </w:rPr>
              <w:t>164,116</w:t>
            </w:r>
          </w:p>
        </w:tc>
      </w:tr>
      <w:tr>
        <w:trPr>
          <w:trHeight w:val="809" w:hRule="exact"/>
        </w:trPr>
        <w:tc>
          <w:tcPr>
            <w:tcW w:w="332" w:type="dxa"/>
          </w:tcPr>
          <w:p>
            <w:pPr>
              <w:pStyle w:val="TableParagraph"/>
              <w:rPr>
                <w:rFonts w:ascii="Times New Roman"/>
                <w:sz w:val="18"/>
              </w:rPr>
            </w:pPr>
          </w:p>
          <w:p>
            <w:pPr>
              <w:pStyle w:val="TableParagraph"/>
              <w:spacing w:before="112"/>
              <w:ind w:left="16" w:right="76"/>
              <w:jc w:val="center"/>
              <w:rPr>
                <w:b/>
                <w:sz w:val="18"/>
              </w:rPr>
            </w:pPr>
            <w:r>
              <w:rPr>
                <w:b/>
                <w:sz w:val="18"/>
              </w:rPr>
              <w:t>16</w:t>
            </w:r>
          </w:p>
        </w:tc>
        <w:tc>
          <w:tcPr>
            <w:tcW w:w="7025" w:type="dxa"/>
          </w:tcPr>
          <w:p>
            <w:pPr>
              <w:pStyle w:val="TableParagraph"/>
              <w:rPr>
                <w:rFonts w:ascii="Times New Roman"/>
                <w:sz w:val="18"/>
              </w:rPr>
            </w:pPr>
          </w:p>
          <w:p>
            <w:pPr>
              <w:pStyle w:val="TableParagraph"/>
              <w:spacing w:before="112"/>
              <w:ind w:left="98"/>
              <w:rPr>
                <w:b/>
                <w:sz w:val="18"/>
              </w:rPr>
            </w:pPr>
            <w:r>
              <w:rPr>
                <w:b/>
                <w:sz w:val="18"/>
              </w:rPr>
              <w:t>Other liabilities</w:t>
            </w:r>
          </w:p>
        </w:tc>
        <w:tc>
          <w:tcPr>
            <w:tcW w:w="1460" w:type="dxa"/>
            <w:tcBorders>
              <w:top w:val="single" w:sz="0" w:space="0" w:color="000000"/>
            </w:tcBorders>
          </w:tcPr>
          <w:p>
            <w:pPr>
              <w:pStyle w:val="TableParagraph"/>
              <w:rPr>
                <w:rFonts w:ascii="Times New Roman"/>
                <w:sz w:val="18"/>
              </w:rPr>
            </w:pPr>
          </w:p>
          <w:p>
            <w:pPr>
              <w:pStyle w:val="TableParagraph"/>
              <w:rPr>
                <w:rFonts w:ascii="Times New Roman"/>
                <w:sz w:val="18"/>
              </w:rPr>
            </w:pPr>
          </w:p>
          <w:p>
            <w:pPr>
              <w:pStyle w:val="TableParagraph"/>
              <w:spacing w:before="144"/>
              <w:ind w:left="448"/>
              <w:rPr>
                <w:b/>
                <w:sz w:val="18"/>
              </w:rPr>
            </w:pPr>
            <w:r>
              <w:rPr>
                <w:b/>
                <w:sz w:val="18"/>
              </w:rPr>
              <w:t>2017</w:t>
            </w:r>
          </w:p>
        </w:tc>
        <w:tc>
          <w:tcPr>
            <w:tcW w:w="1134" w:type="dxa"/>
            <w:tcBorders>
              <w:top w:val="single" w:sz="0" w:space="0" w:color="000000"/>
            </w:tcBorders>
          </w:tcPr>
          <w:p>
            <w:pPr>
              <w:pStyle w:val="TableParagraph"/>
              <w:rPr>
                <w:rFonts w:ascii="Times New Roman"/>
                <w:sz w:val="18"/>
              </w:rPr>
            </w:pPr>
          </w:p>
          <w:p>
            <w:pPr>
              <w:pStyle w:val="TableParagraph"/>
              <w:rPr>
                <w:rFonts w:ascii="Times New Roman"/>
                <w:sz w:val="18"/>
              </w:rPr>
            </w:pPr>
          </w:p>
          <w:p>
            <w:pPr>
              <w:pStyle w:val="TableParagraph"/>
              <w:spacing w:before="144"/>
              <w:ind w:left="272"/>
              <w:rPr>
                <w:b/>
                <w:sz w:val="18"/>
              </w:rPr>
            </w:pPr>
            <w:r>
              <w:rPr>
                <w:b/>
                <w:sz w:val="18"/>
              </w:rPr>
              <w:t>2016</w:t>
            </w:r>
          </w:p>
        </w:tc>
      </w:tr>
      <w:tr>
        <w:trPr>
          <w:trHeight w:val="271" w:hRule="exact"/>
        </w:trPr>
        <w:tc>
          <w:tcPr>
            <w:tcW w:w="332" w:type="dxa"/>
          </w:tcPr>
          <w:p>
            <w:pPr/>
          </w:p>
        </w:tc>
        <w:tc>
          <w:tcPr>
            <w:tcW w:w="7025" w:type="dxa"/>
          </w:tcPr>
          <w:p>
            <w:pPr/>
          </w:p>
        </w:tc>
        <w:tc>
          <w:tcPr>
            <w:tcW w:w="1460" w:type="dxa"/>
          </w:tcPr>
          <w:p>
            <w:pPr>
              <w:pStyle w:val="TableParagraph"/>
              <w:spacing w:before="24"/>
              <w:ind w:right="161"/>
              <w:jc w:val="center"/>
              <w:rPr>
                <w:b/>
                <w:sz w:val="18"/>
              </w:rPr>
            </w:pPr>
            <w:r>
              <w:rPr>
                <w:b/>
                <w:w w:val="99"/>
                <w:sz w:val="18"/>
              </w:rPr>
              <w:t>$</w:t>
            </w:r>
          </w:p>
        </w:tc>
        <w:tc>
          <w:tcPr>
            <w:tcW w:w="1134" w:type="dxa"/>
          </w:tcPr>
          <w:p>
            <w:pPr>
              <w:pStyle w:val="TableParagraph"/>
              <w:spacing w:before="24"/>
              <w:ind w:right="187"/>
              <w:jc w:val="center"/>
              <w:rPr>
                <w:b/>
                <w:sz w:val="18"/>
              </w:rPr>
            </w:pPr>
            <w:r>
              <w:rPr>
                <w:b/>
                <w:w w:val="99"/>
                <w:sz w:val="18"/>
              </w:rPr>
              <w:t>$</w:t>
            </w:r>
          </w:p>
        </w:tc>
      </w:tr>
      <w:tr>
        <w:trPr>
          <w:trHeight w:val="266" w:hRule="exact"/>
        </w:trPr>
        <w:tc>
          <w:tcPr>
            <w:tcW w:w="332" w:type="dxa"/>
          </w:tcPr>
          <w:p>
            <w:pPr/>
          </w:p>
        </w:tc>
        <w:tc>
          <w:tcPr>
            <w:tcW w:w="7025" w:type="dxa"/>
          </w:tcPr>
          <w:p>
            <w:pPr>
              <w:pStyle w:val="TableParagraph"/>
              <w:spacing w:before="21"/>
              <w:ind w:left="98"/>
              <w:rPr>
                <w:sz w:val="18"/>
              </w:rPr>
            </w:pPr>
            <w:r>
              <w:rPr>
                <w:sz w:val="18"/>
              </w:rPr>
              <w:t>Voucher liability</w:t>
            </w:r>
          </w:p>
        </w:tc>
        <w:tc>
          <w:tcPr>
            <w:tcW w:w="1460" w:type="dxa"/>
            <w:tcBorders>
              <w:bottom w:val="single" w:sz="0" w:space="0" w:color="000000"/>
            </w:tcBorders>
          </w:tcPr>
          <w:p>
            <w:pPr>
              <w:pStyle w:val="TableParagraph"/>
              <w:spacing w:before="22"/>
              <w:ind w:right="391"/>
              <w:jc w:val="right"/>
              <w:rPr>
                <w:b/>
                <w:sz w:val="18"/>
              </w:rPr>
            </w:pPr>
            <w:r>
              <w:rPr>
                <w:b/>
                <w:w w:val="99"/>
                <w:sz w:val="18"/>
              </w:rPr>
              <w:t>-</w:t>
            </w:r>
          </w:p>
        </w:tc>
        <w:tc>
          <w:tcPr>
            <w:tcW w:w="1134" w:type="dxa"/>
            <w:tcBorders>
              <w:bottom w:val="single" w:sz="0" w:space="0" w:color="000000"/>
            </w:tcBorders>
          </w:tcPr>
          <w:p>
            <w:pPr>
              <w:pStyle w:val="TableParagraph"/>
              <w:spacing w:before="22"/>
              <w:ind w:right="83"/>
              <w:jc w:val="right"/>
              <w:rPr>
                <w:sz w:val="18"/>
              </w:rPr>
            </w:pPr>
            <w:r>
              <w:rPr>
                <w:w w:val="95"/>
                <w:sz w:val="18"/>
              </w:rPr>
              <w:t>104,985</w:t>
            </w:r>
          </w:p>
        </w:tc>
      </w:tr>
      <w:tr>
        <w:trPr>
          <w:trHeight w:val="353" w:hRule="exact"/>
        </w:trPr>
        <w:tc>
          <w:tcPr>
            <w:tcW w:w="332" w:type="dxa"/>
          </w:tcPr>
          <w:p>
            <w:pPr/>
          </w:p>
        </w:tc>
        <w:tc>
          <w:tcPr>
            <w:tcW w:w="7025" w:type="dxa"/>
          </w:tcPr>
          <w:p>
            <w:pPr/>
          </w:p>
        </w:tc>
        <w:tc>
          <w:tcPr>
            <w:tcW w:w="1460" w:type="dxa"/>
            <w:tcBorders>
              <w:top w:val="single" w:sz="0" w:space="0" w:color="000000"/>
              <w:bottom w:val="single" w:sz="0" w:space="0" w:color="000000"/>
            </w:tcBorders>
          </w:tcPr>
          <w:p>
            <w:pPr>
              <w:pStyle w:val="TableParagraph"/>
              <w:spacing w:before="122"/>
              <w:ind w:right="391"/>
              <w:jc w:val="right"/>
              <w:rPr>
                <w:b/>
                <w:sz w:val="18"/>
              </w:rPr>
            </w:pPr>
            <w:r>
              <w:rPr>
                <w:b/>
                <w:w w:val="99"/>
                <w:sz w:val="18"/>
              </w:rPr>
              <w:t>-</w:t>
            </w:r>
          </w:p>
        </w:tc>
        <w:tc>
          <w:tcPr>
            <w:tcW w:w="1134" w:type="dxa"/>
            <w:tcBorders>
              <w:top w:val="single" w:sz="0" w:space="0" w:color="000000"/>
              <w:bottom w:val="single" w:sz="0" w:space="0" w:color="000000"/>
            </w:tcBorders>
          </w:tcPr>
          <w:p>
            <w:pPr>
              <w:pStyle w:val="TableParagraph"/>
              <w:spacing w:before="122"/>
              <w:ind w:right="83"/>
              <w:jc w:val="right"/>
              <w:rPr>
                <w:sz w:val="18"/>
              </w:rPr>
            </w:pPr>
            <w:r>
              <w:rPr>
                <w:w w:val="95"/>
                <w:sz w:val="18"/>
              </w:rPr>
              <w:t>104,985</w:t>
            </w:r>
          </w:p>
        </w:tc>
      </w:tr>
    </w:tbl>
    <w:p>
      <w:pPr>
        <w:spacing w:after="0"/>
        <w:jc w:val="right"/>
        <w:rPr>
          <w:sz w:val="18"/>
        </w:rPr>
        <w:sectPr>
          <w:pgSz w:w="11910" w:h="16840"/>
          <w:pgMar w:header="1038" w:footer="460" w:top="2440" w:bottom="700" w:left="860" w:right="8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0"/>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2"/>
        <w:gridCol w:w="7025"/>
        <w:gridCol w:w="1461"/>
        <w:gridCol w:w="1134"/>
      </w:tblGrid>
      <w:tr>
        <w:trPr>
          <w:trHeight w:val="804" w:hRule="exact"/>
        </w:trPr>
        <w:tc>
          <w:tcPr>
            <w:tcW w:w="332" w:type="dxa"/>
          </w:tcPr>
          <w:p>
            <w:pPr>
              <w:pStyle w:val="TableParagraph"/>
              <w:spacing w:before="77"/>
              <w:ind w:left="16" w:right="76"/>
              <w:jc w:val="center"/>
              <w:rPr>
                <w:b/>
                <w:sz w:val="18"/>
              </w:rPr>
            </w:pPr>
            <w:r>
              <w:rPr>
                <w:b/>
                <w:sz w:val="18"/>
              </w:rPr>
              <w:t>17</w:t>
            </w:r>
          </w:p>
        </w:tc>
        <w:tc>
          <w:tcPr>
            <w:tcW w:w="7025" w:type="dxa"/>
          </w:tcPr>
          <w:p>
            <w:pPr>
              <w:pStyle w:val="TableParagraph"/>
              <w:spacing w:before="77"/>
              <w:ind w:left="97"/>
              <w:rPr>
                <w:b/>
                <w:sz w:val="18"/>
              </w:rPr>
            </w:pPr>
            <w:r>
              <w:rPr>
                <w:b/>
                <w:sz w:val="18"/>
              </w:rPr>
              <w:t>Retained earnings</w:t>
            </w:r>
          </w:p>
          <w:p>
            <w:pPr>
              <w:pStyle w:val="TableParagraph"/>
              <w:spacing w:before="11"/>
              <w:rPr>
                <w:rFonts w:ascii="Times New Roman"/>
                <w:sz w:val="24"/>
              </w:rPr>
            </w:pPr>
          </w:p>
          <w:p>
            <w:pPr>
              <w:pStyle w:val="TableParagraph"/>
              <w:ind w:left="98"/>
              <w:rPr>
                <w:sz w:val="18"/>
              </w:rPr>
            </w:pPr>
            <w:r>
              <w:rPr>
                <w:sz w:val="18"/>
              </w:rPr>
              <w:t>Movements in retained earnings were as follows:</w:t>
            </w:r>
          </w:p>
        </w:tc>
        <w:tc>
          <w:tcPr>
            <w:tcW w:w="2594" w:type="dxa"/>
            <w:gridSpan w:val="2"/>
          </w:tcPr>
          <w:p>
            <w:pPr/>
          </w:p>
        </w:tc>
      </w:tr>
      <w:tr>
        <w:trPr>
          <w:trHeight w:val="257" w:hRule="exact"/>
        </w:trPr>
        <w:tc>
          <w:tcPr>
            <w:tcW w:w="332" w:type="dxa"/>
          </w:tcPr>
          <w:p>
            <w:pPr/>
          </w:p>
        </w:tc>
        <w:tc>
          <w:tcPr>
            <w:tcW w:w="7025" w:type="dxa"/>
          </w:tcPr>
          <w:p>
            <w:pPr/>
          </w:p>
        </w:tc>
        <w:tc>
          <w:tcPr>
            <w:tcW w:w="1461" w:type="dxa"/>
          </w:tcPr>
          <w:p>
            <w:pPr>
              <w:pStyle w:val="TableParagraph"/>
              <w:spacing w:before="7"/>
              <w:ind w:left="435"/>
              <w:rPr>
                <w:b/>
                <w:sz w:val="18"/>
              </w:rPr>
            </w:pPr>
            <w:r>
              <w:rPr>
                <w:b/>
                <w:sz w:val="18"/>
              </w:rPr>
              <w:t>2017</w:t>
            </w:r>
          </w:p>
        </w:tc>
        <w:tc>
          <w:tcPr>
            <w:tcW w:w="1134" w:type="dxa"/>
          </w:tcPr>
          <w:p>
            <w:pPr>
              <w:pStyle w:val="TableParagraph"/>
              <w:spacing w:before="7"/>
              <w:ind w:left="272"/>
              <w:rPr>
                <w:b/>
                <w:sz w:val="18"/>
              </w:rPr>
            </w:pPr>
            <w:r>
              <w:rPr>
                <w:b/>
                <w:sz w:val="18"/>
              </w:rPr>
              <w:t>2016</w:t>
            </w:r>
          </w:p>
        </w:tc>
      </w:tr>
      <w:tr>
        <w:trPr>
          <w:trHeight w:val="271" w:hRule="exact"/>
        </w:trPr>
        <w:tc>
          <w:tcPr>
            <w:tcW w:w="332" w:type="dxa"/>
          </w:tcPr>
          <w:p>
            <w:pPr/>
          </w:p>
        </w:tc>
        <w:tc>
          <w:tcPr>
            <w:tcW w:w="7025" w:type="dxa"/>
          </w:tcPr>
          <w:p>
            <w:pPr/>
          </w:p>
        </w:tc>
        <w:tc>
          <w:tcPr>
            <w:tcW w:w="1461" w:type="dxa"/>
          </w:tcPr>
          <w:p>
            <w:pPr>
              <w:pStyle w:val="TableParagraph"/>
              <w:spacing w:before="24"/>
              <w:ind w:right="187"/>
              <w:jc w:val="center"/>
              <w:rPr>
                <w:b/>
                <w:sz w:val="18"/>
              </w:rPr>
            </w:pPr>
            <w:r>
              <w:rPr>
                <w:b/>
                <w:w w:val="99"/>
                <w:sz w:val="18"/>
              </w:rPr>
              <w:t>$</w:t>
            </w:r>
          </w:p>
        </w:tc>
        <w:tc>
          <w:tcPr>
            <w:tcW w:w="1134" w:type="dxa"/>
          </w:tcPr>
          <w:p>
            <w:pPr>
              <w:pStyle w:val="TableParagraph"/>
              <w:spacing w:before="24"/>
              <w:ind w:right="187"/>
              <w:jc w:val="center"/>
              <w:rPr>
                <w:b/>
                <w:sz w:val="18"/>
              </w:rPr>
            </w:pPr>
            <w:r>
              <w:rPr>
                <w:b/>
                <w:w w:val="99"/>
                <w:sz w:val="18"/>
              </w:rPr>
              <w:t>$</w:t>
            </w:r>
          </w:p>
        </w:tc>
      </w:tr>
      <w:tr>
        <w:trPr>
          <w:trHeight w:val="267" w:hRule="exact"/>
        </w:trPr>
        <w:tc>
          <w:tcPr>
            <w:tcW w:w="332" w:type="dxa"/>
          </w:tcPr>
          <w:p>
            <w:pPr/>
          </w:p>
        </w:tc>
        <w:tc>
          <w:tcPr>
            <w:tcW w:w="7025" w:type="dxa"/>
          </w:tcPr>
          <w:p>
            <w:pPr>
              <w:pStyle w:val="TableParagraph"/>
              <w:spacing w:before="22"/>
              <w:ind w:left="98"/>
              <w:rPr>
                <w:sz w:val="18"/>
              </w:rPr>
            </w:pPr>
            <w:r>
              <w:rPr>
                <w:sz w:val="18"/>
              </w:rPr>
              <w:t>Opening balance</w:t>
            </w:r>
          </w:p>
        </w:tc>
        <w:tc>
          <w:tcPr>
            <w:tcW w:w="1461" w:type="dxa"/>
          </w:tcPr>
          <w:p>
            <w:pPr>
              <w:pStyle w:val="TableParagraph"/>
              <w:spacing w:before="21"/>
              <w:ind w:left="351"/>
              <w:rPr>
                <w:b/>
                <w:sz w:val="18"/>
              </w:rPr>
            </w:pPr>
            <w:r>
              <w:rPr>
                <w:b/>
                <w:sz w:val="18"/>
              </w:rPr>
              <w:t>(4,339,244)</w:t>
            </w:r>
          </w:p>
        </w:tc>
        <w:tc>
          <w:tcPr>
            <w:tcW w:w="1134" w:type="dxa"/>
          </w:tcPr>
          <w:p>
            <w:pPr>
              <w:pStyle w:val="TableParagraph"/>
              <w:spacing w:before="21"/>
              <w:ind w:right="23"/>
              <w:jc w:val="right"/>
              <w:rPr>
                <w:sz w:val="18"/>
              </w:rPr>
            </w:pPr>
            <w:r>
              <w:rPr>
                <w:w w:val="95"/>
                <w:sz w:val="18"/>
              </w:rPr>
              <w:t>(2,784,752)</w:t>
            </w:r>
          </w:p>
        </w:tc>
      </w:tr>
      <w:tr>
        <w:trPr>
          <w:trHeight w:val="262" w:hRule="exact"/>
        </w:trPr>
        <w:tc>
          <w:tcPr>
            <w:tcW w:w="332" w:type="dxa"/>
          </w:tcPr>
          <w:p>
            <w:pPr/>
          </w:p>
        </w:tc>
        <w:tc>
          <w:tcPr>
            <w:tcW w:w="7025" w:type="dxa"/>
          </w:tcPr>
          <w:p>
            <w:pPr>
              <w:pStyle w:val="TableParagraph"/>
              <w:spacing w:before="19"/>
              <w:ind w:left="98"/>
              <w:rPr>
                <w:sz w:val="18"/>
              </w:rPr>
            </w:pPr>
            <w:r>
              <w:rPr>
                <w:sz w:val="18"/>
              </w:rPr>
              <w:t>Surplus / (Deficit) for the year</w:t>
            </w:r>
          </w:p>
        </w:tc>
        <w:tc>
          <w:tcPr>
            <w:tcW w:w="1461" w:type="dxa"/>
            <w:tcBorders>
              <w:bottom w:val="single" w:sz="0" w:space="0" w:color="000000"/>
            </w:tcBorders>
          </w:tcPr>
          <w:p>
            <w:pPr>
              <w:pStyle w:val="TableParagraph"/>
              <w:spacing w:before="18"/>
              <w:ind w:left="411"/>
              <w:rPr>
                <w:b/>
                <w:sz w:val="18"/>
              </w:rPr>
            </w:pPr>
            <w:r>
              <w:rPr>
                <w:b/>
                <w:sz w:val="18"/>
              </w:rPr>
              <w:t>3,109,414</w:t>
            </w:r>
          </w:p>
        </w:tc>
        <w:tc>
          <w:tcPr>
            <w:tcW w:w="1134" w:type="dxa"/>
            <w:tcBorders>
              <w:bottom w:val="single" w:sz="0" w:space="0" w:color="000000"/>
            </w:tcBorders>
          </w:tcPr>
          <w:p>
            <w:pPr>
              <w:pStyle w:val="TableParagraph"/>
              <w:spacing w:before="18"/>
              <w:ind w:right="23"/>
              <w:jc w:val="right"/>
              <w:rPr>
                <w:sz w:val="18"/>
              </w:rPr>
            </w:pPr>
            <w:r>
              <w:rPr>
                <w:w w:val="95"/>
                <w:sz w:val="18"/>
              </w:rPr>
              <w:t>(1,554,492)</w:t>
            </w:r>
          </w:p>
        </w:tc>
      </w:tr>
      <w:tr>
        <w:trPr>
          <w:trHeight w:val="353" w:hRule="exact"/>
        </w:trPr>
        <w:tc>
          <w:tcPr>
            <w:tcW w:w="332" w:type="dxa"/>
          </w:tcPr>
          <w:p>
            <w:pPr/>
          </w:p>
        </w:tc>
        <w:tc>
          <w:tcPr>
            <w:tcW w:w="7025" w:type="dxa"/>
          </w:tcPr>
          <w:p>
            <w:pPr>
              <w:pStyle w:val="TableParagraph"/>
              <w:spacing w:before="123"/>
              <w:ind w:left="98"/>
              <w:rPr>
                <w:b/>
                <w:sz w:val="18"/>
              </w:rPr>
            </w:pPr>
            <w:r>
              <w:rPr>
                <w:b/>
                <w:sz w:val="18"/>
              </w:rPr>
              <w:t>Closing Balance</w:t>
            </w:r>
          </w:p>
        </w:tc>
        <w:tc>
          <w:tcPr>
            <w:tcW w:w="1461" w:type="dxa"/>
            <w:tcBorders>
              <w:top w:val="single" w:sz="0" w:space="0" w:color="000000"/>
              <w:bottom w:val="single" w:sz="0" w:space="0" w:color="000000"/>
            </w:tcBorders>
          </w:tcPr>
          <w:p>
            <w:pPr>
              <w:pStyle w:val="TableParagraph"/>
              <w:spacing w:before="122"/>
              <w:ind w:left="351"/>
              <w:rPr>
                <w:b/>
                <w:sz w:val="18"/>
              </w:rPr>
            </w:pPr>
            <w:r>
              <w:rPr>
                <w:b/>
                <w:sz w:val="18"/>
              </w:rPr>
              <w:t>(1,229,830)</w:t>
            </w:r>
          </w:p>
        </w:tc>
        <w:tc>
          <w:tcPr>
            <w:tcW w:w="1134" w:type="dxa"/>
            <w:tcBorders>
              <w:top w:val="single" w:sz="0" w:space="0" w:color="000000"/>
              <w:bottom w:val="single" w:sz="0" w:space="0" w:color="000000"/>
            </w:tcBorders>
          </w:tcPr>
          <w:p>
            <w:pPr>
              <w:pStyle w:val="TableParagraph"/>
              <w:spacing w:before="122"/>
              <w:ind w:right="22"/>
              <w:jc w:val="right"/>
              <w:rPr>
                <w:sz w:val="18"/>
              </w:rPr>
            </w:pPr>
            <w:r>
              <w:rPr>
                <w:w w:val="95"/>
                <w:sz w:val="18"/>
              </w:rPr>
              <w:t>(4,339,244)</w:t>
            </w:r>
          </w:p>
        </w:tc>
      </w:tr>
      <w:tr>
        <w:trPr>
          <w:trHeight w:val="618" w:hRule="exact"/>
        </w:trPr>
        <w:tc>
          <w:tcPr>
            <w:tcW w:w="332" w:type="dxa"/>
          </w:tcPr>
          <w:p>
            <w:pPr>
              <w:pStyle w:val="TableParagraph"/>
              <w:rPr>
                <w:rFonts w:ascii="Times New Roman"/>
                <w:sz w:val="18"/>
              </w:rPr>
            </w:pPr>
          </w:p>
          <w:p>
            <w:pPr>
              <w:pStyle w:val="TableParagraph"/>
              <w:spacing w:before="107"/>
              <w:ind w:left="16" w:right="76"/>
              <w:jc w:val="center"/>
              <w:rPr>
                <w:b/>
                <w:sz w:val="18"/>
              </w:rPr>
            </w:pPr>
            <w:r>
              <w:rPr>
                <w:b/>
                <w:sz w:val="18"/>
              </w:rPr>
              <w:t>18</w:t>
            </w:r>
          </w:p>
        </w:tc>
        <w:tc>
          <w:tcPr>
            <w:tcW w:w="7025" w:type="dxa"/>
          </w:tcPr>
          <w:p>
            <w:pPr>
              <w:pStyle w:val="TableParagraph"/>
              <w:rPr>
                <w:rFonts w:ascii="Times New Roman"/>
                <w:sz w:val="18"/>
              </w:rPr>
            </w:pPr>
          </w:p>
          <w:p>
            <w:pPr>
              <w:pStyle w:val="TableParagraph"/>
              <w:spacing w:before="107"/>
              <w:ind w:left="98"/>
              <w:rPr>
                <w:b/>
                <w:sz w:val="18"/>
              </w:rPr>
            </w:pPr>
            <w:r>
              <w:rPr>
                <w:b/>
                <w:sz w:val="18"/>
              </w:rPr>
              <w:t>Key Management Personnel Disclosures</w:t>
            </w:r>
          </w:p>
        </w:tc>
        <w:tc>
          <w:tcPr>
            <w:tcW w:w="1461" w:type="dxa"/>
            <w:tcBorders>
              <w:top w:val="single" w:sz="0" w:space="0" w:color="000000"/>
            </w:tcBorders>
          </w:tcPr>
          <w:p>
            <w:pPr/>
          </w:p>
        </w:tc>
        <w:tc>
          <w:tcPr>
            <w:tcW w:w="1134" w:type="dxa"/>
            <w:tcBorders>
              <w:top w:val="single" w:sz="0" w:space="0" w:color="000000"/>
            </w:tcBorders>
          </w:tcPr>
          <w:p>
            <w:pPr/>
          </w:p>
        </w:tc>
      </w:tr>
    </w:tbl>
    <w:p>
      <w:pPr>
        <w:pStyle w:val="BodyText"/>
        <w:spacing w:before="7"/>
        <w:rPr>
          <w:rFonts w:ascii="Times New Roman"/>
          <w:sz w:val="11"/>
        </w:rPr>
      </w:pPr>
    </w:p>
    <w:p>
      <w:pPr>
        <w:pStyle w:val="Heading9"/>
        <w:numPr>
          <w:ilvl w:val="0"/>
          <w:numId w:val="67"/>
        </w:numPr>
        <w:tabs>
          <w:tab w:pos="1112" w:val="left" w:leader="none"/>
        </w:tabs>
        <w:spacing w:line="240" w:lineRule="auto" w:before="77" w:after="0"/>
        <w:ind w:left="1111" w:right="0" w:hanging="566"/>
        <w:jc w:val="left"/>
      </w:pPr>
      <w:r>
        <w:rPr/>
        <w:t>Names of responsible persons and executive</w:t>
      </w:r>
      <w:r>
        <w:rPr>
          <w:spacing w:val="-1"/>
        </w:rPr>
        <w:t> </w:t>
      </w:r>
      <w:r>
        <w:rPr/>
        <w:t>officers</w:t>
      </w:r>
    </w:p>
    <w:p>
      <w:pPr>
        <w:pStyle w:val="BodyText"/>
        <w:spacing w:before="4"/>
        <w:rPr>
          <w:b/>
          <w:sz w:val="25"/>
        </w:rPr>
      </w:pPr>
    </w:p>
    <w:p>
      <w:pPr>
        <w:pStyle w:val="BodyText"/>
        <w:ind w:left="1112" w:right="19"/>
      </w:pPr>
      <w:r>
        <w:rPr/>
        <w:t>The following persons were responsible persons and executive officers of Western Unlimited Ltd during the financial year:</w:t>
      </w:r>
    </w:p>
    <w:p>
      <w:pPr>
        <w:pStyle w:val="ListParagraph"/>
        <w:numPr>
          <w:ilvl w:val="1"/>
          <w:numId w:val="67"/>
        </w:numPr>
        <w:tabs>
          <w:tab w:pos="1323" w:val="left" w:leader="none"/>
        </w:tabs>
        <w:spacing w:line="546" w:lineRule="exact" w:before="19" w:after="0"/>
        <w:ind w:left="1112" w:right="4488" w:firstLine="0"/>
        <w:jc w:val="left"/>
        <w:rPr>
          <w:sz w:val="18"/>
        </w:rPr>
      </w:pPr>
      <w:r>
        <w:rPr>
          <w:sz w:val="18"/>
        </w:rPr>
        <w:t>Names of Responsible Persons and Executive Officers Bill</w:t>
      </w:r>
      <w:r>
        <w:rPr>
          <w:spacing w:val="-1"/>
          <w:sz w:val="18"/>
        </w:rPr>
        <w:t> </w:t>
      </w:r>
      <w:r>
        <w:rPr>
          <w:sz w:val="18"/>
        </w:rPr>
        <w:t>Parasiris</w:t>
      </w:r>
    </w:p>
    <w:p>
      <w:pPr>
        <w:pStyle w:val="BodyText"/>
        <w:spacing w:line="190" w:lineRule="exact"/>
        <w:ind w:left="1112" w:right="19"/>
      </w:pPr>
      <w:r>
        <w:rPr/>
        <w:t>Ellen Brackenreg</w:t>
      </w:r>
    </w:p>
    <w:p>
      <w:pPr>
        <w:pStyle w:val="BodyText"/>
        <w:spacing w:before="54"/>
        <w:ind w:left="1112" w:right="19"/>
      </w:pPr>
      <w:r>
        <w:rPr/>
        <w:t>Ian Londish - ceased 5 December 2017</w:t>
      </w:r>
    </w:p>
    <w:p>
      <w:pPr>
        <w:pStyle w:val="BodyText"/>
      </w:pPr>
    </w:p>
    <w:p>
      <w:pPr>
        <w:pStyle w:val="BodyText"/>
        <w:spacing w:before="108"/>
        <w:ind w:left="1112" w:right="803"/>
      </w:pPr>
      <w:r>
        <w:rPr/>
        <w:t>All responsible persons and executive officers are employees of Western Sydney University and are not remunerated for their executive responsibilities.</w:t>
      </w:r>
    </w:p>
    <w:p>
      <w:pPr>
        <w:pStyle w:val="BodyText"/>
        <w:rPr>
          <w:sz w:val="25"/>
        </w:rPr>
      </w:pPr>
    </w:p>
    <w:p>
      <w:pPr>
        <w:pStyle w:val="ListParagraph"/>
        <w:numPr>
          <w:ilvl w:val="1"/>
          <w:numId w:val="67"/>
        </w:numPr>
        <w:tabs>
          <w:tab w:pos="1363" w:val="left" w:leader="none"/>
        </w:tabs>
        <w:spacing w:line="240" w:lineRule="auto" w:before="0" w:after="0"/>
        <w:ind w:left="1362" w:right="0" w:hanging="250"/>
        <w:jc w:val="left"/>
        <w:rPr>
          <w:sz w:val="18"/>
        </w:rPr>
      </w:pPr>
      <w:r>
        <w:rPr>
          <w:sz w:val="18"/>
        </w:rPr>
        <w:t>Board of</w:t>
      </w:r>
      <w:r>
        <w:rPr>
          <w:spacing w:val="-1"/>
          <w:sz w:val="18"/>
        </w:rPr>
        <w:t> </w:t>
      </w:r>
      <w:r>
        <w:rPr>
          <w:sz w:val="18"/>
        </w:rPr>
        <w:t>Directors</w:t>
      </w:r>
    </w:p>
    <w:p>
      <w:pPr>
        <w:pStyle w:val="BodyText"/>
      </w:pPr>
    </w:p>
    <w:p>
      <w:pPr>
        <w:pStyle w:val="BodyText"/>
        <w:spacing w:line="302" w:lineRule="auto" w:before="132"/>
        <w:ind w:left="1112" w:right="7517"/>
      </w:pPr>
      <w:r>
        <w:rPr/>
        <w:t>John Banks (Chair) Peter Pickering</w:t>
      </w:r>
    </w:p>
    <w:p>
      <w:pPr>
        <w:pStyle w:val="BodyText"/>
        <w:spacing w:line="302" w:lineRule="auto" w:before="2"/>
        <w:ind w:left="1112" w:right="7687"/>
      </w:pPr>
      <w:r>
        <w:rPr/>
        <w:t>Bill Parasiris Ellen Brackenreg</w:t>
      </w:r>
    </w:p>
    <w:p>
      <w:pPr>
        <w:pStyle w:val="BodyText"/>
        <w:spacing w:line="302" w:lineRule="auto" w:before="2"/>
        <w:ind w:left="1112" w:right="6026"/>
      </w:pPr>
      <w:r>
        <w:rPr/>
        <w:t>John Hart - commenced 1 June 2017 Elise Buisson - ceased 8 May 2017 Michael Scullino - ceased 8 May 2017</w:t>
      </w:r>
    </w:p>
    <w:p>
      <w:pPr>
        <w:pStyle w:val="BodyText"/>
        <w:spacing w:before="9"/>
        <w:rPr>
          <w:sz w:val="17"/>
        </w:rPr>
      </w:pPr>
    </w:p>
    <w:p>
      <w:pPr>
        <w:spacing w:after="0"/>
        <w:rPr>
          <w:sz w:val="17"/>
        </w:rPr>
        <w:sectPr>
          <w:pgSz w:w="11910" w:h="16840"/>
          <w:pgMar w:header="1038" w:footer="460" w:top="2440" w:bottom="700" w:left="860" w:right="860"/>
        </w:sectPr>
      </w:pPr>
    </w:p>
    <w:p>
      <w:pPr>
        <w:pStyle w:val="Heading9"/>
        <w:numPr>
          <w:ilvl w:val="0"/>
          <w:numId w:val="67"/>
        </w:numPr>
        <w:tabs>
          <w:tab w:pos="1112" w:val="left" w:leader="none"/>
        </w:tabs>
        <w:spacing w:line="240" w:lineRule="auto" w:before="77" w:after="0"/>
        <w:ind w:left="1111" w:right="0" w:hanging="566"/>
        <w:jc w:val="left"/>
      </w:pPr>
      <w:r>
        <w:rPr/>
        <w:t>Remuneration of Board</w:t>
      </w:r>
      <w:r>
        <w:rPr>
          <w:spacing w:val="-1"/>
        </w:rPr>
        <w:t> </w:t>
      </w:r>
      <w:r>
        <w:rPr/>
        <w:t>Members</w:t>
      </w:r>
    </w:p>
    <w:p>
      <w:pPr>
        <w:pStyle w:val="BodyText"/>
        <w:rPr>
          <w:b/>
        </w:rPr>
      </w:pPr>
    </w:p>
    <w:p>
      <w:pPr>
        <w:pStyle w:val="BodyText"/>
        <w:rPr>
          <w:b/>
        </w:rPr>
      </w:pPr>
    </w:p>
    <w:p>
      <w:pPr>
        <w:pStyle w:val="BodyText"/>
        <w:spacing w:before="9"/>
        <w:rPr>
          <w:b/>
          <w:sz w:val="21"/>
        </w:rPr>
      </w:pPr>
    </w:p>
    <w:p>
      <w:pPr>
        <w:pStyle w:val="BodyText"/>
        <w:ind w:left="1140"/>
      </w:pPr>
      <w:r>
        <w:rPr/>
        <w:t>Remuneration of Board Members</w:t>
      </w:r>
    </w:p>
    <w:p>
      <w:pPr>
        <w:pStyle w:val="BodyText"/>
      </w:pPr>
      <w:r>
        <w:rPr/>
        <w:br w:type="column"/>
      </w:r>
      <w:r>
        <w:rPr/>
      </w:r>
    </w:p>
    <w:p>
      <w:pPr>
        <w:pStyle w:val="Heading9"/>
        <w:spacing w:before="115"/>
        <w:ind w:left="546"/>
        <w:jc w:val="center"/>
      </w:pPr>
      <w:r>
        <w:rPr/>
        <w:t>2017</w:t>
      </w:r>
    </w:p>
    <w:p>
      <w:pPr>
        <w:spacing w:before="67"/>
        <w:ind w:left="545" w:right="0" w:firstLine="0"/>
        <w:jc w:val="center"/>
        <w:rPr>
          <w:b/>
          <w:sz w:val="18"/>
        </w:rPr>
      </w:pPr>
      <w:r>
        <w:rPr>
          <w:b/>
          <w:sz w:val="18"/>
        </w:rPr>
        <w:t>Number</w:t>
      </w:r>
    </w:p>
    <w:p>
      <w:pPr>
        <w:pStyle w:val="BodyText"/>
        <w:rPr>
          <w:b/>
        </w:rPr>
      </w:pPr>
      <w:r>
        <w:rPr/>
        <w:br w:type="column"/>
      </w:r>
      <w:r>
        <w:rPr>
          <w:b/>
        </w:rPr>
      </w:r>
    </w:p>
    <w:p>
      <w:pPr>
        <w:spacing w:before="115"/>
        <w:ind w:left="527" w:right="422" w:firstLine="0"/>
        <w:jc w:val="center"/>
        <w:rPr>
          <w:b/>
          <w:sz w:val="18"/>
        </w:rPr>
      </w:pPr>
      <w:r>
        <w:rPr>
          <w:b/>
          <w:sz w:val="18"/>
        </w:rPr>
        <w:t>2016</w:t>
      </w:r>
    </w:p>
    <w:p>
      <w:pPr>
        <w:spacing w:before="66"/>
        <w:ind w:left="527" w:right="423" w:firstLine="0"/>
        <w:jc w:val="center"/>
        <w:rPr>
          <w:b/>
          <w:sz w:val="18"/>
        </w:rPr>
      </w:pPr>
      <w:r>
        <w:rPr>
          <w:b/>
          <w:sz w:val="18"/>
        </w:rPr>
        <w:t>Number</w:t>
      </w:r>
    </w:p>
    <w:p>
      <w:pPr>
        <w:spacing w:after="0"/>
        <w:jc w:val="center"/>
        <w:rPr>
          <w:sz w:val="18"/>
        </w:rPr>
        <w:sectPr>
          <w:type w:val="continuous"/>
          <w:pgSz w:w="11910" w:h="16840"/>
          <w:pgMar w:top="1580" w:bottom="280" w:left="860" w:right="860"/>
          <w:cols w:num="3" w:equalWidth="0">
            <w:col w:w="3953" w:space="3283"/>
            <w:col w:w="1226" w:space="57"/>
            <w:col w:w="1671"/>
          </w:cols>
        </w:sectPr>
      </w:pPr>
    </w:p>
    <w:p>
      <w:pPr>
        <w:pStyle w:val="BodyText"/>
        <w:tabs>
          <w:tab w:pos="8581" w:val="left" w:leader="none"/>
          <w:tab w:pos="9776" w:val="left" w:leader="none"/>
        </w:tabs>
        <w:spacing w:before="29"/>
        <w:ind w:left="1140" w:right="19"/>
      </w:pPr>
      <w:r>
        <w:rPr/>
        <w:pict>
          <v:group style="position:absolute;margin-left:416.529999pt;margin-top:13.08519pt;width:129.85pt;height:1pt;mso-position-horizontal-relative:page;mso-position-vertical-relative:paragraph;z-index:3784;mso-wrap-distance-left:0;mso-wrap-distance-right:0" coordorigin="8331,262" coordsize="2597,20">
            <v:line style="position:absolute" from="8332,263" to="9629,263" stroked="true" strokeweight=".06pt" strokecolor="#000000"/>
            <v:line style="position:absolute" from="8332,264" to="9629,264" stroked="true" strokeweight=".06pt" strokecolor="#000000"/>
            <v:line style="position:absolute" from="8332,265" to="9629,265" stroked="true" strokeweight=".06pt" strokecolor="#000000"/>
            <v:line style="position:absolute" from="8332,266" to="9629,266" stroked="true" strokeweight=".06pt" strokecolor="#000000"/>
            <v:line style="position:absolute" from="8332,268" to="9629,268" stroked="true" strokeweight=".06pt" strokecolor="#000000"/>
            <v:line style="position:absolute" from="8332,269" to="9629,269" stroked="true" strokeweight=".06pt" strokecolor="#000000"/>
            <v:line style="position:absolute" from="8332,270" to="9629,270" stroked="true" strokeweight=".06pt" strokecolor="#000000"/>
            <v:line style="position:absolute" from="8332,271" to="9629,271" stroked="true" strokeweight=".06pt" strokecolor="#000000"/>
            <v:line style="position:absolute" from="8332,272" to="9629,272" stroked="true" strokeweight=".06pt" strokecolor="#000000"/>
            <v:line style="position:absolute" from="8332,274" to="9629,274" stroked="true" strokeweight=".06pt" strokecolor="#000000"/>
            <v:line style="position:absolute" from="8332,275" to="9629,275" stroked="true" strokeweight=".06pt" strokecolor="#000000"/>
            <v:line style="position:absolute" from="8332,276" to="9629,276" stroked="true" strokeweight=".06pt" strokecolor="#000000"/>
            <v:line style="position:absolute" from="8332,277" to="9629,277" stroked="true" strokeweight=".06pt" strokecolor="#000000"/>
            <v:line style="position:absolute" from="8332,278" to="9629,278" stroked="true" strokeweight=".06pt" strokecolor="#000000"/>
            <v:line style="position:absolute" from="8332,280" to="9629,280" stroked="true" strokeweight=".06pt" strokecolor="#000000"/>
            <v:line style="position:absolute" from="8332,281" to="9629,281" stroked="true" strokeweight=".06pt" strokecolor="#000000"/>
            <v:line style="position:absolute" from="9629,263" to="10926,263" stroked="true" strokeweight=".06pt" strokecolor="#000000"/>
            <v:line style="position:absolute" from="9629,264" to="10926,264" stroked="true" strokeweight=".06pt" strokecolor="#000000"/>
            <v:line style="position:absolute" from="9629,265" to="10926,265" stroked="true" strokeweight=".06pt" strokecolor="#000000"/>
            <v:line style="position:absolute" from="9629,266" to="10926,266" stroked="true" strokeweight=".06pt" strokecolor="#000000"/>
            <v:line style="position:absolute" from="9629,268" to="10926,268" stroked="true" strokeweight=".06pt" strokecolor="#000000"/>
            <v:line style="position:absolute" from="9629,269" to="10926,269" stroked="true" strokeweight=".06pt" strokecolor="#000000"/>
            <v:line style="position:absolute" from="9629,270" to="10926,270" stroked="true" strokeweight=".06pt" strokecolor="#000000"/>
            <v:line style="position:absolute" from="9629,271" to="10926,271" stroked="true" strokeweight=".06pt" strokecolor="#000000"/>
            <v:line style="position:absolute" from="9629,272" to="10926,272" stroked="true" strokeweight=".06pt" strokecolor="#000000"/>
            <v:line style="position:absolute" from="9629,274" to="10926,274" stroked="true" strokeweight=".06pt" strokecolor="#000000"/>
            <v:line style="position:absolute" from="9629,275" to="10926,275" stroked="true" strokeweight=".06pt" strokecolor="#000000"/>
            <v:line style="position:absolute" from="9629,276" to="10926,276" stroked="true" strokeweight=".06pt" strokecolor="#000000"/>
            <v:line style="position:absolute" from="9629,277" to="10926,277" stroked="true" strokeweight=".06pt" strokecolor="#000000"/>
            <v:line style="position:absolute" from="9629,278" to="10926,278" stroked="true" strokeweight=".06pt" strokecolor="#000000"/>
            <v:line style="position:absolute" from="9629,280" to="10926,280" stroked="true" strokeweight=".06pt" strokecolor="#000000"/>
            <v:line style="position:absolute" from="9629,281" to="10926,281" stroked="true" strokeweight=".06pt" strokecolor="#000000"/>
            <w10:wrap type="topAndBottom"/>
          </v:group>
        </w:pict>
      </w:r>
      <w:r>
        <w:rPr/>
        <w:t>Nil</w:t>
      </w:r>
      <w:r>
        <w:rPr>
          <w:spacing w:val="-1"/>
        </w:rPr>
        <w:t> </w:t>
      </w:r>
      <w:r>
        <w:rPr/>
        <w:t>to</w:t>
      </w:r>
      <w:r>
        <w:rPr>
          <w:spacing w:val="-1"/>
        </w:rPr>
        <w:t> </w:t>
      </w:r>
      <w:r>
        <w:rPr/>
        <w:t>$9,999</w:t>
        <w:tab/>
      </w:r>
      <w:r>
        <w:rPr>
          <w:b/>
        </w:rPr>
        <w:t>1</w:t>
        <w:tab/>
      </w:r>
      <w:r>
        <w:rPr/>
        <w:t>-</w:t>
      </w:r>
    </w:p>
    <w:p>
      <w:pPr>
        <w:tabs>
          <w:tab w:pos="1195" w:val="left" w:leader="none"/>
        </w:tabs>
        <w:spacing w:before="84"/>
        <w:ind w:left="0" w:right="345" w:firstLine="0"/>
        <w:jc w:val="right"/>
        <w:rPr>
          <w:sz w:val="18"/>
        </w:rPr>
      </w:pPr>
      <w:r>
        <w:rPr>
          <w:b/>
          <w:sz w:val="18"/>
        </w:rPr>
        <w:t>1</w:t>
        <w:tab/>
      </w:r>
      <w:r>
        <w:rPr>
          <w:sz w:val="18"/>
        </w:rPr>
        <w:t>-</w:t>
      </w:r>
    </w:p>
    <w:p>
      <w:pPr>
        <w:pStyle w:val="BodyText"/>
        <w:spacing w:line="20" w:lineRule="exact"/>
        <w:ind w:left="7470"/>
        <w:rPr>
          <w:sz w:val="2"/>
        </w:rPr>
      </w:pPr>
      <w:r>
        <w:rPr>
          <w:sz w:val="2"/>
        </w:rPr>
        <w:pict>
          <v:group style="width:129.85pt;height:1pt;mso-position-horizontal-relative:char;mso-position-vertical-relative:line" coordorigin="0,0" coordsize="2597,2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group>
        </w:pict>
      </w:r>
      <w:r>
        <w:rPr>
          <w:sz w:val="2"/>
        </w:rPr>
      </w:r>
    </w:p>
    <w:p>
      <w:pPr>
        <w:spacing w:after="0" w:line="20" w:lineRule="exact"/>
        <w:rPr>
          <w:sz w:val="2"/>
        </w:rPr>
        <w:sectPr>
          <w:type w:val="continuous"/>
          <w:pgSz w:w="11910" w:h="16840"/>
          <w:pgMar w:top="1580" w:bottom="280" w:left="860" w:right="860"/>
        </w:sectPr>
      </w:pPr>
    </w:p>
    <w:p>
      <w:pPr>
        <w:pStyle w:val="BodyText"/>
        <w:spacing w:before="8"/>
        <w:rPr>
          <w:rFonts w:ascii="Times New Roman"/>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7024"/>
        <w:gridCol w:w="1471"/>
        <w:gridCol w:w="1123"/>
      </w:tblGrid>
      <w:tr>
        <w:trPr>
          <w:trHeight w:val="826" w:hRule="exact"/>
        </w:trPr>
        <w:tc>
          <w:tcPr>
            <w:tcW w:w="333" w:type="dxa"/>
          </w:tcPr>
          <w:p>
            <w:pPr>
              <w:pStyle w:val="TableParagraph"/>
              <w:spacing w:before="77"/>
              <w:ind w:left="16" w:right="76"/>
              <w:jc w:val="center"/>
              <w:rPr>
                <w:sz w:val="18"/>
              </w:rPr>
            </w:pPr>
            <w:r>
              <w:rPr>
                <w:sz w:val="18"/>
              </w:rPr>
              <w:t>18</w:t>
            </w:r>
          </w:p>
        </w:tc>
        <w:tc>
          <w:tcPr>
            <w:tcW w:w="7024" w:type="dxa"/>
          </w:tcPr>
          <w:p>
            <w:pPr>
              <w:pStyle w:val="TableParagraph"/>
              <w:spacing w:before="77"/>
              <w:ind w:left="97"/>
              <w:rPr>
                <w:sz w:val="18"/>
              </w:rPr>
            </w:pPr>
            <w:r>
              <w:rPr>
                <w:sz w:val="18"/>
              </w:rPr>
              <w:t>Key Management Personnel Disclosures (Continued)</w:t>
            </w:r>
          </w:p>
          <w:p>
            <w:pPr>
              <w:pStyle w:val="TableParagraph"/>
              <w:spacing w:before="7"/>
              <w:rPr>
                <w:rFonts w:ascii="Times New Roman"/>
                <w:sz w:val="26"/>
              </w:rPr>
            </w:pPr>
          </w:p>
          <w:p>
            <w:pPr>
              <w:pStyle w:val="TableParagraph"/>
              <w:tabs>
                <w:tab w:pos="664" w:val="left" w:leader="none"/>
              </w:tabs>
              <w:ind w:left="97"/>
              <w:rPr>
                <w:b/>
                <w:sz w:val="18"/>
              </w:rPr>
            </w:pPr>
            <w:r>
              <w:rPr>
                <w:b/>
                <w:sz w:val="18"/>
              </w:rPr>
              <w:t>(c)</w:t>
              <w:tab/>
              <w:t>Key management personnel</w:t>
            </w:r>
            <w:r>
              <w:rPr>
                <w:b/>
                <w:spacing w:val="-1"/>
                <w:sz w:val="18"/>
              </w:rPr>
              <w:t> </w:t>
            </w:r>
            <w:r>
              <w:rPr>
                <w:b/>
                <w:sz w:val="18"/>
              </w:rPr>
              <w:t>compensation</w:t>
            </w:r>
          </w:p>
        </w:tc>
        <w:tc>
          <w:tcPr>
            <w:tcW w:w="2594" w:type="dxa"/>
            <w:gridSpan w:val="2"/>
          </w:tcPr>
          <w:p>
            <w:pPr/>
          </w:p>
        </w:tc>
      </w:tr>
      <w:tr>
        <w:trPr>
          <w:trHeight w:val="259" w:hRule="exact"/>
        </w:trPr>
        <w:tc>
          <w:tcPr>
            <w:tcW w:w="333" w:type="dxa"/>
          </w:tcPr>
          <w:p>
            <w:pPr/>
          </w:p>
        </w:tc>
        <w:tc>
          <w:tcPr>
            <w:tcW w:w="7024" w:type="dxa"/>
          </w:tcPr>
          <w:p>
            <w:pPr/>
          </w:p>
        </w:tc>
        <w:tc>
          <w:tcPr>
            <w:tcW w:w="1471" w:type="dxa"/>
          </w:tcPr>
          <w:p>
            <w:pPr>
              <w:pStyle w:val="TableParagraph"/>
              <w:spacing w:before="9"/>
              <w:ind w:left="448"/>
              <w:rPr>
                <w:b/>
                <w:sz w:val="18"/>
              </w:rPr>
            </w:pPr>
            <w:r>
              <w:rPr>
                <w:b/>
                <w:sz w:val="18"/>
              </w:rPr>
              <w:t>2017</w:t>
            </w:r>
          </w:p>
        </w:tc>
        <w:tc>
          <w:tcPr>
            <w:tcW w:w="1123" w:type="dxa"/>
          </w:tcPr>
          <w:p>
            <w:pPr>
              <w:pStyle w:val="TableParagraph"/>
              <w:spacing w:before="9"/>
              <w:ind w:left="261"/>
              <w:rPr>
                <w:b/>
                <w:sz w:val="18"/>
              </w:rPr>
            </w:pPr>
            <w:r>
              <w:rPr>
                <w:b/>
                <w:sz w:val="18"/>
              </w:rPr>
              <w:t>2016</w:t>
            </w:r>
          </w:p>
        </w:tc>
      </w:tr>
      <w:tr>
        <w:trPr>
          <w:trHeight w:val="286" w:hRule="exact"/>
        </w:trPr>
        <w:tc>
          <w:tcPr>
            <w:tcW w:w="333" w:type="dxa"/>
          </w:tcPr>
          <w:p>
            <w:pPr/>
          </w:p>
        </w:tc>
        <w:tc>
          <w:tcPr>
            <w:tcW w:w="7024" w:type="dxa"/>
          </w:tcPr>
          <w:p>
            <w:pPr/>
          </w:p>
        </w:tc>
        <w:tc>
          <w:tcPr>
            <w:tcW w:w="1471" w:type="dxa"/>
          </w:tcPr>
          <w:p>
            <w:pPr>
              <w:pStyle w:val="TableParagraph"/>
              <w:spacing w:before="24"/>
              <w:ind w:right="171"/>
              <w:jc w:val="center"/>
              <w:rPr>
                <w:b/>
                <w:sz w:val="18"/>
              </w:rPr>
            </w:pPr>
            <w:r>
              <w:rPr>
                <w:b/>
                <w:w w:val="99"/>
                <w:sz w:val="18"/>
              </w:rPr>
              <w:t>$</w:t>
            </w:r>
          </w:p>
        </w:tc>
        <w:tc>
          <w:tcPr>
            <w:tcW w:w="1123" w:type="dxa"/>
          </w:tcPr>
          <w:p>
            <w:pPr>
              <w:pStyle w:val="TableParagraph"/>
              <w:spacing w:before="24"/>
              <w:ind w:right="197"/>
              <w:jc w:val="center"/>
              <w:rPr>
                <w:b/>
                <w:sz w:val="18"/>
              </w:rPr>
            </w:pPr>
            <w:r>
              <w:rPr>
                <w:b/>
                <w:w w:val="99"/>
                <w:sz w:val="18"/>
              </w:rPr>
              <w:t>$</w:t>
            </w:r>
          </w:p>
        </w:tc>
      </w:tr>
      <w:tr>
        <w:trPr>
          <w:trHeight w:val="282" w:hRule="exact"/>
        </w:trPr>
        <w:tc>
          <w:tcPr>
            <w:tcW w:w="333" w:type="dxa"/>
          </w:tcPr>
          <w:p>
            <w:pPr/>
          </w:p>
        </w:tc>
        <w:tc>
          <w:tcPr>
            <w:tcW w:w="7024" w:type="dxa"/>
          </w:tcPr>
          <w:p>
            <w:pPr>
              <w:pStyle w:val="TableParagraph"/>
              <w:spacing w:before="37"/>
              <w:ind w:left="691"/>
              <w:rPr>
                <w:sz w:val="18"/>
              </w:rPr>
            </w:pPr>
            <w:r>
              <w:rPr>
                <w:sz w:val="18"/>
              </w:rPr>
              <w:t>Short-term employee benefits</w:t>
            </w:r>
          </w:p>
        </w:tc>
        <w:tc>
          <w:tcPr>
            <w:tcW w:w="1471" w:type="dxa"/>
          </w:tcPr>
          <w:p>
            <w:pPr>
              <w:pStyle w:val="TableParagraph"/>
              <w:spacing w:before="36"/>
              <w:ind w:right="259"/>
              <w:jc w:val="right"/>
              <w:rPr>
                <w:b/>
                <w:sz w:val="18"/>
              </w:rPr>
            </w:pPr>
            <w:r>
              <w:rPr>
                <w:b/>
                <w:w w:val="95"/>
                <w:sz w:val="18"/>
              </w:rPr>
              <w:t>6,850</w:t>
            </w:r>
          </w:p>
        </w:tc>
        <w:tc>
          <w:tcPr>
            <w:tcW w:w="1123" w:type="dxa"/>
          </w:tcPr>
          <w:p>
            <w:pPr>
              <w:pStyle w:val="TableParagraph"/>
              <w:spacing w:before="36"/>
              <w:ind w:right="227"/>
              <w:jc w:val="right"/>
              <w:rPr>
                <w:sz w:val="18"/>
              </w:rPr>
            </w:pPr>
            <w:r>
              <w:rPr>
                <w:w w:val="99"/>
                <w:sz w:val="18"/>
              </w:rPr>
              <w:t>-</w:t>
            </w:r>
          </w:p>
        </w:tc>
      </w:tr>
      <w:tr>
        <w:trPr>
          <w:trHeight w:val="264" w:hRule="exact"/>
        </w:trPr>
        <w:tc>
          <w:tcPr>
            <w:tcW w:w="333" w:type="dxa"/>
          </w:tcPr>
          <w:p>
            <w:pPr/>
          </w:p>
        </w:tc>
        <w:tc>
          <w:tcPr>
            <w:tcW w:w="7024" w:type="dxa"/>
          </w:tcPr>
          <w:p>
            <w:pPr>
              <w:pStyle w:val="TableParagraph"/>
              <w:spacing w:before="19"/>
              <w:ind w:left="691"/>
              <w:rPr>
                <w:sz w:val="18"/>
              </w:rPr>
            </w:pPr>
            <w:r>
              <w:rPr>
                <w:sz w:val="18"/>
              </w:rPr>
              <w:t>Post-employment benefits</w:t>
            </w:r>
          </w:p>
        </w:tc>
        <w:tc>
          <w:tcPr>
            <w:tcW w:w="1471" w:type="dxa"/>
          </w:tcPr>
          <w:p>
            <w:pPr>
              <w:pStyle w:val="TableParagraph"/>
              <w:spacing w:before="18"/>
              <w:ind w:right="402"/>
              <w:jc w:val="right"/>
              <w:rPr>
                <w:b/>
                <w:sz w:val="18"/>
              </w:rPr>
            </w:pPr>
            <w:r>
              <w:rPr>
                <w:b/>
                <w:w w:val="99"/>
                <w:sz w:val="18"/>
              </w:rPr>
              <w:t>-</w:t>
            </w:r>
          </w:p>
        </w:tc>
        <w:tc>
          <w:tcPr>
            <w:tcW w:w="1123" w:type="dxa"/>
          </w:tcPr>
          <w:p>
            <w:pPr>
              <w:pStyle w:val="TableParagraph"/>
              <w:spacing w:before="18"/>
              <w:ind w:right="227"/>
              <w:jc w:val="right"/>
              <w:rPr>
                <w:sz w:val="18"/>
              </w:rPr>
            </w:pPr>
            <w:r>
              <w:rPr>
                <w:w w:val="99"/>
                <w:sz w:val="18"/>
              </w:rPr>
              <w:t>-</w:t>
            </w:r>
          </w:p>
        </w:tc>
      </w:tr>
      <w:tr>
        <w:trPr>
          <w:trHeight w:val="262" w:hRule="exact"/>
        </w:trPr>
        <w:tc>
          <w:tcPr>
            <w:tcW w:w="333" w:type="dxa"/>
          </w:tcPr>
          <w:p>
            <w:pPr/>
          </w:p>
        </w:tc>
        <w:tc>
          <w:tcPr>
            <w:tcW w:w="7024" w:type="dxa"/>
          </w:tcPr>
          <w:p>
            <w:pPr>
              <w:pStyle w:val="TableParagraph"/>
              <w:spacing w:before="19"/>
              <w:ind w:left="691"/>
              <w:rPr>
                <w:sz w:val="18"/>
              </w:rPr>
            </w:pPr>
            <w:r>
              <w:rPr>
                <w:sz w:val="18"/>
              </w:rPr>
              <w:t>Termination benefits</w:t>
            </w:r>
          </w:p>
        </w:tc>
        <w:tc>
          <w:tcPr>
            <w:tcW w:w="1471" w:type="dxa"/>
            <w:tcBorders>
              <w:bottom w:val="single" w:sz="0" w:space="0" w:color="000000"/>
            </w:tcBorders>
          </w:tcPr>
          <w:p>
            <w:pPr>
              <w:pStyle w:val="TableParagraph"/>
              <w:spacing w:before="18"/>
              <w:ind w:right="402"/>
              <w:jc w:val="right"/>
              <w:rPr>
                <w:b/>
                <w:sz w:val="18"/>
              </w:rPr>
            </w:pPr>
            <w:r>
              <w:rPr>
                <w:b/>
                <w:w w:val="99"/>
                <w:sz w:val="18"/>
              </w:rPr>
              <w:t>-</w:t>
            </w:r>
          </w:p>
        </w:tc>
        <w:tc>
          <w:tcPr>
            <w:tcW w:w="1123" w:type="dxa"/>
            <w:tcBorders>
              <w:bottom w:val="single" w:sz="0" w:space="0" w:color="000000"/>
            </w:tcBorders>
          </w:tcPr>
          <w:p>
            <w:pPr>
              <w:pStyle w:val="TableParagraph"/>
              <w:spacing w:before="18"/>
              <w:ind w:right="227"/>
              <w:jc w:val="right"/>
              <w:rPr>
                <w:sz w:val="18"/>
              </w:rPr>
            </w:pPr>
            <w:r>
              <w:rPr>
                <w:w w:val="99"/>
                <w:sz w:val="18"/>
              </w:rPr>
              <w:t>-</w:t>
            </w:r>
          </w:p>
        </w:tc>
      </w:tr>
      <w:tr>
        <w:trPr>
          <w:trHeight w:val="353" w:hRule="exact"/>
        </w:trPr>
        <w:tc>
          <w:tcPr>
            <w:tcW w:w="333" w:type="dxa"/>
          </w:tcPr>
          <w:p>
            <w:pPr/>
          </w:p>
        </w:tc>
        <w:tc>
          <w:tcPr>
            <w:tcW w:w="7024" w:type="dxa"/>
          </w:tcPr>
          <w:p>
            <w:pPr>
              <w:pStyle w:val="TableParagraph"/>
              <w:spacing w:before="123"/>
              <w:ind w:left="691"/>
              <w:rPr>
                <w:b/>
                <w:sz w:val="18"/>
              </w:rPr>
            </w:pPr>
            <w:r>
              <w:rPr>
                <w:b/>
                <w:sz w:val="18"/>
              </w:rPr>
              <w:t>Total key management personnel compensation</w:t>
            </w:r>
          </w:p>
        </w:tc>
        <w:tc>
          <w:tcPr>
            <w:tcW w:w="1471" w:type="dxa"/>
            <w:tcBorders>
              <w:top w:val="single" w:sz="0" w:space="0" w:color="000000"/>
              <w:bottom w:val="single" w:sz="0" w:space="0" w:color="000000"/>
            </w:tcBorders>
          </w:tcPr>
          <w:p>
            <w:pPr>
              <w:pStyle w:val="TableParagraph"/>
              <w:spacing w:before="122"/>
              <w:ind w:right="259"/>
              <w:jc w:val="right"/>
              <w:rPr>
                <w:b/>
                <w:sz w:val="18"/>
              </w:rPr>
            </w:pPr>
            <w:r>
              <w:rPr>
                <w:b/>
                <w:w w:val="95"/>
                <w:sz w:val="18"/>
              </w:rPr>
              <w:t>6,850</w:t>
            </w:r>
          </w:p>
        </w:tc>
        <w:tc>
          <w:tcPr>
            <w:tcW w:w="1123" w:type="dxa"/>
            <w:tcBorders>
              <w:top w:val="single" w:sz="0" w:space="0" w:color="000000"/>
              <w:bottom w:val="single" w:sz="0" w:space="0" w:color="000000"/>
            </w:tcBorders>
          </w:tcPr>
          <w:p>
            <w:pPr>
              <w:pStyle w:val="TableParagraph"/>
              <w:spacing w:before="122"/>
              <w:ind w:right="227"/>
              <w:jc w:val="right"/>
              <w:rPr>
                <w:sz w:val="18"/>
              </w:rPr>
            </w:pPr>
            <w:r>
              <w:rPr>
                <w:w w:val="99"/>
                <w:sz w:val="18"/>
              </w:rPr>
              <w:t>-</w:t>
            </w:r>
          </w:p>
        </w:tc>
      </w:tr>
      <w:tr>
        <w:trPr>
          <w:trHeight w:val="547" w:hRule="exact"/>
        </w:trPr>
        <w:tc>
          <w:tcPr>
            <w:tcW w:w="333" w:type="dxa"/>
          </w:tcPr>
          <w:p>
            <w:pPr>
              <w:pStyle w:val="TableParagraph"/>
              <w:rPr>
                <w:rFonts w:ascii="Times New Roman"/>
                <w:sz w:val="18"/>
              </w:rPr>
            </w:pPr>
          </w:p>
          <w:p>
            <w:pPr>
              <w:pStyle w:val="TableParagraph"/>
              <w:spacing w:before="106"/>
              <w:ind w:left="16" w:right="76"/>
              <w:jc w:val="center"/>
              <w:rPr>
                <w:b/>
                <w:sz w:val="18"/>
              </w:rPr>
            </w:pPr>
            <w:r>
              <w:rPr>
                <w:b/>
                <w:sz w:val="18"/>
              </w:rPr>
              <w:t>19</w:t>
            </w:r>
          </w:p>
        </w:tc>
        <w:tc>
          <w:tcPr>
            <w:tcW w:w="7024" w:type="dxa"/>
          </w:tcPr>
          <w:p>
            <w:pPr>
              <w:pStyle w:val="TableParagraph"/>
              <w:rPr>
                <w:rFonts w:ascii="Times New Roman"/>
                <w:sz w:val="18"/>
              </w:rPr>
            </w:pPr>
          </w:p>
          <w:p>
            <w:pPr>
              <w:pStyle w:val="TableParagraph"/>
              <w:spacing w:before="106"/>
              <w:ind w:left="97"/>
              <w:rPr>
                <w:b/>
                <w:sz w:val="18"/>
              </w:rPr>
            </w:pPr>
            <w:r>
              <w:rPr>
                <w:b/>
                <w:sz w:val="18"/>
              </w:rPr>
              <w:t>Remuneration of Auditors</w:t>
            </w:r>
          </w:p>
        </w:tc>
        <w:tc>
          <w:tcPr>
            <w:tcW w:w="1471" w:type="dxa"/>
            <w:tcBorders>
              <w:top w:val="single" w:sz="0" w:space="0" w:color="000000"/>
            </w:tcBorders>
          </w:tcPr>
          <w:p>
            <w:pPr/>
          </w:p>
        </w:tc>
        <w:tc>
          <w:tcPr>
            <w:tcW w:w="1123" w:type="dxa"/>
            <w:tcBorders>
              <w:top w:val="single" w:sz="0" w:space="0" w:color="000000"/>
            </w:tcBorders>
          </w:tcPr>
          <w:p>
            <w:pPr/>
          </w:p>
        </w:tc>
      </w:tr>
      <w:tr>
        <w:trPr>
          <w:trHeight w:val="257" w:hRule="exact"/>
        </w:trPr>
        <w:tc>
          <w:tcPr>
            <w:tcW w:w="333" w:type="dxa"/>
          </w:tcPr>
          <w:p>
            <w:pPr/>
          </w:p>
        </w:tc>
        <w:tc>
          <w:tcPr>
            <w:tcW w:w="7024" w:type="dxa"/>
          </w:tcPr>
          <w:p>
            <w:pPr/>
          </w:p>
        </w:tc>
        <w:tc>
          <w:tcPr>
            <w:tcW w:w="1471" w:type="dxa"/>
          </w:tcPr>
          <w:p>
            <w:pPr>
              <w:pStyle w:val="TableParagraph"/>
              <w:spacing w:before="7"/>
              <w:ind w:left="448"/>
              <w:rPr>
                <w:b/>
                <w:sz w:val="18"/>
              </w:rPr>
            </w:pPr>
            <w:r>
              <w:rPr>
                <w:b/>
                <w:sz w:val="18"/>
              </w:rPr>
              <w:t>2017</w:t>
            </w:r>
          </w:p>
        </w:tc>
        <w:tc>
          <w:tcPr>
            <w:tcW w:w="1123" w:type="dxa"/>
          </w:tcPr>
          <w:p>
            <w:pPr>
              <w:pStyle w:val="TableParagraph"/>
              <w:spacing w:before="7"/>
              <w:ind w:left="261"/>
              <w:rPr>
                <w:b/>
                <w:sz w:val="18"/>
              </w:rPr>
            </w:pPr>
            <w:r>
              <w:rPr>
                <w:b/>
                <w:sz w:val="18"/>
              </w:rPr>
              <w:t>2016</w:t>
            </w:r>
          </w:p>
        </w:tc>
      </w:tr>
      <w:tr>
        <w:trPr>
          <w:trHeight w:val="328" w:hRule="exact"/>
        </w:trPr>
        <w:tc>
          <w:tcPr>
            <w:tcW w:w="333" w:type="dxa"/>
          </w:tcPr>
          <w:p>
            <w:pPr/>
          </w:p>
        </w:tc>
        <w:tc>
          <w:tcPr>
            <w:tcW w:w="7024" w:type="dxa"/>
          </w:tcPr>
          <w:p>
            <w:pPr/>
          </w:p>
        </w:tc>
        <w:tc>
          <w:tcPr>
            <w:tcW w:w="1471" w:type="dxa"/>
          </w:tcPr>
          <w:p>
            <w:pPr>
              <w:pStyle w:val="TableParagraph"/>
              <w:spacing w:before="24"/>
              <w:ind w:right="171"/>
              <w:jc w:val="center"/>
              <w:rPr>
                <w:b/>
                <w:sz w:val="18"/>
              </w:rPr>
            </w:pPr>
            <w:r>
              <w:rPr>
                <w:b/>
                <w:w w:val="99"/>
                <w:sz w:val="18"/>
              </w:rPr>
              <w:t>$</w:t>
            </w:r>
          </w:p>
        </w:tc>
        <w:tc>
          <w:tcPr>
            <w:tcW w:w="1123" w:type="dxa"/>
          </w:tcPr>
          <w:p>
            <w:pPr>
              <w:pStyle w:val="TableParagraph"/>
              <w:spacing w:before="24"/>
              <w:ind w:right="197"/>
              <w:jc w:val="center"/>
              <w:rPr>
                <w:b/>
                <w:sz w:val="18"/>
              </w:rPr>
            </w:pPr>
            <w:r>
              <w:rPr>
                <w:b/>
                <w:w w:val="99"/>
                <w:sz w:val="18"/>
              </w:rPr>
              <w:t>$</w:t>
            </w:r>
          </w:p>
        </w:tc>
      </w:tr>
      <w:tr>
        <w:trPr>
          <w:trHeight w:val="309" w:hRule="exact"/>
        </w:trPr>
        <w:tc>
          <w:tcPr>
            <w:tcW w:w="333" w:type="dxa"/>
          </w:tcPr>
          <w:p>
            <w:pPr/>
          </w:p>
        </w:tc>
        <w:tc>
          <w:tcPr>
            <w:tcW w:w="7024" w:type="dxa"/>
          </w:tcPr>
          <w:p>
            <w:pPr>
              <w:pStyle w:val="TableParagraph"/>
              <w:spacing w:before="78"/>
              <w:ind w:left="125"/>
              <w:rPr>
                <w:sz w:val="18"/>
              </w:rPr>
            </w:pPr>
            <w:r>
              <w:rPr>
                <w:sz w:val="18"/>
              </w:rPr>
              <w:t>Audit of financial statements</w:t>
            </w:r>
          </w:p>
        </w:tc>
        <w:tc>
          <w:tcPr>
            <w:tcW w:w="1471" w:type="dxa"/>
          </w:tcPr>
          <w:p>
            <w:pPr/>
          </w:p>
        </w:tc>
        <w:tc>
          <w:tcPr>
            <w:tcW w:w="1123" w:type="dxa"/>
          </w:tcPr>
          <w:p>
            <w:pPr/>
          </w:p>
        </w:tc>
      </w:tr>
      <w:tr>
        <w:trPr>
          <w:trHeight w:val="248" w:hRule="exact"/>
        </w:trPr>
        <w:tc>
          <w:tcPr>
            <w:tcW w:w="333" w:type="dxa"/>
          </w:tcPr>
          <w:p>
            <w:pPr/>
          </w:p>
        </w:tc>
        <w:tc>
          <w:tcPr>
            <w:tcW w:w="7024" w:type="dxa"/>
          </w:tcPr>
          <w:p>
            <w:pPr>
              <w:pStyle w:val="TableParagraph"/>
              <w:spacing w:before="6"/>
              <w:ind w:left="125"/>
              <w:rPr>
                <w:sz w:val="18"/>
              </w:rPr>
            </w:pPr>
            <w:r>
              <w:rPr>
                <w:sz w:val="18"/>
              </w:rPr>
              <w:t>Fees paid to the Audit Office of NSW</w:t>
            </w:r>
          </w:p>
        </w:tc>
        <w:tc>
          <w:tcPr>
            <w:tcW w:w="1471" w:type="dxa"/>
            <w:tcBorders>
              <w:bottom w:val="single" w:sz="0" w:space="0" w:color="000000"/>
            </w:tcBorders>
          </w:tcPr>
          <w:p>
            <w:pPr>
              <w:pStyle w:val="TableParagraph"/>
              <w:spacing w:before="4"/>
              <w:ind w:right="258"/>
              <w:jc w:val="right"/>
              <w:rPr>
                <w:b/>
                <w:sz w:val="18"/>
              </w:rPr>
            </w:pPr>
            <w:r>
              <w:rPr>
                <w:b/>
                <w:w w:val="95"/>
                <w:sz w:val="18"/>
              </w:rPr>
              <w:t>36,080</w:t>
            </w:r>
          </w:p>
        </w:tc>
        <w:tc>
          <w:tcPr>
            <w:tcW w:w="1123" w:type="dxa"/>
            <w:tcBorders>
              <w:bottom w:val="single" w:sz="0" w:space="0" w:color="000000"/>
            </w:tcBorders>
          </w:tcPr>
          <w:p>
            <w:pPr>
              <w:pStyle w:val="TableParagraph"/>
              <w:spacing w:before="4"/>
              <w:ind w:right="83"/>
              <w:jc w:val="right"/>
              <w:rPr>
                <w:sz w:val="18"/>
              </w:rPr>
            </w:pPr>
            <w:r>
              <w:rPr>
                <w:w w:val="95"/>
                <w:sz w:val="18"/>
              </w:rPr>
              <w:t>35,200</w:t>
            </w:r>
          </w:p>
        </w:tc>
      </w:tr>
      <w:tr>
        <w:trPr>
          <w:trHeight w:val="353" w:hRule="exact"/>
        </w:trPr>
        <w:tc>
          <w:tcPr>
            <w:tcW w:w="333" w:type="dxa"/>
          </w:tcPr>
          <w:p>
            <w:pPr/>
          </w:p>
        </w:tc>
        <w:tc>
          <w:tcPr>
            <w:tcW w:w="7024" w:type="dxa"/>
          </w:tcPr>
          <w:p>
            <w:pPr>
              <w:pStyle w:val="TableParagraph"/>
              <w:spacing w:before="123"/>
              <w:ind w:left="125"/>
              <w:rPr>
                <w:b/>
                <w:sz w:val="18"/>
              </w:rPr>
            </w:pPr>
            <w:r>
              <w:rPr>
                <w:b/>
                <w:sz w:val="18"/>
              </w:rPr>
              <w:t>Total paid for audit (inclusive of GST)</w:t>
            </w:r>
          </w:p>
        </w:tc>
        <w:tc>
          <w:tcPr>
            <w:tcW w:w="1471" w:type="dxa"/>
            <w:tcBorders>
              <w:top w:val="single" w:sz="0" w:space="0" w:color="000000"/>
              <w:bottom w:val="single" w:sz="0" w:space="0" w:color="000000"/>
            </w:tcBorders>
          </w:tcPr>
          <w:p>
            <w:pPr>
              <w:pStyle w:val="TableParagraph"/>
              <w:spacing w:before="122"/>
              <w:ind w:right="258"/>
              <w:jc w:val="right"/>
              <w:rPr>
                <w:b/>
                <w:sz w:val="18"/>
              </w:rPr>
            </w:pPr>
            <w:r>
              <w:rPr>
                <w:b/>
                <w:w w:val="95"/>
                <w:sz w:val="18"/>
              </w:rPr>
              <w:t>36,080</w:t>
            </w:r>
          </w:p>
        </w:tc>
        <w:tc>
          <w:tcPr>
            <w:tcW w:w="1123" w:type="dxa"/>
            <w:tcBorders>
              <w:top w:val="single" w:sz="0" w:space="0" w:color="000000"/>
              <w:bottom w:val="single" w:sz="0" w:space="0" w:color="000000"/>
            </w:tcBorders>
          </w:tcPr>
          <w:p>
            <w:pPr>
              <w:pStyle w:val="TableParagraph"/>
              <w:spacing w:before="122"/>
              <w:ind w:right="83"/>
              <w:jc w:val="right"/>
              <w:rPr>
                <w:sz w:val="18"/>
              </w:rPr>
            </w:pPr>
            <w:r>
              <w:rPr>
                <w:w w:val="95"/>
                <w:sz w:val="18"/>
              </w:rPr>
              <w:t>35,200</w:t>
            </w:r>
          </w:p>
        </w:tc>
      </w:tr>
      <w:tr>
        <w:trPr>
          <w:trHeight w:val="674" w:hRule="exact"/>
        </w:trPr>
        <w:tc>
          <w:tcPr>
            <w:tcW w:w="333" w:type="dxa"/>
          </w:tcPr>
          <w:p>
            <w:pPr>
              <w:pStyle w:val="TableParagraph"/>
              <w:rPr>
                <w:rFonts w:ascii="Times New Roman"/>
                <w:sz w:val="18"/>
              </w:rPr>
            </w:pPr>
          </w:p>
          <w:p>
            <w:pPr>
              <w:pStyle w:val="TableParagraph"/>
              <w:spacing w:before="106"/>
              <w:ind w:left="16" w:right="76"/>
              <w:jc w:val="center"/>
              <w:rPr>
                <w:b/>
                <w:sz w:val="18"/>
              </w:rPr>
            </w:pPr>
            <w:r>
              <w:rPr>
                <w:b/>
                <w:sz w:val="18"/>
              </w:rPr>
              <w:t>20</w:t>
            </w:r>
          </w:p>
        </w:tc>
        <w:tc>
          <w:tcPr>
            <w:tcW w:w="7024" w:type="dxa"/>
          </w:tcPr>
          <w:p>
            <w:pPr>
              <w:pStyle w:val="TableParagraph"/>
              <w:rPr>
                <w:rFonts w:ascii="Times New Roman"/>
                <w:sz w:val="18"/>
              </w:rPr>
            </w:pPr>
          </w:p>
          <w:p>
            <w:pPr>
              <w:pStyle w:val="TableParagraph"/>
              <w:spacing w:before="106"/>
              <w:ind w:left="97"/>
              <w:rPr>
                <w:b/>
                <w:sz w:val="18"/>
              </w:rPr>
            </w:pPr>
            <w:r>
              <w:rPr>
                <w:b/>
                <w:sz w:val="18"/>
              </w:rPr>
              <w:t>Contingencies</w:t>
            </w:r>
          </w:p>
        </w:tc>
        <w:tc>
          <w:tcPr>
            <w:tcW w:w="1471" w:type="dxa"/>
            <w:tcBorders>
              <w:top w:val="single" w:sz="0" w:space="0" w:color="000000"/>
            </w:tcBorders>
          </w:tcPr>
          <w:p>
            <w:pPr/>
          </w:p>
        </w:tc>
        <w:tc>
          <w:tcPr>
            <w:tcW w:w="1123" w:type="dxa"/>
            <w:tcBorders>
              <w:top w:val="single" w:sz="0" w:space="0" w:color="000000"/>
            </w:tcBorders>
          </w:tcPr>
          <w:p>
            <w:pPr/>
          </w:p>
        </w:tc>
      </w:tr>
      <w:tr>
        <w:trPr>
          <w:trHeight w:val="494" w:hRule="exact"/>
        </w:trPr>
        <w:tc>
          <w:tcPr>
            <w:tcW w:w="333" w:type="dxa"/>
          </w:tcPr>
          <w:p>
            <w:pPr/>
          </w:p>
        </w:tc>
        <w:tc>
          <w:tcPr>
            <w:tcW w:w="7024" w:type="dxa"/>
          </w:tcPr>
          <w:p>
            <w:pPr>
              <w:pStyle w:val="TableParagraph"/>
              <w:spacing w:before="134"/>
              <w:ind w:left="97"/>
              <w:rPr>
                <w:sz w:val="18"/>
              </w:rPr>
            </w:pPr>
            <w:r>
              <w:rPr>
                <w:sz w:val="18"/>
              </w:rPr>
              <w:t>The Company had no contingent liabilities at 31 December 2017 (2016: $Nil).</w:t>
            </w:r>
          </w:p>
        </w:tc>
        <w:tc>
          <w:tcPr>
            <w:tcW w:w="1471" w:type="dxa"/>
          </w:tcPr>
          <w:p>
            <w:pPr/>
          </w:p>
        </w:tc>
        <w:tc>
          <w:tcPr>
            <w:tcW w:w="1123" w:type="dxa"/>
          </w:tcPr>
          <w:p>
            <w:pPr/>
          </w:p>
        </w:tc>
      </w:tr>
      <w:tr>
        <w:trPr>
          <w:trHeight w:val="504" w:hRule="exact"/>
        </w:trPr>
        <w:tc>
          <w:tcPr>
            <w:tcW w:w="333" w:type="dxa"/>
          </w:tcPr>
          <w:p>
            <w:pPr>
              <w:pStyle w:val="TableParagraph"/>
              <w:spacing w:before="134"/>
              <w:ind w:left="16" w:right="76"/>
              <w:jc w:val="center"/>
              <w:rPr>
                <w:b/>
                <w:sz w:val="18"/>
              </w:rPr>
            </w:pPr>
            <w:r>
              <w:rPr>
                <w:b/>
                <w:sz w:val="18"/>
              </w:rPr>
              <w:t>21</w:t>
            </w:r>
          </w:p>
        </w:tc>
        <w:tc>
          <w:tcPr>
            <w:tcW w:w="7024" w:type="dxa"/>
          </w:tcPr>
          <w:p>
            <w:pPr>
              <w:pStyle w:val="TableParagraph"/>
              <w:spacing w:before="134"/>
              <w:ind w:left="97"/>
              <w:rPr>
                <w:b/>
                <w:sz w:val="18"/>
              </w:rPr>
            </w:pPr>
            <w:r>
              <w:rPr>
                <w:b/>
                <w:sz w:val="18"/>
              </w:rPr>
              <w:t>Commitments</w:t>
            </w:r>
          </w:p>
        </w:tc>
        <w:tc>
          <w:tcPr>
            <w:tcW w:w="1471" w:type="dxa"/>
          </w:tcPr>
          <w:p>
            <w:pPr/>
          </w:p>
        </w:tc>
        <w:tc>
          <w:tcPr>
            <w:tcW w:w="1123" w:type="dxa"/>
          </w:tcPr>
          <w:p>
            <w:pPr/>
          </w:p>
        </w:tc>
      </w:tr>
      <w:tr>
        <w:trPr>
          <w:trHeight w:val="379" w:hRule="exact"/>
        </w:trPr>
        <w:tc>
          <w:tcPr>
            <w:tcW w:w="333" w:type="dxa"/>
          </w:tcPr>
          <w:p>
            <w:pPr/>
          </w:p>
        </w:tc>
        <w:tc>
          <w:tcPr>
            <w:tcW w:w="7024" w:type="dxa"/>
          </w:tcPr>
          <w:p>
            <w:pPr>
              <w:pStyle w:val="TableParagraph"/>
              <w:tabs>
                <w:tab w:pos="664" w:val="left" w:leader="none"/>
              </w:tabs>
              <w:spacing w:before="143"/>
              <w:ind w:left="97"/>
              <w:rPr>
                <w:sz w:val="18"/>
              </w:rPr>
            </w:pPr>
            <w:r>
              <w:rPr>
                <w:b/>
                <w:sz w:val="18"/>
              </w:rPr>
              <w:t>(a)</w:t>
              <w:tab/>
            </w:r>
            <w:r>
              <w:rPr>
                <w:sz w:val="18"/>
              </w:rPr>
              <w:t>Operating lease</w:t>
            </w:r>
            <w:r>
              <w:rPr>
                <w:spacing w:val="-1"/>
                <w:sz w:val="18"/>
              </w:rPr>
              <w:t> </w:t>
            </w:r>
            <w:r>
              <w:rPr>
                <w:sz w:val="18"/>
              </w:rPr>
              <w:t>commitments</w:t>
            </w:r>
          </w:p>
        </w:tc>
        <w:tc>
          <w:tcPr>
            <w:tcW w:w="1471" w:type="dxa"/>
          </w:tcPr>
          <w:p>
            <w:pPr/>
          </w:p>
        </w:tc>
        <w:tc>
          <w:tcPr>
            <w:tcW w:w="1123" w:type="dxa"/>
          </w:tcPr>
          <w:p>
            <w:pPr/>
          </w:p>
        </w:tc>
      </w:tr>
      <w:tr>
        <w:trPr>
          <w:trHeight w:val="259" w:hRule="exact"/>
        </w:trPr>
        <w:tc>
          <w:tcPr>
            <w:tcW w:w="333" w:type="dxa"/>
          </w:tcPr>
          <w:p>
            <w:pPr/>
          </w:p>
        </w:tc>
        <w:tc>
          <w:tcPr>
            <w:tcW w:w="7024" w:type="dxa"/>
          </w:tcPr>
          <w:p>
            <w:pPr/>
          </w:p>
        </w:tc>
        <w:tc>
          <w:tcPr>
            <w:tcW w:w="1471" w:type="dxa"/>
          </w:tcPr>
          <w:p>
            <w:pPr>
              <w:pStyle w:val="TableParagraph"/>
              <w:spacing w:before="9"/>
              <w:ind w:left="447"/>
              <w:rPr>
                <w:b/>
                <w:sz w:val="18"/>
              </w:rPr>
            </w:pPr>
            <w:r>
              <w:rPr>
                <w:b/>
                <w:sz w:val="18"/>
              </w:rPr>
              <w:t>2017</w:t>
            </w:r>
          </w:p>
        </w:tc>
        <w:tc>
          <w:tcPr>
            <w:tcW w:w="1123" w:type="dxa"/>
          </w:tcPr>
          <w:p>
            <w:pPr>
              <w:pStyle w:val="TableParagraph"/>
              <w:spacing w:before="9"/>
              <w:ind w:left="260"/>
              <w:rPr>
                <w:b/>
                <w:sz w:val="18"/>
              </w:rPr>
            </w:pPr>
            <w:r>
              <w:rPr>
                <w:b/>
                <w:sz w:val="18"/>
              </w:rPr>
              <w:t>2016</w:t>
            </w:r>
          </w:p>
        </w:tc>
      </w:tr>
      <w:tr>
        <w:trPr>
          <w:trHeight w:val="271" w:hRule="exact"/>
        </w:trPr>
        <w:tc>
          <w:tcPr>
            <w:tcW w:w="333" w:type="dxa"/>
          </w:tcPr>
          <w:p>
            <w:pPr/>
          </w:p>
        </w:tc>
        <w:tc>
          <w:tcPr>
            <w:tcW w:w="7024" w:type="dxa"/>
          </w:tcPr>
          <w:p>
            <w:pPr/>
          </w:p>
        </w:tc>
        <w:tc>
          <w:tcPr>
            <w:tcW w:w="1471" w:type="dxa"/>
          </w:tcPr>
          <w:p>
            <w:pPr>
              <w:pStyle w:val="TableParagraph"/>
              <w:spacing w:before="24"/>
              <w:ind w:right="173"/>
              <w:jc w:val="center"/>
              <w:rPr>
                <w:b/>
                <w:sz w:val="18"/>
              </w:rPr>
            </w:pPr>
            <w:r>
              <w:rPr>
                <w:b/>
                <w:w w:val="99"/>
                <w:sz w:val="18"/>
              </w:rPr>
              <w:t>$</w:t>
            </w:r>
          </w:p>
        </w:tc>
        <w:tc>
          <w:tcPr>
            <w:tcW w:w="1123" w:type="dxa"/>
          </w:tcPr>
          <w:p>
            <w:pPr>
              <w:pStyle w:val="TableParagraph"/>
              <w:spacing w:before="24"/>
              <w:ind w:right="200"/>
              <w:jc w:val="center"/>
              <w:rPr>
                <w:b/>
                <w:sz w:val="18"/>
              </w:rPr>
            </w:pPr>
            <w:r>
              <w:rPr>
                <w:b/>
                <w:w w:val="99"/>
                <w:sz w:val="18"/>
              </w:rPr>
              <w:t>$</w:t>
            </w:r>
          </w:p>
        </w:tc>
      </w:tr>
      <w:tr>
        <w:trPr>
          <w:trHeight w:val="471" w:hRule="exact"/>
        </w:trPr>
        <w:tc>
          <w:tcPr>
            <w:tcW w:w="333" w:type="dxa"/>
          </w:tcPr>
          <w:p>
            <w:pPr/>
          </w:p>
        </w:tc>
        <w:tc>
          <w:tcPr>
            <w:tcW w:w="7024" w:type="dxa"/>
          </w:tcPr>
          <w:p>
            <w:pPr>
              <w:pStyle w:val="TableParagraph"/>
              <w:spacing w:before="21"/>
              <w:ind w:left="664" w:right="1438"/>
              <w:rPr>
                <w:sz w:val="18"/>
              </w:rPr>
            </w:pPr>
            <w:r>
              <w:rPr>
                <w:sz w:val="18"/>
              </w:rPr>
              <w:t>Commitments for minimum lease payments in relation to non- cancellable operating leases are payable as follows:</w:t>
            </w:r>
          </w:p>
        </w:tc>
        <w:tc>
          <w:tcPr>
            <w:tcW w:w="1471" w:type="dxa"/>
          </w:tcPr>
          <w:p>
            <w:pPr/>
          </w:p>
        </w:tc>
        <w:tc>
          <w:tcPr>
            <w:tcW w:w="1123" w:type="dxa"/>
          </w:tcPr>
          <w:p>
            <w:pPr/>
          </w:p>
        </w:tc>
      </w:tr>
      <w:tr>
        <w:trPr>
          <w:trHeight w:val="263" w:hRule="exact"/>
        </w:trPr>
        <w:tc>
          <w:tcPr>
            <w:tcW w:w="333" w:type="dxa"/>
          </w:tcPr>
          <w:p>
            <w:pPr/>
          </w:p>
        </w:tc>
        <w:tc>
          <w:tcPr>
            <w:tcW w:w="7024" w:type="dxa"/>
          </w:tcPr>
          <w:p>
            <w:pPr>
              <w:pStyle w:val="TableParagraph"/>
              <w:spacing w:before="18"/>
              <w:ind w:left="664"/>
              <w:rPr>
                <w:sz w:val="18"/>
              </w:rPr>
            </w:pPr>
            <w:r>
              <w:rPr>
                <w:sz w:val="18"/>
              </w:rPr>
              <w:t>Within one year</w:t>
            </w:r>
          </w:p>
        </w:tc>
        <w:tc>
          <w:tcPr>
            <w:tcW w:w="1471" w:type="dxa"/>
          </w:tcPr>
          <w:p>
            <w:pPr>
              <w:pStyle w:val="TableParagraph"/>
              <w:spacing w:before="19"/>
              <w:ind w:right="259"/>
              <w:jc w:val="right"/>
              <w:rPr>
                <w:b/>
                <w:sz w:val="18"/>
              </w:rPr>
            </w:pPr>
            <w:r>
              <w:rPr>
                <w:b/>
                <w:w w:val="95"/>
                <w:sz w:val="18"/>
              </w:rPr>
              <w:t>36,895</w:t>
            </w:r>
          </w:p>
        </w:tc>
        <w:tc>
          <w:tcPr>
            <w:tcW w:w="1123" w:type="dxa"/>
          </w:tcPr>
          <w:p>
            <w:pPr>
              <w:pStyle w:val="TableParagraph"/>
              <w:spacing w:before="19"/>
              <w:ind w:right="84"/>
              <w:jc w:val="right"/>
              <w:rPr>
                <w:sz w:val="18"/>
              </w:rPr>
            </w:pPr>
            <w:r>
              <w:rPr>
                <w:w w:val="95"/>
                <w:sz w:val="18"/>
              </w:rPr>
              <w:t>24,566</w:t>
            </w:r>
          </w:p>
        </w:tc>
      </w:tr>
      <w:tr>
        <w:trPr>
          <w:trHeight w:val="263" w:hRule="exact"/>
        </w:trPr>
        <w:tc>
          <w:tcPr>
            <w:tcW w:w="333" w:type="dxa"/>
          </w:tcPr>
          <w:p>
            <w:pPr/>
          </w:p>
        </w:tc>
        <w:tc>
          <w:tcPr>
            <w:tcW w:w="7024" w:type="dxa"/>
          </w:tcPr>
          <w:p>
            <w:pPr>
              <w:pStyle w:val="TableParagraph"/>
              <w:spacing w:before="18"/>
              <w:ind w:left="664"/>
              <w:rPr>
                <w:sz w:val="18"/>
              </w:rPr>
            </w:pPr>
            <w:r>
              <w:rPr>
                <w:sz w:val="18"/>
              </w:rPr>
              <w:t>Between one and five years</w:t>
            </w:r>
          </w:p>
        </w:tc>
        <w:tc>
          <w:tcPr>
            <w:tcW w:w="1471" w:type="dxa"/>
            <w:tcBorders>
              <w:bottom w:val="single" w:sz="0" w:space="0" w:color="000000"/>
            </w:tcBorders>
          </w:tcPr>
          <w:p>
            <w:pPr>
              <w:pStyle w:val="TableParagraph"/>
              <w:spacing w:before="19"/>
              <w:ind w:right="259"/>
              <w:jc w:val="right"/>
              <w:rPr>
                <w:b/>
                <w:sz w:val="18"/>
              </w:rPr>
            </w:pPr>
            <w:r>
              <w:rPr>
                <w:b/>
                <w:w w:val="95"/>
                <w:sz w:val="18"/>
              </w:rPr>
              <w:t>31,821</w:t>
            </w:r>
          </w:p>
        </w:tc>
        <w:tc>
          <w:tcPr>
            <w:tcW w:w="1123" w:type="dxa"/>
            <w:tcBorders>
              <w:bottom w:val="single" w:sz="0" w:space="0" w:color="000000"/>
            </w:tcBorders>
          </w:tcPr>
          <w:p>
            <w:pPr>
              <w:pStyle w:val="TableParagraph"/>
              <w:spacing w:before="19"/>
              <w:ind w:right="84"/>
              <w:jc w:val="right"/>
              <w:rPr>
                <w:sz w:val="18"/>
              </w:rPr>
            </w:pPr>
            <w:r>
              <w:rPr>
                <w:w w:val="95"/>
                <w:sz w:val="18"/>
              </w:rPr>
              <w:t>33,964</w:t>
            </w:r>
          </w:p>
        </w:tc>
      </w:tr>
      <w:tr>
        <w:trPr>
          <w:trHeight w:val="353" w:hRule="exact"/>
        </w:trPr>
        <w:tc>
          <w:tcPr>
            <w:tcW w:w="333" w:type="dxa"/>
          </w:tcPr>
          <w:p>
            <w:pPr/>
          </w:p>
        </w:tc>
        <w:tc>
          <w:tcPr>
            <w:tcW w:w="7024" w:type="dxa"/>
          </w:tcPr>
          <w:p>
            <w:pPr>
              <w:pStyle w:val="TableParagraph"/>
              <w:spacing w:before="123"/>
              <w:ind w:left="664"/>
              <w:rPr>
                <w:b/>
                <w:sz w:val="18"/>
              </w:rPr>
            </w:pPr>
            <w:r>
              <w:rPr>
                <w:b/>
                <w:sz w:val="18"/>
              </w:rPr>
              <w:t>Total future minimum lease payments</w:t>
            </w:r>
          </w:p>
        </w:tc>
        <w:tc>
          <w:tcPr>
            <w:tcW w:w="1471" w:type="dxa"/>
            <w:tcBorders>
              <w:top w:val="single" w:sz="0" w:space="0" w:color="000000"/>
              <w:bottom w:val="single" w:sz="0" w:space="0" w:color="000000"/>
            </w:tcBorders>
          </w:tcPr>
          <w:p>
            <w:pPr>
              <w:pStyle w:val="TableParagraph"/>
              <w:spacing w:before="122"/>
              <w:ind w:right="259"/>
              <w:jc w:val="right"/>
              <w:rPr>
                <w:b/>
                <w:sz w:val="18"/>
              </w:rPr>
            </w:pPr>
            <w:r>
              <w:rPr>
                <w:b/>
                <w:w w:val="95"/>
                <w:sz w:val="18"/>
              </w:rPr>
              <w:t>68,716</w:t>
            </w:r>
          </w:p>
        </w:tc>
        <w:tc>
          <w:tcPr>
            <w:tcW w:w="1123" w:type="dxa"/>
            <w:tcBorders>
              <w:top w:val="single" w:sz="0" w:space="0" w:color="000000"/>
              <w:bottom w:val="single" w:sz="0" w:space="0" w:color="000000"/>
            </w:tcBorders>
          </w:tcPr>
          <w:p>
            <w:pPr>
              <w:pStyle w:val="TableParagraph"/>
              <w:spacing w:before="122"/>
              <w:ind w:right="84"/>
              <w:jc w:val="right"/>
              <w:rPr>
                <w:sz w:val="18"/>
              </w:rPr>
            </w:pPr>
            <w:r>
              <w:rPr>
                <w:w w:val="95"/>
                <w:sz w:val="18"/>
              </w:rPr>
              <w:t>58,530</w:t>
            </w:r>
          </w:p>
        </w:tc>
      </w:tr>
      <w:tr>
        <w:trPr>
          <w:trHeight w:val="608" w:hRule="exact"/>
        </w:trPr>
        <w:tc>
          <w:tcPr>
            <w:tcW w:w="333" w:type="dxa"/>
          </w:tcPr>
          <w:p>
            <w:pPr/>
          </w:p>
        </w:tc>
        <w:tc>
          <w:tcPr>
            <w:tcW w:w="7024" w:type="dxa"/>
          </w:tcPr>
          <w:p>
            <w:pPr>
              <w:pStyle w:val="TableParagraph"/>
              <w:rPr>
                <w:rFonts w:ascii="Times New Roman"/>
                <w:sz w:val="18"/>
              </w:rPr>
            </w:pPr>
          </w:p>
          <w:p>
            <w:pPr>
              <w:pStyle w:val="TableParagraph"/>
              <w:tabs>
                <w:tab w:pos="664" w:val="left" w:leader="none"/>
              </w:tabs>
              <w:spacing w:before="125"/>
              <w:ind w:left="97"/>
              <w:rPr>
                <w:sz w:val="18"/>
              </w:rPr>
            </w:pPr>
            <w:r>
              <w:rPr>
                <w:b/>
                <w:sz w:val="18"/>
              </w:rPr>
              <w:t>(b)</w:t>
              <w:tab/>
            </w:r>
            <w:r>
              <w:rPr>
                <w:sz w:val="18"/>
              </w:rPr>
              <w:t>Capital expenditure</w:t>
            </w:r>
            <w:r>
              <w:rPr>
                <w:spacing w:val="-1"/>
                <w:sz w:val="18"/>
              </w:rPr>
              <w:t> </w:t>
            </w:r>
            <w:r>
              <w:rPr>
                <w:sz w:val="18"/>
              </w:rPr>
              <w:t>commitments</w:t>
            </w:r>
          </w:p>
        </w:tc>
        <w:tc>
          <w:tcPr>
            <w:tcW w:w="1471" w:type="dxa"/>
            <w:tcBorders>
              <w:top w:val="single" w:sz="0" w:space="0" w:color="000000"/>
            </w:tcBorders>
          </w:tcPr>
          <w:p>
            <w:pPr/>
          </w:p>
        </w:tc>
        <w:tc>
          <w:tcPr>
            <w:tcW w:w="1123" w:type="dxa"/>
            <w:tcBorders>
              <w:top w:val="single" w:sz="0" w:space="0" w:color="000000"/>
            </w:tcBorders>
          </w:tcPr>
          <w:p>
            <w:pPr/>
          </w:p>
        </w:tc>
      </w:tr>
      <w:tr>
        <w:trPr>
          <w:trHeight w:val="279" w:hRule="exact"/>
        </w:trPr>
        <w:tc>
          <w:tcPr>
            <w:tcW w:w="333" w:type="dxa"/>
          </w:tcPr>
          <w:p>
            <w:pPr/>
          </w:p>
        </w:tc>
        <w:tc>
          <w:tcPr>
            <w:tcW w:w="7024" w:type="dxa"/>
          </w:tcPr>
          <w:p>
            <w:pPr>
              <w:pStyle w:val="TableParagraph"/>
              <w:spacing w:before="49"/>
              <w:ind w:left="664"/>
              <w:rPr>
                <w:sz w:val="18"/>
              </w:rPr>
            </w:pPr>
            <w:r>
              <w:rPr>
                <w:sz w:val="18"/>
              </w:rPr>
              <w:t>Property, plant and equipment</w:t>
            </w:r>
          </w:p>
        </w:tc>
        <w:tc>
          <w:tcPr>
            <w:tcW w:w="1471" w:type="dxa"/>
          </w:tcPr>
          <w:p>
            <w:pPr/>
          </w:p>
        </w:tc>
        <w:tc>
          <w:tcPr>
            <w:tcW w:w="1123" w:type="dxa"/>
          </w:tcPr>
          <w:p>
            <w:pPr/>
          </w:p>
        </w:tc>
      </w:tr>
      <w:tr>
        <w:trPr>
          <w:trHeight w:val="250" w:hRule="exact"/>
        </w:trPr>
        <w:tc>
          <w:tcPr>
            <w:tcW w:w="333" w:type="dxa"/>
          </w:tcPr>
          <w:p>
            <w:pPr/>
          </w:p>
        </w:tc>
        <w:tc>
          <w:tcPr>
            <w:tcW w:w="7024" w:type="dxa"/>
          </w:tcPr>
          <w:p>
            <w:pPr>
              <w:pStyle w:val="TableParagraph"/>
              <w:spacing w:before="4"/>
              <w:ind w:left="664"/>
              <w:rPr>
                <w:sz w:val="18"/>
              </w:rPr>
            </w:pPr>
            <w:r>
              <w:rPr>
                <w:sz w:val="18"/>
              </w:rPr>
              <w:t>Within one year</w:t>
            </w:r>
          </w:p>
        </w:tc>
        <w:tc>
          <w:tcPr>
            <w:tcW w:w="1471" w:type="dxa"/>
          </w:tcPr>
          <w:p>
            <w:pPr>
              <w:pStyle w:val="TableParagraph"/>
              <w:spacing w:before="5"/>
              <w:ind w:right="258"/>
              <w:jc w:val="right"/>
              <w:rPr>
                <w:b/>
                <w:sz w:val="18"/>
              </w:rPr>
            </w:pPr>
            <w:r>
              <w:rPr>
                <w:b/>
                <w:w w:val="95"/>
                <w:sz w:val="18"/>
              </w:rPr>
              <w:t>12,807</w:t>
            </w:r>
          </w:p>
        </w:tc>
        <w:tc>
          <w:tcPr>
            <w:tcW w:w="1123" w:type="dxa"/>
          </w:tcPr>
          <w:p>
            <w:pPr>
              <w:pStyle w:val="TableParagraph"/>
              <w:spacing w:before="5"/>
              <w:ind w:right="227"/>
              <w:jc w:val="right"/>
              <w:rPr>
                <w:sz w:val="18"/>
              </w:rPr>
            </w:pPr>
            <w:r>
              <w:rPr>
                <w:w w:val="99"/>
                <w:sz w:val="18"/>
              </w:rPr>
              <w:t>-</w:t>
            </w:r>
          </w:p>
        </w:tc>
      </w:tr>
      <w:tr>
        <w:trPr>
          <w:trHeight w:val="263" w:hRule="exact"/>
        </w:trPr>
        <w:tc>
          <w:tcPr>
            <w:tcW w:w="333" w:type="dxa"/>
          </w:tcPr>
          <w:p>
            <w:pPr/>
          </w:p>
        </w:tc>
        <w:tc>
          <w:tcPr>
            <w:tcW w:w="7024" w:type="dxa"/>
          </w:tcPr>
          <w:p>
            <w:pPr>
              <w:pStyle w:val="TableParagraph"/>
              <w:spacing w:before="18"/>
              <w:ind w:left="664"/>
              <w:rPr>
                <w:sz w:val="18"/>
              </w:rPr>
            </w:pPr>
            <w:r>
              <w:rPr>
                <w:sz w:val="18"/>
              </w:rPr>
              <w:t>Between one and five years</w:t>
            </w:r>
          </w:p>
        </w:tc>
        <w:tc>
          <w:tcPr>
            <w:tcW w:w="1471" w:type="dxa"/>
            <w:tcBorders>
              <w:bottom w:val="single" w:sz="0" w:space="0" w:color="000000"/>
            </w:tcBorders>
          </w:tcPr>
          <w:p>
            <w:pPr>
              <w:pStyle w:val="TableParagraph"/>
              <w:spacing w:before="19"/>
              <w:ind w:right="402"/>
              <w:jc w:val="right"/>
              <w:rPr>
                <w:b/>
                <w:sz w:val="18"/>
              </w:rPr>
            </w:pPr>
            <w:r>
              <w:rPr>
                <w:b/>
                <w:w w:val="99"/>
                <w:sz w:val="18"/>
              </w:rPr>
              <w:t>-</w:t>
            </w:r>
          </w:p>
        </w:tc>
        <w:tc>
          <w:tcPr>
            <w:tcW w:w="1123" w:type="dxa"/>
            <w:tcBorders>
              <w:bottom w:val="single" w:sz="0" w:space="0" w:color="000000"/>
            </w:tcBorders>
          </w:tcPr>
          <w:p>
            <w:pPr>
              <w:pStyle w:val="TableParagraph"/>
              <w:spacing w:before="19"/>
              <w:ind w:right="227"/>
              <w:jc w:val="right"/>
              <w:rPr>
                <w:sz w:val="18"/>
              </w:rPr>
            </w:pPr>
            <w:r>
              <w:rPr>
                <w:w w:val="99"/>
                <w:sz w:val="18"/>
              </w:rPr>
              <w:t>-</w:t>
            </w:r>
          </w:p>
        </w:tc>
      </w:tr>
      <w:tr>
        <w:trPr>
          <w:trHeight w:val="353" w:hRule="exact"/>
        </w:trPr>
        <w:tc>
          <w:tcPr>
            <w:tcW w:w="333" w:type="dxa"/>
          </w:tcPr>
          <w:p>
            <w:pPr/>
          </w:p>
        </w:tc>
        <w:tc>
          <w:tcPr>
            <w:tcW w:w="7024" w:type="dxa"/>
          </w:tcPr>
          <w:p>
            <w:pPr>
              <w:pStyle w:val="TableParagraph"/>
              <w:spacing w:before="123"/>
              <w:ind w:left="664"/>
              <w:rPr>
                <w:b/>
                <w:sz w:val="18"/>
              </w:rPr>
            </w:pPr>
            <w:r>
              <w:rPr>
                <w:b/>
                <w:sz w:val="18"/>
              </w:rPr>
              <w:t>Total capital expenditure commitments</w:t>
            </w:r>
          </w:p>
        </w:tc>
        <w:tc>
          <w:tcPr>
            <w:tcW w:w="1471" w:type="dxa"/>
            <w:tcBorders>
              <w:top w:val="single" w:sz="0" w:space="0" w:color="000000"/>
              <w:bottom w:val="single" w:sz="0" w:space="0" w:color="000000"/>
            </w:tcBorders>
          </w:tcPr>
          <w:p>
            <w:pPr>
              <w:pStyle w:val="TableParagraph"/>
              <w:spacing w:before="122"/>
              <w:ind w:right="258"/>
              <w:jc w:val="right"/>
              <w:rPr>
                <w:b/>
                <w:sz w:val="18"/>
              </w:rPr>
            </w:pPr>
            <w:r>
              <w:rPr>
                <w:b/>
                <w:w w:val="95"/>
                <w:sz w:val="18"/>
              </w:rPr>
              <w:t>12,807</w:t>
            </w:r>
          </w:p>
        </w:tc>
        <w:tc>
          <w:tcPr>
            <w:tcW w:w="1123" w:type="dxa"/>
            <w:tcBorders>
              <w:top w:val="single" w:sz="0" w:space="0" w:color="000000"/>
              <w:bottom w:val="single" w:sz="0" w:space="0" w:color="000000"/>
            </w:tcBorders>
          </w:tcPr>
          <w:p>
            <w:pPr>
              <w:pStyle w:val="TableParagraph"/>
              <w:spacing w:before="122"/>
              <w:ind w:right="227"/>
              <w:jc w:val="right"/>
              <w:rPr>
                <w:sz w:val="18"/>
              </w:rPr>
            </w:pPr>
            <w:r>
              <w:rPr>
                <w:w w:val="99"/>
                <w:sz w:val="18"/>
              </w:rPr>
              <w:t>-</w:t>
            </w:r>
          </w:p>
        </w:tc>
      </w:tr>
    </w:tbl>
    <w:p>
      <w:pPr>
        <w:spacing w:after="0"/>
        <w:jc w:val="right"/>
        <w:rPr>
          <w:sz w:val="18"/>
        </w:rPr>
        <w:sectPr>
          <w:pgSz w:w="11910" w:h="16840"/>
          <w:pgMar w:header="1038" w:footer="460" w:top="2440" w:bottom="700" w:left="860" w:right="860"/>
        </w:sectPr>
      </w:pPr>
    </w:p>
    <w:p>
      <w:pPr>
        <w:pStyle w:val="BodyText"/>
        <w:spacing w:before="8"/>
        <w:rPr>
          <w:rFonts w:ascii="Times New Roman"/>
        </w:rPr>
      </w:pPr>
    </w:p>
    <w:p>
      <w:pPr>
        <w:pStyle w:val="Heading9"/>
        <w:spacing w:before="77"/>
        <w:ind w:left="109" w:right="161"/>
      </w:pPr>
      <w:r>
        <w:rPr/>
        <w:t>22    Related party transactions</w:t>
      </w:r>
    </w:p>
    <w:p>
      <w:pPr>
        <w:pStyle w:val="BodyText"/>
        <w:spacing w:before="7"/>
        <w:rPr>
          <w:b/>
          <w:sz w:val="26"/>
        </w:rPr>
      </w:pPr>
    </w:p>
    <w:p>
      <w:pPr>
        <w:pStyle w:val="ListParagraph"/>
        <w:numPr>
          <w:ilvl w:val="0"/>
          <w:numId w:val="68"/>
        </w:numPr>
        <w:tabs>
          <w:tab w:pos="1072" w:val="left" w:leader="none"/>
        </w:tabs>
        <w:spacing w:line="240" w:lineRule="auto" w:before="0" w:after="0"/>
        <w:ind w:left="1071" w:right="0" w:hanging="566"/>
        <w:jc w:val="left"/>
        <w:rPr>
          <w:sz w:val="18"/>
        </w:rPr>
      </w:pPr>
      <w:r>
        <w:rPr>
          <w:sz w:val="18"/>
        </w:rPr>
        <w:t>Parent entity</w:t>
      </w:r>
    </w:p>
    <w:p>
      <w:pPr>
        <w:pStyle w:val="BodyText"/>
        <w:spacing w:before="4"/>
        <w:rPr>
          <w:sz w:val="25"/>
        </w:rPr>
      </w:pPr>
    </w:p>
    <w:p>
      <w:pPr>
        <w:pStyle w:val="BodyText"/>
        <w:ind w:left="1072" w:right="161"/>
      </w:pPr>
      <w:r>
        <w:rPr/>
        <w:t>The ultimate parent entity of the Company is Western Sydney University.</w:t>
      </w:r>
    </w:p>
    <w:p>
      <w:pPr>
        <w:pStyle w:val="BodyText"/>
        <w:spacing w:before="7"/>
        <w:rPr>
          <w:sz w:val="26"/>
        </w:rPr>
      </w:pPr>
    </w:p>
    <w:p>
      <w:pPr>
        <w:pStyle w:val="ListParagraph"/>
        <w:numPr>
          <w:ilvl w:val="0"/>
          <w:numId w:val="68"/>
        </w:numPr>
        <w:tabs>
          <w:tab w:pos="1072" w:val="left" w:leader="none"/>
        </w:tabs>
        <w:spacing w:line="240" w:lineRule="auto" w:before="0" w:after="0"/>
        <w:ind w:left="1071" w:right="0" w:hanging="566"/>
        <w:jc w:val="left"/>
        <w:rPr>
          <w:sz w:val="18"/>
        </w:rPr>
      </w:pPr>
      <w:r>
        <w:rPr>
          <w:sz w:val="18"/>
        </w:rPr>
        <w:t>Transactions with related</w:t>
      </w:r>
      <w:r>
        <w:rPr>
          <w:spacing w:val="-1"/>
          <w:sz w:val="18"/>
        </w:rPr>
        <w:t> </w:t>
      </w:r>
      <w:r>
        <w:rPr>
          <w:sz w:val="18"/>
        </w:rPr>
        <w:t>parties</w:t>
      </w:r>
    </w:p>
    <w:p>
      <w:pPr>
        <w:pStyle w:val="BodyText"/>
        <w:spacing w:before="4"/>
        <w:rPr>
          <w:sz w:val="25"/>
        </w:rPr>
      </w:pPr>
    </w:p>
    <w:p>
      <w:pPr>
        <w:pStyle w:val="BodyText"/>
        <w:ind w:left="1072" w:right="161"/>
      </w:pPr>
      <w:r>
        <w:rPr/>
        <w:t>The following transactions occurred with related parties:</w:t>
      </w:r>
    </w:p>
    <w:p>
      <w:pPr>
        <w:pStyle w:val="BodyText"/>
        <w:spacing w:before="11"/>
        <w:rPr>
          <w:sz w:val="19"/>
        </w:rPr>
      </w:pPr>
    </w:p>
    <w:p>
      <w:pPr>
        <w:spacing w:after="0"/>
        <w:rPr>
          <w:sz w:val="19"/>
        </w:rPr>
        <w:sectPr>
          <w:headerReference w:type="default" r:id="rId85"/>
          <w:pgSz w:w="11910" w:h="16840"/>
          <w:pgMar w:header="1038" w:footer="460" w:top="2440" w:bottom="700" w:left="900" w:right="860"/>
        </w:sectPr>
      </w:pPr>
    </w:p>
    <w:p>
      <w:pPr>
        <w:pStyle w:val="BodyText"/>
      </w:pPr>
    </w:p>
    <w:p>
      <w:pPr>
        <w:pStyle w:val="BodyText"/>
      </w:pPr>
    </w:p>
    <w:p>
      <w:pPr>
        <w:pStyle w:val="BodyText"/>
        <w:spacing w:before="2"/>
        <w:rPr>
          <w:sz w:val="25"/>
        </w:rPr>
      </w:pPr>
    </w:p>
    <w:p>
      <w:pPr>
        <w:pStyle w:val="Heading9"/>
        <w:ind w:left="1071" w:right="-19"/>
      </w:pPr>
      <w:r>
        <w:rPr/>
        <w:t>Sale of goods and services</w:t>
      </w:r>
    </w:p>
    <w:p>
      <w:pPr>
        <w:spacing w:before="77"/>
        <w:ind w:left="0" w:right="0" w:firstLine="0"/>
        <w:jc w:val="right"/>
        <w:rPr>
          <w:b/>
          <w:sz w:val="18"/>
        </w:rPr>
      </w:pPr>
      <w:r>
        <w:rPr/>
        <w:br w:type="column"/>
      </w:r>
      <w:r>
        <w:rPr>
          <w:b/>
          <w:sz w:val="18"/>
        </w:rPr>
        <w:t>2017</w:t>
      </w:r>
    </w:p>
    <w:p>
      <w:pPr>
        <w:spacing w:before="66"/>
        <w:ind w:left="0" w:right="148" w:firstLine="0"/>
        <w:jc w:val="right"/>
        <w:rPr>
          <w:b/>
          <w:sz w:val="18"/>
        </w:rPr>
      </w:pPr>
      <w:r>
        <w:rPr>
          <w:b/>
          <w:w w:val="99"/>
          <w:sz w:val="18"/>
        </w:rPr>
        <w:t>$</w:t>
      </w:r>
    </w:p>
    <w:p>
      <w:pPr>
        <w:spacing w:before="77"/>
        <w:ind w:left="844" w:right="565" w:firstLine="0"/>
        <w:jc w:val="center"/>
        <w:rPr>
          <w:b/>
          <w:sz w:val="18"/>
        </w:rPr>
      </w:pPr>
      <w:r>
        <w:rPr/>
        <w:br w:type="column"/>
      </w:r>
      <w:r>
        <w:rPr>
          <w:b/>
          <w:sz w:val="18"/>
        </w:rPr>
        <w:t>2016</w:t>
      </w:r>
    </w:p>
    <w:p>
      <w:pPr>
        <w:spacing w:before="66"/>
        <w:ind w:left="279" w:right="0" w:firstLine="0"/>
        <w:jc w:val="center"/>
        <w:rPr>
          <w:b/>
          <w:sz w:val="18"/>
        </w:rPr>
      </w:pPr>
      <w:r>
        <w:rPr>
          <w:b/>
          <w:w w:val="99"/>
          <w:sz w:val="18"/>
        </w:rPr>
        <w:t>$</w:t>
      </w:r>
    </w:p>
    <w:p>
      <w:pPr>
        <w:spacing w:after="0"/>
        <w:jc w:val="center"/>
        <w:rPr>
          <w:sz w:val="18"/>
        </w:rPr>
        <w:sectPr>
          <w:type w:val="continuous"/>
          <w:pgSz w:w="11910" w:h="16840"/>
          <w:pgMar w:top="1580" w:bottom="280" w:left="900" w:right="860"/>
          <w:cols w:num="3" w:equalWidth="0">
            <w:col w:w="3393" w:space="3395"/>
            <w:col w:w="1472" w:space="40"/>
            <w:col w:w="1850"/>
          </w:cols>
        </w:sectPr>
      </w:pPr>
    </w:p>
    <w:p>
      <w:pPr>
        <w:pStyle w:val="BodyText"/>
        <w:tabs>
          <w:tab w:pos="7838" w:val="left" w:leader="none"/>
          <w:tab w:pos="8087" w:val="left" w:leader="none"/>
          <w:tab w:pos="9141" w:val="left" w:leader="none"/>
          <w:tab w:pos="9391" w:val="left" w:leader="none"/>
        </w:tabs>
        <w:spacing w:line="307" w:lineRule="auto" w:before="29"/>
        <w:ind w:left="1071" w:right="200"/>
      </w:pPr>
      <w:r>
        <w:rPr/>
        <w:pict>
          <v:group style="position:absolute;margin-left:415.98999pt;margin-top:26.282217pt;width:130.4500pt;height:1pt;mso-position-horizontal-relative:page;mso-position-vertical-relative:paragraph;z-index:-1180120" coordorigin="8320,526" coordsize="2609,20">
            <v:line style="position:absolute" from="8321,527" to="9624,527" stroked="true" strokeweight=".06pt" strokecolor="#000000"/>
            <v:line style="position:absolute" from="8321,528" to="9624,528" stroked="true" strokeweight=".06pt" strokecolor="#000000"/>
            <v:line style="position:absolute" from="8321,529" to="9624,529" stroked="true" strokeweight=".06pt" strokecolor="#000000"/>
            <v:line style="position:absolute" from="8321,530" to="9624,530" stroked="true" strokeweight=".06pt" strokecolor="#000000"/>
            <v:line style="position:absolute" from="8321,531" to="9624,531" stroked="true" strokeweight=".06pt" strokecolor="#000000"/>
            <v:line style="position:absolute" from="8321,533" to="9624,533" stroked="true" strokeweight=".06pt" strokecolor="#000000"/>
            <v:line style="position:absolute" from="8321,534" to="9624,534" stroked="true" strokeweight=".06pt" strokecolor="#000000"/>
            <v:line style="position:absolute" from="8321,535" to="9624,535" stroked="true" strokeweight=".06pt" strokecolor="#000000"/>
            <v:line style="position:absolute" from="8321,536" to="9624,536" stroked="true" strokeweight=".06pt" strokecolor="#000000"/>
            <v:line style="position:absolute" from="8321,537" to="9624,537" stroked="true" strokeweight=".06pt" strokecolor="#000000"/>
            <v:line style="position:absolute" from="8321,539" to="9624,539" stroked="true" strokeweight=".06pt" strokecolor="#000000"/>
            <v:line style="position:absolute" from="8321,540" to="9624,540" stroked="true" strokeweight=".06pt" strokecolor="#000000"/>
            <v:line style="position:absolute" from="8321,541" to="9624,541" stroked="true" strokeweight=".06pt" strokecolor="#000000"/>
            <v:line style="position:absolute" from="8321,542" to="9624,542" stroked="true" strokeweight=".06pt" strokecolor="#000000"/>
            <v:line style="position:absolute" from="8321,543" to="9624,543" stroked="true" strokeweight=".06pt" strokecolor="#000000"/>
            <v:line style="position:absolute" from="8321,545" to="9624,545" stroked="true" strokeweight=".06pt" strokecolor="#000000"/>
            <v:line style="position:absolute" from="9624,527" to="10927,527" stroked="true" strokeweight=".06pt" strokecolor="#000000"/>
            <v:line style="position:absolute" from="9624,528" to="10927,528" stroked="true" strokeweight=".06pt" strokecolor="#000000"/>
            <v:line style="position:absolute" from="9624,529" to="10927,529" stroked="true" strokeweight=".06pt" strokecolor="#000000"/>
            <v:line style="position:absolute" from="9624,530" to="10927,530" stroked="true" strokeweight=".06pt" strokecolor="#000000"/>
            <v:line style="position:absolute" from="9624,531" to="10927,531" stroked="true" strokeweight=".06pt" strokecolor="#000000"/>
            <v:line style="position:absolute" from="9624,533" to="10927,533" stroked="true" strokeweight=".06pt" strokecolor="#000000"/>
            <v:line style="position:absolute" from="9624,534" to="10927,534" stroked="true" strokeweight=".06pt" strokecolor="#000000"/>
            <v:line style="position:absolute" from="9624,535" to="10927,535" stroked="true" strokeweight=".06pt" strokecolor="#000000"/>
            <v:line style="position:absolute" from="9624,536" to="10927,536" stroked="true" strokeweight=".06pt" strokecolor="#000000"/>
            <v:line style="position:absolute" from="9624,537" to="10927,537" stroked="true" strokeweight=".06pt" strokecolor="#000000"/>
            <v:line style="position:absolute" from="9624,539" to="10927,539" stroked="true" strokeweight=".06pt" strokecolor="#000000"/>
            <v:line style="position:absolute" from="9624,540" to="10927,540" stroked="true" strokeweight=".06pt" strokecolor="#000000"/>
            <v:line style="position:absolute" from="9624,541" to="10927,541" stroked="true" strokeweight=".06pt" strokecolor="#000000"/>
            <v:line style="position:absolute" from="9624,542" to="10927,542" stroked="true" strokeweight=".06pt" strokecolor="#000000"/>
            <v:line style="position:absolute" from="9624,543" to="10927,543" stroked="true" strokeweight=".06pt" strokecolor="#000000"/>
            <v:line style="position:absolute" from="9624,545" to="10927,545" stroked="true" strokeweight=".06pt" strokecolor="#000000"/>
            <v:line style="position:absolute" from="8321,527" to="9624,527" stroked="true" strokeweight=".06pt" strokecolor="#000000"/>
            <v:line style="position:absolute" from="8321,528" to="9624,528" stroked="true" strokeweight=".06pt" strokecolor="#000000"/>
            <v:line style="position:absolute" from="8321,529" to="9624,529" stroked="true" strokeweight=".06pt" strokecolor="#000000"/>
            <v:line style="position:absolute" from="8321,530" to="9624,530" stroked="true" strokeweight=".06pt" strokecolor="#000000"/>
            <v:line style="position:absolute" from="8321,531" to="9624,531" stroked="true" strokeweight=".06pt" strokecolor="#000000"/>
            <v:line style="position:absolute" from="8321,533" to="9624,533" stroked="true" strokeweight=".06pt" strokecolor="#000000"/>
            <v:line style="position:absolute" from="8321,534" to="9624,534" stroked="true" strokeweight=".06pt" strokecolor="#000000"/>
            <v:line style="position:absolute" from="8321,535" to="9624,535" stroked="true" strokeweight=".06pt" strokecolor="#000000"/>
            <v:line style="position:absolute" from="8321,536" to="9624,536" stroked="true" strokeweight=".06pt" strokecolor="#000000"/>
            <v:line style="position:absolute" from="8321,537" to="9624,537" stroked="true" strokeweight=".06pt" strokecolor="#000000"/>
            <v:line style="position:absolute" from="8321,539" to="9624,539" stroked="true" strokeweight=".06pt" strokecolor="#000000"/>
            <v:line style="position:absolute" from="8321,540" to="9624,540" stroked="true" strokeweight=".06pt" strokecolor="#000000"/>
            <v:line style="position:absolute" from="8321,541" to="9624,541" stroked="true" strokeweight=".06pt" strokecolor="#000000"/>
            <v:line style="position:absolute" from="8321,542" to="9624,542" stroked="true" strokeweight=".06pt" strokecolor="#000000"/>
            <v:line style="position:absolute" from="8321,543" to="9624,543" stroked="true" strokeweight=".06pt" strokecolor="#000000"/>
            <v:line style="position:absolute" from="8321,545" to="9624,545" stroked="true" strokeweight=".06pt" strokecolor="#000000"/>
            <v:line style="position:absolute" from="9624,527" to="10927,527" stroked="true" strokeweight=".06pt" strokecolor="#000000"/>
            <v:line style="position:absolute" from="9624,528" to="10927,528" stroked="true" strokeweight=".06pt" strokecolor="#000000"/>
            <v:line style="position:absolute" from="9624,529" to="10927,529" stroked="true" strokeweight=".06pt" strokecolor="#000000"/>
            <v:line style="position:absolute" from="9624,530" to="10927,530" stroked="true" strokeweight=".06pt" strokecolor="#000000"/>
            <v:line style="position:absolute" from="9624,531" to="10927,531" stroked="true" strokeweight=".06pt" strokecolor="#000000"/>
            <v:line style="position:absolute" from="9624,533" to="10927,533" stroked="true" strokeweight=".06pt" strokecolor="#000000"/>
            <v:line style="position:absolute" from="9624,534" to="10927,534" stroked="true" strokeweight=".06pt" strokecolor="#000000"/>
            <v:line style="position:absolute" from="9624,535" to="10927,535" stroked="true" strokeweight=".06pt" strokecolor="#000000"/>
            <v:line style="position:absolute" from="9624,536" to="10927,536" stroked="true" strokeweight=".06pt" strokecolor="#000000"/>
            <v:line style="position:absolute" from="9624,537" to="10927,537" stroked="true" strokeweight=".06pt" strokecolor="#000000"/>
            <v:line style="position:absolute" from="9624,539" to="10927,539" stroked="true" strokeweight=".06pt" strokecolor="#000000"/>
            <v:line style="position:absolute" from="9624,540" to="10927,540" stroked="true" strokeweight=".06pt" strokecolor="#000000"/>
            <v:line style="position:absolute" from="9624,541" to="10927,541" stroked="true" strokeweight=".06pt" strokecolor="#000000"/>
            <v:line style="position:absolute" from="9624,542" to="10927,542" stroked="true" strokeweight=".06pt" strokecolor="#000000"/>
            <v:line style="position:absolute" from="9624,543" to="10927,543" stroked="true" strokeweight=".06pt" strokecolor="#000000"/>
            <v:line style="position:absolute" from="9624,545" to="10927,545" stroked="true" strokeweight=".06pt" strokecolor="#000000"/>
            <w10:wrap type="none"/>
          </v:group>
        </w:pict>
      </w:r>
      <w:r>
        <w:rPr/>
        <w:t>Sale of goods and services to the ultimate</w:t>
      </w:r>
      <w:r>
        <w:rPr>
          <w:spacing w:val="-1"/>
        </w:rPr>
        <w:t> </w:t>
      </w:r>
      <w:r>
        <w:rPr/>
        <w:t>parent</w:t>
      </w:r>
      <w:r>
        <w:rPr>
          <w:spacing w:val="-1"/>
        </w:rPr>
        <w:t> </w:t>
      </w:r>
      <w:r>
        <w:rPr/>
        <w:t>entity</w:t>
        <w:tab/>
      </w:r>
      <w:r>
        <w:rPr>
          <w:b/>
        </w:rPr>
        <w:t>1,545,547</w:t>
        <w:tab/>
      </w:r>
      <w:r>
        <w:rPr/>
        <w:t>1,092,728 Sale of goods and services to other</w:t>
      </w:r>
      <w:r>
        <w:rPr>
          <w:spacing w:val="-1"/>
        </w:rPr>
        <w:t> </w:t>
      </w:r>
      <w:r>
        <w:rPr/>
        <w:t>related</w:t>
      </w:r>
      <w:r>
        <w:rPr>
          <w:spacing w:val="-1"/>
        </w:rPr>
        <w:t> </w:t>
      </w:r>
      <w:r>
        <w:rPr/>
        <w:t>parties</w:t>
        <w:tab/>
        <w:tab/>
      </w:r>
      <w:r>
        <w:rPr>
          <w:b/>
        </w:rPr>
        <w:t>48,163</w:t>
        <w:tab/>
        <w:tab/>
      </w:r>
      <w:r>
        <w:rPr/>
        <w:t>62,276</w:t>
      </w:r>
    </w:p>
    <w:p>
      <w:pPr>
        <w:pStyle w:val="Heading9"/>
        <w:tabs>
          <w:tab w:pos="7838" w:val="left" w:leader="none"/>
          <w:tab w:pos="9141" w:val="left" w:leader="none"/>
        </w:tabs>
        <w:spacing w:before="102"/>
        <w:ind w:left="1071" w:right="161"/>
        <w:rPr>
          <w:b w:val="0"/>
        </w:rPr>
      </w:pPr>
      <w:r>
        <w:rPr/>
        <w:t>Total sale of goods</w:t>
      </w:r>
      <w:r>
        <w:rPr>
          <w:spacing w:val="-2"/>
        </w:rPr>
        <w:t> </w:t>
      </w:r>
      <w:r>
        <w:rPr/>
        <w:t>and</w:t>
      </w:r>
      <w:r>
        <w:rPr>
          <w:spacing w:val="-1"/>
        </w:rPr>
        <w:t> </w:t>
      </w:r>
      <w:r>
        <w:rPr/>
        <w:t>services</w:t>
        <w:tab/>
        <w:t>1,593,710</w:t>
        <w:tab/>
      </w:r>
      <w:r>
        <w:rPr>
          <w:b w:val="0"/>
        </w:rPr>
        <w:t>1,155,004</w:t>
      </w:r>
    </w:p>
    <w:p>
      <w:pPr>
        <w:pStyle w:val="BodyText"/>
        <w:spacing w:line="50" w:lineRule="exact"/>
        <w:ind w:left="7419"/>
        <w:rPr>
          <w:sz w:val="5"/>
        </w:rPr>
      </w:pPr>
      <w:r>
        <w:rPr>
          <w:position w:val="0"/>
          <w:sz w:val="5"/>
        </w:rPr>
        <w:pict>
          <v:group style="width:130.4500pt;height:2.5pt;mso-position-horizontal-relative:char;mso-position-vertical-relative:line" coordorigin="0,0" coordsize="2609,50">
            <v:line style="position:absolute" from="1,1" to="1304,1" stroked="true" strokeweight=".06pt" strokecolor="#000000"/>
            <v:line style="position:absolute" from="1,2" to="1304,2" stroked="true" strokeweight=".06pt" strokecolor="#000000"/>
            <v:line style="position:absolute" from="1,3" to="1304,3" stroked="true" strokeweight=".06pt" strokecolor="#000000"/>
            <v:line style="position:absolute" from="1,5" to="1304,5" stroked="true" strokeweight=".06pt" strokecolor="#000000"/>
            <v:line style="position:absolute" from="1,6" to="1304,6" stroked="true" strokeweight=".06pt" strokecolor="#000000"/>
            <v:line style="position:absolute" from="1,7" to="1304,7" stroked="true" strokeweight=".06pt" strokecolor="#000000"/>
            <v:line style="position:absolute" from="1,8" to="1304,8" stroked="true" strokeweight=".06pt" strokecolor="#000000"/>
            <v:line style="position:absolute" from="1,9" to="1304,9" stroked="true" strokeweight=".06pt" strokecolor="#000000"/>
            <v:line style="position:absolute" from="1,11" to="1304,11" stroked="true" strokeweight=".06pt" strokecolor="#000000"/>
            <v:line style="position:absolute" from="1,12" to="1304,12" stroked="true" strokeweight=".06pt" strokecolor="#000000"/>
            <v:line style="position:absolute" from="1,13" to="1304,13" stroked="true" strokeweight=".06pt" strokecolor="#000000"/>
            <v:line style="position:absolute" from="1,14" to="1304,14" stroked="true" strokeweight=".06pt" strokecolor="#000000"/>
            <v:line style="position:absolute" from="1,15" to="1304,15" stroked="true" strokeweight=".06pt" strokecolor="#000000"/>
            <v:line style="position:absolute" from="1,35" to="1304,35" stroked="true" strokeweight=".06pt" strokecolor="#000000"/>
            <v:line style="position:absolute" from="1,36" to="1304,36" stroked="true" strokeweight=".06pt" strokecolor="#000000"/>
            <v:line style="position:absolute" from="1,37" to="1304,37" stroked="true" strokeweight=".06pt" strokecolor="#000000"/>
            <v:line style="position:absolute" from="1,38" to="1304,38" stroked="true" strokeweight=".06pt" strokecolor="#000000"/>
            <v:line style="position:absolute" from="1,39" to="1304,39" stroked="true" strokeweight=".06pt" strokecolor="#000000"/>
            <v:line style="position:absolute" from="1,41" to="1304,41" stroked="true" strokeweight=".06pt" strokecolor="#000000"/>
            <v:line style="position:absolute" from="1,42" to="1304,42" stroked="true" strokeweight=".06pt" strokecolor="#000000"/>
            <v:line style="position:absolute" from="1,43" to="1304,43" stroked="true" strokeweight=".06pt" strokecolor="#000000"/>
            <v:line style="position:absolute" from="1,44" to="1304,44" stroked="true" strokeweight=".06pt" strokecolor="#000000"/>
            <v:line style="position:absolute" from="1,45" to="1304,45" stroked="true" strokeweight=".06pt" strokecolor="#000000"/>
            <v:line style="position:absolute" from="1,47" to="1304,47" stroked="true" strokeweight=".06pt" strokecolor="#000000"/>
            <v:line style="position:absolute" from="1,48" to="1304,48" stroked="true" strokeweight=".06pt" strokecolor="#000000"/>
            <v:line style="position:absolute" from="1,49" to="1304,49" stroked="true" strokeweight=".06pt" strokecolor="#000000"/>
            <v:line style="position:absolute" from="1304,1" to="2607,1" stroked="true" strokeweight=".06pt" strokecolor="#000000"/>
            <v:line style="position:absolute" from="1304,2" to="2607,2" stroked="true" strokeweight=".06pt" strokecolor="#000000"/>
            <v:line style="position:absolute" from="1304,3" to="2607,3" stroked="true" strokeweight=".06pt" strokecolor="#000000"/>
            <v:line style="position:absolute" from="1304,5" to="2607,5" stroked="true" strokeweight=".06pt" strokecolor="#000000"/>
            <v:line style="position:absolute" from="1304,6" to="2607,6" stroked="true" strokeweight=".06pt" strokecolor="#000000"/>
            <v:line style="position:absolute" from="1304,7" to="2607,7" stroked="true" strokeweight=".06pt" strokecolor="#000000"/>
            <v:line style="position:absolute" from="1304,8" to="2607,8" stroked="true" strokeweight=".06pt" strokecolor="#000000"/>
            <v:line style="position:absolute" from="1304,9" to="2607,9" stroked="true" strokeweight=".06pt" strokecolor="#000000"/>
            <v:line style="position:absolute" from="1304,11" to="2607,11" stroked="true" strokeweight=".06pt" strokecolor="#000000"/>
            <v:line style="position:absolute" from="1304,12" to="2607,12" stroked="true" strokeweight=".06pt" strokecolor="#000000"/>
            <v:line style="position:absolute" from="1304,13" to="2607,13" stroked="true" strokeweight=".06pt" strokecolor="#000000"/>
            <v:line style="position:absolute" from="1304,14" to="2607,14" stroked="true" strokeweight=".06pt" strokecolor="#000000"/>
            <v:line style="position:absolute" from="1304,15" to="2607,15" stroked="true" strokeweight=".06pt" strokecolor="#000000"/>
            <v:line style="position:absolute" from="1304,35" to="2607,35" stroked="true" strokeweight=".06pt" strokecolor="#000000"/>
            <v:line style="position:absolute" from="1304,36" to="2607,36" stroked="true" strokeweight=".06pt" strokecolor="#000000"/>
            <v:line style="position:absolute" from="1304,37" to="2607,37" stroked="true" strokeweight=".06pt" strokecolor="#000000"/>
            <v:line style="position:absolute" from="1304,38" to="2607,38" stroked="true" strokeweight=".06pt" strokecolor="#000000"/>
            <v:line style="position:absolute" from="1304,39" to="2607,39" stroked="true" strokeweight=".06pt" strokecolor="#000000"/>
            <v:line style="position:absolute" from="1304,41" to="2607,41" stroked="true" strokeweight=".06pt" strokecolor="#000000"/>
            <v:line style="position:absolute" from="1304,42" to="2607,42" stroked="true" strokeweight=".06pt" strokecolor="#000000"/>
            <v:line style="position:absolute" from="1304,43" to="2607,43" stroked="true" strokeweight=".06pt" strokecolor="#000000"/>
            <v:line style="position:absolute" from="1304,44" to="2607,44" stroked="true" strokeweight=".06pt" strokecolor="#000000"/>
            <v:line style="position:absolute" from="1304,45" to="2607,45" stroked="true" strokeweight=".06pt" strokecolor="#000000"/>
            <v:line style="position:absolute" from="1304,47" to="2607,47" stroked="true" strokeweight=".06pt" strokecolor="#000000"/>
            <v:line style="position:absolute" from="1304,48" to="2607,48" stroked="true" strokeweight=".06pt" strokecolor="#000000"/>
            <v:line style="position:absolute" from="1304,49" to="2607,49" stroked="true" strokeweight=".06pt" strokecolor="#000000"/>
          </v:group>
        </w:pict>
      </w:r>
      <w:r>
        <w:rPr>
          <w:position w:val="0"/>
          <w:sz w:val="5"/>
        </w:rPr>
      </w:r>
    </w:p>
    <w:p>
      <w:pPr>
        <w:pStyle w:val="BodyText"/>
        <w:rPr>
          <w:sz w:val="20"/>
        </w:rPr>
      </w:pPr>
    </w:p>
    <w:p>
      <w:pPr>
        <w:pStyle w:val="BodyText"/>
        <w:spacing w:before="5"/>
        <w:rPr>
          <w:sz w:val="17"/>
        </w:rPr>
      </w:pPr>
    </w:p>
    <w:p>
      <w:pPr>
        <w:spacing w:before="0"/>
        <w:ind w:left="1071" w:right="161" w:firstLine="0"/>
        <w:jc w:val="left"/>
        <w:rPr>
          <w:b/>
          <w:sz w:val="18"/>
        </w:rPr>
      </w:pPr>
      <w:r>
        <w:rPr>
          <w:b/>
          <w:sz w:val="18"/>
        </w:rPr>
        <w:t>University Funding</w:t>
      </w:r>
    </w:p>
    <w:p>
      <w:pPr>
        <w:pStyle w:val="BodyText"/>
        <w:tabs>
          <w:tab w:pos="7838" w:val="left" w:leader="none"/>
          <w:tab w:pos="9141" w:val="left" w:leader="none"/>
        </w:tabs>
        <w:spacing w:before="29"/>
        <w:ind w:left="1071" w:right="161"/>
      </w:pPr>
      <w:r>
        <w:rPr/>
        <w:pict>
          <v:group style="position:absolute;margin-left:415.98999pt;margin-top:13.082205pt;width:130.4500pt;height:1pt;mso-position-horizontal-relative:page;mso-position-vertical-relative:paragraph;z-index:3856;mso-wrap-distance-left:0;mso-wrap-distance-right:0" coordorigin="8320,262" coordsize="2609,20">
            <v:line style="position:absolute" from="8321,263" to="9624,263" stroked="true" strokeweight=".06pt" strokecolor="#000000"/>
            <v:line style="position:absolute" from="8321,264" to="9624,264" stroked="true" strokeweight=".06pt" strokecolor="#000000"/>
            <v:line style="position:absolute" from="8321,265" to="9624,265" stroked="true" strokeweight=".06pt" strokecolor="#000000"/>
            <v:line style="position:absolute" from="8321,266" to="9624,266" stroked="true" strokeweight=".06pt" strokecolor="#000000"/>
            <v:line style="position:absolute" from="8321,267" to="9624,267" stroked="true" strokeweight=".06pt" strokecolor="#000000"/>
            <v:line style="position:absolute" from="8321,269" to="9624,269" stroked="true" strokeweight=".06pt" strokecolor="#000000"/>
            <v:line style="position:absolute" from="8321,270" to="9624,270" stroked="true" strokeweight=".06pt" strokecolor="#000000"/>
            <v:line style="position:absolute" from="8321,271" to="9624,271" stroked="true" strokeweight=".06pt" strokecolor="#000000"/>
            <v:line style="position:absolute" from="8321,272" to="9624,272" stroked="true" strokeweight=".06pt" strokecolor="#000000"/>
            <v:line style="position:absolute" from="8321,273" to="9624,273" stroked="true" strokeweight=".06pt" strokecolor="#000000"/>
            <v:line style="position:absolute" from="8321,275" to="9624,275" stroked="true" strokeweight=".06pt" strokecolor="#000000"/>
            <v:line style="position:absolute" from="8321,276" to="9624,276" stroked="true" strokeweight=".06pt" strokecolor="#000000"/>
            <v:line style="position:absolute" from="8321,277" to="9624,277" stroked="true" strokeweight=".06pt" strokecolor="#000000"/>
            <v:line style="position:absolute" from="8321,278" to="9624,278" stroked="true" strokeweight=".06pt" strokecolor="#000000"/>
            <v:line style="position:absolute" from="8321,279" to="9624,279" stroked="true" strokeweight=".06pt" strokecolor="#000000"/>
            <v:line style="position:absolute" from="8321,281" to="9624,281" stroked="true" strokeweight=".06pt" strokecolor="#000000"/>
            <v:line style="position:absolute" from="9624,263" to="10927,263" stroked="true" strokeweight=".06pt" strokecolor="#000000"/>
            <v:line style="position:absolute" from="9624,264" to="10927,264" stroked="true" strokeweight=".06pt" strokecolor="#000000"/>
            <v:line style="position:absolute" from="9624,265" to="10927,265" stroked="true" strokeweight=".06pt" strokecolor="#000000"/>
            <v:line style="position:absolute" from="9624,266" to="10927,266" stroked="true" strokeweight=".06pt" strokecolor="#000000"/>
            <v:line style="position:absolute" from="9624,267" to="10927,267" stroked="true" strokeweight=".06pt" strokecolor="#000000"/>
            <v:line style="position:absolute" from="9624,269" to="10927,269" stroked="true" strokeweight=".06pt" strokecolor="#000000"/>
            <v:line style="position:absolute" from="9624,270" to="10927,270" stroked="true" strokeweight=".06pt" strokecolor="#000000"/>
            <v:line style="position:absolute" from="9624,271" to="10927,271" stroked="true" strokeweight=".06pt" strokecolor="#000000"/>
            <v:line style="position:absolute" from="9624,272" to="10927,272" stroked="true" strokeweight=".06pt" strokecolor="#000000"/>
            <v:line style="position:absolute" from="9624,273" to="10927,273" stroked="true" strokeweight=".06pt" strokecolor="#000000"/>
            <v:line style="position:absolute" from="9624,275" to="10927,275" stroked="true" strokeweight=".06pt" strokecolor="#000000"/>
            <v:line style="position:absolute" from="9624,276" to="10927,276" stroked="true" strokeweight=".06pt" strokecolor="#000000"/>
            <v:line style="position:absolute" from="9624,277" to="10927,277" stroked="true" strokeweight=".06pt" strokecolor="#000000"/>
            <v:line style="position:absolute" from="9624,278" to="10927,278" stroked="true" strokeweight=".06pt" strokecolor="#000000"/>
            <v:line style="position:absolute" from="9624,279" to="10927,279" stroked="true" strokeweight=".06pt" strokecolor="#000000"/>
            <v:line style="position:absolute" from="9624,281" to="10927,281" stroked="true" strokeweight=".06pt" strokecolor="#000000"/>
            <w10:wrap type="topAndBottom"/>
          </v:group>
        </w:pict>
      </w:r>
      <w:r>
        <w:rPr/>
        <w:t>Funding from the ultimate</w:t>
      </w:r>
      <w:r>
        <w:rPr>
          <w:spacing w:val="-1"/>
        </w:rPr>
        <w:t> </w:t>
      </w:r>
      <w:r>
        <w:rPr/>
        <w:t>parent</w:t>
      </w:r>
      <w:r>
        <w:rPr>
          <w:spacing w:val="-1"/>
        </w:rPr>
        <w:t> </w:t>
      </w:r>
      <w:r>
        <w:rPr/>
        <w:t>entity</w:t>
        <w:tab/>
      </w:r>
      <w:r>
        <w:rPr>
          <w:b/>
        </w:rPr>
        <w:t>2,418,063</w:t>
        <w:tab/>
      </w:r>
      <w:r>
        <w:rPr/>
        <w:t>1,994,063</w:t>
      </w:r>
    </w:p>
    <w:p>
      <w:pPr>
        <w:tabs>
          <w:tab w:pos="7838" w:val="left" w:leader="none"/>
          <w:tab w:pos="9141" w:val="left" w:leader="none"/>
        </w:tabs>
        <w:spacing w:before="84"/>
        <w:ind w:left="1071" w:right="161" w:firstLine="0"/>
        <w:jc w:val="left"/>
        <w:rPr>
          <w:sz w:val="18"/>
        </w:rPr>
      </w:pPr>
      <w:r>
        <w:rPr>
          <w:b/>
          <w:sz w:val="18"/>
        </w:rPr>
        <w:t>Total</w:t>
      </w:r>
      <w:r>
        <w:rPr>
          <w:b/>
          <w:spacing w:val="-1"/>
          <w:sz w:val="18"/>
        </w:rPr>
        <w:t> </w:t>
      </w:r>
      <w:r>
        <w:rPr>
          <w:b/>
          <w:sz w:val="18"/>
        </w:rPr>
        <w:t>University</w:t>
      </w:r>
      <w:r>
        <w:rPr>
          <w:b/>
          <w:spacing w:val="-1"/>
          <w:sz w:val="18"/>
        </w:rPr>
        <w:t> </w:t>
      </w:r>
      <w:r>
        <w:rPr>
          <w:b/>
          <w:sz w:val="18"/>
        </w:rPr>
        <w:t>funding</w:t>
        <w:tab/>
        <w:t>2,418,063</w:t>
        <w:tab/>
      </w:r>
      <w:r>
        <w:rPr>
          <w:sz w:val="18"/>
        </w:rPr>
        <w:t>1,994,063</w:t>
      </w:r>
    </w:p>
    <w:p>
      <w:pPr>
        <w:pStyle w:val="BodyText"/>
        <w:spacing w:line="50" w:lineRule="exact"/>
        <w:ind w:left="7419"/>
        <w:rPr>
          <w:sz w:val="5"/>
        </w:rPr>
      </w:pPr>
      <w:r>
        <w:rPr>
          <w:position w:val="0"/>
          <w:sz w:val="5"/>
        </w:rPr>
        <w:pict>
          <v:group style="width:130.4500pt;height:2.5pt;mso-position-horizontal-relative:char;mso-position-vertical-relative:line" coordorigin="0,0" coordsize="2609,50">
            <v:line style="position:absolute" from="1,1" to="1304,1" stroked="true" strokeweight=".06pt" strokecolor="#000000"/>
            <v:line style="position:absolute" from="1,2" to="1304,2" stroked="true" strokeweight=".06pt" strokecolor="#000000"/>
            <v:line style="position:absolute" from="1,3" to="1304,3" stroked="true" strokeweight=".06pt" strokecolor="#000000"/>
            <v:line style="position:absolute" from="1,5" to="1304,5" stroked="true" strokeweight=".06pt" strokecolor="#000000"/>
            <v:line style="position:absolute" from="1,6" to="1304,6" stroked="true" strokeweight=".06pt" strokecolor="#000000"/>
            <v:line style="position:absolute" from="1,7" to="1304,7" stroked="true" strokeweight=".06pt" strokecolor="#000000"/>
            <v:line style="position:absolute" from="1,8" to="1304,8" stroked="true" strokeweight=".06pt" strokecolor="#000000"/>
            <v:line style="position:absolute" from="1,9" to="1304,9" stroked="true" strokeweight=".06pt" strokecolor="#000000"/>
            <v:line style="position:absolute" from="1,11" to="1304,11" stroked="true" strokeweight=".06pt" strokecolor="#000000"/>
            <v:line style="position:absolute" from="1,12" to="1304,12" stroked="true" strokeweight=".06pt" strokecolor="#000000"/>
            <v:line style="position:absolute" from="1,13" to="1304,13" stroked="true" strokeweight=".06pt" strokecolor="#000000"/>
            <v:line style="position:absolute" from="1,14" to="1304,14" stroked="true" strokeweight=".06pt" strokecolor="#000000"/>
            <v:line style="position:absolute" from="1,15" to="1304,15" stroked="true" strokeweight=".06pt" strokecolor="#000000"/>
            <v:line style="position:absolute" from="1,35" to="1304,35" stroked="true" strokeweight=".06pt" strokecolor="#000000"/>
            <v:line style="position:absolute" from="1,36" to="1304,36" stroked="true" strokeweight=".06pt" strokecolor="#000000"/>
            <v:line style="position:absolute" from="1,37" to="1304,37" stroked="true" strokeweight=".06pt" strokecolor="#000000"/>
            <v:line style="position:absolute" from="1,38" to="1304,38" stroked="true" strokeweight=".06pt" strokecolor="#000000"/>
            <v:line style="position:absolute" from="1,39" to="1304,39" stroked="true" strokeweight=".06pt" strokecolor="#000000"/>
            <v:line style="position:absolute" from="1,41" to="1304,41" stroked="true" strokeweight=".06pt" strokecolor="#000000"/>
            <v:line style="position:absolute" from="1,42" to="1304,42" stroked="true" strokeweight=".06pt" strokecolor="#000000"/>
            <v:line style="position:absolute" from="1,43" to="1304,43" stroked="true" strokeweight=".06pt" strokecolor="#000000"/>
            <v:line style="position:absolute" from="1,44" to="1304,44" stroked="true" strokeweight=".06pt" strokecolor="#000000"/>
            <v:line style="position:absolute" from="1,45" to="1304,45" stroked="true" strokeweight=".06pt" strokecolor="#000000"/>
            <v:line style="position:absolute" from="1,47" to="1304,47" stroked="true" strokeweight=".06pt" strokecolor="#000000"/>
            <v:line style="position:absolute" from="1,48" to="1304,48" stroked="true" strokeweight=".06pt" strokecolor="#000000"/>
            <v:line style="position:absolute" from="1,49" to="1304,49" stroked="true" strokeweight=".06pt" strokecolor="#000000"/>
            <v:line style="position:absolute" from="1304,1" to="2607,1" stroked="true" strokeweight=".06pt" strokecolor="#000000"/>
            <v:line style="position:absolute" from="1304,2" to="2607,2" stroked="true" strokeweight=".06pt" strokecolor="#000000"/>
            <v:line style="position:absolute" from="1304,3" to="2607,3" stroked="true" strokeweight=".06pt" strokecolor="#000000"/>
            <v:line style="position:absolute" from="1304,5" to="2607,5" stroked="true" strokeweight=".06pt" strokecolor="#000000"/>
            <v:line style="position:absolute" from="1304,6" to="2607,6" stroked="true" strokeweight=".06pt" strokecolor="#000000"/>
            <v:line style="position:absolute" from="1304,7" to="2607,7" stroked="true" strokeweight=".06pt" strokecolor="#000000"/>
            <v:line style="position:absolute" from="1304,8" to="2607,8" stroked="true" strokeweight=".06pt" strokecolor="#000000"/>
            <v:line style="position:absolute" from="1304,9" to="2607,9" stroked="true" strokeweight=".06pt" strokecolor="#000000"/>
            <v:line style="position:absolute" from="1304,11" to="2607,11" stroked="true" strokeweight=".06pt" strokecolor="#000000"/>
            <v:line style="position:absolute" from="1304,12" to="2607,12" stroked="true" strokeweight=".06pt" strokecolor="#000000"/>
            <v:line style="position:absolute" from="1304,13" to="2607,13" stroked="true" strokeweight=".06pt" strokecolor="#000000"/>
            <v:line style="position:absolute" from="1304,14" to="2607,14" stroked="true" strokeweight=".06pt" strokecolor="#000000"/>
            <v:line style="position:absolute" from="1304,15" to="2607,15" stroked="true" strokeweight=".06pt" strokecolor="#000000"/>
            <v:line style="position:absolute" from="1304,35" to="2607,35" stroked="true" strokeweight=".06pt" strokecolor="#000000"/>
            <v:line style="position:absolute" from="1304,36" to="2607,36" stroked="true" strokeweight=".06pt" strokecolor="#000000"/>
            <v:line style="position:absolute" from="1304,37" to="2607,37" stroked="true" strokeweight=".06pt" strokecolor="#000000"/>
            <v:line style="position:absolute" from="1304,38" to="2607,38" stroked="true" strokeweight=".06pt" strokecolor="#000000"/>
            <v:line style="position:absolute" from="1304,39" to="2607,39" stroked="true" strokeweight=".06pt" strokecolor="#000000"/>
            <v:line style="position:absolute" from="1304,41" to="2607,41" stroked="true" strokeweight=".06pt" strokecolor="#000000"/>
            <v:line style="position:absolute" from="1304,42" to="2607,42" stroked="true" strokeweight=".06pt" strokecolor="#000000"/>
            <v:line style="position:absolute" from="1304,43" to="2607,43" stroked="true" strokeweight=".06pt" strokecolor="#000000"/>
            <v:line style="position:absolute" from="1304,44" to="2607,44" stroked="true" strokeweight=".06pt" strokecolor="#000000"/>
            <v:line style="position:absolute" from="1304,45" to="2607,45" stroked="true" strokeweight=".06pt" strokecolor="#000000"/>
            <v:line style="position:absolute" from="1304,47" to="2607,47" stroked="true" strokeweight=".06pt" strokecolor="#000000"/>
            <v:line style="position:absolute" from="1304,48" to="2607,48" stroked="true" strokeweight=".06pt" strokecolor="#000000"/>
            <v:line style="position:absolute" from="1304,49" to="2607,49" stroked="true" strokeweight=".06pt" strokecolor="#000000"/>
          </v:group>
        </w:pict>
      </w:r>
      <w:r>
        <w:rPr>
          <w:position w:val="0"/>
          <w:sz w:val="5"/>
        </w:rPr>
      </w:r>
    </w:p>
    <w:p>
      <w:pPr>
        <w:pStyle w:val="BodyText"/>
        <w:spacing w:before="2"/>
      </w:pPr>
    </w:p>
    <w:p>
      <w:pPr>
        <w:pStyle w:val="BodyText"/>
        <w:spacing w:before="77"/>
        <w:ind w:left="1072" w:right="161"/>
      </w:pPr>
      <w:r>
        <w:rPr/>
        <w:t>The ultimate parent entity of the Company is Western Sydney University.</w:t>
      </w:r>
    </w:p>
    <w:p>
      <w:pPr>
        <w:pStyle w:val="BodyText"/>
        <w:spacing w:before="7"/>
        <w:rPr>
          <w:sz w:val="26"/>
        </w:rPr>
      </w:pPr>
    </w:p>
    <w:p>
      <w:pPr>
        <w:pStyle w:val="ListParagraph"/>
        <w:numPr>
          <w:ilvl w:val="0"/>
          <w:numId w:val="68"/>
        </w:numPr>
        <w:tabs>
          <w:tab w:pos="1072" w:val="left" w:leader="none"/>
        </w:tabs>
        <w:spacing w:line="240" w:lineRule="auto" w:before="0" w:after="0"/>
        <w:ind w:left="1071" w:right="0" w:hanging="566"/>
        <w:jc w:val="left"/>
        <w:rPr>
          <w:sz w:val="18"/>
        </w:rPr>
      </w:pPr>
      <w:r>
        <w:rPr>
          <w:sz w:val="18"/>
        </w:rPr>
        <w:t>Outstanding balances arising from sales or purchases of goods and</w:t>
      </w:r>
      <w:r>
        <w:rPr>
          <w:spacing w:val="-1"/>
          <w:sz w:val="18"/>
        </w:rPr>
        <w:t> </w:t>
      </w:r>
      <w:r>
        <w:rPr>
          <w:sz w:val="18"/>
        </w:rPr>
        <w:t>services</w:t>
      </w:r>
    </w:p>
    <w:p>
      <w:pPr>
        <w:pStyle w:val="BodyText"/>
        <w:spacing w:before="4"/>
        <w:rPr>
          <w:sz w:val="25"/>
        </w:rPr>
      </w:pPr>
    </w:p>
    <w:p>
      <w:pPr>
        <w:pStyle w:val="BodyText"/>
        <w:ind w:left="1072" w:right="252"/>
      </w:pPr>
      <w:r>
        <w:rPr/>
        <w:t>The following balances are outstanding at the end of the reporting period in relation to transactions with related parties:</w:t>
      </w:r>
    </w:p>
    <w:p>
      <w:pPr>
        <w:pStyle w:val="Heading9"/>
        <w:tabs>
          <w:tab w:pos="1303" w:val="left" w:leader="none"/>
        </w:tabs>
        <w:spacing w:before="33" w:after="36"/>
        <w:ind w:right="580"/>
        <w:jc w:val="right"/>
      </w:pPr>
      <w:r>
        <w:rPr/>
        <w:t>2017</w:t>
        <w:tab/>
      </w:r>
      <w:r>
        <w:rPr>
          <w:w w:val="95"/>
        </w:rPr>
        <w:t>2016</w:t>
      </w:r>
    </w:p>
    <w:tbl>
      <w:tblPr>
        <w:tblW w:w="0" w:type="auto"/>
        <w:jc w:val="left"/>
        <w:tblInd w:w="10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84"/>
        <w:gridCol w:w="1544"/>
        <w:gridCol w:w="1062"/>
      </w:tblGrid>
      <w:tr>
        <w:trPr>
          <w:trHeight w:val="614" w:hRule="exact"/>
        </w:trPr>
        <w:tc>
          <w:tcPr>
            <w:tcW w:w="6384" w:type="dxa"/>
          </w:tcPr>
          <w:p>
            <w:pPr>
              <w:pStyle w:val="TableParagraph"/>
              <w:rPr>
                <w:b/>
                <w:sz w:val="18"/>
              </w:rPr>
            </w:pPr>
          </w:p>
          <w:p>
            <w:pPr>
              <w:pStyle w:val="TableParagraph"/>
              <w:spacing w:before="3"/>
              <w:rPr>
                <w:b/>
                <w:sz w:val="15"/>
              </w:rPr>
            </w:pPr>
          </w:p>
          <w:p>
            <w:pPr>
              <w:pStyle w:val="TableParagraph"/>
              <w:spacing w:before="1"/>
              <w:ind w:left="35"/>
              <w:rPr>
                <w:b/>
                <w:sz w:val="18"/>
              </w:rPr>
            </w:pPr>
            <w:r>
              <w:rPr>
                <w:b/>
                <w:sz w:val="18"/>
              </w:rPr>
              <w:t>Current payables</w:t>
            </w:r>
          </w:p>
        </w:tc>
        <w:tc>
          <w:tcPr>
            <w:tcW w:w="1544" w:type="dxa"/>
          </w:tcPr>
          <w:p>
            <w:pPr>
              <w:pStyle w:val="TableParagraph"/>
              <w:spacing w:before="30"/>
              <w:ind w:right="266"/>
              <w:jc w:val="center"/>
              <w:rPr>
                <w:b/>
                <w:sz w:val="18"/>
              </w:rPr>
            </w:pPr>
            <w:r>
              <w:rPr>
                <w:b/>
                <w:w w:val="99"/>
                <w:sz w:val="18"/>
              </w:rPr>
              <w:t>$</w:t>
            </w:r>
          </w:p>
        </w:tc>
        <w:tc>
          <w:tcPr>
            <w:tcW w:w="1062" w:type="dxa"/>
          </w:tcPr>
          <w:p>
            <w:pPr>
              <w:pStyle w:val="TableParagraph"/>
              <w:spacing w:before="30"/>
              <w:ind w:left="346"/>
              <w:rPr>
                <w:b/>
                <w:sz w:val="18"/>
              </w:rPr>
            </w:pPr>
            <w:r>
              <w:rPr>
                <w:b/>
                <w:w w:val="99"/>
                <w:sz w:val="18"/>
              </w:rPr>
              <w:t>$</w:t>
            </w:r>
          </w:p>
        </w:tc>
      </w:tr>
      <w:tr>
        <w:trPr>
          <w:trHeight w:val="248" w:hRule="exact"/>
        </w:trPr>
        <w:tc>
          <w:tcPr>
            <w:tcW w:w="6384" w:type="dxa"/>
          </w:tcPr>
          <w:p>
            <w:pPr>
              <w:pStyle w:val="TableParagraph"/>
              <w:spacing w:before="6"/>
              <w:ind w:left="35"/>
              <w:rPr>
                <w:sz w:val="18"/>
              </w:rPr>
            </w:pPr>
            <w:r>
              <w:rPr>
                <w:sz w:val="18"/>
              </w:rPr>
              <w:t>Ultimate parent entity</w:t>
            </w:r>
          </w:p>
        </w:tc>
        <w:tc>
          <w:tcPr>
            <w:tcW w:w="1544" w:type="dxa"/>
            <w:tcBorders>
              <w:bottom w:val="single" w:sz="0" w:space="0" w:color="000000"/>
            </w:tcBorders>
          </w:tcPr>
          <w:p>
            <w:pPr>
              <w:pStyle w:val="TableParagraph"/>
              <w:spacing w:before="4"/>
              <w:ind w:right="324"/>
              <w:jc w:val="right"/>
              <w:rPr>
                <w:b/>
                <w:sz w:val="18"/>
              </w:rPr>
            </w:pPr>
            <w:r>
              <w:rPr>
                <w:b/>
                <w:w w:val="95"/>
                <w:sz w:val="18"/>
              </w:rPr>
              <w:t>67,790</w:t>
            </w:r>
          </w:p>
        </w:tc>
        <w:tc>
          <w:tcPr>
            <w:tcW w:w="1062" w:type="dxa"/>
            <w:tcBorders>
              <w:bottom w:val="single" w:sz="0" w:space="0" w:color="000000"/>
            </w:tcBorders>
          </w:tcPr>
          <w:p>
            <w:pPr>
              <w:pStyle w:val="TableParagraph"/>
              <w:spacing w:before="4"/>
              <w:ind w:left="326"/>
              <w:rPr>
                <w:sz w:val="18"/>
              </w:rPr>
            </w:pPr>
            <w:r>
              <w:rPr>
                <w:sz w:val="18"/>
              </w:rPr>
              <w:t>102,936</w:t>
            </w:r>
          </w:p>
        </w:tc>
      </w:tr>
      <w:tr>
        <w:trPr>
          <w:trHeight w:val="353" w:hRule="exact"/>
        </w:trPr>
        <w:tc>
          <w:tcPr>
            <w:tcW w:w="6384" w:type="dxa"/>
          </w:tcPr>
          <w:p>
            <w:pPr>
              <w:pStyle w:val="TableParagraph"/>
              <w:spacing w:before="123"/>
              <w:ind w:left="35"/>
              <w:rPr>
                <w:b/>
                <w:sz w:val="18"/>
              </w:rPr>
            </w:pPr>
            <w:r>
              <w:rPr>
                <w:b/>
                <w:sz w:val="18"/>
              </w:rPr>
              <w:t>Total current payables</w:t>
            </w:r>
          </w:p>
        </w:tc>
        <w:tc>
          <w:tcPr>
            <w:tcW w:w="1544" w:type="dxa"/>
            <w:tcBorders>
              <w:top w:val="single" w:sz="0" w:space="0" w:color="000000"/>
              <w:bottom w:val="single" w:sz="0" w:space="0" w:color="000000"/>
            </w:tcBorders>
          </w:tcPr>
          <w:p>
            <w:pPr>
              <w:pStyle w:val="TableParagraph"/>
              <w:spacing w:before="122"/>
              <w:ind w:right="324"/>
              <w:jc w:val="right"/>
              <w:rPr>
                <w:b/>
                <w:sz w:val="18"/>
              </w:rPr>
            </w:pPr>
            <w:r>
              <w:rPr>
                <w:b/>
                <w:w w:val="95"/>
                <w:sz w:val="18"/>
              </w:rPr>
              <w:t>67,790</w:t>
            </w:r>
          </w:p>
        </w:tc>
        <w:tc>
          <w:tcPr>
            <w:tcW w:w="1062" w:type="dxa"/>
            <w:tcBorders>
              <w:top w:val="single" w:sz="0" w:space="0" w:color="000000"/>
              <w:bottom w:val="single" w:sz="0" w:space="0" w:color="000000"/>
            </w:tcBorders>
          </w:tcPr>
          <w:p>
            <w:pPr>
              <w:pStyle w:val="TableParagraph"/>
              <w:spacing w:before="122"/>
              <w:ind w:left="326"/>
              <w:rPr>
                <w:sz w:val="18"/>
              </w:rPr>
            </w:pPr>
            <w:r>
              <w:rPr>
                <w:sz w:val="18"/>
              </w:rPr>
              <w:t>102,936</w:t>
            </w:r>
          </w:p>
        </w:tc>
      </w:tr>
    </w:tbl>
    <w:p>
      <w:pPr>
        <w:spacing w:after="0"/>
        <w:rPr>
          <w:sz w:val="18"/>
        </w:rPr>
        <w:sectPr>
          <w:type w:val="continuous"/>
          <w:pgSz w:w="11910" w:h="16840"/>
          <w:pgMar w:top="1580" w:bottom="280" w:left="900" w:right="860"/>
        </w:sectPr>
      </w:pPr>
    </w:p>
    <w:p>
      <w:pPr>
        <w:pStyle w:val="BodyText"/>
        <w:spacing w:before="8"/>
        <w:rPr>
          <w:b/>
        </w:rPr>
      </w:pPr>
    </w:p>
    <w:p>
      <w:pPr>
        <w:pStyle w:val="Heading9"/>
        <w:numPr>
          <w:ilvl w:val="0"/>
          <w:numId w:val="69"/>
        </w:numPr>
        <w:tabs>
          <w:tab w:pos="506" w:val="left" w:leader="none"/>
        </w:tabs>
        <w:spacing w:line="240" w:lineRule="auto" w:before="77" w:after="0"/>
        <w:ind w:left="505" w:right="0" w:hanging="396"/>
        <w:jc w:val="left"/>
      </w:pPr>
      <w:r>
        <w:rPr/>
        <w:t>Related party transactions</w:t>
      </w:r>
      <w:r>
        <w:rPr>
          <w:spacing w:val="-1"/>
        </w:rPr>
        <w:t> </w:t>
      </w:r>
      <w:r>
        <w:rPr/>
        <w:t>(Continued)</w:t>
      </w:r>
    </w:p>
    <w:p>
      <w:pPr>
        <w:pStyle w:val="BodyText"/>
        <w:spacing w:before="11"/>
        <w:rPr>
          <w:b/>
          <w:sz w:val="19"/>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3"/>
        <w:gridCol w:w="6528"/>
        <w:gridCol w:w="1460"/>
        <w:gridCol w:w="1135"/>
      </w:tblGrid>
      <w:tr>
        <w:trPr>
          <w:trHeight w:val="572" w:hRule="exact"/>
        </w:trPr>
        <w:tc>
          <w:tcPr>
            <w:tcW w:w="433" w:type="dxa"/>
          </w:tcPr>
          <w:p>
            <w:pPr>
              <w:pStyle w:val="TableParagraph"/>
              <w:spacing w:before="77"/>
              <w:ind w:left="35"/>
              <w:rPr>
                <w:b/>
                <w:sz w:val="18"/>
              </w:rPr>
            </w:pPr>
            <w:r>
              <w:rPr>
                <w:b/>
                <w:sz w:val="18"/>
              </w:rPr>
              <w:t>(d)</w:t>
            </w:r>
          </w:p>
        </w:tc>
        <w:tc>
          <w:tcPr>
            <w:tcW w:w="6528" w:type="dxa"/>
          </w:tcPr>
          <w:p>
            <w:pPr>
              <w:pStyle w:val="TableParagraph"/>
              <w:spacing w:before="77"/>
              <w:ind w:left="168"/>
              <w:rPr>
                <w:sz w:val="18"/>
              </w:rPr>
            </w:pPr>
            <w:r>
              <w:rPr>
                <w:sz w:val="18"/>
              </w:rPr>
              <w:t>Loans from the ultimate parent entity</w:t>
            </w:r>
          </w:p>
        </w:tc>
        <w:tc>
          <w:tcPr>
            <w:tcW w:w="1460" w:type="dxa"/>
          </w:tcPr>
          <w:p>
            <w:pPr>
              <w:pStyle w:val="TableParagraph"/>
              <w:rPr>
                <w:b/>
                <w:sz w:val="18"/>
              </w:rPr>
            </w:pPr>
          </w:p>
          <w:p>
            <w:pPr>
              <w:pStyle w:val="TableParagraph"/>
              <w:spacing w:before="115"/>
              <w:ind w:left="448"/>
              <w:rPr>
                <w:b/>
                <w:sz w:val="18"/>
              </w:rPr>
            </w:pPr>
            <w:r>
              <w:rPr>
                <w:b/>
                <w:sz w:val="18"/>
              </w:rPr>
              <w:t>2017</w:t>
            </w:r>
          </w:p>
        </w:tc>
        <w:tc>
          <w:tcPr>
            <w:tcW w:w="1135" w:type="dxa"/>
          </w:tcPr>
          <w:p>
            <w:pPr>
              <w:pStyle w:val="TableParagraph"/>
              <w:rPr>
                <w:b/>
                <w:sz w:val="18"/>
              </w:rPr>
            </w:pPr>
          </w:p>
          <w:p>
            <w:pPr>
              <w:pStyle w:val="TableParagraph"/>
              <w:spacing w:before="115"/>
              <w:ind w:left="272"/>
              <w:rPr>
                <w:b/>
                <w:sz w:val="18"/>
              </w:rPr>
            </w:pPr>
            <w:r>
              <w:rPr>
                <w:b/>
                <w:sz w:val="18"/>
              </w:rPr>
              <w:t>2016</w:t>
            </w:r>
          </w:p>
        </w:tc>
      </w:tr>
      <w:tr>
        <w:trPr>
          <w:trHeight w:val="271" w:hRule="exact"/>
        </w:trPr>
        <w:tc>
          <w:tcPr>
            <w:tcW w:w="433" w:type="dxa"/>
          </w:tcPr>
          <w:p>
            <w:pPr/>
          </w:p>
        </w:tc>
        <w:tc>
          <w:tcPr>
            <w:tcW w:w="6528" w:type="dxa"/>
          </w:tcPr>
          <w:p>
            <w:pPr/>
          </w:p>
        </w:tc>
        <w:tc>
          <w:tcPr>
            <w:tcW w:w="1460" w:type="dxa"/>
          </w:tcPr>
          <w:p>
            <w:pPr>
              <w:pStyle w:val="TableParagraph"/>
              <w:spacing w:before="24"/>
              <w:ind w:right="160"/>
              <w:jc w:val="center"/>
              <w:rPr>
                <w:b/>
                <w:sz w:val="18"/>
              </w:rPr>
            </w:pPr>
            <w:r>
              <w:rPr>
                <w:b/>
                <w:w w:val="99"/>
                <w:sz w:val="18"/>
              </w:rPr>
              <w:t>$</w:t>
            </w:r>
          </w:p>
        </w:tc>
        <w:tc>
          <w:tcPr>
            <w:tcW w:w="1135" w:type="dxa"/>
          </w:tcPr>
          <w:p>
            <w:pPr>
              <w:pStyle w:val="TableParagraph"/>
              <w:spacing w:before="24"/>
              <w:ind w:right="186"/>
              <w:jc w:val="center"/>
              <w:rPr>
                <w:b/>
                <w:sz w:val="18"/>
              </w:rPr>
            </w:pPr>
            <w:r>
              <w:rPr>
                <w:b/>
                <w:w w:val="99"/>
                <w:sz w:val="18"/>
              </w:rPr>
              <w:t>$</w:t>
            </w:r>
          </w:p>
        </w:tc>
      </w:tr>
      <w:tr>
        <w:trPr>
          <w:trHeight w:val="267" w:hRule="exact"/>
        </w:trPr>
        <w:tc>
          <w:tcPr>
            <w:tcW w:w="433" w:type="dxa"/>
          </w:tcPr>
          <w:p>
            <w:pPr/>
          </w:p>
        </w:tc>
        <w:tc>
          <w:tcPr>
            <w:tcW w:w="6528" w:type="dxa"/>
          </w:tcPr>
          <w:p>
            <w:pPr>
              <w:pStyle w:val="TableParagraph"/>
              <w:spacing w:before="22"/>
              <w:ind w:left="168"/>
              <w:rPr>
                <w:sz w:val="18"/>
              </w:rPr>
            </w:pPr>
            <w:r>
              <w:rPr>
                <w:sz w:val="18"/>
              </w:rPr>
              <w:t>Beginning of the year</w:t>
            </w:r>
          </w:p>
        </w:tc>
        <w:tc>
          <w:tcPr>
            <w:tcW w:w="1460" w:type="dxa"/>
          </w:tcPr>
          <w:p>
            <w:pPr>
              <w:pStyle w:val="TableParagraph"/>
              <w:spacing w:before="21"/>
              <w:ind w:left="410"/>
              <w:rPr>
                <w:b/>
                <w:sz w:val="18"/>
              </w:rPr>
            </w:pPr>
            <w:r>
              <w:rPr>
                <w:b/>
                <w:sz w:val="18"/>
              </w:rPr>
              <w:t>5,618,407</w:t>
            </w:r>
          </w:p>
        </w:tc>
        <w:tc>
          <w:tcPr>
            <w:tcW w:w="1135" w:type="dxa"/>
          </w:tcPr>
          <w:p>
            <w:pPr>
              <w:pStyle w:val="TableParagraph"/>
              <w:spacing w:before="21"/>
              <w:ind w:right="82"/>
              <w:jc w:val="right"/>
              <w:rPr>
                <w:sz w:val="18"/>
              </w:rPr>
            </w:pPr>
            <w:r>
              <w:rPr>
                <w:w w:val="95"/>
                <w:sz w:val="18"/>
              </w:rPr>
              <w:t>5,010,493</w:t>
            </w:r>
          </w:p>
        </w:tc>
      </w:tr>
      <w:tr>
        <w:trPr>
          <w:trHeight w:val="264" w:hRule="exact"/>
        </w:trPr>
        <w:tc>
          <w:tcPr>
            <w:tcW w:w="433" w:type="dxa"/>
          </w:tcPr>
          <w:p>
            <w:pPr/>
          </w:p>
        </w:tc>
        <w:tc>
          <w:tcPr>
            <w:tcW w:w="6528" w:type="dxa"/>
          </w:tcPr>
          <w:p>
            <w:pPr>
              <w:pStyle w:val="TableParagraph"/>
              <w:spacing w:before="19"/>
              <w:ind w:left="168"/>
              <w:rPr>
                <w:sz w:val="18"/>
              </w:rPr>
            </w:pPr>
            <w:r>
              <w:rPr>
                <w:sz w:val="18"/>
              </w:rPr>
              <w:t>Loans advanced</w:t>
            </w:r>
          </w:p>
        </w:tc>
        <w:tc>
          <w:tcPr>
            <w:tcW w:w="1460" w:type="dxa"/>
          </w:tcPr>
          <w:p>
            <w:pPr>
              <w:pStyle w:val="TableParagraph"/>
              <w:spacing w:before="18"/>
              <w:ind w:right="246"/>
              <w:jc w:val="right"/>
              <w:rPr>
                <w:b/>
                <w:sz w:val="18"/>
              </w:rPr>
            </w:pPr>
            <w:r>
              <w:rPr>
                <w:b/>
                <w:w w:val="95"/>
                <w:sz w:val="18"/>
              </w:rPr>
              <w:t>899,900</w:t>
            </w:r>
          </w:p>
        </w:tc>
        <w:tc>
          <w:tcPr>
            <w:tcW w:w="1135" w:type="dxa"/>
          </w:tcPr>
          <w:p>
            <w:pPr>
              <w:pStyle w:val="TableParagraph"/>
              <w:spacing w:before="18"/>
              <w:ind w:right="82"/>
              <w:jc w:val="right"/>
              <w:rPr>
                <w:sz w:val="18"/>
              </w:rPr>
            </w:pPr>
            <w:r>
              <w:rPr>
                <w:w w:val="95"/>
                <w:sz w:val="18"/>
              </w:rPr>
              <w:t>1,599,712</w:t>
            </w:r>
          </w:p>
        </w:tc>
      </w:tr>
      <w:tr>
        <w:trPr>
          <w:trHeight w:val="264" w:hRule="exact"/>
        </w:trPr>
        <w:tc>
          <w:tcPr>
            <w:tcW w:w="433" w:type="dxa"/>
          </w:tcPr>
          <w:p>
            <w:pPr/>
          </w:p>
        </w:tc>
        <w:tc>
          <w:tcPr>
            <w:tcW w:w="6528" w:type="dxa"/>
          </w:tcPr>
          <w:p>
            <w:pPr>
              <w:pStyle w:val="TableParagraph"/>
              <w:spacing w:before="19"/>
              <w:ind w:left="168"/>
              <w:rPr>
                <w:sz w:val="18"/>
              </w:rPr>
            </w:pPr>
            <w:r>
              <w:rPr>
                <w:sz w:val="18"/>
              </w:rPr>
              <w:t>Interest charged</w:t>
            </w:r>
          </w:p>
        </w:tc>
        <w:tc>
          <w:tcPr>
            <w:tcW w:w="1460" w:type="dxa"/>
          </w:tcPr>
          <w:p>
            <w:pPr>
              <w:pStyle w:val="TableParagraph"/>
              <w:spacing w:before="18"/>
              <w:ind w:right="246"/>
              <w:jc w:val="right"/>
              <w:rPr>
                <w:b/>
                <w:sz w:val="18"/>
              </w:rPr>
            </w:pPr>
            <w:r>
              <w:rPr>
                <w:b/>
                <w:w w:val="95"/>
                <w:sz w:val="18"/>
              </w:rPr>
              <w:t>176,975</w:t>
            </w:r>
          </w:p>
        </w:tc>
        <w:tc>
          <w:tcPr>
            <w:tcW w:w="1135" w:type="dxa"/>
          </w:tcPr>
          <w:p>
            <w:pPr>
              <w:pStyle w:val="TableParagraph"/>
              <w:spacing w:before="18"/>
              <w:ind w:right="83"/>
              <w:jc w:val="right"/>
              <w:rPr>
                <w:sz w:val="18"/>
              </w:rPr>
            </w:pPr>
            <w:r>
              <w:rPr>
                <w:w w:val="95"/>
                <w:sz w:val="18"/>
              </w:rPr>
              <w:t>199,317</w:t>
            </w:r>
          </w:p>
        </w:tc>
      </w:tr>
      <w:tr>
        <w:trPr>
          <w:trHeight w:val="264" w:hRule="exact"/>
        </w:trPr>
        <w:tc>
          <w:tcPr>
            <w:tcW w:w="433" w:type="dxa"/>
          </w:tcPr>
          <w:p>
            <w:pPr/>
          </w:p>
        </w:tc>
        <w:tc>
          <w:tcPr>
            <w:tcW w:w="6528" w:type="dxa"/>
          </w:tcPr>
          <w:p>
            <w:pPr>
              <w:pStyle w:val="TableParagraph"/>
              <w:spacing w:before="19"/>
              <w:ind w:left="168"/>
              <w:rPr>
                <w:sz w:val="18"/>
              </w:rPr>
            </w:pPr>
            <w:r>
              <w:rPr>
                <w:sz w:val="18"/>
              </w:rPr>
              <w:t>Loan repayment</w:t>
            </w:r>
          </w:p>
        </w:tc>
        <w:tc>
          <w:tcPr>
            <w:tcW w:w="1460" w:type="dxa"/>
          </w:tcPr>
          <w:p>
            <w:pPr>
              <w:pStyle w:val="TableParagraph"/>
              <w:spacing w:before="18"/>
              <w:ind w:right="186"/>
              <w:jc w:val="right"/>
              <w:rPr>
                <w:b/>
                <w:sz w:val="18"/>
              </w:rPr>
            </w:pPr>
            <w:r>
              <w:rPr>
                <w:b/>
                <w:w w:val="95"/>
                <w:sz w:val="18"/>
              </w:rPr>
              <w:t>(1,960,532)</w:t>
            </w:r>
          </w:p>
        </w:tc>
        <w:tc>
          <w:tcPr>
            <w:tcW w:w="1135" w:type="dxa"/>
          </w:tcPr>
          <w:p>
            <w:pPr>
              <w:pStyle w:val="TableParagraph"/>
              <w:spacing w:before="18"/>
              <w:ind w:right="23"/>
              <w:jc w:val="right"/>
              <w:rPr>
                <w:sz w:val="18"/>
              </w:rPr>
            </w:pPr>
            <w:r>
              <w:rPr>
                <w:w w:val="95"/>
                <w:sz w:val="18"/>
              </w:rPr>
              <w:t>(1,191,115)</w:t>
            </w:r>
          </w:p>
        </w:tc>
      </w:tr>
      <w:tr>
        <w:trPr>
          <w:trHeight w:val="262" w:hRule="exact"/>
        </w:trPr>
        <w:tc>
          <w:tcPr>
            <w:tcW w:w="433" w:type="dxa"/>
          </w:tcPr>
          <w:p>
            <w:pPr/>
          </w:p>
        </w:tc>
        <w:tc>
          <w:tcPr>
            <w:tcW w:w="6528" w:type="dxa"/>
          </w:tcPr>
          <w:p>
            <w:pPr>
              <w:pStyle w:val="TableParagraph"/>
              <w:spacing w:before="19"/>
              <w:ind w:left="168"/>
              <w:rPr>
                <w:sz w:val="18"/>
              </w:rPr>
            </w:pPr>
            <w:r>
              <w:rPr>
                <w:sz w:val="18"/>
              </w:rPr>
              <w:t>Loans forgiven by the parent entity</w:t>
            </w:r>
          </w:p>
        </w:tc>
        <w:tc>
          <w:tcPr>
            <w:tcW w:w="1460" w:type="dxa"/>
            <w:tcBorders>
              <w:bottom w:val="single" w:sz="0" w:space="0" w:color="000000"/>
            </w:tcBorders>
          </w:tcPr>
          <w:p>
            <w:pPr>
              <w:pStyle w:val="TableParagraph"/>
              <w:spacing w:before="18"/>
              <w:ind w:right="186"/>
              <w:jc w:val="right"/>
              <w:rPr>
                <w:b/>
                <w:sz w:val="18"/>
              </w:rPr>
            </w:pPr>
            <w:r>
              <w:rPr>
                <w:b/>
                <w:w w:val="95"/>
                <w:sz w:val="18"/>
              </w:rPr>
              <w:t>(3,935,385)</w:t>
            </w:r>
          </w:p>
        </w:tc>
        <w:tc>
          <w:tcPr>
            <w:tcW w:w="1135" w:type="dxa"/>
            <w:tcBorders>
              <w:bottom w:val="single" w:sz="0" w:space="0" w:color="000000"/>
            </w:tcBorders>
          </w:tcPr>
          <w:p>
            <w:pPr>
              <w:pStyle w:val="TableParagraph"/>
              <w:spacing w:before="18"/>
              <w:ind w:right="227"/>
              <w:jc w:val="right"/>
              <w:rPr>
                <w:sz w:val="18"/>
              </w:rPr>
            </w:pPr>
            <w:r>
              <w:rPr>
                <w:w w:val="99"/>
                <w:sz w:val="18"/>
              </w:rPr>
              <w:t>-</w:t>
            </w:r>
          </w:p>
        </w:tc>
      </w:tr>
      <w:tr>
        <w:trPr>
          <w:trHeight w:val="353" w:hRule="exact"/>
        </w:trPr>
        <w:tc>
          <w:tcPr>
            <w:tcW w:w="433" w:type="dxa"/>
          </w:tcPr>
          <w:p>
            <w:pPr/>
          </w:p>
        </w:tc>
        <w:tc>
          <w:tcPr>
            <w:tcW w:w="6528" w:type="dxa"/>
          </w:tcPr>
          <w:p>
            <w:pPr>
              <w:pStyle w:val="TableParagraph"/>
              <w:spacing w:before="95"/>
              <w:ind w:left="168"/>
              <w:rPr>
                <w:sz w:val="18"/>
              </w:rPr>
            </w:pPr>
            <w:r>
              <w:rPr>
                <w:sz w:val="18"/>
              </w:rPr>
              <w:t>End of the year</w:t>
            </w: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799,365</w:t>
            </w:r>
          </w:p>
        </w:tc>
        <w:tc>
          <w:tcPr>
            <w:tcW w:w="1135" w:type="dxa"/>
            <w:tcBorders>
              <w:top w:val="single" w:sz="0" w:space="0" w:color="000000"/>
              <w:bottom w:val="single" w:sz="0" w:space="0" w:color="000000"/>
            </w:tcBorders>
          </w:tcPr>
          <w:p>
            <w:pPr>
              <w:pStyle w:val="TableParagraph"/>
              <w:spacing w:before="122"/>
              <w:ind w:right="82"/>
              <w:jc w:val="right"/>
              <w:rPr>
                <w:sz w:val="18"/>
              </w:rPr>
            </w:pPr>
            <w:r>
              <w:rPr>
                <w:w w:val="95"/>
                <w:sz w:val="18"/>
              </w:rPr>
              <w:t>5,618,407</w:t>
            </w:r>
          </w:p>
        </w:tc>
      </w:tr>
    </w:tbl>
    <w:p>
      <w:pPr>
        <w:pStyle w:val="BodyText"/>
        <w:spacing w:before="6"/>
        <w:rPr>
          <w:b/>
          <w:sz w:val="20"/>
        </w:rPr>
      </w:pPr>
    </w:p>
    <w:p>
      <w:pPr>
        <w:pStyle w:val="ListParagraph"/>
        <w:numPr>
          <w:ilvl w:val="0"/>
          <w:numId w:val="69"/>
        </w:numPr>
        <w:tabs>
          <w:tab w:pos="504" w:val="left" w:leader="none"/>
        </w:tabs>
        <w:spacing w:line="240" w:lineRule="auto" w:before="77" w:after="0"/>
        <w:ind w:left="503" w:right="0" w:hanging="394"/>
        <w:jc w:val="left"/>
        <w:rPr>
          <w:b/>
          <w:sz w:val="18"/>
        </w:rPr>
      </w:pPr>
      <w:r>
        <w:rPr>
          <w:b/>
          <w:sz w:val="18"/>
        </w:rPr>
        <w:t>Economic</w:t>
      </w:r>
      <w:r>
        <w:rPr>
          <w:b/>
          <w:spacing w:val="-2"/>
          <w:sz w:val="18"/>
        </w:rPr>
        <w:t> </w:t>
      </w:r>
      <w:r>
        <w:rPr>
          <w:b/>
          <w:sz w:val="18"/>
        </w:rPr>
        <w:t>dependency</w:t>
      </w:r>
    </w:p>
    <w:p>
      <w:pPr>
        <w:pStyle w:val="BodyText"/>
        <w:rPr>
          <w:b/>
          <w:sz w:val="25"/>
        </w:rPr>
      </w:pPr>
    </w:p>
    <w:p>
      <w:pPr>
        <w:pStyle w:val="BodyText"/>
        <w:ind w:left="505" w:right="180"/>
      </w:pPr>
      <w:r>
        <w:rPr/>
        <w:t>The Company is economically dependant on Western Sydney University for the provision of office accommodation and support activities.</w:t>
      </w:r>
    </w:p>
    <w:p>
      <w:pPr>
        <w:pStyle w:val="BodyText"/>
        <w:rPr>
          <w:sz w:val="25"/>
        </w:rPr>
      </w:pPr>
    </w:p>
    <w:p>
      <w:pPr>
        <w:pStyle w:val="BodyText"/>
        <w:ind w:left="505" w:right="161"/>
      </w:pPr>
      <w:r>
        <w:rPr/>
        <w:t>The Company, as a wholly owned entity of Western Sydney University, received $ 2,418,063 in direct funding in 2017 for University services.</w:t>
      </w:r>
    </w:p>
    <w:p>
      <w:pPr>
        <w:pStyle w:val="BodyText"/>
        <w:rPr>
          <w:sz w:val="25"/>
        </w:rPr>
      </w:pPr>
    </w:p>
    <w:p>
      <w:pPr>
        <w:pStyle w:val="BodyText"/>
        <w:ind w:left="505" w:right="375"/>
      </w:pPr>
      <w:r>
        <w:rPr/>
        <w:t>The Company's borrowings are from the Parent entity as mentioned in Note 22 (d), with funding limited to day to day working capital.</w:t>
      </w:r>
    </w:p>
    <w:p>
      <w:pPr>
        <w:pStyle w:val="BodyText"/>
        <w:rPr>
          <w:sz w:val="25"/>
        </w:rPr>
      </w:pPr>
    </w:p>
    <w:p>
      <w:pPr>
        <w:pStyle w:val="BodyText"/>
        <w:ind w:left="505" w:right="249"/>
      </w:pPr>
      <w:r>
        <w:rPr/>
        <w:t>The Company is dependent on Western Sydney University to provide financial support should the need arise. A Letter of Support has been provided by Western Sydney University.</w:t>
      </w:r>
    </w:p>
    <w:p>
      <w:pPr>
        <w:pStyle w:val="BodyText"/>
        <w:rPr>
          <w:sz w:val="25"/>
        </w:rPr>
      </w:pPr>
    </w:p>
    <w:p>
      <w:pPr>
        <w:pStyle w:val="Heading9"/>
        <w:numPr>
          <w:ilvl w:val="0"/>
          <w:numId w:val="69"/>
        </w:numPr>
        <w:tabs>
          <w:tab w:pos="504" w:val="left" w:leader="none"/>
        </w:tabs>
        <w:spacing w:line="240" w:lineRule="auto" w:before="0" w:after="0"/>
        <w:ind w:left="503" w:right="0" w:hanging="394"/>
        <w:jc w:val="left"/>
      </w:pPr>
      <w:r>
        <w:rPr/>
        <w:t>Events occurring after the reporting</w:t>
      </w:r>
      <w:r>
        <w:rPr>
          <w:spacing w:val="-1"/>
        </w:rPr>
        <w:t> </w:t>
      </w:r>
      <w:r>
        <w:rPr/>
        <w:t>period</w:t>
      </w:r>
    </w:p>
    <w:p>
      <w:pPr>
        <w:pStyle w:val="BodyText"/>
        <w:spacing w:before="10"/>
        <w:rPr>
          <w:b/>
          <w:sz w:val="24"/>
        </w:rPr>
      </w:pPr>
    </w:p>
    <w:p>
      <w:pPr>
        <w:pStyle w:val="BodyText"/>
        <w:spacing w:before="1"/>
        <w:ind w:left="505" w:right="119"/>
      </w:pPr>
      <w:r>
        <w:rPr/>
        <w:t>No matters or circumstances have arisen since the end of the financial year which significantly affected or may significantly affect the operations of the Company, the results of those operations, or the state of affairs of the Company in future financial years  (2016: $Nil).</w:t>
      </w:r>
    </w:p>
    <w:p>
      <w:pPr>
        <w:spacing w:after="0"/>
        <w:sectPr>
          <w:headerReference w:type="default" r:id="rId86"/>
          <w:pgSz w:w="11910" w:h="16840"/>
          <w:pgMar w:header="1038" w:footer="460" w:top="2440" w:bottom="700" w:left="900" w:right="860"/>
        </w:sectPr>
      </w:pPr>
    </w:p>
    <w:p>
      <w:pPr>
        <w:pStyle w:val="BodyText"/>
        <w:spacing w:before="8"/>
      </w:pPr>
    </w:p>
    <w:p>
      <w:pPr>
        <w:pStyle w:val="Heading9"/>
        <w:numPr>
          <w:ilvl w:val="0"/>
          <w:numId w:val="69"/>
        </w:numPr>
        <w:tabs>
          <w:tab w:pos="506" w:val="left" w:leader="none"/>
        </w:tabs>
        <w:spacing w:line="240" w:lineRule="auto" w:before="77" w:after="0"/>
        <w:ind w:left="505" w:right="0" w:hanging="396"/>
        <w:jc w:val="left"/>
      </w:pPr>
      <w:r>
        <w:rPr/>
        <w:t>Reconciliation of surplus/(deficit) to net cash flows from operating</w:t>
      </w:r>
      <w:r>
        <w:rPr>
          <w:spacing w:val="-3"/>
        </w:rPr>
        <w:t> </w:t>
      </w:r>
      <w:r>
        <w:rPr/>
        <w:t>activities</w:t>
      </w:r>
    </w:p>
    <w:p>
      <w:pPr>
        <w:pStyle w:val="BodyText"/>
        <w:rPr>
          <w:b/>
          <w:sz w:val="20"/>
        </w:rPr>
      </w:pPr>
    </w:p>
    <w:p>
      <w:pPr>
        <w:pStyle w:val="BodyText"/>
        <w:spacing w:before="1" w:after="1"/>
        <w:rPr>
          <w:b/>
          <w:sz w:val="19"/>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63"/>
        <w:gridCol w:w="1460"/>
        <w:gridCol w:w="1135"/>
      </w:tblGrid>
      <w:tr>
        <w:trPr>
          <w:trHeight w:val="864" w:hRule="exact"/>
        </w:trPr>
        <w:tc>
          <w:tcPr>
            <w:tcW w:w="6963" w:type="dxa"/>
          </w:tcPr>
          <w:p>
            <w:pPr>
              <w:pStyle w:val="TableParagraph"/>
              <w:rPr>
                <w:b/>
                <w:sz w:val="18"/>
              </w:rPr>
            </w:pPr>
          </w:p>
          <w:p>
            <w:pPr>
              <w:pStyle w:val="TableParagraph"/>
              <w:rPr>
                <w:b/>
                <w:sz w:val="18"/>
              </w:rPr>
            </w:pPr>
          </w:p>
          <w:p>
            <w:pPr>
              <w:pStyle w:val="TableParagraph"/>
              <w:spacing w:before="8"/>
              <w:rPr>
                <w:b/>
                <w:sz w:val="17"/>
              </w:rPr>
            </w:pPr>
          </w:p>
          <w:p>
            <w:pPr>
              <w:pStyle w:val="TableParagraph"/>
              <w:ind w:left="35"/>
              <w:rPr>
                <w:sz w:val="18"/>
              </w:rPr>
            </w:pPr>
            <w:r>
              <w:rPr>
                <w:sz w:val="18"/>
              </w:rPr>
              <w:t>Surplus / (Deficit) for the year</w:t>
            </w:r>
          </w:p>
        </w:tc>
        <w:tc>
          <w:tcPr>
            <w:tcW w:w="1460" w:type="dxa"/>
          </w:tcPr>
          <w:p>
            <w:pPr>
              <w:pStyle w:val="TableParagraph"/>
              <w:spacing w:before="77"/>
              <w:ind w:left="448"/>
              <w:rPr>
                <w:b/>
                <w:sz w:val="18"/>
              </w:rPr>
            </w:pPr>
            <w:r>
              <w:rPr>
                <w:b/>
                <w:sz w:val="18"/>
              </w:rPr>
              <w:t>2017</w:t>
            </w:r>
          </w:p>
          <w:p>
            <w:pPr>
              <w:pStyle w:val="TableParagraph"/>
              <w:spacing w:line="312" w:lineRule="auto" w:before="66"/>
              <w:ind w:left="410" w:right="229" w:firstLine="188"/>
              <w:rPr>
                <w:b/>
                <w:sz w:val="18"/>
              </w:rPr>
            </w:pPr>
            <w:r>
              <w:rPr>
                <w:b/>
                <w:sz w:val="18"/>
              </w:rPr>
              <w:t>$ 3,109,414</w:t>
            </w:r>
          </w:p>
        </w:tc>
        <w:tc>
          <w:tcPr>
            <w:tcW w:w="1135" w:type="dxa"/>
          </w:tcPr>
          <w:p>
            <w:pPr>
              <w:pStyle w:val="TableParagraph"/>
              <w:spacing w:before="77"/>
              <w:ind w:left="254" w:right="440"/>
              <w:jc w:val="center"/>
              <w:rPr>
                <w:b/>
                <w:sz w:val="18"/>
              </w:rPr>
            </w:pPr>
            <w:r>
              <w:rPr>
                <w:b/>
                <w:sz w:val="18"/>
              </w:rPr>
              <w:t>2016</w:t>
            </w:r>
          </w:p>
          <w:p>
            <w:pPr>
              <w:pStyle w:val="TableParagraph"/>
              <w:spacing w:before="66"/>
              <w:ind w:right="186"/>
              <w:jc w:val="center"/>
              <w:rPr>
                <w:b/>
                <w:sz w:val="18"/>
              </w:rPr>
            </w:pPr>
            <w:r>
              <w:rPr>
                <w:b/>
                <w:w w:val="99"/>
                <w:sz w:val="18"/>
              </w:rPr>
              <w:t>$</w:t>
            </w:r>
          </w:p>
          <w:p>
            <w:pPr>
              <w:pStyle w:val="TableParagraph"/>
              <w:spacing w:before="62"/>
              <w:ind w:left="188"/>
              <w:rPr>
                <w:sz w:val="18"/>
              </w:rPr>
            </w:pPr>
            <w:r>
              <w:rPr>
                <w:sz w:val="18"/>
              </w:rPr>
              <w:t>(1,554,492)</w:t>
            </w:r>
          </w:p>
        </w:tc>
      </w:tr>
      <w:tr>
        <w:trPr>
          <w:trHeight w:val="264" w:hRule="exact"/>
        </w:trPr>
        <w:tc>
          <w:tcPr>
            <w:tcW w:w="6963" w:type="dxa"/>
          </w:tcPr>
          <w:p>
            <w:pPr>
              <w:pStyle w:val="TableParagraph"/>
              <w:spacing w:before="18"/>
              <w:ind w:left="249"/>
              <w:rPr>
                <w:sz w:val="18"/>
              </w:rPr>
            </w:pPr>
            <w:r>
              <w:rPr>
                <w:sz w:val="18"/>
              </w:rPr>
              <w:t>Depreciation and amortisation</w:t>
            </w:r>
          </w:p>
        </w:tc>
        <w:tc>
          <w:tcPr>
            <w:tcW w:w="1460" w:type="dxa"/>
          </w:tcPr>
          <w:p>
            <w:pPr>
              <w:pStyle w:val="TableParagraph"/>
              <w:spacing w:before="19"/>
              <w:ind w:right="247"/>
              <w:jc w:val="right"/>
              <w:rPr>
                <w:b/>
                <w:sz w:val="18"/>
              </w:rPr>
            </w:pPr>
            <w:r>
              <w:rPr>
                <w:b/>
                <w:w w:val="95"/>
                <w:sz w:val="18"/>
              </w:rPr>
              <w:t>20,059</w:t>
            </w:r>
          </w:p>
        </w:tc>
        <w:tc>
          <w:tcPr>
            <w:tcW w:w="1135" w:type="dxa"/>
          </w:tcPr>
          <w:p>
            <w:pPr>
              <w:pStyle w:val="TableParagraph"/>
              <w:spacing w:before="19"/>
              <w:ind w:right="83"/>
              <w:jc w:val="right"/>
              <w:rPr>
                <w:sz w:val="18"/>
              </w:rPr>
            </w:pPr>
            <w:r>
              <w:rPr>
                <w:w w:val="95"/>
                <w:sz w:val="18"/>
              </w:rPr>
              <w:t>58,966</w:t>
            </w:r>
          </w:p>
        </w:tc>
      </w:tr>
      <w:tr>
        <w:trPr>
          <w:trHeight w:val="264" w:hRule="exact"/>
        </w:trPr>
        <w:tc>
          <w:tcPr>
            <w:tcW w:w="6963" w:type="dxa"/>
          </w:tcPr>
          <w:p>
            <w:pPr>
              <w:pStyle w:val="TableParagraph"/>
              <w:spacing w:before="18"/>
              <w:ind w:left="249"/>
              <w:rPr>
                <w:sz w:val="18"/>
              </w:rPr>
            </w:pPr>
            <w:r>
              <w:rPr>
                <w:sz w:val="18"/>
              </w:rPr>
              <w:t>Loans forgiven by the ultimate parent entity</w:t>
            </w:r>
          </w:p>
        </w:tc>
        <w:tc>
          <w:tcPr>
            <w:tcW w:w="1460" w:type="dxa"/>
          </w:tcPr>
          <w:p>
            <w:pPr>
              <w:pStyle w:val="TableParagraph"/>
              <w:spacing w:before="19"/>
              <w:ind w:right="186"/>
              <w:jc w:val="right"/>
              <w:rPr>
                <w:b/>
                <w:sz w:val="18"/>
              </w:rPr>
            </w:pPr>
            <w:r>
              <w:rPr>
                <w:b/>
                <w:w w:val="95"/>
                <w:sz w:val="18"/>
              </w:rPr>
              <w:t>(3,935,385)</w:t>
            </w:r>
          </w:p>
        </w:tc>
        <w:tc>
          <w:tcPr>
            <w:tcW w:w="1135" w:type="dxa"/>
          </w:tcPr>
          <w:p>
            <w:pPr>
              <w:pStyle w:val="TableParagraph"/>
              <w:spacing w:before="19"/>
              <w:ind w:right="227"/>
              <w:jc w:val="right"/>
              <w:rPr>
                <w:sz w:val="18"/>
              </w:rPr>
            </w:pPr>
            <w:r>
              <w:rPr>
                <w:w w:val="99"/>
                <w:sz w:val="18"/>
              </w:rPr>
              <w:t>-</w:t>
            </w:r>
          </w:p>
        </w:tc>
      </w:tr>
      <w:tr>
        <w:trPr>
          <w:trHeight w:val="264" w:hRule="exact"/>
        </w:trPr>
        <w:tc>
          <w:tcPr>
            <w:tcW w:w="6963" w:type="dxa"/>
          </w:tcPr>
          <w:p>
            <w:pPr>
              <w:pStyle w:val="TableParagraph"/>
              <w:spacing w:before="18"/>
              <w:ind w:left="249"/>
              <w:rPr>
                <w:sz w:val="18"/>
              </w:rPr>
            </w:pPr>
            <w:r>
              <w:rPr>
                <w:sz w:val="18"/>
              </w:rPr>
              <w:t>Net (gain)/loss on sale of non-current assets</w:t>
            </w:r>
          </w:p>
        </w:tc>
        <w:tc>
          <w:tcPr>
            <w:tcW w:w="1460" w:type="dxa"/>
          </w:tcPr>
          <w:p>
            <w:pPr>
              <w:pStyle w:val="TableParagraph"/>
              <w:spacing w:before="19"/>
              <w:ind w:right="187"/>
              <w:jc w:val="right"/>
              <w:rPr>
                <w:b/>
                <w:sz w:val="18"/>
              </w:rPr>
            </w:pPr>
            <w:r>
              <w:rPr>
                <w:b/>
                <w:w w:val="95"/>
                <w:sz w:val="18"/>
              </w:rPr>
              <w:t>(85,596)</w:t>
            </w:r>
          </w:p>
        </w:tc>
        <w:tc>
          <w:tcPr>
            <w:tcW w:w="1135" w:type="dxa"/>
          </w:tcPr>
          <w:p>
            <w:pPr>
              <w:pStyle w:val="TableParagraph"/>
              <w:spacing w:before="19"/>
              <w:ind w:right="23"/>
              <w:jc w:val="right"/>
              <w:rPr>
                <w:sz w:val="18"/>
              </w:rPr>
            </w:pPr>
            <w:r>
              <w:rPr>
                <w:w w:val="95"/>
                <w:sz w:val="18"/>
              </w:rPr>
              <w:t>(374,111)</w:t>
            </w:r>
          </w:p>
        </w:tc>
      </w:tr>
      <w:tr>
        <w:trPr>
          <w:trHeight w:val="262" w:hRule="exact"/>
        </w:trPr>
        <w:tc>
          <w:tcPr>
            <w:tcW w:w="6963" w:type="dxa"/>
          </w:tcPr>
          <w:p>
            <w:pPr>
              <w:pStyle w:val="TableParagraph"/>
              <w:spacing w:before="18"/>
              <w:ind w:left="35"/>
              <w:rPr>
                <w:sz w:val="18"/>
              </w:rPr>
            </w:pPr>
            <w:r>
              <w:rPr>
                <w:sz w:val="18"/>
              </w:rPr>
              <w:t>Changes in operating assets and liabilities</w:t>
            </w:r>
          </w:p>
        </w:tc>
        <w:tc>
          <w:tcPr>
            <w:tcW w:w="1460" w:type="dxa"/>
          </w:tcPr>
          <w:p>
            <w:pPr/>
          </w:p>
        </w:tc>
        <w:tc>
          <w:tcPr>
            <w:tcW w:w="1135" w:type="dxa"/>
          </w:tcPr>
          <w:p>
            <w:pPr/>
          </w:p>
        </w:tc>
      </w:tr>
      <w:tr>
        <w:trPr>
          <w:trHeight w:val="263" w:hRule="exact"/>
        </w:trPr>
        <w:tc>
          <w:tcPr>
            <w:tcW w:w="6963" w:type="dxa"/>
          </w:tcPr>
          <w:p>
            <w:pPr>
              <w:pStyle w:val="TableParagraph"/>
              <w:spacing w:before="18"/>
              <w:ind w:left="249"/>
              <w:rPr>
                <w:sz w:val="18"/>
              </w:rPr>
            </w:pPr>
            <w:r>
              <w:rPr>
                <w:sz w:val="18"/>
              </w:rPr>
              <w:t>(Increase)/decrease in trade debtors</w:t>
            </w:r>
          </w:p>
        </w:tc>
        <w:tc>
          <w:tcPr>
            <w:tcW w:w="1460" w:type="dxa"/>
          </w:tcPr>
          <w:p>
            <w:pPr>
              <w:pStyle w:val="TableParagraph"/>
              <w:spacing w:before="19"/>
              <w:ind w:left="410"/>
              <w:rPr>
                <w:b/>
                <w:sz w:val="18"/>
              </w:rPr>
            </w:pPr>
            <w:r>
              <w:rPr>
                <w:b/>
                <w:sz w:val="18"/>
              </w:rPr>
              <w:t>2,204,437</w:t>
            </w:r>
          </w:p>
        </w:tc>
        <w:tc>
          <w:tcPr>
            <w:tcW w:w="1135" w:type="dxa"/>
          </w:tcPr>
          <w:p>
            <w:pPr>
              <w:pStyle w:val="TableParagraph"/>
              <w:spacing w:before="19"/>
              <w:ind w:right="23"/>
              <w:jc w:val="right"/>
              <w:rPr>
                <w:sz w:val="18"/>
              </w:rPr>
            </w:pPr>
            <w:r>
              <w:rPr>
                <w:w w:val="95"/>
                <w:sz w:val="18"/>
              </w:rPr>
              <w:t>(1,184,846)</w:t>
            </w:r>
          </w:p>
        </w:tc>
      </w:tr>
      <w:tr>
        <w:trPr>
          <w:trHeight w:val="264" w:hRule="exact"/>
        </w:trPr>
        <w:tc>
          <w:tcPr>
            <w:tcW w:w="6963" w:type="dxa"/>
          </w:tcPr>
          <w:p>
            <w:pPr>
              <w:pStyle w:val="TableParagraph"/>
              <w:spacing w:before="18"/>
              <w:ind w:left="249"/>
              <w:rPr>
                <w:sz w:val="18"/>
              </w:rPr>
            </w:pPr>
            <w:r>
              <w:rPr>
                <w:sz w:val="18"/>
              </w:rPr>
              <w:t>(Increase)/decrease in inventories</w:t>
            </w:r>
          </w:p>
        </w:tc>
        <w:tc>
          <w:tcPr>
            <w:tcW w:w="1460" w:type="dxa"/>
          </w:tcPr>
          <w:p>
            <w:pPr>
              <w:pStyle w:val="TableParagraph"/>
              <w:spacing w:before="19"/>
              <w:ind w:right="187"/>
              <w:jc w:val="right"/>
              <w:rPr>
                <w:b/>
                <w:sz w:val="18"/>
              </w:rPr>
            </w:pPr>
            <w:r>
              <w:rPr>
                <w:b/>
                <w:w w:val="95"/>
                <w:sz w:val="18"/>
              </w:rPr>
              <w:t>(43,307)</w:t>
            </w:r>
          </w:p>
        </w:tc>
        <w:tc>
          <w:tcPr>
            <w:tcW w:w="1135" w:type="dxa"/>
          </w:tcPr>
          <w:p>
            <w:pPr>
              <w:pStyle w:val="TableParagraph"/>
              <w:spacing w:before="19"/>
              <w:ind w:right="82"/>
              <w:jc w:val="right"/>
              <w:rPr>
                <w:sz w:val="18"/>
              </w:rPr>
            </w:pPr>
            <w:r>
              <w:rPr>
                <w:w w:val="95"/>
                <w:sz w:val="18"/>
              </w:rPr>
              <w:t>2,873,439</w:t>
            </w:r>
          </w:p>
        </w:tc>
      </w:tr>
      <w:tr>
        <w:trPr>
          <w:trHeight w:val="264" w:hRule="exact"/>
        </w:trPr>
        <w:tc>
          <w:tcPr>
            <w:tcW w:w="6963" w:type="dxa"/>
          </w:tcPr>
          <w:p>
            <w:pPr>
              <w:pStyle w:val="TableParagraph"/>
              <w:spacing w:before="18"/>
              <w:ind w:left="249"/>
              <w:rPr>
                <w:sz w:val="18"/>
              </w:rPr>
            </w:pPr>
            <w:r>
              <w:rPr>
                <w:sz w:val="18"/>
              </w:rPr>
              <w:t>(Increase)/decrease in other operating assets</w:t>
            </w:r>
          </w:p>
        </w:tc>
        <w:tc>
          <w:tcPr>
            <w:tcW w:w="1460" w:type="dxa"/>
          </w:tcPr>
          <w:p>
            <w:pPr>
              <w:pStyle w:val="TableParagraph"/>
              <w:spacing w:before="19"/>
              <w:ind w:right="188"/>
              <w:jc w:val="right"/>
              <w:rPr>
                <w:b/>
                <w:sz w:val="18"/>
              </w:rPr>
            </w:pPr>
            <w:r>
              <w:rPr>
                <w:b/>
                <w:sz w:val="18"/>
              </w:rPr>
              <w:t>(2,684)</w:t>
            </w:r>
          </w:p>
        </w:tc>
        <w:tc>
          <w:tcPr>
            <w:tcW w:w="1135" w:type="dxa"/>
          </w:tcPr>
          <w:p>
            <w:pPr>
              <w:pStyle w:val="TableParagraph"/>
              <w:spacing w:before="19"/>
              <w:ind w:right="83"/>
              <w:jc w:val="right"/>
              <w:rPr>
                <w:sz w:val="18"/>
              </w:rPr>
            </w:pPr>
            <w:r>
              <w:rPr>
                <w:w w:val="95"/>
                <w:sz w:val="18"/>
              </w:rPr>
              <w:t>53,415</w:t>
            </w:r>
          </w:p>
        </w:tc>
      </w:tr>
      <w:tr>
        <w:trPr>
          <w:trHeight w:val="264" w:hRule="exact"/>
        </w:trPr>
        <w:tc>
          <w:tcPr>
            <w:tcW w:w="6963" w:type="dxa"/>
          </w:tcPr>
          <w:p>
            <w:pPr>
              <w:pStyle w:val="TableParagraph"/>
              <w:spacing w:before="18"/>
              <w:ind w:left="249"/>
              <w:rPr>
                <w:sz w:val="18"/>
              </w:rPr>
            </w:pPr>
            <w:r>
              <w:rPr>
                <w:sz w:val="18"/>
              </w:rPr>
              <w:t>Increase/(decrease) in trade creditors</w:t>
            </w:r>
          </w:p>
        </w:tc>
        <w:tc>
          <w:tcPr>
            <w:tcW w:w="1460" w:type="dxa"/>
          </w:tcPr>
          <w:p>
            <w:pPr>
              <w:pStyle w:val="TableParagraph"/>
              <w:spacing w:before="19"/>
              <w:ind w:right="186"/>
              <w:jc w:val="right"/>
              <w:rPr>
                <w:b/>
                <w:sz w:val="18"/>
              </w:rPr>
            </w:pPr>
            <w:r>
              <w:rPr>
                <w:b/>
                <w:w w:val="95"/>
                <w:sz w:val="18"/>
              </w:rPr>
              <w:t>(1,130,438)</w:t>
            </w:r>
          </w:p>
        </w:tc>
        <w:tc>
          <w:tcPr>
            <w:tcW w:w="1135" w:type="dxa"/>
          </w:tcPr>
          <w:p>
            <w:pPr>
              <w:pStyle w:val="TableParagraph"/>
              <w:spacing w:before="19"/>
              <w:ind w:right="23"/>
              <w:jc w:val="right"/>
              <w:rPr>
                <w:sz w:val="18"/>
              </w:rPr>
            </w:pPr>
            <w:r>
              <w:rPr>
                <w:w w:val="95"/>
                <w:sz w:val="18"/>
              </w:rPr>
              <w:t>(374,483)</w:t>
            </w:r>
          </w:p>
        </w:tc>
      </w:tr>
      <w:tr>
        <w:trPr>
          <w:trHeight w:val="264" w:hRule="exact"/>
        </w:trPr>
        <w:tc>
          <w:tcPr>
            <w:tcW w:w="6963" w:type="dxa"/>
          </w:tcPr>
          <w:p>
            <w:pPr>
              <w:pStyle w:val="TableParagraph"/>
              <w:spacing w:before="18"/>
              <w:ind w:left="249"/>
              <w:rPr>
                <w:sz w:val="18"/>
              </w:rPr>
            </w:pPr>
            <w:r>
              <w:rPr>
                <w:sz w:val="18"/>
              </w:rPr>
              <w:t>Increase/(decrease) in other operating liabilities</w:t>
            </w:r>
          </w:p>
        </w:tc>
        <w:tc>
          <w:tcPr>
            <w:tcW w:w="1460" w:type="dxa"/>
          </w:tcPr>
          <w:p>
            <w:pPr>
              <w:pStyle w:val="TableParagraph"/>
              <w:spacing w:before="19"/>
              <w:ind w:right="187"/>
              <w:jc w:val="right"/>
              <w:rPr>
                <w:b/>
                <w:sz w:val="18"/>
              </w:rPr>
            </w:pPr>
            <w:r>
              <w:rPr>
                <w:b/>
                <w:w w:val="95"/>
                <w:sz w:val="18"/>
              </w:rPr>
              <w:t>(104,985)</w:t>
            </w:r>
          </w:p>
        </w:tc>
        <w:tc>
          <w:tcPr>
            <w:tcW w:w="1135" w:type="dxa"/>
          </w:tcPr>
          <w:p>
            <w:pPr>
              <w:pStyle w:val="TableParagraph"/>
              <w:spacing w:before="19"/>
              <w:ind w:right="23"/>
              <w:jc w:val="right"/>
              <w:rPr>
                <w:sz w:val="18"/>
              </w:rPr>
            </w:pPr>
            <w:r>
              <w:rPr>
                <w:w w:val="95"/>
                <w:sz w:val="18"/>
              </w:rPr>
              <w:t>(124,076)</w:t>
            </w:r>
          </w:p>
        </w:tc>
      </w:tr>
      <w:tr>
        <w:trPr>
          <w:trHeight w:val="263" w:hRule="exact"/>
        </w:trPr>
        <w:tc>
          <w:tcPr>
            <w:tcW w:w="6963" w:type="dxa"/>
          </w:tcPr>
          <w:p>
            <w:pPr>
              <w:pStyle w:val="TableParagraph"/>
              <w:spacing w:before="18"/>
              <w:ind w:left="249"/>
              <w:rPr>
                <w:sz w:val="18"/>
              </w:rPr>
            </w:pPr>
            <w:r>
              <w:rPr>
                <w:sz w:val="18"/>
              </w:rPr>
              <w:t>Increase/(decrease) in other provisions</w:t>
            </w:r>
          </w:p>
        </w:tc>
        <w:tc>
          <w:tcPr>
            <w:tcW w:w="1460" w:type="dxa"/>
            <w:tcBorders>
              <w:bottom w:val="single" w:sz="0" w:space="0" w:color="000000"/>
            </w:tcBorders>
          </w:tcPr>
          <w:p>
            <w:pPr>
              <w:pStyle w:val="TableParagraph"/>
              <w:spacing w:before="19"/>
              <w:ind w:right="187"/>
              <w:jc w:val="right"/>
              <w:rPr>
                <w:b/>
                <w:sz w:val="18"/>
              </w:rPr>
            </w:pPr>
            <w:r>
              <w:rPr>
                <w:b/>
                <w:w w:val="95"/>
                <w:sz w:val="18"/>
              </w:rPr>
              <w:t>(165,563)</w:t>
            </w:r>
          </w:p>
        </w:tc>
        <w:tc>
          <w:tcPr>
            <w:tcW w:w="1135" w:type="dxa"/>
            <w:tcBorders>
              <w:bottom w:val="single" w:sz="0" w:space="0" w:color="000000"/>
            </w:tcBorders>
          </w:tcPr>
          <w:p>
            <w:pPr>
              <w:pStyle w:val="TableParagraph"/>
              <w:spacing w:before="19"/>
              <w:ind w:right="23"/>
              <w:jc w:val="right"/>
              <w:rPr>
                <w:sz w:val="18"/>
              </w:rPr>
            </w:pPr>
            <w:r>
              <w:rPr>
                <w:w w:val="95"/>
                <w:sz w:val="18"/>
              </w:rPr>
              <w:t>(55,109)</w:t>
            </w:r>
          </w:p>
        </w:tc>
      </w:tr>
    </w:tbl>
    <w:p>
      <w:pPr>
        <w:tabs>
          <w:tab w:pos="7931" w:val="left" w:leader="none"/>
          <w:tab w:pos="9230" w:val="left" w:leader="none"/>
        </w:tabs>
        <w:spacing w:before="39" w:after="2"/>
        <w:ind w:left="504" w:right="94" w:firstLine="0"/>
        <w:jc w:val="left"/>
        <w:rPr>
          <w:sz w:val="18"/>
        </w:rPr>
      </w:pPr>
      <w:r>
        <w:rPr>
          <w:b/>
          <w:sz w:val="18"/>
        </w:rPr>
        <w:t>Net cash flows used in operating activities</w:t>
        <w:tab/>
      </w:r>
      <w:r>
        <w:rPr>
          <w:b/>
          <w:position w:val="-7"/>
          <w:sz w:val="18"/>
        </w:rPr>
        <w:t>(134,048)</w:t>
        <w:tab/>
      </w:r>
      <w:r>
        <w:rPr>
          <w:position w:val="-7"/>
          <w:sz w:val="18"/>
        </w:rPr>
        <w:t>(681,297)</w:t>
      </w:r>
    </w:p>
    <w:p>
      <w:pPr>
        <w:pStyle w:val="BodyText"/>
        <w:spacing w:line="50" w:lineRule="exact"/>
        <w:ind w:left="7430"/>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rPr>
          <w:sz w:val="20"/>
        </w:rPr>
      </w:pPr>
    </w:p>
    <w:p>
      <w:pPr>
        <w:pStyle w:val="BodyText"/>
        <w:rPr>
          <w:sz w:val="20"/>
        </w:rPr>
      </w:pPr>
    </w:p>
    <w:p>
      <w:pPr>
        <w:pStyle w:val="BodyText"/>
        <w:spacing w:before="4"/>
        <w:rPr>
          <w:sz w:val="21"/>
        </w:rPr>
      </w:pPr>
    </w:p>
    <w:p>
      <w:pPr>
        <w:pStyle w:val="BodyText"/>
        <w:spacing w:before="77"/>
        <w:ind w:left="505" w:right="161"/>
      </w:pPr>
      <w:r>
        <w:rPr/>
        <w:t>End of the audited financial statements</w:t>
      </w:r>
    </w:p>
    <w:p>
      <w:pPr>
        <w:spacing w:after="0"/>
        <w:sectPr>
          <w:headerReference w:type="default" r:id="rId87"/>
          <w:pgSz w:w="11910" w:h="16840"/>
          <w:pgMar w:header="1038" w:footer="460" w:top="2440" w:bottom="700" w:left="900" w:right="860"/>
        </w:sectPr>
      </w:pPr>
    </w:p>
    <w:p>
      <w:pPr>
        <w:pStyle w:val="BodyText"/>
        <w:spacing w:before="2"/>
        <w:rPr>
          <w:sz w:val="24"/>
        </w:rPr>
      </w:pPr>
    </w:p>
    <w:p>
      <w:pPr>
        <w:pStyle w:val="Heading3"/>
        <w:ind w:left="348" w:right="408"/>
      </w:pPr>
      <w:r>
        <w:rPr/>
        <w:t>Statement by Directors</w:t>
      </w:r>
    </w:p>
    <w:p>
      <w:pPr>
        <w:pStyle w:val="BodyText"/>
        <w:rPr>
          <w:b/>
          <w:sz w:val="25"/>
        </w:rPr>
      </w:pPr>
    </w:p>
    <w:p>
      <w:pPr>
        <w:pStyle w:val="BodyText"/>
        <w:ind w:left="348" w:right="408"/>
      </w:pPr>
      <w:r>
        <w:rPr/>
        <w:t>The directors of Western Unlimited Ltd declare that:</w:t>
      </w:r>
    </w:p>
    <w:p>
      <w:pPr>
        <w:pStyle w:val="BodyText"/>
        <w:spacing w:before="10"/>
        <w:rPr>
          <w:sz w:val="17"/>
        </w:rPr>
      </w:pPr>
    </w:p>
    <w:p>
      <w:pPr>
        <w:pStyle w:val="ListParagraph"/>
        <w:numPr>
          <w:ilvl w:val="1"/>
          <w:numId w:val="69"/>
        </w:numPr>
        <w:tabs>
          <w:tab w:pos="745" w:val="left" w:leader="none"/>
        </w:tabs>
        <w:spacing w:line="240" w:lineRule="auto" w:before="0" w:after="0"/>
        <w:ind w:left="744" w:right="0" w:hanging="396"/>
        <w:jc w:val="left"/>
        <w:rPr>
          <w:sz w:val="18"/>
        </w:rPr>
      </w:pPr>
      <w:r>
        <w:rPr>
          <w:sz w:val="18"/>
        </w:rPr>
        <w:t>The financial statements and</w:t>
      </w:r>
      <w:r>
        <w:rPr>
          <w:spacing w:val="-1"/>
          <w:sz w:val="18"/>
        </w:rPr>
        <w:t> </w:t>
      </w:r>
      <w:r>
        <w:rPr>
          <w:sz w:val="18"/>
        </w:rPr>
        <w:t>notes:</w:t>
      </w:r>
    </w:p>
    <w:p>
      <w:pPr>
        <w:pStyle w:val="BodyText"/>
        <w:rPr>
          <w:sz w:val="25"/>
        </w:rPr>
      </w:pPr>
    </w:p>
    <w:p>
      <w:pPr>
        <w:pStyle w:val="ListParagraph"/>
        <w:numPr>
          <w:ilvl w:val="2"/>
          <w:numId w:val="69"/>
        </w:numPr>
        <w:tabs>
          <w:tab w:pos="1142" w:val="left" w:leader="none"/>
        </w:tabs>
        <w:spacing w:line="240" w:lineRule="auto" w:before="0" w:after="0"/>
        <w:ind w:left="1141" w:right="0" w:hanging="397"/>
        <w:jc w:val="left"/>
        <w:rPr>
          <w:sz w:val="18"/>
        </w:rPr>
      </w:pPr>
      <w:r>
        <w:rPr>
          <w:sz w:val="18"/>
        </w:rPr>
        <w:t>comply with Australian Accounting Standards (which include Australian Accounting</w:t>
      </w:r>
      <w:r>
        <w:rPr>
          <w:spacing w:val="-2"/>
          <w:sz w:val="18"/>
        </w:rPr>
        <w:t> </w:t>
      </w:r>
      <w:r>
        <w:rPr>
          <w:sz w:val="18"/>
        </w:rPr>
        <w:t>Interpretations).</w:t>
      </w:r>
    </w:p>
    <w:p>
      <w:pPr>
        <w:pStyle w:val="BodyText"/>
        <w:spacing w:before="1"/>
        <w:rPr>
          <w:sz w:val="25"/>
        </w:rPr>
      </w:pPr>
    </w:p>
    <w:p>
      <w:pPr>
        <w:pStyle w:val="ListParagraph"/>
        <w:numPr>
          <w:ilvl w:val="2"/>
          <w:numId w:val="69"/>
        </w:numPr>
        <w:tabs>
          <w:tab w:pos="1142" w:val="left" w:leader="none"/>
        </w:tabs>
        <w:spacing w:line="240" w:lineRule="auto" w:before="0" w:after="0"/>
        <w:ind w:left="1141" w:right="0" w:hanging="397"/>
        <w:jc w:val="left"/>
        <w:rPr>
          <w:i/>
          <w:sz w:val="18"/>
        </w:rPr>
      </w:pPr>
      <w:r>
        <w:rPr>
          <w:sz w:val="18"/>
        </w:rPr>
        <w:t>comply with the </w:t>
      </w:r>
      <w:r>
        <w:rPr>
          <w:i/>
          <w:sz w:val="18"/>
        </w:rPr>
        <w:t>Public Finance and Audit Act 1983 </w:t>
      </w:r>
      <w:r>
        <w:rPr>
          <w:sz w:val="18"/>
        </w:rPr>
        <w:t>and the </w:t>
      </w:r>
      <w:r>
        <w:rPr>
          <w:i/>
          <w:sz w:val="18"/>
        </w:rPr>
        <w:t>Public Finance and Audit Regulation</w:t>
      </w:r>
      <w:r>
        <w:rPr>
          <w:i/>
          <w:spacing w:val="-17"/>
          <w:sz w:val="18"/>
        </w:rPr>
        <w:t> </w:t>
      </w:r>
      <w:r>
        <w:rPr>
          <w:i/>
          <w:sz w:val="18"/>
        </w:rPr>
        <w:t>2015</w:t>
      </w:r>
    </w:p>
    <w:p>
      <w:pPr>
        <w:pStyle w:val="BodyText"/>
        <w:rPr>
          <w:i/>
          <w:sz w:val="25"/>
        </w:rPr>
      </w:pPr>
    </w:p>
    <w:p>
      <w:pPr>
        <w:pStyle w:val="ListParagraph"/>
        <w:numPr>
          <w:ilvl w:val="2"/>
          <w:numId w:val="69"/>
        </w:numPr>
        <w:tabs>
          <w:tab w:pos="1142" w:val="left" w:leader="none"/>
        </w:tabs>
        <w:spacing w:line="240" w:lineRule="auto" w:before="0" w:after="0"/>
        <w:ind w:left="1141" w:right="352" w:hanging="397"/>
        <w:jc w:val="left"/>
        <w:rPr>
          <w:sz w:val="18"/>
        </w:rPr>
      </w:pPr>
      <w:r>
        <w:rPr>
          <w:sz w:val="18"/>
        </w:rPr>
        <w:t>give a true and fair view of the financial position as at 31 December 2017 and financial performance for the</w:t>
      </w:r>
      <w:r>
        <w:rPr>
          <w:spacing w:val="-18"/>
          <w:sz w:val="18"/>
        </w:rPr>
        <w:t> </w:t>
      </w:r>
      <w:r>
        <w:rPr>
          <w:sz w:val="18"/>
        </w:rPr>
        <w:t>year ended on that date of Western Unlimited</w:t>
      </w:r>
      <w:r>
        <w:rPr>
          <w:spacing w:val="-9"/>
          <w:sz w:val="18"/>
        </w:rPr>
        <w:t> </w:t>
      </w:r>
      <w:r>
        <w:rPr>
          <w:sz w:val="18"/>
        </w:rPr>
        <w:t>Ltd.</w:t>
      </w:r>
    </w:p>
    <w:p>
      <w:pPr>
        <w:pStyle w:val="BodyText"/>
        <w:spacing w:before="10"/>
        <w:rPr>
          <w:sz w:val="17"/>
        </w:rPr>
      </w:pPr>
    </w:p>
    <w:p>
      <w:pPr>
        <w:pStyle w:val="ListParagraph"/>
        <w:numPr>
          <w:ilvl w:val="1"/>
          <w:numId w:val="69"/>
        </w:numPr>
        <w:tabs>
          <w:tab w:pos="745" w:val="left" w:leader="none"/>
        </w:tabs>
        <w:spacing w:line="240" w:lineRule="auto" w:before="0" w:after="0"/>
        <w:ind w:left="744" w:right="109" w:hanging="396"/>
        <w:jc w:val="left"/>
        <w:rPr>
          <w:sz w:val="18"/>
        </w:rPr>
      </w:pPr>
      <w:r>
        <w:rPr>
          <w:sz w:val="18"/>
        </w:rPr>
        <w:t>In the directors' opinion, there are reasonable grounds to believe that Western Unlimited Ltd will be able to pay its debts as and when they become due and</w:t>
      </w:r>
      <w:r>
        <w:rPr>
          <w:spacing w:val="-1"/>
          <w:sz w:val="18"/>
        </w:rPr>
        <w:t> </w:t>
      </w:r>
      <w:r>
        <w:rPr>
          <w:sz w:val="18"/>
        </w:rPr>
        <w:t>payable.</w:t>
      </w:r>
    </w:p>
    <w:p>
      <w:pPr>
        <w:pStyle w:val="BodyText"/>
        <w:spacing w:before="10"/>
        <w:rPr>
          <w:sz w:val="17"/>
        </w:rPr>
      </w:pPr>
    </w:p>
    <w:p>
      <w:pPr>
        <w:pStyle w:val="ListParagraph"/>
        <w:numPr>
          <w:ilvl w:val="1"/>
          <w:numId w:val="69"/>
        </w:numPr>
        <w:tabs>
          <w:tab w:pos="744" w:val="left" w:leader="none"/>
        </w:tabs>
        <w:spacing w:line="240" w:lineRule="auto" w:before="0" w:after="0"/>
        <w:ind w:left="744" w:right="334" w:hanging="396"/>
        <w:jc w:val="left"/>
        <w:rPr>
          <w:sz w:val="18"/>
        </w:rPr>
      </w:pPr>
      <w:r>
        <w:rPr>
          <w:sz w:val="18"/>
        </w:rPr>
        <w:t>We are not aware of any circumstances which would render any particulars included in the financial statements to be misleading or</w:t>
      </w:r>
      <w:r>
        <w:rPr>
          <w:spacing w:val="-1"/>
          <w:sz w:val="18"/>
        </w:rPr>
        <w:t> </w:t>
      </w:r>
      <w:r>
        <w:rPr>
          <w:sz w:val="18"/>
        </w:rPr>
        <w:t>inaccurate.</w:t>
      </w:r>
    </w:p>
    <w:p>
      <w:pPr>
        <w:pStyle w:val="BodyText"/>
        <w:spacing w:before="1"/>
        <w:rPr>
          <w:sz w:val="25"/>
        </w:rPr>
      </w:pPr>
    </w:p>
    <w:p>
      <w:pPr>
        <w:spacing w:before="0"/>
        <w:ind w:left="347" w:right="408" w:firstLine="0"/>
        <w:jc w:val="left"/>
        <w:rPr>
          <w:i/>
          <w:sz w:val="18"/>
        </w:rPr>
      </w:pPr>
      <w:r>
        <w:rPr/>
        <w:drawing>
          <wp:anchor distT="0" distB="0" distL="0" distR="0" allowOverlap="1" layoutInCell="1" locked="0" behindDoc="1" simplePos="0" relativeHeight="267255407">
            <wp:simplePos x="0" y="0"/>
            <wp:positionH relativeFrom="page">
              <wp:posOffset>600655</wp:posOffset>
            </wp:positionH>
            <wp:positionV relativeFrom="paragraph">
              <wp:posOffset>939593</wp:posOffset>
            </wp:positionV>
            <wp:extent cx="1992909" cy="1097439"/>
            <wp:effectExtent l="0" t="0" r="0" b="0"/>
            <wp:wrapNone/>
            <wp:docPr id="31" name="image23.jpeg" descr=""/>
            <wp:cNvGraphicFramePr>
              <a:graphicFrameLocks noChangeAspect="1"/>
            </wp:cNvGraphicFramePr>
            <a:graphic>
              <a:graphicData uri="http://schemas.openxmlformats.org/drawingml/2006/picture">
                <pic:pic>
                  <pic:nvPicPr>
                    <pic:cNvPr id="32" name="image23.jpeg"/>
                    <pic:cNvPicPr/>
                  </pic:nvPicPr>
                  <pic:blipFill>
                    <a:blip r:embed="rId89" cstate="print"/>
                    <a:stretch>
                      <a:fillRect/>
                    </a:stretch>
                  </pic:blipFill>
                  <pic:spPr>
                    <a:xfrm>
                      <a:off x="0" y="0"/>
                      <a:ext cx="1992909" cy="1097439"/>
                    </a:xfrm>
                    <a:prstGeom prst="rect">
                      <a:avLst/>
                    </a:prstGeom>
                  </pic:spPr>
                </pic:pic>
              </a:graphicData>
            </a:graphic>
          </wp:anchor>
        </w:drawing>
      </w:r>
      <w:r>
        <w:rPr>
          <w:i/>
          <w:sz w:val="18"/>
        </w:rPr>
        <w:t>This declaration is made in accordance with a resolution of the Board of Directors, pursuant to section 41(c) of the Public </w:t>
      </w:r>
      <w:r>
        <w:rPr>
          <w:i/>
          <w:sz w:val="18"/>
        </w:rPr>
        <w:t>Finance and Audit Act 1983.</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1"/>
        <w:rPr>
          <w:i/>
          <w:sz w:val="23"/>
        </w:rPr>
      </w:pPr>
    </w:p>
    <w:p>
      <w:pPr>
        <w:pStyle w:val="BodyText"/>
        <w:spacing w:line="573" w:lineRule="auto"/>
        <w:ind w:left="347" w:right="9062"/>
      </w:pPr>
      <w:r>
        <w:rPr/>
        <w:t>John Banks Director</w:t>
      </w:r>
    </w:p>
    <w:p>
      <w:pPr>
        <w:pStyle w:val="BodyText"/>
        <w:rPr>
          <w:sz w:val="20"/>
        </w:rPr>
      </w:pPr>
    </w:p>
    <w:p>
      <w:pPr>
        <w:pStyle w:val="BodyText"/>
        <w:rPr>
          <w:sz w:val="20"/>
        </w:rPr>
      </w:pPr>
    </w:p>
    <w:p>
      <w:pPr>
        <w:pStyle w:val="BodyText"/>
        <w:spacing w:before="7"/>
        <w:rPr>
          <w:sz w:val="23"/>
        </w:rPr>
      </w:pPr>
      <w:r>
        <w:rPr/>
        <w:drawing>
          <wp:anchor distT="0" distB="0" distL="0" distR="0" allowOverlap="1" layoutInCell="1" locked="0" behindDoc="0" simplePos="0" relativeHeight="3952">
            <wp:simplePos x="0" y="0"/>
            <wp:positionH relativeFrom="page">
              <wp:posOffset>491700</wp:posOffset>
            </wp:positionH>
            <wp:positionV relativeFrom="paragraph">
              <wp:posOffset>197210</wp:posOffset>
            </wp:positionV>
            <wp:extent cx="2155740" cy="1120711"/>
            <wp:effectExtent l="0" t="0" r="0" b="0"/>
            <wp:wrapTopAndBottom/>
            <wp:docPr id="33" name="image24.jpeg" descr=""/>
            <wp:cNvGraphicFramePr>
              <a:graphicFrameLocks noChangeAspect="1"/>
            </wp:cNvGraphicFramePr>
            <a:graphic>
              <a:graphicData uri="http://schemas.openxmlformats.org/drawingml/2006/picture">
                <pic:pic>
                  <pic:nvPicPr>
                    <pic:cNvPr id="34" name="image24.jpeg"/>
                    <pic:cNvPicPr/>
                  </pic:nvPicPr>
                  <pic:blipFill>
                    <a:blip r:embed="rId90" cstate="print"/>
                    <a:stretch>
                      <a:fillRect/>
                    </a:stretch>
                  </pic:blipFill>
                  <pic:spPr>
                    <a:xfrm>
                      <a:off x="0" y="0"/>
                      <a:ext cx="2155740" cy="1120711"/>
                    </a:xfrm>
                    <a:prstGeom prst="rect">
                      <a:avLst/>
                    </a:prstGeom>
                  </pic:spPr>
                </pic:pic>
              </a:graphicData>
            </a:graphic>
          </wp:anchor>
        </w:drawing>
      </w:r>
    </w:p>
    <w:p>
      <w:pPr>
        <w:pStyle w:val="BodyText"/>
        <w:spacing w:before="4"/>
        <w:rPr>
          <w:sz w:val="15"/>
        </w:rPr>
      </w:pPr>
    </w:p>
    <w:p>
      <w:pPr>
        <w:pStyle w:val="BodyText"/>
        <w:spacing w:line="573" w:lineRule="auto"/>
        <w:ind w:left="347" w:right="9012"/>
      </w:pPr>
      <w:r>
        <w:rPr/>
        <w:t>Bill Parasiris Director</w:t>
      </w:r>
    </w:p>
    <w:p>
      <w:pPr>
        <w:pStyle w:val="BodyText"/>
        <w:spacing w:line="188" w:lineRule="exact"/>
        <w:ind w:left="347" w:right="408"/>
      </w:pPr>
      <w:r>
        <w:rPr/>
        <w:t>15 March 2018</w:t>
      </w:r>
    </w:p>
    <w:p>
      <w:pPr>
        <w:spacing w:after="0" w:line="188" w:lineRule="exact"/>
        <w:sectPr>
          <w:headerReference w:type="default" r:id="rId88"/>
          <w:pgSz w:w="11910" w:h="16840"/>
          <w:pgMar w:header="1038" w:footer="460" w:top="1460" w:bottom="700" w:left="660" w:right="880"/>
        </w:sectPr>
      </w:pPr>
    </w:p>
    <w:p>
      <w:pPr>
        <w:pStyle w:val="BodyText"/>
        <w:spacing w:before="2"/>
        <w:rPr>
          <w:sz w:val="24"/>
        </w:rPr>
      </w:pPr>
    </w:p>
    <w:p>
      <w:pPr>
        <w:spacing w:before="65"/>
        <w:ind w:left="127" w:right="0" w:firstLine="0"/>
        <w:jc w:val="left"/>
        <w:rPr>
          <w:b/>
          <w:sz w:val="28"/>
        </w:rPr>
      </w:pPr>
      <w:r>
        <w:rPr>
          <w:b/>
          <w:sz w:val="28"/>
        </w:rPr>
        <w:t>Responsible Entities' Declaration</w:t>
      </w:r>
    </w:p>
    <w:p>
      <w:pPr>
        <w:pStyle w:val="BodyText"/>
        <w:rPr>
          <w:b/>
          <w:sz w:val="25"/>
        </w:rPr>
      </w:pPr>
    </w:p>
    <w:p>
      <w:pPr>
        <w:pStyle w:val="BodyText"/>
        <w:ind w:left="127"/>
      </w:pPr>
      <w:r>
        <w:rPr/>
        <w:t>The responsible entities declare that in the responsible entities opinion:</w:t>
      </w:r>
    </w:p>
    <w:p>
      <w:pPr>
        <w:pStyle w:val="BodyText"/>
        <w:rPr>
          <w:sz w:val="25"/>
        </w:rPr>
      </w:pPr>
    </w:p>
    <w:p>
      <w:pPr>
        <w:pStyle w:val="ListParagraph"/>
        <w:numPr>
          <w:ilvl w:val="0"/>
          <w:numId w:val="70"/>
        </w:numPr>
        <w:tabs>
          <w:tab w:pos="1078" w:val="left" w:leader="none"/>
        </w:tabs>
        <w:spacing w:line="240" w:lineRule="auto" w:before="0" w:after="0"/>
        <w:ind w:left="807" w:right="381" w:firstLine="0"/>
        <w:jc w:val="left"/>
        <w:rPr>
          <w:sz w:val="18"/>
        </w:rPr>
      </w:pPr>
      <w:r>
        <w:rPr>
          <w:sz w:val="18"/>
        </w:rPr>
        <w:t>there are reasonable grounds to believe that the registered entity is able to pay all of its debts, as and when they become due and payable;</w:t>
      </w:r>
      <w:r>
        <w:rPr>
          <w:spacing w:val="-1"/>
          <w:sz w:val="18"/>
        </w:rPr>
        <w:t> </w:t>
      </w:r>
      <w:r>
        <w:rPr>
          <w:sz w:val="18"/>
        </w:rPr>
        <w:t>and</w:t>
      </w:r>
    </w:p>
    <w:p>
      <w:pPr>
        <w:pStyle w:val="BodyText"/>
        <w:rPr>
          <w:sz w:val="25"/>
        </w:rPr>
      </w:pPr>
    </w:p>
    <w:p>
      <w:pPr>
        <w:pStyle w:val="ListParagraph"/>
        <w:numPr>
          <w:ilvl w:val="0"/>
          <w:numId w:val="70"/>
        </w:numPr>
        <w:tabs>
          <w:tab w:pos="1078" w:val="left" w:leader="none"/>
        </w:tabs>
        <w:spacing w:line="240" w:lineRule="auto" w:before="0" w:after="0"/>
        <w:ind w:left="807" w:right="631" w:firstLine="0"/>
        <w:jc w:val="left"/>
        <w:rPr>
          <w:sz w:val="18"/>
        </w:rPr>
      </w:pPr>
      <w:r>
        <w:rPr>
          <w:sz w:val="18"/>
        </w:rPr>
        <w:t>the financial statements and notes satisfy the requirements of the </w:t>
      </w:r>
      <w:r>
        <w:rPr>
          <w:i/>
          <w:sz w:val="18"/>
        </w:rPr>
        <w:t>Australian Charities and</w:t>
      </w:r>
      <w:r>
        <w:rPr>
          <w:i/>
          <w:spacing w:val="-12"/>
          <w:sz w:val="18"/>
        </w:rPr>
        <w:t> </w:t>
      </w:r>
      <w:r>
        <w:rPr>
          <w:i/>
          <w:sz w:val="18"/>
        </w:rPr>
        <w:t>Not-for-profits </w:t>
      </w:r>
      <w:r>
        <w:rPr>
          <w:i/>
          <w:sz w:val="18"/>
        </w:rPr>
        <w:t>Commission Act</w:t>
      </w:r>
      <w:r>
        <w:rPr>
          <w:i/>
          <w:spacing w:val="-7"/>
          <w:sz w:val="18"/>
        </w:rPr>
        <w:t> </w:t>
      </w:r>
      <w:r>
        <w:rPr>
          <w:i/>
          <w:sz w:val="18"/>
        </w:rPr>
        <w:t>2012</w:t>
      </w:r>
      <w:r>
        <w:rPr>
          <w:sz w:val="18"/>
        </w:rPr>
        <w:t>.</w:t>
      </w:r>
    </w:p>
    <w:p>
      <w:pPr>
        <w:pStyle w:val="BodyText"/>
        <w:rPr>
          <w:sz w:val="25"/>
        </w:rPr>
      </w:pPr>
    </w:p>
    <w:p>
      <w:pPr>
        <w:spacing w:before="0"/>
        <w:ind w:left="127" w:right="0" w:firstLine="0"/>
        <w:jc w:val="left"/>
        <w:rPr>
          <w:sz w:val="18"/>
        </w:rPr>
      </w:pPr>
      <w:r>
        <w:rPr/>
        <w:drawing>
          <wp:anchor distT="0" distB="0" distL="0" distR="0" allowOverlap="1" layoutInCell="1" locked="0" behindDoc="1" simplePos="0" relativeHeight="267255431">
            <wp:simplePos x="0" y="0"/>
            <wp:positionH relativeFrom="page">
              <wp:posOffset>628773</wp:posOffset>
            </wp:positionH>
            <wp:positionV relativeFrom="paragraph">
              <wp:posOffset>159445</wp:posOffset>
            </wp:positionV>
            <wp:extent cx="2696296" cy="1740124"/>
            <wp:effectExtent l="0" t="0" r="0" b="0"/>
            <wp:wrapNone/>
            <wp:docPr id="35" name="image25.jpeg" descr=""/>
            <wp:cNvGraphicFramePr>
              <a:graphicFrameLocks noChangeAspect="1"/>
            </wp:cNvGraphicFramePr>
            <a:graphic>
              <a:graphicData uri="http://schemas.openxmlformats.org/drawingml/2006/picture">
                <pic:pic>
                  <pic:nvPicPr>
                    <pic:cNvPr id="36" name="image25.jpeg"/>
                    <pic:cNvPicPr/>
                  </pic:nvPicPr>
                  <pic:blipFill>
                    <a:blip r:embed="rId92" cstate="print"/>
                    <a:stretch>
                      <a:fillRect/>
                    </a:stretch>
                  </pic:blipFill>
                  <pic:spPr>
                    <a:xfrm>
                      <a:off x="0" y="0"/>
                      <a:ext cx="2696296" cy="1740124"/>
                    </a:xfrm>
                    <a:prstGeom prst="rect">
                      <a:avLst/>
                    </a:prstGeom>
                  </pic:spPr>
                </pic:pic>
              </a:graphicData>
            </a:graphic>
          </wp:anchor>
        </w:drawing>
      </w:r>
      <w:r>
        <w:rPr>
          <w:sz w:val="18"/>
        </w:rPr>
        <w:t>Signed in accordance with subsection 60.15(2) of the </w:t>
      </w:r>
      <w:r>
        <w:rPr>
          <w:i/>
          <w:sz w:val="18"/>
        </w:rPr>
        <w:t>Australian Charities and Not-for-profits Commission Regulation 2013</w:t>
      </w:r>
      <w:r>
        <w:rPr>
          <w:sz w:val="18"/>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3"/>
        </w:rPr>
      </w:pPr>
    </w:p>
    <w:p>
      <w:pPr>
        <w:pStyle w:val="BodyText"/>
        <w:spacing w:line="439" w:lineRule="auto"/>
        <w:ind w:left="125" w:right="8924"/>
      </w:pPr>
      <w:r>
        <w:rPr/>
        <w:t>John Banks Director</w:t>
      </w:r>
    </w:p>
    <w:p>
      <w:pPr>
        <w:pStyle w:val="BodyText"/>
        <w:spacing w:before="4"/>
        <w:ind w:left="125"/>
      </w:pPr>
      <w:r>
        <w:rPr/>
        <w:t>15 March 2018</w:t>
      </w:r>
    </w:p>
    <w:p>
      <w:pPr>
        <w:spacing w:after="0"/>
        <w:sectPr>
          <w:headerReference w:type="default" r:id="rId91"/>
          <w:pgSz w:w="11910" w:h="16840"/>
          <w:pgMar w:header="1038" w:footer="460" w:top="1460" w:bottom="700" w:left="880" w:right="1020"/>
        </w:sectPr>
      </w:pPr>
    </w:p>
    <w:p>
      <w:pPr>
        <w:pStyle w:val="BodyText"/>
        <w:rPr>
          <w:sz w:val="20"/>
        </w:rPr>
      </w:pPr>
      <w:r>
        <w:rPr/>
        <w:pict>
          <v:line style="position:absolute;mso-position-horizontal-relative:page;mso-position-vertical-relative:page;z-index:4048" from="591.161316pt,834.32360pt" to="591.161316pt,3.358405pt" stroked="true" strokeweight="1.439516pt" strokecolor="#d8d8d8">
            <w10:wrap type="none"/>
          </v:line>
        </w:pict>
      </w:r>
    </w:p>
    <w:p>
      <w:pPr>
        <w:pStyle w:val="BodyText"/>
        <w:rPr>
          <w:sz w:val="20"/>
        </w:rPr>
      </w:pPr>
    </w:p>
    <w:p>
      <w:pPr>
        <w:pStyle w:val="BodyText"/>
        <w:spacing w:before="6"/>
        <w:rPr>
          <w:sz w:val="11"/>
        </w:rPr>
      </w:pPr>
    </w:p>
    <w:p>
      <w:pPr>
        <w:pStyle w:val="BodyText"/>
        <w:ind w:left="4447"/>
        <w:rPr>
          <w:sz w:val="20"/>
        </w:rPr>
      </w:pPr>
      <w:r>
        <w:rPr>
          <w:sz w:val="20"/>
        </w:rPr>
        <w:drawing>
          <wp:inline distT="0" distB="0" distL="0" distR="0">
            <wp:extent cx="999744" cy="1060703"/>
            <wp:effectExtent l="0" t="0" r="0" b="0"/>
            <wp:docPr id="37" name="image26.jpeg" descr=""/>
            <wp:cNvGraphicFramePr>
              <a:graphicFrameLocks noChangeAspect="1"/>
            </wp:cNvGraphicFramePr>
            <a:graphic>
              <a:graphicData uri="http://schemas.openxmlformats.org/drawingml/2006/picture">
                <pic:pic>
                  <pic:nvPicPr>
                    <pic:cNvPr id="38" name="image26.jpeg"/>
                    <pic:cNvPicPr/>
                  </pic:nvPicPr>
                  <pic:blipFill>
                    <a:blip r:embed="rId94" cstate="print"/>
                    <a:stretch>
                      <a:fillRect/>
                    </a:stretch>
                  </pic:blipFill>
                  <pic:spPr>
                    <a:xfrm>
                      <a:off x="0" y="0"/>
                      <a:ext cx="999744" cy="1060703"/>
                    </a:xfrm>
                    <a:prstGeom prst="rect">
                      <a:avLst/>
                    </a:prstGeom>
                  </pic:spPr>
                </pic:pic>
              </a:graphicData>
            </a:graphic>
          </wp:inline>
        </w:drawing>
      </w:r>
      <w:r>
        <w:rPr>
          <w:sz w:val="20"/>
        </w:rPr>
      </w:r>
    </w:p>
    <w:p>
      <w:pPr>
        <w:pStyle w:val="BodyText"/>
        <w:rPr>
          <w:sz w:val="20"/>
        </w:rPr>
      </w:pPr>
    </w:p>
    <w:p>
      <w:pPr>
        <w:pStyle w:val="BodyText"/>
        <w:spacing w:before="6"/>
        <w:rPr>
          <w:sz w:val="22"/>
        </w:rPr>
      </w:pPr>
    </w:p>
    <w:p>
      <w:pPr>
        <w:spacing w:before="71"/>
        <w:ind w:left="156" w:right="931" w:firstLine="0"/>
        <w:jc w:val="center"/>
        <w:rPr>
          <w:b/>
          <w:sz w:val="23"/>
        </w:rPr>
      </w:pPr>
      <w:r>
        <w:rPr>
          <w:b/>
          <w:color w:val="0F0F0F"/>
          <w:sz w:val="23"/>
        </w:rPr>
        <w:t>INDEPENDENT  AUDITOR'S  REPORT</w:t>
      </w:r>
    </w:p>
    <w:p>
      <w:pPr>
        <w:pStyle w:val="Heading7"/>
        <w:spacing w:before="185"/>
        <w:ind w:right="955"/>
        <w:jc w:val="center"/>
      </w:pPr>
      <w:r>
        <w:rPr>
          <w:color w:val="0F0F0F"/>
          <w:w w:val="105"/>
        </w:rPr>
        <w:t>We</w:t>
      </w:r>
      <w:r>
        <w:rPr>
          <w:color w:val="3A3A3A"/>
          <w:w w:val="105"/>
        </w:rPr>
        <w:t>s</w:t>
      </w:r>
      <w:r>
        <w:rPr>
          <w:color w:val="1D1D1D"/>
          <w:w w:val="105"/>
        </w:rPr>
        <w:t>tern </w:t>
      </w:r>
      <w:r>
        <w:rPr>
          <w:color w:val="0F0F0F"/>
          <w:w w:val="105"/>
        </w:rPr>
        <w:t>Unlimit</w:t>
      </w:r>
      <w:r>
        <w:rPr>
          <w:color w:val="3A3A3A"/>
          <w:w w:val="105"/>
        </w:rPr>
        <w:t>e</w:t>
      </w:r>
      <w:r>
        <w:rPr>
          <w:color w:val="1D1D1D"/>
          <w:w w:val="105"/>
        </w:rPr>
        <w:t>d </w:t>
      </w:r>
      <w:r>
        <w:rPr>
          <w:color w:val="0F0F0F"/>
          <w:w w:val="105"/>
        </w:rPr>
        <w:t>Ltd </w:t>
      </w:r>
      <w:r>
        <w:rPr>
          <w:color w:val="1D1D1D"/>
          <w:w w:val="105"/>
        </w:rPr>
        <w:t>(formerl</w:t>
      </w:r>
      <w:r>
        <w:rPr>
          <w:color w:val="3A3A3A"/>
          <w:w w:val="105"/>
        </w:rPr>
        <w:t>y </w:t>
      </w:r>
      <w:r>
        <w:rPr>
          <w:color w:val="0F0F0F"/>
          <w:w w:val="105"/>
        </w:rPr>
        <w:t>uw</w:t>
      </w:r>
      <w:r>
        <w:rPr>
          <w:color w:val="3A3A3A"/>
          <w:w w:val="105"/>
        </w:rPr>
        <w:t>s</w:t>
      </w:r>
      <w:r>
        <w:rPr>
          <w:color w:val="1D1D1D"/>
          <w:w w:val="105"/>
        </w:rPr>
        <w:t>conne</w:t>
      </w:r>
      <w:r>
        <w:rPr>
          <w:color w:val="3A3A3A"/>
          <w:w w:val="105"/>
        </w:rPr>
        <w:t>c</w:t>
      </w:r>
      <w:r>
        <w:rPr>
          <w:color w:val="0F0F0F"/>
          <w:w w:val="105"/>
        </w:rPr>
        <w:t>t Limited)</w:t>
      </w:r>
    </w:p>
    <w:p>
      <w:pPr>
        <w:pStyle w:val="BodyText"/>
        <w:rPr>
          <w:b/>
        </w:rPr>
      </w:pPr>
    </w:p>
    <w:p>
      <w:pPr>
        <w:pStyle w:val="BodyText"/>
        <w:rPr>
          <w:b/>
        </w:rPr>
      </w:pPr>
    </w:p>
    <w:p>
      <w:pPr>
        <w:pStyle w:val="BodyText"/>
        <w:spacing w:before="10"/>
        <w:rPr>
          <w:b/>
          <w:sz w:val="15"/>
        </w:rPr>
      </w:pPr>
    </w:p>
    <w:p>
      <w:pPr>
        <w:pStyle w:val="Heading8"/>
        <w:ind w:left="712" w:right="1562"/>
      </w:pPr>
      <w:r>
        <w:rPr>
          <w:color w:val="3A3A3A"/>
          <w:w w:val="105"/>
        </w:rPr>
        <w:t>To Members of the New South Wales </w:t>
      </w:r>
      <w:r>
        <w:rPr>
          <w:color w:val="1D1D1D"/>
          <w:w w:val="105"/>
        </w:rPr>
        <w:t>P</w:t>
      </w:r>
      <w:r>
        <w:rPr>
          <w:color w:val="3A3A3A"/>
          <w:w w:val="105"/>
        </w:rPr>
        <w:t>arliament and Members of Western Unlimited Ltd</w:t>
      </w:r>
    </w:p>
    <w:p>
      <w:pPr>
        <w:pStyle w:val="BodyText"/>
        <w:spacing w:before="1"/>
        <w:rPr>
          <w:sz w:val="16"/>
        </w:rPr>
      </w:pPr>
    </w:p>
    <w:p>
      <w:pPr>
        <w:spacing w:before="0"/>
        <w:ind w:left="721" w:right="1562" w:firstLine="0"/>
        <w:jc w:val="left"/>
        <w:rPr>
          <w:b/>
          <w:sz w:val="23"/>
        </w:rPr>
      </w:pPr>
      <w:r>
        <w:rPr>
          <w:b/>
          <w:color w:val="0F0F0F"/>
          <w:w w:val="105"/>
          <w:sz w:val="23"/>
        </w:rPr>
        <w:t>Opinion</w:t>
      </w:r>
    </w:p>
    <w:p>
      <w:pPr>
        <w:spacing w:line="266" w:lineRule="auto" w:before="128"/>
        <w:ind w:left="712" w:right="1562" w:firstLine="9"/>
        <w:jc w:val="left"/>
        <w:rPr>
          <w:sz w:val="19"/>
        </w:rPr>
      </w:pPr>
      <w:r>
        <w:rPr>
          <w:color w:val="3A3A3A"/>
          <w:spacing w:val="4"/>
          <w:w w:val="110"/>
          <w:sz w:val="19"/>
        </w:rPr>
        <w:t>Ihave</w:t>
      </w:r>
      <w:r>
        <w:rPr>
          <w:color w:val="3A3A3A"/>
          <w:spacing w:val="-33"/>
          <w:w w:val="110"/>
          <w:sz w:val="19"/>
        </w:rPr>
        <w:t> </w:t>
      </w:r>
      <w:r>
        <w:rPr>
          <w:color w:val="3A3A3A"/>
          <w:w w:val="110"/>
          <w:sz w:val="19"/>
        </w:rPr>
        <w:t>audited</w:t>
      </w:r>
      <w:r>
        <w:rPr>
          <w:color w:val="3A3A3A"/>
          <w:spacing w:val="-27"/>
          <w:w w:val="110"/>
          <w:sz w:val="19"/>
        </w:rPr>
        <w:t> </w:t>
      </w:r>
      <w:r>
        <w:rPr>
          <w:color w:val="3A3A3A"/>
          <w:w w:val="110"/>
          <w:sz w:val="19"/>
        </w:rPr>
        <w:t>the</w:t>
      </w:r>
      <w:r>
        <w:rPr>
          <w:color w:val="3A3A3A"/>
          <w:spacing w:val="-29"/>
          <w:w w:val="110"/>
          <w:sz w:val="19"/>
        </w:rPr>
        <w:t> </w:t>
      </w:r>
      <w:r>
        <w:rPr>
          <w:color w:val="3A3A3A"/>
          <w:w w:val="110"/>
          <w:sz w:val="19"/>
        </w:rPr>
        <w:t>accompanying</w:t>
      </w:r>
      <w:r>
        <w:rPr>
          <w:color w:val="3A3A3A"/>
          <w:spacing w:val="-19"/>
          <w:w w:val="110"/>
          <w:sz w:val="19"/>
        </w:rPr>
        <w:t> </w:t>
      </w:r>
      <w:r>
        <w:rPr>
          <w:color w:val="3A3A3A"/>
          <w:w w:val="110"/>
          <w:sz w:val="19"/>
        </w:rPr>
        <w:t>financial</w:t>
      </w:r>
      <w:r>
        <w:rPr>
          <w:color w:val="3A3A3A"/>
          <w:spacing w:val="-27"/>
          <w:w w:val="110"/>
          <w:sz w:val="19"/>
        </w:rPr>
        <w:t> </w:t>
      </w:r>
      <w:r>
        <w:rPr>
          <w:color w:val="3A3A3A"/>
          <w:w w:val="110"/>
          <w:sz w:val="19"/>
        </w:rPr>
        <w:t>sta</w:t>
      </w:r>
      <w:r>
        <w:rPr>
          <w:color w:val="1D1D1D"/>
          <w:w w:val="110"/>
          <w:sz w:val="19"/>
        </w:rPr>
        <w:t>t</w:t>
      </w:r>
      <w:r>
        <w:rPr>
          <w:color w:val="3A3A3A"/>
          <w:w w:val="110"/>
          <w:sz w:val="19"/>
        </w:rPr>
        <w:t>ements</w:t>
      </w:r>
      <w:r>
        <w:rPr>
          <w:color w:val="3A3A3A"/>
          <w:spacing w:val="-33"/>
          <w:w w:val="110"/>
          <w:sz w:val="19"/>
        </w:rPr>
        <w:t> </w:t>
      </w:r>
      <w:r>
        <w:rPr>
          <w:color w:val="3A3A3A"/>
          <w:w w:val="110"/>
          <w:sz w:val="19"/>
        </w:rPr>
        <w:t>of</w:t>
      </w:r>
      <w:r>
        <w:rPr>
          <w:color w:val="3A3A3A"/>
          <w:spacing w:val="-39"/>
          <w:w w:val="110"/>
          <w:sz w:val="19"/>
        </w:rPr>
        <w:t> </w:t>
      </w:r>
      <w:r>
        <w:rPr>
          <w:color w:val="3A3A3A"/>
          <w:w w:val="110"/>
          <w:sz w:val="19"/>
        </w:rPr>
        <w:t>Western</w:t>
      </w:r>
      <w:r>
        <w:rPr>
          <w:color w:val="3A3A3A"/>
          <w:spacing w:val="-21"/>
          <w:w w:val="110"/>
          <w:sz w:val="19"/>
        </w:rPr>
        <w:t> </w:t>
      </w:r>
      <w:r>
        <w:rPr>
          <w:color w:val="3A3A3A"/>
          <w:spacing w:val="-7"/>
          <w:w w:val="110"/>
          <w:sz w:val="19"/>
        </w:rPr>
        <w:t>Un</w:t>
      </w:r>
      <w:r>
        <w:rPr>
          <w:color w:val="0F0F0F"/>
          <w:spacing w:val="-7"/>
          <w:w w:val="110"/>
          <w:sz w:val="19"/>
        </w:rPr>
        <w:t>l</w:t>
      </w:r>
      <w:r>
        <w:rPr>
          <w:color w:val="525252"/>
          <w:spacing w:val="-7"/>
          <w:w w:val="110"/>
          <w:sz w:val="19"/>
        </w:rPr>
        <w:t>imited</w:t>
      </w:r>
      <w:r>
        <w:rPr>
          <w:color w:val="525252"/>
          <w:spacing w:val="-28"/>
          <w:w w:val="110"/>
          <w:sz w:val="19"/>
        </w:rPr>
        <w:t> </w:t>
      </w:r>
      <w:r>
        <w:rPr>
          <w:color w:val="3A3A3A"/>
          <w:w w:val="110"/>
          <w:sz w:val="19"/>
        </w:rPr>
        <w:t>Ltd</w:t>
      </w:r>
      <w:r>
        <w:rPr>
          <w:color w:val="3A3A3A"/>
          <w:spacing w:val="-34"/>
          <w:w w:val="110"/>
          <w:sz w:val="19"/>
        </w:rPr>
        <w:t> </w:t>
      </w:r>
      <w:r>
        <w:rPr>
          <w:color w:val="525252"/>
          <w:w w:val="110"/>
          <w:sz w:val="19"/>
        </w:rPr>
        <w:t>(the</w:t>
      </w:r>
      <w:r>
        <w:rPr>
          <w:color w:val="525252"/>
          <w:spacing w:val="-33"/>
          <w:w w:val="110"/>
          <w:sz w:val="19"/>
        </w:rPr>
        <w:t> </w:t>
      </w:r>
      <w:r>
        <w:rPr>
          <w:color w:val="3A3A3A"/>
          <w:w w:val="110"/>
          <w:sz w:val="19"/>
        </w:rPr>
        <w:t>Company)</w:t>
      </w:r>
      <w:r>
        <w:rPr>
          <w:color w:val="6D6D6D"/>
          <w:w w:val="110"/>
          <w:sz w:val="19"/>
        </w:rPr>
        <w:t>,</w:t>
      </w:r>
      <w:r>
        <w:rPr>
          <w:color w:val="6D6D6D"/>
          <w:spacing w:val="-49"/>
          <w:w w:val="110"/>
          <w:sz w:val="19"/>
        </w:rPr>
        <w:t> </w:t>
      </w:r>
      <w:r>
        <w:rPr>
          <w:color w:val="3A3A3A"/>
          <w:w w:val="110"/>
          <w:sz w:val="19"/>
        </w:rPr>
        <w:t>wh</w:t>
      </w:r>
      <w:r>
        <w:rPr>
          <w:color w:val="1D1D1D"/>
          <w:w w:val="110"/>
          <w:sz w:val="19"/>
        </w:rPr>
        <w:t>i</w:t>
      </w:r>
      <w:r>
        <w:rPr>
          <w:color w:val="3A3A3A"/>
          <w:w w:val="110"/>
          <w:sz w:val="19"/>
        </w:rPr>
        <w:t>ch comprise</w:t>
      </w:r>
      <w:r>
        <w:rPr>
          <w:color w:val="6D6D6D"/>
          <w:w w:val="110"/>
          <w:sz w:val="19"/>
        </w:rPr>
        <w:t>, </w:t>
      </w:r>
      <w:r>
        <w:rPr>
          <w:color w:val="3A3A3A"/>
          <w:w w:val="110"/>
          <w:sz w:val="19"/>
        </w:rPr>
        <w:t>the Statement of Comprehensive </w:t>
      </w:r>
      <w:r>
        <w:rPr>
          <w:color w:val="3A3A3A"/>
          <w:spacing w:val="-6"/>
          <w:w w:val="110"/>
          <w:sz w:val="19"/>
        </w:rPr>
        <w:t>Income </w:t>
      </w:r>
      <w:r>
        <w:rPr>
          <w:color w:val="3A3A3A"/>
          <w:w w:val="110"/>
          <w:sz w:val="19"/>
        </w:rPr>
        <w:t>for the year ended 31 December 2017, the S</w:t>
      </w:r>
      <w:r>
        <w:rPr>
          <w:color w:val="1D1D1D"/>
          <w:w w:val="110"/>
          <w:sz w:val="19"/>
        </w:rPr>
        <w:t>t</w:t>
      </w:r>
      <w:r>
        <w:rPr>
          <w:color w:val="3A3A3A"/>
          <w:w w:val="110"/>
          <w:sz w:val="19"/>
        </w:rPr>
        <w:t>atement o</w:t>
      </w:r>
      <w:r>
        <w:rPr>
          <w:color w:val="6D6D6D"/>
          <w:w w:val="110"/>
          <w:sz w:val="19"/>
        </w:rPr>
        <w:t>f </w:t>
      </w:r>
      <w:r>
        <w:rPr>
          <w:color w:val="3A3A3A"/>
          <w:w w:val="110"/>
          <w:sz w:val="19"/>
        </w:rPr>
        <w:t>Financial Position as at 31 December </w:t>
      </w:r>
      <w:r>
        <w:rPr>
          <w:color w:val="3A3A3A"/>
          <w:spacing w:val="-4"/>
          <w:w w:val="110"/>
          <w:sz w:val="19"/>
        </w:rPr>
        <w:t>20</w:t>
      </w:r>
      <w:r>
        <w:rPr>
          <w:color w:val="1D1D1D"/>
          <w:spacing w:val="-4"/>
          <w:w w:val="110"/>
          <w:sz w:val="19"/>
        </w:rPr>
        <w:t>1</w:t>
      </w:r>
      <w:r>
        <w:rPr>
          <w:color w:val="3A3A3A"/>
          <w:spacing w:val="-4"/>
          <w:w w:val="110"/>
          <w:sz w:val="19"/>
        </w:rPr>
        <w:t>7, </w:t>
      </w:r>
      <w:r>
        <w:rPr>
          <w:color w:val="3A3A3A"/>
          <w:w w:val="110"/>
          <w:sz w:val="19"/>
        </w:rPr>
        <w:t>Sta</w:t>
      </w:r>
      <w:r>
        <w:rPr>
          <w:color w:val="1D1D1D"/>
          <w:w w:val="110"/>
          <w:sz w:val="19"/>
        </w:rPr>
        <w:t>t</w:t>
      </w:r>
      <w:r>
        <w:rPr>
          <w:color w:val="3A3A3A"/>
          <w:w w:val="110"/>
          <w:sz w:val="19"/>
        </w:rPr>
        <w:t>ement of Changes </w:t>
      </w:r>
      <w:r>
        <w:rPr>
          <w:color w:val="3A3A3A"/>
          <w:spacing w:val="-12"/>
          <w:w w:val="110"/>
          <w:sz w:val="19"/>
        </w:rPr>
        <w:t>in </w:t>
      </w:r>
      <w:r>
        <w:rPr>
          <w:color w:val="3A3A3A"/>
          <w:w w:val="110"/>
          <w:sz w:val="19"/>
        </w:rPr>
        <w:t>Equity and Statement o</w:t>
      </w:r>
      <w:r>
        <w:rPr>
          <w:color w:val="6D6D6D"/>
          <w:w w:val="110"/>
          <w:sz w:val="19"/>
        </w:rPr>
        <w:t>f </w:t>
      </w:r>
      <w:r>
        <w:rPr>
          <w:color w:val="3A3A3A"/>
          <w:w w:val="110"/>
          <w:sz w:val="19"/>
        </w:rPr>
        <w:t>Cash </w:t>
      </w:r>
      <w:r>
        <w:rPr>
          <w:color w:val="3A3A3A"/>
          <w:spacing w:val="-4"/>
          <w:w w:val="110"/>
          <w:sz w:val="19"/>
        </w:rPr>
        <w:t>Flows </w:t>
      </w:r>
      <w:r>
        <w:rPr>
          <w:color w:val="3A3A3A"/>
          <w:w w:val="110"/>
          <w:sz w:val="19"/>
        </w:rPr>
        <w:t>for </w:t>
      </w:r>
      <w:r>
        <w:rPr>
          <w:color w:val="1D1D1D"/>
          <w:w w:val="110"/>
          <w:sz w:val="19"/>
        </w:rPr>
        <w:t>t</w:t>
      </w:r>
      <w:r>
        <w:rPr>
          <w:color w:val="3A3A3A"/>
          <w:w w:val="110"/>
          <w:sz w:val="19"/>
        </w:rPr>
        <w:t>he year then ended, notes comprising a summary of significant accounting</w:t>
      </w:r>
      <w:r>
        <w:rPr>
          <w:color w:val="3A3A3A"/>
          <w:spacing w:val="-33"/>
          <w:w w:val="110"/>
          <w:sz w:val="19"/>
        </w:rPr>
        <w:t> </w:t>
      </w:r>
      <w:r>
        <w:rPr>
          <w:color w:val="3A3A3A"/>
          <w:w w:val="110"/>
          <w:sz w:val="19"/>
        </w:rPr>
        <w:t>policies</w:t>
      </w:r>
      <w:r>
        <w:rPr>
          <w:color w:val="3A3A3A"/>
          <w:spacing w:val="-43"/>
          <w:w w:val="110"/>
          <w:sz w:val="19"/>
        </w:rPr>
        <w:t> </w:t>
      </w:r>
      <w:r>
        <w:rPr>
          <w:color w:val="3A3A3A"/>
          <w:w w:val="110"/>
          <w:sz w:val="19"/>
        </w:rPr>
        <w:t>and</w:t>
      </w:r>
      <w:r>
        <w:rPr>
          <w:color w:val="3A3A3A"/>
          <w:spacing w:val="-40"/>
          <w:w w:val="110"/>
          <w:sz w:val="19"/>
        </w:rPr>
        <w:t> </w:t>
      </w:r>
      <w:r>
        <w:rPr>
          <w:color w:val="3A3A3A"/>
          <w:w w:val="110"/>
          <w:sz w:val="19"/>
        </w:rPr>
        <w:t>other</w:t>
      </w:r>
      <w:r>
        <w:rPr>
          <w:color w:val="3A3A3A"/>
          <w:spacing w:val="-36"/>
          <w:w w:val="110"/>
          <w:sz w:val="19"/>
        </w:rPr>
        <w:t> </w:t>
      </w:r>
      <w:r>
        <w:rPr>
          <w:color w:val="3A3A3A"/>
          <w:w w:val="110"/>
          <w:sz w:val="19"/>
        </w:rPr>
        <w:t>exp</w:t>
      </w:r>
      <w:r>
        <w:rPr>
          <w:color w:val="0F0F0F"/>
          <w:w w:val="110"/>
          <w:sz w:val="19"/>
        </w:rPr>
        <w:t>l</w:t>
      </w:r>
      <w:r>
        <w:rPr>
          <w:color w:val="3A3A3A"/>
          <w:w w:val="110"/>
          <w:sz w:val="19"/>
        </w:rPr>
        <w:t>anatory</w:t>
      </w:r>
      <w:r>
        <w:rPr>
          <w:color w:val="3A3A3A"/>
          <w:spacing w:val="-32"/>
          <w:w w:val="110"/>
          <w:sz w:val="19"/>
        </w:rPr>
        <w:t> </w:t>
      </w:r>
      <w:r>
        <w:rPr>
          <w:color w:val="3A3A3A"/>
          <w:spacing w:val="-3"/>
          <w:w w:val="110"/>
          <w:sz w:val="19"/>
        </w:rPr>
        <w:t>information,</w:t>
      </w:r>
      <w:r>
        <w:rPr>
          <w:color w:val="3A3A3A"/>
          <w:spacing w:val="-38"/>
          <w:w w:val="110"/>
          <w:sz w:val="19"/>
        </w:rPr>
        <w:t> </w:t>
      </w:r>
      <w:r>
        <w:rPr>
          <w:color w:val="3A3A3A"/>
          <w:w w:val="110"/>
          <w:sz w:val="19"/>
        </w:rPr>
        <w:t>and</w:t>
      </w:r>
      <w:r>
        <w:rPr>
          <w:color w:val="3A3A3A"/>
          <w:spacing w:val="-40"/>
          <w:w w:val="110"/>
          <w:sz w:val="19"/>
        </w:rPr>
        <w:t> </w:t>
      </w:r>
      <w:r>
        <w:rPr>
          <w:color w:val="3A3A3A"/>
          <w:w w:val="110"/>
          <w:sz w:val="19"/>
        </w:rPr>
        <w:t>the</w:t>
      </w:r>
      <w:r>
        <w:rPr>
          <w:color w:val="3A3A3A"/>
          <w:spacing w:val="-37"/>
          <w:w w:val="110"/>
          <w:sz w:val="19"/>
        </w:rPr>
        <w:t> </w:t>
      </w:r>
      <w:r>
        <w:rPr>
          <w:color w:val="3A3A3A"/>
          <w:w w:val="110"/>
          <w:sz w:val="19"/>
        </w:rPr>
        <w:t>responsible</w:t>
      </w:r>
      <w:r>
        <w:rPr>
          <w:color w:val="3A3A3A"/>
          <w:spacing w:val="-39"/>
          <w:w w:val="110"/>
          <w:sz w:val="19"/>
        </w:rPr>
        <w:t> </w:t>
      </w:r>
      <w:r>
        <w:rPr>
          <w:color w:val="3A3A3A"/>
          <w:w w:val="110"/>
          <w:sz w:val="19"/>
        </w:rPr>
        <w:t>ent</w:t>
      </w:r>
      <w:r>
        <w:rPr>
          <w:color w:val="1D1D1D"/>
          <w:w w:val="110"/>
          <w:sz w:val="19"/>
        </w:rPr>
        <w:t>i</w:t>
      </w:r>
      <w:r>
        <w:rPr>
          <w:color w:val="3A3A3A"/>
          <w:w w:val="110"/>
          <w:sz w:val="19"/>
        </w:rPr>
        <w:t>ty</w:t>
      </w:r>
      <w:r>
        <w:rPr>
          <w:color w:val="6D6D6D"/>
          <w:w w:val="110"/>
          <w:sz w:val="19"/>
        </w:rPr>
        <w:t>'</w:t>
      </w:r>
      <w:r>
        <w:rPr>
          <w:color w:val="3A3A3A"/>
          <w:w w:val="110"/>
          <w:sz w:val="19"/>
        </w:rPr>
        <w:t>s</w:t>
      </w:r>
      <w:r>
        <w:rPr>
          <w:color w:val="3A3A3A"/>
          <w:spacing w:val="-38"/>
          <w:w w:val="110"/>
          <w:sz w:val="19"/>
        </w:rPr>
        <w:t> </w:t>
      </w:r>
      <w:r>
        <w:rPr>
          <w:color w:val="3A3A3A"/>
          <w:spacing w:val="-3"/>
          <w:w w:val="110"/>
          <w:sz w:val="19"/>
        </w:rPr>
        <w:t>dec</w:t>
      </w:r>
      <w:r>
        <w:rPr>
          <w:color w:val="1D1D1D"/>
          <w:spacing w:val="-3"/>
          <w:w w:val="110"/>
          <w:sz w:val="19"/>
        </w:rPr>
        <w:t>l</w:t>
      </w:r>
      <w:r>
        <w:rPr>
          <w:color w:val="3A3A3A"/>
          <w:spacing w:val="-3"/>
          <w:w w:val="110"/>
          <w:sz w:val="19"/>
        </w:rPr>
        <w:t>aration.</w:t>
      </w:r>
    </w:p>
    <w:p>
      <w:pPr>
        <w:spacing w:before="161"/>
        <w:ind w:left="721" w:right="1562" w:firstLine="0"/>
        <w:jc w:val="left"/>
        <w:rPr>
          <w:sz w:val="19"/>
        </w:rPr>
      </w:pPr>
      <w:r>
        <w:rPr>
          <w:color w:val="3A3A3A"/>
          <w:w w:val="110"/>
          <w:sz w:val="19"/>
        </w:rPr>
        <w:t>In my op</w:t>
      </w:r>
      <w:r>
        <w:rPr>
          <w:color w:val="1D1D1D"/>
          <w:w w:val="110"/>
          <w:sz w:val="19"/>
        </w:rPr>
        <w:t>i</w:t>
      </w:r>
      <w:r>
        <w:rPr>
          <w:color w:val="3A3A3A"/>
          <w:w w:val="110"/>
          <w:sz w:val="19"/>
        </w:rPr>
        <w:t>nion the financ</w:t>
      </w:r>
      <w:r>
        <w:rPr>
          <w:color w:val="1D1D1D"/>
          <w:w w:val="110"/>
          <w:sz w:val="19"/>
        </w:rPr>
        <w:t>i</w:t>
      </w:r>
      <w:r>
        <w:rPr>
          <w:color w:val="3A3A3A"/>
          <w:w w:val="110"/>
          <w:sz w:val="19"/>
        </w:rPr>
        <w:t>al statements:</w:t>
      </w:r>
    </w:p>
    <w:p>
      <w:pPr>
        <w:pStyle w:val="BodyText"/>
        <w:spacing w:before="10"/>
        <w:rPr>
          <w:sz w:val="16"/>
        </w:rPr>
      </w:pPr>
    </w:p>
    <w:p>
      <w:pPr>
        <w:spacing w:line="273" w:lineRule="auto" w:before="0"/>
        <w:ind w:left="1288" w:right="1562" w:hanging="10"/>
        <w:jc w:val="left"/>
        <w:rPr>
          <w:sz w:val="19"/>
        </w:rPr>
      </w:pPr>
      <w:r>
        <w:rPr>
          <w:color w:val="3A3A3A"/>
          <w:w w:val="105"/>
          <w:sz w:val="19"/>
        </w:rPr>
        <w:t>give a true and fair view of </w:t>
      </w:r>
      <w:r>
        <w:rPr>
          <w:color w:val="1D1D1D"/>
          <w:w w:val="105"/>
          <w:sz w:val="19"/>
        </w:rPr>
        <w:t>t</w:t>
      </w:r>
      <w:r>
        <w:rPr>
          <w:color w:val="3A3A3A"/>
          <w:w w:val="105"/>
          <w:sz w:val="19"/>
        </w:rPr>
        <w:t>he Company</w:t>
      </w:r>
      <w:r>
        <w:rPr>
          <w:color w:val="6D6D6D"/>
          <w:w w:val="105"/>
          <w:sz w:val="19"/>
        </w:rPr>
        <w:t>'</w:t>
      </w:r>
      <w:r>
        <w:rPr>
          <w:color w:val="3A3A3A"/>
          <w:w w:val="105"/>
          <w:sz w:val="19"/>
        </w:rPr>
        <w:t>s financia</w:t>
      </w:r>
      <w:r>
        <w:rPr>
          <w:color w:val="0F0F0F"/>
          <w:w w:val="105"/>
          <w:sz w:val="19"/>
        </w:rPr>
        <w:t>l </w:t>
      </w:r>
      <w:r>
        <w:rPr>
          <w:color w:val="3A3A3A"/>
          <w:w w:val="105"/>
          <w:sz w:val="19"/>
        </w:rPr>
        <w:t>position as at 31 December 2017 and its performance fo</w:t>
      </w:r>
      <w:r>
        <w:rPr>
          <w:color w:val="1D1D1D"/>
          <w:w w:val="105"/>
          <w:sz w:val="19"/>
        </w:rPr>
        <w:t>r t</w:t>
      </w:r>
      <w:r>
        <w:rPr>
          <w:color w:val="3A3A3A"/>
          <w:w w:val="105"/>
          <w:sz w:val="19"/>
        </w:rPr>
        <w:t>he year ended on that date</w:t>
      </w:r>
    </w:p>
    <w:p>
      <w:pPr>
        <w:spacing w:before="49"/>
        <w:ind w:left="1278" w:right="1562" w:firstLine="0"/>
        <w:jc w:val="left"/>
        <w:rPr>
          <w:sz w:val="19"/>
        </w:rPr>
      </w:pPr>
      <w:r>
        <w:rPr>
          <w:color w:val="3A3A3A"/>
          <w:w w:val="105"/>
          <w:sz w:val="19"/>
        </w:rPr>
        <w:t>comply w</w:t>
      </w:r>
      <w:r>
        <w:rPr>
          <w:color w:val="1D1D1D"/>
          <w:w w:val="105"/>
          <w:sz w:val="19"/>
        </w:rPr>
        <w:t>i</w:t>
      </w:r>
      <w:r>
        <w:rPr>
          <w:color w:val="525252"/>
          <w:w w:val="105"/>
          <w:sz w:val="19"/>
        </w:rPr>
        <w:t>th </w:t>
      </w:r>
      <w:r>
        <w:rPr>
          <w:color w:val="3A3A3A"/>
          <w:w w:val="105"/>
          <w:sz w:val="19"/>
        </w:rPr>
        <w:t>Australian Accounting Standards</w:t>
      </w:r>
    </w:p>
    <w:p>
      <w:pPr>
        <w:spacing w:line="264" w:lineRule="auto" w:before="79"/>
        <w:ind w:left="1278" w:right="1790" w:firstLine="0"/>
        <w:jc w:val="left"/>
        <w:rPr>
          <w:sz w:val="19"/>
        </w:rPr>
      </w:pPr>
      <w:r>
        <w:rPr>
          <w:color w:val="3A3A3A"/>
          <w:w w:val="110"/>
          <w:sz w:val="19"/>
        </w:rPr>
        <w:t>are</w:t>
      </w:r>
      <w:r>
        <w:rPr>
          <w:color w:val="3A3A3A"/>
          <w:spacing w:val="-26"/>
          <w:w w:val="110"/>
          <w:sz w:val="19"/>
        </w:rPr>
        <w:t> </w:t>
      </w:r>
      <w:r>
        <w:rPr>
          <w:color w:val="3A3A3A"/>
          <w:spacing w:val="-12"/>
          <w:w w:val="110"/>
          <w:sz w:val="19"/>
        </w:rPr>
        <w:t>in</w:t>
      </w:r>
      <w:r>
        <w:rPr>
          <w:color w:val="3A3A3A"/>
          <w:spacing w:val="-35"/>
          <w:w w:val="110"/>
          <w:sz w:val="19"/>
        </w:rPr>
        <w:t> </w:t>
      </w:r>
      <w:r>
        <w:rPr>
          <w:color w:val="3A3A3A"/>
          <w:w w:val="110"/>
          <w:sz w:val="19"/>
        </w:rPr>
        <w:t>acco</w:t>
      </w:r>
      <w:r>
        <w:rPr>
          <w:color w:val="1D1D1D"/>
          <w:w w:val="110"/>
          <w:sz w:val="19"/>
        </w:rPr>
        <w:t>r</w:t>
      </w:r>
      <w:r>
        <w:rPr>
          <w:color w:val="3A3A3A"/>
          <w:w w:val="110"/>
          <w:sz w:val="19"/>
        </w:rPr>
        <w:t>dance</w:t>
      </w:r>
      <w:r>
        <w:rPr>
          <w:color w:val="3A3A3A"/>
          <w:spacing w:val="-23"/>
          <w:w w:val="110"/>
          <w:sz w:val="19"/>
        </w:rPr>
        <w:t> </w:t>
      </w:r>
      <w:r>
        <w:rPr>
          <w:color w:val="3A3A3A"/>
          <w:w w:val="110"/>
          <w:sz w:val="19"/>
        </w:rPr>
        <w:t>with</w:t>
      </w:r>
      <w:r>
        <w:rPr>
          <w:color w:val="3A3A3A"/>
          <w:spacing w:val="-28"/>
          <w:w w:val="110"/>
          <w:sz w:val="19"/>
        </w:rPr>
        <w:t> </w:t>
      </w:r>
      <w:r>
        <w:rPr>
          <w:color w:val="3A3A3A"/>
          <w:w w:val="110"/>
          <w:sz w:val="19"/>
        </w:rPr>
        <w:t>section</w:t>
      </w:r>
      <w:r>
        <w:rPr>
          <w:color w:val="3A3A3A"/>
          <w:spacing w:val="-29"/>
          <w:w w:val="110"/>
          <w:sz w:val="19"/>
        </w:rPr>
        <w:t> </w:t>
      </w:r>
      <w:r>
        <w:rPr>
          <w:color w:val="3A3A3A"/>
          <w:spacing w:val="3"/>
          <w:w w:val="110"/>
          <w:sz w:val="19"/>
        </w:rPr>
        <w:t>41B</w:t>
      </w:r>
      <w:r>
        <w:rPr>
          <w:color w:val="3A3A3A"/>
          <w:spacing w:val="-33"/>
          <w:w w:val="110"/>
          <w:sz w:val="19"/>
        </w:rPr>
        <w:t> </w:t>
      </w:r>
      <w:r>
        <w:rPr>
          <w:color w:val="3A3A3A"/>
          <w:w w:val="110"/>
          <w:sz w:val="19"/>
        </w:rPr>
        <w:t>of</w:t>
      </w:r>
      <w:r>
        <w:rPr>
          <w:color w:val="3A3A3A"/>
          <w:spacing w:val="-29"/>
          <w:w w:val="110"/>
          <w:sz w:val="19"/>
        </w:rPr>
        <w:t> </w:t>
      </w:r>
      <w:r>
        <w:rPr>
          <w:color w:val="3A3A3A"/>
          <w:w w:val="110"/>
          <w:sz w:val="19"/>
        </w:rPr>
        <w:t>the</w:t>
      </w:r>
      <w:r>
        <w:rPr>
          <w:color w:val="3A3A3A"/>
          <w:spacing w:val="-18"/>
          <w:w w:val="110"/>
          <w:sz w:val="19"/>
        </w:rPr>
        <w:t> </w:t>
      </w:r>
      <w:r>
        <w:rPr>
          <w:i/>
          <w:color w:val="3A3A3A"/>
          <w:w w:val="110"/>
          <w:sz w:val="19"/>
        </w:rPr>
        <w:t>Public</w:t>
      </w:r>
      <w:r>
        <w:rPr>
          <w:i/>
          <w:color w:val="3A3A3A"/>
          <w:spacing w:val="-35"/>
          <w:w w:val="110"/>
          <w:sz w:val="19"/>
        </w:rPr>
        <w:t> </w:t>
      </w:r>
      <w:r>
        <w:rPr>
          <w:i/>
          <w:color w:val="3A3A3A"/>
          <w:w w:val="110"/>
          <w:sz w:val="19"/>
        </w:rPr>
        <w:t>Finance</w:t>
      </w:r>
      <w:r>
        <w:rPr>
          <w:i/>
          <w:color w:val="3A3A3A"/>
          <w:spacing w:val="-21"/>
          <w:w w:val="110"/>
          <w:sz w:val="19"/>
        </w:rPr>
        <w:t> </w:t>
      </w:r>
      <w:r>
        <w:rPr>
          <w:i/>
          <w:color w:val="3A3A3A"/>
          <w:w w:val="110"/>
          <w:sz w:val="19"/>
        </w:rPr>
        <w:t>and</w:t>
      </w:r>
      <w:r>
        <w:rPr>
          <w:i/>
          <w:color w:val="3A3A3A"/>
          <w:spacing w:val="-28"/>
          <w:w w:val="110"/>
          <w:sz w:val="19"/>
        </w:rPr>
        <w:t> </w:t>
      </w:r>
      <w:r>
        <w:rPr>
          <w:i/>
          <w:color w:val="3A3A3A"/>
          <w:w w:val="110"/>
          <w:sz w:val="19"/>
        </w:rPr>
        <w:t>Audit</w:t>
      </w:r>
      <w:r>
        <w:rPr>
          <w:i/>
          <w:color w:val="3A3A3A"/>
          <w:spacing w:val="-20"/>
          <w:w w:val="110"/>
          <w:sz w:val="19"/>
        </w:rPr>
        <w:t> </w:t>
      </w:r>
      <w:r>
        <w:rPr>
          <w:i/>
          <w:color w:val="3A3A3A"/>
          <w:w w:val="110"/>
          <w:sz w:val="19"/>
        </w:rPr>
        <w:t>Act</w:t>
      </w:r>
      <w:r>
        <w:rPr>
          <w:i/>
          <w:color w:val="3A3A3A"/>
          <w:spacing w:val="-10"/>
          <w:w w:val="110"/>
          <w:sz w:val="19"/>
        </w:rPr>
        <w:t> </w:t>
      </w:r>
      <w:r>
        <w:rPr>
          <w:i/>
          <w:color w:val="3A3A3A"/>
          <w:w w:val="110"/>
          <w:sz w:val="19"/>
        </w:rPr>
        <w:t>1983</w:t>
      </w:r>
      <w:r>
        <w:rPr>
          <w:i/>
          <w:color w:val="3A3A3A"/>
          <w:spacing w:val="-33"/>
          <w:w w:val="110"/>
          <w:sz w:val="19"/>
        </w:rPr>
        <w:t> </w:t>
      </w:r>
      <w:r>
        <w:rPr>
          <w:color w:val="3A3A3A"/>
          <w:w w:val="110"/>
          <w:sz w:val="19"/>
        </w:rPr>
        <w:t>(PF&amp;A</w:t>
      </w:r>
      <w:r>
        <w:rPr>
          <w:color w:val="3A3A3A"/>
          <w:spacing w:val="-31"/>
          <w:w w:val="110"/>
          <w:sz w:val="19"/>
        </w:rPr>
        <w:t> </w:t>
      </w:r>
      <w:r>
        <w:rPr>
          <w:color w:val="3A3A3A"/>
          <w:w w:val="110"/>
          <w:sz w:val="19"/>
        </w:rPr>
        <w:t>Act)</w:t>
      </w:r>
      <w:r>
        <w:rPr>
          <w:color w:val="3A3A3A"/>
          <w:spacing w:val="-20"/>
          <w:w w:val="110"/>
          <w:sz w:val="19"/>
        </w:rPr>
        <w:t> </w:t>
      </w:r>
      <w:r>
        <w:rPr>
          <w:color w:val="3A3A3A"/>
          <w:w w:val="110"/>
          <w:sz w:val="19"/>
        </w:rPr>
        <w:t>and the</w:t>
      </w:r>
      <w:r>
        <w:rPr>
          <w:color w:val="3A3A3A"/>
          <w:spacing w:val="-27"/>
          <w:w w:val="110"/>
          <w:sz w:val="19"/>
        </w:rPr>
        <w:t> </w:t>
      </w:r>
      <w:r>
        <w:rPr>
          <w:color w:val="3A3A3A"/>
          <w:spacing w:val="-7"/>
          <w:w w:val="110"/>
          <w:sz w:val="19"/>
        </w:rPr>
        <w:t>Pub</w:t>
      </w:r>
      <w:r>
        <w:rPr>
          <w:color w:val="1D1D1D"/>
          <w:spacing w:val="-7"/>
          <w:w w:val="110"/>
          <w:sz w:val="19"/>
        </w:rPr>
        <w:t>l</w:t>
      </w:r>
      <w:r>
        <w:rPr>
          <w:color w:val="525252"/>
          <w:spacing w:val="-7"/>
          <w:w w:val="110"/>
          <w:sz w:val="19"/>
        </w:rPr>
        <w:t>ic</w:t>
      </w:r>
      <w:r>
        <w:rPr>
          <w:color w:val="525252"/>
          <w:spacing w:val="-29"/>
          <w:w w:val="110"/>
          <w:sz w:val="19"/>
        </w:rPr>
        <w:t> </w:t>
      </w:r>
      <w:r>
        <w:rPr>
          <w:color w:val="3A3A3A"/>
          <w:spacing w:val="-3"/>
          <w:w w:val="110"/>
          <w:sz w:val="19"/>
        </w:rPr>
        <w:t>Finance</w:t>
      </w:r>
      <w:r>
        <w:rPr>
          <w:color w:val="3A3A3A"/>
          <w:spacing w:val="-30"/>
          <w:w w:val="110"/>
          <w:sz w:val="19"/>
        </w:rPr>
        <w:t> </w:t>
      </w:r>
      <w:r>
        <w:rPr>
          <w:color w:val="3A3A3A"/>
          <w:w w:val="110"/>
          <w:sz w:val="19"/>
        </w:rPr>
        <w:t>and</w:t>
      </w:r>
      <w:r>
        <w:rPr>
          <w:color w:val="3A3A3A"/>
          <w:spacing w:val="-32"/>
          <w:w w:val="110"/>
          <w:sz w:val="19"/>
        </w:rPr>
        <w:t> </w:t>
      </w:r>
      <w:r>
        <w:rPr>
          <w:color w:val="3A3A3A"/>
          <w:w w:val="110"/>
          <w:sz w:val="19"/>
        </w:rPr>
        <w:t>Audit</w:t>
      </w:r>
      <w:r>
        <w:rPr>
          <w:color w:val="3A3A3A"/>
          <w:spacing w:val="-26"/>
          <w:w w:val="110"/>
          <w:sz w:val="19"/>
        </w:rPr>
        <w:t> </w:t>
      </w:r>
      <w:r>
        <w:rPr>
          <w:color w:val="3A3A3A"/>
          <w:w w:val="110"/>
          <w:sz w:val="19"/>
        </w:rPr>
        <w:t>Regu</w:t>
      </w:r>
      <w:r>
        <w:rPr>
          <w:color w:val="1D1D1D"/>
          <w:w w:val="110"/>
          <w:sz w:val="19"/>
        </w:rPr>
        <w:t>l</w:t>
      </w:r>
      <w:r>
        <w:rPr>
          <w:color w:val="3A3A3A"/>
          <w:w w:val="110"/>
          <w:sz w:val="19"/>
        </w:rPr>
        <w:t>ation</w:t>
      </w:r>
      <w:r>
        <w:rPr>
          <w:color w:val="3A3A3A"/>
          <w:spacing w:val="-30"/>
          <w:w w:val="110"/>
          <w:sz w:val="19"/>
        </w:rPr>
        <w:t> </w:t>
      </w:r>
      <w:r>
        <w:rPr>
          <w:color w:val="3A3A3A"/>
          <w:w w:val="110"/>
          <w:sz w:val="19"/>
        </w:rPr>
        <w:t>2015</w:t>
      </w:r>
    </w:p>
    <w:p>
      <w:pPr>
        <w:pStyle w:val="Heading8"/>
        <w:spacing w:line="264" w:lineRule="auto" w:before="67"/>
        <w:ind w:left="1278" w:right="2570"/>
      </w:pPr>
      <w:r>
        <w:rPr>
          <w:color w:val="3A3A3A"/>
          <w:w w:val="105"/>
        </w:rPr>
        <w:t>have been prepared </w:t>
      </w:r>
      <w:r>
        <w:rPr>
          <w:color w:val="3A3A3A"/>
          <w:w w:val="110"/>
        </w:rPr>
        <w:t>in </w:t>
      </w:r>
      <w:r>
        <w:rPr>
          <w:color w:val="3A3A3A"/>
          <w:w w:val="105"/>
        </w:rPr>
        <w:t>accordance with Divis</w:t>
      </w:r>
      <w:r>
        <w:rPr>
          <w:color w:val="1D1D1D"/>
          <w:w w:val="105"/>
        </w:rPr>
        <w:t>i</w:t>
      </w:r>
      <w:r>
        <w:rPr>
          <w:color w:val="3A3A3A"/>
          <w:w w:val="105"/>
        </w:rPr>
        <w:t>on 60 of the Aust</w:t>
      </w:r>
      <w:r>
        <w:rPr>
          <w:color w:val="1D1D1D"/>
          <w:w w:val="105"/>
        </w:rPr>
        <w:t>r</w:t>
      </w:r>
      <w:r>
        <w:rPr>
          <w:color w:val="3A3A3A"/>
          <w:w w:val="105"/>
        </w:rPr>
        <w:t>alian Cha</w:t>
      </w:r>
      <w:r>
        <w:rPr>
          <w:color w:val="1D1D1D"/>
          <w:w w:val="105"/>
        </w:rPr>
        <w:t>ri</w:t>
      </w:r>
      <w:r>
        <w:rPr>
          <w:color w:val="3A3A3A"/>
          <w:w w:val="105"/>
        </w:rPr>
        <w:t>ties and </w:t>
      </w:r>
      <w:r>
        <w:rPr>
          <w:i/>
          <w:color w:val="3A3A3A"/>
          <w:w w:val="105"/>
        </w:rPr>
        <w:t>Not-for-profits Commission Act 2012 </w:t>
      </w:r>
      <w:r>
        <w:rPr>
          <w:color w:val="3A3A3A"/>
          <w:w w:val="105"/>
        </w:rPr>
        <w:t>and Division 60 of the Aus</w:t>
      </w:r>
      <w:r>
        <w:rPr>
          <w:color w:val="1D1D1D"/>
          <w:w w:val="105"/>
        </w:rPr>
        <w:t>t</w:t>
      </w:r>
      <w:r>
        <w:rPr>
          <w:color w:val="3A3A3A"/>
          <w:w w:val="105"/>
        </w:rPr>
        <w:t>ralian Charities and Not-for-profits Commission Regula</w:t>
      </w:r>
      <w:r>
        <w:rPr>
          <w:color w:val="1D1D1D"/>
          <w:w w:val="105"/>
        </w:rPr>
        <w:t>t</w:t>
      </w:r>
      <w:r>
        <w:rPr>
          <w:color w:val="525252"/>
          <w:w w:val="105"/>
        </w:rPr>
        <w:t>ion </w:t>
      </w:r>
      <w:r>
        <w:rPr>
          <w:color w:val="3A3A3A"/>
          <w:w w:val="105"/>
        </w:rPr>
        <w:t>2013.</w:t>
      </w:r>
    </w:p>
    <w:p>
      <w:pPr>
        <w:pStyle w:val="BodyText"/>
        <w:spacing w:before="6"/>
        <w:rPr>
          <w:sz w:val="17"/>
        </w:rPr>
      </w:pPr>
    </w:p>
    <w:p>
      <w:pPr>
        <w:spacing w:before="0"/>
        <w:ind w:left="712" w:right="1562" w:firstLine="0"/>
        <w:jc w:val="left"/>
        <w:rPr>
          <w:sz w:val="19"/>
        </w:rPr>
      </w:pPr>
      <w:r>
        <w:rPr>
          <w:color w:val="3A3A3A"/>
          <w:w w:val="105"/>
          <w:sz w:val="19"/>
        </w:rPr>
        <w:t>My opinion should be read in conjunction wi</w:t>
      </w:r>
      <w:r>
        <w:rPr>
          <w:color w:val="1D1D1D"/>
          <w:w w:val="105"/>
          <w:sz w:val="19"/>
        </w:rPr>
        <w:t>t</w:t>
      </w:r>
      <w:r>
        <w:rPr>
          <w:color w:val="3A3A3A"/>
          <w:w w:val="105"/>
          <w:sz w:val="19"/>
        </w:rPr>
        <w:t>h the rest of this report</w:t>
      </w:r>
      <w:r>
        <w:rPr>
          <w:color w:val="6D6D6D"/>
          <w:w w:val="105"/>
          <w:sz w:val="19"/>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r>
        <w:rPr/>
        <w:pict>
          <v:line style="position:absolute;mso-position-horizontal-relative:page;mso-position-vertical-relative:paragraph;z-index:4024;mso-wrap-distance-left:0;mso-wrap-distance-right:0" from="39.346771pt,11.839079pt" to="548.935501pt,11.839079pt" stroked="true" strokeweight=".959677pt" strokecolor="#545454">
            <w10:wrap type="topAndBottom"/>
          </v:line>
        </w:pict>
      </w:r>
    </w:p>
    <w:p>
      <w:pPr>
        <w:spacing w:before="127"/>
        <w:ind w:left="156" w:right="955" w:firstLine="0"/>
        <w:jc w:val="center"/>
        <w:rPr>
          <w:sz w:val="13"/>
        </w:rPr>
      </w:pPr>
      <w:r>
        <w:rPr>
          <w:color w:val="3A3A3A"/>
          <w:w w:val="112"/>
          <w:sz w:val="13"/>
        </w:rPr>
        <w:t>Level</w:t>
      </w:r>
      <w:r>
        <w:rPr>
          <w:color w:val="3A3A3A"/>
          <w:spacing w:val="-4"/>
          <w:sz w:val="13"/>
        </w:rPr>
        <w:t> </w:t>
      </w:r>
      <w:r>
        <w:rPr>
          <w:color w:val="3A3A3A"/>
          <w:w w:val="115"/>
          <w:sz w:val="13"/>
        </w:rPr>
        <w:t>15,</w:t>
      </w:r>
      <w:r>
        <w:rPr>
          <w:color w:val="3A3A3A"/>
          <w:spacing w:val="-16"/>
          <w:sz w:val="13"/>
        </w:rPr>
        <w:t> </w:t>
      </w:r>
      <w:r>
        <w:rPr>
          <w:color w:val="3A3A3A"/>
          <w:w w:val="137"/>
          <w:sz w:val="13"/>
        </w:rPr>
        <w:t>1</w:t>
      </w:r>
      <w:r>
        <w:rPr>
          <w:color w:val="3A3A3A"/>
          <w:spacing w:val="-21"/>
          <w:sz w:val="13"/>
        </w:rPr>
        <w:t> </w:t>
      </w:r>
      <w:r>
        <w:rPr>
          <w:color w:val="3A3A3A"/>
          <w:w w:val="110"/>
          <w:sz w:val="13"/>
        </w:rPr>
        <w:t>Margaret</w:t>
      </w:r>
      <w:r>
        <w:rPr>
          <w:color w:val="3A3A3A"/>
          <w:sz w:val="13"/>
        </w:rPr>
        <w:t> </w:t>
      </w:r>
      <w:r>
        <w:rPr>
          <w:color w:val="3A3A3A"/>
          <w:w w:val="107"/>
          <w:sz w:val="13"/>
        </w:rPr>
        <w:t>Street,</w:t>
      </w:r>
      <w:r>
        <w:rPr>
          <w:color w:val="3A3A3A"/>
          <w:spacing w:val="-8"/>
          <w:sz w:val="13"/>
        </w:rPr>
        <w:t> </w:t>
      </w:r>
      <w:r>
        <w:rPr>
          <w:color w:val="3A3A3A"/>
          <w:w w:val="107"/>
          <w:sz w:val="13"/>
        </w:rPr>
        <w:t>Sydney</w:t>
      </w:r>
      <w:r>
        <w:rPr>
          <w:color w:val="3A3A3A"/>
          <w:spacing w:val="14"/>
          <w:sz w:val="13"/>
        </w:rPr>
        <w:t> </w:t>
      </w:r>
      <w:r>
        <w:rPr>
          <w:color w:val="3A3A3A"/>
          <w:w w:val="106"/>
          <w:sz w:val="13"/>
        </w:rPr>
        <w:t>NSW</w:t>
      </w:r>
      <w:r>
        <w:rPr>
          <w:color w:val="3A3A3A"/>
          <w:spacing w:val="-6"/>
          <w:sz w:val="13"/>
        </w:rPr>
        <w:t> </w:t>
      </w:r>
      <w:r>
        <w:rPr>
          <w:color w:val="3A3A3A"/>
          <w:w w:val="104"/>
          <w:sz w:val="13"/>
        </w:rPr>
        <w:t>2000</w:t>
      </w:r>
      <w:r>
        <w:rPr>
          <w:color w:val="3A3A3A"/>
          <w:sz w:val="13"/>
        </w:rPr>
        <w:t> </w:t>
      </w:r>
      <w:r>
        <w:rPr>
          <w:color w:val="3A3A3A"/>
          <w:spacing w:val="8"/>
          <w:sz w:val="13"/>
        </w:rPr>
        <w:t> </w:t>
      </w:r>
      <w:r>
        <w:rPr>
          <w:color w:val="525252"/>
          <w:w w:val="152"/>
          <w:sz w:val="13"/>
        </w:rPr>
        <w:t>I</w:t>
      </w:r>
      <w:r>
        <w:rPr>
          <w:color w:val="525252"/>
          <w:spacing w:val="14"/>
          <w:sz w:val="13"/>
        </w:rPr>
        <w:t> </w:t>
      </w:r>
      <w:r>
        <w:rPr>
          <w:color w:val="3A3A3A"/>
          <w:w w:val="101"/>
          <w:sz w:val="13"/>
        </w:rPr>
        <w:t>GPO</w:t>
      </w:r>
      <w:r>
        <w:rPr>
          <w:color w:val="3A3A3A"/>
          <w:spacing w:val="-5"/>
          <w:sz w:val="13"/>
        </w:rPr>
        <w:t> </w:t>
      </w:r>
      <w:r>
        <w:rPr>
          <w:color w:val="3A3A3A"/>
          <w:w w:val="105"/>
          <w:sz w:val="13"/>
        </w:rPr>
        <w:t>Box</w:t>
      </w:r>
      <w:r>
        <w:rPr>
          <w:color w:val="3A3A3A"/>
          <w:spacing w:val="4"/>
          <w:sz w:val="13"/>
        </w:rPr>
        <w:t> </w:t>
      </w:r>
      <w:r>
        <w:rPr>
          <w:color w:val="3A3A3A"/>
          <w:spacing w:val="-33"/>
          <w:w w:val="137"/>
          <w:sz w:val="13"/>
        </w:rPr>
        <w:t>1</w:t>
      </w:r>
      <w:r>
        <w:rPr>
          <w:color w:val="3A3A3A"/>
          <w:w w:val="110"/>
          <w:sz w:val="13"/>
        </w:rPr>
        <w:t>2,</w:t>
      </w:r>
      <w:r>
        <w:rPr>
          <w:color w:val="3A3A3A"/>
          <w:spacing w:val="-3"/>
          <w:sz w:val="13"/>
        </w:rPr>
        <w:t> </w:t>
      </w:r>
      <w:r>
        <w:rPr>
          <w:color w:val="3A3A3A"/>
          <w:w w:val="108"/>
          <w:sz w:val="13"/>
        </w:rPr>
        <w:t>Sy</w:t>
      </w:r>
      <w:r>
        <w:rPr>
          <w:color w:val="3A3A3A"/>
          <w:spacing w:val="-14"/>
          <w:w w:val="108"/>
          <w:sz w:val="13"/>
        </w:rPr>
        <w:t>d</w:t>
      </w:r>
      <w:r>
        <w:rPr>
          <w:color w:val="3A3A3A"/>
          <w:w w:val="103"/>
          <w:sz w:val="13"/>
        </w:rPr>
        <w:t>ney</w:t>
      </w:r>
      <w:r>
        <w:rPr>
          <w:color w:val="3A3A3A"/>
          <w:spacing w:val="-5"/>
          <w:sz w:val="13"/>
        </w:rPr>
        <w:t> </w:t>
      </w:r>
      <w:r>
        <w:rPr>
          <w:color w:val="3A3A3A"/>
          <w:w w:val="102"/>
          <w:sz w:val="13"/>
        </w:rPr>
        <w:t>NSW</w:t>
      </w:r>
      <w:r>
        <w:rPr>
          <w:color w:val="3A3A3A"/>
          <w:spacing w:val="-13"/>
          <w:sz w:val="13"/>
        </w:rPr>
        <w:t> </w:t>
      </w:r>
      <w:r>
        <w:rPr>
          <w:color w:val="3A3A3A"/>
          <w:w w:val="107"/>
          <w:sz w:val="13"/>
        </w:rPr>
        <w:t>2001</w:t>
      </w:r>
      <w:r>
        <w:rPr>
          <w:color w:val="3A3A3A"/>
          <w:sz w:val="13"/>
        </w:rPr>
        <w:t> </w:t>
      </w:r>
      <w:r>
        <w:rPr>
          <w:color w:val="3A3A3A"/>
          <w:spacing w:val="9"/>
          <w:sz w:val="13"/>
        </w:rPr>
        <w:t> </w:t>
      </w:r>
      <w:r>
        <w:rPr>
          <w:color w:val="3A3A3A"/>
          <w:w w:val="152"/>
          <w:sz w:val="13"/>
        </w:rPr>
        <w:t>I</w:t>
      </w:r>
      <w:r>
        <w:rPr>
          <w:color w:val="3A3A3A"/>
          <w:spacing w:val="14"/>
          <w:sz w:val="13"/>
        </w:rPr>
        <w:t> </w:t>
      </w:r>
      <w:r>
        <w:rPr>
          <w:color w:val="3A3A3A"/>
          <w:w w:val="143"/>
          <w:sz w:val="13"/>
        </w:rPr>
        <w:t>t</w:t>
      </w:r>
      <w:r>
        <w:rPr>
          <w:color w:val="3A3A3A"/>
          <w:spacing w:val="-12"/>
          <w:sz w:val="13"/>
        </w:rPr>
        <w:t> </w:t>
      </w:r>
      <w:r>
        <w:rPr>
          <w:color w:val="525252"/>
          <w:w w:val="65"/>
          <w:sz w:val="13"/>
        </w:rPr>
        <w:t>CY2</w:t>
      </w:r>
      <w:r>
        <w:rPr>
          <w:color w:val="525252"/>
          <w:spacing w:val="-11"/>
          <w:sz w:val="13"/>
        </w:rPr>
        <w:t> </w:t>
      </w:r>
      <w:r>
        <w:rPr>
          <w:color w:val="525252"/>
          <w:w w:val="107"/>
          <w:sz w:val="13"/>
        </w:rPr>
        <w:t>9275</w:t>
      </w:r>
      <w:r>
        <w:rPr>
          <w:color w:val="525252"/>
          <w:spacing w:val="-3"/>
          <w:sz w:val="13"/>
        </w:rPr>
        <w:t> </w:t>
      </w:r>
      <w:r>
        <w:rPr>
          <w:color w:val="525252"/>
          <w:w w:val="106"/>
          <w:sz w:val="13"/>
        </w:rPr>
        <w:t>7</w:t>
      </w:r>
      <w:r>
        <w:rPr>
          <w:color w:val="525252"/>
          <w:spacing w:val="-11"/>
          <w:w w:val="106"/>
          <w:sz w:val="13"/>
        </w:rPr>
        <w:t>1</w:t>
      </w:r>
      <w:r>
        <w:rPr>
          <w:color w:val="525252"/>
          <w:w w:val="114"/>
          <w:sz w:val="13"/>
        </w:rPr>
        <w:t>01</w:t>
      </w:r>
      <w:r>
        <w:rPr>
          <w:color w:val="525252"/>
          <w:sz w:val="13"/>
        </w:rPr>
        <w:t> </w:t>
      </w:r>
      <w:r>
        <w:rPr>
          <w:color w:val="525252"/>
          <w:spacing w:val="1"/>
          <w:sz w:val="13"/>
        </w:rPr>
        <w:t> </w:t>
      </w:r>
      <w:r>
        <w:rPr>
          <w:color w:val="6D6D6D"/>
          <w:w w:val="230"/>
          <w:sz w:val="13"/>
        </w:rPr>
        <w:t>I</w:t>
      </w:r>
      <w:r>
        <w:rPr>
          <w:color w:val="6D6D6D"/>
          <w:spacing w:val="-14"/>
          <w:sz w:val="13"/>
        </w:rPr>
        <w:t> </w:t>
      </w:r>
      <w:r>
        <w:rPr>
          <w:color w:val="3A3A3A"/>
          <w:w w:val="103"/>
          <w:sz w:val="15"/>
        </w:rPr>
        <w:t>f</w:t>
      </w:r>
      <w:r>
        <w:rPr>
          <w:color w:val="3A3A3A"/>
          <w:spacing w:val="-9"/>
          <w:sz w:val="15"/>
        </w:rPr>
        <w:t> </w:t>
      </w:r>
      <w:r>
        <w:rPr>
          <w:color w:val="525252"/>
          <w:w w:val="113"/>
          <w:sz w:val="13"/>
        </w:rPr>
        <w:t>02</w:t>
      </w:r>
      <w:r>
        <w:rPr>
          <w:color w:val="525252"/>
          <w:spacing w:val="-9"/>
          <w:sz w:val="13"/>
        </w:rPr>
        <w:t> </w:t>
      </w:r>
      <w:r>
        <w:rPr>
          <w:color w:val="525252"/>
          <w:w w:val="107"/>
          <w:sz w:val="13"/>
        </w:rPr>
        <w:t>9275</w:t>
      </w:r>
      <w:r>
        <w:rPr>
          <w:color w:val="525252"/>
          <w:spacing w:val="6"/>
          <w:sz w:val="13"/>
        </w:rPr>
        <w:t> </w:t>
      </w:r>
      <w:r>
        <w:rPr>
          <w:color w:val="3A3A3A"/>
          <w:w w:val="104"/>
          <w:sz w:val="13"/>
        </w:rPr>
        <w:t>7179</w:t>
      </w:r>
      <w:r>
        <w:rPr>
          <w:color w:val="3A3A3A"/>
          <w:sz w:val="13"/>
        </w:rPr>
        <w:t> </w:t>
      </w:r>
      <w:r>
        <w:rPr>
          <w:color w:val="3A3A3A"/>
          <w:spacing w:val="8"/>
          <w:sz w:val="13"/>
        </w:rPr>
        <w:t> </w:t>
      </w:r>
      <w:r>
        <w:rPr>
          <w:color w:val="3A3A3A"/>
          <w:w w:val="152"/>
          <w:sz w:val="13"/>
        </w:rPr>
        <w:t>I</w:t>
      </w:r>
      <w:r>
        <w:rPr>
          <w:color w:val="3A3A3A"/>
          <w:spacing w:val="14"/>
          <w:sz w:val="13"/>
        </w:rPr>
        <w:t> </w:t>
      </w:r>
      <w:r>
        <w:rPr>
          <w:color w:val="3A3A3A"/>
          <w:w w:val="121"/>
          <w:sz w:val="13"/>
        </w:rPr>
        <w:t>e</w:t>
      </w:r>
      <w:r>
        <w:rPr>
          <w:color w:val="3A3A3A"/>
          <w:spacing w:val="-10"/>
          <w:sz w:val="13"/>
        </w:rPr>
        <w:t> </w:t>
      </w:r>
      <w:hyperlink r:id="rId95">
        <w:r>
          <w:rPr>
            <w:color w:val="3A3A3A"/>
            <w:w w:val="106"/>
            <w:sz w:val="13"/>
          </w:rPr>
          <w:t>mail@au</w:t>
        </w:r>
        <w:r>
          <w:rPr>
            <w:color w:val="3A3A3A"/>
            <w:spacing w:val="14"/>
            <w:w w:val="106"/>
            <w:sz w:val="13"/>
          </w:rPr>
          <w:t>d</w:t>
        </w:r>
        <w:r>
          <w:rPr>
            <w:color w:val="3A3A3A"/>
            <w:w w:val="106"/>
            <w:sz w:val="13"/>
          </w:rPr>
          <w:t>.ns</w:t>
        </w:r>
        <w:r>
          <w:rPr>
            <w:color w:val="3A3A3A"/>
            <w:spacing w:val="-48"/>
            <w:w w:val="106"/>
            <w:sz w:val="13"/>
          </w:rPr>
          <w:t>w</w:t>
        </w:r>
        <w:r>
          <w:rPr>
            <w:color w:val="3A3A3A"/>
            <w:spacing w:val="-81"/>
            <w:w w:val="218"/>
            <w:sz w:val="13"/>
          </w:rPr>
          <w:t>.</w:t>
        </w:r>
      </w:hyperlink>
      <w:r>
        <w:rPr>
          <w:color w:val="3A3A3A"/>
          <w:w w:val="105"/>
          <w:sz w:val="13"/>
        </w:rPr>
        <w:t>go</w:t>
      </w:r>
      <w:r>
        <w:rPr>
          <w:color w:val="3A3A3A"/>
          <w:spacing w:val="-11"/>
          <w:w w:val="105"/>
          <w:sz w:val="13"/>
        </w:rPr>
        <w:t>v</w:t>
      </w:r>
      <w:r>
        <w:rPr>
          <w:color w:val="858585"/>
          <w:spacing w:val="-34"/>
          <w:w w:val="145"/>
          <w:sz w:val="13"/>
        </w:rPr>
        <w:t>.</w:t>
      </w:r>
      <w:r>
        <w:rPr>
          <w:color w:val="525252"/>
          <w:w w:val="107"/>
          <w:sz w:val="13"/>
        </w:rPr>
        <w:t>au</w:t>
      </w:r>
      <w:r>
        <w:rPr>
          <w:color w:val="525252"/>
          <w:sz w:val="13"/>
        </w:rPr>
        <w:t> </w:t>
      </w:r>
      <w:r>
        <w:rPr>
          <w:color w:val="525252"/>
          <w:spacing w:val="1"/>
          <w:sz w:val="13"/>
        </w:rPr>
        <w:t> </w:t>
      </w:r>
      <w:r>
        <w:rPr>
          <w:color w:val="525252"/>
          <w:w w:val="152"/>
          <w:sz w:val="13"/>
        </w:rPr>
        <w:t>I</w:t>
      </w:r>
      <w:r>
        <w:rPr>
          <w:color w:val="525252"/>
          <w:spacing w:val="4"/>
          <w:sz w:val="13"/>
        </w:rPr>
        <w:t> </w:t>
      </w:r>
      <w:r>
        <w:rPr>
          <w:color w:val="3A3A3A"/>
          <w:w w:val="109"/>
          <w:sz w:val="13"/>
        </w:rPr>
        <w:t>audit.nsw.go</w:t>
      </w:r>
      <w:r>
        <w:rPr>
          <w:color w:val="3A3A3A"/>
          <w:spacing w:val="-11"/>
          <w:w w:val="109"/>
          <w:sz w:val="13"/>
        </w:rPr>
        <w:t>v</w:t>
      </w:r>
      <w:r>
        <w:rPr>
          <w:color w:val="1D1D1D"/>
          <w:spacing w:val="-51"/>
          <w:w w:val="218"/>
          <w:sz w:val="13"/>
        </w:rPr>
        <w:t>.</w:t>
      </w:r>
      <w:r>
        <w:rPr>
          <w:color w:val="3A3A3A"/>
          <w:w w:val="107"/>
          <w:sz w:val="13"/>
        </w:rPr>
        <w:t>au</w:t>
      </w:r>
    </w:p>
    <w:p>
      <w:pPr>
        <w:spacing w:after="0"/>
        <w:jc w:val="center"/>
        <w:rPr>
          <w:sz w:val="13"/>
        </w:rPr>
        <w:sectPr>
          <w:headerReference w:type="default" r:id="rId93"/>
          <w:pgSz w:w="11900" w:h="16840"/>
          <w:pgMar w:header="0" w:footer="460" w:top="60" w:bottom="700" w:left="660" w:right="0"/>
        </w:sectPr>
      </w:pPr>
    </w:p>
    <w:p>
      <w:pPr>
        <w:pStyle w:val="BodyText"/>
        <w:rPr>
          <w:sz w:val="20"/>
        </w:rPr>
      </w:pPr>
      <w:r>
        <w:rPr/>
        <w:pict>
          <v:group style="position:absolute;margin-left:590.196411pt;margin-top:6.951353pt;width:2.2pt;height:734.55pt;mso-position-horizontal-relative:page;mso-position-vertical-relative:page;z-index:4072" coordorigin="11804,139" coordsize="44,14691">
            <v:line style="position:absolute" from="11833,14815" to="11833,154" stroked="true" strokeweight="1.439516pt" strokecolor="#d8d8d8"/>
            <v:line style="position:absolute" from="11818,14815" to="11818,11207" stroked="true" strokeweight="1.439516pt" strokecolor="#dbdbdb"/>
            <w10:wrap type="none"/>
          </v:group>
        </w:pict>
      </w:r>
    </w:p>
    <w:p>
      <w:pPr>
        <w:pStyle w:val="BodyText"/>
        <w:rPr>
          <w:sz w:val="20"/>
        </w:rPr>
      </w:pPr>
    </w:p>
    <w:p>
      <w:pPr>
        <w:pStyle w:val="BodyText"/>
        <w:rPr>
          <w:sz w:val="20"/>
        </w:rPr>
      </w:pPr>
    </w:p>
    <w:p>
      <w:pPr>
        <w:pStyle w:val="BodyText"/>
        <w:rPr>
          <w:sz w:val="20"/>
        </w:rPr>
      </w:pPr>
    </w:p>
    <w:p>
      <w:pPr>
        <w:pStyle w:val="BodyText"/>
        <w:spacing w:before="7"/>
        <w:rPr>
          <w:sz w:val="25"/>
        </w:rPr>
      </w:pPr>
    </w:p>
    <w:p>
      <w:pPr>
        <w:pStyle w:val="Heading5"/>
        <w:spacing w:before="70"/>
        <w:ind w:left="160"/>
      </w:pPr>
      <w:r>
        <w:rPr>
          <w:color w:val="131313"/>
          <w:w w:val="105"/>
        </w:rPr>
        <w:t>Basis</w:t>
      </w:r>
      <w:r>
        <w:rPr>
          <w:color w:val="131313"/>
          <w:spacing w:val="-54"/>
          <w:w w:val="105"/>
        </w:rPr>
        <w:t> </w:t>
      </w:r>
      <w:r>
        <w:rPr>
          <w:color w:val="131313"/>
          <w:w w:val="105"/>
        </w:rPr>
        <w:t>for Opinion</w:t>
      </w:r>
    </w:p>
    <w:p>
      <w:pPr>
        <w:pStyle w:val="Heading8"/>
        <w:spacing w:line="259" w:lineRule="auto" w:before="137"/>
        <w:ind w:left="141" w:right="1675" w:firstLine="9"/>
      </w:pPr>
      <w:r>
        <w:rPr>
          <w:color w:val="3D3D3D"/>
          <w:spacing w:val="2"/>
          <w:w w:val="110"/>
        </w:rPr>
        <w:t>Iconducted</w:t>
      </w:r>
      <w:r>
        <w:rPr>
          <w:color w:val="3D3D3D"/>
          <w:spacing w:val="-27"/>
          <w:w w:val="110"/>
        </w:rPr>
        <w:t> </w:t>
      </w:r>
      <w:r>
        <w:rPr>
          <w:color w:val="3D3D3D"/>
          <w:w w:val="110"/>
        </w:rPr>
        <w:t>my</w:t>
      </w:r>
      <w:r>
        <w:rPr>
          <w:color w:val="3D3D3D"/>
          <w:spacing w:val="-26"/>
          <w:w w:val="110"/>
        </w:rPr>
        <w:t> </w:t>
      </w:r>
      <w:r>
        <w:rPr>
          <w:color w:val="3D3D3D"/>
          <w:spacing w:val="-5"/>
          <w:w w:val="110"/>
        </w:rPr>
        <w:t>aud</w:t>
      </w:r>
      <w:r>
        <w:rPr>
          <w:color w:val="131313"/>
          <w:spacing w:val="-5"/>
          <w:w w:val="110"/>
        </w:rPr>
        <w:t>i</w:t>
      </w:r>
      <w:r>
        <w:rPr>
          <w:color w:val="3D3D3D"/>
          <w:spacing w:val="-5"/>
          <w:w w:val="110"/>
        </w:rPr>
        <w:t>t</w:t>
      </w:r>
      <w:r>
        <w:rPr>
          <w:color w:val="3D3D3D"/>
          <w:spacing w:val="-23"/>
          <w:w w:val="110"/>
        </w:rPr>
        <w:t> </w:t>
      </w:r>
      <w:r>
        <w:rPr>
          <w:color w:val="2A2A2A"/>
          <w:spacing w:val="-17"/>
          <w:w w:val="110"/>
        </w:rPr>
        <w:t>in</w:t>
      </w:r>
      <w:r>
        <w:rPr>
          <w:color w:val="2A2A2A"/>
          <w:spacing w:val="-37"/>
          <w:w w:val="110"/>
        </w:rPr>
        <w:t> </w:t>
      </w:r>
      <w:r>
        <w:rPr>
          <w:color w:val="3D3D3D"/>
          <w:w w:val="110"/>
        </w:rPr>
        <w:t>accordan</w:t>
      </w:r>
      <w:r>
        <w:rPr>
          <w:color w:val="565656"/>
          <w:w w:val="110"/>
        </w:rPr>
        <w:t>c</w:t>
      </w:r>
      <w:r>
        <w:rPr>
          <w:color w:val="3D3D3D"/>
          <w:w w:val="110"/>
        </w:rPr>
        <w:t>e</w:t>
      </w:r>
      <w:r>
        <w:rPr>
          <w:color w:val="3D3D3D"/>
          <w:spacing w:val="-29"/>
          <w:w w:val="110"/>
        </w:rPr>
        <w:t> </w:t>
      </w:r>
      <w:r>
        <w:rPr>
          <w:color w:val="3D3D3D"/>
          <w:w w:val="110"/>
        </w:rPr>
        <w:t>with</w:t>
      </w:r>
      <w:r>
        <w:rPr>
          <w:color w:val="3D3D3D"/>
          <w:spacing w:val="-29"/>
          <w:w w:val="110"/>
        </w:rPr>
        <w:t> </w:t>
      </w:r>
      <w:r>
        <w:rPr>
          <w:color w:val="3D3D3D"/>
          <w:w w:val="110"/>
        </w:rPr>
        <w:t>Australian</w:t>
      </w:r>
      <w:r>
        <w:rPr>
          <w:color w:val="3D3D3D"/>
          <w:spacing w:val="-20"/>
          <w:w w:val="110"/>
        </w:rPr>
        <w:t> </w:t>
      </w:r>
      <w:r>
        <w:rPr>
          <w:color w:val="3D3D3D"/>
          <w:w w:val="110"/>
        </w:rPr>
        <w:t>Auditing</w:t>
      </w:r>
      <w:r>
        <w:rPr>
          <w:color w:val="3D3D3D"/>
          <w:spacing w:val="-28"/>
          <w:w w:val="110"/>
        </w:rPr>
        <w:t> </w:t>
      </w:r>
      <w:r>
        <w:rPr>
          <w:color w:val="3D3D3D"/>
          <w:w w:val="110"/>
        </w:rPr>
        <w:t>Standards</w:t>
      </w:r>
      <w:r>
        <w:rPr>
          <w:color w:val="565656"/>
          <w:w w:val="110"/>
        </w:rPr>
        <w:t>.</w:t>
      </w:r>
      <w:r>
        <w:rPr>
          <w:color w:val="565656"/>
          <w:spacing w:val="-44"/>
          <w:w w:val="110"/>
        </w:rPr>
        <w:t> </w:t>
      </w:r>
      <w:r>
        <w:rPr>
          <w:color w:val="3D3D3D"/>
          <w:w w:val="110"/>
        </w:rPr>
        <w:t>My</w:t>
      </w:r>
      <w:r>
        <w:rPr>
          <w:color w:val="3D3D3D"/>
          <w:spacing w:val="-22"/>
          <w:w w:val="110"/>
        </w:rPr>
        <w:t> </w:t>
      </w:r>
      <w:r>
        <w:rPr>
          <w:color w:val="3D3D3D"/>
          <w:spacing w:val="-4"/>
          <w:w w:val="110"/>
        </w:rPr>
        <w:t>responsibil</w:t>
      </w:r>
      <w:r>
        <w:rPr>
          <w:color w:val="565656"/>
          <w:spacing w:val="-4"/>
          <w:w w:val="110"/>
        </w:rPr>
        <w:t>i</w:t>
      </w:r>
      <w:r>
        <w:rPr>
          <w:color w:val="3D3D3D"/>
          <w:spacing w:val="-4"/>
          <w:w w:val="110"/>
        </w:rPr>
        <w:t>ties</w:t>
      </w:r>
      <w:r>
        <w:rPr>
          <w:color w:val="3D3D3D"/>
          <w:spacing w:val="-27"/>
          <w:w w:val="110"/>
        </w:rPr>
        <w:t> </w:t>
      </w:r>
      <w:r>
        <w:rPr>
          <w:color w:val="3D3D3D"/>
          <w:w w:val="110"/>
        </w:rPr>
        <w:t>under</w:t>
      </w:r>
      <w:r>
        <w:rPr>
          <w:color w:val="3D3D3D"/>
          <w:spacing w:val="-27"/>
          <w:w w:val="110"/>
        </w:rPr>
        <w:t> </w:t>
      </w:r>
      <w:r>
        <w:rPr>
          <w:color w:val="3D3D3D"/>
          <w:w w:val="110"/>
        </w:rPr>
        <w:t>the standards</w:t>
      </w:r>
      <w:r>
        <w:rPr>
          <w:color w:val="3D3D3D"/>
          <w:spacing w:val="-13"/>
          <w:w w:val="110"/>
        </w:rPr>
        <w:t> </w:t>
      </w:r>
      <w:r>
        <w:rPr>
          <w:color w:val="3D3D3D"/>
          <w:w w:val="110"/>
        </w:rPr>
        <w:t>are</w:t>
      </w:r>
      <w:r>
        <w:rPr>
          <w:color w:val="3D3D3D"/>
          <w:spacing w:val="-23"/>
          <w:w w:val="110"/>
        </w:rPr>
        <w:t> </w:t>
      </w:r>
      <w:r>
        <w:rPr>
          <w:color w:val="3D3D3D"/>
          <w:w w:val="110"/>
        </w:rPr>
        <w:t>described</w:t>
      </w:r>
      <w:r>
        <w:rPr>
          <w:color w:val="3D3D3D"/>
          <w:spacing w:val="-20"/>
          <w:w w:val="110"/>
        </w:rPr>
        <w:t> </w:t>
      </w:r>
      <w:r>
        <w:rPr>
          <w:color w:val="3D3D3D"/>
          <w:w w:val="110"/>
        </w:rPr>
        <w:t>in</w:t>
      </w:r>
      <w:r>
        <w:rPr>
          <w:color w:val="3D3D3D"/>
          <w:spacing w:val="-21"/>
          <w:w w:val="110"/>
        </w:rPr>
        <w:t> </w:t>
      </w:r>
      <w:r>
        <w:rPr>
          <w:color w:val="3D3D3D"/>
          <w:w w:val="110"/>
        </w:rPr>
        <w:t>the</w:t>
      </w:r>
      <w:r>
        <w:rPr>
          <w:color w:val="3D3D3D"/>
          <w:spacing w:val="-14"/>
          <w:w w:val="110"/>
        </w:rPr>
        <w:t> </w:t>
      </w:r>
      <w:r>
        <w:rPr>
          <w:color w:val="808080"/>
          <w:w w:val="110"/>
        </w:rPr>
        <w:t>'</w:t>
      </w:r>
      <w:r>
        <w:rPr>
          <w:color w:val="3D3D3D"/>
          <w:w w:val="110"/>
        </w:rPr>
        <w:t>Auditor</w:t>
      </w:r>
      <w:r>
        <w:rPr>
          <w:color w:val="565656"/>
          <w:w w:val="110"/>
        </w:rPr>
        <w:t>'</w:t>
      </w:r>
      <w:r>
        <w:rPr>
          <w:color w:val="3D3D3D"/>
          <w:w w:val="110"/>
        </w:rPr>
        <w:t>s</w:t>
      </w:r>
      <w:r>
        <w:rPr>
          <w:color w:val="3D3D3D"/>
          <w:spacing w:val="-12"/>
          <w:w w:val="110"/>
        </w:rPr>
        <w:t> </w:t>
      </w:r>
      <w:r>
        <w:rPr>
          <w:color w:val="3D3D3D"/>
          <w:spacing w:val="-7"/>
          <w:w w:val="110"/>
        </w:rPr>
        <w:t>Responsib</w:t>
      </w:r>
      <w:r>
        <w:rPr>
          <w:color w:val="565656"/>
          <w:spacing w:val="-7"/>
          <w:w w:val="110"/>
        </w:rPr>
        <w:t>i</w:t>
      </w:r>
      <w:r>
        <w:rPr>
          <w:color w:val="131313"/>
          <w:spacing w:val="-7"/>
          <w:w w:val="110"/>
        </w:rPr>
        <w:t>l</w:t>
      </w:r>
      <w:r>
        <w:rPr>
          <w:color w:val="565656"/>
          <w:spacing w:val="-7"/>
          <w:w w:val="110"/>
        </w:rPr>
        <w:t>i</w:t>
      </w:r>
      <w:r>
        <w:rPr>
          <w:color w:val="3D3D3D"/>
          <w:spacing w:val="-7"/>
          <w:w w:val="110"/>
        </w:rPr>
        <w:t>t</w:t>
      </w:r>
      <w:r>
        <w:rPr>
          <w:color w:val="565656"/>
          <w:spacing w:val="-7"/>
          <w:w w:val="110"/>
        </w:rPr>
        <w:t>i</w:t>
      </w:r>
      <w:r>
        <w:rPr>
          <w:color w:val="3D3D3D"/>
          <w:spacing w:val="-7"/>
          <w:w w:val="110"/>
        </w:rPr>
        <w:t>es</w:t>
      </w:r>
      <w:r>
        <w:rPr>
          <w:color w:val="3D3D3D"/>
          <w:spacing w:val="-26"/>
          <w:w w:val="110"/>
        </w:rPr>
        <w:t> </w:t>
      </w:r>
      <w:r>
        <w:rPr>
          <w:color w:val="2A2A2A"/>
          <w:w w:val="110"/>
        </w:rPr>
        <w:t>for</w:t>
      </w:r>
      <w:r>
        <w:rPr>
          <w:color w:val="2A2A2A"/>
          <w:spacing w:val="-21"/>
          <w:w w:val="110"/>
        </w:rPr>
        <w:t> </w:t>
      </w:r>
      <w:r>
        <w:rPr>
          <w:color w:val="3D3D3D"/>
          <w:w w:val="110"/>
        </w:rPr>
        <w:t>the</w:t>
      </w:r>
      <w:r>
        <w:rPr>
          <w:color w:val="3D3D3D"/>
          <w:spacing w:val="-21"/>
          <w:w w:val="110"/>
        </w:rPr>
        <w:t> </w:t>
      </w:r>
      <w:r>
        <w:rPr>
          <w:color w:val="3D3D3D"/>
          <w:w w:val="110"/>
        </w:rPr>
        <w:t>Audit</w:t>
      </w:r>
      <w:r>
        <w:rPr>
          <w:color w:val="3D3D3D"/>
          <w:spacing w:val="-28"/>
          <w:w w:val="110"/>
        </w:rPr>
        <w:t> </w:t>
      </w:r>
      <w:r>
        <w:rPr>
          <w:color w:val="3D3D3D"/>
          <w:w w:val="110"/>
        </w:rPr>
        <w:t>of</w:t>
      </w:r>
      <w:r>
        <w:rPr>
          <w:color w:val="3D3D3D"/>
          <w:spacing w:val="-15"/>
          <w:w w:val="110"/>
        </w:rPr>
        <w:t> </w:t>
      </w:r>
      <w:r>
        <w:rPr>
          <w:color w:val="3D3D3D"/>
          <w:w w:val="110"/>
        </w:rPr>
        <w:t>the</w:t>
      </w:r>
      <w:r>
        <w:rPr>
          <w:color w:val="3D3D3D"/>
          <w:spacing w:val="-7"/>
          <w:w w:val="110"/>
        </w:rPr>
        <w:t> </w:t>
      </w:r>
      <w:r>
        <w:rPr>
          <w:color w:val="3D3D3D"/>
          <w:spacing w:val="-4"/>
          <w:w w:val="110"/>
        </w:rPr>
        <w:t>F</w:t>
      </w:r>
      <w:r>
        <w:rPr>
          <w:color w:val="565656"/>
          <w:spacing w:val="-4"/>
          <w:w w:val="110"/>
        </w:rPr>
        <w:t>i</w:t>
      </w:r>
      <w:r>
        <w:rPr>
          <w:color w:val="3D3D3D"/>
          <w:spacing w:val="-4"/>
          <w:w w:val="110"/>
        </w:rPr>
        <w:t>nancial</w:t>
      </w:r>
      <w:r>
        <w:rPr>
          <w:color w:val="3D3D3D"/>
          <w:spacing w:val="-23"/>
          <w:w w:val="110"/>
        </w:rPr>
        <w:t> </w:t>
      </w:r>
      <w:r>
        <w:rPr>
          <w:color w:val="3D3D3D"/>
          <w:w w:val="110"/>
        </w:rPr>
        <w:t>Statements</w:t>
      </w:r>
      <w:r>
        <w:rPr>
          <w:color w:val="808080"/>
          <w:w w:val="110"/>
        </w:rPr>
        <w:t>' </w:t>
      </w:r>
      <w:r>
        <w:rPr>
          <w:color w:val="3D3D3D"/>
          <w:w w:val="110"/>
        </w:rPr>
        <w:t>section</w:t>
      </w:r>
      <w:r>
        <w:rPr>
          <w:color w:val="3D3D3D"/>
          <w:spacing w:val="-28"/>
          <w:w w:val="110"/>
        </w:rPr>
        <w:t> </w:t>
      </w:r>
      <w:r>
        <w:rPr>
          <w:color w:val="3D3D3D"/>
          <w:w w:val="110"/>
        </w:rPr>
        <w:t>of</w:t>
      </w:r>
      <w:r>
        <w:rPr>
          <w:color w:val="3D3D3D"/>
          <w:spacing w:val="-22"/>
          <w:w w:val="110"/>
        </w:rPr>
        <w:t> </w:t>
      </w:r>
      <w:r>
        <w:rPr>
          <w:color w:val="3D3D3D"/>
          <w:w w:val="110"/>
        </w:rPr>
        <w:t>my</w:t>
      </w:r>
      <w:r>
        <w:rPr>
          <w:color w:val="3D3D3D"/>
          <w:spacing w:val="-23"/>
          <w:w w:val="110"/>
        </w:rPr>
        <w:t> </w:t>
      </w:r>
      <w:r>
        <w:rPr>
          <w:color w:val="3D3D3D"/>
          <w:spacing w:val="-5"/>
          <w:w w:val="110"/>
        </w:rPr>
        <w:t>report.</w:t>
      </w:r>
    </w:p>
    <w:p>
      <w:pPr>
        <w:spacing w:line="412" w:lineRule="exact" w:before="25"/>
        <w:ind w:left="697" w:right="3624" w:hanging="547"/>
        <w:jc w:val="left"/>
        <w:rPr>
          <w:sz w:val="19"/>
        </w:rPr>
      </w:pPr>
      <w:r>
        <w:rPr>
          <w:color w:val="2A2A2A"/>
          <w:spacing w:val="4"/>
          <w:w w:val="110"/>
          <w:sz w:val="19"/>
        </w:rPr>
        <w:t>I</w:t>
      </w:r>
      <w:r>
        <w:rPr>
          <w:color w:val="3D3D3D"/>
          <w:spacing w:val="4"/>
          <w:w w:val="110"/>
          <w:sz w:val="19"/>
        </w:rPr>
        <w:t>am</w:t>
      </w:r>
      <w:r>
        <w:rPr>
          <w:color w:val="3D3D3D"/>
          <w:spacing w:val="-26"/>
          <w:w w:val="110"/>
          <w:sz w:val="19"/>
        </w:rPr>
        <w:t> </w:t>
      </w:r>
      <w:r>
        <w:rPr>
          <w:color w:val="3D3D3D"/>
          <w:w w:val="110"/>
          <w:sz w:val="19"/>
        </w:rPr>
        <w:t>independen</w:t>
      </w:r>
      <w:r>
        <w:rPr>
          <w:color w:val="565656"/>
          <w:w w:val="110"/>
          <w:sz w:val="19"/>
        </w:rPr>
        <w:t>t</w:t>
      </w:r>
      <w:r>
        <w:rPr>
          <w:color w:val="565656"/>
          <w:spacing w:val="-30"/>
          <w:w w:val="110"/>
          <w:sz w:val="19"/>
        </w:rPr>
        <w:t> </w:t>
      </w:r>
      <w:r>
        <w:rPr>
          <w:color w:val="3D3D3D"/>
          <w:w w:val="110"/>
          <w:sz w:val="19"/>
        </w:rPr>
        <w:t>o</w:t>
      </w:r>
      <w:r>
        <w:rPr>
          <w:color w:val="131313"/>
          <w:w w:val="110"/>
          <w:sz w:val="19"/>
        </w:rPr>
        <w:t>f</w:t>
      </w:r>
      <w:r>
        <w:rPr>
          <w:color w:val="131313"/>
          <w:spacing w:val="-29"/>
          <w:w w:val="110"/>
          <w:sz w:val="19"/>
        </w:rPr>
        <w:t> </w:t>
      </w:r>
      <w:r>
        <w:rPr>
          <w:color w:val="3D3D3D"/>
          <w:w w:val="110"/>
          <w:sz w:val="19"/>
        </w:rPr>
        <w:t>the</w:t>
      </w:r>
      <w:r>
        <w:rPr>
          <w:color w:val="3D3D3D"/>
          <w:spacing w:val="-26"/>
          <w:w w:val="110"/>
          <w:sz w:val="19"/>
        </w:rPr>
        <w:t> </w:t>
      </w:r>
      <w:r>
        <w:rPr>
          <w:color w:val="3D3D3D"/>
          <w:w w:val="110"/>
          <w:sz w:val="19"/>
        </w:rPr>
        <w:t>Company</w:t>
      </w:r>
      <w:r>
        <w:rPr>
          <w:color w:val="3D3D3D"/>
          <w:spacing w:val="-19"/>
          <w:w w:val="110"/>
          <w:sz w:val="19"/>
        </w:rPr>
        <w:t> </w:t>
      </w:r>
      <w:r>
        <w:rPr>
          <w:color w:val="3D3D3D"/>
          <w:spacing w:val="-12"/>
          <w:w w:val="110"/>
          <w:sz w:val="19"/>
        </w:rPr>
        <w:t>in</w:t>
      </w:r>
      <w:r>
        <w:rPr>
          <w:color w:val="3D3D3D"/>
          <w:spacing w:val="-36"/>
          <w:w w:val="110"/>
          <w:sz w:val="19"/>
        </w:rPr>
        <w:t> </w:t>
      </w:r>
      <w:r>
        <w:rPr>
          <w:color w:val="3D3D3D"/>
          <w:w w:val="110"/>
          <w:sz w:val="19"/>
        </w:rPr>
        <w:t>a</w:t>
      </w:r>
      <w:r>
        <w:rPr>
          <w:color w:val="565656"/>
          <w:w w:val="110"/>
          <w:sz w:val="19"/>
        </w:rPr>
        <w:t>c</w:t>
      </w:r>
      <w:r>
        <w:rPr>
          <w:color w:val="3D3D3D"/>
          <w:w w:val="110"/>
          <w:sz w:val="19"/>
        </w:rPr>
        <w:t>cordance</w:t>
      </w:r>
      <w:r>
        <w:rPr>
          <w:color w:val="3D3D3D"/>
          <w:spacing w:val="-27"/>
          <w:w w:val="110"/>
          <w:sz w:val="19"/>
        </w:rPr>
        <w:t> </w:t>
      </w:r>
      <w:r>
        <w:rPr>
          <w:color w:val="3D3D3D"/>
          <w:w w:val="110"/>
          <w:sz w:val="19"/>
        </w:rPr>
        <w:t>with</w:t>
      </w:r>
      <w:r>
        <w:rPr>
          <w:color w:val="3D3D3D"/>
          <w:spacing w:val="-27"/>
          <w:w w:val="110"/>
          <w:sz w:val="19"/>
        </w:rPr>
        <w:t> </w:t>
      </w:r>
      <w:r>
        <w:rPr>
          <w:color w:val="3D3D3D"/>
          <w:w w:val="110"/>
          <w:sz w:val="19"/>
        </w:rPr>
        <w:t>the</w:t>
      </w:r>
      <w:r>
        <w:rPr>
          <w:color w:val="3D3D3D"/>
          <w:spacing w:val="-26"/>
          <w:w w:val="110"/>
          <w:sz w:val="19"/>
        </w:rPr>
        <w:t> </w:t>
      </w:r>
      <w:r>
        <w:rPr>
          <w:color w:val="3D3D3D"/>
          <w:w w:val="110"/>
          <w:sz w:val="19"/>
        </w:rPr>
        <w:t>requirements</w:t>
      </w:r>
      <w:r>
        <w:rPr>
          <w:color w:val="3D3D3D"/>
          <w:spacing w:val="-28"/>
          <w:w w:val="110"/>
          <w:sz w:val="19"/>
        </w:rPr>
        <w:t> </w:t>
      </w:r>
      <w:r>
        <w:rPr>
          <w:color w:val="3D3D3D"/>
          <w:w w:val="110"/>
          <w:sz w:val="19"/>
        </w:rPr>
        <w:t>of</w:t>
      </w:r>
      <w:r>
        <w:rPr>
          <w:color w:val="3D3D3D"/>
          <w:spacing w:val="-26"/>
          <w:w w:val="110"/>
          <w:sz w:val="19"/>
        </w:rPr>
        <w:t> </w:t>
      </w:r>
      <w:r>
        <w:rPr>
          <w:color w:val="3D3D3D"/>
          <w:spacing w:val="3"/>
          <w:w w:val="110"/>
          <w:sz w:val="19"/>
        </w:rPr>
        <w:t>the</w:t>
      </w:r>
      <w:r>
        <w:rPr>
          <w:color w:val="808080"/>
          <w:spacing w:val="3"/>
          <w:w w:val="110"/>
          <w:sz w:val="19"/>
        </w:rPr>
        <w:t>: </w:t>
      </w:r>
      <w:r>
        <w:rPr>
          <w:color w:val="3D3D3D"/>
          <w:w w:val="105"/>
          <w:sz w:val="19"/>
        </w:rPr>
        <w:t>Austra</w:t>
      </w:r>
      <w:r>
        <w:rPr>
          <w:color w:val="131313"/>
          <w:w w:val="105"/>
          <w:sz w:val="19"/>
        </w:rPr>
        <w:t>l</w:t>
      </w:r>
      <w:r>
        <w:rPr>
          <w:color w:val="565656"/>
          <w:w w:val="105"/>
          <w:sz w:val="19"/>
        </w:rPr>
        <w:t>i</w:t>
      </w:r>
      <w:r>
        <w:rPr>
          <w:color w:val="3D3D3D"/>
          <w:w w:val="105"/>
          <w:sz w:val="19"/>
        </w:rPr>
        <w:t>an Auditing Standards</w:t>
      </w:r>
      <w:r>
        <w:rPr>
          <w:color w:val="6E6E6E"/>
          <w:w w:val="105"/>
          <w:sz w:val="19"/>
        </w:rPr>
        <w:t>,</w:t>
      </w:r>
      <w:r>
        <w:rPr>
          <w:color w:val="6E6E6E"/>
          <w:spacing w:val="-27"/>
          <w:w w:val="105"/>
          <w:sz w:val="19"/>
        </w:rPr>
        <w:t> </w:t>
      </w:r>
      <w:r>
        <w:rPr>
          <w:color w:val="3D3D3D"/>
          <w:w w:val="105"/>
          <w:sz w:val="19"/>
        </w:rPr>
        <w:t>and</w:t>
      </w:r>
    </w:p>
    <w:p>
      <w:pPr>
        <w:spacing w:line="252" w:lineRule="auto" w:before="46"/>
        <w:ind w:left="707" w:right="2442" w:hanging="10"/>
        <w:jc w:val="left"/>
        <w:rPr>
          <w:sz w:val="19"/>
        </w:rPr>
      </w:pPr>
      <w:r>
        <w:rPr>
          <w:color w:val="3D3D3D"/>
          <w:w w:val="110"/>
          <w:sz w:val="19"/>
        </w:rPr>
        <w:t>Accounting</w:t>
      </w:r>
      <w:r>
        <w:rPr>
          <w:color w:val="3D3D3D"/>
          <w:spacing w:val="-30"/>
          <w:w w:val="110"/>
          <w:sz w:val="19"/>
        </w:rPr>
        <w:t> </w:t>
      </w:r>
      <w:r>
        <w:rPr>
          <w:color w:val="2A2A2A"/>
          <w:w w:val="110"/>
          <w:sz w:val="19"/>
        </w:rPr>
        <w:t>Professional</w:t>
      </w:r>
      <w:r>
        <w:rPr>
          <w:color w:val="2A2A2A"/>
          <w:spacing w:val="-30"/>
          <w:w w:val="110"/>
          <w:sz w:val="19"/>
        </w:rPr>
        <w:t> </w:t>
      </w:r>
      <w:r>
        <w:rPr>
          <w:color w:val="3D3D3D"/>
          <w:w w:val="110"/>
          <w:sz w:val="19"/>
        </w:rPr>
        <w:t>and</w:t>
      </w:r>
      <w:r>
        <w:rPr>
          <w:color w:val="3D3D3D"/>
          <w:spacing w:val="-27"/>
          <w:w w:val="110"/>
          <w:sz w:val="19"/>
        </w:rPr>
        <w:t> </w:t>
      </w:r>
      <w:r>
        <w:rPr>
          <w:color w:val="3D3D3D"/>
          <w:w w:val="110"/>
          <w:sz w:val="19"/>
        </w:rPr>
        <w:t>Ethical</w:t>
      </w:r>
      <w:r>
        <w:rPr>
          <w:color w:val="3D3D3D"/>
          <w:spacing w:val="-33"/>
          <w:w w:val="110"/>
          <w:sz w:val="19"/>
        </w:rPr>
        <w:t> </w:t>
      </w:r>
      <w:r>
        <w:rPr>
          <w:color w:val="3D3D3D"/>
          <w:w w:val="110"/>
          <w:sz w:val="19"/>
        </w:rPr>
        <w:t>Standards</w:t>
      </w:r>
      <w:r>
        <w:rPr>
          <w:color w:val="3D3D3D"/>
          <w:spacing w:val="-18"/>
          <w:w w:val="110"/>
          <w:sz w:val="19"/>
        </w:rPr>
        <w:t> </w:t>
      </w:r>
      <w:r>
        <w:rPr>
          <w:color w:val="3D3D3D"/>
          <w:spacing w:val="-3"/>
          <w:w w:val="110"/>
          <w:sz w:val="19"/>
        </w:rPr>
        <w:t>Board</w:t>
      </w:r>
      <w:r>
        <w:rPr>
          <w:color w:val="6E6E6E"/>
          <w:spacing w:val="-3"/>
          <w:w w:val="110"/>
          <w:sz w:val="19"/>
        </w:rPr>
        <w:t>'</w:t>
      </w:r>
      <w:r>
        <w:rPr>
          <w:color w:val="3D3D3D"/>
          <w:spacing w:val="-3"/>
          <w:w w:val="110"/>
          <w:sz w:val="19"/>
        </w:rPr>
        <w:t>s</w:t>
      </w:r>
      <w:r>
        <w:rPr>
          <w:color w:val="3D3D3D"/>
          <w:spacing w:val="-36"/>
          <w:w w:val="110"/>
          <w:sz w:val="19"/>
        </w:rPr>
        <w:t> </w:t>
      </w:r>
      <w:r>
        <w:rPr>
          <w:color w:val="3D3D3D"/>
          <w:w w:val="110"/>
          <w:sz w:val="19"/>
        </w:rPr>
        <w:t>APES</w:t>
      </w:r>
      <w:r>
        <w:rPr>
          <w:color w:val="3D3D3D"/>
          <w:spacing w:val="-18"/>
          <w:w w:val="110"/>
          <w:sz w:val="19"/>
        </w:rPr>
        <w:t> </w:t>
      </w:r>
      <w:r>
        <w:rPr>
          <w:color w:val="3D3D3D"/>
          <w:spacing w:val="-9"/>
          <w:w w:val="110"/>
          <w:sz w:val="19"/>
        </w:rPr>
        <w:t>110</w:t>
      </w:r>
      <w:r>
        <w:rPr>
          <w:color w:val="3D3D3D"/>
          <w:spacing w:val="-38"/>
          <w:w w:val="110"/>
          <w:sz w:val="19"/>
        </w:rPr>
        <w:t> </w:t>
      </w:r>
      <w:r>
        <w:rPr>
          <w:color w:val="565656"/>
          <w:w w:val="110"/>
          <w:sz w:val="19"/>
        </w:rPr>
        <w:t>'</w:t>
      </w:r>
      <w:r>
        <w:rPr>
          <w:color w:val="3D3D3D"/>
          <w:w w:val="110"/>
          <w:sz w:val="19"/>
        </w:rPr>
        <w:t>Code</w:t>
      </w:r>
      <w:r>
        <w:rPr>
          <w:color w:val="3D3D3D"/>
          <w:spacing w:val="-30"/>
          <w:w w:val="110"/>
          <w:sz w:val="19"/>
        </w:rPr>
        <w:t> </w:t>
      </w:r>
      <w:r>
        <w:rPr>
          <w:color w:val="3D3D3D"/>
          <w:w w:val="110"/>
          <w:sz w:val="19"/>
        </w:rPr>
        <w:t>of</w:t>
      </w:r>
      <w:r>
        <w:rPr>
          <w:color w:val="3D3D3D"/>
          <w:spacing w:val="-27"/>
          <w:w w:val="110"/>
          <w:sz w:val="19"/>
        </w:rPr>
        <w:t> </w:t>
      </w:r>
      <w:r>
        <w:rPr>
          <w:color w:val="2A2A2A"/>
          <w:spacing w:val="-7"/>
          <w:w w:val="110"/>
          <w:sz w:val="19"/>
        </w:rPr>
        <w:t>Eth</w:t>
      </w:r>
      <w:r>
        <w:rPr>
          <w:color w:val="565656"/>
          <w:spacing w:val="-7"/>
          <w:w w:val="110"/>
          <w:sz w:val="19"/>
        </w:rPr>
        <w:t>i</w:t>
      </w:r>
      <w:r>
        <w:rPr>
          <w:color w:val="3D3D3D"/>
          <w:spacing w:val="-7"/>
          <w:w w:val="110"/>
          <w:sz w:val="19"/>
        </w:rPr>
        <w:t>cs</w:t>
      </w:r>
      <w:r>
        <w:rPr>
          <w:color w:val="3D3D3D"/>
          <w:spacing w:val="-30"/>
          <w:w w:val="110"/>
          <w:sz w:val="19"/>
        </w:rPr>
        <w:t> </w:t>
      </w:r>
      <w:r>
        <w:rPr>
          <w:color w:val="3D3D3D"/>
          <w:w w:val="110"/>
          <w:sz w:val="19"/>
        </w:rPr>
        <w:t>for </w:t>
      </w:r>
      <w:r>
        <w:rPr>
          <w:color w:val="2A2A2A"/>
          <w:w w:val="110"/>
          <w:sz w:val="19"/>
        </w:rPr>
        <w:t>Professional</w:t>
      </w:r>
      <w:r>
        <w:rPr>
          <w:color w:val="2A2A2A"/>
          <w:spacing w:val="-38"/>
          <w:w w:val="110"/>
          <w:sz w:val="19"/>
        </w:rPr>
        <w:t> </w:t>
      </w:r>
      <w:r>
        <w:rPr>
          <w:color w:val="3D3D3D"/>
          <w:w w:val="110"/>
          <w:sz w:val="19"/>
        </w:rPr>
        <w:t>Accountants</w:t>
      </w:r>
      <w:r>
        <w:rPr>
          <w:color w:val="3D3D3D"/>
          <w:spacing w:val="-48"/>
          <w:w w:val="110"/>
          <w:sz w:val="19"/>
        </w:rPr>
        <w:t> </w:t>
      </w:r>
      <w:r>
        <w:rPr>
          <w:color w:val="565656"/>
          <w:w w:val="120"/>
          <w:sz w:val="19"/>
        </w:rPr>
        <w:t>'</w:t>
      </w:r>
      <w:r>
        <w:rPr>
          <w:color w:val="565656"/>
          <w:spacing w:val="-48"/>
          <w:w w:val="120"/>
          <w:sz w:val="19"/>
        </w:rPr>
        <w:t> </w:t>
      </w:r>
      <w:r>
        <w:rPr>
          <w:color w:val="565656"/>
          <w:spacing w:val="-5"/>
          <w:w w:val="110"/>
          <w:sz w:val="19"/>
        </w:rPr>
        <w:t>(</w:t>
      </w:r>
      <w:r>
        <w:rPr>
          <w:color w:val="3D3D3D"/>
          <w:spacing w:val="-5"/>
          <w:w w:val="110"/>
          <w:sz w:val="19"/>
        </w:rPr>
        <w:t>APES</w:t>
      </w:r>
      <w:r>
        <w:rPr>
          <w:color w:val="3D3D3D"/>
          <w:spacing w:val="-29"/>
          <w:w w:val="110"/>
          <w:sz w:val="19"/>
        </w:rPr>
        <w:t> </w:t>
      </w:r>
      <w:r>
        <w:rPr>
          <w:color w:val="3D3D3D"/>
          <w:spacing w:val="-9"/>
          <w:w w:val="110"/>
          <w:sz w:val="19"/>
        </w:rPr>
        <w:t>110</w:t>
      </w:r>
      <w:r>
        <w:rPr>
          <w:color w:val="565656"/>
          <w:spacing w:val="-9"/>
          <w:w w:val="110"/>
          <w:sz w:val="19"/>
        </w:rPr>
        <w:t>)</w:t>
      </w:r>
      <w:r>
        <w:rPr>
          <w:color w:val="3D3D3D"/>
          <w:spacing w:val="-9"/>
          <w:w w:val="110"/>
          <w:sz w:val="19"/>
        </w:rPr>
        <w:t>.</w:t>
      </w:r>
    </w:p>
    <w:p>
      <w:pPr>
        <w:pStyle w:val="BodyText"/>
        <w:spacing w:before="5"/>
      </w:pPr>
    </w:p>
    <w:p>
      <w:pPr>
        <w:spacing w:before="0"/>
        <w:ind w:left="141" w:right="1613" w:firstLine="0"/>
        <w:jc w:val="left"/>
        <w:rPr>
          <w:sz w:val="19"/>
        </w:rPr>
      </w:pPr>
      <w:r>
        <w:rPr>
          <w:color w:val="2A2A2A"/>
          <w:w w:val="105"/>
          <w:sz w:val="19"/>
        </w:rPr>
        <w:t>I</w:t>
      </w:r>
      <w:r>
        <w:rPr>
          <w:color w:val="3D3D3D"/>
          <w:w w:val="105"/>
          <w:sz w:val="19"/>
        </w:rPr>
        <w:t>have fulfilled my other ethica</w:t>
      </w:r>
      <w:r>
        <w:rPr>
          <w:color w:val="131313"/>
          <w:w w:val="105"/>
          <w:sz w:val="19"/>
        </w:rPr>
        <w:t>l </w:t>
      </w:r>
      <w:r>
        <w:rPr>
          <w:color w:val="2A2A2A"/>
          <w:w w:val="105"/>
          <w:sz w:val="19"/>
        </w:rPr>
        <w:t>responsibilities </w:t>
      </w:r>
      <w:r>
        <w:rPr>
          <w:color w:val="3D3D3D"/>
          <w:w w:val="105"/>
          <w:sz w:val="19"/>
        </w:rPr>
        <w:t>in accordance with APES </w:t>
      </w:r>
      <w:r>
        <w:rPr>
          <w:color w:val="2A2A2A"/>
          <w:w w:val="105"/>
          <w:sz w:val="19"/>
        </w:rPr>
        <w:t>110</w:t>
      </w:r>
      <w:r>
        <w:rPr>
          <w:color w:val="808080"/>
          <w:w w:val="105"/>
          <w:sz w:val="19"/>
        </w:rPr>
        <w:t>.</w:t>
      </w:r>
    </w:p>
    <w:p>
      <w:pPr>
        <w:pStyle w:val="BodyText"/>
        <w:spacing w:before="10"/>
        <w:rPr>
          <w:sz w:val="16"/>
        </w:rPr>
      </w:pPr>
    </w:p>
    <w:p>
      <w:pPr>
        <w:spacing w:line="264" w:lineRule="auto" w:before="0"/>
        <w:ind w:left="131" w:right="2024" w:firstLine="9"/>
        <w:jc w:val="left"/>
        <w:rPr>
          <w:sz w:val="19"/>
        </w:rPr>
      </w:pPr>
      <w:r>
        <w:rPr>
          <w:color w:val="3D3D3D"/>
          <w:spacing w:val="-5"/>
          <w:w w:val="110"/>
          <w:sz w:val="19"/>
        </w:rPr>
        <w:t>Par</w:t>
      </w:r>
      <w:r>
        <w:rPr>
          <w:color w:val="131313"/>
          <w:spacing w:val="-5"/>
          <w:w w:val="110"/>
          <w:sz w:val="19"/>
        </w:rPr>
        <w:t>l</w:t>
      </w:r>
      <w:r>
        <w:rPr>
          <w:color w:val="3D3D3D"/>
          <w:spacing w:val="-5"/>
          <w:w w:val="110"/>
          <w:sz w:val="19"/>
        </w:rPr>
        <w:t>iament</w:t>
      </w:r>
      <w:r>
        <w:rPr>
          <w:color w:val="3D3D3D"/>
          <w:spacing w:val="-30"/>
          <w:w w:val="110"/>
          <w:sz w:val="19"/>
        </w:rPr>
        <w:t> </w:t>
      </w:r>
      <w:r>
        <w:rPr>
          <w:color w:val="3D3D3D"/>
          <w:w w:val="110"/>
          <w:sz w:val="19"/>
        </w:rPr>
        <w:t>promotes</w:t>
      </w:r>
      <w:r>
        <w:rPr>
          <w:color w:val="3D3D3D"/>
          <w:spacing w:val="-32"/>
          <w:w w:val="110"/>
          <w:sz w:val="19"/>
        </w:rPr>
        <w:t> </w:t>
      </w:r>
      <w:r>
        <w:rPr>
          <w:color w:val="2A2A2A"/>
          <w:w w:val="110"/>
          <w:sz w:val="19"/>
        </w:rPr>
        <w:t>independence</w:t>
      </w:r>
      <w:r>
        <w:rPr>
          <w:color w:val="2A2A2A"/>
          <w:spacing w:val="-32"/>
          <w:w w:val="110"/>
          <w:sz w:val="19"/>
        </w:rPr>
        <w:t> </w:t>
      </w:r>
      <w:r>
        <w:rPr>
          <w:color w:val="3D3D3D"/>
          <w:w w:val="110"/>
          <w:sz w:val="19"/>
        </w:rPr>
        <w:t>by</w:t>
      </w:r>
      <w:r>
        <w:rPr>
          <w:color w:val="3D3D3D"/>
          <w:spacing w:val="-40"/>
          <w:w w:val="110"/>
          <w:sz w:val="19"/>
        </w:rPr>
        <w:t> </w:t>
      </w:r>
      <w:r>
        <w:rPr>
          <w:color w:val="3D3D3D"/>
          <w:w w:val="110"/>
          <w:sz w:val="19"/>
        </w:rPr>
        <w:t>ensuring</w:t>
      </w:r>
      <w:r>
        <w:rPr>
          <w:color w:val="3D3D3D"/>
          <w:spacing w:val="-37"/>
          <w:w w:val="110"/>
          <w:sz w:val="19"/>
        </w:rPr>
        <w:t> </w:t>
      </w:r>
      <w:r>
        <w:rPr>
          <w:color w:val="3D3D3D"/>
          <w:w w:val="110"/>
          <w:sz w:val="19"/>
        </w:rPr>
        <w:t>the</w:t>
      </w:r>
      <w:r>
        <w:rPr>
          <w:color w:val="3D3D3D"/>
          <w:spacing w:val="-37"/>
          <w:w w:val="110"/>
          <w:sz w:val="19"/>
        </w:rPr>
        <w:t> </w:t>
      </w:r>
      <w:r>
        <w:rPr>
          <w:color w:val="3D3D3D"/>
          <w:w w:val="110"/>
          <w:sz w:val="19"/>
        </w:rPr>
        <w:t>Aud</w:t>
      </w:r>
      <w:r>
        <w:rPr>
          <w:color w:val="565656"/>
          <w:w w:val="110"/>
          <w:sz w:val="19"/>
        </w:rPr>
        <w:t>i</w:t>
      </w:r>
      <w:r>
        <w:rPr>
          <w:color w:val="3D3D3D"/>
          <w:w w:val="110"/>
          <w:sz w:val="19"/>
        </w:rPr>
        <w:t>tor-General</w:t>
      </w:r>
      <w:r>
        <w:rPr>
          <w:color w:val="3D3D3D"/>
          <w:spacing w:val="-32"/>
          <w:w w:val="110"/>
          <w:sz w:val="19"/>
        </w:rPr>
        <w:t> </w:t>
      </w:r>
      <w:r>
        <w:rPr>
          <w:color w:val="3D3D3D"/>
          <w:w w:val="110"/>
          <w:sz w:val="19"/>
        </w:rPr>
        <w:t>and</w:t>
      </w:r>
      <w:r>
        <w:rPr>
          <w:color w:val="3D3D3D"/>
          <w:spacing w:val="-38"/>
          <w:w w:val="110"/>
          <w:sz w:val="19"/>
        </w:rPr>
        <w:t> </w:t>
      </w:r>
      <w:r>
        <w:rPr>
          <w:color w:val="3D3D3D"/>
          <w:w w:val="110"/>
          <w:sz w:val="19"/>
        </w:rPr>
        <w:t>the</w:t>
      </w:r>
      <w:r>
        <w:rPr>
          <w:color w:val="3D3D3D"/>
          <w:spacing w:val="-34"/>
          <w:w w:val="110"/>
          <w:sz w:val="19"/>
        </w:rPr>
        <w:t> </w:t>
      </w:r>
      <w:r>
        <w:rPr>
          <w:color w:val="3D3D3D"/>
          <w:w w:val="110"/>
          <w:sz w:val="19"/>
        </w:rPr>
        <w:t>Audit</w:t>
      </w:r>
      <w:r>
        <w:rPr>
          <w:color w:val="3D3D3D"/>
          <w:spacing w:val="-33"/>
          <w:w w:val="110"/>
          <w:sz w:val="19"/>
        </w:rPr>
        <w:t> </w:t>
      </w:r>
      <w:r>
        <w:rPr>
          <w:color w:val="3D3D3D"/>
          <w:w w:val="110"/>
          <w:sz w:val="19"/>
        </w:rPr>
        <w:t>Office</w:t>
      </w:r>
      <w:r>
        <w:rPr>
          <w:color w:val="3D3D3D"/>
          <w:spacing w:val="-38"/>
          <w:w w:val="110"/>
          <w:sz w:val="19"/>
        </w:rPr>
        <w:t> </w:t>
      </w:r>
      <w:r>
        <w:rPr>
          <w:color w:val="3D3D3D"/>
          <w:w w:val="110"/>
          <w:sz w:val="19"/>
        </w:rPr>
        <w:t>of</w:t>
      </w:r>
      <w:r>
        <w:rPr>
          <w:color w:val="3D3D3D"/>
          <w:spacing w:val="-34"/>
          <w:w w:val="110"/>
          <w:sz w:val="19"/>
        </w:rPr>
        <w:t> </w:t>
      </w:r>
      <w:r>
        <w:rPr>
          <w:color w:val="2A2A2A"/>
          <w:w w:val="110"/>
          <w:sz w:val="19"/>
        </w:rPr>
        <w:t>New </w:t>
      </w:r>
      <w:r>
        <w:rPr>
          <w:color w:val="3D3D3D"/>
          <w:w w:val="102"/>
          <w:sz w:val="19"/>
        </w:rPr>
        <w:t>South</w:t>
      </w:r>
      <w:r>
        <w:rPr>
          <w:color w:val="3D3D3D"/>
          <w:spacing w:val="-9"/>
          <w:w w:val="102"/>
          <w:sz w:val="19"/>
        </w:rPr>
        <w:t> </w:t>
      </w:r>
      <w:r>
        <w:rPr>
          <w:color w:val="3D3D3D"/>
          <w:w w:val="103"/>
          <w:sz w:val="19"/>
        </w:rPr>
        <w:t>Wales</w:t>
      </w:r>
      <w:r>
        <w:rPr>
          <w:color w:val="3D3D3D"/>
          <w:spacing w:val="-1"/>
          <w:w w:val="103"/>
          <w:sz w:val="19"/>
        </w:rPr>
        <w:t> </w:t>
      </w:r>
      <w:r>
        <w:rPr>
          <w:color w:val="3D3D3D"/>
          <w:w w:val="104"/>
          <w:sz w:val="19"/>
        </w:rPr>
        <w:t>are</w:t>
      </w:r>
      <w:r>
        <w:rPr>
          <w:color w:val="3D3D3D"/>
          <w:spacing w:val="-8"/>
          <w:w w:val="104"/>
          <w:sz w:val="19"/>
        </w:rPr>
        <w:t> </w:t>
      </w:r>
      <w:r>
        <w:rPr>
          <w:color w:val="3D3D3D"/>
          <w:w w:val="105"/>
          <w:sz w:val="19"/>
        </w:rPr>
        <w:t>not</w:t>
      </w:r>
      <w:r>
        <w:rPr>
          <w:color w:val="3D3D3D"/>
          <w:spacing w:val="-26"/>
          <w:w w:val="105"/>
          <w:sz w:val="19"/>
        </w:rPr>
        <w:t> </w:t>
      </w:r>
      <w:r>
        <w:rPr>
          <w:color w:val="3D3D3D"/>
          <w:w w:val="104"/>
          <w:sz w:val="19"/>
        </w:rPr>
        <w:t>compromised</w:t>
      </w:r>
      <w:r>
        <w:rPr>
          <w:color w:val="3D3D3D"/>
          <w:spacing w:val="-16"/>
          <w:w w:val="104"/>
          <w:sz w:val="19"/>
        </w:rPr>
        <w:t> </w:t>
      </w:r>
      <w:r>
        <w:rPr>
          <w:color w:val="3D3D3D"/>
          <w:spacing w:val="-31"/>
          <w:w w:val="166"/>
          <w:sz w:val="19"/>
        </w:rPr>
        <w:t>in</w:t>
      </w:r>
      <w:r>
        <w:rPr>
          <w:color w:val="3D3D3D"/>
          <w:spacing w:val="-46"/>
          <w:w w:val="166"/>
          <w:sz w:val="19"/>
        </w:rPr>
        <w:t> </w:t>
      </w:r>
      <w:r>
        <w:rPr>
          <w:color w:val="3D3D3D"/>
          <w:spacing w:val="-4"/>
          <w:w w:val="118"/>
          <w:sz w:val="19"/>
        </w:rPr>
        <w:t>the</w:t>
      </w:r>
      <w:r>
        <w:rPr>
          <w:color w:val="131313"/>
          <w:spacing w:val="-4"/>
          <w:w w:val="118"/>
          <w:sz w:val="19"/>
        </w:rPr>
        <w:t>i</w:t>
      </w:r>
      <w:r>
        <w:rPr>
          <w:color w:val="3D3D3D"/>
          <w:spacing w:val="-4"/>
          <w:w w:val="118"/>
          <w:sz w:val="19"/>
        </w:rPr>
        <w:t>r</w:t>
      </w:r>
      <w:r>
        <w:rPr>
          <w:color w:val="3D3D3D"/>
          <w:spacing w:val="-24"/>
          <w:w w:val="118"/>
          <w:sz w:val="19"/>
        </w:rPr>
        <w:t> </w:t>
      </w:r>
      <w:r>
        <w:rPr>
          <w:color w:val="3D3D3D"/>
          <w:w w:val="102"/>
          <w:sz w:val="19"/>
        </w:rPr>
        <w:t>roles</w:t>
      </w:r>
      <w:r>
        <w:rPr>
          <w:color w:val="3D3D3D"/>
          <w:spacing w:val="-9"/>
          <w:w w:val="102"/>
          <w:sz w:val="19"/>
        </w:rPr>
        <w:t> </w:t>
      </w:r>
      <w:r>
        <w:rPr>
          <w:color w:val="3D3D3D"/>
          <w:spacing w:val="2"/>
          <w:w w:val="120"/>
          <w:sz w:val="19"/>
        </w:rPr>
        <w:t>by</w:t>
      </w:r>
      <w:r>
        <w:rPr>
          <w:color w:val="565656"/>
          <w:spacing w:val="2"/>
          <w:w w:val="120"/>
          <w:sz w:val="19"/>
        </w:rPr>
        <w:t>:</w:t>
      </w:r>
    </w:p>
    <w:p>
      <w:pPr>
        <w:pStyle w:val="BodyText"/>
        <w:rPr>
          <w:sz w:val="15"/>
        </w:rPr>
      </w:pPr>
    </w:p>
    <w:p>
      <w:pPr>
        <w:spacing w:before="0"/>
        <w:ind w:left="697" w:right="1613" w:firstLine="0"/>
        <w:jc w:val="left"/>
        <w:rPr>
          <w:sz w:val="19"/>
        </w:rPr>
      </w:pPr>
      <w:r>
        <w:rPr>
          <w:color w:val="3D3D3D"/>
          <w:w w:val="105"/>
          <w:sz w:val="19"/>
        </w:rPr>
        <w:t>providing that only Parliament</w:t>
      </w:r>
      <w:r>
        <w:rPr>
          <w:color w:val="808080"/>
          <w:w w:val="105"/>
          <w:sz w:val="19"/>
        </w:rPr>
        <w:t>, </w:t>
      </w:r>
      <w:r>
        <w:rPr>
          <w:color w:val="3D3D3D"/>
          <w:w w:val="105"/>
          <w:sz w:val="19"/>
        </w:rPr>
        <w:t>and </w:t>
      </w:r>
      <w:r>
        <w:rPr>
          <w:color w:val="2A2A2A"/>
          <w:w w:val="105"/>
          <w:sz w:val="19"/>
        </w:rPr>
        <w:t>not the </w:t>
      </w:r>
      <w:r>
        <w:rPr>
          <w:color w:val="3D3D3D"/>
          <w:w w:val="105"/>
          <w:sz w:val="19"/>
        </w:rPr>
        <w:t>e</w:t>
      </w:r>
      <w:r>
        <w:rPr>
          <w:color w:val="565656"/>
          <w:w w:val="105"/>
          <w:sz w:val="19"/>
        </w:rPr>
        <w:t>x</w:t>
      </w:r>
      <w:r>
        <w:rPr>
          <w:color w:val="3D3D3D"/>
          <w:w w:val="105"/>
          <w:sz w:val="19"/>
        </w:rPr>
        <w:t>ecutive government</w:t>
      </w:r>
      <w:r>
        <w:rPr>
          <w:color w:val="565656"/>
          <w:w w:val="105"/>
          <w:sz w:val="19"/>
        </w:rPr>
        <w:t>, </w:t>
      </w:r>
      <w:r>
        <w:rPr>
          <w:color w:val="3D3D3D"/>
          <w:w w:val="105"/>
          <w:sz w:val="19"/>
        </w:rPr>
        <w:t>can remove an Aud</w:t>
      </w:r>
      <w:r>
        <w:rPr>
          <w:color w:val="565656"/>
          <w:w w:val="105"/>
          <w:sz w:val="19"/>
        </w:rPr>
        <w:t>i</w:t>
      </w:r>
      <w:r>
        <w:rPr>
          <w:color w:val="2A2A2A"/>
          <w:w w:val="105"/>
          <w:sz w:val="19"/>
        </w:rPr>
        <w:t>tor­</w:t>
      </w:r>
    </w:p>
    <w:p>
      <w:pPr>
        <w:spacing w:before="21"/>
        <w:ind w:left="697" w:right="1613" w:firstLine="0"/>
        <w:jc w:val="left"/>
        <w:rPr>
          <w:sz w:val="19"/>
        </w:rPr>
      </w:pPr>
      <w:r>
        <w:rPr>
          <w:color w:val="3D3D3D"/>
          <w:sz w:val="19"/>
        </w:rPr>
        <w:t>General</w:t>
      </w:r>
    </w:p>
    <w:p>
      <w:pPr>
        <w:spacing w:line="326" w:lineRule="auto" w:before="79"/>
        <w:ind w:left="697" w:right="4012" w:firstLine="0"/>
        <w:jc w:val="left"/>
        <w:rPr>
          <w:sz w:val="19"/>
        </w:rPr>
      </w:pPr>
      <w:r>
        <w:rPr>
          <w:color w:val="3D3D3D"/>
          <w:w w:val="105"/>
          <w:sz w:val="19"/>
        </w:rPr>
        <w:t>mandating </w:t>
      </w:r>
      <w:r>
        <w:rPr>
          <w:color w:val="2A2A2A"/>
          <w:w w:val="105"/>
          <w:sz w:val="19"/>
        </w:rPr>
        <w:t>the </w:t>
      </w:r>
      <w:r>
        <w:rPr>
          <w:color w:val="3D3D3D"/>
          <w:w w:val="105"/>
          <w:sz w:val="19"/>
        </w:rPr>
        <w:t>Auditor-General as auditor of publ</w:t>
      </w:r>
      <w:r>
        <w:rPr>
          <w:color w:val="131313"/>
          <w:w w:val="105"/>
          <w:sz w:val="19"/>
        </w:rPr>
        <w:t>i</w:t>
      </w:r>
      <w:r>
        <w:rPr>
          <w:color w:val="3D3D3D"/>
          <w:w w:val="105"/>
          <w:sz w:val="19"/>
        </w:rPr>
        <w:t>c sector agencies precluding </w:t>
      </w:r>
      <w:r>
        <w:rPr>
          <w:color w:val="131313"/>
          <w:w w:val="105"/>
          <w:sz w:val="19"/>
        </w:rPr>
        <w:t>t</w:t>
      </w:r>
      <w:r>
        <w:rPr>
          <w:color w:val="3D3D3D"/>
          <w:w w:val="105"/>
          <w:sz w:val="19"/>
        </w:rPr>
        <w:t>he Aud</w:t>
      </w:r>
      <w:r>
        <w:rPr>
          <w:color w:val="565656"/>
          <w:w w:val="105"/>
          <w:sz w:val="19"/>
        </w:rPr>
        <w:t>i</w:t>
      </w:r>
      <w:r>
        <w:rPr>
          <w:color w:val="2A2A2A"/>
          <w:w w:val="105"/>
          <w:sz w:val="19"/>
        </w:rPr>
        <w:t>tor-General </w:t>
      </w:r>
      <w:r>
        <w:rPr>
          <w:color w:val="3D3D3D"/>
          <w:w w:val="105"/>
          <w:sz w:val="19"/>
        </w:rPr>
        <w:t>from providing non-audit services</w:t>
      </w:r>
      <w:r>
        <w:rPr>
          <w:color w:val="808080"/>
          <w:w w:val="105"/>
          <w:sz w:val="19"/>
        </w:rPr>
        <w:t>.</w:t>
      </w:r>
    </w:p>
    <w:p>
      <w:pPr>
        <w:spacing w:line="264" w:lineRule="auto" w:before="146"/>
        <w:ind w:left="121" w:right="1990" w:firstLine="9"/>
        <w:jc w:val="left"/>
        <w:rPr>
          <w:sz w:val="19"/>
        </w:rPr>
      </w:pPr>
      <w:r>
        <w:rPr>
          <w:color w:val="2A2A2A"/>
          <w:spacing w:val="2"/>
          <w:w w:val="110"/>
          <w:sz w:val="19"/>
        </w:rPr>
        <w:t>I</w:t>
      </w:r>
      <w:r>
        <w:rPr>
          <w:color w:val="3D3D3D"/>
          <w:spacing w:val="2"/>
          <w:w w:val="110"/>
          <w:sz w:val="19"/>
        </w:rPr>
        <w:t>believe</w:t>
      </w:r>
      <w:r>
        <w:rPr>
          <w:color w:val="3D3D3D"/>
          <w:spacing w:val="-16"/>
          <w:w w:val="110"/>
          <w:sz w:val="19"/>
        </w:rPr>
        <w:t> </w:t>
      </w:r>
      <w:r>
        <w:rPr>
          <w:color w:val="3D3D3D"/>
          <w:w w:val="110"/>
          <w:sz w:val="19"/>
        </w:rPr>
        <w:t>the</w:t>
      </w:r>
      <w:r>
        <w:rPr>
          <w:color w:val="3D3D3D"/>
          <w:spacing w:val="-28"/>
          <w:w w:val="110"/>
          <w:sz w:val="19"/>
        </w:rPr>
        <w:t> </w:t>
      </w:r>
      <w:r>
        <w:rPr>
          <w:color w:val="3D3D3D"/>
          <w:w w:val="110"/>
          <w:sz w:val="19"/>
        </w:rPr>
        <w:t>audit</w:t>
      </w:r>
      <w:r>
        <w:rPr>
          <w:color w:val="3D3D3D"/>
          <w:spacing w:val="-18"/>
          <w:w w:val="110"/>
          <w:sz w:val="19"/>
        </w:rPr>
        <w:t> </w:t>
      </w:r>
      <w:r>
        <w:rPr>
          <w:color w:val="3D3D3D"/>
          <w:w w:val="110"/>
          <w:sz w:val="19"/>
        </w:rPr>
        <w:t>evidence</w:t>
      </w:r>
      <w:r>
        <w:rPr>
          <w:color w:val="3D3D3D"/>
          <w:spacing w:val="-6"/>
          <w:w w:val="110"/>
          <w:sz w:val="19"/>
        </w:rPr>
        <w:t> </w:t>
      </w:r>
      <w:r>
        <w:rPr>
          <w:color w:val="3D3D3D"/>
          <w:w w:val="110"/>
          <w:sz w:val="19"/>
        </w:rPr>
        <w:t>I</w:t>
      </w:r>
      <w:r>
        <w:rPr>
          <w:color w:val="3D3D3D"/>
          <w:spacing w:val="-29"/>
          <w:w w:val="110"/>
          <w:sz w:val="19"/>
        </w:rPr>
        <w:t> </w:t>
      </w:r>
      <w:r>
        <w:rPr>
          <w:color w:val="3D3D3D"/>
          <w:w w:val="110"/>
          <w:sz w:val="19"/>
        </w:rPr>
        <w:t>have</w:t>
      </w:r>
      <w:r>
        <w:rPr>
          <w:color w:val="3D3D3D"/>
          <w:spacing w:val="-28"/>
          <w:w w:val="110"/>
          <w:sz w:val="19"/>
        </w:rPr>
        <w:t> </w:t>
      </w:r>
      <w:r>
        <w:rPr>
          <w:color w:val="3D3D3D"/>
          <w:w w:val="110"/>
          <w:sz w:val="19"/>
        </w:rPr>
        <w:t>obtained</w:t>
      </w:r>
      <w:r>
        <w:rPr>
          <w:color w:val="3D3D3D"/>
          <w:spacing w:val="-8"/>
          <w:w w:val="110"/>
          <w:sz w:val="19"/>
        </w:rPr>
        <w:t> </w:t>
      </w:r>
      <w:r>
        <w:rPr>
          <w:color w:val="2A2A2A"/>
          <w:spacing w:val="-17"/>
          <w:w w:val="110"/>
          <w:sz w:val="19"/>
        </w:rPr>
        <w:t>is</w:t>
      </w:r>
      <w:r>
        <w:rPr>
          <w:color w:val="2A2A2A"/>
          <w:spacing w:val="-19"/>
          <w:w w:val="110"/>
          <w:sz w:val="19"/>
        </w:rPr>
        <w:t> </w:t>
      </w:r>
      <w:r>
        <w:rPr>
          <w:color w:val="3D3D3D"/>
          <w:spacing w:val="-3"/>
          <w:w w:val="110"/>
          <w:sz w:val="19"/>
        </w:rPr>
        <w:t>suff</w:t>
      </w:r>
      <w:r>
        <w:rPr>
          <w:color w:val="565656"/>
          <w:spacing w:val="-3"/>
          <w:w w:val="110"/>
          <w:sz w:val="19"/>
        </w:rPr>
        <w:t>i</w:t>
      </w:r>
      <w:r>
        <w:rPr>
          <w:color w:val="3D3D3D"/>
          <w:spacing w:val="-3"/>
          <w:w w:val="110"/>
          <w:sz w:val="19"/>
        </w:rPr>
        <w:t>cient</w:t>
      </w:r>
      <w:r>
        <w:rPr>
          <w:color w:val="3D3D3D"/>
          <w:spacing w:val="-18"/>
          <w:w w:val="110"/>
          <w:sz w:val="19"/>
        </w:rPr>
        <w:t> </w:t>
      </w:r>
      <w:r>
        <w:rPr>
          <w:color w:val="3D3D3D"/>
          <w:w w:val="110"/>
          <w:sz w:val="19"/>
        </w:rPr>
        <w:t>and</w:t>
      </w:r>
      <w:r>
        <w:rPr>
          <w:color w:val="3D3D3D"/>
          <w:spacing w:val="-22"/>
          <w:w w:val="110"/>
          <w:sz w:val="19"/>
        </w:rPr>
        <w:t> </w:t>
      </w:r>
      <w:r>
        <w:rPr>
          <w:color w:val="3D3D3D"/>
          <w:w w:val="110"/>
          <w:sz w:val="19"/>
        </w:rPr>
        <w:t>appropriate</w:t>
      </w:r>
      <w:r>
        <w:rPr>
          <w:color w:val="3D3D3D"/>
          <w:spacing w:val="-11"/>
          <w:w w:val="110"/>
          <w:sz w:val="19"/>
        </w:rPr>
        <w:t> </w:t>
      </w:r>
      <w:r>
        <w:rPr>
          <w:color w:val="3D3D3D"/>
          <w:w w:val="110"/>
          <w:sz w:val="19"/>
        </w:rPr>
        <w:t>to</w:t>
      </w:r>
      <w:r>
        <w:rPr>
          <w:color w:val="3D3D3D"/>
          <w:spacing w:val="-23"/>
          <w:w w:val="110"/>
          <w:sz w:val="19"/>
        </w:rPr>
        <w:t> </w:t>
      </w:r>
      <w:r>
        <w:rPr>
          <w:color w:val="3D3D3D"/>
          <w:spacing w:val="-5"/>
          <w:w w:val="110"/>
          <w:sz w:val="19"/>
        </w:rPr>
        <w:t>prov</w:t>
      </w:r>
      <w:r>
        <w:rPr>
          <w:color w:val="565656"/>
          <w:spacing w:val="-5"/>
          <w:w w:val="110"/>
          <w:sz w:val="19"/>
        </w:rPr>
        <w:t>i</w:t>
      </w:r>
      <w:r>
        <w:rPr>
          <w:color w:val="3D3D3D"/>
          <w:spacing w:val="-5"/>
          <w:w w:val="110"/>
          <w:sz w:val="19"/>
        </w:rPr>
        <w:t>de</w:t>
      </w:r>
      <w:r>
        <w:rPr>
          <w:color w:val="3D3D3D"/>
          <w:spacing w:val="-26"/>
          <w:w w:val="110"/>
          <w:sz w:val="19"/>
        </w:rPr>
        <w:t> </w:t>
      </w:r>
      <w:r>
        <w:rPr>
          <w:color w:val="3D3D3D"/>
          <w:w w:val="110"/>
          <w:sz w:val="19"/>
        </w:rPr>
        <w:t>a</w:t>
      </w:r>
      <w:r>
        <w:rPr>
          <w:color w:val="3D3D3D"/>
          <w:spacing w:val="-21"/>
          <w:w w:val="110"/>
          <w:sz w:val="19"/>
        </w:rPr>
        <w:t> </w:t>
      </w:r>
      <w:r>
        <w:rPr>
          <w:color w:val="3D3D3D"/>
          <w:spacing w:val="-3"/>
          <w:w w:val="110"/>
          <w:sz w:val="19"/>
        </w:rPr>
        <w:t>basis</w:t>
      </w:r>
      <w:r>
        <w:rPr>
          <w:color w:val="3D3D3D"/>
          <w:spacing w:val="-27"/>
          <w:w w:val="110"/>
          <w:sz w:val="19"/>
        </w:rPr>
        <w:t> </w:t>
      </w:r>
      <w:r>
        <w:rPr>
          <w:color w:val="3D3D3D"/>
          <w:w w:val="110"/>
          <w:sz w:val="19"/>
        </w:rPr>
        <w:t>for</w:t>
      </w:r>
      <w:r>
        <w:rPr>
          <w:color w:val="3D3D3D"/>
          <w:spacing w:val="-14"/>
          <w:w w:val="110"/>
          <w:sz w:val="19"/>
        </w:rPr>
        <w:t> </w:t>
      </w:r>
      <w:r>
        <w:rPr>
          <w:color w:val="3D3D3D"/>
          <w:w w:val="110"/>
          <w:sz w:val="19"/>
        </w:rPr>
        <w:t>my audit</w:t>
      </w:r>
      <w:r>
        <w:rPr>
          <w:color w:val="3D3D3D"/>
          <w:spacing w:val="-34"/>
          <w:w w:val="110"/>
          <w:sz w:val="19"/>
        </w:rPr>
        <w:t> </w:t>
      </w:r>
      <w:r>
        <w:rPr>
          <w:color w:val="3D3D3D"/>
          <w:w w:val="110"/>
          <w:sz w:val="19"/>
        </w:rPr>
        <w:t>opinion</w:t>
      </w:r>
      <w:r>
        <w:rPr>
          <w:color w:val="808080"/>
          <w:w w:val="110"/>
          <w:sz w:val="19"/>
        </w:rPr>
        <w:t>.</w:t>
      </w:r>
    </w:p>
    <w:p>
      <w:pPr>
        <w:pStyle w:val="BodyText"/>
        <w:spacing w:before="3"/>
        <w:rPr>
          <w:sz w:val="14"/>
        </w:rPr>
      </w:pPr>
    </w:p>
    <w:p>
      <w:pPr>
        <w:spacing w:before="0"/>
        <w:ind w:left="131" w:right="1613" w:firstLine="0"/>
        <w:jc w:val="left"/>
        <w:rPr>
          <w:b/>
          <w:sz w:val="23"/>
        </w:rPr>
      </w:pPr>
      <w:r>
        <w:rPr>
          <w:b/>
          <w:color w:val="131313"/>
          <w:sz w:val="23"/>
        </w:rPr>
        <w:t>Directors</w:t>
      </w:r>
      <w:r>
        <w:rPr>
          <w:b/>
          <w:color w:val="565656"/>
          <w:sz w:val="23"/>
        </w:rPr>
        <w:t>' </w:t>
      </w:r>
      <w:r>
        <w:rPr>
          <w:b/>
          <w:color w:val="131313"/>
          <w:sz w:val="23"/>
        </w:rPr>
        <w:t>Responsibilities  for  the Financial  Statements</w:t>
      </w:r>
    </w:p>
    <w:p>
      <w:pPr>
        <w:spacing w:line="256" w:lineRule="auto" w:before="137"/>
        <w:ind w:left="121" w:right="1470" w:firstLine="0"/>
        <w:jc w:val="left"/>
        <w:rPr>
          <w:sz w:val="19"/>
        </w:rPr>
      </w:pPr>
      <w:r>
        <w:rPr>
          <w:color w:val="2A2A2A"/>
          <w:w w:val="105"/>
          <w:sz w:val="19"/>
        </w:rPr>
        <w:t>The </w:t>
      </w:r>
      <w:r>
        <w:rPr>
          <w:color w:val="3D3D3D"/>
          <w:w w:val="105"/>
          <w:sz w:val="19"/>
        </w:rPr>
        <w:t>directors of the Company are responsible </w:t>
      </w:r>
      <w:r>
        <w:rPr>
          <w:color w:val="2A2A2A"/>
          <w:w w:val="105"/>
          <w:sz w:val="19"/>
        </w:rPr>
        <w:t>for </w:t>
      </w:r>
      <w:r>
        <w:rPr>
          <w:color w:val="3D3D3D"/>
          <w:w w:val="105"/>
          <w:sz w:val="19"/>
        </w:rPr>
        <w:t>the </w:t>
      </w:r>
      <w:r>
        <w:rPr>
          <w:color w:val="2A2A2A"/>
          <w:w w:val="105"/>
          <w:sz w:val="19"/>
        </w:rPr>
        <w:t>preparation </w:t>
      </w:r>
      <w:r>
        <w:rPr>
          <w:color w:val="3D3D3D"/>
          <w:w w:val="105"/>
          <w:sz w:val="19"/>
        </w:rPr>
        <w:t>and fair presentation of </w:t>
      </w:r>
      <w:r>
        <w:rPr>
          <w:color w:val="131313"/>
          <w:w w:val="105"/>
          <w:sz w:val="19"/>
        </w:rPr>
        <w:t>t</w:t>
      </w:r>
      <w:r>
        <w:rPr>
          <w:color w:val="3D3D3D"/>
          <w:w w:val="105"/>
          <w:sz w:val="19"/>
        </w:rPr>
        <w:t>he financial statements </w:t>
      </w:r>
      <w:r>
        <w:rPr>
          <w:rFonts w:ascii="Times New Roman"/>
          <w:color w:val="3D3D3D"/>
          <w:w w:val="105"/>
          <w:sz w:val="21"/>
        </w:rPr>
        <w:t>h </w:t>
      </w:r>
      <w:r>
        <w:rPr>
          <w:color w:val="3D3D3D"/>
          <w:w w:val="105"/>
          <w:sz w:val="19"/>
        </w:rPr>
        <w:t>accordance with Australian Accounting S</w:t>
      </w:r>
      <w:r>
        <w:rPr>
          <w:color w:val="131313"/>
          <w:w w:val="105"/>
          <w:sz w:val="19"/>
        </w:rPr>
        <w:t>t</w:t>
      </w:r>
      <w:r>
        <w:rPr>
          <w:color w:val="3D3D3D"/>
          <w:w w:val="105"/>
          <w:sz w:val="19"/>
        </w:rPr>
        <w:t>andards</w:t>
      </w:r>
      <w:r>
        <w:rPr>
          <w:color w:val="565656"/>
          <w:w w:val="105"/>
          <w:sz w:val="19"/>
        </w:rPr>
        <w:t>, </w:t>
      </w:r>
      <w:r>
        <w:rPr>
          <w:color w:val="3D3D3D"/>
          <w:w w:val="105"/>
          <w:sz w:val="19"/>
        </w:rPr>
        <w:t>the PF&amp;A Act and </w:t>
      </w:r>
      <w:r>
        <w:rPr>
          <w:i/>
          <w:color w:val="3D3D3D"/>
          <w:w w:val="105"/>
          <w:sz w:val="19"/>
        </w:rPr>
        <w:t>the Australian </w:t>
      </w:r>
      <w:r>
        <w:rPr>
          <w:i/>
          <w:color w:val="3D3D3D"/>
          <w:w w:val="105"/>
          <w:sz w:val="19"/>
        </w:rPr>
        <w:t>Charities and Not-for-profits Commission Act 2012 </w:t>
      </w:r>
      <w:r>
        <w:rPr>
          <w:color w:val="3D3D3D"/>
          <w:w w:val="105"/>
          <w:sz w:val="19"/>
        </w:rPr>
        <w:t>and for such interna</w:t>
      </w:r>
      <w:r>
        <w:rPr>
          <w:color w:val="131313"/>
          <w:w w:val="105"/>
          <w:sz w:val="19"/>
        </w:rPr>
        <w:t>l </w:t>
      </w:r>
      <w:r>
        <w:rPr>
          <w:color w:val="3D3D3D"/>
          <w:w w:val="105"/>
          <w:sz w:val="19"/>
        </w:rPr>
        <w:t>control as </w:t>
      </w:r>
      <w:r>
        <w:rPr>
          <w:color w:val="2A2A2A"/>
          <w:w w:val="105"/>
          <w:sz w:val="19"/>
        </w:rPr>
        <w:t>the </w:t>
      </w:r>
      <w:r>
        <w:rPr>
          <w:color w:val="3D3D3D"/>
          <w:w w:val="105"/>
          <w:sz w:val="19"/>
        </w:rPr>
        <w:t>d</w:t>
      </w:r>
      <w:r>
        <w:rPr>
          <w:color w:val="565656"/>
          <w:w w:val="105"/>
          <w:sz w:val="19"/>
        </w:rPr>
        <w:t>i</w:t>
      </w:r>
      <w:r>
        <w:rPr>
          <w:color w:val="3D3D3D"/>
          <w:w w:val="105"/>
          <w:sz w:val="19"/>
        </w:rPr>
        <w:t>rectors determine is necessary </w:t>
      </w:r>
      <w:r>
        <w:rPr>
          <w:color w:val="2A2A2A"/>
          <w:w w:val="105"/>
          <w:sz w:val="19"/>
        </w:rPr>
        <w:t>to </w:t>
      </w:r>
      <w:r>
        <w:rPr>
          <w:color w:val="3D3D3D"/>
          <w:w w:val="105"/>
          <w:sz w:val="19"/>
        </w:rPr>
        <w:t>enab</w:t>
      </w:r>
      <w:r>
        <w:rPr>
          <w:color w:val="131313"/>
          <w:w w:val="105"/>
          <w:sz w:val="19"/>
        </w:rPr>
        <w:t>l</w:t>
      </w:r>
      <w:r>
        <w:rPr>
          <w:color w:val="3D3D3D"/>
          <w:w w:val="105"/>
          <w:sz w:val="19"/>
        </w:rPr>
        <w:t>e the preparation and fair presentation of financial statements that are </w:t>
      </w:r>
      <w:r>
        <w:rPr>
          <w:color w:val="2A2A2A"/>
          <w:w w:val="105"/>
          <w:sz w:val="19"/>
        </w:rPr>
        <w:t>free </w:t>
      </w:r>
      <w:r>
        <w:rPr>
          <w:color w:val="3D3D3D"/>
          <w:w w:val="105"/>
          <w:sz w:val="19"/>
        </w:rPr>
        <w:t>from material misstatement</w:t>
      </w:r>
      <w:r>
        <w:rPr>
          <w:color w:val="565656"/>
          <w:w w:val="105"/>
          <w:sz w:val="19"/>
        </w:rPr>
        <w:t>, </w:t>
      </w:r>
      <w:r>
        <w:rPr>
          <w:color w:val="3D3D3D"/>
          <w:w w:val="105"/>
          <w:sz w:val="19"/>
        </w:rPr>
        <w:t>whether due </w:t>
      </w:r>
      <w:r>
        <w:rPr>
          <w:color w:val="2A2A2A"/>
          <w:w w:val="105"/>
          <w:sz w:val="19"/>
        </w:rPr>
        <w:t>to </w:t>
      </w:r>
      <w:r>
        <w:rPr>
          <w:color w:val="3D3D3D"/>
          <w:w w:val="105"/>
          <w:sz w:val="19"/>
        </w:rPr>
        <w:t>fraud o</w:t>
      </w:r>
      <w:r>
        <w:rPr>
          <w:color w:val="131313"/>
          <w:w w:val="105"/>
          <w:sz w:val="19"/>
        </w:rPr>
        <w:t>r </w:t>
      </w:r>
      <w:r>
        <w:rPr>
          <w:color w:val="3D3D3D"/>
          <w:w w:val="105"/>
          <w:sz w:val="19"/>
        </w:rPr>
        <w:t>error.</w:t>
      </w:r>
    </w:p>
    <w:p>
      <w:pPr>
        <w:pStyle w:val="BodyText"/>
        <w:spacing w:before="4"/>
        <w:rPr>
          <w:sz w:val="16"/>
        </w:rPr>
      </w:pPr>
    </w:p>
    <w:p>
      <w:pPr>
        <w:spacing w:line="264" w:lineRule="auto" w:before="1"/>
        <w:ind w:left="112" w:right="1524" w:firstLine="19"/>
        <w:jc w:val="left"/>
        <w:rPr>
          <w:sz w:val="19"/>
        </w:rPr>
      </w:pPr>
      <w:r>
        <w:rPr>
          <w:color w:val="3D3D3D"/>
          <w:w w:val="110"/>
          <w:sz w:val="19"/>
        </w:rPr>
        <w:t>In</w:t>
      </w:r>
      <w:r>
        <w:rPr>
          <w:color w:val="3D3D3D"/>
          <w:spacing w:val="-30"/>
          <w:w w:val="110"/>
          <w:sz w:val="19"/>
        </w:rPr>
        <w:t> </w:t>
      </w:r>
      <w:r>
        <w:rPr>
          <w:color w:val="3D3D3D"/>
          <w:w w:val="110"/>
          <w:sz w:val="19"/>
        </w:rPr>
        <w:t>preparing</w:t>
      </w:r>
      <w:r>
        <w:rPr>
          <w:color w:val="3D3D3D"/>
          <w:spacing w:val="-40"/>
          <w:w w:val="110"/>
          <w:sz w:val="19"/>
        </w:rPr>
        <w:t> </w:t>
      </w:r>
      <w:r>
        <w:rPr>
          <w:color w:val="3D3D3D"/>
          <w:w w:val="110"/>
          <w:sz w:val="19"/>
        </w:rPr>
        <w:t>the</w:t>
      </w:r>
      <w:r>
        <w:rPr>
          <w:color w:val="3D3D3D"/>
          <w:spacing w:val="-29"/>
          <w:w w:val="110"/>
          <w:sz w:val="19"/>
        </w:rPr>
        <w:t> </w:t>
      </w:r>
      <w:r>
        <w:rPr>
          <w:color w:val="3D3D3D"/>
          <w:w w:val="110"/>
          <w:sz w:val="19"/>
        </w:rPr>
        <w:t>financialstatements</w:t>
      </w:r>
      <w:r>
        <w:rPr>
          <w:color w:val="6E6E6E"/>
          <w:w w:val="110"/>
          <w:sz w:val="19"/>
        </w:rPr>
        <w:t>,</w:t>
      </w:r>
      <w:r>
        <w:rPr>
          <w:color w:val="6E6E6E"/>
          <w:spacing w:val="-40"/>
          <w:w w:val="110"/>
          <w:sz w:val="19"/>
        </w:rPr>
        <w:t> </w:t>
      </w:r>
      <w:r>
        <w:rPr>
          <w:color w:val="3D3D3D"/>
          <w:w w:val="110"/>
          <w:sz w:val="19"/>
        </w:rPr>
        <w:t>the</w:t>
      </w:r>
      <w:r>
        <w:rPr>
          <w:color w:val="3D3D3D"/>
          <w:spacing w:val="-35"/>
          <w:w w:val="110"/>
          <w:sz w:val="19"/>
        </w:rPr>
        <w:t> </w:t>
      </w:r>
      <w:r>
        <w:rPr>
          <w:color w:val="3D3D3D"/>
          <w:w w:val="110"/>
          <w:sz w:val="19"/>
        </w:rPr>
        <w:t>directors</w:t>
      </w:r>
      <w:r>
        <w:rPr>
          <w:color w:val="3D3D3D"/>
          <w:spacing w:val="-19"/>
          <w:w w:val="110"/>
          <w:sz w:val="19"/>
        </w:rPr>
        <w:t> </w:t>
      </w:r>
      <w:r>
        <w:rPr>
          <w:color w:val="3D3D3D"/>
          <w:w w:val="110"/>
          <w:sz w:val="19"/>
        </w:rPr>
        <w:t>are</w:t>
      </w:r>
      <w:r>
        <w:rPr>
          <w:color w:val="3D3D3D"/>
          <w:spacing w:val="-25"/>
          <w:w w:val="110"/>
          <w:sz w:val="19"/>
        </w:rPr>
        <w:t> </w:t>
      </w:r>
      <w:r>
        <w:rPr>
          <w:color w:val="3D3D3D"/>
          <w:spacing w:val="-3"/>
          <w:w w:val="110"/>
          <w:sz w:val="19"/>
        </w:rPr>
        <w:t>responsible</w:t>
      </w:r>
      <w:r>
        <w:rPr>
          <w:color w:val="3D3D3D"/>
          <w:spacing w:val="-27"/>
          <w:w w:val="110"/>
          <w:sz w:val="19"/>
        </w:rPr>
        <w:t> </w:t>
      </w:r>
      <w:r>
        <w:rPr>
          <w:color w:val="3D3D3D"/>
          <w:w w:val="110"/>
          <w:sz w:val="19"/>
        </w:rPr>
        <w:t>for</w:t>
      </w:r>
      <w:r>
        <w:rPr>
          <w:color w:val="3D3D3D"/>
          <w:spacing w:val="-22"/>
          <w:w w:val="110"/>
          <w:sz w:val="19"/>
        </w:rPr>
        <w:t> </w:t>
      </w:r>
      <w:r>
        <w:rPr>
          <w:color w:val="3D3D3D"/>
          <w:w w:val="110"/>
          <w:sz w:val="19"/>
        </w:rPr>
        <w:t>assessing</w:t>
      </w:r>
      <w:r>
        <w:rPr>
          <w:color w:val="3D3D3D"/>
          <w:spacing w:val="-17"/>
          <w:w w:val="110"/>
          <w:sz w:val="19"/>
        </w:rPr>
        <w:t> </w:t>
      </w:r>
      <w:r>
        <w:rPr>
          <w:color w:val="3D3D3D"/>
          <w:w w:val="110"/>
          <w:sz w:val="19"/>
        </w:rPr>
        <w:t>the</w:t>
      </w:r>
      <w:r>
        <w:rPr>
          <w:color w:val="3D3D3D"/>
          <w:spacing w:val="-28"/>
          <w:w w:val="110"/>
          <w:sz w:val="19"/>
        </w:rPr>
        <w:t> </w:t>
      </w:r>
      <w:r>
        <w:rPr>
          <w:color w:val="3D3D3D"/>
          <w:w w:val="110"/>
          <w:sz w:val="19"/>
        </w:rPr>
        <w:t>Company</w:t>
      </w:r>
      <w:r>
        <w:rPr>
          <w:color w:val="6E6E6E"/>
          <w:w w:val="110"/>
          <w:sz w:val="19"/>
        </w:rPr>
        <w:t>'</w:t>
      </w:r>
      <w:r>
        <w:rPr>
          <w:color w:val="3D3D3D"/>
          <w:w w:val="110"/>
          <w:sz w:val="19"/>
        </w:rPr>
        <w:t>s</w:t>
      </w:r>
      <w:r>
        <w:rPr>
          <w:color w:val="3D3D3D"/>
          <w:spacing w:val="-26"/>
          <w:w w:val="110"/>
          <w:sz w:val="19"/>
        </w:rPr>
        <w:t> </w:t>
      </w:r>
      <w:r>
        <w:rPr>
          <w:color w:val="3D3D3D"/>
          <w:spacing w:val="-8"/>
          <w:w w:val="110"/>
          <w:sz w:val="19"/>
        </w:rPr>
        <w:t>abi</w:t>
      </w:r>
      <w:r>
        <w:rPr>
          <w:color w:val="131313"/>
          <w:spacing w:val="-8"/>
          <w:w w:val="110"/>
          <w:sz w:val="19"/>
        </w:rPr>
        <w:t>li</w:t>
      </w:r>
      <w:r>
        <w:rPr>
          <w:color w:val="3D3D3D"/>
          <w:spacing w:val="-8"/>
          <w:w w:val="110"/>
          <w:sz w:val="19"/>
        </w:rPr>
        <w:t>ty </w:t>
      </w:r>
      <w:r>
        <w:rPr>
          <w:color w:val="3D3D3D"/>
          <w:w w:val="110"/>
          <w:sz w:val="19"/>
        </w:rPr>
        <w:t>to</w:t>
      </w:r>
      <w:r>
        <w:rPr>
          <w:color w:val="3D3D3D"/>
          <w:spacing w:val="-26"/>
          <w:w w:val="110"/>
          <w:sz w:val="19"/>
        </w:rPr>
        <w:t> </w:t>
      </w:r>
      <w:r>
        <w:rPr>
          <w:color w:val="3D3D3D"/>
          <w:w w:val="110"/>
          <w:sz w:val="19"/>
        </w:rPr>
        <w:t>continue</w:t>
      </w:r>
      <w:r>
        <w:rPr>
          <w:color w:val="3D3D3D"/>
          <w:spacing w:val="-25"/>
          <w:w w:val="110"/>
          <w:sz w:val="19"/>
        </w:rPr>
        <w:t> </w:t>
      </w:r>
      <w:r>
        <w:rPr>
          <w:color w:val="3D3D3D"/>
          <w:w w:val="110"/>
          <w:sz w:val="19"/>
        </w:rPr>
        <w:t>as</w:t>
      </w:r>
      <w:r>
        <w:rPr>
          <w:color w:val="3D3D3D"/>
          <w:spacing w:val="-21"/>
          <w:w w:val="110"/>
          <w:sz w:val="19"/>
        </w:rPr>
        <w:t> </w:t>
      </w:r>
      <w:r>
        <w:rPr>
          <w:color w:val="3D3D3D"/>
          <w:w w:val="110"/>
          <w:sz w:val="19"/>
        </w:rPr>
        <w:t>a</w:t>
      </w:r>
      <w:r>
        <w:rPr>
          <w:color w:val="3D3D3D"/>
          <w:spacing w:val="-23"/>
          <w:w w:val="110"/>
          <w:sz w:val="19"/>
        </w:rPr>
        <w:t> </w:t>
      </w:r>
      <w:r>
        <w:rPr>
          <w:color w:val="3D3D3D"/>
          <w:w w:val="110"/>
          <w:sz w:val="19"/>
        </w:rPr>
        <w:t>going</w:t>
      </w:r>
      <w:r>
        <w:rPr>
          <w:color w:val="3D3D3D"/>
          <w:spacing w:val="-23"/>
          <w:w w:val="110"/>
          <w:sz w:val="19"/>
        </w:rPr>
        <w:t> </w:t>
      </w:r>
      <w:r>
        <w:rPr>
          <w:color w:val="3D3D3D"/>
          <w:w w:val="110"/>
          <w:sz w:val="19"/>
        </w:rPr>
        <w:t>concern</w:t>
      </w:r>
      <w:r>
        <w:rPr>
          <w:color w:val="565656"/>
          <w:w w:val="110"/>
          <w:sz w:val="19"/>
        </w:rPr>
        <w:t>,</w:t>
      </w:r>
      <w:r>
        <w:rPr>
          <w:color w:val="565656"/>
          <w:spacing w:val="-38"/>
          <w:w w:val="110"/>
          <w:sz w:val="19"/>
        </w:rPr>
        <w:t> </w:t>
      </w:r>
      <w:r>
        <w:rPr>
          <w:color w:val="3D3D3D"/>
          <w:w w:val="110"/>
          <w:sz w:val="19"/>
        </w:rPr>
        <w:t>disclosing</w:t>
      </w:r>
      <w:r>
        <w:rPr>
          <w:color w:val="6E6E6E"/>
          <w:w w:val="110"/>
          <w:sz w:val="19"/>
        </w:rPr>
        <w:t>,</w:t>
      </w:r>
      <w:r>
        <w:rPr>
          <w:color w:val="6E6E6E"/>
          <w:spacing w:val="-38"/>
          <w:w w:val="110"/>
          <w:sz w:val="19"/>
        </w:rPr>
        <w:t> </w:t>
      </w:r>
      <w:r>
        <w:rPr>
          <w:color w:val="3D3D3D"/>
          <w:w w:val="110"/>
          <w:sz w:val="19"/>
        </w:rPr>
        <w:t>as</w:t>
      </w:r>
      <w:r>
        <w:rPr>
          <w:color w:val="3D3D3D"/>
          <w:spacing w:val="-28"/>
          <w:w w:val="110"/>
          <w:sz w:val="19"/>
        </w:rPr>
        <w:t> </w:t>
      </w:r>
      <w:r>
        <w:rPr>
          <w:color w:val="3D3D3D"/>
          <w:spacing w:val="-3"/>
          <w:w w:val="110"/>
          <w:sz w:val="19"/>
        </w:rPr>
        <w:t>applicable</w:t>
      </w:r>
      <w:r>
        <w:rPr>
          <w:color w:val="565656"/>
          <w:spacing w:val="-3"/>
          <w:w w:val="110"/>
          <w:sz w:val="19"/>
        </w:rPr>
        <w:t>,</w:t>
      </w:r>
      <w:r>
        <w:rPr>
          <w:color w:val="565656"/>
          <w:spacing w:val="-21"/>
          <w:w w:val="110"/>
          <w:sz w:val="19"/>
        </w:rPr>
        <w:t> </w:t>
      </w:r>
      <w:r>
        <w:rPr>
          <w:color w:val="3D3D3D"/>
          <w:w w:val="110"/>
          <w:sz w:val="19"/>
        </w:rPr>
        <w:t>matters</w:t>
      </w:r>
      <w:r>
        <w:rPr>
          <w:color w:val="3D3D3D"/>
          <w:spacing w:val="-18"/>
          <w:w w:val="110"/>
          <w:sz w:val="19"/>
        </w:rPr>
        <w:t> </w:t>
      </w:r>
      <w:r>
        <w:rPr>
          <w:color w:val="2A2A2A"/>
          <w:spacing w:val="-3"/>
          <w:w w:val="110"/>
          <w:sz w:val="19"/>
        </w:rPr>
        <w:t>related</w:t>
      </w:r>
      <w:r>
        <w:rPr>
          <w:color w:val="2A2A2A"/>
          <w:spacing w:val="-23"/>
          <w:w w:val="110"/>
          <w:sz w:val="19"/>
        </w:rPr>
        <w:t> </w:t>
      </w:r>
      <w:r>
        <w:rPr>
          <w:color w:val="3D3D3D"/>
          <w:w w:val="110"/>
          <w:sz w:val="19"/>
        </w:rPr>
        <w:t>to</w:t>
      </w:r>
      <w:r>
        <w:rPr>
          <w:color w:val="3D3D3D"/>
          <w:spacing w:val="-25"/>
          <w:w w:val="110"/>
          <w:sz w:val="19"/>
        </w:rPr>
        <w:t> </w:t>
      </w:r>
      <w:r>
        <w:rPr>
          <w:color w:val="3D3D3D"/>
          <w:w w:val="110"/>
          <w:sz w:val="19"/>
        </w:rPr>
        <w:t>going</w:t>
      </w:r>
      <w:r>
        <w:rPr>
          <w:color w:val="3D3D3D"/>
          <w:spacing w:val="-29"/>
          <w:w w:val="110"/>
          <w:sz w:val="19"/>
        </w:rPr>
        <w:t> </w:t>
      </w:r>
      <w:r>
        <w:rPr>
          <w:color w:val="3D3D3D"/>
          <w:w w:val="110"/>
          <w:sz w:val="19"/>
        </w:rPr>
        <w:t>concern</w:t>
      </w:r>
      <w:r>
        <w:rPr>
          <w:color w:val="3D3D3D"/>
          <w:spacing w:val="-11"/>
          <w:w w:val="110"/>
          <w:sz w:val="19"/>
        </w:rPr>
        <w:t> </w:t>
      </w:r>
      <w:r>
        <w:rPr>
          <w:color w:val="3D3D3D"/>
          <w:w w:val="110"/>
          <w:sz w:val="19"/>
        </w:rPr>
        <w:t>and</w:t>
      </w:r>
      <w:r>
        <w:rPr>
          <w:color w:val="3D3D3D"/>
          <w:spacing w:val="-17"/>
          <w:w w:val="110"/>
          <w:sz w:val="19"/>
        </w:rPr>
        <w:t> </w:t>
      </w:r>
      <w:r>
        <w:rPr>
          <w:color w:val="3D3D3D"/>
          <w:w w:val="110"/>
          <w:sz w:val="19"/>
        </w:rPr>
        <w:t>using the</w:t>
      </w:r>
      <w:r>
        <w:rPr>
          <w:color w:val="3D3D3D"/>
          <w:spacing w:val="-19"/>
          <w:w w:val="110"/>
          <w:sz w:val="19"/>
        </w:rPr>
        <w:t> </w:t>
      </w:r>
      <w:r>
        <w:rPr>
          <w:color w:val="3D3D3D"/>
          <w:w w:val="110"/>
          <w:sz w:val="19"/>
        </w:rPr>
        <w:t>going</w:t>
      </w:r>
      <w:r>
        <w:rPr>
          <w:color w:val="3D3D3D"/>
          <w:spacing w:val="-31"/>
          <w:w w:val="110"/>
          <w:sz w:val="19"/>
        </w:rPr>
        <w:t> </w:t>
      </w:r>
      <w:r>
        <w:rPr>
          <w:color w:val="3D3D3D"/>
          <w:w w:val="110"/>
          <w:sz w:val="19"/>
        </w:rPr>
        <w:t>concern</w:t>
      </w:r>
      <w:r>
        <w:rPr>
          <w:color w:val="3D3D3D"/>
          <w:spacing w:val="-22"/>
          <w:w w:val="110"/>
          <w:sz w:val="19"/>
        </w:rPr>
        <w:t> </w:t>
      </w:r>
      <w:r>
        <w:rPr>
          <w:color w:val="3D3D3D"/>
          <w:spacing w:val="-5"/>
          <w:w w:val="110"/>
          <w:sz w:val="19"/>
        </w:rPr>
        <w:t>basis</w:t>
      </w:r>
      <w:r>
        <w:rPr>
          <w:color w:val="3D3D3D"/>
          <w:spacing w:val="-24"/>
          <w:w w:val="110"/>
          <w:sz w:val="19"/>
        </w:rPr>
        <w:t> </w:t>
      </w:r>
      <w:r>
        <w:rPr>
          <w:color w:val="3D3D3D"/>
          <w:w w:val="110"/>
          <w:sz w:val="19"/>
        </w:rPr>
        <w:t>of</w:t>
      </w:r>
      <w:r>
        <w:rPr>
          <w:color w:val="3D3D3D"/>
          <w:spacing w:val="-26"/>
          <w:w w:val="110"/>
          <w:sz w:val="19"/>
        </w:rPr>
        <w:t> </w:t>
      </w:r>
      <w:r>
        <w:rPr>
          <w:color w:val="3D3D3D"/>
          <w:w w:val="110"/>
          <w:sz w:val="19"/>
        </w:rPr>
        <w:t>accounting</w:t>
      </w:r>
      <w:r>
        <w:rPr>
          <w:color w:val="3D3D3D"/>
          <w:spacing w:val="-18"/>
          <w:w w:val="110"/>
          <w:sz w:val="19"/>
        </w:rPr>
        <w:t> </w:t>
      </w:r>
      <w:r>
        <w:rPr>
          <w:color w:val="3D3D3D"/>
          <w:w w:val="110"/>
          <w:sz w:val="19"/>
        </w:rPr>
        <w:t>unless</w:t>
      </w:r>
      <w:r>
        <w:rPr>
          <w:color w:val="3D3D3D"/>
          <w:spacing w:val="-22"/>
          <w:w w:val="110"/>
          <w:sz w:val="19"/>
        </w:rPr>
        <w:t> </w:t>
      </w:r>
      <w:r>
        <w:rPr>
          <w:color w:val="2A2A2A"/>
          <w:w w:val="110"/>
          <w:sz w:val="19"/>
        </w:rPr>
        <w:t>the</w:t>
      </w:r>
      <w:r>
        <w:rPr>
          <w:color w:val="2A2A2A"/>
          <w:spacing w:val="-19"/>
          <w:w w:val="110"/>
          <w:sz w:val="19"/>
        </w:rPr>
        <w:t> </w:t>
      </w:r>
      <w:r>
        <w:rPr>
          <w:color w:val="3D3D3D"/>
          <w:w w:val="110"/>
          <w:sz w:val="19"/>
        </w:rPr>
        <w:t>directors</w:t>
      </w:r>
      <w:r>
        <w:rPr>
          <w:color w:val="3D3D3D"/>
          <w:spacing w:val="-22"/>
          <w:w w:val="110"/>
          <w:sz w:val="19"/>
        </w:rPr>
        <w:t> </w:t>
      </w:r>
      <w:r>
        <w:rPr>
          <w:color w:val="3D3D3D"/>
          <w:w w:val="110"/>
          <w:sz w:val="19"/>
        </w:rPr>
        <w:t>either</w:t>
      </w:r>
      <w:r>
        <w:rPr>
          <w:color w:val="3D3D3D"/>
          <w:spacing w:val="-13"/>
          <w:w w:val="110"/>
          <w:sz w:val="19"/>
        </w:rPr>
        <w:t> </w:t>
      </w:r>
      <w:r>
        <w:rPr>
          <w:color w:val="3D3D3D"/>
          <w:spacing w:val="-4"/>
          <w:w w:val="110"/>
          <w:sz w:val="19"/>
        </w:rPr>
        <w:t>intend</w:t>
      </w:r>
      <w:r>
        <w:rPr>
          <w:color w:val="3D3D3D"/>
          <w:spacing w:val="-23"/>
          <w:w w:val="110"/>
          <w:sz w:val="19"/>
        </w:rPr>
        <w:t> </w:t>
      </w:r>
      <w:r>
        <w:rPr>
          <w:color w:val="3D3D3D"/>
          <w:w w:val="110"/>
          <w:sz w:val="19"/>
        </w:rPr>
        <w:t>to</w:t>
      </w:r>
      <w:r>
        <w:rPr>
          <w:color w:val="3D3D3D"/>
          <w:spacing w:val="-21"/>
          <w:w w:val="110"/>
          <w:sz w:val="19"/>
        </w:rPr>
        <w:t> </w:t>
      </w:r>
      <w:r>
        <w:rPr>
          <w:color w:val="3D3D3D"/>
          <w:spacing w:val="-8"/>
          <w:w w:val="110"/>
          <w:sz w:val="19"/>
        </w:rPr>
        <w:t>liquidate</w:t>
      </w:r>
      <w:r>
        <w:rPr>
          <w:color w:val="3D3D3D"/>
          <w:spacing w:val="-20"/>
          <w:w w:val="110"/>
          <w:sz w:val="19"/>
        </w:rPr>
        <w:t> </w:t>
      </w:r>
      <w:r>
        <w:rPr>
          <w:color w:val="3D3D3D"/>
          <w:w w:val="110"/>
          <w:sz w:val="19"/>
        </w:rPr>
        <w:t>the</w:t>
      </w:r>
      <w:r>
        <w:rPr>
          <w:color w:val="3D3D3D"/>
          <w:spacing w:val="-26"/>
          <w:w w:val="110"/>
          <w:sz w:val="19"/>
        </w:rPr>
        <w:t> </w:t>
      </w:r>
      <w:r>
        <w:rPr>
          <w:color w:val="3D3D3D"/>
          <w:w w:val="110"/>
          <w:sz w:val="19"/>
        </w:rPr>
        <w:t>Company</w:t>
      </w:r>
      <w:r>
        <w:rPr>
          <w:color w:val="3D3D3D"/>
          <w:spacing w:val="-14"/>
          <w:w w:val="110"/>
          <w:sz w:val="19"/>
        </w:rPr>
        <w:t> </w:t>
      </w:r>
      <w:r>
        <w:rPr>
          <w:color w:val="3D3D3D"/>
          <w:w w:val="110"/>
          <w:sz w:val="19"/>
        </w:rPr>
        <w:t>or</w:t>
      </w:r>
      <w:r>
        <w:rPr>
          <w:color w:val="3D3D3D"/>
          <w:spacing w:val="-28"/>
          <w:w w:val="110"/>
          <w:sz w:val="19"/>
        </w:rPr>
        <w:t> </w:t>
      </w:r>
      <w:r>
        <w:rPr>
          <w:color w:val="3D3D3D"/>
          <w:w w:val="110"/>
          <w:sz w:val="19"/>
        </w:rPr>
        <w:t>to cease</w:t>
      </w:r>
      <w:r>
        <w:rPr>
          <w:color w:val="3D3D3D"/>
          <w:spacing w:val="-23"/>
          <w:w w:val="110"/>
          <w:sz w:val="19"/>
        </w:rPr>
        <w:t> </w:t>
      </w:r>
      <w:r>
        <w:rPr>
          <w:color w:val="3D3D3D"/>
          <w:w w:val="110"/>
          <w:sz w:val="19"/>
        </w:rPr>
        <w:t>operations,</w:t>
      </w:r>
      <w:r>
        <w:rPr>
          <w:color w:val="3D3D3D"/>
          <w:spacing w:val="-19"/>
          <w:w w:val="110"/>
          <w:sz w:val="19"/>
        </w:rPr>
        <w:t> </w:t>
      </w:r>
      <w:r>
        <w:rPr>
          <w:color w:val="3D3D3D"/>
          <w:w w:val="110"/>
          <w:sz w:val="19"/>
        </w:rPr>
        <w:t>or</w:t>
      </w:r>
      <w:r>
        <w:rPr>
          <w:color w:val="3D3D3D"/>
          <w:spacing w:val="-20"/>
          <w:w w:val="110"/>
          <w:sz w:val="19"/>
        </w:rPr>
        <w:t> </w:t>
      </w:r>
      <w:r>
        <w:rPr>
          <w:color w:val="3D3D3D"/>
          <w:w w:val="110"/>
          <w:sz w:val="19"/>
        </w:rPr>
        <w:t>have</w:t>
      </w:r>
      <w:r>
        <w:rPr>
          <w:color w:val="3D3D3D"/>
          <w:spacing w:val="-23"/>
          <w:w w:val="110"/>
          <w:sz w:val="19"/>
        </w:rPr>
        <w:t> </w:t>
      </w:r>
      <w:r>
        <w:rPr>
          <w:color w:val="2A2A2A"/>
          <w:w w:val="110"/>
          <w:sz w:val="19"/>
        </w:rPr>
        <w:t>no</w:t>
      </w:r>
      <w:r>
        <w:rPr>
          <w:color w:val="2A2A2A"/>
          <w:spacing w:val="-18"/>
          <w:w w:val="110"/>
          <w:sz w:val="19"/>
        </w:rPr>
        <w:t> </w:t>
      </w:r>
      <w:r>
        <w:rPr>
          <w:color w:val="3D3D3D"/>
          <w:spacing w:val="-4"/>
          <w:w w:val="110"/>
          <w:sz w:val="19"/>
        </w:rPr>
        <w:t>realist</w:t>
      </w:r>
      <w:r>
        <w:rPr>
          <w:color w:val="565656"/>
          <w:spacing w:val="-4"/>
          <w:w w:val="110"/>
          <w:sz w:val="19"/>
        </w:rPr>
        <w:t>i</w:t>
      </w:r>
      <w:r>
        <w:rPr>
          <w:color w:val="3D3D3D"/>
          <w:spacing w:val="-4"/>
          <w:w w:val="110"/>
          <w:sz w:val="19"/>
        </w:rPr>
        <w:t>c</w:t>
      </w:r>
      <w:r>
        <w:rPr>
          <w:color w:val="3D3D3D"/>
          <w:spacing w:val="-25"/>
          <w:w w:val="110"/>
          <w:sz w:val="19"/>
        </w:rPr>
        <w:t> </w:t>
      </w:r>
      <w:r>
        <w:rPr>
          <w:color w:val="3D3D3D"/>
          <w:w w:val="110"/>
          <w:sz w:val="19"/>
        </w:rPr>
        <w:t>alternative</w:t>
      </w:r>
      <w:r>
        <w:rPr>
          <w:color w:val="3D3D3D"/>
          <w:spacing w:val="-18"/>
          <w:w w:val="110"/>
          <w:sz w:val="19"/>
        </w:rPr>
        <w:t> </w:t>
      </w:r>
      <w:r>
        <w:rPr>
          <w:color w:val="3D3D3D"/>
          <w:w w:val="110"/>
          <w:sz w:val="19"/>
        </w:rPr>
        <w:t>but</w:t>
      </w:r>
      <w:r>
        <w:rPr>
          <w:color w:val="3D3D3D"/>
          <w:spacing w:val="-32"/>
          <w:w w:val="110"/>
          <w:sz w:val="19"/>
        </w:rPr>
        <w:t> </w:t>
      </w:r>
      <w:r>
        <w:rPr>
          <w:color w:val="3D3D3D"/>
          <w:w w:val="110"/>
          <w:sz w:val="19"/>
        </w:rPr>
        <w:t>to</w:t>
      </w:r>
      <w:r>
        <w:rPr>
          <w:color w:val="3D3D3D"/>
          <w:spacing w:val="-26"/>
          <w:w w:val="110"/>
          <w:sz w:val="19"/>
        </w:rPr>
        <w:t> </w:t>
      </w:r>
      <w:r>
        <w:rPr>
          <w:color w:val="3D3D3D"/>
          <w:w w:val="110"/>
          <w:sz w:val="19"/>
        </w:rPr>
        <w:t>do</w:t>
      </w:r>
      <w:r>
        <w:rPr>
          <w:color w:val="3D3D3D"/>
          <w:spacing w:val="-21"/>
          <w:w w:val="110"/>
          <w:sz w:val="19"/>
        </w:rPr>
        <w:t> </w:t>
      </w:r>
      <w:r>
        <w:rPr>
          <w:color w:val="3D3D3D"/>
          <w:spacing w:val="3"/>
          <w:w w:val="110"/>
          <w:sz w:val="19"/>
        </w:rPr>
        <w:t>so</w:t>
      </w:r>
      <w:r>
        <w:rPr>
          <w:color w:val="6E6E6E"/>
          <w:spacing w:val="3"/>
          <w:w w:val="110"/>
          <w:sz w:val="19"/>
        </w:rPr>
        <w:t>.</w:t>
      </w:r>
    </w:p>
    <w:p>
      <w:pPr>
        <w:pStyle w:val="BodyText"/>
        <w:spacing w:before="3"/>
        <w:rPr>
          <w:sz w:val="14"/>
        </w:rPr>
      </w:pPr>
    </w:p>
    <w:p>
      <w:pPr>
        <w:spacing w:before="0"/>
        <w:ind w:left="112" w:right="1613" w:firstLine="0"/>
        <w:jc w:val="left"/>
        <w:rPr>
          <w:b/>
          <w:sz w:val="23"/>
        </w:rPr>
      </w:pPr>
      <w:r>
        <w:rPr>
          <w:b/>
          <w:color w:val="131313"/>
          <w:w w:val="105"/>
          <w:sz w:val="23"/>
        </w:rPr>
        <w:t>Auditor </w:t>
      </w:r>
      <w:r>
        <w:rPr>
          <w:b/>
          <w:color w:val="3D3D3D"/>
          <w:w w:val="105"/>
          <w:sz w:val="23"/>
        </w:rPr>
        <w:t>'</w:t>
      </w:r>
      <w:r>
        <w:rPr>
          <w:b/>
          <w:color w:val="131313"/>
          <w:w w:val="105"/>
          <w:sz w:val="23"/>
        </w:rPr>
        <w:t>s Responsibilities for the Audit of the Financial Statements</w:t>
      </w:r>
    </w:p>
    <w:p>
      <w:pPr>
        <w:spacing w:before="128"/>
        <w:ind w:left="121" w:right="1613" w:firstLine="0"/>
        <w:jc w:val="left"/>
        <w:rPr>
          <w:sz w:val="19"/>
        </w:rPr>
      </w:pPr>
      <w:r>
        <w:rPr>
          <w:color w:val="3D3D3D"/>
          <w:w w:val="110"/>
          <w:sz w:val="19"/>
        </w:rPr>
        <w:t>My objectives are to</w:t>
      </w:r>
      <w:r>
        <w:rPr>
          <w:color w:val="808080"/>
          <w:w w:val="110"/>
          <w:sz w:val="19"/>
        </w:rPr>
        <w:t>:</w:t>
      </w:r>
    </w:p>
    <w:p>
      <w:pPr>
        <w:pStyle w:val="BodyText"/>
        <w:spacing w:before="10"/>
        <w:rPr>
          <w:sz w:val="16"/>
        </w:rPr>
      </w:pPr>
    </w:p>
    <w:p>
      <w:pPr>
        <w:spacing w:line="264" w:lineRule="auto" w:before="0"/>
        <w:ind w:left="678" w:right="1747" w:firstLine="0"/>
        <w:jc w:val="left"/>
        <w:rPr>
          <w:sz w:val="19"/>
        </w:rPr>
      </w:pPr>
      <w:r>
        <w:rPr>
          <w:color w:val="3D3D3D"/>
          <w:w w:val="110"/>
          <w:sz w:val="19"/>
        </w:rPr>
        <w:t>obtain</w:t>
      </w:r>
      <w:r>
        <w:rPr>
          <w:color w:val="3D3D3D"/>
          <w:spacing w:val="-41"/>
          <w:w w:val="110"/>
          <w:sz w:val="19"/>
        </w:rPr>
        <w:t> </w:t>
      </w:r>
      <w:r>
        <w:rPr>
          <w:color w:val="2A2A2A"/>
          <w:w w:val="110"/>
          <w:sz w:val="19"/>
        </w:rPr>
        <w:t>reasonable</w:t>
      </w:r>
      <w:r>
        <w:rPr>
          <w:color w:val="2A2A2A"/>
          <w:spacing w:val="-33"/>
          <w:w w:val="110"/>
          <w:sz w:val="19"/>
        </w:rPr>
        <w:t> </w:t>
      </w:r>
      <w:r>
        <w:rPr>
          <w:color w:val="3D3D3D"/>
          <w:w w:val="110"/>
          <w:sz w:val="19"/>
        </w:rPr>
        <w:t>assu</w:t>
      </w:r>
      <w:r>
        <w:rPr>
          <w:color w:val="565656"/>
          <w:w w:val="110"/>
          <w:sz w:val="19"/>
        </w:rPr>
        <w:t>r</w:t>
      </w:r>
      <w:r>
        <w:rPr>
          <w:color w:val="3D3D3D"/>
          <w:w w:val="110"/>
          <w:sz w:val="19"/>
        </w:rPr>
        <w:t>ance</w:t>
      </w:r>
      <w:r>
        <w:rPr>
          <w:color w:val="3D3D3D"/>
          <w:spacing w:val="-36"/>
          <w:w w:val="110"/>
          <w:sz w:val="19"/>
        </w:rPr>
        <w:t> </w:t>
      </w:r>
      <w:r>
        <w:rPr>
          <w:color w:val="3D3D3D"/>
          <w:w w:val="110"/>
          <w:sz w:val="19"/>
        </w:rPr>
        <w:t>about</w:t>
      </w:r>
      <w:r>
        <w:rPr>
          <w:color w:val="3D3D3D"/>
          <w:spacing w:val="-33"/>
          <w:w w:val="110"/>
          <w:sz w:val="19"/>
        </w:rPr>
        <w:t> </w:t>
      </w:r>
      <w:r>
        <w:rPr>
          <w:color w:val="3D3D3D"/>
          <w:w w:val="110"/>
          <w:sz w:val="19"/>
        </w:rPr>
        <w:t>whether</w:t>
      </w:r>
      <w:r>
        <w:rPr>
          <w:color w:val="3D3D3D"/>
          <w:spacing w:val="-27"/>
          <w:w w:val="110"/>
          <w:sz w:val="19"/>
        </w:rPr>
        <w:t> </w:t>
      </w:r>
      <w:r>
        <w:rPr>
          <w:color w:val="2A2A2A"/>
          <w:w w:val="110"/>
          <w:sz w:val="19"/>
        </w:rPr>
        <w:t>the</w:t>
      </w:r>
      <w:r>
        <w:rPr>
          <w:color w:val="2A2A2A"/>
          <w:spacing w:val="-31"/>
          <w:w w:val="110"/>
          <w:sz w:val="19"/>
        </w:rPr>
        <w:t> </w:t>
      </w:r>
      <w:r>
        <w:rPr>
          <w:color w:val="3D3D3D"/>
          <w:w w:val="110"/>
          <w:sz w:val="19"/>
        </w:rPr>
        <w:t>financial</w:t>
      </w:r>
      <w:r>
        <w:rPr>
          <w:color w:val="3D3D3D"/>
          <w:spacing w:val="-31"/>
          <w:w w:val="110"/>
          <w:sz w:val="19"/>
        </w:rPr>
        <w:t> </w:t>
      </w:r>
      <w:r>
        <w:rPr>
          <w:color w:val="3D3D3D"/>
          <w:w w:val="110"/>
          <w:sz w:val="19"/>
        </w:rPr>
        <w:t>statements</w:t>
      </w:r>
      <w:r>
        <w:rPr>
          <w:color w:val="3D3D3D"/>
          <w:spacing w:val="-28"/>
          <w:w w:val="110"/>
          <w:sz w:val="19"/>
        </w:rPr>
        <w:t> </w:t>
      </w:r>
      <w:r>
        <w:rPr>
          <w:color w:val="3D3D3D"/>
          <w:w w:val="110"/>
          <w:sz w:val="19"/>
        </w:rPr>
        <w:t>as</w:t>
      </w:r>
      <w:r>
        <w:rPr>
          <w:color w:val="3D3D3D"/>
          <w:spacing w:val="-34"/>
          <w:w w:val="110"/>
          <w:sz w:val="19"/>
        </w:rPr>
        <w:t> </w:t>
      </w:r>
      <w:r>
        <w:rPr>
          <w:color w:val="3D3D3D"/>
          <w:w w:val="110"/>
          <w:sz w:val="19"/>
        </w:rPr>
        <w:t>a</w:t>
      </w:r>
      <w:r>
        <w:rPr>
          <w:color w:val="3D3D3D"/>
          <w:spacing w:val="-40"/>
          <w:w w:val="110"/>
          <w:sz w:val="19"/>
        </w:rPr>
        <w:t> </w:t>
      </w:r>
      <w:r>
        <w:rPr>
          <w:color w:val="3D3D3D"/>
          <w:w w:val="110"/>
          <w:sz w:val="19"/>
        </w:rPr>
        <w:t>who</w:t>
      </w:r>
      <w:r>
        <w:rPr>
          <w:color w:val="131313"/>
          <w:w w:val="110"/>
          <w:sz w:val="19"/>
        </w:rPr>
        <w:t>l</w:t>
      </w:r>
      <w:r>
        <w:rPr>
          <w:color w:val="3D3D3D"/>
          <w:w w:val="110"/>
          <w:sz w:val="19"/>
        </w:rPr>
        <w:t>e</w:t>
      </w:r>
      <w:r>
        <w:rPr>
          <w:color w:val="3D3D3D"/>
          <w:spacing w:val="-35"/>
          <w:w w:val="110"/>
          <w:sz w:val="19"/>
        </w:rPr>
        <w:t> </w:t>
      </w:r>
      <w:r>
        <w:rPr>
          <w:color w:val="3D3D3D"/>
          <w:w w:val="110"/>
          <w:sz w:val="19"/>
        </w:rPr>
        <w:t>are</w:t>
      </w:r>
      <w:r>
        <w:rPr>
          <w:color w:val="3D3D3D"/>
          <w:spacing w:val="-38"/>
          <w:w w:val="110"/>
          <w:sz w:val="19"/>
        </w:rPr>
        <w:t> </w:t>
      </w:r>
      <w:r>
        <w:rPr>
          <w:color w:val="3D3D3D"/>
          <w:w w:val="110"/>
          <w:sz w:val="19"/>
        </w:rPr>
        <w:t>free</w:t>
      </w:r>
      <w:r>
        <w:rPr>
          <w:color w:val="3D3D3D"/>
          <w:spacing w:val="-31"/>
          <w:w w:val="110"/>
          <w:sz w:val="19"/>
        </w:rPr>
        <w:t> </w:t>
      </w:r>
      <w:r>
        <w:rPr>
          <w:color w:val="3D3D3D"/>
          <w:w w:val="110"/>
          <w:sz w:val="19"/>
        </w:rPr>
        <w:t>from </w:t>
      </w:r>
      <w:r>
        <w:rPr>
          <w:color w:val="3D3D3D"/>
          <w:spacing w:val="-3"/>
          <w:w w:val="110"/>
          <w:sz w:val="19"/>
        </w:rPr>
        <w:t>mater</w:t>
      </w:r>
      <w:r>
        <w:rPr>
          <w:color w:val="6E6E6E"/>
          <w:spacing w:val="-3"/>
          <w:w w:val="110"/>
          <w:sz w:val="19"/>
        </w:rPr>
        <w:t>i</w:t>
      </w:r>
      <w:r>
        <w:rPr>
          <w:color w:val="3D3D3D"/>
          <w:spacing w:val="-3"/>
          <w:w w:val="110"/>
          <w:sz w:val="19"/>
        </w:rPr>
        <w:t>al</w:t>
      </w:r>
      <w:r>
        <w:rPr>
          <w:color w:val="3D3D3D"/>
          <w:spacing w:val="-25"/>
          <w:w w:val="110"/>
          <w:sz w:val="19"/>
        </w:rPr>
        <w:t> </w:t>
      </w:r>
      <w:r>
        <w:rPr>
          <w:color w:val="3D3D3D"/>
          <w:spacing w:val="-4"/>
          <w:w w:val="110"/>
          <w:sz w:val="19"/>
        </w:rPr>
        <w:t>m</w:t>
      </w:r>
      <w:r>
        <w:rPr>
          <w:color w:val="565656"/>
          <w:spacing w:val="-4"/>
          <w:w w:val="110"/>
          <w:sz w:val="19"/>
        </w:rPr>
        <w:t>i</w:t>
      </w:r>
      <w:r>
        <w:rPr>
          <w:color w:val="3D3D3D"/>
          <w:spacing w:val="-4"/>
          <w:w w:val="110"/>
          <w:sz w:val="19"/>
        </w:rPr>
        <w:t>sstatement</w:t>
      </w:r>
      <w:r>
        <w:rPr>
          <w:color w:val="3D3D3D"/>
          <w:spacing w:val="-46"/>
          <w:w w:val="110"/>
          <w:sz w:val="19"/>
        </w:rPr>
        <w:t> </w:t>
      </w:r>
      <w:r>
        <w:rPr>
          <w:color w:val="565656"/>
          <w:w w:val="110"/>
          <w:sz w:val="19"/>
        </w:rPr>
        <w:t>,</w:t>
      </w:r>
      <w:r>
        <w:rPr>
          <w:color w:val="565656"/>
          <w:spacing w:val="-46"/>
          <w:w w:val="110"/>
          <w:sz w:val="19"/>
        </w:rPr>
        <w:t> </w:t>
      </w:r>
      <w:r>
        <w:rPr>
          <w:color w:val="3D3D3D"/>
          <w:w w:val="110"/>
          <w:sz w:val="19"/>
        </w:rPr>
        <w:t>whether</w:t>
      </w:r>
      <w:r>
        <w:rPr>
          <w:color w:val="3D3D3D"/>
          <w:spacing w:val="-20"/>
          <w:w w:val="110"/>
          <w:sz w:val="19"/>
        </w:rPr>
        <w:t> </w:t>
      </w:r>
      <w:r>
        <w:rPr>
          <w:color w:val="3D3D3D"/>
          <w:w w:val="110"/>
          <w:sz w:val="19"/>
        </w:rPr>
        <w:t>due</w:t>
      </w:r>
      <w:r>
        <w:rPr>
          <w:color w:val="3D3D3D"/>
          <w:spacing w:val="-25"/>
          <w:w w:val="110"/>
          <w:sz w:val="19"/>
        </w:rPr>
        <w:t> </w:t>
      </w:r>
      <w:r>
        <w:rPr>
          <w:color w:val="3D3D3D"/>
          <w:w w:val="110"/>
          <w:sz w:val="19"/>
        </w:rPr>
        <w:t>to</w:t>
      </w:r>
      <w:r>
        <w:rPr>
          <w:color w:val="3D3D3D"/>
          <w:spacing w:val="-24"/>
          <w:w w:val="110"/>
          <w:sz w:val="19"/>
        </w:rPr>
        <w:t> </w:t>
      </w:r>
      <w:r>
        <w:rPr>
          <w:color w:val="3D3D3D"/>
          <w:w w:val="110"/>
          <w:sz w:val="19"/>
        </w:rPr>
        <w:t>fraud</w:t>
      </w:r>
      <w:r>
        <w:rPr>
          <w:color w:val="3D3D3D"/>
          <w:spacing w:val="-24"/>
          <w:w w:val="110"/>
          <w:sz w:val="19"/>
        </w:rPr>
        <w:t> </w:t>
      </w:r>
      <w:r>
        <w:rPr>
          <w:color w:val="3D3D3D"/>
          <w:w w:val="110"/>
          <w:sz w:val="19"/>
        </w:rPr>
        <w:t>or</w:t>
      </w:r>
      <w:r>
        <w:rPr>
          <w:color w:val="3D3D3D"/>
          <w:spacing w:val="-25"/>
          <w:w w:val="110"/>
          <w:sz w:val="19"/>
        </w:rPr>
        <w:t> </w:t>
      </w:r>
      <w:r>
        <w:rPr>
          <w:color w:val="3D3D3D"/>
          <w:w w:val="110"/>
          <w:sz w:val="19"/>
        </w:rPr>
        <w:t>error</w:t>
      </w:r>
    </w:p>
    <w:p>
      <w:pPr>
        <w:spacing w:before="57"/>
        <w:ind w:left="678" w:right="1613" w:firstLine="0"/>
        <w:jc w:val="left"/>
        <w:rPr>
          <w:sz w:val="19"/>
        </w:rPr>
      </w:pPr>
      <w:r>
        <w:rPr>
          <w:color w:val="3D3D3D"/>
          <w:w w:val="110"/>
          <w:sz w:val="19"/>
        </w:rPr>
        <w:t>issue an </w:t>
      </w:r>
      <w:r>
        <w:rPr>
          <w:color w:val="2A2A2A"/>
          <w:w w:val="110"/>
          <w:sz w:val="19"/>
        </w:rPr>
        <w:t>Independent </w:t>
      </w:r>
      <w:r>
        <w:rPr>
          <w:color w:val="3D3D3D"/>
          <w:w w:val="110"/>
          <w:sz w:val="19"/>
        </w:rPr>
        <w:t>Aud</w:t>
      </w:r>
      <w:r>
        <w:rPr>
          <w:color w:val="565656"/>
          <w:w w:val="110"/>
          <w:sz w:val="19"/>
        </w:rPr>
        <w:t>i</w:t>
      </w:r>
      <w:r>
        <w:rPr>
          <w:color w:val="3D3D3D"/>
          <w:w w:val="110"/>
          <w:sz w:val="19"/>
        </w:rPr>
        <w:t>tor's Report </w:t>
      </w:r>
      <w:r>
        <w:rPr>
          <w:color w:val="2A2A2A"/>
          <w:w w:val="110"/>
          <w:sz w:val="19"/>
        </w:rPr>
        <w:t>includ</w:t>
      </w:r>
      <w:r>
        <w:rPr>
          <w:color w:val="565656"/>
          <w:w w:val="110"/>
          <w:sz w:val="19"/>
        </w:rPr>
        <w:t>i</w:t>
      </w:r>
      <w:r>
        <w:rPr>
          <w:color w:val="3D3D3D"/>
          <w:w w:val="110"/>
          <w:sz w:val="19"/>
        </w:rPr>
        <w:t>ng my opinion</w:t>
      </w:r>
      <w:r>
        <w:rPr>
          <w:color w:val="565656"/>
          <w:w w:val="110"/>
          <w:sz w:val="19"/>
        </w:rPr>
        <w:t>.</w:t>
      </w:r>
    </w:p>
    <w:p>
      <w:pPr>
        <w:pStyle w:val="BodyText"/>
        <w:spacing w:before="4"/>
        <w:rPr>
          <w:sz w:val="19"/>
        </w:rPr>
      </w:pPr>
    </w:p>
    <w:p>
      <w:pPr>
        <w:spacing w:line="264" w:lineRule="auto" w:before="0"/>
        <w:ind w:left="112" w:right="1613" w:firstLine="9"/>
        <w:jc w:val="left"/>
        <w:rPr>
          <w:sz w:val="19"/>
        </w:rPr>
      </w:pPr>
      <w:r>
        <w:rPr>
          <w:color w:val="3D3D3D"/>
          <w:w w:val="110"/>
          <w:sz w:val="19"/>
        </w:rPr>
        <w:t>Reasonable</w:t>
      </w:r>
      <w:r>
        <w:rPr>
          <w:color w:val="3D3D3D"/>
          <w:spacing w:val="-31"/>
          <w:w w:val="110"/>
          <w:sz w:val="19"/>
        </w:rPr>
        <w:t> </w:t>
      </w:r>
      <w:r>
        <w:rPr>
          <w:color w:val="3D3D3D"/>
          <w:w w:val="110"/>
          <w:sz w:val="19"/>
        </w:rPr>
        <w:t>assurance</w:t>
      </w:r>
      <w:r>
        <w:rPr>
          <w:color w:val="3D3D3D"/>
          <w:spacing w:val="-15"/>
          <w:w w:val="110"/>
          <w:sz w:val="19"/>
        </w:rPr>
        <w:t> </w:t>
      </w:r>
      <w:r>
        <w:rPr>
          <w:color w:val="3D3D3D"/>
          <w:spacing w:val="-17"/>
          <w:w w:val="110"/>
          <w:sz w:val="19"/>
        </w:rPr>
        <w:t>is</w:t>
      </w:r>
      <w:r>
        <w:rPr>
          <w:color w:val="3D3D3D"/>
          <w:spacing w:val="-23"/>
          <w:w w:val="110"/>
          <w:sz w:val="19"/>
        </w:rPr>
        <w:t> </w:t>
      </w:r>
      <w:r>
        <w:rPr>
          <w:color w:val="3D3D3D"/>
          <w:w w:val="110"/>
          <w:sz w:val="19"/>
        </w:rPr>
        <w:t>a</w:t>
      </w:r>
      <w:r>
        <w:rPr>
          <w:color w:val="3D3D3D"/>
          <w:spacing w:val="-25"/>
          <w:w w:val="110"/>
          <w:sz w:val="19"/>
        </w:rPr>
        <w:t> </w:t>
      </w:r>
      <w:r>
        <w:rPr>
          <w:color w:val="3D3D3D"/>
          <w:w w:val="110"/>
          <w:sz w:val="19"/>
        </w:rPr>
        <w:t>high</w:t>
      </w:r>
      <w:r>
        <w:rPr>
          <w:color w:val="3D3D3D"/>
          <w:spacing w:val="-21"/>
          <w:w w:val="110"/>
          <w:sz w:val="19"/>
        </w:rPr>
        <w:t> </w:t>
      </w:r>
      <w:r>
        <w:rPr>
          <w:color w:val="2A2A2A"/>
          <w:spacing w:val="-7"/>
          <w:w w:val="110"/>
          <w:sz w:val="19"/>
        </w:rPr>
        <w:t>level</w:t>
      </w:r>
      <w:r>
        <w:rPr>
          <w:color w:val="2A2A2A"/>
          <w:spacing w:val="-18"/>
          <w:w w:val="110"/>
          <w:sz w:val="19"/>
        </w:rPr>
        <w:t> </w:t>
      </w:r>
      <w:r>
        <w:rPr>
          <w:color w:val="3D3D3D"/>
          <w:w w:val="110"/>
          <w:sz w:val="19"/>
        </w:rPr>
        <w:t>of</w:t>
      </w:r>
      <w:r>
        <w:rPr>
          <w:color w:val="3D3D3D"/>
          <w:spacing w:val="-26"/>
          <w:w w:val="110"/>
          <w:sz w:val="19"/>
        </w:rPr>
        <w:t> </w:t>
      </w:r>
      <w:r>
        <w:rPr>
          <w:color w:val="3D3D3D"/>
          <w:w w:val="110"/>
          <w:sz w:val="19"/>
        </w:rPr>
        <w:t>assurance</w:t>
      </w:r>
      <w:r>
        <w:rPr>
          <w:color w:val="565656"/>
          <w:w w:val="110"/>
          <w:sz w:val="19"/>
        </w:rPr>
        <w:t>,</w:t>
      </w:r>
      <w:r>
        <w:rPr>
          <w:color w:val="565656"/>
          <w:spacing w:val="-22"/>
          <w:w w:val="110"/>
          <w:sz w:val="19"/>
        </w:rPr>
        <w:t> </w:t>
      </w:r>
      <w:r>
        <w:rPr>
          <w:color w:val="3D3D3D"/>
          <w:w w:val="110"/>
          <w:sz w:val="19"/>
        </w:rPr>
        <w:t>but</w:t>
      </w:r>
      <w:r>
        <w:rPr>
          <w:color w:val="3D3D3D"/>
          <w:spacing w:val="-27"/>
          <w:w w:val="110"/>
          <w:sz w:val="19"/>
        </w:rPr>
        <w:t> </w:t>
      </w:r>
      <w:r>
        <w:rPr>
          <w:color w:val="3D3D3D"/>
          <w:w w:val="110"/>
          <w:sz w:val="19"/>
        </w:rPr>
        <w:t>does</w:t>
      </w:r>
      <w:r>
        <w:rPr>
          <w:color w:val="3D3D3D"/>
          <w:spacing w:val="-13"/>
          <w:w w:val="110"/>
          <w:sz w:val="19"/>
        </w:rPr>
        <w:t> </w:t>
      </w:r>
      <w:r>
        <w:rPr>
          <w:color w:val="3D3D3D"/>
          <w:w w:val="110"/>
          <w:sz w:val="19"/>
        </w:rPr>
        <w:t>not</w:t>
      </w:r>
      <w:r>
        <w:rPr>
          <w:color w:val="3D3D3D"/>
          <w:spacing w:val="-29"/>
          <w:w w:val="110"/>
          <w:sz w:val="19"/>
        </w:rPr>
        <w:t> </w:t>
      </w:r>
      <w:r>
        <w:rPr>
          <w:color w:val="3D3D3D"/>
          <w:w w:val="110"/>
          <w:sz w:val="19"/>
        </w:rPr>
        <w:t>guarantee</w:t>
      </w:r>
      <w:r>
        <w:rPr>
          <w:color w:val="3D3D3D"/>
          <w:spacing w:val="-20"/>
          <w:w w:val="110"/>
          <w:sz w:val="19"/>
        </w:rPr>
        <w:t> </w:t>
      </w:r>
      <w:r>
        <w:rPr>
          <w:color w:val="3D3D3D"/>
          <w:w w:val="110"/>
          <w:sz w:val="19"/>
        </w:rPr>
        <w:t>an</w:t>
      </w:r>
      <w:r>
        <w:rPr>
          <w:color w:val="3D3D3D"/>
          <w:spacing w:val="-20"/>
          <w:w w:val="110"/>
          <w:sz w:val="19"/>
        </w:rPr>
        <w:t> </w:t>
      </w:r>
      <w:r>
        <w:rPr>
          <w:color w:val="3D3D3D"/>
          <w:w w:val="110"/>
          <w:sz w:val="19"/>
        </w:rPr>
        <w:t>audit</w:t>
      </w:r>
      <w:r>
        <w:rPr>
          <w:color w:val="3D3D3D"/>
          <w:spacing w:val="-22"/>
          <w:w w:val="110"/>
          <w:sz w:val="19"/>
        </w:rPr>
        <w:t> </w:t>
      </w:r>
      <w:r>
        <w:rPr>
          <w:color w:val="3D3D3D"/>
          <w:w w:val="110"/>
          <w:sz w:val="19"/>
        </w:rPr>
        <w:t>conducted</w:t>
      </w:r>
      <w:r>
        <w:rPr>
          <w:color w:val="3D3D3D"/>
          <w:spacing w:val="-20"/>
          <w:w w:val="110"/>
          <w:sz w:val="19"/>
        </w:rPr>
        <w:t> </w:t>
      </w:r>
      <w:r>
        <w:rPr>
          <w:color w:val="3D3D3D"/>
          <w:spacing w:val="-31"/>
          <w:w w:val="110"/>
          <w:sz w:val="19"/>
        </w:rPr>
        <w:t>in </w:t>
      </w:r>
      <w:r>
        <w:rPr>
          <w:color w:val="3D3D3D"/>
          <w:w w:val="105"/>
          <w:sz w:val="19"/>
        </w:rPr>
        <w:t>accordance with Austra</w:t>
      </w:r>
      <w:r>
        <w:rPr>
          <w:color w:val="131313"/>
          <w:w w:val="105"/>
          <w:sz w:val="19"/>
        </w:rPr>
        <w:t>l</w:t>
      </w:r>
      <w:r>
        <w:rPr>
          <w:color w:val="3D3D3D"/>
          <w:w w:val="105"/>
          <w:sz w:val="19"/>
        </w:rPr>
        <w:t>ian </w:t>
      </w:r>
      <w:r>
        <w:rPr>
          <w:color w:val="3D3D3D"/>
          <w:spacing w:val="-4"/>
          <w:w w:val="105"/>
          <w:sz w:val="19"/>
        </w:rPr>
        <w:t>Aud</w:t>
      </w:r>
      <w:r>
        <w:rPr>
          <w:color w:val="565656"/>
          <w:spacing w:val="-4"/>
          <w:w w:val="105"/>
          <w:sz w:val="19"/>
        </w:rPr>
        <w:t>i</w:t>
      </w:r>
      <w:r>
        <w:rPr>
          <w:color w:val="3D3D3D"/>
          <w:spacing w:val="-4"/>
          <w:w w:val="105"/>
          <w:sz w:val="19"/>
        </w:rPr>
        <w:t>t</w:t>
      </w:r>
      <w:r>
        <w:rPr>
          <w:color w:val="131313"/>
          <w:spacing w:val="-4"/>
          <w:w w:val="105"/>
          <w:sz w:val="19"/>
        </w:rPr>
        <w:t>i</w:t>
      </w:r>
      <w:r>
        <w:rPr>
          <w:color w:val="3D3D3D"/>
          <w:spacing w:val="-4"/>
          <w:w w:val="105"/>
          <w:sz w:val="19"/>
        </w:rPr>
        <w:t>ng </w:t>
      </w:r>
      <w:r>
        <w:rPr>
          <w:color w:val="3D3D3D"/>
          <w:w w:val="105"/>
          <w:sz w:val="19"/>
        </w:rPr>
        <w:t>Standa</w:t>
      </w:r>
      <w:r>
        <w:rPr>
          <w:color w:val="565656"/>
          <w:w w:val="105"/>
          <w:sz w:val="19"/>
        </w:rPr>
        <w:t>r</w:t>
      </w:r>
      <w:r>
        <w:rPr>
          <w:color w:val="3D3D3D"/>
          <w:w w:val="105"/>
          <w:sz w:val="19"/>
        </w:rPr>
        <w:t>ds will a</w:t>
      </w:r>
      <w:r>
        <w:rPr>
          <w:color w:val="131313"/>
          <w:w w:val="105"/>
          <w:sz w:val="19"/>
        </w:rPr>
        <w:t>l</w:t>
      </w:r>
      <w:r>
        <w:rPr>
          <w:color w:val="3D3D3D"/>
          <w:w w:val="105"/>
          <w:sz w:val="19"/>
        </w:rPr>
        <w:t>ways detect material</w:t>
      </w:r>
      <w:r>
        <w:rPr>
          <w:color w:val="3D3D3D"/>
          <w:spacing w:val="-6"/>
          <w:w w:val="105"/>
          <w:sz w:val="19"/>
        </w:rPr>
        <w:t> </w:t>
      </w:r>
      <w:r>
        <w:rPr>
          <w:color w:val="3D3D3D"/>
          <w:w w:val="105"/>
          <w:sz w:val="19"/>
        </w:rPr>
        <w:t>misstatements.</w:t>
      </w:r>
    </w:p>
    <w:p>
      <w:pPr>
        <w:spacing w:line="224" w:lineRule="exact" w:before="0"/>
        <w:ind w:left="121" w:right="1613" w:firstLine="0"/>
        <w:jc w:val="left"/>
        <w:rPr>
          <w:sz w:val="19"/>
        </w:rPr>
      </w:pPr>
      <w:r>
        <w:rPr>
          <w:color w:val="3D3D3D"/>
          <w:spacing w:val="-10"/>
          <w:w w:val="108"/>
          <w:sz w:val="19"/>
        </w:rPr>
        <w:t>M</w:t>
      </w:r>
      <w:r>
        <w:rPr>
          <w:color w:val="565656"/>
          <w:spacing w:val="-10"/>
          <w:w w:val="112"/>
          <w:sz w:val="19"/>
        </w:rPr>
        <w:t>i</w:t>
      </w:r>
      <w:r>
        <w:rPr>
          <w:color w:val="3D3D3D"/>
          <w:w w:val="104"/>
          <w:sz w:val="19"/>
        </w:rPr>
        <w:t>sstatem</w:t>
      </w:r>
      <w:r>
        <w:rPr>
          <w:color w:val="3D3D3D"/>
          <w:spacing w:val="6"/>
          <w:w w:val="104"/>
          <w:sz w:val="19"/>
        </w:rPr>
        <w:t>e</w:t>
      </w:r>
      <w:r>
        <w:rPr>
          <w:color w:val="565656"/>
          <w:spacing w:val="-16"/>
          <w:w w:val="105"/>
          <w:sz w:val="19"/>
        </w:rPr>
        <w:t>n</w:t>
      </w:r>
      <w:r>
        <w:rPr>
          <w:color w:val="131313"/>
          <w:spacing w:val="6"/>
          <w:w w:val="97"/>
          <w:sz w:val="19"/>
        </w:rPr>
        <w:t>t</w:t>
      </w:r>
      <w:r>
        <w:rPr>
          <w:color w:val="3D3D3D"/>
          <w:w w:val="103"/>
          <w:sz w:val="19"/>
        </w:rPr>
        <w:t>s</w:t>
      </w:r>
      <w:r>
        <w:rPr>
          <w:color w:val="3D3D3D"/>
          <w:spacing w:val="2"/>
          <w:sz w:val="19"/>
        </w:rPr>
        <w:t> </w:t>
      </w:r>
      <w:r>
        <w:rPr>
          <w:color w:val="3D3D3D"/>
          <w:w w:val="105"/>
          <w:sz w:val="19"/>
        </w:rPr>
        <w:t>can</w:t>
      </w:r>
      <w:r>
        <w:rPr>
          <w:color w:val="3D3D3D"/>
          <w:spacing w:val="-4"/>
          <w:sz w:val="19"/>
        </w:rPr>
        <w:t> </w:t>
      </w:r>
      <w:r>
        <w:rPr>
          <w:color w:val="3D3D3D"/>
          <w:w w:val="108"/>
          <w:sz w:val="19"/>
        </w:rPr>
        <w:t>a</w:t>
      </w:r>
      <w:r>
        <w:rPr>
          <w:color w:val="3D3D3D"/>
          <w:spacing w:val="-2"/>
          <w:w w:val="108"/>
          <w:sz w:val="19"/>
        </w:rPr>
        <w:t>r</w:t>
      </w:r>
      <w:r>
        <w:rPr>
          <w:color w:val="565656"/>
          <w:spacing w:val="-34"/>
          <w:w w:val="169"/>
          <w:sz w:val="19"/>
        </w:rPr>
        <w:t>i</w:t>
      </w:r>
      <w:r>
        <w:rPr>
          <w:color w:val="3D3D3D"/>
          <w:w w:val="105"/>
          <w:sz w:val="19"/>
        </w:rPr>
        <w:t>se</w:t>
      </w:r>
      <w:r>
        <w:rPr>
          <w:color w:val="3D3D3D"/>
          <w:spacing w:val="3"/>
          <w:sz w:val="19"/>
        </w:rPr>
        <w:t> </w:t>
      </w:r>
      <w:r>
        <w:rPr>
          <w:color w:val="2A2A2A"/>
          <w:w w:val="102"/>
          <w:sz w:val="19"/>
        </w:rPr>
        <w:t>from</w:t>
      </w:r>
      <w:r>
        <w:rPr>
          <w:color w:val="2A2A2A"/>
          <w:spacing w:val="7"/>
          <w:sz w:val="19"/>
        </w:rPr>
        <w:t> </w:t>
      </w:r>
      <w:r>
        <w:rPr>
          <w:color w:val="3D3D3D"/>
          <w:w w:val="103"/>
          <w:sz w:val="19"/>
        </w:rPr>
        <w:t>fraud</w:t>
      </w:r>
      <w:r>
        <w:rPr>
          <w:color w:val="3D3D3D"/>
          <w:spacing w:val="5"/>
          <w:sz w:val="19"/>
        </w:rPr>
        <w:t> </w:t>
      </w:r>
      <w:r>
        <w:rPr>
          <w:color w:val="3D3D3D"/>
          <w:w w:val="102"/>
          <w:sz w:val="19"/>
        </w:rPr>
        <w:t>or</w:t>
      </w:r>
      <w:r>
        <w:rPr>
          <w:color w:val="3D3D3D"/>
          <w:spacing w:val="13"/>
          <w:sz w:val="19"/>
        </w:rPr>
        <w:t> </w:t>
      </w:r>
      <w:r>
        <w:rPr>
          <w:color w:val="3D3D3D"/>
          <w:w w:val="103"/>
          <w:sz w:val="19"/>
        </w:rPr>
        <w:t>erro</w:t>
      </w:r>
      <w:r>
        <w:rPr>
          <w:color w:val="3D3D3D"/>
          <w:spacing w:val="5"/>
          <w:w w:val="103"/>
          <w:sz w:val="19"/>
        </w:rPr>
        <w:t>r</w:t>
      </w:r>
      <w:r>
        <w:rPr>
          <w:color w:val="565656"/>
          <w:w w:val="149"/>
          <w:sz w:val="19"/>
        </w:rPr>
        <w:t>.</w:t>
      </w:r>
      <w:r>
        <w:rPr>
          <w:color w:val="565656"/>
          <w:spacing w:val="-17"/>
          <w:sz w:val="19"/>
        </w:rPr>
        <w:t> </w:t>
      </w:r>
      <w:r>
        <w:rPr>
          <w:color w:val="3D3D3D"/>
          <w:spacing w:val="-45"/>
          <w:w w:val="108"/>
          <w:sz w:val="19"/>
        </w:rPr>
        <w:t>M</w:t>
      </w:r>
      <w:r>
        <w:rPr>
          <w:color w:val="565656"/>
          <w:spacing w:val="-94"/>
          <w:w w:val="227"/>
          <w:sz w:val="19"/>
        </w:rPr>
        <w:t>i</w:t>
      </w:r>
      <w:r>
        <w:rPr>
          <w:color w:val="3D3D3D"/>
          <w:w w:val="103"/>
          <w:sz w:val="19"/>
        </w:rPr>
        <w:t>sst</w:t>
      </w:r>
      <w:r>
        <w:rPr>
          <w:color w:val="3D3D3D"/>
          <w:spacing w:val="2"/>
          <w:w w:val="103"/>
          <w:sz w:val="19"/>
        </w:rPr>
        <w:t>a</w:t>
      </w:r>
      <w:r>
        <w:rPr>
          <w:color w:val="131313"/>
          <w:spacing w:val="6"/>
          <w:w w:val="97"/>
          <w:sz w:val="19"/>
        </w:rPr>
        <w:t>t</w:t>
      </w:r>
      <w:r>
        <w:rPr>
          <w:color w:val="3D3D3D"/>
          <w:w w:val="103"/>
          <w:sz w:val="19"/>
        </w:rPr>
        <w:t>ements</w:t>
      </w:r>
      <w:r>
        <w:rPr>
          <w:color w:val="3D3D3D"/>
          <w:spacing w:val="9"/>
          <w:sz w:val="19"/>
        </w:rPr>
        <w:t> </w:t>
      </w:r>
      <w:r>
        <w:rPr>
          <w:color w:val="3D3D3D"/>
          <w:w w:val="104"/>
          <w:sz w:val="19"/>
        </w:rPr>
        <w:t>are</w:t>
      </w:r>
      <w:r>
        <w:rPr>
          <w:color w:val="3D3D3D"/>
          <w:spacing w:val="-6"/>
          <w:sz w:val="19"/>
        </w:rPr>
        <w:t> </w:t>
      </w:r>
      <w:r>
        <w:rPr>
          <w:color w:val="3D3D3D"/>
          <w:w w:val="106"/>
          <w:sz w:val="19"/>
        </w:rPr>
        <w:t>cons</w:t>
      </w:r>
      <w:r>
        <w:rPr>
          <w:color w:val="3D3D3D"/>
          <w:spacing w:val="-5"/>
          <w:w w:val="106"/>
          <w:sz w:val="19"/>
        </w:rPr>
        <w:t>i</w:t>
      </w:r>
      <w:r>
        <w:rPr>
          <w:color w:val="3D3D3D"/>
          <w:w w:val="102"/>
          <w:sz w:val="19"/>
        </w:rPr>
        <w:t>dered</w:t>
      </w:r>
      <w:r>
        <w:rPr>
          <w:color w:val="3D3D3D"/>
          <w:spacing w:val="13"/>
          <w:sz w:val="19"/>
        </w:rPr>
        <w:t> </w:t>
      </w:r>
      <w:r>
        <w:rPr>
          <w:color w:val="3D3D3D"/>
          <w:w w:val="109"/>
          <w:sz w:val="19"/>
        </w:rPr>
        <w:t>mat</w:t>
      </w:r>
      <w:r>
        <w:rPr>
          <w:color w:val="3D3D3D"/>
          <w:spacing w:val="-14"/>
          <w:w w:val="109"/>
          <w:sz w:val="19"/>
        </w:rPr>
        <w:t>e</w:t>
      </w:r>
      <w:r>
        <w:rPr>
          <w:color w:val="3D3D3D"/>
          <w:w w:val="117"/>
          <w:sz w:val="19"/>
        </w:rPr>
        <w:t>r</w:t>
      </w:r>
      <w:r>
        <w:rPr>
          <w:color w:val="3D3D3D"/>
          <w:spacing w:val="-19"/>
          <w:w w:val="117"/>
          <w:sz w:val="19"/>
        </w:rPr>
        <w:t>i</w:t>
      </w:r>
      <w:r>
        <w:rPr>
          <w:color w:val="3D3D3D"/>
          <w:spacing w:val="5"/>
          <w:w w:val="103"/>
          <w:sz w:val="19"/>
        </w:rPr>
        <w:t>a</w:t>
      </w:r>
      <w:r>
        <w:rPr>
          <w:color w:val="565656"/>
          <w:w w:val="169"/>
          <w:sz w:val="19"/>
        </w:rPr>
        <w:t>l</w:t>
      </w:r>
      <w:r>
        <w:rPr>
          <w:color w:val="565656"/>
          <w:spacing w:val="-19"/>
          <w:sz w:val="19"/>
        </w:rPr>
        <w:t> </w:t>
      </w:r>
      <w:r>
        <w:rPr>
          <w:rFonts w:ascii="Times New Roman"/>
          <w:color w:val="3D3D3D"/>
          <w:w w:val="64"/>
          <w:sz w:val="21"/>
        </w:rPr>
        <w:t>if</w:t>
      </w:r>
      <w:r>
        <w:rPr>
          <w:rFonts w:ascii="Times New Roman"/>
          <w:color w:val="3D3D3D"/>
          <w:spacing w:val="-31"/>
          <w:sz w:val="21"/>
        </w:rPr>
        <w:t> </w:t>
      </w:r>
      <w:r>
        <w:rPr>
          <w:rFonts w:ascii="Times New Roman"/>
          <w:color w:val="6E6E6E"/>
          <w:w w:val="61"/>
          <w:sz w:val="21"/>
        </w:rPr>
        <w:t>,</w:t>
      </w:r>
      <w:r>
        <w:rPr>
          <w:rFonts w:ascii="Times New Roman"/>
          <w:color w:val="6E6E6E"/>
          <w:spacing w:val="1"/>
          <w:sz w:val="21"/>
        </w:rPr>
        <w:t> </w:t>
      </w:r>
      <w:r>
        <w:rPr>
          <w:color w:val="3D3D3D"/>
          <w:spacing w:val="-39"/>
          <w:w w:val="227"/>
          <w:sz w:val="19"/>
        </w:rPr>
        <w:t>i</w:t>
      </w:r>
      <w:r>
        <w:rPr>
          <w:color w:val="3D3D3D"/>
          <w:w w:val="106"/>
          <w:sz w:val="19"/>
        </w:rPr>
        <w:t>nd</w:t>
      </w:r>
      <w:r>
        <w:rPr>
          <w:color w:val="3D3D3D"/>
          <w:spacing w:val="-13"/>
          <w:w w:val="106"/>
          <w:sz w:val="19"/>
        </w:rPr>
        <w:t>i</w:t>
      </w:r>
      <w:r>
        <w:rPr>
          <w:color w:val="3D3D3D"/>
          <w:spacing w:val="-29"/>
          <w:w w:val="104"/>
          <w:sz w:val="19"/>
        </w:rPr>
        <w:t>v</w:t>
      </w:r>
      <w:r>
        <w:rPr>
          <w:color w:val="565656"/>
          <w:spacing w:val="-94"/>
          <w:w w:val="227"/>
          <w:sz w:val="19"/>
        </w:rPr>
        <w:t>i</w:t>
      </w:r>
      <w:r>
        <w:rPr>
          <w:color w:val="3D3D3D"/>
          <w:w w:val="99"/>
          <w:sz w:val="19"/>
        </w:rPr>
        <w:t>dually</w:t>
      </w:r>
      <w:r>
        <w:rPr>
          <w:color w:val="3D3D3D"/>
          <w:spacing w:val="7"/>
          <w:sz w:val="19"/>
        </w:rPr>
        <w:t> </w:t>
      </w:r>
      <w:r>
        <w:rPr>
          <w:color w:val="3D3D3D"/>
          <w:w w:val="107"/>
          <w:sz w:val="19"/>
        </w:rPr>
        <w:t>or</w:t>
      </w:r>
    </w:p>
    <w:p>
      <w:pPr>
        <w:spacing w:line="264" w:lineRule="auto" w:before="16"/>
        <w:ind w:left="121" w:right="1613" w:firstLine="0"/>
        <w:jc w:val="left"/>
        <w:rPr>
          <w:sz w:val="19"/>
        </w:rPr>
      </w:pPr>
      <w:r>
        <w:rPr>
          <w:color w:val="3D3D3D"/>
          <w:w w:val="105"/>
          <w:sz w:val="19"/>
        </w:rPr>
        <w:t>in aggregate</w:t>
      </w:r>
      <w:r>
        <w:rPr>
          <w:color w:val="808080"/>
          <w:w w:val="105"/>
          <w:sz w:val="19"/>
        </w:rPr>
        <w:t>, </w:t>
      </w:r>
      <w:r>
        <w:rPr>
          <w:color w:val="3D3D3D"/>
          <w:w w:val="105"/>
          <w:sz w:val="19"/>
        </w:rPr>
        <w:t>they could reasonably be expected </w:t>
      </w:r>
      <w:r>
        <w:rPr>
          <w:color w:val="131313"/>
          <w:w w:val="105"/>
          <w:sz w:val="19"/>
        </w:rPr>
        <w:t>t</w:t>
      </w:r>
      <w:r>
        <w:rPr>
          <w:color w:val="3D3D3D"/>
          <w:w w:val="105"/>
          <w:sz w:val="19"/>
        </w:rPr>
        <w:t>o influence </w:t>
      </w:r>
      <w:r>
        <w:rPr>
          <w:color w:val="2A2A2A"/>
          <w:w w:val="105"/>
          <w:sz w:val="19"/>
        </w:rPr>
        <w:t>the </w:t>
      </w:r>
      <w:r>
        <w:rPr>
          <w:color w:val="3D3D3D"/>
          <w:w w:val="105"/>
          <w:sz w:val="19"/>
        </w:rPr>
        <w:t>economic decisions users take based on the financial statements</w:t>
      </w:r>
      <w:r>
        <w:rPr>
          <w:color w:val="6E6E6E"/>
          <w:w w:val="105"/>
          <w:sz w:val="19"/>
        </w:rPr>
        <w:t>.</w:t>
      </w:r>
    </w:p>
    <w:p>
      <w:pPr>
        <w:spacing w:after="0" w:line="264" w:lineRule="auto"/>
        <w:jc w:val="left"/>
        <w:rPr>
          <w:sz w:val="19"/>
        </w:rPr>
        <w:sectPr>
          <w:headerReference w:type="default" r:id="rId96"/>
          <w:footerReference w:type="default" r:id="rId97"/>
          <w:pgSz w:w="11900" w:h="16840"/>
          <w:pgMar w:header="0" w:footer="513" w:top="140" w:bottom="700" w:left="1260" w:right="0"/>
          <w:pgNumType w:start="172"/>
        </w:sectPr>
      </w:pPr>
    </w:p>
    <w:p>
      <w:pPr>
        <w:pStyle w:val="BodyText"/>
        <w:rPr>
          <w:sz w:val="20"/>
        </w:rPr>
      </w:pPr>
      <w:r>
        <w:rPr/>
        <w:pict>
          <v:group style="position:absolute;margin-left:589.476624pt;margin-top:4.552493pt;width:2.450pt;height:832.9pt;mso-position-horizontal-relative:page;mso-position-vertical-relative:page;z-index:4120" coordorigin="11790,91" coordsize="49,16658">
            <v:line style="position:absolute" from="11804,16734" to="11804,11975" stroked="true" strokeweight="1.439516pt" strokecolor="#dbdbdb"/>
            <v:line style="position:absolute" from="11823,12551" to="11823,106" stroked="true" strokeweight="1.439516pt" strokecolor="#d8d8d8"/>
            <w10:wrap type="none"/>
          </v:group>
        </w:pict>
      </w:r>
    </w:p>
    <w:p>
      <w:pPr>
        <w:pStyle w:val="BodyText"/>
        <w:rPr>
          <w:sz w:val="20"/>
        </w:rPr>
      </w:pPr>
    </w:p>
    <w:p>
      <w:pPr>
        <w:pStyle w:val="BodyText"/>
        <w:rPr>
          <w:sz w:val="20"/>
        </w:rPr>
      </w:pPr>
    </w:p>
    <w:p>
      <w:pPr>
        <w:pStyle w:val="BodyText"/>
        <w:rPr>
          <w:sz w:val="20"/>
        </w:rPr>
      </w:pPr>
    </w:p>
    <w:p>
      <w:pPr>
        <w:pStyle w:val="BodyText"/>
        <w:rPr>
          <w:sz w:val="26"/>
        </w:rPr>
      </w:pPr>
    </w:p>
    <w:p>
      <w:pPr>
        <w:pStyle w:val="Heading8"/>
        <w:spacing w:line="252" w:lineRule="auto" w:before="76"/>
        <w:ind w:left="341" w:right="1785" w:hanging="10"/>
      </w:pPr>
      <w:r>
        <w:rPr>
          <w:color w:val="3B3B3B"/>
          <w:w w:val="110"/>
        </w:rPr>
        <w:t>A</w:t>
      </w:r>
      <w:r>
        <w:rPr>
          <w:color w:val="3B3B3B"/>
          <w:spacing w:val="-19"/>
          <w:w w:val="110"/>
        </w:rPr>
        <w:t> </w:t>
      </w:r>
      <w:r>
        <w:rPr>
          <w:color w:val="3B3B3B"/>
          <w:spacing w:val="-3"/>
          <w:w w:val="110"/>
        </w:rPr>
        <w:t>descript</w:t>
      </w:r>
      <w:r>
        <w:rPr>
          <w:color w:val="0F0F0F"/>
          <w:spacing w:val="-3"/>
          <w:w w:val="110"/>
        </w:rPr>
        <w:t>i</w:t>
      </w:r>
      <w:r>
        <w:rPr>
          <w:color w:val="3B3B3B"/>
          <w:spacing w:val="-3"/>
          <w:w w:val="110"/>
        </w:rPr>
        <w:t>on</w:t>
      </w:r>
      <w:r>
        <w:rPr>
          <w:color w:val="3B3B3B"/>
          <w:spacing w:val="-25"/>
          <w:w w:val="110"/>
        </w:rPr>
        <w:t> </w:t>
      </w:r>
      <w:r>
        <w:rPr>
          <w:color w:val="3B3B3B"/>
          <w:w w:val="110"/>
        </w:rPr>
        <w:t>of</w:t>
      </w:r>
      <w:r>
        <w:rPr>
          <w:color w:val="3B3B3B"/>
          <w:spacing w:val="-19"/>
          <w:w w:val="110"/>
        </w:rPr>
        <w:t> </w:t>
      </w:r>
      <w:r>
        <w:rPr>
          <w:color w:val="3B3B3B"/>
          <w:w w:val="110"/>
        </w:rPr>
        <w:t>my</w:t>
      </w:r>
      <w:r>
        <w:rPr>
          <w:color w:val="3B3B3B"/>
          <w:spacing w:val="-21"/>
          <w:w w:val="110"/>
        </w:rPr>
        <w:t> </w:t>
      </w:r>
      <w:r>
        <w:rPr>
          <w:color w:val="3B3B3B"/>
          <w:w w:val="110"/>
        </w:rPr>
        <w:t>responsib</w:t>
      </w:r>
      <w:r>
        <w:rPr>
          <w:color w:val="565656"/>
          <w:w w:val="110"/>
        </w:rPr>
        <w:t>i</w:t>
      </w:r>
      <w:r>
        <w:rPr>
          <w:color w:val="3B3B3B"/>
          <w:w w:val="110"/>
        </w:rPr>
        <w:t>lities</w:t>
      </w:r>
      <w:r>
        <w:rPr>
          <w:color w:val="3B3B3B"/>
          <w:spacing w:val="-24"/>
          <w:w w:val="110"/>
        </w:rPr>
        <w:t> </w:t>
      </w:r>
      <w:r>
        <w:rPr>
          <w:color w:val="3B3B3B"/>
          <w:w w:val="110"/>
        </w:rPr>
        <w:t>for</w:t>
      </w:r>
      <w:r>
        <w:rPr>
          <w:color w:val="3B3B3B"/>
          <w:spacing w:val="-19"/>
          <w:w w:val="110"/>
        </w:rPr>
        <w:t> </w:t>
      </w:r>
      <w:r>
        <w:rPr>
          <w:color w:val="232323"/>
          <w:w w:val="110"/>
        </w:rPr>
        <w:t>the</w:t>
      </w:r>
      <w:r>
        <w:rPr>
          <w:color w:val="232323"/>
          <w:spacing w:val="-25"/>
          <w:w w:val="110"/>
        </w:rPr>
        <w:t> </w:t>
      </w:r>
      <w:r>
        <w:rPr>
          <w:color w:val="3B3B3B"/>
          <w:w w:val="110"/>
        </w:rPr>
        <w:t>audit</w:t>
      </w:r>
      <w:r>
        <w:rPr>
          <w:color w:val="3B3B3B"/>
          <w:spacing w:val="-24"/>
          <w:w w:val="110"/>
        </w:rPr>
        <w:t> </w:t>
      </w:r>
      <w:r>
        <w:rPr>
          <w:color w:val="3B3B3B"/>
          <w:w w:val="110"/>
        </w:rPr>
        <w:t>of</w:t>
      </w:r>
      <w:r>
        <w:rPr>
          <w:color w:val="3B3B3B"/>
          <w:spacing w:val="-26"/>
          <w:w w:val="110"/>
        </w:rPr>
        <w:t> </w:t>
      </w:r>
      <w:r>
        <w:rPr>
          <w:color w:val="3B3B3B"/>
          <w:w w:val="110"/>
        </w:rPr>
        <w:t>the</w:t>
      </w:r>
      <w:r>
        <w:rPr>
          <w:color w:val="3B3B3B"/>
          <w:spacing w:val="-19"/>
          <w:w w:val="110"/>
        </w:rPr>
        <w:t> </w:t>
      </w:r>
      <w:r>
        <w:rPr>
          <w:color w:val="3B3B3B"/>
          <w:spacing w:val="-3"/>
          <w:w w:val="110"/>
        </w:rPr>
        <w:t>financ</w:t>
      </w:r>
      <w:r>
        <w:rPr>
          <w:color w:val="565656"/>
          <w:spacing w:val="-3"/>
          <w:w w:val="110"/>
        </w:rPr>
        <w:t>i</w:t>
      </w:r>
      <w:r>
        <w:rPr>
          <w:color w:val="3B3B3B"/>
          <w:spacing w:val="-3"/>
          <w:w w:val="110"/>
        </w:rPr>
        <w:t>al</w:t>
      </w:r>
      <w:r>
        <w:rPr>
          <w:color w:val="3B3B3B"/>
          <w:spacing w:val="-27"/>
          <w:w w:val="110"/>
        </w:rPr>
        <w:t> </w:t>
      </w:r>
      <w:r>
        <w:rPr>
          <w:color w:val="3B3B3B"/>
          <w:w w:val="110"/>
        </w:rPr>
        <w:t>statements</w:t>
      </w:r>
      <w:r>
        <w:rPr>
          <w:color w:val="3B3B3B"/>
          <w:spacing w:val="-14"/>
          <w:w w:val="110"/>
        </w:rPr>
        <w:t> </w:t>
      </w:r>
      <w:r>
        <w:rPr>
          <w:color w:val="3B3B3B"/>
          <w:spacing w:val="-17"/>
          <w:w w:val="110"/>
        </w:rPr>
        <w:t>is</w:t>
      </w:r>
      <w:r>
        <w:rPr>
          <w:color w:val="3B3B3B"/>
          <w:spacing w:val="-23"/>
          <w:w w:val="110"/>
        </w:rPr>
        <w:t> </w:t>
      </w:r>
      <w:r>
        <w:rPr>
          <w:color w:val="3B3B3B"/>
          <w:spacing w:val="-5"/>
          <w:w w:val="110"/>
        </w:rPr>
        <w:t>located</w:t>
      </w:r>
      <w:r>
        <w:rPr>
          <w:color w:val="3B3B3B"/>
          <w:spacing w:val="-21"/>
          <w:w w:val="110"/>
        </w:rPr>
        <w:t> </w:t>
      </w:r>
      <w:r>
        <w:rPr>
          <w:color w:val="3B3B3B"/>
          <w:w w:val="110"/>
        </w:rPr>
        <w:t>at</w:t>
      </w:r>
      <w:r>
        <w:rPr>
          <w:color w:val="3B3B3B"/>
          <w:spacing w:val="-26"/>
          <w:w w:val="110"/>
        </w:rPr>
        <w:t> </w:t>
      </w:r>
      <w:r>
        <w:rPr>
          <w:color w:val="232323"/>
          <w:w w:val="110"/>
        </w:rPr>
        <w:t>the</w:t>
      </w:r>
      <w:r>
        <w:rPr>
          <w:color w:val="232323"/>
          <w:spacing w:val="-25"/>
          <w:w w:val="110"/>
        </w:rPr>
        <w:t> </w:t>
      </w:r>
      <w:r>
        <w:rPr>
          <w:color w:val="3B3B3B"/>
          <w:w w:val="110"/>
        </w:rPr>
        <w:t>Audi</w:t>
      </w:r>
      <w:r>
        <w:rPr>
          <w:color w:val="565656"/>
          <w:w w:val="110"/>
        </w:rPr>
        <w:t>t</w:t>
      </w:r>
      <w:r>
        <w:rPr>
          <w:color w:val="3B3B3B"/>
          <w:w w:val="110"/>
        </w:rPr>
        <w:t>ing </w:t>
      </w:r>
      <w:r>
        <w:rPr>
          <w:color w:val="3B3B3B"/>
          <w:w w:val="105"/>
        </w:rPr>
        <w:t>and</w:t>
      </w:r>
      <w:r>
        <w:rPr>
          <w:color w:val="3B3B3B"/>
          <w:spacing w:val="-14"/>
          <w:w w:val="105"/>
        </w:rPr>
        <w:t> </w:t>
      </w:r>
      <w:r>
        <w:rPr>
          <w:color w:val="3B3B3B"/>
          <w:w w:val="105"/>
        </w:rPr>
        <w:t>Assura</w:t>
      </w:r>
      <w:r>
        <w:rPr>
          <w:color w:val="565656"/>
          <w:w w:val="105"/>
        </w:rPr>
        <w:t>n</w:t>
      </w:r>
      <w:r>
        <w:rPr>
          <w:color w:val="3B3B3B"/>
          <w:w w:val="105"/>
        </w:rPr>
        <w:t>ce</w:t>
      </w:r>
      <w:r>
        <w:rPr>
          <w:color w:val="3B3B3B"/>
          <w:spacing w:val="-11"/>
          <w:w w:val="105"/>
        </w:rPr>
        <w:t> </w:t>
      </w:r>
      <w:r>
        <w:rPr>
          <w:color w:val="3B3B3B"/>
          <w:w w:val="105"/>
        </w:rPr>
        <w:t>Standards</w:t>
      </w:r>
      <w:r>
        <w:rPr>
          <w:color w:val="3B3B3B"/>
          <w:spacing w:val="8"/>
          <w:w w:val="105"/>
        </w:rPr>
        <w:t> </w:t>
      </w:r>
      <w:r>
        <w:rPr>
          <w:color w:val="3B3B3B"/>
          <w:w w:val="105"/>
        </w:rPr>
        <w:t>Board</w:t>
      </w:r>
      <w:r>
        <w:rPr>
          <w:color w:val="3B3B3B"/>
          <w:spacing w:val="-16"/>
          <w:w w:val="105"/>
        </w:rPr>
        <w:t> </w:t>
      </w:r>
      <w:r>
        <w:rPr>
          <w:color w:val="3B3B3B"/>
          <w:w w:val="105"/>
        </w:rPr>
        <w:t>website</w:t>
      </w:r>
      <w:r>
        <w:rPr>
          <w:color w:val="3B3B3B"/>
          <w:spacing w:val="-16"/>
          <w:w w:val="105"/>
        </w:rPr>
        <w:t> </w:t>
      </w:r>
      <w:r>
        <w:rPr>
          <w:color w:val="3B3B3B"/>
          <w:w w:val="105"/>
        </w:rPr>
        <w:t>at:</w:t>
      </w:r>
    </w:p>
    <w:p>
      <w:pPr>
        <w:spacing w:line="264" w:lineRule="auto" w:before="20"/>
        <w:ind w:left="341" w:right="1731" w:firstLine="0"/>
        <w:jc w:val="left"/>
        <w:rPr>
          <w:sz w:val="19"/>
        </w:rPr>
      </w:pPr>
      <w:hyperlink r:id="rId100">
        <w:r>
          <w:rPr>
            <w:color w:val="3B3B3B"/>
            <w:spacing w:val="-5"/>
            <w:w w:val="109"/>
            <w:sz w:val="19"/>
            <w:u w:val="single" w:color="000000"/>
          </w:rPr>
          <w:t>http</w:t>
        </w:r>
        <w:r>
          <w:rPr>
            <w:color w:val="757575"/>
            <w:spacing w:val="-5"/>
            <w:w w:val="109"/>
            <w:sz w:val="19"/>
            <w:u w:val="single" w:color="000000"/>
          </w:rPr>
          <w:t>:</w:t>
        </w:r>
        <w:r>
          <w:rPr>
            <w:color w:val="565656"/>
            <w:spacing w:val="-5"/>
            <w:w w:val="109"/>
            <w:sz w:val="19"/>
            <w:u w:val="single" w:color="000000"/>
          </w:rPr>
          <w:t>//</w:t>
        </w:r>
        <w:r>
          <w:rPr>
            <w:color w:val="3B3B3B"/>
            <w:spacing w:val="-5"/>
            <w:w w:val="109"/>
            <w:sz w:val="19"/>
            <w:u w:val="single" w:color="000000"/>
          </w:rPr>
          <w:t>www</w:t>
        </w:r>
        <w:r>
          <w:rPr>
            <w:color w:val="3B3B3B"/>
            <w:spacing w:val="-46"/>
            <w:w w:val="109"/>
            <w:sz w:val="19"/>
            <w:u w:val="single" w:color="000000"/>
          </w:rPr>
          <w:t> </w:t>
        </w:r>
        <w:r>
          <w:rPr>
            <w:color w:val="565656"/>
            <w:spacing w:val="-4"/>
            <w:w w:val="110"/>
            <w:sz w:val="19"/>
            <w:u w:val="single" w:color="000000"/>
          </w:rPr>
          <w:t>.</w:t>
        </w:r>
        <w:r>
          <w:rPr>
            <w:color w:val="3B3B3B"/>
            <w:spacing w:val="-4"/>
            <w:w w:val="110"/>
            <w:sz w:val="19"/>
            <w:u w:val="single" w:color="000000"/>
          </w:rPr>
          <w:t>auasb</w:t>
        </w:r>
        <w:r>
          <w:rPr>
            <w:color w:val="757575"/>
            <w:spacing w:val="-4"/>
            <w:w w:val="110"/>
            <w:sz w:val="19"/>
            <w:u w:val="single" w:color="000000"/>
          </w:rPr>
          <w:t>.</w:t>
        </w:r>
        <w:r>
          <w:rPr>
            <w:color w:val="565656"/>
            <w:spacing w:val="-4"/>
            <w:w w:val="110"/>
            <w:sz w:val="19"/>
            <w:u w:val="single" w:color="000000"/>
          </w:rPr>
          <w:t>g</w:t>
        </w:r>
        <w:r>
          <w:rPr>
            <w:color w:val="3B3B3B"/>
            <w:spacing w:val="-4"/>
            <w:w w:val="110"/>
            <w:sz w:val="19"/>
            <w:u w:val="single" w:color="000000"/>
          </w:rPr>
          <w:t>ov</w:t>
        </w:r>
        <w:r>
          <w:rPr>
            <w:color w:val="565656"/>
            <w:spacing w:val="-4"/>
            <w:w w:val="110"/>
            <w:sz w:val="19"/>
            <w:u w:val="single" w:color="000000"/>
          </w:rPr>
          <w:t>.</w:t>
        </w:r>
        <w:r>
          <w:rPr>
            <w:color w:val="3B3B3B"/>
            <w:spacing w:val="-4"/>
            <w:w w:val="110"/>
            <w:sz w:val="19"/>
            <w:u w:val="single" w:color="000000"/>
          </w:rPr>
          <w:t>a</w:t>
        </w:r>
        <w:r>
          <w:rPr>
            <w:color w:val="565656"/>
            <w:spacing w:val="-4"/>
            <w:w w:val="110"/>
            <w:sz w:val="19"/>
            <w:u w:val="single" w:color="000000"/>
          </w:rPr>
          <w:t>u/</w:t>
        </w:r>
        <w:r>
          <w:rPr>
            <w:color w:val="3B3B3B"/>
            <w:spacing w:val="-4"/>
            <w:w w:val="110"/>
            <w:sz w:val="19"/>
            <w:u w:val="single" w:color="000000"/>
          </w:rPr>
          <w:t>auditors</w:t>
        </w:r>
        <w:r>
          <w:rPr>
            <w:color w:val="3B3B3B"/>
            <w:spacing w:val="28"/>
            <w:w w:val="110"/>
            <w:sz w:val="19"/>
            <w:u w:val="single" w:color="000000"/>
          </w:rPr>
          <w:t> </w:t>
        </w:r>
        <w:r>
          <w:rPr>
            <w:color w:val="3B3B3B"/>
            <w:spacing w:val="-6"/>
            <w:w w:val="118"/>
            <w:sz w:val="19"/>
            <w:u w:val="single" w:color="000000"/>
          </w:rPr>
          <w:t>respo</w:t>
        </w:r>
        <w:r>
          <w:rPr>
            <w:color w:val="565656"/>
            <w:spacing w:val="-6"/>
            <w:w w:val="118"/>
            <w:sz w:val="19"/>
            <w:u w:val="single" w:color="000000"/>
          </w:rPr>
          <w:t>n</w:t>
        </w:r>
        <w:r>
          <w:rPr>
            <w:color w:val="3B3B3B"/>
            <w:spacing w:val="-6"/>
            <w:w w:val="118"/>
            <w:sz w:val="19"/>
            <w:u w:val="single" w:color="000000"/>
          </w:rPr>
          <w:t>s</w:t>
        </w:r>
        <w:r>
          <w:rPr>
            <w:color w:val="565656"/>
            <w:spacing w:val="-6"/>
            <w:w w:val="118"/>
            <w:sz w:val="19"/>
            <w:u w:val="single" w:color="000000"/>
          </w:rPr>
          <w:t>i</w:t>
        </w:r>
        <w:r>
          <w:rPr>
            <w:color w:val="3B3B3B"/>
            <w:spacing w:val="-6"/>
            <w:w w:val="118"/>
            <w:sz w:val="19"/>
            <w:u w:val="single" w:color="000000"/>
          </w:rPr>
          <w:t>b</w:t>
        </w:r>
        <w:r>
          <w:rPr>
            <w:color w:val="565656"/>
            <w:spacing w:val="-6"/>
            <w:w w:val="118"/>
            <w:sz w:val="19"/>
            <w:u w:val="single" w:color="000000"/>
          </w:rPr>
          <w:t>i</w:t>
        </w:r>
        <w:r>
          <w:rPr>
            <w:color w:val="3B3B3B"/>
            <w:spacing w:val="-6"/>
            <w:w w:val="118"/>
            <w:sz w:val="19"/>
            <w:u w:val="single" w:color="000000"/>
          </w:rPr>
          <w:t>l</w:t>
        </w:r>
        <w:r>
          <w:rPr>
            <w:color w:val="565656"/>
            <w:spacing w:val="-6"/>
            <w:w w:val="118"/>
            <w:sz w:val="19"/>
            <w:u w:val="single" w:color="000000"/>
          </w:rPr>
          <w:t>i</w:t>
        </w:r>
        <w:r>
          <w:rPr>
            <w:color w:val="3B3B3B"/>
            <w:spacing w:val="-6"/>
            <w:w w:val="118"/>
            <w:sz w:val="19"/>
            <w:u w:val="single" w:color="000000"/>
          </w:rPr>
          <w:t>t</w:t>
        </w:r>
        <w:r>
          <w:rPr>
            <w:color w:val="565656"/>
            <w:spacing w:val="-6"/>
            <w:w w:val="118"/>
            <w:sz w:val="19"/>
            <w:u w:val="single" w:color="000000"/>
          </w:rPr>
          <w:t>i</w:t>
        </w:r>
        <w:r>
          <w:rPr>
            <w:color w:val="3B3B3B"/>
            <w:spacing w:val="-6"/>
            <w:w w:val="118"/>
            <w:sz w:val="19"/>
            <w:u w:val="single" w:color="000000"/>
          </w:rPr>
          <w:t>es</w:t>
        </w:r>
        <w:r>
          <w:rPr>
            <w:color w:val="565656"/>
            <w:spacing w:val="-6"/>
            <w:w w:val="118"/>
            <w:sz w:val="19"/>
            <w:u w:val="single" w:color="000000"/>
          </w:rPr>
          <w:t>/</w:t>
        </w:r>
        <w:r>
          <w:rPr>
            <w:color w:val="3B3B3B"/>
            <w:spacing w:val="-6"/>
            <w:w w:val="118"/>
            <w:sz w:val="19"/>
            <w:u w:val="single" w:color="000000"/>
          </w:rPr>
          <w:t>ar4</w:t>
        </w:r>
        <w:r>
          <w:rPr>
            <w:color w:val="757575"/>
            <w:spacing w:val="-6"/>
            <w:w w:val="118"/>
            <w:sz w:val="19"/>
            <w:u w:val="single" w:color="000000"/>
          </w:rPr>
          <w:t>.</w:t>
        </w:r>
        <w:r>
          <w:rPr>
            <w:color w:val="3B3B3B"/>
            <w:spacing w:val="-6"/>
            <w:w w:val="118"/>
            <w:sz w:val="19"/>
            <w:u w:val="single" w:color="000000"/>
          </w:rPr>
          <w:t>pd</w:t>
        </w:r>
        <w:r>
          <w:rPr>
            <w:color w:val="565656"/>
            <w:spacing w:val="-6"/>
            <w:w w:val="118"/>
            <w:sz w:val="19"/>
            <w:u w:val="single" w:color="000000"/>
          </w:rPr>
          <w:t>f</w:t>
        </w:r>
        <w:r>
          <w:rPr>
            <w:color w:val="757575"/>
            <w:spacing w:val="-6"/>
            <w:w w:val="118"/>
            <w:sz w:val="19"/>
          </w:rPr>
          <w:t>.</w:t>
        </w:r>
      </w:hyperlink>
      <w:r>
        <w:rPr>
          <w:color w:val="757575"/>
          <w:spacing w:val="-45"/>
          <w:w w:val="118"/>
          <w:sz w:val="19"/>
        </w:rPr>
        <w:t> </w:t>
      </w:r>
      <w:r>
        <w:rPr>
          <w:color w:val="3B3B3B"/>
          <w:w w:val="104"/>
          <w:sz w:val="19"/>
        </w:rPr>
        <w:t>The</w:t>
      </w:r>
      <w:r>
        <w:rPr>
          <w:color w:val="3B3B3B"/>
          <w:spacing w:val="-21"/>
          <w:w w:val="104"/>
          <w:sz w:val="19"/>
        </w:rPr>
        <w:t> </w:t>
      </w:r>
      <w:r>
        <w:rPr>
          <w:color w:val="3B3B3B"/>
          <w:spacing w:val="-1"/>
          <w:w w:val="104"/>
          <w:sz w:val="19"/>
        </w:rPr>
        <w:t>description</w:t>
      </w:r>
      <w:r>
        <w:rPr>
          <w:color w:val="3B3B3B"/>
          <w:spacing w:val="-21"/>
          <w:w w:val="104"/>
          <w:sz w:val="19"/>
        </w:rPr>
        <w:t> </w:t>
      </w:r>
      <w:r>
        <w:rPr>
          <w:color w:val="3B3B3B"/>
          <w:w w:val="104"/>
          <w:sz w:val="19"/>
        </w:rPr>
        <w:t>forms</w:t>
      </w:r>
      <w:r>
        <w:rPr>
          <w:color w:val="3B3B3B"/>
          <w:spacing w:val="-9"/>
          <w:w w:val="104"/>
          <w:sz w:val="19"/>
        </w:rPr>
        <w:t> </w:t>
      </w:r>
      <w:r>
        <w:rPr>
          <w:color w:val="3B3B3B"/>
          <w:w w:val="104"/>
          <w:sz w:val="19"/>
        </w:rPr>
        <w:t>part</w:t>
      </w:r>
      <w:r>
        <w:rPr>
          <w:color w:val="3B3B3B"/>
          <w:spacing w:val="-28"/>
          <w:w w:val="104"/>
          <w:sz w:val="19"/>
        </w:rPr>
        <w:t> </w:t>
      </w:r>
      <w:r>
        <w:rPr>
          <w:color w:val="3B3B3B"/>
          <w:w w:val="106"/>
          <w:sz w:val="19"/>
        </w:rPr>
        <w:t>of</w:t>
      </w:r>
      <w:r>
        <w:rPr>
          <w:color w:val="3B3B3B"/>
          <w:spacing w:val="-15"/>
          <w:w w:val="106"/>
          <w:sz w:val="19"/>
        </w:rPr>
        <w:t> </w:t>
      </w:r>
      <w:r>
        <w:rPr>
          <w:color w:val="3B3B3B"/>
          <w:w w:val="105"/>
          <w:sz w:val="19"/>
        </w:rPr>
        <w:t>my</w:t>
      </w:r>
      <w:r>
        <w:rPr>
          <w:color w:val="3B3B3B"/>
          <w:spacing w:val="-23"/>
          <w:w w:val="105"/>
          <w:sz w:val="19"/>
        </w:rPr>
        <w:t> </w:t>
      </w:r>
      <w:r>
        <w:rPr>
          <w:color w:val="3B3B3B"/>
          <w:spacing w:val="-2"/>
          <w:w w:val="106"/>
          <w:sz w:val="19"/>
        </w:rPr>
        <w:t>auditor's</w:t>
      </w:r>
      <w:r>
        <w:rPr>
          <w:color w:val="3B3B3B"/>
          <w:w w:val="106"/>
          <w:sz w:val="19"/>
        </w:rPr>
        <w:t> </w:t>
      </w:r>
      <w:r>
        <w:rPr>
          <w:color w:val="3B3B3B"/>
          <w:spacing w:val="2"/>
          <w:w w:val="110"/>
          <w:sz w:val="19"/>
        </w:rPr>
        <w:t>report</w:t>
      </w:r>
      <w:r>
        <w:rPr>
          <w:color w:val="565656"/>
          <w:spacing w:val="2"/>
          <w:w w:val="110"/>
          <w:sz w:val="19"/>
        </w:rPr>
        <w:t>.</w:t>
      </w:r>
      <w:r>
        <w:rPr>
          <w:color w:val="565656"/>
          <w:spacing w:val="14"/>
          <w:w w:val="110"/>
          <w:sz w:val="19"/>
        </w:rPr>
        <w:t> </w:t>
      </w:r>
      <w:r>
        <w:rPr>
          <w:color w:val="CFCFCF"/>
          <w:w w:val="110"/>
          <w:sz w:val="19"/>
        </w:rPr>
        <w:t>,</w:t>
      </w:r>
    </w:p>
    <w:p>
      <w:pPr>
        <w:pStyle w:val="BodyText"/>
        <w:rPr>
          <w:sz w:val="15"/>
        </w:rPr>
      </w:pPr>
    </w:p>
    <w:p>
      <w:pPr>
        <w:spacing w:before="0"/>
        <w:ind w:left="341" w:right="1785" w:firstLine="0"/>
        <w:jc w:val="left"/>
        <w:rPr>
          <w:sz w:val="19"/>
        </w:rPr>
      </w:pPr>
      <w:r>
        <w:rPr>
          <w:color w:val="3B3B3B"/>
          <w:w w:val="105"/>
          <w:sz w:val="19"/>
        </w:rPr>
        <w:t>My op</w:t>
      </w:r>
      <w:r>
        <w:rPr>
          <w:color w:val="565656"/>
          <w:w w:val="105"/>
          <w:sz w:val="19"/>
        </w:rPr>
        <w:t>i</w:t>
      </w:r>
      <w:r>
        <w:rPr>
          <w:color w:val="3B3B3B"/>
          <w:w w:val="105"/>
          <w:sz w:val="19"/>
        </w:rPr>
        <w:t>nion does not provide assurance</w:t>
      </w:r>
      <w:r>
        <w:rPr>
          <w:color w:val="565656"/>
          <w:w w:val="105"/>
          <w:sz w:val="19"/>
        </w:rPr>
        <w:t>:</w:t>
      </w:r>
    </w:p>
    <w:p>
      <w:pPr>
        <w:pStyle w:val="BodyText"/>
        <w:rPr>
          <w:sz w:val="16"/>
        </w:rPr>
      </w:pPr>
    </w:p>
    <w:p>
      <w:pPr>
        <w:spacing w:before="0"/>
        <w:ind w:left="878" w:right="1785" w:firstLine="0"/>
        <w:jc w:val="left"/>
        <w:rPr>
          <w:sz w:val="19"/>
        </w:rPr>
      </w:pPr>
      <w:r>
        <w:rPr>
          <w:color w:val="3B3B3B"/>
          <w:w w:val="105"/>
          <w:sz w:val="19"/>
        </w:rPr>
        <w:t>that</w:t>
      </w:r>
      <w:r>
        <w:rPr>
          <w:color w:val="3B3B3B"/>
          <w:spacing w:val="-5"/>
          <w:sz w:val="19"/>
        </w:rPr>
        <w:t> </w:t>
      </w:r>
      <w:r>
        <w:rPr>
          <w:color w:val="3B3B3B"/>
          <w:w w:val="103"/>
          <w:sz w:val="19"/>
        </w:rPr>
        <w:t>the</w:t>
      </w:r>
      <w:r>
        <w:rPr>
          <w:color w:val="3B3B3B"/>
          <w:spacing w:val="8"/>
          <w:sz w:val="19"/>
        </w:rPr>
        <w:t> </w:t>
      </w:r>
      <w:r>
        <w:rPr>
          <w:color w:val="3B3B3B"/>
          <w:w w:val="101"/>
          <w:sz w:val="19"/>
        </w:rPr>
        <w:t>Company</w:t>
      </w:r>
      <w:r>
        <w:rPr>
          <w:color w:val="3B3B3B"/>
          <w:spacing w:val="20"/>
          <w:sz w:val="19"/>
        </w:rPr>
        <w:t> </w:t>
      </w:r>
      <w:r>
        <w:rPr>
          <w:color w:val="3B3B3B"/>
          <w:w w:val="104"/>
          <w:sz w:val="19"/>
        </w:rPr>
        <w:t>carr</w:t>
      </w:r>
      <w:r>
        <w:rPr>
          <w:color w:val="3B3B3B"/>
          <w:spacing w:val="-4"/>
          <w:w w:val="104"/>
          <w:sz w:val="19"/>
        </w:rPr>
        <w:t>i</w:t>
      </w:r>
      <w:r>
        <w:rPr>
          <w:color w:val="3B3B3B"/>
          <w:w w:val="108"/>
          <w:sz w:val="19"/>
        </w:rPr>
        <w:t>ed</w:t>
      </w:r>
      <w:r>
        <w:rPr>
          <w:color w:val="3B3B3B"/>
          <w:spacing w:val="-5"/>
          <w:sz w:val="19"/>
        </w:rPr>
        <w:t> </w:t>
      </w:r>
      <w:r>
        <w:rPr>
          <w:color w:val="3B3B3B"/>
          <w:w w:val="102"/>
          <w:sz w:val="19"/>
        </w:rPr>
        <w:t>out</w:t>
      </w:r>
      <w:r>
        <w:rPr>
          <w:color w:val="3B3B3B"/>
          <w:spacing w:val="11"/>
          <w:sz w:val="19"/>
        </w:rPr>
        <w:t> </w:t>
      </w:r>
      <w:r>
        <w:rPr>
          <w:color w:val="3B3B3B"/>
          <w:spacing w:val="-34"/>
          <w:w w:val="169"/>
          <w:sz w:val="19"/>
        </w:rPr>
        <w:t>i</w:t>
      </w:r>
      <w:r>
        <w:rPr>
          <w:color w:val="3B3B3B"/>
          <w:w w:val="102"/>
          <w:sz w:val="19"/>
        </w:rPr>
        <w:t>ts</w:t>
      </w:r>
      <w:r>
        <w:rPr>
          <w:color w:val="3B3B3B"/>
          <w:spacing w:val="6"/>
          <w:sz w:val="19"/>
        </w:rPr>
        <w:t> </w:t>
      </w:r>
      <w:r>
        <w:rPr>
          <w:color w:val="3B3B3B"/>
          <w:w w:val="105"/>
          <w:sz w:val="19"/>
        </w:rPr>
        <w:t>act</w:t>
      </w:r>
      <w:r>
        <w:rPr>
          <w:color w:val="3B3B3B"/>
          <w:spacing w:val="-7"/>
          <w:w w:val="105"/>
          <w:sz w:val="19"/>
        </w:rPr>
        <w:t>i</w:t>
      </w:r>
      <w:r>
        <w:rPr>
          <w:color w:val="3B3B3B"/>
          <w:w w:val="107"/>
          <w:sz w:val="19"/>
        </w:rPr>
        <w:t>v</w:t>
      </w:r>
      <w:r>
        <w:rPr>
          <w:color w:val="3B3B3B"/>
          <w:spacing w:val="-5"/>
          <w:w w:val="107"/>
          <w:sz w:val="19"/>
        </w:rPr>
        <w:t>i</w:t>
      </w:r>
      <w:r>
        <w:rPr>
          <w:color w:val="3B3B3B"/>
          <w:w w:val="107"/>
          <w:sz w:val="19"/>
        </w:rPr>
        <w:t>t</w:t>
      </w:r>
      <w:r>
        <w:rPr>
          <w:color w:val="3B3B3B"/>
          <w:spacing w:val="-7"/>
          <w:w w:val="107"/>
          <w:sz w:val="19"/>
        </w:rPr>
        <w:t>i</w:t>
      </w:r>
      <w:r>
        <w:rPr>
          <w:color w:val="3B3B3B"/>
          <w:w w:val="105"/>
          <w:sz w:val="19"/>
        </w:rPr>
        <w:t>es</w:t>
      </w:r>
      <w:r>
        <w:rPr>
          <w:color w:val="3B3B3B"/>
          <w:spacing w:val="3"/>
          <w:sz w:val="19"/>
        </w:rPr>
        <w:t> </w:t>
      </w:r>
      <w:r>
        <w:rPr>
          <w:color w:val="3B3B3B"/>
          <w:w w:val="102"/>
          <w:sz w:val="19"/>
        </w:rPr>
        <w:t>effectiv</w:t>
      </w:r>
      <w:r>
        <w:rPr>
          <w:color w:val="3B3B3B"/>
          <w:spacing w:val="20"/>
          <w:w w:val="102"/>
          <w:sz w:val="19"/>
        </w:rPr>
        <w:t>e</w:t>
      </w:r>
      <w:r>
        <w:rPr>
          <w:color w:val="0F0F0F"/>
          <w:spacing w:val="-10"/>
          <w:w w:val="112"/>
          <w:sz w:val="19"/>
        </w:rPr>
        <w:t>l</w:t>
      </w:r>
      <w:r>
        <w:rPr>
          <w:color w:val="3B3B3B"/>
          <w:spacing w:val="16"/>
          <w:w w:val="94"/>
          <w:sz w:val="19"/>
        </w:rPr>
        <w:t>y</w:t>
      </w:r>
      <w:r>
        <w:rPr>
          <w:color w:val="565656"/>
          <w:w w:val="140"/>
          <w:sz w:val="19"/>
        </w:rPr>
        <w:t>,</w:t>
      </w:r>
      <w:r>
        <w:rPr>
          <w:color w:val="565656"/>
          <w:spacing w:val="-22"/>
          <w:sz w:val="19"/>
        </w:rPr>
        <w:t> </w:t>
      </w:r>
      <w:r>
        <w:rPr>
          <w:color w:val="3B3B3B"/>
          <w:w w:val="101"/>
          <w:sz w:val="19"/>
        </w:rPr>
        <w:t>efficiently</w:t>
      </w:r>
      <w:r>
        <w:rPr>
          <w:color w:val="3B3B3B"/>
          <w:spacing w:val="22"/>
          <w:sz w:val="19"/>
        </w:rPr>
        <w:t> </w:t>
      </w:r>
      <w:r>
        <w:rPr>
          <w:color w:val="3B3B3B"/>
          <w:w w:val="101"/>
          <w:sz w:val="19"/>
        </w:rPr>
        <w:t>and</w:t>
      </w:r>
      <w:r>
        <w:rPr>
          <w:color w:val="3B3B3B"/>
          <w:spacing w:val="7"/>
          <w:sz w:val="19"/>
        </w:rPr>
        <w:t> </w:t>
      </w:r>
      <w:r>
        <w:rPr>
          <w:color w:val="3B3B3B"/>
          <w:w w:val="102"/>
          <w:sz w:val="19"/>
        </w:rPr>
        <w:t>econo</w:t>
      </w:r>
      <w:r>
        <w:rPr>
          <w:color w:val="3B3B3B"/>
          <w:spacing w:val="-22"/>
          <w:w w:val="102"/>
          <w:sz w:val="19"/>
        </w:rPr>
        <w:t>m</w:t>
      </w:r>
      <w:r>
        <w:rPr>
          <w:color w:val="565656"/>
          <w:spacing w:val="-94"/>
          <w:w w:val="227"/>
          <w:sz w:val="19"/>
        </w:rPr>
        <w:t>i</w:t>
      </w:r>
      <w:r>
        <w:rPr>
          <w:color w:val="3B3B3B"/>
          <w:w w:val="105"/>
          <w:sz w:val="19"/>
        </w:rPr>
        <w:t>ca</w:t>
      </w:r>
      <w:r>
        <w:rPr>
          <w:color w:val="3B3B3B"/>
          <w:spacing w:val="1"/>
          <w:w w:val="105"/>
          <w:sz w:val="19"/>
        </w:rPr>
        <w:t>l</w:t>
      </w:r>
      <w:r>
        <w:rPr>
          <w:color w:val="0F0F0F"/>
          <w:spacing w:val="-10"/>
          <w:w w:val="112"/>
          <w:sz w:val="19"/>
        </w:rPr>
        <w:t>l</w:t>
      </w:r>
      <w:r>
        <w:rPr>
          <w:color w:val="3B3B3B"/>
          <w:w w:val="94"/>
          <w:sz w:val="19"/>
        </w:rPr>
        <w:t>y</w:t>
      </w:r>
    </w:p>
    <w:p>
      <w:pPr>
        <w:spacing w:line="252" w:lineRule="auto" w:before="88"/>
        <w:ind w:left="888" w:right="1785" w:firstLine="0"/>
        <w:jc w:val="left"/>
        <w:rPr>
          <w:sz w:val="19"/>
        </w:rPr>
      </w:pPr>
      <w:r>
        <w:rPr>
          <w:color w:val="3B3B3B"/>
          <w:w w:val="105"/>
          <w:sz w:val="19"/>
        </w:rPr>
        <w:t>about the security and controls over the electronic publ</w:t>
      </w:r>
      <w:r>
        <w:rPr>
          <w:color w:val="565656"/>
          <w:w w:val="105"/>
          <w:sz w:val="19"/>
        </w:rPr>
        <w:t>i</w:t>
      </w:r>
      <w:r>
        <w:rPr>
          <w:color w:val="3B3B3B"/>
          <w:w w:val="105"/>
          <w:sz w:val="19"/>
        </w:rPr>
        <w:t>cat</w:t>
      </w:r>
      <w:r>
        <w:rPr>
          <w:color w:val="565656"/>
          <w:w w:val="105"/>
          <w:sz w:val="19"/>
        </w:rPr>
        <w:t>i</w:t>
      </w:r>
      <w:r>
        <w:rPr>
          <w:color w:val="3B3B3B"/>
          <w:w w:val="105"/>
          <w:sz w:val="19"/>
        </w:rPr>
        <w:t>on of the audited financial statements on any webs</w:t>
      </w:r>
      <w:r>
        <w:rPr>
          <w:color w:val="565656"/>
          <w:w w:val="105"/>
          <w:sz w:val="19"/>
        </w:rPr>
        <w:t>i</w:t>
      </w:r>
      <w:r>
        <w:rPr>
          <w:color w:val="3B3B3B"/>
          <w:w w:val="105"/>
          <w:sz w:val="19"/>
        </w:rPr>
        <w:t>te where they may be presented</w:t>
      </w:r>
    </w:p>
    <w:p>
      <w:pPr>
        <w:spacing w:before="78"/>
        <w:ind w:left="888" w:right="0" w:firstLine="0"/>
        <w:jc w:val="left"/>
        <w:rPr>
          <w:sz w:val="19"/>
        </w:rPr>
      </w:pPr>
      <w:r>
        <w:rPr>
          <w:color w:val="3B3B3B"/>
          <w:w w:val="105"/>
          <w:sz w:val="19"/>
        </w:rPr>
        <w:t>about any other information wh</w:t>
      </w:r>
      <w:r>
        <w:rPr>
          <w:color w:val="565656"/>
          <w:w w:val="105"/>
          <w:sz w:val="19"/>
        </w:rPr>
        <w:t>i</w:t>
      </w:r>
      <w:r>
        <w:rPr>
          <w:color w:val="3B3B3B"/>
          <w:w w:val="105"/>
          <w:sz w:val="19"/>
        </w:rPr>
        <w:t>ch may have been hyperlinked to</w:t>
      </w:r>
      <w:r>
        <w:rPr>
          <w:color w:val="565656"/>
          <w:w w:val="105"/>
          <w:sz w:val="19"/>
        </w:rPr>
        <w:t>/</w:t>
      </w:r>
      <w:r>
        <w:rPr>
          <w:color w:val="3B3B3B"/>
          <w:w w:val="105"/>
          <w:sz w:val="19"/>
        </w:rPr>
        <w:t>from the financial statements</w:t>
      </w:r>
      <w:r>
        <w:rPr>
          <w:color w:val="565656"/>
          <w:w w:val="105"/>
          <w:sz w:val="19"/>
        </w:rPr>
        <w:t>.</w:t>
      </w:r>
    </w:p>
    <w:p>
      <w:pPr>
        <w:pStyle w:val="BodyText"/>
        <w:rPr>
          <w:sz w:val="20"/>
        </w:rPr>
      </w:pPr>
    </w:p>
    <w:p>
      <w:pPr>
        <w:pStyle w:val="BodyText"/>
        <w:rPr>
          <w:sz w:val="20"/>
        </w:rPr>
      </w:pPr>
    </w:p>
    <w:p>
      <w:pPr>
        <w:pStyle w:val="BodyText"/>
        <w:rPr>
          <w:sz w:val="20"/>
        </w:rPr>
      </w:pPr>
    </w:p>
    <w:p>
      <w:pPr>
        <w:pStyle w:val="BodyText"/>
        <w:spacing w:before="8"/>
        <w:rPr>
          <w:sz w:val="26"/>
        </w:rPr>
      </w:pPr>
      <w:r>
        <w:rPr/>
        <w:pict>
          <v:group style="position:absolute;margin-left:60.48pt;margin-top:17.34367pt;width:149.8pt;height:17.3pt;mso-position-horizontal-relative:page;mso-position-vertical-relative:paragraph;z-index:4096;mso-wrap-distance-left:0;mso-wrap-distance-right:0" coordorigin="1210,347" coordsize="2996,346">
            <v:shape style="position:absolute;left:1210;top:404;width:653;height:288" type="#_x0000_t75" stroked="false">
              <v:imagedata r:id="rId101" o:title=""/>
            </v:shape>
            <v:shape style="position:absolute;left:3302;top:347;width:902;height:230" type="#_x0000_t75" stroked="false">
              <v:imagedata r:id="rId102" o:title=""/>
            </v:shape>
            <v:line style="position:absolute" from="1862,546" to="3301,546" stroked="true" strokeweight=".959677pt" strokecolor="#2864b8"/>
            <w10:wrap type="topAndBottom"/>
          </v:group>
        </w:pict>
      </w:r>
    </w:p>
    <w:p>
      <w:pPr>
        <w:spacing w:line="252" w:lineRule="auto" w:before="39"/>
        <w:ind w:left="321" w:right="8332" w:firstLine="9"/>
        <w:jc w:val="left"/>
        <w:rPr>
          <w:sz w:val="19"/>
        </w:rPr>
      </w:pPr>
      <w:r>
        <w:rPr>
          <w:color w:val="3B3B3B"/>
          <w:w w:val="105"/>
          <w:sz w:val="19"/>
        </w:rPr>
        <w:t>Margaret Crawford Auditor-General of NSW</w:t>
      </w:r>
    </w:p>
    <w:p>
      <w:pPr>
        <w:tabs>
          <w:tab w:pos="657" w:val="left" w:leader="none"/>
        </w:tabs>
        <w:spacing w:line="247" w:lineRule="auto" w:before="128"/>
        <w:ind w:left="321" w:right="9158" w:hanging="221"/>
        <w:jc w:val="left"/>
        <w:rPr>
          <w:sz w:val="19"/>
        </w:rPr>
      </w:pPr>
      <w:r>
        <w:rPr>
          <w:rFonts w:ascii="Times New Roman"/>
          <w:color w:val="314FA5"/>
          <w:sz w:val="25"/>
        </w:rPr>
        <w:t>'2-</w:t>
        <w:tab/>
      </w:r>
      <w:r>
        <w:rPr>
          <w:color w:val="3B3B3B"/>
          <w:sz w:val="19"/>
        </w:rPr>
        <w:t>March</w:t>
      </w:r>
      <w:r>
        <w:rPr>
          <w:color w:val="3B3B3B"/>
          <w:spacing w:val="17"/>
          <w:sz w:val="19"/>
        </w:rPr>
        <w:t> </w:t>
      </w:r>
      <w:r>
        <w:rPr>
          <w:color w:val="3B3B3B"/>
          <w:sz w:val="19"/>
        </w:rPr>
        <w:t>2018</w:t>
      </w:r>
      <w:r>
        <w:rPr>
          <w:color w:val="3B3B3B"/>
          <w:w w:val="100"/>
          <w:sz w:val="19"/>
        </w:rPr>
        <w:t> </w:t>
      </w:r>
      <w:r>
        <w:rPr>
          <w:color w:val="3B3B3B"/>
          <w:sz w:val="19"/>
        </w:rPr>
        <w:t>SYDNEY</w:t>
      </w:r>
    </w:p>
    <w:p>
      <w:pPr>
        <w:spacing w:after="0" w:line="247" w:lineRule="auto"/>
        <w:jc w:val="left"/>
        <w:rPr>
          <w:sz w:val="19"/>
        </w:rPr>
        <w:sectPr>
          <w:headerReference w:type="default" r:id="rId98"/>
          <w:footerReference w:type="default" r:id="rId99"/>
          <w:pgSz w:w="11900" w:h="16840"/>
          <w:pgMar w:header="0" w:footer="0" w:top="100" w:bottom="40" w:left="106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spacing w:before="77"/>
        <w:ind w:left="3029" w:right="3029"/>
        <w:jc w:val="center"/>
      </w:pPr>
      <w:r>
        <w:rPr/>
        <w:t>This page is intentionally blank</w:t>
      </w:r>
    </w:p>
    <w:p>
      <w:pPr>
        <w:spacing w:after="0"/>
        <w:jc w:val="center"/>
        <w:sectPr>
          <w:headerReference w:type="default" r:id="rId103"/>
          <w:footerReference w:type="default" r:id="rId104"/>
          <w:pgSz w:w="11910" w:h="16840"/>
          <w:pgMar w:header="0" w:footer="306" w:top="1580" w:bottom="500" w:left="168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Heading1"/>
        <w:ind w:left="127"/>
      </w:pPr>
      <w:r>
        <w:rPr/>
        <w:t>Western Sydney University Early Learning Limited</w:t>
      </w:r>
    </w:p>
    <w:p>
      <w:pPr>
        <w:pStyle w:val="Heading3"/>
        <w:spacing w:before="0"/>
        <w:ind w:left="127" w:right="0"/>
      </w:pPr>
      <w:r>
        <w:rPr/>
        <w:t>(formerly UWS Early Learning Limited)</w:t>
      </w:r>
    </w:p>
    <w:p>
      <w:pPr>
        <w:spacing w:before="230"/>
        <w:ind w:left="127" w:right="0" w:firstLine="0"/>
        <w:jc w:val="left"/>
        <w:rPr>
          <w:b/>
          <w:sz w:val="20"/>
        </w:rPr>
      </w:pPr>
      <w:r>
        <w:rPr>
          <w:b/>
          <w:sz w:val="20"/>
        </w:rPr>
        <w:t>ABN 39155993445</w:t>
      </w:r>
    </w:p>
    <w:p>
      <w:pPr>
        <w:pStyle w:val="BodyText"/>
        <w:spacing w:before="10"/>
        <w:rPr>
          <w:b/>
          <w:sz w:val="27"/>
        </w:rPr>
      </w:pPr>
    </w:p>
    <w:p>
      <w:pPr>
        <w:spacing w:before="1"/>
        <w:ind w:left="127" w:right="0" w:firstLine="0"/>
        <w:jc w:val="left"/>
        <w:rPr>
          <w:b/>
          <w:sz w:val="28"/>
        </w:rPr>
      </w:pPr>
      <w:r>
        <w:rPr>
          <w:b/>
          <w:sz w:val="28"/>
        </w:rPr>
        <w:t>Financial Statements</w:t>
      </w:r>
    </w:p>
    <w:p>
      <w:pPr>
        <w:spacing w:before="230"/>
        <w:ind w:left="127" w:right="0" w:firstLine="0"/>
        <w:jc w:val="left"/>
        <w:rPr>
          <w:b/>
          <w:sz w:val="20"/>
        </w:rPr>
      </w:pPr>
      <w:r>
        <w:rPr>
          <w:b/>
          <w:sz w:val="20"/>
        </w:rPr>
        <w:t>For the Year Ended 31 December 2017</w:t>
      </w:r>
    </w:p>
    <w:p>
      <w:pPr>
        <w:pStyle w:val="BodyText"/>
        <w:rPr>
          <w:b/>
          <w:sz w:val="20"/>
        </w:rPr>
      </w:pPr>
    </w:p>
    <w:p>
      <w:pPr>
        <w:pStyle w:val="BodyText"/>
        <w:rPr>
          <w:b/>
          <w:sz w:val="20"/>
        </w:rPr>
      </w:pPr>
    </w:p>
    <w:p>
      <w:pPr>
        <w:pStyle w:val="BodyText"/>
        <w:rPr>
          <w:b/>
          <w:sz w:val="20"/>
        </w:rPr>
      </w:pPr>
    </w:p>
    <w:p>
      <w:pPr>
        <w:pStyle w:val="BodyText"/>
        <w:spacing w:before="11"/>
        <w:rPr>
          <w:b/>
          <w:sz w:val="28"/>
        </w:rPr>
      </w:pPr>
    </w:p>
    <w:p>
      <w:pPr>
        <w:pStyle w:val="BodyText"/>
        <w:ind w:left="118"/>
      </w:pPr>
      <w:r>
        <w:rPr/>
        <w:t>These financial statements are the individual entity statements of Western Sydney University Early Learning Limited (the Company).</w:t>
      </w:r>
    </w:p>
    <w:p>
      <w:pPr>
        <w:pStyle w:val="BodyText"/>
        <w:spacing w:before="6"/>
        <w:rPr>
          <w:sz w:val="14"/>
        </w:rPr>
      </w:pPr>
    </w:p>
    <w:p>
      <w:pPr>
        <w:pStyle w:val="BodyText"/>
        <w:ind w:left="118"/>
      </w:pPr>
      <w:r>
        <w:rPr/>
        <w:t>The Company is a company limited by guarantee, incorporated and domiciled in Australia. The financial statements are presented in Australian currency.</w:t>
      </w:r>
    </w:p>
    <w:p>
      <w:pPr>
        <w:pStyle w:val="BodyText"/>
        <w:spacing w:before="6"/>
        <w:rPr>
          <w:sz w:val="14"/>
        </w:rPr>
      </w:pPr>
    </w:p>
    <w:p>
      <w:pPr>
        <w:pStyle w:val="BodyText"/>
        <w:ind w:left="118"/>
      </w:pPr>
      <w:r>
        <w:rPr/>
        <w:t>Its registered office is:</w:t>
      </w:r>
    </w:p>
    <w:p>
      <w:pPr>
        <w:pStyle w:val="BodyText"/>
        <w:spacing w:before="6"/>
        <w:rPr>
          <w:sz w:val="14"/>
        </w:rPr>
      </w:pPr>
    </w:p>
    <w:p>
      <w:pPr>
        <w:pStyle w:val="BodyText"/>
        <w:spacing w:line="434" w:lineRule="auto"/>
        <w:ind w:left="797" w:right="5024"/>
        <w:jc w:val="both"/>
      </w:pPr>
      <w:r>
        <w:rPr/>
        <w:t>Western Sydney University Early Learning Limited WSU Company Secretary, Entities, Finance Office Building M16 College Drive</w:t>
      </w:r>
    </w:p>
    <w:p>
      <w:pPr>
        <w:pStyle w:val="BodyText"/>
        <w:spacing w:line="434" w:lineRule="auto" w:before="4"/>
        <w:ind w:left="118" w:right="7021" w:firstLine="679"/>
      </w:pPr>
      <w:r>
        <w:rPr/>
        <w:t>Richmond NSW 2753 The principal place of business</w:t>
      </w:r>
      <w:r>
        <w:rPr>
          <w:spacing w:val="4"/>
        </w:rPr>
        <w:t> </w:t>
      </w:r>
      <w:r>
        <w:rPr/>
        <w:t>is:</w:t>
      </w:r>
    </w:p>
    <w:p>
      <w:pPr>
        <w:pStyle w:val="BodyText"/>
        <w:spacing w:line="434" w:lineRule="auto" w:before="4"/>
        <w:ind w:left="797" w:right="6888"/>
        <w:jc w:val="both"/>
      </w:pPr>
      <w:r>
        <w:rPr/>
        <w:t>Western Sydney University Building P18 College Drive Richmond NSW 2753</w:t>
      </w:r>
    </w:p>
    <w:p>
      <w:pPr>
        <w:pStyle w:val="BodyText"/>
      </w:pPr>
    </w:p>
    <w:p>
      <w:pPr>
        <w:pStyle w:val="BodyText"/>
        <w:rPr>
          <w:sz w:val="17"/>
        </w:rPr>
      </w:pPr>
    </w:p>
    <w:p>
      <w:pPr>
        <w:pStyle w:val="BodyText"/>
        <w:ind w:left="118"/>
      </w:pPr>
      <w:r>
        <w:rPr/>
        <w:t>The financial statements were authorised for issue by the Directors on 5 March 2018. The Directors have the power to amend and reissue the financial statements.</w:t>
      </w:r>
    </w:p>
    <w:p>
      <w:pPr>
        <w:spacing w:after="0"/>
        <w:sectPr>
          <w:headerReference w:type="default" r:id="rId105"/>
          <w:footerReference w:type="default" r:id="rId106"/>
          <w:pgSz w:w="11910" w:h="16840"/>
          <w:pgMar w:header="0" w:footer="505" w:top="1580" w:bottom="700" w:left="880" w:right="1160"/>
          <w:pgNumType w:start="175"/>
        </w:sectPr>
      </w:pPr>
    </w:p>
    <w:p>
      <w:pPr>
        <w:pStyle w:val="BodyText"/>
        <w:rPr>
          <w:sz w:val="20"/>
        </w:rPr>
      </w:pPr>
    </w:p>
    <w:p>
      <w:pPr>
        <w:pStyle w:val="BodyText"/>
        <w:rPr>
          <w:sz w:val="20"/>
        </w:rPr>
      </w:pPr>
    </w:p>
    <w:p>
      <w:pPr>
        <w:pStyle w:val="BodyText"/>
        <w:spacing w:before="3"/>
        <w:rPr>
          <w:sz w:val="11"/>
        </w:rPr>
      </w:pPr>
    </w:p>
    <w:p>
      <w:pPr>
        <w:pStyle w:val="BodyText"/>
        <w:ind w:left="4429"/>
        <w:rPr>
          <w:sz w:val="20"/>
        </w:rPr>
      </w:pPr>
      <w:r>
        <w:rPr>
          <w:sz w:val="20"/>
        </w:rPr>
        <w:drawing>
          <wp:inline distT="0" distB="0" distL="0" distR="0">
            <wp:extent cx="1001268" cy="1060703"/>
            <wp:effectExtent l="0" t="0" r="0" b="0"/>
            <wp:docPr id="39" name="image29.jpeg" descr=""/>
            <wp:cNvGraphicFramePr>
              <a:graphicFrameLocks noChangeAspect="1"/>
            </wp:cNvGraphicFramePr>
            <a:graphic>
              <a:graphicData uri="http://schemas.openxmlformats.org/drawingml/2006/picture">
                <pic:pic>
                  <pic:nvPicPr>
                    <pic:cNvPr id="40" name="image29.jpeg"/>
                    <pic:cNvPicPr/>
                  </pic:nvPicPr>
                  <pic:blipFill>
                    <a:blip r:embed="rId109" cstate="print"/>
                    <a:stretch>
                      <a:fillRect/>
                    </a:stretch>
                  </pic:blipFill>
                  <pic:spPr>
                    <a:xfrm>
                      <a:off x="0" y="0"/>
                      <a:ext cx="1001268" cy="1060703"/>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pStyle w:val="Heading8"/>
        <w:spacing w:before="76"/>
        <w:ind w:left="692" w:right="1592"/>
      </w:pPr>
      <w:r>
        <w:rPr/>
        <w:pict>
          <v:line style="position:absolute;mso-position-horizontal-relative:page;mso-position-vertical-relative:paragraph;z-index:4168" from="586.901123pt,440.730592pt" to="586.901123pt,-172.680313pt" stroked="true" strokeweight="1.079855pt" strokecolor="#cccccc">
            <w10:wrap type="none"/>
          </v:line>
        </w:pict>
      </w:r>
      <w:r>
        <w:rPr>
          <w:color w:val="1A1A1A"/>
          <w:w w:val="105"/>
        </w:rPr>
        <w:t>To the Directors</w:t>
      </w:r>
    </w:p>
    <w:p>
      <w:pPr>
        <w:pStyle w:val="BodyText"/>
        <w:spacing w:before="1"/>
        <w:rPr>
          <w:sz w:val="10"/>
        </w:rPr>
      </w:pPr>
    </w:p>
    <w:p>
      <w:pPr>
        <w:spacing w:before="76"/>
        <w:ind w:left="692" w:right="1592" w:firstLine="0"/>
        <w:jc w:val="left"/>
        <w:rPr>
          <w:sz w:val="19"/>
        </w:rPr>
      </w:pPr>
      <w:r>
        <w:rPr>
          <w:color w:val="1A1A1A"/>
          <w:w w:val="105"/>
          <w:sz w:val="19"/>
        </w:rPr>
        <w:t>Western </w:t>
      </w:r>
      <w:r>
        <w:rPr>
          <w:color w:val="2A2A2A"/>
          <w:w w:val="105"/>
          <w:sz w:val="19"/>
        </w:rPr>
        <w:t>Sydney </w:t>
      </w:r>
      <w:r>
        <w:rPr>
          <w:color w:val="0C0C0C"/>
          <w:w w:val="105"/>
          <w:sz w:val="19"/>
        </w:rPr>
        <w:t>Uni</w:t>
      </w:r>
      <w:r>
        <w:rPr>
          <w:color w:val="2A2A2A"/>
          <w:w w:val="105"/>
          <w:sz w:val="19"/>
        </w:rPr>
        <w:t>versity </w:t>
      </w:r>
      <w:r>
        <w:rPr>
          <w:color w:val="1A1A1A"/>
          <w:w w:val="105"/>
          <w:sz w:val="19"/>
        </w:rPr>
        <w:t>Early </w:t>
      </w:r>
      <w:r>
        <w:rPr>
          <w:color w:val="0C0C0C"/>
          <w:w w:val="105"/>
          <w:sz w:val="19"/>
        </w:rPr>
        <w:t>L</w:t>
      </w:r>
      <w:r>
        <w:rPr>
          <w:color w:val="2A2A2A"/>
          <w:w w:val="105"/>
          <w:sz w:val="19"/>
        </w:rPr>
        <w:t>earning </w:t>
      </w:r>
      <w:r>
        <w:rPr>
          <w:color w:val="0C0C0C"/>
          <w:w w:val="105"/>
          <w:sz w:val="19"/>
        </w:rPr>
        <w:t>Li</w:t>
      </w:r>
      <w:r>
        <w:rPr>
          <w:color w:val="2A2A2A"/>
          <w:w w:val="105"/>
          <w:sz w:val="19"/>
        </w:rPr>
        <w:t>mited</w:t>
      </w:r>
    </w:p>
    <w:p>
      <w:pPr>
        <w:pStyle w:val="BodyText"/>
      </w:pPr>
    </w:p>
    <w:p>
      <w:pPr>
        <w:pStyle w:val="BodyText"/>
      </w:pPr>
    </w:p>
    <w:p>
      <w:pPr>
        <w:pStyle w:val="BodyText"/>
        <w:rPr>
          <w:sz w:val="17"/>
        </w:rPr>
      </w:pPr>
    </w:p>
    <w:p>
      <w:pPr>
        <w:spacing w:before="0"/>
        <w:ind w:left="110" w:right="988" w:firstLine="0"/>
        <w:jc w:val="center"/>
        <w:rPr>
          <w:b/>
          <w:sz w:val="22"/>
        </w:rPr>
      </w:pPr>
      <w:r>
        <w:rPr>
          <w:b/>
          <w:color w:val="0C0C0C"/>
          <w:w w:val="105"/>
          <w:sz w:val="22"/>
        </w:rPr>
        <w:t>Auditor's lndepEmdence Declaration</w:t>
      </w:r>
    </w:p>
    <w:p>
      <w:pPr>
        <w:pStyle w:val="BodyText"/>
        <w:rPr>
          <w:b/>
          <w:sz w:val="22"/>
        </w:rPr>
      </w:pPr>
    </w:p>
    <w:p>
      <w:pPr>
        <w:pStyle w:val="BodyText"/>
        <w:spacing w:before="5"/>
        <w:rPr>
          <w:b/>
          <w:sz w:val="30"/>
        </w:rPr>
      </w:pPr>
    </w:p>
    <w:p>
      <w:pPr>
        <w:spacing w:line="264" w:lineRule="auto" w:before="0"/>
        <w:ind w:left="707" w:right="1592" w:hanging="15"/>
        <w:jc w:val="left"/>
        <w:rPr>
          <w:sz w:val="19"/>
        </w:rPr>
      </w:pPr>
      <w:r>
        <w:rPr>
          <w:color w:val="2A2A2A"/>
          <w:w w:val="105"/>
          <w:sz w:val="19"/>
        </w:rPr>
        <w:t>As audi</w:t>
      </w:r>
      <w:r>
        <w:rPr>
          <w:color w:val="0C0C0C"/>
          <w:w w:val="105"/>
          <w:sz w:val="19"/>
        </w:rPr>
        <w:t>t</w:t>
      </w:r>
      <w:r>
        <w:rPr>
          <w:color w:val="2A2A2A"/>
          <w:w w:val="105"/>
          <w:sz w:val="19"/>
        </w:rPr>
        <w:t>or </w:t>
      </w:r>
      <w:r>
        <w:rPr>
          <w:color w:val="1A1A1A"/>
          <w:w w:val="105"/>
          <w:sz w:val="19"/>
        </w:rPr>
        <w:t>for the </w:t>
      </w:r>
      <w:r>
        <w:rPr>
          <w:color w:val="2A2A2A"/>
          <w:w w:val="105"/>
          <w:sz w:val="19"/>
        </w:rPr>
        <w:t>audi</w:t>
      </w:r>
      <w:r>
        <w:rPr>
          <w:color w:val="0C0C0C"/>
          <w:w w:val="105"/>
          <w:sz w:val="19"/>
        </w:rPr>
        <w:t>t </w:t>
      </w:r>
      <w:r>
        <w:rPr>
          <w:color w:val="2A2A2A"/>
          <w:spacing w:val="-4"/>
          <w:w w:val="105"/>
          <w:sz w:val="19"/>
        </w:rPr>
        <w:t>o</w:t>
      </w:r>
      <w:r>
        <w:rPr>
          <w:color w:val="0C0C0C"/>
          <w:spacing w:val="-4"/>
          <w:w w:val="105"/>
          <w:sz w:val="19"/>
        </w:rPr>
        <w:t>f </w:t>
      </w:r>
      <w:r>
        <w:rPr>
          <w:color w:val="0C0C0C"/>
          <w:spacing w:val="2"/>
          <w:w w:val="105"/>
          <w:sz w:val="19"/>
        </w:rPr>
        <w:t>th</w:t>
      </w:r>
      <w:r>
        <w:rPr>
          <w:color w:val="2A2A2A"/>
          <w:spacing w:val="2"/>
          <w:w w:val="105"/>
          <w:sz w:val="19"/>
        </w:rPr>
        <w:t>e </w:t>
      </w:r>
      <w:r>
        <w:rPr>
          <w:color w:val="0C0C0C"/>
          <w:w w:val="105"/>
          <w:sz w:val="19"/>
        </w:rPr>
        <w:t>finan</w:t>
      </w:r>
      <w:r>
        <w:rPr>
          <w:color w:val="2A2A2A"/>
          <w:w w:val="105"/>
          <w:sz w:val="19"/>
        </w:rPr>
        <w:t>cia</w:t>
      </w:r>
      <w:r>
        <w:rPr>
          <w:color w:val="0C0C0C"/>
          <w:w w:val="105"/>
          <w:sz w:val="19"/>
        </w:rPr>
        <w:t>l </w:t>
      </w:r>
      <w:r>
        <w:rPr>
          <w:color w:val="2A2A2A"/>
          <w:w w:val="105"/>
          <w:sz w:val="19"/>
        </w:rPr>
        <w:t>stateme</w:t>
      </w:r>
      <w:r>
        <w:rPr>
          <w:color w:val="0C0C0C"/>
          <w:w w:val="105"/>
          <w:sz w:val="19"/>
        </w:rPr>
        <w:t>nt</w:t>
      </w:r>
      <w:r>
        <w:rPr>
          <w:color w:val="2A2A2A"/>
          <w:w w:val="105"/>
          <w:sz w:val="19"/>
        </w:rPr>
        <w:t>s </w:t>
      </w:r>
      <w:r>
        <w:rPr>
          <w:color w:val="1A1A1A"/>
          <w:w w:val="105"/>
          <w:sz w:val="19"/>
        </w:rPr>
        <w:t>of Western </w:t>
      </w:r>
      <w:r>
        <w:rPr>
          <w:color w:val="2A2A2A"/>
          <w:w w:val="105"/>
          <w:sz w:val="19"/>
        </w:rPr>
        <w:t>Syd</w:t>
      </w:r>
      <w:r>
        <w:rPr>
          <w:color w:val="0C0C0C"/>
          <w:w w:val="105"/>
          <w:sz w:val="19"/>
        </w:rPr>
        <w:t>n</w:t>
      </w:r>
      <w:r>
        <w:rPr>
          <w:color w:val="2A2A2A"/>
          <w:w w:val="105"/>
          <w:sz w:val="19"/>
        </w:rPr>
        <w:t>ey </w:t>
      </w:r>
      <w:r>
        <w:rPr>
          <w:color w:val="0C0C0C"/>
          <w:w w:val="105"/>
          <w:sz w:val="19"/>
        </w:rPr>
        <w:t>U</w:t>
      </w:r>
      <w:r>
        <w:rPr>
          <w:color w:val="2A2A2A"/>
          <w:w w:val="105"/>
          <w:sz w:val="19"/>
        </w:rPr>
        <w:t>n</w:t>
      </w:r>
      <w:r>
        <w:rPr>
          <w:color w:val="0C0C0C"/>
          <w:w w:val="105"/>
          <w:sz w:val="19"/>
        </w:rPr>
        <w:t>i</w:t>
      </w:r>
      <w:r>
        <w:rPr>
          <w:color w:val="2A2A2A"/>
          <w:w w:val="105"/>
          <w:sz w:val="19"/>
        </w:rPr>
        <w:t>ve</w:t>
      </w:r>
      <w:r>
        <w:rPr>
          <w:color w:val="0C0C0C"/>
          <w:w w:val="105"/>
          <w:sz w:val="19"/>
        </w:rPr>
        <w:t>r</w:t>
      </w:r>
      <w:r>
        <w:rPr>
          <w:color w:val="2A2A2A"/>
          <w:w w:val="105"/>
          <w:sz w:val="19"/>
        </w:rPr>
        <w:t>sity </w:t>
      </w:r>
      <w:r>
        <w:rPr>
          <w:color w:val="0C0C0C"/>
          <w:w w:val="105"/>
          <w:sz w:val="19"/>
        </w:rPr>
        <w:t>Earl</w:t>
      </w:r>
      <w:r>
        <w:rPr>
          <w:color w:val="2A2A2A"/>
          <w:w w:val="105"/>
          <w:sz w:val="19"/>
        </w:rPr>
        <w:t>y </w:t>
      </w:r>
      <w:r>
        <w:rPr>
          <w:color w:val="0C0C0C"/>
          <w:w w:val="105"/>
          <w:sz w:val="19"/>
        </w:rPr>
        <w:t>L</w:t>
      </w:r>
      <w:r>
        <w:rPr>
          <w:color w:val="2A2A2A"/>
          <w:w w:val="105"/>
          <w:sz w:val="19"/>
        </w:rPr>
        <w:t>earn</w:t>
      </w:r>
      <w:r>
        <w:rPr>
          <w:color w:val="0C0C0C"/>
          <w:w w:val="105"/>
          <w:sz w:val="19"/>
        </w:rPr>
        <w:t>in</w:t>
      </w:r>
      <w:r>
        <w:rPr>
          <w:color w:val="2A2A2A"/>
          <w:w w:val="105"/>
          <w:sz w:val="19"/>
        </w:rPr>
        <w:t>g </w:t>
      </w:r>
      <w:r>
        <w:rPr>
          <w:color w:val="0C0C0C"/>
          <w:w w:val="105"/>
          <w:sz w:val="19"/>
        </w:rPr>
        <w:t>Limit</w:t>
      </w:r>
      <w:r>
        <w:rPr>
          <w:color w:val="2A2A2A"/>
          <w:w w:val="105"/>
          <w:sz w:val="19"/>
        </w:rPr>
        <w:t>ed</w:t>
      </w:r>
      <w:r>
        <w:rPr>
          <w:color w:val="2A2A2A"/>
          <w:spacing w:val="-7"/>
          <w:w w:val="105"/>
          <w:sz w:val="19"/>
        </w:rPr>
        <w:t> </w:t>
      </w:r>
      <w:r>
        <w:rPr>
          <w:color w:val="1A1A1A"/>
          <w:w w:val="105"/>
          <w:sz w:val="19"/>
        </w:rPr>
        <w:t>for the</w:t>
      </w:r>
      <w:r>
        <w:rPr>
          <w:color w:val="1A1A1A"/>
          <w:spacing w:val="-3"/>
          <w:w w:val="105"/>
          <w:sz w:val="19"/>
        </w:rPr>
        <w:t> </w:t>
      </w:r>
      <w:r>
        <w:rPr>
          <w:color w:val="2A2A2A"/>
          <w:w w:val="105"/>
          <w:sz w:val="19"/>
        </w:rPr>
        <w:t>yea</w:t>
      </w:r>
      <w:r>
        <w:rPr>
          <w:color w:val="2A2A2A"/>
          <w:spacing w:val="-33"/>
          <w:w w:val="105"/>
          <w:sz w:val="19"/>
        </w:rPr>
        <w:t> </w:t>
      </w:r>
      <w:r>
        <w:rPr>
          <w:color w:val="0C0C0C"/>
          <w:w w:val="105"/>
          <w:sz w:val="19"/>
        </w:rPr>
        <w:t>r</w:t>
      </w:r>
      <w:r>
        <w:rPr>
          <w:color w:val="0C0C0C"/>
          <w:spacing w:val="-4"/>
          <w:w w:val="105"/>
          <w:sz w:val="19"/>
        </w:rPr>
        <w:t> </w:t>
      </w:r>
      <w:r>
        <w:rPr>
          <w:color w:val="2A2A2A"/>
          <w:w w:val="105"/>
          <w:sz w:val="19"/>
        </w:rPr>
        <w:t>ended</w:t>
      </w:r>
      <w:r>
        <w:rPr>
          <w:color w:val="2A2A2A"/>
          <w:spacing w:val="6"/>
          <w:w w:val="105"/>
          <w:sz w:val="19"/>
        </w:rPr>
        <w:t> 3</w:t>
      </w:r>
      <w:r>
        <w:rPr>
          <w:color w:val="0C0C0C"/>
          <w:spacing w:val="6"/>
          <w:w w:val="105"/>
          <w:sz w:val="19"/>
        </w:rPr>
        <w:t>1</w:t>
      </w:r>
      <w:r>
        <w:rPr>
          <w:color w:val="0C0C0C"/>
          <w:spacing w:val="-6"/>
          <w:w w:val="105"/>
          <w:sz w:val="19"/>
        </w:rPr>
        <w:t> </w:t>
      </w:r>
      <w:r>
        <w:rPr>
          <w:color w:val="1A1A1A"/>
          <w:w w:val="105"/>
          <w:sz w:val="19"/>
        </w:rPr>
        <w:t>December</w:t>
      </w:r>
      <w:r>
        <w:rPr>
          <w:color w:val="1A1A1A"/>
          <w:spacing w:val="8"/>
          <w:w w:val="105"/>
          <w:sz w:val="19"/>
        </w:rPr>
        <w:t> </w:t>
      </w:r>
      <w:r>
        <w:rPr>
          <w:color w:val="2A2A2A"/>
          <w:spacing w:val="4"/>
          <w:w w:val="105"/>
          <w:sz w:val="19"/>
        </w:rPr>
        <w:t>20</w:t>
      </w:r>
      <w:r>
        <w:rPr>
          <w:color w:val="0C0C0C"/>
          <w:spacing w:val="4"/>
          <w:w w:val="105"/>
          <w:sz w:val="19"/>
        </w:rPr>
        <w:t>17</w:t>
      </w:r>
      <w:r>
        <w:rPr>
          <w:color w:val="2A2A2A"/>
          <w:spacing w:val="4"/>
          <w:w w:val="105"/>
          <w:sz w:val="19"/>
        </w:rPr>
        <w:t>,</w:t>
      </w:r>
      <w:r>
        <w:rPr>
          <w:color w:val="2A2A2A"/>
          <w:spacing w:val="-15"/>
          <w:w w:val="105"/>
          <w:sz w:val="19"/>
        </w:rPr>
        <w:t> </w:t>
      </w:r>
      <w:r>
        <w:rPr>
          <w:color w:val="0C0C0C"/>
          <w:w w:val="130"/>
          <w:sz w:val="19"/>
        </w:rPr>
        <w:t>I</w:t>
      </w:r>
      <w:r>
        <w:rPr>
          <w:color w:val="0C0C0C"/>
          <w:spacing w:val="-40"/>
          <w:w w:val="130"/>
          <w:sz w:val="19"/>
        </w:rPr>
        <w:t> </w:t>
      </w:r>
      <w:r>
        <w:rPr>
          <w:color w:val="1A1A1A"/>
          <w:w w:val="105"/>
          <w:sz w:val="19"/>
        </w:rPr>
        <w:t>declare,</w:t>
      </w:r>
      <w:r>
        <w:rPr>
          <w:color w:val="1A1A1A"/>
          <w:spacing w:val="5"/>
          <w:w w:val="105"/>
          <w:sz w:val="19"/>
        </w:rPr>
        <w:t> </w:t>
      </w:r>
      <w:r>
        <w:rPr>
          <w:color w:val="1A1A1A"/>
          <w:w w:val="105"/>
          <w:sz w:val="19"/>
        </w:rPr>
        <w:t>to</w:t>
      </w:r>
      <w:r>
        <w:rPr>
          <w:color w:val="1A1A1A"/>
          <w:spacing w:val="-11"/>
          <w:w w:val="105"/>
          <w:sz w:val="19"/>
        </w:rPr>
        <w:t> </w:t>
      </w:r>
      <w:r>
        <w:rPr>
          <w:color w:val="0C0C0C"/>
          <w:w w:val="105"/>
          <w:sz w:val="19"/>
        </w:rPr>
        <w:t>th</w:t>
      </w:r>
      <w:r>
        <w:rPr>
          <w:color w:val="2A2A2A"/>
          <w:w w:val="105"/>
          <w:sz w:val="19"/>
        </w:rPr>
        <w:t>e</w:t>
      </w:r>
      <w:r>
        <w:rPr>
          <w:color w:val="2A2A2A"/>
          <w:spacing w:val="-4"/>
          <w:w w:val="105"/>
          <w:sz w:val="19"/>
        </w:rPr>
        <w:t> </w:t>
      </w:r>
      <w:r>
        <w:rPr>
          <w:color w:val="1A1A1A"/>
          <w:w w:val="105"/>
          <w:sz w:val="19"/>
        </w:rPr>
        <w:t>best</w:t>
      </w:r>
      <w:r>
        <w:rPr>
          <w:color w:val="1A1A1A"/>
          <w:spacing w:val="-10"/>
          <w:w w:val="105"/>
          <w:sz w:val="19"/>
        </w:rPr>
        <w:t> </w:t>
      </w:r>
      <w:r>
        <w:rPr>
          <w:color w:val="2A2A2A"/>
          <w:w w:val="105"/>
          <w:sz w:val="19"/>
        </w:rPr>
        <w:t>of</w:t>
      </w:r>
      <w:r>
        <w:rPr>
          <w:color w:val="2A2A2A"/>
          <w:spacing w:val="-1"/>
          <w:w w:val="105"/>
          <w:sz w:val="19"/>
        </w:rPr>
        <w:t> </w:t>
      </w:r>
      <w:r>
        <w:rPr>
          <w:color w:val="1A1A1A"/>
          <w:w w:val="105"/>
          <w:sz w:val="19"/>
        </w:rPr>
        <w:t>my</w:t>
      </w:r>
      <w:r>
        <w:rPr>
          <w:color w:val="1A1A1A"/>
          <w:spacing w:val="-5"/>
          <w:w w:val="105"/>
          <w:sz w:val="19"/>
        </w:rPr>
        <w:t> </w:t>
      </w:r>
      <w:r>
        <w:rPr>
          <w:color w:val="2A2A2A"/>
          <w:w w:val="105"/>
          <w:sz w:val="19"/>
        </w:rPr>
        <w:t>know</w:t>
      </w:r>
      <w:r>
        <w:rPr>
          <w:color w:val="0C0C0C"/>
          <w:w w:val="105"/>
          <w:sz w:val="19"/>
        </w:rPr>
        <w:t>l</w:t>
      </w:r>
      <w:r>
        <w:rPr>
          <w:color w:val="2A2A2A"/>
          <w:w w:val="105"/>
          <w:sz w:val="19"/>
        </w:rPr>
        <w:t>edge</w:t>
      </w:r>
      <w:r>
        <w:rPr>
          <w:color w:val="2A2A2A"/>
          <w:spacing w:val="2"/>
          <w:w w:val="105"/>
          <w:sz w:val="19"/>
        </w:rPr>
        <w:t> </w:t>
      </w:r>
      <w:r>
        <w:rPr>
          <w:color w:val="2A2A2A"/>
          <w:w w:val="105"/>
          <w:sz w:val="19"/>
        </w:rPr>
        <w:t>and </w:t>
      </w:r>
      <w:r>
        <w:rPr>
          <w:color w:val="1A1A1A"/>
          <w:spacing w:val="-4"/>
          <w:w w:val="105"/>
          <w:sz w:val="19"/>
        </w:rPr>
        <w:t>belief</w:t>
      </w:r>
      <w:r>
        <w:rPr>
          <w:color w:val="464646"/>
          <w:spacing w:val="-4"/>
          <w:w w:val="105"/>
          <w:sz w:val="19"/>
        </w:rPr>
        <w:t>,</w:t>
      </w:r>
      <w:r>
        <w:rPr>
          <w:color w:val="464646"/>
          <w:spacing w:val="-15"/>
          <w:w w:val="105"/>
          <w:sz w:val="19"/>
        </w:rPr>
        <w:t> </w:t>
      </w:r>
      <w:r>
        <w:rPr>
          <w:color w:val="464646"/>
          <w:w w:val="105"/>
          <w:sz w:val="19"/>
        </w:rPr>
        <w:t>t</w:t>
      </w:r>
      <w:r>
        <w:rPr>
          <w:color w:val="1A1A1A"/>
          <w:w w:val="105"/>
          <w:sz w:val="19"/>
        </w:rPr>
        <w:t>he</w:t>
      </w:r>
      <w:r>
        <w:rPr>
          <w:color w:val="464646"/>
          <w:w w:val="105"/>
          <w:sz w:val="19"/>
        </w:rPr>
        <w:t>r</w:t>
      </w:r>
      <w:r>
        <w:rPr>
          <w:color w:val="2A2A2A"/>
          <w:w w:val="105"/>
          <w:sz w:val="19"/>
        </w:rPr>
        <w:t>e </w:t>
      </w:r>
      <w:r>
        <w:rPr>
          <w:color w:val="0C0C0C"/>
          <w:spacing w:val="-3"/>
          <w:w w:val="105"/>
          <w:sz w:val="19"/>
        </w:rPr>
        <w:t>h</w:t>
      </w:r>
      <w:r>
        <w:rPr>
          <w:color w:val="2A2A2A"/>
          <w:spacing w:val="-3"/>
          <w:w w:val="105"/>
          <w:sz w:val="19"/>
        </w:rPr>
        <w:t>ave </w:t>
      </w:r>
      <w:r>
        <w:rPr>
          <w:color w:val="1A1A1A"/>
          <w:w w:val="105"/>
          <w:sz w:val="19"/>
        </w:rPr>
        <w:t>been </w:t>
      </w:r>
      <w:r>
        <w:rPr>
          <w:color w:val="0C0C0C"/>
          <w:spacing w:val="-4"/>
          <w:w w:val="105"/>
          <w:sz w:val="19"/>
        </w:rPr>
        <w:t>n</w:t>
      </w:r>
      <w:r>
        <w:rPr>
          <w:color w:val="2A2A2A"/>
          <w:spacing w:val="-4"/>
          <w:w w:val="105"/>
          <w:sz w:val="19"/>
        </w:rPr>
        <w:t>o </w:t>
      </w:r>
      <w:r>
        <w:rPr>
          <w:color w:val="2A2A2A"/>
          <w:w w:val="105"/>
          <w:sz w:val="19"/>
        </w:rPr>
        <w:t>con</w:t>
      </w:r>
      <w:r>
        <w:rPr>
          <w:color w:val="0C0C0C"/>
          <w:w w:val="105"/>
          <w:sz w:val="19"/>
        </w:rPr>
        <w:t>tr</w:t>
      </w:r>
      <w:r>
        <w:rPr>
          <w:color w:val="2A2A2A"/>
          <w:w w:val="105"/>
          <w:sz w:val="19"/>
        </w:rPr>
        <w:t>aven</w:t>
      </w:r>
      <w:r>
        <w:rPr>
          <w:color w:val="0C0C0C"/>
          <w:w w:val="105"/>
          <w:sz w:val="19"/>
        </w:rPr>
        <w:t>ti</w:t>
      </w:r>
      <w:r>
        <w:rPr>
          <w:color w:val="2A2A2A"/>
          <w:w w:val="105"/>
          <w:sz w:val="19"/>
        </w:rPr>
        <w:t>ons of a</w:t>
      </w:r>
      <w:r>
        <w:rPr>
          <w:color w:val="0C0C0C"/>
          <w:w w:val="105"/>
          <w:sz w:val="19"/>
        </w:rPr>
        <w:t>n</w:t>
      </w:r>
      <w:r>
        <w:rPr>
          <w:color w:val="2A2A2A"/>
          <w:w w:val="105"/>
          <w:sz w:val="19"/>
        </w:rPr>
        <w:t>y </w:t>
      </w:r>
      <w:r>
        <w:rPr>
          <w:color w:val="1A1A1A"/>
          <w:w w:val="105"/>
          <w:sz w:val="19"/>
        </w:rPr>
        <w:t>applicable </w:t>
      </w:r>
      <w:r>
        <w:rPr>
          <w:color w:val="2A2A2A"/>
          <w:w w:val="105"/>
          <w:sz w:val="19"/>
        </w:rPr>
        <w:t>code </w:t>
      </w:r>
      <w:r>
        <w:rPr>
          <w:color w:val="1A1A1A"/>
          <w:w w:val="105"/>
          <w:sz w:val="19"/>
        </w:rPr>
        <w:t>of </w:t>
      </w:r>
      <w:r>
        <w:rPr>
          <w:color w:val="2A2A2A"/>
          <w:w w:val="105"/>
          <w:sz w:val="19"/>
        </w:rPr>
        <w:t>pro</w:t>
      </w:r>
      <w:r>
        <w:rPr>
          <w:color w:val="0C0C0C"/>
          <w:w w:val="105"/>
          <w:sz w:val="19"/>
        </w:rPr>
        <w:t>f</w:t>
      </w:r>
      <w:r>
        <w:rPr>
          <w:color w:val="2A2A2A"/>
          <w:w w:val="105"/>
          <w:sz w:val="19"/>
        </w:rPr>
        <w:t>essiona</w:t>
      </w:r>
      <w:r>
        <w:rPr>
          <w:color w:val="0C0C0C"/>
          <w:w w:val="105"/>
          <w:sz w:val="19"/>
        </w:rPr>
        <w:t>l </w:t>
      </w:r>
      <w:r>
        <w:rPr>
          <w:color w:val="2A2A2A"/>
          <w:w w:val="105"/>
          <w:sz w:val="19"/>
        </w:rPr>
        <w:t>condu</w:t>
      </w:r>
      <w:r>
        <w:rPr>
          <w:color w:val="464646"/>
          <w:w w:val="105"/>
          <w:sz w:val="19"/>
        </w:rPr>
        <w:t>c</w:t>
      </w:r>
      <w:r>
        <w:rPr>
          <w:color w:val="0C0C0C"/>
          <w:w w:val="105"/>
          <w:sz w:val="19"/>
        </w:rPr>
        <w:t>t </w:t>
      </w:r>
      <w:r>
        <w:rPr>
          <w:color w:val="0C0C0C"/>
          <w:spacing w:val="3"/>
          <w:w w:val="105"/>
          <w:sz w:val="19"/>
        </w:rPr>
        <w:t>i</w:t>
      </w:r>
      <w:r>
        <w:rPr>
          <w:color w:val="2A2A2A"/>
          <w:spacing w:val="3"/>
          <w:w w:val="105"/>
          <w:sz w:val="19"/>
        </w:rPr>
        <w:t>n </w:t>
      </w:r>
      <w:r>
        <w:rPr>
          <w:color w:val="0C0C0C"/>
          <w:w w:val="105"/>
          <w:sz w:val="19"/>
        </w:rPr>
        <w:t>r</w:t>
      </w:r>
      <w:r>
        <w:rPr>
          <w:color w:val="2A2A2A"/>
          <w:w w:val="105"/>
          <w:sz w:val="19"/>
        </w:rPr>
        <w:t>e</w:t>
      </w:r>
      <w:r>
        <w:rPr>
          <w:color w:val="0C0C0C"/>
          <w:w w:val="105"/>
          <w:sz w:val="19"/>
        </w:rPr>
        <w:t>l</w:t>
      </w:r>
      <w:r>
        <w:rPr>
          <w:color w:val="2A2A2A"/>
          <w:w w:val="105"/>
          <w:sz w:val="19"/>
        </w:rPr>
        <w:t>ation to </w:t>
      </w:r>
      <w:r>
        <w:rPr>
          <w:color w:val="1A1A1A"/>
          <w:w w:val="105"/>
          <w:sz w:val="19"/>
        </w:rPr>
        <w:t>the</w:t>
      </w:r>
      <w:r>
        <w:rPr>
          <w:color w:val="1A1A1A"/>
          <w:spacing w:val="-21"/>
          <w:w w:val="105"/>
          <w:sz w:val="19"/>
        </w:rPr>
        <w:t> </w:t>
      </w:r>
      <w:r>
        <w:rPr>
          <w:color w:val="2A2A2A"/>
          <w:spacing w:val="-3"/>
          <w:w w:val="105"/>
          <w:sz w:val="19"/>
        </w:rPr>
        <w:t>aud</w:t>
      </w:r>
      <w:r>
        <w:rPr>
          <w:color w:val="0C0C0C"/>
          <w:spacing w:val="-3"/>
          <w:w w:val="105"/>
          <w:sz w:val="19"/>
        </w:rPr>
        <w:t>i</w:t>
      </w:r>
      <w:r>
        <w:rPr>
          <w:color w:val="2A2A2A"/>
          <w:spacing w:val="-3"/>
          <w:w w:val="105"/>
          <w:sz w:val="19"/>
        </w:rPr>
        <w:t>t.</w:t>
      </w:r>
    </w:p>
    <w:p>
      <w:pPr>
        <w:pStyle w:val="BodyText"/>
      </w:pPr>
    </w:p>
    <w:p>
      <w:pPr>
        <w:pStyle w:val="BodyText"/>
      </w:pPr>
    </w:p>
    <w:p>
      <w:pPr>
        <w:pStyle w:val="BodyText"/>
      </w:pPr>
    </w:p>
    <w:p>
      <w:pPr>
        <w:pStyle w:val="BodyText"/>
      </w:pPr>
    </w:p>
    <w:p>
      <w:pPr>
        <w:pStyle w:val="BodyText"/>
      </w:pPr>
    </w:p>
    <w:p>
      <w:pPr>
        <w:pStyle w:val="BodyText"/>
        <w:spacing w:before="9"/>
        <w:rPr>
          <w:sz w:val="22"/>
        </w:rPr>
      </w:pPr>
    </w:p>
    <w:p>
      <w:pPr>
        <w:spacing w:before="0"/>
        <w:ind w:left="843" w:right="1592" w:firstLine="0"/>
        <w:jc w:val="left"/>
        <w:rPr>
          <w:rFonts w:ascii="Times New Roman"/>
          <w:sz w:val="38"/>
        </w:rPr>
      </w:pPr>
      <w:r>
        <w:rPr>
          <w:rFonts w:ascii="Times New Roman"/>
          <w:color w:val="153395"/>
          <w:sz w:val="38"/>
          <w:u w:val="thick" w:color="000000"/>
        </w:rPr>
        <w:t> </w:t>
      </w:r>
      <w:r>
        <w:rPr>
          <w:rFonts w:ascii="Times New Roman"/>
          <w:color w:val="153395"/>
          <w:spacing w:val="4"/>
          <w:sz w:val="38"/>
          <w:u w:val="thick" w:color="000000"/>
        </w:rPr>
        <w:t> </w:t>
      </w:r>
      <w:r>
        <w:rPr>
          <w:rFonts w:ascii="Times New Roman"/>
          <w:color w:val="153395"/>
          <w:spacing w:val="-9"/>
          <w:sz w:val="38"/>
        </w:rPr>
        <w:t> </w:t>
      </w:r>
      <w:r>
        <w:rPr>
          <w:rFonts w:ascii="Times New Roman"/>
          <w:color w:val="153395"/>
          <w:spacing w:val="-797"/>
          <w:w w:val="484"/>
          <w:sz w:val="38"/>
        </w:rPr>
        <w:t>-</w:t>
      </w:r>
      <w:r>
        <w:rPr>
          <w:rFonts w:ascii="Times New Roman"/>
          <w:color w:val="153395"/>
          <w:spacing w:val="-553"/>
          <w:w w:val="499"/>
          <w:sz w:val="38"/>
        </w:rPr>
        <w:t>-</w:t>
      </w:r>
      <w:r>
        <w:rPr>
          <w:rFonts w:ascii="Times New Roman"/>
          <w:color w:val="153395"/>
          <w:spacing w:val="-372"/>
          <w:w w:val="153"/>
          <w:sz w:val="38"/>
        </w:rPr>
        <w:t>0</w:t>
      </w:r>
      <w:r>
        <w:rPr>
          <w:rFonts w:ascii="Times New Roman"/>
          <w:color w:val="153395"/>
          <w:w w:val="214"/>
          <w:sz w:val="38"/>
        </w:rPr>
        <w:t>-</w:t>
      </w:r>
      <w:r>
        <w:rPr>
          <w:rFonts w:ascii="Times New Roman"/>
          <w:color w:val="153395"/>
          <w:spacing w:val="-189"/>
          <w:w w:val="214"/>
          <w:sz w:val="38"/>
        </w:rPr>
        <w:t>-</w:t>
      </w:r>
      <w:r>
        <w:rPr>
          <w:rFonts w:ascii="Times New Roman"/>
          <w:color w:val="1D4F9E"/>
          <w:spacing w:val="-269"/>
          <w:w w:val="521"/>
          <w:sz w:val="38"/>
        </w:rPr>
        <w:t>-</w:t>
      </w:r>
      <w:r>
        <w:rPr>
          <w:rFonts w:ascii="Times New Roman"/>
          <w:color w:val="153395"/>
          <w:w w:val="75"/>
          <w:sz w:val="38"/>
        </w:rPr>
        <w:t>0J</w:t>
      </w:r>
    </w:p>
    <w:p>
      <w:pPr>
        <w:pStyle w:val="Heading8"/>
        <w:spacing w:before="78"/>
        <w:ind w:left="692" w:right="1592"/>
      </w:pPr>
      <w:r>
        <w:rPr>
          <w:color w:val="1A1A1A"/>
          <w:w w:val="105"/>
        </w:rPr>
        <w:t>Margaret </w:t>
      </w:r>
      <w:r>
        <w:rPr>
          <w:color w:val="2A2A2A"/>
          <w:w w:val="105"/>
        </w:rPr>
        <w:t>Crawford</w:t>
      </w:r>
    </w:p>
    <w:p>
      <w:pPr>
        <w:spacing w:before="19"/>
        <w:ind w:left="692" w:right="1592" w:firstLine="0"/>
        <w:jc w:val="left"/>
        <w:rPr>
          <w:sz w:val="19"/>
        </w:rPr>
      </w:pPr>
      <w:r>
        <w:rPr>
          <w:color w:val="2A2A2A"/>
          <w:w w:val="105"/>
          <w:sz w:val="19"/>
        </w:rPr>
        <w:t>Aud</w:t>
      </w:r>
      <w:r>
        <w:rPr>
          <w:color w:val="0C0C0C"/>
          <w:w w:val="105"/>
          <w:sz w:val="19"/>
        </w:rPr>
        <w:t>it</w:t>
      </w:r>
      <w:r>
        <w:rPr>
          <w:color w:val="2A2A2A"/>
          <w:w w:val="105"/>
          <w:sz w:val="19"/>
        </w:rPr>
        <w:t>or</w:t>
      </w:r>
      <w:r>
        <w:rPr>
          <w:color w:val="0C0C0C"/>
          <w:w w:val="105"/>
          <w:sz w:val="19"/>
        </w:rPr>
        <w:t>-</w:t>
      </w:r>
      <w:r>
        <w:rPr>
          <w:color w:val="2A2A2A"/>
          <w:w w:val="105"/>
          <w:sz w:val="19"/>
        </w:rPr>
        <w:t>Gene</w:t>
      </w:r>
      <w:r>
        <w:rPr>
          <w:color w:val="0C0C0C"/>
          <w:w w:val="105"/>
          <w:sz w:val="19"/>
        </w:rPr>
        <w:t>r</w:t>
      </w:r>
      <w:r>
        <w:rPr>
          <w:color w:val="2A2A2A"/>
          <w:w w:val="105"/>
          <w:sz w:val="19"/>
        </w:rPr>
        <w:t>a</w:t>
      </w:r>
      <w:r>
        <w:rPr>
          <w:color w:val="0C0C0C"/>
          <w:w w:val="105"/>
          <w:sz w:val="19"/>
        </w:rPr>
        <w:t>l </w:t>
      </w:r>
      <w:r>
        <w:rPr>
          <w:color w:val="2A2A2A"/>
          <w:w w:val="105"/>
          <w:sz w:val="19"/>
        </w:rPr>
        <w:t>o</w:t>
      </w:r>
      <w:r>
        <w:rPr>
          <w:color w:val="0C0C0C"/>
          <w:w w:val="105"/>
          <w:sz w:val="19"/>
        </w:rPr>
        <w:t>f N</w:t>
      </w:r>
      <w:r>
        <w:rPr>
          <w:color w:val="2A2A2A"/>
          <w:w w:val="105"/>
          <w:sz w:val="19"/>
        </w:rPr>
        <w:t>SW</w:t>
      </w:r>
    </w:p>
    <w:p>
      <w:pPr>
        <w:pStyle w:val="BodyText"/>
      </w:pPr>
    </w:p>
    <w:p>
      <w:pPr>
        <w:pStyle w:val="BodyText"/>
      </w:pPr>
    </w:p>
    <w:p>
      <w:pPr>
        <w:pStyle w:val="BodyText"/>
        <w:rPr>
          <w:sz w:val="17"/>
        </w:rPr>
      </w:pPr>
    </w:p>
    <w:p>
      <w:pPr>
        <w:spacing w:line="252" w:lineRule="auto" w:before="0"/>
        <w:ind w:left="692" w:right="9220" w:firstLine="100"/>
        <w:jc w:val="left"/>
        <w:rPr>
          <w:sz w:val="19"/>
        </w:rPr>
      </w:pPr>
      <w:r>
        <w:rPr>
          <w:color w:val="161877"/>
          <w:sz w:val="19"/>
        </w:rPr>
        <w:t>96 </w:t>
      </w:r>
      <w:r>
        <w:rPr>
          <w:color w:val="0C0C0C"/>
          <w:sz w:val="19"/>
        </w:rPr>
        <w:t>M</w:t>
      </w:r>
      <w:r>
        <w:rPr>
          <w:color w:val="2A2A2A"/>
          <w:sz w:val="19"/>
        </w:rPr>
        <w:t>arch 20</w:t>
      </w:r>
      <w:r>
        <w:rPr>
          <w:color w:val="0C0C0C"/>
          <w:sz w:val="19"/>
        </w:rPr>
        <w:t>1</w:t>
      </w:r>
      <w:r>
        <w:rPr>
          <w:color w:val="2A2A2A"/>
          <w:sz w:val="19"/>
        </w:rPr>
        <w:t>8 SYD</w:t>
      </w:r>
      <w:r>
        <w:rPr>
          <w:color w:val="0C0C0C"/>
          <w:sz w:val="19"/>
        </w:rPr>
        <w:t>NEY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4"/>
        </w:rPr>
      </w:pPr>
      <w:r>
        <w:rPr/>
        <w:pict>
          <v:line style="position:absolute;mso-position-horizontal-relative:page;mso-position-vertical-relative:paragraph;z-index:4144;mso-wrap-distance-left:0;mso-wrap-distance-right:0" from="33.475498pt,10.746268pt" to="542.806998pt,10.746268pt" stroked="true" strokeweight=".359952pt" strokecolor="#484848">
            <w10:wrap type="topAndBottom"/>
          </v:line>
        </w:pict>
      </w:r>
    </w:p>
    <w:p>
      <w:pPr>
        <w:spacing w:before="151"/>
        <w:ind w:left="115" w:right="988" w:firstLine="0"/>
        <w:jc w:val="center"/>
        <w:rPr>
          <w:sz w:val="13"/>
        </w:rPr>
      </w:pPr>
      <w:r>
        <w:rPr>
          <w:color w:val="0C0C0C"/>
          <w:spacing w:val="-17"/>
          <w:w w:val="121"/>
          <w:sz w:val="13"/>
        </w:rPr>
        <w:t>L</w:t>
      </w:r>
      <w:r>
        <w:rPr>
          <w:color w:val="464646"/>
          <w:w w:val="109"/>
          <w:sz w:val="13"/>
        </w:rPr>
        <w:t>ev</w:t>
      </w:r>
      <w:r>
        <w:rPr>
          <w:color w:val="464646"/>
          <w:spacing w:val="-1"/>
          <w:w w:val="109"/>
          <w:sz w:val="13"/>
        </w:rPr>
        <w:t>e</w:t>
      </w:r>
      <w:r>
        <w:rPr>
          <w:color w:val="2A2A2A"/>
          <w:w w:val="186"/>
          <w:sz w:val="13"/>
        </w:rPr>
        <w:t>l</w:t>
      </w:r>
      <w:r>
        <w:rPr>
          <w:color w:val="2A2A2A"/>
          <w:spacing w:val="-19"/>
          <w:sz w:val="13"/>
        </w:rPr>
        <w:t> </w:t>
      </w:r>
      <w:r>
        <w:rPr>
          <w:color w:val="1A1A1A"/>
          <w:spacing w:val="-18"/>
          <w:w w:val="123"/>
          <w:sz w:val="13"/>
        </w:rPr>
        <w:t>1</w:t>
      </w:r>
      <w:r>
        <w:rPr>
          <w:color w:val="575757"/>
          <w:w w:val="115"/>
          <w:sz w:val="13"/>
        </w:rPr>
        <w:t>5,</w:t>
      </w:r>
      <w:r>
        <w:rPr>
          <w:color w:val="575757"/>
          <w:spacing w:val="-4"/>
          <w:sz w:val="13"/>
        </w:rPr>
        <w:t> </w:t>
      </w:r>
      <w:r>
        <w:rPr>
          <w:color w:val="1A1A1A"/>
          <w:w w:val="123"/>
          <w:sz w:val="13"/>
        </w:rPr>
        <w:t>1</w:t>
      </w:r>
      <w:r>
        <w:rPr>
          <w:color w:val="1A1A1A"/>
          <w:spacing w:val="-11"/>
          <w:sz w:val="13"/>
        </w:rPr>
        <w:t> </w:t>
      </w:r>
      <w:r>
        <w:rPr>
          <w:color w:val="2A2A2A"/>
          <w:spacing w:val="-1"/>
          <w:w w:val="119"/>
          <w:sz w:val="13"/>
        </w:rPr>
        <w:t>M</w:t>
      </w:r>
      <w:r>
        <w:rPr>
          <w:color w:val="575757"/>
          <w:w w:val="108"/>
          <w:sz w:val="13"/>
        </w:rPr>
        <w:t>ar</w:t>
      </w:r>
      <w:r>
        <w:rPr>
          <w:color w:val="575757"/>
          <w:spacing w:val="-4"/>
          <w:w w:val="108"/>
          <w:sz w:val="13"/>
        </w:rPr>
        <w:t>g</w:t>
      </w:r>
      <w:r>
        <w:rPr>
          <w:color w:val="727272"/>
          <w:spacing w:val="-4"/>
          <w:w w:val="113"/>
          <w:sz w:val="13"/>
        </w:rPr>
        <w:t>a</w:t>
      </w:r>
      <w:r>
        <w:rPr>
          <w:color w:val="464646"/>
          <w:w w:val="110"/>
          <w:sz w:val="13"/>
        </w:rPr>
        <w:t>r</w:t>
      </w:r>
      <w:r>
        <w:rPr>
          <w:color w:val="464646"/>
          <w:spacing w:val="-6"/>
          <w:w w:val="110"/>
          <w:sz w:val="13"/>
        </w:rPr>
        <w:t>e</w:t>
      </w:r>
      <w:r>
        <w:rPr>
          <w:color w:val="2A2A2A"/>
          <w:w w:val="106"/>
          <w:sz w:val="13"/>
        </w:rPr>
        <w:t>t</w:t>
      </w:r>
      <w:r>
        <w:rPr>
          <w:color w:val="2A2A2A"/>
          <w:spacing w:val="11"/>
          <w:sz w:val="13"/>
        </w:rPr>
        <w:t> </w:t>
      </w:r>
      <w:r>
        <w:rPr>
          <w:color w:val="464646"/>
          <w:spacing w:val="-5"/>
          <w:w w:val="104"/>
          <w:sz w:val="13"/>
        </w:rPr>
        <w:t>S</w:t>
      </w:r>
      <w:r>
        <w:rPr>
          <w:color w:val="2A2A2A"/>
          <w:spacing w:val="4"/>
          <w:w w:val="106"/>
          <w:sz w:val="13"/>
        </w:rPr>
        <w:t>t</w:t>
      </w:r>
      <w:r>
        <w:rPr>
          <w:color w:val="464646"/>
          <w:w w:val="105"/>
          <w:sz w:val="13"/>
        </w:rPr>
        <w:t>re</w:t>
      </w:r>
      <w:r>
        <w:rPr>
          <w:color w:val="464646"/>
          <w:spacing w:val="2"/>
          <w:w w:val="105"/>
          <w:sz w:val="13"/>
        </w:rPr>
        <w:t>e</w:t>
      </w:r>
      <w:r>
        <w:rPr>
          <w:color w:val="2A2A2A"/>
          <w:spacing w:val="4"/>
          <w:w w:val="106"/>
          <w:sz w:val="13"/>
        </w:rPr>
        <w:t>t</w:t>
      </w:r>
      <w:r>
        <w:rPr>
          <w:color w:val="464646"/>
          <w:w w:val="154"/>
          <w:sz w:val="13"/>
        </w:rPr>
        <w:t>,</w:t>
      </w:r>
      <w:r>
        <w:rPr>
          <w:color w:val="464646"/>
          <w:spacing w:val="-20"/>
          <w:sz w:val="13"/>
        </w:rPr>
        <w:t> </w:t>
      </w:r>
      <w:r>
        <w:rPr>
          <w:color w:val="464646"/>
          <w:w w:val="102"/>
          <w:sz w:val="13"/>
        </w:rPr>
        <w:t>S</w:t>
      </w:r>
      <w:r>
        <w:rPr>
          <w:color w:val="464646"/>
          <w:spacing w:val="2"/>
          <w:w w:val="102"/>
          <w:sz w:val="13"/>
        </w:rPr>
        <w:t>y</w:t>
      </w:r>
      <w:r>
        <w:rPr>
          <w:color w:val="2A2A2A"/>
          <w:w w:val="118"/>
          <w:sz w:val="13"/>
        </w:rPr>
        <w:t>d</w:t>
      </w:r>
      <w:r>
        <w:rPr>
          <w:color w:val="2A2A2A"/>
          <w:spacing w:val="-7"/>
          <w:w w:val="118"/>
          <w:sz w:val="13"/>
        </w:rPr>
        <w:t>n</w:t>
      </w:r>
      <w:r>
        <w:rPr>
          <w:color w:val="575757"/>
          <w:spacing w:val="5"/>
          <w:w w:val="101"/>
          <w:sz w:val="13"/>
        </w:rPr>
        <w:t>e</w:t>
      </w:r>
      <w:r>
        <w:rPr>
          <w:color w:val="2A2A2A"/>
          <w:w w:val="91"/>
          <w:sz w:val="13"/>
        </w:rPr>
        <w:t>y</w:t>
      </w:r>
      <w:r>
        <w:rPr>
          <w:color w:val="2A2A2A"/>
          <w:sz w:val="13"/>
        </w:rPr>
        <w:t> </w:t>
      </w:r>
      <w:r>
        <w:rPr>
          <w:color w:val="2A2A2A"/>
          <w:spacing w:val="-17"/>
          <w:sz w:val="13"/>
        </w:rPr>
        <w:t> </w:t>
      </w:r>
      <w:r>
        <w:rPr>
          <w:color w:val="2A2A2A"/>
          <w:spacing w:val="-14"/>
          <w:w w:val="105"/>
          <w:sz w:val="13"/>
        </w:rPr>
        <w:t>N</w:t>
      </w:r>
      <w:r>
        <w:rPr>
          <w:color w:val="464646"/>
          <w:spacing w:val="-14"/>
          <w:w w:val="114"/>
          <w:sz w:val="13"/>
        </w:rPr>
        <w:t>S</w:t>
      </w:r>
      <w:r>
        <w:rPr>
          <w:color w:val="2A2A2A"/>
          <w:w w:val="105"/>
          <w:sz w:val="13"/>
        </w:rPr>
        <w:t>W</w:t>
      </w:r>
      <w:r>
        <w:rPr>
          <w:color w:val="2A2A2A"/>
          <w:spacing w:val="13"/>
          <w:sz w:val="13"/>
        </w:rPr>
        <w:t> </w:t>
      </w:r>
      <w:r>
        <w:rPr>
          <w:color w:val="464646"/>
          <w:w w:val="105"/>
          <w:sz w:val="13"/>
        </w:rPr>
        <w:t>20</w:t>
      </w:r>
      <w:r>
        <w:rPr>
          <w:color w:val="464646"/>
          <w:spacing w:val="-7"/>
          <w:w w:val="105"/>
          <w:sz w:val="13"/>
        </w:rPr>
        <w:t>0</w:t>
      </w:r>
      <w:r>
        <w:rPr>
          <w:color w:val="2A2A2A"/>
          <w:w w:val="116"/>
          <w:sz w:val="13"/>
        </w:rPr>
        <w:t>0</w:t>
      </w:r>
      <w:r>
        <w:rPr>
          <w:color w:val="2A2A2A"/>
          <w:sz w:val="13"/>
        </w:rPr>
        <w:t> </w:t>
      </w:r>
      <w:r>
        <w:rPr>
          <w:color w:val="2A2A2A"/>
          <w:spacing w:val="1"/>
          <w:sz w:val="13"/>
        </w:rPr>
        <w:t> </w:t>
      </w:r>
      <w:r>
        <w:rPr>
          <w:color w:val="727272"/>
          <w:w w:val="172"/>
          <w:sz w:val="13"/>
        </w:rPr>
        <w:t>I</w:t>
      </w:r>
      <w:r>
        <w:rPr>
          <w:color w:val="727272"/>
          <w:spacing w:val="2"/>
          <w:sz w:val="13"/>
        </w:rPr>
        <w:t> </w:t>
      </w:r>
      <w:r>
        <w:rPr>
          <w:color w:val="727272"/>
          <w:w w:val="104"/>
          <w:sz w:val="13"/>
        </w:rPr>
        <w:t>GPO</w:t>
      </w:r>
      <w:r>
        <w:rPr>
          <w:color w:val="727272"/>
          <w:spacing w:val="-1"/>
          <w:sz w:val="13"/>
        </w:rPr>
        <w:t> </w:t>
      </w:r>
      <w:r>
        <w:rPr>
          <w:color w:val="727272"/>
          <w:w w:val="102"/>
          <w:sz w:val="13"/>
        </w:rPr>
        <w:t>Box</w:t>
      </w:r>
      <w:r>
        <w:rPr>
          <w:color w:val="727272"/>
          <w:spacing w:val="14"/>
          <w:sz w:val="13"/>
        </w:rPr>
        <w:t> </w:t>
      </w:r>
      <w:r>
        <w:rPr>
          <w:color w:val="575757"/>
          <w:spacing w:val="-10"/>
          <w:w w:val="102"/>
          <w:sz w:val="13"/>
        </w:rPr>
        <w:t>1</w:t>
      </w:r>
      <w:r>
        <w:rPr>
          <w:color w:val="727272"/>
          <w:spacing w:val="4"/>
          <w:w w:val="102"/>
          <w:sz w:val="13"/>
        </w:rPr>
        <w:t>2</w:t>
      </w:r>
      <w:r>
        <w:rPr>
          <w:color w:val="575757"/>
          <w:w w:val="154"/>
          <w:sz w:val="13"/>
        </w:rPr>
        <w:t>,</w:t>
      </w:r>
      <w:r>
        <w:rPr>
          <w:color w:val="575757"/>
          <w:spacing w:val="-20"/>
          <w:sz w:val="13"/>
        </w:rPr>
        <w:t> </w:t>
      </w:r>
      <w:r>
        <w:rPr>
          <w:color w:val="727272"/>
          <w:w w:val="100"/>
          <w:sz w:val="13"/>
        </w:rPr>
        <w:t>Sydn</w:t>
      </w:r>
      <w:r>
        <w:rPr>
          <w:color w:val="727272"/>
          <w:spacing w:val="2"/>
          <w:w w:val="100"/>
          <w:sz w:val="13"/>
        </w:rPr>
        <w:t>e</w:t>
      </w:r>
      <w:r>
        <w:rPr>
          <w:color w:val="575757"/>
          <w:w w:val="91"/>
          <w:sz w:val="13"/>
        </w:rPr>
        <w:t>y</w:t>
      </w:r>
      <w:r>
        <w:rPr>
          <w:color w:val="575757"/>
          <w:spacing w:val="5"/>
          <w:sz w:val="13"/>
        </w:rPr>
        <w:t> </w:t>
      </w:r>
      <w:r>
        <w:rPr>
          <w:color w:val="464646"/>
          <w:spacing w:val="-9"/>
          <w:w w:val="115"/>
          <w:sz w:val="13"/>
        </w:rPr>
        <w:t>N</w:t>
      </w:r>
      <w:r>
        <w:rPr>
          <w:color w:val="727272"/>
          <w:w w:val="97"/>
          <w:sz w:val="13"/>
        </w:rPr>
        <w:t>SW</w:t>
      </w:r>
      <w:r>
        <w:rPr>
          <w:color w:val="727272"/>
          <w:spacing w:val="3"/>
          <w:sz w:val="13"/>
        </w:rPr>
        <w:t> </w:t>
      </w:r>
      <w:r>
        <w:rPr>
          <w:color w:val="727272"/>
          <w:w w:val="107"/>
          <w:sz w:val="13"/>
        </w:rPr>
        <w:t>2001</w:t>
      </w:r>
      <w:r>
        <w:rPr>
          <w:color w:val="727272"/>
          <w:sz w:val="13"/>
        </w:rPr>
        <w:t> </w:t>
      </w:r>
      <w:r>
        <w:rPr>
          <w:color w:val="727272"/>
          <w:spacing w:val="4"/>
          <w:sz w:val="13"/>
        </w:rPr>
        <w:t> </w:t>
      </w:r>
      <w:r>
        <w:rPr>
          <w:color w:val="727272"/>
          <w:w w:val="172"/>
          <w:sz w:val="13"/>
        </w:rPr>
        <w:t>I</w:t>
      </w:r>
      <w:r>
        <w:rPr>
          <w:color w:val="727272"/>
          <w:spacing w:val="9"/>
          <w:sz w:val="13"/>
        </w:rPr>
        <w:t> </w:t>
      </w:r>
      <w:r>
        <w:rPr>
          <w:color w:val="464646"/>
          <w:w w:val="106"/>
          <w:sz w:val="13"/>
        </w:rPr>
        <w:t>t</w:t>
      </w:r>
      <w:r>
        <w:rPr>
          <w:color w:val="464646"/>
          <w:spacing w:val="4"/>
          <w:sz w:val="13"/>
        </w:rPr>
        <w:t> </w:t>
      </w:r>
      <w:r>
        <w:rPr>
          <w:color w:val="727272"/>
          <w:w w:val="111"/>
          <w:sz w:val="13"/>
        </w:rPr>
        <w:t>02</w:t>
      </w:r>
      <w:r>
        <w:rPr>
          <w:color w:val="727272"/>
          <w:spacing w:val="-11"/>
          <w:sz w:val="13"/>
        </w:rPr>
        <w:t> </w:t>
      </w:r>
      <w:r>
        <w:rPr>
          <w:color w:val="727272"/>
          <w:w w:val="108"/>
          <w:sz w:val="13"/>
        </w:rPr>
        <w:t>9275</w:t>
      </w:r>
      <w:r>
        <w:rPr>
          <w:color w:val="727272"/>
          <w:spacing w:val="1"/>
          <w:sz w:val="13"/>
        </w:rPr>
        <w:t> </w:t>
      </w:r>
      <w:r>
        <w:rPr>
          <w:color w:val="727272"/>
          <w:w w:val="103"/>
          <w:sz w:val="13"/>
        </w:rPr>
        <w:t>7101</w:t>
      </w:r>
      <w:r>
        <w:rPr>
          <w:color w:val="727272"/>
          <w:sz w:val="13"/>
        </w:rPr>
        <w:t> </w:t>
      </w:r>
      <w:r>
        <w:rPr>
          <w:color w:val="727272"/>
          <w:spacing w:val="8"/>
          <w:sz w:val="13"/>
        </w:rPr>
        <w:t> </w:t>
      </w:r>
      <w:r>
        <w:rPr>
          <w:color w:val="898989"/>
          <w:w w:val="172"/>
          <w:sz w:val="13"/>
        </w:rPr>
        <w:t>I</w:t>
      </w:r>
      <w:r>
        <w:rPr>
          <w:color w:val="898989"/>
          <w:spacing w:val="2"/>
          <w:sz w:val="13"/>
        </w:rPr>
        <w:t> </w:t>
      </w:r>
      <w:r>
        <w:rPr>
          <w:color w:val="2A2A2A"/>
          <w:w w:val="125"/>
          <w:sz w:val="13"/>
        </w:rPr>
        <w:t>f</w:t>
      </w:r>
      <w:r>
        <w:rPr>
          <w:color w:val="2A2A2A"/>
          <w:spacing w:val="4"/>
          <w:sz w:val="13"/>
        </w:rPr>
        <w:t> </w:t>
      </w:r>
      <w:r>
        <w:rPr>
          <w:color w:val="727272"/>
          <w:w w:val="106"/>
          <w:sz w:val="13"/>
        </w:rPr>
        <w:t>02</w:t>
      </w:r>
      <w:r>
        <w:rPr>
          <w:color w:val="727272"/>
          <w:spacing w:val="-4"/>
          <w:sz w:val="13"/>
        </w:rPr>
        <w:t> </w:t>
      </w:r>
      <w:r>
        <w:rPr>
          <w:color w:val="727272"/>
          <w:w w:val="106"/>
          <w:sz w:val="13"/>
        </w:rPr>
        <w:t>9275</w:t>
      </w:r>
      <w:r>
        <w:rPr>
          <w:color w:val="727272"/>
          <w:spacing w:val="7"/>
          <w:sz w:val="13"/>
        </w:rPr>
        <w:t> </w:t>
      </w:r>
      <w:r>
        <w:rPr>
          <w:color w:val="727272"/>
          <w:spacing w:val="2"/>
          <w:w w:val="105"/>
          <w:sz w:val="13"/>
        </w:rPr>
        <w:t>7</w:t>
      </w:r>
      <w:r>
        <w:rPr>
          <w:color w:val="575757"/>
          <w:spacing w:val="-18"/>
          <w:w w:val="123"/>
          <w:sz w:val="13"/>
        </w:rPr>
        <w:t>1</w:t>
      </w:r>
      <w:r>
        <w:rPr>
          <w:color w:val="898989"/>
          <w:w w:val="105"/>
          <w:sz w:val="13"/>
        </w:rPr>
        <w:t>79</w:t>
      </w:r>
      <w:r>
        <w:rPr>
          <w:color w:val="898989"/>
          <w:sz w:val="13"/>
        </w:rPr>
        <w:t> </w:t>
      </w:r>
      <w:r>
        <w:rPr>
          <w:color w:val="898989"/>
          <w:spacing w:val="4"/>
          <w:sz w:val="13"/>
        </w:rPr>
        <w:t> </w:t>
      </w:r>
      <w:r>
        <w:rPr>
          <w:color w:val="898989"/>
          <w:w w:val="172"/>
          <w:sz w:val="13"/>
        </w:rPr>
        <w:t>I</w:t>
      </w:r>
      <w:r>
        <w:rPr>
          <w:color w:val="898989"/>
          <w:spacing w:val="2"/>
          <w:sz w:val="13"/>
        </w:rPr>
        <w:t> </w:t>
      </w:r>
      <w:r>
        <w:rPr>
          <w:color w:val="727272"/>
          <w:w w:val="113"/>
          <w:sz w:val="13"/>
        </w:rPr>
        <w:t>e</w:t>
      </w:r>
      <w:r>
        <w:rPr>
          <w:color w:val="727272"/>
          <w:spacing w:val="-4"/>
          <w:sz w:val="13"/>
        </w:rPr>
        <w:t> </w:t>
      </w:r>
      <w:r>
        <w:rPr>
          <w:color w:val="727272"/>
          <w:w w:val="106"/>
          <w:sz w:val="13"/>
        </w:rPr>
        <w:t>ma</w:t>
      </w:r>
      <w:r>
        <w:rPr>
          <w:color w:val="727272"/>
          <w:spacing w:val="-9"/>
          <w:w w:val="106"/>
          <w:sz w:val="13"/>
        </w:rPr>
        <w:t>i</w:t>
      </w:r>
      <w:r>
        <w:rPr>
          <w:color w:val="727272"/>
          <w:spacing w:val="-26"/>
          <w:w w:val="186"/>
          <w:sz w:val="13"/>
        </w:rPr>
        <w:t>l</w:t>
      </w:r>
      <w:r>
        <w:rPr>
          <w:color w:val="727272"/>
          <w:w w:val="95"/>
          <w:sz w:val="13"/>
        </w:rPr>
        <w:t>@aud</w:t>
      </w:r>
      <w:r>
        <w:rPr>
          <w:color w:val="727272"/>
          <w:spacing w:val="-10"/>
          <w:w w:val="95"/>
          <w:sz w:val="13"/>
        </w:rPr>
        <w:t>i</w:t>
      </w:r>
      <w:r>
        <w:rPr>
          <w:color w:val="727272"/>
          <w:w w:val="103"/>
          <w:sz w:val="13"/>
        </w:rPr>
        <w:t>t.nsw.</w:t>
      </w:r>
      <w:r>
        <w:rPr>
          <w:color w:val="727272"/>
          <w:w w:val="103"/>
          <w:sz w:val="13"/>
        </w:rPr>
        <w:t>go</w:t>
      </w:r>
      <w:r>
        <w:rPr>
          <w:color w:val="727272"/>
          <w:spacing w:val="-2"/>
          <w:w w:val="103"/>
          <w:sz w:val="13"/>
        </w:rPr>
        <w:t>v</w:t>
      </w:r>
      <w:r>
        <w:rPr>
          <w:color w:val="575757"/>
          <w:spacing w:val="-18"/>
          <w:w w:val="108"/>
          <w:sz w:val="13"/>
        </w:rPr>
        <w:t>.</w:t>
      </w:r>
      <w:r>
        <w:rPr>
          <w:color w:val="898989"/>
          <w:spacing w:val="-9"/>
          <w:w w:val="101"/>
          <w:sz w:val="13"/>
        </w:rPr>
        <w:t>a</w:t>
      </w:r>
      <w:r>
        <w:rPr>
          <w:color w:val="575757"/>
          <w:w w:val="116"/>
          <w:sz w:val="13"/>
        </w:rPr>
        <w:t>u</w:t>
      </w:r>
      <w:r>
        <w:rPr>
          <w:color w:val="575757"/>
          <w:sz w:val="13"/>
        </w:rPr>
        <w:t> </w:t>
      </w:r>
      <w:r>
        <w:rPr>
          <w:color w:val="575757"/>
          <w:spacing w:val="-13"/>
          <w:sz w:val="13"/>
        </w:rPr>
        <w:t> </w:t>
      </w:r>
      <w:r>
        <w:rPr>
          <w:color w:val="727272"/>
          <w:w w:val="230"/>
          <w:sz w:val="13"/>
        </w:rPr>
        <w:t>I</w:t>
      </w:r>
      <w:r>
        <w:rPr>
          <w:color w:val="727272"/>
          <w:spacing w:val="-5"/>
          <w:sz w:val="13"/>
        </w:rPr>
        <w:t> </w:t>
      </w:r>
      <w:r>
        <w:rPr>
          <w:color w:val="464646"/>
          <w:spacing w:val="-11"/>
          <w:w w:val="113"/>
          <w:sz w:val="13"/>
        </w:rPr>
        <w:t>a</w:t>
      </w:r>
      <w:r>
        <w:rPr>
          <w:color w:val="2A2A2A"/>
          <w:spacing w:val="-8"/>
          <w:w w:val="129"/>
          <w:sz w:val="13"/>
        </w:rPr>
        <w:t>u</w:t>
      </w:r>
      <w:r>
        <w:rPr>
          <w:color w:val="464646"/>
          <w:w w:val="112"/>
          <w:sz w:val="13"/>
        </w:rPr>
        <w:t>di</w:t>
      </w:r>
      <w:r>
        <w:rPr>
          <w:color w:val="1A1A1A"/>
          <w:w w:val="107"/>
          <w:sz w:val="13"/>
        </w:rPr>
        <w:t>t</w:t>
      </w:r>
      <w:r>
        <w:rPr>
          <w:color w:val="1A1A1A"/>
          <w:spacing w:val="8"/>
          <w:w w:val="107"/>
          <w:sz w:val="13"/>
        </w:rPr>
        <w:t>.</w:t>
      </w:r>
      <w:r>
        <w:rPr>
          <w:color w:val="464646"/>
          <w:w w:val="108"/>
          <w:sz w:val="13"/>
        </w:rPr>
        <w:t>n</w:t>
      </w:r>
      <w:r>
        <w:rPr>
          <w:color w:val="464646"/>
          <w:spacing w:val="-6"/>
          <w:w w:val="108"/>
          <w:sz w:val="13"/>
        </w:rPr>
        <w:t>s</w:t>
      </w:r>
      <w:r>
        <w:rPr>
          <w:color w:val="2A2A2A"/>
          <w:w w:val="106"/>
          <w:sz w:val="13"/>
        </w:rPr>
        <w:t>w</w:t>
      </w:r>
      <w:r>
        <w:rPr>
          <w:color w:val="0C0C0C"/>
          <w:spacing w:val="-24"/>
          <w:w w:val="163"/>
          <w:sz w:val="13"/>
        </w:rPr>
        <w:t>.</w:t>
      </w:r>
      <w:r>
        <w:rPr>
          <w:color w:val="464646"/>
          <w:w w:val="108"/>
          <w:sz w:val="13"/>
        </w:rPr>
        <w:t>g</w:t>
      </w:r>
      <w:r>
        <w:rPr>
          <w:color w:val="464646"/>
          <w:spacing w:val="8"/>
          <w:w w:val="108"/>
          <w:sz w:val="13"/>
        </w:rPr>
        <w:t>o</w:t>
      </w:r>
      <w:r>
        <w:rPr>
          <w:color w:val="2A2A2A"/>
          <w:spacing w:val="-9"/>
          <w:w w:val="102"/>
          <w:sz w:val="13"/>
        </w:rPr>
        <w:t>v</w:t>
      </w:r>
      <w:r>
        <w:rPr>
          <w:color w:val="464646"/>
          <w:spacing w:val="-37"/>
          <w:w w:val="219"/>
          <w:sz w:val="13"/>
        </w:rPr>
        <w:t>.</w:t>
      </w:r>
      <w:r>
        <w:rPr>
          <w:color w:val="464646"/>
          <w:w w:val="107"/>
          <w:sz w:val="13"/>
        </w:rPr>
        <w:t>au</w:t>
      </w:r>
    </w:p>
    <w:p>
      <w:pPr>
        <w:spacing w:after="0"/>
        <w:jc w:val="center"/>
        <w:rPr>
          <w:sz w:val="13"/>
        </w:rPr>
        <w:sectPr>
          <w:headerReference w:type="default" r:id="rId107"/>
          <w:footerReference w:type="default" r:id="rId108"/>
          <w:pgSz w:w="11900" w:h="16840"/>
          <w:pgMar w:header="0" w:footer="512" w:top="80" w:bottom="700" w:left="560" w:right="40"/>
          <w:pgNumType w:start="176"/>
        </w:sectPr>
      </w:pPr>
    </w:p>
    <w:p>
      <w:pPr>
        <w:pStyle w:val="BodyText"/>
        <w:spacing w:before="7"/>
        <w:rPr>
          <w:sz w:val="23"/>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540"/>
        <w:gridCol w:w="1815"/>
        <w:gridCol w:w="1452"/>
        <w:gridCol w:w="1140"/>
      </w:tblGrid>
      <w:tr>
        <w:trPr>
          <w:trHeight w:val="833" w:hRule="exact"/>
        </w:trPr>
        <w:tc>
          <w:tcPr>
            <w:tcW w:w="5540" w:type="dxa"/>
          </w:tcPr>
          <w:p>
            <w:pPr>
              <w:pStyle w:val="TableParagraph"/>
              <w:spacing w:before="69"/>
              <w:ind w:left="35"/>
              <w:rPr>
                <w:b/>
                <w:sz w:val="24"/>
              </w:rPr>
            </w:pPr>
            <w:bookmarkStart w:name="Statement of Comprehensive Income" w:id="177"/>
            <w:bookmarkEnd w:id="177"/>
            <w:r>
              <w:rPr/>
            </w:r>
            <w:r>
              <w:rPr>
                <w:b/>
                <w:sz w:val="24"/>
              </w:rPr>
              <w:t>Statement of Comprehensive Income</w:t>
            </w:r>
          </w:p>
          <w:p>
            <w:pPr>
              <w:pStyle w:val="TableParagraph"/>
              <w:spacing w:before="54"/>
              <w:ind w:left="35"/>
              <w:rPr>
                <w:b/>
                <w:sz w:val="22"/>
              </w:rPr>
            </w:pPr>
            <w:r>
              <w:rPr>
                <w:b/>
                <w:sz w:val="22"/>
              </w:rPr>
              <w:t>For the year ended 31 December 2017</w:t>
            </w:r>
          </w:p>
        </w:tc>
        <w:tc>
          <w:tcPr>
            <w:tcW w:w="4407" w:type="dxa"/>
            <w:gridSpan w:val="3"/>
          </w:tcPr>
          <w:p>
            <w:pPr/>
          </w:p>
        </w:tc>
      </w:tr>
      <w:tr>
        <w:trPr>
          <w:trHeight w:val="411" w:hRule="exact"/>
        </w:trPr>
        <w:tc>
          <w:tcPr>
            <w:tcW w:w="5540" w:type="dxa"/>
          </w:tcPr>
          <w:p>
            <w:pPr/>
          </w:p>
        </w:tc>
        <w:tc>
          <w:tcPr>
            <w:tcW w:w="1815" w:type="dxa"/>
          </w:tcPr>
          <w:p>
            <w:pPr/>
          </w:p>
        </w:tc>
        <w:tc>
          <w:tcPr>
            <w:tcW w:w="1452" w:type="dxa"/>
          </w:tcPr>
          <w:p>
            <w:pPr>
              <w:pStyle w:val="TableParagraph"/>
              <w:spacing w:before="161"/>
              <w:ind w:left="443"/>
              <w:rPr>
                <w:b/>
                <w:sz w:val="18"/>
              </w:rPr>
            </w:pPr>
            <w:r>
              <w:rPr>
                <w:b/>
                <w:sz w:val="18"/>
              </w:rPr>
              <w:t>2017</w:t>
            </w:r>
          </w:p>
        </w:tc>
        <w:tc>
          <w:tcPr>
            <w:tcW w:w="1140" w:type="dxa"/>
          </w:tcPr>
          <w:p>
            <w:pPr>
              <w:pStyle w:val="TableParagraph"/>
              <w:spacing w:before="161"/>
              <w:ind w:left="287"/>
              <w:rPr>
                <w:b/>
                <w:sz w:val="18"/>
              </w:rPr>
            </w:pPr>
            <w:r>
              <w:rPr>
                <w:b/>
                <w:sz w:val="18"/>
              </w:rPr>
              <w:t>2016</w:t>
            </w:r>
          </w:p>
        </w:tc>
      </w:tr>
      <w:tr>
        <w:trPr>
          <w:trHeight w:val="313" w:hRule="exact"/>
        </w:trPr>
        <w:tc>
          <w:tcPr>
            <w:tcW w:w="5540" w:type="dxa"/>
          </w:tcPr>
          <w:p>
            <w:pPr/>
          </w:p>
        </w:tc>
        <w:tc>
          <w:tcPr>
            <w:tcW w:w="1815" w:type="dxa"/>
          </w:tcPr>
          <w:p>
            <w:pPr>
              <w:pStyle w:val="TableParagraph"/>
              <w:spacing w:before="24"/>
              <w:ind w:left="1255" w:right="19"/>
              <w:jc w:val="center"/>
              <w:rPr>
                <w:b/>
                <w:sz w:val="18"/>
              </w:rPr>
            </w:pPr>
            <w:r>
              <w:rPr>
                <w:b/>
                <w:sz w:val="18"/>
              </w:rPr>
              <w:t>Notes</w:t>
            </w:r>
          </w:p>
        </w:tc>
        <w:tc>
          <w:tcPr>
            <w:tcW w:w="1452" w:type="dxa"/>
          </w:tcPr>
          <w:p>
            <w:pPr>
              <w:pStyle w:val="TableParagraph"/>
              <w:spacing w:before="24"/>
              <w:ind w:right="159"/>
              <w:jc w:val="center"/>
              <w:rPr>
                <w:b/>
                <w:sz w:val="18"/>
              </w:rPr>
            </w:pPr>
            <w:r>
              <w:rPr>
                <w:b/>
                <w:w w:val="99"/>
                <w:sz w:val="18"/>
              </w:rPr>
              <w:t>$</w:t>
            </w:r>
          </w:p>
        </w:tc>
        <w:tc>
          <w:tcPr>
            <w:tcW w:w="1140" w:type="dxa"/>
          </w:tcPr>
          <w:p>
            <w:pPr>
              <w:pStyle w:val="TableParagraph"/>
              <w:spacing w:before="24"/>
              <w:ind w:right="159"/>
              <w:jc w:val="center"/>
              <w:rPr>
                <w:b/>
                <w:sz w:val="18"/>
              </w:rPr>
            </w:pPr>
            <w:r>
              <w:rPr>
                <w:b/>
                <w:w w:val="99"/>
                <w:sz w:val="18"/>
              </w:rPr>
              <w:t>$</w:t>
            </w:r>
          </w:p>
        </w:tc>
      </w:tr>
      <w:tr>
        <w:trPr>
          <w:trHeight w:val="542" w:hRule="exact"/>
        </w:trPr>
        <w:tc>
          <w:tcPr>
            <w:tcW w:w="5540" w:type="dxa"/>
          </w:tcPr>
          <w:p>
            <w:pPr>
              <w:pStyle w:val="TableParagraph"/>
              <w:spacing w:before="63"/>
              <w:ind w:left="61"/>
              <w:rPr>
                <w:b/>
                <w:sz w:val="18"/>
              </w:rPr>
            </w:pPr>
            <w:r>
              <w:rPr>
                <w:b/>
                <w:sz w:val="18"/>
              </w:rPr>
              <w:t>Revenue</w:t>
            </w:r>
          </w:p>
          <w:p>
            <w:pPr>
              <w:pStyle w:val="TableParagraph"/>
              <w:spacing w:before="26"/>
              <w:ind w:left="61"/>
              <w:rPr>
                <w:sz w:val="18"/>
              </w:rPr>
            </w:pPr>
            <w:r>
              <w:rPr>
                <w:sz w:val="18"/>
              </w:rPr>
              <w:t>Child Care Services</w:t>
            </w:r>
          </w:p>
        </w:tc>
        <w:tc>
          <w:tcPr>
            <w:tcW w:w="1815" w:type="dxa"/>
          </w:tcPr>
          <w:p>
            <w:pPr/>
          </w:p>
        </w:tc>
        <w:tc>
          <w:tcPr>
            <w:tcW w:w="1452" w:type="dxa"/>
          </w:tcPr>
          <w:p>
            <w:pPr>
              <w:pStyle w:val="TableParagraph"/>
              <w:spacing w:before="11"/>
              <w:rPr>
                <w:sz w:val="25"/>
              </w:rPr>
            </w:pPr>
          </w:p>
          <w:p>
            <w:pPr>
              <w:pStyle w:val="TableParagraph"/>
              <w:ind w:right="243"/>
              <w:jc w:val="right"/>
              <w:rPr>
                <w:b/>
                <w:sz w:val="18"/>
              </w:rPr>
            </w:pPr>
            <w:r>
              <w:rPr>
                <w:b/>
                <w:w w:val="95"/>
                <w:sz w:val="18"/>
              </w:rPr>
              <w:t>6,771,921</w:t>
            </w:r>
          </w:p>
        </w:tc>
        <w:tc>
          <w:tcPr>
            <w:tcW w:w="1140" w:type="dxa"/>
          </w:tcPr>
          <w:p>
            <w:pPr>
              <w:pStyle w:val="TableParagraph"/>
              <w:spacing w:before="11"/>
              <w:rPr>
                <w:sz w:val="25"/>
              </w:rPr>
            </w:pPr>
          </w:p>
          <w:p>
            <w:pPr>
              <w:pStyle w:val="TableParagraph"/>
              <w:ind w:left="244"/>
              <w:rPr>
                <w:sz w:val="18"/>
              </w:rPr>
            </w:pPr>
            <w:r>
              <w:rPr>
                <w:sz w:val="18"/>
              </w:rPr>
              <w:t>6,209,422</w:t>
            </w:r>
          </w:p>
        </w:tc>
      </w:tr>
      <w:tr>
        <w:trPr>
          <w:trHeight w:val="264" w:hRule="exact"/>
        </w:trPr>
        <w:tc>
          <w:tcPr>
            <w:tcW w:w="5540" w:type="dxa"/>
          </w:tcPr>
          <w:p>
            <w:pPr>
              <w:pStyle w:val="TableParagraph"/>
              <w:spacing w:before="18"/>
              <w:ind w:left="61"/>
              <w:rPr>
                <w:sz w:val="18"/>
              </w:rPr>
            </w:pPr>
            <w:r>
              <w:rPr>
                <w:sz w:val="18"/>
              </w:rPr>
              <w:t>Interest</w:t>
            </w:r>
          </w:p>
        </w:tc>
        <w:tc>
          <w:tcPr>
            <w:tcW w:w="1815" w:type="dxa"/>
          </w:tcPr>
          <w:p>
            <w:pPr/>
          </w:p>
        </w:tc>
        <w:tc>
          <w:tcPr>
            <w:tcW w:w="1452" w:type="dxa"/>
          </w:tcPr>
          <w:p>
            <w:pPr>
              <w:pStyle w:val="TableParagraph"/>
              <w:spacing w:before="20"/>
              <w:ind w:right="243"/>
              <w:jc w:val="right"/>
              <w:rPr>
                <w:b/>
                <w:sz w:val="18"/>
              </w:rPr>
            </w:pPr>
            <w:r>
              <w:rPr>
                <w:b/>
                <w:w w:val="95"/>
                <w:sz w:val="18"/>
              </w:rPr>
              <w:t>50,563</w:t>
            </w:r>
          </w:p>
        </w:tc>
        <w:tc>
          <w:tcPr>
            <w:tcW w:w="1140" w:type="dxa"/>
          </w:tcPr>
          <w:p>
            <w:pPr>
              <w:pStyle w:val="TableParagraph"/>
              <w:spacing w:before="20"/>
              <w:ind w:right="87"/>
              <w:jc w:val="right"/>
              <w:rPr>
                <w:sz w:val="18"/>
              </w:rPr>
            </w:pPr>
            <w:r>
              <w:rPr>
                <w:w w:val="95"/>
                <w:sz w:val="18"/>
              </w:rPr>
              <w:t>37,479</w:t>
            </w:r>
          </w:p>
        </w:tc>
      </w:tr>
      <w:tr>
        <w:trPr>
          <w:trHeight w:val="262" w:hRule="exact"/>
        </w:trPr>
        <w:tc>
          <w:tcPr>
            <w:tcW w:w="5540" w:type="dxa"/>
          </w:tcPr>
          <w:p>
            <w:pPr>
              <w:pStyle w:val="TableParagraph"/>
              <w:spacing w:before="18"/>
              <w:ind w:left="61"/>
              <w:rPr>
                <w:sz w:val="18"/>
              </w:rPr>
            </w:pPr>
            <w:r>
              <w:rPr>
                <w:sz w:val="18"/>
              </w:rPr>
              <w:t>Other Revenue</w:t>
            </w:r>
          </w:p>
        </w:tc>
        <w:tc>
          <w:tcPr>
            <w:tcW w:w="1815" w:type="dxa"/>
          </w:tcPr>
          <w:p>
            <w:pPr>
              <w:pStyle w:val="TableParagraph"/>
              <w:spacing w:before="20"/>
              <w:ind w:left="1233"/>
              <w:jc w:val="center"/>
              <w:rPr>
                <w:sz w:val="18"/>
              </w:rPr>
            </w:pPr>
            <w:r>
              <w:rPr>
                <w:w w:val="99"/>
                <w:sz w:val="18"/>
              </w:rPr>
              <w:t>2</w:t>
            </w:r>
          </w:p>
        </w:tc>
        <w:tc>
          <w:tcPr>
            <w:tcW w:w="1452" w:type="dxa"/>
            <w:tcBorders>
              <w:bottom w:val="single" w:sz="1" w:space="0" w:color="000000"/>
            </w:tcBorders>
          </w:tcPr>
          <w:p>
            <w:pPr>
              <w:pStyle w:val="TableParagraph"/>
              <w:spacing w:before="20"/>
              <w:ind w:right="243"/>
              <w:jc w:val="right"/>
              <w:rPr>
                <w:b/>
                <w:sz w:val="18"/>
              </w:rPr>
            </w:pPr>
            <w:r>
              <w:rPr>
                <w:b/>
                <w:w w:val="95"/>
                <w:sz w:val="18"/>
              </w:rPr>
              <w:t>219,218</w:t>
            </w:r>
          </w:p>
        </w:tc>
        <w:tc>
          <w:tcPr>
            <w:tcW w:w="1140" w:type="dxa"/>
            <w:tcBorders>
              <w:bottom w:val="single" w:sz="1" w:space="0" w:color="000000"/>
            </w:tcBorders>
          </w:tcPr>
          <w:p>
            <w:pPr>
              <w:pStyle w:val="TableParagraph"/>
              <w:spacing w:before="20"/>
              <w:ind w:left="395"/>
              <w:rPr>
                <w:sz w:val="18"/>
              </w:rPr>
            </w:pPr>
            <w:r>
              <w:rPr>
                <w:sz w:val="18"/>
              </w:rPr>
              <w:t>311,678</w:t>
            </w:r>
          </w:p>
        </w:tc>
      </w:tr>
      <w:tr>
        <w:trPr>
          <w:trHeight w:val="338" w:hRule="exact"/>
        </w:trPr>
        <w:tc>
          <w:tcPr>
            <w:tcW w:w="5540" w:type="dxa"/>
          </w:tcPr>
          <w:p>
            <w:pPr>
              <w:pStyle w:val="TableParagraph"/>
              <w:spacing w:before="125"/>
              <w:ind w:left="61"/>
              <w:rPr>
                <w:b/>
                <w:sz w:val="18"/>
              </w:rPr>
            </w:pPr>
            <w:r>
              <w:rPr>
                <w:b/>
                <w:sz w:val="18"/>
              </w:rPr>
              <w:t>Total Revenue</w:t>
            </w:r>
          </w:p>
        </w:tc>
        <w:tc>
          <w:tcPr>
            <w:tcW w:w="1815" w:type="dxa"/>
          </w:tcPr>
          <w:p>
            <w:pPr/>
          </w:p>
        </w:tc>
        <w:tc>
          <w:tcPr>
            <w:tcW w:w="1452" w:type="dxa"/>
            <w:tcBorders>
              <w:top w:val="single" w:sz="1" w:space="0" w:color="000000"/>
              <w:bottom w:val="single" w:sz="1" w:space="0" w:color="000000"/>
            </w:tcBorders>
          </w:tcPr>
          <w:p>
            <w:pPr>
              <w:pStyle w:val="TableParagraph"/>
              <w:spacing w:before="124"/>
              <w:ind w:right="243"/>
              <w:jc w:val="right"/>
              <w:rPr>
                <w:b/>
                <w:sz w:val="18"/>
              </w:rPr>
            </w:pPr>
            <w:r>
              <w:rPr>
                <w:b/>
                <w:w w:val="95"/>
                <w:sz w:val="18"/>
              </w:rPr>
              <w:t>7,041,702</w:t>
            </w:r>
          </w:p>
        </w:tc>
        <w:tc>
          <w:tcPr>
            <w:tcW w:w="1140" w:type="dxa"/>
            <w:tcBorders>
              <w:top w:val="single" w:sz="1" w:space="0" w:color="000000"/>
              <w:bottom w:val="single" w:sz="1" w:space="0" w:color="000000"/>
            </w:tcBorders>
          </w:tcPr>
          <w:p>
            <w:pPr>
              <w:pStyle w:val="TableParagraph"/>
              <w:spacing w:before="124"/>
              <w:ind w:left="244"/>
              <w:rPr>
                <w:sz w:val="18"/>
              </w:rPr>
            </w:pPr>
            <w:r>
              <w:rPr>
                <w:sz w:val="18"/>
              </w:rPr>
              <w:t>6,558,579</w:t>
            </w:r>
          </w:p>
        </w:tc>
      </w:tr>
      <w:tr>
        <w:trPr>
          <w:trHeight w:val="604" w:hRule="exact"/>
        </w:trPr>
        <w:tc>
          <w:tcPr>
            <w:tcW w:w="5540" w:type="dxa"/>
          </w:tcPr>
          <w:p>
            <w:pPr>
              <w:pStyle w:val="TableParagraph"/>
              <w:spacing w:before="125"/>
              <w:ind w:left="61"/>
              <w:rPr>
                <w:b/>
                <w:sz w:val="18"/>
              </w:rPr>
            </w:pPr>
            <w:r>
              <w:rPr>
                <w:b/>
                <w:sz w:val="18"/>
              </w:rPr>
              <w:t>Expenses</w:t>
            </w:r>
          </w:p>
          <w:p>
            <w:pPr>
              <w:pStyle w:val="TableParagraph"/>
              <w:spacing w:before="26"/>
              <w:ind w:left="61"/>
              <w:rPr>
                <w:sz w:val="18"/>
              </w:rPr>
            </w:pPr>
            <w:r>
              <w:rPr>
                <w:sz w:val="18"/>
              </w:rPr>
              <w:t>Employee Related Expenses</w:t>
            </w:r>
          </w:p>
        </w:tc>
        <w:tc>
          <w:tcPr>
            <w:tcW w:w="1815" w:type="dxa"/>
          </w:tcPr>
          <w:p>
            <w:pPr>
              <w:pStyle w:val="TableParagraph"/>
              <w:rPr>
                <w:sz w:val="18"/>
              </w:rPr>
            </w:pPr>
          </w:p>
          <w:p>
            <w:pPr>
              <w:pStyle w:val="TableParagraph"/>
              <w:spacing w:before="153"/>
              <w:ind w:left="1233"/>
              <w:jc w:val="center"/>
              <w:rPr>
                <w:sz w:val="18"/>
              </w:rPr>
            </w:pPr>
            <w:r>
              <w:rPr>
                <w:w w:val="99"/>
                <w:sz w:val="18"/>
              </w:rPr>
              <w:t>3</w:t>
            </w:r>
          </w:p>
        </w:tc>
        <w:tc>
          <w:tcPr>
            <w:tcW w:w="1452" w:type="dxa"/>
            <w:tcBorders>
              <w:top w:val="single" w:sz="1" w:space="0" w:color="000000"/>
            </w:tcBorders>
          </w:tcPr>
          <w:p>
            <w:pPr>
              <w:pStyle w:val="TableParagraph"/>
              <w:rPr>
                <w:sz w:val="18"/>
              </w:rPr>
            </w:pPr>
          </w:p>
          <w:p>
            <w:pPr>
              <w:pStyle w:val="TableParagraph"/>
              <w:spacing w:before="152"/>
              <w:ind w:right="182"/>
              <w:jc w:val="right"/>
              <w:rPr>
                <w:b/>
                <w:sz w:val="18"/>
              </w:rPr>
            </w:pPr>
            <w:r>
              <w:rPr>
                <w:b/>
                <w:w w:val="95"/>
                <w:sz w:val="18"/>
              </w:rPr>
              <w:t>(5,829,194)</w:t>
            </w:r>
          </w:p>
        </w:tc>
        <w:tc>
          <w:tcPr>
            <w:tcW w:w="1140" w:type="dxa"/>
            <w:tcBorders>
              <w:top w:val="single" w:sz="1" w:space="0" w:color="000000"/>
            </w:tcBorders>
          </w:tcPr>
          <w:p>
            <w:pPr>
              <w:pStyle w:val="TableParagraph"/>
              <w:rPr>
                <w:sz w:val="18"/>
              </w:rPr>
            </w:pPr>
          </w:p>
          <w:p>
            <w:pPr>
              <w:pStyle w:val="TableParagraph"/>
              <w:spacing w:before="152"/>
              <w:ind w:right="26"/>
              <w:jc w:val="right"/>
              <w:rPr>
                <w:sz w:val="18"/>
              </w:rPr>
            </w:pPr>
            <w:r>
              <w:rPr>
                <w:w w:val="95"/>
                <w:sz w:val="18"/>
              </w:rPr>
              <w:t>(5,551,480)</w:t>
            </w:r>
          </w:p>
        </w:tc>
      </w:tr>
      <w:tr>
        <w:trPr>
          <w:trHeight w:val="264" w:hRule="exact"/>
        </w:trPr>
        <w:tc>
          <w:tcPr>
            <w:tcW w:w="5540" w:type="dxa"/>
          </w:tcPr>
          <w:p>
            <w:pPr>
              <w:pStyle w:val="TableParagraph"/>
              <w:spacing w:before="18"/>
              <w:ind w:left="61"/>
              <w:rPr>
                <w:sz w:val="18"/>
              </w:rPr>
            </w:pPr>
            <w:r>
              <w:rPr>
                <w:sz w:val="18"/>
              </w:rPr>
              <w:t>Provision for Doubtful Debts</w:t>
            </w:r>
          </w:p>
        </w:tc>
        <w:tc>
          <w:tcPr>
            <w:tcW w:w="1815" w:type="dxa"/>
          </w:tcPr>
          <w:p>
            <w:pPr/>
          </w:p>
        </w:tc>
        <w:tc>
          <w:tcPr>
            <w:tcW w:w="1452" w:type="dxa"/>
          </w:tcPr>
          <w:p>
            <w:pPr>
              <w:pStyle w:val="TableParagraph"/>
              <w:spacing w:before="20"/>
              <w:ind w:right="182"/>
              <w:jc w:val="right"/>
              <w:rPr>
                <w:b/>
                <w:sz w:val="18"/>
              </w:rPr>
            </w:pPr>
            <w:r>
              <w:rPr>
                <w:b/>
                <w:sz w:val="18"/>
              </w:rPr>
              <w:t>(7,244)</w:t>
            </w:r>
          </w:p>
        </w:tc>
        <w:tc>
          <w:tcPr>
            <w:tcW w:w="1140" w:type="dxa"/>
          </w:tcPr>
          <w:p>
            <w:pPr>
              <w:pStyle w:val="TableParagraph"/>
              <w:spacing w:before="20"/>
              <w:ind w:right="26"/>
              <w:jc w:val="right"/>
              <w:rPr>
                <w:sz w:val="18"/>
              </w:rPr>
            </w:pPr>
            <w:r>
              <w:rPr>
                <w:w w:val="95"/>
                <w:sz w:val="18"/>
              </w:rPr>
              <w:t>(4,141)</w:t>
            </w:r>
          </w:p>
        </w:tc>
      </w:tr>
      <w:tr>
        <w:trPr>
          <w:trHeight w:val="262" w:hRule="exact"/>
        </w:trPr>
        <w:tc>
          <w:tcPr>
            <w:tcW w:w="5540" w:type="dxa"/>
          </w:tcPr>
          <w:p>
            <w:pPr>
              <w:pStyle w:val="TableParagraph"/>
              <w:spacing w:before="18"/>
              <w:ind w:left="61"/>
              <w:rPr>
                <w:sz w:val="18"/>
              </w:rPr>
            </w:pPr>
            <w:r>
              <w:rPr>
                <w:sz w:val="18"/>
              </w:rPr>
              <w:t>Other Expenses</w:t>
            </w:r>
          </w:p>
        </w:tc>
        <w:tc>
          <w:tcPr>
            <w:tcW w:w="1815" w:type="dxa"/>
          </w:tcPr>
          <w:p>
            <w:pPr>
              <w:pStyle w:val="TableParagraph"/>
              <w:spacing w:before="20"/>
              <w:ind w:left="1233"/>
              <w:jc w:val="center"/>
              <w:rPr>
                <w:sz w:val="18"/>
              </w:rPr>
            </w:pPr>
            <w:r>
              <w:rPr>
                <w:w w:val="99"/>
                <w:sz w:val="18"/>
              </w:rPr>
              <w:t>3</w:t>
            </w:r>
          </w:p>
        </w:tc>
        <w:tc>
          <w:tcPr>
            <w:tcW w:w="1452" w:type="dxa"/>
            <w:tcBorders>
              <w:bottom w:val="single" w:sz="1" w:space="0" w:color="000000"/>
            </w:tcBorders>
          </w:tcPr>
          <w:p>
            <w:pPr>
              <w:pStyle w:val="TableParagraph"/>
              <w:spacing w:before="20"/>
              <w:ind w:right="182"/>
              <w:jc w:val="right"/>
              <w:rPr>
                <w:b/>
                <w:sz w:val="18"/>
              </w:rPr>
            </w:pPr>
            <w:r>
              <w:rPr>
                <w:b/>
                <w:w w:val="95"/>
                <w:sz w:val="18"/>
              </w:rPr>
              <w:t>(830,433)</w:t>
            </w:r>
          </w:p>
        </w:tc>
        <w:tc>
          <w:tcPr>
            <w:tcW w:w="1140" w:type="dxa"/>
            <w:tcBorders>
              <w:bottom w:val="single" w:sz="1" w:space="0" w:color="000000"/>
            </w:tcBorders>
          </w:tcPr>
          <w:p>
            <w:pPr>
              <w:pStyle w:val="TableParagraph"/>
              <w:spacing w:before="20"/>
              <w:ind w:right="26"/>
              <w:jc w:val="right"/>
              <w:rPr>
                <w:sz w:val="18"/>
              </w:rPr>
            </w:pPr>
            <w:r>
              <w:rPr>
                <w:w w:val="95"/>
                <w:sz w:val="18"/>
              </w:rPr>
              <w:t>(770,037)</w:t>
            </w:r>
          </w:p>
        </w:tc>
      </w:tr>
      <w:tr>
        <w:trPr>
          <w:trHeight w:val="338" w:hRule="exact"/>
        </w:trPr>
        <w:tc>
          <w:tcPr>
            <w:tcW w:w="5540" w:type="dxa"/>
          </w:tcPr>
          <w:p>
            <w:pPr>
              <w:pStyle w:val="TableParagraph"/>
              <w:spacing w:before="125"/>
              <w:ind w:left="61"/>
              <w:rPr>
                <w:b/>
                <w:sz w:val="18"/>
              </w:rPr>
            </w:pPr>
            <w:r>
              <w:rPr>
                <w:b/>
                <w:sz w:val="18"/>
              </w:rPr>
              <w:t>Total Expenses</w:t>
            </w:r>
          </w:p>
        </w:tc>
        <w:tc>
          <w:tcPr>
            <w:tcW w:w="1815" w:type="dxa"/>
          </w:tcPr>
          <w:p>
            <w:pPr/>
          </w:p>
        </w:tc>
        <w:tc>
          <w:tcPr>
            <w:tcW w:w="1452" w:type="dxa"/>
            <w:tcBorders>
              <w:top w:val="single" w:sz="1" w:space="0" w:color="000000"/>
              <w:bottom w:val="single" w:sz="1" w:space="0" w:color="000000"/>
            </w:tcBorders>
          </w:tcPr>
          <w:p>
            <w:pPr>
              <w:pStyle w:val="TableParagraph"/>
              <w:spacing w:before="124"/>
              <w:ind w:right="182"/>
              <w:jc w:val="right"/>
              <w:rPr>
                <w:b/>
                <w:sz w:val="18"/>
              </w:rPr>
            </w:pPr>
            <w:r>
              <w:rPr>
                <w:b/>
                <w:w w:val="95"/>
                <w:sz w:val="18"/>
              </w:rPr>
              <w:t>(6,666,871)</w:t>
            </w:r>
          </w:p>
        </w:tc>
        <w:tc>
          <w:tcPr>
            <w:tcW w:w="1140" w:type="dxa"/>
            <w:tcBorders>
              <w:top w:val="single" w:sz="1" w:space="0" w:color="000000"/>
              <w:bottom w:val="single" w:sz="1" w:space="0" w:color="000000"/>
            </w:tcBorders>
          </w:tcPr>
          <w:p>
            <w:pPr>
              <w:pStyle w:val="TableParagraph"/>
              <w:spacing w:before="124"/>
              <w:ind w:right="26"/>
              <w:jc w:val="right"/>
              <w:rPr>
                <w:sz w:val="18"/>
              </w:rPr>
            </w:pPr>
            <w:r>
              <w:rPr>
                <w:w w:val="95"/>
                <w:sz w:val="18"/>
              </w:rPr>
              <w:t>(6,325,658)</w:t>
            </w:r>
          </w:p>
        </w:tc>
      </w:tr>
      <w:tr>
        <w:trPr>
          <w:trHeight w:val="428" w:hRule="exact"/>
        </w:trPr>
        <w:tc>
          <w:tcPr>
            <w:tcW w:w="5540" w:type="dxa"/>
          </w:tcPr>
          <w:p>
            <w:pPr>
              <w:pStyle w:val="TableParagraph"/>
              <w:spacing w:before="125"/>
              <w:ind w:left="61"/>
              <w:rPr>
                <w:b/>
                <w:sz w:val="18"/>
              </w:rPr>
            </w:pPr>
            <w:r>
              <w:rPr>
                <w:b/>
                <w:sz w:val="18"/>
              </w:rPr>
              <w:t>Surplus (Deficit) for the year</w:t>
            </w:r>
          </w:p>
        </w:tc>
        <w:tc>
          <w:tcPr>
            <w:tcW w:w="1815" w:type="dxa"/>
          </w:tcPr>
          <w:p>
            <w:pPr/>
          </w:p>
        </w:tc>
        <w:tc>
          <w:tcPr>
            <w:tcW w:w="1452" w:type="dxa"/>
            <w:tcBorders>
              <w:top w:val="single" w:sz="1" w:space="0" w:color="000000"/>
            </w:tcBorders>
          </w:tcPr>
          <w:p>
            <w:pPr>
              <w:pStyle w:val="TableParagraph"/>
              <w:spacing w:before="124"/>
              <w:ind w:right="243"/>
              <w:jc w:val="right"/>
              <w:rPr>
                <w:b/>
                <w:sz w:val="18"/>
              </w:rPr>
            </w:pPr>
            <w:r>
              <w:rPr>
                <w:b/>
                <w:w w:val="95"/>
                <w:sz w:val="18"/>
              </w:rPr>
              <w:t>374,831</w:t>
            </w:r>
          </w:p>
        </w:tc>
        <w:tc>
          <w:tcPr>
            <w:tcW w:w="1140" w:type="dxa"/>
            <w:tcBorders>
              <w:top w:val="single" w:sz="1" w:space="0" w:color="000000"/>
            </w:tcBorders>
          </w:tcPr>
          <w:p>
            <w:pPr>
              <w:pStyle w:val="TableParagraph"/>
              <w:spacing w:before="124"/>
              <w:ind w:left="395"/>
              <w:rPr>
                <w:sz w:val="18"/>
              </w:rPr>
            </w:pPr>
            <w:r>
              <w:rPr>
                <w:sz w:val="18"/>
              </w:rPr>
              <w:t>232,921</w:t>
            </w:r>
          </w:p>
        </w:tc>
      </w:tr>
    </w:tbl>
    <w:p>
      <w:pPr>
        <w:pStyle w:val="Heading9"/>
        <w:tabs>
          <w:tab w:pos="7467" w:val="left" w:leader="none"/>
          <w:tab w:pos="8615" w:val="left" w:leader="none"/>
          <w:tab w:pos="9911" w:val="left" w:leader="none"/>
        </w:tabs>
        <w:spacing w:before="35"/>
        <w:ind w:left="174" w:right="105"/>
        <w:rPr>
          <w:b w:val="0"/>
        </w:rPr>
      </w:pPr>
      <w:r>
        <w:rPr/>
        <w:t>Other Comprehensive Income for</w:t>
      </w:r>
      <w:r>
        <w:rPr>
          <w:spacing w:val="1"/>
        </w:rPr>
        <w:t> </w:t>
      </w:r>
      <w:r>
        <w:rPr/>
        <w:t>the </w:t>
      </w:r>
      <w:r>
        <w:rPr>
          <w:spacing w:val="-3"/>
        </w:rPr>
        <w:t>year</w:t>
        <w:tab/>
      </w:r>
      <w:r>
        <w:rPr>
          <w:rFonts w:ascii="Times New Roman"/>
          <w:b w:val="0"/>
          <w:spacing w:val="-3"/>
          <w:u w:val="single"/>
        </w:rPr>
        <w:t> </w:t>
        <w:tab/>
      </w:r>
      <w:r>
        <w:rPr>
          <w:u w:val="single"/>
        </w:rPr>
        <w:t>-</w:t>
        <w:tab/>
      </w:r>
      <w:r>
        <w:rPr>
          <w:b w:val="0"/>
          <w:u w:val="single"/>
        </w:rPr>
        <w:t>-</w:t>
      </w:r>
    </w:p>
    <w:p>
      <w:pPr>
        <w:tabs>
          <w:tab w:pos="8019" w:val="left" w:leader="none"/>
          <w:tab w:pos="9315" w:val="left" w:leader="none"/>
        </w:tabs>
        <w:spacing w:before="131"/>
        <w:ind w:left="174" w:right="105" w:firstLine="0"/>
        <w:jc w:val="left"/>
        <w:rPr>
          <w:sz w:val="18"/>
        </w:rPr>
      </w:pPr>
      <w:r>
        <w:rPr>
          <w:b/>
          <w:sz w:val="18"/>
        </w:rPr>
        <w:t>Total Comprehensive Income for</w:t>
      </w:r>
      <w:r>
        <w:rPr>
          <w:b/>
          <w:spacing w:val="1"/>
          <w:sz w:val="18"/>
        </w:rPr>
        <w:t> </w:t>
      </w:r>
      <w:r>
        <w:rPr>
          <w:b/>
          <w:sz w:val="18"/>
        </w:rPr>
        <w:t>the </w:t>
      </w:r>
      <w:r>
        <w:rPr>
          <w:b/>
          <w:spacing w:val="-3"/>
          <w:sz w:val="18"/>
        </w:rPr>
        <w:t>year</w:t>
        <w:tab/>
      </w:r>
      <w:r>
        <w:rPr>
          <w:b/>
          <w:sz w:val="18"/>
        </w:rPr>
        <w:t>374,831</w:t>
        <w:tab/>
      </w:r>
      <w:r>
        <w:rPr>
          <w:sz w:val="18"/>
        </w:rPr>
        <w:t>232,921</w:t>
      </w:r>
    </w:p>
    <w:p>
      <w:pPr>
        <w:pStyle w:val="BodyText"/>
        <w:spacing w:line="48" w:lineRule="exact"/>
        <w:ind w:left="7466"/>
        <w:rPr>
          <w:sz w:val="4"/>
        </w:rPr>
      </w:pPr>
      <w:r>
        <w:rPr>
          <w:position w:val="0"/>
          <w:sz w:val="4"/>
        </w:rPr>
        <w:pict>
          <v:group style="width:129.75pt;height:2.450pt;mso-position-horizontal-relative:char;mso-position-vertical-relative:line" coordorigin="0,0" coordsize="2595,49">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35" to="1298,35" stroked="true" strokeweight=".12pt" strokecolor="#000000"/>
            <v:line style="position:absolute" from="2,38" to="1298,38" stroked="true" strokeweight=".12pt" strokecolor="#000000"/>
            <v:line style="position:absolute" from="2,40" to="1298,40" stroked="true" strokeweight=".12pt" strokecolor="#000000"/>
            <v:line style="position:absolute" from="2,42" to="1298,42" stroked="true" strokeweight=".12pt" strokecolor="#000000"/>
            <v:line style="position:absolute" from="2,45" to="1298,45" stroked="true" strokeweight=".12pt" strokecolor="#000000"/>
            <v:line style="position:absolute" from="2,47" to="1298,47"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35" to="2594,35" stroked="true" strokeweight=".12pt" strokecolor="#000000"/>
            <v:line style="position:absolute" from="1298,38" to="2594,38" stroked="true" strokeweight=".12pt" strokecolor="#000000"/>
            <v:line style="position:absolute" from="1298,40" to="2594,40" stroked="true" strokeweight=".12pt" strokecolor="#000000"/>
            <v:line style="position:absolute" from="1298,42" to="2594,42" stroked="true" strokeweight=".12pt" strokecolor="#000000"/>
            <v:line style="position:absolute" from="1298,45" to="2594,45" stroked="true" strokeweight=".12pt" strokecolor="#000000"/>
            <v:line style="position:absolute" from="1298,47" to="2594,47" stroked="true" strokeweight=".12pt" strokecolor="#000000"/>
          </v:group>
        </w:pict>
      </w:r>
      <w:r>
        <w:rPr>
          <w:position w:val="0"/>
          <w:sz w:val="4"/>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p>
    <w:p>
      <w:pPr>
        <w:pStyle w:val="BodyText"/>
        <w:spacing w:before="78"/>
        <w:ind w:left="2507" w:right="105"/>
      </w:pPr>
      <w:r>
        <w:rPr/>
        <w:t>The accompanying notes form part of these financial statements.</w:t>
      </w:r>
    </w:p>
    <w:p>
      <w:pPr>
        <w:spacing w:after="0"/>
        <w:sectPr>
          <w:headerReference w:type="default" r:id="rId110"/>
          <w:pgSz w:w="11910" w:h="16840"/>
          <w:pgMar w:header="1037" w:footer="512" w:top="1460" w:bottom="700" w:left="860" w:right="880"/>
        </w:sectPr>
      </w:pPr>
    </w:p>
    <w:p>
      <w:pPr>
        <w:pStyle w:val="BodyText"/>
        <w:spacing w:before="7"/>
        <w:rPr>
          <w:sz w:val="23"/>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241"/>
        <w:gridCol w:w="2114"/>
        <w:gridCol w:w="1452"/>
        <w:gridCol w:w="1140"/>
      </w:tblGrid>
      <w:tr>
        <w:trPr>
          <w:trHeight w:val="869" w:hRule="exact"/>
        </w:trPr>
        <w:tc>
          <w:tcPr>
            <w:tcW w:w="5241" w:type="dxa"/>
          </w:tcPr>
          <w:p>
            <w:pPr>
              <w:pStyle w:val="TableParagraph"/>
              <w:spacing w:before="69"/>
              <w:ind w:left="35"/>
              <w:rPr>
                <w:b/>
                <w:sz w:val="24"/>
              </w:rPr>
            </w:pPr>
            <w:bookmarkStart w:name="Statement of Financial Position" w:id="178"/>
            <w:bookmarkEnd w:id="178"/>
            <w:r>
              <w:rPr/>
            </w:r>
            <w:r>
              <w:rPr>
                <w:b/>
                <w:sz w:val="24"/>
              </w:rPr>
              <w:t>Statement of Financial Position</w:t>
            </w:r>
          </w:p>
          <w:p>
            <w:pPr>
              <w:pStyle w:val="TableParagraph"/>
              <w:spacing w:before="54"/>
              <w:ind w:left="35"/>
              <w:rPr>
                <w:b/>
                <w:sz w:val="22"/>
              </w:rPr>
            </w:pPr>
            <w:r>
              <w:rPr>
                <w:b/>
                <w:sz w:val="22"/>
              </w:rPr>
              <w:t>As at 31 December 2017</w:t>
            </w:r>
          </w:p>
        </w:tc>
        <w:tc>
          <w:tcPr>
            <w:tcW w:w="4706" w:type="dxa"/>
            <w:gridSpan w:val="3"/>
          </w:tcPr>
          <w:p>
            <w:pPr/>
          </w:p>
        </w:tc>
      </w:tr>
      <w:tr>
        <w:trPr>
          <w:trHeight w:val="447" w:hRule="exact"/>
        </w:trPr>
        <w:tc>
          <w:tcPr>
            <w:tcW w:w="5241" w:type="dxa"/>
          </w:tcPr>
          <w:p>
            <w:pPr/>
          </w:p>
        </w:tc>
        <w:tc>
          <w:tcPr>
            <w:tcW w:w="2114" w:type="dxa"/>
          </w:tcPr>
          <w:p>
            <w:pPr/>
          </w:p>
        </w:tc>
        <w:tc>
          <w:tcPr>
            <w:tcW w:w="1452" w:type="dxa"/>
          </w:tcPr>
          <w:p>
            <w:pPr>
              <w:pStyle w:val="TableParagraph"/>
              <w:spacing w:before="2"/>
              <w:rPr>
                <w:sz w:val="17"/>
              </w:rPr>
            </w:pPr>
          </w:p>
          <w:p>
            <w:pPr>
              <w:pStyle w:val="TableParagraph"/>
              <w:ind w:left="444"/>
              <w:rPr>
                <w:b/>
                <w:sz w:val="18"/>
              </w:rPr>
            </w:pPr>
            <w:r>
              <w:rPr>
                <w:b/>
                <w:sz w:val="18"/>
              </w:rPr>
              <w:t>2017</w:t>
            </w:r>
          </w:p>
        </w:tc>
        <w:tc>
          <w:tcPr>
            <w:tcW w:w="1140" w:type="dxa"/>
          </w:tcPr>
          <w:p>
            <w:pPr>
              <w:pStyle w:val="TableParagraph"/>
              <w:spacing w:before="2"/>
              <w:rPr>
                <w:sz w:val="17"/>
              </w:rPr>
            </w:pPr>
          </w:p>
          <w:p>
            <w:pPr>
              <w:pStyle w:val="TableParagraph"/>
              <w:ind w:left="288"/>
              <w:rPr>
                <w:b/>
                <w:sz w:val="18"/>
              </w:rPr>
            </w:pPr>
            <w:r>
              <w:rPr>
                <w:b/>
                <w:sz w:val="18"/>
              </w:rPr>
              <w:t>2016</w:t>
            </w:r>
          </w:p>
        </w:tc>
      </w:tr>
      <w:tr>
        <w:trPr>
          <w:trHeight w:val="313" w:hRule="exact"/>
        </w:trPr>
        <w:tc>
          <w:tcPr>
            <w:tcW w:w="5241" w:type="dxa"/>
          </w:tcPr>
          <w:p>
            <w:pPr/>
          </w:p>
        </w:tc>
        <w:tc>
          <w:tcPr>
            <w:tcW w:w="2114" w:type="dxa"/>
          </w:tcPr>
          <w:p>
            <w:pPr>
              <w:pStyle w:val="TableParagraph"/>
              <w:spacing w:before="24"/>
              <w:ind w:left="1604" w:right="69"/>
              <w:jc w:val="center"/>
              <w:rPr>
                <w:b/>
                <w:sz w:val="18"/>
              </w:rPr>
            </w:pPr>
            <w:r>
              <w:rPr>
                <w:b/>
                <w:sz w:val="18"/>
              </w:rPr>
              <w:t>Note</w:t>
            </w:r>
          </w:p>
        </w:tc>
        <w:tc>
          <w:tcPr>
            <w:tcW w:w="1452" w:type="dxa"/>
          </w:tcPr>
          <w:p>
            <w:pPr>
              <w:pStyle w:val="TableParagraph"/>
              <w:spacing w:before="24"/>
              <w:ind w:right="159"/>
              <w:jc w:val="center"/>
              <w:rPr>
                <w:b/>
                <w:sz w:val="18"/>
              </w:rPr>
            </w:pPr>
            <w:r>
              <w:rPr>
                <w:b/>
                <w:w w:val="99"/>
                <w:sz w:val="18"/>
              </w:rPr>
              <w:t>$</w:t>
            </w:r>
          </w:p>
        </w:tc>
        <w:tc>
          <w:tcPr>
            <w:tcW w:w="1140" w:type="dxa"/>
          </w:tcPr>
          <w:p>
            <w:pPr>
              <w:pStyle w:val="TableParagraph"/>
              <w:spacing w:before="24"/>
              <w:ind w:right="159"/>
              <w:jc w:val="center"/>
              <w:rPr>
                <w:b/>
                <w:sz w:val="18"/>
              </w:rPr>
            </w:pPr>
            <w:r>
              <w:rPr>
                <w:b/>
                <w:w w:val="99"/>
                <w:sz w:val="18"/>
              </w:rPr>
              <w:t>$</w:t>
            </w:r>
          </w:p>
        </w:tc>
      </w:tr>
      <w:tr>
        <w:trPr>
          <w:trHeight w:val="336" w:hRule="exact"/>
        </w:trPr>
        <w:tc>
          <w:tcPr>
            <w:tcW w:w="5241" w:type="dxa"/>
          </w:tcPr>
          <w:p>
            <w:pPr>
              <w:pStyle w:val="TableParagraph"/>
              <w:spacing w:before="63"/>
              <w:ind w:left="61"/>
              <w:rPr>
                <w:b/>
                <w:sz w:val="18"/>
              </w:rPr>
            </w:pPr>
            <w:r>
              <w:rPr>
                <w:b/>
                <w:sz w:val="18"/>
              </w:rPr>
              <w:t>ASSETS</w:t>
            </w:r>
          </w:p>
        </w:tc>
        <w:tc>
          <w:tcPr>
            <w:tcW w:w="2114" w:type="dxa"/>
          </w:tcPr>
          <w:p>
            <w:pPr/>
          </w:p>
        </w:tc>
        <w:tc>
          <w:tcPr>
            <w:tcW w:w="1452" w:type="dxa"/>
          </w:tcPr>
          <w:p>
            <w:pPr/>
          </w:p>
        </w:tc>
        <w:tc>
          <w:tcPr>
            <w:tcW w:w="1140" w:type="dxa"/>
          </w:tcPr>
          <w:p>
            <w:pPr/>
          </w:p>
        </w:tc>
      </w:tr>
      <w:tr>
        <w:trPr>
          <w:trHeight w:val="526" w:hRule="exact"/>
        </w:trPr>
        <w:tc>
          <w:tcPr>
            <w:tcW w:w="5241" w:type="dxa"/>
          </w:tcPr>
          <w:p>
            <w:pPr>
              <w:pStyle w:val="TableParagraph"/>
              <w:spacing w:before="46"/>
              <w:ind w:left="61"/>
              <w:rPr>
                <w:b/>
                <w:sz w:val="18"/>
              </w:rPr>
            </w:pPr>
            <w:r>
              <w:rPr>
                <w:b/>
                <w:sz w:val="18"/>
              </w:rPr>
              <w:t>Current Assets</w:t>
            </w:r>
          </w:p>
          <w:p>
            <w:pPr>
              <w:pStyle w:val="TableParagraph"/>
              <w:spacing w:before="26"/>
              <w:ind w:left="61"/>
              <w:rPr>
                <w:sz w:val="18"/>
              </w:rPr>
            </w:pPr>
            <w:r>
              <w:rPr>
                <w:sz w:val="18"/>
              </w:rPr>
              <w:t>Cash and Cash Equivalents</w:t>
            </w:r>
          </w:p>
        </w:tc>
        <w:tc>
          <w:tcPr>
            <w:tcW w:w="2114" w:type="dxa"/>
          </w:tcPr>
          <w:p>
            <w:pPr>
              <w:pStyle w:val="TableParagraph"/>
              <w:spacing w:before="5"/>
              <w:rPr>
                <w:sz w:val="24"/>
              </w:rPr>
            </w:pPr>
          </w:p>
          <w:p>
            <w:pPr>
              <w:pStyle w:val="TableParagraph"/>
              <w:spacing w:before="1"/>
              <w:ind w:left="1532"/>
              <w:jc w:val="center"/>
              <w:rPr>
                <w:sz w:val="18"/>
              </w:rPr>
            </w:pPr>
            <w:r>
              <w:rPr>
                <w:w w:val="99"/>
                <w:sz w:val="18"/>
              </w:rPr>
              <w:t>4</w:t>
            </w:r>
          </w:p>
        </w:tc>
        <w:tc>
          <w:tcPr>
            <w:tcW w:w="1452" w:type="dxa"/>
          </w:tcPr>
          <w:p>
            <w:pPr>
              <w:pStyle w:val="TableParagraph"/>
              <w:spacing w:before="5"/>
              <w:rPr>
                <w:sz w:val="24"/>
              </w:rPr>
            </w:pPr>
          </w:p>
          <w:p>
            <w:pPr>
              <w:pStyle w:val="TableParagraph"/>
              <w:spacing w:before="1"/>
              <w:ind w:right="242"/>
              <w:jc w:val="right"/>
              <w:rPr>
                <w:b/>
                <w:sz w:val="18"/>
              </w:rPr>
            </w:pPr>
            <w:r>
              <w:rPr>
                <w:b/>
                <w:w w:val="95"/>
                <w:sz w:val="18"/>
              </w:rPr>
              <w:t>482,158</w:t>
            </w:r>
          </w:p>
        </w:tc>
        <w:tc>
          <w:tcPr>
            <w:tcW w:w="1140" w:type="dxa"/>
          </w:tcPr>
          <w:p>
            <w:pPr>
              <w:pStyle w:val="TableParagraph"/>
              <w:spacing w:before="5"/>
              <w:rPr>
                <w:sz w:val="24"/>
              </w:rPr>
            </w:pPr>
          </w:p>
          <w:p>
            <w:pPr>
              <w:pStyle w:val="TableParagraph"/>
              <w:spacing w:before="1"/>
              <w:ind w:right="88"/>
              <w:jc w:val="right"/>
              <w:rPr>
                <w:sz w:val="18"/>
              </w:rPr>
            </w:pPr>
            <w:r>
              <w:rPr>
                <w:w w:val="95"/>
                <w:sz w:val="18"/>
              </w:rPr>
              <w:t>647,363</w:t>
            </w:r>
          </w:p>
        </w:tc>
      </w:tr>
      <w:tr>
        <w:trPr>
          <w:trHeight w:val="264" w:hRule="exact"/>
        </w:trPr>
        <w:tc>
          <w:tcPr>
            <w:tcW w:w="5241" w:type="dxa"/>
          </w:tcPr>
          <w:p>
            <w:pPr>
              <w:pStyle w:val="TableParagraph"/>
              <w:spacing w:before="18"/>
              <w:ind w:left="61"/>
              <w:rPr>
                <w:sz w:val="18"/>
              </w:rPr>
            </w:pPr>
            <w:r>
              <w:rPr>
                <w:sz w:val="18"/>
              </w:rPr>
              <w:t>Trade and Other Receivables</w:t>
            </w:r>
          </w:p>
        </w:tc>
        <w:tc>
          <w:tcPr>
            <w:tcW w:w="2114" w:type="dxa"/>
          </w:tcPr>
          <w:p>
            <w:pPr>
              <w:pStyle w:val="TableParagraph"/>
              <w:spacing w:before="20"/>
              <w:ind w:left="1532"/>
              <w:jc w:val="center"/>
              <w:rPr>
                <w:sz w:val="18"/>
              </w:rPr>
            </w:pPr>
            <w:r>
              <w:rPr>
                <w:w w:val="99"/>
                <w:sz w:val="18"/>
              </w:rPr>
              <w:t>5</w:t>
            </w:r>
          </w:p>
        </w:tc>
        <w:tc>
          <w:tcPr>
            <w:tcW w:w="1452" w:type="dxa"/>
          </w:tcPr>
          <w:p>
            <w:pPr>
              <w:pStyle w:val="TableParagraph"/>
              <w:spacing w:before="20"/>
              <w:ind w:right="243"/>
              <w:jc w:val="right"/>
              <w:rPr>
                <w:b/>
                <w:sz w:val="18"/>
              </w:rPr>
            </w:pPr>
            <w:r>
              <w:rPr>
                <w:b/>
                <w:w w:val="95"/>
                <w:sz w:val="18"/>
              </w:rPr>
              <w:t>2,229,894</w:t>
            </w:r>
          </w:p>
        </w:tc>
        <w:tc>
          <w:tcPr>
            <w:tcW w:w="1140" w:type="dxa"/>
          </w:tcPr>
          <w:p>
            <w:pPr>
              <w:pStyle w:val="TableParagraph"/>
              <w:spacing w:before="20"/>
              <w:ind w:right="87"/>
              <w:jc w:val="right"/>
              <w:rPr>
                <w:sz w:val="18"/>
              </w:rPr>
            </w:pPr>
            <w:r>
              <w:rPr>
                <w:w w:val="95"/>
                <w:sz w:val="18"/>
              </w:rPr>
              <w:t>1,696,976</w:t>
            </w:r>
          </w:p>
        </w:tc>
      </w:tr>
      <w:tr>
        <w:trPr>
          <w:trHeight w:val="262" w:hRule="exact"/>
        </w:trPr>
        <w:tc>
          <w:tcPr>
            <w:tcW w:w="5241" w:type="dxa"/>
          </w:tcPr>
          <w:p>
            <w:pPr>
              <w:pStyle w:val="TableParagraph"/>
              <w:spacing w:before="18"/>
              <w:ind w:left="61"/>
              <w:rPr>
                <w:sz w:val="18"/>
              </w:rPr>
            </w:pPr>
            <w:r>
              <w:rPr>
                <w:sz w:val="18"/>
              </w:rPr>
              <w:t>Prepayments</w:t>
            </w:r>
          </w:p>
        </w:tc>
        <w:tc>
          <w:tcPr>
            <w:tcW w:w="2114" w:type="dxa"/>
          </w:tcPr>
          <w:p>
            <w:pPr/>
          </w:p>
        </w:tc>
        <w:tc>
          <w:tcPr>
            <w:tcW w:w="1452" w:type="dxa"/>
            <w:tcBorders>
              <w:bottom w:val="single" w:sz="1" w:space="0" w:color="000000"/>
            </w:tcBorders>
          </w:tcPr>
          <w:p>
            <w:pPr>
              <w:pStyle w:val="TableParagraph"/>
              <w:spacing w:before="20"/>
              <w:ind w:right="242"/>
              <w:jc w:val="right"/>
              <w:rPr>
                <w:b/>
                <w:sz w:val="18"/>
              </w:rPr>
            </w:pPr>
            <w:r>
              <w:rPr>
                <w:b/>
                <w:w w:val="95"/>
                <w:sz w:val="18"/>
              </w:rPr>
              <w:t>173,396</w:t>
            </w:r>
          </w:p>
        </w:tc>
        <w:tc>
          <w:tcPr>
            <w:tcW w:w="1140" w:type="dxa"/>
            <w:tcBorders>
              <w:bottom w:val="single" w:sz="1" w:space="0" w:color="000000"/>
            </w:tcBorders>
          </w:tcPr>
          <w:p>
            <w:pPr>
              <w:pStyle w:val="TableParagraph"/>
              <w:spacing w:before="20"/>
              <w:ind w:right="86"/>
              <w:jc w:val="right"/>
              <w:rPr>
                <w:sz w:val="18"/>
              </w:rPr>
            </w:pPr>
            <w:r>
              <w:rPr>
                <w:w w:val="99"/>
                <w:sz w:val="18"/>
              </w:rPr>
              <w:t>-</w:t>
            </w:r>
          </w:p>
        </w:tc>
      </w:tr>
    </w:tbl>
    <w:p>
      <w:pPr>
        <w:tabs>
          <w:tab w:pos="7868" w:val="left" w:leader="none"/>
          <w:tab w:pos="9164" w:val="left" w:leader="none"/>
        </w:tabs>
        <w:spacing w:before="36" w:after="12"/>
        <w:ind w:left="315" w:right="105" w:firstLine="0"/>
        <w:jc w:val="left"/>
        <w:rPr>
          <w:sz w:val="18"/>
        </w:rPr>
      </w:pPr>
      <w:r>
        <w:rPr/>
        <w:pict>
          <v:group style="position:absolute;margin-left:416.325012pt;margin-top:16.286924pt;width:129.75pt;height:1pt;mso-position-horizontal-relative:page;mso-position-vertical-relative:paragraph;z-index:-1179808" coordorigin="8327,326" coordsize="2595,20">
            <v:line style="position:absolute" from="8328,327" to="9624,327" stroked="true" strokeweight=".12pt" strokecolor="#000000"/>
            <v:line style="position:absolute" from="8328,330" to="9624,330" stroked="true" strokeweight=".12pt" strokecolor="#000000"/>
            <v:line style="position:absolute" from="8328,332" to="9624,332" stroked="true" strokeweight=".12pt" strokecolor="#000000"/>
            <v:line style="position:absolute" from="8328,334" to="9624,334" stroked="true" strokeweight=".12pt" strokecolor="#000000"/>
            <v:line style="position:absolute" from="8328,337" to="9624,337" stroked="true" strokeweight=".12pt" strokecolor="#000000"/>
            <v:line style="position:absolute" from="8328,339" to="9624,339" stroked="true" strokeweight=".12pt" strokecolor="#000000"/>
            <v:line style="position:absolute" from="8328,342" to="9624,342" stroked="true" strokeweight=".12pt" strokecolor="#000000"/>
            <v:line style="position:absolute" from="8328,344" to="9624,344" stroked="true" strokeweight=".12pt" strokecolor="#000000"/>
            <v:line style="position:absolute" from="9624,327" to="10920,327" stroked="true" strokeweight=".12pt" strokecolor="#000000"/>
            <v:line style="position:absolute" from="9624,330" to="10920,330" stroked="true" strokeweight=".12pt" strokecolor="#000000"/>
            <v:line style="position:absolute" from="9624,332" to="10920,332" stroked="true" strokeweight=".12pt" strokecolor="#000000"/>
            <v:line style="position:absolute" from="9624,334" to="10920,334" stroked="true" strokeweight=".12pt" strokecolor="#000000"/>
            <v:line style="position:absolute" from="9624,337" to="10920,337" stroked="true" strokeweight=".12pt" strokecolor="#000000"/>
            <v:line style="position:absolute" from="9624,339" to="10920,339" stroked="true" strokeweight=".12pt" strokecolor="#000000"/>
            <v:line style="position:absolute" from="9624,342" to="10920,342" stroked="true" strokeweight=".12pt" strokecolor="#000000"/>
            <v:line style="position:absolute" from="9624,344" to="10920,344" stroked="true" strokeweight=".12pt" strokecolor="#000000"/>
            <v:line style="position:absolute" from="8328,327" to="9624,327" stroked="true" strokeweight=".12pt" strokecolor="#000000"/>
            <v:line style="position:absolute" from="8328,330" to="9624,330" stroked="true" strokeweight=".12pt" strokecolor="#000000"/>
            <v:line style="position:absolute" from="8328,332" to="9624,332" stroked="true" strokeweight=".12pt" strokecolor="#000000"/>
            <v:line style="position:absolute" from="8328,334" to="9624,334" stroked="true" strokeweight=".12pt" strokecolor="#000000"/>
            <v:line style="position:absolute" from="8328,337" to="9624,337" stroked="true" strokeweight=".12pt" strokecolor="#000000"/>
            <v:line style="position:absolute" from="8328,339" to="9624,339" stroked="true" strokeweight=".12pt" strokecolor="#000000"/>
            <v:line style="position:absolute" from="8328,342" to="9624,342" stroked="true" strokeweight=".12pt" strokecolor="#000000"/>
            <v:line style="position:absolute" from="8328,344" to="9624,344" stroked="true" strokeweight=".12pt" strokecolor="#000000"/>
            <v:line style="position:absolute" from="9624,327" to="10920,327" stroked="true" strokeweight=".12pt" strokecolor="#000000"/>
            <v:line style="position:absolute" from="9624,330" to="10920,330" stroked="true" strokeweight=".12pt" strokecolor="#000000"/>
            <v:line style="position:absolute" from="9624,332" to="10920,332" stroked="true" strokeweight=".12pt" strokecolor="#000000"/>
            <v:line style="position:absolute" from="9624,334" to="10920,334" stroked="true" strokeweight=".12pt" strokecolor="#000000"/>
            <v:line style="position:absolute" from="9624,337" to="10920,337" stroked="true" strokeweight=".12pt" strokecolor="#000000"/>
            <v:line style="position:absolute" from="9624,339" to="10920,339" stroked="true" strokeweight=".12pt" strokecolor="#000000"/>
            <v:line style="position:absolute" from="9624,342" to="10920,342" stroked="true" strokeweight=".12pt" strokecolor="#000000"/>
            <v:line style="position:absolute" from="9624,344" to="10920,344" stroked="true" strokeweight=".12pt" strokecolor="#000000"/>
            <w10:wrap type="none"/>
          </v:group>
        </w:pict>
      </w:r>
      <w:r>
        <w:rPr>
          <w:b/>
          <w:sz w:val="18"/>
        </w:rPr>
        <w:t>Total Current Assets</w:t>
        <w:tab/>
      </w:r>
      <w:r>
        <w:rPr>
          <w:b/>
          <w:position w:val="-8"/>
          <w:sz w:val="18"/>
        </w:rPr>
        <w:t>2,885,448</w:t>
        <w:tab/>
      </w:r>
      <w:r>
        <w:rPr>
          <w:position w:val="-8"/>
          <w:sz w:val="18"/>
        </w:rPr>
        <w:t>2,344,339</w:t>
      </w:r>
    </w:p>
    <w:tbl>
      <w:tblPr>
        <w:tblW w:w="0" w:type="auto"/>
        <w:jc w:val="left"/>
        <w:tblInd w:w="13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53"/>
        <w:gridCol w:w="376"/>
        <w:gridCol w:w="1452"/>
        <w:gridCol w:w="1140"/>
      </w:tblGrid>
      <w:tr>
        <w:trPr>
          <w:trHeight w:val="343" w:hRule="exact"/>
        </w:trPr>
        <w:tc>
          <w:tcPr>
            <w:tcW w:w="6953" w:type="dxa"/>
          </w:tcPr>
          <w:p>
            <w:pPr>
              <w:pStyle w:val="TableParagraph"/>
              <w:spacing w:before="29"/>
              <w:ind w:left="176"/>
              <w:rPr>
                <w:b/>
                <w:sz w:val="18"/>
              </w:rPr>
            </w:pPr>
            <w:r>
              <w:rPr>
                <w:b/>
                <w:sz w:val="18"/>
              </w:rPr>
              <w:t>Total Assets</w:t>
            </w:r>
          </w:p>
        </w:tc>
        <w:tc>
          <w:tcPr>
            <w:tcW w:w="376" w:type="dxa"/>
          </w:tcPr>
          <w:p>
            <w:pPr/>
          </w:p>
        </w:tc>
        <w:tc>
          <w:tcPr>
            <w:tcW w:w="1452" w:type="dxa"/>
            <w:tcBorders>
              <w:bottom w:val="single" w:sz="1" w:space="0" w:color="000000"/>
            </w:tcBorders>
          </w:tcPr>
          <w:p>
            <w:pPr>
              <w:pStyle w:val="TableParagraph"/>
              <w:spacing w:before="115"/>
              <w:ind w:right="243"/>
              <w:jc w:val="right"/>
              <w:rPr>
                <w:b/>
                <w:sz w:val="18"/>
              </w:rPr>
            </w:pPr>
            <w:r>
              <w:rPr>
                <w:b/>
                <w:w w:val="95"/>
                <w:sz w:val="18"/>
              </w:rPr>
              <w:t>2,885,448</w:t>
            </w:r>
          </w:p>
        </w:tc>
        <w:tc>
          <w:tcPr>
            <w:tcW w:w="1140" w:type="dxa"/>
            <w:tcBorders>
              <w:bottom w:val="single" w:sz="1" w:space="0" w:color="000000"/>
            </w:tcBorders>
          </w:tcPr>
          <w:p>
            <w:pPr>
              <w:pStyle w:val="TableParagraph"/>
              <w:spacing w:before="115"/>
              <w:ind w:right="87"/>
              <w:jc w:val="right"/>
              <w:rPr>
                <w:sz w:val="18"/>
              </w:rPr>
            </w:pPr>
            <w:r>
              <w:rPr>
                <w:w w:val="95"/>
                <w:sz w:val="18"/>
              </w:rPr>
              <w:t>2,344,339</w:t>
            </w:r>
          </w:p>
        </w:tc>
      </w:tr>
      <w:tr>
        <w:trPr>
          <w:trHeight w:val="412" w:hRule="exact"/>
        </w:trPr>
        <w:tc>
          <w:tcPr>
            <w:tcW w:w="6953" w:type="dxa"/>
          </w:tcPr>
          <w:p>
            <w:pPr>
              <w:pStyle w:val="TableParagraph"/>
              <w:spacing w:before="139"/>
              <w:ind w:left="35"/>
              <w:rPr>
                <w:b/>
                <w:sz w:val="18"/>
              </w:rPr>
            </w:pPr>
            <w:r>
              <w:rPr>
                <w:b/>
                <w:sz w:val="18"/>
              </w:rPr>
              <w:t>LIABILITIES</w:t>
            </w:r>
          </w:p>
        </w:tc>
        <w:tc>
          <w:tcPr>
            <w:tcW w:w="376" w:type="dxa"/>
          </w:tcPr>
          <w:p>
            <w:pPr/>
          </w:p>
        </w:tc>
        <w:tc>
          <w:tcPr>
            <w:tcW w:w="1452" w:type="dxa"/>
            <w:tcBorders>
              <w:top w:val="single" w:sz="1" w:space="0" w:color="000000"/>
            </w:tcBorders>
          </w:tcPr>
          <w:p>
            <w:pPr/>
          </w:p>
        </w:tc>
        <w:tc>
          <w:tcPr>
            <w:tcW w:w="1140" w:type="dxa"/>
            <w:tcBorders>
              <w:top w:val="single" w:sz="1" w:space="0" w:color="000000"/>
            </w:tcBorders>
          </w:tcPr>
          <w:p>
            <w:pPr/>
          </w:p>
        </w:tc>
      </w:tr>
      <w:tr>
        <w:trPr>
          <w:trHeight w:val="526" w:hRule="exact"/>
        </w:trPr>
        <w:tc>
          <w:tcPr>
            <w:tcW w:w="6953" w:type="dxa"/>
          </w:tcPr>
          <w:p>
            <w:pPr>
              <w:pStyle w:val="TableParagraph"/>
              <w:spacing w:before="46"/>
              <w:ind w:left="35"/>
              <w:rPr>
                <w:b/>
                <w:sz w:val="18"/>
              </w:rPr>
            </w:pPr>
            <w:r>
              <w:rPr>
                <w:b/>
                <w:sz w:val="18"/>
              </w:rPr>
              <w:t>Current Liabilities</w:t>
            </w:r>
          </w:p>
          <w:p>
            <w:pPr>
              <w:pStyle w:val="TableParagraph"/>
              <w:spacing w:before="26"/>
              <w:ind w:left="35"/>
              <w:rPr>
                <w:sz w:val="18"/>
              </w:rPr>
            </w:pPr>
            <w:r>
              <w:rPr>
                <w:sz w:val="18"/>
              </w:rPr>
              <w:t>Trade and Other Payables</w:t>
            </w:r>
          </w:p>
        </w:tc>
        <w:tc>
          <w:tcPr>
            <w:tcW w:w="376" w:type="dxa"/>
          </w:tcPr>
          <w:p>
            <w:pPr>
              <w:pStyle w:val="TableParagraph"/>
              <w:spacing w:before="5"/>
              <w:rPr>
                <w:sz w:val="24"/>
              </w:rPr>
            </w:pPr>
          </w:p>
          <w:p>
            <w:pPr>
              <w:pStyle w:val="TableParagraph"/>
              <w:spacing w:before="1"/>
              <w:ind w:left="35"/>
              <w:rPr>
                <w:sz w:val="18"/>
              </w:rPr>
            </w:pPr>
            <w:r>
              <w:rPr>
                <w:w w:val="99"/>
                <w:sz w:val="18"/>
              </w:rPr>
              <w:t>6</w:t>
            </w:r>
          </w:p>
        </w:tc>
        <w:tc>
          <w:tcPr>
            <w:tcW w:w="1452" w:type="dxa"/>
          </w:tcPr>
          <w:p>
            <w:pPr>
              <w:pStyle w:val="TableParagraph"/>
              <w:spacing w:before="5"/>
              <w:rPr>
                <w:sz w:val="24"/>
              </w:rPr>
            </w:pPr>
          </w:p>
          <w:p>
            <w:pPr>
              <w:pStyle w:val="TableParagraph"/>
              <w:spacing w:before="1"/>
              <w:ind w:right="242"/>
              <w:jc w:val="right"/>
              <w:rPr>
                <w:b/>
                <w:sz w:val="18"/>
              </w:rPr>
            </w:pPr>
            <w:r>
              <w:rPr>
                <w:b/>
                <w:w w:val="95"/>
                <w:sz w:val="18"/>
              </w:rPr>
              <w:t>600,157</w:t>
            </w:r>
          </w:p>
        </w:tc>
        <w:tc>
          <w:tcPr>
            <w:tcW w:w="1140" w:type="dxa"/>
          </w:tcPr>
          <w:p>
            <w:pPr>
              <w:pStyle w:val="TableParagraph"/>
              <w:spacing w:before="5"/>
              <w:rPr>
                <w:sz w:val="24"/>
              </w:rPr>
            </w:pPr>
          </w:p>
          <w:p>
            <w:pPr>
              <w:pStyle w:val="TableParagraph"/>
              <w:spacing w:before="1"/>
              <w:ind w:right="88"/>
              <w:jc w:val="right"/>
              <w:rPr>
                <w:sz w:val="18"/>
              </w:rPr>
            </w:pPr>
            <w:r>
              <w:rPr>
                <w:w w:val="95"/>
                <w:sz w:val="18"/>
              </w:rPr>
              <w:t>574,994</w:t>
            </w:r>
          </w:p>
        </w:tc>
      </w:tr>
      <w:tr>
        <w:trPr>
          <w:trHeight w:val="264" w:hRule="exact"/>
        </w:trPr>
        <w:tc>
          <w:tcPr>
            <w:tcW w:w="6953" w:type="dxa"/>
          </w:tcPr>
          <w:p>
            <w:pPr>
              <w:pStyle w:val="TableParagraph"/>
              <w:spacing w:before="18"/>
              <w:ind w:left="35"/>
              <w:rPr>
                <w:sz w:val="18"/>
              </w:rPr>
            </w:pPr>
            <w:r>
              <w:rPr>
                <w:sz w:val="18"/>
              </w:rPr>
              <w:t>Deferred Income</w:t>
            </w:r>
          </w:p>
        </w:tc>
        <w:tc>
          <w:tcPr>
            <w:tcW w:w="376" w:type="dxa"/>
          </w:tcPr>
          <w:p>
            <w:pPr/>
          </w:p>
        </w:tc>
        <w:tc>
          <w:tcPr>
            <w:tcW w:w="1452" w:type="dxa"/>
          </w:tcPr>
          <w:p>
            <w:pPr>
              <w:pStyle w:val="TableParagraph"/>
              <w:spacing w:before="20"/>
              <w:ind w:right="242"/>
              <w:jc w:val="right"/>
              <w:rPr>
                <w:b/>
                <w:sz w:val="18"/>
              </w:rPr>
            </w:pPr>
            <w:r>
              <w:rPr>
                <w:b/>
                <w:w w:val="95"/>
                <w:sz w:val="18"/>
              </w:rPr>
              <w:t>122,777</w:t>
            </w:r>
          </w:p>
        </w:tc>
        <w:tc>
          <w:tcPr>
            <w:tcW w:w="1140" w:type="dxa"/>
          </w:tcPr>
          <w:p>
            <w:pPr>
              <w:pStyle w:val="TableParagraph"/>
              <w:spacing w:before="20"/>
              <w:ind w:right="88"/>
              <w:jc w:val="right"/>
              <w:rPr>
                <w:sz w:val="18"/>
              </w:rPr>
            </w:pPr>
            <w:r>
              <w:rPr>
                <w:w w:val="95"/>
                <w:sz w:val="18"/>
              </w:rPr>
              <w:t>129,031</w:t>
            </w:r>
          </w:p>
        </w:tc>
      </w:tr>
      <w:tr>
        <w:trPr>
          <w:trHeight w:val="262" w:hRule="exact"/>
        </w:trPr>
        <w:tc>
          <w:tcPr>
            <w:tcW w:w="6953" w:type="dxa"/>
          </w:tcPr>
          <w:p>
            <w:pPr>
              <w:pStyle w:val="TableParagraph"/>
              <w:spacing w:before="18"/>
              <w:ind w:left="35"/>
              <w:rPr>
                <w:sz w:val="18"/>
              </w:rPr>
            </w:pPr>
            <w:r>
              <w:rPr>
                <w:sz w:val="18"/>
              </w:rPr>
              <w:t>Provisions</w:t>
            </w:r>
          </w:p>
        </w:tc>
        <w:tc>
          <w:tcPr>
            <w:tcW w:w="376" w:type="dxa"/>
          </w:tcPr>
          <w:p>
            <w:pPr>
              <w:pStyle w:val="TableParagraph"/>
              <w:spacing w:before="20"/>
              <w:ind w:left="35"/>
              <w:rPr>
                <w:sz w:val="18"/>
              </w:rPr>
            </w:pPr>
            <w:r>
              <w:rPr>
                <w:w w:val="99"/>
                <w:sz w:val="18"/>
              </w:rPr>
              <w:t>7</w:t>
            </w:r>
          </w:p>
        </w:tc>
        <w:tc>
          <w:tcPr>
            <w:tcW w:w="1452" w:type="dxa"/>
            <w:tcBorders>
              <w:bottom w:val="single" w:sz="1" w:space="0" w:color="000000"/>
            </w:tcBorders>
          </w:tcPr>
          <w:p>
            <w:pPr>
              <w:pStyle w:val="TableParagraph"/>
              <w:spacing w:before="20"/>
              <w:ind w:right="242"/>
              <w:jc w:val="right"/>
              <w:rPr>
                <w:b/>
                <w:sz w:val="18"/>
              </w:rPr>
            </w:pPr>
            <w:r>
              <w:rPr>
                <w:b/>
                <w:w w:val="95"/>
                <w:sz w:val="18"/>
              </w:rPr>
              <w:t>648,628</w:t>
            </w:r>
          </w:p>
        </w:tc>
        <w:tc>
          <w:tcPr>
            <w:tcW w:w="1140" w:type="dxa"/>
            <w:tcBorders>
              <w:bottom w:val="single" w:sz="1" w:space="0" w:color="000000"/>
            </w:tcBorders>
          </w:tcPr>
          <w:p>
            <w:pPr>
              <w:pStyle w:val="TableParagraph"/>
              <w:spacing w:before="20"/>
              <w:ind w:right="88"/>
              <w:jc w:val="right"/>
              <w:rPr>
                <w:sz w:val="18"/>
              </w:rPr>
            </w:pPr>
            <w:r>
              <w:rPr>
                <w:w w:val="95"/>
                <w:sz w:val="18"/>
              </w:rPr>
              <w:t>504,415</w:t>
            </w:r>
          </w:p>
        </w:tc>
      </w:tr>
      <w:tr>
        <w:trPr>
          <w:trHeight w:val="338" w:hRule="exact"/>
        </w:trPr>
        <w:tc>
          <w:tcPr>
            <w:tcW w:w="6953" w:type="dxa"/>
          </w:tcPr>
          <w:p>
            <w:pPr>
              <w:pStyle w:val="TableParagraph"/>
              <w:spacing w:before="38"/>
              <w:ind w:left="176"/>
              <w:rPr>
                <w:b/>
                <w:sz w:val="18"/>
              </w:rPr>
            </w:pPr>
            <w:r>
              <w:rPr>
                <w:b/>
                <w:sz w:val="18"/>
              </w:rPr>
              <w:t>Total Current Liabilities</w:t>
            </w:r>
          </w:p>
        </w:tc>
        <w:tc>
          <w:tcPr>
            <w:tcW w:w="376" w:type="dxa"/>
          </w:tcPr>
          <w:p>
            <w:pPr/>
          </w:p>
        </w:tc>
        <w:tc>
          <w:tcPr>
            <w:tcW w:w="1452" w:type="dxa"/>
            <w:tcBorders>
              <w:top w:val="single" w:sz="1" w:space="0" w:color="000000"/>
              <w:bottom w:val="single" w:sz="1" w:space="0" w:color="000000"/>
            </w:tcBorders>
          </w:tcPr>
          <w:p>
            <w:pPr>
              <w:pStyle w:val="TableParagraph"/>
              <w:spacing w:before="124"/>
              <w:ind w:right="243"/>
              <w:jc w:val="right"/>
              <w:rPr>
                <w:b/>
                <w:sz w:val="18"/>
              </w:rPr>
            </w:pPr>
            <w:r>
              <w:rPr>
                <w:b/>
                <w:w w:val="95"/>
                <w:sz w:val="18"/>
              </w:rPr>
              <w:t>1,371,562</w:t>
            </w:r>
          </w:p>
        </w:tc>
        <w:tc>
          <w:tcPr>
            <w:tcW w:w="1140" w:type="dxa"/>
            <w:tcBorders>
              <w:top w:val="single" w:sz="1" w:space="0" w:color="000000"/>
              <w:bottom w:val="single" w:sz="1" w:space="0" w:color="000000"/>
            </w:tcBorders>
          </w:tcPr>
          <w:p>
            <w:pPr>
              <w:pStyle w:val="TableParagraph"/>
              <w:spacing w:before="124"/>
              <w:ind w:right="87"/>
              <w:jc w:val="right"/>
              <w:rPr>
                <w:sz w:val="18"/>
              </w:rPr>
            </w:pPr>
            <w:r>
              <w:rPr>
                <w:w w:val="95"/>
                <w:sz w:val="18"/>
              </w:rPr>
              <w:t>1,208,440</w:t>
            </w:r>
          </w:p>
        </w:tc>
      </w:tr>
      <w:tr>
        <w:trPr>
          <w:trHeight w:val="602" w:hRule="exact"/>
        </w:trPr>
        <w:tc>
          <w:tcPr>
            <w:tcW w:w="6953" w:type="dxa"/>
          </w:tcPr>
          <w:p>
            <w:pPr>
              <w:pStyle w:val="TableParagraph"/>
              <w:spacing w:before="125"/>
              <w:ind w:left="35"/>
              <w:rPr>
                <w:b/>
                <w:sz w:val="18"/>
              </w:rPr>
            </w:pPr>
            <w:r>
              <w:rPr>
                <w:b/>
                <w:sz w:val="18"/>
              </w:rPr>
              <w:t>Non-Current Liabilities</w:t>
            </w:r>
          </w:p>
          <w:p>
            <w:pPr>
              <w:pStyle w:val="TableParagraph"/>
              <w:spacing w:before="26"/>
              <w:ind w:left="35"/>
              <w:rPr>
                <w:sz w:val="18"/>
              </w:rPr>
            </w:pPr>
            <w:r>
              <w:rPr>
                <w:sz w:val="18"/>
              </w:rPr>
              <w:t>Provisions</w:t>
            </w:r>
          </w:p>
        </w:tc>
        <w:tc>
          <w:tcPr>
            <w:tcW w:w="376" w:type="dxa"/>
          </w:tcPr>
          <w:p>
            <w:pPr>
              <w:pStyle w:val="TableParagraph"/>
              <w:rPr>
                <w:sz w:val="18"/>
              </w:rPr>
            </w:pPr>
          </w:p>
          <w:p>
            <w:pPr>
              <w:pStyle w:val="TableParagraph"/>
              <w:spacing w:before="153"/>
              <w:ind w:left="35"/>
              <w:rPr>
                <w:sz w:val="18"/>
              </w:rPr>
            </w:pPr>
            <w:r>
              <w:rPr>
                <w:w w:val="99"/>
                <w:sz w:val="18"/>
              </w:rPr>
              <w:t>7</w:t>
            </w:r>
          </w:p>
        </w:tc>
        <w:tc>
          <w:tcPr>
            <w:tcW w:w="1452" w:type="dxa"/>
            <w:tcBorders>
              <w:top w:val="single" w:sz="1" w:space="0" w:color="000000"/>
              <w:bottom w:val="single" w:sz="1" w:space="0" w:color="000000"/>
            </w:tcBorders>
          </w:tcPr>
          <w:p>
            <w:pPr>
              <w:pStyle w:val="TableParagraph"/>
              <w:rPr>
                <w:sz w:val="18"/>
              </w:rPr>
            </w:pPr>
          </w:p>
          <w:p>
            <w:pPr>
              <w:pStyle w:val="TableParagraph"/>
              <w:spacing w:before="152"/>
              <w:ind w:right="242"/>
              <w:jc w:val="right"/>
              <w:rPr>
                <w:b/>
                <w:sz w:val="18"/>
              </w:rPr>
            </w:pPr>
            <w:r>
              <w:rPr>
                <w:b/>
                <w:w w:val="95"/>
                <w:sz w:val="18"/>
              </w:rPr>
              <w:t>85,000</w:t>
            </w:r>
          </w:p>
        </w:tc>
        <w:tc>
          <w:tcPr>
            <w:tcW w:w="1140" w:type="dxa"/>
            <w:tcBorders>
              <w:top w:val="single" w:sz="1" w:space="0" w:color="000000"/>
              <w:bottom w:val="single" w:sz="1" w:space="0" w:color="000000"/>
            </w:tcBorders>
          </w:tcPr>
          <w:p>
            <w:pPr>
              <w:pStyle w:val="TableParagraph"/>
              <w:rPr>
                <w:sz w:val="18"/>
              </w:rPr>
            </w:pPr>
          </w:p>
          <w:p>
            <w:pPr>
              <w:pStyle w:val="TableParagraph"/>
              <w:spacing w:before="152"/>
              <w:ind w:right="87"/>
              <w:jc w:val="right"/>
              <w:rPr>
                <w:sz w:val="18"/>
              </w:rPr>
            </w:pPr>
            <w:r>
              <w:rPr>
                <w:w w:val="95"/>
                <w:sz w:val="18"/>
              </w:rPr>
              <w:t>81,844</w:t>
            </w:r>
          </w:p>
        </w:tc>
      </w:tr>
      <w:tr>
        <w:trPr>
          <w:trHeight w:val="338" w:hRule="exact"/>
        </w:trPr>
        <w:tc>
          <w:tcPr>
            <w:tcW w:w="7329" w:type="dxa"/>
            <w:gridSpan w:val="2"/>
          </w:tcPr>
          <w:p>
            <w:pPr>
              <w:pStyle w:val="TableParagraph"/>
              <w:spacing w:before="29"/>
              <w:ind w:left="176"/>
              <w:rPr>
                <w:b/>
                <w:sz w:val="18"/>
              </w:rPr>
            </w:pPr>
            <w:r>
              <w:rPr>
                <w:b/>
                <w:sz w:val="18"/>
              </w:rPr>
              <w:t>Total Non-Current Liabilities</w:t>
            </w:r>
          </w:p>
        </w:tc>
        <w:tc>
          <w:tcPr>
            <w:tcW w:w="1452" w:type="dxa"/>
            <w:tcBorders>
              <w:bottom w:val="single" w:sz="1" w:space="0" w:color="000000"/>
            </w:tcBorders>
          </w:tcPr>
          <w:p>
            <w:pPr>
              <w:pStyle w:val="TableParagraph"/>
              <w:spacing w:before="115"/>
              <w:ind w:right="242"/>
              <w:jc w:val="right"/>
              <w:rPr>
                <w:b/>
                <w:sz w:val="18"/>
              </w:rPr>
            </w:pPr>
            <w:r>
              <w:rPr>
                <w:b/>
                <w:w w:val="95"/>
                <w:sz w:val="18"/>
              </w:rPr>
              <w:t>85,000</w:t>
            </w:r>
          </w:p>
        </w:tc>
        <w:tc>
          <w:tcPr>
            <w:tcW w:w="1140" w:type="dxa"/>
            <w:tcBorders>
              <w:bottom w:val="single" w:sz="1" w:space="0" w:color="000000"/>
            </w:tcBorders>
          </w:tcPr>
          <w:p>
            <w:pPr>
              <w:pStyle w:val="TableParagraph"/>
              <w:spacing w:before="115"/>
              <w:ind w:right="87"/>
              <w:jc w:val="right"/>
              <w:rPr>
                <w:sz w:val="18"/>
              </w:rPr>
            </w:pPr>
            <w:r>
              <w:rPr>
                <w:w w:val="95"/>
                <w:sz w:val="18"/>
              </w:rPr>
              <w:t>81,844</w:t>
            </w:r>
          </w:p>
        </w:tc>
      </w:tr>
      <w:tr>
        <w:trPr>
          <w:trHeight w:val="338" w:hRule="exact"/>
        </w:trPr>
        <w:tc>
          <w:tcPr>
            <w:tcW w:w="7329" w:type="dxa"/>
            <w:gridSpan w:val="2"/>
          </w:tcPr>
          <w:p>
            <w:pPr>
              <w:pStyle w:val="TableParagraph"/>
              <w:spacing w:before="38"/>
              <w:ind w:left="176"/>
              <w:rPr>
                <w:b/>
                <w:sz w:val="18"/>
              </w:rPr>
            </w:pPr>
            <w:r>
              <w:rPr>
                <w:b/>
                <w:sz w:val="18"/>
              </w:rPr>
              <w:t>Total Liabilities</w:t>
            </w:r>
          </w:p>
        </w:tc>
        <w:tc>
          <w:tcPr>
            <w:tcW w:w="1452" w:type="dxa"/>
            <w:tcBorders>
              <w:top w:val="single" w:sz="1" w:space="0" w:color="000000"/>
              <w:bottom w:val="single" w:sz="1" w:space="0" w:color="000000"/>
            </w:tcBorders>
          </w:tcPr>
          <w:p>
            <w:pPr>
              <w:pStyle w:val="TableParagraph"/>
              <w:spacing w:before="124"/>
              <w:ind w:right="243"/>
              <w:jc w:val="right"/>
              <w:rPr>
                <w:b/>
                <w:sz w:val="18"/>
              </w:rPr>
            </w:pPr>
            <w:r>
              <w:rPr>
                <w:b/>
                <w:w w:val="95"/>
                <w:sz w:val="18"/>
              </w:rPr>
              <w:t>1,456,562</w:t>
            </w:r>
          </w:p>
        </w:tc>
        <w:tc>
          <w:tcPr>
            <w:tcW w:w="1140" w:type="dxa"/>
            <w:tcBorders>
              <w:top w:val="single" w:sz="1" w:space="0" w:color="000000"/>
              <w:bottom w:val="single" w:sz="1" w:space="0" w:color="000000"/>
            </w:tcBorders>
          </w:tcPr>
          <w:p>
            <w:pPr>
              <w:pStyle w:val="TableParagraph"/>
              <w:spacing w:before="124"/>
              <w:ind w:right="87"/>
              <w:jc w:val="right"/>
              <w:rPr>
                <w:sz w:val="18"/>
              </w:rPr>
            </w:pPr>
            <w:r>
              <w:rPr>
                <w:w w:val="95"/>
                <w:sz w:val="18"/>
              </w:rPr>
              <w:t>1,290,284</w:t>
            </w:r>
          </w:p>
        </w:tc>
      </w:tr>
      <w:tr>
        <w:trPr>
          <w:trHeight w:val="353" w:hRule="exact"/>
        </w:trPr>
        <w:tc>
          <w:tcPr>
            <w:tcW w:w="6953" w:type="dxa"/>
          </w:tcPr>
          <w:p>
            <w:pPr>
              <w:pStyle w:val="TableParagraph"/>
              <w:spacing w:before="29"/>
              <w:ind w:left="176"/>
              <w:rPr>
                <w:b/>
                <w:sz w:val="18"/>
              </w:rPr>
            </w:pPr>
            <w:r>
              <w:rPr>
                <w:b/>
                <w:sz w:val="18"/>
              </w:rPr>
              <w:t>Net Assets</w:t>
            </w:r>
          </w:p>
        </w:tc>
        <w:tc>
          <w:tcPr>
            <w:tcW w:w="376" w:type="dxa"/>
          </w:tcPr>
          <w:p>
            <w:pPr/>
          </w:p>
        </w:tc>
        <w:tc>
          <w:tcPr>
            <w:tcW w:w="1452" w:type="dxa"/>
            <w:tcBorders>
              <w:bottom w:val="single" w:sz="1" w:space="0" w:color="000000"/>
            </w:tcBorders>
          </w:tcPr>
          <w:p>
            <w:pPr>
              <w:pStyle w:val="TableParagraph"/>
              <w:spacing w:before="115"/>
              <w:ind w:right="243"/>
              <w:jc w:val="right"/>
              <w:rPr>
                <w:b/>
                <w:sz w:val="18"/>
              </w:rPr>
            </w:pPr>
            <w:r>
              <w:rPr>
                <w:b/>
                <w:w w:val="95"/>
                <w:sz w:val="18"/>
              </w:rPr>
              <w:t>1,428,886</w:t>
            </w:r>
          </w:p>
        </w:tc>
        <w:tc>
          <w:tcPr>
            <w:tcW w:w="1140" w:type="dxa"/>
            <w:tcBorders>
              <w:bottom w:val="single" w:sz="1" w:space="0" w:color="000000"/>
            </w:tcBorders>
          </w:tcPr>
          <w:p>
            <w:pPr>
              <w:pStyle w:val="TableParagraph"/>
              <w:spacing w:before="115"/>
              <w:ind w:right="87"/>
              <w:jc w:val="right"/>
              <w:rPr>
                <w:sz w:val="18"/>
              </w:rPr>
            </w:pPr>
            <w:r>
              <w:rPr>
                <w:w w:val="95"/>
                <w:sz w:val="18"/>
              </w:rPr>
              <w:t>1,054,055</w:t>
            </w:r>
          </w:p>
        </w:tc>
      </w:tr>
      <w:tr>
        <w:trPr>
          <w:trHeight w:val="617" w:hRule="exact"/>
        </w:trPr>
        <w:tc>
          <w:tcPr>
            <w:tcW w:w="6953" w:type="dxa"/>
          </w:tcPr>
          <w:p>
            <w:pPr>
              <w:pStyle w:val="TableParagraph"/>
              <w:spacing w:before="139"/>
              <w:ind w:left="35"/>
              <w:rPr>
                <w:b/>
                <w:sz w:val="18"/>
              </w:rPr>
            </w:pPr>
            <w:r>
              <w:rPr>
                <w:b/>
                <w:sz w:val="18"/>
              </w:rPr>
              <w:t>EQUITY</w:t>
            </w:r>
          </w:p>
          <w:p>
            <w:pPr>
              <w:pStyle w:val="TableParagraph"/>
              <w:spacing w:before="26"/>
              <w:ind w:left="35"/>
              <w:rPr>
                <w:sz w:val="18"/>
              </w:rPr>
            </w:pPr>
            <w:r>
              <w:rPr>
                <w:sz w:val="18"/>
              </w:rPr>
              <w:t>Retained Earnings</w:t>
            </w:r>
          </w:p>
        </w:tc>
        <w:tc>
          <w:tcPr>
            <w:tcW w:w="376" w:type="dxa"/>
          </w:tcPr>
          <w:p>
            <w:pPr>
              <w:pStyle w:val="TableParagraph"/>
              <w:rPr>
                <w:sz w:val="18"/>
              </w:rPr>
            </w:pPr>
          </w:p>
          <w:p>
            <w:pPr>
              <w:pStyle w:val="TableParagraph"/>
              <w:spacing w:before="6"/>
              <w:rPr>
                <w:sz w:val="14"/>
              </w:rPr>
            </w:pPr>
          </w:p>
          <w:p>
            <w:pPr>
              <w:pStyle w:val="TableParagraph"/>
              <w:ind w:left="35"/>
              <w:rPr>
                <w:sz w:val="18"/>
              </w:rPr>
            </w:pPr>
            <w:r>
              <w:rPr>
                <w:w w:val="99"/>
                <w:sz w:val="18"/>
              </w:rPr>
              <w:t>8</w:t>
            </w:r>
          </w:p>
        </w:tc>
        <w:tc>
          <w:tcPr>
            <w:tcW w:w="1452" w:type="dxa"/>
            <w:tcBorders>
              <w:top w:val="single" w:sz="1" w:space="0" w:color="000000"/>
              <w:bottom w:val="single" w:sz="1" w:space="0" w:color="000000"/>
            </w:tcBorders>
          </w:tcPr>
          <w:p>
            <w:pPr>
              <w:pStyle w:val="TableParagraph"/>
              <w:rPr>
                <w:sz w:val="18"/>
              </w:rPr>
            </w:pPr>
          </w:p>
          <w:p>
            <w:pPr>
              <w:pStyle w:val="TableParagraph"/>
              <w:spacing w:before="5"/>
              <w:rPr>
                <w:sz w:val="14"/>
              </w:rPr>
            </w:pPr>
          </w:p>
          <w:p>
            <w:pPr>
              <w:pStyle w:val="TableParagraph"/>
              <w:ind w:right="243"/>
              <w:jc w:val="right"/>
              <w:rPr>
                <w:b/>
                <w:sz w:val="18"/>
              </w:rPr>
            </w:pPr>
            <w:r>
              <w:rPr>
                <w:b/>
                <w:w w:val="95"/>
                <w:sz w:val="18"/>
              </w:rPr>
              <w:t>1,428,886</w:t>
            </w:r>
          </w:p>
        </w:tc>
        <w:tc>
          <w:tcPr>
            <w:tcW w:w="1140" w:type="dxa"/>
            <w:tcBorders>
              <w:top w:val="single" w:sz="1" w:space="0" w:color="000000"/>
              <w:bottom w:val="single" w:sz="1" w:space="0" w:color="000000"/>
            </w:tcBorders>
          </w:tcPr>
          <w:p>
            <w:pPr>
              <w:pStyle w:val="TableParagraph"/>
              <w:rPr>
                <w:sz w:val="18"/>
              </w:rPr>
            </w:pPr>
          </w:p>
          <w:p>
            <w:pPr>
              <w:pStyle w:val="TableParagraph"/>
              <w:spacing w:before="5"/>
              <w:rPr>
                <w:sz w:val="14"/>
              </w:rPr>
            </w:pPr>
          </w:p>
          <w:p>
            <w:pPr>
              <w:pStyle w:val="TableParagraph"/>
              <w:ind w:right="87"/>
              <w:jc w:val="right"/>
              <w:rPr>
                <w:sz w:val="18"/>
              </w:rPr>
            </w:pPr>
            <w:r>
              <w:rPr>
                <w:w w:val="95"/>
                <w:sz w:val="18"/>
              </w:rPr>
              <w:t>1,054,055</w:t>
            </w:r>
          </w:p>
        </w:tc>
      </w:tr>
      <w:tr>
        <w:trPr>
          <w:trHeight w:val="353" w:hRule="exact"/>
        </w:trPr>
        <w:tc>
          <w:tcPr>
            <w:tcW w:w="7329" w:type="dxa"/>
            <w:gridSpan w:val="2"/>
          </w:tcPr>
          <w:p>
            <w:pPr>
              <w:pStyle w:val="TableParagraph"/>
              <w:spacing w:before="29"/>
              <w:ind w:left="176"/>
              <w:rPr>
                <w:b/>
                <w:sz w:val="18"/>
              </w:rPr>
            </w:pPr>
            <w:r>
              <w:rPr>
                <w:b/>
                <w:sz w:val="18"/>
              </w:rPr>
              <w:t>Total Equity</w:t>
            </w:r>
          </w:p>
        </w:tc>
        <w:tc>
          <w:tcPr>
            <w:tcW w:w="1452" w:type="dxa"/>
            <w:tcBorders>
              <w:bottom w:val="single" w:sz="1" w:space="0" w:color="000000"/>
            </w:tcBorders>
          </w:tcPr>
          <w:p>
            <w:pPr>
              <w:pStyle w:val="TableParagraph"/>
              <w:spacing w:before="115"/>
              <w:ind w:right="243"/>
              <w:jc w:val="right"/>
              <w:rPr>
                <w:b/>
                <w:sz w:val="18"/>
              </w:rPr>
            </w:pPr>
            <w:r>
              <w:rPr>
                <w:b/>
                <w:w w:val="95"/>
                <w:sz w:val="18"/>
              </w:rPr>
              <w:t>1,428,886</w:t>
            </w:r>
          </w:p>
        </w:tc>
        <w:tc>
          <w:tcPr>
            <w:tcW w:w="1140" w:type="dxa"/>
            <w:tcBorders>
              <w:bottom w:val="single" w:sz="1" w:space="0" w:color="000000"/>
            </w:tcBorders>
          </w:tcPr>
          <w:p>
            <w:pPr>
              <w:pStyle w:val="TableParagraph"/>
              <w:spacing w:before="115"/>
              <w:ind w:right="87"/>
              <w:jc w:val="right"/>
              <w:rPr>
                <w:sz w:val="18"/>
              </w:rPr>
            </w:pPr>
            <w:r>
              <w:rPr>
                <w:w w:val="95"/>
                <w:sz w:val="18"/>
              </w:rPr>
              <w:t>1,054,055</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p>
      <w:pPr>
        <w:pStyle w:val="BodyText"/>
        <w:spacing w:before="78"/>
        <w:ind w:left="2507" w:right="105"/>
      </w:pPr>
      <w:r>
        <w:rPr/>
        <w:t>The accompanying notes form part of these financial statements.</w:t>
      </w:r>
    </w:p>
    <w:p>
      <w:pPr>
        <w:spacing w:after="0"/>
        <w:sectPr>
          <w:pgSz w:w="11910" w:h="16840"/>
          <w:pgMar w:header="1037" w:footer="512" w:top="1460" w:bottom="700" w:left="860" w:right="880"/>
        </w:sectPr>
      </w:pPr>
    </w:p>
    <w:p>
      <w:pPr>
        <w:pStyle w:val="BodyText"/>
        <w:spacing w:before="7"/>
        <w:rPr>
          <w:sz w:val="29"/>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31"/>
        <w:gridCol w:w="1318"/>
        <w:gridCol w:w="1274"/>
      </w:tblGrid>
      <w:tr>
        <w:trPr>
          <w:trHeight w:val="533" w:hRule="exact"/>
        </w:trPr>
        <w:tc>
          <w:tcPr>
            <w:tcW w:w="7331" w:type="dxa"/>
            <w:vMerge w:val="restart"/>
          </w:tcPr>
          <w:p>
            <w:pPr/>
          </w:p>
        </w:tc>
        <w:tc>
          <w:tcPr>
            <w:tcW w:w="1318" w:type="dxa"/>
          </w:tcPr>
          <w:p>
            <w:pPr>
              <w:pStyle w:val="TableParagraph"/>
              <w:spacing w:before="77"/>
              <w:ind w:left="268" w:right="274" w:hanging="5"/>
              <w:rPr>
                <w:b/>
                <w:sz w:val="18"/>
              </w:rPr>
            </w:pPr>
            <w:bookmarkStart w:name="Statement of Changes in Equity" w:id="179"/>
            <w:bookmarkEnd w:id="179"/>
            <w:r>
              <w:rPr/>
            </w:r>
            <w:r>
              <w:rPr>
                <w:b/>
                <w:sz w:val="18"/>
              </w:rPr>
              <w:t>Retained earnings</w:t>
            </w:r>
          </w:p>
        </w:tc>
        <w:tc>
          <w:tcPr>
            <w:tcW w:w="1274" w:type="dxa"/>
          </w:tcPr>
          <w:p>
            <w:pPr>
              <w:pStyle w:val="TableParagraph"/>
              <w:spacing w:before="7"/>
              <w:rPr>
                <w:sz w:val="24"/>
              </w:rPr>
            </w:pPr>
          </w:p>
          <w:p>
            <w:pPr>
              <w:pStyle w:val="TableParagraph"/>
              <w:ind w:right="147"/>
              <w:jc w:val="right"/>
              <w:rPr>
                <w:b/>
                <w:sz w:val="18"/>
              </w:rPr>
            </w:pPr>
            <w:r>
              <w:rPr>
                <w:b/>
                <w:sz w:val="18"/>
              </w:rPr>
              <w:t>Total equity</w:t>
            </w:r>
          </w:p>
        </w:tc>
      </w:tr>
      <w:tr>
        <w:trPr>
          <w:trHeight w:val="283" w:hRule="exact"/>
        </w:trPr>
        <w:tc>
          <w:tcPr>
            <w:tcW w:w="7331" w:type="dxa"/>
            <w:vMerge/>
          </w:tcPr>
          <w:p>
            <w:pPr/>
          </w:p>
        </w:tc>
        <w:tc>
          <w:tcPr>
            <w:tcW w:w="1318" w:type="dxa"/>
          </w:tcPr>
          <w:p>
            <w:pPr>
              <w:pStyle w:val="TableParagraph"/>
              <w:spacing w:before="24"/>
              <w:ind w:right="25"/>
              <w:jc w:val="center"/>
              <w:rPr>
                <w:b/>
                <w:sz w:val="18"/>
              </w:rPr>
            </w:pPr>
            <w:r>
              <w:rPr>
                <w:b/>
                <w:w w:val="99"/>
                <w:sz w:val="18"/>
              </w:rPr>
              <w:t>$</w:t>
            </w:r>
          </w:p>
        </w:tc>
        <w:tc>
          <w:tcPr>
            <w:tcW w:w="1274" w:type="dxa"/>
          </w:tcPr>
          <w:p>
            <w:pPr>
              <w:pStyle w:val="TableParagraph"/>
              <w:spacing w:before="24"/>
              <w:ind w:right="49"/>
              <w:jc w:val="center"/>
              <w:rPr>
                <w:b/>
                <w:sz w:val="18"/>
              </w:rPr>
            </w:pPr>
            <w:r>
              <w:rPr>
                <w:b/>
                <w:w w:val="99"/>
                <w:sz w:val="18"/>
              </w:rPr>
              <w:t>$</w:t>
            </w:r>
          </w:p>
        </w:tc>
      </w:tr>
      <w:tr>
        <w:trPr>
          <w:trHeight w:val="325" w:hRule="exact"/>
        </w:trPr>
        <w:tc>
          <w:tcPr>
            <w:tcW w:w="7331" w:type="dxa"/>
          </w:tcPr>
          <w:p>
            <w:pPr>
              <w:pStyle w:val="TableParagraph"/>
              <w:spacing w:before="33"/>
              <w:ind w:left="35"/>
              <w:rPr>
                <w:b/>
                <w:sz w:val="18"/>
              </w:rPr>
            </w:pPr>
            <w:r>
              <w:rPr>
                <w:b/>
                <w:sz w:val="18"/>
              </w:rPr>
              <w:t>Balance at 1 January 2017</w:t>
            </w:r>
          </w:p>
        </w:tc>
        <w:tc>
          <w:tcPr>
            <w:tcW w:w="1318" w:type="dxa"/>
          </w:tcPr>
          <w:p>
            <w:pPr>
              <w:pStyle w:val="TableParagraph"/>
              <w:spacing w:before="38"/>
              <w:ind w:right="108"/>
              <w:jc w:val="right"/>
              <w:rPr>
                <w:b/>
                <w:sz w:val="18"/>
              </w:rPr>
            </w:pPr>
            <w:r>
              <w:rPr>
                <w:b/>
                <w:w w:val="95"/>
                <w:sz w:val="18"/>
              </w:rPr>
              <w:t>1,054,055</w:t>
            </w:r>
          </w:p>
        </w:tc>
        <w:tc>
          <w:tcPr>
            <w:tcW w:w="1274" w:type="dxa"/>
          </w:tcPr>
          <w:p>
            <w:pPr>
              <w:pStyle w:val="TableParagraph"/>
              <w:spacing w:before="38"/>
              <w:ind w:right="84"/>
              <w:jc w:val="right"/>
              <w:rPr>
                <w:b/>
                <w:sz w:val="18"/>
              </w:rPr>
            </w:pPr>
            <w:r>
              <w:rPr>
                <w:b/>
                <w:w w:val="95"/>
                <w:sz w:val="18"/>
              </w:rPr>
              <w:t>1,054,055</w:t>
            </w:r>
          </w:p>
        </w:tc>
      </w:tr>
      <w:tr>
        <w:trPr>
          <w:trHeight w:val="542" w:hRule="exact"/>
        </w:trPr>
        <w:tc>
          <w:tcPr>
            <w:tcW w:w="7331" w:type="dxa"/>
          </w:tcPr>
          <w:p>
            <w:pPr>
              <w:pStyle w:val="TableParagraph"/>
              <w:spacing w:before="61"/>
              <w:ind w:left="35"/>
              <w:rPr>
                <w:b/>
                <w:sz w:val="18"/>
              </w:rPr>
            </w:pPr>
            <w:r>
              <w:rPr>
                <w:b/>
                <w:sz w:val="18"/>
              </w:rPr>
              <w:t>Comprehensive income for the year</w:t>
            </w:r>
          </w:p>
          <w:p>
            <w:pPr>
              <w:pStyle w:val="TableParagraph"/>
              <w:spacing w:before="30"/>
              <w:ind w:left="176"/>
              <w:rPr>
                <w:sz w:val="18"/>
              </w:rPr>
            </w:pPr>
            <w:r>
              <w:rPr>
                <w:sz w:val="18"/>
              </w:rPr>
              <w:t>Surplus for the year</w:t>
            </w:r>
          </w:p>
        </w:tc>
        <w:tc>
          <w:tcPr>
            <w:tcW w:w="1318" w:type="dxa"/>
          </w:tcPr>
          <w:p>
            <w:pPr>
              <w:pStyle w:val="TableParagraph"/>
              <w:spacing w:before="8"/>
              <w:rPr>
                <w:sz w:val="25"/>
              </w:rPr>
            </w:pPr>
          </w:p>
          <w:p>
            <w:pPr>
              <w:pStyle w:val="TableParagraph"/>
              <w:ind w:right="108"/>
              <w:jc w:val="right"/>
              <w:rPr>
                <w:b/>
                <w:sz w:val="18"/>
              </w:rPr>
            </w:pPr>
            <w:r>
              <w:rPr>
                <w:b/>
                <w:w w:val="95"/>
                <w:sz w:val="18"/>
              </w:rPr>
              <w:t>374,831</w:t>
            </w:r>
          </w:p>
        </w:tc>
        <w:tc>
          <w:tcPr>
            <w:tcW w:w="1274" w:type="dxa"/>
          </w:tcPr>
          <w:p>
            <w:pPr>
              <w:pStyle w:val="TableParagraph"/>
              <w:spacing w:before="8"/>
              <w:rPr>
                <w:sz w:val="25"/>
              </w:rPr>
            </w:pPr>
          </w:p>
          <w:p>
            <w:pPr>
              <w:pStyle w:val="TableParagraph"/>
              <w:ind w:right="84"/>
              <w:jc w:val="right"/>
              <w:rPr>
                <w:b/>
                <w:sz w:val="18"/>
              </w:rPr>
            </w:pPr>
            <w:r>
              <w:rPr>
                <w:b/>
                <w:w w:val="95"/>
                <w:sz w:val="18"/>
              </w:rPr>
              <w:t>374,831</w:t>
            </w:r>
          </w:p>
        </w:tc>
      </w:tr>
      <w:tr>
        <w:trPr>
          <w:trHeight w:val="260" w:hRule="exact"/>
        </w:trPr>
        <w:tc>
          <w:tcPr>
            <w:tcW w:w="7331" w:type="dxa"/>
          </w:tcPr>
          <w:p>
            <w:pPr>
              <w:pStyle w:val="TableParagraph"/>
              <w:spacing w:before="20"/>
              <w:ind w:left="176"/>
              <w:rPr>
                <w:sz w:val="18"/>
              </w:rPr>
            </w:pPr>
            <w:r>
              <w:rPr>
                <w:sz w:val="18"/>
              </w:rPr>
              <w:t>Other comprehensive income for the year</w:t>
            </w:r>
          </w:p>
        </w:tc>
        <w:tc>
          <w:tcPr>
            <w:tcW w:w="1318" w:type="dxa"/>
            <w:tcBorders>
              <w:bottom w:val="single" w:sz="1" w:space="0" w:color="000000"/>
            </w:tcBorders>
          </w:tcPr>
          <w:p>
            <w:pPr>
              <w:pStyle w:val="TableParagraph"/>
              <w:spacing w:before="18"/>
              <w:ind w:right="108"/>
              <w:jc w:val="right"/>
              <w:rPr>
                <w:b/>
                <w:sz w:val="18"/>
              </w:rPr>
            </w:pPr>
            <w:r>
              <w:rPr>
                <w:b/>
                <w:w w:val="99"/>
                <w:sz w:val="18"/>
              </w:rPr>
              <w:t>-</w:t>
            </w:r>
          </w:p>
        </w:tc>
        <w:tc>
          <w:tcPr>
            <w:tcW w:w="1274" w:type="dxa"/>
            <w:tcBorders>
              <w:bottom w:val="single" w:sz="1" w:space="0" w:color="000000"/>
            </w:tcBorders>
          </w:tcPr>
          <w:p>
            <w:pPr>
              <w:pStyle w:val="TableParagraph"/>
              <w:spacing w:before="18"/>
              <w:ind w:right="84"/>
              <w:jc w:val="right"/>
              <w:rPr>
                <w:b/>
                <w:sz w:val="18"/>
              </w:rPr>
            </w:pPr>
            <w:r>
              <w:rPr>
                <w:b/>
                <w:w w:val="99"/>
                <w:sz w:val="18"/>
              </w:rPr>
              <w:t>-</w:t>
            </w:r>
          </w:p>
        </w:tc>
      </w:tr>
      <w:tr>
        <w:trPr>
          <w:trHeight w:val="338" w:hRule="exact"/>
        </w:trPr>
        <w:tc>
          <w:tcPr>
            <w:tcW w:w="7331" w:type="dxa"/>
          </w:tcPr>
          <w:p>
            <w:pPr>
              <w:pStyle w:val="TableParagraph"/>
              <w:spacing w:before="125"/>
              <w:ind w:left="35"/>
              <w:rPr>
                <w:b/>
                <w:sz w:val="18"/>
              </w:rPr>
            </w:pPr>
            <w:r>
              <w:rPr>
                <w:b/>
                <w:sz w:val="18"/>
              </w:rPr>
              <w:t>Total comprehensive income for the year</w:t>
            </w:r>
          </w:p>
        </w:tc>
        <w:tc>
          <w:tcPr>
            <w:tcW w:w="1318" w:type="dxa"/>
            <w:tcBorders>
              <w:top w:val="single" w:sz="1" w:space="0" w:color="000000"/>
              <w:bottom w:val="single" w:sz="1" w:space="0" w:color="000000"/>
            </w:tcBorders>
          </w:tcPr>
          <w:p>
            <w:pPr>
              <w:pStyle w:val="TableParagraph"/>
              <w:spacing w:before="124"/>
              <w:ind w:right="108"/>
              <w:jc w:val="right"/>
              <w:rPr>
                <w:b/>
                <w:sz w:val="18"/>
              </w:rPr>
            </w:pPr>
            <w:r>
              <w:rPr>
                <w:b/>
                <w:w w:val="95"/>
                <w:sz w:val="18"/>
              </w:rPr>
              <w:t>374,831</w:t>
            </w:r>
          </w:p>
        </w:tc>
        <w:tc>
          <w:tcPr>
            <w:tcW w:w="1274" w:type="dxa"/>
            <w:tcBorders>
              <w:top w:val="single" w:sz="1" w:space="0" w:color="000000"/>
              <w:bottom w:val="single" w:sz="1" w:space="0" w:color="000000"/>
            </w:tcBorders>
          </w:tcPr>
          <w:p>
            <w:pPr>
              <w:pStyle w:val="TableParagraph"/>
              <w:spacing w:before="124"/>
              <w:ind w:right="84"/>
              <w:jc w:val="right"/>
              <w:rPr>
                <w:b/>
                <w:sz w:val="18"/>
              </w:rPr>
            </w:pPr>
            <w:r>
              <w:rPr>
                <w:b/>
                <w:w w:val="95"/>
                <w:sz w:val="18"/>
              </w:rPr>
              <w:t>374,831</w:t>
            </w:r>
          </w:p>
        </w:tc>
      </w:tr>
      <w:tr>
        <w:trPr>
          <w:trHeight w:val="353" w:hRule="exact"/>
        </w:trPr>
        <w:tc>
          <w:tcPr>
            <w:tcW w:w="7331" w:type="dxa"/>
          </w:tcPr>
          <w:p>
            <w:pPr>
              <w:pStyle w:val="TableParagraph"/>
              <w:spacing w:before="125"/>
              <w:ind w:left="35"/>
              <w:rPr>
                <w:b/>
                <w:sz w:val="18"/>
              </w:rPr>
            </w:pPr>
            <w:r>
              <w:rPr>
                <w:b/>
                <w:sz w:val="18"/>
              </w:rPr>
              <w:t>Balance at 31 December 2017</w:t>
            </w:r>
          </w:p>
        </w:tc>
        <w:tc>
          <w:tcPr>
            <w:tcW w:w="1318" w:type="dxa"/>
            <w:tcBorders>
              <w:top w:val="single" w:sz="1" w:space="0" w:color="000000"/>
              <w:bottom w:val="single" w:sz="1" w:space="0" w:color="000000"/>
            </w:tcBorders>
          </w:tcPr>
          <w:p>
            <w:pPr>
              <w:pStyle w:val="TableParagraph"/>
              <w:spacing w:before="124"/>
              <w:ind w:right="108"/>
              <w:jc w:val="right"/>
              <w:rPr>
                <w:b/>
                <w:sz w:val="18"/>
              </w:rPr>
            </w:pPr>
            <w:r>
              <w:rPr>
                <w:b/>
                <w:w w:val="95"/>
                <w:sz w:val="18"/>
              </w:rPr>
              <w:t>1,428,886</w:t>
            </w:r>
          </w:p>
        </w:tc>
        <w:tc>
          <w:tcPr>
            <w:tcW w:w="1274" w:type="dxa"/>
            <w:tcBorders>
              <w:top w:val="single" w:sz="1" w:space="0" w:color="000000"/>
              <w:bottom w:val="single" w:sz="1" w:space="0" w:color="000000"/>
            </w:tcBorders>
          </w:tcPr>
          <w:p>
            <w:pPr>
              <w:pStyle w:val="TableParagraph"/>
              <w:spacing w:before="124"/>
              <w:ind w:right="84"/>
              <w:jc w:val="right"/>
              <w:rPr>
                <w:b/>
                <w:sz w:val="18"/>
              </w:rPr>
            </w:pPr>
            <w:r>
              <w:rPr>
                <w:b/>
                <w:w w:val="95"/>
                <w:sz w:val="18"/>
              </w:rPr>
              <w:t>1,428,886</w:t>
            </w:r>
          </w:p>
        </w:tc>
      </w:tr>
    </w:tbl>
    <w:p>
      <w:pPr>
        <w:pStyle w:val="BodyText"/>
        <w:rPr>
          <w:sz w:val="20"/>
        </w:rPr>
      </w:pPr>
    </w:p>
    <w:p>
      <w:pPr>
        <w:pStyle w:val="BodyText"/>
        <w:rPr>
          <w:sz w:val="20"/>
        </w:rPr>
      </w:pPr>
    </w:p>
    <w:p>
      <w:pPr>
        <w:pStyle w:val="BodyText"/>
        <w:rPr>
          <w:sz w:val="20"/>
        </w:rPr>
      </w:pPr>
    </w:p>
    <w:p>
      <w:pPr>
        <w:pStyle w:val="BodyText"/>
        <w:spacing w:before="8"/>
        <w:rPr>
          <w:sz w:val="14"/>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31"/>
        <w:gridCol w:w="1318"/>
        <w:gridCol w:w="1274"/>
      </w:tblGrid>
      <w:tr>
        <w:trPr>
          <w:trHeight w:val="533" w:hRule="exact"/>
        </w:trPr>
        <w:tc>
          <w:tcPr>
            <w:tcW w:w="7331" w:type="dxa"/>
            <w:vMerge w:val="restart"/>
          </w:tcPr>
          <w:p>
            <w:pPr/>
          </w:p>
        </w:tc>
        <w:tc>
          <w:tcPr>
            <w:tcW w:w="1318" w:type="dxa"/>
          </w:tcPr>
          <w:p>
            <w:pPr>
              <w:pStyle w:val="TableParagraph"/>
              <w:spacing w:before="77"/>
              <w:ind w:left="268" w:right="274" w:hanging="5"/>
              <w:rPr>
                <w:b/>
                <w:sz w:val="18"/>
              </w:rPr>
            </w:pPr>
            <w:r>
              <w:rPr>
                <w:b/>
                <w:sz w:val="18"/>
              </w:rPr>
              <w:t>Retained earnings</w:t>
            </w:r>
          </w:p>
        </w:tc>
        <w:tc>
          <w:tcPr>
            <w:tcW w:w="1274" w:type="dxa"/>
          </w:tcPr>
          <w:p>
            <w:pPr>
              <w:pStyle w:val="TableParagraph"/>
              <w:spacing w:before="7"/>
              <w:rPr>
                <w:sz w:val="24"/>
              </w:rPr>
            </w:pPr>
          </w:p>
          <w:p>
            <w:pPr>
              <w:pStyle w:val="TableParagraph"/>
              <w:ind w:right="147"/>
              <w:jc w:val="right"/>
              <w:rPr>
                <w:b/>
                <w:sz w:val="18"/>
              </w:rPr>
            </w:pPr>
            <w:r>
              <w:rPr>
                <w:b/>
                <w:sz w:val="18"/>
              </w:rPr>
              <w:t>Total equity</w:t>
            </w:r>
          </w:p>
        </w:tc>
      </w:tr>
      <w:tr>
        <w:trPr>
          <w:trHeight w:val="283" w:hRule="exact"/>
        </w:trPr>
        <w:tc>
          <w:tcPr>
            <w:tcW w:w="7331" w:type="dxa"/>
            <w:vMerge/>
          </w:tcPr>
          <w:p>
            <w:pPr/>
          </w:p>
        </w:tc>
        <w:tc>
          <w:tcPr>
            <w:tcW w:w="1318" w:type="dxa"/>
          </w:tcPr>
          <w:p>
            <w:pPr>
              <w:pStyle w:val="TableParagraph"/>
              <w:spacing w:before="24"/>
              <w:ind w:right="25"/>
              <w:jc w:val="center"/>
              <w:rPr>
                <w:b/>
                <w:sz w:val="18"/>
              </w:rPr>
            </w:pPr>
            <w:r>
              <w:rPr>
                <w:b/>
                <w:w w:val="99"/>
                <w:sz w:val="18"/>
              </w:rPr>
              <w:t>$</w:t>
            </w:r>
          </w:p>
        </w:tc>
        <w:tc>
          <w:tcPr>
            <w:tcW w:w="1274" w:type="dxa"/>
          </w:tcPr>
          <w:p>
            <w:pPr>
              <w:pStyle w:val="TableParagraph"/>
              <w:spacing w:before="24"/>
              <w:ind w:right="49"/>
              <w:jc w:val="center"/>
              <w:rPr>
                <w:b/>
                <w:sz w:val="18"/>
              </w:rPr>
            </w:pPr>
            <w:r>
              <w:rPr>
                <w:b/>
                <w:w w:val="99"/>
                <w:sz w:val="18"/>
              </w:rPr>
              <w:t>$</w:t>
            </w:r>
          </w:p>
        </w:tc>
      </w:tr>
      <w:tr>
        <w:trPr>
          <w:trHeight w:val="325" w:hRule="exact"/>
        </w:trPr>
        <w:tc>
          <w:tcPr>
            <w:tcW w:w="7331" w:type="dxa"/>
          </w:tcPr>
          <w:p>
            <w:pPr>
              <w:pStyle w:val="TableParagraph"/>
              <w:spacing w:before="33"/>
              <w:ind w:left="35"/>
              <w:rPr>
                <w:b/>
                <w:sz w:val="18"/>
              </w:rPr>
            </w:pPr>
            <w:r>
              <w:rPr>
                <w:b/>
                <w:sz w:val="18"/>
              </w:rPr>
              <w:t>Balance at 1 January 2016</w:t>
            </w:r>
          </w:p>
        </w:tc>
        <w:tc>
          <w:tcPr>
            <w:tcW w:w="1318" w:type="dxa"/>
          </w:tcPr>
          <w:p>
            <w:pPr>
              <w:pStyle w:val="TableParagraph"/>
              <w:spacing w:before="38"/>
              <w:ind w:right="108"/>
              <w:jc w:val="right"/>
              <w:rPr>
                <w:sz w:val="18"/>
              </w:rPr>
            </w:pPr>
            <w:r>
              <w:rPr>
                <w:w w:val="95"/>
                <w:sz w:val="18"/>
              </w:rPr>
              <w:t>821,134</w:t>
            </w:r>
          </w:p>
        </w:tc>
        <w:tc>
          <w:tcPr>
            <w:tcW w:w="1274" w:type="dxa"/>
          </w:tcPr>
          <w:p>
            <w:pPr>
              <w:pStyle w:val="TableParagraph"/>
              <w:spacing w:before="38"/>
              <w:ind w:right="84"/>
              <w:jc w:val="right"/>
              <w:rPr>
                <w:sz w:val="18"/>
              </w:rPr>
            </w:pPr>
            <w:r>
              <w:rPr>
                <w:w w:val="95"/>
                <w:sz w:val="18"/>
              </w:rPr>
              <w:t>821,134</w:t>
            </w:r>
          </w:p>
        </w:tc>
      </w:tr>
      <w:tr>
        <w:trPr>
          <w:trHeight w:val="542" w:hRule="exact"/>
        </w:trPr>
        <w:tc>
          <w:tcPr>
            <w:tcW w:w="7331" w:type="dxa"/>
          </w:tcPr>
          <w:p>
            <w:pPr>
              <w:pStyle w:val="TableParagraph"/>
              <w:spacing w:before="61"/>
              <w:ind w:left="35"/>
              <w:rPr>
                <w:b/>
                <w:sz w:val="18"/>
              </w:rPr>
            </w:pPr>
            <w:r>
              <w:rPr>
                <w:b/>
                <w:sz w:val="18"/>
              </w:rPr>
              <w:t>Comprehensive income for the year</w:t>
            </w:r>
          </w:p>
          <w:p>
            <w:pPr>
              <w:pStyle w:val="TableParagraph"/>
              <w:spacing w:before="30"/>
              <w:ind w:left="176"/>
              <w:rPr>
                <w:sz w:val="18"/>
              </w:rPr>
            </w:pPr>
            <w:r>
              <w:rPr>
                <w:sz w:val="18"/>
              </w:rPr>
              <w:t>Surplus for the year</w:t>
            </w:r>
          </w:p>
        </w:tc>
        <w:tc>
          <w:tcPr>
            <w:tcW w:w="1318" w:type="dxa"/>
          </w:tcPr>
          <w:p>
            <w:pPr>
              <w:pStyle w:val="TableParagraph"/>
              <w:spacing w:before="8"/>
              <w:rPr>
                <w:sz w:val="25"/>
              </w:rPr>
            </w:pPr>
          </w:p>
          <w:p>
            <w:pPr>
              <w:pStyle w:val="TableParagraph"/>
              <w:ind w:right="108"/>
              <w:jc w:val="right"/>
              <w:rPr>
                <w:sz w:val="18"/>
              </w:rPr>
            </w:pPr>
            <w:r>
              <w:rPr>
                <w:w w:val="95"/>
                <w:sz w:val="18"/>
              </w:rPr>
              <w:t>232,921</w:t>
            </w:r>
          </w:p>
        </w:tc>
        <w:tc>
          <w:tcPr>
            <w:tcW w:w="1274" w:type="dxa"/>
          </w:tcPr>
          <w:p>
            <w:pPr>
              <w:pStyle w:val="TableParagraph"/>
              <w:spacing w:before="8"/>
              <w:rPr>
                <w:sz w:val="25"/>
              </w:rPr>
            </w:pPr>
          </w:p>
          <w:p>
            <w:pPr>
              <w:pStyle w:val="TableParagraph"/>
              <w:ind w:right="84"/>
              <w:jc w:val="right"/>
              <w:rPr>
                <w:sz w:val="18"/>
              </w:rPr>
            </w:pPr>
            <w:r>
              <w:rPr>
                <w:w w:val="95"/>
                <w:sz w:val="18"/>
              </w:rPr>
              <w:t>232,921</w:t>
            </w:r>
          </w:p>
        </w:tc>
      </w:tr>
      <w:tr>
        <w:trPr>
          <w:trHeight w:val="260" w:hRule="exact"/>
        </w:trPr>
        <w:tc>
          <w:tcPr>
            <w:tcW w:w="7331" w:type="dxa"/>
          </w:tcPr>
          <w:p>
            <w:pPr>
              <w:pStyle w:val="TableParagraph"/>
              <w:spacing w:before="20"/>
              <w:ind w:left="176"/>
              <w:rPr>
                <w:sz w:val="18"/>
              </w:rPr>
            </w:pPr>
            <w:r>
              <w:rPr>
                <w:sz w:val="18"/>
              </w:rPr>
              <w:t>Other comprehensive income for the year</w:t>
            </w:r>
          </w:p>
        </w:tc>
        <w:tc>
          <w:tcPr>
            <w:tcW w:w="1318" w:type="dxa"/>
            <w:tcBorders>
              <w:bottom w:val="single" w:sz="1" w:space="0" w:color="000000"/>
            </w:tcBorders>
          </w:tcPr>
          <w:p>
            <w:pPr>
              <w:pStyle w:val="TableParagraph"/>
              <w:spacing w:before="18"/>
              <w:ind w:right="108"/>
              <w:jc w:val="right"/>
              <w:rPr>
                <w:sz w:val="18"/>
              </w:rPr>
            </w:pPr>
            <w:r>
              <w:rPr>
                <w:w w:val="99"/>
                <w:sz w:val="18"/>
              </w:rPr>
              <w:t>-</w:t>
            </w:r>
          </w:p>
        </w:tc>
        <w:tc>
          <w:tcPr>
            <w:tcW w:w="1274" w:type="dxa"/>
            <w:tcBorders>
              <w:bottom w:val="single" w:sz="1" w:space="0" w:color="000000"/>
            </w:tcBorders>
          </w:tcPr>
          <w:p>
            <w:pPr>
              <w:pStyle w:val="TableParagraph"/>
              <w:spacing w:before="18"/>
              <w:ind w:right="84"/>
              <w:jc w:val="right"/>
              <w:rPr>
                <w:sz w:val="18"/>
              </w:rPr>
            </w:pPr>
            <w:r>
              <w:rPr>
                <w:w w:val="99"/>
                <w:sz w:val="18"/>
              </w:rPr>
              <w:t>-</w:t>
            </w:r>
          </w:p>
        </w:tc>
      </w:tr>
      <w:tr>
        <w:trPr>
          <w:trHeight w:val="338" w:hRule="exact"/>
        </w:trPr>
        <w:tc>
          <w:tcPr>
            <w:tcW w:w="7331" w:type="dxa"/>
          </w:tcPr>
          <w:p>
            <w:pPr>
              <w:pStyle w:val="TableParagraph"/>
              <w:spacing w:before="125"/>
              <w:ind w:left="35"/>
              <w:rPr>
                <w:b/>
                <w:sz w:val="18"/>
              </w:rPr>
            </w:pPr>
            <w:r>
              <w:rPr>
                <w:b/>
                <w:sz w:val="18"/>
              </w:rPr>
              <w:t>Total comprehensive income for the year</w:t>
            </w:r>
          </w:p>
        </w:tc>
        <w:tc>
          <w:tcPr>
            <w:tcW w:w="1318" w:type="dxa"/>
            <w:tcBorders>
              <w:top w:val="single" w:sz="1" w:space="0" w:color="000000"/>
              <w:bottom w:val="single" w:sz="1" w:space="0" w:color="000000"/>
            </w:tcBorders>
          </w:tcPr>
          <w:p>
            <w:pPr>
              <w:pStyle w:val="TableParagraph"/>
              <w:spacing w:before="124"/>
              <w:ind w:right="108"/>
              <w:jc w:val="right"/>
              <w:rPr>
                <w:sz w:val="18"/>
              </w:rPr>
            </w:pPr>
            <w:r>
              <w:rPr>
                <w:w w:val="95"/>
                <w:sz w:val="18"/>
              </w:rPr>
              <w:t>232,921</w:t>
            </w:r>
          </w:p>
        </w:tc>
        <w:tc>
          <w:tcPr>
            <w:tcW w:w="1274" w:type="dxa"/>
            <w:tcBorders>
              <w:top w:val="single" w:sz="1" w:space="0" w:color="000000"/>
              <w:bottom w:val="single" w:sz="1" w:space="0" w:color="000000"/>
            </w:tcBorders>
          </w:tcPr>
          <w:p>
            <w:pPr>
              <w:pStyle w:val="TableParagraph"/>
              <w:spacing w:before="124"/>
              <w:ind w:right="84"/>
              <w:jc w:val="right"/>
              <w:rPr>
                <w:sz w:val="18"/>
              </w:rPr>
            </w:pPr>
            <w:r>
              <w:rPr>
                <w:w w:val="95"/>
                <w:sz w:val="18"/>
              </w:rPr>
              <w:t>232,921</w:t>
            </w:r>
          </w:p>
        </w:tc>
      </w:tr>
      <w:tr>
        <w:trPr>
          <w:trHeight w:val="353" w:hRule="exact"/>
        </w:trPr>
        <w:tc>
          <w:tcPr>
            <w:tcW w:w="7331" w:type="dxa"/>
          </w:tcPr>
          <w:p>
            <w:pPr>
              <w:pStyle w:val="TableParagraph"/>
              <w:spacing w:before="125"/>
              <w:ind w:left="35"/>
              <w:rPr>
                <w:b/>
                <w:sz w:val="18"/>
              </w:rPr>
            </w:pPr>
            <w:r>
              <w:rPr>
                <w:b/>
                <w:sz w:val="18"/>
              </w:rPr>
              <w:t>Balance at 31 December 2016</w:t>
            </w:r>
          </w:p>
        </w:tc>
        <w:tc>
          <w:tcPr>
            <w:tcW w:w="1318" w:type="dxa"/>
            <w:tcBorders>
              <w:top w:val="single" w:sz="1" w:space="0" w:color="000000"/>
              <w:bottom w:val="single" w:sz="1" w:space="0" w:color="000000"/>
            </w:tcBorders>
          </w:tcPr>
          <w:p>
            <w:pPr>
              <w:pStyle w:val="TableParagraph"/>
              <w:spacing w:before="124"/>
              <w:ind w:right="108"/>
              <w:jc w:val="right"/>
              <w:rPr>
                <w:sz w:val="18"/>
              </w:rPr>
            </w:pPr>
            <w:r>
              <w:rPr>
                <w:w w:val="95"/>
                <w:sz w:val="18"/>
              </w:rPr>
              <w:t>1,054,055</w:t>
            </w:r>
          </w:p>
        </w:tc>
        <w:tc>
          <w:tcPr>
            <w:tcW w:w="1274" w:type="dxa"/>
            <w:tcBorders>
              <w:top w:val="single" w:sz="1" w:space="0" w:color="000000"/>
              <w:bottom w:val="single" w:sz="1" w:space="0" w:color="000000"/>
            </w:tcBorders>
          </w:tcPr>
          <w:p>
            <w:pPr>
              <w:pStyle w:val="TableParagraph"/>
              <w:spacing w:before="124"/>
              <w:ind w:right="84"/>
              <w:jc w:val="right"/>
              <w:rPr>
                <w:sz w:val="18"/>
              </w:rPr>
            </w:pPr>
            <w:r>
              <w:rPr>
                <w:w w:val="95"/>
                <w:sz w:val="18"/>
              </w:rPr>
              <w:t>1,054,055</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p>
    <w:p>
      <w:pPr>
        <w:pStyle w:val="BodyText"/>
        <w:spacing w:before="77"/>
        <w:ind w:left="2487" w:right="161"/>
      </w:pPr>
      <w:r>
        <w:rPr/>
        <w:t>The accompanying notes form part of these financial statements.</w:t>
      </w:r>
    </w:p>
    <w:p>
      <w:pPr>
        <w:spacing w:after="0"/>
        <w:sectPr>
          <w:headerReference w:type="default" r:id="rId111"/>
          <w:pgSz w:w="11910" w:h="16840"/>
          <w:pgMar w:header="1037" w:footer="512" w:top="2380" w:bottom="700" w:left="880" w:right="880"/>
        </w:sectPr>
      </w:pPr>
    </w:p>
    <w:p>
      <w:pPr>
        <w:pStyle w:val="BodyText"/>
        <w:rPr>
          <w:sz w:val="20"/>
        </w:rPr>
      </w:pPr>
    </w:p>
    <w:p>
      <w:pPr>
        <w:pStyle w:val="BodyText"/>
        <w:rPr>
          <w:sz w:val="20"/>
        </w:rPr>
      </w:pPr>
    </w:p>
    <w:p>
      <w:pPr>
        <w:pStyle w:val="BodyText"/>
        <w:spacing w:before="4"/>
        <w:rPr>
          <w:sz w:val="16"/>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27"/>
        <w:gridCol w:w="1904"/>
        <w:gridCol w:w="1452"/>
        <w:gridCol w:w="1140"/>
      </w:tblGrid>
      <w:tr>
        <w:trPr>
          <w:trHeight w:val="640" w:hRule="exact"/>
        </w:trPr>
        <w:tc>
          <w:tcPr>
            <w:tcW w:w="5427" w:type="dxa"/>
          </w:tcPr>
          <w:p>
            <w:pPr/>
          </w:p>
        </w:tc>
        <w:tc>
          <w:tcPr>
            <w:tcW w:w="1904" w:type="dxa"/>
          </w:tcPr>
          <w:p>
            <w:pPr>
              <w:pStyle w:val="TableParagraph"/>
              <w:rPr>
                <w:sz w:val="18"/>
              </w:rPr>
            </w:pPr>
          </w:p>
          <w:p>
            <w:pPr>
              <w:pStyle w:val="TableParagraph"/>
              <w:spacing w:before="143"/>
              <w:ind w:right="53"/>
              <w:jc w:val="right"/>
              <w:rPr>
                <w:b/>
                <w:sz w:val="18"/>
              </w:rPr>
            </w:pPr>
            <w:bookmarkStart w:name="Statement of Cash Flows" w:id="180"/>
            <w:bookmarkEnd w:id="180"/>
            <w:r>
              <w:rPr/>
            </w:r>
            <w:r>
              <w:rPr>
                <w:b/>
                <w:w w:val="95"/>
                <w:sz w:val="18"/>
              </w:rPr>
              <w:t>Note</w:t>
            </w:r>
          </w:p>
        </w:tc>
        <w:tc>
          <w:tcPr>
            <w:tcW w:w="1452" w:type="dxa"/>
          </w:tcPr>
          <w:p>
            <w:pPr>
              <w:pStyle w:val="TableParagraph"/>
              <w:spacing w:before="77"/>
              <w:ind w:left="426" w:right="585"/>
              <w:jc w:val="center"/>
              <w:rPr>
                <w:b/>
                <w:sz w:val="18"/>
              </w:rPr>
            </w:pPr>
            <w:r>
              <w:rPr>
                <w:b/>
                <w:sz w:val="18"/>
              </w:rPr>
              <w:t>2017</w:t>
            </w:r>
          </w:p>
          <w:p>
            <w:pPr>
              <w:pStyle w:val="TableParagraph"/>
              <w:spacing w:before="66"/>
              <w:ind w:right="159"/>
              <w:jc w:val="center"/>
              <w:rPr>
                <w:b/>
                <w:sz w:val="18"/>
              </w:rPr>
            </w:pPr>
            <w:r>
              <w:rPr>
                <w:b/>
                <w:w w:val="99"/>
                <w:sz w:val="18"/>
              </w:rPr>
              <w:t>$</w:t>
            </w:r>
          </w:p>
        </w:tc>
        <w:tc>
          <w:tcPr>
            <w:tcW w:w="1140" w:type="dxa"/>
          </w:tcPr>
          <w:p>
            <w:pPr>
              <w:pStyle w:val="TableParagraph"/>
              <w:spacing w:before="77"/>
              <w:ind w:left="270" w:right="429"/>
              <w:jc w:val="center"/>
              <w:rPr>
                <w:b/>
                <w:sz w:val="18"/>
              </w:rPr>
            </w:pPr>
            <w:r>
              <w:rPr>
                <w:b/>
                <w:sz w:val="18"/>
              </w:rPr>
              <w:t>2016</w:t>
            </w:r>
          </w:p>
          <w:p>
            <w:pPr>
              <w:pStyle w:val="TableParagraph"/>
              <w:spacing w:before="66"/>
              <w:ind w:right="159"/>
              <w:jc w:val="center"/>
              <w:rPr>
                <w:b/>
                <w:sz w:val="18"/>
              </w:rPr>
            </w:pPr>
            <w:r>
              <w:rPr>
                <w:b/>
                <w:w w:val="99"/>
                <w:sz w:val="18"/>
              </w:rPr>
              <w:t>$</w:t>
            </w:r>
          </w:p>
        </w:tc>
      </w:tr>
      <w:tr>
        <w:trPr>
          <w:trHeight w:val="542" w:hRule="exact"/>
        </w:trPr>
        <w:tc>
          <w:tcPr>
            <w:tcW w:w="5427" w:type="dxa"/>
          </w:tcPr>
          <w:p>
            <w:pPr>
              <w:pStyle w:val="TableParagraph"/>
              <w:spacing w:before="63"/>
              <w:ind w:left="35"/>
              <w:rPr>
                <w:b/>
                <w:sz w:val="18"/>
              </w:rPr>
            </w:pPr>
            <w:r>
              <w:rPr>
                <w:b/>
                <w:sz w:val="18"/>
              </w:rPr>
              <w:t>CASH FLOWS FROM OPERATING ACTIVITIES</w:t>
            </w:r>
          </w:p>
          <w:p>
            <w:pPr>
              <w:pStyle w:val="TableParagraph"/>
              <w:spacing w:before="26"/>
              <w:ind w:left="35"/>
              <w:rPr>
                <w:sz w:val="18"/>
              </w:rPr>
            </w:pPr>
            <w:r>
              <w:rPr>
                <w:sz w:val="18"/>
              </w:rPr>
              <w:t>Receipts for services</w:t>
            </w:r>
          </w:p>
        </w:tc>
        <w:tc>
          <w:tcPr>
            <w:tcW w:w="1904" w:type="dxa"/>
          </w:tcPr>
          <w:p>
            <w:pPr/>
          </w:p>
        </w:tc>
        <w:tc>
          <w:tcPr>
            <w:tcW w:w="1452" w:type="dxa"/>
          </w:tcPr>
          <w:p>
            <w:pPr>
              <w:pStyle w:val="TableParagraph"/>
              <w:spacing w:before="11"/>
              <w:rPr>
                <w:sz w:val="25"/>
              </w:rPr>
            </w:pPr>
          </w:p>
          <w:p>
            <w:pPr>
              <w:pStyle w:val="TableParagraph"/>
              <w:ind w:right="243"/>
              <w:jc w:val="right"/>
              <w:rPr>
                <w:b/>
                <w:sz w:val="18"/>
              </w:rPr>
            </w:pPr>
            <w:r>
              <w:rPr>
                <w:b/>
                <w:w w:val="95"/>
                <w:sz w:val="18"/>
              </w:rPr>
              <w:t>7,054,109</w:t>
            </w:r>
          </w:p>
        </w:tc>
        <w:tc>
          <w:tcPr>
            <w:tcW w:w="1140" w:type="dxa"/>
          </w:tcPr>
          <w:p>
            <w:pPr>
              <w:pStyle w:val="TableParagraph"/>
              <w:spacing w:before="11"/>
              <w:rPr>
                <w:sz w:val="25"/>
              </w:rPr>
            </w:pPr>
          </w:p>
          <w:p>
            <w:pPr>
              <w:pStyle w:val="TableParagraph"/>
              <w:ind w:left="244"/>
              <w:rPr>
                <w:sz w:val="18"/>
              </w:rPr>
            </w:pPr>
            <w:r>
              <w:rPr>
                <w:sz w:val="18"/>
              </w:rPr>
              <w:t>6,569,412</w:t>
            </w:r>
          </w:p>
        </w:tc>
      </w:tr>
      <w:tr>
        <w:trPr>
          <w:trHeight w:val="264" w:hRule="exact"/>
        </w:trPr>
        <w:tc>
          <w:tcPr>
            <w:tcW w:w="5427" w:type="dxa"/>
          </w:tcPr>
          <w:p>
            <w:pPr>
              <w:pStyle w:val="TableParagraph"/>
              <w:spacing w:before="18"/>
              <w:ind w:left="35"/>
              <w:rPr>
                <w:sz w:val="18"/>
              </w:rPr>
            </w:pPr>
            <w:r>
              <w:rPr>
                <w:sz w:val="18"/>
              </w:rPr>
              <w:t>Payments to suppliers and employees</w:t>
            </w:r>
          </w:p>
        </w:tc>
        <w:tc>
          <w:tcPr>
            <w:tcW w:w="1904" w:type="dxa"/>
          </w:tcPr>
          <w:p>
            <w:pPr/>
          </w:p>
        </w:tc>
        <w:tc>
          <w:tcPr>
            <w:tcW w:w="1452" w:type="dxa"/>
          </w:tcPr>
          <w:p>
            <w:pPr>
              <w:pStyle w:val="TableParagraph"/>
              <w:spacing w:before="20"/>
              <w:ind w:right="182"/>
              <w:jc w:val="right"/>
              <w:rPr>
                <w:b/>
                <w:sz w:val="18"/>
              </w:rPr>
            </w:pPr>
            <w:r>
              <w:rPr>
                <w:b/>
                <w:w w:val="95"/>
                <w:sz w:val="18"/>
              </w:rPr>
              <w:t>(6,646,865)</w:t>
            </w:r>
          </w:p>
        </w:tc>
        <w:tc>
          <w:tcPr>
            <w:tcW w:w="1140" w:type="dxa"/>
          </w:tcPr>
          <w:p>
            <w:pPr>
              <w:pStyle w:val="TableParagraph"/>
              <w:spacing w:before="20"/>
              <w:ind w:right="26"/>
              <w:jc w:val="right"/>
              <w:rPr>
                <w:sz w:val="18"/>
              </w:rPr>
            </w:pPr>
            <w:r>
              <w:rPr>
                <w:w w:val="95"/>
                <w:sz w:val="18"/>
              </w:rPr>
              <w:t>(6,126,092)</w:t>
            </w:r>
          </w:p>
        </w:tc>
      </w:tr>
      <w:tr>
        <w:trPr>
          <w:trHeight w:val="262" w:hRule="exact"/>
        </w:trPr>
        <w:tc>
          <w:tcPr>
            <w:tcW w:w="5427" w:type="dxa"/>
          </w:tcPr>
          <w:p>
            <w:pPr>
              <w:pStyle w:val="TableParagraph"/>
              <w:spacing w:before="18"/>
              <w:ind w:left="35"/>
              <w:rPr>
                <w:sz w:val="18"/>
              </w:rPr>
            </w:pPr>
            <w:r>
              <w:rPr>
                <w:sz w:val="18"/>
              </w:rPr>
              <w:t>Interest received</w:t>
            </w:r>
          </w:p>
        </w:tc>
        <w:tc>
          <w:tcPr>
            <w:tcW w:w="1904" w:type="dxa"/>
          </w:tcPr>
          <w:p>
            <w:pPr/>
          </w:p>
        </w:tc>
        <w:tc>
          <w:tcPr>
            <w:tcW w:w="1452" w:type="dxa"/>
            <w:tcBorders>
              <w:bottom w:val="single" w:sz="1" w:space="0" w:color="000000"/>
            </w:tcBorders>
          </w:tcPr>
          <w:p>
            <w:pPr>
              <w:pStyle w:val="TableParagraph"/>
              <w:spacing w:before="20"/>
              <w:ind w:right="243"/>
              <w:jc w:val="right"/>
              <w:rPr>
                <w:b/>
                <w:sz w:val="18"/>
              </w:rPr>
            </w:pPr>
            <w:r>
              <w:rPr>
                <w:b/>
                <w:w w:val="95"/>
                <w:sz w:val="18"/>
              </w:rPr>
              <w:t>50,563</w:t>
            </w:r>
          </w:p>
        </w:tc>
        <w:tc>
          <w:tcPr>
            <w:tcW w:w="1140" w:type="dxa"/>
            <w:tcBorders>
              <w:bottom w:val="single" w:sz="1" w:space="0" w:color="000000"/>
            </w:tcBorders>
          </w:tcPr>
          <w:p>
            <w:pPr>
              <w:pStyle w:val="TableParagraph"/>
              <w:spacing w:before="20"/>
              <w:ind w:right="87"/>
              <w:jc w:val="right"/>
              <w:rPr>
                <w:sz w:val="18"/>
              </w:rPr>
            </w:pPr>
            <w:r>
              <w:rPr>
                <w:w w:val="95"/>
                <w:sz w:val="18"/>
              </w:rPr>
              <w:t>37,479</w:t>
            </w:r>
          </w:p>
        </w:tc>
      </w:tr>
      <w:tr>
        <w:trPr>
          <w:trHeight w:val="338" w:hRule="exact"/>
        </w:trPr>
        <w:tc>
          <w:tcPr>
            <w:tcW w:w="5427" w:type="dxa"/>
          </w:tcPr>
          <w:p>
            <w:pPr>
              <w:pStyle w:val="TableParagraph"/>
              <w:spacing w:before="38"/>
              <w:ind w:left="176"/>
              <w:rPr>
                <w:b/>
                <w:sz w:val="18"/>
              </w:rPr>
            </w:pPr>
            <w:r>
              <w:rPr>
                <w:b/>
                <w:sz w:val="18"/>
              </w:rPr>
              <w:t>Net cash inflow from operating activities</w:t>
            </w:r>
          </w:p>
        </w:tc>
        <w:tc>
          <w:tcPr>
            <w:tcW w:w="1904" w:type="dxa"/>
          </w:tcPr>
          <w:p>
            <w:pPr>
              <w:pStyle w:val="TableParagraph"/>
              <w:spacing w:before="41"/>
              <w:ind w:right="154"/>
              <w:jc w:val="right"/>
              <w:rPr>
                <w:sz w:val="18"/>
              </w:rPr>
            </w:pPr>
            <w:r>
              <w:rPr>
                <w:w w:val="95"/>
                <w:sz w:val="18"/>
              </w:rPr>
              <w:t>14</w:t>
            </w:r>
          </w:p>
        </w:tc>
        <w:tc>
          <w:tcPr>
            <w:tcW w:w="1452" w:type="dxa"/>
            <w:tcBorders>
              <w:top w:val="single" w:sz="1" w:space="0" w:color="000000"/>
              <w:bottom w:val="single" w:sz="1" w:space="0" w:color="000000"/>
            </w:tcBorders>
          </w:tcPr>
          <w:p>
            <w:pPr>
              <w:pStyle w:val="TableParagraph"/>
              <w:spacing w:before="124"/>
              <w:ind w:right="243"/>
              <w:jc w:val="right"/>
              <w:rPr>
                <w:b/>
                <w:sz w:val="18"/>
              </w:rPr>
            </w:pPr>
            <w:r>
              <w:rPr>
                <w:b/>
                <w:w w:val="95"/>
                <w:sz w:val="18"/>
              </w:rPr>
              <w:t>457,807</w:t>
            </w:r>
          </w:p>
        </w:tc>
        <w:tc>
          <w:tcPr>
            <w:tcW w:w="1140" w:type="dxa"/>
            <w:tcBorders>
              <w:top w:val="single" w:sz="1" w:space="0" w:color="000000"/>
              <w:bottom w:val="single" w:sz="1" w:space="0" w:color="000000"/>
            </w:tcBorders>
          </w:tcPr>
          <w:p>
            <w:pPr>
              <w:pStyle w:val="TableParagraph"/>
              <w:spacing w:before="124"/>
              <w:ind w:left="395"/>
              <w:rPr>
                <w:sz w:val="18"/>
              </w:rPr>
            </w:pPr>
            <w:r>
              <w:rPr>
                <w:sz w:val="18"/>
              </w:rPr>
              <w:t>480,799</w:t>
            </w:r>
          </w:p>
        </w:tc>
      </w:tr>
      <w:tr>
        <w:trPr>
          <w:trHeight w:val="895" w:hRule="exact"/>
        </w:trPr>
        <w:tc>
          <w:tcPr>
            <w:tcW w:w="5427" w:type="dxa"/>
          </w:tcPr>
          <w:p>
            <w:pPr>
              <w:pStyle w:val="TableParagraph"/>
              <w:rPr>
                <w:sz w:val="18"/>
              </w:rPr>
            </w:pPr>
          </w:p>
          <w:p>
            <w:pPr>
              <w:pStyle w:val="TableParagraph"/>
              <w:spacing w:before="4"/>
              <w:rPr>
                <w:sz w:val="18"/>
              </w:rPr>
            </w:pPr>
          </w:p>
          <w:p>
            <w:pPr>
              <w:pStyle w:val="TableParagraph"/>
              <w:ind w:left="35"/>
              <w:rPr>
                <w:b/>
                <w:sz w:val="18"/>
              </w:rPr>
            </w:pPr>
            <w:r>
              <w:rPr>
                <w:b/>
                <w:sz w:val="18"/>
              </w:rPr>
              <w:t>CASH FLOWS FROM INVESTING ACTIVITIES</w:t>
            </w:r>
          </w:p>
          <w:p>
            <w:pPr>
              <w:pStyle w:val="TableParagraph"/>
              <w:spacing w:before="26"/>
              <w:ind w:left="35"/>
              <w:rPr>
                <w:sz w:val="18"/>
              </w:rPr>
            </w:pPr>
            <w:r>
              <w:rPr>
                <w:sz w:val="18"/>
              </w:rPr>
              <w:t>Loans to related parties</w:t>
            </w:r>
          </w:p>
        </w:tc>
        <w:tc>
          <w:tcPr>
            <w:tcW w:w="1904" w:type="dxa"/>
          </w:tcPr>
          <w:p>
            <w:pPr/>
          </w:p>
        </w:tc>
        <w:tc>
          <w:tcPr>
            <w:tcW w:w="1452" w:type="dxa"/>
            <w:tcBorders>
              <w:top w:val="single" w:sz="1" w:space="0" w:color="000000"/>
              <w:bottom w:val="single" w:sz="1" w:space="0" w:color="000000"/>
            </w:tcBorders>
          </w:tcPr>
          <w:p>
            <w:pPr>
              <w:pStyle w:val="TableParagraph"/>
              <w:rPr>
                <w:sz w:val="18"/>
              </w:rPr>
            </w:pPr>
          </w:p>
          <w:p>
            <w:pPr>
              <w:pStyle w:val="TableParagraph"/>
              <w:rPr>
                <w:sz w:val="18"/>
              </w:rPr>
            </w:pPr>
          </w:p>
          <w:p>
            <w:pPr>
              <w:pStyle w:val="TableParagraph"/>
              <w:spacing w:before="8"/>
              <w:rPr>
                <w:sz w:val="20"/>
              </w:rPr>
            </w:pPr>
          </w:p>
          <w:p>
            <w:pPr>
              <w:pStyle w:val="TableParagraph"/>
              <w:ind w:right="182"/>
              <w:jc w:val="right"/>
              <w:rPr>
                <w:b/>
                <w:sz w:val="18"/>
              </w:rPr>
            </w:pPr>
            <w:r>
              <w:rPr>
                <w:b/>
                <w:w w:val="95"/>
                <w:sz w:val="18"/>
              </w:rPr>
              <w:t>(623,012)</w:t>
            </w:r>
          </w:p>
        </w:tc>
        <w:tc>
          <w:tcPr>
            <w:tcW w:w="1140" w:type="dxa"/>
            <w:tcBorders>
              <w:top w:val="single" w:sz="1" w:space="0" w:color="000000"/>
              <w:bottom w:val="single" w:sz="1" w:space="0" w:color="000000"/>
            </w:tcBorders>
          </w:tcPr>
          <w:p>
            <w:pPr>
              <w:pStyle w:val="TableParagraph"/>
              <w:rPr>
                <w:sz w:val="18"/>
              </w:rPr>
            </w:pPr>
          </w:p>
          <w:p>
            <w:pPr>
              <w:pStyle w:val="TableParagraph"/>
              <w:rPr>
                <w:sz w:val="18"/>
              </w:rPr>
            </w:pPr>
          </w:p>
          <w:p>
            <w:pPr>
              <w:pStyle w:val="TableParagraph"/>
              <w:spacing w:before="8"/>
              <w:rPr>
                <w:sz w:val="20"/>
              </w:rPr>
            </w:pPr>
          </w:p>
          <w:p>
            <w:pPr>
              <w:pStyle w:val="TableParagraph"/>
              <w:ind w:right="26"/>
              <w:jc w:val="right"/>
              <w:rPr>
                <w:sz w:val="18"/>
              </w:rPr>
            </w:pPr>
            <w:r>
              <w:rPr>
                <w:w w:val="95"/>
                <w:sz w:val="18"/>
              </w:rPr>
              <w:t>(388,696)</w:t>
            </w:r>
          </w:p>
        </w:tc>
      </w:tr>
      <w:tr>
        <w:trPr>
          <w:trHeight w:val="338" w:hRule="exact"/>
        </w:trPr>
        <w:tc>
          <w:tcPr>
            <w:tcW w:w="5427" w:type="dxa"/>
          </w:tcPr>
          <w:p>
            <w:pPr>
              <w:pStyle w:val="TableParagraph"/>
              <w:spacing w:before="38"/>
              <w:ind w:left="176"/>
              <w:rPr>
                <w:b/>
                <w:sz w:val="18"/>
              </w:rPr>
            </w:pPr>
            <w:r>
              <w:rPr>
                <w:b/>
                <w:sz w:val="18"/>
              </w:rPr>
              <w:t>Net cash (outflow) from investing activities</w:t>
            </w:r>
          </w:p>
        </w:tc>
        <w:tc>
          <w:tcPr>
            <w:tcW w:w="1904" w:type="dxa"/>
          </w:tcPr>
          <w:p>
            <w:pPr/>
          </w:p>
        </w:tc>
        <w:tc>
          <w:tcPr>
            <w:tcW w:w="1452" w:type="dxa"/>
            <w:tcBorders>
              <w:top w:val="single" w:sz="1" w:space="0" w:color="000000"/>
              <w:bottom w:val="single" w:sz="1" w:space="0" w:color="000000"/>
            </w:tcBorders>
          </w:tcPr>
          <w:p>
            <w:pPr>
              <w:pStyle w:val="TableParagraph"/>
              <w:spacing w:before="124"/>
              <w:ind w:right="182"/>
              <w:jc w:val="right"/>
              <w:rPr>
                <w:b/>
                <w:sz w:val="18"/>
              </w:rPr>
            </w:pPr>
            <w:r>
              <w:rPr>
                <w:b/>
                <w:w w:val="95"/>
                <w:sz w:val="18"/>
              </w:rPr>
              <w:t>(623,012)</w:t>
            </w:r>
          </w:p>
        </w:tc>
        <w:tc>
          <w:tcPr>
            <w:tcW w:w="1140" w:type="dxa"/>
            <w:tcBorders>
              <w:top w:val="single" w:sz="1" w:space="0" w:color="000000"/>
              <w:bottom w:val="single" w:sz="1" w:space="0" w:color="000000"/>
            </w:tcBorders>
          </w:tcPr>
          <w:p>
            <w:pPr>
              <w:pStyle w:val="TableParagraph"/>
              <w:spacing w:before="124"/>
              <w:ind w:right="26"/>
              <w:jc w:val="right"/>
              <w:rPr>
                <w:sz w:val="18"/>
              </w:rPr>
            </w:pPr>
            <w:r>
              <w:rPr>
                <w:w w:val="95"/>
                <w:sz w:val="18"/>
              </w:rPr>
              <w:t>(388,696)</w:t>
            </w:r>
          </w:p>
        </w:tc>
      </w:tr>
      <w:tr>
        <w:trPr>
          <w:trHeight w:val="621" w:hRule="exact"/>
        </w:trPr>
        <w:tc>
          <w:tcPr>
            <w:tcW w:w="5427" w:type="dxa"/>
          </w:tcPr>
          <w:p>
            <w:pPr>
              <w:pStyle w:val="TableParagraph"/>
              <w:rPr>
                <w:sz w:val="18"/>
              </w:rPr>
            </w:pPr>
          </w:p>
          <w:p>
            <w:pPr>
              <w:pStyle w:val="TableParagraph"/>
              <w:spacing w:before="4"/>
              <w:rPr>
                <w:sz w:val="18"/>
              </w:rPr>
            </w:pPr>
          </w:p>
          <w:p>
            <w:pPr>
              <w:pStyle w:val="TableParagraph"/>
              <w:ind w:left="35"/>
              <w:rPr>
                <w:b/>
                <w:sz w:val="18"/>
              </w:rPr>
            </w:pPr>
            <w:r>
              <w:rPr>
                <w:b/>
                <w:sz w:val="18"/>
              </w:rPr>
              <w:t>CASH FLOWS FROM FINANCING ACTIVITIES</w:t>
            </w:r>
          </w:p>
        </w:tc>
        <w:tc>
          <w:tcPr>
            <w:tcW w:w="1904" w:type="dxa"/>
          </w:tcPr>
          <w:p>
            <w:pPr/>
          </w:p>
        </w:tc>
        <w:tc>
          <w:tcPr>
            <w:tcW w:w="1452" w:type="dxa"/>
            <w:tcBorders>
              <w:top w:val="single" w:sz="1" w:space="0" w:color="000000"/>
            </w:tcBorders>
          </w:tcPr>
          <w:p>
            <w:pPr/>
          </w:p>
        </w:tc>
        <w:tc>
          <w:tcPr>
            <w:tcW w:w="1140" w:type="dxa"/>
            <w:tcBorders>
              <w:top w:val="single" w:sz="1" w:space="0" w:color="000000"/>
            </w:tcBorders>
          </w:tcPr>
          <w:p>
            <w:pPr/>
          </w:p>
        </w:tc>
      </w:tr>
      <w:tr>
        <w:trPr>
          <w:trHeight w:val="521" w:hRule="exact"/>
        </w:trPr>
        <w:tc>
          <w:tcPr>
            <w:tcW w:w="9923" w:type="dxa"/>
            <w:gridSpan w:val="4"/>
          </w:tcPr>
          <w:p>
            <w:pPr>
              <w:pStyle w:val="TableParagraph"/>
              <w:tabs>
                <w:tab w:pos="7330" w:val="left" w:leader="none"/>
                <w:tab w:pos="8478" w:val="left" w:leader="none"/>
                <w:tab w:pos="9774" w:val="left" w:leader="none"/>
              </w:tabs>
              <w:spacing w:before="49"/>
              <w:ind w:left="176"/>
              <w:rPr>
                <w:sz w:val="18"/>
              </w:rPr>
            </w:pPr>
            <w:r>
              <w:rPr>
                <w:b/>
                <w:sz w:val="18"/>
              </w:rPr>
              <w:t>Net cash provided by / (used in)</w:t>
            </w:r>
            <w:r>
              <w:rPr>
                <w:b/>
                <w:spacing w:val="-9"/>
                <w:sz w:val="18"/>
              </w:rPr>
              <w:t> </w:t>
            </w:r>
            <w:r>
              <w:rPr>
                <w:b/>
                <w:sz w:val="18"/>
              </w:rPr>
              <w:t>financing activities</w:t>
              <w:tab/>
            </w:r>
            <w:r>
              <w:rPr>
                <w:rFonts w:ascii="Times New Roman"/>
                <w:position w:val="-8"/>
                <w:sz w:val="18"/>
                <w:u w:val="single"/>
              </w:rPr>
              <w:t> </w:t>
              <w:tab/>
            </w:r>
            <w:r>
              <w:rPr>
                <w:b/>
                <w:position w:val="-8"/>
                <w:sz w:val="18"/>
                <w:u w:val="single"/>
              </w:rPr>
              <w:t>-</w:t>
              <w:tab/>
            </w:r>
            <w:r>
              <w:rPr>
                <w:position w:val="-8"/>
                <w:sz w:val="18"/>
                <w:u w:val="single"/>
              </w:rPr>
              <w:t>-</w:t>
            </w:r>
          </w:p>
        </w:tc>
      </w:tr>
      <w:tr>
        <w:trPr>
          <w:trHeight w:val="406" w:hRule="exact"/>
        </w:trPr>
        <w:tc>
          <w:tcPr>
            <w:tcW w:w="7331" w:type="dxa"/>
            <w:gridSpan w:val="2"/>
          </w:tcPr>
          <w:p>
            <w:pPr>
              <w:pStyle w:val="TableParagraph"/>
              <w:spacing w:before="159"/>
              <w:ind w:left="176"/>
              <w:rPr>
                <w:b/>
                <w:sz w:val="18"/>
              </w:rPr>
            </w:pPr>
            <w:r>
              <w:rPr>
                <w:b/>
                <w:sz w:val="18"/>
              </w:rPr>
              <w:t>Net increase / (decrease) in cash and cash equivalents held</w:t>
            </w:r>
          </w:p>
        </w:tc>
        <w:tc>
          <w:tcPr>
            <w:tcW w:w="1452" w:type="dxa"/>
          </w:tcPr>
          <w:p>
            <w:pPr>
              <w:pStyle w:val="TableParagraph"/>
              <w:spacing w:before="162"/>
              <w:ind w:right="185"/>
              <w:jc w:val="right"/>
              <w:rPr>
                <w:b/>
                <w:sz w:val="18"/>
              </w:rPr>
            </w:pPr>
            <w:r>
              <w:rPr>
                <w:b/>
                <w:w w:val="95"/>
                <w:sz w:val="18"/>
              </w:rPr>
              <w:t>(165,205)</w:t>
            </w:r>
          </w:p>
        </w:tc>
        <w:tc>
          <w:tcPr>
            <w:tcW w:w="1140" w:type="dxa"/>
          </w:tcPr>
          <w:p>
            <w:pPr>
              <w:pStyle w:val="TableParagraph"/>
              <w:spacing w:before="162"/>
              <w:ind w:right="89"/>
              <w:jc w:val="right"/>
              <w:rPr>
                <w:sz w:val="18"/>
              </w:rPr>
            </w:pPr>
            <w:r>
              <w:rPr>
                <w:w w:val="95"/>
                <w:sz w:val="18"/>
              </w:rPr>
              <w:t>92,103</w:t>
            </w:r>
          </w:p>
        </w:tc>
      </w:tr>
      <w:tr>
        <w:trPr>
          <w:trHeight w:val="262" w:hRule="exact"/>
        </w:trPr>
        <w:tc>
          <w:tcPr>
            <w:tcW w:w="7331" w:type="dxa"/>
            <w:gridSpan w:val="2"/>
          </w:tcPr>
          <w:p>
            <w:pPr>
              <w:pStyle w:val="TableParagraph"/>
              <w:spacing w:before="18"/>
              <w:ind w:left="176"/>
              <w:rPr>
                <w:b/>
                <w:sz w:val="18"/>
              </w:rPr>
            </w:pPr>
            <w:r>
              <w:rPr>
                <w:b/>
                <w:sz w:val="18"/>
              </w:rPr>
              <w:t>Cash and cash equivalents at the beginning of the year</w:t>
            </w:r>
          </w:p>
        </w:tc>
        <w:tc>
          <w:tcPr>
            <w:tcW w:w="1452" w:type="dxa"/>
            <w:tcBorders>
              <w:bottom w:val="single" w:sz="1" w:space="0" w:color="000000"/>
            </w:tcBorders>
          </w:tcPr>
          <w:p>
            <w:pPr>
              <w:pStyle w:val="TableParagraph"/>
              <w:spacing w:before="20"/>
              <w:ind w:right="245"/>
              <w:jc w:val="right"/>
              <w:rPr>
                <w:b/>
                <w:sz w:val="18"/>
              </w:rPr>
            </w:pPr>
            <w:r>
              <w:rPr>
                <w:b/>
                <w:w w:val="95"/>
                <w:sz w:val="18"/>
              </w:rPr>
              <w:t>647,363</w:t>
            </w:r>
          </w:p>
        </w:tc>
        <w:tc>
          <w:tcPr>
            <w:tcW w:w="1140" w:type="dxa"/>
            <w:tcBorders>
              <w:bottom w:val="single" w:sz="1" w:space="0" w:color="000000"/>
            </w:tcBorders>
          </w:tcPr>
          <w:p>
            <w:pPr>
              <w:pStyle w:val="TableParagraph"/>
              <w:spacing w:before="20"/>
              <w:ind w:left="393"/>
              <w:rPr>
                <w:sz w:val="18"/>
              </w:rPr>
            </w:pPr>
            <w:r>
              <w:rPr>
                <w:sz w:val="18"/>
              </w:rPr>
              <w:t>555,260</w:t>
            </w:r>
          </w:p>
        </w:tc>
      </w:tr>
    </w:tbl>
    <w:p>
      <w:pPr>
        <w:pStyle w:val="Heading9"/>
        <w:tabs>
          <w:tab w:pos="7140" w:val="left" w:leader="none"/>
          <w:tab w:pos="7999" w:val="left" w:leader="none"/>
          <w:tab w:pos="9295" w:val="left" w:leader="none"/>
        </w:tabs>
        <w:spacing w:before="38"/>
        <w:ind w:left="295" w:right="161"/>
        <w:rPr>
          <w:b w:val="0"/>
        </w:rPr>
      </w:pPr>
      <w:r>
        <w:rPr/>
        <w:t>Cash and cash equivalents at the end of</w:t>
      </w:r>
      <w:r>
        <w:rPr>
          <w:spacing w:val="1"/>
        </w:rPr>
        <w:t> </w:t>
      </w:r>
      <w:r>
        <w:rPr/>
        <w:t>the </w:t>
      </w:r>
      <w:r>
        <w:rPr>
          <w:spacing w:val="-3"/>
        </w:rPr>
        <w:t>year</w:t>
        <w:tab/>
      </w:r>
      <w:r>
        <w:rPr>
          <w:b w:val="0"/>
        </w:rPr>
        <w:t>4</w:t>
        <w:tab/>
      </w:r>
      <w:r>
        <w:rPr>
          <w:position w:val="-7"/>
        </w:rPr>
        <w:t>482,158</w:t>
        <w:tab/>
      </w:r>
      <w:r>
        <w:rPr>
          <w:b w:val="0"/>
          <w:position w:val="-7"/>
        </w:rPr>
        <w:t>647,363</w:t>
      </w:r>
    </w:p>
    <w:p>
      <w:pPr>
        <w:pStyle w:val="BodyText"/>
        <w:spacing w:line="48" w:lineRule="exact"/>
        <w:ind w:left="7446"/>
        <w:rPr>
          <w:sz w:val="4"/>
        </w:rPr>
      </w:pPr>
      <w:r>
        <w:rPr>
          <w:position w:val="0"/>
          <w:sz w:val="4"/>
        </w:rPr>
        <w:pict>
          <v:group style="width:129.75pt;height:2.450pt;mso-position-horizontal-relative:char;mso-position-vertical-relative:line" coordorigin="0,0" coordsize="2595,49">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35" to="1298,35" stroked="true" strokeweight=".12pt" strokecolor="#000000"/>
            <v:line style="position:absolute" from="2,38" to="1298,38" stroked="true" strokeweight=".12pt" strokecolor="#000000"/>
            <v:line style="position:absolute" from="2,40" to="1298,40" stroked="true" strokeweight=".12pt" strokecolor="#000000"/>
            <v:line style="position:absolute" from="2,42" to="1298,42" stroked="true" strokeweight=".12pt" strokecolor="#000000"/>
            <v:line style="position:absolute" from="2,45" to="1298,45" stroked="true" strokeweight=".12pt" strokecolor="#000000"/>
            <v:line style="position:absolute" from="2,47" to="1298,47"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35" to="2594,35" stroked="true" strokeweight=".12pt" strokecolor="#000000"/>
            <v:line style="position:absolute" from="1298,38" to="2594,38" stroked="true" strokeweight=".12pt" strokecolor="#000000"/>
            <v:line style="position:absolute" from="1298,40" to="2594,40" stroked="true" strokeweight=".12pt" strokecolor="#000000"/>
            <v:line style="position:absolute" from="1298,42" to="2594,42" stroked="true" strokeweight=".12pt" strokecolor="#000000"/>
            <v:line style="position:absolute" from="1298,45" to="2594,45" stroked="true" strokeweight=".12pt" strokecolor="#000000"/>
            <v:line style="position:absolute" from="1298,47" to="2594,47" stroked="true" strokeweight=".12pt" strokecolor="#000000"/>
          </v:group>
        </w:pict>
      </w:r>
      <w:r>
        <w:rPr>
          <w:position w:val="0"/>
          <w:sz w:val="4"/>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pStyle w:val="BodyText"/>
        <w:ind w:left="2487" w:right="161"/>
      </w:pPr>
      <w:r>
        <w:rPr/>
        <w:t>The accompanying notes form part of these financial statements.</w:t>
      </w:r>
    </w:p>
    <w:p>
      <w:pPr>
        <w:spacing w:after="0"/>
        <w:sectPr>
          <w:headerReference w:type="default" r:id="rId112"/>
          <w:pgSz w:w="11910" w:h="16840"/>
          <w:pgMar w:header="1037" w:footer="512" w:top="2380" w:bottom="700" w:left="880" w:right="880"/>
        </w:sectPr>
      </w:pPr>
    </w:p>
    <w:p>
      <w:pPr>
        <w:pStyle w:val="BodyText"/>
        <w:spacing w:before="9"/>
      </w:pPr>
    </w:p>
    <w:p>
      <w:pPr>
        <w:pStyle w:val="Heading9"/>
        <w:tabs>
          <w:tab w:pos="503" w:val="left" w:leader="none"/>
        </w:tabs>
        <w:spacing w:before="77"/>
        <w:ind w:left="110" w:right="159"/>
      </w:pPr>
      <w:bookmarkStart w:name="Notes to the Financial Statements" w:id="181"/>
      <w:bookmarkEnd w:id="181"/>
      <w:r>
        <w:rPr>
          <w:b w:val="0"/>
        </w:rPr>
      </w:r>
      <w:bookmarkStart w:name="1 Summary of significant accounting poli" w:id="182"/>
      <w:bookmarkEnd w:id="182"/>
      <w:r>
        <w:rPr>
          <w:b w:val="0"/>
        </w:rPr>
      </w:r>
      <w:r>
        <w:rPr/>
        <w:t>1</w:t>
        <w:tab/>
        <w:t>Summary of significant accounting</w:t>
      </w:r>
      <w:r>
        <w:rPr>
          <w:spacing w:val="-9"/>
        </w:rPr>
        <w:t> </w:t>
      </w:r>
      <w:r>
        <w:rPr/>
        <w:t>policies</w:t>
      </w:r>
    </w:p>
    <w:p>
      <w:pPr>
        <w:pStyle w:val="BodyText"/>
        <w:spacing w:before="141"/>
        <w:ind w:left="503" w:right="128"/>
      </w:pPr>
      <w:r>
        <w:rPr/>
        <w:t>Western Sydney University Early Learning Limited (the Company) is a not-for-profit company limited by guarantee and is a controlled entity of the Western Sydney University. Prior to 29 May 2017 the Company was known as UWS Early Learning Limited. The Company was incorporated on 2 March 2012 and domiciled in Australia.</w:t>
      </w:r>
    </w:p>
    <w:p>
      <w:pPr>
        <w:pStyle w:val="BodyText"/>
        <w:spacing w:before="141"/>
        <w:ind w:left="503" w:right="159"/>
      </w:pPr>
      <w:bookmarkStart w:name="Western Sydney University Early Learning" w:id="183"/>
      <w:bookmarkEnd w:id="183"/>
      <w:r>
        <w:rPr/>
      </w:r>
      <w:r>
        <w:rPr/>
        <w:t>The principal accounting policies adopted in the preparation of these financial statements are set out below. These policies have been consistently applied to all years reported, unless otherwise stated.</w:t>
      </w:r>
    </w:p>
    <w:p>
      <w:pPr>
        <w:pStyle w:val="BodyText"/>
        <w:spacing w:before="141"/>
        <w:ind w:left="503" w:right="372"/>
      </w:pPr>
      <w:r>
        <w:rPr/>
        <w:t>The financial statements for the year ended 31 December 2017 are authorised for issue in accordance with a resolution of the Board of Directors on 5 March 2018.</w:t>
      </w:r>
    </w:p>
    <w:p>
      <w:pPr>
        <w:pStyle w:val="BodyText"/>
      </w:pPr>
    </w:p>
    <w:p>
      <w:pPr>
        <w:pStyle w:val="BodyText"/>
      </w:pPr>
    </w:p>
    <w:p>
      <w:pPr>
        <w:pStyle w:val="BodyText"/>
      </w:pPr>
    </w:p>
    <w:p>
      <w:pPr>
        <w:pStyle w:val="Heading9"/>
        <w:numPr>
          <w:ilvl w:val="0"/>
          <w:numId w:val="71"/>
        </w:numPr>
        <w:tabs>
          <w:tab w:pos="504" w:val="left" w:leader="none"/>
        </w:tabs>
        <w:spacing w:line="240" w:lineRule="auto" w:before="161" w:after="0"/>
        <w:ind w:left="504" w:right="0" w:hanging="396"/>
        <w:jc w:val="left"/>
      </w:pPr>
      <w:r>
        <w:rPr/>
        <w:t>Basis of</w:t>
      </w:r>
      <w:r>
        <w:rPr>
          <w:spacing w:val="-1"/>
        </w:rPr>
        <w:t> </w:t>
      </w:r>
      <w:r>
        <w:rPr/>
        <w:t>preparation</w:t>
      </w:r>
    </w:p>
    <w:p>
      <w:pPr>
        <w:pStyle w:val="BodyText"/>
        <w:spacing w:before="141"/>
        <w:ind w:left="504" w:right="159"/>
      </w:pPr>
      <w:r>
        <w:rPr/>
        <w:t>The financial statements are general purpose financial statements that have been prepared in accordance with:</w:t>
      </w:r>
    </w:p>
    <w:p>
      <w:pPr>
        <w:pStyle w:val="ListParagraph"/>
        <w:numPr>
          <w:ilvl w:val="1"/>
          <w:numId w:val="71"/>
        </w:numPr>
        <w:tabs>
          <w:tab w:pos="616" w:val="left" w:leader="none"/>
        </w:tabs>
        <w:spacing w:line="240" w:lineRule="auto" w:before="141" w:after="0"/>
        <w:ind w:left="504" w:right="318" w:firstLine="0"/>
        <w:jc w:val="left"/>
        <w:rPr>
          <w:sz w:val="18"/>
        </w:rPr>
      </w:pPr>
      <w:r>
        <w:rPr>
          <w:sz w:val="18"/>
        </w:rPr>
        <w:t>Australian Accounting Standards, Australian Accounting Interpretations and other authoritative pronouncements of the Australian Accounting Standards</w:t>
      </w:r>
      <w:r>
        <w:rPr>
          <w:spacing w:val="3"/>
          <w:sz w:val="18"/>
        </w:rPr>
        <w:t> </w:t>
      </w:r>
      <w:r>
        <w:rPr>
          <w:sz w:val="18"/>
        </w:rPr>
        <w:t>Board</w:t>
      </w:r>
    </w:p>
    <w:p>
      <w:pPr>
        <w:pStyle w:val="ListParagraph"/>
        <w:numPr>
          <w:ilvl w:val="1"/>
          <w:numId w:val="71"/>
        </w:numPr>
        <w:tabs>
          <w:tab w:pos="615" w:val="left" w:leader="none"/>
        </w:tabs>
        <w:spacing w:line="240" w:lineRule="auto" w:before="141" w:after="0"/>
        <w:ind w:left="614" w:right="0" w:hanging="110"/>
        <w:jc w:val="left"/>
        <w:rPr>
          <w:sz w:val="18"/>
        </w:rPr>
      </w:pPr>
      <w:r>
        <w:rPr>
          <w:i/>
          <w:sz w:val="18"/>
        </w:rPr>
        <w:t>The Public Finance &amp; Audit Act 1983, </w:t>
      </w:r>
      <w:r>
        <w:rPr>
          <w:sz w:val="18"/>
        </w:rPr>
        <w:t>and</w:t>
      </w:r>
      <w:r>
        <w:rPr>
          <w:spacing w:val="7"/>
          <w:sz w:val="18"/>
        </w:rPr>
        <w:t> </w:t>
      </w:r>
      <w:r>
        <w:rPr>
          <w:sz w:val="18"/>
        </w:rPr>
        <w:t>Regulation</w:t>
      </w:r>
    </w:p>
    <w:p>
      <w:pPr>
        <w:pStyle w:val="ListParagraph"/>
        <w:numPr>
          <w:ilvl w:val="1"/>
          <w:numId w:val="71"/>
        </w:numPr>
        <w:tabs>
          <w:tab w:pos="615" w:val="left" w:leader="none"/>
        </w:tabs>
        <w:spacing w:line="240" w:lineRule="auto" w:before="141" w:after="0"/>
        <w:ind w:left="614" w:right="0" w:hanging="110"/>
        <w:jc w:val="left"/>
        <w:rPr>
          <w:sz w:val="18"/>
        </w:rPr>
      </w:pPr>
      <w:r>
        <w:rPr>
          <w:i/>
          <w:sz w:val="18"/>
        </w:rPr>
        <w:t>The Australian Charities and Not-For-Profits Commission Act</w:t>
      </w:r>
      <w:r>
        <w:rPr>
          <w:i/>
          <w:spacing w:val="1"/>
          <w:sz w:val="18"/>
        </w:rPr>
        <w:t> </w:t>
      </w:r>
      <w:r>
        <w:rPr>
          <w:i/>
          <w:sz w:val="18"/>
        </w:rPr>
        <w:t>2012</w:t>
      </w:r>
      <w:r>
        <w:rPr>
          <w:sz w:val="18"/>
        </w:rPr>
        <w:t>.</w:t>
      </w:r>
    </w:p>
    <w:p>
      <w:pPr>
        <w:pStyle w:val="BodyText"/>
      </w:pPr>
    </w:p>
    <w:p>
      <w:pPr>
        <w:pStyle w:val="BodyText"/>
        <w:spacing w:before="6"/>
        <w:rPr>
          <w:sz w:val="24"/>
        </w:rPr>
      </w:pPr>
    </w:p>
    <w:p>
      <w:pPr>
        <w:pStyle w:val="BodyText"/>
        <w:ind w:left="503" w:right="159"/>
      </w:pPr>
      <w:r>
        <w:rPr/>
        <w:t>The financial statements have been prepared on an accruals basis and are based on historical costs modified, where applicable, by the measurement at fair value of selected non-current assets, financial assets and financial liabilities.</w:t>
      </w:r>
    </w:p>
    <w:p>
      <w:pPr>
        <w:pStyle w:val="BodyText"/>
        <w:spacing w:before="141"/>
        <w:ind w:left="503" w:right="159"/>
      </w:pPr>
      <w:r>
        <w:rPr/>
        <w:t>The Company is a not-for-profit entity and these statements have been prepared on a going concern basis. The preparation of financial statements requires the use of certain critical accounting estimates. It also requires management to exercise its judgement in the process of applying the Company's accounting policies. Estimates and </w:t>
      </w:r>
      <w:bookmarkStart w:name="(b) Functional and presentation currency" w:id="184"/>
      <w:bookmarkEnd w:id="184"/>
      <w:r>
        <w:rPr/>
      </w:r>
      <w:r>
        <w:rPr/>
        <w:t>judgements are continually evaluated and are based on historical experience and other factors, including expectations of future events that may have a financial impact on the Company and that are believed to be reasonable under the circumstances.</w:t>
      </w:r>
    </w:p>
    <w:p>
      <w:pPr>
        <w:pStyle w:val="BodyText"/>
        <w:spacing w:before="141"/>
        <w:ind w:left="503" w:right="159"/>
      </w:pPr>
      <w:r>
        <w:rPr/>
        <w:t>There are no areas which involve a high degree of judgement or complexity, or areas where assumptions and </w:t>
      </w:r>
      <w:bookmarkStart w:name="(c) Revenue recognition " w:id="185"/>
      <w:bookmarkEnd w:id="185"/>
      <w:r>
        <w:rPr/>
      </w:r>
      <w:r>
        <w:rPr/>
        <w:t>estimates are significant to the financial statements of the Company.</w:t>
      </w:r>
    </w:p>
    <w:p>
      <w:pPr>
        <w:pStyle w:val="BodyText"/>
        <w:spacing w:before="11"/>
        <w:rPr>
          <w:sz w:val="24"/>
        </w:rPr>
      </w:pPr>
    </w:p>
    <w:p>
      <w:pPr>
        <w:pStyle w:val="Heading9"/>
        <w:numPr>
          <w:ilvl w:val="0"/>
          <w:numId w:val="71"/>
        </w:numPr>
        <w:tabs>
          <w:tab w:pos="504" w:val="left" w:leader="none"/>
        </w:tabs>
        <w:spacing w:line="240" w:lineRule="auto" w:before="0" w:after="0"/>
        <w:ind w:left="504" w:right="0" w:hanging="396"/>
        <w:jc w:val="left"/>
      </w:pPr>
      <w:r>
        <w:rPr/>
        <w:t>Functional and presentation currency</w:t>
      </w:r>
    </w:p>
    <w:p>
      <w:pPr>
        <w:pStyle w:val="BodyText"/>
        <w:spacing w:before="141"/>
        <w:ind w:left="504" w:right="159"/>
      </w:pPr>
      <w:r>
        <w:rPr/>
        <w:t>The financial statements are presented in Australian dollars.</w:t>
      </w:r>
    </w:p>
    <w:p>
      <w:pPr>
        <w:pStyle w:val="BodyText"/>
        <w:spacing w:before="11"/>
        <w:rPr>
          <w:sz w:val="24"/>
        </w:rPr>
      </w:pPr>
    </w:p>
    <w:p>
      <w:pPr>
        <w:pStyle w:val="Heading9"/>
        <w:numPr>
          <w:ilvl w:val="0"/>
          <w:numId w:val="71"/>
        </w:numPr>
        <w:tabs>
          <w:tab w:pos="504" w:val="left" w:leader="none"/>
        </w:tabs>
        <w:spacing w:line="240" w:lineRule="auto" w:before="0" w:after="0"/>
        <w:ind w:left="504" w:right="0" w:hanging="396"/>
        <w:jc w:val="left"/>
      </w:pPr>
      <w:r>
        <w:rPr/>
        <w:t>Revenue recognition</w:t>
      </w:r>
    </w:p>
    <w:p>
      <w:pPr>
        <w:pStyle w:val="BodyText"/>
        <w:spacing w:before="141"/>
        <w:ind w:left="504" w:right="141"/>
      </w:pPr>
      <w:r>
        <w:rPr/>
        <w:t>The Company recognises revenue when the amount of revenue can be reliably measured, it is probable that future economic benefits will flow to the Company and specific criteria have been met for each of the Company's activities as discussed below. The Company bases its estimates on historical results, taking into consideration the type of customer, the type of transaction and the specifics of each</w:t>
      </w:r>
      <w:r>
        <w:rPr>
          <w:spacing w:val="9"/>
        </w:rPr>
        <w:t> </w:t>
      </w:r>
      <w:r>
        <w:rPr/>
        <w:t>arrangement.</w:t>
      </w:r>
    </w:p>
    <w:p>
      <w:pPr>
        <w:spacing w:after="0"/>
        <w:sectPr>
          <w:headerReference w:type="default" r:id="rId113"/>
          <w:pgSz w:w="11910" w:h="16840"/>
          <w:pgMar w:header="1037" w:footer="512" w:top="2380" w:bottom="700" w:left="900" w:right="920"/>
        </w:sectPr>
      </w:pPr>
    </w:p>
    <w:p>
      <w:pPr>
        <w:pStyle w:val="BodyText"/>
        <w:spacing w:before="7"/>
      </w:pPr>
    </w:p>
    <w:p>
      <w:pPr>
        <w:pStyle w:val="ListParagraph"/>
        <w:numPr>
          <w:ilvl w:val="0"/>
          <w:numId w:val="72"/>
        </w:numPr>
        <w:tabs>
          <w:tab w:pos="504" w:val="left" w:leader="none"/>
        </w:tabs>
        <w:spacing w:line="240" w:lineRule="auto" w:before="77" w:after="0"/>
        <w:ind w:left="504" w:right="0" w:hanging="396"/>
        <w:jc w:val="left"/>
        <w:rPr>
          <w:b/>
          <w:sz w:val="18"/>
        </w:rPr>
      </w:pPr>
      <w:r>
        <w:rPr>
          <w:b/>
          <w:sz w:val="18"/>
        </w:rPr>
        <w:t>Revenue recognition (continued)</w:t>
      </w:r>
    </w:p>
    <w:p>
      <w:pPr>
        <w:pStyle w:val="BodyText"/>
        <w:spacing w:before="141"/>
        <w:ind w:left="504" w:right="161"/>
      </w:pPr>
      <w:r>
        <w:rPr/>
        <w:t>Revenue is recognised for the major business activities as follows:</w:t>
      </w:r>
    </w:p>
    <w:p>
      <w:pPr>
        <w:pStyle w:val="ListParagraph"/>
        <w:numPr>
          <w:ilvl w:val="1"/>
          <w:numId w:val="72"/>
        </w:numPr>
        <w:tabs>
          <w:tab w:pos="716" w:val="left" w:leader="none"/>
        </w:tabs>
        <w:spacing w:line="240" w:lineRule="auto" w:before="141" w:after="0"/>
        <w:ind w:left="715" w:right="0" w:hanging="211"/>
        <w:jc w:val="left"/>
        <w:rPr>
          <w:sz w:val="18"/>
        </w:rPr>
      </w:pPr>
      <w:r>
        <w:rPr>
          <w:sz w:val="18"/>
        </w:rPr>
        <w:t>Child care</w:t>
      </w:r>
      <w:r>
        <w:rPr>
          <w:spacing w:val="1"/>
          <w:sz w:val="18"/>
        </w:rPr>
        <w:t> </w:t>
      </w:r>
      <w:r>
        <w:rPr>
          <w:sz w:val="18"/>
        </w:rPr>
        <w:t>services</w:t>
      </w:r>
    </w:p>
    <w:p>
      <w:pPr>
        <w:pStyle w:val="BodyText"/>
        <w:spacing w:before="141"/>
        <w:ind w:left="504" w:right="161"/>
      </w:pPr>
      <w:r>
        <w:rPr/>
        <w:t>Revenue from child care services is recognised when services have been provided to the customer, the customer has accepted the services and collectability of the related receivables is probable.</w:t>
      </w:r>
    </w:p>
    <w:p>
      <w:pPr>
        <w:pStyle w:val="ListParagraph"/>
        <w:numPr>
          <w:ilvl w:val="1"/>
          <w:numId w:val="72"/>
        </w:numPr>
        <w:tabs>
          <w:tab w:pos="756" w:val="left" w:leader="none"/>
        </w:tabs>
        <w:spacing w:line="240" w:lineRule="auto" w:before="141" w:after="0"/>
        <w:ind w:left="755" w:right="0" w:hanging="251"/>
        <w:jc w:val="left"/>
        <w:rPr>
          <w:sz w:val="18"/>
        </w:rPr>
      </w:pPr>
      <w:r>
        <w:rPr>
          <w:sz w:val="18"/>
        </w:rPr>
        <w:t>Government</w:t>
      </w:r>
      <w:r>
        <w:rPr>
          <w:spacing w:val="-1"/>
          <w:sz w:val="18"/>
        </w:rPr>
        <w:t> </w:t>
      </w:r>
      <w:r>
        <w:rPr>
          <w:sz w:val="18"/>
        </w:rPr>
        <w:t>grants</w:t>
      </w:r>
    </w:p>
    <w:p>
      <w:pPr>
        <w:pStyle w:val="BodyText"/>
        <w:spacing w:before="141"/>
        <w:ind w:left="504" w:right="252"/>
      </w:pPr>
      <w:r>
        <w:rPr/>
        <w:t>Western Sydney University Early Learning Limited treats operating grants received from Australian Government entities as income in the year of receipt.</w:t>
      </w:r>
    </w:p>
    <w:p>
      <w:pPr>
        <w:pStyle w:val="BodyText"/>
        <w:spacing w:before="141"/>
        <w:ind w:left="504" w:right="94"/>
      </w:pPr>
      <w:r>
        <w:rPr/>
        <w:t>Grants from the government are recognised at their fair value where Western Sydney University Early Learning Limited </w:t>
      </w:r>
      <w:bookmarkStart w:name="(d) Income tax exemption " w:id="186"/>
      <w:bookmarkEnd w:id="186"/>
      <w:r>
        <w:rPr/>
      </w:r>
      <w:r>
        <w:rPr/>
        <w:t>obtains control of the right to receive the grant, it is probable that economic benefits will flow to Western Sydney University Early Learning Limited and it can be reliably measured.</w:t>
      </w:r>
    </w:p>
    <w:p>
      <w:pPr>
        <w:pStyle w:val="ListParagraph"/>
        <w:numPr>
          <w:ilvl w:val="1"/>
          <w:numId w:val="72"/>
        </w:numPr>
        <w:tabs>
          <w:tab w:pos="798" w:val="left" w:leader="none"/>
        </w:tabs>
        <w:spacing w:line="240" w:lineRule="auto" w:before="141" w:after="0"/>
        <w:ind w:left="797" w:right="0" w:hanging="293"/>
        <w:jc w:val="left"/>
        <w:rPr>
          <w:sz w:val="18"/>
        </w:rPr>
      </w:pPr>
      <w:r>
        <w:rPr>
          <w:sz w:val="18"/>
        </w:rPr>
        <w:t>Investment income</w:t>
      </w:r>
    </w:p>
    <w:p>
      <w:pPr>
        <w:pStyle w:val="BodyText"/>
        <w:spacing w:before="141"/>
        <w:ind w:left="503" w:right="161"/>
      </w:pPr>
      <w:r>
        <w:rPr/>
        <w:t>Interest income is recognised using the effective interest method.</w:t>
      </w:r>
    </w:p>
    <w:p>
      <w:pPr>
        <w:pStyle w:val="BodyText"/>
        <w:spacing w:before="11"/>
        <w:rPr>
          <w:sz w:val="24"/>
        </w:rPr>
      </w:pPr>
    </w:p>
    <w:p>
      <w:pPr>
        <w:pStyle w:val="Heading9"/>
        <w:numPr>
          <w:ilvl w:val="0"/>
          <w:numId w:val="72"/>
        </w:numPr>
        <w:tabs>
          <w:tab w:pos="504" w:val="left" w:leader="none"/>
        </w:tabs>
        <w:spacing w:line="240" w:lineRule="auto" w:before="0" w:after="0"/>
        <w:ind w:left="504" w:right="0" w:hanging="396"/>
        <w:jc w:val="left"/>
      </w:pPr>
      <w:bookmarkStart w:name="(e) Cash and cash equivalents " w:id="187"/>
      <w:bookmarkEnd w:id="187"/>
      <w:r>
        <w:rPr>
          <w:b w:val="0"/>
        </w:rPr>
      </w:r>
      <w:bookmarkStart w:name="(e) Cash and cash equivalents " w:id="188"/>
      <w:bookmarkEnd w:id="188"/>
      <w:r>
        <w:rPr/>
        <w:t>Income</w:t>
      </w:r>
      <w:r>
        <w:rPr/>
        <w:t> tax</w:t>
      </w:r>
      <w:r>
        <w:rPr>
          <w:spacing w:val="1"/>
        </w:rPr>
        <w:t> </w:t>
      </w:r>
      <w:r>
        <w:rPr/>
        <w:t>exemption</w:t>
      </w:r>
    </w:p>
    <w:p>
      <w:pPr>
        <w:pStyle w:val="BodyText"/>
        <w:spacing w:before="141"/>
        <w:ind w:left="504" w:right="161"/>
      </w:pPr>
      <w:r>
        <w:rPr/>
        <w:t>The Company is exempt from the payment of tax by virtue of section 50-B of the Income Tax Assessment Act 1997. Accordingly, no provision for income tax liability or future income tax benefit has been included in the financial </w:t>
      </w:r>
      <w:bookmarkStart w:name="(f) Trade receivables " w:id="189"/>
      <w:bookmarkEnd w:id="189"/>
      <w:r>
        <w:rPr/>
      </w:r>
      <w:r>
        <w:rPr/>
        <w:t>statements.</w:t>
      </w:r>
    </w:p>
    <w:p>
      <w:pPr>
        <w:pStyle w:val="BodyText"/>
        <w:spacing w:before="11"/>
        <w:rPr>
          <w:sz w:val="24"/>
        </w:rPr>
      </w:pPr>
    </w:p>
    <w:p>
      <w:pPr>
        <w:pStyle w:val="Heading9"/>
        <w:numPr>
          <w:ilvl w:val="0"/>
          <w:numId w:val="72"/>
        </w:numPr>
        <w:tabs>
          <w:tab w:pos="504" w:val="left" w:leader="none"/>
        </w:tabs>
        <w:spacing w:line="240" w:lineRule="auto" w:before="0" w:after="0"/>
        <w:ind w:left="504" w:right="0" w:hanging="396"/>
        <w:jc w:val="left"/>
      </w:pPr>
      <w:r>
        <w:rPr/>
        <w:t>Cash and cash</w:t>
      </w:r>
      <w:r>
        <w:rPr>
          <w:spacing w:val="-1"/>
        </w:rPr>
        <w:t> </w:t>
      </w:r>
      <w:r>
        <w:rPr/>
        <w:t>equivalents</w:t>
      </w:r>
    </w:p>
    <w:p>
      <w:pPr>
        <w:pStyle w:val="BodyText"/>
        <w:spacing w:before="141"/>
        <w:ind w:left="504" w:right="161"/>
      </w:pPr>
      <w:r>
        <w:rPr/>
        <w:t>Cash and cash equivalents comprise cash at bank and on hand.</w:t>
      </w:r>
    </w:p>
    <w:p>
      <w:pPr>
        <w:pStyle w:val="BodyText"/>
        <w:spacing w:before="11"/>
        <w:rPr>
          <w:sz w:val="24"/>
        </w:rPr>
      </w:pPr>
    </w:p>
    <w:p>
      <w:pPr>
        <w:pStyle w:val="Heading9"/>
        <w:numPr>
          <w:ilvl w:val="0"/>
          <w:numId w:val="72"/>
        </w:numPr>
        <w:tabs>
          <w:tab w:pos="504" w:val="left" w:leader="none"/>
        </w:tabs>
        <w:spacing w:line="240" w:lineRule="auto" w:before="0" w:after="0"/>
        <w:ind w:left="504" w:right="0" w:hanging="396"/>
        <w:jc w:val="left"/>
      </w:pPr>
      <w:r>
        <w:rPr/>
        <w:t>Trade</w:t>
      </w:r>
      <w:r>
        <w:rPr>
          <w:spacing w:val="-1"/>
        </w:rPr>
        <w:t> </w:t>
      </w:r>
      <w:r>
        <w:rPr/>
        <w:t>receivables</w:t>
      </w:r>
    </w:p>
    <w:p>
      <w:pPr>
        <w:pStyle w:val="BodyText"/>
        <w:spacing w:before="141"/>
        <w:ind w:left="504" w:right="151"/>
      </w:pPr>
      <w:r>
        <w:rPr/>
        <w:t>Trade receivables are recognised initially at fair value and subsequently measured at amortised cost using the  effective interest method, less provision for impairment. Trade receivables are due for settlement no more than 30  days for debtors. They are presented as current assets unless collection is not expected for more than 12 months after reporting date.</w:t>
      </w:r>
    </w:p>
    <w:p>
      <w:pPr>
        <w:pStyle w:val="BodyText"/>
        <w:spacing w:before="141"/>
        <w:ind w:left="504" w:right="161"/>
      </w:pPr>
      <w:r>
        <w:rPr/>
        <w:t>Collectability of trade receivables is reviewed on an ongoing basis. Debts which are known to be uncollectable are written off. A provision for impairment of receivables is established when there is objective evidence that the Company will not be able to collect all amounts due according to the original terms of receivables. Significant financial difficulties of debtor, probability that the debtor will enter bankruptcy or financial reorganisation, and default or delinquency in payments (more than 30 days overdue) are considered indicators that the trade receivable is impaired. The amount of the impairment allowance is the difference between the asset's carrying amount and the present value of estimated future cash flows, discounted at the effective interest rate. Cash flows relating to short-term receivables are not discounted if the effect of discounting is immaterial. The amount of movement in the impairment allowance is recognised in the statement of comprehensive income.</w:t>
      </w:r>
    </w:p>
    <w:p>
      <w:pPr>
        <w:spacing w:after="0"/>
        <w:sectPr>
          <w:headerReference w:type="default" r:id="rId114"/>
          <w:pgSz w:w="11910" w:h="16840"/>
          <w:pgMar w:header="1037" w:footer="512" w:top="2880" w:bottom="700" w:left="900" w:right="860"/>
        </w:sectPr>
      </w:pPr>
    </w:p>
    <w:p>
      <w:pPr>
        <w:pStyle w:val="BodyText"/>
        <w:spacing w:before="7"/>
      </w:pPr>
    </w:p>
    <w:p>
      <w:pPr>
        <w:pStyle w:val="ListParagraph"/>
        <w:numPr>
          <w:ilvl w:val="0"/>
          <w:numId w:val="72"/>
        </w:numPr>
        <w:tabs>
          <w:tab w:pos="504" w:val="left" w:leader="none"/>
        </w:tabs>
        <w:spacing w:line="240" w:lineRule="auto" w:before="77" w:after="0"/>
        <w:ind w:left="504" w:right="0" w:hanging="396"/>
        <w:jc w:val="left"/>
        <w:rPr>
          <w:b/>
          <w:sz w:val="18"/>
        </w:rPr>
      </w:pPr>
      <w:bookmarkStart w:name="(g) Financial assets " w:id="190"/>
      <w:bookmarkEnd w:id="190"/>
      <w:r>
        <w:rPr/>
      </w:r>
      <w:bookmarkStart w:name="(g) Financial assets " w:id="191"/>
      <w:bookmarkEnd w:id="191"/>
      <w:r>
        <w:rPr>
          <w:b/>
          <w:sz w:val="18"/>
        </w:rPr>
        <w:t>Financial</w:t>
      </w:r>
      <w:r>
        <w:rPr>
          <w:b/>
          <w:sz w:val="18"/>
        </w:rPr>
        <w:t> assets</w:t>
      </w:r>
    </w:p>
    <w:p>
      <w:pPr>
        <w:pStyle w:val="BodyText"/>
        <w:spacing w:before="141"/>
        <w:ind w:left="504" w:right="130"/>
      </w:pPr>
      <w:r>
        <w:rPr/>
        <w:t>Western Sydney University Early Learning Limited did not hold financial assets at fair value through profit or loss either in the current or comparative financial years.</w:t>
      </w:r>
    </w:p>
    <w:p>
      <w:pPr>
        <w:pStyle w:val="ListParagraph"/>
        <w:numPr>
          <w:ilvl w:val="1"/>
          <w:numId w:val="72"/>
        </w:numPr>
        <w:tabs>
          <w:tab w:pos="767" w:val="left" w:leader="none"/>
        </w:tabs>
        <w:spacing w:line="240" w:lineRule="auto" w:before="141" w:after="0"/>
        <w:ind w:left="766" w:right="0" w:hanging="262"/>
        <w:jc w:val="left"/>
        <w:rPr>
          <w:sz w:val="18"/>
        </w:rPr>
      </w:pPr>
      <w:r>
        <w:rPr>
          <w:sz w:val="18"/>
        </w:rPr>
        <w:t>Loans and</w:t>
      </w:r>
      <w:r>
        <w:rPr>
          <w:spacing w:val="1"/>
          <w:sz w:val="18"/>
        </w:rPr>
        <w:t> </w:t>
      </w:r>
      <w:r>
        <w:rPr>
          <w:sz w:val="18"/>
        </w:rPr>
        <w:t>receivables</w:t>
      </w:r>
    </w:p>
    <w:p>
      <w:pPr>
        <w:pStyle w:val="BodyText"/>
        <w:spacing w:before="141"/>
        <w:ind w:left="503" w:right="162"/>
      </w:pPr>
      <w:r>
        <w:rPr/>
        <w:t>Loans and receivables are non-derivative financial assets with fixed or determinable payments that are not quoted in an active market. They are included in current assets, except for those with maturities greater than 12 months after the statement of financial position date which are classified as non-current assets. Loans and receivables are included in receivables in the statement of financial</w:t>
      </w:r>
      <w:r>
        <w:rPr>
          <w:spacing w:val="5"/>
        </w:rPr>
        <w:t> </w:t>
      </w:r>
      <w:r>
        <w:rPr/>
        <w:t>position.</w:t>
      </w:r>
    </w:p>
    <w:p>
      <w:pPr>
        <w:pStyle w:val="BodyText"/>
        <w:spacing w:before="141"/>
        <w:ind w:left="503" w:right="220"/>
      </w:pPr>
      <w:r>
        <w:rPr/>
        <w:t>Loans and receivables are carried at amortised cost using the effective interest method.</w:t>
      </w:r>
    </w:p>
    <w:p>
      <w:pPr>
        <w:pStyle w:val="ListParagraph"/>
        <w:numPr>
          <w:ilvl w:val="1"/>
          <w:numId w:val="72"/>
        </w:numPr>
        <w:tabs>
          <w:tab w:pos="859" w:val="left" w:leader="none"/>
        </w:tabs>
        <w:spacing w:line="240" w:lineRule="auto" w:before="141" w:after="0"/>
        <w:ind w:left="858" w:right="0" w:hanging="354"/>
        <w:jc w:val="left"/>
        <w:rPr>
          <w:sz w:val="18"/>
        </w:rPr>
      </w:pPr>
      <w:r>
        <w:rPr>
          <w:sz w:val="18"/>
        </w:rPr>
        <w:t>Assets carried at amortised</w:t>
      </w:r>
      <w:r>
        <w:rPr>
          <w:spacing w:val="3"/>
          <w:sz w:val="18"/>
        </w:rPr>
        <w:t> </w:t>
      </w:r>
      <w:r>
        <w:rPr>
          <w:sz w:val="18"/>
        </w:rPr>
        <w:t>cost.</w:t>
      </w:r>
    </w:p>
    <w:p>
      <w:pPr>
        <w:pStyle w:val="BodyText"/>
        <w:spacing w:before="141"/>
        <w:ind w:left="503" w:right="164"/>
      </w:pPr>
      <w:r>
        <w:rPr/>
        <w:t>For loans and receivables, the amount of the loss is measured as the difference between the assets carrying amount and the present value of estimated future cash flows (excluding future credit losses that have not been incurred) discounted at the financial assets original effective interest rate. The carrying amount of the asset is reduced and the amount of the loss is recognised in the statement of comprehensive income. The loan has a variable interest rate, the discount rate for measuring any impairment loss is the current effective interest rate determined under the contract. As a practical expedient, the Company may measure impairment on the basis of an instruments fair value using an </w:t>
      </w:r>
      <w:bookmarkStart w:name="(h) Trade and other payables " w:id="192"/>
      <w:bookmarkEnd w:id="192"/>
      <w:r>
        <w:rPr/>
      </w:r>
      <w:r>
        <w:rPr/>
        <w:t>observable market price.</w:t>
      </w:r>
    </w:p>
    <w:p>
      <w:pPr>
        <w:pStyle w:val="BodyText"/>
        <w:spacing w:before="141"/>
        <w:ind w:left="503" w:right="130"/>
      </w:pPr>
      <w:r>
        <w:rPr/>
        <w:t>If, in a subsequent period, the amount of the impairment loss decreases and the decrease can be related objectively to an event occurring after the impairment was recognised (such as an improvement in the debtor's credit rating), the reversal of the previously recognised impairment loss is recognised in the statement of comprehensive income.</w:t>
      </w:r>
    </w:p>
    <w:p>
      <w:pPr>
        <w:pStyle w:val="BodyText"/>
      </w:pPr>
    </w:p>
    <w:p>
      <w:pPr>
        <w:pStyle w:val="BodyText"/>
        <w:spacing w:before="10"/>
        <w:rPr>
          <w:sz w:val="24"/>
        </w:rPr>
      </w:pPr>
    </w:p>
    <w:p>
      <w:pPr>
        <w:pStyle w:val="Heading9"/>
        <w:numPr>
          <w:ilvl w:val="0"/>
          <w:numId w:val="72"/>
        </w:numPr>
        <w:tabs>
          <w:tab w:pos="504" w:val="left" w:leader="none"/>
        </w:tabs>
        <w:spacing w:line="240" w:lineRule="auto" w:before="1" w:after="0"/>
        <w:ind w:left="504" w:right="0" w:hanging="396"/>
        <w:jc w:val="left"/>
      </w:pPr>
      <w:bookmarkStart w:name="(i) Employee benefits " w:id="193"/>
      <w:bookmarkEnd w:id="193"/>
      <w:r>
        <w:rPr>
          <w:b w:val="0"/>
        </w:rPr>
      </w:r>
      <w:bookmarkStart w:name="(i) Employee benefits " w:id="194"/>
      <w:bookmarkEnd w:id="194"/>
      <w:r>
        <w:rPr/>
        <w:t>Trade</w:t>
      </w:r>
      <w:r>
        <w:rPr/>
        <w:t> and other</w:t>
      </w:r>
      <w:r>
        <w:rPr>
          <w:spacing w:val="-9"/>
        </w:rPr>
        <w:t> </w:t>
      </w:r>
      <w:r>
        <w:rPr/>
        <w:t>payables</w:t>
      </w:r>
    </w:p>
    <w:p>
      <w:pPr>
        <w:pStyle w:val="BodyText"/>
        <w:spacing w:before="141"/>
        <w:ind w:left="504" w:right="220"/>
      </w:pPr>
      <w:r>
        <w:rPr/>
        <w:t>These amounts represent liabilities for goods and services provided to the Company prior to the end of the financial period, which are unpaid. The amounts are unsecured and are usually paid within 30 days of recognition.</w:t>
      </w:r>
    </w:p>
    <w:p>
      <w:pPr>
        <w:pStyle w:val="BodyText"/>
        <w:spacing w:before="11"/>
        <w:rPr>
          <w:sz w:val="24"/>
        </w:rPr>
      </w:pPr>
    </w:p>
    <w:p>
      <w:pPr>
        <w:pStyle w:val="Heading9"/>
        <w:numPr>
          <w:ilvl w:val="0"/>
          <w:numId w:val="72"/>
        </w:numPr>
        <w:tabs>
          <w:tab w:pos="504" w:val="left" w:leader="none"/>
        </w:tabs>
        <w:spacing w:line="240" w:lineRule="auto" w:before="0" w:after="0"/>
        <w:ind w:left="504" w:right="0" w:hanging="396"/>
        <w:jc w:val="left"/>
      </w:pPr>
      <w:r>
        <w:rPr/>
        <w:t>Employee</w:t>
      </w:r>
      <w:r>
        <w:rPr>
          <w:spacing w:val="-10"/>
        </w:rPr>
        <w:t> </w:t>
      </w:r>
      <w:r>
        <w:rPr/>
        <w:t>benefits</w:t>
      </w:r>
    </w:p>
    <w:p>
      <w:pPr>
        <w:pStyle w:val="BodyText"/>
        <w:spacing w:before="141"/>
        <w:ind w:left="503" w:right="220"/>
      </w:pPr>
      <w:r>
        <w:rPr/>
        <w:t>Provision is made for Western Sydney University Early Learning Limited's liability for employee benefits arising from services rendered by employees to the end of the reporting period. Employee benefits that are expected to be settled within one year have been measured at the amounts expected to be paid when the liability is settled.</w:t>
      </w:r>
    </w:p>
    <w:p>
      <w:pPr>
        <w:pStyle w:val="BodyText"/>
        <w:spacing w:before="141"/>
        <w:ind w:left="504" w:right="201"/>
      </w:pPr>
      <w:r>
        <w:rPr/>
        <w:t>Employee benefits expected to be settled more than twelve months after the end of the reporting period have been measured at the present value of the estimated future cash outflows to be made for those benefits. In determining the liability, consideration is given to employee wage increases and the probability that the employee may satisfy vesting requirements. Cashflows are discounted using market yields on national government bonds with terms to maturity that match the expected timing of cashflows. Changes in the measurement of the liability are recognised in the statement of comprehensive</w:t>
      </w:r>
      <w:r>
        <w:rPr>
          <w:spacing w:val="1"/>
        </w:rPr>
        <w:t> </w:t>
      </w:r>
      <w:r>
        <w:rPr/>
        <w:t>income.</w:t>
      </w:r>
    </w:p>
    <w:p>
      <w:pPr>
        <w:pStyle w:val="BodyText"/>
        <w:spacing w:before="141"/>
        <w:ind w:left="503" w:right="220"/>
      </w:pPr>
      <w:r>
        <w:rPr/>
        <w:t>Employee benefits are presented as current liabilities in the statement of financial position if Western Sydney University Early Learning Limited does not have an unconditional right to defer settlement of the liability for at least 12 months after the reporting date regardless of the classification of the liability for measurement purposes under AASB 119.</w:t>
      </w:r>
    </w:p>
    <w:p>
      <w:pPr>
        <w:spacing w:after="0"/>
        <w:sectPr>
          <w:headerReference w:type="default" r:id="rId115"/>
          <w:pgSz w:w="11910" w:h="16840"/>
          <w:pgMar w:header="1037" w:footer="512" w:top="2880" w:bottom="700" w:left="900" w:right="880"/>
        </w:sectPr>
      </w:pPr>
    </w:p>
    <w:p>
      <w:pPr>
        <w:pStyle w:val="BodyText"/>
        <w:spacing w:before="7"/>
      </w:pPr>
    </w:p>
    <w:p>
      <w:pPr>
        <w:pStyle w:val="ListParagraph"/>
        <w:numPr>
          <w:ilvl w:val="0"/>
          <w:numId w:val="72"/>
        </w:numPr>
        <w:tabs>
          <w:tab w:pos="504" w:val="left" w:leader="none"/>
        </w:tabs>
        <w:spacing w:line="240" w:lineRule="auto" w:before="77" w:after="0"/>
        <w:ind w:left="504" w:right="0" w:hanging="396"/>
        <w:jc w:val="left"/>
        <w:rPr>
          <w:b/>
          <w:sz w:val="18"/>
        </w:rPr>
      </w:pPr>
      <w:bookmarkStart w:name="(j) Goods and Services Tax (GST) " w:id="195"/>
      <w:bookmarkEnd w:id="195"/>
      <w:r>
        <w:rPr/>
      </w:r>
      <w:bookmarkStart w:name="(j) Goods and Services Tax (GST) " w:id="196"/>
      <w:bookmarkEnd w:id="196"/>
      <w:r>
        <w:rPr>
          <w:b/>
          <w:sz w:val="18"/>
        </w:rPr>
        <w:t>Goods</w:t>
      </w:r>
      <w:r>
        <w:rPr>
          <w:b/>
          <w:sz w:val="18"/>
        </w:rPr>
        <w:t> and Services Tax (GST)</w:t>
      </w:r>
    </w:p>
    <w:p>
      <w:pPr>
        <w:pStyle w:val="BodyText"/>
        <w:spacing w:before="141"/>
        <w:ind w:left="504" w:right="130"/>
      </w:pPr>
      <w:r>
        <w:rPr/>
        <w:t>Revenues, expenses and assets are recognised net of the amount of associated GST, unless the GST incurred is not recoverable from the taxation authority. In this case, it is recognised as part of the cost of acquisition of the asset or as part of the expense.</w:t>
      </w:r>
    </w:p>
    <w:p>
      <w:pPr>
        <w:pStyle w:val="BodyText"/>
        <w:spacing w:before="141"/>
        <w:ind w:left="504" w:right="98"/>
      </w:pPr>
      <w:bookmarkStart w:name="(k) New Accounting Standards and Interpr" w:id="197"/>
      <w:bookmarkEnd w:id="197"/>
      <w:r>
        <w:rPr/>
      </w:r>
      <w:r>
        <w:rPr/>
        <w:t>Receivables and payables are stated inclusive of the amount of GST receivable or payable. The net amount of GST recoverable from, or payable to, the taxation authority is included with other receivables or payables in the statement of financial position.</w:t>
      </w:r>
    </w:p>
    <w:p>
      <w:pPr>
        <w:pStyle w:val="BodyText"/>
        <w:spacing w:before="141"/>
        <w:ind w:left="504" w:right="220"/>
      </w:pPr>
      <w:r>
        <w:rPr/>
        <w:t>Cash flows are presented on a gross basis. The GST components of cash flows arising from investing or financing activities which are recoverable from, or payable to, the taxation authority, are presented as operating cash flows.</w:t>
      </w:r>
    </w:p>
    <w:p>
      <w:pPr>
        <w:pStyle w:val="BodyText"/>
        <w:spacing w:before="11"/>
        <w:rPr>
          <w:sz w:val="24"/>
        </w:rPr>
      </w:pPr>
    </w:p>
    <w:p>
      <w:pPr>
        <w:pStyle w:val="Heading9"/>
        <w:numPr>
          <w:ilvl w:val="0"/>
          <w:numId w:val="72"/>
        </w:numPr>
        <w:tabs>
          <w:tab w:pos="504" w:val="left" w:leader="none"/>
        </w:tabs>
        <w:spacing w:line="240" w:lineRule="auto" w:before="0" w:after="0"/>
        <w:ind w:left="504" w:right="0" w:hanging="396"/>
        <w:jc w:val="left"/>
      </w:pPr>
      <w:r>
        <w:rPr/>
        <w:t>New Accounting Standards and Interpretations not </w:t>
      </w:r>
      <w:r>
        <w:rPr>
          <w:spacing w:val="-3"/>
        </w:rPr>
        <w:t>yet </w:t>
      </w:r>
      <w:r>
        <w:rPr/>
        <w:t>mandatory or early</w:t>
      </w:r>
      <w:r>
        <w:rPr>
          <w:spacing w:val="-16"/>
        </w:rPr>
        <w:t> </w:t>
      </w:r>
      <w:r>
        <w:rPr/>
        <w:t>adopted</w:t>
      </w:r>
    </w:p>
    <w:p>
      <w:pPr>
        <w:pStyle w:val="BodyText"/>
        <w:spacing w:before="141"/>
        <w:ind w:left="504" w:right="220"/>
      </w:pPr>
      <w:r>
        <w:rPr/>
        <w:t>Certain new Accounting Standards and Interpretations have been published that are not mandatory for 31 December 2017 reporting periods and have not yet been applied to the financial statements. The Company's assessment of the impact of these new Standards and Interpretations is that they will not materially affect any of the amounts recognised in the financial statements or significantly impact the disclosures in relation to the Company.</w:t>
      </w:r>
    </w:p>
    <w:p>
      <w:pPr>
        <w:pStyle w:val="Heading9"/>
        <w:spacing w:before="141"/>
        <w:ind w:left="504" w:right="220"/>
      </w:pPr>
      <w:bookmarkStart w:name="(l) Comparative amounts " w:id="198"/>
      <w:bookmarkEnd w:id="198"/>
      <w:r>
        <w:rPr>
          <w:b w:val="0"/>
        </w:rPr>
      </w:r>
      <w:r>
        <w:rPr/>
        <w:t>Adoption of new and revised accounting standards</w:t>
      </w:r>
    </w:p>
    <w:p>
      <w:pPr>
        <w:pStyle w:val="BodyText"/>
        <w:spacing w:before="141"/>
        <w:ind w:left="504" w:right="220"/>
      </w:pPr>
      <w:r>
        <w:rPr/>
        <w:t>The Company has adopted all standards which became effective for the first time for the financial year beginning 1 January 2017. the adoption of these standards has not caused any material adjustments to the reported financial position, performance or cash flow of the Company.</w:t>
      </w:r>
    </w:p>
    <w:p>
      <w:pPr>
        <w:pStyle w:val="BodyText"/>
      </w:pPr>
    </w:p>
    <w:p>
      <w:pPr>
        <w:pStyle w:val="BodyText"/>
        <w:rPr>
          <w:sz w:val="23"/>
        </w:rPr>
      </w:pPr>
    </w:p>
    <w:p>
      <w:pPr>
        <w:pStyle w:val="Heading9"/>
        <w:numPr>
          <w:ilvl w:val="0"/>
          <w:numId w:val="72"/>
        </w:numPr>
        <w:tabs>
          <w:tab w:pos="504" w:val="left" w:leader="none"/>
        </w:tabs>
        <w:spacing w:line="240" w:lineRule="auto" w:before="0" w:after="0"/>
        <w:ind w:left="504" w:right="0" w:hanging="396"/>
        <w:jc w:val="left"/>
      </w:pPr>
      <w:r>
        <w:rPr/>
        <w:t>Comparative</w:t>
      </w:r>
      <w:r>
        <w:rPr>
          <w:spacing w:val="-1"/>
        </w:rPr>
        <w:t> </w:t>
      </w:r>
      <w:r>
        <w:rPr/>
        <w:t>amounts</w:t>
      </w:r>
    </w:p>
    <w:p>
      <w:pPr>
        <w:pStyle w:val="BodyText"/>
        <w:spacing w:before="141"/>
        <w:ind w:left="504" w:right="220"/>
      </w:pPr>
      <w:r>
        <w:rPr/>
        <w:t>When required by Accounting Standards, comparative figures have been adjusted to conform to changes in presentation for the current financial year.</w:t>
      </w:r>
    </w:p>
    <w:p>
      <w:pPr>
        <w:pStyle w:val="BodyText"/>
        <w:spacing w:before="141"/>
        <w:ind w:left="503" w:right="261"/>
      </w:pPr>
      <w:r>
        <w:rPr/>
        <w:t>When the Company applies an accounting policy retrospectively, makes a retrospective restatement or reclassifies items in the financial statements, a statement of financial position as at the beginning of the earliest comparative period will be presented.</w:t>
      </w:r>
    </w:p>
    <w:p>
      <w:pPr>
        <w:pStyle w:val="BodyText"/>
        <w:spacing w:before="141"/>
        <w:ind w:left="503" w:right="130"/>
      </w:pPr>
      <w:r>
        <w:rPr/>
        <w:t>During the preparation of the current year financial statements, the following items have been adjusted to conform with the current years presentation, resulting in more relevant reliable financial information and classification.</w:t>
      </w:r>
    </w:p>
    <w:p>
      <w:pPr>
        <w:spacing w:after="0"/>
        <w:sectPr>
          <w:headerReference w:type="default" r:id="rId116"/>
          <w:pgSz w:w="11910" w:h="16840"/>
          <w:pgMar w:header="1037" w:footer="512" w:top="2880" w:bottom="700" w:left="900" w:right="880"/>
        </w:sectPr>
      </w:pPr>
    </w:p>
    <w:p>
      <w:pPr>
        <w:pStyle w:val="BodyText"/>
        <w:spacing w:before="9"/>
      </w:pPr>
    </w:p>
    <w:p>
      <w:pPr>
        <w:pStyle w:val="Heading9"/>
        <w:tabs>
          <w:tab w:pos="503" w:val="left" w:leader="none"/>
        </w:tabs>
        <w:spacing w:before="77"/>
        <w:ind w:left="107" w:right="220"/>
      </w:pPr>
      <w:r>
        <w:rPr/>
        <w:t>1</w:t>
        <w:tab/>
        <w:t>Summary of significant accounting policies</w:t>
      </w:r>
      <w:r>
        <w:rPr>
          <w:spacing w:val="-9"/>
        </w:rPr>
        <w:t> </w:t>
      </w:r>
      <w:r>
        <w:rPr/>
        <w:t>(continued)</w:t>
      </w:r>
    </w:p>
    <w:p>
      <w:pPr>
        <w:pStyle w:val="BodyText"/>
        <w:spacing w:before="3"/>
        <w:rPr>
          <w:b/>
        </w:rPr>
      </w:pPr>
    </w:p>
    <w:p>
      <w:pPr>
        <w:spacing w:after="0"/>
        <w:sectPr>
          <w:headerReference w:type="default" r:id="rId117"/>
          <w:pgSz w:w="11910" w:h="16840"/>
          <w:pgMar w:header="1037" w:footer="512" w:top="2380" w:bottom="700" w:left="900" w:right="880"/>
        </w:sectPr>
      </w:pPr>
    </w:p>
    <w:p>
      <w:pPr>
        <w:tabs>
          <w:tab w:pos="503" w:val="left" w:leader="none"/>
        </w:tabs>
        <w:spacing w:before="77"/>
        <w:ind w:left="107" w:right="0" w:firstLine="0"/>
        <w:jc w:val="left"/>
        <w:rPr>
          <w:b/>
          <w:sz w:val="18"/>
        </w:rPr>
      </w:pPr>
      <w:r>
        <w:rPr>
          <w:b/>
          <w:sz w:val="18"/>
        </w:rPr>
        <w:t>(l)</w:t>
        <w:tab/>
        <w:t>Comparative amounts (continued)</w:t>
      </w:r>
    </w:p>
    <w:p>
      <w:pPr>
        <w:pStyle w:val="BodyText"/>
        <w:rPr>
          <w:b/>
        </w:rPr>
      </w:pPr>
      <w:r>
        <w:rPr/>
        <w:br w:type="column"/>
      </w:r>
      <w:r>
        <w:rPr>
          <w:b/>
        </w:rPr>
      </w:r>
    </w:p>
    <w:p>
      <w:pPr>
        <w:pStyle w:val="BodyText"/>
        <w:rPr>
          <w:b/>
        </w:rPr>
      </w:pPr>
    </w:p>
    <w:p>
      <w:pPr>
        <w:pStyle w:val="BodyText"/>
        <w:rPr>
          <w:b/>
        </w:rPr>
      </w:pPr>
    </w:p>
    <w:p>
      <w:pPr>
        <w:pStyle w:val="BodyText"/>
        <w:rPr>
          <w:b/>
          <w:sz w:val="17"/>
        </w:rPr>
      </w:pPr>
    </w:p>
    <w:p>
      <w:pPr>
        <w:spacing w:before="0"/>
        <w:ind w:left="107" w:right="-18" w:firstLine="0"/>
        <w:jc w:val="left"/>
        <w:rPr>
          <w:b/>
          <w:sz w:val="18"/>
        </w:rPr>
      </w:pPr>
      <w:r>
        <w:rPr>
          <w:b/>
          <w:sz w:val="18"/>
        </w:rPr>
        <w:t>Note</w:t>
      </w:r>
    </w:p>
    <w:p>
      <w:pPr>
        <w:pStyle w:val="BodyText"/>
        <w:rPr>
          <w:b/>
        </w:rPr>
      </w:pPr>
      <w:r>
        <w:rPr/>
        <w:br w:type="column"/>
      </w:r>
      <w:r>
        <w:rPr>
          <w:b/>
        </w:rPr>
      </w:r>
    </w:p>
    <w:p>
      <w:pPr>
        <w:spacing w:line="207" w:lineRule="exact" w:before="129"/>
        <w:ind w:left="108" w:right="0" w:firstLine="0"/>
        <w:jc w:val="center"/>
        <w:rPr>
          <w:b/>
          <w:sz w:val="18"/>
        </w:rPr>
      </w:pPr>
      <w:r>
        <w:rPr>
          <w:b/>
          <w:sz w:val="18"/>
        </w:rPr>
        <w:t>2016</w:t>
      </w:r>
    </w:p>
    <w:p>
      <w:pPr>
        <w:spacing w:line="207" w:lineRule="exact" w:before="0"/>
        <w:ind w:left="107" w:right="0" w:firstLine="0"/>
        <w:jc w:val="center"/>
        <w:rPr>
          <w:b/>
          <w:sz w:val="18"/>
        </w:rPr>
      </w:pPr>
      <w:r>
        <w:rPr>
          <w:b/>
          <w:sz w:val="18"/>
        </w:rPr>
        <w:t>Reported</w:t>
      </w:r>
    </w:p>
    <w:p>
      <w:pPr>
        <w:spacing w:before="66"/>
        <w:ind w:left="107" w:right="0" w:firstLine="0"/>
        <w:jc w:val="center"/>
        <w:rPr>
          <w:b/>
          <w:sz w:val="18"/>
        </w:rPr>
      </w:pPr>
      <w:r>
        <w:rPr>
          <w:b/>
          <w:w w:val="99"/>
          <w:sz w:val="18"/>
        </w:rPr>
        <w:t>$</w:t>
      </w:r>
    </w:p>
    <w:p>
      <w:pPr>
        <w:pStyle w:val="BodyText"/>
        <w:rPr>
          <w:b/>
        </w:rPr>
      </w:pPr>
      <w:r>
        <w:rPr/>
        <w:br w:type="column"/>
      </w:r>
      <w:r>
        <w:rPr>
          <w:b/>
        </w:rPr>
      </w:r>
    </w:p>
    <w:p>
      <w:pPr>
        <w:spacing w:line="207" w:lineRule="exact" w:before="129"/>
        <w:ind w:left="91" w:right="351" w:firstLine="0"/>
        <w:jc w:val="center"/>
        <w:rPr>
          <w:b/>
          <w:sz w:val="18"/>
        </w:rPr>
      </w:pPr>
      <w:r>
        <w:rPr>
          <w:b/>
          <w:sz w:val="18"/>
        </w:rPr>
        <w:t>2016</w:t>
      </w:r>
    </w:p>
    <w:p>
      <w:pPr>
        <w:spacing w:line="207" w:lineRule="exact" w:before="0"/>
        <w:ind w:left="91" w:right="403" w:firstLine="0"/>
        <w:jc w:val="center"/>
        <w:rPr>
          <w:b/>
          <w:sz w:val="18"/>
        </w:rPr>
      </w:pPr>
      <w:r>
        <w:rPr>
          <w:b/>
          <w:sz w:val="18"/>
        </w:rPr>
        <w:t>Revised</w:t>
      </w:r>
    </w:p>
    <w:p>
      <w:pPr>
        <w:spacing w:before="66"/>
        <w:ind w:left="0" w:right="314" w:firstLine="0"/>
        <w:jc w:val="center"/>
        <w:rPr>
          <w:b/>
          <w:sz w:val="18"/>
        </w:rPr>
      </w:pPr>
      <w:r>
        <w:rPr>
          <w:b/>
          <w:w w:val="99"/>
          <w:sz w:val="18"/>
        </w:rPr>
        <w:t>$</w:t>
      </w:r>
    </w:p>
    <w:p>
      <w:pPr>
        <w:spacing w:after="0"/>
        <w:jc w:val="center"/>
        <w:rPr>
          <w:sz w:val="18"/>
        </w:rPr>
        <w:sectPr>
          <w:type w:val="continuous"/>
          <w:pgSz w:w="11910" w:h="16840"/>
          <w:pgMar w:top="1580" w:bottom="280" w:left="900" w:right="880"/>
          <w:cols w:num="4" w:equalWidth="0">
            <w:col w:w="3435" w:space="3398"/>
            <w:col w:w="509" w:space="228"/>
            <w:col w:w="900" w:space="434"/>
            <w:col w:w="1226"/>
          </w:cols>
        </w:sectPr>
      </w:pPr>
    </w:p>
    <w:p>
      <w:pPr>
        <w:pStyle w:val="BodyText"/>
        <w:spacing w:before="4"/>
        <w:rPr>
          <w:b/>
          <w:sz w:val="14"/>
        </w:rPr>
      </w:pPr>
    </w:p>
    <w:p>
      <w:pPr>
        <w:spacing w:line="369" w:lineRule="auto" w:before="0"/>
        <w:ind w:left="744" w:right="6409" w:hanging="214"/>
        <w:jc w:val="left"/>
        <w:rPr>
          <w:b/>
          <w:sz w:val="18"/>
        </w:rPr>
      </w:pPr>
      <w:r>
        <w:rPr/>
        <w:pict>
          <v:shape style="position:absolute;margin-left:87.529999pt;margin-top:28.109034pt;width:458.5pt;height:42pt;mso-position-horizontal-relative:page;mso-position-vertical-relative:paragraph;z-index:426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36"/>
                    <w:gridCol w:w="2642"/>
                    <w:gridCol w:w="1453"/>
                    <w:gridCol w:w="1139"/>
                  </w:tblGrid>
                  <w:tr>
                    <w:trPr>
                      <w:trHeight w:val="237" w:hRule="exact"/>
                    </w:trPr>
                    <w:tc>
                      <w:tcPr>
                        <w:tcW w:w="3936" w:type="dxa"/>
                      </w:tcPr>
                      <w:p>
                        <w:pPr>
                          <w:pStyle w:val="TableParagraph"/>
                          <w:spacing w:line="202" w:lineRule="exact"/>
                          <w:ind w:left="35"/>
                          <w:rPr>
                            <w:sz w:val="18"/>
                          </w:rPr>
                        </w:pPr>
                        <w:r>
                          <w:rPr>
                            <w:sz w:val="18"/>
                          </w:rPr>
                          <w:t>Child Care Services</w:t>
                        </w:r>
                      </w:p>
                    </w:tc>
                    <w:tc>
                      <w:tcPr>
                        <w:tcW w:w="2642" w:type="dxa"/>
                      </w:tcPr>
                      <w:p>
                        <w:pPr/>
                      </w:p>
                    </w:tc>
                    <w:tc>
                      <w:tcPr>
                        <w:tcW w:w="1453" w:type="dxa"/>
                      </w:tcPr>
                      <w:p>
                        <w:pPr>
                          <w:pStyle w:val="TableParagraph"/>
                          <w:spacing w:line="199" w:lineRule="exact"/>
                          <w:ind w:right="244"/>
                          <w:jc w:val="right"/>
                          <w:rPr>
                            <w:b/>
                            <w:sz w:val="18"/>
                          </w:rPr>
                        </w:pPr>
                        <w:r>
                          <w:rPr>
                            <w:b/>
                            <w:w w:val="95"/>
                            <w:sz w:val="18"/>
                          </w:rPr>
                          <w:t>6,397,816</w:t>
                        </w:r>
                      </w:p>
                    </w:tc>
                    <w:tc>
                      <w:tcPr>
                        <w:tcW w:w="1139" w:type="dxa"/>
                      </w:tcPr>
                      <w:p>
                        <w:pPr>
                          <w:pStyle w:val="TableParagraph"/>
                          <w:spacing w:line="199" w:lineRule="exact"/>
                          <w:ind w:right="84"/>
                          <w:jc w:val="right"/>
                          <w:rPr>
                            <w:sz w:val="18"/>
                          </w:rPr>
                        </w:pPr>
                        <w:r>
                          <w:rPr>
                            <w:w w:val="95"/>
                            <w:sz w:val="18"/>
                          </w:rPr>
                          <w:t>6,209,422</w:t>
                        </w:r>
                      </w:p>
                    </w:tc>
                  </w:tr>
                  <w:tr>
                    <w:trPr>
                      <w:trHeight w:val="261" w:hRule="exact"/>
                    </w:trPr>
                    <w:tc>
                      <w:tcPr>
                        <w:tcW w:w="3936" w:type="dxa"/>
                      </w:tcPr>
                      <w:p>
                        <w:pPr>
                          <w:pStyle w:val="TableParagraph"/>
                          <w:spacing w:before="21"/>
                          <w:ind w:left="35"/>
                          <w:rPr>
                            <w:sz w:val="18"/>
                          </w:rPr>
                        </w:pPr>
                        <w:r>
                          <w:rPr>
                            <w:sz w:val="18"/>
                          </w:rPr>
                          <w:t>Other Revenue</w:t>
                        </w:r>
                      </w:p>
                    </w:tc>
                    <w:tc>
                      <w:tcPr>
                        <w:tcW w:w="2642" w:type="dxa"/>
                      </w:tcPr>
                      <w:p>
                        <w:pPr>
                          <w:pStyle w:val="TableParagraph"/>
                          <w:spacing w:before="16"/>
                          <w:ind w:right="236"/>
                          <w:jc w:val="right"/>
                          <w:rPr>
                            <w:sz w:val="18"/>
                          </w:rPr>
                        </w:pPr>
                        <w:r>
                          <w:rPr>
                            <w:w w:val="99"/>
                            <w:sz w:val="18"/>
                          </w:rPr>
                          <w:t>2</w:t>
                        </w:r>
                      </w:p>
                    </w:tc>
                    <w:tc>
                      <w:tcPr>
                        <w:tcW w:w="1453" w:type="dxa"/>
                        <w:tcBorders>
                          <w:bottom w:val="single" w:sz="1" w:space="0" w:color="000000"/>
                        </w:tcBorders>
                      </w:tcPr>
                      <w:p>
                        <w:pPr>
                          <w:pStyle w:val="TableParagraph"/>
                          <w:spacing w:before="19"/>
                          <w:ind w:right="244"/>
                          <w:jc w:val="right"/>
                          <w:rPr>
                            <w:b/>
                            <w:sz w:val="18"/>
                          </w:rPr>
                        </w:pPr>
                        <w:r>
                          <w:rPr>
                            <w:b/>
                            <w:w w:val="95"/>
                            <w:sz w:val="18"/>
                          </w:rPr>
                          <w:t>123,284</w:t>
                        </w:r>
                      </w:p>
                    </w:tc>
                    <w:tc>
                      <w:tcPr>
                        <w:tcW w:w="1139" w:type="dxa"/>
                        <w:tcBorders>
                          <w:bottom w:val="single" w:sz="1" w:space="0" w:color="000000"/>
                        </w:tcBorders>
                      </w:tcPr>
                      <w:p>
                        <w:pPr>
                          <w:pStyle w:val="TableParagraph"/>
                          <w:spacing w:before="19"/>
                          <w:ind w:right="84"/>
                          <w:jc w:val="right"/>
                          <w:rPr>
                            <w:sz w:val="18"/>
                          </w:rPr>
                        </w:pPr>
                        <w:r>
                          <w:rPr>
                            <w:w w:val="95"/>
                            <w:sz w:val="18"/>
                          </w:rPr>
                          <w:t>311,678</w:t>
                        </w:r>
                      </w:p>
                    </w:tc>
                  </w:tr>
                  <w:tr>
                    <w:trPr>
                      <w:trHeight w:val="338" w:hRule="exact"/>
                    </w:trPr>
                    <w:tc>
                      <w:tcPr>
                        <w:tcW w:w="3936" w:type="dxa"/>
                      </w:tcPr>
                      <w:p>
                        <w:pPr/>
                      </w:p>
                    </w:tc>
                    <w:tc>
                      <w:tcPr>
                        <w:tcW w:w="2642" w:type="dxa"/>
                      </w:tcPr>
                      <w:p>
                        <w:pPr/>
                      </w:p>
                    </w:tc>
                    <w:tc>
                      <w:tcPr>
                        <w:tcW w:w="1453" w:type="dxa"/>
                        <w:tcBorders>
                          <w:top w:val="single" w:sz="1" w:space="0" w:color="000000"/>
                          <w:bottom w:val="single" w:sz="1" w:space="0" w:color="000000"/>
                        </w:tcBorders>
                      </w:tcPr>
                      <w:p>
                        <w:pPr>
                          <w:pStyle w:val="TableParagraph"/>
                          <w:spacing w:before="124"/>
                          <w:ind w:right="244"/>
                          <w:jc w:val="right"/>
                          <w:rPr>
                            <w:b/>
                            <w:sz w:val="18"/>
                          </w:rPr>
                        </w:pPr>
                        <w:r>
                          <w:rPr>
                            <w:b/>
                            <w:w w:val="95"/>
                            <w:sz w:val="18"/>
                          </w:rPr>
                          <w:t>6,521,100</w:t>
                        </w:r>
                      </w:p>
                    </w:tc>
                    <w:tc>
                      <w:tcPr>
                        <w:tcW w:w="1139" w:type="dxa"/>
                        <w:tcBorders>
                          <w:top w:val="single" w:sz="1" w:space="0" w:color="000000"/>
                          <w:bottom w:val="single" w:sz="1" w:space="0" w:color="000000"/>
                        </w:tcBorders>
                      </w:tcPr>
                      <w:p>
                        <w:pPr>
                          <w:pStyle w:val="TableParagraph"/>
                          <w:spacing w:before="124"/>
                          <w:ind w:right="84"/>
                          <w:jc w:val="right"/>
                          <w:rPr>
                            <w:sz w:val="18"/>
                          </w:rPr>
                        </w:pPr>
                        <w:r>
                          <w:rPr>
                            <w:w w:val="95"/>
                            <w:sz w:val="18"/>
                          </w:rPr>
                          <w:t>6,521,100</w:t>
                        </w:r>
                      </w:p>
                    </w:tc>
                  </w:tr>
                </w:tbl>
                <w:p>
                  <w:pPr>
                    <w:pStyle w:val="BodyText"/>
                  </w:pPr>
                </w:p>
              </w:txbxContent>
            </v:textbox>
            <w10:wrap type="none"/>
          </v:shape>
        </w:pict>
      </w:r>
      <w:r>
        <w:rPr>
          <w:b/>
          <w:sz w:val="18"/>
        </w:rPr>
        <w:t>Statement of Comprehensive Income Revenue</w:t>
      </w:r>
    </w:p>
    <w:p>
      <w:pPr>
        <w:pStyle w:val="BodyText"/>
        <w:rPr>
          <w:b/>
          <w:sz w:val="20"/>
        </w:rPr>
      </w:pPr>
    </w:p>
    <w:p>
      <w:pPr>
        <w:pStyle w:val="BodyText"/>
        <w:rPr>
          <w:b/>
          <w:sz w:val="20"/>
        </w:rPr>
      </w:pPr>
    </w:p>
    <w:p>
      <w:pPr>
        <w:pStyle w:val="BodyText"/>
        <w:rPr>
          <w:b/>
          <w:sz w:val="20"/>
        </w:rPr>
      </w:pPr>
    </w:p>
    <w:p>
      <w:pPr>
        <w:pStyle w:val="BodyText"/>
        <w:spacing w:before="3"/>
        <w:rPr>
          <w:b/>
          <w:sz w:val="17"/>
        </w:rPr>
      </w:pPr>
    </w:p>
    <w:p>
      <w:pPr>
        <w:spacing w:before="1"/>
        <w:ind w:left="530" w:right="220" w:firstLine="0"/>
        <w:jc w:val="left"/>
        <w:rPr>
          <w:b/>
          <w:sz w:val="18"/>
        </w:rPr>
      </w:pPr>
      <w:r>
        <w:rPr>
          <w:b/>
          <w:sz w:val="18"/>
        </w:rPr>
        <w:t>Statement of Cash flows</w:t>
      </w:r>
    </w:p>
    <w:p>
      <w:pPr>
        <w:spacing w:before="112" w:after="36"/>
        <w:ind w:left="744" w:right="220" w:firstLine="0"/>
        <w:jc w:val="left"/>
        <w:rPr>
          <w:b/>
          <w:sz w:val="18"/>
        </w:rPr>
      </w:pPr>
      <w:r>
        <w:rPr>
          <w:b/>
          <w:sz w:val="18"/>
        </w:rPr>
        <w:t>Cash Flows from Operating Activities</w:t>
      </w:r>
    </w:p>
    <w:tbl>
      <w:tblPr>
        <w:tblW w:w="0" w:type="auto"/>
        <w:jc w:val="left"/>
        <w:tblInd w:w="4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33"/>
        <w:gridCol w:w="1453"/>
        <w:gridCol w:w="1139"/>
      </w:tblGrid>
      <w:tr>
        <w:trPr>
          <w:trHeight w:val="502" w:hRule="exact"/>
        </w:trPr>
        <w:tc>
          <w:tcPr>
            <w:tcW w:w="6933" w:type="dxa"/>
          </w:tcPr>
          <w:p>
            <w:pPr>
              <w:pStyle w:val="TableParagraph"/>
              <w:spacing w:line="307" w:lineRule="auto"/>
              <w:ind w:left="390" w:right="4852"/>
              <w:rPr>
                <w:sz w:val="18"/>
              </w:rPr>
            </w:pPr>
            <w:r>
              <w:rPr>
                <w:sz w:val="18"/>
              </w:rPr>
              <w:t>Receipts for services Receipts from fees</w:t>
            </w:r>
          </w:p>
        </w:tc>
        <w:tc>
          <w:tcPr>
            <w:tcW w:w="1453" w:type="dxa"/>
          </w:tcPr>
          <w:p>
            <w:pPr>
              <w:pStyle w:val="TableParagraph"/>
              <w:spacing w:line="307" w:lineRule="auto"/>
              <w:ind w:left="400" w:right="227" w:firstLine="746"/>
              <w:rPr>
                <w:b/>
                <w:sz w:val="18"/>
              </w:rPr>
            </w:pPr>
            <w:r>
              <w:rPr>
                <w:b/>
                <w:sz w:val="18"/>
              </w:rPr>
              <w:t>- 3,287,955</w:t>
            </w:r>
          </w:p>
        </w:tc>
        <w:tc>
          <w:tcPr>
            <w:tcW w:w="1139" w:type="dxa"/>
          </w:tcPr>
          <w:p>
            <w:pPr>
              <w:pStyle w:val="TableParagraph"/>
              <w:spacing w:line="199" w:lineRule="exact"/>
              <w:ind w:right="84"/>
              <w:jc w:val="right"/>
              <w:rPr>
                <w:sz w:val="18"/>
              </w:rPr>
            </w:pPr>
            <w:r>
              <w:rPr>
                <w:w w:val="95"/>
                <w:sz w:val="18"/>
              </w:rPr>
              <w:t>6,569,412</w:t>
            </w:r>
          </w:p>
          <w:p>
            <w:pPr>
              <w:pStyle w:val="TableParagraph"/>
              <w:spacing w:before="57"/>
              <w:ind w:right="84"/>
              <w:jc w:val="right"/>
              <w:rPr>
                <w:sz w:val="18"/>
              </w:rPr>
            </w:pPr>
            <w:r>
              <w:rPr>
                <w:w w:val="99"/>
                <w:sz w:val="18"/>
              </w:rPr>
              <w:t>-</w:t>
            </w:r>
          </w:p>
        </w:tc>
      </w:tr>
      <w:tr>
        <w:trPr>
          <w:trHeight w:val="264" w:hRule="exact"/>
        </w:trPr>
        <w:tc>
          <w:tcPr>
            <w:tcW w:w="6933" w:type="dxa"/>
          </w:tcPr>
          <w:p>
            <w:pPr>
              <w:pStyle w:val="TableParagraph"/>
              <w:spacing w:before="20"/>
              <w:ind w:left="390" w:right="1277"/>
              <w:rPr>
                <w:sz w:val="18"/>
              </w:rPr>
            </w:pPr>
            <w:r>
              <w:rPr>
                <w:sz w:val="18"/>
              </w:rPr>
              <w:t>Receipts from Australian Government child care benefits</w:t>
            </w:r>
          </w:p>
        </w:tc>
        <w:tc>
          <w:tcPr>
            <w:tcW w:w="1453" w:type="dxa"/>
          </w:tcPr>
          <w:p>
            <w:pPr>
              <w:pStyle w:val="TableParagraph"/>
              <w:spacing w:before="18"/>
              <w:ind w:right="244"/>
              <w:jc w:val="right"/>
              <w:rPr>
                <w:b/>
                <w:sz w:val="18"/>
              </w:rPr>
            </w:pPr>
            <w:r>
              <w:rPr>
                <w:b/>
                <w:w w:val="95"/>
                <w:sz w:val="18"/>
              </w:rPr>
              <w:t>2,814,217</w:t>
            </w:r>
          </w:p>
        </w:tc>
        <w:tc>
          <w:tcPr>
            <w:tcW w:w="1139" w:type="dxa"/>
          </w:tcPr>
          <w:p>
            <w:pPr>
              <w:pStyle w:val="TableParagraph"/>
              <w:spacing w:before="18"/>
              <w:ind w:right="84"/>
              <w:jc w:val="right"/>
              <w:rPr>
                <w:sz w:val="18"/>
              </w:rPr>
            </w:pPr>
            <w:r>
              <w:rPr>
                <w:w w:val="99"/>
                <w:sz w:val="18"/>
              </w:rPr>
              <w:t>-</w:t>
            </w:r>
          </w:p>
        </w:tc>
      </w:tr>
      <w:tr>
        <w:trPr>
          <w:trHeight w:val="260" w:hRule="exact"/>
        </w:trPr>
        <w:tc>
          <w:tcPr>
            <w:tcW w:w="6933" w:type="dxa"/>
          </w:tcPr>
          <w:p>
            <w:pPr>
              <w:pStyle w:val="TableParagraph"/>
              <w:spacing w:before="20"/>
              <w:ind w:left="390" w:right="4852"/>
              <w:rPr>
                <w:sz w:val="18"/>
              </w:rPr>
            </w:pPr>
            <w:r>
              <w:rPr>
                <w:sz w:val="18"/>
              </w:rPr>
              <w:t>Subsidies received</w:t>
            </w:r>
          </w:p>
        </w:tc>
        <w:tc>
          <w:tcPr>
            <w:tcW w:w="1453" w:type="dxa"/>
            <w:tcBorders>
              <w:bottom w:val="single" w:sz="1" w:space="0" w:color="000000"/>
            </w:tcBorders>
          </w:tcPr>
          <w:p>
            <w:pPr>
              <w:pStyle w:val="TableParagraph"/>
              <w:spacing w:before="18"/>
              <w:ind w:right="244"/>
              <w:jc w:val="right"/>
              <w:rPr>
                <w:b/>
                <w:sz w:val="18"/>
              </w:rPr>
            </w:pPr>
            <w:r>
              <w:rPr>
                <w:b/>
                <w:w w:val="95"/>
                <w:sz w:val="18"/>
              </w:rPr>
              <w:t>467,240</w:t>
            </w:r>
          </w:p>
        </w:tc>
        <w:tc>
          <w:tcPr>
            <w:tcW w:w="1139" w:type="dxa"/>
            <w:tcBorders>
              <w:bottom w:val="single" w:sz="1" w:space="0" w:color="000000"/>
            </w:tcBorders>
          </w:tcPr>
          <w:p>
            <w:pPr>
              <w:pStyle w:val="TableParagraph"/>
              <w:spacing w:before="18"/>
              <w:ind w:right="84"/>
              <w:jc w:val="right"/>
              <w:rPr>
                <w:sz w:val="18"/>
              </w:rPr>
            </w:pPr>
            <w:r>
              <w:rPr>
                <w:w w:val="99"/>
                <w:sz w:val="18"/>
              </w:rPr>
              <w:t>-</w:t>
            </w:r>
          </w:p>
        </w:tc>
      </w:tr>
      <w:tr>
        <w:trPr>
          <w:trHeight w:val="338" w:hRule="exact"/>
        </w:trPr>
        <w:tc>
          <w:tcPr>
            <w:tcW w:w="6933" w:type="dxa"/>
          </w:tcPr>
          <w:p>
            <w:pPr/>
          </w:p>
        </w:tc>
        <w:tc>
          <w:tcPr>
            <w:tcW w:w="1453" w:type="dxa"/>
            <w:tcBorders>
              <w:top w:val="single" w:sz="1" w:space="0" w:color="000000"/>
              <w:bottom w:val="single" w:sz="1" w:space="0" w:color="000000"/>
            </w:tcBorders>
          </w:tcPr>
          <w:p>
            <w:pPr>
              <w:pStyle w:val="TableParagraph"/>
              <w:spacing w:before="124"/>
              <w:ind w:right="244"/>
              <w:jc w:val="right"/>
              <w:rPr>
                <w:b/>
                <w:sz w:val="18"/>
              </w:rPr>
            </w:pPr>
            <w:r>
              <w:rPr>
                <w:b/>
                <w:w w:val="95"/>
                <w:sz w:val="18"/>
              </w:rPr>
              <w:t>6,569,412</w:t>
            </w:r>
          </w:p>
        </w:tc>
        <w:tc>
          <w:tcPr>
            <w:tcW w:w="1139" w:type="dxa"/>
            <w:tcBorders>
              <w:top w:val="single" w:sz="1" w:space="0" w:color="000000"/>
              <w:bottom w:val="single" w:sz="1" w:space="0" w:color="000000"/>
            </w:tcBorders>
          </w:tcPr>
          <w:p>
            <w:pPr>
              <w:pStyle w:val="TableParagraph"/>
              <w:spacing w:before="124"/>
              <w:ind w:right="84"/>
              <w:jc w:val="right"/>
              <w:rPr>
                <w:sz w:val="18"/>
              </w:rPr>
            </w:pPr>
            <w:r>
              <w:rPr>
                <w:w w:val="95"/>
                <w:sz w:val="18"/>
              </w:rPr>
              <w:t>6,569,412</w:t>
            </w:r>
          </w:p>
        </w:tc>
      </w:tr>
      <w:tr>
        <w:trPr>
          <w:trHeight w:val="398" w:hRule="exact"/>
        </w:trPr>
        <w:tc>
          <w:tcPr>
            <w:tcW w:w="6933" w:type="dxa"/>
          </w:tcPr>
          <w:p>
            <w:pPr>
              <w:pStyle w:val="TableParagraph"/>
              <w:spacing w:before="125"/>
              <w:ind w:left="35" w:right="4852"/>
              <w:rPr>
                <w:b/>
                <w:sz w:val="18"/>
              </w:rPr>
            </w:pPr>
            <w:r>
              <w:rPr>
                <w:b/>
                <w:sz w:val="18"/>
              </w:rPr>
              <w:t>Note 2 - Revenue</w:t>
            </w:r>
          </w:p>
        </w:tc>
        <w:tc>
          <w:tcPr>
            <w:tcW w:w="1453" w:type="dxa"/>
            <w:tcBorders>
              <w:top w:val="single" w:sz="1" w:space="0" w:color="000000"/>
            </w:tcBorders>
          </w:tcPr>
          <w:p>
            <w:pPr/>
          </w:p>
        </w:tc>
        <w:tc>
          <w:tcPr>
            <w:tcW w:w="1139" w:type="dxa"/>
            <w:tcBorders>
              <w:top w:val="single" w:sz="1" w:space="0" w:color="000000"/>
            </w:tcBorders>
          </w:tcPr>
          <w:p>
            <w:pPr/>
          </w:p>
        </w:tc>
      </w:tr>
      <w:tr>
        <w:trPr>
          <w:trHeight w:val="528" w:hRule="exact"/>
        </w:trPr>
        <w:tc>
          <w:tcPr>
            <w:tcW w:w="6933" w:type="dxa"/>
          </w:tcPr>
          <w:p>
            <w:pPr>
              <w:pStyle w:val="TableParagraph"/>
              <w:spacing w:before="46"/>
              <w:ind w:left="248" w:right="4852"/>
              <w:rPr>
                <w:b/>
                <w:sz w:val="18"/>
              </w:rPr>
            </w:pPr>
            <w:r>
              <w:rPr>
                <w:b/>
                <w:sz w:val="18"/>
              </w:rPr>
              <w:t>Other Revenue</w:t>
            </w:r>
          </w:p>
          <w:p>
            <w:pPr>
              <w:pStyle w:val="TableParagraph"/>
              <w:spacing w:before="30"/>
              <w:ind w:left="390" w:right="1277"/>
              <w:rPr>
                <w:sz w:val="18"/>
              </w:rPr>
            </w:pPr>
            <w:r>
              <w:rPr>
                <w:sz w:val="18"/>
              </w:rPr>
              <w:t>Government Traineeship Funding</w:t>
            </w:r>
          </w:p>
        </w:tc>
        <w:tc>
          <w:tcPr>
            <w:tcW w:w="1453" w:type="dxa"/>
          </w:tcPr>
          <w:p>
            <w:pPr>
              <w:pStyle w:val="TableParagraph"/>
              <w:spacing w:before="5"/>
              <w:rPr>
                <w:b/>
                <w:sz w:val="24"/>
              </w:rPr>
            </w:pPr>
          </w:p>
          <w:p>
            <w:pPr>
              <w:pStyle w:val="TableParagraph"/>
              <w:spacing w:before="1"/>
              <w:ind w:right="244"/>
              <w:jc w:val="right"/>
              <w:rPr>
                <w:b/>
                <w:sz w:val="18"/>
              </w:rPr>
            </w:pPr>
            <w:r>
              <w:rPr>
                <w:b/>
                <w:w w:val="95"/>
                <w:sz w:val="18"/>
              </w:rPr>
              <w:t>13,864</w:t>
            </w:r>
          </w:p>
        </w:tc>
        <w:tc>
          <w:tcPr>
            <w:tcW w:w="1139" w:type="dxa"/>
          </w:tcPr>
          <w:p>
            <w:pPr>
              <w:pStyle w:val="TableParagraph"/>
              <w:spacing w:before="5"/>
              <w:rPr>
                <w:b/>
                <w:sz w:val="24"/>
              </w:rPr>
            </w:pPr>
          </w:p>
          <w:p>
            <w:pPr>
              <w:pStyle w:val="TableParagraph"/>
              <w:spacing w:before="1"/>
              <w:ind w:right="84"/>
              <w:jc w:val="right"/>
              <w:rPr>
                <w:sz w:val="18"/>
              </w:rPr>
            </w:pPr>
            <w:r>
              <w:rPr>
                <w:w w:val="95"/>
                <w:sz w:val="18"/>
              </w:rPr>
              <w:t>13,864</w:t>
            </w:r>
          </w:p>
        </w:tc>
      </w:tr>
      <w:tr>
        <w:trPr>
          <w:trHeight w:val="264" w:hRule="exact"/>
        </w:trPr>
        <w:tc>
          <w:tcPr>
            <w:tcW w:w="6933" w:type="dxa"/>
          </w:tcPr>
          <w:p>
            <w:pPr>
              <w:pStyle w:val="TableParagraph"/>
              <w:spacing w:before="20"/>
              <w:ind w:left="390" w:right="1277"/>
              <w:rPr>
                <w:sz w:val="18"/>
              </w:rPr>
            </w:pPr>
            <w:r>
              <w:rPr>
                <w:sz w:val="18"/>
              </w:rPr>
              <w:t>Government Childcare Grants</w:t>
            </w:r>
          </w:p>
        </w:tc>
        <w:tc>
          <w:tcPr>
            <w:tcW w:w="1453" w:type="dxa"/>
          </w:tcPr>
          <w:p>
            <w:pPr>
              <w:pStyle w:val="TableParagraph"/>
              <w:spacing w:before="18"/>
              <w:ind w:right="244"/>
              <w:jc w:val="right"/>
              <w:rPr>
                <w:b/>
                <w:sz w:val="18"/>
              </w:rPr>
            </w:pPr>
            <w:r>
              <w:rPr>
                <w:b/>
                <w:w w:val="99"/>
                <w:sz w:val="18"/>
              </w:rPr>
              <w:t>-</w:t>
            </w:r>
          </w:p>
        </w:tc>
        <w:tc>
          <w:tcPr>
            <w:tcW w:w="1139" w:type="dxa"/>
          </w:tcPr>
          <w:p>
            <w:pPr>
              <w:pStyle w:val="TableParagraph"/>
              <w:spacing w:before="18"/>
              <w:ind w:right="84"/>
              <w:jc w:val="right"/>
              <w:rPr>
                <w:sz w:val="18"/>
              </w:rPr>
            </w:pPr>
            <w:r>
              <w:rPr>
                <w:w w:val="95"/>
                <w:sz w:val="18"/>
              </w:rPr>
              <w:t>98,318</w:t>
            </w:r>
          </w:p>
        </w:tc>
      </w:tr>
      <w:tr>
        <w:trPr>
          <w:trHeight w:val="264" w:hRule="exact"/>
        </w:trPr>
        <w:tc>
          <w:tcPr>
            <w:tcW w:w="6933" w:type="dxa"/>
          </w:tcPr>
          <w:p>
            <w:pPr>
              <w:pStyle w:val="TableParagraph"/>
              <w:spacing w:before="20"/>
              <w:ind w:left="390" w:right="1277"/>
              <w:rPr>
                <w:sz w:val="18"/>
              </w:rPr>
            </w:pPr>
            <w:r>
              <w:rPr>
                <w:sz w:val="18"/>
              </w:rPr>
              <w:t>Long Day Care Development Grants</w:t>
            </w:r>
          </w:p>
        </w:tc>
        <w:tc>
          <w:tcPr>
            <w:tcW w:w="1453" w:type="dxa"/>
          </w:tcPr>
          <w:p>
            <w:pPr>
              <w:pStyle w:val="TableParagraph"/>
              <w:spacing w:before="18"/>
              <w:ind w:right="244"/>
              <w:jc w:val="right"/>
              <w:rPr>
                <w:b/>
                <w:sz w:val="18"/>
              </w:rPr>
            </w:pPr>
            <w:r>
              <w:rPr>
                <w:b/>
                <w:w w:val="95"/>
                <w:sz w:val="18"/>
              </w:rPr>
              <w:t>98,318</w:t>
            </w:r>
          </w:p>
        </w:tc>
        <w:tc>
          <w:tcPr>
            <w:tcW w:w="1139" w:type="dxa"/>
          </w:tcPr>
          <w:p>
            <w:pPr>
              <w:pStyle w:val="TableParagraph"/>
              <w:spacing w:before="18"/>
              <w:ind w:right="84"/>
              <w:jc w:val="right"/>
              <w:rPr>
                <w:sz w:val="18"/>
              </w:rPr>
            </w:pPr>
            <w:r>
              <w:rPr>
                <w:w w:val="99"/>
                <w:sz w:val="18"/>
              </w:rPr>
              <w:t>-</w:t>
            </w:r>
          </w:p>
        </w:tc>
      </w:tr>
      <w:tr>
        <w:trPr>
          <w:trHeight w:val="264" w:hRule="exact"/>
        </w:trPr>
        <w:tc>
          <w:tcPr>
            <w:tcW w:w="6933" w:type="dxa"/>
          </w:tcPr>
          <w:p>
            <w:pPr>
              <w:pStyle w:val="TableParagraph"/>
              <w:spacing w:before="20"/>
              <w:ind w:left="390" w:right="1277"/>
              <w:rPr>
                <w:sz w:val="18"/>
              </w:rPr>
            </w:pPr>
            <w:r>
              <w:rPr>
                <w:sz w:val="18"/>
              </w:rPr>
              <w:t>Related Party Services</w:t>
            </w:r>
          </w:p>
        </w:tc>
        <w:tc>
          <w:tcPr>
            <w:tcW w:w="1453" w:type="dxa"/>
          </w:tcPr>
          <w:p>
            <w:pPr>
              <w:pStyle w:val="TableParagraph"/>
              <w:spacing w:before="18"/>
              <w:ind w:right="244"/>
              <w:jc w:val="right"/>
              <w:rPr>
                <w:b/>
                <w:sz w:val="18"/>
              </w:rPr>
            </w:pPr>
            <w:r>
              <w:rPr>
                <w:b/>
                <w:w w:val="99"/>
                <w:sz w:val="18"/>
              </w:rPr>
              <w:t>-</w:t>
            </w:r>
          </w:p>
        </w:tc>
        <w:tc>
          <w:tcPr>
            <w:tcW w:w="1139" w:type="dxa"/>
          </w:tcPr>
          <w:p>
            <w:pPr>
              <w:pStyle w:val="TableParagraph"/>
              <w:spacing w:before="18"/>
              <w:ind w:right="84"/>
              <w:jc w:val="right"/>
              <w:rPr>
                <w:sz w:val="18"/>
              </w:rPr>
            </w:pPr>
            <w:r>
              <w:rPr>
                <w:w w:val="95"/>
                <w:sz w:val="18"/>
              </w:rPr>
              <w:t>186,999</w:t>
            </w:r>
          </w:p>
        </w:tc>
      </w:tr>
      <w:tr>
        <w:trPr>
          <w:trHeight w:val="260" w:hRule="exact"/>
        </w:trPr>
        <w:tc>
          <w:tcPr>
            <w:tcW w:w="6933" w:type="dxa"/>
          </w:tcPr>
          <w:p>
            <w:pPr>
              <w:pStyle w:val="TableParagraph"/>
              <w:spacing w:before="20"/>
              <w:ind w:left="390" w:right="4852"/>
              <w:rPr>
                <w:sz w:val="18"/>
              </w:rPr>
            </w:pPr>
            <w:r>
              <w:rPr>
                <w:sz w:val="18"/>
              </w:rPr>
              <w:t>Other Income</w:t>
            </w:r>
          </w:p>
        </w:tc>
        <w:tc>
          <w:tcPr>
            <w:tcW w:w="1453" w:type="dxa"/>
            <w:tcBorders>
              <w:bottom w:val="single" w:sz="1" w:space="0" w:color="000000"/>
            </w:tcBorders>
          </w:tcPr>
          <w:p>
            <w:pPr>
              <w:pStyle w:val="TableParagraph"/>
              <w:spacing w:before="18"/>
              <w:ind w:right="244"/>
              <w:jc w:val="right"/>
              <w:rPr>
                <w:b/>
                <w:sz w:val="18"/>
              </w:rPr>
            </w:pPr>
            <w:r>
              <w:rPr>
                <w:b/>
                <w:w w:val="95"/>
                <w:sz w:val="18"/>
              </w:rPr>
              <w:t>11,102</w:t>
            </w:r>
          </w:p>
        </w:tc>
        <w:tc>
          <w:tcPr>
            <w:tcW w:w="1139" w:type="dxa"/>
            <w:tcBorders>
              <w:bottom w:val="single" w:sz="1" w:space="0" w:color="000000"/>
            </w:tcBorders>
          </w:tcPr>
          <w:p>
            <w:pPr>
              <w:pStyle w:val="TableParagraph"/>
              <w:spacing w:before="18"/>
              <w:ind w:right="84"/>
              <w:jc w:val="right"/>
              <w:rPr>
                <w:sz w:val="18"/>
              </w:rPr>
            </w:pPr>
            <w:r>
              <w:rPr>
                <w:w w:val="95"/>
                <w:sz w:val="18"/>
              </w:rPr>
              <w:t>12,497</w:t>
            </w:r>
          </w:p>
        </w:tc>
      </w:tr>
      <w:tr>
        <w:trPr>
          <w:trHeight w:val="338" w:hRule="exact"/>
        </w:trPr>
        <w:tc>
          <w:tcPr>
            <w:tcW w:w="6933" w:type="dxa"/>
          </w:tcPr>
          <w:p>
            <w:pPr/>
          </w:p>
        </w:tc>
        <w:tc>
          <w:tcPr>
            <w:tcW w:w="1453" w:type="dxa"/>
            <w:tcBorders>
              <w:top w:val="single" w:sz="1" w:space="0" w:color="000000"/>
              <w:bottom w:val="single" w:sz="1" w:space="0" w:color="000000"/>
            </w:tcBorders>
          </w:tcPr>
          <w:p>
            <w:pPr>
              <w:pStyle w:val="TableParagraph"/>
              <w:spacing w:before="124"/>
              <w:ind w:right="244"/>
              <w:jc w:val="right"/>
              <w:rPr>
                <w:b/>
                <w:sz w:val="18"/>
              </w:rPr>
            </w:pPr>
            <w:r>
              <w:rPr>
                <w:b/>
                <w:w w:val="95"/>
                <w:sz w:val="18"/>
              </w:rPr>
              <w:t>123,284</w:t>
            </w:r>
          </w:p>
        </w:tc>
        <w:tc>
          <w:tcPr>
            <w:tcW w:w="1139" w:type="dxa"/>
            <w:tcBorders>
              <w:top w:val="single" w:sz="1" w:space="0" w:color="000000"/>
              <w:bottom w:val="single" w:sz="1" w:space="0" w:color="000000"/>
            </w:tcBorders>
          </w:tcPr>
          <w:p>
            <w:pPr>
              <w:pStyle w:val="TableParagraph"/>
              <w:spacing w:before="124"/>
              <w:ind w:right="84"/>
              <w:jc w:val="right"/>
              <w:rPr>
                <w:sz w:val="18"/>
              </w:rPr>
            </w:pPr>
            <w:r>
              <w:rPr>
                <w:w w:val="95"/>
                <w:sz w:val="18"/>
              </w:rPr>
              <w:t>311,678</w:t>
            </w:r>
          </w:p>
        </w:tc>
      </w:tr>
    </w:tbl>
    <w:p>
      <w:pPr>
        <w:spacing w:line="369" w:lineRule="auto" w:before="122"/>
        <w:ind w:left="744" w:right="5555" w:hanging="214"/>
        <w:jc w:val="left"/>
        <w:rPr>
          <w:b/>
          <w:sz w:val="18"/>
        </w:rPr>
      </w:pPr>
      <w:r>
        <w:rPr/>
        <w:pict>
          <v:shape style="position:absolute;margin-left:69.769997pt;margin-top:34.209057pt;width:476.25pt;height:168.1pt;mso-position-horizontal-relative:page;mso-position-vertical-relative:paragraph;z-index:428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33"/>
                    <w:gridCol w:w="1529"/>
                    <w:gridCol w:w="1063"/>
                  </w:tblGrid>
                  <w:tr>
                    <w:trPr>
                      <w:trHeight w:val="238" w:hRule="exact"/>
                    </w:trPr>
                    <w:tc>
                      <w:tcPr>
                        <w:tcW w:w="6933" w:type="dxa"/>
                      </w:tcPr>
                      <w:p>
                        <w:pPr>
                          <w:pStyle w:val="TableParagraph"/>
                          <w:spacing w:line="202" w:lineRule="exact"/>
                          <w:ind w:left="390" w:right="4852"/>
                          <w:rPr>
                            <w:sz w:val="18"/>
                          </w:rPr>
                        </w:pPr>
                        <w:r>
                          <w:rPr>
                            <w:sz w:val="18"/>
                          </w:rPr>
                          <w:t>Discount funding</w:t>
                        </w:r>
                      </w:p>
                    </w:tc>
                    <w:tc>
                      <w:tcPr>
                        <w:tcW w:w="1529" w:type="dxa"/>
                      </w:tcPr>
                      <w:p>
                        <w:pPr>
                          <w:pStyle w:val="TableParagraph"/>
                          <w:spacing w:line="199" w:lineRule="exact"/>
                          <w:ind w:right="319"/>
                          <w:jc w:val="right"/>
                          <w:rPr>
                            <w:b/>
                            <w:sz w:val="18"/>
                          </w:rPr>
                        </w:pPr>
                        <w:r>
                          <w:rPr>
                            <w:b/>
                            <w:w w:val="99"/>
                            <w:sz w:val="18"/>
                          </w:rPr>
                          <w:t>-</w:t>
                        </w:r>
                      </w:p>
                    </w:tc>
                    <w:tc>
                      <w:tcPr>
                        <w:tcW w:w="1063" w:type="dxa"/>
                      </w:tcPr>
                      <w:p>
                        <w:pPr>
                          <w:pStyle w:val="TableParagraph"/>
                          <w:spacing w:line="199" w:lineRule="exact"/>
                          <w:ind w:right="84"/>
                          <w:jc w:val="right"/>
                          <w:rPr>
                            <w:sz w:val="18"/>
                          </w:rPr>
                        </w:pPr>
                        <w:r>
                          <w:rPr>
                            <w:w w:val="95"/>
                            <w:sz w:val="18"/>
                          </w:rPr>
                          <w:t>327,159</w:t>
                        </w:r>
                      </w:p>
                    </w:tc>
                  </w:tr>
                  <w:tr>
                    <w:trPr>
                      <w:trHeight w:val="264" w:hRule="exact"/>
                    </w:trPr>
                    <w:tc>
                      <w:tcPr>
                        <w:tcW w:w="6933" w:type="dxa"/>
                      </w:tcPr>
                      <w:p>
                        <w:pPr>
                          <w:pStyle w:val="TableParagraph"/>
                          <w:spacing w:before="20"/>
                          <w:ind w:left="390" w:right="4852"/>
                          <w:rPr>
                            <w:sz w:val="18"/>
                          </w:rPr>
                        </w:pPr>
                        <w:r>
                          <w:rPr>
                            <w:sz w:val="18"/>
                          </w:rPr>
                          <w:t>Other services</w:t>
                        </w:r>
                      </w:p>
                    </w:tc>
                    <w:tc>
                      <w:tcPr>
                        <w:tcW w:w="1529" w:type="dxa"/>
                      </w:tcPr>
                      <w:p>
                        <w:pPr>
                          <w:pStyle w:val="TableParagraph"/>
                          <w:spacing w:before="18"/>
                          <w:ind w:right="319"/>
                          <w:jc w:val="right"/>
                          <w:rPr>
                            <w:b/>
                            <w:sz w:val="18"/>
                          </w:rPr>
                        </w:pPr>
                        <w:r>
                          <w:rPr>
                            <w:b/>
                            <w:w w:val="99"/>
                            <w:sz w:val="18"/>
                          </w:rPr>
                          <w:t>-</w:t>
                        </w:r>
                      </w:p>
                    </w:tc>
                    <w:tc>
                      <w:tcPr>
                        <w:tcW w:w="1063" w:type="dxa"/>
                      </w:tcPr>
                      <w:p>
                        <w:pPr>
                          <w:pStyle w:val="TableParagraph"/>
                          <w:spacing w:before="18"/>
                          <w:ind w:right="84"/>
                          <w:jc w:val="right"/>
                          <w:rPr>
                            <w:sz w:val="18"/>
                          </w:rPr>
                        </w:pPr>
                        <w:r>
                          <w:rPr>
                            <w:w w:val="95"/>
                            <w:sz w:val="18"/>
                          </w:rPr>
                          <w:t>186,999</w:t>
                        </w:r>
                      </w:p>
                    </w:tc>
                  </w:tr>
                  <w:tr>
                    <w:trPr>
                      <w:trHeight w:val="264" w:hRule="exact"/>
                    </w:trPr>
                    <w:tc>
                      <w:tcPr>
                        <w:tcW w:w="6933" w:type="dxa"/>
                      </w:tcPr>
                      <w:p>
                        <w:pPr>
                          <w:pStyle w:val="TableParagraph"/>
                          <w:spacing w:before="20"/>
                          <w:ind w:left="390" w:right="4852"/>
                          <w:rPr>
                            <w:sz w:val="18"/>
                          </w:rPr>
                        </w:pPr>
                        <w:r>
                          <w:rPr>
                            <w:sz w:val="18"/>
                          </w:rPr>
                          <w:t>Interest received</w:t>
                        </w:r>
                      </w:p>
                    </w:tc>
                    <w:tc>
                      <w:tcPr>
                        <w:tcW w:w="1529" w:type="dxa"/>
                      </w:tcPr>
                      <w:p>
                        <w:pPr>
                          <w:pStyle w:val="TableParagraph"/>
                          <w:spacing w:before="18"/>
                          <w:ind w:right="319"/>
                          <w:jc w:val="right"/>
                          <w:rPr>
                            <w:b/>
                            <w:sz w:val="18"/>
                          </w:rPr>
                        </w:pPr>
                        <w:r>
                          <w:rPr>
                            <w:b/>
                            <w:w w:val="99"/>
                            <w:sz w:val="18"/>
                          </w:rPr>
                          <w:t>-</w:t>
                        </w:r>
                      </w:p>
                    </w:tc>
                    <w:tc>
                      <w:tcPr>
                        <w:tcW w:w="1063" w:type="dxa"/>
                      </w:tcPr>
                      <w:p>
                        <w:pPr>
                          <w:pStyle w:val="TableParagraph"/>
                          <w:spacing w:before="18"/>
                          <w:ind w:right="84"/>
                          <w:jc w:val="right"/>
                          <w:rPr>
                            <w:sz w:val="18"/>
                          </w:rPr>
                        </w:pPr>
                        <w:r>
                          <w:rPr>
                            <w:w w:val="95"/>
                            <w:sz w:val="18"/>
                          </w:rPr>
                          <w:t>37,479</w:t>
                        </w:r>
                      </w:p>
                    </w:tc>
                  </w:tr>
                  <w:tr>
                    <w:trPr>
                      <w:trHeight w:val="260" w:hRule="exact"/>
                    </w:trPr>
                    <w:tc>
                      <w:tcPr>
                        <w:tcW w:w="6933" w:type="dxa"/>
                      </w:tcPr>
                      <w:p>
                        <w:pPr>
                          <w:pStyle w:val="TableParagraph"/>
                          <w:spacing w:before="20"/>
                          <w:ind w:left="390" w:right="4852"/>
                          <w:rPr>
                            <w:sz w:val="18"/>
                          </w:rPr>
                        </w:pPr>
                        <w:r>
                          <w:rPr>
                            <w:sz w:val="18"/>
                          </w:rPr>
                          <w:t>Parent entity</w:t>
                        </w:r>
                      </w:p>
                    </w:tc>
                    <w:tc>
                      <w:tcPr>
                        <w:tcW w:w="1529" w:type="dxa"/>
                        <w:tcBorders>
                          <w:bottom w:val="single" w:sz="1" w:space="0" w:color="000000"/>
                        </w:tcBorders>
                      </w:tcPr>
                      <w:p>
                        <w:pPr>
                          <w:pStyle w:val="TableParagraph"/>
                          <w:spacing w:before="18"/>
                          <w:ind w:right="319"/>
                          <w:jc w:val="right"/>
                          <w:rPr>
                            <w:b/>
                            <w:sz w:val="18"/>
                          </w:rPr>
                        </w:pPr>
                        <w:r>
                          <w:rPr>
                            <w:b/>
                            <w:w w:val="95"/>
                            <w:sz w:val="18"/>
                          </w:rPr>
                          <w:t>514,158</w:t>
                        </w:r>
                      </w:p>
                    </w:tc>
                    <w:tc>
                      <w:tcPr>
                        <w:tcW w:w="1063" w:type="dxa"/>
                        <w:tcBorders>
                          <w:bottom w:val="single" w:sz="1" w:space="0" w:color="000000"/>
                        </w:tcBorders>
                      </w:tcPr>
                      <w:p>
                        <w:pPr>
                          <w:pStyle w:val="TableParagraph"/>
                          <w:spacing w:before="18"/>
                          <w:ind w:right="84"/>
                          <w:jc w:val="right"/>
                          <w:rPr>
                            <w:sz w:val="18"/>
                          </w:rPr>
                        </w:pPr>
                        <w:r>
                          <w:rPr>
                            <w:w w:val="99"/>
                            <w:sz w:val="18"/>
                          </w:rPr>
                          <w:t>-</w:t>
                        </w:r>
                      </w:p>
                    </w:tc>
                  </w:tr>
                  <w:tr>
                    <w:trPr>
                      <w:trHeight w:val="338" w:hRule="exact"/>
                    </w:trPr>
                    <w:tc>
                      <w:tcPr>
                        <w:tcW w:w="6933" w:type="dxa"/>
                      </w:tcPr>
                      <w:p>
                        <w:pPr/>
                      </w:p>
                    </w:tc>
                    <w:tc>
                      <w:tcPr>
                        <w:tcW w:w="1529" w:type="dxa"/>
                        <w:tcBorders>
                          <w:top w:val="single" w:sz="1" w:space="0" w:color="000000"/>
                          <w:bottom w:val="single" w:sz="1" w:space="0" w:color="000000"/>
                        </w:tcBorders>
                      </w:tcPr>
                      <w:p>
                        <w:pPr>
                          <w:pStyle w:val="TableParagraph"/>
                          <w:spacing w:before="124"/>
                          <w:ind w:right="319"/>
                          <w:jc w:val="right"/>
                          <w:rPr>
                            <w:b/>
                            <w:sz w:val="18"/>
                          </w:rPr>
                        </w:pPr>
                        <w:r>
                          <w:rPr>
                            <w:b/>
                            <w:w w:val="95"/>
                            <w:sz w:val="18"/>
                          </w:rPr>
                          <w:t>514,158</w:t>
                        </w:r>
                      </w:p>
                    </w:tc>
                    <w:tc>
                      <w:tcPr>
                        <w:tcW w:w="1063" w:type="dxa"/>
                        <w:tcBorders>
                          <w:top w:val="single" w:sz="1" w:space="0" w:color="000000"/>
                          <w:bottom w:val="single" w:sz="1" w:space="0" w:color="000000"/>
                        </w:tcBorders>
                      </w:tcPr>
                      <w:p>
                        <w:pPr>
                          <w:pStyle w:val="TableParagraph"/>
                          <w:spacing w:before="124"/>
                          <w:ind w:right="84"/>
                          <w:jc w:val="right"/>
                          <w:rPr>
                            <w:sz w:val="18"/>
                          </w:rPr>
                        </w:pPr>
                        <w:r>
                          <w:rPr>
                            <w:w w:val="95"/>
                            <w:sz w:val="18"/>
                          </w:rPr>
                          <w:t>551,637</w:t>
                        </w:r>
                      </w:p>
                    </w:tc>
                  </w:tr>
                  <w:tr>
                    <w:trPr>
                      <w:trHeight w:val="535" w:hRule="exact"/>
                    </w:trPr>
                    <w:tc>
                      <w:tcPr>
                        <w:tcW w:w="6933" w:type="dxa"/>
                      </w:tcPr>
                      <w:p>
                        <w:pPr>
                          <w:pStyle w:val="TableParagraph"/>
                          <w:spacing w:before="125"/>
                          <w:ind w:left="35" w:right="1277"/>
                          <w:rPr>
                            <w:b/>
                            <w:sz w:val="18"/>
                          </w:rPr>
                        </w:pPr>
                        <w:r>
                          <w:rPr>
                            <w:b/>
                            <w:sz w:val="18"/>
                          </w:rPr>
                          <w:t>Note 14 - Reconciliation of operating surplus to net cash flow from operating activities</w:t>
                        </w:r>
                      </w:p>
                    </w:tc>
                    <w:tc>
                      <w:tcPr>
                        <w:tcW w:w="1529" w:type="dxa"/>
                        <w:tcBorders>
                          <w:top w:val="single" w:sz="1" w:space="0" w:color="000000"/>
                        </w:tcBorders>
                      </w:tcPr>
                      <w:p>
                        <w:pPr/>
                      </w:p>
                    </w:tc>
                    <w:tc>
                      <w:tcPr>
                        <w:tcW w:w="1063" w:type="dxa"/>
                        <w:tcBorders>
                          <w:top w:val="single" w:sz="1" w:space="0" w:color="000000"/>
                        </w:tcBorders>
                      </w:tcPr>
                      <w:p>
                        <w:pPr/>
                      </w:p>
                    </w:tc>
                  </w:tr>
                  <w:tr>
                    <w:trPr>
                      <w:trHeight w:val="347" w:hRule="exact"/>
                    </w:trPr>
                    <w:tc>
                      <w:tcPr>
                        <w:tcW w:w="6933" w:type="dxa"/>
                      </w:tcPr>
                      <w:p>
                        <w:pPr>
                          <w:pStyle w:val="TableParagraph"/>
                          <w:spacing w:before="116"/>
                          <w:ind w:left="248" w:right="1277"/>
                          <w:rPr>
                            <w:b/>
                            <w:sz w:val="18"/>
                          </w:rPr>
                        </w:pPr>
                        <w:r>
                          <w:rPr>
                            <w:b/>
                            <w:sz w:val="18"/>
                          </w:rPr>
                          <w:t>Change in operating assets and liabilities</w:t>
                        </w:r>
                      </w:p>
                    </w:tc>
                    <w:tc>
                      <w:tcPr>
                        <w:tcW w:w="1529" w:type="dxa"/>
                      </w:tcPr>
                      <w:p>
                        <w:pPr/>
                      </w:p>
                    </w:tc>
                    <w:tc>
                      <w:tcPr>
                        <w:tcW w:w="1063" w:type="dxa"/>
                      </w:tcPr>
                      <w:p>
                        <w:pPr/>
                      </w:p>
                    </w:tc>
                  </w:tr>
                  <w:tr>
                    <w:trPr>
                      <w:trHeight w:val="251" w:hRule="exact"/>
                    </w:trPr>
                    <w:tc>
                      <w:tcPr>
                        <w:tcW w:w="6933" w:type="dxa"/>
                      </w:tcPr>
                      <w:p>
                        <w:pPr>
                          <w:pStyle w:val="TableParagraph"/>
                          <w:spacing w:before="7"/>
                          <w:ind w:left="390" w:right="1277"/>
                          <w:rPr>
                            <w:sz w:val="18"/>
                          </w:rPr>
                        </w:pPr>
                        <w:r>
                          <w:rPr>
                            <w:sz w:val="18"/>
                          </w:rPr>
                          <w:t>Increase/(decrease) in trade and other payables</w:t>
                        </w:r>
                      </w:p>
                    </w:tc>
                    <w:tc>
                      <w:tcPr>
                        <w:tcW w:w="1529" w:type="dxa"/>
                      </w:tcPr>
                      <w:p>
                        <w:pPr>
                          <w:pStyle w:val="TableParagraph"/>
                          <w:spacing w:before="4"/>
                          <w:ind w:right="319"/>
                          <w:jc w:val="right"/>
                          <w:rPr>
                            <w:b/>
                            <w:sz w:val="18"/>
                          </w:rPr>
                        </w:pPr>
                        <w:r>
                          <w:rPr>
                            <w:b/>
                            <w:w w:val="99"/>
                            <w:sz w:val="18"/>
                          </w:rPr>
                          <w:t>-</w:t>
                        </w:r>
                      </w:p>
                    </w:tc>
                    <w:tc>
                      <w:tcPr>
                        <w:tcW w:w="1063" w:type="dxa"/>
                      </w:tcPr>
                      <w:p>
                        <w:pPr>
                          <w:pStyle w:val="TableParagraph"/>
                          <w:spacing w:before="4"/>
                          <w:ind w:right="84"/>
                          <w:jc w:val="right"/>
                          <w:rPr>
                            <w:sz w:val="18"/>
                          </w:rPr>
                        </w:pPr>
                        <w:r>
                          <w:rPr>
                            <w:w w:val="95"/>
                            <w:sz w:val="18"/>
                          </w:rPr>
                          <w:t>102,427</w:t>
                        </w:r>
                      </w:p>
                    </w:tc>
                  </w:tr>
                  <w:tr>
                    <w:trPr>
                      <w:trHeight w:val="264" w:hRule="exact"/>
                    </w:trPr>
                    <w:tc>
                      <w:tcPr>
                        <w:tcW w:w="6933" w:type="dxa"/>
                      </w:tcPr>
                      <w:p>
                        <w:pPr>
                          <w:pStyle w:val="TableParagraph"/>
                          <w:spacing w:before="20"/>
                          <w:ind w:left="390" w:right="1277"/>
                          <w:rPr>
                            <w:sz w:val="18"/>
                          </w:rPr>
                        </w:pPr>
                        <w:r>
                          <w:rPr>
                            <w:sz w:val="18"/>
                          </w:rPr>
                          <w:t>Increase/(decrease) in trade creditors</w:t>
                        </w:r>
                      </w:p>
                    </w:tc>
                    <w:tc>
                      <w:tcPr>
                        <w:tcW w:w="1529" w:type="dxa"/>
                      </w:tcPr>
                      <w:p>
                        <w:pPr>
                          <w:pStyle w:val="TableParagraph"/>
                          <w:spacing w:before="18"/>
                          <w:ind w:right="319"/>
                          <w:jc w:val="right"/>
                          <w:rPr>
                            <w:b/>
                            <w:sz w:val="18"/>
                          </w:rPr>
                        </w:pPr>
                        <w:r>
                          <w:rPr>
                            <w:b/>
                            <w:w w:val="95"/>
                            <w:sz w:val="18"/>
                          </w:rPr>
                          <w:t>91,154</w:t>
                        </w:r>
                      </w:p>
                    </w:tc>
                    <w:tc>
                      <w:tcPr>
                        <w:tcW w:w="1063" w:type="dxa"/>
                      </w:tcPr>
                      <w:p>
                        <w:pPr>
                          <w:pStyle w:val="TableParagraph"/>
                          <w:spacing w:before="18"/>
                          <w:ind w:right="84"/>
                          <w:jc w:val="right"/>
                          <w:rPr>
                            <w:sz w:val="18"/>
                          </w:rPr>
                        </w:pPr>
                        <w:r>
                          <w:rPr>
                            <w:w w:val="99"/>
                            <w:sz w:val="18"/>
                          </w:rPr>
                          <w:t>-</w:t>
                        </w:r>
                      </w:p>
                    </w:tc>
                  </w:tr>
                  <w:tr>
                    <w:trPr>
                      <w:trHeight w:val="260" w:hRule="exact"/>
                    </w:trPr>
                    <w:tc>
                      <w:tcPr>
                        <w:tcW w:w="6933" w:type="dxa"/>
                      </w:tcPr>
                      <w:p>
                        <w:pPr>
                          <w:pStyle w:val="TableParagraph"/>
                          <w:spacing w:before="20"/>
                          <w:ind w:left="390" w:right="1277"/>
                          <w:rPr>
                            <w:sz w:val="18"/>
                          </w:rPr>
                        </w:pPr>
                        <w:r>
                          <w:rPr>
                            <w:sz w:val="18"/>
                          </w:rPr>
                          <w:t>Increase/(decrease) in operating liabilities</w:t>
                        </w:r>
                      </w:p>
                    </w:tc>
                    <w:tc>
                      <w:tcPr>
                        <w:tcW w:w="1529" w:type="dxa"/>
                        <w:tcBorders>
                          <w:bottom w:val="single" w:sz="1" w:space="0" w:color="000000"/>
                        </w:tcBorders>
                      </w:tcPr>
                      <w:p>
                        <w:pPr>
                          <w:pStyle w:val="TableParagraph"/>
                          <w:spacing w:before="18"/>
                          <w:ind w:right="319"/>
                          <w:jc w:val="right"/>
                          <w:rPr>
                            <w:b/>
                            <w:sz w:val="18"/>
                          </w:rPr>
                        </w:pPr>
                        <w:r>
                          <w:rPr>
                            <w:b/>
                            <w:w w:val="95"/>
                            <w:sz w:val="18"/>
                          </w:rPr>
                          <w:t>11,273</w:t>
                        </w:r>
                      </w:p>
                    </w:tc>
                    <w:tc>
                      <w:tcPr>
                        <w:tcW w:w="1063" w:type="dxa"/>
                        <w:tcBorders>
                          <w:bottom w:val="single" w:sz="1" w:space="0" w:color="000000"/>
                        </w:tcBorders>
                      </w:tcPr>
                      <w:p>
                        <w:pPr>
                          <w:pStyle w:val="TableParagraph"/>
                          <w:spacing w:before="18"/>
                          <w:ind w:right="84"/>
                          <w:jc w:val="right"/>
                          <w:rPr>
                            <w:sz w:val="18"/>
                          </w:rPr>
                        </w:pPr>
                        <w:r>
                          <w:rPr>
                            <w:w w:val="99"/>
                            <w:sz w:val="18"/>
                          </w:rPr>
                          <w:t>-</w:t>
                        </w:r>
                      </w:p>
                    </w:tc>
                  </w:tr>
                  <w:tr>
                    <w:trPr>
                      <w:trHeight w:val="338" w:hRule="exact"/>
                    </w:trPr>
                    <w:tc>
                      <w:tcPr>
                        <w:tcW w:w="6933" w:type="dxa"/>
                      </w:tcPr>
                      <w:p>
                        <w:pPr/>
                      </w:p>
                    </w:tc>
                    <w:tc>
                      <w:tcPr>
                        <w:tcW w:w="1529" w:type="dxa"/>
                        <w:tcBorders>
                          <w:top w:val="single" w:sz="1" w:space="0" w:color="000000"/>
                          <w:bottom w:val="single" w:sz="1" w:space="0" w:color="000000"/>
                        </w:tcBorders>
                      </w:tcPr>
                      <w:p>
                        <w:pPr>
                          <w:pStyle w:val="TableParagraph"/>
                          <w:spacing w:before="124"/>
                          <w:ind w:right="319"/>
                          <w:jc w:val="right"/>
                          <w:rPr>
                            <w:b/>
                            <w:sz w:val="18"/>
                          </w:rPr>
                        </w:pPr>
                        <w:r>
                          <w:rPr>
                            <w:b/>
                            <w:w w:val="95"/>
                            <w:sz w:val="18"/>
                          </w:rPr>
                          <w:t>102,427</w:t>
                        </w:r>
                      </w:p>
                    </w:tc>
                    <w:tc>
                      <w:tcPr>
                        <w:tcW w:w="1063" w:type="dxa"/>
                        <w:tcBorders>
                          <w:top w:val="single" w:sz="1" w:space="0" w:color="000000"/>
                          <w:bottom w:val="single" w:sz="1" w:space="0" w:color="000000"/>
                        </w:tcBorders>
                      </w:tcPr>
                      <w:p>
                        <w:pPr>
                          <w:pStyle w:val="TableParagraph"/>
                          <w:spacing w:before="124"/>
                          <w:ind w:right="84"/>
                          <w:jc w:val="right"/>
                          <w:rPr>
                            <w:sz w:val="18"/>
                          </w:rPr>
                        </w:pPr>
                        <w:r>
                          <w:rPr>
                            <w:w w:val="95"/>
                            <w:sz w:val="18"/>
                          </w:rPr>
                          <w:t>102,427</w:t>
                        </w:r>
                      </w:p>
                    </w:tc>
                  </w:tr>
                </w:tbl>
                <w:p>
                  <w:pPr>
                    <w:pStyle w:val="BodyText"/>
                  </w:pPr>
                </w:p>
              </w:txbxContent>
            </v:textbox>
            <w10:wrap type="none"/>
          </v:shape>
        </w:pict>
      </w:r>
      <w:r>
        <w:rPr>
          <w:b/>
          <w:sz w:val="18"/>
        </w:rPr>
        <w:t>Note 13 (b) - Transactions with related parties Related Party Income</w:t>
      </w:r>
    </w:p>
    <w:p>
      <w:pPr>
        <w:spacing w:after="0" w:line="369" w:lineRule="auto"/>
        <w:jc w:val="left"/>
        <w:rPr>
          <w:sz w:val="18"/>
        </w:rPr>
        <w:sectPr>
          <w:type w:val="continuous"/>
          <w:pgSz w:w="11910" w:h="16840"/>
          <w:pgMar w:top="1580" w:bottom="280" w:left="900" w:right="880"/>
        </w:sectPr>
      </w:pPr>
    </w:p>
    <w:p>
      <w:pPr>
        <w:pStyle w:val="BodyText"/>
        <w:spacing w:before="9"/>
        <w:rPr>
          <w:rFonts w:ascii="Times New Roman"/>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7072"/>
        <w:gridCol w:w="1452"/>
        <w:gridCol w:w="1140"/>
      </w:tblGrid>
      <w:tr>
        <w:trPr>
          <w:trHeight w:val="567" w:hRule="exact"/>
        </w:trPr>
        <w:tc>
          <w:tcPr>
            <w:tcW w:w="283" w:type="dxa"/>
          </w:tcPr>
          <w:p>
            <w:pPr>
              <w:pStyle w:val="TableParagraph"/>
              <w:spacing w:before="77"/>
              <w:ind w:left="35"/>
              <w:rPr>
                <w:b/>
                <w:sz w:val="18"/>
              </w:rPr>
            </w:pPr>
            <w:bookmarkStart w:name="2 Revenue " w:id="199"/>
            <w:bookmarkEnd w:id="199"/>
            <w:r>
              <w:rPr/>
            </w:r>
            <w:r>
              <w:rPr>
                <w:b/>
                <w:w w:val="99"/>
                <w:sz w:val="18"/>
              </w:rPr>
              <w:t>2</w:t>
            </w:r>
          </w:p>
        </w:tc>
        <w:tc>
          <w:tcPr>
            <w:tcW w:w="7072" w:type="dxa"/>
          </w:tcPr>
          <w:p>
            <w:pPr>
              <w:pStyle w:val="TableParagraph"/>
              <w:spacing w:before="77"/>
              <w:ind w:left="147"/>
              <w:rPr>
                <w:b/>
                <w:sz w:val="18"/>
              </w:rPr>
            </w:pPr>
            <w:r>
              <w:rPr>
                <w:b/>
                <w:sz w:val="18"/>
              </w:rPr>
              <w:t>Revenue</w:t>
            </w:r>
          </w:p>
        </w:tc>
        <w:tc>
          <w:tcPr>
            <w:tcW w:w="1452" w:type="dxa"/>
          </w:tcPr>
          <w:p>
            <w:pPr>
              <w:pStyle w:val="TableParagraph"/>
              <w:rPr>
                <w:rFonts w:ascii="Times New Roman"/>
                <w:sz w:val="18"/>
              </w:rPr>
            </w:pPr>
          </w:p>
          <w:p>
            <w:pPr>
              <w:pStyle w:val="TableParagraph"/>
              <w:spacing w:before="110"/>
              <w:ind w:left="444"/>
              <w:rPr>
                <w:b/>
                <w:sz w:val="18"/>
              </w:rPr>
            </w:pPr>
            <w:r>
              <w:rPr>
                <w:b/>
                <w:sz w:val="18"/>
              </w:rPr>
              <w:t>2017</w:t>
            </w:r>
          </w:p>
        </w:tc>
        <w:tc>
          <w:tcPr>
            <w:tcW w:w="1140" w:type="dxa"/>
          </w:tcPr>
          <w:p>
            <w:pPr>
              <w:pStyle w:val="TableParagraph"/>
              <w:rPr>
                <w:rFonts w:ascii="Times New Roman"/>
                <w:sz w:val="18"/>
              </w:rPr>
            </w:pPr>
          </w:p>
          <w:p>
            <w:pPr>
              <w:pStyle w:val="TableParagraph"/>
              <w:spacing w:before="110"/>
              <w:ind w:left="278"/>
              <w:rPr>
                <w:b/>
                <w:sz w:val="18"/>
              </w:rPr>
            </w:pPr>
            <w:r>
              <w:rPr>
                <w:b/>
                <w:sz w:val="18"/>
              </w:rPr>
              <w:t>2016</w:t>
            </w:r>
          </w:p>
        </w:tc>
      </w:tr>
      <w:tr>
        <w:trPr>
          <w:trHeight w:val="313" w:hRule="exact"/>
        </w:trPr>
        <w:tc>
          <w:tcPr>
            <w:tcW w:w="283" w:type="dxa"/>
          </w:tcPr>
          <w:p>
            <w:pPr/>
          </w:p>
        </w:tc>
        <w:tc>
          <w:tcPr>
            <w:tcW w:w="7072" w:type="dxa"/>
          </w:tcPr>
          <w:p>
            <w:pPr/>
          </w:p>
        </w:tc>
        <w:tc>
          <w:tcPr>
            <w:tcW w:w="1452" w:type="dxa"/>
          </w:tcPr>
          <w:p>
            <w:pPr>
              <w:pStyle w:val="TableParagraph"/>
              <w:spacing w:before="24"/>
              <w:ind w:right="159"/>
              <w:jc w:val="center"/>
              <w:rPr>
                <w:b/>
                <w:sz w:val="18"/>
              </w:rPr>
            </w:pPr>
            <w:r>
              <w:rPr>
                <w:b/>
                <w:w w:val="99"/>
                <w:sz w:val="18"/>
              </w:rPr>
              <w:t>$</w:t>
            </w:r>
          </w:p>
        </w:tc>
        <w:tc>
          <w:tcPr>
            <w:tcW w:w="1140" w:type="dxa"/>
          </w:tcPr>
          <w:p>
            <w:pPr>
              <w:pStyle w:val="TableParagraph"/>
              <w:spacing w:before="24"/>
              <w:ind w:right="178"/>
              <w:jc w:val="center"/>
              <w:rPr>
                <w:b/>
                <w:sz w:val="18"/>
              </w:rPr>
            </w:pPr>
            <w:r>
              <w:rPr>
                <w:b/>
                <w:w w:val="99"/>
                <w:sz w:val="18"/>
              </w:rPr>
              <w:t>$</w:t>
            </w:r>
          </w:p>
        </w:tc>
      </w:tr>
      <w:tr>
        <w:trPr>
          <w:trHeight w:val="542" w:hRule="exact"/>
        </w:trPr>
        <w:tc>
          <w:tcPr>
            <w:tcW w:w="283" w:type="dxa"/>
          </w:tcPr>
          <w:p>
            <w:pPr/>
          </w:p>
        </w:tc>
        <w:tc>
          <w:tcPr>
            <w:tcW w:w="7072" w:type="dxa"/>
          </w:tcPr>
          <w:p>
            <w:pPr>
              <w:pStyle w:val="TableParagraph"/>
              <w:spacing w:before="63"/>
              <w:ind w:left="191"/>
              <w:rPr>
                <w:b/>
                <w:sz w:val="18"/>
              </w:rPr>
            </w:pPr>
            <w:r>
              <w:rPr>
                <w:b/>
                <w:sz w:val="18"/>
              </w:rPr>
              <w:t>Other revenue</w:t>
            </w:r>
          </w:p>
          <w:p>
            <w:pPr>
              <w:pStyle w:val="TableParagraph"/>
              <w:spacing w:before="26"/>
              <w:ind w:left="546"/>
              <w:rPr>
                <w:sz w:val="18"/>
              </w:rPr>
            </w:pPr>
            <w:r>
              <w:rPr>
                <w:sz w:val="18"/>
              </w:rPr>
              <w:t>Government Traineeship Funding</w:t>
            </w:r>
          </w:p>
        </w:tc>
        <w:tc>
          <w:tcPr>
            <w:tcW w:w="1452" w:type="dxa"/>
          </w:tcPr>
          <w:p>
            <w:pPr>
              <w:pStyle w:val="TableParagraph"/>
              <w:spacing w:before="11"/>
              <w:rPr>
                <w:rFonts w:ascii="Times New Roman"/>
                <w:sz w:val="25"/>
              </w:rPr>
            </w:pPr>
          </w:p>
          <w:p>
            <w:pPr>
              <w:pStyle w:val="TableParagraph"/>
              <w:ind w:right="242"/>
              <w:jc w:val="right"/>
              <w:rPr>
                <w:b/>
                <w:sz w:val="18"/>
              </w:rPr>
            </w:pPr>
            <w:r>
              <w:rPr>
                <w:b/>
                <w:w w:val="95"/>
                <w:sz w:val="18"/>
              </w:rPr>
              <w:t>30,000</w:t>
            </w:r>
          </w:p>
        </w:tc>
        <w:tc>
          <w:tcPr>
            <w:tcW w:w="1140" w:type="dxa"/>
          </w:tcPr>
          <w:p>
            <w:pPr>
              <w:pStyle w:val="TableParagraph"/>
              <w:spacing w:before="11"/>
              <w:rPr>
                <w:rFonts w:ascii="Times New Roman"/>
                <w:sz w:val="25"/>
              </w:rPr>
            </w:pPr>
          </w:p>
          <w:p>
            <w:pPr>
              <w:pStyle w:val="TableParagraph"/>
              <w:ind w:right="82"/>
              <w:jc w:val="right"/>
              <w:rPr>
                <w:sz w:val="18"/>
              </w:rPr>
            </w:pPr>
            <w:r>
              <w:rPr>
                <w:w w:val="95"/>
                <w:sz w:val="18"/>
              </w:rPr>
              <w:t>13,864</w:t>
            </w:r>
          </w:p>
        </w:tc>
      </w:tr>
      <w:tr>
        <w:trPr>
          <w:trHeight w:val="264" w:hRule="exact"/>
        </w:trPr>
        <w:tc>
          <w:tcPr>
            <w:tcW w:w="283" w:type="dxa"/>
          </w:tcPr>
          <w:p>
            <w:pPr/>
          </w:p>
        </w:tc>
        <w:tc>
          <w:tcPr>
            <w:tcW w:w="7072" w:type="dxa"/>
          </w:tcPr>
          <w:p>
            <w:pPr>
              <w:pStyle w:val="TableParagraph"/>
              <w:spacing w:before="18"/>
              <w:ind w:left="546"/>
              <w:rPr>
                <w:sz w:val="18"/>
              </w:rPr>
            </w:pPr>
            <w:r>
              <w:rPr>
                <w:sz w:val="18"/>
              </w:rPr>
              <w:t>Government Childcare Grants</w:t>
            </w:r>
          </w:p>
        </w:tc>
        <w:tc>
          <w:tcPr>
            <w:tcW w:w="1452" w:type="dxa"/>
          </w:tcPr>
          <w:p>
            <w:pPr>
              <w:pStyle w:val="TableParagraph"/>
              <w:spacing w:before="20"/>
              <w:ind w:right="242"/>
              <w:jc w:val="right"/>
              <w:rPr>
                <w:b/>
                <w:sz w:val="18"/>
              </w:rPr>
            </w:pPr>
            <w:r>
              <w:rPr>
                <w:b/>
                <w:w w:val="95"/>
                <w:sz w:val="18"/>
              </w:rPr>
              <w:t>62,175</w:t>
            </w:r>
          </w:p>
        </w:tc>
        <w:tc>
          <w:tcPr>
            <w:tcW w:w="1140" w:type="dxa"/>
          </w:tcPr>
          <w:p>
            <w:pPr>
              <w:pStyle w:val="TableParagraph"/>
              <w:spacing w:before="20"/>
              <w:ind w:right="82"/>
              <w:jc w:val="right"/>
              <w:rPr>
                <w:sz w:val="18"/>
              </w:rPr>
            </w:pPr>
            <w:r>
              <w:rPr>
                <w:w w:val="95"/>
                <w:sz w:val="18"/>
              </w:rPr>
              <w:t>98,318</w:t>
            </w:r>
          </w:p>
        </w:tc>
      </w:tr>
      <w:tr>
        <w:trPr>
          <w:trHeight w:val="264" w:hRule="exact"/>
        </w:trPr>
        <w:tc>
          <w:tcPr>
            <w:tcW w:w="283" w:type="dxa"/>
          </w:tcPr>
          <w:p>
            <w:pPr/>
          </w:p>
        </w:tc>
        <w:tc>
          <w:tcPr>
            <w:tcW w:w="7072" w:type="dxa"/>
          </w:tcPr>
          <w:p>
            <w:pPr>
              <w:pStyle w:val="TableParagraph"/>
              <w:spacing w:before="18"/>
              <w:ind w:left="546"/>
              <w:rPr>
                <w:sz w:val="18"/>
              </w:rPr>
            </w:pPr>
            <w:bookmarkStart w:name="3 Expenses " w:id="200"/>
            <w:bookmarkEnd w:id="200"/>
            <w:r>
              <w:rPr/>
            </w:r>
            <w:r>
              <w:rPr>
                <w:sz w:val="18"/>
              </w:rPr>
              <w:t>Related Party Services</w:t>
            </w:r>
          </w:p>
        </w:tc>
        <w:tc>
          <w:tcPr>
            <w:tcW w:w="1452" w:type="dxa"/>
          </w:tcPr>
          <w:p>
            <w:pPr>
              <w:pStyle w:val="TableParagraph"/>
              <w:spacing w:before="20"/>
              <w:ind w:right="242"/>
              <w:jc w:val="right"/>
              <w:rPr>
                <w:b/>
                <w:sz w:val="18"/>
              </w:rPr>
            </w:pPr>
            <w:r>
              <w:rPr>
                <w:b/>
                <w:w w:val="95"/>
                <w:sz w:val="18"/>
              </w:rPr>
              <w:t>124,009</w:t>
            </w:r>
          </w:p>
        </w:tc>
        <w:tc>
          <w:tcPr>
            <w:tcW w:w="1140" w:type="dxa"/>
          </w:tcPr>
          <w:p>
            <w:pPr>
              <w:pStyle w:val="TableParagraph"/>
              <w:spacing w:before="20"/>
              <w:ind w:right="82"/>
              <w:jc w:val="right"/>
              <w:rPr>
                <w:sz w:val="18"/>
              </w:rPr>
            </w:pPr>
            <w:r>
              <w:rPr>
                <w:w w:val="95"/>
                <w:sz w:val="18"/>
              </w:rPr>
              <w:t>186,999</w:t>
            </w:r>
          </w:p>
        </w:tc>
      </w:tr>
      <w:tr>
        <w:trPr>
          <w:trHeight w:val="262" w:hRule="exact"/>
        </w:trPr>
        <w:tc>
          <w:tcPr>
            <w:tcW w:w="283" w:type="dxa"/>
          </w:tcPr>
          <w:p>
            <w:pPr/>
          </w:p>
        </w:tc>
        <w:tc>
          <w:tcPr>
            <w:tcW w:w="7072" w:type="dxa"/>
          </w:tcPr>
          <w:p>
            <w:pPr>
              <w:pStyle w:val="TableParagraph"/>
              <w:spacing w:before="18"/>
              <w:ind w:left="546"/>
              <w:rPr>
                <w:sz w:val="18"/>
              </w:rPr>
            </w:pPr>
            <w:r>
              <w:rPr>
                <w:sz w:val="18"/>
              </w:rPr>
              <w:t>Other Income</w:t>
            </w:r>
          </w:p>
        </w:tc>
        <w:tc>
          <w:tcPr>
            <w:tcW w:w="1452" w:type="dxa"/>
            <w:tcBorders>
              <w:bottom w:val="single" w:sz="1" w:space="0" w:color="000000"/>
            </w:tcBorders>
          </w:tcPr>
          <w:p>
            <w:pPr>
              <w:pStyle w:val="TableParagraph"/>
              <w:spacing w:before="20"/>
              <w:ind w:right="242"/>
              <w:jc w:val="right"/>
              <w:rPr>
                <w:b/>
                <w:sz w:val="18"/>
              </w:rPr>
            </w:pPr>
            <w:r>
              <w:rPr>
                <w:b/>
                <w:w w:val="95"/>
                <w:sz w:val="18"/>
              </w:rPr>
              <w:t>3,034</w:t>
            </w:r>
          </w:p>
        </w:tc>
        <w:tc>
          <w:tcPr>
            <w:tcW w:w="1140" w:type="dxa"/>
            <w:tcBorders>
              <w:bottom w:val="single" w:sz="1" w:space="0" w:color="000000"/>
            </w:tcBorders>
          </w:tcPr>
          <w:p>
            <w:pPr>
              <w:pStyle w:val="TableParagraph"/>
              <w:spacing w:before="20"/>
              <w:ind w:right="82"/>
              <w:jc w:val="right"/>
              <w:rPr>
                <w:sz w:val="18"/>
              </w:rPr>
            </w:pPr>
            <w:r>
              <w:rPr>
                <w:w w:val="95"/>
                <w:sz w:val="18"/>
              </w:rPr>
              <w:t>12,497</w:t>
            </w:r>
          </w:p>
        </w:tc>
      </w:tr>
      <w:tr>
        <w:trPr>
          <w:trHeight w:val="338" w:hRule="exact"/>
        </w:trPr>
        <w:tc>
          <w:tcPr>
            <w:tcW w:w="283" w:type="dxa"/>
          </w:tcPr>
          <w:p>
            <w:pPr/>
          </w:p>
        </w:tc>
        <w:tc>
          <w:tcPr>
            <w:tcW w:w="7072" w:type="dxa"/>
          </w:tcPr>
          <w:p>
            <w:pPr>
              <w:pStyle w:val="TableParagraph"/>
              <w:spacing w:before="125"/>
              <w:ind w:left="191"/>
              <w:rPr>
                <w:b/>
                <w:sz w:val="18"/>
              </w:rPr>
            </w:pPr>
            <w:r>
              <w:rPr>
                <w:b/>
                <w:sz w:val="18"/>
              </w:rPr>
              <w:t>Total other revenue</w:t>
            </w:r>
          </w:p>
        </w:tc>
        <w:tc>
          <w:tcPr>
            <w:tcW w:w="1452" w:type="dxa"/>
            <w:tcBorders>
              <w:top w:val="single" w:sz="1" w:space="0" w:color="000000"/>
              <w:bottom w:val="single" w:sz="1" w:space="0" w:color="000000"/>
            </w:tcBorders>
          </w:tcPr>
          <w:p>
            <w:pPr>
              <w:pStyle w:val="TableParagraph"/>
              <w:spacing w:before="124"/>
              <w:ind w:right="242"/>
              <w:jc w:val="right"/>
              <w:rPr>
                <w:b/>
                <w:sz w:val="18"/>
              </w:rPr>
            </w:pPr>
            <w:r>
              <w:rPr>
                <w:b/>
                <w:w w:val="95"/>
                <w:sz w:val="18"/>
              </w:rPr>
              <w:t>219,218</w:t>
            </w:r>
          </w:p>
        </w:tc>
        <w:tc>
          <w:tcPr>
            <w:tcW w:w="1140" w:type="dxa"/>
            <w:tcBorders>
              <w:top w:val="single" w:sz="1" w:space="0" w:color="000000"/>
              <w:bottom w:val="single" w:sz="1" w:space="0" w:color="000000"/>
            </w:tcBorders>
          </w:tcPr>
          <w:p>
            <w:pPr>
              <w:pStyle w:val="TableParagraph"/>
              <w:spacing w:before="124"/>
              <w:ind w:right="82"/>
              <w:jc w:val="right"/>
              <w:rPr>
                <w:sz w:val="18"/>
              </w:rPr>
            </w:pPr>
            <w:r>
              <w:rPr>
                <w:w w:val="95"/>
                <w:sz w:val="18"/>
              </w:rPr>
              <w:t>311,678</w:t>
            </w:r>
          </w:p>
        </w:tc>
      </w:tr>
      <w:tr>
        <w:trPr>
          <w:trHeight w:val="935" w:hRule="exact"/>
        </w:trPr>
        <w:tc>
          <w:tcPr>
            <w:tcW w:w="283" w:type="dxa"/>
          </w:tcPr>
          <w:p>
            <w:pPr>
              <w:pStyle w:val="TableParagraph"/>
              <w:rPr>
                <w:rFonts w:ascii="Times New Roman"/>
                <w:sz w:val="18"/>
              </w:rPr>
            </w:pPr>
          </w:p>
          <w:p>
            <w:pPr>
              <w:pStyle w:val="TableParagraph"/>
              <w:rPr>
                <w:rFonts w:ascii="Times New Roman"/>
                <w:sz w:val="18"/>
              </w:rPr>
            </w:pPr>
          </w:p>
          <w:p>
            <w:pPr>
              <w:pStyle w:val="TableParagraph"/>
              <w:spacing w:before="4"/>
              <w:rPr>
                <w:rFonts w:ascii="Times New Roman"/>
                <w:sz w:val="20"/>
              </w:rPr>
            </w:pPr>
          </w:p>
          <w:p>
            <w:pPr>
              <w:pStyle w:val="TableParagraph"/>
              <w:ind w:left="35"/>
              <w:rPr>
                <w:b/>
                <w:sz w:val="18"/>
              </w:rPr>
            </w:pPr>
            <w:r>
              <w:rPr>
                <w:b/>
                <w:w w:val="99"/>
                <w:sz w:val="18"/>
              </w:rPr>
              <w:t>3</w:t>
            </w:r>
          </w:p>
        </w:tc>
        <w:tc>
          <w:tcPr>
            <w:tcW w:w="7072" w:type="dxa"/>
          </w:tcPr>
          <w:p>
            <w:pPr>
              <w:pStyle w:val="TableParagraph"/>
              <w:rPr>
                <w:rFonts w:ascii="Times New Roman"/>
                <w:sz w:val="18"/>
              </w:rPr>
            </w:pPr>
          </w:p>
          <w:p>
            <w:pPr>
              <w:pStyle w:val="TableParagraph"/>
              <w:rPr>
                <w:rFonts w:ascii="Times New Roman"/>
                <w:sz w:val="18"/>
              </w:rPr>
            </w:pPr>
          </w:p>
          <w:p>
            <w:pPr>
              <w:pStyle w:val="TableParagraph"/>
              <w:spacing w:before="4"/>
              <w:rPr>
                <w:rFonts w:ascii="Times New Roman"/>
                <w:sz w:val="20"/>
              </w:rPr>
            </w:pPr>
          </w:p>
          <w:p>
            <w:pPr>
              <w:pStyle w:val="TableParagraph"/>
              <w:ind w:left="147"/>
              <w:rPr>
                <w:b/>
                <w:sz w:val="18"/>
              </w:rPr>
            </w:pPr>
            <w:r>
              <w:rPr>
                <w:b/>
                <w:sz w:val="18"/>
              </w:rPr>
              <w:t>Expenses</w:t>
            </w:r>
          </w:p>
        </w:tc>
        <w:tc>
          <w:tcPr>
            <w:tcW w:w="1452" w:type="dxa"/>
            <w:tcBorders>
              <w:top w:val="single" w:sz="1" w:space="0" w:color="000000"/>
            </w:tcBorders>
          </w:tcPr>
          <w:p>
            <w:pPr/>
          </w:p>
        </w:tc>
        <w:tc>
          <w:tcPr>
            <w:tcW w:w="1140" w:type="dxa"/>
            <w:tcBorders>
              <w:top w:val="single" w:sz="1" w:space="0" w:color="000000"/>
            </w:tcBorders>
          </w:tcPr>
          <w:p>
            <w:pPr/>
          </w:p>
        </w:tc>
      </w:tr>
      <w:tr>
        <w:trPr>
          <w:trHeight w:val="294" w:hRule="exact"/>
        </w:trPr>
        <w:tc>
          <w:tcPr>
            <w:tcW w:w="283" w:type="dxa"/>
          </w:tcPr>
          <w:p>
            <w:pPr/>
          </w:p>
        </w:tc>
        <w:tc>
          <w:tcPr>
            <w:tcW w:w="7072" w:type="dxa"/>
          </w:tcPr>
          <w:p>
            <w:pPr>
              <w:pStyle w:val="TableParagraph"/>
              <w:spacing w:before="61"/>
              <w:ind w:left="147"/>
              <w:rPr>
                <w:sz w:val="18"/>
              </w:rPr>
            </w:pPr>
            <w:r>
              <w:rPr>
                <w:sz w:val="18"/>
              </w:rPr>
              <w:t>The result for the year includes the following specific expenses:</w:t>
            </w:r>
          </w:p>
        </w:tc>
        <w:tc>
          <w:tcPr>
            <w:tcW w:w="1452" w:type="dxa"/>
          </w:tcPr>
          <w:p>
            <w:pPr/>
          </w:p>
        </w:tc>
        <w:tc>
          <w:tcPr>
            <w:tcW w:w="1140" w:type="dxa"/>
          </w:tcPr>
          <w:p>
            <w:pPr/>
          </w:p>
        </w:tc>
      </w:tr>
      <w:tr>
        <w:trPr>
          <w:trHeight w:val="257" w:hRule="exact"/>
        </w:trPr>
        <w:tc>
          <w:tcPr>
            <w:tcW w:w="283" w:type="dxa"/>
          </w:tcPr>
          <w:p>
            <w:pPr/>
          </w:p>
        </w:tc>
        <w:tc>
          <w:tcPr>
            <w:tcW w:w="7072" w:type="dxa"/>
          </w:tcPr>
          <w:p>
            <w:pPr/>
          </w:p>
        </w:tc>
        <w:tc>
          <w:tcPr>
            <w:tcW w:w="1452" w:type="dxa"/>
          </w:tcPr>
          <w:p>
            <w:pPr>
              <w:pStyle w:val="TableParagraph"/>
              <w:spacing w:before="7"/>
              <w:ind w:left="468"/>
              <w:rPr>
                <w:b/>
                <w:sz w:val="18"/>
              </w:rPr>
            </w:pPr>
            <w:r>
              <w:rPr>
                <w:b/>
                <w:sz w:val="18"/>
              </w:rPr>
              <w:t>2017</w:t>
            </w:r>
          </w:p>
        </w:tc>
        <w:tc>
          <w:tcPr>
            <w:tcW w:w="1140" w:type="dxa"/>
          </w:tcPr>
          <w:p>
            <w:pPr>
              <w:pStyle w:val="TableParagraph"/>
              <w:spacing w:before="7"/>
              <w:ind w:left="297"/>
              <w:rPr>
                <w:b/>
                <w:sz w:val="18"/>
              </w:rPr>
            </w:pPr>
            <w:r>
              <w:rPr>
                <w:b/>
                <w:sz w:val="18"/>
              </w:rPr>
              <w:t>2016</w:t>
            </w:r>
          </w:p>
        </w:tc>
      </w:tr>
      <w:tr>
        <w:trPr>
          <w:trHeight w:val="313" w:hRule="exact"/>
        </w:trPr>
        <w:tc>
          <w:tcPr>
            <w:tcW w:w="283" w:type="dxa"/>
          </w:tcPr>
          <w:p>
            <w:pPr/>
          </w:p>
        </w:tc>
        <w:tc>
          <w:tcPr>
            <w:tcW w:w="7072" w:type="dxa"/>
          </w:tcPr>
          <w:p>
            <w:pPr/>
          </w:p>
        </w:tc>
        <w:tc>
          <w:tcPr>
            <w:tcW w:w="1452" w:type="dxa"/>
          </w:tcPr>
          <w:p>
            <w:pPr>
              <w:pStyle w:val="TableParagraph"/>
              <w:spacing w:before="24"/>
              <w:ind w:right="10"/>
              <w:jc w:val="center"/>
              <w:rPr>
                <w:b/>
                <w:sz w:val="18"/>
              </w:rPr>
            </w:pPr>
            <w:r>
              <w:rPr>
                <w:b/>
                <w:w w:val="99"/>
                <w:sz w:val="18"/>
              </w:rPr>
              <w:t>$</w:t>
            </w:r>
          </w:p>
        </w:tc>
        <w:tc>
          <w:tcPr>
            <w:tcW w:w="1140" w:type="dxa"/>
          </w:tcPr>
          <w:p>
            <w:pPr>
              <w:pStyle w:val="TableParagraph"/>
              <w:spacing w:before="24"/>
              <w:ind w:right="39"/>
              <w:jc w:val="center"/>
              <w:rPr>
                <w:b/>
                <w:sz w:val="18"/>
              </w:rPr>
            </w:pPr>
            <w:r>
              <w:rPr>
                <w:b/>
                <w:w w:val="99"/>
                <w:sz w:val="18"/>
              </w:rPr>
              <w:t>$</w:t>
            </w:r>
          </w:p>
        </w:tc>
      </w:tr>
      <w:tr>
        <w:trPr>
          <w:trHeight w:val="294" w:hRule="exact"/>
        </w:trPr>
        <w:tc>
          <w:tcPr>
            <w:tcW w:w="283" w:type="dxa"/>
          </w:tcPr>
          <w:p>
            <w:pPr/>
          </w:p>
        </w:tc>
        <w:tc>
          <w:tcPr>
            <w:tcW w:w="7072" w:type="dxa"/>
          </w:tcPr>
          <w:p>
            <w:pPr>
              <w:pStyle w:val="TableParagraph"/>
              <w:spacing w:before="63"/>
              <w:ind w:left="191"/>
              <w:rPr>
                <w:b/>
                <w:sz w:val="18"/>
              </w:rPr>
            </w:pPr>
            <w:r>
              <w:rPr>
                <w:b/>
                <w:sz w:val="18"/>
              </w:rPr>
              <w:t>Employee related expenses</w:t>
            </w:r>
          </w:p>
        </w:tc>
        <w:tc>
          <w:tcPr>
            <w:tcW w:w="1452" w:type="dxa"/>
          </w:tcPr>
          <w:p>
            <w:pPr/>
          </w:p>
        </w:tc>
        <w:tc>
          <w:tcPr>
            <w:tcW w:w="1140" w:type="dxa"/>
          </w:tcPr>
          <w:p>
            <w:pPr/>
          </w:p>
        </w:tc>
      </w:tr>
      <w:tr>
        <w:trPr>
          <w:trHeight w:val="251" w:hRule="exact"/>
        </w:trPr>
        <w:tc>
          <w:tcPr>
            <w:tcW w:w="283" w:type="dxa"/>
          </w:tcPr>
          <w:p>
            <w:pPr/>
          </w:p>
        </w:tc>
        <w:tc>
          <w:tcPr>
            <w:tcW w:w="7072" w:type="dxa"/>
          </w:tcPr>
          <w:p>
            <w:pPr>
              <w:pStyle w:val="TableParagraph"/>
              <w:spacing w:before="7"/>
              <w:ind w:left="546"/>
              <w:rPr>
                <w:sz w:val="18"/>
              </w:rPr>
            </w:pPr>
            <w:r>
              <w:rPr>
                <w:sz w:val="18"/>
              </w:rPr>
              <w:t>Salaries and Wages</w:t>
            </w:r>
          </w:p>
        </w:tc>
        <w:tc>
          <w:tcPr>
            <w:tcW w:w="1452" w:type="dxa"/>
          </w:tcPr>
          <w:p>
            <w:pPr>
              <w:pStyle w:val="TableParagraph"/>
              <w:spacing w:before="4"/>
              <w:ind w:right="243"/>
              <w:jc w:val="right"/>
              <w:rPr>
                <w:b/>
                <w:sz w:val="18"/>
              </w:rPr>
            </w:pPr>
            <w:r>
              <w:rPr>
                <w:b/>
                <w:w w:val="95"/>
                <w:sz w:val="18"/>
              </w:rPr>
              <w:t>5,163,728</w:t>
            </w:r>
          </w:p>
        </w:tc>
        <w:tc>
          <w:tcPr>
            <w:tcW w:w="1140" w:type="dxa"/>
          </w:tcPr>
          <w:p>
            <w:pPr>
              <w:pStyle w:val="TableParagraph"/>
              <w:spacing w:before="4"/>
              <w:ind w:right="87"/>
              <w:jc w:val="right"/>
              <w:rPr>
                <w:sz w:val="18"/>
              </w:rPr>
            </w:pPr>
            <w:r>
              <w:rPr>
                <w:w w:val="95"/>
                <w:sz w:val="18"/>
              </w:rPr>
              <w:t>4,954,641</w:t>
            </w:r>
          </w:p>
        </w:tc>
      </w:tr>
      <w:tr>
        <w:trPr>
          <w:trHeight w:val="264" w:hRule="exact"/>
        </w:trPr>
        <w:tc>
          <w:tcPr>
            <w:tcW w:w="283" w:type="dxa"/>
          </w:tcPr>
          <w:p>
            <w:pPr/>
          </w:p>
        </w:tc>
        <w:tc>
          <w:tcPr>
            <w:tcW w:w="7072" w:type="dxa"/>
          </w:tcPr>
          <w:p>
            <w:pPr>
              <w:pStyle w:val="TableParagraph"/>
              <w:spacing w:before="20"/>
              <w:ind w:left="546"/>
              <w:rPr>
                <w:sz w:val="18"/>
              </w:rPr>
            </w:pPr>
            <w:r>
              <w:rPr>
                <w:sz w:val="18"/>
              </w:rPr>
              <w:t>Superannuation Expense</w:t>
            </w:r>
          </w:p>
        </w:tc>
        <w:tc>
          <w:tcPr>
            <w:tcW w:w="1452" w:type="dxa"/>
          </w:tcPr>
          <w:p>
            <w:pPr>
              <w:pStyle w:val="TableParagraph"/>
              <w:spacing w:before="18"/>
              <w:ind w:right="242"/>
              <w:jc w:val="right"/>
              <w:rPr>
                <w:b/>
                <w:sz w:val="18"/>
              </w:rPr>
            </w:pPr>
            <w:r>
              <w:rPr>
                <w:b/>
                <w:w w:val="95"/>
                <w:sz w:val="18"/>
              </w:rPr>
              <w:t>449,820</w:t>
            </w:r>
          </w:p>
        </w:tc>
        <w:tc>
          <w:tcPr>
            <w:tcW w:w="1140" w:type="dxa"/>
          </w:tcPr>
          <w:p>
            <w:pPr>
              <w:pStyle w:val="TableParagraph"/>
              <w:spacing w:before="18"/>
              <w:ind w:right="88"/>
              <w:jc w:val="right"/>
              <w:rPr>
                <w:sz w:val="18"/>
              </w:rPr>
            </w:pPr>
            <w:r>
              <w:rPr>
                <w:w w:val="95"/>
                <w:sz w:val="18"/>
              </w:rPr>
              <w:t>407,725</w:t>
            </w:r>
          </w:p>
        </w:tc>
      </w:tr>
      <w:tr>
        <w:trPr>
          <w:trHeight w:val="264" w:hRule="exact"/>
        </w:trPr>
        <w:tc>
          <w:tcPr>
            <w:tcW w:w="283" w:type="dxa"/>
          </w:tcPr>
          <w:p>
            <w:pPr/>
          </w:p>
        </w:tc>
        <w:tc>
          <w:tcPr>
            <w:tcW w:w="7072" w:type="dxa"/>
          </w:tcPr>
          <w:p>
            <w:pPr>
              <w:pStyle w:val="TableParagraph"/>
              <w:spacing w:before="20"/>
              <w:ind w:left="546"/>
              <w:rPr>
                <w:sz w:val="18"/>
              </w:rPr>
            </w:pPr>
            <w:r>
              <w:rPr>
                <w:sz w:val="18"/>
              </w:rPr>
              <w:t>Annual and Long Service Leave</w:t>
            </w:r>
          </w:p>
        </w:tc>
        <w:tc>
          <w:tcPr>
            <w:tcW w:w="1452" w:type="dxa"/>
          </w:tcPr>
          <w:p>
            <w:pPr>
              <w:pStyle w:val="TableParagraph"/>
              <w:spacing w:before="18"/>
              <w:ind w:right="242"/>
              <w:jc w:val="right"/>
              <w:rPr>
                <w:b/>
                <w:sz w:val="18"/>
              </w:rPr>
            </w:pPr>
            <w:r>
              <w:rPr>
                <w:b/>
                <w:w w:val="95"/>
                <w:sz w:val="18"/>
              </w:rPr>
              <w:t>147,484</w:t>
            </w:r>
          </w:p>
        </w:tc>
        <w:tc>
          <w:tcPr>
            <w:tcW w:w="1140" w:type="dxa"/>
          </w:tcPr>
          <w:p>
            <w:pPr>
              <w:pStyle w:val="TableParagraph"/>
              <w:spacing w:before="18"/>
              <w:ind w:right="88"/>
              <w:jc w:val="right"/>
              <w:rPr>
                <w:sz w:val="18"/>
              </w:rPr>
            </w:pPr>
            <w:r>
              <w:rPr>
                <w:w w:val="95"/>
                <w:sz w:val="18"/>
              </w:rPr>
              <w:t>101,920</w:t>
            </w:r>
          </w:p>
        </w:tc>
      </w:tr>
      <w:tr>
        <w:trPr>
          <w:trHeight w:val="264" w:hRule="exact"/>
        </w:trPr>
        <w:tc>
          <w:tcPr>
            <w:tcW w:w="283" w:type="dxa"/>
          </w:tcPr>
          <w:p>
            <w:pPr/>
          </w:p>
        </w:tc>
        <w:tc>
          <w:tcPr>
            <w:tcW w:w="7072" w:type="dxa"/>
          </w:tcPr>
          <w:p>
            <w:pPr>
              <w:pStyle w:val="TableParagraph"/>
              <w:spacing w:before="20"/>
              <w:ind w:left="546"/>
              <w:rPr>
                <w:sz w:val="18"/>
              </w:rPr>
            </w:pPr>
            <w:r>
              <w:rPr>
                <w:sz w:val="18"/>
              </w:rPr>
              <w:t>Worker's Compensation</w:t>
            </w:r>
          </w:p>
        </w:tc>
        <w:tc>
          <w:tcPr>
            <w:tcW w:w="1452" w:type="dxa"/>
          </w:tcPr>
          <w:p>
            <w:pPr>
              <w:pStyle w:val="TableParagraph"/>
              <w:spacing w:before="18"/>
              <w:ind w:right="242"/>
              <w:jc w:val="right"/>
              <w:rPr>
                <w:b/>
                <w:sz w:val="18"/>
              </w:rPr>
            </w:pPr>
            <w:r>
              <w:rPr>
                <w:b/>
                <w:w w:val="95"/>
                <w:sz w:val="18"/>
              </w:rPr>
              <w:t>55,654</w:t>
            </w:r>
          </w:p>
        </w:tc>
        <w:tc>
          <w:tcPr>
            <w:tcW w:w="1140" w:type="dxa"/>
          </w:tcPr>
          <w:p>
            <w:pPr>
              <w:pStyle w:val="TableParagraph"/>
              <w:spacing w:before="18"/>
              <w:ind w:right="87"/>
              <w:jc w:val="right"/>
              <w:rPr>
                <w:sz w:val="18"/>
              </w:rPr>
            </w:pPr>
            <w:r>
              <w:rPr>
                <w:w w:val="95"/>
                <w:sz w:val="18"/>
              </w:rPr>
              <w:t>77,460</w:t>
            </w:r>
          </w:p>
        </w:tc>
      </w:tr>
      <w:tr>
        <w:trPr>
          <w:trHeight w:val="260" w:hRule="exact"/>
        </w:trPr>
        <w:tc>
          <w:tcPr>
            <w:tcW w:w="283" w:type="dxa"/>
          </w:tcPr>
          <w:p>
            <w:pPr/>
          </w:p>
        </w:tc>
        <w:tc>
          <w:tcPr>
            <w:tcW w:w="7072" w:type="dxa"/>
          </w:tcPr>
          <w:p>
            <w:pPr>
              <w:pStyle w:val="TableParagraph"/>
              <w:spacing w:before="20"/>
              <w:ind w:left="546"/>
              <w:rPr>
                <w:sz w:val="18"/>
              </w:rPr>
            </w:pPr>
            <w:r>
              <w:rPr>
                <w:sz w:val="18"/>
              </w:rPr>
              <w:t>Other</w:t>
            </w:r>
          </w:p>
        </w:tc>
        <w:tc>
          <w:tcPr>
            <w:tcW w:w="1452" w:type="dxa"/>
            <w:tcBorders>
              <w:bottom w:val="single" w:sz="1" w:space="0" w:color="000000"/>
            </w:tcBorders>
          </w:tcPr>
          <w:p>
            <w:pPr>
              <w:pStyle w:val="TableParagraph"/>
              <w:spacing w:before="18"/>
              <w:ind w:right="242"/>
              <w:jc w:val="right"/>
              <w:rPr>
                <w:b/>
                <w:sz w:val="18"/>
              </w:rPr>
            </w:pPr>
            <w:r>
              <w:rPr>
                <w:b/>
                <w:w w:val="95"/>
                <w:sz w:val="18"/>
              </w:rPr>
              <w:t>12,508</w:t>
            </w:r>
          </w:p>
        </w:tc>
        <w:tc>
          <w:tcPr>
            <w:tcW w:w="1140" w:type="dxa"/>
            <w:tcBorders>
              <w:bottom w:val="single" w:sz="1" w:space="0" w:color="000000"/>
            </w:tcBorders>
          </w:tcPr>
          <w:p>
            <w:pPr>
              <w:pStyle w:val="TableParagraph"/>
              <w:spacing w:before="18"/>
              <w:ind w:right="87"/>
              <w:jc w:val="right"/>
              <w:rPr>
                <w:sz w:val="18"/>
              </w:rPr>
            </w:pPr>
            <w:r>
              <w:rPr>
                <w:w w:val="95"/>
                <w:sz w:val="18"/>
              </w:rPr>
              <w:t>9,734</w:t>
            </w:r>
          </w:p>
        </w:tc>
      </w:tr>
      <w:tr>
        <w:trPr>
          <w:trHeight w:val="353" w:hRule="exact"/>
        </w:trPr>
        <w:tc>
          <w:tcPr>
            <w:tcW w:w="283" w:type="dxa"/>
          </w:tcPr>
          <w:p>
            <w:pPr/>
          </w:p>
        </w:tc>
        <w:tc>
          <w:tcPr>
            <w:tcW w:w="7072" w:type="dxa"/>
          </w:tcPr>
          <w:p>
            <w:pPr>
              <w:pStyle w:val="TableParagraph"/>
              <w:spacing w:before="125"/>
              <w:ind w:left="191"/>
              <w:rPr>
                <w:b/>
                <w:sz w:val="18"/>
              </w:rPr>
            </w:pPr>
            <w:r>
              <w:rPr>
                <w:b/>
                <w:sz w:val="18"/>
              </w:rPr>
              <w:t>Total employee related expenses</w:t>
            </w:r>
          </w:p>
        </w:tc>
        <w:tc>
          <w:tcPr>
            <w:tcW w:w="1452" w:type="dxa"/>
            <w:tcBorders>
              <w:top w:val="single" w:sz="1" w:space="0" w:color="000000"/>
              <w:bottom w:val="single" w:sz="1" w:space="0" w:color="000000"/>
            </w:tcBorders>
          </w:tcPr>
          <w:p>
            <w:pPr>
              <w:pStyle w:val="TableParagraph"/>
              <w:spacing w:before="124"/>
              <w:ind w:right="243"/>
              <w:jc w:val="right"/>
              <w:rPr>
                <w:b/>
                <w:sz w:val="18"/>
              </w:rPr>
            </w:pPr>
            <w:r>
              <w:rPr>
                <w:b/>
                <w:w w:val="95"/>
                <w:sz w:val="18"/>
              </w:rPr>
              <w:t>5,829,194</w:t>
            </w:r>
          </w:p>
        </w:tc>
        <w:tc>
          <w:tcPr>
            <w:tcW w:w="1140" w:type="dxa"/>
            <w:tcBorders>
              <w:top w:val="single" w:sz="1" w:space="0" w:color="000000"/>
              <w:bottom w:val="single" w:sz="1" w:space="0" w:color="000000"/>
            </w:tcBorders>
          </w:tcPr>
          <w:p>
            <w:pPr>
              <w:pStyle w:val="TableParagraph"/>
              <w:spacing w:before="124"/>
              <w:ind w:right="87"/>
              <w:jc w:val="right"/>
              <w:rPr>
                <w:sz w:val="18"/>
              </w:rPr>
            </w:pPr>
            <w:r>
              <w:rPr>
                <w:w w:val="95"/>
                <w:sz w:val="18"/>
              </w:rPr>
              <w:t>5,551,480</w:t>
            </w:r>
          </w:p>
        </w:tc>
      </w:tr>
      <w:tr>
        <w:trPr>
          <w:trHeight w:val="709" w:hRule="exact"/>
        </w:trPr>
        <w:tc>
          <w:tcPr>
            <w:tcW w:w="283" w:type="dxa"/>
          </w:tcPr>
          <w:p>
            <w:pPr/>
          </w:p>
        </w:tc>
        <w:tc>
          <w:tcPr>
            <w:tcW w:w="7072" w:type="dxa"/>
          </w:tcPr>
          <w:p>
            <w:pPr>
              <w:pStyle w:val="TableParagraph"/>
              <w:rPr>
                <w:rFonts w:ascii="Times New Roman"/>
                <w:sz w:val="18"/>
              </w:rPr>
            </w:pPr>
          </w:p>
          <w:p>
            <w:pPr>
              <w:pStyle w:val="TableParagraph"/>
              <w:spacing w:before="6"/>
              <w:rPr>
                <w:rFonts w:ascii="Times New Roman"/>
                <w:sz w:val="23"/>
              </w:rPr>
            </w:pPr>
          </w:p>
          <w:p>
            <w:pPr>
              <w:pStyle w:val="TableParagraph"/>
              <w:ind w:left="147"/>
              <w:rPr>
                <w:b/>
                <w:sz w:val="18"/>
              </w:rPr>
            </w:pPr>
            <w:r>
              <w:rPr>
                <w:b/>
                <w:sz w:val="18"/>
              </w:rPr>
              <w:t>Other expenses</w:t>
            </w:r>
          </w:p>
        </w:tc>
        <w:tc>
          <w:tcPr>
            <w:tcW w:w="1452" w:type="dxa"/>
            <w:tcBorders>
              <w:top w:val="single" w:sz="1" w:space="0" w:color="000000"/>
            </w:tcBorders>
          </w:tcPr>
          <w:p>
            <w:pPr/>
          </w:p>
        </w:tc>
        <w:tc>
          <w:tcPr>
            <w:tcW w:w="1140" w:type="dxa"/>
            <w:tcBorders>
              <w:top w:val="single" w:sz="1" w:space="0" w:color="000000"/>
            </w:tcBorders>
          </w:tcPr>
          <w:p>
            <w:pPr/>
          </w:p>
        </w:tc>
      </w:tr>
      <w:tr>
        <w:trPr>
          <w:trHeight w:val="251" w:hRule="exact"/>
        </w:trPr>
        <w:tc>
          <w:tcPr>
            <w:tcW w:w="283" w:type="dxa"/>
          </w:tcPr>
          <w:p>
            <w:pPr/>
          </w:p>
        </w:tc>
        <w:tc>
          <w:tcPr>
            <w:tcW w:w="7072" w:type="dxa"/>
          </w:tcPr>
          <w:p>
            <w:pPr>
              <w:pStyle w:val="TableParagraph"/>
              <w:spacing w:before="7"/>
              <w:ind w:left="503"/>
              <w:rPr>
                <w:sz w:val="18"/>
              </w:rPr>
            </w:pPr>
            <w:r>
              <w:rPr>
                <w:sz w:val="18"/>
              </w:rPr>
              <w:t>Consumables</w:t>
            </w:r>
          </w:p>
        </w:tc>
        <w:tc>
          <w:tcPr>
            <w:tcW w:w="1452" w:type="dxa"/>
          </w:tcPr>
          <w:p>
            <w:pPr>
              <w:pStyle w:val="TableParagraph"/>
              <w:spacing w:before="4"/>
              <w:ind w:right="242"/>
              <w:jc w:val="right"/>
              <w:rPr>
                <w:b/>
                <w:sz w:val="18"/>
              </w:rPr>
            </w:pPr>
            <w:r>
              <w:rPr>
                <w:b/>
                <w:w w:val="95"/>
                <w:sz w:val="18"/>
              </w:rPr>
              <w:t>231,365</w:t>
            </w:r>
          </w:p>
        </w:tc>
        <w:tc>
          <w:tcPr>
            <w:tcW w:w="1140" w:type="dxa"/>
          </w:tcPr>
          <w:p>
            <w:pPr>
              <w:pStyle w:val="TableParagraph"/>
              <w:spacing w:before="4"/>
              <w:ind w:right="88"/>
              <w:jc w:val="right"/>
              <w:rPr>
                <w:sz w:val="18"/>
              </w:rPr>
            </w:pPr>
            <w:r>
              <w:rPr>
                <w:w w:val="95"/>
                <w:sz w:val="18"/>
              </w:rPr>
              <w:t>153,679</w:t>
            </w:r>
          </w:p>
        </w:tc>
      </w:tr>
      <w:tr>
        <w:trPr>
          <w:trHeight w:val="264" w:hRule="exact"/>
        </w:trPr>
        <w:tc>
          <w:tcPr>
            <w:tcW w:w="283" w:type="dxa"/>
          </w:tcPr>
          <w:p>
            <w:pPr/>
          </w:p>
        </w:tc>
        <w:tc>
          <w:tcPr>
            <w:tcW w:w="7072" w:type="dxa"/>
          </w:tcPr>
          <w:p>
            <w:pPr>
              <w:pStyle w:val="TableParagraph"/>
              <w:spacing w:before="20"/>
              <w:ind w:left="503"/>
              <w:rPr>
                <w:sz w:val="18"/>
              </w:rPr>
            </w:pPr>
            <w:r>
              <w:rPr>
                <w:sz w:val="18"/>
              </w:rPr>
              <w:t>Cleaning</w:t>
            </w:r>
          </w:p>
        </w:tc>
        <w:tc>
          <w:tcPr>
            <w:tcW w:w="1452" w:type="dxa"/>
          </w:tcPr>
          <w:p>
            <w:pPr>
              <w:pStyle w:val="TableParagraph"/>
              <w:spacing w:before="18"/>
              <w:ind w:right="242"/>
              <w:jc w:val="right"/>
              <w:rPr>
                <w:b/>
                <w:sz w:val="18"/>
              </w:rPr>
            </w:pPr>
            <w:r>
              <w:rPr>
                <w:b/>
                <w:w w:val="95"/>
                <w:sz w:val="18"/>
              </w:rPr>
              <w:t>162,294</w:t>
            </w:r>
          </w:p>
        </w:tc>
        <w:tc>
          <w:tcPr>
            <w:tcW w:w="1140" w:type="dxa"/>
          </w:tcPr>
          <w:p>
            <w:pPr>
              <w:pStyle w:val="TableParagraph"/>
              <w:spacing w:before="18"/>
              <w:ind w:right="88"/>
              <w:jc w:val="right"/>
              <w:rPr>
                <w:sz w:val="18"/>
              </w:rPr>
            </w:pPr>
            <w:r>
              <w:rPr>
                <w:w w:val="95"/>
                <w:sz w:val="18"/>
              </w:rPr>
              <w:t>151,442</w:t>
            </w:r>
          </w:p>
        </w:tc>
      </w:tr>
      <w:tr>
        <w:trPr>
          <w:trHeight w:val="264" w:hRule="exact"/>
        </w:trPr>
        <w:tc>
          <w:tcPr>
            <w:tcW w:w="283" w:type="dxa"/>
          </w:tcPr>
          <w:p>
            <w:pPr/>
          </w:p>
        </w:tc>
        <w:tc>
          <w:tcPr>
            <w:tcW w:w="7072" w:type="dxa"/>
          </w:tcPr>
          <w:p>
            <w:pPr>
              <w:pStyle w:val="TableParagraph"/>
              <w:spacing w:before="20"/>
              <w:ind w:left="503"/>
              <w:rPr>
                <w:sz w:val="18"/>
              </w:rPr>
            </w:pPr>
            <w:r>
              <w:rPr>
                <w:sz w:val="18"/>
              </w:rPr>
              <w:t>Consulting</w:t>
            </w:r>
          </w:p>
        </w:tc>
        <w:tc>
          <w:tcPr>
            <w:tcW w:w="1452" w:type="dxa"/>
          </w:tcPr>
          <w:p>
            <w:pPr>
              <w:pStyle w:val="TableParagraph"/>
              <w:spacing w:before="18"/>
              <w:ind w:right="242"/>
              <w:jc w:val="right"/>
              <w:rPr>
                <w:b/>
                <w:sz w:val="18"/>
              </w:rPr>
            </w:pPr>
            <w:r>
              <w:rPr>
                <w:b/>
                <w:w w:val="95"/>
                <w:sz w:val="18"/>
              </w:rPr>
              <w:t>6,500</w:t>
            </w:r>
          </w:p>
        </w:tc>
        <w:tc>
          <w:tcPr>
            <w:tcW w:w="1140" w:type="dxa"/>
          </w:tcPr>
          <w:p>
            <w:pPr>
              <w:pStyle w:val="TableParagraph"/>
              <w:spacing w:before="18"/>
              <w:ind w:right="87"/>
              <w:jc w:val="right"/>
              <w:rPr>
                <w:sz w:val="18"/>
              </w:rPr>
            </w:pPr>
            <w:r>
              <w:rPr>
                <w:w w:val="95"/>
                <w:sz w:val="18"/>
              </w:rPr>
              <w:t>7,870</w:t>
            </w:r>
          </w:p>
        </w:tc>
      </w:tr>
      <w:tr>
        <w:trPr>
          <w:trHeight w:val="264" w:hRule="exact"/>
        </w:trPr>
        <w:tc>
          <w:tcPr>
            <w:tcW w:w="283" w:type="dxa"/>
          </w:tcPr>
          <w:p>
            <w:pPr/>
          </w:p>
        </w:tc>
        <w:tc>
          <w:tcPr>
            <w:tcW w:w="7072" w:type="dxa"/>
          </w:tcPr>
          <w:p>
            <w:pPr>
              <w:pStyle w:val="TableParagraph"/>
              <w:spacing w:before="20"/>
              <w:ind w:left="503"/>
              <w:rPr>
                <w:sz w:val="18"/>
              </w:rPr>
            </w:pPr>
            <w:r>
              <w:rPr>
                <w:sz w:val="18"/>
              </w:rPr>
              <w:t>Non-capitalised Equipment</w:t>
            </w:r>
          </w:p>
        </w:tc>
        <w:tc>
          <w:tcPr>
            <w:tcW w:w="1452" w:type="dxa"/>
          </w:tcPr>
          <w:p>
            <w:pPr>
              <w:pStyle w:val="TableParagraph"/>
              <w:spacing w:before="18"/>
              <w:ind w:right="242"/>
              <w:jc w:val="right"/>
              <w:rPr>
                <w:b/>
                <w:sz w:val="18"/>
              </w:rPr>
            </w:pPr>
            <w:r>
              <w:rPr>
                <w:b/>
                <w:w w:val="95"/>
                <w:sz w:val="18"/>
              </w:rPr>
              <w:t>74,203</w:t>
            </w:r>
          </w:p>
        </w:tc>
        <w:tc>
          <w:tcPr>
            <w:tcW w:w="1140" w:type="dxa"/>
          </w:tcPr>
          <w:p>
            <w:pPr>
              <w:pStyle w:val="TableParagraph"/>
              <w:spacing w:before="18"/>
              <w:ind w:right="88"/>
              <w:jc w:val="right"/>
              <w:rPr>
                <w:sz w:val="18"/>
              </w:rPr>
            </w:pPr>
            <w:r>
              <w:rPr>
                <w:w w:val="95"/>
                <w:sz w:val="18"/>
              </w:rPr>
              <w:t>115,299</w:t>
            </w:r>
          </w:p>
        </w:tc>
      </w:tr>
      <w:tr>
        <w:trPr>
          <w:trHeight w:val="264" w:hRule="exact"/>
        </w:trPr>
        <w:tc>
          <w:tcPr>
            <w:tcW w:w="283" w:type="dxa"/>
          </w:tcPr>
          <w:p>
            <w:pPr/>
          </w:p>
        </w:tc>
        <w:tc>
          <w:tcPr>
            <w:tcW w:w="7072" w:type="dxa"/>
          </w:tcPr>
          <w:p>
            <w:pPr>
              <w:pStyle w:val="TableParagraph"/>
              <w:spacing w:before="20"/>
              <w:ind w:left="503"/>
              <w:rPr>
                <w:sz w:val="18"/>
              </w:rPr>
            </w:pPr>
            <w:r>
              <w:rPr>
                <w:sz w:val="18"/>
              </w:rPr>
              <w:t>Centre resources and supplies</w:t>
            </w:r>
          </w:p>
        </w:tc>
        <w:tc>
          <w:tcPr>
            <w:tcW w:w="1452" w:type="dxa"/>
          </w:tcPr>
          <w:p>
            <w:pPr>
              <w:pStyle w:val="TableParagraph"/>
              <w:spacing w:before="18"/>
              <w:ind w:right="242"/>
              <w:jc w:val="right"/>
              <w:rPr>
                <w:b/>
                <w:sz w:val="18"/>
              </w:rPr>
            </w:pPr>
            <w:r>
              <w:rPr>
                <w:b/>
                <w:w w:val="95"/>
                <w:sz w:val="18"/>
              </w:rPr>
              <w:t>119,664</w:t>
            </w:r>
          </w:p>
        </w:tc>
        <w:tc>
          <w:tcPr>
            <w:tcW w:w="1140" w:type="dxa"/>
          </w:tcPr>
          <w:p>
            <w:pPr>
              <w:pStyle w:val="TableParagraph"/>
              <w:spacing w:before="18"/>
              <w:ind w:right="87"/>
              <w:jc w:val="right"/>
              <w:rPr>
                <w:sz w:val="18"/>
              </w:rPr>
            </w:pPr>
            <w:r>
              <w:rPr>
                <w:w w:val="95"/>
                <w:sz w:val="18"/>
              </w:rPr>
              <w:t>81,616</w:t>
            </w:r>
          </w:p>
        </w:tc>
      </w:tr>
      <w:tr>
        <w:trPr>
          <w:trHeight w:val="264" w:hRule="exact"/>
        </w:trPr>
        <w:tc>
          <w:tcPr>
            <w:tcW w:w="283" w:type="dxa"/>
          </w:tcPr>
          <w:p>
            <w:pPr/>
          </w:p>
        </w:tc>
        <w:tc>
          <w:tcPr>
            <w:tcW w:w="7072" w:type="dxa"/>
          </w:tcPr>
          <w:p>
            <w:pPr>
              <w:pStyle w:val="TableParagraph"/>
              <w:spacing w:before="20"/>
              <w:ind w:left="503"/>
              <w:rPr>
                <w:sz w:val="18"/>
              </w:rPr>
            </w:pPr>
            <w:r>
              <w:rPr>
                <w:sz w:val="18"/>
              </w:rPr>
              <w:t>Repairs and Maintenance</w:t>
            </w:r>
          </w:p>
        </w:tc>
        <w:tc>
          <w:tcPr>
            <w:tcW w:w="1452" w:type="dxa"/>
          </w:tcPr>
          <w:p>
            <w:pPr>
              <w:pStyle w:val="TableParagraph"/>
              <w:spacing w:before="18"/>
              <w:ind w:right="242"/>
              <w:jc w:val="right"/>
              <w:rPr>
                <w:b/>
                <w:sz w:val="18"/>
              </w:rPr>
            </w:pPr>
            <w:r>
              <w:rPr>
                <w:b/>
                <w:w w:val="95"/>
                <w:sz w:val="18"/>
              </w:rPr>
              <w:t>52,122</w:t>
            </w:r>
          </w:p>
        </w:tc>
        <w:tc>
          <w:tcPr>
            <w:tcW w:w="1140" w:type="dxa"/>
          </w:tcPr>
          <w:p>
            <w:pPr>
              <w:pStyle w:val="TableParagraph"/>
              <w:spacing w:before="18"/>
              <w:ind w:right="87"/>
              <w:jc w:val="right"/>
              <w:rPr>
                <w:sz w:val="18"/>
              </w:rPr>
            </w:pPr>
            <w:r>
              <w:rPr>
                <w:w w:val="95"/>
                <w:sz w:val="18"/>
              </w:rPr>
              <w:t>5,939</w:t>
            </w:r>
          </w:p>
        </w:tc>
      </w:tr>
      <w:tr>
        <w:trPr>
          <w:trHeight w:val="264" w:hRule="exact"/>
        </w:trPr>
        <w:tc>
          <w:tcPr>
            <w:tcW w:w="283" w:type="dxa"/>
          </w:tcPr>
          <w:p>
            <w:pPr/>
          </w:p>
        </w:tc>
        <w:tc>
          <w:tcPr>
            <w:tcW w:w="7072" w:type="dxa"/>
          </w:tcPr>
          <w:p>
            <w:pPr>
              <w:pStyle w:val="TableParagraph"/>
              <w:spacing w:before="20"/>
              <w:ind w:left="503"/>
              <w:rPr>
                <w:sz w:val="18"/>
              </w:rPr>
            </w:pPr>
            <w:r>
              <w:rPr>
                <w:sz w:val="18"/>
              </w:rPr>
              <w:t>Staff Development</w:t>
            </w:r>
          </w:p>
        </w:tc>
        <w:tc>
          <w:tcPr>
            <w:tcW w:w="1452" w:type="dxa"/>
          </w:tcPr>
          <w:p>
            <w:pPr>
              <w:pStyle w:val="TableParagraph"/>
              <w:spacing w:before="18"/>
              <w:ind w:right="242"/>
              <w:jc w:val="right"/>
              <w:rPr>
                <w:b/>
                <w:sz w:val="18"/>
              </w:rPr>
            </w:pPr>
            <w:r>
              <w:rPr>
                <w:b/>
                <w:w w:val="95"/>
                <w:sz w:val="18"/>
              </w:rPr>
              <w:t>40,412</w:t>
            </w:r>
          </w:p>
        </w:tc>
        <w:tc>
          <w:tcPr>
            <w:tcW w:w="1140" w:type="dxa"/>
          </w:tcPr>
          <w:p>
            <w:pPr>
              <w:pStyle w:val="TableParagraph"/>
              <w:spacing w:before="18"/>
              <w:ind w:right="88"/>
              <w:jc w:val="right"/>
              <w:rPr>
                <w:sz w:val="18"/>
              </w:rPr>
            </w:pPr>
            <w:r>
              <w:rPr>
                <w:w w:val="95"/>
                <w:sz w:val="18"/>
              </w:rPr>
              <w:t>118,613</w:t>
            </w:r>
          </w:p>
        </w:tc>
      </w:tr>
      <w:tr>
        <w:trPr>
          <w:trHeight w:val="264" w:hRule="exact"/>
        </w:trPr>
        <w:tc>
          <w:tcPr>
            <w:tcW w:w="283" w:type="dxa"/>
          </w:tcPr>
          <w:p>
            <w:pPr/>
          </w:p>
        </w:tc>
        <w:tc>
          <w:tcPr>
            <w:tcW w:w="7072" w:type="dxa"/>
          </w:tcPr>
          <w:p>
            <w:pPr>
              <w:pStyle w:val="TableParagraph"/>
              <w:spacing w:before="20"/>
              <w:ind w:left="503"/>
              <w:rPr>
                <w:sz w:val="18"/>
              </w:rPr>
            </w:pPr>
            <w:bookmarkStart w:name="4 Cash and cash equivalents " w:id="201"/>
            <w:bookmarkEnd w:id="201"/>
            <w:r>
              <w:rPr/>
            </w:r>
            <w:r>
              <w:rPr>
                <w:sz w:val="18"/>
              </w:rPr>
              <w:t>Printing</w:t>
            </w:r>
          </w:p>
        </w:tc>
        <w:tc>
          <w:tcPr>
            <w:tcW w:w="1452" w:type="dxa"/>
          </w:tcPr>
          <w:p>
            <w:pPr>
              <w:pStyle w:val="TableParagraph"/>
              <w:spacing w:before="18"/>
              <w:ind w:right="242"/>
              <w:jc w:val="right"/>
              <w:rPr>
                <w:b/>
                <w:sz w:val="18"/>
              </w:rPr>
            </w:pPr>
            <w:r>
              <w:rPr>
                <w:b/>
                <w:w w:val="95"/>
                <w:sz w:val="18"/>
              </w:rPr>
              <w:t>44,293</w:t>
            </w:r>
          </w:p>
        </w:tc>
        <w:tc>
          <w:tcPr>
            <w:tcW w:w="1140" w:type="dxa"/>
          </w:tcPr>
          <w:p>
            <w:pPr>
              <w:pStyle w:val="TableParagraph"/>
              <w:spacing w:before="18"/>
              <w:ind w:right="87"/>
              <w:jc w:val="right"/>
              <w:rPr>
                <w:sz w:val="18"/>
              </w:rPr>
            </w:pPr>
            <w:r>
              <w:rPr>
                <w:w w:val="95"/>
                <w:sz w:val="18"/>
              </w:rPr>
              <w:t>27,690</w:t>
            </w:r>
          </w:p>
        </w:tc>
      </w:tr>
      <w:tr>
        <w:trPr>
          <w:trHeight w:val="260" w:hRule="exact"/>
        </w:trPr>
        <w:tc>
          <w:tcPr>
            <w:tcW w:w="283" w:type="dxa"/>
          </w:tcPr>
          <w:p>
            <w:pPr/>
          </w:p>
        </w:tc>
        <w:tc>
          <w:tcPr>
            <w:tcW w:w="7072" w:type="dxa"/>
          </w:tcPr>
          <w:p>
            <w:pPr>
              <w:pStyle w:val="TableParagraph"/>
              <w:spacing w:before="20"/>
              <w:ind w:left="503"/>
              <w:rPr>
                <w:sz w:val="18"/>
              </w:rPr>
            </w:pPr>
            <w:r>
              <w:rPr>
                <w:sz w:val="18"/>
              </w:rPr>
              <w:t>Sundry expenses</w:t>
            </w:r>
          </w:p>
        </w:tc>
        <w:tc>
          <w:tcPr>
            <w:tcW w:w="1452" w:type="dxa"/>
            <w:tcBorders>
              <w:bottom w:val="single" w:sz="1" w:space="0" w:color="000000"/>
            </w:tcBorders>
          </w:tcPr>
          <w:p>
            <w:pPr>
              <w:pStyle w:val="TableParagraph"/>
              <w:spacing w:before="18"/>
              <w:ind w:right="242"/>
              <w:jc w:val="right"/>
              <w:rPr>
                <w:b/>
                <w:sz w:val="18"/>
              </w:rPr>
            </w:pPr>
            <w:r>
              <w:rPr>
                <w:b/>
                <w:w w:val="95"/>
                <w:sz w:val="18"/>
              </w:rPr>
              <w:t>99,580</w:t>
            </w:r>
          </w:p>
        </w:tc>
        <w:tc>
          <w:tcPr>
            <w:tcW w:w="1140" w:type="dxa"/>
            <w:tcBorders>
              <w:bottom w:val="single" w:sz="1" w:space="0" w:color="000000"/>
            </w:tcBorders>
          </w:tcPr>
          <w:p>
            <w:pPr>
              <w:pStyle w:val="TableParagraph"/>
              <w:spacing w:before="18"/>
              <w:ind w:right="88"/>
              <w:jc w:val="right"/>
              <w:rPr>
                <w:sz w:val="18"/>
              </w:rPr>
            </w:pPr>
            <w:r>
              <w:rPr>
                <w:w w:val="95"/>
                <w:sz w:val="18"/>
              </w:rPr>
              <w:t>107,889</w:t>
            </w:r>
          </w:p>
        </w:tc>
      </w:tr>
      <w:tr>
        <w:trPr>
          <w:trHeight w:val="338" w:hRule="exact"/>
        </w:trPr>
        <w:tc>
          <w:tcPr>
            <w:tcW w:w="283" w:type="dxa"/>
          </w:tcPr>
          <w:p>
            <w:pPr/>
          </w:p>
        </w:tc>
        <w:tc>
          <w:tcPr>
            <w:tcW w:w="7072" w:type="dxa"/>
          </w:tcPr>
          <w:p>
            <w:pPr>
              <w:pStyle w:val="TableParagraph"/>
              <w:spacing w:before="125"/>
              <w:ind w:left="147"/>
              <w:rPr>
                <w:b/>
                <w:sz w:val="18"/>
              </w:rPr>
            </w:pPr>
            <w:r>
              <w:rPr>
                <w:b/>
                <w:sz w:val="18"/>
              </w:rPr>
              <w:t>Total other expenses</w:t>
            </w:r>
          </w:p>
        </w:tc>
        <w:tc>
          <w:tcPr>
            <w:tcW w:w="1452" w:type="dxa"/>
            <w:tcBorders>
              <w:top w:val="single" w:sz="1" w:space="0" w:color="000000"/>
              <w:bottom w:val="single" w:sz="1" w:space="0" w:color="000000"/>
            </w:tcBorders>
          </w:tcPr>
          <w:p>
            <w:pPr>
              <w:pStyle w:val="TableParagraph"/>
              <w:spacing w:before="124"/>
              <w:ind w:right="242"/>
              <w:jc w:val="right"/>
              <w:rPr>
                <w:b/>
                <w:sz w:val="18"/>
              </w:rPr>
            </w:pPr>
            <w:r>
              <w:rPr>
                <w:b/>
                <w:w w:val="95"/>
                <w:sz w:val="18"/>
              </w:rPr>
              <w:t>830,433</w:t>
            </w:r>
          </w:p>
        </w:tc>
        <w:tc>
          <w:tcPr>
            <w:tcW w:w="1140" w:type="dxa"/>
            <w:tcBorders>
              <w:top w:val="single" w:sz="1" w:space="0" w:color="000000"/>
              <w:bottom w:val="single" w:sz="1" w:space="0" w:color="000000"/>
            </w:tcBorders>
          </w:tcPr>
          <w:p>
            <w:pPr>
              <w:pStyle w:val="TableParagraph"/>
              <w:spacing w:before="124"/>
              <w:ind w:right="88"/>
              <w:jc w:val="right"/>
              <w:rPr>
                <w:sz w:val="18"/>
              </w:rPr>
            </w:pPr>
            <w:r>
              <w:rPr>
                <w:w w:val="95"/>
                <w:sz w:val="18"/>
              </w:rPr>
              <w:t>770,037</w:t>
            </w:r>
          </w:p>
        </w:tc>
      </w:tr>
      <w:tr>
        <w:trPr>
          <w:trHeight w:val="881" w:hRule="exact"/>
        </w:trPr>
        <w:tc>
          <w:tcPr>
            <w:tcW w:w="283" w:type="dxa"/>
          </w:tcPr>
          <w:p>
            <w:pPr>
              <w:pStyle w:val="TableParagraph"/>
              <w:rPr>
                <w:rFonts w:ascii="Times New Roman"/>
                <w:sz w:val="18"/>
              </w:rPr>
            </w:pPr>
          </w:p>
          <w:p>
            <w:pPr>
              <w:pStyle w:val="TableParagraph"/>
              <w:rPr>
                <w:rFonts w:ascii="Times New Roman"/>
                <w:sz w:val="18"/>
              </w:rPr>
            </w:pPr>
          </w:p>
          <w:p>
            <w:pPr>
              <w:pStyle w:val="TableParagraph"/>
              <w:spacing w:before="4"/>
              <w:rPr>
                <w:rFonts w:ascii="Times New Roman"/>
                <w:sz w:val="20"/>
              </w:rPr>
            </w:pPr>
          </w:p>
          <w:p>
            <w:pPr>
              <w:pStyle w:val="TableParagraph"/>
              <w:ind w:left="35"/>
              <w:rPr>
                <w:b/>
                <w:sz w:val="18"/>
              </w:rPr>
            </w:pPr>
            <w:r>
              <w:rPr>
                <w:b/>
                <w:w w:val="99"/>
                <w:sz w:val="18"/>
              </w:rPr>
              <w:t>4</w:t>
            </w:r>
          </w:p>
        </w:tc>
        <w:tc>
          <w:tcPr>
            <w:tcW w:w="7072" w:type="dxa"/>
          </w:tcPr>
          <w:p>
            <w:pPr>
              <w:pStyle w:val="TableParagraph"/>
              <w:rPr>
                <w:rFonts w:ascii="Times New Roman"/>
                <w:sz w:val="18"/>
              </w:rPr>
            </w:pPr>
          </w:p>
          <w:p>
            <w:pPr>
              <w:pStyle w:val="TableParagraph"/>
              <w:rPr>
                <w:rFonts w:ascii="Times New Roman"/>
                <w:sz w:val="18"/>
              </w:rPr>
            </w:pPr>
          </w:p>
          <w:p>
            <w:pPr>
              <w:pStyle w:val="TableParagraph"/>
              <w:spacing w:before="4"/>
              <w:rPr>
                <w:rFonts w:ascii="Times New Roman"/>
                <w:sz w:val="20"/>
              </w:rPr>
            </w:pPr>
          </w:p>
          <w:p>
            <w:pPr>
              <w:pStyle w:val="TableParagraph"/>
              <w:ind w:left="147"/>
              <w:rPr>
                <w:b/>
                <w:sz w:val="18"/>
              </w:rPr>
            </w:pPr>
            <w:r>
              <w:rPr>
                <w:b/>
                <w:sz w:val="18"/>
              </w:rPr>
              <w:t>Cash and cash equivalents</w:t>
            </w:r>
          </w:p>
        </w:tc>
        <w:tc>
          <w:tcPr>
            <w:tcW w:w="1452" w:type="dxa"/>
            <w:tcBorders>
              <w:top w:val="single" w:sz="1" w:space="0" w:color="000000"/>
            </w:tcBorders>
          </w:tcPr>
          <w:p>
            <w:pPr/>
          </w:p>
        </w:tc>
        <w:tc>
          <w:tcPr>
            <w:tcW w:w="1140" w:type="dxa"/>
            <w:tcBorders>
              <w:top w:val="single" w:sz="1" w:space="0" w:color="000000"/>
            </w:tcBorders>
          </w:tcPr>
          <w:p>
            <w:pPr/>
          </w:p>
        </w:tc>
      </w:tr>
      <w:tr>
        <w:trPr>
          <w:trHeight w:val="257" w:hRule="exact"/>
        </w:trPr>
        <w:tc>
          <w:tcPr>
            <w:tcW w:w="283" w:type="dxa"/>
          </w:tcPr>
          <w:p>
            <w:pPr/>
          </w:p>
        </w:tc>
        <w:tc>
          <w:tcPr>
            <w:tcW w:w="7072" w:type="dxa"/>
          </w:tcPr>
          <w:p>
            <w:pPr/>
          </w:p>
        </w:tc>
        <w:tc>
          <w:tcPr>
            <w:tcW w:w="1452" w:type="dxa"/>
          </w:tcPr>
          <w:p>
            <w:pPr>
              <w:pStyle w:val="TableParagraph"/>
              <w:spacing w:before="7"/>
              <w:ind w:left="568"/>
              <w:rPr>
                <w:b/>
                <w:sz w:val="18"/>
              </w:rPr>
            </w:pPr>
            <w:r>
              <w:rPr>
                <w:b/>
                <w:sz w:val="18"/>
              </w:rPr>
              <w:t>2017</w:t>
            </w:r>
          </w:p>
        </w:tc>
        <w:tc>
          <w:tcPr>
            <w:tcW w:w="1140" w:type="dxa"/>
          </w:tcPr>
          <w:p>
            <w:pPr>
              <w:pStyle w:val="TableParagraph"/>
              <w:spacing w:before="7"/>
              <w:ind w:left="398"/>
              <w:rPr>
                <w:b/>
                <w:sz w:val="18"/>
              </w:rPr>
            </w:pPr>
            <w:r>
              <w:rPr>
                <w:b/>
                <w:sz w:val="18"/>
              </w:rPr>
              <w:t>2016</w:t>
            </w:r>
          </w:p>
        </w:tc>
      </w:tr>
      <w:tr>
        <w:trPr>
          <w:trHeight w:val="408" w:hRule="exact"/>
        </w:trPr>
        <w:tc>
          <w:tcPr>
            <w:tcW w:w="283" w:type="dxa"/>
          </w:tcPr>
          <w:p>
            <w:pPr/>
          </w:p>
        </w:tc>
        <w:tc>
          <w:tcPr>
            <w:tcW w:w="7072" w:type="dxa"/>
          </w:tcPr>
          <w:p>
            <w:pPr/>
          </w:p>
        </w:tc>
        <w:tc>
          <w:tcPr>
            <w:tcW w:w="1452" w:type="dxa"/>
          </w:tcPr>
          <w:p>
            <w:pPr>
              <w:pStyle w:val="TableParagraph"/>
              <w:spacing w:before="24"/>
              <w:ind w:left="140"/>
              <w:jc w:val="center"/>
              <w:rPr>
                <w:b/>
                <w:sz w:val="18"/>
              </w:rPr>
            </w:pPr>
            <w:r>
              <w:rPr>
                <w:b/>
                <w:w w:val="99"/>
                <w:sz w:val="18"/>
              </w:rPr>
              <w:t>$</w:t>
            </w:r>
          </w:p>
        </w:tc>
        <w:tc>
          <w:tcPr>
            <w:tcW w:w="1140" w:type="dxa"/>
          </w:tcPr>
          <w:p>
            <w:pPr>
              <w:pStyle w:val="TableParagraph"/>
              <w:spacing w:before="24"/>
              <w:ind w:left="112"/>
              <w:jc w:val="center"/>
              <w:rPr>
                <w:b/>
                <w:sz w:val="18"/>
              </w:rPr>
            </w:pPr>
            <w:r>
              <w:rPr>
                <w:b/>
                <w:w w:val="99"/>
                <w:sz w:val="18"/>
              </w:rPr>
              <w:t>$</w:t>
            </w:r>
          </w:p>
        </w:tc>
      </w:tr>
      <w:tr>
        <w:trPr>
          <w:trHeight w:val="400" w:hRule="exact"/>
        </w:trPr>
        <w:tc>
          <w:tcPr>
            <w:tcW w:w="283" w:type="dxa"/>
          </w:tcPr>
          <w:p>
            <w:pPr/>
          </w:p>
        </w:tc>
        <w:tc>
          <w:tcPr>
            <w:tcW w:w="7072" w:type="dxa"/>
          </w:tcPr>
          <w:p>
            <w:pPr>
              <w:pStyle w:val="TableParagraph"/>
              <w:spacing w:before="160"/>
              <w:ind w:left="176"/>
              <w:rPr>
                <w:b/>
                <w:sz w:val="18"/>
              </w:rPr>
            </w:pPr>
            <w:r>
              <w:rPr>
                <w:b/>
                <w:sz w:val="18"/>
              </w:rPr>
              <w:t>Cash at bank</w:t>
            </w:r>
          </w:p>
        </w:tc>
        <w:tc>
          <w:tcPr>
            <w:tcW w:w="1452" w:type="dxa"/>
            <w:tcBorders>
              <w:bottom w:val="single" w:sz="1" w:space="0" w:color="000000"/>
            </w:tcBorders>
          </w:tcPr>
          <w:p>
            <w:pPr>
              <w:pStyle w:val="TableParagraph"/>
              <w:spacing w:before="158"/>
              <w:ind w:right="242"/>
              <w:jc w:val="right"/>
              <w:rPr>
                <w:b/>
                <w:sz w:val="18"/>
              </w:rPr>
            </w:pPr>
            <w:r>
              <w:rPr>
                <w:b/>
                <w:w w:val="95"/>
                <w:sz w:val="18"/>
              </w:rPr>
              <w:t>482,158</w:t>
            </w:r>
          </w:p>
        </w:tc>
        <w:tc>
          <w:tcPr>
            <w:tcW w:w="1140" w:type="dxa"/>
            <w:tcBorders>
              <w:bottom w:val="single" w:sz="1" w:space="0" w:color="000000"/>
            </w:tcBorders>
          </w:tcPr>
          <w:p>
            <w:pPr>
              <w:pStyle w:val="TableParagraph"/>
              <w:spacing w:before="158"/>
              <w:ind w:right="88"/>
              <w:jc w:val="right"/>
              <w:rPr>
                <w:sz w:val="18"/>
              </w:rPr>
            </w:pPr>
            <w:r>
              <w:rPr>
                <w:w w:val="95"/>
                <w:sz w:val="18"/>
              </w:rPr>
              <w:t>647,363</w:t>
            </w:r>
          </w:p>
        </w:tc>
      </w:tr>
      <w:tr>
        <w:trPr>
          <w:trHeight w:val="457" w:hRule="exact"/>
        </w:trPr>
        <w:tc>
          <w:tcPr>
            <w:tcW w:w="283" w:type="dxa"/>
          </w:tcPr>
          <w:p>
            <w:pPr/>
          </w:p>
        </w:tc>
        <w:tc>
          <w:tcPr>
            <w:tcW w:w="7072" w:type="dxa"/>
          </w:tcPr>
          <w:p>
            <w:pPr>
              <w:pStyle w:val="TableParagraph"/>
              <w:spacing w:before="154"/>
              <w:ind w:left="147"/>
              <w:rPr>
                <w:sz w:val="18"/>
              </w:rPr>
            </w:pPr>
            <w:r>
              <w:rPr>
                <w:sz w:val="18"/>
              </w:rPr>
              <w:t>The Company's exposure to interest rate risk is discussed in note 15.</w:t>
            </w:r>
          </w:p>
        </w:tc>
        <w:tc>
          <w:tcPr>
            <w:tcW w:w="1452" w:type="dxa"/>
            <w:tcBorders>
              <w:top w:val="single" w:sz="1" w:space="0" w:color="000000"/>
            </w:tcBorders>
          </w:tcPr>
          <w:p>
            <w:pPr/>
          </w:p>
        </w:tc>
        <w:tc>
          <w:tcPr>
            <w:tcW w:w="1140" w:type="dxa"/>
            <w:tcBorders>
              <w:top w:val="single" w:sz="1" w:space="0" w:color="000000"/>
            </w:tcBorders>
          </w:tcPr>
          <w:p>
            <w:pPr/>
          </w:p>
        </w:tc>
      </w:tr>
    </w:tbl>
    <w:p>
      <w:pPr>
        <w:spacing w:after="0"/>
        <w:sectPr>
          <w:pgSz w:w="11910" w:h="16840"/>
          <w:pgMar w:header="1037" w:footer="512" w:top="2380" w:bottom="700" w:left="860" w:right="880"/>
        </w:sectPr>
      </w:pPr>
    </w:p>
    <w:p>
      <w:pPr>
        <w:pStyle w:val="BodyText"/>
        <w:spacing w:before="9"/>
        <w:rPr>
          <w:rFonts w:ascii="Times New Roman"/>
        </w:rPr>
      </w:pPr>
    </w:p>
    <w:tbl>
      <w:tblPr>
        <w:tblW w:w="0" w:type="auto"/>
        <w:jc w:val="left"/>
        <w:tblInd w:w="1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3"/>
        <w:gridCol w:w="7022"/>
        <w:gridCol w:w="1482"/>
        <w:gridCol w:w="1110"/>
      </w:tblGrid>
      <w:tr>
        <w:trPr>
          <w:trHeight w:val="567" w:hRule="exact"/>
        </w:trPr>
        <w:tc>
          <w:tcPr>
            <w:tcW w:w="233" w:type="dxa"/>
          </w:tcPr>
          <w:p>
            <w:pPr>
              <w:pStyle w:val="TableParagraph"/>
              <w:spacing w:before="77"/>
              <w:ind w:left="35"/>
              <w:rPr>
                <w:b/>
                <w:sz w:val="18"/>
              </w:rPr>
            </w:pPr>
            <w:bookmarkStart w:name="5 Trade and other receivables " w:id="202"/>
            <w:bookmarkEnd w:id="202"/>
            <w:r>
              <w:rPr/>
            </w:r>
            <w:r>
              <w:rPr>
                <w:b/>
                <w:w w:val="99"/>
                <w:sz w:val="18"/>
              </w:rPr>
              <w:t>5</w:t>
            </w:r>
          </w:p>
        </w:tc>
        <w:tc>
          <w:tcPr>
            <w:tcW w:w="7022" w:type="dxa"/>
          </w:tcPr>
          <w:p>
            <w:pPr>
              <w:pStyle w:val="TableParagraph"/>
              <w:spacing w:before="77"/>
              <w:ind w:left="97"/>
              <w:rPr>
                <w:b/>
                <w:sz w:val="18"/>
              </w:rPr>
            </w:pPr>
            <w:r>
              <w:rPr>
                <w:b/>
                <w:sz w:val="18"/>
              </w:rPr>
              <w:t>Trade and other receivables</w:t>
            </w:r>
          </w:p>
        </w:tc>
        <w:tc>
          <w:tcPr>
            <w:tcW w:w="1482" w:type="dxa"/>
          </w:tcPr>
          <w:p>
            <w:pPr>
              <w:pStyle w:val="TableParagraph"/>
              <w:rPr>
                <w:rFonts w:ascii="Times New Roman"/>
                <w:sz w:val="18"/>
              </w:rPr>
            </w:pPr>
          </w:p>
          <w:p>
            <w:pPr>
              <w:pStyle w:val="TableParagraph"/>
              <w:spacing w:before="110"/>
              <w:ind w:right="357"/>
              <w:jc w:val="right"/>
              <w:rPr>
                <w:b/>
                <w:sz w:val="18"/>
              </w:rPr>
            </w:pPr>
            <w:r>
              <w:rPr>
                <w:b/>
                <w:w w:val="95"/>
                <w:sz w:val="18"/>
              </w:rPr>
              <w:t>2017</w:t>
            </w:r>
          </w:p>
        </w:tc>
        <w:tc>
          <w:tcPr>
            <w:tcW w:w="1110" w:type="dxa"/>
          </w:tcPr>
          <w:p>
            <w:pPr>
              <w:pStyle w:val="TableParagraph"/>
              <w:rPr>
                <w:rFonts w:ascii="Times New Roman"/>
                <w:sz w:val="18"/>
              </w:rPr>
            </w:pPr>
          </w:p>
          <w:p>
            <w:pPr>
              <w:pStyle w:val="TableParagraph"/>
              <w:spacing w:before="110"/>
              <w:ind w:left="469"/>
              <w:rPr>
                <w:b/>
                <w:sz w:val="18"/>
              </w:rPr>
            </w:pPr>
            <w:r>
              <w:rPr>
                <w:b/>
                <w:sz w:val="18"/>
              </w:rPr>
              <w:t>2016</w:t>
            </w:r>
          </w:p>
        </w:tc>
      </w:tr>
      <w:tr>
        <w:trPr>
          <w:trHeight w:val="313" w:hRule="exact"/>
        </w:trPr>
        <w:tc>
          <w:tcPr>
            <w:tcW w:w="233" w:type="dxa"/>
          </w:tcPr>
          <w:p>
            <w:pPr/>
          </w:p>
        </w:tc>
        <w:tc>
          <w:tcPr>
            <w:tcW w:w="7022" w:type="dxa"/>
          </w:tcPr>
          <w:p>
            <w:pPr/>
          </w:p>
        </w:tc>
        <w:tc>
          <w:tcPr>
            <w:tcW w:w="1482" w:type="dxa"/>
          </w:tcPr>
          <w:p>
            <w:pPr>
              <w:pStyle w:val="TableParagraph"/>
              <w:spacing w:before="24"/>
              <w:ind w:left="360"/>
              <w:jc w:val="center"/>
              <w:rPr>
                <w:b/>
                <w:sz w:val="18"/>
              </w:rPr>
            </w:pPr>
            <w:r>
              <w:rPr>
                <w:b/>
                <w:w w:val="99"/>
                <w:sz w:val="18"/>
              </w:rPr>
              <w:t>$</w:t>
            </w:r>
          </w:p>
        </w:tc>
        <w:tc>
          <w:tcPr>
            <w:tcW w:w="1110" w:type="dxa"/>
          </w:tcPr>
          <w:p>
            <w:pPr>
              <w:pStyle w:val="TableParagraph"/>
              <w:spacing w:before="24"/>
              <w:ind w:left="646"/>
              <w:rPr>
                <w:b/>
                <w:sz w:val="18"/>
              </w:rPr>
            </w:pPr>
            <w:r>
              <w:rPr>
                <w:b/>
                <w:w w:val="99"/>
                <w:sz w:val="18"/>
              </w:rPr>
              <w:t>$</w:t>
            </w:r>
          </w:p>
        </w:tc>
      </w:tr>
      <w:tr>
        <w:trPr>
          <w:trHeight w:val="542" w:hRule="exact"/>
        </w:trPr>
        <w:tc>
          <w:tcPr>
            <w:tcW w:w="233" w:type="dxa"/>
          </w:tcPr>
          <w:p>
            <w:pPr/>
          </w:p>
        </w:tc>
        <w:tc>
          <w:tcPr>
            <w:tcW w:w="7022" w:type="dxa"/>
          </w:tcPr>
          <w:p>
            <w:pPr>
              <w:pStyle w:val="TableParagraph"/>
              <w:spacing w:before="63"/>
              <w:ind w:left="140"/>
              <w:rPr>
                <w:b/>
                <w:sz w:val="18"/>
              </w:rPr>
            </w:pPr>
            <w:r>
              <w:rPr>
                <w:b/>
                <w:sz w:val="18"/>
              </w:rPr>
              <w:t>CURRENT</w:t>
            </w:r>
          </w:p>
          <w:p>
            <w:pPr>
              <w:pStyle w:val="TableParagraph"/>
              <w:spacing w:before="26"/>
              <w:ind w:left="140"/>
              <w:rPr>
                <w:sz w:val="18"/>
              </w:rPr>
            </w:pPr>
            <w:r>
              <w:rPr>
                <w:sz w:val="18"/>
              </w:rPr>
              <w:t>Trade receivables</w:t>
            </w:r>
          </w:p>
        </w:tc>
        <w:tc>
          <w:tcPr>
            <w:tcW w:w="1482" w:type="dxa"/>
          </w:tcPr>
          <w:p>
            <w:pPr>
              <w:pStyle w:val="TableParagraph"/>
              <w:spacing w:before="11"/>
              <w:rPr>
                <w:rFonts w:ascii="Times New Roman"/>
                <w:sz w:val="25"/>
              </w:rPr>
            </w:pPr>
          </w:p>
          <w:p>
            <w:pPr>
              <w:pStyle w:val="TableParagraph"/>
              <w:ind w:right="273"/>
              <w:jc w:val="right"/>
              <w:rPr>
                <w:b/>
                <w:sz w:val="18"/>
              </w:rPr>
            </w:pPr>
            <w:r>
              <w:rPr>
                <w:b/>
                <w:w w:val="95"/>
                <w:sz w:val="18"/>
              </w:rPr>
              <w:t>43,249</w:t>
            </w:r>
          </w:p>
        </w:tc>
        <w:tc>
          <w:tcPr>
            <w:tcW w:w="1110" w:type="dxa"/>
          </w:tcPr>
          <w:p>
            <w:pPr>
              <w:pStyle w:val="TableParagraph"/>
              <w:spacing w:before="11"/>
              <w:rPr>
                <w:rFonts w:ascii="Times New Roman"/>
                <w:sz w:val="25"/>
              </w:rPr>
            </w:pPr>
          </w:p>
          <w:p>
            <w:pPr>
              <w:pStyle w:val="TableParagraph"/>
              <w:ind w:left="466"/>
              <w:rPr>
                <w:sz w:val="18"/>
              </w:rPr>
            </w:pPr>
            <w:r>
              <w:rPr>
                <w:sz w:val="18"/>
              </w:rPr>
              <w:t>23,107</w:t>
            </w:r>
          </w:p>
        </w:tc>
      </w:tr>
      <w:tr>
        <w:trPr>
          <w:trHeight w:val="264" w:hRule="exact"/>
        </w:trPr>
        <w:tc>
          <w:tcPr>
            <w:tcW w:w="233" w:type="dxa"/>
          </w:tcPr>
          <w:p>
            <w:pPr/>
          </w:p>
        </w:tc>
        <w:tc>
          <w:tcPr>
            <w:tcW w:w="7022" w:type="dxa"/>
          </w:tcPr>
          <w:p>
            <w:pPr>
              <w:pStyle w:val="TableParagraph"/>
              <w:spacing w:before="18"/>
              <w:ind w:left="140"/>
              <w:rPr>
                <w:sz w:val="18"/>
              </w:rPr>
            </w:pPr>
            <w:r>
              <w:rPr>
                <w:sz w:val="18"/>
              </w:rPr>
              <w:t>Receivable from Parent</w:t>
            </w:r>
          </w:p>
        </w:tc>
        <w:tc>
          <w:tcPr>
            <w:tcW w:w="1482" w:type="dxa"/>
          </w:tcPr>
          <w:p>
            <w:pPr>
              <w:pStyle w:val="TableParagraph"/>
              <w:spacing w:before="20"/>
              <w:ind w:right="274"/>
              <w:jc w:val="right"/>
              <w:rPr>
                <w:b/>
                <w:sz w:val="18"/>
              </w:rPr>
            </w:pPr>
            <w:r>
              <w:rPr>
                <w:b/>
                <w:w w:val="99"/>
                <w:sz w:val="18"/>
              </w:rPr>
              <w:t>-</w:t>
            </w:r>
          </w:p>
        </w:tc>
        <w:tc>
          <w:tcPr>
            <w:tcW w:w="1110" w:type="dxa"/>
          </w:tcPr>
          <w:p>
            <w:pPr>
              <w:pStyle w:val="TableParagraph"/>
              <w:spacing w:before="20"/>
              <w:ind w:left="466"/>
              <w:rPr>
                <w:sz w:val="18"/>
              </w:rPr>
            </w:pPr>
            <w:r>
              <w:rPr>
                <w:sz w:val="18"/>
              </w:rPr>
              <w:t>65,682</w:t>
            </w:r>
          </w:p>
        </w:tc>
      </w:tr>
      <w:tr>
        <w:trPr>
          <w:trHeight w:val="262" w:hRule="exact"/>
        </w:trPr>
        <w:tc>
          <w:tcPr>
            <w:tcW w:w="233" w:type="dxa"/>
          </w:tcPr>
          <w:p>
            <w:pPr/>
          </w:p>
        </w:tc>
        <w:tc>
          <w:tcPr>
            <w:tcW w:w="7022" w:type="dxa"/>
          </w:tcPr>
          <w:p>
            <w:pPr>
              <w:pStyle w:val="TableParagraph"/>
              <w:spacing w:before="18"/>
              <w:ind w:left="140"/>
              <w:rPr>
                <w:sz w:val="18"/>
              </w:rPr>
            </w:pPr>
            <w:r>
              <w:rPr>
                <w:sz w:val="18"/>
              </w:rPr>
              <w:t>less: Provision for impairment</w:t>
            </w:r>
          </w:p>
        </w:tc>
        <w:tc>
          <w:tcPr>
            <w:tcW w:w="1482" w:type="dxa"/>
            <w:tcBorders>
              <w:bottom w:val="single" w:sz="1" w:space="0" w:color="000000"/>
            </w:tcBorders>
          </w:tcPr>
          <w:p>
            <w:pPr>
              <w:pStyle w:val="TableParagraph"/>
              <w:spacing w:before="20"/>
              <w:ind w:right="212"/>
              <w:jc w:val="right"/>
              <w:rPr>
                <w:b/>
                <w:sz w:val="18"/>
              </w:rPr>
            </w:pPr>
            <w:r>
              <w:rPr>
                <w:b/>
                <w:w w:val="95"/>
                <w:sz w:val="18"/>
              </w:rPr>
              <w:t>(12,500)</w:t>
            </w:r>
          </w:p>
        </w:tc>
        <w:tc>
          <w:tcPr>
            <w:tcW w:w="1110" w:type="dxa"/>
            <w:tcBorders>
              <w:bottom w:val="single" w:sz="1" w:space="0" w:color="000000"/>
            </w:tcBorders>
          </w:tcPr>
          <w:p>
            <w:pPr>
              <w:pStyle w:val="TableParagraph"/>
              <w:spacing w:before="20"/>
              <w:ind w:left="507"/>
              <w:rPr>
                <w:sz w:val="18"/>
              </w:rPr>
            </w:pPr>
            <w:r>
              <w:rPr>
                <w:sz w:val="18"/>
              </w:rPr>
              <w:t>(5,874)</w:t>
            </w:r>
          </w:p>
        </w:tc>
      </w:tr>
      <w:tr>
        <w:trPr>
          <w:trHeight w:val="355" w:hRule="exact"/>
        </w:trPr>
        <w:tc>
          <w:tcPr>
            <w:tcW w:w="233" w:type="dxa"/>
          </w:tcPr>
          <w:p>
            <w:pPr/>
          </w:p>
        </w:tc>
        <w:tc>
          <w:tcPr>
            <w:tcW w:w="7022" w:type="dxa"/>
          </w:tcPr>
          <w:p>
            <w:pPr/>
          </w:p>
        </w:tc>
        <w:tc>
          <w:tcPr>
            <w:tcW w:w="1482" w:type="dxa"/>
            <w:tcBorders>
              <w:top w:val="single" w:sz="1" w:space="0" w:color="000000"/>
            </w:tcBorders>
          </w:tcPr>
          <w:p>
            <w:pPr>
              <w:pStyle w:val="TableParagraph"/>
              <w:spacing w:before="124"/>
              <w:ind w:right="273"/>
              <w:jc w:val="right"/>
              <w:rPr>
                <w:b/>
                <w:sz w:val="18"/>
              </w:rPr>
            </w:pPr>
            <w:bookmarkStart w:name="       " w:id="203"/>
            <w:bookmarkEnd w:id="203"/>
            <w:r>
              <w:rPr/>
            </w:r>
            <w:r>
              <w:rPr>
                <w:b/>
                <w:w w:val="95"/>
                <w:sz w:val="18"/>
              </w:rPr>
              <w:t>30,749</w:t>
            </w:r>
          </w:p>
        </w:tc>
        <w:tc>
          <w:tcPr>
            <w:tcW w:w="1110" w:type="dxa"/>
            <w:tcBorders>
              <w:top w:val="single" w:sz="1" w:space="0" w:color="000000"/>
            </w:tcBorders>
          </w:tcPr>
          <w:p>
            <w:pPr>
              <w:pStyle w:val="TableParagraph"/>
              <w:spacing w:before="124"/>
              <w:ind w:left="466"/>
              <w:rPr>
                <w:sz w:val="18"/>
              </w:rPr>
            </w:pPr>
            <w:r>
              <w:rPr>
                <w:sz w:val="18"/>
              </w:rPr>
              <w:t>82,915</w:t>
            </w:r>
          </w:p>
        </w:tc>
      </w:tr>
      <w:tr>
        <w:trPr>
          <w:trHeight w:val="250" w:hRule="exact"/>
        </w:trPr>
        <w:tc>
          <w:tcPr>
            <w:tcW w:w="233" w:type="dxa"/>
          </w:tcPr>
          <w:p>
            <w:pPr/>
          </w:p>
        </w:tc>
        <w:tc>
          <w:tcPr>
            <w:tcW w:w="7022" w:type="dxa"/>
          </w:tcPr>
          <w:p>
            <w:pPr>
              <w:pStyle w:val="TableParagraph"/>
              <w:spacing w:before="3"/>
              <w:ind w:left="140"/>
              <w:rPr>
                <w:sz w:val="18"/>
              </w:rPr>
            </w:pPr>
            <w:r>
              <w:rPr>
                <w:sz w:val="18"/>
              </w:rPr>
              <w:t>Loan to Parent Entity</w:t>
            </w:r>
          </w:p>
        </w:tc>
        <w:tc>
          <w:tcPr>
            <w:tcW w:w="1482" w:type="dxa"/>
          </w:tcPr>
          <w:p>
            <w:pPr>
              <w:pStyle w:val="TableParagraph"/>
              <w:spacing w:before="6"/>
              <w:ind w:right="273"/>
              <w:jc w:val="right"/>
              <w:rPr>
                <w:b/>
                <w:sz w:val="18"/>
              </w:rPr>
            </w:pPr>
            <w:r>
              <w:rPr>
                <w:b/>
                <w:w w:val="95"/>
                <w:sz w:val="18"/>
              </w:rPr>
              <w:t>2,199,145</w:t>
            </w:r>
          </w:p>
        </w:tc>
        <w:tc>
          <w:tcPr>
            <w:tcW w:w="1110" w:type="dxa"/>
          </w:tcPr>
          <w:p>
            <w:pPr>
              <w:pStyle w:val="TableParagraph"/>
              <w:spacing w:before="6"/>
              <w:ind w:left="214"/>
              <w:rPr>
                <w:sz w:val="18"/>
              </w:rPr>
            </w:pPr>
            <w:r>
              <w:rPr>
                <w:sz w:val="18"/>
              </w:rPr>
              <w:t>1,576,133</w:t>
            </w:r>
          </w:p>
        </w:tc>
      </w:tr>
      <w:tr>
        <w:trPr>
          <w:trHeight w:val="262" w:hRule="exact"/>
        </w:trPr>
        <w:tc>
          <w:tcPr>
            <w:tcW w:w="233" w:type="dxa"/>
          </w:tcPr>
          <w:p>
            <w:pPr/>
          </w:p>
        </w:tc>
        <w:tc>
          <w:tcPr>
            <w:tcW w:w="7022" w:type="dxa"/>
          </w:tcPr>
          <w:p>
            <w:pPr>
              <w:pStyle w:val="TableParagraph"/>
              <w:spacing w:before="18"/>
              <w:ind w:left="140"/>
              <w:rPr>
                <w:sz w:val="18"/>
              </w:rPr>
            </w:pPr>
            <w:r>
              <w:rPr>
                <w:sz w:val="18"/>
              </w:rPr>
              <w:t>GST receivable</w:t>
            </w:r>
          </w:p>
        </w:tc>
        <w:tc>
          <w:tcPr>
            <w:tcW w:w="1482" w:type="dxa"/>
            <w:tcBorders>
              <w:bottom w:val="single" w:sz="1" w:space="0" w:color="000000"/>
            </w:tcBorders>
          </w:tcPr>
          <w:p>
            <w:pPr>
              <w:pStyle w:val="TableParagraph"/>
              <w:spacing w:before="20"/>
              <w:ind w:right="274"/>
              <w:jc w:val="right"/>
              <w:rPr>
                <w:b/>
                <w:sz w:val="18"/>
              </w:rPr>
            </w:pPr>
            <w:r>
              <w:rPr>
                <w:b/>
                <w:w w:val="99"/>
                <w:sz w:val="18"/>
              </w:rPr>
              <w:t>-</w:t>
            </w:r>
          </w:p>
        </w:tc>
        <w:tc>
          <w:tcPr>
            <w:tcW w:w="1110" w:type="dxa"/>
            <w:tcBorders>
              <w:bottom w:val="single" w:sz="1" w:space="0" w:color="000000"/>
            </w:tcBorders>
          </w:tcPr>
          <w:p>
            <w:pPr>
              <w:pStyle w:val="TableParagraph"/>
              <w:spacing w:before="20"/>
              <w:ind w:left="466"/>
              <w:rPr>
                <w:sz w:val="18"/>
              </w:rPr>
            </w:pPr>
            <w:r>
              <w:rPr>
                <w:sz w:val="18"/>
              </w:rPr>
              <w:t>37,928</w:t>
            </w:r>
          </w:p>
        </w:tc>
      </w:tr>
      <w:tr>
        <w:trPr>
          <w:trHeight w:val="353" w:hRule="exact"/>
        </w:trPr>
        <w:tc>
          <w:tcPr>
            <w:tcW w:w="233" w:type="dxa"/>
          </w:tcPr>
          <w:p>
            <w:pPr/>
          </w:p>
        </w:tc>
        <w:tc>
          <w:tcPr>
            <w:tcW w:w="7022" w:type="dxa"/>
          </w:tcPr>
          <w:p>
            <w:pPr>
              <w:pStyle w:val="TableParagraph"/>
              <w:spacing w:before="125"/>
              <w:ind w:left="140"/>
              <w:rPr>
                <w:b/>
                <w:sz w:val="18"/>
              </w:rPr>
            </w:pPr>
            <w:r>
              <w:rPr>
                <w:b/>
                <w:sz w:val="18"/>
              </w:rPr>
              <w:t>Total trade and other receivables</w:t>
            </w:r>
          </w:p>
        </w:tc>
        <w:tc>
          <w:tcPr>
            <w:tcW w:w="1482" w:type="dxa"/>
            <w:tcBorders>
              <w:top w:val="single" w:sz="1" w:space="0" w:color="000000"/>
              <w:bottom w:val="single" w:sz="1" w:space="0" w:color="000000"/>
            </w:tcBorders>
          </w:tcPr>
          <w:p>
            <w:pPr>
              <w:pStyle w:val="TableParagraph"/>
              <w:spacing w:before="124"/>
              <w:ind w:right="273"/>
              <w:jc w:val="right"/>
              <w:rPr>
                <w:b/>
                <w:sz w:val="18"/>
              </w:rPr>
            </w:pPr>
            <w:r>
              <w:rPr>
                <w:b/>
                <w:w w:val="95"/>
                <w:sz w:val="18"/>
              </w:rPr>
              <w:t>2,229,894</w:t>
            </w:r>
          </w:p>
        </w:tc>
        <w:tc>
          <w:tcPr>
            <w:tcW w:w="1110" w:type="dxa"/>
            <w:tcBorders>
              <w:top w:val="single" w:sz="1" w:space="0" w:color="000000"/>
              <w:bottom w:val="single" w:sz="1" w:space="0" w:color="000000"/>
            </w:tcBorders>
          </w:tcPr>
          <w:p>
            <w:pPr>
              <w:pStyle w:val="TableParagraph"/>
              <w:spacing w:before="124"/>
              <w:ind w:left="214"/>
              <w:rPr>
                <w:sz w:val="18"/>
              </w:rPr>
            </w:pPr>
            <w:r>
              <w:rPr>
                <w:sz w:val="18"/>
              </w:rPr>
              <w:t>1,696,976</w:t>
            </w:r>
          </w:p>
        </w:tc>
      </w:tr>
    </w:tbl>
    <w:p>
      <w:pPr>
        <w:pStyle w:val="BodyText"/>
        <w:rPr>
          <w:rFonts w:ascii="Times New Roman"/>
          <w:sz w:val="20"/>
        </w:rPr>
      </w:pPr>
    </w:p>
    <w:p>
      <w:pPr>
        <w:pStyle w:val="BodyText"/>
        <w:rPr>
          <w:rFonts w:ascii="Times New Roman"/>
          <w:sz w:val="20"/>
        </w:rPr>
      </w:pPr>
    </w:p>
    <w:p>
      <w:pPr>
        <w:pStyle w:val="BodyText"/>
        <w:spacing w:before="9"/>
        <w:rPr>
          <w:rFonts w:ascii="Times New Roman"/>
          <w:sz w:val="12"/>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61"/>
        <w:gridCol w:w="1474"/>
        <w:gridCol w:w="1118"/>
      </w:tblGrid>
      <w:tr>
        <w:trPr>
          <w:trHeight w:val="658" w:hRule="exact"/>
        </w:trPr>
        <w:tc>
          <w:tcPr>
            <w:tcW w:w="6961" w:type="dxa"/>
          </w:tcPr>
          <w:p>
            <w:pPr>
              <w:pStyle w:val="TableParagraph"/>
              <w:spacing w:before="77"/>
              <w:ind w:left="35"/>
              <w:rPr>
                <w:sz w:val="18"/>
              </w:rPr>
            </w:pPr>
            <w:r>
              <w:rPr>
                <w:sz w:val="18"/>
              </w:rPr>
              <w:t>(a) Trade and other receivables</w:t>
            </w:r>
          </w:p>
          <w:p>
            <w:pPr>
              <w:pStyle w:val="TableParagraph"/>
              <w:spacing w:before="141"/>
              <w:ind w:left="35"/>
              <w:rPr>
                <w:sz w:val="18"/>
              </w:rPr>
            </w:pPr>
            <w:r>
              <w:rPr>
                <w:sz w:val="18"/>
              </w:rPr>
              <w:t>The ageing of total current receivables (excluding GST receivable) is as follows:</w:t>
            </w:r>
          </w:p>
        </w:tc>
        <w:tc>
          <w:tcPr>
            <w:tcW w:w="2592" w:type="dxa"/>
            <w:gridSpan w:val="2"/>
          </w:tcPr>
          <w:p>
            <w:pPr/>
          </w:p>
        </w:tc>
      </w:tr>
      <w:tr>
        <w:trPr>
          <w:trHeight w:val="257" w:hRule="exact"/>
        </w:trPr>
        <w:tc>
          <w:tcPr>
            <w:tcW w:w="6961" w:type="dxa"/>
          </w:tcPr>
          <w:p>
            <w:pPr/>
          </w:p>
        </w:tc>
        <w:tc>
          <w:tcPr>
            <w:tcW w:w="1474" w:type="dxa"/>
          </w:tcPr>
          <w:p>
            <w:pPr>
              <w:pStyle w:val="TableParagraph"/>
              <w:spacing w:before="7"/>
              <w:ind w:left="443"/>
              <w:rPr>
                <w:b/>
                <w:sz w:val="18"/>
              </w:rPr>
            </w:pPr>
            <w:r>
              <w:rPr>
                <w:b/>
                <w:sz w:val="18"/>
              </w:rPr>
              <w:t>2017</w:t>
            </w:r>
          </w:p>
        </w:tc>
        <w:tc>
          <w:tcPr>
            <w:tcW w:w="1118" w:type="dxa"/>
          </w:tcPr>
          <w:p>
            <w:pPr>
              <w:pStyle w:val="TableParagraph"/>
              <w:spacing w:before="7"/>
              <w:ind w:left="266"/>
              <w:rPr>
                <w:b/>
                <w:sz w:val="18"/>
              </w:rPr>
            </w:pPr>
            <w:r>
              <w:rPr>
                <w:b/>
                <w:sz w:val="18"/>
              </w:rPr>
              <w:t>2016</w:t>
            </w:r>
          </w:p>
        </w:tc>
      </w:tr>
      <w:tr>
        <w:trPr>
          <w:trHeight w:val="271" w:hRule="exact"/>
        </w:trPr>
        <w:tc>
          <w:tcPr>
            <w:tcW w:w="6961" w:type="dxa"/>
          </w:tcPr>
          <w:p>
            <w:pPr/>
          </w:p>
        </w:tc>
        <w:tc>
          <w:tcPr>
            <w:tcW w:w="1474" w:type="dxa"/>
          </w:tcPr>
          <w:p>
            <w:pPr>
              <w:pStyle w:val="TableParagraph"/>
              <w:spacing w:before="24"/>
              <w:ind w:right="181"/>
              <w:jc w:val="center"/>
              <w:rPr>
                <w:b/>
                <w:sz w:val="18"/>
              </w:rPr>
            </w:pPr>
            <w:r>
              <w:rPr>
                <w:b/>
                <w:w w:val="99"/>
                <w:sz w:val="18"/>
              </w:rPr>
              <w:t>$</w:t>
            </w:r>
          </w:p>
        </w:tc>
        <w:tc>
          <w:tcPr>
            <w:tcW w:w="1118" w:type="dxa"/>
          </w:tcPr>
          <w:p>
            <w:pPr>
              <w:pStyle w:val="TableParagraph"/>
              <w:spacing w:before="24"/>
              <w:ind w:right="181"/>
              <w:jc w:val="center"/>
              <w:rPr>
                <w:b/>
                <w:sz w:val="18"/>
              </w:rPr>
            </w:pPr>
            <w:r>
              <w:rPr>
                <w:b/>
                <w:w w:val="99"/>
                <w:sz w:val="18"/>
              </w:rPr>
              <w:t>$</w:t>
            </w:r>
          </w:p>
        </w:tc>
      </w:tr>
      <w:tr>
        <w:trPr>
          <w:trHeight w:val="268" w:hRule="exact"/>
        </w:trPr>
        <w:tc>
          <w:tcPr>
            <w:tcW w:w="6961" w:type="dxa"/>
          </w:tcPr>
          <w:p>
            <w:pPr>
              <w:pStyle w:val="TableParagraph"/>
              <w:spacing w:before="24"/>
              <w:ind w:left="35"/>
              <w:rPr>
                <w:sz w:val="18"/>
              </w:rPr>
            </w:pPr>
            <w:r>
              <w:rPr>
                <w:sz w:val="18"/>
              </w:rPr>
              <w:t>Up to 3 months</w:t>
            </w:r>
          </w:p>
        </w:tc>
        <w:tc>
          <w:tcPr>
            <w:tcW w:w="1474" w:type="dxa"/>
          </w:tcPr>
          <w:p>
            <w:pPr>
              <w:pStyle w:val="TableParagraph"/>
              <w:spacing w:before="21"/>
              <w:ind w:right="264"/>
              <w:jc w:val="right"/>
              <w:rPr>
                <w:b/>
                <w:sz w:val="18"/>
              </w:rPr>
            </w:pPr>
            <w:r>
              <w:rPr>
                <w:b/>
                <w:w w:val="95"/>
                <w:sz w:val="18"/>
              </w:rPr>
              <w:t>43,249</w:t>
            </w:r>
          </w:p>
        </w:tc>
        <w:tc>
          <w:tcPr>
            <w:tcW w:w="1118" w:type="dxa"/>
          </w:tcPr>
          <w:p>
            <w:pPr>
              <w:pStyle w:val="TableParagraph"/>
              <w:spacing w:before="21"/>
              <w:ind w:right="87"/>
              <w:jc w:val="right"/>
              <w:rPr>
                <w:sz w:val="18"/>
              </w:rPr>
            </w:pPr>
            <w:r>
              <w:rPr>
                <w:w w:val="95"/>
                <w:sz w:val="18"/>
              </w:rPr>
              <w:t>86,512</w:t>
            </w:r>
          </w:p>
        </w:tc>
      </w:tr>
      <w:tr>
        <w:trPr>
          <w:trHeight w:val="264" w:hRule="exact"/>
        </w:trPr>
        <w:tc>
          <w:tcPr>
            <w:tcW w:w="6961" w:type="dxa"/>
          </w:tcPr>
          <w:p>
            <w:pPr>
              <w:pStyle w:val="TableParagraph"/>
              <w:spacing w:before="20"/>
              <w:ind w:left="35"/>
              <w:rPr>
                <w:sz w:val="18"/>
              </w:rPr>
            </w:pPr>
            <w:r>
              <w:rPr>
                <w:sz w:val="18"/>
              </w:rPr>
              <w:t>3 to 6 months</w:t>
            </w:r>
          </w:p>
        </w:tc>
        <w:tc>
          <w:tcPr>
            <w:tcW w:w="1474" w:type="dxa"/>
          </w:tcPr>
          <w:p>
            <w:pPr>
              <w:pStyle w:val="TableParagraph"/>
              <w:spacing w:before="18"/>
              <w:ind w:right="264"/>
              <w:jc w:val="right"/>
              <w:rPr>
                <w:b/>
                <w:sz w:val="18"/>
              </w:rPr>
            </w:pPr>
            <w:r>
              <w:rPr>
                <w:b/>
                <w:w w:val="99"/>
                <w:sz w:val="18"/>
              </w:rPr>
              <w:t>-</w:t>
            </w:r>
          </w:p>
        </w:tc>
        <w:tc>
          <w:tcPr>
            <w:tcW w:w="1118" w:type="dxa"/>
          </w:tcPr>
          <w:p>
            <w:pPr>
              <w:pStyle w:val="TableParagraph"/>
              <w:spacing w:before="18"/>
              <w:ind w:right="87"/>
              <w:jc w:val="right"/>
              <w:rPr>
                <w:sz w:val="18"/>
              </w:rPr>
            </w:pPr>
            <w:r>
              <w:rPr>
                <w:w w:val="95"/>
                <w:sz w:val="18"/>
              </w:rPr>
              <w:t>1,931</w:t>
            </w:r>
          </w:p>
        </w:tc>
      </w:tr>
      <w:tr>
        <w:trPr>
          <w:trHeight w:val="260" w:hRule="exact"/>
        </w:trPr>
        <w:tc>
          <w:tcPr>
            <w:tcW w:w="6961" w:type="dxa"/>
          </w:tcPr>
          <w:p>
            <w:pPr>
              <w:pStyle w:val="TableParagraph"/>
              <w:spacing w:before="20"/>
              <w:ind w:left="35"/>
              <w:rPr>
                <w:sz w:val="18"/>
              </w:rPr>
            </w:pPr>
            <w:r>
              <w:rPr>
                <w:sz w:val="18"/>
              </w:rPr>
              <w:t>Over 6 months</w:t>
            </w:r>
          </w:p>
        </w:tc>
        <w:tc>
          <w:tcPr>
            <w:tcW w:w="1474" w:type="dxa"/>
            <w:tcBorders>
              <w:bottom w:val="single" w:sz="1" w:space="0" w:color="000000"/>
            </w:tcBorders>
          </w:tcPr>
          <w:p>
            <w:pPr>
              <w:pStyle w:val="TableParagraph"/>
              <w:spacing w:before="18"/>
              <w:ind w:right="264"/>
              <w:jc w:val="right"/>
              <w:rPr>
                <w:b/>
                <w:sz w:val="18"/>
              </w:rPr>
            </w:pPr>
            <w:r>
              <w:rPr>
                <w:b/>
                <w:w w:val="99"/>
                <w:sz w:val="18"/>
              </w:rPr>
              <w:t>-</w:t>
            </w:r>
          </w:p>
        </w:tc>
        <w:tc>
          <w:tcPr>
            <w:tcW w:w="1118" w:type="dxa"/>
            <w:tcBorders>
              <w:bottom w:val="single" w:sz="1" w:space="0" w:color="000000"/>
            </w:tcBorders>
          </w:tcPr>
          <w:p>
            <w:pPr>
              <w:pStyle w:val="TableParagraph"/>
              <w:spacing w:before="18"/>
              <w:ind w:right="86"/>
              <w:jc w:val="right"/>
              <w:rPr>
                <w:sz w:val="18"/>
              </w:rPr>
            </w:pPr>
            <w:r>
              <w:rPr>
                <w:w w:val="95"/>
                <w:sz w:val="18"/>
              </w:rPr>
              <w:t>346</w:t>
            </w:r>
          </w:p>
        </w:tc>
      </w:tr>
      <w:tr>
        <w:trPr>
          <w:trHeight w:val="353" w:hRule="exact"/>
        </w:trPr>
        <w:tc>
          <w:tcPr>
            <w:tcW w:w="6961" w:type="dxa"/>
          </w:tcPr>
          <w:p>
            <w:pPr/>
          </w:p>
        </w:tc>
        <w:tc>
          <w:tcPr>
            <w:tcW w:w="1474" w:type="dxa"/>
            <w:tcBorders>
              <w:top w:val="single" w:sz="1" w:space="0" w:color="000000"/>
              <w:bottom w:val="single" w:sz="1" w:space="0" w:color="000000"/>
            </w:tcBorders>
          </w:tcPr>
          <w:p>
            <w:pPr>
              <w:pStyle w:val="TableParagraph"/>
              <w:spacing w:before="124"/>
              <w:ind w:right="264"/>
              <w:jc w:val="right"/>
              <w:rPr>
                <w:b/>
                <w:sz w:val="18"/>
              </w:rPr>
            </w:pPr>
            <w:r>
              <w:rPr>
                <w:b/>
                <w:w w:val="95"/>
                <w:sz w:val="18"/>
              </w:rPr>
              <w:t>43,249</w:t>
            </w:r>
          </w:p>
        </w:tc>
        <w:tc>
          <w:tcPr>
            <w:tcW w:w="1118" w:type="dxa"/>
            <w:tcBorders>
              <w:top w:val="single" w:sz="1" w:space="0" w:color="000000"/>
              <w:bottom w:val="single" w:sz="1" w:space="0" w:color="000000"/>
            </w:tcBorders>
          </w:tcPr>
          <w:p>
            <w:pPr>
              <w:pStyle w:val="TableParagraph"/>
              <w:spacing w:before="124"/>
              <w:ind w:right="87"/>
              <w:jc w:val="right"/>
              <w:rPr>
                <w:sz w:val="18"/>
              </w:rPr>
            </w:pPr>
            <w:r>
              <w:rPr>
                <w:w w:val="95"/>
                <w:sz w:val="18"/>
              </w:rPr>
              <w:t>88,789</w:t>
            </w:r>
          </w:p>
        </w:tc>
      </w:tr>
    </w:tbl>
    <w:p>
      <w:pPr>
        <w:pStyle w:val="BodyText"/>
        <w:spacing w:before="8"/>
        <w:rPr>
          <w:rFonts w:ascii="Times New Roman"/>
          <w:sz w:val="7"/>
        </w:rPr>
      </w:pPr>
    </w:p>
    <w:p>
      <w:pPr>
        <w:pStyle w:val="BodyText"/>
        <w:spacing w:before="77"/>
        <w:ind w:left="504" w:right="220"/>
      </w:pPr>
      <w:r>
        <w:rPr/>
        <w:t>(b) Credit risk</w:t>
      </w:r>
    </w:p>
    <w:p>
      <w:pPr>
        <w:pStyle w:val="BodyText"/>
        <w:spacing w:before="141"/>
        <w:ind w:left="504" w:right="220"/>
      </w:pPr>
      <w:r>
        <w:rPr/>
        <w:t>The Company has no significant concentration of credit risk with respect to any single counter party or group or counterparties. The class of assets described as "trade and other receivables" is considered to be the main source of credit risk related to the Company.</w:t>
      </w:r>
    </w:p>
    <w:p>
      <w:pPr>
        <w:pStyle w:val="BodyText"/>
        <w:spacing w:before="141"/>
        <w:ind w:left="504" w:right="220"/>
      </w:pPr>
      <w:r>
        <w:rPr/>
        <w:t>The amounts within receivables do not contain impaired assets and are not significantly overdue. Based on credit history, it is expected that these amounts will be received in a timely manner and do not represent any material risk.</w:t>
      </w:r>
    </w:p>
    <w:p>
      <w:pPr>
        <w:spacing w:after="0"/>
        <w:sectPr>
          <w:pgSz w:w="11910" w:h="16840"/>
          <w:pgMar w:header="1037" w:footer="512" w:top="2380" w:bottom="700" w:left="900" w:right="880"/>
        </w:sectPr>
      </w:pPr>
    </w:p>
    <w:p>
      <w:pPr>
        <w:pStyle w:val="BodyText"/>
        <w:spacing w:before="9"/>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7070"/>
        <w:gridCol w:w="1480"/>
        <w:gridCol w:w="1112"/>
      </w:tblGrid>
      <w:tr>
        <w:trPr>
          <w:trHeight w:val="567" w:hRule="exact"/>
        </w:trPr>
        <w:tc>
          <w:tcPr>
            <w:tcW w:w="283" w:type="dxa"/>
          </w:tcPr>
          <w:p>
            <w:pPr>
              <w:pStyle w:val="TableParagraph"/>
              <w:spacing w:before="77"/>
              <w:ind w:left="35"/>
              <w:rPr>
                <w:b/>
                <w:sz w:val="18"/>
              </w:rPr>
            </w:pPr>
            <w:bookmarkStart w:name="6 Trade and other payables " w:id="204"/>
            <w:bookmarkEnd w:id="204"/>
            <w:r>
              <w:rPr/>
            </w:r>
            <w:r>
              <w:rPr>
                <w:b/>
                <w:w w:val="99"/>
                <w:sz w:val="18"/>
              </w:rPr>
              <w:t>6</w:t>
            </w:r>
          </w:p>
        </w:tc>
        <w:tc>
          <w:tcPr>
            <w:tcW w:w="7070" w:type="dxa"/>
          </w:tcPr>
          <w:p>
            <w:pPr>
              <w:pStyle w:val="TableParagraph"/>
              <w:spacing w:before="77"/>
              <w:ind w:left="147"/>
              <w:rPr>
                <w:b/>
                <w:sz w:val="18"/>
              </w:rPr>
            </w:pPr>
            <w:r>
              <w:rPr>
                <w:b/>
                <w:sz w:val="18"/>
              </w:rPr>
              <w:t>Trade and other payables</w:t>
            </w:r>
          </w:p>
        </w:tc>
        <w:tc>
          <w:tcPr>
            <w:tcW w:w="1480" w:type="dxa"/>
          </w:tcPr>
          <w:p>
            <w:pPr>
              <w:pStyle w:val="TableParagraph"/>
              <w:rPr>
                <w:sz w:val="18"/>
              </w:rPr>
            </w:pPr>
          </w:p>
          <w:p>
            <w:pPr>
              <w:pStyle w:val="TableParagraph"/>
              <w:spacing w:before="110"/>
              <w:ind w:left="468"/>
              <w:rPr>
                <w:b/>
                <w:sz w:val="18"/>
              </w:rPr>
            </w:pPr>
            <w:r>
              <w:rPr>
                <w:b/>
                <w:sz w:val="18"/>
              </w:rPr>
              <w:t>2017</w:t>
            </w:r>
          </w:p>
        </w:tc>
        <w:tc>
          <w:tcPr>
            <w:tcW w:w="1112" w:type="dxa"/>
          </w:tcPr>
          <w:p>
            <w:pPr>
              <w:pStyle w:val="TableParagraph"/>
              <w:rPr>
                <w:sz w:val="18"/>
              </w:rPr>
            </w:pPr>
          </w:p>
          <w:p>
            <w:pPr>
              <w:pStyle w:val="TableParagraph"/>
              <w:spacing w:before="110"/>
              <w:ind w:left="270"/>
              <w:rPr>
                <w:b/>
                <w:sz w:val="18"/>
              </w:rPr>
            </w:pPr>
            <w:r>
              <w:rPr>
                <w:b/>
                <w:sz w:val="18"/>
              </w:rPr>
              <w:t>2016</w:t>
            </w:r>
          </w:p>
        </w:tc>
      </w:tr>
      <w:tr>
        <w:trPr>
          <w:trHeight w:val="313" w:hRule="exact"/>
        </w:trPr>
        <w:tc>
          <w:tcPr>
            <w:tcW w:w="283" w:type="dxa"/>
          </w:tcPr>
          <w:p>
            <w:pPr/>
          </w:p>
        </w:tc>
        <w:tc>
          <w:tcPr>
            <w:tcW w:w="7070" w:type="dxa"/>
          </w:tcPr>
          <w:p>
            <w:pPr/>
          </w:p>
        </w:tc>
        <w:tc>
          <w:tcPr>
            <w:tcW w:w="1480" w:type="dxa"/>
          </w:tcPr>
          <w:p>
            <w:pPr>
              <w:pStyle w:val="TableParagraph"/>
              <w:spacing w:before="24"/>
              <w:ind w:right="139"/>
              <w:jc w:val="center"/>
              <w:rPr>
                <w:b/>
                <w:sz w:val="18"/>
              </w:rPr>
            </w:pPr>
            <w:r>
              <w:rPr>
                <w:b/>
                <w:w w:val="99"/>
                <w:sz w:val="18"/>
              </w:rPr>
              <w:t>$</w:t>
            </w:r>
          </w:p>
        </w:tc>
        <w:tc>
          <w:tcPr>
            <w:tcW w:w="1112" w:type="dxa"/>
          </w:tcPr>
          <w:p>
            <w:pPr>
              <w:pStyle w:val="TableParagraph"/>
              <w:spacing w:before="24"/>
              <w:ind w:right="167"/>
              <w:jc w:val="center"/>
              <w:rPr>
                <w:b/>
                <w:sz w:val="18"/>
              </w:rPr>
            </w:pPr>
            <w:r>
              <w:rPr>
                <w:b/>
                <w:w w:val="99"/>
                <w:sz w:val="18"/>
              </w:rPr>
              <w:t>$</w:t>
            </w:r>
          </w:p>
        </w:tc>
      </w:tr>
      <w:tr>
        <w:trPr>
          <w:trHeight w:val="542" w:hRule="exact"/>
        </w:trPr>
        <w:tc>
          <w:tcPr>
            <w:tcW w:w="283" w:type="dxa"/>
          </w:tcPr>
          <w:p>
            <w:pPr/>
          </w:p>
        </w:tc>
        <w:tc>
          <w:tcPr>
            <w:tcW w:w="7070" w:type="dxa"/>
          </w:tcPr>
          <w:p>
            <w:pPr>
              <w:pStyle w:val="TableParagraph"/>
              <w:spacing w:before="63"/>
              <w:ind w:left="191"/>
              <w:rPr>
                <w:b/>
                <w:sz w:val="18"/>
              </w:rPr>
            </w:pPr>
            <w:r>
              <w:rPr>
                <w:b/>
                <w:sz w:val="18"/>
              </w:rPr>
              <w:t>CURRENT</w:t>
            </w:r>
          </w:p>
          <w:p>
            <w:pPr>
              <w:pStyle w:val="TableParagraph"/>
              <w:spacing w:before="26"/>
              <w:ind w:left="546"/>
              <w:rPr>
                <w:sz w:val="18"/>
              </w:rPr>
            </w:pPr>
            <w:r>
              <w:rPr>
                <w:sz w:val="18"/>
              </w:rPr>
              <w:t>Trade payables</w:t>
            </w:r>
          </w:p>
        </w:tc>
        <w:tc>
          <w:tcPr>
            <w:tcW w:w="1480" w:type="dxa"/>
          </w:tcPr>
          <w:p>
            <w:pPr>
              <w:pStyle w:val="TableParagraph"/>
              <w:spacing w:before="11"/>
              <w:rPr>
                <w:sz w:val="25"/>
              </w:rPr>
            </w:pPr>
          </w:p>
          <w:p>
            <w:pPr>
              <w:pStyle w:val="TableParagraph"/>
              <w:ind w:right="268"/>
              <w:jc w:val="right"/>
              <w:rPr>
                <w:b/>
                <w:sz w:val="18"/>
              </w:rPr>
            </w:pPr>
            <w:r>
              <w:rPr>
                <w:b/>
                <w:w w:val="95"/>
                <w:sz w:val="18"/>
              </w:rPr>
              <w:t>73,802</w:t>
            </w:r>
          </w:p>
        </w:tc>
        <w:tc>
          <w:tcPr>
            <w:tcW w:w="1112" w:type="dxa"/>
          </w:tcPr>
          <w:p>
            <w:pPr>
              <w:pStyle w:val="TableParagraph"/>
              <w:spacing w:before="11"/>
              <w:rPr>
                <w:sz w:val="25"/>
              </w:rPr>
            </w:pPr>
          </w:p>
          <w:p>
            <w:pPr>
              <w:pStyle w:val="TableParagraph"/>
              <w:ind w:right="84"/>
              <w:jc w:val="right"/>
              <w:rPr>
                <w:sz w:val="18"/>
              </w:rPr>
            </w:pPr>
            <w:r>
              <w:rPr>
                <w:w w:val="95"/>
                <w:sz w:val="18"/>
              </w:rPr>
              <w:t>120,796</w:t>
            </w:r>
          </w:p>
        </w:tc>
      </w:tr>
      <w:tr>
        <w:trPr>
          <w:trHeight w:val="264" w:hRule="exact"/>
        </w:trPr>
        <w:tc>
          <w:tcPr>
            <w:tcW w:w="283" w:type="dxa"/>
          </w:tcPr>
          <w:p>
            <w:pPr/>
          </w:p>
        </w:tc>
        <w:tc>
          <w:tcPr>
            <w:tcW w:w="7070" w:type="dxa"/>
          </w:tcPr>
          <w:p>
            <w:pPr>
              <w:pStyle w:val="TableParagraph"/>
              <w:spacing w:before="18"/>
              <w:ind w:left="546"/>
              <w:rPr>
                <w:sz w:val="18"/>
              </w:rPr>
            </w:pPr>
            <w:bookmarkStart w:name="Provisions" w:id="205"/>
            <w:bookmarkEnd w:id="205"/>
            <w:r>
              <w:rPr/>
            </w:r>
            <w:bookmarkStart w:name="7 Provisions " w:id="206"/>
            <w:bookmarkEnd w:id="206"/>
            <w:r>
              <w:rPr/>
            </w:r>
            <w:r>
              <w:rPr>
                <w:sz w:val="18"/>
              </w:rPr>
              <w:t>Enrolment deposits</w:t>
            </w:r>
          </w:p>
        </w:tc>
        <w:tc>
          <w:tcPr>
            <w:tcW w:w="1480" w:type="dxa"/>
          </w:tcPr>
          <w:p>
            <w:pPr>
              <w:pStyle w:val="TableParagraph"/>
              <w:spacing w:before="20"/>
              <w:ind w:right="268"/>
              <w:jc w:val="right"/>
              <w:rPr>
                <w:b/>
                <w:sz w:val="18"/>
              </w:rPr>
            </w:pPr>
            <w:r>
              <w:rPr>
                <w:b/>
                <w:w w:val="95"/>
                <w:sz w:val="18"/>
              </w:rPr>
              <w:t>250,935</w:t>
            </w:r>
          </w:p>
        </w:tc>
        <w:tc>
          <w:tcPr>
            <w:tcW w:w="1112" w:type="dxa"/>
          </w:tcPr>
          <w:p>
            <w:pPr>
              <w:pStyle w:val="TableParagraph"/>
              <w:spacing w:before="20"/>
              <w:ind w:right="84"/>
              <w:jc w:val="right"/>
              <w:rPr>
                <w:sz w:val="18"/>
              </w:rPr>
            </w:pPr>
            <w:r>
              <w:rPr>
                <w:w w:val="95"/>
                <w:sz w:val="18"/>
              </w:rPr>
              <w:t>233,877</w:t>
            </w:r>
          </w:p>
        </w:tc>
      </w:tr>
      <w:tr>
        <w:trPr>
          <w:trHeight w:val="264" w:hRule="exact"/>
        </w:trPr>
        <w:tc>
          <w:tcPr>
            <w:tcW w:w="283" w:type="dxa"/>
          </w:tcPr>
          <w:p>
            <w:pPr/>
          </w:p>
        </w:tc>
        <w:tc>
          <w:tcPr>
            <w:tcW w:w="7070" w:type="dxa"/>
          </w:tcPr>
          <w:p>
            <w:pPr>
              <w:pStyle w:val="TableParagraph"/>
              <w:spacing w:before="18"/>
              <w:ind w:left="546"/>
              <w:rPr>
                <w:sz w:val="18"/>
              </w:rPr>
            </w:pPr>
            <w:r>
              <w:rPr>
                <w:sz w:val="18"/>
              </w:rPr>
              <w:t>Accrued expenses</w:t>
            </w:r>
          </w:p>
        </w:tc>
        <w:tc>
          <w:tcPr>
            <w:tcW w:w="1480" w:type="dxa"/>
          </w:tcPr>
          <w:p>
            <w:pPr>
              <w:pStyle w:val="TableParagraph"/>
              <w:spacing w:before="20"/>
              <w:ind w:right="268"/>
              <w:jc w:val="right"/>
              <w:rPr>
                <w:b/>
                <w:sz w:val="18"/>
              </w:rPr>
            </w:pPr>
            <w:r>
              <w:rPr>
                <w:b/>
                <w:w w:val="95"/>
                <w:sz w:val="18"/>
              </w:rPr>
              <w:t>149,033</w:t>
            </w:r>
          </w:p>
        </w:tc>
        <w:tc>
          <w:tcPr>
            <w:tcW w:w="1112" w:type="dxa"/>
          </w:tcPr>
          <w:p>
            <w:pPr>
              <w:pStyle w:val="TableParagraph"/>
              <w:spacing w:before="20"/>
              <w:ind w:right="84"/>
              <w:jc w:val="right"/>
              <w:rPr>
                <w:sz w:val="18"/>
              </w:rPr>
            </w:pPr>
            <w:r>
              <w:rPr>
                <w:w w:val="95"/>
                <w:sz w:val="18"/>
              </w:rPr>
              <w:t>35,226</w:t>
            </w:r>
          </w:p>
        </w:tc>
      </w:tr>
      <w:tr>
        <w:trPr>
          <w:trHeight w:val="262" w:hRule="exact"/>
        </w:trPr>
        <w:tc>
          <w:tcPr>
            <w:tcW w:w="283" w:type="dxa"/>
          </w:tcPr>
          <w:p>
            <w:pPr/>
          </w:p>
        </w:tc>
        <w:tc>
          <w:tcPr>
            <w:tcW w:w="7070" w:type="dxa"/>
          </w:tcPr>
          <w:p>
            <w:pPr>
              <w:pStyle w:val="TableParagraph"/>
              <w:spacing w:before="18"/>
              <w:ind w:left="546"/>
              <w:rPr>
                <w:sz w:val="18"/>
              </w:rPr>
            </w:pPr>
            <w:r>
              <w:rPr>
                <w:sz w:val="18"/>
              </w:rPr>
              <w:t>Other payables</w:t>
            </w:r>
          </w:p>
        </w:tc>
        <w:tc>
          <w:tcPr>
            <w:tcW w:w="1480" w:type="dxa"/>
            <w:tcBorders>
              <w:bottom w:val="single" w:sz="1" w:space="0" w:color="000000"/>
            </w:tcBorders>
          </w:tcPr>
          <w:p>
            <w:pPr>
              <w:pStyle w:val="TableParagraph"/>
              <w:spacing w:before="20"/>
              <w:ind w:right="268"/>
              <w:jc w:val="right"/>
              <w:rPr>
                <w:b/>
                <w:sz w:val="18"/>
              </w:rPr>
            </w:pPr>
            <w:r>
              <w:rPr>
                <w:b/>
                <w:w w:val="95"/>
                <w:sz w:val="18"/>
              </w:rPr>
              <w:t>126,387</w:t>
            </w:r>
          </w:p>
        </w:tc>
        <w:tc>
          <w:tcPr>
            <w:tcW w:w="1112" w:type="dxa"/>
            <w:tcBorders>
              <w:bottom w:val="single" w:sz="1" w:space="0" w:color="000000"/>
            </w:tcBorders>
          </w:tcPr>
          <w:p>
            <w:pPr>
              <w:pStyle w:val="TableParagraph"/>
              <w:spacing w:before="20"/>
              <w:ind w:right="84"/>
              <w:jc w:val="right"/>
              <w:rPr>
                <w:sz w:val="18"/>
              </w:rPr>
            </w:pPr>
            <w:r>
              <w:rPr>
                <w:w w:val="95"/>
                <w:sz w:val="18"/>
              </w:rPr>
              <w:t>185,095</w:t>
            </w:r>
          </w:p>
        </w:tc>
      </w:tr>
      <w:tr>
        <w:trPr>
          <w:trHeight w:val="353" w:hRule="exact"/>
        </w:trPr>
        <w:tc>
          <w:tcPr>
            <w:tcW w:w="283" w:type="dxa"/>
          </w:tcPr>
          <w:p>
            <w:pPr/>
          </w:p>
        </w:tc>
        <w:tc>
          <w:tcPr>
            <w:tcW w:w="7070" w:type="dxa"/>
          </w:tcPr>
          <w:p>
            <w:pPr>
              <w:pStyle w:val="TableParagraph"/>
              <w:spacing w:before="125"/>
              <w:ind w:left="191"/>
              <w:rPr>
                <w:b/>
                <w:sz w:val="18"/>
              </w:rPr>
            </w:pPr>
            <w:r>
              <w:rPr>
                <w:b/>
                <w:sz w:val="18"/>
              </w:rPr>
              <w:t>Total trade and other payables</w:t>
            </w:r>
          </w:p>
        </w:tc>
        <w:tc>
          <w:tcPr>
            <w:tcW w:w="1480" w:type="dxa"/>
            <w:tcBorders>
              <w:top w:val="single" w:sz="1" w:space="0" w:color="000000"/>
              <w:bottom w:val="single" w:sz="1" w:space="0" w:color="000000"/>
            </w:tcBorders>
          </w:tcPr>
          <w:p>
            <w:pPr>
              <w:pStyle w:val="TableParagraph"/>
              <w:spacing w:before="124"/>
              <w:ind w:right="268"/>
              <w:jc w:val="right"/>
              <w:rPr>
                <w:b/>
                <w:sz w:val="18"/>
              </w:rPr>
            </w:pPr>
            <w:r>
              <w:rPr>
                <w:b/>
                <w:w w:val="95"/>
                <w:sz w:val="18"/>
              </w:rPr>
              <w:t>600,157</w:t>
            </w:r>
          </w:p>
        </w:tc>
        <w:tc>
          <w:tcPr>
            <w:tcW w:w="1112" w:type="dxa"/>
            <w:tcBorders>
              <w:top w:val="single" w:sz="1" w:space="0" w:color="000000"/>
              <w:bottom w:val="single" w:sz="1" w:space="0" w:color="000000"/>
            </w:tcBorders>
          </w:tcPr>
          <w:p>
            <w:pPr>
              <w:pStyle w:val="TableParagraph"/>
              <w:spacing w:before="124"/>
              <w:ind w:right="84"/>
              <w:jc w:val="right"/>
              <w:rPr>
                <w:sz w:val="18"/>
              </w:rPr>
            </w:pPr>
            <w:r>
              <w:rPr>
                <w:w w:val="95"/>
                <w:sz w:val="18"/>
              </w:rPr>
              <w:t>574,994</w:t>
            </w:r>
          </w:p>
        </w:tc>
      </w:tr>
    </w:tbl>
    <w:p>
      <w:pPr>
        <w:pStyle w:val="BodyText"/>
        <w:rPr>
          <w:sz w:val="20"/>
        </w:rPr>
      </w:pPr>
    </w:p>
    <w:p>
      <w:pPr>
        <w:pStyle w:val="BodyText"/>
        <w:rPr>
          <w:sz w:val="20"/>
        </w:rPr>
      </w:pPr>
    </w:p>
    <w:p>
      <w:pPr>
        <w:pStyle w:val="BodyText"/>
        <w:spacing w:before="5"/>
        <w:rPr>
          <w:sz w:val="23"/>
        </w:rPr>
      </w:pPr>
    </w:p>
    <w:p>
      <w:pPr>
        <w:spacing w:after="0"/>
        <w:rPr>
          <w:sz w:val="23"/>
        </w:rPr>
        <w:sectPr>
          <w:pgSz w:w="11910" w:h="16840"/>
          <w:pgMar w:header="1037" w:footer="512" w:top="2380" w:bottom="700" w:left="860" w:right="880"/>
        </w:sectPr>
      </w:pPr>
    </w:p>
    <w:p>
      <w:pPr>
        <w:pStyle w:val="Heading9"/>
        <w:tabs>
          <w:tab w:pos="543" w:val="left" w:leader="none"/>
        </w:tabs>
        <w:spacing w:before="77"/>
        <w:ind w:left="147"/>
      </w:pPr>
      <w:r>
        <w:rPr/>
        <w:t>7</w:t>
        <w:tab/>
        <w:t>Provisions</w:t>
      </w:r>
    </w:p>
    <w:p>
      <w:pPr>
        <w:pStyle w:val="BodyText"/>
        <w:rPr>
          <w:b/>
        </w:rPr>
      </w:pPr>
    </w:p>
    <w:p>
      <w:pPr>
        <w:pStyle w:val="BodyText"/>
        <w:rPr>
          <w:b/>
        </w:rPr>
      </w:pPr>
    </w:p>
    <w:p>
      <w:pPr>
        <w:spacing w:before="159"/>
        <w:ind w:left="529" w:right="0" w:firstLine="0"/>
        <w:jc w:val="left"/>
        <w:rPr>
          <w:b/>
          <w:sz w:val="18"/>
        </w:rPr>
      </w:pPr>
      <w:r>
        <w:rPr>
          <w:b/>
          <w:sz w:val="18"/>
        </w:rPr>
        <w:t>CURRENT</w:t>
      </w:r>
    </w:p>
    <w:p>
      <w:pPr>
        <w:spacing w:before="138"/>
        <w:ind w:left="671" w:right="-13" w:firstLine="0"/>
        <w:jc w:val="left"/>
        <w:rPr>
          <w:b/>
          <w:sz w:val="18"/>
        </w:rPr>
      </w:pPr>
      <w:bookmarkStart w:name="       " w:id="207"/>
      <w:bookmarkEnd w:id="207"/>
      <w:r>
        <w:rPr/>
      </w:r>
      <w:r>
        <w:rPr>
          <w:b/>
          <w:sz w:val="18"/>
        </w:rPr>
        <w:t>Employee</w:t>
      </w:r>
      <w:r>
        <w:rPr>
          <w:b/>
          <w:spacing w:val="-9"/>
          <w:sz w:val="18"/>
        </w:rPr>
        <w:t> </w:t>
      </w:r>
      <w:r>
        <w:rPr>
          <w:b/>
          <w:sz w:val="18"/>
        </w:rPr>
        <w:t>benefits</w:t>
      </w:r>
    </w:p>
    <w:p>
      <w:pPr>
        <w:pStyle w:val="BodyText"/>
        <w:rPr>
          <w:b/>
        </w:rPr>
      </w:pPr>
      <w:r>
        <w:rPr/>
        <w:br w:type="column"/>
      </w:r>
      <w:r>
        <w:rPr>
          <w:b/>
        </w:rPr>
      </w:r>
    </w:p>
    <w:p>
      <w:pPr>
        <w:spacing w:before="110"/>
        <w:ind w:left="147" w:right="0" w:firstLine="0"/>
        <w:jc w:val="center"/>
        <w:rPr>
          <w:b/>
          <w:sz w:val="18"/>
        </w:rPr>
      </w:pPr>
      <w:r>
        <w:rPr>
          <w:b/>
          <w:sz w:val="18"/>
        </w:rPr>
        <w:t>2017</w:t>
      </w:r>
    </w:p>
    <w:p>
      <w:pPr>
        <w:spacing w:before="66"/>
        <w:ind w:left="147" w:right="0" w:firstLine="0"/>
        <w:jc w:val="center"/>
        <w:rPr>
          <w:b/>
          <w:sz w:val="18"/>
        </w:rPr>
      </w:pPr>
      <w:r>
        <w:rPr>
          <w:b/>
          <w:w w:val="99"/>
          <w:sz w:val="18"/>
        </w:rPr>
        <w:t>$</w:t>
      </w:r>
    </w:p>
    <w:p>
      <w:pPr>
        <w:pStyle w:val="BodyText"/>
        <w:rPr>
          <w:b/>
        </w:rPr>
      </w:pPr>
      <w:r>
        <w:rPr/>
        <w:br w:type="column"/>
      </w:r>
      <w:r>
        <w:rPr>
          <w:b/>
        </w:rPr>
      </w:r>
    </w:p>
    <w:p>
      <w:pPr>
        <w:spacing w:before="110"/>
        <w:ind w:left="132" w:right="548" w:firstLine="0"/>
        <w:jc w:val="center"/>
        <w:rPr>
          <w:b/>
          <w:sz w:val="18"/>
        </w:rPr>
      </w:pPr>
      <w:r>
        <w:rPr>
          <w:b/>
          <w:sz w:val="18"/>
        </w:rPr>
        <w:t>2016</w:t>
      </w:r>
    </w:p>
    <w:p>
      <w:pPr>
        <w:spacing w:before="66"/>
        <w:ind w:left="0" w:right="418" w:firstLine="0"/>
        <w:jc w:val="center"/>
        <w:rPr>
          <w:b/>
          <w:sz w:val="18"/>
        </w:rPr>
      </w:pPr>
      <w:r>
        <w:rPr>
          <w:b/>
          <w:w w:val="99"/>
          <w:sz w:val="18"/>
        </w:rPr>
        <w:t>$</w:t>
      </w:r>
    </w:p>
    <w:p>
      <w:pPr>
        <w:spacing w:after="0"/>
        <w:jc w:val="center"/>
        <w:rPr>
          <w:sz w:val="18"/>
        </w:rPr>
        <w:sectPr>
          <w:type w:val="continuous"/>
          <w:pgSz w:w="11910" w:h="16840"/>
          <w:pgMar w:top="1580" w:bottom="280" w:left="860" w:right="880"/>
          <w:cols w:num="3" w:equalWidth="0">
            <w:col w:w="2260" w:space="5504"/>
            <w:col w:w="552" w:space="732"/>
            <w:col w:w="1122"/>
          </w:cols>
        </w:sectPr>
      </w:pPr>
    </w:p>
    <w:p>
      <w:pPr>
        <w:pStyle w:val="BodyText"/>
        <w:spacing w:before="1"/>
        <w:rPr>
          <w:b/>
          <w:sz w:val="3"/>
        </w:rPr>
      </w:pPr>
    </w:p>
    <w:tbl>
      <w:tblPr>
        <w:tblW w:w="0" w:type="auto"/>
        <w:jc w:val="left"/>
        <w:tblInd w:w="78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683"/>
        <w:gridCol w:w="1529"/>
        <w:gridCol w:w="1063"/>
      </w:tblGrid>
      <w:tr>
        <w:trPr>
          <w:trHeight w:val="238" w:hRule="exact"/>
        </w:trPr>
        <w:tc>
          <w:tcPr>
            <w:tcW w:w="6683" w:type="dxa"/>
          </w:tcPr>
          <w:p>
            <w:pPr>
              <w:pStyle w:val="TableParagraph"/>
              <w:spacing w:line="202" w:lineRule="exact"/>
              <w:ind w:left="35"/>
              <w:rPr>
                <w:sz w:val="18"/>
              </w:rPr>
            </w:pPr>
            <w:r>
              <w:rPr>
                <w:sz w:val="18"/>
              </w:rPr>
              <w:t>Annual leave</w:t>
            </w:r>
          </w:p>
        </w:tc>
        <w:tc>
          <w:tcPr>
            <w:tcW w:w="1529" w:type="dxa"/>
          </w:tcPr>
          <w:p>
            <w:pPr>
              <w:pStyle w:val="TableParagraph"/>
              <w:spacing w:line="199" w:lineRule="exact"/>
              <w:ind w:right="319"/>
              <w:jc w:val="right"/>
              <w:rPr>
                <w:b/>
                <w:sz w:val="18"/>
              </w:rPr>
            </w:pPr>
            <w:r>
              <w:rPr>
                <w:b/>
                <w:w w:val="95"/>
                <w:sz w:val="18"/>
              </w:rPr>
              <w:t>409,628</w:t>
            </w:r>
          </w:p>
        </w:tc>
        <w:tc>
          <w:tcPr>
            <w:tcW w:w="1063" w:type="dxa"/>
          </w:tcPr>
          <w:p>
            <w:pPr>
              <w:pStyle w:val="TableParagraph"/>
              <w:spacing w:line="199" w:lineRule="exact"/>
              <w:ind w:right="84"/>
              <w:jc w:val="right"/>
              <w:rPr>
                <w:sz w:val="18"/>
              </w:rPr>
            </w:pPr>
            <w:r>
              <w:rPr>
                <w:w w:val="95"/>
                <w:sz w:val="18"/>
              </w:rPr>
              <w:t>313,966</w:t>
            </w:r>
          </w:p>
        </w:tc>
      </w:tr>
      <w:tr>
        <w:trPr>
          <w:trHeight w:val="260" w:hRule="exact"/>
        </w:trPr>
        <w:tc>
          <w:tcPr>
            <w:tcW w:w="6683" w:type="dxa"/>
          </w:tcPr>
          <w:p>
            <w:pPr>
              <w:pStyle w:val="TableParagraph"/>
              <w:spacing w:before="20"/>
              <w:ind w:left="35"/>
              <w:rPr>
                <w:sz w:val="18"/>
              </w:rPr>
            </w:pPr>
            <w:r>
              <w:rPr>
                <w:sz w:val="18"/>
              </w:rPr>
              <w:t>Long service leave</w:t>
            </w:r>
          </w:p>
        </w:tc>
        <w:tc>
          <w:tcPr>
            <w:tcW w:w="1529" w:type="dxa"/>
            <w:tcBorders>
              <w:bottom w:val="single" w:sz="1" w:space="0" w:color="000000"/>
            </w:tcBorders>
          </w:tcPr>
          <w:p>
            <w:pPr>
              <w:pStyle w:val="TableParagraph"/>
              <w:spacing w:before="18"/>
              <w:ind w:right="319"/>
              <w:jc w:val="right"/>
              <w:rPr>
                <w:b/>
                <w:sz w:val="18"/>
              </w:rPr>
            </w:pPr>
            <w:r>
              <w:rPr>
                <w:b/>
                <w:w w:val="95"/>
                <w:sz w:val="18"/>
              </w:rPr>
              <w:t>239,000</w:t>
            </w:r>
          </w:p>
        </w:tc>
        <w:tc>
          <w:tcPr>
            <w:tcW w:w="1063" w:type="dxa"/>
            <w:tcBorders>
              <w:bottom w:val="single" w:sz="1" w:space="0" w:color="000000"/>
            </w:tcBorders>
          </w:tcPr>
          <w:p>
            <w:pPr>
              <w:pStyle w:val="TableParagraph"/>
              <w:spacing w:before="18"/>
              <w:ind w:right="84"/>
              <w:jc w:val="right"/>
              <w:rPr>
                <w:sz w:val="18"/>
              </w:rPr>
            </w:pPr>
            <w:r>
              <w:rPr>
                <w:w w:val="95"/>
                <w:sz w:val="18"/>
              </w:rPr>
              <w:t>190,449</w:t>
            </w:r>
          </w:p>
        </w:tc>
      </w:tr>
    </w:tbl>
    <w:p>
      <w:pPr>
        <w:tabs>
          <w:tab w:pos="8019" w:val="left" w:leader="none"/>
          <w:tab w:pos="9318" w:val="left" w:leader="none"/>
        </w:tabs>
        <w:spacing w:before="123"/>
        <w:ind w:left="671" w:right="105" w:firstLine="0"/>
        <w:jc w:val="left"/>
        <w:rPr>
          <w:sz w:val="18"/>
        </w:rPr>
      </w:pPr>
      <w:r>
        <w:rPr>
          <w:b/>
          <w:sz w:val="18"/>
        </w:rPr>
        <w:t>Total current provisions</w:t>
        <w:tab/>
        <w:t>648,628</w:t>
        <w:tab/>
      </w:r>
      <w:r>
        <w:rPr>
          <w:sz w:val="18"/>
        </w:rPr>
        <w:t>504,415</w:t>
      </w:r>
    </w:p>
    <w:p>
      <w:pPr>
        <w:pStyle w:val="BodyText"/>
        <w:spacing w:line="48" w:lineRule="exact"/>
        <w:ind w:left="7466"/>
        <w:rPr>
          <w:sz w:val="4"/>
        </w:rPr>
      </w:pPr>
      <w:r>
        <w:rPr>
          <w:position w:val="0"/>
          <w:sz w:val="4"/>
        </w:rPr>
        <w:pict>
          <v:group style="width:129.75pt;height:2.450pt;mso-position-horizontal-relative:char;mso-position-vertical-relative:line" coordorigin="0,0" coordsize="2595,49">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35" to="1298,35" stroked="true" strokeweight=".12pt" strokecolor="#000000"/>
            <v:line style="position:absolute" from="2,38" to="1298,38" stroked="true" strokeweight=".12pt" strokecolor="#000000"/>
            <v:line style="position:absolute" from="2,40" to="1298,40" stroked="true" strokeweight=".12pt" strokecolor="#000000"/>
            <v:line style="position:absolute" from="2,42" to="1298,42" stroked="true" strokeweight=".12pt" strokecolor="#000000"/>
            <v:line style="position:absolute" from="2,45" to="1298,45" stroked="true" strokeweight=".12pt" strokecolor="#000000"/>
            <v:line style="position:absolute" from="2,47" to="1298,47"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35" to="2594,35" stroked="true" strokeweight=".12pt" strokecolor="#000000"/>
            <v:line style="position:absolute" from="1298,38" to="2594,38" stroked="true" strokeweight=".12pt" strokecolor="#000000"/>
            <v:line style="position:absolute" from="1298,40" to="2594,40" stroked="true" strokeweight=".12pt" strokecolor="#000000"/>
            <v:line style="position:absolute" from="1298,42" to="2594,42" stroked="true" strokeweight=".12pt" strokecolor="#000000"/>
            <v:line style="position:absolute" from="1298,45" to="2594,45" stroked="true" strokeweight=".12pt" strokecolor="#000000"/>
            <v:line style="position:absolute" from="1298,47" to="2594,47" stroked="true" strokeweight=".12pt" strokecolor="#000000"/>
          </v:group>
        </w:pict>
      </w:r>
      <w:r>
        <w:rPr>
          <w:position w:val="0"/>
          <w:sz w:val="4"/>
        </w:rPr>
      </w:r>
    </w:p>
    <w:p>
      <w:pPr>
        <w:pStyle w:val="BodyText"/>
        <w:rPr>
          <w:sz w:val="20"/>
        </w:rPr>
      </w:pPr>
    </w:p>
    <w:p>
      <w:pPr>
        <w:pStyle w:val="BodyText"/>
        <w:spacing w:before="7"/>
        <w:rPr>
          <w:sz w:val="20"/>
        </w:rPr>
      </w:pPr>
    </w:p>
    <w:p>
      <w:pPr>
        <w:pStyle w:val="Heading9"/>
        <w:spacing w:before="77"/>
        <w:ind w:left="529" w:right="105"/>
      </w:pPr>
      <w:bookmarkStart w:name="_TOC_250000" w:id="208"/>
      <w:bookmarkEnd w:id="208"/>
      <w:r>
        <w:rPr/>
        <w:t>NON-CURRENT</w:t>
      </w:r>
    </w:p>
    <w:p>
      <w:pPr>
        <w:spacing w:before="138"/>
        <w:ind w:left="671" w:right="105" w:firstLine="0"/>
        <w:jc w:val="left"/>
        <w:rPr>
          <w:b/>
          <w:sz w:val="18"/>
        </w:rPr>
      </w:pPr>
      <w:r>
        <w:rPr>
          <w:b/>
          <w:sz w:val="18"/>
        </w:rPr>
        <w:t>Employee benefits</w:t>
      </w:r>
    </w:p>
    <w:p>
      <w:pPr>
        <w:tabs>
          <w:tab w:pos="7928" w:val="left" w:leader="none"/>
          <w:tab w:pos="9227" w:val="left" w:leader="none"/>
        </w:tabs>
        <w:spacing w:before="30" w:after="23"/>
        <w:ind w:left="627" w:right="0" w:firstLine="0"/>
        <w:jc w:val="center"/>
        <w:rPr>
          <w:sz w:val="18"/>
        </w:rPr>
      </w:pPr>
      <w:r>
        <w:rPr>
          <w:sz w:val="18"/>
        </w:rPr>
        <w:t>Long</w:t>
      </w:r>
      <w:r>
        <w:rPr>
          <w:spacing w:val="-1"/>
          <w:sz w:val="18"/>
        </w:rPr>
        <w:t> </w:t>
      </w:r>
      <w:r>
        <w:rPr>
          <w:sz w:val="18"/>
        </w:rPr>
        <w:t>service</w:t>
      </w:r>
      <w:r>
        <w:rPr>
          <w:spacing w:val="-1"/>
          <w:sz w:val="18"/>
        </w:rPr>
        <w:t> </w:t>
      </w:r>
      <w:r>
        <w:rPr>
          <w:sz w:val="18"/>
        </w:rPr>
        <w:t>leave</w:t>
        <w:tab/>
      </w:r>
      <w:r>
        <w:rPr>
          <w:b/>
          <w:sz w:val="18"/>
        </w:rPr>
        <w:t>85,000</w:t>
        <w:tab/>
      </w:r>
      <w:r>
        <w:rPr>
          <w:sz w:val="18"/>
        </w:rPr>
        <w:t>81,844</w:t>
      </w:r>
    </w:p>
    <w:p>
      <w:pPr>
        <w:pStyle w:val="BodyText"/>
        <w:spacing w:line="20" w:lineRule="exact"/>
        <w:ind w:left="7466"/>
        <w:rPr>
          <w:sz w:val="2"/>
        </w:rPr>
      </w:pPr>
      <w:r>
        <w:rPr>
          <w:sz w:val="2"/>
        </w:rPr>
        <w:pict>
          <v:group style="width:129.75pt;height:1pt;mso-position-horizontal-relative:char;mso-position-vertical-relative:line" coordorigin="0,0" coordsize="2595,20">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16" to="1298,16" stroked="true" strokeweight=".12pt" strokecolor="#000000"/>
            <v:line style="position:absolute" from="2,18" to="1298,18"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16" to="2594,16" stroked="true" strokeweight=".12pt" strokecolor="#000000"/>
            <v:line style="position:absolute" from="1298,18" to="2594,18" stroked="true" strokeweight=".12pt" strokecolor="#000000"/>
          </v:group>
        </w:pict>
      </w:r>
      <w:r>
        <w:rPr>
          <w:sz w:val="2"/>
        </w:rPr>
      </w:r>
    </w:p>
    <w:p>
      <w:pPr>
        <w:pStyle w:val="Heading9"/>
        <w:tabs>
          <w:tab w:pos="8120" w:val="left" w:leader="none"/>
          <w:tab w:pos="9419" w:val="left" w:leader="none"/>
        </w:tabs>
        <w:spacing w:before="115"/>
        <w:ind w:left="668" w:right="105"/>
        <w:rPr>
          <w:b w:val="0"/>
        </w:rPr>
      </w:pPr>
      <w:r>
        <w:rPr/>
        <w:t>Total non-current provisions</w:t>
        <w:tab/>
        <w:t>85,000</w:t>
        <w:tab/>
      </w:r>
      <w:r>
        <w:rPr>
          <w:b w:val="0"/>
        </w:rPr>
        <w:t>81,844</w:t>
      </w:r>
    </w:p>
    <w:p>
      <w:pPr>
        <w:pStyle w:val="BodyText"/>
        <w:spacing w:line="48" w:lineRule="exact"/>
        <w:ind w:left="7466"/>
        <w:rPr>
          <w:sz w:val="4"/>
        </w:rPr>
      </w:pPr>
      <w:r>
        <w:rPr>
          <w:position w:val="0"/>
          <w:sz w:val="4"/>
        </w:rPr>
        <w:pict>
          <v:group style="width:129.75pt;height:2.450pt;mso-position-horizontal-relative:char;mso-position-vertical-relative:line" coordorigin="0,0" coordsize="2595,49">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35" to="1298,35" stroked="true" strokeweight=".12pt" strokecolor="#000000"/>
            <v:line style="position:absolute" from="2,38" to="1298,38" stroked="true" strokeweight=".12pt" strokecolor="#000000"/>
            <v:line style="position:absolute" from="2,40" to="1298,40" stroked="true" strokeweight=".12pt" strokecolor="#000000"/>
            <v:line style="position:absolute" from="2,42" to="1298,42" stroked="true" strokeweight=".12pt" strokecolor="#000000"/>
            <v:line style="position:absolute" from="2,45" to="1298,45" stroked="true" strokeweight=".12pt" strokecolor="#000000"/>
            <v:line style="position:absolute" from="2,47" to="1298,47"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35" to="2594,35" stroked="true" strokeweight=".12pt" strokecolor="#000000"/>
            <v:line style="position:absolute" from="1298,38" to="2594,38" stroked="true" strokeweight=".12pt" strokecolor="#000000"/>
            <v:line style="position:absolute" from="1298,40" to="2594,40" stroked="true" strokeweight=".12pt" strokecolor="#000000"/>
            <v:line style="position:absolute" from="1298,42" to="2594,42" stroked="true" strokeweight=".12pt" strokecolor="#000000"/>
            <v:line style="position:absolute" from="1298,45" to="2594,45" stroked="true" strokeweight=".12pt" strokecolor="#000000"/>
            <v:line style="position:absolute" from="1298,47" to="2594,47" stroked="true" strokeweight=".12pt" strokecolor="#000000"/>
          </v:group>
        </w:pict>
      </w:r>
      <w:r>
        <w:rPr>
          <w:position w:val="0"/>
          <w:sz w:val="4"/>
        </w:rPr>
      </w:r>
    </w:p>
    <w:p>
      <w:pPr>
        <w:pStyle w:val="BodyText"/>
        <w:spacing w:before="10"/>
        <w:rPr>
          <w:sz w:val="17"/>
        </w:rPr>
      </w:pPr>
    </w:p>
    <w:p>
      <w:pPr>
        <w:tabs>
          <w:tab w:pos="8019" w:val="left" w:leader="none"/>
          <w:tab w:pos="9318" w:val="left" w:leader="none"/>
        </w:tabs>
        <w:spacing w:before="79" w:after="23"/>
        <w:ind w:left="529" w:right="105" w:firstLine="0"/>
        <w:jc w:val="left"/>
        <w:rPr>
          <w:sz w:val="18"/>
        </w:rPr>
      </w:pPr>
      <w:bookmarkStart w:name="8 Retained earnings " w:id="209"/>
      <w:bookmarkEnd w:id="209"/>
      <w:r>
        <w:rPr/>
      </w:r>
      <w:r>
        <w:rPr>
          <w:b/>
          <w:sz w:val="18"/>
        </w:rPr>
        <w:t>Total provisions</w:t>
        <w:tab/>
        <w:t>733,628</w:t>
        <w:tab/>
      </w:r>
      <w:r>
        <w:rPr>
          <w:sz w:val="18"/>
        </w:rPr>
        <w:t>586,259</w:t>
      </w:r>
    </w:p>
    <w:p>
      <w:pPr>
        <w:pStyle w:val="BodyText"/>
        <w:spacing w:line="48" w:lineRule="exact"/>
        <w:ind w:left="7466"/>
        <w:rPr>
          <w:sz w:val="4"/>
        </w:rPr>
      </w:pPr>
      <w:r>
        <w:rPr>
          <w:position w:val="0"/>
          <w:sz w:val="4"/>
        </w:rPr>
        <w:pict>
          <v:group style="width:129.75pt;height:2.450pt;mso-position-horizontal-relative:char;mso-position-vertical-relative:line" coordorigin="0,0" coordsize="2595,49">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35" to="1298,35" stroked="true" strokeweight=".12pt" strokecolor="#000000"/>
            <v:line style="position:absolute" from="2,38" to="1298,38" stroked="true" strokeweight=".12pt" strokecolor="#000000"/>
            <v:line style="position:absolute" from="2,40" to="1298,40" stroked="true" strokeweight=".12pt" strokecolor="#000000"/>
            <v:line style="position:absolute" from="2,42" to="1298,42" stroked="true" strokeweight=".12pt" strokecolor="#000000"/>
            <v:line style="position:absolute" from="2,45" to="1298,45" stroked="true" strokeweight=".12pt" strokecolor="#000000"/>
            <v:line style="position:absolute" from="2,47" to="1298,47"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35" to="2594,35" stroked="true" strokeweight=".12pt" strokecolor="#000000"/>
            <v:line style="position:absolute" from="1298,38" to="2594,38" stroked="true" strokeweight=".12pt" strokecolor="#000000"/>
            <v:line style="position:absolute" from="1298,40" to="2594,40" stroked="true" strokeweight=".12pt" strokecolor="#000000"/>
            <v:line style="position:absolute" from="1298,42" to="2594,42" stroked="true" strokeweight=".12pt" strokecolor="#000000"/>
            <v:line style="position:absolute" from="1298,45" to="2594,45" stroked="true" strokeweight=".12pt" strokecolor="#000000"/>
            <v:line style="position:absolute" from="1298,47" to="2594,47" stroked="true" strokeweight=".12pt" strokecolor="#000000"/>
          </v:group>
        </w:pict>
      </w:r>
      <w:r>
        <w:rPr>
          <w:position w:val="0"/>
          <w:sz w:val="4"/>
        </w:rPr>
      </w:r>
    </w:p>
    <w:p>
      <w:pPr>
        <w:pStyle w:val="BodyText"/>
        <w:rPr>
          <w:sz w:val="20"/>
        </w:rPr>
      </w:pPr>
    </w:p>
    <w:p>
      <w:pPr>
        <w:pStyle w:val="BodyText"/>
        <w:rPr>
          <w:sz w:val="20"/>
        </w:rPr>
      </w:pPr>
    </w:p>
    <w:p>
      <w:pPr>
        <w:pStyle w:val="BodyText"/>
        <w:spacing w:before="9"/>
        <w:rPr>
          <w:sz w:val="26"/>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7072"/>
        <w:gridCol w:w="1453"/>
        <w:gridCol w:w="1139"/>
      </w:tblGrid>
      <w:tr>
        <w:trPr>
          <w:trHeight w:val="826" w:hRule="exact"/>
        </w:trPr>
        <w:tc>
          <w:tcPr>
            <w:tcW w:w="283" w:type="dxa"/>
          </w:tcPr>
          <w:p>
            <w:pPr>
              <w:pStyle w:val="TableParagraph"/>
              <w:spacing w:before="77"/>
              <w:ind w:left="35"/>
              <w:rPr>
                <w:b/>
                <w:sz w:val="18"/>
              </w:rPr>
            </w:pPr>
            <w:bookmarkStart w:name="Movements in Retained Earnings" w:id="210"/>
            <w:bookmarkEnd w:id="210"/>
            <w:r>
              <w:rPr/>
            </w:r>
            <w:r>
              <w:rPr>
                <w:b/>
                <w:w w:val="99"/>
                <w:sz w:val="18"/>
              </w:rPr>
              <w:t>8</w:t>
            </w:r>
          </w:p>
        </w:tc>
        <w:tc>
          <w:tcPr>
            <w:tcW w:w="7072" w:type="dxa"/>
          </w:tcPr>
          <w:p>
            <w:pPr>
              <w:pStyle w:val="TableParagraph"/>
              <w:spacing w:before="77"/>
              <w:ind w:left="147"/>
              <w:rPr>
                <w:b/>
                <w:sz w:val="18"/>
              </w:rPr>
            </w:pPr>
            <w:r>
              <w:rPr>
                <w:b/>
                <w:sz w:val="18"/>
              </w:rPr>
              <w:t>Retained earnings</w:t>
            </w:r>
          </w:p>
          <w:p>
            <w:pPr>
              <w:pStyle w:val="TableParagraph"/>
              <w:spacing w:before="7"/>
              <w:rPr>
                <w:sz w:val="26"/>
              </w:rPr>
            </w:pPr>
          </w:p>
          <w:p>
            <w:pPr>
              <w:pStyle w:val="TableParagraph"/>
              <w:ind w:left="147"/>
              <w:rPr>
                <w:sz w:val="18"/>
              </w:rPr>
            </w:pPr>
            <w:r>
              <w:rPr>
                <w:sz w:val="18"/>
              </w:rPr>
              <w:t>Movements in Retained Earnings</w:t>
            </w:r>
          </w:p>
        </w:tc>
        <w:tc>
          <w:tcPr>
            <w:tcW w:w="2592" w:type="dxa"/>
            <w:gridSpan w:val="2"/>
          </w:tcPr>
          <w:p>
            <w:pPr/>
          </w:p>
        </w:tc>
      </w:tr>
      <w:tr>
        <w:trPr>
          <w:trHeight w:val="259" w:hRule="exact"/>
        </w:trPr>
        <w:tc>
          <w:tcPr>
            <w:tcW w:w="283" w:type="dxa"/>
          </w:tcPr>
          <w:p>
            <w:pPr/>
          </w:p>
        </w:tc>
        <w:tc>
          <w:tcPr>
            <w:tcW w:w="7072" w:type="dxa"/>
          </w:tcPr>
          <w:p>
            <w:pPr/>
          </w:p>
        </w:tc>
        <w:tc>
          <w:tcPr>
            <w:tcW w:w="1453" w:type="dxa"/>
          </w:tcPr>
          <w:p>
            <w:pPr>
              <w:pStyle w:val="TableParagraph"/>
              <w:spacing w:before="9"/>
              <w:ind w:left="476" w:right="535"/>
              <w:jc w:val="center"/>
              <w:rPr>
                <w:b/>
                <w:sz w:val="18"/>
              </w:rPr>
            </w:pPr>
            <w:r>
              <w:rPr>
                <w:b/>
                <w:sz w:val="18"/>
              </w:rPr>
              <w:t>2017</w:t>
            </w:r>
          </w:p>
        </w:tc>
        <w:tc>
          <w:tcPr>
            <w:tcW w:w="1139" w:type="dxa"/>
          </w:tcPr>
          <w:p>
            <w:pPr>
              <w:pStyle w:val="TableParagraph"/>
              <w:spacing w:before="9"/>
              <w:ind w:left="325"/>
              <w:rPr>
                <w:b/>
                <w:sz w:val="18"/>
              </w:rPr>
            </w:pPr>
            <w:r>
              <w:rPr>
                <w:b/>
                <w:sz w:val="18"/>
              </w:rPr>
              <w:t>2016</w:t>
            </w:r>
          </w:p>
        </w:tc>
      </w:tr>
      <w:tr>
        <w:trPr>
          <w:trHeight w:val="407" w:hRule="exact"/>
        </w:trPr>
        <w:tc>
          <w:tcPr>
            <w:tcW w:w="283" w:type="dxa"/>
          </w:tcPr>
          <w:p>
            <w:pPr/>
          </w:p>
        </w:tc>
        <w:tc>
          <w:tcPr>
            <w:tcW w:w="7072" w:type="dxa"/>
          </w:tcPr>
          <w:p>
            <w:pPr/>
          </w:p>
        </w:tc>
        <w:tc>
          <w:tcPr>
            <w:tcW w:w="1453" w:type="dxa"/>
          </w:tcPr>
          <w:p>
            <w:pPr>
              <w:pStyle w:val="TableParagraph"/>
              <w:spacing w:before="24"/>
              <w:ind w:right="59"/>
              <w:jc w:val="center"/>
              <w:rPr>
                <w:b/>
                <w:sz w:val="18"/>
              </w:rPr>
            </w:pPr>
            <w:r>
              <w:rPr>
                <w:b/>
                <w:w w:val="99"/>
                <w:sz w:val="18"/>
              </w:rPr>
              <w:t>$</w:t>
            </w:r>
          </w:p>
        </w:tc>
        <w:tc>
          <w:tcPr>
            <w:tcW w:w="1139" w:type="dxa"/>
          </w:tcPr>
          <w:p>
            <w:pPr>
              <w:pStyle w:val="TableParagraph"/>
              <w:spacing w:before="24"/>
              <w:ind w:right="83"/>
              <w:jc w:val="center"/>
              <w:rPr>
                <w:b/>
                <w:sz w:val="18"/>
              </w:rPr>
            </w:pPr>
            <w:r>
              <w:rPr>
                <w:b/>
                <w:w w:val="99"/>
                <w:sz w:val="18"/>
              </w:rPr>
              <w:t>$</w:t>
            </w:r>
          </w:p>
        </w:tc>
      </w:tr>
      <w:tr>
        <w:trPr>
          <w:trHeight w:val="403" w:hRule="exact"/>
        </w:trPr>
        <w:tc>
          <w:tcPr>
            <w:tcW w:w="283" w:type="dxa"/>
          </w:tcPr>
          <w:p>
            <w:pPr/>
          </w:p>
        </w:tc>
        <w:tc>
          <w:tcPr>
            <w:tcW w:w="7072" w:type="dxa"/>
          </w:tcPr>
          <w:p>
            <w:pPr>
              <w:pStyle w:val="TableParagraph"/>
              <w:spacing w:before="157"/>
              <w:ind w:left="147"/>
              <w:rPr>
                <w:sz w:val="18"/>
              </w:rPr>
            </w:pPr>
            <w:r>
              <w:rPr>
                <w:sz w:val="18"/>
              </w:rPr>
              <w:t>Retained Earnings at 1 January</w:t>
            </w:r>
          </w:p>
        </w:tc>
        <w:tc>
          <w:tcPr>
            <w:tcW w:w="1453" w:type="dxa"/>
          </w:tcPr>
          <w:p>
            <w:pPr>
              <w:pStyle w:val="TableParagraph"/>
              <w:spacing w:before="159"/>
              <w:ind w:right="244"/>
              <w:jc w:val="right"/>
              <w:rPr>
                <w:b/>
                <w:sz w:val="18"/>
              </w:rPr>
            </w:pPr>
            <w:r>
              <w:rPr>
                <w:b/>
                <w:w w:val="95"/>
                <w:sz w:val="18"/>
              </w:rPr>
              <w:t>1,054,055</w:t>
            </w:r>
          </w:p>
        </w:tc>
        <w:tc>
          <w:tcPr>
            <w:tcW w:w="1139" w:type="dxa"/>
          </w:tcPr>
          <w:p>
            <w:pPr>
              <w:pStyle w:val="TableParagraph"/>
              <w:spacing w:before="159"/>
              <w:ind w:right="84"/>
              <w:jc w:val="right"/>
              <w:rPr>
                <w:sz w:val="18"/>
              </w:rPr>
            </w:pPr>
            <w:r>
              <w:rPr>
                <w:w w:val="95"/>
                <w:sz w:val="18"/>
              </w:rPr>
              <w:t>821,134</w:t>
            </w:r>
          </w:p>
        </w:tc>
      </w:tr>
      <w:tr>
        <w:trPr>
          <w:trHeight w:val="262" w:hRule="exact"/>
        </w:trPr>
        <w:tc>
          <w:tcPr>
            <w:tcW w:w="283" w:type="dxa"/>
          </w:tcPr>
          <w:p>
            <w:pPr/>
          </w:p>
        </w:tc>
        <w:tc>
          <w:tcPr>
            <w:tcW w:w="7072" w:type="dxa"/>
          </w:tcPr>
          <w:p>
            <w:pPr>
              <w:pStyle w:val="TableParagraph"/>
              <w:spacing w:before="18"/>
              <w:ind w:left="147"/>
              <w:rPr>
                <w:sz w:val="18"/>
              </w:rPr>
            </w:pPr>
            <w:r>
              <w:rPr>
                <w:sz w:val="18"/>
              </w:rPr>
              <w:t>Surplus for the year</w:t>
            </w:r>
          </w:p>
        </w:tc>
        <w:tc>
          <w:tcPr>
            <w:tcW w:w="1453" w:type="dxa"/>
            <w:tcBorders>
              <w:bottom w:val="single" w:sz="1" w:space="0" w:color="000000"/>
            </w:tcBorders>
          </w:tcPr>
          <w:p>
            <w:pPr>
              <w:pStyle w:val="TableParagraph"/>
              <w:spacing w:before="20"/>
              <w:ind w:right="244"/>
              <w:jc w:val="right"/>
              <w:rPr>
                <w:b/>
                <w:sz w:val="18"/>
              </w:rPr>
            </w:pPr>
            <w:r>
              <w:rPr>
                <w:b/>
                <w:w w:val="95"/>
                <w:sz w:val="18"/>
              </w:rPr>
              <w:t>374,831</w:t>
            </w:r>
          </w:p>
        </w:tc>
        <w:tc>
          <w:tcPr>
            <w:tcW w:w="1139" w:type="dxa"/>
            <w:tcBorders>
              <w:bottom w:val="single" w:sz="1" w:space="0" w:color="000000"/>
            </w:tcBorders>
          </w:tcPr>
          <w:p>
            <w:pPr>
              <w:pStyle w:val="TableParagraph"/>
              <w:spacing w:before="20"/>
              <w:ind w:right="84"/>
              <w:jc w:val="right"/>
              <w:rPr>
                <w:sz w:val="18"/>
              </w:rPr>
            </w:pPr>
            <w:r>
              <w:rPr>
                <w:w w:val="95"/>
                <w:sz w:val="18"/>
              </w:rPr>
              <w:t>232,921</w:t>
            </w:r>
          </w:p>
        </w:tc>
      </w:tr>
      <w:tr>
        <w:trPr>
          <w:trHeight w:val="359" w:hRule="exact"/>
        </w:trPr>
        <w:tc>
          <w:tcPr>
            <w:tcW w:w="283" w:type="dxa"/>
          </w:tcPr>
          <w:p>
            <w:pPr/>
          </w:p>
        </w:tc>
        <w:tc>
          <w:tcPr>
            <w:tcW w:w="7072" w:type="dxa"/>
          </w:tcPr>
          <w:p>
            <w:pPr>
              <w:pStyle w:val="TableParagraph"/>
              <w:spacing w:before="125"/>
              <w:ind w:left="147"/>
              <w:rPr>
                <w:b/>
                <w:sz w:val="18"/>
              </w:rPr>
            </w:pPr>
            <w:r>
              <w:rPr>
                <w:b/>
                <w:sz w:val="18"/>
              </w:rPr>
              <w:t>Balance at 31 December</w:t>
            </w:r>
          </w:p>
        </w:tc>
        <w:tc>
          <w:tcPr>
            <w:tcW w:w="1453" w:type="dxa"/>
            <w:tcBorders>
              <w:top w:val="single" w:sz="1" w:space="0" w:color="000000"/>
              <w:bottom w:val="single" w:sz="1" w:space="0" w:color="000000"/>
            </w:tcBorders>
          </w:tcPr>
          <w:p>
            <w:pPr>
              <w:pStyle w:val="TableParagraph"/>
              <w:spacing w:before="124"/>
              <w:ind w:right="244"/>
              <w:jc w:val="right"/>
              <w:rPr>
                <w:b/>
                <w:sz w:val="18"/>
              </w:rPr>
            </w:pPr>
            <w:r>
              <w:rPr>
                <w:b/>
                <w:w w:val="95"/>
                <w:sz w:val="18"/>
              </w:rPr>
              <w:t>1,428,886</w:t>
            </w:r>
          </w:p>
        </w:tc>
        <w:tc>
          <w:tcPr>
            <w:tcW w:w="1139" w:type="dxa"/>
            <w:tcBorders>
              <w:top w:val="single" w:sz="1" w:space="0" w:color="000000"/>
              <w:bottom w:val="single" w:sz="1" w:space="0" w:color="000000"/>
            </w:tcBorders>
          </w:tcPr>
          <w:p>
            <w:pPr>
              <w:pStyle w:val="TableParagraph"/>
              <w:spacing w:before="124"/>
              <w:ind w:right="84"/>
              <w:jc w:val="right"/>
              <w:rPr>
                <w:sz w:val="18"/>
              </w:rPr>
            </w:pPr>
            <w:r>
              <w:rPr>
                <w:w w:val="95"/>
                <w:sz w:val="18"/>
              </w:rPr>
              <w:t>1,054,055</w:t>
            </w:r>
          </w:p>
        </w:tc>
      </w:tr>
    </w:tbl>
    <w:p>
      <w:pPr>
        <w:spacing w:after="0"/>
        <w:jc w:val="right"/>
        <w:rPr>
          <w:sz w:val="18"/>
        </w:rPr>
        <w:sectPr>
          <w:type w:val="continuous"/>
          <w:pgSz w:w="11910" w:h="16840"/>
          <w:pgMar w:top="1580" w:bottom="280" w:left="860" w:right="880"/>
        </w:sectPr>
      </w:pPr>
    </w:p>
    <w:p>
      <w:pPr>
        <w:pStyle w:val="BodyText"/>
        <w:spacing w:before="9"/>
      </w:pPr>
    </w:p>
    <w:p>
      <w:pPr>
        <w:pStyle w:val="Heading9"/>
        <w:numPr>
          <w:ilvl w:val="0"/>
          <w:numId w:val="73"/>
        </w:numPr>
        <w:tabs>
          <w:tab w:pos="504" w:val="left" w:leader="none"/>
        </w:tabs>
        <w:spacing w:line="240" w:lineRule="auto" w:before="77" w:after="0"/>
        <w:ind w:left="504" w:right="0" w:hanging="396"/>
        <w:jc w:val="left"/>
      </w:pPr>
      <w:bookmarkStart w:name="9 Key management personnel disclosures " w:id="211"/>
      <w:bookmarkEnd w:id="211"/>
      <w:r>
        <w:rPr>
          <w:b w:val="0"/>
        </w:rPr>
      </w:r>
      <w:bookmarkStart w:name="(a) Responsible persons and executive of" w:id="212"/>
      <w:bookmarkEnd w:id="212"/>
      <w:r>
        <w:rPr>
          <w:b w:val="0"/>
        </w:rPr>
      </w:r>
      <w:bookmarkStart w:name="(a) Responsible persons and executive of" w:id="213"/>
      <w:bookmarkEnd w:id="213"/>
      <w:r>
        <w:rPr>
          <w:b w:val="0"/>
        </w:rPr>
      </w:r>
      <w:bookmarkStart w:name="(a) Responsible persons and executive of" w:id="214"/>
      <w:bookmarkEnd w:id="214"/>
      <w:r>
        <w:rPr/>
        <w:t>Key</w:t>
      </w:r>
      <w:r>
        <w:rPr/>
        <w:t> management personnel</w:t>
      </w:r>
      <w:r>
        <w:rPr>
          <w:spacing w:val="-10"/>
        </w:rPr>
        <w:t> </w:t>
      </w:r>
      <w:r>
        <w:rPr/>
        <w:t>disclosures</w:t>
      </w:r>
    </w:p>
    <w:p>
      <w:pPr>
        <w:pStyle w:val="BodyText"/>
        <w:spacing w:before="7"/>
        <w:rPr>
          <w:b/>
          <w:sz w:val="26"/>
        </w:rPr>
      </w:pPr>
    </w:p>
    <w:p>
      <w:pPr>
        <w:pStyle w:val="ListParagraph"/>
        <w:numPr>
          <w:ilvl w:val="1"/>
          <w:numId w:val="73"/>
        </w:numPr>
        <w:tabs>
          <w:tab w:pos="1071" w:val="left" w:leader="none"/>
        </w:tabs>
        <w:spacing w:line="240" w:lineRule="auto" w:before="0" w:after="0"/>
        <w:ind w:left="1070" w:right="0" w:hanging="566"/>
        <w:jc w:val="left"/>
        <w:rPr>
          <w:b/>
          <w:sz w:val="18"/>
        </w:rPr>
      </w:pPr>
      <w:r>
        <w:rPr>
          <w:b/>
          <w:sz w:val="18"/>
        </w:rPr>
        <w:t>Responsible persons and executive</w:t>
      </w:r>
      <w:r>
        <w:rPr>
          <w:b/>
          <w:spacing w:val="-1"/>
          <w:sz w:val="18"/>
        </w:rPr>
        <w:t> </w:t>
      </w:r>
      <w:r>
        <w:rPr>
          <w:b/>
          <w:sz w:val="18"/>
        </w:rPr>
        <w:t>officers</w:t>
      </w:r>
    </w:p>
    <w:p>
      <w:pPr>
        <w:pStyle w:val="BodyText"/>
        <w:spacing w:before="4"/>
        <w:rPr>
          <w:b/>
          <w:sz w:val="25"/>
        </w:rPr>
      </w:pPr>
    </w:p>
    <w:p>
      <w:pPr>
        <w:pStyle w:val="BodyText"/>
        <w:ind w:left="1068"/>
      </w:pPr>
      <w:r>
        <w:rPr/>
        <w:t>The following persons were responsible persons and executive officers of Western Sydney University Early Learning Limited during the financial period.</w:t>
      </w:r>
    </w:p>
    <w:p>
      <w:pPr>
        <w:pStyle w:val="BodyText"/>
        <w:spacing w:before="11"/>
        <w:rPr>
          <w:sz w:val="24"/>
        </w:rPr>
      </w:pPr>
    </w:p>
    <w:p>
      <w:pPr>
        <w:pStyle w:val="BodyText"/>
        <w:spacing w:line="573" w:lineRule="auto"/>
        <w:ind w:left="1466" w:right="4801" w:hanging="399"/>
      </w:pPr>
      <w:r>
        <w:rPr/>
        <w:t>Responsible Persons and Executive Officers: Mrs Angie Atkinson - General Manager</w:t>
      </w:r>
    </w:p>
    <w:p>
      <w:pPr>
        <w:pStyle w:val="BodyText"/>
        <w:spacing w:before="8"/>
        <w:ind w:left="1068"/>
      </w:pPr>
      <w:r>
        <w:rPr/>
        <w:t>All responsible persons and executive officers are employees of Western Sydney University Early Learning Limited and are remunerated directly by the entity.</w:t>
      </w:r>
    </w:p>
    <w:p>
      <w:pPr>
        <w:pStyle w:val="BodyText"/>
        <w:spacing w:before="11"/>
        <w:rPr>
          <w:sz w:val="24"/>
        </w:rPr>
      </w:pPr>
    </w:p>
    <w:p>
      <w:pPr>
        <w:pStyle w:val="Heading9"/>
        <w:numPr>
          <w:ilvl w:val="1"/>
          <w:numId w:val="73"/>
        </w:numPr>
        <w:tabs>
          <w:tab w:pos="1071" w:val="left" w:leader="none"/>
        </w:tabs>
        <w:spacing w:line="240" w:lineRule="auto" w:before="0" w:after="0"/>
        <w:ind w:left="1070" w:right="0" w:hanging="566"/>
        <w:jc w:val="left"/>
      </w:pPr>
      <w:r>
        <w:rPr/>
        <w:t>Board of</w:t>
      </w:r>
      <w:r>
        <w:rPr>
          <w:spacing w:val="-1"/>
        </w:rPr>
        <w:t> </w:t>
      </w:r>
      <w:r>
        <w:rPr/>
        <w:t>Directors</w:t>
      </w:r>
    </w:p>
    <w:p>
      <w:pPr>
        <w:pStyle w:val="BodyText"/>
        <w:spacing w:before="6"/>
        <w:rPr>
          <w:b/>
          <w:sz w:val="24"/>
        </w:rPr>
      </w:pPr>
    </w:p>
    <w:p>
      <w:pPr>
        <w:pStyle w:val="BodyText"/>
        <w:ind w:left="1070"/>
      </w:pPr>
      <w:r>
        <w:rPr/>
        <w:t>The following persons were Non-Executive Directors of Western Sydney University Early Learning Limited during the financial period:</w:t>
      </w:r>
    </w:p>
    <w:p>
      <w:pPr>
        <w:pStyle w:val="BodyText"/>
        <w:spacing w:before="11"/>
        <w:rPr>
          <w:sz w:val="24"/>
        </w:rPr>
      </w:pPr>
    </w:p>
    <w:p>
      <w:pPr>
        <w:pStyle w:val="BodyText"/>
        <w:spacing w:line="573" w:lineRule="auto"/>
        <w:ind w:left="1636" w:right="6033"/>
      </w:pPr>
      <w:r>
        <w:rPr/>
        <w:t>Ms Susan Hudson - Chair Mrs Susan Benzie</w:t>
      </w:r>
    </w:p>
    <w:p>
      <w:pPr>
        <w:pStyle w:val="BodyText"/>
        <w:spacing w:before="8"/>
        <w:ind w:left="1636"/>
      </w:pPr>
      <w:r>
        <w:rPr/>
        <w:t>Mrs Ellen Brackenreg</w:t>
      </w:r>
    </w:p>
    <w:p>
      <w:pPr>
        <w:pStyle w:val="BodyText"/>
        <w:spacing w:before="11"/>
        <w:rPr>
          <w:sz w:val="24"/>
        </w:rPr>
      </w:pPr>
    </w:p>
    <w:p>
      <w:pPr>
        <w:pStyle w:val="BodyText"/>
        <w:spacing w:line="573" w:lineRule="auto"/>
        <w:ind w:left="1636" w:right="4112"/>
      </w:pPr>
      <w:r>
        <w:rPr/>
        <w:t>Mrs Denise Fraser (ceased 31 December 2017) Mr Darren Greentree</w:t>
      </w:r>
    </w:p>
    <w:p>
      <w:pPr>
        <w:pStyle w:val="BodyText"/>
        <w:spacing w:before="8"/>
        <w:ind w:left="1636"/>
      </w:pPr>
      <w:r>
        <w:rPr/>
        <w:t>Professor Michele Simons</w:t>
      </w:r>
    </w:p>
    <w:p>
      <w:pPr>
        <w:pStyle w:val="BodyText"/>
        <w:spacing w:before="11"/>
        <w:rPr>
          <w:sz w:val="24"/>
        </w:rPr>
      </w:pPr>
    </w:p>
    <w:p>
      <w:pPr>
        <w:pStyle w:val="BodyText"/>
        <w:ind w:left="1070"/>
      </w:pPr>
      <w:r>
        <w:rPr/>
        <w:t>No Board Member is remunerated for their services.</w:t>
      </w:r>
    </w:p>
    <w:p>
      <w:pPr>
        <w:spacing w:after="0"/>
        <w:sectPr>
          <w:pgSz w:w="11910" w:h="16840"/>
          <w:pgMar w:header="1037" w:footer="512" w:top="2380" w:bottom="700" w:left="900" w:right="1260"/>
        </w:sectPr>
      </w:pPr>
    </w:p>
    <w:p>
      <w:pPr>
        <w:pStyle w:val="BodyText"/>
        <w:spacing w:before="9"/>
      </w:pPr>
    </w:p>
    <w:p>
      <w:pPr>
        <w:pStyle w:val="Heading9"/>
        <w:numPr>
          <w:ilvl w:val="0"/>
          <w:numId w:val="73"/>
        </w:numPr>
        <w:tabs>
          <w:tab w:pos="504" w:val="left" w:leader="none"/>
        </w:tabs>
        <w:spacing w:line="240" w:lineRule="auto" w:before="77" w:after="0"/>
        <w:ind w:left="504" w:right="0" w:hanging="396"/>
        <w:jc w:val="left"/>
      </w:pPr>
      <w:bookmarkStart w:name="10 Remuneration of auditors " w:id="215"/>
      <w:bookmarkEnd w:id="215"/>
      <w:r>
        <w:rPr>
          <w:b w:val="0"/>
        </w:rPr>
      </w:r>
      <w:bookmarkStart w:name="10 Remuneration of auditors " w:id="216"/>
      <w:bookmarkEnd w:id="216"/>
      <w:r>
        <w:rPr/>
        <w:t>Remuneration</w:t>
      </w:r>
      <w:r>
        <w:rPr/>
        <w:t> of auditors</w:t>
      </w:r>
    </w:p>
    <w:p>
      <w:pPr>
        <w:pStyle w:val="BodyText"/>
        <w:spacing w:before="141"/>
        <w:ind w:left="504" w:right="130"/>
      </w:pPr>
      <w:r>
        <w:rPr/>
        <w:t>During the period, the following fees were paid for services provided by the auditor of Western Sydney University Early Learning Limited:</w:t>
      </w:r>
    </w:p>
    <w:p>
      <w:pPr>
        <w:pStyle w:val="BodyText"/>
        <w:spacing w:before="5"/>
        <w:rPr>
          <w:sz w:val="26"/>
        </w:rPr>
      </w:pPr>
    </w:p>
    <w:p>
      <w:pPr>
        <w:spacing w:after="0"/>
        <w:rPr>
          <w:sz w:val="26"/>
        </w:rPr>
        <w:sectPr>
          <w:headerReference w:type="default" r:id="rId118"/>
          <w:pgSz w:w="11910" w:h="16840"/>
          <w:pgMar w:header="1037" w:footer="512" w:top="2380" w:bottom="700" w:left="900" w:right="880"/>
        </w:sectPr>
      </w:pPr>
    </w:p>
    <w:p>
      <w:pPr>
        <w:pStyle w:val="Heading9"/>
        <w:spacing w:before="77"/>
        <w:jc w:val="right"/>
      </w:pPr>
      <w:r>
        <w:rPr/>
        <w:t>2017</w:t>
      </w:r>
    </w:p>
    <w:p>
      <w:pPr>
        <w:spacing w:before="66"/>
        <w:ind w:left="0" w:right="149" w:firstLine="0"/>
        <w:jc w:val="right"/>
        <w:rPr>
          <w:b/>
          <w:sz w:val="18"/>
        </w:rPr>
      </w:pPr>
      <w:bookmarkStart w:name="11 Contingencies " w:id="217"/>
      <w:bookmarkEnd w:id="217"/>
      <w:r>
        <w:rPr/>
      </w:r>
      <w:r>
        <w:rPr>
          <w:b/>
          <w:w w:val="99"/>
          <w:sz w:val="18"/>
        </w:rPr>
        <w:t>$</w:t>
      </w:r>
    </w:p>
    <w:p>
      <w:pPr>
        <w:spacing w:before="77"/>
        <w:ind w:left="821" w:right="525" w:firstLine="0"/>
        <w:jc w:val="center"/>
        <w:rPr>
          <w:b/>
          <w:sz w:val="18"/>
        </w:rPr>
      </w:pPr>
      <w:r>
        <w:rPr/>
        <w:br w:type="column"/>
      </w:r>
      <w:r>
        <w:rPr>
          <w:b/>
          <w:sz w:val="18"/>
        </w:rPr>
        <w:t>2016</w:t>
      </w:r>
    </w:p>
    <w:p>
      <w:pPr>
        <w:spacing w:before="66"/>
        <w:ind w:left="295" w:right="0" w:firstLine="0"/>
        <w:jc w:val="center"/>
        <w:rPr>
          <w:b/>
          <w:sz w:val="18"/>
        </w:rPr>
      </w:pPr>
      <w:r>
        <w:rPr>
          <w:b/>
          <w:w w:val="99"/>
          <w:sz w:val="18"/>
        </w:rPr>
        <w:t>$</w:t>
      </w:r>
    </w:p>
    <w:p>
      <w:pPr>
        <w:spacing w:after="0"/>
        <w:jc w:val="center"/>
        <w:rPr>
          <w:sz w:val="18"/>
        </w:rPr>
        <w:sectPr>
          <w:type w:val="continuous"/>
          <w:pgSz w:w="11910" w:h="16840"/>
          <w:pgMar w:top="1580" w:bottom="280" w:left="900" w:right="880"/>
          <w:cols w:num="2" w:equalWidth="0">
            <w:col w:w="8302" w:space="40"/>
            <w:col w:w="1788"/>
          </w:cols>
        </w:sectPr>
      </w:pPr>
    </w:p>
    <w:p>
      <w:pPr>
        <w:pStyle w:val="BodyText"/>
        <w:tabs>
          <w:tab w:pos="8083" w:val="left" w:leader="none"/>
          <w:tab w:pos="9379" w:val="left" w:leader="none"/>
        </w:tabs>
        <w:spacing w:before="62"/>
        <w:ind w:left="547" w:right="130"/>
      </w:pPr>
      <w:r>
        <w:rPr/>
        <w:pict>
          <v:group style="position:absolute;margin-left:416.445007pt;margin-top:14.706904pt;width:129.75pt;height:1pt;mso-position-horizontal-relative:page;mso-position-vertical-relative:paragraph;z-index:4408;mso-wrap-distance-left:0;mso-wrap-distance-right:0" coordorigin="8329,294" coordsize="2595,20">
            <v:line style="position:absolute" from="8330,296" to="9626,296" stroked="true" strokeweight=".12pt" strokecolor="#000000"/>
            <v:line style="position:absolute" from="8330,298" to="9626,298" stroked="true" strokeweight=".12pt" strokecolor="#000000"/>
            <v:line style="position:absolute" from="8330,300" to="9626,300" stroked="true" strokeweight=".12pt" strokecolor="#000000"/>
            <v:line style="position:absolute" from="8330,303" to="9626,303" stroked="true" strokeweight=".12pt" strokecolor="#000000"/>
            <v:line style="position:absolute" from="8330,305" to="9626,305" stroked="true" strokeweight=".12pt" strokecolor="#000000"/>
            <v:line style="position:absolute" from="8330,308" to="9626,308" stroked="true" strokeweight=".12pt" strokecolor="#000000"/>
            <v:line style="position:absolute" from="8330,310" to="9626,310" stroked="true" strokeweight=".12pt" strokecolor="#000000"/>
            <v:line style="position:absolute" from="8330,312" to="9626,312" stroked="true" strokeweight=".12pt" strokecolor="#000000"/>
            <v:line style="position:absolute" from="9626,296" to="10922,296" stroked="true" strokeweight=".12pt" strokecolor="#000000"/>
            <v:line style="position:absolute" from="9626,298" to="10922,298" stroked="true" strokeweight=".12pt" strokecolor="#000000"/>
            <v:line style="position:absolute" from="9626,300" to="10922,300" stroked="true" strokeweight=".12pt" strokecolor="#000000"/>
            <v:line style="position:absolute" from="9626,303" to="10922,303" stroked="true" strokeweight=".12pt" strokecolor="#000000"/>
            <v:line style="position:absolute" from="9626,305" to="10922,305" stroked="true" strokeweight=".12pt" strokecolor="#000000"/>
            <v:line style="position:absolute" from="9626,308" to="10922,308" stroked="true" strokeweight=".12pt" strokecolor="#000000"/>
            <v:line style="position:absolute" from="9626,310" to="10922,310" stroked="true" strokeweight=".12pt" strokecolor="#000000"/>
            <v:line style="position:absolute" from="9626,312" to="10922,312" stroked="true" strokeweight=".12pt" strokecolor="#000000"/>
            <w10:wrap type="topAndBottom"/>
          </v:group>
        </w:pict>
      </w:r>
      <w:r>
        <w:rPr/>
        <w:t>Audit and review of the</w:t>
      </w:r>
      <w:r>
        <w:rPr>
          <w:spacing w:val="4"/>
        </w:rPr>
        <w:t> </w:t>
      </w:r>
      <w:r>
        <w:rPr/>
        <w:t>financial statements</w:t>
        <w:tab/>
      </w:r>
      <w:r>
        <w:rPr>
          <w:b/>
        </w:rPr>
        <w:t>25,200</w:t>
        <w:tab/>
      </w:r>
      <w:r>
        <w:rPr/>
        <w:t>29,600</w:t>
      </w:r>
    </w:p>
    <w:p>
      <w:pPr>
        <w:pStyle w:val="Heading9"/>
        <w:tabs>
          <w:tab w:pos="8083" w:val="left" w:leader="none"/>
          <w:tab w:pos="9379" w:val="left" w:leader="none"/>
        </w:tabs>
        <w:spacing w:before="2" w:after="25"/>
        <w:ind w:left="547" w:right="130"/>
        <w:rPr>
          <w:b w:val="0"/>
        </w:rPr>
      </w:pPr>
      <w:r>
        <w:rPr/>
        <w:t>Total fees paid to auditors</w:t>
        <w:tab/>
        <w:t>25,200</w:t>
        <w:tab/>
      </w:r>
      <w:r>
        <w:rPr>
          <w:b w:val="0"/>
        </w:rPr>
        <w:t>29,600</w:t>
      </w:r>
    </w:p>
    <w:p>
      <w:pPr>
        <w:pStyle w:val="BodyText"/>
        <w:spacing w:line="48" w:lineRule="exact"/>
        <w:ind w:left="7428"/>
        <w:rPr>
          <w:sz w:val="4"/>
        </w:rPr>
      </w:pPr>
      <w:r>
        <w:rPr>
          <w:position w:val="0"/>
          <w:sz w:val="4"/>
        </w:rPr>
        <w:pict>
          <v:group style="width:129.75pt;height:2.450pt;mso-position-horizontal-relative:char;mso-position-vertical-relative:line" coordorigin="0,0" coordsize="2595,49">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35" to="1298,35" stroked="true" strokeweight=".12pt" strokecolor="#000000"/>
            <v:line style="position:absolute" from="2,38" to="1298,38" stroked="true" strokeweight=".12pt" strokecolor="#000000"/>
            <v:line style="position:absolute" from="2,40" to="1298,40" stroked="true" strokeweight=".12pt" strokecolor="#000000"/>
            <v:line style="position:absolute" from="2,42" to="1298,42" stroked="true" strokeweight=".12pt" strokecolor="#000000"/>
            <v:line style="position:absolute" from="2,45" to="1298,45" stroked="true" strokeweight=".12pt" strokecolor="#000000"/>
            <v:line style="position:absolute" from="2,47" to="1298,47"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35" to="2594,35" stroked="true" strokeweight=".12pt" strokecolor="#000000"/>
            <v:line style="position:absolute" from="1298,38" to="2594,38" stroked="true" strokeweight=".12pt" strokecolor="#000000"/>
            <v:line style="position:absolute" from="1298,40" to="2594,40" stroked="true" strokeweight=".12pt" strokecolor="#000000"/>
            <v:line style="position:absolute" from="1298,42" to="2594,42" stroked="true" strokeweight=".12pt" strokecolor="#000000"/>
            <v:line style="position:absolute" from="1298,45" to="2594,45" stroked="true" strokeweight=".12pt" strokecolor="#000000"/>
            <v:line style="position:absolute" from="1298,47" to="2594,47" stroked="true" strokeweight=".12pt" strokecolor="#000000"/>
          </v:group>
        </w:pict>
      </w:r>
      <w:r>
        <w:rPr>
          <w:position w:val="0"/>
          <w:sz w:val="4"/>
        </w:rPr>
      </w:r>
    </w:p>
    <w:p>
      <w:pPr>
        <w:pStyle w:val="BodyText"/>
        <w:rPr>
          <w:sz w:val="20"/>
        </w:rPr>
      </w:pPr>
    </w:p>
    <w:p>
      <w:pPr>
        <w:pStyle w:val="BodyText"/>
        <w:spacing w:before="10"/>
        <w:rPr>
          <w:sz w:val="28"/>
        </w:rPr>
      </w:pPr>
    </w:p>
    <w:p>
      <w:pPr>
        <w:pStyle w:val="ListParagraph"/>
        <w:numPr>
          <w:ilvl w:val="0"/>
          <w:numId w:val="73"/>
        </w:numPr>
        <w:tabs>
          <w:tab w:pos="504" w:val="left" w:leader="none"/>
        </w:tabs>
        <w:spacing w:line="240" w:lineRule="auto" w:before="77" w:after="0"/>
        <w:ind w:left="504" w:right="0" w:hanging="396"/>
        <w:jc w:val="left"/>
        <w:rPr>
          <w:b/>
          <w:sz w:val="18"/>
        </w:rPr>
      </w:pPr>
      <w:bookmarkStart w:name="12 Commitments " w:id="218"/>
      <w:bookmarkEnd w:id="218"/>
      <w:r>
        <w:rPr/>
      </w:r>
      <w:bookmarkStart w:name="12 Commitments " w:id="219"/>
      <w:bookmarkEnd w:id="219"/>
      <w:r>
        <w:rPr>
          <w:b/>
          <w:sz w:val="18"/>
        </w:rPr>
        <w:t>Contingencies</w:t>
      </w:r>
    </w:p>
    <w:p>
      <w:pPr>
        <w:pStyle w:val="BodyText"/>
        <w:spacing w:before="141"/>
        <w:ind w:left="504" w:right="220"/>
      </w:pPr>
      <w:bookmarkStart w:name="The Company had no commitments at 31 Dec" w:id="220"/>
      <w:bookmarkEnd w:id="220"/>
      <w:r>
        <w:rPr/>
      </w:r>
      <w:r>
        <w:rPr/>
        <w:t>The Company had no contingent liabilities at 31 December 2017.</w:t>
      </w:r>
    </w:p>
    <w:p>
      <w:pPr>
        <w:pStyle w:val="BodyText"/>
      </w:pPr>
    </w:p>
    <w:p>
      <w:pPr>
        <w:pStyle w:val="BodyText"/>
        <w:rPr>
          <w:sz w:val="23"/>
        </w:rPr>
      </w:pPr>
    </w:p>
    <w:p>
      <w:pPr>
        <w:pStyle w:val="Heading9"/>
        <w:numPr>
          <w:ilvl w:val="0"/>
          <w:numId w:val="73"/>
        </w:numPr>
        <w:tabs>
          <w:tab w:pos="504" w:val="left" w:leader="none"/>
        </w:tabs>
        <w:spacing w:line="240" w:lineRule="auto" w:before="0" w:after="0"/>
        <w:ind w:left="504" w:right="0" w:hanging="396"/>
        <w:jc w:val="left"/>
      </w:pPr>
      <w:bookmarkStart w:name="Related Parties" w:id="221"/>
      <w:bookmarkEnd w:id="221"/>
      <w:r>
        <w:rPr>
          <w:b w:val="0"/>
        </w:rPr>
      </w:r>
      <w:bookmarkStart w:name="13 Related Parties " w:id="222"/>
      <w:bookmarkEnd w:id="222"/>
      <w:r>
        <w:rPr>
          <w:b w:val="0"/>
        </w:rPr>
      </w:r>
      <w:bookmarkStart w:name="13 Related Parties " w:id="223"/>
      <w:bookmarkEnd w:id="223"/>
      <w:r>
        <w:rPr/>
        <w:t>Commitments</w:t>
      </w:r>
    </w:p>
    <w:p>
      <w:pPr>
        <w:pStyle w:val="BodyText"/>
        <w:spacing w:before="11"/>
        <w:rPr>
          <w:b/>
          <w:sz w:val="24"/>
        </w:rPr>
      </w:pPr>
    </w:p>
    <w:p>
      <w:pPr>
        <w:pStyle w:val="BodyText"/>
        <w:ind w:left="504" w:right="220"/>
      </w:pPr>
      <w:bookmarkStart w:name="(a) Entities exercising control over the" w:id="224"/>
      <w:bookmarkEnd w:id="224"/>
      <w:r>
        <w:rPr/>
      </w:r>
      <w:r>
        <w:rPr/>
        <w:t>The Company had no commitments at 31 December 2017.</w:t>
      </w:r>
    </w:p>
    <w:p>
      <w:pPr>
        <w:pStyle w:val="BodyText"/>
      </w:pPr>
    </w:p>
    <w:p>
      <w:pPr>
        <w:pStyle w:val="BodyText"/>
      </w:pPr>
    </w:p>
    <w:p>
      <w:pPr>
        <w:pStyle w:val="BodyText"/>
      </w:pPr>
    </w:p>
    <w:p>
      <w:pPr>
        <w:pStyle w:val="Heading9"/>
        <w:numPr>
          <w:ilvl w:val="0"/>
          <w:numId w:val="73"/>
        </w:numPr>
        <w:tabs>
          <w:tab w:pos="504" w:val="left" w:leader="none"/>
        </w:tabs>
        <w:spacing w:line="240" w:lineRule="auto" w:before="161" w:after="0"/>
        <w:ind w:left="504" w:right="0" w:hanging="396"/>
        <w:jc w:val="left"/>
      </w:pPr>
      <w:bookmarkStart w:name="(b) Transactions with related parties" w:id="225"/>
      <w:bookmarkEnd w:id="225"/>
      <w:r>
        <w:rPr>
          <w:b w:val="0"/>
        </w:rPr>
      </w:r>
      <w:bookmarkStart w:name="(b) Transactions with related parties" w:id="226"/>
      <w:bookmarkEnd w:id="226"/>
      <w:r>
        <w:rPr/>
        <w:t>Related</w:t>
      </w:r>
      <w:r>
        <w:rPr>
          <w:spacing w:val="-1"/>
        </w:rPr>
        <w:t> </w:t>
      </w:r>
      <w:r>
        <w:rPr/>
        <w:t>Parties</w:t>
      </w:r>
    </w:p>
    <w:p>
      <w:pPr>
        <w:pStyle w:val="BodyText"/>
        <w:spacing w:before="7"/>
        <w:rPr>
          <w:b/>
          <w:sz w:val="26"/>
        </w:rPr>
      </w:pPr>
    </w:p>
    <w:p>
      <w:pPr>
        <w:pStyle w:val="ListParagraph"/>
        <w:numPr>
          <w:ilvl w:val="1"/>
          <w:numId w:val="73"/>
        </w:numPr>
        <w:tabs>
          <w:tab w:pos="1071" w:val="left" w:leader="none"/>
        </w:tabs>
        <w:spacing w:line="240" w:lineRule="auto" w:before="0" w:after="0"/>
        <w:ind w:left="1070" w:right="0" w:hanging="566"/>
        <w:jc w:val="left"/>
        <w:rPr>
          <w:b/>
          <w:sz w:val="18"/>
        </w:rPr>
      </w:pPr>
      <w:r>
        <w:rPr>
          <w:b/>
          <w:sz w:val="18"/>
        </w:rPr>
        <w:t>Entities exercising control over the</w:t>
      </w:r>
      <w:r>
        <w:rPr>
          <w:b/>
          <w:spacing w:val="-1"/>
          <w:sz w:val="18"/>
        </w:rPr>
        <w:t> </w:t>
      </w:r>
      <w:r>
        <w:rPr>
          <w:b/>
          <w:sz w:val="18"/>
        </w:rPr>
        <w:t>Company</w:t>
      </w:r>
    </w:p>
    <w:p>
      <w:pPr>
        <w:pStyle w:val="BodyText"/>
        <w:spacing w:before="146"/>
        <w:ind w:left="504" w:right="220"/>
      </w:pPr>
      <w:r>
        <w:rPr/>
        <w:t>The ultimate parent entity of the Company is Western Sydney University.</w:t>
      </w:r>
    </w:p>
    <w:p>
      <w:pPr>
        <w:pStyle w:val="BodyText"/>
        <w:spacing w:before="11"/>
        <w:rPr>
          <w:sz w:val="19"/>
        </w:rPr>
      </w:pPr>
    </w:p>
    <w:p>
      <w:pPr>
        <w:spacing w:after="0"/>
        <w:rPr>
          <w:sz w:val="19"/>
        </w:rPr>
        <w:sectPr>
          <w:type w:val="continuous"/>
          <w:pgSz w:w="11910" w:h="16840"/>
          <w:pgMar w:top="1580" w:bottom="280" w:left="900" w:right="880"/>
        </w:sectPr>
      </w:pPr>
    </w:p>
    <w:p>
      <w:pPr>
        <w:pStyle w:val="Heading9"/>
        <w:numPr>
          <w:ilvl w:val="1"/>
          <w:numId w:val="73"/>
        </w:numPr>
        <w:tabs>
          <w:tab w:pos="1071" w:val="left" w:leader="none"/>
        </w:tabs>
        <w:spacing w:line="240" w:lineRule="auto" w:before="77" w:after="0"/>
        <w:ind w:left="1070" w:right="0" w:hanging="566"/>
        <w:jc w:val="left"/>
      </w:pPr>
      <w:r>
        <w:rPr/>
        <w:t>Transactions with related</w:t>
      </w:r>
      <w:r>
        <w:rPr>
          <w:spacing w:val="3"/>
        </w:rPr>
        <w:t> </w:t>
      </w:r>
      <w:r>
        <w:rPr/>
        <w:t>parties</w:t>
      </w:r>
    </w:p>
    <w:p>
      <w:pPr>
        <w:pStyle w:val="BodyText"/>
        <w:spacing w:before="146"/>
        <w:ind w:left="504"/>
      </w:pPr>
      <w:r>
        <w:rPr/>
        <w:t>The following transactions occurred with related parties:</w:t>
      </w:r>
    </w:p>
    <w:p>
      <w:pPr>
        <w:pStyle w:val="BodyText"/>
      </w:pPr>
    </w:p>
    <w:p>
      <w:pPr>
        <w:pStyle w:val="BodyText"/>
      </w:pPr>
    </w:p>
    <w:p>
      <w:pPr>
        <w:pStyle w:val="BodyText"/>
        <w:spacing w:before="3"/>
        <w:rPr>
          <w:sz w:val="21"/>
        </w:rPr>
      </w:pPr>
    </w:p>
    <w:p>
      <w:pPr>
        <w:pStyle w:val="Heading9"/>
        <w:spacing w:before="1"/>
        <w:ind w:left="597"/>
      </w:pPr>
      <w:r>
        <w:rPr/>
        <w:t>Related Party Income</w:t>
      </w:r>
    </w:p>
    <w:p>
      <w:pPr>
        <w:pStyle w:val="BodyText"/>
        <w:rPr>
          <w:b/>
        </w:rPr>
      </w:pPr>
      <w:r>
        <w:rPr/>
        <w:br w:type="column"/>
      </w:r>
      <w:r>
        <w:rPr>
          <w:b/>
        </w:rPr>
      </w:r>
    </w:p>
    <w:p>
      <w:pPr>
        <w:pStyle w:val="BodyText"/>
        <w:rPr>
          <w:b/>
        </w:rPr>
      </w:pPr>
    </w:p>
    <w:p>
      <w:pPr>
        <w:pStyle w:val="BodyText"/>
        <w:spacing w:before="3"/>
        <w:rPr>
          <w:b/>
          <w:sz w:val="22"/>
        </w:rPr>
      </w:pPr>
    </w:p>
    <w:p>
      <w:pPr>
        <w:spacing w:before="0"/>
        <w:ind w:left="503" w:right="0" w:firstLine="0"/>
        <w:jc w:val="center"/>
        <w:rPr>
          <w:b/>
          <w:sz w:val="18"/>
        </w:rPr>
      </w:pPr>
      <w:r>
        <w:rPr>
          <w:b/>
          <w:sz w:val="18"/>
        </w:rPr>
        <w:t>2017</w:t>
      </w:r>
    </w:p>
    <w:p>
      <w:pPr>
        <w:spacing w:before="66"/>
        <w:ind w:left="0" w:right="149" w:firstLine="0"/>
        <w:jc w:val="right"/>
        <w:rPr>
          <w:b/>
          <w:sz w:val="18"/>
        </w:rPr>
      </w:pPr>
      <w:r>
        <w:rPr>
          <w:b/>
          <w:w w:val="99"/>
          <w:sz w:val="18"/>
        </w:rPr>
        <w:t>$</w:t>
      </w:r>
    </w:p>
    <w:p>
      <w:pPr>
        <w:pStyle w:val="BodyText"/>
        <w:rPr>
          <w:b/>
        </w:rPr>
      </w:pPr>
      <w:r>
        <w:rPr/>
        <w:br w:type="column"/>
      </w:r>
      <w:r>
        <w:rPr>
          <w:b/>
        </w:rPr>
      </w:r>
    </w:p>
    <w:p>
      <w:pPr>
        <w:pStyle w:val="BodyText"/>
        <w:rPr>
          <w:b/>
        </w:rPr>
      </w:pPr>
    </w:p>
    <w:p>
      <w:pPr>
        <w:pStyle w:val="BodyText"/>
        <w:spacing w:before="3"/>
        <w:rPr>
          <w:b/>
          <w:sz w:val="22"/>
        </w:rPr>
      </w:pPr>
    </w:p>
    <w:p>
      <w:pPr>
        <w:spacing w:before="0"/>
        <w:ind w:left="488" w:right="526" w:firstLine="0"/>
        <w:jc w:val="center"/>
        <w:rPr>
          <w:b/>
          <w:sz w:val="18"/>
        </w:rPr>
      </w:pPr>
      <w:r>
        <w:rPr>
          <w:b/>
          <w:sz w:val="18"/>
        </w:rPr>
        <w:t>2016</w:t>
      </w:r>
    </w:p>
    <w:p>
      <w:pPr>
        <w:spacing w:before="66"/>
        <w:ind w:left="0" w:right="39" w:firstLine="0"/>
        <w:jc w:val="center"/>
        <w:rPr>
          <w:b/>
          <w:sz w:val="18"/>
        </w:rPr>
      </w:pPr>
      <w:r>
        <w:rPr>
          <w:b/>
          <w:w w:val="99"/>
          <w:sz w:val="18"/>
        </w:rPr>
        <w:t>$</w:t>
      </w:r>
    </w:p>
    <w:p>
      <w:pPr>
        <w:spacing w:after="0"/>
        <w:jc w:val="center"/>
        <w:rPr>
          <w:sz w:val="18"/>
        </w:rPr>
        <w:sectPr>
          <w:type w:val="continuous"/>
          <w:pgSz w:w="11910" w:h="16840"/>
          <w:pgMar w:top="1580" w:bottom="280" w:left="900" w:right="880"/>
          <w:cols w:num="3" w:equalWidth="0">
            <w:col w:w="4972" w:space="2420"/>
            <w:col w:w="908" w:space="374"/>
            <w:col w:w="1456"/>
          </w:cols>
        </w:sectPr>
      </w:pPr>
    </w:p>
    <w:p>
      <w:pPr>
        <w:pStyle w:val="BodyText"/>
        <w:spacing w:before="1"/>
        <w:rPr>
          <w:b/>
          <w:sz w:val="3"/>
        </w:rPr>
      </w:pPr>
    </w:p>
    <w:tbl>
      <w:tblPr>
        <w:tblW w:w="0" w:type="auto"/>
        <w:jc w:val="left"/>
        <w:tblInd w:w="9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510"/>
        <w:gridCol w:w="1528"/>
        <w:gridCol w:w="1064"/>
      </w:tblGrid>
      <w:tr>
        <w:trPr>
          <w:trHeight w:val="248" w:hRule="exact"/>
        </w:trPr>
        <w:tc>
          <w:tcPr>
            <w:tcW w:w="6510" w:type="dxa"/>
          </w:tcPr>
          <w:p>
            <w:pPr>
              <w:pStyle w:val="TableParagraph"/>
              <w:spacing w:line="202" w:lineRule="exact"/>
              <w:ind w:left="35"/>
              <w:rPr>
                <w:sz w:val="18"/>
              </w:rPr>
            </w:pPr>
            <w:r>
              <w:rPr>
                <w:sz w:val="18"/>
              </w:rPr>
              <w:t>Discount funding</w:t>
            </w:r>
          </w:p>
        </w:tc>
        <w:tc>
          <w:tcPr>
            <w:tcW w:w="1528" w:type="dxa"/>
          </w:tcPr>
          <w:p>
            <w:pPr>
              <w:pStyle w:val="TableParagraph"/>
              <w:spacing w:line="199" w:lineRule="exact"/>
              <w:ind w:right="318"/>
              <w:jc w:val="right"/>
              <w:rPr>
                <w:b/>
                <w:sz w:val="18"/>
              </w:rPr>
            </w:pPr>
            <w:r>
              <w:rPr>
                <w:b/>
                <w:w w:val="95"/>
                <w:sz w:val="18"/>
              </w:rPr>
              <w:t>355,465</w:t>
            </w:r>
          </w:p>
        </w:tc>
        <w:tc>
          <w:tcPr>
            <w:tcW w:w="1064" w:type="dxa"/>
          </w:tcPr>
          <w:p>
            <w:pPr>
              <w:pStyle w:val="TableParagraph"/>
              <w:spacing w:line="199" w:lineRule="exact"/>
              <w:ind w:right="88"/>
              <w:jc w:val="right"/>
              <w:rPr>
                <w:sz w:val="18"/>
              </w:rPr>
            </w:pPr>
            <w:r>
              <w:rPr>
                <w:w w:val="95"/>
                <w:sz w:val="18"/>
              </w:rPr>
              <w:t>327,159</w:t>
            </w:r>
          </w:p>
        </w:tc>
      </w:tr>
      <w:tr>
        <w:trPr>
          <w:trHeight w:val="274" w:hRule="exact"/>
        </w:trPr>
        <w:tc>
          <w:tcPr>
            <w:tcW w:w="6510" w:type="dxa"/>
          </w:tcPr>
          <w:p>
            <w:pPr>
              <w:pStyle w:val="TableParagraph"/>
              <w:spacing w:before="30"/>
              <w:ind w:left="35"/>
              <w:rPr>
                <w:sz w:val="18"/>
              </w:rPr>
            </w:pPr>
            <w:r>
              <w:rPr>
                <w:sz w:val="18"/>
              </w:rPr>
              <w:t>Other services</w:t>
            </w:r>
          </w:p>
        </w:tc>
        <w:tc>
          <w:tcPr>
            <w:tcW w:w="1528" w:type="dxa"/>
          </w:tcPr>
          <w:p>
            <w:pPr>
              <w:pStyle w:val="TableParagraph"/>
              <w:spacing w:before="27"/>
              <w:ind w:right="318"/>
              <w:jc w:val="right"/>
              <w:rPr>
                <w:b/>
                <w:sz w:val="18"/>
              </w:rPr>
            </w:pPr>
            <w:r>
              <w:rPr>
                <w:b/>
                <w:w w:val="95"/>
                <w:sz w:val="18"/>
              </w:rPr>
              <w:t>124,009</w:t>
            </w:r>
          </w:p>
        </w:tc>
        <w:tc>
          <w:tcPr>
            <w:tcW w:w="1064" w:type="dxa"/>
          </w:tcPr>
          <w:p>
            <w:pPr>
              <w:pStyle w:val="TableParagraph"/>
              <w:spacing w:before="27"/>
              <w:ind w:right="88"/>
              <w:jc w:val="right"/>
              <w:rPr>
                <w:sz w:val="18"/>
              </w:rPr>
            </w:pPr>
            <w:r>
              <w:rPr>
                <w:w w:val="95"/>
                <w:sz w:val="18"/>
              </w:rPr>
              <w:t>186,999</w:t>
            </w:r>
          </w:p>
        </w:tc>
      </w:tr>
      <w:tr>
        <w:trPr>
          <w:trHeight w:val="260" w:hRule="exact"/>
        </w:trPr>
        <w:tc>
          <w:tcPr>
            <w:tcW w:w="6510" w:type="dxa"/>
          </w:tcPr>
          <w:p>
            <w:pPr>
              <w:pStyle w:val="TableParagraph"/>
              <w:spacing w:before="20"/>
              <w:ind w:left="35"/>
              <w:rPr>
                <w:sz w:val="18"/>
              </w:rPr>
            </w:pPr>
            <w:r>
              <w:rPr>
                <w:sz w:val="18"/>
              </w:rPr>
              <w:t>Interest received</w:t>
            </w:r>
          </w:p>
        </w:tc>
        <w:tc>
          <w:tcPr>
            <w:tcW w:w="1528" w:type="dxa"/>
            <w:tcBorders>
              <w:bottom w:val="single" w:sz="1" w:space="0" w:color="000000"/>
            </w:tcBorders>
          </w:tcPr>
          <w:p>
            <w:pPr>
              <w:pStyle w:val="TableParagraph"/>
              <w:spacing w:before="18"/>
              <w:ind w:right="318"/>
              <w:jc w:val="right"/>
              <w:rPr>
                <w:b/>
                <w:sz w:val="18"/>
              </w:rPr>
            </w:pPr>
            <w:r>
              <w:rPr>
                <w:b/>
                <w:w w:val="95"/>
                <w:sz w:val="18"/>
              </w:rPr>
              <w:t>50,563</w:t>
            </w:r>
          </w:p>
        </w:tc>
        <w:tc>
          <w:tcPr>
            <w:tcW w:w="1064" w:type="dxa"/>
            <w:tcBorders>
              <w:bottom w:val="single" w:sz="1" w:space="0" w:color="000000"/>
            </w:tcBorders>
          </w:tcPr>
          <w:p>
            <w:pPr>
              <w:pStyle w:val="TableParagraph"/>
              <w:spacing w:before="18"/>
              <w:ind w:right="87"/>
              <w:jc w:val="right"/>
              <w:rPr>
                <w:sz w:val="18"/>
              </w:rPr>
            </w:pPr>
            <w:r>
              <w:rPr>
                <w:w w:val="95"/>
                <w:sz w:val="18"/>
              </w:rPr>
              <w:t>37,479</w:t>
            </w:r>
          </w:p>
        </w:tc>
      </w:tr>
    </w:tbl>
    <w:p>
      <w:pPr>
        <w:tabs>
          <w:tab w:pos="7979" w:val="left" w:leader="none"/>
          <w:tab w:pos="9275" w:val="left" w:leader="none"/>
        </w:tabs>
        <w:spacing w:before="123"/>
        <w:ind w:left="597" w:right="130" w:firstLine="0"/>
        <w:jc w:val="left"/>
        <w:rPr>
          <w:sz w:val="18"/>
        </w:rPr>
      </w:pPr>
      <w:r>
        <w:rPr>
          <w:b/>
          <w:sz w:val="18"/>
        </w:rPr>
        <w:t>Total subsidies received</w:t>
        <w:tab/>
        <w:t>530,037</w:t>
        <w:tab/>
      </w:r>
      <w:r>
        <w:rPr>
          <w:sz w:val="18"/>
        </w:rPr>
        <w:t>551,637</w:t>
      </w:r>
    </w:p>
    <w:p>
      <w:pPr>
        <w:pStyle w:val="BodyText"/>
        <w:spacing w:line="48" w:lineRule="exact"/>
        <w:ind w:left="7426"/>
        <w:rPr>
          <w:sz w:val="4"/>
        </w:rPr>
      </w:pPr>
      <w:r>
        <w:rPr>
          <w:position w:val="0"/>
          <w:sz w:val="4"/>
        </w:rPr>
        <w:pict>
          <v:group style="width:129.75pt;height:2.450pt;mso-position-horizontal-relative:char;mso-position-vertical-relative:line" coordorigin="0,0" coordsize="2595,49">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35" to="1298,35" stroked="true" strokeweight=".12pt" strokecolor="#000000"/>
            <v:line style="position:absolute" from="2,38" to="1298,38" stroked="true" strokeweight=".12pt" strokecolor="#000000"/>
            <v:line style="position:absolute" from="2,40" to="1298,40" stroked="true" strokeweight=".12pt" strokecolor="#000000"/>
            <v:line style="position:absolute" from="2,42" to="1298,42" stroked="true" strokeweight=".12pt" strokecolor="#000000"/>
            <v:line style="position:absolute" from="2,45" to="1298,45" stroked="true" strokeweight=".12pt" strokecolor="#000000"/>
            <v:line style="position:absolute" from="2,47" to="1298,47"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35" to="2594,35" stroked="true" strokeweight=".12pt" strokecolor="#000000"/>
            <v:line style="position:absolute" from="1298,38" to="2594,38" stroked="true" strokeweight=".12pt" strokecolor="#000000"/>
            <v:line style="position:absolute" from="1298,40" to="2594,40" stroked="true" strokeweight=".12pt" strokecolor="#000000"/>
            <v:line style="position:absolute" from="1298,42" to="2594,42" stroked="true" strokeweight=".12pt" strokecolor="#000000"/>
            <v:line style="position:absolute" from="1298,45" to="2594,45" stroked="true" strokeweight=".12pt" strokecolor="#000000"/>
            <v:line style="position:absolute" from="1298,47" to="2594,47" stroked="true" strokeweight=".12pt" strokecolor="#000000"/>
          </v:group>
        </w:pict>
      </w:r>
      <w:r>
        <w:rPr>
          <w:position w:val="0"/>
          <w:sz w:val="4"/>
        </w:rPr>
      </w:r>
    </w:p>
    <w:p>
      <w:pPr>
        <w:pStyle w:val="BodyText"/>
        <w:spacing w:before="5"/>
        <w:rPr>
          <w:sz w:val="26"/>
        </w:rPr>
      </w:pPr>
    </w:p>
    <w:p>
      <w:pPr>
        <w:spacing w:after="0"/>
        <w:rPr>
          <w:sz w:val="26"/>
        </w:rPr>
        <w:sectPr>
          <w:type w:val="continuous"/>
          <w:pgSz w:w="11910" w:h="16840"/>
          <w:pgMar w:top="1580" w:bottom="280" w:left="900" w:right="880"/>
        </w:sectPr>
      </w:pPr>
    </w:p>
    <w:p>
      <w:pPr>
        <w:pStyle w:val="BodyText"/>
      </w:pPr>
    </w:p>
    <w:p>
      <w:pPr>
        <w:pStyle w:val="BodyText"/>
      </w:pPr>
    </w:p>
    <w:p>
      <w:pPr>
        <w:pStyle w:val="BodyText"/>
        <w:spacing w:before="2"/>
        <w:rPr>
          <w:sz w:val="25"/>
        </w:rPr>
      </w:pPr>
    </w:p>
    <w:p>
      <w:pPr>
        <w:spacing w:before="0"/>
        <w:ind w:left="597" w:right="-12" w:firstLine="0"/>
        <w:jc w:val="left"/>
        <w:rPr>
          <w:b/>
          <w:sz w:val="18"/>
        </w:rPr>
      </w:pPr>
      <w:r>
        <w:rPr>
          <w:b/>
          <w:sz w:val="18"/>
        </w:rPr>
        <w:t>Related Party</w:t>
      </w:r>
      <w:r>
        <w:rPr>
          <w:b/>
          <w:spacing w:val="-10"/>
          <w:sz w:val="18"/>
        </w:rPr>
        <w:t> </w:t>
      </w:r>
      <w:r>
        <w:rPr>
          <w:b/>
          <w:sz w:val="18"/>
        </w:rPr>
        <w:t>Receivables</w:t>
      </w:r>
    </w:p>
    <w:p>
      <w:pPr>
        <w:spacing w:before="77"/>
        <w:ind w:left="597" w:right="0" w:firstLine="0"/>
        <w:jc w:val="center"/>
        <w:rPr>
          <w:b/>
          <w:sz w:val="18"/>
        </w:rPr>
      </w:pPr>
      <w:r>
        <w:rPr/>
        <w:br w:type="column"/>
      </w:r>
      <w:r>
        <w:rPr>
          <w:b/>
          <w:sz w:val="18"/>
        </w:rPr>
        <w:t>2017</w:t>
      </w:r>
    </w:p>
    <w:p>
      <w:pPr>
        <w:spacing w:before="66"/>
        <w:ind w:left="0" w:right="149" w:firstLine="0"/>
        <w:jc w:val="right"/>
        <w:rPr>
          <w:b/>
          <w:sz w:val="18"/>
        </w:rPr>
      </w:pPr>
      <w:r>
        <w:rPr>
          <w:b/>
          <w:w w:val="99"/>
          <w:sz w:val="18"/>
        </w:rPr>
        <w:t>$</w:t>
      </w:r>
    </w:p>
    <w:p>
      <w:pPr>
        <w:spacing w:before="77"/>
        <w:ind w:left="581" w:right="531" w:firstLine="0"/>
        <w:jc w:val="center"/>
        <w:rPr>
          <w:b/>
          <w:sz w:val="18"/>
        </w:rPr>
      </w:pPr>
      <w:r>
        <w:rPr/>
        <w:br w:type="column"/>
      </w:r>
      <w:r>
        <w:rPr>
          <w:b/>
          <w:sz w:val="18"/>
        </w:rPr>
        <w:t>2016</w:t>
      </w:r>
    </w:p>
    <w:p>
      <w:pPr>
        <w:spacing w:before="66"/>
        <w:ind w:left="49" w:right="0" w:firstLine="0"/>
        <w:jc w:val="center"/>
        <w:rPr>
          <w:b/>
          <w:sz w:val="18"/>
        </w:rPr>
      </w:pPr>
      <w:r>
        <w:rPr>
          <w:b/>
          <w:w w:val="99"/>
          <w:sz w:val="18"/>
        </w:rPr>
        <w:t>$</w:t>
      </w:r>
    </w:p>
    <w:p>
      <w:pPr>
        <w:spacing w:after="0"/>
        <w:jc w:val="center"/>
        <w:rPr>
          <w:sz w:val="18"/>
        </w:rPr>
        <w:sectPr>
          <w:type w:val="continuous"/>
          <w:pgSz w:w="11910" w:h="16840"/>
          <w:pgMar w:top="1580" w:bottom="280" w:left="900" w:right="880"/>
          <w:cols w:num="3" w:equalWidth="0">
            <w:col w:w="2837" w:space="4459"/>
            <w:col w:w="1001" w:space="280"/>
            <w:col w:w="1553"/>
          </w:cols>
        </w:sectPr>
      </w:pPr>
    </w:p>
    <w:p>
      <w:pPr>
        <w:pStyle w:val="BodyText"/>
        <w:spacing w:before="1"/>
        <w:rPr>
          <w:b/>
          <w:sz w:val="3"/>
        </w:rPr>
      </w:pPr>
    </w:p>
    <w:tbl>
      <w:tblPr>
        <w:tblW w:w="0" w:type="auto"/>
        <w:jc w:val="left"/>
        <w:tblInd w:w="86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558"/>
        <w:gridCol w:w="1452"/>
        <w:gridCol w:w="1140"/>
      </w:tblGrid>
      <w:tr>
        <w:trPr>
          <w:trHeight w:val="238" w:hRule="exact"/>
        </w:trPr>
        <w:tc>
          <w:tcPr>
            <w:tcW w:w="6558" w:type="dxa"/>
          </w:tcPr>
          <w:p>
            <w:pPr>
              <w:pStyle w:val="TableParagraph"/>
              <w:spacing w:line="202" w:lineRule="exact"/>
              <w:ind w:left="35"/>
              <w:rPr>
                <w:sz w:val="18"/>
              </w:rPr>
            </w:pPr>
            <w:r>
              <w:rPr>
                <w:sz w:val="18"/>
              </w:rPr>
              <w:t>Parent Entity trade receivable</w:t>
            </w:r>
          </w:p>
        </w:tc>
        <w:tc>
          <w:tcPr>
            <w:tcW w:w="1452" w:type="dxa"/>
          </w:tcPr>
          <w:p>
            <w:pPr>
              <w:pStyle w:val="TableParagraph"/>
              <w:spacing w:line="199" w:lineRule="exact"/>
              <w:ind w:right="242"/>
              <w:jc w:val="right"/>
              <w:rPr>
                <w:b/>
                <w:sz w:val="18"/>
              </w:rPr>
            </w:pPr>
            <w:r>
              <w:rPr>
                <w:b/>
                <w:w w:val="99"/>
                <w:sz w:val="18"/>
              </w:rPr>
              <w:t>-</w:t>
            </w:r>
          </w:p>
        </w:tc>
        <w:tc>
          <w:tcPr>
            <w:tcW w:w="1140" w:type="dxa"/>
          </w:tcPr>
          <w:p>
            <w:pPr>
              <w:pStyle w:val="TableParagraph"/>
              <w:spacing w:line="199" w:lineRule="exact"/>
              <w:ind w:right="87"/>
              <w:jc w:val="right"/>
              <w:rPr>
                <w:sz w:val="18"/>
              </w:rPr>
            </w:pPr>
            <w:r>
              <w:rPr>
                <w:w w:val="95"/>
                <w:sz w:val="18"/>
              </w:rPr>
              <w:t>65,682</w:t>
            </w:r>
          </w:p>
        </w:tc>
      </w:tr>
      <w:tr>
        <w:trPr>
          <w:trHeight w:val="260" w:hRule="exact"/>
        </w:trPr>
        <w:tc>
          <w:tcPr>
            <w:tcW w:w="6558" w:type="dxa"/>
          </w:tcPr>
          <w:p>
            <w:pPr>
              <w:pStyle w:val="TableParagraph"/>
              <w:spacing w:before="20"/>
              <w:ind w:left="35"/>
              <w:rPr>
                <w:sz w:val="18"/>
              </w:rPr>
            </w:pPr>
            <w:r>
              <w:rPr>
                <w:sz w:val="18"/>
              </w:rPr>
              <w:t>Loan to Parent Entity</w:t>
            </w:r>
          </w:p>
        </w:tc>
        <w:tc>
          <w:tcPr>
            <w:tcW w:w="1452" w:type="dxa"/>
            <w:tcBorders>
              <w:bottom w:val="single" w:sz="1" w:space="0" w:color="000000"/>
            </w:tcBorders>
          </w:tcPr>
          <w:p>
            <w:pPr>
              <w:pStyle w:val="TableParagraph"/>
              <w:spacing w:before="18"/>
              <w:ind w:right="243"/>
              <w:jc w:val="right"/>
              <w:rPr>
                <w:b/>
                <w:sz w:val="18"/>
              </w:rPr>
            </w:pPr>
            <w:r>
              <w:rPr>
                <w:b/>
                <w:w w:val="95"/>
                <w:sz w:val="18"/>
              </w:rPr>
              <w:t>2,199,145</w:t>
            </w:r>
          </w:p>
        </w:tc>
        <w:tc>
          <w:tcPr>
            <w:tcW w:w="1140" w:type="dxa"/>
            <w:tcBorders>
              <w:bottom w:val="single" w:sz="1" w:space="0" w:color="000000"/>
            </w:tcBorders>
          </w:tcPr>
          <w:p>
            <w:pPr>
              <w:pStyle w:val="TableParagraph"/>
              <w:spacing w:before="18"/>
              <w:ind w:right="87"/>
              <w:jc w:val="right"/>
              <w:rPr>
                <w:sz w:val="18"/>
              </w:rPr>
            </w:pPr>
            <w:r>
              <w:rPr>
                <w:w w:val="95"/>
                <w:sz w:val="18"/>
              </w:rPr>
              <w:t>1,576,133</w:t>
            </w:r>
          </w:p>
        </w:tc>
      </w:tr>
    </w:tbl>
    <w:p>
      <w:pPr>
        <w:tabs>
          <w:tab w:pos="7826" w:val="left" w:leader="none"/>
          <w:tab w:pos="9122" w:val="left" w:leader="none"/>
        </w:tabs>
        <w:spacing w:before="123"/>
        <w:ind w:left="547" w:right="130" w:firstLine="0"/>
        <w:jc w:val="left"/>
        <w:rPr>
          <w:sz w:val="18"/>
        </w:rPr>
      </w:pPr>
      <w:r>
        <w:rPr>
          <w:b/>
          <w:sz w:val="18"/>
        </w:rPr>
        <w:t>Total related</w:t>
      </w:r>
      <w:r>
        <w:rPr>
          <w:b/>
          <w:spacing w:val="-1"/>
          <w:sz w:val="18"/>
        </w:rPr>
        <w:t> </w:t>
      </w:r>
      <w:r>
        <w:rPr>
          <w:b/>
          <w:sz w:val="18"/>
        </w:rPr>
        <w:t>party</w:t>
      </w:r>
      <w:r>
        <w:rPr>
          <w:b/>
          <w:spacing w:val="-9"/>
          <w:sz w:val="18"/>
        </w:rPr>
        <w:t> </w:t>
      </w:r>
      <w:r>
        <w:rPr>
          <w:b/>
          <w:sz w:val="18"/>
        </w:rPr>
        <w:t>receivables</w:t>
        <w:tab/>
        <w:t>2,199,145</w:t>
        <w:tab/>
      </w:r>
      <w:r>
        <w:rPr>
          <w:sz w:val="18"/>
        </w:rPr>
        <w:t>1,641,815</w:t>
      </w:r>
    </w:p>
    <w:p>
      <w:pPr>
        <w:pStyle w:val="BodyText"/>
        <w:spacing w:line="48" w:lineRule="exact"/>
        <w:ind w:left="7424"/>
        <w:rPr>
          <w:sz w:val="4"/>
        </w:rPr>
      </w:pPr>
      <w:r>
        <w:rPr>
          <w:position w:val="0"/>
          <w:sz w:val="4"/>
        </w:rPr>
        <w:pict>
          <v:group style="width:129.75pt;height:2.450pt;mso-position-horizontal-relative:char;mso-position-vertical-relative:line" coordorigin="0,0" coordsize="2595,49">
            <v:line style="position:absolute" from="2,2" to="1298,2" stroked="true" strokeweight=".12pt" strokecolor="#000000"/>
            <v:line style="position:absolute" from="2,4" to="1298,4" stroked="true" strokeweight=".12pt" strokecolor="#000000"/>
            <v:line style="position:absolute" from="2,6" to="1298,6" stroked="true" strokeweight=".12pt" strokecolor="#000000"/>
            <v:line style="position:absolute" from="2,9" to="1298,9" stroked="true" strokeweight=".12pt" strokecolor="#000000"/>
            <v:line style="position:absolute" from="2,11" to="1298,11" stroked="true" strokeweight=".12pt" strokecolor="#000000"/>
            <v:line style="position:absolute" from="2,14" to="1298,14" stroked="true" strokeweight=".12pt" strokecolor="#000000"/>
            <v:line style="position:absolute" from="2,35" to="1298,35" stroked="true" strokeweight=".12pt" strokecolor="#000000"/>
            <v:line style="position:absolute" from="2,38" to="1298,38" stroked="true" strokeweight=".12pt" strokecolor="#000000"/>
            <v:line style="position:absolute" from="2,40" to="1298,40" stroked="true" strokeweight=".12pt" strokecolor="#000000"/>
            <v:line style="position:absolute" from="2,42" to="1298,42" stroked="true" strokeweight=".12pt" strokecolor="#000000"/>
            <v:line style="position:absolute" from="2,45" to="1298,45" stroked="true" strokeweight=".12pt" strokecolor="#000000"/>
            <v:line style="position:absolute" from="2,47" to="1298,47" stroked="true" strokeweight=".12pt" strokecolor="#000000"/>
            <v:line style="position:absolute" from="1298,2" to="2594,2" stroked="true" strokeweight=".12pt" strokecolor="#000000"/>
            <v:line style="position:absolute" from="1298,4" to="2594,4" stroked="true" strokeweight=".12pt" strokecolor="#000000"/>
            <v:line style="position:absolute" from="1298,6" to="2594,6" stroked="true" strokeweight=".12pt" strokecolor="#000000"/>
            <v:line style="position:absolute" from="1298,9" to="2594,9" stroked="true" strokeweight=".12pt" strokecolor="#000000"/>
            <v:line style="position:absolute" from="1298,11" to="2594,11" stroked="true" strokeweight=".12pt" strokecolor="#000000"/>
            <v:line style="position:absolute" from="1298,14" to="2594,14" stroked="true" strokeweight=".12pt" strokecolor="#000000"/>
            <v:line style="position:absolute" from="1298,35" to="2594,35" stroked="true" strokeweight=".12pt" strokecolor="#000000"/>
            <v:line style="position:absolute" from="1298,38" to="2594,38" stroked="true" strokeweight=".12pt" strokecolor="#000000"/>
            <v:line style="position:absolute" from="1298,40" to="2594,40" stroked="true" strokeweight=".12pt" strokecolor="#000000"/>
            <v:line style="position:absolute" from="1298,42" to="2594,42" stroked="true" strokeweight=".12pt" strokecolor="#000000"/>
            <v:line style="position:absolute" from="1298,45" to="2594,45" stroked="true" strokeweight=".12pt" strokecolor="#000000"/>
            <v:line style="position:absolute" from="1298,47" to="2594,47" stroked="true" strokeweight=".12pt" strokecolor="#000000"/>
          </v:group>
        </w:pict>
      </w:r>
      <w:r>
        <w:rPr>
          <w:position w:val="0"/>
          <w:sz w:val="4"/>
        </w:rPr>
      </w:r>
    </w:p>
    <w:p>
      <w:pPr>
        <w:spacing w:after="0" w:line="48" w:lineRule="exact"/>
        <w:rPr>
          <w:sz w:val="4"/>
        </w:rPr>
        <w:sectPr>
          <w:type w:val="continuous"/>
          <w:pgSz w:w="11910" w:h="16840"/>
          <w:pgMar w:top="1580" w:bottom="280" w:left="900" w:right="880"/>
        </w:sectPr>
      </w:pPr>
    </w:p>
    <w:p>
      <w:pPr>
        <w:pStyle w:val="BodyText"/>
        <w:spacing w:before="9"/>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4"/>
        <w:gridCol w:w="7520"/>
        <w:gridCol w:w="1195"/>
        <w:gridCol w:w="900"/>
      </w:tblGrid>
      <w:tr>
        <w:trPr>
          <w:trHeight w:val="567" w:hRule="exact"/>
        </w:trPr>
        <w:tc>
          <w:tcPr>
            <w:tcW w:w="334" w:type="dxa"/>
          </w:tcPr>
          <w:p>
            <w:pPr>
              <w:pStyle w:val="TableParagraph"/>
              <w:spacing w:before="77"/>
              <w:ind w:left="35"/>
              <w:rPr>
                <w:b/>
                <w:sz w:val="18"/>
              </w:rPr>
            </w:pPr>
            <w:bookmarkStart w:name="14 Reconciliation of operating surplus t" w:id="227"/>
            <w:bookmarkEnd w:id="227"/>
            <w:r>
              <w:rPr/>
            </w:r>
            <w:r>
              <w:rPr>
                <w:b/>
                <w:sz w:val="18"/>
              </w:rPr>
              <w:t>14</w:t>
            </w:r>
          </w:p>
        </w:tc>
        <w:tc>
          <w:tcPr>
            <w:tcW w:w="7520" w:type="dxa"/>
          </w:tcPr>
          <w:p>
            <w:pPr>
              <w:pStyle w:val="TableParagraph"/>
              <w:spacing w:before="77"/>
              <w:ind w:left="97"/>
              <w:rPr>
                <w:b/>
                <w:sz w:val="18"/>
              </w:rPr>
            </w:pPr>
            <w:r>
              <w:rPr>
                <w:b/>
                <w:sz w:val="18"/>
              </w:rPr>
              <w:t>Reconciliation of operating surplus to net cash inflow from operating activities</w:t>
            </w:r>
          </w:p>
        </w:tc>
        <w:tc>
          <w:tcPr>
            <w:tcW w:w="1195" w:type="dxa"/>
          </w:tcPr>
          <w:p>
            <w:pPr>
              <w:pStyle w:val="TableParagraph"/>
              <w:rPr>
                <w:sz w:val="18"/>
              </w:rPr>
            </w:pPr>
          </w:p>
          <w:p>
            <w:pPr>
              <w:pStyle w:val="TableParagraph"/>
              <w:spacing w:before="110"/>
              <w:ind w:left="355"/>
              <w:rPr>
                <w:b/>
                <w:sz w:val="18"/>
              </w:rPr>
            </w:pPr>
            <w:r>
              <w:rPr>
                <w:b/>
                <w:sz w:val="18"/>
              </w:rPr>
              <w:t>2017</w:t>
            </w:r>
          </w:p>
        </w:tc>
        <w:tc>
          <w:tcPr>
            <w:tcW w:w="900" w:type="dxa"/>
          </w:tcPr>
          <w:p>
            <w:pPr>
              <w:pStyle w:val="TableParagraph"/>
              <w:rPr>
                <w:sz w:val="18"/>
              </w:rPr>
            </w:pPr>
          </w:p>
          <w:p>
            <w:pPr>
              <w:pStyle w:val="TableParagraph"/>
              <w:spacing w:before="110"/>
              <w:ind w:left="191"/>
              <w:rPr>
                <w:b/>
                <w:sz w:val="18"/>
              </w:rPr>
            </w:pPr>
            <w:r>
              <w:rPr>
                <w:b/>
                <w:sz w:val="18"/>
              </w:rPr>
              <w:t>2016</w:t>
            </w:r>
          </w:p>
        </w:tc>
      </w:tr>
      <w:tr>
        <w:trPr>
          <w:trHeight w:val="270" w:hRule="exact"/>
        </w:trPr>
        <w:tc>
          <w:tcPr>
            <w:tcW w:w="334" w:type="dxa"/>
          </w:tcPr>
          <w:p>
            <w:pPr/>
          </w:p>
        </w:tc>
        <w:tc>
          <w:tcPr>
            <w:tcW w:w="7520" w:type="dxa"/>
          </w:tcPr>
          <w:p>
            <w:pPr/>
          </w:p>
        </w:tc>
        <w:tc>
          <w:tcPr>
            <w:tcW w:w="1195" w:type="dxa"/>
          </w:tcPr>
          <w:p>
            <w:pPr>
              <w:pStyle w:val="TableParagraph"/>
              <w:spacing w:before="24"/>
              <w:ind w:right="80"/>
              <w:jc w:val="center"/>
              <w:rPr>
                <w:b/>
                <w:sz w:val="18"/>
              </w:rPr>
            </w:pPr>
            <w:r>
              <w:rPr>
                <w:b/>
                <w:w w:val="99"/>
                <w:sz w:val="18"/>
              </w:rPr>
              <w:t>$</w:t>
            </w:r>
          </w:p>
        </w:tc>
        <w:tc>
          <w:tcPr>
            <w:tcW w:w="900" w:type="dxa"/>
          </w:tcPr>
          <w:p>
            <w:pPr>
              <w:pStyle w:val="TableParagraph"/>
              <w:spacing w:before="24"/>
              <w:ind w:right="111"/>
              <w:jc w:val="center"/>
              <w:rPr>
                <w:b/>
                <w:sz w:val="18"/>
              </w:rPr>
            </w:pPr>
            <w:r>
              <w:rPr>
                <w:b/>
                <w:w w:val="99"/>
                <w:sz w:val="18"/>
              </w:rPr>
              <w:t>$</w:t>
            </w:r>
          </w:p>
        </w:tc>
      </w:tr>
      <w:tr>
        <w:trPr>
          <w:trHeight w:val="310" w:hRule="exact"/>
        </w:trPr>
        <w:tc>
          <w:tcPr>
            <w:tcW w:w="334" w:type="dxa"/>
          </w:tcPr>
          <w:p>
            <w:pPr/>
          </w:p>
        </w:tc>
        <w:tc>
          <w:tcPr>
            <w:tcW w:w="7520" w:type="dxa"/>
          </w:tcPr>
          <w:p>
            <w:pPr>
              <w:pStyle w:val="TableParagraph"/>
              <w:spacing w:before="20"/>
              <w:ind w:left="140"/>
              <w:rPr>
                <w:sz w:val="18"/>
              </w:rPr>
            </w:pPr>
            <w:r>
              <w:rPr>
                <w:sz w:val="18"/>
              </w:rPr>
              <w:t>Surplus for the year</w:t>
            </w:r>
          </w:p>
        </w:tc>
        <w:tc>
          <w:tcPr>
            <w:tcW w:w="1195" w:type="dxa"/>
          </w:tcPr>
          <w:p>
            <w:pPr>
              <w:pStyle w:val="TableParagraph"/>
              <w:spacing w:before="22"/>
              <w:ind w:right="211"/>
              <w:jc w:val="right"/>
              <w:rPr>
                <w:b/>
                <w:sz w:val="18"/>
              </w:rPr>
            </w:pPr>
            <w:r>
              <w:rPr>
                <w:b/>
                <w:w w:val="95"/>
                <w:sz w:val="18"/>
              </w:rPr>
              <w:t>374,831</w:t>
            </w:r>
          </w:p>
        </w:tc>
        <w:tc>
          <w:tcPr>
            <w:tcW w:w="900" w:type="dxa"/>
          </w:tcPr>
          <w:p>
            <w:pPr>
              <w:pStyle w:val="TableParagraph"/>
              <w:spacing w:before="22"/>
              <w:ind w:left="153"/>
              <w:rPr>
                <w:sz w:val="18"/>
              </w:rPr>
            </w:pPr>
            <w:r>
              <w:rPr>
                <w:sz w:val="18"/>
              </w:rPr>
              <w:t>232,921</w:t>
            </w:r>
          </w:p>
        </w:tc>
      </w:tr>
      <w:tr>
        <w:trPr>
          <w:trHeight w:val="540" w:hRule="exact"/>
        </w:trPr>
        <w:tc>
          <w:tcPr>
            <w:tcW w:w="334" w:type="dxa"/>
          </w:tcPr>
          <w:p>
            <w:pPr/>
          </w:p>
        </w:tc>
        <w:tc>
          <w:tcPr>
            <w:tcW w:w="7520" w:type="dxa"/>
          </w:tcPr>
          <w:p>
            <w:pPr>
              <w:pStyle w:val="TableParagraph"/>
              <w:spacing w:before="61"/>
              <w:ind w:left="130" w:right="3748"/>
              <w:jc w:val="center"/>
              <w:rPr>
                <w:b/>
                <w:sz w:val="18"/>
              </w:rPr>
            </w:pPr>
            <w:r>
              <w:rPr>
                <w:b/>
                <w:sz w:val="18"/>
              </w:rPr>
              <w:t>Change in operating assets and liabilities:</w:t>
            </w:r>
          </w:p>
          <w:p>
            <w:pPr>
              <w:pStyle w:val="TableParagraph"/>
              <w:spacing w:before="26"/>
              <w:ind w:left="130" w:right="3634"/>
              <w:jc w:val="center"/>
              <w:rPr>
                <w:sz w:val="18"/>
              </w:rPr>
            </w:pPr>
            <w:r>
              <w:rPr>
                <w:sz w:val="18"/>
              </w:rPr>
              <w:t>(Increase) / decrease in trade debtors</w:t>
            </w:r>
          </w:p>
        </w:tc>
        <w:tc>
          <w:tcPr>
            <w:tcW w:w="1195" w:type="dxa"/>
          </w:tcPr>
          <w:p>
            <w:pPr>
              <w:pStyle w:val="TableParagraph"/>
              <w:spacing w:before="8"/>
              <w:rPr>
                <w:sz w:val="25"/>
              </w:rPr>
            </w:pPr>
          </w:p>
          <w:p>
            <w:pPr>
              <w:pStyle w:val="TableParagraph"/>
              <w:ind w:right="211"/>
              <w:jc w:val="right"/>
              <w:rPr>
                <w:b/>
                <w:sz w:val="18"/>
              </w:rPr>
            </w:pPr>
            <w:r>
              <w:rPr>
                <w:b/>
                <w:w w:val="95"/>
                <w:sz w:val="18"/>
              </w:rPr>
              <w:t>90,094</w:t>
            </w:r>
          </w:p>
        </w:tc>
        <w:tc>
          <w:tcPr>
            <w:tcW w:w="900" w:type="dxa"/>
          </w:tcPr>
          <w:p>
            <w:pPr>
              <w:pStyle w:val="TableParagraph"/>
              <w:spacing w:before="8"/>
              <w:rPr>
                <w:sz w:val="25"/>
              </w:rPr>
            </w:pPr>
          </w:p>
          <w:p>
            <w:pPr>
              <w:pStyle w:val="TableParagraph"/>
              <w:ind w:left="194"/>
              <w:rPr>
                <w:sz w:val="18"/>
              </w:rPr>
            </w:pPr>
            <w:r>
              <w:rPr>
                <w:sz w:val="18"/>
              </w:rPr>
              <w:t>(35,926)</w:t>
            </w:r>
          </w:p>
        </w:tc>
      </w:tr>
      <w:tr>
        <w:trPr>
          <w:trHeight w:val="264" w:hRule="exact"/>
        </w:trPr>
        <w:tc>
          <w:tcPr>
            <w:tcW w:w="334" w:type="dxa"/>
          </w:tcPr>
          <w:p>
            <w:pPr/>
          </w:p>
        </w:tc>
        <w:tc>
          <w:tcPr>
            <w:tcW w:w="7520" w:type="dxa"/>
          </w:tcPr>
          <w:p>
            <w:pPr>
              <w:pStyle w:val="TableParagraph"/>
              <w:spacing w:before="18"/>
              <w:ind w:left="495"/>
              <w:rPr>
                <w:sz w:val="18"/>
              </w:rPr>
            </w:pPr>
            <w:r>
              <w:rPr>
                <w:sz w:val="18"/>
              </w:rPr>
              <w:t>(increase)/decrease in prepayments</w:t>
            </w:r>
          </w:p>
        </w:tc>
        <w:tc>
          <w:tcPr>
            <w:tcW w:w="1195" w:type="dxa"/>
          </w:tcPr>
          <w:p>
            <w:pPr>
              <w:pStyle w:val="TableParagraph"/>
              <w:spacing w:before="20"/>
              <w:ind w:right="151"/>
              <w:jc w:val="right"/>
              <w:rPr>
                <w:b/>
                <w:sz w:val="18"/>
              </w:rPr>
            </w:pPr>
            <w:r>
              <w:rPr>
                <w:b/>
                <w:w w:val="95"/>
                <w:sz w:val="18"/>
              </w:rPr>
              <w:t>(173,396)</w:t>
            </w:r>
          </w:p>
        </w:tc>
        <w:tc>
          <w:tcPr>
            <w:tcW w:w="900" w:type="dxa"/>
          </w:tcPr>
          <w:p>
            <w:pPr>
              <w:pStyle w:val="TableParagraph"/>
              <w:spacing w:before="20"/>
              <w:ind w:left="254"/>
              <w:rPr>
                <w:sz w:val="18"/>
              </w:rPr>
            </w:pPr>
            <w:r>
              <w:rPr>
                <w:sz w:val="18"/>
              </w:rPr>
              <w:t>11,562</w:t>
            </w:r>
          </w:p>
        </w:tc>
      </w:tr>
      <w:tr>
        <w:trPr>
          <w:trHeight w:val="264" w:hRule="exact"/>
        </w:trPr>
        <w:tc>
          <w:tcPr>
            <w:tcW w:w="334" w:type="dxa"/>
          </w:tcPr>
          <w:p>
            <w:pPr/>
          </w:p>
        </w:tc>
        <w:tc>
          <w:tcPr>
            <w:tcW w:w="7520" w:type="dxa"/>
          </w:tcPr>
          <w:p>
            <w:pPr>
              <w:pStyle w:val="TableParagraph"/>
              <w:spacing w:before="18"/>
              <w:ind w:left="495"/>
              <w:rPr>
                <w:sz w:val="18"/>
              </w:rPr>
            </w:pPr>
            <w:bookmarkStart w:name="Financial risk management" w:id="228"/>
            <w:bookmarkEnd w:id="228"/>
            <w:r>
              <w:rPr/>
            </w:r>
            <w:bookmarkStart w:name="15 Financial risk management " w:id="229"/>
            <w:bookmarkEnd w:id="229"/>
            <w:r>
              <w:rPr/>
            </w:r>
            <w:r>
              <w:rPr>
                <w:sz w:val="18"/>
              </w:rPr>
              <w:t>Increase/(decrease) in income in advance</w:t>
            </w:r>
          </w:p>
        </w:tc>
        <w:tc>
          <w:tcPr>
            <w:tcW w:w="1195" w:type="dxa"/>
          </w:tcPr>
          <w:p>
            <w:pPr>
              <w:pStyle w:val="TableParagraph"/>
              <w:spacing w:before="20"/>
              <w:ind w:right="151"/>
              <w:jc w:val="right"/>
              <w:rPr>
                <w:b/>
                <w:sz w:val="18"/>
              </w:rPr>
            </w:pPr>
            <w:r>
              <w:rPr>
                <w:b/>
                <w:w w:val="95"/>
                <w:sz w:val="18"/>
              </w:rPr>
              <w:t>(6,254)</w:t>
            </w:r>
          </w:p>
        </w:tc>
        <w:tc>
          <w:tcPr>
            <w:tcW w:w="900" w:type="dxa"/>
          </w:tcPr>
          <w:p>
            <w:pPr>
              <w:pStyle w:val="TableParagraph"/>
              <w:spacing w:before="20"/>
              <w:ind w:left="254"/>
              <w:rPr>
                <w:sz w:val="18"/>
              </w:rPr>
            </w:pPr>
            <w:r>
              <w:rPr>
                <w:sz w:val="18"/>
              </w:rPr>
              <w:t>67,895</w:t>
            </w:r>
          </w:p>
        </w:tc>
      </w:tr>
      <w:tr>
        <w:trPr>
          <w:trHeight w:val="264" w:hRule="exact"/>
        </w:trPr>
        <w:tc>
          <w:tcPr>
            <w:tcW w:w="334" w:type="dxa"/>
          </w:tcPr>
          <w:p>
            <w:pPr/>
          </w:p>
        </w:tc>
        <w:tc>
          <w:tcPr>
            <w:tcW w:w="7520" w:type="dxa"/>
          </w:tcPr>
          <w:p>
            <w:pPr>
              <w:pStyle w:val="TableParagraph"/>
              <w:spacing w:before="18"/>
              <w:ind w:left="495"/>
              <w:rPr>
                <w:sz w:val="18"/>
              </w:rPr>
            </w:pPr>
            <w:r>
              <w:rPr>
                <w:sz w:val="18"/>
              </w:rPr>
              <w:t>Increase / (decrease) in trade and other payables</w:t>
            </w:r>
          </w:p>
        </w:tc>
        <w:tc>
          <w:tcPr>
            <w:tcW w:w="1195" w:type="dxa"/>
          </w:tcPr>
          <w:p>
            <w:pPr>
              <w:pStyle w:val="TableParagraph"/>
              <w:spacing w:before="20"/>
              <w:ind w:right="211"/>
              <w:jc w:val="right"/>
              <w:rPr>
                <w:b/>
                <w:sz w:val="18"/>
              </w:rPr>
            </w:pPr>
            <w:r>
              <w:rPr>
                <w:b/>
                <w:w w:val="95"/>
                <w:sz w:val="18"/>
              </w:rPr>
              <w:t>25,163</w:t>
            </w:r>
          </w:p>
        </w:tc>
        <w:tc>
          <w:tcPr>
            <w:tcW w:w="900" w:type="dxa"/>
          </w:tcPr>
          <w:p>
            <w:pPr>
              <w:pStyle w:val="TableParagraph"/>
              <w:spacing w:before="20"/>
              <w:ind w:left="153"/>
              <w:rPr>
                <w:sz w:val="18"/>
              </w:rPr>
            </w:pPr>
            <w:r>
              <w:rPr>
                <w:sz w:val="18"/>
              </w:rPr>
              <w:t>102,427</w:t>
            </w:r>
          </w:p>
        </w:tc>
      </w:tr>
      <w:tr>
        <w:trPr>
          <w:trHeight w:val="262" w:hRule="exact"/>
        </w:trPr>
        <w:tc>
          <w:tcPr>
            <w:tcW w:w="334" w:type="dxa"/>
          </w:tcPr>
          <w:p>
            <w:pPr/>
          </w:p>
        </w:tc>
        <w:tc>
          <w:tcPr>
            <w:tcW w:w="7520" w:type="dxa"/>
          </w:tcPr>
          <w:p>
            <w:pPr>
              <w:pStyle w:val="TableParagraph"/>
              <w:spacing w:before="18"/>
              <w:ind w:left="495"/>
              <w:rPr>
                <w:sz w:val="18"/>
              </w:rPr>
            </w:pPr>
            <w:r>
              <w:rPr>
                <w:sz w:val="18"/>
              </w:rPr>
              <w:t>Increase / (decrease) in other provisions</w:t>
            </w:r>
          </w:p>
        </w:tc>
        <w:tc>
          <w:tcPr>
            <w:tcW w:w="1195" w:type="dxa"/>
            <w:tcBorders>
              <w:bottom w:val="single" w:sz="1" w:space="0" w:color="000000"/>
            </w:tcBorders>
          </w:tcPr>
          <w:p>
            <w:pPr>
              <w:pStyle w:val="TableParagraph"/>
              <w:spacing w:before="20"/>
              <w:ind w:right="211"/>
              <w:jc w:val="right"/>
              <w:rPr>
                <w:b/>
                <w:sz w:val="18"/>
              </w:rPr>
            </w:pPr>
            <w:r>
              <w:rPr>
                <w:b/>
                <w:w w:val="95"/>
                <w:sz w:val="18"/>
              </w:rPr>
              <w:t>147,369</w:t>
            </w:r>
          </w:p>
        </w:tc>
        <w:tc>
          <w:tcPr>
            <w:tcW w:w="900" w:type="dxa"/>
            <w:tcBorders>
              <w:bottom w:val="single" w:sz="1" w:space="0" w:color="000000"/>
            </w:tcBorders>
          </w:tcPr>
          <w:p>
            <w:pPr>
              <w:pStyle w:val="TableParagraph"/>
              <w:spacing w:before="20"/>
              <w:ind w:left="153"/>
              <w:rPr>
                <w:sz w:val="18"/>
              </w:rPr>
            </w:pPr>
            <w:r>
              <w:rPr>
                <w:sz w:val="18"/>
              </w:rPr>
              <w:t>101,920</w:t>
            </w:r>
          </w:p>
        </w:tc>
      </w:tr>
      <w:tr>
        <w:trPr>
          <w:trHeight w:val="353" w:hRule="exact"/>
        </w:trPr>
        <w:tc>
          <w:tcPr>
            <w:tcW w:w="334" w:type="dxa"/>
          </w:tcPr>
          <w:p>
            <w:pPr/>
          </w:p>
        </w:tc>
        <w:tc>
          <w:tcPr>
            <w:tcW w:w="7520" w:type="dxa"/>
          </w:tcPr>
          <w:p>
            <w:pPr>
              <w:pStyle w:val="TableParagraph"/>
              <w:spacing w:before="125"/>
              <w:ind w:left="140"/>
              <w:rPr>
                <w:b/>
                <w:sz w:val="18"/>
              </w:rPr>
            </w:pPr>
            <w:r>
              <w:rPr>
                <w:b/>
                <w:sz w:val="18"/>
              </w:rPr>
              <w:t>Net cash inflow from operating activities</w:t>
            </w:r>
          </w:p>
        </w:tc>
        <w:tc>
          <w:tcPr>
            <w:tcW w:w="1195" w:type="dxa"/>
            <w:tcBorders>
              <w:top w:val="single" w:sz="1" w:space="0" w:color="000000"/>
              <w:bottom w:val="single" w:sz="1" w:space="0" w:color="000000"/>
            </w:tcBorders>
          </w:tcPr>
          <w:p>
            <w:pPr>
              <w:pStyle w:val="TableParagraph"/>
              <w:spacing w:before="124"/>
              <w:ind w:right="211"/>
              <w:jc w:val="right"/>
              <w:rPr>
                <w:b/>
                <w:sz w:val="18"/>
              </w:rPr>
            </w:pPr>
            <w:r>
              <w:rPr>
                <w:b/>
                <w:w w:val="95"/>
                <w:sz w:val="18"/>
              </w:rPr>
              <w:t>457,807</w:t>
            </w:r>
          </w:p>
        </w:tc>
        <w:tc>
          <w:tcPr>
            <w:tcW w:w="900" w:type="dxa"/>
            <w:tcBorders>
              <w:top w:val="single" w:sz="1" w:space="0" w:color="000000"/>
              <w:bottom w:val="single" w:sz="1" w:space="0" w:color="000000"/>
            </w:tcBorders>
          </w:tcPr>
          <w:p>
            <w:pPr>
              <w:pStyle w:val="TableParagraph"/>
              <w:spacing w:before="124"/>
              <w:ind w:left="153"/>
              <w:rPr>
                <w:sz w:val="18"/>
              </w:rPr>
            </w:pPr>
            <w:r>
              <w:rPr>
                <w:sz w:val="18"/>
              </w:rPr>
              <w:t>480,799</w:t>
            </w:r>
          </w:p>
        </w:tc>
      </w:tr>
    </w:tbl>
    <w:p>
      <w:pPr>
        <w:pStyle w:val="BodyText"/>
        <w:rPr>
          <w:sz w:val="20"/>
        </w:rPr>
      </w:pPr>
    </w:p>
    <w:p>
      <w:pPr>
        <w:pStyle w:val="BodyText"/>
        <w:rPr>
          <w:sz w:val="20"/>
        </w:rPr>
      </w:pPr>
    </w:p>
    <w:p>
      <w:pPr>
        <w:pStyle w:val="BodyText"/>
        <w:spacing w:before="5"/>
        <w:rPr>
          <w:sz w:val="23"/>
        </w:rPr>
      </w:pPr>
    </w:p>
    <w:p>
      <w:pPr>
        <w:spacing w:before="77"/>
        <w:ind w:left="147" w:right="105" w:firstLine="0"/>
        <w:jc w:val="left"/>
        <w:rPr>
          <w:b/>
          <w:sz w:val="18"/>
        </w:rPr>
      </w:pPr>
      <w:r>
        <w:rPr>
          <w:b/>
          <w:sz w:val="18"/>
        </w:rPr>
        <w:t>15    Financial risk management</w:t>
      </w:r>
    </w:p>
    <w:p>
      <w:pPr>
        <w:pStyle w:val="BodyText"/>
        <w:spacing w:before="141"/>
        <w:ind w:left="544" w:right="200"/>
      </w:pPr>
      <w:r>
        <w:rPr/>
        <w:t>The Company's activities expose it to a variety of financial risks: market risk (including fair value interest rate risk), credit risk and liquidity risk. The Company's overall risk management program focuses on the unpredictability of financial markets and seeks to minimise potential adverse effects on the financial performance of the Company. The Company uses different methods to measure different types of risk to which it is exposed. These methods include sensitivity analysis in the case of interest rate and aging analysis for credit risk to determine market risk.</w:t>
      </w:r>
    </w:p>
    <w:p>
      <w:pPr>
        <w:pStyle w:val="BodyText"/>
        <w:spacing w:before="141" w:after="36"/>
        <w:ind w:left="544" w:right="105"/>
      </w:pPr>
      <w:r>
        <w:rPr/>
        <w:t>The Company holds the following financial instruments:</w:t>
      </w:r>
    </w:p>
    <w:tbl>
      <w:tblPr>
        <w:tblW w:w="0" w:type="auto"/>
        <w:jc w:val="left"/>
        <w:tblInd w:w="55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12"/>
        <w:gridCol w:w="1158"/>
        <w:gridCol w:w="1038"/>
      </w:tblGrid>
      <w:tr>
        <w:trPr>
          <w:trHeight w:val="560" w:hRule="exact"/>
        </w:trPr>
        <w:tc>
          <w:tcPr>
            <w:tcW w:w="7312" w:type="dxa"/>
          </w:tcPr>
          <w:p>
            <w:pPr/>
          </w:p>
        </w:tc>
        <w:tc>
          <w:tcPr>
            <w:tcW w:w="1158" w:type="dxa"/>
          </w:tcPr>
          <w:p>
            <w:pPr>
              <w:pStyle w:val="TableParagraph"/>
              <w:spacing w:line="204" w:lineRule="exact"/>
              <w:ind w:left="354" w:right="362"/>
              <w:jc w:val="center"/>
              <w:rPr>
                <w:b/>
                <w:sz w:val="18"/>
              </w:rPr>
            </w:pPr>
            <w:r>
              <w:rPr>
                <w:b/>
                <w:sz w:val="18"/>
              </w:rPr>
              <w:t>2017</w:t>
            </w:r>
          </w:p>
          <w:p>
            <w:pPr>
              <w:pStyle w:val="TableParagraph"/>
              <w:spacing w:before="66"/>
              <w:ind w:right="9"/>
              <w:jc w:val="center"/>
              <w:rPr>
                <w:b/>
                <w:sz w:val="18"/>
              </w:rPr>
            </w:pPr>
            <w:r>
              <w:rPr>
                <w:b/>
                <w:w w:val="99"/>
                <w:sz w:val="18"/>
              </w:rPr>
              <w:t>$</w:t>
            </w:r>
          </w:p>
        </w:tc>
        <w:tc>
          <w:tcPr>
            <w:tcW w:w="1038" w:type="dxa"/>
          </w:tcPr>
          <w:p>
            <w:pPr>
              <w:pStyle w:val="TableParagraph"/>
              <w:spacing w:line="204" w:lineRule="exact"/>
              <w:ind w:left="278" w:right="318"/>
              <w:jc w:val="center"/>
              <w:rPr>
                <w:b/>
                <w:sz w:val="18"/>
              </w:rPr>
            </w:pPr>
            <w:r>
              <w:rPr>
                <w:b/>
                <w:sz w:val="18"/>
              </w:rPr>
              <w:t>2016</w:t>
            </w:r>
          </w:p>
          <w:p>
            <w:pPr>
              <w:pStyle w:val="TableParagraph"/>
              <w:spacing w:before="66"/>
              <w:ind w:right="40"/>
              <w:jc w:val="center"/>
              <w:rPr>
                <w:b/>
                <w:sz w:val="18"/>
              </w:rPr>
            </w:pPr>
            <w:r>
              <w:rPr>
                <w:b/>
                <w:w w:val="99"/>
                <w:sz w:val="18"/>
              </w:rPr>
              <w:t>$</w:t>
            </w:r>
          </w:p>
        </w:tc>
      </w:tr>
      <w:tr>
        <w:trPr>
          <w:trHeight w:val="542" w:hRule="exact"/>
        </w:trPr>
        <w:tc>
          <w:tcPr>
            <w:tcW w:w="7312" w:type="dxa"/>
          </w:tcPr>
          <w:p>
            <w:pPr>
              <w:pStyle w:val="TableParagraph"/>
              <w:spacing w:before="63"/>
              <w:ind w:left="35"/>
              <w:rPr>
                <w:b/>
                <w:sz w:val="18"/>
              </w:rPr>
            </w:pPr>
            <w:r>
              <w:rPr>
                <w:b/>
                <w:sz w:val="18"/>
              </w:rPr>
              <w:t>Financial Assets</w:t>
            </w:r>
          </w:p>
          <w:p>
            <w:pPr>
              <w:pStyle w:val="TableParagraph"/>
              <w:spacing w:before="26"/>
              <w:ind w:left="390"/>
              <w:rPr>
                <w:sz w:val="18"/>
              </w:rPr>
            </w:pPr>
            <w:r>
              <w:rPr>
                <w:sz w:val="18"/>
              </w:rPr>
              <w:t>Cash and cash equivalents</w:t>
            </w:r>
          </w:p>
        </w:tc>
        <w:tc>
          <w:tcPr>
            <w:tcW w:w="1158" w:type="dxa"/>
          </w:tcPr>
          <w:p>
            <w:pPr>
              <w:pStyle w:val="TableParagraph"/>
              <w:spacing w:before="11"/>
              <w:rPr>
                <w:sz w:val="25"/>
              </w:rPr>
            </w:pPr>
          </w:p>
          <w:p>
            <w:pPr>
              <w:pStyle w:val="TableParagraph"/>
              <w:ind w:right="140"/>
              <w:jc w:val="right"/>
              <w:rPr>
                <w:b/>
                <w:sz w:val="18"/>
              </w:rPr>
            </w:pPr>
            <w:r>
              <w:rPr>
                <w:b/>
                <w:w w:val="95"/>
                <w:sz w:val="18"/>
              </w:rPr>
              <w:t>482,158</w:t>
            </w:r>
          </w:p>
        </w:tc>
        <w:tc>
          <w:tcPr>
            <w:tcW w:w="1038" w:type="dxa"/>
          </w:tcPr>
          <w:p>
            <w:pPr>
              <w:pStyle w:val="TableParagraph"/>
              <w:spacing w:before="11"/>
              <w:rPr>
                <w:sz w:val="25"/>
              </w:rPr>
            </w:pPr>
          </w:p>
          <w:p>
            <w:pPr>
              <w:pStyle w:val="TableParagraph"/>
              <w:ind w:right="88"/>
              <w:jc w:val="right"/>
              <w:rPr>
                <w:sz w:val="18"/>
              </w:rPr>
            </w:pPr>
            <w:r>
              <w:rPr>
                <w:w w:val="95"/>
                <w:sz w:val="18"/>
              </w:rPr>
              <w:t>647,363</w:t>
            </w:r>
          </w:p>
        </w:tc>
      </w:tr>
      <w:tr>
        <w:trPr>
          <w:trHeight w:val="264" w:hRule="exact"/>
        </w:trPr>
        <w:tc>
          <w:tcPr>
            <w:tcW w:w="7312" w:type="dxa"/>
          </w:tcPr>
          <w:p>
            <w:pPr>
              <w:pStyle w:val="TableParagraph"/>
              <w:spacing w:before="18"/>
              <w:ind w:left="390"/>
              <w:rPr>
                <w:sz w:val="18"/>
              </w:rPr>
            </w:pPr>
            <w:r>
              <w:rPr>
                <w:sz w:val="18"/>
              </w:rPr>
              <w:t>Trade receivables</w:t>
            </w:r>
          </w:p>
        </w:tc>
        <w:tc>
          <w:tcPr>
            <w:tcW w:w="1158" w:type="dxa"/>
          </w:tcPr>
          <w:p>
            <w:pPr>
              <w:pStyle w:val="TableParagraph"/>
              <w:spacing w:before="20"/>
              <w:ind w:right="140"/>
              <w:jc w:val="right"/>
              <w:rPr>
                <w:b/>
                <w:sz w:val="18"/>
              </w:rPr>
            </w:pPr>
            <w:r>
              <w:rPr>
                <w:b/>
                <w:w w:val="95"/>
                <w:sz w:val="18"/>
              </w:rPr>
              <w:t>30,749</w:t>
            </w:r>
          </w:p>
        </w:tc>
        <w:tc>
          <w:tcPr>
            <w:tcW w:w="1038" w:type="dxa"/>
          </w:tcPr>
          <w:p>
            <w:pPr>
              <w:pStyle w:val="TableParagraph"/>
              <w:spacing w:before="20"/>
              <w:ind w:right="87"/>
              <w:jc w:val="right"/>
              <w:rPr>
                <w:sz w:val="18"/>
              </w:rPr>
            </w:pPr>
            <w:r>
              <w:rPr>
                <w:w w:val="95"/>
                <w:sz w:val="18"/>
              </w:rPr>
              <w:t>82,915</w:t>
            </w:r>
          </w:p>
        </w:tc>
      </w:tr>
      <w:tr>
        <w:trPr>
          <w:trHeight w:val="262" w:hRule="exact"/>
        </w:trPr>
        <w:tc>
          <w:tcPr>
            <w:tcW w:w="7312" w:type="dxa"/>
          </w:tcPr>
          <w:p>
            <w:pPr>
              <w:pStyle w:val="TableParagraph"/>
              <w:spacing w:before="18"/>
              <w:ind w:left="390"/>
              <w:rPr>
                <w:sz w:val="18"/>
              </w:rPr>
            </w:pPr>
            <w:r>
              <w:rPr>
                <w:sz w:val="18"/>
              </w:rPr>
              <w:t>Loan to Parent Entity</w:t>
            </w:r>
          </w:p>
        </w:tc>
        <w:tc>
          <w:tcPr>
            <w:tcW w:w="1158" w:type="dxa"/>
            <w:tcBorders>
              <w:bottom w:val="single" w:sz="1" w:space="0" w:color="000000"/>
            </w:tcBorders>
          </w:tcPr>
          <w:p>
            <w:pPr>
              <w:pStyle w:val="TableParagraph"/>
              <w:spacing w:before="20"/>
              <w:ind w:right="141"/>
              <w:jc w:val="right"/>
              <w:rPr>
                <w:b/>
                <w:sz w:val="18"/>
              </w:rPr>
            </w:pPr>
            <w:r>
              <w:rPr>
                <w:b/>
                <w:w w:val="95"/>
                <w:sz w:val="18"/>
              </w:rPr>
              <w:t>2,199,145</w:t>
            </w:r>
          </w:p>
        </w:tc>
        <w:tc>
          <w:tcPr>
            <w:tcW w:w="1038" w:type="dxa"/>
            <w:tcBorders>
              <w:bottom w:val="single" w:sz="1" w:space="0" w:color="000000"/>
            </w:tcBorders>
          </w:tcPr>
          <w:p>
            <w:pPr>
              <w:pStyle w:val="TableParagraph"/>
              <w:spacing w:before="20"/>
              <w:ind w:right="87"/>
              <w:jc w:val="right"/>
              <w:rPr>
                <w:sz w:val="18"/>
              </w:rPr>
            </w:pPr>
            <w:r>
              <w:rPr>
                <w:w w:val="95"/>
                <w:sz w:val="18"/>
              </w:rPr>
              <w:t>1,576,133</w:t>
            </w:r>
          </w:p>
        </w:tc>
      </w:tr>
      <w:tr>
        <w:trPr>
          <w:trHeight w:val="353" w:hRule="exact"/>
        </w:trPr>
        <w:tc>
          <w:tcPr>
            <w:tcW w:w="7312" w:type="dxa"/>
          </w:tcPr>
          <w:p>
            <w:pPr>
              <w:pStyle w:val="TableParagraph"/>
              <w:spacing w:before="125"/>
              <w:ind w:left="35"/>
              <w:rPr>
                <w:b/>
                <w:sz w:val="18"/>
              </w:rPr>
            </w:pPr>
            <w:r>
              <w:rPr>
                <w:b/>
                <w:sz w:val="18"/>
              </w:rPr>
              <w:t>Total financial assets</w:t>
            </w:r>
          </w:p>
        </w:tc>
        <w:tc>
          <w:tcPr>
            <w:tcW w:w="1158" w:type="dxa"/>
            <w:tcBorders>
              <w:top w:val="single" w:sz="1" w:space="0" w:color="000000"/>
              <w:bottom w:val="single" w:sz="1" w:space="0" w:color="000000"/>
            </w:tcBorders>
          </w:tcPr>
          <w:p>
            <w:pPr>
              <w:pStyle w:val="TableParagraph"/>
              <w:spacing w:before="124"/>
              <w:ind w:right="141"/>
              <w:jc w:val="right"/>
              <w:rPr>
                <w:b/>
                <w:sz w:val="18"/>
              </w:rPr>
            </w:pPr>
            <w:r>
              <w:rPr>
                <w:b/>
                <w:w w:val="95"/>
                <w:sz w:val="18"/>
              </w:rPr>
              <w:t>2,712,052</w:t>
            </w:r>
          </w:p>
        </w:tc>
        <w:tc>
          <w:tcPr>
            <w:tcW w:w="1038" w:type="dxa"/>
            <w:tcBorders>
              <w:top w:val="single" w:sz="1" w:space="0" w:color="000000"/>
              <w:bottom w:val="single" w:sz="1" w:space="0" w:color="000000"/>
            </w:tcBorders>
          </w:tcPr>
          <w:p>
            <w:pPr>
              <w:pStyle w:val="TableParagraph"/>
              <w:spacing w:before="124"/>
              <w:ind w:right="87"/>
              <w:jc w:val="right"/>
              <w:rPr>
                <w:sz w:val="18"/>
              </w:rPr>
            </w:pPr>
            <w:r>
              <w:rPr>
                <w:w w:val="95"/>
                <w:sz w:val="18"/>
              </w:rPr>
              <w:t>2,306,411</w:t>
            </w:r>
          </w:p>
        </w:tc>
      </w:tr>
      <w:tr>
        <w:trPr>
          <w:trHeight w:val="936" w:hRule="exact"/>
        </w:trPr>
        <w:tc>
          <w:tcPr>
            <w:tcW w:w="7312" w:type="dxa"/>
          </w:tcPr>
          <w:p>
            <w:pPr>
              <w:pStyle w:val="TableParagraph"/>
              <w:rPr>
                <w:sz w:val="18"/>
              </w:rPr>
            </w:pPr>
          </w:p>
          <w:p>
            <w:pPr>
              <w:pStyle w:val="TableParagraph"/>
              <w:spacing w:before="10"/>
              <w:rPr>
                <w:sz w:val="21"/>
              </w:rPr>
            </w:pPr>
          </w:p>
          <w:p>
            <w:pPr>
              <w:pStyle w:val="TableParagraph"/>
              <w:ind w:left="35"/>
              <w:rPr>
                <w:b/>
                <w:sz w:val="18"/>
              </w:rPr>
            </w:pPr>
            <w:r>
              <w:rPr>
                <w:b/>
                <w:sz w:val="18"/>
              </w:rPr>
              <w:t>Financial Liabilities</w:t>
            </w:r>
          </w:p>
          <w:p>
            <w:pPr>
              <w:pStyle w:val="TableParagraph"/>
              <w:spacing w:before="26"/>
              <w:ind w:left="390"/>
              <w:rPr>
                <w:sz w:val="18"/>
              </w:rPr>
            </w:pPr>
            <w:r>
              <w:rPr>
                <w:sz w:val="18"/>
              </w:rPr>
              <w:t>Trade and other payables</w:t>
            </w:r>
          </w:p>
        </w:tc>
        <w:tc>
          <w:tcPr>
            <w:tcW w:w="1158" w:type="dxa"/>
            <w:tcBorders>
              <w:top w:val="single" w:sz="1" w:space="0" w:color="000000"/>
              <w:bottom w:val="single" w:sz="1" w:space="0" w:color="000000"/>
            </w:tcBorders>
          </w:tcPr>
          <w:p>
            <w:pPr>
              <w:pStyle w:val="TableParagraph"/>
              <w:rPr>
                <w:sz w:val="18"/>
              </w:rPr>
            </w:pPr>
          </w:p>
          <w:p>
            <w:pPr>
              <w:pStyle w:val="TableParagraph"/>
              <w:rPr>
                <w:sz w:val="18"/>
              </w:rPr>
            </w:pPr>
          </w:p>
          <w:p>
            <w:pPr>
              <w:pStyle w:val="TableParagraph"/>
              <w:spacing w:before="2"/>
              <w:rPr>
                <w:sz w:val="24"/>
              </w:rPr>
            </w:pPr>
          </w:p>
          <w:p>
            <w:pPr>
              <w:pStyle w:val="TableParagraph"/>
              <w:spacing w:before="1"/>
              <w:ind w:right="140"/>
              <w:jc w:val="right"/>
              <w:rPr>
                <w:b/>
                <w:sz w:val="18"/>
              </w:rPr>
            </w:pPr>
            <w:r>
              <w:rPr>
                <w:b/>
                <w:w w:val="95"/>
                <w:sz w:val="18"/>
              </w:rPr>
              <w:t>200,189</w:t>
            </w:r>
          </w:p>
        </w:tc>
        <w:tc>
          <w:tcPr>
            <w:tcW w:w="1038" w:type="dxa"/>
            <w:tcBorders>
              <w:top w:val="single" w:sz="1" w:space="0" w:color="000000"/>
              <w:bottom w:val="single" w:sz="1" w:space="0" w:color="000000"/>
            </w:tcBorders>
          </w:tcPr>
          <w:p>
            <w:pPr>
              <w:pStyle w:val="TableParagraph"/>
              <w:rPr>
                <w:sz w:val="18"/>
              </w:rPr>
            </w:pPr>
          </w:p>
          <w:p>
            <w:pPr>
              <w:pStyle w:val="TableParagraph"/>
              <w:rPr>
                <w:sz w:val="18"/>
              </w:rPr>
            </w:pPr>
          </w:p>
          <w:p>
            <w:pPr>
              <w:pStyle w:val="TableParagraph"/>
              <w:spacing w:before="2"/>
              <w:rPr>
                <w:sz w:val="24"/>
              </w:rPr>
            </w:pPr>
          </w:p>
          <w:p>
            <w:pPr>
              <w:pStyle w:val="TableParagraph"/>
              <w:spacing w:before="1"/>
              <w:ind w:right="88"/>
              <w:jc w:val="right"/>
              <w:rPr>
                <w:sz w:val="18"/>
              </w:rPr>
            </w:pPr>
            <w:r>
              <w:rPr>
                <w:w w:val="95"/>
                <w:sz w:val="18"/>
              </w:rPr>
              <w:t>305,891</w:t>
            </w:r>
          </w:p>
        </w:tc>
      </w:tr>
      <w:tr>
        <w:trPr>
          <w:trHeight w:val="353" w:hRule="exact"/>
        </w:trPr>
        <w:tc>
          <w:tcPr>
            <w:tcW w:w="7312" w:type="dxa"/>
          </w:tcPr>
          <w:p>
            <w:pPr>
              <w:pStyle w:val="TableParagraph"/>
              <w:spacing w:before="125"/>
              <w:ind w:left="35"/>
              <w:rPr>
                <w:b/>
                <w:sz w:val="18"/>
              </w:rPr>
            </w:pPr>
            <w:r>
              <w:rPr>
                <w:b/>
                <w:sz w:val="18"/>
              </w:rPr>
              <w:t>Total financial liabilities</w:t>
            </w:r>
          </w:p>
        </w:tc>
        <w:tc>
          <w:tcPr>
            <w:tcW w:w="1158" w:type="dxa"/>
            <w:tcBorders>
              <w:top w:val="single" w:sz="1" w:space="0" w:color="000000"/>
              <w:bottom w:val="single" w:sz="1" w:space="0" w:color="000000"/>
            </w:tcBorders>
          </w:tcPr>
          <w:p>
            <w:pPr>
              <w:pStyle w:val="TableParagraph"/>
              <w:spacing w:before="124"/>
              <w:ind w:right="140"/>
              <w:jc w:val="right"/>
              <w:rPr>
                <w:b/>
                <w:sz w:val="18"/>
              </w:rPr>
            </w:pPr>
            <w:r>
              <w:rPr>
                <w:b/>
                <w:w w:val="95"/>
                <w:sz w:val="18"/>
              </w:rPr>
              <w:t>200,189</w:t>
            </w:r>
          </w:p>
        </w:tc>
        <w:tc>
          <w:tcPr>
            <w:tcW w:w="1038" w:type="dxa"/>
            <w:tcBorders>
              <w:top w:val="single" w:sz="1" w:space="0" w:color="000000"/>
              <w:bottom w:val="single" w:sz="1" w:space="0" w:color="000000"/>
            </w:tcBorders>
          </w:tcPr>
          <w:p>
            <w:pPr>
              <w:pStyle w:val="TableParagraph"/>
              <w:spacing w:before="124"/>
              <w:ind w:right="88"/>
              <w:jc w:val="right"/>
              <w:rPr>
                <w:sz w:val="18"/>
              </w:rPr>
            </w:pPr>
            <w:r>
              <w:rPr>
                <w:w w:val="95"/>
                <w:sz w:val="18"/>
              </w:rPr>
              <w:t>305,891</w:t>
            </w:r>
          </w:p>
        </w:tc>
      </w:tr>
    </w:tbl>
    <w:p>
      <w:pPr>
        <w:pStyle w:val="BodyText"/>
        <w:rPr>
          <w:sz w:val="20"/>
        </w:rPr>
      </w:pPr>
    </w:p>
    <w:p>
      <w:pPr>
        <w:pStyle w:val="BodyText"/>
        <w:spacing w:before="11"/>
        <w:rPr>
          <w:sz w:val="17"/>
        </w:rPr>
      </w:pPr>
    </w:p>
    <w:p>
      <w:pPr>
        <w:pStyle w:val="BodyText"/>
        <w:spacing w:before="77"/>
        <w:ind w:left="544" w:right="105"/>
      </w:pPr>
      <w:r>
        <w:rPr/>
        <w:t>Note: Excludes GST receivable, prepayment, deferred income, income in advance and provisions payable (not within scope of AASB 7).</w:t>
      </w:r>
    </w:p>
    <w:p>
      <w:pPr>
        <w:spacing w:after="0"/>
        <w:sectPr>
          <w:pgSz w:w="11910" w:h="16840"/>
          <w:pgMar w:header="1037" w:footer="512" w:top="2380" w:bottom="700" w:left="860" w:right="880"/>
        </w:sectPr>
      </w:pPr>
    </w:p>
    <w:p>
      <w:pPr>
        <w:pStyle w:val="BodyText"/>
        <w:spacing w:before="9"/>
      </w:pPr>
    </w:p>
    <w:p>
      <w:pPr>
        <w:pStyle w:val="Heading9"/>
        <w:numPr>
          <w:ilvl w:val="0"/>
          <w:numId w:val="74"/>
        </w:numPr>
        <w:tabs>
          <w:tab w:pos="504" w:val="left" w:leader="none"/>
        </w:tabs>
        <w:spacing w:line="240" w:lineRule="auto" w:before="77" w:after="0"/>
        <w:ind w:left="504" w:right="0" w:hanging="396"/>
        <w:jc w:val="left"/>
      </w:pPr>
      <w:bookmarkStart w:name="(a) Market risk" w:id="230"/>
      <w:bookmarkEnd w:id="230"/>
      <w:r>
        <w:rPr>
          <w:b w:val="0"/>
        </w:rPr>
      </w:r>
      <w:bookmarkStart w:name="(a) Market risk" w:id="231"/>
      <w:bookmarkEnd w:id="231"/>
      <w:r>
        <w:rPr/>
        <w:t>Financial</w:t>
      </w:r>
      <w:r>
        <w:rPr/>
        <w:t> risk management (continued)</w:t>
      </w:r>
    </w:p>
    <w:p>
      <w:pPr>
        <w:pStyle w:val="BodyText"/>
        <w:spacing w:before="7"/>
        <w:rPr>
          <w:b/>
          <w:sz w:val="26"/>
        </w:rPr>
      </w:pPr>
    </w:p>
    <w:p>
      <w:pPr>
        <w:pStyle w:val="ListParagraph"/>
        <w:numPr>
          <w:ilvl w:val="1"/>
          <w:numId w:val="74"/>
        </w:numPr>
        <w:tabs>
          <w:tab w:pos="1071" w:val="left" w:leader="none"/>
        </w:tabs>
        <w:spacing w:line="240" w:lineRule="auto" w:before="0" w:after="0"/>
        <w:ind w:left="1070" w:right="0" w:hanging="566"/>
        <w:jc w:val="left"/>
        <w:rPr>
          <w:b/>
          <w:sz w:val="18"/>
        </w:rPr>
      </w:pPr>
      <w:r>
        <w:rPr>
          <w:b/>
          <w:sz w:val="18"/>
        </w:rPr>
        <w:t>Market</w:t>
      </w:r>
      <w:r>
        <w:rPr>
          <w:b/>
          <w:spacing w:val="-1"/>
          <w:sz w:val="18"/>
        </w:rPr>
        <w:t> </w:t>
      </w:r>
      <w:r>
        <w:rPr>
          <w:b/>
          <w:sz w:val="18"/>
        </w:rPr>
        <w:t>risk</w:t>
      </w:r>
    </w:p>
    <w:p>
      <w:pPr>
        <w:pStyle w:val="BodyText"/>
        <w:spacing w:before="4"/>
        <w:rPr>
          <w:b/>
          <w:sz w:val="25"/>
        </w:rPr>
      </w:pPr>
    </w:p>
    <w:p>
      <w:pPr>
        <w:pStyle w:val="ListParagraph"/>
        <w:numPr>
          <w:ilvl w:val="0"/>
          <w:numId w:val="75"/>
        </w:numPr>
        <w:tabs>
          <w:tab w:pos="846" w:val="left" w:leader="none"/>
        </w:tabs>
        <w:spacing w:line="240" w:lineRule="auto" w:before="0" w:after="0"/>
        <w:ind w:left="845" w:right="0" w:hanging="313"/>
        <w:jc w:val="left"/>
        <w:rPr>
          <w:sz w:val="18"/>
        </w:rPr>
      </w:pPr>
      <w:r>
        <w:rPr>
          <w:sz w:val="18"/>
        </w:rPr>
        <w:t>Cash flow and fair value interest rate</w:t>
      </w:r>
      <w:r>
        <w:rPr>
          <w:spacing w:val="-1"/>
          <w:sz w:val="18"/>
        </w:rPr>
        <w:t> </w:t>
      </w:r>
      <w:r>
        <w:rPr>
          <w:sz w:val="18"/>
        </w:rPr>
        <w:t>risk</w:t>
      </w:r>
    </w:p>
    <w:p>
      <w:pPr>
        <w:pStyle w:val="BodyText"/>
        <w:spacing w:before="11"/>
        <w:rPr>
          <w:sz w:val="24"/>
        </w:rPr>
      </w:pPr>
    </w:p>
    <w:p>
      <w:pPr>
        <w:pStyle w:val="BodyText"/>
        <w:ind w:left="532" w:right="220"/>
      </w:pPr>
      <w:r>
        <w:rPr/>
        <w:t>The Company's exposure to interest rate risk is minimal as it has no borrowings.</w:t>
      </w:r>
    </w:p>
    <w:p>
      <w:pPr>
        <w:pStyle w:val="BodyText"/>
        <w:spacing w:before="11"/>
        <w:rPr>
          <w:sz w:val="24"/>
        </w:rPr>
      </w:pPr>
    </w:p>
    <w:p>
      <w:pPr>
        <w:pStyle w:val="ListParagraph"/>
        <w:numPr>
          <w:ilvl w:val="0"/>
          <w:numId w:val="75"/>
        </w:numPr>
        <w:tabs>
          <w:tab w:pos="835" w:val="left" w:leader="none"/>
        </w:tabs>
        <w:spacing w:line="240" w:lineRule="auto" w:before="0" w:after="0"/>
        <w:ind w:left="834" w:right="0" w:hanging="302"/>
        <w:jc w:val="left"/>
        <w:rPr>
          <w:sz w:val="18"/>
        </w:rPr>
      </w:pPr>
      <w:r>
        <w:rPr>
          <w:sz w:val="18"/>
        </w:rPr>
        <w:t>Sensitivity</w:t>
      </w:r>
      <w:r>
        <w:rPr>
          <w:spacing w:val="-1"/>
          <w:sz w:val="18"/>
        </w:rPr>
        <w:t> </w:t>
      </w:r>
      <w:r>
        <w:rPr>
          <w:sz w:val="18"/>
        </w:rPr>
        <w:t>analysis</w:t>
      </w:r>
    </w:p>
    <w:p>
      <w:pPr>
        <w:pStyle w:val="BodyText"/>
        <w:spacing w:before="11"/>
        <w:rPr>
          <w:sz w:val="24"/>
        </w:rPr>
      </w:pPr>
    </w:p>
    <w:p>
      <w:pPr>
        <w:pStyle w:val="BodyText"/>
        <w:ind w:left="532" w:right="220"/>
      </w:pPr>
      <w:r>
        <w:rPr/>
        <w:t>The following table summarises the sensitivity of the Company's financial assets to interest rate risk.</w:t>
      </w:r>
    </w:p>
    <w:p>
      <w:pPr>
        <w:pStyle w:val="BodyText"/>
      </w:pPr>
    </w:p>
    <w:p>
      <w:pPr>
        <w:pStyle w:val="BodyText"/>
        <w:spacing w:before="1"/>
        <w:rPr>
          <w:sz w:val="15"/>
        </w:rPr>
      </w:pPr>
    </w:p>
    <w:p>
      <w:pPr>
        <w:pStyle w:val="Heading9"/>
        <w:tabs>
          <w:tab w:pos="6995" w:val="left" w:leader="none"/>
        </w:tabs>
        <w:ind w:left="547" w:right="220"/>
      </w:pPr>
      <w:r>
        <w:rPr/>
        <w:t>31 December 2017</w:t>
        <w:tab/>
        <w:t>Interest rate</w:t>
      </w:r>
      <w:r>
        <w:rPr>
          <w:spacing w:val="-1"/>
        </w:rPr>
        <w:t> </w:t>
      </w:r>
      <w:r>
        <w:rPr/>
        <w:t>risk</w:t>
      </w:r>
    </w:p>
    <w:p>
      <w:pPr>
        <w:tabs>
          <w:tab w:pos="8707" w:val="left" w:leader="none"/>
        </w:tabs>
        <w:spacing w:before="66"/>
        <w:ind w:left="6410" w:right="220" w:firstLine="0"/>
        <w:jc w:val="left"/>
        <w:rPr>
          <w:b/>
          <w:sz w:val="18"/>
        </w:rPr>
      </w:pPr>
      <w:r>
        <w:rPr>
          <w:b/>
          <w:sz w:val="18"/>
        </w:rPr>
        <w:t>-1%</w:t>
        <w:tab/>
        <w:t>+1%</w:t>
      </w:r>
    </w:p>
    <w:p>
      <w:pPr>
        <w:spacing w:after="0"/>
        <w:jc w:val="left"/>
        <w:rPr>
          <w:sz w:val="18"/>
        </w:rPr>
        <w:sectPr>
          <w:pgSz w:w="11910" w:h="16840"/>
          <w:pgMar w:header="1037" w:footer="512" w:top="2380" w:bottom="700" w:left="900" w:right="880"/>
        </w:sectPr>
      </w:pPr>
    </w:p>
    <w:p>
      <w:pPr>
        <w:spacing w:before="66"/>
        <w:ind w:left="4494" w:right="0" w:hanging="39"/>
        <w:jc w:val="right"/>
        <w:rPr>
          <w:b/>
          <w:sz w:val="18"/>
        </w:rPr>
      </w:pPr>
      <w:r>
        <w:rPr>
          <w:b/>
          <w:sz w:val="18"/>
        </w:rPr>
        <w:t>Carrying amount</w:t>
      </w:r>
    </w:p>
    <w:p>
      <w:pPr>
        <w:spacing w:before="66"/>
        <w:ind w:left="0" w:right="315" w:firstLine="0"/>
        <w:jc w:val="right"/>
        <w:rPr>
          <w:b/>
          <w:sz w:val="18"/>
        </w:rPr>
      </w:pPr>
      <w:r>
        <w:rPr>
          <w:b/>
          <w:w w:val="99"/>
          <w:sz w:val="18"/>
        </w:rPr>
        <w:t>$</w:t>
      </w:r>
    </w:p>
    <w:p>
      <w:pPr>
        <w:pStyle w:val="BodyText"/>
        <w:spacing w:before="8"/>
        <w:rPr>
          <w:b/>
          <w:sz w:val="23"/>
        </w:rPr>
      </w:pPr>
      <w:r>
        <w:rPr/>
        <w:br w:type="column"/>
      </w:r>
      <w:r>
        <w:rPr>
          <w:b/>
          <w:sz w:val="23"/>
        </w:rPr>
      </w:r>
    </w:p>
    <w:p>
      <w:pPr>
        <w:spacing w:before="0"/>
        <w:ind w:left="451" w:right="0" w:firstLine="0"/>
        <w:jc w:val="center"/>
        <w:rPr>
          <w:b/>
          <w:sz w:val="18"/>
        </w:rPr>
      </w:pPr>
      <w:r>
        <w:rPr>
          <w:b/>
          <w:sz w:val="18"/>
        </w:rPr>
        <w:t>Result</w:t>
      </w:r>
    </w:p>
    <w:p>
      <w:pPr>
        <w:spacing w:before="66"/>
        <w:ind w:left="0" w:right="224" w:firstLine="0"/>
        <w:jc w:val="right"/>
        <w:rPr>
          <w:b/>
          <w:sz w:val="18"/>
        </w:rPr>
      </w:pPr>
      <w:r>
        <w:rPr>
          <w:b/>
          <w:w w:val="99"/>
          <w:sz w:val="18"/>
        </w:rPr>
        <w:t>$</w:t>
      </w:r>
    </w:p>
    <w:p>
      <w:pPr>
        <w:pStyle w:val="BodyText"/>
        <w:spacing w:before="8"/>
        <w:rPr>
          <w:b/>
          <w:sz w:val="23"/>
        </w:rPr>
      </w:pPr>
      <w:r>
        <w:rPr/>
        <w:br w:type="column"/>
      </w:r>
      <w:r>
        <w:rPr>
          <w:b/>
          <w:sz w:val="23"/>
        </w:rPr>
      </w:r>
    </w:p>
    <w:p>
      <w:pPr>
        <w:spacing w:before="0"/>
        <w:ind w:left="600" w:right="0" w:firstLine="0"/>
        <w:jc w:val="center"/>
        <w:rPr>
          <w:b/>
          <w:sz w:val="18"/>
        </w:rPr>
      </w:pPr>
      <w:r>
        <w:rPr>
          <w:b/>
          <w:sz w:val="18"/>
        </w:rPr>
        <w:t>Equity</w:t>
      </w:r>
    </w:p>
    <w:p>
      <w:pPr>
        <w:spacing w:before="66"/>
        <w:ind w:left="0" w:right="228" w:firstLine="0"/>
        <w:jc w:val="right"/>
        <w:rPr>
          <w:b/>
          <w:sz w:val="18"/>
        </w:rPr>
      </w:pPr>
      <w:r>
        <w:rPr>
          <w:b/>
          <w:w w:val="99"/>
          <w:sz w:val="18"/>
        </w:rPr>
        <w:t>$</w:t>
      </w:r>
    </w:p>
    <w:p>
      <w:pPr>
        <w:pStyle w:val="BodyText"/>
        <w:spacing w:before="8"/>
        <w:rPr>
          <w:b/>
          <w:sz w:val="23"/>
        </w:rPr>
      </w:pPr>
      <w:r>
        <w:rPr/>
        <w:br w:type="column"/>
      </w:r>
      <w:r>
        <w:rPr>
          <w:b/>
          <w:sz w:val="23"/>
        </w:rPr>
      </w:r>
    </w:p>
    <w:p>
      <w:pPr>
        <w:spacing w:before="0"/>
        <w:ind w:left="536" w:right="0" w:firstLine="0"/>
        <w:jc w:val="center"/>
        <w:rPr>
          <w:b/>
          <w:sz w:val="18"/>
        </w:rPr>
      </w:pPr>
      <w:r>
        <w:rPr>
          <w:b/>
          <w:sz w:val="18"/>
        </w:rPr>
        <w:t>Result</w:t>
      </w:r>
    </w:p>
    <w:p>
      <w:pPr>
        <w:spacing w:before="66"/>
        <w:ind w:left="0" w:right="224" w:firstLine="0"/>
        <w:jc w:val="right"/>
        <w:rPr>
          <w:b/>
          <w:sz w:val="18"/>
        </w:rPr>
      </w:pPr>
      <w:r>
        <w:rPr>
          <w:b/>
          <w:w w:val="99"/>
          <w:sz w:val="18"/>
        </w:rPr>
        <w:t>$</w:t>
      </w:r>
    </w:p>
    <w:p>
      <w:pPr>
        <w:pStyle w:val="BodyText"/>
        <w:spacing w:before="8"/>
        <w:rPr>
          <w:b/>
          <w:sz w:val="23"/>
        </w:rPr>
      </w:pPr>
      <w:r>
        <w:rPr/>
        <w:br w:type="column"/>
      </w:r>
      <w:r>
        <w:rPr>
          <w:b/>
          <w:sz w:val="23"/>
        </w:rPr>
      </w:r>
    </w:p>
    <w:p>
      <w:pPr>
        <w:spacing w:before="0"/>
        <w:ind w:left="526" w:right="373" w:firstLine="0"/>
        <w:jc w:val="center"/>
        <w:rPr>
          <w:b/>
          <w:sz w:val="18"/>
        </w:rPr>
      </w:pPr>
      <w:r>
        <w:rPr>
          <w:b/>
          <w:sz w:val="18"/>
        </w:rPr>
        <w:t>Equity</w:t>
      </w:r>
    </w:p>
    <w:p>
      <w:pPr>
        <w:spacing w:before="66"/>
        <w:ind w:left="143" w:right="0" w:firstLine="0"/>
        <w:jc w:val="center"/>
        <w:rPr>
          <w:b/>
          <w:sz w:val="18"/>
        </w:rPr>
      </w:pPr>
      <w:r>
        <w:rPr>
          <w:b/>
          <w:w w:val="99"/>
          <w:sz w:val="18"/>
        </w:rPr>
        <w:t>$</w:t>
      </w:r>
    </w:p>
    <w:p>
      <w:pPr>
        <w:spacing w:after="0"/>
        <w:jc w:val="center"/>
        <w:rPr>
          <w:sz w:val="18"/>
        </w:rPr>
        <w:sectPr>
          <w:type w:val="continuous"/>
          <w:pgSz w:w="11910" w:h="16840"/>
          <w:pgMar w:top="1580" w:bottom="280" w:left="900" w:right="880"/>
          <w:cols w:num="5" w:equalWidth="0">
            <w:col w:w="5233" w:space="40"/>
            <w:col w:w="1005" w:space="40"/>
            <w:col w:w="1153" w:space="40"/>
            <w:col w:w="1089" w:space="40"/>
            <w:col w:w="1490"/>
          </w:cols>
        </w:sectPr>
      </w:pPr>
    </w:p>
    <w:p>
      <w:pPr>
        <w:pStyle w:val="BodyText"/>
        <w:spacing w:before="11"/>
        <w:rPr>
          <w:b/>
          <w:sz w:val="5"/>
        </w:rPr>
      </w:pPr>
    </w:p>
    <w:tbl>
      <w:tblPr>
        <w:tblW w:w="0" w:type="auto"/>
        <w:jc w:val="left"/>
        <w:tblInd w:w="5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81"/>
        <w:gridCol w:w="1612"/>
        <w:gridCol w:w="1386"/>
        <w:gridCol w:w="1094"/>
        <w:gridCol w:w="1103"/>
        <w:gridCol w:w="878"/>
      </w:tblGrid>
      <w:tr>
        <w:trPr>
          <w:trHeight w:val="558" w:hRule="exact"/>
        </w:trPr>
        <w:tc>
          <w:tcPr>
            <w:tcW w:w="3381" w:type="dxa"/>
          </w:tcPr>
          <w:p>
            <w:pPr>
              <w:pStyle w:val="TableParagraph"/>
              <w:spacing w:before="77"/>
              <w:ind w:left="35"/>
              <w:rPr>
                <w:b/>
                <w:sz w:val="18"/>
              </w:rPr>
            </w:pPr>
            <w:r>
              <w:rPr>
                <w:b/>
                <w:sz w:val="18"/>
              </w:rPr>
              <w:t>Financial assets</w:t>
            </w:r>
          </w:p>
          <w:p>
            <w:pPr>
              <w:pStyle w:val="TableParagraph"/>
              <w:spacing w:before="30"/>
              <w:ind w:left="248"/>
              <w:rPr>
                <w:sz w:val="18"/>
              </w:rPr>
            </w:pPr>
            <w:r>
              <w:rPr>
                <w:sz w:val="18"/>
              </w:rPr>
              <w:t>Cash and Cash Equivalents</w:t>
            </w:r>
          </w:p>
        </w:tc>
        <w:tc>
          <w:tcPr>
            <w:tcW w:w="1612" w:type="dxa"/>
          </w:tcPr>
          <w:p>
            <w:pPr>
              <w:pStyle w:val="TableParagraph"/>
              <w:rPr>
                <w:b/>
                <w:sz w:val="18"/>
              </w:rPr>
            </w:pPr>
          </w:p>
          <w:p>
            <w:pPr>
              <w:pStyle w:val="TableParagraph"/>
              <w:spacing w:before="105"/>
              <w:ind w:right="216"/>
              <w:jc w:val="right"/>
              <w:rPr>
                <w:b/>
                <w:sz w:val="18"/>
              </w:rPr>
            </w:pPr>
            <w:r>
              <w:rPr>
                <w:b/>
                <w:w w:val="95"/>
                <w:sz w:val="18"/>
              </w:rPr>
              <w:t>482,158</w:t>
            </w:r>
          </w:p>
        </w:tc>
        <w:tc>
          <w:tcPr>
            <w:tcW w:w="1386" w:type="dxa"/>
          </w:tcPr>
          <w:p>
            <w:pPr>
              <w:pStyle w:val="TableParagraph"/>
              <w:rPr>
                <w:b/>
                <w:sz w:val="18"/>
              </w:rPr>
            </w:pPr>
          </w:p>
          <w:p>
            <w:pPr>
              <w:pStyle w:val="TableParagraph"/>
              <w:spacing w:before="105"/>
              <w:ind w:right="293"/>
              <w:jc w:val="right"/>
              <w:rPr>
                <w:b/>
                <w:sz w:val="18"/>
              </w:rPr>
            </w:pPr>
            <w:r>
              <w:rPr>
                <w:b/>
                <w:w w:val="95"/>
                <w:sz w:val="18"/>
              </w:rPr>
              <w:t>(4,822)</w:t>
            </w:r>
          </w:p>
        </w:tc>
        <w:tc>
          <w:tcPr>
            <w:tcW w:w="1094" w:type="dxa"/>
          </w:tcPr>
          <w:p>
            <w:pPr>
              <w:pStyle w:val="TableParagraph"/>
              <w:rPr>
                <w:b/>
                <w:sz w:val="18"/>
              </w:rPr>
            </w:pPr>
          </w:p>
          <w:p>
            <w:pPr>
              <w:pStyle w:val="TableParagraph"/>
              <w:spacing w:before="105"/>
              <w:ind w:right="257"/>
              <w:jc w:val="right"/>
              <w:rPr>
                <w:b/>
                <w:sz w:val="18"/>
              </w:rPr>
            </w:pPr>
            <w:r>
              <w:rPr>
                <w:b/>
                <w:w w:val="95"/>
                <w:sz w:val="18"/>
              </w:rPr>
              <w:t>(4,822)</w:t>
            </w:r>
          </w:p>
        </w:tc>
        <w:tc>
          <w:tcPr>
            <w:tcW w:w="1103" w:type="dxa"/>
          </w:tcPr>
          <w:p>
            <w:pPr>
              <w:pStyle w:val="TableParagraph"/>
              <w:rPr>
                <w:b/>
                <w:sz w:val="18"/>
              </w:rPr>
            </w:pPr>
          </w:p>
          <w:p>
            <w:pPr>
              <w:pStyle w:val="TableParagraph"/>
              <w:spacing w:before="105"/>
              <w:ind w:right="287"/>
              <w:jc w:val="right"/>
              <w:rPr>
                <w:b/>
                <w:sz w:val="18"/>
              </w:rPr>
            </w:pPr>
            <w:r>
              <w:rPr>
                <w:b/>
                <w:w w:val="95"/>
                <w:sz w:val="18"/>
              </w:rPr>
              <w:t>4,822</w:t>
            </w:r>
          </w:p>
        </w:tc>
        <w:tc>
          <w:tcPr>
            <w:tcW w:w="878" w:type="dxa"/>
          </w:tcPr>
          <w:p>
            <w:pPr>
              <w:pStyle w:val="TableParagraph"/>
              <w:rPr>
                <w:b/>
                <w:sz w:val="18"/>
              </w:rPr>
            </w:pPr>
          </w:p>
          <w:p>
            <w:pPr>
              <w:pStyle w:val="TableParagraph"/>
              <w:spacing w:before="105"/>
              <w:ind w:right="33"/>
              <w:jc w:val="right"/>
              <w:rPr>
                <w:b/>
                <w:sz w:val="18"/>
              </w:rPr>
            </w:pPr>
            <w:r>
              <w:rPr>
                <w:b/>
                <w:w w:val="95"/>
                <w:sz w:val="18"/>
              </w:rPr>
              <w:t>4,822</w:t>
            </w:r>
          </w:p>
        </w:tc>
      </w:tr>
      <w:tr>
        <w:trPr>
          <w:trHeight w:val="323" w:hRule="exact"/>
        </w:trPr>
        <w:tc>
          <w:tcPr>
            <w:tcW w:w="3381" w:type="dxa"/>
          </w:tcPr>
          <w:p>
            <w:pPr>
              <w:pStyle w:val="TableParagraph"/>
              <w:spacing w:before="20"/>
              <w:ind w:left="248"/>
              <w:rPr>
                <w:sz w:val="18"/>
              </w:rPr>
            </w:pPr>
            <w:r>
              <w:rPr>
                <w:sz w:val="18"/>
              </w:rPr>
              <w:t>Loan Receivable - Parent Entity</w:t>
            </w:r>
          </w:p>
        </w:tc>
        <w:tc>
          <w:tcPr>
            <w:tcW w:w="1612" w:type="dxa"/>
          </w:tcPr>
          <w:p>
            <w:pPr>
              <w:pStyle w:val="TableParagraph"/>
              <w:spacing w:before="18"/>
              <w:ind w:right="216"/>
              <w:jc w:val="right"/>
              <w:rPr>
                <w:b/>
                <w:sz w:val="18"/>
              </w:rPr>
            </w:pPr>
            <w:r>
              <w:rPr>
                <w:b/>
                <w:w w:val="95"/>
                <w:sz w:val="18"/>
              </w:rPr>
              <w:t>2,199,145</w:t>
            </w:r>
          </w:p>
        </w:tc>
        <w:tc>
          <w:tcPr>
            <w:tcW w:w="1386" w:type="dxa"/>
          </w:tcPr>
          <w:p>
            <w:pPr>
              <w:pStyle w:val="TableParagraph"/>
              <w:spacing w:before="18"/>
              <w:ind w:right="293"/>
              <w:jc w:val="right"/>
              <w:rPr>
                <w:b/>
                <w:sz w:val="18"/>
              </w:rPr>
            </w:pPr>
            <w:r>
              <w:rPr>
                <w:b/>
                <w:w w:val="95"/>
                <w:sz w:val="18"/>
              </w:rPr>
              <w:t>(21,991)</w:t>
            </w:r>
          </w:p>
        </w:tc>
        <w:tc>
          <w:tcPr>
            <w:tcW w:w="1094" w:type="dxa"/>
          </w:tcPr>
          <w:p>
            <w:pPr>
              <w:pStyle w:val="TableParagraph"/>
              <w:spacing w:before="18"/>
              <w:ind w:right="257"/>
              <w:jc w:val="right"/>
              <w:rPr>
                <w:b/>
                <w:sz w:val="18"/>
              </w:rPr>
            </w:pPr>
            <w:r>
              <w:rPr>
                <w:b/>
                <w:w w:val="95"/>
                <w:sz w:val="18"/>
              </w:rPr>
              <w:t>(21,991)</w:t>
            </w:r>
          </w:p>
        </w:tc>
        <w:tc>
          <w:tcPr>
            <w:tcW w:w="1103" w:type="dxa"/>
          </w:tcPr>
          <w:p>
            <w:pPr>
              <w:pStyle w:val="TableParagraph"/>
              <w:spacing w:before="18"/>
              <w:ind w:right="287"/>
              <w:jc w:val="right"/>
              <w:rPr>
                <w:b/>
                <w:sz w:val="18"/>
              </w:rPr>
            </w:pPr>
            <w:r>
              <w:rPr>
                <w:b/>
                <w:w w:val="95"/>
                <w:sz w:val="18"/>
              </w:rPr>
              <w:t>21,991</w:t>
            </w:r>
          </w:p>
        </w:tc>
        <w:tc>
          <w:tcPr>
            <w:tcW w:w="878" w:type="dxa"/>
          </w:tcPr>
          <w:p>
            <w:pPr>
              <w:pStyle w:val="TableParagraph"/>
              <w:spacing w:before="18"/>
              <w:ind w:right="33"/>
              <w:jc w:val="right"/>
              <w:rPr>
                <w:b/>
                <w:sz w:val="18"/>
              </w:rPr>
            </w:pPr>
            <w:r>
              <w:rPr>
                <w:b/>
                <w:w w:val="95"/>
                <w:sz w:val="18"/>
              </w:rPr>
              <w:t>21,991</w:t>
            </w:r>
          </w:p>
        </w:tc>
      </w:tr>
    </w:tbl>
    <w:p>
      <w:pPr>
        <w:pStyle w:val="BodyText"/>
        <w:rPr>
          <w:b/>
        </w:rPr>
      </w:pPr>
      <w:r>
        <w:rPr/>
        <w:pict>
          <v:group style="position:absolute;margin-left:313.845001pt;margin-top:12.31302pt;width:232.35pt;height:1pt;mso-position-horizontal-relative:page;mso-position-vertical-relative:paragraph;z-index:4504;mso-wrap-distance-left:0;mso-wrap-distance-right:0" coordorigin="6277,246" coordsize="4647,20">
            <v:line style="position:absolute" from="6278,248" to="7524,248" stroked="true" strokeweight=".12pt" strokecolor="#000000"/>
            <v:line style="position:absolute" from="6278,250" to="7524,250" stroked="true" strokeweight=".12pt" strokecolor="#000000"/>
            <v:line style="position:absolute" from="6278,253" to="7524,253" stroked="true" strokeweight=".12pt" strokecolor="#000000"/>
            <v:line style="position:absolute" from="6278,255" to="7524,255" stroked="true" strokeweight=".12pt" strokecolor="#000000"/>
            <v:line style="position:absolute" from="6278,257" to="7524,257" stroked="true" strokeweight=".12pt" strokecolor="#000000"/>
            <v:line style="position:absolute" from="6278,260" to="7524,260" stroked="true" strokeweight=".12pt" strokecolor="#000000"/>
            <v:line style="position:absolute" from="6278,262" to="7524,262" stroked="true" strokeweight=".12pt" strokecolor="#000000"/>
            <v:line style="position:absolute" from="6278,265" to="7524,265" stroked="true" strokeweight=".12pt" strokecolor="#000000"/>
            <v:line style="position:absolute" from="7524,248" to="8657,248" stroked="true" strokeweight=".12pt" strokecolor="#000000"/>
            <v:line style="position:absolute" from="7524,250" to="8657,250" stroked="true" strokeweight=".12pt" strokecolor="#000000"/>
            <v:line style="position:absolute" from="7524,253" to="8657,253" stroked="true" strokeweight=".12pt" strokecolor="#000000"/>
            <v:line style="position:absolute" from="7524,255" to="8657,255" stroked="true" strokeweight=".12pt" strokecolor="#000000"/>
            <v:line style="position:absolute" from="7524,257" to="8657,257" stroked="true" strokeweight=".12pt" strokecolor="#000000"/>
            <v:line style="position:absolute" from="7524,260" to="8657,260" stroked="true" strokeweight=".12pt" strokecolor="#000000"/>
            <v:line style="position:absolute" from="7524,262" to="8657,262" stroked="true" strokeweight=".12pt" strokecolor="#000000"/>
            <v:line style="position:absolute" from="7524,265" to="8657,265" stroked="true" strokeweight=".12pt" strokecolor="#000000"/>
            <v:line style="position:absolute" from="8657,248" to="9790,248" stroked="true" strokeweight=".12pt" strokecolor="#000000"/>
            <v:line style="position:absolute" from="8657,250" to="9790,250" stroked="true" strokeweight=".12pt" strokecolor="#000000"/>
            <v:line style="position:absolute" from="8657,253" to="9790,253" stroked="true" strokeweight=".12pt" strokecolor="#000000"/>
            <v:line style="position:absolute" from="8657,255" to="9790,255" stroked="true" strokeweight=".12pt" strokecolor="#000000"/>
            <v:line style="position:absolute" from="8657,257" to="9790,257" stroked="true" strokeweight=".12pt" strokecolor="#000000"/>
            <v:line style="position:absolute" from="8657,260" to="9790,260" stroked="true" strokeweight=".12pt" strokecolor="#000000"/>
            <v:line style="position:absolute" from="8657,262" to="9790,262" stroked="true" strokeweight=".12pt" strokecolor="#000000"/>
            <v:line style="position:absolute" from="8657,265" to="9790,265" stroked="true" strokeweight=".12pt" strokecolor="#000000"/>
            <v:line style="position:absolute" from="9790,248" to="10922,248" stroked="true" strokeweight=".12pt" strokecolor="#000000"/>
            <v:line style="position:absolute" from="9790,250" to="10922,250" stroked="true" strokeweight=".12pt" strokecolor="#000000"/>
            <v:line style="position:absolute" from="9790,253" to="10922,253" stroked="true" strokeweight=".12pt" strokecolor="#000000"/>
            <v:line style="position:absolute" from="9790,255" to="10922,255" stroked="true" strokeweight=".12pt" strokecolor="#000000"/>
            <v:line style="position:absolute" from="9790,257" to="10922,257" stroked="true" strokeweight=".12pt" strokecolor="#000000"/>
            <v:line style="position:absolute" from="9790,260" to="10922,260" stroked="true" strokeweight=".12pt" strokecolor="#000000"/>
            <v:line style="position:absolute" from="9790,262" to="10922,262" stroked="true" strokeweight=".12pt" strokecolor="#000000"/>
            <v:line style="position:absolute" from="9790,265" to="10922,265" stroked="true" strokeweight=".12pt" strokecolor="#000000"/>
            <w10:wrap type="topAndBottom"/>
          </v:group>
        </w:pict>
      </w:r>
    </w:p>
    <w:p>
      <w:pPr>
        <w:tabs>
          <w:tab w:pos="5920" w:val="left" w:leader="none"/>
          <w:tab w:pos="7051" w:val="left" w:leader="none"/>
          <w:tab w:pos="8243" w:val="left" w:leader="none"/>
          <w:tab w:pos="9376" w:val="left" w:leader="none"/>
        </w:tabs>
        <w:spacing w:before="4" w:after="23"/>
        <w:ind w:left="547" w:right="130" w:firstLine="0"/>
        <w:jc w:val="left"/>
        <w:rPr>
          <w:b/>
          <w:sz w:val="18"/>
        </w:rPr>
      </w:pPr>
      <w:r>
        <w:rPr>
          <w:b/>
          <w:sz w:val="18"/>
        </w:rPr>
        <w:t>Total</w:t>
      </w:r>
      <w:r>
        <w:rPr>
          <w:b/>
          <w:spacing w:val="-1"/>
          <w:sz w:val="18"/>
        </w:rPr>
        <w:t> </w:t>
      </w:r>
      <w:r>
        <w:rPr>
          <w:b/>
          <w:sz w:val="18"/>
        </w:rPr>
        <w:t>increase/(decrease)</w:t>
        <w:tab/>
        <w:t>(26,813)</w:t>
        <w:tab/>
        <w:t>(26,813)</w:t>
        <w:tab/>
        <w:t>26,813</w:t>
        <w:tab/>
        <w:t>26,813</w:t>
      </w:r>
    </w:p>
    <w:p>
      <w:pPr>
        <w:pStyle w:val="BodyText"/>
        <w:spacing w:line="20" w:lineRule="exact"/>
        <w:ind w:left="5376"/>
        <w:rPr>
          <w:sz w:val="2"/>
        </w:rPr>
      </w:pPr>
      <w:r>
        <w:rPr>
          <w:sz w:val="2"/>
        </w:rPr>
        <w:pict>
          <v:group style="width:232.35pt;height:1pt;mso-position-horizontal-relative:char;mso-position-vertical-relative:line" coordorigin="0,0" coordsize="4647,20">
            <v:line style="position:absolute" from="2,2" to="1247,2" stroked="true" strokeweight=".12pt" strokecolor="#000000"/>
            <v:line style="position:absolute" from="2,4" to="1247,4" stroked="true" strokeweight=".12pt" strokecolor="#000000"/>
            <v:line style="position:absolute" from="2,6" to="1247,6" stroked="true" strokeweight=".12pt" strokecolor="#000000"/>
            <v:line style="position:absolute" from="2,9" to="1247,9" stroked="true" strokeweight=".12pt" strokecolor="#000000"/>
            <v:line style="position:absolute" from="2,11" to="1247,11" stroked="true" strokeweight=".12pt" strokecolor="#000000"/>
            <v:line style="position:absolute" from="2,14" to="1247,14" stroked="true" strokeweight=".12pt" strokecolor="#000000"/>
            <v:line style="position:absolute" from="2,16" to="1247,16" stroked="true" strokeweight=".12pt" strokecolor="#000000"/>
            <v:line style="position:absolute" from="2,18" to="1247,18" stroked="true" strokeweight=".12pt" strokecolor="#000000"/>
            <v:line style="position:absolute" from="1247,2" to="2380,2" stroked="true" strokeweight=".12pt" strokecolor="#000000"/>
            <v:line style="position:absolute" from="1247,4" to="2380,4" stroked="true" strokeweight=".12pt" strokecolor="#000000"/>
            <v:line style="position:absolute" from="1247,6" to="2380,6" stroked="true" strokeweight=".12pt" strokecolor="#000000"/>
            <v:line style="position:absolute" from="1247,9" to="2380,9" stroked="true" strokeweight=".12pt" strokecolor="#000000"/>
            <v:line style="position:absolute" from="1247,11" to="2380,11" stroked="true" strokeweight=".12pt" strokecolor="#000000"/>
            <v:line style="position:absolute" from="1247,14" to="2380,14" stroked="true" strokeweight=".12pt" strokecolor="#000000"/>
            <v:line style="position:absolute" from="1247,16" to="2380,16" stroked="true" strokeweight=".12pt" strokecolor="#000000"/>
            <v:line style="position:absolute" from="1247,18" to="2380,18" stroked="true" strokeweight=".12pt" strokecolor="#000000"/>
            <v:line style="position:absolute" from="2380,2" to="3513,2" stroked="true" strokeweight=".12pt" strokecolor="#000000"/>
            <v:line style="position:absolute" from="2380,4" to="3513,4" stroked="true" strokeweight=".12pt" strokecolor="#000000"/>
            <v:line style="position:absolute" from="2380,6" to="3513,6" stroked="true" strokeweight=".12pt" strokecolor="#000000"/>
            <v:line style="position:absolute" from="2380,9" to="3513,9" stroked="true" strokeweight=".12pt" strokecolor="#000000"/>
            <v:line style="position:absolute" from="2380,11" to="3513,11" stroked="true" strokeweight=".12pt" strokecolor="#000000"/>
            <v:line style="position:absolute" from="2380,14" to="3513,14" stroked="true" strokeweight=".12pt" strokecolor="#000000"/>
            <v:line style="position:absolute" from="2380,16" to="3513,16" stroked="true" strokeweight=".12pt" strokecolor="#000000"/>
            <v:line style="position:absolute" from="2380,18" to="3513,18" stroked="true" strokeweight=".12pt" strokecolor="#000000"/>
            <v:line style="position:absolute" from="3513,2" to="4645,2" stroked="true" strokeweight=".12pt" strokecolor="#000000"/>
            <v:line style="position:absolute" from="3513,4" to="4645,4" stroked="true" strokeweight=".12pt" strokecolor="#000000"/>
            <v:line style="position:absolute" from="3513,6" to="4645,6" stroked="true" strokeweight=".12pt" strokecolor="#000000"/>
            <v:line style="position:absolute" from="3513,9" to="4645,9" stroked="true" strokeweight=".12pt" strokecolor="#000000"/>
            <v:line style="position:absolute" from="3513,11" to="4645,11" stroked="true" strokeweight=".12pt" strokecolor="#000000"/>
            <v:line style="position:absolute" from="3513,14" to="4645,14" stroked="true" strokeweight=".12pt" strokecolor="#000000"/>
            <v:line style="position:absolute" from="3513,16" to="4645,16" stroked="true" strokeweight=".12pt" strokecolor="#000000"/>
            <v:line style="position:absolute" from="3513,18" to="4645,18" stroked="true" strokeweight=".12pt" strokecolor="#000000"/>
          </v:group>
        </w:pict>
      </w:r>
      <w:r>
        <w:rPr>
          <w:sz w:val="2"/>
        </w:rPr>
      </w:r>
    </w:p>
    <w:p>
      <w:pPr>
        <w:pStyle w:val="BodyText"/>
        <w:rPr>
          <w:b/>
          <w:sz w:val="20"/>
        </w:rPr>
      </w:pPr>
    </w:p>
    <w:p>
      <w:pPr>
        <w:pStyle w:val="BodyText"/>
        <w:rPr>
          <w:b/>
          <w:sz w:val="20"/>
        </w:rPr>
      </w:pPr>
    </w:p>
    <w:p>
      <w:pPr>
        <w:pStyle w:val="BodyText"/>
        <w:spacing w:before="2"/>
        <w:rPr>
          <w:b/>
          <w:sz w:val="17"/>
        </w:rPr>
      </w:pPr>
    </w:p>
    <w:p>
      <w:pPr>
        <w:tabs>
          <w:tab w:pos="6995" w:val="left" w:leader="none"/>
        </w:tabs>
        <w:spacing w:before="0"/>
        <w:ind w:left="547" w:right="220" w:firstLine="0"/>
        <w:jc w:val="left"/>
        <w:rPr>
          <w:b/>
          <w:sz w:val="18"/>
        </w:rPr>
      </w:pPr>
      <w:r>
        <w:rPr>
          <w:b/>
          <w:sz w:val="18"/>
        </w:rPr>
        <w:t>31 December 2016</w:t>
        <w:tab/>
        <w:t>Interest rate</w:t>
      </w:r>
      <w:r>
        <w:rPr>
          <w:b/>
          <w:spacing w:val="-1"/>
          <w:sz w:val="18"/>
        </w:rPr>
        <w:t> </w:t>
      </w:r>
      <w:r>
        <w:rPr>
          <w:b/>
          <w:sz w:val="18"/>
        </w:rPr>
        <w:t>risk</w:t>
      </w:r>
    </w:p>
    <w:p>
      <w:pPr>
        <w:tabs>
          <w:tab w:pos="8707" w:val="left" w:leader="none"/>
        </w:tabs>
        <w:spacing w:before="66"/>
        <w:ind w:left="6410" w:right="220" w:firstLine="0"/>
        <w:jc w:val="left"/>
        <w:rPr>
          <w:b/>
          <w:sz w:val="18"/>
        </w:rPr>
      </w:pPr>
      <w:r>
        <w:rPr>
          <w:b/>
          <w:sz w:val="18"/>
        </w:rPr>
        <w:t>-1%</w:t>
        <w:tab/>
        <w:t>+1%</w:t>
      </w:r>
    </w:p>
    <w:p>
      <w:pPr>
        <w:spacing w:after="0"/>
        <w:jc w:val="left"/>
        <w:rPr>
          <w:sz w:val="18"/>
        </w:rPr>
        <w:sectPr>
          <w:type w:val="continuous"/>
          <w:pgSz w:w="11910" w:h="16840"/>
          <w:pgMar w:top="1580" w:bottom="280" w:left="900" w:right="880"/>
        </w:sectPr>
      </w:pPr>
    </w:p>
    <w:p>
      <w:pPr>
        <w:pStyle w:val="BodyText"/>
        <w:rPr>
          <w:b/>
        </w:rPr>
      </w:pPr>
    </w:p>
    <w:p>
      <w:pPr>
        <w:pStyle w:val="BodyText"/>
        <w:rPr>
          <w:b/>
        </w:rPr>
      </w:pPr>
    </w:p>
    <w:p>
      <w:pPr>
        <w:pStyle w:val="BodyText"/>
        <w:rPr>
          <w:b/>
        </w:rPr>
      </w:pPr>
    </w:p>
    <w:p>
      <w:pPr>
        <w:pStyle w:val="BodyText"/>
        <w:spacing w:before="2"/>
        <w:rPr>
          <w:b/>
          <w:sz w:val="24"/>
        </w:rPr>
      </w:pPr>
    </w:p>
    <w:p>
      <w:pPr>
        <w:spacing w:before="0"/>
        <w:ind w:left="547" w:right="-11" w:firstLine="0"/>
        <w:jc w:val="left"/>
        <w:rPr>
          <w:b/>
          <w:sz w:val="18"/>
        </w:rPr>
      </w:pPr>
      <w:r>
        <w:rPr>
          <w:b/>
          <w:sz w:val="18"/>
        </w:rPr>
        <w:t>Financial assets</w:t>
      </w:r>
    </w:p>
    <w:p>
      <w:pPr>
        <w:spacing w:before="66"/>
        <w:ind w:left="547" w:right="0" w:firstLine="0"/>
        <w:jc w:val="center"/>
        <w:rPr>
          <w:b/>
          <w:sz w:val="18"/>
        </w:rPr>
      </w:pPr>
      <w:r>
        <w:rPr/>
        <w:br w:type="column"/>
      </w:r>
      <w:r>
        <w:rPr>
          <w:b/>
          <w:spacing w:val="-2"/>
          <w:sz w:val="18"/>
        </w:rPr>
        <w:t>Carrying </w:t>
      </w:r>
      <w:r>
        <w:rPr>
          <w:b/>
          <w:sz w:val="18"/>
        </w:rPr>
        <w:t>amount</w:t>
      </w:r>
    </w:p>
    <w:p>
      <w:pPr>
        <w:spacing w:before="66"/>
        <w:ind w:left="0" w:right="315" w:firstLine="0"/>
        <w:jc w:val="right"/>
        <w:rPr>
          <w:b/>
          <w:sz w:val="18"/>
        </w:rPr>
      </w:pPr>
      <w:r>
        <w:rPr>
          <w:b/>
          <w:w w:val="99"/>
          <w:sz w:val="18"/>
        </w:rPr>
        <w:t>$</w:t>
      </w:r>
    </w:p>
    <w:p>
      <w:pPr>
        <w:pStyle w:val="BodyText"/>
        <w:spacing w:before="8"/>
        <w:rPr>
          <w:b/>
          <w:sz w:val="23"/>
        </w:rPr>
      </w:pPr>
      <w:r>
        <w:rPr/>
        <w:br w:type="column"/>
      </w:r>
      <w:r>
        <w:rPr>
          <w:b/>
          <w:sz w:val="23"/>
        </w:rPr>
      </w:r>
    </w:p>
    <w:p>
      <w:pPr>
        <w:spacing w:before="0"/>
        <w:ind w:left="451" w:right="0" w:firstLine="0"/>
        <w:jc w:val="center"/>
        <w:rPr>
          <w:b/>
          <w:sz w:val="18"/>
        </w:rPr>
      </w:pPr>
      <w:r>
        <w:rPr>
          <w:b/>
          <w:sz w:val="18"/>
        </w:rPr>
        <w:t>Result</w:t>
      </w:r>
    </w:p>
    <w:p>
      <w:pPr>
        <w:spacing w:before="66"/>
        <w:ind w:left="0" w:right="224" w:firstLine="0"/>
        <w:jc w:val="right"/>
        <w:rPr>
          <w:b/>
          <w:sz w:val="18"/>
        </w:rPr>
      </w:pPr>
      <w:r>
        <w:rPr>
          <w:b/>
          <w:w w:val="99"/>
          <w:sz w:val="18"/>
        </w:rPr>
        <w:t>$</w:t>
      </w:r>
    </w:p>
    <w:p>
      <w:pPr>
        <w:pStyle w:val="BodyText"/>
        <w:spacing w:before="8"/>
        <w:rPr>
          <w:b/>
          <w:sz w:val="23"/>
        </w:rPr>
      </w:pPr>
      <w:r>
        <w:rPr/>
        <w:br w:type="column"/>
      </w:r>
      <w:r>
        <w:rPr>
          <w:b/>
          <w:sz w:val="23"/>
        </w:rPr>
      </w:r>
    </w:p>
    <w:p>
      <w:pPr>
        <w:spacing w:before="0"/>
        <w:ind w:left="547" w:right="0" w:firstLine="0"/>
        <w:jc w:val="center"/>
        <w:rPr>
          <w:b/>
          <w:sz w:val="18"/>
        </w:rPr>
      </w:pPr>
      <w:r>
        <w:rPr>
          <w:b/>
          <w:sz w:val="18"/>
        </w:rPr>
        <w:t>Equity</w:t>
      </w:r>
    </w:p>
    <w:p>
      <w:pPr>
        <w:spacing w:before="66"/>
        <w:ind w:left="0" w:right="228" w:firstLine="0"/>
        <w:jc w:val="right"/>
        <w:rPr>
          <w:b/>
          <w:sz w:val="18"/>
        </w:rPr>
      </w:pPr>
      <w:r>
        <w:rPr>
          <w:b/>
          <w:w w:val="99"/>
          <w:sz w:val="18"/>
        </w:rPr>
        <w:t>$</w:t>
      </w:r>
    </w:p>
    <w:p>
      <w:pPr>
        <w:pStyle w:val="BodyText"/>
        <w:spacing w:before="8"/>
        <w:rPr>
          <w:b/>
          <w:sz w:val="23"/>
        </w:rPr>
      </w:pPr>
      <w:r>
        <w:rPr/>
        <w:br w:type="column"/>
      </w:r>
      <w:r>
        <w:rPr>
          <w:b/>
          <w:sz w:val="23"/>
        </w:rPr>
      </w:r>
    </w:p>
    <w:p>
      <w:pPr>
        <w:spacing w:before="0"/>
        <w:ind w:left="536" w:right="0" w:firstLine="0"/>
        <w:jc w:val="center"/>
        <w:rPr>
          <w:b/>
          <w:sz w:val="18"/>
        </w:rPr>
      </w:pPr>
      <w:r>
        <w:rPr>
          <w:b/>
          <w:sz w:val="18"/>
        </w:rPr>
        <w:t>Result</w:t>
      </w:r>
    </w:p>
    <w:p>
      <w:pPr>
        <w:spacing w:before="66"/>
        <w:ind w:left="0" w:right="224" w:firstLine="0"/>
        <w:jc w:val="right"/>
        <w:rPr>
          <w:b/>
          <w:sz w:val="18"/>
        </w:rPr>
      </w:pPr>
      <w:r>
        <w:rPr>
          <w:b/>
          <w:w w:val="99"/>
          <w:sz w:val="18"/>
        </w:rPr>
        <w:t>$</w:t>
      </w:r>
    </w:p>
    <w:p>
      <w:pPr>
        <w:pStyle w:val="BodyText"/>
        <w:spacing w:before="8"/>
        <w:rPr>
          <w:b/>
          <w:sz w:val="23"/>
        </w:rPr>
      </w:pPr>
      <w:r>
        <w:rPr/>
        <w:br w:type="column"/>
      </w:r>
      <w:r>
        <w:rPr>
          <w:b/>
          <w:sz w:val="23"/>
        </w:rPr>
      </w:r>
    </w:p>
    <w:p>
      <w:pPr>
        <w:spacing w:before="0"/>
        <w:ind w:left="488" w:right="335" w:firstLine="0"/>
        <w:jc w:val="center"/>
        <w:rPr>
          <w:b/>
          <w:sz w:val="18"/>
        </w:rPr>
      </w:pPr>
      <w:r>
        <w:rPr>
          <w:b/>
          <w:sz w:val="18"/>
        </w:rPr>
        <w:t>Equity</w:t>
      </w:r>
    </w:p>
    <w:p>
      <w:pPr>
        <w:spacing w:before="66"/>
        <w:ind w:left="143" w:right="0" w:firstLine="0"/>
        <w:jc w:val="center"/>
        <w:rPr>
          <w:b/>
          <w:sz w:val="18"/>
        </w:rPr>
      </w:pPr>
      <w:r>
        <w:rPr>
          <w:b/>
          <w:w w:val="99"/>
          <w:sz w:val="18"/>
        </w:rPr>
        <w:t>$</w:t>
      </w:r>
    </w:p>
    <w:p>
      <w:pPr>
        <w:spacing w:after="0"/>
        <w:jc w:val="center"/>
        <w:rPr>
          <w:sz w:val="18"/>
        </w:rPr>
        <w:sectPr>
          <w:type w:val="continuous"/>
          <w:pgSz w:w="11910" w:h="16840"/>
          <w:pgMar w:top="1580" w:bottom="280" w:left="900" w:right="880"/>
          <w:cols w:num="6" w:equalWidth="0">
            <w:col w:w="1947" w:space="2006"/>
            <w:col w:w="1280" w:space="40"/>
            <w:col w:w="1005" w:space="93"/>
            <w:col w:w="1099" w:space="40"/>
            <w:col w:w="1089" w:space="40"/>
            <w:col w:w="1491"/>
          </w:cols>
        </w:sectPr>
      </w:pPr>
    </w:p>
    <w:p>
      <w:pPr>
        <w:pStyle w:val="BodyText"/>
        <w:spacing w:before="1"/>
        <w:rPr>
          <w:b/>
          <w:sz w:val="3"/>
        </w:rPr>
      </w:pPr>
    </w:p>
    <w:tbl>
      <w:tblPr>
        <w:tblW w:w="0" w:type="auto"/>
        <w:jc w:val="left"/>
        <w:tblInd w:w="72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68"/>
        <w:gridCol w:w="1710"/>
        <w:gridCol w:w="1219"/>
        <w:gridCol w:w="1162"/>
        <w:gridCol w:w="1103"/>
        <w:gridCol w:w="878"/>
      </w:tblGrid>
      <w:tr>
        <w:trPr>
          <w:trHeight w:val="238" w:hRule="exact"/>
        </w:trPr>
        <w:tc>
          <w:tcPr>
            <w:tcW w:w="3168" w:type="dxa"/>
          </w:tcPr>
          <w:p>
            <w:pPr>
              <w:pStyle w:val="TableParagraph"/>
              <w:spacing w:line="202" w:lineRule="exact"/>
              <w:ind w:left="35"/>
              <w:rPr>
                <w:sz w:val="18"/>
              </w:rPr>
            </w:pPr>
            <w:bookmarkStart w:name="None of the Company's financial liabilit" w:id="232"/>
            <w:bookmarkEnd w:id="232"/>
            <w:r>
              <w:rPr/>
            </w:r>
            <w:r>
              <w:rPr>
                <w:sz w:val="18"/>
              </w:rPr>
              <w:t>Cash and Cash Equivalents</w:t>
            </w:r>
          </w:p>
        </w:tc>
        <w:tc>
          <w:tcPr>
            <w:tcW w:w="1710" w:type="dxa"/>
          </w:tcPr>
          <w:p>
            <w:pPr>
              <w:pStyle w:val="TableParagraph"/>
              <w:spacing w:line="199" w:lineRule="exact"/>
              <w:ind w:right="314"/>
              <w:jc w:val="right"/>
              <w:rPr>
                <w:sz w:val="18"/>
              </w:rPr>
            </w:pPr>
            <w:r>
              <w:rPr>
                <w:w w:val="95"/>
                <w:sz w:val="18"/>
              </w:rPr>
              <w:t>647,363</w:t>
            </w:r>
          </w:p>
        </w:tc>
        <w:tc>
          <w:tcPr>
            <w:tcW w:w="1219" w:type="dxa"/>
          </w:tcPr>
          <w:p>
            <w:pPr>
              <w:pStyle w:val="TableParagraph"/>
              <w:spacing w:line="199" w:lineRule="exact"/>
              <w:ind w:right="225"/>
              <w:jc w:val="right"/>
              <w:rPr>
                <w:sz w:val="18"/>
              </w:rPr>
            </w:pPr>
            <w:r>
              <w:rPr>
                <w:w w:val="95"/>
                <w:sz w:val="18"/>
              </w:rPr>
              <w:t>(6,474)</w:t>
            </w:r>
          </w:p>
        </w:tc>
        <w:tc>
          <w:tcPr>
            <w:tcW w:w="1162" w:type="dxa"/>
          </w:tcPr>
          <w:p>
            <w:pPr>
              <w:pStyle w:val="TableParagraph"/>
              <w:spacing w:line="199" w:lineRule="exact"/>
              <w:ind w:right="257"/>
              <w:jc w:val="right"/>
              <w:rPr>
                <w:sz w:val="18"/>
              </w:rPr>
            </w:pPr>
            <w:r>
              <w:rPr>
                <w:w w:val="95"/>
                <w:sz w:val="18"/>
              </w:rPr>
              <w:t>(6,474)</w:t>
            </w:r>
          </w:p>
        </w:tc>
        <w:tc>
          <w:tcPr>
            <w:tcW w:w="1103" w:type="dxa"/>
          </w:tcPr>
          <w:p>
            <w:pPr>
              <w:pStyle w:val="TableParagraph"/>
              <w:spacing w:line="199" w:lineRule="exact"/>
              <w:ind w:right="287"/>
              <w:jc w:val="right"/>
              <w:rPr>
                <w:sz w:val="18"/>
              </w:rPr>
            </w:pPr>
            <w:r>
              <w:rPr>
                <w:w w:val="95"/>
                <w:sz w:val="18"/>
              </w:rPr>
              <w:t>6,474</w:t>
            </w:r>
          </w:p>
        </w:tc>
        <w:tc>
          <w:tcPr>
            <w:tcW w:w="878" w:type="dxa"/>
          </w:tcPr>
          <w:p>
            <w:pPr>
              <w:pStyle w:val="TableParagraph"/>
              <w:spacing w:line="199" w:lineRule="exact"/>
              <w:ind w:right="33"/>
              <w:jc w:val="right"/>
              <w:rPr>
                <w:sz w:val="18"/>
              </w:rPr>
            </w:pPr>
            <w:r>
              <w:rPr>
                <w:w w:val="95"/>
                <w:sz w:val="18"/>
              </w:rPr>
              <w:t>6,474</w:t>
            </w:r>
          </w:p>
        </w:tc>
      </w:tr>
      <w:tr>
        <w:trPr>
          <w:trHeight w:val="323" w:hRule="exact"/>
        </w:trPr>
        <w:tc>
          <w:tcPr>
            <w:tcW w:w="3168" w:type="dxa"/>
          </w:tcPr>
          <w:p>
            <w:pPr>
              <w:pStyle w:val="TableParagraph"/>
              <w:spacing w:before="20"/>
              <w:ind w:left="35"/>
              <w:rPr>
                <w:sz w:val="18"/>
              </w:rPr>
            </w:pPr>
            <w:r>
              <w:rPr>
                <w:sz w:val="18"/>
              </w:rPr>
              <w:t>Loan Receivable - Parent Entity</w:t>
            </w:r>
          </w:p>
        </w:tc>
        <w:tc>
          <w:tcPr>
            <w:tcW w:w="1710" w:type="dxa"/>
          </w:tcPr>
          <w:p>
            <w:pPr>
              <w:pStyle w:val="TableParagraph"/>
              <w:spacing w:before="18"/>
              <w:ind w:right="315"/>
              <w:jc w:val="right"/>
              <w:rPr>
                <w:sz w:val="18"/>
              </w:rPr>
            </w:pPr>
            <w:r>
              <w:rPr>
                <w:w w:val="95"/>
                <w:sz w:val="18"/>
              </w:rPr>
              <w:t>1,576,133</w:t>
            </w:r>
          </w:p>
        </w:tc>
        <w:tc>
          <w:tcPr>
            <w:tcW w:w="1219" w:type="dxa"/>
          </w:tcPr>
          <w:p>
            <w:pPr>
              <w:pStyle w:val="TableParagraph"/>
              <w:spacing w:before="18"/>
              <w:ind w:right="225"/>
              <w:jc w:val="right"/>
              <w:rPr>
                <w:sz w:val="18"/>
              </w:rPr>
            </w:pPr>
            <w:r>
              <w:rPr>
                <w:w w:val="95"/>
                <w:sz w:val="18"/>
              </w:rPr>
              <w:t>(15,761)</w:t>
            </w:r>
          </w:p>
        </w:tc>
        <w:tc>
          <w:tcPr>
            <w:tcW w:w="1162" w:type="dxa"/>
          </w:tcPr>
          <w:p>
            <w:pPr>
              <w:pStyle w:val="TableParagraph"/>
              <w:spacing w:before="18"/>
              <w:ind w:right="257"/>
              <w:jc w:val="right"/>
              <w:rPr>
                <w:sz w:val="18"/>
              </w:rPr>
            </w:pPr>
            <w:r>
              <w:rPr>
                <w:w w:val="95"/>
                <w:sz w:val="18"/>
              </w:rPr>
              <w:t>(15,761)</w:t>
            </w:r>
          </w:p>
        </w:tc>
        <w:tc>
          <w:tcPr>
            <w:tcW w:w="1103" w:type="dxa"/>
          </w:tcPr>
          <w:p>
            <w:pPr>
              <w:pStyle w:val="TableParagraph"/>
              <w:spacing w:before="18"/>
              <w:ind w:right="287"/>
              <w:jc w:val="right"/>
              <w:rPr>
                <w:sz w:val="18"/>
              </w:rPr>
            </w:pPr>
            <w:r>
              <w:rPr>
                <w:w w:val="95"/>
                <w:sz w:val="18"/>
              </w:rPr>
              <w:t>15,761</w:t>
            </w:r>
          </w:p>
        </w:tc>
        <w:tc>
          <w:tcPr>
            <w:tcW w:w="878" w:type="dxa"/>
          </w:tcPr>
          <w:p>
            <w:pPr>
              <w:pStyle w:val="TableParagraph"/>
              <w:spacing w:before="18"/>
              <w:ind w:right="33"/>
              <w:jc w:val="right"/>
              <w:rPr>
                <w:sz w:val="18"/>
              </w:rPr>
            </w:pPr>
            <w:r>
              <w:rPr>
                <w:w w:val="95"/>
                <w:sz w:val="18"/>
              </w:rPr>
              <w:t>15,761</w:t>
            </w:r>
          </w:p>
        </w:tc>
      </w:tr>
    </w:tbl>
    <w:p>
      <w:pPr>
        <w:pStyle w:val="BodyText"/>
        <w:rPr>
          <w:b/>
        </w:rPr>
      </w:pPr>
      <w:r>
        <w:rPr/>
        <w:pict>
          <v:group style="position:absolute;margin-left:313.845001pt;margin-top:12.32291pt;width:232.35pt;height:1pt;mso-position-horizontal-relative:page;mso-position-vertical-relative:paragraph;z-index:4552;mso-wrap-distance-left:0;mso-wrap-distance-right:0" coordorigin="6277,246" coordsize="4647,20">
            <v:line style="position:absolute" from="6278,248" to="7524,248" stroked="true" strokeweight=".12pt" strokecolor="#000000"/>
            <v:line style="position:absolute" from="6278,250" to="7524,250" stroked="true" strokeweight=".12pt" strokecolor="#000000"/>
            <v:line style="position:absolute" from="6278,253" to="7524,253" stroked="true" strokeweight=".12pt" strokecolor="#000000"/>
            <v:line style="position:absolute" from="6278,255" to="7524,255" stroked="true" strokeweight=".12pt" strokecolor="#000000"/>
            <v:line style="position:absolute" from="6278,258" to="7524,258" stroked="true" strokeweight=".12pt" strokecolor="#000000"/>
            <v:line style="position:absolute" from="6278,260" to="7524,260" stroked="true" strokeweight=".12pt" strokecolor="#000000"/>
            <v:line style="position:absolute" from="6278,262" to="7524,262" stroked="true" strokeweight=".12pt" strokecolor="#000000"/>
            <v:line style="position:absolute" from="6278,265" to="7524,265" stroked="true" strokeweight=".12pt" strokecolor="#000000"/>
            <v:line style="position:absolute" from="7524,248" to="8657,248" stroked="true" strokeweight=".12pt" strokecolor="#000000"/>
            <v:line style="position:absolute" from="7524,250" to="8657,250" stroked="true" strokeweight=".12pt" strokecolor="#000000"/>
            <v:line style="position:absolute" from="7524,253" to="8657,253" stroked="true" strokeweight=".12pt" strokecolor="#000000"/>
            <v:line style="position:absolute" from="7524,255" to="8657,255" stroked="true" strokeweight=".12pt" strokecolor="#000000"/>
            <v:line style="position:absolute" from="7524,258" to="8657,258" stroked="true" strokeweight=".12pt" strokecolor="#000000"/>
            <v:line style="position:absolute" from="7524,260" to="8657,260" stroked="true" strokeweight=".12pt" strokecolor="#000000"/>
            <v:line style="position:absolute" from="7524,262" to="8657,262" stroked="true" strokeweight=".12pt" strokecolor="#000000"/>
            <v:line style="position:absolute" from="7524,265" to="8657,265" stroked="true" strokeweight=".12pt" strokecolor="#000000"/>
            <v:line style="position:absolute" from="8657,248" to="9790,248" stroked="true" strokeweight=".12pt" strokecolor="#000000"/>
            <v:line style="position:absolute" from="8657,250" to="9790,250" stroked="true" strokeweight=".12pt" strokecolor="#000000"/>
            <v:line style="position:absolute" from="8657,253" to="9790,253" stroked="true" strokeweight=".12pt" strokecolor="#000000"/>
            <v:line style="position:absolute" from="8657,255" to="9790,255" stroked="true" strokeweight=".12pt" strokecolor="#000000"/>
            <v:line style="position:absolute" from="8657,258" to="9790,258" stroked="true" strokeweight=".12pt" strokecolor="#000000"/>
            <v:line style="position:absolute" from="8657,260" to="9790,260" stroked="true" strokeweight=".12pt" strokecolor="#000000"/>
            <v:line style="position:absolute" from="8657,262" to="9790,262" stroked="true" strokeweight=".12pt" strokecolor="#000000"/>
            <v:line style="position:absolute" from="8657,265" to="9790,265" stroked="true" strokeweight=".12pt" strokecolor="#000000"/>
            <v:line style="position:absolute" from="9790,248" to="10922,248" stroked="true" strokeweight=".12pt" strokecolor="#000000"/>
            <v:line style="position:absolute" from="9790,250" to="10922,250" stroked="true" strokeweight=".12pt" strokecolor="#000000"/>
            <v:line style="position:absolute" from="9790,253" to="10922,253" stroked="true" strokeweight=".12pt" strokecolor="#000000"/>
            <v:line style="position:absolute" from="9790,255" to="10922,255" stroked="true" strokeweight=".12pt" strokecolor="#000000"/>
            <v:line style="position:absolute" from="9790,258" to="10922,258" stroked="true" strokeweight=".12pt" strokecolor="#000000"/>
            <v:line style="position:absolute" from="9790,260" to="10922,260" stroked="true" strokeweight=".12pt" strokecolor="#000000"/>
            <v:line style="position:absolute" from="9790,262" to="10922,262" stroked="true" strokeweight=".12pt" strokecolor="#000000"/>
            <v:line style="position:absolute" from="9790,265" to="10922,265" stroked="true" strokeweight=".12pt" strokecolor="#000000"/>
            <w10:wrap type="topAndBottom"/>
          </v:group>
        </w:pict>
      </w:r>
    </w:p>
    <w:p>
      <w:pPr>
        <w:tabs>
          <w:tab w:pos="5920" w:val="left" w:leader="none"/>
          <w:tab w:pos="7051" w:val="left" w:leader="none"/>
          <w:tab w:pos="8243" w:val="left" w:leader="none"/>
          <w:tab w:pos="9376" w:val="left" w:leader="none"/>
        </w:tabs>
        <w:spacing w:before="4" w:after="23"/>
        <w:ind w:left="547" w:right="130" w:firstLine="0"/>
        <w:jc w:val="left"/>
        <w:rPr>
          <w:sz w:val="18"/>
        </w:rPr>
      </w:pPr>
      <w:r>
        <w:rPr>
          <w:b/>
          <w:sz w:val="18"/>
        </w:rPr>
        <w:t>Total</w:t>
      </w:r>
      <w:r>
        <w:rPr>
          <w:b/>
          <w:spacing w:val="-1"/>
          <w:sz w:val="18"/>
        </w:rPr>
        <w:t> </w:t>
      </w:r>
      <w:r>
        <w:rPr>
          <w:b/>
          <w:sz w:val="18"/>
        </w:rPr>
        <w:t>increase/(decrease)</w:t>
        <w:tab/>
      </w:r>
      <w:r>
        <w:rPr>
          <w:sz w:val="18"/>
        </w:rPr>
        <w:t>(22,235)</w:t>
        <w:tab/>
        <w:t>(22,235)</w:t>
        <w:tab/>
        <w:t>22,235</w:t>
        <w:tab/>
        <w:t>22,235</w:t>
      </w:r>
    </w:p>
    <w:p>
      <w:pPr>
        <w:pStyle w:val="BodyText"/>
        <w:spacing w:line="20" w:lineRule="exact"/>
        <w:ind w:left="5376"/>
        <w:rPr>
          <w:sz w:val="2"/>
        </w:rPr>
      </w:pPr>
      <w:r>
        <w:rPr>
          <w:sz w:val="2"/>
        </w:rPr>
        <w:pict>
          <v:group style="width:232.35pt;height:1pt;mso-position-horizontal-relative:char;mso-position-vertical-relative:line" coordorigin="0,0" coordsize="4647,20">
            <v:line style="position:absolute" from="2,2" to="1247,2" stroked="true" strokeweight=".12pt" strokecolor="#000000"/>
            <v:line style="position:absolute" from="2,4" to="1247,4" stroked="true" strokeweight=".12pt" strokecolor="#000000"/>
            <v:line style="position:absolute" from="2,6" to="1247,6" stroked="true" strokeweight=".12pt" strokecolor="#000000"/>
            <v:line style="position:absolute" from="2,9" to="1247,9" stroked="true" strokeweight=".12pt" strokecolor="#000000"/>
            <v:line style="position:absolute" from="2,11" to="1247,11" stroked="true" strokeweight=".12pt" strokecolor="#000000"/>
            <v:line style="position:absolute" from="2,14" to="1247,14" stroked="true" strokeweight=".12pt" strokecolor="#000000"/>
            <v:line style="position:absolute" from="2,16" to="1247,16" stroked="true" strokeweight=".12pt" strokecolor="#000000"/>
            <v:line style="position:absolute" from="2,18" to="1247,18" stroked="true" strokeweight=".12pt" strokecolor="#000000"/>
            <v:line style="position:absolute" from="1247,2" to="2380,2" stroked="true" strokeweight=".12pt" strokecolor="#000000"/>
            <v:line style="position:absolute" from="1247,4" to="2380,4" stroked="true" strokeweight=".12pt" strokecolor="#000000"/>
            <v:line style="position:absolute" from="1247,6" to="2380,6" stroked="true" strokeweight=".12pt" strokecolor="#000000"/>
            <v:line style="position:absolute" from="1247,9" to="2380,9" stroked="true" strokeweight=".12pt" strokecolor="#000000"/>
            <v:line style="position:absolute" from="1247,11" to="2380,11" stroked="true" strokeweight=".12pt" strokecolor="#000000"/>
            <v:line style="position:absolute" from="1247,14" to="2380,14" stroked="true" strokeweight=".12pt" strokecolor="#000000"/>
            <v:line style="position:absolute" from="1247,16" to="2380,16" stroked="true" strokeweight=".12pt" strokecolor="#000000"/>
            <v:line style="position:absolute" from="1247,18" to="2380,18" stroked="true" strokeweight=".12pt" strokecolor="#000000"/>
            <v:line style="position:absolute" from="2380,2" to="3513,2" stroked="true" strokeweight=".12pt" strokecolor="#000000"/>
            <v:line style="position:absolute" from="2380,4" to="3513,4" stroked="true" strokeweight=".12pt" strokecolor="#000000"/>
            <v:line style="position:absolute" from="2380,6" to="3513,6" stroked="true" strokeweight=".12pt" strokecolor="#000000"/>
            <v:line style="position:absolute" from="2380,9" to="3513,9" stroked="true" strokeweight=".12pt" strokecolor="#000000"/>
            <v:line style="position:absolute" from="2380,11" to="3513,11" stroked="true" strokeweight=".12pt" strokecolor="#000000"/>
            <v:line style="position:absolute" from="2380,14" to="3513,14" stroked="true" strokeweight=".12pt" strokecolor="#000000"/>
            <v:line style="position:absolute" from="2380,16" to="3513,16" stroked="true" strokeweight=".12pt" strokecolor="#000000"/>
            <v:line style="position:absolute" from="2380,18" to="3513,18" stroked="true" strokeweight=".12pt" strokecolor="#000000"/>
            <v:line style="position:absolute" from="3513,2" to="4645,2" stroked="true" strokeweight=".12pt" strokecolor="#000000"/>
            <v:line style="position:absolute" from="3513,4" to="4645,4" stroked="true" strokeweight=".12pt" strokecolor="#000000"/>
            <v:line style="position:absolute" from="3513,6" to="4645,6" stroked="true" strokeweight=".12pt" strokecolor="#000000"/>
            <v:line style="position:absolute" from="3513,9" to="4645,9" stroked="true" strokeweight=".12pt" strokecolor="#000000"/>
            <v:line style="position:absolute" from="3513,11" to="4645,11" stroked="true" strokeweight=".12pt" strokecolor="#000000"/>
            <v:line style="position:absolute" from="3513,14" to="4645,14" stroked="true" strokeweight=".12pt" strokecolor="#000000"/>
            <v:line style="position:absolute" from="3513,16" to="4645,16" stroked="true" strokeweight=".12pt" strokecolor="#000000"/>
            <v:line style="position:absolute" from="3513,18" to="4645,18" stroked="true" strokeweight=".12pt" strokecolor="#000000"/>
          </v:group>
        </w:pict>
      </w:r>
      <w:r>
        <w:rPr>
          <w:sz w:val="2"/>
        </w:rPr>
      </w:r>
    </w:p>
    <w:p>
      <w:pPr>
        <w:pStyle w:val="BodyText"/>
        <w:spacing w:before="6"/>
      </w:pPr>
    </w:p>
    <w:p>
      <w:pPr>
        <w:pStyle w:val="BodyText"/>
        <w:spacing w:before="77"/>
        <w:ind w:left="504" w:right="220"/>
      </w:pPr>
      <w:r>
        <w:rPr/>
        <w:t>None of the Company's financial liabilities are subject to interest rate risk.</w:t>
      </w:r>
    </w:p>
    <w:p>
      <w:pPr>
        <w:pStyle w:val="BodyText"/>
      </w:pPr>
    </w:p>
    <w:p>
      <w:pPr>
        <w:pStyle w:val="BodyText"/>
      </w:pPr>
    </w:p>
    <w:p>
      <w:pPr>
        <w:pStyle w:val="BodyText"/>
      </w:pPr>
    </w:p>
    <w:p>
      <w:pPr>
        <w:pStyle w:val="BodyText"/>
        <w:spacing w:before="7"/>
        <w:rPr>
          <w:sz w:val="15"/>
        </w:rPr>
      </w:pPr>
    </w:p>
    <w:p>
      <w:pPr>
        <w:pStyle w:val="Heading9"/>
        <w:numPr>
          <w:ilvl w:val="1"/>
          <w:numId w:val="74"/>
        </w:numPr>
        <w:tabs>
          <w:tab w:pos="1071" w:val="left" w:leader="none"/>
        </w:tabs>
        <w:spacing w:line="240" w:lineRule="auto" w:before="0" w:after="0"/>
        <w:ind w:left="1070" w:right="0" w:hanging="566"/>
        <w:jc w:val="left"/>
      </w:pPr>
      <w:r>
        <w:rPr/>
        <w:t>Credit</w:t>
      </w:r>
      <w:r>
        <w:rPr>
          <w:spacing w:val="-1"/>
        </w:rPr>
        <w:t> </w:t>
      </w:r>
      <w:r>
        <w:rPr/>
        <w:t>risk</w:t>
      </w:r>
    </w:p>
    <w:p>
      <w:pPr>
        <w:pStyle w:val="BodyText"/>
        <w:spacing w:before="4"/>
        <w:rPr>
          <w:b/>
          <w:sz w:val="25"/>
        </w:rPr>
      </w:pPr>
    </w:p>
    <w:p>
      <w:pPr>
        <w:pStyle w:val="BodyText"/>
        <w:ind w:left="504" w:right="261"/>
      </w:pPr>
      <w:r>
        <w:rPr/>
        <w:t>The credit risk on financial assets of the Company which have been recognised on the statement of financial position is generally the carrying amount, net of provision for loss. Credit risk arises when there is the possibility of the Company's debtors defaulting on their contractual obligations, resulting in financial loss to the Company. The Company does not have any significant exposure to any unrelated customer.</w:t>
      </w:r>
    </w:p>
    <w:p>
      <w:pPr>
        <w:spacing w:after="0"/>
        <w:sectPr>
          <w:type w:val="continuous"/>
          <w:pgSz w:w="11910" w:h="16840"/>
          <w:pgMar w:top="1580" w:bottom="280" w:left="900" w:right="880"/>
        </w:sectPr>
      </w:pPr>
    </w:p>
    <w:p>
      <w:pPr>
        <w:pStyle w:val="BodyText"/>
        <w:spacing w:before="3"/>
        <w:rPr>
          <w:sz w:val="20"/>
        </w:rPr>
      </w:pPr>
    </w:p>
    <w:p>
      <w:pPr>
        <w:pStyle w:val="ListParagraph"/>
        <w:numPr>
          <w:ilvl w:val="1"/>
          <w:numId w:val="74"/>
        </w:numPr>
        <w:tabs>
          <w:tab w:pos="1071" w:val="left" w:leader="none"/>
        </w:tabs>
        <w:spacing w:line="240" w:lineRule="auto" w:before="77" w:after="0"/>
        <w:ind w:left="1070" w:right="0" w:hanging="566"/>
        <w:jc w:val="left"/>
        <w:rPr>
          <w:b/>
          <w:sz w:val="18"/>
        </w:rPr>
      </w:pPr>
      <w:bookmarkStart w:name="(c) Liquidity risk" w:id="233"/>
      <w:bookmarkEnd w:id="233"/>
      <w:r>
        <w:rPr/>
      </w:r>
      <w:bookmarkStart w:name="(c) Liquidity risk" w:id="234"/>
      <w:bookmarkEnd w:id="234"/>
      <w:r>
        <w:rPr>
          <w:b/>
          <w:sz w:val="18"/>
        </w:rPr>
        <w:t>Liquidity</w:t>
      </w:r>
      <w:r>
        <w:rPr>
          <w:b/>
          <w:spacing w:val="-9"/>
          <w:sz w:val="18"/>
        </w:rPr>
        <w:t> </w:t>
      </w:r>
      <w:r>
        <w:rPr>
          <w:b/>
          <w:sz w:val="18"/>
        </w:rPr>
        <w:t>risk</w:t>
      </w:r>
    </w:p>
    <w:p>
      <w:pPr>
        <w:pStyle w:val="BodyText"/>
        <w:spacing w:before="4"/>
        <w:rPr>
          <w:b/>
          <w:sz w:val="25"/>
        </w:rPr>
      </w:pPr>
    </w:p>
    <w:p>
      <w:pPr>
        <w:pStyle w:val="BodyText"/>
        <w:ind w:left="504" w:right="220"/>
      </w:pPr>
      <w:r>
        <w:rPr/>
        <w:t>Liquidity risk arises from the possibility that the Company might encounter difficulty in settling its debts or otherwise meeting its obligations related to financial liabilities. The Company manages this risk through the following mechanisms:</w:t>
      </w:r>
    </w:p>
    <w:p>
      <w:pPr>
        <w:pStyle w:val="BodyText"/>
        <w:spacing w:before="7"/>
        <w:rPr>
          <w:sz w:val="25"/>
        </w:rPr>
      </w:pPr>
    </w:p>
    <w:p>
      <w:pPr>
        <w:pStyle w:val="ListParagraph"/>
        <w:numPr>
          <w:ilvl w:val="0"/>
          <w:numId w:val="76"/>
        </w:numPr>
        <w:tabs>
          <w:tab w:pos="1071" w:val="left" w:leader="none"/>
        </w:tabs>
        <w:spacing w:line="261" w:lineRule="auto" w:before="0" w:after="0"/>
        <w:ind w:left="1070" w:right="131" w:hanging="566"/>
        <w:jc w:val="left"/>
        <w:rPr>
          <w:sz w:val="18"/>
        </w:rPr>
      </w:pPr>
      <w:r>
        <w:rPr>
          <w:sz w:val="18"/>
        </w:rPr>
        <w:t>preparing forward-looking cash flow analysis in relation to its operational, investing and financial activities which are monitored on a monthly</w:t>
      </w:r>
      <w:r>
        <w:rPr>
          <w:spacing w:val="4"/>
          <w:sz w:val="18"/>
        </w:rPr>
        <w:t> </w:t>
      </w:r>
      <w:r>
        <w:rPr>
          <w:sz w:val="18"/>
        </w:rPr>
        <w:t>basis;</w:t>
      </w:r>
    </w:p>
    <w:p>
      <w:pPr>
        <w:pStyle w:val="ListParagraph"/>
        <w:numPr>
          <w:ilvl w:val="0"/>
          <w:numId w:val="76"/>
        </w:numPr>
        <w:tabs>
          <w:tab w:pos="1071" w:val="left" w:leader="none"/>
        </w:tabs>
        <w:spacing w:line="240" w:lineRule="auto" w:before="132" w:after="0"/>
        <w:ind w:left="1070" w:right="0" w:hanging="566"/>
        <w:jc w:val="left"/>
        <w:rPr>
          <w:sz w:val="18"/>
        </w:rPr>
      </w:pPr>
      <w:r>
        <w:rPr>
          <w:sz w:val="18"/>
        </w:rPr>
        <w:t>obtaining funding from a variety of</w:t>
      </w:r>
      <w:r>
        <w:rPr>
          <w:spacing w:val="5"/>
          <w:sz w:val="18"/>
        </w:rPr>
        <w:t> </w:t>
      </w:r>
      <w:r>
        <w:rPr>
          <w:sz w:val="18"/>
        </w:rPr>
        <w:t>sources;</w:t>
      </w:r>
    </w:p>
    <w:p>
      <w:pPr>
        <w:pStyle w:val="ListParagraph"/>
        <w:numPr>
          <w:ilvl w:val="0"/>
          <w:numId w:val="76"/>
        </w:numPr>
        <w:tabs>
          <w:tab w:pos="1071" w:val="left" w:leader="none"/>
        </w:tabs>
        <w:spacing w:line="240" w:lineRule="auto" w:before="149" w:after="0"/>
        <w:ind w:left="1070" w:right="0" w:hanging="566"/>
        <w:jc w:val="left"/>
        <w:rPr>
          <w:sz w:val="18"/>
        </w:rPr>
      </w:pPr>
      <w:r>
        <w:rPr>
          <w:sz w:val="18"/>
        </w:rPr>
        <w:t>maintaining a reputable credit</w:t>
      </w:r>
      <w:r>
        <w:rPr>
          <w:spacing w:val="3"/>
          <w:sz w:val="18"/>
        </w:rPr>
        <w:t> </w:t>
      </w:r>
      <w:r>
        <w:rPr>
          <w:sz w:val="18"/>
        </w:rPr>
        <w:t>profile;</w:t>
      </w:r>
    </w:p>
    <w:p>
      <w:pPr>
        <w:pStyle w:val="ListParagraph"/>
        <w:numPr>
          <w:ilvl w:val="0"/>
          <w:numId w:val="76"/>
        </w:numPr>
        <w:tabs>
          <w:tab w:pos="1071" w:val="left" w:leader="none"/>
        </w:tabs>
        <w:spacing w:line="240" w:lineRule="auto" w:before="149" w:after="0"/>
        <w:ind w:left="1070" w:right="0" w:hanging="566"/>
        <w:jc w:val="left"/>
        <w:rPr>
          <w:sz w:val="18"/>
        </w:rPr>
      </w:pPr>
      <w:r>
        <w:rPr>
          <w:sz w:val="18"/>
        </w:rPr>
        <w:t>managing credit risk related to financial</w:t>
      </w:r>
      <w:r>
        <w:rPr>
          <w:spacing w:val="5"/>
          <w:sz w:val="18"/>
        </w:rPr>
        <w:t> </w:t>
      </w:r>
      <w:r>
        <w:rPr>
          <w:sz w:val="18"/>
        </w:rPr>
        <w:t>assets;</w:t>
      </w:r>
    </w:p>
    <w:p>
      <w:pPr>
        <w:pStyle w:val="ListParagraph"/>
        <w:numPr>
          <w:ilvl w:val="0"/>
          <w:numId w:val="76"/>
        </w:numPr>
        <w:tabs>
          <w:tab w:pos="1071" w:val="left" w:leader="none"/>
        </w:tabs>
        <w:spacing w:line="240" w:lineRule="auto" w:before="149" w:after="0"/>
        <w:ind w:left="1070" w:right="0" w:hanging="566"/>
        <w:jc w:val="left"/>
        <w:rPr>
          <w:sz w:val="18"/>
        </w:rPr>
      </w:pPr>
      <w:r>
        <w:rPr>
          <w:sz w:val="18"/>
        </w:rPr>
        <w:t>only investing surplus cash with major financial institutions;</w:t>
      </w:r>
      <w:r>
        <w:rPr>
          <w:spacing w:val="7"/>
          <w:sz w:val="18"/>
        </w:rPr>
        <w:t> </w:t>
      </w:r>
      <w:r>
        <w:rPr>
          <w:sz w:val="18"/>
        </w:rPr>
        <w:t>and</w:t>
      </w:r>
    </w:p>
    <w:p>
      <w:pPr>
        <w:pStyle w:val="ListParagraph"/>
        <w:numPr>
          <w:ilvl w:val="0"/>
          <w:numId w:val="76"/>
        </w:numPr>
        <w:tabs>
          <w:tab w:pos="1071" w:val="left" w:leader="none"/>
        </w:tabs>
        <w:spacing w:line="240" w:lineRule="auto" w:before="149" w:after="0"/>
        <w:ind w:left="1070" w:right="0" w:hanging="566"/>
        <w:jc w:val="left"/>
        <w:rPr>
          <w:sz w:val="18"/>
        </w:rPr>
      </w:pPr>
      <w:r>
        <w:rPr>
          <w:sz w:val="18"/>
        </w:rPr>
        <w:t>comparing the maturity profile of financial liabilities with the realisation profile of financial</w:t>
      </w:r>
      <w:r>
        <w:rPr>
          <w:spacing w:val="11"/>
          <w:sz w:val="18"/>
        </w:rPr>
        <w:t> </w:t>
      </w:r>
      <w:r>
        <w:rPr>
          <w:sz w:val="18"/>
        </w:rPr>
        <w:t>assets.</w:t>
      </w:r>
    </w:p>
    <w:p>
      <w:pPr>
        <w:pStyle w:val="BodyText"/>
        <w:rPr>
          <w:sz w:val="25"/>
        </w:rPr>
      </w:pPr>
    </w:p>
    <w:p>
      <w:pPr>
        <w:pStyle w:val="BodyText"/>
        <w:spacing w:before="1"/>
        <w:ind w:left="504" w:right="130"/>
      </w:pPr>
      <w:r>
        <w:rPr/>
        <w:t>Typically, the Company ensures that it has sufficient cash on hand to meet expected operational expenses for a period of 30 days. Therefore the liquidity risk is considered to be minimal.</w:t>
      </w:r>
    </w:p>
    <w:p>
      <w:pPr>
        <w:pStyle w:val="BodyText"/>
      </w:pPr>
    </w:p>
    <w:p>
      <w:pPr>
        <w:pStyle w:val="BodyText"/>
      </w:pPr>
    </w:p>
    <w:p>
      <w:pPr>
        <w:pStyle w:val="BodyText"/>
        <w:rPr>
          <w:sz w:val="23"/>
        </w:rPr>
      </w:pPr>
    </w:p>
    <w:p>
      <w:pPr>
        <w:pStyle w:val="BodyText"/>
        <w:ind w:left="503" w:right="220"/>
      </w:pPr>
      <w:r>
        <w:rPr/>
        <w:t>The following tables summarise the maturity of Western Sydney University Early Learning Limited’s financial assets and financial liabilities:</w:t>
      </w:r>
    </w:p>
    <w:p>
      <w:pPr>
        <w:pStyle w:val="BodyText"/>
      </w:pPr>
    </w:p>
    <w:p>
      <w:pPr>
        <w:pStyle w:val="BodyText"/>
        <w:spacing w:before="1"/>
        <w:rPr>
          <w:sz w:val="15"/>
        </w:rPr>
      </w:pPr>
    </w:p>
    <w:p>
      <w:pPr>
        <w:pStyle w:val="Heading9"/>
        <w:spacing w:line="207" w:lineRule="exact"/>
        <w:ind w:left="4497" w:right="4475"/>
        <w:jc w:val="center"/>
      </w:pPr>
      <w:r>
        <w:rPr/>
        <w:t>Average</w:t>
      </w:r>
    </w:p>
    <w:p>
      <w:pPr>
        <w:tabs>
          <w:tab w:pos="6086" w:val="left" w:leader="none"/>
          <w:tab w:pos="8723" w:val="left" w:leader="none"/>
        </w:tabs>
        <w:spacing w:line="207" w:lineRule="exact" w:before="0" w:after="36"/>
        <w:ind w:left="4557" w:right="220" w:firstLine="0"/>
        <w:jc w:val="left"/>
        <w:rPr>
          <w:b/>
          <w:sz w:val="18"/>
        </w:rPr>
      </w:pPr>
      <w:r>
        <w:rPr>
          <w:b/>
          <w:sz w:val="18"/>
        </w:rPr>
        <w:t>Interest</w:t>
      </w:r>
      <w:r>
        <w:rPr>
          <w:b/>
          <w:spacing w:val="-1"/>
          <w:sz w:val="18"/>
        </w:rPr>
        <w:t> </w:t>
      </w:r>
      <w:r>
        <w:rPr>
          <w:b/>
          <w:sz w:val="18"/>
        </w:rPr>
        <w:t>rate</w:t>
        <w:tab/>
        <w:t>Less than</w:t>
      </w:r>
      <w:r>
        <w:rPr>
          <w:b/>
          <w:spacing w:val="3"/>
          <w:sz w:val="18"/>
        </w:rPr>
        <w:t> </w:t>
      </w:r>
      <w:r>
        <w:rPr>
          <w:b/>
          <w:sz w:val="18"/>
        </w:rPr>
        <w:t>1</w:t>
      </w:r>
      <w:r>
        <w:rPr>
          <w:b/>
          <w:spacing w:val="1"/>
          <w:sz w:val="18"/>
        </w:rPr>
        <w:t> </w:t>
      </w:r>
      <w:r>
        <w:rPr>
          <w:b/>
          <w:spacing w:val="-3"/>
          <w:sz w:val="18"/>
        </w:rPr>
        <w:t>year</w:t>
        <w:tab/>
      </w:r>
      <w:r>
        <w:rPr>
          <w:b/>
          <w:sz w:val="18"/>
        </w:rPr>
        <w:t>Total</w:t>
      </w:r>
    </w:p>
    <w:tbl>
      <w:tblPr>
        <w:tblW w:w="0" w:type="auto"/>
        <w:jc w:val="left"/>
        <w:tblInd w:w="4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79"/>
        <w:gridCol w:w="1520"/>
        <w:gridCol w:w="652"/>
        <w:gridCol w:w="1114"/>
        <w:gridCol w:w="1107"/>
        <w:gridCol w:w="1064"/>
        <w:gridCol w:w="989"/>
      </w:tblGrid>
      <w:tr>
        <w:trPr>
          <w:trHeight w:val="604" w:hRule="exact"/>
        </w:trPr>
        <w:tc>
          <w:tcPr>
            <w:tcW w:w="3079" w:type="dxa"/>
          </w:tcPr>
          <w:p>
            <w:pPr/>
          </w:p>
        </w:tc>
        <w:tc>
          <w:tcPr>
            <w:tcW w:w="1520" w:type="dxa"/>
          </w:tcPr>
          <w:p>
            <w:pPr>
              <w:pStyle w:val="TableParagraph"/>
              <w:spacing w:before="30"/>
              <w:ind w:left="964" w:right="114"/>
              <w:jc w:val="center"/>
              <w:rPr>
                <w:b/>
                <w:sz w:val="18"/>
              </w:rPr>
            </w:pPr>
            <w:r>
              <w:rPr>
                <w:b/>
                <w:sz w:val="18"/>
              </w:rPr>
              <w:t>2017</w:t>
            </w:r>
          </w:p>
          <w:p>
            <w:pPr>
              <w:pStyle w:val="TableParagraph"/>
              <w:spacing w:before="66"/>
              <w:ind w:right="249"/>
              <w:jc w:val="right"/>
              <w:rPr>
                <w:b/>
                <w:sz w:val="18"/>
              </w:rPr>
            </w:pPr>
            <w:r>
              <w:rPr>
                <w:b/>
                <w:w w:val="99"/>
                <w:sz w:val="18"/>
              </w:rPr>
              <w:t>%</w:t>
            </w:r>
          </w:p>
        </w:tc>
        <w:tc>
          <w:tcPr>
            <w:tcW w:w="652" w:type="dxa"/>
          </w:tcPr>
          <w:p>
            <w:pPr>
              <w:pStyle w:val="TableParagraph"/>
              <w:spacing w:before="30"/>
              <w:ind w:left="119" w:right="92"/>
              <w:jc w:val="center"/>
              <w:rPr>
                <w:b/>
                <w:sz w:val="18"/>
              </w:rPr>
            </w:pPr>
            <w:r>
              <w:rPr>
                <w:b/>
                <w:sz w:val="18"/>
              </w:rPr>
              <w:t>2016</w:t>
            </w:r>
          </w:p>
          <w:p>
            <w:pPr>
              <w:pStyle w:val="TableParagraph"/>
              <w:spacing w:before="66"/>
              <w:ind w:left="34"/>
              <w:jc w:val="center"/>
              <w:rPr>
                <w:b/>
                <w:sz w:val="18"/>
              </w:rPr>
            </w:pPr>
            <w:r>
              <w:rPr>
                <w:b/>
                <w:w w:val="99"/>
                <w:sz w:val="18"/>
              </w:rPr>
              <w:t>%</w:t>
            </w:r>
          </w:p>
        </w:tc>
        <w:tc>
          <w:tcPr>
            <w:tcW w:w="1114" w:type="dxa"/>
          </w:tcPr>
          <w:p>
            <w:pPr>
              <w:pStyle w:val="TableParagraph"/>
              <w:spacing w:before="30"/>
              <w:ind w:left="335" w:right="338"/>
              <w:jc w:val="center"/>
              <w:rPr>
                <w:b/>
                <w:sz w:val="18"/>
              </w:rPr>
            </w:pPr>
            <w:r>
              <w:rPr>
                <w:b/>
                <w:sz w:val="18"/>
              </w:rPr>
              <w:t>2017</w:t>
            </w:r>
          </w:p>
          <w:p>
            <w:pPr>
              <w:pStyle w:val="TableParagraph"/>
              <w:spacing w:before="66"/>
              <w:ind w:right="4"/>
              <w:jc w:val="center"/>
              <w:rPr>
                <w:b/>
                <w:sz w:val="18"/>
              </w:rPr>
            </w:pPr>
            <w:r>
              <w:rPr>
                <w:b/>
                <w:w w:val="99"/>
                <w:sz w:val="18"/>
              </w:rPr>
              <w:t>$</w:t>
            </w:r>
          </w:p>
        </w:tc>
        <w:tc>
          <w:tcPr>
            <w:tcW w:w="1107" w:type="dxa"/>
          </w:tcPr>
          <w:p>
            <w:pPr>
              <w:pStyle w:val="TableParagraph"/>
              <w:spacing w:before="30"/>
              <w:ind w:left="272" w:right="394"/>
              <w:jc w:val="center"/>
              <w:rPr>
                <w:b/>
                <w:sz w:val="18"/>
              </w:rPr>
            </w:pPr>
            <w:r>
              <w:rPr>
                <w:b/>
                <w:sz w:val="18"/>
              </w:rPr>
              <w:t>2016</w:t>
            </w:r>
          </w:p>
          <w:p>
            <w:pPr>
              <w:pStyle w:val="TableParagraph"/>
              <w:spacing w:before="66"/>
              <w:ind w:right="122"/>
              <w:jc w:val="center"/>
              <w:rPr>
                <w:b/>
                <w:sz w:val="18"/>
              </w:rPr>
            </w:pPr>
            <w:r>
              <w:rPr>
                <w:b/>
                <w:w w:val="99"/>
                <w:sz w:val="18"/>
              </w:rPr>
              <w:t>$</w:t>
            </w:r>
          </w:p>
        </w:tc>
        <w:tc>
          <w:tcPr>
            <w:tcW w:w="1064" w:type="dxa"/>
          </w:tcPr>
          <w:p>
            <w:pPr>
              <w:pStyle w:val="TableParagraph"/>
              <w:spacing w:before="30"/>
              <w:ind w:left="240" w:right="382"/>
              <w:jc w:val="center"/>
              <w:rPr>
                <w:b/>
                <w:sz w:val="18"/>
              </w:rPr>
            </w:pPr>
            <w:r>
              <w:rPr>
                <w:b/>
                <w:sz w:val="18"/>
              </w:rPr>
              <w:t>2017</w:t>
            </w:r>
          </w:p>
          <w:p>
            <w:pPr>
              <w:pStyle w:val="TableParagraph"/>
              <w:spacing w:before="66"/>
              <w:ind w:right="143"/>
              <w:jc w:val="center"/>
              <w:rPr>
                <w:b/>
                <w:sz w:val="18"/>
              </w:rPr>
            </w:pPr>
            <w:r>
              <w:rPr>
                <w:b/>
                <w:w w:val="99"/>
                <w:sz w:val="18"/>
              </w:rPr>
              <w:t>$</w:t>
            </w:r>
          </w:p>
        </w:tc>
        <w:tc>
          <w:tcPr>
            <w:tcW w:w="989" w:type="dxa"/>
          </w:tcPr>
          <w:p>
            <w:pPr>
              <w:pStyle w:val="TableParagraph"/>
              <w:spacing w:before="30"/>
              <w:ind w:left="259" w:right="290"/>
              <w:jc w:val="center"/>
              <w:rPr>
                <w:b/>
                <w:sz w:val="18"/>
              </w:rPr>
            </w:pPr>
            <w:r>
              <w:rPr>
                <w:b/>
                <w:sz w:val="18"/>
              </w:rPr>
              <w:t>2016</w:t>
            </w:r>
          </w:p>
          <w:p>
            <w:pPr>
              <w:pStyle w:val="TableParagraph"/>
              <w:spacing w:before="66"/>
              <w:ind w:right="31"/>
              <w:jc w:val="center"/>
              <w:rPr>
                <w:b/>
                <w:sz w:val="18"/>
              </w:rPr>
            </w:pPr>
            <w:r>
              <w:rPr>
                <w:b/>
                <w:w w:val="99"/>
                <w:sz w:val="18"/>
              </w:rPr>
              <w:t>$</w:t>
            </w:r>
          </w:p>
        </w:tc>
      </w:tr>
      <w:tr>
        <w:trPr>
          <w:trHeight w:val="588" w:hRule="exact"/>
        </w:trPr>
        <w:tc>
          <w:tcPr>
            <w:tcW w:w="3079" w:type="dxa"/>
          </w:tcPr>
          <w:p>
            <w:pPr>
              <w:pStyle w:val="TableParagraph"/>
              <w:spacing w:before="72"/>
              <w:ind w:left="35"/>
              <w:rPr>
                <w:b/>
                <w:sz w:val="18"/>
              </w:rPr>
            </w:pPr>
            <w:r>
              <w:rPr>
                <w:b/>
                <w:sz w:val="18"/>
              </w:rPr>
              <w:t>Financial Assets:</w:t>
            </w:r>
          </w:p>
          <w:p>
            <w:pPr>
              <w:pStyle w:val="TableParagraph"/>
              <w:spacing w:before="50"/>
              <w:ind w:left="35"/>
              <w:rPr>
                <w:sz w:val="18"/>
              </w:rPr>
            </w:pPr>
            <w:r>
              <w:rPr>
                <w:sz w:val="18"/>
              </w:rPr>
              <w:t>Trade receivables</w:t>
            </w:r>
          </w:p>
        </w:tc>
        <w:tc>
          <w:tcPr>
            <w:tcW w:w="1520" w:type="dxa"/>
          </w:tcPr>
          <w:p>
            <w:pPr/>
          </w:p>
        </w:tc>
        <w:tc>
          <w:tcPr>
            <w:tcW w:w="652" w:type="dxa"/>
          </w:tcPr>
          <w:p>
            <w:pPr/>
          </w:p>
        </w:tc>
        <w:tc>
          <w:tcPr>
            <w:tcW w:w="1114" w:type="dxa"/>
          </w:tcPr>
          <w:p>
            <w:pPr>
              <w:pStyle w:val="TableParagraph"/>
              <w:rPr>
                <w:b/>
                <w:sz w:val="18"/>
              </w:rPr>
            </w:pPr>
          </w:p>
          <w:p>
            <w:pPr>
              <w:pStyle w:val="TableParagraph"/>
              <w:spacing w:before="124"/>
              <w:ind w:right="81"/>
              <w:jc w:val="right"/>
              <w:rPr>
                <w:b/>
                <w:sz w:val="18"/>
              </w:rPr>
            </w:pPr>
            <w:r>
              <w:rPr>
                <w:b/>
                <w:w w:val="95"/>
                <w:sz w:val="18"/>
              </w:rPr>
              <w:t>30,749</w:t>
            </w:r>
          </w:p>
        </w:tc>
        <w:tc>
          <w:tcPr>
            <w:tcW w:w="1107" w:type="dxa"/>
          </w:tcPr>
          <w:p>
            <w:pPr>
              <w:pStyle w:val="TableParagraph"/>
              <w:rPr>
                <w:b/>
                <w:sz w:val="18"/>
              </w:rPr>
            </w:pPr>
          </w:p>
          <w:p>
            <w:pPr>
              <w:pStyle w:val="TableParagraph"/>
              <w:spacing w:before="124"/>
              <w:ind w:right="215"/>
              <w:jc w:val="right"/>
              <w:rPr>
                <w:sz w:val="18"/>
              </w:rPr>
            </w:pPr>
            <w:r>
              <w:rPr>
                <w:sz w:val="18"/>
              </w:rPr>
              <w:t>82,915</w:t>
            </w:r>
          </w:p>
        </w:tc>
        <w:tc>
          <w:tcPr>
            <w:tcW w:w="1064" w:type="dxa"/>
          </w:tcPr>
          <w:p>
            <w:pPr>
              <w:pStyle w:val="TableParagraph"/>
              <w:rPr>
                <w:b/>
                <w:sz w:val="18"/>
              </w:rPr>
            </w:pPr>
          </w:p>
          <w:p>
            <w:pPr>
              <w:pStyle w:val="TableParagraph"/>
              <w:spacing w:before="124"/>
              <w:ind w:right="92"/>
              <w:jc w:val="right"/>
              <w:rPr>
                <w:b/>
                <w:sz w:val="18"/>
              </w:rPr>
            </w:pPr>
            <w:r>
              <w:rPr>
                <w:b/>
                <w:w w:val="95"/>
                <w:sz w:val="18"/>
              </w:rPr>
              <w:t>30,749</w:t>
            </w:r>
          </w:p>
        </w:tc>
        <w:tc>
          <w:tcPr>
            <w:tcW w:w="989" w:type="dxa"/>
          </w:tcPr>
          <w:p>
            <w:pPr>
              <w:pStyle w:val="TableParagraph"/>
              <w:rPr>
                <w:b/>
                <w:sz w:val="18"/>
              </w:rPr>
            </w:pPr>
          </w:p>
          <w:p>
            <w:pPr>
              <w:pStyle w:val="TableParagraph"/>
              <w:spacing w:before="124"/>
              <w:ind w:right="87"/>
              <w:jc w:val="right"/>
              <w:rPr>
                <w:sz w:val="18"/>
              </w:rPr>
            </w:pPr>
            <w:r>
              <w:rPr>
                <w:sz w:val="18"/>
              </w:rPr>
              <w:t>82,915</w:t>
            </w:r>
          </w:p>
        </w:tc>
      </w:tr>
      <w:tr>
        <w:trPr>
          <w:trHeight w:val="279" w:hRule="exact"/>
        </w:trPr>
        <w:tc>
          <w:tcPr>
            <w:tcW w:w="3079" w:type="dxa"/>
          </w:tcPr>
          <w:p>
            <w:pPr>
              <w:pStyle w:val="TableParagraph"/>
              <w:spacing w:before="29"/>
              <w:ind w:left="35"/>
              <w:rPr>
                <w:sz w:val="18"/>
              </w:rPr>
            </w:pPr>
            <w:r>
              <w:rPr>
                <w:sz w:val="18"/>
              </w:rPr>
              <w:t>Loan to Parent Entity</w:t>
            </w:r>
          </w:p>
        </w:tc>
        <w:tc>
          <w:tcPr>
            <w:tcW w:w="1520" w:type="dxa"/>
          </w:tcPr>
          <w:p>
            <w:pPr>
              <w:pStyle w:val="TableParagraph"/>
              <w:spacing w:before="31"/>
              <w:ind w:left="995"/>
              <w:rPr>
                <w:b/>
                <w:sz w:val="18"/>
              </w:rPr>
            </w:pPr>
            <w:r>
              <w:rPr>
                <w:b/>
                <w:sz w:val="18"/>
              </w:rPr>
              <w:t>2.5%</w:t>
            </w:r>
          </w:p>
        </w:tc>
        <w:tc>
          <w:tcPr>
            <w:tcW w:w="652" w:type="dxa"/>
          </w:tcPr>
          <w:p>
            <w:pPr>
              <w:pStyle w:val="TableParagraph"/>
              <w:spacing w:before="31"/>
              <w:ind w:left="133"/>
              <w:rPr>
                <w:sz w:val="18"/>
              </w:rPr>
            </w:pPr>
            <w:r>
              <w:rPr>
                <w:sz w:val="18"/>
              </w:rPr>
              <w:t>2.9%</w:t>
            </w:r>
          </w:p>
        </w:tc>
        <w:tc>
          <w:tcPr>
            <w:tcW w:w="1114" w:type="dxa"/>
            <w:tcBorders>
              <w:bottom w:val="single" w:sz="1" w:space="0" w:color="000000"/>
            </w:tcBorders>
          </w:tcPr>
          <w:p>
            <w:pPr>
              <w:pStyle w:val="TableParagraph"/>
              <w:spacing w:before="31"/>
              <w:ind w:right="81"/>
              <w:jc w:val="right"/>
              <w:rPr>
                <w:b/>
                <w:sz w:val="18"/>
              </w:rPr>
            </w:pPr>
            <w:r>
              <w:rPr>
                <w:b/>
                <w:w w:val="95"/>
                <w:sz w:val="18"/>
              </w:rPr>
              <w:t>2,199,145</w:t>
            </w:r>
          </w:p>
        </w:tc>
        <w:tc>
          <w:tcPr>
            <w:tcW w:w="1107" w:type="dxa"/>
            <w:tcBorders>
              <w:bottom w:val="single" w:sz="1" w:space="0" w:color="000000"/>
            </w:tcBorders>
          </w:tcPr>
          <w:p>
            <w:pPr>
              <w:pStyle w:val="TableParagraph"/>
              <w:spacing w:before="31"/>
              <w:ind w:right="215"/>
              <w:jc w:val="right"/>
              <w:rPr>
                <w:sz w:val="18"/>
              </w:rPr>
            </w:pPr>
            <w:r>
              <w:rPr>
                <w:sz w:val="18"/>
              </w:rPr>
              <w:t>1,576,133</w:t>
            </w:r>
          </w:p>
        </w:tc>
        <w:tc>
          <w:tcPr>
            <w:tcW w:w="1064" w:type="dxa"/>
            <w:tcBorders>
              <w:bottom w:val="single" w:sz="1" w:space="0" w:color="000000"/>
            </w:tcBorders>
          </w:tcPr>
          <w:p>
            <w:pPr>
              <w:pStyle w:val="TableParagraph"/>
              <w:spacing w:before="31"/>
              <w:ind w:right="92"/>
              <w:jc w:val="right"/>
              <w:rPr>
                <w:b/>
                <w:sz w:val="18"/>
              </w:rPr>
            </w:pPr>
            <w:r>
              <w:rPr>
                <w:b/>
                <w:w w:val="95"/>
                <w:sz w:val="18"/>
              </w:rPr>
              <w:t>2,199,145</w:t>
            </w:r>
          </w:p>
        </w:tc>
        <w:tc>
          <w:tcPr>
            <w:tcW w:w="989" w:type="dxa"/>
            <w:tcBorders>
              <w:bottom w:val="single" w:sz="1" w:space="0" w:color="000000"/>
            </w:tcBorders>
          </w:tcPr>
          <w:p>
            <w:pPr>
              <w:pStyle w:val="TableParagraph"/>
              <w:spacing w:before="31"/>
              <w:ind w:right="87"/>
              <w:jc w:val="right"/>
              <w:rPr>
                <w:sz w:val="18"/>
              </w:rPr>
            </w:pPr>
            <w:r>
              <w:rPr>
                <w:sz w:val="18"/>
              </w:rPr>
              <w:t>1,576,133</w:t>
            </w:r>
          </w:p>
        </w:tc>
      </w:tr>
      <w:tr>
        <w:trPr>
          <w:trHeight w:val="360" w:hRule="exact"/>
        </w:trPr>
        <w:tc>
          <w:tcPr>
            <w:tcW w:w="3079" w:type="dxa"/>
          </w:tcPr>
          <w:p>
            <w:pPr>
              <w:pStyle w:val="TableParagraph"/>
              <w:spacing w:before="144"/>
              <w:ind w:left="35"/>
              <w:rPr>
                <w:b/>
                <w:sz w:val="18"/>
              </w:rPr>
            </w:pPr>
            <w:r>
              <w:rPr>
                <w:b/>
                <w:sz w:val="18"/>
              </w:rPr>
              <w:t>Total Financial Assets</w:t>
            </w:r>
          </w:p>
        </w:tc>
        <w:tc>
          <w:tcPr>
            <w:tcW w:w="1520" w:type="dxa"/>
          </w:tcPr>
          <w:p>
            <w:pPr/>
          </w:p>
        </w:tc>
        <w:tc>
          <w:tcPr>
            <w:tcW w:w="652" w:type="dxa"/>
          </w:tcPr>
          <w:p>
            <w:pPr/>
          </w:p>
        </w:tc>
        <w:tc>
          <w:tcPr>
            <w:tcW w:w="1114" w:type="dxa"/>
            <w:tcBorders>
              <w:top w:val="single" w:sz="1" w:space="0" w:color="000000"/>
              <w:bottom w:val="single" w:sz="1" w:space="0" w:color="000000"/>
            </w:tcBorders>
          </w:tcPr>
          <w:p>
            <w:pPr>
              <w:pStyle w:val="TableParagraph"/>
              <w:spacing w:before="143"/>
              <w:ind w:right="81"/>
              <w:jc w:val="right"/>
              <w:rPr>
                <w:b/>
                <w:sz w:val="18"/>
              </w:rPr>
            </w:pPr>
            <w:r>
              <w:rPr>
                <w:b/>
                <w:w w:val="95"/>
                <w:sz w:val="18"/>
              </w:rPr>
              <w:t>2,229,894</w:t>
            </w:r>
          </w:p>
        </w:tc>
        <w:tc>
          <w:tcPr>
            <w:tcW w:w="1107" w:type="dxa"/>
            <w:tcBorders>
              <w:top w:val="single" w:sz="1" w:space="0" w:color="000000"/>
              <w:bottom w:val="single" w:sz="1" w:space="0" w:color="000000"/>
            </w:tcBorders>
          </w:tcPr>
          <w:p>
            <w:pPr>
              <w:pStyle w:val="TableParagraph"/>
              <w:spacing w:before="143"/>
              <w:ind w:right="215"/>
              <w:jc w:val="right"/>
              <w:rPr>
                <w:sz w:val="18"/>
              </w:rPr>
            </w:pPr>
            <w:r>
              <w:rPr>
                <w:sz w:val="18"/>
              </w:rPr>
              <w:t>1,659,048</w:t>
            </w:r>
          </w:p>
        </w:tc>
        <w:tc>
          <w:tcPr>
            <w:tcW w:w="1064" w:type="dxa"/>
            <w:tcBorders>
              <w:top w:val="single" w:sz="1" w:space="0" w:color="000000"/>
              <w:bottom w:val="single" w:sz="1" w:space="0" w:color="000000"/>
            </w:tcBorders>
          </w:tcPr>
          <w:p>
            <w:pPr>
              <w:pStyle w:val="TableParagraph"/>
              <w:spacing w:before="143"/>
              <w:ind w:right="92"/>
              <w:jc w:val="right"/>
              <w:rPr>
                <w:b/>
                <w:sz w:val="18"/>
              </w:rPr>
            </w:pPr>
            <w:r>
              <w:rPr>
                <w:b/>
                <w:w w:val="95"/>
                <w:sz w:val="18"/>
              </w:rPr>
              <w:t>2,229,894</w:t>
            </w:r>
          </w:p>
        </w:tc>
        <w:tc>
          <w:tcPr>
            <w:tcW w:w="989" w:type="dxa"/>
            <w:tcBorders>
              <w:top w:val="single" w:sz="1" w:space="0" w:color="000000"/>
              <w:bottom w:val="single" w:sz="1" w:space="0" w:color="000000"/>
            </w:tcBorders>
          </w:tcPr>
          <w:p>
            <w:pPr>
              <w:pStyle w:val="TableParagraph"/>
              <w:spacing w:before="143"/>
              <w:ind w:right="87"/>
              <w:jc w:val="right"/>
              <w:rPr>
                <w:sz w:val="18"/>
              </w:rPr>
            </w:pPr>
            <w:r>
              <w:rPr>
                <w:sz w:val="18"/>
              </w:rPr>
              <w:t>1,659,048</w:t>
            </w:r>
          </w:p>
        </w:tc>
      </w:tr>
      <w:tr>
        <w:trPr>
          <w:trHeight w:val="682" w:hRule="exact"/>
        </w:trPr>
        <w:tc>
          <w:tcPr>
            <w:tcW w:w="3079" w:type="dxa"/>
          </w:tcPr>
          <w:p>
            <w:pPr>
              <w:pStyle w:val="TableParagraph"/>
              <w:spacing w:before="3"/>
              <w:rPr>
                <w:b/>
                <w:sz w:val="15"/>
              </w:rPr>
            </w:pPr>
          </w:p>
          <w:p>
            <w:pPr>
              <w:pStyle w:val="TableParagraph"/>
              <w:ind w:left="35"/>
              <w:rPr>
                <w:b/>
                <w:sz w:val="18"/>
              </w:rPr>
            </w:pPr>
            <w:r>
              <w:rPr>
                <w:b/>
                <w:sz w:val="18"/>
              </w:rPr>
              <w:t>Financial Liabilities:</w:t>
            </w:r>
          </w:p>
          <w:p>
            <w:pPr>
              <w:pStyle w:val="TableParagraph"/>
              <w:spacing w:before="50"/>
              <w:ind w:left="35"/>
              <w:rPr>
                <w:sz w:val="18"/>
              </w:rPr>
            </w:pPr>
            <w:r>
              <w:rPr>
                <w:sz w:val="18"/>
              </w:rPr>
              <w:t>Trade and other payables</w:t>
            </w:r>
          </w:p>
        </w:tc>
        <w:tc>
          <w:tcPr>
            <w:tcW w:w="1520" w:type="dxa"/>
          </w:tcPr>
          <w:p>
            <w:pPr/>
          </w:p>
        </w:tc>
        <w:tc>
          <w:tcPr>
            <w:tcW w:w="652" w:type="dxa"/>
          </w:tcPr>
          <w:p>
            <w:pPr/>
          </w:p>
        </w:tc>
        <w:tc>
          <w:tcPr>
            <w:tcW w:w="1114" w:type="dxa"/>
            <w:tcBorders>
              <w:top w:val="single" w:sz="1" w:space="0" w:color="000000"/>
              <w:bottom w:val="single" w:sz="1" w:space="0" w:color="000000"/>
            </w:tcBorders>
          </w:tcPr>
          <w:p>
            <w:pPr>
              <w:pStyle w:val="TableParagraph"/>
              <w:rPr>
                <w:b/>
                <w:sz w:val="18"/>
              </w:rPr>
            </w:pPr>
          </w:p>
          <w:p>
            <w:pPr>
              <w:pStyle w:val="TableParagraph"/>
              <w:spacing w:before="8"/>
              <w:rPr>
                <w:b/>
                <w:sz w:val="19"/>
              </w:rPr>
            </w:pPr>
          </w:p>
          <w:p>
            <w:pPr>
              <w:pStyle w:val="TableParagraph"/>
              <w:ind w:right="81"/>
              <w:jc w:val="right"/>
              <w:rPr>
                <w:b/>
                <w:sz w:val="18"/>
              </w:rPr>
            </w:pPr>
            <w:r>
              <w:rPr>
                <w:b/>
                <w:w w:val="95"/>
                <w:sz w:val="18"/>
              </w:rPr>
              <w:t>200,188</w:t>
            </w:r>
          </w:p>
        </w:tc>
        <w:tc>
          <w:tcPr>
            <w:tcW w:w="1107" w:type="dxa"/>
            <w:tcBorders>
              <w:top w:val="single" w:sz="1" w:space="0" w:color="000000"/>
              <w:bottom w:val="single" w:sz="1" w:space="0" w:color="000000"/>
            </w:tcBorders>
          </w:tcPr>
          <w:p>
            <w:pPr>
              <w:pStyle w:val="TableParagraph"/>
              <w:rPr>
                <w:b/>
                <w:sz w:val="18"/>
              </w:rPr>
            </w:pPr>
          </w:p>
          <w:p>
            <w:pPr>
              <w:pStyle w:val="TableParagraph"/>
              <w:spacing w:before="8"/>
              <w:rPr>
                <w:b/>
                <w:sz w:val="19"/>
              </w:rPr>
            </w:pPr>
          </w:p>
          <w:p>
            <w:pPr>
              <w:pStyle w:val="TableParagraph"/>
              <w:ind w:right="215"/>
              <w:jc w:val="right"/>
              <w:rPr>
                <w:sz w:val="18"/>
              </w:rPr>
            </w:pPr>
            <w:r>
              <w:rPr>
                <w:sz w:val="18"/>
              </w:rPr>
              <w:t>305,891</w:t>
            </w:r>
          </w:p>
        </w:tc>
        <w:tc>
          <w:tcPr>
            <w:tcW w:w="1064" w:type="dxa"/>
            <w:tcBorders>
              <w:top w:val="single" w:sz="1" w:space="0" w:color="000000"/>
              <w:bottom w:val="single" w:sz="1" w:space="0" w:color="000000"/>
            </w:tcBorders>
          </w:tcPr>
          <w:p>
            <w:pPr>
              <w:pStyle w:val="TableParagraph"/>
              <w:rPr>
                <w:b/>
                <w:sz w:val="18"/>
              </w:rPr>
            </w:pPr>
          </w:p>
          <w:p>
            <w:pPr>
              <w:pStyle w:val="TableParagraph"/>
              <w:spacing w:before="8"/>
              <w:rPr>
                <w:b/>
                <w:sz w:val="19"/>
              </w:rPr>
            </w:pPr>
          </w:p>
          <w:p>
            <w:pPr>
              <w:pStyle w:val="TableParagraph"/>
              <w:ind w:right="92"/>
              <w:jc w:val="right"/>
              <w:rPr>
                <w:b/>
                <w:sz w:val="18"/>
              </w:rPr>
            </w:pPr>
            <w:r>
              <w:rPr>
                <w:b/>
                <w:w w:val="95"/>
                <w:sz w:val="18"/>
              </w:rPr>
              <w:t>200,188</w:t>
            </w:r>
          </w:p>
        </w:tc>
        <w:tc>
          <w:tcPr>
            <w:tcW w:w="989" w:type="dxa"/>
            <w:tcBorders>
              <w:top w:val="single" w:sz="1" w:space="0" w:color="000000"/>
              <w:bottom w:val="single" w:sz="1" w:space="0" w:color="000000"/>
            </w:tcBorders>
          </w:tcPr>
          <w:p>
            <w:pPr>
              <w:pStyle w:val="TableParagraph"/>
              <w:rPr>
                <w:b/>
                <w:sz w:val="18"/>
              </w:rPr>
            </w:pPr>
          </w:p>
          <w:p>
            <w:pPr>
              <w:pStyle w:val="TableParagraph"/>
              <w:spacing w:before="8"/>
              <w:rPr>
                <w:b/>
                <w:sz w:val="19"/>
              </w:rPr>
            </w:pPr>
          </w:p>
          <w:p>
            <w:pPr>
              <w:pStyle w:val="TableParagraph"/>
              <w:ind w:right="86"/>
              <w:jc w:val="right"/>
              <w:rPr>
                <w:sz w:val="18"/>
              </w:rPr>
            </w:pPr>
            <w:r>
              <w:rPr>
                <w:sz w:val="18"/>
              </w:rPr>
              <w:t>305,891</w:t>
            </w:r>
          </w:p>
        </w:tc>
      </w:tr>
      <w:tr>
        <w:trPr>
          <w:trHeight w:val="377" w:hRule="exact"/>
        </w:trPr>
        <w:tc>
          <w:tcPr>
            <w:tcW w:w="3079" w:type="dxa"/>
          </w:tcPr>
          <w:p>
            <w:pPr>
              <w:pStyle w:val="TableParagraph"/>
              <w:spacing w:before="144"/>
              <w:ind w:left="35"/>
              <w:rPr>
                <w:b/>
                <w:sz w:val="18"/>
              </w:rPr>
            </w:pPr>
            <w:r>
              <w:rPr>
                <w:b/>
                <w:sz w:val="18"/>
              </w:rPr>
              <w:t>Total Financial Liabilities</w:t>
            </w:r>
          </w:p>
        </w:tc>
        <w:tc>
          <w:tcPr>
            <w:tcW w:w="1520" w:type="dxa"/>
          </w:tcPr>
          <w:p>
            <w:pPr/>
          </w:p>
        </w:tc>
        <w:tc>
          <w:tcPr>
            <w:tcW w:w="652" w:type="dxa"/>
          </w:tcPr>
          <w:p>
            <w:pPr/>
          </w:p>
        </w:tc>
        <w:tc>
          <w:tcPr>
            <w:tcW w:w="1114" w:type="dxa"/>
            <w:tcBorders>
              <w:top w:val="single" w:sz="1" w:space="0" w:color="000000"/>
              <w:bottom w:val="single" w:sz="1" w:space="0" w:color="000000"/>
            </w:tcBorders>
          </w:tcPr>
          <w:p>
            <w:pPr>
              <w:pStyle w:val="TableParagraph"/>
              <w:spacing w:before="143"/>
              <w:ind w:right="81"/>
              <w:jc w:val="right"/>
              <w:rPr>
                <w:b/>
                <w:sz w:val="18"/>
              </w:rPr>
            </w:pPr>
            <w:r>
              <w:rPr>
                <w:b/>
                <w:w w:val="95"/>
                <w:sz w:val="18"/>
              </w:rPr>
              <w:t>200,188</w:t>
            </w:r>
          </w:p>
        </w:tc>
        <w:tc>
          <w:tcPr>
            <w:tcW w:w="1107" w:type="dxa"/>
            <w:tcBorders>
              <w:top w:val="single" w:sz="1" w:space="0" w:color="000000"/>
              <w:bottom w:val="single" w:sz="1" w:space="0" w:color="000000"/>
            </w:tcBorders>
          </w:tcPr>
          <w:p>
            <w:pPr>
              <w:pStyle w:val="TableParagraph"/>
              <w:spacing w:before="143"/>
              <w:ind w:right="215"/>
              <w:jc w:val="right"/>
              <w:rPr>
                <w:sz w:val="18"/>
              </w:rPr>
            </w:pPr>
            <w:r>
              <w:rPr>
                <w:sz w:val="18"/>
              </w:rPr>
              <w:t>305,891</w:t>
            </w:r>
          </w:p>
        </w:tc>
        <w:tc>
          <w:tcPr>
            <w:tcW w:w="1064" w:type="dxa"/>
            <w:tcBorders>
              <w:top w:val="single" w:sz="1" w:space="0" w:color="000000"/>
              <w:bottom w:val="single" w:sz="1" w:space="0" w:color="000000"/>
            </w:tcBorders>
          </w:tcPr>
          <w:p>
            <w:pPr>
              <w:pStyle w:val="TableParagraph"/>
              <w:spacing w:before="143"/>
              <w:ind w:right="92"/>
              <w:jc w:val="right"/>
              <w:rPr>
                <w:b/>
                <w:sz w:val="18"/>
              </w:rPr>
            </w:pPr>
            <w:r>
              <w:rPr>
                <w:b/>
                <w:w w:val="95"/>
                <w:sz w:val="18"/>
              </w:rPr>
              <w:t>200,188</w:t>
            </w:r>
          </w:p>
        </w:tc>
        <w:tc>
          <w:tcPr>
            <w:tcW w:w="989" w:type="dxa"/>
            <w:tcBorders>
              <w:top w:val="single" w:sz="1" w:space="0" w:color="000000"/>
              <w:bottom w:val="single" w:sz="1" w:space="0" w:color="000000"/>
            </w:tcBorders>
          </w:tcPr>
          <w:p>
            <w:pPr>
              <w:pStyle w:val="TableParagraph"/>
              <w:spacing w:before="143"/>
              <w:ind w:right="86"/>
              <w:jc w:val="right"/>
              <w:rPr>
                <w:sz w:val="18"/>
              </w:rPr>
            </w:pPr>
            <w:r>
              <w:rPr>
                <w:sz w:val="18"/>
              </w:rPr>
              <w:t>305,891</w:t>
            </w:r>
          </w:p>
        </w:tc>
      </w:tr>
    </w:tbl>
    <w:p>
      <w:pPr>
        <w:spacing w:after="0"/>
        <w:jc w:val="right"/>
        <w:rPr>
          <w:sz w:val="18"/>
        </w:rPr>
        <w:sectPr>
          <w:headerReference w:type="default" r:id="rId119"/>
          <w:pgSz w:w="11910" w:h="16840"/>
          <w:pgMar w:header="1037" w:footer="512" w:top="2880" w:bottom="700" w:left="900" w:right="880"/>
        </w:sectPr>
      </w:pPr>
    </w:p>
    <w:p>
      <w:pPr>
        <w:pStyle w:val="BodyText"/>
        <w:spacing w:before="3"/>
        <w:rPr>
          <w:b/>
          <w:sz w:val="20"/>
        </w:rPr>
      </w:pPr>
    </w:p>
    <w:p>
      <w:pPr>
        <w:pStyle w:val="ListParagraph"/>
        <w:numPr>
          <w:ilvl w:val="1"/>
          <w:numId w:val="74"/>
        </w:numPr>
        <w:tabs>
          <w:tab w:pos="1071" w:val="left" w:leader="none"/>
        </w:tabs>
        <w:spacing w:line="240" w:lineRule="auto" w:before="77" w:after="0"/>
        <w:ind w:left="1070" w:right="0" w:hanging="566"/>
        <w:jc w:val="left"/>
        <w:rPr>
          <w:b/>
          <w:sz w:val="18"/>
        </w:rPr>
      </w:pPr>
      <w:bookmarkStart w:name="(d) Fair value estimation" w:id="235"/>
      <w:bookmarkEnd w:id="235"/>
      <w:r>
        <w:rPr/>
      </w:r>
      <w:bookmarkStart w:name="(d) Fair value estimation" w:id="236"/>
      <w:bookmarkEnd w:id="236"/>
      <w:r>
        <w:rPr>
          <w:b/>
          <w:sz w:val="18"/>
        </w:rPr>
        <w:t>Fair</w:t>
      </w:r>
      <w:r>
        <w:rPr>
          <w:b/>
          <w:sz w:val="18"/>
        </w:rPr>
        <w:t> value estimation</w:t>
      </w:r>
    </w:p>
    <w:p>
      <w:pPr>
        <w:pStyle w:val="BodyText"/>
        <w:spacing w:before="146"/>
        <w:ind w:left="504" w:right="87"/>
      </w:pPr>
      <w:bookmarkStart w:name="16 Economic dependency " w:id="237"/>
      <w:bookmarkEnd w:id="237"/>
      <w:r>
        <w:rPr/>
      </w:r>
      <w:r>
        <w:rPr/>
        <w:t>The fair value of financial assets and financial liabilities must be estimated for recognition and measurement or for disclosure purposes.</w:t>
      </w:r>
    </w:p>
    <w:p>
      <w:pPr>
        <w:pStyle w:val="BodyText"/>
        <w:spacing w:before="141"/>
        <w:ind w:left="504" w:right="87"/>
      </w:pPr>
      <w:r>
        <w:rPr/>
        <w:t>Due to the Company's financial instruments short-term nature, the carrying value of all financial instruments recognised in the statement of financial position approximates their fair value.</w:t>
      </w:r>
    </w:p>
    <w:p>
      <w:pPr>
        <w:pStyle w:val="BodyText"/>
      </w:pPr>
    </w:p>
    <w:p>
      <w:pPr>
        <w:pStyle w:val="BodyText"/>
        <w:rPr>
          <w:sz w:val="23"/>
        </w:rPr>
      </w:pPr>
    </w:p>
    <w:p>
      <w:pPr>
        <w:pStyle w:val="Heading9"/>
        <w:numPr>
          <w:ilvl w:val="0"/>
          <w:numId w:val="74"/>
        </w:numPr>
        <w:tabs>
          <w:tab w:pos="504" w:val="left" w:leader="none"/>
        </w:tabs>
        <w:spacing w:line="240" w:lineRule="auto" w:before="0" w:after="0"/>
        <w:ind w:left="504" w:right="0" w:hanging="394"/>
        <w:jc w:val="left"/>
      </w:pPr>
      <w:bookmarkStart w:name="17 Events occurring after the reporting " w:id="238"/>
      <w:bookmarkEnd w:id="238"/>
      <w:r>
        <w:rPr>
          <w:b w:val="0"/>
        </w:rPr>
      </w:r>
      <w:bookmarkStart w:name="17 Events occurring after the reporting " w:id="239"/>
      <w:bookmarkEnd w:id="239"/>
      <w:r>
        <w:rPr/>
        <w:t>Economic</w:t>
      </w:r>
      <w:r>
        <w:rPr>
          <w:spacing w:val="1"/>
        </w:rPr>
        <w:t> </w:t>
      </w:r>
      <w:r>
        <w:rPr/>
        <w:t>dependency</w:t>
      </w:r>
    </w:p>
    <w:p>
      <w:pPr>
        <w:pStyle w:val="BodyText"/>
        <w:spacing w:before="141"/>
        <w:ind w:left="503" w:right="87"/>
      </w:pPr>
      <w:r>
        <w:rPr/>
        <w:t>The Company is economically dependent on Western Sydney University for the provision of accommodation for each centre and operational support activities.</w:t>
      </w:r>
    </w:p>
    <w:p>
      <w:pPr>
        <w:pStyle w:val="BodyText"/>
        <w:spacing w:before="11"/>
        <w:rPr>
          <w:sz w:val="24"/>
        </w:rPr>
      </w:pPr>
    </w:p>
    <w:p>
      <w:pPr>
        <w:pStyle w:val="Heading9"/>
        <w:numPr>
          <w:ilvl w:val="0"/>
          <w:numId w:val="74"/>
        </w:numPr>
        <w:tabs>
          <w:tab w:pos="504" w:val="left" w:leader="none"/>
        </w:tabs>
        <w:spacing w:line="240" w:lineRule="auto" w:before="0" w:after="0"/>
        <w:ind w:left="504" w:right="0" w:hanging="396"/>
        <w:jc w:val="left"/>
      </w:pPr>
      <w:r>
        <w:rPr/>
        <w:t>Events occurring after the reporting</w:t>
      </w:r>
      <w:r>
        <w:rPr>
          <w:spacing w:val="-1"/>
        </w:rPr>
        <w:t> </w:t>
      </w:r>
      <w:r>
        <w:rPr/>
        <w:t>date</w:t>
      </w:r>
    </w:p>
    <w:p>
      <w:pPr>
        <w:pStyle w:val="BodyText"/>
        <w:spacing w:before="141"/>
        <w:ind w:left="503" w:right="87"/>
      </w:pPr>
      <w:r>
        <w:rPr/>
        <w:t>No matters or circumstances have arisen since the end of the financial period which significantly affected or may significantly affect the operations of the Company, the results of those operations, or the state of affairs of the Company in future financial years.</w:t>
      </w:r>
    </w:p>
    <w:p>
      <w:pPr>
        <w:spacing w:after="0"/>
        <w:sectPr>
          <w:headerReference w:type="default" r:id="rId120"/>
          <w:pgSz w:w="11910" w:h="16840"/>
          <w:pgMar w:header="1037" w:footer="512" w:top="2880" w:bottom="700" w:left="900" w:right="1020"/>
        </w:sectPr>
      </w:pPr>
    </w:p>
    <w:p>
      <w:pPr>
        <w:pStyle w:val="BodyText"/>
        <w:spacing w:before="7"/>
        <w:rPr>
          <w:sz w:val="23"/>
        </w:rPr>
      </w:pPr>
    </w:p>
    <w:p>
      <w:pPr>
        <w:pStyle w:val="Heading4"/>
        <w:spacing w:before="70"/>
        <w:ind w:left="127"/>
      </w:pPr>
      <w:bookmarkStart w:name="Statement by Directors" w:id="240"/>
      <w:bookmarkEnd w:id="240"/>
      <w:r>
        <w:rPr>
          <w:b w:val="0"/>
        </w:rPr>
      </w:r>
      <w:r>
        <w:rPr/>
        <w:t>Statement by Directors</w:t>
      </w:r>
    </w:p>
    <w:p>
      <w:pPr>
        <w:pStyle w:val="BodyText"/>
        <w:spacing w:before="1"/>
        <w:rPr>
          <w:b/>
          <w:sz w:val="25"/>
        </w:rPr>
      </w:pPr>
    </w:p>
    <w:p>
      <w:pPr>
        <w:pStyle w:val="BodyText"/>
        <w:ind w:left="127"/>
      </w:pPr>
      <w:r>
        <w:rPr/>
        <w:t>The directors of Western Sydney University Early Learning Limited declare that:</w:t>
      </w:r>
    </w:p>
    <w:p>
      <w:pPr>
        <w:pStyle w:val="BodyText"/>
      </w:pPr>
    </w:p>
    <w:p>
      <w:pPr>
        <w:pStyle w:val="BodyText"/>
        <w:spacing w:before="11"/>
        <w:rPr>
          <w:sz w:val="24"/>
        </w:rPr>
      </w:pPr>
    </w:p>
    <w:p>
      <w:pPr>
        <w:pStyle w:val="ListParagraph"/>
        <w:numPr>
          <w:ilvl w:val="0"/>
          <w:numId w:val="77"/>
        </w:numPr>
        <w:tabs>
          <w:tab w:pos="524" w:val="left" w:leader="none"/>
        </w:tabs>
        <w:spacing w:line="240" w:lineRule="auto" w:before="0" w:after="0"/>
        <w:ind w:left="524" w:right="114" w:hanging="396"/>
        <w:jc w:val="left"/>
        <w:rPr>
          <w:sz w:val="18"/>
        </w:rPr>
      </w:pPr>
      <w:r>
        <w:rPr>
          <w:sz w:val="18"/>
        </w:rPr>
        <w:t>Under s41C (1b) of the </w:t>
      </w:r>
      <w:r>
        <w:rPr>
          <w:i/>
          <w:sz w:val="18"/>
        </w:rPr>
        <w:t>Public Finance &amp; Audit Act 1983 </w:t>
      </w:r>
      <w:r>
        <w:rPr>
          <w:sz w:val="18"/>
        </w:rPr>
        <w:t>we state to the best of our knowledge and belief the financial statements and notes, as set out on pages 177 to</w:t>
      </w:r>
      <w:r>
        <w:rPr>
          <w:spacing w:val="9"/>
          <w:sz w:val="18"/>
        </w:rPr>
        <w:t> </w:t>
      </w:r>
      <w:r>
        <w:rPr>
          <w:sz w:val="18"/>
        </w:rPr>
        <w:t>194:</w:t>
      </w:r>
    </w:p>
    <w:p>
      <w:pPr>
        <w:pStyle w:val="BodyText"/>
        <w:spacing w:before="11"/>
        <w:rPr>
          <w:sz w:val="24"/>
        </w:rPr>
      </w:pPr>
    </w:p>
    <w:p>
      <w:pPr>
        <w:pStyle w:val="ListParagraph"/>
        <w:numPr>
          <w:ilvl w:val="1"/>
          <w:numId w:val="77"/>
        </w:numPr>
        <w:tabs>
          <w:tab w:pos="920" w:val="left" w:leader="none"/>
        </w:tabs>
        <w:spacing w:line="240" w:lineRule="auto" w:before="0" w:after="0"/>
        <w:ind w:left="920" w:right="0" w:hanging="396"/>
        <w:jc w:val="left"/>
        <w:rPr>
          <w:sz w:val="18"/>
        </w:rPr>
      </w:pPr>
      <w:r>
        <w:rPr>
          <w:sz w:val="18"/>
        </w:rPr>
        <w:t>comply</w:t>
      </w:r>
      <w:r>
        <w:rPr>
          <w:spacing w:val="-1"/>
          <w:sz w:val="18"/>
        </w:rPr>
        <w:t> </w:t>
      </w:r>
      <w:r>
        <w:rPr>
          <w:sz w:val="18"/>
        </w:rPr>
        <w:t>with:</w:t>
      </w:r>
    </w:p>
    <w:p>
      <w:pPr>
        <w:pStyle w:val="BodyText"/>
        <w:spacing w:before="11"/>
        <w:rPr>
          <w:sz w:val="24"/>
        </w:rPr>
      </w:pPr>
    </w:p>
    <w:p>
      <w:pPr>
        <w:pStyle w:val="ListParagraph"/>
        <w:numPr>
          <w:ilvl w:val="0"/>
          <w:numId w:val="78"/>
        </w:numPr>
        <w:tabs>
          <w:tab w:pos="636" w:val="left" w:leader="none"/>
        </w:tabs>
        <w:spacing w:line="240" w:lineRule="auto" w:before="0" w:after="0"/>
        <w:ind w:left="524" w:right="238" w:firstLine="0"/>
        <w:jc w:val="left"/>
        <w:rPr>
          <w:sz w:val="18"/>
        </w:rPr>
      </w:pPr>
      <w:r>
        <w:rPr>
          <w:sz w:val="18"/>
        </w:rPr>
        <w:t>Australian Accounting Standards, Australian Accounting Interpretations and other authoritative pronouncements of the Australian Accounting Standards</w:t>
      </w:r>
      <w:r>
        <w:rPr>
          <w:spacing w:val="3"/>
          <w:sz w:val="18"/>
        </w:rPr>
        <w:t> </w:t>
      </w:r>
      <w:r>
        <w:rPr>
          <w:sz w:val="18"/>
        </w:rPr>
        <w:t>Board</w:t>
      </w:r>
    </w:p>
    <w:p>
      <w:pPr>
        <w:pStyle w:val="ListParagraph"/>
        <w:numPr>
          <w:ilvl w:val="0"/>
          <w:numId w:val="78"/>
        </w:numPr>
        <w:tabs>
          <w:tab w:pos="635" w:val="left" w:leader="none"/>
        </w:tabs>
        <w:spacing w:line="240" w:lineRule="auto" w:before="141" w:after="0"/>
        <w:ind w:left="634" w:right="0" w:hanging="110"/>
        <w:jc w:val="left"/>
        <w:rPr>
          <w:sz w:val="18"/>
        </w:rPr>
      </w:pPr>
      <w:r>
        <w:rPr>
          <w:i/>
          <w:sz w:val="18"/>
        </w:rPr>
        <w:t>The Public Finance &amp; Audit Act 1983</w:t>
      </w:r>
      <w:r>
        <w:rPr>
          <w:sz w:val="18"/>
        </w:rPr>
        <w:t>, and</w:t>
      </w:r>
      <w:r>
        <w:rPr>
          <w:spacing w:val="8"/>
          <w:sz w:val="18"/>
        </w:rPr>
        <w:t> </w:t>
      </w:r>
      <w:r>
        <w:rPr>
          <w:sz w:val="18"/>
        </w:rPr>
        <w:t>Regulation</w:t>
      </w:r>
    </w:p>
    <w:p>
      <w:pPr>
        <w:pStyle w:val="ListParagraph"/>
        <w:numPr>
          <w:ilvl w:val="0"/>
          <w:numId w:val="78"/>
        </w:numPr>
        <w:tabs>
          <w:tab w:pos="635" w:val="left" w:leader="none"/>
        </w:tabs>
        <w:spacing w:line="240" w:lineRule="auto" w:before="141" w:after="0"/>
        <w:ind w:left="634" w:right="0" w:hanging="110"/>
        <w:jc w:val="left"/>
        <w:rPr>
          <w:sz w:val="18"/>
        </w:rPr>
      </w:pPr>
      <w:r>
        <w:rPr>
          <w:i/>
          <w:sz w:val="18"/>
        </w:rPr>
        <w:t>The Australian Charities and Not-For-Profits Commission Act 2012</w:t>
      </w:r>
      <w:r>
        <w:rPr>
          <w:sz w:val="18"/>
        </w:rPr>
        <w:t>,</w:t>
      </w:r>
      <w:r>
        <w:rPr>
          <w:spacing w:val="2"/>
          <w:sz w:val="18"/>
        </w:rPr>
        <w:t> </w:t>
      </w:r>
      <w:r>
        <w:rPr>
          <w:sz w:val="18"/>
        </w:rPr>
        <w:t>and</w:t>
      </w:r>
    </w:p>
    <w:p>
      <w:pPr>
        <w:pStyle w:val="BodyText"/>
        <w:spacing w:before="11"/>
        <w:rPr>
          <w:sz w:val="24"/>
        </w:rPr>
      </w:pPr>
    </w:p>
    <w:p>
      <w:pPr>
        <w:pStyle w:val="ListParagraph"/>
        <w:numPr>
          <w:ilvl w:val="1"/>
          <w:numId w:val="77"/>
        </w:numPr>
        <w:tabs>
          <w:tab w:pos="920" w:val="left" w:leader="none"/>
        </w:tabs>
        <w:spacing w:line="240" w:lineRule="auto" w:before="0" w:after="0"/>
        <w:ind w:left="920" w:right="372" w:hanging="396"/>
        <w:jc w:val="left"/>
        <w:rPr>
          <w:sz w:val="18"/>
        </w:rPr>
      </w:pPr>
      <w:r>
        <w:rPr>
          <w:sz w:val="18"/>
        </w:rPr>
        <w:t>give a true and fair view of the financial position as at 31 December 2017 and of the performance for the year ended on that date of Western Sydney University Early Learning</w:t>
      </w:r>
      <w:r>
        <w:rPr>
          <w:spacing w:val="15"/>
          <w:sz w:val="18"/>
        </w:rPr>
        <w:t> </w:t>
      </w:r>
      <w:r>
        <w:rPr>
          <w:sz w:val="18"/>
        </w:rPr>
        <w:t>Limited.</w:t>
      </w:r>
    </w:p>
    <w:p>
      <w:pPr>
        <w:pStyle w:val="BodyText"/>
        <w:spacing w:before="10"/>
        <w:rPr>
          <w:sz w:val="17"/>
        </w:rPr>
      </w:pPr>
    </w:p>
    <w:p>
      <w:pPr>
        <w:pStyle w:val="ListParagraph"/>
        <w:numPr>
          <w:ilvl w:val="0"/>
          <w:numId w:val="77"/>
        </w:numPr>
        <w:tabs>
          <w:tab w:pos="524" w:val="left" w:leader="none"/>
        </w:tabs>
        <w:spacing w:line="240" w:lineRule="auto" w:before="0" w:after="0"/>
        <w:ind w:left="524" w:right="529" w:hanging="396"/>
        <w:jc w:val="left"/>
        <w:rPr>
          <w:sz w:val="18"/>
        </w:rPr>
      </w:pPr>
      <w:r>
        <w:rPr>
          <w:sz w:val="18"/>
        </w:rPr>
        <w:t>In the directors' opinion, there are reasonable grounds to believe that Western Sydney University Early Learning Limited will be able to pay its debts as and when they become due and</w:t>
      </w:r>
      <w:r>
        <w:rPr>
          <w:spacing w:val="-1"/>
          <w:sz w:val="18"/>
        </w:rPr>
        <w:t> </w:t>
      </w:r>
      <w:r>
        <w:rPr>
          <w:sz w:val="18"/>
        </w:rPr>
        <w:t>payable.</w:t>
      </w:r>
    </w:p>
    <w:p>
      <w:pPr>
        <w:pStyle w:val="BodyText"/>
        <w:spacing w:before="10"/>
        <w:rPr>
          <w:sz w:val="17"/>
        </w:rPr>
      </w:pPr>
    </w:p>
    <w:p>
      <w:pPr>
        <w:pStyle w:val="ListParagraph"/>
        <w:numPr>
          <w:ilvl w:val="0"/>
          <w:numId w:val="77"/>
        </w:numPr>
        <w:tabs>
          <w:tab w:pos="524" w:val="left" w:leader="none"/>
        </w:tabs>
        <w:spacing w:line="240" w:lineRule="auto" w:before="0" w:after="0"/>
        <w:ind w:left="524" w:right="146" w:hanging="396"/>
        <w:jc w:val="left"/>
        <w:rPr>
          <w:sz w:val="18"/>
        </w:rPr>
      </w:pPr>
      <w:r>
        <w:rPr>
          <w:spacing w:val="5"/>
          <w:sz w:val="18"/>
        </w:rPr>
        <w:t>We </w:t>
      </w:r>
      <w:r>
        <w:rPr>
          <w:sz w:val="18"/>
        </w:rPr>
        <w:t>are not aware of any circumstances which would render any particulars included in the financial statements to be misleading or</w:t>
      </w:r>
      <w:r>
        <w:rPr>
          <w:spacing w:val="1"/>
          <w:sz w:val="18"/>
        </w:rPr>
        <w:t> </w:t>
      </w:r>
      <w:r>
        <w:rPr>
          <w:sz w:val="18"/>
        </w:rPr>
        <w:t>inaccurate.</w:t>
      </w:r>
    </w:p>
    <w:p>
      <w:pPr>
        <w:pStyle w:val="BodyText"/>
        <w:spacing w:before="11"/>
        <w:rPr>
          <w:sz w:val="24"/>
        </w:rPr>
      </w:pPr>
    </w:p>
    <w:p>
      <w:pPr>
        <w:pStyle w:val="BodyText"/>
        <w:spacing w:line="207" w:lineRule="exact"/>
        <w:ind w:left="128"/>
      </w:pPr>
      <w:r>
        <w:rPr/>
        <w:t>This declaration is made in accordance with a resolution of the Board of Directors, pursuant to section 295(4) of the</w:t>
      </w:r>
    </w:p>
    <w:p>
      <w:pPr>
        <w:spacing w:line="207" w:lineRule="exact" w:before="0"/>
        <w:ind w:left="128" w:right="0" w:firstLine="0"/>
        <w:jc w:val="left"/>
        <w:rPr>
          <w:sz w:val="18"/>
        </w:rPr>
      </w:pPr>
      <w:r>
        <w:rPr/>
        <w:pict>
          <v:shape style="position:absolute;margin-left:49.734161pt;margin-top:9.730286pt;width:399.8pt;height:202.55pt;mso-position-horizontal-relative:page;mso-position-vertical-relative:paragraph;z-index:-1179424"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rPr>
                      <w:sz w:val="22"/>
                    </w:rPr>
                  </w:pPr>
                </w:p>
                <w:p>
                  <w:pPr>
                    <w:pStyle w:val="BodyText"/>
                    <w:ind w:left="13"/>
                  </w:pPr>
                  <w:r>
                    <w:rPr/>
                    <w:t>Director ................................................................................................................................................</w:t>
                  </w:r>
                </w:p>
                <w:p>
                  <w:pPr>
                    <w:pStyle w:val="BodyText"/>
                  </w:pPr>
                </w:p>
                <w:p>
                  <w:pPr>
                    <w:pStyle w:val="BodyText"/>
                  </w:pPr>
                </w:p>
                <w:p>
                  <w:pPr>
                    <w:pStyle w:val="BodyText"/>
                  </w:pPr>
                </w:p>
                <w:p>
                  <w:pPr>
                    <w:pStyle w:val="BodyText"/>
                  </w:pPr>
                </w:p>
                <w:p>
                  <w:pPr>
                    <w:pStyle w:val="BodyText"/>
                    <w:spacing w:before="6"/>
                  </w:pPr>
                </w:p>
                <w:p>
                  <w:pPr>
                    <w:pStyle w:val="BodyText"/>
                    <w:ind w:left="13"/>
                  </w:pPr>
                  <w:r>
                    <w:rPr/>
                    <w:t>Director ................................................................................................................................................</w:t>
                  </w:r>
                </w:p>
                <w:p>
                  <w:pPr>
                    <w:pStyle w:val="BodyText"/>
                  </w:pPr>
                </w:p>
                <w:p>
                  <w:pPr>
                    <w:pStyle w:val="BodyText"/>
                  </w:pPr>
                </w:p>
                <w:p>
                  <w:pPr>
                    <w:pStyle w:val="BodyText"/>
                  </w:pPr>
                </w:p>
                <w:p>
                  <w:pPr>
                    <w:pStyle w:val="BodyText"/>
                  </w:pPr>
                </w:p>
                <w:p>
                  <w:pPr>
                    <w:pStyle w:val="BodyText"/>
                    <w:spacing w:before="131"/>
                    <w:ind w:left="13"/>
                  </w:pPr>
                  <w:r>
                    <w:rPr/>
                    <w:t>Dated this  .....................................  day of  .................................... 2018</w:t>
                  </w:r>
                </w:p>
              </w:txbxContent>
            </v:textbox>
            <w10:wrap type="none"/>
          </v:shape>
        </w:pict>
      </w:r>
      <w:r>
        <w:rPr>
          <w:i/>
          <w:sz w:val="18"/>
        </w:rPr>
        <w:t>Corporation Act 2001</w:t>
      </w:r>
      <w:r>
        <w:rPr>
          <w:sz w:val="18"/>
        </w:rPr>
        <w:t>, and 41(C) of the </w:t>
      </w:r>
      <w:r>
        <w:rPr>
          <w:i/>
          <w:sz w:val="18"/>
        </w:rPr>
        <w:t>Public Finance and Audit Act 1983</w:t>
      </w:r>
      <w:r>
        <w:rPr>
          <w:sz w:val="18"/>
        </w:rPr>
        <w:t>.</w:t>
      </w:r>
    </w:p>
    <w:p>
      <w:pPr>
        <w:pStyle w:val="BodyText"/>
        <w:ind w:left="114"/>
        <w:rPr>
          <w:sz w:val="20"/>
        </w:rPr>
      </w:pPr>
      <w:r>
        <w:rPr>
          <w:sz w:val="20"/>
        </w:rPr>
        <w:drawing>
          <wp:inline distT="0" distB="0" distL="0" distR="0">
            <wp:extent cx="5004612" cy="2535269"/>
            <wp:effectExtent l="0" t="0" r="0" b="0"/>
            <wp:docPr id="41" name="image30.jpeg" descr=""/>
            <wp:cNvGraphicFramePr>
              <a:graphicFrameLocks noChangeAspect="1"/>
            </wp:cNvGraphicFramePr>
            <a:graphic>
              <a:graphicData uri="http://schemas.openxmlformats.org/drawingml/2006/picture">
                <pic:pic>
                  <pic:nvPicPr>
                    <pic:cNvPr id="42" name="image30.jpeg"/>
                    <pic:cNvPicPr/>
                  </pic:nvPicPr>
                  <pic:blipFill>
                    <a:blip r:embed="rId122" cstate="print"/>
                    <a:stretch>
                      <a:fillRect/>
                    </a:stretch>
                  </pic:blipFill>
                  <pic:spPr>
                    <a:xfrm>
                      <a:off x="0" y="0"/>
                      <a:ext cx="5004612" cy="2535269"/>
                    </a:xfrm>
                    <a:prstGeom prst="rect">
                      <a:avLst/>
                    </a:prstGeom>
                  </pic:spPr>
                </pic:pic>
              </a:graphicData>
            </a:graphic>
          </wp:inline>
        </w:drawing>
      </w:r>
      <w:r>
        <w:rPr>
          <w:sz w:val="20"/>
        </w:rPr>
      </w:r>
    </w:p>
    <w:p>
      <w:pPr>
        <w:spacing w:after="0"/>
        <w:rPr>
          <w:sz w:val="20"/>
        </w:rPr>
        <w:sectPr>
          <w:headerReference w:type="default" r:id="rId121"/>
          <w:pgSz w:w="11910" w:h="16840"/>
          <w:pgMar w:header="1037" w:footer="512" w:top="1460" w:bottom="700" w:left="880" w:right="1000"/>
        </w:sectPr>
      </w:pPr>
    </w:p>
    <w:p>
      <w:pPr>
        <w:pStyle w:val="BodyText"/>
        <w:spacing w:before="10"/>
      </w:pPr>
    </w:p>
    <w:p>
      <w:pPr>
        <w:pStyle w:val="Heading6"/>
        <w:spacing w:before="73"/>
        <w:ind w:left="207" w:right="161"/>
      </w:pPr>
      <w:r>
        <w:rPr/>
        <w:t>Responsible entities declaration</w:t>
      </w:r>
    </w:p>
    <w:p>
      <w:pPr>
        <w:pStyle w:val="BodyText"/>
        <w:spacing w:before="1"/>
        <w:rPr>
          <w:b/>
          <w:sz w:val="25"/>
        </w:rPr>
      </w:pPr>
    </w:p>
    <w:p>
      <w:pPr>
        <w:pStyle w:val="BodyText"/>
        <w:ind w:left="207" w:right="161"/>
      </w:pPr>
      <w:r>
        <w:rPr/>
        <w:t>The responsible entity declares that in the responsible entity's opinion:</w:t>
      </w:r>
    </w:p>
    <w:p>
      <w:pPr>
        <w:pStyle w:val="BodyText"/>
        <w:spacing w:before="11"/>
        <w:rPr>
          <w:sz w:val="24"/>
        </w:rPr>
      </w:pPr>
    </w:p>
    <w:p>
      <w:pPr>
        <w:pStyle w:val="ListParagraph"/>
        <w:numPr>
          <w:ilvl w:val="0"/>
          <w:numId w:val="79"/>
        </w:numPr>
        <w:tabs>
          <w:tab w:pos="938" w:val="left" w:leader="none"/>
        </w:tabs>
        <w:spacing w:line="240" w:lineRule="auto" w:before="0" w:after="0"/>
        <w:ind w:left="937" w:right="210" w:hanging="729"/>
        <w:jc w:val="left"/>
        <w:rPr>
          <w:sz w:val="18"/>
        </w:rPr>
      </w:pPr>
      <w:r>
        <w:rPr>
          <w:sz w:val="18"/>
        </w:rPr>
        <w:t>there are reasonable grounds to believe that the registered entity is able to pay all of its debts, as and when they become due and payable;</w:t>
      </w:r>
      <w:r>
        <w:rPr>
          <w:spacing w:val="3"/>
          <w:sz w:val="18"/>
        </w:rPr>
        <w:t> </w:t>
      </w:r>
      <w:r>
        <w:rPr>
          <w:sz w:val="18"/>
        </w:rPr>
        <w:t>and</w:t>
      </w:r>
    </w:p>
    <w:p>
      <w:pPr>
        <w:pStyle w:val="BodyText"/>
        <w:spacing w:before="11"/>
        <w:rPr>
          <w:sz w:val="24"/>
        </w:rPr>
      </w:pPr>
    </w:p>
    <w:p>
      <w:pPr>
        <w:pStyle w:val="ListParagraph"/>
        <w:numPr>
          <w:ilvl w:val="0"/>
          <w:numId w:val="79"/>
        </w:numPr>
        <w:tabs>
          <w:tab w:pos="938" w:val="left" w:leader="none"/>
        </w:tabs>
        <w:spacing w:line="240" w:lineRule="auto" w:before="0" w:after="0"/>
        <w:ind w:left="887" w:right="931" w:hanging="679"/>
        <w:jc w:val="left"/>
        <w:rPr>
          <w:sz w:val="18"/>
        </w:rPr>
      </w:pPr>
      <w:r>
        <w:rPr>
          <w:sz w:val="18"/>
        </w:rPr>
        <w:t>the financial statements and notes satisfy the requirements of the </w:t>
      </w:r>
      <w:r>
        <w:rPr>
          <w:i/>
          <w:sz w:val="18"/>
        </w:rPr>
        <w:t>Australian Charities and Not-for-profit </w:t>
      </w:r>
      <w:r>
        <w:rPr>
          <w:i/>
          <w:sz w:val="18"/>
        </w:rPr>
        <w:t>Commission  Act</w:t>
      </w:r>
      <w:r>
        <w:rPr>
          <w:i/>
          <w:spacing w:val="1"/>
          <w:sz w:val="18"/>
        </w:rPr>
        <w:t> </w:t>
      </w:r>
      <w:r>
        <w:rPr>
          <w:i/>
          <w:sz w:val="18"/>
        </w:rPr>
        <w:t>2012</w:t>
      </w:r>
      <w:r>
        <w:rPr>
          <w:sz w:val="18"/>
        </w:rPr>
        <w:t>.</w:t>
      </w:r>
    </w:p>
    <w:p>
      <w:pPr>
        <w:pStyle w:val="BodyText"/>
        <w:spacing w:before="11"/>
        <w:rPr>
          <w:sz w:val="24"/>
        </w:rPr>
      </w:pPr>
    </w:p>
    <w:p>
      <w:pPr>
        <w:spacing w:before="0"/>
        <w:ind w:left="208" w:right="94" w:firstLine="0"/>
        <w:jc w:val="left"/>
        <w:rPr>
          <w:i/>
          <w:sz w:val="18"/>
        </w:rPr>
      </w:pPr>
      <w:r>
        <w:rPr/>
        <w:drawing>
          <wp:anchor distT="0" distB="0" distL="0" distR="0" allowOverlap="1" layoutInCell="1" locked="0" behindDoc="0" simplePos="0" relativeHeight="4624">
            <wp:simplePos x="0" y="0"/>
            <wp:positionH relativeFrom="page">
              <wp:posOffset>584084</wp:posOffset>
            </wp:positionH>
            <wp:positionV relativeFrom="paragraph">
              <wp:posOffset>162950</wp:posOffset>
            </wp:positionV>
            <wp:extent cx="2569765" cy="963168"/>
            <wp:effectExtent l="0" t="0" r="0" b="0"/>
            <wp:wrapTopAndBottom/>
            <wp:docPr id="43" name="image31.jpeg" descr=""/>
            <wp:cNvGraphicFramePr>
              <a:graphicFrameLocks noChangeAspect="1"/>
            </wp:cNvGraphicFramePr>
            <a:graphic>
              <a:graphicData uri="http://schemas.openxmlformats.org/drawingml/2006/picture">
                <pic:pic>
                  <pic:nvPicPr>
                    <pic:cNvPr id="44" name="image31.jpeg"/>
                    <pic:cNvPicPr/>
                  </pic:nvPicPr>
                  <pic:blipFill>
                    <a:blip r:embed="rId123" cstate="print"/>
                    <a:stretch>
                      <a:fillRect/>
                    </a:stretch>
                  </pic:blipFill>
                  <pic:spPr>
                    <a:xfrm>
                      <a:off x="0" y="0"/>
                      <a:ext cx="2569765" cy="963168"/>
                    </a:xfrm>
                    <a:prstGeom prst="rect">
                      <a:avLst/>
                    </a:prstGeom>
                  </pic:spPr>
                </pic:pic>
              </a:graphicData>
            </a:graphic>
          </wp:anchor>
        </w:drawing>
      </w:r>
      <w:r>
        <w:rPr/>
        <w:pict>
          <v:shape style="position:absolute;margin-left:45.990875pt;margin-top:12.830719pt;width:202.05pt;height:75.75pt;mso-position-horizontal-relative:page;mso-position-vertical-relative:paragraph;z-index:-1179376"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spacing w:before="7"/>
                    <w:rPr>
                      <w:sz w:val="16"/>
                    </w:rPr>
                  </w:pPr>
                </w:p>
                <w:p>
                  <w:pPr>
                    <w:pStyle w:val="BodyText"/>
                    <w:ind w:left="88"/>
                  </w:pPr>
                  <w:r>
                    <w:rPr/>
                    <w:t>.............................................................</w:t>
                  </w:r>
                </w:p>
              </w:txbxContent>
            </v:textbox>
            <w10:wrap type="none"/>
          </v:shape>
        </w:pict>
      </w:r>
      <w:r>
        <w:rPr>
          <w:sz w:val="18"/>
        </w:rPr>
        <w:t>Signed in accordance with subsection 60.15(2) of the </w:t>
      </w:r>
      <w:r>
        <w:rPr>
          <w:i/>
          <w:sz w:val="18"/>
        </w:rPr>
        <w:t>Australian Charities and not-for-profits Commission Regulation 2013.</w:t>
      </w:r>
    </w:p>
    <w:p>
      <w:pPr>
        <w:pStyle w:val="BodyText"/>
        <w:spacing w:before="2"/>
        <w:rPr>
          <w:i/>
          <w:sz w:val="15"/>
        </w:rPr>
      </w:pPr>
    </w:p>
    <w:p>
      <w:pPr>
        <w:pStyle w:val="BodyText"/>
        <w:spacing w:line="573" w:lineRule="auto"/>
        <w:ind w:left="208" w:right="8511"/>
      </w:pPr>
      <w:r>
        <w:rPr/>
        <w:t>Darren Greentree Director</w:t>
      </w:r>
    </w:p>
    <w:p>
      <w:pPr>
        <w:pStyle w:val="BodyText"/>
        <w:spacing w:before="8"/>
        <w:ind w:left="208" w:right="161"/>
      </w:pPr>
      <w:r>
        <w:rPr/>
        <w:t>5 March 2018</w:t>
      </w:r>
    </w:p>
    <w:p>
      <w:pPr>
        <w:spacing w:after="0"/>
        <w:sectPr>
          <w:pgSz w:w="11910" w:h="16840"/>
          <w:pgMar w:header="1037" w:footer="512" w:top="1460" w:bottom="700" w:left="800" w:right="960"/>
        </w:sectPr>
      </w:pPr>
    </w:p>
    <w:p>
      <w:pPr>
        <w:pStyle w:val="BodyText"/>
        <w:ind w:left="4431"/>
        <w:rPr>
          <w:sz w:val="20"/>
        </w:rPr>
      </w:pPr>
      <w:r>
        <w:rPr>
          <w:sz w:val="20"/>
        </w:rPr>
        <w:drawing>
          <wp:inline distT="0" distB="0" distL="0" distR="0">
            <wp:extent cx="1005839" cy="1060703"/>
            <wp:effectExtent l="0" t="0" r="0" b="0"/>
            <wp:docPr id="45" name="image32.png" descr=""/>
            <wp:cNvGraphicFramePr>
              <a:graphicFrameLocks noChangeAspect="1"/>
            </wp:cNvGraphicFramePr>
            <a:graphic>
              <a:graphicData uri="http://schemas.openxmlformats.org/drawingml/2006/picture">
                <pic:pic>
                  <pic:nvPicPr>
                    <pic:cNvPr id="46" name="image32.png"/>
                    <pic:cNvPicPr/>
                  </pic:nvPicPr>
                  <pic:blipFill>
                    <a:blip r:embed="rId126" cstate="print"/>
                    <a:stretch>
                      <a:fillRect/>
                    </a:stretch>
                  </pic:blipFill>
                  <pic:spPr>
                    <a:xfrm>
                      <a:off x="0" y="0"/>
                      <a:ext cx="1005839" cy="1060703"/>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spacing w:before="196"/>
        <w:ind w:left="113" w:right="65" w:firstLine="0"/>
        <w:jc w:val="center"/>
        <w:rPr>
          <w:b/>
          <w:sz w:val="23"/>
        </w:rPr>
      </w:pPr>
      <w:r>
        <w:rPr>
          <w:b/>
          <w:sz w:val="23"/>
        </w:rPr>
        <w:t>INDEPENDENT  AUDITOR'S  REPORT</w:t>
      </w:r>
    </w:p>
    <w:p>
      <w:pPr>
        <w:pStyle w:val="Heading7"/>
        <w:ind w:left="2832"/>
      </w:pPr>
      <w:r>
        <w:rPr/>
        <w:t>Western  Sydney  University  Early  Learning Limited</w:t>
      </w:r>
    </w:p>
    <w:p>
      <w:pPr>
        <w:pStyle w:val="BodyText"/>
        <w:rPr>
          <w:b/>
        </w:rPr>
      </w:pPr>
    </w:p>
    <w:p>
      <w:pPr>
        <w:pStyle w:val="BodyText"/>
        <w:rPr>
          <w:b/>
        </w:rPr>
      </w:pPr>
    </w:p>
    <w:p>
      <w:pPr>
        <w:pStyle w:val="BodyText"/>
        <w:spacing w:before="8"/>
        <w:rPr>
          <w:b/>
          <w:sz w:val="15"/>
        </w:rPr>
      </w:pPr>
    </w:p>
    <w:p>
      <w:pPr>
        <w:pStyle w:val="Heading8"/>
        <w:ind w:left="694" w:right="885"/>
      </w:pPr>
      <w:r>
        <w:rPr/>
        <w:t>To Members of the  New South Wales   Parliament</w:t>
      </w:r>
    </w:p>
    <w:p>
      <w:pPr>
        <w:pStyle w:val="BodyText"/>
        <w:spacing w:before="3"/>
        <w:rPr>
          <w:sz w:val="15"/>
        </w:rPr>
      </w:pPr>
    </w:p>
    <w:p>
      <w:pPr>
        <w:spacing w:before="0"/>
        <w:ind w:left="694" w:right="885" w:firstLine="0"/>
        <w:jc w:val="left"/>
        <w:rPr>
          <w:b/>
          <w:sz w:val="23"/>
        </w:rPr>
      </w:pPr>
      <w:r>
        <w:rPr>
          <w:b/>
          <w:w w:val="105"/>
          <w:sz w:val="23"/>
        </w:rPr>
        <w:t>Opinion</w:t>
      </w:r>
    </w:p>
    <w:p>
      <w:pPr>
        <w:spacing w:line="261" w:lineRule="auto" w:before="147"/>
        <w:ind w:left="687" w:right="885" w:firstLine="14"/>
        <w:jc w:val="left"/>
        <w:rPr>
          <w:sz w:val="19"/>
        </w:rPr>
      </w:pPr>
      <w:r>
        <w:rPr>
          <w:sz w:val="19"/>
        </w:rPr>
        <w:t>I have audited the accompanying financial statements of Western Sydney University Early Learning Limited (the Company),  which  comprise the Statement of Comprehensive  Income for the year ended  31 December 2017, the Statement of Financial Position as at 31 December 2017, the Statement of Changes in Equity and the Statement of Cash Flows for the year then ended, notes comprising a summary of significant accounting policies, other explanatory information and the responsible entities declaration.</w:t>
      </w:r>
    </w:p>
    <w:p>
      <w:pPr>
        <w:pStyle w:val="BodyText"/>
        <w:rPr>
          <w:sz w:val="15"/>
        </w:rPr>
      </w:pPr>
    </w:p>
    <w:p>
      <w:pPr>
        <w:spacing w:before="0"/>
        <w:ind w:left="701" w:right="885" w:firstLine="0"/>
        <w:jc w:val="left"/>
        <w:rPr>
          <w:sz w:val="19"/>
        </w:rPr>
      </w:pPr>
      <w:r>
        <w:rPr>
          <w:w w:val="105"/>
          <w:sz w:val="19"/>
        </w:rPr>
        <w:t>In my opinion, the financial statements:</w:t>
      </w:r>
    </w:p>
    <w:p>
      <w:pPr>
        <w:pStyle w:val="BodyText"/>
        <w:spacing w:before="3"/>
        <w:rPr>
          <w:sz w:val="17"/>
        </w:rPr>
      </w:pPr>
    </w:p>
    <w:p>
      <w:pPr>
        <w:spacing w:line="261" w:lineRule="auto" w:before="0"/>
        <w:ind w:left="1039" w:right="593" w:firstLine="7"/>
        <w:jc w:val="left"/>
        <w:rPr>
          <w:sz w:val="19"/>
        </w:rPr>
      </w:pPr>
      <w:r>
        <w:rPr>
          <w:w w:val="105"/>
          <w:sz w:val="19"/>
        </w:rPr>
        <w:t>give a true and fair view of the financial position of the Company as at 31 December 2017, and of its financial performance and cash flows for the year then ended in accordance with Australian Accounting Standards</w:t>
      </w:r>
    </w:p>
    <w:p>
      <w:pPr>
        <w:spacing w:line="268" w:lineRule="auto" w:before="72"/>
        <w:ind w:left="1054" w:right="835" w:hanging="8"/>
        <w:jc w:val="left"/>
        <w:rPr>
          <w:sz w:val="19"/>
        </w:rPr>
      </w:pPr>
      <w:r>
        <w:rPr>
          <w:w w:val="105"/>
          <w:sz w:val="19"/>
        </w:rPr>
        <w:t>are</w:t>
      </w:r>
      <w:r>
        <w:rPr>
          <w:spacing w:val="2"/>
          <w:w w:val="105"/>
          <w:sz w:val="19"/>
        </w:rPr>
        <w:t> </w:t>
      </w:r>
      <w:r>
        <w:rPr>
          <w:w w:val="105"/>
          <w:sz w:val="19"/>
        </w:rPr>
        <w:t>in</w:t>
      </w:r>
      <w:r>
        <w:rPr>
          <w:spacing w:val="-17"/>
          <w:w w:val="105"/>
          <w:sz w:val="19"/>
        </w:rPr>
        <w:t> </w:t>
      </w:r>
      <w:r>
        <w:rPr>
          <w:w w:val="105"/>
          <w:sz w:val="19"/>
        </w:rPr>
        <w:t>accordance</w:t>
      </w:r>
      <w:r>
        <w:rPr>
          <w:spacing w:val="6"/>
          <w:w w:val="105"/>
          <w:sz w:val="19"/>
        </w:rPr>
        <w:t> </w:t>
      </w:r>
      <w:r>
        <w:rPr>
          <w:w w:val="105"/>
          <w:sz w:val="19"/>
        </w:rPr>
        <w:t>with</w:t>
      </w:r>
      <w:r>
        <w:rPr>
          <w:spacing w:val="3"/>
          <w:w w:val="105"/>
          <w:sz w:val="19"/>
        </w:rPr>
        <w:t> </w:t>
      </w:r>
      <w:r>
        <w:rPr>
          <w:w w:val="105"/>
          <w:sz w:val="19"/>
        </w:rPr>
        <w:t>section</w:t>
      </w:r>
      <w:r>
        <w:rPr>
          <w:spacing w:val="-9"/>
          <w:w w:val="105"/>
          <w:sz w:val="19"/>
        </w:rPr>
        <w:t> </w:t>
      </w:r>
      <w:r>
        <w:rPr>
          <w:w w:val="105"/>
          <w:sz w:val="19"/>
        </w:rPr>
        <w:t>41</w:t>
      </w:r>
      <w:r>
        <w:rPr>
          <w:spacing w:val="-39"/>
          <w:w w:val="105"/>
          <w:sz w:val="19"/>
        </w:rPr>
        <w:t> </w:t>
      </w:r>
      <w:r>
        <w:rPr>
          <w:w w:val="105"/>
          <w:sz w:val="19"/>
        </w:rPr>
        <w:t>B</w:t>
      </w:r>
      <w:r>
        <w:rPr>
          <w:spacing w:val="-20"/>
          <w:w w:val="105"/>
          <w:sz w:val="19"/>
        </w:rPr>
        <w:t> </w:t>
      </w:r>
      <w:r>
        <w:rPr>
          <w:w w:val="105"/>
          <w:sz w:val="19"/>
        </w:rPr>
        <w:t>of</w:t>
      </w:r>
      <w:r>
        <w:rPr>
          <w:spacing w:val="-12"/>
          <w:w w:val="105"/>
          <w:sz w:val="19"/>
        </w:rPr>
        <w:t> </w:t>
      </w:r>
      <w:r>
        <w:rPr>
          <w:w w:val="105"/>
          <w:sz w:val="19"/>
        </w:rPr>
        <w:t>the</w:t>
      </w:r>
      <w:r>
        <w:rPr>
          <w:spacing w:val="4"/>
          <w:w w:val="105"/>
          <w:sz w:val="19"/>
        </w:rPr>
        <w:t> </w:t>
      </w:r>
      <w:r>
        <w:rPr>
          <w:i/>
          <w:w w:val="105"/>
          <w:sz w:val="19"/>
        </w:rPr>
        <w:t>Public Finance</w:t>
      </w:r>
      <w:r>
        <w:rPr>
          <w:i/>
          <w:spacing w:val="-1"/>
          <w:w w:val="105"/>
          <w:sz w:val="19"/>
        </w:rPr>
        <w:t> </w:t>
      </w:r>
      <w:r>
        <w:rPr>
          <w:i/>
          <w:w w:val="105"/>
          <w:sz w:val="19"/>
        </w:rPr>
        <w:t>and</w:t>
      </w:r>
      <w:r>
        <w:rPr>
          <w:i/>
          <w:spacing w:val="-11"/>
          <w:w w:val="105"/>
          <w:sz w:val="19"/>
        </w:rPr>
        <w:t> </w:t>
      </w:r>
      <w:r>
        <w:rPr>
          <w:i/>
          <w:w w:val="105"/>
          <w:sz w:val="19"/>
        </w:rPr>
        <w:t>Audit</w:t>
      </w:r>
      <w:r>
        <w:rPr>
          <w:i/>
          <w:spacing w:val="2"/>
          <w:w w:val="105"/>
          <w:sz w:val="19"/>
        </w:rPr>
        <w:t> </w:t>
      </w:r>
      <w:r>
        <w:rPr>
          <w:i/>
          <w:w w:val="105"/>
          <w:sz w:val="19"/>
        </w:rPr>
        <w:t>Act</w:t>
      </w:r>
      <w:r>
        <w:rPr>
          <w:i/>
          <w:spacing w:val="18"/>
          <w:w w:val="105"/>
          <w:sz w:val="19"/>
        </w:rPr>
        <w:t> </w:t>
      </w:r>
      <w:r>
        <w:rPr>
          <w:i/>
          <w:w w:val="105"/>
          <w:sz w:val="19"/>
        </w:rPr>
        <w:t>1983</w:t>
      </w:r>
      <w:r>
        <w:rPr>
          <w:i/>
          <w:spacing w:val="-14"/>
          <w:w w:val="105"/>
          <w:sz w:val="19"/>
        </w:rPr>
        <w:t> </w:t>
      </w:r>
      <w:r>
        <w:rPr>
          <w:w w:val="105"/>
          <w:sz w:val="19"/>
        </w:rPr>
        <w:t>(PF&amp;A</w:t>
      </w:r>
      <w:r>
        <w:rPr>
          <w:spacing w:val="-4"/>
          <w:w w:val="105"/>
          <w:sz w:val="19"/>
        </w:rPr>
        <w:t> </w:t>
      </w:r>
      <w:r>
        <w:rPr>
          <w:w w:val="105"/>
          <w:sz w:val="19"/>
        </w:rPr>
        <w:t>Act)</w:t>
      </w:r>
      <w:r>
        <w:rPr>
          <w:spacing w:val="-2"/>
          <w:w w:val="105"/>
          <w:sz w:val="19"/>
        </w:rPr>
        <w:t> </w:t>
      </w:r>
      <w:r>
        <w:rPr>
          <w:w w:val="105"/>
          <w:sz w:val="19"/>
        </w:rPr>
        <w:t>and</w:t>
      </w:r>
      <w:r>
        <w:rPr>
          <w:spacing w:val="-11"/>
          <w:w w:val="105"/>
          <w:sz w:val="19"/>
        </w:rPr>
        <w:t> </w:t>
      </w:r>
      <w:r>
        <w:rPr>
          <w:w w:val="105"/>
          <w:sz w:val="19"/>
        </w:rPr>
        <w:t>the Public Finance and Audit Regulation</w:t>
      </w:r>
      <w:r>
        <w:rPr>
          <w:spacing w:val="-26"/>
          <w:w w:val="105"/>
          <w:sz w:val="19"/>
        </w:rPr>
        <w:t> </w:t>
      </w:r>
      <w:r>
        <w:rPr>
          <w:w w:val="105"/>
          <w:sz w:val="19"/>
        </w:rPr>
        <w:t>2015</w:t>
      </w:r>
    </w:p>
    <w:p>
      <w:pPr>
        <w:spacing w:line="261" w:lineRule="auto" w:before="58"/>
        <w:ind w:left="1054" w:right="847" w:firstLine="0"/>
        <w:jc w:val="both"/>
        <w:rPr>
          <w:sz w:val="19"/>
        </w:rPr>
      </w:pPr>
      <w:r>
        <w:rPr>
          <w:w w:val="105"/>
          <w:sz w:val="19"/>
        </w:rPr>
        <w:t>have</w:t>
      </w:r>
      <w:r>
        <w:rPr>
          <w:spacing w:val="-6"/>
          <w:w w:val="105"/>
          <w:sz w:val="19"/>
        </w:rPr>
        <w:t> </w:t>
      </w:r>
      <w:r>
        <w:rPr>
          <w:w w:val="105"/>
          <w:sz w:val="19"/>
        </w:rPr>
        <w:t>been</w:t>
      </w:r>
      <w:r>
        <w:rPr>
          <w:spacing w:val="-9"/>
          <w:w w:val="105"/>
          <w:sz w:val="19"/>
        </w:rPr>
        <w:t> </w:t>
      </w:r>
      <w:r>
        <w:rPr>
          <w:w w:val="105"/>
          <w:sz w:val="19"/>
        </w:rPr>
        <w:t>prepared</w:t>
      </w:r>
      <w:r>
        <w:rPr>
          <w:spacing w:val="-5"/>
          <w:w w:val="105"/>
          <w:sz w:val="19"/>
        </w:rPr>
        <w:t> </w:t>
      </w:r>
      <w:r>
        <w:rPr>
          <w:w w:val="105"/>
          <w:sz w:val="19"/>
        </w:rPr>
        <w:t>in</w:t>
      </w:r>
      <w:r>
        <w:rPr>
          <w:spacing w:val="-13"/>
          <w:w w:val="105"/>
          <w:sz w:val="19"/>
        </w:rPr>
        <w:t> </w:t>
      </w:r>
      <w:r>
        <w:rPr>
          <w:w w:val="105"/>
          <w:sz w:val="19"/>
        </w:rPr>
        <w:t>accordance</w:t>
      </w:r>
      <w:r>
        <w:rPr>
          <w:spacing w:val="4"/>
          <w:w w:val="105"/>
          <w:sz w:val="19"/>
        </w:rPr>
        <w:t> </w:t>
      </w:r>
      <w:r>
        <w:rPr>
          <w:w w:val="105"/>
          <w:sz w:val="19"/>
        </w:rPr>
        <w:t>with</w:t>
      </w:r>
      <w:r>
        <w:rPr>
          <w:spacing w:val="6"/>
          <w:w w:val="105"/>
          <w:sz w:val="19"/>
        </w:rPr>
        <w:t> </w:t>
      </w:r>
      <w:r>
        <w:rPr>
          <w:w w:val="105"/>
          <w:sz w:val="19"/>
        </w:rPr>
        <w:t>Division</w:t>
      </w:r>
      <w:r>
        <w:rPr>
          <w:spacing w:val="-13"/>
          <w:w w:val="105"/>
          <w:sz w:val="19"/>
        </w:rPr>
        <w:t> </w:t>
      </w:r>
      <w:r>
        <w:rPr>
          <w:w w:val="105"/>
          <w:sz w:val="19"/>
        </w:rPr>
        <w:t>60</w:t>
      </w:r>
      <w:r>
        <w:rPr>
          <w:spacing w:val="-10"/>
          <w:w w:val="105"/>
          <w:sz w:val="19"/>
        </w:rPr>
        <w:t> </w:t>
      </w:r>
      <w:r>
        <w:rPr>
          <w:w w:val="105"/>
          <w:sz w:val="19"/>
        </w:rPr>
        <w:t>of</w:t>
      </w:r>
      <w:r>
        <w:rPr>
          <w:spacing w:val="-9"/>
          <w:w w:val="105"/>
          <w:sz w:val="19"/>
        </w:rPr>
        <w:t> </w:t>
      </w:r>
      <w:r>
        <w:rPr>
          <w:w w:val="105"/>
          <w:sz w:val="19"/>
        </w:rPr>
        <w:t>the</w:t>
      </w:r>
      <w:r>
        <w:rPr>
          <w:spacing w:val="-10"/>
          <w:w w:val="105"/>
          <w:sz w:val="19"/>
        </w:rPr>
        <w:t> </w:t>
      </w:r>
      <w:r>
        <w:rPr>
          <w:i/>
          <w:w w:val="105"/>
          <w:sz w:val="19"/>
        </w:rPr>
        <w:t>Australian</w:t>
      </w:r>
      <w:r>
        <w:rPr>
          <w:i/>
          <w:spacing w:val="18"/>
          <w:w w:val="105"/>
          <w:sz w:val="19"/>
        </w:rPr>
        <w:t> </w:t>
      </w:r>
      <w:r>
        <w:rPr>
          <w:i/>
          <w:w w:val="105"/>
          <w:sz w:val="19"/>
        </w:rPr>
        <w:t>Charities</w:t>
      </w:r>
      <w:r>
        <w:rPr>
          <w:i/>
          <w:spacing w:val="-7"/>
          <w:w w:val="105"/>
          <w:sz w:val="19"/>
        </w:rPr>
        <w:t> </w:t>
      </w:r>
      <w:r>
        <w:rPr>
          <w:i/>
          <w:w w:val="105"/>
          <w:sz w:val="19"/>
        </w:rPr>
        <w:t>and</w:t>
      </w:r>
      <w:r>
        <w:rPr>
          <w:i/>
          <w:spacing w:val="-8"/>
          <w:w w:val="105"/>
          <w:sz w:val="19"/>
        </w:rPr>
        <w:t> </w:t>
      </w:r>
      <w:r>
        <w:rPr>
          <w:i/>
          <w:w w:val="105"/>
          <w:sz w:val="19"/>
        </w:rPr>
        <w:t>Not-for-profits </w:t>
      </w:r>
      <w:r>
        <w:rPr>
          <w:i/>
          <w:w w:val="105"/>
          <w:sz w:val="19"/>
        </w:rPr>
        <w:t>Commission</w:t>
      </w:r>
      <w:r>
        <w:rPr>
          <w:i/>
          <w:spacing w:val="-8"/>
          <w:w w:val="105"/>
          <w:sz w:val="19"/>
        </w:rPr>
        <w:t> </w:t>
      </w:r>
      <w:r>
        <w:rPr>
          <w:i/>
          <w:w w:val="105"/>
          <w:sz w:val="19"/>
        </w:rPr>
        <w:t>Act</w:t>
      </w:r>
      <w:r>
        <w:rPr>
          <w:i/>
          <w:spacing w:val="4"/>
          <w:w w:val="105"/>
          <w:sz w:val="19"/>
        </w:rPr>
        <w:t> </w:t>
      </w:r>
      <w:r>
        <w:rPr>
          <w:i/>
          <w:w w:val="105"/>
          <w:sz w:val="19"/>
        </w:rPr>
        <w:t>2012</w:t>
      </w:r>
      <w:r>
        <w:rPr>
          <w:i/>
          <w:spacing w:val="-8"/>
          <w:w w:val="105"/>
          <w:sz w:val="19"/>
        </w:rPr>
        <w:t> </w:t>
      </w:r>
      <w:r>
        <w:rPr>
          <w:w w:val="105"/>
          <w:sz w:val="19"/>
        </w:rPr>
        <w:t>and</w:t>
      </w:r>
      <w:r>
        <w:rPr>
          <w:spacing w:val="-2"/>
          <w:w w:val="105"/>
          <w:sz w:val="19"/>
        </w:rPr>
        <w:t> </w:t>
      </w:r>
      <w:r>
        <w:rPr>
          <w:w w:val="105"/>
          <w:sz w:val="19"/>
        </w:rPr>
        <w:t>Division</w:t>
      </w:r>
      <w:r>
        <w:rPr>
          <w:spacing w:val="-17"/>
          <w:w w:val="105"/>
          <w:sz w:val="19"/>
        </w:rPr>
        <w:t> </w:t>
      </w:r>
      <w:r>
        <w:rPr>
          <w:w w:val="105"/>
          <w:sz w:val="19"/>
        </w:rPr>
        <w:t>60</w:t>
      </w:r>
      <w:r>
        <w:rPr>
          <w:spacing w:val="-9"/>
          <w:w w:val="105"/>
          <w:sz w:val="19"/>
        </w:rPr>
        <w:t> </w:t>
      </w:r>
      <w:r>
        <w:rPr>
          <w:w w:val="105"/>
          <w:sz w:val="19"/>
        </w:rPr>
        <w:t>of</w:t>
      </w:r>
      <w:r>
        <w:rPr>
          <w:spacing w:val="-8"/>
          <w:w w:val="105"/>
          <w:sz w:val="19"/>
        </w:rPr>
        <w:t> </w:t>
      </w:r>
      <w:r>
        <w:rPr>
          <w:w w:val="105"/>
          <w:sz w:val="19"/>
        </w:rPr>
        <w:t>the</w:t>
      </w:r>
      <w:r>
        <w:rPr>
          <w:spacing w:val="-9"/>
          <w:w w:val="105"/>
          <w:sz w:val="19"/>
        </w:rPr>
        <w:t> </w:t>
      </w:r>
      <w:r>
        <w:rPr>
          <w:w w:val="105"/>
          <w:sz w:val="19"/>
        </w:rPr>
        <w:t>Australian</w:t>
      </w:r>
      <w:r>
        <w:rPr>
          <w:spacing w:val="8"/>
          <w:w w:val="105"/>
          <w:sz w:val="19"/>
        </w:rPr>
        <w:t> </w:t>
      </w:r>
      <w:r>
        <w:rPr>
          <w:w w:val="105"/>
          <w:sz w:val="19"/>
        </w:rPr>
        <w:t>Charities</w:t>
      </w:r>
      <w:r>
        <w:rPr>
          <w:spacing w:val="-6"/>
          <w:w w:val="105"/>
          <w:sz w:val="19"/>
        </w:rPr>
        <w:t> </w:t>
      </w:r>
      <w:r>
        <w:rPr>
          <w:w w:val="105"/>
          <w:sz w:val="19"/>
        </w:rPr>
        <w:t>and</w:t>
      </w:r>
      <w:r>
        <w:rPr>
          <w:spacing w:val="-2"/>
          <w:w w:val="105"/>
          <w:sz w:val="19"/>
        </w:rPr>
        <w:t> </w:t>
      </w:r>
      <w:r>
        <w:rPr>
          <w:w w:val="105"/>
          <w:sz w:val="19"/>
        </w:rPr>
        <w:t>Not-for-profits Commission Regulation</w:t>
      </w:r>
      <w:r>
        <w:rPr>
          <w:spacing w:val="-29"/>
          <w:w w:val="105"/>
          <w:sz w:val="19"/>
        </w:rPr>
        <w:t> </w:t>
      </w:r>
      <w:r>
        <w:rPr>
          <w:w w:val="105"/>
          <w:sz w:val="19"/>
        </w:rPr>
        <w:t>2013.</w:t>
      </w:r>
    </w:p>
    <w:p>
      <w:pPr>
        <w:pStyle w:val="BodyText"/>
        <w:spacing w:before="1"/>
      </w:pPr>
    </w:p>
    <w:p>
      <w:pPr>
        <w:pStyle w:val="Heading8"/>
        <w:spacing w:before="1"/>
        <w:ind w:left="687" w:right="885"/>
      </w:pPr>
      <w:r>
        <w:rPr/>
        <w:t>My opinion should  be read in conjunction  with the rest of this   report.</w:t>
      </w:r>
    </w:p>
    <w:p>
      <w:pPr>
        <w:pStyle w:val="BodyText"/>
        <w:spacing w:before="3"/>
        <w:rPr>
          <w:sz w:val="15"/>
        </w:rPr>
      </w:pPr>
    </w:p>
    <w:p>
      <w:pPr>
        <w:spacing w:before="0"/>
        <w:ind w:left="694" w:right="885" w:firstLine="0"/>
        <w:jc w:val="left"/>
        <w:rPr>
          <w:b/>
          <w:sz w:val="23"/>
        </w:rPr>
      </w:pPr>
      <w:r>
        <w:rPr>
          <w:b/>
          <w:sz w:val="23"/>
        </w:rPr>
        <w:t>Basis for</w:t>
      </w:r>
      <w:r>
        <w:rPr>
          <w:b/>
          <w:spacing w:val="61"/>
          <w:sz w:val="23"/>
        </w:rPr>
        <w:t> </w:t>
      </w:r>
      <w:r>
        <w:rPr>
          <w:b/>
          <w:sz w:val="23"/>
        </w:rPr>
        <w:t>Opinion</w:t>
      </w:r>
    </w:p>
    <w:p>
      <w:pPr>
        <w:spacing w:line="261" w:lineRule="auto" w:before="140"/>
        <w:ind w:left="679" w:right="593" w:firstLine="7"/>
        <w:jc w:val="left"/>
        <w:rPr>
          <w:sz w:val="19"/>
        </w:rPr>
      </w:pPr>
      <w:r>
        <w:rPr>
          <w:w w:val="105"/>
          <w:sz w:val="19"/>
        </w:rPr>
        <w:t>I conducted my audit in accordance with Australian Auditing Standards. My responsibilities under the standards are described in the 'Auditor's Responsibilities for the Audit of the Financial Statements' section of my report.</w:t>
      </w:r>
    </w:p>
    <w:p>
      <w:pPr>
        <w:spacing w:line="404" w:lineRule="exact" w:before="35"/>
        <w:ind w:left="1032" w:right="1951" w:hanging="346"/>
        <w:jc w:val="left"/>
        <w:rPr>
          <w:sz w:val="19"/>
        </w:rPr>
      </w:pPr>
      <w:r>
        <w:rPr>
          <w:w w:val="105"/>
          <w:sz w:val="19"/>
        </w:rPr>
        <w:t>I am independent of the Company in accordance with the requirements of the: Australian Auditing Standards</w:t>
      </w:r>
    </w:p>
    <w:p>
      <w:pPr>
        <w:spacing w:line="261" w:lineRule="auto" w:before="43"/>
        <w:ind w:left="1046" w:right="1951" w:hanging="15"/>
        <w:jc w:val="left"/>
        <w:rPr>
          <w:sz w:val="19"/>
        </w:rPr>
      </w:pPr>
      <w:r>
        <w:rPr>
          <w:sz w:val="19"/>
        </w:rPr>
        <w:t>Accounting Professional and Ethical Standards Board's APES 110 'Code of Ethics for Professional  Accountants'  (APES  110).</w:t>
      </w:r>
    </w:p>
    <w:p>
      <w:pPr>
        <w:pStyle w:val="BodyText"/>
        <w:spacing w:before="1"/>
      </w:pPr>
    </w:p>
    <w:p>
      <w:pPr>
        <w:spacing w:before="1"/>
        <w:ind w:left="687" w:right="885" w:firstLine="0"/>
        <w:jc w:val="left"/>
        <w:rPr>
          <w:sz w:val="19"/>
        </w:rPr>
      </w:pPr>
      <w:r>
        <w:rPr>
          <w:w w:val="105"/>
          <w:sz w:val="19"/>
        </w:rPr>
        <w:t>I have fulfilled my other ethical responsibilities in accordance with APES 110.</w:t>
      </w:r>
    </w:p>
    <w:p>
      <w:pPr>
        <w:pStyle w:val="BodyText"/>
        <w:spacing w:before="7"/>
        <w:rPr>
          <w:sz w:val="16"/>
        </w:rPr>
      </w:pPr>
    </w:p>
    <w:p>
      <w:pPr>
        <w:spacing w:line="261" w:lineRule="auto" w:before="1"/>
        <w:ind w:left="687" w:right="1951" w:firstLine="0"/>
        <w:jc w:val="left"/>
        <w:rPr>
          <w:sz w:val="19"/>
        </w:rPr>
      </w:pPr>
      <w:r>
        <w:rPr>
          <w:sz w:val="19"/>
        </w:rPr>
        <w:t>Parliament promotes independence by ensuring the Auditor-General and the Audit Office of New South Wales  are  not compromised  in their  roles by:</w:t>
      </w:r>
    </w:p>
    <w:p>
      <w:pPr>
        <w:pStyle w:val="BodyText"/>
        <w:rPr>
          <w:sz w:val="15"/>
        </w:rPr>
      </w:pPr>
    </w:p>
    <w:p>
      <w:pPr>
        <w:spacing w:line="331" w:lineRule="auto" w:before="0"/>
        <w:ind w:left="1039" w:right="593" w:firstLine="0"/>
        <w:jc w:val="left"/>
        <w:rPr>
          <w:sz w:val="19"/>
        </w:rPr>
      </w:pPr>
      <w:r>
        <w:rPr>
          <w:w w:val="105"/>
          <w:sz w:val="19"/>
        </w:rPr>
        <w:t>providing that only Parliament, and not the executive government, can remove an Auditor-General mandating the Auditor-General as auditor of public sector agencies</w:t>
      </w:r>
    </w:p>
    <w:p>
      <w:pPr>
        <w:spacing w:line="215" w:lineRule="exact" w:before="0"/>
        <w:ind w:left="1039" w:right="885" w:firstLine="0"/>
        <w:jc w:val="left"/>
        <w:rPr>
          <w:sz w:val="19"/>
        </w:rPr>
      </w:pPr>
      <w:r>
        <w:rPr>
          <w:w w:val="105"/>
          <w:sz w:val="19"/>
        </w:rPr>
        <w:t>precluding the Auditor-General from providing non-audit services.</w:t>
      </w:r>
    </w:p>
    <w:p>
      <w:pPr>
        <w:pStyle w:val="BodyText"/>
        <w:spacing w:before="9"/>
        <w:rPr>
          <w:sz w:val="19"/>
        </w:rPr>
      </w:pPr>
    </w:p>
    <w:p>
      <w:pPr>
        <w:spacing w:line="252" w:lineRule="auto" w:before="0"/>
        <w:ind w:left="672" w:right="885" w:firstLine="7"/>
        <w:jc w:val="left"/>
        <w:rPr>
          <w:sz w:val="19"/>
        </w:rPr>
      </w:pPr>
      <w:r>
        <w:rPr>
          <w:w w:val="105"/>
          <w:sz w:val="19"/>
        </w:rPr>
        <w:t>I believe the audit evidence I have obtained is sufficient and appropriate to provide a basis for my audit opinion.</w:t>
      </w:r>
    </w:p>
    <w:p>
      <w:pPr>
        <w:pStyle w:val="BodyText"/>
        <w:rPr>
          <w:sz w:val="20"/>
        </w:rPr>
      </w:pPr>
    </w:p>
    <w:p>
      <w:pPr>
        <w:pStyle w:val="BodyText"/>
        <w:spacing w:before="2"/>
        <w:rPr>
          <w:sz w:val="22"/>
        </w:rPr>
      </w:pPr>
      <w:r>
        <w:rPr/>
        <w:pict>
          <v:line style="position:absolute;mso-position-horizontal-relative:page;mso-position-vertical-relative:paragraph;z-index:4672;mso-wrap-distance-left:0;mso-wrap-distance-right:0" from="34.1954pt,14.935778pt" to="484.1349pt,14.935778pt" stroked="true" strokeweight=".359952pt" strokecolor="#000000">
            <w10:wrap type="topAndBottom"/>
          </v:line>
        </w:pict>
      </w:r>
    </w:p>
    <w:p>
      <w:pPr>
        <w:spacing w:before="131"/>
        <w:ind w:left="113" w:right="115" w:firstLine="0"/>
        <w:jc w:val="center"/>
        <w:rPr>
          <w:sz w:val="14"/>
        </w:rPr>
      </w:pPr>
      <w:r>
        <w:rPr>
          <w:sz w:val="14"/>
        </w:rPr>
        <w:t>Level 15, 1 Margaret Street, Sydney NSW 2000 I GPO Box 12, Sydney NSW 2001 </w:t>
      </w:r>
      <w:r>
        <w:rPr>
          <w:w w:val="90"/>
          <w:sz w:val="14"/>
        </w:rPr>
        <w:t>I </w:t>
      </w:r>
      <w:r>
        <w:rPr>
          <w:rFonts w:ascii="Times New Roman"/>
          <w:sz w:val="16"/>
        </w:rPr>
        <w:t>t </w:t>
      </w:r>
      <w:r>
        <w:rPr>
          <w:sz w:val="14"/>
        </w:rPr>
        <w:t>02 9275 7101 I f 02 9275 7179 I e </w:t>
      </w:r>
      <w:hyperlink r:id="rId14">
        <w:r>
          <w:rPr>
            <w:sz w:val="14"/>
          </w:rPr>
          <w:t>mail@audit.nsw.gov.au</w:t>
        </w:r>
      </w:hyperlink>
      <w:r>
        <w:rPr>
          <w:sz w:val="14"/>
        </w:rPr>
        <w:t> I  audit.nsw.gov.au</w:t>
      </w:r>
    </w:p>
    <w:p>
      <w:pPr>
        <w:spacing w:after="0"/>
        <w:jc w:val="center"/>
        <w:rPr>
          <w:sz w:val="14"/>
        </w:rPr>
        <w:sectPr>
          <w:headerReference w:type="default" r:id="rId124"/>
          <w:footerReference w:type="default" r:id="rId125"/>
          <w:pgSz w:w="11900" w:h="16840"/>
          <w:pgMar w:header="0" w:footer="505" w:top="640" w:bottom="700" w:left="580" w:right="940"/>
          <w:pgNumType w:start="197"/>
        </w:sectPr>
      </w:pPr>
    </w:p>
    <w:p>
      <w:pPr>
        <w:pStyle w:val="BodyText"/>
        <w:rPr>
          <w:sz w:val="20"/>
        </w:rPr>
      </w:pPr>
      <w:r>
        <w:rPr/>
        <w:pict>
          <v:line style="position:absolute;mso-position-horizontal-relative:page;mso-position-vertical-relative:page;z-index:4696" from="586.181213pt,836.24030pt" to="586.181213pt,5.399743pt" stroked="true" strokeweight="1.439806pt" strokecolor="#cccccc">
            <w10:wrap type="none"/>
          </v:line>
        </w:pict>
      </w:r>
    </w:p>
    <w:p>
      <w:pPr>
        <w:pStyle w:val="BodyText"/>
        <w:rPr>
          <w:sz w:val="20"/>
        </w:rPr>
      </w:pPr>
    </w:p>
    <w:p>
      <w:pPr>
        <w:pStyle w:val="BodyText"/>
        <w:rPr>
          <w:sz w:val="20"/>
        </w:rPr>
      </w:pPr>
    </w:p>
    <w:p>
      <w:pPr>
        <w:pStyle w:val="BodyText"/>
        <w:rPr>
          <w:sz w:val="20"/>
        </w:rPr>
      </w:pPr>
    </w:p>
    <w:p>
      <w:pPr>
        <w:pStyle w:val="BodyText"/>
        <w:spacing w:before="10"/>
        <w:rPr>
          <w:sz w:val="22"/>
        </w:rPr>
      </w:pPr>
    </w:p>
    <w:p>
      <w:pPr>
        <w:pStyle w:val="Heading5"/>
        <w:spacing w:before="71"/>
        <w:ind w:left="161" w:right="1531"/>
      </w:pPr>
      <w:r>
        <w:rPr>
          <w:color w:val="151515"/>
        </w:rPr>
        <w:t>Directors'  Responsibilities for the  Financial  Statements</w:t>
      </w:r>
    </w:p>
    <w:p>
      <w:pPr>
        <w:pStyle w:val="Heading8"/>
        <w:spacing w:line="264" w:lineRule="auto" w:before="133"/>
        <w:ind w:left="147" w:right="1531"/>
      </w:pPr>
      <w:r>
        <w:rPr>
          <w:color w:val="151515"/>
          <w:spacing w:val="2"/>
          <w:w w:val="110"/>
        </w:rPr>
        <w:t>Th</w:t>
      </w:r>
      <w:r>
        <w:rPr>
          <w:color w:val="2D2D2D"/>
          <w:spacing w:val="2"/>
          <w:w w:val="110"/>
        </w:rPr>
        <w:t>e</w:t>
      </w:r>
      <w:r>
        <w:rPr>
          <w:color w:val="2D2D2D"/>
          <w:spacing w:val="-25"/>
          <w:w w:val="110"/>
        </w:rPr>
        <w:t> </w:t>
      </w:r>
      <w:r>
        <w:rPr>
          <w:color w:val="151515"/>
          <w:spacing w:val="-3"/>
          <w:w w:val="110"/>
        </w:rPr>
        <w:t>Dir</w:t>
      </w:r>
      <w:r>
        <w:rPr>
          <w:color w:val="2D2D2D"/>
          <w:spacing w:val="-3"/>
          <w:w w:val="110"/>
        </w:rPr>
        <w:t>ec</w:t>
      </w:r>
      <w:r>
        <w:rPr>
          <w:color w:val="151515"/>
          <w:spacing w:val="-3"/>
          <w:w w:val="110"/>
        </w:rPr>
        <w:t>t</w:t>
      </w:r>
      <w:r>
        <w:rPr>
          <w:color w:val="2D2D2D"/>
          <w:spacing w:val="-3"/>
          <w:w w:val="110"/>
        </w:rPr>
        <w:t>o</w:t>
      </w:r>
      <w:r>
        <w:rPr>
          <w:color w:val="151515"/>
          <w:spacing w:val="-3"/>
          <w:w w:val="110"/>
        </w:rPr>
        <w:t>r</w:t>
      </w:r>
      <w:r>
        <w:rPr>
          <w:color w:val="2D2D2D"/>
          <w:spacing w:val="-3"/>
          <w:w w:val="110"/>
        </w:rPr>
        <w:t>s</w:t>
      </w:r>
      <w:r>
        <w:rPr>
          <w:color w:val="2D2D2D"/>
          <w:spacing w:val="-23"/>
          <w:w w:val="110"/>
        </w:rPr>
        <w:t> </w:t>
      </w:r>
      <w:r>
        <w:rPr>
          <w:color w:val="2D2D2D"/>
          <w:w w:val="110"/>
        </w:rPr>
        <w:t>o</w:t>
      </w:r>
      <w:r>
        <w:rPr>
          <w:color w:val="151515"/>
          <w:w w:val="110"/>
        </w:rPr>
        <w:t>f</w:t>
      </w:r>
      <w:r>
        <w:rPr>
          <w:color w:val="151515"/>
          <w:spacing w:val="-25"/>
          <w:w w:val="110"/>
        </w:rPr>
        <w:t> </w:t>
      </w:r>
      <w:r>
        <w:rPr>
          <w:color w:val="151515"/>
          <w:spacing w:val="5"/>
          <w:w w:val="110"/>
        </w:rPr>
        <w:t>th</w:t>
      </w:r>
      <w:r>
        <w:rPr>
          <w:color w:val="2D2D2D"/>
          <w:spacing w:val="5"/>
          <w:w w:val="110"/>
        </w:rPr>
        <w:t>e</w:t>
      </w:r>
      <w:r>
        <w:rPr>
          <w:color w:val="2D2D2D"/>
          <w:spacing w:val="-28"/>
          <w:w w:val="110"/>
        </w:rPr>
        <w:t> </w:t>
      </w:r>
      <w:r>
        <w:rPr>
          <w:color w:val="2D2D2D"/>
          <w:w w:val="110"/>
        </w:rPr>
        <w:t>Co</w:t>
      </w:r>
      <w:r>
        <w:rPr>
          <w:color w:val="151515"/>
          <w:w w:val="110"/>
        </w:rPr>
        <w:t>mpany</w:t>
      </w:r>
      <w:r>
        <w:rPr>
          <w:color w:val="151515"/>
          <w:spacing w:val="-19"/>
          <w:w w:val="110"/>
        </w:rPr>
        <w:t> </w:t>
      </w:r>
      <w:r>
        <w:rPr>
          <w:color w:val="2D2D2D"/>
          <w:w w:val="110"/>
        </w:rPr>
        <w:t>a</w:t>
      </w:r>
      <w:r>
        <w:rPr>
          <w:color w:val="151515"/>
          <w:w w:val="110"/>
        </w:rPr>
        <w:t>re</w:t>
      </w:r>
      <w:r>
        <w:rPr>
          <w:color w:val="151515"/>
          <w:spacing w:val="-27"/>
          <w:w w:val="110"/>
        </w:rPr>
        <w:t> </w:t>
      </w:r>
      <w:r>
        <w:rPr>
          <w:color w:val="151515"/>
          <w:spacing w:val="-7"/>
          <w:w w:val="110"/>
        </w:rPr>
        <w:t>r</w:t>
      </w:r>
      <w:r>
        <w:rPr>
          <w:color w:val="2D2D2D"/>
          <w:spacing w:val="-7"/>
          <w:w w:val="110"/>
        </w:rPr>
        <w:t>es</w:t>
      </w:r>
      <w:r>
        <w:rPr>
          <w:color w:val="151515"/>
          <w:spacing w:val="-7"/>
          <w:w w:val="110"/>
        </w:rPr>
        <w:t>p</w:t>
      </w:r>
      <w:r>
        <w:rPr>
          <w:color w:val="2D2D2D"/>
          <w:spacing w:val="-7"/>
          <w:w w:val="110"/>
        </w:rPr>
        <w:t>o</w:t>
      </w:r>
      <w:r>
        <w:rPr>
          <w:color w:val="151515"/>
          <w:spacing w:val="-7"/>
          <w:w w:val="110"/>
        </w:rPr>
        <w:t>n</w:t>
      </w:r>
      <w:r>
        <w:rPr>
          <w:color w:val="2D2D2D"/>
          <w:spacing w:val="-7"/>
          <w:w w:val="110"/>
        </w:rPr>
        <w:t>s</w:t>
      </w:r>
      <w:r>
        <w:rPr>
          <w:color w:val="151515"/>
          <w:spacing w:val="-7"/>
          <w:w w:val="110"/>
        </w:rPr>
        <w:t>ibl</w:t>
      </w:r>
      <w:r>
        <w:rPr>
          <w:color w:val="2D2D2D"/>
          <w:spacing w:val="-7"/>
          <w:w w:val="110"/>
        </w:rPr>
        <w:t>e</w:t>
      </w:r>
      <w:r>
        <w:rPr>
          <w:color w:val="2D2D2D"/>
          <w:spacing w:val="-29"/>
          <w:w w:val="110"/>
        </w:rPr>
        <w:t> </w:t>
      </w:r>
      <w:r>
        <w:rPr>
          <w:color w:val="151515"/>
          <w:w w:val="110"/>
        </w:rPr>
        <w:t>f</w:t>
      </w:r>
      <w:r>
        <w:rPr>
          <w:color w:val="2D2D2D"/>
          <w:w w:val="110"/>
        </w:rPr>
        <w:t>or</w:t>
      </w:r>
      <w:r>
        <w:rPr>
          <w:color w:val="2D2D2D"/>
          <w:spacing w:val="-29"/>
          <w:w w:val="110"/>
        </w:rPr>
        <w:t> </w:t>
      </w:r>
      <w:r>
        <w:rPr>
          <w:color w:val="151515"/>
          <w:w w:val="110"/>
        </w:rPr>
        <w:t>t</w:t>
      </w:r>
      <w:r>
        <w:rPr>
          <w:color w:val="2D2D2D"/>
          <w:w w:val="110"/>
        </w:rPr>
        <w:t>he</w:t>
      </w:r>
      <w:r>
        <w:rPr>
          <w:color w:val="2D2D2D"/>
          <w:spacing w:val="-22"/>
          <w:w w:val="110"/>
        </w:rPr>
        <w:t> </w:t>
      </w:r>
      <w:r>
        <w:rPr>
          <w:color w:val="151515"/>
          <w:w w:val="110"/>
        </w:rPr>
        <w:t>pr</w:t>
      </w:r>
      <w:r>
        <w:rPr>
          <w:color w:val="2D2D2D"/>
          <w:w w:val="110"/>
        </w:rPr>
        <w:t>e</w:t>
      </w:r>
      <w:r>
        <w:rPr>
          <w:color w:val="151515"/>
          <w:w w:val="110"/>
        </w:rPr>
        <w:t>p</w:t>
      </w:r>
      <w:r>
        <w:rPr>
          <w:color w:val="2D2D2D"/>
          <w:w w:val="110"/>
        </w:rPr>
        <w:t>a</w:t>
      </w:r>
      <w:r>
        <w:rPr>
          <w:color w:val="151515"/>
          <w:w w:val="110"/>
        </w:rPr>
        <w:t>r</w:t>
      </w:r>
      <w:r>
        <w:rPr>
          <w:color w:val="2D2D2D"/>
          <w:w w:val="110"/>
        </w:rPr>
        <w:t>a</w:t>
      </w:r>
      <w:r>
        <w:rPr>
          <w:color w:val="151515"/>
          <w:w w:val="110"/>
        </w:rPr>
        <w:t>ti</w:t>
      </w:r>
      <w:r>
        <w:rPr>
          <w:color w:val="2D2D2D"/>
          <w:w w:val="110"/>
        </w:rPr>
        <w:t>o</w:t>
      </w:r>
      <w:r>
        <w:rPr>
          <w:color w:val="151515"/>
          <w:w w:val="110"/>
        </w:rPr>
        <w:t>n</w:t>
      </w:r>
      <w:r>
        <w:rPr>
          <w:color w:val="151515"/>
          <w:spacing w:val="-31"/>
          <w:w w:val="110"/>
        </w:rPr>
        <w:t> </w:t>
      </w:r>
      <w:r>
        <w:rPr>
          <w:color w:val="2D2D2D"/>
          <w:w w:val="110"/>
        </w:rPr>
        <w:t>a</w:t>
      </w:r>
      <w:r>
        <w:rPr>
          <w:color w:val="151515"/>
          <w:w w:val="110"/>
        </w:rPr>
        <w:t>n</w:t>
      </w:r>
      <w:r>
        <w:rPr>
          <w:color w:val="2D2D2D"/>
          <w:w w:val="110"/>
        </w:rPr>
        <w:t>d</w:t>
      </w:r>
      <w:r>
        <w:rPr>
          <w:color w:val="2D2D2D"/>
          <w:spacing w:val="-33"/>
          <w:w w:val="110"/>
        </w:rPr>
        <w:t> </w:t>
      </w:r>
      <w:r>
        <w:rPr>
          <w:color w:val="151515"/>
          <w:w w:val="110"/>
        </w:rPr>
        <w:t>f</w:t>
      </w:r>
      <w:r>
        <w:rPr>
          <w:color w:val="2D2D2D"/>
          <w:w w:val="110"/>
        </w:rPr>
        <w:t>air</w:t>
      </w:r>
      <w:r>
        <w:rPr>
          <w:color w:val="2D2D2D"/>
          <w:spacing w:val="-26"/>
          <w:w w:val="110"/>
        </w:rPr>
        <w:t> </w:t>
      </w:r>
      <w:r>
        <w:rPr>
          <w:color w:val="2D2D2D"/>
          <w:w w:val="110"/>
        </w:rPr>
        <w:t>presenta</w:t>
      </w:r>
      <w:r>
        <w:rPr>
          <w:color w:val="4D4D4D"/>
          <w:w w:val="110"/>
        </w:rPr>
        <w:t>t</w:t>
      </w:r>
      <w:r>
        <w:rPr>
          <w:color w:val="2D2D2D"/>
          <w:w w:val="110"/>
        </w:rPr>
        <w:t>io</w:t>
      </w:r>
      <w:r>
        <w:rPr>
          <w:color w:val="151515"/>
          <w:w w:val="110"/>
        </w:rPr>
        <w:t>n</w:t>
      </w:r>
      <w:r>
        <w:rPr>
          <w:color w:val="151515"/>
          <w:spacing w:val="-31"/>
          <w:w w:val="110"/>
        </w:rPr>
        <w:t> </w:t>
      </w:r>
      <w:r>
        <w:rPr>
          <w:color w:val="2D2D2D"/>
          <w:spacing w:val="-3"/>
          <w:w w:val="110"/>
        </w:rPr>
        <w:t>o</w:t>
      </w:r>
      <w:r>
        <w:rPr>
          <w:color w:val="151515"/>
          <w:spacing w:val="-3"/>
          <w:w w:val="110"/>
        </w:rPr>
        <w:t>f</w:t>
      </w:r>
      <w:r>
        <w:rPr>
          <w:color w:val="151515"/>
          <w:spacing w:val="-21"/>
          <w:w w:val="110"/>
        </w:rPr>
        <w:t> </w:t>
      </w:r>
      <w:r>
        <w:rPr>
          <w:color w:val="151515"/>
          <w:spacing w:val="3"/>
          <w:w w:val="110"/>
        </w:rPr>
        <w:t>t</w:t>
      </w:r>
      <w:r>
        <w:rPr>
          <w:color w:val="2D2D2D"/>
          <w:spacing w:val="3"/>
          <w:w w:val="110"/>
        </w:rPr>
        <w:t>he</w:t>
      </w:r>
      <w:r>
        <w:rPr>
          <w:color w:val="2D2D2D"/>
          <w:spacing w:val="-35"/>
          <w:w w:val="110"/>
        </w:rPr>
        <w:t> </w:t>
      </w:r>
      <w:r>
        <w:rPr>
          <w:color w:val="151515"/>
          <w:w w:val="110"/>
        </w:rPr>
        <w:t>fi</w:t>
      </w:r>
      <w:r>
        <w:rPr>
          <w:color w:val="2D2D2D"/>
          <w:w w:val="110"/>
        </w:rPr>
        <w:t>na</w:t>
      </w:r>
      <w:r>
        <w:rPr>
          <w:color w:val="151515"/>
          <w:w w:val="110"/>
        </w:rPr>
        <w:t>n</w:t>
      </w:r>
      <w:r>
        <w:rPr>
          <w:color w:val="2D2D2D"/>
          <w:w w:val="110"/>
        </w:rPr>
        <w:t>c</w:t>
      </w:r>
      <w:r>
        <w:rPr>
          <w:color w:val="4D4D4D"/>
          <w:w w:val="110"/>
        </w:rPr>
        <w:t>i</w:t>
      </w:r>
      <w:r>
        <w:rPr>
          <w:color w:val="2D2D2D"/>
          <w:w w:val="110"/>
        </w:rPr>
        <w:t>al s</w:t>
      </w:r>
      <w:r>
        <w:rPr>
          <w:color w:val="151515"/>
          <w:w w:val="110"/>
        </w:rPr>
        <w:t>t</w:t>
      </w:r>
      <w:r>
        <w:rPr>
          <w:color w:val="2D2D2D"/>
          <w:w w:val="110"/>
        </w:rPr>
        <w:t>a</w:t>
      </w:r>
      <w:r>
        <w:rPr>
          <w:color w:val="151515"/>
          <w:w w:val="110"/>
        </w:rPr>
        <w:t>t</w:t>
      </w:r>
      <w:r>
        <w:rPr>
          <w:color w:val="2D2D2D"/>
          <w:w w:val="110"/>
        </w:rPr>
        <w:t>e</w:t>
      </w:r>
      <w:r>
        <w:rPr>
          <w:color w:val="151515"/>
          <w:w w:val="110"/>
        </w:rPr>
        <w:t>m</w:t>
      </w:r>
      <w:r>
        <w:rPr>
          <w:color w:val="2D2D2D"/>
          <w:w w:val="110"/>
        </w:rPr>
        <w:t>e</w:t>
      </w:r>
      <w:r>
        <w:rPr>
          <w:color w:val="151515"/>
          <w:w w:val="110"/>
        </w:rPr>
        <w:t>nt</w:t>
      </w:r>
      <w:r>
        <w:rPr>
          <w:color w:val="2D2D2D"/>
          <w:w w:val="110"/>
        </w:rPr>
        <w:t>s</w:t>
      </w:r>
      <w:r>
        <w:rPr>
          <w:color w:val="2D2D2D"/>
          <w:spacing w:val="-21"/>
          <w:w w:val="110"/>
        </w:rPr>
        <w:t> </w:t>
      </w:r>
      <w:r>
        <w:rPr>
          <w:color w:val="151515"/>
          <w:spacing w:val="-15"/>
          <w:w w:val="110"/>
        </w:rPr>
        <w:t>in</w:t>
      </w:r>
      <w:r>
        <w:rPr>
          <w:color w:val="151515"/>
          <w:spacing w:val="-30"/>
          <w:w w:val="110"/>
        </w:rPr>
        <w:t> </w:t>
      </w:r>
      <w:r>
        <w:rPr>
          <w:color w:val="2D2D2D"/>
          <w:w w:val="110"/>
        </w:rPr>
        <w:t>ac</w:t>
      </w:r>
      <w:r>
        <w:rPr>
          <w:color w:val="151515"/>
          <w:w w:val="110"/>
        </w:rPr>
        <w:t>c</w:t>
      </w:r>
      <w:r>
        <w:rPr>
          <w:color w:val="2D2D2D"/>
          <w:w w:val="110"/>
        </w:rPr>
        <w:t>o</w:t>
      </w:r>
      <w:r>
        <w:rPr>
          <w:color w:val="151515"/>
          <w:w w:val="110"/>
        </w:rPr>
        <w:t>r</w:t>
      </w:r>
      <w:r>
        <w:rPr>
          <w:color w:val="2D2D2D"/>
          <w:w w:val="110"/>
        </w:rPr>
        <w:t>da</w:t>
      </w:r>
      <w:r>
        <w:rPr>
          <w:color w:val="151515"/>
          <w:w w:val="110"/>
        </w:rPr>
        <w:t>n</w:t>
      </w:r>
      <w:r>
        <w:rPr>
          <w:color w:val="2D2D2D"/>
          <w:w w:val="110"/>
        </w:rPr>
        <w:t>ce</w:t>
      </w:r>
      <w:r>
        <w:rPr>
          <w:color w:val="2D2D2D"/>
          <w:spacing w:val="-26"/>
          <w:w w:val="110"/>
        </w:rPr>
        <w:t> </w:t>
      </w:r>
      <w:r>
        <w:rPr>
          <w:color w:val="2D2D2D"/>
          <w:w w:val="110"/>
        </w:rPr>
        <w:t>w</w:t>
      </w:r>
      <w:r>
        <w:rPr>
          <w:color w:val="151515"/>
          <w:w w:val="110"/>
        </w:rPr>
        <w:t>ith</w:t>
      </w:r>
      <w:r>
        <w:rPr>
          <w:color w:val="151515"/>
          <w:spacing w:val="-33"/>
          <w:w w:val="110"/>
        </w:rPr>
        <w:t> </w:t>
      </w:r>
      <w:r>
        <w:rPr>
          <w:color w:val="151515"/>
          <w:w w:val="110"/>
        </w:rPr>
        <w:t>A</w:t>
      </w:r>
      <w:r>
        <w:rPr>
          <w:color w:val="2D2D2D"/>
          <w:w w:val="110"/>
        </w:rPr>
        <w:t>us</w:t>
      </w:r>
      <w:r>
        <w:rPr>
          <w:color w:val="151515"/>
          <w:w w:val="110"/>
        </w:rPr>
        <w:t>tr</w:t>
      </w:r>
      <w:r>
        <w:rPr>
          <w:color w:val="2D2D2D"/>
          <w:w w:val="110"/>
        </w:rPr>
        <w:t>a</w:t>
      </w:r>
      <w:r>
        <w:rPr>
          <w:color w:val="151515"/>
          <w:w w:val="110"/>
        </w:rPr>
        <w:t>li</w:t>
      </w:r>
      <w:r>
        <w:rPr>
          <w:color w:val="2D2D2D"/>
          <w:w w:val="110"/>
        </w:rPr>
        <w:t>a</w:t>
      </w:r>
      <w:r>
        <w:rPr>
          <w:color w:val="151515"/>
          <w:w w:val="110"/>
        </w:rPr>
        <w:t>n</w:t>
      </w:r>
      <w:r>
        <w:rPr>
          <w:color w:val="151515"/>
          <w:spacing w:val="-34"/>
          <w:w w:val="110"/>
        </w:rPr>
        <w:t> </w:t>
      </w:r>
      <w:r>
        <w:rPr>
          <w:color w:val="151515"/>
          <w:w w:val="110"/>
        </w:rPr>
        <w:t>A</w:t>
      </w:r>
      <w:r>
        <w:rPr>
          <w:color w:val="2D2D2D"/>
          <w:w w:val="110"/>
        </w:rPr>
        <w:t>cco</w:t>
      </w:r>
      <w:r>
        <w:rPr>
          <w:color w:val="151515"/>
          <w:w w:val="110"/>
        </w:rPr>
        <w:t>u</w:t>
      </w:r>
      <w:r>
        <w:rPr>
          <w:color w:val="2D2D2D"/>
          <w:w w:val="110"/>
        </w:rPr>
        <w:t>n</w:t>
      </w:r>
      <w:r>
        <w:rPr>
          <w:color w:val="151515"/>
          <w:w w:val="110"/>
        </w:rPr>
        <w:t>ti</w:t>
      </w:r>
      <w:r>
        <w:rPr>
          <w:color w:val="2D2D2D"/>
          <w:w w:val="110"/>
        </w:rPr>
        <w:t>ng</w:t>
      </w:r>
      <w:r>
        <w:rPr>
          <w:color w:val="2D2D2D"/>
          <w:spacing w:val="-24"/>
          <w:w w:val="110"/>
        </w:rPr>
        <w:t> </w:t>
      </w:r>
      <w:r>
        <w:rPr>
          <w:color w:val="2D2D2D"/>
          <w:w w:val="110"/>
        </w:rPr>
        <w:t>S</w:t>
      </w:r>
      <w:r>
        <w:rPr>
          <w:color w:val="151515"/>
          <w:w w:val="110"/>
        </w:rPr>
        <w:t>t</w:t>
      </w:r>
      <w:r>
        <w:rPr>
          <w:color w:val="2D2D2D"/>
          <w:w w:val="110"/>
        </w:rPr>
        <w:t>a</w:t>
      </w:r>
      <w:r>
        <w:rPr>
          <w:color w:val="151515"/>
          <w:w w:val="110"/>
        </w:rPr>
        <w:t>nd</w:t>
      </w:r>
      <w:r>
        <w:rPr>
          <w:color w:val="2D2D2D"/>
          <w:w w:val="110"/>
        </w:rPr>
        <w:t>a</w:t>
      </w:r>
      <w:r>
        <w:rPr>
          <w:color w:val="151515"/>
          <w:w w:val="110"/>
        </w:rPr>
        <w:t>rd</w:t>
      </w:r>
      <w:r>
        <w:rPr>
          <w:color w:val="2D2D2D"/>
          <w:w w:val="110"/>
        </w:rPr>
        <w:t>s,</w:t>
      </w:r>
      <w:r>
        <w:rPr>
          <w:color w:val="2D2D2D"/>
          <w:spacing w:val="-22"/>
          <w:w w:val="110"/>
        </w:rPr>
        <w:t> </w:t>
      </w:r>
      <w:r>
        <w:rPr>
          <w:color w:val="151515"/>
          <w:w w:val="110"/>
        </w:rPr>
        <w:t>th</w:t>
      </w:r>
      <w:r>
        <w:rPr>
          <w:color w:val="2D2D2D"/>
          <w:w w:val="110"/>
        </w:rPr>
        <w:t>e</w:t>
      </w:r>
      <w:r>
        <w:rPr>
          <w:color w:val="2D2D2D"/>
          <w:spacing w:val="-23"/>
          <w:w w:val="110"/>
        </w:rPr>
        <w:t> </w:t>
      </w:r>
      <w:r>
        <w:rPr>
          <w:color w:val="151515"/>
          <w:w w:val="110"/>
        </w:rPr>
        <w:t>PF</w:t>
      </w:r>
      <w:r>
        <w:rPr>
          <w:color w:val="2D2D2D"/>
          <w:w w:val="110"/>
        </w:rPr>
        <w:t>&amp;A</w:t>
      </w:r>
      <w:r>
        <w:rPr>
          <w:color w:val="2D2D2D"/>
          <w:spacing w:val="-26"/>
          <w:w w:val="110"/>
        </w:rPr>
        <w:t> </w:t>
      </w:r>
      <w:r>
        <w:rPr>
          <w:color w:val="2D2D2D"/>
          <w:spacing w:val="3"/>
          <w:w w:val="110"/>
        </w:rPr>
        <w:t>Ac</w:t>
      </w:r>
      <w:r>
        <w:rPr>
          <w:color w:val="151515"/>
          <w:spacing w:val="3"/>
          <w:w w:val="110"/>
        </w:rPr>
        <w:t>t</w:t>
      </w:r>
      <w:r>
        <w:rPr>
          <w:color w:val="151515"/>
          <w:spacing w:val="-25"/>
          <w:w w:val="110"/>
        </w:rPr>
        <w:t> </w:t>
      </w:r>
      <w:r>
        <w:rPr>
          <w:color w:val="2D2D2D"/>
          <w:w w:val="110"/>
        </w:rPr>
        <w:t>a</w:t>
      </w:r>
      <w:r>
        <w:rPr>
          <w:color w:val="151515"/>
          <w:w w:val="110"/>
        </w:rPr>
        <w:t>nd</w:t>
      </w:r>
      <w:r>
        <w:rPr>
          <w:color w:val="151515"/>
          <w:spacing w:val="-29"/>
          <w:w w:val="110"/>
        </w:rPr>
        <w:t> </w:t>
      </w:r>
      <w:r>
        <w:rPr>
          <w:color w:val="2D2D2D"/>
          <w:w w:val="110"/>
        </w:rPr>
        <w:t>t</w:t>
      </w:r>
      <w:r>
        <w:rPr>
          <w:color w:val="151515"/>
          <w:w w:val="110"/>
        </w:rPr>
        <w:t>h</w:t>
      </w:r>
      <w:r>
        <w:rPr>
          <w:color w:val="2D2D2D"/>
          <w:w w:val="110"/>
        </w:rPr>
        <w:t>e</w:t>
      </w:r>
      <w:r>
        <w:rPr>
          <w:color w:val="2D2D2D"/>
          <w:spacing w:val="-32"/>
          <w:w w:val="110"/>
        </w:rPr>
        <w:t> </w:t>
      </w:r>
      <w:r>
        <w:rPr>
          <w:i/>
          <w:color w:val="2D2D2D"/>
          <w:w w:val="110"/>
        </w:rPr>
        <w:t>Australian </w:t>
      </w:r>
      <w:r>
        <w:rPr>
          <w:i/>
          <w:color w:val="2D2D2D"/>
          <w:w w:val="110"/>
        </w:rPr>
        <w:t>C</w:t>
      </w:r>
      <w:r>
        <w:rPr>
          <w:i/>
          <w:color w:val="151515"/>
          <w:w w:val="110"/>
        </w:rPr>
        <w:t>h</w:t>
      </w:r>
      <w:r>
        <w:rPr>
          <w:i/>
          <w:color w:val="2D2D2D"/>
          <w:w w:val="110"/>
        </w:rPr>
        <w:t>ari</w:t>
      </w:r>
      <w:r>
        <w:rPr>
          <w:i/>
          <w:color w:val="151515"/>
          <w:w w:val="110"/>
        </w:rPr>
        <w:t>ti</w:t>
      </w:r>
      <w:r>
        <w:rPr>
          <w:i/>
          <w:color w:val="2D2D2D"/>
          <w:w w:val="110"/>
        </w:rPr>
        <w:t>es and </w:t>
      </w:r>
      <w:r>
        <w:rPr>
          <w:i/>
          <w:color w:val="151515"/>
          <w:w w:val="110"/>
        </w:rPr>
        <w:t>N</w:t>
      </w:r>
      <w:r>
        <w:rPr>
          <w:i/>
          <w:color w:val="2D2D2D"/>
          <w:w w:val="110"/>
        </w:rPr>
        <w:t>ot</w:t>
      </w:r>
      <w:r>
        <w:rPr>
          <w:i/>
          <w:color w:val="151515"/>
          <w:w w:val="110"/>
        </w:rPr>
        <w:t>-</w:t>
      </w:r>
      <w:r>
        <w:rPr>
          <w:i/>
          <w:color w:val="2D2D2D"/>
          <w:w w:val="110"/>
        </w:rPr>
        <w:t>for-pro</w:t>
      </w:r>
      <w:r>
        <w:rPr>
          <w:i/>
          <w:color w:val="151515"/>
          <w:w w:val="110"/>
        </w:rPr>
        <w:t>fi</w:t>
      </w:r>
      <w:r>
        <w:rPr>
          <w:i/>
          <w:color w:val="2D2D2D"/>
          <w:w w:val="110"/>
        </w:rPr>
        <w:t>ts Comm</w:t>
      </w:r>
      <w:r>
        <w:rPr>
          <w:i/>
          <w:color w:val="151515"/>
          <w:w w:val="110"/>
        </w:rPr>
        <w:t>i</w:t>
      </w:r>
      <w:r>
        <w:rPr>
          <w:i/>
          <w:color w:val="2D2D2D"/>
          <w:w w:val="110"/>
        </w:rPr>
        <w:t>ssion </w:t>
      </w:r>
      <w:r>
        <w:rPr>
          <w:i/>
          <w:color w:val="151515"/>
          <w:spacing w:val="3"/>
          <w:w w:val="110"/>
        </w:rPr>
        <w:t>A</w:t>
      </w:r>
      <w:r>
        <w:rPr>
          <w:i/>
          <w:color w:val="2D2D2D"/>
          <w:spacing w:val="3"/>
          <w:w w:val="110"/>
        </w:rPr>
        <w:t>ct </w:t>
      </w:r>
      <w:r>
        <w:rPr>
          <w:i/>
          <w:color w:val="2D2D2D"/>
          <w:w w:val="110"/>
        </w:rPr>
        <w:t>20</w:t>
      </w:r>
      <w:r>
        <w:rPr>
          <w:i/>
          <w:color w:val="151515"/>
          <w:w w:val="110"/>
        </w:rPr>
        <w:t>1</w:t>
      </w:r>
      <w:r>
        <w:rPr>
          <w:i/>
          <w:color w:val="2D2D2D"/>
          <w:w w:val="110"/>
        </w:rPr>
        <w:t>2</w:t>
      </w:r>
      <w:r>
        <w:rPr>
          <w:i/>
          <w:color w:val="4D4D4D"/>
          <w:w w:val="110"/>
        </w:rPr>
        <w:t>, </w:t>
      </w:r>
      <w:r>
        <w:rPr>
          <w:color w:val="2D2D2D"/>
          <w:w w:val="110"/>
        </w:rPr>
        <w:t>a</w:t>
      </w:r>
      <w:r>
        <w:rPr>
          <w:color w:val="151515"/>
          <w:w w:val="110"/>
        </w:rPr>
        <w:t>nd f</w:t>
      </w:r>
      <w:r>
        <w:rPr>
          <w:color w:val="2D2D2D"/>
          <w:w w:val="110"/>
        </w:rPr>
        <w:t>o</w:t>
      </w:r>
      <w:r>
        <w:rPr>
          <w:color w:val="151515"/>
          <w:w w:val="110"/>
        </w:rPr>
        <w:t>r </w:t>
      </w:r>
      <w:r>
        <w:rPr>
          <w:color w:val="2D2D2D"/>
          <w:spacing w:val="3"/>
          <w:w w:val="110"/>
        </w:rPr>
        <w:t>s</w:t>
      </w:r>
      <w:r>
        <w:rPr>
          <w:color w:val="151515"/>
          <w:spacing w:val="3"/>
          <w:w w:val="110"/>
        </w:rPr>
        <w:t>u</w:t>
      </w:r>
      <w:r>
        <w:rPr>
          <w:color w:val="2D2D2D"/>
          <w:spacing w:val="3"/>
          <w:w w:val="110"/>
        </w:rPr>
        <w:t>c</w:t>
      </w:r>
      <w:r>
        <w:rPr>
          <w:color w:val="151515"/>
          <w:spacing w:val="3"/>
          <w:w w:val="110"/>
        </w:rPr>
        <w:t>h </w:t>
      </w:r>
      <w:r>
        <w:rPr>
          <w:color w:val="151515"/>
          <w:w w:val="110"/>
        </w:rPr>
        <w:t>int</w:t>
      </w:r>
      <w:r>
        <w:rPr>
          <w:color w:val="2D2D2D"/>
          <w:w w:val="110"/>
        </w:rPr>
        <w:t>e</w:t>
      </w:r>
      <w:r>
        <w:rPr>
          <w:color w:val="151515"/>
          <w:w w:val="110"/>
        </w:rPr>
        <w:t>rn</w:t>
      </w:r>
      <w:r>
        <w:rPr>
          <w:color w:val="2D2D2D"/>
          <w:w w:val="110"/>
        </w:rPr>
        <w:t>a</w:t>
      </w:r>
      <w:r>
        <w:rPr>
          <w:color w:val="151515"/>
          <w:w w:val="110"/>
        </w:rPr>
        <w:t>l </w:t>
      </w:r>
      <w:r>
        <w:rPr>
          <w:color w:val="2D2D2D"/>
          <w:w w:val="110"/>
        </w:rPr>
        <w:t>co</w:t>
      </w:r>
      <w:r>
        <w:rPr>
          <w:color w:val="151515"/>
          <w:w w:val="110"/>
        </w:rPr>
        <w:t>n</w:t>
      </w:r>
      <w:r>
        <w:rPr>
          <w:color w:val="2D2D2D"/>
          <w:w w:val="110"/>
        </w:rPr>
        <w:t>t</w:t>
      </w:r>
      <w:r>
        <w:rPr>
          <w:color w:val="151515"/>
          <w:w w:val="110"/>
        </w:rPr>
        <w:t>r</w:t>
      </w:r>
      <w:r>
        <w:rPr>
          <w:color w:val="2D2D2D"/>
          <w:w w:val="110"/>
        </w:rPr>
        <w:t>ol as </w:t>
      </w:r>
      <w:r>
        <w:rPr>
          <w:color w:val="151515"/>
          <w:w w:val="110"/>
        </w:rPr>
        <w:t>th</w:t>
      </w:r>
      <w:r>
        <w:rPr>
          <w:color w:val="2D2D2D"/>
          <w:w w:val="110"/>
        </w:rPr>
        <w:t>e </w:t>
      </w:r>
      <w:r>
        <w:rPr>
          <w:color w:val="151515"/>
          <w:w w:val="110"/>
        </w:rPr>
        <w:t>Di</w:t>
      </w:r>
      <w:r>
        <w:rPr>
          <w:color w:val="2D2D2D"/>
          <w:w w:val="110"/>
        </w:rPr>
        <w:t>rec</w:t>
      </w:r>
      <w:r>
        <w:rPr>
          <w:color w:val="151515"/>
          <w:w w:val="110"/>
        </w:rPr>
        <w:t>t</w:t>
      </w:r>
      <w:r>
        <w:rPr>
          <w:color w:val="2D2D2D"/>
          <w:w w:val="110"/>
        </w:rPr>
        <w:t>o</w:t>
      </w:r>
      <w:r>
        <w:rPr>
          <w:color w:val="151515"/>
          <w:w w:val="110"/>
        </w:rPr>
        <w:t>r</w:t>
      </w:r>
      <w:r>
        <w:rPr>
          <w:color w:val="2D2D2D"/>
          <w:w w:val="110"/>
        </w:rPr>
        <w:t>s </w:t>
      </w:r>
      <w:r>
        <w:rPr>
          <w:color w:val="151515"/>
          <w:w w:val="110"/>
        </w:rPr>
        <w:t>d</w:t>
      </w:r>
      <w:r>
        <w:rPr>
          <w:color w:val="2D2D2D"/>
          <w:w w:val="110"/>
        </w:rPr>
        <w:t>e</w:t>
      </w:r>
      <w:r>
        <w:rPr>
          <w:color w:val="151515"/>
          <w:w w:val="110"/>
        </w:rPr>
        <w:t>termin</w:t>
      </w:r>
      <w:r>
        <w:rPr>
          <w:color w:val="2D2D2D"/>
          <w:w w:val="110"/>
        </w:rPr>
        <w:t>e</w:t>
      </w:r>
      <w:r>
        <w:rPr>
          <w:color w:val="2D2D2D"/>
          <w:spacing w:val="-28"/>
          <w:w w:val="110"/>
        </w:rPr>
        <w:t> </w:t>
      </w:r>
      <w:r>
        <w:rPr>
          <w:color w:val="151515"/>
          <w:spacing w:val="-6"/>
          <w:w w:val="110"/>
        </w:rPr>
        <w:t>i</w:t>
      </w:r>
      <w:r>
        <w:rPr>
          <w:color w:val="2D2D2D"/>
          <w:spacing w:val="-6"/>
          <w:w w:val="110"/>
        </w:rPr>
        <w:t>s</w:t>
      </w:r>
      <w:r>
        <w:rPr>
          <w:color w:val="2D2D2D"/>
          <w:spacing w:val="-30"/>
          <w:w w:val="110"/>
        </w:rPr>
        <w:t> </w:t>
      </w:r>
      <w:r>
        <w:rPr>
          <w:color w:val="151515"/>
          <w:w w:val="110"/>
        </w:rPr>
        <w:t>n</w:t>
      </w:r>
      <w:r>
        <w:rPr>
          <w:color w:val="2D2D2D"/>
          <w:w w:val="110"/>
        </w:rPr>
        <w:t>ecessa</w:t>
      </w:r>
      <w:r>
        <w:rPr>
          <w:color w:val="2D2D2D"/>
          <w:spacing w:val="-45"/>
          <w:w w:val="110"/>
        </w:rPr>
        <w:t> </w:t>
      </w:r>
      <w:r>
        <w:rPr>
          <w:color w:val="151515"/>
          <w:spacing w:val="-5"/>
          <w:w w:val="110"/>
        </w:rPr>
        <w:t>r</w:t>
      </w:r>
      <w:r>
        <w:rPr>
          <w:color w:val="2D2D2D"/>
          <w:spacing w:val="-5"/>
          <w:w w:val="110"/>
        </w:rPr>
        <w:t>y</w:t>
      </w:r>
      <w:r>
        <w:rPr>
          <w:color w:val="2D2D2D"/>
          <w:spacing w:val="-25"/>
          <w:w w:val="110"/>
        </w:rPr>
        <w:t> </w:t>
      </w:r>
      <w:r>
        <w:rPr>
          <w:color w:val="151515"/>
          <w:spacing w:val="5"/>
          <w:w w:val="110"/>
        </w:rPr>
        <w:t>t</w:t>
      </w:r>
      <w:r>
        <w:rPr>
          <w:color w:val="2D2D2D"/>
          <w:spacing w:val="5"/>
          <w:w w:val="110"/>
        </w:rPr>
        <w:t>o</w:t>
      </w:r>
      <w:r>
        <w:rPr>
          <w:color w:val="2D2D2D"/>
          <w:spacing w:val="-29"/>
          <w:w w:val="110"/>
        </w:rPr>
        <w:t> </w:t>
      </w:r>
      <w:r>
        <w:rPr>
          <w:color w:val="2D2D2D"/>
          <w:w w:val="110"/>
        </w:rPr>
        <w:t>e</w:t>
      </w:r>
      <w:r>
        <w:rPr>
          <w:color w:val="151515"/>
          <w:w w:val="110"/>
        </w:rPr>
        <w:t>nabl</w:t>
      </w:r>
      <w:r>
        <w:rPr>
          <w:color w:val="2D2D2D"/>
          <w:w w:val="110"/>
        </w:rPr>
        <w:t>e</w:t>
      </w:r>
      <w:r>
        <w:rPr>
          <w:color w:val="2D2D2D"/>
          <w:spacing w:val="-31"/>
          <w:w w:val="110"/>
        </w:rPr>
        <w:t> </w:t>
      </w:r>
      <w:r>
        <w:rPr>
          <w:color w:val="151515"/>
          <w:spacing w:val="2"/>
          <w:w w:val="110"/>
        </w:rPr>
        <w:t>th</w:t>
      </w:r>
      <w:r>
        <w:rPr>
          <w:color w:val="2D2D2D"/>
          <w:spacing w:val="2"/>
          <w:w w:val="110"/>
        </w:rPr>
        <w:t>e</w:t>
      </w:r>
      <w:r>
        <w:rPr>
          <w:color w:val="2D2D2D"/>
          <w:spacing w:val="-31"/>
          <w:w w:val="110"/>
        </w:rPr>
        <w:t> </w:t>
      </w:r>
      <w:r>
        <w:rPr>
          <w:color w:val="2D2D2D"/>
          <w:spacing w:val="-4"/>
          <w:w w:val="110"/>
        </w:rPr>
        <w:t>p</w:t>
      </w:r>
      <w:r>
        <w:rPr>
          <w:color w:val="151515"/>
          <w:spacing w:val="-4"/>
          <w:w w:val="110"/>
        </w:rPr>
        <w:t>r</w:t>
      </w:r>
      <w:r>
        <w:rPr>
          <w:color w:val="2D2D2D"/>
          <w:spacing w:val="-4"/>
          <w:w w:val="110"/>
        </w:rPr>
        <w:t>e</w:t>
      </w:r>
      <w:r>
        <w:rPr>
          <w:color w:val="151515"/>
          <w:spacing w:val="-4"/>
          <w:w w:val="110"/>
        </w:rPr>
        <w:t>p</w:t>
      </w:r>
      <w:r>
        <w:rPr>
          <w:color w:val="2D2D2D"/>
          <w:spacing w:val="-4"/>
          <w:w w:val="110"/>
        </w:rPr>
        <w:t>arat</w:t>
      </w:r>
      <w:r>
        <w:rPr>
          <w:color w:val="151515"/>
          <w:spacing w:val="-4"/>
          <w:w w:val="110"/>
        </w:rPr>
        <w:t>i</w:t>
      </w:r>
      <w:r>
        <w:rPr>
          <w:color w:val="2D2D2D"/>
          <w:spacing w:val="-4"/>
          <w:w w:val="110"/>
        </w:rPr>
        <w:t>on</w:t>
      </w:r>
      <w:r>
        <w:rPr>
          <w:color w:val="2D2D2D"/>
          <w:spacing w:val="-25"/>
          <w:w w:val="110"/>
        </w:rPr>
        <w:t> </w:t>
      </w:r>
      <w:r>
        <w:rPr>
          <w:color w:val="2D2D2D"/>
          <w:w w:val="110"/>
        </w:rPr>
        <w:t>a</w:t>
      </w:r>
      <w:r>
        <w:rPr>
          <w:color w:val="151515"/>
          <w:w w:val="110"/>
        </w:rPr>
        <w:t>nd</w:t>
      </w:r>
      <w:r>
        <w:rPr>
          <w:color w:val="151515"/>
          <w:spacing w:val="-33"/>
          <w:w w:val="110"/>
        </w:rPr>
        <w:t> </w:t>
      </w:r>
      <w:r>
        <w:rPr>
          <w:color w:val="151515"/>
          <w:w w:val="110"/>
        </w:rPr>
        <w:t>fair</w:t>
      </w:r>
      <w:r>
        <w:rPr>
          <w:color w:val="151515"/>
          <w:spacing w:val="-23"/>
          <w:w w:val="110"/>
        </w:rPr>
        <w:t> </w:t>
      </w:r>
      <w:r>
        <w:rPr>
          <w:color w:val="151515"/>
          <w:w w:val="110"/>
        </w:rPr>
        <w:t>p</w:t>
      </w:r>
      <w:r>
        <w:rPr>
          <w:color w:val="2D2D2D"/>
          <w:w w:val="110"/>
        </w:rPr>
        <w:t>rese</w:t>
      </w:r>
      <w:r>
        <w:rPr>
          <w:color w:val="151515"/>
          <w:w w:val="110"/>
        </w:rPr>
        <w:t>nt</w:t>
      </w:r>
      <w:r>
        <w:rPr>
          <w:color w:val="2D2D2D"/>
          <w:w w:val="110"/>
        </w:rPr>
        <w:t>a</w:t>
      </w:r>
      <w:r>
        <w:rPr>
          <w:color w:val="151515"/>
          <w:w w:val="110"/>
        </w:rPr>
        <w:t>ti</w:t>
      </w:r>
      <w:r>
        <w:rPr>
          <w:color w:val="2D2D2D"/>
          <w:w w:val="110"/>
        </w:rPr>
        <w:t>o</w:t>
      </w:r>
      <w:r>
        <w:rPr>
          <w:color w:val="151515"/>
          <w:w w:val="110"/>
        </w:rPr>
        <w:t>n</w:t>
      </w:r>
      <w:r>
        <w:rPr>
          <w:color w:val="151515"/>
          <w:spacing w:val="-31"/>
          <w:w w:val="110"/>
        </w:rPr>
        <w:t> </w:t>
      </w:r>
      <w:r>
        <w:rPr>
          <w:color w:val="2D2D2D"/>
          <w:w w:val="110"/>
        </w:rPr>
        <w:t>of</w:t>
      </w:r>
      <w:r>
        <w:rPr>
          <w:color w:val="2D2D2D"/>
          <w:spacing w:val="-26"/>
          <w:w w:val="110"/>
        </w:rPr>
        <w:t> </w:t>
      </w:r>
      <w:r>
        <w:rPr>
          <w:color w:val="4D4D4D"/>
          <w:w w:val="110"/>
        </w:rPr>
        <w:t>t</w:t>
      </w:r>
      <w:r>
        <w:rPr>
          <w:color w:val="151515"/>
          <w:w w:val="110"/>
        </w:rPr>
        <w:t>h</w:t>
      </w:r>
      <w:r>
        <w:rPr>
          <w:color w:val="2D2D2D"/>
          <w:w w:val="110"/>
        </w:rPr>
        <w:t>e</w:t>
      </w:r>
      <w:r>
        <w:rPr>
          <w:color w:val="2D2D2D"/>
          <w:spacing w:val="-31"/>
          <w:w w:val="110"/>
        </w:rPr>
        <w:t> </w:t>
      </w:r>
      <w:r>
        <w:rPr>
          <w:color w:val="2D2D2D"/>
          <w:spacing w:val="-3"/>
          <w:w w:val="110"/>
        </w:rPr>
        <w:t>fi</w:t>
      </w:r>
      <w:r>
        <w:rPr>
          <w:color w:val="151515"/>
          <w:spacing w:val="-3"/>
          <w:w w:val="110"/>
        </w:rPr>
        <w:t>n</w:t>
      </w:r>
      <w:r>
        <w:rPr>
          <w:color w:val="2D2D2D"/>
          <w:spacing w:val="-3"/>
          <w:w w:val="110"/>
        </w:rPr>
        <w:t>anc</w:t>
      </w:r>
      <w:r>
        <w:rPr>
          <w:color w:val="151515"/>
          <w:spacing w:val="-3"/>
          <w:w w:val="110"/>
        </w:rPr>
        <w:t>i</w:t>
      </w:r>
      <w:r>
        <w:rPr>
          <w:color w:val="2D2D2D"/>
          <w:spacing w:val="-3"/>
          <w:w w:val="110"/>
        </w:rPr>
        <w:t>a</w:t>
      </w:r>
      <w:r>
        <w:rPr>
          <w:color w:val="151515"/>
          <w:spacing w:val="-3"/>
          <w:w w:val="110"/>
        </w:rPr>
        <w:t>l</w:t>
      </w:r>
      <w:r>
        <w:rPr>
          <w:color w:val="151515"/>
          <w:spacing w:val="-41"/>
          <w:w w:val="110"/>
        </w:rPr>
        <w:t> </w:t>
      </w:r>
      <w:r>
        <w:rPr>
          <w:color w:val="2D2D2D"/>
          <w:w w:val="110"/>
        </w:rPr>
        <w:t>sta</w:t>
      </w:r>
      <w:r>
        <w:rPr>
          <w:color w:val="151515"/>
          <w:w w:val="110"/>
        </w:rPr>
        <w:t>t</w:t>
      </w:r>
      <w:r>
        <w:rPr>
          <w:color w:val="2D2D2D"/>
          <w:w w:val="110"/>
        </w:rPr>
        <w:t>ements</w:t>
      </w:r>
      <w:r>
        <w:rPr>
          <w:color w:val="2D2D2D"/>
          <w:spacing w:val="-27"/>
          <w:w w:val="110"/>
        </w:rPr>
        <w:t> </w:t>
      </w:r>
      <w:r>
        <w:rPr>
          <w:color w:val="151515"/>
          <w:w w:val="110"/>
        </w:rPr>
        <w:t>t</w:t>
      </w:r>
      <w:r>
        <w:rPr>
          <w:color w:val="2D2D2D"/>
          <w:w w:val="110"/>
        </w:rPr>
        <w:t>ha</w:t>
      </w:r>
      <w:r>
        <w:rPr>
          <w:color w:val="151515"/>
          <w:w w:val="110"/>
        </w:rPr>
        <w:t>t </w:t>
      </w:r>
      <w:r>
        <w:rPr>
          <w:color w:val="2D2D2D"/>
          <w:w w:val="110"/>
        </w:rPr>
        <w:t>a</w:t>
      </w:r>
      <w:r>
        <w:rPr>
          <w:color w:val="151515"/>
          <w:w w:val="110"/>
        </w:rPr>
        <w:t>r</w:t>
      </w:r>
      <w:r>
        <w:rPr>
          <w:color w:val="2D2D2D"/>
          <w:w w:val="110"/>
        </w:rPr>
        <w:t>e</w:t>
      </w:r>
      <w:r>
        <w:rPr>
          <w:color w:val="2D2D2D"/>
          <w:spacing w:val="-27"/>
          <w:w w:val="110"/>
        </w:rPr>
        <w:t> </w:t>
      </w:r>
      <w:r>
        <w:rPr>
          <w:color w:val="151515"/>
          <w:w w:val="110"/>
        </w:rPr>
        <w:t>fr</w:t>
      </w:r>
      <w:r>
        <w:rPr>
          <w:color w:val="2D2D2D"/>
          <w:w w:val="110"/>
        </w:rPr>
        <w:t>ee</w:t>
      </w:r>
      <w:r>
        <w:rPr>
          <w:color w:val="2D2D2D"/>
          <w:spacing w:val="-29"/>
          <w:w w:val="110"/>
        </w:rPr>
        <w:t> </w:t>
      </w:r>
      <w:r>
        <w:rPr>
          <w:color w:val="151515"/>
          <w:w w:val="110"/>
        </w:rPr>
        <w:t>fr</w:t>
      </w:r>
      <w:r>
        <w:rPr>
          <w:color w:val="2D2D2D"/>
          <w:w w:val="110"/>
        </w:rPr>
        <w:t>o</w:t>
      </w:r>
      <w:r>
        <w:rPr>
          <w:color w:val="151515"/>
          <w:w w:val="110"/>
        </w:rPr>
        <w:t>m</w:t>
      </w:r>
      <w:r>
        <w:rPr>
          <w:color w:val="151515"/>
          <w:spacing w:val="-32"/>
          <w:w w:val="110"/>
        </w:rPr>
        <w:t> </w:t>
      </w:r>
      <w:r>
        <w:rPr>
          <w:color w:val="151515"/>
          <w:w w:val="110"/>
        </w:rPr>
        <w:t>m</w:t>
      </w:r>
      <w:r>
        <w:rPr>
          <w:color w:val="2D2D2D"/>
          <w:w w:val="110"/>
        </w:rPr>
        <w:t>a</w:t>
      </w:r>
      <w:r>
        <w:rPr>
          <w:color w:val="151515"/>
          <w:w w:val="110"/>
        </w:rPr>
        <w:t>t</w:t>
      </w:r>
      <w:r>
        <w:rPr>
          <w:color w:val="2D2D2D"/>
          <w:w w:val="110"/>
        </w:rPr>
        <w:t>e</w:t>
      </w:r>
      <w:r>
        <w:rPr>
          <w:color w:val="151515"/>
          <w:w w:val="110"/>
        </w:rPr>
        <w:t>ri</w:t>
      </w:r>
      <w:r>
        <w:rPr>
          <w:color w:val="2D2D2D"/>
          <w:w w:val="110"/>
        </w:rPr>
        <w:t>a</w:t>
      </w:r>
      <w:r>
        <w:rPr>
          <w:color w:val="151515"/>
          <w:w w:val="110"/>
        </w:rPr>
        <w:t>l</w:t>
      </w:r>
      <w:r>
        <w:rPr>
          <w:color w:val="151515"/>
          <w:spacing w:val="-43"/>
          <w:w w:val="110"/>
        </w:rPr>
        <w:t> </w:t>
      </w:r>
      <w:r>
        <w:rPr>
          <w:color w:val="151515"/>
          <w:w w:val="110"/>
        </w:rPr>
        <w:t>m</w:t>
      </w:r>
      <w:r>
        <w:rPr>
          <w:color w:val="2D2D2D"/>
          <w:w w:val="110"/>
        </w:rPr>
        <w:t>iss</w:t>
      </w:r>
      <w:r>
        <w:rPr>
          <w:color w:val="151515"/>
          <w:w w:val="110"/>
        </w:rPr>
        <w:t>t</w:t>
      </w:r>
      <w:r>
        <w:rPr>
          <w:color w:val="2D2D2D"/>
          <w:w w:val="110"/>
        </w:rPr>
        <w:t>a</w:t>
      </w:r>
      <w:r>
        <w:rPr>
          <w:color w:val="151515"/>
          <w:w w:val="110"/>
        </w:rPr>
        <w:t>tem</w:t>
      </w:r>
      <w:r>
        <w:rPr>
          <w:color w:val="2D2D2D"/>
          <w:w w:val="110"/>
        </w:rPr>
        <w:t>e</w:t>
      </w:r>
      <w:r>
        <w:rPr>
          <w:color w:val="151515"/>
          <w:w w:val="110"/>
        </w:rPr>
        <w:t>nt</w:t>
      </w:r>
      <w:r>
        <w:rPr>
          <w:color w:val="4D4D4D"/>
          <w:w w:val="110"/>
        </w:rPr>
        <w:t>,</w:t>
      </w:r>
      <w:r>
        <w:rPr>
          <w:color w:val="4D4D4D"/>
          <w:spacing w:val="-44"/>
          <w:w w:val="110"/>
        </w:rPr>
        <w:t> </w:t>
      </w:r>
      <w:r>
        <w:rPr>
          <w:color w:val="2D2D2D"/>
          <w:spacing w:val="3"/>
          <w:w w:val="110"/>
        </w:rPr>
        <w:t>w</w:t>
      </w:r>
      <w:r>
        <w:rPr>
          <w:color w:val="151515"/>
          <w:spacing w:val="3"/>
          <w:w w:val="110"/>
        </w:rPr>
        <w:t>h</w:t>
      </w:r>
      <w:r>
        <w:rPr>
          <w:color w:val="2D2D2D"/>
          <w:spacing w:val="3"/>
          <w:w w:val="110"/>
        </w:rPr>
        <w:t>e</w:t>
      </w:r>
      <w:r>
        <w:rPr>
          <w:color w:val="151515"/>
          <w:spacing w:val="3"/>
          <w:w w:val="110"/>
        </w:rPr>
        <w:t>th</w:t>
      </w:r>
      <w:r>
        <w:rPr>
          <w:color w:val="2D2D2D"/>
          <w:spacing w:val="3"/>
          <w:w w:val="110"/>
        </w:rPr>
        <w:t>e</w:t>
      </w:r>
      <w:r>
        <w:rPr>
          <w:color w:val="151515"/>
          <w:spacing w:val="3"/>
          <w:w w:val="110"/>
        </w:rPr>
        <w:t>r</w:t>
      </w:r>
      <w:r>
        <w:rPr>
          <w:color w:val="151515"/>
          <w:spacing w:val="-32"/>
          <w:w w:val="110"/>
        </w:rPr>
        <w:t> </w:t>
      </w:r>
      <w:r>
        <w:rPr>
          <w:color w:val="151515"/>
          <w:w w:val="110"/>
        </w:rPr>
        <w:t>due</w:t>
      </w:r>
      <w:r>
        <w:rPr>
          <w:color w:val="151515"/>
          <w:spacing w:val="-28"/>
          <w:w w:val="110"/>
        </w:rPr>
        <w:t> </w:t>
      </w:r>
      <w:r>
        <w:rPr>
          <w:color w:val="151515"/>
          <w:w w:val="110"/>
        </w:rPr>
        <w:t>t</w:t>
      </w:r>
      <w:r>
        <w:rPr>
          <w:color w:val="2D2D2D"/>
          <w:w w:val="110"/>
        </w:rPr>
        <w:t>o</w:t>
      </w:r>
      <w:r>
        <w:rPr>
          <w:color w:val="2D2D2D"/>
          <w:spacing w:val="-34"/>
          <w:w w:val="110"/>
        </w:rPr>
        <w:t> </w:t>
      </w:r>
      <w:r>
        <w:rPr>
          <w:color w:val="151515"/>
          <w:w w:val="110"/>
        </w:rPr>
        <w:t>fr</w:t>
      </w:r>
      <w:r>
        <w:rPr>
          <w:color w:val="2D2D2D"/>
          <w:w w:val="110"/>
        </w:rPr>
        <w:t>a</w:t>
      </w:r>
      <w:r>
        <w:rPr>
          <w:color w:val="151515"/>
          <w:w w:val="110"/>
        </w:rPr>
        <w:t>ud</w:t>
      </w:r>
      <w:r>
        <w:rPr>
          <w:color w:val="151515"/>
          <w:spacing w:val="-33"/>
          <w:w w:val="110"/>
        </w:rPr>
        <w:t> </w:t>
      </w:r>
      <w:r>
        <w:rPr>
          <w:color w:val="2D2D2D"/>
          <w:w w:val="110"/>
        </w:rPr>
        <w:t>o</w:t>
      </w:r>
      <w:r>
        <w:rPr>
          <w:color w:val="151515"/>
          <w:w w:val="110"/>
        </w:rPr>
        <w:t>r</w:t>
      </w:r>
      <w:r>
        <w:rPr>
          <w:color w:val="151515"/>
          <w:spacing w:val="-32"/>
          <w:w w:val="110"/>
        </w:rPr>
        <w:t> </w:t>
      </w:r>
      <w:r>
        <w:rPr>
          <w:color w:val="2D2D2D"/>
          <w:w w:val="110"/>
        </w:rPr>
        <w:t>e</w:t>
      </w:r>
      <w:r>
        <w:rPr>
          <w:color w:val="151515"/>
          <w:w w:val="110"/>
        </w:rPr>
        <w:t>r</w:t>
      </w:r>
      <w:r>
        <w:rPr>
          <w:color w:val="2D2D2D"/>
          <w:w w:val="110"/>
        </w:rPr>
        <w:t>ro</w:t>
      </w:r>
      <w:r>
        <w:rPr>
          <w:color w:val="151515"/>
          <w:w w:val="110"/>
        </w:rPr>
        <w:t>r</w:t>
      </w:r>
      <w:r>
        <w:rPr>
          <w:color w:val="2D2D2D"/>
          <w:w w:val="110"/>
        </w:rPr>
        <w:t>.</w:t>
      </w:r>
    </w:p>
    <w:p>
      <w:pPr>
        <w:pStyle w:val="BodyText"/>
        <w:spacing w:before="9"/>
        <w:rPr>
          <w:sz w:val="14"/>
        </w:rPr>
      </w:pPr>
    </w:p>
    <w:p>
      <w:pPr>
        <w:spacing w:line="264" w:lineRule="auto" w:before="0"/>
        <w:ind w:left="147" w:right="1632" w:firstLine="7"/>
        <w:jc w:val="left"/>
        <w:rPr>
          <w:sz w:val="19"/>
        </w:rPr>
      </w:pPr>
      <w:r>
        <w:rPr>
          <w:color w:val="151515"/>
          <w:w w:val="105"/>
          <w:sz w:val="19"/>
        </w:rPr>
        <w:t>In pr</w:t>
      </w:r>
      <w:r>
        <w:rPr>
          <w:color w:val="2D2D2D"/>
          <w:w w:val="105"/>
          <w:sz w:val="19"/>
        </w:rPr>
        <w:t>ep</w:t>
      </w:r>
      <w:r>
        <w:rPr>
          <w:color w:val="151515"/>
          <w:w w:val="105"/>
          <w:sz w:val="19"/>
        </w:rPr>
        <w:t>aring </w:t>
      </w:r>
      <w:r>
        <w:rPr>
          <w:color w:val="151515"/>
          <w:spacing w:val="2"/>
          <w:w w:val="105"/>
          <w:sz w:val="19"/>
        </w:rPr>
        <w:t>th</w:t>
      </w:r>
      <w:r>
        <w:rPr>
          <w:color w:val="2D2D2D"/>
          <w:spacing w:val="2"/>
          <w:w w:val="105"/>
          <w:sz w:val="19"/>
        </w:rPr>
        <w:t>e </w:t>
      </w:r>
      <w:r>
        <w:rPr>
          <w:color w:val="151515"/>
          <w:w w:val="105"/>
          <w:sz w:val="19"/>
        </w:rPr>
        <w:t>fin</w:t>
      </w:r>
      <w:r>
        <w:rPr>
          <w:color w:val="2D2D2D"/>
          <w:w w:val="105"/>
          <w:sz w:val="19"/>
        </w:rPr>
        <w:t>a</w:t>
      </w:r>
      <w:r>
        <w:rPr>
          <w:color w:val="151515"/>
          <w:w w:val="105"/>
          <w:sz w:val="19"/>
        </w:rPr>
        <w:t>n</w:t>
      </w:r>
      <w:r>
        <w:rPr>
          <w:color w:val="2D2D2D"/>
          <w:w w:val="105"/>
          <w:sz w:val="19"/>
        </w:rPr>
        <w:t>c</w:t>
      </w:r>
      <w:r>
        <w:rPr>
          <w:color w:val="151515"/>
          <w:w w:val="105"/>
          <w:sz w:val="19"/>
        </w:rPr>
        <w:t>i</w:t>
      </w:r>
      <w:r>
        <w:rPr>
          <w:color w:val="2D2D2D"/>
          <w:w w:val="105"/>
          <w:sz w:val="19"/>
        </w:rPr>
        <w:t>a</w:t>
      </w:r>
      <w:r>
        <w:rPr>
          <w:color w:val="151515"/>
          <w:w w:val="105"/>
          <w:sz w:val="19"/>
        </w:rPr>
        <w:t>l </w:t>
      </w:r>
      <w:r>
        <w:rPr>
          <w:color w:val="2D2D2D"/>
          <w:w w:val="105"/>
          <w:sz w:val="19"/>
        </w:rPr>
        <w:t>s</w:t>
      </w:r>
      <w:r>
        <w:rPr>
          <w:color w:val="151515"/>
          <w:w w:val="105"/>
          <w:sz w:val="19"/>
        </w:rPr>
        <w:t>t</w:t>
      </w:r>
      <w:r>
        <w:rPr>
          <w:color w:val="2D2D2D"/>
          <w:w w:val="105"/>
          <w:sz w:val="19"/>
        </w:rPr>
        <w:t>a</w:t>
      </w:r>
      <w:r>
        <w:rPr>
          <w:color w:val="151515"/>
          <w:w w:val="105"/>
          <w:sz w:val="19"/>
        </w:rPr>
        <w:t>t</w:t>
      </w:r>
      <w:r>
        <w:rPr>
          <w:color w:val="2D2D2D"/>
          <w:w w:val="105"/>
          <w:sz w:val="19"/>
        </w:rPr>
        <w:t>eme</w:t>
      </w:r>
      <w:r>
        <w:rPr>
          <w:color w:val="151515"/>
          <w:w w:val="105"/>
          <w:sz w:val="19"/>
        </w:rPr>
        <w:t>nt</w:t>
      </w:r>
      <w:r>
        <w:rPr>
          <w:color w:val="2D2D2D"/>
          <w:w w:val="105"/>
          <w:sz w:val="19"/>
        </w:rPr>
        <w:t>s, </w:t>
      </w:r>
      <w:r>
        <w:rPr>
          <w:color w:val="151515"/>
          <w:w w:val="105"/>
          <w:sz w:val="19"/>
        </w:rPr>
        <w:t>th</w:t>
      </w:r>
      <w:r>
        <w:rPr>
          <w:color w:val="2D2D2D"/>
          <w:w w:val="105"/>
          <w:sz w:val="19"/>
        </w:rPr>
        <w:t>e </w:t>
      </w:r>
      <w:r>
        <w:rPr>
          <w:color w:val="151515"/>
          <w:w w:val="105"/>
          <w:sz w:val="19"/>
        </w:rPr>
        <w:t>Dire</w:t>
      </w:r>
      <w:r>
        <w:rPr>
          <w:color w:val="2D2D2D"/>
          <w:w w:val="105"/>
          <w:sz w:val="19"/>
        </w:rPr>
        <w:t>c</w:t>
      </w:r>
      <w:r>
        <w:rPr>
          <w:color w:val="151515"/>
          <w:w w:val="105"/>
          <w:sz w:val="19"/>
        </w:rPr>
        <w:t>t</w:t>
      </w:r>
      <w:r>
        <w:rPr>
          <w:color w:val="2D2D2D"/>
          <w:w w:val="105"/>
          <w:sz w:val="19"/>
        </w:rPr>
        <w:t>o</w:t>
      </w:r>
      <w:r>
        <w:rPr>
          <w:color w:val="151515"/>
          <w:w w:val="105"/>
          <w:sz w:val="19"/>
        </w:rPr>
        <w:t>r</w:t>
      </w:r>
      <w:r>
        <w:rPr>
          <w:color w:val="2D2D2D"/>
          <w:w w:val="105"/>
          <w:sz w:val="19"/>
        </w:rPr>
        <w:t>s are </w:t>
      </w:r>
      <w:r>
        <w:rPr>
          <w:color w:val="151515"/>
          <w:spacing w:val="-5"/>
          <w:w w:val="105"/>
          <w:sz w:val="19"/>
        </w:rPr>
        <w:t>r</w:t>
      </w:r>
      <w:r>
        <w:rPr>
          <w:color w:val="2D2D2D"/>
          <w:spacing w:val="-5"/>
          <w:w w:val="105"/>
          <w:sz w:val="19"/>
        </w:rPr>
        <w:t>espo</w:t>
      </w:r>
      <w:r>
        <w:rPr>
          <w:color w:val="151515"/>
          <w:spacing w:val="-5"/>
          <w:w w:val="105"/>
          <w:sz w:val="19"/>
        </w:rPr>
        <w:t>n</w:t>
      </w:r>
      <w:r>
        <w:rPr>
          <w:color w:val="2D2D2D"/>
          <w:spacing w:val="-5"/>
          <w:w w:val="105"/>
          <w:sz w:val="19"/>
        </w:rPr>
        <w:t>s</w:t>
      </w:r>
      <w:r>
        <w:rPr>
          <w:color w:val="151515"/>
          <w:spacing w:val="-5"/>
          <w:w w:val="105"/>
          <w:sz w:val="19"/>
        </w:rPr>
        <w:t>i</w:t>
      </w:r>
      <w:r>
        <w:rPr>
          <w:color w:val="2D2D2D"/>
          <w:spacing w:val="-5"/>
          <w:w w:val="105"/>
          <w:sz w:val="19"/>
        </w:rPr>
        <w:t>b</w:t>
      </w:r>
      <w:r>
        <w:rPr>
          <w:color w:val="151515"/>
          <w:spacing w:val="-5"/>
          <w:w w:val="105"/>
          <w:sz w:val="19"/>
        </w:rPr>
        <w:t>l</w:t>
      </w:r>
      <w:r>
        <w:rPr>
          <w:color w:val="2D2D2D"/>
          <w:spacing w:val="-5"/>
          <w:w w:val="105"/>
          <w:sz w:val="19"/>
        </w:rPr>
        <w:t>e </w:t>
      </w:r>
      <w:r>
        <w:rPr>
          <w:color w:val="151515"/>
          <w:spacing w:val="2"/>
          <w:w w:val="105"/>
          <w:sz w:val="19"/>
        </w:rPr>
        <w:t>fo</w:t>
      </w:r>
      <w:r>
        <w:rPr>
          <w:color w:val="2D2D2D"/>
          <w:spacing w:val="2"/>
          <w:w w:val="105"/>
          <w:sz w:val="19"/>
        </w:rPr>
        <w:t>r </w:t>
      </w:r>
      <w:r>
        <w:rPr>
          <w:color w:val="151515"/>
          <w:w w:val="105"/>
          <w:sz w:val="19"/>
        </w:rPr>
        <w:t>a</w:t>
      </w:r>
      <w:r>
        <w:rPr>
          <w:color w:val="2D2D2D"/>
          <w:w w:val="105"/>
          <w:sz w:val="19"/>
        </w:rPr>
        <w:t>ssess</w:t>
      </w:r>
      <w:r>
        <w:rPr>
          <w:color w:val="151515"/>
          <w:w w:val="105"/>
          <w:sz w:val="19"/>
        </w:rPr>
        <w:t>i</w:t>
      </w:r>
      <w:r>
        <w:rPr>
          <w:color w:val="2D2D2D"/>
          <w:w w:val="105"/>
          <w:sz w:val="19"/>
        </w:rPr>
        <w:t>ng </w:t>
      </w:r>
      <w:r>
        <w:rPr>
          <w:color w:val="151515"/>
          <w:w w:val="105"/>
          <w:sz w:val="19"/>
        </w:rPr>
        <w:t>th</w:t>
      </w:r>
      <w:r>
        <w:rPr>
          <w:color w:val="2D2D2D"/>
          <w:w w:val="105"/>
          <w:sz w:val="19"/>
        </w:rPr>
        <w:t>e Company's a</w:t>
      </w:r>
      <w:r>
        <w:rPr>
          <w:color w:val="151515"/>
          <w:w w:val="105"/>
          <w:sz w:val="19"/>
        </w:rPr>
        <w:t>bilit</w:t>
      </w:r>
      <w:r>
        <w:rPr>
          <w:color w:val="2D2D2D"/>
          <w:w w:val="105"/>
          <w:sz w:val="19"/>
        </w:rPr>
        <w:t>y </w:t>
      </w:r>
      <w:r>
        <w:rPr>
          <w:color w:val="151515"/>
          <w:spacing w:val="5"/>
          <w:w w:val="105"/>
          <w:sz w:val="19"/>
        </w:rPr>
        <w:t>t</w:t>
      </w:r>
      <w:r>
        <w:rPr>
          <w:color w:val="2D2D2D"/>
          <w:spacing w:val="5"/>
          <w:w w:val="105"/>
          <w:sz w:val="19"/>
        </w:rPr>
        <w:t>o </w:t>
      </w:r>
      <w:r>
        <w:rPr>
          <w:color w:val="2D2D2D"/>
          <w:w w:val="105"/>
          <w:sz w:val="19"/>
        </w:rPr>
        <w:t>co</w:t>
      </w:r>
      <w:r>
        <w:rPr>
          <w:color w:val="151515"/>
          <w:w w:val="105"/>
          <w:sz w:val="19"/>
        </w:rPr>
        <w:t>ntinu</w:t>
      </w:r>
      <w:r>
        <w:rPr>
          <w:color w:val="2D2D2D"/>
          <w:w w:val="105"/>
          <w:sz w:val="19"/>
        </w:rPr>
        <w:t>e as a go</w:t>
      </w:r>
      <w:r>
        <w:rPr>
          <w:color w:val="151515"/>
          <w:w w:val="105"/>
          <w:sz w:val="19"/>
        </w:rPr>
        <w:t>in</w:t>
      </w:r>
      <w:r>
        <w:rPr>
          <w:color w:val="2D2D2D"/>
          <w:w w:val="105"/>
          <w:sz w:val="19"/>
        </w:rPr>
        <w:t>g </w:t>
      </w:r>
      <w:r>
        <w:rPr>
          <w:color w:val="2D2D2D"/>
          <w:spacing w:val="2"/>
          <w:w w:val="105"/>
          <w:sz w:val="19"/>
        </w:rPr>
        <w:t>co</w:t>
      </w:r>
      <w:r>
        <w:rPr>
          <w:color w:val="151515"/>
          <w:spacing w:val="2"/>
          <w:w w:val="105"/>
          <w:sz w:val="19"/>
        </w:rPr>
        <w:t>n</w:t>
      </w:r>
      <w:r>
        <w:rPr>
          <w:color w:val="2D2D2D"/>
          <w:spacing w:val="2"/>
          <w:w w:val="105"/>
          <w:sz w:val="19"/>
        </w:rPr>
        <w:t>ce</w:t>
      </w:r>
      <w:r>
        <w:rPr>
          <w:color w:val="151515"/>
          <w:spacing w:val="2"/>
          <w:w w:val="105"/>
          <w:sz w:val="19"/>
        </w:rPr>
        <w:t>rn</w:t>
      </w:r>
      <w:r>
        <w:rPr>
          <w:color w:val="2D2D2D"/>
          <w:spacing w:val="2"/>
          <w:w w:val="105"/>
          <w:sz w:val="19"/>
        </w:rPr>
        <w:t>, </w:t>
      </w:r>
      <w:r>
        <w:rPr>
          <w:color w:val="151515"/>
          <w:spacing w:val="-5"/>
          <w:w w:val="105"/>
          <w:sz w:val="19"/>
        </w:rPr>
        <w:t>di</w:t>
      </w:r>
      <w:r>
        <w:rPr>
          <w:color w:val="2D2D2D"/>
          <w:spacing w:val="-5"/>
          <w:w w:val="105"/>
          <w:sz w:val="19"/>
        </w:rPr>
        <w:t>sc</w:t>
      </w:r>
      <w:r>
        <w:rPr>
          <w:color w:val="151515"/>
          <w:spacing w:val="-5"/>
          <w:w w:val="105"/>
          <w:sz w:val="19"/>
        </w:rPr>
        <w:t>l</w:t>
      </w:r>
      <w:r>
        <w:rPr>
          <w:color w:val="2D2D2D"/>
          <w:spacing w:val="-5"/>
          <w:w w:val="105"/>
          <w:sz w:val="19"/>
        </w:rPr>
        <w:t>os</w:t>
      </w:r>
      <w:r>
        <w:rPr>
          <w:color w:val="151515"/>
          <w:spacing w:val="-5"/>
          <w:w w:val="105"/>
          <w:sz w:val="19"/>
        </w:rPr>
        <w:t>ing </w:t>
      </w:r>
      <w:r>
        <w:rPr>
          <w:color w:val="2D2D2D"/>
          <w:w w:val="105"/>
          <w:sz w:val="19"/>
        </w:rPr>
        <w:t>as ap</w:t>
      </w:r>
      <w:r>
        <w:rPr>
          <w:color w:val="151515"/>
          <w:w w:val="105"/>
          <w:sz w:val="19"/>
        </w:rPr>
        <w:t>pli</w:t>
      </w:r>
      <w:r>
        <w:rPr>
          <w:color w:val="2D2D2D"/>
          <w:w w:val="105"/>
          <w:sz w:val="19"/>
        </w:rPr>
        <w:t>ca</w:t>
      </w:r>
      <w:r>
        <w:rPr>
          <w:color w:val="151515"/>
          <w:w w:val="105"/>
          <w:sz w:val="19"/>
        </w:rPr>
        <w:t>bl</w:t>
      </w:r>
      <w:r>
        <w:rPr>
          <w:color w:val="2D2D2D"/>
          <w:w w:val="105"/>
          <w:sz w:val="19"/>
        </w:rPr>
        <w:t>e, </w:t>
      </w:r>
      <w:r>
        <w:rPr>
          <w:color w:val="151515"/>
          <w:spacing w:val="-4"/>
          <w:w w:val="105"/>
          <w:sz w:val="19"/>
        </w:rPr>
        <w:t>m</w:t>
      </w:r>
      <w:r>
        <w:rPr>
          <w:color w:val="2D2D2D"/>
          <w:spacing w:val="-4"/>
          <w:w w:val="105"/>
          <w:sz w:val="19"/>
        </w:rPr>
        <w:t>a</w:t>
      </w:r>
      <w:r>
        <w:rPr>
          <w:color w:val="151515"/>
          <w:spacing w:val="-4"/>
          <w:w w:val="105"/>
          <w:sz w:val="19"/>
        </w:rPr>
        <w:t>tt</w:t>
      </w:r>
      <w:r>
        <w:rPr>
          <w:color w:val="2D2D2D"/>
          <w:spacing w:val="-4"/>
          <w:w w:val="105"/>
          <w:sz w:val="19"/>
        </w:rPr>
        <w:t>e</w:t>
      </w:r>
      <w:r>
        <w:rPr>
          <w:color w:val="151515"/>
          <w:spacing w:val="-4"/>
          <w:w w:val="105"/>
          <w:sz w:val="19"/>
        </w:rPr>
        <w:t>r</w:t>
      </w:r>
      <w:r>
        <w:rPr>
          <w:color w:val="2D2D2D"/>
          <w:spacing w:val="-4"/>
          <w:w w:val="105"/>
          <w:sz w:val="19"/>
        </w:rPr>
        <w:t>s </w:t>
      </w:r>
      <w:r>
        <w:rPr>
          <w:color w:val="151515"/>
          <w:w w:val="105"/>
          <w:sz w:val="19"/>
        </w:rPr>
        <w:t>r</w:t>
      </w:r>
      <w:r>
        <w:rPr>
          <w:color w:val="2D2D2D"/>
          <w:w w:val="105"/>
          <w:sz w:val="19"/>
        </w:rPr>
        <w:t>elated to </w:t>
      </w:r>
      <w:r>
        <w:rPr>
          <w:color w:val="2D2D2D"/>
          <w:spacing w:val="-5"/>
          <w:w w:val="105"/>
          <w:sz w:val="19"/>
        </w:rPr>
        <w:t>go</w:t>
      </w:r>
      <w:r>
        <w:rPr>
          <w:color w:val="151515"/>
          <w:spacing w:val="-5"/>
          <w:w w:val="105"/>
          <w:sz w:val="19"/>
        </w:rPr>
        <w:t>i</w:t>
      </w:r>
      <w:r>
        <w:rPr>
          <w:color w:val="2D2D2D"/>
          <w:spacing w:val="-5"/>
          <w:w w:val="105"/>
          <w:sz w:val="19"/>
        </w:rPr>
        <w:t>ng </w:t>
      </w:r>
      <w:r>
        <w:rPr>
          <w:color w:val="2D2D2D"/>
          <w:w w:val="105"/>
          <w:sz w:val="19"/>
        </w:rPr>
        <w:t>concern an</w:t>
      </w:r>
      <w:r>
        <w:rPr>
          <w:color w:val="151515"/>
          <w:w w:val="105"/>
          <w:sz w:val="19"/>
        </w:rPr>
        <w:t>d u</w:t>
      </w:r>
      <w:r>
        <w:rPr>
          <w:color w:val="2D2D2D"/>
          <w:w w:val="105"/>
          <w:sz w:val="19"/>
        </w:rPr>
        <w:t>s</w:t>
      </w:r>
      <w:r>
        <w:rPr>
          <w:color w:val="151515"/>
          <w:w w:val="105"/>
          <w:sz w:val="19"/>
        </w:rPr>
        <w:t>i</w:t>
      </w:r>
      <w:r>
        <w:rPr>
          <w:color w:val="2D2D2D"/>
          <w:w w:val="105"/>
          <w:sz w:val="19"/>
        </w:rPr>
        <w:t>ng</w:t>
      </w:r>
      <w:r>
        <w:rPr>
          <w:color w:val="2D2D2D"/>
          <w:spacing w:val="-11"/>
          <w:w w:val="105"/>
          <w:sz w:val="19"/>
        </w:rPr>
        <w:t> </w:t>
      </w:r>
      <w:r>
        <w:rPr>
          <w:color w:val="151515"/>
          <w:spacing w:val="2"/>
          <w:w w:val="105"/>
          <w:sz w:val="19"/>
        </w:rPr>
        <w:t>th</w:t>
      </w:r>
      <w:r>
        <w:rPr>
          <w:color w:val="2D2D2D"/>
          <w:spacing w:val="2"/>
          <w:w w:val="105"/>
          <w:sz w:val="19"/>
        </w:rPr>
        <w:t>e</w:t>
      </w:r>
      <w:r>
        <w:rPr>
          <w:color w:val="2D2D2D"/>
          <w:spacing w:val="-2"/>
          <w:w w:val="105"/>
          <w:sz w:val="19"/>
        </w:rPr>
        <w:t> </w:t>
      </w:r>
      <w:r>
        <w:rPr>
          <w:color w:val="2D2D2D"/>
          <w:w w:val="105"/>
          <w:sz w:val="19"/>
        </w:rPr>
        <w:t>go</w:t>
      </w:r>
      <w:r>
        <w:rPr>
          <w:color w:val="151515"/>
          <w:w w:val="105"/>
          <w:sz w:val="19"/>
        </w:rPr>
        <w:t>in</w:t>
      </w:r>
      <w:r>
        <w:rPr>
          <w:color w:val="2D2D2D"/>
          <w:w w:val="105"/>
          <w:sz w:val="19"/>
        </w:rPr>
        <w:t>g</w:t>
      </w:r>
      <w:r>
        <w:rPr>
          <w:color w:val="2D2D2D"/>
          <w:spacing w:val="-3"/>
          <w:w w:val="105"/>
          <w:sz w:val="19"/>
        </w:rPr>
        <w:t> </w:t>
      </w:r>
      <w:r>
        <w:rPr>
          <w:color w:val="2D2D2D"/>
          <w:w w:val="105"/>
          <w:sz w:val="19"/>
        </w:rPr>
        <w:t>co</w:t>
      </w:r>
      <w:r>
        <w:rPr>
          <w:color w:val="151515"/>
          <w:w w:val="105"/>
          <w:sz w:val="19"/>
        </w:rPr>
        <w:t>n</w:t>
      </w:r>
      <w:r>
        <w:rPr>
          <w:color w:val="2D2D2D"/>
          <w:w w:val="105"/>
          <w:sz w:val="19"/>
        </w:rPr>
        <w:t>ce</w:t>
      </w:r>
      <w:r>
        <w:rPr>
          <w:color w:val="151515"/>
          <w:w w:val="105"/>
          <w:sz w:val="19"/>
        </w:rPr>
        <w:t>rn</w:t>
      </w:r>
      <w:r>
        <w:rPr>
          <w:color w:val="151515"/>
          <w:spacing w:val="-3"/>
          <w:w w:val="105"/>
          <w:sz w:val="19"/>
        </w:rPr>
        <w:t> </w:t>
      </w:r>
      <w:r>
        <w:rPr>
          <w:color w:val="2D2D2D"/>
          <w:w w:val="105"/>
          <w:sz w:val="19"/>
        </w:rPr>
        <w:t>basis</w:t>
      </w:r>
      <w:r>
        <w:rPr>
          <w:color w:val="2D2D2D"/>
          <w:spacing w:val="-13"/>
          <w:w w:val="105"/>
          <w:sz w:val="19"/>
        </w:rPr>
        <w:t> </w:t>
      </w:r>
      <w:r>
        <w:rPr>
          <w:color w:val="2D2D2D"/>
          <w:w w:val="105"/>
          <w:sz w:val="19"/>
        </w:rPr>
        <w:t>o</w:t>
      </w:r>
      <w:r>
        <w:rPr>
          <w:color w:val="151515"/>
          <w:w w:val="105"/>
          <w:sz w:val="19"/>
        </w:rPr>
        <w:t>f</w:t>
      </w:r>
      <w:r>
        <w:rPr>
          <w:color w:val="151515"/>
          <w:spacing w:val="3"/>
          <w:w w:val="105"/>
          <w:sz w:val="19"/>
        </w:rPr>
        <w:t> </w:t>
      </w:r>
      <w:r>
        <w:rPr>
          <w:color w:val="2D2D2D"/>
          <w:w w:val="105"/>
          <w:sz w:val="19"/>
        </w:rPr>
        <w:t>acco</w:t>
      </w:r>
      <w:r>
        <w:rPr>
          <w:color w:val="151515"/>
          <w:w w:val="105"/>
          <w:sz w:val="19"/>
        </w:rPr>
        <w:t>untin</w:t>
      </w:r>
      <w:r>
        <w:rPr>
          <w:color w:val="2D2D2D"/>
          <w:w w:val="105"/>
          <w:sz w:val="19"/>
        </w:rPr>
        <w:t>g</w:t>
      </w:r>
      <w:r>
        <w:rPr>
          <w:color w:val="2D2D2D"/>
          <w:spacing w:val="-6"/>
          <w:w w:val="105"/>
          <w:sz w:val="19"/>
        </w:rPr>
        <w:t> </w:t>
      </w:r>
      <w:r>
        <w:rPr>
          <w:color w:val="2D2D2D"/>
          <w:w w:val="105"/>
          <w:sz w:val="19"/>
        </w:rPr>
        <w:t>excep</w:t>
      </w:r>
      <w:r>
        <w:rPr>
          <w:color w:val="151515"/>
          <w:w w:val="105"/>
          <w:sz w:val="19"/>
        </w:rPr>
        <w:t>t</w:t>
      </w:r>
      <w:r>
        <w:rPr>
          <w:color w:val="151515"/>
          <w:spacing w:val="-13"/>
          <w:w w:val="105"/>
          <w:sz w:val="19"/>
        </w:rPr>
        <w:t> </w:t>
      </w:r>
      <w:r>
        <w:rPr>
          <w:color w:val="2D2D2D"/>
          <w:spacing w:val="3"/>
          <w:w w:val="105"/>
          <w:sz w:val="19"/>
        </w:rPr>
        <w:t>w</w:t>
      </w:r>
      <w:r>
        <w:rPr>
          <w:color w:val="151515"/>
          <w:spacing w:val="3"/>
          <w:w w:val="105"/>
          <w:sz w:val="19"/>
        </w:rPr>
        <w:t>h</w:t>
      </w:r>
      <w:r>
        <w:rPr>
          <w:color w:val="2D2D2D"/>
          <w:spacing w:val="3"/>
          <w:w w:val="105"/>
          <w:sz w:val="19"/>
        </w:rPr>
        <w:t>e</w:t>
      </w:r>
      <w:r>
        <w:rPr>
          <w:color w:val="151515"/>
          <w:spacing w:val="3"/>
          <w:w w:val="105"/>
          <w:sz w:val="19"/>
        </w:rPr>
        <w:t>r</w:t>
      </w:r>
      <w:r>
        <w:rPr>
          <w:color w:val="2D2D2D"/>
          <w:spacing w:val="3"/>
          <w:w w:val="105"/>
          <w:sz w:val="19"/>
        </w:rPr>
        <w:t>e</w:t>
      </w:r>
      <w:r>
        <w:rPr>
          <w:color w:val="2D2D2D"/>
          <w:spacing w:val="-8"/>
          <w:w w:val="105"/>
          <w:sz w:val="19"/>
        </w:rPr>
        <w:t> </w:t>
      </w:r>
      <w:r>
        <w:rPr>
          <w:color w:val="151515"/>
          <w:spacing w:val="2"/>
          <w:w w:val="105"/>
          <w:sz w:val="19"/>
        </w:rPr>
        <w:t>th</w:t>
      </w:r>
      <w:r>
        <w:rPr>
          <w:color w:val="2D2D2D"/>
          <w:spacing w:val="2"/>
          <w:w w:val="105"/>
          <w:sz w:val="19"/>
        </w:rPr>
        <w:t>e</w:t>
      </w:r>
      <w:r>
        <w:rPr>
          <w:color w:val="2D2D2D"/>
          <w:w w:val="105"/>
          <w:sz w:val="19"/>
        </w:rPr>
        <w:t> </w:t>
      </w:r>
      <w:r>
        <w:rPr>
          <w:color w:val="2D2D2D"/>
          <w:spacing w:val="-3"/>
          <w:w w:val="105"/>
          <w:sz w:val="19"/>
        </w:rPr>
        <w:t>Co</w:t>
      </w:r>
      <w:r>
        <w:rPr>
          <w:color w:val="151515"/>
          <w:spacing w:val="-3"/>
          <w:w w:val="105"/>
          <w:sz w:val="19"/>
        </w:rPr>
        <w:t>mp</w:t>
      </w:r>
      <w:r>
        <w:rPr>
          <w:color w:val="2D2D2D"/>
          <w:spacing w:val="-3"/>
          <w:w w:val="105"/>
          <w:sz w:val="19"/>
        </w:rPr>
        <w:t>a</w:t>
      </w:r>
      <w:r>
        <w:rPr>
          <w:color w:val="151515"/>
          <w:spacing w:val="-3"/>
          <w:w w:val="105"/>
          <w:sz w:val="19"/>
        </w:rPr>
        <w:t>n</w:t>
      </w:r>
      <w:r>
        <w:rPr>
          <w:color w:val="2D2D2D"/>
          <w:spacing w:val="-3"/>
          <w:w w:val="105"/>
          <w:sz w:val="19"/>
        </w:rPr>
        <w:t>y</w:t>
      </w:r>
      <w:r>
        <w:rPr>
          <w:color w:val="2D2D2D"/>
          <w:spacing w:val="2"/>
          <w:w w:val="105"/>
          <w:sz w:val="19"/>
        </w:rPr>
        <w:t> </w:t>
      </w:r>
      <w:r>
        <w:rPr>
          <w:color w:val="2D2D2D"/>
          <w:spacing w:val="5"/>
          <w:w w:val="105"/>
          <w:sz w:val="19"/>
        </w:rPr>
        <w:t>w</w:t>
      </w:r>
      <w:r>
        <w:rPr>
          <w:color w:val="151515"/>
          <w:spacing w:val="5"/>
          <w:w w:val="105"/>
          <w:sz w:val="19"/>
        </w:rPr>
        <w:t>i</w:t>
      </w:r>
      <w:r>
        <w:rPr>
          <w:color w:val="2D2D2D"/>
          <w:spacing w:val="5"/>
          <w:w w:val="105"/>
          <w:sz w:val="19"/>
        </w:rPr>
        <w:t>ll</w:t>
      </w:r>
      <w:r>
        <w:rPr>
          <w:color w:val="2D2D2D"/>
          <w:spacing w:val="-9"/>
          <w:w w:val="105"/>
          <w:sz w:val="19"/>
        </w:rPr>
        <w:t> </w:t>
      </w:r>
      <w:r>
        <w:rPr>
          <w:color w:val="2D2D2D"/>
          <w:w w:val="105"/>
          <w:sz w:val="19"/>
        </w:rPr>
        <w:t>be</w:t>
      </w:r>
      <w:r>
        <w:rPr>
          <w:color w:val="2D2D2D"/>
          <w:spacing w:val="-19"/>
          <w:w w:val="105"/>
          <w:sz w:val="19"/>
        </w:rPr>
        <w:t> </w:t>
      </w:r>
      <w:r>
        <w:rPr>
          <w:color w:val="151515"/>
          <w:w w:val="105"/>
          <w:sz w:val="19"/>
        </w:rPr>
        <w:t>di</w:t>
      </w:r>
      <w:r>
        <w:rPr>
          <w:color w:val="2D2D2D"/>
          <w:w w:val="105"/>
          <w:sz w:val="19"/>
        </w:rPr>
        <w:t>sso</w:t>
      </w:r>
      <w:r>
        <w:rPr>
          <w:color w:val="151515"/>
          <w:w w:val="105"/>
          <w:sz w:val="19"/>
        </w:rPr>
        <w:t>l</w:t>
      </w:r>
      <w:r>
        <w:rPr>
          <w:color w:val="2D2D2D"/>
          <w:w w:val="105"/>
          <w:sz w:val="19"/>
        </w:rPr>
        <w:t>ve</w:t>
      </w:r>
      <w:r>
        <w:rPr>
          <w:color w:val="151515"/>
          <w:w w:val="105"/>
          <w:sz w:val="19"/>
        </w:rPr>
        <w:t>d</w:t>
      </w:r>
      <w:r>
        <w:rPr>
          <w:color w:val="151515"/>
          <w:spacing w:val="-9"/>
          <w:w w:val="105"/>
          <w:sz w:val="19"/>
        </w:rPr>
        <w:t> </w:t>
      </w:r>
      <w:r>
        <w:rPr>
          <w:color w:val="2D2D2D"/>
          <w:w w:val="105"/>
          <w:sz w:val="19"/>
        </w:rPr>
        <w:t>by</w:t>
      </w:r>
      <w:r>
        <w:rPr>
          <w:color w:val="2D2D2D"/>
          <w:spacing w:val="-5"/>
          <w:w w:val="105"/>
          <w:sz w:val="19"/>
        </w:rPr>
        <w:t> </w:t>
      </w:r>
      <w:r>
        <w:rPr>
          <w:color w:val="2D2D2D"/>
          <w:spacing w:val="4"/>
          <w:w w:val="105"/>
          <w:sz w:val="19"/>
        </w:rPr>
        <w:t>a</w:t>
      </w:r>
      <w:r>
        <w:rPr>
          <w:color w:val="151515"/>
          <w:spacing w:val="4"/>
          <w:w w:val="105"/>
          <w:sz w:val="19"/>
        </w:rPr>
        <w:t>n</w:t>
      </w:r>
      <w:r>
        <w:rPr>
          <w:color w:val="151515"/>
          <w:spacing w:val="-13"/>
          <w:w w:val="105"/>
          <w:sz w:val="19"/>
        </w:rPr>
        <w:t> </w:t>
      </w:r>
      <w:r>
        <w:rPr>
          <w:color w:val="2D2D2D"/>
          <w:spacing w:val="3"/>
          <w:w w:val="105"/>
          <w:sz w:val="19"/>
        </w:rPr>
        <w:t>Ac</w:t>
      </w:r>
      <w:r>
        <w:rPr>
          <w:color w:val="151515"/>
          <w:spacing w:val="3"/>
          <w:w w:val="105"/>
          <w:sz w:val="19"/>
        </w:rPr>
        <w:t>t</w:t>
      </w:r>
      <w:r>
        <w:rPr>
          <w:color w:val="151515"/>
          <w:spacing w:val="2"/>
          <w:w w:val="105"/>
          <w:sz w:val="19"/>
        </w:rPr>
        <w:t> </w:t>
      </w:r>
      <w:r>
        <w:rPr>
          <w:color w:val="2D2D2D"/>
          <w:w w:val="105"/>
          <w:sz w:val="19"/>
        </w:rPr>
        <w:t>of </w:t>
      </w:r>
      <w:r>
        <w:rPr>
          <w:color w:val="151515"/>
          <w:w w:val="105"/>
          <w:sz w:val="19"/>
        </w:rPr>
        <w:t>Pa</w:t>
      </w:r>
      <w:r>
        <w:rPr>
          <w:color w:val="2D2D2D"/>
          <w:w w:val="105"/>
          <w:sz w:val="19"/>
        </w:rPr>
        <w:t>r</w:t>
      </w:r>
      <w:r>
        <w:rPr>
          <w:color w:val="151515"/>
          <w:w w:val="105"/>
          <w:sz w:val="19"/>
        </w:rPr>
        <w:t>li</w:t>
      </w:r>
      <w:r>
        <w:rPr>
          <w:color w:val="2D2D2D"/>
          <w:w w:val="105"/>
          <w:sz w:val="19"/>
        </w:rPr>
        <w:t>a</w:t>
      </w:r>
      <w:r>
        <w:rPr>
          <w:color w:val="151515"/>
          <w:w w:val="105"/>
          <w:sz w:val="19"/>
        </w:rPr>
        <w:t>m</w:t>
      </w:r>
      <w:r>
        <w:rPr>
          <w:color w:val="2D2D2D"/>
          <w:w w:val="105"/>
          <w:sz w:val="19"/>
        </w:rPr>
        <w:t>e</w:t>
      </w:r>
      <w:r>
        <w:rPr>
          <w:color w:val="151515"/>
          <w:w w:val="105"/>
          <w:sz w:val="19"/>
        </w:rPr>
        <w:t>nt </w:t>
      </w:r>
      <w:r>
        <w:rPr>
          <w:color w:val="2D2D2D"/>
          <w:w w:val="105"/>
          <w:sz w:val="19"/>
        </w:rPr>
        <w:t>o</w:t>
      </w:r>
      <w:r>
        <w:rPr>
          <w:color w:val="151515"/>
          <w:w w:val="105"/>
          <w:sz w:val="19"/>
        </w:rPr>
        <w:t>r oth</w:t>
      </w:r>
      <w:r>
        <w:rPr>
          <w:color w:val="2D2D2D"/>
          <w:w w:val="105"/>
          <w:sz w:val="19"/>
        </w:rPr>
        <w:t>e</w:t>
      </w:r>
      <w:r>
        <w:rPr>
          <w:color w:val="151515"/>
          <w:w w:val="105"/>
          <w:sz w:val="19"/>
        </w:rPr>
        <w:t>rwi</w:t>
      </w:r>
      <w:r>
        <w:rPr>
          <w:color w:val="2D2D2D"/>
          <w:w w:val="105"/>
          <w:sz w:val="19"/>
        </w:rPr>
        <w:t>se cease</w:t>
      </w:r>
      <w:r>
        <w:rPr>
          <w:color w:val="2D2D2D"/>
          <w:spacing w:val="-19"/>
          <w:w w:val="105"/>
          <w:sz w:val="19"/>
        </w:rPr>
        <w:t> </w:t>
      </w:r>
      <w:r>
        <w:rPr>
          <w:color w:val="2D2D2D"/>
          <w:w w:val="105"/>
          <w:sz w:val="19"/>
        </w:rPr>
        <w:t>o</w:t>
      </w:r>
      <w:r>
        <w:rPr>
          <w:color w:val="151515"/>
          <w:w w:val="105"/>
          <w:sz w:val="19"/>
        </w:rPr>
        <w:t>pe</w:t>
      </w:r>
      <w:r>
        <w:rPr>
          <w:color w:val="2D2D2D"/>
          <w:w w:val="105"/>
          <w:sz w:val="19"/>
        </w:rPr>
        <w:t>ra</w:t>
      </w:r>
      <w:r>
        <w:rPr>
          <w:color w:val="151515"/>
          <w:w w:val="105"/>
          <w:sz w:val="19"/>
        </w:rPr>
        <w:t>ti</w:t>
      </w:r>
      <w:r>
        <w:rPr>
          <w:color w:val="2D2D2D"/>
          <w:w w:val="105"/>
          <w:sz w:val="19"/>
        </w:rPr>
        <w:t>o</w:t>
      </w:r>
      <w:r>
        <w:rPr>
          <w:color w:val="151515"/>
          <w:w w:val="105"/>
          <w:sz w:val="19"/>
        </w:rPr>
        <w:t>n</w:t>
      </w:r>
      <w:r>
        <w:rPr>
          <w:color w:val="2D2D2D"/>
          <w:w w:val="105"/>
          <w:sz w:val="19"/>
        </w:rPr>
        <w:t>s</w:t>
      </w:r>
      <w:r>
        <w:rPr>
          <w:color w:val="4D4D4D"/>
          <w:w w:val="105"/>
          <w:sz w:val="19"/>
        </w:rPr>
        <w:t>.</w:t>
      </w:r>
    </w:p>
    <w:p>
      <w:pPr>
        <w:pStyle w:val="BodyText"/>
        <w:spacing w:before="8"/>
        <w:rPr>
          <w:sz w:val="14"/>
        </w:rPr>
      </w:pPr>
    </w:p>
    <w:p>
      <w:pPr>
        <w:spacing w:before="0"/>
        <w:ind w:left="132" w:right="1531" w:firstLine="0"/>
        <w:jc w:val="left"/>
        <w:rPr>
          <w:b/>
          <w:sz w:val="23"/>
        </w:rPr>
      </w:pPr>
      <w:r>
        <w:rPr>
          <w:b/>
          <w:color w:val="151515"/>
          <w:sz w:val="23"/>
        </w:rPr>
        <w:t>Auditor's  Responsibilities  for the Audit of the Financial   Statements</w:t>
      </w:r>
    </w:p>
    <w:p>
      <w:pPr>
        <w:spacing w:before="133"/>
        <w:ind w:left="147" w:right="1531" w:firstLine="0"/>
        <w:jc w:val="left"/>
        <w:rPr>
          <w:sz w:val="19"/>
        </w:rPr>
      </w:pPr>
      <w:r>
        <w:rPr>
          <w:color w:val="151515"/>
          <w:w w:val="105"/>
          <w:sz w:val="19"/>
        </w:rPr>
        <w:t>M</w:t>
      </w:r>
      <w:r>
        <w:rPr>
          <w:color w:val="2D2D2D"/>
          <w:w w:val="105"/>
          <w:sz w:val="19"/>
        </w:rPr>
        <w:t>y o</w:t>
      </w:r>
      <w:r>
        <w:rPr>
          <w:color w:val="151515"/>
          <w:w w:val="105"/>
          <w:sz w:val="19"/>
        </w:rPr>
        <w:t>bj</w:t>
      </w:r>
      <w:r>
        <w:rPr>
          <w:color w:val="2D2D2D"/>
          <w:w w:val="105"/>
          <w:sz w:val="19"/>
        </w:rPr>
        <w:t>ec</w:t>
      </w:r>
      <w:r>
        <w:rPr>
          <w:color w:val="151515"/>
          <w:w w:val="105"/>
          <w:sz w:val="19"/>
        </w:rPr>
        <w:t>ti</w:t>
      </w:r>
      <w:r>
        <w:rPr>
          <w:color w:val="2D2D2D"/>
          <w:w w:val="105"/>
          <w:sz w:val="19"/>
        </w:rPr>
        <w:t>ves a</w:t>
      </w:r>
      <w:r>
        <w:rPr>
          <w:color w:val="151515"/>
          <w:w w:val="105"/>
          <w:sz w:val="19"/>
        </w:rPr>
        <w:t>re t</w:t>
      </w:r>
      <w:r>
        <w:rPr>
          <w:color w:val="2D2D2D"/>
          <w:w w:val="105"/>
          <w:sz w:val="19"/>
        </w:rPr>
        <w:t>o:</w:t>
      </w:r>
    </w:p>
    <w:p>
      <w:pPr>
        <w:pStyle w:val="BodyText"/>
        <w:spacing w:before="7"/>
        <w:rPr>
          <w:sz w:val="16"/>
        </w:rPr>
      </w:pPr>
    </w:p>
    <w:p>
      <w:pPr>
        <w:spacing w:line="261" w:lineRule="auto" w:before="1"/>
        <w:ind w:left="506" w:right="1531" w:hanging="8"/>
        <w:jc w:val="left"/>
        <w:rPr>
          <w:sz w:val="19"/>
        </w:rPr>
      </w:pPr>
      <w:r>
        <w:rPr>
          <w:color w:val="2D2D2D"/>
          <w:w w:val="105"/>
          <w:sz w:val="19"/>
        </w:rPr>
        <w:t>ob</w:t>
      </w:r>
      <w:r>
        <w:rPr>
          <w:color w:val="151515"/>
          <w:w w:val="105"/>
          <w:sz w:val="19"/>
        </w:rPr>
        <w:t>t</w:t>
      </w:r>
      <w:r>
        <w:rPr>
          <w:color w:val="2D2D2D"/>
          <w:w w:val="105"/>
          <w:sz w:val="19"/>
        </w:rPr>
        <w:t>a</w:t>
      </w:r>
      <w:r>
        <w:rPr>
          <w:color w:val="151515"/>
          <w:w w:val="105"/>
          <w:sz w:val="19"/>
        </w:rPr>
        <w:t>in r</w:t>
      </w:r>
      <w:r>
        <w:rPr>
          <w:color w:val="2D2D2D"/>
          <w:w w:val="105"/>
          <w:sz w:val="19"/>
        </w:rPr>
        <w:t>easo</w:t>
      </w:r>
      <w:r>
        <w:rPr>
          <w:color w:val="151515"/>
          <w:w w:val="105"/>
          <w:sz w:val="19"/>
        </w:rPr>
        <w:t>n</w:t>
      </w:r>
      <w:r>
        <w:rPr>
          <w:color w:val="2D2D2D"/>
          <w:w w:val="105"/>
          <w:sz w:val="19"/>
        </w:rPr>
        <w:t>a</w:t>
      </w:r>
      <w:r>
        <w:rPr>
          <w:color w:val="151515"/>
          <w:w w:val="105"/>
          <w:sz w:val="19"/>
        </w:rPr>
        <w:t>ble </w:t>
      </w:r>
      <w:r>
        <w:rPr>
          <w:color w:val="2D2D2D"/>
          <w:w w:val="105"/>
          <w:sz w:val="19"/>
        </w:rPr>
        <w:t>ass</w:t>
      </w:r>
      <w:r>
        <w:rPr>
          <w:color w:val="151515"/>
          <w:w w:val="105"/>
          <w:sz w:val="19"/>
        </w:rPr>
        <w:t>ur</w:t>
      </w:r>
      <w:r>
        <w:rPr>
          <w:color w:val="2D2D2D"/>
          <w:w w:val="105"/>
          <w:sz w:val="19"/>
        </w:rPr>
        <w:t>a</w:t>
      </w:r>
      <w:r>
        <w:rPr>
          <w:color w:val="151515"/>
          <w:w w:val="105"/>
          <w:sz w:val="19"/>
        </w:rPr>
        <w:t>n</w:t>
      </w:r>
      <w:r>
        <w:rPr>
          <w:color w:val="2D2D2D"/>
          <w:w w:val="105"/>
          <w:sz w:val="19"/>
        </w:rPr>
        <w:t>ce abo</w:t>
      </w:r>
      <w:r>
        <w:rPr>
          <w:color w:val="151515"/>
          <w:w w:val="105"/>
          <w:sz w:val="19"/>
        </w:rPr>
        <w:t>ut </w:t>
      </w:r>
      <w:r>
        <w:rPr>
          <w:color w:val="2D2D2D"/>
          <w:w w:val="105"/>
          <w:sz w:val="19"/>
        </w:rPr>
        <w:t>w</w:t>
      </w:r>
      <w:r>
        <w:rPr>
          <w:color w:val="151515"/>
          <w:w w:val="105"/>
          <w:sz w:val="19"/>
        </w:rPr>
        <w:t>h</w:t>
      </w:r>
      <w:r>
        <w:rPr>
          <w:color w:val="2D2D2D"/>
          <w:w w:val="105"/>
          <w:sz w:val="19"/>
        </w:rPr>
        <w:t>e</w:t>
      </w:r>
      <w:r>
        <w:rPr>
          <w:color w:val="151515"/>
          <w:w w:val="105"/>
          <w:sz w:val="19"/>
        </w:rPr>
        <w:t>t</w:t>
      </w:r>
      <w:r>
        <w:rPr>
          <w:color w:val="2D2D2D"/>
          <w:w w:val="105"/>
          <w:sz w:val="19"/>
        </w:rPr>
        <w:t>he</w:t>
      </w:r>
      <w:r>
        <w:rPr>
          <w:color w:val="151515"/>
          <w:w w:val="105"/>
          <w:sz w:val="19"/>
        </w:rPr>
        <w:t>r th</w:t>
      </w:r>
      <w:r>
        <w:rPr>
          <w:color w:val="2D2D2D"/>
          <w:w w:val="105"/>
          <w:sz w:val="19"/>
        </w:rPr>
        <w:t>e fina</w:t>
      </w:r>
      <w:r>
        <w:rPr>
          <w:color w:val="151515"/>
          <w:w w:val="105"/>
          <w:sz w:val="19"/>
        </w:rPr>
        <w:t>n</w:t>
      </w:r>
      <w:r>
        <w:rPr>
          <w:color w:val="2D2D2D"/>
          <w:w w:val="105"/>
          <w:sz w:val="19"/>
        </w:rPr>
        <w:t>cia</w:t>
      </w:r>
      <w:r>
        <w:rPr>
          <w:color w:val="151515"/>
          <w:w w:val="105"/>
          <w:sz w:val="19"/>
        </w:rPr>
        <w:t>l </w:t>
      </w:r>
      <w:r>
        <w:rPr>
          <w:color w:val="2D2D2D"/>
          <w:w w:val="105"/>
          <w:sz w:val="19"/>
        </w:rPr>
        <w:t>s</w:t>
      </w:r>
      <w:r>
        <w:rPr>
          <w:color w:val="151515"/>
          <w:w w:val="105"/>
          <w:sz w:val="19"/>
        </w:rPr>
        <w:t>t</w:t>
      </w:r>
      <w:r>
        <w:rPr>
          <w:color w:val="2D2D2D"/>
          <w:w w:val="105"/>
          <w:sz w:val="19"/>
        </w:rPr>
        <w:t>a</w:t>
      </w:r>
      <w:r>
        <w:rPr>
          <w:color w:val="151515"/>
          <w:w w:val="105"/>
          <w:sz w:val="19"/>
        </w:rPr>
        <w:t>t</w:t>
      </w:r>
      <w:r>
        <w:rPr>
          <w:color w:val="2D2D2D"/>
          <w:w w:val="105"/>
          <w:sz w:val="19"/>
        </w:rPr>
        <w:t>e</w:t>
      </w:r>
      <w:r>
        <w:rPr>
          <w:color w:val="151515"/>
          <w:w w:val="105"/>
          <w:sz w:val="19"/>
        </w:rPr>
        <w:t>m</w:t>
      </w:r>
      <w:r>
        <w:rPr>
          <w:color w:val="2D2D2D"/>
          <w:w w:val="105"/>
          <w:sz w:val="19"/>
        </w:rPr>
        <w:t>e</w:t>
      </w:r>
      <w:r>
        <w:rPr>
          <w:color w:val="151515"/>
          <w:w w:val="105"/>
          <w:sz w:val="19"/>
        </w:rPr>
        <w:t>nt</w:t>
      </w:r>
      <w:r>
        <w:rPr>
          <w:color w:val="2D2D2D"/>
          <w:w w:val="105"/>
          <w:sz w:val="19"/>
        </w:rPr>
        <w:t>s as a who</w:t>
      </w:r>
      <w:r>
        <w:rPr>
          <w:color w:val="151515"/>
          <w:w w:val="105"/>
          <w:sz w:val="19"/>
        </w:rPr>
        <w:t>l</w:t>
      </w:r>
      <w:r>
        <w:rPr>
          <w:color w:val="2D2D2D"/>
          <w:w w:val="105"/>
          <w:sz w:val="19"/>
        </w:rPr>
        <w:t>e a</w:t>
      </w:r>
      <w:r>
        <w:rPr>
          <w:color w:val="151515"/>
          <w:w w:val="105"/>
          <w:sz w:val="19"/>
        </w:rPr>
        <w:t>r</w:t>
      </w:r>
      <w:r>
        <w:rPr>
          <w:color w:val="2D2D2D"/>
          <w:w w:val="105"/>
          <w:sz w:val="19"/>
        </w:rPr>
        <w:t>e </w:t>
      </w:r>
      <w:r>
        <w:rPr>
          <w:color w:val="151515"/>
          <w:w w:val="105"/>
          <w:sz w:val="19"/>
        </w:rPr>
        <w:t>fr</w:t>
      </w:r>
      <w:r>
        <w:rPr>
          <w:color w:val="2D2D2D"/>
          <w:w w:val="105"/>
          <w:sz w:val="19"/>
        </w:rPr>
        <w:t>ee from </w:t>
      </w:r>
      <w:r>
        <w:rPr>
          <w:color w:val="151515"/>
          <w:w w:val="105"/>
          <w:sz w:val="19"/>
        </w:rPr>
        <w:t>m</w:t>
      </w:r>
      <w:r>
        <w:rPr>
          <w:color w:val="2D2D2D"/>
          <w:w w:val="105"/>
          <w:sz w:val="19"/>
        </w:rPr>
        <w:t>a</w:t>
      </w:r>
      <w:r>
        <w:rPr>
          <w:color w:val="151515"/>
          <w:w w:val="105"/>
          <w:sz w:val="19"/>
        </w:rPr>
        <w:t>t</w:t>
      </w:r>
      <w:r>
        <w:rPr>
          <w:color w:val="2D2D2D"/>
          <w:w w:val="105"/>
          <w:sz w:val="19"/>
        </w:rPr>
        <w:t>e</w:t>
      </w:r>
      <w:r>
        <w:rPr>
          <w:color w:val="151515"/>
          <w:w w:val="105"/>
          <w:sz w:val="19"/>
        </w:rPr>
        <w:t>ri</w:t>
      </w:r>
      <w:r>
        <w:rPr>
          <w:color w:val="2D2D2D"/>
          <w:w w:val="105"/>
          <w:sz w:val="19"/>
        </w:rPr>
        <w:t>a</w:t>
      </w:r>
      <w:r>
        <w:rPr>
          <w:color w:val="151515"/>
          <w:w w:val="105"/>
          <w:sz w:val="19"/>
        </w:rPr>
        <w:t>l mi</w:t>
      </w:r>
      <w:r>
        <w:rPr>
          <w:color w:val="2D2D2D"/>
          <w:w w:val="105"/>
          <w:sz w:val="19"/>
        </w:rPr>
        <w:t>ss</w:t>
      </w:r>
      <w:r>
        <w:rPr>
          <w:color w:val="151515"/>
          <w:w w:val="105"/>
          <w:sz w:val="19"/>
        </w:rPr>
        <w:t>t</w:t>
      </w:r>
      <w:r>
        <w:rPr>
          <w:color w:val="2D2D2D"/>
          <w:w w:val="105"/>
          <w:sz w:val="19"/>
        </w:rPr>
        <w:t>a</w:t>
      </w:r>
      <w:r>
        <w:rPr>
          <w:color w:val="151515"/>
          <w:w w:val="105"/>
          <w:sz w:val="19"/>
        </w:rPr>
        <w:t>t</w:t>
      </w:r>
      <w:r>
        <w:rPr>
          <w:color w:val="2D2D2D"/>
          <w:w w:val="105"/>
          <w:sz w:val="19"/>
        </w:rPr>
        <w:t>e</w:t>
      </w:r>
      <w:r>
        <w:rPr>
          <w:color w:val="151515"/>
          <w:w w:val="105"/>
          <w:sz w:val="19"/>
        </w:rPr>
        <w:t>m</w:t>
      </w:r>
      <w:r>
        <w:rPr>
          <w:color w:val="2D2D2D"/>
          <w:w w:val="105"/>
          <w:sz w:val="19"/>
        </w:rPr>
        <w:t>e</w:t>
      </w:r>
      <w:r>
        <w:rPr>
          <w:color w:val="151515"/>
          <w:w w:val="105"/>
          <w:sz w:val="19"/>
        </w:rPr>
        <w:t>nt</w:t>
      </w:r>
      <w:r>
        <w:rPr>
          <w:color w:val="4D4D4D"/>
          <w:w w:val="105"/>
          <w:sz w:val="19"/>
        </w:rPr>
        <w:t>, </w:t>
      </w:r>
      <w:r>
        <w:rPr>
          <w:color w:val="2D2D2D"/>
          <w:w w:val="105"/>
          <w:sz w:val="19"/>
        </w:rPr>
        <w:t>w</w:t>
      </w:r>
      <w:r>
        <w:rPr>
          <w:color w:val="151515"/>
          <w:w w:val="105"/>
          <w:sz w:val="19"/>
        </w:rPr>
        <w:t>h</w:t>
      </w:r>
      <w:r>
        <w:rPr>
          <w:color w:val="2D2D2D"/>
          <w:w w:val="105"/>
          <w:sz w:val="19"/>
        </w:rPr>
        <w:t>e</w:t>
      </w:r>
      <w:r>
        <w:rPr>
          <w:color w:val="151515"/>
          <w:w w:val="105"/>
          <w:sz w:val="19"/>
        </w:rPr>
        <w:t>th</w:t>
      </w:r>
      <w:r>
        <w:rPr>
          <w:color w:val="2D2D2D"/>
          <w:w w:val="105"/>
          <w:sz w:val="19"/>
        </w:rPr>
        <w:t>e</w:t>
      </w:r>
      <w:r>
        <w:rPr>
          <w:color w:val="151515"/>
          <w:w w:val="105"/>
          <w:sz w:val="19"/>
        </w:rPr>
        <w:t>r du</w:t>
      </w:r>
      <w:r>
        <w:rPr>
          <w:color w:val="2D2D2D"/>
          <w:w w:val="105"/>
          <w:sz w:val="19"/>
        </w:rPr>
        <w:t>e </w:t>
      </w:r>
      <w:r>
        <w:rPr>
          <w:color w:val="151515"/>
          <w:w w:val="105"/>
          <w:sz w:val="19"/>
        </w:rPr>
        <w:t>t</w:t>
      </w:r>
      <w:r>
        <w:rPr>
          <w:color w:val="2D2D2D"/>
          <w:w w:val="105"/>
          <w:sz w:val="19"/>
        </w:rPr>
        <w:t>o </w:t>
      </w:r>
      <w:r>
        <w:rPr>
          <w:color w:val="151515"/>
          <w:w w:val="105"/>
          <w:sz w:val="19"/>
        </w:rPr>
        <w:t>fraud or </w:t>
      </w:r>
      <w:r>
        <w:rPr>
          <w:color w:val="2D2D2D"/>
          <w:w w:val="105"/>
          <w:sz w:val="19"/>
        </w:rPr>
        <w:t>e</w:t>
      </w:r>
      <w:r>
        <w:rPr>
          <w:color w:val="151515"/>
          <w:w w:val="105"/>
          <w:sz w:val="19"/>
        </w:rPr>
        <w:t>r</w:t>
      </w:r>
      <w:r>
        <w:rPr>
          <w:color w:val="2D2D2D"/>
          <w:w w:val="105"/>
          <w:sz w:val="19"/>
        </w:rPr>
        <w:t>ro</w:t>
      </w:r>
      <w:r>
        <w:rPr>
          <w:color w:val="151515"/>
          <w:w w:val="105"/>
          <w:sz w:val="19"/>
        </w:rPr>
        <w:t>r</w:t>
      </w:r>
    </w:p>
    <w:p>
      <w:pPr>
        <w:spacing w:before="65"/>
        <w:ind w:left="506" w:right="1531" w:firstLine="0"/>
        <w:jc w:val="left"/>
        <w:rPr>
          <w:sz w:val="19"/>
        </w:rPr>
      </w:pPr>
      <w:r>
        <w:rPr>
          <w:color w:val="151515"/>
          <w:w w:val="105"/>
          <w:sz w:val="19"/>
        </w:rPr>
        <w:t>i</w:t>
      </w:r>
      <w:r>
        <w:rPr>
          <w:color w:val="2D2D2D"/>
          <w:w w:val="105"/>
          <w:sz w:val="19"/>
        </w:rPr>
        <w:t>s</w:t>
      </w:r>
      <w:r>
        <w:rPr>
          <w:color w:val="151515"/>
          <w:w w:val="105"/>
          <w:sz w:val="19"/>
        </w:rPr>
        <w:t>su</w:t>
      </w:r>
      <w:r>
        <w:rPr>
          <w:color w:val="2D2D2D"/>
          <w:w w:val="105"/>
          <w:sz w:val="19"/>
        </w:rPr>
        <w:t>e a</w:t>
      </w:r>
      <w:r>
        <w:rPr>
          <w:color w:val="151515"/>
          <w:w w:val="105"/>
          <w:sz w:val="19"/>
        </w:rPr>
        <w:t>n Ind</w:t>
      </w:r>
      <w:r>
        <w:rPr>
          <w:color w:val="2D2D2D"/>
          <w:w w:val="105"/>
          <w:sz w:val="19"/>
        </w:rPr>
        <w:t>e</w:t>
      </w:r>
      <w:r>
        <w:rPr>
          <w:color w:val="151515"/>
          <w:w w:val="105"/>
          <w:sz w:val="19"/>
        </w:rPr>
        <w:t>p</w:t>
      </w:r>
      <w:r>
        <w:rPr>
          <w:color w:val="2D2D2D"/>
          <w:w w:val="105"/>
          <w:sz w:val="19"/>
        </w:rPr>
        <w:t>e</w:t>
      </w:r>
      <w:r>
        <w:rPr>
          <w:color w:val="151515"/>
          <w:w w:val="105"/>
          <w:sz w:val="19"/>
        </w:rPr>
        <w:t>nd</w:t>
      </w:r>
      <w:r>
        <w:rPr>
          <w:color w:val="2D2D2D"/>
          <w:w w:val="105"/>
          <w:sz w:val="19"/>
        </w:rPr>
        <w:t>e</w:t>
      </w:r>
      <w:r>
        <w:rPr>
          <w:color w:val="151515"/>
          <w:w w:val="105"/>
          <w:sz w:val="19"/>
        </w:rPr>
        <w:t>nt </w:t>
      </w:r>
      <w:r>
        <w:rPr>
          <w:color w:val="2D2D2D"/>
          <w:w w:val="105"/>
          <w:sz w:val="19"/>
        </w:rPr>
        <w:t>A</w:t>
      </w:r>
      <w:r>
        <w:rPr>
          <w:color w:val="151515"/>
          <w:w w:val="105"/>
          <w:sz w:val="19"/>
        </w:rPr>
        <w:t>udit</w:t>
      </w:r>
      <w:r>
        <w:rPr>
          <w:color w:val="2D2D2D"/>
          <w:w w:val="105"/>
          <w:sz w:val="19"/>
        </w:rPr>
        <w:t>o</w:t>
      </w:r>
      <w:r>
        <w:rPr>
          <w:color w:val="151515"/>
          <w:w w:val="105"/>
          <w:sz w:val="19"/>
        </w:rPr>
        <w:t>r</w:t>
      </w:r>
      <w:r>
        <w:rPr>
          <w:color w:val="2D2D2D"/>
          <w:w w:val="105"/>
          <w:sz w:val="19"/>
        </w:rPr>
        <w:t>'s Re</w:t>
      </w:r>
      <w:r>
        <w:rPr>
          <w:color w:val="151515"/>
          <w:w w:val="105"/>
          <w:sz w:val="19"/>
        </w:rPr>
        <w:t>p</w:t>
      </w:r>
      <w:r>
        <w:rPr>
          <w:color w:val="2D2D2D"/>
          <w:w w:val="105"/>
          <w:sz w:val="19"/>
        </w:rPr>
        <w:t>o</w:t>
      </w:r>
      <w:r>
        <w:rPr>
          <w:color w:val="151515"/>
          <w:w w:val="105"/>
          <w:sz w:val="19"/>
        </w:rPr>
        <w:t>rt i</w:t>
      </w:r>
      <w:r>
        <w:rPr>
          <w:color w:val="2D2D2D"/>
          <w:w w:val="105"/>
          <w:sz w:val="19"/>
        </w:rPr>
        <w:t>ncl</w:t>
      </w:r>
      <w:r>
        <w:rPr>
          <w:color w:val="151515"/>
          <w:w w:val="105"/>
          <w:sz w:val="19"/>
        </w:rPr>
        <w:t>udin</w:t>
      </w:r>
      <w:r>
        <w:rPr>
          <w:color w:val="2D2D2D"/>
          <w:w w:val="105"/>
          <w:sz w:val="19"/>
        </w:rPr>
        <w:t>g </w:t>
      </w:r>
      <w:r>
        <w:rPr>
          <w:color w:val="151515"/>
          <w:w w:val="105"/>
          <w:sz w:val="19"/>
        </w:rPr>
        <w:t>m</w:t>
      </w:r>
      <w:r>
        <w:rPr>
          <w:color w:val="2D2D2D"/>
          <w:w w:val="105"/>
          <w:sz w:val="19"/>
        </w:rPr>
        <w:t>y  op</w:t>
      </w:r>
      <w:r>
        <w:rPr>
          <w:color w:val="151515"/>
          <w:w w:val="105"/>
          <w:sz w:val="19"/>
        </w:rPr>
        <w:t>ini</w:t>
      </w:r>
      <w:r>
        <w:rPr>
          <w:color w:val="2D2D2D"/>
          <w:w w:val="105"/>
          <w:sz w:val="19"/>
        </w:rPr>
        <w:t>o</w:t>
      </w:r>
      <w:r>
        <w:rPr>
          <w:color w:val="151515"/>
          <w:w w:val="105"/>
          <w:sz w:val="19"/>
        </w:rPr>
        <w:t>n</w:t>
      </w:r>
      <w:r>
        <w:rPr>
          <w:color w:val="606060"/>
          <w:w w:val="105"/>
          <w:sz w:val="19"/>
        </w:rPr>
        <w:t>.</w:t>
      </w:r>
    </w:p>
    <w:p>
      <w:pPr>
        <w:pStyle w:val="BodyText"/>
        <w:spacing w:before="2"/>
        <w:rPr>
          <w:sz w:val="19"/>
        </w:rPr>
      </w:pPr>
    </w:p>
    <w:p>
      <w:pPr>
        <w:spacing w:line="268" w:lineRule="auto" w:before="0"/>
        <w:ind w:left="132" w:right="1531" w:firstLine="14"/>
        <w:jc w:val="left"/>
        <w:rPr>
          <w:sz w:val="19"/>
        </w:rPr>
      </w:pPr>
      <w:r>
        <w:rPr>
          <w:color w:val="151515"/>
          <w:w w:val="105"/>
          <w:sz w:val="19"/>
        </w:rPr>
        <w:t>R</w:t>
      </w:r>
      <w:r>
        <w:rPr>
          <w:color w:val="2D2D2D"/>
          <w:w w:val="105"/>
          <w:sz w:val="19"/>
        </w:rPr>
        <w:t>easo</w:t>
      </w:r>
      <w:r>
        <w:rPr>
          <w:color w:val="151515"/>
          <w:w w:val="105"/>
          <w:sz w:val="19"/>
        </w:rPr>
        <w:t>n</w:t>
      </w:r>
      <w:r>
        <w:rPr>
          <w:color w:val="2D2D2D"/>
          <w:w w:val="105"/>
          <w:sz w:val="19"/>
        </w:rPr>
        <w:t>ab</w:t>
      </w:r>
      <w:r>
        <w:rPr>
          <w:color w:val="151515"/>
          <w:w w:val="105"/>
          <w:sz w:val="19"/>
        </w:rPr>
        <w:t>l</w:t>
      </w:r>
      <w:r>
        <w:rPr>
          <w:color w:val="2D2D2D"/>
          <w:w w:val="105"/>
          <w:sz w:val="19"/>
        </w:rPr>
        <w:t>e ass</w:t>
      </w:r>
      <w:r>
        <w:rPr>
          <w:color w:val="151515"/>
          <w:w w:val="105"/>
          <w:sz w:val="19"/>
        </w:rPr>
        <w:t>u</w:t>
      </w:r>
      <w:r>
        <w:rPr>
          <w:color w:val="2D2D2D"/>
          <w:w w:val="105"/>
          <w:sz w:val="19"/>
        </w:rPr>
        <w:t>ra</w:t>
      </w:r>
      <w:r>
        <w:rPr>
          <w:color w:val="151515"/>
          <w:w w:val="105"/>
          <w:sz w:val="19"/>
        </w:rPr>
        <w:t>n</w:t>
      </w:r>
      <w:r>
        <w:rPr>
          <w:color w:val="2D2D2D"/>
          <w:w w:val="105"/>
          <w:sz w:val="19"/>
        </w:rPr>
        <w:t>ce </w:t>
      </w:r>
      <w:r>
        <w:rPr>
          <w:color w:val="151515"/>
          <w:w w:val="105"/>
          <w:sz w:val="19"/>
        </w:rPr>
        <w:t>i</w:t>
      </w:r>
      <w:r>
        <w:rPr>
          <w:color w:val="2D2D2D"/>
          <w:w w:val="105"/>
          <w:sz w:val="19"/>
        </w:rPr>
        <w:t>s a </w:t>
      </w:r>
      <w:r>
        <w:rPr>
          <w:color w:val="151515"/>
          <w:w w:val="105"/>
          <w:sz w:val="19"/>
        </w:rPr>
        <w:t>hi</w:t>
      </w:r>
      <w:r>
        <w:rPr>
          <w:color w:val="2D2D2D"/>
          <w:w w:val="105"/>
          <w:sz w:val="19"/>
        </w:rPr>
        <w:t>g</w:t>
      </w:r>
      <w:r>
        <w:rPr>
          <w:color w:val="151515"/>
          <w:w w:val="105"/>
          <w:sz w:val="19"/>
        </w:rPr>
        <w:t>h l</w:t>
      </w:r>
      <w:r>
        <w:rPr>
          <w:color w:val="2D2D2D"/>
          <w:w w:val="105"/>
          <w:sz w:val="19"/>
        </w:rPr>
        <w:t>eve</w:t>
      </w:r>
      <w:r>
        <w:rPr>
          <w:color w:val="151515"/>
          <w:w w:val="105"/>
          <w:sz w:val="19"/>
        </w:rPr>
        <w:t>l </w:t>
      </w:r>
      <w:r>
        <w:rPr>
          <w:color w:val="2D2D2D"/>
          <w:w w:val="105"/>
          <w:sz w:val="19"/>
        </w:rPr>
        <w:t>o</w:t>
      </w:r>
      <w:r>
        <w:rPr>
          <w:color w:val="151515"/>
          <w:w w:val="105"/>
          <w:sz w:val="19"/>
        </w:rPr>
        <w:t>f a</w:t>
      </w:r>
      <w:r>
        <w:rPr>
          <w:color w:val="2D2D2D"/>
          <w:w w:val="105"/>
          <w:sz w:val="19"/>
        </w:rPr>
        <w:t>ss</w:t>
      </w:r>
      <w:r>
        <w:rPr>
          <w:color w:val="151515"/>
          <w:w w:val="105"/>
          <w:sz w:val="19"/>
        </w:rPr>
        <w:t>u</w:t>
      </w:r>
      <w:r>
        <w:rPr>
          <w:color w:val="2D2D2D"/>
          <w:w w:val="105"/>
          <w:sz w:val="19"/>
        </w:rPr>
        <w:t>ra</w:t>
      </w:r>
      <w:r>
        <w:rPr>
          <w:color w:val="151515"/>
          <w:w w:val="105"/>
          <w:sz w:val="19"/>
        </w:rPr>
        <w:t>n</w:t>
      </w:r>
      <w:r>
        <w:rPr>
          <w:color w:val="2D2D2D"/>
          <w:w w:val="105"/>
          <w:sz w:val="19"/>
        </w:rPr>
        <w:t>ce, b</w:t>
      </w:r>
      <w:r>
        <w:rPr>
          <w:color w:val="151515"/>
          <w:w w:val="105"/>
          <w:sz w:val="19"/>
        </w:rPr>
        <w:t>ut d</w:t>
      </w:r>
      <w:r>
        <w:rPr>
          <w:color w:val="2D2D2D"/>
          <w:w w:val="105"/>
          <w:sz w:val="19"/>
        </w:rPr>
        <w:t>o</w:t>
      </w:r>
      <w:r>
        <w:rPr>
          <w:color w:val="151515"/>
          <w:w w:val="105"/>
          <w:sz w:val="19"/>
        </w:rPr>
        <w:t>e</w:t>
      </w:r>
      <w:r>
        <w:rPr>
          <w:color w:val="2D2D2D"/>
          <w:w w:val="105"/>
          <w:sz w:val="19"/>
        </w:rPr>
        <w:t>s </w:t>
      </w:r>
      <w:r>
        <w:rPr>
          <w:color w:val="151515"/>
          <w:w w:val="105"/>
          <w:sz w:val="19"/>
        </w:rPr>
        <w:t>n</w:t>
      </w:r>
      <w:r>
        <w:rPr>
          <w:color w:val="2D2D2D"/>
          <w:w w:val="105"/>
          <w:sz w:val="19"/>
        </w:rPr>
        <w:t>o</w:t>
      </w:r>
      <w:r>
        <w:rPr>
          <w:color w:val="151515"/>
          <w:w w:val="105"/>
          <w:sz w:val="19"/>
        </w:rPr>
        <w:t>t gu</w:t>
      </w:r>
      <w:r>
        <w:rPr>
          <w:color w:val="2D2D2D"/>
          <w:w w:val="105"/>
          <w:sz w:val="19"/>
        </w:rPr>
        <w:t>ara</w:t>
      </w:r>
      <w:r>
        <w:rPr>
          <w:color w:val="151515"/>
          <w:w w:val="105"/>
          <w:sz w:val="19"/>
        </w:rPr>
        <w:t>nt</w:t>
      </w:r>
      <w:r>
        <w:rPr>
          <w:color w:val="2D2D2D"/>
          <w:w w:val="105"/>
          <w:sz w:val="19"/>
        </w:rPr>
        <w:t>ee an aud</w:t>
      </w:r>
      <w:r>
        <w:rPr>
          <w:color w:val="151515"/>
          <w:w w:val="105"/>
          <w:sz w:val="19"/>
        </w:rPr>
        <w:t>it </w:t>
      </w:r>
      <w:r>
        <w:rPr>
          <w:color w:val="2D2D2D"/>
          <w:w w:val="105"/>
          <w:sz w:val="19"/>
        </w:rPr>
        <w:t>co</w:t>
      </w:r>
      <w:r>
        <w:rPr>
          <w:color w:val="151515"/>
          <w:w w:val="105"/>
          <w:sz w:val="19"/>
        </w:rPr>
        <w:t>n</w:t>
      </w:r>
      <w:r>
        <w:rPr>
          <w:color w:val="2D2D2D"/>
          <w:w w:val="105"/>
          <w:sz w:val="19"/>
        </w:rPr>
        <w:t>d</w:t>
      </w:r>
      <w:r>
        <w:rPr>
          <w:color w:val="151515"/>
          <w:w w:val="105"/>
          <w:sz w:val="19"/>
        </w:rPr>
        <w:t>u</w:t>
      </w:r>
      <w:r>
        <w:rPr>
          <w:color w:val="2D2D2D"/>
          <w:w w:val="105"/>
          <w:sz w:val="19"/>
        </w:rPr>
        <w:t>c</w:t>
      </w:r>
      <w:r>
        <w:rPr>
          <w:color w:val="151515"/>
          <w:w w:val="105"/>
          <w:sz w:val="19"/>
        </w:rPr>
        <w:t>t</w:t>
      </w:r>
      <w:r>
        <w:rPr>
          <w:color w:val="2D2D2D"/>
          <w:w w:val="105"/>
          <w:sz w:val="19"/>
        </w:rPr>
        <w:t>ed </w:t>
      </w:r>
      <w:r>
        <w:rPr>
          <w:color w:val="151515"/>
          <w:w w:val="105"/>
          <w:sz w:val="19"/>
        </w:rPr>
        <w:t>i</w:t>
      </w:r>
      <w:r>
        <w:rPr>
          <w:color w:val="2D2D2D"/>
          <w:w w:val="105"/>
          <w:sz w:val="19"/>
        </w:rPr>
        <w:t>n acco</w:t>
      </w:r>
      <w:r>
        <w:rPr>
          <w:color w:val="151515"/>
          <w:w w:val="105"/>
          <w:sz w:val="19"/>
        </w:rPr>
        <w:t>rd</w:t>
      </w:r>
      <w:r>
        <w:rPr>
          <w:color w:val="2D2D2D"/>
          <w:w w:val="105"/>
          <w:sz w:val="19"/>
        </w:rPr>
        <w:t>a</w:t>
      </w:r>
      <w:r>
        <w:rPr>
          <w:color w:val="151515"/>
          <w:w w:val="105"/>
          <w:sz w:val="19"/>
        </w:rPr>
        <w:t>n</w:t>
      </w:r>
      <w:r>
        <w:rPr>
          <w:color w:val="2D2D2D"/>
          <w:w w:val="105"/>
          <w:sz w:val="19"/>
        </w:rPr>
        <w:t>ce </w:t>
      </w:r>
      <w:r>
        <w:rPr>
          <w:color w:val="151515"/>
          <w:w w:val="105"/>
          <w:sz w:val="19"/>
        </w:rPr>
        <w:t>with </w:t>
      </w:r>
      <w:r>
        <w:rPr>
          <w:color w:val="2D2D2D"/>
          <w:w w:val="105"/>
          <w:sz w:val="19"/>
        </w:rPr>
        <w:t>A</w:t>
      </w:r>
      <w:r>
        <w:rPr>
          <w:color w:val="151515"/>
          <w:w w:val="105"/>
          <w:sz w:val="19"/>
        </w:rPr>
        <w:t>u</w:t>
      </w:r>
      <w:r>
        <w:rPr>
          <w:color w:val="2D2D2D"/>
          <w:w w:val="105"/>
          <w:sz w:val="19"/>
        </w:rPr>
        <w:t>s</w:t>
      </w:r>
      <w:r>
        <w:rPr>
          <w:color w:val="151515"/>
          <w:w w:val="105"/>
          <w:sz w:val="19"/>
        </w:rPr>
        <w:t>trali</w:t>
      </w:r>
      <w:r>
        <w:rPr>
          <w:color w:val="2D2D2D"/>
          <w:w w:val="105"/>
          <w:sz w:val="19"/>
        </w:rPr>
        <w:t>a</w:t>
      </w:r>
      <w:r>
        <w:rPr>
          <w:color w:val="151515"/>
          <w:w w:val="105"/>
          <w:sz w:val="19"/>
        </w:rPr>
        <w:t>n </w:t>
      </w:r>
      <w:r>
        <w:rPr>
          <w:color w:val="2D2D2D"/>
          <w:w w:val="105"/>
          <w:sz w:val="19"/>
        </w:rPr>
        <w:t>A</w:t>
      </w:r>
      <w:r>
        <w:rPr>
          <w:color w:val="151515"/>
          <w:w w:val="105"/>
          <w:sz w:val="19"/>
        </w:rPr>
        <w:t>udi</w:t>
      </w:r>
      <w:r>
        <w:rPr>
          <w:color w:val="2D2D2D"/>
          <w:w w:val="105"/>
          <w:sz w:val="19"/>
        </w:rPr>
        <w:t>t</w:t>
      </w:r>
      <w:r>
        <w:rPr>
          <w:color w:val="151515"/>
          <w:w w:val="105"/>
          <w:sz w:val="19"/>
        </w:rPr>
        <w:t>ing </w:t>
      </w:r>
      <w:r>
        <w:rPr>
          <w:color w:val="2D2D2D"/>
          <w:w w:val="105"/>
          <w:sz w:val="19"/>
        </w:rPr>
        <w:t>S</w:t>
      </w:r>
      <w:r>
        <w:rPr>
          <w:color w:val="151515"/>
          <w:w w:val="105"/>
          <w:sz w:val="19"/>
        </w:rPr>
        <w:t>t</w:t>
      </w:r>
      <w:r>
        <w:rPr>
          <w:color w:val="2D2D2D"/>
          <w:w w:val="105"/>
          <w:sz w:val="19"/>
        </w:rPr>
        <w:t>an</w:t>
      </w:r>
      <w:r>
        <w:rPr>
          <w:color w:val="151515"/>
          <w:w w:val="105"/>
          <w:sz w:val="19"/>
        </w:rPr>
        <w:t>d</w:t>
      </w:r>
      <w:r>
        <w:rPr>
          <w:color w:val="2D2D2D"/>
          <w:w w:val="105"/>
          <w:sz w:val="19"/>
        </w:rPr>
        <w:t>a</w:t>
      </w:r>
      <w:r>
        <w:rPr>
          <w:color w:val="151515"/>
          <w:w w:val="105"/>
          <w:sz w:val="19"/>
        </w:rPr>
        <w:t>rd</w:t>
      </w:r>
      <w:r>
        <w:rPr>
          <w:color w:val="2D2D2D"/>
          <w:w w:val="105"/>
          <w:sz w:val="19"/>
        </w:rPr>
        <w:t>s w</w:t>
      </w:r>
      <w:r>
        <w:rPr>
          <w:color w:val="151515"/>
          <w:w w:val="105"/>
          <w:sz w:val="19"/>
        </w:rPr>
        <w:t>ill </w:t>
      </w:r>
      <w:r>
        <w:rPr>
          <w:color w:val="2D2D2D"/>
          <w:w w:val="105"/>
          <w:sz w:val="19"/>
        </w:rPr>
        <w:t>a</w:t>
      </w:r>
      <w:r>
        <w:rPr>
          <w:color w:val="151515"/>
          <w:w w:val="105"/>
          <w:sz w:val="19"/>
        </w:rPr>
        <w:t>l</w:t>
      </w:r>
      <w:r>
        <w:rPr>
          <w:color w:val="2D2D2D"/>
          <w:w w:val="105"/>
          <w:sz w:val="19"/>
        </w:rPr>
        <w:t>ways  </w:t>
      </w:r>
      <w:r>
        <w:rPr>
          <w:color w:val="151515"/>
          <w:w w:val="105"/>
          <w:sz w:val="19"/>
        </w:rPr>
        <w:t>d</w:t>
      </w:r>
      <w:r>
        <w:rPr>
          <w:color w:val="2D2D2D"/>
          <w:w w:val="105"/>
          <w:sz w:val="19"/>
        </w:rPr>
        <w:t>e</w:t>
      </w:r>
      <w:r>
        <w:rPr>
          <w:color w:val="151515"/>
          <w:w w:val="105"/>
          <w:sz w:val="19"/>
        </w:rPr>
        <w:t>t</w:t>
      </w:r>
      <w:r>
        <w:rPr>
          <w:color w:val="2D2D2D"/>
          <w:w w:val="105"/>
          <w:sz w:val="19"/>
        </w:rPr>
        <w:t>ec</w:t>
      </w:r>
      <w:r>
        <w:rPr>
          <w:color w:val="151515"/>
          <w:w w:val="105"/>
          <w:sz w:val="19"/>
        </w:rPr>
        <w:t>t </w:t>
      </w:r>
      <w:r>
        <w:rPr>
          <w:color w:val="2D2D2D"/>
          <w:w w:val="105"/>
          <w:sz w:val="19"/>
        </w:rPr>
        <w:t>materia</w:t>
      </w:r>
      <w:r>
        <w:rPr>
          <w:color w:val="151515"/>
          <w:w w:val="105"/>
          <w:sz w:val="19"/>
        </w:rPr>
        <w:t>l m</w:t>
      </w:r>
      <w:r>
        <w:rPr>
          <w:color w:val="4D4D4D"/>
          <w:w w:val="105"/>
          <w:sz w:val="19"/>
        </w:rPr>
        <w:t>i</w:t>
      </w:r>
      <w:r>
        <w:rPr>
          <w:color w:val="2D2D2D"/>
          <w:w w:val="105"/>
          <w:sz w:val="19"/>
        </w:rPr>
        <w:t>ssta</w:t>
      </w:r>
      <w:r>
        <w:rPr>
          <w:color w:val="151515"/>
          <w:w w:val="105"/>
          <w:sz w:val="19"/>
        </w:rPr>
        <w:t>t</w:t>
      </w:r>
      <w:r>
        <w:rPr>
          <w:color w:val="2D2D2D"/>
          <w:w w:val="105"/>
          <w:sz w:val="19"/>
        </w:rPr>
        <w:t>eme</w:t>
      </w:r>
      <w:r>
        <w:rPr>
          <w:color w:val="151515"/>
          <w:w w:val="105"/>
          <w:sz w:val="19"/>
        </w:rPr>
        <w:t>n</w:t>
      </w:r>
      <w:r>
        <w:rPr>
          <w:color w:val="2D2D2D"/>
          <w:w w:val="105"/>
          <w:sz w:val="19"/>
        </w:rPr>
        <w:t>ts</w:t>
      </w:r>
      <w:r>
        <w:rPr>
          <w:color w:val="4D4D4D"/>
          <w:w w:val="105"/>
          <w:sz w:val="19"/>
        </w:rPr>
        <w:t>.</w:t>
      </w:r>
    </w:p>
    <w:p>
      <w:pPr>
        <w:spacing w:line="261" w:lineRule="auto" w:before="0"/>
        <w:ind w:left="132" w:right="1531" w:firstLine="14"/>
        <w:jc w:val="left"/>
        <w:rPr>
          <w:sz w:val="19"/>
        </w:rPr>
      </w:pPr>
      <w:r>
        <w:rPr>
          <w:color w:val="151515"/>
          <w:w w:val="110"/>
          <w:sz w:val="19"/>
        </w:rPr>
        <w:t>Mis</w:t>
      </w:r>
      <w:r>
        <w:rPr>
          <w:color w:val="2D2D2D"/>
          <w:w w:val="110"/>
          <w:sz w:val="19"/>
        </w:rPr>
        <w:t>s</w:t>
      </w:r>
      <w:r>
        <w:rPr>
          <w:color w:val="151515"/>
          <w:w w:val="110"/>
          <w:sz w:val="19"/>
        </w:rPr>
        <w:t>t</w:t>
      </w:r>
      <w:r>
        <w:rPr>
          <w:color w:val="2D2D2D"/>
          <w:w w:val="110"/>
          <w:sz w:val="19"/>
        </w:rPr>
        <w:t>a</w:t>
      </w:r>
      <w:r>
        <w:rPr>
          <w:color w:val="151515"/>
          <w:w w:val="110"/>
          <w:sz w:val="19"/>
        </w:rPr>
        <w:t>t</w:t>
      </w:r>
      <w:r>
        <w:rPr>
          <w:color w:val="2D2D2D"/>
          <w:w w:val="110"/>
          <w:sz w:val="19"/>
        </w:rPr>
        <w:t>e</w:t>
      </w:r>
      <w:r>
        <w:rPr>
          <w:color w:val="151515"/>
          <w:w w:val="110"/>
          <w:sz w:val="19"/>
        </w:rPr>
        <w:t>m</w:t>
      </w:r>
      <w:r>
        <w:rPr>
          <w:color w:val="2D2D2D"/>
          <w:w w:val="110"/>
          <w:sz w:val="19"/>
        </w:rPr>
        <w:t>e</w:t>
      </w:r>
      <w:r>
        <w:rPr>
          <w:color w:val="151515"/>
          <w:w w:val="110"/>
          <w:sz w:val="19"/>
        </w:rPr>
        <w:t>nt</w:t>
      </w:r>
      <w:r>
        <w:rPr>
          <w:color w:val="2D2D2D"/>
          <w:w w:val="110"/>
          <w:sz w:val="19"/>
        </w:rPr>
        <w:t>s</w:t>
      </w:r>
      <w:r>
        <w:rPr>
          <w:color w:val="2D2D2D"/>
          <w:spacing w:val="-31"/>
          <w:w w:val="110"/>
          <w:sz w:val="19"/>
        </w:rPr>
        <w:t> </w:t>
      </w:r>
      <w:r>
        <w:rPr>
          <w:color w:val="2D2D2D"/>
          <w:w w:val="110"/>
          <w:sz w:val="19"/>
        </w:rPr>
        <w:t>ca</w:t>
      </w:r>
      <w:r>
        <w:rPr>
          <w:color w:val="151515"/>
          <w:w w:val="110"/>
          <w:sz w:val="19"/>
        </w:rPr>
        <w:t>n</w:t>
      </w:r>
      <w:r>
        <w:rPr>
          <w:color w:val="151515"/>
          <w:spacing w:val="-31"/>
          <w:w w:val="110"/>
          <w:sz w:val="19"/>
        </w:rPr>
        <w:t> </w:t>
      </w:r>
      <w:r>
        <w:rPr>
          <w:color w:val="151515"/>
          <w:w w:val="110"/>
          <w:sz w:val="19"/>
        </w:rPr>
        <w:t>ari</w:t>
      </w:r>
      <w:r>
        <w:rPr>
          <w:color w:val="2D2D2D"/>
          <w:w w:val="110"/>
          <w:sz w:val="19"/>
        </w:rPr>
        <w:t>se</w:t>
      </w:r>
      <w:r>
        <w:rPr>
          <w:color w:val="2D2D2D"/>
          <w:spacing w:val="-26"/>
          <w:w w:val="110"/>
          <w:sz w:val="19"/>
        </w:rPr>
        <w:t> </w:t>
      </w:r>
      <w:r>
        <w:rPr>
          <w:color w:val="151515"/>
          <w:spacing w:val="2"/>
          <w:w w:val="110"/>
          <w:sz w:val="19"/>
        </w:rPr>
        <w:t>f</w:t>
      </w:r>
      <w:r>
        <w:rPr>
          <w:color w:val="2D2D2D"/>
          <w:spacing w:val="2"/>
          <w:w w:val="110"/>
          <w:sz w:val="19"/>
        </w:rPr>
        <w:t>ro</w:t>
      </w:r>
      <w:r>
        <w:rPr>
          <w:color w:val="151515"/>
          <w:spacing w:val="2"/>
          <w:w w:val="110"/>
          <w:sz w:val="19"/>
        </w:rPr>
        <w:t>m</w:t>
      </w:r>
      <w:r>
        <w:rPr>
          <w:color w:val="151515"/>
          <w:spacing w:val="-34"/>
          <w:w w:val="110"/>
          <w:sz w:val="19"/>
        </w:rPr>
        <w:t> </w:t>
      </w:r>
      <w:r>
        <w:rPr>
          <w:color w:val="151515"/>
          <w:w w:val="110"/>
          <w:sz w:val="19"/>
        </w:rPr>
        <w:t>fr</w:t>
      </w:r>
      <w:r>
        <w:rPr>
          <w:color w:val="2D2D2D"/>
          <w:w w:val="110"/>
          <w:sz w:val="19"/>
        </w:rPr>
        <w:t>a</w:t>
      </w:r>
      <w:r>
        <w:rPr>
          <w:color w:val="151515"/>
          <w:w w:val="110"/>
          <w:sz w:val="19"/>
        </w:rPr>
        <w:t>ud</w:t>
      </w:r>
      <w:r>
        <w:rPr>
          <w:color w:val="151515"/>
          <w:spacing w:val="-30"/>
          <w:w w:val="110"/>
          <w:sz w:val="19"/>
        </w:rPr>
        <w:t> </w:t>
      </w:r>
      <w:r>
        <w:rPr>
          <w:color w:val="2D2D2D"/>
          <w:w w:val="110"/>
          <w:sz w:val="19"/>
        </w:rPr>
        <w:t>o</w:t>
      </w:r>
      <w:r>
        <w:rPr>
          <w:color w:val="151515"/>
          <w:w w:val="110"/>
          <w:sz w:val="19"/>
        </w:rPr>
        <w:t>r</w:t>
      </w:r>
      <w:r>
        <w:rPr>
          <w:color w:val="151515"/>
          <w:spacing w:val="-29"/>
          <w:w w:val="110"/>
          <w:sz w:val="19"/>
        </w:rPr>
        <w:t> </w:t>
      </w:r>
      <w:r>
        <w:rPr>
          <w:color w:val="2D2D2D"/>
          <w:spacing w:val="3"/>
          <w:w w:val="110"/>
          <w:sz w:val="19"/>
        </w:rPr>
        <w:t>e</w:t>
      </w:r>
      <w:r>
        <w:rPr>
          <w:color w:val="151515"/>
          <w:spacing w:val="3"/>
          <w:w w:val="110"/>
          <w:sz w:val="19"/>
        </w:rPr>
        <w:t>rr</w:t>
      </w:r>
      <w:r>
        <w:rPr>
          <w:color w:val="2D2D2D"/>
          <w:spacing w:val="3"/>
          <w:w w:val="110"/>
          <w:sz w:val="19"/>
        </w:rPr>
        <w:t>o</w:t>
      </w:r>
      <w:r>
        <w:rPr>
          <w:color w:val="151515"/>
          <w:spacing w:val="3"/>
          <w:w w:val="110"/>
          <w:sz w:val="19"/>
        </w:rPr>
        <w:t>r</w:t>
      </w:r>
      <w:r>
        <w:rPr>
          <w:color w:val="4D4D4D"/>
          <w:spacing w:val="3"/>
          <w:w w:val="110"/>
          <w:sz w:val="19"/>
        </w:rPr>
        <w:t>.</w:t>
      </w:r>
      <w:r>
        <w:rPr>
          <w:color w:val="4D4D4D"/>
          <w:spacing w:val="-33"/>
          <w:w w:val="110"/>
          <w:sz w:val="19"/>
        </w:rPr>
        <w:t> </w:t>
      </w:r>
      <w:r>
        <w:rPr>
          <w:color w:val="151515"/>
          <w:w w:val="110"/>
          <w:sz w:val="19"/>
        </w:rPr>
        <w:t>Mi</w:t>
      </w:r>
      <w:r>
        <w:rPr>
          <w:color w:val="2D2D2D"/>
          <w:w w:val="110"/>
          <w:sz w:val="19"/>
        </w:rPr>
        <w:t>ss</w:t>
      </w:r>
      <w:r>
        <w:rPr>
          <w:color w:val="151515"/>
          <w:w w:val="110"/>
          <w:sz w:val="19"/>
        </w:rPr>
        <w:t>tat</w:t>
      </w:r>
      <w:r>
        <w:rPr>
          <w:color w:val="2D2D2D"/>
          <w:w w:val="110"/>
          <w:sz w:val="19"/>
        </w:rPr>
        <w:t>e</w:t>
      </w:r>
      <w:r>
        <w:rPr>
          <w:color w:val="151515"/>
          <w:w w:val="110"/>
          <w:sz w:val="19"/>
        </w:rPr>
        <w:t>m</w:t>
      </w:r>
      <w:r>
        <w:rPr>
          <w:color w:val="2D2D2D"/>
          <w:w w:val="110"/>
          <w:sz w:val="19"/>
        </w:rPr>
        <w:t>e</w:t>
      </w:r>
      <w:r>
        <w:rPr>
          <w:color w:val="151515"/>
          <w:w w:val="110"/>
          <w:sz w:val="19"/>
        </w:rPr>
        <w:t>nt</w:t>
      </w:r>
      <w:r>
        <w:rPr>
          <w:color w:val="2D2D2D"/>
          <w:w w:val="110"/>
          <w:sz w:val="19"/>
        </w:rPr>
        <w:t>s</w:t>
      </w:r>
      <w:r>
        <w:rPr>
          <w:color w:val="2D2D2D"/>
          <w:spacing w:val="-26"/>
          <w:w w:val="110"/>
          <w:sz w:val="19"/>
        </w:rPr>
        <w:t> </w:t>
      </w:r>
      <w:r>
        <w:rPr>
          <w:color w:val="2D2D2D"/>
          <w:w w:val="110"/>
          <w:sz w:val="19"/>
        </w:rPr>
        <w:t>a</w:t>
      </w:r>
      <w:r>
        <w:rPr>
          <w:color w:val="151515"/>
          <w:w w:val="110"/>
          <w:sz w:val="19"/>
        </w:rPr>
        <w:t>r</w:t>
      </w:r>
      <w:r>
        <w:rPr>
          <w:color w:val="2D2D2D"/>
          <w:w w:val="110"/>
          <w:sz w:val="19"/>
        </w:rPr>
        <w:t>e</w:t>
      </w:r>
      <w:r>
        <w:rPr>
          <w:color w:val="2D2D2D"/>
          <w:spacing w:val="-28"/>
          <w:w w:val="110"/>
          <w:sz w:val="19"/>
        </w:rPr>
        <w:t> </w:t>
      </w:r>
      <w:r>
        <w:rPr>
          <w:color w:val="2D2D2D"/>
          <w:w w:val="110"/>
          <w:sz w:val="19"/>
        </w:rPr>
        <w:t>cons</w:t>
      </w:r>
      <w:r>
        <w:rPr>
          <w:color w:val="151515"/>
          <w:w w:val="110"/>
          <w:sz w:val="19"/>
        </w:rPr>
        <w:t>id</w:t>
      </w:r>
      <w:r>
        <w:rPr>
          <w:color w:val="2D2D2D"/>
          <w:w w:val="110"/>
          <w:sz w:val="19"/>
        </w:rPr>
        <w:t>e</w:t>
      </w:r>
      <w:r>
        <w:rPr>
          <w:color w:val="151515"/>
          <w:w w:val="110"/>
          <w:sz w:val="19"/>
        </w:rPr>
        <w:t>r</w:t>
      </w:r>
      <w:r>
        <w:rPr>
          <w:color w:val="2D2D2D"/>
          <w:w w:val="110"/>
          <w:sz w:val="19"/>
        </w:rPr>
        <w:t>e</w:t>
      </w:r>
      <w:r>
        <w:rPr>
          <w:color w:val="151515"/>
          <w:w w:val="110"/>
          <w:sz w:val="19"/>
        </w:rPr>
        <w:t>d</w:t>
      </w:r>
      <w:r>
        <w:rPr>
          <w:color w:val="151515"/>
          <w:spacing w:val="-23"/>
          <w:w w:val="110"/>
          <w:sz w:val="19"/>
        </w:rPr>
        <w:t> </w:t>
      </w:r>
      <w:r>
        <w:rPr>
          <w:color w:val="2D2D2D"/>
          <w:spacing w:val="-4"/>
          <w:w w:val="110"/>
          <w:sz w:val="19"/>
        </w:rPr>
        <w:t>mate</w:t>
      </w:r>
      <w:r>
        <w:rPr>
          <w:color w:val="4D4D4D"/>
          <w:spacing w:val="-4"/>
          <w:w w:val="110"/>
          <w:sz w:val="19"/>
        </w:rPr>
        <w:t>r</w:t>
      </w:r>
      <w:r>
        <w:rPr>
          <w:color w:val="151515"/>
          <w:spacing w:val="-4"/>
          <w:w w:val="110"/>
          <w:sz w:val="19"/>
        </w:rPr>
        <w:t>i</w:t>
      </w:r>
      <w:r>
        <w:rPr>
          <w:color w:val="2D2D2D"/>
          <w:spacing w:val="-4"/>
          <w:w w:val="110"/>
          <w:sz w:val="19"/>
        </w:rPr>
        <w:t>a</w:t>
      </w:r>
      <w:r>
        <w:rPr>
          <w:color w:val="151515"/>
          <w:spacing w:val="-4"/>
          <w:w w:val="110"/>
          <w:sz w:val="19"/>
        </w:rPr>
        <w:t>l</w:t>
      </w:r>
      <w:r>
        <w:rPr>
          <w:color w:val="151515"/>
          <w:spacing w:val="-41"/>
          <w:w w:val="110"/>
          <w:sz w:val="19"/>
        </w:rPr>
        <w:t> </w:t>
      </w:r>
      <w:r>
        <w:rPr>
          <w:color w:val="151515"/>
          <w:spacing w:val="-8"/>
          <w:w w:val="110"/>
          <w:sz w:val="19"/>
        </w:rPr>
        <w:t>i</w:t>
      </w:r>
      <w:r>
        <w:rPr>
          <w:color w:val="2D2D2D"/>
          <w:spacing w:val="-8"/>
          <w:w w:val="110"/>
          <w:sz w:val="19"/>
        </w:rPr>
        <w:t>f</w:t>
      </w:r>
      <w:r>
        <w:rPr>
          <w:color w:val="606060"/>
          <w:spacing w:val="-8"/>
          <w:w w:val="110"/>
          <w:sz w:val="19"/>
        </w:rPr>
        <w:t>,</w:t>
      </w:r>
      <w:r>
        <w:rPr>
          <w:color w:val="606060"/>
          <w:spacing w:val="-43"/>
          <w:w w:val="110"/>
          <w:sz w:val="19"/>
        </w:rPr>
        <w:t> </w:t>
      </w:r>
      <w:r>
        <w:rPr>
          <w:color w:val="151515"/>
          <w:spacing w:val="-6"/>
          <w:w w:val="110"/>
          <w:sz w:val="19"/>
        </w:rPr>
        <w:t>in</w:t>
      </w:r>
      <w:r>
        <w:rPr>
          <w:color w:val="2D2D2D"/>
          <w:spacing w:val="-6"/>
          <w:w w:val="110"/>
          <w:sz w:val="19"/>
        </w:rPr>
        <w:t>div</w:t>
      </w:r>
      <w:r>
        <w:rPr>
          <w:color w:val="2D2D2D"/>
          <w:spacing w:val="-47"/>
          <w:w w:val="110"/>
          <w:sz w:val="19"/>
        </w:rPr>
        <w:t> </w:t>
      </w:r>
      <w:r>
        <w:rPr>
          <w:color w:val="151515"/>
          <w:w w:val="110"/>
          <w:sz w:val="19"/>
        </w:rPr>
        <w:t>idu</w:t>
      </w:r>
      <w:r>
        <w:rPr>
          <w:color w:val="2D2D2D"/>
          <w:w w:val="110"/>
          <w:sz w:val="19"/>
        </w:rPr>
        <w:t>a</w:t>
      </w:r>
      <w:r>
        <w:rPr>
          <w:color w:val="151515"/>
          <w:w w:val="110"/>
          <w:sz w:val="19"/>
        </w:rPr>
        <w:t>ll</w:t>
      </w:r>
      <w:r>
        <w:rPr>
          <w:color w:val="2D2D2D"/>
          <w:w w:val="110"/>
          <w:sz w:val="19"/>
        </w:rPr>
        <w:t>y</w:t>
      </w:r>
      <w:r>
        <w:rPr>
          <w:color w:val="2D2D2D"/>
          <w:spacing w:val="-22"/>
          <w:w w:val="110"/>
          <w:sz w:val="19"/>
        </w:rPr>
        <w:t> </w:t>
      </w:r>
      <w:r>
        <w:rPr>
          <w:color w:val="2D2D2D"/>
          <w:w w:val="110"/>
          <w:sz w:val="19"/>
        </w:rPr>
        <w:t>o</w:t>
      </w:r>
      <w:r>
        <w:rPr>
          <w:color w:val="151515"/>
          <w:w w:val="110"/>
          <w:sz w:val="19"/>
        </w:rPr>
        <w:t>r</w:t>
      </w:r>
      <w:r>
        <w:rPr>
          <w:color w:val="151515"/>
          <w:spacing w:val="-25"/>
          <w:w w:val="110"/>
          <w:sz w:val="19"/>
        </w:rPr>
        <w:t> </w:t>
      </w:r>
      <w:r>
        <w:rPr>
          <w:color w:val="151515"/>
          <w:spacing w:val="-6"/>
          <w:w w:val="110"/>
          <w:sz w:val="19"/>
        </w:rPr>
        <w:t>i</w:t>
      </w:r>
      <w:r>
        <w:rPr>
          <w:color w:val="2D2D2D"/>
          <w:spacing w:val="-6"/>
          <w:w w:val="110"/>
          <w:sz w:val="19"/>
        </w:rPr>
        <w:t>n </w:t>
      </w:r>
      <w:r>
        <w:rPr>
          <w:color w:val="2D2D2D"/>
          <w:w w:val="110"/>
          <w:sz w:val="19"/>
        </w:rPr>
        <w:t>a</w:t>
      </w:r>
      <w:r>
        <w:rPr>
          <w:color w:val="151515"/>
          <w:w w:val="110"/>
          <w:sz w:val="19"/>
        </w:rPr>
        <w:t>g</w:t>
      </w:r>
      <w:r>
        <w:rPr>
          <w:color w:val="2D2D2D"/>
          <w:w w:val="110"/>
          <w:sz w:val="19"/>
        </w:rPr>
        <w:t>g</w:t>
      </w:r>
      <w:r>
        <w:rPr>
          <w:color w:val="151515"/>
          <w:w w:val="110"/>
          <w:sz w:val="19"/>
        </w:rPr>
        <w:t>r</w:t>
      </w:r>
      <w:r>
        <w:rPr>
          <w:color w:val="2D2D2D"/>
          <w:w w:val="110"/>
          <w:sz w:val="19"/>
        </w:rPr>
        <w:t>e</w:t>
      </w:r>
      <w:r>
        <w:rPr>
          <w:color w:val="151515"/>
          <w:w w:val="110"/>
          <w:sz w:val="19"/>
        </w:rPr>
        <w:t>g</w:t>
      </w:r>
      <w:r>
        <w:rPr>
          <w:color w:val="2D2D2D"/>
          <w:w w:val="110"/>
          <w:sz w:val="19"/>
        </w:rPr>
        <w:t>a</w:t>
      </w:r>
      <w:r>
        <w:rPr>
          <w:color w:val="151515"/>
          <w:w w:val="110"/>
          <w:sz w:val="19"/>
        </w:rPr>
        <w:t>t</w:t>
      </w:r>
      <w:r>
        <w:rPr>
          <w:color w:val="2D2D2D"/>
          <w:w w:val="110"/>
          <w:sz w:val="19"/>
        </w:rPr>
        <w:t>e</w:t>
      </w:r>
      <w:r>
        <w:rPr>
          <w:color w:val="4D4D4D"/>
          <w:w w:val="110"/>
          <w:sz w:val="19"/>
        </w:rPr>
        <w:t>,</w:t>
      </w:r>
      <w:r>
        <w:rPr>
          <w:color w:val="4D4D4D"/>
          <w:spacing w:val="-43"/>
          <w:w w:val="110"/>
          <w:sz w:val="19"/>
        </w:rPr>
        <w:t> </w:t>
      </w:r>
      <w:r>
        <w:rPr>
          <w:color w:val="151515"/>
          <w:w w:val="110"/>
          <w:sz w:val="19"/>
        </w:rPr>
        <w:t>th</w:t>
      </w:r>
      <w:r>
        <w:rPr>
          <w:color w:val="2D2D2D"/>
          <w:w w:val="110"/>
          <w:sz w:val="19"/>
        </w:rPr>
        <w:t>ey</w:t>
      </w:r>
      <w:r>
        <w:rPr>
          <w:color w:val="2D2D2D"/>
          <w:spacing w:val="-24"/>
          <w:w w:val="110"/>
          <w:sz w:val="19"/>
        </w:rPr>
        <w:t> </w:t>
      </w:r>
      <w:r>
        <w:rPr>
          <w:color w:val="2D2D2D"/>
          <w:w w:val="110"/>
          <w:sz w:val="19"/>
        </w:rPr>
        <w:t>co</w:t>
      </w:r>
      <w:r>
        <w:rPr>
          <w:color w:val="151515"/>
          <w:w w:val="110"/>
          <w:sz w:val="19"/>
        </w:rPr>
        <w:t>ul</w:t>
      </w:r>
      <w:r>
        <w:rPr>
          <w:color w:val="2D2D2D"/>
          <w:w w:val="110"/>
          <w:sz w:val="19"/>
        </w:rPr>
        <w:t>d</w:t>
      </w:r>
      <w:r>
        <w:rPr>
          <w:color w:val="2D2D2D"/>
          <w:spacing w:val="-24"/>
          <w:w w:val="110"/>
          <w:sz w:val="19"/>
        </w:rPr>
        <w:t> </w:t>
      </w:r>
      <w:r>
        <w:rPr>
          <w:color w:val="151515"/>
          <w:w w:val="110"/>
          <w:sz w:val="19"/>
        </w:rPr>
        <w:t>r</w:t>
      </w:r>
      <w:r>
        <w:rPr>
          <w:color w:val="2D2D2D"/>
          <w:w w:val="110"/>
          <w:sz w:val="19"/>
        </w:rPr>
        <w:t>eas</w:t>
      </w:r>
      <w:r>
        <w:rPr>
          <w:color w:val="151515"/>
          <w:w w:val="110"/>
          <w:sz w:val="19"/>
        </w:rPr>
        <w:t>on</w:t>
      </w:r>
      <w:r>
        <w:rPr>
          <w:color w:val="2D2D2D"/>
          <w:w w:val="110"/>
          <w:sz w:val="19"/>
        </w:rPr>
        <w:t>a</w:t>
      </w:r>
      <w:r>
        <w:rPr>
          <w:color w:val="151515"/>
          <w:w w:val="110"/>
          <w:sz w:val="19"/>
        </w:rPr>
        <w:t>bl</w:t>
      </w:r>
      <w:r>
        <w:rPr>
          <w:color w:val="2D2D2D"/>
          <w:w w:val="110"/>
          <w:sz w:val="19"/>
        </w:rPr>
        <w:t>y</w:t>
      </w:r>
      <w:r>
        <w:rPr>
          <w:color w:val="2D2D2D"/>
          <w:spacing w:val="-18"/>
          <w:w w:val="110"/>
          <w:sz w:val="19"/>
        </w:rPr>
        <w:t> </w:t>
      </w:r>
      <w:r>
        <w:rPr>
          <w:color w:val="151515"/>
          <w:w w:val="110"/>
          <w:sz w:val="19"/>
        </w:rPr>
        <w:t>b</w:t>
      </w:r>
      <w:r>
        <w:rPr>
          <w:color w:val="2D2D2D"/>
          <w:w w:val="110"/>
          <w:sz w:val="19"/>
        </w:rPr>
        <w:t>e</w:t>
      </w:r>
      <w:r>
        <w:rPr>
          <w:color w:val="2D2D2D"/>
          <w:spacing w:val="-29"/>
          <w:w w:val="110"/>
          <w:sz w:val="19"/>
        </w:rPr>
        <w:t> </w:t>
      </w:r>
      <w:r>
        <w:rPr>
          <w:color w:val="2D2D2D"/>
          <w:w w:val="110"/>
          <w:sz w:val="19"/>
        </w:rPr>
        <w:t>ex</w:t>
      </w:r>
      <w:r>
        <w:rPr>
          <w:color w:val="151515"/>
          <w:w w:val="110"/>
          <w:sz w:val="19"/>
        </w:rPr>
        <w:t>pe</w:t>
      </w:r>
      <w:r>
        <w:rPr>
          <w:color w:val="2D2D2D"/>
          <w:w w:val="110"/>
          <w:sz w:val="19"/>
        </w:rPr>
        <w:t>c</w:t>
      </w:r>
      <w:r>
        <w:rPr>
          <w:color w:val="151515"/>
          <w:w w:val="110"/>
          <w:sz w:val="19"/>
        </w:rPr>
        <w:t>t</w:t>
      </w:r>
      <w:r>
        <w:rPr>
          <w:color w:val="2D2D2D"/>
          <w:w w:val="110"/>
          <w:sz w:val="19"/>
        </w:rPr>
        <w:t>e</w:t>
      </w:r>
      <w:r>
        <w:rPr>
          <w:color w:val="151515"/>
          <w:w w:val="110"/>
          <w:sz w:val="19"/>
        </w:rPr>
        <w:t>d</w:t>
      </w:r>
      <w:r>
        <w:rPr>
          <w:color w:val="151515"/>
          <w:spacing w:val="-32"/>
          <w:w w:val="110"/>
          <w:sz w:val="19"/>
        </w:rPr>
        <w:t> </w:t>
      </w:r>
      <w:r>
        <w:rPr>
          <w:color w:val="151515"/>
          <w:spacing w:val="-3"/>
          <w:w w:val="110"/>
          <w:sz w:val="19"/>
        </w:rPr>
        <w:t>t</w:t>
      </w:r>
      <w:r>
        <w:rPr>
          <w:color w:val="2D2D2D"/>
          <w:spacing w:val="-3"/>
          <w:w w:val="110"/>
          <w:sz w:val="19"/>
        </w:rPr>
        <w:t>o</w:t>
      </w:r>
      <w:r>
        <w:rPr>
          <w:color w:val="2D2D2D"/>
          <w:spacing w:val="-15"/>
          <w:w w:val="110"/>
          <w:sz w:val="19"/>
        </w:rPr>
        <w:t> </w:t>
      </w:r>
      <w:r>
        <w:rPr>
          <w:color w:val="151515"/>
          <w:w w:val="110"/>
          <w:sz w:val="19"/>
        </w:rPr>
        <w:t>influ</w:t>
      </w:r>
      <w:r>
        <w:rPr>
          <w:color w:val="2D2D2D"/>
          <w:w w:val="110"/>
          <w:sz w:val="19"/>
        </w:rPr>
        <w:t>e</w:t>
      </w:r>
      <w:r>
        <w:rPr>
          <w:color w:val="151515"/>
          <w:w w:val="110"/>
          <w:sz w:val="19"/>
        </w:rPr>
        <w:t>n</w:t>
      </w:r>
      <w:r>
        <w:rPr>
          <w:color w:val="2D2D2D"/>
          <w:w w:val="110"/>
          <w:sz w:val="19"/>
        </w:rPr>
        <w:t>ce</w:t>
      </w:r>
      <w:r>
        <w:rPr>
          <w:color w:val="2D2D2D"/>
          <w:spacing w:val="-29"/>
          <w:w w:val="110"/>
          <w:sz w:val="19"/>
        </w:rPr>
        <w:t> </w:t>
      </w:r>
      <w:r>
        <w:rPr>
          <w:color w:val="151515"/>
          <w:w w:val="110"/>
          <w:sz w:val="19"/>
        </w:rPr>
        <w:t>th</w:t>
      </w:r>
      <w:r>
        <w:rPr>
          <w:color w:val="2D2D2D"/>
          <w:w w:val="110"/>
          <w:sz w:val="19"/>
        </w:rPr>
        <w:t>e</w:t>
      </w:r>
      <w:r>
        <w:rPr>
          <w:color w:val="2D2D2D"/>
          <w:spacing w:val="-29"/>
          <w:w w:val="110"/>
          <w:sz w:val="19"/>
        </w:rPr>
        <w:t> </w:t>
      </w:r>
      <w:r>
        <w:rPr>
          <w:color w:val="2D2D2D"/>
          <w:w w:val="110"/>
          <w:sz w:val="19"/>
        </w:rPr>
        <w:t>eco</w:t>
      </w:r>
      <w:r>
        <w:rPr>
          <w:color w:val="151515"/>
          <w:w w:val="110"/>
          <w:sz w:val="19"/>
        </w:rPr>
        <w:t>n</w:t>
      </w:r>
      <w:r>
        <w:rPr>
          <w:color w:val="2D2D2D"/>
          <w:w w:val="110"/>
          <w:sz w:val="19"/>
        </w:rPr>
        <w:t>o</w:t>
      </w:r>
      <w:r>
        <w:rPr>
          <w:color w:val="151515"/>
          <w:w w:val="110"/>
          <w:sz w:val="19"/>
        </w:rPr>
        <w:t>mi</w:t>
      </w:r>
      <w:r>
        <w:rPr>
          <w:color w:val="2D2D2D"/>
          <w:w w:val="110"/>
          <w:sz w:val="19"/>
        </w:rPr>
        <w:t>c</w:t>
      </w:r>
      <w:r>
        <w:rPr>
          <w:color w:val="2D2D2D"/>
          <w:spacing w:val="-26"/>
          <w:w w:val="110"/>
          <w:sz w:val="19"/>
        </w:rPr>
        <w:t> </w:t>
      </w:r>
      <w:r>
        <w:rPr>
          <w:color w:val="2D2D2D"/>
          <w:spacing w:val="-3"/>
          <w:w w:val="110"/>
          <w:sz w:val="19"/>
        </w:rPr>
        <w:t>decis</w:t>
      </w:r>
      <w:r>
        <w:rPr>
          <w:color w:val="151515"/>
          <w:spacing w:val="-3"/>
          <w:w w:val="110"/>
          <w:sz w:val="19"/>
        </w:rPr>
        <w:t>i</w:t>
      </w:r>
      <w:r>
        <w:rPr>
          <w:color w:val="2D2D2D"/>
          <w:spacing w:val="-3"/>
          <w:w w:val="110"/>
          <w:sz w:val="19"/>
        </w:rPr>
        <w:t>o</w:t>
      </w:r>
      <w:r>
        <w:rPr>
          <w:color w:val="151515"/>
          <w:spacing w:val="-3"/>
          <w:w w:val="110"/>
          <w:sz w:val="19"/>
        </w:rPr>
        <w:t>n</w:t>
      </w:r>
      <w:r>
        <w:rPr>
          <w:color w:val="2D2D2D"/>
          <w:spacing w:val="-3"/>
          <w:w w:val="110"/>
          <w:sz w:val="19"/>
        </w:rPr>
        <w:t>s</w:t>
      </w:r>
      <w:r>
        <w:rPr>
          <w:color w:val="2D2D2D"/>
          <w:spacing w:val="-23"/>
          <w:w w:val="110"/>
          <w:sz w:val="19"/>
        </w:rPr>
        <w:t> </w:t>
      </w:r>
      <w:r>
        <w:rPr>
          <w:color w:val="151515"/>
          <w:w w:val="110"/>
          <w:sz w:val="19"/>
        </w:rPr>
        <w:t>u</w:t>
      </w:r>
      <w:r>
        <w:rPr>
          <w:color w:val="2D2D2D"/>
          <w:w w:val="110"/>
          <w:sz w:val="19"/>
        </w:rPr>
        <w:t>se</w:t>
      </w:r>
      <w:r>
        <w:rPr>
          <w:color w:val="4D4D4D"/>
          <w:w w:val="110"/>
          <w:sz w:val="19"/>
        </w:rPr>
        <w:t>r</w:t>
      </w:r>
      <w:r>
        <w:rPr>
          <w:color w:val="2D2D2D"/>
          <w:w w:val="110"/>
          <w:sz w:val="19"/>
        </w:rPr>
        <w:t>s</w:t>
      </w:r>
      <w:r>
        <w:rPr>
          <w:color w:val="2D2D2D"/>
          <w:spacing w:val="-28"/>
          <w:w w:val="110"/>
          <w:sz w:val="19"/>
        </w:rPr>
        <w:t> </w:t>
      </w:r>
      <w:r>
        <w:rPr>
          <w:color w:val="151515"/>
          <w:w w:val="110"/>
          <w:sz w:val="19"/>
        </w:rPr>
        <w:t>t</w:t>
      </w:r>
      <w:r>
        <w:rPr>
          <w:color w:val="2D2D2D"/>
          <w:w w:val="110"/>
          <w:sz w:val="19"/>
        </w:rPr>
        <w:t>ake</w:t>
      </w:r>
      <w:r>
        <w:rPr>
          <w:color w:val="2D2D2D"/>
          <w:spacing w:val="-27"/>
          <w:w w:val="110"/>
          <w:sz w:val="19"/>
        </w:rPr>
        <w:t> </w:t>
      </w:r>
      <w:r>
        <w:rPr>
          <w:color w:val="2D2D2D"/>
          <w:w w:val="110"/>
          <w:sz w:val="19"/>
        </w:rPr>
        <w:t>based o</w:t>
      </w:r>
      <w:r>
        <w:rPr>
          <w:color w:val="151515"/>
          <w:w w:val="110"/>
          <w:sz w:val="19"/>
        </w:rPr>
        <w:t>n</w:t>
      </w:r>
      <w:r>
        <w:rPr>
          <w:color w:val="151515"/>
          <w:spacing w:val="-46"/>
          <w:w w:val="110"/>
          <w:sz w:val="19"/>
        </w:rPr>
        <w:t> </w:t>
      </w:r>
      <w:r>
        <w:rPr>
          <w:color w:val="151515"/>
          <w:w w:val="110"/>
          <w:sz w:val="19"/>
        </w:rPr>
        <w:t>the </w:t>
      </w:r>
      <w:r>
        <w:rPr>
          <w:color w:val="151515"/>
          <w:spacing w:val="-5"/>
          <w:w w:val="110"/>
          <w:sz w:val="19"/>
        </w:rPr>
        <w:t>fin</w:t>
      </w:r>
      <w:r>
        <w:rPr>
          <w:color w:val="2D2D2D"/>
          <w:spacing w:val="-5"/>
          <w:w w:val="110"/>
          <w:sz w:val="19"/>
        </w:rPr>
        <w:t>a</w:t>
      </w:r>
      <w:r>
        <w:rPr>
          <w:color w:val="151515"/>
          <w:spacing w:val="-5"/>
          <w:w w:val="110"/>
          <w:sz w:val="19"/>
        </w:rPr>
        <w:t>n</w:t>
      </w:r>
      <w:r>
        <w:rPr>
          <w:color w:val="2D2D2D"/>
          <w:spacing w:val="-5"/>
          <w:w w:val="110"/>
          <w:sz w:val="19"/>
        </w:rPr>
        <w:t>c</w:t>
      </w:r>
      <w:r>
        <w:rPr>
          <w:color w:val="151515"/>
          <w:spacing w:val="-5"/>
          <w:w w:val="110"/>
          <w:sz w:val="19"/>
        </w:rPr>
        <w:t>i</w:t>
      </w:r>
      <w:r>
        <w:rPr>
          <w:color w:val="2D2D2D"/>
          <w:spacing w:val="-5"/>
          <w:w w:val="110"/>
          <w:sz w:val="19"/>
        </w:rPr>
        <w:t>a</w:t>
      </w:r>
      <w:r>
        <w:rPr>
          <w:color w:val="151515"/>
          <w:spacing w:val="-5"/>
          <w:w w:val="110"/>
          <w:sz w:val="19"/>
        </w:rPr>
        <w:t>l </w:t>
      </w:r>
      <w:r>
        <w:rPr>
          <w:color w:val="2D2D2D"/>
          <w:w w:val="110"/>
          <w:sz w:val="19"/>
        </w:rPr>
        <w:t>sta</w:t>
      </w:r>
      <w:r>
        <w:rPr>
          <w:color w:val="151515"/>
          <w:w w:val="110"/>
          <w:sz w:val="19"/>
        </w:rPr>
        <w:t>t</w:t>
      </w:r>
      <w:r>
        <w:rPr>
          <w:color w:val="2D2D2D"/>
          <w:w w:val="110"/>
          <w:sz w:val="19"/>
        </w:rPr>
        <w:t>e</w:t>
      </w:r>
      <w:r>
        <w:rPr>
          <w:color w:val="151515"/>
          <w:w w:val="110"/>
          <w:sz w:val="19"/>
        </w:rPr>
        <w:t>m</w:t>
      </w:r>
      <w:r>
        <w:rPr>
          <w:color w:val="2D2D2D"/>
          <w:w w:val="110"/>
          <w:sz w:val="19"/>
        </w:rPr>
        <w:t>e</w:t>
      </w:r>
      <w:r>
        <w:rPr>
          <w:color w:val="151515"/>
          <w:w w:val="110"/>
          <w:sz w:val="19"/>
        </w:rPr>
        <w:t>nt</w:t>
      </w:r>
      <w:r>
        <w:rPr>
          <w:color w:val="2D2D2D"/>
          <w:w w:val="110"/>
          <w:sz w:val="19"/>
        </w:rPr>
        <w:t>s</w:t>
      </w:r>
      <w:r>
        <w:rPr>
          <w:color w:val="4D4D4D"/>
          <w:w w:val="110"/>
          <w:sz w:val="19"/>
        </w:rPr>
        <w:t>.</w:t>
      </w:r>
    </w:p>
    <w:p>
      <w:pPr>
        <w:pStyle w:val="BodyText"/>
        <w:spacing w:before="7"/>
        <w:rPr>
          <w:sz w:val="15"/>
        </w:rPr>
      </w:pPr>
    </w:p>
    <w:p>
      <w:pPr>
        <w:spacing w:line="264" w:lineRule="auto" w:before="0"/>
        <w:ind w:left="132" w:right="1723" w:firstLine="0"/>
        <w:jc w:val="left"/>
        <w:rPr>
          <w:sz w:val="19"/>
        </w:rPr>
      </w:pPr>
      <w:r>
        <w:rPr>
          <w:color w:val="2D2D2D"/>
          <w:w w:val="105"/>
          <w:sz w:val="19"/>
        </w:rPr>
        <w:t>A </w:t>
      </w:r>
      <w:r>
        <w:rPr>
          <w:color w:val="151515"/>
          <w:spacing w:val="-3"/>
          <w:w w:val="105"/>
          <w:sz w:val="19"/>
        </w:rPr>
        <w:t>d</w:t>
      </w:r>
      <w:r>
        <w:rPr>
          <w:color w:val="2D2D2D"/>
          <w:spacing w:val="-3"/>
          <w:w w:val="105"/>
          <w:sz w:val="19"/>
        </w:rPr>
        <w:t>esc</w:t>
      </w:r>
      <w:r>
        <w:rPr>
          <w:color w:val="151515"/>
          <w:spacing w:val="-3"/>
          <w:w w:val="105"/>
          <w:sz w:val="19"/>
        </w:rPr>
        <w:t>ri</w:t>
      </w:r>
      <w:r>
        <w:rPr>
          <w:color w:val="2D2D2D"/>
          <w:spacing w:val="-3"/>
          <w:w w:val="105"/>
          <w:sz w:val="19"/>
        </w:rPr>
        <w:t>p</w:t>
      </w:r>
      <w:r>
        <w:rPr>
          <w:color w:val="151515"/>
          <w:spacing w:val="-3"/>
          <w:w w:val="105"/>
          <w:sz w:val="19"/>
        </w:rPr>
        <w:t>t</w:t>
      </w:r>
      <w:r>
        <w:rPr>
          <w:color w:val="2D2D2D"/>
          <w:spacing w:val="-3"/>
          <w:w w:val="105"/>
          <w:sz w:val="19"/>
        </w:rPr>
        <w:t>io</w:t>
      </w:r>
      <w:r>
        <w:rPr>
          <w:color w:val="151515"/>
          <w:spacing w:val="-3"/>
          <w:w w:val="105"/>
          <w:sz w:val="19"/>
        </w:rPr>
        <w:t>n </w:t>
      </w:r>
      <w:r>
        <w:rPr>
          <w:color w:val="2D2D2D"/>
          <w:w w:val="105"/>
          <w:sz w:val="19"/>
        </w:rPr>
        <w:t>of </w:t>
      </w:r>
      <w:r>
        <w:rPr>
          <w:color w:val="151515"/>
          <w:spacing w:val="-6"/>
          <w:w w:val="105"/>
          <w:sz w:val="19"/>
        </w:rPr>
        <w:t>m</w:t>
      </w:r>
      <w:r>
        <w:rPr>
          <w:color w:val="2D2D2D"/>
          <w:spacing w:val="-6"/>
          <w:w w:val="105"/>
          <w:sz w:val="19"/>
        </w:rPr>
        <w:t>y </w:t>
      </w:r>
      <w:r>
        <w:rPr>
          <w:color w:val="151515"/>
          <w:spacing w:val="-6"/>
          <w:w w:val="105"/>
          <w:sz w:val="19"/>
        </w:rPr>
        <w:t>r</w:t>
      </w:r>
      <w:r>
        <w:rPr>
          <w:color w:val="2D2D2D"/>
          <w:spacing w:val="-6"/>
          <w:w w:val="105"/>
          <w:sz w:val="19"/>
        </w:rPr>
        <w:t>espo</w:t>
      </w:r>
      <w:r>
        <w:rPr>
          <w:color w:val="151515"/>
          <w:spacing w:val="-6"/>
          <w:w w:val="105"/>
          <w:sz w:val="19"/>
        </w:rPr>
        <w:t>n</w:t>
      </w:r>
      <w:r>
        <w:rPr>
          <w:color w:val="2D2D2D"/>
          <w:spacing w:val="-6"/>
          <w:w w:val="105"/>
          <w:sz w:val="19"/>
        </w:rPr>
        <w:t>s</w:t>
      </w:r>
      <w:r>
        <w:rPr>
          <w:color w:val="151515"/>
          <w:spacing w:val="-6"/>
          <w:w w:val="105"/>
          <w:sz w:val="19"/>
        </w:rPr>
        <w:t>i</w:t>
      </w:r>
      <w:r>
        <w:rPr>
          <w:color w:val="2D2D2D"/>
          <w:spacing w:val="-6"/>
          <w:w w:val="105"/>
          <w:sz w:val="19"/>
        </w:rPr>
        <w:t>b</w:t>
      </w:r>
      <w:r>
        <w:rPr>
          <w:color w:val="151515"/>
          <w:spacing w:val="-6"/>
          <w:w w:val="105"/>
          <w:sz w:val="19"/>
        </w:rPr>
        <w:t>iliti</w:t>
      </w:r>
      <w:r>
        <w:rPr>
          <w:color w:val="2D2D2D"/>
          <w:spacing w:val="-6"/>
          <w:w w:val="105"/>
          <w:sz w:val="19"/>
        </w:rPr>
        <w:t>es </w:t>
      </w:r>
      <w:r>
        <w:rPr>
          <w:color w:val="2D2D2D"/>
          <w:spacing w:val="2"/>
          <w:w w:val="105"/>
          <w:sz w:val="19"/>
        </w:rPr>
        <w:t>fo</w:t>
      </w:r>
      <w:r>
        <w:rPr>
          <w:color w:val="151515"/>
          <w:spacing w:val="2"/>
          <w:w w:val="105"/>
          <w:sz w:val="19"/>
        </w:rPr>
        <w:t>r </w:t>
      </w:r>
      <w:r>
        <w:rPr>
          <w:color w:val="151515"/>
          <w:spacing w:val="-3"/>
          <w:w w:val="105"/>
          <w:sz w:val="19"/>
        </w:rPr>
        <w:t>th</w:t>
      </w:r>
      <w:r>
        <w:rPr>
          <w:color w:val="2D2D2D"/>
          <w:spacing w:val="-3"/>
          <w:w w:val="105"/>
          <w:sz w:val="19"/>
        </w:rPr>
        <w:t>e </w:t>
      </w:r>
      <w:r>
        <w:rPr>
          <w:color w:val="2D2D2D"/>
          <w:w w:val="105"/>
          <w:sz w:val="19"/>
        </w:rPr>
        <w:t>a</w:t>
      </w:r>
      <w:r>
        <w:rPr>
          <w:color w:val="151515"/>
          <w:w w:val="105"/>
          <w:sz w:val="19"/>
        </w:rPr>
        <w:t>udit </w:t>
      </w:r>
      <w:r>
        <w:rPr>
          <w:color w:val="2D2D2D"/>
          <w:w w:val="105"/>
          <w:sz w:val="19"/>
        </w:rPr>
        <w:t>o</w:t>
      </w:r>
      <w:r>
        <w:rPr>
          <w:color w:val="151515"/>
          <w:w w:val="105"/>
          <w:sz w:val="19"/>
        </w:rPr>
        <w:t>f th</w:t>
      </w:r>
      <w:r>
        <w:rPr>
          <w:color w:val="2D2D2D"/>
          <w:w w:val="105"/>
          <w:sz w:val="19"/>
        </w:rPr>
        <w:t>e </w:t>
      </w:r>
      <w:r>
        <w:rPr>
          <w:color w:val="151515"/>
          <w:w w:val="105"/>
          <w:sz w:val="19"/>
        </w:rPr>
        <w:t>fin</w:t>
      </w:r>
      <w:r>
        <w:rPr>
          <w:color w:val="2D2D2D"/>
          <w:w w:val="105"/>
          <w:sz w:val="19"/>
        </w:rPr>
        <w:t>a</w:t>
      </w:r>
      <w:r>
        <w:rPr>
          <w:color w:val="151515"/>
          <w:w w:val="105"/>
          <w:sz w:val="19"/>
        </w:rPr>
        <w:t>n</w:t>
      </w:r>
      <w:r>
        <w:rPr>
          <w:color w:val="2D2D2D"/>
          <w:w w:val="105"/>
          <w:sz w:val="19"/>
        </w:rPr>
        <w:t>c</w:t>
      </w:r>
      <w:r>
        <w:rPr>
          <w:color w:val="151515"/>
          <w:w w:val="105"/>
          <w:sz w:val="19"/>
        </w:rPr>
        <w:t>i</w:t>
      </w:r>
      <w:r>
        <w:rPr>
          <w:color w:val="2D2D2D"/>
          <w:w w:val="105"/>
          <w:sz w:val="19"/>
        </w:rPr>
        <w:t>a</w:t>
      </w:r>
      <w:r>
        <w:rPr>
          <w:color w:val="151515"/>
          <w:w w:val="105"/>
          <w:sz w:val="19"/>
        </w:rPr>
        <w:t>l </w:t>
      </w:r>
      <w:r>
        <w:rPr>
          <w:color w:val="2D2D2D"/>
          <w:spacing w:val="-3"/>
          <w:w w:val="105"/>
          <w:sz w:val="19"/>
        </w:rPr>
        <w:t>s</w:t>
      </w:r>
      <w:r>
        <w:rPr>
          <w:color w:val="151515"/>
          <w:spacing w:val="-3"/>
          <w:w w:val="105"/>
          <w:sz w:val="19"/>
        </w:rPr>
        <w:t>t</w:t>
      </w:r>
      <w:r>
        <w:rPr>
          <w:color w:val="2D2D2D"/>
          <w:spacing w:val="-3"/>
          <w:w w:val="105"/>
          <w:sz w:val="19"/>
        </w:rPr>
        <w:t>a</w:t>
      </w:r>
      <w:r>
        <w:rPr>
          <w:color w:val="151515"/>
          <w:spacing w:val="-3"/>
          <w:w w:val="105"/>
          <w:sz w:val="19"/>
        </w:rPr>
        <w:t>t</w:t>
      </w:r>
      <w:r>
        <w:rPr>
          <w:color w:val="2D2D2D"/>
          <w:spacing w:val="-3"/>
          <w:w w:val="105"/>
          <w:sz w:val="19"/>
        </w:rPr>
        <w:t>e</w:t>
      </w:r>
      <w:r>
        <w:rPr>
          <w:color w:val="151515"/>
          <w:spacing w:val="-3"/>
          <w:w w:val="105"/>
          <w:sz w:val="19"/>
        </w:rPr>
        <w:t>m</w:t>
      </w:r>
      <w:r>
        <w:rPr>
          <w:color w:val="2D2D2D"/>
          <w:spacing w:val="-3"/>
          <w:w w:val="105"/>
          <w:sz w:val="19"/>
        </w:rPr>
        <w:t>e</w:t>
      </w:r>
      <w:r>
        <w:rPr>
          <w:color w:val="151515"/>
          <w:spacing w:val="-3"/>
          <w:w w:val="105"/>
          <w:sz w:val="19"/>
        </w:rPr>
        <w:t>n</w:t>
      </w:r>
      <w:r>
        <w:rPr>
          <w:color w:val="2D2D2D"/>
          <w:spacing w:val="-3"/>
          <w:w w:val="105"/>
          <w:sz w:val="19"/>
        </w:rPr>
        <w:t>ts </w:t>
      </w:r>
      <w:r>
        <w:rPr>
          <w:color w:val="151515"/>
          <w:spacing w:val="-15"/>
          <w:w w:val="105"/>
          <w:sz w:val="19"/>
        </w:rPr>
        <w:t>i</w:t>
      </w:r>
      <w:r>
        <w:rPr>
          <w:color w:val="2D2D2D"/>
          <w:spacing w:val="-15"/>
          <w:w w:val="105"/>
          <w:sz w:val="19"/>
        </w:rPr>
        <w:t>s  </w:t>
      </w:r>
      <w:r>
        <w:rPr>
          <w:color w:val="151515"/>
          <w:spacing w:val="-4"/>
          <w:w w:val="105"/>
          <w:sz w:val="19"/>
        </w:rPr>
        <w:t>l</w:t>
      </w:r>
      <w:r>
        <w:rPr>
          <w:color w:val="2D2D2D"/>
          <w:spacing w:val="-4"/>
          <w:w w:val="105"/>
          <w:sz w:val="19"/>
        </w:rPr>
        <w:t>oca</w:t>
      </w:r>
      <w:r>
        <w:rPr>
          <w:color w:val="151515"/>
          <w:spacing w:val="-4"/>
          <w:w w:val="105"/>
          <w:sz w:val="19"/>
        </w:rPr>
        <w:t>t</w:t>
      </w:r>
      <w:r>
        <w:rPr>
          <w:color w:val="2D2D2D"/>
          <w:spacing w:val="-4"/>
          <w:w w:val="105"/>
          <w:sz w:val="19"/>
        </w:rPr>
        <w:t>ed a</w:t>
      </w:r>
      <w:r>
        <w:rPr>
          <w:color w:val="151515"/>
          <w:spacing w:val="-4"/>
          <w:w w:val="105"/>
          <w:sz w:val="19"/>
        </w:rPr>
        <w:t>t </w:t>
      </w:r>
      <w:r>
        <w:rPr>
          <w:color w:val="151515"/>
          <w:w w:val="105"/>
          <w:sz w:val="19"/>
        </w:rPr>
        <w:t>t</w:t>
      </w:r>
      <w:r>
        <w:rPr>
          <w:color w:val="4D4D4D"/>
          <w:w w:val="105"/>
          <w:sz w:val="19"/>
        </w:rPr>
        <w:t>h</w:t>
      </w:r>
      <w:r>
        <w:rPr>
          <w:color w:val="2D2D2D"/>
          <w:w w:val="105"/>
          <w:sz w:val="19"/>
        </w:rPr>
        <w:t>e </w:t>
      </w:r>
      <w:r>
        <w:rPr>
          <w:color w:val="2D2D2D"/>
          <w:spacing w:val="2"/>
          <w:w w:val="105"/>
          <w:sz w:val="19"/>
        </w:rPr>
        <w:t>Audi</w:t>
      </w:r>
      <w:r>
        <w:rPr>
          <w:color w:val="151515"/>
          <w:spacing w:val="2"/>
          <w:w w:val="105"/>
          <w:sz w:val="19"/>
        </w:rPr>
        <w:t>t</w:t>
      </w:r>
      <w:r>
        <w:rPr>
          <w:color w:val="2D2D2D"/>
          <w:spacing w:val="2"/>
          <w:w w:val="105"/>
          <w:sz w:val="19"/>
        </w:rPr>
        <w:t>ing  </w:t>
      </w:r>
      <w:r>
        <w:rPr>
          <w:color w:val="2D2D2D"/>
          <w:spacing w:val="-5"/>
          <w:w w:val="105"/>
          <w:sz w:val="19"/>
        </w:rPr>
        <w:t>a</w:t>
      </w:r>
      <w:r>
        <w:rPr>
          <w:color w:val="151515"/>
          <w:spacing w:val="-5"/>
          <w:w w:val="105"/>
          <w:sz w:val="19"/>
        </w:rPr>
        <w:t>n</w:t>
      </w:r>
      <w:r>
        <w:rPr>
          <w:color w:val="2D2D2D"/>
          <w:spacing w:val="-5"/>
          <w:w w:val="105"/>
          <w:sz w:val="19"/>
        </w:rPr>
        <w:t>d </w:t>
      </w:r>
      <w:r>
        <w:rPr>
          <w:color w:val="2D2D2D"/>
          <w:w w:val="105"/>
          <w:sz w:val="19"/>
        </w:rPr>
        <w:t>Ass</w:t>
      </w:r>
      <w:r>
        <w:rPr>
          <w:color w:val="151515"/>
          <w:w w:val="105"/>
          <w:sz w:val="19"/>
        </w:rPr>
        <w:t>ur</w:t>
      </w:r>
      <w:r>
        <w:rPr>
          <w:color w:val="2D2D2D"/>
          <w:w w:val="105"/>
          <w:sz w:val="19"/>
        </w:rPr>
        <w:t>a</w:t>
      </w:r>
      <w:r>
        <w:rPr>
          <w:color w:val="151515"/>
          <w:w w:val="105"/>
          <w:sz w:val="19"/>
        </w:rPr>
        <w:t>n</w:t>
      </w:r>
      <w:r>
        <w:rPr>
          <w:color w:val="2D2D2D"/>
          <w:w w:val="105"/>
          <w:sz w:val="19"/>
        </w:rPr>
        <w:t>ce S</w:t>
      </w:r>
      <w:r>
        <w:rPr>
          <w:color w:val="151515"/>
          <w:w w:val="105"/>
          <w:sz w:val="19"/>
        </w:rPr>
        <w:t>t</w:t>
      </w:r>
      <w:r>
        <w:rPr>
          <w:color w:val="2D2D2D"/>
          <w:w w:val="105"/>
          <w:sz w:val="19"/>
        </w:rPr>
        <w:t>a</w:t>
      </w:r>
      <w:r>
        <w:rPr>
          <w:color w:val="151515"/>
          <w:w w:val="105"/>
          <w:sz w:val="19"/>
        </w:rPr>
        <w:t>n</w:t>
      </w:r>
      <w:r>
        <w:rPr>
          <w:color w:val="2D2D2D"/>
          <w:w w:val="105"/>
          <w:sz w:val="19"/>
        </w:rPr>
        <w:t>dar</w:t>
      </w:r>
      <w:r>
        <w:rPr>
          <w:color w:val="151515"/>
          <w:w w:val="105"/>
          <w:sz w:val="19"/>
        </w:rPr>
        <w:t>d</w:t>
      </w:r>
      <w:r>
        <w:rPr>
          <w:color w:val="2D2D2D"/>
          <w:w w:val="105"/>
          <w:sz w:val="19"/>
        </w:rPr>
        <w:t>s Boa</w:t>
      </w:r>
      <w:r>
        <w:rPr>
          <w:color w:val="151515"/>
          <w:w w:val="105"/>
          <w:sz w:val="19"/>
        </w:rPr>
        <w:t>rd </w:t>
      </w:r>
      <w:r>
        <w:rPr>
          <w:color w:val="2D2D2D"/>
          <w:w w:val="105"/>
          <w:sz w:val="19"/>
        </w:rPr>
        <w:t>w</w:t>
      </w:r>
      <w:r>
        <w:rPr>
          <w:color w:val="151515"/>
          <w:w w:val="105"/>
          <w:sz w:val="19"/>
        </w:rPr>
        <w:t>e</w:t>
      </w:r>
      <w:r>
        <w:rPr>
          <w:color w:val="2D2D2D"/>
          <w:w w:val="105"/>
          <w:sz w:val="19"/>
        </w:rPr>
        <w:t>bs</w:t>
      </w:r>
      <w:r>
        <w:rPr>
          <w:color w:val="151515"/>
          <w:w w:val="105"/>
          <w:sz w:val="19"/>
        </w:rPr>
        <w:t>it</w:t>
      </w:r>
      <w:r>
        <w:rPr>
          <w:color w:val="2D2D2D"/>
          <w:w w:val="105"/>
          <w:sz w:val="19"/>
        </w:rPr>
        <w:t>e a</w:t>
      </w:r>
      <w:r>
        <w:rPr>
          <w:color w:val="151515"/>
          <w:w w:val="105"/>
          <w:sz w:val="19"/>
        </w:rPr>
        <w:t>t </w:t>
      </w:r>
      <w:hyperlink r:id="rId129">
        <w:r>
          <w:rPr>
            <w:color w:val="2D2D2D"/>
            <w:w w:val="105"/>
            <w:sz w:val="19"/>
            <w:u w:val="single" w:color="000000"/>
          </w:rPr>
          <w:t>h</w:t>
        </w:r>
        <w:r>
          <w:rPr>
            <w:color w:val="151515"/>
            <w:w w:val="105"/>
            <w:sz w:val="19"/>
            <w:u w:val="single" w:color="000000"/>
          </w:rPr>
          <w:t>tt</w:t>
        </w:r>
        <w:r>
          <w:rPr>
            <w:color w:val="2D2D2D"/>
            <w:w w:val="105"/>
            <w:sz w:val="19"/>
            <w:u w:val="single" w:color="000000"/>
          </w:rPr>
          <w:t>p</w:t>
        </w:r>
        <w:r>
          <w:rPr>
            <w:color w:val="606060"/>
            <w:w w:val="105"/>
            <w:sz w:val="19"/>
            <w:u w:val="single" w:color="000000"/>
          </w:rPr>
          <w:t>:</w:t>
        </w:r>
        <w:r>
          <w:rPr>
            <w:color w:val="2D2D2D"/>
            <w:w w:val="105"/>
            <w:sz w:val="19"/>
            <w:u w:val="single" w:color="000000"/>
          </w:rPr>
          <w:t>//www.auasb</w:t>
        </w:r>
        <w:r>
          <w:rPr>
            <w:color w:val="4D4D4D"/>
            <w:w w:val="105"/>
            <w:sz w:val="19"/>
            <w:u w:val="single" w:color="000000"/>
          </w:rPr>
          <w:t>.</w:t>
        </w:r>
        <w:r>
          <w:rPr>
            <w:color w:val="2D2D2D"/>
            <w:w w:val="105"/>
            <w:sz w:val="19"/>
            <w:u w:val="single" w:color="000000"/>
          </w:rPr>
          <w:t>gov</w:t>
        </w:r>
        <w:r>
          <w:rPr>
            <w:color w:val="606060"/>
            <w:w w:val="105"/>
            <w:sz w:val="19"/>
            <w:u w:val="single" w:color="000000"/>
          </w:rPr>
          <w:t>.</w:t>
        </w:r>
        <w:r>
          <w:rPr>
            <w:color w:val="2D2D2D"/>
            <w:w w:val="105"/>
            <w:sz w:val="19"/>
            <w:u w:val="single" w:color="000000"/>
          </w:rPr>
          <w:t>au/</w:t>
        </w:r>
        <w:r>
          <w:rPr>
            <w:color w:val="4D4D4D"/>
            <w:w w:val="105"/>
            <w:sz w:val="19"/>
            <w:u w:val="single" w:color="000000"/>
          </w:rPr>
          <w:t>a</w:t>
        </w:r>
        <w:r>
          <w:rPr>
            <w:color w:val="2D2D2D"/>
            <w:w w:val="105"/>
            <w:sz w:val="19"/>
            <w:u w:val="single" w:color="000000"/>
          </w:rPr>
          <w:t>udi</w:t>
        </w:r>
        <w:r>
          <w:rPr>
            <w:color w:val="151515"/>
            <w:w w:val="105"/>
            <w:sz w:val="19"/>
            <w:u w:val="single" w:color="000000"/>
          </w:rPr>
          <w:t>t</w:t>
        </w:r>
        <w:r>
          <w:rPr>
            <w:color w:val="4D4D4D"/>
            <w:w w:val="105"/>
            <w:sz w:val="19"/>
            <w:u w:val="single" w:color="000000"/>
          </w:rPr>
          <w:t>o</w:t>
        </w:r>
        <w:r>
          <w:rPr>
            <w:color w:val="2D2D2D"/>
            <w:w w:val="105"/>
            <w:sz w:val="19"/>
            <w:u w:val="single" w:color="000000"/>
          </w:rPr>
          <w:t>r</w:t>
        </w:r>
        <w:r>
          <w:rPr>
            <w:color w:val="4D4D4D"/>
            <w:w w:val="105"/>
            <w:sz w:val="19"/>
            <w:u w:val="single" w:color="000000"/>
          </w:rPr>
          <w:t>s </w:t>
        </w:r>
        <w:r>
          <w:rPr>
            <w:color w:val="2D2D2D"/>
            <w:spacing w:val="-3"/>
            <w:w w:val="105"/>
            <w:sz w:val="19"/>
            <w:u w:val="single" w:color="000000"/>
          </w:rPr>
          <w:t>res</w:t>
        </w:r>
        <w:r>
          <w:rPr>
            <w:color w:val="4D4D4D"/>
            <w:spacing w:val="-3"/>
            <w:w w:val="105"/>
            <w:sz w:val="19"/>
            <w:u w:val="single" w:color="000000"/>
          </w:rPr>
          <w:t>pon</w:t>
        </w:r>
        <w:r>
          <w:rPr>
            <w:color w:val="2D2D2D"/>
            <w:spacing w:val="-3"/>
            <w:w w:val="105"/>
            <w:sz w:val="19"/>
            <w:u w:val="single" w:color="000000"/>
          </w:rPr>
          <w:t>s</w:t>
        </w:r>
        <w:r>
          <w:rPr>
            <w:color w:val="151515"/>
            <w:spacing w:val="-3"/>
            <w:w w:val="105"/>
            <w:sz w:val="19"/>
            <w:u w:val="single" w:color="000000"/>
          </w:rPr>
          <w:t>i</w:t>
        </w:r>
        <w:r>
          <w:rPr>
            <w:color w:val="2D2D2D"/>
            <w:spacing w:val="-3"/>
            <w:w w:val="105"/>
            <w:sz w:val="19"/>
            <w:u w:val="single" w:color="000000"/>
          </w:rPr>
          <w:t>bi</w:t>
        </w:r>
        <w:r>
          <w:rPr>
            <w:color w:val="151515"/>
            <w:spacing w:val="-3"/>
            <w:w w:val="105"/>
            <w:sz w:val="19"/>
            <w:u w:val="single" w:color="000000"/>
          </w:rPr>
          <w:t>l</w:t>
        </w:r>
        <w:r>
          <w:rPr>
            <w:color w:val="2D2D2D"/>
            <w:spacing w:val="-3"/>
            <w:w w:val="105"/>
            <w:sz w:val="19"/>
            <w:u w:val="single" w:color="000000"/>
          </w:rPr>
          <w:t>it</w:t>
        </w:r>
        <w:r>
          <w:rPr>
            <w:color w:val="151515"/>
            <w:spacing w:val="-3"/>
            <w:w w:val="105"/>
            <w:sz w:val="19"/>
            <w:u w:val="single" w:color="000000"/>
          </w:rPr>
          <w:t>i</w:t>
        </w:r>
        <w:r>
          <w:rPr>
            <w:color w:val="2D2D2D"/>
            <w:spacing w:val="-3"/>
            <w:w w:val="105"/>
            <w:sz w:val="19"/>
            <w:u w:val="single" w:color="000000"/>
          </w:rPr>
          <w:t>es</w:t>
        </w:r>
        <w:r>
          <w:rPr>
            <w:color w:val="606060"/>
            <w:spacing w:val="-3"/>
            <w:w w:val="105"/>
            <w:sz w:val="19"/>
            <w:u w:val="single" w:color="000000"/>
          </w:rPr>
          <w:t>/</w:t>
        </w:r>
        <w:r>
          <w:rPr>
            <w:color w:val="2D2D2D"/>
            <w:spacing w:val="-3"/>
            <w:w w:val="105"/>
            <w:sz w:val="19"/>
            <w:u w:val="single" w:color="000000"/>
          </w:rPr>
          <w:t>ar3</w:t>
        </w:r>
        <w:r>
          <w:rPr>
            <w:color w:val="4D4D4D"/>
            <w:spacing w:val="-3"/>
            <w:w w:val="105"/>
            <w:sz w:val="19"/>
            <w:u w:val="single" w:color="000000"/>
          </w:rPr>
          <w:t>.p</w:t>
        </w:r>
        <w:r>
          <w:rPr>
            <w:color w:val="2D2D2D"/>
            <w:spacing w:val="-3"/>
            <w:w w:val="105"/>
            <w:sz w:val="19"/>
            <w:u w:val="single" w:color="000000"/>
          </w:rPr>
          <w:t>d</w:t>
        </w:r>
        <w:r>
          <w:rPr>
            <w:color w:val="606060"/>
            <w:spacing w:val="-3"/>
            <w:w w:val="105"/>
            <w:sz w:val="19"/>
          </w:rPr>
          <w:t>f</w:t>
        </w:r>
      </w:hyperlink>
      <w:r>
        <w:rPr>
          <w:color w:val="606060"/>
          <w:spacing w:val="-3"/>
          <w:w w:val="105"/>
          <w:sz w:val="19"/>
        </w:rPr>
        <w:t> </w:t>
      </w:r>
      <w:r>
        <w:rPr>
          <w:color w:val="151515"/>
          <w:spacing w:val="2"/>
          <w:w w:val="105"/>
          <w:sz w:val="19"/>
        </w:rPr>
        <w:t>Th</w:t>
      </w:r>
      <w:r>
        <w:rPr>
          <w:color w:val="2D2D2D"/>
          <w:spacing w:val="2"/>
          <w:w w:val="105"/>
          <w:sz w:val="19"/>
        </w:rPr>
        <w:t>e </w:t>
      </w:r>
      <w:r>
        <w:rPr>
          <w:color w:val="151515"/>
          <w:w w:val="105"/>
          <w:sz w:val="19"/>
        </w:rPr>
        <w:t>d</w:t>
      </w:r>
      <w:r>
        <w:rPr>
          <w:color w:val="2D2D2D"/>
          <w:w w:val="105"/>
          <w:sz w:val="19"/>
        </w:rPr>
        <w:t>esc</w:t>
      </w:r>
      <w:r>
        <w:rPr>
          <w:color w:val="151515"/>
          <w:w w:val="105"/>
          <w:sz w:val="19"/>
        </w:rPr>
        <w:t>ripti</w:t>
      </w:r>
      <w:r>
        <w:rPr>
          <w:color w:val="2D2D2D"/>
          <w:w w:val="105"/>
          <w:sz w:val="19"/>
        </w:rPr>
        <w:t>o</w:t>
      </w:r>
      <w:r>
        <w:rPr>
          <w:color w:val="151515"/>
          <w:w w:val="105"/>
          <w:sz w:val="19"/>
        </w:rPr>
        <w:t>n f</w:t>
      </w:r>
      <w:r>
        <w:rPr>
          <w:color w:val="2D2D2D"/>
          <w:w w:val="105"/>
          <w:sz w:val="19"/>
        </w:rPr>
        <w:t>o</w:t>
      </w:r>
      <w:r>
        <w:rPr>
          <w:color w:val="151515"/>
          <w:w w:val="105"/>
          <w:sz w:val="19"/>
        </w:rPr>
        <w:t>rm</w:t>
      </w:r>
      <w:r>
        <w:rPr>
          <w:color w:val="2D2D2D"/>
          <w:w w:val="105"/>
          <w:sz w:val="19"/>
        </w:rPr>
        <w:t>s </w:t>
      </w:r>
      <w:r>
        <w:rPr>
          <w:color w:val="151515"/>
          <w:w w:val="105"/>
          <w:sz w:val="19"/>
        </w:rPr>
        <w:t>p</w:t>
      </w:r>
      <w:r>
        <w:rPr>
          <w:color w:val="2D2D2D"/>
          <w:w w:val="105"/>
          <w:sz w:val="19"/>
        </w:rPr>
        <w:t>art </w:t>
      </w:r>
      <w:r>
        <w:rPr>
          <w:color w:val="2D2D2D"/>
          <w:spacing w:val="-7"/>
          <w:w w:val="105"/>
          <w:sz w:val="19"/>
        </w:rPr>
        <w:t>o</w:t>
      </w:r>
      <w:r>
        <w:rPr>
          <w:color w:val="151515"/>
          <w:spacing w:val="-7"/>
          <w:w w:val="105"/>
          <w:sz w:val="19"/>
        </w:rPr>
        <w:t>f </w:t>
      </w:r>
      <w:r>
        <w:rPr>
          <w:color w:val="2D2D2D"/>
          <w:w w:val="105"/>
          <w:sz w:val="19"/>
        </w:rPr>
        <w:t>my aud</w:t>
      </w:r>
      <w:r>
        <w:rPr>
          <w:color w:val="151515"/>
          <w:w w:val="105"/>
          <w:sz w:val="19"/>
        </w:rPr>
        <w:t>it</w:t>
      </w:r>
      <w:r>
        <w:rPr>
          <w:color w:val="2D2D2D"/>
          <w:w w:val="105"/>
          <w:sz w:val="19"/>
        </w:rPr>
        <w:t>o</w:t>
      </w:r>
      <w:r>
        <w:rPr>
          <w:color w:val="151515"/>
          <w:w w:val="105"/>
          <w:sz w:val="19"/>
        </w:rPr>
        <w:t>r</w:t>
      </w:r>
      <w:r>
        <w:rPr>
          <w:color w:val="2D2D2D"/>
          <w:w w:val="105"/>
          <w:sz w:val="19"/>
        </w:rPr>
        <w:t>'s</w:t>
      </w:r>
      <w:r>
        <w:rPr>
          <w:color w:val="2D2D2D"/>
          <w:spacing w:val="-8"/>
          <w:w w:val="105"/>
          <w:sz w:val="19"/>
        </w:rPr>
        <w:t> </w:t>
      </w:r>
      <w:r>
        <w:rPr>
          <w:color w:val="151515"/>
          <w:w w:val="105"/>
          <w:sz w:val="19"/>
        </w:rPr>
        <w:t>r</w:t>
      </w:r>
      <w:r>
        <w:rPr>
          <w:color w:val="2D2D2D"/>
          <w:w w:val="105"/>
          <w:sz w:val="19"/>
        </w:rPr>
        <w:t>epo</w:t>
      </w:r>
      <w:r>
        <w:rPr>
          <w:color w:val="151515"/>
          <w:w w:val="105"/>
          <w:sz w:val="19"/>
        </w:rPr>
        <w:t>rt</w:t>
      </w:r>
      <w:r>
        <w:rPr>
          <w:color w:val="4D4D4D"/>
          <w:w w:val="105"/>
          <w:sz w:val="19"/>
        </w:rPr>
        <w:t>.</w:t>
      </w:r>
    </w:p>
    <w:p>
      <w:pPr>
        <w:pStyle w:val="BodyText"/>
        <w:spacing w:before="9"/>
        <w:rPr>
          <w:sz w:val="14"/>
        </w:rPr>
      </w:pPr>
    </w:p>
    <w:p>
      <w:pPr>
        <w:spacing w:before="0"/>
        <w:ind w:left="147" w:right="1531" w:firstLine="0"/>
        <w:jc w:val="left"/>
        <w:rPr>
          <w:sz w:val="19"/>
        </w:rPr>
      </w:pPr>
      <w:r>
        <w:rPr>
          <w:color w:val="151515"/>
          <w:w w:val="105"/>
          <w:sz w:val="19"/>
        </w:rPr>
        <w:t>M</w:t>
      </w:r>
      <w:r>
        <w:rPr>
          <w:color w:val="2D2D2D"/>
          <w:w w:val="105"/>
          <w:sz w:val="19"/>
        </w:rPr>
        <w:t>y op</w:t>
      </w:r>
      <w:r>
        <w:rPr>
          <w:color w:val="151515"/>
          <w:w w:val="105"/>
          <w:sz w:val="19"/>
        </w:rPr>
        <w:t>ini</w:t>
      </w:r>
      <w:r>
        <w:rPr>
          <w:color w:val="2D2D2D"/>
          <w:w w:val="105"/>
          <w:sz w:val="19"/>
        </w:rPr>
        <w:t>o</w:t>
      </w:r>
      <w:r>
        <w:rPr>
          <w:color w:val="151515"/>
          <w:w w:val="105"/>
          <w:sz w:val="19"/>
        </w:rPr>
        <w:t>n d</w:t>
      </w:r>
      <w:r>
        <w:rPr>
          <w:color w:val="2D2D2D"/>
          <w:w w:val="105"/>
          <w:sz w:val="19"/>
        </w:rPr>
        <w:t>oes </w:t>
      </w:r>
      <w:r>
        <w:rPr>
          <w:i/>
          <w:color w:val="151515"/>
          <w:w w:val="105"/>
          <w:sz w:val="19"/>
        </w:rPr>
        <w:t>n</w:t>
      </w:r>
      <w:r>
        <w:rPr>
          <w:i/>
          <w:color w:val="2D2D2D"/>
          <w:w w:val="105"/>
          <w:sz w:val="19"/>
        </w:rPr>
        <w:t>ot </w:t>
      </w:r>
      <w:r>
        <w:rPr>
          <w:color w:val="2D2D2D"/>
          <w:w w:val="105"/>
          <w:sz w:val="19"/>
        </w:rPr>
        <w:t>p</w:t>
      </w:r>
      <w:r>
        <w:rPr>
          <w:color w:val="151515"/>
          <w:w w:val="105"/>
          <w:sz w:val="19"/>
        </w:rPr>
        <w:t>r</w:t>
      </w:r>
      <w:r>
        <w:rPr>
          <w:color w:val="2D2D2D"/>
          <w:w w:val="105"/>
          <w:sz w:val="19"/>
        </w:rPr>
        <w:t>o</w:t>
      </w:r>
      <w:r>
        <w:rPr>
          <w:color w:val="151515"/>
          <w:w w:val="105"/>
          <w:sz w:val="19"/>
        </w:rPr>
        <w:t>vi</w:t>
      </w:r>
      <w:r>
        <w:rPr>
          <w:color w:val="2D2D2D"/>
          <w:w w:val="105"/>
          <w:sz w:val="19"/>
        </w:rPr>
        <w:t>de ass</w:t>
      </w:r>
      <w:r>
        <w:rPr>
          <w:color w:val="151515"/>
          <w:w w:val="105"/>
          <w:sz w:val="19"/>
        </w:rPr>
        <w:t>ur</w:t>
      </w:r>
      <w:r>
        <w:rPr>
          <w:color w:val="2D2D2D"/>
          <w:w w:val="105"/>
          <w:sz w:val="19"/>
        </w:rPr>
        <w:t>ance</w:t>
      </w:r>
      <w:r>
        <w:rPr>
          <w:color w:val="606060"/>
          <w:w w:val="105"/>
          <w:sz w:val="19"/>
        </w:rPr>
        <w:t>:</w:t>
      </w:r>
    </w:p>
    <w:p>
      <w:pPr>
        <w:pStyle w:val="BodyText"/>
        <w:spacing w:before="7"/>
        <w:rPr>
          <w:sz w:val="16"/>
        </w:rPr>
      </w:pPr>
    </w:p>
    <w:p>
      <w:pPr>
        <w:spacing w:before="1"/>
        <w:ind w:left="492" w:right="1531" w:firstLine="0"/>
        <w:jc w:val="left"/>
        <w:rPr>
          <w:sz w:val="19"/>
        </w:rPr>
      </w:pPr>
      <w:r>
        <w:rPr>
          <w:color w:val="2D2D2D"/>
          <w:w w:val="105"/>
          <w:sz w:val="19"/>
        </w:rPr>
        <w:t>t</w:t>
      </w:r>
      <w:r>
        <w:rPr>
          <w:color w:val="151515"/>
          <w:w w:val="105"/>
          <w:sz w:val="19"/>
        </w:rPr>
        <w:t>h</w:t>
      </w:r>
      <w:r>
        <w:rPr>
          <w:color w:val="2D2D2D"/>
          <w:w w:val="105"/>
          <w:sz w:val="19"/>
        </w:rPr>
        <w:t>at </w:t>
      </w:r>
      <w:r>
        <w:rPr>
          <w:color w:val="151515"/>
          <w:w w:val="105"/>
          <w:sz w:val="19"/>
        </w:rPr>
        <w:t>th</w:t>
      </w:r>
      <w:r>
        <w:rPr>
          <w:color w:val="2D2D2D"/>
          <w:w w:val="105"/>
          <w:sz w:val="19"/>
        </w:rPr>
        <w:t>e Co</w:t>
      </w:r>
      <w:r>
        <w:rPr>
          <w:color w:val="151515"/>
          <w:w w:val="105"/>
          <w:sz w:val="19"/>
        </w:rPr>
        <w:t>mp</w:t>
      </w:r>
      <w:r>
        <w:rPr>
          <w:color w:val="2D2D2D"/>
          <w:w w:val="105"/>
          <w:sz w:val="19"/>
        </w:rPr>
        <w:t>any ca</w:t>
      </w:r>
      <w:r>
        <w:rPr>
          <w:color w:val="151515"/>
          <w:w w:val="105"/>
          <w:sz w:val="19"/>
        </w:rPr>
        <w:t>rri</w:t>
      </w:r>
      <w:r>
        <w:rPr>
          <w:color w:val="2D2D2D"/>
          <w:w w:val="105"/>
          <w:sz w:val="19"/>
        </w:rPr>
        <w:t>ed ou</w:t>
      </w:r>
      <w:r>
        <w:rPr>
          <w:color w:val="151515"/>
          <w:w w:val="105"/>
          <w:sz w:val="19"/>
        </w:rPr>
        <w:t>t it</w:t>
      </w:r>
      <w:r>
        <w:rPr>
          <w:color w:val="2D2D2D"/>
          <w:w w:val="105"/>
          <w:sz w:val="19"/>
        </w:rPr>
        <w:t>s ac</w:t>
      </w:r>
      <w:r>
        <w:rPr>
          <w:color w:val="151515"/>
          <w:w w:val="105"/>
          <w:sz w:val="19"/>
        </w:rPr>
        <w:t>ti</w:t>
      </w:r>
      <w:r>
        <w:rPr>
          <w:color w:val="2D2D2D"/>
          <w:w w:val="105"/>
          <w:sz w:val="19"/>
        </w:rPr>
        <w:t>vi</w:t>
      </w:r>
      <w:r>
        <w:rPr>
          <w:color w:val="151515"/>
          <w:w w:val="105"/>
          <w:sz w:val="19"/>
        </w:rPr>
        <w:t>ti</w:t>
      </w:r>
      <w:r>
        <w:rPr>
          <w:color w:val="2D2D2D"/>
          <w:w w:val="105"/>
          <w:sz w:val="19"/>
        </w:rPr>
        <w:t>es e</w:t>
      </w:r>
      <w:r>
        <w:rPr>
          <w:color w:val="151515"/>
          <w:w w:val="105"/>
          <w:sz w:val="19"/>
        </w:rPr>
        <w:t>f</w:t>
      </w:r>
      <w:r>
        <w:rPr>
          <w:color w:val="2D2D2D"/>
          <w:w w:val="105"/>
          <w:sz w:val="19"/>
        </w:rPr>
        <w:t>fec</w:t>
      </w:r>
      <w:r>
        <w:rPr>
          <w:color w:val="151515"/>
          <w:w w:val="105"/>
          <w:sz w:val="19"/>
        </w:rPr>
        <w:t>t</w:t>
      </w:r>
      <w:r>
        <w:rPr>
          <w:color w:val="2D2D2D"/>
          <w:w w:val="105"/>
          <w:sz w:val="19"/>
        </w:rPr>
        <w:t>ive </w:t>
      </w:r>
      <w:r>
        <w:rPr>
          <w:color w:val="151515"/>
          <w:w w:val="105"/>
          <w:sz w:val="19"/>
        </w:rPr>
        <w:t>l</w:t>
      </w:r>
      <w:r>
        <w:rPr>
          <w:color w:val="2D2D2D"/>
          <w:w w:val="105"/>
          <w:sz w:val="19"/>
        </w:rPr>
        <w:t>y, eff</w:t>
      </w:r>
      <w:r>
        <w:rPr>
          <w:color w:val="151515"/>
          <w:w w:val="105"/>
          <w:sz w:val="19"/>
        </w:rPr>
        <w:t>i</w:t>
      </w:r>
      <w:r>
        <w:rPr>
          <w:color w:val="2D2D2D"/>
          <w:w w:val="105"/>
          <w:sz w:val="19"/>
        </w:rPr>
        <w:t>cie</w:t>
      </w:r>
      <w:r>
        <w:rPr>
          <w:color w:val="151515"/>
          <w:w w:val="105"/>
          <w:sz w:val="19"/>
        </w:rPr>
        <w:t>ntl</w:t>
      </w:r>
      <w:r>
        <w:rPr>
          <w:color w:val="2D2D2D"/>
          <w:w w:val="105"/>
          <w:sz w:val="19"/>
        </w:rPr>
        <w:t>y a</w:t>
      </w:r>
      <w:r>
        <w:rPr>
          <w:color w:val="151515"/>
          <w:w w:val="105"/>
          <w:sz w:val="19"/>
        </w:rPr>
        <w:t>n</w:t>
      </w:r>
      <w:r>
        <w:rPr>
          <w:color w:val="2D2D2D"/>
          <w:w w:val="105"/>
          <w:sz w:val="19"/>
        </w:rPr>
        <w:t>d economica</w:t>
      </w:r>
      <w:r>
        <w:rPr>
          <w:color w:val="151515"/>
          <w:w w:val="105"/>
          <w:sz w:val="19"/>
        </w:rPr>
        <w:t>ll</w:t>
      </w:r>
      <w:r>
        <w:rPr>
          <w:color w:val="2D2D2D"/>
          <w:w w:val="105"/>
          <w:sz w:val="19"/>
        </w:rPr>
        <w:t>y</w:t>
      </w:r>
    </w:p>
    <w:p>
      <w:pPr>
        <w:spacing w:line="261" w:lineRule="auto" w:before="84"/>
        <w:ind w:left="492" w:right="1531" w:firstLine="0"/>
        <w:jc w:val="left"/>
        <w:rPr>
          <w:sz w:val="19"/>
        </w:rPr>
      </w:pPr>
      <w:r>
        <w:rPr>
          <w:color w:val="2D2D2D"/>
          <w:w w:val="105"/>
          <w:sz w:val="19"/>
        </w:rPr>
        <w:t>a</w:t>
      </w:r>
      <w:r>
        <w:rPr>
          <w:color w:val="151515"/>
          <w:w w:val="105"/>
          <w:sz w:val="19"/>
        </w:rPr>
        <w:t>b</w:t>
      </w:r>
      <w:r>
        <w:rPr>
          <w:color w:val="2D2D2D"/>
          <w:w w:val="105"/>
          <w:sz w:val="19"/>
        </w:rPr>
        <w:t>o</w:t>
      </w:r>
      <w:r>
        <w:rPr>
          <w:color w:val="151515"/>
          <w:w w:val="105"/>
          <w:sz w:val="19"/>
        </w:rPr>
        <w:t>u</w:t>
      </w:r>
      <w:r>
        <w:rPr>
          <w:color w:val="2D2D2D"/>
          <w:w w:val="105"/>
          <w:sz w:val="19"/>
        </w:rPr>
        <w:t>t </w:t>
      </w:r>
      <w:r>
        <w:rPr>
          <w:color w:val="151515"/>
          <w:w w:val="105"/>
          <w:sz w:val="19"/>
        </w:rPr>
        <w:t>th</w:t>
      </w:r>
      <w:r>
        <w:rPr>
          <w:color w:val="2D2D2D"/>
          <w:w w:val="105"/>
          <w:sz w:val="19"/>
        </w:rPr>
        <w:t>e sec</w:t>
      </w:r>
      <w:r>
        <w:rPr>
          <w:color w:val="151515"/>
          <w:w w:val="105"/>
          <w:sz w:val="19"/>
        </w:rPr>
        <w:t>urit</w:t>
      </w:r>
      <w:r>
        <w:rPr>
          <w:color w:val="2D2D2D"/>
          <w:w w:val="105"/>
          <w:sz w:val="19"/>
        </w:rPr>
        <w:t>y a</w:t>
      </w:r>
      <w:r>
        <w:rPr>
          <w:color w:val="151515"/>
          <w:w w:val="105"/>
          <w:sz w:val="19"/>
        </w:rPr>
        <w:t>nd </w:t>
      </w:r>
      <w:r>
        <w:rPr>
          <w:color w:val="2D2D2D"/>
          <w:w w:val="105"/>
          <w:sz w:val="19"/>
        </w:rPr>
        <w:t>co</w:t>
      </w:r>
      <w:r>
        <w:rPr>
          <w:color w:val="151515"/>
          <w:w w:val="105"/>
          <w:sz w:val="19"/>
        </w:rPr>
        <w:t>ntr</w:t>
      </w:r>
      <w:r>
        <w:rPr>
          <w:color w:val="2D2D2D"/>
          <w:w w:val="105"/>
          <w:sz w:val="19"/>
        </w:rPr>
        <w:t>o</w:t>
      </w:r>
      <w:r>
        <w:rPr>
          <w:color w:val="151515"/>
          <w:w w:val="105"/>
          <w:sz w:val="19"/>
        </w:rPr>
        <w:t>l</w:t>
      </w:r>
      <w:r>
        <w:rPr>
          <w:color w:val="2D2D2D"/>
          <w:w w:val="105"/>
          <w:sz w:val="19"/>
        </w:rPr>
        <w:t>s ove</w:t>
      </w:r>
      <w:r>
        <w:rPr>
          <w:color w:val="151515"/>
          <w:w w:val="105"/>
          <w:sz w:val="19"/>
        </w:rPr>
        <w:t>r th</w:t>
      </w:r>
      <w:r>
        <w:rPr>
          <w:color w:val="2D2D2D"/>
          <w:w w:val="105"/>
          <w:sz w:val="19"/>
        </w:rPr>
        <w:t>e e</w:t>
      </w:r>
      <w:r>
        <w:rPr>
          <w:color w:val="151515"/>
          <w:w w:val="105"/>
          <w:sz w:val="19"/>
        </w:rPr>
        <w:t>l</w:t>
      </w:r>
      <w:r>
        <w:rPr>
          <w:color w:val="2D2D2D"/>
          <w:w w:val="105"/>
          <w:sz w:val="19"/>
        </w:rPr>
        <w:t>ec</w:t>
      </w:r>
      <w:r>
        <w:rPr>
          <w:color w:val="151515"/>
          <w:w w:val="105"/>
          <w:sz w:val="19"/>
        </w:rPr>
        <w:t>tr</w:t>
      </w:r>
      <w:r>
        <w:rPr>
          <w:color w:val="2D2D2D"/>
          <w:w w:val="105"/>
          <w:sz w:val="19"/>
        </w:rPr>
        <w:t>o</w:t>
      </w:r>
      <w:r>
        <w:rPr>
          <w:color w:val="151515"/>
          <w:w w:val="105"/>
          <w:sz w:val="19"/>
        </w:rPr>
        <w:t>ni</w:t>
      </w:r>
      <w:r>
        <w:rPr>
          <w:color w:val="2D2D2D"/>
          <w:w w:val="105"/>
          <w:sz w:val="19"/>
        </w:rPr>
        <w:t>c </w:t>
      </w:r>
      <w:r>
        <w:rPr>
          <w:color w:val="151515"/>
          <w:w w:val="105"/>
          <w:sz w:val="19"/>
        </w:rPr>
        <w:t>pu</w:t>
      </w:r>
      <w:r>
        <w:rPr>
          <w:color w:val="2D2D2D"/>
          <w:w w:val="105"/>
          <w:sz w:val="19"/>
        </w:rPr>
        <w:t>b</w:t>
      </w:r>
      <w:r>
        <w:rPr>
          <w:color w:val="151515"/>
          <w:w w:val="105"/>
          <w:sz w:val="19"/>
        </w:rPr>
        <w:t>li</w:t>
      </w:r>
      <w:r>
        <w:rPr>
          <w:color w:val="2D2D2D"/>
          <w:w w:val="105"/>
          <w:sz w:val="19"/>
        </w:rPr>
        <w:t>ca</w:t>
      </w:r>
      <w:r>
        <w:rPr>
          <w:color w:val="151515"/>
          <w:w w:val="105"/>
          <w:sz w:val="19"/>
        </w:rPr>
        <w:t>ti</w:t>
      </w:r>
      <w:r>
        <w:rPr>
          <w:color w:val="2D2D2D"/>
          <w:w w:val="105"/>
          <w:sz w:val="19"/>
        </w:rPr>
        <w:t>o</w:t>
      </w:r>
      <w:r>
        <w:rPr>
          <w:color w:val="151515"/>
          <w:w w:val="105"/>
          <w:sz w:val="19"/>
        </w:rPr>
        <w:t>n </w:t>
      </w:r>
      <w:r>
        <w:rPr>
          <w:color w:val="2D2D2D"/>
          <w:w w:val="105"/>
          <w:sz w:val="19"/>
        </w:rPr>
        <w:t>o</w:t>
      </w:r>
      <w:r>
        <w:rPr>
          <w:color w:val="151515"/>
          <w:w w:val="105"/>
          <w:sz w:val="19"/>
        </w:rPr>
        <w:t>f t</w:t>
      </w:r>
      <w:r>
        <w:rPr>
          <w:color w:val="2D2D2D"/>
          <w:w w:val="105"/>
          <w:sz w:val="19"/>
        </w:rPr>
        <w:t>he aud</w:t>
      </w:r>
      <w:r>
        <w:rPr>
          <w:color w:val="151515"/>
          <w:w w:val="105"/>
          <w:sz w:val="19"/>
        </w:rPr>
        <w:t>i</w:t>
      </w:r>
      <w:r>
        <w:rPr>
          <w:color w:val="2D2D2D"/>
          <w:w w:val="105"/>
          <w:sz w:val="19"/>
        </w:rPr>
        <w:t>ted fina</w:t>
      </w:r>
      <w:r>
        <w:rPr>
          <w:color w:val="151515"/>
          <w:w w:val="105"/>
          <w:sz w:val="19"/>
        </w:rPr>
        <w:t>n</w:t>
      </w:r>
      <w:r>
        <w:rPr>
          <w:color w:val="2D2D2D"/>
          <w:w w:val="105"/>
          <w:sz w:val="19"/>
        </w:rPr>
        <w:t>cial s</w:t>
      </w:r>
      <w:r>
        <w:rPr>
          <w:color w:val="151515"/>
          <w:w w:val="105"/>
          <w:sz w:val="19"/>
        </w:rPr>
        <w:t>t</w:t>
      </w:r>
      <w:r>
        <w:rPr>
          <w:color w:val="2D2D2D"/>
          <w:w w:val="105"/>
          <w:sz w:val="19"/>
        </w:rPr>
        <w:t>ateme</w:t>
      </w:r>
      <w:r>
        <w:rPr>
          <w:color w:val="151515"/>
          <w:w w:val="105"/>
          <w:sz w:val="19"/>
        </w:rPr>
        <w:t>n</w:t>
      </w:r>
      <w:r>
        <w:rPr>
          <w:color w:val="2D2D2D"/>
          <w:w w:val="105"/>
          <w:sz w:val="19"/>
        </w:rPr>
        <w:t>ts on a</w:t>
      </w:r>
      <w:r>
        <w:rPr>
          <w:color w:val="151515"/>
          <w:w w:val="105"/>
          <w:sz w:val="19"/>
        </w:rPr>
        <w:t>n</w:t>
      </w:r>
      <w:r>
        <w:rPr>
          <w:color w:val="2D2D2D"/>
          <w:w w:val="105"/>
          <w:sz w:val="19"/>
        </w:rPr>
        <w:t>y </w:t>
      </w:r>
      <w:r>
        <w:rPr>
          <w:color w:val="151515"/>
          <w:w w:val="105"/>
          <w:sz w:val="19"/>
        </w:rPr>
        <w:t>w</w:t>
      </w:r>
      <w:r>
        <w:rPr>
          <w:color w:val="2D2D2D"/>
          <w:w w:val="105"/>
          <w:sz w:val="19"/>
        </w:rPr>
        <w:t>ebs</w:t>
      </w:r>
      <w:r>
        <w:rPr>
          <w:color w:val="151515"/>
          <w:w w:val="105"/>
          <w:sz w:val="19"/>
        </w:rPr>
        <w:t>it</w:t>
      </w:r>
      <w:r>
        <w:rPr>
          <w:color w:val="2D2D2D"/>
          <w:w w:val="105"/>
          <w:sz w:val="19"/>
        </w:rPr>
        <w:t>e w</w:t>
      </w:r>
      <w:r>
        <w:rPr>
          <w:color w:val="151515"/>
          <w:w w:val="105"/>
          <w:sz w:val="19"/>
        </w:rPr>
        <w:t>h</w:t>
      </w:r>
      <w:r>
        <w:rPr>
          <w:color w:val="2D2D2D"/>
          <w:w w:val="105"/>
          <w:sz w:val="19"/>
        </w:rPr>
        <w:t>e</w:t>
      </w:r>
      <w:r>
        <w:rPr>
          <w:color w:val="151515"/>
          <w:w w:val="105"/>
          <w:sz w:val="19"/>
        </w:rPr>
        <w:t>r</w:t>
      </w:r>
      <w:r>
        <w:rPr>
          <w:color w:val="2D2D2D"/>
          <w:w w:val="105"/>
          <w:sz w:val="19"/>
        </w:rPr>
        <w:t>e </w:t>
      </w:r>
      <w:r>
        <w:rPr>
          <w:color w:val="151515"/>
          <w:w w:val="105"/>
          <w:sz w:val="19"/>
        </w:rPr>
        <w:t>t</w:t>
      </w:r>
      <w:r>
        <w:rPr>
          <w:color w:val="2D2D2D"/>
          <w:w w:val="105"/>
          <w:sz w:val="19"/>
        </w:rPr>
        <w:t>hey </w:t>
      </w:r>
      <w:r>
        <w:rPr>
          <w:color w:val="151515"/>
          <w:w w:val="105"/>
          <w:sz w:val="19"/>
        </w:rPr>
        <w:t>m</w:t>
      </w:r>
      <w:r>
        <w:rPr>
          <w:color w:val="2D2D2D"/>
          <w:w w:val="105"/>
          <w:sz w:val="19"/>
        </w:rPr>
        <w:t>ay </w:t>
      </w:r>
      <w:r>
        <w:rPr>
          <w:color w:val="151515"/>
          <w:w w:val="105"/>
          <w:sz w:val="19"/>
        </w:rPr>
        <w:t>b</w:t>
      </w:r>
      <w:r>
        <w:rPr>
          <w:color w:val="2D2D2D"/>
          <w:w w:val="105"/>
          <w:sz w:val="19"/>
        </w:rPr>
        <w:t>e </w:t>
      </w:r>
      <w:r>
        <w:rPr>
          <w:color w:val="151515"/>
          <w:w w:val="105"/>
          <w:sz w:val="19"/>
        </w:rPr>
        <w:t>p</w:t>
      </w:r>
      <w:r>
        <w:rPr>
          <w:color w:val="2D2D2D"/>
          <w:w w:val="105"/>
          <w:sz w:val="19"/>
        </w:rPr>
        <w:t>rese</w:t>
      </w:r>
      <w:r>
        <w:rPr>
          <w:color w:val="151515"/>
          <w:w w:val="105"/>
          <w:sz w:val="19"/>
        </w:rPr>
        <w:t>nt</w:t>
      </w:r>
      <w:r>
        <w:rPr>
          <w:color w:val="2D2D2D"/>
          <w:w w:val="105"/>
          <w:sz w:val="19"/>
        </w:rPr>
        <w:t>ed</w:t>
      </w:r>
    </w:p>
    <w:p>
      <w:pPr>
        <w:spacing w:before="65"/>
        <w:ind w:left="492" w:right="1531" w:firstLine="0"/>
        <w:jc w:val="left"/>
        <w:rPr>
          <w:sz w:val="19"/>
        </w:rPr>
      </w:pPr>
      <w:r>
        <w:rPr>
          <w:color w:val="2D2D2D"/>
          <w:w w:val="105"/>
          <w:sz w:val="19"/>
        </w:rPr>
        <w:t>a</w:t>
      </w:r>
      <w:r>
        <w:rPr>
          <w:color w:val="151515"/>
          <w:w w:val="105"/>
          <w:sz w:val="19"/>
        </w:rPr>
        <w:t>b</w:t>
      </w:r>
      <w:r>
        <w:rPr>
          <w:color w:val="2D2D2D"/>
          <w:w w:val="105"/>
          <w:sz w:val="19"/>
        </w:rPr>
        <w:t>o</w:t>
      </w:r>
      <w:r>
        <w:rPr>
          <w:color w:val="151515"/>
          <w:w w:val="105"/>
          <w:sz w:val="19"/>
        </w:rPr>
        <w:t>ut </w:t>
      </w:r>
      <w:r>
        <w:rPr>
          <w:color w:val="2D2D2D"/>
          <w:w w:val="105"/>
          <w:sz w:val="19"/>
        </w:rPr>
        <w:t>a</w:t>
      </w:r>
      <w:r>
        <w:rPr>
          <w:color w:val="151515"/>
          <w:w w:val="105"/>
          <w:sz w:val="19"/>
        </w:rPr>
        <w:t>n</w:t>
      </w:r>
      <w:r>
        <w:rPr>
          <w:color w:val="2D2D2D"/>
          <w:w w:val="105"/>
          <w:sz w:val="19"/>
        </w:rPr>
        <w:t>y o</w:t>
      </w:r>
      <w:r>
        <w:rPr>
          <w:color w:val="151515"/>
          <w:w w:val="105"/>
          <w:sz w:val="19"/>
        </w:rPr>
        <w:t>th</w:t>
      </w:r>
      <w:r>
        <w:rPr>
          <w:color w:val="2D2D2D"/>
          <w:w w:val="105"/>
          <w:sz w:val="19"/>
        </w:rPr>
        <w:t>e</w:t>
      </w:r>
      <w:r>
        <w:rPr>
          <w:color w:val="151515"/>
          <w:w w:val="105"/>
          <w:sz w:val="19"/>
        </w:rPr>
        <w:t>r i</w:t>
      </w:r>
      <w:r>
        <w:rPr>
          <w:color w:val="2D2D2D"/>
          <w:w w:val="105"/>
          <w:sz w:val="19"/>
        </w:rPr>
        <w:t>nforma</w:t>
      </w:r>
      <w:r>
        <w:rPr>
          <w:color w:val="151515"/>
          <w:w w:val="105"/>
          <w:sz w:val="19"/>
        </w:rPr>
        <w:t>t</w:t>
      </w:r>
      <w:r>
        <w:rPr>
          <w:color w:val="2D2D2D"/>
          <w:w w:val="105"/>
          <w:sz w:val="19"/>
        </w:rPr>
        <w:t>io</w:t>
      </w:r>
      <w:r>
        <w:rPr>
          <w:color w:val="151515"/>
          <w:w w:val="105"/>
          <w:sz w:val="19"/>
        </w:rPr>
        <w:t>n </w:t>
      </w:r>
      <w:r>
        <w:rPr>
          <w:color w:val="2D2D2D"/>
          <w:w w:val="105"/>
          <w:sz w:val="19"/>
        </w:rPr>
        <w:t>wh</w:t>
      </w:r>
      <w:r>
        <w:rPr>
          <w:color w:val="151515"/>
          <w:w w:val="105"/>
          <w:sz w:val="19"/>
        </w:rPr>
        <w:t>i</w:t>
      </w:r>
      <w:r>
        <w:rPr>
          <w:color w:val="2D2D2D"/>
          <w:w w:val="105"/>
          <w:sz w:val="19"/>
        </w:rPr>
        <w:t>ch may </w:t>
      </w:r>
      <w:r>
        <w:rPr>
          <w:color w:val="151515"/>
          <w:w w:val="105"/>
          <w:sz w:val="19"/>
        </w:rPr>
        <w:t>h</w:t>
      </w:r>
      <w:r>
        <w:rPr>
          <w:color w:val="2D2D2D"/>
          <w:w w:val="105"/>
          <w:sz w:val="19"/>
        </w:rPr>
        <w:t>ave bee</w:t>
      </w:r>
      <w:r>
        <w:rPr>
          <w:color w:val="151515"/>
          <w:w w:val="105"/>
          <w:sz w:val="19"/>
        </w:rPr>
        <w:t>n </w:t>
      </w:r>
      <w:r>
        <w:rPr>
          <w:color w:val="2D2D2D"/>
          <w:w w:val="105"/>
          <w:sz w:val="19"/>
        </w:rPr>
        <w:t>hype</w:t>
      </w:r>
      <w:r>
        <w:rPr>
          <w:color w:val="151515"/>
          <w:w w:val="105"/>
          <w:sz w:val="19"/>
        </w:rPr>
        <w:t>rlin</w:t>
      </w:r>
      <w:r>
        <w:rPr>
          <w:color w:val="2D2D2D"/>
          <w:w w:val="105"/>
          <w:sz w:val="19"/>
        </w:rPr>
        <w:t>ke</w:t>
      </w:r>
      <w:r>
        <w:rPr>
          <w:color w:val="151515"/>
          <w:w w:val="105"/>
          <w:sz w:val="19"/>
        </w:rPr>
        <w:t>d t</w:t>
      </w:r>
      <w:r>
        <w:rPr>
          <w:color w:val="2D2D2D"/>
          <w:w w:val="105"/>
          <w:sz w:val="19"/>
        </w:rPr>
        <w:t>o/from th</w:t>
      </w:r>
      <w:r>
        <w:rPr>
          <w:color w:val="4D4D4D"/>
          <w:w w:val="105"/>
          <w:sz w:val="19"/>
        </w:rPr>
        <w:t>e </w:t>
      </w:r>
      <w:r>
        <w:rPr>
          <w:color w:val="2D2D2D"/>
          <w:w w:val="105"/>
          <w:sz w:val="19"/>
        </w:rPr>
        <w:t>finan</w:t>
      </w:r>
      <w:r>
        <w:rPr>
          <w:color w:val="4D4D4D"/>
          <w:w w:val="105"/>
          <w:sz w:val="19"/>
        </w:rPr>
        <w:t>c</w:t>
      </w:r>
      <w:r>
        <w:rPr>
          <w:color w:val="151515"/>
          <w:w w:val="105"/>
          <w:sz w:val="19"/>
        </w:rPr>
        <w:t>i</w:t>
      </w:r>
      <w:r>
        <w:rPr>
          <w:color w:val="2D2D2D"/>
          <w:w w:val="105"/>
          <w:sz w:val="19"/>
        </w:rPr>
        <w:t>a</w:t>
      </w:r>
      <w:r>
        <w:rPr>
          <w:color w:val="151515"/>
          <w:w w:val="105"/>
          <w:sz w:val="19"/>
        </w:rPr>
        <w:t>l </w:t>
      </w:r>
      <w:r>
        <w:rPr>
          <w:color w:val="2D2D2D"/>
          <w:w w:val="105"/>
          <w:sz w:val="19"/>
        </w:rPr>
        <w:t>s</w:t>
      </w:r>
      <w:r>
        <w:rPr>
          <w:color w:val="151515"/>
          <w:w w:val="105"/>
          <w:sz w:val="19"/>
        </w:rPr>
        <w:t>t</w:t>
      </w:r>
      <w:r>
        <w:rPr>
          <w:color w:val="2D2D2D"/>
          <w:w w:val="105"/>
          <w:sz w:val="19"/>
        </w:rPr>
        <w:t>a</w:t>
      </w:r>
      <w:r>
        <w:rPr>
          <w:color w:val="151515"/>
          <w:w w:val="105"/>
          <w:sz w:val="19"/>
        </w:rPr>
        <w:t>t</w:t>
      </w:r>
      <w:r>
        <w:rPr>
          <w:color w:val="4D4D4D"/>
          <w:w w:val="105"/>
          <w:sz w:val="19"/>
        </w:rPr>
        <w:t>e</w:t>
      </w:r>
      <w:r>
        <w:rPr>
          <w:color w:val="2D2D2D"/>
          <w:w w:val="105"/>
          <w:sz w:val="19"/>
        </w:rPr>
        <w:t>m</w:t>
      </w:r>
      <w:r>
        <w:rPr>
          <w:color w:val="4D4D4D"/>
          <w:w w:val="105"/>
          <w:sz w:val="19"/>
        </w:rPr>
        <w:t>e</w:t>
      </w:r>
      <w:r>
        <w:rPr>
          <w:color w:val="151515"/>
          <w:w w:val="105"/>
          <w:sz w:val="19"/>
        </w:rPr>
        <w:t>n</w:t>
      </w:r>
      <w:r>
        <w:rPr>
          <w:color w:val="2D2D2D"/>
          <w:w w:val="105"/>
          <w:sz w:val="19"/>
        </w:rPr>
        <w:t>ts.</w:t>
      </w:r>
    </w:p>
    <w:p>
      <w:pPr>
        <w:pStyle w:val="BodyText"/>
      </w:pPr>
    </w:p>
    <w:p>
      <w:pPr>
        <w:pStyle w:val="BodyText"/>
      </w:pPr>
    </w:p>
    <w:p>
      <w:pPr>
        <w:pStyle w:val="BodyText"/>
      </w:pPr>
    </w:p>
    <w:p>
      <w:pPr>
        <w:pStyle w:val="BodyText"/>
      </w:pPr>
    </w:p>
    <w:p>
      <w:pPr>
        <w:pStyle w:val="BodyText"/>
      </w:pPr>
    </w:p>
    <w:p>
      <w:pPr>
        <w:pStyle w:val="BodyText"/>
        <w:spacing w:before="1"/>
        <w:rPr>
          <w:sz w:val="16"/>
        </w:rPr>
      </w:pPr>
    </w:p>
    <w:p>
      <w:pPr>
        <w:spacing w:before="0"/>
        <w:ind w:left="211" w:right="1531" w:firstLine="0"/>
        <w:jc w:val="left"/>
        <w:rPr>
          <w:rFonts w:ascii="Times New Roman"/>
          <w:sz w:val="30"/>
        </w:rPr>
      </w:pPr>
      <w:r>
        <w:rPr>
          <w:rFonts w:ascii="Times New Roman"/>
          <w:color w:val="16469E"/>
          <w:sz w:val="30"/>
          <w:u w:val="single" w:color="000000"/>
        </w:rPr>
        <w:t> </w:t>
      </w:r>
      <w:r>
        <w:rPr>
          <w:rFonts w:ascii="Times New Roman"/>
          <w:color w:val="16469E"/>
          <w:spacing w:val="3"/>
          <w:sz w:val="30"/>
          <w:u w:val="single" w:color="000000"/>
        </w:rPr>
        <w:t> </w:t>
      </w:r>
      <w:r>
        <w:rPr>
          <w:rFonts w:ascii="Times New Roman"/>
          <w:color w:val="16469E"/>
          <w:sz w:val="30"/>
        </w:rPr>
        <w:t> </w:t>
      </w:r>
      <w:r>
        <w:rPr>
          <w:rFonts w:ascii="Times New Roman"/>
          <w:color w:val="16469E"/>
          <w:spacing w:val="-15"/>
          <w:sz w:val="30"/>
        </w:rPr>
        <w:t> </w:t>
      </w:r>
      <w:r>
        <w:rPr>
          <w:rFonts w:ascii="Times New Roman"/>
          <w:color w:val="16469E"/>
          <w:spacing w:val="-501"/>
          <w:w w:val="566"/>
          <w:sz w:val="30"/>
        </w:rPr>
        <w:t>-</w:t>
      </w:r>
      <w:r>
        <w:rPr>
          <w:rFonts w:ascii="Times New Roman"/>
          <w:color w:val="16469E"/>
          <w:spacing w:val="-895"/>
          <w:w w:val="251"/>
          <w:sz w:val="30"/>
        </w:rPr>
        <w:t>9</w:t>
      </w:r>
      <w:r>
        <w:rPr>
          <w:rFonts w:ascii="Times New Roman"/>
          <w:color w:val="16469E"/>
          <w:w w:val="160"/>
          <w:sz w:val="30"/>
        </w:rPr>
        <w:t>::::</w:t>
      </w:r>
      <w:r>
        <w:rPr>
          <w:rFonts w:ascii="Times New Roman"/>
          <w:color w:val="16469E"/>
          <w:spacing w:val="-36"/>
          <w:w w:val="160"/>
          <w:sz w:val="30"/>
        </w:rPr>
        <w:t>:</w:t>
      </w:r>
      <w:r>
        <w:rPr>
          <w:rFonts w:ascii="Times New Roman"/>
          <w:color w:val="16469E"/>
          <w:w w:val="585"/>
          <w:sz w:val="30"/>
        </w:rPr>
        <w:t>-</w:t>
      </w:r>
    </w:p>
    <w:p>
      <w:pPr>
        <w:pStyle w:val="Heading8"/>
        <w:spacing w:line="261" w:lineRule="auto" w:before="160"/>
        <w:ind w:left="103" w:right="8439" w:firstLine="28"/>
      </w:pPr>
      <w:r>
        <w:rPr>
          <w:color w:val="151515"/>
          <w:w w:val="105"/>
        </w:rPr>
        <w:t>M</w:t>
      </w:r>
      <w:r>
        <w:rPr>
          <w:color w:val="2D2D2D"/>
          <w:w w:val="105"/>
        </w:rPr>
        <w:t>arga</w:t>
      </w:r>
      <w:r>
        <w:rPr>
          <w:color w:val="151515"/>
          <w:w w:val="105"/>
        </w:rPr>
        <w:t>r</w:t>
      </w:r>
      <w:r>
        <w:rPr>
          <w:color w:val="2D2D2D"/>
          <w:w w:val="105"/>
        </w:rPr>
        <w:t>e</w:t>
      </w:r>
      <w:r>
        <w:rPr>
          <w:color w:val="151515"/>
          <w:w w:val="105"/>
        </w:rPr>
        <w:t>t </w:t>
      </w:r>
      <w:r>
        <w:rPr>
          <w:color w:val="2D2D2D"/>
          <w:w w:val="105"/>
        </w:rPr>
        <w:t>C</w:t>
      </w:r>
      <w:r>
        <w:rPr>
          <w:color w:val="151515"/>
          <w:w w:val="105"/>
        </w:rPr>
        <w:t>r</w:t>
      </w:r>
      <w:r>
        <w:rPr>
          <w:color w:val="2D2D2D"/>
          <w:w w:val="105"/>
        </w:rPr>
        <w:t>awfo</w:t>
      </w:r>
      <w:r>
        <w:rPr>
          <w:color w:val="151515"/>
          <w:w w:val="105"/>
        </w:rPr>
        <w:t>r</w:t>
      </w:r>
      <w:r>
        <w:rPr>
          <w:color w:val="2D2D2D"/>
          <w:w w:val="105"/>
        </w:rPr>
        <w:t>d A</w:t>
      </w:r>
      <w:r>
        <w:rPr>
          <w:color w:val="151515"/>
          <w:w w:val="105"/>
        </w:rPr>
        <w:t>u</w:t>
      </w:r>
      <w:r>
        <w:rPr>
          <w:color w:val="2D2D2D"/>
          <w:w w:val="105"/>
        </w:rPr>
        <w:t>di</w:t>
      </w:r>
      <w:r>
        <w:rPr>
          <w:color w:val="151515"/>
          <w:w w:val="105"/>
        </w:rPr>
        <w:t>t</w:t>
      </w:r>
      <w:r>
        <w:rPr>
          <w:color w:val="2D2D2D"/>
          <w:w w:val="105"/>
        </w:rPr>
        <w:t>o</w:t>
      </w:r>
      <w:r>
        <w:rPr>
          <w:color w:val="151515"/>
          <w:w w:val="105"/>
        </w:rPr>
        <w:t>r</w:t>
      </w:r>
      <w:r>
        <w:rPr>
          <w:color w:val="2D2D2D"/>
          <w:w w:val="105"/>
        </w:rPr>
        <w:t>-Ge</w:t>
      </w:r>
      <w:r>
        <w:rPr>
          <w:color w:val="151515"/>
          <w:w w:val="105"/>
        </w:rPr>
        <w:t>n</w:t>
      </w:r>
      <w:r>
        <w:rPr>
          <w:color w:val="2D2D2D"/>
          <w:w w:val="105"/>
        </w:rPr>
        <w:t>era</w:t>
      </w:r>
      <w:r>
        <w:rPr>
          <w:color w:val="151515"/>
          <w:w w:val="105"/>
        </w:rPr>
        <w:t>l </w:t>
      </w:r>
      <w:r>
        <w:rPr>
          <w:color w:val="2D2D2D"/>
          <w:w w:val="105"/>
        </w:rPr>
        <w:t>of </w:t>
      </w:r>
      <w:r>
        <w:rPr>
          <w:color w:val="151515"/>
          <w:w w:val="105"/>
        </w:rPr>
        <w:t>N</w:t>
      </w:r>
      <w:r>
        <w:rPr>
          <w:color w:val="2D2D2D"/>
          <w:w w:val="105"/>
        </w:rPr>
        <w:t>S</w:t>
      </w:r>
      <w:r>
        <w:rPr>
          <w:color w:val="151515"/>
          <w:w w:val="105"/>
        </w:rPr>
        <w:t>W</w:t>
      </w:r>
    </w:p>
    <w:p>
      <w:pPr>
        <w:pStyle w:val="BodyText"/>
      </w:pPr>
    </w:p>
    <w:p>
      <w:pPr>
        <w:pStyle w:val="BodyText"/>
        <w:spacing w:before="7"/>
        <w:rPr>
          <w:sz w:val="22"/>
        </w:rPr>
      </w:pPr>
    </w:p>
    <w:p>
      <w:pPr>
        <w:spacing w:line="235" w:lineRule="auto" w:before="0"/>
        <w:ind w:left="132" w:right="9190" w:hanging="29"/>
        <w:jc w:val="left"/>
        <w:rPr>
          <w:sz w:val="19"/>
        </w:rPr>
      </w:pPr>
      <w:r>
        <w:rPr>
          <w:color w:val="1C2687"/>
          <w:w w:val="95"/>
          <w:sz w:val="32"/>
        </w:rPr>
        <w:t>'&amp;' </w:t>
      </w:r>
      <w:r>
        <w:rPr>
          <w:color w:val="151515"/>
          <w:sz w:val="19"/>
        </w:rPr>
        <w:t>M</w:t>
      </w:r>
      <w:r>
        <w:rPr>
          <w:color w:val="2D2D2D"/>
          <w:sz w:val="19"/>
        </w:rPr>
        <w:t>a</w:t>
      </w:r>
      <w:r>
        <w:rPr>
          <w:color w:val="151515"/>
          <w:sz w:val="19"/>
        </w:rPr>
        <w:t>r</w:t>
      </w:r>
      <w:r>
        <w:rPr>
          <w:color w:val="2D2D2D"/>
          <w:sz w:val="19"/>
        </w:rPr>
        <w:t>c</w:t>
      </w:r>
      <w:r>
        <w:rPr>
          <w:color w:val="151515"/>
          <w:sz w:val="19"/>
        </w:rPr>
        <w:t>h </w:t>
      </w:r>
      <w:r>
        <w:rPr>
          <w:color w:val="2D2D2D"/>
          <w:sz w:val="19"/>
        </w:rPr>
        <w:t>20</w:t>
      </w:r>
      <w:r>
        <w:rPr>
          <w:color w:val="151515"/>
          <w:sz w:val="19"/>
        </w:rPr>
        <w:t>1</w:t>
      </w:r>
      <w:r>
        <w:rPr>
          <w:color w:val="2D2D2D"/>
          <w:sz w:val="19"/>
        </w:rPr>
        <w:t>8 SYD</w:t>
      </w:r>
      <w:r>
        <w:rPr>
          <w:color w:val="151515"/>
          <w:sz w:val="19"/>
        </w:rPr>
        <w:t>N</w:t>
      </w:r>
      <w:r>
        <w:rPr>
          <w:color w:val="2D2D2D"/>
          <w:sz w:val="19"/>
        </w:rPr>
        <w:t>EY</w:t>
      </w:r>
    </w:p>
    <w:p>
      <w:pPr>
        <w:spacing w:after="0" w:line="235" w:lineRule="auto"/>
        <w:jc w:val="left"/>
        <w:rPr>
          <w:sz w:val="19"/>
        </w:rPr>
        <w:sectPr>
          <w:headerReference w:type="default" r:id="rId127"/>
          <w:footerReference w:type="default" r:id="rId128"/>
          <w:pgSz w:w="11900" w:h="16840"/>
          <w:pgMar w:header="0" w:footer="0" w:top="100" w:bottom="60" w:left="1120" w:right="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pStyle w:val="Heading1"/>
        <w:spacing w:before="29"/>
        <w:ind w:right="1374"/>
      </w:pPr>
      <w:bookmarkStart w:name="6. Western Institute Limited 2017 Financ" w:id="241"/>
      <w:bookmarkEnd w:id="241"/>
      <w:r>
        <w:rPr>
          <w:b w:val="0"/>
        </w:rPr>
      </w:r>
      <w:r>
        <w:rPr/>
        <w:t>Whitlam Institute within Western Sydney University Limited</w:t>
      </w:r>
    </w:p>
    <w:p>
      <w:pPr>
        <w:spacing w:line="230" w:lineRule="exact" w:before="0"/>
        <w:ind w:left="107" w:right="161" w:firstLine="0"/>
        <w:jc w:val="left"/>
        <w:rPr>
          <w:b/>
          <w:sz w:val="20"/>
        </w:rPr>
      </w:pPr>
      <w:r>
        <w:rPr>
          <w:b/>
          <w:sz w:val="20"/>
        </w:rPr>
        <w:t>ABN: 50 100 342 309</w:t>
      </w:r>
    </w:p>
    <w:p>
      <w:pPr>
        <w:pStyle w:val="BodyText"/>
        <w:rPr>
          <w:b/>
          <w:sz w:val="20"/>
        </w:rPr>
      </w:pPr>
    </w:p>
    <w:p>
      <w:pPr>
        <w:pStyle w:val="BodyText"/>
        <w:rPr>
          <w:b/>
          <w:sz w:val="20"/>
        </w:rPr>
      </w:pPr>
    </w:p>
    <w:p>
      <w:pPr>
        <w:pStyle w:val="BodyText"/>
        <w:spacing w:before="10"/>
        <w:rPr>
          <w:b/>
          <w:sz w:val="15"/>
        </w:rPr>
      </w:pPr>
    </w:p>
    <w:p>
      <w:pPr>
        <w:spacing w:before="0"/>
        <w:ind w:left="107" w:right="161" w:firstLine="0"/>
        <w:jc w:val="left"/>
        <w:rPr>
          <w:b/>
          <w:sz w:val="28"/>
        </w:rPr>
      </w:pPr>
      <w:r>
        <w:rPr>
          <w:b/>
          <w:sz w:val="28"/>
        </w:rPr>
        <w:t>Financial statements</w:t>
      </w:r>
    </w:p>
    <w:p>
      <w:pPr>
        <w:spacing w:before="230"/>
        <w:ind w:left="107" w:right="161" w:firstLine="0"/>
        <w:jc w:val="left"/>
        <w:rPr>
          <w:b/>
          <w:sz w:val="20"/>
        </w:rPr>
      </w:pPr>
      <w:r>
        <w:rPr>
          <w:b/>
          <w:sz w:val="20"/>
        </w:rPr>
        <w:t>For the year ended 31 December 2017</w:t>
      </w:r>
    </w:p>
    <w:p>
      <w:pPr>
        <w:pStyle w:val="BodyText"/>
        <w:rPr>
          <w:b/>
          <w:sz w:val="20"/>
        </w:rPr>
      </w:pPr>
    </w:p>
    <w:p>
      <w:pPr>
        <w:pStyle w:val="BodyText"/>
        <w:rPr>
          <w:b/>
          <w:sz w:val="20"/>
        </w:rPr>
      </w:pPr>
    </w:p>
    <w:p>
      <w:pPr>
        <w:pStyle w:val="BodyText"/>
        <w:spacing w:before="1"/>
        <w:ind w:left="108" w:right="161" w:hanging="1"/>
      </w:pPr>
      <w:r>
        <w:rPr/>
        <w:t>These financial statements of the Whitlam Institute within Western Sydney University Limited (the Company) are presented as an individual entity. The financial statements are presented in Australian currency.</w:t>
      </w:r>
    </w:p>
    <w:p>
      <w:pPr>
        <w:pStyle w:val="BodyText"/>
        <w:spacing w:before="7"/>
        <w:rPr>
          <w:sz w:val="14"/>
        </w:rPr>
      </w:pPr>
    </w:p>
    <w:p>
      <w:pPr>
        <w:pStyle w:val="BodyText"/>
        <w:ind w:left="108" w:right="4318"/>
      </w:pPr>
      <w:r>
        <w:rPr/>
        <w:t>The registered office and principal place of business of the Company is: Whitlam Institute within Western Sydney University Limited</w:t>
      </w:r>
    </w:p>
    <w:p>
      <w:pPr>
        <w:pStyle w:val="BodyText"/>
        <w:ind w:left="107" w:right="7342"/>
      </w:pPr>
      <w:r>
        <w:rPr/>
        <w:t>Western Sydney University Building EZ, Parramatta Campus Cnr James Ruse Dr &amp; Victoria Rd Rydalmere NSW 2116</w:t>
      </w:r>
    </w:p>
    <w:p>
      <w:pPr>
        <w:pStyle w:val="BodyText"/>
      </w:pPr>
    </w:p>
    <w:p>
      <w:pPr>
        <w:pStyle w:val="BodyText"/>
        <w:spacing w:before="4"/>
        <w:rPr>
          <w:sz w:val="21"/>
        </w:rPr>
      </w:pPr>
    </w:p>
    <w:p>
      <w:pPr>
        <w:pStyle w:val="BodyText"/>
        <w:spacing w:line="207" w:lineRule="exact"/>
        <w:ind w:left="107" w:right="161"/>
      </w:pPr>
      <w:r>
        <w:rPr/>
        <w:t>Registered postal address is:</w:t>
      </w:r>
    </w:p>
    <w:p>
      <w:pPr>
        <w:pStyle w:val="BodyText"/>
        <w:ind w:left="107" w:right="5341"/>
      </w:pPr>
      <w:r>
        <w:rPr/>
        <w:t>Whitlam Institute within Western Sydney University Limited Locked Bag 1797</w:t>
      </w:r>
    </w:p>
    <w:p>
      <w:pPr>
        <w:pStyle w:val="BodyText"/>
        <w:spacing w:line="206" w:lineRule="exact"/>
        <w:ind w:left="107" w:right="161"/>
      </w:pPr>
      <w:r>
        <w:rPr/>
        <w:t>Penrith NSW 2751</w:t>
      </w:r>
    </w:p>
    <w:p>
      <w:pPr>
        <w:pStyle w:val="BodyText"/>
        <w:spacing w:before="7"/>
        <w:rPr>
          <w:sz w:val="14"/>
        </w:rPr>
      </w:pPr>
    </w:p>
    <w:p>
      <w:pPr>
        <w:pStyle w:val="BodyText"/>
        <w:ind w:left="108" w:right="161" w:hanging="1"/>
      </w:pPr>
      <w:r>
        <w:rPr/>
        <w:t>A description of the nature of the Company's operations and it principal activities is included in the director's report which is not part of these financial statements.</w:t>
      </w:r>
    </w:p>
    <w:p>
      <w:pPr>
        <w:pStyle w:val="BodyText"/>
        <w:spacing w:before="7"/>
        <w:rPr>
          <w:sz w:val="14"/>
        </w:rPr>
      </w:pPr>
    </w:p>
    <w:p>
      <w:pPr>
        <w:pStyle w:val="BodyText"/>
        <w:ind w:left="108" w:right="161"/>
      </w:pPr>
      <w:r>
        <w:rPr/>
        <w:t>These financial statements were authorised for issue by the directors on 23 February 2018. The directors have the power to amend and reissue the financial statements.</w:t>
      </w:r>
    </w:p>
    <w:p>
      <w:pPr>
        <w:spacing w:after="0"/>
        <w:sectPr>
          <w:headerReference w:type="default" r:id="rId130"/>
          <w:footerReference w:type="default" r:id="rId131"/>
          <w:pgSz w:w="11910" w:h="16840"/>
          <w:pgMar w:header="0" w:footer="501" w:top="1600" w:bottom="700" w:left="900" w:right="860"/>
          <w:pgNumType w:start="199"/>
        </w:sectPr>
      </w:pPr>
    </w:p>
    <w:p>
      <w:pPr>
        <w:pStyle w:val="BodyText"/>
        <w:rPr>
          <w:sz w:val="20"/>
        </w:rPr>
      </w:pPr>
    </w:p>
    <w:p>
      <w:pPr>
        <w:pStyle w:val="BodyText"/>
        <w:spacing w:before="1"/>
        <w:rPr>
          <w:sz w:val="17"/>
        </w:rPr>
      </w:pPr>
    </w:p>
    <w:p>
      <w:pPr>
        <w:pStyle w:val="BodyText"/>
        <w:spacing w:before="77"/>
        <w:ind w:left="504" w:right="161"/>
      </w:pPr>
      <w:r>
        <w:rPr/>
        <w:t>The directors present their report on Whitlam Institute Within Western Sydney University Limited (the Company) for the financial  year ended  31 December 2017.</w:t>
      </w:r>
    </w:p>
    <w:p>
      <w:pPr>
        <w:pStyle w:val="BodyText"/>
      </w:pPr>
    </w:p>
    <w:p>
      <w:pPr>
        <w:pStyle w:val="BodyText"/>
        <w:spacing w:before="8"/>
        <w:rPr>
          <w:sz w:val="14"/>
        </w:rPr>
      </w:pPr>
    </w:p>
    <w:p>
      <w:pPr>
        <w:pStyle w:val="Heading9"/>
        <w:ind w:left="502"/>
        <w:jc w:val="both"/>
      </w:pPr>
      <w:r>
        <w:rPr/>
        <w:t>Directors</w:t>
      </w:r>
    </w:p>
    <w:p>
      <w:pPr>
        <w:pStyle w:val="BodyText"/>
        <w:spacing w:line="340" w:lineRule="atLeast" w:before="17"/>
        <w:ind w:left="502" w:right="1374" w:firstLine="1"/>
      </w:pPr>
      <w:r>
        <w:rPr/>
        <w:t>The names of each person who has been a director during the year and to the date of this report are: The Hon. John Faulkner</w:t>
      </w:r>
    </w:p>
    <w:p>
      <w:pPr>
        <w:pStyle w:val="BodyText"/>
        <w:ind w:left="502" w:right="7517"/>
      </w:pPr>
      <w:r>
        <w:rPr/>
        <w:t>Ms Patricia Amphlett OAM Prof. Barney Glover</w:t>
      </w:r>
    </w:p>
    <w:p>
      <w:pPr>
        <w:pStyle w:val="BodyText"/>
        <w:ind w:left="502" w:right="7827"/>
      </w:pPr>
      <w:r>
        <w:rPr/>
        <w:t>Ms Gabrielle Trainor Mr Talal Yassine OAM Ms Catherine Dovey Mr Cameron Clyne</w:t>
      </w:r>
    </w:p>
    <w:p>
      <w:pPr>
        <w:pStyle w:val="BodyText"/>
        <w:tabs>
          <w:tab w:pos="3653" w:val="left" w:leader="none"/>
        </w:tabs>
        <w:spacing w:line="206" w:lineRule="exact"/>
        <w:ind w:left="502"/>
        <w:jc w:val="both"/>
      </w:pPr>
      <w:r>
        <w:rPr/>
        <w:t>Dr</w:t>
      </w:r>
      <w:r>
        <w:rPr>
          <w:spacing w:val="-1"/>
        </w:rPr>
        <w:t> </w:t>
      </w:r>
      <w:r>
        <w:rPr/>
        <w:t>Rebecca</w:t>
      </w:r>
      <w:r>
        <w:rPr>
          <w:spacing w:val="-1"/>
        </w:rPr>
        <w:t> </w:t>
      </w:r>
      <w:r>
        <w:rPr/>
        <w:t>Huntley</w:t>
        <w:tab/>
        <w:t>Appointed 6 February</w:t>
      </w:r>
      <w:r>
        <w:rPr>
          <w:spacing w:val="-1"/>
        </w:rPr>
        <w:t> </w:t>
      </w:r>
      <w:r>
        <w:rPr/>
        <w:t>2017</w:t>
      </w:r>
    </w:p>
    <w:p>
      <w:pPr>
        <w:pStyle w:val="BodyText"/>
        <w:tabs>
          <w:tab w:pos="3653" w:val="left" w:leader="none"/>
        </w:tabs>
        <w:spacing w:line="207" w:lineRule="exact"/>
        <w:ind w:left="502"/>
        <w:jc w:val="both"/>
      </w:pPr>
      <w:r>
        <w:rPr/>
        <w:t>Ms</w:t>
      </w:r>
      <w:r>
        <w:rPr>
          <w:spacing w:val="-1"/>
        </w:rPr>
        <w:t> </w:t>
      </w:r>
      <w:r>
        <w:rPr/>
        <w:t>Amanda</w:t>
      </w:r>
      <w:r>
        <w:rPr>
          <w:spacing w:val="-1"/>
        </w:rPr>
        <w:t> </w:t>
      </w:r>
      <w:r>
        <w:rPr/>
        <w:t>McKenzie</w:t>
        <w:tab/>
        <w:t>Appointed 6 February</w:t>
      </w:r>
      <w:r>
        <w:rPr>
          <w:spacing w:val="-1"/>
        </w:rPr>
        <w:t> </w:t>
      </w:r>
      <w:r>
        <w:rPr/>
        <w:t>2017</w:t>
      </w:r>
    </w:p>
    <w:p>
      <w:pPr>
        <w:pStyle w:val="BodyText"/>
        <w:tabs>
          <w:tab w:pos="3653" w:val="left" w:leader="none"/>
        </w:tabs>
        <w:spacing w:before="28"/>
        <w:ind w:left="502"/>
        <w:jc w:val="both"/>
      </w:pPr>
      <w:r>
        <w:rPr/>
        <w:t>Mr</w:t>
      </w:r>
      <w:r>
        <w:rPr>
          <w:spacing w:val="-1"/>
        </w:rPr>
        <w:t> </w:t>
      </w:r>
      <w:r>
        <w:rPr/>
        <w:t>John</w:t>
      </w:r>
      <w:r>
        <w:rPr>
          <w:spacing w:val="-1"/>
        </w:rPr>
        <w:t> </w:t>
      </w:r>
      <w:r>
        <w:rPr/>
        <w:t>Wells</w:t>
        <w:tab/>
        <w:t>Resigned 17 November</w:t>
      </w:r>
      <w:r>
        <w:rPr>
          <w:spacing w:val="-1"/>
        </w:rPr>
        <w:t> </w:t>
      </w:r>
      <w:r>
        <w:rPr/>
        <w:t>2017</w:t>
      </w:r>
    </w:p>
    <w:p>
      <w:pPr>
        <w:pStyle w:val="BodyText"/>
      </w:pPr>
    </w:p>
    <w:p>
      <w:pPr>
        <w:pStyle w:val="BodyText"/>
        <w:spacing w:before="11"/>
        <w:rPr>
          <w:sz w:val="17"/>
        </w:rPr>
      </w:pPr>
    </w:p>
    <w:p>
      <w:pPr>
        <w:pStyle w:val="BodyText"/>
        <w:ind w:left="503"/>
        <w:jc w:val="both"/>
      </w:pPr>
      <w:r>
        <w:rPr/>
        <w:t>Directors have been in office since the start of the financial year to the date of this report unless otherwise stated.</w:t>
      </w:r>
    </w:p>
    <w:p>
      <w:pPr>
        <w:pStyle w:val="BodyText"/>
        <w:spacing w:before="3"/>
        <w:rPr>
          <w:sz w:val="14"/>
        </w:rPr>
      </w:pPr>
    </w:p>
    <w:p>
      <w:pPr>
        <w:pStyle w:val="Heading9"/>
        <w:spacing w:before="1"/>
        <w:ind w:left="502"/>
        <w:jc w:val="both"/>
      </w:pPr>
      <w:r>
        <w:rPr/>
        <w:t>Company secretary</w:t>
      </w:r>
    </w:p>
    <w:p>
      <w:pPr>
        <w:pStyle w:val="BodyText"/>
        <w:spacing w:before="4"/>
        <w:ind w:left="503" w:right="161"/>
      </w:pPr>
      <w:r>
        <w:rPr/>
        <w:t>Ms Sandra Stevenson held the position of Company Secretary for the whole of the financial year and to the date of this report.</w:t>
      </w:r>
    </w:p>
    <w:p>
      <w:pPr>
        <w:pStyle w:val="BodyText"/>
        <w:spacing w:before="4"/>
        <w:rPr>
          <w:sz w:val="14"/>
        </w:rPr>
      </w:pPr>
    </w:p>
    <w:p>
      <w:pPr>
        <w:pStyle w:val="Heading9"/>
        <w:ind w:left="502"/>
        <w:jc w:val="both"/>
      </w:pPr>
      <w:r>
        <w:rPr/>
        <w:t>Principal activities and significant changes in nature of activities</w:t>
      </w:r>
    </w:p>
    <w:p>
      <w:pPr>
        <w:pStyle w:val="BodyText"/>
        <w:spacing w:before="4"/>
        <w:ind w:left="503" w:right="113"/>
        <w:jc w:val="both"/>
      </w:pPr>
      <w:r>
        <w:rPr/>
        <w:t>The principal activity of the Company is to manage the Company and to act as Trustee of the Whitlam Institute Within Western Sydney University Trust. The main function of the Company is fundraising in support of the University, and the effective management control of all Trust funds held within the Whitlam Institute Trust account.</w:t>
      </w:r>
    </w:p>
    <w:p>
      <w:pPr>
        <w:pStyle w:val="BodyText"/>
        <w:spacing w:before="146"/>
        <w:ind w:left="503" w:right="113"/>
        <w:jc w:val="both"/>
      </w:pPr>
      <w:r>
        <w:rPr/>
        <w:t>The Whitlam Institute works as an educator, policy influencer and research institute. The Institute bridges the historical legacy of the late Gough Whitlam's years in public life and the contemporary relevance of the Whitlam Program to  public discourse and policy. It links policies with people - connecting communities with the decisions and policies that affect their lives. The Whitlam Institute is guided by the 'three great aims' that drove the Whitlam Program of 1972.   They are to promote equality, to involve the people of Australia in the decision-making processes of our land, and to liberate the talents and uplift the horizons of the Australian</w:t>
      </w:r>
      <w:r>
        <w:rPr>
          <w:spacing w:val="-1"/>
        </w:rPr>
        <w:t> </w:t>
      </w:r>
      <w:r>
        <w:rPr/>
        <w:t>people.</w:t>
      </w:r>
    </w:p>
    <w:p>
      <w:pPr>
        <w:pStyle w:val="BodyText"/>
        <w:spacing w:before="146"/>
        <w:ind w:left="504" w:right="112"/>
        <w:jc w:val="both"/>
      </w:pPr>
      <w:r>
        <w:rPr/>
        <w:t>The Whitlam Institute supports Western Sydney University development by working with schools to bring knowledge to life in the community. In a range of practical ways we make scholarship relevant to everyday lives. We are inspired by the E.G Whitlam Prime Ministerial Collection which represents the life's work of an Australian statesmen who has pursued his convictions with a constant commitment to community engagement and a determination to put words into action.</w:t>
      </w:r>
    </w:p>
    <w:p>
      <w:pPr>
        <w:pStyle w:val="BodyText"/>
        <w:spacing w:before="146"/>
        <w:ind w:left="504"/>
        <w:jc w:val="both"/>
      </w:pPr>
      <w:r>
        <w:rPr/>
        <w:t>No significant changes in the nature of the Company's activity occurred during the financial year.</w:t>
      </w:r>
    </w:p>
    <w:p>
      <w:pPr>
        <w:pStyle w:val="BodyText"/>
        <w:spacing w:before="6"/>
        <w:rPr>
          <w:sz w:val="26"/>
        </w:rPr>
      </w:pPr>
    </w:p>
    <w:p>
      <w:pPr>
        <w:pStyle w:val="Heading9"/>
        <w:spacing w:before="1"/>
        <w:ind w:left="502"/>
        <w:jc w:val="both"/>
      </w:pPr>
      <w:r>
        <w:rPr/>
        <w:t>Review of operations</w:t>
      </w:r>
    </w:p>
    <w:p>
      <w:pPr>
        <w:pStyle w:val="BodyText"/>
        <w:spacing w:before="4"/>
        <w:ind w:left="504"/>
        <w:jc w:val="both"/>
      </w:pPr>
      <w:r>
        <w:rPr/>
        <w:t>The surplus of the Company amounted to $ NIL (2016: $ NIL).</w:t>
      </w:r>
    </w:p>
    <w:p>
      <w:pPr>
        <w:pStyle w:val="BodyText"/>
        <w:spacing w:before="4"/>
        <w:rPr>
          <w:sz w:val="14"/>
        </w:rPr>
      </w:pPr>
    </w:p>
    <w:p>
      <w:pPr>
        <w:pStyle w:val="Heading9"/>
        <w:ind w:left="502"/>
        <w:jc w:val="both"/>
      </w:pPr>
      <w:r>
        <w:rPr/>
        <w:t>Dividends</w:t>
      </w:r>
    </w:p>
    <w:p>
      <w:pPr>
        <w:pStyle w:val="BodyText"/>
        <w:spacing w:before="4"/>
        <w:ind w:left="504" w:right="161" w:hanging="1"/>
      </w:pPr>
      <w:r>
        <w:rPr/>
        <w:t>No dividend is paid or payable since the commencement of the financial year and up to and including the date of signing this report (2016: $</w:t>
      </w:r>
      <w:r>
        <w:rPr>
          <w:spacing w:val="-7"/>
        </w:rPr>
        <w:t> </w:t>
      </w:r>
      <w:r>
        <w:rPr/>
        <w:t>nil).</w:t>
      </w:r>
    </w:p>
    <w:p>
      <w:pPr>
        <w:pStyle w:val="BodyText"/>
        <w:spacing w:before="4"/>
        <w:rPr>
          <w:sz w:val="14"/>
        </w:rPr>
      </w:pPr>
    </w:p>
    <w:p>
      <w:pPr>
        <w:pStyle w:val="Heading9"/>
        <w:ind w:left="502"/>
        <w:jc w:val="both"/>
      </w:pPr>
      <w:r>
        <w:rPr/>
        <w:t>Events after the reporting date</w:t>
      </w:r>
    </w:p>
    <w:p>
      <w:pPr>
        <w:pStyle w:val="BodyText"/>
        <w:spacing w:before="4"/>
        <w:ind w:left="503" w:right="109"/>
        <w:jc w:val="both"/>
      </w:pPr>
      <w:r>
        <w:rPr/>
        <w:t>No matters or circumstances have arisen since the end of the financial year which significantly affected or could significantly affect the operations of the Company, the results of those operations or the state of affairs of the Company in future financial years.</w:t>
      </w:r>
    </w:p>
    <w:p>
      <w:pPr>
        <w:pStyle w:val="BodyText"/>
        <w:spacing w:before="4"/>
        <w:rPr>
          <w:sz w:val="14"/>
        </w:rPr>
      </w:pPr>
    </w:p>
    <w:p>
      <w:pPr>
        <w:pStyle w:val="Heading9"/>
        <w:ind w:left="502"/>
        <w:jc w:val="both"/>
      </w:pPr>
      <w:r>
        <w:rPr/>
        <w:t>Future developments</w:t>
      </w:r>
    </w:p>
    <w:p>
      <w:pPr>
        <w:pStyle w:val="BodyText"/>
        <w:spacing w:before="4"/>
        <w:ind w:left="504"/>
        <w:jc w:val="both"/>
      </w:pPr>
      <w:r>
        <w:rPr/>
        <w:t>Future developments are not expected to significantly affect the future operations of the Company.</w:t>
      </w:r>
    </w:p>
    <w:p>
      <w:pPr>
        <w:pStyle w:val="BodyText"/>
        <w:spacing w:before="4"/>
        <w:rPr>
          <w:sz w:val="14"/>
        </w:rPr>
      </w:pPr>
    </w:p>
    <w:p>
      <w:pPr>
        <w:pStyle w:val="Heading9"/>
        <w:ind w:left="502"/>
        <w:jc w:val="both"/>
      </w:pPr>
      <w:r>
        <w:rPr/>
        <w:t>Environmental matters</w:t>
      </w:r>
    </w:p>
    <w:p>
      <w:pPr>
        <w:spacing w:after="0"/>
        <w:jc w:val="both"/>
        <w:sectPr>
          <w:headerReference w:type="default" r:id="rId132"/>
          <w:pgSz w:w="11910" w:h="16840"/>
          <w:pgMar w:header="1038" w:footer="501" w:top="2500" w:bottom="700" w:left="900" w:right="860"/>
        </w:sectPr>
      </w:pPr>
    </w:p>
    <w:p>
      <w:pPr>
        <w:spacing w:line="207" w:lineRule="exact" w:before="150"/>
        <w:ind w:left="502" w:right="161" w:firstLine="0"/>
        <w:jc w:val="left"/>
        <w:rPr>
          <w:b/>
          <w:sz w:val="18"/>
        </w:rPr>
      </w:pPr>
      <w:r>
        <w:rPr>
          <w:b/>
          <w:sz w:val="18"/>
        </w:rPr>
        <w:t>Environmental matters (continued)</w:t>
      </w:r>
    </w:p>
    <w:p>
      <w:pPr>
        <w:pStyle w:val="BodyText"/>
        <w:ind w:left="503" w:right="161"/>
      </w:pPr>
      <w:r>
        <w:rPr/>
        <w:t>The Company's operations are not regulated by any significant environmental regulations under a law of the Commonwealth or of a state or territory.</w:t>
      </w:r>
    </w:p>
    <w:p>
      <w:pPr>
        <w:pStyle w:val="BodyText"/>
      </w:pPr>
    </w:p>
    <w:p>
      <w:pPr>
        <w:pStyle w:val="BodyText"/>
      </w:pPr>
    </w:p>
    <w:p>
      <w:pPr>
        <w:pStyle w:val="Heading9"/>
        <w:spacing w:before="104"/>
        <w:ind w:left="502" w:right="161"/>
      </w:pPr>
      <w:r>
        <w:rPr/>
        <w:t>Auditors independence declaration</w:t>
      </w:r>
    </w:p>
    <w:p>
      <w:pPr>
        <w:pStyle w:val="BodyText"/>
        <w:spacing w:before="4"/>
        <w:ind w:left="504" w:right="161"/>
      </w:pPr>
      <w:r>
        <w:rPr/>
        <w:t>The Audit Office of New South Wales continues in office in accordance with section 327 of the </w:t>
      </w:r>
      <w:r>
        <w:rPr>
          <w:i/>
        </w:rPr>
        <w:t>Corporations Act 2001</w:t>
      </w:r>
      <w:r>
        <w:rPr/>
        <w:t>.</w:t>
      </w:r>
    </w:p>
    <w:p>
      <w:pPr>
        <w:pStyle w:val="BodyText"/>
        <w:spacing w:before="146"/>
        <w:ind w:left="503" w:right="161"/>
      </w:pPr>
      <w:r>
        <w:rPr/>
        <w:t>The lead auditors independence declaration for the year ended 31 December 2017 has been received and can be  found on page 206 of the financial</w:t>
      </w:r>
      <w:r>
        <w:rPr>
          <w:spacing w:val="-6"/>
        </w:rPr>
        <w:t> </w:t>
      </w:r>
      <w:r>
        <w:rPr/>
        <w:t>statements.</w:t>
      </w:r>
    </w:p>
    <w:p>
      <w:pPr>
        <w:pStyle w:val="BodyText"/>
      </w:pPr>
    </w:p>
    <w:p>
      <w:pPr>
        <w:pStyle w:val="BodyText"/>
      </w:pPr>
    </w:p>
    <w:p>
      <w:pPr>
        <w:pStyle w:val="BodyText"/>
        <w:spacing w:before="3"/>
        <w:rPr>
          <w:sz w:val="21"/>
        </w:rPr>
      </w:pPr>
    </w:p>
    <w:p>
      <w:pPr>
        <w:pStyle w:val="Heading9"/>
        <w:spacing w:before="1"/>
        <w:ind w:left="502" w:right="161"/>
      </w:pPr>
      <w:r>
        <w:rPr/>
        <w:t>Information on directors</w:t>
      </w:r>
    </w:p>
    <w:p>
      <w:pPr>
        <w:pStyle w:val="BodyText"/>
        <w:rPr>
          <w:b/>
        </w:rPr>
      </w:pPr>
    </w:p>
    <w:p>
      <w:pPr>
        <w:pStyle w:val="BodyText"/>
        <w:rPr>
          <w:b/>
        </w:rPr>
      </w:pPr>
    </w:p>
    <w:p>
      <w:pPr>
        <w:pStyle w:val="BodyText"/>
        <w:spacing w:before="6"/>
        <w:rPr>
          <w:b/>
          <w:sz w:val="19"/>
        </w:rPr>
      </w:pPr>
    </w:p>
    <w:p>
      <w:pPr>
        <w:pStyle w:val="BodyText"/>
        <w:tabs>
          <w:tab w:pos="3761" w:val="left" w:leader="none"/>
        </w:tabs>
        <w:ind w:left="503" w:right="161"/>
      </w:pPr>
      <w:r>
        <w:rPr/>
        <w:t>The Hon.</w:t>
      </w:r>
      <w:r>
        <w:rPr>
          <w:spacing w:val="-1"/>
        </w:rPr>
        <w:t> </w:t>
      </w:r>
      <w:r>
        <w:rPr/>
        <w:t>John</w:t>
      </w:r>
      <w:r>
        <w:rPr>
          <w:spacing w:val="-1"/>
        </w:rPr>
        <w:t> </w:t>
      </w:r>
      <w:r>
        <w:rPr/>
        <w:t>Faulkner</w:t>
        <w:tab/>
        <w:t>BA, DipEd (Macquarie).</w:t>
      </w:r>
      <w:r>
        <w:rPr>
          <w:spacing w:val="49"/>
        </w:rPr>
        <w:t> </w:t>
      </w:r>
      <w:r>
        <w:rPr/>
        <w:t>Chair.</w:t>
      </w:r>
    </w:p>
    <w:p>
      <w:pPr>
        <w:pStyle w:val="BodyText"/>
        <w:tabs>
          <w:tab w:pos="3761" w:val="left" w:leader="none"/>
        </w:tabs>
        <w:spacing w:before="83"/>
        <w:ind w:left="3761" w:right="196" w:hanging="3258"/>
      </w:pPr>
      <w:r>
        <w:rPr/>
        <w:t>Experience</w:t>
        <w:tab/>
        <w:t>Appointed as Director 8 March 2011. Senator the Hon. John Faulkner</w:t>
      </w:r>
      <w:r>
        <w:rPr>
          <w:spacing w:val="-1"/>
        </w:rPr>
        <w:t> </w:t>
      </w:r>
      <w:r>
        <w:rPr/>
        <w:t>was</w:t>
      </w:r>
      <w:r>
        <w:rPr>
          <w:spacing w:val="-1"/>
        </w:rPr>
        <w:t> </w:t>
      </w:r>
      <w:r>
        <w:rPr/>
        <w:t>a</w:t>
      </w:r>
      <w:r>
        <w:rPr>
          <w:w w:val="99"/>
        </w:rPr>
        <w:t> </w:t>
      </w:r>
      <w:r>
        <w:rPr/>
        <w:t>Labor Senator for New South Wales from 1989 to 2015. Since his election to the Senate in 1989, Senator Faulkner has held a number of ministries, serving as Minister for Veterans' Affairs, Minister for Defence Science and Personnel, Minister for the Environment, Sport and Territories, Cabinet Secretary, Special Minister of State and Minister for Defence. He served as Leader of the Opposition in the Senate from 1996 to 2004. He has also held a range of senior positions within the Australian Labor Party, including Nationa President of the party, twenty years as a member of its National Executive and nine years as Assistant General Secretary of the New South Wales Branch. Senator Faulkner is well versed in, and passionate about the history of the Australian Labor Party. Prior to his political career, Senator Faulkner worked as a teacher of children with severe</w:t>
      </w:r>
      <w:r>
        <w:rPr>
          <w:spacing w:val="-1"/>
        </w:rPr>
        <w:t> </w:t>
      </w:r>
      <w:r>
        <w:rPr/>
        <w:t>disabilities.</w:t>
      </w:r>
    </w:p>
    <w:p>
      <w:pPr>
        <w:pStyle w:val="BodyText"/>
        <w:tabs>
          <w:tab w:pos="3761" w:val="left" w:leader="none"/>
        </w:tabs>
        <w:spacing w:before="140"/>
        <w:ind w:left="504" w:right="161"/>
      </w:pPr>
      <w:r>
        <w:rPr/>
        <w:t>Ms Patricia</w:t>
      </w:r>
      <w:r>
        <w:rPr>
          <w:spacing w:val="-1"/>
        </w:rPr>
        <w:t> </w:t>
      </w:r>
      <w:r>
        <w:rPr/>
        <w:t>Amphlett OAM</w:t>
        <w:tab/>
        <w:t>Non-Executive.</w:t>
      </w:r>
    </w:p>
    <w:p>
      <w:pPr>
        <w:pStyle w:val="BodyText"/>
        <w:tabs>
          <w:tab w:pos="3761" w:val="left" w:leader="none"/>
        </w:tabs>
        <w:spacing w:before="83"/>
        <w:ind w:left="3762" w:right="247" w:hanging="3258"/>
      </w:pPr>
      <w:r>
        <w:rPr/>
        <w:t>Experience</w:t>
        <w:tab/>
        <w:t>Appointed as Director 29 June 2010. Ms Patricia Amphlett OAM</w:t>
      </w:r>
      <w:r>
        <w:rPr>
          <w:spacing w:val="-1"/>
        </w:rPr>
        <w:t> </w:t>
      </w:r>
      <w:r>
        <w:rPr/>
        <w:t>is</w:t>
      </w:r>
      <w:r>
        <w:rPr>
          <w:spacing w:val="-1"/>
        </w:rPr>
        <w:t> </w:t>
      </w:r>
      <w:r>
        <w:rPr/>
        <w:t>the</w:t>
      </w:r>
      <w:r>
        <w:rPr>
          <w:w w:val="99"/>
        </w:rPr>
        <w:t> </w:t>
      </w:r>
      <w:r>
        <w:rPr/>
        <w:t>Federal President of the Media, Entertainment and Arts Alliance, a position she has held since 2002. With a succession of hits and as a long standing member of the Bandstand Family, she established herself as a prominent force in the Australian music industry. Her musical talents are credited with many industry awards including Best Female Singer, Most Popular Female Performer, TV Logie for Best Teenage Personality and a succession of Gold Records. A definite 'all rounder' in the music and entertainment industry, Ms Amphlett’s talent spans a broad spectrum from writing, producing and performing shows for children, and hosting charity and corporate events. She maintains a high profile in the music industry, with many live performances at Festivals, Corporate Events, Clubs and Television shows. Ms Amphlett has a strong commitment to music education. She is a consultant for the NSW Government’s Talent Development Project. She is a member of the Board of the National Film &amp; Sound</w:t>
      </w:r>
      <w:r>
        <w:rPr>
          <w:spacing w:val="-1"/>
        </w:rPr>
        <w:t> </w:t>
      </w:r>
      <w:r>
        <w:rPr/>
        <w:t>Archives.</w:t>
      </w:r>
    </w:p>
    <w:p>
      <w:pPr>
        <w:spacing w:after="0"/>
        <w:sectPr>
          <w:pgSz w:w="11910" w:h="16840"/>
          <w:pgMar w:header="1038" w:footer="501" w:top="2500" w:bottom="700" w:left="900" w:right="860"/>
        </w:sectPr>
      </w:pPr>
    </w:p>
    <w:p>
      <w:pPr>
        <w:pStyle w:val="BodyText"/>
        <w:tabs>
          <w:tab w:pos="3761" w:val="left" w:leader="none"/>
        </w:tabs>
        <w:spacing w:line="207" w:lineRule="exact" w:before="144"/>
        <w:ind w:left="504" w:right="194"/>
      </w:pPr>
      <w:r>
        <w:rPr/>
        <w:t>Prof.</w:t>
      </w:r>
      <w:r>
        <w:rPr>
          <w:spacing w:val="-1"/>
        </w:rPr>
        <w:t> </w:t>
      </w:r>
      <w:r>
        <w:rPr/>
        <w:t>Barney</w:t>
      </w:r>
      <w:r>
        <w:rPr>
          <w:spacing w:val="-1"/>
        </w:rPr>
        <w:t> </w:t>
      </w:r>
      <w:r>
        <w:rPr/>
        <w:t>Glover</w:t>
        <w:tab/>
        <w:t>PhD (Applied Mathematics), MSc, BSc (Honours), Dip Ed</w:t>
      </w:r>
      <w:r>
        <w:rPr>
          <w:spacing w:val="-2"/>
        </w:rPr>
        <w:t> </w:t>
      </w:r>
      <w:r>
        <w:rPr/>
        <w:t>(Melbourne),</w:t>
      </w:r>
    </w:p>
    <w:p>
      <w:pPr>
        <w:pStyle w:val="BodyText"/>
        <w:spacing w:line="207" w:lineRule="exact"/>
        <w:ind w:left="3771" w:right="4398"/>
        <w:jc w:val="center"/>
      </w:pPr>
      <w:r>
        <w:rPr/>
        <w:t>MAICD. Non-Executive.</w:t>
      </w:r>
    </w:p>
    <w:p>
      <w:pPr>
        <w:pStyle w:val="BodyText"/>
        <w:tabs>
          <w:tab w:pos="3761" w:val="left" w:leader="none"/>
        </w:tabs>
        <w:spacing w:before="83"/>
        <w:ind w:left="3761" w:right="186" w:hanging="3258"/>
      </w:pPr>
      <w:r>
        <w:rPr/>
        <w:t>Experience</w:t>
        <w:tab/>
        <w:t>Appointed as Director 1 Jan 2014. Professor Barney Glover has</w:t>
      </w:r>
      <w:r>
        <w:rPr>
          <w:spacing w:val="-1"/>
        </w:rPr>
        <w:t> </w:t>
      </w:r>
      <w:r>
        <w:rPr/>
        <w:t>been</w:t>
      </w:r>
      <w:r>
        <w:rPr>
          <w:spacing w:val="-1"/>
        </w:rPr>
        <w:t> </w:t>
      </w:r>
      <w:r>
        <w:rPr/>
        <w:t>the</w:t>
      </w:r>
      <w:r>
        <w:rPr>
          <w:w w:val="99"/>
        </w:rPr>
        <w:t> </w:t>
      </w:r>
      <w:r>
        <w:rPr/>
        <w:t>Vice-Chancellor and President of the Western Sydney University since he commenced in this role on 1 January 2014. Professor Glover is an accomplished academic leader and experienced Vice-Chancellor. Previously Vice-Chancellor at Charles Darwin University from 2009 to 2013, he has a long record of success in university management and leadership, particularly in research, intellectual property management and major capital development projects.Before relocating to the Northern Territory in 2009 Professor Glover was the Deputy Vice-Chancellor, Research at the University of</w:t>
      </w:r>
      <w:r>
        <w:rPr>
          <w:spacing w:val="-1"/>
        </w:rPr>
        <w:t> </w:t>
      </w:r>
      <w:r>
        <w:rPr/>
        <w:t>Newcastle.</w:t>
      </w:r>
    </w:p>
    <w:p>
      <w:pPr>
        <w:pStyle w:val="BodyText"/>
        <w:ind w:left="3762" w:right="194"/>
      </w:pPr>
      <w:r>
        <w:rPr/>
        <w:t>Prior to this, he held several positions at Perth's Curtin University of Technology including Pro Vice-Chancellor, Research and Development. He has a strong research publication record and has co-authored four texts in mathematics education. Before his appointment at Curtin Professor Glover held a number of positions at the University of Ballarat in Victoria. Professor Glover holds a PhD in Applied Mathematics and has worked on both the east and west coasts of Australia.</w:t>
      </w:r>
    </w:p>
    <w:p>
      <w:pPr>
        <w:pStyle w:val="BodyText"/>
        <w:tabs>
          <w:tab w:pos="3761" w:val="left" w:leader="none"/>
        </w:tabs>
        <w:spacing w:before="140"/>
        <w:ind w:left="503" w:right="194"/>
      </w:pPr>
      <w:r>
        <w:rPr/>
        <w:t>Ms</w:t>
      </w:r>
      <w:r>
        <w:rPr>
          <w:spacing w:val="-1"/>
        </w:rPr>
        <w:t> </w:t>
      </w:r>
      <w:r>
        <w:rPr/>
        <w:t>Gabrielle</w:t>
      </w:r>
      <w:r>
        <w:rPr>
          <w:spacing w:val="-1"/>
        </w:rPr>
        <w:t> </w:t>
      </w:r>
      <w:r>
        <w:rPr/>
        <w:t>Trainor</w:t>
        <w:tab/>
        <w:t>LLB (Melbourne).</w:t>
      </w:r>
      <w:r>
        <w:rPr>
          <w:spacing w:val="49"/>
        </w:rPr>
        <w:t> </w:t>
      </w:r>
      <w:r>
        <w:rPr/>
        <w:t>Non-Executive.</w:t>
      </w:r>
    </w:p>
    <w:p>
      <w:pPr>
        <w:pStyle w:val="BodyText"/>
        <w:tabs>
          <w:tab w:pos="3761" w:val="left" w:leader="none"/>
        </w:tabs>
        <w:spacing w:before="83"/>
        <w:ind w:left="3761" w:right="116" w:hanging="3258"/>
      </w:pPr>
      <w:r>
        <w:rPr/>
        <w:t>Experience</w:t>
        <w:tab/>
        <w:t>Appointed as Director 29 June 2010. Ms Gabrielle Trainor is</w:t>
      </w:r>
      <w:r>
        <w:rPr>
          <w:spacing w:val="-1"/>
        </w:rPr>
        <w:t> </w:t>
      </w:r>
      <w:r>
        <w:rPr/>
        <w:t>a</w:t>
      </w:r>
      <w:r>
        <w:rPr>
          <w:spacing w:val="-1"/>
        </w:rPr>
        <w:t> </w:t>
      </w:r>
      <w:r>
        <w:rPr/>
        <w:t>non-executive</w:t>
      </w:r>
      <w:r>
        <w:rPr>
          <w:w w:val="99"/>
        </w:rPr>
        <w:t> </w:t>
      </w:r>
      <w:r>
        <w:rPr/>
        <w:t>director and advisor. Her chair and director roles have spanned organisations in urban development, transport, education, public interest law, tourism, culture and sport. She was a founding partner and co-owner of specialist consultancy John Connolly &amp; Partners and over 25 years advised large listed companies on the management of major transactions and significant issues across stakeholder groups including in capital markets, government, NGO’s and other influencers. Ms Trainor is a member of the board of Leighton Contractors (advisory board), a director of the Barangaroo Delivery Authority, Business Events Sydney, Cape York Group, the Aurora Education Foundation and is a trustee of the Charlie Perkins Education Trust. She is a member of the board of trustees of the Western Sydney University. She is Chair of the National Film and Sound Archive and Chair of Barnardo’s Australia. She co- chaired the 2012 Federal Government review of the Australia Council for the Arts. She has had a long term involvement in indigenous affairs, including as director of Cape York Partnerships and a member of the Victorian Government’s Aboriginal Economic Development Group which reported in 2010. Ms Trainor was educated as Ll.B at the University of Melbourne and was awarded a 1986 Churchill Fellowship. She studied in the USA and UK, including as a visiting scholar at Stanford University. She is an Honorary Associate in the Graduate School of Government at Sydney University and a Fellow of the Australian Institute of Company</w:t>
      </w:r>
      <w:r>
        <w:rPr>
          <w:spacing w:val="-1"/>
        </w:rPr>
        <w:t> </w:t>
      </w:r>
      <w:r>
        <w:rPr/>
        <w:t>Directors.</w:t>
      </w:r>
    </w:p>
    <w:p>
      <w:pPr>
        <w:spacing w:after="0"/>
        <w:sectPr>
          <w:headerReference w:type="default" r:id="rId133"/>
          <w:pgSz w:w="11910" w:h="16840"/>
          <w:pgMar w:header="1038" w:footer="501" w:top="3000" w:bottom="700" w:left="900" w:right="900"/>
        </w:sectPr>
      </w:pPr>
    </w:p>
    <w:p>
      <w:pPr>
        <w:pStyle w:val="BodyText"/>
        <w:tabs>
          <w:tab w:pos="3761" w:val="left" w:leader="none"/>
        </w:tabs>
        <w:spacing w:before="144"/>
        <w:ind w:left="504"/>
      </w:pPr>
      <w:r>
        <w:rPr/>
        <w:t>Mr Talal</w:t>
      </w:r>
      <w:r>
        <w:rPr>
          <w:spacing w:val="-1"/>
        </w:rPr>
        <w:t> </w:t>
      </w:r>
      <w:r>
        <w:rPr/>
        <w:t>Yassine</w:t>
      </w:r>
      <w:r>
        <w:rPr>
          <w:spacing w:val="-1"/>
        </w:rPr>
        <w:t> </w:t>
      </w:r>
      <w:r>
        <w:rPr/>
        <w:t>OAM</w:t>
        <w:tab/>
        <w:t>BA Lib (Macquarie), Master of Laws (Sydney), MBA (Deakin).</w:t>
      </w:r>
      <w:r>
        <w:rPr>
          <w:spacing w:val="48"/>
        </w:rPr>
        <w:t> </w:t>
      </w:r>
      <w:r>
        <w:rPr/>
        <w:t>Non-Executive.</w:t>
      </w:r>
    </w:p>
    <w:p>
      <w:pPr>
        <w:pStyle w:val="BodyText"/>
        <w:tabs>
          <w:tab w:pos="3761" w:val="left" w:leader="none"/>
        </w:tabs>
        <w:spacing w:before="83"/>
        <w:ind w:left="3761" w:right="137" w:hanging="3258"/>
      </w:pPr>
      <w:r>
        <w:rPr/>
        <w:t>Experience</w:t>
        <w:tab/>
        <w:t>Appointed as Director 8 October 2010. Mr Talal Yassine OAM</w:t>
      </w:r>
      <w:r>
        <w:rPr>
          <w:spacing w:val="-1"/>
        </w:rPr>
        <w:t> </w:t>
      </w:r>
      <w:r>
        <w:rPr/>
        <w:t>is</w:t>
      </w:r>
      <w:r>
        <w:rPr>
          <w:spacing w:val="-1"/>
        </w:rPr>
        <w:t> </w:t>
      </w:r>
      <w:r>
        <w:rPr/>
        <w:t>an</w:t>
      </w:r>
      <w:r>
        <w:rPr>
          <w:w w:val="99"/>
        </w:rPr>
        <w:t> </w:t>
      </w:r>
      <w:r>
        <w:rPr/>
        <w:t>experienced lawyer, banker and Non-Executive Director. After 10 years at PricewaterhouseCoopers as a Director and strategist, he joined investment firm Babcock &amp; Brown Ltd in the Corporate Finance Group and later in the Technical Real Estate Division. Later he held leadership positions in Better Place Australia and is currently the Managing Director of Crescent Wealth. Mr Yassine currently serves on the Board of Australia Post, Sydney Ports, the Whitlam Institute, The Australian Multicultural Council and as Deputy Chairman of the Gulf Australia Business Council. He has also served on the Board of Macquarie University; and as the Deputy Chairman of a government regulator, and as Chairman as Platinum Sound Pty Ltd. Mr Yassine holds a Master of Laws, a Master of Business Administration which was focused on international business strategy, as well as holding degrees in law and diplomas from the AICD and UNE in directorship. In November 2012, he was appointed as a Professorial Fellow at the Crawford School of Public Policy, at the Australian National University. On Australia Day 2010, he was awarded a Medal of the Order of Australia (OAM) for his service to business and to the community through a range of</w:t>
      </w:r>
      <w:r>
        <w:rPr>
          <w:spacing w:val="-1"/>
        </w:rPr>
        <w:t> </w:t>
      </w:r>
      <w:r>
        <w:rPr/>
        <w:t>education.</w:t>
      </w:r>
    </w:p>
    <w:p>
      <w:pPr>
        <w:pStyle w:val="BodyText"/>
        <w:tabs>
          <w:tab w:pos="3761" w:val="left" w:leader="none"/>
        </w:tabs>
        <w:spacing w:before="140"/>
        <w:ind w:left="504" w:right="159"/>
      </w:pPr>
      <w:r>
        <w:rPr/>
        <w:t>Ms</w:t>
      </w:r>
      <w:r>
        <w:rPr>
          <w:spacing w:val="-1"/>
        </w:rPr>
        <w:t> </w:t>
      </w:r>
      <w:r>
        <w:rPr/>
        <w:t>Catherine</w:t>
      </w:r>
      <w:r>
        <w:rPr>
          <w:spacing w:val="-1"/>
        </w:rPr>
        <w:t> </w:t>
      </w:r>
      <w:r>
        <w:rPr/>
        <w:t>Dovey</w:t>
        <w:tab/>
        <w:t>BA (UNSW), Dip Ed (Sydney Teacher College).</w:t>
      </w:r>
      <w:r>
        <w:rPr>
          <w:spacing w:val="-1"/>
        </w:rPr>
        <w:t> </w:t>
      </w:r>
      <w:r>
        <w:rPr/>
        <w:t>Non-Executive.</w:t>
      </w:r>
    </w:p>
    <w:p>
      <w:pPr>
        <w:pStyle w:val="BodyText"/>
        <w:tabs>
          <w:tab w:pos="3761" w:val="left" w:leader="none"/>
        </w:tabs>
        <w:spacing w:before="83"/>
        <w:ind w:left="3762" w:right="167" w:hanging="3259"/>
      </w:pPr>
      <w:r>
        <w:rPr/>
        <w:t>Experience</w:t>
        <w:tab/>
        <w:t>Catherine Dovey worked in the New South Wales public service</w:t>
      </w:r>
      <w:r>
        <w:rPr>
          <w:spacing w:val="-1"/>
        </w:rPr>
        <w:t> </w:t>
      </w:r>
      <w:r>
        <w:rPr/>
        <w:t>in</w:t>
      </w:r>
      <w:r>
        <w:rPr>
          <w:spacing w:val="-1"/>
        </w:rPr>
        <w:t> </w:t>
      </w:r>
      <w:r>
        <w:rPr/>
        <w:t>public policy formulation and administration. Her roles include an early period as a probation and parole officer with the NSW Corrections system and later as a member of the parole Board of NSW. In the interim she served in a variety of positions at Sydney Water. Catherine graduated from the University of New South Wales as a Bachelor of Arts and with a Diploma of Education from the then Sydney Teachers’ College. Catherine has always reflected a spirited engagement with community and education issues which included serving a decade as a Board member of the International Grammar</w:t>
      </w:r>
      <w:r>
        <w:rPr>
          <w:spacing w:val="-1"/>
        </w:rPr>
        <w:t> </w:t>
      </w:r>
      <w:r>
        <w:rPr/>
        <w:t>School.</w:t>
      </w:r>
    </w:p>
    <w:p>
      <w:pPr>
        <w:pStyle w:val="BodyText"/>
        <w:tabs>
          <w:tab w:pos="3761" w:val="left" w:leader="none"/>
        </w:tabs>
        <w:spacing w:before="140"/>
        <w:ind w:left="503" w:right="159"/>
      </w:pPr>
      <w:r>
        <w:rPr/>
        <w:t>Mr</w:t>
      </w:r>
      <w:r>
        <w:rPr>
          <w:spacing w:val="-1"/>
        </w:rPr>
        <w:t> </w:t>
      </w:r>
      <w:r>
        <w:rPr/>
        <w:t>Cameron</w:t>
      </w:r>
      <w:r>
        <w:rPr>
          <w:spacing w:val="-1"/>
        </w:rPr>
        <w:t> </w:t>
      </w:r>
      <w:r>
        <w:rPr/>
        <w:t>Clyne</w:t>
        <w:tab/>
        <w:t>BA (Sydney).</w:t>
      </w:r>
      <w:r>
        <w:rPr>
          <w:spacing w:val="49"/>
        </w:rPr>
        <w:t> </w:t>
      </w:r>
      <w:r>
        <w:rPr/>
        <w:t>Non-Executive.</w:t>
      </w:r>
    </w:p>
    <w:p>
      <w:pPr>
        <w:pStyle w:val="BodyText"/>
        <w:tabs>
          <w:tab w:pos="3761" w:val="left" w:leader="none"/>
        </w:tabs>
        <w:spacing w:before="83"/>
        <w:ind w:left="3761" w:right="128" w:hanging="3258"/>
      </w:pPr>
      <w:r>
        <w:rPr/>
        <w:t>Experience</w:t>
        <w:tab/>
        <w:t>Cameron Clyne is currently Chairman of Camel Partners, a</w:t>
      </w:r>
      <w:r>
        <w:rPr>
          <w:spacing w:val="-1"/>
        </w:rPr>
        <w:t> </w:t>
      </w:r>
      <w:r>
        <w:rPr/>
        <w:t>private</w:t>
      </w:r>
      <w:r>
        <w:rPr>
          <w:spacing w:val="-1"/>
        </w:rPr>
        <w:t> </w:t>
      </w:r>
      <w:r>
        <w:rPr/>
        <w:t>advisory firm and the Camel Foundation. He is Chairman of the Australian Rugby Union; a director of SANZAAR Pty Ltd; the Western Sydney University Foundation; Camp Quality; a Patron of the Western Sydney Leadership Dialogue, and an Adjunct Professor at the WSU Business School. Cameron was Group Chief Executive Officer of National Australia Bank (NAB) from January 2009 until August 2014. He was also Chairman of Clydesdale Bank in the United Kingdom and a Director of the Bank of New Zealand. Prior to NAB Cameron was a Partner at PriceWaterhouseCoopers (PwC). He worked in their Sydney, Melbourne, San Francisco and New York offices. In 2008 he was named a Young Global Leader by the World Economic</w:t>
      </w:r>
      <w:r>
        <w:rPr>
          <w:spacing w:val="-1"/>
        </w:rPr>
        <w:t> </w:t>
      </w:r>
      <w:r>
        <w:rPr/>
        <w:t>Forum.</w:t>
      </w:r>
    </w:p>
    <w:p>
      <w:pPr>
        <w:pStyle w:val="BodyText"/>
        <w:tabs>
          <w:tab w:pos="3761" w:val="left" w:leader="none"/>
        </w:tabs>
        <w:spacing w:before="140"/>
        <w:ind w:left="504" w:right="159"/>
      </w:pPr>
      <w:r>
        <w:rPr/>
        <w:t>Dr</w:t>
      </w:r>
      <w:r>
        <w:rPr>
          <w:spacing w:val="-1"/>
        </w:rPr>
        <w:t> </w:t>
      </w:r>
      <w:r>
        <w:rPr/>
        <w:t>Rebecca</w:t>
      </w:r>
      <w:r>
        <w:rPr>
          <w:spacing w:val="-1"/>
        </w:rPr>
        <w:t> </w:t>
      </w:r>
      <w:r>
        <w:rPr/>
        <w:t>Huntley</w:t>
        <w:tab/>
        <w:t>LLB (UNSW), BA (Honors) (UNSW), PhD (USYD).</w:t>
      </w:r>
      <w:r>
        <w:rPr>
          <w:spacing w:val="48"/>
        </w:rPr>
        <w:t> </w:t>
      </w:r>
      <w:r>
        <w:rPr/>
        <w:t>Non-Executive.</w:t>
      </w:r>
    </w:p>
    <w:p>
      <w:pPr>
        <w:pStyle w:val="BodyText"/>
        <w:tabs>
          <w:tab w:pos="3761" w:val="left" w:leader="none"/>
        </w:tabs>
        <w:spacing w:before="83"/>
        <w:ind w:left="3762" w:right="112" w:hanging="3259"/>
      </w:pPr>
      <w:r>
        <w:rPr/>
        <w:t>Experience</w:t>
        <w:tab/>
        <w:t>Dr Rebecca Huntley is one of Australia's foremost researchers</w:t>
      </w:r>
      <w:r>
        <w:rPr>
          <w:spacing w:val="-1"/>
        </w:rPr>
        <w:t> </w:t>
      </w:r>
      <w:r>
        <w:rPr/>
        <w:t>on</w:t>
      </w:r>
      <w:r>
        <w:rPr>
          <w:spacing w:val="-1"/>
        </w:rPr>
        <w:t> </w:t>
      </w:r>
      <w:r>
        <w:rPr/>
        <w:t>social</w:t>
      </w:r>
      <w:r>
        <w:rPr>
          <w:w w:val="99"/>
        </w:rPr>
        <w:t> </w:t>
      </w:r>
      <w:r>
        <w:rPr/>
        <w:t>trends. She holds degrees in law and film studies and a PhD in gender studies. For nearly nine years, Rebecca was at the global research firm Ipsos. From 2006 until 2015, she was the Director of the Mind &amp; Mood Report, Australia's longest-running social trends report. She is the author of numerous books, and was a feature writer for Australian Vogue, a columnist for BRW and the presenter of Drive on a Friday on Radio National. She is on the Artistic Advisory Board of the Bell Shakespeare Company and is an adjunct senior lecturer at the School of Social Sciences at The University of New South Wales. Rebecca is currently the Head of Research at Essential Media, an integrated research and communications agency in Australia and New Zealand. Her latest book, Still Lucky: why you should be optimistic about Australia and its people was published by Penguin in January</w:t>
      </w:r>
      <w:r>
        <w:rPr>
          <w:spacing w:val="-2"/>
        </w:rPr>
        <w:t> </w:t>
      </w:r>
      <w:r>
        <w:rPr/>
        <w:t>2017.</w:t>
      </w:r>
    </w:p>
    <w:p>
      <w:pPr>
        <w:spacing w:after="0"/>
        <w:sectPr>
          <w:pgSz w:w="11910" w:h="16840"/>
          <w:pgMar w:header="1038" w:footer="501" w:top="3000" w:bottom="700" w:left="900" w:right="920"/>
        </w:sectPr>
      </w:pPr>
    </w:p>
    <w:p>
      <w:pPr>
        <w:pStyle w:val="BodyText"/>
        <w:tabs>
          <w:tab w:pos="3761" w:val="left" w:leader="none"/>
        </w:tabs>
        <w:spacing w:line="290" w:lineRule="atLeast" w:before="61"/>
        <w:ind w:left="503" w:right="258"/>
      </w:pPr>
      <w:r>
        <w:rPr/>
        <w:t>Ms</w:t>
      </w:r>
      <w:r>
        <w:rPr>
          <w:spacing w:val="-1"/>
        </w:rPr>
        <w:t> </w:t>
      </w:r>
      <w:r>
        <w:rPr/>
        <w:t>Amanda</w:t>
      </w:r>
      <w:r>
        <w:rPr>
          <w:spacing w:val="-1"/>
        </w:rPr>
        <w:t> </w:t>
      </w:r>
      <w:r>
        <w:rPr/>
        <w:t>McKenzie</w:t>
        <w:tab/>
        <w:t>LLB (Honors) (Monash), BA (Political Science)</w:t>
      </w:r>
      <w:r>
        <w:rPr>
          <w:spacing w:val="-2"/>
        </w:rPr>
        <w:t> </w:t>
      </w:r>
      <w:r>
        <w:rPr/>
        <w:t>(Melbourne).</w:t>
      </w:r>
      <w:r>
        <w:rPr>
          <w:spacing w:val="-1"/>
        </w:rPr>
        <w:t> </w:t>
      </w:r>
      <w:r>
        <w:rPr/>
        <w:t>Non-Executive.</w:t>
      </w:r>
      <w:r>
        <w:rPr>
          <w:w w:val="99"/>
        </w:rPr>
        <w:t> </w:t>
      </w:r>
      <w:r>
        <w:rPr/>
        <w:t>Experience</w:t>
        <w:tab/>
        <w:t>Amanda McKenzie is an environmental leader and CEO of the</w:t>
      </w:r>
      <w:r>
        <w:rPr>
          <w:spacing w:val="-1"/>
        </w:rPr>
        <w:t> </w:t>
      </w:r>
      <w:r>
        <w:rPr/>
        <w:t>Climate</w:t>
      </w:r>
    </w:p>
    <w:p>
      <w:pPr>
        <w:pStyle w:val="BodyText"/>
        <w:ind w:left="3761" w:right="95"/>
      </w:pPr>
      <w:r>
        <w:rPr/>
        <w:t>Council, which was launched following Australia's largest ever crowd-funding campaign. She is on the Board of the Centre for Australian Progress and on the Board of Plan International Australia. In 2014, Amanda was recognised as one of Westpac's 100 Women of Influence. Previously, Amanda founded the Australian Youth Climate Coalition.</w:t>
      </w:r>
    </w:p>
    <w:p>
      <w:pPr>
        <w:pStyle w:val="BodyText"/>
        <w:tabs>
          <w:tab w:pos="3761" w:val="left" w:leader="none"/>
        </w:tabs>
        <w:spacing w:before="140"/>
        <w:ind w:left="503" w:right="258"/>
      </w:pPr>
      <w:r>
        <w:rPr/>
        <w:t>Mr</w:t>
      </w:r>
      <w:r>
        <w:rPr>
          <w:spacing w:val="-1"/>
        </w:rPr>
        <w:t> </w:t>
      </w:r>
      <w:r>
        <w:rPr/>
        <w:t>John</w:t>
      </w:r>
      <w:r>
        <w:rPr>
          <w:spacing w:val="-1"/>
        </w:rPr>
        <w:t> </w:t>
      </w:r>
      <w:r>
        <w:rPr/>
        <w:t>Wells</w:t>
        <w:tab/>
        <w:t>Non-Executive.</w:t>
      </w:r>
    </w:p>
    <w:p>
      <w:pPr>
        <w:pStyle w:val="BodyText"/>
        <w:tabs>
          <w:tab w:pos="3761" w:val="left" w:leader="none"/>
        </w:tabs>
        <w:spacing w:before="83"/>
        <w:ind w:left="3761" w:right="98" w:hanging="3258"/>
      </w:pPr>
      <w:r>
        <w:rPr/>
        <w:t>Experience</w:t>
        <w:tab/>
        <w:t>Serving as Director from 15 June 2005 until 17 November 2017.</w:t>
      </w:r>
      <w:r>
        <w:rPr>
          <w:spacing w:val="-1"/>
        </w:rPr>
        <w:t> </w:t>
      </w:r>
      <w:r>
        <w:rPr/>
        <w:t>Mr</w:t>
      </w:r>
      <w:r>
        <w:rPr>
          <w:spacing w:val="-1"/>
        </w:rPr>
        <w:t> </w:t>
      </w:r>
      <w:r>
        <w:rPr/>
        <w:t>John</w:t>
      </w:r>
      <w:r>
        <w:rPr>
          <w:w w:val="99"/>
        </w:rPr>
        <w:t> </w:t>
      </w:r>
      <w:r>
        <w:rPr/>
        <w:t>Wells is Chairman of Wells Haslem Pty Ltd. His career has embraced journalism at the most senior levels in Australia and overseas, senior media involvement in newspapers, television and radio, policy advice to Federa political leaders and public affairs consulting. His major interests are in government and media and the operational elements of strategic communication campaigns. He works for all of Wells Haslem’s major clients in these and many other</w:t>
      </w:r>
      <w:r>
        <w:rPr>
          <w:spacing w:val="-1"/>
        </w:rPr>
        <w:t> </w:t>
      </w:r>
      <w:r>
        <w:rPr/>
        <w:t>roles.</w:t>
      </w:r>
    </w:p>
    <w:p>
      <w:pPr>
        <w:spacing w:after="0"/>
        <w:sectPr>
          <w:headerReference w:type="default" r:id="rId134"/>
          <w:pgSz w:w="11910" w:h="16840"/>
          <w:pgMar w:header="1038" w:footer="501" w:top="3000" w:bottom="700" w:left="900" w:right="940"/>
        </w:sectPr>
      </w:pPr>
    </w:p>
    <w:p>
      <w:pPr>
        <w:pStyle w:val="BodyText"/>
        <w:spacing w:before="5"/>
        <w:rPr>
          <w:sz w:val="20"/>
        </w:rPr>
      </w:pPr>
    </w:p>
    <w:p>
      <w:pPr>
        <w:pStyle w:val="Heading9"/>
        <w:spacing w:before="77"/>
        <w:ind w:left="502" w:right="161"/>
      </w:pPr>
      <w:r>
        <w:rPr/>
        <w:t>Meetings of directors</w:t>
      </w:r>
    </w:p>
    <w:p>
      <w:pPr>
        <w:pStyle w:val="BodyText"/>
        <w:spacing w:before="4"/>
        <w:ind w:left="504" w:right="161"/>
      </w:pPr>
      <w:r>
        <w:rPr/>
        <w:t>During the financial year, 4 meetings of directors (including committees of directors) were held. Attendances by each director during the year were as follows:</w:t>
      </w:r>
    </w:p>
    <w:p>
      <w:pPr>
        <w:pStyle w:val="BodyText"/>
        <w:rPr>
          <w:sz w:val="20"/>
        </w:rPr>
      </w:pPr>
    </w:p>
    <w:p>
      <w:pPr>
        <w:pStyle w:val="BodyText"/>
        <w:spacing w:before="5"/>
        <w:rPr>
          <w:sz w:val="12"/>
        </w:rPr>
      </w:pPr>
    </w:p>
    <w:tbl>
      <w:tblPr>
        <w:tblW w:w="0" w:type="auto"/>
        <w:jc w:val="left"/>
        <w:tblInd w:w="5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0"/>
        <w:gridCol w:w="1139"/>
        <w:gridCol w:w="1134"/>
      </w:tblGrid>
      <w:tr>
        <w:trPr>
          <w:trHeight w:val="283" w:hRule="exact"/>
        </w:trPr>
        <w:tc>
          <w:tcPr>
            <w:tcW w:w="2830" w:type="dxa"/>
            <w:vMerge w:val="restart"/>
            <w:tcBorders>
              <w:right w:val="single" w:sz="0" w:space="0" w:color="000000"/>
            </w:tcBorders>
          </w:tcPr>
          <w:p>
            <w:pPr/>
          </w:p>
        </w:tc>
        <w:tc>
          <w:tcPr>
            <w:tcW w:w="2273" w:type="dxa"/>
            <w:gridSpan w:val="2"/>
            <w:tcBorders>
              <w:top w:val="single" w:sz="0" w:space="0" w:color="000000"/>
              <w:left w:val="single" w:sz="0" w:space="0" w:color="000000"/>
              <w:bottom w:val="single" w:sz="0" w:space="0" w:color="000000"/>
              <w:right w:val="single" w:sz="0" w:space="0" w:color="000000"/>
            </w:tcBorders>
          </w:tcPr>
          <w:p>
            <w:pPr>
              <w:pStyle w:val="TableParagraph"/>
              <w:spacing w:before="57"/>
              <w:ind w:left="421"/>
              <w:rPr>
                <w:b/>
                <w:sz w:val="16"/>
              </w:rPr>
            </w:pPr>
            <w:r>
              <w:rPr>
                <w:b/>
                <w:sz w:val="16"/>
              </w:rPr>
              <w:t>Directors' Meetings</w:t>
            </w:r>
          </w:p>
        </w:tc>
      </w:tr>
      <w:tr>
        <w:trPr>
          <w:trHeight w:val="490" w:hRule="exact"/>
        </w:trPr>
        <w:tc>
          <w:tcPr>
            <w:tcW w:w="2830" w:type="dxa"/>
            <w:vMerge/>
            <w:tcBorders>
              <w:bottom w:val="single" w:sz="0" w:space="0" w:color="000000"/>
              <w:right w:val="single" w:sz="0" w:space="0" w:color="000000"/>
            </w:tcBorders>
          </w:tcPr>
          <w:p>
            <w:pPr/>
          </w:p>
        </w:tc>
        <w:tc>
          <w:tcPr>
            <w:tcW w:w="1139" w:type="dxa"/>
            <w:tcBorders>
              <w:top w:val="single" w:sz="0" w:space="0" w:color="000000"/>
              <w:left w:val="single" w:sz="0" w:space="0" w:color="000000"/>
              <w:bottom w:val="single" w:sz="0" w:space="0" w:color="000000"/>
              <w:right w:val="single" w:sz="0" w:space="0" w:color="000000"/>
            </w:tcBorders>
          </w:tcPr>
          <w:p>
            <w:pPr>
              <w:pStyle w:val="TableParagraph"/>
              <w:spacing w:line="307" w:lineRule="auto" w:before="76"/>
              <w:ind w:left="292" w:right="7" w:hanging="232"/>
              <w:rPr>
                <w:b/>
                <w:sz w:val="14"/>
              </w:rPr>
            </w:pPr>
            <w:r>
              <w:rPr>
                <w:b/>
                <w:sz w:val="14"/>
              </w:rPr>
              <w:t>Number eligible to attend</w:t>
            </w:r>
          </w:p>
        </w:tc>
        <w:tc>
          <w:tcPr>
            <w:tcW w:w="1134" w:type="dxa"/>
            <w:tcBorders>
              <w:top w:val="single" w:sz="0" w:space="0" w:color="000000"/>
              <w:left w:val="single" w:sz="0" w:space="0" w:color="000000"/>
              <w:bottom w:val="single" w:sz="0" w:space="0" w:color="000000"/>
              <w:right w:val="single" w:sz="0" w:space="0" w:color="000000"/>
            </w:tcBorders>
          </w:tcPr>
          <w:p>
            <w:pPr>
              <w:pStyle w:val="TableParagraph"/>
              <w:spacing w:line="307" w:lineRule="auto" w:before="76"/>
              <w:ind w:left="300" w:right="229" w:firstLine="27"/>
              <w:rPr>
                <w:b/>
                <w:sz w:val="14"/>
              </w:rPr>
            </w:pPr>
            <w:r>
              <w:rPr>
                <w:b/>
                <w:sz w:val="14"/>
              </w:rPr>
              <w:t>Number attended</w:t>
            </w:r>
          </w:p>
        </w:tc>
      </w:tr>
      <w:tr>
        <w:trPr>
          <w:trHeight w:val="256" w:hRule="exact"/>
        </w:trPr>
        <w:tc>
          <w:tcPr>
            <w:tcW w:w="2830" w:type="dxa"/>
            <w:tcBorders>
              <w:top w:val="single" w:sz="0" w:space="0" w:color="000000"/>
              <w:left w:val="single" w:sz="0" w:space="0" w:color="000000"/>
              <w:right w:val="single" w:sz="0" w:space="0" w:color="000000"/>
            </w:tcBorders>
          </w:tcPr>
          <w:p>
            <w:pPr>
              <w:pStyle w:val="TableParagraph"/>
              <w:spacing w:before="34"/>
              <w:ind w:left="68"/>
              <w:rPr>
                <w:sz w:val="16"/>
              </w:rPr>
            </w:pPr>
            <w:r>
              <w:rPr>
                <w:sz w:val="16"/>
              </w:rPr>
              <w:t>The Hon. John Faulkner</w:t>
            </w:r>
          </w:p>
        </w:tc>
        <w:tc>
          <w:tcPr>
            <w:tcW w:w="1139" w:type="dxa"/>
            <w:tcBorders>
              <w:top w:val="single" w:sz="0" w:space="0" w:color="000000"/>
              <w:left w:val="single" w:sz="0" w:space="0" w:color="000000"/>
              <w:right w:val="single" w:sz="0" w:space="0" w:color="000000"/>
            </w:tcBorders>
          </w:tcPr>
          <w:p>
            <w:pPr>
              <w:pStyle w:val="TableParagraph"/>
              <w:spacing w:before="33"/>
              <w:ind w:right="448"/>
              <w:jc w:val="right"/>
              <w:rPr>
                <w:sz w:val="16"/>
              </w:rPr>
            </w:pPr>
            <w:r>
              <w:rPr>
                <w:w w:val="99"/>
                <w:sz w:val="16"/>
              </w:rPr>
              <w:t>4</w:t>
            </w:r>
          </w:p>
        </w:tc>
        <w:tc>
          <w:tcPr>
            <w:tcW w:w="1134" w:type="dxa"/>
            <w:tcBorders>
              <w:top w:val="single" w:sz="0" w:space="0" w:color="000000"/>
              <w:left w:val="single" w:sz="0" w:space="0" w:color="000000"/>
              <w:right w:val="single" w:sz="0" w:space="0" w:color="000000"/>
            </w:tcBorders>
          </w:tcPr>
          <w:p>
            <w:pPr>
              <w:pStyle w:val="TableParagraph"/>
              <w:spacing w:before="33"/>
              <w:ind w:right="439"/>
              <w:jc w:val="right"/>
              <w:rPr>
                <w:sz w:val="16"/>
              </w:rPr>
            </w:pPr>
            <w:r>
              <w:rPr>
                <w:w w:val="99"/>
                <w:sz w:val="16"/>
              </w:rPr>
              <w:t>4</w:t>
            </w:r>
          </w:p>
        </w:tc>
      </w:tr>
      <w:tr>
        <w:trPr>
          <w:trHeight w:val="241" w:hRule="exact"/>
        </w:trPr>
        <w:tc>
          <w:tcPr>
            <w:tcW w:w="2830" w:type="dxa"/>
            <w:tcBorders>
              <w:left w:val="single" w:sz="0" w:space="0" w:color="000000"/>
              <w:right w:val="single" w:sz="0" w:space="0" w:color="000000"/>
            </w:tcBorders>
          </w:tcPr>
          <w:p>
            <w:pPr>
              <w:pStyle w:val="TableParagraph"/>
              <w:spacing w:before="20"/>
              <w:ind w:left="68"/>
              <w:rPr>
                <w:sz w:val="16"/>
              </w:rPr>
            </w:pPr>
            <w:r>
              <w:rPr>
                <w:sz w:val="16"/>
              </w:rPr>
              <w:t>Ms Patricia Amphlett OAM</w:t>
            </w:r>
          </w:p>
        </w:tc>
        <w:tc>
          <w:tcPr>
            <w:tcW w:w="1139" w:type="dxa"/>
            <w:tcBorders>
              <w:left w:val="single" w:sz="0" w:space="0" w:color="000000"/>
              <w:right w:val="single" w:sz="0" w:space="0" w:color="000000"/>
            </w:tcBorders>
          </w:tcPr>
          <w:p>
            <w:pPr>
              <w:pStyle w:val="TableParagraph"/>
              <w:spacing w:before="19"/>
              <w:ind w:right="448"/>
              <w:jc w:val="right"/>
              <w:rPr>
                <w:sz w:val="16"/>
              </w:rPr>
            </w:pPr>
            <w:r>
              <w:rPr>
                <w:w w:val="99"/>
                <w:sz w:val="16"/>
              </w:rPr>
              <w:t>4</w:t>
            </w:r>
          </w:p>
        </w:tc>
        <w:tc>
          <w:tcPr>
            <w:tcW w:w="1134" w:type="dxa"/>
            <w:tcBorders>
              <w:left w:val="single" w:sz="0" w:space="0" w:color="000000"/>
              <w:right w:val="single" w:sz="0" w:space="0" w:color="000000"/>
            </w:tcBorders>
          </w:tcPr>
          <w:p>
            <w:pPr>
              <w:pStyle w:val="TableParagraph"/>
              <w:spacing w:before="19"/>
              <w:ind w:right="439"/>
              <w:jc w:val="right"/>
              <w:rPr>
                <w:sz w:val="16"/>
              </w:rPr>
            </w:pPr>
            <w:r>
              <w:rPr>
                <w:w w:val="99"/>
                <w:sz w:val="16"/>
              </w:rPr>
              <w:t>3</w:t>
            </w:r>
          </w:p>
        </w:tc>
      </w:tr>
      <w:tr>
        <w:trPr>
          <w:trHeight w:val="241" w:hRule="exact"/>
        </w:trPr>
        <w:tc>
          <w:tcPr>
            <w:tcW w:w="2830" w:type="dxa"/>
            <w:tcBorders>
              <w:left w:val="single" w:sz="0" w:space="0" w:color="000000"/>
              <w:right w:val="single" w:sz="0" w:space="0" w:color="000000"/>
            </w:tcBorders>
          </w:tcPr>
          <w:p>
            <w:pPr>
              <w:pStyle w:val="TableParagraph"/>
              <w:spacing w:before="20"/>
              <w:ind w:left="68"/>
              <w:rPr>
                <w:sz w:val="16"/>
              </w:rPr>
            </w:pPr>
            <w:r>
              <w:rPr>
                <w:sz w:val="16"/>
              </w:rPr>
              <w:t>Prof. Barney Glover</w:t>
            </w:r>
          </w:p>
        </w:tc>
        <w:tc>
          <w:tcPr>
            <w:tcW w:w="1139" w:type="dxa"/>
            <w:tcBorders>
              <w:left w:val="single" w:sz="0" w:space="0" w:color="000000"/>
              <w:right w:val="single" w:sz="0" w:space="0" w:color="000000"/>
            </w:tcBorders>
          </w:tcPr>
          <w:p>
            <w:pPr>
              <w:pStyle w:val="TableParagraph"/>
              <w:spacing w:before="19"/>
              <w:ind w:right="448"/>
              <w:jc w:val="right"/>
              <w:rPr>
                <w:sz w:val="16"/>
              </w:rPr>
            </w:pPr>
            <w:r>
              <w:rPr>
                <w:w w:val="99"/>
                <w:sz w:val="16"/>
              </w:rPr>
              <w:t>4</w:t>
            </w:r>
          </w:p>
        </w:tc>
        <w:tc>
          <w:tcPr>
            <w:tcW w:w="1134" w:type="dxa"/>
            <w:tcBorders>
              <w:left w:val="single" w:sz="0" w:space="0" w:color="000000"/>
              <w:right w:val="single" w:sz="0" w:space="0" w:color="000000"/>
            </w:tcBorders>
          </w:tcPr>
          <w:p>
            <w:pPr>
              <w:pStyle w:val="TableParagraph"/>
              <w:spacing w:before="19"/>
              <w:ind w:right="439"/>
              <w:jc w:val="right"/>
              <w:rPr>
                <w:sz w:val="16"/>
              </w:rPr>
            </w:pPr>
            <w:r>
              <w:rPr>
                <w:w w:val="99"/>
                <w:sz w:val="16"/>
              </w:rPr>
              <w:t>4</w:t>
            </w:r>
          </w:p>
        </w:tc>
      </w:tr>
      <w:tr>
        <w:trPr>
          <w:trHeight w:val="241" w:hRule="exact"/>
        </w:trPr>
        <w:tc>
          <w:tcPr>
            <w:tcW w:w="2830" w:type="dxa"/>
            <w:tcBorders>
              <w:left w:val="single" w:sz="0" w:space="0" w:color="000000"/>
              <w:right w:val="single" w:sz="0" w:space="0" w:color="000000"/>
            </w:tcBorders>
          </w:tcPr>
          <w:p>
            <w:pPr>
              <w:pStyle w:val="TableParagraph"/>
              <w:spacing w:before="20"/>
              <w:ind w:left="68"/>
              <w:rPr>
                <w:sz w:val="16"/>
              </w:rPr>
            </w:pPr>
            <w:r>
              <w:rPr>
                <w:sz w:val="16"/>
              </w:rPr>
              <w:t>Ms Gabrielle Trainor</w:t>
            </w:r>
          </w:p>
        </w:tc>
        <w:tc>
          <w:tcPr>
            <w:tcW w:w="1139" w:type="dxa"/>
            <w:tcBorders>
              <w:left w:val="single" w:sz="0" w:space="0" w:color="000000"/>
              <w:right w:val="single" w:sz="0" w:space="0" w:color="000000"/>
            </w:tcBorders>
          </w:tcPr>
          <w:p>
            <w:pPr>
              <w:pStyle w:val="TableParagraph"/>
              <w:spacing w:before="19"/>
              <w:ind w:right="448"/>
              <w:jc w:val="right"/>
              <w:rPr>
                <w:sz w:val="16"/>
              </w:rPr>
            </w:pPr>
            <w:r>
              <w:rPr>
                <w:w w:val="99"/>
                <w:sz w:val="16"/>
              </w:rPr>
              <w:t>4</w:t>
            </w:r>
          </w:p>
        </w:tc>
        <w:tc>
          <w:tcPr>
            <w:tcW w:w="1134" w:type="dxa"/>
            <w:tcBorders>
              <w:left w:val="single" w:sz="0" w:space="0" w:color="000000"/>
              <w:right w:val="single" w:sz="0" w:space="0" w:color="000000"/>
            </w:tcBorders>
          </w:tcPr>
          <w:p>
            <w:pPr>
              <w:pStyle w:val="TableParagraph"/>
              <w:spacing w:before="19"/>
              <w:ind w:right="439"/>
              <w:jc w:val="right"/>
              <w:rPr>
                <w:sz w:val="16"/>
              </w:rPr>
            </w:pPr>
            <w:r>
              <w:rPr>
                <w:w w:val="99"/>
                <w:sz w:val="16"/>
              </w:rPr>
              <w:t>4</w:t>
            </w:r>
          </w:p>
        </w:tc>
      </w:tr>
      <w:tr>
        <w:trPr>
          <w:trHeight w:val="241" w:hRule="exact"/>
        </w:trPr>
        <w:tc>
          <w:tcPr>
            <w:tcW w:w="2830" w:type="dxa"/>
            <w:tcBorders>
              <w:left w:val="single" w:sz="0" w:space="0" w:color="000000"/>
              <w:right w:val="single" w:sz="0" w:space="0" w:color="000000"/>
            </w:tcBorders>
          </w:tcPr>
          <w:p>
            <w:pPr>
              <w:pStyle w:val="TableParagraph"/>
              <w:spacing w:before="20"/>
              <w:ind w:left="68"/>
              <w:rPr>
                <w:sz w:val="16"/>
              </w:rPr>
            </w:pPr>
            <w:r>
              <w:rPr>
                <w:sz w:val="16"/>
              </w:rPr>
              <w:t>Mr Talal Yassine OAM</w:t>
            </w:r>
          </w:p>
        </w:tc>
        <w:tc>
          <w:tcPr>
            <w:tcW w:w="1139" w:type="dxa"/>
            <w:tcBorders>
              <w:left w:val="single" w:sz="0" w:space="0" w:color="000000"/>
              <w:right w:val="single" w:sz="0" w:space="0" w:color="000000"/>
            </w:tcBorders>
          </w:tcPr>
          <w:p>
            <w:pPr>
              <w:pStyle w:val="TableParagraph"/>
              <w:spacing w:before="19"/>
              <w:ind w:right="448"/>
              <w:jc w:val="right"/>
              <w:rPr>
                <w:sz w:val="16"/>
              </w:rPr>
            </w:pPr>
            <w:r>
              <w:rPr>
                <w:w w:val="99"/>
                <w:sz w:val="16"/>
              </w:rPr>
              <w:t>4</w:t>
            </w:r>
          </w:p>
        </w:tc>
        <w:tc>
          <w:tcPr>
            <w:tcW w:w="1134" w:type="dxa"/>
            <w:tcBorders>
              <w:left w:val="single" w:sz="0" w:space="0" w:color="000000"/>
              <w:right w:val="single" w:sz="0" w:space="0" w:color="000000"/>
            </w:tcBorders>
          </w:tcPr>
          <w:p>
            <w:pPr>
              <w:pStyle w:val="TableParagraph"/>
              <w:spacing w:before="19"/>
              <w:ind w:right="439"/>
              <w:jc w:val="right"/>
              <w:rPr>
                <w:sz w:val="16"/>
              </w:rPr>
            </w:pPr>
            <w:r>
              <w:rPr>
                <w:w w:val="99"/>
                <w:sz w:val="16"/>
              </w:rPr>
              <w:t>3</w:t>
            </w:r>
          </w:p>
        </w:tc>
      </w:tr>
      <w:tr>
        <w:trPr>
          <w:trHeight w:val="241" w:hRule="exact"/>
        </w:trPr>
        <w:tc>
          <w:tcPr>
            <w:tcW w:w="2830" w:type="dxa"/>
            <w:tcBorders>
              <w:left w:val="single" w:sz="0" w:space="0" w:color="000000"/>
              <w:right w:val="single" w:sz="0" w:space="0" w:color="000000"/>
            </w:tcBorders>
          </w:tcPr>
          <w:p>
            <w:pPr>
              <w:pStyle w:val="TableParagraph"/>
              <w:spacing w:before="20"/>
              <w:ind w:left="68"/>
              <w:rPr>
                <w:sz w:val="16"/>
              </w:rPr>
            </w:pPr>
            <w:r>
              <w:rPr>
                <w:sz w:val="16"/>
              </w:rPr>
              <w:t>Ms Catherine Dovey</w:t>
            </w:r>
          </w:p>
        </w:tc>
        <w:tc>
          <w:tcPr>
            <w:tcW w:w="1139" w:type="dxa"/>
            <w:tcBorders>
              <w:left w:val="single" w:sz="0" w:space="0" w:color="000000"/>
              <w:right w:val="single" w:sz="0" w:space="0" w:color="000000"/>
            </w:tcBorders>
          </w:tcPr>
          <w:p>
            <w:pPr>
              <w:pStyle w:val="TableParagraph"/>
              <w:spacing w:before="19"/>
              <w:ind w:right="448"/>
              <w:jc w:val="right"/>
              <w:rPr>
                <w:sz w:val="16"/>
              </w:rPr>
            </w:pPr>
            <w:r>
              <w:rPr>
                <w:w w:val="99"/>
                <w:sz w:val="16"/>
              </w:rPr>
              <w:t>4</w:t>
            </w:r>
          </w:p>
        </w:tc>
        <w:tc>
          <w:tcPr>
            <w:tcW w:w="1134" w:type="dxa"/>
            <w:tcBorders>
              <w:left w:val="single" w:sz="0" w:space="0" w:color="000000"/>
              <w:right w:val="single" w:sz="0" w:space="0" w:color="000000"/>
            </w:tcBorders>
          </w:tcPr>
          <w:p>
            <w:pPr>
              <w:pStyle w:val="TableParagraph"/>
              <w:spacing w:before="19"/>
              <w:ind w:right="439"/>
              <w:jc w:val="right"/>
              <w:rPr>
                <w:sz w:val="16"/>
              </w:rPr>
            </w:pPr>
            <w:r>
              <w:rPr>
                <w:w w:val="99"/>
                <w:sz w:val="16"/>
              </w:rPr>
              <w:t>4</w:t>
            </w:r>
          </w:p>
        </w:tc>
      </w:tr>
      <w:tr>
        <w:trPr>
          <w:trHeight w:val="241" w:hRule="exact"/>
        </w:trPr>
        <w:tc>
          <w:tcPr>
            <w:tcW w:w="2830" w:type="dxa"/>
            <w:tcBorders>
              <w:left w:val="single" w:sz="0" w:space="0" w:color="000000"/>
              <w:right w:val="single" w:sz="0" w:space="0" w:color="000000"/>
            </w:tcBorders>
          </w:tcPr>
          <w:p>
            <w:pPr>
              <w:pStyle w:val="TableParagraph"/>
              <w:spacing w:before="20"/>
              <w:ind w:left="68"/>
              <w:rPr>
                <w:sz w:val="16"/>
              </w:rPr>
            </w:pPr>
            <w:r>
              <w:rPr>
                <w:sz w:val="16"/>
              </w:rPr>
              <w:t>Mr Cameron Clyne</w:t>
            </w:r>
          </w:p>
        </w:tc>
        <w:tc>
          <w:tcPr>
            <w:tcW w:w="1139" w:type="dxa"/>
            <w:tcBorders>
              <w:left w:val="single" w:sz="0" w:space="0" w:color="000000"/>
              <w:right w:val="single" w:sz="0" w:space="0" w:color="000000"/>
            </w:tcBorders>
          </w:tcPr>
          <w:p>
            <w:pPr>
              <w:pStyle w:val="TableParagraph"/>
              <w:spacing w:before="19"/>
              <w:ind w:right="448"/>
              <w:jc w:val="right"/>
              <w:rPr>
                <w:sz w:val="16"/>
              </w:rPr>
            </w:pPr>
            <w:r>
              <w:rPr>
                <w:w w:val="99"/>
                <w:sz w:val="16"/>
              </w:rPr>
              <w:t>4</w:t>
            </w:r>
          </w:p>
        </w:tc>
        <w:tc>
          <w:tcPr>
            <w:tcW w:w="1134" w:type="dxa"/>
            <w:tcBorders>
              <w:left w:val="single" w:sz="0" w:space="0" w:color="000000"/>
              <w:right w:val="single" w:sz="0" w:space="0" w:color="000000"/>
            </w:tcBorders>
          </w:tcPr>
          <w:p>
            <w:pPr>
              <w:pStyle w:val="TableParagraph"/>
              <w:spacing w:before="19"/>
              <w:ind w:right="439"/>
              <w:jc w:val="right"/>
              <w:rPr>
                <w:sz w:val="16"/>
              </w:rPr>
            </w:pPr>
            <w:r>
              <w:rPr>
                <w:w w:val="99"/>
                <w:sz w:val="16"/>
              </w:rPr>
              <w:t>3</w:t>
            </w:r>
          </w:p>
        </w:tc>
      </w:tr>
      <w:tr>
        <w:trPr>
          <w:trHeight w:val="241" w:hRule="exact"/>
        </w:trPr>
        <w:tc>
          <w:tcPr>
            <w:tcW w:w="2830" w:type="dxa"/>
            <w:tcBorders>
              <w:left w:val="single" w:sz="0" w:space="0" w:color="000000"/>
              <w:right w:val="single" w:sz="0" w:space="0" w:color="000000"/>
            </w:tcBorders>
          </w:tcPr>
          <w:p>
            <w:pPr>
              <w:pStyle w:val="TableParagraph"/>
              <w:spacing w:before="20"/>
              <w:ind w:left="68"/>
              <w:rPr>
                <w:sz w:val="16"/>
              </w:rPr>
            </w:pPr>
            <w:r>
              <w:rPr>
                <w:sz w:val="16"/>
              </w:rPr>
              <w:t>Dr Rebecca Huntley</w:t>
            </w:r>
          </w:p>
        </w:tc>
        <w:tc>
          <w:tcPr>
            <w:tcW w:w="1139" w:type="dxa"/>
            <w:tcBorders>
              <w:left w:val="single" w:sz="0" w:space="0" w:color="000000"/>
              <w:right w:val="single" w:sz="0" w:space="0" w:color="000000"/>
            </w:tcBorders>
          </w:tcPr>
          <w:p>
            <w:pPr>
              <w:pStyle w:val="TableParagraph"/>
              <w:spacing w:before="19"/>
              <w:ind w:right="448"/>
              <w:jc w:val="right"/>
              <w:rPr>
                <w:sz w:val="16"/>
              </w:rPr>
            </w:pPr>
            <w:r>
              <w:rPr>
                <w:w w:val="99"/>
                <w:sz w:val="16"/>
              </w:rPr>
              <w:t>4</w:t>
            </w:r>
          </w:p>
        </w:tc>
        <w:tc>
          <w:tcPr>
            <w:tcW w:w="1134" w:type="dxa"/>
            <w:tcBorders>
              <w:left w:val="single" w:sz="0" w:space="0" w:color="000000"/>
              <w:right w:val="single" w:sz="0" w:space="0" w:color="000000"/>
            </w:tcBorders>
          </w:tcPr>
          <w:p>
            <w:pPr>
              <w:pStyle w:val="TableParagraph"/>
              <w:spacing w:before="19"/>
              <w:ind w:right="439"/>
              <w:jc w:val="right"/>
              <w:rPr>
                <w:sz w:val="16"/>
              </w:rPr>
            </w:pPr>
            <w:r>
              <w:rPr>
                <w:w w:val="99"/>
                <w:sz w:val="16"/>
              </w:rPr>
              <w:t>3</w:t>
            </w:r>
          </w:p>
        </w:tc>
      </w:tr>
      <w:tr>
        <w:trPr>
          <w:trHeight w:val="241" w:hRule="exact"/>
        </w:trPr>
        <w:tc>
          <w:tcPr>
            <w:tcW w:w="2830" w:type="dxa"/>
            <w:tcBorders>
              <w:left w:val="single" w:sz="0" w:space="0" w:color="000000"/>
              <w:right w:val="single" w:sz="0" w:space="0" w:color="000000"/>
            </w:tcBorders>
          </w:tcPr>
          <w:p>
            <w:pPr>
              <w:pStyle w:val="TableParagraph"/>
              <w:spacing w:before="20"/>
              <w:ind w:left="68"/>
              <w:rPr>
                <w:sz w:val="16"/>
              </w:rPr>
            </w:pPr>
            <w:r>
              <w:rPr>
                <w:sz w:val="16"/>
              </w:rPr>
              <w:t>Ms Amanda McKenzie</w:t>
            </w:r>
          </w:p>
        </w:tc>
        <w:tc>
          <w:tcPr>
            <w:tcW w:w="1139" w:type="dxa"/>
            <w:tcBorders>
              <w:left w:val="single" w:sz="0" w:space="0" w:color="000000"/>
              <w:right w:val="single" w:sz="0" w:space="0" w:color="000000"/>
            </w:tcBorders>
          </w:tcPr>
          <w:p>
            <w:pPr>
              <w:pStyle w:val="TableParagraph"/>
              <w:spacing w:before="19"/>
              <w:ind w:right="448"/>
              <w:jc w:val="right"/>
              <w:rPr>
                <w:sz w:val="16"/>
              </w:rPr>
            </w:pPr>
            <w:r>
              <w:rPr>
                <w:w w:val="99"/>
                <w:sz w:val="16"/>
              </w:rPr>
              <w:t>4</w:t>
            </w:r>
          </w:p>
        </w:tc>
        <w:tc>
          <w:tcPr>
            <w:tcW w:w="1134" w:type="dxa"/>
            <w:tcBorders>
              <w:left w:val="single" w:sz="0" w:space="0" w:color="000000"/>
              <w:right w:val="single" w:sz="0" w:space="0" w:color="000000"/>
            </w:tcBorders>
          </w:tcPr>
          <w:p>
            <w:pPr>
              <w:pStyle w:val="TableParagraph"/>
              <w:spacing w:before="19"/>
              <w:ind w:right="439"/>
              <w:jc w:val="right"/>
              <w:rPr>
                <w:sz w:val="16"/>
              </w:rPr>
            </w:pPr>
            <w:r>
              <w:rPr>
                <w:w w:val="99"/>
                <w:sz w:val="16"/>
              </w:rPr>
              <w:t>2</w:t>
            </w:r>
          </w:p>
        </w:tc>
      </w:tr>
      <w:tr>
        <w:trPr>
          <w:trHeight w:val="477" w:hRule="exact"/>
        </w:trPr>
        <w:tc>
          <w:tcPr>
            <w:tcW w:w="2830" w:type="dxa"/>
            <w:tcBorders>
              <w:left w:val="single" w:sz="0" w:space="0" w:color="000000"/>
              <w:bottom w:val="single" w:sz="0" w:space="0" w:color="000000"/>
              <w:right w:val="single" w:sz="0" w:space="0" w:color="000000"/>
            </w:tcBorders>
          </w:tcPr>
          <w:p>
            <w:pPr>
              <w:pStyle w:val="TableParagraph"/>
              <w:spacing w:before="20"/>
              <w:ind w:left="68"/>
              <w:rPr>
                <w:sz w:val="16"/>
              </w:rPr>
            </w:pPr>
            <w:r>
              <w:rPr>
                <w:sz w:val="16"/>
              </w:rPr>
              <w:t>Mr John Wells</w:t>
            </w:r>
          </w:p>
        </w:tc>
        <w:tc>
          <w:tcPr>
            <w:tcW w:w="1139" w:type="dxa"/>
            <w:tcBorders>
              <w:left w:val="single" w:sz="0" w:space="0" w:color="000000"/>
              <w:bottom w:val="single" w:sz="0" w:space="0" w:color="000000"/>
              <w:right w:val="single" w:sz="0" w:space="0" w:color="000000"/>
            </w:tcBorders>
          </w:tcPr>
          <w:p>
            <w:pPr>
              <w:pStyle w:val="TableParagraph"/>
              <w:spacing w:before="19"/>
              <w:ind w:right="448"/>
              <w:jc w:val="right"/>
              <w:rPr>
                <w:sz w:val="16"/>
              </w:rPr>
            </w:pPr>
            <w:r>
              <w:rPr>
                <w:w w:val="99"/>
                <w:sz w:val="16"/>
              </w:rPr>
              <w:t>4</w:t>
            </w:r>
          </w:p>
        </w:tc>
        <w:tc>
          <w:tcPr>
            <w:tcW w:w="1134" w:type="dxa"/>
            <w:tcBorders>
              <w:left w:val="single" w:sz="0" w:space="0" w:color="000000"/>
              <w:bottom w:val="single" w:sz="0" w:space="0" w:color="000000"/>
              <w:right w:val="single" w:sz="0" w:space="0" w:color="000000"/>
            </w:tcBorders>
          </w:tcPr>
          <w:p>
            <w:pPr>
              <w:pStyle w:val="TableParagraph"/>
              <w:spacing w:before="19"/>
              <w:ind w:right="439"/>
              <w:jc w:val="right"/>
              <w:rPr>
                <w:sz w:val="16"/>
              </w:rPr>
            </w:pPr>
            <w:r>
              <w:rPr>
                <w:w w:val="99"/>
                <w:sz w:val="16"/>
              </w:rPr>
              <w:t>4</w:t>
            </w:r>
          </w:p>
        </w:tc>
      </w:tr>
    </w:tbl>
    <w:p>
      <w:pPr>
        <w:pStyle w:val="BodyText"/>
        <w:spacing w:before="10"/>
      </w:pPr>
    </w:p>
    <w:p>
      <w:pPr>
        <w:pStyle w:val="Heading9"/>
        <w:spacing w:line="207" w:lineRule="exact" w:before="77"/>
        <w:ind w:left="502"/>
        <w:jc w:val="both"/>
      </w:pPr>
      <w:r>
        <w:rPr/>
        <w:t>Indemnification of Directors and Officers</w:t>
      </w:r>
    </w:p>
    <w:p>
      <w:pPr>
        <w:pStyle w:val="BodyText"/>
        <w:ind w:left="503" w:right="112"/>
        <w:jc w:val="both"/>
      </w:pPr>
      <w:r>
        <w:rPr/>
        <w:t>Whitlam Institute within Western Sydney University Limited is insured externally and in line with the Western Sydney University policies for all significant areas of risk exposure and accordingly, is not a self-insurer and makes no provision in its financial statements for internal coverage.</w:t>
      </w:r>
    </w:p>
    <w:p>
      <w:pPr>
        <w:pStyle w:val="BodyText"/>
        <w:spacing w:before="1"/>
        <w:rPr>
          <w:sz w:val="25"/>
        </w:rPr>
      </w:pPr>
    </w:p>
    <w:p>
      <w:pPr>
        <w:pStyle w:val="Heading9"/>
        <w:spacing w:line="207" w:lineRule="exact"/>
        <w:ind w:left="502"/>
        <w:jc w:val="both"/>
      </w:pPr>
      <w:r>
        <w:rPr/>
        <w:t>Proceedings on behalf of company</w:t>
      </w:r>
    </w:p>
    <w:p>
      <w:pPr>
        <w:pStyle w:val="BodyText"/>
        <w:ind w:left="504" w:right="113"/>
        <w:jc w:val="both"/>
      </w:pPr>
      <w:r>
        <w:rPr/>
        <w:t>No person has applied to the Court under section 237 of the </w:t>
      </w:r>
      <w:r>
        <w:rPr>
          <w:i/>
        </w:rPr>
        <w:t>Corporations Act 2001 </w:t>
      </w:r>
      <w:r>
        <w:rPr/>
        <w:t>for leave to bring proceedings on behalf of the Company or to intervene in any proceedings to which the Company is a party, for the purpose of taking responsibility on behalf of the Company for all or any part of those proceedings.</w:t>
      </w:r>
    </w:p>
    <w:p>
      <w:pPr>
        <w:pStyle w:val="BodyText"/>
      </w:pPr>
    </w:p>
    <w:p>
      <w:pPr>
        <w:pStyle w:val="BodyText"/>
      </w:pPr>
    </w:p>
    <w:p>
      <w:pPr>
        <w:pStyle w:val="BodyText"/>
      </w:pPr>
    </w:p>
    <w:p>
      <w:pPr>
        <w:pStyle w:val="BodyText"/>
        <w:spacing w:before="2"/>
        <w:rPr>
          <w:sz w:val="14"/>
        </w:rPr>
      </w:pPr>
    </w:p>
    <w:p>
      <w:pPr>
        <w:pStyle w:val="BodyText"/>
        <w:ind w:left="503"/>
        <w:jc w:val="both"/>
      </w:pPr>
      <w:r>
        <w:rPr/>
        <w:pict>
          <v:shape style="position:absolute;margin-left:68.339401pt;margin-top:10.435104pt;width:464.9pt;height:199.9pt;mso-position-horizontal-relative:page;mso-position-vertical-relative:paragraph;z-index:-1179304"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tabs>
                      <w:tab w:pos="4840" w:val="left" w:leader="none"/>
                    </w:tabs>
                    <w:spacing w:before="141"/>
                    <w:ind w:left="35"/>
                  </w:pPr>
                  <w:r>
                    <w:rPr/>
                    <w:t>Director: .........................................................................</w:t>
                    <w:tab/>
                    <w:t>Director:</w:t>
                  </w:r>
                  <w:r>
                    <w:rPr>
                      <w:spacing w:val="2"/>
                    </w:rPr>
                    <w:t> </w:t>
                  </w:r>
                  <w:r>
                    <w:rPr/>
                    <w:t>..........................................................................</w:t>
                  </w:r>
                </w:p>
                <w:p>
                  <w:pPr>
                    <w:pStyle w:val="BodyText"/>
                    <w:tabs>
                      <w:tab w:pos="4840" w:val="left" w:leader="none"/>
                    </w:tabs>
                    <w:spacing w:before="28"/>
                    <w:ind w:left="35"/>
                  </w:pPr>
                  <w:r>
                    <w:rPr/>
                    <w:t>The Hon.</w:t>
                  </w:r>
                  <w:r>
                    <w:rPr>
                      <w:spacing w:val="-1"/>
                    </w:rPr>
                    <w:t> </w:t>
                  </w:r>
                  <w:r>
                    <w:rPr/>
                    <w:t>John</w:t>
                  </w:r>
                  <w:r>
                    <w:rPr>
                      <w:spacing w:val="-1"/>
                    </w:rPr>
                    <w:t> </w:t>
                  </w:r>
                  <w:r>
                    <w:rPr/>
                    <w:t>Faulkner</w:t>
                    <w:tab/>
                    <w:t>Ms Gabrielle</w:t>
                  </w:r>
                  <w:r>
                    <w:rPr>
                      <w:spacing w:val="-1"/>
                    </w:rPr>
                    <w:t> </w:t>
                  </w:r>
                  <w:r>
                    <w:rPr/>
                    <w:t>Trainor</w:t>
                  </w:r>
                </w:p>
                <w:p>
                  <w:pPr>
                    <w:pStyle w:val="BodyText"/>
                  </w:pPr>
                </w:p>
                <w:p>
                  <w:pPr>
                    <w:pStyle w:val="BodyText"/>
                    <w:spacing w:before="4"/>
                    <w:rPr>
                      <w:sz w:val="20"/>
                    </w:rPr>
                  </w:pPr>
                </w:p>
                <w:p>
                  <w:pPr>
                    <w:pStyle w:val="BodyText"/>
                    <w:ind w:left="37"/>
                  </w:pPr>
                  <w:r>
                    <w:rPr/>
                    <w:t>Dated 23 February 2018</w:t>
                  </w:r>
                </w:p>
              </w:txbxContent>
            </v:textbox>
            <w10:wrap type="none"/>
          </v:shape>
        </w:pict>
      </w:r>
      <w:r>
        <w:rPr/>
        <w:t>Signed in accordance with a resolution of the Board of Directors'.</w:t>
      </w:r>
    </w:p>
    <w:p>
      <w:pPr>
        <w:pStyle w:val="BodyText"/>
        <w:ind w:left="466"/>
        <w:rPr>
          <w:sz w:val="20"/>
        </w:rPr>
      </w:pPr>
      <w:r>
        <w:rPr>
          <w:sz w:val="20"/>
        </w:rPr>
        <w:drawing>
          <wp:inline distT="0" distB="0" distL="0" distR="0">
            <wp:extent cx="5768862" cy="2480310"/>
            <wp:effectExtent l="0" t="0" r="0" b="0"/>
            <wp:docPr id="47" name="image33.jpeg" descr=""/>
            <wp:cNvGraphicFramePr>
              <a:graphicFrameLocks noChangeAspect="1"/>
            </wp:cNvGraphicFramePr>
            <a:graphic>
              <a:graphicData uri="http://schemas.openxmlformats.org/drawingml/2006/picture">
                <pic:pic>
                  <pic:nvPicPr>
                    <pic:cNvPr id="48" name="image33.jpeg"/>
                    <pic:cNvPicPr/>
                  </pic:nvPicPr>
                  <pic:blipFill>
                    <a:blip r:embed="rId136" cstate="print"/>
                    <a:stretch>
                      <a:fillRect/>
                    </a:stretch>
                  </pic:blipFill>
                  <pic:spPr>
                    <a:xfrm>
                      <a:off x="0" y="0"/>
                      <a:ext cx="5768862" cy="2480310"/>
                    </a:xfrm>
                    <a:prstGeom prst="rect">
                      <a:avLst/>
                    </a:prstGeom>
                  </pic:spPr>
                </pic:pic>
              </a:graphicData>
            </a:graphic>
          </wp:inline>
        </w:drawing>
      </w:r>
      <w:r>
        <w:rPr>
          <w:sz w:val="20"/>
        </w:rPr>
      </w:r>
    </w:p>
    <w:p>
      <w:pPr>
        <w:spacing w:after="0"/>
        <w:rPr>
          <w:sz w:val="20"/>
        </w:rPr>
        <w:sectPr>
          <w:headerReference w:type="default" r:id="rId135"/>
          <w:pgSz w:w="11910" w:h="16840"/>
          <w:pgMar w:header="1038" w:footer="501" w:top="2500" w:bottom="700" w:left="900" w:right="860"/>
        </w:sectPr>
      </w:pPr>
    </w:p>
    <w:p>
      <w:pPr>
        <w:pStyle w:val="BodyText"/>
        <w:ind w:left="4304"/>
        <w:rPr>
          <w:sz w:val="20"/>
        </w:rPr>
      </w:pPr>
      <w:r>
        <w:rPr>
          <w:sz w:val="20"/>
        </w:rPr>
        <w:drawing>
          <wp:inline distT="0" distB="0" distL="0" distR="0">
            <wp:extent cx="960120" cy="1010411"/>
            <wp:effectExtent l="0" t="0" r="0" b="0"/>
            <wp:docPr id="49" name="image34.jpeg" descr=""/>
            <wp:cNvGraphicFramePr>
              <a:graphicFrameLocks noChangeAspect="1"/>
            </wp:cNvGraphicFramePr>
            <a:graphic>
              <a:graphicData uri="http://schemas.openxmlformats.org/drawingml/2006/picture">
                <pic:pic>
                  <pic:nvPicPr>
                    <pic:cNvPr id="50" name="image34.jpeg"/>
                    <pic:cNvPicPr/>
                  </pic:nvPicPr>
                  <pic:blipFill>
                    <a:blip r:embed="rId138" cstate="print"/>
                    <a:stretch>
                      <a:fillRect/>
                    </a:stretch>
                  </pic:blipFill>
                  <pic:spPr>
                    <a:xfrm>
                      <a:off x="0" y="0"/>
                      <a:ext cx="960120" cy="1010411"/>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7"/>
        <w:rPr>
          <w:sz w:val="27"/>
        </w:rPr>
      </w:pPr>
    </w:p>
    <w:p>
      <w:pPr>
        <w:pStyle w:val="BodyText"/>
        <w:spacing w:before="77"/>
        <w:ind w:left="718" w:right="258"/>
      </w:pPr>
      <w:r>
        <w:rPr>
          <w:color w:val="2A2D2D"/>
          <w:w w:val="105"/>
        </w:rPr>
        <w:t>To the Directors</w:t>
      </w:r>
    </w:p>
    <w:p>
      <w:pPr>
        <w:pStyle w:val="BodyText"/>
        <w:spacing w:before="8"/>
        <w:rPr>
          <w:sz w:val="9"/>
        </w:rPr>
      </w:pPr>
    </w:p>
    <w:p>
      <w:pPr>
        <w:pStyle w:val="BodyText"/>
        <w:spacing w:before="77"/>
        <w:ind w:left="711" w:right="258"/>
      </w:pPr>
      <w:r>
        <w:rPr>
          <w:color w:val="3F4241"/>
          <w:w w:val="105"/>
        </w:rPr>
        <w:t>Whitlam  Institute within Western Sydney </w:t>
      </w:r>
      <w:r>
        <w:rPr>
          <w:color w:val="2A2D2D"/>
          <w:w w:val="105"/>
        </w:rPr>
        <w:t>University </w:t>
      </w:r>
      <w:r>
        <w:rPr>
          <w:color w:val="3F4241"/>
          <w:w w:val="105"/>
        </w:rPr>
        <w:t>Limited</w:t>
      </w:r>
    </w:p>
    <w:p>
      <w:pPr>
        <w:pStyle w:val="BodyText"/>
      </w:pPr>
    </w:p>
    <w:p>
      <w:pPr>
        <w:pStyle w:val="BodyText"/>
      </w:pPr>
    </w:p>
    <w:p>
      <w:pPr>
        <w:pStyle w:val="BodyText"/>
        <w:spacing w:before="1"/>
        <w:rPr>
          <w:sz w:val="14"/>
        </w:rPr>
      </w:pPr>
    </w:p>
    <w:p>
      <w:pPr>
        <w:pStyle w:val="Heading6"/>
        <w:spacing w:before="0"/>
        <w:ind w:left="123" w:right="106"/>
        <w:jc w:val="center"/>
      </w:pPr>
      <w:r>
        <w:rPr>
          <w:color w:val="2A2D2D"/>
          <w:w w:val="105"/>
        </w:rPr>
        <w:t>Auditor's Independence Declaration</w:t>
      </w:r>
    </w:p>
    <w:p>
      <w:pPr>
        <w:pStyle w:val="BodyText"/>
        <w:rPr>
          <w:b/>
          <w:sz w:val="22"/>
        </w:rPr>
      </w:pPr>
    </w:p>
    <w:p>
      <w:pPr>
        <w:pStyle w:val="BodyText"/>
        <w:spacing w:before="8"/>
        <w:rPr>
          <w:b/>
          <w:sz w:val="28"/>
        </w:rPr>
      </w:pPr>
    </w:p>
    <w:p>
      <w:pPr>
        <w:pStyle w:val="BodyText"/>
        <w:spacing w:line="264" w:lineRule="auto"/>
        <w:ind w:left="704" w:right="772"/>
      </w:pPr>
      <w:r>
        <w:rPr>
          <w:color w:val="3F4241"/>
          <w:w w:val="105"/>
        </w:rPr>
        <w:t>As auditor for </w:t>
      </w:r>
      <w:r>
        <w:rPr>
          <w:color w:val="2A2D2D"/>
          <w:w w:val="105"/>
        </w:rPr>
        <w:t>the </w:t>
      </w:r>
      <w:r>
        <w:rPr>
          <w:color w:val="3F4241"/>
          <w:w w:val="105"/>
        </w:rPr>
        <w:t>audit of the </w:t>
      </w:r>
      <w:r>
        <w:rPr>
          <w:color w:val="2A2D2D"/>
          <w:w w:val="105"/>
        </w:rPr>
        <w:t>financial </w:t>
      </w:r>
      <w:r>
        <w:rPr>
          <w:color w:val="3F4241"/>
          <w:w w:val="105"/>
        </w:rPr>
        <w:t>statements </w:t>
      </w:r>
      <w:r>
        <w:rPr>
          <w:color w:val="2A2D2D"/>
          <w:w w:val="105"/>
        </w:rPr>
        <w:t>of </w:t>
      </w:r>
      <w:r>
        <w:rPr>
          <w:color w:val="3F4241"/>
          <w:w w:val="105"/>
        </w:rPr>
        <w:t>Whitlam </w:t>
      </w:r>
      <w:r>
        <w:rPr>
          <w:color w:val="2A2D2D"/>
          <w:w w:val="105"/>
        </w:rPr>
        <w:t>Institute </w:t>
      </w:r>
      <w:r>
        <w:rPr>
          <w:color w:val="3F4241"/>
          <w:w w:val="105"/>
        </w:rPr>
        <w:t>within Western Sydney University Limited for the year ended 31 </w:t>
      </w:r>
      <w:r>
        <w:rPr>
          <w:color w:val="2A2D2D"/>
          <w:w w:val="105"/>
        </w:rPr>
        <w:t>December </w:t>
      </w:r>
      <w:r>
        <w:rPr>
          <w:color w:val="3F4241"/>
          <w:w w:val="105"/>
        </w:rPr>
        <w:t>2017, Ideclare</w:t>
      </w:r>
      <w:r>
        <w:rPr>
          <w:color w:val="626262"/>
          <w:w w:val="105"/>
        </w:rPr>
        <w:t>, </w:t>
      </w:r>
      <w:r>
        <w:rPr>
          <w:color w:val="2A2D2D"/>
          <w:w w:val="105"/>
        </w:rPr>
        <w:t>to </w:t>
      </w:r>
      <w:r>
        <w:rPr>
          <w:color w:val="3F4241"/>
          <w:w w:val="105"/>
        </w:rPr>
        <w:t>the best of my knowledge and belief, </w:t>
      </w:r>
      <w:r>
        <w:rPr>
          <w:color w:val="2A2D2D"/>
          <w:w w:val="105"/>
        </w:rPr>
        <w:t>there have </w:t>
      </w:r>
      <w:r>
        <w:rPr>
          <w:color w:val="3F4241"/>
          <w:w w:val="105"/>
        </w:rPr>
        <w:t>been no contraventions  of</w:t>
      </w:r>
      <w:r>
        <w:rPr>
          <w:color w:val="626262"/>
          <w:w w:val="105"/>
        </w:rPr>
        <w:t>:</w:t>
      </w:r>
    </w:p>
    <w:p>
      <w:pPr>
        <w:pStyle w:val="BodyText"/>
        <w:spacing w:before="3"/>
        <w:rPr>
          <w:sz w:val="15"/>
        </w:rPr>
      </w:pPr>
    </w:p>
    <w:p>
      <w:pPr>
        <w:pStyle w:val="BodyText"/>
        <w:spacing w:line="333" w:lineRule="auto"/>
        <w:ind w:left="1236" w:right="1116"/>
      </w:pPr>
      <w:r>
        <w:rPr>
          <w:color w:val="2A2D2D"/>
          <w:w w:val="110"/>
        </w:rPr>
        <w:t>the</w:t>
      </w:r>
      <w:r>
        <w:rPr>
          <w:color w:val="2A2D2D"/>
          <w:spacing w:val="-15"/>
          <w:w w:val="110"/>
        </w:rPr>
        <w:t> </w:t>
      </w:r>
      <w:r>
        <w:rPr>
          <w:color w:val="3F4241"/>
          <w:w w:val="110"/>
        </w:rPr>
        <w:t>auditor</w:t>
      </w:r>
      <w:r>
        <w:rPr>
          <w:color w:val="3F4241"/>
          <w:spacing w:val="-19"/>
          <w:w w:val="110"/>
        </w:rPr>
        <w:t> </w:t>
      </w:r>
      <w:r>
        <w:rPr>
          <w:color w:val="525452"/>
          <w:w w:val="110"/>
        </w:rPr>
        <w:t>independe</w:t>
      </w:r>
      <w:r>
        <w:rPr>
          <w:color w:val="2A2D2D"/>
          <w:w w:val="110"/>
        </w:rPr>
        <w:t>nce</w:t>
      </w:r>
      <w:r>
        <w:rPr>
          <w:color w:val="2A2D2D"/>
          <w:spacing w:val="-26"/>
          <w:w w:val="110"/>
        </w:rPr>
        <w:t> </w:t>
      </w:r>
      <w:r>
        <w:rPr>
          <w:color w:val="2A2D2D"/>
          <w:w w:val="110"/>
        </w:rPr>
        <w:t>requirement</w:t>
      </w:r>
      <w:r>
        <w:rPr>
          <w:color w:val="525452"/>
          <w:w w:val="110"/>
        </w:rPr>
        <w:t>s</w:t>
      </w:r>
      <w:r>
        <w:rPr>
          <w:color w:val="525452"/>
          <w:spacing w:val="-28"/>
          <w:w w:val="110"/>
        </w:rPr>
        <w:t> </w:t>
      </w:r>
      <w:r>
        <w:rPr>
          <w:color w:val="3F4241"/>
          <w:w w:val="110"/>
        </w:rPr>
        <w:t>of</w:t>
      </w:r>
      <w:r>
        <w:rPr>
          <w:color w:val="3F4241"/>
          <w:spacing w:val="-27"/>
          <w:w w:val="110"/>
        </w:rPr>
        <w:t> </w:t>
      </w:r>
      <w:r>
        <w:rPr>
          <w:color w:val="2A2D2D"/>
          <w:w w:val="110"/>
        </w:rPr>
        <w:t>the</w:t>
      </w:r>
      <w:r>
        <w:rPr>
          <w:color w:val="2A2D2D"/>
          <w:spacing w:val="-15"/>
          <w:w w:val="110"/>
        </w:rPr>
        <w:t> </w:t>
      </w:r>
      <w:r>
        <w:rPr>
          <w:i/>
          <w:color w:val="3F4241"/>
          <w:w w:val="110"/>
        </w:rPr>
        <w:t>Corporations</w:t>
      </w:r>
      <w:r>
        <w:rPr>
          <w:i/>
          <w:color w:val="3F4241"/>
          <w:spacing w:val="-22"/>
          <w:w w:val="110"/>
        </w:rPr>
        <w:t> </w:t>
      </w:r>
      <w:r>
        <w:rPr>
          <w:i/>
          <w:color w:val="3F4241"/>
          <w:w w:val="110"/>
        </w:rPr>
        <w:t>Act</w:t>
      </w:r>
      <w:r>
        <w:rPr>
          <w:i/>
          <w:color w:val="3F4241"/>
          <w:spacing w:val="-14"/>
          <w:w w:val="110"/>
        </w:rPr>
        <w:t> </w:t>
      </w:r>
      <w:r>
        <w:rPr>
          <w:i/>
          <w:color w:val="3F4241"/>
          <w:w w:val="110"/>
        </w:rPr>
        <w:t>2001</w:t>
      </w:r>
      <w:r>
        <w:rPr>
          <w:i/>
          <w:color w:val="3F4241"/>
          <w:spacing w:val="-18"/>
          <w:w w:val="110"/>
        </w:rPr>
        <w:t> </w:t>
      </w:r>
      <w:r>
        <w:rPr>
          <w:color w:val="2A2D2D"/>
          <w:w w:val="110"/>
        </w:rPr>
        <w:t>in</w:t>
      </w:r>
      <w:r>
        <w:rPr>
          <w:color w:val="2A2D2D"/>
          <w:spacing w:val="-27"/>
          <w:w w:val="110"/>
        </w:rPr>
        <w:t> </w:t>
      </w:r>
      <w:r>
        <w:rPr>
          <w:color w:val="3F4241"/>
          <w:w w:val="110"/>
        </w:rPr>
        <w:t>relation</w:t>
      </w:r>
      <w:r>
        <w:rPr>
          <w:color w:val="3F4241"/>
          <w:spacing w:val="-25"/>
          <w:w w:val="110"/>
        </w:rPr>
        <w:t> </w:t>
      </w:r>
      <w:r>
        <w:rPr>
          <w:color w:val="2A2D2D"/>
          <w:w w:val="110"/>
        </w:rPr>
        <w:t>to</w:t>
      </w:r>
      <w:r>
        <w:rPr>
          <w:color w:val="2A2D2D"/>
          <w:spacing w:val="-21"/>
          <w:w w:val="110"/>
        </w:rPr>
        <w:t> </w:t>
      </w:r>
      <w:r>
        <w:rPr>
          <w:color w:val="2A2D2D"/>
          <w:w w:val="110"/>
        </w:rPr>
        <w:t>the</w:t>
      </w:r>
      <w:r>
        <w:rPr>
          <w:color w:val="2A2D2D"/>
          <w:spacing w:val="-15"/>
          <w:w w:val="110"/>
        </w:rPr>
        <w:t> </w:t>
      </w:r>
      <w:r>
        <w:rPr>
          <w:color w:val="3F4241"/>
          <w:w w:val="110"/>
        </w:rPr>
        <w:t>audit any</w:t>
      </w:r>
      <w:r>
        <w:rPr>
          <w:color w:val="3F4241"/>
          <w:spacing w:val="-14"/>
          <w:w w:val="110"/>
        </w:rPr>
        <w:t> </w:t>
      </w:r>
      <w:r>
        <w:rPr>
          <w:color w:val="3F4241"/>
          <w:w w:val="110"/>
        </w:rPr>
        <w:t>applicable</w:t>
      </w:r>
      <w:r>
        <w:rPr>
          <w:color w:val="3F4241"/>
          <w:spacing w:val="-21"/>
          <w:w w:val="110"/>
        </w:rPr>
        <w:t> </w:t>
      </w:r>
      <w:r>
        <w:rPr>
          <w:color w:val="525452"/>
          <w:w w:val="110"/>
        </w:rPr>
        <w:t>code</w:t>
      </w:r>
      <w:r>
        <w:rPr>
          <w:color w:val="525452"/>
          <w:spacing w:val="-21"/>
          <w:w w:val="110"/>
        </w:rPr>
        <w:t> </w:t>
      </w:r>
      <w:r>
        <w:rPr>
          <w:color w:val="3F4241"/>
          <w:w w:val="110"/>
        </w:rPr>
        <w:t>of</w:t>
      </w:r>
      <w:r>
        <w:rPr>
          <w:color w:val="3F4241"/>
          <w:spacing w:val="-19"/>
          <w:w w:val="110"/>
        </w:rPr>
        <w:t> </w:t>
      </w:r>
      <w:r>
        <w:rPr>
          <w:color w:val="3F4241"/>
          <w:w w:val="110"/>
        </w:rPr>
        <w:t>professional</w:t>
      </w:r>
      <w:r>
        <w:rPr>
          <w:color w:val="3F4241"/>
          <w:spacing w:val="-9"/>
          <w:w w:val="110"/>
        </w:rPr>
        <w:t> </w:t>
      </w:r>
      <w:r>
        <w:rPr>
          <w:color w:val="525452"/>
          <w:w w:val="110"/>
        </w:rPr>
        <w:t>co</w:t>
      </w:r>
      <w:r>
        <w:rPr>
          <w:color w:val="2A2D2D"/>
          <w:w w:val="110"/>
        </w:rPr>
        <w:t>nduct</w:t>
      </w:r>
      <w:r>
        <w:rPr>
          <w:color w:val="2A2D2D"/>
          <w:spacing w:val="-21"/>
          <w:w w:val="110"/>
        </w:rPr>
        <w:t> </w:t>
      </w:r>
      <w:r>
        <w:rPr>
          <w:color w:val="525452"/>
          <w:spacing w:val="-15"/>
          <w:w w:val="120"/>
        </w:rPr>
        <w:t>i</w:t>
      </w:r>
      <w:r>
        <w:rPr>
          <w:color w:val="2A2D2D"/>
          <w:spacing w:val="-15"/>
          <w:w w:val="120"/>
        </w:rPr>
        <w:t>n</w:t>
      </w:r>
      <w:r>
        <w:rPr>
          <w:color w:val="2A2D2D"/>
          <w:spacing w:val="-36"/>
          <w:w w:val="120"/>
        </w:rPr>
        <w:t> </w:t>
      </w:r>
      <w:r>
        <w:rPr>
          <w:color w:val="3F4241"/>
          <w:w w:val="110"/>
        </w:rPr>
        <w:t>relation</w:t>
      </w:r>
      <w:r>
        <w:rPr>
          <w:color w:val="3F4241"/>
          <w:spacing w:val="-22"/>
          <w:w w:val="110"/>
        </w:rPr>
        <w:t> </w:t>
      </w:r>
      <w:r>
        <w:rPr>
          <w:color w:val="3F4241"/>
          <w:w w:val="110"/>
        </w:rPr>
        <w:t>to</w:t>
      </w:r>
      <w:r>
        <w:rPr>
          <w:color w:val="3F4241"/>
          <w:spacing w:val="-22"/>
          <w:w w:val="110"/>
        </w:rPr>
        <w:t> </w:t>
      </w:r>
      <w:r>
        <w:rPr>
          <w:color w:val="2A2D2D"/>
          <w:w w:val="110"/>
        </w:rPr>
        <w:t>the</w:t>
      </w:r>
      <w:r>
        <w:rPr>
          <w:color w:val="2A2D2D"/>
          <w:spacing w:val="-16"/>
          <w:w w:val="110"/>
        </w:rPr>
        <w:t> </w:t>
      </w:r>
      <w:r>
        <w:rPr>
          <w:color w:val="3F4241"/>
          <w:w w:val="110"/>
        </w:rPr>
        <w:t>audit.</w:t>
      </w:r>
    </w:p>
    <w:p>
      <w:pPr>
        <w:pStyle w:val="BodyText"/>
        <w:rPr>
          <w:sz w:val="20"/>
        </w:rPr>
      </w:pPr>
    </w:p>
    <w:p>
      <w:pPr>
        <w:pStyle w:val="BodyText"/>
        <w:rPr>
          <w:sz w:val="20"/>
        </w:rPr>
      </w:pPr>
    </w:p>
    <w:p>
      <w:pPr>
        <w:pStyle w:val="BodyText"/>
        <w:rPr>
          <w:sz w:val="20"/>
        </w:rPr>
      </w:pPr>
    </w:p>
    <w:p>
      <w:pPr>
        <w:pStyle w:val="BodyText"/>
        <w:rPr>
          <w:sz w:val="26"/>
        </w:rPr>
      </w:pPr>
      <w:r>
        <w:rPr/>
        <w:drawing>
          <wp:anchor distT="0" distB="0" distL="0" distR="0" allowOverlap="1" layoutInCell="1" locked="0" behindDoc="0" simplePos="0" relativeHeight="4744">
            <wp:simplePos x="0" y="0"/>
            <wp:positionH relativeFrom="page">
              <wp:posOffset>1024127</wp:posOffset>
            </wp:positionH>
            <wp:positionV relativeFrom="paragraph">
              <wp:posOffset>251388</wp:posOffset>
            </wp:positionV>
            <wp:extent cx="352044" cy="534924"/>
            <wp:effectExtent l="0" t="0" r="0" b="0"/>
            <wp:wrapTopAndBottom/>
            <wp:docPr id="51" name="image35.jpeg" descr=""/>
            <wp:cNvGraphicFramePr>
              <a:graphicFrameLocks noChangeAspect="1"/>
            </wp:cNvGraphicFramePr>
            <a:graphic>
              <a:graphicData uri="http://schemas.openxmlformats.org/drawingml/2006/picture">
                <pic:pic>
                  <pic:nvPicPr>
                    <pic:cNvPr id="52" name="image35.jpeg"/>
                    <pic:cNvPicPr/>
                  </pic:nvPicPr>
                  <pic:blipFill>
                    <a:blip r:embed="rId139" cstate="print"/>
                    <a:stretch>
                      <a:fillRect/>
                    </a:stretch>
                  </pic:blipFill>
                  <pic:spPr>
                    <a:xfrm>
                      <a:off x="0" y="0"/>
                      <a:ext cx="352044" cy="534924"/>
                    </a:xfrm>
                    <a:prstGeom prst="rect">
                      <a:avLst/>
                    </a:prstGeom>
                  </pic:spPr>
                </pic:pic>
              </a:graphicData>
            </a:graphic>
          </wp:anchor>
        </w:drawing>
      </w:r>
      <w:r>
        <w:rPr/>
        <w:drawing>
          <wp:anchor distT="0" distB="0" distL="0" distR="0" allowOverlap="1" layoutInCell="1" locked="0" behindDoc="0" simplePos="0" relativeHeight="4768">
            <wp:simplePos x="0" y="0"/>
            <wp:positionH relativeFrom="page">
              <wp:posOffset>1595627</wp:posOffset>
            </wp:positionH>
            <wp:positionV relativeFrom="paragraph">
              <wp:posOffset>214812</wp:posOffset>
            </wp:positionV>
            <wp:extent cx="1170432" cy="548639"/>
            <wp:effectExtent l="0" t="0" r="0" b="0"/>
            <wp:wrapTopAndBottom/>
            <wp:docPr id="53" name="image36.jpeg" descr=""/>
            <wp:cNvGraphicFramePr>
              <a:graphicFrameLocks noChangeAspect="1"/>
            </wp:cNvGraphicFramePr>
            <a:graphic>
              <a:graphicData uri="http://schemas.openxmlformats.org/drawingml/2006/picture">
                <pic:pic>
                  <pic:nvPicPr>
                    <pic:cNvPr id="54" name="image36.jpeg"/>
                    <pic:cNvPicPr/>
                  </pic:nvPicPr>
                  <pic:blipFill>
                    <a:blip r:embed="rId140" cstate="print"/>
                    <a:stretch>
                      <a:fillRect/>
                    </a:stretch>
                  </pic:blipFill>
                  <pic:spPr>
                    <a:xfrm>
                      <a:off x="0" y="0"/>
                      <a:ext cx="1170432" cy="548639"/>
                    </a:xfrm>
                    <a:prstGeom prst="rect">
                      <a:avLst/>
                    </a:prstGeom>
                  </pic:spPr>
                </pic:pic>
              </a:graphicData>
            </a:graphic>
          </wp:anchor>
        </w:drawing>
      </w:r>
    </w:p>
    <w:p>
      <w:pPr>
        <w:pStyle w:val="BodyText"/>
      </w:pPr>
    </w:p>
    <w:p>
      <w:pPr>
        <w:pStyle w:val="BodyText"/>
      </w:pPr>
    </w:p>
    <w:p>
      <w:pPr>
        <w:pStyle w:val="BodyText"/>
        <w:spacing w:before="2"/>
      </w:pPr>
    </w:p>
    <w:p>
      <w:pPr>
        <w:pStyle w:val="BodyText"/>
        <w:ind w:left="704" w:right="258"/>
      </w:pPr>
      <w:r>
        <w:rPr>
          <w:color w:val="3F4241"/>
          <w:w w:val="105"/>
        </w:rPr>
        <w:t>David </w:t>
      </w:r>
      <w:r>
        <w:rPr>
          <w:color w:val="2A2D2D"/>
          <w:w w:val="105"/>
        </w:rPr>
        <w:t>Daniel</w:t>
      </w:r>
      <w:r>
        <w:rPr>
          <w:color w:val="525452"/>
          <w:w w:val="105"/>
        </w:rPr>
        <w:t>s</w:t>
      </w:r>
    </w:p>
    <w:p>
      <w:pPr>
        <w:pStyle w:val="BodyText"/>
        <w:spacing w:before="23"/>
        <w:ind w:left="696" w:right="258"/>
      </w:pPr>
      <w:r>
        <w:rPr>
          <w:color w:val="3F4241"/>
          <w:w w:val="105"/>
        </w:rPr>
        <w:t>Director</w:t>
      </w:r>
      <w:r>
        <w:rPr>
          <w:color w:val="626262"/>
          <w:w w:val="105"/>
        </w:rPr>
        <w:t>, </w:t>
      </w:r>
      <w:r>
        <w:rPr>
          <w:color w:val="3F4241"/>
          <w:w w:val="105"/>
        </w:rPr>
        <w:t>Financial Audit Services</w:t>
      </w:r>
    </w:p>
    <w:p>
      <w:pPr>
        <w:pStyle w:val="BodyText"/>
      </w:pPr>
    </w:p>
    <w:p>
      <w:pPr>
        <w:pStyle w:val="BodyText"/>
      </w:pPr>
    </w:p>
    <w:p>
      <w:pPr>
        <w:pStyle w:val="BodyText"/>
        <w:spacing w:before="10"/>
        <w:rPr>
          <w:sz w:val="14"/>
        </w:rPr>
      </w:pPr>
    </w:p>
    <w:p>
      <w:pPr>
        <w:pStyle w:val="BodyText"/>
        <w:spacing w:line="266" w:lineRule="auto"/>
        <w:ind w:left="689" w:right="7869"/>
      </w:pPr>
      <w:r>
        <w:rPr>
          <w:color w:val="3F4241"/>
          <w:w w:val="105"/>
        </w:rPr>
        <w:t>22 February 2018 SYDNEY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0"/>
        </w:rPr>
      </w:pPr>
      <w:r>
        <w:rPr/>
        <w:pict>
          <v:line style="position:absolute;mso-position-horizontal-relative:page;mso-position-vertical-relative:paragraph;z-index:4792;mso-wrap-distance-left:0;mso-wrap-distance-right:0" from="50.040001pt,8.365303pt" to="540.720001pt,8.365303pt" stroked="true" strokeweight=".72pt" strokecolor="#808080">
            <w10:wrap type="topAndBottom"/>
          </v:line>
        </w:pict>
      </w:r>
    </w:p>
    <w:p>
      <w:pPr>
        <w:spacing w:before="113"/>
        <w:ind w:left="123" w:right="106" w:firstLine="0"/>
        <w:jc w:val="center"/>
        <w:rPr>
          <w:sz w:val="14"/>
        </w:rPr>
      </w:pPr>
      <w:r>
        <w:rPr>
          <w:color w:val="3F4241"/>
          <w:spacing w:val="-4"/>
          <w:sz w:val="14"/>
        </w:rPr>
        <w:t>L</w:t>
      </w:r>
      <w:r>
        <w:rPr>
          <w:color w:val="626262"/>
          <w:spacing w:val="-4"/>
          <w:sz w:val="14"/>
        </w:rPr>
        <w:t>evel</w:t>
      </w:r>
      <w:r>
        <w:rPr>
          <w:color w:val="626262"/>
          <w:spacing w:val="-26"/>
          <w:sz w:val="14"/>
        </w:rPr>
        <w:t> </w:t>
      </w:r>
      <w:r>
        <w:rPr>
          <w:color w:val="525452"/>
          <w:spacing w:val="-5"/>
          <w:w w:val="110"/>
          <w:sz w:val="13"/>
        </w:rPr>
        <w:t>15</w:t>
      </w:r>
      <w:r>
        <w:rPr>
          <w:color w:val="2A2D2D"/>
          <w:spacing w:val="-5"/>
          <w:w w:val="110"/>
          <w:sz w:val="13"/>
        </w:rPr>
        <w:t>,</w:t>
      </w:r>
      <w:r>
        <w:rPr>
          <w:color w:val="2A2D2D"/>
          <w:spacing w:val="-32"/>
          <w:w w:val="110"/>
          <w:sz w:val="13"/>
        </w:rPr>
        <w:t> </w:t>
      </w:r>
      <w:r>
        <w:rPr>
          <w:color w:val="3F4241"/>
          <w:w w:val="110"/>
          <w:sz w:val="13"/>
        </w:rPr>
        <w:t>1</w:t>
      </w:r>
      <w:r>
        <w:rPr>
          <w:color w:val="3F4241"/>
          <w:spacing w:val="-31"/>
          <w:w w:val="110"/>
          <w:sz w:val="13"/>
        </w:rPr>
        <w:t> </w:t>
      </w:r>
      <w:r>
        <w:rPr>
          <w:color w:val="525452"/>
          <w:sz w:val="14"/>
        </w:rPr>
        <w:t>Margaret</w:t>
      </w:r>
      <w:r>
        <w:rPr>
          <w:color w:val="525452"/>
          <w:spacing w:val="-22"/>
          <w:sz w:val="14"/>
        </w:rPr>
        <w:t> </w:t>
      </w:r>
      <w:r>
        <w:rPr>
          <w:color w:val="525452"/>
          <w:sz w:val="14"/>
        </w:rPr>
        <w:t>Street</w:t>
      </w:r>
      <w:r>
        <w:rPr>
          <w:color w:val="2A2D2D"/>
          <w:sz w:val="14"/>
        </w:rPr>
        <w:t>,</w:t>
      </w:r>
      <w:r>
        <w:rPr>
          <w:color w:val="2A2D2D"/>
          <w:spacing w:val="-31"/>
          <w:sz w:val="14"/>
        </w:rPr>
        <w:t> </w:t>
      </w:r>
      <w:r>
        <w:rPr>
          <w:color w:val="525452"/>
          <w:sz w:val="14"/>
        </w:rPr>
        <w:t>Sydney</w:t>
      </w:r>
      <w:r>
        <w:rPr>
          <w:color w:val="525452"/>
          <w:spacing w:val="-15"/>
          <w:sz w:val="14"/>
        </w:rPr>
        <w:t> </w:t>
      </w:r>
      <w:r>
        <w:rPr>
          <w:color w:val="3F4241"/>
          <w:sz w:val="14"/>
        </w:rPr>
        <w:t>NSW</w:t>
      </w:r>
      <w:r>
        <w:rPr>
          <w:color w:val="3F4241"/>
          <w:spacing w:val="-23"/>
          <w:sz w:val="14"/>
        </w:rPr>
        <w:t> </w:t>
      </w:r>
      <w:r>
        <w:rPr>
          <w:color w:val="525452"/>
          <w:sz w:val="14"/>
        </w:rPr>
        <w:t>2000</w:t>
      </w:r>
      <w:r>
        <w:rPr>
          <w:color w:val="525452"/>
          <w:spacing w:val="-4"/>
          <w:sz w:val="14"/>
        </w:rPr>
        <w:t> </w:t>
      </w:r>
      <w:r>
        <w:rPr>
          <w:color w:val="A5A5A5"/>
          <w:w w:val="145"/>
          <w:sz w:val="14"/>
        </w:rPr>
        <w:t>I</w:t>
      </w:r>
      <w:r>
        <w:rPr>
          <w:color w:val="A5A5A5"/>
          <w:spacing w:val="-37"/>
          <w:w w:val="145"/>
          <w:sz w:val="14"/>
        </w:rPr>
        <w:t> </w:t>
      </w:r>
      <w:r>
        <w:rPr>
          <w:color w:val="8E8E8E"/>
          <w:sz w:val="14"/>
        </w:rPr>
        <w:t>GPO</w:t>
      </w:r>
      <w:r>
        <w:rPr>
          <w:color w:val="8E8E8E"/>
          <w:spacing w:val="-24"/>
          <w:sz w:val="14"/>
        </w:rPr>
        <w:t> </w:t>
      </w:r>
      <w:r>
        <w:rPr>
          <w:rFonts w:ascii="Times New Roman"/>
          <w:color w:val="8E8E8E"/>
          <w:sz w:val="16"/>
        </w:rPr>
        <w:t>Bo1&lt;</w:t>
      </w:r>
      <w:r>
        <w:rPr>
          <w:rFonts w:ascii="Times New Roman"/>
          <w:color w:val="8E8E8E"/>
          <w:spacing w:val="-26"/>
          <w:sz w:val="16"/>
        </w:rPr>
        <w:t> </w:t>
      </w:r>
      <w:r>
        <w:rPr>
          <w:color w:val="8E8E8E"/>
          <w:sz w:val="13"/>
        </w:rPr>
        <w:t>12,</w:t>
      </w:r>
      <w:r>
        <w:rPr>
          <w:color w:val="8E8E8E"/>
          <w:spacing w:val="-23"/>
          <w:sz w:val="13"/>
        </w:rPr>
        <w:t> </w:t>
      </w:r>
      <w:r>
        <w:rPr>
          <w:color w:val="8E8E8E"/>
          <w:sz w:val="14"/>
        </w:rPr>
        <w:t>Sydney</w:t>
      </w:r>
      <w:r>
        <w:rPr>
          <w:color w:val="8E8E8E"/>
          <w:spacing w:val="-21"/>
          <w:sz w:val="14"/>
        </w:rPr>
        <w:t> </w:t>
      </w:r>
      <w:r>
        <w:rPr>
          <w:color w:val="7E7E7E"/>
          <w:sz w:val="14"/>
        </w:rPr>
        <w:t>NSW</w:t>
      </w:r>
      <w:r>
        <w:rPr>
          <w:color w:val="7E7E7E"/>
          <w:spacing w:val="-27"/>
          <w:sz w:val="14"/>
        </w:rPr>
        <w:t> </w:t>
      </w:r>
      <w:r>
        <w:rPr>
          <w:color w:val="8E8E8E"/>
          <w:sz w:val="13"/>
        </w:rPr>
        <w:t>2001</w:t>
      </w:r>
      <w:r>
        <w:rPr>
          <w:color w:val="8E8E8E"/>
          <w:spacing w:val="3"/>
          <w:sz w:val="13"/>
        </w:rPr>
        <w:t> </w:t>
      </w:r>
      <w:r>
        <w:rPr>
          <w:color w:val="8E8E8E"/>
          <w:w w:val="145"/>
          <w:sz w:val="13"/>
        </w:rPr>
        <w:t>I</w:t>
      </w:r>
      <w:r>
        <w:rPr>
          <w:color w:val="8E8E8E"/>
          <w:spacing w:val="-33"/>
          <w:w w:val="145"/>
          <w:sz w:val="13"/>
        </w:rPr>
        <w:t> </w:t>
      </w:r>
      <w:r>
        <w:rPr>
          <w:color w:val="3F4241"/>
          <w:w w:val="110"/>
          <w:sz w:val="14"/>
        </w:rPr>
        <w:t>t</w:t>
      </w:r>
      <w:r>
        <w:rPr>
          <w:color w:val="3F4241"/>
          <w:spacing w:val="-30"/>
          <w:w w:val="110"/>
          <w:sz w:val="14"/>
        </w:rPr>
        <w:t> </w:t>
      </w:r>
      <w:r>
        <w:rPr>
          <w:color w:val="8E8E8E"/>
          <w:sz w:val="14"/>
        </w:rPr>
        <w:t>02</w:t>
      </w:r>
      <w:r>
        <w:rPr>
          <w:color w:val="8E8E8E"/>
          <w:spacing w:val="-26"/>
          <w:sz w:val="14"/>
        </w:rPr>
        <w:t> </w:t>
      </w:r>
      <w:r>
        <w:rPr>
          <w:color w:val="8E8E8E"/>
          <w:sz w:val="13"/>
        </w:rPr>
        <w:t>9275</w:t>
      </w:r>
      <w:r>
        <w:rPr>
          <w:color w:val="8E8E8E"/>
          <w:spacing w:val="-17"/>
          <w:sz w:val="13"/>
        </w:rPr>
        <w:t> </w:t>
      </w:r>
      <w:r>
        <w:rPr>
          <w:color w:val="8E8E8E"/>
          <w:w w:val="110"/>
          <w:sz w:val="13"/>
        </w:rPr>
        <w:t>710</w:t>
      </w:r>
      <w:r>
        <w:rPr>
          <w:color w:val="626262"/>
          <w:w w:val="110"/>
          <w:sz w:val="13"/>
        </w:rPr>
        <w:t>1</w:t>
      </w:r>
      <w:r>
        <w:rPr>
          <w:color w:val="626262"/>
          <w:spacing w:val="-12"/>
          <w:w w:val="110"/>
          <w:sz w:val="13"/>
        </w:rPr>
        <w:t> </w:t>
      </w:r>
      <w:r>
        <w:rPr>
          <w:color w:val="A5A5A5"/>
          <w:w w:val="145"/>
          <w:sz w:val="14"/>
        </w:rPr>
        <w:t>I</w:t>
      </w:r>
      <w:r>
        <w:rPr>
          <w:color w:val="A5A5A5"/>
          <w:spacing w:val="-33"/>
          <w:w w:val="145"/>
          <w:sz w:val="14"/>
        </w:rPr>
        <w:t> </w:t>
      </w:r>
      <w:r>
        <w:rPr>
          <w:color w:val="525452"/>
          <w:sz w:val="14"/>
        </w:rPr>
        <w:t>f</w:t>
      </w:r>
      <w:r>
        <w:rPr>
          <w:color w:val="525452"/>
          <w:spacing w:val="-15"/>
          <w:sz w:val="14"/>
        </w:rPr>
        <w:t> </w:t>
      </w:r>
      <w:r>
        <w:rPr>
          <w:color w:val="8E8E8E"/>
          <w:sz w:val="13"/>
        </w:rPr>
        <w:t>02</w:t>
      </w:r>
      <w:r>
        <w:rPr>
          <w:color w:val="8E8E8E"/>
          <w:spacing w:val="-20"/>
          <w:sz w:val="13"/>
        </w:rPr>
        <w:t> </w:t>
      </w:r>
      <w:r>
        <w:rPr>
          <w:color w:val="8E8E8E"/>
          <w:sz w:val="13"/>
        </w:rPr>
        <w:t>9275</w:t>
      </w:r>
      <w:r>
        <w:rPr>
          <w:color w:val="8E8E8E"/>
          <w:spacing w:val="-16"/>
          <w:sz w:val="13"/>
        </w:rPr>
        <w:t> </w:t>
      </w:r>
      <w:r>
        <w:rPr>
          <w:color w:val="8E8E8E"/>
          <w:sz w:val="13"/>
        </w:rPr>
        <w:t>7179</w:t>
      </w:r>
      <w:r>
        <w:rPr>
          <w:color w:val="8E8E8E"/>
          <w:spacing w:val="1"/>
          <w:sz w:val="13"/>
        </w:rPr>
        <w:t> </w:t>
      </w:r>
      <w:r>
        <w:rPr>
          <w:color w:val="A5A5A5"/>
          <w:w w:val="145"/>
          <w:sz w:val="14"/>
        </w:rPr>
        <w:t>I</w:t>
      </w:r>
      <w:r>
        <w:rPr>
          <w:color w:val="A5A5A5"/>
          <w:spacing w:val="-37"/>
          <w:w w:val="145"/>
          <w:sz w:val="14"/>
        </w:rPr>
        <w:t> </w:t>
      </w:r>
      <w:r>
        <w:rPr>
          <w:color w:val="626262"/>
          <w:sz w:val="14"/>
        </w:rPr>
        <w:t>e</w:t>
      </w:r>
      <w:r>
        <w:rPr>
          <w:color w:val="626262"/>
          <w:spacing w:val="-26"/>
          <w:sz w:val="14"/>
        </w:rPr>
        <w:t> </w:t>
      </w:r>
      <w:hyperlink r:id="rId141">
        <w:r>
          <w:rPr>
            <w:color w:val="8E8E8E"/>
            <w:sz w:val="14"/>
          </w:rPr>
          <w:t>rnail@aud11.nsw.Q0v.au</w:t>
        </w:r>
      </w:hyperlink>
      <w:r>
        <w:rPr>
          <w:color w:val="8E8E8E"/>
          <w:spacing w:val="3"/>
          <w:sz w:val="14"/>
        </w:rPr>
        <w:t> </w:t>
      </w:r>
      <w:r>
        <w:rPr>
          <w:color w:val="A5A5A5"/>
          <w:w w:val="110"/>
          <w:sz w:val="13"/>
        </w:rPr>
        <w:t>I</w:t>
      </w:r>
      <w:r>
        <w:rPr>
          <w:color w:val="A5A5A5"/>
          <w:spacing w:val="-9"/>
          <w:w w:val="110"/>
          <w:sz w:val="13"/>
        </w:rPr>
        <w:t> </w:t>
      </w:r>
      <w:r>
        <w:rPr>
          <w:color w:val="626262"/>
          <w:w w:val="110"/>
          <w:sz w:val="14"/>
        </w:rPr>
        <w:t>aud</w:t>
      </w:r>
      <w:r>
        <w:rPr>
          <w:color w:val="3F4241"/>
          <w:w w:val="110"/>
          <w:sz w:val="14"/>
        </w:rPr>
        <w:t>it.n</w:t>
      </w:r>
      <w:r>
        <w:rPr>
          <w:color w:val="626262"/>
          <w:w w:val="110"/>
          <w:sz w:val="14"/>
        </w:rPr>
        <w:t>sw.</w:t>
      </w:r>
      <w:r>
        <w:rPr>
          <w:color w:val="3F4241"/>
          <w:w w:val="110"/>
          <w:sz w:val="14"/>
        </w:rPr>
        <w:t>g</w:t>
      </w:r>
      <w:r>
        <w:rPr>
          <w:color w:val="626262"/>
          <w:w w:val="110"/>
          <w:sz w:val="14"/>
        </w:rPr>
        <w:t>ov.a</w:t>
      </w:r>
      <w:r>
        <w:rPr>
          <w:color w:val="3F4241"/>
          <w:w w:val="110"/>
          <w:sz w:val="14"/>
        </w:rPr>
        <w:t>u</w:t>
      </w:r>
    </w:p>
    <w:p>
      <w:pPr>
        <w:spacing w:after="0"/>
        <w:jc w:val="center"/>
        <w:rPr>
          <w:sz w:val="14"/>
        </w:rPr>
        <w:sectPr>
          <w:headerReference w:type="default" r:id="rId137"/>
          <w:pgSz w:w="11910" w:h="16850"/>
          <w:pgMar w:header="0" w:footer="501" w:top="940" w:bottom="700" w:left="880" w:right="960"/>
        </w:sectPr>
      </w:pPr>
    </w:p>
    <w:p>
      <w:pPr>
        <w:pStyle w:val="BodyText"/>
        <w:spacing w:before="8"/>
        <w:rPr>
          <w:sz w:val="23"/>
        </w:rPr>
      </w:pPr>
    </w:p>
    <w:p>
      <w:pPr>
        <w:spacing w:before="75"/>
        <w:ind w:left="107" w:right="201" w:firstLine="0"/>
        <w:jc w:val="left"/>
        <w:rPr>
          <w:b/>
          <w:sz w:val="20"/>
        </w:rPr>
      </w:pPr>
      <w:r>
        <w:rPr>
          <w:b/>
          <w:sz w:val="20"/>
        </w:rPr>
        <w:t>Start of audited financial statements</w:t>
      </w:r>
    </w:p>
    <w:p>
      <w:pPr>
        <w:pStyle w:val="BodyText"/>
        <w:spacing w:before="5"/>
        <w:rPr>
          <w:b/>
          <w:sz w:val="29"/>
        </w:rPr>
      </w:pPr>
    </w:p>
    <w:p>
      <w:pPr>
        <w:spacing w:before="1"/>
        <w:ind w:left="107" w:right="201" w:firstLine="0"/>
        <w:jc w:val="left"/>
        <w:rPr>
          <w:b/>
          <w:sz w:val="28"/>
        </w:rPr>
      </w:pPr>
      <w:r>
        <w:rPr>
          <w:b/>
          <w:sz w:val="28"/>
        </w:rPr>
        <w:t>Statement of comprehensive income</w:t>
      </w:r>
    </w:p>
    <w:p>
      <w:pPr>
        <w:spacing w:before="57"/>
        <w:ind w:left="107" w:right="201" w:firstLine="0"/>
        <w:jc w:val="left"/>
        <w:rPr>
          <w:b/>
          <w:sz w:val="22"/>
        </w:rPr>
      </w:pPr>
      <w:r>
        <w:rPr>
          <w:b/>
          <w:sz w:val="22"/>
        </w:rPr>
        <w:t>For the year ended 31 December 2017</w:t>
      </w:r>
    </w:p>
    <w:p>
      <w:pPr>
        <w:pStyle w:val="BodyText"/>
        <w:spacing w:before="1"/>
        <w:rPr>
          <w:b/>
          <w:sz w:val="29"/>
        </w:rPr>
      </w:pPr>
    </w:p>
    <w:p>
      <w:pPr>
        <w:spacing w:after="0"/>
        <w:rPr>
          <w:sz w:val="29"/>
        </w:rPr>
        <w:sectPr>
          <w:headerReference w:type="default" r:id="rId142"/>
          <w:pgSz w:w="11910" w:h="16840"/>
          <w:pgMar w:header="1038" w:footer="501" w:top="1540" w:bottom="700" w:left="900" w:right="960"/>
        </w:sectPr>
      </w:pPr>
    </w:p>
    <w:p>
      <w:pPr>
        <w:pStyle w:val="BodyText"/>
        <w:rPr>
          <w:b/>
        </w:rPr>
      </w:pPr>
    </w:p>
    <w:p>
      <w:pPr>
        <w:pStyle w:val="BodyText"/>
        <w:rPr>
          <w:b/>
        </w:rPr>
      </w:pPr>
    </w:p>
    <w:p>
      <w:pPr>
        <w:pStyle w:val="BodyText"/>
        <w:spacing w:before="2"/>
        <w:rPr>
          <w:b/>
          <w:sz w:val="25"/>
        </w:rPr>
      </w:pPr>
    </w:p>
    <w:p>
      <w:pPr>
        <w:pStyle w:val="Heading9"/>
        <w:ind w:left="135" w:right="-20"/>
      </w:pPr>
      <w:r>
        <w:rPr/>
        <w:t>Revenue</w:t>
      </w:r>
    </w:p>
    <w:p>
      <w:pPr>
        <w:spacing w:before="77"/>
        <w:ind w:left="135" w:right="0" w:firstLine="0"/>
        <w:jc w:val="center"/>
        <w:rPr>
          <w:b/>
          <w:sz w:val="18"/>
        </w:rPr>
      </w:pPr>
      <w:r>
        <w:rPr/>
        <w:br w:type="column"/>
      </w:r>
      <w:r>
        <w:rPr>
          <w:b/>
          <w:sz w:val="18"/>
        </w:rPr>
        <w:t>2017</w:t>
      </w:r>
    </w:p>
    <w:p>
      <w:pPr>
        <w:spacing w:before="66"/>
        <w:ind w:left="135" w:right="0" w:firstLine="0"/>
        <w:jc w:val="center"/>
        <w:rPr>
          <w:b/>
          <w:sz w:val="18"/>
        </w:rPr>
      </w:pPr>
      <w:r>
        <w:rPr>
          <w:b/>
          <w:w w:val="99"/>
          <w:sz w:val="18"/>
        </w:rPr>
        <w:t>$</w:t>
      </w:r>
    </w:p>
    <w:p>
      <w:pPr>
        <w:spacing w:before="77"/>
        <w:ind w:left="119" w:right="449" w:firstLine="0"/>
        <w:jc w:val="center"/>
        <w:rPr>
          <w:b/>
          <w:sz w:val="18"/>
        </w:rPr>
      </w:pPr>
      <w:r>
        <w:rPr/>
        <w:br w:type="column"/>
      </w:r>
      <w:r>
        <w:rPr>
          <w:b/>
          <w:sz w:val="18"/>
        </w:rPr>
        <w:t>2016</w:t>
      </w:r>
    </w:p>
    <w:p>
      <w:pPr>
        <w:spacing w:before="66"/>
        <w:ind w:left="0" w:right="330" w:firstLine="0"/>
        <w:jc w:val="center"/>
        <w:rPr>
          <w:b/>
          <w:sz w:val="18"/>
        </w:rPr>
      </w:pPr>
      <w:r>
        <w:rPr>
          <w:b/>
          <w:w w:val="99"/>
          <w:sz w:val="18"/>
        </w:rPr>
        <w:t>$</w:t>
      </w:r>
    </w:p>
    <w:p>
      <w:pPr>
        <w:spacing w:after="0"/>
        <w:jc w:val="center"/>
        <w:rPr>
          <w:sz w:val="18"/>
        </w:rPr>
        <w:sectPr>
          <w:type w:val="continuous"/>
          <w:pgSz w:w="11910" w:h="16840"/>
          <w:pgMar w:top="1580" w:bottom="280" w:left="900" w:right="960"/>
          <w:cols w:num="3" w:equalWidth="0">
            <w:col w:w="886" w:space="6858"/>
            <w:col w:w="536" w:space="761"/>
            <w:col w:w="1009"/>
          </w:cols>
        </w:sectPr>
      </w:pPr>
    </w:p>
    <w:p>
      <w:pPr>
        <w:pStyle w:val="BodyText"/>
        <w:tabs>
          <w:tab w:pos="7430" w:val="left" w:leader="none"/>
          <w:tab w:pos="8578" w:val="left" w:leader="none"/>
          <w:tab w:pos="9875" w:val="left" w:leader="none"/>
        </w:tabs>
        <w:spacing w:before="140"/>
        <w:ind w:left="135"/>
      </w:pPr>
      <w:r>
        <w:rPr/>
        <w:t>Other</w:t>
      </w:r>
      <w:r>
        <w:rPr>
          <w:spacing w:val="-1"/>
        </w:rPr>
        <w:t> </w:t>
      </w:r>
      <w:r>
        <w:rPr/>
        <w:t>revenue</w:t>
        <w:tab/>
      </w:r>
      <w:r>
        <w:rPr>
          <w:rFonts w:ascii="Times New Roman"/>
          <w:u w:val="single"/>
        </w:rPr>
        <w:t> </w:t>
        <w:tab/>
      </w:r>
      <w:r>
        <w:rPr>
          <w:b/>
          <w:u w:val="single"/>
        </w:rPr>
        <w:t>-</w:t>
        <w:tab/>
      </w:r>
      <w:r>
        <w:rPr>
          <w:u w:val="single"/>
        </w:rPr>
        <w:t>-</w:t>
      </w:r>
    </w:p>
    <w:p>
      <w:pPr>
        <w:pStyle w:val="Heading9"/>
        <w:tabs>
          <w:tab w:pos="7430" w:val="left" w:leader="none"/>
          <w:tab w:pos="8578" w:val="left" w:leader="none"/>
          <w:tab w:pos="9875" w:val="left" w:leader="none"/>
        </w:tabs>
        <w:spacing w:before="9"/>
        <w:ind w:left="135"/>
        <w:rPr>
          <w:b w:val="0"/>
        </w:rPr>
      </w:pPr>
      <w:r>
        <w:rPr/>
        <w:t>Total revenue</w:t>
        <w:tab/>
      </w:r>
      <w:r>
        <w:rPr>
          <w:rFonts w:ascii="Times New Roman"/>
          <w:b w:val="0"/>
          <w:u w:val="single"/>
        </w:rPr>
        <w:t> </w:t>
        <w:tab/>
      </w:r>
      <w:r>
        <w:rPr>
          <w:u w:val="single"/>
        </w:rPr>
        <w:t>-</w:t>
        <w:tab/>
      </w:r>
      <w:r>
        <w:rPr>
          <w:b w:val="0"/>
          <w:u w:val="single"/>
        </w:rPr>
        <w:t>-</w:t>
      </w:r>
    </w:p>
    <w:p>
      <w:pPr>
        <w:pStyle w:val="BodyText"/>
        <w:spacing w:before="6"/>
        <w:rPr>
          <w:sz w:val="19"/>
        </w:rPr>
      </w:pPr>
    </w:p>
    <w:p>
      <w:pPr>
        <w:spacing w:before="77"/>
        <w:ind w:left="135" w:right="201" w:firstLine="0"/>
        <w:jc w:val="left"/>
        <w:rPr>
          <w:b/>
          <w:sz w:val="18"/>
        </w:rPr>
      </w:pPr>
      <w:r>
        <w:rPr>
          <w:b/>
          <w:sz w:val="18"/>
        </w:rPr>
        <w:t>Expenses</w:t>
      </w:r>
    </w:p>
    <w:p>
      <w:pPr>
        <w:pStyle w:val="BodyText"/>
        <w:tabs>
          <w:tab w:pos="7430" w:val="left" w:leader="none"/>
          <w:tab w:pos="8578" w:val="left" w:leader="none"/>
          <w:tab w:pos="9876" w:val="left" w:leader="none"/>
        </w:tabs>
        <w:spacing w:before="140"/>
        <w:ind w:left="135"/>
      </w:pPr>
      <w:r>
        <w:rPr/>
        <w:t>Finance</w:t>
      </w:r>
      <w:r>
        <w:rPr>
          <w:spacing w:val="-1"/>
        </w:rPr>
        <w:t> </w:t>
      </w:r>
      <w:r>
        <w:rPr/>
        <w:t>costs</w:t>
        <w:tab/>
      </w:r>
      <w:r>
        <w:rPr>
          <w:rFonts w:ascii="Times New Roman"/>
          <w:u w:val="single"/>
        </w:rPr>
        <w:t> </w:t>
        <w:tab/>
      </w:r>
      <w:r>
        <w:rPr>
          <w:b/>
          <w:u w:val="single"/>
        </w:rPr>
        <w:t>-</w:t>
        <w:tab/>
      </w:r>
      <w:r>
        <w:rPr>
          <w:u w:val="single"/>
        </w:rPr>
        <w:t>-</w:t>
      </w:r>
    </w:p>
    <w:p>
      <w:pPr>
        <w:pStyle w:val="Heading9"/>
        <w:tabs>
          <w:tab w:pos="7430" w:val="left" w:leader="none"/>
          <w:tab w:pos="8578" w:val="left" w:leader="none"/>
          <w:tab w:pos="9875" w:val="left" w:leader="none"/>
        </w:tabs>
        <w:spacing w:before="9"/>
        <w:ind w:left="135"/>
        <w:rPr>
          <w:b w:val="0"/>
        </w:rPr>
      </w:pPr>
      <w:r>
        <w:rPr/>
        <w:t>Total expenses</w:t>
        <w:tab/>
      </w:r>
      <w:r>
        <w:rPr>
          <w:rFonts w:ascii="Times New Roman"/>
          <w:b w:val="0"/>
          <w:u w:val="single"/>
        </w:rPr>
        <w:t> </w:t>
        <w:tab/>
      </w:r>
      <w:r>
        <w:rPr>
          <w:u w:val="single"/>
        </w:rPr>
        <w:t>-</w:t>
        <w:tab/>
      </w:r>
      <w:r>
        <w:rPr>
          <w:b w:val="0"/>
          <w:u w:val="single"/>
        </w:rPr>
        <w:t>-</w:t>
      </w:r>
    </w:p>
    <w:p>
      <w:pPr>
        <w:pStyle w:val="BodyText"/>
        <w:spacing w:before="8"/>
      </w:pPr>
    </w:p>
    <w:p>
      <w:pPr>
        <w:tabs>
          <w:tab w:pos="7430" w:val="left" w:leader="none"/>
          <w:tab w:pos="8578" w:val="left" w:leader="none"/>
          <w:tab w:pos="9875" w:val="left" w:leader="none"/>
        </w:tabs>
        <w:spacing w:before="0"/>
        <w:ind w:left="135" w:right="0" w:firstLine="0"/>
        <w:jc w:val="left"/>
        <w:rPr>
          <w:sz w:val="18"/>
        </w:rPr>
      </w:pPr>
      <w:r>
        <w:rPr>
          <w:b/>
          <w:sz w:val="18"/>
        </w:rPr>
        <w:t>Surplus/(deficit) for</w:t>
      </w:r>
      <w:r>
        <w:rPr>
          <w:b/>
          <w:spacing w:val="-1"/>
          <w:sz w:val="18"/>
        </w:rPr>
        <w:t> </w:t>
      </w:r>
      <w:r>
        <w:rPr>
          <w:b/>
          <w:sz w:val="18"/>
        </w:rPr>
        <w:t>the</w:t>
      </w:r>
      <w:r>
        <w:rPr>
          <w:b/>
          <w:spacing w:val="-2"/>
          <w:sz w:val="18"/>
        </w:rPr>
        <w:t> </w:t>
      </w:r>
      <w:r>
        <w:rPr>
          <w:b/>
          <w:sz w:val="18"/>
        </w:rPr>
        <w:t>year</w:t>
        <w:tab/>
      </w:r>
      <w:r>
        <w:rPr>
          <w:rFonts w:ascii="Times New Roman"/>
          <w:sz w:val="18"/>
          <w:u w:val="single"/>
        </w:rPr>
        <w:t> </w:t>
        <w:tab/>
      </w:r>
      <w:r>
        <w:rPr>
          <w:b/>
          <w:sz w:val="18"/>
          <w:u w:val="single"/>
        </w:rPr>
        <w:t>-</w:t>
        <w:tab/>
      </w:r>
      <w:r>
        <w:rPr>
          <w:sz w:val="18"/>
          <w:u w:val="single"/>
        </w:rPr>
        <w:t>-</w:t>
      </w:r>
    </w:p>
    <w:p>
      <w:pPr>
        <w:pStyle w:val="BodyText"/>
        <w:spacing w:before="6"/>
        <w:rPr>
          <w:sz w:val="14"/>
        </w:rPr>
      </w:pPr>
    </w:p>
    <w:p>
      <w:pPr>
        <w:pStyle w:val="BodyText"/>
        <w:tabs>
          <w:tab w:pos="7430" w:val="left" w:leader="none"/>
          <w:tab w:pos="8578" w:val="left" w:leader="none"/>
          <w:tab w:pos="9875" w:val="left" w:leader="none"/>
        </w:tabs>
        <w:spacing w:before="77"/>
        <w:ind w:left="135"/>
      </w:pPr>
      <w:r>
        <w:rPr/>
        <w:t>Other comprehensive income for</w:t>
      </w:r>
      <w:r>
        <w:rPr>
          <w:spacing w:val="-1"/>
        </w:rPr>
        <w:t> </w:t>
      </w:r>
      <w:r>
        <w:rPr/>
        <w:t>the</w:t>
      </w:r>
      <w:r>
        <w:rPr>
          <w:spacing w:val="-1"/>
        </w:rPr>
        <w:t> </w:t>
      </w:r>
      <w:r>
        <w:rPr/>
        <w:t>year</w:t>
        <w:tab/>
      </w:r>
      <w:r>
        <w:rPr>
          <w:rFonts w:ascii="Times New Roman"/>
          <w:u w:val="single"/>
        </w:rPr>
        <w:t> </w:t>
        <w:tab/>
      </w:r>
      <w:r>
        <w:rPr>
          <w:b/>
          <w:u w:val="single"/>
        </w:rPr>
        <w:t>-</w:t>
        <w:tab/>
      </w:r>
      <w:r>
        <w:rPr>
          <w:u w:val="single"/>
        </w:rPr>
        <w:t>-</w:t>
      </w:r>
    </w:p>
    <w:p>
      <w:pPr>
        <w:pStyle w:val="Heading9"/>
        <w:tabs>
          <w:tab w:pos="7430" w:val="left" w:leader="none"/>
          <w:tab w:pos="8578" w:val="left" w:leader="none"/>
          <w:tab w:pos="9875" w:val="left" w:leader="none"/>
        </w:tabs>
        <w:spacing w:before="9"/>
        <w:ind w:left="135"/>
        <w:rPr>
          <w:b w:val="0"/>
        </w:rPr>
      </w:pPr>
      <w:r>
        <w:rPr/>
        <w:t>Total comprehensive income for</w:t>
      </w:r>
      <w:r>
        <w:rPr>
          <w:spacing w:val="-1"/>
        </w:rPr>
        <w:t> </w:t>
      </w:r>
      <w:r>
        <w:rPr/>
        <w:t>the</w:t>
      </w:r>
      <w:r>
        <w:rPr>
          <w:spacing w:val="-1"/>
        </w:rPr>
        <w:t> </w:t>
      </w:r>
      <w:r>
        <w:rPr/>
        <w:t>year</w:t>
        <w:tab/>
      </w:r>
      <w:r>
        <w:rPr>
          <w:rFonts w:ascii="Times New Roman"/>
          <w:b w:val="0"/>
          <w:u w:val="single"/>
        </w:rPr>
        <w:t> </w:t>
        <w:tab/>
      </w:r>
      <w:r>
        <w:rPr>
          <w:u w:val="single"/>
        </w:rPr>
        <w:t>-</w:t>
        <w:tab/>
      </w:r>
      <w:r>
        <w:rPr>
          <w:b w:val="0"/>
          <w:u w:val="single"/>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BodyText"/>
        <w:spacing w:before="78"/>
        <w:ind w:left="107" w:right="201"/>
      </w:pPr>
      <w:r>
        <w:rPr/>
        <w:t>The accompanying notes form part of these financial statements.</w:t>
      </w:r>
    </w:p>
    <w:p>
      <w:pPr>
        <w:spacing w:after="0"/>
        <w:sectPr>
          <w:type w:val="continuous"/>
          <w:pgSz w:w="11910" w:h="16840"/>
          <w:pgMar w:top="1580" w:bottom="280" w:left="900" w:right="960"/>
        </w:sectPr>
      </w:pPr>
    </w:p>
    <w:p>
      <w:pPr>
        <w:pStyle w:val="BodyText"/>
        <w:spacing w:before="3" w:after="1"/>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56"/>
        <w:gridCol w:w="1857"/>
        <w:gridCol w:w="2585"/>
      </w:tblGrid>
      <w:tr>
        <w:trPr>
          <w:trHeight w:val="911" w:hRule="exact"/>
        </w:trPr>
        <w:tc>
          <w:tcPr>
            <w:tcW w:w="5456" w:type="dxa"/>
          </w:tcPr>
          <w:p>
            <w:pPr>
              <w:pStyle w:val="TableParagraph"/>
              <w:spacing w:before="64"/>
              <w:ind w:left="35"/>
              <w:rPr>
                <w:b/>
                <w:sz w:val="28"/>
              </w:rPr>
            </w:pPr>
            <w:r>
              <w:rPr>
                <w:b/>
                <w:sz w:val="28"/>
              </w:rPr>
              <w:t>Statement of financial position</w:t>
            </w:r>
          </w:p>
          <w:p>
            <w:pPr>
              <w:pStyle w:val="TableParagraph"/>
              <w:spacing w:before="57"/>
              <w:ind w:left="35"/>
              <w:rPr>
                <w:b/>
                <w:sz w:val="22"/>
              </w:rPr>
            </w:pPr>
            <w:r>
              <w:rPr>
                <w:b/>
                <w:sz w:val="22"/>
              </w:rPr>
              <w:t>As at 31 December 2017</w:t>
            </w:r>
          </w:p>
        </w:tc>
        <w:tc>
          <w:tcPr>
            <w:tcW w:w="4442" w:type="dxa"/>
            <w:gridSpan w:val="2"/>
          </w:tcPr>
          <w:p>
            <w:pPr/>
          </w:p>
        </w:tc>
      </w:tr>
      <w:tr>
        <w:trPr>
          <w:trHeight w:val="447" w:hRule="exact"/>
        </w:trPr>
        <w:tc>
          <w:tcPr>
            <w:tcW w:w="5456" w:type="dxa"/>
          </w:tcPr>
          <w:p>
            <w:pPr/>
          </w:p>
        </w:tc>
        <w:tc>
          <w:tcPr>
            <w:tcW w:w="1857" w:type="dxa"/>
          </w:tcPr>
          <w:p>
            <w:pPr/>
          </w:p>
        </w:tc>
        <w:tc>
          <w:tcPr>
            <w:tcW w:w="2585" w:type="dxa"/>
          </w:tcPr>
          <w:p>
            <w:pPr>
              <w:pStyle w:val="TableParagraph"/>
              <w:spacing w:before="1"/>
              <w:rPr>
                <w:sz w:val="17"/>
              </w:rPr>
            </w:pPr>
          </w:p>
          <w:p>
            <w:pPr>
              <w:pStyle w:val="TableParagraph"/>
              <w:tabs>
                <w:tab w:pos="1790" w:val="left" w:leader="none"/>
              </w:tabs>
              <w:ind w:left="493"/>
              <w:rPr>
                <w:b/>
                <w:sz w:val="18"/>
              </w:rPr>
            </w:pPr>
            <w:r>
              <w:rPr>
                <w:b/>
                <w:sz w:val="18"/>
              </w:rPr>
              <w:t>2017</w:t>
              <w:tab/>
              <w:t>2016</w:t>
            </w:r>
          </w:p>
        </w:tc>
      </w:tr>
      <w:tr>
        <w:trPr>
          <w:trHeight w:val="313" w:hRule="exact"/>
        </w:trPr>
        <w:tc>
          <w:tcPr>
            <w:tcW w:w="5456" w:type="dxa"/>
          </w:tcPr>
          <w:p>
            <w:pPr/>
          </w:p>
        </w:tc>
        <w:tc>
          <w:tcPr>
            <w:tcW w:w="1857" w:type="dxa"/>
          </w:tcPr>
          <w:p>
            <w:pPr>
              <w:pStyle w:val="TableParagraph"/>
              <w:spacing w:before="24"/>
              <w:ind w:right="42"/>
              <w:jc w:val="right"/>
              <w:rPr>
                <w:b/>
                <w:sz w:val="18"/>
              </w:rPr>
            </w:pPr>
            <w:r>
              <w:rPr>
                <w:b/>
                <w:w w:val="95"/>
                <w:sz w:val="18"/>
              </w:rPr>
              <w:t>Note</w:t>
            </w:r>
          </w:p>
        </w:tc>
        <w:tc>
          <w:tcPr>
            <w:tcW w:w="2585" w:type="dxa"/>
          </w:tcPr>
          <w:p>
            <w:pPr>
              <w:pStyle w:val="TableParagraph"/>
              <w:tabs>
                <w:tab w:pos="1940" w:val="left" w:leader="none"/>
              </w:tabs>
              <w:spacing w:before="24"/>
              <w:ind w:left="643"/>
              <w:rPr>
                <w:b/>
                <w:sz w:val="18"/>
              </w:rPr>
            </w:pPr>
            <w:r>
              <w:rPr>
                <w:b/>
                <w:sz w:val="18"/>
              </w:rPr>
              <w:t>$</w:t>
              <w:tab/>
              <w:t>$</w:t>
            </w:r>
          </w:p>
        </w:tc>
      </w:tr>
      <w:tr>
        <w:trPr>
          <w:trHeight w:val="698" w:hRule="exact"/>
        </w:trPr>
        <w:tc>
          <w:tcPr>
            <w:tcW w:w="5456" w:type="dxa"/>
          </w:tcPr>
          <w:p>
            <w:pPr>
              <w:pStyle w:val="TableParagraph"/>
              <w:spacing w:line="207" w:lineRule="exact" w:before="63"/>
              <w:ind w:left="62"/>
              <w:rPr>
                <w:b/>
                <w:sz w:val="18"/>
              </w:rPr>
            </w:pPr>
            <w:r>
              <w:rPr>
                <w:b/>
                <w:sz w:val="18"/>
              </w:rPr>
              <w:t>ASSETS</w:t>
            </w:r>
          </w:p>
          <w:p>
            <w:pPr>
              <w:pStyle w:val="TableParagraph"/>
              <w:spacing w:line="206" w:lineRule="exact"/>
              <w:ind w:left="62"/>
              <w:rPr>
                <w:b/>
                <w:sz w:val="18"/>
              </w:rPr>
            </w:pPr>
            <w:r>
              <w:rPr>
                <w:b/>
                <w:sz w:val="18"/>
              </w:rPr>
              <w:t>Current assets</w:t>
            </w:r>
          </w:p>
          <w:p>
            <w:pPr>
              <w:pStyle w:val="TableParagraph"/>
              <w:spacing w:line="207" w:lineRule="exact"/>
              <w:ind w:left="62"/>
              <w:rPr>
                <w:sz w:val="18"/>
              </w:rPr>
            </w:pPr>
            <w:r>
              <w:rPr>
                <w:sz w:val="18"/>
              </w:rPr>
              <w:t>Cash and cash equivalents</w:t>
            </w:r>
          </w:p>
        </w:tc>
        <w:tc>
          <w:tcPr>
            <w:tcW w:w="1857" w:type="dxa"/>
          </w:tcPr>
          <w:p>
            <w:pPr>
              <w:pStyle w:val="TableParagraph"/>
              <w:rPr>
                <w:sz w:val="18"/>
              </w:rPr>
            </w:pPr>
          </w:p>
          <w:p>
            <w:pPr>
              <w:pStyle w:val="TableParagraph"/>
              <w:spacing w:before="4"/>
              <w:rPr>
                <w:sz w:val="23"/>
              </w:rPr>
            </w:pPr>
          </w:p>
          <w:p>
            <w:pPr>
              <w:pStyle w:val="TableParagraph"/>
              <w:spacing w:before="1"/>
              <w:ind w:left="1350"/>
              <w:rPr>
                <w:sz w:val="18"/>
              </w:rPr>
            </w:pPr>
            <w:r>
              <w:rPr>
                <w:w w:val="99"/>
                <w:sz w:val="18"/>
              </w:rPr>
              <w:t>6</w:t>
            </w:r>
          </w:p>
        </w:tc>
        <w:tc>
          <w:tcPr>
            <w:tcW w:w="2585" w:type="dxa"/>
          </w:tcPr>
          <w:p>
            <w:pPr>
              <w:pStyle w:val="TableParagraph"/>
              <w:rPr>
                <w:sz w:val="18"/>
              </w:rPr>
            </w:pPr>
          </w:p>
          <w:p>
            <w:pPr>
              <w:pStyle w:val="TableParagraph"/>
              <w:spacing w:before="4"/>
              <w:rPr>
                <w:sz w:val="23"/>
              </w:rPr>
            </w:pPr>
          </w:p>
          <w:p>
            <w:pPr>
              <w:pStyle w:val="TableParagraph"/>
              <w:tabs>
                <w:tab w:pos="1108" w:val="left" w:leader="none"/>
                <w:tab w:pos="2405" w:val="left" w:leader="none"/>
              </w:tabs>
              <w:spacing w:before="1"/>
              <w:ind w:right="33"/>
              <w:jc w:val="right"/>
              <w:rPr>
                <w:sz w:val="18"/>
              </w:rPr>
            </w:pPr>
            <w:r>
              <w:rPr>
                <w:rFonts w:ascii="Times New Roman"/>
                <w:sz w:val="18"/>
                <w:u w:val="single"/>
              </w:rPr>
              <w:t> </w:t>
              <w:tab/>
            </w:r>
            <w:r>
              <w:rPr>
                <w:b/>
                <w:sz w:val="18"/>
                <w:u w:val="single"/>
              </w:rPr>
              <w:t>1</w:t>
              <w:tab/>
            </w:r>
            <w:r>
              <w:rPr>
                <w:spacing w:val="-1"/>
                <w:sz w:val="18"/>
                <w:u w:val="single"/>
              </w:rPr>
              <w:t>1</w:t>
            </w:r>
          </w:p>
        </w:tc>
      </w:tr>
      <w:tr>
        <w:trPr>
          <w:trHeight w:val="362" w:hRule="exact"/>
        </w:trPr>
        <w:tc>
          <w:tcPr>
            <w:tcW w:w="5456" w:type="dxa"/>
          </w:tcPr>
          <w:p>
            <w:pPr>
              <w:pStyle w:val="TableParagraph"/>
              <w:spacing w:line="202" w:lineRule="exact"/>
              <w:ind w:left="62"/>
              <w:rPr>
                <w:sz w:val="18"/>
              </w:rPr>
            </w:pPr>
            <w:r>
              <w:rPr>
                <w:sz w:val="18"/>
              </w:rPr>
              <w:t>Total current assets</w:t>
            </w:r>
          </w:p>
        </w:tc>
        <w:tc>
          <w:tcPr>
            <w:tcW w:w="1857" w:type="dxa"/>
          </w:tcPr>
          <w:p>
            <w:pPr/>
          </w:p>
        </w:tc>
        <w:tc>
          <w:tcPr>
            <w:tcW w:w="2585" w:type="dxa"/>
          </w:tcPr>
          <w:p>
            <w:pPr>
              <w:pStyle w:val="TableParagraph"/>
              <w:tabs>
                <w:tab w:pos="1108" w:val="left" w:leader="none"/>
                <w:tab w:pos="2405" w:val="left" w:leader="none"/>
              </w:tabs>
              <w:spacing w:line="201" w:lineRule="exact"/>
              <w:ind w:right="33"/>
              <w:jc w:val="right"/>
              <w:rPr>
                <w:sz w:val="18"/>
              </w:rPr>
            </w:pPr>
            <w:r>
              <w:rPr>
                <w:rFonts w:ascii="Times New Roman"/>
                <w:sz w:val="18"/>
                <w:u w:val="single"/>
              </w:rPr>
              <w:t> </w:t>
              <w:tab/>
            </w:r>
            <w:r>
              <w:rPr>
                <w:b/>
                <w:sz w:val="18"/>
                <w:u w:val="single"/>
              </w:rPr>
              <w:t>1</w:t>
              <w:tab/>
            </w:r>
            <w:r>
              <w:rPr>
                <w:spacing w:val="-1"/>
                <w:sz w:val="18"/>
                <w:u w:val="single"/>
              </w:rPr>
              <w:t>1</w:t>
            </w:r>
          </w:p>
        </w:tc>
      </w:tr>
      <w:tr>
        <w:trPr>
          <w:trHeight w:val="580" w:hRule="exact"/>
        </w:trPr>
        <w:tc>
          <w:tcPr>
            <w:tcW w:w="5456" w:type="dxa"/>
          </w:tcPr>
          <w:p>
            <w:pPr>
              <w:pStyle w:val="TableParagraph"/>
              <w:spacing w:before="141"/>
              <w:ind w:left="62"/>
              <w:rPr>
                <w:b/>
                <w:sz w:val="18"/>
              </w:rPr>
            </w:pPr>
            <w:r>
              <w:rPr>
                <w:b/>
                <w:sz w:val="18"/>
              </w:rPr>
              <w:t>Total assets</w:t>
            </w:r>
          </w:p>
        </w:tc>
        <w:tc>
          <w:tcPr>
            <w:tcW w:w="1857" w:type="dxa"/>
          </w:tcPr>
          <w:p>
            <w:pPr/>
          </w:p>
        </w:tc>
        <w:tc>
          <w:tcPr>
            <w:tcW w:w="2585" w:type="dxa"/>
          </w:tcPr>
          <w:p>
            <w:pPr>
              <w:pStyle w:val="TableParagraph"/>
              <w:tabs>
                <w:tab w:pos="1108" w:val="left" w:leader="none"/>
                <w:tab w:pos="2406" w:val="left" w:leader="none"/>
              </w:tabs>
              <w:spacing w:before="141"/>
              <w:ind w:right="33"/>
              <w:jc w:val="right"/>
              <w:rPr>
                <w:sz w:val="18"/>
              </w:rPr>
            </w:pPr>
            <w:r>
              <w:rPr>
                <w:rFonts w:ascii="Times New Roman"/>
                <w:sz w:val="18"/>
                <w:u w:val="single"/>
              </w:rPr>
              <w:t> </w:t>
              <w:tab/>
            </w:r>
            <w:r>
              <w:rPr>
                <w:b/>
                <w:sz w:val="18"/>
                <w:u w:val="single"/>
              </w:rPr>
              <w:t>1</w:t>
              <w:tab/>
            </w:r>
            <w:r>
              <w:rPr>
                <w:spacing w:val="-1"/>
                <w:sz w:val="18"/>
                <w:u w:val="single"/>
              </w:rPr>
              <w:t>1</w:t>
            </w:r>
          </w:p>
        </w:tc>
      </w:tr>
      <w:tr>
        <w:trPr>
          <w:trHeight w:val="846" w:hRule="exact"/>
        </w:trPr>
        <w:tc>
          <w:tcPr>
            <w:tcW w:w="5456" w:type="dxa"/>
          </w:tcPr>
          <w:p>
            <w:pPr>
              <w:pStyle w:val="TableParagraph"/>
              <w:spacing w:before="4"/>
              <w:rPr>
                <w:sz w:val="18"/>
              </w:rPr>
            </w:pPr>
          </w:p>
          <w:p>
            <w:pPr>
              <w:pStyle w:val="TableParagraph"/>
              <w:spacing w:line="207" w:lineRule="exact"/>
              <w:ind w:left="62"/>
              <w:rPr>
                <w:b/>
                <w:sz w:val="18"/>
              </w:rPr>
            </w:pPr>
            <w:r>
              <w:rPr>
                <w:b/>
                <w:sz w:val="18"/>
              </w:rPr>
              <w:t>LIABILITIES</w:t>
            </w:r>
          </w:p>
          <w:p>
            <w:pPr>
              <w:pStyle w:val="TableParagraph"/>
              <w:spacing w:line="206" w:lineRule="exact"/>
              <w:ind w:left="62"/>
              <w:rPr>
                <w:b/>
                <w:sz w:val="18"/>
              </w:rPr>
            </w:pPr>
            <w:r>
              <w:rPr>
                <w:b/>
                <w:sz w:val="18"/>
              </w:rPr>
              <w:t>Current liabilities</w:t>
            </w:r>
          </w:p>
          <w:p>
            <w:pPr>
              <w:pStyle w:val="TableParagraph"/>
              <w:spacing w:line="207" w:lineRule="exact"/>
              <w:ind w:left="62"/>
              <w:rPr>
                <w:sz w:val="18"/>
              </w:rPr>
            </w:pPr>
            <w:r>
              <w:rPr>
                <w:sz w:val="18"/>
              </w:rPr>
              <w:t>Trade and other payables</w:t>
            </w:r>
          </w:p>
        </w:tc>
        <w:tc>
          <w:tcPr>
            <w:tcW w:w="1857" w:type="dxa"/>
          </w:tcPr>
          <w:p>
            <w:pPr/>
          </w:p>
        </w:tc>
        <w:tc>
          <w:tcPr>
            <w:tcW w:w="2585" w:type="dxa"/>
          </w:tcPr>
          <w:p>
            <w:pPr>
              <w:pStyle w:val="TableParagraph"/>
              <w:rPr>
                <w:sz w:val="18"/>
              </w:rPr>
            </w:pPr>
          </w:p>
          <w:p>
            <w:pPr>
              <w:pStyle w:val="TableParagraph"/>
              <w:rPr>
                <w:sz w:val="18"/>
              </w:rPr>
            </w:pPr>
          </w:p>
          <w:p>
            <w:pPr>
              <w:pStyle w:val="TableParagraph"/>
              <w:spacing w:before="3"/>
              <w:rPr>
                <w:sz w:val="18"/>
              </w:rPr>
            </w:pPr>
          </w:p>
          <w:p>
            <w:pPr>
              <w:pStyle w:val="TableParagraph"/>
              <w:tabs>
                <w:tab w:pos="1148" w:val="left" w:leader="none"/>
                <w:tab w:pos="2445" w:val="left" w:leader="none"/>
              </w:tabs>
              <w:ind w:right="33"/>
              <w:jc w:val="right"/>
              <w:rPr>
                <w:sz w:val="18"/>
              </w:rPr>
            </w:pPr>
            <w:r>
              <w:rPr>
                <w:rFonts w:ascii="Times New Roman"/>
                <w:sz w:val="18"/>
                <w:u w:val="single"/>
              </w:rPr>
              <w:t> </w:t>
              <w:tab/>
            </w:r>
            <w:r>
              <w:rPr>
                <w:b/>
                <w:sz w:val="18"/>
                <w:u w:val="single"/>
              </w:rPr>
              <w:t>-</w:t>
              <w:tab/>
            </w:r>
            <w:r>
              <w:rPr>
                <w:sz w:val="18"/>
                <w:u w:val="single"/>
              </w:rPr>
              <w:t>-</w:t>
            </w:r>
          </w:p>
        </w:tc>
      </w:tr>
      <w:tr>
        <w:trPr>
          <w:trHeight w:val="362" w:hRule="exact"/>
        </w:trPr>
        <w:tc>
          <w:tcPr>
            <w:tcW w:w="5456" w:type="dxa"/>
          </w:tcPr>
          <w:p>
            <w:pPr>
              <w:pStyle w:val="TableParagraph"/>
              <w:spacing w:line="201" w:lineRule="exact"/>
              <w:ind w:left="62"/>
              <w:rPr>
                <w:sz w:val="18"/>
              </w:rPr>
            </w:pPr>
            <w:r>
              <w:rPr>
                <w:sz w:val="18"/>
              </w:rPr>
              <w:t>Total current liabilities</w:t>
            </w:r>
          </w:p>
        </w:tc>
        <w:tc>
          <w:tcPr>
            <w:tcW w:w="1857" w:type="dxa"/>
          </w:tcPr>
          <w:p>
            <w:pPr/>
          </w:p>
        </w:tc>
        <w:tc>
          <w:tcPr>
            <w:tcW w:w="2585" w:type="dxa"/>
          </w:tcPr>
          <w:p>
            <w:pPr>
              <w:pStyle w:val="TableParagraph"/>
              <w:tabs>
                <w:tab w:pos="1148" w:val="left" w:leader="none"/>
                <w:tab w:pos="2445" w:val="left" w:leader="none"/>
              </w:tabs>
              <w:spacing w:line="201" w:lineRule="exact"/>
              <w:ind w:right="33"/>
              <w:jc w:val="right"/>
              <w:rPr>
                <w:sz w:val="18"/>
              </w:rPr>
            </w:pPr>
            <w:r>
              <w:rPr>
                <w:rFonts w:ascii="Times New Roman"/>
                <w:sz w:val="18"/>
                <w:u w:val="single"/>
              </w:rPr>
              <w:t> </w:t>
              <w:tab/>
            </w:r>
            <w:r>
              <w:rPr>
                <w:b/>
                <w:sz w:val="18"/>
                <w:u w:val="single"/>
              </w:rPr>
              <w:t>-</w:t>
              <w:tab/>
            </w:r>
            <w:r>
              <w:rPr>
                <w:sz w:val="18"/>
                <w:u w:val="single"/>
              </w:rPr>
              <w:t>-</w:t>
            </w:r>
          </w:p>
        </w:tc>
      </w:tr>
      <w:tr>
        <w:trPr>
          <w:trHeight w:val="509" w:hRule="exact"/>
        </w:trPr>
        <w:tc>
          <w:tcPr>
            <w:tcW w:w="5456" w:type="dxa"/>
          </w:tcPr>
          <w:p>
            <w:pPr>
              <w:pStyle w:val="TableParagraph"/>
              <w:spacing w:before="141"/>
              <w:ind w:left="62"/>
              <w:rPr>
                <w:b/>
                <w:sz w:val="18"/>
              </w:rPr>
            </w:pPr>
            <w:r>
              <w:rPr>
                <w:b/>
                <w:sz w:val="18"/>
              </w:rPr>
              <w:t>Total liabilities</w:t>
            </w:r>
          </w:p>
        </w:tc>
        <w:tc>
          <w:tcPr>
            <w:tcW w:w="1857" w:type="dxa"/>
          </w:tcPr>
          <w:p>
            <w:pPr/>
          </w:p>
        </w:tc>
        <w:tc>
          <w:tcPr>
            <w:tcW w:w="2585" w:type="dxa"/>
          </w:tcPr>
          <w:p>
            <w:pPr>
              <w:pStyle w:val="TableParagraph"/>
              <w:tabs>
                <w:tab w:pos="1148" w:val="left" w:leader="none"/>
                <w:tab w:pos="2445" w:val="left" w:leader="none"/>
              </w:tabs>
              <w:spacing w:before="141"/>
              <w:ind w:right="33"/>
              <w:jc w:val="right"/>
              <w:rPr>
                <w:sz w:val="18"/>
              </w:rPr>
            </w:pPr>
            <w:r>
              <w:rPr>
                <w:rFonts w:ascii="Times New Roman"/>
                <w:sz w:val="18"/>
                <w:u w:val="single"/>
              </w:rPr>
              <w:t> </w:t>
              <w:tab/>
            </w:r>
            <w:r>
              <w:rPr>
                <w:b/>
                <w:sz w:val="18"/>
                <w:u w:val="single"/>
              </w:rPr>
              <w:t>-</w:t>
              <w:tab/>
            </w:r>
            <w:r>
              <w:rPr>
                <w:sz w:val="18"/>
                <w:u w:val="single"/>
              </w:rPr>
              <w:t>-</w:t>
            </w:r>
          </w:p>
        </w:tc>
      </w:tr>
      <w:tr>
        <w:trPr>
          <w:trHeight w:val="580" w:hRule="exact"/>
        </w:trPr>
        <w:tc>
          <w:tcPr>
            <w:tcW w:w="5456" w:type="dxa"/>
          </w:tcPr>
          <w:p>
            <w:pPr>
              <w:pStyle w:val="TableParagraph"/>
              <w:spacing w:before="141"/>
              <w:ind w:left="62"/>
              <w:rPr>
                <w:b/>
                <w:sz w:val="18"/>
              </w:rPr>
            </w:pPr>
            <w:r>
              <w:rPr>
                <w:b/>
                <w:sz w:val="18"/>
              </w:rPr>
              <w:t>Net assets</w:t>
            </w:r>
          </w:p>
        </w:tc>
        <w:tc>
          <w:tcPr>
            <w:tcW w:w="1857" w:type="dxa"/>
          </w:tcPr>
          <w:p>
            <w:pPr/>
          </w:p>
        </w:tc>
        <w:tc>
          <w:tcPr>
            <w:tcW w:w="2585" w:type="dxa"/>
          </w:tcPr>
          <w:p>
            <w:pPr>
              <w:pStyle w:val="TableParagraph"/>
              <w:tabs>
                <w:tab w:pos="1108" w:val="left" w:leader="none"/>
                <w:tab w:pos="2405" w:val="left" w:leader="none"/>
              </w:tabs>
              <w:spacing w:before="141"/>
              <w:ind w:right="33"/>
              <w:jc w:val="right"/>
              <w:rPr>
                <w:sz w:val="18"/>
              </w:rPr>
            </w:pPr>
            <w:r>
              <w:rPr>
                <w:rFonts w:ascii="Times New Roman"/>
                <w:sz w:val="18"/>
                <w:u w:val="single"/>
              </w:rPr>
              <w:t> </w:t>
              <w:tab/>
            </w:r>
            <w:r>
              <w:rPr>
                <w:b/>
                <w:sz w:val="18"/>
                <w:u w:val="single"/>
              </w:rPr>
              <w:t>1</w:t>
              <w:tab/>
            </w:r>
            <w:r>
              <w:rPr>
                <w:spacing w:val="-1"/>
                <w:sz w:val="18"/>
                <w:u w:val="single"/>
              </w:rPr>
              <w:t>1</w:t>
            </w:r>
          </w:p>
        </w:tc>
      </w:tr>
      <w:tr>
        <w:trPr>
          <w:trHeight w:val="634" w:hRule="exact"/>
        </w:trPr>
        <w:tc>
          <w:tcPr>
            <w:tcW w:w="5456" w:type="dxa"/>
          </w:tcPr>
          <w:p>
            <w:pPr>
              <w:pStyle w:val="TableParagraph"/>
              <w:spacing w:before="4"/>
              <w:rPr>
                <w:sz w:val="18"/>
              </w:rPr>
            </w:pPr>
          </w:p>
          <w:p>
            <w:pPr>
              <w:pStyle w:val="TableParagraph"/>
              <w:spacing w:line="207" w:lineRule="exact"/>
              <w:ind w:left="62"/>
              <w:rPr>
                <w:b/>
                <w:sz w:val="18"/>
              </w:rPr>
            </w:pPr>
            <w:r>
              <w:rPr>
                <w:b/>
                <w:sz w:val="18"/>
              </w:rPr>
              <w:t>EQUITY</w:t>
            </w:r>
          </w:p>
          <w:p>
            <w:pPr>
              <w:pStyle w:val="TableParagraph"/>
              <w:spacing w:line="207" w:lineRule="exact"/>
              <w:ind w:left="62"/>
              <w:rPr>
                <w:sz w:val="18"/>
              </w:rPr>
            </w:pPr>
            <w:r>
              <w:rPr>
                <w:sz w:val="18"/>
              </w:rPr>
              <w:t>Contributed equity</w:t>
            </w:r>
          </w:p>
        </w:tc>
        <w:tc>
          <w:tcPr>
            <w:tcW w:w="1857" w:type="dxa"/>
          </w:tcPr>
          <w:p>
            <w:pPr>
              <w:pStyle w:val="TableParagraph"/>
              <w:rPr>
                <w:sz w:val="18"/>
              </w:rPr>
            </w:pPr>
          </w:p>
          <w:p>
            <w:pPr>
              <w:pStyle w:val="TableParagraph"/>
              <w:spacing w:before="4"/>
              <w:rPr>
                <w:sz w:val="18"/>
              </w:rPr>
            </w:pPr>
          </w:p>
          <w:p>
            <w:pPr>
              <w:pStyle w:val="TableParagraph"/>
              <w:ind w:left="1351"/>
              <w:rPr>
                <w:sz w:val="18"/>
              </w:rPr>
            </w:pPr>
            <w:r>
              <w:rPr>
                <w:w w:val="99"/>
                <w:sz w:val="18"/>
              </w:rPr>
              <w:t>7</w:t>
            </w:r>
          </w:p>
        </w:tc>
        <w:tc>
          <w:tcPr>
            <w:tcW w:w="2585" w:type="dxa"/>
          </w:tcPr>
          <w:p>
            <w:pPr>
              <w:pStyle w:val="TableParagraph"/>
              <w:rPr>
                <w:sz w:val="18"/>
              </w:rPr>
            </w:pPr>
          </w:p>
          <w:p>
            <w:pPr>
              <w:pStyle w:val="TableParagraph"/>
              <w:spacing w:before="4"/>
              <w:rPr>
                <w:sz w:val="18"/>
              </w:rPr>
            </w:pPr>
          </w:p>
          <w:p>
            <w:pPr>
              <w:pStyle w:val="TableParagraph"/>
              <w:tabs>
                <w:tab w:pos="1297" w:val="left" w:leader="none"/>
              </w:tabs>
              <w:ind w:right="33"/>
              <w:jc w:val="right"/>
              <w:rPr>
                <w:sz w:val="18"/>
              </w:rPr>
            </w:pPr>
            <w:r>
              <w:rPr>
                <w:b/>
                <w:sz w:val="18"/>
              </w:rPr>
              <w:t>1</w:t>
              <w:tab/>
            </w:r>
            <w:r>
              <w:rPr>
                <w:spacing w:val="-1"/>
                <w:sz w:val="18"/>
              </w:rPr>
              <w:t>1</w:t>
            </w:r>
          </w:p>
        </w:tc>
      </w:tr>
      <w:tr>
        <w:trPr>
          <w:trHeight w:val="510" w:hRule="exact"/>
        </w:trPr>
        <w:tc>
          <w:tcPr>
            <w:tcW w:w="5456" w:type="dxa"/>
          </w:tcPr>
          <w:p>
            <w:pPr>
              <w:pStyle w:val="TableParagraph"/>
              <w:spacing w:line="197" w:lineRule="exact"/>
              <w:ind w:left="62"/>
              <w:rPr>
                <w:sz w:val="18"/>
              </w:rPr>
            </w:pPr>
            <w:r>
              <w:rPr>
                <w:sz w:val="18"/>
              </w:rPr>
              <w:t>Retained earnings</w:t>
            </w:r>
          </w:p>
          <w:p>
            <w:pPr>
              <w:pStyle w:val="TableParagraph"/>
              <w:spacing w:before="9"/>
              <w:ind w:left="62"/>
              <w:rPr>
                <w:b/>
                <w:sz w:val="18"/>
              </w:rPr>
            </w:pPr>
            <w:r>
              <w:rPr>
                <w:b/>
                <w:sz w:val="18"/>
              </w:rPr>
              <w:t>Total equity</w:t>
            </w:r>
          </w:p>
        </w:tc>
        <w:tc>
          <w:tcPr>
            <w:tcW w:w="1857" w:type="dxa"/>
          </w:tcPr>
          <w:p>
            <w:pPr/>
          </w:p>
        </w:tc>
        <w:tc>
          <w:tcPr>
            <w:tcW w:w="2585" w:type="dxa"/>
          </w:tcPr>
          <w:p>
            <w:pPr>
              <w:pStyle w:val="TableParagraph"/>
              <w:tabs>
                <w:tab w:pos="1192" w:val="left" w:leader="none"/>
                <w:tab w:pos="2489" w:val="left" w:leader="none"/>
              </w:tabs>
              <w:spacing w:line="197" w:lineRule="exact"/>
              <w:ind w:left="44"/>
              <w:rPr>
                <w:sz w:val="18"/>
              </w:rPr>
            </w:pPr>
            <w:r>
              <w:rPr>
                <w:rFonts w:ascii="Times New Roman"/>
                <w:sz w:val="18"/>
                <w:u w:val="single"/>
              </w:rPr>
              <w:t> </w:t>
              <w:tab/>
            </w:r>
            <w:r>
              <w:rPr>
                <w:b/>
                <w:sz w:val="18"/>
                <w:u w:val="single"/>
              </w:rPr>
              <w:t>-</w:t>
              <w:tab/>
            </w:r>
            <w:r>
              <w:rPr>
                <w:sz w:val="18"/>
                <w:u w:val="single"/>
              </w:rPr>
              <w:t>-</w:t>
            </w:r>
          </w:p>
          <w:p>
            <w:pPr>
              <w:pStyle w:val="TableParagraph"/>
              <w:tabs>
                <w:tab w:pos="1152" w:val="left" w:leader="none"/>
                <w:tab w:pos="2450" w:val="left" w:leader="none"/>
              </w:tabs>
              <w:spacing w:before="9"/>
              <w:ind w:left="44"/>
              <w:rPr>
                <w:sz w:val="18"/>
              </w:rPr>
            </w:pPr>
            <w:r>
              <w:rPr>
                <w:rFonts w:ascii="Times New Roman"/>
                <w:sz w:val="18"/>
                <w:u w:val="single"/>
              </w:rPr>
              <w:t> </w:t>
              <w:tab/>
            </w:r>
            <w:r>
              <w:rPr>
                <w:b/>
                <w:sz w:val="18"/>
                <w:u w:val="single"/>
              </w:rPr>
              <w:t>1</w:t>
              <w:tab/>
            </w:r>
            <w:r>
              <w:rPr>
                <w:sz w:val="18"/>
                <w:u w:val="single"/>
              </w:rPr>
              <w:t>1</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BodyText"/>
        <w:spacing w:before="77"/>
        <w:ind w:left="147" w:right="220"/>
      </w:pPr>
      <w:r>
        <w:rPr/>
        <w:t>The accompanying notes form part of these financial statements.</w:t>
      </w:r>
    </w:p>
    <w:p>
      <w:pPr>
        <w:spacing w:after="0"/>
        <w:sectPr>
          <w:pgSz w:w="11910" w:h="16840"/>
          <w:pgMar w:header="1038" w:footer="501" w:top="1540" w:bottom="700" w:left="860" w:right="920"/>
        </w:sectPr>
      </w:pPr>
    </w:p>
    <w:p>
      <w:pPr>
        <w:pStyle w:val="BodyText"/>
        <w:spacing w:before="3" w:after="1"/>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156"/>
        <w:gridCol w:w="1293"/>
        <w:gridCol w:w="967"/>
        <w:gridCol w:w="1412"/>
      </w:tblGrid>
      <w:tr>
        <w:trPr>
          <w:trHeight w:val="911" w:hRule="exact"/>
        </w:trPr>
        <w:tc>
          <w:tcPr>
            <w:tcW w:w="6156" w:type="dxa"/>
          </w:tcPr>
          <w:p>
            <w:pPr>
              <w:pStyle w:val="TableParagraph"/>
              <w:spacing w:before="64"/>
              <w:ind w:left="35"/>
              <w:rPr>
                <w:b/>
                <w:sz w:val="28"/>
              </w:rPr>
            </w:pPr>
            <w:r>
              <w:rPr>
                <w:b/>
                <w:sz w:val="28"/>
              </w:rPr>
              <w:t>Statement of changes in equity</w:t>
            </w:r>
          </w:p>
          <w:p>
            <w:pPr>
              <w:pStyle w:val="TableParagraph"/>
              <w:spacing w:before="57"/>
              <w:ind w:left="35"/>
              <w:rPr>
                <w:b/>
                <w:sz w:val="22"/>
              </w:rPr>
            </w:pPr>
            <w:r>
              <w:rPr>
                <w:b/>
                <w:sz w:val="22"/>
              </w:rPr>
              <w:t>For the year ended 31 December 2017</w:t>
            </w:r>
          </w:p>
        </w:tc>
        <w:tc>
          <w:tcPr>
            <w:tcW w:w="3672" w:type="dxa"/>
            <w:gridSpan w:val="3"/>
          </w:tcPr>
          <w:p>
            <w:pPr/>
          </w:p>
        </w:tc>
      </w:tr>
      <w:tr>
        <w:trPr>
          <w:trHeight w:val="653" w:hRule="exact"/>
        </w:trPr>
        <w:tc>
          <w:tcPr>
            <w:tcW w:w="6156" w:type="dxa"/>
          </w:tcPr>
          <w:p>
            <w:pPr/>
          </w:p>
        </w:tc>
        <w:tc>
          <w:tcPr>
            <w:tcW w:w="1293" w:type="dxa"/>
          </w:tcPr>
          <w:p>
            <w:pPr>
              <w:pStyle w:val="TableParagraph"/>
              <w:spacing w:before="1"/>
              <w:rPr>
                <w:sz w:val="17"/>
              </w:rPr>
            </w:pPr>
          </w:p>
          <w:p>
            <w:pPr>
              <w:pStyle w:val="TableParagraph"/>
              <w:ind w:left="346" w:right="153" w:hanging="247"/>
              <w:rPr>
                <w:b/>
                <w:sz w:val="18"/>
              </w:rPr>
            </w:pPr>
            <w:r>
              <w:rPr>
                <w:b/>
                <w:sz w:val="18"/>
              </w:rPr>
              <w:t>Contributed equity</w:t>
            </w:r>
          </w:p>
        </w:tc>
        <w:tc>
          <w:tcPr>
            <w:tcW w:w="967" w:type="dxa"/>
          </w:tcPr>
          <w:p>
            <w:pPr>
              <w:pStyle w:val="TableParagraph"/>
              <w:spacing w:before="1"/>
              <w:rPr>
                <w:sz w:val="17"/>
              </w:rPr>
            </w:pPr>
          </w:p>
          <w:p>
            <w:pPr>
              <w:pStyle w:val="TableParagraph"/>
              <w:ind w:left="157" w:right="19" w:firstLine="5"/>
              <w:rPr>
                <w:b/>
                <w:sz w:val="18"/>
              </w:rPr>
            </w:pPr>
            <w:r>
              <w:rPr>
                <w:b/>
                <w:sz w:val="18"/>
              </w:rPr>
              <w:t>Retained Earnings</w:t>
            </w:r>
          </w:p>
        </w:tc>
        <w:tc>
          <w:tcPr>
            <w:tcW w:w="1412" w:type="dxa"/>
          </w:tcPr>
          <w:p>
            <w:pPr>
              <w:pStyle w:val="TableParagraph"/>
              <w:rPr>
                <w:sz w:val="18"/>
              </w:rPr>
            </w:pPr>
          </w:p>
          <w:p>
            <w:pPr>
              <w:pStyle w:val="TableParagraph"/>
              <w:spacing w:before="1"/>
              <w:rPr>
                <w:sz w:val="17"/>
              </w:rPr>
            </w:pPr>
          </w:p>
          <w:p>
            <w:pPr>
              <w:pStyle w:val="TableParagraph"/>
              <w:ind w:right="119"/>
              <w:jc w:val="right"/>
              <w:rPr>
                <w:b/>
                <w:sz w:val="18"/>
              </w:rPr>
            </w:pPr>
            <w:r>
              <w:rPr>
                <w:b/>
                <w:sz w:val="18"/>
              </w:rPr>
              <w:t>Total equity</w:t>
            </w:r>
          </w:p>
        </w:tc>
      </w:tr>
      <w:tr>
        <w:trPr>
          <w:trHeight w:val="272" w:hRule="exact"/>
        </w:trPr>
        <w:tc>
          <w:tcPr>
            <w:tcW w:w="6156" w:type="dxa"/>
          </w:tcPr>
          <w:p>
            <w:pPr/>
          </w:p>
        </w:tc>
        <w:tc>
          <w:tcPr>
            <w:tcW w:w="1293" w:type="dxa"/>
            <w:tcBorders>
              <w:bottom w:val="single" w:sz="0" w:space="0" w:color="000000"/>
            </w:tcBorders>
          </w:tcPr>
          <w:p>
            <w:pPr>
              <w:pStyle w:val="TableParagraph"/>
              <w:spacing w:before="24"/>
              <w:ind w:right="67"/>
              <w:jc w:val="center"/>
              <w:rPr>
                <w:b/>
                <w:sz w:val="18"/>
              </w:rPr>
            </w:pPr>
            <w:r>
              <w:rPr>
                <w:b/>
                <w:w w:val="99"/>
                <w:sz w:val="18"/>
              </w:rPr>
              <w:t>$</w:t>
            </w:r>
          </w:p>
        </w:tc>
        <w:tc>
          <w:tcPr>
            <w:tcW w:w="967" w:type="dxa"/>
            <w:tcBorders>
              <w:bottom w:val="single" w:sz="0" w:space="0" w:color="000000"/>
            </w:tcBorders>
          </w:tcPr>
          <w:p>
            <w:pPr>
              <w:pStyle w:val="TableParagraph"/>
              <w:spacing w:before="24"/>
              <w:ind w:left="119"/>
              <w:jc w:val="center"/>
              <w:rPr>
                <w:b/>
                <w:sz w:val="18"/>
              </w:rPr>
            </w:pPr>
            <w:r>
              <w:rPr>
                <w:b/>
                <w:w w:val="99"/>
                <w:sz w:val="18"/>
              </w:rPr>
              <w:t>$</w:t>
            </w:r>
          </w:p>
        </w:tc>
        <w:tc>
          <w:tcPr>
            <w:tcW w:w="1412" w:type="dxa"/>
            <w:tcBorders>
              <w:bottom w:val="single" w:sz="0" w:space="0" w:color="000000"/>
            </w:tcBorders>
          </w:tcPr>
          <w:p>
            <w:pPr>
              <w:pStyle w:val="TableParagraph"/>
              <w:spacing w:before="24"/>
              <w:ind w:left="161"/>
              <w:jc w:val="center"/>
              <w:rPr>
                <w:b/>
                <w:sz w:val="18"/>
              </w:rPr>
            </w:pPr>
            <w:r>
              <w:rPr>
                <w:b/>
                <w:w w:val="99"/>
                <w:sz w:val="18"/>
              </w:rPr>
              <w:t>$</w:t>
            </w:r>
          </w:p>
        </w:tc>
      </w:tr>
      <w:tr>
        <w:trPr>
          <w:trHeight w:val="426" w:hRule="exact"/>
        </w:trPr>
        <w:tc>
          <w:tcPr>
            <w:tcW w:w="6156" w:type="dxa"/>
          </w:tcPr>
          <w:p>
            <w:pPr>
              <w:pStyle w:val="TableParagraph"/>
              <w:spacing w:before="44"/>
              <w:ind w:left="62"/>
              <w:rPr>
                <w:b/>
                <w:sz w:val="18"/>
              </w:rPr>
            </w:pPr>
            <w:r>
              <w:rPr>
                <w:b/>
                <w:sz w:val="18"/>
              </w:rPr>
              <w:t>Balance at 1 January 2017</w:t>
            </w:r>
          </w:p>
        </w:tc>
        <w:tc>
          <w:tcPr>
            <w:tcW w:w="1293" w:type="dxa"/>
            <w:tcBorders>
              <w:top w:val="single" w:sz="0" w:space="0" w:color="000000"/>
            </w:tcBorders>
          </w:tcPr>
          <w:p>
            <w:pPr>
              <w:pStyle w:val="TableParagraph"/>
              <w:spacing w:before="48"/>
              <w:ind w:right="155"/>
              <w:jc w:val="right"/>
              <w:rPr>
                <w:b/>
                <w:sz w:val="18"/>
              </w:rPr>
            </w:pPr>
            <w:r>
              <w:rPr>
                <w:b/>
                <w:w w:val="99"/>
                <w:sz w:val="18"/>
              </w:rPr>
              <w:t>1</w:t>
            </w:r>
          </w:p>
        </w:tc>
        <w:tc>
          <w:tcPr>
            <w:tcW w:w="967" w:type="dxa"/>
            <w:tcBorders>
              <w:top w:val="single" w:sz="0" w:space="0" w:color="000000"/>
            </w:tcBorders>
          </w:tcPr>
          <w:p>
            <w:pPr/>
          </w:p>
        </w:tc>
        <w:tc>
          <w:tcPr>
            <w:tcW w:w="1412" w:type="dxa"/>
            <w:tcBorders>
              <w:top w:val="single" w:sz="0" w:space="0" w:color="000000"/>
            </w:tcBorders>
          </w:tcPr>
          <w:p>
            <w:pPr>
              <w:pStyle w:val="TableParagraph"/>
              <w:tabs>
                <w:tab w:pos="1184" w:val="left" w:leader="none"/>
              </w:tabs>
              <w:spacing w:before="48"/>
              <w:ind w:right="86"/>
              <w:jc w:val="right"/>
              <w:rPr>
                <w:b/>
                <w:sz w:val="18"/>
              </w:rPr>
            </w:pPr>
            <w:r>
              <w:rPr>
                <w:b/>
                <w:sz w:val="18"/>
              </w:rPr>
              <w:t>-</w:t>
              <w:tab/>
            </w:r>
            <w:r>
              <w:rPr>
                <w:b/>
                <w:spacing w:val="-1"/>
                <w:sz w:val="18"/>
              </w:rPr>
              <w:t>1</w:t>
            </w:r>
          </w:p>
        </w:tc>
      </w:tr>
      <w:tr>
        <w:trPr>
          <w:trHeight w:val="397" w:hRule="exact"/>
        </w:trPr>
        <w:tc>
          <w:tcPr>
            <w:tcW w:w="6156" w:type="dxa"/>
          </w:tcPr>
          <w:p>
            <w:pPr>
              <w:pStyle w:val="TableParagraph"/>
              <w:spacing w:before="152"/>
              <w:ind w:left="62"/>
              <w:rPr>
                <w:sz w:val="18"/>
              </w:rPr>
            </w:pPr>
            <w:r>
              <w:rPr>
                <w:sz w:val="18"/>
              </w:rPr>
              <w:t>Other comprehensive income</w:t>
            </w:r>
          </w:p>
        </w:tc>
        <w:tc>
          <w:tcPr>
            <w:tcW w:w="1293" w:type="dxa"/>
          </w:tcPr>
          <w:p>
            <w:pPr>
              <w:pStyle w:val="TableParagraph"/>
              <w:spacing w:before="151"/>
              <w:ind w:right="155"/>
              <w:jc w:val="right"/>
              <w:rPr>
                <w:sz w:val="18"/>
              </w:rPr>
            </w:pPr>
            <w:r>
              <w:rPr>
                <w:w w:val="99"/>
                <w:sz w:val="18"/>
              </w:rPr>
              <w:t>-</w:t>
            </w:r>
          </w:p>
        </w:tc>
        <w:tc>
          <w:tcPr>
            <w:tcW w:w="967" w:type="dxa"/>
          </w:tcPr>
          <w:p>
            <w:pPr/>
          </w:p>
        </w:tc>
        <w:tc>
          <w:tcPr>
            <w:tcW w:w="1412" w:type="dxa"/>
          </w:tcPr>
          <w:p>
            <w:pPr>
              <w:pStyle w:val="TableParagraph"/>
              <w:tabs>
                <w:tab w:pos="1223" w:val="left" w:leader="none"/>
              </w:tabs>
              <w:spacing w:before="151"/>
              <w:ind w:right="86"/>
              <w:jc w:val="right"/>
              <w:rPr>
                <w:sz w:val="18"/>
              </w:rPr>
            </w:pPr>
            <w:r>
              <w:rPr>
                <w:sz w:val="18"/>
              </w:rPr>
              <w:t>-</w:t>
              <w:tab/>
              <w:t>-</w:t>
            </w:r>
          </w:p>
        </w:tc>
      </w:tr>
      <w:tr>
        <w:trPr>
          <w:trHeight w:val="254" w:hRule="exact"/>
        </w:trPr>
        <w:tc>
          <w:tcPr>
            <w:tcW w:w="6156" w:type="dxa"/>
          </w:tcPr>
          <w:p>
            <w:pPr>
              <w:pStyle w:val="TableParagraph"/>
              <w:spacing w:before="20"/>
              <w:ind w:left="62"/>
              <w:rPr>
                <w:sz w:val="18"/>
              </w:rPr>
            </w:pPr>
            <w:r>
              <w:rPr>
                <w:sz w:val="18"/>
              </w:rPr>
              <w:t>Surplus for the year</w:t>
            </w:r>
          </w:p>
        </w:tc>
        <w:tc>
          <w:tcPr>
            <w:tcW w:w="1293" w:type="dxa"/>
            <w:tcBorders>
              <w:bottom w:val="single" w:sz="0" w:space="0" w:color="000000"/>
            </w:tcBorders>
          </w:tcPr>
          <w:p>
            <w:pPr>
              <w:pStyle w:val="TableParagraph"/>
              <w:spacing w:before="19"/>
              <w:ind w:right="155"/>
              <w:jc w:val="right"/>
              <w:rPr>
                <w:sz w:val="18"/>
              </w:rPr>
            </w:pPr>
            <w:r>
              <w:rPr>
                <w:w w:val="99"/>
                <w:sz w:val="18"/>
              </w:rPr>
              <w:t>-</w:t>
            </w:r>
          </w:p>
        </w:tc>
        <w:tc>
          <w:tcPr>
            <w:tcW w:w="967" w:type="dxa"/>
            <w:tcBorders>
              <w:bottom w:val="single" w:sz="0" w:space="0" w:color="000000"/>
            </w:tcBorders>
          </w:tcPr>
          <w:p>
            <w:pPr/>
          </w:p>
        </w:tc>
        <w:tc>
          <w:tcPr>
            <w:tcW w:w="1412" w:type="dxa"/>
            <w:tcBorders>
              <w:bottom w:val="single" w:sz="0" w:space="0" w:color="000000"/>
            </w:tcBorders>
          </w:tcPr>
          <w:p>
            <w:pPr>
              <w:pStyle w:val="TableParagraph"/>
              <w:tabs>
                <w:tab w:pos="1223" w:val="left" w:leader="none"/>
              </w:tabs>
              <w:spacing w:before="19"/>
              <w:ind w:right="86"/>
              <w:jc w:val="right"/>
              <w:rPr>
                <w:sz w:val="18"/>
              </w:rPr>
            </w:pPr>
            <w:r>
              <w:rPr>
                <w:sz w:val="18"/>
              </w:rPr>
              <w:t>-</w:t>
              <w:tab/>
              <w:t>-</w:t>
            </w:r>
          </w:p>
        </w:tc>
      </w:tr>
      <w:tr>
        <w:trPr>
          <w:trHeight w:val="538" w:hRule="exact"/>
        </w:trPr>
        <w:tc>
          <w:tcPr>
            <w:tcW w:w="6156" w:type="dxa"/>
          </w:tcPr>
          <w:p>
            <w:pPr>
              <w:pStyle w:val="TableParagraph"/>
              <w:spacing w:before="31"/>
              <w:ind w:left="62"/>
              <w:rPr>
                <w:b/>
                <w:sz w:val="18"/>
              </w:rPr>
            </w:pPr>
            <w:r>
              <w:rPr>
                <w:b/>
                <w:sz w:val="18"/>
              </w:rPr>
              <w:t>Total comprehensive income for the year</w:t>
            </w:r>
          </w:p>
        </w:tc>
        <w:tc>
          <w:tcPr>
            <w:tcW w:w="1293" w:type="dxa"/>
            <w:tcBorders>
              <w:top w:val="single" w:sz="0" w:space="0" w:color="000000"/>
              <w:bottom w:val="single" w:sz="0" w:space="0" w:color="000000"/>
            </w:tcBorders>
          </w:tcPr>
          <w:p>
            <w:pPr>
              <w:pStyle w:val="TableParagraph"/>
              <w:spacing w:before="29"/>
              <w:ind w:right="155"/>
              <w:jc w:val="right"/>
              <w:rPr>
                <w:b/>
                <w:sz w:val="18"/>
              </w:rPr>
            </w:pPr>
            <w:r>
              <w:rPr>
                <w:b/>
                <w:w w:val="99"/>
                <w:sz w:val="18"/>
              </w:rPr>
              <w:t>-</w:t>
            </w:r>
          </w:p>
        </w:tc>
        <w:tc>
          <w:tcPr>
            <w:tcW w:w="967" w:type="dxa"/>
            <w:tcBorders>
              <w:top w:val="single" w:sz="0" w:space="0" w:color="000000"/>
              <w:bottom w:val="single" w:sz="0" w:space="0" w:color="000000"/>
            </w:tcBorders>
          </w:tcPr>
          <w:p>
            <w:pPr/>
          </w:p>
        </w:tc>
        <w:tc>
          <w:tcPr>
            <w:tcW w:w="1412" w:type="dxa"/>
            <w:tcBorders>
              <w:top w:val="single" w:sz="0" w:space="0" w:color="000000"/>
              <w:bottom w:val="single" w:sz="0" w:space="0" w:color="000000"/>
            </w:tcBorders>
          </w:tcPr>
          <w:p>
            <w:pPr>
              <w:pStyle w:val="TableParagraph"/>
              <w:tabs>
                <w:tab w:pos="1223" w:val="left" w:leader="none"/>
              </w:tabs>
              <w:spacing w:before="29"/>
              <w:ind w:right="86"/>
              <w:jc w:val="right"/>
              <w:rPr>
                <w:b/>
                <w:sz w:val="18"/>
              </w:rPr>
            </w:pPr>
            <w:r>
              <w:rPr>
                <w:b/>
                <w:sz w:val="18"/>
              </w:rPr>
              <w:t>-</w:t>
              <w:tab/>
              <w:t>-</w:t>
            </w:r>
          </w:p>
        </w:tc>
      </w:tr>
      <w:tr>
        <w:trPr>
          <w:trHeight w:val="353" w:hRule="exact"/>
        </w:trPr>
        <w:tc>
          <w:tcPr>
            <w:tcW w:w="6156" w:type="dxa"/>
          </w:tcPr>
          <w:p>
            <w:pPr>
              <w:pStyle w:val="TableParagraph"/>
              <w:spacing w:before="123"/>
              <w:ind w:left="62"/>
              <w:rPr>
                <w:b/>
                <w:sz w:val="18"/>
              </w:rPr>
            </w:pPr>
            <w:r>
              <w:rPr>
                <w:b/>
                <w:sz w:val="18"/>
              </w:rPr>
              <w:t>Balance at 31 December 2017</w:t>
            </w:r>
          </w:p>
        </w:tc>
        <w:tc>
          <w:tcPr>
            <w:tcW w:w="1293" w:type="dxa"/>
            <w:tcBorders>
              <w:top w:val="single" w:sz="0" w:space="0" w:color="000000"/>
              <w:bottom w:val="single" w:sz="0" w:space="0" w:color="000000"/>
            </w:tcBorders>
          </w:tcPr>
          <w:p>
            <w:pPr>
              <w:pStyle w:val="TableParagraph"/>
              <w:spacing w:before="122"/>
              <w:ind w:right="155"/>
              <w:jc w:val="right"/>
              <w:rPr>
                <w:b/>
                <w:sz w:val="18"/>
              </w:rPr>
            </w:pPr>
            <w:r>
              <w:rPr>
                <w:b/>
                <w:w w:val="99"/>
                <w:sz w:val="18"/>
              </w:rPr>
              <w:t>1</w:t>
            </w:r>
          </w:p>
        </w:tc>
        <w:tc>
          <w:tcPr>
            <w:tcW w:w="967" w:type="dxa"/>
            <w:tcBorders>
              <w:top w:val="single" w:sz="0" w:space="0" w:color="000000"/>
              <w:bottom w:val="single" w:sz="0" w:space="0" w:color="000000"/>
            </w:tcBorders>
          </w:tcPr>
          <w:p>
            <w:pPr/>
          </w:p>
        </w:tc>
        <w:tc>
          <w:tcPr>
            <w:tcW w:w="1412" w:type="dxa"/>
            <w:tcBorders>
              <w:top w:val="single" w:sz="0" w:space="0" w:color="000000"/>
              <w:bottom w:val="single" w:sz="0" w:space="0" w:color="000000"/>
            </w:tcBorders>
          </w:tcPr>
          <w:p>
            <w:pPr>
              <w:pStyle w:val="TableParagraph"/>
              <w:tabs>
                <w:tab w:pos="1184" w:val="left" w:leader="none"/>
              </w:tabs>
              <w:spacing w:before="122"/>
              <w:ind w:right="86"/>
              <w:jc w:val="right"/>
              <w:rPr>
                <w:b/>
                <w:sz w:val="18"/>
              </w:rPr>
            </w:pPr>
            <w:r>
              <w:rPr>
                <w:b/>
                <w:sz w:val="18"/>
              </w:rPr>
              <w:t>-</w:t>
              <w:tab/>
            </w:r>
            <w:r>
              <w:rPr>
                <w:b/>
                <w:spacing w:val="-1"/>
                <w:sz w:val="18"/>
              </w:rPr>
              <w:t>1</w:t>
            </w:r>
          </w:p>
        </w:tc>
      </w:tr>
    </w:tbl>
    <w:p>
      <w:pPr>
        <w:pStyle w:val="BodyText"/>
        <w:rPr>
          <w:sz w:val="20"/>
        </w:rPr>
      </w:pPr>
    </w:p>
    <w:p>
      <w:pPr>
        <w:pStyle w:val="BodyText"/>
        <w:rPr>
          <w:sz w:val="20"/>
        </w:rPr>
      </w:pPr>
    </w:p>
    <w:p>
      <w:pPr>
        <w:pStyle w:val="BodyText"/>
        <w:rPr>
          <w:sz w:val="20"/>
        </w:rPr>
      </w:pPr>
    </w:p>
    <w:p>
      <w:pPr>
        <w:pStyle w:val="BodyText"/>
        <w:spacing w:before="5"/>
        <w:rPr>
          <w:sz w:val="15"/>
        </w:rPr>
      </w:pPr>
    </w:p>
    <w:tbl>
      <w:tblPr>
        <w:tblW w:w="0" w:type="auto"/>
        <w:jc w:val="left"/>
        <w:tblInd w:w="14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129"/>
        <w:gridCol w:w="1293"/>
        <w:gridCol w:w="967"/>
        <w:gridCol w:w="1412"/>
      </w:tblGrid>
      <w:tr>
        <w:trPr>
          <w:trHeight w:val="533" w:hRule="exact"/>
        </w:trPr>
        <w:tc>
          <w:tcPr>
            <w:tcW w:w="6129" w:type="dxa"/>
            <w:vMerge w:val="restart"/>
          </w:tcPr>
          <w:p>
            <w:pPr/>
          </w:p>
        </w:tc>
        <w:tc>
          <w:tcPr>
            <w:tcW w:w="1293" w:type="dxa"/>
          </w:tcPr>
          <w:p>
            <w:pPr>
              <w:pStyle w:val="TableParagraph"/>
              <w:spacing w:before="77"/>
              <w:ind w:left="346" w:right="153" w:hanging="247"/>
              <w:rPr>
                <w:b/>
                <w:sz w:val="18"/>
              </w:rPr>
            </w:pPr>
            <w:r>
              <w:rPr>
                <w:b/>
                <w:sz w:val="18"/>
              </w:rPr>
              <w:t>Contributed equity</w:t>
            </w:r>
          </w:p>
        </w:tc>
        <w:tc>
          <w:tcPr>
            <w:tcW w:w="967" w:type="dxa"/>
          </w:tcPr>
          <w:p>
            <w:pPr>
              <w:pStyle w:val="TableParagraph"/>
              <w:spacing w:before="77"/>
              <w:ind w:left="157" w:right="19" w:firstLine="5"/>
              <w:rPr>
                <w:b/>
                <w:sz w:val="18"/>
              </w:rPr>
            </w:pPr>
            <w:r>
              <w:rPr>
                <w:b/>
                <w:sz w:val="18"/>
              </w:rPr>
              <w:t>Retained Earnings</w:t>
            </w:r>
          </w:p>
        </w:tc>
        <w:tc>
          <w:tcPr>
            <w:tcW w:w="1412" w:type="dxa"/>
          </w:tcPr>
          <w:p>
            <w:pPr>
              <w:pStyle w:val="TableParagraph"/>
              <w:spacing w:before="7"/>
              <w:rPr>
                <w:sz w:val="24"/>
              </w:rPr>
            </w:pPr>
          </w:p>
          <w:p>
            <w:pPr>
              <w:pStyle w:val="TableParagraph"/>
              <w:ind w:right="119"/>
              <w:jc w:val="right"/>
              <w:rPr>
                <w:b/>
                <w:sz w:val="18"/>
              </w:rPr>
            </w:pPr>
            <w:r>
              <w:rPr>
                <w:b/>
                <w:sz w:val="18"/>
              </w:rPr>
              <w:t>Total equity</w:t>
            </w:r>
          </w:p>
        </w:tc>
      </w:tr>
      <w:tr>
        <w:trPr>
          <w:trHeight w:val="272" w:hRule="exact"/>
        </w:trPr>
        <w:tc>
          <w:tcPr>
            <w:tcW w:w="6129" w:type="dxa"/>
            <w:vMerge/>
          </w:tcPr>
          <w:p>
            <w:pPr/>
          </w:p>
        </w:tc>
        <w:tc>
          <w:tcPr>
            <w:tcW w:w="1293" w:type="dxa"/>
            <w:tcBorders>
              <w:bottom w:val="single" w:sz="0" w:space="0" w:color="000000"/>
            </w:tcBorders>
          </w:tcPr>
          <w:p>
            <w:pPr>
              <w:pStyle w:val="TableParagraph"/>
              <w:spacing w:before="24"/>
              <w:ind w:right="67"/>
              <w:jc w:val="center"/>
              <w:rPr>
                <w:b/>
                <w:sz w:val="18"/>
              </w:rPr>
            </w:pPr>
            <w:r>
              <w:rPr>
                <w:b/>
                <w:w w:val="99"/>
                <w:sz w:val="18"/>
              </w:rPr>
              <w:t>$</w:t>
            </w:r>
          </w:p>
        </w:tc>
        <w:tc>
          <w:tcPr>
            <w:tcW w:w="967" w:type="dxa"/>
            <w:tcBorders>
              <w:bottom w:val="single" w:sz="0" w:space="0" w:color="000000"/>
            </w:tcBorders>
          </w:tcPr>
          <w:p>
            <w:pPr>
              <w:pStyle w:val="TableParagraph"/>
              <w:spacing w:before="24"/>
              <w:ind w:left="119"/>
              <w:jc w:val="center"/>
              <w:rPr>
                <w:b/>
                <w:sz w:val="18"/>
              </w:rPr>
            </w:pPr>
            <w:r>
              <w:rPr>
                <w:b/>
                <w:w w:val="99"/>
                <w:sz w:val="18"/>
              </w:rPr>
              <w:t>$</w:t>
            </w:r>
          </w:p>
        </w:tc>
        <w:tc>
          <w:tcPr>
            <w:tcW w:w="1412" w:type="dxa"/>
            <w:tcBorders>
              <w:bottom w:val="single" w:sz="0" w:space="0" w:color="000000"/>
            </w:tcBorders>
          </w:tcPr>
          <w:p>
            <w:pPr>
              <w:pStyle w:val="TableParagraph"/>
              <w:spacing w:before="24"/>
              <w:ind w:left="161"/>
              <w:jc w:val="center"/>
              <w:rPr>
                <w:b/>
                <w:sz w:val="18"/>
              </w:rPr>
            </w:pPr>
            <w:r>
              <w:rPr>
                <w:b/>
                <w:w w:val="99"/>
                <w:sz w:val="18"/>
              </w:rPr>
              <w:t>$</w:t>
            </w:r>
          </w:p>
        </w:tc>
      </w:tr>
      <w:tr>
        <w:trPr>
          <w:trHeight w:val="426" w:hRule="exact"/>
        </w:trPr>
        <w:tc>
          <w:tcPr>
            <w:tcW w:w="6129" w:type="dxa"/>
          </w:tcPr>
          <w:p>
            <w:pPr>
              <w:pStyle w:val="TableParagraph"/>
              <w:spacing w:before="44"/>
              <w:ind w:left="35" w:right="3722"/>
              <w:rPr>
                <w:b/>
                <w:sz w:val="18"/>
              </w:rPr>
            </w:pPr>
            <w:r>
              <w:rPr>
                <w:b/>
                <w:sz w:val="18"/>
              </w:rPr>
              <w:t>Balance at 1 January 2016</w:t>
            </w:r>
          </w:p>
        </w:tc>
        <w:tc>
          <w:tcPr>
            <w:tcW w:w="1293" w:type="dxa"/>
            <w:tcBorders>
              <w:top w:val="single" w:sz="0" w:space="0" w:color="000000"/>
            </w:tcBorders>
          </w:tcPr>
          <w:p>
            <w:pPr>
              <w:pStyle w:val="TableParagraph"/>
              <w:spacing w:before="48"/>
              <w:ind w:right="155"/>
              <w:jc w:val="right"/>
              <w:rPr>
                <w:sz w:val="18"/>
              </w:rPr>
            </w:pPr>
            <w:r>
              <w:rPr>
                <w:w w:val="99"/>
                <w:sz w:val="18"/>
              </w:rPr>
              <w:t>1</w:t>
            </w:r>
          </w:p>
        </w:tc>
        <w:tc>
          <w:tcPr>
            <w:tcW w:w="967" w:type="dxa"/>
            <w:tcBorders>
              <w:top w:val="single" w:sz="0" w:space="0" w:color="000000"/>
            </w:tcBorders>
          </w:tcPr>
          <w:p>
            <w:pPr/>
          </w:p>
        </w:tc>
        <w:tc>
          <w:tcPr>
            <w:tcW w:w="1412" w:type="dxa"/>
            <w:tcBorders>
              <w:top w:val="single" w:sz="0" w:space="0" w:color="000000"/>
            </w:tcBorders>
          </w:tcPr>
          <w:p>
            <w:pPr>
              <w:pStyle w:val="TableParagraph"/>
              <w:tabs>
                <w:tab w:pos="1184" w:val="left" w:leader="none"/>
              </w:tabs>
              <w:spacing w:before="48"/>
              <w:ind w:right="86"/>
              <w:jc w:val="right"/>
              <w:rPr>
                <w:sz w:val="18"/>
              </w:rPr>
            </w:pPr>
            <w:r>
              <w:rPr>
                <w:sz w:val="18"/>
              </w:rPr>
              <w:t>-</w:t>
              <w:tab/>
            </w:r>
            <w:r>
              <w:rPr>
                <w:spacing w:val="-1"/>
                <w:sz w:val="18"/>
              </w:rPr>
              <w:t>1</w:t>
            </w:r>
          </w:p>
        </w:tc>
      </w:tr>
      <w:tr>
        <w:trPr>
          <w:trHeight w:val="650" w:hRule="exact"/>
        </w:trPr>
        <w:tc>
          <w:tcPr>
            <w:tcW w:w="6129" w:type="dxa"/>
          </w:tcPr>
          <w:p>
            <w:pPr>
              <w:pStyle w:val="TableParagraph"/>
              <w:spacing w:line="304" w:lineRule="auto" w:before="152"/>
              <w:ind w:left="35" w:right="3722"/>
              <w:rPr>
                <w:sz w:val="18"/>
              </w:rPr>
            </w:pPr>
            <w:r>
              <w:rPr>
                <w:sz w:val="18"/>
              </w:rPr>
              <w:t>Other comprehensive income Surplus for the year</w:t>
            </w:r>
          </w:p>
        </w:tc>
        <w:tc>
          <w:tcPr>
            <w:tcW w:w="1293" w:type="dxa"/>
            <w:tcBorders>
              <w:bottom w:val="single" w:sz="0" w:space="0" w:color="000000"/>
            </w:tcBorders>
          </w:tcPr>
          <w:p>
            <w:pPr>
              <w:pStyle w:val="TableParagraph"/>
              <w:spacing w:before="151"/>
              <w:ind w:right="155"/>
              <w:jc w:val="right"/>
              <w:rPr>
                <w:sz w:val="18"/>
              </w:rPr>
            </w:pPr>
            <w:r>
              <w:rPr>
                <w:w w:val="99"/>
                <w:sz w:val="18"/>
              </w:rPr>
              <w:t>-</w:t>
            </w:r>
          </w:p>
          <w:p>
            <w:pPr>
              <w:pStyle w:val="TableParagraph"/>
              <w:spacing w:before="57"/>
              <w:ind w:right="155"/>
              <w:jc w:val="right"/>
              <w:rPr>
                <w:sz w:val="18"/>
              </w:rPr>
            </w:pPr>
            <w:r>
              <w:rPr>
                <w:w w:val="99"/>
                <w:sz w:val="18"/>
              </w:rPr>
              <w:t>-</w:t>
            </w:r>
          </w:p>
        </w:tc>
        <w:tc>
          <w:tcPr>
            <w:tcW w:w="967" w:type="dxa"/>
            <w:tcBorders>
              <w:bottom w:val="single" w:sz="0" w:space="0" w:color="000000"/>
            </w:tcBorders>
          </w:tcPr>
          <w:p>
            <w:pPr/>
          </w:p>
        </w:tc>
        <w:tc>
          <w:tcPr>
            <w:tcW w:w="1412" w:type="dxa"/>
            <w:tcBorders>
              <w:bottom w:val="single" w:sz="0" w:space="0" w:color="000000"/>
            </w:tcBorders>
          </w:tcPr>
          <w:p>
            <w:pPr>
              <w:pStyle w:val="TableParagraph"/>
              <w:tabs>
                <w:tab w:pos="1263" w:val="left" w:leader="none"/>
              </w:tabs>
              <w:spacing w:before="151"/>
              <w:ind w:left="39"/>
              <w:rPr>
                <w:sz w:val="18"/>
              </w:rPr>
            </w:pPr>
            <w:r>
              <w:rPr>
                <w:sz w:val="18"/>
              </w:rPr>
              <w:t>-</w:t>
              <w:tab/>
              <w:t>-</w:t>
            </w:r>
          </w:p>
          <w:p>
            <w:pPr>
              <w:pStyle w:val="TableParagraph"/>
              <w:tabs>
                <w:tab w:pos="1263" w:val="left" w:leader="none"/>
              </w:tabs>
              <w:spacing w:before="57"/>
              <w:ind w:left="39"/>
              <w:rPr>
                <w:sz w:val="18"/>
              </w:rPr>
            </w:pPr>
            <w:r>
              <w:rPr>
                <w:sz w:val="18"/>
              </w:rPr>
              <w:t>-</w:t>
              <w:tab/>
              <w:t>-</w:t>
            </w:r>
          </w:p>
        </w:tc>
      </w:tr>
      <w:tr>
        <w:trPr>
          <w:trHeight w:val="538" w:hRule="exact"/>
        </w:trPr>
        <w:tc>
          <w:tcPr>
            <w:tcW w:w="6129" w:type="dxa"/>
          </w:tcPr>
          <w:p>
            <w:pPr>
              <w:pStyle w:val="TableParagraph"/>
              <w:spacing w:before="31"/>
              <w:ind w:left="35"/>
              <w:rPr>
                <w:b/>
                <w:sz w:val="18"/>
              </w:rPr>
            </w:pPr>
            <w:r>
              <w:rPr>
                <w:b/>
                <w:sz w:val="18"/>
              </w:rPr>
              <w:t>Total comprehensive income for the year</w:t>
            </w:r>
          </w:p>
        </w:tc>
        <w:tc>
          <w:tcPr>
            <w:tcW w:w="1293" w:type="dxa"/>
            <w:tcBorders>
              <w:top w:val="single" w:sz="0" w:space="0" w:color="000000"/>
              <w:bottom w:val="single" w:sz="0" w:space="0" w:color="000000"/>
            </w:tcBorders>
          </w:tcPr>
          <w:p>
            <w:pPr>
              <w:pStyle w:val="TableParagraph"/>
              <w:spacing w:before="29"/>
              <w:ind w:right="155"/>
              <w:jc w:val="right"/>
              <w:rPr>
                <w:sz w:val="18"/>
              </w:rPr>
            </w:pPr>
            <w:r>
              <w:rPr>
                <w:w w:val="99"/>
                <w:sz w:val="18"/>
              </w:rPr>
              <w:t>-</w:t>
            </w:r>
          </w:p>
        </w:tc>
        <w:tc>
          <w:tcPr>
            <w:tcW w:w="967" w:type="dxa"/>
            <w:tcBorders>
              <w:top w:val="single" w:sz="0" w:space="0" w:color="000000"/>
              <w:bottom w:val="single" w:sz="0" w:space="0" w:color="000000"/>
            </w:tcBorders>
          </w:tcPr>
          <w:p>
            <w:pPr/>
          </w:p>
        </w:tc>
        <w:tc>
          <w:tcPr>
            <w:tcW w:w="1412" w:type="dxa"/>
            <w:tcBorders>
              <w:top w:val="single" w:sz="0" w:space="0" w:color="000000"/>
              <w:bottom w:val="single" w:sz="0" w:space="0" w:color="000000"/>
            </w:tcBorders>
          </w:tcPr>
          <w:p>
            <w:pPr>
              <w:pStyle w:val="TableParagraph"/>
              <w:tabs>
                <w:tab w:pos="1223" w:val="left" w:leader="none"/>
              </w:tabs>
              <w:spacing w:before="29"/>
              <w:ind w:right="86"/>
              <w:jc w:val="right"/>
              <w:rPr>
                <w:sz w:val="18"/>
              </w:rPr>
            </w:pPr>
            <w:r>
              <w:rPr>
                <w:sz w:val="18"/>
              </w:rPr>
              <w:t>-</w:t>
              <w:tab/>
              <w:t>-</w:t>
            </w:r>
          </w:p>
        </w:tc>
      </w:tr>
      <w:tr>
        <w:trPr>
          <w:trHeight w:val="353" w:hRule="exact"/>
        </w:trPr>
        <w:tc>
          <w:tcPr>
            <w:tcW w:w="6129" w:type="dxa"/>
          </w:tcPr>
          <w:p>
            <w:pPr>
              <w:pStyle w:val="TableParagraph"/>
              <w:spacing w:before="123"/>
              <w:ind w:left="35"/>
              <w:rPr>
                <w:b/>
                <w:sz w:val="18"/>
              </w:rPr>
            </w:pPr>
            <w:r>
              <w:rPr>
                <w:b/>
                <w:sz w:val="18"/>
              </w:rPr>
              <w:t>Balance at 31 December 2016</w:t>
            </w:r>
          </w:p>
        </w:tc>
        <w:tc>
          <w:tcPr>
            <w:tcW w:w="1293" w:type="dxa"/>
            <w:tcBorders>
              <w:top w:val="single" w:sz="0" w:space="0" w:color="000000"/>
              <w:bottom w:val="single" w:sz="0" w:space="0" w:color="000000"/>
            </w:tcBorders>
          </w:tcPr>
          <w:p>
            <w:pPr>
              <w:pStyle w:val="TableParagraph"/>
              <w:spacing w:before="122"/>
              <w:ind w:right="155"/>
              <w:jc w:val="right"/>
              <w:rPr>
                <w:sz w:val="18"/>
              </w:rPr>
            </w:pPr>
            <w:r>
              <w:rPr>
                <w:w w:val="99"/>
                <w:sz w:val="18"/>
              </w:rPr>
              <w:t>1</w:t>
            </w:r>
          </w:p>
        </w:tc>
        <w:tc>
          <w:tcPr>
            <w:tcW w:w="967" w:type="dxa"/>
            <w:tcBorders>
              <w:top w:val="single" w:sz="0" w:space="0" w:color="000000"/>
              <w:bottom w:val="single" w:sz="0" w:space="0" w:color="000000"/>
            </w:tcBorders>
          </w:tcPr>
          <w:p>
            <w:pPr/>
          </w:p>
        </w:tc>
        <w:tc>
          <w:tcPr>
            <w:tcW w:w="1412" w:type="dxa"/>
            <w:tcBorders>
              <w:top w:val="single" w:sz="0" w:space="0" w:color="000000"/>
              <w:bottom w:val="single" w:sz="0" w:space="0" w:color="000000"/>
            </w:tcBorders>
          </w:tcPr>
          <w:p>
            <w:pPr>
              <w:pStyle w:val="TableParagraph"/>
              <w:tabs>
                <w:tab w:pos="1184" w:val="left" w:leader="none"/>
              </w:tabs>
              <w:spacing w:before="122"/>
              <w:ind w:right="86"/>
              <w:jc w:val="right"/>
              <w:rPr>
                <w:sz w:val="18"/>
              </w:rPr>
            </w:pPr>
            <w:r>
              <w:rPr>
                <w:sz w:val="18"/>
              </w:rPr>
              <w:t>-</w:t>
              <w:tab/>
            </w:r>
            <w:r>
              <w:rPr>
                <w:spacing w:val="-1"/>
                <w:sz w:val="18"/>
              </w:rPr>
              <w:t>1</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before="77"/>
        <w:ind w:left="147" w:right="201"/>
      </w:pPr>
      <w:r>
        <w:rPr/>
        <w:t>The accompanying notes form part of these financial statements.</w:t>
      </w:r>
    </w:p>
    <w:p>
      <w:pPr>
        <w:spacing w:after="0"/>
        <w:sectPr>
          <w:pgSz w:w="11910" w:h="16840"/>
          <w:pgMar w:header="1038" w:footer="501" w:top="1540" w:bottom="700" w:left="860" w:right="1000"/>
        </w:sectPr>
      </w:pPr>
    </w:p>
    <w:p>
      <w:pPr>
        <w:pStyle w:val="BodyText"/>
        <w:spacing w:before="3" w:after="1"/>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61"/>
        <w:gridCol w:w="1691"/>
        <w:gridCol w:w="2348"/>
      </w:tblGrid>
      <w:tr>
        <w:trPr>
          <w:trHeight w:val="911" w:hRule="exact"/>
        </w:trPr>
        <w:tc>
          <w:tcPr>
            <w:tcW w:w="5861" w:type="dxa"/>
          </w:tcPr>
          <w:p>
            <w:pPr>
              <w:pStyle w:val="TableParagraph"/>
              <w:spacing w:before="64"/>
              <w:ind w:left="35"/>
              <w:rPr>
                <w:b/>
                <w:sz w:val="28"/>
              </w:rPr>
            </w:pPr>
            <w:r>
              <w:rPr>
                <w:b/>
                <w:sz w:val="28"/>
              </w:rPr>
              <w:t>Statement of cash flows</w:t>
            </w:r>
          </w:p>
          <w:p>
            <w:pPr>
              <w:pStyle w:val="TableParagraph"/>
              <w:spacing w:before="57"/>
              <w:ind w:left="35"/>
              <w:rPr>
                <w:b/>
                <w:sz w:val="22"/>
              </w:rPr>
            </w:pPr>
            <w:r>
              <w:rPr>
                <w:b/>
                <w:sz w:val="22"/>
              </w:rPr>
              <w:t>For the year ended 31 December 2017</w:t>
            </w:r>
          </w:p>
        </w:tc>
        <w:tc>
          <w:tcPr>
            <w:tcW w:w="4039" w:type="dxa"/>
            <w:gridSpan w:val="2"/>
          </w:tcPr>
          <w:p>
            <w:pPr/>
          </w:p>
        </w:tc>
      </w:tr>
      <w:tr>
        <w:trPr>
          <w:trHeight w:val="447" w:hRule="exact"/>
        </w:trPr>
        <w:tc>
          <w:tcPr>
            <w:tcW w:w="5861" w:type="dxa"/>
          </w:tcPr>
          <w:p>
            <w:pPr/>
          </w:p>
        </w:tc>
        <w:tc>
          <w:tcPr>
            <w:tcW w:w="1691" w:type="dxa"/>
          </w:tcPr>
          <w:p>
            <w:pPr/>
          </w:p>
        </w:tc>
        <w:tc>
          <w:tcPr>
            <w:tcW w:w="2348" w:type="dxa"/>
          </w:tcPr>
          <w:p>
            <w:pPr>
              <w:pStyle w:val="TableParagraph"/>
              <w:spacing w:before="1"/>
              <w:rPr>
                <w:sz w:val="17"/>
              </w:rPr>
            </w:pPr>
          </w:p>
          <w:p>
            <w:pPr>
              <w:pStyle w:val="TableParagraph"/>
              <w:tabs>
                <w:tab w:pos="1274" w:val="left" w:leader="none"/>
              </w:tabs>
              <w:ind w:left="96"/>
              <w:jc w:val="center"/>
              <w:rPr>
                <w:b/>
                <w:sz w:val="18"/>
              </w:rPr>
            </w:pPr>
            <w:r>
              <w:rPr>
                <w:b/>
                <w:sz w:val="18"/>
              </w:rPr>
              <w:t>2017</w:t>
              <w:tab/>
              <w:t>2016</w:t>
            </w:r>
          </w:p>
        </w:tc>
      </w:tr>
      <w:tr>
        <w:trPr>
          <w:trHeight w:val="313" w:hRule="exact"/>
        </w:trPr>
        <w:tc>
          <w:tcPr>
            <w:tcW w:w="5861" w:type="dxa"/>
          </w:tcPr>
          <w:p>
            <w:pPr/>
          </w:p>
        </w:tc>
        <w:tc>
          <w:tcPr>
            <w:tcW w:w="1691" w:type="dxa"/>
          </w:tcPr>
          <w:p>
            <w:pPr>
              <w:pStyle w:val="TableParagraph"/>
              <w:spacing w:before="24"/>
              <w:ind w:right="42"/>
              <w:jc w:val="right"/>
              <w:rPr>
                <w:b/>
                <w:sz w:val="18"/>
              </w:rPr>
            </w:pPr>
            <w:r>
              <w:rPr>
                <w:b/>
                <w:w w:val="95"/>
                <w:sz w:val="18"/>
              </w:rPr>
              <w:t>Note</w:t>
            </w:r>
          </w:p>
        </w:tc>
        <w:tc>
          <w:tcPr>
            <w:tcW w:w="2348" w:type="dxa"/>
          </w:tcPr>
          <w:p>
            <w:pPr>
              <w:pStyle w:val="TableParagraph"/>
              <w:tabs>
                <w:tab w:pos="1274" w:val="left" w:leader="none"/>
              </w:tabs>
              <w:spacing w:before="24"/>
              <w:ind w:left="96"/>
              <w:jc w:val="center"/>
              <w:rPr>
                <w:b/>
                <w:sz w:val="18"/>
              </w:rPr>
            </w:pPr>
            <w:r>
              <w:rPr>
                <w:b/>
                <w:sz w:val="18"/>
              </w:rPr>
              <w:t>$</w:t>
              <w:tab/>
              <w:t>$</w:t>
            </w:r>
          </w:p>
        </w:tc>
      </w:tr>
      <w:tr>
        <w:trPr>
          <w:trHeight w:val="491" w:hRule="exact"/>
        </w:trPr>
        <w:tc>
          <w:tcPr>
            <w:tcW w:w="5861" w:type="dxa"/>
          </w:tcPr>
          <w:p>
            <w:pPr>
              <w:pStyle w:val="TableParagraph"/>
              <w:spacing w:line="207" w:lineRule="exact" w:before="63"/>
              <w:ind w:left="62"/>
              <w:rPr>
                <w:b/>
                <w:sz w:val="18"/>
              </w:rPr>
            </w:pPr>
            <w:r>
              <w:rPr>
                <w:b/>
                <w:sz w:val="18"/>
              </w:rPr>
              <w:t>Cash flows from operating activities</w:t>
            </w:r>
          </w:p>
          <w:p>
            <w:pPr>
              <w:pStyle w:val="TableParagraph"/>
              <w:spacing w:line="207" w:lineRule="exact"/>
              <w:ind w:left="62"/>
              <w:rPr>
                <w:sz w:val="18"/>
              </w:rPr>
            </w:pPr>
            <w:r>
              <w:rPr>
                <w:sz w:val="18"/>
              </w:rPr>
              <w:t>Payments to suppliers and employees</w:t>
            </w:r>
          </w:p>
        </w:tc>
        <w:tc>
          <w:tcPr>
            <w:tcW w:w="1691" w:type="dxa"/>
          </w:tcPr>
          <w:p>
            <w:pPr/>
          </w:p>
        </w:tc>
        <w:tc>
          <w:tcPr>
            <w:tcW w:w="2348" w:type="dxa"/>
          </w:tcPr>
          <w:p>
            <w:pPr>
              <w:pStyle w:val="TableParagraph"/>
              <w:spacing w:before="5"/>
              <w:rPr>
                <w:sz w:val="23"/>
              </w:rPr>
            </w:pPr>
          </w:p>
          <w:p>
            <w:pPr>
              <w:pStyle w:val="TableParagraph"/>
              <w:tabs>
                <w:tab w:pos="1038" w:val="left" w:leader="none"/>
                <w:tab w:pos="2216" w:val="left" w:leader="none"/>
              </w:tabs>
              <w:ind w:left="8"/>
              <w:jc w:val="center"/>
              <w:rPr>
                <w:sz w:val="18"/>
              </w:rPr>
            </w:pPr>
            <w:r>
              <w:rPr>
                <w:rFonts w:ascii="Times New Roman"/>
                <w:sz w:val="18"/>
                <w:u w:val="single"/>
              </w:rPr>
              <w:t> </w:t>
              <w:tab/>
            </w:r>
            <w:r>
              <w:rPr>
                <w:b/>
                <w:sz w:val="18"/>
                <w:u w:val="single"/>
              </w:rPr>
              <w:t>-</w:t>
              <w:tab/>
            </w:r>
            <w:r>
              <w:rPr>
                <w:sz w:val="18"/>
                <w:u w:val="single"/>
              </w:rPr>
              <w:t>-</w:t>
            </w:r>
          </w:p>
        </w:tc>
      </w:tr>
      <w:tr>
        <w:trPr>
          <w:trHeight w:val="362" w:hRule="exact"/>
        </w:trPr>
        <w:tc>
          <w:tcPr>
            <w:tcW w:w="5861" w:type="dxa"/>
          </w:tcPr>
          <w:p>
            <w:pPr>
              <w:pStyle w:val="TableParagraph"/>
              <w:spacing w:line="201" w:lineRule="exact"/>
              <w:ind w:left="62"/>
              <w:rPr>
                <w:b/>
                <w:sz w:val="18"/>
              </w:rPr>
            </w:pPr>
            <w:r>
              <w:rPr>
                <w:b/>
                <w:sz w:val="18"/>
              </w:rPr>
              <w:t>Net cash inflow/(outflow) from operating activities</w:t>
            </w:r>
          </w:p>
        </w:tc>
        <w:tc>
          <w:tcPr>
            <w:tcW w:w="1691" w:type="dxa"/>
          </w:tcPr>
          <w:p>
            <w:pPr>
              <w:pStyle w:val="TableParagraph"/>
              <w:spacing w:line="201" w:lineRule="exact"/>
              <w:ind w:left="1185"/>
              <w:rPr>
                <w:sz w:val="18"/>
              </w:rPr>
            </w:pPr>
            <w:r>
              <w:rPr>
                <w:sz w:val="18"/>
              </w:rPr>
              <w:t>14</w:t>
            </w:r>
          </w:p>
        </w:tc>
        <w:tc>
          <w:tcPr>
            <w:tcW w:w="2348" w:type="dxa"/>
          </w:tcPr>
          <w:p>
            <w:pPr>
              <w:pStyle w:val="TableParagraph"/>
              <w:tabs>
                <w:tab w:pos="1038" w:val="left" w:leader="none"/>
                <w:tab w:pos="2216" w:val="left" w:leader="none"/>
              </w:tabs>
              <w:spacing w:line="201" w:lineRule="exact"/>
              <w:ind w:left="8"/>
              <w:jc w:val="center"/>
              <w:rPr>
                <w:sz w:val="18"/>
              </w:rPr>
            </w:pPr>
            <w:r>
              <w:rPr>
                <w:rFonts w:ascii="Times New Roman"/>
                <w:sz w:val="18"/>
                <w:u w:val="single"/>
              </w:rPr>
              <w:t> </w:t>
              <w:tab/>
            </w:r>
            <w:r>
              <w:rPr>
                <w:b/>
                <w:sz w:val="18"/>
                <w:u w:val="single"/>
              </w:rPr>
              <w:t>-</w:t>
              <w:tab/>
            </w:r>
            <w:r>
              <w:rPr>
                <w:sz w:val="18"/>
                <w:u w:val="single"/>
              </w:rPr>
              <w:t>-</w:t>
            </w:r>
          </w:p>
        </w:tc>
      </w:tr>
      <w:tr>
        <w:trPr>
          <w:trHeight w:val="362" w:hRule="exact"/>
        </w:trPr>
        <w:tc>
          <w:tcPr>
            <w:tcW w:w="5861" w:type="dxa"/>
          </w:tcPr>
          <w:p>
            <w:pPr>
              <w:pStyle w:val="TableParagraph"/>
              <w:spacing w:before="141"/>
              <w:ind w:left="62"/>
              <w:rPr>
                <w:b/>
                <w:sz w:val="18"/>
              </w:rPr>
            </w:pPr>
            <w:r>
              <w:rPr>
                <w:b/>
                <w:sz w:val="18"/>
              </w:rPr>
              <w:t>Cash flows from investing activities</w:t>
            </w:r>
          </w:p>
        </w:tc>
        <w:tc>
          <w:tcPr>
            <w:tcW w:w="1691" w:type="dxa"/>
          </w:tcPr>
          <w:p>
            <w:pPr/>
          </w:p>
        </w:tc>
        <w:tc>
          <w:tcPr>
            <w:tcW w:w="2348" w:type="dxa"/>
          </w:tcPr>
          <w:p>
            <w:pPr/>
          </w:p>
        </w:tc>
      </w:tr>
      <w:tr>
        <w:trPr>
          <w:trHeight w:val="363" w:hRule="exact"/>
        </w:trPr>
        <w:tc>
          <w:tcPr>
            <w:tcW w:w="5861" w:type="dxa"/>
          </w:tcPr>
          <w:p>
            <w:pPr>
              <w:pStyle w:val="TableParagraph"/>
              <w:spacing w:line="202" w:lineRule="exact"/>
              <w:ind w:left="62"/>
              <w:rPr>
                <w:b/>
                <w:sz w:val="18"/>
              </w:rPr>
            </w:pPr>
            <w:r>
              <w:rPr>
                <w:b/>
                <w:sz w:val="18"/>
              </w:rPr>
              <w:t>Net cash (outflow)/inflow from investing activities</w:t>
            </w:r>
          </w:p>
        </w:tc>
        <w:tc>
          <w:tcPr>
            <w:tcW w:w="1691" w:type="dxa"/>
          </w:tcPr>
          <w:p>
            <w:pPr/>
          </w:p>
        </w:tc>
        <w:tc>
          <w:tcPr>
            <w:tcW w:w="2348" w:type="dxa"/>
          </w:tcPr>
          <w:p>
            <w:pPr>
              <w:pStyle w:val="TableParagraph"/>
              <w:tabs>
                <w:tab w:pos="1038" w:val="left" w:leader="none"/>
                <w:tab w:pos="2216" w:val="left" w:leader="none"/>
              </w:tabs>
              <w:spacing w:line="202" w:lineRule="exact"/>
              <w:ind w:left="8"/>
              <w:jc w:val="center"/>
              <w:rPr>
                <w:sz w:val="18"/>
              </w:rPr>
            </w:pPr>
            <w:r>
              <w:rPr>
                <w:rFonts w:ascii="Times New Roman"/>
                <w:sz w:val="18"/>
                <w:u w:val="single"/>
              </w:rPr>
              <w:t> </w:t>
              <w:tab/>
            </w:r>
            <w:r>
              <w:rPr>
                <w:b/>
                <w:sz w:val="18"/>
                <w:u w:val="single"/>
              </w:rPr>
              <w:t>-</w:t>
              <w:tab/>
            </w:r>
            <w:r>
              <w:rPr>
                <w:sz w:val="18"/>
                <w:u w:val="single"/>
              </w:rPr>
              <w:t>-</w:t>
            </w:r>
          </w:p>
        </w:tc>
      </w:tr>
      <w:tr>
        <w:trPr>
          <w:trHeight w:val="367" w:hRule="exact"/>
        </w:trPr>
        <w:tc>
          <w:tcPr>
            <w:tcW w:w="5861" w:type="dxa"/>
          </w:tcPr>
          <w:p>
            <w:pPr>
              <w:pStyle w:val="TableParagraph"/>
              <w:spacing w:before="141"/>
              <w:ind w:left="62"/>
              <w:rPr>
                <w:b/>
                <w:sz w:val="18"/>
              </w:rPr>
            </w:pPr>
            <w:r>
              <w:rPr>
                <w:b/>
                <w:sz w:val="18"/>
              </w:rPr>
              <w:t>Cash flows from financing activities</w:t>
            </w:r>
          </w:p>
        </w:tc>
        <w:tc>
          <w:tcPr>
            <w:tcW w:w="1691" w:type="dxa"/>
          </w:tcPr>
          <w:p>
            <w:pPr/>
          </w:p>
        </w:tc>
        <w:tc>
          <w:tcPr>
            <w:tcW w:w="2348" w:type="dxa"/>
          </w:tcPr>
          <w:p>
            <w:pPr/>
          </w:p>
        </w:tc>
      </w:tr>
      <w:tr>
        <w:trPr>
          <w:trHeight w:val="368" w:hRule="exact"/>
        </w:trPr>
        <w:tc>
          <w:tcPr>
            <w:tcW w:w="5861" w:type="dxa"/>
          </w:tcPr>
          <w:p>
            <w:pPr>
              <w:pStyle w:val="TableParagraph"/>
              <w:ind w:left="62"/>
              <w:rPr>
                <w:b/>
                <w:sz w:val="18"/>
              </w:rPr>
            </w:pPr>
            <w:r>
              <w:rPr>
                <w:b/>
                <w:sz w:val="18"/>
              </w:rPr>
              <w:t>Net cash inflow/(outflow) from financing activities</w:t>
            </w:r>
          </w:p>
        </w:tc>
        <w:tc>
          <w:tcPr>
            <w:tcW w:w="1691" w:type="dxa"/>
          </w:tcPr>
          <w:p>
            <w:pPr/>
          </w:p>
        </w:tc>
        <w:tc>
          <w:tcPr>
            <w:tcW w:w="2348" w:type="dxa"/>
          </w:tcPr>
          <w:p>
            <w:pPr>
              <w:pStyle w:val="TableParagraph"/>
              <w:tabs>
                <w:tab w:pos="1037" w:val="left" w:leader="none"/>
                <w:tab w:pos="2216" w:val="left" w:leader="none"/>
              </w:tabs>
              <w:ind w:left="8"/>
              <w:jc w:val="center"/>
              <w:rPr>
                <w:sz w:val="18"/>
              </w:rPr>
            </w:pPr>
            <w:r>
              <w:rPr>
                <w:rFonts w:ascii="Times New Roman"/>
                <w:sz w:val="18"/>
                <w:u w:val="single"/>
              </w:rPr>
              <w:t> </w:t>
              <w:tab/>
            </w:r>
            <w:r>
              <w:rPr>
                <w:b/>
                <w:sz w:val="18"/>
                <w:u w:val="single"/>
              </w:rPr>
              <w:t>-</w:t>
              <w:tab/>
            </w:r>
            <w:r>
              <w:rPr>
                <w:sz w:val="18"/>
                <w:u w:val="single"/>
              </w:rPr>
              <w:t>-</w:t>
            </w:r>
          </w:p>
        </w:tc>
      </w:tr>
      <w:tr>
        <w:trPr>
          <w:trHeight w:val="569" w:hRule="exact"/>
        </w:trPr>
        <w:tc>
          <w:tcPr>
            <w:tcW w:w="5861" w:type="dxa"/>
          </w:tcPr>
          <w:p>
            <w:pPr>
              <w:pStyle w:val="TableParagraph"/>
              <w:spacing w:line="207" w:lineRule="exact" w:before="141"/>
              <w:ind w:left="62"/>
              <w:rPr>
                <w:b/>
                <w:sz w:val="18"/>
              </w:rPr>
            </w:pPr>
            <w:r>
              <w:rPr>
                <w:b/>
                <w:sz w:val="18"/>
              </w:rPr>
              <w:t>Net increase/(decrease) in cash  and cash equivalents</w:t>
            </w:r>
          </w:p>
          <w:p>
            <w:pPr>
              <w:pStyle w:val="TableParagraph"/>
              <w:spacing w:line="207" w:lineRule="exact"/>
              <w:ind w:left="62"/>
              <w:rPr>
                <w:sz w:val="18"/>
              </w:rPr>
            </w:pPr>
            <w:r>
              <w:rPr>
                <w:sz w:val="18"/>
              </w:rPr>
              <w:t>Cash and cash equivalents at beginning of year</w:t>
            </w:r>
          </w:p>
        </w:tc>
        <w:tc>
          <w:tcPr>
            <w:tcW w:w="1691" w:type="dxa"/>
          </w:tcPr>
          <w:p>
            <w:pPr/>
          </w:p>
        </w:tc>
        <w:tc>
          <w:tcPr>
            <w:tcW w:w="2348" w:type="dxa"/>
          </w:tcPr>
          <w:p>
            <w:pPr>
              <w:pStyle w:val="TableParagraph"/>
              <w:tabs>
                <w:tab w:pos="2252" w:val="left" w:leader="none"/>
              </w:tabs>
              <w:spacing w:line="207" w:lineRule="exact" w:before="141"/>
              <w:ind w:left="1074"/>
              <w:rPr>
                <w:sz w:val="18"/>
              </w:rPr>
            </w:pPr>
            <w:r>
              <w:rPr>
                <w:b/>
                <w:sz w:val="18"/>
              </w:rPr>
              <w:t>-</w:t>
              <w:tab/>
            </w:r>
            <w:r>
              <w:rPr>
                <w:sz w:val="18"/>
              </w:rPr>
              <w:t>-</w:t>
            </w:r>
          </w:p>
          <w:p>
            <w:pPr>
              <w:pStyle w:val="TableParagraph"/>
              <w:tabs>
                <w:tab w:pos="1034" w:val="left" w:leader="none"/>
                <w:tab w:pos="2212" w:val="left" w:leader="none"/>
              </w:tabs>
              <w:spacing w:line="207" w:lineRule="exact"/>
              <w:ind w:left="44"/>
              <w:rPr>
                <w:sz w:val="18"/>
              </w:rPr>
            </w:pPr>
            <w:r>
              <w:rPr>
                <w:rFonts w:ascii="Times New Roman"/>
                <w:sz w:val="18"/>
                <w:u w:val="single"/>
              </w:rPr>
              <w:t> </w:t>
              <w:tab/>
            </w:r>
            <w:r>
              <w:rPr>
                <w:b/>
                <w:sz w:val="18"/>
                <w:u w:val="single"/>
              </w:rPr>
              <w:t>1</w:t>
              <w:tab/>
            </w:r>
            <w:r>
              <w:rPr>
                <w:sz w:val="18"/>
                <w:u w:val="single"/>
              </w:rPr>
              <w:t>1</w:t>
            </w:r>
          </w:p>
        </w:tc>
      </w:tr>
      <w:tr>
        <w:trPr>
          <w:trHeight w:val="299" w:hRule="exact"/>
        </w:trPr>
        <w:tc>
          <w:tcPr>
            <w:tcW w:w="5861" w:type="dxa"/>
          </w:tcPr>
          <w:p>
            <w:pPr>
              <w:pStyle w:val="TableParagraph"/>
              <w:spacing w:line="201" w:lineRule="exact"/>
              <w:ind w:left="62"/>
              <w:rPr>
                <w:b/>
                <w:sz w:val="18"/>
              </w:rPr>
            </w:pPr>
            <w:r>
              <w:rPr>
                <w:b/>
                <w:sz w:val="18"/>
              </w:rPr>
              <w:t>Cash and cash equivalents at end of year</w:t>
            </w:r>
          </w:p>
        </w:tc>
        <w:tc>
          <w:tcPr>
            <w:tcW w:w="1691" w:type="dxa"/>
          </w:tcPr>
          <w:p>
            <w:pPr>
              <w:pStyle w:val="TableParagraph"/>
              <w:spacing w:line="201" w:lineRule="exact"/>
              <w:ind w:left="1185"/>
              <w:rPr>
                <w:sz w:val="18"/>
              </w:rPr>
            </w:pPr>
            <w:r>
              <w:rPr>
                <w:w w:val="99"/>
                <w:sz w:val="18"/>
              </w:rPr>
              <w:t>6</w:t>
            </w:r>
          </w:p>
        </w:tc>
        <w:tc>
          <w:tcPr>
            <w:tcW w:w="2348" w:type="dxa"/>
          </w:tcPr>
          <w:p>
            <w:pPr>
              <w:pStyle w:val="TableParagraph"/>
              <w:tabs>
                <w:tab w:pos="999" w:val="left" w:leader="none"/>
                <w:tab w:pos="2177" w:val="left" w:leader="none"/>
              </w:tabs>
              <w:spacing w:line="201" w:lineRule="exact"/>
              <w:ind w:left="9"/>
              <w:jc w:val="center"/>
              <w:rPr>
                <w:sz w:val="18"/>
              </w:rPr>
            </w:pPr>
            <w:r>
              <w:rPr>
                <w:rFonts w:ascii="Times New Roman"/>
                <w:sz w:val="18"/>
                <w:u w:val="single"/>
              </w:rPr>
              <w:t> </w:t>
              <w:tab/>
            </w:r>
            <w:r>
              <w:rPr>
                <w:b/>
                <w:sz w:val="18"/>
                <w:u w:val="single"/>
              </w:rPr>
              <w:t>1</w:t>
              <w:tab/>
            </w:r>
            <w:r>
              <w:rPr>
                <w:sz w:val="18"/>
                <w:u w:val="single"/>
              </w:rPr>
              <w:t>1</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pStyle w:val="BodyText"/>
        <w:ind w:left="147" w:right="220"/>
      </w:pPr>
      <w:r>
        <w:rPr/>
        <w:t>The accompanying notes form part of these financial statements.</w:t>
      </w:r>
    </w:p>
    <w:p>
      <w:pPr>
        <w:spacing w:after="0"/>
        <w:sectPr>
          <w:pgSz w:w="11910" w:h="16840"/>
          <w:pgMar w:header="1038" w:footer="501" w:top="1540" w:bottom="700" w:left="860" w:right="920"/>
        </w:sectPr>
      </w:pPr>
    </w:p>
    <w:p>
      <w:pPr>
        <w:pStyle w:val="BodyText"/>
        <w:rPr>
          <w:sz w:val="20"/>
        </w:rPr>
      </w:pPr>
    </w:p>
    <w:p>
      <w:pPr>
        <w:pStyle w:val="BodyText"/>
        <w:rPr>
          <w:sz w:val="20"/>
        </w:rPr>
      </w:pPr>
    </w:p>
    <w:p>
      <w:pPr>
        <w:pStyle w:val="BodyText"/>
        <w:spacing w:before="4"/>
      </w:pPr>
    </w:p>
    <w:p>
      <w:pPr>
        <w:pStyle w:val="BodyText"/>
        <w:ind w:left="109" w:right="161"/>
      </w:pPr>
      <w:r>
        <w:rPr/>
        <w:t>Whitlam Institute within Western Sydney University Limited (the Company) is a not-for-profit controlled entity of the Western Sydney University. The Company is incorporated and domiciled in Australia.</w:t>
      </w:r>
    </w:p>
    <w:p>
      <w:pPr>
        <w:pStyle w:val="BodyText"/>
        <w:rPr>
          <w:sz w:val="25"/>
        </w:rPr>
      </w:pPr>
    </w:p>
    <w:p>
      <w:pPr>
        <w:pStyle w:val="BodyText"/>
        <w:ind w:left="109" w:right="161"/>
      </w:pPr>
      <w:r>
        <w:rPr/>
        <w:t>Material accounting policies adopted in the preparation of these financial statements are presented below and have been consistently applied to all the years reported, unless otherwise stated.</w:t>
      </w:r>
    </w:p>
    <w:p>
      <w:pPr>
        <w:pStyle w:val="BodyText"/>
        <w:rPr>
          <w:sz w:val="25"/>
        </w:rPr>
      </w:pPr>
    </w:p>
    <w:p>
      <w:pPr>
        <w:pStyle w:val="BodyText"/>
        <w:ind w:left="109" w:right="161"/>
      </w:pPr>
      <w:r>
        <w:rPr/>
        <w:t>The financial statements were authorised for issue by the Directors on  23 February 2018</w:t>
      </w:r>
    </w:p>
    <w:p>
      <w:pPr>
        <w:pStyle w:val="BodyText"/>
        <w:spacing w:before="11"/>
        <w:rPr>
          <w:sz w:val="24"/>
        </w:rPr>
      </w:pPr>
    </w:p>
    <w:p>
      <w:pPr>
        <w:pStyle w:val="Heading9"/>
        <w:tabs>
          <w:tab w:pos="503" w:val="left" w:leader="none"/>
        </w:tabs>
        <w:ind w:left="109" w:right="161"/>
      </w:pPr>
      <w:r>
        <w:rPr/>
        <w:t>1</w:t>
        <w:tab/>
        <w:t>Summary of Significant Accounting</w:t>
      </w:r>
      <w:r>
        <w:rPr>
          <w:spacing w:val="-3"/>
        </w:rPr>
        <w:t> </w:t>
      </w:r>
      <w:r>
        <w:rPr/>
        <w:t>Policies</w:t>
      </w:r>
    </w:p>
    <w:p>
      <w:pPr>
        <w:pStyle w:val="BodyText"/>
        <w:spacing w:before="11"/>
        <w:rPr>
          <w:b/>
          <w:sz w:val="24"/>
        </w:rPr>
      </w:pPr>
    </w:p>
    <w:p>
      <w:pPr>
        <w:pStyle w:val="ListParagraph"/>
        <w:numPr>
          <w:ilvl w:val="0"/>
          <w:numId w:val="80"/>
        </w:numPr>
        <w:tabs>
          <w:tab w:pos="1071" w:val="left" w:leader="none"/>
        </w:tabs>
        <w:spacing w:line="240" w:lineRule="auto" w:before="0" w:after="0"/>
        <w:ind w:left="1070" w:right="0" w:hanging="566"/>
        <w:jc w:val="left"/>
        <w:rPr>
          <w:b/>
          <w:sz w:val="18"/>
        </w:rPr>
      </w:pPr>
      <w:r>
        <w:rPr>
          <w:b/>
          <w:sz w:val="18"/>
        </w:rPr>
        <w:t>Basis of</w:t>
      </w:r>
      <w:r>
        <w:rPr>
          <w:b/>
          <w:spacing w:val="-1"/>
          <w:sz w:val="18"/>
        </w:rPr>
        <w:t> </w:t>
      </w:r>
      <w:r>
        <w:rPr>
          <w:b/>
          <w:sz w:val="18"/>
        </w:rPr>
        <w:t>Preparation</w:t>
      </w:r>
    </w:p>
    <w:p>
      <w:pPr>
        <w:spacing w:before="146"/>
        <w:ind w:left="1070" w:right="115" w:firstLine="0"/>
        <w:jc w:val="both"/>
        <w:rPr>
          <w:sz w:val="18"/>
        </w:rPr>
      </w:pPr>
      <w:r>
        <w:rPr>
          <w:sz w:val="18"/>
        </w:rPr>
        <w:t>These financial statements are general purpose financial statements that have been prepared in accordance with Australian Accounting Standards (including Australian Accounting Interpretations), the </w:t>
      </w:r>
      <w:r>
        <w:rPr>
          <w:i/>
          <w:sz w:val="18"/>
        </w:rPr>
        <w:t>Corporations Act </w:t>
      </w:r>
      <w:r>
        <w:rPr>
          <w:i/>
          <w:sz w:val="18"/>
        </w:rPr>
        <w:t>2001</w:t>
      </w:r>
      <w:r>
        <w:rPr>
          <w:sz w:val="18"/>
        </w:rPr>
        <w:t>, the requirements of the </w:t>
      </w:r>
      <w:r>
        <w:rPr>
          <w:i/>
          <w:sz w:val="18"/>
        </w:rPr>
        <w:t>Public Finance &amp; Audit Act 1983</w:t>
      </w:r>
      <w:r>
        <w:rPr>
          <w:sz w:val="18"/>
        </w:rPr>
        <w:t>, </w:t>
      </w:r>
      <w:r>
        <w:rPr>
          <w:i/>
          <w:sz w:val="18"/>
        </w:rPr>
        <w:t>Public Finance and Audit Regulation 2015 </w:t>
      </w:r>
      <w:r>
        <w:rPr>
          <w:sz w:val="18"/>
        </w:rPr>
        <w:t>and other authoritative pronouncements of the Australian Accounting Standards Board</w:t>
      </w:r>
      <w:r>
        <w:rPr>
          <w:spacing w:val="-1"/>
          <w:sz w:val="18"/>
        </w:rPr>
        <w:t> </w:t>
      </w:r>
      <w:r>
        <w:rPr>
          <w:sz w:val="18"/>
        </w:rPr>
        <w:t>(AASB).</w:t>
      </w:r>
    </w:p>
    <w:p>
      <w:pPr>
        <w:pStyle w:val="BodyText"/>
        <w:spacing w:before="146"/>
        <w:ind w:left="1070" w:right="113"/>
        <w:jc w:val="both"/>
      </w:pPr>
      <w:r>
        <w:rPr/>
        <w:t>These financial statements and notes of the Company comply with Australian Accounting Standards some of which contain requirements specific to not-for-profit entities that are inconsistent with International Financial Reporting Standards (IFRS) requirements.</w:t>
      </w:r>
    </w:p>
    <w:p>
      <w:pPr>
        <w:pStyle w:val="BodyText"/>
        <w:spacing w:before="146"/>
        <w:ind w:left="1070" w:right="113"/>
        <w:jc w:val="both"/>
      </w:pPr>
      <w:r>
        <w:rPr/>
        <w:t>The financial statements have been prepared on an accruals basis and are based on historical costs, modified, where applicable, by the measurement at fair value of selected non-current assets, financial assets and financial liabilities.</w:t>
      </w:r>
    </w:p>
    <w:p>
      <w:pPr>
        <w:pStyle w:val="BodyText"/>
        <w:spacing w:before="11"/>
        <w:rPr>
          <w:sz w:val="24"/>
        </w:rPr>
      </w:pPr>
    </w:p>
    <w:p>
      <w:pPr>
        <w:pStyle w:val="Heading9"/>
        <w:numPr>
          <w:ilvl w:val="0"/>
          <w:numId w:val="80"/>
        </w:numPr>
        <w:tabs>
          <w:tab w:pos="1071" w:val="left" w:leader="none"/>
        </w:tabs>
        <w:spacing w:line="240" w:lineRule="auto" w:before="0" w:after="0"/>
        <w:ind w:left="1070" w:right="0" w:hanging="566"/>
        <w:jc w:val="left"/>
      </w:pPr>
      <w:r>
        <w:rPr/>
        <w:t>Revenue</w:t>
      </w:r>
      <w:r>
        <w:rPr>
          <w:spacing w:val="-1"/>
        </w:rPr>
        <w:t> </w:t>
      </w:r>
      <w:r>
        <w:rPr/>
        <w:t>recognition</w:t>
      </w:r>
    </w:p>
    <w:p>
      <w:pPr>
        <w:pStyle w:val="BodyText"/>
        <w:spacing w:before="146"/>
        <w:ind w:left="1070" w:right="114"/>
        <w:jc w:val="both"/>
      </w:pPr>
      <w:r>
        <w:rPr/>
        <w:t>The Company recognises revenue when the amount of revenue can be reliably measured, it is probable that future economic benefits will flow to the entity and specific criteria have been met for each of the Company's activities. The Company bases its estimates on historical results, taking into consideration the type of customer, the type of transaction and the specifics of each arrangement.</w:t>
      </w:r>
    </w:p>
    <w:p>
      <w:pPr>
        <w:pStyle w:val="BodyText"/>
        <w:spacing w:before="11"/>
        <w:rPr>
          <w:sz w:val="24"/>
        </w:rPr>
      </w:pPr>
    </w:p>
    <w:p>
      <w:pPr>
        <w:pStyle w:val="Heading9"/>
        <w:numPr>
          <w:ilvl w:val="0"/>
          <w:numId w:val="80"/>
        </w:numPr>
        <w:tabs>
          <w:tab w:pos="1071" w:val="left" w:leader="none"/>
        </w:tabs>
        <w:spacing w:line="240" w:lineRule="auto" w:before="0" w:after="0"/>
        <w:ind w:left="1070" w:right="0" w:hanging="566"/>
        <w:jc w:val="left"/>
      </w:pPr>
      <w:r>
        <w:rPr/>
        <w:t>Cash and cash</w:t>
      </w:r>
      <w:r>
        <w:rPr>
          <w:spacing w:val="-1"/>
        </w:rPr>
        <w:t> </w:t>
      </w:r>
      <w:r>
        <w:rPr/>
        <w:t>equivalents</w:t>
      </w:r>
    </w:p>
    <w:p>
      <w:pPr>
        <w:pStyle w:val="BodyText"/>
        <w:spacing w:before="146"/>
        <w:ind w:left="1070" w:right="114"/>
        <w:jc w:val="both"/>
      </w:pPr>
      <w:r>
        <w:rPr/>
        <w:t>For the statement of cash flow presentation purposes cash and cash equivalents includes cash on hand, deposits held at call with financial institutions, other short term, highly liquid investments with original maturities of three months or less that are readily convertible to known amounts of cash and which are subject to an insignificant risk of changes in</w:t>
      </w:r>
      <w:r>
        <w:rPr>
          <w:spacing w:val="-1"/>
        </w:rPr>
        <w:t> </w:t>
      </w:r>
      <w:r>
        <w:rPr/>
        <w:t>value.</w:t>
      </w:r>
    </w:p>
    <w:p>
      <w:pPr>
        <w:pStyle w:val="BodyText"/>
        <w:spacing w:before="11"/>
        <w:rPr>
          <w:sz w:val="24"/>
        </w:rPr>
      </w:pPr>
    </w:p>
    <w:p>
      <w:pPr>
        <w:pStyle w:val="Heading9"/>
        <w:numPr>
          <w:ilvl w:val="0"/>
          <w:numId w:val="80"/>
        </w:numPr>
        <w:tabs>
          <w:tab w:pos="1071" w:val="left" w:leader="none"/>
        </w:tabs>
        <w:spacing w:line="240" w:lineRule="auto" w:before="0" w:after="0"/>
        <w:ind w:left="1070" w:right="0" w:hanging="566"/>
        <w:jc w:val="left"/>
      </w:pPr>
      <w:r>
        <w:rPr/>
        <w:t>Income tax</w:t>
      </w:r>
      <w:r>
        <w:rPr>
          <w:spacing w:val="-1"/>
        </w:rPr>
        <w:t> </w:t>
      </w:r>
      <w:r>
        <w:rPr/>
        <w:t>exemption</w:t>
      </w:r>
    </w:p>
    <w:p>
      <w:pPr>
        <w:pStyle w:val="BodyText"/>
        <w:rPr>
          <w:b/>
          <w:sz w:val="25"/>
        </w:rPr>
      </w:pPr>
    </w:p>
    <w:p>
      <w:pPr>
        <w:spacing w:before="0"/>
        <w:ind w:left="1070" w:right="161" w:firstLine="0"/>
        <w:jc w:val="left"/>
        <w:rPr>
          <w:sz w:val="18"/>
        </w:rPr>
      </w:pPr>
      <w:r>
        <w:rPr>
          <w:sz w:val="18"/>
        </w:rPr>
        <w:t>The Company is exempt from the payment of tax by virtue of section 50 B of the </w:t>
      </w:r>
      <w:r>
        <w:rPr>
          <w:i/>
          <w:sz w:val="18"/>
        </w:rPr>
        <w:t>Income Tax Assessment Act </w:t>
      </w:r>
      <w:r>
        <w:rPr>
          <w:i/>
          <w:sz w:val="18"/>
        </w:rPr>
        <w:t>1997</w:t>
      </w:r>
      <w:r>
        <w:rPr>
          <w:sz w:val="18"/>
        </w:rPr>
        <w:t>.</w:t>
      </w:r>
    </w:p>
    <w:p>
      <w:pPr>
        <w:pStyle w:val="BodyText"/>
        <w:spacing w:before="11"/>
        <w:rPr>
          <w:sz w:val="24"/>
        </w:rPr>
      </w:pPr>
    </w:p>
    <w:p>
      <w:pPr>
        <w:pStyle w:val="Heading9"/>
        <w:numPr>
          <w:ilvl w:val="0"/>
          <w:numId w:val="80"/>
        </w:numPr>
        <w:tabs>
          <w:tab w:pos="1071" w:val="left" w:leader="none"/>
        </w:tabs>
        <w:spacing w:line="240" w:lineRule="auto" w:before="0" w:after="0"/>
        <w:ind w:left="1070" w:right="0" w:hanging="566"/>
        <w:jc w:val="left"/>
      </w:pPr>
      <w:r>
        <w:rPr/>
        <w:t>Foreign currency transactions and</w:t>
      </w:r>
      <w:r>
        <w:rPr>
          <w:spacing w:val="-2"/>
        </w:rPr>
        <w:t> </w:t>
      </w:r>
      <w:r>
        <w:rPr/>
        <w:t>balances</w:t>
      </w:r>
    </w:p>
    <w:p>
      <w:pPr>
        <w:pStyle w:val="BodyText"/>
        <w:rPr>
          <w:b/>
          <w:sz w:val="25"/>
        </w:rPr>
      </w:pPr>
    </w:p>
    <w:p>
      <w:pPr>
        <w:pStyle w:val="BodyText"/>
        <w:ind w:left="1070" w:right="305"/>
      </w:pPr>
      <w:r>
        <w:rPr/>
        <w:t>The functional currency of the Company is measured using the currency of the primary economic environment which is Australian dollars. The financial statements are presented in Australian dollars which is the ultimate parent entity's functional and presentation currency.</w:t>
      </w:r>
    </w:p>
    <w:p>
      <w:pPr>
        <w:spacing w:after="0"/>
        <w:sectPr>
          <w:headerReference w:type="default" r:id="rId143"/>
          <w:pgSz w:w="11910" w:h="16840"/>
          <w:pgMar w:header="1038" w:footer="501" w:top="2500" w:bottom="700" w:left="900" w:right="860"/>
        </w:sectPr>
      </w:pPr>
    </w:p>
    <w:p>
      <w:pPr>
        <w:pStyle w:val="BodyText"/>
        <w:rPr>
          <w:sz w:val="20"/>
        </w:rPr>
      </w:pPr>
    </w:p>
    <w:p>
      <w:pPr>
        <w:pStyle w:val="BodyText"/>
        <w:rPr>
          <w:sz w:val="20"/>
        </w:rPr>
      </w:pPr>
    </w:p>
    <w:p>
      <w:pPr>
        <w:pStyle w:val="BodyText"/>
        <w:spacing w:before="4"/>
      </w:pPr>
    </w:p>
    <w:p>
      <w:pPr>
        <w:pStyle w:val="Heading9"/>
        <w:numPr>
          <w:ilvl w:val="0"/>
          <w:numId w:val="81"/>
        </w:numPr>
        <w:tabs>
          <w:tab w:pos="504" w:val="left" w:leader="none"/>
        </w:tabs>
        <w:spacing w:line="240" w:lineRule="auto" w:before="0" w:after="0"/>
        <w:ind w:left="503" w:right="0" w:hanging="394"/>
        <w:jc w:val="left"/>
      </w:pPr>
      <w:r>
        <w:rPr/>
        <w:t>Summary of Significant Accounting Policies</w:t>
      </w:r>
      <w:r>
        <w:rPr>
          <w:spacing w:val="-5"/>
        </w:rPr>
        <w:t> </w:t>
      </w:r>
      <w:r>
        <w:rPr/>
        <w:t>(continued)</w:t>
      </w:r>
    </w:p>
    <w:p>
      <w:pPr>
        <w:pStyle w:val="BodyText"/>
        <w:spacing w:before="11"/>
        <w:rPr>
          <w:b/>
          <w:sz w:val="24"/>
        </w:rPr>
      </w:pPr>
    </w:p>
    <w:p>
      <w:pPr>
        <w:pStyle w:val="ListParagraph"/>
        <w:numPr>
          <w:ilvl w:val="0"/>
          <w:numId w:val="80"/>
        </w:numPr>
        <w:tabs>
          <w:tab w:pos="1071" w:val="left" w:leader="none"/>
        </w:tabs>
        <w:spacing w:line="240" w:lineRule="auto" w:before="0" w:after="0"/>
        <w:ind w:left="1070" w:right="0" w:hanging="566"/>
        <w:jc w:val="left"/>
        <w:rPr>
          <w:b/>
          <w:sz w:val="18"/>
        </w:rPr>
      </w:pPr>
      <w:r>
        <w:rPr>
          <w:b/>
          <w:sz w:val="18"/>
        </w:rPr>
        <w:t>Goods and Services Tax</w:t>
      </w:r>
      <w:r>
        <w:rPr>
          <w:b/>
          <w:spacing w:val="-2"/>
          <w:sz w:val="18"/>
        </w:rPr>
        <w:t> </w:t>
      </w:r>
      <w:r>
        <w:rPr>
          <w:b/>
          <w:sz w:val="18"/>
        </w:rPr>
        <w:t>(GST)</w:t>
      </w:r>
    </w:p>
    <w:p>
      <w:pPr>
        <w:pStyle w:val="BodyText"/>
        <w:spacing w:before="146"/>
        <w:ind w:left="1070" w:right="114"/>
        <w:jc w:val="both"/>
      </w:pPr>
      <w:r>
        <w:rPr/>
        <w:t>Revenues, expenses and assets are recognised net of the amount of associated GST, unless the GST incurred is not recoverable from the Australian Taxation Office. In this case, it is recognised as part of the cost of acquisition of the asset or as part of the expense.</w:t>
      </w:r>
    </w:p>
    <w:p>
      <w:pPr>
        <w:pStyle w:val="BodyText"/>
        <w:spacing w:before="146"/>
        <w:ind w:left="1070" w:right="114" w:hanging="1"/>
        <w:jc w:val="both"/>
      </w:pPr>
      <w:r>
        <w:rPr/>
        <w:t>Receivables and payables are stated inclusive of the amount of GST receivable or payable. The net amount of GST recoverable from, or payable to, the Australian Taxation Office is included with other receivables or payables in the statement of financial position.</w:t>
      </w:r>
    </w:p>
    <w:p>
      <w:pPr>
        <w:pStyle w:val="BodyText"/>
        <w:spacing w:before="146"/>
        <w:ind w:left="1070" w:right="115"/>
        <w:jc w:val="both"/>
      </w:pPr>
      <w:r>
        <w:rPr/>
        <w:t>Cash flows are presented on a gross basis. The GST components of cash flows arising from investing or financing activities which are recoverable from, or payable to the Australian Taxation Office, are presented as operating cash flows.</w:t>
      </w:r>
    </w:p>
    <w:p>
      <w:pPr>
        <w:pStyle w:val="BodyText"/>
        <w:spacing w:before="11"/>
        <w:rPr>
          <w:sz w:val="24"/>
        </w:rPr>
      </w:pPr>
    </w:p>
    <w:p>
      <w:pPr>
        <w:pStyle w:val="Heading9"/>
        <w:numPr>
          <w:ilvl w:val="0"/>
          <w:numId w:val="80"/>
        </w:numPr>
        <w:tabs>
          <w:tab w:pos="1071" w:val="left" w:leader="none"/>
        </w:tabs>
        <w:spacing w:line="240" w:lineRule="auto" w:before="0" w:after="0"/>
        <w:ind w:left="1070" w:right="0" w:hanging="566"/>
        <w:jc w:val="left"/>
      </w:pPr>
      <w:r>
        <w:rPr/>
        <w:t>Comparative</w:t>
      </w:r>
      <w:r>
        <w:rPr>
          <w:spacing w:val="-1"/>
        </w:rPr>
        <w:t> </w:t>
      </w:r>
      <w:r>
        <w:rPr/>
        <w:t>amounts</w:t>
      </w:r>
    </w:p>
    <w:p>
      <w:pPr>
        <w:pStyle w:val="BodyText"/>
        <w:spacing w:before="146"/>
        <w:ind w:left="1070" w:right="113"/>
        <w:jc w:val="both"/>
      </w:pPr>
      <w:r>
        <w:rPr/>
        <w:t>Comparative figures have been reclassified and repositioned in the financial statements, where necessary, to conform with the basis of preparation and classification used in the current year.</w:t>
      </w:r>
    </w:p>
    <w:p>
      <w:pPr>
        <w:pStyle w:val="BodyText"/>
        <w:spacing w:before="11"/>
        <w:rPr>
          <w:sz w:val="24"/>
        </w:rPr>
      </w:pPr>
    </w:p>
    <w:p>
      <w:pPr>
        <w:pStyle w:val="Heading9"/>
        <w:numPr>
          <w:ilvl w:val="0"/>
          <w:numId w:val="80"/>
        </w:numPr>
        <w:tabs>
          <w:tab w:pos="1071" w:val="left" w:leader="none"/>
        </w:tabs>
        <w:spacing w:line="240" w:lineRule="auto" w:before="0" w:after="0"/>
        <w:ind w:left="1070" w:right="0" w:hanging="566"/>
        <w:jc w:val="left"/>
      </w:pPr>
      <w:r>
        <w:rPr/>
        <w:t>New accounting standards and</w:t>
      </w:r>
      <w:r>
        <w:rPr>
          <w:spacing w:val="-1"/>
        </w:rPr>
        <w:t> </w:t>
      </w:r>
      <w:r>
        <w:rPr/>
        <w:t>interpretations</w:t>
      </w:r>
    </w:p>
    <w:p>
      <w:pPr>
        <w:pStyle w:val="BodyText"/>
        <w:spacing w:before="146"/>
        <w:ind w:left="1070" w:right="113"/>
        <w:jc w:val="both"/>
      </w:pPr>
      <w:r>
        <w:rPr/>
        <w:t>Certain new accounting standards and interpretations have been published that are not mandatory for 31 December 2017 reporting periods and have not yet been applied in the financial statements. The Company's assessment of the impact of these new standards and interpretations is that they will not materially affect any of the amounts recognised in the financial statements or significantly impact the disclosures in relation to the Company.</w:t>
      </w:r>
    </w:p>
    <w:p>
      <w:pPr>
        <w:pStyle w:val="BodyText"/>
        <w:spacing w:before="11"/>
        <w:rPr>
          <w:sz w:val="24"/>
        </w:rPr>
      </w:pPr>
    </w:p>
    <w:p>
      <w:pPr>
        <w:pStyle w:val="Heading9"/>
        <w:numPr>
          <w:ilvl w:val="0"/>
          <w:numId w:val="80"/>
        </w:numPr>
        <w:tabs>
          <w:tab w:pos="1071" w:val="left" w:leader="none"/>
        </w:tabs>
        <w:spacing w:line="240" w:lineRule="auto" w:before="0" w:after="0"/>
        <w:ind w:left="1070" w:right="0" w:hanging="566"/>
        <w:jc w:val="left"/>
      </w:pPr>
      <w:r>
        <w:rPr/>
        <w:t>Critical accounting estimates and</w:t>
      </w:r>
      <w:r>
        <w:rPr>
          <w:spacing w:val="-4"/>
        </w:rPr>
        <w:t> </w:t>
      </w:r>
      <w:r>
        <w:rPr/>
        <w:t>judgments</w:t>
      </w:r>
    </w:p>
    <w:p>
      <w:pPr>
        <w:pStyle w:val="BodyText"/>
        <w:spacing w:before="146"/>
        <w:ind w:left="1070" w:right="114"/>
        <w:jc w:val="both"/>
      </w:pPr>
      <w:r>
        <w:rPr/>
        <w:t>The preparation of financial statements requires the use of certain critical accounting estimates. It also requires Management to exercise its judgement in the process of applying the Company's accounting policies. Estimates and judgements are continually evaluated and are based on historic experience and other factors, including expectations of future events that may have a financial impact on the Company and that are believed to be reasonable under the circumstances.</w:t>
      </w:r>
    </w:p>
    <w:p>
      <w:pPr>
        <w:pStyle w:val="BodyText"/>
        <w:spacing w:before="146"/>
        <w:ind w:left="1070" w:right="111"/>
        <w:jc w:val="both"/>
      </w:pPr>
      <w:r>
        <w:rPr/>
        <w:t>There</w:t>
      </w:r>
      <w:r>
        <w:rPr>
          <w:spacing w:val="-4"/>
        </w:rPr>
        <w:t> </w:t>
      </w:r>
      <w:r>
        <w:rPr/>
        <w:t>are</w:t>
      </w:r>
      <w:r>
        <w:rPr>
          <w:spacing w:val="-4"/>
        </w:rPr>
        <w:t> </w:t>
      </w:r>
      <w:r>
        <w:rPr/>
        <w:t>no</w:t>
      </w:r>
      <w:r>
        <w:rPr>
          <w:spacing w:val="-5"/>
        </w:rPr>
        <w:t> </w:t>
      </w:r>
      <w:r>
        <w:rPr/>
        <w:t>areas</w:t>
      </w:r>
      <w:r>
        <w:rPr>
          <w:spacing w:val="-5"/>
        </w:rPr>
        <w:t> </w:t>
      </w:r>
      <w:r>
        <w:rPr/>
        <w:t>which</w:t>
      </w:r>
      <w:r>
        <w:rPr>
          <w:spacing w:val="-5"/>
        </w:rPr>
        <w:t> </w:t>
      </w:r>
      <w:r>
        <w:rPr/>
        <w:t>involve</w:t>
      </w:r>
      <w:r>
        <w:rPr>
          <w:spacing w:val="-5"/>
        </w:rPr>
        <w:t> </w:t>
      </w:r>
      <w:r>
        <w:rPr/>
        <w:t>a</w:t>
      </w:r>
      <w:r>
        <w:rPr>
          <w:spacing w:val="-5"/>
        </w:rPr>
        <w:t> </w:t>
      </w:r>
      <w:r>
        <w:rPr/>
        <w:t>high</w:t>
      </w:r>
      <w:r>
        <w:rPr>
          <w:spacing w:val="-5"/>
        </w:rPr>
        <w:t> </w:t>
      </w:r>
      <w:r>
        <w:rPr/>
        <w:t>degree</w:t>
      </w:r>
      <w:r>
        <w:rPr>
          <w:spacing w:val="-5"/>
        </w:rPr>
        <w:t> </w:t>
      </w:r>
      <w:r>
        <w:rPr/>
        <w:t>of</w:t>
      </w:r>
      <w:r>
        <w:rPr>
          <w:spacing w:val="-5"/>
        </w:rPr>
        <w:t> </w:t>
      </w:r>
      <w:r>
        <w:rPr/>
        <w:t>judgement</w:t>
      </w:r>
      <w:r>
        <w:rPr>
          <w:spacing w:val="-5"/>
        </w:rPr>
        <w:t> </w:t>
      </w:r>
      <w:r>
        <w:rPr/>
        <w:t>or</w:t>
      </w:r>
      <w:r>
        <w:rPr>
          <w:spacing w:val="-5"/>
        </w:rPr>
        <w:t> </w:t>
      </w:r>
      <w:r>
        <w:rPr/>
        <w:t>complexity</w:t>
      </w:r>
      <w:r>
        <w:rPr>
          <w:spacing w:val="-7"/>
        </w:rPr>
        <w:t> </w:t>
      </w:r>
      <w:r>
        <w:rPr/>
        <w:t>or</w:t>
      </w:r>
      <w:r>
        <w:rPr>
          <w:spacing w:val="-5"/>
        </w:rPr>
        <w:t> </w:t>
      </w:r>
      <w:r>
        <w:rPr/>
        <w:t>where</w:t>
      </w:r>
      <w:r>
        <w:rPr>
          <w:spacing w:val="-5"/>
        </w:rPr>
        <w:t> </w:t>
      </w:r>
      <w:r>
        <w:rPr/>
        <w:t>assumptions</w:t>
      </w:r>
      <w:r>
        <w:rPr>
          <w:spacing w:val="-5"/>
        </w:rPr>
        <w:t> </w:t>
      </w:r>
      <w:r>
        <w:rPr/>
        <w:t>and</w:t>
      </w:r>
      <w:r>
        <w:rPr>
          <w:spacing w:val="-5"/>
        </w:rPr>
        <w:t> </w:t>
      </w:r>
      <w:r>
        <w:rPr/>
        <w:t>estimates are significant to the financial statements of the</w:t>
      </w:r>
      <w:r>
        <w:rPr>
          <w:spacing w:val="-1"/>
        </w:rPr>
        <w:t> </w:t>
      </w:r>
      <w:r>
        <w:rPr/>
        <w:t>Company.</w:t>
      </w:r>
    </w:p>
    <w:p>
      <w:pPr>
        <w:pStyle w:val="BodyText"/>
        <w:spacing w:before="11"/>
        <w:rPr>
          <w:sz w:val="24"/>
        </w:rPr>
      </w:pPr>
    </w:p>
    <w:p>
      <w:pPr>
        <w:pStyle w:val="Heading9"/>
        <w:numPr>
          <w:ilvl w:val="0"/>
          <w:numId w:val="80"/>
        </w:numPr>
        <w:tabs>
          <w:tab w:pos="1071" w:val="left" w:leader="none"/>
        </w:tabs>
        <w:spacing w:line="240" w:lineRule="auto" w:before="0" w:after="0"/>
        <w:ind w:left="1070" w:right="0" w:hanging="566"/>
        <w:jc w:val="left"/>
      </w:pPr>
      <w:r>
        <w:rPr/>
        <w:t>Adoption of new and revised accounting</w:t>
      </w:r>
      <w:r>
        <w:rPr>
          <w:spacing w:val="-1"/>
        </w:rPr>
        <w:t> </w:t>
      </w:r>
      <w:r>
        <w:rPr/>
        <w:t>standards</w:t>
      </w:r>
    </w:p>
    <w:p>
      <w:pPr>
        <w:pStyle w:val="BodyText"/>
        <w:rPr>
          <w:b/>
          <w:sz w:val="25"/>
        </w:rPr>
      </w:pPr>
    </w:p>
    <w:p>
      <w:pPr>
        <w:pStyle w:val="BodyText"/>
        <w:ind w:left="1070" w:right="106" w:hanging="1"/>
      </w:pPr>
      <w:r>
        <w:rPr/>
        <w:t>The Company has adopted all standards which became effective for the first time for the financial year beginning 1 January 2017. The adoption of these standards has not caused any material adjustments to the reported financial position, performance or cash flow of the Company:</w:t>
      </w:r>
    </w:p>
    <w:p>
      <w:pPr>
        <w:spacing w:after="0"/>
        <w:sectPr>
          <w:pgSz w:w="11910" w:h="16840"/>
          <w:pgMar w:header="1038" w:footer="501" w:top="2500" w:bottom="700" w:left="900" w:right="860"/>
        </w:sectPr>
      </w:pPr>
    </w:p>
    <w:p>
      <w:pPr>
        <w:pStyle w:val="BodyText"/>
        <w:rPr>
          <w:sz w:val="20"/>
        </w:rPr>
      </w:pPr>
    </w:p>
    <w:p>
      <w:pPr>
        <w:pStyle w:val="BodyText"/>
        <w:rPr>
          <w:sz w:val="20"/>
        </w:rPr>
      </w:pPr>
    </w:p>
    <w:p>
      <w:pPr>
        <w:pStyle w:val="BodyText"/>
        <w:spacing w:before="4"/>
      </w:pPr>
    </w:p>
    <w:p>
      <w:pPr>
        <w:pStyle w:val="Heading9"/>
        <w:numPr>
          <w:ilvl w:val="0"/>
          <w:numId w:val="81"/>
        </w:numPr>
        <w:tabs>
          <w:tab w:pos="506" w:val="left" w:leader="none"/>
        </w:tabs>
        <w:spacing w:line="240" w:lineRule="auto" w:before="0" w:after="0"/>
        <w:ind w:left="505" w:right="0" w:hanging="396"/>
        <w:jc w:val="left"/>
      </w:pPr>
      <w:r>
        <w:rPr/>
        <w:t>Financial Risk</w:t>
      </w:r>
      <w:r>
        <w:rPr>
          <w:spacing w:val="-7"/>
        </w:rPr>
        <w:t> </w:t>
      </w:r>
      <w:r>
        <w:rPr/>
        <w:t>Management</w:t>
      </w:r>
    </w:p>
    <w:p>
      <w:pPr>
        <w:pStyle w:val="BodyText"/>
        <w:spacing w:before="146"/>
        <w:ind w:left="505" w:right="111"/>
        <w:jc w:val="both"/>
      </w:pPr>
      <w:r>
        <w:rPr/>
        <w:t>The main risks the Company is exposed to through its financial instruments are credit risk, liquidity risk and market risk (interest rate risk). The Company's overall risk management program focuses on the unpredictability of financial markets and seeks to minimise potential adverse effects on the financial performance of the Company. The Company uses different methods to measure different types of risk to which it is exposed. These methods include sensitivity analysis in the case of interest rate and ageing analysis for credit</w:t>
      </w:r>
      <w:r>
        <w:rPr>
          <w:spacing w:val="-1"/>
        </w:rPr>
        <w:t> </w:t>
      </w:r>
      <w:r>
        <w:rPr/>
        <w:t>risk.</w:t>
      </w:r>
    </w:p>
    <w:p>
      <w:pPr>
        <w:pStyle w:val="BodyText"/>
        <w:spacing w:before="146"/>
        <w:ind w:left="505"/>
        <w:jc w:val="both"/>
      </w:pPr>
      <w:r>
        <w:rPr/>
        <w:t>The Company holds the following financial instruments:</w:t>
      </w:r>
    </w:p>
    <w:p>
      <w:pPr>
        <w:pStyle w:val="BodyText"/>
        <w:spacing w:before="10"/>
        <w:rPr>
          <w:sz w:val="23"/>
        </w:rPr>
      </w:pPr>
    </w:p>
    <w:p>
      <w:pPr>
        <w:spacing w:after="0"/>
        <w:rPr>
          <w:sz w:val="23"/>
        </w:rPr>
        <w:sectPr>
          <w:pgSz w:w="11910" w:h="16840"/>
          <w:pgMar w:header="1038" w:footer="501" w:top="2500" w:bottom="700" w:left="900" w:right="860"/>
        </w:sectPr>
      </w:pPr>
    </w:p>
    <w:p>
      <w:pPr>
        <w:pStyle w:val="BodyText"/>
      </w:pPr>
    </w:p>
    <w:p>
      <w:pPr>
        <w:pStyle w:val="BodyText"/>
        <w:spacing w:before="7"/>
        <w:rPr>
          <w:sz w:val="24"/>
        </w:rPr>
      </w:pPr>
    </w:p>
    <w:p>
      <w:pPr>
        <w:pStyle w:val="Heading9"/>
        <w:ind w:left="505" w:right="-20"/>
      </w:pPr>
      <w:r>
        <w:rPr/>
        <w:t>Financial Assets</w:t>
      </w:r>
    </w:p>
    <w:p>
      <w:pPr>
        <w:spacing w:line="207" w:lineRule="exact" w:before="77"/>
        <w:ind w:left="505" w:right="0" w:firstLine="0"/>
        <w:jc w:val="center"/>
        <w:rPr>
          <w:b/>
          <w:sz w:val="18"/>
        </w:rPr>
      </w:pPr>
      <w:r>
        <w:rPr/>
        <w:br w:type="column"/>
      </w:r>
      <w:r>
        <w:rPr>
          <w:b/>
          <w:sz w:val="18"/>
        </w:rPr>
        <w:t>2017</w:t>
      </w:r>
    </w:p>
    <w:p>
      <w:pPr>
        <w:spacing w:line="207" w:lineRule="exact" w:before="0"/>
        <w:ind w:left="0" w:right="148" w:firstLine="0"/>
        <w:jc w:val="right"/>
        <w:rPr>
          <w:b/>
          <w:sz w:val="18"/>
        </w:rPr>
      </w:pPr>
      <w:r>
        <w:rPr>
          <w:b/>
          <w:w w:val="99"/>
          <w:sz w:val="18"/>
        </w:rPr>
        <w:t>$</w:t>
      </w:r>
    </w:p>
    <w:p>
      <w:pPr>
        <w:spacing w:line="207" w:lineRule="exact" w:before="77"/>
        <w:ind w:left="489" w:right="562" w:firstLine="0"/>
        <w:jc w:val="center"/>
        <w:rPr>
          <w:b/>
          <w:sz w:val="18"/>
        </w:rPr>
      </w:pPr>
      <w:r>
        <w:rPr/>
        <w:br w:type="column"/>
      </w:r>
      <w:r>
        <w:rPr>
          <w:b/>
          <w:sz w:val="18"/>
        </w:rPr>
        <w:t>2016</w:t>
      </w:r>
    </w:p>
    <w:p>
      <w:pPr>
        <w:spacing w:line="207" w:lineRule="exact" w:before="0"/>
        <w:ind w:left="0" w:right="74" w:firstLine="0"/>
        <w:jc w:val="center"/>
        <w:rPr>
          <w:b/>
          <w:sz w:val="18"/>
        </w:rPr>
      </w:pPr>
      <w:r>
        <w:rPr>
          <w:b/>
          <w:w w:val="99"/>
          <w:sz w:val="18"/>
        </w:rPr>
        <w:t>$</w:t>
      </w:r>
    </w:p>
    <w:p>
      <w:pPr>
        <w:spacing w:after="0" w:line="207" w:lineRule="exact"/>
        <w:jc w:val="center"/>
        <w:rPr>
          <w:sz w:val="18"/>
        </w:rPr>
        <w:sectPr>
          <w:type w:val="continuous"/>
          <w:pgSz w:w="11910" w:h="16840"/>
          <w:pgMar w:top="1580" w:bottom="280" w:left="900" w:right="860"/>
          <w:cols w:num="3" w:equalWidth="0">
            <w:col w:w="1926" w:space="5448"/>
            <w:col w:w="906" w:space="378"/>
            <w:col w:w="1492"/>
          </w:cols>
        </w:sectPr>
      </w:pPr>
    </w:p>
    <w:p>
      <w:pPr>
        <w:pStyle w:val="BodyText"/>
        <w:tabs>
          <w:tab w:pos="6925" w:val="left" w:leader="none"/>
          <w:tab w:pos="8033" w:val="left" w:leader="none"/>
          <w:tab w:pos="9332" w:val="left" w:leader="none"/>
        </w:tabs>
        <w:spacing w:line="206" w:lineRule="exact"/>
        <w:ind w:right="204"/>
        <w:jc w:val="right"/>
      </w:pPr>
      <w:r>
        <w:rPr/>
        <w:t>Cash and</w:t>
      </w:r>
      <w:r>
        <w:rPr>
          <w:spacing w:val="-1"/>
        </w:rPr>
        <w:t> </w:t>
      </w:r>
      <w:r>
        <w:rPr/>
        <w:t>cash</w:t>
      </w:r>
      <w:r>
        <w:rPr>
          <w:spacing w:val="-1"/>
        </w:rPr>
        <w:t> </w:t>
      </w:r>
      <w:r>
        <w:rPr/>
        <w:t>equivalents</w:t>
        <w:tab/>
      </w:r>
      <w:r>
        <w:rPr>
          <w:rFonts w:ascii="Times New Roman"/>
          <w:u w:val="single"/>
        </w:rPr>
        <w:t> </w:t>
        <w:tab/>
      </w:r>
      <w:r>
        <w:rPr>
          <w:b/>
          <w:u w:val="single"/>
        </w:rPr>
        <w:t>1</w:t>
        <w:tab/>
      </w:r>
      <w:r>
        <w:rPr>
          <w:spacing w:val="-1"/>
          <w:u w:val="single"/>
        </w:rPr>
        <w:t>1</w:t>
      </w:r>
    </w:p>
    <w:p>
      <w:pPr>
        <w:tabs>
          <w:tab w:pos="1108" w:val="left" w:leader="none"/>
          <w:tab w:pos="2407" w:val="left" w:leader="none"/>
        </w:tabs>
        <w:spacing w:before="8"/>
        <w:ind w:left="0" w:right="204" w:firstLine="0"/>
        <w:jc w:val="right"/>
        <w:rPr>
          <w:sz w:val="18"/>
        </w:rPr>
      </w:pPr>
      <w:r>
        <w:rPr>
          <w:rFonts w:ascii="Times New Roman"/>
          <w:sz w:val="18"/>
          <w:u w:val="single"/>
        </w:rPr>
        <w:t> </w:t>
        <w:tab/>
      </w:r>
      <w:r>
        <w:rPr>
          <w:b/>
          <w:sz w:val="18"/>
          <w:u w:val="single"/>
        </w:rPr>
        <w:t>1</w:t>
        <w:tab/>
      </w:r>
      <w:r>
        <w:rPr>
          <w:spacing w:val="-1"/>
          <w:sz w:val="18"/>
          <w:u w:val="single"/>
        </w:rPr>
        <w:t>1</w:t>
      </w:r>
    </w:p>
    <w:p>
      <w:pPr>
        <w:pStyle w:val="BodyText"/>
        <w:spacing w:before="3"/>
        <w:rPr>
          <w:sz w:val="9"/>
        </w:rPr>
      </w:pPr>
    </w:p>
    <w:p>
      <w:pPr>
        <w:pStyle w:val="Heading9"/>
        <w:numPr>
          <w:ilvl w:val="1"/>
          <w:numId w:val="81"/>
        </w:numPr>
        <w:tabs>
          <w:tab w:pos="1072" w:val="left" w:leader="none"/>
        </w:tabs>
        <w:spacing w:line="240" w:lineRule="auto" w:before="77" w:after="0"/>
        <w:ind w:left="1071" w:right="0" w:hanging="566"/>
        <w:jc w:val="left"/>
      </w:pPr>
      <w:r>
        <w:rPr/>
        <w:t>Credit</w:t>
      </w:r>
      <w:r>
        <w:rPr>
          <w:spacing w:val="-1"/>
        </w:rPr>
        <w:t> </w:t>
      </w:r>
      <w:r>
        <w:rPr/>
        <w:t>risk</w:t>
      </w:r>
    </w:p>
    <w:p>
      <w:pPr>
        <w:pStyle w:val="BodyText"/>
        <w:spacing w:before="150"/>
        <w:ind w:left="1072" w:right="112"/>
        <w:jc w:val="both"/>
      </w:pPr>
      <w:r>
        <w:rPr/>
        <w:t>The credit risk on financial assets of the Company (which have been recognised in the statement of financial position) is generally the carrying amount, net of provision for loss. Credit risk arises when there is the possibility of the Company's debtors defaulting on their contractual obligations, resulting in financial loss to the Company. The Company does not have any significant exposure to any unrelated debtor.</w:t>
      </w:r>
    </w:p>
    <w:p>
      <w:pPr>
        <w:pStyle w:val="BodyText"/>
        <w:spacing w:before="4"/>
        <w:rPr>
          <w:sz w:val="14"/>
        </w:rPr>
      </w:pPr>
    </w:p>
    <w:p>
      <w:pPr>
        <w:pStyle w:val="Heading9"/>
        <w:numPr>
          <w:ilvl w:val="1"/>
          <w:numId w:val="81"/>
        </w:numPr>
        <w:tabs>
          <w:tab w:pos="1072" w:val="left" w:leader="none"/>
        </w:tabs>
        <w:spacing w:line="240" w:lineRule="auto" w:before="0" w:after="0"/>
        <w:ind w:left="1071" w:right="0" w:hanging="566"/>
        <w:jc w:val="left"/>
      </w:pPr>
      <w:r>
        <w:rPr/>
        <w:t>Liquidity risk</w:t>
      </w:r>
    </w:p>
    <w:p>
      <w:pPr>
        <w:pStyle w:val="BodyText"/>
        <w:spacing w:before="150"/>
        <w:ind w:left="1072" w:right="114"/>
        <w:jc w:val="both"/>
      </w:pPr>
      <w:r>
        <w:rPr/>
        <w:t>Prudent liquidity risk management implies maintaining sufficient cash and the availability of funding through an adequate amount of committed credit facilities to meet obligations when due. As financial obligations of the Whitlam Institute are managed through the Trust, the Company is not exposed to liquidity risk</w:t>
      </w:r>
    </w:p>
    <w:p>
      <w:pPr>
        <w:pStyle w:val="BodyText"/>
        <w:spacing w:before="7"/>
        <w:rPr>
          <w:sz w:val="26"/>
        </w:rPr>
      </w:pPr>
    </w:p>
    <w:p>
      <w:pPr>
        <w:pStyle w:val="Heading9"/>
        <w:numPr>
          <w:ilvl w:val="1"/>
          <w:numId w:val="81"/>
        </w:numPr>
        <w:tabs>
          <w:tab w:pos="1072" w:val="left" w:leader="none"/>
        </w:tabs>
        <w:spacing w:line="240" w:lineRule="auto" w:before="0" w:after="0"/>
        <w:ind w:left="1071" w:right="0" w:hanging="566"/>
        <w:jc w:val="left"/>
      </w:pPr>
      <w:r>
        <w:rPr/>
        <w:t>Market</w:t>
      </w:r>
      <w:r>
        <w:rPr>
          <w:spacing w:val="-1"/>
        </w:rPr>
        <w:t> </w:t>
      </w:r>
      <w:r>
        <w:rPr/>
        <w:t>risk</w:t>
      </w:r>
    </w:p>
    <w:p>
      <w:pPr>
        <w:pStyle w:val="BodyText"/>
        <w:spacing w:before="150"/>
        <w:ind w:left="1072" w:right="115"/>
        <w:jc w:val="both"/>
      </w:pPr>
      <w:r>
        <w:rPr/>
        <w:t>Market risk is the risk that the fair value or future cash flows of a financial instrument will fluctuate because of changes in market prices.</w:t>
      </w:r>
    </w:p>
    <w:p>
      <w:pPr>
        <w:pStyle w:val="ListParagraph"/>
        <w:numPr>
          <w:ilvl w:val="2"/>
          <w:numId w:val="81"/>
        </w:numPr>
        <w:tabs>
          <w:tab w:pos="1213" w:val="left" w:leader="none"/>
        </w:tabs>
        <w:spacing w:line="207" w:lineRule="exact" w:before="146" w:after="0"/>
        <w:ind w:left="1212" w:right="0" w:hanging="140"/>
        <w:jc w:val="both"/>
        <w:rPr>
          <w:i/>
          <w:sz w:val="18"/>
        </w:rPr>
      </w:pPr>
      <w:r>
        <w:rPr>
          <w:i/>
          <w:sz w:val="18"/>
        </w:rPr>
        <w:t>Cash flow and fair value interest</w:t>
      </w:r>
      <w:r>
        <w:rPr>
          <w:i/>
          <w:spacing w:val="-15"/>
          <w:sz w:val="18"/>
        </w:rPr>
        <w:t> </w:t>
      </w:r>
      <w:r>
        <w:rPr>
          <w:i/>
          <w:sz w:val="18"/>
        </w:rPr>
        <w:t>rate</w:t>
      </w:r>
    </w:p>
    <w:p>
      <w:pPr>
        <w:pStyle w:val="BodyText"/>
        <w:ind w:left="1072" w:right="113"/>
        <w:jc w:val="both"/>
      </w:pPr>
      <w:r>
        <w:rPr/>
        <w:t>The Company's exposure to interest rate risk is minimal, as it does not have exposure to interest bearing financial instruments.</w:t>
      </w:r>
    </w:p>
    <w:p>
      <w:pPr>
        <w:pStyle w:val="BodyText"/>
      </w:pPr>
    </w:p>
    <w:p>
      <w:pPr>
        <w:pStyle w:val="BodyText"/>
        <w:spacing w:before="7"/>
        <w:rPr>
          <w:sz w:val="26"/>
        </w:rPr>
      </w:pPr>
    </w:p>
    <w:p>
      <w:pPr>
        <w:pStyle w:val="Heading9"/>
        <w:numPr>
          <w:ilvl w:val="0"/>
          <w:numId w:val="81"/>
        </w:numPr>
        <w:tabs>
          <w:tab w:pos="505" w:val="left" w:leader="none"/>
        </w:tabs>
        <w:spacing w:line="240" w:lineRule="auto" w:before="0" w:after="0"/>
        <w:ind w:left="504" w:right="0" w:hanging="395"/>
        <w:jc w:val="left"/>
      </w:pPr>
      <w:r>
        <w:rPr/>
        <w:t>Expenses</w:t>
      </w:r>
    </w:p>
    <w:p>
      <w:pPr>
        <w:pStyle w:val="BodyText"/>
        <w:spacing w:before="150"/>
        <w:ind w:left="505" w:right="161"/>
      </w:pPr>
      <w:r>
        <w:rPr/>
        <w:t>No expenses were paid by the ultimate parent entity on behalf of the Company during 2017 (2016: NIL).</w:t>
      </w:r>
    </w:p>
    <w:p>
      <w:pPr>
        <w:pStyle w:val="BodyText"/>
        <w:rPr>
          <w:sz w:val="25"/>
        </w:rPr>
      </w:pPr>
    </w:p>
    <w:p>
      <w:pPr>
        <w:pStyle w:val="Heading9"/>
        <w:numPr>
          <w:ilvl w:val="0"/>
          <w:numId w:val="81"/>
        </w:numPr>
        <w:tabs>
          <w:tab w:pos="506" w:val="left" w:leader="none"/>
        </w:tabs>
        <w:spacing w:line="240" w:lineRule="auto" w:before="0" w:after="0"/>
        <w:ind w:left="505" w:right="0" w:hanging="396"/>
        <w:jc w:val="left"/>
      </w:pPr>
      <w:r>
        <w:rPr/>
        <w:t>Remuneration of Auditors</w:t>
      </w:r>
    </w:p>
    <w:p>
      <w:pPr>
        <w:pStyle w:val="BodyText"/>
        <w:spacing w:before="145"/>
        <w:ind w:left="505" w:right="161"/>
      </w:pPr>
      <w:r>
        <w:rPr/>
        <w:t>Full audit fees for 2017 are reflected in the books of the Whitlam Institute within Western Sydney University Trust and will be paid by the ultimate parent entity (2016: NIL).</w:t>
      </w:r>
    </w:p>
    <w:p>
      <w:pPr>
        <w:pStyle w:val="BodyText"/>
        <w:rPr>
          <w:sz w:val="25"/>
        </w:rPr>
      </w:pPr>
    </w:p>
    <w:p>
      <w:pPr>
        <w:pStyle w:val="Heading9"/>
        <w:numPr>
          <w:ilvl w:val="0"/>
          <w:numId w:val="81"/>
        </w:numPr>
        <w:tabs>
          <w:tab w:pos="506" w:val="left" w:leader="none"/>
        </w:tabs>
        <w:spacing w:line="240" w:lineRule="auto" w:before="0" w:after="0"/>
        <w:ind w:left="505" w:right="0" w:hanging="396"/>
        <w:jc w:val="left"/>
      </w:pPr>
      <w:r>
        <w:rPr/>
        <w:t>Fair Value</w:t>
      </w:r>
      <w:r>
        <w:rPr>
          <w:spacing w:val="-1"/>
        </w:rPr>
        <w:t> </w:t>
      </w:r>
      <w:r>
        <w:rPr/>
        <w:t>Measurement</w:t>
      </w:r>
    </w:p>
    <w:p>
      <w:pPr>
        <w:pStyle w:val="BodyText"/>
        <w:rPr>
          <w:b/>
          <w:sz w:val="25"/>
        </w:rPr>
      </w:pPr>
    </w:p>
    <w:p>
      <w:pPr>
        <w:pStyle w:val="BodyText"/>
        <w:ind w:left="505" w:right="161"/>
      </w:pPr>
      <w:r>
        <w:rPr/>
        <w:t>Fair value measurements of balance sheet items are not categorised given the lack of any assets or liabilities as at 31 December 2017.</w:t>
      </w:r>
    </w:p>
    <w:p>
      <w:pPr>
        <w:spacing w:after="0"/>
        <w:sectPr>
          <w:type w:val="continuous"/>
          <w:pgSz w:w="11910" w:h="16840"/>
          <w:pgMar w:top="1580" w:bottom="280" w:left="900" w:right="860"/>
        </w:sectPr>
      </w:pPr>
    </w:p>
    <w:p>
      <w:pPr>
        <w:pStyle w:val="BodyText"/>
        <w:rPr>
          <w:sz w:val="20"/>
        </w:rPr>
      </w:pPr>
    </w:p>
    <w:p>
      <w:pPr>
        <w:pStyle w:val="BodyText"/>
        <w:rPr>
          <w:sz w:val="20"/>
        </w:rPr>
      </w:pPr>
    </w:p>
    <w:p>
      <w:pPr>
        <w:spacing w:after="0"/>
        <w:rPr>
          <w:sz w:val="20"/>
        </w:rPr>
        <w:sectPr>
          <w:pgSz w:w="11910" w:h="16840"/>
          <w:pgMar w:header="1038" w:footer="501" w:top="2500" w:bottom="700" w:left="900" w:right="860"/>
        </w:sectPr>
      </w:pPr>
    </w:p>
    <w:p>
      <w:pPr>
        <w:pStyle w:val="BodyText"/>
        <w:spacing w:before="4"/>
      </w:pPr>
    </w:p>
    <w:p>
      <w:pPr>
        <w:pStyle w:val="Heading9"/>
        <w:numPr>
          <w:ilvl w:val="0"/>
          <w:numId w:val="81"/>
        </w:numPr>
        <w:tabs>
          <w:tab w:pos="506" w:val="left" w:leader="none"/>
        </w:tabs>
        <w:spacing w:line="240" w:lineRule="auto" w:before="0" w:after="0"/>
        <w:ind w:left="505" w:right="0" w:hanging="396"/>
        <w:jc w:val="left"/>
      </w:pPr>
      <w:r>
        <w:rPr/>
        <w:t>Cash and cash</w:t>
      </w:r>
      <w:r>
        <w:rPr>
          <w:spacing w:val="-1"/>
        </w:rPr>
        <w:t> </w:t>
      </w:r>
      <w:r>
        <w:rPr/>
        <w:t>equivalents</w:t>
      </w:r>
    </w:p>
    <w:p>
      <w:pPr>
        <w:pStyle w:val="BodyText"/>
        <w:rPr>
          <w:b/>
        </w:rPr>
      </w:pPr>
      <w:r>
        <w:rPr/>
        <w:br w:type="column"/>
      </w:r>
      <w:r>
        <w:rPr>
          <w:b/>
        </w:rPr>
      </w:r>
    </w:p>
    <w:p>
      <w:pPr>
        <w:pStyle w:val="BodyText"/>
        <w:spacing w:before="4"/>
        <w:rPr>
          <w:b/>
        </w:rPr>
      </w:pPr>
    </w:p>
    <w:p>
      <w:pPr>
        <w:spacing w:line="207" w:lineRule="exact" w:before="0"/>
        <w:ind w:left="109" w:right="0" w:firstLine="0"/>
        <w:jc w:val="center"/>
        <w:rPr>
          <w:b/>
          <w:sz w:val="18"/>
        </w:rPr>
      </w:pPr>
      <w:r>
        <w:rPr>
          <w:b/>
          <w:sz w:val="18"/>
        </w:rPr>
        <w:t>2017</w:t>
      </w:r>
    </w:p>
    <w:p>
      <w:pPr>
        <w:spacing w:line="207" w:lineRule="exact" w:before="0"/>
        <w:ind w:left="108" w:right="0" w:firstLine="0"/>
        <w:jc w:val="center"/>
        <w:rPr>
          <w:b/>
          <w:sz w:val="18"/>
        </w:rPr>
      </w:pPr>
      <w:r>
        <w:rPr>
          <w:b/>
          <w:w w:val="99"/>
          <w:sz w:val="18"/>
        </w:rPr>
        <w:t>$</w:t>
      </w:r>
    </w:p>
    <w:p>
      <w:pPr>
        <w:pStyle w:val="BodyText"/>
        <w:rPr>
          <w:b/>
        </w:rPr>
      </w:pPr>
      <w:r>
        <w:rPr/>
        <w:br w:type="column"/>
      </w:r>
      <w:r>
        <w:rPr>
          <w:b/>
        </w:rPr>
      </w:r>
    </w:p>
    <w:p>
      <w:pPr>
        <w:pStyle w:val="BodyText"/>
        <w:spacing w:before="4"/>
        <w:rPr>
          <w:b/>
        </w:rPr>
      </w:pPr>
    </w:p>
    <w:p>
      <w:pPr>
        <w:spacing w:line="207" w:lineRule="exact" w:before="0"/>
        <w:ind w:left="92" w:right="561" w:firstLine="0"/>
        <w:jc w:val="center"/>
        <w:rPr>
          <w:b/>
          <w:sz w:val="18"/>
        </w:rPr>
      </w:pPr>
      <w:r>
        <w:rPr>
          <w:b/>
          <w:sz w:val="18"/>
        </w:rPr>
        <w:t>2016</w:t>
      </w:r>
    </w:p>
    <w:p>
      <w:pPr>
        <w:spacing w:line="207" w:lineRule="exact" w:before="0"/>
        <w:ind w:left="0" w:right="470" w:firstLine="0"/>
        <w:jc w:val="center"/>
        <w:rPr>
          <w:b/>
          <w:sz w:val="18"/>
        </w:rPr>
      </w:pPr>
      <w:r>
        <w:rPr>
          <w:b/>
          <w:w w:val="99"/>
          <w:sz w:val="18"/>
        </w:rPr>
        <w:t>$</w:t>
      </w:r>
    </w:p>
    <w:p>
      <w:pPr>
        <w:spacing w:after="0" w:line="207" w:lineRule="exact"/>
        <w:jc w:val="center"/>
        <w:rPr>
          <w:sz w:val="18"/>
        </w:rPr>
        <w:sectPr>
          <w:type w:val="continuous"/>
          <w:pgSz w:w="11910" w:h="16840"/>
          <w:pgMar w:top="1580" w:bottom="280" w:left="900" w:right="860"/>
          <w:cols w:num="3" w:equalWidth="0">
            <w:col w:w="2817" w:space="4954"/>
            <w:col w:w="510" w:space="774"/>
            <w:col w:w="1095"/>
          </w:cols>
        </w:sectPr>
      </w:pPr>
    </w:p>
    <w:p>
      <w:pPr>
        <w:pStyle w:val="BodyText"/>
        <w:tabs>
          <w:tab w:pos="6925" w:val="left" w:leader="none"/>
          <w:tab w:pos="8033" w:val="left" w:leader="none"/>
          <w:tab w:pos="9332" w:val="left" w:leader="none"/>
        </w:tabs>
        <w:spacing w:before="84"/>
        <w:ind w:right="204"/>
        <w:jc w:val="right"/>
      </w:pPr>
      <w:r>
        <w:rPr/>
        <w:t>Cash at bank and</w:t>
      </w:r>
      <w:r>
        <w:rPr>
          <w:spacing w:val="-1"/>
        </w:rPr>
        <w:t> </w:t>
      </w:r>
      <w:r>
        <w:rPr/>
        <w:t>in</w:t>
      </w:r>
      <w:r>
        <w:rPr>
          <w:spacing w:val="-1"/>
        </w:rPr>
        <w:t> </w:t>
      </w:r>
      <w:r>
        <w:rPr/>
        <w:t>hand</w:t>
        <w:tab/>
      </w:r>
      <w:r>
        <w:rPr>
          <w:rFonts w:ascii="Times New Roman"/>
          <w:position w:val="-2"/>
          <w:u w:val="single"/>
        </w:rPr>
        <w:t> </w:t>
        <w:tab/>
      </w:r>
      <w:r>
        <w:rPr>
          <w:b/>
          <w:position w:val="-2"/>
          <w:u w:val="single"/>
        </w:rPr>
        <w:t>1</w:t>
        <w:tab/>
      </w:r>
      <w:r>
        <w:rPr>
          <w:spacing w:val="-1"/>
          <w:position w:val="-2"/>
          <w:u w:val="single"/>
        </w:rPr>
        <w:t>1</w:t>
      </w:r>
    </w:p>
    <w:p>
      <w:pPr>
        <w:tabs>
          <w:tab w:pos="1108" w:val="left" w:leader="none"/>
          <w:tab w:pos="2407" w:val="left" w:leader="none"/>
        </w:tabs>
        <w:spacing w:before="6"/>
        <w:ind w:left="0" w:right="204" w:firstLine="0"/>
        <w:jc w:val="right"/>
        <w:rPr>
          <w:sz w:val="18"/>
        </w:rPr>
      </w:pPr>
      <w:r>
        <w:rPr>
          <w:rFonts w:ascii="Times New Roman"/>
          <w:sz w:val="18"/>
          <w:u w:val="single"/>
        </w:rPr>
        <w:t> </w:t>
        <w:tab/>
      </w:r>
      <w:r>
        <w:rPr>
          <w:b/>
          <w:sz w:val="18"/>
          <w:u w:val="single"/>
        </w:rPr>
        <w:t>1</w:t>
        <w:tab/>
      </w:r>
      <w:r>
        <w:rPr>
          <w:spacing w:val="-1"/>
          <w:sz w:val="18"/>
          <w:u w:val="single"/>
        </w:rPr>
        <w:t>1</w:t>
      </w:r>
    </w:p>
    <w:p>
      <w:pPr>
        <w:pStyle w:val="BodyText"/>
        <w:spacing w:before="3"/>
        <w:rPr>
          <w:sz w:val="9"/>
        </w:rPr>
      </w:pPr>
    </w:p>
    <w:p>
      <w:pPr>
        <w:pStyle w:val="Heading9"/>
        <w:numPr>
          <w:ilvl w:val="1"/>
          <w:numId w:val="81"/>
        </w:numPr>
        <w:tabs>
          <w:tab w:pos="1072" w:val="left" w:leader="none"/>
        </w:tabs>
        <w:spacing w:line="240" w:lineRule="auto" w:before="77" w:after="0"/>
        <w:ind w:left="1071" w:right="0" w:hanging="566"/>
        <w:jc w:val="left"/>
      </w:pPr>
      <w:r>
        <w:rPr/>
        <w:t>Risk</w:t>
      </w:r>
      <w:r>
        <w:rPr>
          <w:spacing w:val="-1"/>
        </w:rPr>
        <w:t> </w:t>
      </w:r>
      <w:r>
        <w:rPr/>
        <w:t>exposure</w:t>
      </w:r>
    </w:p>
    <w:p>
      <w:pPr>
        <w:pStyle w:val="BodyText"/>
        <w:spacing w:before="4"/>
        <w:ind w:left="1072" w:right="113"/>
        <w:jc w:val="both"/>
      </w:pPr>
      <w:r>
        <w:rPr/>
        <w:t>The Company's exposure to interest rate risk is discussed in note 2. The maximum exposure to credit risk at the end of each reporting period is the carrying amount of each class of cash and cash equivalents mentioned above.</w:t>
      </w:r>
    </w:p>
    <w:p>
      <w:pPr>
        <w:pStyle w:val="Heading9"/>
        <w:numPr>
          <w:ilvl w:val="1"/>
          <w:numId w:val="81"/>
        </w:numPr>
        <w:tabs>
          <w:tab w:pos="1072" w:val="left" w:leader="none"/>
        </w:tabs>
        <w:spacing w:line="240" w:lineRule="auto" w:before="131" w:after="0"/>
        <w:ind w:left="1071" w:right="0" w:hanging="566"/>
        <w:jc w:val="left"/>
      </w:pPr>
      <w:r>
        <w:rPr/>
        <w:t>Cash at bank and on hand</w:t>
      </w:r>
    </w:p>
    <w:p>
      <w:pPr>
        <w:pStyle w:val="BodyText"/>
        <w:spacing w:before="4"/>
        <w:ind w:left="1072"/>
        <w:jc w:val="both"/>
      </w:pPr>
      <w:r>
        <w:rPr/>
        <w:t>These are non-interest bearing.</w:t>
      </w:r>
    </w:p>
    <w:p>
      <w:pPr>
        <w:pStyle w:val="Heading9"/>
        <w:numPr>
          <w:ilvl w:val="1"/>
          <w:numId w:val="81"/>
        </w:numPr>
        <w:tabs>
          <w:tab w:pos="1072" w:val="left" w:leader="none"/>
        </w:tabs>
        <w:spacing w:line="240" w:lineRule="auto" w:before="131" w:after="0"/>
        <w:ind w:left="1071" w:right="0" w:hanging="566"/>
        <w:jc w:val="left"/>
      </w:pPr>
      <w:r>
        <w:rPr/>
        <w:t>Fair value</w:t>
      </w:r>
    </w:p>
    <w:p>
      <w:pPr>
        <w:pStyle w:val="BodyText"/>
        <w:spacing w:before="4"/>
        <w:ind w:left="1072"/>
        <w:jc w:val="both"/>
      </w:pPr>
      <w:r>
        <w:rPr/>
        <w:t>The carrying amount for cash and cash equivalents equals the fair value.</w:t>
      </w:r>
    </w:p>
    <w:p>
      <w:pPr>
        <w:pStyle w:val="BodyText"/>
        <w:spacing w:before="10"/>
        <w:rPr>
          <w:sz w:val="12"/>
        </w:rPr>
      </w:pPr>
    </w:p>
    <w:p>
      <w:pPr>
        <w:pStyle w:val="Heading9"/>
        <w:numPr>
          <w:ilvl w:val="0"/>
          <w:numId w:val="81"/>
        </w:numPr>
        <w:tabs>
          <w:tab w:pos="504" w:val="left" w:leader="none"/>
        </w:tabs>
        <w:spacing w:line="207" w:lineRule="exact" w:before="77" w:after="0"/>
        <w:ind w:left="504" w:right="0" w:hanging="395"/>
        <w:jc w:val="left"/>
      </w:pPr>
      <w:r>
        <w:rPr/>
        <w:t>Contributed</w:t>
      </w:r>
      <w:r>
        <w:rPr>
          <w:spacing w:val="-1"/>
        </w:rPr>
        <w:t> </w:t>
      </w:r>
      <w:r>
        <w:rPr/>
        <w:t>equity</w:t>
      </w:r>
    </w:p>
    <w:p>
      <w:pPr>
        <w:tabs>
          <w:tab w:pos="8512" w:val="left" w:leader="none"/>
        </w:tabs>
        <w:spacing w:line="207" w:lineRule="exact" w:before="0"/>
        <w:ind w:left="5848" w:right="161" w:firstLine="0"/>
        <w:jc w:val="left"/>
        <w:rPr>
          <w:b/>
          <w:sz w:val="18"/>
        </w:rPr>
      </w:pPr>
      <w:r>
        <w:rPr>
          <w:b/>
          <w:sz w:val="18"/>
        </w:rPr>
        <w:t>Shares</w:t>
        <w:tab/>
        <w:t>Total</w:t>
      </w:r>
    </w:p>
    <w:p>
      <w:pPr>
        <w:spacing w:after="0" w:line="207" w:lineRule="exact"/>
        <w:jc w:val="left"/>
        <w:rPr>
          <w:sz w:val="18"/>
        </w:rPr>
        <w:sectPr>
          <w:type w:val="continuous"/>
          <w:pgSz w:w="11910" w:h="16840"/>
          <w:pgMar w:top="1580" w:bottom="280" w:left="900" w:right="860"/>
        </w:sectPr>
      </w:pPr>
    </w:p>
    <w:p>
      <w:pPr>
        <w:pStyle w:val="BodyText"/>
        <w:rPr>
          <w:b/>
        </w:rPr>
      </w:pPr>
    </w:p>
    <w:p>
      <w:pPr>
        <w:pStyle w:val="BodyText"/>
        <w:spacing w:before="9"/>
        <w:rPr>
          <w:b/>
          <w:sz w:val="17"/>
        </w:rPr>
      </w:pPr>
    </w:p>
    <w:p>
      <w:pPr>
        <w:spacing w:before="1"/>
        <w:ind w:left="532" w:right="-19" w:firstLine="0"/>
        <w:jc w:val="left"/>
        <w:rPr>
          <w:b/>
          <w:sz w:val="18"/>
        </w:rPr>
      </w:pPr>
      <w:r>
        <w:rPr>
          <w:b/>
          <w:sz w:val="18"/>
        </w:rPr>
        <w:t>Ordinary shares</w:t>
      </w:r>
    </w:p>
    <w:p>
      <w:pPr>
        <w:spacing w:line="206" w:lineRule="exact" w:before="0"/>
        <w:ind w:left="532" w:right="0" w:firstLine="0"/>
        <w:jc w:val="center"/>
        <w:rPr>
          <w:b/>
          <w:sz w:val="18"/>
        </w:rPr>
      </w:pPr>
      <w:r>
        <w:rPr/>
        <w:br w:type="column"/>
      </w:r>
      <w:r>
        <w:rPr>
          <w:b/>
          <w:sz w:val="18"/>
        </w:rPr>
        <w:t>2017</w:t>
      </w:r>
    </w:p>
    <w:p>
      <w:pPr>
        <w:spacing w:line="207" w:lineRule="exact" w:before="0"/>
        <w:ind w:left="0" w:right="148" w:firstLine="0"/>
        <w:jc w:val="right"/>
        <w:rPr>
          <w:b/>
          <w:sz w:val="18"/>
        </w:rPr>
      </w:pPr>
      <w:r>
        <w:rPr>
          <w:b/>
          <w:w w:val="99"/>
          <w:sz w:val="18"/>
        </w:rPr>
        <w:t>$</w:t>
      </w:r>
    </w:p>
    <w:p>
      <w:pPr>
        <w:spacing w:line="206" w:lineRule="exact" w:before="0"/>
        <w:ind w:left="532" w:right="0" w:firstLine="0"/>
        <w:jc w:val="center"/>
        <w:rPr>
          <w:b/>
          <w:sz w:val="18"/>
        </w:rPr>
      </w:pPr>
      <w:r>
        <w:rPr/>
        <w:br w:type="column"/>
      </w:r>
      <w:r>
        <w:rPr>
          <w:b/>
          <w:sz w:val="18"/>
        </w:rPr>
        <w:t>2016</w:t>
      </w:r>
    </w:p>
    <w:p>
      <w:pPr>
        <w:spacing w:line="207" w:lineRule="exact" w:before="0"/>
        <w:ind w:left="0" w:right="148" w:firstLine="0"/>
        <w:jc w:val="right"/>
        <w:rPr>
          <w:b/>
          <w:sz w:val="18"/>
        </w:rPr>
      </w:pPr>
      <w:r>
        <w:rPr>
          <w:b/>
          <w:w w:val="99"/>
          <w:sz w:val="18"/>
        </w:rPr>
        <w:t>$</w:t>
      </w:r>
    </w:p>
    <w:p>
      <w:pPr>
        <w:spacing w:line="206" w:lineRule="exact" w:before="0"/>
        <w:ind w:left="532" w:right="0" w:firstLine="0"/>
        <w:jc w:val="center"/>
        <w:rPr>
          <w:b/>
          <w:sz w:val="18"/>
        </w:rPr>
      </w:pPr>
      <w:r>
        <w:rPr/>
        <w:br w:type="column"/>
      </w:r>
      <w:r>
        <w:rPr>
          <w:b/>
          <w:sz w:val="18"/>
        </w:rPr>
        <w:t>2017</w:t>
      </w:r>
    </w:p>
    <w:p>
      <w:pPr>
        <w:spacing w:line="207" w:lineRule="exact" w:before="0"/>
        <w:ind w:left="0" w:right="148" w:firstLine="0"/>
        <w:jc w:val="right"/>
        <w:rPr>
          <w:b/>
          <w:sz w:val="18"/>
        </w:rPr>
      </w:pPr>
      <w:r>
        <w:rPr>
          <w:b/>
          <w:w w:val="99"/>
          <w:sz w:val="18"/>
        </w:rPr>
        <w:t>$</w:t>
      </w:r>
    </w:p>
    <w:p>
      <w:pPr>
        <w:spacing w:line="206" w:lineRule="exact" w:before="0"/>
        <w:ind w:left="516" w:right="549" w:firstLine="0"/>
        <w:jc w:val="center"/>
        <w:rPr>
          <w:b/>
          <w:sz w:val="18"/>
        </w:rPr>
      </w:pPr>
      <w:r>
        <w:rPr/>
        <w:br w:type="column"/>
      </w:r>
      <w:r>
        <w:rPr>
          <w:b/>
          <w:sz w:val="18"/>
        </w:rPr>
        <w:t>2016</w:t>
      </w:r>
    </w:p>
    <w:p>
      <w:pPr>
        <w:spacing w:line="207" w:lineRule="exact" w:before="0"/>
        <w:ind w:left="0" w:right="33" w:firstLine="0"/>
        <w:jc w:val="center"/>
        <w:rPr>
          <w:b/>
          <w:sz w:val="18"/>
        </w:rPr>
      </w:pPr>
      <w:r>
        <w:rPr>
          <w:b/>
          <w:w w:val="99"/>
          <w:sz w:val="18"/>
        </w:rPr>
        <w:t>$</w:t>
      </w:r>
    </w:p>
    <w:p>
      <w:pPr>
        <w:spacing w:after="0" w:line="207" w:lineRule="exact"/>
        <w:jc w:val="center"/>
        <w:rPr>
          <w:sz w:val="18"/>
        </w:rPr>
        <w:sectPr>
          <w:type w:val="continuous"/>
          <w:pgSz w:w="11910" w:h="16840"/>
          <w:pgMar w:top="1580" w:bottom="280" w:left="900" w:right="860"/>
          <w:cols w:num="5" w:equalWidth="0">
            <w:col w:w="1914" w:space="2853"/>
            <w:col w:w="933" w:space="349"/>
            <w:col w:w="933" w:space="364"/>
            <w:col w:w="933" w:space="364"/>
            <w:col w:w="1507"/>
          </w:cols>
        </w:sectPr>
      </w:pPr>
    </w:p>
    <w:p>
      <w:pPr>
        <w:pStyle w:val="BodyText"/>
        <w:tabs>
          <w:tab w:pos="4835" w:val="left" w:leader="none"/>
          <w:tab w:pos="5973" w:val="left" w:leader="none"/>
          <w:tab w:pos="7242" w:val="left" w:leader="none"/>
          <w:tab w:pos="8568" w:val="left" w:leader="none"/>
          <w:tab w:pos="9836" w:val="left" w:leader="none"/>
        </w:tabs>
        <w:spacing w:before="26"/>
        <w:ind w:left="532" w:right="161"/>
      </w:pPr>
      <w:r>
        <w:rPr/>
        <w:t>Fully</w:t>
      </w:r>
      <w:r>
        <w:rPr>
          <w:spacing w:val="-1"/>
        </w:rPr>
        <w:t> </w:t>
      </w:r>
      <w:r>
        <w:rPr/>
        <w:t>paid</w:t>
        <w:tab/>
      </w:r>
      <w:r>
        <w:rPr>
          <w:rFonts w:ascii="Times New Roman"/>
          <w:position w:val="-2"/>
          <w:u w:val="single"/>
        </w:rPr>
        <w:t> </w:t>
        <w:tab/>
      </w:r>
      <w:r>
        <w:rPr>
          <w:b/>
          <w:position w:val="-2"/>
          <w:u w:val="single"/>
        </w:rPr>
        <w:t>1</w:t>
        <w:tab/>
      </w:r>
      <w:r>
        <w:rPr>
          <w:position w:val="-2"/>
          <w:u w:val="single"/>
        </w:rPr>
        <w:t>1</w:t>
        <w:tab/>
      </w:r>
      <w:r>
        <w:rPr>
          <w:b/>
          <w:position w:val="-2"/>
          <w:u w:val="single"/>
        </w:rPr>
        <w:t>1</w:t>
        <w:tab/>
      </w:r>
      <w:r>
        <w:rPr>
          <w:position w:val="-2"/>
          <w:u w:val="single"/>
        </w:rPr>
        <w:t>1</w:t>
      </w:r>
    </w:p>
    <w:p>
      <w:pPr>
        <w:pStyle w:val="Heading9"/>
        <w:tabs>
          <w:tab w:pos="4835" w:val="left" w:leader="none"/>
          <w:tab w:pos="5973" w:val="left" w:leader="none"/>
          <w:tab w:pos="7241" w:val="left" w:leader="none"/>
          <w:tab w:pos="8567" w:val="left" w:leader="none"/>
          <w:tab w:pos="9836" w:val="left" w:leader="none"/>
        </w:tabs>
        <w:spacing w:before="6"/>
        <w:ind w:left="532" w:right="161"/>
        <w:rPr>
          <w:b w:val="0"/>
        </w:rPr>
      </w:pPr>
      <w:r>
        <w:rPr/>
        <w:t>Total</w:t>
      </w:r>
      <w:r>
        <w:rPr>
          <w:spacing w:val="-1"/>
        </w:rPr>
        <w:t> </w:t>
      </w:r>
      <w:r>
        <w:rPr/>
        <w:t>contributed</w:t>
      </w:r>
      <w:r>
        <w:rPr>
          <w:spacing w:val="-1"/>
        </w:rPr>
        <w:t> </w:t>
      </w:r>
      <w:r>
        <w:rPr/>
        <w:t>equity</w:t>
        <w:tab/>
      </w:r>
      <w:r>
        <w:rPr>
          <w:rFonts w:ascii="Times New Roman"/>
          <w:b w:val="0"/>
          <w:u w:val="single"/>
        </w:rPr>
        <w:t> </w:t>
        <w:tab/>
      </w:r>
      <w:r>
        <w:rPr>
          <w:u w:val="single"/>
        </w:rPr>
        <w:t>1</w:t>
        <w:tab/>
      </w:r>
      <w:r>
        <w:rPr>
          <w:b w:val="0"/>
          <w:u w:val="single"/>
        </w:rPr>
        <w:t>1</w:t>
        <w:tab/>
      </w:r>
      <w:r>
        <w:rPr>
          <w:u w:val="single"/>
        </w:rPr>
        <w:t>1</w:t>
        <w:tab/>
      </w:r>
      <w:r>
        <w:rPr>
          <w:b w:val="0"/>
          <w:u w:val="single"/>
        </w:rPr>
        <w:t>1</w:t>
      </w:r>
    </w:p>
    <w:p>
      <w:pPr>
        <w:pStyle w:val="BodyText"/>
        <w:spacing w:before="1"/>
        <w:rPr>
          <w:sz w:val="19"/>
        </w:rPr>
      </w:pPr>
    </w:p>
    <w:p>
      <w:pPr>
        <w:pStyle w:val="ListParagraph"/>
        <w:numPr>
          <w:ilvl w:val="1"/>
          <w:numId w:val="81"/>
        </w:numPr>
        <w:tabs>
          <w:tab w:pos="1071" w:val="left" w:leader="none"/>
        </w:tabs>
        <w:spacing w:line="240" w:lineRule="auto" w:before="77" w:after="0"/>
        <w:ind w:left="1070" w:right="0" w:hanging="566"/>
        <w:jc w:val="left"/>
        <w:rPr>
          <w:b/>
          <w:sz w:val="18"/>
        </w:rPr>
      </w:pPr>
      <w:r>
        <w:rPr>
          <w:b/>
          <w:sz w:val="18"/>
        </w:rPr>
        <w:t>Movements in ordinary share</w:t>
      </w:r>
      <w:r>
        <w:rPr>
          <w:b/>
          <w:spacing w:val="-2"/>
          <w:sz w:val="18"/>
        </w:rPr>
        <w:t> </w:t>
      </w:r>
      <w:r>
        <w:rPr>
          <w:b/>
          <w:sz w:val="18"/>
        </w:rPr>
        <w:t>capital</w:t>
      </w:r>
    </w:p>
    <w:p>
      <w:pPr>
        <w:pStyle w:val="BodyText"/>
        <w:spacing w:before="146"/>
        <w:ind w:left="1070" w:right="161"/>
      </w:pPr>
      <w:r>
        <w:rPr/>
        <w:t>There were no movements in contributed equity during the financial year.</w:t>
      </w:r>
    </w:p>
    <w:p>
      <w:pPr>
        <w:pStyle w:val="BodyText"/>
        <w:rPr>
          <w:sz w:val="25"/>
        </w:rPr>
      </w:pPr>
    </w:p>
    <w:p>
      <w:pPr>
        <w:pStyle w:val="Heading9"/>
        <w:numPr>
          <w:ilvl w:val="0"/>
          <w:numId w:val="81"/>
        </w:numPr>
        <w:tabs>
          <w:tab w:pos="506" w:val="left" w:leader="none"/>
        </w:tabs>
        <w:spacing w:line="240" w:lineRule="auto" w:before="0" w:after="0"/>
        <w:ind w:left="505" w:right="0" w:hanging="396"/>
        <w:jc w:val="left"/>
      </w:pPr>
      <w:r>
        <w:rPr/>
        <w:t>Commitments</w:t>
      </w:r>
    </w:p>
    <w:p>
      <w:pPr>
        <w:pStyle w:val="BodyText"/>
        <w:spacing w:before="112"/>
        <w:ind w:left="505" w:right="161"/>
      </w:pPr>
      <w:r>
        <w:rPr/>
        <w:t>The Company had no commitments at 31 December 2017 (31 December 2016: nil).</w:t>
      </w:r>
    </w:p>
    <w:p>
      <w:pPr>
        <w:pStyle w:val="BodyText"/>
        <w:rPr>
          <w:sz w:val="25"/>
        </w:rPr>
      </w:pPr>
    </w:p>
    <w:p>
      <w:pPr>
        <w:pStyle w:val="Heading9"/>
        <w:numPr>
          <w:ilvl w:val="0"/>
          <w:numId w:val="81"/>
        </w:numPr>
        <w:tabs>
          <w:tab w:pos="506" w:val="left" w:leader="none"/>
        </w:tabs>
        <w:spacing w:line="240" w:lineRule="auto" w:before="0" w:after="0"/>
        <w:ind w:left="505" w:right="0" w:hanging="396"/>
        <w:jc w:val="left"/>
      </w:pPr>
      <w:r>
        <w:rPr/>
        <w:t>Contingencies</w:t>
      </w:r>
    </w:p>
    <w:p>
      <w:pPr>
        <w:pStyle w:val="BodyText"/>
        <w:spacing w:before="112"/>
        <w:ind w:left="505" w:right="161"/>
      </w:pPr>
      <w:r>
        <w:rPr/>
        <w:t>The Company did not have any contingencies as at 31 December 2017 (31 December 2016: nil).</w:t>
      </w:r>
    </w:p>
    <w:p>
      <w:pPr>
        <w:pStyle w:val="BodyText"/>
        <w:rPr>
          <w:sz w:val="25"/>
        </w:rPr>
      </w:pPr>
    </w:p>
    <w:p>
      <w:pPr>
        <w:pStyle w:val="Heading9"/>
        <w:numPr>
          <w:ilvl w:val="0"/>
          <w:numId w:val="81"/>
        </w:numPr>
        <w:tabs>
          <w:tab w:pos="506" w:val="left" w:leader="none"/>
        </w:tabs>
        <w:spacing w:line="240" w:lineRule="auto" w:before="0" w:after="0"/>
        <w:ind w:left="505" w:right="0" w:hanging="396"/>
        <w:jc w:val="left"/>
      </w:pPr>
      <w:r>
        <w:rPr/>
        <w:t>Key Management Personnel</w:t>
      </w:r>
      <w:r>
        <w:rPr>
          <w:spacing w:val="-2"/>
        </w:rPr>
        <w:t> </w:t>
      </w:r>
      <w:r>
        <w:rPr/>
        <w:t>Disclosures</w:t>
      </w:r>
    </w:p>
    <w:p>
      <w:pPr>
        <w:pStyle w:val="BodyText"/>
        <w:spacing w:before="112"/>
        <w:ind w:left="505" w:right="161"/>
      </w:pPr>
      <w:r>
        <w:rPr/>
        <w:t>No remuneration has been paid to the key management personnel of the Company during the year (2016: nil).</w:t>
      </w:r>
    </w:p>
    <w:p>
      <w:pPr>
        <w:pStyle w:val="BodyText"/>
        <w:rPr>
          <w:sz w:val="25"/>
        </w:rPr>
      </w:pPr>
    </w:p>
    <w:p>
      <w:pPr>
        <w:pStyle w:val="Heading9"/>
        <w:numPr>
          <w:ilvl w:val="0"/>
          <w:numId w:val="81"/>
        </w:numPr>
        <w:tabs>
          <w:tab w:pos="506" w:val="left" w:leader="none"/>
        </w:tabs>
        <w:spacing w:line="240" w:lineRule="auto" w:before="0" w:after="0"/>
        <w:ind w:left="505" w:right="0" w:hanging="396"/>
        <w:jc w:val="left"/>
      </w:pPr>
      <w:r>
        <w:rPr/>
        <w:t>Related party</w:t>
      </w:r>
      <w:r>
        <w:rPr>
          <w:spacing w:val="-1"/>
        </w:rPr>
        <w:t> </w:t>
      </w:r>
      <w:r>
        <w:rPr/>
        <w:t>transactions</w:t>
      </w:r>
    </w:p>
    <w:p>
      <w:pPr>
        <w:pStyle w:val="ListParagraph"/>
        <w:numPr>
          <w:ilvl w:val="1"/>
          <w:numId w:val="81"/>
        </w:numPr>
        <w:tabs>
          <w:tab w:pos="1072" w:val="left" w:leader="none"/>
        </w:tabs>
        <w:spacing w:line="240" w:lineRule="auto" w:before="131" w:after="0"/>
        <w:ind w:left="1071" w:right="0" w:hanging="566"/>
        <w:jc w:val="left"/>
        <w:rPr>
          <w:b/>
          <w:sz w:val="18"/>
        </w:rPr>
      </w:pPr>
      <w:r>
        <w:rPr>
          <w:b/>
          <w:sz w:val="18"/>
        </w:rPr>
        <w:t>Parent entity</w:t>
      </w:r>
    </w:p>
    <w:p>
      <w:pPr>
        <w:pStyle w:val="BodyText"/>
        <w:spacing w:before="117"/>
        <w:ind w:left="1072" w:right="161"/>
      </w:pPr>
      <w:r>
        <w:rPr/>
        <w:t>The ultimate parent entity of the Company is Western Sydney University.</w:t>
      </w:r>
    </w:p>
    <w:p>
      <w:pPr>
        <w:pStyle w:val="Heading9"/>
        <w:numPr>
          <w:ilvl w:val="1"/>
          <w:numId w:val="81"/>
        </w:numPr>
        <w:tabs>
          <w:tab w:pos="1072" w:val="left" w:leader="none"/>
        </w:tabs>
        <w:spacing w:line="240" w:lineRule="auto" w:before="131" w:after="0"/>
        <w:ind w:left="1071" w:right="0" w:hanging="566"/>
        <w:jc w:val="left"/>
      </w:pPr>
      <w:r>
        <w:rPr/>
        <w:t>Transactions with related parties</w:t>
      </w:r>
    </w:p>
    <w:p>
      <w:pPr>
        <w:pStyle w:val="BodyText"/>
        <w:spacing w:before="117"/>
        <w:ind w:left="1072" w:right="161"/>
      </w:pPr>
      <w:r>
        <w:rPr/>
        <w:t>There were no transactions with related parties in 2017 (2016: nil).</w:t>
      </w:r>
    </w:p>
    <w:p>
      <w:pPr>
        <w:pStyle w:val="BodyText"/>
        <w:spacing w:before="6"/>
        <w:rPr>
          <w:sz w:val="19"/>
        </w:rPr>
      </w:pPr>
    </w:p>
    <w:p>
      <w:pPr>
        <w:pStyle w:val="Heading9"/>
        <w:numPr>
          <w:ilvl w:val="0"/>
          <w:numId w:val="81"/>
        </w:numPr>
        <w:tabs>
          <w:tab w:pos="504" w:val="left" w:leader="none"/>
        </w:tabs>
        <w:spacing w:line="240" w:lineRule="auto" w:before="0" w:after="0"/>
        <w:ind w:left="504" w:right="0" w:hanging="395"/>
        <w:jc w:val="left"/>
      </w:pPr>
      <w:r>
        <w:rPr/>
        <w:t>Economic</w:t>
      </w:r>
      <w:r>
        <w:rPr>
          <w:spacing w:val="-2"/>
        </w:rPr>
        <w:t> </w:t>
      </w:r>
      <w:r>
        <w:rPr/>
        <w:t>dependency</w:t>
      </w:r>
    </w:p>
    <w:p>
      <w:pPr>
        <w:pStyle w:val="BodyText"/>
        <w:spacing w:before="112"/>
        <w:ind w:left="505" w:right="161"/>
      </w:pPr>
      <w:r>
        <w:rPr/>
        <w:t>The Company is economically dependent on the Western Sydney University for the provision of office accommodation and support activities.</w:t>
      </w:r>
    </w:p>
    <w:p>
      <w:pPr>
        <w:spacing w:after="0"/>
        <w:sectPr>
          <w:type w:val="continuous"/>
          <w:pgSz w:w="11910" w:h="16840"/>
          <w:pgMar w:top="1580" w:bottom="280" w:left="900" w:right="860"/>
        </w:sectPr>
      </w:pPr>
    </w:p>
    <w:p>
      <w:pPr>
        <w:pStyle w:val="BodyText"/>
        <w:rPr>
          <w:sz w:val="20"/>
        </w:rPr>
      </w:pPr>
    </w:p>
    <w:p>
      <w:pPr>
        <w:pStyle w:val="BodyText"/>
        <w:rPr>
          <w:sz w:val="20"/>
        </w:rPr>
      </w:pPr>
    </w:p>
    <w:p>
      <w:pPr>
        <w:pStyle w:val="BodyText"/>
        <w:spacing w:before="4"/>
      </w:pPr>
    </w:p>
    <w:p>
      <w:pPr>
        <w:pStyle w:val="Heading9"/>
        <w:numPr>
          <w:ilvl w:val="0"/>
          <w:numId w:val="81"/>
        </w:numPr>
        <w:tabs>
          <w:tab w:pos="506" w:val="left" w:leader="none"/>
        </w:tabs>
        <w:spacing w:line="240" w:lineRule="auto" w:before="0" w:after="0"/>
        <w:ind w:left="505" w:right="0" w:hanging="396"/>
        <w:jc w:val="left"/>
      </w:pPr>
      <w:r>
        <w:rPr/>
        <w:t>Events occurring after the reporting</w:t>
      </w:r>
      <w:r>
        <w:rPr>
          <w:spacing w:val="-2"/>
        </w:rPr>
        <w:t> </w:t>
      </w:r>
      <w:r>
        <w:rPr/>
        <w:t>date</w:t>
      </w:r>
    </w:p>
    <w:p>
      <w:pPr>
        <w:pStyle w:val="BodyText"/>
        <w:spacing w:before="112"/>
        <w:ind w:left="505" w:right="109" w:hanging="1"/>
        <w:jc w:val="both"/>
      </w:pPr>
      <w:r>
        <w:rPr/>
        <w:t>No matters or circumstances have arisen since the end of the financial year which significantly affected or may significantly affect the operations of the Company, the results of those operations, or the state of affairs of the Company in future financial years (2016: nil).</w:t>
      </w:r>
    </w:p>
    <w:p>
      <w:pPr>
        <w:pStyle w:val="BodyText"/>
        <w:spacing w:before="7"/>
        <w:rPr>
          <w:sz w:val="26"/>
        </w:rPr>
      </w:pPr>
    </w:p>
    <w:p>
      <w:pPr>
        <w:pStyle w:val="Heading9"/>
        <w:numPr>
          <w:ilvl w:val="0"/>
          <w:numId w:val="81"/>
        </w:numPr>
        <w:tabs>
          <w:tab w:pos="504" w:val="left" w:leader="none"/>
        </w:tabs>
        <w:spacing w:line="240" w:lineRule="auto" w:before="0" w:after="0"/>
        <w:ind w:left="503" w:right="0" w:hanging="394"/>
        <w:jc w:val="left"/>
      </w:pPr>
      <w:r>
        <w:rPr/>
        <w:t>Reconciliation of surplus / (deficit) for the year to cashflows from operating</w:t>
      </w:r>
      <w:r>
        <w:rPr>
          <w:spacing w:val="-1"/>
        </w:rPr>
        <w:t> </w:t>
      </w:r>
      <w:r>
        <w:rPr/>
        <w:t>activities</w:t>
      </w:r>
    </w:p>
    <w:p>
      <w:pPr>
        <w:pStyle w:val="BodyText"/>
        <w:tabs>
          <w:tab w:pos="8579" w:val="left" w:leader="none"/>
          <w:tab w:pos="9878" w:val="left" w:leader="none"/>
        </w:tabs>
        <w:spacing w:before="33"/>
        <w:ind w:left="505"/>
        <w:jc w:val="both"/>
      </w:pPr>
      <w:r>
        <w:rPr/>
        <w:t>Surplus for</w:t>
      </w:r>
      <w:r>
        <w:rPr>
          <w:spacing w:val="-1"/>
        </w:rPr>
        <w:t> </w:t>
      </w:r>
      <w:r>
        <w:rPr/>
        <w:t>the</w:t>
      </w:r>
      <w:r>
        <w:rPr>
          <w:spacing w:val="-1"/>
        </w:rPr>
        <w:t> </w:t>
      </w:r>
      <w:r>
        <w:rPr/>
        <w:t>year</w:t>
        <w:tab/>
      </w:r>
      <w:r>
        <w:rPr>
          <w:b/>
        </w:rPr>
        <w:t>-</w:t>
        <w:tab/>
      </w:r>
      <w:r>
        <w:rPr/>
        <w:t>-</w:t>
      </w:r>
    </w:p>
    <w:p>
      <w:pPr>
        <w:pStyle w:val="Heading9"/>
        <w:spacing w:before="56"/>
        <w:ind w:left="505"/>
        <w:jc w:val="both"/>
      </w:pPr>
      <w:r>
        <w:rPr/>
        <w:t>Changes in assets and liabilities:</w:t>
      </w:r>
    </w:p>
    <w:p>
      <w:pPr>
        <w:pStyle w:val="ListParagraph"/>
        <w:numPr>
          <w:ilvl w:val="0"/>
          <w:numId w:val="82"/>
        </w:numPr>
        <w:tabs>
          <w:tab w:pos="880" w:val="left" w:leader="none"/>
          <w:tab w:pos="8579" w:val="left" w:leader="none"/>
          <w:tab w:pos="9878" w:val="left" w:leader="none"/>
        </w:tabs>
        <w:spacing w:line="240" w:lineRule="auto" w:before="56" w:after="0"/>
        <w:ind w:left="505" w:right="0" w:firstLine="265"/>
        <w:jc w:val="left"/>
        <w:rPr>
          <w:sz w:val="18"/>
        </w:rPr>
      </w:pPr>
      <w:r>
        <w:rPr>
          <w:sz w:val="18"/>
        </w:rPr>
        <w:t>(increase)/decrease in trade and</w:t>
      </w:r>
      <w:r>
        <w:rPr>
          <w:spacing w:val="-1"/>
          <w:sz w:val="18"/>
        </w:rPr>
        <w:t> </w:t>
      </w:r>
      <w:r>
        <w:rPr>
          <w:sz w:val="18"/>
        </w:rPr>
        <w:t>other</w:t>
      </w:r>
      <w:r>
        <w:rPr>
          <w:spacing w:val="-1"/>
          <w:sz w:val="18"/>
        </w:rPr>
        <w:t> </w:t>
      </w:r>
      <w:r>
        <w:rPr>
          <w:sz w:val="18"/>
        </w:rPr>
        <w:t>receivables</w:t>
        <w:tab/>
      </w:r>
      <w:r>
        <w:rPr>
          <w:b/>
          <w:sz w:val="18"/>
        </w:rPr>
        <w:t>-</w:t>
        <w:tab/>
      </w:r>
      <w:r>
        <w:rPr>
          <w:sz w:val="18"/>
        </w:rPr>
        <w:t>-</w:t>
      </w:r>
    </w:p>
    <w:p>
      <w:pPr>
        <w:pStyle w:val="ListParagraph"/>
        <w:numPr>
          <w:ilvl w:val="0"/>
          <w:numId w:val="82"/>
        </w:numPr>
        <w:tabs>
          <w:tab w:pos="880" w:val="left" w:leader="none"/>
          <w:tab w:pos="8579" w:val="left" w:leader="none"/>
          <w:tab w:pos="9878" w:val="left" w:leader="none"/>
        </w:tabs>
        <w:spacing w:line="240" w:lineRule="auto" w:before="57" w:after="0"/>
        <w:ind w:left="879" w:right="0" w:hanging="109"/>
        <w:jc w:val="left"/>
        <w:rPr>
          <w:sz w:val="18"/>
        </w:rPr>
      </w:pPr>
      <w:r>
        <w:rPr>
          <w:sz w:val="18"/>
        </w:rPr>
        <w:t>(increase)/decrease</w:t>
      </w:r>
      <w:r>
        <w:rPr>
          <w:spacing w:val="-1"/>
          <w:sz w:val="18"/>
        </w:rPr>
        <w:t> </w:t>
      </w:r>
      <w:r>
        <w:rPr>
          <w:sz w:val="18"/>
        </w:rPr>
        <w:t>in</w:t>
      </w:r>
      <w:r>
        <w:rPr>
          <w:spacing w:val="-1"/>
          <w:sz w:val="18"/>
        </w:rPr>
        <w:t> </w:t>
      </w:r>
      <w:r>
        <w:rPr>
          <w:sz w:val="18"/>
        </w:rPr>
        <w:t>assets</w:t>
        <w:tab/>
      </w:r>
      <w:r>
        <w:rPr>
          <w:b/>
          <w:sz w:val="18"/>
        </w:rPr>
        <w:t>-</w:t>
        <w:tab/>
      </w:r>
      <w:r>
        <w:rPr>
          <w:sz w:val="18"/>
        </w:rPr>
        <w:t>-</w:t>
      </w:r>
    </w:p>
    <w:p>
      <w:pPr>
        <w:pStyle w:val="ListParagraph"/>
        <w:numPr>
          <w:ilvl w:val="0"/>
          <w:numId w:val="82"/>
        </w:numPr>
        <w:tabs>
          <w:tab w:pos="880" w:val="left" w:leader="none"/>
          <w:tab w:pos="8579" w:val="left" w:leader="none"/>
          <w:tab w:pos="9878" w:val="left" w:leader="none"/>
        </w:tabs>
        <w:spacing w:line="326" w:lineRule="auto" w:before="57" w:after="0"/>
        <w:ind w:left="505" w:right="204" w:firstLine="265"/>
        <w:jc w:val="left"/>
        <w:rPr>
          <w:sz w:val="18"/>
        </w:rPr>
      </w:pPr>
      <w:r>
        <w:rPr/>
        <w:pict>
          <v:group style="position:absolute;margin-left:416.529999pt;margin-top:14.536186pt;width:129.85pt;height:1pt;mso-position-horizontal-relative:page;mso-position-vertical-relative:paragraph;z-index:-1179208" coordorigin="8331,291" coordsize="2597,20">
            <v:line style="position:absolute" from="8332,292" to="9629,292" stroked="true" strokeweight=".06pt" strokecolor="#000000"/>
            <v:line style="position:absolute" from="8332,293" to="9629,293" stroked="true" strokeweight=".06pt" strokecolor="#000000"/>
            <v:line style="position:absolute" from="8332,294" to="9629,294" stroked="true" strokeweight=".06pt" strokecolor="#000000"/>
            <v:line style="position:absolute" from="8332,295" to="9629,295" stroked="true" strokeweight=".06pt" strokecolor="#000000"/>
            <v:line style="position:absolute" from="8332,297" to="9629,297" stroked="true" strokeweight=".06pt" strokecolor="#000000"/>
            <v:line style="position:absolute" from="8332,298" to="9629,298" stroked="true" strokeweight=".06pt" strokecolor="#000000"/>
            <v:line style="position:absolute" from="8332,299" to="9629,299" stroked="true" strokeweight=".06pt" strokecolor="#000000"/>
            <v:line style="position:absolute" from="8332,300" to="9629,300" stroked="true" strokeweight=".06pt" strokecolor="#000000"/>
            <v:line style="position:absolute" from="8332,301" to="9629,301" stroked="true" strokeweight=".06pt" strokecolor="#000000"/>
            <v:line style="position:absolute" from="8332,303" to="9629,303" stroked="true" strokeweight=".06pt" strokecolor="#000000"/>
            <v:line style="position:absolute" from="8332,304" to="9629,304" stroked="true" strokeweight=".06pt" strokecolor="#000000"/>
            <v:line style="position:absolute" from="8332,305" to="9629,305" stroked="true" strokeweight=".06pt" strokecolor="#000000"/>
            <v:line style="position:absolute" from="8332,306" to="9629,306" stroked="true" strokeweight=".06pt" strokecolor="#000000"/>
            <v:line style="position:absolute" from="8332,307" to="9629,307" stroked="true" strokeweight=".06pt" strokecolor="#000000"/>
            <v:line style="position:absolute" from="8332,309" to="9629,309" stroked="true" strokeweight=".06pt" strokecolor="#000000"/>
            <v:line style="position:absolute" from="8332,310" to="9629,310" stroked="true" strokeweight=".06pt" strokecolor="#000000"/>
            <v:line style="position:absolute" from="9629,292" to="10926,292" stroked="true" strokeweight=".06pt" strokecolor="#000000"/>
            <v:line style="position:absolute" from="9629,293" to="10926,293" stroked="true" strokeweight=".06pt" strokecolor="#000000"/>
            <v:line style="position:absolute" from="9629,294" to="10926,294" stroked="true" strokeweight=".06pt" strokecolor="#000000"/>
            <v:line style="position:absolute" from="9629,295" to="10926,295" stroked="true" strokeweight=".06pt" strokecolor="#000000"/>
            <v:line style="position:absolute" from="9629,297" to="10926,297" stroked="true" strokeweight=".06pt" strokecolor="#000000"/>
            <v:line style="position:absolute" from="9629,298" to="10926,298" stroked="true" strokeweight=".06pt" strokecolor="#000000"/>
            <v:line style="position:absolute" from="9629,299" to="10926,299" stroked="true" strokeweight=".06pt" strokecolor="#000000"/>
            <v:line style="position:absolute" from="9629,300" to="10926,300" stroked="true" strokeweight=".06pt" strokecolor="#000000"/>
            <v:line style="position:absolute" from="9629,301" to="10926,301" stroked="true" strokeweight=".06pt" strokecolor="#000000"/>
            <v:line style="position:absolute" from="9629,303" to="10926,303" stroked="true" strokeweight=".06pt" strokecolor="#000000"/>
            <v:line style="position:absolute" from="9629,304" to="10926,304" stroked="true" strokeweight=".06pt" strokecolor="#000000"/>
            <v:line style="position:absolute" from="9629,305" to="10926,305" stroked="true" strokeweight=".06pt" strokecolor="#000000"/>
            <v:line style="position:absolute" from="9629,306" to="10926,306" stroked="true" strokeweight=".06pt" strokecolor="#000000"/>
            <v:line style="position:absolute" from="9629,307" to="10926,307" stroked="true" strokeweight=".06pt" strokecolor="#000000"/>
            <v:line style="position:absolute" from="9629,309" to="10926,309" stroked="true" strokeweight=".06pt" strokecolor="#000000"/>
            <v:line style="position:absolute" from="9629,310" to="10926,310" stroked="true" strokeweight=".06pt" strokecolor="#000000"/>
            <w10:wrap type="none"/>
          </v:group>
        </w:pict>
      </w:r>
      <w:r>
        <w:rPr/>
        <w:pict>
          <v:group style="position:absolute;margin-left:416.529999pt;margin-top:31.456186pt;width:129.85pt;height:2.5pt;mso-position-horizontal-relative:page;mso-position-vertical-relative:paragraph;z-index:-1179184" coordorigin="8331,629" coordsize="2597,50">
            <v:line style="position:absolute" from="8332,630" to="9629,630" stroked="true" strokeweight=".06pt" strokecolor="#000000"/>
            <v:line style="position:absolute" from="8332,631" to="9629,631" stroked="true" strokeweight=".06pt" strokecolor="#000000"/>
            <v:line style="position:absolute" from="8332,633" to="9629,633" stroked="true" strokeweight=".06pt" strokecolor="#000000"/>
            <v:line style="position:absolute" from="8332,634" to="9629,634" stroked="true" strokeweight=".06pt" strokecolor="#000000"/>
            <v:line style="position:absolute" from="8332,635" to="9629,635" stroked="true" strokeweight=".06pt" strokecolor="#000000"/>
            <v:line style="position:absolute" from="8332,636" to="9629,636" stroked="true" strokeweight=".06pt" strokecolor="#000000"/>
            <v:line style="position:absolute" from="8332,637" to="9629,637" stroked="true" strokeweight=".06pt" strokecolor="#000000"/>
            <v:line style="position:absolute" from="8332,639" to="9629,639" stroked="true" strokeweight=".06pt" strokecolor="#000000"/>
            <v:line style="position:absolute" from="8332,640" to="9629,640" stroked="true" strokeweight=".06pt" strokecolor="#000000"/>
            <v:line style="position:absolute" from="8332,641" to="9629,641" stroked="true" strokeweight=".06pt" strokecolor="#000000"/>
            <v:line style="position:absolute" from="8332,642" to="9629,642" stroked="true" strokeweight=".06pt" strokecolor="#000000"/>
            <v:line style="position:absolute" from="8332,643" to="9629,643" stroked="true" strokeweight=".06pt" strokecolor="#000000"/>
            <v:line style="position:absolute" from="8332,645" to="9629,645" stroked="true" strokeweight=".06pt" strokecolor="#000000"/>
            <v:line style="position:absolute" from="8332,664" to="9629,664" stroked="true" strokeweight=".06pt" strokecolor="#000000"/>
            <v:line style="position:absolute" from="8332,665" to="9629,665" stroked="true" strokeweight=".06pt" strokecolor="#000000"/>
            <v:line style="position:absolute" from="8332,666" to="9629,666" stroked="true" strokeweight=".06pt" strokecolor="#000000"/>
            <v:line style="position:absolute" from="8332,667" to="9629,667" stroked="true" strokeweight=".06pt" strokecolor="#000000"/>
            <v:line style="position:absolute" from="8332,669" to="9629,669" stroked="true" strokeweight=".06pt" strokecolor="#000000"/>
            <v:line style="position:absolute" from="8332,670" to="9629,670" stroked="true" strokeweight=".06pt" strokecolor="#000000"/>
            <v:line style="position:absolute" from="8332,671" to="9629,671" stroked="true" strokeweight=".06pt" strokecolor="#000000"/>
            <v:line style="position:absolute" from="8332,672" to="9629,672" stroked="true" strokeweight=".06pt" strokecolor="#000000"/>
            <v:line style="position:absolute" from="8332,673" to="9629,673" stroked="true" strokeweight=".06pt" strokecolor="#000000"/>
            <v:line style="position:absolute" from="8332,675" to="9629,675" stroked="true" strokeweight=".06pt" strokecolor="#000000"/>
            <v:line style="position:absolute" from="8332,676" to="9629,676" stroked="true" strokeweight=".06pt" strokecolor="#000000"/>
            <v:line style="position:absolute" from="8332,677" to="9629,677" stroked="true" strokeweight=".06pt" strokecolor="#000000"/>
            <v:line style="position:absolute" from="8332,678" to="9629,678" stroked="true" strokeweight=".06pt" strokecolor="#000000"/>
            <v:line style="position:absolute" from="9629,630" to="10926,630" stroked="true" strokeweight=".06pt" strokecolor="#000000"/>
            <v:line style="position:absolute" from="9629,631" to="10926,631" stroked="true" strokeweight=".06pt" strokecolor="#000000"/>
            <v:line style="position:absolute" from="9629,633" to="10926,633" stroked="true" strokeweight=".06pt" strokecolor="#000000"/>
            <v:line style="position:absolute" from="9629,634" to="10926,634" stroked="true" strokeweight=".06pt" strokecolor="#000000"/>
            <v:line style="position:absolute" from="9629,635" to="10926,635" stroked="true" strokeweight=".06pt" strokecolor="#000000"/>
            <v:line style="position:absolute" from="9629,636" to="10926,636" stroked="true" strokeweight=".06pt" strokecolor="#000000"/>
            <v:line style="position:absolute" from="9629,637" to="10926,637" stroked="true" strokeweight=".06pt" strokecolor="#000000"/>
            <v:line style="position:absolute" from="9629,639" to="10926,639" stroked="true" strokeweight=".06pt" strokecolor="#000000"/>
            <v:line style="position:absolute" from="9629,640" to="10926,640" stroked="true" strokeweight=".06pt" strokecolor="#000000"/>
            <v:line style="position:absolute" from="9629,641" to="10926,641" stroked="true" strokeweight=".06pt" strokecolor="#000000"/>
            <v:line style="position:absolute" from="9629,642" to="10926,642" stroked="true" strokeweight=".06pt" strokecolor="#000000"/>
            <v:line style="position:absolute" from="9629,643" to="10926,643" stroked="true" strokeweight=".06pt" strokecolor="#000000"/>
            <v:line style="position:absolute" from="9629,645" to="10926,645" stroked="true" strokeweight=".06pt" strokecolor="#000000"/>
            <v:line style="position:absolute" from="9629,664" to="10926,664" stroked="true" strokeweight=".06pt" strokecolor="#000000"/>
            <v:line style="position:absolute" from="9629,665" to="10926,665" stroked="true" strokeweight=".06pt" strokecolor="#000000"/>
            <v:line style="position:absolute" from="9629,666" to="10926,666" stroked="true" strokeweight=".06pt" strokecolor="#000000"/>
            <v:line style="position:absolute" from="9629,667" to="10926,667" stroked="true" strokeweight=".06pt" strokecolor="#000000"/>
            <v:line style="position:absolute" from="9629,669" to="10926,669" stroked="true" strokeweight=".06pt" strokecolor="#000000"/>
            <v:line style="position:absolute" from="9629,670" to="10926,670" stroked="true" strokeweight=".06pt" strokecolor="#000000"/>
            <v:line style="position:absolute" from="9629,671" to="10926,671" stroked="true" strokeweight=".06pt" strokecolor="#000000"/>
            <v:line style="position:absolute" from="9629,672" to="10926,672" stroked="true" strokeweight=".06pt" strokecolor="#000000"/>
            <v:line style="position:absolute" from="9629,673" to="10926,673" stroked="true" strokeweight=".06pt" strokecolor="#000000"/>
            <v:line style="position:absolute" from="9629,675" to="10926,675" stroked="true" strokeweight=".06pt" strokecolor="#000000"/>
            <v:line style="position:absolute" from="9629,676" to="10926,676" stroked="true" strokeweight=".06pt" strokecolor="#000000"/>
            <v:line style="position:absolute" from="9629,677" to="10926,677" stroked="true" strokeweight=".06pt" strokecolor="#000000"/>
            <v:line style="position:absolute" from="9629,678" to="10926,678" stroked="true" strokeweight=".06pt" strokecolor="#000000"/>
            <w10:wrap type="none"/>
          </v:group>
        </w:pict>
      </w:r>
      <w:r>
        <w:rPr>
          <w:sz w:val="18"/>
        </w:rPr>
        <w:t>increase/(decrease) in trade and</w:t>
      </w:r>
      <w:r>
        <w:rPr>
          <w:spacing w:val="-1"/>
          <w:sz w:val="18"/>
        </w:rPr>
        <w:t> </w:t>
      </w:r>
      <w:r>
        <w:rPr>
          <w:sz w:val="18"/>
        </w:rPr>
        <w:t>other</w:t>
      </w:r>
      <w:r>
        <w:rPr>
          <w:spacing w:val="-1"/>
          <w:sz w:val="18"/>
        </w:rPr>
        <w:t> </w:t>
      </w:r>
      <w:r>
        <w:rPr>
          <w:sz w:val="18"/>
        </w:rPr>
        <w:t>payables</w:t>
        <w:tab/>
      </w:r>
      <w:r>
        <w:rPr>
          <w:b/>
          <w:sz w:val="18"/>
        </w:rPr>
        <w:t>-</w:t>
        <w:tab/>
      </w:r>
      <w:r>
        <w:rPr>
          <w:sz w:val="18"/>
        </w:rPr>
        <w:t>- Net cash flows provided by</w:t>
      </w:r>
      <w:r>
        <w:rPr>
          <w:spacing w:val="-1"/>
          <w:sz w:val="18"/>
        </w:rPr>
        <w:t> </w:t>
      </w:r>
      <w:r>
        <w:rPr>
          <w:sz w:val="18"/>
        </w:rPr>
        <w:t>operating</w:t>
      </w:r>
      <w:r>
        <w:rPr>
          <w:spacing w:val="-1"/>
          <w:sz w:val="18"/>
        </w:rPr>
        <w:t> </w:t>
      </w:r>
      <w:r>
        <w:rPr>
          <w:sz w:val="18"/>
        </w:rPr>
        <w:t>activities</w:t>
        <w:tab/>
      </w:r>
      <w:r>
        <w:rPr>
          <w:b/>
          <w:position w:val="-8"/>
          <w:sz w:val="18"/>
        </w:rPr>
        <w:t>-</w:t>
        <w:tab/>
      </w:r>
      <w:r>
        <w:rPr>
          <w:position w:val="-8"/>
          <w:sz w:val="18"/>
        </w:rPr>
        <w:t>-</w:t>
      </w:r>
    </w:p>
    <w:p>
      <w:pPr>
        <w:pStyle w:val="BodyText"/>
        <w:rPr>
          <w:sz w:val="20"/>
        </w:rPr>
      </w:pPr>
    </w:p>
    <w:p>
      <w:pPr>
        <w:pStyle w:val="BodyText"/>
        <w:spacing w:before="2"/>
        <w:rPr>
          <w:sz w:val="17"/>
        </w:rPr>
      </w:pPr>
    </w:p>
    <w:p>
      <w:pPr>
        <w:pStyle w:val="Heading9"/>
        <w:spacing w:before="77"/>
        <w:ind w:left="505" w:right="161"/>
      </w:pPr>
      <w:r>
        <w:rPr/>
        <w:t>End of audited financial statements</w:t>
      </w:r>
    </w:p>
    <w:p>
      <w:pPr>
        <w:spacing w:after="0"/>
        <w:sectPr>
          <w:pgSz w:w="11910" w:h="16840"/>
          <w:pgMar w:header="1038" w:footer="501" w:top="2500" w:bottom="700" w:left="900" w:right="860"/>
        </w:sectPr>
      </w:pPr>
    </w:p>
    <w:p>
      <w:pPr>
        <w:pStyle w:val="BodyText"/>
        <w:spacing w:before="3"/>
        <w:rPr>
          <w:b/>
          <w:sz w:val="24"/>
        </w:rPr>
      </w:pPr>
    </w:p>
    <w:p>
      <w:pPr>
        <w:spacing w:before="64"/>
        <w:ind w:left="127" w:right="105" w:firstLine="0"/>
        <w:jc w:val="left"/>
        <w:rPr>
          <w:b/>
          <w:sz w:val="28"/>
        </w:rPr>
      </w:pPr>
      <w:r>
        <w:rPr>
          <w:b/>
          <w:sz w:val="28"/>
        </w:rPr>
        <w:t>Director's declaration</w:t>
      </w:r>
    </w:p>
    <w:p>
      <w:pPr>
        <w:pStyle w:val="BodyText"/>
        <w:rPr>
          <w:b/>
          <w:sz w:val="25"/>
        </w:rPr>
      </w:pPr>
    </w:p>
    <w:p>
      <w:pPr>
        <w:pStyle w:val="BodyText"/>
        <w:ind w:left="127" w:right="105"/>
      </w:pPr>
      <w:r>
        <w:rPr/>
        <w:t>In the Director's opinion:</w:t>
      </w:r>
    </w:p>
    <w:p>
      <w:pPr>
        <w:pStyle w:val="BodyText"/>
        <w:rPr>
          <w:sz w:val="25"/>
        </w:rPr>
      </w:pPr>
    </w:p>
    <w:p>
      <w:pPr>
        <w:pStyle w:val="ListParagraph"/>
        <w:numPr>
          <w:ilvl w:val="0"/>
          <w:numId w:val="83"/>
        </w:numPr>
        <w:tabs>
          <w:tab w:pos="429" w:val="left" w:leader="none"/>
        </w:tabs>
        <w:spacing w:line="240" w:lineRule="auto" w:before="0" w:after="0"/>
        <w:ind w:left="524" w:right="0" w:hanging="396"/>
        <w:jc w:val="left"/>
        <w:rPr>
          <w:sz w:val="18"/>
        </w:rPr>
      </w:pPr>
      <w:r>
        <w:rPr>
          <w:sz w:val="18"/>
        </w:rPr>
        <w:t>The financial statements and notes are in accordance with the </w:t>
      </w:r>
      <w:r>
        <w:rPr>
          <w:i/>
          <w:sz w:val="18"/>
        </w:rPr>
        <w:t>Corporations Act 2001</w:t>
      </w:r>
      <w:r>
        <w:rPr>
          <w:i/>
          <w:spacing w:val="-30"/>
          <w:sz w:val="18"/>
        </w:rPr>
        <w:t> </w:t>
      </w:r>
      <w:r>
        <w:rPr>
          <w:sz w:val="18"/>
        </w:rPr>
        <w:t>and:</w:t>
      </w:r>
    </w:p>
    <w:p>
      <w:pPr>
        <w:pStyle w:val="BodyText"/>
        <w:rPr>
          <w:sz w:val="25"/>
        </w:rPr>
      </w:pPr>
    </w:p>
    <w:p>
      <w:pPr>
        <w:pStyle w:val="ListParagraph"/>
        <w:numPr>
          <w:ilvl w:val="1"/>
          <w:numId w:val="83"/>
        </w:numPr>
        <w:tabs>
          <w:tab w:pos="922" w:val="left" w:leader="none"/>
        </w:tabs>
        <w:spacing w:line="240" w:lineRule="auto" w:before="0" w:after="0"/>
        <w:ind w:left="921" w:right="113" w:hanging="397"/>
        <w:jc w:val="both"/>
        <w:rPr>
          <w:sz w:val="18"/>
        </w:rPr>
      </w:pPr>
      <w:r>
        <w:rPr>
          <w:sz w:val="18"/>
        </w:rPr>
        <w:t>comply with Australian Accounting Standards and other interpretations, the </w:t>
      </w:r>
      <w:r>
        <w:rPr>
          <w:i/>
          <w:sz w:val="18"/>
        </w:rPr>
        <w:t>Corporations Regulations 2001, Public </w:t>
      </w:r>
      <w:r>
        <w:rPr>
          <w:i/>
          <w:sz w:val="18"/>
        </w:rPr>
        <w:t>Finance and Audit Act 1983, the Public Finance and Audit Regulation 2015 </w:t>
      </w:r>
      <w:r>
        <w:rPr>
          <w:sz w:val="18"/>
        </w:rPr>
        <w:t>and other mandatory professional reporting requirements;</w:t>
      </w:r>
      <w:r>
        <w:rPr>
          <w:spacing w:val="-1"/>
          <w:sz w:val="18"/>
        </w:rPr>
        <w:t> </w:t>
      </w:r>
      <w:r>
        <w:rPr>
          <w:sz w:val="18"/>
        </w:rPr>
        <w:t>and</w:t>
      </w:r>
    </w:p>
    <w:p>
      <w:pPr>
        <w:pStyle w:val="BodyText"/>
        <w:rPr>
          <w:sz w:val="25"/>
        </w:rPr>
      </w:pPr>
    </w:p>
    <w:p>
      <w:pPr>
        <w:pStyle w:val="ListParagraph"/>
        <w:numPr>
          <w:ilvl w:val="1"/>
          <w:numId w:val="83"/>
        </w:numPr>
        <w:tabs>
          <w:tab w:pos="921" w:val="left" w:leader="none"/>
        </w:tabs>
        <w:spacing w:line="240" w:lineRule="auto" w:before="0" w:after="0"/>
        <w:ind w:left="921" w:right="113" w:hanging="397"/>
        <w:jc w:val="both"/>
        <w:rPr>
          <w:sz w:val="18"/>
        </w:rPr>
      </w:pPr>
      <w:r>
        <w:rPr>
          <w:sz w:val="18"/>
        </w:rPr>
        <w:t>give a true and fair view of the Company's financial position as at 31 December 2017 and financial performance for the financial year ended on that</w:t>
      </w:r>
      <w:r>
        <w:rPr>
          <w:spacing w:val="-1"/>
          <w:sz w:val="18"/>
        </w:rPr>
        <w:t> </w:t>
      </w:r>
      <w:r>
        <w:rPr>
          <w:sz w:val="18"/>
        </w:rPr>
        <w:t>date;</w:t>
      </w:r>
    </w:p>
    <w:p>
      <w:pPr>
        <w:pStyle w:val="BodyText"/>
        <w:spacing w:before="10"/>
        <w:rPr>
          <w:sz w:val="17"/>
        </w:rPr>
      </w:pPr>
    </w:p>
    <w:p>
      <w:pPr>
        <w:pStyle w:val="ListParagraph"/>
        <w:numPr>
          <w:ilvl w:val="0"/>
          <w:numId w:val="83"/>
        </w:numPr>
        <w:tabs>
          <w:tab w:pos="524" w:val="left" w:leader="none"/>
        </w:tabs>
        <w:spacing w:line="240" w:lineRule="auto" w:before="0" w:after="0"/>
        <w:ind w:left="524" w:right="114" w:hanging="396"/>
        <w:jc w:val="left"/>
        <w:rPr>
          <w:sz w:val="18"/>
        </w:rPr>
      </w:pPr>
      <w:r>
        <w:rPr>
          <w:sz w:val="18"/>
        </w:rPr>
        <w:t>There are reasonable grounds to believe that the Company will be able to pay its debts as and when they become due and</w:t>
      </w:r>
      <w:r>
        <w:rPr>
          <w:spacing w:val="-1"/>
          <w:sz w:val="18"/>
        </w:rPr>
        <w:t> </w:t>
      </w:r>
      <w:r>
        <w:rPr>
          <w:sz w:val="18"/>
        </w:rPr>
        <w:t>payable.</w:t>
      </w:r>
    </w:p>
    <w:p>
      <w:pPr>
        <w:pStyle w:val="BodyText"/>
        <w:spacing w:before="10"/>
        <w:rPr>
          <w:sz w:val="17"/>
        </w:rPr>
      </w:pPr>
    </w:p>
    <w:p>
      <w:pPr>
        <w:pStyle w:val="ListParagraph"/>
        <w:numPr>
          <w:ilvl w:val="0"/>
          <w:numId w:val="83"/>
        </w:numPr>
        <w:tabs>
          <w:tab w:pos="524" w:val="left" w:leader="none"/>
        </w:tabs>
        <w:spacing w:line="240" w:lineRule="auto" w:before="0" w:after="0"/>
        <w:ind w:left="524" w:right="114" w:hanging="396"/>
        <w:jc w:val="left"/>
        <w:rPr>
          <w:sz w:val="18"/>
        </w:rPr>
      </w:pPr>
      <w:r>
        <w:rPr>
          <w:sz w:val="18"/>
        </w:rPr>
        <w:t>We are not aware of any circumstances which would render any particulars in the financial statements to be misleading or</w:t>
      </w:r>
      <w:r>
        <w:rPr>
          <w:spacing w:val="-1"/>
          <w:sz w:val="18"/>
        </w:rPr>
        <w:t> </w:t>
      </w:r>
      <w:r>
        <w:rPr>
          <w:sz w:val="18"/>
        </w:rPr>
        <w:t>inaccurate.</w:t>
      </w:r>
    </w:p>
    <w:p>
      <w:pPr>
        <w:pStyle w:val="BodyText"/>
        <w:rPr>
          <w:sz w:val="25"/>
        </w:rPr>
      </w:pPr>
    </w:p>
    <w:p>
      <w:pPr>
        <w:spacing w:before="0"/>
        <w:ind w:left="128" w:right="105" w:firstLine="0"/>
        <w:jc w:val="left"/>
        <w:rPr>
          <w:sz w:val="18"/>
        </w:rPr>
      </w:pPr>
      <w:r>
        <w:rPr/>
        <w:pict>
          <v:shape style="position:absolute;margin-left:49.513016pt;margin-top:20.625046pt;width:474.2pt;height:231.6pt;mso-position-horizontal-relative:page;mso-position-vertical-relative:paragraph;z-index:-1179160"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tabs>
                      <w:tab w:pos="5019" w:val="left" w:leader="none"/>
                    </w:tabs>
                    <w:spacing w:before="144"/>
                    <w:ind w:left="59"/>
                  </w:pPr>
                  <w:r>
                    <w:rPr/>
                    <w:t>Director ............................................................................</w:t>
                    <w:tab/>
                    <w:t>Director</w:t>
                  </w:r>
                  <w:r>
                    <w:rPr>
                      <w:spacing w:val="2"/>
                    </w:rPr>
                    <w:t> </w:t>
                  </w:r>
                  <w:r>
                    <w:rPr/>
                    <w:t>...........................................................................</w:t>
                  </w:r>
                </w:p>
                <w:p>
                  <w:pPr>
                    <w:pStyle w:val="BodyText"/>
                    <w:spacing w:before="10"/>
                    <w:rPr>
                      <w:sz w:val="17"/>
                    </w:rPr>
                  </w:pPr>
                </w:p>
                <w:p>
                  <w:pPr>
                    <w:pStyle w:val="BodyText"/>
                    <w:tabs>
                      <w:tab w:pos="5019" w:val="left" w:leader="none"/>
                    </w:tabs>
                    <w:ind w:left="59"/>
                  </w:pPr>
                  <w:r>
                    <w:rPr/>
                    <w:t>The Hon.</w:t>
                  </w:r>
                  <w:r>
                    <w:rPr>
                      <w:spacing w:val="-1"/>
                    </w:rPr>
                    <w:t> </w:t>
                  </w:r>
                  <w:r>
                    <w:rPr/>
                    <w:t>John</w:t>
                  </w:r>
                  <w:r>
                    <w:rPr>
                      <w:spacing w:val="-1"/>
                    </w:rPr>
                    <w:t> </w:t>
                  </w:r>
                  <w:r>
                    <w:rPr/>
                    <w:t>Faulkner</w:t>
                    <w:tab/>
                    <w:t>Ms Gabrielle</w:t>
                  </w:r>
                  <w:r>
                    <w:rPr>
                      <w:spacing w:val="-1"/>
                    </w:rPr>
                    <w:t> </w:t>
                  </w:r>
                  <w:r>
                    <w:rPr/>
                    <w:t>Trainor</w:t>
                  </w:r>
                </w:p>
                <w:p>
                  <w:pPr>
                    <w:pStyle w:val="BodyText"/>
                  </w:pPr>
                </w:p>
                <w:p>
                  <w:pPr>
                    <w:pStyle w:val="BodyText"/>
                  </w:pPr>
                </w:p>
                <w:p>
                  <w:pPr>
                    <w:pStyle w:val="BodyText"/>
                  </w:pPr>
                </w:p>
                <w:p>
                  <w:pPr>
                    <w:pStyle w:val="BodyText"/>
                  </w:pPr>
                </w:p>
                <w:p>
                  <w:pPr>
                    <w:pStyle w:val="BodyText"/>
                    <w:spacing w:before="138"/>
                    <w:ind w:left="17"/>
                  </w:pPr>
                  <w:r>
                    <w:rPr/>
                    <w:t>Dated 23 February 2018</w:t>
                  </w:r>
                </w:p>
              </w:txbxContent>
            </v:textbox>
            <w10:wrap type="none"/>
          </v:shape>
        </w:pict>
      </w:r>
      <w:r>
        <w:rPr>
          <w:sz w:val="18"/>
        </w:rPr>
        <w:t>This declaration is made in accordance with a resolution of the Directors, pursuant to section 295(4) of the </w:t>
      </w:r>
      <w:r>
        <w:rPr>
          <w:i/>
          <w:sz w:val="18"/>
        </w:rPr>
        <w:t>Corporations Act </w:t>
      </w:r>
      <w:r>
        <w:rPr>
          <w:i/>
          <w:sz w:val="18"/>
        </w:rPr>
        <w:t>2001</w:t>
      </w:r>
      <w:r>
        <w:rPr>
          <w:sz w:val="18"/>
        </w:rPr>
        <w:t>, and 41(C) of the </w:t>
      </w:r>
      <w:r>
        <w:rPr>
          <w:i/>
          <w:sz w:val="18"/>
        </w:rPr>
        <w:t>Public Finance and Audit Act 1983</w:t>
      </w:r>
      <w:r>
        <w:rPr>
          <w:sz w:val="18"/>
        </w:rPr>
        <w:t>.</w:t>
      </w:r>
    </w:p>
    <w:p>
      <w:pPr>
        <w:pStyle w:val="BodyText"/>
        <w:ind w:left="110"/>
        <w:rPr>
          <w:sz w:val="20"/>
        </w:rPr>
      </w:pPr>
      <w:r>
        <w:rPr>
          <w:sz w:val="20"/>
        </w:rPr>
        <w:drawing>
          <wp:inline distT="0" distB="0" distL="0" distR="0">
            <wp:extent cx="6013044" cy="2936652"/>
            <wp:effectExtent l="0" t="0" r="0" b="0"/>
            <wp:docPr id="55" name="image37.jpeg" descr=""/>
            <wp:cNvGraphicFramePr>
              <a:graphicFrameLocks noChangeAspect="1"/>
            </wp:cNvGraphicFramePr>
            <a:graphic>
              <a:graphicData uri="http://schemas.openxmlformats.org/drawingml/2006/picture">
                <pic:pic>
                  <pic:nvPicPr>
                    <pic:cNvPr id="56" name="image37.jpeg"/>
                    <pic:cNvPicPr/>
                  </pic:nvPicPr>
                  <pic:blipFill>
                    <a:blip r:embed="rId145" cstate="print"/>
                    <a:stretch>
                      <a:fillRect/>
                    </a:stretch>
                  </pic:blipFill>
                  <pic:spPr>
                    <a:xfrm>
                      <a:off x="0" y="0"/>
                      <a:ext cx="6013044" cy="2936652"/>
                    </a:xfrm>
                    <a:prstGeom prst="rect">
                      <a:avLst/>
                    </a:prstGeom>
                  </pic:spPr>
                </pic:pic>
              </a:graphicData>
            </a:graphic>
          </wp:inline>
        </w:drawing>
      </w:r>
      <w:r>
        <w:rPr>
          <w:sz w:val="20"/>
        </w:rPr>
      </w:r>
    </w:p>
    <w:p>
      <w:pPr>
        <w:spacing w:after="0"/>
        <w:rPr>
          <w:sz w:val="20"/>
        </w:rPr>
        <w:sectPr>
          <w:headerReference w:type="default" r:id="rId144"/>
          <w:pgSz w:w="11910" w:h="16840"/>
          <w:pgMar w:header="1038" w:footer="501" w:top="1540" w:bottom="700" w:left="880" w:right="860"/>
        </w:sectPr>
      </w:pPr>
    </w:p>
    <w:p>
      <w:pPr>
        <w:pStyle w:val="BodyText"/>
        <w:ind w:left="4427"/>
        <w:rPr>
          <w:sz w:val="20"/>
        </w:rPr>
      </w:pPr>
      <w:r>
        <w:rPr>
          <w:sz w:val="20"/>
        </w:rPr>
        <w:drawing>
          <wp:inline distT="0" distB="0" distL="0" distR="0">
            <wp:extent cx="1005045" cy="1060703"/>
            <wp:effectExtent l="0" t="0" r="0" b="0"/>
            <wp:docPr id="57" name="image38.png" descr=""/>
            <wp:cNvGraphicFramePr>
              <a:graphicFrameLocks noChangeAspect="1"/>
            </wp:cNvGraphicFramePr>
            <a:graphic>
              <a:graphicData uri="http://schemas.openxmlformats.org/drawingml/2006/picture">
                <pic:pic>
                  <pic:nvPicPr>
                    <pic:cNvPr id="58" name="image38.png"/>
                    <pic:cNvPicPr/>
                  </pic:nvPicPr>
                  <pic:blipFill>
                    <a:blip r:embed="rId147" cstate="print"/>
                    <a:stretch>
                      <a:fillRect/>
                    </a:stretch>
                  </pic:blipFill>
                  <pic:spPr>
                    <a:xfrm>
                      <a:off x="0" y="0"/>
                      <a:ext cx="1005045" cy="1060703"/>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5"/>
        <w:rPr>
          <w:sz w:val="22"/>
        </w:rPr>
      </w:pPr>
    </w:p>
    <w:p>
      <w:pPr>
        <w:spacing w:before="69"/>
        <w:ind w:left="2368" w:right="2366" w:firstLine="0"/>
        <w:jc w:val="center"/>
        <w:rPr>
          <w:b/>
          <w:sz w:val="24"/>
        </w:rPr>
      </w:pPr>
      <w:r>
        <w:rPr>
          <w:b/>
          <w:sz w:val="24"/>
        </w:rPr>
        <w:t>INDEPENDENT AUDITOR’S REPORT</w:t>
      </w:r>
    </w:p>
    <w:p>
      <w:pPr>
        <w:spacing w:before="169"/>
        <w:ind w:left="2368" w:right="2376" w:firstLine="0"/>
        <w:jc w:val="center"/>
        <w:rPr>
          <w:b/>
          <w:sz w:val="20"/>
        </w:rPr>
      </w:pPr>
      <w:r>
        <w:rPr>
          <w:b/>
          <w:sz w:val="20"/>
        </w:rPr>
        <w:t>Whitlam Institute within Western Sydney University Limited</w:t>
      </w:r>
    </w:p>
    <w:p>
      <w:pPr>
        <w:pStyle w:val="BodyText"/>
        <w:rPr>
          <w:b/>
          <w:sz w:val="20"/>
        </w:rPr>
      </w:pPr>
    </w:p>
    <w:p>
      <w:pPr>
        <w:pStyle w:val="BodyText"/>
        <w:rPr>
          <w:b/>
          <w:sz w:val="20"/>
        </w:rPr>
      </w:pPr>
    </w:p>
    <w:p>
      <w:pPr>
        <w:spacing w:line="249" w:lineRule="auto" w:before="131"/>
        <w:ind w:left="678" w:right="995" w:firstLine="0"/>
        <w:jc w:val="left"/>
        <w:rPr>
          <w:sz w:val="20"/>
        </w:rPr>
      </w:pPr>
      <w:r>
        <w:rPr>
          <w:sz w:val="20"/>
        </w:rPr>
        <w:t>To Members of the New South Wales Parliament and Members of Whitlam Institute within Western Sydney University Limited</w:t>
      </w:r>
    </w:p>
    <w:p>
      <w:pPr>
        <w:spacing w:before="162"/>
        <w:ind w:left="678" w:right="995" w:firstLine="0"/>
        <w:jc w:val="left"/>
        <w:rPr>
          <w:b/>
          <w:sz w:val="24"/>
        </w:rPr>
      </w:pPr>
      <w:r>
        <w:rPr>
          <w:b/>
          <w:sz w:val="24"/>
        </w:rPr>
        <w:t>Opinion</w:t>
      </w:r>
    </w:p>
    <w:p>
      <w:pPr>
        <w:spacing w:line="249" w:lineRule="auto" w:before="122"/>
        <w:ind w:left="678" w:right="782" w:firstLine="0"/>
        <w:jc w:val="left"/>
        <w:rPr>
          <w:sz w:val="20"/>
        </w:rPr>
      </w:pPr>
      <w:r>
        <w:rPr>
          <w:sz w:val="20"/>
        </w:rPr>
        <w:t>I have audited the accompanying financial statements of Whitlam Institute within Western Sydney University Limited (the Company), which comprise, the Statement of Comprehensive Income for the year ended 31 December 2017, the Statement of Financial Position as at December 2017, Statement of Changes in Equity and Statement of Cash Flows for the year then ended, notes comprising a summary of significant accounting policies and other explanatory information, and the directors’ declaration.</w:t>
      </w:r>
    </w:p>
    <w:p>
      <w:pPr>
        <w:spacing w:before="171"/>
        <w:ind w:left="678" w:right="995" w:firstLine="0"/>
        <w:jc w:val="left"/>
        <w:rPr>
          <w:sz w:val="20"/>
        </w:rPr>
      </w:pPr>
      <w:r>
        <w:rPr>
          <w:sz w:val="20"/>
        </w:rPr>
        <w:t>In my opinion the financial statements:</w:t>
      </w:r>
    </w:p>
    <w:p>
      <w:pPr>
        <w:pStyle w:val="BodyText"/>
        <w:spacing w:before="7"/>
        <w:rPr>
          <w:sz w:val="15"/>
        </w:rPr>
      </w:pPr>
    </w:p>
    <w:p>
      <w:pPr>
        <w:pStyle w:val="ListParagraph"/>
        <w:numPr>
          <w:ilvl w:val="0"/>
          <w:numId w:val="84"/>
        </w:numPr>
        <w:tabs>
          <w:tab w:pos="1246" w:val="left" w:leader="none"/>
        </w:tabs>
        <w:spacing w:line="240" w:lineRule="auto" w:before="1" w:after="0"/>
        <w:ind w:left="1245" w:right="0" w:hanging="567"/>
        <w:jc w:val="left"/>
        <w:rPr>
          <w:sz w:val="20"/>
        </w:rPr>
      </w:pPr>
      <w:r>
        <w:rPr>
          <w:sz w:val="20"/>
        </w:rPr>
        <w:t>are in accordance with the </w:t>
      </w:r>
      <w:r>
        <w:rPr>
          <w:i/>
          <w:sz w:val="20"/>
        </w:rPr>
        <w:t>Corporations Act 2001</w:t>
      </w:r>
      <w:r>
        <w:rPr>
          <w:sz w:val="20"/>
        </w:rPr>
        <w:t>,</w:t>
      </w:r>
      <w:r>
        <w:rPr>
          <w:spacing w:val="-15"/>
          <w:sz w:val="20"/>
        </w:rPr>
        <w:t> </w:t>
      </w:r>
      <w:r>
        <w:rPr>
          <w:sz w:val="20"/>
        </w:rPr>
        <w:t>including:</w:t>
      </w:r>
    </w:p>
    <w:p>
      <w:pPr>
        <w:pStyle w:val="ListParagraph"/>
        <w:numPr>
          <w:ilvl w:val="1"/>
          <w:numId w:val="84"/>
        </w:numPr>
        <w:tabs>
          <w:tab w:pos="1812" w:val="left" w:leader="none"/>
        </w:tabs>
        <w:spacing w:line="240" w:lineRule="exact" w:before="65" w:after="0"/>
        <w:ind w:left="1811" w:right="952" w:hanging="566"/>
        <w:jc w:val="left"/>
        <w:rPr>
          <w:sz w:val="20"/>
        </w:rPr>
      </w:pPr>
      <w:r>
        <w:rPr>
          <w:sz w:val="20"/>
        </w:rPr>
        <w:t>giving a true and fair view of the Company’s financial position as at 31 December 2017 and its performance for the year ended on that</w:t>
      </w:r>
      <w:r>
        <w:rPr>
          <w:spacing w:val="-11"/>
          <w:sz w:val="20"/>
        </w:rPr>
        <w:t> </w:t>
      </w:r>
      <w:r>
        <w:rPr>
          <w:sz w:val="20"/>
        </w:rPr>
        <w:t>date</w:t>
      </w:r>
    </w:p>
    <w:p>
      <w:pPr>
        <w:pStyle w:val="ListParagraph"/>
        <w:numPr>
          <w:ilvl w:val="1"/>
          <w:numId w:val="84"/>
        </w:numPr>
        <w:tabs>
          <w:tab w:pos="1812" w:val="left" w:leader="none"/>
        </w:tabs>
        <w:spacing w:line="240" w:lineRule="auto" w:before="64" w:after="0"/>
        <w:ind w:left="1811" w:right="0" w:hanging="566"/>
        <w:jc w:val="left"/>
        <w:rPr>
          <w:sz w:val="20"/>
        </w:rPr>
      </w:pPr>
      <w:r>
        <w:rPr>
          <w:sz w:val="20"/>
        </w:rPr>
        <w:t>complying with Australian Accounting Standards and the Corporations Regulations</w:t>
      </w:r>
      <w:r>
        <w:rPr>
          <w:spacing w:val="-27"/>
          <w:sz w:val="20"/>
        </w:rPr>
        <w:t> </w:t>
      </w:r>
      <w:r>
        <w:rPr>
          <w:sz w:val="20"/>
        </w:rPr>
        <w:t>2001</w:t>
      </w:r>
    </w:p>
    <w:p>
      <w:pPr>
        <w:pStyle w:val="ListParagraph"/>
        <w:numPr>
          <w:ilvl w:val="0"/>
          <w:numId w:val="84"/>
        </w:numPr>
        <w:tabs>
          <w:tab w:pos="1246" w:val="left" w:leader="none"/>
        </w:tabs>
        <w:spacing w:line="252" w:lineRule="auto" w:before="52" w:after="0"/>
        <w:ind w:left="1245" w:right="962" w:hanging="567"/>
        <w:jc w:val="left"/>
        <w:rPr>
          <w:sz w:val="20"/>
        </w:rPr>
      </w:pPr>
      <w:r>
        <w:rPr>
          <w:sz w:val="20"/>
        </w:rPr>
        <w:t>are in accordance with section 41B of the </w:t>
      </w:r>
      <w:r>
        <w:rPr>
          <w:i/>
          <w:sz w:val="20"/>
        </w:rPr>
        <w:t>Public Finance and Audit Act 1983 </w:t>
      </w:r>
      <w:r>
        <w:rPr>
          <w:sz w:val="20"/>
        </w:rPr>
        <w:t>(PF&amp;A Act) and the Public Finance and Audit Regulation</w:t>
      </w:r>
      <w:r>
        <w:rPr>
          <w:spacing w:val="-12"/>
          <w:sz w:val="20"/>
        </w:rPr>
        <w:t> </w:t>
      </w:r>
      <w:r>
        <w:rPr>
          <w:sz w:val="20"/>
        </w:rPr>
        <w:t>2015.</w:t>
      </w:r>
    </w:p>
    <w:p>
      <w:pPr>
        <w:pStyle w:val="BodyText"/>
        <w:spacing w:before="5"/>
        <w:rPr>
          <w:sz w:val="21"/>
        </w:rPr>
      </w:pPr>
    </w:p>
    <w:p>
      <w:pPr>
        <w:pStyle w:val="Heading4"/>
        <w:ind w:left="678" w:right="995"/>
      </w:pPr>
      <w:r>
        <w:rPr/>
        <w:t>Basis for Opinion</w:t>
      </w:r>
    </w:p>
    <w:p>
      <w:pPr>
        <w:spacing w:line="249" w:lineRule="auto" w:before="121"/>
        <w:ind w:left="678" w:right="782" w:firstLine="0"/>
        <w:jc w:val="left"/>
        <w:rPr>
          <w:sz w:val="20"/>
        </w:rPr>
      </w:pPr>
      <w:r>
        <w:rPr>
          <w:sz w:val="20"/>
        </w:rPr>
        <w:t>I conducted my audit in accordance with Australian Auditing Standards. My responsibilities under the standards are described in the ‘Auditor’s Responsibilities for the Audit of the Financial Statements’ section of my report.</w:t>
      </w:r>
    </w:p>
    <w:p>
      <w:pPr>
        <w:spacing w:before="171"/>
        <w:ind w:left="678" w:right="995" w:firstLine="0"/>
        <w:jc w:val="left"/>
        <w:rPr>
          <w:sz w:val="20"/>
        </w:rPr>
      </w:pPr>
      <w:r>
        <w:rPr>
          <w:sz w:val="20"/>
        </w:rPr>
        <w:t>I am independent of the Company in accordance with the requirements of the:</w:t>
      </w:r>
    </w:p>
    <w:p>
      <w:pPr>
        <w:pStyle w:val="BodyText"/>
        <w:spacing w:before="7"/>
        <w:rPr>
          <w:sz w:val="15"/>
        </w:rPr>
      </w:pPr>
    </w:p>
    <w:p>
      <w:pPr>
        <w:pStyle w:val="ListParagraph"/>
        <w:numPr>
          <w:ilvl w:val="0"/>
          <w:numId w:val="84"/>
        </w:numPr>
        <w:tabs>
          <w:tab w:pos="1246" w:val="left" w:leader="none"/>
        </w:tabs>
        <w:spacing w:line="240" w:lineRule="auto" w:before="1" w:after="0"/>
        <w:ind w:left="1245" w:right="0" w:hanging="567"/>
        <w:jc w:val="left"/>
        <w:rPr>
          <w:sz w:val="20"/>
        </w:rPr>
      </w:pPr>
      <w:r>
        <w:rPr>
          <w:sz w:val="20"/>
        </w:rPr>
        <w:t>Australian Auditing</w:t>
      </w:r>
      <w:r>
        <w:rPr>
          <w:spacing w:val="-10"/>
          <w:sz w:val="20"/>
        </w:rPr>
        <w:t> </w:t>
      </w:r>
      <w:r>
        <w:rPr>
          <w:sz w:val="20"/>
        </w:rPr>
        <w:t>Standards</w:t>
      </w:r>
    </w:p>
    <w:p>
      <w:pPr>
        <w:pStyle w:val="ListParagraph"/>
        <w:numPr>
          <w:ilvl w:val="0"/>
          <w:numId w:val="84"/>
        </w:numPr>
        <w:tabs>
          <w:tab w:pos="1246" w:val="left" w:leader="none"/>
        </w:tabs>
        <w:spacing w:line="240" w:lineRule="auto" w:before="70" w:after="0"/>
        <w:ind w:left="1245" w:right="0" w:hanging="567"/>
        <w:jc w:val="left"/>
        <w:rPr>
          <w:i/>
          <w:sz w:val="20"/>
        </w:rPr>
      </w:pPr>
      <w:r>
        <w:rPr>
          <w:i/>
          <w:sz w:val="20"/>
        </w:rPr>
        <w:t>Corporations Act</w:t>
      </w:r>
      <w:r>
        <w:rPr>
          <w:i/>
          <w:spacing w:val="-9"/>
          <w:sz w:val="20"/>
        </w:rPr>
        <w:t> </w:t>
      </w:r>
      <w:r>
        <w:rPr>
          <w:i/>
          <w:sz w:val="20"/>
        </w:rPr>
        <w:t>2001</w:t>
      </w:r>
    </w:p>
    <w:p>
      <w:pPr>
        <w:pStyle w:val="ListParagraph"/>
        <w:numPr>
          <w:ilvl w:val="0"/>
          <w:numId w:val="84"/>
        </w:numPr>
        <w:tabs>
          <w:tab w:pos="1246" w:val="left" w:leader="none"/>
        </w:tabs>
        <w:spacing w:line="249" w:lineRule="auto" w:before="70" w:after="0"/>
        <w:ind w:left="1245" w:right="1624" w:hanging="567"/>
        <w:jc w:val="left"/>
        <w:rPr>
          <w:sz w:val="20"/>
        </w:rPr>
      </w:pPr>
      <w:r>
        <w:rPr>
          <w:sz w:val="20"/>
        </w:rPr>
        <w:t>Accounting Professional and Ethical Standards Board’s APES 110 ‘Code of Ethics</w:t>
      </w:r>
      <w:r>
        <w:rPr>
          <w:spacing w:val="-23"/>
          <w:sz w:val="20"/>
        </w:rPr>
        <w:t> </w:t>
      </w:r>
      <w:r>
        <w:rPr>
          <w:sz w:val="20"/>
        </w:rPr>
        <w:t>for Professional Accountants’ (APES</w:t>
      </w:r>
      <w:r>
        <w:rPr>
          <w:spacing w:val="-11"/>
          <w:sz w:val="20"/>
        </w:rPr>
        <w:t> </w:t>
      </w:r>
      <w:r>
        <w:rPr>
          <w:sz w:val="20"/>
        </w:rPr>
        <w:t>110).</w:t>
      </w:r>
    </w:p>
    <w:p>
      <w:pPr>
        <w:pStyle w:val="BodyText"/>
        <w:spacing w:before="3"/>
        <w:rPr>
          <w:sz w:val="17"/>
        </w:rPr>
      </w:pPr>
    </w:p>
    <w:p>
      <w:pPr>
        <w:spacing w:before="0"/>
        <w:ind w:left="678" w:right="995" w:firstLine="0"/>
        <w:jc w:val="left"/>
        <w:rPr>
          <w:sz w:val="20"/>
        </w:rPr>
      </w:pPr>
      <w:r>
        <w:rPr>
          <w:sz w:val="20"/>
        </w:rPr>
        <w:t>I have fulfilled my other ethical responsibilities in accordance with APES 110.</w:t>
      </w:r>
    </w:p>
    <w:p>
      <w:pPr>
        <w:pStyle w:val="BodyText"/>
        <w:spacing w:before="7"/>
        <w:rPr>
          <w:sz w:val="15"/>
        </w:rPr>
      </w:pPr>
    </w:p>
    <w:p>
      <w:pPr>
        <w:spacing w:line="249" w:lineRule="auto" w:before="1"/>
        <w:ind w:left="678" w:right="1193" w:firstLine="0"/>
        <w:jc w:val="left"/>
        <w:rPr>
          <w:sz w:val="20"/>
        </w:rPr>
      </w:pPr>
      <w:r>
        <w:rPr>
          <w:sz w:val="20"/>
        </w:rPr>
        <w:t>Parliament promotes independence by ensuring the Auditor-General and the Audit Office of New South Wales are not compromised in their roles by:</w:t>
      </w:r>
    </w:p>
    <w:p>
      <w:pPr>
        <w:pStyle w:val="ListParagraph"/>
        <w:numPr>
          <w:ilvl w:val="0"/>
          <w:numId w:val="84"/>
        </w:numPr>
        <w:tabs>
          <w:tab w:pos="1246" w:val="left" w:leader="none"/>
        </w:tabs>
        <w:spacing w:line="249" w:lineRule="auto" w:before="171" w:after="0"/>
        <w:ind w:left="1245" w:right="1229" w:hanging="567"/>
        <w:jc w:val="left"/>
        <w:rPr>
          <w:sz w:val="20"/>
        </w:rPr>
      </w:pPr>
      <w:r>
        <w:rPr>
          <w:sz w:val="20"/>
        </w:rPr>
        <w:t>providing that only Parliament, and not the executive government, can remove an Auditor- General</w:t>
      </w:r>
    </w:p>
    <w:p>
      <w:pPr>
        <w:pStyle w:val="ListParagraph"/>
        <w:numPr>
          <w:ilvl w:val="0"/>
          <w:numId w:val="84"/>
        </w:numPr>
        <w:tabs>
          <w:tab w:pos="1246" w:val="left" w:leader="none"/>
        </w:tabs>
        <w:spacing w:line="240" w:lineRule="auto" w:before="61" w:after="0"/>
        <w:ind w:left="1245" w:right="0" w:hanging="567"/>
        <w:jc w:val="left"/>
        <w:rPr>
          <w:sz w:val="20"/>
        </w:rPr>
      </w:pPr>
      <w:r>
        <w:rPr>
          <w:sz w:val="20"/>
        </w:rPr>
        <w:t>mandating the Auditor-General as auditor of public sector</w:t>
      </w:r>
      <w:r>
        <w:rPr>
          <w:spacing w:val="-16"/>
          <w:sz w:val="20"/>
        </w:rPr>
        <w:t> </w:t>
      </w:r>
      <w:r>
        <w:rPr>
          <w:sz w:val="20"/>
        </w:rPr>
        <w:t>agencies</w:t>
      </w:r>
    </w:p>
    <w:p>
      <w:pPr>
        <w:pStyle w:val="ListParagraph"/>
        <w:numPr>
          <w:ilvl w:val="0"/>
          <w:numId w:val="84"/>
        </w:numPr>
        <w:tabs>
          <w:tab w:pos="1246" w:val="left" w:leader="none"/>
        </w:tabs>
        <w:spacing w:line="240" w:lineRule="auto" w:before="70" w:after="0"/>
        <w:ind w:left="1245" w:right="0" w:hanging="567"/>
        <w:jc w:val="left"/>
        <w:rPr>
          <w:sz w:val="20"/>
        </w:rPr>
      </w:pPr>
      <w:r>
        <w:rPr>
          <w:sz w:val="20"/>
        </w:rPr>
        <w:t>precluding the Auditor-General from providing non-audit</w:t>
      </w:r>
      <w:r>
        <w:rPr>
          <w:spacing w:val="-19"/>
          <w:sz w:val="20"/>
        </w:rPr>
        <w:t> </w:t>
      </w:r>
      <w:r>
        <w:rPr>
          <w:sz w:val="20"/>
        </w:rPr>
        <w:t>services.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r>
        <w:rPr/>
        <w:drawing>
          <wp:anchor distT="0" distB="0" distL="0" distR="0" allowOverlap="1" layoutInCell="1" locked="0" behindDoc="0" simplePos="0" relativeHeight="4888">
            <wp:simplePos x="0" y="0"/>
            <wp:positionH relativeFrom="page">
              <wp:posOffset>540384</wp:posOffset>
            </wp:positionH>
            <wp:positionV relativeFrom="paragraph">
              <wp:posOffset>227390</wp:posOffset>
            </wp:positionV>
            <wp:extent cx="6483349" cy="219456"/>
            <wp:effectExtent l="0" t="0" r="0" b="0"/>
            <wp:wrapTopAndBottom/>
            <wp:docPr id="59" name="image39.jpeg" descr=""/>
            <wp:cNvGraphicFramePr>
              <a:graphicFrameLocks noChangeAspect="1"/>
            </wp:cNvGraphicFramePr>
            <a:graphic>
              <a:graphicData uri="http://schemas.openxmlformats.org/drawingml/2006/picture">
                <pic:pic>
                  <pic:nvPicPr>
                    <pic:cNvPr id="60" name="image39.jpeg"/>
                    <pic:cNvPicPr/>
                  </pic:nvPicPr>
                  <pic:blipFill>
                    <a:blip r:embed="rId148" cstate="print"/>
                    <a:stretch>
                      <a:fillRect/>
                    </a:stretch>
                  </pic:blipFill>
                  <pic:spPr>
                    <a:xfrm>
                      <a:off x="0" y="0"/>
                      <a:ext cx="6483349" cy="219456"/>
                    </a:xfrm>
                    <a:prstGeom prst="rect">
                      <a:avLst/>
                    </a:prstGeom>
                  </pic:spPr>
                </pic:pic>
              </a:graphicData>
            </a:graphic>
          </wp:anchor>
        </w:drawing>
      </w:r>
    </w:p>
    <w:p>
      <w:pPr>
        <w:spacing w:after="0"/>
        <w:rPr>
          <w:sz w:val="27"/>
        </w:rPr>
        <w:sectPr>
          <w:headerReference w:type="default" r:id="rId146"/>
          <w:pgSz w:w="11910" w:h="16840"/>
          <w:pgMar w:header="0" w:footer="501" w:top="700" w:bottom="700" w:left="740" w:right="740"/>
        </w:sectPr>
      </w:pPr>
    </w:p>
    <w:p>
      <w:pPr>
        <w:spacing w:line="249" w:lineRule="auto" w:before="49"/>
        <w:ind w:left="118" w:right="91" w:firstLine="0"/>
        <w:jc w:val="left"/>
        <w:rPr>
          <w:sz w:val="20"/>
        </w:rPr>
      </w:pPr>
      <w:r>
        <w:rPr>
          <w:sz w:val="20"/>
        </w:rPr>
        <w:t>I confirm the independence declaration, required by the </w:t>
      </w:r>
      <w:r>
        <w:rPr>
          <w:i/>
          <w:sz w:val="20"/>
        </w:rPr>
        <w:t>Corporations Act 2001</w:t>
      </w:r>
      <w:r>
        <w:rPr>
          <w:sz w:val="20"/>
        </w:rPr>
        <w:t>, provided to the directors of the Company on 22 February 2018, would be in the same terms if provided to the directors as at the time of this Independent Auditor’s Report.</w:t>
      </w:r>
    </w:p>
    <w:p>
      <w:pPr>
        <w:spacing w:line="249" w:lineRule="auto" w:before="171"/>
        <w:ind w:left="118" w:right="569" w:firstLine="0"/>
        <w:jc w:val="left"/>
        <w:rPr>
          <w:sz w:val="20"/>
        </w:rPr>
      </w:pPr>
      <w:r>
        <w:rPr>
          <w:sz w:val="20"/>
        </w:rPr>
        <w:t>I believe the audit evidence I have obtained is sufficient and appropriate to provide a basis for my audit opinion.</w:t>
      </w:r>
    </w:p>
    <w:p>
      <w:pPr>
        <w:spacing w:before="160"/>
        <w:ind w:left="118" w:right="0" w:firstLine="0"/>
        <w:jc w:val="left"/>
        <w:rPr>
          <w:b/>
          <w:sz w:val="24"/>
        </w:rPr>
      </w:pPr>
      <w:r>
        <w:rPr>
          <w:b/>
          <w:sz w:val="24"/>
        </w:rPr>
        <w:t>Directors’ Responsibilities for the Financial Statements</w:t>
      </w:r>
    </w:p>
    <w:p>
      <w:pPr>
        <w:spacing w:line="249" w:lineRule="auto" w:before="124"/>
        <w:ind w:left="118" w:right="120" w:firstLine="0"/>
        <w:jc w:val="left"/>
        <w:rPr>
          <w:sz w:val="20"/>
        </w:rPr>
      </w:pPr>
      <w:r>
        <w:rPr>
          <w:sz w:val="20"/>
        </w:rPr>
        <w:t>The directors of the Company are responsible for the preparation and fair presentation of the financial statements in accordance with Australian Accounting Standards, the PF&amp;A Act and the </w:t>
      </w:r>
      <w:r>
        <w:rPr>
          <w:i/>
          <w:sz w:val="20"/>
        </w:rPr>
        <w:t>Corporations </w:t>
      </w:r>
      <w:r>
        <w:rPr>
          <w:i/>
          <w:sz w:val="20"/>
        </w:rPr>
        <w:t>Act 2001 </w:t>
      </w:r>
      <w:r>
        <w:rPr>
          <w:sz w:val="20"/>
        </w:rPr>
        <w:t>and for such internal control as the directors determine is necessary to enable the preparation and fair presentation of the financial statements that are free from material misstatement, whether due to fraud or error.</w:t>
      </w:r>
    </w:p>
    <w:p>
      <w:pPr>
        <w:spacing w:line="249" w:lineRule="auto" w:before="171"/>
        <w:ind w:left="118" w:right="102" w:firstLine="0"/>
        <w:jc w:val="left"/>
        <w:rPr>
          <w:sz w:val="20"/>
        </w:rPr>
      </w:pPr>
      <w:r>
        <w:rPr>
          <w:sz w:val="20"/>
        </w:rPr>
        <w:t>In preparing the financial statements, the directors are responsible for assessing the Company’s ability to continue as a going concern, disclosing, as applicable, matters related to going concern and using the going concern basis of accounting unless the directors either intend to liquidate the Company or to cease operations, or have no realistic alternative but to do so.</w:t>
      </w:r>
    </w:p>
    <w:p>
      <w:pPr>
        <w:spacing w:before="162"/>
        <w:ind w:left="118" w:right="0" w:firstLine="0"/>
        <w:jc w:val="left"/>
        <w:rPr>
          <w:b/>
          <w:sz w:val="24"/>
        </w:rPr>
      </w:pPr>
      <w:r>
        <w:rPr>
          <w:b/>
          <w:sz w:val="24"/>
        </w:rPr>
        <w:t>Auditor’s Responsibilities for the Audit of the Financial Statements</w:t>
      </w:r>
    </w:p>
    <w:p>
      <w:pPr>
        <w:spacing w:before="121"/>
        <w:ind w:left="118" w:right="0" w:firstLine="0"/>
        <w:jc w:val="left"/>
        <w:rPr>
          <w:sz w:val="20"/>
        </w:rPr>
      </w:pPr>
      <w:r>
        <w:rPr>
          <w:sz w:val="20"/>
        </w:rPr>
        <w:t>My objectives are to:</w:t>
      </w:r>
    </w:p>
    <w:p>
      <w:pPr>
        <w:pStyle w:val="BodyText"/>
        <w:spacing w:before="7"/>
        <w:rPr>
          <w:sz w:val="15"/>
        </w:rPr>
      </w:pPr>
    </w:p>
    <w:p>
      <w:pPr>
        <w:pStyle w:val="ListParagraph"/>
        <w:numPr>
          <w:ilvl w:val="0"/>
          <w:numId w:val="85"/>
        </w:numPr>
        <w:tabs>
          <w:tab w:pos="686" w:val="left" w:leader="none"/>
        </w:tabs>
        <w:spacing w:line="249" w:lineRule="auto" w:before="1" w:after="0"/>
        <w:ind w:left="685" w:right="347" w:hanging="567"/>
        <w:jc w:val="left"/>
        <w:rPr>
          <w:sz w:val="20"/>
        </w:rPr>
      </w:pPr>
      <w:r>
        <w:rPr>
          <w:sz w:val="20"/>
        </w:rPr>
        <w:t>obtain reasonable assurance about whether the financial statements as a whole are free</w:t>
      </w:r>
      <w:r>
        <w:rPr>
          <w:spacing w:val="-30"/>
          <w:sz w:val="20"/>
        </w:rPr>
        <w:t> </w:t>
      </w:r>
      <w:r>
        <w:rPr>
          <w:sz w:val="20"/>
        </w:rPr>
        <w:t>from material misstatement, whether due to fraud or</w:t>
      </w:r>
      <w:r>
        <w:rPr>
          <w:spacing w:val="-15"/>
          <w:sz w:val="20"/>
        </w:rPr>
        <w:t> </w:t>
      </w:r>
      <w:r>
        <w:rPr>
          <w:sz w:val="20"/>
        </w:rPr>
        <w:t>error</w:t>
      </w:r>
    </w:p>
    <w:p>
      <w:pPr>
        <w:pStyle w:val="ListParagraph"/>
        <w:numPr>
          <w:ilvl w:val="0"/>
          <w:numId w:val="85"/>
        </w:numPr>
        <w:tabs>
          <w:tab w:pos="686" w:val="left" w:leader="none"/>
        </w:tabs>
        <w:spacing w:line="240" w:lineRule="auto" w:before="61" w:after="0"/>
        <w:ind w:left="685" w:right="0" w:hanging="567"/>
        <w:jc w:val="left"/>
        <w:rPr>
          <w:sz w:val="20"/>
        </w:rPr>
      </w:pPr>
      <w:r>
        <w:rPr>
          <w:sz w:val="20"/>
        </w:rPr>
        <w:t>issue an Independent Auditor’s Report including </w:t>
      </w:r>
      <w:r>
        <w:rPr>
          <w:spacing w:val="3"/>
          <w:sz w:val="20"/>
        </w:rPr>
        <w:t>my</w:t>
      </w:r>
      <w:r>
        <w:rPr>
          <w:spacing w:val="-25"/>
          <w:sz w:val="20"/>
        </w:rPr>
        <w:t> </w:t>
      </w:r>
      <w:r>
        <w:rPr>
          <w:sz w:val="20"/>
        </w:rPr>
        <w:t>opinion.</w:t>
      </w:r>
    </w:p>
    <w:p>
      <w:pPr>
        <w:pStyle w:val="BodyText"/>
        <w:spacing w:before="11"/>
        <w:rPr>
          <w:sz w:val="17"/>
        </w:rPr>
      </w:pPr>
    </w:p>
    <w:p>
      <w:pPr>
        <w:spacing w:line="249" w:lineRule="auto" w:before="0"/>
        <w:ind w:left="118" w:right="0" w:firstLine="0"/>
        <w:jc w:val="left"/>
        <w:rPr>
          <w:sz w:val="20"/>
        </w:rPr>
      </w:pPr>
      <w:r>
        <w:rPr>
          <w:sz w:val="20"/>
        </w:rPr>
        <w:t>Reasonable assurance is a high level of assurance, but does not guarantee an audit conducted in accordance with Australian Auditing Standards will always detect material misstatements.</w:t>
      </w:r>
    </w:p>
    <w:p>
      <w:pPr>
        <w:spacing w:line="249" w:lineRule="auto" w:before="1"/>
        <w:ind w:left="118" w:right="177" w:firstLine="0"/>
        <w:jc w:val="left"/>
        <w:rPr>
          <w:sz w:val="20"/>
        </w:rPr>
      </w:pPr>
      <w:r>
        <w:rPr>
          <w:sz w:val="20"/>
        </w:rPr>
        <w:t>Misstatements can arise from fraud or error. Misstatements are considered material if, individually or in aggregate, they could reasonably be expected to influence the economic decisions users take based on the financial statements.</w:t>
      </w:r>
    </w:p>
    <w:p>
      <w:pPr>
        <w:spacing w:line="249" w:lineRule="auto" w:before="172"/>
        <w:ind w:left="118" w:right="303" w:firstLine="0"/>
        <w:jc w:val="left"/>
        <w:rPr>
          <w:sz w:val="20"/>
        </w:rPr>
      </w:pPr>
      <w:r>
        <w:rPr>
          <w:sz w:val="20"/>
        </w:rPr>
        <w:t>A description of my responsibilities for the audit of the financial statements is located at the Auditing and Assurance Standards Board website at: </w:t>
      </w:r>
      <w:hyperlink r:id="rId151">
        <w:r>
          <w:rPr>
            <w:color w:val="808080"/>
            <w:sz w:val="20"/>
            <w:u w:val="single" w:color="808080"/>
          </w:rPr>
          <w:t>http://www.auasb.gov.au/auditors_responsibilities/ar4.pdf. </w:t>
        </w:r>
      </w:hyperlink>
      <w:r>
        <w:rPr>
          <w:sz w:val="20"/>
        </w:rPr>
        <w:t>The description forms part of my auditor’s report.</w:t>
      </w:r>
    </w:p>
    <w:p>
      <w:pPr>
        <w:spacing w:before="171"/>
        <w:ind w:left="118" w:right="0" w:firstLine="0"/>
        <w:jc w:val="left"/>
        <w:rPr>
          <w:sz w:val="20"/>
        </w:rPr>
      </w:pPr>
      <w:r>
        <w:rPr>
          <w:sz w:val="20"/>
        </w:rPr>
        <w:t>My opinion does not provide assurance:</w:t>
      </w:r>
    </w:p>
    <w:p>
      <w:pPr>
        <w:pStyle w:val="BodyText"/>
        <w:spacing w:before="7"/>
        <w:rPr>
          <w:sz w:val="15"/>
        </w:rPr>
      </w:pPr>
    </w:p>
    <w:p>
      <w:pPr>
        <w:pStyle w:val="ListParagraph"/>
        <w:numPr>
          <w:ilvl w:val="0"/>
          <w:numId w:val="85"/>
        </w:numPr>
        <w:tabs>
          <w:tab w:pos="686" w:val="left" w:leader="none"/>
        </w:tabs>
        <w:spacing w:line="240" w:lineRule="auto" w:before="1" w:after="0"/>
        <w:ind w:left="685" w:right="0" w:hanging="567"/>
        <w:jc w:val="left"/>
        <w:rPr>
          <w:sz w:val="20"/>
        </w:rPr>
      </w:pPr>
      <w:r>
        <w:rPr>
          <w:sz w:val="20"/>
        </w:rPr>
        <w:t>that the Company carried out its activities effectively, efficiently and</w:t>
      </w:r>
      <w:r>
        <w:rPr>
          <w:spacing w:val="-25"/>
          <w:sz w:val="20"/>
        </w:rPr>
        <w:t> </w:t>
      </w:r>
      <w:r>
        <w:rPr>
          <w:sz w:val="20"/>
        </w:rPr>
        <w:t>economically</w:t>
      </w:r>
    </w:p>
    <w:p>
      <w:pPr>
        <w:pStyle w:val="ListParagraph"/>
        <w:numPr>
          <w:ilvl w:val="0"/>
          <w:numId w:val="85"/>
        </w:numPr>
        <w:tabs>
          <w:tab w:pos="686" w:val="left" w:leader="none"/>
        </w:tabs>
        <w:spacing w:line="249" w:lineRule="auto" w:before="70" w:after="0"/>
        <w:ind w:left="685" w:right="1117" w:hanging="567"/>
        <w:jc w:val="left"/>
        <w:rPr>
          <w:sz w:val="20"/>
        </w:rPr>
      </w:pPr>
      <w:r>
        <w:rPr>
          <w:sz w:val="20"/>
        </w:rPr>
        <w:t>about the security and controls over the electronic publication </w:t>
      </w:r>
      <w:r>
        <w:rPr>
          <w:spacing w:val="2"/>
          <w:sz w:val="20"/>
        </w:rPr>
        <w:t>of </w:t>
      </w:r>
      <w:r>
        <w:rPr>
          <w:sz w:val="20"/>
        </w:rPr>
        <w:t>the audited</w:t>
      </w:r>
      <w:r>
        <w:rPr>
          <w:spacing w:val="-28"/>
          <w:sz w:val="20"/>
        </w:rPr>
        <w:t> </w:t>
      </w:r>
      <w:r>
        <w:rPr>
          <w:sz w:val="20"/>
        </w:rPr>
        <w:t>financial statements on any website where they may be</w:t>
      </w:r>
      <w:r>
        <w:rPr>
          <w:spacing w:val="-12"/>
          <w:sz w:val="20"/>
        </w:rPr>
        <w:t> </w:t>
      </w:r>
      <w:r>
        <w:rPr>
          <w:sz w:val="20"/>
        </w:rPr>
        <w:t>presented</w:t>
      </w:r>
    </w:p>
    <w:p>
      <w:pPr>
        <w:pStyle w:val="ListParagraph"/>
        <w:numPr>
          <w:ilvl w:val="0"/>
          <w:numId w:val="85"/>
        </w:numPr>
        <w:tabs>
          <w:tab w:pos="686" w:val="left" w:leader="none"/>
        </w:tabs>
        <w:spacing w:line="240" w:lineRule="auto" w:before="61" w:after="0"/>
        <w:ind w:left="685" w:right="0" w:hanging="567"/>
        <w:jc w:val="left"/>
        <w:rPr>
          <w:sz w:val="20"/>
        </w:rPr>
      </w:pPr>
      <w:r>
        <w:rPr>
          <w:sz w:val="20"/>
        </w:rPr>
        <w:t>about any other information which may have been hyperlinked to/from the financial</w:t>
      </w:r>
      <w:r>
        <w:rPr>
          <w:spacing w:val="-26"/>
          <w:sz w:val="20"/>
        </w:rPr>
        <w:t> </w:t>
      </w:r>
      <w:r>
        <w:rPr>
          <w:sz w:val="20"/>
        </w:rPr>
        <w:t>statements.</w:t>
      </w:r>
    </w:p>
    <w:p>
      <w:pPr>
        <w:pStyle w:val="BodyText"/>
        <w:rPr>
          <w:sz w:val="20"/>
        </w:rPr>
      </w:pPr>
    </w:p>
    <w:p>
      <w:pPr>
        <w:pStyle w:val="BodyText"/>
        <w:spacing w:before="4"/>
        <w:rPr>
          <w:sz w:val="29"/>
        </w:rPr>
      </w:pPr>
      <w:r>
        <w:rPr/>
        <w:drawing>
          <wp:anchor distT="0" distB="0" distL="0" distR="0" allowOverlap="1" layoutInCell="1" locked="0" behindDoc="0" simplePos="0" relativeHeight="4912">
            <wp:simplePos x="0" y="0"/>
            <wp:positionH relativeFrom="page">
              <wp:posOffset>900430</wp:posOffset>
            </wp:positionH>
            <wp:positionV relativeFrom="paragraph">
              <wp:posOffset>239672</wp:posOffset>
            </wp:positionV>
            <wp:extent cx="1891385" cy="720090"/>
            <wp:effectExtent l="0" t="0" r="0" b="0"/>
            <wp:wrapTopAndBottom/>
            <wp:docPr id="61" name="image40.jpeg" descr="C:\Users\kcolah\AppData\Local\Microsoft\Windows\INetCache\Content.Word\David Daniels.png"/>
            <wp:cNvGraphicFramePr>
              <a:graphicFrameLocks noChangeAspect="1"/>
            </wp:cNvGraphicFramePr>
            <a:graphic>
              <a:graphicData uri="http://schemas.openxmlformats.org/drawingml/2006/picture">
                <pic:pic>
                  <pic:nvPicPr>
                    <pic:cNvPr id="62" name="image40.jpeg"/>
                    <pic:cNvPicPr/>
                  </pic:nvPicPr>
                  <pic:blipFill>
                    <a:blip r:embed="rId152" cstate="print"/>
                    <a:stretch>
                      <a:fillRect/>
                    </a:stretch>
                  </pic:blipFill>
                  <pic:spPr>
                    <a:xfrm>
                      <a:off x="0" y="0"/>
                      <a:ext cx="1891385" cy="720090"/>
                    </a:xfrm>
                    <a:prstGeom prst="rect">
                      <a:avLst/>
                    </a:prstGeom>
                  </pic:spPr>
                </pic:pic>
              </a:graphicData>
            </a:graphic>
          </wp:anchor>
        </w:drawing>
      </w:r>
    </w:p>
    <w:p>
      <w:pPr>
        <w:pStyle w:val="BodyText"/>
        <w:rPr>
          <w:sz w:val="20"/>
        </w:rPr>
      </w:pPr>
    </w:p>
    <w:p>
      <w:pPr>
        <w:pStyle w:val="BodyText"/>
        <w:spacing w:before="4"/>
        <w:rPr>
          <w:sz w:val="29"/>
        </w:rPr>
      </w:pPr>
    </w:p>
    <w:p>
      <w:pPr>
        <w:spacing w:before="0"/>
        <w:ind w:left="118" w:right="0" w:firstLine="0"/>
        <w:jc w:val="left"/>
        <w:rPr>
          <w:sz w:val="20"/>
        </w:rPr>
      </w:pPr>
      <w:r>
        <w:rPr>
          <w:sz w:val="20"/>
        </w:rPr>
        <w:t>David Daniels</w:t>
      </w:r>
    </w:p>
    <w:p>
      <w:pPr>
        <w:spacing w:before="10"/>
        <w:ind w:left="118" w:right="0" w:firstLine="0"/>
        <w:jc w:val="left"/>
        <w:rPr>
          <w:sz w:val="20"/>
        </w:rPr>
      </w:pPr>
      <w:r>
        <w:rPr>
          <w:sz w:val="20"/>
        </w:rPr>
        <w:t>Director, Financial Audit Services</w:t>
      </w:r>
    </w:p>
    <w:p>
      <w:pPr>
        <w:pStyle w:val="BodyText"/>
        <w:spacing w:before="7"/>
        <w:rPr>
          <w:sz w:val="15"/>
        </w:rPr>
      </w:pPr>
    </w:p>
    <w:p>
      <w:pPr>
        <w:spacing w:line="249" w:lineRule="auto" w:before="1"/>
        <w:ind w:left="118" w:right="7929" w:firstLine="0"/>
        <w:jc w:val="left"/>
        <w:rPr>
          <w:sz w:val="20"/>
        </w:rPr>
      </w:pPr>
      <w:r>
        <w:rPr>
          <w:sz w:val="20"/>
        </w:rPr>
        <w:t>1 March 2018 SYDNEY</w:t>
      </w:r>
    </w:p>
    <w:p>
      <w:pPr>
        <w:spacing w:after="0" w:line="249" w:lineRule="auto"/>
        <w:jc w:val="left"/>
        <w:rPr>
          <w:sz w:val="20"/>
        </w:rPr>
        <w:sectPr>
          <w:headerReference w:type="default" r:id="rId149"/>
          <w:footerReference w:type="default" r:id="rId150"/>
          <w:pgSz w:w="11910" w:h="16840"/>
          <w:pgMar w:header="0" w:footer="507" w:top="1360" w:bottom="700" w:left="1300" w:right="1320"/>
          <w:pgNumType w:start="218"/>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pStyle w:val="Heading1"/>
        <w:spacing w:before="29"/>
        <w:ind w:right="1201"/>
      </w:pPr>
      <w:bookmarkStart w:name="7. Whitlam Trust - 2017 Financial Statem" w:id="242"/>
      <w:bookmarkEnd w:id="242"/>
      <w:r>
        <w:rPr>
          <w:b w:val="0"/>
        </w:rPr>
      </w:r>
      <w:r>
        <w:rPr/>
        <w:t>Whitlam Institute Within Western Sydney University Trust</w:t>
      </w:r>
    </w:p>
    <w:p>
      <w:pPr>
        <w:spacing w:line="230" w:lineRule="exact" w:before="0"/>
        <w:ind w:left="107" w:right="258" w:firstLine="0"/>
        <w:jc w:val="left"/>
        <w:rPr>
          <w:b/>
          <w:sz w:val="20"/>
        </w:rPr>
      </w:pPr>
      <w:r>
        <w:rPr>
          <w:b/>
          <w:sz w:val="20"/>
        </w:rPr>
        <w:t>ABN: 42 247 216 279</w:t>
      </w:r>
    </w:p>
    <w:p>
      <w:pPr>
        <w:pStyle w:val="BodyText"/>
        <w:rPr>
          <w:b/>
          <w:sz w:val="20"/>
        </w:rPr>
      </w:pPr>
    </w:p>
    <w:p>
      <w:pPr>
        <w:pStyle w:val="BodyText"/>
        <w:rPr>
          <w:b/>
          <w:sz w:val="20"/>
        </w:rPr>
      </w:pPr>
    </w:p>
    <w:p>
      <w:pPr>
        <w:pStyle w:val="BodyText"/>
        <w:spacing w:before="10"/>
        <w:rPr>
          <w:b/>
          <w:sz w:val="15"/>
        </w:rPr>
      </w:pPr>
    </w:p>
    <w:p>
      <w:pPr>
        <w:spacing w:before="0"/>
        <w:ind w:left="107" w:right="258" w:firstLine="0"/>
        <w:jc w:val="left"/>
        <w:rPr>
          <w:b/>
          <w:sz w:val="28"/>
        </w:rPr>
      </w:pPr>
      <w:r>
        <w:rPr>
          <w:b/>
          <w:sz w:val="28"/>
        </w:rPr>
        <w:t>Financial Statements</w:t>
      </w:r>
    </w:p>
    <w:p>
      <w:pPr>
        <w:spacing w:before="230"/>
        <w:ind w:left="107" w:right="258" w:firstLine="0"/>
        <w:jc w:val="left"/>
        <w:rPr>
          <w:b/>
          <w:sz w:val="20"/>
        </w:rPr>
      </w:pPr>
      <w:r>
        <w:rPr>
          <w:b/>
          <w:sz w:val="20"/>
        </w:rPr>
        <w:t>For the Year Ended 31 December 2017</w:t>
      </w:r>
    </w:p>
    <w:p>
      <w:pPr>
        <w:spacing w:before="169"/>
        <w:ind w:left="107" w:right="258" w:firstLine="0"/>
        <w:jc w:val="left"/>
        <w:rPr>
          <w:sz w:val="20"/>
        </w:rPr>
      </w:pPr>
      <w:r>
        <w:rPr>
          <w:sz w:val="20"/>
        </w:rPr>
        <w:t>These financial statements of the Whitlam Institute Within Western Sydney University Trust (the Trust) are presented as an individual entity. The financial statements are presented in Australian currency.</w:t>
      </w:r>
    </w:p>
    <w:p>
      <w:pPr>
        <w:spacing w:before="169"/>
        <w:ind w:left="107" w:right="95" w:hanging="1"/>
        <w:jc w:val="left"/>
        <w:rPr>
          <w:sz w:val="20"/>
        </w:rPr>
      </w:pPr>
      <w:r>
        <w:rPr>
          <w:sz w:val="20"/>
        </w:rPr>
        <w:t>The registered office and principal place of business of the Whitlam Institute Within Western Sydney University Trust is:</w:t>
      </w:r>
    </w:p>
    <w:p>
      <w:pPr>
        <w:spacing w:line="417" w:lineRule="auto" w:before="169"/>
        <w:ind w:left="107" w:right="4886" w:firstLine="0"/>
        <w:jc w:val="left"/>
        <w:rPr>
          <w:sz w:val="20"/>
        </w:rPr>
      </w:pPr>
      <w:r>
        <w:rPr>
          <w:sz w:val="20"/>
        </w:rPr>
        <w:t>Whitlam Institute Within Western Sydney University Trust Western Sydney University</w:t>
      </w:r>
    </w:p>
    <w:p>
      <w:pPr>
        <w:spacing w:line="417" w:lineRule="auto" w:before="4"/>
        <w:ind w:left="107" w:right="6970" w:firstLine="0"/>
        <w:jc w:val="left"/>
        <w:rPr>
          <w:sz w:val="20"/>
        </w:rPr>
      </w:pPr>
      <w:r>
        <w:rPr>
          <w:sz w:val="20"/>
        </w:rPr>
        <w:t>Building EZ, Parramatta Campus Cnr James Ruse Dr &amp; Victoria Rd Rydalmere NSW 2116 Registered postal address</w:t>
      </w:r>
      <w:r>
        <w:rPr>
          <w:spacing w:val="4"/>
          <w:sz w:val="20"/>
        </w:rPr>
        <w:t> </w:t>
      </w:r>
      <w:r>
        <w:rPr>
          <w:sz w:val="20"/>
        </w:rPr>
        <w:t>is:</w:t>
      </w:r>
    </w:p>
    <w:p>
      <w:pPr>
        <w:spacing w:line="417" w:lineRule="auto" w:before="4"/>
        <w:ind w:left="107" w:right="4886" w:firstLine="0"/>
        <w:jc w:val="left"/>
        <w:rPr>
          <w:sz w:val="20"/>
        </w:rPr>
      </w:pPr>
      <w:r>
        <w:rPr>
          <w:sz w:val="20"/>
        </w:rPr>
        <w:t>Whitlam Institute Within Western Sydney University Trust Locked Bag 1797</w:t>
      </w:r>
    </w:p>
    <w:p>
      <w:pPr>
        <w:spacing w:before="4"/>
        <w:ind w:left="107" w:right="258" w:firstLine="0"/>
        <w:jc w:val="left"/>
        <w:rPr>
          <w:sz w:val="20"/>
        </w:rPr>
      </w:pPr>
      <w:r>
        <w:rPr>
          <w:sz w:val="20"/>
        </w:rPr>
        <w:t>Penrith NSW 2751</w:t>
      </w:r>
    </w:p>
    <w:p>
      <w:pPr>
        <w:spacing w:before="169"/>
        <w:ind w:left="107" w:right="95" w:firstLine="0"/>
        <w:jc w:val="left"/>
        <w:rPr>
          <w:sz w:val="20"/>
        </w:rPr>
      </w:pPr>
      <w:r>
        <w:rPr>
          <w:sz w:val="20"/>
        </w:rPr>
        <w:t>A description of the nature of the Trust's operations and it principal activities is included in the Trustees' report which is not part of these financial statements.</w:t>
      </w:r>
    </w:p>
    <w:p>
      <w:pPr>
        <w:spacing w:before="169"/>
        <w:ind w:left="107" w:right="95" w:firstLine="0"/>
        <w:jc w:val="left"/>
        <w:rPr>
          <w:sz w:val="20"/>
        </w:rPr>
      </w:pPr>
      <w:r>
        <w:rPr>
          <w:sz w:val="20"/>
        </w:rPr>
        <w:t>These financial statements were authorised for issue by the Trustees' on 23 February 2018. The Trustees have the power to amend and reissue the financial statements.</w:t>
      </w:r>
    </w:p>
    <w:p>
      <w:pPr>
        <w:spacing w:after="0"/>
        <w:jc w:val="left"/>
        <w:rPr>
          <w:sz w:val="20"/>
        </w:rPr>
        <w:sectPr>
          <w:headerReference w:type="default" r:id="rId153"/>
          <w:footerReference w:type="default" r:id="rId154"/>
          <w:pgSz w:w="11910" w:h="16840"/>
          <w:pgMar w:header="0" w:footer="507" w:top="1600" w:bottom="700" w:left="900" w:right="940"/>
          <w:pgNumType w:start="219"/>
        </w:sectPr>
      </w:pPr>
    </w:p>
    <w:p>
      <w:pPr>
        <w:pStyle w:val="BodyText"/>
        <w:rPr>
          <w:sz w:val="20"/>
        </w:rPr>
      </w:pPr>
    </w:p>
    <w:p>
      <w:pPr>
        <w:pStyle w:val="BodyText"/>
        <w:spacing w:before="7"/>
        <w:rPr>
          <w:sz w:val="25"/>
        </w:rPr>
      </w:pPr>
    </w:p>
    <w:p>
      <w:pPr>
        <w:pStyle w:val="BodyText"/>
        <w:spacing w:before="77"/>
        <w:ind w:left="504" w:right="159"/>
      </w:pPr>
      <w:r>
        <w:rPr/>
        <w:t>The Trustees present their report on Whitlam Institute Within Western Sydney University Trust for the financial year ended 31 December 2017.</w:t>
      </w:r>
    </w:p>
    <w:p>
      <w:pPr>
        <w:pStyle w:val="BodyText"/>
        <w:rPr>
          <w:sz w:val="25"/>
        </w:rPr>
      </w:pPr>
    </w:p>
    <w:p>
      <w:pPr>
        <w:pStyle w:val="BodyText"/>
        <w:ind w:left="504" w:right="159"/>
      </w:pPr>
      <w:r>
        <w:rPr/>
        <w:t>Trustees</w:t>
      </w:r>
    </w:p>
    <w:p>
      <w:pPr>
        <w:pStyle w:val="BodyText"/>
        <w:rPr>
          <w:sz w:val="25"/>
        </w:rPr>
      </w:pPr>
    </w:p>
    <w:p>
      <w:pPr>
        <w:pStyle w:val="BodyText"/>
        <w:ind w:left="504"/>
      </w:pPr>
      <w:r>
        <w:rPr/>
        <w:t>The Whitlam Institute Within Western Sydney University Limited (referred to hereafter as the Trustee Company) has been appointed as the Trustee of the Trust. The following persons have been directors of the Trustee Company during the financial year and to the date of this report:</w:t>
      </w:r>
    </w:p>
    <w:p>
      <w:pPr>
        <w:pStyle w:val="BodyText"/>
      </w:pPr>
    </w:p>
    <w:p>
      <w:pPr>
        <w:pStyle w:val="BodyText"/>
      </w:pPr>
    </w:p>
    <w:p>
      <w:pPr>
        <w:pStyle w:val="BodyText"/>
        <w:spacing w:line="307" w:lineRule="auto" w:before="110"/>
        <w:ind w:left="502" w:right="7457"/>
      </w:pPr>
      <w:r>
        <w:rPr/>
        <w:t>The Hon. John Faulkner Ms Patricia Amphlett OAM Prof. Barney Glover</w:t>
      </w:r>
    </w:p>
    <w:p>
      <w:pPr>
        <w:pStyle w:val="BodyText"/>
        <w:spacing w:line="307" w:lineRule="auto"/>
        <w:ind w:left="502" w:right="7767"/>
      </w:pPr>
      <w:r>
        <w:rPr/>
        <w:t>Ms Gabrielle Trainor Mr Talal Yassine OAM Ms Catherine Dovey Mr Cameron Clyne</w:t>
      </w:r>
    </w:p>
    <w:p>
      <w:pPr>
        <w:pStyle w:val="BodyText"/>
        <w:tabs>
          <w:tab w:pos="6626" w:val="left" w:leader="none"/>
        </w:tabs>
        <w:ind w:left="502" w:right="159"/>
      </w:pPr>
      <w:r>
        <w:rPr/>
        <w:t>Dr</w:t>
      </w:r>
      <w:r>
        <w:rPr>
          <w:spacing w:val="-1"/>
        </w:rPr>
        <w:t> </w:t>
      </w:r>
      <w:r>
        <w:rPr/>
        <w:t>Rebecca</w:t>
      </w:r>
      <w:r>
        <w:rPr>
          <w:spacing w:val="-1"/>
        </w:rPr>
        <w:t> </w:t>
      </w:r>
      <w:r>
        <w:rPr/>
        <w:t>Huntley</w:t>
        <w:tab/>
        <w:t>Appointed 6 February</w:t>
      </w:r>
      <w:r>
        <w:rPr>
          <w:spacing w:val="-1"/>
        </w:rPr>
        <w:t> </w:t>
      </w:r>
      <w:r>
        <w:rPr/>
        <w:t>2017</w:t>
      </w:r>
    </w:p>
    <w:p>
      <w:pPr>
        <w:pStyle w:val="BodyText"/>
        <w:tabs>
          <w:tab w:pos="6626" w:val="left" w:leader="none"/>
        </w:tabs>
        <w:spacing w:before="56"/>
        <w:ind w:left="502" w:right="159"/>
      </w:pPr>
      <w:r>
        <w:rPr/>
        <w:t>Ms</w:t>
      </w:r>
      <w:r>
        <w:rPr>
          <w:spacing w:val="-1"/>
        </w:rPr>
        <w:t> </w:t>
      </w:r>
      <w:r>
        <w:rPr/>
        <w:t>Amanda</w:t>
      </w:r>
      <w:r>
        <w:rPr>
          <w:spacing w:val="-1"/>
        </w:rPr>
        <w:t> </w:t>
      </w:r>
      <w:r>
        <w:rPr/>
        <w:t>McKenzie</w:t>
        <w:tab/>
        <w:t>Appointed 6 February</w:t>
      </w:r>
      <w:r>
        <w:rPr>
          <w:spacing w:val="-1"/>
        </w:rPr>
        <w:t> </w:t>
      </w:r>
      <w:r>
        <w:rPr/>
        <w:t>2017</w:t>
      </w:r>
    </w:p>
    <w:p>
      <w:pPr>
        <w:pStyle w:val="BodyText"/>
        <w:tabs>
          <w:tab w:pos="6626" w:val="left" w:leader="none"/>
        </w:tabs>
        <w:spacing w:before="57"/>
        <w:ind w:left="502" w:right="159"/>
      </w:pPr>
      <w:r>
        <w:rPr/>
        <w:t>Mr</w:t>
      </w:r>
      <w:r>
        <w:rPr>
          <w:spacing w:val="-1"/>
        </w:rPr>
        <w:t> </w:t>
      </w:r>
      <w:r>
        <w:rPr/>
        <w:t>John</w:t>
      </w:r>
      <w:r>
        <w:rPr>
          <w:spacing w:val="-1"/>
        </w:rPr>
        <w:t> </w:t>
      </w:r>
      <w:r>
        <w:rPr/>
        <w:t>Wells</w:t>
        <w:tab/>
        <w:t>Resigned 17 November</w:t>
      </w:r>
      <w:r>
        <w:rPr>
          <w:spacing w:val="-1"/>
        </w:rPr>
        <w:t> </w:t>
      </w:r>
      <w:r>
        <w:rPr/>
        <w:t>2017</w:t>
      </w:r>
    </w:p>
    <w:p>
      <w:pPr>
        <w:pStyle w:val="BodyText"/>
      </w:pPr>
    </w:p>
    <w:p>
      <w:pPr>
        <w:pStyle w:val="BodyText"/>
        <w:spacing w:before="108"/>
        <w:ind w:left="504" w:right="159"/>
      </w:pPr>
      <w:r>
        <w:rPr/>
        <w:t>Directors have been in office since the start of the financial year to the date of this report unless otherwise stated.</w:t>
      </w:r>
    </w:p>
    <w:p>
      <w:pPr>
        <w:pStyle w:val="BodyText"/>
        <w:spacing w:before="7"/>
        <w:rPr>
          <w:sz w:val="26"/>
        </w:rPr>
      </w:pPr>
    </w:p>
    <w:p>
      <w:pPr>
        <w:pStyle w:val="Heading9"/>
        <w:ind w:left="502" w:right="159"/>
      </w:pPr>
      <w:r>
        <w:rPr/>
        <w:t>Principal Activities and significant changes in nature of activities</w:t>
      </w:r>
    </w:p>
    <w:p>
      <w:pPr>
        <w:pStyle w:val="BodyText"/>
        <w:spacing w:before="4"/>
        <w:rPr>
          <w:b/>
          <w:sz w:val="25"/>
        </w:rPr>
      </w:pPr>
    </w:p>
    <w:p>
      <w:pPr>
        <w:pStyle w:val="BodyText"/>
        <w:ind w:left="504" w:right="159"/>
      </w:pPr>
      <w:r>
        <w:rPr/>
        <w:t>There were no significant changes in the nature of the Trust's activities during the year.</w:t>
      </w:r>
    </w:p>
    <w:p>
      <w:pPr>
        <w:pStyle w:val="BodyText"/>
        <w:rPr>
          <w:sz w:val="25"/>
        </w:rPr>
      </w:pPr>
    </w:p>
    <w:p>
      <w:pPr>
        <w:pStyle w:val="BodyText"/>
        <w:ind w:left="504" w:right="665"/>
        <w:jc w:val="both"/>
      </w:pPr>
      <w:r>
        <w:rPr/>
        <w:t>The Whitlam Institute Within Western Sydney University Trust exists to support (through the provision of money, property or benefits) Western Sydney University, specifically the work of the Whitlam Institute with respect to the Whitlam Prime Ministerial Collection and the Institute's research, educational and policy activity.</w:t>
      </w:r>
    </w:p>
    <w:p>
      <w:pPr>
        <w:spacing w:after="0"/>
        <w:jc w:val="both"/>
        <w:sectPr>
          <w:headerReference w:type="default" r:id="rId155"/>
          <w:pgSz w:w="11910" w:h="16840"/>
          <w:pgMar w:header="1038" w:footer="507" w:top="2520" w:bottom="700" w:left="900" w:right="920"/>
        </w:sectPr>
      </w:pPr>
    </w:p>
    <w:p>
      <w:pPr>
        <w:pStyle w:val="BodyText"/>
        <w:spacing w:before="4"/>
        <w:rPr>
          <w:sz w:val="20"/>
        </w:rPr>
      </w:pPr>
    </w:p>
    <w:p>
      <w:pPr>
        <w:pStyle w:val="Heading9"/>
        <w:spacing w:before="77"/>
        <w:ind w:left="502" w:right="258"/>
      </w:pPr>
      <w:r>
        <w:rPr/>
        <w:t>Meetings of trustees</w:t>
      </w:r>
    </w:p>
    <w:p>
      <w:pPr>
        <w:pStyle w:val="BodyText"/>
        <w:spacing w:before="4"/>
        <w:rPr>
          <w:b/>
          <w:sz w:val="25"/>
        </w:rPr>
      </w:pPr>
    </w:p>
    <w:p>
      <w:pPr>
        <w:pStyle w:val="BodyText"/>
        <w:ind w:left="504" w:right="258"/>
      </w:pPr>
      <w:r>
        <w:rPr/>
        <w:t>During the financial year, 4 meetings of trustees (including committees of trustees) were held. Attendances by each trustee during the year were as follows:</w:t>
      </w:r>
    </w:p>
    <w:p>
      <w:pPr>
        <w:pStyle w:val="BodyText"/>
        <w:spacing w:before="1"/>
        <w:rPr>
          <w:sz w:val="26"/>
        </w:rPr>
      </w:pPr>
    </w:p>
    <w:tbl>
      <w:tblPr>
        <w:tblW w:w="0" w:type="auto"/>
        <w:jc w:val="left"/>
        <w:tblInd w:w="5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0"/>
        <w:gridCol w:w="1133"/>
        <w:gridCol w:w="1128"/>
      </w:tblGrid>
      <w:tr>
        <w:trPr>
          <w:trHeight w:val="260" w:hRule="exact"/>
        </w:trPr>
        <w:tc>
          <w:tcPr>
            <w:tcW w:w="2830" w:type="dxa"/>
            <w:vMerge w:val="restart"/>
            <w:tcBorders>
              <w:right w:val="single" w:sz="0" w:space="0" w:color="000000"/>
            </w:tcBorders>
          </w:tcPr>
          <w:p>
            <w:pPr/>
          </w:p>
        </w:tc>
        <w:tc>
          <w:tcPr>
            <w:tcW w:w="2261" w:type="dxa"/>
            <w:gridSpan w:val="2"/>
            <w:tcBorders>
              <w:top w:val="single" w:sz="0" w:space="0" w:color="000000"/>
              <w:left w:val="single" w:sz="0" w:space="0" w:color="000000"/>
              <w:bottom w:val="single" w:sz="0" w:space="0" w:color="000000"/>
              <w:right w:val="single" w:sz="0" w:space="0" w:color="000000"/>
            </w:tcBorders>
          </w:tcPr>
          <w:p>
            <w:pPr>
              <w:pStyle w:val="TableParagraph"/>
              <w:spacing w:before="38"/>
              <w:ind w:left="433"/>
              <w:rPr>
                <w:b/>
                <w:sz w:val="16"/>
              </w:rPr>
            </w:pPr>
            <w:r>
              <w:rPr>
                <w:b/>
                <w:sz w:val="16"/>
              </w:rPr>
              <w:t>Trustees Meetings</w:t>
            </w:r>
          </w:p>
        </w:tc>
      </w:tr>
      <w:tr>
        <w:trPr>
          <w:trHeight w:val="398" w:hRule="exact"/>
        </w:trPr>
        <w:tc>
          <w:tcPr>
            <w:tcW w:w="2830" w:type="dxa"/>
            <w:vMerge/>
            <w:tcBorders>
              <w:bottom w:val="single" w:sz="0" w:space="0" w:color="000000"/>
              <w:right w:val="single" w:sz="0" w:space="0" w:color="000000"/>
            </w:tcBorders>
          </w:tcPr>
          <w:p>
            <w:pPr/>
          </w:p>
        </w:tc>
        <w:tc>
          <w:tcPr>
            <w:tcW w:w="1133" w:type="dxa"/>
            <w:tcBorders>
              <w:top w:val="single" w:sz="0" w:space="0" w:color="000000"/>
              <w:left w:val="single" w:sz="0" w:space="0" w:color="000000"/>
              <w:bottom w:val="single" w:sz="0" w:space="0" w:color="000000"/>
              <w:right w:val="single" w:sz="0" w:space="0" w:color="000000"/>
            </w:tcBorders>
          </w:tcPr>
          <w:p>
            <w:pPr>
              <w:pStyle w:val="TableParagraph"/>
              <w:spacing w:before="39"/>
              <w:ind w:left="270" w:right="23" w:hanging="232"/>
              <w:rPr>
                <w:b/>
                <w:sz w:val="14"/>
              </w:rPr>
            </w:pPr>
            <w:r>
              <w:rPr>
                <w:b/>
                <w:sz w:val="14"/>
              </w:rPr>
              <w:t>Number eligible to attend</w:t>
            </w:r>
          </w:p>
        </w:tc>
        <w:tc>
          <w:tcPr>
            <w:tcW w:w="1128" w:type="dxa"/>
            <w:tcBorders>
              <w:top w:val="single" w:sz="0" w:space="0" w:color="000000"/>
              <w:left w:val="single" w:sz="0" w:space="0" w:color="000000"/>
              <w:bottom w:val="single" w:sz="0" w:space="0" w:color="000000"/>
              <w:right w:val="single" w:sz="0" w:space="0" w:color="000000"/>
            </w:tcBorders>
          </w:tcPr>
          <w:p>
            <w:pPr>
              <w:pStyle w:val="TableParagraph"/>
              <w:spacing w:before="39"/>
              <w:ind w:left="273" w:right="250" w:firstLine="27"/>
              <w:rPr>
                <w:b/>
                <w:sz w:val="14"/>
              </w:rPr>
            </w:pPr>
            <w:r>
              <w:rPr>
                <w:b/>
                <w:sz w:val="14"/>
              </w:rPr>
              <w:t>Number attended</w:t>
            </w:r>
          </w:p>
        </w:tc>
      </w:tr>
      <w:tr>
        <w:trPr>
          <w:trHeight w:val="256" w:hRule="exact"/>
        </w:trPr>
        <w:tc>
          <w:tcPr>
            <w:tcW w:w="2830" w:type="dxa"/>
            <w:tcBorders>
              <w:top w:val="single" w:sz="0" w:space="0" w:color="000000"/>
              <w:left w:val="single" w:sz="0" w:space="0" w:color="000000"/>
              <w:right w:val="single" w:sz="0" w:space="0" w:color="000000"/>
            </w:tcBorders>
          </w:tcPr>
          <w:p>
            <w:pPr>
              <w:pStyle w:val="TableParagraph"/>
              <w:spacing w:before="34"/>
              <w:ind w:left="51"/>
              <w:rPr>
                <w:sz w:val="16"/>
              </w:rPr>
            </w:pPr>
            <w:r>
              <w:rPr>
                <w:sz w:val="16"/>
              </w:rPr>
              <w:t>The Hon. John Faulkner</w:t>
            </w:r>
          </w:p>
        </w:tc>
        <w:tc>
          <w:tcPr>
            <w:tcW w:w="1133" w:type="dxa"/>
            <w:tcBorders>
              <w:top w:val="single" w:sz="0" w:space="0" w:color="000000"/>
              <w:left w:val="single" w:sz="0" w:space="0" w:color="000000"/>
              <w:right w:val="single" w:sz="0" w:space="0" w:color="000000"/>
            </w:tcBorders>
          </w:tcPr>
          <w:p>
            <w:pPr>
              <w:pStyle w:val="TableParagraph"/>
              <w:spacing w:before="33"/>
              <w:ind w:right="464"/>
              <w:jc w:val="right"/>
              <w:rPr>
                <w:sz w:val="16"/>
              </w:rPr>
            </w:pPr>
            <w:r>
              <w:rPr>
                <w:w w:val="99"/>
                <w:sz w:val="16"/>
              </w:rPr>
              <w:t>4</w:t>
            </w:r>
          </w:p>
        </w:tc>
        <w:tc>
          <w:tcPr>
            <w:tcW w:w="1128" w:type="dxa"/>
            <w:tcBorders>
              <w:top w:val="single" w:sz="0" w:space="0" w:color="000000"/>
              <w:left w:val="single" w:sz="0" w:space="0" w:color="000000"/>
              <w:right w:val="single" w:sz="0" w:space="0" w:color="000000"/>
            </w:tcBorders>
          </w:tcPr>
          <w:p>
            <w:pPr>
              <w:pStyle w:val="TableParagraph"/>
              <w:spacing w:before="33"/>
              <w:ind w:right="460"/>
              <w:jc w:val="right"/>
              <w:rPr>
                <w:sz w:val="16"/>
              </w:rPr>
            </w:pPr>
            <w:r>
              <w:rPr>
                <w:w w:val="99"/>
                <w:sz w:val="16"/>
              </w:rPr>
              <w:t>4</w:t>
            </w:r>
          </w:p>
        </w:tc>
      </w:tr>
      <w:tr>
        <w:trPr>
          <w:trHeight w:val="241" w:hRule="exact"/>
        </w:trPr>
        <w:tc>
          <w:tcPr>
            <w:tcW w:w="2830" w:type="dxa"/>
            <w:tcBorders>
              <w:left w:val="single" w:sz="0" w:space="0" w:color="000000"/>
              <w:right w:val="single" w:sz="0" w:space="0" w:color="000000"/>
            </w:tcBorders>
          </w:tcPr>
          <w:p>
            <w:pPr>
              <w:pStyle w:val="TableParagraph"/>
              <w:spacing w:before="20"/>
              <w:ind w:left="51"/>
              <w:rPr>
                <w:sz w:val="16"/>
              </w:rPr>
            </w:pPr>
            <w:r>
              <w:rPr>
                <w:sz w:val="16"/>
              </w:rPr>
              <w:t>Ms Patricia Amphlett OAM</w:t>
            </w:r>
          </w:p>
        </w:tc>
        <w:tc>
          <w:tcPr>
            <w:tcW w:w="1133" w:type="dxa"/>
            <w:tcBorders>
              <w:left w:val="single" w:sz="0" w:space="0" w:color="000000"/>
              <w:right w:val="single" w:sz="0" w:space="0" w:color="000000"/>
            </w:tcBorders>
          </w:tcPr>
          <w:p>
            <w:pPr>
              <w:pStyle w:val="TableParagraph"/>
              <w:spacing w:before="19"/>
              <w:ind w:right="464"/>
              <w:jc w:val="right"/>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60"/>
              <w:jc w:val="right"/>
              <w:rPr>
                <w:sz w:val="16"/>
              </w:rPr>
            </w:pPr>
            <w:r>
              <w:rPr>
                <w:w w:val="99"/>
                <w:sz w:val="16"/>
              </w:rPr>
              <w:t>3</w:t>
            </w:r>
          </w:p>
        </w:tc>
      </w:tr>
      <w:tr>
        <w:trPr>
          <w:trHeight w:val="241" w:hRule="exact"/>
        </w:trPr>
        <w:tc>
          <w:tcPr>
            <w:tcW w:w="2830" w:type="dxa"/>
            <w:tcBorders>
              <w:left w:val="single" w:sz="0" w:space="0" w:color="000000"/>
              <w:right w:val="single" w:sz="0" w:space="0" w:color="000000"/>
            </w:tcBorders>
          </w:tcPr>
          <w:p>
            <w:pPr>
              <w:pStyle w:val="TableParagraph"/>
              <w:spacing w:before="20"/>
              <w:ind w:left="51"/>
              <w:rPr>
                <w:sz w:val="16"/>
              </w:rPr>
            </w:pPr>
            <w:r>
              <w:rPr>
                <w:sz w:val="16"/>
              </w:rPr>
              <w:t>Prof. Barney Glover</w:t>
            </w:r>
          </w:p>
        </w:tc>
        <w:tc>
          <w:tcPr>
            <w:tcW w:w="1133" w:type="dxa"/>
            <w:tcBorders>
              <w:left w:val="single" w:sz="0" w:space="0" w:color="000000"/>
              <w:right w:val="single" w:sz="0" w:space="0" w:color="000000"/>
            </w:tcBorders>
          </w:tcPr>
          <w:p>
            <w:pPr>
              <w:pStyle w:val="TableParagraph"/>
              <w:spacing w:before="19"/>
              <w:ind w:right="464"/>
              <w:jc w:val="right"/>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60"/>
              <w:jc w:val="right"/>
              <w:rPr>
                <w:sz w:val="16"/>
              </w:rPr>
            </w:pPr>
            <w:r>
              <w:rPr>
                <w:w w:val="99"/>
                <w:sz w:val="16"/>
              </w:rPr>
              <w:t>4</w:t>
            </w:r>
          </w:p>
        </w:tc>
      </w:tr>
      <w:tr>
        <w:trPr>
          <w:trHeight w:val="241" w:hRule="exact"/>
        </w:trPr>
        <w:tc>
          <w:tcPr>
            <w:tcW w:w="2830" w:type="dxa"/>
            <w:tcBorders>
              <w:left w:val="single" w:sz="0" w:space="0" w:color="000000"/>
              <w:right w:val="single" w:sz="0" w:space="0" w:color="000000"/>
            </w:tcBorders>
          </w:tcPr>
          <w:p>
            <w:pPr>
              <w:pStyle w:val="TableParagraph"/>
              <w:spacing w:before="20"/>
              <w:ind w:left="51"/>
              <w:rPr>
                <w:sz w:val="16"/>
              </w:rPr>
            </w:pPr>
            <w:r>
              <w:rPr>
                <w:sz w:val="16"/>
              </w:rPr>
              <w:t>Ms Gabrielle Trainor</w:t>
            </w:r>
          </w:p>
        </w:tc>
        <w:tc>
          <w:tcPr>
            <w:tcW w:w="1133" w:type="dxa"/>
            <w:tcBorders>
              <w:left w:val="single" w:sz="0" w:space="0" w:color="000000"/>
              <w:right w:val="single" w:sz="0" w:space="0" w:color="000000"/>
            </w:tcBorders>
          </w:tcPr>
          <w:p>
            <w:pPr>
              <w:pStyle w:val="TableParagraph"/>
              <w:spacing w:before="19"/>
              <w:ind w:right="464"/>
              <w:jc w:val="right"/>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60"/>
              <w:jc w:val="right"/>
              <w:rPr>
                <w:sz w:val="16"/>
              </w:rPr>
            </w:pPr>
            <w:r>
              <w:rPr>
                <w:w w:val="99"/>
                <w:sz w:val="16"/>
              </w:rPr>
              <w:t>4</w:t>
            </w:r>
          </w:p>
        </w:tc>
      </w:tr>
      <w:tr>
        <w:trPr>
          <w:trHeight w:val="241" w:hRule="exact"/>
        </w:trPr>
        <w:tc>
          <w:tcPr>
            <w:tcW w:w="2830" w:type="dxa"/>
            <w:tcBorders>
              <w:left w:val="single" w:sz="0" w:space="0" w:color="000000"/>
              <w:right w:val="single" w:sz="0" w:space="0" w:color="000000"/>
            </w:tcBorders>
          </w:tcPr>
          <w:p>
            <w:pPr>
              <w:pStyle w:val="TableParagraph"/>
              <w:spacing w:before="20"/>
              <w:ind w:left="51"/>
              <w:rPr>
                <w:sz w:val="16"/>
              </w:rPr>
            </w:pPr>
            <w:r>
              <w:rPr>
                <w:sz w:val="16"/>
              </w:rPr>
              <w:t>Mr Talal Yassine OAM</w:t>
            </w:r>
          </w:p>
        </w:tc>
        <w:tc>
          <w:tcPr>
            <w:tcW w:w="1133" w:type="dxa"/>
            <w:tcBorders>
              <w:left w:val="single" w:sz="0" w:space="0" w:color="000000"/>
              <w:right w:val="single" w:sz="0" w:space="0" w:color="000000"/>
            </w:tcBorders>
          </w:tcPr>
          <w:p>
            <w:pPr>
              <w:pStyle w:val="TableParagraph"/>
              <w:spacing w:before="19"/>
              <w:ind w:right="464"/>
              <w:jc w:val="right"/>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60"/>
              <w:jc w:val="right"/>
              <w:rPr>
                <w:sz w:val="16"/>
              </w:rPr>
            </w:pPr>
            <w:r>
              <w:rPr>
                <w:w w:val="99"/>
                <w:sz w:val="16"/>
              </w:rPr>
              <w:t>3</w:t>
            </w:r>
          </w:p>
        </w:tc>
      </w:tr>
      <w:tr>
        <w:trPr>
          <w:trHeight w:val="241" w:hRule="exact"/>
        </w:trPr>
        <w:tc>
          <w:tcPr>
            <w:tcW w:w="2830" w:type="dxa"/>
            <w:tcBorders>
              <w:left w:val="single" w:sz="0" w:space="0" w:color="000000"/>
              <w:right w:val="single" w:sz="0" w:space="0" w:color="000000"/>
            </w:tcBorders>
          </w:tcPr>
          <w:p>
            <w:pPr>
              <w:pStyle w:val="TableParagraph"/>
              <w:spacing w:before="20"/>
              <w:ind w:left="51"/>
              <w:rPr>
                <w:sz w:val="16"/>
              </w:rPr>
            </w:pPr>
            <w:r>
              <w:rPr>
                <w:sz w:val="16"/>
              </w:rPr>
              <w:t>Ms Catherine Dovey</w:t>
            </w:r>
          </w:p>
        </w:tc>
        <w:tc>
          <w:tcPr>
            <w:tcW w:w="1133" w:type="dxa"/>
            <w:tcBorders>
              <w:left w:val="single" w:sz="0" w:space="0" w:color="000000"/>
              <w:right w:val="single" w:sz="0" w:space="0" w:color="000000"/>
            </w:tcBorders>
          </w:tcPr>
          <w:p>
            <w:pPr>
              <w:pStyle w:val="TableParagraph"/>
              <w:spacing w:before="19"/>
              <w:ind w:right="464"/>
              <w:jc w:val="right"/>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60"/>
              <w:jc w:val="right"/>
              <w:rPr>
                <w:sz w:val="16"/>
              </w:rPr>
            </w:pPr>
            <w:r>
              <w:rPr>
                <w:w w:val="99"/>
                <w:sz w:val="16"/>
              </w:rPr>
              <w:t>4</w:t>
            </w:r>
          </w:p>
        </w:tc>
      </w:tr>
      <w:tr>
        <w:trPr>
          <w:trHeight w:val="241" w:hRule="exact"/>
        </w:trPr>
        <w:tc>
          <w:tcPr>
            <w:tcW w:w="2830" w:type="dxa"/>
            <w:tcBorders>
              <w:left w:val="single" w:sz="0" w:space="0" w:color="000000"/>
              <w:right w:val="single" w:sz="0" w:space="0" w:color="000000"/>
            </w:tcBorders>
          </w:tcPr>
          <w:p>
            <w:pPr>
              <w:pStyle w:val="TableParagraph"/>
              <w:spacing w:before="20"/>
              <w:ind w:left="51"/>
              <w:rPr>
                <w:sz w:val="16"/>
              </w:rPr>
            </w:pPr>
            <w:r>
              <w:rPr>
                <w:sz w:val="16"/>
              </w:rPr>
              <w:t>Mr Cameron Clyne</w:t>
            </w:r>
          </w:p>
        </w:tc>
        <w:tc>
          <w:tcPr>
            <w:tcW w:w="1133" w:type="dxa"/>
            <w:tcBorders>
              <w:left w:val="single" w:sz="0" w:space="0" w:color="000000"/>
              <w:right w:val="single" w:sz="0" w:space="0" w:color="000000"/>
            </w:tcBorders>
          </w:tcPr>
          <w:p>
            <w:pPr>
              <w:pStyle w:val="TableParagraph"/>
              <w:spacing w:before="19"/>
              <w:ind w:right="464"/>
              <w:jc w:val="right"/>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60"/>
              <w:jc w:val="right"/>
              <w:rPr>
                <w:sz w:val="16"/>
              </w:rPr>
            </w:pPr>
            <w:r>
              <w:rPr>
                <w:w w:val="99"/>
                <w:sz w:val="16"/>
              </w:rPr>
              <w:t>3</w:t>
            </w:r>
          </w:p>
        </w:tc>
      </w:tr>
      <w:tr>
        <w:trPr>
          <w:trHeight w:val="241" w:hRule="exact"/>
        </w:trPr>
        <w:tc>
          <w:tcPr>
            <w:tcW w:w="2830" w:type="dxa"/>
            <w:tcBorders>
              <w:left w:val="single" w:sz="0" w:space="0" w:color="000000"/>
              <w:right w:val="single" w:sz="0" w:space="0" w:color="000000"/>
            </w:tcBorders>
          </w:tcPr>
          <w:p>
            <w:pPr>
              <w:pStyle w:val="TableParagraph"/>
              <w:spacing w:before="20"/>
              <w:ind w:left="51"/>
              <w:rPr>
                <w:sz w:val="16"/>
              </w:rPr>
            </w:pPr>
            <w:r>
              <w:rPr>
                <w:sz w:val="16"/>
              </w:rPr>
              <w:t>Dr Rebecca Huntley</w:t>
            </w:r>
          </w:p>
        </w:tc>
        <w:tc>
          <w:tcPr>
            <w:tcW w:w="1133" w:type="dxa"/>
            <w:tcBorders>
              <w:left w:val="single" w:sz="0" w:space="0" w:color="000000"/>
              <w:right w:val="single" w:sz="0" w:space="0" w:color="000000"/>
            </w:tcBorders>
          </w:tcPr>
          <w:p>
            <w:pPr>
              <w:pStyle w:val="TableParagraph"/>
              <w:spacing w:before="19"/>
              <w:ind w:right="464"/>
              <w:jc w:val="right"/>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60"/>
              <w:jc w:val="right"/>
              <w:rPr>
                <w:sz w:val="16"/>
              </w:rPr>
            </w:pPr>
            <w:r>
              <w:rPr>
                <w:w w:val="99"/>
                <w:sz w:val="16"/>
              </w:rPr>
              <w:t>3</w:t>
            </w:r>
          </w:p>
        </w:tc>
      </w:tr>
      <w:tr>
        <w:trPr>
          <w:trHeight w:val="241" w:hRule="exact"/>
        </w:trPr>
        <w:tc>
          <w:tcPr>
            <w:tcW w:w="2830" w:type="dxa"/>
            <w:tcBorders>
              <w:left w:val="single" w:sz="0" w:space="0" w:color="000000"/>
              <w:right w:val="single" w:sz="0" w:space="0" w:color="000000"/>
            </w:tcBorders>
          </w:tcPr>
          <w:p>
            <w:pPr>
              <w:pStyle w:val="TableParagraph"/>
              <w:spacing w:before="20"/>
              <w:ind w:left="51"/>
              <w:rPr>
                <w:sz w:val="16"/>
              </w:rPr>
            </w:pPr>
            <w:r>
              <w:rPr>
                <w:sz w:val="16"/>
              </w:rPr>
              <w:t>Ms Amanda McKenzie</w:t>
            </w:r>
          </w:p>
        </w:tc>
        <w:tc>
          <w:tcPr>
            <w:tcW w:w="1133" w:type="dxa"/>
            <w:tcBorders>
              <w:left w:val="single" w:sz="0" w:space="0" w:color="000000"/>
              <w:right w:val="single" w:sz="0" w:space="0" w:color="000000"/>
            </w:tcBorders>
          </w:tcPr>
          <w:p>
            <w:pPr>
              <w:pStyle w:val="TableParagraph"/>
              <w:spacing w:before="19"/>
              <w:ind w:right="464"/>
              <w:jc w:val="right"/>
              <w:rPr>
                <w:sz w:val="16"/>
              </w:rPr>
            </w:pPr>
            <w:r>
              <w:rPr>
                <w:w w:val="99"/>
                <w:sz w:val="16"/>
              </w:rPr>
              <w:t>4</w:t>
            </w:r>
          </w:p>
        </w:tc>
        <w:tc>
          <w:tcPr>
            <w:tcW w:w="1128" w:type="dxa"/>
            <w:tcBorders>
              <w:left w:val="single" w:sz="0" w:space="0" w:color="000000"/>
              <w:right w:val="single" w:sz="0" w:space="0" w:color="000000"/>
            </w:tcBorders>
          </w:tcPr>
          <w:p>
            <w:pPr>
              <w:pStyle w:val="TableParagraph"/>
              <w:spacing w:before="19"/>
              <w:ind w:right="460"/>
              <w:jc w:val="right"/>
              <w:rPr>
                <w:sz w:val="16"/>
              </w:rPr>
            </w:pPr>
            <w:r>
              <w:rPr>
                <w:w w:val="99"/>
                <w:sz w:val="16"/>
              </w:rPr>
              <w:t>2</w:t>
            </w:r>
          </w:p>
        </w:tc>
      </w:tr>
      <w:tr>
        <w:trPr>
          <w:trHeight w:val="477" w:hRule="exact"/>
        </w:trPr>
        <w:tc>
          <w:tcPr>
            <w:tcW w:w="2830" w:type="dxa"/>
            <w:tcBorders>
              <w:left w:val="single" w:sz="0" w:space="0" w:color="000000"/>
              <w:bottom w:val="single" w:sz="0" w:space="0" w:color="000000"/>
              <w:right w:val="single" w:sz="0" w:space="0" w:color="000000"/>
            </w:tcBorders>
          </w:tcPr>
          <w:p>
            <w:pPr>
              <w:pStyle w:val="TableParagraph"/>
              <w:spacing w:before="20"/>
              <w:ind w:left="51"/>
              <w:rPr>
                <w:sz w:val="16"/>
              </w:rPr>
            </w:pPr>
            <w:r>
              <w:rPr>
                <w:sz w:val="16"/>
              </w:rPr>
              <w:t>Mr John Wells</w:t>
            </w:r>
          </w:p>
        </w:tc>
        <w:tc>
          <w:tcPr>
            <w:tcW w:w="1133" w:type="dxa"/>
            <w:tcBorders>
              <w:left w:val="single" w:sz="0" w:space="0" w:color="000000"/>
              <w:bottom w:val="single" w:sz="0" w:space="0" w:color="000000"/>
              <w:right w:val="single" w:sz="0" w:space="0" w:color="000000"/>
            </w:tcBorders>
          </w:tcPr>
          <w:p>
            <w:pPr>
              <w:pStyle w:val="TableParagraph"/>
              <w:spacing w:before="19"/>
              <w:ind w:right="464"/>
              <w:jc w:val="right"/>
              <w:rPr>
                <w:sz w:val="16"/>
              </w:rPr>
            </w:pPr>
            <w:r>
              <w:rPr>
                <w:w w:val="99"/>
                <w:sz w:val="16"/>
              </w:rPr>
              <w:t>4</w:t>
            </w:r>
          </w:p>
        </w:tc>
        <w:tc>
          <w:tcPr>
            <w:tcW w:w="1128" w:type="dxa"/>
            <w:tcBorders>
              <w:left w:val="single" w:sz="0" w:space="0" w:color="000000"/>
              <w:bottom w:val="single" w:sz="0" w:space="0" w:color="000000"/>
              <w:right w:val="single" w:sz="0" w:space="0" w:color="000000"/>
            </w:tcBorders>
          </w:tcPr>
          <w:p>
            <w:pPr>
              <w:pStyle w:val="TableParagraph"/>
              <w:spacing w:before="19"/>
              <w:ind w:right="460"/>
              <w:jc w:val="right"/>
              <w:rPr>
                <w:sz w:val="16"/>
              </w:rPr>
            </w:pPr>
            <w:r>
              <w:rPr>
                <w:w w:val="99"/>
                <w:sz w:val="16"/>
              </w:rPr>
              <w:t>4</w:t>
            </w:r>
          </w:p>
        </w:tc>
      </w:tr>
    </w:tbl>
    <w:p>
      <w:pPr>
        <w:pStyle w:val="BodyText"/>
        <w:spacing w:before="9"/>
      </w:pPr>
    </w:p>
    <w:p>
      <w:pPr>
        <w:pStyle w:val="BodyText"/>
        <w:spacing w:before="77"/>
        <w:ind w:left="504" w:right="258"/>
      </w:pPr>
      <w:r>
        <w:rPr/>
        <w:pict>
          <v:shape style="position:absolute;margin-left:68.345474pt;margin-top:13.560083pt;width:473.95pt;height:128.7pt;mso-position-horizontal-relative:page;mso-position-vertical-relative:paragraph;z-index:-1179088"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spacing w:before="1"/>
                    <w:rPr>
                      <w:sz w:val="22"/>
                    </w:rPr>
                  </w:pPr>
                </w:p>
                <w:p>
                  <w:pPr>
                    <w:pStyle w:val="BodyText"/>
                    <w:ind w:left="35"/>
                  </w:pPr>
                  <w:r>
                    <w:rPr/>
                    <w:t>Director: ...............................................................................  Director: ..............................................................................</w:t>
                  </w:r>
                </w:p>
                <w:p>
                  <w:pPr>
                    <w:pStyle w:val="BodyText"/>
                    <w:tabs>
                      <w:tab w:pos="6365" w:val="left" w:leader="none"/>
                    </w:tabs>
                    <w:spacing w:before="27"/>
                    <w:ind w:left="1430"/>
                  </w:pPr>
                  <w:r>
                    <w:rPr/>
                    <w:t>The Hon.</w:t>
                  </w:r>
                  <w:r>
                    <w:rPr>
                      <w:spacing w:val="-1"/>
                    </w:rPr>
                    <w:t> </w:t>
                  </w:r>
                  <w:r>
                    <w:rPr/>
                    <w:t>John</w:t>
                  </w:r>
                  <w:r>
                    <w:rPr>
                      <w:spacing w:val="-1"/>
                    </w:rPr>
                    <w:t> </w:t>
                  </w:r>
                  <w:r>
                    <w:rPr/>
                    <w:t>Faulkner</w:t>
                    <w:tab/>
                    <w:t>Ms Gabrielle</w:t>
                  </w:r>
                  <w:r>
                    <w:rPr>
                      <w:spacing w:val="-1"/>
                    </w:rPr>
                    <w:t> </w:t>
                  </w:r>
                  <w:r>
                    <w:rPr/>
                    <w:t>Trainor</w:t>
                  </w:r>
                </w:p>
                <w:p>
                  <w:pPr>
                    <w:pStyle w:val="BodyText"/>
                  </w:pPr>
                </w:p>
                <w:p>
                  <w:pPr>
                    <w:pStyle w:val="BodyText"/>
                  </w:pPr>
                </w:p>
                <w:p>
                  <w:pPr>
                    <w:pStyle w:val="BodyText"/>
                    <w:spacing w:before="1"/>
                    <w:rPr>
                      <w:sz w:val="14"/>
                    </w:rPr>
                  </w:pPr>
                </w:p>
                <w:p>
                  <w:pPr>
                    <w:pStyle w:val="BodyText"/>
                    <w:ind w:left="37"/>
                  </w:pPr>
                  <w:r>
                    <w:rPr/>
                    <w:t>Dated 23 February 2018</w:t>
                  </w:r>
                </w:p>
              </w:txbxContent>
            </v:textbox>
            <w10:wrap type="none"/>
          </v:shape>
        </w:pict>
      </w:r>
      <w:r>
        <w:rPr/>
        <w:t>This report is made in accordance with a resolution of the Trustees.</w:t>
      </w:r>
    </w:p>
    <w:p>
      <w:pPr>
        <w:pStyle w:val="BodyText"/>
        <w:ind w:left="466"/>
        <w:rPr>
          <w:sz w:val="20"/>
        </w:rPr>
      </w:pPr>
      <w:r>
        <w:rPr>
          <w:sz w:val="20"/>
        </w:rPr>
        <w:drawing>
          <wp:inline distT="0" distB="0" distL="0" distR="0">
            <wp:extent cx="5912886" cy="1605534"/>
            <wp:effectExtent l="0" t="0" r="0" b="0"/>
            <wp:docPr id="63" name="image41.jpeg" descr=""/>
            <wp:cNvGraphicFramePr>
              <a:graphicFrameLocks noChangeAspect="1"/>
            </wp:cNvGraphicFramePr>
            <a:graphic>
              <a:graphicData uri="http://schemas.openxmlformats.org/drawingml/2006/picture">
                <pic:pic>
                  <pic:nvPicPr>
                    <pic:cNvPr id="64" name="image41.jpeg"/>
                    <pic:cNvPicPr/>
                  </pic:nvPicPr>
                  <pic:blipFill>
                    <a:blip r:embed="rId156" cstate="print"/>
                    <a:stretch>
                      <a:fillRect/>
                    </a:stretch>
                  </pic:blipFill>
                  <pic:spPr>
                    <a:xfrm>
                      <a:off x="0" y="0"/>
                      <a:ext cx="5912886" cy="1605534"/>
                    </a:xfrm>
                    <a:prstGeom prst="rect">
                      <a:avLst/>
                    </a:prstGeom>
                  </pic:spPr>
                </pic:pic>
              </a:graphicData>
            </a:graphic>
          </wp:inline>
        </w:drawing>
      </w:r>
      <w:r>
        <w:rPr>
          <w:sz w:val="20"/>
        </w:rPr>
      </w:r>
    </w:p>
    <w:p>
      <w:pPr>
        <w:spacing w:after="0"/>
        <w:rPr>
          <w:sz w:val="20"/>
        </w:rPr>
        <w:sectPr>
          <w:pgSz w:w="11910" w:h="16840"/>
          <w:pgMar w:header="1038" w:footer="507" w:top="2520" w:bottom="700" w:left="900" w:right="940"/>
        </w:sectPr>
      </w:pPr>
    </w:p>
    <w:p>
      <w:pPr>
        <w:pStyle w:val="BodyText"/>
        <w:rPr>
          <w:sz w:val="26"/>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34"/>
        <w:gridCol w:w="1450"/>
        <w:gridCol w:w="1561"/>
        <w:gridCol w:w="1108"/>
      </w:tblGrid>
      <w:tr>
        <w:trPr>
          <w:trHeight w:val="1025" w:hRule="exact"/>
        </w:trPr>
        <w:tc>
          <w:tcPr>
            <w:tcW w:w="5834" w:type="dxa"/>
          </w:tcPr>
          <w:p>
            <w:pPr>
              <w:pStyle w:val="TableParagraph"/>
              <w:spacing w:before="71"/>
              <w:ind w:left="35"/>
              <w:rPr>
                <w:b/>
                <w:sz w:val="22"/>
              </w:rPr>
            </w:pPr>
            <w:r>
              <w:rPr>
                <w:b/>
                <w:sz w:val="22"/>
              </w:rPr>
              <w:t>Start of audited financial statements</w:t>
            </w:r>
          </w:p>
          <w:p>
            <w:pPr>
              <w:pStyle w:val="TableParagraph"/>
              <w:spacing w:before="5"/>
              <w:rPr>
                <w:sz w:val="29"/>
              </w:rPr>
            </w:pPr>
          </w:p>
          <w:p>
            <w:pPr>
              <w:pStyle w:val="TableParagraph"/>
              <w:ind w:left="35"/>
              <w:rPr>
                <w:b/>
                <w:sz w:val="28"/>
              </w:rPr>
            </w:pPr>
            <w:r>
              <w:rPr>
                <w:b/>
                <w:sz w:val="28"/>
              </w:rPr>
              <w:t>Statement of comprehensive income</w:t>
            </w:r>
          </w:p>
        </w:tc>
        <w:tc>
          <w:tcPr>
            <w:tcW w:w="4119" w:type="dxa"/>
            <w:gridSpan w:val="3"/>
            <w:vMerge w:val="restart"/>
          </w:tcPr>
          <w:p>
            <w:pPr/>
          </w:p>
        </w:tc>
      </w:tr>
      <w:tr>
        <w:trPr>
          <w:trHeight w:val="486" w:hRule="exact"/>
        </w:trPr>
        <w:tc>
          <w:tcPr>
            <w:tcW w:w="5834" w:type="dxa"/>
          </w:tcPr>
          <w:p>
            <w:pPr>
              <w:pStyle w:val="TableParagraph"/>
              <w:spacing w:before="17"/>
              <w:ind w:left="35"/>
              <w:rPr>
                <w:b/>
                <w:sz w:val="22"/>
              </w:rPr>
            </w:pPr>
            <w:r>
              <w:rPr>
                <w:b/>
                <w:sz w:val="22"/>
              </w:rPr>
              <w:t>For the Year Ended 31 December 2017</w:t>
            </w:r>
          </w:p>
        </w:tc>
        <w:tc>
          <w:tcPr>
            <w:tcW w:w="4119" w:type="dxa"/>
            <w:gridSpan w:val="3"/>
            <w:vMerge/>
          </w:tcPr>
          <w:p>
            <w:pPr/>
          </w:p>
        </w:tc>
      </w:tr>
      <w:tr>
        <w:trPr>
          <w:trHeight w:val="447" w:hRule="exact"/>
        </w:trPr>
        <w:tc>
          <w:tcPr>
            <w:tcW w:w="5834" w:type="dxa"/>
          </w:tcPr>
          <w:p>
            <w:pPr/>
          </w:p>
        </w:tc>
        <w:tc>
          <w:tcPr>
            <w:tcW w:w="1450" w:type="dxa"/>
          </w:tcPr>
          <w:p>
            <w:pPr/>
          </w:p>
        </w:tc>
        <w:tc>
          <w:tcPr>
            <w:tcW w:w="1561" w:type="dxa"/>
          </w:tcPr>
          <w:p>
            <w:pPr>
              <w:pStyle w:val="TableParagraph"/>
              <w:spacing w:before="1"/>
              <w:rPr>
                <w:sz w:val="17"/>
              </w:rPr>
            </w:pPr>
          </w:p>
          <w:p>
            <w:pPr>
              <w:pStyle w:val="TableParagraph"/>
              <w:ind w:left="491"/>
              <w:rPr>
                <w:b/>
                <w:sz w:val="18"/>
              </w:rPr>
            </w:pPr>
            <w:r>
              <w:rPr>
                <w:b/>
                <w:sz w:val="18"/>
              </w:rPr>
              <w:t>2017</w:t>
            </w:r>
          </w:p>
        </w:tc>
        <w:tc>
          <w:tcPr>
            <w:tcW w:w="1108" w:type="dxa"/>
          </w:tcPr>
          <w:p>
            <w:pPr>
              <w:pStyle w:val="TableParagraph"/>
              <w:spacing w:before="1"/>
              <w:rPr>
                <w:sz w:val="17"/>
              </w:rPr>
            </w:pPr>
          </w:p>
          <w:p>
            <w:pPr>
              <w:pStyle w:val="TableParagraph"/>
              <w:ind w:left="249"/>
              <w:rPr>
                <w:b/>
                <w:sz w:val="18"/>
              </w:rPr>
            </w:pPr>
            <w:r>
              <w:rPr>
                <w:b/>
                <w:sz w:val="18"/>
              </w:rPr>
              <w:t>2016</w:t>
            </w:r>
          </w:p>
        </w:tc>
      </w:tr>
      <w:tr>
        <w:trPr>
          <w:trHeight w:val="313" w:hRule="exact"/>
        </w:trPr>
        <w:tc>
          <w:tcPr>
            <w:tcW w:w="5834" w:type="dxa"/>
          </w:tcPr>
          <w:p>
            <w:pPr/>
          </w:p>
        </w:tc>
        <w:tc>
          <w:tcPr>
            <w:tcW w:w="1450" w:type="dxa"/>
          </w:tcPr>
          <w:p>
            <w:pPr>
              <w:pStyle w:val="TableParagraph"/>
              <w:spacing w:before="24"/>
              <w:ind w:left="899" w:right="10"/>
              <w:jc w:val="center"/>
              <w:rPr>
                <w:b/>
                <w:sz w:val="18"/>
              </w:rPr>
            </w:pPr>
            <w:r>
              <w:rPr>
                <w:b/>
                <w:sz w:val="18"/>
              </w:rPr>
              <w:t>Notes</w:t>
            </w:r>
          </w:p>
        </w:tc>
        <w:tc>
          <w:tcPr>
            <w:tcW w:w="1561" w:type="dxa"/>
          </w:tcPr>
          <w:p>
            <w:pPr>
              <w:pStyle w:val="TableParagraph"/>
              <w:spacing w:before="24"/>
              <w:ind w:right="175"/>
              <w:jc w:val="center"/>
              <w:rPr>
                <w:b/>
                <w:sz w:val="18"/>
              </w:rPr>
            </w:pPr>
            <w:r>
              <w:rPr>
                <w:b/>
                <w:w w:val="99"/>
                <w:sz w:val="18"/>
              </w:rPr>
              <w:t>$</w:t>
            </w:r>
          </w:p>
        </w:tc>
        <w:tc>
          <w:tcPr>
            <w:tcW w:w="1108" w:type="dxa"/>
          </w:tcPr>
          <w:p>
            <w:pPr>
              <w:pStyle w:val="TableParagraph"/>
              <w:spacing w:before="24"/>
              <w:ind w:left="399"/>
              <w:rPr>
                <w:b/>
                <w:sz w:val="18"/>
              </w:rPr>
            </w:pPr>
            <w:r>
              <w:rPr>
                <w:b/>
                <w:w w:val="99"/>
                <w:sz w:val="18"/>
              </w:rPr>
              <w:t>$</w:t>
            </w:r>
          </w:p>
        </w:tc>
      </w:tr>
      <w:tr>
        <w:trPr>
          <w:trHeight w:val="364" w:hRule="exact"/>
        </w:trPr>
        <w:tc>
          <w:tcPr>
            <w:tcW w:w="5834" w:type="dxa"/>
          </w:tcPr>
          <w:p>
            <w:pPr>
              <w:pStyle w:val="TableParagraph"/>
              <w:spacing w:before="63"/>
              <w:ind w:left="79"/>
              <w:rPr>
                <w:b/>
                <w:sz w:val="18"/>
              </w:rPr>
            </w:pPr>
            <w:r>
              <w:rPr>
                <w:b/>
                <w:sz w:val="18"/>
              </w:rPr>
              <w:t>Revenue</w:t>
            </w:r>
          </w:p>
        </w:tc>
        <w:tc>
          <w:tcPr>
            <w:tcW w:w="1450" w:type="dxa"/>
          </w:tcPr>
          <w:p>
            <w:pPr/>
          </w:p>
        </w:tc>
        <w:tc>
          <w:tcPr>
            <w:tcW w:w="1561" w:type="dxa"/>
          </w:tcPr>
          <w:p>
            <w:pPr/>
          </w:p>
        </w:tc>
        <w:tc>
          <w:tcPr>
            <w:tcW w:w="1108" w:type="dxa"/>
          </w:tcPr>
          <w:p>
            <w:pPr/>
          </w:p>
        </w:tc>
      </w:tr>
      <w:tr>
        <w:trPr>
          <w:trHeight w:val="320" w:hRule="exact"/>
        </w:trPr>
        <w:tc>
          <w:tcPr>
            <w:tcW w:w="5834" w:type="dxa"/>
          </w:tcPr>
          <w:p>
            <w:pPr>
              <w:pStyle w:val="TableParagraph"/>
              <w:spacing w:before="74"/>
              <w:ind w:left="79"/>
              <w:rPr>
                <w:sz w:val="18"/>
              </w:rPr>
            </w:pPr>
            <w:r>
              <w:rPr>
                <w:sz w:val="18"/>
              </w:rPr>
              <w:t>Services</w:t>
            </w:r>
          </w:p>
        </w:tc>
        <w:tc>
          <w:tcPr>
            <w:tcW w:w="1450" w:type="dxa"/>
          </w:tcPr>
          <w:p>
            <w:pPr>
              <w:pStyle w:val="TableParagraph"/>
              <w:spacing w:before="75"/>
              <w:ind w:left="890"/>
              <w:jc w:val="center"/>
              <w:rPr>
                <w:sz w:val="18"/>
              </w:rPr>
            </w:pPr>
            <w:r>
              <w:rPr>
                <w:w w:val="99"/>
                <w:sz w:val="18"/>
              </w:rPr>
              <w:t>3</w:t>
            </w:r>
          </w:p>
        </w:tc>
        <w:tc>
          <w:tcPr>
            <w:tcW w:w="1561" w:type="dxa"/>
          </w:tcPr>
          <w:p>
            <w:pPr>
              <w:pStyle w:val="TableParagraph"/>
              <w:spacing w:before="75"/>
              <w:ind w:right="307"/>
              <w:jc w:val="right"/>
              <w:rPr>
                <w:b/>
                <w:sz w:val="18"/>
              </w:rPr>
            </w:pPr>
            <w:r>
              <w:rPr>
                <w:b/>
                <w:w w:val="95"/>
                <w:sz w:val="18"/>
              </w:rPr>
              <w:t>180,334</w:t>
            </w:r>
          </w:p>
        </w:tc>
        <w:tc>
          <w:tcPr>
            <w:tcW w:w="1108" w:type="dxa"/>
          </w:tcPr>
          <w:p>
            <w:pPr>
              <w:pStyle w:val="TableParagraph"/>
              <w:spacing w:before="75"/>
              <w:ind w:left="370"/>
              <w:rPr>
                <w:sz w:val="18"/>
              </w:rPr>
            </w:pPr>
            <w:r>
              <w:rPr>
                <w:sz w:val="18"/>
              </w:rPr>
              <w:t>150,725</w:t>
            </w:r>
          </w:p>
        </w:tc>
      </w:tr>
      <w:tr>
        <w:trPr>
          <w:trHeight w:val="264" w:hRule="exact"/>
        </w:trPr>
        <w:tc>
          <w:tcPr>
            <w:tcW w:w="5834" w:type="dxa"/>
          </w:tcPr>
          <w:p>
            <w:pPr>
              <w:pStyle w:val="TableParagraph"/>
              <w:spacing w:before="18"/>
              <w:ind w:left="79"/>
              <w:rPr>
                <w:sz w:val="18"/>
              </w:rPr>
            </w:pPr>
            <w:r>
              <w:rPr>
                <w:sz w:val="18"/>
              </w:rPr>
              <w:t>Other revenue</w:t>
            </w:r>
          </w:p>
        </w:tc>
        <w:tc>
          <w:tcPr>
            <w:tcW w:w="1450" w:type="dxa"/>
          </w:tcPr>
          <w:p>
            <w:pPr>
              <w:pStyle w:val="TableParagraph"/>
              <w:spacing w:before="19"/>
              <w:ind w:left="889"/>
              <w:jc w:val="center"/>
              <w:rPr>
                <w:sz w:val="18"/>
              </w:rPr>
            </w:pPr>
            <w:r>
              <w:rPr>
                <w:w w:val="99"/>
                <w:sz w:val="18"/>
              </w:rPr>
              <w:t>3</w:t>
            </w:r>
          </w:p>
        </w:tc>
        <w:tc>
          <w:tcPr>
            <w:tcW w:w="1561" w:type="dxa"/>
          </w:tcPr>
          <w:p>
            <w:pPr>
              <w:pStyle w:val="TableParagraph"/>
              <w:spacing w:before="19"/>
              <w:ind w:right="308"/>
              <w:jc w:val="right"/>
              <w:rPr>
                <w:b/>
                <w:sz w:val="18"/>
              </w:rPr>
            </w:pPr>
            <w:r>
              <w:rPr>
                <w:b/>
                <w:w w:val="95"/>
                <w:sz w:val="18"/>
              </w:rPr>
              <w:t>15,908</w:t>
            </w:r>
          </w:p>
        </w:tc>
        <w:tc>
          <w:tcPr>
            <w:tcW w:w="1108" w:type="dxa"/>
          </w:tcPr>
          <w:p>
            <w:pPr>
              <w:pStyle w:val="TableParagraph"/>
              <w:spacing w:before="19"/>
              <w:ind w:right="85"/>
              <w:jc w:val="right"/>
              <w:rPr>
                <w:sz w:val="18"/>
              </w:rPr>
            </w:pPr>
            <w:r>
              <w:rPr>
                <w:w w:val="95"/>
                <w:sz w:val="18"/>
              </w:rPr>
              <w:t>14,079</w:t>
            </w:r>
          </w:p>
        </w:tc>
      </w:tr>
      <w:tr>
        <w:trPr>
          <w:trHeight w:val="263" w:hRule="exact"/>
        </w:trPr>
        <w:tc>
          <w:tcPr>
            <w:tcW w:w="5834" w:type="dxa"/>
          </w:tcPr>
          <w:p>
            <w:pPr>
              <w:pStyle w:val="TableParagraph"/>
              <w:spacing w:before="18"/>
              <w:ind w:left="79"/>
              <w:rPr>
                <w:sz w:val="18"/>
              </w:rPr>
            </w:pPr>
            <w:r>
              <w:rPr>
                <w:sz w:val="18"/>
              </w:rPr>
              <w:t>Contribution of assets</w:t>
            </w:r>
          </w:p>
        </w:tc>
        <w:tc>
          <w:tcPr>
            <w:tcW w:w="1450" w:type="dxa"/>
          </w:tcPr>
          <w:p>
            <w:pPr/>
          </w:p>
        </w:tc>
        <w:tc>
          <w:tcPr>
            <w:tcW w:w="1561" w:type="dxa"/>
            <w:tcBorders>
              <w:bottom w:val="single" w:sz="0" w:space="0" w:color="000000"/>
            </w:tcBorders>
          </w:tcPr>
          <w:p>
            <w:pPr>
              <w:pStyle w:val="TableParagraph"/>
              <w:spacing w:before="19"/>
              <w:ind w:right="308"/>
              <w:jc w:val="right"/>
              <w:rPr>
                <w:b/>
                <w:sz w:val="18"/>
              </w:rPr>
            </w:pPr>
            <w:r>
              <w:rPr>
                <w:b/>
                <w:w w:val="95"/>
                <w:sz w:val="18"/>
              </w:rPr>
              <w:t>30,730</w:t>
            </w:r>
          </w:p>
        </w:tc>
        <w:tc>
          <w:tcPr>
            <w:tcW w:w="1108" w:type="dxa"/>
            <w:tcBorders>
              <w:bottom w:val="single" w:sz="0" w:space="0" w:color="000000"/>
            </w:tcBorders>
          </w:tcPr>
          <w:p>
            <w:pPr>
              <w:pStyle w:val="TableParagraph"/>
              <w:spacing w:before="19"/>
              <w:ind w:right="85"/>
              <w:jc w:val="right"/>
              <w:rPr>
                <w:sz w:val="18"/>
              </w:rPr>
            </w:pPr>
            <w:r>
              <w:rPr>
                <w:w w:val="95"/>
                <w:sz w:val="18"/>
              </w:rPr>
              <w:t>31,575</w:t>
            </w:r>
          </w:p>
        </w:tc>
      </w:tr>
      <w:tr>
        <w:trPr>
          <w:trHeight w:val="343" w:hRule="exact"/>
        </w:trPr>
        <w:tc>
          <w:tcPr>
            <w:tcW w:w="5834" w:type="dxa"/>
          </w:tcPr>
          <w:p>
            <w:pPr>
              <w:pStyle w:val="TableParagraph"/>
              <w:spacing w:before="123"/>
              <w:ind w:left="79"/>
              <w:rPr>
                <w:b/>
                <w:sz w:val="18"/>
              </w:rPr>
            </w:pPr>
            <w:r>
              <w:rPr>
                <w:b/>
                <w:sz w:val="18"/>
              </w:rPr>
              <w:t>Total revenue</w:t>
            </w:r>
          </w:p>
        </w:tc>
        <w:tc>
          <w:tcPr>
            <w:tcW w:w="1450" w:type="dxa"/>
          </w:tcPr>
          <w:p>
            <w:pPr/>
          </w:p>
        </w:tc>
        <w:tc>
          <w:tcPr>
            <w:tcW w:w="1561" w:type="dxa"/>
            <w:tcBorders>
              <w:top w:val="single" w:sz="0" w:space="0" w:color="000000"/>
              <w:bottom w:val="single" w:sz="0" w:space="0" w:color="000000"/>
            </w:tcBorders>
          </w:tcPr>
          <w:p>
            <w:pPr>
              <w:pStyle w:val="TableParagraph"/>
              <w:spacing w:before="122"/>
              <w:ind w:right="307"/>
              <w:jc w:val="right"/>
              <w:rPr>
                <w:b/>
                <w:sz w:val="18"/>
              </w:rPr>
            </w:pPr>
            <w:r>
              <w:rPr>
                <w:b/>
                <w:w w:val="95"/>
                <w:sz w:val="18"/>
              </w:rPr>
              <w:t>226,972</w:t>
            </w:r>
          </w:p>
        </w:tc>
        <w:tc>
          <w:tcPr>
            <w:tcW w:w="1108" w:type="dxa"/>
            <w:tcBorders>
              <w:top w:val="single" w:sz="0" w:space="0" w:color="000000"/>
              <w:bottom w:val="single" w:sz="0" w:space="0" w:color="000000"/>
            </w:tcBorders>
          </w:tcPr>
          <w:p>
            <w:pPr>
              <w:pStyle w:val="TableParagraph"/>
              <w:spacing w:before="122"/>
              <w:ind w:left="370"/>
              <w:rPr>
                <w:sz w:val="18"/>
              </w:rPr>
            </w:pPr>
            <w:r>
              <w:rPr>
                <w:sz w:val="18"/>
              </w:rPr>
              <w:t>196,379</w:t>
            </w:r>
          </w:p>
        </w:tc>
      </w:tr>
      <w:tr>
        <w:trPr>
          <w:trHeight w:val="598" w:hRule="exact"/>
        </w:trPr>
        <w:tc>
          <w:tcPr>
            <w:tcW w:w="5834" w:type="dxa"/>
          </w:tcPr>
          <w:p>
            <w:pPr>
              <w:pStyle w:val="TableParagraph"/>
              <w:spacing w:before="10"/>
              <w:rPr>
                <w:sz w:val="25"/>
              </w:rPr>
            </w:pPr>
          </w:p>
          <w:p>
            <w:pPr>
              <w:pStyle w:val="TableParagraph"/>
              <w:ind w:left="79"/>
              <w:rPr>
                <w:b/>
                <w:sz w:val="18"/>
              </w:rPr>
            </w:pPr>
            <w:r>
              <w:rPr>
                <w:b/>
                <w:sz w:val="18"/>
              </w:rPr>
              <w:t>Expenses</w:t>
            </w:r>
          </w:p>
        </w:tc>
        <w:tc>
          <w:tcPr>
            <w:tcW w:w="1450" w:type="dxa"/>
          </w:tcPr>
          <w:p>
            <w:pPr/>
          </w:p>
        </w:tc>
        <w:tc>
          <w:tcPr>
            <w:tcW w:w="1561" w:type="dxa"/>
            <w:tcBorders>
              <w:top w:val="single" w:sz="0" w:space="0" w:color="000000"/>
            </w:tcBorders>
          </w:tcPr>
          <w:p>
            <w:pPr/>
          </w:p>
        </w:tc>
        <w:tc>
          <w:tcPr>
            <w:tcW w:w="1108" w:type="dxa"/>
            <w:tcBorders>
              <w:top w:val="single" w:sz="0" w:space="0" w:color="000000"/>
            </w:tcBorders>
          </w:tcPr>
          <w:p>
            <w:pPr/>
          </w:p>
        </w:tc>
      </w:tr>
      <w:tr>
        <w:trPr>
          <w:trHeight w:val="320" w:hRule="exact"/>
        </w:trPr>
        <w:tc>
          <w:tcPr>
            <w:tcW w:w="5834" w:type="dxa"/>
          </w:tcPr>
          <w:p>
            <w:pPr>
              <w:pStyle w:val="TableParagraph"/>
              <w:spacing w:before="74"/>
              <w:ind w:left="79"/>
              <w:rPr>
                <w:sz w:val="18"/>
              </w:rPr>
            </w:pPr>
            <w:r>
              <w:rPr>
                <w:sz w:val="18"/>
              </w:rPr>
              <w:t>Contribution to Ultimate Parent Entity</w:t>
            </w:r>
          </w:p>
        </w:tc>
        <w:tc>
          <w:tcPr>
            <w:tcW w:w="1450" w:type="dxa"/>
          </w:tcPr>
          <w:p>
            <w:pPr>
              <w:pStyle w:val="TableParagraph"/>
              <w:spacing w:before="75"/>
              <w:ind w:left="890"/>
              <w:jc w:val="center"/>
              <w:rPr>
                <w:sz w:val="18"/>
              </w:rPr>
            </w:pPr>
            <w:r>
              <w:rPr>
                <w:w w:val="99"/>
                <w:sz w:val="18"/>
              </w:rPr>
              <w:t>4</w:t>
            </w:r>
          </w:p>
        </w:tc>
        <w:tc>
          <w:tcPr>
            <w:tcW w:w="1561" w:type="dxa"/>
          </w:tcPr>
          <w:p>
            <w:pPr>
              <w:pStyle w:val="TableParagraph"/>
              <w:spacing w:before="75"/>
              <w:ind w:right="247"/>
              <w:jc w:val="right"/>
              <w:rPr>
                <w:b/>
                <w:sz w:val="18"/>
              </w:rPr>
            </w:pPr>
            <w:r>
              <w:rPr>
                <w:b/>
                <w:w w:val="95"/>
                <w:sz w:val="18"/>
              </w:rPr>
              <w:t>(107,543)</w:t>
            </w:r>
          </w:p>
        </w:tc>
        <w:tc>
          <w:tcPr>
            <w:tcW w:w="1108" w:type="dxa"/>
          </w:tcPr>
          <w:p>
            <w:pPr>
              <w:pStyle w:val="TableParagraph"/>
              <w:spacing w:before="75"/>
              <w:ind w:right="24"/>
              <w:jc w:val="right"/>
              <w:rPr>
                <w:sz w:val="18"/>
              </w:rPr>
            </w:pPr>
            <w:r>
              <w:rPr>
                <w:w w:val="95"/>
                <w:sz w:val="18"/>
              </w:rPr>
              <w:t>(55,870)</w:t>
            </w:r>
          </w:p>
        </w:tc>
      </w:tr>
      <w:tr>
        <w:trPr>
          <w:trHeight w:val="264" w:hRule="exact"/>
        </w:trPr>
        <w:tc>
          <w:tcPr>
            <w:tcW w:w="5834" w:type="dxa"/>
          </w:tcPr>
          <w:p>
            <w:pPr>
              <w:pStyle w:val="TableParagraph"/>
              <w:spacing w:before="18"/>
              <w:ind w:left="79"/>
              <w:rPr>
                <w:sz w:val="18"/>
              </w:rPr>
            </w:pPr>
            <w:r>
              <w:rPr>
                <w:sz w:val="18"/>
              </w:rPr>
              <w:t>Event expenses</w:t>
            </w:r>
          </w:p>
        </w:tc>
        <w:tc>
          <w:tcPr>
            <w:tcW w:w="1450" w:type="dxa"/>
          </w:tcPr>
          <w:p>
            <w:pPr>
              <w:pStyle w:val="TableParagraph"/>
              <w:spacing w:before="19"/>
              <w:ind w:left="890"/>
              <w:jc w:val="center"/>
              <w:rPr>
                <w:sz w:val="18"/>
              </w:rPr>
            </w:pPr>
            <w:r>
              <w:rPr>
                <w:w w:val="99"/>
                <w:sz w:val="18"/>
              </w:rPr>
              <w:t>4</w:t>
            </w:r>
          </w:p>
        </w:tc>
        <w:tc>
          <w:tcPr>
            <w:tcW w:w="1561" w:type="dxa"/>
          </w:tcPr>
          <w:p>
            <w:pPr>
              <w:pStyle w:val="TableParagraph"/>
              <w:spacing w:before="19"/>
              <w:ind w:right="248"/>
              <w:jc w:val="right"/>
              <w:rPr>
                <w:b/>
                <w:sz w:val="18"/>
              </w:rPr>
            </w:pPr>
            <w:r>
              <w:rPr>
                <w:b/>
                <w:w w:val="95"/>
                <w:sz w:val="18"/>
              </w:rPr>
              <w:t>(1,452)</w:t>
            </w:r>
          </w:p>
        </w:tc>
        <w:tc>
          <w:tcPr>
            <w:tcW w:w="1108" w:type="dxa"/>
          </w:tcPr>
          <w:p>
            <w:pPr>
              <w:pStyle w:val="TableParagraph"/>
              <w:spacing w:before="19"/>
              <w:ind w:right="25"/>
              <w:jc w:val="right"/>
              <w:rPr>
                <w:sz w:val="18"/>
              </w:rPr>
            </w:pPr>
            <w:r>
              <w:rPr>
                <w:w w:val="95"/>
                <w:sz w:val="18"/>
              </w:rPr>
              <w:t>(1,191)</w:t>
            </w:r>
          </w:p>
        </w:tc>
      </w:tr>
      <w:tr>
        <w:trPr>
          <w:trHeight w:val="263" w:hRule="exact"/>
        </w:trPr>
        <w:tc>
          <w:tcPr>
            <w:tcW w:w="5834" w:type="dxa"/>
          </w:tcPr>
          <w:p>
            <w:pPr>
              <w:pStyle w:val="TableParagraph"/>
              <w:spacing w:before="18"/>
              <w:ind w:left="79"/>
              <w:rPr>
                <w:sz w:val="18"/>
              </w:rPr>
            </w:pPr>
            <w:r>
              <w:rPr>
                <w:sz w:val="18"/>
              </w:rPr>
              <w:t>Bank charges</w:t>
            </w:r>
          </w:p>
        </w:tc>
        <w:tc>
          <w:tcPr>
            <w:tcW w:w="1450" w:type="dxa"/>
          </w:tcPr>
          <w:p>
            <w:pPr>
              <w:pStyle w:val="TableParagraph"/>
              <w:spacing w:before="19"/>
              <w:ind w:left="890"/>
              <w:jc w:val="center"/>
              <w:rPr>
                <w:sz w:val="18"/>
              </w:rPr>
            </w:pPr>
            <w:r>
              <w:rPr>
                <w:w w:val="99"/>
                <w:sz w:val="18"/>
              </w:rPr>
              <w:t>4</w:t>
            </w:r>
          </w:p>
        </w:tc>
        <w:tc>
          <w:tcPr>
            <w:tcW w:w="1561" w:type="dxa"/>
            <w:tcBorders>
              <w:bottom w:val="single" w:sz="0" w:space="0" w:color="000000"/>
            </w:tcBorders>
          </w:tcPr>
          <w:p>
            <w:pPr>
              <w:pStyle w:val="TableParagraph"/>
              <w:spacing w:before="19"/>
              <w:ind w:right="248"/>
              <w:jc w:val="right"/>
              <w:rPr>
                <w:b/>
                <w:sz w:val="18"/>
              </w:rPr>
            </w:pPr>
            <w:r>
              <w:rPr>
                <w:b/>
                <w:w w:val="95"/>
                <w:sz w:val="18"/>
              </w:rPr>
              <w:t>(195)</w:t>
            </w:r>
          </w:p>
        </w:tc>
        <w:tc>
          <w:tcPr>
            <w:tcW w:w="1108" w:type="dxa"/>
            <w:tcBorders>
              <w:bottom w:val="single" w:sz="0" w:space="0" w:color="000000"/>
            </w:tcBorders>
          </w:tcPr>
          <w:p>
            <w:pPr>
              <w:pStyle w:val="TableParagraph"/>
              <w:spacing w:before="19"/>
              <w:ind w:right="25"/>
              <w:jc w:val="right"/>
              <w:rPr>
                <w:sz w:val="18"/>
              </w:rPr>
            </w:pPr>
            <w:r>
              <w:rPr>
                <w:w w:val="95"/>
                <w:sz w:val="18"/>
              </w:rPr>
              <w:t>(197)</w:t>
            </w:r>
          </w:p>
        </w:tc>
      </w:tr>
      <w:tr>
        <w:trPr>
          <w:trHeight w:val="343" w:hRule="exact"/>
        </w:trPr>
        <w:tc>
          <w:tcPr>
            <w:tcW w:w="5834" w:type="dxa"/>
          </w:tcPr>
          <w:p>
            <w:pPr>
              <w:pStyle w:val="TableParagraph"/>
              <w:spacing w:before="123"/>
              <w:ind w:left="79"/>
              <w:rPr>
                <w:b/>
                <w:sz w:val="18"/>
              </w:rPr>
            </w:pPr>
            <w:r>
              <w:rPr>
                <w:b/>
                <w:sz w:val="18"/>
              </w:rPr>
              <w:t>Total expenses</w:t>
            </w:r>
          </w:p>
        </w:tc>
        <w:tc>
          <w:tcPr>
            <w:tcW w:w="1450" w:type="dxa"/>
          </w:tcPr>
          <w:p>
            <w:pPr/>
          </w:p>
        </w:tc>
        <w:tc>
          <w:tcPr>
            <w:tcW w:w="1561" w:type="dxa"/>
            <w:tcBorders>
              <w:top w:val="single" w:sz="0" w:space="0" w:color="000000"/>
              <w:bottom w:val="single" w:sz="0" w:space="0" w:color="000000"/>
            </w:tcBorders>
          </w:tcPr>
          <w:p>
            <w:pPr>
              <w:pStyle w:val="TableParagraph"/>
              <w:spacing w:before="122"/>
              <w:ind w:right="247"/>
              <w:jc w:val="right"/>
              <w:rPr>
                <w:b/>
                <w:sz w:val="18"/>
              </w:rPr>
            </w:pPr>
            <w:r>
              <w:rPr>
                <w:b/>
                <w:sz w:val="18"/>
              </w:rPr>
              <w:t>(109,190)</w:t>
            </w:r>
          </w:p>
        </w:tc>
        <w:tc>
          <w:tcPr>
            <w:tcW w:w="1108" w:type="dxa"/>
            <w:tcBorders>
              <w:top w:val="single" w:sz="0" w:space="0" w:color="000000"/>
              <w:bottom w:val="single" w:sz="0" w:space="0" w:color="000000"/>
            </w:tcBorders>
          </w:tcPr>
          <w:p>
            <w:pPr>
              <w:pStyle w:val="TableParagraph"/>
              <w:spacing w:before="122"/>
              <w:ind w:right="24"/>
              <w:jc w:val="right"/>
              <w:rPr>
                <w:sz w:val="18"/>
              </w:rPr>
            </w:pPr>
            <w:r>
              <w:rPr>
                <w:w w:val="95"/>
                <w:sz w:val="18"/>
              </w:rPr>
              <w:t>(57,258)</w:t>
            </w:r>
          </w:p>
        </w:tc>
      </w:tr>
      <w:tr>
        <w:trPr>
          <w:trHeight w:val="442" w:hRule="exact"/>
        </w:trPr>
        <w:tc>
          <w:tcPr>
            <w:tcW w:w="5834" w:type="dxa"/>
          </w:tcPr>
          <w:p>
            <w:pPr>
              <w:pStyle w:val="TableParagraph"/>
              <w:spacing w:before="2"/>
              <w:rPr>
                <w:sz w:val="19"/>
              </w:rPr>
            </w:pPr>
          </w:p>
          <w:p>
            <w:pPr>
              <w:pStyle w:val="TableParagraph"/>
              <w:ind w:left="79"/>
              <w:rPr>
                <w:b/>
                <w:sz w:val="18"/>
              </w:rPr>
            </w:pPr>
            <w:r>
              <w:rPr>
                <w:b/>
                <w:sz w:val="18"/>
              </w:rPr>
              <w:t>Surplus for the year</w:t>
            </w:r>
          </w:p>
        </w:tc>
        <w:tc>
          <w:tcPr>
            <w:tcW w:w="1450" w:type="dxa"/>
          </w:tcPr>
          <w:p>
            <w:pPr/>
          </w:p>
        </w:tc>
        <w:tc>
          <w:tcPr>
            <w:tcW w:w="1561" w:type="dxa"/>
            <w:tcBorders>
              <w:top w:val="single" w:sz="0" w:space="0" w:color="000000"/>
              <w:bottom w:val="single" w:sz="0" w:space="0" w:color="000000"/>
            </w:tcBorders>
          </w:tcPr>
          <w:p>
            <w:pPr>
              <w:pStyle w:val="TableParagraph"/>
              <w:spacing w:before="2"/>
              <w:rPr>
                <w:sz w:val="19"/>
              </w:rPr>
            </w:pPr>
          </w:p>
          <w:p>
            <w:pPr>
              <w:pStyle w:val="TableParagraph"/>
              <w:ind w:right="307"/>
              <w:jc w:val="right"/>
              <w:rPr>
                <w:b/>
                <w:sz w:val="18"/>
              </w:rPr>
            </w:pPr>
            <w:r>
              <w:rPr>
                <w:b/>
                <w:w w:val="95"/>
                <w:sz w:val="18"/>
              </w:rPr>
              <w:t>117,782</w:t>
            </w:r>
          </w:p>
        </w:tc>
        <w:tc>
          <w:tcPr>
            <w:tcW w:w="1108" w:type="dxa"/>
            <w:tcBorders>
              <w:top w:val="single" w:sz="0" w:space="0" w:color="000000"/>
              <w:bottom w:val="single" w:sz="0" w:space="0" w:color="000000"/>
            </w:tcBorders>
          </w:tcPr>
          <w:p>
            <w:pPr>
              <w:pStyle w:val="TableParagraph"/>
              <w:spacing w:before="2"/>
              <w:rPr>
                <w:sz w:val="19"/>
              </w:rPr>
            </w:pPr>
          </w:p>
          <w:p>
            <w:pPr>
              <w:pStyle w:val="TableParagraph"/>
              <w:ind w:left="370"/>
              <w:rPr>
                <w:sz w:val="18"/>
              </w:rPr>
            </w:pPr>
            <w:r>
              <w:rPr>
                <w:sz w:val="18"/>
              </w:rPr>
              <w:t>139,121</w:t>
            </w:r>
          </w:p>
        </w:tc>
      </w:tr>
      <w:tr>
        <w:trPr>
          <w:trHeight w:val="927" w:hRule="exact"/>
        </w:trPr>
        <w:tc>
          <w:tcPr>
            <w:tcW w:w="5834" w:type="dxa"/>
          </w:tcPr>
          <w:p>
            <w:pPr>
              <w:pStyle w:val="TableParagraph"/>
              <w:rPr>
                <w:sz w:val="18"/>
              </w:rPr>
            </w:pPr>
          </w:p>
          <w:p>
            <w:pPr>
              <w:pStyle w:val="TableParagraph"/>
              <w:spacing w:before="11"/>
              <w:rPr>
                <w:sz w:val="20"/>
              </w:rPr>
            </w:pPr>
          </w:p>
          <w:p>
            <w:pPr>
              <w:pStyle w:val="TableParagraph"/>
              <w:ind w:left="79"/>
              <w:rPr>
                <w:b/>
                <w:sz w:val="18"/>
              </w:rPr>
            </w:pPr>
            <w:r>
              <w:rPr>
                <w:b/>
                <w:sz w:val="18"/>
              </w:rPr>
              <w:t>Other comprehensive income for the year</w:t>
            </w:r>
          </w:p>
          <w:p>
            <w:pPr>
              <w:pStyle w:val="TableParagraph"/>
              <w:spacing w:before="27"/>
              <w:ind w:left="79"/>
              <w:rPr>
                <w:sz w:val="18"/>
              </w:rPr>
            </w:pPr>
            <w:r>
              <w:rPr>
                <w:sz w:val="18"/>
              </w:rPr>
              <w:t>Revaluation changes for property, plant and equipment</w:t>
            </w:r>
          </w:p>
        </w:tc>
        <w:tc>
          <w:tcPr>
            <w:tcW w:w="1450" w:type="dxa"/>
          </w:tcPr>
          <w:p>
            <w:pPr/>
          </w:p>
        </w:tc>
        <w:tc>
          <w:tcPr>
            <w:tcW w:w="1561" w:type="dxa"/>
            <w:tcBorders>
              <w:top w:val="single" w:sz="0" w:space="0" w:color="000000"/>
              <w:bottom w:val="single" w:sz="0" w:space="0" w:color="000000"/>
            </w:tcBorders>
          </w:tcPr>
          <w:p>
            <w:pPr>
              <w:pStyle w:val="TableParagraph"/>
              <w:rPr>
                <w:sz w:val="18"/>
              </w:rPr>
            </w:pPr>
          </w:p>
          <w:p>
            <w:pPr>
              <w:pStyle w:val="TableParagraph"/>
              <w:rPr>
                <w:sz w:val="18"/>
              </w:rPr>
            </w:pPr>
          </w:p>
          <w:p>
            <w:pPr>
              <w:pStyle w:val="TableParagraph"/>
              <w:spacing w:before="4"/>
              <w:rPr>
                <w:sz w:val="23"/>
              </w:rPr>
            </w:pPr>
          </w:p>
          <w:p>
            <w:pPr>
              <w:pStyle w:val="TableParagraph"/>
              <w:ind w:right="310"/>
              <w:jc w:val="right"/>
              <w:rPr>
                <w:b/>
                <w:sz w:val="18"/>
              </w:rPr>
            </w:pPr>
            <w:r>
              <w:rPr>
                <w:b/>
                <w:w w:val="99"/>
                <w:sz w:val="18"/>
              </w:rPr>
              <w:t>-</w:t>
            </w:r>
          </w:p>
        </w:tc>
        <w:tc>
          <w:tcPr>
            <w:tcW w:w="1108" w:type="dxa"/>
            <w:tcBorders>
              <w:top w:val="single" w:sz="0" w:space="0" w:color="000000"/>
              <w:bottom w:val="single" w:sz="0" w:space="0" w:color="000000"/>
            </w:tcBorders>
          </w:tcPr>
          <w:p>
            <w:pPr>
              <w:pStyle w:val="TableParagraph"/>
              <w:rPr>
                <w:sz w:val="18"/>
              </w:rPr>
            </w:pPr>
          </w:p>
          <w:p>
            <w:pPr>
              <w:pStyle w:val="TableParagraph"/>
              <w:rPr>
                <w:sz w:val="18"/>
              </w:rPr>
            </w:pPr>
          </w:p>
          <w:p>
            <w:pPr>
              <w:pStyle w:val="TableParagraph"/>
              <w:spacing w:before="4"/>
              <w:rPr>
                <w:sz w:val="23"/>
              </w:rPr>
            </w:pPr>
          </w:p>
          <w:p>
            <w:pPr>
              <w:pStyle w:val="TableParagraph"/>
              <w:ind w:right="84"/>
              <w:jc w:val="right"/>
              <w:rPr>
                <w:sz w:val="18"/>
              </w:rPr>
            </w:pPr>
            <w:r>
              <w:rPr>
                <w:w w:val="95"/>
                <w:sz w:val="18"/>
              </w:rPr>
              <w:t>20,040</w:t>
            </w:r>
          </w:p>
        </w:tc>
      </w:tr>
      <w:tr>
        <w:trPr>
          <w:trHeight w:val="338" w:hRule="exact"/>
        </w:trPr>
        <w:tc>
          <w:tcPr>
            <w:tcW w:w="5834" w:type="dxa"/>
          </w:tcPr>
          <w:p>
            <w:pPr>
              <w:pStyle w:val="TableParagraph"/>
              <w:spacing w:before="123"/>
              <w:ind w:left="79"/>
              <w:rPr>
                <w:b/>
                <w:sz w:val="18"/>
              </w:rPr>
            </w:pPr>
            <w:r>
              <w:rPr>
                <w:b/>
                <w:sz w:val="18"/>
              </w:rPr>
              <w:t>Total other comprehensive income for the year</w:t>
            </w:r>
          </w:p>
        </w:tc>
        <w:tc>
          <w:tcPr>
            <w:tcW w:w="1450" w:type="dxa"/>
          </w:tcPr>
          <w:p>
            <w:pPr/>
          </w:p>
        </w:tc>
        <w:tc>
          <w:tcPr>
            <w:tcW w:w="1561" w:type="dxa"/>
            <w:tcBorders>
              <w:top w:val="single" w:sz="0" w:space="0" w:color="000000"/>
              <w:bottom w:val="single" w:sz="0" w:space="0" w:color="000000"/>
            </w:tcBorders>
          </w:tcPr>
          <w:p>
            <w:pPr>
              <w:pStyle w:val="TableParagraph"/>
              <w:spacing w:before="122"/>
              <w:ind w:right="310"/>
              <w:jc w:val="right"/>
              <w:rPr>
                <w:b/>
                <w:sz w:val="18"/>
              </w:rPr>
            </w:pPr>
            <w:r>
              <w:rPr>
                <w:b/>
                <w:w w:val="99"/>
                <w:sz w:val="18"/>
              </w:rPr>
              <w:t>-</w:t>
            </w:r>
          </w:p>
        </w:tc>
        <w:tc>
          <w:tcPr>
            <w:tcW w:w="1108" w:type="dxa"/>
            <w:tcBorders>
              <w:top w:val="single" w:sz="0" w:space="0" w:color="000000"/>
              <w:bottom w:val="single" w:sz="0" w:space="0" w:color="000000"/>
            </w:tcBorders>
          </w:tcPr>
          <w:p>
            <w:pPr>
              <w:pStyle w:val="TableParagraph"/>
              <w:spacing w:before="122"/>
              <w:ind w:right="84"/>
              <w:jc w:val="right"/>
              <w:rPr>
                <w:sz w:val="18"/>
              </w:rPr>
            </w:pPr>
            <w:r>
              <w:rPr>
                <w:w w:val="95"/>
                <w:sz w:val="18"/>
              </w:rPr>
              <w:t>20,040</w:t>
            </w:r>
          </w:p>
        </w:tc>
      </w:tr>
      <w:tr>
        <w:trPr>
          <w:trHeight w:val="809" w:hRule="exact"/>
        </w:trPr>
        <w:tc>
          <w:tcPr>
            <w:tcW w:w="5834" w:type="dxa"/>
          </w:tcPr>
          <w:p>
            <w:pPr>
              <w:pStyle w:val="TableParagraph"/>
              <w:rPr>
                <w:sz w:val="18"/>
              </w:rPr>
            </w:pPr>
          </w:p>
          <w:p>
            <w:pPr>
              <w:pStyle w:val="TableParagraph"/>
              <w:rPr>
                <w:sz w:val="18"/>
              </w:rPr>
            </w:pPr>
          </w:p>
          <w:p>
            <w:pPr>
              <w:pStyle w:val="TableParagraph"/>
              <w:spacing w:before="147"/>
              <w:ind w:left="79"/>
              <w:rPr>
                <w:b/>
                <w:sz w:val="18"/>
              </w:rPr>
            </w:pPr>
            <w:r>
              <w:rPr>
                <w:b/>
                <w:sz w:val="18"/>
              </w:rPr>
              <w:t>Total comprehensive income for the year</w:t>
            </w:r>
          </w:p>
        </w:tc>
        <w:tc>
          <w:tcPr>
            <w:tcW w:w="1450" w:type="dxa"/>
          </w:tcPr>
          <w:p>
            <w:pPr/>
          </w:p>
        </w:tc>
        <w:tc>
          <w:tcPr>
            <w:tcW w:w="1561" w:type="dxa"/>
            <w:tcBorders>
              <w:top w:val="single" w:sz="0" w:space="0" w:color="000000"/>
              <w:bottom w:val="single" w:sz="0" w:space="0" w:color="000000"/>
            </w:tcBorders>
          </w:tcPr>
          <w:p>
            <w:pPr>
              <w:pStyle w:val="TableParagraph"/>
              <w:rPr>
                <w:sz w:val="18"/>
              </w:rPr>
            </w:pPr>
          </w:p>
          <w:p>
            <w:pPr>
              <w:pStyle w:val="TableParagraph"/>
              <w:rPr>
                <w:sz w:val="18"/>
              </w:rPr>
            </w:pPr>
          </w:p>
          <w:p>
            <w:pPr>
              <w:pStyle w:val="TableParagraph"/>
              <w:spacing w:before="145"/>
              <w:ind w:right="307"/>
              <w:jc w:val="right"/>
              <w:rPr>
                <w:b/>
                <w:sz w:val="18"/>
              </w:rPr>
            </w:pPr>
            <w:r>
              <w:rPr>
                <w:b/>
                <w:w w:val="95"/>
                <w:sz w:val="18"/>
              </w:rPr>
              <w:t>117,782</w:t>
            </w:r>
          </w:p>
        </w:tc>
        <w:tc>
          <w:tcPr>
            <w:tcW w:w="1108" w:type="dxa"/>
            <w:tcBorders>
              <w:top w:val="single" w:sz="0" w:space="0" w:color="000000"/>
              <w:bottom w:val="single" w:sz="0" w:space="0" w:color="000000"/>
            </w:tcBorders>
          </w:tcPr>
          <w:p>
            <w:pPr>
              <w:pStyle w:val="TableParagraph"/>
              <w:rPr>
                <w:sz w:val="18"/>
              </w:rPr>
            </w:pPr>
          </w:p>
          <w:p>
            <w:pPr>
              <w:pStyle w:val="TableParagraph"/>
              <w:rPr>
                <w:sz w:val="18"/>
              </w:rPr>
            </w:pPr>
          </w:p>
          <w:p>
            <w:pPr>
              <w:pStyle w:val="TableParagraph"/>
              <w:spacing w:before="145"/>
              <w:ind w:left="370"/>
              <w:rPr>
                <w:sz w:val="18"/>
              </w:rPr>
            </w:pPr>
            <w:r>
              <w:rPr>
                <w:sz w:val="18"/>
              </w:rPr>
              <w:t>159,161</w:t>
            </w:r>
          </w:p>
        </w:tc>
      </w:tr>
      <w:tr>
        <w:trPr>
          <w:trHeight w:val="1127" w:hRule="exact"/>
        </w:trPr>
        <w:tc>
          <w:tcPr>
            <w:tcW w:w="5834" w:type="dxa"/>
          </w:tcPr>
          <w:p>
            <w:pPr>
              <w:pStyle w:val="TableParagraph"/>
              <w:rPr>
                <w:sz w:val="18"/>
              </w:rPr>
            </w:pPr>
          </w:p>
          <w:p>
            <w:pPr>
              <w:pStyle w:val="TableParagraph"/>
              <w:rPr>
                <w:sz w:val="18"/>
              </w:rPr>
            </w:pPr>
          </w:p>
          <w:p>
            <w:pPr>
              <w:pStyle w:val="TableParagraph"/>
              <w:rPr>
                <w:sz w:val="18"/>
              </w:rPr>
            </w:pPr>
          </w:p>
          <w:p>
            <w:pPr>
              <w:pStyle w:val="TableParagraph"/>
              <w:spacing w:before="146"/>
              <w:ind w:left="79"/>
              <w:rPr>
                <w:b/>
                <w:sz w:val="18"/>
              </w:rPr>
            </w:pPr>
            <w:r>
              <w:rPr>
                <w:b/>
                <w:sz w:val="18"/>
              </w:rPr>
              <w:t>Comprehensive income for the year attributable to</w:t>
            </w:r>
          </w:p>
        </w:tc>
        <w:tc>
          <w:tcPr>
            <w:tcW w:w="1450" w:type="dxa"/>
          </w:tcPr>
          <w:p>
            <w:pPr/>
          </w:p>
        </w:tc>
        <w:tc>
          <w:tcPr>
            <w:tcW w:w="1561" w:type="dxa"/>
            <w:tcBorders>
              <w:top w:val="single" w:sz="0" w:space="0" w:color="000000"/>
            </w:tcBorders>
          </w:tcPr>
          <w:p>
            <w:pPr/>
          </w:p>
        </w:tc>
        <w:tc>
          <w:tcPr>
            <w:tcW w:w="1108" w:type="dxa"/>
            <w:tcBorders>
              <w:top w:val="single" w:sz="0" w:space="0" w:color="000000"/>
            </w:tcBorders>
          </w:tcPr>
          <w:p>
            <w:pPr/>
          </w:p>
        </w:tc>
      </w:tr>
      <w:tr>
        <w:trPr>
          <w:trHeight w:val="379" w:hRule="exact"/>
        </w:trPr>
        <w:tc>
          <w:tcPr>
            <w:tcW w:w="5834" w:type="dxa"/>
          </w:tcPr>
          <w:p>
            <w:pPr>
              <w:pStyle w:val="TableParagraph"/>
              <w:spacing w:before="135"/>
              <w:ind w:left="79"/>
              <w:rPr>
                <w:sz w:val="18"/>
              </w:rPr>
            </w:pPr>
            <w:r>
              <w:rPr>
                <w:sz w:val="18"/>
              </w:rPr>
              <w:t>Non - controlling interest</w:t>
            </w:r>
          </w:p>
        </w:tc>
        <w:tc>
          <w:tcPr>
            <w:tcW w:w="1450" w:type="dxa"/>
          </w:tcPr>
          <w:p>
            <w:pPr/>
          </w:p>
        </w:tc>
        <w:tc>
          <w:tcPr>
            <w:tcW w:w="1561" w:type="dxa"/>
          </w:tcPr>
          <w:p>
            <w:pPr>
              <w:pStyle w:val="TableParagraph"/>
              <w:spacing w:before="134"/>
              <w:ind w:right="310"/>
              <w:jc w:val="right"/>
              <w:rPr>
                <w:b/>
                <w:sz w:val="18"/>
              </w:rPr>
            </w:pPr>
            <w:r>
              <w:rPr>
                <w:b/>
                <w:w w:val="99"/>
                <w:sz w:val="18"/>
              </w:rPr>
              <w:t>-</w:t>
            </w:r>
          </w:p>
        </w:tc>
        <w:tc>
          <w:tcPr>
            <w:tcW w:w="1108" w:type="dxa"/>
          </w:tcPr>
          <w:p>
            <w:pPr>
              <w:pStyle w:val="TableParagraph"/>
              <w:spacing w:before="134"/>
              <w:ind w:right="86"/>
              <w:jc w:val="right"/>
              <w:rPr>
                <w:sz w:val="18"/>
              </w:rPr>
            </w:pPr>
            <w:r>
              <w:rPr>
                <w:w w:val="99"/>
                <w:sz w:val="18"/>
              </w:rPr>
              <w:t>-</w:t>
            </w:r>
          </w:p>
        </w:tc>
      </w:tr>
      <w:tr>
        <w:trPr>
          <w:trHeight w:val="263" w:hRule="exact"/>
        </w:trPr>
        <w:tc>
          <w:tcPr>
            <w:tcW w:w="5834" w:type="dxa"/>
          </w:tcPr>
          <w:p>
            <w:pPr>
              <w:pStyle w:val="TableParagraph"/>
              <w:spacing w:before="17"/>
              <w:ind w:left="79"/>
              <w:rPr>
                <w:sz w:val="18"/>
              </w:rPr>
            </w:pPr>
            <w:r>
              <w:rPr>
                <w:sz w:val="18"/>
              </w:rPr>
              <w:t>The parent</w:t>
            </w:r>
          </w:p>
        </w:tc>
        <w:tc>
          <w:tcPr>
            <w:tcW w:w="1450" w:type="dxa"/>
          </w:tcPr>
          <w:p>
            <w:pPr/>
          </w:p>
        </w:tc>
        <w:tc>
          <w:tcPr>
            <w:tcW w:w="1561" w:type="dxa"/>
            <w:tcBorders>
              <w:bottom w:val="single" w:sz="0" w:space="0" w:color="000000"/>
            </w:tcBorders>
          </w:tcPr>
          <w:p>
            <w:pPr>
              <w:pStyle w:val="TableParagraph"/>
              <w:spacing w:before="19"/>
              <w:ind w:right="307"/>
              <w:jc w:val="right"/>
              <w:rPr>
                <w:b/>
                <w:sz w:val="18"/>
              </w:rPr>
            </w:pPr>
            <w:r>
              <w:rPr>
                <w:b/>
                <w:w w:val="95"/>
                <w:sz w:val="18"/>
              </w:rPr>
              <w:t>117,782</w:t>
            </w:r>
          </w:p>
        </w:tc>
        <w:tc>
          <w:tcPr>
            <w:tcW w:w="1108" w:type="dxa"/>
            <w:tcBorders>
              <w:bottom w:val="single" w:sz="0" w:space="0" w:color="000000"/>
            </w:tcBorders>
          </w:tcPr>
          <w:p>
            <w:pPr>
              <w:pStyle w:val="TableParagraph"/>
              <w:spacing w:before="19"/>
              <w:ind w:left="370"/>
              <w:rPr>
                <w:sz w:val="18"/>
              </w:rPr>
            </w:pPr>
            <w:r>
              <w:rPr>
                <w:sz w:val="18"/>
              </w:rPr>
              <w:t>159,161</w:t>
            </w:r>
          </w:p>
        </w:tc>
      </w:tr>
      <w:tr>
        <w:trPr>
          <w:trHeight w:val="344" w:hRule="exact"/>
        </w:trPr>
        <w:tc>
          <w:tcPr>
            <w:tcW w:w="5834" w:type="dxa"/>
          </w:tcPr>
          <w:p>
            <w:pPr>
              <w:pStyle w:val="TableParagraph"/>
              <w:spacing w:before="123"/>
              <w:ind w:left="79"/>
              <w:rPr>
                <w:b/>
                <w:sz w:val="18"/>
              </w:rPr>
            </w:pPr>
            <w:r>
              <w:rPr>
                <w:b/>
                <w:sz w:val="18"/>
              </w:rPr>
              <w:t>Total comprehensive income for the year</w:t>
            </w:r>
          </w:p>
        </w:tc>
        <w:tc>
          <w:tcPr>
            <w:tcW w:w="1450" w:type="dxa"/>
          </w:tcPr>
          <w:p>
            <w:pPr/>
          </w:p>
        </w:tc>
        <w:tc>
          <w:tcPr>
            <w:tcW w:w="1561" w:type="dxa"/>
            <w:tcBorders>
              <w:top w:val="single" w:sz="0" w:space="0" w:color="000000"/>
              <w:bottom w:val="single" w:sz="0" w:space="0" w:color="000000"/>
            </w:tcBorders>
          </w:tcPr>
          <w:p>
            <w:pPr>
              <w:pStyle w:val="TableParagraph"/>
              <w:spacing w:before="122"/>
              <w:ind w:right="307"/>
              <w:jc w:val="right"/>
              <w:rPr>
                <w:b/>
                <w:sz w:val="18"/>
              </w:rPr>
            </w:pPr>
            <w:r>
              <w:rPr>
                <w:b/>
                <w:w w:val="95"/>
                <w:sz w:val="18"/>
              </w:rPr>
              <w:t>117,782</w:t>
            </w:r>
          </w:p>
        </w:tc>
        <w:tc>
          <w:tcPr>
            <w:tcW w:w="1108" w:type="dxa"/>
            <w:tcBorders>
              <w:top w:val="single" w:sz="0" w:space="0" w:color="000000"/>
              <w:bottom w:val="single" w:sz="0" w:space="0" w:color="000000"/>
            </w:tcBorders>
          </w:tcPr>
          <w:p>
            <w:pPr>
              <w:pStyle w:val="TableParagraph"/>
              <w:spacing w:before="122"/>
              <w:ind w:left="370"/>
              <w:rPr>
                <w:sz w:val="18"/>
              </w:rPr>
            </w:pPr>
            <w:r>
              <w:rPr>
                <w:sz w:val="18"/>
              </w:rPr>
              <w:t>159,161</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pStyle w:val="BodyText"/>
        <w:spacing w:before="78"/>
        <w:ind w:left="147" w:right="19"/>
      </w:pPr>
      <w:r>
        <w:rPr/>
        <w:t>The accompanying notes form part of these financial statements.</w:t>
      </w:r>
    </w:p>
    <w:p>
      <w:pPr>
        <w:spacing w:after="0"/>
        <w:sectPr>
          <w:headerReference w:type="default" r:id="rId157"/>
          <w:pgSz w:w="11910" w:h="16840"/>
          <w:pgMar w:header="1038" w:footer="507" w:top="1560" w:bottom="700" w:left="860" w:right="860"/>
        </w:sectPr>
      </w:pPr>
    </w:p>
    <w:p>
      <w:pPr>
        <w:pStyle w:val="BodyText"/>
        <w:spacing w:before="3"/>
        <w:rPr>
          <w:sz w:val="24"/>
        </w:rPr>
      </w:pPr>
    </w:p>
    <w:p>
      <w:pPr>
        <w:spacing w:before="64"/>
        <w:ind w:left="107" w:right="161" w:firstLine="0"/>
        <w:jc w:val="left"/>
        <w:rPr>
          <w:b/>
          <w:sz w:val="28"/>
        </w:rPr>
      </w:pPr>
      <w:r>
        <w:rPr>
          <w:b/>
          <w:sz w:val="28"/>
        </w:rPr>
        <w:t>Statement of financial position</w:t>
      </w:r>
    </w:p>
    <w:p>
      <w:pPr>
        <w:pStyle w:val="Heading6"/>
        <w:ind w:left="107" w:right="161"/>
      </w:pPr>
      <w:r>
        <w:rPr/>
        <w:t>As at 31 December 2017</w:t>
      </w:r>
    </w:p>
    <w:p>
      <w:pPr>
        <w:pStyle w:val="BodyText"/>
        <w:spacing w:before="1"/>
        <w:rPr>
          <w:b/>
          <w:sz w:val="29"/>
        </w:rPr>
      </w:pPr>
    </w:p>
    <w:p>
      <w:pPr>
        <w:spacing w:after="0"/>
        <w:rPr>
          <w:sz w:val="29"/>
        </w:rPr>
        <w:sectPr>
          <w:pgSz w:w="11910" w:h="16840"/>
          <w:pgMar w:header="1038" w:footer="507" w:top="1560" w:bottom="700" w:left="900" w:right="860"/>
        </w:sectPr>
      </w:pPr>
    </w:p>
    <w:p>
      <w:pPr>
        <w:pStyle w:val="BodyText"/>
        <w:rPr>
          <w:b/>
        </w:rPr>
      </w:pPr>
    </w:p>
    <w:p>
      <w:pPr>
        <w:pStyle w:val="BodyText"/>
        <w:rPr>
          <w:b/>
        </w:rPr>
      </w:pPr>
    </w:p>
    <w:p>
      <w:pPr>
        <w:pStyle w:val="BodyText"/>
        <w:spacing w:before="2"/>
        <w:rPr>
          <w:b/>
          <w:sz w:val="25"/>
        </w:rPr>
      </w:pPr>
    </w:p>
    <w:p>
      <w:pPr>
        <w:pStyle w:val="Heading9"/>
        <w:spacing w:line="207" w:lineRule="exact"/>
        <w:ind w:left="135" w:right="-20"/>
      </w:pPr>
      <w:r>
        <w:rPr/>
        <w:t>ASSETS</w:t>
      </w:r>
    </w:p>
    <w:p>
      <w:pPr>
        <w:spacing w:line="207" w:lineRule="exact" w:before="0"/>
        <w:ind w:left="135" w:right="-20" w:firstLine="0"/>
        <w:jc w:val="left"/>
        <w:rPr>
          <w:b/>
          <w:sz w:val="18"/>
        </w:rPr>
      </w:pPr>
      <w:r>
        <w:rPr>
          <w:b/>
          <w:sz w:val="18"/>
        </w:rPr>
        <w:t>Current assets</w:t>
      </w:r>
    </w:p>
    <w:p>
      <w:pPr>
        <w:pStyle w:val="BodyText"/>
        <w:rPr>
          <w:b/>
        </w:rPr>
      </w:pPr>
      <w:r>
        <w:rPr/>
        <w:br w:type="column"/>
      </w:r>
      <w:r>
        <w:rPr>
          <w:b/>
        </w:rPr>
      </w:r>
    </w:p>
    <w:p>
      <w:pPr>
        <w:spacing w:before="144"/>
        <w:ind w:left="135" w:right="-20" w:firstLine="0"/>
        <w:jc w:val="left"/>
        <w:rPr>
          <w:b/>
          <w:sz w:val="18"/>
        </w:rPr>
      </w:pPr>
      <w:r>
        <w:rPr>
          <w:b/>
          <w:sz w:val="18"/>
        </w:rPr>
        <w:t>Notes</w:t>
      </w:r>
    </w:p>
    <w:p>
      <w:pPr>
        <w:spacing w:before="77"/>
        <w:ind w:left="135" w:right="0" w:firstLine="0"/>
        <w:jc w:val="center"/>
        <w:rPr>
          <w:b/>
          <w:sz w:val="18"/>
        </w:rPr>
      </w:pPr>
      <w:r>
        <w:rPr/>
        <w:br w:type="column"/>
      </w:r>
      <w:r>
        <w:rPr>
          <w:b/>
          <w:sz w:val="18"/>
        </w:rPr>
        <w:t>2017</w:t>
      </w:r>
    </w:p>
    <w:p>
      <w:pPr>
        <w:spacing w:before="66"/>
        <w:ind w:left="135" w:right="0" w:firstLine="0"/>
        <w:jc w:val="center"/>
        <w:rPr>
          <w:b/>
          <w:sz w:val="18"/>
        </w:rPr>
      </w:pPr>
      <w:r>
        <w:rPr>
          <w:b/>
          <w:w w:val="99"/>
          <w:sz w:val="18"/>
        </w:rPr>
        <w:t>$</w:t>
      </w:r>
    </w:p>
    <w:p>
      <w:pPr>
        <w:spacing w:before="77"/>
        <w:ind w:left="119" w:right="549" w:firstLine="0"/>
        <w:jc w:val="center"/>
        <w:rPr>
          <w:b/>
          <w:sz w:val="18"/>
        </w:rPr>
      </w:pPr>
      <w:r>
        <w:rPr/>
        <w:br w:type="column"/>
      </w:r>
      <w:r>
        <w:rPr>
          <w:b/>
          <w:sz w:val="18"/>
        </w:rPr>
        <w:t>2016</w:t>
      </w:r>
    </w:p>
    <w:p>
      <w:pPr>
        <w:spacing w:before="66"/>
        <w:ind w:left="0" w:right="430" w:firstLine="0"/>
        <w:jc w:val="center"/>
        <w:rPr>
          <w:b/>
          <w:sz w:val="18"/>
        </w:rPr>
      </w:pPr>
      <w:r>
        <w:rPr>
          <w:b/>
          <w:w w:val="99"/>
          <w:sz w:val="18"/>
        </w:rPr>
        <w:t>$</w:t>
      </w:r>
    </w:p>
    <w:p>
      <w:pPr>
        <w:spacing w:after="0"/>
        <w:jc w:val="center"/>
        <w:rPr>
          <w:sz w:val="18"/>
        </w:rPr>
        <w:sectPr>
          <w:type w:val="continuous"/>
          <w:pgSz w:w="11910" w:h="16840"/>
          <w:pgMar w:top="1580" w:bottom="280" w:left="900" w:right="860"/>
          <w:cols w:num="4" w:equalWidth="0">
            <w:col w:w="1396" w:space="5360"/>
            <w:col w:w="636" w:space="352"/>
            <w:col w:w="536" w:space="761"/>
            <w:col w:w="1109"/>
          </w:cols>
        </w:sectPr>
      </w:pPr>
    </w:p>
    <w:p>
      <w:pPr>
        <w:pStyle w:val="BodyText"/>
        <w:tabs>
          <w:tab w:pos="6880" w:val="left" w:leader="none"/>
          <w:tab w:pos="7990" w:val="left" w:leader="none"/>
          <w:tab w:pos="9287" w:val="left" w:leader="none"/>
        </w:tabs>
        <w:spacing w:line="206" w:lineRule="exact" w:after="22"/>
        <w:ind w:left="135" w:right="161"/>
      </w:pPr>
      <w:r>
        <w:rPr/>
        <w:t>Cash and</w:t>
      </w:r>
      <w:r>
        <w:rPr>
          <w:spacing w:val="-1"/>
        </w:rPr>
        <w:t> </w:t>
      </w:r>
      <w:r>
        <w:rPr/>
        <w:t>cash</w:t>
      </w:r>
      <w:r>
        <w:rPr>
          <w:spacing w:val="-1"/>
        </w:rPr>
        <w:t> </w:t>
      </w:r>
      <w:r>
        <w:rPr/>
        <w:t>equivalents</w:t>
        <w:tab/>
        <w:t>7</w:t>
        <w:tab/>
      </w:r>
      <w:r>
        <w:rPr>
          <w:b/>
        </w:rPr>
        <w:t>766,186</w:t>
        <w:tab/>
      </w:r>
      <w:r>
        <w:rPr/>
        <w:t>575,222</w:t>
      </w: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53"/>
        <w:gridCol w:w="2376"/>
        <w:gridCol w:w="1459"/>
        <w:gridCol w:w="1135"/>
      </w:tblGrid>
      <w:tr>
        <w:trPr>
          <w:trHeight w:val="198" w:hRule="exact"/>
        </w:trPr>
        <w:tc>
          <w:tcPr>
            <w:tcW w:w="4953" w:type="dxa"/>
          </w:tcPr>
          <w:p>
            <w:pPr>
              <w:pStyle w:val="TableParagraph"/>
              <w:spacing w:line="184" w:lineRule="exact"/>
              <w:ind w:left="35"/>
              <w:rPr>
                <w:sz w:val="18"/>
              </w:rPr>
            </w:pPr>
            <w:r>
              <w:rPr>
                <w:sz w:val="18"/>
              </w:rPr>
              <w:t>Trade and other receivables</w:t>
            </w:r>
          </w:p>
        </w:tc>
        <w:tc>
          <w:tcPr>
            <w:tcW w:w="2376" w:type="dxa"/>
          </w:tcPr>
          <w:p>
            <w:pPr/>
          </w:p>
        </w:tc>
        <w:tc>
          <w:tcPr>
            <w:tcW w:w="2594" w:type="dxa"/>
            <w:gridSpan w:val="2"/>
          </w:tcPr>
          <w:p>
            <w:pPr>
              <w:pStyle w:val="TableParagraph"/>
              <w:tabs>
                <w:tab w:pos="759" w:val="left" w:leader="none"/>
                <w:tab w:pos="2056" w:val="left" w:leader="none"/>
              </w:tabs>
              <w:spacing w:line="184" w:lineRule="exact"/>
              <w:rPr>
                <w:sz w:val="18"/>
              </w:rPr>
            </w:pPr>
            <w:r>
              <w:rPr>
                <w:rFonts w:ascii="Times New Roman"/>
                <w:sz w:val="18"/>
                <w:u w:val="single"/>
              </w:rPr>
              <w:t> </w:t>
              <w:tab/>
            </w:r>
            <w:r>
              <w:rPr>
                <w:b/>
                <w:sz w:val="18"/>
                <w:u w:val="single"/>
              </w:rPr>
              <w:t>3,752</w:t>
              <w:tab/>
            </w:r>
            <w:r>
              <w:rPr>
                <w:sz w:val="18"/>
                <w:u w:val="single"/>
              </w:rPr>
              <w:t>3,700</w:t>
            </w:r>
          </w:p>
        </w:tc>
      </w:tr>
      <w:tr>
        <w:trPr>
          <w:trHeight w:val="295" w:hRule="exact"/>
        </w:trPr>
        <w:tc>
          <w:tcPr>
            <w:tcW w:w="4953" w:type="dxa"/>
          </w:tcPr>
          <w:p>
            <w:pPr>
              <w:pStyle w:val="TableParagraph"/>
              <w:spacing w:line="202" w:lineRule="exact"/>
              <w:ind w:left="35"/>
              <w:rPr>
                <w:sz w:val="18"/>
              </w:rPr>
            </w:pPr>
            <w:r>
              <w:rPr>
                <w:sz w:val="18"/>
              </w:rPr>
              <w:t>Total current assets</w:t>
            </w:r>
          </w:p>
        </w:tc>
        <w:tc>
          <w:tcPr>
            <w:tcW w:w="2376" w:type="dxa"/>
          </w:tcPr>
          <w:p>
            <w:pPr/>
          </w:p>
        </w:tc>
        <w:tc>
          <w:tcPr>
            <w:tcW w:w="2594" w:type="dxa"/>
            <w:gridSpan w:val="2"/>
          </w:tcPr>
          <w:p>
            <w:pPr>
              <w:pStyle w:val="TableParagraph"/>
              <w:tabs>
                <w:tab w:pos="560" w:val="left" w:leader="none"/>
                <w:tab w:pos="1857" w:val="left" w:leader="none"/>
              </w:tabs>
              <w:spacing w:line="201" w:lineRule="exact"/>
              <w:rPr>
                <w:sz w:val="18"/>
              </w:rPr>
            </w:pPr>
            <w:r>
              <w:rPr>
                <w:rFonts w:ascii="Times New Roman"/>
                <w:sz w:val="18"/>
                <w:u w:val="thick"/>
              </w:rPr>
              <w:t> </w:t>
              <w:tab/>
            </w:r>
            <w:r>
              <w:rPr>
                <w:b/>
                <w:sz w:val="18"/>
                <w:u w:val="thick"/>
              </w:rPr>
              <w:t>769,938</w:t>
              <w:tab/>
            </w:r>
            <w:r>
              <w:rPr>
                <w:sz w:val="18"/>
                <w:u w:val="thick"/>
              </w:rPr>
              <w:t>578,922</w:t>
            </w:r>
          </w:p>
        </w:tc>
      </w:tr>
      <w:tr>
        <w:trPr>
          <w:trHeight w:val="502" w:hRule="exact"/>
        </w:trPr>
        <w:tc>
          <w:tcPr>
            <w:tcW w:w="4953" w:type="dxa"/>
          </w:tcPr>
          <w:p>
            <w:pPr>
              <w:pStyle w:val="TableParagraph"/>
              <w:spacing w:line="207" w:lineRule="exact" w:before="73"/>
              <w:ind w:left="35"/>
              <w:rPr>
                <w:b/>
                <w:sz w:val="18"/>
              </w:rPr>
            </w:pPr>
            <w:r>
              <w:rPr>
                <w:b/>
                <w:sz w:val="18"/>
              </w:rPr>
              <w:t>Non-current assets</w:t>
            </w:r>
          </w:p>
          <w:p>
            <w:pPr>
              <w:pStyle w:val="TableParagraph"/>
              <w:spacing w:line="207" w:lineRule="exact"/>
              <w:ind w:left="35"/>
              <w:rPr>
                <w:sz w:val="18"/>
              </w:rPr>
            </w:pPr>
            <w:r>
              <w:rPr>
                <w:sz w:val="18"/>
              </w:rPr>
              <w:t>Property, plant and equipment</w:t>
            </w:r>
          </w:p>
        </w:tc>
        <w:tc>
          <w:tcPr>
            <w:tcW w:w="2376" w:type="dxa"/>
          </w:tcPr>
          <w:p>
            <w:pPr>
              <w:pStyle w:val="TableParagraph"/>
              <w:spacing w:before="4"/>
              <w:rPr>
                <w:sz w:val="24"/>
              </w:rPr>
            </w:pPr>
          </w:p>
          <w:p>
            <w:pPr>
              <w:pStyle w:val="TableParagraph"/>
              <w:ind w:right="447"/>
              <w:jc w:val="right"/>
              <w:rPr>
                <w:sz w:val="18"/>
              </w:rPr>
            </w:pPr>
            <w:r>
              <w:rPr>
                <w:w w:val="99"/>
                <w:sz w:val="18"/>
              </w:rPr>
              <w:t>8</w:t>
            </w:r>
          </w:p>
        </w:tc>
        <w:tc>
          <w:tcPr>
            <w:tcW w:w="2594" w:type="dxa"/>
            <w:gridSpan w:val="2"/>
          </w:tcPr>
          <w:p>
            <w:pPr>
              <w:pStyle w:val="TableParagraph"/>
              <w:spacing w:before="4"/>
              <w:rPr>
                <w:sz w:val="24"/>
              </w:rPr>
            </w:pPr>
          </w:p>
          <w:p>
            <w:pPr>
              <w:pStyle w:val="TableParagraph"/>
              <w:tabs>
                <w:tab w:pos="560" w:val="left" w:leader="none"/>
                <w:tab w:pos="1857" w:val="left" w:leader="none"/>
              </w:tabs>
              <w:rPr>
                <w:sz w:val="18"/>
              </w:rPr>
            </w:pPr>
            <w:r>
              <w:rPr>
                <w:rFonts w:ascii="Times New Roman"/>
                <w:sz w:val="18"/>
                <w:u w:val="single"/>
              </w:rPr>
              <w:t> </w:t>
              <w:tab/>
            </w:r>
            <w:r>
              <w:rPr>
                <w:b/>
                <w:sz w:val="18"/>
                <w:u w:val="single"/>
              </w:rPr>
              <w:t>861,172</w:t>
              <w:tab/>
            </w:r>
            <w:r>
              <w:rPr>
                <w:sz w:val="18"/>
                <w:u w:val="single"/>
              </w:rPr>
              <w:t>830,442</w:t>
            </w:r>
          </w:p>
        </w:tc>
      </w:tr>
      <w:tr>
        <w:trPr>
          <w:trHeight w:val="367" w:hRule="exact"/>
        </w:trPr>
        <w:tc>
          <w:tcPr>
            <w:tcW w:w="4953" w:type="dxa"/>
          </w:tcPr>
          <w:p>
            <w:pPr>
              <w:pStyle w:val="TableParagraph"/>
              <w:spacing w:line="201" w:lineRule="exact"/>
              <w:ind w:left="35"/>
              <w:rPr>
                <w:sz w:val="18"/>
              </w:rPr>
            </w:pPr>
            <w:r>
              <w:rPr>
                <w:sz w:val="18"/>
              </w:rPr>
              <w:t>Total non-current assets</w:t>
            </w:r>
          </w:p>
        </w:tc>
        <w:tc>
          <w:tcPr>
            <w:tcW w:w="2376" w:type="dxa"/>
          </w:tcPr>
          <w:p>
            <w:pPr/>
          </w:p>
        </w:tc>
        <w:tc>
          <w:tcPr>
            <w:tcW w:w="2594" w:type="dxa"/>
            <w:gridSpan w:val="2"/>
          </w:tcPr>
          <w:p>
            <w:pPr>
              <w:pStyle w:val="TableParagraph"/>
              <w:tabs>
                <w:tab w:pos="560" w:val="left" w:leader="none"/>
                <w:tab w:pos="1857" w:val="left" w:leader="none"/>
              </w:tabs>
              <w:spacing w:line="201" w:lineRule="exact"/>
              <w:rPr>
                <w:sz w:val="18"/>
              </w:rPr>
            </w:pPr>
            <w:r>
              <w:rPr>
                <w:rFonts w:ascii="Times New Roman"/>
                <w:sz w:val="18"/>
                <w:u w:val="thick"/>
              </w:rPr>
              <w:t> </w:t>
              <w:tab/>
            </w:r>
            <w:r>
              <w:rPr>
                <w:b/>
                <w:sz w:val="18"/>
                <w:u w:val="thick"/>
              </w:rPr>
              <w:t>861,172</w:t>
              <w:tab/>
            </w:r>
            <w:r>
              <w:rPr>
                <w:sz w:val="18"/>
                <w:u w:val="thick"/>
              </w:rPr>
              <w:t>830,442</w:t>
            </w:r>
          </w:p>
        </w:tc>
      </w:tr>
      <w:tr>
        <w:trPr>
          <w:trHeight w:val="588" w:hRule="exact"/>
        </w:trPr>
        <w:tc>
          <w:tcPr>
            <w:tcW w:w="4953" w:type="dxa"/>
          </w:tcPr>
          <w:p>
            <w:pPr>
              <w:pStyle w:val="TableParagraph"/>
              <w:spacing w:before="145"/>
              <w:ind w:left="35"/>
              <w:rPr>
                <w:b/>
                <w:sz w:val="18"/>
              </w:rPr>
            </w:pPr>
            <w:r>
              <w:rPr>
                <w:b/>
                <w:sz w:val="18"/>
              </w:rPr>
              <w:t>Total assets</w:t>
            </w:r>
          </w:p>
        </w:tc>
        <w:tc>
          <w:tcPr>
            <w:tcW w:w="2376" w:type="dxa"/>
          </w:tcPr>
          <w:p>
            <w:pPr/>
          </w:p>
        </w:tc>
        <w:tc>
          <w:tcPr>
            <w:tcW w:w="2594" w:type="dxa"/>
            <w:gridSpan w:val="2"/>
          </w:tcPr>
          <w:p>
            <w:pPr>
              <w:pStyle w:val="TableParagraph"/>
              <w:tabs>
                <w:tab w:pos="410" w:val="left" w:leader="none"/>
                <w:tab w:pos="1707" w:val="left" w:leader="none"/>
              </w:tabs>
              <w:spacing w:before="145"/>
              <w:rPr>
                <w:sz w:val="18"/>
              </w:rPr>
            </w:pPr>
            <w:r>
              <w:rPr>
                <w:rFonts w:ascii="Times New Roman"/>
                <w:sz w:val="18"/>
                <w:u w:val="thick"/>
              </w:rPr>
              <w:t> </w:t>
              <w:tab/>
            </w:r>
            <w:r>
              <w:rPr>
                <w:b/>
                <w:sz w:val="18"/>
                <w:u w:val="thick"/>
              </w:rPr>
              <w:t>1,631,110</w:t>
              <w:tab/>
            </w:r>
            <w:r>
              <w:rPr>
                <w:sz w:val="18"/>
                <w:u w:val="thick"/>
              </w:rPr>
              <w:t>1,409,364</w:t>
            </w:r>
          </w:p>
        </w:tc>
      </w:tr>
      <w:tr>
        <w:trPr>
          <w:trHeight w:val="652" w:hRule="exact"/>
        </w:trPr>
        <w:tc>
          <w:tcPr>
            <w:tcW w:w="4953" w:type="dxa"/>
          </w:tcPr>
          <w:p>
            <w:pPr>
              <w:pStyle w:val="TableParagraph"/>
              <w:spacing w:before="8"/>
              <w:rPr>
                <w:sz w:val="18"/>
              </w:rPr>
            </w:pPr>
          </w:p>
          <w:p>
            <w:pPr>
              <w:pStyle w:val="TableParagraph"/>
              <w:spacing w:line="207" w:lineRule="exact" w:before="1"/>
              <w:ind w:left="35"/>
              <w:rPr>
                <w:b/>
                <w:sz w:val="18"/>
              </w:rPr>
            </w:pPr>
            <w:r>
              <w:rPr>
                <w:b/>
                <w:sz w:val="18"/>
              </w:rPr>
              <w:t>LIABILITIES</w:t>
            </w:r>
          </w:p>
          <w:p>
            <w:pPr>
              <w:pStyle w:val="TableParagraph"/>
              <w:spacing w:line="207" w:lineRule="exact"/>
              <w:ind w:left="35"/>
              <w:rPr>
                <w:b/>
                <w:sz w:val="18"/>
              </w:rPr>
            </w:pPr>
            <w:r>
              <w:rPr>
                <w:b/>
                <w:sz w:val="18"/>
              </w:rPr>
              <w:t>Current liabilities</w:t>
            </w:r>
          </w:p>
        </w:tc>
        <w:tc>
          <w:tcPr>
            <w:tcW w:w="2376" w:type="dxa"/>
          </w:tcPr>
          <w:p>
            <w:pPr/>
          </w:p>
        </w:tc>
        <w:tc>
          <w:tcPr>
            <w:tcW w:w="1459" w:type="dxa"/>
          </w:tcPr>
          <w:p>
            <w:pPr/>
          </w:p>
        </w:tc>
        <w:tc>
          <w:tcPr>
            <w:tcW w:w="1135" w:type="dxa"/>
          </w:tcPr>
          <w:p>
            <w:pPr/>
          </w:p>
        </w:tc>
      </w:tr>
      <w:tr>
        <w:trPr>
          <w:trHeight w:val="244" w:hRule="exact"/>
        </w:trPr>
        <w:tc>
          <w:tcPr>
            <w:tcW w:w="4953" w:type="dxa"/>
          </w:tcPr>
          <w:p>
            <w:pPr>
              <w:pStyle w:val="TableParagraph"/>
              <w:spacing w:before="4"/>
              <w:ind w:left="35"/>
              <w:rPr>
                <w:sz w:val="18"/>
              </w:rPr>
            </w:pPr>
            <w:r>
              <w:rPr>
                <w:sz w:val="18"/>
              </w:rPr>
              <w:t>Amount owed to Ultimate Parent Entity</w:t>
            </w:r>
          </w:p>
        </w:tc>
        <w:tc>
          <w:tcPr>
            <w:tcW w:w="2376" w:type="dxa"/>
          </w:tcPr>
          <w:p>
            <w:pPr/>
          </w:p>
        </w:tc>
        <w:tc>
          <w:tcPr>
            <w:tcW w:w="1459" w:type="dxa"/>
            <w:tcBorders>
              <w:bottom w:val="single" w:sz="0" w:space="0" w:color="000000"/>
            </w:tcBorders>
          </w:tcPr>
          <w:p>
            <w:pPr>
              <w:pStyle w:val="TableParagraph"/>
              <w:spacing w:before="5"/>
              <w:ind w:right="246"/>
              <w:jc w:val="right"/>
              <w:rPr>
                <w:b/>
                <w:sz w:val="18"/>
              </w:rPr>
            </w:pPr>
            <w:r>
              <w:rPr>
                <w:b/>
                <w:w w:val="95"/>
                <w:sz w:val="18"/>
              </w:rPr>
              <w:t>103,964</w:t>
            </w:r>
          </w:p>
        </w:tc>
        <w:tc>
          <w:tcPr>
            <w:tcW w:w="1135" w:type="dxa"/>
            <w:tcBorders>
              <w:bottom w:val="single" w:sz="0" w:space="0" w:color="000000"/>
            </w:tcBorders>
          </w:tcPr>
          <w:p>
            <w:pPr>
              <w:pStyle w:val="TableParagraph"/>
              <w:spacing w:before="5"/>
              <w:ind w:right="86"/>
              <w:jc w:val="right"/>
              <w:rPr>
                <w:sz w:val="18"/>
              </w:rPr>
            </w:pPr>
            <w:r>
              <w:rPr>
                <w:w w:val="99"/>
                <w:sz w:val="18"/>
              </w:rPr>
              <w:t>-</w:t>
            </w:r>
          </w:p>
        </w:tc>
      </w:tr>
      <w:tr>
        <w:trPr>
          <w:trHeight w:val="225" w:hRule="exact"/>
        </w:trPr>
        <w:tc>
          <w:tcPr>
            <w:tcW w:w="4953" w:type="dxa"/>
          </w:tcPr>
          <w:p>
            <w:pPr>
              <w:pStyle w:val="TableParagraph"/>
              <w:spacing w:before="5"/>
              <w:ind w:left="35"/>
              <w:rPr>
                <w:sz w:val="18"/>
              </w:rPr>
            </w:pPr>
            <w:r>
              <w:rPr>
                <w:sz w:val="18"/>
              </w:rPr>
              <w:t>Total current liabilities</w:t>
            </w:r>
          </w:p>
        </w:tc>
        <w:tc>
          <w:tcPr>
            <w:tcW w:w="2376" w:type="dxa"/>
          </w:tcPr>
          <w:p>
            <w:pPr/>
          </w:p>
        </w:tc>
        <w:tc>
          <w:tcPr>
            <w:tcW w:w="1459" w:type="dxa"/>
            <w:tcBorders>
              <w:top w:val="single" w:sz="0" w:space="0" w:color="000000"/>
              <w:bottom w:val="single" w:sz="0" w:space="0" w:color="000000"/>
            </w:tcBorders>
          </w:tcPr>
          <w:p>
            <w:pPr>
              <w:pStyle w:val="TableParagraph"/>
              <w:spacing w:before="5"/>
              <w:ind w:right="246"/>
              <w:jc w:val="right"/>
              <w:rPr>
                <w:b/>
                <w:sz w:val="18"/>
              </w:rPr>
            </w:pPr>
            <w:r>
              <w:rPr>
                <w:b/>
                <w:w w:val="95"/>
                <w:sz w:val="18"/>
              </w:rPr>
              <w:t>103,964</w:t>
            </w:r>
          </w:p>
        </w:tc>
        <w:tc>
          <w:tcPr>
            <w:tcW w:w="1135" w:type="dxa"/>
            <w:tcBorders>
              <w:top w:val="single" w:sz="0" w:space="0" w:color="000000"/>
              <w:bottom w:val="single" w:sz="0" w:space="0" w:color="000000"/>
            </w:tcBorders>
          </w:tcPr>
          <w:p>
            <w:pPr>
              <w:pStyle w:val="TableParagraph"/>
              <w:spacing w:before="5"/>
              <w:ind w:right="86"/>
              <w:jc w:val="right"/>
              <w:rPr>
                <w:sz w:val="18"/>
              </w:rPr>
            </w:pPr>
            <w:r>
              <w:rPr>
                <w:w w:val="99"/>
                <w:sz w:val="18"/>
              </w:rPr>
              <w:t>-</w:t>
            </w:r>
          </w:p>
        </w:tc>
      </w:tr>
      <w:tr>
        <w:trPr>
          <w:trHeight w:val="517" w:hRule="exact"/>
        </w:trPr>
        <w:tc>
          <w:tcPr>
            <w:tcW w:w="4953" w:type="dxa"/>
          </w:tcPr>
          <w:p>
            <w:pPr>
              <w:pStyle w:val="TableParagraph"/>
              <w:spacing w:before="10"/>
              <w:rPr>
                <w:sz w:val="25"/>
              </w:rPr>
            </w:pPr>
          </w:p>
          <w:p>
            <w:pPr>
              <w:pStyle w:val="TableParagraph"/>
              <w:ind w:left="35"/>
              <w:rPr>
                <w:b/>
                <w:sz w:val="18"/>
              </w:rPr>
            </w:pPr>
            <w:r>
              <w:rPr>
                <w:b/>
                <w:sz w:val="18"/>
              </w:rPr>
              <w:t>Total liabilities</w:t>
            </w:r>
          </w:p>
        </w:tc>
        <w:tc>
          <w:tcPr>
            <w:tcW w:w="2376" w:type="dxa"/>
          </w:tcPr>
          <w:p>
            <w:pPr/>
          </w:p>
        </w:tc>
        <w:tc>
          <w:tcPr>
            <w:tcW w:w="1459" w:type="dxa"/>
            <w:tcBorders>
              <w:top w:val="single" w:sz="0" w:space="0" w:color="000000"/>
              <w:bottom w:val="single" w:sz="0" w:space="0" w:color="000000"/>
            </w:tcBorders>
          </w:tcPr>
          <w:p>
            <w:pPr>
              <w:pStyle w:val="TableParagraph"/>
              <w:spacing w:before="9"/>
              <w:rPr>
                <w:sz w:val="25"/>
              </w:rPr>
            </w:pPr>
          </w:p>
          <w:p>
            <w:pPr>
              <w:pStyle w:val="TableParagraph"/>
              <w:spacing w:before="1"/>
              <w:ind w:right="246"/>
              <w:jc w:val="right"/>
              <w:rPr>
                <w:b/>
                <w:sz w:val="18"/>
              </w:rPr>
            </w:pPr>
            <w:r>
              <w:rPr>
                <w:b/>
                <w:w w:val="95"/>
                <w:sz w:val="18"/>
              </w:rPr>
              <w:t>103,964</w:t>
            </w:r>
          </w:p>
        </w:tc>
        <w:tc>
          <w:tcPr>
            <w:tcW w:w="1135" w:type="dxa"/>
            <w:tcBorders>
              <w:top w:val="single" w:sz="0" w:space="0" w:color="000000"/>
              <w:bottom w:val="single" w:sz="0" w:space="0" w:color="000000"/>
            </w:tcBorders>
          </w:tcPr>
          <w:p>
            <w:pPr>
              <w:pStyle w:val="TableParagraph"/>
              <w:spacing w:before="9"/>
              <w:rPr>
                <w:sz w:val="25"/>
              </w:rPr>
            </w:pPr>
          </w:p>
          <w:p>
            <w:pPr>
              <w:pStyle w:val="TableParagraph"/>
              <w:spacing w:before="1"/>
              <w:ind w:right="86"/>
              <w:jc w:val="right"/>
              <w:rPr>
                <w:sz w:val="18"/>
              </w:rPr>
            </w:pPr>
            <w:r>
              <w:rPr>
                <w:w w:val="99"/>
                <w:sz w:val="18"/>
              </w:rPr>
              <w:t>-</w:t>
            </w:r>
          </w:p>
        </w:tc>
      </w:tr>
      <w:tr>
        <w:trPr>
          <w:trHeight w:val="517" w:hRule="exact"/>
        </w:trPr>
        <w:tc>
          <w:tcPr>
            <w:tcW w:w="4953" w:type="dxa"/>
          </w:tcPr>
          <w:p>
            <w:pPr>
              <w:pStyle w:val="TableParagraph"/>
              <w:spacing w:before="10"/>
              <w:rPr>
                <w:sz w:val="25"/>
              </w:rPr>
            </w:pPr>
          </w:p>
          <w:p>
            <w:pPr>
              <w:pStyle w:val="TableParagraph"/>
              <w:ind w:left="35"/>
              <w:rPr>
                <w:b/>
                <w:sz w:val="18"/>
              </w:rPr>
            </w:pPr>
            <w:r>
              <w:rPr>
                <w:b/>
                <w:sz w:val="18"/>
              </w:rPr>
              <w:t>Net assets</w:t>
            </w:r>
          </w:p>
        </w:tc>
        <w:tc>
          <w:tcPr>
            <w:tcW w:w="2376" w:type="dxa"/>
          </w:tcPr>
          <w:p>
            <w:pPr/>
          </w:p>
        </w:tc>
        <w:tc>
          <w:tcPr>
            <w:tcW w:w="1459" w:type="dxa"/>
            <w:tcBorders>
              <w:top w:val="single" w:sz="0" w:space="0" w:color="000000"/>
              <w:bottom w:val="single" w:sz="0" w:space="0" w:color="000000"/>
            </w:tcBorders>
          </w:tcPr>
          <w:p>
            <w:pPr>
              <w:pStyle w:val="TableParagraph"/>
              <w:spacing w:before="9"/>
              <w:rPr>
                <w:sz w:val="25"/>
              </w:rPr>
            </w:pPr>
          </w:p>
          <w:p>
            <w:pPr>
              <w:pStyle w:val="TableParagraph"/>
              <w:spacing w:before="1"/>
              <w:ind w:right="246"/>
              <w:jc w:val="right"/>
              <w:rPr>
                <w:b/>
                <w:sz w:val="18"/>
              </w:rPr>
            </w:pPr>
            <w:r>
              <w:rPr>
                <w:b/>
                <w:w w:val="95"/>
                <w:sz w:val="18"/>
              </w:rPr>
              <w:t>1,527,146</w:t>
            </w:r>
          </w:p>
        </w:tc>
        <w:tc>
          <w:tcPr>
            <w:tcW w:w="1135" w:type="dxa"/>
            <w:tcBorders>
              <w:top w:val="single" w:sz="0" w:space="0" w:color="000000"/>
              <w:bottom w:val="single" w:sz="0" w:space="0" w:color="000000"/>
            </w:tcBorders>
          </w:tcPr>
          <w:p>
            <w:pPr>
              <w:pStyle w:val="TableParagraph"/>
              <w:spacing w:before="9"/>
              <w:rPr>
                <w:sz w:val="25"/>
              </w:rPr>
            </w:pPr>
          </w:p>
          <w:p>
            <w:pPr>
              <w:pStyle w:val="TableParagraph"/>
              <w:spacing w:before="1"/>
              <w:ind w:right="84"/>
              <w:jc w:val="right"/>
              <w:rPr>
                <w:sz w:val="18"/>
              </w:rPr>
            </w:pPr>
            <w:r>
              <w:rPr>
                <w:w w:val="95"/>
                <w:sz w:val="18"/>
              </w:rPr>
              <w:t>1,409,364</w:t>
            </w:r>
          </w:p>
        </w:tc>
      </w:tr>
      <w:tr>
        <w:trPr>
          <w:trHeight w:val="862" w:hRule="exact"/>
        </w:trPr>
        <w:tc>
          <w:tcPr>
            <w:tcW w:w="4953" w:type="dxa"/>
          </w:tcPr>
          <w:p>
            <w:pPr>
              <w:pStyle w:val="TableParagraph"/>
              <w:rPr>
                <w:sz w:val="18"/>
              </w:rPr>
            </w:pPr>
          </w:p>
          <w:p>
            <w:pPr>
              <w:pStyle w:val="TableParagraph"/>
              <w:spacing w:before="2"/>
              <w:rPr>
                <w:sz w:val="20"/>
              </w:rPr>
            </w:pPr>
          </w:p>
          <w:p>
            <w:pPr>
              <w:pStyle w:val="TableParagraph"/>
              <w:spacing w:line="207" w:lineRule="exact"/>
              <w:ind w:left="35"/>
              <w:rPr>
                <w:b/>
                <w:sz w:val="18"/>
              </w:rPr>
            </w:pPr>
            <w:r>
              <w:rPr>
                <w:b/>
                <w:sz w:val="18"/>
              </w:rPr>
              <w:t>TRUST FUNDS</w:t>
            </w:r>
          </w:p>
          <w:p>
            <w:pPr>
              <w:pStyle w:val="TableParagraph"/>
              <w:spacing w:line="207" w:lineRule="exact"/>
              <w:ind w:left="35"/>
              <w:rPr>
                <w:sz w:val="18"/>
              </w:rPr>
            </w:pPr>
            <w:r>
              <w:rPr>
                <w:sz w:val="18"/>
              </w:rPr>
              <w:t>Settled fund</w:t>
            </w:r>
          </w:p>
        </w:tc>
        <w:tc>
          <w:tcPr>
            <w:tcW w:w="2376" w:type="dxa"/>
          </w:tcPr>
          <w:p>
            <w:pPr/>
          </w:p>
        </w:tc>
        <w:tc>
          <w:tcPr>
            <w:tcW w:w="1459" w:type="dxa"/>
            <w:tcBorders>
              <w:top w:val="single" w:sz="0" w:space="0" w:color="000000"/>
            </w:tcBorders>
          </w:tcPr>
          <w:p>
            <w:pPr>
              <w:pStyle w:val="TableParagraph"/>
              <w:rPr>
                <w:sz w:val="18"/>
              </w:rPr>
            </w:pPr>
          </w:p>
          <w:p>
            <w:pPr>
              <w:pStyle w:val="TableParagraph"/>
              <w:rPr>
                <w:sz w:val="18"/>
              </w:rPr>
            </w:pPr>
          </w:p>
          <w:p>
            <w:pPr>
              <w:pStyle w:val="TableParagraph"/>
              <w:spacing w:before="1"/>
              <w:rPr>
                <w:sz w:val="20"/>
              </w:rPr>
            </w:pPr>
          </w:p>
          <w:p>
            <w:pPr>
              <w:pStyle w:val="TableParagraph"/>
              <w:ind w:right="248"/>
              <w:jc w:val="right"/>
              <w:rPr>
                <w:b/>
                <w:sz w:val="18"/>
              </w:rPr>
            </w:pPr>
            <w:r>
              <w:rPr>
                <w:b/>
                <w:w w:val="99"/>
                <w:sz w:val="18"/>
              </w:rPr>
              <w:t>1</w:t>
            </w:r>
          </w:p>
        </w:tc>
        <w:tc>
          <w:tcPr>
            <w:tcW w:w="1135" w:type="dxa"/>
            <w:tcBorders>
              <w:top w:val="single" w:sz="0" w:space="0" w:color="000000"/>
            </w:tcBorders>
          </w:tcPr>
          <w:p>
            <w:pPr>
              <w:pStyle w:val="TableParagraph"/>
              <w:rPr>
                <w:sz w:val="18"/>
              </w:rPr>
            </w:pPr>
          </w:p>
          <w:p>
            <w:pPr>
              <w:pStyle w:val="TableParagraph"/>
              <w:rPr>
                <w:sz w:val="18"/>
              </w:rPr>
            </w:pPr>
          </w:p>
          <w:p>
            <w:pPr>
              <w:pStyle w:val="TableParagraph"/>
              <w:spacing w:before="1"/>
              <w:rPr>
                <w:sz w:val="20"/>
              </w:rPr>
            </w:pPr>
          </w:p>
          <w:p>
            <w:pPr>
              <w:pStyle w:val="TableParagraph"/>
              <w:ind w:right="86"/>
              <w:jc w:val="right"/>
              <w:rPr>
                <w:sz w:val="18"/>
              </w:rPr>
            </w:pPr>
            <w:r>
              <w:rPr>
                <w:w w:val="99"/>
                <w:sz w:val="18"/>
              </w:rPr>
              <w:t>1</w:t>
            </w:r>
          </w:p>
        </w:tc>
      </w:tr>
      <w:tr>
        <w:trPr>
          <w:trHeight w:val="206" w:hRule="exact"/>
        </w:trPr>
        <w:tc>
          <w:tcPr>
            <w:tcW w:w="4953" w:type="dxa"/>
          </w:tcPr>
          <w:p>
            <w:pPr>
              <w:pStyle w:val="TableParagraph"/>
              <w:spacing w:line="197" w:lineRule="exact"/>
              <w:ind w:left="35"/>
              <w:rPr>
                <w:sz w:val="18"/>
              </w:rPr>
            </w:pPr>
            <w:r>
              <w:rPr>
                <w:sz w:val="18"/>
              </w:rPr>
              <w:t>Reserves</w:t>
            </w:r>
          </w:p>
        </w:tc>
        <w:tc>
          <w:tcPr>
            <w:tcW w:w="2376" w:type="dxa"/>
          </w:tcPr>
          <w:p>
            <w:pPr>
              <w:pStyle w:val="TableParagraph"/>
              <w:spacing w:line="197" w:lineRule="exact"/>
              <w:ind w:right="447"/>
              <w:jc w:val="right"/>
              <w:rPr>
                <w:sz w:val="18"/>
              </w:rPr>
            </w:pPr>
            <w:r>
              <w:rPr>
                <w:w w:val="99"/>
                <w:sz w:val="18"/>
              </w:rPr>
              <w:t>9</w:t>
            </w:r>
          </w:p>
        </w:tc>
        <w:tc>
          <w:tcPr>
            <w:tcW w:w="1459" w:type="dxa"/>
          </w:tcPr>
          <w:p>
            <w:pPr>
              <w:pStyle w:val="TableParagraph"/>
              <w:spacing w:line="197" w:lineRule="exact"/>
              <w:ind w:right="246"/>
              <w:jc w:val="right"/>
              <w:rPr>
                <w:b/>
                <w:sz w:val="18"/>
              </w:rPr>
            </w:pPr>
            <w:r>
              <w:rPr>
                <w:b/>
                <w:w w:val="95"/>
                <w:sz w:val="18"/>
              </w:rPr>
              <w:t>195,247</w:t>
            </w:r>
          </w:p>
        </w:tc>
        <w:tc>
          <w:tcPr>
            <w:tcW w:w="1135" w:type="dxa"/>
          </w:tcPr>
          <w:p>
            <w:pPr>
              <w:pStyle w:val="TableParagraph"/>
              <w:spacing w:line="197" w:lineRule="exact"/>
              <w:ind w:right="84"/>
              <w:jc w:val="right"/>
              <w:rPr>
                <w:sz w:val="18"/>
              </w:rPr>
            </w:pPr>
            <w:r>
              <w:rPr>
                <w:w w:val="95"/>
                <w:sz w:val="18"/>
              </w:rPr>
              <w:t>195,247</w:t>
            </w:r>
          </w:p>
        </w:tc>
      </w:tr>
      <w:tr>
        <w:trPr>
          <w:trHeight w:val="212" w:hRule="exact"/>
        </w:trPr>
        <w:tc>
          <w:tcPr>
            <w:tcW w:w="4953" w:type="dxa"/>
          </w:tcPr>
          <w:p>
            <w:pPr>
              <w:pStyle w:val="TableParagraph"/>
              <w:spacing w:line="184" w:lineRule="exact"/>
              <w:ind w:left="35"/>
              <w:rPr>
                <w:sz w:val="18"/>
              </w:rPr>
            </w:pPr>
            <w:r>
              <w:rPr>
                <w:sz w:val="18"/>
              </w:rPr>
              <w:t>Retained earnings</w:t>
            </w:r>
          </w:p>
        </w:tc>
        <w:tc>
          <w:tcPr>
            <w:tcW w:w="2376" w:type="dxa"/>
          </w:tcPr>
          <w:p>
            <w:pPr>
              <w:pStyle w:val="TableParagraph"/>
              <w:spacing w:line="184" w:lineRule="exact"/>
              <w:ind w:right="347"/>
              <w:jc w:val="right"/>
              <w:rPr>
                <w:sz w:val="18"/>
              </w:rPr>
            </w:pPr>
            <w:r>
              <w:rPr>
                <w:w w:val="95"/>
                <w:sz w:val="18"/>
              </w:rPr>
              <w:t>10</w:t>
            </w:r>
          </w:p>
        </w:tc>
        <w:tc>
          <w:tcPr>
            <w:tcW w:w="2594" w:type="dxa"/>
            <w:gridSpan w:val="2"/>
          </w:tcPr>
          <w:p>
            <w:pPr>
              <w:pStyle w:val="TableParagraph"/>
              <w:tabs>
                <w:tab w:pos="410" w:val="left" w:leader="none"/>
                <w:tab w:pos="1707" w:val="left" w:leader="none"/>
              </w:tabs>
              <w:spacing w:line="184" w:lineRule="exact"/>
              <w:rPr>
                <w:sz w:val="18"/>
              </w:rPr>
            </w:pPr>
            <w:r>
              <w:rPr>
                <w:rFonts w:ascii="Times New Roman"/>
                <w:sz w:val="18"/>
                <w:u w:val="single"/>
              </w:rPr>
              <w:t> </w:t>
              <w:tab/>
            </w:r>
            <w:r>
              <w:rPr>
                <w:b/>
                <w:sz w:val="18"/>
                <w:u w:val="single"/>
              </w:rPr>
              <w:t>1,331,898</w:t>
              <w:tab/>
            </w:r>
            <w:r>
              <w:rPr>
                <w:sz w:val="18"/>
                <w:u w:val="single"/>
              </w:rPr>
              <w:t>1,214,116</w:t>
            </w:r>
          </w:p>
        </w:tc>
      </w:tr>
      <w:tr>
        <w:trPr>
          <w:trHeight w:val="299" w:hRule="exact"/>
        </w:trPr>
        <w:tc>
          <w:tcPr>
            <w:tcW w:w="4953" w:type="dxa"/>
          </w:tcPr>
          <w:p>
            <w:pPr>
              <w:pStyle w:val="TableParagraph"/>
              <w:spacing w:line="201" w:lineRule="exact"/>
              <w:ind w:left="35"/>
              <w:rPr>
                <w:b/>
                <w:sz w:val="18"/>
              </w:rPr>
            </w:pPr>
            <w:r>
              <w:rPr>
                <w:b/>
                <w:sz w:val="18"/>
              </w:rPr>
              <w:t>Total trust funds</w:t>
            </w:r>
          </w:p>
        </w:tc>
        <w:tc>
          <w:tcPr>
            <w:tcW w:w="2376" w:type="dxa"/>
          </w:tcPr>
          <w:p>
            <w:pPr/>
          </w:p>
        </w:tc>
        <w:tc>
          <w:tcPr>
            <w:tcW w:w="2594" w:type="dxa"/>
            <w:gridSpan w:val="2"/>
          </w:tcPr>
          <w:p>
            <w:pPr>
              <w:pStyle w:val="TableParagraph"/>
              <w:tabs>
                <w:tab w:pos="410" w:val="left" w:leader="none"/>
                <w:tab w:pos="1707" w:val="left" w:leader="none"/>
              </w:tabs>
              <w:spacing w:line="201" w:lineRule="exact"/>
              <w:rPr>
                <w:sz w:val="18"/>
              </w:rPr>
            </w:pPr>
            <w:r>
              <w:rPr>
                <w:rFonts w:ascii="Times New Roman"/>
                <w:sz w:val="18"/>
                <w:u w:val="thick"/>
              </w:rPr>
              <w:t> </w:t>
              <w:tab/>
            </w:r>
            <w:r>
              <w:rPr>
                <w:b/>
                <w:sz w:val="18"/>
                <w:u w:val="thick"/>
              </w:rPr>
              <w:t>1,527,146</w:t>
              <w:tab/>
            </w:r>
            <w:r>
              <w:rPr>
                <w:sz w:val="18"/>
                <w:u w:val="thick"/>
              </w:rPr>
              <w:t>1,409,364</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pStyle w:val="BodyText"/>
        <w:ind w:left="107" w:right="161"/>
      </w:pPr>
      <w:r>
        <w:rPr/>
        <w:t>The accompanying notes form part of these financial statements.</w:t>
      </w:r>
    </w:p>
    <w:p>
      <w:pPr>
        <w:spacing w:after="0"/>
        <w:sectPr>
          <w:type w:val="continuous"/>
          <w:pgSz w:w="11910" w:h="16840"/>
          <w:pgMar w:top="1580" w:bottom="280" w:left="900" w:right="860"/>
        </w:sectPr>
      </w:pPr>
    </w:p>
    <w:p>
      <w:pPr>
        <w:pStyle w:val="Heading6"/>
        <w:spacing w:line="292" w:lineRule="auto" w:before="49"/>
        <w:ind w:left="147" w:right="3099"/>
      </w:pPr>
      <w:r>
        <w:rPr/>
        <w:t>Whitlam Institute Within Western Sydney University Trust ABN: 42 247 216 279</w:t>
      </w:r>
    </w:p>
    <w:p>
      <w:pPr>
        <w:pStyle w:val="BodyText"/>
        <w:spacing w:before="2"/>
        <w:rPr>
          <w:b/>
          <w:sz w:val="19"/>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01"/>
        <w:gridCol w:w="1475"/>
        <w:gridCol w:w="1198"/>
        <w:gridCol w:w="1177"/>
        <w:gridCol w:w="1215"/>
      </w:tblGrid>
      <w:tr>
        <w:trPr>
          <w:trHeight w:val="911" w:hRule="exact"/>
        </w:trPr>
        <w:tc>
          <w:tcPr>
            <w:tcW w:w="4501" w:type="dxa"/>
          </w:tcPr>
          <w:p>
            <w:pPr>
              <w:pStyle w:val="TableParagraph"/>
              <w:spacing w:before="64"/>
              <w:ind w:left="35"/>
              <w:rPr>
                <w:b/>
                <w:sz w:val="28"/>
              </w:rPr>
            </w:pPr>
            <w:r>
              <w:rPr>
                <w:b/>
                <w:sz w:val="28"/>
              </w:rPr>
              <w:t>Statement of changes in equity</w:t>
            </w:r>
          </w:p>
          <w:p>
            <w:pPr>
              <w:pStyle w:val="TableParagraph"/>
              <w:spacing w:before="57"/>
              <w:ind w:left="35"/>
              <w:rPr>
                <w:b/>
                <w:sz w:val="22"/>
              </w:rPr>
            </w:pPr>
            <w:r>
              <w:rPr>
                <w:b/>
                <w:sz w:val="22"/>
              </w:rPr>
              <w:t>For the Year Ended 31 December 2017</w:t>
            </w:r>
          </w:p>
        </w:tc>
        <w:tc>
          <w:tcPr>
            <w:tcW w:w="5065" w:type="dxa"/>
            <w:gridSpan w:val="4"/>
          </w:tcPr>
          <w:p>
            <w:pPr/>
          </w:p>
        </w:tc>
      </w:tr>
      <w:tr>
        <w:trPr>
          <w:trHeight w:val="653" w:hRule="exact"/>
        </w:trPr>
        <w:tc>
          <w:tcPr>
            <w:tcW w:w="4501" w:type="dxa"/>
          </w:tcPr>
          <w:p>
            <w:pPr/>
          </w:p>
        </w:tc>
        <w:tc>
          <w:tcPr>
            <w:tcW w:w="1475" w:type="dxa"/>
          </w:tcPr>
          <w:p>
            <w:pPr>
              <w:pStyle w:val="TableParagraph"/>
              <w:rPr>
                <w:b/>
                <w:sz w:val="18"/>
              </w:rPr>
            </w:pPr>
          </w:p>
          <w:p>
            <w:pPr>
              <w:pStyle w:val="TableParagraph"/>
              <w:spacing w:before="1"/>
              <w:rPr>
                <w:b/>
                <w:sz w:val="17"/>
              </w:rPr>
            </w:pPr>
          </w:p>
          <w:p>
            <w:pPr>
              <w:pStyle w:val="TableParagraph"/>
              <w:ind w:right="150"/>
              <w:jc w:val="right"/>
              <w:rPr>
                <w:b/>
                <w:sz w:val="18"/>
              </w:rPr>
            </w:pPr>
            <w:r>
              <w:rPr>
                <w:b/>
                <w:sz w:val="18"/>
              </w:rPr>
              <w:t>Settled fund</w:t>
            </w:r>
          </w:p>
        </w:tc>
        <w:tc>
          <w:tcPr>
            <w:tcW w:w="1198" w:type="dxa"/>
          </w:tcPr>
          <w:p>
            <w:pPr>
              <w:pStyle w:val="TableParagraph"/>
              <w:spacing w:before="1"/>
              <w:rPr>
                <w:b/>
                <w:sz w:val="17"/>
              </w:rPr>
            </w:pPr>
          </w:p>
          <w:p>
            <w:pPr>
              <w:pStyle w:val="TableParagraph"/>
              <w:ind w:left="152" w:right="256" w:firstLine="5"/>
              <w:rPr>
                <w:b/>
                <w:sz w:val="18"/>
              </w:rPr>
            </w:pPr>
            <w:r>
              <w:rPr>
                <w:b/>
                <w:sz w:val="18"/>
              </w:rPr>
              <w:t>Retained Earnings</w:t>
            </w:r>
          </w:p>
        </w:tc>
        <w:tc>
          <w:tcPr>
            <w:tcW w:w="1177" w:type="dxa"/>
          </w:tcPr>
          <w:p>
            <w:pPr>
              <w:pStyle w:val="TableParagraph"/>
              <w:rPr>
                <w:b/>
                <w:sz w:val="18"/>
              </w:rPr>
            </w:pPr>
          </w:p>
          <w:p>
            <w:pPr>
              <w:pStyle w:val="TableParagraph"/>
              <w:spacing w:before="1"/>
              <w:rPr>
                <w:b/>
                <w:sz w:val="17"/>
              </w:rPr>
            </w:pPr>
          </w:p>
          <w:p>
            <w:pPr>
              <w:pStyle w:val="TableParagraph"/>
              <w:ind w:left="142"/>
              <w:rPr>
                <w:b/>
                <w:sz w:val="18"/>
              </w:rPr>
            </w:pPr>
            <w:r>
              <w:rPr>
                <w:b/>
                <w:sz w:val="18"/>
              </w:rPr>
              <w:t>Reserves</w:t>
            </w:r>
          </w:p>
        </w:tc>
        <w:tc>
          <w:tcPr>
            <w:tcW w:w="1215" w:type="dxa"/>
          </w:tcPr>
          <w:p>
            <w:pPr>
              <w:pStyle w:val="TableParagraph"/>
              <w:rPr>
                <w:b/>
                <w:sz w:val="18"/>
              </w:rPr>
            </w:pPr>
          </w:p>
          <w:p>
            <w:pPr>
              <w:pStyle w:val="TableParagraph"/>
              <w:spacing w:before="1"/>
              <w:rPr>
                <w:b/>
                <w:sz w:val="17"/>
              </w:rPr>
            </w:pPr>
          </w:p>
          <w:p>
            <w:pPr>
              <w:pStyle w:val="TableParagraph"/>
              <w:ind w:right="87"/>
              <w:jc w:val="right"/>
              <w:rPr>
                <w:b/>
                <w:sz w:val="18"/>
              </w:rPr>
            </w:pPr>
            <w:r>
              <w:rPr>
                <w:b/>
                <w:sz w:val="18"/>
              </w:rPr>
              <w:t>Total Equity</w:t>
            </w:r>
          </w:p>
        </w:tc>
      </w:tr>
      <w:tr>
        <w:trPr>
          <w:trHeight w:val="272" w:hRule="exact"/>
        </w:trPr>
        <w:tc>
          <w:tcPr>
            <w:tcW w:w="4501" w:type="dxa"/>
          </w:tcPr>
          <w:p>
            <w:pPr/>
          </w:p>
        </w:tc>
        <w:tc>
          <w:tcPr>
            <w:tcW w:w="1475" w:type="dxa"/>
            <w:tcBorders>
              <w:bottom w:val="single" w:sz="0" w:space="0" w:color="000000"/>
            </w:tcBorders>
          </w:tcPr>
          <w:p>
            <w:pPr>
              <w:pStyle w:val="TableParagraph"/>
              <w:spacing w:before="24"/>
              <w:ind w:left="132"/>
              <w:jc w:val="center"/>
              <w:rPr>
                <w:b/>
                <w:sz w:val="18"/>
              </w:rPr>
            </w:pPr>
            <w:r>
              <w:rPr>
                <w:b/>
                <w:w w:val="99"/>
                <w:sz w:val="18"/>
              </w:rPr>
              <w:t>$</w:t>
            </w:r>
          </w:p>
        </w:tc>
        <w:tc>
          <w:tcPr>
            <w:tcW w:w="1198" w:type="dxa"/>
            <w:tcBorders>
              <w:bottom w:val="single" w:sz="0" w:space="0" w:color="000000"/>
            </w:tcBorders>
          </w:tcPr>
          <w:p>
            <w:pPr>
              <w:pStyle w:val="TableParagraph"/>
              <w:spacing w:before="24"/>
              <w:ind w:right="119"/>
              <w:jc w:val="center"/>
              <w:rPr>
                <w:b/>
                <w:sz w:val="18"/>
              </w:rPr>
            </w:pPr>
            <w:r>
              <w:rPr>
                <w:b/>
                <w:w w:val="99"/>
                <w:sz w:val="18"/>
              </w:rPr>
              <w:t>$</w:t>
            </w:r>
          </w:p>
        </w:tc>
        <w:tc>
          <w:tcPr>
            <w:tcW w:w="1177" w:type="dxa"/>
            <w:tcBorders>
              <w:bottom w:val="single" w:sz="0" w:space="0" w:color="000000"/>
            </w:tcBorders>
          </w:tcPr>
          <w:p>
            <w:pPr>
              <w:pStyle w:val="TableParagraph"/>
              <w:spacing w:before="24"/>
              <w:ind w:right="46"/>
              <w:jc w:val="center"/>
              <w:rPr>
                <w:b/>
                <w:sz w:val="18"/>
              </w:rPr>
            </w:pPr>
            <w:r>
              <w:rPr>
                <w:b/>
                <w:w w:val="99"/>
                <w:sz w:val="18"/>
              </w:rPr>
              <w:t>$</w:t>
            </w:r>
          </w:p>
        </w:tc>
        <w:tc>
          <w:tcPr>
            <w:tcW w:w="1215" w:type="dxa"/>
            <w:tcBorders>
              <w:bottom w:val="single" w:sz="0" w:space="0" w:color="000000"/>
            </w:tcBorders>
          </w:tcPr>
          <w:p>
            <w:pPr>
              <w:pStyle w:val="TableParagraph"/>
              <w:spacing w:before="24"/>
              <w:ind w:left="7"/>
              <w:jc w:val="center"/>
              <w:rPr>
                <w:b/>
                <w:sz w:val="18"/>
              </w:rPr>
            </w:pPr>
            <w:r>
              <w:rPr>
                <w:b/>
                <w:w w:val="99"/>
                <w:sz w:val="18"/>
              </w:rPr>
              <w:t>$</w:t>
            </w:r>
          </w:p>
        </w:tc>
      </w:tr>
      <w:tr>
        <w:trPr>
          <w:trHeight w:val="415" w:hRule="exact"/>
        </w:trPr>
        <w:tc>
          <w:tcPr>
            <w:tcW w:w="4501" w:type="dxa"/>
          </w:tcPr>
          <w:p>
            <w:pPr>
              <w:pStyle w:val="TableParagraph"/>
              <w:spacing w:before="38"/>
              <w:ind w:left="108"/>
              <w:rPr>
                <w:b/>
                <w:sz w:val="18"/>
              </w:rPr>
            </w:pPr>
            <w:r>
              <w:rPr>
                <w:b/>
                <w:sz w:val="18"/>
              </w:rPr>
              <w:t>Balance at 1 January 2017</w:t>
            </w:r>
          </w:p>
        </w:tc>
        <w:tc>
          <w:tcPr>
            <w:tcW w:w="1475" w:type="dxa"/>
            <w:tcBorders>
              <w:top w:val="single" w:sz="0" w:space="0" w:color="000000"/>
            </w:tcBorders>
          </w:tcPr>
          <w:p>
            <w:pPr>
              <w:pStyle w:val="TableParagraph"/>
              <w:spacing w:before="38"/>
              <w:ind w:right="167"/>
              <w:jc w:val="right"/>
              <w:rPr>
                <w:sz w:val="18"/>
              </w:rPr>
            </w:pPr>
            <w:r>
              <w:rPr>
                <w:w w:val="99"/>
                <w:sz w:val="18"/>
              </w:rPr>
              <w:t>1</w:t>
            </w:r>
          </w:p>
        </w:tc>
        <w:tc>
          <w:tcPr>
            <w:tcW w:w="1198" w:type="dxa"/>
            <w:tcBorders>
              <w:top w:val="single" w:sz="0" w:space="0" w:color="000000"/>
            </w:tcBorders>
          </w:tcPr>
          <w:p>
            <w:pPr>
              <w:pStyle w:val="TableParagraph"/>
              <w:spacing w:before="38"/>
              <w:ind w:right="140"/>
              <w:jc w:val="right"/>
              <w:rPr>
                <w:sz w:val="18"/>
              </w:rPr>
            </w:pPr>
            <w:r>
              <w:rPr>
                <w:w w:val="95"/>
                <w:sz w:val="18"/>
              </w:rPr>
              <w:t>1,214,116</w:t>
            </w:r>
          </w:p>
        </w:tc>
        <w:tc>
          <w:tcPr>
            <w:tcW w:w="1177" w:type="dxa"/>
            <w:tcBorders>
              <w:top w:val="single" w:sz="0" w:space="0" w:color="000000"/>
            </w:tcBorders>
          </w:tcPr>
          <w:p>
            <w:pPr>
              <w:pStyle w:val="TableParagraph"/>
              <w:spacing w:before="38"/>
              <w:ind w:right="93"/>
              <w:jc w:val="right"/>
              <w:rPr>
                <w:sz w:val="18"/>
              </w:rPr>
            </w:pPr>
            <w:r>
              <w:rPr>
                <w:w w:val="95"/>
                <w:sz w:val="18"/>
              </w:rPr>
              <w:t>195,247</w:t>
            </w:r>
          </w:p>
        </w:tc>
        <w:tc>
          <w:tcPr>
            <w:tcW w:w="1215" w:type="dxa"/>
            <w:tcBorders>
              <w:top w:val="single" w:sz="0" w:space="0" w:color="000000"/>
            </w:tcBorders>
          </w:tcPr>
          <w:p>
            <w:pPr>
              <w:pStyle w:val="TableParagraph"/>
              <w:spacing w:before="38"/>
              <w:ind w:right="84"/>
              <w:jc w:val="right"/>
              <w:rPr>
                <w:b/>
                <w:sz w:val="18"/>
              </w:rPr>
            </w:pPr>
            <w:r>
              <w:rPr>
                <w:b/>
                <w:w w:val="95"/>
                <w:sz w:val="18"/>
              </w:rPr>
              <w:t>1,409,364</w:t>
            </w:r>
          </w:p>
        </w:tc>
      </w:tr>
      <w:tr>
        <w:trPr>
          <w:trHeight w:val="394" w:hRule="exact"/>
        </w:trPr>
        <w:tc>
          <w:tcPr>
            <w:tcW w:w="4501" w:type="dxa"/>
          </w:tcPr>
          <w:p>
            <w:pPr>
              <w:pStyle w:val="TableParagraph"/>
              <w:spacing w:before="149"/>
              <w:ind w:left="108"/>
              <w:rPr>
                <w:sz w:val="18"/>
              </w:rPr>
            </w:pPr>
            <w:r>
              <w:rPr>
                <w:sz w:val="18"/>
              </w:rPr>
              <w:t>Revaluation of property, plant and equipment</w:t>
            </w:r>
          </w:p>
        </w:tc>
        <w:tc>
          <w:tcPr>
            <w:tcW w:w="1475" w:type="dxa"/>
            <w:tcBorders>
              <w:bottom w:val="single" w:sz="0" w:space="0" w:color="000000"/>
            </w:tcBorders>
          </w:tcPr>
          <w:p>
            <w:pPr>
              <w:pStyle w:val="TableParagraph"/>
              <w:spacing w:before="150"/>
              <w:ind w:right="168"/>
              <w:jc w:val="right"/>
              <w:rPr>
                <w:b/>
                <w:sz w:val="18"/>
              </w:rPr>
            </w:pPr>
            <w:r>
              <w:rPr>
                <w:b/>
                <w:w w:val="99"/>
                <w:sz w:val="18"/>
              </w:rPr>
              <w:t>-</w:t>
            </w:r>
          </w:p>
        </w:tc>
        <w:tc>
          <w:tcPr>
            <w:tcW w:w="1198" w:type="dxa"/>
            <w:tcBorders>
              <w:bottom w:val="single" w:sz="0" w:space="0" w:color="000000"/>
            </w:tcBorders>
          </w:tcPr>
          <w:p>
            <w:pPr>
              <w:pStyle w:val="TableParagraph"/>
              <w:spacing w:before="150"/>
              <w:ind w:right="142"/>
              <w:jc w:val="right"/>
              <w:rPr>
                <w:b/>
                <w:sz w:val="18"/>
              </w:rPr>
            </w:pPr>
            <w:r>
              <w:rPr>
                <w:b/>
                <w:w w:val="99"/>
                <w:sz w:val="18"/>
              </w:rPr>
              <w:t>-</w:t>
            </w:r>
          </w:p>
        </w:tc>
        <w:tc>
          <w:tcPr>
            <w:tcW w:w="1177" w:type="dxa"/>
            <w:tcBorders>
              <w:bottom w:val="single" w:sz="0" w:space="0" w:color="000000"/>
            </w:tcBorders>
          </w:tcPr>
          <w:p>
            <w:pPr>
              <w:pStyle w:val="TableParagraph"/>
              <w:spacing w:before="150"/>
              <w:ind w:right="97"/>
              <w:jc w:val="right"/>
              <w:rPr>
                <w:b/>
                <w:sz w:val="18"/>
              </w:rPr>
            </w:pPr>
            <w:r>
              <w:rPr>
                <w:b/>
                <w:w w:val="99"/>
                <w:sz w:val="18"/>
              </w:rPr>
              <w:t>-</w:t>
            </w:r>
          </w:p>
        </w:tc>
        <w:tc>
          <w:tcPr>
            <w:tcW w:w="1215" w:type="dxa"/>
            <w:tcBorders>
              <w:bottom w:val="single" w:sz="0" w:space="0" w:color="000000"/>
            </w:tcBorders>
          </w:tcPr>
          <w:p>
            <w:pPr>
              <w:pStyle w:val="TableParagraph"/>
              <w:spacing w:before="150"/>
              <w:ind w:right="86"/>
              <w:jc w:val="right"/>
              <w:rPr>
                <w:b/>
                <w:sz w:val="18"/>
              </w:rPr>
            </w:pPr>
            <w:r>
              <w:rPr>
                <w:b/>
                <w:w w:val="99"/>
                <w:sz w:val="18"/>
              </w:rPr>
              <w:t>-</w:t>
            </w:r>
          </w:p>
        </w:tc>
      </w:tr>
      <w:tr>
        <w:trPr>
          <w:trHeight w:val="485" w:hRule="exact"/>
        </w:trPr>
        <w:tc>
          <w:tcPr>
            <w:tcW w:w="4501" w:type="dxa"/>
          </w:tcPr>
          <w:p>
            <w:pPr>
              <w:pStyle w:val="TableParagraph"/>
              <w:spacing w:before="123"/>
              <w:ind w:left="108"/>
              <w:rPr>
                <w:b/>
                <w:sz w:val="18"/>
              </w:rPr>
            </w:pPr>
            <w:r>
              <w:rPr>
                <w:b/>
                <w:sz w:val="18"/>
              </w:rPr>
              <w:t>Other comprehensive income</w:t>
            </w:r>
          </w:p>
        </w:tc>
        <w:tc>
          <w:tcPr>
            <w:tcW w:w="1475" w:type="dxa"/>
            <w:tcBorders>
              <w:top w:val="single" w:sz="0" w:space="0" w:color="000000"/>
            </w:tcBorders>
          </w:tcPr>
          <w:p>
            <w:pPr>
              <w:pStyle w:val="TableParagraph"/>
              <w:spacing w:before="122"/>
              <w:ind w:right="168"/>
              <w:jc w:val="right"/>
              <w:rPr>
                <w:b/>
                <w:sz w:val="18"/>
              </w:rPr>
            </w:pPr>
            <w:r>
              <w:rPr>
                <w:b/>
                <w:w w:val="99"/>
                <w:sz w:val="18"/>
              </w:rPr>
              <w:t>-</w:t>
            </w:r>
          </w:p>
        </w:tc>
        <w:tc>
          <w:tcPr>
            <w:tcW w:w="1198" w:type="dxa"/>
            <w:tcBorders>
              <w:top w:val="single" w:sz="0" w:space="0" w:color="000000"/>
            </w:tcBorders>
          </w:tcPr>
          <w:p>
            <w:pPr>
              <w:pStyle w:val="TableParagraph"/>
              <w:spacing w:before="122"/>
              <w:ind w:right="142"/>
              <w:jc w:val="right"/>
              <w:rPr>
                <w:b/>
                <w:sz w:val="18"/>
              </w:rPr>
            </w:pPr>
            <w:r>
              <w:rPr>
                <w:b/>
                <w:w w:val="99"/>
                <w:sz w:val="18"/>
              </w:rPr>
              <w:t>-</w:t>
            </w:r>
          </w:p>
        </w:tc>
        <w:tc>
          <w:tcPr>
            <w:tcW w:w="1177" w:type="dxa"/>
            <w:tcBorders>
              <w:top w:val="single" w:sz="0" w:space="0" w:color="000000"/>
            </w:tcBorders>
          </w:tcPr>
          <w:p>
            <w:pPr>
              <w:pStyle w:val="TableParagraph"/>
              <w:spacing w:before="122"/>
              <w:ind w:right="97"/>
              <w:jc w:val="right"/>
              <w:rPr>
                <w:b/>
                <w:sz w:val="18"/>
              </w:rPr>
            </w:pPr>
            <w:r>
              <w:rPr>
                <w:b/>
                <w:w w:val="99"/>
                <w:sz w:val="18"/>
              </w:rPr>
              <w:t>-</w:t>
            </w:r>
          </w:p>
        </w:tc>
        <w:tc>
          <w:tcPr>
            <w:tcW w:w="1215" w:type="dxa"/>
            <w:tcBorders>
              <w:top w:val="single" w:sz="0" w:space="0" w:color="000000"/>
            </w:tcBorders>
          </w:tcPr>
          <w:p>
            <w:pPr>
              <w:pStyle w:val="TableParagraph"/>
              <w:spacing w:before="122"/>
              <w:ind w:right="86"/>
              <w:jc w:val="right"/>
              <w:rPr>
                <w:b/>
                <w:sz w:val="18"/>
              </w:rPr>
            </w:pPr>
            <w:r>
              <w:rPr>
                <w:b/>
                <w:w w:val="99"/>
                <w:sz w:val="18"/>
              </w:rPr>
              <w:t>-</w:t>
            </w:r>
          </w:p>
        </w:tc>
      </w:tr>
      <w:tr>
        <w:trPr>
          <w:trHeight w:val="380" w:hRule="exact"/>
        </w:trPr>
        <w:tc>
          <w:tcPr>
            <w:tcW w:w="4501" w:type="dxa"/>
          </w:tcPr>
          <w:p>
            <w:pPr>
              <w:pStyle w:val="TableParagraph"/>
              <w:spacing w:before="135"/>
              <w:ind w:left="108"/>
              <w:rPr>
                <w:sz w:val="18"/>
              </w:rPr>
            </w:pPr>
            <w:r>
              <w:rPr>
                <w:sz w:val="18"/>
              </w:rPr>
              <w:t>Surplus for the year</w:t>
            </w:r>
          </w:p>
        </w:tc>
        <w:tc>
          <w:tcPr>
            <w:tcW w:w="1475" w:type="dxa"/>
            <w:tcBorders>
              <w:bottom w:val="single" w:sz="0" w:space="0" w:color="000000"/>
            </w:tcBorders>
          </w:tcPr>
          <w:p>
            <w:pPr>
              <w:pStyle w:val="TableParagraph"/>
              <w:spacing w:before="136"/>
              <w:ind w:right="168"/>
              <w:jc w:val="right"/>
              <w:rPr>
                <w:b/>
                <w:sz w:val="18"/>
              </w:rPr>
            </w:pPr>
            <w:r>
              <w:rPr>
                <w:b/>
                <w:w w:val="99"/>
                <w:sz w:val="18"/>
              </w:rPr>
              <w:t>-</w:t>
            </w:r>
          </w:p>
        </w:tc>
        <w:tc>
          <w:tcPr>
            <w:tcW w:w="1198" w:type="dxa"/>
            <w:tcBorders>
              <w:bottom w:val="single" w:sz="0" w:space="0" w:color="000000"/>
            </w:tcBorders>
          </w:tcPr>
          <w:p>
            <w:pPr>
              <w:pStyle w:val="TableParagraph"/>
              <w:spacing w:before="136"/>
              <w:ind w:right="140"/>
              <w:jc w:val="right"/>
              <w:rPr>
                <w:sz w:val="18"/>
              </w:rPr>
            </w:pPr>
            <w:r>
              <w:rPr>
                <w:w w:val="95"/>
                <w:sz w:val="18"/>
              </w:rPr>
              <w:t>117,782</w:t>
            </w:r>
          </w:p>
        </w:tc>
        <w:tc>
          <w:tcPr>
            <w:tcW w:w="1177" w:type="dxa"/>
            <w:tcBorders>
              <w:bottom w:val="single" w:sz="0" w:space="0" w:color="000000"/>
            </w:tcBorders>
          </w:tcPr>
          <w:p>
            <w:pPr>
              <w:pStyle w:val="TableParagraph"/>
              <w:spacing w:before="136"/>
              <w:ind w:right="97"/>
              <w:jc w:val="right"/>
              <w:rPr>
                <w:b/>
                <w:sz w:val="18"/>
              </w:rPr>
            </w:pPr>
            <w:r>
              <w:rPr>
                <w:b/>
                <w:w w:val="99"/>
                <w:sz w:val="18"/>
              </w:rPr>
              <w:t>-</w:t>
            </w:r>
          </w:p>
        </w:tc>
        <w:tc>
          <w:tcPr>
            <w:tcW w:w="1215" w:type="dxa"/>
            <w:tcBorders>
              <w:bottom w:val="single" w:sz="0" w:space="0" w:color="000000"/>
            </w:tcBorders>
          </w:tcPr>
          <w:p>
            <w:pPr>
              <w:pStyle w:val="TableParagraph"/>
              <w:spacing w:before="136"/>
              <w:ind w:right="84"/>
              <w:jc w:val="right"/>
              <w:rPr>
                <w:b/>
                <w:sz w:val="18"/>
              </w:rPr>
            </w:pPr>
            <w:r>
              <w:rPr>
                <w:b/>
                <w:w w:val="95"/>
                <w:sz w:val="18"/>
              </w:rPr>
              <w:t>117,782</w:t>
            </w:r>
          </w:p>
        </w:tc>
      </w:tr>
      <w:tr>
        <w:trPr>
          <w:trHeight w:val="600" w:hRule="exact"/>
        </w:trPr>
        <w:tc>
          <w:tcPr>
            <w:tcW w:w="4501" w:type="dxa"/>
          </w:tcPr>
          <w:p>
            <w:pPr>
              <w:pStyle w:val="TableParagraph"/>
              <w:spacing w:before="123"/>
              <w:ind w:left="108"/>
              <w:rPr>
                <w:b/>
                <w:sz w:val="18"/>
              </w:rPr>
            </w:pPr>
            <w:r>
              <w:rPr>
                <w:b/>
                <w:sz w:val="18"/>
              </w:rPr>
              <w:t>Total comprehensive income for the year</w:t>
            </w:r>
          </w:p>
        </w:tc>
        <w:tc>
          <w:tcPr>
            <w:tcW w:w="1475" w:type="dxa"/>
            <w:tcBorders>
              <w:top w:val="single" w:sz="0" w:space="0" w:color="000000"/>
              <w:bottom w:val="single" w:sz="0" w:space="0" w:color="000000"/>
            </w:tcBorders>
          </w:tcPr>
          <w:p>
            <w:pPr>
              <w:pStyle w:val="TableParagraph"/>
              <w:spacing w:before="122"/>
              <w:ind w:right="168"/>
              <w:jc w:val="right"/>
              <w:rPr>
                <w:b/>
                <w:sz w:val="18"/>
              </w:rPr>
            </w:pPr>
            <w:r>
              <w:rPr>
                <w:b/>
                <w:w w:val="99"/>
                <w:sz w:val="18"/>
              </w:rPr>
              <w:t>-</w:t>
            </w:r>
          </w:p>
        </w:tc>
        <w:tc>
          <w:tcPr>
            <w:tcW w:w="1198" w:type="dxa"/>
            <w:tcBorders>
              <w:top w:val="single" w:sz="0" w:space="0" w:color="000000"/>
              <w:bottom w:val="single" w:sz="0" w:space="0" w:color="000000"/>
            </w:tcBorders>
          </w:tcPr>
          <w:p>
            <w:pPr>
              <w:pStyle w:val="TableParagraph"/>
              <w:spacing w:before="122"/>
              <w:ind w:right="140"/>
              <w:jc w:val="right"/>
              <w:rPr>
                <w:b/>
                <w:sz w:val="18"/>
              </w:rPr>
            </w:pPr>
            <w:r>
              <w:rPr>
                <w:b/>
                <w:w w:val="95"/>
                <w:sz w:val="18"/>
              </w:rPr>
              <w:t>117,782</w:t>
            </w:r>
          </w:p>
        </w:tc>
        <w:tc>
          <w:tcPr>
            <w:tcW w:w="1177" w:type="dxa"/>
            <w:tcBorders>
              <w:top w:val="single" w:sz="0" w:space="0" w:color="000000"/>
              <w:bottom w:val="single" w:sz="0" w:space="0" w:color="000000"/>
            </w:tcBorders>
          </w:tcPr>
          <w:p>
            <w:pPr>
              <w:pStyle w:val="TableParagraph"/>
              <w:spacing w:before="122"/>
              <w:ind w:right="97"/>
              <w:jc w:val="right"/>
              <w:rPr>
                <w:b/>
                <w:sz w:val="18"/>
              </w:rPr>
            </w:pPr>
            <w:r>
              <w:rPr>
                <w:b/>
                <w:w w:val="99"/>
                <w:sz w:val="18"/>
              </w:rPr>
              <w:t>-</w:t>
            </w:r>
          </w:p>
        </w:tc>
        <w:tc>
          <w:tcPr>
            <w:tcW w:w="1215" w:type="dxa"/>
            <w:tcBorders>
              <w:top w:val="single" w:sz="0" w:space="0" w:color="000000"/>
              <w:bottom w:val="single" w:sz="0" w:space="0" w:color="000000"/>
            </w:tcBorders>
          </w:tcPr>
          <w:p>
            <w:pPr>
              <w:pStyle w:val="TableParagraph"/>
              <w:spacing w:before="122"/>
              <w:ind w:right="84"/>
              <w:jc w:val="right"/>
              <w:rPr>
                <w:b/>
                <w:sz w:val="18"/>
              </w:rPr>
            </w:pPr>
            <w:r>
              <w:rPr>
                <w:b/>
                <w:w w:val="95"/>
                <w:sz w:val="18"/>
              </w:rPr>
              <w:t>117,782</w:t>
            </w:r>
          </w:p>
        </w:tc>
      </w:tr>
      <w:tr>
        <w:trPr>
          <w:trHeight w:val="344" w:hRule="exact"/>
        </w:trPr>
        <w:tc>
          <w:tcPr>
            <w:tcW w:w="4501" w:type="dxa"/>
          </w:tcPr>
          <w:p>
            <w:pPr>
              <w:pStyle w:val="TableParagraph"/>
              <w:spacing w:before="123"/>
              <w:ind w:left="108"/>
              <w:rPr>
                <w:b/>
                <w:sz w:val="18"/>
              </w:rPr>
            </w:pPr>
            <w:r>
              <w:rPr>
                <w:b/>
                <w:sz w:val="18"/>
              </w:rPr>
              <w:t>Balance at 31 December 2017</w:t>
            </w:r>
          </w:p>
        </w:tc>
        <w:tc>
          <w:tcPr>
            <w:tcW w:w="1475" w:type="dxa"/>
            <w:tcBorders>
              <w:top w:val="single" w:sz="0" w:space="0" w:color="000000"/>
              <w:bottom w:val="single" w:sz="0" w:space="0" w:color="000000"/>
            </w:tcBorders>
          </w:tcPr>
          <w:p>
            <w:pPr>
              <w:pStyle w:val="TableParagraph"/>
              <w:spacing w:before="122"/>
              <w:ind w:right="167"/>
              <w:jc w:val="right"/>
              <w:rPr>
                <w:b/>
                <w:sz w:val="18"/>
              </w:rPr>
            </w:pPr>
            <w:r>
              <w:rPr>
                <w:b/>
                <w:w w:val="99"/>
                <w:sz w:val="18"/>
              </w:rPr>
              <w:t>1</w:t>
            </w:r>
          </w:p>
        </w:tc>
        <w:tc>
          <w:tcPr>
            <w:tcW w:w="1198" w:type="dxa"/>
            <w:tcBorders>
              <w:top w:val="single" w:sz="0" w:space="0" w:color="000000"/>
              <w:bottom w:val="single" w:sz="0" w:space="0" w:color="000000"/>
            </w:tcBorders>
          </w:tcPr>
          <w:p>
            <w:pPr>
              <w:pStyle w:val="TableParagraph"/>
              <w:spacing w:before="122"/>
              <w:ind w:right="140"/>
              <w:jc w:val="right"/>
              <w:rPr>
                <w:b/>
                <w:sz w:val="18"/>
              </w:rPr>
            </w:pPr>
            <w:r>
              <w:rPr>
                <w:b/>
                <w:w w:val="95"/>
                <w:sz w:val="18"/>
              </w:rPr>
              <w:t>1,331,898</w:t>
            </w:r>
          </w:p>
        </w:tc>
        <w:tc>
          <w:tcPr>
            <w:tcW w:w="1177" w:type="dxa"/>
            <w:tcBorders>
              <w:top w:val="single" w:sz="0" w:space="0" w:color="000000"/>
              <w:bottom w:val="single" w:sz="0" w:space="0" w:color="000000"/>
            </w:tcBorders>
          </w:tcPr>
          <w:p>
            <w:pPr>
              <w:pStyle w:val="TableParagraph"/>
              <w:spacing w:before="122"/>
              <w:ind w:right="93"/>
              <w:jc w:val="right"/>
              <w:rPr>
                <w:b/>
                <w:sz w:val="18"/>
              </w:rPr>
            </w:pPr>
            <w:r>
              <w:rPr>
                <w:b/>
                <w:w w:val="95"/>
                <w:sz w:val="18"/>
              </w:rPr>
              <w:t>195,247</w:t>
            </w:r>
          </w:p>
        </w:tc>
        <w:tc>
          <w:tcPr>
            <w:tcW w:w="1215" w:type="dxa"/>
            <w:tcBorders>
              <w:top w:val="single" w:sz="0" w:space="0" w:color="000000"/>
              <w:bottom w:val="single" w:sz="0" w:space="0" w:color="000000"/>
            </w:tcBorders>
          </w:tcPr>
          <w:p>
            <w:pPr>
              <w:pStyle w:val="TableParagraph"/>
              <w:spacing w:before="122"/>
              <w:ind w:right="84"/>
              <w:jc w:val="right"/>
              <w:rPr>
                <w:b/>
                <w:sz w:val="18"/>
              </w:rPr>
            </w:pPr>
            <w:r>
              <w:rPr>
                <w:b/>
                <w:w w:val="95"/>
                <w:sz w:val="18"/>
              </w:rPr>
              <w:t>1,527,146</w:t>
            </w:r>
          </w:p>
        </w:tc>
      </w:tr>
    </w:tbl>
    <w:p>
      <w:pPr>
        <w:pStyle w:val="BodyText"/>
        <w:rPr>
          <w:b/>
          <w:sz w:val="20"/>
        </w:rPr>
      </w:pPr>
    </w:p>
    <w:p>
      <w:pPr>
        <w:pStyle w:val="BodyText"/>
        <w:rPr>
          <w:b/>
          <w:sz w:val="20"/>
        </w:rPr>
      </w:pPr>
    </w:p>
    <w:p>
      <w:pPr>
        <w:pStyle w:val="BodyText"/>
        <w:rPr>
          <w:b/>
          <w:sz w:val="20"/>
        </w:rPr>
      </w:pPr>
    </w:p>
    <w:p>
      <w:pPr>
        <w:pStyle w:val="BodyText"/>
        <w:spacing w:before="7"/>
        <w:rPr>
          <w:b/>
          <w:sz w:val="14"/>
        </w:rPr>
      </w:pPr>
    </w:p>
    <w:tbl>
      <w:tblPr>
        <w:tblW w:w="0" w:type="auto"/>
        <w:jc w:val="left"/>
        <w:tblInd w:w="18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28"/>
        <w:gridCol w:w="1475"/>
        <w:gridCol w:w="1198"/>
        <w:gridCol w:w="1177"/>
        <w:gridCol w:w="1215"/>
      </w:tblGrid>
      <w:tr>
        <w:trPr>
          <w:trHeight w:val="533" w:hRule="exact"/>
        </w:trPr>
        <w:tc>
          <w:tcPr>
            <w:tcW w:w="4428" w:type="dxa"/>
            <w:vMerge w:val="restart"/>
          </w:tcPr>
          <w:p>
            <w:pPr/>
          </w:p>
        </w:tc>
        <w:tc>
          <w:tcPr>
            <w:tcW w:w="1475" w:type="dxa"/>
          </w:tcPr>
          <w:p>
            <w:pPr>
              <w:pStyle w:val="TableParagraph"/>
              <w:spacing w:before="7"/>
              <w:rPr>
                <w:b/>
                <w:sz w:val="24"/>
              </w:rPr>
            </w:pPr>
          </w:p>
          <w:p>
            <w:pPr>
              <w:pStyle w:val="TableParagraph"/>
              <w:ind w:right="150"/>
              <w:jc w:val="right"/>
              <w:rPr>
                <w:b/>
                <w:sz w:val="18"/>
              </w:rPr>
            </w:pPr>
            <w:r>
              <w:rPr>
                <w:b/>
                <w:sz w:val="18"/>
              </w:rPr>
              <w:t>Settled fund</w:t>
            </w:r>
          </w:p>
        </w:tc>
        <w:tc>
          <w:tcPr>
            <w:tcW w:w="1198" w:type="dxa"/>
          </w:tcPr>
          <w:p>
            <w:pPr>
              <w:pStyle w:val="TableParagraph"/>
              <w:spacing w:before="77"/>
              <w:ind w:left="152" w:right="256" w:firstLine="5"/>
              <w:rPr>
                <w:b/>
                <w:sz w:val="18"/>
              </w:rPr>
            </w:pPr>
            <w:r>
              <w:rPr>
                <w:b/>
                <w:sz w:val="18"/>
              </w:rPr>
              <w:t>Retained Earnings</w:t>
            </w:r>
          </w:p>
        </w:tc>
        <w:tc>
          <w:tcPr>
            <w:tcW w:w="1177" w:type="dxa"/>
          </w:tcPr>
          <w:p>
            <w:pPr>
              <w:pStyle w:val="TableParagraph"/>
              <w:spacing w:before="7"/>
              <w:rPr>
                <w:b/>
                <w:sz w:val="24"/>
              </w:rPr>
            </w:pPr>
          </w:p>
          <w:p>
            <w:pPr>
              <w:pStyle w:val="TableParagraph"/>
              <w:ind w:left="142"/>
              <w:rPr>
                <w:b/>
                <w:sz w:val="18"/>
              </w:rPr>
            </w:pPr>
            <w:r>
              <w:rPr>
                <w:b/>
                <w:sz w:val="18"/>
              </w:rPr>
              <w:t>Reserves</w:t>
            </w:r>
          </w:p>
        </w:tc>
        <w:tc>
          <w:tcPr>
            <w:tcW w:w="1215" w:type="dxa"/>
          </w:tcPr>
          <w:p>
            <w:pPr>
              <w:pStyle w:val="TableParagraph"/>
              <w:spacing w:before="7"/>
              <w:rPr>
                <w:b/>
                <w:sz w:val="24"/>
              </w:rPr>
            </w:pPr>
          </w:p>
          <w:p>
            <w:pPr>
              <w:pStyle w:val="TableParagraph"/>
              <w:ind w:right="87"/>
              <w:jc w:val="right"/>
              <w:rPr>
                <w:b/>
                <w:sz w:val="18"/>
              </w:rPr>
            </w:pPr>
            <w:r>
              <w:rPr>
                <w:b/>
                <w:sz w:val="18"/>
              </w:rPr>
              <w:t>Total Equity</w:t>
            </w:r>
          </w:p>
        </w:tc>
      </w:tr>
      <w:tr>
        <w:trPr>
          <w:trHeight w:val="272" w:hRule="exact"/>
        </w:trPr>
        <w:tc>
          <w:tcPr>
            <w:tcW w:w="4428" w:type="dxa"/>
            <w:vMerge/>
          </w:tcPr>
          <w:p>
            <w:pPr/>
          </w:p>
        </w:tc>
        <w:tc>
          <w:tcPr>
            <w:tcW w:w="1475" w:type="dxa"/>
            <w:tcBorders>
              <w:bottom w:val="single" w:sz="0" w:space="0" w:color="000000"/>
            </w:tcBorders>
          </w:tcPr>
          <w:p>
            <w:pPr>
              <w:pStyle w:val="TableParagraph"/>
              <w:spacing w:before="24"/>
              <w:ind w:left="132"/>
              <w:jc w:val="center"/>
              <w:rPr>
                <w:b/>
                <w:sz w:val="18"/>
              </w:rPr>
            </w:pPr>
            <w:r>
              <w:rPr>
                <w:b/>
                <w:w w:val="99"/>
                <w:sz w:val="18"/>
              </w:rPr>
              <w:t>$</w:t>
            </w:r>
          </w:p>
        </w:tc>
        <w:tc>
          <w:tcPr>
            <w:tcW w:w="1198" w:type="dxa"/>
            <w:tcBorders>
              <w:bottom w:val="single" w:sz="0" w:space="0" w:color="000000"/>
            </w:tcBorders>
          </w:tcPr>
          <w:p>
            <w:pPr>
              <w:pStyle w:val="TableParagraph"/>
              <w:spacing w:before="24"/>
              <w:ind w:right="119"/>
              <w:jc w:val="center"/>
              <w:rPr>
                <w:b/>
                <w:sz w:val="18"/>
              </w:rPr>
            </w:pPr>
            <w:r>
              <w:rPr>
                <w:b/>
                <w:w w:val="99"/>
                <w:sz w:val="18"/>
              </w:rPr>
              <w:t>$</w:t>
            </w:r>
          </w:p>
        </w:tc>
        <w:tc>
          <w:tcPr>
            <w:tcW w:w="1177" w:type="dxa"/>
            <w:tcBorders>
              <w:bottom w:val="single" w:sz="0" w:space="0" w:color="000000"/>
            </w:tcBorders>
          </w:tcPr>
          <w:p>
            <w:pPr>
              <w:pStyle w:val="TableParagraph"/>
              <w:spacing w:before="24"/>
              <w:ind w:right="46"/>
              <w:jc w:val="center"/>
              <w:rPr>
                <w:b/>
                <w:sz w:val="18"/>
              </w:rPr>
            </w:pPr>
            <w:r>
              <w:rPr>
                <w:b/>
                <w:w w:val="99"/>
                <w:sz w:val="18"/>
              </w:rPr>
              <w:t>$</w:t>
            </w:r>
          </w:p>
        </w:tc>
        <w:tc>
          <w:tcPr>
            <w:tcW w:w="1215" w:type="dxa"/>
            <w:tcBorders>
              <w:bottom w:val="single" w:sz="0" w:space="0" w:color="000000"/>
            </w:tcBorders>
          </w:tcPr>
          <w:p>
            <w:pPr>
              <w:pStyle w:val="TableParagraph"/>
              <w:spacing w:before="24"/>
              <w:ind w:left="7"/>
              <w:jc w:val="center"/>
              <w:rPr>
                <w:b/>
                <w:sz w:val="18"/>
              </w:rPr>
            </w:pPr>
            <w:r>
              <w:rPr>
                <w:b/>
                <w:w w:val="99"/>
                <w:sz w:val="18"/>
              </w:rPr>
              <w:t>$</w:t>
            </w:r>
          </w:p>
        </w:tc>
      </w:tr>
      <w:tr>
        <w:trPr>
          <w:trHeight w:val="415" w:hRule="exact"/>
        </w:trPr>
        <w:tc>
          <w:tcPr>
            <w:tcW w:w="4428" w:type="dxa"/>
          </w:tcPr>
          <w:p>
            <w:pPr>
              <w:pStyle w:val="TableParagraph"/>
              <w:spacing w:before="38"/>
              <w:ind w:left="35"/>
              <w:rPr>
                <w:b/>
                <w:sz w:val="18"/>
              </w:rPr>
            </w:pPr>
            <w:r>
              <w:rPr>
                <w:b/>
                <w:sz w:val="18"/>
              </w:rPr>
              <w:t>Balance at 1 January 2016</w:t>
            </w:r>
          </w:p>
        </w:tc>
        <w:tc>
          <w:tcPr>
            <w:tcW w:w="1475" w:type="dxa"/>
            <w:tcBorders>
              <w:top w:val="single" w:sz="0" w:space="0" w:color="000000"/>
            </w:tcBorders>
          </w:tcPr>
          <w:p>
            <w:pPr>
              <w:pStyle w:val="TableParagraph"/>
              <w:spacing w:before="38"/>
              <w:ind w:right="167"/>
              <w:jc w:val="right"/>
              <w:rPr>
                <w:sz w:val="18"/>
              </w:rPr>
            </w:pPr>
            <w:r>
              <w:rPr>
                <w:w w:val="99"/>
                <w:sz w:val="18"/>
              </w:rPr>
              <w:t>1</w:t>
            </w:r>
          </w:p>
        </w:tc>
        <w:tc>
          <w:tcPr>
            <w:tcW w:w="1198" w:type="dxa"/>
            <w:tcBorders>
              <w:top w:val="single" w:sz="0" w:space="0" w:color="000000"/>
            </w:tcBorders>
          </w:tcPr>
          <w:p>
            <w:pPr>
              <w:pStyle w:val="TableParagraph"/>
              <w:spacing w:before="38"/>
              <w:ind w:right="140"/>
              <w:jc w:val="right"/>
              <w:rPr>
                <w:sz w:val="18"/>
              </w:rPr>
            </w:pPr>
            <w:r>
              <w:rPr>
                <w:w w:val="95"/>
                <w:sz w:val="18"/>
              </w:rPr>
              <w:t>1,074,995</w:t>
            </w:r>
          </w:p>
        </w:tc>
        <w:tc>
          <w:tcPr>
            <w:tcW w:w="1177" w:type="dxa"/>
            <w:tcBorders>
              <w:top w:val="single" w:sz="0" w:space="0" w:color="000000"/>
            </w:tcBorders>
          </w:tcPr>
          <w:p>
            <w:pPr>
              <w:pStyle w:val="TableParagraph"/>
              <w:spacing w:before="38"/>
              <w:ind w:right="93"/>
              <w:jc w:val="right"/>
              <w:rPr>
                <w:sz w:val="18"/>
              </w:rPr>
            </w:pPr>
            <w:r>
              <w:rPr>
                <w:w w:val="95"/>
                <w:sz w:val="18"/>
              </w:rPr>
              <w:t>175,207</w:t>
            </w:r>
          </w:p>
        </w:tc>
        <w:tc>
          <w:tcPr>
            <w:tcW w:w="1215" w:type="dxa"/>
            <w:tcBorders>
              <w:top w:val="single" w:sz="0" w:space="0" w:color="000000"/>
            </w:tcBorders>
          </w:tcPr>
          <w:p>
            <w:pPr>
              <w:pStyle w:val="TableParagraph"/>
              <w:spacing w:before="38"/>
              <w:ind w:right="84"/>
              <w:jc w:val="right"/>
              <w:rPr>
                <w:sz w:val="18"/>
              </w:rPr>
            </w:pPr>
            <w:r>
              <w:rPr>
                <w:w w:val="95"/>
                <w:sz w:val="18"/>
              </w:rPr>
              <w:t>1,250,203</w:t>
            </w:r>
          </w:p>
        </w:tc>
      </w:tr>
      <w:tr>
        <w:trPr>
          <w:trHeight w:val="394" w:hRule="exact"/>
        </w:trPr>
        <w:tc>
          <w:tcPr>
            <w:tcW w:w="4428" w:type="dxa"/>
          </w:tcPr>
          <w:p>
            <w:pPr>
              <w:pStyle w:val="TableParagraph"/>
              <w:spacing w:before="149"/>
              <w:ind w:left="35"/>
              <w:rPr>
                <w:sz w:val="18"/>
              </w:rPr>
            </w:pPr>
            <w:r>
              <w:rPr>
                <w:sz w:val="18"/>
              </w:rPr>
              <w:t>Revaluation of property, plant and equipment</w:t>
            </w:r>
          </w:p>
        </w:tc>
        <w:tc>
          <w:tcPr>
            <w:tcW w:w="1475" w:type="dxa"/>
            <w:tcBorders>
              <w:bottom w:val="single" w:sz="0" w:space="0" w:color="000000"/>
            </w:tcBorders>
          </w:tcPr>
          <w:p>
            <w:pPr>
              <w:pStyle w:val="TableParagraph"/>
              <w:spacing w:before="150"/>
              <w:ind w:right="168"/>
              <w:jc w:val="right"/>
              <w:rPr>
                <w:sz w:val="18"/>
              </w:rPr>
            </w:pPr>
            <w:r>
              <w:rPr>
                <w:w w:val="99"/>
                <w:sz w:val="18"/>
              </w:rPr>
              <w:t>-</w:t>
            </w:r>
          </w:p>
        </w:tc>
        <w:tc>
          <w:tcPr>
            <w:tcW w:w="1198" w:type="dxa"/>
            <w:tcBorders>
              <w:bottom w:val="single" w:sz="0" w:space="0" w:color="000000"/>
            </w:tcBorders>
          </w:tcPr>
          <w:p>
            <w:pPr>
              <w:pStyle w:val="TableParagraph"/>
              <w:spacing w:before="150"/>
              <w:ind w:right="142"/>
              <w:jc w:val="right"/>
              <w:rPr>
                <w:sz w:val="18"/>
              </w:rPr>
            </w:pPr>
            <w:r>
              <w:rPr>
                <w:w w:val="99"/>
                <w:sz w:val="18"/>
              </w:rPr>
              <w:t>-</w:t>
            </w:r>
          </w:p>
        </w:tc>
        <w:tc>
          <w:tcPr>
            <w:tcW w:w="1177" w:type="dxa"/>
            <w:tcBorders>
              <w:bottom w:val="single" w:sz="0" w:space="0" w:color="000000"/>
            </w:tcBorders>
          </w:tcPr>
          <w:p>
            <w:pPr>
              <w:pStyle w:val="TableParagraph"/>
              <w:spacing w:before="150"/>
              <w:ind w:right="93"/>
              <w:jc w:val="right"/>
              <w:rPr>
                <w:sz w:val="18"/>
              </w:rPr>
            </w:pPr>
            <w:r>
              <w:rPr>
                <w:w w:val="95"/>
                <w:sz w:val="18"/>
              </w:rPr>
              <w:t>20,040</w:t>
            </w:r>
          </w:p>
        </w:tc>
        <w:tc>
          <w:tcPr>
            <w:tcW w:w="1215" w:type="dxa"/>
            <w:tcBorders>
              <w:bottom w:val="single" w:sz="0" w:space="0" w:color="000000"/>
            </w:tcBorders>
          </w:tcPr>
          <w:p>
            <w:pPr>
              <w:pStyle w:val="TableParagraph"/>
              <w:spacing w:before="150"/>
              <w:ind w:right="84"/>
              <w:jc w:val="right"/>
              <w:rPr>
                <w:sz w:val="18"/>
              </w:rPr>
            </w:pPr>
            <w:r>
              <w:rPr>
                <w:w w:val="95"/>
                <w:sz w:val="18"/>
              </w:rPr>
              <w:t>20,040</w:t>
            </w:r>
          </w:p>
        </w:tc>
      </w:tr>
      <w:tr>
        <w:trPr>
          <w:trHeight w:val="485" w:hRule="exact"/>
        </w:trPr>
        <w:tc>
          <w:tcPr>
            <w:tcW w:w="4428" w:type="dxa"/>
          </w:tcPr>
          <w:p>
            <w:pPr>
              <w:pStyle w:val="TableParagraph"/>
              <w:spacing w:before="123"/>
              <w:ind w:left="35"/>
              <w:rPr>
                <w:b/>
                <w:sz w:val="18"/>
              </w:rPr>
            </w:pPr>
            <w:r>
              <w:rPr>
                <w:b/>
                <w:sz w:val="18"/>
              </w:rPr>
              <w:t>Other comprehensive income</w:t>
            </w:r>
          </w:p>
        </w:tc>
        <w:tc>
          <w:tcPr>
            <w:tcW w:w="1475" w:type="dxa"/>
            <w:tcBorders>
              <w:top w:val="single" w:sz="0" w:space="0" w:color="000000"/>
            </w:tcBorders>
          </w:tcPr>
          <w:p>
            <w:pPr>
              <w:pStyle w:val="TableParagraph"/>
              <w:spacing w:before="122"/>
              <w:ind w:right="168"/>
              <w:jc w:val="right"/>
              <w:rPr>
                <w:sz w:val="18"/>
              </w:rPr>
            </w:pPr>
            <w:r>
              <w:rPr>
                <w:w w:val="99"/>
                <w:sz w:val="18"/>
              </w:rPr>
              <w:t>-</w:t>
            </w:r>
          </w:p>
        </w:tc>
        <w:tc>
          <w:tcPr>
            <w:tcW w:w="1198" w:type="dxa"/>
            <w:tcBorders>
              <w:top w:val="single" w:sz="0" w:space="0" w:color="000000"/>
            </w:tcBorders>
          </w:tcPr>
          <w:p>
            <w:pPr>
              <w:pStyle w:val="TableParagraph"/>
              <w:spacing w:before="122"/>
              <w:ind w:right="142"/>
              <w:jc w:val="right"/>
              <w:rPr>
                <w:sz w:val="18"/>
              </w:rPr>
            </w:pPr>
            <w:r>
              <w:rPr>
                <w:w w:val="99"/>
                <w:sz w:val="18"/>
              </w:rPr>
              <w:t>-</w:t>
            </w:r>
          </w:p>
        </w:tc>
        <w:tc>
          <w:tcPr>
            <w:tcW w:w="1177" w:type="dxa"/>
            <w:tcBorders>
              <w:top w:val="single" w:sz="0" w:space="0" w:color="000000"/>
            </w:tcBorders>
          </w:tcPr>
          <w:p>
            <w:pPr>
              <w:pStyle w:val="TableParagraph"/>
              <w:spacing w:before="122"/>
              <w:ind w:right="93"/>
              <w:jc w:val="right"/>
              <w:rPr>
                <w:sz w:val="18"/>
              </w:rPr>
            </w:pPr>
            <w:r>
              <w:rPr>
                <w:w w:val="95"/>
                <w:sz w:val="18"/>
              </w:rPr>
              <w:t>20,040</w:t>
            </w:r>
          </w:p>
        </w:tc>
        <w:tc>
          <w:tcPr>
            <w:tcW w:w="1215" w:type="dxa"/>
            <w:tcBorders>
              <w:top w:val="single" w:sz="0" w:space="0" w:color="000000"/>
            </w:tcBorders>
          </w:tcPr>
          <w:p>
            <w:pPr>
              <w:pStyle w:val="TableParagraph"/>
              <w:spacing w:before="122"/>
              <w:ind w:right="84"/>
              <w:jc w:val="right"/>
              <w:rPr>
                <w:sz w:val="18"/>
              </w:rPr>
            </w:pPr>
            <w:r>
              <w:rPr>
                <w:w w:val="95"/>
                <w:sz w:val="18"/>
              </w:rPr>
              <w:t>20,040</w:t>
            </w:r>
          </w:p>
        </w:tc>
      </w:tr>
      <w:tr>
        <w:trPr>
          <w:trHeight w:val="380" w:hRule="exact"/>
        </w:trPr>
        <w:tc>
          <w:tcPr>
            <w:tcW w:w="4428" w:type="dxa"/>
          </w:tcPr>
          <w:p>
            <w:pPr>
              <w:pStyle w:val="TableParagraph"/>
              <w:spacing w:before="135"/>
              <w:ind w:left="35"/>
              <w:rPr>
                <w:sz w:val="18"/>
              </w:rPr>
            </w:pPr>
            <w:r>
              <w:rPr>
                <w:sz w:val="18"/>
              </w:rPr>
              <w:t>Surplus for the year</w:t>
            </w:r>
          </w:p>
        </w:tc>
        <w:tc>
          <w:tcPr>
            <w:tcW w:w="1475" w:type="dxa"/>
            <w:tcBorders>
              <w:bottom w:val="single" w:sz="0" w:space="0" w:color="000000"/>
            </w:tcBorders>
          </w:tcPr>
          <w:p>
            <w:pPr>
              <w:pStyle w:val="TableParagraph"/>
              <w:spacing w:before="136"/>
              <w:ind w:right="168"/>
              <w:jc w:val="right"/>
              <w:rPr>
                <w:sz w:val="18"/>
              </w:rPr>
            </w:pPr>
            <w:r>
              <w:rPr>
                <w:w w:val="99"/>
                <w:sz w:val="18"/>
              </w:rPr>
              <w:t>-</w:t>
            </w:r>
          </w:p>
        </w:tc>
        <w:tc>
          <w:tcPr>
            <w:tcW w:w="1198" w:type="dxa"/>
            <w:tcBorders>
              <w:bottom w:val="single" w:sz="0" w:space="0" w:color="000000"/>
            </w:tcBorders>
          </w:tcPr>
          <w:p>
            <w:pPr>
              <w:pStyle w:val="TableParagraph"/>
              <w:spacing w:before="136"/>
              <w:ind w:right="140"/>
              <w:jc w:val="right"/>
              <w:rPr>
                <w:sz w:val="18"/>
              </w:rPr>
            </w:pPr>
            <w:r>
              <w:rPr>
                <w:w w:val="95"/>
                <w:sz w:val="18"/>
              </w:rPr>
              <w:t>139,121</w:t>
            </w:r>
          </w:p>
        </w:tc>
        <w:tc>
          <w:tcPr>
            <w:tcW w:w="1177" w:type="dxa"/>
            <w:tcBorders>
              <w:bottom w:val="single" w:sz="0" w:space="0" w:color="000000"/>
            </w:tcBorders>
          </w:tcPr>
          <w:p>
            <w:pPr>
              <w:pStyle w:val="TableParagraph"/>
              <w:spacing w:before="136"/>
              <w:ind w:right="96"/>
              <w:jc w:val="right"/>
              <w:rPr>
                <w:sz w:val="18"/>
              </w:rPr>
            </w:pPr>
            <w:r>
              <w:rPr>
                <w:w w:val="99"/>
                <w:sz w:val="18"/>
              </w:rPr>
              <w:t>-</w:t>
            </w:r>
          </w:p>
        </w:tc>
        <w:tc>
          <w:tcPr>
            <w:tcW w:w="1215" w:type="dxa"/>
            <w:tcBorders>
              <w:bottom w:val="single" w:sz="0" w:space="0" w:color="000000"/>
            </w:tcBorders>
          </w:tcPr>
          <w:p>
            <w:pPr>
              <w:pStyle w:val="TableParagraph"/>
              <w:spacing w:before="136"/>
              <w:ind w:right="84"/>
              <w:jc w:val="right"/>
              <w:rPr>
                <w:sz w:val="18"/>
              </w:rPr>
            </w:pPr>
            <w:r>
              <w:rPr>
                <w:w w:val="95"/>
                <w:sz w:val="18"/>
              </w:rPr>
              <w:t>139,121</w:t>
            </w:r>
          </w:p>
        </w:tc>
      </w:tr>
      <w:tr>
        <w:trPr>
          <w:trHeight w:val="600" w:hRule="exact"/>
        </w:trPr>
        <w:tc>
          <w:tcPr>
            <w:tcW w:w="4428" w:type="dxa"/>
          </w:tcPr>
          <w:p>
            <w:pPr>
              <w:pStyle w:val="TableParagraph"/>
              <w:spacing w:before="123"/>
              <w:ind w:left="35"/>
              <w:rPr>
                <w:b/>
                <w:sz w:val="18"/>
              </w:rPr>
            </w:pPr>
            <w:r>
              <w:rPr>
                <w:b/>
                <w:sz w:val="18"/>
              </w:rPr>
              <w:t>Total comprehensive income for the year</w:t>
            </w:r>
          </w:p>
        </w:tc>
        <w:tc>
          <w:tcPr>
            <w:tcW w:w="1475" w:type="dxa"/>
            <w:tcBorders>
              <w:top w:val="single" w:sz="0" w:space="0" w:color="000000"/>
              <w:bottom w:val="single" w:sz="0" w:space="0" w:color="000000"/>
            </w:tcBorders>
          </w:tcPr>
          <w:p>
            <w:pPr>
              <w:pStyle w:val="TableParagraph"/>
              <w:spacing w:before="122"/>
              <w:ind w:right="168"/>
              <w:jc w:val="right"/>
              <w:rPr>
                <w:sz w:val="18"/>
              </w:rPr>
            </w:pPr>
            <w:r>
              <w:rPr>
                <w:w w:val="99"/>
                <w:sz w:val="18"/>
              </w:rPr>
              <w:t>-</w:t>
            </w:r>
          </w:p>
        </w:tc>
        <w:tc>
          <w:tcPr>
            <w:tcW w:w="1198" w:type="dxa"/>
            <w:tcBorders>
              <w:top w:val="single" w:sz="0" w:space="0" w:color="000000"/>
              <w:bottom w:val="single" w:sz="0" w:space="0" w:color="000000"/>
            </w:tcBorders>
          </w:tcPr>
          <w:p>
            <w:pPr>
              <w:pStyle w:val="TableParagraph"/>
              <w:spacing w:before="122"/>
              <w:ind w:right="140"/>
              <w:jc w:val="right"/>
              <w:rPr>
                <w:sz w:val="18"/>
              </w:rPr>
            </w:pPr>
            <w:r>
              <w:rPr>
                <w:w w:val="95"/>
                <w:sz w:val="18"/>
              </w:rPr>
              <w:t>139,121</w:t>
            </w:r>
          </w:p>
        </w:tc>
        <w:tc>
          <w:tcPr>
            <w:tcW w:w="1177" w:type="dxa"/>
            <w:tcBorders>
              <w:top w:val="single" w:sz="0" w:space="0" w:color="000000"/>
              <w:bottom w:val="single" w:sz="0" w:space="0" w:color="000000"/>
            </w:tcBorders>
          </w:tcPr>
          <w:p>
            <w:pPr>
              <w:pStyle w:val="TableParagraph"/>
              <w:spacing w:before="122"/>
              <w:ind w:right="97"/>
              <w:jc w:val="right"/>
              <w:rPr>
                <w:sz w:val="18"/>
              </w:rPr>
            </w:pPr>
            <w:r>
              <w:rPr>
                <w:w w:val="99"/>
                <w:sz w:val="18"/>
              </w:rPr>
              <w:t>-</w:t>
            </w:r>
          </w:p>
        </w:tc>
        <w:tc>
          <w:tcPr>
            <w:tcW w:w="1215" w:type="dxa"/>
            <w:tcBorders>
              <w:top w:val="single" w:sz="0" w:space="0" w:color="000000"/>
              <w:bottom w:val="single" w:sz="0" w:space="0" w:color="000000"/>
            </w:tcBorders>
          </w:tcPr>
          <w:p>
            <w:pPr>
              <w:pStyle w:val="TableParagraph"/>
              <w:spacing w:before="122"/>
              <w:ind w:right="84"/>
              <w:jc w:val="right"/>
              <w:rPr>
                <w:sz w:val="18"/>
              </w:rPr>
            </w:pPr>
            <w:r>
              <w:rPr>
                <w:w w:val="95"/>
                <w:sz w:val="18"/>
              </w:rPr>
              <w:t>139,121</w:t>
            </w:r>
          </w:p>
        </w:tc>
      </w:tr>
      <w:tr>
        <w:trPr>
          <w:trHeight w:val="344" w:hRule="exact"/>
        </w:trPr>
        <w:tc>
          <w:tcPr>
            <w:tcW w:w="4428" w:type="dxa"/>
          </w:tcPr>
          <w:p>
            <w:pPr>
              <w:pStyle w:val="TableParagraph"/>
              <w:spacing w:before="123"/>
              <w:ind w:left="35"/>
              <w:rPr>
                <w:b/>
                <w:sz w:val="18"/>
              </w:rPr>
            </w:pPr>
            <w:r>
              <w:rPr>
                <w:b/>
                <w:sz w:val="18"/>
              </w:rPr>
              <w:t>Balance at 31 December 2016</w:t>
            </w:r>
          </w:p>
        </w:tc>
        <w:tc>
          <w:tcPr>
            <w:tcW w:w="1475" w:type="dxa"/>
            <w:tcBorders>
              <w:top w:val="single" w:sz="0" w:space="0" w:color="000000"/>
              <w:bottom w:val="single" w:sz="0" w:space="0" w:color="000000"/>
            </w:tcBorders>
          </w:tcPr>
          <w:p>
            <w:pPr>
              <w:pStyle w:val="TableParagraph"/>
              <w:spacing w:before="122"/>
              <w:ind w:right="167"/>
              <w:jc w:val="right"/>
              <w:rPr>
                <w:sz w:val="18"/>
              </w:rPr>
            </w:pPr>
            <w:r>
              <w:rPr>
                <w:w w:val="99"/>
                <w:sz w:val="18"/>
              </w:rPr>
              <w:t>1</w:t>
            </w:r>
          </w:p>
        </w:tc>
        <w:tc>
          <w:tcPr>
            <w:tcW w:w="1198" w:type="dxa"/>
            <w:tcBorders>
              <w:top w:val="single" w:sz="0" w:space="0" w:color="000000"/>
              <w:bottom w:val="single" w:sz="0" w:space="0" w:color="000000"/>
            </w:tcBorders>
          </w:tcPr>
          <w:p>
            <w:pPr>
              <w:pStyle w:val="TableParagraph"/>
              <w:spacing w:before="122"/>
              <w:ind w:right="140"/>
              <w:jc w:val="right"/>
              <w:rPr>
                <w:sz w:val="18"/>
              </w:rPr>
            </w:pPr>
            <w:r>
              <w:rPr>
                <w:w w:val="95"/>
                <w:sz w:val="18"/>
              </w:rPr>
              <w:t>1,214,116</w:t>
            </w:r>
          </w:p>
        </w:tc>
        <w:tc>
          <w:tcPr>
            <w:tcW w:w="1177" w:type="dxa"/>
            <w:tcBorders>
              <w:top w:val="single" w:sz="0" w:space="0" w:color="000000"/>
              <w:bottom w:val="single" w:sz="0" w:space="0" w:color="000000"/>
            </w:tcBorders>
          </w:tcPr>
          <w:p>
            <w:pPr>
              <w:pStyle w:val="TableParagraph"/>
              <w:spacing w:before="122"/>
              <w:ind w:right="93"/>
              <w:jc w:val="right"/>
              <w:rPr>
                <w:sz w:val="18"/>
              </w:rPr>
            </w:pPr>
            <w:r>
              <w:rPr>
                <w:w w:val="95"/>
                <w:sz w:val="18"/>
              </w:rPr>
              <w:t>195,247</w:t>
            </w:r>
          </w:p>
        </w:tc>
        <w:tc>
          <w:tcPr>
            <w:tcW w:w="1215" w:type="dxa"/>
            <w:tcBorders>
              <w:top w:val="single" w:sz="0" w:space="0" w:color="000000"/>
              <w:bottom w:val="single" w:sz="0" w:space="0" w:color="000000"/>
            </w:tcBorders>
          </w:tcPr>
          <w:p>
            <w:pPr>
              <w:pStyle w:val="TableParagraph"/>
              <w:spacing w:before="122"/>
              <w:ind w:right="84"/>
              <w:jc w:val="right"/>
              <w:rPr>
                <w:sz w:val="18"/>
              </w:rPr>
            </w:pPr>
            <w:r>
              <w:rPr>
                <w:w w:val="95"/>
                <w:sz w:val="18"/>
              </w:rPr>
              <w:t>1,409,364</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1"/>
        </w:rPr>
      </w:pPr>
    </w:p>
    <w:p>
      <w:pPr>
        <w:pStyle w:val="BodyText"/>
        <w:ind w:left="147" w:right="3099"/>
      </w:pPr>
      <w:r>
        <w:rPr/>
        <w:t>The accompanying notes form part of these financial statements.</w:t>
      </w:r>
    </w:p>
    <w:p>
      <w:pPr>
        <w:spacing w:after="0"/>
        <w:sectPr>
          <w:headerReference w:type="default" r:id="rId158"/>
          <w:footerReference w:type="default" r:id="rId159"/>
          <w:pgSz w:w="11910" w:h="16840"/>
          <w:pgMar w:header="0" w:footer="507" w:top="960" w:bottom="700" w:left="860" w:right="1260"/>
          <w:pgNumType w:start="224"/>
        </w:sectPr>
      </w:pPr>
    </w:p>
    <w:p>
      <w:pPr>
        <w:pStyle w:val="Heading6"/>
        <w:spacing w:line="292" w:lineRule="auto" w:before="49"/>
        <w:ind w:left="107" w:right="3499"/>
      </w:pPr>
      <w:r>
        <w:rPr/>
        <w:t>Whitlam Institute Within Western Sydney University Trust ABN: 42 247 216 279</w:t>
      </w:r>
    </w:p>
    <w:p>
      <w:pPr>
        <w:pStyle w:val="BodyText"/>
        <w:spacing w:before="8"/>
        <w:rPr>
          <w:b/>
          <w:sz w:val="24"/>
        </w:rPr>
      </w:pPr>
    </w:p>
    <w:p>
      <w:pPr>
        <w:spacing w:before="0"/>
        <w:ind w:left="107" w:right="161" w:firstLine="0"/>
        <w:jc w:val="left"/>
        <w:rPr>
          <w:b/>
          <w:sz w:val="28"/>
        </w:rPr>
      </w:pPr>
      <w:r>
        <w:rPr>
          <w:b/>
          <w:sz w:val="28"/>
        </w:rPr>
        <w:t>Statement of cash flows</w:t>
      </w:r>
    </w:p>
    <w:p>
      <w:pPr>
        <w:spacing w:before="57"/>
        <w:ind w:left="107" w:right="161" w:firstLine="0"/>
        <w:jc w:val="left"/>
        <w:rPr>
          <w:b/>
          <w:sz w:val="22"/>
        </w:rPr>
      </w:pPr>
      <w:r>
        <w:rPr>
          <w:b/>
          <w:sz w:val="22"/>
        </w:rPr>
        <w:t>For the Year Ended 31 December 2017</w:t>
      </w:r>
    </w:p>
    <w:p>
      <w:pPr>
        <w:pStyle w:val="BodyText"/>
        <w:spacing w:before="1"/>
        <w:rPr>
          <w:b/>
          <w:sz w:val="29"/>
        </w:rPr>
      </w:pPr>
    </w:p>
    <w:p>
      <w:pPr>
        <w:spacing w:after="0"/>
        <w:rPr>
          <w:sz w:val="29"/>
        </w:rPr>
        <w:sectPr>
          <w:headerReference w:type="default" r:id="rId160"/>
          <w:footerReference w:type="default" r:id="rId161"/>
          <w:pgSz w:w="11910" w:h="16840"/>
          <w:pgMar w:header="0" w:footer="507" w:top="960" w:bottom="700" w:left="900" w:right="860"/>
          <w:pgNumType w:start="225"/>
        </w:sectPr>
      </w:pPr>
    </w:p>
    <w:p>
      <w:pPr>
        <w:pStyle w:val="BodyText"/>
        <w:rPr>
          <w:b/>
        </w:rPr>
      </w:pPr>
    </w:p>
    <w:p>
      <w:pPr>
        <w:pStyle w:val="Heading9"/>
        <w:spacing w:before="144"/>
        <w:jc w:val="right"/>
      </w:pPr>
      <w:r>
        <w:rPr>
          <w:w w:val="95"/>
        </w:rPr>
        <w:t>Notes</w:t>
      </w:r>
    </w:p>
    <w:p>
      <w:pPr>
        <w:spacing w:before="77"/>
        <w:ind w:left="424" w:right="0" w:firstLine="0"/>
        <w:jc w:val="center"/>
        <w:rPr>
          <w:b/>
          <w:sz w:val="18"/>
        </w:rPr>
      </w:pPr>
      <w:r>
        <w:rPr/>
        <w:br w:type="column"/>
      </w:r>
      <w:r>
        <w:rPr>
          <w:b/>
          <w:sz w:val="18"/>
        </w:rPr>
        <w:t>2017</w:t>
      </w:r>
    </w:p>
    <w:p>
      <w:pPr>
        <w:spacing w:before="66"/>
        <w:ind w:left="0" w:right="148" w:firstLine="0"/>
        <w:jc w:val="right"/>
        <w:rPr>
          <w:b/>
          <w:sz w:val="18"/>
        </w:rPr>
      </w:pPr>
      <w:r>
        <w:rPr>
          <w:b/>
          <w:w w:val="99"/>
          <w:sz w:val="18"/>
        </w:rPr>
        <w:t>$</w:t>
      </w:r>
    </w:p>
    <w:p>
      <w:pPr>
        <w:spacing w:before="77"/>
        <w:ind w:left="838" w:right="564" w:firstLine="0"/>
        <w:jc w:val="center"/>
        <w:rPr>
          <w:b/>
          <w:sz w:val="18"/>
        </w:rPr>
      </w:pPr>
      <w:r>
        <w:rPr/>
        <w:br w:type="column"/>
      </w:r>
      <w:r>
        <w:rPr>
          <w:b/>
          <w:sz w:val="18"/>
        </w:rPr>
        <w:t>2016</w:t>
      </w:r>
    </w:p>
    <w:p>
      <w:pPr>
        <w:spacing w:before="66"/>
        <w:ind w:left="274" w:right="0" w:firstLine="0"/>
        <w:jc w:val="center"/>
        <w:rPr>
          <w:b/>
          <w:sz w:val="18"/>
        </w:rPr>
      </w:pPr>
      <w:r>
        <w:rPr>
          <w:b/>
          <w:w w:val="99"/>
          <w:sz w:val="18"/>
        </w:rPr>
        <w:t>$</w:t>
      </w:r>
    </w:p>
    <w:p>
      <w:pPr>
        <w:spacing w:after="0"/>
        <w:jc w:val="center"/>
        <w:rPr>
          <w:sz w:val="18"/>
        </w:rPr>
        <w:sectPr>
          <w:type w:val="continuous"/>
          <w:pgSz w:w="11910" w:h="16840"/>
          <w:pgMar w:top="1580" w:bottom="280" w:left="900" w:right="860"/>
          <w:cols w:num="3" w:equalWidth="0">
            <w:col w:w="7401" w:space="40"/>
            <w:col w:w="826" w:space="40"/>
            <w:col w:w="1843"/>
          </w:cols>
        </w:sectPr>
      </w:pPr>
    </w:p>
    <w:p>
      <w:pPr>
        <w:pStyle w:val="BodyText"/>
        <w:spacing w:before="3"/>
        <w:rPr>
          <w:b/>
          <w:sz w:val="15"/>
        </w:rPr>
      </w:pPr>
    </w:p>
    <w:p>
      <w:pPr>
        <w:spacing w:before="0"/>
        <w:ind w:left="151" w:right="161" w:firstLine="0"/>
        <w:jc w:val="left"/>
        <w:rPr>
          <w:b/>
          <w:sz w:val="18"/>
        </w:rPr>
      </w:pPr>
      <w:r>
        <w:rPr>
          <w:b/>
          <w:sz w:val="18"/>
        </w:rPr>
        <w:t>Cash flows from operating activities</w:t>
      </w:r>
    </w:p>
    <w:p>
      <w:pPr>
        <w:tabs>
          <w:tab w:pos="7990" w:val="left" w:leader="none"/>
          <w:tab w:pos="9287" w:val="left" w:leader="none"/>
        </w:tabs>
        <w:spacing w:before="28"/>
        <w:ind w:left="151" w:right="161" w:firstLine="0"/>
        <w:jc w:val="left"/>
        <w:rPr>
          <w:sz w:val="18"/>
        </w:rPr>
      </w:pPr>
      <w:r>
        <w:rPr>
          <w:sz w:val="18"/>
        </w:rPr>
        <w:t>Receipts</w:t>
      </w:r>
      <w:r>
        <w:rPr>
          <w:spacing w:val="-1"/>
          <w:sz w:val="18"/>
        </w:rPr>
        <w:t> </w:t>
      </w:r>
      <w:r>
        <w:rPr>
          <w:sz w:val="18"/>
        </w:rPr>
        <w:t>from</w:t>
      </w:r>
      <w:r>
        <w:rPr>
          <w:spacing w:val="-1"/>
          <w:sz w:val="18"/>
        </w:rPr>
        <w:t> </w:t>
      </w:r>
      <w:r>
        <w:rPr>
          <w:sz w:val="18"/>
        </w:rPr>
        <w:t>customers</w:t>
        <w:tab/>
      </w:r>
      <w:r>
        <w:rPr>
          <w:b/>
          <w:sz w:val="18"/>
        </w:rPr>
        <w:t>168,357</w:t>
        <w:tab/>
      </w:r>
      <w:r>
        <w:rPr>
          <w:sz w:val="18"/>
        </w:rPr>
        <w:t>150,125</w:t>
      </w:r>
    </w:p>
    <w:p>
      <w:pPr>
        <w:pStyle w:val="BodyText"/>
        <w:tabs>
          <w:tab w:pos="8189" w:val="left" w:leader="none"/>
          <w:tab w:pos="9327" w:val="left" w:leader="none"/>
        </w:tabs>
        <w:spacing w:before="57"/>
        <w:ind w:left="151" w:right="94"/>
      </w:pPr>
      <w:r>
        <w:rPr/>
        <w:t>Payments to suppliers</w:t>
      </w:r>
      <w:r>
        <w:rPr>
          <w:spacing w:val="-1"/>
        </w:rPr>
        <w:t> </w:t>
      </w:r>
      <w:r>
        <w:rPr/>
        <w:t>and</w:t>
      </w:r>
      <w:r>
        <w:rPr>
          <w:spacing w:val="-1"/>
        </w:rPr>
        <w:t> </w:t>
      </w:r>
      <w:r>
        <w:rPr/>
        <w:t>employees</w:t>
        <w:tab/>
      </w:r>
      <w:r>
        <w:rPr>
          <w:b/>
        </w:rPr>
        <w:t>6,751</w:t>
        <w:tab/>
      </w:r>
      <w:r>
        <w:rPr/>
        <w:t>(57,258)</w:t>
      </w:r>
    </w:p>
    <w:p>
      <w:pPr>
        <w:tabs>
          <w:tab w:pos="8090" w:val="left" w:leader="none"/>
          <w:tab w:pos="9387" w:val="left" w:leader="none"/>
        </w:tabs>
        <w:spacing w:before="57"/>
        <w:ind w:left="151" w:right="161" w:firstLine="0"/>
        <w:jc w:val="left"/>
        <w:rPr>
          <w:sz w:val="18"/>
        </w:rPr>
      </w:pPr>
      <w:r>
        <w:rPr/>
        <w:pict>
          <v:group style="position:absolute;margin-left:416.470001pt;margin-top:14.533194pt;width:129.85pt;height:1.55pt;mso-position-horizontal-relative:page;mso-position-vertical-relative:paragraph;z-index:4960;mso-wrap-distance-left:0;mso-wrap-distance-right:0" coordorigin="8329,291" coordsize="2597,31">
            <v:line style="position:absolute" from="8330,292" to="9628,292" stroked="true" strokeweight=".06pt" strokecolor="#000000"/>
            <v:line style="position:absolute" from="8330,293" to="9628,293" stroked="true" strokeweight=".06pt" strokecolor="#000000"/>
            <v:line style="position:absolute" from="8330,294" to="9628,294" stroked="true" strokeweight=".06pt" strokecolor="#000000"/>
            <v:line style="position:absolute" from="8330,295" to="9628,295" stroked="true" strokeweight=".06pt" strokecolor="#000000"/>
            <v:line style="position:absolute" from="8330,296" to="9628,296" stroked="true" strokeweight=".06pt" strokecolor="#000000"/>
            <v:line style="position:absolute" from="8330,298" to="9628,298" stroked="true" strokeweight=".06pt" strokecolor="#000000"/>
            <v:line style="position:absolute" from="8330,299" to="9628,299" stroked="true" strokeweight=".06pt" strokecolor="#000000"/>
            <v:line style="position:absolute" from="8330,300" to="9628,300" stroked="true" strokeweight=".06pt" strokecolor="#000000"/>
            <v:line style="position:absolute" from="8330,301" to="9628,301" stroked="true" strokeweight=".06pt" strokecolor="#000000"/>
            <v:line style="position:absolute" from="8330,302" to="9628,302" stroked="true" strokeweight=".06pt" strokecolor="#000000"/>
            <v:line style="position:absolute" from="8330,304" to="9628,304" stroked="true" strokeweight=".06pt" strokecolor="#000000"/>
            <v:line style="position:absolute" from="8330,305" to="9628,305" stroked="true" strokeweight=".06pt" strokecolor="#000000"/>
            <v:line style="position:absolute" from="8330,306" to="9628,306" stroked="true" strokeweight=".06pt" strokecolor="#000000"/>
            <v:line style="position:absolute" from="8330,307" to="9628,307" stroked="true" strokeweight=".06pt" strokecolor="#000000"/>
            <v:line style="position:absolute" from="8330,308" to="9628,308" stroked="true" strokeweight=".06pt" strokecolor="#000000"/>
            <v:line style="position:absolute" from="8330,310" to="9628,310" stroked="true" strokeweight=".06pt" strokecolor="#000000"/>
            <v:line style="position:absolute" from="8330,311" to="9628,311" stroked="true" strokeweight=".06pt" strokecolor="#000000"/>
            <v:line style="position:absolute" from="8330,312" to="9628,312" stroked="true" strokeweight=".06pt" strokecolor="#000000"/>
            <v:line style="position:absolute" from="8330,313" to="9628,313" stroked="true" strokeweight=".06pt" strokecolor="#000000"/>
            <v:line style="position:absolute" from="8330,314" to="9628,314" stroked="true" strokeweight=".06pt" strokecolor="#000000"/>
            <v:line style="position:absolute" from="8330,316" to="9628,316" stroked="true" strokeweight=".06pt" strokecolor="#000000"/>
            <v:line style="position:absolute" from="8330,317" to="9628,317" stroked="true" strokeweight=".06pt" strokecolor="#000000"/>
            <v:line style="position:absolute" from="8330,318" to="9628,318" stroked="true" strokeweight=".06pt" strokecolor="#000000"/>
            <v:line style="position:absolute" from="8330,319" to="9628,319" stroked="true" strokeweight=".06pt" strokecolor="#000000"/>
            <v:line style="position:absolute" from="8330,320" to="9628,320" stroked="true" strokeweight=".06pt" strokecolor="#000000"/>
            <v:line style="position:absolute" from="9628,292" to="10925,292" stroked="true" strokeweight=".06pt" strokecolor="#000000"/>
            <v:line style="position:absolute" from="9628,293" to="10925,293" stroked="true" strokeweight=".06pt" strokecolor="#000000"/>
            <v:line style="position:absolute" from="9628,294" to="10925,294" stroked="true" strokeweight=".06pt" strokecolor="#000000"/>
            <v:line style="position:absolute" from="9628,295" to="10925,295" stroked="true" strokeweight=".06pt" strokecolor="#000000"/>
            <v:line style="position:absolute" from="9628,296" to="10925,296" stroked="true" strokeweight=".06pt" strokecolor="#000000"/>
            <v:line style="position:absolute" from="9628,298" to="10925,298" stroked="true" strokeweight=".06pt" strokecolor="#000000"/>
            <v:line style="position:absolute" from="9628,299" to="10925,299" stroked="true" strokeweight=".06pt" strokecolor="#000000"/>
            <v:line style="position:absolute" from="9628,300" to="10925,300" stroked="true" strokeweight=".06pt" strokecolor="#000000"/>
            <v:line style="position:absolute" from="9628,301" to="10925,301" stroked="true" strokeweight=".06pt" strokecolor="#000000"/>
            <v:line style="position:absolute" from="9628,302" to="10925,302" stroked="true" strokeweight=".06pt" strokecolor="#000000"/>
            <v:line style="position:absolute" from="9628,304" to="10925,304" stroked="true" strokeweight=".06pt" strokecolor="#000000"/>
            <v:line style="position:absolute" from="9628,305" to="10925,305" stroked="true" strokeweight=".06pt" strokecolor="#000000"/>
            <v:line style="position:absolute" from="9628,306" to="10925,306" stroked="true" strokeweight=".06pt" strokecolor="#000000"/>
            <v:line style="position:absolute" from="9628,307" to="10925,307" stroked="true" strokeweight=".06pt" strokecolor="#000000"/>
            <v:line style="position:absolute" from="9628,308" to="10925,308" stroked="true" strokeweight=".06pt" strokecolor="#000000"/>
            <v:line style="position:absolute" from="9628,310" to="10925,310" stroked="true" strokeweight=".06pt" strokecolor="#000000"/>
            <v:line style="position:absolute" from="9628,311" to="10925,311" stroked="true" strokeweight=".06pt" strokecolor="#000000"/>
            <v:line style="position:absolute" from="9628,312" to="10925,312" stroked="true" strokeweight=".06pt" strokecolor="#000000"/>
            <v:line style="position:absolute" from="9628,313" to="10925,313" stroked="true" strokeweight=".06pt" strokecolor="#000000"/>
            <v:line style="position:absolute" from="9628,314" to="10925,314" stroked="true" strokeweight=".06pt" strokecolor="#000000"/>
            <v:line style="position:absolute" from="9628,316" to="10925,316" stroked="true" strokeweight=".06pt" strokecolor="#000000"/>
            <v:line style="position:absolute" from="9628,317" to="10925,317" stroked="true" strokeweight=".06pt" strokecolor="#000000"/>
            <v:line style="position:absolute" from="9628,318" to="10925,318" stroked="true" strokeweight=".06pt" strokecolor="#000000"/>
            <v:line style="position:absolute" from="9628,319" to="10925,319" stroked="true" strokeweight=".06pt" strokecolor="#000000"/>
            <v:line style="position:absolute" from="9628,320" to="10925,320" stroked="true" strokeweight=".06pt" strokecolor="#000000"/>
            <w10:wrap type="topAndBottom"/>
          </v:group>
        </w:pict>
      </w:r>
      <w:r>
        <w:rPr>
          <w:sz w:val="18"/>
        </w:rPr>
        <w:t>Investment</w:t>
      </w:r>
      <w:r>
        <w:rPr>
          <w:spacing w:val="-1"/>
          <w:sz w:val="18"/>
        </w:rPr>
        <w:t> </w:t>
      </w:r>
      <w:r>
        <w:rPr>
          <w:sz w:val="18"/>
        </w:rPr>
        <w:t>income</w:t>
        <w:tab/>
      </w:r>
      <w:r>
        <w:rPr>
          <w:b/>
          <w:sz w:val="18"/>
        </w:rPr>
        <w:t>15,856</w:t>
        <w:tab/>
      </w:r>
      <w:r>
        <w:rPr>
          <w:sz w:val="18"/>
        </w:rPr>
        <w:t>10,379</w:t>
      </w:r>
    </w:p>
    <w:p>
      <w:pPr>
        <w:pStyle w:val="Heading9"/>
        <w:tabs>
          <w:tab w:pos="7050" w:val="left" w:leader="none"/>
          <w:tab w:pos="7990" w:val="left" w:leader="none"/>
          <w:tab w:pos="9287" w:val="left" w:leader="none"/>
        </w:tabs>
        <w:spacing w:after="3"/>
        <w:ind w:left="151" w:right="161"/>
        <w:rPr>
          <w:b w:val="0"/>
        </w:rPr>
      </w:pPr>
      <w:r>
        <w:rPr/>
        <w:t>Net cash provided by</w:t>
      </w:r>
      <w:r>
        <w:rPr>
          <w:spacing w:val="-1"/>
        </w:rPr>
        <w:t> </w:t>
      </w:r>
      <w:r>
        <w:rPr/>
        <w:t>operating activities</w:t>
        <w:tab/>
      </w:r>
      <w:r>
        <w:rPr>
          <w:b w:val="0"/>
          <w:position w:val="-5"/>
        </w:rPr>
        <w:t>16</w:t>
        <w:tab/>
      </w:r>
      <w:r>
        <w:rPr>
          <w:position w:val="-7"/>
        </w:rPr>
        <w:t>190,964</w:t>
        <w:tab/>
      </w:r>
      <w:r>
        <w:rPr>
          <w:b w:val="0"/>
          <w:position w:val="-7"/>
        </w:rPr>
        <w:t>103,246</w:t>
      </w:r>
    </w:p>
    <w:p>
      <w:pPr>
        <w:pStyle w:val="BodyText"/>
        <w:spacing w:line="30" w:lineRule="exact"/>
        <w:ind w:left="742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pStyle w:val="BodyText"/>
        <w:spacing w:before="10"/>
        <w:rPr>
          <w:sz w:val="28"/>
        </w:rPr>
      </w:pPr>
    </w:p>
    <w:p>
      <w:pPr>
        <w:spacing w:before="77"/>
        <w:ind w:left="152" w:right="161" w:firstLine="0"/>
        <w:jc w:val="left"/>
        <w:rPr>
          <w:b/>
          <w:sz w:val="18"/>
        </w:rPr>
      </w:pPr>
      <w:r>
        <w:rPr>
          <w:b/>
          <w:sz w:val="18"/>
        </w:rPr>
        <w:t>Cash flows from investing activities</w:t>
      </w:r>
    </w:p>
    <w:p>
      <w:pPr>
        <w:pStyle w:val="BodyText"/>
        <w:spacing w:line="30" w:lineRule="exact"/>
        <w:ind w:left="742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tabs>
          <w:tab w:pos="8578" w:val="left" w:leader="none"/>
          <w:tab w:pos="9875" w:val="left" w:leader="none"/>
        </w:tabs>
        <w:spacing w:before="27"/>
        <w:ind w:left="152" w:right="161" w:firstLine="0"/>
        <w:jc w:val="left"/>
        <w:rPr>
          <w:sz w:val="18"/>
        </w:rPr>
      </w:pPr>
      <w:r>
        <w:rPr>
          <w:b/>
          <w:sz w:val="18"/>
        </w:rPr>
        <w:t>Net cash provided by</w:t>
      </w:r>
      <w:r>
        <w:rPr>
          <w:b/>
          <w:spacing w:val="-1"/>
          <w:sz w:val="18"/>
        </w:rPr>
        <w:t> </w:t>
      </w:r>
      <w:r>
        <w:rPr>
          <w:b/>
          <w:sz w:val="18"/>
        </w:rPr>
        <w:t>investing activities</w:t>
        <w:tab/>
      </w:r>
      <w:r>
        <w:rPr>
          <w:b/>
          <w:position w:val="-8"/>
          <w:sz w:val="18"/>
        </w:rPr>
        <w:t>-</w:t>
        <w:tab/>
      </w:r>
      <w:r>
        <w:rPr>
          <w:position w:val="-8"/>
          <w:sz w:val="18"/>
        </w:rPr>
        <w:t>-</w:t>
      </w:r>
    </w:p>
    <w:p>
      <w:pPr>
        <w:pStyle w:val="BodyText"/>
        <w:spacing w:line="30" w:lineRule="exact"/>
        <w:ind w:left="742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pStyle w:val="BodyText"/>
        <w:spacing w:before="3"/>
        <w:rPr>
          <w:sz w:val="28"/>
        </w:rPr>
      </w:pPr>
    </w:p>
    <w:p>
      <w:pPr>
        <w:spacing w:before="77"/>
        <w:ind w:left="152" w:right="161" w:firstLine="0"/>
        <w:jc w:val="left"/>
        <w:rPr>
          <w:b/>
          <w:sz w:val="18"/>
        </w:rPr>
      </w:pPr>
      <w:r>
        <w:rPr>
          <w:b/>
          <w:sz w:val="18"/>
        </w:rPr>
        <w:t>Cash flows from financing activities</w:t>
      </w:r>
    </w:p>
    <w:p>
      <w:pPr>
        <w:pStyle w:val="BodyText"/>
        <w:spacing w:line="30" w:lineRule="exact"/>
        <w:ind w:left="742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tabs>
          <w:tab w:pos="8578" w:val="left" w:leader="none"/>
          <w:tab w:pos="9875" w:val="left" w:leader="none"/>
        </w:tabs>
        <w:spacing w:before="27"/>
        <w:ind w:left="152" w:right="161" w:firstLine="0"/>
        <w:jc w:val="left"/>
        <w:rPr>
          <w:sz w:val="18"/>
        </w:rPr>
      </w:pPr>
      <w:r>
        <w:rPr>
          <w:b/>
          <w:sz w:val="18"/>
        </w:rPr>
        <w:t>Net cash provided by financing activities</w:t>
        <w:tab/>
      </w:r>
      <w:r>
        <w:rPr>
          <w:b/>
          <w:position w:val="-8"/>
          <w:sz w:val="18"/>
        </w:rPr>
        <w:t>-</w:t>
        <w:tab/>
      </w:r>
      <w:r>
        <w:rPr>
          <w:position w:val="-8"/>
          <w:sz w:val="18"/>
        </w:rPr>
        <w:t>-</w:t>
      </w:r>
    </w:p>
    <w:p>
      <w:pPr>
        <w:pStyle w:val="BodyText"/>
        <w:spacing w:line="30" w:lineRule="exact"/>
        <w:ind w:left="742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pStyle w:val="BodyText"/>
        <w:spacing w:before="10"/>
        <w:rPr>
          <w:sz w:val="20"/>
        </w:rPr>
      </w:pPr>
    </w:p>
    <w:p>
      <w:pPr>
        <w:tabs>
          <w:tab w:pos="7990" w:val="left" w:leader="none"/>
          <w:tab w:pos="9288" w:val="left" w:leader="none"/>
        </w:tabs>
        <w:spacing w:before="78"/>
        <w:ind w:left="152" w:right="161" w:firstLine="0"/>
        <w:jc w:val="left"/>
        <w:rPr>
          <w:sz w:val="18"/>
        </w:rPr>
      </w:pPr>
      <w:r>
        <w:rPr>
          <w:b/>
          <w:sz w:val="18"/>
        </w:rPr>
        <w:t>Net increase/(decrease) in cash and</w:t>
      </w:r>
      <w:r>
        <w:rPr>
          <w:b/>
          <w:spacing w:val="-1"/>
          <w:sz w:val="18"/>
        </w:rPr>
        <w:t> </w:t>
      </w:r>
      <w:r>
        <w:rPr>
          <w:b/>
          <w:sz w:val="18"/>
        </w:rPr>
        <w:t>cash</w:t>
      </w:r>
      <w:r>
        <w:rPr>
          <w:b/>
          <w:spacing w:val="-1"/>
          <w:sz w:val="18"/>
        </w:rPr>
        <w:t> </w:t>
      </w:r>
      <w:r>
        <w:rPr>
          <w:b/>
          <w:sz w:val="18"/>
        </w:rPr>
        <w:t>equivalents</w:t>
        <w:tab/>
        <w:t>190,964</w:t>
        <w:tab/>
      </w:r>
      <w:r>
        <w:rPr>
          <w:sz w:val="18"/>
        </w:rPr>
        <w:t>103,246</w:t>
      </w:r>
    </w:p>
    <w:p>
      <w:pPr>
        <w:pStyle w:val="BodyText"/>
        <w:tabs>
          <w:tab w:pos="7990" w:val="left" w:leader="none"/>
          <w:tab w:pos="9287" w:val="left" w:leader="none"/>
        </w:tabs>
        <w:spacing w:before="57"/>
        <w:ind w:left="152" w:right="161"/>
      </w:pPr>
      <w:r>
        <w:rPr/>
        <w:pict>
          <v:group style="position:absolute;margin-left:416.470001pt;margin-top:14.542185pt;width:129.85pt;height:1.55pt;mso-position-horizontal-relative:page;mso-position-vertical-relative:paragraph;z-index:5104;mso-wrap-distance-left:0;mso-wrap-distance-right:0" coordorigin="8329,291" coordsize="2597,31">
            <v:line style="position:absolute" from="8330,292" to="9628,292" stroked="true" strokeweight=".06pt" strokecolor="#000000"/>
            <v:line style="position:absolute" from="8330,293" to="9628,293" stroked="true" strokeweight=".06pt" strokecolor="#000000"/>
            <v:line style="position:absolute" from="8330,294" to="9628,294" stroked="true" strokeweight=".06pt" strokecolor="#000000"/>
            <v:line style="position:absolute" from="8330,295" to="9628,295" stroked="true" strokeweight=".06pt" strokecolor="#000000"/>
            <v:line style="position:absolute" from="8330,297" to="9628,297" stroked="true" strokeweight=".06pt" strokecolor="#000000"/>
            <v:line style="position:absolute" from="8330,298" to="9628,298" stroked="true" strokeweight=".06pt" strokecolor="#000000"/>
            <v:line style="position:absolute" from="8330,299" to="9628,299" stroked="true" strokeweight=".06pt" strokecolor="#000000"/>
            <v:line style="position:absolute" from="8330,300" to="9628,300" stroked="true" strokeweight=".06pt" strokecolor="#000000"/>
            <v:line style="position:absolute" from="8330,301" to="9628,301" stroked="true" strokeweight=".06pt" strokecolor="#000000"/>
            <v:line style="position:absolute" from="8330,303" to="9628,303" stroked="true" strokeweight=".06pt" strokecolor="#000000"/>
            <v:line style="position:absolute" from="8330,304" to="9628,304" stroked="true" strokeweight=".06pt" strokecolor="#000000"/>
            <v:line style="position:absolute" from="8330,305" to="9628,305" stroked="true" strokeweight=".06pt" strokecolor="#000000"/>
            <v:line style="position:absolute" from="8330,306" to="9628,306" stroked="true" strokeweight=".06pt" strokecolor="#000000"/>
            <v:line style="position:absolute" from="8330,307" to="9628,307" stroked="true" strokeweight=".06pt" strokecolor="#000000"/>
            <v:line style="position:absolute" from="8330,309" to="9628,309" stroked="true" strokeweight=".06pt" strokecolor="#000000"/>
            <v:line style="position:absolute" from="8330,310" to="9628,310" stroked="true" strokeweight=".06pt" strokecolor="#000000"/>
            <v:line style="position:absolute" from="8330,311" to="9628,311" stroked="true" strokeweight=".06pt" strokecolor="#000000"/>
            <v:line style="position:absolute" from="8330,312" to="9628,312" stroked="true" strokeweight=".06pt" strokecolor="#000000"/>
            <v:line style="position:absolute" from="8330,313" to="9628,313" stroked="true" strokeweight=".06pt" strokecolor="#000000"/>
            <v:line style="position:absolute" from="8330,315" to="9628,315" stroked="true" strokeweight=".06pt" strokecolor="#000000"/>
            <v:line style="position:absolute" from="8330,316" to="9628,316" stroked="true" strokeweight=".06pt" strokecolor="#000000"/>
            <v:line style="position:absolute" from="8330,317" to="9628,317" stroked="true" strokeweight=".06pt" strokecolor="#000000"/>
            <v:line style="position:absolute" from="8330,318" to="9628,318" stroked="true" strokeweight=".06pt" strokecolor="#000000"/>
            <v:line style="position:absolute" from="8330,319" to="9628,319" stroked="true" strokeweight=".06pt" strokecolor="#000000"/>
            <v:line style="position:absolute" from="8330,321" to="9628,321" stroked="true" strokeweight=".06pt" strokecolor="#000000"/>
            <v:line style="position:absolute" from="9628,292" to="10925,292" stroked="true" strokeweight=".06pt" strokecolor="#000000"/>
            <v:line style="position:absolute" from="9628,293" to="10925,293" stroked="true" strokeweight=".06pt" strokecolor="#000000"/>
            <v:line style="position:absolute" from="9628,294" to="10925,294" stroked="true" strokeweight=".06pt" strokecolor="#000000"/>
            <v:line style="position:absolute" from="9628,295" to="10925,295" stroked="true" strokeweight=".06pt" strokecolor="#000000"/>
            <v:line style="position:absolute" from="9628,297" to="10925,297" stroked="true" strokeweight=".06pt" strokecolor="#000000"/>
            <v:line style="position:absolute" from="9628,298" to="10925,298" stroked="true" strokeweight=".06pt" strokecolor="#000000"/>
            <v:line style="position:absolute" from="9628,299" to="10925,299" stroked="true" strokeweight=".06pt" strokecolor="#000000"/>
            <v:line style="position:absolute" from="9628,300" to="10925,300" stroked="true" strokeweight=".06pt" strokecolor="#000000"/>
            <v:line style="position:absolute" from="9628,301" to="10925,301" stroked="true" strokeweight=".06pt" strokecolor="#000000"/>
            <v:line style="position:absolute" from="9628,303" to="10925,303" stroked="true" strokeweight=".06pt" strokecolor="#000000"/>
            <v:line style="position:absolute" from="9628,304" to="10925,304" stroked="true" strokeweight=".06pt" strokecolor="#000000"/>
            <v:line style="position:absolute" from="9628,305" to="10925,305" stroked="true" strokeweight=".06pt" strokecolor="#000000"/>
            <v:line style="position:absolute" from="9628,306" to="10925,306" stroked="true" strokeweight=".06pt" strokecolor="#000000"/>
            <v:line style="position:absolute" from="9628,307" to="10925,307" stroked="true" strokeweight=".06pt" strokecolor="#000000"/>
            <v:line style="position:absolute" from="9628,309" to="10925,309" stroked="true" strokeweight=".06pt" strokecolor="#000000"/>
            <v:line style="position:absolute" from="9628,310" to="10925,310" stroked="true" strokeweight=".06pt" strokecolor="#000000"/>
            <v:line style="position:absolute" from="9628,311" to="10925,311" stroked="true" strokeweight=".06pt" strokecolor="#000000"/>
            <v:line style="position:absolute" from="9628,312" to="10925,312" stroked="true" strokeweight=".06pt" strokecolor="#000000"/>
            <v:line style="position:absolute" from="9628,313" to="10925,313" stroked="true" strokeweight=".06pt" strokecolor="#000000"/>
            <v:line style="position:absolute" from="9628,315" to="10925,315" stroked="true" strokeweight=".06pt" strokecolor="#000000"/>
            <v:line style="position:absolute" from="9628,316" to="10925,316" stroked="true" strokeweight=".06pt" strokecolor="#000000"/>
            <v:line style="position:absolute" from="9628,317" to="10925,317" stroked="true" strokeweight=".06pt" strokecolor="#000000"/>
            <v:line style="position:absolute" from="9628,318" to="10925,318" stroked="true" strokeweight=".06pt" strokecolor="#000000"/>
            <v:line style="position:absolute" from="9628,319" to="10925,319" stroked="true" strokeweight=".06pt" strokecolor="#000000"/>
            <v:line style="position:absolute" from="9628,321" to="10925,321" stroked="true" strokeweight=".06pt" strokecolor="#000000"/>
            <w10:wrap type="topAndBottom"/>
          </v:group>
        </w:pict>
      </w:r>
      <w:r>
        <w:rPr/>
        <w:t>Cash and cash equivalents at beginning</w:t>
      </w:r>
      <w:r>
        <w:rPr>
          <w:spacing w:val="-1"/>
        </w:rPr>
        <w:t> </w:t>
      </w:r>
      <w:r>
        <w:rPr/>
        <w:t>of</w:t>
      </w:r>
      <w:r>
        <w:rPr>
          <w:spacing w:val="-1"/>
        </w:rPr>
        <w:t> </w:t>
      </w:r>
      <w:r>
        <w:rPr/>
        <w:t>year</w:t>
        <w:tab/>
      </w:r>
      <w:r>
        <w:rPr>
          <w:b/>
        </w:rPr>
        <w:t>575,222</w:t>
        <w:tab/>
      </w:r>
      <w:r>
        <w:rPr/>
        <w:t>471,976</w:t>
      </w:r>
    </w:p>
    <w:p>
      <w:pPr>
        <w:pStyle w:val="Heading9"/>
        <w:tabs>
          <w:tab w:pos="7100" w:val="left" w:leader="none"/>
          <w:tab w:pos="7990" w:val="left" w:leader="none"/>
          <w:tab w:pos="9287" w:val="left" w:leader="none"/>
        </w:tabs>
        <w:ind w:left="152" w:right="161"/>
        <w:rPr>
          <w:b w:val="0"/>
        </w:rPr>
      </w:pPr>
      <w:r>
        <w:rPr/>
        <w:t>Cash and cash equivalents at end</w:t>
      </w:r>
      <w:r>
        <w:rPr>
          <w:spacing w:val="-1"/>
        </w:rPr>
        <w:t> </w:t>
      </w:r>
      <w:r>
        <w:rPr/>
        <w:t>of</w:t>
      </w:r>
      <w:r>
        <w:rPr>
          <w:spacing w:val="-1"/>
        </w:rPr>
        <w:t> </w:t>
      </w:r>
      <w:r>
        <w:rPr/>
        <w:t>year</w:t>
        <w:tab/>
      </w:r>
      <w:r>
        <w:rPr>
          <w:b w:val="0"/>
          <w:position w:val="-5"/>
        </w:rPr>
        <w:t>7</w:t>
        <w:tab/>
      </w:r>
      <w:r>
        <w:rPr>
          <w:position w:val="-8"/>
        </w:rPr>
        <w:t>766,186</w:t>
        <w:tab/>
      </w:r>
      <w:r>
        <w:rPr>
          <w:b w:val="0"/>
          <w:position w:val="-8"/>
        </w:rPr>
        <w:t>575,222</w:t>
      </w:r>
    </w:p>
    <w:p>
      <w:pPr>
        <w:pStyle w:val="BodyText"/>
        <w:spacing w:line="30" w:lineRule="exact"/>
        <w:ind w:left="742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p>
    <w:p>
      <w:pPr>
        <w:pStyle w:val="BodyText"/>
        <w:spacing w:before="77"/>
        <w:ind w:left="107" w:right="161"/>
      </w:pPr>
      <w:r>
        <w:rPr/>
        <w:t>The accompanying notes form part of these financial statements.</w:t>
      </w:r>
    </w:p>
    <w:p>
      <w:pPr>
        <w:spacing w:after="0"/>
        <w:sectPr>
          <w:type w:val="continuous"/>
          <w:pgSz w:w="11910" w:h="16840"/>
          <w:pgMar w:top="1580" w:bottom="280" w:left="900" w:right="860"/>
        </w:sectPr>
      </w:pPr>
    </w:p>
    <w:p>
      <w:pPr>
        <w:pStyle w:val="BodyText"/>
        <w:rPr>
          <w:sz w:val="20"/>
        </w:rPr>
      </w:pPr>
    </w:p>
    <w:p>
      <w:pPr>
        <w:pStyle w:val="BodyText"/>
        <w:spacing w:before="7"/>
        <w:rPr>
          <w:sz w:val="21"/>
        </w:rPr>
      </w:pPr>
    </w:p>
    <w:p>
      <w:pPr>
        <w:pStyle w:val="BodyText"/>
        <w:spacing w:before="78"/>
        <w:ind w:left="107" w:right="699"/>
      </w:pPr>
      <w:r>
        <w:rPr/>
        <w:t>Whitlam Institute Within Western Sydney University Trust (the Trust) is a not-for-profit controlled entity of the Western Sydney University. The Company is incorporated and domiciled in Australia.</w:t>
      </w:r>
    </w:p>
    <w:p>
      <w:pPr>
        <w:pStyle w:val="BodyText"/>
        <w:spacing w:before="11"/>
        <w:rPr>
          <w:sz w:val="14"/>
        </w:rPr>
      </w:pPr>
    </w:p>
    <w:p>
      <w:pPr>
        <w:pStyle w:val="BodyText"/>
        <w:ind w:left="107" w:right="406"/>
      </w:pPr>
      <w:r>
        <w:rPr/>
        <w:t>Material accounting policies adopted in the preparation of these financial statements are presented below and have been consistently applied to all the years reported, unless otherwise stated.</w:t>
      </w:r>
    </w:p>
    <w:p>
      <w:pPr>
        <w:pStyle w:val="BodyText"/>
        <w:spacing w:before="11"/>
        <w:rPr>
          <w:sz w:val="14"/>
        </w:rPr>
      </w:pPr>
    </w:p>
    <w:p>
      <w:pPr>
        <w:pStyle w:val="BodyText"/>
        <w:ind w:left="107" w:right="161"/>
      </w:pPr>
      <w:r>
        <w:rPr/>
        <w:t>The financial statements were authorised for issue by the Directors on 23 February 2018</w:t>
      </w:r>
    </w:p>
    <w:p>
      <w:pPr>
        <w:pStyle w:val="BodyText"/>
        <w:spacing w:before="11"/>
        <w:rPr>
          <w:sz w:val="24"/>
        </w:rPr>
      </w:pPr>
    </w:p>
    <w:p>
      <w:pPr>
        <w:pStyle w:val="Heading9"/>
        <w:tabs>
          <w:tab w:pos="503" w:val="left" w:leader="none"/>
        </w:tabs>
        <w:ind w:left="109" w:right="161"/>
      </w:pPr>
      <w:r>
        <w:rPr/>
        <w:t>1</w:t>
        <w:tab/>
        <w:t>Summary of Significant Accounting</w:t>
      </w:r>
      <w:r>
        <w:rPr>
          <w:spacing w:val="-3"/>
        </w:rPr>
        <w:t> </w:t>
      </w:r>
      <w:r>
        <w:rPr/>
        <w:t>Policies</w:t>
      </w:r>
    </w:p>
    <w:p>
      <w:pPr>
        <w:pStyle w:val="BodyText"/>
        <w:spacing w:before="11"/>
        <w:rPr>
          <w:b/>
          <w:sz w:val="24"/>
        </w:rPr>
      </w:pPr>
    </w:p>
    <w:p>
      <w:pPr>
        <w:pStyle w:val="ListParagraph"/>
        <w:numPr>
          <w:ilvl w:val="0"/>
          <w:numId w:val="86"/>
        </w:numPr>
        <w:tabs>
          <w:tab w:pos="1071" w:val="left" w:leader="none"/>
        </w:tabs>
        <w:spacing w:line="240" w:lineRule="auto" w:before="0" w:after="0"/>
        <w:ind w:left="1070" w:right="0" w:hanging="566"/>
        <w:jc w:val="left"/>
        <w:rPr>
          <w:b/>
          <w:sz w:val="18"/>
        </w:rPr>
      </w:pPr>
      <w:r>
        <w:rPr>
          <w:b/>
          <w:sz w:val="18"/>
        </w:rPr>
        <w:t>Basis of</w:t>
      </w:r>
      <w:r>
        <w:rPr>
          <w:b/>
          <w:spacing w:val="-1"/>
          <w:sz w:val="18"/>
        </w:rPr>
        <w:t> </w:t>
      </w:r>
      <w:r>
        <w:rPr>
          <w:b/>
          <w:sz w:val="18"/>
        </w:rPr>
        <w:t>Preparation</w:t>
      </w:r>
    </w:p>
    <w:p>
      <w:pPr>
        <w:pStyle w:val="BodyText"/>
        <w:rPr>
          <w:b/>
          <w:sz w:val="25"/>
        </w:rPr>
      </w:pPr>
    </w:p>
    <w:p>
      <w:pPr>
        <w:pStyle w:val="BodyText"/>
        <w:ind w:left="503" w:right="161"/>
      </w:pPr>
      <w:r>
        <w:rPr/>
        <w:t>These financial statements are general purpose financial statements that have been prepared in accordance with Australian Accounting Standards (including Australian Accounting Interpretations), the requirements of the </w:t>
      </w:r>
      <w:r>
        <w:rPr>
          <w:i/>
        </w:rPr>
        <w:t>Public </w:t>
      </w:r>
      <w:r>
        <w:rPr>
          <w:i/>
        </w:rPr>
        <w:t>Finance &amp; Audit Act 1983</w:t>
      </w:r>
      <w:r>
        <w:rPr/>
        <w:t>, </w:t>
      </w:r>
      <w:r>
        <w:rPr>
          <w:i/>
        </w:rPr>
        <w:t>Public Finance and Audit Regulation 2015 </w:t>
      </w:r>
      <w:r>
        <w:rPr/>
        <w:t>and other authoritative pronouncements of the Australian Accounting Standards Board (AASB).</w:t>
      </w:r>
    </w:p>
    <w:p>
      <w:pPr>
        <w:pStyle w:val="BodyText"/>
        <w:rPr>
          <w:sz w:val="25"/>
        </w:rPr>
      </w:pPr>
    </w:p>
    <w:p>
      <w:pPr>
        <w:pStyle w:val="BodyText"/>
        <w:ind w:left="504" w:right="551"/>
      </w:pPr>
      <w:r>
        <w:rPr/>
        <w:t>These financial statements and notes comply with Australian Accounting Standards some of which contains requirements specific to not for profit entities that are inconsistent with International Financial Reporting Standards (IFRS) requirements.</w:t>
      </w:r>
    </w:p>
    <w:p>
      <w:pPr>
        <w:pStyle w:val="BodyText"/>
        <w:rPr>
          <w:sz w:val="25"/>
        </w:rPr>
      </w:pPr>
    </w:p>
    <w:p>
      <w:pPr>
        <w:pStyle w:val="BodyText"/>
        <w:ind w:left="504" w:right="270"/>
      </w:pPr>
      <w:r>
        <w:rPr/>
        <w:t>The financial statements have been prepared on an accruals basis and are based on historical costs, modified, where applicable, by the measurement at fair value of selected non-current assets, financial assets and financial liabilities.</w:t>
      </w:r>
    </w:p>
    <w:p>
      <w:pPr>
        <w:pStyle w:val="BodyText"/>
        <w:spacing w:before="10"/>
        <w:rPr>
          <w:sz w:val="24"/>
        </w:rPr>
      </w:pPr>
    </w:p>
    <w:p>
      <w:pPr>
        <w:pStyle w:val="Heading9"/>
        <w:numPr>
          <w:ilvl w:val="0"/>
          <w:numId w:val="86"/>
        </w:numPr>
        <w:tabs>
          <w:tab w:pos="1071" w:val="left" w:leader="none"/>
        </w:tabs>
        <w:spacing w:line="240" w:lineRule="auto" w:before="1" w:after="0"/>
        <w:ind w:left="1070" w:right="0" w:hanging="566"/>
        <w:jc w:val="left"/>
      </w:pPr>
      <w:r>
        <w:rPr/>
        <w:t>Revenue</w:t>
      </w:r>
      <w:r>
        <w:rPr>
          <w:spacing w:val="-1"/>
        </w:rPr>
        <w:t> </w:t>
      </w:r>
      <w:r>
        <w:rPr/>
        <w:t>recognition</w:t>
      </w:r>
    </w:p>
    <w:p>
      <w:pPr>
        <w:pStyle w:val="BodyText"/>
        <w:rPr>
          <w:b/>
          <w:sz w:val="25"/>
        </w:rPr>
      </w:pPr>
    </w:p>
    <w:p>
      <w:pPr>
        <w:pStyle w:val="BodyText"/>
        <w:ind w:left="504" w:right="161"/>
      </w:pPr>
      <w:r>
        <w:rPr/>
        <w:t>Revenue is measured at the fair value of the consideration received or receivable.</w:t>
      </w:r>
    </w:p>
    <w:p>
      <w:pPr>
        <w:pStyle w:val="BodyText"/>
        <w:rPr>
          <w:sz w:val="25"/>
        </w:rPr>
      </w:pPr>
    </w:p>
    <w:p>
      <w:pPr>
        <w:pStyle w:val="BodyText"/>
        <w:ind w:left="504" w:right="110"/>
      </w:pPr>
      <w:r>
        <w:rPr/>
        <w:t>The Trust recognises revenue when the amount of revenue can be reliably measured, it is probable that future economic benefits will flow to the entity and specific criteria have been met for each of the Trust's activities as described below. The Trust bases its estimates on historical results, taking into consideration the type of customer, the type of transaction and the specifics of each</w:t>
      </w:r>
      <w:r>
        <w:rPr>
          <w:spacing w:val="-1"/>
        </w:rPr>
        <w:t> </w:t>
      </w:r>
      <w:r>
        <w:rPr/>
        <w:t>arrangement.</w:t>
      </w:r>
    </w:p>
    <w:p>
      <w:pPr>
        <w:pStyle w:val="BodyText"/>
        <w:rPr>
          <w:sz w:val="25"/>
        </w:rPr>
      </w:pPr>
    </w:p>
    <w:p>
      <w:pPr>
        <w:pStyle w:val="BodyText"/>
        <w:ind w:left="504" w:right="161"/>
      </w:pPr>
      <w:r>
        <w:rPr/>
        <w:t>Revenue is recognised for the major business activities as follows:</w:t>
      </w:r>
    </w:p>
    <w:p>
      <w:pPr>
        <w:pStyle w:val="BodyText"/>
        <w:rPr>
          <w:sz w:val="25"/>
        </w:rPr>
      </w:pPr>
    </w:p>
    <w:p>
      <w:pPr>
        <w:pStyle w:val="ListParagraph"/>
        <w:numPr>
          <w:ilvl w:val="0"/>
          <w:numId w:val="87"/>
        </w:numPr>
        <w:tabs>
          <w:tab w:pos="788" w:val="left" w:leader="none"/>
        </w:tabs>
        <w:spacing w:line="240" w:lineRule="auto" w:before="0" w:after="0"/>
        <w:ind w:left="787" w:right="0" w:hanging="283"/>
        <w:jc w:val="left"/>
        <w:rPr>
          <w:sz w:val="18"/>
        </w:rPr>
      </w:pPr>
      <w:r>
        <w:rPr>
          <w:sz w:val="18"/>
        </w:rPr>
        <w:t>Donations, Scholarships and</w:t>
      </w:r>
      <w:r>
        <w:rPr>
          <w:spacing w:val="-1"/>
          <w:sz w:val="18"/>
        </w:rPr>
        <w:t> </w:t>
      </w:r>
      <w:r>
        <w:rPr>
          <w:sz w:val="18"/>
        </w:rPr>
        <w:t>Prizes</w:t>
      </w:r>
    </w:p>
    <w:p>
      <w:pPr>
        <w:pStyle w:val="BodyText"/>
        <w:rPr>
          <w:sz w:val="25"/>
        </w:rPr>
      </w:pPr>
    </w:p>
    <w:p>
      <w:pPr>
        <w:pStyle w:val="BodyText"/>
        <w:ind w:left="504" w:right="161"/>
      </w:pPr>
      <w:r>
        <w:rPr/>
        <w:t>Donations, scholarships and prizes are recognised when they are received.</w:t>
      </w:r>
    </w:p>
    <w:p>
      <w:pPr>
        <w:pStyle w:val="BodyText"/>
        <w:rPr>
          <w:sz w:val="25"/>
        </w:rPr>
      </w:pPr>
    </w:p>
    <w:p>
      <w:pPr>
        <w:pStyle w:val="ListParagraph"/>
        <w:numPr>
          <w:ilvl w:val="0"/>
          <w:numId w:val="87"/>
        </w:numPr>
        <w:tabs>
          <w:tab w:pos="788" w:val="left" w:leader="none"/>
        </w:tabs>
        <w:spacing w:line="240" w:lineRule="auto" w:before="0" w:after="0"/>
        <w:ind w:left="787" w:right="0" w:hanging="283"/>
        <w:jc w:val="left"/>
        <w:rPr>
          <w:sz w:val="18"/>
        </w:rPr>
      </w:pPr>
      <w:r>
        <w:rPr>
          <w:sz w:val="18"/>
        </w:rPr>
        <w:t>Rendering of</w:t>
      </w:r>
      <w:r>
        <w:rPr>
          <w:spacing w:val="-1"/>
          <w:sz w:val="18"/>
        </w:rPr>
        <w:t> </w:t>
      </w:r>
      <w:r>
        <w:rPr>
          <w:sz w:val="18"/>
        </w:rPr>
        <w:t>services</w:t>
      </w:r>
    </w:p>
    <w:p>
      <w:pPr>
        <w:pStyle w:val="BodyText"/>
        <w:rPr>
          <w:sz w:val="25"/>
        </w:rPr>
      </w:pPr>
    </w:p>
    <w:p>
      <w:pPr>
        <w:pStyle w:val="BodyText"/>
        <w:ind w:left="504" w:right="200"/>
      </w:pPr>
      <w:r>
        <w:rPr/>
        <w:t>Revenue is recognised when the service is provided or by reference to the stage of completion (based on labour hours incurred to date).</w:t>
      </w:r>
    </w:p>
    <w:p>
      <w:pPr>
        <w:pStyle w:val="BodyText"/>
        <w:rPr>
          <w:sz w:val="25"/>
        </w:rPr>
      </w:pPr>
    </w:p>
    <w:p>
      <w:pPr>
        <w:pStyle w:val="ListParagraph"/>
        <w:numPr>
          <w:ilvl w:val="0"/>
          <w:numId w:val="87"/>
        </w:numPr>
        <w:tabs>
          <w:tab w:pos="838" w:val="left" w:leader="none"/>
        </w:tabs>
        <w:spacing w:line="240" w:lineRule="auto" w:before="0" w:after="0"/>
        <w:ind w:left="837" w:right="0" w:hanging="333"/>
        <w:jc w:val="left"/>
        <w:rPr>
          <w:sz w:val="18"/>
        </w:rPr>
      </w:pPr>
      <w:r>
        <w:rPr>
          <w:sz w:val="18"/>
        </w:rPr>
        <w:t>Event</w:t>
      </w:r>
      <w:r>
        <w:rPr>
          <w:spacing w:val="-1"/>
          <w:sz w:val="18"/>
        </w:rPr>
        <w:t> </w:t>
      </w:r>
      <w:r>
        <w:rPr>
          <w:sz w:val="18"/>
        </w:rPr>
        <w:t>income</w:t>
      </w:r>
    </w:p>
    <w:p>
      <w:pPr>
        <w:pStyle w:val="BodyText"/>
        <w:rPr>
          <w:sz w:val="25"/>
        </w:rPr>
      </w:pPr>
    </w:p>
    <w:p>
      <w:pPr>
        <w:pStyle w:val="BodyText"/>
        <w:ind w:left="504" w:right="161"/>
      </w:pPr>
      <w:r>
        <w:rPr/>
        <w:t>Event income is recognised when the economic benefits associated with the transaction flows to the entity.</w:t>
      </w:r>
    </w:p>
    <w:p>
      <w:pPr>
        <w:pStyle w:val="BodyText"/>
        <w:rPr>
          <w:sz w:val="25"/>
        </w:rPr>
      </w:pPr>
    </w:p>
    <w:p>
      <w:pPr>
        <w:pStyle w:val="ListParagraph"/>
        <w:numPr>
          <w:ilvl w:val="0"/>
          <w:numId w:val="87"/>
        </w:numPr>
        <w:tabs>
          <w:tab w:pos="788" w:val="left" w:leader="none"/>
        </w:tabs>
        <w:spacing w:line="240" w:lineRule="auto" w:before="0" w:after="0"/>
        <w:ind w:left="787" w:right="0" w:hanging="283"/>
        <w:jc w:val="left"/>
        <w:rPr>
          <w:sz w:val="18"/>
        </w:rPr>
      </w:pPr>
      <w:r>
        <w:rPr>
          <w:sz w:val="18"/>
        </w:rPr>
        <w:t>Investment</w:t>
      </w:r>
      <w:r>
        <w:rPr>
          <w:spacing w:val="-1"/>
          <w:sz w:val="18"/>
        </w:rPr>
        <w:t> </w:t>
      </w:r>
      <w:r>
        <w:rPr>
          <w:sz w:val="18"/>
        </w:rPr>
        <w:t>income</w:t>
      </w:r>
    </w:p>
    <w:p>
      <w:pPr>
        <w:pStyle w:val="BodyText"/>
        <w:rPr>
          <w:sz w:val="25"/>
        </w:rPr>
      </w:pPr>
    </w:p>
    <w:p>
      <w:pPr>
        <w:pStyle w:val="BodyText"/>
        <w:ind w:left="504" w:right="161"/>
      </w:pPr>
      <w:r>
        <w:rPr/>
        <w:t>Investment income is recognised as it accrues using the effective interest method.</w:t>
      </w:r>
    </w:p>
    <w:p>
      <w:pPr>
        <w:spacing w:after="0"/>
        <w:sectPr>
          <w:headerReference w:type="default" r:id="rId162"/>
          <w:pgSz w:w="11910" w:h="16840"/>
          <w:pgMar w:header="1038" w:footer="507" w:top="2520" w:bottom="700" w:left="900" w:right="860"/>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220"/>
      </w:pPr>
      <w:r>
        <w:rPr/>
        <w:t>1</w:t>
        <w:tab/>
        <w:t>Summary of Significant Accounting Policies</w:t>
      </w:r>
      <w:r>
        <w:rPr>
          <w:spacing w:val="-5"/>
        </w:rPr>
        <w:t> </w:t>
      </w:r>
      <w:r>
        <w:rPr/>
        <w:t>(continued)</w:t>
      </w:r>
    </w:p>
    <w:p>
      <w:pPr>
        <w:pStyle w:val="BodyText"/>
        <w:spacing w:before="11"/>
        <w:rPr>
          <w:b/>
          <w:sz w:val="24"/>
        </w:rPr>
      </w:pPr>
    </w:p>
    <w:p>
      <w:pPr>
        <w:pStyle w:val="ListParagraph"/>
        <w:numPr>
          <w:ilvl w:val="0"/>
          <w:numId w:val="86"/>
        </w:numPr>
        <w:tabs>
          <w:tab w:pos="1071" w:val="left" w:leader="none"/>
        </w:tabs>
        <w:spacing w:line="240" w:lineRule="auto" w:before="0" w:after="0"/>
        <w:ind w:left="1070" w:right="0" w:hanging="566"/>
        <w:jc w:val="left"/>
        <w:rPr>
          <w:b/>
          <w:sz w:val="18"/>
        </w:rPr>
      </w:pPr>
      <w:r>
        <w:rPr>
          <w:b/>
          <w:sz w:val="18"/>
        </w:rPr>
        <w:t>Cash and cash</w:t>
      </w:r>
      <w:r>
        <w:rPr>
          <w:b/>
          <w:spacing w:val="-1"/>
          <w:sz w:val="18"/>
        </w:rPr>
        <w:t> </w:t>
      </w:r>
      <w:r>
        <w:rPr>
          <w:b/>
          <w:sz w:val="18"/>
        </w:rPr>
        <w:t>equivalents</w:t>
      </w:r>
    </w:p>
    <w:p>
      <w:pPr>
        <w:pStyle w:val="BodyText"/>
        <w:rPr>
          <w:b/>
          <w:sz w:val="25"/>
        </w:rPr>
      </w:pPr>
    </w:p>
    <w:p>
      <w:pPr>
        <w:pStyle w:val="BodyText"/>
        <w:ind w:left="503" w:right="191"/>
      </w:pPr>
      <w:r>
        <w:rPr/>
        <w:t>For the statement of cash flow presentation purposes cash and cash equivalents includes cash on hand, deposits held at call with financial institutions, other short term, highly liquid investments with original maturities of three months or less that are readily convertible to known amounts of cash and which are subject to an insignificant risk of changes in value.</w:t>
      </w:r>
    </w:p>
    <w:p>
      <w:pPr>
        <w:pStyle w:val="BodyText"/>
        <w:spacing w:before="11"/>
        <w:rPr>
          <w:sz w:val="24"/>
        </w:rPr>
      </w:pPr>
    </w:p>
    <w:p>
      <w:pPr>
        <w:pStyle w:val="Heading9"/>
        <w:numPr>
          <w:ilvl w:val="0"/>
          <w:numId w:val="86"/>
        </w:numPr>
        <w:tabs>
          <w:tab w:pos="1071" w:val="left" w:leader="none"/>
        </w:tabs>
        <w:spacing w:line="240" w:lineRule="auto" w:before="0" w:after="0"/>
        <w:ind w:left="1070" w:right="0" w:hanging="566"/>
        <w:jc w:val="left"/>
      </w:pPr>
      <w:r>
        <w:rPr/>
        <w:t>Income tax</w:t>
      </w:r>
      <w:r>
        <w:rPr>
          <w:spacing w:val="-1"/>
        </w:rPr>
        <w:t> </w:t>
      </w:r>
      <w:r>
        <w:rPr/>
        <w:t>exemption</w:t>
      </w:r>
    </w:p>
    <w:p>
      <w:pPr>
        <w:pStyle w:val="BodyText"/>
        <w:rPr>
          <w:b/>
          <w:sz w:val="25"/>
        </w:rPr>
      </w:pPr>
    </w:p>
    <w:p>
      <w:pPr>
        <w:pStyle w:val="BodyText"/>
        <w:ind w:left="503" w:right="773"/>
      </w:pPr>
      <w:r>
        <w:rPr/>
        <w:t>The Trust is exempt from the payment of tax by virtue of section 50 B of the Income Tax Assessment Act 1997. Accordingly no provision for income tax liability or future income tax benefit has been included in the accounts.</w:t>
      </w:r>
    </w:p>
    <w:p>
      <w:pPr>
        <w:pStyle w:val="BodyText"/>
        <w:spacing w:before="11"/>
        <w:rPr>
          <w:sz w:val="24"/>
        </w:rPr>
      </w:pPr>
    </w:p>
    <w:p>
      <w:pPr>
        <w:pStyle w:val="Heading9"/>
        <w:numPr>
          <w:ilvl w:val="0"/>
          <w:numId w:val="86"/>
        </w:numPr>
        <w:tabs>
          <w:tab w:pos="1071" w:val="left" w:leader="none"/>
        </w:tabs>
        <w:spacing w:line="240" w:lineRule="auto" w:before="0" w:after="0"/>
        <w:ind w:left="1070" w:right="0" w:hanging="566"/>
        <w:jc w:val="left"/>
      </w:pPr>
      <w:r>
        <w:rPr/>
        <w:t>Government</w:t>
      </w:r>
      <w:r>
        <w:rPr>
          <w:spacing w:val="-2"/>
        </w:rPr>
        <w:t> </w:t>
      </w:r>
      <w:r>
        <w:rPr/>
        <w:t>grants</w:t>
      </w:r>
    </w:p>
    <w:p>
      <w:pPr>
        <w:pStyle w:val="BodyText"/>
        <w:rPr>
          <w:b/>
          <w:sz w:val="25"/>
        </w:rPr>
      </w:pPr>
    </w:p>
    <w:p>
      <w:pPr>
        <w:pStyle w:val="BodyText"/>
        <w:ind w:left="503" w:right="182"/>
      </w:pPr>
      <w:r>
        <w:rPr/>
        <w:t>Grants from the government are recognised at their fair value where the Trust obtains control of the right to receive the grant, it is probable that economic benefits will flow to the Trust and it can be reliably measured.</w:t>
      </w:r>
    </w:p>
    <w:p>
      <w:pPr>
        <w:pStyle w:val="BodyText"/>
        <w:spacing w:before="11"/>
        <w:rPr>
          <w:sz w:val="24"/>
        </w:rPr>
      </w:pPr>
    </w:p>
    <w:p>
      <w:pPr>
        <w:pStyle w:val="Heading9"/>
        <w:numPr>
          <w:ilvl w:val="0"/>
          <w:numId w:val="86"/>
        </w:numPr>
        <w:tabs>
          <w:tab w:pos="1071" w:val="left" w:leader="none"/>
        </w:tabs>
        <w:spacing w:line="240" w:lineRule="auto" w:before="0" w:after="0"/>
        <w:ind w:left="1070" w:right="0" w:hanging="566"/>
        <w:jc w:val="left"/>
      </w:pPr>
      <w:r>
        <w:rPr/>
        <w:t>Trade</w:t>
      </w:r>
      <w:r>
        <w:rPr>
          <w:spacing w:val="-1"/>
        </w:rPr>
        <w:t> </w:t>
      </w:r>
      <w:r>
        <w:rPr/>
        <w:t>receivables</w:t>
      </w:r>
    </w:p>
    <w:p>
      <w:pPr>
        <w:pStyle w:val="BodyText"/>
        <w:rPr>
          <w:b/>
          <w:sz w:val="25"/>
        </w:rPr>
      </w:pPr>
    </w:p>
    <w:p>
      <w:pPr>
        <w:pStyle w:val="BodyText"/>
        <w:ind w:left="503" w:right="144"/>
        <w:jc w:val="both"/>
      </w:pPr>
      <w:r>
        <w:rPr/>
        <w:t>Trade receivables are recognised initially at fair value and subsequently measured at amortised cost using the effective interest method, less provision for impairment. Trade receivables are generally due for settlement within 30 days. They are presented as current assets unless collection is not expected for more than 12 months after the reporting date.</w:t>
      </w:r>
    </w:p>
    <w:p>
      <w:pPr>
        <w:pStyle w:val="BodyText"/>
        <w:rPr>
          <w:sz w:val="25"/>
        </w:rPr>
      </w:pPr>
    </w:p>
    <w:p>
      <w:pPr>
        <w:pStyle w:val="BodyText"/>
        <w:ind w:left="503" w:right="91"/>
      </w:pPr>
      <w:r>
        <w:rPr/>
        <w:t>Collectability of trade receivables is reviewed on an ongoing basis. Debts which are known to be uncollectable are written off by reducing the carrying amount directly. A provision for impairment of receivables is recognised used when there is objective evidence that the Trust will not be able to collect all amounts due according to the original terms of the receivables. Significant financial difficulties of the debtor, probability that the debtor will enter bankruptcy or financial reorganisation, and default or delinquency in payments (more than 30 days overdue) are considered indicators that the trade receivable is impaired.The amount of the impairment is the difference between the asset’s carrying amount and the present value of estimated future cash flows, discounted at the effective interest rate. Cash flows relating to short- term receivables are not discounted if the effect of discounting is immaterial.</w:t>
      </w:r>
    </w:p>
    <w:p>
      <w:pPr>
        <w:pStyle w:val="BodyText"/>
        <w:rPr>
          <w:sz w:val="25"/>
        </w:rPr>
      </w:pPr>
    </w:p>
    <w:p>
      <w:pPr>
        <w:pStyle w:val="BodyText"/>
        <w:ind w:left="503" w:right="162"/>
      </w:pPr>
      <w:r>
        <w:rPr/>
        <w:t>The amount of the impairment loss is recognised in surplus/(deficit) within other expenses. When a trade receivable for which an impairment allowance had been recognised becomes uncollectable in a subsequent period, it is written off against the allowance account. Subsequent recoveries of amounts previously written off are credited against other expenses in surplus/(deficit).</w:t>
      </w:r>
    </w:p>
    <w:p>
      <w:pPr>
        <w:pStyle w:val="BodyText"/>
        <w:spacing w:before="10"/>
        <w:rPr>
          <w:sz w:val="24"/>
        </w:rPr>
      </w:pPr>
    </w:p>
    <w:p>
      <w:pPr>
        <w:pStyle w:val="Heading9"/>
        <w:numPr>
          <w:ilvl w:val="0"/>
          <w:numId w:val="86"/>
        </w:numPr>
        <w:tabs>
          <w:tab w:pos="1071" w:val="left" w:leader="none"/>
        </w:tabs>
        <w:spacing w:line="240" w:lineRule="auto" w:before="0" w:after="0"/>
        <w:ind w:left="1070" w:right="0" w:hanging="566"/>
        <w:jc w:val="left"/>
      </w:pPr>
      <w:r>
        <w:rPr/>
        <w:t>Fair value estimation</w:t>
      </w:r>
    </w:p>
    <w:p>
      <w:pPr>
        <w:pStyle w:val="BodyText"/>
        <w:rPr>
          <w:b/>
          <w:sz w:val="25"/>
        </w:rPr>
      </w:pPr>
    </w:p>
    <w:p>
      <w:pPr>
        <w:pStyle w:val="BodyText"/>
        <w:ind w:left="503" w:right="562"/>
      </w:pPr>
      <w:r>
        <w:rPr/>
        <w:t>The fair value of financial assets and financial liabilities must be estimated for recognition and measurement or for disclosure purposes.</w:t>
      </w:r>
    </w:p>
    <w:p>
      <w:pPr>
        <w:pStyle w:val="BodyText"/>
        <w:rPr>
          <w:sz w:val="25"/>
        </w:rPr>
      </w:pPr>
    </w:p>
    <w:p>
      <w:pPr>
        <w:pStyle w:val="BodyText"/>
        <w:ind w:left="503" w:right="372"/>
      </w:pPr>
      <w:r>
        <w:rPr/>
        <w:t>The carrying value of trade receivables and payables are assumed to approximate their fair values due to short term nature.</w:t>
      </w:r>
    </w:p>
    <w:p>
      <w:pPr>
        <w:spacing w:after="0"/>
        <w:sectPr>
          <w:pgSz w:w="11910" w:h="16840"/>
          <w:pgMar w:header="1038" w:footer="507" w:top="2520" w:bottom="700" w:left="900" w:right="880"/>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220"/>
      </w:pPr>
      <w:r>
        <w:rPr/>
        <w:t>1</w:t>
        <w:tab/>
        <w:t>Summary of Significant Accounting Policies</w:t>
      </w:r>
      <w:r>
        <w:rPr>
          <w:spacing w:val="-5"/>
        </w:rPr>
        <w:t> </w:t>
      </w:r>
      <w:r>
        <w:rPr/>
        <w:t>(continued)</w:t>
      </w:r>
    </w:p>
    <w:p>
      <w:pPr>
        <w:pStyle w:val="BodyText"/>
        <w:spacing w:before="11"/>
        <w:rPr>
          <w:b/>
          <w:sz w:val="24"/>
        </w:rPr>
      </w:pPr>
    </w:p>
    <w:p>
      <w:pPr>
        <w:pStyle w:val="ListParagraph"/>
        <w:numPr>
          <w:ilvl w:val="0"/>
          <w:numId w:val="86"/>
        </w:numPr>
        <w:tabs>
          <w:tab w:pos="1071" w:val="left" w:leader="none"/>
        </w:tabs>
        <w:spacing w:line="240" w:lineRule="auto" w:before="0" w:after="0"/>
        <w:ind w:left="1070" w:right="0" w:hanging="566"/>
        <w:jc w:val="left"/>
        <w:rPr>
          <w:b/>
          <w:sz w:val="18"/>
        </w:rPr>
      </w:pPr>
      <w:r>
        <w:rPr>
          <w:b/>
          <w:sz w:val="18"/>
        </w:rPr>
        <w:t>Property, plant and equipment</w:t>
      </w:r>
    </w:p>
    <w:p>
      <w:pPr>
        <w:pStyle w:val="BodyText"/>
        <w:rPr>
          <w:b/>
          <w:sz w:val="25"/>
        </w:rPr>
      </w:pPr>
    </w:p>
    <w:p>
      <w:pPr>
        <w:pStyle w:val="BodyText"/>
        <w:ind w:left="503" w:right="481"/>
      </w:pPr>
      <w:r>
        <w:rPr/>
        <w:t>Property, plant and equipment consists only of the Whitlam Collection and is not depreciated given the nature of its contents.</w:t>
      </w:r>
    </w:p>
    <w:p>
      <w:pPr>
        <w:pStyle w:val="BodyText"/>
        <w:rPr>
          <w:sz w:val="25"/>
        </w:rPr>
      </w:pPr>
    </w:p>
    <w:p>
      <w:pPr>
        <w:pStyle w:val="BodyText"/>
        <w:ind w:left="503" w:right="537"/>
      </w:pPr>
      <w:r>
        <w:rPr/>
        <w:t>The assets' residual values and useful lives are reviewed, and adjusted if appropriate, at the end of each reporting period.</w:t>
      </w:r>
    </w:p>
    <w:p>
      <w:pPr>
        <w:pStyle w:val="BodyText"/>
        <w:rPr>
          <w:sz w:val="25"/>
        </w:rPr>
      </w:pPr>
    </w:p>
    <w:p>
      <w:pPr>
        <w:pStyle w:val="BodyText"/>
        <w:ind w:left="503" w:right="543"/>
      </w:pPr>
      <w:r>
        <w:rPr/>
        <w:t>An asset’s carrying amount is written down immediately to its recoverable amount if the asset’s carrying amount is greater than its estimated recoverable amount.</w:t>
      </w:r>
    </w:p>
    <w:p>
      <w:pPr>
        <w:pStyle w:val="BodyText"/>
        <w:rPr>
          <w:sz w:val="25"/>
        </w:rPr>
      </w:pPr>
    </w:p>
    <w:p>
      <w:pPr>
        <w:pStyle w:val="BodyText"/>
        <w:ind w:left="503" w:right="161"/>
      </w:pPr>
      <w:r>
        <w:rPr/>
        <w:t>Gains and losses on disposals are determined by comparing proceeds with carrying amount. These are included in the statement of comprehensive income.</w:t>
      </w:r>
    </w:p>
    <w:p>
      <w:pPr>
        <w:pStyle w:val="BodyText"/>
        <w:rPr>
          <w:sz w:val="25"/>
        </w:rPr>
      </w:pPr>
    </w:p>
    <w:p>
      <w:pPr>
        <w:pStyle w:val="BodyText"/>
        <w:ind w:left="503" w:right="220"/>
      </w:pPr>
      <w:r>
        <w:rPr/>
        <w:t>Whitlam Collection</w:t>
      </w:r>
    </w:p>
    <w:p>
      <w:pPr>
        <w:pStyle w:val="BodyText"/>
        <w:rPr>
          <w:sz w:val="25"/>
        </w:rPr>
      </w:pPr>
    </w:p>
    <w:p>
      <w:pPr>
        <w:pStyle w:val="BodyText"/>
        <w:ind w:left="503" w:right="611"/>
      </w:pPr>
      <w:r>
        <w:rPr/>
        <w:t>Assets comprising the Whitlam Collection have been donated to the Trust. Market valuations have been obtained froman independent valuer to determine the fair value of the collection in accordance with AASB 13 Fair Value Measurement and AASB116 Property, plant and Equipment. The Whitlam Collection was revalued in 2016 in accordance with the ultimate parent entity three year revaluation cycle.</w:t>
      </w:r>
    </w:p>
    <w:p>
      <w:pPr>
        <w:pStyle w:val="BodyText"/>
        <w:rPr>
          <w:sz w:val="25"/>
        </w:rPr>
      </w:pPr>
    </w:p>
    <w:p>
      <w:pPr>
        <w:pStyle w:val="BodyText"/>
        <w:ind w:left="503" w:right="92"/>
      </w:pPr>
      <w:r>
        <w:rPr/>
        <w:t>Increases in the carrying amounts arising on revaluation of the Whitlam Collection are recognised in other comprehensive income and accumulated in equity under the heading of revaluation surplus. To the extent that the increase reverses a decrease previously recognised in profit or loss, the increase is first recognised in profit or loss. Decreases that reverse previous increases of the same asset class are also recognised in other comprehensive income to the extent of the remaining reserve attributable to the asset class. All other decreases are charged to the income statement.</w:t>
      </w:r>
    </w:p>
    <w:p>
      <w:pPr>
        <w:pStyle w:val="BodyText"/>
        <w:spacing w:before="10"/>
        <w:rPr>
          <w:sz w:val="24"/>
        </w:rPr>
      </w:pPr>
    </w:p>
    <w:p>
      <w:pPr>
        <w:pStyle w:val="Heading9"/>
        <w:numPr>
          <w:ilvl w:val="0"/>
          <w:numId w:val="86"/>
        </w:numPr>
        <w:tabs>
          <w:tab w:pos="1071" w:val="left" w:leader="none"/>
        </w:tabs>
        <w:spacing w:line="240" w:lineRule="auto" w:before="0" w:after="0"/>
        <w:ind w:left="1070" w:right="0" w:hanging="566"/>
        <w:jc w:val="left"/>
      </w:pPr>
      <w:r>
        <w:rPr/>
        <w:t>Goods and Services Tax</w:t>
      </w:r>
      <w:r>
        <w:rPr>
          <w:spacing w:val="-2"/>
        </w:rPr>
        <w:t> </w:t>
      </w:r>
      <w:r>
        <w:rPr/>
        <w:t>(GST)</w:t>
      </w:r>
    </w:p>
    <w:p>
      <w:pPr>
        <w:pStyle w:val="BodyText"/>
        <w:rPr>
          <w:b/>
          <w:sz w:val="25"/>
        </w:rPr>
      </w:pPr>
    </w:p>
    <w:p>
      <w:pPr>
        <w:pStyle w:val="BodyText"/>
        <w:ind w:left="503" w:right="261"/>
      </w:pPr>
      <w:r>
        <w:rPr/>
        <w:t>Revenues, expenses and assets are recognised net of the amount of associated GST, unless the GST incurred is not recoverable from the Australian Taxation Office. In this case it is recognised as part of the cost of acquisition of the asset or as part of the expense.</w:t>
      </w:r>
    </w:p>
    <w:p>
      <w:pPr>
        <w:pStyle w:val="BodyText"/>
        <w:rPr>
          <w:sz w:val="25"/>
        </w:rPr>
      </w:pPr>
    </w:p>
    <w:p>
      <w:pPr>
        <w:pStyle w:val="BodyText"/>
        <w:ind w:left="503" w:right="401"/>
      </w:pPr>
      <w:r>
        <w:rPr/>
        <w:t>Receivables and payables are stated inclusive of the amount of GST receivable or payable. The net amount of GST recoverable from, or payable to, the Australian Taxation Office is included with other receivables or payables in the statement of financial position.</w:t>
      </w:r>
    </w:p>
    <w:p>
      <w:pPr>
        <w:pStyle w:val="BodyText"/>
        <w:rPr>
          <w:sz w:val="25"/>
        </w:rPr>
      </w:pPr>
    </w:p>
    <w:p>
      <w:pPr>
        <w:pStyle w:val="BodyText"/>
        <w:ind w:left="503" w:right="462"/>
      </w:pPr>
      <w:r>
        <w:rPr/>
        <w:t>Cash flows are presented on a gross basis. The GST components of cash flows arising from investing or financing activities which are recoverable from, or payable to the Australian Taxation Office, are presented as operating cash flows.</w:t>
      </w:r>
    </w:p>
    <w:p>
      <w:pPr>
        <w:pStyle w:val="BodyText"/>
        <w:spacing w:before="10"/>
        <w:rPr>
          <w:sz w:val="24"/>
        </w:rPr>
      </w:pPr>
    </w:p>
    <w:p>
      <w:pPr>
        <w:pStyle w:val="Heading9"/>
        <w:numPr>
          <w:ilvl w:val="0"/>
          <w:numId w:val="86"/>
        </w:numPr>
        <w:tabs>
          <w:tab w:pos="1071" w:val="left" w:leader="none"/>
        </w:tabs>
        <w:spacing w:line="240" w:lineRule="auto" w:before="1" w:after="0"/>
        <w:ind w:left="1070" w:right="0" w:hanging="566"/>
        <w:jc w:val="left"/>
      </w:pPr>
      <w:r>
        <w:rPr/>
        <w:t>Comparative</w:t>
      </w:r>
      <w:r>
        <w:rPr>
          <w:spacing w:val="-1"/>
        </w:rPr>
        <w:t> </w:t>
      </w:r>
      <w:r>
        <w:rPr/>
        <w:t>amounts</w:t>
      </w:r>
    </w:p>
    <w:p>
      <w:pPr>
        <w:pStyle w:val="BodyText"/>
        <w:rPr>
          <w:b/>
          <w:sz w:val="25"/>
        </w:rPr>
      </w:pPr>
    </w:p>
    <w:p>
      <w:pPr>
        <w:pStyle w:val="BodyText"/>
        <w:ind w:left="503" w:right="442"/>
      </w:pPr>
      <w:r>
        <w:rPr/>
        <w:t>Where necessary, comparative information has been reclassified to enhance comparability in respect of changes in presentation adopted in the current year. No comparatives were restated in the financial statements.</w:t>
      </w:r>
    </w:p>
    <w:p>
      <w:pPr>
        <w:spacing w:after="0"/>
        <w:sectPr>
          <w:pgSz w:w="11910" w:h="16840"/>
          <w:pgMar w:header="1038" w:footer="507" w:top="2520" w:bottom="700" w:left="900" w:right="880"/>
        </w:sectPr>
      </w:pPr>
    </w:p>
    <w:p>
      <w:pPr>
        <w:pStyle w:val="BodyText"/>
        <w:rPr>
          <w:sz w:val="20"/>
        </w:rPr>
      </w:pPr>
    </w:p>
    <w:p>
      <w:pPr>
        <w:pStyle w:val="BodyText"/>
        <w:rPr>
          <w:sz w:val="20"/>
        </w:rPr>
      </w:pPr>
    </w:p>
    <w:p>
      <w:pPr>
        <w:pStyle w:val="BodyText"/>
        <w:spacing w:before="4"/>
      </w:pPr>
    </w:p>
    <w:p>
      <w:pPr>
        <w:pStyle w:val="Heading9"/>
        <w:numPr>
          <w:ilvl w:val="0"/>
          <w:numId w:val="88"/>
        </w:numPr>
        <w:tabs>
          <w:tab w:pos="504" w:val="left" w:leader="none"/>
        </w:tabs>
        <w:spacing w:line="240" w:lineRule="auto" w:before="0" w:after="0"/>
        <w:ind w:left="503" w:right="0" w:hanging="394"/>
        <w:jc w:val="left"/>
      </w:pPr>
      <w:r>
        <w:rPr/>
        <w:t>Summary of Significant Accounting Policies</w:t>
      </w:r>
      <w:r>
        <w:rPr>
          <w:spacing w:val="-5"/>
        </w:rPr>
        <w:t> </w:t>
      </w:r>
      <w:r>
        <w:rPr/>
        <w:t>(continued)</w:t>
      </w:r>
    </w:p>
    <w:p>
      <w:pPr>
        <w:pStyle w:val="BodyText"/>
        <w:spacing w:before="11"/>
        <w:rPr>
          <w:b/>
          <w:sz w:val="24"/>
        </w:rPr>
      </w:pPr>
    </w:p>
    <w:p>
      <w:pPr>
        <w:pStyle w:val="ListParagraph"/>
        <w:numPr>
          <w:ilvl w:val="0"/>
          <w:numId w:val="86"/>
        </w:numPr>
        <w:tabs>
          <w:tab w:pos="1071" w:val="left" w:leader="none"/>
        </w:tabs>
        <w:spacing w:line="240" w:lineRule="auto" w:before="0" w:after="0"/>
        <w:ind w:left="1070" w:right="0" w:hanging="566"/>
        <w:jc w:val="left"/>
        <w:rPr>
          <w:b/>
          <w:sz w:val="18"/>
        </w:rPr>
      </w:pPr>
      <w:r>
        <w:rPr>
          <w:b/>
          <w:sz w:val="18"/>
        </w:rPr>
        <w:t>New accounting standards and</w:t>
      </w:r>
      <w:r>
        <w:rPr>
          <w:b/>
          <w:spacing w:val="-1"/>
          <w:sz w:val="18"/>
        </w:rPr>
        <w:t> </w:t>
      </w:r>
      <w:r>
        <w:rPr>
          <w:b/>
          <w:sz w:val="18"/>
        </w:rPr>
        <w:t>interpretations</w:t>
      </w:r>
    </w:p>
    <w:p>
      <w:pPr>
        <w:pStyle w:val="BodyText"/>
        <w:rPr>
          <w:b/>
          <w:sz w:val="25"/>
        </w:rPr>
      </w:pPr>
    </w:p>
    <w:p>
      <w:pPr>
        <w:pStyle w:val="BodyText"/>
        <w:ind w:left="504" w:right="146"/>
      </w:pPr>
      <w:r>
        <w:rPr/>
        <w:t>Certain new accounting standards and interpretations have been published that are not mandatory for 31 December 2017 reporting periods and have not yet been applied in the financial statements. The Trust's assessment of the impact of these new standards and interpretations is that they will not materially affect any of the amounts recognised in the financial statements or significantly impact the disclosures in relation to the Trust.</w:t>
      </w:r>
    </w:p>
    <w:p>
      <w:pPr>
        <w:pStyle w:val="BodyText"/>
        <w:spacing w:before="11"/>
        <w:rPr>
          <w:sz w:val="24"/>
        </w:rPr>
      </w:pPr>
    </w:p>
    <w:p>
      <w:pPr>
        <w:pStyle w:val="Heading9"/>
        <w:numPr>
          <w:ilvl w:val="0"/>
          <w:numId w:val="86"/>
        </w:numPr>
        <w:tabs>
          <w:tab w:pos="1071" w:val="left" w:leader="none"/>
        </w:tabs>
        <w:spacing w:line="240" w:lineRule="auto" w:before="0" w:after="0"/>
        <w:ind w:left="1070" w:right="0" w:hanging="566"/>
        <w:jc w:val="left"/>
      </w:pPr>
      <w:r>
        <w:rPr/>
        <w:t>Critical accounting estimates and</w:t>
      </w:r>
      <w:r>
        <w:rPr>
          <w:spacing w:val="-4"/>
        </w:rPr>
        <w:t> </w:t>
      </w:r>
      <w:r>
        <w:rPr/>
        <w:t>judgments</w:t>
      </w:r>
    </w:p>
    <w:p>
      <w:pPr>
        <w:pStyle w:val="BodyText"/>
        <w:rPr>
          <w:b/>
          <w:sz w:val="25"/>
        </w:rPr>
      </w:pPr>
    </w:p>
    <w:p>
      <w:pPr>
        <w:pStyle w:val="BodyText"/>
        <w:ind w:left="503" w:right="181"/>
      </w:pPr>
      <w:r>
        <w:rPr/>
        <w:t>The preparation of financial statements requires the use of certain critical accounting estimates. It also requires management to exercise its judgement in the process of applying the Trust's accounting policies. Estimates and judgements are continually evaluated and are based on historic experience and other factors, including expectations of future events that may have a financial impact on the Trust and that are believed to be reasonable under the circumstances.</w:t>
      </w:r>
    </w:p>
    <w:p>
      <w:pPr>
        <w:pStyle w:val="BodyText"/>
        <w:rPr>
          <w:sz w:val="25"/>
        </w:rPr>
      </w:pPr>
    </w:p>
    <w:p>
      <w:pPr>
        <w:pStyle w:val="BodyText"/>
        <w:ind w:left="503" w:right="161"/>
      </w:pPr>
      <w:r>
        <w:rPr/>
        <w:t>The valuation of assets and the estimate of useful life uses estimates and judgments.</w:t>
      </w:r>
    </w:p>
    <w:p>
      <w:pPr>
        <w:pStyle w:val="BodyText"/>
        <w:rPr>
          <w:sz w:val="25"/>
        </w:rPr>
      </w:pPr>
    </w:p>
    <w:p>
      <w:pPr>
        <w:pStyle w:val="BodyText"/>
        <w:ind w:left="503" w:right="91"/>
      </w:pPr>
      <w:r>
        <w:rPr/>
        <w:t>The valuation of the Whitlam Collection within Property Plant and Equipment has been signed by an independent expert valuer Peter Tinslay, Valuer on the basis of a fair value for accounting purposes.</w:t>
      </w:r>
    </w:p>
    <w:p>
      <w:pPr>
        <w:pStyle w:val="BodyText"/>
        <w:spacing w:before="10"/>
        <w:rPr>
          <w:sz w:val="24"/>
        </w:rPr>
      </w:pPr>
    </w:p>
    <w:p>
      <w:pPr>
        <w:pStyle w:val="Heading9"/>
        <w:numPr>
          <w:ilvl w:val="0"/>
          <w:numId w:val="86"/>
        </w:numPr>
        <w:tabs>
          <w:tab w:pos="1071" w:val="left" w:leader="none"/>
        </w:tabs>
        <w:spacing w:line="240" w:lineRule="auto" w:before="1" w:after="0"/>
        <w:ind w:left="1070" w:right="0" w:hanging="566"/>
        <w:jc w:val="left"/>
      </w:pPr>
      <w:r>
        <w:rPr/>
        <w:t>Adoption of new and revised accounting</w:t>
      </w:r>
      <w:r>
        <w:rPr>
          <w:spacing w:val="-1"/>
        </w:rPr>
        <w:t> </w:t>
      </w:r>
      <w:r>
        <w:rPr/>
        <w:t>standards</w:t>
      </w:r>
    </w:p>
    <w:p>
      <w:pPr>
        <w:pStyle w:val="BodyText"/>
        <w:rPr>
          <w:b/>
          <w:sz w:val="25"/>
        </w:rPr>
      </w:pPr>
    </w:p>
    <w:p>
      <w:pPr>
        <w:pStyle w:val="BodyText"/>
        <w:ind w:left="532" w:right="162"/>
      </w:pPr>
      <w:r>
        <w:rPr/>
        <w:t>The Trust has adopted all standards which became effective for the first time for the financial year beginning 1 January 2017. The adoption of these standards has not caused any material adjustments to the reported financial position, performance or cash flow of the Trust.</w:t>
      </w:r>
    </w:p>
    <w:p>
      <w:pPr>
        <w:spacing w:after="0"/>
        <w:sectPr>
          <w:pgSz w:w="11910" w:h="16840"/>
          <w:pgMar w:header="1038" w:footer="507" w:top="2520" w:bottom="700" w:left="900" w:right="860"/>
        </w:sectPr>
      </w:pPr>
    </w:p>
    <w:p>
      <w:pPr>
        <w:pStyle w:val="BodyText"/>
        <w:rPr>
          <w:sz w:val="20"/>
        </w:rPr>
      </w:pPr>
    </w:p>
    <w:p>
      <w:pPr>
        <w:pStyle w:val="BodyText"/>
        <w:rPr>
          <w:sz w:val="20"/>
        </w:rPr>
      </w:pPr>
    </w:p>
    <w:p>
      <w:pPr>
        <w:pStyle w:val="BodyText"/>
        <w:spacing w:before="4"/>
      </w:pPr>
    </w:p>
    <w:p>
      <w:pPr>
        <w:pStyle w:val="Heading9"/>
        <w:numPr>
          <w:ilvl w:val="0"/>
          <w:numId w:val="88"/>
        </w:numPr>
        <w:tabs>
          <w:tab w:pos="506" w:val="left" w:leader="none"/>
        </w:tabs>
        <w:spacing w:line="240" w:lineRule="auto" w:before="0" w:after="0"/>
        <w:ind w:left="505" w:right="0" w:hanging="396"/>
        <w:jc w:val="left"/>
      </w:pPr>
      <w:r>
        <w:rPr/>
        <w:t>Financial Risk</w:t>
      </w:r>
      <w:r>
        <w:rPr>
          <w:spacing w:val="-7"/>
        </w:rPr>
        <w:t> </w:t>
      </w:r>
      <w:r>
        <w:rPr/>
        <w:t>Management</w:t>
      </w:r>
    </w:p>
    <w:p>
      <w:pPr>
        <w:pStyle w:val="BodyText"/>
        <w:rPr>
          <w:b/>
          <w:sz w:val="25"/>
        </w:rPr>
      </w:pPr>
    </w:p>
    <w:p>
      <w:pPr>
        <w:pStyle w:val="BodyText"/>
        <w:ind w:left="532" w:right="93"/>
      </w:pPr>
      <w:r>
        <w:rPr/>
        <w:t>The main risks the Trust is exposed to through its financial instruments are liquidity risk and market risk (interest rate risk). The Trust's overall risk management program focuses on the unpredictability of financial markets and seeks to minimise potential adverse effects on the financial performance of the Trust. The Trust uses different methods to measure different types of risk to which it is exposed. These methods include sensitivity analysis in the case of interest rate and ageing analysis for credit risk.</w:t>
      </w:r>
    </w:p>
    <w:p>
      <w:pPr>
        <w:pStyle w:val="BodyText"/>
        <w:spacing w:before="3"/>
      </w:pPr>
    </w:p>
    <w:p>
      <w:pPr>
        <w:spacing w:after="0"/>
        <w:sectPr>
          <w:pgSz w:w="11910" w:h="16840"/>
          <w:pgMar w:header="1038" w:footer="507" w:top="2520" w:bottom="700" w:left="900" w:right="940"/>
        </w:sectPr>
      </w:pPr>
    </w:p>
    <w:p>
      <w:pPr>
        <w:pStyle w:val="BodyText"/>
        <w:spacing w:before="77"/>
        <w:ind w:left="532" w:right="-19"/>
      </w:pPr>
      <w:r>
        <w:rPr/>
        <w:t>The Trust holds the following financial instruments:</w:t>
      </w:r>
    </w:p>
    <w:p>
      <w:pPr>
        <w:pStyle w:val="BodyText"/>
      </w:pPr>
    </w:p>
    <w:p>
      <w:pPr>
        <w:pStyle w:val="BodyText"/>
      </w:pPr>
    </w:p>
    <w:p>
      <w:pPr>
        <w:pStyle w:val="Heading9"/>
        <w:spacing w:before="132"/>
        <w:ind w:left="504" w:right="-19"/>
      </w:pPr>
      <w:r>
        <w:rPr/>
        <w:t>Financial Assets</w:t>
      </w:r>
    </w:p>
    <w:p>
      <w:pPr>
        <w:pStyle w:val="BodyText"/>
        <w:rPr>
          <w:b/>
        </w:rPr>
      </w:pPr>
      <w:r>
        <w:rPr/>
        <w:br w:type="column"/>
      </w:r>
      <w:r>
        <w:rPr>
          <w:b/>
        </w:rPr>
      </w:r>
    </w:p>
    <w:p>
      <w:pPr>
        <w:pStyle w:val="BodyText"/>
        <w:rPr>
          <w:b/>
        </w:rPr>
      </w:pPr>
    </w:p>
    <w:p>
      <w:pPr>
        <w:pStyle w:val="BodyText"/>
        <w:spacing w:before="4"/>
        <w:rPr>
          <w:b/>
          <w:sz w:val="15"/>
        </w:rPr>
      </w:pPr>
    </w:p>
    <w:p>
      <w:pPr>
        <w:spacing w:before="0"/>
        <w:ind w:left="504" w:right="-20" w:firstLine="0"/>
        <w:jc w:val="left"/>
        <w:rPr>
          <w:b/>
          <w:sz w:val="18"/>
        </w:rPr>
      </w:pPr>
      <w:r>
        <w:rPr>
          <w:b/>
          <w:sz w:val="18"/>
        </w:rPr>
        <w:t>Notes</w:t>
      </w:r>
    </w:p>
    <w:p>
      <w:pPr>
        <w:pStyle w:val="BodyText"/>
        <w:rPr>
          <w:b/>
        </w:rPr>
      </w:pPr>
      <w:r>
        <w:rPr/>
        <w:br w:type="column"/>
      </w:r>
      <w:r>
        <w:rPr>
          <w:b/>
        </w:rPr>
      </w:r>
    </w:p>
    <w:p>
      <w:pPr>
        <w:spacing w:before="110"/>
        <w:ind w:left="460" w:right="0" w:firstLine="0"/>
        <w:jc w:val="center"/>
        <w:rPr>
          <w:b/>
          <w:sz w:val="18"/>
        </w:rPr>
      </w:pPr>
      <w:r>
        <w:rPr>
          <w:b/>
          <w:sz w:val="18"/>
        </w:rPr>
        <w:t>2017</w:t>
      </w:r>
    </w:p>
    <w:p>
      <w:pPr>
        <w:spacing w:before="66"/>
        <w:ind w:left="0" w:right="148" w:firstLine="0"/>
        <w:jc w:val="right"/>
        <w:rPr>
          <w:b/>
          <w:sz w:val="18"/>
        </w:rPr>
      </w:pPr>
      <w:r>
        <w:rPr>
          <w:b/>
          <w:w w:val="99"/>
          <w:sz w:val="18"/>
        </w:rPr>
        <w:t>$</w:t>
      </w:r>
    </w:p>
    <w:p>
      <w:pPr>
        <w:pStyle w:val="BodyText"/>
        <w:rPr>
          <w:b/>
        </w:rPr>
      </w:pPr>
      <w:r>
        <w:rPr/>
        <w:br w:type="column"/>
      </w:r>
      <w:r>
        <w:rPr>
          <w:b/>
        </w:rPr>
      </w:r>
    </w:p>
    <w:p>
      <w:pPr>
        <w:spacing w:before="110"/>
        <w:ind w:left="485" w:right="484" w:firstLine="0"/>
        <w:jc w:val="center"/>
        <w:rPr>
          <w:b/>
          <w:sz w:val="18"/>
        </w:rPr>
      </w:pPr>
      <w:r>
        <w:rPr>
          <w:b/>
          <w:sz w:val="18"/>
        </w:rPr>
        <w:t>2016</w:t>
      </w:r>
    </w:p>
    <w:p>
      <w:pPr>
        <w:spacing w:before="66"/>
        <w:ind w:left="1" w:right="0" w:firstLine="0"/>
        <w:jc w:val="center"/>
        <w:rPr>
          <w:b/>
          <w:sz w:val="18"/>
        </w:rPr>
      </w:pPr>
      <w:r>
        <w:rPr>
          <w:b/>
          <w:w w:val="99"/>
          <w:sz w:val="18"/>
        </w:rPr>
        <w:t>$</w:t>
      </w:r>
    </w:p>
    <w:p>
      <w:pPr>
        <w:spacing w:after="0"/>
        <w:jc w:val="center"/>
        <w:rPr>
          <w:sz w:val="18"/>
        </w:rPr>
        <w:sectPr>
          <w:type w:val="continuous"/>
          <w:pgSz w:w="11910" w:h="16840"/>
          <w:pgMar w:top="1580" w:bottom="280" w:left="900" w:right="940"/>
          <w:cols w:num="4" w:equalWidth="0">
            <w:col w:w="4575" w:space="1798"/>
            <w:col w:w="1005" w:space="40"/>
            <w:col w:w="862" w:space="379"/>
            <w:col w:w="1411"/>
          </w:cols>
        </w:sectPr>
      </w:pPr>
    </w:p>
    <w:p>
      <w:pPr>
        <w:tabs>
          <w:tab w:pos="6851" w:val="left" w:leader="none"/>
          <w:tab w:pos="7429" w:val="left" w:leader="none"/>
          <w:tab w:pos="7989" w:val="left" w:leader="none"/>
          <w:tab w:pos="8188" w:val="left" w:leader="none"/>
          <w:tab w:pos="9287" w:val="left" w:leader="none"/>
          <w:tab w:pos="9487" w:val="left" w:leader="none"/>
        </w:tabs>
        <w:spacing w:line="271" w:lineRule="auto" w:before="0"/>
        <w:ind w:left="504" w:right="123" w:firstLine="0"/>
        <w:jc w:val="right"/>
        <w:rPr>
          <w:sz w:val="18"/>
        </w:rPr>
      </w:pPr>
      <w:r>
        <w:rPr>
          <w:sz w:val="18"/>
        </w:rPr>
        <w:t>Cash and</w:t>
      </w:r>
      <w:r>
        <w:rPr>
          <w:spacing w:val="-1"/>
          <w:sz w:val="18"/>
        </w:rPr>
        <w:t> </w:t>
      </w:r>
      <w:r>
        <w:rPr>
          <w:sz w:val="18"/>
        </w:rPr>
        <w:t>cash</w:t>
      </w:r>
      <w:r>
        <w:rPr>
          <w:spacing w:val="-1"/>
          <w:sz w:val="18"/>
        </w:rPr>
        <w:t> </w:t>
      </w:r>
      <w:r>
        <w:rPr>
          <w:sz w:val="18"/>
        </w:rPr>
        <w:t>equivalents</w:t>
        <w:tab/>
        <w:t>7</w:t>
        <w:tab/>
        <w:tab/>
      </w:r>
      <w:r>
        <w:rPr>
          <w:b/>
          <w:sz w:val="18"/>
        </w:rPr>
        <w:t>766,186</w:t>
        <w:tab/>
      </w:r>
      <w:r>
        <w:rPr>
          <w:spacing w:val="-1"/>
          <w:sz w:val="18"/>
        </w:rPr>
        <w:t>575,222 </w:t>
      </w:r>
      <w:r>
        <w:rPr>
          <w:sz w:val="18"/>
        </w:rPr>
        <w:t>Trade and other</w:t>
      </w:r>
      <w:r>
        <w:rPr>
          <w:spacing w:val="-1"/>
          <w:sz w:val="18"/>
        </w:rPr>
        <w:t> </w:t>
      </w:r>
      <w:r>
        <w:rPr>
          <w:sz w:val="18"/>
        </w:rPr>
        <w:t>receivables</w:t>
      </w:r>
      <w:r>
        <w:rPr>
          <w:spacing w:val="-5"/>
          <w:sz w:val="18"/>
        </w:rPr>
        <w:t> </w:t>
      </w:r>
      <w:r>
        <w:rPr>
          <w:position w:val="5"/>
          <w:sz w:val="12"/>
        </w:rPr>
        <w:t>(1)</w:t>
        <w:tab/>
        <w:tab/>
      </w:r>
      <w:r>
        <w:rPr>
          <w:rFonts w:ascii="Times New Roman"/>
          <w:position w:val="-2"/>
          <w:sz w:val="18"/>
          <w:u w:val="single"/>
        </w:rPr>
        <w:t> </w:t>
        <w:tab/>
        <w:tab/>
      </w:r>
      <w:r>
        <w:rPr>
          <w:b/>
          <w:position w:val="-2"/>
          <w:sz w:val="18"/>
          <w:u w:val="single"/>
        </w:rPr>
        <w:t>3,752</w:t>
        <w:tab/>
        <w:tab/>
      </w:r>
      <w:r>
        <w:rPr>
          <w:w w:val="95"/>
          <w:position w:val="-2"/>
          <w:sz w:val="18"/>
          <w:u w:val="single"/>
        </w:rPr>
        <w:t>3,700</w:t>
      </w:r>
    </w:p>
    <w:p>
      <w:pPr>
        <w:tabs>
          <w:tab w:pos="560" w:val="left" w:leader="none"/>
          <w:tab w:pos="1858" w:val="left" w:leader="none"/>
        </w:tabs>
        <w:spacing w:line="183" w:lineRule="exact" w:before="0"/>
        <w:ind w:left="0" w:right="123" w:firstLine="0"/>
        <w:jc w:val="right"/>
        <w:rPr>
          <w:sz w:val="18"/>
        </w:rPr>
      </w:pPr>
      <w:r>
        <w:rPr>
          <w:rFonts w:ascii="Times New Roman"/>
          <w:sz w:val="18"/>
          <w:u w:val="thick"/>
        </w:rPr>
        <w:t> </w:t>
        <w:tab/>
      </w:r>
      <w:r>
        <w:rPr>
          <w:b/>
          <w:sz w:val="18"/>
          <w:u w:val="thick"/>
        </w:rPr>
        <w:t>769,938</w:t>
        <w:tab/>
      </w:r>
      <w:r>
        <w:rPr>
          <w:w w:val="95"/>
          <w:sz w:val="18"/>
          <w:u w:val="thick"/>
        </w:rPr>
        <w:t>578,922</w:t>
      </w:r>
    </w:p>
    <w:p>
      <w:pPr>
        <w:pStyle w:val="BodyText"/>
        <w:spacing w:before="8"/>
        <w:rPr>
          <w:sz w:val="14"/>
        </w:rPr>
      </w:pPr>
    </w:p>
    <w:p>
      <w:pPr>
        <w:pStyle w:val="Heading9"/>
        <w:spacing w:before="1"/>
        <w:ind w:left="504" w:right="258"/>
      </w:pPr>
      <w:r>
        <w:rPr/>
        <w:t>Financial Liabilities</w:t>
      </w:r>
    </w:p>
    <w:p>
      <w:pPr>
        <w:pStyle w:val="BodyText"/>
        <w:tabs>
          <w:tab w:pos="6925" w:val="left" w:leader="none"/>
          <w:tab w:pos="7485" w:val="left" w:leader="none"/>
          <w:tab w:pos="9371" w:val="left" w:leader="none"/>
        </w:tabs>
        <w:spacing w:before="27"/>
        <w:ind w:right="126"/>
        <w:jc w:val="right"/>
      </w:pPr>
      <w:r>
        <w:rPr/>
        <w:t>Amount owed to Ultimate</w:t>
      </w:r>
      <w:r>
        <w:rPr>
          <w:spacing w:val="-1"/>
        </w:rPr>
        <w:t> </w:t>
      </w:r>
      <w:r>
        <w:rPr/>
        <w:t>Parent</w:t>
      </w:r>
      <w:r>
        <w:rPr>
          <w:spacing w:val="-1"/>
        </w:rPr>
        <w:t> </w:t>
      </w:r>
      <w:r>
        <w:rPr/>
        <w:t>Entity</w:t>
        <w:tab/>
      </w:r>
      <w:r>
        <w:rPr>
          <w:rFonts w:ascii="Times New Roman"/>
          <w:position w:val="-2"/>
          <w:u w:val="single"/>
        </w:rPr>
        <w:t> </w:t>
        <w:tab/>
      </w:r>
      <w:r>
        <w:rPr>
          <w:b/>
          <w:position w:val="-2"/>
          <w:u w:val="single"/>
        </w:rPr>
        <w:t>103,964</w:t>
        <w:tab/>
      </w:r>
      <w:r>
        <w:rPr>
          <w:position w:val="-2"/>
          <w:u w:val="single"/>
        </w:rPr>
        <w:t>-</w:t>
      </w:r>
    </w:p>
    <w:p>
      <w:pPr>
        <w:tabs>
          <w:tab w:pos="560" w:val="left" w:leader="none"/>
          <w:tab w:pos="2446" w:val="left" w:leader="none"/>
        </w:tabs>
        <w:spacing w:before="6"/>
        <w:ind w:left="0" w:right="126" w:firstLine="0"/>
        <w:jc w:val="right"/>
        <w:rPr>
          <w:sz w:val="18"/>
        </w:rPr>
      </w:pPr>
      <w:r>
        <w:rPr>
          <w:rFonts w:ascii="Times New Roman"/>
          <w:sz w:val="18"/>
          <w:u w:val="thick"/>
        </w:rPr>
        <w:t> </w:t>
        <w:tab/>
      </w:r>
      <w:r>
        <w:rPr>
          <w:b/>
          <w:sz w:val="18"/>
          <w:u w:val="thick"/>
        </w:rPr>
        <w:t>103,964</w:t>
        <w:tab/>
      </w:r>
      <w:r>
        <w:rPr>
          <w:sz w:val="18"/>
          <w:u w:val="thick"/>
        </w:rPr>
        <w:t>-</w:t>
      </w:r>
    </w:p>
    <w:p>
      <w:pPr>
        <w:pStyle w:val="BodyText"/>
        <w:spacing w:before="10"/>
        <w:rPr>
          <w:sz w:val="20"/>
        </w:rPr>
      </w:pPr>
    </w:p>
    <w:p>
      <w:pPr>
        <w:pStyle w:val="ListParagraph"/>
        <w:numPr>
          <w:ilvl w:val="1"/>
          <w:numId w:val="88"/>
        </w:numPr>
        <w:tabs>
          <w:tab w:pos="1342" w:val="left" w:leader="none"/>
        </w:tabs>
        <w:spacing w:line="240" w:lineRule="auto" w:before="77" w:after="0"/>
        <w:ind w:left="1341" w:right="0" w:hanging="270"/>
        <w:jc w:val="left"/>
        <w:rPr>
          <w:sz w:val="18"/>
        </w:rPr>
      </w:pPr>
      <w:r>
        <w:rPr>
          <w:sz w:val="18"/>
        </w:rPr>
        <w:t>Excludes statutory receivables and prepayments (not within the scope of AASB</w:t>
      </w:r>
      <w:r>
        <w:rPr>
          <w:spacing w:val="-1"/>
          <w:sz w:val="18"/>
        </w:rPr>
        <w:t> </w:t>
      </w:r>
      <w:r>
        <w:rPr>
          <w:sz w:val="18"/>
        </w:rPr>
        <w:t>7).</w:t>
      </w:r>
    </w:p>
    <w:p>
      <w:pPr>
        <w:pStyle w:val="BodyText"/>
        <w:spacing w:before="7"/>
        <w:rPr>
          <w:sz w:val="26"/>
        </w:rPr>
      </w:pPr>
    </w:p>
    <w:p>
      <w:pPr>
        <w:pStyle w:val="Heading9"/>
        <w:numPr>
          <w:ilvl w:val="0"/>
          <w:numId w:val="89"/>
        </w:numPr>
        <w:tabs>
          <w:tab w:pos="1072" w:val="left" w:leader="none"/>
        </w:tabs>
        <w:spacing w:line="240" w:lineRule="auto" w:before="0" w:after="0"/>
        <w:ind w:left="1071" w:right="0" w:hanging="566"/>
        <w:jc w:val="left"/>
      </w:pPr>
      <w:r>
        <w:rPr/>
        <w:t>Credit</w:t>
      </w:r>
      <w:r>
        <w:rPr>
          <w:spacing w:val="-1"/>
        </w:rPr>
        <w:t> </w:t>
      </w:r>
      <w:r>
        <w:rPr/>
        <w:t>risk</w:t>
      </w:r>
    </w:p>
    <w:p>
      <w:pPr>
        <w:pStyle w:val="BodyText"/>
        <w:spacing w:before="4"/>
        <w:rPr>
          <w:b/>
          <w:sz w:val="25"/>
        </w:rPr>
      </w:pPr>
    </w:p>
    <w:p>
      <w:pPr>
        <w:pStyle w:val="BodyText"/>
        <w:ind w:left="503" w:right="221"/>
      </w:pPr>
      <w:r>
        <w:rPr/>
        <w:t>The credit risk on financial assets of the Trust which have been recognised on the statement of financial position is generally the carrying amount, net of provision for loss. Credit risk arises when there is the possibility of the Trust's debtors defaulting on their contractual obligations, resulting in financial loss to the Trust. The Trust does not have any significant exposure to any unrelated debtor.</w:t>
      </w:r>
    </w:p>
    <w:p>
      <w:pPr>
        <w:pStyle w:val="BodyText"/>
        <w:rPr>
          <w:sz w:val="25"/>
        </w:rPr>
      </w:pPr>
    </w:p>
    <w:p>
      <w:pPr>
        <w:pStyle w:val="BodyText"/>
        <w:ind w:left="503" w:right="258"/>
      </w:pPr>
      <w:r>
        <w:rPr/>
        <w:t>The following table details the Trust's trade and other receivables exposure to credit risk with ageing analysis.</w:t>
      </w:r>
    </w:p>
    <w:p>
      <w:pPr>
        <w:pStyle w:val="BodyText"/>
        <w:rPr>
          <w:sz w:val="20"/>
        </w:rPr>
      </w:pPr>
    </w:p>
    <w:p>
      <w:pPr>
        <w:pStyle w:val="BodyText"/>
        <w:spacing w:before="2"/>
        <w:rPr>
          <w:sz w:val="16"/>
        </w:rPr>
      </w:pPr>
    </w:p>
    <w:p>
      <w:pPr>
        <w:spacing w:after="0"/>
        <w:rPr>
          <w:sz w:val="16"/>
        </w:rPr>
        <w:sectPr>
          <w:type w:val="continuous"/>
          <w:pgSz w:w="11910" w:h="16840"/>
          <w:pgMar w:top="1580" w:bottom="280" w:left="900" w:right="940"/>
        </w:sectPr>
      </w:pPr>
    </w:p>
    <w:p>
      <w:pPr>
        <w:pStyle w:val="Heading9"/>
        <w:spacing w:line="207" w:lineRule="exact" w:before="77"/>
        <w:jc w:val="right"/>
      </w:pPr>
      <w:r>
        <w:rPr/>
        <w:t>2017</w:t>
      </w:r>
    </w:p>
    <w:p>
      <w:pPr>
        <w:spacing w:line="207" w:lineRule="exact" w:before="0"/>
        <w:ind w:left="0" w:right="148" w:firstLine="0"/>
        <w:jc w:val="right"/>
        <w:rPr>
          <w:b/>
          <w:sz w:val="18"/>
        </w:rPr>
      </w:pPr>
      <w:r>
        <w:rPr>
          <w:b/>
          <w:w w:val="99"/>
          <w:sz w:val="18"/>
        </w:rPr>
        <w:t>$</w:t>
      </w:r>
    </w:p>
    <w:p>
      <w:pPr>
        <w:spacing w:line="207" w:lineRule="exact" w:before="77"/>
        <w:ind w:left="838" w:right="482" w:firstLine="0"/>
        <w:jc w:val="center"/>
        <w:rPr>
          <w:b/>
          <w:sz w:val="18"/>
        </w:rPr>
      </w:pPr>
      <w:r>
        <w:rPr/>
        <w:br w:type="column"/>
      </w:r>
      <w:r>
        <w:rPr>
          <w:b/>
          <w:sz w:val="18"/>
        </w:rPr>
        <w:t>2016</w:t>
      </w:r>
    </w:p>
    <w:p>
      <w:pPr>
        <w:spacing w:line="207" w:lineRule="exact" w:before="0"/>
        <w:ind w:left="356" w:right="0" w:firstLine="0"/>
        <w:jc w:val="center"/>
        <w:rPr>
          <w:b/>
          <w:sz w:val="18"/>
        </w:rPr>
      </w:pPr>
      <w:r>
        <w:rPr>
          <w:b/>
          <w:w w:val="99"/>
          <w:sz w:val="18"/>
        </w:rPr>
        <w:t>$</w:t>
      </w:r>
    </w:p>
    <w:p>
      <w:pPr>
        <w:spacing w:after="0" w:line="207" w:lineRule="exact"/>
        <w:jc w:val="center"/>
        <w:rPr>
          <w:sz w:val="18"/>
        </w:rPr>
        <w:sectPr>
          <w:type w:val="continuous"/>
          <w:pgSz w:w="11910" w:h="16840"/>
          <w:pgMar w:top="1580" w:bottom="280" w:left="900" w:right="940"/>
          <w:cols w:num="2" w:equalWidth="0">
            <w:col w:w="8268" w:space="40"/>
            <w:col w:w="1762"/>
          </w:cols>
        </w:sectPr>
      </w:pPr>
    </w:p>
    <w:p>
      <w:pPr>
        <w:tabs>
          <w:tab w:pos="8191" w:val="left" w:leader="none"/>
          <w:tab w:pos="9489" w:val="left" w:leader="none"/>
        </w:tabs>
        <w:spacing w:line="206" w:lineRule="exact" w:before="0"/>
        <w:ind w:left="503" w:right="0" w:firstLine="0"/>
        <w:jc w:val="left"/>
        <w:rPr>
          <w:sz w:val="18"/>
        </w:rPr>
      </w:pPr>
      <w:r>
        <w:rPr>
          <w:sz w:val="18"/>
        </w:rPr>
        <w:t>Up to</w:t>
      </w:r>
      <w:r>
        <w:rPr>
          <w:spacing w:val="-1"/>
          <w:sz w:val="18"/>
        </w:rPr>
        <w:t> </w:t>
      </w:r>
      <w:r>
        <w:rPr>
          <w:sz w:val="18"/>
        </w:rPr>
        <w:t>3 months</w:t>
        <w:tab/>
      </w:r>
      <w:r>
        <w:rPr>
          <w:b/>
          <w:sz w:val="18"/>
        </w:rPr>
        <w:t>2,600</w:t>
        <w:tab/>
      </w:r>
      <w:r>
        <w:rPr>
          <w:sz w:val="18"/>
        </w:rPr>
        <w:t>2,645</w:t>
      </w:r>
    </w:p>
    <w:p>
      <w:pPr>
        <w:tabs>
          <w:tab w:pos="7431" w:val="left" w:leader="none"/>
          <w:tab w:pos="8191" w:val="left" w:leader="none"/>
          <w:tab w:pos="9489" w:val="left" w:leader="none"/>
        </w:tabs>
        <w:spacing w:line="207" w:lineRule="exact" w:before="0"/>
        <w:ind w:left="503" w:right="0" w:firstLine="0"/>
        <w:jc w:val="left"/>
        <w:rPr>
          <w:sz w:val="18"/>
        </w:rPr>
      </w:pPr>
      <w:r>
        <w:rPr>
          <w:sz w:val="18"/>
        </w:rPr>
        <w:t>3 to</w:t>
      </w:r>
      <w:r>
        <w:rPr>
          <w:spacing w:val="-1"/>
          <w:sz w:val="18"/>
        </w:rPr>
        <w:t> </w:t>
      </w:r>
      <w:r>
        <w:rPr>
          <w:sz w:val="18"/>
        </w:rPr>
        <w:t>6 months</w:t>
        <w:tab/>
      </w:r>
      <w:r>
        <w:rPr>
          <w:rFonts w:ascii="Times New Roman"/>
          <w:sz w:val="18"/>
          <w:u w:val="single"/>
        </w:rPr>
        <w:t> </w:t>
        <w:tab/>
      </w:r>
      <w:r>
        <w:rPr>
          <w:b/>
          <w:sz w:val="18"/>
          <w:u w:val="single"/>
        </w:rPr>
        <w:t>1,152</w:t>
        <w:tab/>
      </w:r>
      <w:r>
        <w:rPr>
          <w:sz w:val="18"/>
          <w:u w:val="single"/>
        </w:rPr>
        <w:t>1,055</w:t>
      </w:r>
    </w:p>
    <w:p>
      <w:pPr>
        <w:tabs>
          <w:tab w:pos="7431" w:val="left" w:leader="none"/>
          <w:tab w:pos="8192" w:val="left" w:leader="none"/>
          <w:tab w:pos="9489" w:val="left" w:leader="none"/>
        </w:tabs>
        <w:spacing w:before="18"/>
        <w:ind w:left="504" w:right="0" w:firstLine="0"/>
        <w:jc w:val="left"/>
        <w:rPr>
          <w:sz w:val="18"/>
        </w:rPr>
      </w:pPr>
      <w:r>
        <w:rPr>
          <w:b/>
          <w:sz w:val="18"/>
        </w:rPr>
        <w:t>Total</w:t>
        <w:tab/>
      </w:r>
      <w:r>
        <w:rPr>
          <w:rFonts w:ascii="Times New Roman"/>
          <w:sz w:val="18"/>
          <w:u w:val="thick"/>
        </w:rPr>
        <w:t> </w:t>
        <w:tab/>
      </w:r>
      <w:r>
        <w:rPr>
          <w:b/>
          <w:sz w:val="18"/>
          <w:u w:val="thick"/>
        </w:rPr>
        <w:t>3,752</w:t>
        <w:tab/>
      </w:r>
      <w:r>
        <w:rPr>
          <w:sz w:val="18"/>
          <w:u w:val="thick"/>
        </w:rPr>
        <w:t>3,700</w:t>
      </w:r>
    </w:p>
    <w:p>
      <w:pPr>
        <w:spacing w:after="0"/>
        <w:jc w:val="left"/>
        <w:rPr>
          <w:sz w:val="18"/>
        </w:rPr>
        <w:sectPr>
          <w:type w:val="continuous"/>
          <w:pgSz w:w="11910" w:h="16840"/>
          <w:pgMar w:top="1580" w:bottom="280" w:left="900" w:right="940"/>
        </w:sectPr>
      </w:pPr>
    </w:p>
    <w:p>
      <w:pPr>
        <w:pStyle w:val="Heading6"/>
        <w:spacing w:line="292" w:lineRule="auto" w:before="45"/>
        <w:ind w:left="107" w:right="8409"/>
      </w:pPr>
      <w:r>
        <w:rPr/>
        <w:t>Whitlam Institute Within Western Sydney University Trust ABN: 42 247 216 279</w:t>
      </w:r>
    </w:p>
    <w:p>
      <w:pPr>
        <w:pStyle w:val="BodyText"/>
        <w:spacing w:before="8"/>
        <w:rPr>
          <w:b/>
          <w:sz w:val="24"/>
        </w:rPr>
      </w:pPr>
    </w:p>
    <w:p>
      <w:pPr>
        <w:spacing w:before="0"/>
        <w:ind w:left="107" w:right="214" w:firstLine="0"/>
        <w:jc w:val="left"/>
        <w:rPr>
          <w:b/>
          <w:sz w:val="28"/>
        </w:rPr>
      </w:pPr>
      <w:r>
        <w:rPr>
          <w:b/>
          <w:sz w:val="28"/>
        </w:rPr>
        <w:t>Notes to the financial statements</w:t>
      </w:r>
    </w:p>
    <w:p>
      <w:pPr>
        <w:spacing w:before="57"/>
        <w:ind w:left="107" w:right="214" w:firstLine="0"/>
        <w:jc w:val="left"/>
        <w:rPr>
          <w:b/>
          <w:sz w:val="22"/>
        </w:rPr>
      </w:pPr>
      <w:r>
        <w:rPr>
          <w:b/>
          <w:sz w:val="22"/>
        </w:rPr>
        <w:t>For the Year Ended 31 December 2017</w:t>
      </w:r>
    </w:p>
    <w:p>
      <w:pPr>
        <w:pStyle w:val="BodyText"/>
        <w:rPr>
          <w:b/>
          <w:sz w:val="22"/>
        </w:rPr>
      </w:pPr>
    </w:p>
    <w:p>
      <w:pPr>
        <w:pStyle w:val="BodyText"/>
        <w:rPr>
          <w:b/>
          <w:sz w:val="22"/>
        </w:rPr>
      </w:pPr>
    </w:p>
    <w:p>
      <w:pPr>
        <w:pStyle w:val="Heading9"/>
        <w:tabs>
          <w:tab w:pos="504" w:val="left" w:leader="none"/>
        </w:tabs>
        <w:spacing w:before="160"/>
        <w:ind w:left="109" w:right="214"/>
      </w:pPr>
      <w:r>
        <w:rPr/>
        <w:t>2</w:t>
        <w:tab/>
        <w:t>Financial Risk Management</w:t>
      </w:r>
      <w:r>
        <w:rPr>
          <w:spacing w:val="-3"/>
        </w:rPr>
        <w:t> </w:t>
      </w:r>
      <w:r>
        <w:rPr/>
        <w:t>(continued)</w:t>
      </w:r>
    </w:p>
    <w:p>
      <w:pPr>
        <w:pStyle w:val="BodyText"/>
        <w:spacing w:before="7"/>
        <w:rPr>
          <w:b/>
          <w:sz w:val="26"/>
        </w:rPr>
      </w:pPr>
    </w:p>
    <w:p>
      <w:pPr>
        <w:pStyle w:val="ListParagraph"/>
        <w:numPr>
          <w:ilvl w:val="0"/>
          <w:numId w:val="89"/>
        </w:numPr>
        <w:tabs>
          <w:tab w:pos="1072" w:val="left" w:leader="none"/>
        </w:tabs>
        <w:spacing w:line="240" w:lineRule="auto" w:before="0" w:after="0"/>
        <w:ind w:left="1071" w:right="0" w:hanging="567"/>
        <w:jc w:val="left"/>
        <w:rPr>
          <w:b/>
          <w:sz w:val="18"/>
        </w:rPr>
      </w:pPr>
      <w:r>
        <w:rPr>
          <w:b/>
          <w:sz w:val="18"/>
        </w:rPr>
        <w:t>Liquidity risk</w:t>
      </w:r>
    </w:p>
    <w:p>
      <w:pPr>
        <w:pStyle w:val="BodyText"/>
        <w:spacing w:before="4"/>
        <w:rPr>
          <w:b/>
          <w:sz w:val="25"/>
        </w:rPr>
      </w:pPr>
    </w:p>
    <w:p>
      <w:pPr>
        <w:pStyle w:val="BodyText"/>
        <w:ind w:left="503" w:right="94"/>
      </w:pPr>
      <w:r>
        <w:rPr/>
        <w:t>Prudent liquidity risk management implies maintaining sufficient cash and the availability of funding through an adequate amount of committed credit facilities to meet obligations when due. At the end of the reporting period the Trust held deposits at call of $766,186 (2016: $575,222) that are expected to readily generate cash inflows for managing liquidity</w:t>
      </w:r>
      <w:r>
        <w:rPr>
          <w:spacing w:val="-26"/>
        </w:rPr>
        <w:t> </w:t>
      </w:r>
      <w:r>
        <w:rPr/>
        <w:t>risk.</w:t>
      </w:r>
    </w:p>
    <w:p>
      <w:pPr>
        <w:pStyle w:val="BodyText"/>
      </w:pPr>
    </w:p>
    <w:p>
      <w:pPr>
        <w:pStyle w:val="BodyText"/>
      </w:pPr>
    </w:p>
    <w:p>
      <w:pPr>
        <w:pStyle w:val="BodyText"/>
      </w:pPr>
    </w:p>
    <w:p>
      <w:pPr>
        <w:pStyle w:val="BodyText"/>
        <w:spacing w:before="161"/>
        <w:ind w:left="532" w:right="214"/>
      </w:pPr>
      <w:r>
        <w:rPr/>
        <w:t>The table below reflect maturity analysis for financial assets.</w:t>
      </w:r>
    </w:p>
    <w:p>
      <w:pPr>
        <w:pStyle w:val="BodyText"/>
        <w:rPr>
          <w:sz w:val="20"/>
        </w:rPr>
      </w:pPr>
    </w:p>
    <w:p>
      <w:pPr>
        <w:pStyle w:val="BodyText"/>
        <w:spacing w:before="1"/>
        <w:rPr>
          <w:sz w:val="19"/>
        </w:rPr>
      </w:pPr>
    </w:p>
    <w:p>
      <w:pPr>
        <w:spacing w:after="0"/>
        <w:rPr>
          <w:sz w:val="19"/>
        </w:rPr>
        <w:sectPr>
          <w:headerReference w:type="default" r:id="rId163"/>
          <w:footerReference w:type="default" r:id="rId164"/>
          <w:pgSz w:w="16840" w:h="11910" w:orient="landscape"/>
          <w:pgMar w:header="0" w:footer="0" w:top="960" w:bottom="280" w:left="900" w:right="880"/>
        </w:sectPr>
      </w:pPr>
    </w:p>
    <w:p>
      <w:pPr>
        <w:pStyle w:val="Heading9"/>
        <w:spacing w:before="78"/>
        <w:ind w:left="4827"/>
        <w:jc w:val="center"/>
      </w:pPr>
      <w:r>
        <w:rPr/>
        <w:t>Weighted Average Effective Interest Rate</w:t>
      </w:r>
    </w:p>
    <w:p>
      <w:pPr>
        <w:pStyle w:val="BodyText"/>
        <w:spacing w:before="8"/>
        <w:rPr>
          <w:b/>
          <w:sz w:val="24"/>
        </w:rPr>
      </w:pPr>
      <w:r>
        <w:rPr/>
        <w:br w:type="column"/>
      </w:r>
      <w:r>
        <w:rPr>
          <w:b/>
          <w:sz w:val="24"/>
        </w:rPr>
      </w:r>
    </w:p>
    <w:p>
      <w:pPr>
        <w:spacing w:line="207" w:lineRule="exact" w:before="0"/>
        <w:ind w:left="168" w:right="0" w:firstLine="0"/>
        <w:jc w:val="left"/>
        <w:rPr>
          <w:b/>
          <w:sz w:val="18"/>
        </w:rPr>
      </w:pPr>
      <w:r>
        <w:rPr>
          <w:b/>
          <w:sz w:val="18"/>
        </w:rPr>
        <w:t>Floating Interest</w:t>
      </w:r>
    </w:p>
    <w:p>
      <w:pPr>
        <w:tabs>
          <w:tab w:pos="1997" w:val="left" w:leader="none"/>
          <w:tab w:pos="3763" w:val="left" w:leader="none"/>
          <w:tab w:pos="5419" w:val="left" w:leader="none"/>
          <w:tab w:pos="7450" w:val="left" w:leader="none"/>
        </w:tabs>
        <w:spacing w:line="207" w:lineRule="exact" w:before="0"/>
        <w:ind w:left="674" w:right="0" w:firstLine="0"/>
        <w:jc w:val="left"/>
        <w:rPr>
          <w:b/>
          <w:sz w:val="18"/>
        </w:rPr>
      </w:pPr>
      <w:r>
        <w:rPr>
          <w:b/>
          <w:sz w:val="18"/>
        </w:rPr>
        <w:t>Rate</w:t>
        <w:tab/>
        <w:t>Within</w:t>
      </w:r>
      <w:r>
        <w:rPr>
          <w:b/>
          <w:spacing w:val="-1"/>
          <w:sz w:val="18"/>
        </w:rPr>
        <w:t> </w:t>
      </w:r>
      <w:r>
        <w:rPr>
          <w:b/>
          <w:sz w:val="18"/>
        </w:rPr>
        <w:t>1</w:t>
      </w:r>
      <w:r>
        <w:rPr>
          <w:b/>
          <w:spacing w:val="-1"/>
          <w:sz w:val="18"/>
        </w:rPr>
        <w:t> </w:t>
      </w:r>
      <w:r>
        <w:rPr>
          <w:b/>
          <w:sz w:val="18"/>
        </w:rPr>
        <w:t>Year</w:t>
        <w:tab/>
        <w:t>1 to</w:t>
      </w:r>
      <w:r>
        <w:rPr>
          <w:b/>
          <w:spacing w:val="-1"/>
          <w:sz w:val="18"/>
        </w:rPr>
        <w:t> </w:t>
      </w:r>
      <w:r>
        <w:rPr>
          <w:b/>
          <w:sz w:val="18"/>
        </w:rPr>
        <w:t>5</w:t>
      </w:r>
      <w:r>
        <w:rPr>
          <w:b/>
          <w:spacing w:val="-1"/>
          <w:sz w:val="18"/>
        </w:rPr>
        <w:t> </w:t>
      </w:r>
      <w:r>
        <w:rPr>
          <w:b/>
          <w:sz w:val="18"/>
        </w:rPr>
        <w:t>Years</w:t>
        <w:tab/>
        <w:t>Over</w:t>
      </w:r>
      <w:r>
        <w:rPr>
          <w:b/>
          <w:spacing w:val="-1"/>
          <w:sz w:val="18"/>
        </w:rPr>
        <w:t> </w:t>
      </w:r>
      <w:r>
        <w:rPr>
          <w:b/>
          <w:sz w:val="18"/>
        </w:rPr>
        <w:t>5</w:t>
      </w:r>
      <w:r>
        <w:rPr>
          <w:b/>
          <w:spacing w:val="-1"/>
          <w:sz w:val="18"/>
        </w:rPr>
        <w:t> </w:t>
      </w:r>
      <w:r>
        <w:rPr>
          <w:b/>
          <w:sz w:val="18"/>
        </w:rPr>
        <w:t>Years</w:t>
        <w:tab/>
        <w:t>Total</w:t>
      </w:r>
    </w:p>
    <w:p>
      <w:pPr>
        <w:spacing w:after="0" w:line="207" w:lineRule="exact"/>
        <w:jc w:val="left"/>
        <w:rPr>
          <w:sz w:val="18"/>
        </w:rPr>
        <w:sectPr>
          <w:type w:val="continuous"/>
          <w:pgSz w:w="16840" w:h="11910" w:orient="landscape"/>
          <w:pgMar w:top="1580" w:bottom="280" w:left="900" w:right="880"/>
          <w:cols w:num="2" w:equalWidth="0">
            <w:col w:w="6398" w:space="40"/>
            <w:col w:w="8622"/>
          </w:cols>
        </w:sectPr>
      </w:pPr>
    </w:p>
    <w:p>
      <w:pPr>
        <w:pStyle w:val="BodyText"/>
        <w:rPr>
          <w:b/>
        </w:rPr>
      </w:pPr>
    </w:p>
    <w:p>
      <w:pPr>
        <w:pStyle w:val="BodyText"/>
        <w:rPr>
          <w:b/>
        </w:rPr>
      </w:pPr>
    </w:p>
    <w:p>
      <w:pPr>
        <w:pStyle w:val="BodyText"/>
        <w:spacing w:before="3"/>
        <w:rPr>
          <w:b/>
          <w:sz w:val="24"/>
        </w:rPr>
      </w:pPr>
    </w:p>
    <w:p>
      <w:pPr>
        <w:spacing w:before="0"/>
        <w:ind w:left="474" w:right="-20" w:firstLine="0"/>
        <w:jc w:val="left"/>
        <w:rPr>
          <w:b/>
          <w:sz w:val="18"/>
        </w:rPr>
      </w:pPr>
      <w:r>
        <w:rPr>
          <w:b/>
          <w:sz w:val="18"/>
        </w:rPr>
        <w:t>Financial assets - cash flows realisable</w:t>
      </w:r>
    </w:p>
    <w:p>
      <w:pPr>
        <w:spacing w:before="66"/>
        <w:ind w:left="474" w:right="0" w:firstLine="0"/>
        <w:jc w:val="center"/>
        <w:rPr>
          <w:b/>
          <w:sz w:val="18"/>
        </w:rPr>
      </w:pPr>
      <w:r>
        <w:rPr/>
        <w:br w:type="column"/>
      </w:r>
      <w:r>
        <w:rPr>
          <w:b/>
          <w:sz w:val="18"/>
        </w:rPr>
        <w:t>2017</w:t>
      </w:r>
    </w:p>
    <w:p>
      <w:pPr>
        <w:spacing w:before="66"/>
        <w:ind w:left="0" w:right="118" w:firstLine="0"/>
        <w:jc w:val="right"/>
        <w:rPr>
          <w:b/>
          <w:sz w:val="18"/>
        </w:rPr>
      </w:pPr>
      <w:r>
        <w:rPr>
          <w:b/>
          <w:w w:val="99"/>
          <w:sz w:val="18"/>
        </w:rPr>
        <w:t>%</w:t>
      </w:r>
    </w:p>
    <w:p>
      <w:pPr>
        <w:spacing w:before="66"/>
        <w:ind w:left="409" w:right="0" w:firstLine="0"/>
        <w:jc w:val="center"/>
        <w:rPr>
          <w:b/>
          <w:sz w:val="18"/>
        </w:rPr>
      </w:pPr>
      <w:r>
        <w:rPr/>
        <w:br w:type="column"/>
      </w:r>
      <w:r>
        <w:rPr>
          <w:b/>
          <w:sz w:val="18"/>
        </w:rPr>
        <w:t>2016</w:t>
      </w:r>
    </w:p>
    <w:p>
      <w:pPr>
        <w:spacing w:before="66"/>
        <w:ind w:left="409" w:right="0" w:firstLine="0"/>
        <w:jc w:val="center"/>
        <w:rPr>
          <w:b/>
          <w:sz w:val="18"/>
        </w:rPr>
      </w:pPr>
      <w:r>
        <w:rPr>
          <w:b/>
          <w:w w:val="99"/>
          <w:sz w:val="18"/>
        </w:rPr>
        <w:t>%</w:t>
      </w:r>
    </w:p>
    <w:p>
      <w:pPr>
        <w:spacing w:before="66"/>
        <w:ind w:left="410" w:right="0" w:firstLine="0"/>
        <w:jc w:val="center"/>
        <w:rPr>
          <w:b/>
          <w:sz w:val="18"/>
        </w:rPr>
      </w:pPr>
      <w:r>
        <w:rPr/>
        <w:br w:type="column"/>
      </w:r>
      <w:r>
        <w:rPr>
          <w:b/>
          <w:sz w:val="18"/>
        </w:rPr>
        <w:t>2017</w:t>
      </w:r>
    </w:p>
    <w:p>
      <w:pPr>
        <w:spacing w:before="66"/>
        <w:ind w:left="0" w:right="148" w:firstLine="0"/>
        <w:jc w:val="right"/>
        <w:rPr>
          <w:b/>
          <w:sz w:val="18"/>
        </w:rPr>
      </w:pPr>
      <w:r>
        <w:rPr>
          <w:b/>
          <w:w w:val="99"/>
          <w:sz w:val="18"/>
        </w:rPr>
        <w:t>$</w:t>
      </w:r>
    </w:p>
    <w:p>
      <w:pPr>
        <w:spacing w:before="66"/>
        <w:ind w:left="408" w:right="0" w:firstLine="0"/>
        <w:jc w:val="center"/>
        <w:rPr>
          <w:b/>
          <w:sz w:val="18"/>
        </w:rPr>
      </w:pPr>
      <w:r>
        <w:rPr/>
        <w:br w:type="column"/>
      </w:r>
      <w:r>
        <w:rPr>
          <w:b/>
          <w:sz w:val="18"/>
        </w:rPr>
        <w:t>2016</w:t>
      </w:r>
    </w:p>
    <w:p>
      <w:pPr>
        <w:spacing w:before="66"/>
        <w:ind w:left="0" w:right="148" w:firstLine="0"/>
        <w:jc w:val="right"/>
        <w:rPr>
          <w:b/>
          <w:sz w:val="18"/>
        </w:rPr>
      </w:pPr>
      <w:r>
        <w:rPr>
          <w:b/>
          <w:w w:val="99"/>
          <w:sz w:val="18"/>
        </w:rPr>
        <w:t>$</w:t>
      </w:r>
    </w:p>
    <w:p>
      <w:pPr>
        <w:spacing w:before="66"/>
        <w:ind w:left="410" w:right="0" w:firstLine="0"/>
        <w:jc w:val="center"/>
        <w:rPr>
          <w:b/>
          <w:sz w:val="18"/>
        </w:rPr>
      </w:pPr>
      <w:r>
        <w:rPr/>
        <w:br w:type="column"/>
      </w:r>
      <w:r>
        <w:rPr>
          <w:b/>
          <w:sz w:val="18"/>
        </w:rPr>
        <w:t>2017</w:t>
      </w:r>
    </w:p>
    <w:p>
      <w:pPr>
        <w:spacing w:before="66"/>
        <w:ind w:left="0" w:right="148" w:firstLine="0"/>
        <w:jc w:val="right"/>
        <w:rPr>
          <w:b/>
          <w:sz w:val="18"/>
        </w:rPr>
      </w:pPr>
      <w:r>
        <w:rPr>
          <w:b/>
          <w:w w:val="99"/>
          <w:sz w:val="18"/>
        </w:rPr>
        <w:t>$</w:t>
      </w:r>
    </w:p>
    <w:p>
      <w:pPr>
        <w:spacing w:before="66"/>
        <w:ind w:left="408" w:right="0" w:firstLine="0"/>
        <w:jc w:val="center"/>
        <w:rPr>
          <w:b/>
          <w:sz w:val="18"/>
        </w:rPr>
      </w:pPr>
      <w:r>
        <w:rPr/>
        <w:br w:type="column"/>
      </w:r>
      <w:r>
        <w:rPr>
          <w:b/>
          <w:sz w:val="18"/>
        </w:rPr>
        <w:t>2016</w:t>
      </w:r>
    </w:p>
    <w:p>
      <w:pPr>
        <w:spacing w:before="66"/>
        <w:ind w:left="0" w:right="148" w:firstLine="0"/>
        <w:jc w:val="right"/>
        <w:rPr>
          <w:b/>
          <w:sz w:val="18"/>
        </w:rPr>
      </w:pPr>
      <w:r>
        <w:rPr>
          <w:b/>
          <w:w w:val="99"/>
          <w:sz w:val="18"/>
        </w:rPr>
        <w:t>$</w:t>
      </w:r>
    </w:p>
    <w:p>
      <w:pPr>
        <w:spacing w:before="66"/>
        <w:ind w:left="410" w:right="0" w:firstLine="0"/>
        <w:jc w:val="center"/>
        <w:rPr>
          <w:b/>
          <w:sz w:val="18"/>
        </w:rPr>
      </w:pPr>
      <w:r>
        <w:rPr/>
        <w:br w:type="column"/>
      </w:r>
      <w:r>
        <w:rPr>
          <w:b/>
          <w:sz w:val="18"/>
        </w:rPr>
        <w:t>2017</w:t>
      </w:r>
    </w:p>
    <w:p>
      <w:pPr>
        <w:spacing w:before="66"/>
        <w:ind w:left="0" w:right="148" w:firstLine="0"/>
        <w:jc w:val="right"/>
        <w:rPr>
          <w:b/>
          <w:sz w:val="18"/>
        </w:rPr>
      </w:pPr>
      <w:r>
        <w:rPr>
          <w:b/>
          <w:w w:val="99"/>
          <w:sz w:val="18"/>
        </w:rPr>
        <w:t>$</w:t>
      </w:r>
    </w:p>
    <w:p>
      <w:pPr>
        <w:spacing w:before="66"/>
        <w:ind w:left="408" w:right="0" w:firstLine="0"/>
        <w:jc w:val="center"/>
        <w:rPr>
          <w:b/>
          <w:sz w:val="18"/>
        </w:rPr>
      </w:pPr>
      <w:r>
        <w:rPr/>
        <w:br w:type="column"/>
      </w:r>
      <w:r>
        <w:rPr>
          <w:b/>
          <w:sz w:val="18"/>
        </w:rPr>
        <w:t>2016</w:t>
      </w:r>
    </w:p>
    <w:p>
      <w:pPr>
        <w:spacing w:before="66"/>
        <w:ind w:left="0" w:right="148" w:firstLine="0"/>
        <w:jc w:val="right"/>
        <w:rPr>
          <w:b/>
          <w:sz w:val="18"/>
        </w:rPr>
      </w:pPr>
      <w:r>
        <w:rPr>
          <w:b/>
          <w:w w:val="99"/>
          <w:sz w:val="18"/>
        </w:rPr>
        <w:t>$</w:t>
      </w:r>
    </w:p>
    <w:p>
      <w:pPr>
        <w:spacing w:before="66"/>
        <w:ind w:left="410" w:right="0" w:firstLine="0"/>
        <w:jc w:val="center"/>
        <w:rPr>
          <w:b/>
          <w:sz w:val="18"/>
        </w:rPr>
      </w:pPr>
      <w:r>
        <w:rPr/>
        <w:br w:type="column"/>
      </w:r>
      <w:r>
        <w:rPr>
          <w:b/>
          <w:sz w:val="18"/>
        </w:rPr>
        <w:t>2017</w:t>
      </w:r>
    </w:p>
    <w:p>
      <w:pPr>
        <w:spacing w:before="66"/>
        <w:ind w:left="0" w:right="148" w:firstLine="0"/>
        <w:jc w:val="right"/>
        <w:rPr>
          <w:b/>
          <w:sz w:val="18"/>
        </w:rPr>
      </w:pPr>
      <w:r>
        <w:rPr>
          <w:b/>
          <w:w w:val="99"/>
          <w:sz w:val="18"/>
        </w:rPr>
        <w:t>$</w:t>
      </w:r>
    </w:p>
    <w:p>
      <w:pPr>
        <w:spacing w:before="66"/>
        <w:ind w:left="408" w:right="0" w:firstLine="0"/>
        <w:jc w:val="center"/>
        <w:rPr>
          <w:b/>
          <w:sz w:val="18"/>
        </w:rPr>
      </w:pPr>
      <w:r>
        <w:rPr/>
        <w:br w:type="column"/>
      </w:r>
      <w:r>
        <w:rPr>
          <w:b/>
          <w:sz w:val="18"/>
        </w:rPr>
        <w:t>2016</w:t>
      </w:r>
    </w:p>
    <w:p>
      <w:pPr>
        <w:spacing w:before="66"/>
        <w:ind w:left="0" w:right="148" w:firstLine="0"/>
        <w:jc w:val="right"/>
        <w:rPr>
          <w:b/>
          <w:sz w:val="18"/>
        </w:rPr>
      </w:pPr>
      <w:r>
        <w:rPr>
          <w:b/>
          <w:w w:val="99"/>
          <w:sz w:val="18"/>
        </w:rPr>
        <w:t>$</w:t>
      </w:r>
    </w:p>
    <w:p>
      <w:pPr>
        <w:spacing w:before="66"/>
        <w:ind w:left="410" w:right="0" w:firstLine="0"/>
        <w:jc w:val="center"/>
        <w:rPr>
          <w:b/>
          <w:sz w:val="18"/>
        </w:rPr>
      </w:pPr>
      <w:r>
        <w:rPr/>
        <w:br w:type="column"/>
      </w:r>
      <w:r>
        <w:rPr>
          <w:b/>
          <w:sz w:val="18"/>
        </w:rPr>
        <w:t>2017</w:t>
      </w:r>
    </w:p>
    <w:p>
      <w:pPr>
        <w:spacing w:before="66"/>
        <w:ind w:left="0" w:right="148" w:firstLine="0"/>
        <w:jc w:val="right"/>
        <w:rPr>
          <w:b/>
          <w:sz w:val="18"/>
        </w:rPr>
      </w:pPr>
      <w:r>
        <w:rPr>
          <w:b/>
          <w:w w:val="99"/>
          <w:sz w:val="18"/>
        </w:rPr>
        <w:t>$</w:t>
      </w:r>
    </w:p>
    <w:p>
      <w:pPr>
        <w:spacing w:before="66"/>
        <w:ind w:left="385" w:right="310" w:firstLine="0"/>
        <w:jc w:val="center"/>
        <w:rPr>
          <w:b/>
          <w:sz w:val="18"/>
        </w:rPr>
      </w:pPr>
      <w:r>
        <w:rPr/>
        <w:br w:type="column"/>
      </w:r>
      <w:r>
        <w:rPr>
          <w:b/>
          <w:sz w:val="18"/>
        </w:rPr>
        <w:t>2016</w:t>
      </w:r>
    </w:p>
    <w:p>
      <w:pPr>
        <w:spacing w:before="66"/>
        <w:ind w:left="75" w:right="0" w:firstLine="0"/>
        <w:jc w:val="center"/>
        <w:rPr>
          <w:b/>
          <w:sz w:val="18"/>
        </w:rPr>
      </w:pPr>
      <w:r>
        <w:rPr>
          <w:b/>
          <w:w w:val="99"/>
          <w:sz w:val="18"/>
        </w:rPr>
        <w:t>$</w:t>
      </w:r>
    </w:p>
    <w:p>
      <w:pPr>
        <w:spacing w:after="0"/>
        <w:jc w:val="center"/>
        <w:rPr>
          <w:sz w:val="18"/>
        </w:rPr>
        <w:sectPr>
          <w:type w:val="continuous"/>
          <w:pgSz w:w="16840" w:h="11910" w:orient="landscape"/>
          <w:pgMar w:top="1580" w:bottom="280" w:left="900" w:right="880"/>
          <w:cols w:num="13" w:equalWidth="0">
            <w:col w:w="3826" w:space="681"/>
            <w:col w:w="875" w:space="40"/>
            <w:col w:w="810" w:space="40"/>
            <w:col w:w="811" w:space="40"/>
            <w:col w:w="809" w:space="40"/>
            <w:col w:w="811" w:space="40"/>
            <w:col w:w="809" w:space="40"/>
            <w:col w:w="811" w:space="40"/>
            <w:col w:w="809" w:space="40"/>
            <w:col w:w="811" w:space="40"/>
            <w:col w:w="809" w:space="40"/>
            <w:col w:w="811" w:space="40"/>
            <w:col w:w="1137"/>
          </w:cols>
        </w:sectPr>
      </w:pPr>
    </w:p>
    <w:p>
      <w:pPr>
        <w:tabs>
          <w:tab w:pos="5168" w:val="left" w:leader="none"/>
          <w:tab w:pos="6018" w:val="left" w:leader="none"/>
          <w:tab w:pos="6597" w:val="left" w:leader="none"/>
          <w:tab w:pos="8297" w:val="left" w:leader="none"/>
          <w:tab w:pos="10584" w:val="left" w:leader="none"/>
          <w:tab w:pos="11405" w:val="left" w:leader="none"/>
          <w:tab w:pos="12283" w:val="left" w:leader="none"/>
          <w:tab w:pos="13104" w:val="left" w:leader="none"/>
          <w:tab w:pos="13394" w:val="left" w:leader="none"/>
        </w:tabs>
        <w:spacing w:before="28"/>
        <w:ind w:left="474" w:right="0" w:firstLine="0"/>
        <w:jc w:val="left"/>
        <w:rPr>
          <w:sz w:val="18"/>
        </w:rPr>
      </w:pPr>
      <w:r>
        <w:rPr/>
        <w:pict>
          <v:group style="position:absolute;margin-left:367.800995pt;margin-top:13.08889pt;width:424.9pt;height:1pt;mso-position-horizontal-relative:page;mso-position-vertical-relative:paragraph;z-index:5152;mso-wrap-distance-left:0;mso-wrap-distance-right:0" coordorigin="7356,262" coordsize="8498,20">
            <v:line style="position:absolute" from="7357,263" to="8207,263" stroked="true" strokeweight=".06pt" strokecolor="#000000"/>
            <v:line style="position:absolute" from="7357,264" to="8207,264" stroked="true" strokeweight=".06pt" strokecolor="#000000"/>
            <v:line style="position:absolute" from="7357,265" to="8207,265" stroked="true" strokeweight=".06pt" strokecolor="#000000"/>
            <v:line style="position:absolute" from="7357,266" to="8207,266" stroked="true" strokeweight=".06pt" strokecolor="#000000"/>
            <v:line style="position:absolute" from="7357,268" to="8207,268" stroked="true" strokeweight=".06pt" strokecolor="#000000"/>
            <v:line style="position:absolute" from="7357,269" to="8207,269" stroked="true" strokeweight=".06pt" strokecolor="#000000"/>
            <v:line style="position:absolute" from="7357,270" to="8207,270" stroked="true" strokeweight=".06pt" strokecolor="#000000"/>
            <v:line style="position:absolute" from="7357,271" to="8207,271" stroked="true" strokeweight=".06pt" strokecolor="#000000"/>
            <v:line style="position:absolute" from="7357,272" to="8207,272" stroked="true" strokeweight=".06pt" strokecolor="#000000"/>
            <v:line style="position:absolute" from="7357,274" to="8207,274" stroked="true" strokeweight=".06pt" strokecolor="#000000"/>
            <v:line style="position:absolute" from="7357,275" to="8207,275" stroked="true" strokeweight=".06pt" strokecolor="#000000"/>
            <v:line style="position:absolute" from="7357,276" to="8207,276" stroked="true" strokeweight=".06pt" strokecolor="#000000"/>
            <v:line style="position:absolute" from="7357,277" to="8207,277" stroked="true" strokeweight=".06pt" strokecolor="#000000"/>
            <v:line style="position:absolute" from="7357,278" to="8207,278" stroked="true" strokeweight=".06pt" strokecolor="#000000"/>
            <v:line style="position:absolute" from="7357,280" to="8207,280" stroked="true" strokeweight=".06pt" strokecolor="#000000"/>
            <v:line style="position:absolute" from="7357,281" to="8207,281" stroked="true" strokeweight=".06pt" strokecolor="#000000"/>
            <v:line style="position:absolute" from="8207,263" to="9056,263" stroked="true" strokeweight=".06pt" strokecolor="#000000"/>
            <v:line style="position:absolute" from="8207,264" to="9056,264" stroked="true" strokeweight=".06pt" strokecolor="#000000"/>
            <v:line style="position:absolute" from="8207,265" to="9056,265" stroked="true" strokeweight=".06pt" strokecolor="#000000"/>
            <v:line style="position:absolute" from="8207,266" to="9056,266" stroked="true" strokeweight=".06pt" strokecolor="#000000"/>
            <v:line style="position:absolute" from="8207,268" to="9056,268" stroked="true" strokeweight=".06pt" strokecolor="#000000"/>
            <v:line style="position:absolute" from="8207,269" to="9056,269" stroked="true" strokeweight=".06pt" strokecolor="#000000"/>
            <v:line style="position:absolute" from="8207,270" to="9056,270" stroked="true" strokeweight=".06pt" strokecolor="#000000"/>
            <v:line style="position:absolute" from="8207,271" to="9056,271" stroked="true" strokeweight=".06pt" strokecolor="#000000"/>
            <v:line style="position:absolute" from="8207,272" to="9056,272" stroked="true" strokeweight=".06pt" strokecolor="#000000"/>
            <v:line style="position:absolute" from="8207,274" to="9056,274" stroked="true" strokeweight=".06pt" strokecolor="#000000"/>
            <v:line style="position:absolute" from="8207,275" to="9056,275" stroked="true" strokeweight=".06pt" strokecolor="#000000"/>
            <v:line style="position:absolute" from="8207,276" to="9056,276" stroked="true" strokeweight=".06pt" strokecolor="#000000"/>
            <v:line style="position:absolute" from="8207,277" to="9056,277" stroked="true" strokeweight=".06pt" strokecolor="#000000"/>
            <v:line style="position:absolute" from="8207,278" to="9056,278" stroked="true" strokeweight=".06pt" strokecolor="#000000"/>
            <v:line style="position:absolute" from="8207,280" to="9056,280" stroked="true" strokeweight=".06pt" strokecolor="#000000"/>
            <v:line style="position:absolute" from="8207,281" to="9056,281" stroked="true" strokeweight=".06pt" strokecolor="#000000"/>
            <v:line style="position:absolute" from="9056,263" to="9906,263" stroked="true" strokeweight=".06pt" strokecolor="#000000"/>
            <v:line style="position:absolute" from="9056,264" to="9906,264" stroked="true" strokeweight=".06pt" strokecolor="#000000"/>
            <v:line style="position:absolute" from="9056,265" to="9906,265" stroked="true" strokeweight=".06pt" strokecolor="#000000"/>
            <v:line style="position:absolute" from="9056,266" to="9906,266" stroked="true" strokeweight=".06pt" strokecolor="#000000"/>
            <v:line style="position:absolute" from="9056,268" to="9906,268" stroked="true" strokeweight=".06pt" strokecolor="#000000"/>
            <v:line style="position:absolute" from="9056,269" to="9906,269" stroked="true" strokeweight=".06pt" strokecolor="#000000"/>
            <v:line style="position:absolute" from="9056,270" to="9906,270" stroked="true" strokeweight=".06pt" strokecolor="#000000"/>
            <v:line style="position:absolute" from="9056,271" to="9906,271" stroked="true" strokeweight=".06pt" strokecolor="#000000"/>
            <v:line style="position:absolute" from="9056,272" to="9906,272" stroked="true" strokeweight=".06pt" strokecolor="#000000"/>
            <v:line style="position:absolute" from="9056,274" to="9906,274" stroked="true" strokeweight=".06pt" strokecolor="#000000"/>
            <v:line style="position:absolute" from="9056,275" to="9906,275" stroked="true" strokeweight=".06pt" strokecolor="#000000"/>
            <v:line style="position:absolute" from="9056,276" to="9906,276" stroked="true" strokeweight=".06pt" strokecolor="#000000"/>
            <v:line style="position:absolute" from="9056,277" to="9906,277" stroked="true" strokeweight=".06pt" strokecolor="#000000"/>
            <v:line style="position:absolute" from="9056,278" to="9906,278" stroked="true" strokeweight=".06pt" strokecolor="#000000"/>
            <v:line style="position:absolute" from="9056,280" to="9906,280" stroked="true" strokeweight=".06pt" strokecolor="#000000"/>
            <v:line style="position:absolute" from="9056,281" to="9906,281" stroked="true" strokeweight=".06pt" strokecolor="#000000"/>
            <v:line style="position:absolute" from="9906,263" to="10755,263" stroked="true" strokeweight=".06pt" strokecolor="#000000"/>
            <v:line style="position:absolute" from="9906,264" to="10755,264" stroked="true" strokeweight=".06pt" strokecolor="#000000"/>
            <v:line style="position:absolute" from="9906,265" to="10755,265" stroked="true" strokeweight=".06pt" strokecolor="#000000"/>
            <v:line style="position:absolute" from="9906,266" to="10755,266" stroked="true" strokeweight=".06pt" strokecolor="#000000"/>
            <v:line style="position:absolute" from="9906,268" to="10755,268" stroked="true" strokeweight=".06pt" strokecolor="#000000"/>
            <v:line style="position:absolute" from="9906,269" to="10755,269" stroked="true" strokeweight=".06pt" strokecolor="#000000"/>
            <v:line style="position:absolute" from="9906,270" to="10755,270" stroked="true" strokeweight=".06pt" strokecolor="#000000"/>
            <v:line style="position:absolute" from="9906,271" to="10755,271" stroked="true" strokeweight=".06pt" strokecolor="#000000"/>
            <v:line style="position:absolute" from="9906,272" to="10755,272" stroked="true" strokeweight=".06pt" strokecolor="#000000"/>
            <v:line style="position:absolute" from="9906,274" to="10755,274" stroked="true" strokeweight=".06pt" strokecolor="#000000"/>
            <v:line style="position:absolute" from="9906,275" to="10755,275" stroked="true" strokeweight=".06pt" strokecolor="#000000"/>
            <v:line style="position:absolute" from="9906,276" to="10755,276" stroked="true" strokeweight=".06pt" strokecolor="#000000"/>
            <v:line style="position:absolute" from="9906,277" to="10755,277" stroked="true" strokeweight=".06pt" strokecolor="#000000"/>
            <v:line style="position:absolute" from="9906,278" to="10755,278" stroked="true" strokeweight=".06pt" strokecolor="#000000"/>
            <v:line style="position:absolute" from="9906,280" to="10755,280" stroked="true" strokeweight=".06pt" strokecolor="#000000"/>
            <v:line style="position:absolute" from="9906,281" to="10755,281" stroked="true" strokeweight=".06pt" strokecolor="#000000"/>
            <v:line style="position:absolute" from="10755,263" to="11605,263" stroked="true" strokeweight=".06pt" strokecolor="#000000"/>
            <v:line style="position:absolute" from="10755,264" to="11605,264" stroked="true" strokeweight=".06pt" strokecolor="#000000"/>
            <v:line style="position:absolute" from="10755,265" to="11605,265" stroked="true" strokeweight=".06pt" strokecolor="#000000"/>
            <v:line style="position:absolute" from="10755,266" to="11605,266" stroked="true" strokeweight=".06pt" strokecolor="#000000"/>
            <v:line style="position:absolute" from="10755,268" to="11605,268" stroked="true" strokeweight=".06pt" strokecolor="#000000"/>
            <v:line style="position:absolute" from="10755,269" to="11605,269" stroked="true" strokeweight=".06pt" strokecolor="#000000"/>
            <v:line style="position:absolute" from="10755,270" to="11605,270" stroked="true" strokeweight=".06pt" strokecolor="#000000"/>
            <v:line style="position:absolute" from="10755,271" to="11605,271" stroked="true" strokeweight=".06pt" strokecolor="#000000"/>
            <v:line style="position:absolute" from="10755,272" to="11605,272" stroked="true" strokeweight=".06pt" strokecolor="#000000"/>
            <v:line style="position:absolute" from="10755,274" to="11605,274" stroked="true" strokeweight=".06pt" strokecolor="#000000"/>
            <v:line style="position:absolute" from="10755,275" to="11605,275" stroked="true" strokeweight=".06pt" strokecolor="#000000"/>
            <v:line style="position:absolute" from="10755,276" to="11605,276" stroked="true" strokeweight=".06pt" strokecolor="#000000"/>
            <v:line style="position:absolute" from="10755,277" to="11605,277" stroked="true" strokeweight=".06pt" strokecolor="#000000"/>
            <v:line style="position:absolute" from="10755,278" to="11605,278" stroked="true" strokeweight=".06pt" strokecolor="#000000"/>
            <v:line style="position:absolute" from="10755,280" to="11605,280" stroked="true" strokeweight=".06pt" strokecolor="#000000"/>
            <v:line style="position:absolute" from="10755,281" to="11605,281" stroked="true" strokeweight=".06pt" strokecolor="#000000"/>
            <v:line style="position:absolute" from="11605,263" to="12455,263" stroked="true" strokeweight=".06pt" strokecolor="#000000"/>
            <v:line style="position:absolute" from="11605,264" to="12455,264" stroked="true" strokeweight=".06pt" strokecolor="#000000"/>
            <v:line style="position:absolute" from="11605,265" to="12455,265" stroked="true" strokeweight=".06pt" strokecolor="#000000"/>
            <v:line style="position:absolute" from="11605,266" to="12455,266" stroked="true" strokeweight=".06pt" strokecolor="#000000"/>
            <v:line style="position:absolute" from="11605,268" to="12455,268" stroked="true" strokeweight=".06pt" strokecolor="#000000"/>
            <v:line style="position:absolute" from="11605,269" to="12455,269" stroked="true" strokeweight=".06pt" strokecolor="#000000"/>
            <v:line style="position:absolute" from="11605,270" to="12455,270" stroked="true" strokeweight=".06pt" strokecolor="#000000"/>
            <v:line style="position:absolute" from="11605,271" to="12455,271" stroked="true" strokeweight=".06pt" strokecolor="#000000"/>
            <v:line style="position:absolute" from="11605,272" to="12455,272" stroked="true" strokeweight=".06pt" strokecolor="#000000"/>
            <v:line style="position:absolute" from="11605,274" to="12455,274" stroked="true" strokeweight=".06pt" strokecolor="#000000"/>
            <v:line style="position:absolute" from="11605,275" to="12455,275" stroked="true" strokeweight=".06pt" strokecolor="#000000"/>
            <v:line style="position:absolute" from="11605,276" to="12455,276" stroked="true" strokeweight=".06pt" strokecolor="#000000"/>
            <v:line style="position:absolute" from="11605,277" to="12455,277" stroked="true" strokeweight=".06pt" strokecolor="#000000"/>
            <v:line style="position:absolute" from="11605,278" to="12455,278" stroked="true" strokeweight=".06pt" strokecolor="#000000"/>
            <v:line style="position:absolute" from="11605,280" to="12455,280" stroked="true" strokeweight=".06pt" strokecolor="#000000"/>
            <v:line style="position:absolute" from="11605,281" to="12455,281" stroked="true" strokeweight=".06pt" strokecolor="#000000"/>
            <v:line style="position:absolute" from="12455,263" to="13304,263" stroked="true" strokeweight=".06pt" strokecolor="#000000"/>
            <v:line style="position:absolute" from="12455,264" to="13304,264" stroked="true" strokeweight=".06pt" strokecolor="#000000"/>
            <v:line style="position:absolute" from="12455,265" to="13304,265" stroked="true" strokeweight=".06pt" strokecolor="#000000"/>
            <v:line style="position:absolute" from="12455,266" to="13304,266" stroked="true" strokeweight=".06pt" strokecolor="#000000"/>
            <v:line style="position:absolute" from="12455,268" to="13304,268" stroked="true" strokeweight=".06pt" strokecolor="#000000"/>
            <v:line style="position:absolute" from="12455,269" to="13304,269" stroked="true" strokeweight=".06pt" strokecolor="#000000"/>
            <v:line style="position:absolute" from="12455,270" to="13304,270" stroked="true" strokeweight=".06pt" strokecolor="#000000"/>
            <v:line style="position:absolute" from="12455,271" to="13304,271" stroked="true" strokeweight=".06pt" strokecolor="#000000"/>
            <v:line style="position:absolute" from="12455,272" to="13304,272" stroked="true" strokeweight=".06pt" strokecolor="#000000"/>
            <v:line style="position:absolute" from="12455,274" to="13304,274" stroked="true" strokeweight=".06pt" strokecolor="#000000"/>
            <v:line style="position:absolute" from="12455,275" to="13304,275" stroked="true" strokeweight=".06pt" strokecolor="#000000"/>
            <v:line style="position:absolute" from="12455,276" to="13304,276" stroked="true" strokeweight=".06pt" strokecolor="#000000"/>
            <v:line style="position:absolute" from="12455,277" to="13304,277" stroked="true" strokeweight=".06pt" strokecolor="#000000"/>
            <v:line style="position:absolute" from="12455,278" to="13304,278" stroked="true" strokeweight=".06pt" strokecolor="#000000"/>
            <v:line style="position:absolute" from="12455,280" to="13304,280" stroked="true" strokeweight=".06pt" strokecolor="#000000"/>
            <v:line style="position:absolute" from="12455,281" to="13304,281" stroked="true" strokeweight=".06pt" strokecolor="#000000"/>
            <v:line style="position:absolute" from="13304,263" to="14154,263" stroked="true" strokeweight=".06pt" strokecolor="#000000"/>
            <v:line style="position:absolute" from="13304,264" to="14154,264" stroked="true" strokeweight=".06pt" strokecolor="#000000"/>
            <v:line style="position:absolute" from="13304,265" to="14154,265" stroked="true" strokeweight=".06pt" strokecolor="#000000"/>
            <v:line style="position:absolute" from="13304,266" to="14154,266" stroked="true" strokeweight=".06pt" strokecolor="#000000"/>
            <v:line style="position:absolute" from="13304,268" to="14154,268" stroked="true" strokeweight=".06pt" strokecolor="#000000"/>
            <v:line style="position:absolute" from="13304,269" to="14154,269" stroked="true" strokeweight=".06pt" strokecolor="#000000"/>
            <v:line style="position:absolute" from="13304,270" to="14154,270" stroked="true" strokeweight=".06pt" strokecolor="#000000"/>
            <v:line style="position:absolute" from="13304,271" to="14154,271" stroked="true" strokeweight=".06pt" strokecolor="#000000"/>
            <v:line style="position:absolute" from="13304,272" to="14154,272" stroked="true" strokeweight=".06pt" strokecolor="#000000"/>
            <v:line style="position:absolute" from="13304,274" to="14154,274" stroked="true" strokeweight=".06pt" strokecolor="#000000"/>
            <v:line style="position:absolute" from="13304,275" to="14154,275" stroked="true" strokeweight=".06pt" strokecolor="#000000"/>
            <v:line style="position:absolute" from="13304,276" to="14154,276" stroked="true" strokeweight=".06pt" strokecolor="#000000"/>
            <v:line style="position:absolute" from="13304,277" to="14154,277" stroked="true" strokeweight=".06pt" strokecolor="#000000"/>
            <v:line style="position:absolute" from="13304,278" to="14154,278" stroked="true" strokeweight=".06pt" strokecolor="#000000"/>
            <v:line style="position:absolute" from="13304,280" to="14154,280" stroked="true" strokeweight=".06pt" strokecolor="#000000"/>
            <v:line style="position:absolute" from="13304,281" to="14154,281" stroked="true" strokeweight=".06pt" strokecolor="#000000"/>
            <v:line style="position:absolute" from="14154,263" to="15003,263" stroked="true" strokeweight=".06pt" strokecolor="#000000"/>
            <v:line style="position:absolute" from="14154,264" to="15003,264" stroked="true" strokeweight=".06pt" strokecolor="#000000"/>
            <v:line style="position:absolute" from="14154,265" to="15003,265" stroked="true" strokeweight=".06pt" strokecolor="#000000"/>
            <v:line style="position:absolute" from="14154,266" to="15003,266" stroked="true" strokeweight=".06pt" strokecolor="#000000"/>
            <v:line style="position:absolute" from="14154,268" to="15003,268" stroked="true" strokeweight=".06pt" strokecolor="#000000"/>
            <v:line style="position:absolute" from="14154,269" to="15003,269" stroked="true" strokeweight=".06pt" strokecolor="#000000"/>
            <v:line style="position:absolute" from="14154,270" to="15003,270" stroked="true" strokeweight=".06pt" strokecolor="#000000"/>
            <v:line style="position:absolute" from="14154,271" to="15003,271" stroked="true" strokeweight=".06pt" strokecolor="#000000"/>
            <v:line style="position:absolute" from="14154,272" to="15003,272" stroked="true" strokeweight=".06pt" strokecolor="#000000"/>
            <v:line style="position:absolute" from="14154,274" to="15003,274" stroked="true" strokeweight=".06pt" strokecolor="#000000"/>
            <v:line style="position:absolute" from="14154,275" to="15003,275" stroked="true" strokeweight=".06pt" strokecolor="#000000"/>
            <v:line style="position:absolute" from="14154,276" to="15003,276" stroked="true" strokeweight=".06pt" strokecolor="#000000"/>
            <v:line style="position:absolute" from="14154,277" to="15003,277" stroked="true" strokeweight=".06pt" strokecolor="#000000"/>
            <v:line style="position:absolute" from="14154,278" to="15003,278" stroked="true" strokeweight=".06pt" strokecolor="#000000"/>
            <v:line style="position:absolute" from="14154,280" to="15003,280" stroked="true" strokeweight=".06pt" strokecolor="#000000"/>
            <v:line style="position:absolute" from="14154,281" to="15003,281" stroked="true" strokeweight=".06pt" strokecolor="#000000"/>
            <v:line style="position:absolute" from="15003,263" to="15853,263" stroked="true" strokeweight=".06pt" strokecolor="#000000"/>
            <v:line style="position:absolute" from="15003,264" to="15853,264" stroked="true" strokeweight=".06pt" strokecolor="#000000"/>
            <v:line style="position:absolute" from="15003,265" to="15853,265" stroked="true" strokeweight=".06pt" strokecolor="#000000"/>
            <v:line style="position:absolute" from="15003,266" to="15853,266" stroked="true" strokeweight=".06pt" strokecolor="#000000"/>
            <v:line style="position:absolute" from="15003,268" to="15853,268" stroked="true" strokeweight=".06pt" strokecolor="#000000"/>
            <v:line style="position:absolute" from="15003,269" to="15853,269" stroked="true" strokeweight=".06pt" strokecolor="#000000"/>
            <v:line style="position:absolute" from="15003,270" to="15853,270" stroked="true" strokeweight=".06pt" strokecolor="#000000"/>
            <v:line style="position:absolute" from="15003,271" to="15853,271" stroked="true" strokeweight=".06pt" strokecolor="#000000"/>
            <v:line style="position:absolute" from="15003,272" to="15853,272" stroked="true" strokeweight=".06pt" strokecolor="#000000"/>
            <v:line style="position:absolute" from="15003,274" to="15853,274" stroked="true" strokeweight=".06pt" strokecolor="#000000"/>
            <v:line style="position:absolute" from="15003,275" to="15853,275" stroked="true" strokeweight=".06pt" strokecolor="#000000"/>
            <v:line style="position:absolute" from="15003,276" to="15853,276" stroked="true" strokeweight=".06pt" strokecolor="#000000"/>
            <v:line style="position:absolute" from="15003,277" to="15853,277" stroked="true" strokeweight=".06pt" strokecolor="#000000"/>
            <v:line style="position:absolute" from="15003,278" to="15853,278" stroked="true" strokeweight=".06pt" strokecolor="#000000"/>
            <v:line style="position:absolute" from="15003,280" to="15853,280" stroked="true" strokeweight=".06pt" strokecolor="#000000"/>
            <v:line style="position:absolute" from="15003,281" to="15853,281" stroked="true" strokeweight=".06pt" strokecolor="#000000"/>
            <w10:wrap type="topAndBottom"/>
          </v:group>
        </w:pict>
      </w:r>
      <w:r>
        <w:rPr>
          <w:sz w:val="18"/>
        </w:rPr>
        <w:t>Cash and</w:t>
      </w:r>
      <w:r>
        <w:rPr>
          <w:spacing w:val="-1"/>
          <w:sz w:val="18"/>
        </w:rPr>
        <w:t> </w:t>
      </w:r>
      <w:r>
        <w:rPr>
          <w:sz w:val="18"/>
        </w:rPr>
        <w:t>cash</w:t>
      </w:r>
      <w:r>
        <w:rPr>
          <w:spacing w:val="-1"/>
          <w:sz w:val="18"/>
        </w:rPr>
        <w:t> </w:t>
      </w:r>
      <w:r>
        <w:rPr>
          <w:sz w:val="18"/>
        </w:rPr>
        <w:t>equivalents</w:t>
        <w:tab/>
      </w:r>
      <w:r>
        <w:rPr>
          <w:b/>
          <w:sz w:val="18"/>
        </w:rPr>
        <w:t>2.40</w:t>
        <w:tab/>
      </w:r>
      <w:r>
        <w:rPr>
          <w:sz w:val="18"/>
        </w:rPr>
        <w:t>2.65</w:t>
        <w:tab/>
      </w:r>
      <w:r>
        <w:rPr>
          <w:b/>
          <w:sz w:val="18"/>
        </w:rPr>
        <w:t>355,834  </w:t>
      </w:r>
      <w:r>
        <w:rPr>
          <w:b/>
          <w:spacing w:val="19"/>
          <w:sz w:val="18"/>
        </w:rPr>
        <w:t> </w:t>
      </w:r>
      <w:r>
        <w:rPr>
          <w:sz w:val="18"/>
        </w:rPr>
        <w:t>175,222</w:t>
        <w:tab/>
      </w:r>
      <w:r>
        <w:rPr>
          <w:b/>
          <w:sz w:val="18"/>
        </w:rPr>
        <w:t>410,352  </w:t>
      </w:r>
      <w:r>
        <w:rPr>
          <w:b/>
          <w:spacing w:val="19"/>
          <w:sz w:val="18"/>
        </w:rPr>
        <w:t> </w:t>
      </w:r>
      <w:r>
        <w:rPr>
          <w:sz w:val="18"/>
        </w:rPr>
        <w:t>400,000</w:t>
        <w:tab/>
      </w:r>
      <w:r>
        <w:rPr>
          <w:b/>
          <w:sz w:val="18"/>
        </w:rPr>
        <w:t>-</w:t>
        <w:tab/>
      </w:r>
      <w:r>
        <w:rPr>
          <w:sz w:val="18"/>
        </w:rPr>
        <w:t>-</w:t>
        <w:tab/>
      </w:r>
      <w:r>
        <w:rPr>
          <w:b/>
          <w:sz w:val="18"/>
        </w:rPr>
        <w:t>-</w:t>
        <w:tab/>
      </w:r>
      <w:r>
        <w:rPr>
          <w:sz w:val="18"/>
        </w:rPr>
        <w:t>-</w:t>
        <w:tab/>
      </w:r>
      <w:r>
        <w:rPr>
          <w:b/>
          <w:sz w:val="18"/>
        </w:rPr>
        <w:t>766,186  </w:t>
      </w:r>
      <w:r>
        <w:rPr>
          <w:b/>
          <w:spacing w:val="19"/>
          <w:sz w:val="18"/>
        </w:rPr>
        <w:t> </w:t>
      </w:r>
      <w:r>
        <w:rPr>
          <w:sz w:val="18"/>
        </w:rPr>
        <w:t>575,222</w:t>
      </w:r>
    </w:p>
    <w:p>
      <w:pPr>
        <w:tabs>
          <w:tab w:pos="6598" w:val="left" w:leader="none"/>
          <w:tab w:pos="8297" w:val="left" w:leader="none"/>
          <w:tab w:pos="10584" w:val="left" w:leader="none"/>
          <w:tab w:pos="11405" w:val="left" w:leader="none"/>
          <w:tab w:pos="12284" w:val="left" w:leader="none"/>
          <w:tab w:pos="13104" w:val="left" w:leader="none"/>
          <w:tab w:pos="13395" w:val="left" w:leader="none"/>
        </w:tabs>
        <w:spacing w:before="0"/>
        <w:ind w:left="474" w:right="0" w:firstLine="0"/>
        <w:jc w:val="left"/>
        <w:rPr>
          <w:sz w:val="18"/>
        </w:rPr>
      </w:pPr>
      <w:r>
        <w:rPr>
          <w:b/>
          <w:position w:val="9"/>
          <w:sz w:val="18"/>
        </w:rPr>
        <w:t>Total financial assets</w:t>
        <w:tab/>
      </w:r>
      <w:r>
        <w:rPr>
          <w:b/>
          <w:sz w:val="18"/>
        </w:rPr>
        <w:t>355,834  </w:t>
      </w:r>
      <w:r>
        <w:rPr>
          <w:b/>
          <w:spacing w:val="19"/>
          <w:sz w:val="18"/>
        </w:rPr>
        <w:t> </w:t>
      </w:r>
      <w:r>
        <w:rPr>
          <w:sz w:val="18"/>
        </w:rPr>
        <w:t>175,222</w:t>
        <w:tab/>
      </w:r>
      <w:r>
        <w:rPr>
          <w:b/>
          <w:sz w:val="18"/>
        </w:rPr>
        <w:t>410,352  </w:t>
      </w:r>
      <w:r>
        <w:rPr>
          <w:b/>
          <w:spacing w:val="19"/>
          <w:sz w:val="18"/>
        </w:rPr>
        <w:t> </w:t>
      </w:r>
      <w:r>
        <w:rPr>
          <w:sz w:val="18"/>
        </w:rPr>
        <w:t>400,000</w:t>
        <w:tab/>
      </w:r>
      <w:r>
        <w:rPr>
          <w:b/>
          <w:sz w:val="18"/>
        </w:rPr>
        <w:t>-</w:t>
        <w:tab/>
      </w:r>
      <w:r>
        <w:rPr>
          <w:sz w:val="18"/>
        </w:rPr>
        <w:t>-</w:t>
        <w:tab/>
      </w:r>
      <w:r>
        <w:rPr>
          <w:b/>
          <w:sz w:val="18"/>
        </w:rPr>
        <w:t>-</w:t>
        <w:tab/>
      </w:r>
      <w:r>
        <w:rPr>
          <w:sz w:val="18"/>
        </w:rPr>
        <w:t>-</w:t>
        <w:tab/>
      </w:r>
      <w:r>
        <w:rPr>
          <w:b/>
          <w:sz w:val="18"/>
        </w:rPr>
        <w:t>766,186  </w:t>
      </w:r>
      <w:r>
        <w:rPr>
          <w:b/>
          <w:spacing w:val="19"/>
          <w:sz w:val="18"/>
        </w:rPr>
        <w:t> </w:t>
      </w:r>
      <w:r>
        <w:rPr>
          <w:sz w:val="18"/>
        </w:rPr>
        <w:t>575,222</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spacing w:before="212"/>
        <w:ind w:left="7367" w:right="7385" w:firstLine="0"/>
        <w:jc w:val="center"/>
        <w:rPr>
          <w:sz w:val="16"/>
        </w:rPr>
      </w:pPr>
      <w:r>
        <w:rPr>
          <w:sz w:val="16"/>
        </w:rPr>
        <w:t>231</w:t>
      </w:r>
    </w:p>
    <w:p>
      <w:pPr>
        <w:spacing w:after="0"/>
        <w:jc w:val="center"/>
        <w:rPr>
          <w:sz w:val="16"/>
        </w:rPr>
        <w:sectPr>
          <w:type w:val="continuous"/>
          <w:pgSz w:w="16840" w:h="11910" w:orient="landscape"/>
          <w:pgMar w:top="1580" w:bottom="280" w:left="900" w:right="880"/>
        </w:sectPr>
      </w:pPr>
    </w:p>
    <w:p>
      <w:pPr>
        <w:pStyle w:val="BodyText"/>
        <w:rPr>
          <w:sz w:val="20"/>
        </w:rPr>
      </w:pPr>
    </w:p>
    <w:p>
      <w:pPr>
        <w:pStyle w:val="BodyText"/>
        <w:rPr>
          <w:sz w:val="20"/>
        </w:rPr>
      </w:pPr>
    </w:p>
    <w:p>
      <w:pPr>
        <w:pStyle w:val="BodyText"/>
        <w:spacing w:before="4"/>
      </w:pPr>
    </w:p>
    <w:p>
      <w:pPr>
        <w:pStyle w:val="Heading9"/>
        <w:tabs>
          <w:tab w:pos="505" w:val="left" w:leader="none"/>
        </w:tabs>
        <w:ind w:left="109" w:right="194"/>
      </w:pPr>
      <w:r>
        <w:rPr/>
        <w:t>2</w:t>
        <w:tab/>
        <w:t>Financial Risk Management</w:t>
      </w:r>
      <w:r>
        <w:rPr>
          <w:spacing w:val="-3"/>
        </w:rPr>
        <w:t> </w:t>
      </w:r>
      <w:r>
        <w:rPr/>
        <w:t>(continued)</w:t>
      </w:r>
    </w:p>
    <w:p>
      <w:pPr>
        <w:pStyle w:val="BodyText"/>
        <w:spacing w:before="7"/>
        <w:rPr>
          <w:b/>
          <w:sz w:val="26"/>
        </w:rPr>
      </w:pPr>
    </w:p>
    <w:p>
      <w:pPr>
        <w:pStyle w:val="ListParagraph"/>
        <w:numPr>
          <w:ilvl w:val="0"/>
          <w:numId w:val="89"/>
        </w:numPr>
        <w:tabs>
          <w:tab w:pos="1072" w:val="left" w:leader="none"/>
        </w:tabs>
        <w:spacing w:line="240" w:lineRule="auto" w:before="0" w:after="0"/>
        <w:ind w:left="1071" w:right="0" w:hanging="566"/>
        <w:jc w:val="left"/>
        <w:rPr>
          <w:b/>
          <w:sz w:val="18"/>
        </w:rPr>
      </w:pPr>
      <w:r>
        <w:rPr>
          <w:b/>
          <w:sz w:val="18"/>
        </w:rPr>
        <w:t>Market</w:t>
      </w:r>
      <w:r>
        <w:rPr>
          <w:b/>
          <w:spacing w:val="-1"/>
          <w:sz w:val="18"/>
        </w:rPr>
        <w:t> </w:t>
      </w:r>
      <w:r>
        <w:rPr>
          <w:b/>
          <w:sz w:val="18"/>
        </w:rPr>
        <w:t>risk</w:t>
      </w:r>
    </w:p>
    <w:p>
      <w:pPr>
        <w:pStyle w:val="BodyText"/>
        <w:spacing w:before="4"/>
        <w:rPr>
          <w:b/>
          <w:sz w:val="25"/>
        </w:rPr>
      </w:pPr>
    </w:p>
    <w:p>
      <w:pPr>
        <w:pStyle w:val="BodyText"/>
        <w:spacing w:before="1"/>
        <w:ind w:left="504" w:right="211"/>
      </w:pPr>
      <w:r>
        <w:rPr/>
        <w:t>Market risk is the risk that the fair value or future cash flows of a financial instrument will fluctuate because of changes in market prices.</w:t>
      </w:r>
    </w:p>
    <w:p>
      <w:pPr>
        <w:pStyle w:val="BodyText"/>
        <w:rPr>
          <w:sz w:val="25"/>
        </w:rPr>
      </w:pPr>
    </w:p>
    <w:p>
      <w:pPr>
        <w:pStyle w:val="ListParagraph"/>
        <w:numPr>
          <w:ilvl w:val="0"/>
          <w:numId w:val="90"/>
        </w:numPr>
        <w:tabs>
          <w:tab w:pos="716" w:val="left" w:leader="none"/>
        </w:tabs>
        <w:spacing w:line="240" w:lineRule="auto" w:before="0" w:after="0"/>
        <w:ind w:left="715" w:right="0" w:hanging="210"/>
        <w:jc w:val="left"/>
        <w:rPr>
          <w:sz w:val="18"/>
        </w:rPr>
      </w:pPr>
      <w:r>
        <w:rPr>
          <w:sz w:val="18"/>
        </w:rPr>
        <w:t>Cash flow and fair value interest</w:t>
      </w:r>
      <w:r>
        <w:rPr>
          <w:spacing w:val="-1"/>
          <w:sz w:val="18"/>
        </w:rPr>
        <w:t> </w:t>
      </w:r>
      <w:r>
        <w:rPr>
          <w:sz w:val="18"/>
        </w:rPr>
        <w:t>rate</w:t>
      </w:r>
    </w:p>
    <w:p>
      <w:pPr>
        <w:pStyle w:val="BodyText"/>
        <w:rPr>
          <w:sz w:val="25"/>
        </w:rPr>
      </w:pPr>
    </w:p>
    <w:p>
      <w:pPr>
        <w:pStyle w:val="BodyText"/>
        <w:ind w:left="504" w:right="194"/>
      </w:pPr>
      <w:r>
        <w:rPr/>
        <w:t>The Trust's exposure to interest rate risk is minimal as it has no borrowings.</w:t>
      </w:r>
    </w:p>
    <w:p>
      <w:pPr>
        <w:pStyle w:val="BodyText"/>
        <w:rPr>
          <w:sz w:val="25"/>
        </w:rPr>
      </w:pPr>
    </w:p>
    <w:p>
      <w:pPr>
        <w:pStyle w:val="ListParagraph"/>
        <w:numPr>
          <w:ilvl w:val="0"/>
          <w:numId w:val="90"/>
        </w:numPr>
        <w:tabs>
          <w:tab w:pos="756" w:val="left" w:leader="none"/>
        </w:tabs>
        <w:spacing w:line="240" w:lineRule="auto" w:before="0" w:after="0"/>
        <w:ind w:left="755" w:right="0" w:hanging="250"/>
        <w:jc w:val="left"/>
        <w:rPr>
          <w:sz w:val="18"/>
        </w:rPr>
      </w:pPr>
      <w:r>
        <w:rPr>
          <w:sz w:val="18"/>
        </w:rPr>
        <w:t>Summarised sensitivity</w:t>
      </w:r>
      <w:r>
        <w:rPr>
          <w:spacing w:val="-1"/>
          <w:sz w:val="18"/>
        </w:rPr>
        <w:t> </w:t>
      </w:r>
      <w:r>
        <w:rPr>
          <w:sz w:val="18"/>
        </w:rPr>
        <w:t>analysis</w:t>
      </w:r>
    </w:p>
    <w:p>
      <w:pPr>
        <w:pStyle w:val="BodyText"/>
        <w:rPr>
          <w:sz w:val="25"/>
        </w:rPr>
      </w:pPr>
    </w:p>
    <w:p>
      <w:pPr>
        <w:pStyle w:val="BodyText"/>
        <w:ind w:left="505" w:right="196"/>
      </w:pPr>
      <w:r>
        <w:rPr/>
        <w:pict>
          <v:shape style="position:absolute;margin-left:296.510010pt;margin-top:42.991062pt;width:248.6pt;height:60.3pt;mso-position-horizontal-relative:page;mso-position-vertical-relative:paragraph;z-index:520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15"/>
                    <w:gridCol w:w="977"/>
                    <w:gridCol w:w="1125"/>
                    <w:gridCol w:w="912"/>
                    <w:gridCol w:w="1043"/>
                  </w:tblGrid>
                  <w:tr>
                    <w:trPr>
                      <w:trHeight w:val="706" w:hRule="exact"/>
                    </w:trPr>
                    <w:tc>
                      <w:tcPr>
                        <w:tcW w:w="915" w:type="dxa"/>
                      </w:tcPr>
                      <w:p>
                        <w:pPr>
                          <w:pStyle w:val="TableParagraph"/>
                          <w:rPr>
                            <w:sz w:val="18"/>
                          </w:rPr>
                        </w:pPr>
                      </w:p>
                      <w:p>
                        <w:pPr>
                          <w:pStyle w:val="TableParagraph"/>
                          <w:spacing w:before="7"/>
                          <w:rPr>
                            <w:sz w:val="24"/>
                          </w:rPr>
                        </w:pPr>
                      </w:p>
                      <w:p>
                        <w:pPr>
                          <w:pStyle w:val="TableParagraph"/>
                          <w:ind w:left="16" w:right="178"/>
                          <w:jc w:val="center"/>
                          <w:rPr>
                            <w:sz w:val="18"/>
                          </w:rPr>
                        </w:pPr>
                        <w:r>
                          <w:rPr>
                            <w:sz w:val="18"/>
                          </w:rPr>
                          <w:t>Carrying</w:t>
                        </w:r>
                      </w:p>
                    </w:tc>
                    <w:tc>
                      <w:tcPr>
                        <w:tcW w:w="977" w:type="dxa"/>
                      </w:tcPr>
                      <w:p>
                        <w:pPr>
                          <w:pStyle w:val="TableParagraph"/>
                          <w:spacing w:before="77"/>
                          <w:ind w:left="199" w:firstLine="4"/>
                          <w:rPr>
                            <w:sz w:val="18"/>
                          </w:rPr>
                        </w:pPr>
                        <w:r>
                          <w:rPr>
                            <w:sz w:val="18"/>
                          </w:rPr>
                          <w:t>-100bps</w:t>
                        </w:r>
                      </w:p>
                      <w:p>
                        <w:pPr>
                          <w:pStyle w:val="TableParagraph"/>
                          <w:spacing w:before="10"/>
                          <w:rPr>
                            <w:sz w:val="17"/>
                          </w:rPr>
                        </w:pPr>
                      </w:p>
                      <w:p>
                        <w:pPr>
                          <w:pStyle w:val="TableParagraph"/>
                          <w:ind w:left="199"/>
                          <w:rPr>
                            <w:sz w:val="18"/>
                          </w:rPr>
                        </w:pPr>
                        <w:r>
                          <w:rPr>
                            <w:sz w:val="18"/>
                          </w:rPr>
                          <w:t>Surplus/</w:t>
                        </w:r>
                      </w:p>
                    </w:tc>
                    <w:tc>
                      <w:tcPr>
                        <w:tcW w:w="1125" w:type="dxa"/>
                      </w:tcPr>
                      <w:p>
                        <w:pPr/>
                      </w:p>
                    </w:tc>
                    <w:tc>
                      <w:tcPr>
                        <w:tcW w:w="912" w:type="dxa"/>
                      </w:tcPr>
                      <w:p>
                        <w:pPr>
                          <w:pStyle w:val="TableParagraph"/>
                          <w:spacing w:before="77"/>
                          <w:ind w:left="126" w:hanging="18"/>
                          <w:rPr>
                            <w:sz w:val="18"/>
                          </w:rPr>
                        </w:pPr>
                        <w:r>
                          <w:rPr>
                            <w:sz w:val="18"/>
                          </w:rPr>
                          <w:t>+100bps</w:t>
                        </w:r>
                      </w:p>
                      <w:p>
                        <w:pPr>
                          <w:pStyle w:val="TableParagraph"/>
                          <w:spacing w:before="10"/>
                          <w:rPr>
                            <w:sz w:val="17"/>
                          </w:rPr>
                        </w:pPr>
                      </w:p>
                      <w:p>
                        <w:pPr>
                          <w:pStyle w:val="TableParagraph"/>
                          <w:ind w:left="126"/>
                          <w:rPr>
                            <w:sz w:val="18"/>
                          </w:rPr>
                        </w:pPr>
                        <w:r>
                          <w:rPr>
                            <w:sz w:val="18"/>
                          </w:rPr>
                          <w:t>Surplus/</w:t>
                        </w:r>
                      </w:p>
                    </w:tc>
                    <w:tc>
                      <w:tcPr>
                        <w:tcW w:w="1043" w:type="dxa"/>
                      </w:tcPr>
                      <w:p>
                        <w:pPr/>
                      </w:p>
                    </w:tc>
                  </w:tr>
                  <w:tr>
                    <w:trPr>
                      <w:trHeight w:val="206" w:hRule="exact"/>
                    </w:trPr>
                    <w:tc>
                      <w:tcPr>
                        <w:tcW w:w="915" w:type="dxa"/>
                      </w:tcPr>
                      <w:p>
                        <w:pPr>
                          <w:pStyle w:val="TableParagraph"/>
                          <w:spacing w:line="197" w:lineRule="exact"/>
                          <w:ind w:left="13" w:right="178"/>
                          <w:jc w:val="center"/>
                          <w:rPr>
                            <w:sz w:val="18"/>
                          </w:rPr>
                        </w:pPr>
                        <w:r>
                          <w:rPr>
                            <w:sz w:val="18"/>
                          </w:rPr>
                          <w:t>amount</w:t>
                        </w:r>
                      </w:p>
                    </w:tc>
                    <w:tc>
                      <w:tcPr>
                        <w:tcW w:w="977" w:type="dxa"/>
                      </w:tcPr>
                      <w:p>
                        <w:pPr>
                          <w:pStyle w:val="TableParagraph"/>
                          <w:spacing w:line="197" w:lineRule="exact"/>
                          <w:ind w:left="214" w:right="131"/>
                          <w:jc w:val="center"/>
                          <w:rPr>
                            <w:sz w:val="18"/>
                          </w:rPr>
                        </w:pPr>
                        <w:r>
                          <w:rPr>
                            <w:sz w:val="18"/>
                          </w:rPr>
                          <w:t>(deficit)</w:t>
                        </w:r>
                      </w:p>
                    </w:tc>
                    <w:tc>
                      <w:tcPr>
                        <w:tcW w:w="1125" w:type="dxa"/>
                      </w:tcPr>
                      <w:p>
                        <w:pPr>
                          <w:pStyle w:val="TableParagraph"/>
                          <w:spacing w:line="197" w:lineRule="exact"/>
                          <w:ind w:left="95" w:right="88"/>
                          <w:jc w:val="center"/>
                          <w:rPr>
                            <w:sz w:val="18"/>
                          </w:rPr>
                        </w:pPr>
                        <w:r>
                          <w:rPr>
                            <w:sz w:val="18"/>
                          </w:rPr>
                          <w:t>Trust funds</w:t>
                        </w:r>
                      </w:p>
                    </w:tc>
                    <w:tc>
                      <w:tcPr>
                        <w:tcW w:w="912" w:type="dxa"/>
                      </w:tcPr>
                      <w:p>
                        <w:pPr>
                          <w:pStyle w:val="TableParagraph"/>
                          <w:spacing w:line="197" w:lineRule="exact"/>
                          <w:ind w:left="140" w:right="140"/>
                          <w:jc w:val="center"/>
                          <w:rPr>
                            <w:sz w:val="18"/>
                          </w:rPr>
                        </w:pPr>
                        <w:r>
                          <w:rPr>
                            <w:sz w:val="18"/>
                          </w:rPr>
                          <w:t>(deficit)</w:t>
                        </w:r>
                      </w:p>
                    </w:tc>
                    <w:tc>
                      <w:tcPr>
                        <w:tcW w:w="1043" w:type="dxa"/>
                      </w:tcPr>
                      <w:p>
                        <w:pPr>
                          <w:pStyle w:val="TableParagraph"/>
                          <w:spacing w:line="197" w:lineRule="exact"/>
                          <w:ind w:left="87" w:right="15"/>
                          <w:jc w:val="center"/>
                          <w:rPr>
                            <w:sz w:val="18"/>
                          </w:rPr>
                        </w:pPr>
                        <w:r>
                          <w:rPr>
                            <w:sz w:val="18"/>
                          </w:rPr>
                          <w:t>Trust funds</w:t>
                        </w:r>
                      </w:p>
                    </w:tc>
                  </w:tr>
                  <w:tr>
                    <w:trPr>
                      <w:trHeight w:val="293" w:hRule="exact"/>
                    </w:trPr>
                    <w:tc>
                      <w:tcPr>
                        <w:tcW w:w="915" w:type="dxa"/>
                      </w:tcPr>
                      <w:p>
                        <w:pPr>
                          <w:pStyle w:val="TableParagraph"/>
                          <w:spacing w:line="197" w:lineRule="exact"/>
                          <w:ind w:right="168"/>
                          <w:jc w:val="center"/>
                          <w:rPr>
                            <w:sz w:val="18"/>
                          </w:rPr>
                        </w:pPr>
                        <w:r>
                          <w:rPr>
                            <w:w w:val="99"/>
                            <w:sz w:val="18"/>
                          </w:rPr>
                          <w:t>$</w:t>
                        </w:r>
                      </w:p>
                    </w:tc>
                    <w:tc>
                      <w:tcPr>
                        <w:tcW w:w="977" w:type="dxa"/>
                      </w:tcPr>
                      <w:p>
                        <w:pPr>
                          <w:pStyle w:val="TableParagraph"/>
                          <w:spacing w:line="197" w:lineRule="exact"/>
                          <w:ind w:left="82"/>
                          <w:jc w:val="center"/>
                          <w:rPr>
                            <w:sz w:val="18"/>
                          </w:rPr>
                        </w:pPr>
                        <w:r>
                          <w:rPr>
                            <w:w w:val="99"/>
                            <w:sz w:val="18"/>
                          </w:rPr>
                          <w:t>$</w:t>
                        </w:r>
                      </w:p>
                    </w:tc>
                    <w:tc>
                      <w:tcPr>
                        <w:tcW w:w="1125" w:type="dxa"/>
                      </w:tcPr>
                      <w:p>
                        <w:pPr>
                          <w:pStyle w:val="TableParagraph"/>
                          <w:spacing w:line="197" w:lineRule="exact"/>
                          <w:ind w:left="9"/>
                          <w:jc w:val="center"/>
                          <w:rPr>
                            <w:sz w:val="18"/>
                          </w:rPr>
                        </w:pPr>
                        <w:r>
                          <w:rPr>
                            <w:w w:val="99"/>
                            <w:sz w:val="18"/>
                          </w:rPr>
                          <w:t>$</w:t>
                        </w:r>
                      </w:p>
                    </w:tc>
                    <w:tc>
                      <w:tcPr>
                        <w:tcW w:w="912" w:type="dxa"/>
                      </w:tcPr>
                      <w:p>
                        <w:pPr>
                          <w:pStyle w:val="TableParagraph"/>
                          <w:spacing w:line="197" w:lineRule="exact"/>
                          <w:jc w:val="center"/>
                          <w:rPr>
                            <w:sz w:val="18"/>
                          </w:rPr>
                        </w:pPr>
                        <w:r>
                          <w:rPr>
                            <w:w w:val="99"/>
                            <w:sz w:val="18"/>
                          </w:rPr>
                          <w:t>$</w:t>
                        </w:r>
                      </w:p>
                    </w:tc>
                    <w:tc>
                      <w:tcPr>
                        <w:tcW w:w="1043" w:type="dxa"/>
                      </w:tcPr>
                      <w:p>
                        <w:pPr>
                          <w:pStyle w:val="TableParagraph"/>
                          <w:spacing w:line="197" w:lineRule="exact"/>
                          <w:ind w:left="74"/>
                          <w:jc w:val="center"/>
                          <w:rPr>
                            <w:sz w:val="18"/>
                          </w:rPr>
                        </w:pPr>
                        <w:r>
                          <w:rPr>
                            <w:w w:val="99"/>
                            <w:sz w:val="18"/>
                          </w:rPr>
                          <w:t>$</w:t>
                        </w:r>
                      </w:p>
                    </w:tc>
                  </w:tr>
                </w:tbl>
                <w:p>
                  <w:pPr>
                    <w:pStyle w:val="BodyText"/>
                  </w:pPr>
                </w:p>
              </w:txbxContent>
            </v:textbox>
            <w10:wrap type="none"/>
          </v:shape>
        </w:pict>
      </w:r>
      <w:r>
        <w:rPr/>
        <w:t>The following table summarises the sensitivity of the Trust's financial assets and financial liabilities to interest rate risk. The Trust's financial assets and financial liabilities are not subject to foreign exchange risk and other price risk.</w:t>
      </w:r>
    </w:p>
    <w:p>
      <w:pPr>
        <w:pStyle w:val="BodyText"/>
      </w:pPr>
    </w:p>
    <w:p>
      <w:pPr>
        <w:pStyle w:val="BodyText"/>
      </w:pPr>
    </w:p>
    <w:p>
      <w:pPr>
        <w:pStyle w:val="BodyText"/>
      </w:pPr>
    </w:p>
    <w:p>
      <w:pPr>
        <w:pStyle w:val="BodyText"/>
      </w:pPr>
    </w:p>
    <w:p>
      <w:pPr>
        <w:pStyle w:val="BodyText"/>
        <w:spacing w:before="8"/>
        <w:rPr>
          <w:sz w:val="20"/>
        </w:rPr>
      </w:pPr>
    </w:p>
    <w:p>
      <w:pPr>
        <w:pStyle w:val="Heading9"/>
        <w:ind w:left="504" w:right="194"/>
      </w:pPr>
      <w:r>
        <w:rPr/>
        <w:t>31 December 2017</w:t>
      </w:r>
    </w:p>
    <w:p>
      <w:pPr>
        <w:pStyle w:val="BodyText"/>
        <w:spacing w:before="5"/>
        <w:rPr>
          <w:b/>
          <w:sz w:val="20"/>
        </w:rPr>
      </w:pPr>
    </w:p>
    <w:p>
      <w:pPr>
        <w:spacing w:line="207" w:lineRule="exact" w:before="77"/>
        <w:ind w:left="504" w:right="194" w:firstLine="0"/>
        <w:jc w:val="left"/>
        <w:rPr>
          <w:b/>
          <w:sz w:val="18"/>
        </w:rPr>
      </w:pPr>
      <w:r>
        <w:rPr>
          <w:b/>
          <w:sz w:val="18"/>
        </w:rPr>
        <w:t>Financial assets</w:t>
      </w:r>
    </w:p>
    <w:p>
      <w:pPr>
        <w:pStyle w:val="BodyText"/>
        <w:tabs>
          <w:tab w:pos="5230" w:val="left" w:leader="none"/>
          <w:tab w:pos="6383" w:val="left" w:leader="none"/>
          <w:tab w:pos="7397" w:val="left" w:leader="none"/>
          <w:tab w:pos="8471" w:val="left" w:leader="none"/>
          <w:tab w:pos="9485" w:val="left" w:leader="none"/>
        </w:tabs>
        <w:spacing w:line="207" w:lineRule="exact" w:after="17"/>
        <w:ind w:left="504" w:right="51"/>
      </w:pPr>
      <w:r>
        <w:rPr/>
        <w:t>Cash and</w:t>
      </w:r>
      <w:r>
        <w:rPr>
          <w:spacing w:val="-1"/>
        </w:rPr>
        <w:t> </w:t>
      </w:r>
      <w:r>
        <w:rPr/>
        <w:t>cash</w:t>
      </w:r>
      <w:r>
        <w:rPr>
          <w:spacing w:val="-1"/>
        </w:rPr>
        <w:t> </w:t>
      </w:r>
      <w:r>
        <w:rPr/>
        <w:t>equivalents</w:t>
        <w:tab/>
        <w:t>766,186</w:t>
        <w:tab/>
        <w:t>(7,662)</w:t>
        <w:tab/>
        <w:t>(7,662)</w:t>
        <w:tab/>
        <w:t>7,662</w:t>
        <w:tab/>
        <w:t>7,662</w:t>
      </w:r>
    </w:p>
    <w:tbl>
      <w:tblPr>
        <w:tblW w:w="0" w:type="auto"/>
        <w:jc w:val="left"/>
        <w:tblInd w:w="46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39"/>
        <w:gridCol w:w="5464"/>
      </w:tblGrid>
      <w:tr>
        <w:trPr>
          <w:trHeight w:val="204" w:hRule="exact"/>
        </w:trPr>
        <w:tc>
          <w:tcPr>
            <w:tcW w:w="4039" w:type="dxa"/>
          </w:tcPr>
          <w:p>
            <w:pPr>
              <w:pStyle w:val="TableParagraph"/>
              <w:spacing w:line="189" w:lineRule="exact"/>
              <w:ind w:left="35"/>
              <w:rPr>
                <w:sz w:val="12"/>
              </w:rPr>
            </w:pPr>
            <w:r>
              <w:rPr>
                <w:sz w:val="18"/>
              </w:rPr>
              <w:t>Trade receivables </w:t>
            </w:r>
            <w:r>
              <w:rPr>
                <w:position w:val="5"/>
                <w:sz w:val="12"/>
              </w:rPr>
              <w:t>(a)</w:t>
            </w:r>
          </w:p>
        </w:tc>
        <w:tc>
          <w:tcPr>
            <w:tcW w:w="5464" w:type="dxa"/>
          </w:tcPr>
          <w:p>
            <w:pPr>
              <w:pStyle w:val="TableParagraph"/>
              <w:tabs>
                <w:tab w:pos="590" w:val="left" w:leader="none"/>
                <w:tab w:pos="1993" w:val="left" w:leader="none"/>
                <w:tab w:pos="3007" w:val="left" w:leader="none"/>
                <w:tab w:pos="4021" w:val="left" w:leader="none"/>
                <w:tab w:pos="5035" w:val="left" w:leader="none"/>
              </w:tabs>
              <w:spacing w:line="189" w:lineRule="exact"/>
              <w:ind w:right="34"/>
              <w:jc w:val="right"/>
              <w:rPr>
                <w:sz w:val="18"/>
              </w:rPr>
            </w:pPr>
            <w:r>
              <w:rPr>
                <w:rFonts w:ascii="Times New Roman"/>
                <w:sz w:val="18"/>
                <w:u w:val="single"/>
              </w:rPr>
              <w:t> </w:t>
              <w:tab/>
            </w:r>
            <w:r>
              <w:rPr>
                <w:sz w:val="18"/>
                <w:u w:val="single"/>
              </w:rPr>
              <w:t>3,752</w:t>
              <w:tab/>
              <w:t>-</w:t>
              <w:tab/>
              <w:t>-</w:t>
              <w:tab/>
              <w:t>-</w:t>
              <w:tab/>
              <w:t>-</w:t>
            </w:r>
          </w:p>
        </w:tc>
      </w:tr>
      <w:tr>
        <w:trPr>
          <w:trHeight w:val="272" w:hRule="exact"/>
        </w:trPr>
        <w:tc>
          <w:tcPr>
            <w:tcW w:w="4039" w:type="dxa"/>
          </w:tcPr>
          <w:p>
            <w:pPr>
              <w:pStyle w:val="TableParagraph"/>
              <w:spacing w:line="201" w:lineRule="exact"/>
              <w:ind w:left="35"/>
              <w:rPr>
                <w:sz w:val="18"/>
              </w:rPr>
            </w:pPr>
            <w:r>
              <w:rPr>
                <w:sz w:val="18"/>
              </w:rPr>
              <w:t>Total increase/(decrease) in financial assets</w:t>
            </w:r>
          </w:p>
        </w:tc>
        <w:tc>
          <w:tcPr>
            <w:tcW w:w="5464" w:type="dxa"/>
          </w:tcPr>
          <w:p>
            <w:pPr>
              <w:pStyle w:val="TableParagraph"/>
              <w:tabs>
                <w:tab w:pos="1544" w:val="left" w:leader="none"/>
                <w:tab w:pos="2558" w:val="left" w:leader="none"/>
                <w:tab w:pos="3632" w:val="left" w:leader="none"/>
                <w:tab w:pos="4646" w:val="left" w:leader="none"/>
              </w:tabs>
              <w:spacing w:line="201" w:lineRule="exact"/>
              <w:ind w:right="33"/>
              <w:jc w:val="right"/>
              <w:rPr>
                <w:sz w:val="18"/>
              </w:rPr>
            </w:pPr>
            <w:r>
              <w:rPr>
                <w:rFonts w:ascii="Times New Roman"/>
                <w:sz w:val="18"/>
                <w:u w:val="single"/>
              </w:rPr>
              <w:t> </w:t>
              <w:tab/>
            </w:r>
            <w:r>
              <w:rPr>
                <w:sz w:val="18"/>
                <w:u w:val="single"/>
              </w:rPr>
              <w:t>(7,662)</w:t>
              <w:tab/>
              <w:t>(7,662)</w:t>
              <w:tab/>
              <w:t>7,662</w:t>
              <w:tab/>
            </w:r>
            <w:r>
              <w:rPr>
                <w:w w:val="95"/>
                <w:sz w:val="18"/>
                <w:u w:val="single"/>
              </w:rPr>
              <w:t>7,662</w:t>
            </w:r>
          </w:p>
        </w:tc>
      </w:tr>
      <w:tr>
        <w:trPr>
          <w:trHeight w:val="479" w:hRule="exact"/>
        </w:trPr>
        <w:tc>
          <w:tcPr>
            <w:tcW w:w="4039" w:type="dxa"/>
          </w:tcPr>
          <w:p>
            <w:pPr>
              <w:pStyle w:val="TableParagraph"/>
              <w:spacing w:line="207" w:lineRule="exact" w:before="51"/>
              <w:ind w:left="35"/>
              <w:rPr>
                <w:b/>
                <w:sz w:val="18"/>
              </w:rPr>
            </w:pPr>
            <w:r>
              <w:rPr>
                <w:b/>
                <w:sz w:val="18"/>
              </w:rPr>
              <w:t>Financial liabilities</w:t>
            </w:r>
          </w:p>
          <w:p>
            <w:pPr>
              <w:pStyle w:val="TableParagraph"/>
              <w:spacing w:line="207" w:lineRule="exact"/>
              <w:ind w:left="35"/>
              <w:rPr>
                <w:sz w:val="12"/>
              </w:rPr>
            </w:pPr>
            <w:r>
              <w:rPr>
                <w:sz w:val="18"/>
              </w:rPr>
              <w:t>Amounts owed to ultimate parent entity </w:t>
            </w:r>
            <w:r>
              <w:rPr>
                <w:position w:val="5"/>
                <w:sz w:val="12"/>
              </w:rPr>
              <w:t>(b)</w:t>
            </w:r>
          </w:p>
        </w:tc>
        <w:tc>
          <w:tcPr>
            <w:tcW w:w="5464" w:type="dxa"/>
          </w:tcPr>
          <w:p>
            <w:pPr>
              <w:pStyle w:val="TableParagraph"/>
              <w:spacing w:before="4"/>
              <w:rPr>
                <w:sz w:val="22"/>
              </w:rPr>
            </w:pPr>
          </w:p>
          <w:p>
            <w:pPr>
              <w:pStyle w:val="TableParagraph"/>
              <w:tabs>
                <w:tab w:pos="391" w:val="left" w:leader="none"/>
                <w:tab w:pos="1993" w:val="left" w:leader="none"/>
                <w:tab w:pos="3007" w:val="left" w:leader="none"/>
                <w:tab w:pos="4021" w:val="left" w:leader="none"/>
                <w:tab w:pos="5035" w:val="left" w:leader="none"/>
              </w:tabs>
              <w:ind w:right="34"/>
              <w:jc w:val="right"/>
              <w:rPr>
                <w:sz w:val="18"/>
              </w:rPr>
            </w:pPr>
            <w:r>
              <w:rPr>
                <w:rFonts w:ascii="Times New Roman"/>
                <w:sz w:val="18"/>
                <w:u w:val="single"/>
              </w:rPr>
              <w:t> </w:t>
              <w:tab/>
            </w:r>
            <w:r>
              <w:rPr>
                <w:sz w:val="18"/>
                <w:u w:val="single"/>
              </w:rPr>
              <w:t>103,964</w:t>
              <w:tab/>
              <w:t>-</w:t>
              <w:tab/>
              <w:t>-</w:t>
              <w:tab/>
              <w:t>-</w:t>
              <w:tab/>
              <w:t>-</w:t>
            </w:r>
          </w:p>
        </w:tc>
      </w:tr>
      <w:tr>
        <w:trPr>
          <w:trHeight w:val="286" w:hRule="exact"/>
        </w:trPr>
        <w:tc>
          <w:tcPr>
            <w:tcW w:w="4039" w:type="dxa"/>
          </w:tcPr>
          <w:p>
            <w:pPr>
              <w:pStyle w:val="TableParagraph"/>
              <w:spacing w:line="201" w:lineRule="exact"/>
              <w:ind w:left="35"/>
              <w:rPr>
                <w:sz w:val="18"/>
              </w:rPr>
            </w:pPr>
            <w:r>
              <w:rPr>
                <w:sz w:val="18"/>
              </w:rPr>
              <w:t>Total increase/(decrease) in financial liabilities</w:t>
            </w:r>
          </w:p>
        </w:tc>
        <w:tc>
          <w:tcPr>
            <w:tcW w:w="5464" w:type="dxa"/>
          </w:tcPr>
          <w:p>
            <w:pPr>
              <w:pStyle w:val="TableParagraph"/>
              <w:tabs>
                <w:tab w:pos="1993" w:val="left" w:leader="none"/>
                <w:tab w:pos="3007" w:val="left" w:leader="none"/>
                <w:tab w:pos="4021" w:val="left" w:leader="none"/>
                <w:tab w:pos="5035" w:val="left" w:leader="none"/>
              </w:tabs>
              <w:spacing w:line="201" w:lineRule="exact"/>
              <w:ind w:right="34"/>
              <w:jc w:val="right"/>
              <w:rPr>
                <w:sz w:val="18"/>
              </w:rPr>
            </w:pPr>
            <w:r>
              <w:rPr>
                <w:rFonts w:ascii="Times New Roman"/>
                <w:sz w:val="18"/>
                <w:u w:val="single"/>
              </w:rPr>
              <w:t> </w:t>
              <w:tab/>
            </w:r>
            <w:r>
              <w:rPr>
                <w:sz w:val="18"/>
                <w:u w:val="single"/>
              </w:rPr>
              <w:t>-</w:t>
              <w:tab/>
              <w:t>-</w:t>
              <w:tab/>
              <w:t>-</w:t>
              <w:tab/>
              <w:t>-</w:t>
            </w:r>
          </w:p>
        </w:tc>
      </w:tr>
      <w:tr>
        <w:trPr>
          <w:trHeight w:val="369" w:hRule="exact"/>
        </w:trPr>
        <w:tc>
          <w:tcPr>
            <w:tcW w:w="4039" w:type="dxa"/>
          </w:tcPr>
          <w:p>
            <w:pPr>
              <w:pStyle w:val="TableParagraph"/>
              <w:spacing w:before="64"/>
              <w:ind w:left="35"/>
              <w:rPr>
                <w:b/>
                <w:sz w:val="18"/>
              </w:rPr>
            </w:pPr>
            <w:r>
              <w:rPr>
                <w:b/>
                <w:sz w:val="18"/>
              </w:rPr>
              <w:t>Total increase/(decrease)</w:t>
            </w:r>
          </w:p>
        </w:tc>
        <w:tc>
          <w:tcPr>
            <w:tcW w:w="5464" w:type="dxa"/>
          </w:tcPr>
          <w:p>
            <w:pPr>
              <w:pStyle w:val="TableParagraph"/>
              <w:tabs>
                <w:tab w:pos="1544" w:val="left" w:leader="none"/>
                <w:tab w:pos="2558" w:val="left" w:leader="none"/>
                <w:tab w:pos="3632" w:val="left" w:leader="none"/>
                <w:tab w:pos="4646" w:val="left" w:leader="none"/>
              </w:tabs>
              <w:spacing w:before="64"/>
              <w:ind w:right="33"/>
              <w:jc w:val="right"/>
              <w:rPr>
                <w:sz w:val="18"/>
              </w:rPr>
            </w:pPr>
            <w:r>
              <w:rPr>
                <w:rFonts w:ascii="Times New Roman"/>
                <w:sz w:val="18"/>
                <w:u w:val="single"/>
              </w:rPr>
              <w:t> </w:t>
              <w:tab/>
            </w:r>
            <w:r>
              <w:rPr>
                <w:sz w:val="18"/>
                <w:u w:val="single"/>
              </w:rPr>
              <w:t>(7,662)</w:t>
              <w:tab/>
              <w:t>(7,662)</w:t>
              <w:tab/>
              <w:t>7,662</w:t>
              <w:tab/>
            </w:r>
            <w:r>
              <w:rPr>
                <w:w w:val="95"/>
                <w:sz w:val="18"/>
                <w:u w:val="single"/>
              </w:rPr>
              <w:t>7,662</w:t>
            </w:r>
          </w:p>
        </w:tc>
      </w:tr>
    </w:tbl>
    <w:p>
      <w:pPr>
        <w:pStyle w:val="BodyText"/>
        <w:rPr>
          <w:sz w:val="20"/>
        </w:rPr>
      </w:pPr>
    </w:p>
    <w:p>
      <w:pPr>
        <w:pStyle w:val="BodyText"/>
        <w:rPr>
          <w:sz w:val="20"/>
        </w:rPr>
      </w:pPr>
    </w:p>
    <w:p>
      <w:pPr>
        <w:pStyle w:val="BodyText"/>
        <w:rPr>
          <w:sz w:val="20"/>
        </w:rPr>
      </w:pPr>
    </w:p>
    <w:p>
      <w:pPr>
        <w:pStyle w:val="BodyText"/>
        <w:spacing w:before="1"/>
        <w:rPr>
          <w:sz w:val="20"/>
        </w:rPr>
      </w:pPr>
    </w:p>
    <w:p>
      <w:pPr>
        <w:pStyle w:val="Heading9"/>
        <w:ind w:left="504" w:right="194"/>
      </w:pPr>
      <w:r>
        <w:rPr/>
        <w:pict>
          <v:shape style="position:absolute;margin-left:296.510010pt;margin-top:-30.97393pt;width:248.6pt;height:60.3pt;mso-position-horizontal-relative:page;mso-position-vertical-relative:paragraph;z-index:517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15"/>
                    <w:gridCol w:w="977"/>
                    <w:gridCol w:w="1125"/>
                    <w:gridCol w:w="912"/>
                    <w:gridCol w:w="1043"/>
                  </w:tblGrid>
                  <w:tr>
                    <w:trPr>
                      <w:trHeight w:val="706" w:hRule="exact"/>
                    </w:trPr>
                    <w:tc>
                      <w:tcPr>
                        <w:tcW w:w="915" w:type="dxa"/>
                      </w:tcPr>
                      <w:p>
                        <w:pPr>
                          <w:pStyle w:val="TableParagraph"/>
                          <w:rPr>
                            <w:sz w:val="18"/>
                          </w:rPr>
                        </w:pPr>
                      </w:p>
                      <w:p>
                        <w:pPr>
                          <w:pStyle w:val="TableParagraph"/>
                          <w:spacing w:before="6"/>
                          <w:rPr>
                            <w:sz w:val="24"/>
                          </w:rPr>
                        </w:pPr>
                      </w:p>
                      <w:p>
                        <w:pPr>
                          <w:pStyle w:val="TableParagraph"/>
                          <w:spacing w:before="1"/>
                          <w:ind w:left="16" w:right="178"/>
                          <w:jc w:val="center"/>
                          <w:rPr>
                            <w:sz w:val="18"/>
                          </w:rPr>
                        </w:pPr>
                        <w:r>
                          <w:rPr>
                            <w:sz w:val="18"/>
                          </w:rPr>
                          <w:t>Carrying</w:t>
                        </w:r>
                      </w:p>
                    </w:tc>
                    <w:tc>
                      <w:tcPr>
                        <w:tcW w:w="977" w:type="dxa"/>
                      </w:tcPr>
                      <w:p>
                        <w:pPr>
                          <w:pStyle w:val="TableParagraph"/>
                          <w:spacing w:before="77"/>
                          <w:ind w:left="199" w:firstLine="4"/>
                          <w:rPr>
                            <w:sz w:val="18"/>
                          </w:rPr>
                        </w:pPr>
                        <w:r>
                          <w:rPr>
                            <w:sz w:val="18"/>
                          </w:rPr>
                          <w:t>-100bps</w:t>
                        </w:r>
                      </w:p>
                      <w:p>
                        <w:pPr>
                          <w:pStyle w:val="TableParagraph"/>
                          <w:spacing w:before="10"/>
                          <w:rPr>
                            <w:sz w:val="17"/>
                          </w:rPr>
                        </w:pPr>
                      </w:p>
                      <w:p>
                        <w:pPr>
                          <w:pStyle w:val="TableParagraph"/>
                          <w:ind w:left="199"/>
                          <w:rPr>
                            <w:sz w:val="18"/>
                          </w:rPr>
                        </w:pPr>
                        <w:r>
                          <w:rPr>
                            <w:sz w:val="18"/>
                          </w:rPr>
                          <w:t>Surplus/</w:t>
                        </w:r>
                      </w:p>
                    </w:tc>
                    <w:tc>
                      <w:tcPr>
                        <w:tcW w:w="1125" w:type="dxa"/>
                      </w:tcPr>
                      <w:p>
                        <w:pPr/>
                      </w:p>
                    </w:tc>
                    <w:tc>
                      <w:tcPr>
                        <w:tcW w:w="912" w:type="dxa"/>
                      </w:tcPr>
                      <w:p>
                        <w:pPr>
                          <w:pStyle w:val="TableParagraph"/>
                          <w:spacing w:before="77"/>
                          <w:ind w:left="126" w:hanging="18"/>
                          <w:rPr>
                            <w:sz w:val="18"/>
                          </w:rPr>
                        </w:pPr>
                        <w:r>
                          <w:rPr>
                            <w:sz w:val="18"/>
                          </w:rPr>
                          <w:t>+100bps</w:t>
                        </w:r>
                      </w:p>
                      <w:p>
                        <w:pPr>
                          <w:pStyle w:val="TableParagraph"/>
                          <w:spacing w:before="10"/>
                          <w:rPr>
                            <w:sz w:val="17"/>
                          </w:rPr>
                        </w:pPr>
                      </w:p>
                      <w:p>
                        <w:pPr>
                          <w:pStyle w:val="TableParagraph"/>
                          <w:ind w:left="126"/>
                          <w:rPr>
                            <w:sz w:val="18"/>
                          </w:rPr>
                        </w:pPr>
                        <w:r>
                          <w:rPr>
                            <w:sz w:val="18"/>
                          </w:rPr>
                          <w:t>Surplus/</w:t>
                        </w:r>
                      </w:p>
                    </w:tc>
                    <w:tc>
                      <w:tcPr>
                        <w:tcW w:w="1043" w:type="dxa"/>
                      </w:tcPr>
                      <w:p>
                        <w:pPr/>
                      </w:p>
                    </w:tc>
                  </w:tr>
                  <w:tr>
                    <w:trPr>
                      <w:trHeight w:val="206" w:hRule="exact"/>
                    </w:trPr>
                    <w:tc>
                      <w:tcPr>
                        <w:tcW w:w="915" w:type="dxa"/>
                      </w:tcPr>
                      <w:p>
                        <w:pPr>
                          <w:pStyle w:val="TableParagraph"/>
                          <w:spacing w:line="197" w:lineRule="exact"/>
                          <w:ind w:left="13" w:right="178"/>
                          <w:jc w:val="center"/>
                          <w:rPr>
                            <w:sz w:val="18"/>
                          </w:rPr>
                        </w:pPr>
                        <w:r>
                          <w:rPr>
                            <w:sz w:val="18"/>
                          </w:rPr>
                          <w:t>amount</w:t>
                        </w:r>
                      </w:p>
                    </w:tc>
                    <w:tc>
                      <w:tcPr>
                        <w:tcW w:w="977" w:type="dxa"/>
                      </w:tcPr>
                      <w:p>
                        <w:pPr>
                          <w:pStyle w:val="TableParagraph"/>
                          <w:spacing w:line="197" w:lineRule="exact"/>
                          <w:ind w:left="214" w:right="131"/>
                          <w:jc w:val="center"/>
                          <w:rPr>
                            <w:sz w:val="18"/>
                          </w:rPr>
                        </w:pPr>
                        <w:r>
                          <w:rPr>
                            <w:sz w:val="18"/>
                          </w:rPr>
                          <w:t>(deficit)</w:t>
                        </w:r>
                      </w:p>
                    </w:tc>
                    <w:tc>
                      <w:tcPr>
                        <w:tcW w:w="1125" w:type="dxa"/>
                      </w:tcPr>
                      <w:p>
                        <w:pPr>
                          <w:pStyle w:val="TableParagraph"/>
                          <w:spacing w:line="197" w:lineRule="exact"/>
                          <w:ind w:left="95" w:right="88"/>
                          <w:jc w:val="center"/>
                          <w:rPr>
                            <w:sz w:val="18"/>
                          </w:rPr>
                        </w:pPr>
                        <w:r>
                          <w:rPr>
                            <w:sz w:val="18"/>
                          </w:rPr>
                          <w:t>Trust funds</w:t>
                        </w:r>
                      </w:p>
                    </w:tc>
                    <w:tc>
                      <w:tcPr>
                        <w:tcW w:w="912" w:type="dxa"/>
                      </w:tcPr>
                      <w:p>
                        <w:pPr>
                          <w:pStyle w:val="TableParagraph"/>
                          <w:spacing w:line="197" w:lineRule="exact"/>
                          <w:ind w:left="140" w:right="140"/>
                          <w:jc w:val="center"/>
                          <w:rPr>
                            <w:sz w:val="18"/>
                          </w:rPr>
                        </w:pPr>
                        <w:r>
                          <w:rPr>
                            <w:sz w:val="18"/>
                          </w:rPr>
                          <w:t>(deficit)</w:t>
                        </w:r>
                      </w:p>
                    </w:tc>
                    <w:tc>
                      <w:tcPr>
                        <w:tcW w:w="1043" w:type="dxa"/>
                      </w:tcPr>
                      <w:p>
                        <w:pPr>
                          <w:pStyle w:val="TableParagraph"/>
                          <w:spacing w:line="197" w:lineRule="exact"/>
                          <w:ind w:left="87" w:right="15"/>
                          <w:jc w:val="center"/>
                          <w:rPr>
                            <w:sz w:val="18"/>
                          </w:rPr>
                        </w:pPr>
                        <w:r>
                          <w:rPr>
                            <w:sz w:val="18"/>
                          </w:rPr>
                          <w:t>Trust funds</w:t>
                        </w:r>
                      </w:p>
                    </w:tc>
                  </w:tr>
                  <w:tr>
                    <w:trPr>
                      <w:trHeight w:val="293" w:hRule="exact"/>
                    </w:trPr>
                    <w:tc>
                      <w:tcPr>
                        <w:tcW w:w="915" w:type="dxa"/>
                      </w:tcPr>
                      <w:p>
                        <w:pPr>
                          <w:pStyle w:val="TableParagraph"/>
                          <w:spacing w:line="197" w:lineRule="exact"/>
                          <w:ind w:right="168"/>
                          <w:jc w:val="center"/>
                          <w:rPr>
                            <w:sz w:val="18"/>
                          </w:rPr>
                        </w:pPr>
                        <w:r>
                          <w:rPr>
                            <w:w w:val="99"/>
                            <w:sz w:val="18"/>
                          </w:rPr>
                          <w:t>$</w:t>
                        </w:r>
                      </w:p>
                    </w:tc>
                    <w:tc>
                      <w:tcPr>
                        <w:tcW w:w="977" w:type="dxa"/>
                      </w:tcPr>
                      <w:p>
                        <w:pPr>
                          <w:pStyle w:val="TableParagraph"/>
                          <w:spacing w:line="197" w:lineRule="exact"/>
                          <w:ind w:left="82"/>
                          <w:jc w:val="center"/>
                          <w:rPr>
                            <w:sz w:val="18"/>
                          </w:rPr>
                        </w:pPr>
                        <w:r>
                          <w:rPr>
                            <w:w w:val="99"/>
                            <w:sz w:val="18"/>
                          </w:rPr>
                          <w:t>$</w:t>
                        </w:r>
                      </w:p>
                    </w:tc>
                    <w:tc>
                      <w:tcPr>
                        <w:tcW w:w="1125" w:type="dxa"/>
                      </w:tcPr>
                      <w:p>
                        <w:pPr>
                          <w:pStyle w:val="TableParagraph"/>
                          <w:spacing w:line="197" w:lineRule="exact"/>
                          <w:ind w:left="9"/>
                          <w:jc w:val="center"/>
                          <w:rPr>
                            <w:sz w:val="18"/>
                          </w:rPr>
                        </w:pPr>
                        <w:r>
                          <w:rPr>
                            <w:w w:val="99"/>
                            <w:sz w:val="18"/>
                          </w:rPr>
                          <w:t>$</w:t>
                        </w:r>
                      </w:p>
                    </w:tc>
                    <w:tc>
                      <w:tcPr>
                        <w:tcW w:w="912" w:type="dxa"/>
                      </w:tcPr>
                      <w:p>
                        <w:pPr>
                          <w:pStyle w:val="TableParagraph"/>
                          <w:spacing w:line="197" w:lineRule="exact"/>
                          <w:jc w:val="center"/>
                          <w:rPr>
                            <w:sz w:val="18"/>
                          </w:rPr>
                        </w:pPr>
                        <w:r>
                          <w:rPr>
                            <w:w w:val="99"/>
                            <w:sz w:val="18"/>
                          </w:rPr>
                          <w:t>$</w:t>
                        </w:r>
                      </w:p>
                    </w:tc>
                    <w:tc>
                      <w:tcPr>
                        <w:tcW w:w="1043" w:type="dxa"/>
                      </w:tcPr>
                      <w:p>
                        <w:pPr>
                          <w:pStyle w:val="TableParagraph"/>
                          <w:spacing w:line="197" w:lineRule="exact"/>
                          <w:ind w:left="74"/>
                          <w:jc w:val="center"/>
                          <w:rPr>
                            <w:sz w:val="18"/>
                          </w:rPr>
                        </w:pPr>
                        <w:r>
                          <w:rPr>
                            <w:w w:val="99"/>
                            <w:sz w:val="18"/>
                          </w:rPr>
                          <w:t>$</w:t>
                        </w:r>
                      </w:p>
                    </w:tc>
                  </w:tr>
                </w:tbl>
                <w:p>
                  <w:pPr>
                    <w:pStyle w:val="BodyText"/>
                  </w:pPr>
                </w:p>
              </w:txbxContent>
            </v:textbox>
            <w10:wrap type="none"/>
          </v:shape>
        </w:pict>
      </w:r>
      <w:r>
        <w:rPr/>
        <w:t>31 December 2016</w:t>
      </w:r>
    </w:p>
    <w:p>
      <w:pPr>
        <w:pStyle w:val="BodyText"/>
        <w:spacing w:before="5"/>
        <w:rPr>
          <w:b/>
          <w:sz w:val="20"/>
        </w:rPr>
      </w:pPr>
    </w:p>
    <w:p>
      <w:pPr>
        <w:spacing w:line="207" w:lineRule="exact" w:before="77"/>
        <w:ind w:left="504" w:right="0" w:firstLine="0"/>
        <w:jc w:val="both"/>
        <w:rPr>
          <w:b/>
          <w:sz w:val="18"/>
        </w:rPr>
      </w:pPr>
      <w:r>
        <w:rPr>
          <w:b/>
          <w:sz w:val="18"/>
        </w:rPr>
        <w:t>Financial assets</w:t>
      </w:r>
    </w:p>
    <w:p>
      <w:pPr>
        <w:pStyle w:val="BodyText"/>
        <w:tabs>
          <w:tab w:pos="4839" w:val="left" w:leader="none"/>
          <w:tab w:pos="5230" w:val="left" w:leader="none"/>
          <w:tab w:pos="5429" w:val="left" w:leader="none"/>
          <w:tab w:pos="6383" w:val="left" w:leader="none"/>
          <w:tab w:pos="6832" w:val="left" w:leader="none"/>
          <w:tab w:pos="7846" w:val="left" w:leader="none"/>
          <w:tab w:pos="8860" w:val="left" w:leader="none"/>
          <w:tab w:pos="9485" w:val="left" w:leader="none"/>
          <w:tab w:pos="9874" w:val="left" w:leader="none"/>
        </w:tabs>
        <w:spacing w:line="249" w:lineRule="auto"/>
        <w:ind w:left="503" w:right="166"/>
        <w:jc w:val="both"/>
      </w:pPr>
      <w:r>
        <w:rPr/>
        <w:t>Cash and</w:t>
      </w:r>
      <w:r>
        <w:rPr>
          <w:spacing w:val="-1"/>
        </w:rPr>
        <w:t> </w:t>
      </w:r>
      <w:r>
        <w:rPr/>
        <w:t>cash</w:t>
      </w:r>
      <w:r>
        <w:rPr>
          <w:spacing w:val="-1"/>
        </w:rPr>
        <w:t> </w:t>
      </w:r>
      <w:r>
        <w:rPr/>
        <w:t>equivalents</w:t>
        <w:tab/>
        <w:tab/>
        <w:t>575,222          (5,752)       </w:t>
      </w:r>
      <w:r>
        <w:rPr>
          <w:spacing w:val="44"/>
        </w:rPr>
        <w:t> </w:t>
      </w:r>
      <w:r>
        <w:rPr/>
        <w:t>(5,752)         </w:t>
      </w:r>
      <w:r>
        <w:rPr>
          <w:spacing w:val="2"/>
        </w:rPr>
        <w:t> </w:t>
      </w:r>
      <w:r>
        <w:rPr/>
        <w:t>5,752</w:t>
        <w:tab/>
        <w:t>5,752 Trade</w:t>
      </w:r>
      <w:r>
        <w:rPr>
          <w:spacing w:val="-1"/>
        </w:rPr>
        <w:t> </w:t>
      </w:r>
      <w:r>
        <w:rPr/>
        <w:t>receivables</w:t>
      </w:r>
      <w:r>
        <w:rPr>
          <w:spacing w:val="-3"/>
        </w:rPr>
        <w:t> </w:t>
      </w:r>
      <w:r>
        <w:rPr>
          <w:position w:val="5"/>
          <w:sz w:val="12"/>
        </w:rPr>
        <w:t>(a)</w:t>
        <w:tab/>
      </w:r>
      <w:r>
        <w:rPr>
          <w:rFonts w:ascii="Times New Roman"/>
          <w:u w:val="single"/>
        </w:rPr>
        <w:t> </w:t>
        <w:tab/>
        <w:tab/>
      </w:r>
      <w:r>
        <w:rPr>
          <w:u w:val="single"/>
        </w:rPr>
        <w:t>3,700</w:t>
        <w:tab/>
        <w:tab/>
        <w:t>-</w:t>
        <w:tab/>
        <w:t>-</w:t>
        <w:tab/>
        <w:t>-</w:t>
        <w:tab/>
        <w:tab/>
        <w:t>- </w:t>
      </w:r>
      <w:r>
        <w:rPr/>
        <w:t>Total increase/(decrease) in</w:t>
      </w:r>
      <w:r>
        <w:rPr>
          <w:spacing w:val="-1"/>
        </w:rPr>
        <w:t> </w:t>
      </w:r>
      <w:r>
        <w:rPr/>
        <w:t>financial</w:t>
      </w:r>
      <w:r>
        <w:rPr>
          <w:spacing w:val="-1"/>
        </w:rPr>
        <w:t> </w:t>
      </w:r>
      <w:r>
        <w:rPr/>
        <w:t>assets</w:t>
        <w:tab/>
      </w:r>
      <w:r>
        <w:rPr>
          <w:rFonts w:ascii="Times New Roman"/>
          <w:u w:val="single"/>
        </w:rPr>
        <w:t> </w:t>
        <w:tab/>
        <w:tab/>
        <w:tab/>
      </w:r>
      <w:r>
        <w:rPr>
          <w:u w:val="single"/>
        </w:rPr>
        <w:t>(5,752)       </w:t>
      </w:r>
      <w:r>
        <w:rPr>
          <w:spacing w:val="42"/>
          <w:u w:val="single"/>
        </w:rPr>
        <w:t> </w:t>
      </w:r>
      <w:r>
        <w:rPr>
          <w:u w:val="single"/>
        </w:rPr>
        <w:t>(5,752)         </w:t>
      </w:r>
      <w:r>
        <w:rPr>
          <w:spacing w:val="2"/>
          <w:u w:val="single"/>
        </w:rPr>
        <w:t> </w:t>
      </w:r>
      <w:r>
        <w:rPr>
          <w:u w:val="single"/>
        </w:rPr>
        <w:t>5,752</w:t>
        <w:tab/>
        <w:t>5,752</w:t>
      </w:r>
    </w:p>
    <w:p>
      <w:pPr>
        <w:pStyle w:val="Heading9"/>
        <w:spacing w:line="207" w:lineRule="exact" w:before="113"/>
        <w:ind w:left="504"/>
        <w:jc w:val="both"/>
      </w:pPr>
      <w:r>
        <w:rPr/>
        <w:t>Financial liabilities</w:t>
      </w:r>
    </w:p>
    <w:p>
      <w:pPr>
        <w:pStyle w:val="BodyText"/>
        <w:tabs>
          <w:tab w:pos="4839" w:val="left" w:leader="none"/>
          <w:tab w:pos="5818" w:val="left" w:leader="none"/>
          <w:tab w:pos="6832" w:val="left" w:leader="none"/>
          <w:tab w:pos="7846" w:val="left" w:leader="none"/>
          <w:tab w:pos="8860" w:val="left" w:leader="none"/>
          <w:tab w:pos="9874" w:val="left" w:leader="none"/>
        </w:tabs>
        <w:spacing w:line="249" w:lineRule="auto"/>
        <w:ind w:left="504" w:right="166"/>
        <w:jc w:val="both"/>
      </w:pPr>
      <w:r>
        <w:rPr/>
        <w:t>Amounts owed to ultimate parent</w:t>
      </w:r>
      <w:r>
        <w:rPr>
          <w:spacing w:val="-1"/>
        </w:rPr>
        <w:t> </w:t>
      </w:r>
      <w:r>
        <w:rPr/>
        <w:t>entity</w:t>
      </w:r>
      <w:r>
        <w:rPr>
          <w:spacing w:val="-12"/>
        </w:rPr>
        <w:t> </w:t>
      </w:r>
      <w:r>
        <w:rPr>
          <w:position w:val="5"/>
          <w:sz w:val="12"/>
        </w:rPr>
        <w:t>(b)</w:t>
        <w:tab/>
      </w:r>
      <w:r>
        <w:rPr>
          <w:rFonts w:ascii="Times New Roman"/>
          <w:u w:val="single"/>
        </w:rPr>
        <w:t> </w:t>
        <w:tab/>
      </w:r>
      <w:r>
        <w:rPr>
          <w:u w:val="single"/>
        </w:rPr>
        <w:t>-</w:t>
        <w:tab/>
        <w:t>-</w:t>
        <w:tab/>
        <w:t>-</w:t>
        <w:tab/>
        <w:t>-</w:t>
        <w:tab/>
        <w:t>- </w:t>
      </w:r>
      <w:r>
        <w:rPr/>
        <w:t>Total increase/(decrease) in</w:t>
      </w:r>
      <w:r>
        <w:rPr>
          <w:spacing w:val="-1"/>
        </w:rPr>
        <w:t> </w:t>
      </w:r>
      <w:r>
        <w:rPr/>
        <w:t>financial</w:t>
      </w:r>
      <w:r>
        <w:rPr>
          <w:spacing w:val="-1"/>
        </w:rPr>
        <w:t> </w:t>
      </w:r>
      <w:r>
        <w:rPr/>
        <w:t>liabilities</w:t>
        <w:tab/>
      </w:r>
      <w:r>
        <w:rPr>
          <w:rFonts w:ascii="Times New Roman"/>
          <w:u w:val="single"/>
        </w:rPr>
        <w:t> </w:t>
        <w:tab/>
        <w:tab/>
      </w:r>
      <w:r>
        <w:rPr>
          <w:u w:val="single"/>
        </w:rPr>
        <w:t>-</w:t>
        <w:tab/>
        <w:t>-</w:t>
        <w:tab/>
        <w:t>-</w:t>
        <w:tab/>
        <w:t>-</w:t>
      </w:r>
    </w:p>
    <w:p>
      <w:pPr>
        <w:pStyle w:val="BodyText"/>
        <w:tabs>
          <w:tab w:pos="4839" w:val="left" w:leader="none"/>
          <w:tab w:pos="6383" w:val="left" w:leader="none"/>
          <w:tab w:pos="9485" w:val="left" w:leader="none"/>
        </w:tabs>
        <w:spacing w:before="141"/>
        <w:ind w:left="504"/>
        <w:jc w:val="both"/>
      </w:pPr>
      <w:r>
        <w:rPr/>
        <w:t>Total</w:t>
      </w:r>
      <w:r>
        <w:rPr>
          <w:spacing w:val="-1"/>
        </w:rPr>
        <w:t> </w:t>
      </w:r>
      <w:r>
        <w:rPr/>
        <w:t>increase/(decrease)</w:t>
        <w:tab/>
      </w:r>
      <w:r>
        <w:rPr>
          <w:rFonts w:ascii="Times New Roman"/>
          <w:u w:val="single"/>
        </w:rPr>
        <w:t> </w:t>
        <w:tab/>
      </w:r>
      <w:r>
        <w:rPr>
          <w:u w:val="single"/>
        </w:rPr>
        <w:t>(5,752)       </w:t>
      </w:r>
      <w:r>
        <w:rPr>
          <w:spacing w:val="42"/>
          <w:u w:val="single"/>
        </w:rPr>
        <w:t> </w:t>
      </w:r>
      <w:r>
        <w:rPr>
          <w:u w:val="single"/>
        </w:rPr>
        <w:t>(5,752)         </w:t>
      </w:r>
      <w:r>
        <w:rPr>
          <w:spacing w:val="2"/>
          <w:u w:val="single"/>
        </w:rPr>
        <w:t> </w:t>
      </w:r>
      <w:r>
        <w:rPr>
          <w:u w:val="single"/>
        </w:rPr>
        <w:t>5,752</w:t>
        <w:tab/>
        <w:t>5,752</w:t>
      </w:r>
    </w:p>
    <w:p>
      <w:pPr>
        <w:pStyle w:val="BodyText"/>
        <w:spacing w:before="1"/>
        <w:rPr>
          <w:sz w:val="19"/>
        </w:rPr>
      </w:pPr>
    </w:p>
    <w:p>
      <w:pPr>
        <w:pStyle w:val="ListParagraph"/>
        <w:numPr>
          <w:ilvl w:val="0"/>
          <w:numId w:val="91"/>
        </w:numPr>
        <w:tabs>
          <w:tab w:pos="1058" w:val="left" w:leader="none"/>
        </w:tabs>
        <w:spacing w:line="240" w:lineRule="auto" w:before="77" w:after="0"/>
        <w:ind w:left="1057" w:right="0" w:hanging="270"/>
        <w:jc w:val="left"/>
        <w:rPr>
          <w:sz w:val="18"/>
        </w:rPr>
      </w:pPr>
      <w:r>
        <w:rPr>
          <w:sz w:val="18"/>
        </w:rPr>
        <w:t>Excludes statutory receivables and prepayments (not within the scope of AASB</w:t>
      </w:r>
      <w:r>
        <w:rPr>
          <w:spacing w:val="-1"/>
          <w:sz w:val="18"/>
        </w:rPr>
        <w:t> </w:t>
      </w:r>
      <w:r>
        <w:rPr>
          <w:sz w:val="18"/>
        </w:rPr>
        <w:t>7)</w:t>
      </w:r>
    </w:p>
    <w:p>
      <w:pPr>
        <w:pStyle w:val="BodyText"/>
        <w:rPr>
          <w:sz w:val="25"/>
        </w:rPr>
      </w:pPr>
    </w:p>
    <w:p>
      <w:pPr>
        <w:pStyle w:val="ListParagraph"/>
        <w:numPr>
          <w:ilvl w:val="0"/>
          <w:numId w:val="91"/>
        </w:numPr>
        <w:tabs>
          <w:tab w:pos="1058" w:val="left" w:leader="none"/>
        </w:tabs>
        <w:spacing w:line="240" w:lineRule="auto" w:before="0" w:after="0"/>
        <w:ind w:left="1057" w:right="0" w:hanging="270"/>
        <w:jc w:val="left"/>
        <w:rPr>
          <w:sz w:val="18"/>
        </w:rPr>
      </w:pPr>
      <w:r>
        <w:rPr>
          <w:sz w:val="18"/>
        </w:rPr>
        <w:t>Excludes statutory payables and unearned revenue (not within the scope of AASB</w:t>
      </w:r>
      <w:r>
        <w:rPr>
          <w:spacing w:val="-1"/>
          <w:sz w:val="18"/>
        </w:rPr>
        <w:t> </w:t>
      </w:r>
      <w:r>
        <w:rPr>
          <w:sz w:val="18"/>
        </w:rPr>
        <w:t>7).</w:t>
      </w:r>
    </w:p>
    <w:p>
      <w:pPr>
        <w:spacing w:after="0" w:line="240" w:lineRule="auto"/>
        <w:jc w:val="left"/>
        <w:rPr>
          <w:sz w:val="18"/>
        </w:rPr>
        <w:sectPr>
          <w:headerReference w:type="default" r:id="rId165"/>
          <w:footerReference w:type="default" r:id="rId166"/>
          <w:pgSz w:w="11910" w:h="16840"/>
          <w:pgMar w:header="1038" w:footer="507" w:top="2520" w:bottom="700" w:left="900" w:right="900"/>
          <w:pgNumType w:start="232"/>
        </w:sectPr>
      </w:pPr>
    </w:p>
    <w:p>
      <w:pPr>
        <w:pStyle w:val="BodyText"/>
        <w:rPr>
          <w:sz w:val="20"/>
        </w:rPr>
      </w:pPr>
    </w:p>
    <w:p>
      <w:pPr>
        <w:pStyle w:val="BodyText"/>
        <w:rPr>
          <w:sz w:val="20"/>
        </w:rPr>
      </w:pPr>
    </w:p>
    <w:p>
      <w:pPr>
        <w:pStyle w:val="BodyText"/>
        <w:spacing w:before="8"/>
        <w:rPr>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7074"/>
        <w:gridCol w:w="2596"/>
      </w:tblGrid>
      <w:tr>
        <w:trPr>
          <w:trHeight w:val="567" w:hRule="exact"/>
        </w:trPr>
        <w:tc>
          <w:tcPr>
            <w:tcW w:w="282" w:type="dxa"/>
          </w:tcPr>
          <w:p>
            <w:pPr>
              <w:pStyle w:val="TableParagraph"/>
              <w:spacing w:before="77"/>
              <w:ind w:left="35"/>
              <w:rPr>
                <w:b/>
                <w:sz w:val="18"/>
              </w:rPr>
            </w:pPr>
            <w:r>
              <w:rPr>
                <w:b/>
                <w:w w:val="99"/>
                <w:sz w:val="18"/>
              </w:rPr>
              <w:t>3</w:t>
            </w:r>
          </w:p>
        </w:tc>
        <w:tc>
          <w:tcPr>
            <w:tcW w:w="7074" w:type="dxa"/>
          </w:tcPr>
          <w:p>
            <w:pPr>
              <w:pStyle w:val="TableParagraph"/>
              <w:spacing w:before="77"/>
              <w:ind w:left="148"/>
              <w:rPr>
                <w:b/>
                <w:sz w:val="18"/>
              </w:rPr>
            </w:pPr>
            <w:r>
              <w:rPr>
                <w:b/>
                <w:sz w:val="18"/>
              </w:rPr>
              <w:t>Revenue</w:t>
            </w:r>
          </w:p>
        </w:tc>
        <w:tc>
          <w:tcPr>
            <w:tcW w:w="2596" w:type="dxa"/>
          </w:tcPr>
          <w:p>
            <w:pPr>
              <w:pStyle w:val="TableParagraph"/>
              <w:rPr>
                <w:sz w:val="18"/>
              </w:rPr>
            </w:pPr>
          </w:p>
          <w:p>
            <w:pPr>
              <w:pStyle w:val="TableParagraph"/>
              <w:tabs>
                <w:tab w:pos="1732" w:val="left" w:leader="none"/>
              </w:tabs>
              <w:spacing w:before="110"/>
              <w:ind w:left="448"/>
              <w:rPr>
                <w:b/>
                <w:sz w:val="18"/>
              </w:rPr>
            </w:pPr>
            <w:r>
              <w:rPr>
                <w:b/>
                <w:sz w:val="18"/>
              </w:rPr>
              <w:t>2017</w:t>
              <w:tab/>
              <w:t>2016</w:t>
            </w:r>
          </w:p>
        </w:tc>
      </w:tr>
      <w:tr>
        <w:trPr>
          <w:trHeight w:val="266" w:hRule="exact"/>
        </w:trPr>
        <w:tc>
          <w:tcPr>
            <w:tcW w:w="282" w:type="dxa"/>
          </w:tcPr>
          <w:p>
            <w:pPr/>
          </w:p>
        </w:tc>
        <w:tc>
          <w:tcPr>
            <w:tcW w:w="7074" w:type="dxa"/>
          </w:tcPr>
          <w:p>
            <w:pPr/>
          </w:p>
        </w:tc>
        <w:tc>
          <w:tcPr>
            <w:tcW w:w="2596" w:type="dxa"/>
          </w:tcPr>
          <w:p>
            <w:pPr>
              <w:pStyle w:val="TableParagraph"/>
              <w:tabs>
                <w:tab w:pos="1882" w:val="left" w:leader="none"/>
              </w:tabs>
              <w:spacing w:before="24"/>
              <w:ind w:left="598"/>
              <w:rPr>
                <w:b/>
                <w:sz w:val="18"/>
              </w:rPr>
            </w:pPr>
            <w:r>
              <w:rPr>
                <w:b/>
                <w:sz w:val="18"/>
              </w:rPr>
              <w:t>$</w:t>
              <w:tab/>
              <w:t>$</w:t>
            </w:r>
          </w:p>
        </w:tc>
      </w:tr>
      <w:tr>
        <w:trPr>
          <w:trHeight w:val="439" w:hRule="exact"/>
        </w:trPr>
        <w:tc>
          <w:tcPr>
            <w:tcW w:w="282" w:type="dxa"/>
          </w:tcPr>
          <w:p>
            <w:pPr/>
          </w:p>
        </w:tc>
        <w:tc>
          <w:tcPr>
            <w:tcW w:w="7074" w:type="dxa"/>
          </w:tcPr>
          <w:p>
            <w:pPr>
              <w:pStyle w:val="TableParagraph"/>
              <w:spacing w:line="207" w:lineRule="exact" w:before="16"/>
              <w:ind w:left="147"/>
              <w:rPr>
                <w:b/>
                <w:sz w:val="18"/>
              </w:rPr>
            </w:pPr>
            <w:r>
              <w:rPr>
                <w:b/>
                <w:sz w:val="18"/>
              </w:rPr>
              <w:t>Services</w:t>
            </w:r>
          </w:p>
          <w:p>
            <w:pPr>
              <w:pStyle w:val="TableParagraph"/>
              <w:spacing w:line="207" w:lineRule="exact"/>
              <w:ind w:left="147"/>
              <w:rPr>
                <w:sz w:val="18"/>
              </w:rPr>
            </w:pPr>
            <w:r>
              <w:rPr>
                <w:sz w:val="18"/>
              </w:rPr>
              <w:t>Donations</w:t>
            </w:r>
          </w:p>
        </w:tc>
        <w:tc>
          <w:tcPr>
            <w:tcW w:w="2596" w:type="dxa"/>
          </w:tcPr>
          <w:p>
            <w:pPr>
              <w:pStyle w:val="TableParagraph"/>
              <w:spacing w:before="4"/>
              <w:rPr>
                <w:sz w:val="19"/>
              </w:rPr>
            </w:pPr>
          </w:p>
          <w:p>
            <w:pPr>
              <w:pStyle w:val="TableParagraph"/>
              <w:tabs>
                <w:tab w:pos="1298" w:val="left" w:leader="none"/>
              </w:tabs>
              <w:ind w:right="84"/>
              <w:jc w:val="right"/>
              <w:rPr>
                <w:sz w:val="18"/>
              </w:rPr>
            </w:pPr>
            <w:r>
              <w:rPr>
                <w:b/>
                <w:sz w:val="18"/>
              </w:rPr>
              <w:t>177,150</w:t>
              <w:tab/>
            </w:r>
            <w:r>
              <w:rPr>
                <w:w w:val="95"/>
                <w:sz w:val="18"/>
              </w:rPr>
              <w:t>150,725</w:t>
            </w:r>
          </w:p>
        </w:tc>
      </w:tr>
      <w:tr>
        <w:trPr>
          <w:trHeight w:val="212" w:hRule="exact"/>
        </w:trPr>
        <w:tc>
          <w:tcPr>
            <w:tcW w:w="282" w:type="dxa"/>
          </w:tcPr>
          <w:p>
            <w:pPr/>
          </w:p>
        </w:tc>
        <w:tc>
          <w:tcPr>
            <w:tcW w:w="7074" w:type="dxa"/>
          </w:tcPr>
          <w:p>
            <w:pPr>
              <w:pStyle w:val="TableParagraph"/>
              <w:spacing w:line="197" w:lineRule="exact"/>
              <w:ind w:left="147"/>
              <w:rPr>
                <w:sz w:val="18"/>
              </w:rPr>
            </w:pPr>
            <w:r>
              <w:rPr>
                <w:sz w:val="18"/>
              </w:rPr>
              <w:t>Royalty and intellectual property</w:t>
            </w:r>
          </w:p>
        </w:tc>
        <w:tc>
          <w:tcPr>
            <w:tcW w:w="2596" w:type="dxa"/>
          </w:tcPr>
          <w:p>
            <w:pPr>
              <w:pStyle w:val="TableParagraph"/>
              <w:tabs>
                <w:tab w:pos="759" w:val="left" w:leader="none"/>
                <w:tab w:pos="2446" w:val="left" w:leader="none"/>
              </w:tabs>
              <w:spacing w:line="197" w:lineRule="exact"/>
              <w:ind w:right="86"/>
              <w:jc w:val="right"/>
              <w:rPr>
                <w:sz w:val="18"/>
              </w:rPr>
            </w:pPr>
            <w:r>
              <w:rPr>
                <w:rFonts w:ascii="Times New Roman"/>
                <w:sz w:val="18"/>
                <w:u w:val="single"/>
              </w:rPr>
              <w:t> </w:t>
              <w:tab/>
            </w:r>
            <w:r>
              <w:rPr>
                <w:b/>
                <w:sz w:val="18"/>
                <w:u w:val="single"/>
              </w:rPr>
              <w:t>3,184</w:t>
              <w:tab/>
            </w:r>
            <w:r>
              <w:rPr>
                <w:sz w:val="18"/>
                <w:u w:val="single"/>
              </w:rPr>
              <w:t>-</w:t>
            </w:r>
          </w:p>
        </w:tc>
      </w:tr>
      <w:tr>
        <w:trPr>
          <w:trHeight w:val="362" w:hRule="exact"/>
        </w:trPr>
        <w:tc>
          <w:tcPr>
            <w:tcW w:w="282" w:type="dxa"/>
          </w:tcPr>
          <w:p>
            <w:pPr/>
          </w:p>
        </w:tc>
        <w:tc>
          <w:tcPr>
            <w:tcW w:w="7074" w:type="dxa"/>
          </w:tcPr>
          <w:p>
            <w:pPr>
              <w:pStyle w:val="TableParagraph"/>
              <w:spacing w:line="201" w:lineRule="exact"/>
              <w:ind w:left="147"/>
              <w:rPr>
                <w:b/>
                <w:sz w:val="18"/>
              </w:rPr>
            </w:pPr>
            <w:r>
              <w:rPr>
                <w:b/>
                <w:sz w:val="18"/>
              </w:rPr>
              <w:t>Total services</w:t>
            </w:r>
          </w:p>
        </w:tc>
        <w:tc>
          <w:tcPr>
            <w:tcW w:w="2596" w:type="dxa"/>
          </w:tcPr>
          <w:p>
            <w:pPr>
              <w:pStyle w:val="TableParagraph"/>
              <w:tabs>
                <w:tab w:pos="560" w:val="left" w:leader="none"/>
                <w:tab w:pos="1858" w:val="left" w:leader="none"/>
              </w:tabs>
              <w:spacing w:line="201" w:lineRule="exact"/>
              <w:ind w:right="84"/>
              <w:jc w:val="right"/>
              <w:rPr>
                <w:sz w:val="18"/>
              </w:rPr>
            </w:pPr>
            <w:r>
              <w:rPr>
                <w:rFonts w:ascii="Times New Roman"/>
                <w:sz w:val="18"/>
                <w:u w:val="single"/>
              </w:rPr>
              <w:t> </w:t>
              <w:tab/>
            </w:r>
            <w:r>
              <w:rPr>
                <w:b/>
                <w:sz w:val="18"/>
                <w:u w:val="single"/>
              </w:rPr>
              <w:t>180,334</w:t>
              <w:tab/>
            </w:r>
            <w:r>
              <w:rPr>
                <w:w w:val="95"/>
                <w:sz w:val="18"/>
                <w:u w:val="single"/>
              </w:rPr>
              <w:t>150,725</w:t>
            </w:r>
          </w:p>
        </w:tc>
      </w:tr>
      <w:tr>
        <w:trPr>
          <w:trHeight w:val="564" w:hRule="exact"/>
        </w:trPr>
        <w:tc>
          <w:tcPr>
            <w:tcW w:w="282" w:type="dxa"/>
          </w:tcPr>
          <w:p>
            <w:pPr/>
          </w:p>
        </w:tc>
        <w:tc>
          <w:tcPr>
            <w:tcW w:w="7074" w:type="dxa"/>
          </w:tcPr>
          <w:p>
            <w:pPr>
              <w:pStyle w:val="TableParagraph"/>
              <w:spacing w:line="207" w:lineRule="exact" w:before="141"/>
              <w:ind w:left="147"/>
              <w:rPr>
                <w:b/>
                <w:sz w:val="18"/>
              </w:rPr>
            </w:pPr>
            <w:r>
              <w:rPr>
                <w:b/>
                <w:sz w:val="18"/>
              </w:rPr>
              <w:t>Other revenue</w:t>
            </w:r>
          </w:p>
          <w:p>
            <w:pPr>
              <w:pStyle w:val="TableParagraph"/>
              <w:spacing w:line="207" w:lineRule="exact"/>
              <w:ind w:left="147"/>
              <w:rPr>
                <w:sz w:val="18"/>
              </w:rPr>
            </w:pPr>
            <w:r>
              <w:rPr>
                <w:sz w:val="18"/>
              </w:rPr>
              <w:t>Interest</w:t>
            </w:r>
          </w:p>
        </w:tc>
        <w:tc>
          <w:tcPr>
            <w:tcW w:w="2596" w:type="dxa"/>
          </w:tcPr>
          <w:p>
            <w:pPr>
              <w:pStyle w:val="TableParagraph"/>
              <w:rPr>
                <w:sz w:val="18"/>
              </w:rPr>
            </w:pPr>
          </w:p>
          <w:p>
            <w:pPr>
              <w:pStyle w:val="TableParagraph"/>
              <w:tabs>
                <w:tab w:pos="1397" w:val="left" w:leader="none"/>
              </w:tabs>
              <w:spacing w:before="140"/>
              <w:ind w:right="85"/>
              <w:jc w:val="right"/>
              <w:rPr>
                <w:sz w:val="18"/>
              </w:rPr>
            </w:pPr>
            <w:r>
              <w:rPr>
                <w:b/>
                <w:sz w:val="18"/>
              </w:rPr>
              <w:t>10,713</w:t>
              <w:tab/>
            </w:r>
            <w:r>
              <w:rPr>
                <w:w w:val="95"/>
                <w:sz w:val="18"/>
              </w:rPr>
              <w:t>4,114</w:t>
            </w:r>
          </w:p>
        </w:tc>
      </w:tr>
      <w:tr>
        <w:trPr>
          <w:trHeight w:val="212" w:hRule="exact"/>
        </w:trPr>
        <w:tc>
          <w:tcPr>
            <w:tcW w:w="282" w:type="dxa"/>
          </w:tcPr>
          <w:p>
            <w:pPr/>
          </w:p>
        </w:tc>
        <w:tc>
          <w:tcPr>
            <w:tcW w:w="7074" w:type="dxa"/>
          </w:tcPr>
          <w:p>
            <w:pPr>
              <w:pStyle w:val="TableParagraph"/>
              <w:spacing w:line="197" w:lineRule="exact"/>
              <w:ind w:left="147"/>
              <w:rPr>
                <w:sz w:val="18"/>
              </w:rPr>
            </w:pPr>
            <w:r>
              <w:rPr>
                <w:sz w:val="18"/>
              </w:rPr>
              <w:t>Distributions from managed funds</w:t>
            </w:r>
          </w:p>
        </w:tc>
        <w:tc>
          <w:tcPr>
            <w:tcW w:w="2596" w:type="dxa"/>
          </w:tcPr>
          <w:p>
            <w:pPr>
              <w:pStyle w:val="TableParagraph"/>
              <w:tabs>
                <w:tab w:pos="759" w:val="left" w:leader="none"/>
                <w:tab w:pos="2057" w:val="left" w:leader="none"/>
              </w:tabs>
              <w:spacing w:line="197" w:lineRule="exact"/>
              <w:ind w:right="85"/>
              <w:jc w:val="right"/>
              <w:rPr>
                <w:sz w:val="18"/>
              </w:rPr>
            </w:pPr>
            <w:r>
              <w:rPr>
                <w:rFonts w:ascii="Times New Roman"/>
                <w:sz w:val="18"/>
                <w:u w:val="single"/>
              </w:rPr>
              <w:t> </w:t>
              <w:tab/>
            </w:r>
            <w:r>
              <w:rPr>
                <w:b/>
                <w:sz w:val="18"/>
                <w:u w:val="single"/>
              </w:rPr>
              <w:t>5,195</w:t>
              <w:tab/>
            </w:r>
            <w:r>
              <w:rPr>
                <w:w w:val="95"/>
                <w:sz w:val="18"/>
                <w:u w:val="single"/>
              </w:rPr>
              <w:t>9,965</w:t>
            </w:r>
          </w:p>
        </w:tc>
      </w:tr>
      <w:tr>
        <w:trPr>
          <w:trHeight w:val="358" w:hRule="exact"/>
        </w:trPr>
        <w:tc>
          <w:tcPr>
            <w:tcW w:w="282" w:type="dxa"/>
          </w:tcPr>
          <w:p>
            <w:pPr/>
          </w:p>
        </w:tc>
        <w:tc>
          <w:tcPr>
            <w:tcW w:w="7074" w:type="dxa"/>
          </w:tcPr>
          <w:p>
            <w:pPr>
              <w:pStyle w:val="TableParagraph"/>
              <w:spacing w:line="201" w:lineRule="exact"/>
              <w:ind w:left="147"/>
              <w:rPr>
                <w:b/>
                <w:sz w:val="18"/>
              </w:rPr>
            </w:pPr>
            <w:r>
              <w:rPr>
                <w:b/>
                <w:sz w:val="18"/>
              </w:rPr>
              <w:t>Total other revenue</w:t>
            </w:r>
          </w:p>
        </w:tc>
        <w:tc>
          <w:tcPr>
            <w:tcW w:w="2596" w:type="dxa"/>
          </w:tcPr>
          <w:p>
            <w:pPr>
              <w:pStyle w:val="TableParagraph"/>
              <w:tabs>
                <w:tab w:pos="659" w:val="left" w:leader="none"/>
                <w:tab w:pos="1958" w:val="left" w:leader="none"/>
              </w:tabs>
              <w:spacing w:line="201" w:lineRule="exact"/>
              <w:ind w:right="84"/>
              <w:jc w:val="right"/>
              <w:rPr>
                <w:sz w:val="18"/>
              </w:rPr>
            </w:pPr>
            <w:r>
              <w:rPr>
                <w:rFonts w:ascii="Times New Roman"/>
                <w:sz w:val="18"/>
                <w:u w:val="single"/>
              </w:rPr>
              <w:t> </w:t>
              <w:tab/>
            </w:r>
            <w:r>
              <w:rPr>
                <w:b/>
                <w:sz w:val="18"/>
                <w:u w:val="single"/>
              </w:rPr>
              <w:t>15,908</w:t>
              <w:tab/>
            </w:r>
            <w:r>
              <w:rPr>
                <w:w w:val="95"/>
                <w:sz w:val="18"/>
                <w:u w:val="single"/>
              </w:rPr>
              <w:t>14,079</w:t>
            </w:r>
          </w:p>
        </w:tc>
      </w:tr>
      <w:tr>
        <w:trPr>
          <w:trHeight w:val="516" w:hRule="exact"/>
        </w:trPr>
        <w:tc>
          <w:tcPr>
            <w:tcW w:w="282" w:type="dxa"/>
          </w:tcPr>
          <w:p>
            <w:pPr/>
          </w:p>
        </w:tc>
        <w:tc>
          <w:tcPr>
            <w:tcW w:w="7074" w:type="dxa"/>
          </w:tcPr>
          <w:p>
            <w:pPr>
              <w:pStyle w:val="TableParagraph"/>
              <w:spacing w:before="136"/>
              <w:ind w:left="147"/>
              <w:rPr>
                <w:b/>
                <w:sz w:val="18"/>
              </w:rPr>
            </w:pPr>
            <w:r>
              <w:rPr>
                <w:b/>
                <w:sz w:val="18"/>
              </w:rPr>
              <w:t>Total revenue</w:t>
            </w:r>
          </w:p>
        </w:tc>
        <w:tc>
          <w:tcPr>
            <w:tcW w:w="2596" w:type="dxa"/>
          </w:tcPr>
          <w:p>
            <w:pPr>
              <w:pStyle w:val="TableParagraph"/>
              <w:tabs>
                <w:tab w:pos="560" w:val="left" w:leader="none"/>
                <w:tab w:pos="1858" w:val="left" w:leader="none"/>
              </w:tabs>
              <w:spacing w:before="136"/>
              <w:ind w:right="84"/>
              <w:jc w:val="right"/>
              <w:rPr>
                <w:sz w:val="18"/>
              </w:rPr>
            </w:pPr>
            <w:r>
              <w:rPr>
                <w:rFonts w:ascii="Times New Roman"/>
                <w:sz w:val="18"/>
                <w:u w:val="single"/>
              </w:rPr>
              <w:t> </w:t>
              <w:tab/>
            </w:r>
            <w:r>
              <w:rPr>
                <w:b/>
                <w:sz w:val="18"/>
                <w:u w:val="single"/>
              </w:rPr>
              <w:t>196,242</w:t>
              <w:tab/>
            </w:r>
            <w:r>
              <w:rPr>
                <w:w w:val="95"/>
                <w:sz w:val="18"/>
                <w:u w:val="single"/>
              </w:rPr>
              <w:t>164,804</w:t>
            </w:r>
          </w:p>
        </w:tc>
      </w:tr>
      <w:tr>
        <w:trPr>
          <w:trHeight w:val="580" w:hRule="exact"/>
        </w:trPr>
        <w:tc>
          <w:tcPr>
            <w:tcW w:w="282" w:type="dxa"/>
          </w:tcPr>
          <w:p>
            <w:pPr>
              <w:pStyle w:val="TableParagraph"/>
              <w:spacing w:before="153"/>
              <w:ind w:left="35"/>
              <w:rPr>
                <w:b/>
                <w:sz w:val="18"/>
              </w:rPr>
            </w:pPr>
            <w:r>
              <w:rPr>
                <w:b/>
                <w:w w:val="99"/>
                <w:sz w:val="18"/>
              </w:rPr>
              <w:t>4</w:t>
            </w:r>
          </w:p>
        </w:tc>
        <w:tc>
          <w:tcPr>
            <w:tcW w:w="7074" w:type="dxa"/>
          </w:tcPr>
          <w:p>
            <w:pPr>
              <w:pStyle w:val="TableParagraph"/>
              <w:spacing w:before="153"/>
              <w:ind w:left="147"/>
              <w:rPr>
                <w:b/>
                <w:sz w:val="18"/>
              </w:rPr>
            </w:pPr>
            <w:r>
              <w:rPr>
                <w:b/>
                <w:sz w:val="18"/>
              </w:rPr>
              <w:t>Expenses</w:t>
            </w:r>
          </w:p>
        </w:tc>
        <w:tc>
          <w:tcPr>
            <w:tcW w:w="2596" w:type="dxa"/>
          </w:tcPr>
          <w:p>
            <w:pPr>
              <w:pStyle w:val="TableParagraph"/>
              <w:rPr>
                <w:sz w:val="18"/>
              </w:rPr>
            </w:pPr>
          </w:p>
          <w:p>
            <w:pPr>
              <w:pStyle w:val="TableParagraph"/>
              <w:tabs>
                <w:tab w:pos="1746" w:val="left" w:leader="none"/>
              </w:tabs>
              <w:spacing w:before="157"/>
              <w:ind w:left="449"/>
              <w:rPr>
                <w:sz w:val="18"/>
              </w:rPr>
            </w:pPr>
            <w:r>
              <w:rPr>
                <w:b/>
                <w:sz w:val="18"/>
              </w:rPr>
              <w:t>2017</w:t>
              <w:tab/>
            </w:r>
            <w:r>
              <w:rPr>
                <w:sz w:val="18"/>
              </w:rPr>
              <w:t>2016</w:t>
            </w:r>
          </w:p>
        </w:tc>
      </w:tr>
      <w:tr>
        <w:trPr>
          <w:trHeight w:val="221" w:hRule="exact"/>
        </w:trPr>
        <w:tc>
          <w:tcPr>
            <w:tcW w:w="282" w:type="dxa"/>
          </w:tcPr>
          <w:p>
            <w:pPr/>
          </w:p>
        </w:tc>
        <w:tc>
          <w:tcPr>
            <w:tcW w:w="7074" w:type="dxa"/>
          </w:tcPr>
          <w:p>
            <w:pPr/>
          </w:p>
        </w:tc>
        <w:tc>
          <w:tcPr>
            <w:tcW w:w="2596" w:type="dxa"/>
          </w:tcPr>
          <w:p>
            <w:pPr>
              <w:pStyle w:val="TableParagraph"/>
              <w:tabs>
                <w:tab w:pos="1896" w:val="left" w:leader="none"/>
              </w:tabs>
              <w:spacing w:line="197" w:lineRule="exact"/>
              <w:ind w:left="599"/>
              <w:rPr>
                <w:sz w:val="18"/>
              </w:rPr>
            </w:pPr>
            <w:r>
              <w:rPr>
                <w:b/>
                <w:sz w:val="18"/>
              </w:rPr>
              <w:t>$</w:t>
              <w:tab/>
            </w:r>
            <w:r>
              <w:rPr>
                <w:sz w:val="18"/>
              </w:rPr>
              <w:t>$</w:t>
            </w:r>
          </w:p>
        </w:tc>
      </w:tr>
      <w:tr>
        <w:trPr>
          <w:trHeight w:val="250" w:hRule="exact"/>
        </w:trPr>
        <w:tc>
          <w:tcPr>
            <w:tcW w:w="282" w:type="dxa"/>
          </w:tcPr>
          <w:p>
            <w:pPr/>
          </w:p>
        </w:tc>
        <w:tc>
          <w:tcPr>
            <w:tcW w:w="7074" w:type="dxa"/>
          </w:tcPr>
          <w:p>
            <w:pPr>
              <w:pStyle w:val="TableParagraph"/>
              <w:spacing w:before="6"/>
              <w:ind w:left="147"/>
              <w:rPr>
                <w:sz w:val="18"/>
              </w:rPr>
            </w:pPr>
            <w:r>
              <w:rPr>
                <w:sz w:val="18"/>
              </w:rPr>
              <w:t>Contribution to Ultimate Parent Entity</w:t>
            </w:r>
          </w:p>
        </w:tc>
        <w:tc>
          <w:tcPr>
            <w:tcW w:w="2596" w:type="dxa"/>
          </w:tcPr>
          <w:p>
            <w:pPr>
              <w:pStyle w:val="TableParagraph"/>
              <w:tabs>
                <w:tab w:pos="1396" w:val="left" w:leader="none"/>
              </w:tabs>
              <w:spacing w:before="4"/>
              <w:ind w:right="86"/>
              <w:jc w:val="right"/>
              <w:rPr>
                <w:sz w:val="18"/>
              </w:rPr>
            </w:pPr>
            <w:r>
              <w:rPr>
                <w:b/>
                <w:sz w:val="18"/>
              </w:rPr>
              <w:t>107,543</w:t>
              <w:tab/>
            </w:r>
            <w:r>
              <w:rPr>
                <w:w w:val="95"/>
                <w:sz w:val="18"/>
              </w:rPr>
              <w:t>55,870</w:t>
            </w:r>
          </w:p>
        </w:tc>
      </w:tr>
      <w:tr>
        <w:trPr>
          <w:trHeight w:val="281" w:hRule="exact"/>
        </w:trPr>
        <w:tc>
          <w:tcPr>
            <w:tcW w:w="282" w:type="dxa"/>
          </w:tcPr>
          <w:p>
            <w:pPr/>
          </w:p>
        </w:tc>
        <w:tc>
          <w:tcPr>
            <w:tcW w:w="7074" w:type="dxa"/>
          </w:tcPr>
          <w:p>
            <w:pPr>
              <w:pStyle w:val="TableParagraph"/>
              <w:spacing w:before="17"/>
              <w:ind w:left="147"/>
              <w:rPr>
                <w:sz w:val="18"/>
              </w:rPr>
            </w:pPr>
            <w:r>
              <w:rPr>
                <w:sz w:val="18"/>
              </w:rPr>
              <w:t>Event expenses</w:t>
            </w:r>
          </w:p>
        </w:tc>
        <w:tc>
          <w:tcPr>
            <w:tcW w:w="2596" w:type="dxa"/>
          </w:tcPr>
          <w:p>
            <w:pPr>
              <w:pStyle w:val="TableParagraph"/>
              <w:tabs>
                <w:tab w:pos="1297" w:val="left" w:leader="none"/>
              </w:tabs>
              <w:spacing w:before="45"/>
              <w:ind w:right="85"/>
              <w:jc w:val="right"/>
              <w:rPr>
                <w:sz w:val="18"/>
              </w:rPr>
            </w:pPr>
            <w:r>
              <w:rPr>
                <w:b/>
                <w:sz w:val="18"/>
              </w:rPr>
              <w:t>1,452</w:t>
              <w:tab/>
            </w:r>
            <w:r>
              <w:rPr>
                <w:w w:val="95"/>
                <w:sz w:val="18"/>
              </w:rPr>
              <w:t>1,191</w:t>
            </w:r>
          </w:p>
        </w:tc>
      </w:tr>
      <w:tr>
        <w:trPr>
          <w:trHeight w:val="253" w:hRule="exact"/>
        </w:trPr>
        <w:tc>
          <w:tcPr>
            <w:tcW w:w="282" w:type="dxa"/>
          </w:tcPr>
          <w:p>
            <w:pPr/>
          </w:p>
        </w:tc>
        <w:tc>
          <w:tcPr>
            <w:tcW w:w="7074" w:type="dxa"/>
          </w:tcPr>
          <w:p>
            <w:pPr>
              <w:pStyle w:val="TableParagraph"/>
              <w:spacing w:before="10"/>
              <w:ind w:left="147"/>
              <w:rPr>
                <w:sz w:val="18"/>
              </w:rPr>
            </w:pPr>
            <w:r>
              <w:rPr>
                <w:sz w:val="18"/>
              </w:rPr>
              <w:t>Bank charges</w:t>
            </w:r>
          </w:p>
        </w:tc>
        <w:tc>
          <w:tcPr>
            <w:tcW w:w="2596" w:type="dxa"/>
            <w:tcBorders>
              <w:bottom w:val="single" w:sz="0" w:space="0" w:color="000000"/>
            </w:tcBorders>
          </w:tcPr>
          <w:p>
            <w:pPr>
              <w:pStyle w:val="TableParagraph"/>
              <w:tabs>
                <w:tab w:pos="1297" w:val="left" w:leader="none"/>
              </w:tabs>
              <w:spacing w:before="9"/>
              <w:ind w:right="85"/>
              <w:jc w:val="right"/>
              <w:rPr>
                <w:sz w:val="18"/>
              </w:rPr>
            </w:pPr>
            <w:r>
              <w:rPr>
                <w:b/>
                <w:sz w:val="18"/>
              </w:rPr>
              <w:t>195</w:t>
              <w:tab/>
            </w:r>
            <w:r>
              <w:rPr>
                <w:w w:val="95"/>
                <w:sz w:val="18"/>
              </w:rPr>
              <w:t>197</w:t>
            </w:r>
          </w:p>
        </w:tc>
      </w:tr>
      <w:tr>
        <w:trPr>
          <w:trHeight w:val="338" w:hRule="exact"/>
        </w:trPr>
        <w:tc>
          <w:tcPr>
            <w:tcW w:w="282" w:type="dxa"/>
          </w:tcPr>
          <w:p>
            <w:pPr/>
          </w:p>
        </w:tc>
        <w:tc>
          <w:tcPr>
            <w:tcW w:w="7074" w:type="dxa"/>
          </w:tcPr>
          <w:p>
            <w:pPr>
              <w:pStyle w:val="TableParagraph"/>
              <w:spacing w:before="123"/>
              <w:ind w:left="147"/>
              <w:rPr>
                <w:b/>
                <w:sz w:val="18"/>
              </w:rPr>
            </w:pPr>
            <w:r>
              <w:rPr>
                <w:b/>
                <w:sz w:val="18"/>
              </w:rPr>
              <w:t>Total expenses</w:t>
            </w:r>
          </w:p>
        </w:tc>
        <w:tc>
          <w:tcPr>
            <w:tcW w:w="2596" w:type="dxa"/>
            <w:tcBorders>
              <w:top w:val="single" w:sz="0" w:space="0" w:color="000000"/>
              <w:bottom w:val="single" w:sz="0" w:space="0" w:color="000000"/>
            </w:tcBorders>
          </w:tcPr>
          <w:p>
            <w:pPr>
              <w:pStyle w:val="TableParagraph"/>
              <w:tabs>
                <w:tab w:pos="1396" w:val="left" w:leader="none"/>
              </w:tabs>
              <w:spacing w:before="122"/>
              <w:ind w:right="84"/>
              <w:jc w:val="right"/>
              <w:rPr>
                <w:sz w:val="18"/>
              </w:rPr>
            </w:pPr>
            <w:r>
              <w:rPr>
                <w:b/>
                <w:sz w:val="18"/>
              </w:rPr>
              <w:t>109,190</w:t>
              <w:tab/>
            </w:r>
            <w:r>
              <w:rPr>
                <w:w w:val="95"/>
                <w:sz w:val="18"/>
              </w:rPr>
              <w:t>57,258</w:t>
            </w:r>
          </w:p>
        </w:tc>
      </w:tr>
      <w:tr>
        <w:trPr>
          <w:trHeight w:val="602" w:hRule="exact"/>
        </w:trPr>
        <w:tc>
          <w:tcPr>
            <w:tcW w:w="282" w:type="dxa"/>
          </w:tcPr>
          <w:p>
            <w:pPr>
              <w:pStyle w:val="TableParagraph"/>
              <w:spacing w:before="11"/>
              <w:rPr>
                <w:sz w:val="25"/>
              </w:rPr>
            </w:pPr>
          </w:p>
          <w:p>
            <w:pPr>
              <w:pStyle w:val="TableParagraph"/>
              <w:ind w:left="35"/>
              <w:rPr>
                <w:b/>
                <w:sz w:val="18"/>
              </w:rPr>
            </w:pPr>
            <w:r>
              <w:rPr>
                <w:b/>
                <w:w w:val="99"/>
                <w:sz w:val="18"/>
              </w:rPr>
              <w:t>5</w:t>
            </w:r>
          </w:p>
        </w:tc>
        <w:tc>
          <w:tcPr>
            <w:tcW w:w="7074" w:type="dxa"/>
          </w:tcPr>
          <w:p>
            <w:pPr>
              <w:pStyle w:val="TableParagraph"/>
              <w:spacing w:before="11"/>
              <w:rPr>
                <w:sz w:val="25"/>
              </w:rPr>
            </w:pPr>
          </w:p>
          <w:p>
            <w:pPr>
              <w:pStyle w:val="TableParagraph"/>
              <w:ind w:left="148"/>
              <w:rPr>
                <w:b/>
                <w:sz w:val="18"/>
              </w:rPr>
            </w:pPr>
            <w:r>
              <w:rPr>
                <w:b/>
                <w:sz w:val="18"/>
              </w:rPr>
              <w:t>Remuneration of Auditors</w:t>
            </w:r>
          </w:p>
        </w:tc>
        <w:tc>
          <w:tcPr>
            <w:tcW w:w="2596" w:type="dxa"/>
            <w:tcBorders>
              <w:top w:val="single" w:sz="0" w:space="0" w:color="000000"/>
            </w:tcBorders>
          </w:tcPr>
          <w:p>
            <w:pPr/>
          </w:p>
        </w:tc>
      </w:tr>
    </w:tbl>
    <w:p>
      <w:pPr>
        <w:pStyle w:val="BodyText"/>
        <w:spacing w:before="10"/>
        <w:rPr>
          <w:sz w:val="9"/>
        </w:rPr>
      </w:pPr>
    </w:p>
    <w:p>
      <w:pPr>
        <w:pStyle w:val="BodyText"/>
        <w:spacing w:before="78"/>
        <w:ind w:left="543" w:right="19"/>
      </w:pPr>
      <w:r>
        <w:rPr/>
        <w:t>Audit fees of $9,878 (including GST) for 2017 (2016: $9,635) will be paid by the ultimate parent entity.</w:t>
      </w:r>
    </w:p>
    <w:p>
      <w:pPr>
        <w:spacing w:after="0"/>
        <w:sectPr>
          <w:pgSz w:w="11910" w:h="16840"/>
          <w:pgMar w:header="1038" w:footer="507" w:top="2520" w:bottom="700" w:left="860" w:right="860"/>
        </w:sectPr>
      </w:pPr>
    </w:p>
    <w:p>
      <w:pPr>
        <w:pStyle w:val="BodyText"/>
        <w:rPr>
          <w:sz w:val="20"/>
        </w:rPr>
      </w:pPr>
    </w:p>
    <w:p>
      <w:pPr>
        <w:pStyle w:val="BodyText"/>
        <w:rPr>
          <w:sz w:val="20"/>
        </w:rPr>
      </w:pPr>
    </w:p>
    <w:p>
      <w:pPr>
        <w:pStyle w:val="BodyText"/>
        <w:spacing w:before="4"/>
      </w:pPr>
    </w:p>
    <w:p>
      <w:pPr>
        <w:pStyle w:val="Heading9"/>
        <w:tabs>
          <w:tab w:pos="505" w:val="left" w:leader="none"/>
        </w:tabs>
        <w:spacing w:line="595" w:lineRule="auto"/>
        <w:ind w:left="503" w:right="7546" w:hanging="395"/>
      </w:pPr>
      <w:r>
        <w:rPr/>
        <w:t>6</w:t>
        <w:tab/>
        <w:tab/>
        <w:t>Fair</w:t>
      </w:r>
      <w:r>
        <w:rPr>
          <w:spacing w:val="-1"/>
        </w:rPr>
        <w:t> </w:t>
      </w:r>
      <w:r>
        <w:rPr/>
        <w:t>Value</w:t>
      </w:r>
      <w:r>
        <w:rPr>
          <w:spacing w:val="-1"/>
        </w:rPr>
        <w:t> </w:t>
      </w:r>
      <w:r>
        <w:rPr/>
        <w:t>Measurement</w:t>
      </w:r>
      <w:r>
        <w:rPr>
          <w:w w:val="99"/>
        </w:rPr>
        <w:t> </w:t>
      </w:r>
      <w:r>
        <w:rPr/>
        <w:t>Fair value hierarchy</w:t>
      </w:r>
    </w:p>
    <w:p>
      <w:pPr>
        <w:pStyle w:val="BodyText"/>
        <w:ind w:left="532" w:right="85" w:hanging="1"/>
      </w:pPr>
      <w:r>
        <w:rPr/>
        <w:t>Whitlam Institute Within Western Sydney University Trust categorises assets and liabilities measured at fair value into a hierarchy based on the level of inputs used in measurements as follows:</w:t>
      </w:r>
    </w:p>
    <w:p>
      <w:pPr>
        <w:pStyle w:val="BodyText"/>
      </w:pPr>
    </w:p>
    <w:p>
      <w:pPr>
        <w:pStyle w:val="BodyText"/>
      </w:pPr>
    </w:p>
    <w:p>
      <w:pPr>
        <w:pStyle w:val="BodyText"/>
        <w:tabs>
          <w:tab w:pos="2374" w:val="left" w:leader="none"/>
        </w:tabs>
        <w:spacing w:before="108"/>
        <w:ind w:left="504" w:right="220"/>
      </w:pPr>
      <w:r>
        <w:rPr/>
        <w:t>Level</w:t>
      </w:r>
      <w:r>
        <w:rPr>
          <w:spacing w:val="-1"/>
        </w:rPr>
        <w:t> </w:t>
      </w:r>
      <w:r>
        <w:rPr/>
        <w:t>1</w:t>
        <w:tab/>
        <w:t>Unadjusted quoted prices in active markets for identical assets or</w:t>
      </w:r>
      <w:r>
        <w:rPr>
          <w:spacing w:val="-1"/>
        </w:rPr>
        <w:t> </w:t>
      </w:r>
      <w:r>
        <w:rPr/>
        <w:t>liabilities.</w:t>
      </w:r>
    </w:p>
    <w:p>
      <w:pPr>
        <w:pStyle w:val="BodyText"/>
        <w:tabs>
          <w:tab w:pos="2374" w:val="left" w:leader="none"/>
        </w:tabs>
        <w:spacing w:before="57"/>
        <w:ind w:left="2374" w:right="563" w:hanging="1871"/>
      </w:pPr>
      <w:r>
        <w:rPr/>
        <w:t>Level</w:t>
      </w:r>
      <w:r>
        <w:rPr>
          <w:spacing w:val="-1"/>
        </w:rPr>
        <w:t> </w:t>
      </w:r>
      <w:r>
        <w:rPr/>
        <w:t>2</w:t>
        <w:tab/>
        <w:t>Inputs other than quoted prices included within Level 1 that are observable for the</w:t>
      </w:r>
      <w:r>
        <w:rPr>
          <w:spacing w:val="-1"/>
        </w:rPr>
        <w:t> </w:t>
      </w:r>
      <w:r>
        <w:rPr/>
        <w:t>asset</w:t>
      </w:r>
      <w:r>
        <w:rPr>
          <w:spacing w:val="-1"/>
        </w:rPr>
        <w:t> </w:t>
      </w:r>
      <w:r>
        <w:rPr/>
        <w:t>or</w:t>
      </w:r>
      <w:r>
        <w:rPr>
          <w:w w:val="99"/>
        </w:rPr>
        <w:t> </w:t>
      </w:r>
      <w:r>
        <w:rPr/>
        <w:t>liability, either directly or</w:t>
      </w:r>
      <w:r>
        <w:rPr>
          <w:spacing w:val="-1"/>
        </w:rPr>
        <w:t> </w:t>
      </w:r>
      <w:r>
        <w:rPr/>
        <w:t>indirectly.</w:t>
      </w:r>
    </w:p>
    <w:p>
      <w:pPr>
        <w:pStyle w:val="BodyText"/>
        <w:tabs>
          <w:tab w:pos="2374" w:val="left" w:leader="none"/>
        </w:tabs>
        <w:spacing w:before="57"/>
        <w:ind w:left="2374" w:right="543" w:hanging="1871"/>
      </w:pPr>
      <w:r>
        <w:rPr/>
        <w:t>Level</w:t>
      </w:r>
      <w:r>
        <w:rPr>
          <w:spacing w:val="-1"/>
        </w:rPr>
        <w:t> </w:t>
      </w:r>
      <w:r>
        <w:rPr/>
        <w:t>3</w:t>
        <w:tab/>
        <w:t>Inputs for the asset or liability that are not based on observable market</w:t>
      </w:r>
      <w:r>
        <w:rPr>
          <w:spacing w:val="-1"/>
        </w:rPr>
        <w:t> </w:t>
      </w:r>
      <w:r>
        <w:rPr/>
        <w:t>data</w:t>
      </w:r>
      <w:r>
        <w:rPr>
          <w:spacing w:val="-1"/>
        </w:rPr>
        <w:t> </w:t>
      </w:r>
      <w:r>
        <w:rPr/>
        <w:t>(unobservable</w:t>
      </w:r>
      <w:r>
        <w:rPr>
          <w:w w:val="99"/>
        </w:rPr>
        <w:t> </w:t>
      </w:r>
      <w:r>
        <w:rPr/>
        <w:t>inputs).</w:t>
      </w:r>
    </w:p>
    <w:p>
      <w:pPr>
        <w:pStyle w:val="BodyText"/>
      </w:pPr>
    </w:p>
    <w:p>
      <w:pPr>
        <w:pStyle w:val="BodyText"/>
        <w:spacing w:before="109"/>
        <w:ind w:left="532" w:right="220"/>
      </w:pPr>
      <w:r>
        <w:rPr/>
        <w:t>The table below shows the assigned level for each asset and liability held at fair value by the Trust:</w:t>
      </w:r>
    </w:p>
    <w:p>
      <w:pPr>
        <w:pStyle w:val="BodyText"/>
        <w:rPr>
          <w:sz w:val="20"/>
        </w:rPr>
      </w:pPr>
    </w:p>
    <w:p>
      <w:pPr>
        <w:pStyle w:val="BodyText"/>
        <w:spacing w:before="1" w:after="1"/>
        <w:rPr>
          <w:sz w:val="19"/>
        </w:rPr>
      </w:pPr>
    </w:p>
    <w:tbl>
      <w:tblPr>
        <w:tblW w:w="0" w:type="auto"/>
        <w:jc w:val="left"/>
        <w:tblInd w:w="5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20"/>
        <w:gridCol w:w="1064"/>
        <w:gridCol w:w="1672"/>
        <w:gridCol w:w="922"/>
        <w:gridCol w:w="1531"/>
      </w:tblGrid>
      <w:tr>
        <w:trPr>
          <w:trHeight w:val="640" w:hRule="exact"/>
        </w:trPr>
        <w:tc>
          <w:tcPr>
            <w:tcW w:w="4320" w:type="dxa"/>
          </w:tcPr>
          <w:p>
            <w:pPr>
              <w:pStyle w:val="TableParagraph"/>
              <w:rPr>
                <w:sz w:val="18"/>
              </w:rPr>
            </w:pPr>
          </w:p>
          <w:p>
            <w:pPr>
              <w:pStyle w:val="TableParagraph"/>
              <w:spacing w:before="143"/>
              <w:ind w:left="35"/>
              <w:rPr>
                <w:b/>
                <w:sz w:val="18"/>
              </w:rPr>
            </w:pPr>
            <w:r>
              <w:rPr>
                <w:b/>
                <w:sz w:val="18"/>
              </w:rPr>
              <w:t>31 December 2017</w:t>
            </w:r>
          </w:p>
        </w:tc>
        <w:tc>
          <w:tcPr>
            <w:tcW w:w="1064" w:type="dxa"/>
          </w:tcPr>
          <w:p>
            <w:pPr>
              <w:pStyle w:val="TableParagraph"/>
              <w:spacing w:before="77"/>
              <w:ind w:left="348" w:right="65"/>
              <w:jc w:val="center"/>
              <w:rPr>
                <w:b/>
                <w:sz w:val="18"/>
              </w:rPr>
            </w:pPr>
            <w:r>
              <w:rPr>
                <w:b/>
                <w:sz w:val="18"/>
              </w:rPr>
              <w:t>Level 1</w:t>
            </w:r>
          </w:p>
          <w:p>
            <w:pPr>
              <w:pStyle w:val="TableParagraph"/>
              <w:spacing w:before="66"/>
              <w:ind w:left="279"/>
              <w:jc w:val="center"/>
              <w:rPr>
                <w:b/>
                <w:sz w:val="18"/>
              </w:rPr>
            </w:pPr>
            <w:r>
              <w:rPr>
                <w:b/>
                <w:w w:val="99"/>
                <w:sz w:val="18"/>
              </w:rPr>
              <w:t>$</w:t>
            </w:r>
          </w:p>
        </w:tc>
        <w:tc>
          <w:tcPr>
            <w:tcW w:w="1672" w:type="dxa"/>
          </w:tcPr>
          <w:p>
            <w:pPr>
              <w:pStyle w:val="TableParagraph"/>
              <w:spacing w:before="77"/>
              <w:ind w:left="581" w:right="439"/>
              <w:jc w:val="center"/>
              <w:rPr>
                <w:b/>
                <w:sz w:val="18"/>
              </w:rPr>
            </w:pPr>
            <w:r>
              <w:rPr>
                <w:b/>
                <w:sz w:val="18"/>
              </w:rPr>
              <w:t>Level 2</w:t>
            </w:r>
          </w:p>
          <w:p>
            <w:pPr>
              <w:pStyle w:val="TableParagraph"/>
              <w:spacing w:before="66"/>
              <w:ind w:left="138"/>
              <w:jc w:val="center"/>
              <w:rPr>
                <w:b/>
                <w:sz w:val="18"/>
              </w:rPr>
            </w:pPr>
            <w:r>
              <w:rPr>
                <w:b/>
                <w:w w:val="99"/>
                <w:sz w:val="18"/>
              </w:rPr>
              <w:t>$</w:t>
            </w:r>
          </w:p>
        </w:tc>
        <w:tc>
          <w:tcPr>
            <w:tcW w:w="922" w:type="dxa"/>
          </w:tcPr>
          <w:p>
            <w:pPr>
              <w:pStyle w:val="TableParagraph"/>
              <w:spacing w:before="77"/>
              <w:ind w:left="207" w:right="65"/>
              <w:jc w:val="center"/>
              <w:rPr>
                <w:b/>
                <w:sz w:val="18"/>
              </w:rPr>
            </w:pPr>
            <w:r>
              <w:rPr>
                <w:b/>
                <w:sz w:val="18"/>
              </w:rPr>
              <w:t>Level 3</w:t>
            </w:r>
          </w:p>
          <w:p>
            <w:pPr>
              <w:pStyle w:val="TableParagraph"/>
              <w:spacing w:before="66"/>
              <w:ind w:left="138"/>
              <w:jc w:val="center"/>
              <w:rPr>
                <w:b/>
                <w:sz w:val="18"/>
              </w:rPr>
            </w:pPr>
            <w:r>
              <w:rPr>
                <w:b/>
                <w:w w:val="99"/>
                <w:sz w:val="18"/>
              </w:rPr>
              <w:t>$</w:t>
            </w:r>
          </w:p>
        </w:tc>
        <w:tc>
          <w:tcPr>
            <w:tcW w:w="1531" w:type="dxa"/>
          </w:tcPr>
          <w:p>
            <w:pPr>
              <w:pStyle w:val="TableParagraph"/>
              <w:spacing w:before="77"/>
              <w:ind w:left="669" w:right="391"/>
              <w:jc w:val="center"/>
              <w:rPr>
                <w:b/>
                <w:sz w:val="18"/>
              </w:rPr>
            </w:pPr>
            <w:r>
              <w:rPr>
                <w:b/>
                <w:sz w:val="18"/>
              </w:rPr>
              <w:t>Total</w:t>
            </w:r>
          </w:p>
          <w:p>
            <w:pPr>
              <w:pStyle w:val="TableParagraph"/>
              <w:spacing w:before="66"/>
              <w:ind w:left="280"/>
              <w:jc w:val="center"/>
              <w:rPr>
                <w:b/>
                <w:sz w:val="18"/>
              </w:rPr>
            </w:pPr>
            <w:r>
              <w:rPr>
                <w:b/>
                <w:w w:val="99"/>
                <w:sz w:val="18"/>
              </w:rPr>
              <w:t>$</w:t>
            </w:r>
          </w:p>
        </w:tc>
      </w:tr>
      <w:tr>
        <w:trPr>
          <w:trHeight w:val="336" w:hRule="exact"/>
        </w:trPr>
        <w:tc>
          <w:tcPr>
            <w:tcW w:w="4320" w:type="dxa"/>
          </w:tcPr>
          <w:p>
            <w:pPr>
              <w:pStyle w:val="TableParagraph"/>
              <w:spacing w:before="63"/>
              <w:ind w:left="35"/>
              <w:rPr>
                <w:b/>
                <w:sz w:val="18"/>
              </w:rPr>
            </w:pPr>
            <w:r>
              <w:rPr>
                <w:b/>
                <w:sz w:val="18"/>
              </w:rPr>
              <w:t>Recurring fair value measurements</w:t>
            </w:r>
          </w:p>
        </w:tc>
        <w:tc>
          <w:tcPr>
            <w:tcW w:w="1064" w:type="dxa"/>
          </w:tcPr>
          <w:p>
            <w:pPr/>
          </w:p>
        </w:tc>
        <w:tc>
          <w:tcPr>
            <w:tcW w:w="1672" w:type="dxa"/>
          </w:tcPr>
          <w:p>
            <w:pPr/>
          </w:p>
        </w:tc>
        <w:tc>
          <w:tcPr>
            <w:tcW w:w="922" w:type="dxa"/>
          </w:tcPr>
          <w:p>
            <w:pPr/>
          </w:p>
        </w:tc>
        <w:tc>
          <w:tcPr>
            <w:tcW w:w="1531" w:type="dxa"/>
          </w:tcPr>
          <w:p>
            <w:pPr/>
          </w:p>
        </w:tc>
      </w:tr>
      <w:tr>
        <w:trPr>
          <w:trHeight w:val="526" w:hRule="exact"/>
        </w:trPr>
        <w:tc>
          <w:tcPr>
            <w:tcW w:w="4320" w:type="dxa"/>
          </w:tcPr>
          <w:p>
            <w:pPr>
              <w:pStyle w:val="TableParagraph"/>
              <w:spacing w:before="46"/>
              <w:ind w:left="35"/>
              <w:rPr>
                <w:b/>
                <w:sz w:val="18"/>
              </w:rPr>
            </w:pPr>
            <w:r>
              <w:rPr>
                <w:b/>
                <w:sz w:val="18"/>
              </w:rPr>
              <w:t>Non-financial assets</w:t>
            </w:r>
          </w:p>
          <w:p>
            <w:pPr>
              <w:pStyle w:val="TableParagraph"/>
              <w:spacing w:before="29"/>
              <w:ind w:left="35"/>
              <w:rPr>
                <w:sz w:val="18"/>
              </w:rPr>
            </w:pPr>
            <w:r>
              <w:rPr>
                <w:sz w:val="18"/>
              </w:rPr>
              <w:t>Property, plant and equipment</w:t>
            </w:r>
          </w:p>
        </w:tc>
        <w:tc>
          <w:tcPr>
            <w:tcW w:w="1064" w:type="dxa"/>
            <w:tcBorders>
              <w:bottom w:val="single" w:sz="0" w:space="0" w:color="000000"/>
            </w:tcBorders>
          </w:tcPr>
          <w:p>
            <w:pPr/>
          </w:p>
        </w:tc>
        <w:tc>
          <w:tcPr>
            <w:tcW w:w="1672" w:type="dxa"/>
            <w:tcBorders>
              <w:bottom w:val="single" w:sz="0" w:space="0" w:color="000000"/>
            </w:tcBorders>
          </w:tcPr>
          <w:p>
            <w:pPr>
              <w:pStyle w:val="TableParagraph"/>
              <w:spacing w:before="5"/>
              <w:rPr>
                <w:sz w:val="24"/>
              </w:rPr>
            </w:pPr>
          </w:p>
          <w:p>
            <w:pPr>
              <w:pStyle w:val="TableParagraph"/>
              <w:tabs>
                <w:tab w:pos="793" w:val="left" w:leader="none"/>
              </w:tabs>
              <w:ind w:left="84"/>
              <w:rPr>
                <w:b/>
                <w:sz w:val="18"/>
              </w:rPr>
            </w:pPr>
            <w:r>
              <w:rPr>
                <w:b/>
                <w:sz w:val="18"/>
              </w:rPr>
              <w:t>-</w:t>
              <w:tab/>
              <w:t>861,172</w:t>
            </w:r>
          </w:p>
        </w:tc>
        <w:tc>
          <w:tcPr>
            <w:tcW w:w="922" w:type="dxa"/>
            <w:tcBorders>
              <w:bottom w:val="single" w:sz="0" w:space="0" w:color="000000"/>
            </w:tcBorders>
          </w:tcPr>
          <w:p>
            <w:pPr/>
          </w:p>
        </w:tc>
        <w:tc>
          <w:tcPr>
            <w:tcW w:w="1531" w:type="dxa"/>
            <w:tcBorders>
              <w:bottom w:val="single" w:sz="0" w:space="0" w:color="000000"/>
            </w:tcBorders>
          </w:tcPr>
          <w:p>
            <w:pPr>
              <w:pStyle w:val="TableParagraph"/>
              <w:spacing w:before="5"/>
              <w:rPr>
                <w:sz w:val="24"/>
              </w:rPr>
            </w:pPr>
          </w:p>
          <w:p>
            <w:pPr>
              <w:pStyle w:val="TableParagraph"/>
              <w:tabs>
                <w:tab w:pos="793" w:val="left" w:leader="none"/>
              </w:tabs>
              <w:ind w:left="84"/>
              <w:rPr>
                <w:b/>
                <w:sz w:val="18"/>
              </w:rPr>
            </w:pPr>
            <w:r>
              <w:rPr>
                <w:b/>
                <w:sz w:val="18"/>
              </w:rPr>
              <w:t>-</w:t>
              <w:tab/>
              <w:t>861,172</w:t>
            </w:r>
          </w:p>
        </w:tc>
      </w:tr>
      <w:tr>
        <w:trPr>
          <w:trHeight w:val="338" w:hRule="exact"/>
        </w:trPr>
        <w:tc>
          <w:tcPr>
            <w:tcW w:w="4320" w:type="dxa"/>
          </w:tcPr>
          <w:p>
            <w:pPr>
              <w:pStyle w:val="TableParagraph"/>
              <w:spacing w:before="123"/>
              <w:ind w:left="35"/>
              <w:rPr>
                <w:b/>
                <w:sz w:val="18"/>
              </w:rPr>
            </w:pPr>
            <w:r>
              <w:rPr>
                <w:b/>
                <w:sz w:val="18"/>
              </w:rPr>
              <w:t>Total non-financial assets</w:t>
            </w:r>
          </w:p>
        </w:tc>
        <w:tc>
          <w:tcPr>
            <w:tcW w:w="1064" w:type="dxa"/>
            <w:tcBorders>
              <w:top w:val="single" w:sz="0" w:space="0" w:color="000000"/>
              <w:bottom w:val="single" w:sz="0" w:space="0" w:color="000000"/>
            </w:tcBorders>
          </w:tcPr>
          <w:p>
            <w:pPr/>
          </w:p>
        </w:tc>
        <w:tc>
          <w:tcPr>
            <w:tcW w:w="1672" w:type="dxa"/>
            <w:tcBorders>
              <w:top w:val="single" w:sz="0" w:space="0" w:color="000000"/>
              <w:bottom w:val="single" w:sz="0" w:space="0" w:color="000000"/>
            </w:tcBorders>
          </w:tcPr>
          <w:p>
            <w:pPr>
              <w:pStyle w:val="TableParagraph"/>
              <w:tabs>
                <w:tab w:pos="793" w:val="left" w:leader="none"/>
              </w:tabs>
              <w:spacing w:before="122"/>
              <w:ind w:left="84"/>
              <w:rPr>
                <w:b/>
                <w:sz w:val="18"/>
              </w:rPr>
            </w:pPr>
            <w:r>
              <w:rPr>
                <w:b/>
                <w:sz w:val="18"/>
              </w:rPr>
              <w:t>-</w:t>
              <w:tab/>
              <w:t>861,172</w:t>
            </w:r>
          </w:p>
        </w:tc>
        <w:tc>
          <w:tcPr>
            <w:tcW w:w="922" w:type="dxa"/>
            <w:tcBorders>
              <w:top w:val="single" w:sz="0" w:space="0" w:color="000000"/>
              <w:bottom w:val="single" w:sz="0" w:space="0" w:color="000000"/>
            </w:tcBorders>
          </w:tcPr>
          <w:p>
            <w:pPr/>
          </w:p>
        </w:tc>
        <w:tc>
          <w:tcPr>
            <w:tcW w:w="1531" w:type="dxa"/>
            <w:tcBorders>
              <w:top w:val="single" w:sz="0" w:space="0" w:color="000000"/>
              <w:bottom w:val="single" w:sz="0" w:space="0" w:color="000000"/>
            </w:tcBorders>
          </w:tcPr>
          <w:p>
            <w:pPr>
              <w:pStyle w:val="TableParagraph"/>
              <w:tabs>
                <w:tab w:pos="793" w:val="left" w:leader="none"/>
              </w:tabs>
              <w:spacing w:before="122"/>
              <w:ind w:left="84"/>
              <w:rPr>
                <w:b/>
                <w:sz w:val="18"/>
              </w:rPr>
            </w:pPr>
            <w:r>
              <w:rPr>
                <w:b/>
                <w:sz w:val="18"/>
              </w:rPr>
              <w:t>-</w:t>
              <w:tab/>
              <w:t>861,172</w:t>
            </w:r>
          </w:p>
        </w:tc>
      </w:tr>
    </w:tbl>
    <w:p>
      <w:pPr>
        <w:pStyle w:val="BodyText"/>
        <w:rPr>
          <w:sz w:val="20"/>
        </w:rPr>
      </w:pPr>
    </w:p>
    <w:p>
      <w:pPr>
        <w:pStyle w:val="BodyText"/>
        <w:spacing w:before="1"/>
        <w:rPr>
          <w:sz w:val="20"/>
        </w:rPr>
      </w:pPr>
    </w:p>
    <w:tbl>
      <w:tblPr>
        <w:tblW w:w="0" w:type="auto"/>
        <w:jc w:val="left"/>
        <w:tblInd w:w="5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20"/>
        <w:gridCol w:w="1064"/>
        <w:gridCol w:w="1672"/>
        <w:gridCol w:w="922"/>
        <w:gridCol w:w="1531"/>
      </w:tblGrid>
      <w:tr>
        <w:trPr>
          <w:trHeight w:val="640" w:hRule="exact"/>
        </w:trPr>
        <w:tc>
          <w:tcPr>
            <w:tcW w:w="4320" w:type="dxa"/>
          </w:tcPr>
          <w:p>
            <w:pPr>
              <w:pStyle w:val="TableParagraph"/>
              <w:rPr>
                <w:sz w:val="18"/>
              </w:rPr>
            </w:pPr>
          </w:p>
          <w:p>
            <w:pPr>
              <w:pStyle w:val="TableParagraph"/>
              <w:spacing w:before="143"/>
              <w:ind w:left="35"/>
              <w:rPr>
                <w:b/>
                <w:sz w:val="18"/>
              </w:rPr>
            </w:pPr>
            <w:r>
              <w:rPr>
                <w:b/>
                <w:sz w:val="18"/>
              </w:rPr>
              <w:t>31 December 2016</w:t>
            </w:r>
          </w:p>
        </w:tc>
        <w:tc>
          <w:tcPr>
            <w:tcW w:w="1064" w:type="dxa"/>
          </w:tcPr>
          <w:p>
            <w:pPr>
              <w:pStyle w:val="TableParagraph"/>
              <w:spacing w:before="77"/>
              <w:ind w:left="348" w:right="65"/>
              <w:jc w:val="center"/>
              <w:rPr>
                <w:b/>
                <w:sz w:val="18"/>
              </w:rPr>
            </w:pPr>
            <w:r>
              <w:rPr>
                <w:b/>
                <w:sz w:val="18"/>
              </w:rPr>
              <w:t>Level 1</w:t>
            </w:r>
          </w:p>
          <w:p>
            <w:pPr>
              <w:pStyle w:val="TableParagraph"/>
              <w:spacing w:before="66"/>
              <w:ind w:left="279"/>
              <w:jc w:val="center"/>
              <w:rPr>
                <w:b/>
                <w:sz w:val="18"/>
              </w:rPr>
            </w:pPr>
            <w:r>
              <w:rPr>
                <w:b/>
                <w:w w:val="99"/>
                <w:sz w:val="18"/>
              </w:rPr>
              <w:t>$</w:t>
            </w:r>
          </w:p>
        </w:tc>
        <w:tc>
          <w:tcPr>
            <w:tcW w:w="1672" w:type="dxa"/>
          </w:tcPr>
          <w:p>
            <w:pPr>
              <w:pStyle w:val="TableParagraph"/>
              <w:spacing w:before="77"/>
              <w:ind w:left="581" w:right="439"/>
              <w:jc w:val="center"/>
              <w:rPr>
                <w:b/>
                <w:sz w:val="18"/>
              </w:rPr>
            </w:pPr>
            <w:r>
              <w:rPr>
                <w:b/>
                <w:sz w:val="18"/>
              </w:rPr>
              <w:t>Level 2</w:t>
            </w:r>
          </w:p>
          <w:p>
            <w:pPr>
              <w:pStyle w:val="TableParagraph"/>
              <w:spacing w:before="66"/>
              <w:ind w:left="138"/>
              <w:jc w:val="center"/>
              <w:rPr>
                <w:b/>
                <w:sz w:val="18"/>
              </w:rPr>
            </w:pPr>
            <w:r>
              <w:rPr>
                <w:b/>
                <w:w w:val="99"/>
                <w:sz w:val="18"/>
              </w:rPr>
              <w:t>$</w:t>
            </w:r>
          </w:p>
        </w:tc>
        <w:tc>
          <w:tcPr>
            <w:tcW w:w="922" w:type="dxa"/>
          </w:tcPr>
          <w:p>
            <w:pPr>
              <w:pStyle w:val="TableParagraph"/>
              <w:spacing w:before="77"/>
              <w:ind w:left="207" w:right="65"/>
              <w:jc w:val="center"/>
              <w:rPr>
                <w:b/>
                <w:sz w:val="18"/>
              </w:rPr>
            </w:pPr>
            <w:r>
              <w:rPr>
                <w:b/>
                <w:sz w:val="18"/>
              </w:rPr>
              <w:t>Level 3</w:t>
            </w:r>
          </w:p>
          <w:p>
            <w:pPr>
              <w:pStyle w:val="TableParagraph"/>
              <w:spacing w:before="66"/>
              <w:ind w:left="138"/>
              <w:jc w:val="center"/>
              <w:rPr>
                <w:b/>
                <w:sz w:val="18"/>
              </w:rPr>
            </w:pPr>
            <w:r>
              <w:rPr>
                <w:b/>
                <w:w w:val="99"/>
                <w:sz w:val="18"/>
              </w:rPr>
              <w:t>$</w:t>
            </w:r>
          </w:p>
        </w:tc>
        <w:tc>
          <w:tcPr>
            <w:tcW w:w="1531" w:type="dxa"/>
          </w:tcPr>
          <w:p>
            <w:pPr>
              <w:pStyle w:val="TableParagraph"/>
              <w:spacing w:before="77"/>
              <w:ind w:left="669" w:right="391"/>
              <w:jc w:val="center"/>
              <w:rPr>
                <w:b/>
                <w:sz w:val="18"/>
              </w:rPr>
            </w:pPr>
            <w:r>
              <w:rPr>
                <w:b/>
                <w:sz w:val="18"/>
              </w:rPr>
              <w:t>Total</w:t>
            </w:r>
          </w:p>
          <w:p>
            <w:pPr>
              <w:pStyle w:val="TableParagraph"/>
              <w:spacing w:before="66"/>
              <w:ind w:left="280"/>
              <w:jc w:val="center"/>
              <w:rPr>
                <w:b/>
                <w:sz w:val="18"/>
              </w:rPr>
            </w:pPr>
            <w:r>
              <w:rPr>
                <w:b/>
                <w:w w:val="99"/>
                <w:sz w:val="18"/>
              </w:rPr>
              <w:t>$</w:t>
            </w:r>
          </w:p>
        </w:tc>
      </w:tr>
      <w:tr>
        <w:trPr>
          <w:trHeight w:val="336" w:hRule="exact"/>
        </w:trPr>
        <w:tc>
          <w:tcPr>
            <w:tcW w:w="4320" w:type="dxa"/>
          </w:tcPr>
          <w:p>
            <w:pPr>
              <w:pStyle w:val="TableParagraph"/>
              <w:spacing w:before="63"/>
              <w:ind w:left="35"/>
              <w:rPr>
                <w:b/>
                <w:sz w:val="18"/>
              </w:rPr>
            </w:pPr>
            <w:r>
              <w:rPr>
                <w:b/>
                <w:sz w:val="18"/>
              </w:rPr>
              <w:t>Recurring fair value measurements</w:t>
            </w:r>
          </w:p>
        </w:tc>
        <w:tc>
          <w:tcPr>
            <w:tcW w:w="1064" w:type="dxa"/>
          </w:tcPr>
          <w:p>
            <w:pPr/>
          </w:p>
        </w:tc>
        <w:tc>
          <w:tcPr>
            <w:tcW w:w="1672" w:type="dxa"/>
          </w:tcPr>
          <w:p>
            <w:pPr/>
          </w:p>
        </w:tc>
        <w:tc>
          <w:tcPr>
            <w:tcW w:w="922" w:type="dxa"/>
          </w:tcPr>
          <w:p>
            <w:pPr/>
          </w:p>
        </w:tc>
        <w:tc>
          <w:tcPr>
            <w:tcW w:w="1531" w:type="dxa"/>
          </w:tcPr>
          <w:p>
            <w:pPr/>
          </w:p>
        </w:tc>
      </w:tr>
      <w:tr>
        <w:trPr>
          <w:trHeight w:val="526" w:hRule="exact"/>
        </w:trPr>
        <w:tc>
          <w:tcPr>
            <w:tcW w:w="4320" w:type="dxa"/>
          </w:tcPr>
          <w:p>
            <w:pPr>
              <w:pStyle w:val="TableParagraph"/>
              <w:spacing w:before="46"/>
              <w:ind w:left="35"/>
              <w:rPr>
                <w:b/>
                <w:sz w:val="18"/>
              </w:rPr>
            </w:pPr>
            <w:r>
              <w:rPr>
                <w:b/>
                <w:sz w:val="18"/>
              </w:rPr>
              <w:t>Non-financial assets</w:t>
            </w:r>
          </w:p>
          <w:p>
            <w:pPr>
              <w:pStyle w:val="TableParagraph"/>
              <w:spacing w:before="29"/>
              <w:ind w:left="35"/>
              <w:rPr>
                <w:sz w:val="18"/>
              </w:rPr>
            </w:pPr>
            <w:r>
              <w:rPr>
                <w:sz w:val="18"/>
              </w:rPr>
              <w:t>Property, plant and equipment</w:t>
            </w:r>
          </w:p>
        </w:tc>
        <w:tc>
          <w:tcPr>
            <w:tcW w:w="1064" w:type="dxa"/>
            <w:tcBorders>
              <w:bottom w:val="single" w:sz="0" w:space="0" w:color="000000"/>
            </w:tcBorders>
          </w:tcPr>
          <w:p>
            <w:pPr/>
          </w:p>
        </w:tc>
        <w:tc>
          <w:tcPr>
            <w:tcW w:w="1672" w:type="dxa"/>
            <w:tcBorders>
              <w:bottom w:val="single" w:sz="0" w:space="0" w:color="000000"/>
            </w:tcBorders>
          </w:tcPr>
          <w:p>
            <w:pPr>
              <w:pStyle w:val="TableParagraph"/>
              <w:spacing w:before="5"/>
              <w:rPr>
                <w:sz w:val="24"/>
              </w:rPr>
            </w:pPr>
          </w:p>
          <w:p>
            <w:pPr>
              <w:pStyle w:val="TableParagraph"/>
              <w:tabs>
                <w:tab w:pos="794" w:val="left" w:leader="none"/>
              </w:tabs>
              <w:ind w:left="84"/>
              <w:rPr>
                <w:sz w:val="18"/>
              </w:rPr>
            </w:pPr>
            <w:r>
              <w:rPr>
                <w:sz w:val="18"/>
              </w:rPr>
              <w:t>-</w:t>
              <w:tab/>
              <w:t>830,442</w:t>
            </w:r>
          </w:p>
        </w:tc>
        <w:tc>
          <w:tcPr>
            <w:tcW w:w="922" w:type="dxa"/>
            <w:tcBorders>
              <w:bottom w:val="single" w:sz="0" w:space="0" w:color="000000"/>
            </w:tcBorders>
          </w:tcPr>
          <w:p>
            <w:pPr/>
          </w:p>
        </w:tc>
        <w:tc>
          <w:tcPr>
            <w:tcW w:w="1531" w:type="dxa"/>
            <w:tcBorders>
              <w:bottom w:val="single" w:sz="0" w:space="0" w:color="000000"/>
            </w:tcBorders>
          </w:tcPr>
          <w:p>
            <w:pPr>
              <w:pStyle w:val="TableParagraph"/>
              <w:spacing w:before="5"/>
              <w:rPr>
                <w:sz w:val="24"/>
              </w:rPr>
            </w:pPr>
          </w:p>
          <w:p>
            <w:pPr>
              <w:pStyle w:val="TableParagraph"/>
              <w:tabs>
                <w:tab w:pos="793" w:val="left" w:leader="none"/>
              </w:tabs>
              <w:ind w:left="84"/>
              <w:rPr>
                <w:sz w:val="18"/>
              </w:rPr>
            </w:pPr>
            <w:r>
              <w:rPr>
                <w:sz w:val="18"/>
              </w:rPr>
              <w:t>-</w:t>
              <w:tab/>
              <w:t>830,442</w:t>
            </w:r>
          </w:p>
        </w:tc>
      </w:tr>
      <w:tr>
        <w:trPr>
          <w:trHeight w:val="338" w:hRule="exact"/>
        </w:trPr>
        <w:tc>
          <w:tcPr>
            <w:tcW w:w="4320" w:type="dxa"/>
          </w:tcPr>
          <w:p>
            <w:pPr>
              <w:pStyle w:val="TableParagraph"/>
              <w:spacing w:before="123"/>
              <w:ind w:left="35"/>
              <w:rPr>
                <w:b/>
                <w:sz w:val="18"/>
              </w:rPr>
            </w:pPr>
            <w:r>
              <w:rPr>
                <w:b/>
                <w:sz w:val="18"/>
              </w:rPr>
              <w:t>Total non-financial assets</w:t>
            </w:r>
          </w:p>
        </w:tc>
        <w:tc>
          <w:tcPr>
            <w:tcW w:w="1064" w:type="dxa"/>
            <w:tcBorders>
              <w:top w:val="single" w:sz="0" w:space="0" w:color="000000"/>
              <w:bottom w:val="single" w:sz="0" w:space="0" w:color="000000"/>
            </w:tcBorders>
          </w:tcPr>
          <w:p>
            <w:pPr/>
          </w:p>
        </w:tc>
        <w:tc>
          <w:tcPr>
            <w:tcW w:w="1672" w:type="dxa"/>
            <w:tcBorders>
              <w:top w:val="single" w:sz="0" w:space="0" w:color="000000"/>
              <w:bottom w:val="single" w:sz="0" w:space="0" w:color="000000"/>
            </w:tcBorders>
          </w:tcPr>
          <w:p>
            <w:pPr>
              <w:pStyle w:val="TableParagraph"/>
              <w:tabs>
                <w:tab w:pos="793" w:val="left" w:leader="none"/>
              </w:tabs>
              <w:spacing w:before="122"/>
              <w:ind w:left="84"/>
              <w:rPr>
                <w:sz w:val="18"/>
              </w:rPr>
            </w:pPr>
            <w:r>
              <w:rPr>
                <w:sz w:val="18"/>
              </w:rPr>
              <w:t>-</w:t>
              <w:tab/>
              <w:t>830,442</w:t>
            </w:r>
          </w:p>
        </w:tc>
        <w:tc>
          <w:tcPr>
            <w:tcW w:w="922" w:type="dxa"/>
            <w:tcBorders>
              <w:top w:val="single" w:sz="0" w:space="0" w:color="000000"/>
              <w:bottom w:val="single" w:sz="0" w:space="0" w:color="000000"/>
            </w:tcBorders>
          </w:tcPr>
          <w:p>
            <w:pPr/>
          </w:p>
        </w:tc>
        <w:tc>
          <w:tcPr>
            <w:tcW w:w="1531" w:type="dxa"/>
            <w:tcBorders>
              <w:top w:val="single" w:sz="0" w:space="0" w:color="000000"/>
              <w:bottom w:val="single" w:sz="0" w:space="0" w:color="000000"/>
            </w:tcBorders>
          </w:tcPr>
          <w:p>
            <w:pPr>
              <w:pStyle w:val="TableParagraph"/>
              <w:tabs>
                <w:tab w:pos="793" w:val="left" w:leader="none"/>
              </w:tabs>
              <w:spacing w:before="122"/>
              <w:ind w:left="84"/>
              <w:rPr>
                <w:sz w:val="18"/>
              </w:rPr>
            </w:pPr>
            <w:r>
              <w:rPr>
                <w:sz w:val="18"/>
              </w:rPr>
              <w:t>-</w:t>
              <w:tab/>
              <w:t>830,442</w:t>
            </w:r>
          </w:p>
        </w:tc>
      </w:tr>
    </w:tbl>
    <w:p>
      <w:pPr>
        <w:spacing w:after="0"/>
        <w:rPr>
          <w:sz w:val="18"/>
        </w:rPr>
        <w:sectPr>
          <w:pgSz w:w="11910" w:h="16840"/>
          <w:pgMar w:header="1038" w:footer="507" w:top="2520" w:bottom="700" w:left="900" w:right="880"/>
        </w:sectPr>
      </w:pPr>
    </w:p>
    <w:p>
      <w:pPr>
        <w:pStyle w:val="BodyText"/>
        <w:rPr>
          <w:sz w:val="20"/>
        </w:rPr>
      </w:pPr>
    </w:p>
    <w:p>
      <w:pPr>
        <w:pStyle w:val="BodyText"/>
        <w:rPr>
          <w:sz w:val="20"/>
        </w:rPr>
      </w:pPr>
    </w:p>
    <w:p>
      <w:pPr>
        <w:pStyle w:val="BodyText"/>
        <w:spacing w:before="4"/>
      </w:pPr>
    </w:p>
    <w:p>
      <w:pPr>
        <w:pStyle w:val="Heading9"/>
        <w:tabs>
          <w:tab w:pos="505" w:val="left" w:leader="none"/>
        </w:tabs>
        <w:ind w:left="109" w:right="101"/>
      </w:pPr>
      <w:r>
        <w:rPr/>
        <w:t>6</w:t>
        <w:tab/>
        <w:t>Fair Value Measurement</w:t>
      </w:r>
      <w:r>
        <w:rPr>
          <w:spacing w:val="-2"/>
        </w:rPr>
        <w:t> </w:t>
      </w:r>
      <w:r>
        <w:rPr/>
        <w:t>(continued)</w:t>
      </w:r>
    </w:p>
    <w:p>
      <w:pPr>
        <w:pStyle w:val="BodyText"/>
        <w:spacing w:before="7"/>
        <w:rPr>
          <w:b/>
          <w:sz w:val="26"/>
        </w:rPr>
      </w:pPr>
    </w:p>
    <w:p>
      <w:pPr>
        <w:pStyle w:val="ListParagraph"/>
        <w:numPr>
          <w:ilvl w:val="0"/>
          <w:numId w:val="92"/>
        </w:numPr>
        <w:tabs>
          <w:tab w:pos="1072" w:val="left" w:leader="none"/>
        </w:tabs>
        <w:spacing w:line="240" w:lineRule="auto" w:before="0" w:after="0"/>
        <w:ind w:left="1071" w:right="0" w:hanging="566"/>
        <w:jc w:val="left"/>
        <w:rPr>
          <w:b/>
          <w:sz w:val="18"/>
        </w:rPr>
      </w:pPr>
      <w:r>
        <w:rPr>
          <w:b/>
          <w:sz w:val="18"/>
        </w:rPr>
        <w:t>Valuation techniques used to derive level 2 fair values</w:t>
      </w:r>
    </w:p>
    <w:p>
      <w:pPr>
        <w:pStyle w:val="BodyText"/>
        <w:spacing w:before="4"/>
        <w:rPr>
          <w:b/>
          <w:sz w:val="25"/>
        </w:rPr>
      </w:pPr>
    </w:p>
    <w:p>
      <w:pPr>
        <w:pStyle w:val="ListParagraph"/>
        <w:numPr>
          <w:ilvl w:val="0"/>
          <w:numId w:val="93"/>
        </w:numPr>
        <w:tabs>
          <w:tab w:pos="714" w:val="left" w:leader="none"/>
        </w:tabs>
        <w:spacing w:line="240" w:lineRule="auto" w:before="1" w:after="0"/>
        <w:ind w:left="713" w:right="0" w:hanging="209"/>
        <w:jc w:val="left"/>
        <w:rPr>
          <w:sz w:val="18"/>
        </w:rPr>
      </w:pPr>
      <w:r>
        <w:rPr>
          <w:sz w:val="18"/>
        </w:rPr>
        <w:t>Recurring fair value</w:t>
      </w:r>
      <w:r>
        <w:rPr>
          <w:spacing w:val="-1"/>
          <w:sz w:val="18"/>
        </w:rPr>
        <w:t> </w:t>
      </w:r>
      <w:r>
        <w:rPr>
          <w:sz w:val="18"/>
        </w:rPr>
        <w:t>measurements</w:t>
      </w:r>
    </w:p>
    <w:p>
      <w:pPr>
        <w:pStyle w:val="BodyText"/>
        <w:rPr>
          <w:sz w:val="25"/>
        </w:rPr>
      </w:pPr>
    </w:p>
    <w:p>
      <w:pPr>
        <w:pStyle w:val="BodyText"/>
        <w:ind w:left="503" w:right="101"/>
      </w:pPr>
      <w:r>
        <w:rPr/>
        <w:t>The fair value of assets that are not traded in an active market is determined using valuation techniques. These valuation techniques maximise the use of observable market data where it is available and rely as little as possible on entity specific estimates. If all significant inputs required to fair value an instrument are observable, the instrument is included in level 2.</w:t>
      </w:r>
    </w:p>
    <w:p>
      <w:pPr>
        <w:pStyle w:val="BodyText"/>
        <w:rPr>
          <w:sz w:val="25"/>
        </w:rPr>
      </w:pPr>
    </w:p>
    <w:p>
      <w:pPr>
        <w:pStyle w:val="BodyText"/>
        <w:ind w:left="503" w:right="101"/>
      </w:pPr>
      <w:r>
        <w:rPr/>
        <w:t>If one or more of the significant inputs is not based on observable market data, the instrument is included in level 2.</w:t>
      </w:r>
    </w:p>
    <w:p>
      <w:pPr>
        <w:pStyle w:val="BodyText"/>
        <w:rPr>
          <w:sz w:val="25"/>
        </w:rPr>
      </w:pPr>
    </w:p>
    <w:p>
      <w:pPr>
        <w:pStyle w:val="BodyText"/>
        <w:ind w:left="503" w:right="372"/>
      </w:pPr>
      <w:r>
        <w:rPr/>
        <w:t>The Trust uses a variety of methods and makes assumptions that are based on market conditions existing at each balance date.</w:t>
      </w:r>
    </w:p>
    <w:p>
      <w:pPr>
        <w:pStyle w:val="BodyText"/>
        <w:rPr>
          <w:sz w:val="25"/>
        </w:rPr>
      </w:pPr>
    </w:p>
    <w:p>
      <w:pPr>
        <w:pStyle w:val="BodyText"/>
        <w:spacing w:line="573" w:lineRule="auto"/>
        <w:ind w:left="503" w:right="3033"/>
      </w:pPr>
      <w:r>
        <w:rPr/>
        <w:t>Property, plant and equipment is valued using current observable market values. All of the resulting fair value estimates are included in level 2.</w:t>
      </w:r>
    </w:p>
    <w:p>
      <w:pPr>
        <w:pStyle w:val="BodyText"/>
        <w:spacing w:before="8"/>
        <w:ind w:left="503" w:right="192"/>
      </w:pPr>
      <w:r>
        <w:rPr/>
        <w:t>The level 2 fair value valuation for the Western Sydney University Whitlam Collection was undertaken by research of records of Australian and international sales, on-line databases, purchases and other forms of acquisition and knowledge of prices paid by other institutions.</w:t>
      </w:r>
    </w:p>
    <w:p>
      <w:pPr>
        <w:pStyle w:val="BodyText"/>
        <w:spacing w:before="10"/>
        <w:rPr>
          <w:sz w:val="24"/>
        </w:rPr>
      </w:pPr>
    </w:p>
    <w:p>
      <w:pPr>
        <w:pStyle w:val="ListParagraph"/>
        <w:numPr>
          <w:ilvl w:val="0"/>
          <w:numId w:val="93"/>
        </w:numPr>
        <w:tabs>
          <w:tab w:pos="754" w:val="left" w:leader="none"/>
        </w:tabs>
        <w:spacing w:line="240" w:lineRule="auto" w:before="0" w:after="0"/>
        <w:ind w:left="753" w:right="0" w:hanging="249"/>
        <w:jc w:val="left"/>
        <w:rPr>
          <w:sz w:val="18"/>
        </w:rPr>
      </w:pPr>
      <w:r>
        <w:rPr>
          <w:sz w:val="18"/>
        </w:rPr>
        <w:t>Non-recurring fair value</w:t>
      </w:r>
      <w:r>
        <w:rPr>
          <w:spacing w:val="-1"/>
          <w:sz w:val="18"/>
        </w:rPr>
        <w:t> </w:t>
      </w:r>
      <w:r>
        <w:rPr>
          <w:sz w:val="18"/>
        </w:rPr>
        <w:t>measurement</w:t>
      </w:r>
    </w:p>
    <w:p>
      <w:pPr>
        <w:pStyle w:val="BodyText"/>
        <w:rPr>
          <w:sz w:val="25"/>
        </w:rPr>
      </w:pPr>
    </w:p>
    <w:p>
      <w:pPr>
        <w:pStyle w:val="BodyText"/>
        <w:ind w:left="503" w:right="101"/>
      </w:pPr>
      <w:r>
        <w:rPr/>
        <w:t>The Trust does not hold assets that use non-recurring fair value measurements during the current or prior periods.</w:t>
      </w:r>
    </w:p>
    <w:p>
      <w:pPr>
        <w:spacing w:after="0"/>
        <w:sectPr>
          <w:pgSz w:w="11910" w:h="16840"/>
          <w:pgMar w:header="1038" w:footer="507" w:top="2520" w:bottom="700" w:left="900" w:right="1040"/>
        </w:sectPr>
      </w:pPr>
    </w:p>
    <w:p>
      <w:pPr>
        <w:pStyle w:val="BodyText"/>
        <w:rPr>
          <w:sz w:val="20"/>
        </w:rPr>
      </w:pPr>
    </w:p>
    <w:p>
      <w:pPr>
        <w:pStyle w:val="BodyText"/>
        <w:rPr>
          <w:sz w:val="20"/>
        </w:rPr>
      </w:pPr>
    </w:p>
    <w:p>
      <w:pPr>
        <w:pStyle w:val="BodyText"/>
        <w:spacing w:before="4"/>
      </w:pPr>
    </w:p>
    <w:p>
      <w:pPr>
        <w:pStyle w:val="Heading9"/>
        <w:tabs>
          <w:tab w:pos="505" w:val="left" w:leader="none"/>
        </w:tabs>
        <w:ind w:left="109" w:right="220"/>
      </w:pPr>
      <w:r>
        <w:rPr/>
        <w:t>6</w:t>
        <w:tab/>
        <w:t>Fair Value Measurement</w:t>
      </w:r>
      <w:r>
        <w:rPr>
          <w:spacing w:val="-2"/>
        </w:rPr>
        <w:t> </w:t>
      </w:r>
      <w:r>
        <w:rPr/>
        <w:t>(continued)</w:t>
      </w:r>
    </w:p>
    <w:p>
      <w:pPr>
        <w:pStyle w:val="BodyText"/>
        <w:spacing w:before="7"/>
        <w:rPr>
          <w:b/>
          <w:sz w:val="26"/>
        </w:rPr>
      </w:pPr>
    </w:p>
    <w:p>
      <w:pPr>
        <w:pStyle w:val="ListParagraph"/>
        <w:numPr>
          <w:ilvl w:val="0"/>
          <w:numId w:val="92"/>
        </w:numPr>
        <w:tabs>
          <w:tab w:pos="1072" w:val="left" w:leader="none"/>
        </w:tabs>
        <w:spacing w:line="240" w:lineRule="auto" w:before="0" w:after="0"/>
        <w:ind w:left="1071" w:right="0" w:hanging="566"/>
        <w:jc w:val="left"/>
        <w:rPr>
          <w:b/>
          <w:sz w:val="18"/>
        </w:rPr>
      </w:pPr>
      <w:r>
        <w:rPr>
          <w:b/>
          <w:sz w:val="18"/>
        </w:rPr>
        <w:t>Fair value</w:t>
      </w:r>
      <w:r>
        <w:rPr>
          <w:b/>
          <w:spacing w:val="-1"/>
          <w:sz w:val="18"/>
        </w:rPr>
        <w:t> </w:t>
      </w:r>
      <w:r>
        <w:rPr>
          <w:b/>
          <w:sz w:val="18"/>
        </w:rPr>
        <w:t>measurements</w:t>
      </w:r>
    </w:p>
    <w:p>
      <w:pPr>
        <w:pStyle w:val="BodyText"/>
        <w:spacing w:before="4"/>
        <w:rPr>
          <w:b/>
          <w:sz w:val="25"/>
        </w:rPr>
      </w:pPr>
    </w:p>
    <w:p>
      <w:pPr>
        <w:pStyle w:val="BodyText"/>
        <w:ind w:left="503" w:right="322"/>
      </w:pPr>
      <w:r>
        <w:rPr/>
        <w:t>Due to the short-term nature of the current receivables their carrying value is assumed to approximate their fair value and based on credit history it is expected that the receivables that are neither past due nor impaired will be received when due.</w:t>
      </w:r>
    </w:p>
    <w:p>
      <w:pPr>
        <w:pStyle w:val="BodyText"/>
        <w:rPr>
          <w:sz w:val="25"/>
        </w:rPr>
      </w:pPr>
    </w:p>
    <w:p>
      <w:pPr>
        <w:pStyle w:val="BodyText"/>
        <w:ind w:left="503" w:right="220"/>
      </w:pPr>
      <w:r>
        <w:rPr/>
        <w:t>The carrying amounts and aggregate net fair values of financial assets and liabilities at balance date are:</w:t>
      </w:r>
    </w:p>
    <w:p>
      <w:pPr>
        <w:pStyle w:val="BodyText"/>
      </w:pPr>
    </w:p>
    <w:p>
      <w:pPr>
        <w:pStyle w:val="BodyText"/>
      </w:pPr>
    </w:p>
    <w:p>
      <w:pPr>
        <w:pStyle w:val="Heading9"/>
        <w:tabs>
          <w:tab w:pos="8333" w:val="left" w:leader="none"/>
        </w:tabs>
        <w:spacing w:before="113"/>
        <w:ind w:left="5437" w:right="220"/>
      </w:pPr>
      <w:r>
        <w:rPr/>
        <w:t>Carrying Amount</w:t>
        <w:tab/>
        <w:t>Fair Value</w:t>
      </w:r>
    </w:p>
    <w:p>
      <w:pPr>
        <w:pStyle w:val="BodyText"/>
        <w:spacing w:before="10"/>
        <w:rPr>
          <w:b/>
          <w:sz w:val="22"/>
        </w:rPr>
      </w:pPr>
    </w:p>
    <w:p>
      <w:pPr>
        <w:spacing w:after="0"/>
        <w:rPr>
          <w:sz w:val="22"/>
        </w:rPr>
        <w:sectPr>
          <w:pgSz w:w="11910" w:h="16840"/>
          <w:pgMar w:header="1038" w:footer="507" w:top="2520" w:bottom="700" w:left="900" w:right="880"/>
        </w:sectPr>
      </w:pPr>
    </w:p>
    <w:p>
      <w:pPr>
        <w:spacing w:before="77"/>
        <w:ind w:left="0" w:right="0" w:firstLine="0"/>
        <w:jc w:val="right"/>
        <w:rPr>
          <w:b/>
          <w:sz w:val="18"/>
        </w:rPr>
      </w:pPr>
      <w:r>
        <w:rPr>
          <w:b/>
          <w:sz w:val="18"/>
        </w:rPr>
        <w:t>2017</w:t>
      </w:r>
    </w:p>
    <w:p>
      <w:pPr>
        <w:spacing w:before="66"/>
        <w:ind w:left="0" w:right="148" w:firstLine="0"/>
        <w:jc w:val="right"/>
        <w:rPr>
          <w:b/>
          <w:sz w:val="18"/>
        </w:rPr>
      </w:pPr>
      <w:r>
        <w:rPr>
          <w:b/>
          <w:w w:val="99"/>
          <w:sz w:val="18"/>
        </w:rPr>
        <w:t>$</w:t>
      </w:r>
    </w:p>
    <w:p>
      <w:pPr>
        <w:spacing w:before="77"/>
        <w:ind w:left="0" w:right="0" w:firstLine="0"/>
        <w:jc w:val="right"/>
        <w:rPr>
          <w:b/>
          <w:sz w:val="18"/>
        </w:rPr>
      </w:pPr>
      <w:r>
        <w:rPr/>
        <w:br w:type="column"/>
      </w:r>
      <w:r>
        <w:rPr>
          <w:b/>
          <w:sz w:val="18"/>
        </w:rPr>
        <w:t>2016</w:t>
      </w:r>
    </w:p>
    <w:p>
      <w:pPr>
        <w:spacing w:before="66"/>
        <w:ind w:left="0" w:right="148" w:firstLine="0"/>
        <w:jc w:val="right"/>
        <w:rPr>
          <w:b/>
          <w:sz w:val="18"/>
        </w:rPr>
      </w:pPr>
      <w:r>
        <w:rPr>
          <w:b/>
          <w:w w:val="99"/>
          <w:sz w:val="18"/>
        </w:rPr>
        <w:t>$</w:t>
      </w:r>
    </w:p>
    <w:p>
      <w:pPr>
        <w:spacing w:before="77"/>
        <w:ind w:left="0" w:right="0" w:firstLine="0"/>
        <w:jc w:val="right"/>
        <w:rPr>
          <w:b/>
          <w:sz w:val="18"/>
        </w:rPr>
      </w:pPr>
      <w:r>
        <w:rPr/>
        <w:br w:type="column"/>
      </w:r>
      <w:r>
        <w:rPr>
          <w:b/>
          <w:sz w:val="18"/>
        </w:rPr>
        <w:t>2017</w:t>
      </w:r>
    </w:p>
    <w:p>
      <w:pPr>
        <w:spacing w:before="66"/>
        <w:ind w:left="0" w:right="148" w:firstLine="0"/>
        <w:jc w:val="right"/>
        <w:rPr>
          <w:b/>
          <w:sz w:val="18"/>
        </w:rPr>
      </w:pPr>
      <w:r>
        <w:rPr>
          <w:b/>
          <w:w w:val="99"/>
          <w:sz w:val="18"/>
        </w:rPr>
        <w:t>$</w:t>
      </w:r>
    </w:p>
    <w:p>
      <w:pPr>
        <w:spacing w:before="77"/>
        <w:ind w:left="823" w:right="508" w:firstLine="0"/>
        <w:jc w:val="center"/>
        <w:rPr>
          <w:b/>
          <w:sz w:val="18"/>
        </w:rPr>
      </w:pPr>
      <w:r>
        <w:rPr/>
        <w:br w:type="column"/>
      </w:r>
      <w:r>
        <w:rPr>
          <w:b/>
          <w:sz w:val="18"/>
        </w:rPr>
        <w:t>2016</w:t>
      </w:r>
    </w:p>
    <w:p>
      <w:pPr>
        <w:spacing w:before="66"/>
        <w:ind w:left="315" w:right="0" w:firstLine="0"/>
        <w:jc w:val="center"/>
        <w:rPr>
          <w:b/>
          <w:sz w:val="18"/>
        </w:rPr>
      </w:pPr>
      <w:r>
        <w:rPr>
          <w:b/>
          <w:w w:val="99"/>
          <w:sz w:val="18"/>
        </w:rPr>
        <w:t>$</w:t>
      </w:r>
    </w:p>
    <w:p>
      <w:pPr>
        <w:spacing w:after="0"/>
        <w:jc w:val="center"/>
        <w:rPr>
          <w:sz w:val="18"/>
        </w:rPr>
        <w:sectPr>
          <w:type w:val="continuous"/>
          <w:pgSz w:w="11910" w:h="16840"/>
          <w:pgMar w:top="1580" w:bottom="280" w:left="900" w:right="880"/>
          <w:cols w:num="4" w:equalWidth="0">
            <w:col w:w="5722" w:space="40"/>
            <w:col w:w="1243" w:space="40"/>
            <w:col w:w="1272" w:space="40"/>
            <w:col w:w="1773"/>
          </w:cols>
        </w:sectPr>
      </w:pPr>
    </w:p>
    <w:p>
      <w:pPr>
        <w:pStyle w:val="BodyText"/>
        <w:spacing w:before="11"/>
        <w:rPr>
          <w:b/>
          <w:sz w:val="5"/>
        </w:rPr>
      </w:pPr>
    </w:p>
    <w:tbl>
      <w:tblPr>
        <w:tblW w:w="0" w:type="auto"/>
        <w:jc w:val="left"/>
        <w:tblInd w:w="5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22"/>
        <w:gridCol w:w="5189"/>
      </w:tblGrid>
      <w:tr>
        <w:trPr>
          <w:trHeight w:val="558" w:hRule="exact"/>
        </w:trPr>
        <w:tc>
          <w:tcPr>
            <w:tcW w:w="4322" w:type="dxa"/>
          </w:tcPr>
          <w:p>
            <w:pPr>
              <w:pStyle w:val="TableParagraph"/>
              <w:spacing w:before="77"/>
              <w:ind w:left="35"/>
              <w:rPr>
                <w:b/>
                <w:sz w:val="18"/>
              </w:rPr>
            </w:pPr>
            <w:r>
              <w:rPr>
                <w:b/>
                <w:sz w:val="18"/>
              </w:rPr>
              <w:t>Financial assets</w:t>
            </w:r>
          </w:p>
          <w:p>
            <w:pPr>
              <w:pStyle w:val="TableParagraph"/>
              <w:spacing w:before="29"/>
              <w:ind w:left="35"/>
              <w:rPr>
                <w:sz w:val="18"/>
              </w:rPr>
            </w:pPr>
            <w:r>
              <w:rPr>
                <w:sz w:val="18"/>
              </w:rPr>
              <w:t>Cash and cash equivalents</w:t>
            </w:r>
          </w:p>
        </w:tc>
        <w:tc>
          <w:tcPr>
            <w:tcW w:w="5189" w:type="dxa"/>
          </w:tcPr>
          <w:p>
            <w:pPr>
              <w:pStyle w:val="TableParagraph"/>
              <w:rPr>
                <w:b/>
                <w:sz w:val="18"/>
              </w:rPr>
            </w:pPr>
          </w:p>
          <w:p>
            <w:pPr>
              <w:pStyle w:val="TableParagraph"/>
              <w:tabs>
                <w:tab w:pos="1269" w:val="left" w:leader="none"/>
                <w:tab w:pos="2594" w:val="left" w:leader="none"/>
                <w:tab w:pos="3863" w:val="left" w:leader="none"/>
              </w:tabs>
              <w:spacing w:before="105"/>
              <w:ind w:right="83"/>
              <w:jc w:val="right"/>
              <w:rPr>
                <w:sz w:val="18"/>
              </w:rPr>
            </w:pPr>
            <w:r>
              <w:rPr>
                <w:b/>
                <w:sz w:val="18"/>
              </w:rPr>
              <w:t>766,186</w:t>
              <w:tab/>
            </w:r>
            <w:r>
              <w:rPr>
                <w:sz w:val="18"/>
              </w:rPr>
              <w:t>575,222</w:t>
              <w:tab/>
            </w:r>
            <w:r>
              <w:rPr>
                <w:b/>
                <w:sz w:val="18"/>
              </w:rPr>
              <w:t>766,186</w:t>
              <w:tab/>
            </w:r>
            <w:r>
              <w:rPr>
                <w:w w:val="95"/>
                <w:sz w:val="18"/>
              </w:rPr>
              <w:t>575,222</w:t>
            </w:r>
          </w:p>
        </w:tc>
      </w:tr>
      <w:tr>
        <w:trPr>
          <w:trHeight w:val="306" w:hRule="exact"/>
        </w:trPr>
        <w:tc>
          <w:tcPr>
            <w:tcW w:w="4322" w:type="dxa"/>
          </w:tcPr>
          <w:p>
            <w:pPr>
              <w:pStyle w:val="TableParagraph"/>
              <w:spacing w:before="19"/>
              <w:ind w:left="35"/>
              <w:rPr>
                <w:sz w:val="18"/>
              </w:rPr>
            </w:pPr>
            <w:r>
              <w:rPr>
                <w:sz w:val="18"/>
              </w:rPr>
              <w:t>Trade and other receivables</w:t>
            </w:r>
          </w:p>
        </w:tc>
        <w:tc>
          <w:tcPr>
            <w:tcW w:w="5189" w:type="dxa"/>
          </w:tcPr>
          <w:p>
            <w:pPr>
              <w:pStyle w:val="TableParagraph"/>
              <w:tabs>
                <w:tab w:pos="1269" w:val="left" w:leader="none"/>
                <w:tab w:pos="2594" w:val="left" w:leader="none"/>
                <w:tab w:pos="3863" w:val="left" w:leader="none"/>
              </w:tabs>
              <w:spacing w:before="18"/>
              <w:ind w:right="84"/>
              <w:jc w:val="right"/>
              <w:rPr>
                <w:sz w:val="18"/>
              </w:rPr>
            </w:pPr>
            <w:r>
              <w:rPr>
                <w:b/>
                <w:sz w:val="18"/>
              </w:rPr>
              <w:t>3,752</w:t>
              <w:tab/>
            </w:r>
            <w:r>
              <w:rPr>
                <w:sz w:val="18"/>
              </w:rPr>
              <w:t>3,700</w:t>
              <w:tab/>
            </w:r>
            <w:r>
              <w:rPr>
                <w:b/>
                <w:sz w:val="18"/>
              </w:rPr>
              <w:t>3,752</w:t>
              <w:tab/>
            </w:r>
            <w:r>
              <w:rPr>
                <w:w w:val="95"/>
                <w:sz w:val="18"/>
              </w:rPr>
              <w:t>3,700</w:t>
            </w:r>
          </w:p>
        </w:tc>
      </w:tr>
      <w:tr>
        <w:trPr>
          <w:trHeight w:val="343" w:hRule="exact"/>
        </w:trPr>
        <w:tc>
          <w:tcPr>
            <w:tcW w:w="4322" w:type="dxa"/>
          </w:tcPr>
          <w:p>
            <w:pPr>
              <w:pStyle w:val="TableParagraph"/>
              <w:spacing w:before="60"/>
              <w:ind w:left="35"/>
              <w:rPr>
                <w:b/>
                <w:sz w:val="18"/>
              </w:rPr>
            </w:pPr>
            <w:r>
              <w:rPr>
                <w:b/>
                <w:sz w:val="18"/>
              </w:rPr>
              <w:t>Total financial assets</w:t>
            </w:r>
          </w:p>
        </w:tc>
        <w:tc>
          <w:tcPr>
            <w:tcW w:w="5189" w:type="dxa"/>
          </w:tcPr>
          <w:p>
            <w:pPr>
              <w:pStyle w:val="TableParagraph"/>
              <w:tabs>
                <w:tab w:pos="588" w:val="left" w:leader="none"/>
                <w:tab w:pos="1858" w:val="left" w:leader="none"/>
                <w:tab w:pos="3182" w:val="left" w:leader="none"/>
                <w:tab w:pos="4452" w:val="left" w:leader="none"/>
              </w:tabs>
              <w:spacing w:before="60"/>
              <w:ind w:right="83"/>
              <w:jc w:val="right"/>
              <w:rPr>
                <w:sz w:val="18"/>
              </w:rPr>
            </w:pPr>
            <w:r>
              <w:rPr>
                <w:rFonts w:ascii="Times New Roman"/>
                <w:sz w:val="18"/>
                <w:u w:val="single"/>
              </w:rPr>
              <w:t> </w:t>
              <w:tab/>
            </w:r>
            <w:r>
              <w:rPr>
                <w:b/>
                <w:sz w:val="18"/>
                <w:u w:val="single"/>
              </w:rPr>
              <w:t>769,938</w:t>
              <w:tab/>
            </w:r>
            <w:r>
              <w:rPr>
                <w:sz w:val="18"/>
                <w:u w:val="single"/>
              </w:rPr>
              <w:t>578,922</w:t>
              <w:tab/>
            </w:r>
            <w:r>
              <w:rPr>
                <w:b/>
                <w:sz w:val="18"/>
                <w:u w:val="single"/>
              </w:rPr>
              <w:t>769,938</w:t>
              <w:tab/>
            </w:r>
            <w:r>
              <w:rPr>
                <w:w w:val="95"/>
                <w:sz w:val="18"/>
                <w:u w:val="single"/>
              </w:rPr>
              <w:t>578,922</w:t>
            </w:r>
          </w:p>
        </w:tc>
      </w:tr>
      <w:tr>
        <w:trPr>
          <w:trHeight w:val="535" w:hRule="exact"/>
        </w:trPr>
        <w:tc>
          <w:tcPr>
            <w:tcW w:w="4322" w:type="dxa"/>
          </w:tcPr>
          <w:p>
            <w:pPr>
              <w:pStyle w:val="TableParagraph"/>
              <w:spacing w:before="56"/>
              <w:ind w:left="35"/>
              <w:rPr>
                <w:b/>
                <w:sz w:val="18"/>
              </w:rPr>
            </w:pPr>
            <w:r>
              <w:rPr>
                <w:b/>
                <w:sz w:val="18"/>
              </w:rPr>
              <w:t>Financial Liabilities</w:t>
            </w:r>
          </w:p>
          <w:p>
            <w:pPr>
              <w:pStyle w:val="TableParagraph"/>
              <w:spacing w:before="29"/>
              <w:ind w:left="35"/>
              <w:rPr>
                <w:sz w:val="18"/>
              </w:rPr>
            </w:pPr>
            <w:r>
              <w:rPr>
                <w:sz w:val="18"/>
              </w:rPr>
              <w:t>Amounts owed to ultimate parent entity</w:t>
            </w:r>
          </w:p>
        </w:tc>
        <w:tc>
          <w:tcPr>
            <w:tcW w:w="5189" w:type="dxa"/>
            <w:tcBorders>
              <w:bottom w:val="single" w:sz="0" w:space="0" w:color="000000"/>
            </w:tcBorders>
          </w:tcPr>
          <w:p>
            <w:pPr>
              <w:pStyle w:val="TableParagraph"/>
              <w:spacing w:before="3"/>
              <w:rPr>
                <w:b/>
                <w:sz w:val="25"/>
              </w:rPr>
            </w:pPr>
          </w:p>
          <w:p>
            <w:pPr>
              <w:pStyle w:val="TableParagraph"/>
              <w:tabs>
                <w:tab w:pos="1857" w:val="left" w:leader="none"/>
                <w:tab w:pos="2594" w:val="left" w:leader="none"/>
                <w:tab w:pos="4451" w:val="left" w:leader="none"/>
              </w:tabs>
              <w:ind w:right="85"/>
              <w:jc w:val="right"/>
              <w:rPr>
                <w:sz w:val="18"/>
              </w:rPr>
            </w:pPr>
            <w:r>
              <w:rPr>
                <w:b/>
                <w:sz w:val="18"/>
              </w:rPr>
              <w:t>103,964</w:t>
              <w:tab/>
            </w:r>
            <w:r>
              <w:rPr>
                <w:sz w:val="18"/>
              </w:rPr>
              <w:t>-</w:t>
              <w:tab/>
            </w:r>
            <w:r>
              <w:rPr>
                <w:b/>
                <w:sz w:val="18"/>
              </w:rPr>
              <w:t>103,964</w:t>
              <w:tab/>
            </w:r>
            <w:r>
              <w:rPr>
                <w:sz w:val="18"/>
              </w:rPr>
              <w:t>-</w:t>
            </w:r>
          </w:p>
        </w:tc>
      </w:tr>
      <w:tr>
        <w:trPr>
          <w:trHeight w:val="338" w:hRule="exact"/>
        </w:trPr>
        <w:tc>
          <w:tcPr>
            <w:tcW w:w="4322" w:type="dxa"/>
          </w:tcPr>
          <w:p>
            <w:pPr>
              <w:pStyle w:val="TableParagraph"/>
              <w:spacing w:before="123"/>
              <w:ind w:left="35"/>
              <w:rPr>
                <w:b/>
                <w:sz w:val="18"/>
              </w:rPr>
            </w:pPr>
            <w:r>
              <w:rPr>
                <w:b/>
                <w:sz w:val="18"/>
              </w:rPr>
              <w:t>Total financial liabilities</w:t>
            </w:r>
          </w:p>
        </w:tc>
        <w:tc>
          <w:tcPr>
            <w:tcW w:w="5189" w:type="dxa"/>
            <w:tcBorders>
              <w:top w:val="single" w:sz="0" w:space="0" w:color="000000"/>
              <w:bottom w:val="single" w:sz="0" w:space="0" w:color="000000"/>
            </w:tcBorders>
          </w:tcPr>
          <w:p>
            <w:pPr>
              <w:pStyle w:val="TableParagraph"/>
              <w:tabs>
                <w:tab w:pos="1857" w:val="left" w:leader="none"/>
                <w:tab w:pos="2594" w:val="left" w:leader="none"/>
                <w:tab w:pos="4451" w:val="left" w:leader="none"/>
              </w:tabs>
              <w:spacing w:before="122"/>
              <w:ind w:right="85"/>
              <w:jc w:val="right"/>
              <w:rPr>
                <w:sz w:val="18"/>
              </w:rPr>
            </w:pPr>
            <w:r>
              <w:rPr>
                <w:b/>
                <w:sz w:val="18"/>
              </w:rPr>
              <w:t>103,964</w:t>
              <w:tab/>
            </w:r>
            <w:r>
              <w:rPr>
                <w:sz w:val="18"/>
              </w:rPr>
              <w:t>-</w:t>
              <w:tab/>
            </w:r>
            <w:r>
              <w:rPr>
                <w:b/>
                <w:sz w:val="18"/>
              </w:rPr>
              <w:t>103,964</w:t>
              <w:tab/>
            </w:r>
            <w:r>
              <w:rPr>
                <w:sz w:val="18"/>
              </w:rPr>
              <w:t>-</w:t>
            </w:r>
          </w:p>
        </w:tc>
      </w:tr>
    </w:tbl>
    <w:p>
      <w:pPr>
        <w:pStyle w:val="BodyText"/>
        <w:spacing w:before="3"/>
        <w:rPr>
          <w:b/>
          <w:sz w:val="19"/>
        </w:rPr>
      </w:pPr>
    </w:p>
    <w:p>
      <w:pPr>
        <w:pStyle w:val="BodyText"/>
        <w:spacing w:before="77"/>
        <w:ind w:left="504" w:right="220"/>
      </w:pPr>
      <w:r>
        <w:rPr/>
        <w:t>The Trust measures and recognises the following assets and liabilities at fair value on a recurring basis:</w:t>
      </w:r>
    </w:p>
    <w:p>
      <w:pPr>
        <w:pStyle w:val="BodyText"/>
        <w:spacing w:before="5"/>
        <w:rPr>
          <w:sz w:val="25"/>
        </w:rPr>
      </w:pPr>
    </w:p>
    <w:p>
      <w:pPr>
        <w:pStyle w:val="ListParagraph"/>
        <w:numPr>
          <w:ilvl w:val="0"/>
          <w:numId w:val="94"/>
        </w:numPr>
        <w:tabs>
          <w:tab w:pos="1072" w:val="left" w:leader="none"/>
        </w:tabs>
        <w:spacing w:line="240" w:lineRule="auto" w:before="1" w:after="0"/>
        <w:ind w:left="1071" w:right="0" w:hanging="567"/>
        <w:jc w:val="left"/>
        <w:rPr>
          <w:sz w:val="18"/>
        </w:rPr>
      </w:pPr>
      <w:r>
        <w:rPr>
          <w:sz w:val="18"/>
        </w:rPr>
        <w:t>Property, plant and</w:t>
      </w:r>
      <w:r>
        <w:rPr>
          <w:spacing w:val="-1"/>
          <w:sz w:val="18"/>
        </w:rPr>
        <w:t> </w:t>
      </w:r>
      <w:r>
        <w:rPr>
          <w:sz w:val="18"/>
        </w:rPr>
        <w:t>equipment</w:t>
      </w:r>
    </w:p>
    <w:p>
      <w:pPr>
        <w:spacing w:after="0" w:line="240" w:lineRule="auto"/>
        <w:jc w:val="left"/>
        <w:rPr>
          <w:sz w:val="18"/>
        </w:rPr>
        <w:sectPr>
          <w:type w:val="continuous"/>
          <w:pgSz w:w="11910" w:h="16840"/>
          <w:pgMar w:top="1580" w:bottom="280" w:left="900" w:right="880"/>
        </w:sectPr>
      </w:pPr>
    </w:p>
    <w:p>
      <w:pPr>
        <w:pStyle w:val="BodyText"/>
        <w:rPr>
          <w:sz w:val="20"/>
        </w:rPr>
      </w:pPr>
    </w:p>
    <w:p>
      <w:pPr>
        <w:pStyle w:val="BodyText"/>
        <w:rPr>
          <w:sz w:val="20"/>
        </w:rPr>
      </w:pPr>
    </w:p>
    <w:p>
      <w:pPr>
        <w:pStyle w:val="BodyText"/>
        <w:spacing w:before="8"/>
        <w:rPr>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4990"/>
        <w:gridCol w:w="3554"/>
        <w:gridCol w:w="1072"/>
      </w:tblGrid>
      <w:tr>
        <w:trPr>
          <w:trHeight w:val="500" w:hRule="exact"/>
        </w:trPr>
        <w:tc>
          <w:tcPr>
            <w:tcW w:w="282" w:type="dxa"/>
          </w:tcPr>
          <w:p>
            <w:pPr>
              <w:pStyle w:val="TableParagraph"/>
              <w:spacing w:before="77"/>
              <w:ind w:left="35"/>
              <w:rPr>
                <w:b/>
                <w:sz w:val="18"/>
              </w:rPr>
            </w:pPr>
            <w:r>
              <w:rPr>
                <w:b/>
                <w:w w:val="99"/>
                <w:sz w:val="18"/>
              </w:rPr>
              <w:t>7</w:t>
            </w:r>
          </w:p>
        </w:tc>
        <w:tc>
          <w:tcPr>
            <w:tcW w:w="4990" w:type="dxa"/>
          </w:tcPr>
          <w:p>
            <w:pPr>
              <w:pStyle w:val="TableParagraph"/>
              <w:spacing w:before="77"/>
              <w:ind w:left="148"/>
              <w:rPr>
                <w:b/>
                <w:sz w:val="18"/>
              </w:rPr>
            </w:pPr>
            <w:r>
              <w:rPr>
                <w:b/>
                <w:sz w:val="18"/>
              </w:rPr>
              <w:t>Cash and cash equivalents</w:t>
            </w:r>
          </w:p>
        </w:tc>
        <w:tc>
          <w:tcPr>
            <w:tcW w:w="3554" w:type="dxa"/>
          </w:tcPr>
          <w:p>
            <w:pPr>
              <w:pStyle w:val="TableParagraph"/>
              <w:spacing w:before="7"/>
              <w:rPr>
                <w:sz w:val="24"/>
              </w:rPr>
            </w:pPr>
          </w:p>
          <w:p>
            <w:pPr>
              <w:pStyle w:val="TableParagraph"/>
              <w:ind w:right="620"/>
              <w:jc w:val="right"/>
              <w:rPr>
                <w:b/>
                <w:sz w:val="18"/>
              </w:rPr>
            </w:pPr>
            <w:r>
              <w:rPr>
                <w:b/>
                <w:sz w:val="18"/>
              </w:rPr>
              <w:t>2017</w:t>
            </w:r>
          </w:p>
        </w:tc>
        <w:tc>
          <w:tcPr>
            <w:tcW w:w="1072" w:type="dxa"/>
          </w:tcPr>
          <w:p>
            <w:pPr>
              <w:pStyle w:val="TableParagraph"/>
              <w:spacing w:before="7"/>
              <w:rPr>
                <w:sz w:val="24"/>
              </w:rPr>
            </w:pPr>
          </w:p>
          <w:p>
            <w:pPr>
              <w:pStyle w:val="TableParagraph"/>
              <w:ind w:left="260"/>
              <w:rPr>
                <w:b/>
                <w:sz w:val="18"/>
              </w:rPr>
            </w:pPr>
            <w:r>
              <w:rPr>
                <w:b/>
                <w:sz w:val="18"/>
              </w:rPr>
              <w:t>2016</w:t>
            </w:r>
          </w:p>
        </w:tc>
      </w:tr>
      <w:tr>
        <w:trPr>
          <w:trHeight w:val="427" w:hRule="exact"/>
        </w:trPr>
        <w:tc>
          <w:tcPr>
            <w:tcW w:w="282" w:type="dxa"/>
          </w:tcPr>
          <w:p>
            <w:pPr/>
          </w:p>
        </w:tc>
        <w:tc>
          <w:tcPr>
            <w:tcW w:w="4990" w:type="dxa"/>
          </w:tcPr>
          <w:p>
            <w:pPr>
              <w:pStyle w:val="TableParagraph"/>
              <w:spacing w:before="1"/>
              <w:rPr>
                <w:sz w:val="17"/>
              </w:rPr>
            </w:pPr>
          </w:p>
          <w:p>
            <w:pPr>
              <w:pStyle w:val="TableParagraph"/>
              <w:ind w:left="147"/>
              <w:rPr>
                <w:sz w:val="18"/>
              </w:rPr>
            </w:pPr>
            <w:r>
              <w:rPr>
                <w:sz w:val="18"/>
              </w:rPr>
              <w:t>Cash at bank and on hand</w:t>
            </w:r>
          </w:p>
        </w:tc>
        <w:tc>
          <w:tcPr>
            <w:tcW w:w="3554" w:type="dxa"/>
          </w:tcPr>
          <w:p>
            <w:pPr>
              <w:pStyle w:val="TableParagraph"/>
              <w:spacing w:line="197" w:lineRule="exact"/>
              <w:ind w:right="771"/>
              <w:jc w:val="right"/>
              <w:rPr>
                <w:b/>
                <w:sz w:val="18"/>
              </w:rPr>
            </w:pPr>
            <w:r>
              <w:rPr>
                <w:b/>
                <w:w w:val="99"/>
                <w:sz w:val="18"/>
              </w:rPr>
              <w:t>$</w:t>
            </w:r>
          </w:p>
          <w:p>
            <w:pPr>
              <w:pStyle w:val="TableParagraph"/>
              <w:spacing w:line="207" w:lineRule="exact"/>
              <w:ind w:right="259"/>
              <w:jc w:val="right"/>
              <w:rPr>
                <w:b/>
                <w:sz w:val="18"/>
              </w:rPr>
            </w:pPr>
            <w:r>
              <w:rPr>
                <w:b/>
                <w:sz w:val="18"/>
              </w:rPr>
              <w:t>18,613</w:t>
            </w:r>
          </w:p>
        </w:tc>
        <w:tc>
          <w:tcPr>
            <w:tcW w:w="1072" w:type="dxa"/>
          </w:tcPr>
          <w:p>
            <w:pPr>
              <w:pStyle w:val="TableParagraph"/>
              <w:spacing w:line="197" w:lineRule="exact"/>
              <w:ind w:right="148"/>
              <w:jc w:val="center"/>
              <w:rPr>
                <w:b/>
                <w:sz w:val="18"/>
              </w:rPr>
            </w:pPr>
            <w:r>
              <w:rPr>
                <w:b/>
                <w:w w:val="99"/>
                <w:sz w:val="18"/>
              </w:rPr>
              <w:t>$</w:t>
            </w:r>
          </w:p>
          <w:p>
            <w:pPr>
              <w:pStyle w:val="TableParagraph"/>
              <w:spacing w:line="207" w:lineRule="exact"/>
              <w:ind w:left="486"/>
              <w:rPr>
                <w:sz w:val="18"/>
              </w:rPr>
            </w:pPr>
            <w:r>
              <w:rPr>
                <w:sz w:val="18"/>
              </w:rPr>
              <w:t>27,196</w:t>
            </w:r>
          </w:p>
        </w:tc>
      </w:tr>
      <w:tr>
        <w:trPr>
          <w:trHeight w:val="223" w:hRule="exact"/>
        </w:trPr>
        <w:tc>
          <w:tcPr>
            <w:tcW w:w="282" w:type="dxa"/>
          </w:tcPr>
          <w:p>
            <w:pPr/>
          </w:p>
        </w:tc>
        <w:tc>
          <w:tcPr>
            <w:tcW w:w="4990" w:type="dxa"/>
          </w:tcPr>
          <w:p>
            <w:pPr>
              <w:pStyle w:val="TableParagraph"/>
              <w:spacing w:before="6"/>
              <w:ind w:left="147"/>
              <w:rPr>
                <w:sz w:val="18"/>
              </w:rPr>
            </w:pPr>
            <w:r>
              <w:rPr>
                <w:sz w:val="18"/>
              </w:rPr>
              <w:t>Term deposits</w:t>
            </w:r>
          </w:p>
        </w:tc>
        <w:tc>
          <w:tcPr>
            <w:tcW w:w="3554" w:type="dxa"/>
          </w:tcPr>
          <w:p>
            <w:pPr>
              <w:pStyle w:val="TableParagraph"/>
              <w:spacing w:before="4"/>
              <w:ind w:right="258"/>
              <w:jc w:val="right"/>
              <w:rPr>
                <w:b/>
                <w:sz w:val="18"/>
              </w:rPr>
            </w:pPr>
            <w:r>
              <w:rPr>
                <w:b/>
                <w:w w:val="95"/>
                <w:sz w:val="18"/>
              </w:rPr>
              <w:t>410,352</w:t>
            </w:r>
          </w:p>
        </w:tc>
        <w:tc>
          <w:tcPr>
            <w:tcW w:w="1072" w:type="dxa"/>
          </w:tcPr>
          <w:p>
            <w:pPr>
              <w:pStyle w:val="TableParagraph"/>
              <w:spacing w:before="4"/>
              <w:ind w:left="386"/>
              <w:rPr>
                <w:sz w:val="18"/>
              </w:rPr>
            </w:pPr>
            <w:r>
              <w:rPr>
                <w:sz w:val="18"/>
              </w:rPr>
              <w:t>400,000</w:t>
            </w:r>
          </w:p>
        </w:tc>
      </w:tr>
    </w:tbl>
    <w:p>
      <w:pPr>
        <w:tabs>
          <w:tab w:pos="6925" w:val="left" w:leader="none"/>
          <w:tab w:pos="7485" w:val="left" w:leader="none"/>
          <w:tab w:pos="8783" w:val="left" w:leader="none"/>
        </w:tabs>
        <w:spacing w:before="17"/>
        <w:ind w:left="0" w:right="203" w:firstLine="0"/>
        <w:jc w:val="right"/>
        <w:rPr>
          <w:sz w:val="18"/>
        </w:rPr>
      </w:pPr>
      <w:r>
        <w:rPr>
          <w:sz w:val="18"/>
        </w:rPr>
        <w:t>T-Corp investments</w:t>
        <w:tab/>
      </w:r>
      <w:r>
        <w:rPr>
          <w:rFonts w:ascii="Times New Roman"/>
          <w:sz w:val="18"/>
          <w:u w:val="single"/>
        </w:rPr>
        <w:t> </w:t>
        <w:tab/>
      </w:r>
      <w:r>
        <w:rPr>
          <w:b/>
          <w:sz w:val="18"/>
          <w:u w:val="single"/>
        </w:rPr>
        <w:t>337,221</w:t>
        <w:tab/>
      </w:r>
      <w:r>
        <w:rPr>
          <w:w w:val="95"/>
          <w:sz w:val="18"/>
          <w:u w:val="single"/>
        </w:rPr>
        <w:t>148,026</w:t>
      </w:r>
    </w:p>
    <w:p>
      <w:pPr>
        <w:tabs>
          <w:tab w:pos="560" w:val="left" w:leader="none"/>
          <w:tab w:pos="1858" w:val="left" w:leader="none"/>
        </w:tabs>
        <w:spacing w:before="18"/>
        <w:ind w:left="0" w:right="203" w:firstLine="0"/>
        <w:jc w:val="right"/>
        <w:rPr>
          <w:sz w:val="18"/>
        </w:rPr>
      </w:pPr>
      <w:r>
        <w:rPr>
          <w:rFonts w:ascii="Times New Roman"/>
          <w:sz w:val="18"/>
          <w:u w:val="thick"/>
        </w:rPr>
        <w:t> </w:t>
        <w:tab/>
      </w:r>
      <w:r>
        <w:rPr>
          <w:b/>
          <w:sz w:val="18"/>
          <w:u w:val="thick"/>
        </w:rPr>
        <w:t>766,186</w:t>
        <w:tab/>
      </w:r>
      <w:r>
        <w:rPr>
          <w:w w:val="95"/>
          <w:sz w:val="18"/>
          <w:u w:val="thick"/>
        </w:rPr>
        <w:t>575,222</w:t>
      </w:r>
    </w:p>
    <w:p>
      <w:pPr>
        <w:pStyle w:val="BodyText"/>
        <w:spacing w:before="6"/>
        <w:rPr>
          <w:sz w:val="22"/>
        </w:rPr>
      </w:pPr>
    </w:p>
    <w:p>
      <w:pPr>
        <w:pStyle w:val="Heading9"/>
        <w:spacing w:before="77"/>
        <w:ind w:left="544" w:right="19"/>
      </w:pPr>
      <w:r>
        <w:rPr/>
        <w:t>Reconciliation of cash at the end of the year</w:t>
      </w:r>
    </w:p>
    <w:p>
      <w:pPr>
        <w:pStyle w:val="BodyText"/>
        <w:spacing w:before="4"/>
        <w:rPr>
          <w:b/>
          <w:sz w:val="25"/>
        </w:rPr>
      </w:pPr>
    </w:p>
    <w:p>
      <w:pPr>
        <w:pStyle w:val="BodyText"/>
        <w:spacing w:after="36"/>
        <w:ind w:left="572" w:right="19"/>
      </w:pPr>
      <w:r>
        <w:rPr/>
        <w:t>Cash and Cash equivalents reported in the statement of cash flows are reconciled to the equivalent items in the statement of financial position as follows:</w:t>
      </w:r>
    </w:p>
    <w:tbl>
      <w:tblPr>
        <w:tblW w:w="0" w:type="auto"/>
        <w:jc w:val="left"/>
        <w:tblInd w:w="55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16"/>
        <w:gridCol w:w="1483"/>
        <w:gridCol w:w="1111"/>
      </w:tblGrid>
      <w:tr>
        <w:trPr>
          <w:trHeight w:val="783" w:hRule="exact"/>
        </w:trPr>
        <w:tc>
          <w:tcPr>
            <w:tcW w:w="6916" w:type="dxa"/>
          </w:tcPr>
          <w:p>
            <w:pPr>
              <w:pStyle w:val="TableParagraph"/>
              <w:rPr>
                <w:sz w:val="18"/>
              </w:rPr>
            </w:pPr>
          </w:p>
          <w:p>
            <w:pPr>
              <w:pStyle w:val="TableParagraph"/>
              <w:rPr>
                <w:sz w:val="18"/>
              </w:rPr>
            </w:pPr>
          </w:p>
          <w:p>
            <w:pPr>
              <w:pStyle w:val="TableParagraph"/>
              <w:spacing w:before="126"/>
              <w:ind w:left="35" w:right="4471"/>
              <w:rPr>
                <w:sz w:val="18"/>
              </w:rPr>
            </w:pPr>
            <w:r>
              <w:rPr>
                <w:sz w:val="18"/>
              </w:rPr>
              <w:t>Cash and cash equivalents</w:t>
            </w:r>
          </w:p>
        </w:tc>
        <w:tc>
          <w:tcPr>
            <w:tcW w:w="1483" w:type="dxa"/>
            <w:tcBorders>
              <w:bottom w:val="single" w:sz="0" w:space="0" w:color="000000"/>
            </w:tcBorders>
          </w:tcPr>
          <w:p>
            <w:pPr>
              <w:pStyle w:val="TableParagraph"/>
              <w:spacing w:line="204" w:lineRule="exact"/>
              <w:ind w:left="471" w:right="251"/>
              <w:rPr>
                <w:b/>
                <w:sz w:val="18"/>
              </w:rPr>
            </w:pPr>
            <w:r>
              <w:rPr>
                <w:b/>
                <w:sz w:val="18"/>
              </w:rPr>
              <w:t>2017</w:t>
            </w:r>
          </w:p>
          <w:p>
            <w:pPr>
              <w:pStyle w:val="TableParagraph"/>
              <w:spacing w:line="312" w:lineRule="auto" w:before="66"/>
              <w:ind w:left="561" w:right="251" w:firstLine="60"/>
              <w:rPr>
                <w:b/>
                <w:sz w:val="18"/>
              </w:rPr>
            </w:pPr>
            <w:r>
              <w:rPr>
                <w:b/>
                <w:sz w:val="18"/>
              </w:rPr>
              <w:t>$ 766,186</w:t>
            </w:r>
          </w:p>
        </w:tc>
        <w:tc>
          <w:tcPr>
            <w:tcW w:w="1111" w:type="dxa"/>
            <w:tcBorders>
              <w:bottom w:val="single" w:sz="0" w:space="0" w:color="000000"/>
            </w:tcBorders>
          </w:tcPr>
          <w:p>
            <w:pPr>
              <w:pStyle w:val="TableParagraph"/>
              <w:spacing w:line="204" w:lineRule="exact"/>
              <w:ind w:left="252" w:right="418"/>
              <w:jc w:val="center"/>
              <w:rPr>
                <w:b/>
                <w:sz w:val="18"/>
              </w:rPr>
            </w:pPr>
            <w:r>
              <w:rPr>
                <w:b/>
                <w:sz w:val="18"/>
              </w:rPr>
              <w:t>2016</w:t>
            </w:r>
          </w:p>
          <w:p>
            <w:pPr>
              <w:pStyle w:val="TableParagraph"/>
              <w:spacing w:before="66"/>
              <w:ind w:right="167"/>
              <w:jc w:val="center"/>
              <w:rPr>
                <w:b/>
                <w:sz w:val="18"/>
              </w:rPr>
            </w:pPr>
            <w:r>
              <w:rPr>
                <w:b/>
                <w:w w:val="99"/>
                <w:sz w:val="18"/>
              </w:rPr>
              <w:t>$</w:t>
            </w:r>
          </w:p>
          <w:p>
            <w:pPr>
              <w:pStyle w:val="TableParagraph"/>
              <w:spacing w:before="61"/>
              <w:ind w:left="375"/>
              <w:rPr>
                <w:sz w:val="18"/>
              </w:rPr>
            </w:pPr>
            <w:r>
              <w:rPr>
                <w:sz w:val="18"/>
              </w:rPr>
              <w:t>575,222</w:t>
            </w:r>
          </w:p>
        </w:tc>
      </w:tr>
      <w:tr>
        <w:trPr>
          <w:trHeight w:val="560" w:hRule="exact"/>
        </w:trPr>
        <w:tc>
          <w:tcPr>
            <w:tcW w:w="6916" w:type="dxa"/>
          </w:tcPr>
          <w:p>
            <w:pPr>
              <w:pStyle w:val="TableParagraph"/>
              <w:spacing w:before="123"/>
              <w:ind w:left="35" w:right="4471" w:hanging="1"/>
              <w:rPr>
                <w:b/>
                <w:sz w:val="18"/>
              </w:rPr>
            </w:pPr>
            <w:r>
              <w:rPr>
                <w:b/>
                <w:sz w:val="18"/>
              </w:rPr>
              <w:t>Balance as per statement of cash flows</w:t>
            </w:r>
          </w:p>
        </w:tc>
        <w:tc>
          <w:tcPr>
            <w:tcW w:w="1483" w:type="dxa"/>
            <w:tcBorders>
              <w:top w:val="single" w:sz="0" w:space="0" w:color="000000"/>
              <w:bottom w:val="single" w:sz="0" w:space="0" w:color="000000"/>
            </w:tcBorders>
          </w:tcPr>
          <w:p>
            <w:pPr>
              <w:pStyle w:val="TableParagraph"/>
              <w:rPr>
                <w:sz w:val="18"/>
              </w:rPr>
            </w:pPr>
          </w:p>
          <w:p>
            <w:pPr>
              <w:pStyle w:val="TableParagraph"/>
              <w:spacing w:before="122"/>
              <w:ind w:left="561"/>
              <w:rPr>
                <w:b/>
                <w:sz w:val="18"/>
              </w:rPr>
            </w:pPr>
            <w:r>
              <w:rPr>
                <w:b/>
                <w:sz w:val="18"/>
              </w:rPr>
              <w:t>766,186</w:t>
            </w:r>
          </w:p>
        </w:tc>
        <w:tc>
          <w:tcPr>
            <w:tcW w:w="1111" w:type="dxa"/>
            <w:tcBorders>
              <w:top w:val="single" w:sz="0" w:space="0" w:color="000000"/>
              <w:bottom w:val="single" w:sz="0" w:space="0" w:color="000000"/>
            </w:tcBorders>
          </w:tcPr>
          <w:p>
            <w:pPr>
              <w:pStyle w:val="TableParagraph"/>
              <w:rPr>
                <w:sz w:val="18"/>
              </w:rPr>
            </w:pPr>
          </w:p>
          <w:p>
            <w:pPr>
              <w:pStyle w:val="TableParagraph"/>
              <w:spacing w:before="122"/>
              <w:ind w:left="375"/>
              <w:rPr>
                <w:sz w:val="18"/>
              </w:rPr>
            </w:pPr>
            <w:r>
              <w:rPr>
                <w:sz w:val="18"/>
              </w:rPr>
              <w:t>575,222</w:t>
            </w:r>
          </w:p>
        </w:tc>
      </w:tr>
    </w:tbl>
    <w:p>
      <w:pPr>
        <w:pStyle w:val="BodyText"/>
        <w:spacing w:before="2"/>
        <w:rPr>
          <w:sz w:val="22"/>
        </w:rPr>
      </w:pPr>
    </w:p>
    <w:p>
      <w:pPr>
        <w:pStyle w:val="Heading9"/>
        <w:numPr>
          <w:ilvl w:val="0"/>
          <w:numId w:val="95"/>
        </w:numPr>
        <w:tabs>
          <w:tab w:pos="1112" w:val="left" w:leader="none"/>
        </w:tabs>
        <w:spacing w:line="240" w:lineRule="auto" w:before="77" w:after="0"/>
        <w:ind w:left="1111" w:right="0" w:hanging="566"/>
        <w:jc w:val="left"/>
      </w:pPr>
      <w:r>
        <w:rPr/>
        <w:t>Risk</w:t>
      </w:r>
      <w:r>
        <w:rPr>
          <w:spacing w:val="-1"/>
        </w:rPr>
        <w:t> </w:t>
      </w:r>
      <w:r>
        <w:rPr/>
        <w:t>exposure</w:t>
      </w:r>
    </w:p>
    <w:p>
      <w:pPr>
        <w:pStyle w:val="BodyText"/>
        <w:spacing w:before="4"/>
        <w:rPr>
          <w:b/>
          <w:sz w:val="25"/>
        </w:rPr>
      </w:pPr>
    </w:p>
    <w:p>
      <w:pPr>
        <w:pStyle w:val="BodyText"/>
        <w:ind w:left="544" w:right="97"/>
      </w:pPr>
      <w:r>
        <w:rPr/>
        <w:t>The Trust's exposure to interest rate risk is discussed in note 2. The maximum exposure to credit risk at the end of each reporting period is the carrying amount of each class of cash and cash equivalents mentioned above.</w:t>
      </w:r>
    </w:p>
    <w:p>
      <w:pPr>
        <w:pStyle w:val="BodyText"/>
        <w:spacing w:before="7"/>
        <w:rPr>
          <w:sz w:val="26"/>
        </w:rPr>
      </w:pPr>
    </w:p>
    <w:p>
      <w:pPr>
        <w:pStyle w:val="Heading9"/>
        <w:numPr>
          <w:ilvl w:val="0"/>
          <w:numId w:val="95"/>
        </w:numPr>
        <w:tabs>
          <w:tab w:pos="1112" w:val="left" w:leader="none"/>
        </w:tabs>
        <w:spacing w:line="240" w:lineRule="auto" w:before="0" w:after="0"/>
        <w:ind w:left="1111" w:right="0" w:hanging="566"/>
        <w:jc w:val="left"/>
      </w:pPr>
      <w:r>
        <w:rPr/>
        <w:t>Cash at bank and on hand</w:t>
      </w:r>
    </w:p>
    <w:p>
      <w:pPr>
        <w:pStyle w:val="BodyText"/>
        <w:spacing w:before="4"/>
        <w:rPr>
          <w:b/>
          <w:sz w:val="25"/>
        </w:rPr>
      </w:pPr>
    </w:p>
    <w:p>
      <w:pPr>
        <w:pStyle w:val="BodyText"/>
        <w:ind w:left="544" w:right="19"/>
      </w:pPr>
      <w:r>
        <w:rPr/>
        <w:t>Cash at bank is interest bearing and cash on hand is non-interest bearing.</w:t>
      </w:r>
    </w:p>
    <w:p>
      <w:pPr>
        <w:pStyle w:val="BodyText"/>
        <w:spacing w:before="7"/>
        <w:rPr>
          <w:sz w:val="26"/>
        </w:rPr>
      </w:pPr>
    </w:p>
    <w:p>
      <w:pPr>
        <w:pStyle w:val="Heading9"/>
        <w:numPr>
          <w:ilvl w:val="0"/>
          <w:numId w:val="95"/>
        </w:numPr>
        <w:tabs>
          <w:tab w:pos="1112" w:val="left" w:leader="none"/>
        </w:tabs>
        <w:spacing w:line="240" w:lineRule="auto" w:before="0" w:after="0"/>
        <w:ind w:left="1111" w:right="0" w:hanging="566"/>
        <w:jc w:val="left"/>
      </w:pPr>
      <w:r>
        <w:rPr/>
        <w:t>Fair value</w:t>
      </w:r>
    </w:p>
    <w:p>
      <w:pPr>
        <w:pStyle w:val="BodyText"/>
        <w:spacing w:before="4"/>
        <w:rPr>
          <w:b/>
          <w:sz w:val="25"/>
        </w:rPr>
      </w:pPr>
    </w:p>
    <w:p>
      <w:pPr>
        <w:pStyle w:val="BodyText"/>
        <w:ind w:left="544" w:right="19"/>
      </w:pPr>
      <w:r>
        <w:rPr/>
        <w:t>The carrying amount for cash and cash equivalents equals the fair value.</w:t>
      </w:r>
    </w:p>
    <w:p>
      <w:pPr>
        <w:spacing w:after="0"/>
        <w:sectPr>
          <w:pgSz w:w="11910" w:h="16840"/>
          <w:pgMar w:header="1038" w:footer="507" w:top="2520" w:bottom="700" w:left="860" w:right="860"/>
        </w:sectPr>
      </w:pPr>
    </w:p>
    <w:p>
      <w:pPr>
        <w:pStyle w:val="BodyText"/>
        <w:rPr>
          <w:sz w:val="20"/>
        </w:rPr>
      </w:pPr>
    </w:p>
    <w:p>
      <w:pPr>
        <w:pStyle w:val="BodyText"/>
        <w:rPr>
          <w:sz w:val="20"/>
        </w:rPr>
      </w:pPr>
    </w:p>
    <w:p>
      <w:pPr>
        <w:pStyle w:val="BodyText"/>
        <w:spacing w:before="8"/>
        <w:rPr>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7075"/>
        <w:gridCol w:w="2594"/>
      </w:tblGrid>
      <w:tr>
        <w:trPr>
          <w:trHeight w:val="498" w:hRule="exact"/>
        </w:trPr>
        <w:tc>
          <w:tcPr>
            <w:tcW w:w="282" w:type="dxa"/>
          </w:tcPr>
          <w:p>
            <w:pPr>
              <w:pStyle w:val="TableParagraph"/>
              <w:spacing w:before="77"/>
              <w:ind w:left="35"/>
              <w:rPr>
                <w:b/>
                <w:sz w:val="18"/>
              </w:rPr>
            </w:pPr>
            <w:r>
              <w:rPr>
                <w:b/>
                <w:w w:val="99"/>
                <w:sz w:val="18"/>
              </w:rPr>
              <w:t>8</w:t>
            </w:r>
          </w:p>
        </w:tc>
        <w:tc>
          <w:tcPr>
            <w:tcW w:w="7075" w:type="dxa"/>
          </w:tcPr>
          <w:p>
            <w:pPr>
              <w:pStyle w:val="TableParagraph"/>
              <w:spacing w:before="77"/>
              <w:ind w:left="148"/>
              <w:rPr>
                <w:b/>
                <w:sz w:val="18"/>
              </w:rPr>
            </w:pPr>
            <w:r>
              <w:rPr>
                <w:b/>
                <w:sz w:val="18"/>
              </w:rPr>
              <w:t>Property, plant and equipment</w:t>
            </w:r>
          </w:p>
        </w:tc>
        <w:tc>
          <w:tcPr>
            <w:tcW w:w="2594" w:type="dxa"/>
          </w:tcPr>
          <w:p>
            <w:pPr>
              <w:pStyle w:val="TableParagraph"/>
              <w:spacing w:before="7"/>
              <w:rPr>
                <w:sz w:val="24"/>
              </w:rPr>
            </w:pPr>
          </w:p>
          <w:p>
            <w:pPr>
              <w:pStyle w:val="TableParagraph"/>
              <w:tabs>
                <w:tab w:pos="1717" w:val="left" w:leader="none"/>
              </w:tabs>
              <w:ind w:left="344"/>
              <w:rPr>
                <w:b/>
                <w:sz w:val="18"/>
              </w:rPr>
            </w:pPr>
            <w:r>
              <w:rPr>
                <w:b/>
                <w:sz w:val="18"/>
              </w:rPr>
              <w:t>Library</w:t>
              <w:tab/>
              <w:t>Total</w:t>
            </w:r>
          </w:p>
        </w:tc>
      </w:tr>
      <w:tr>
        <w:trPr>
          <w:trHeight w:val="185" w:hRule="exact"/>
        </w:trPr>
        <w:tc>
          <w:tcPr>
            <w:tcW w:w="282" w:type="dxa"/>
          </w:tcPr>
          <w:p>
            <w:pPr/>
          </w:p>
        </w:tc>
        <w:tc>
          <w:tcPr>
            <w:tcW w:w="7075" w:type="dxa"/>
          </w:tcPr>
          <w:p>
            <w:pPr/>
          </w:p>
        </w:tc>
        <w:tc>
          <w:tcPr>
            <w:tcW w:w="2594" w:type="dxa"/>
          </w:tcPr>
          <w:p>
            <w:pPr>
              <w:pStyle w:val="TableParagraph"/>
              <w:tabs>
                <w:tab w:pos="1887" w:val="left" w:leader="none"/>
              </w:tabs>
              <w:spacing w:line="175" w:lineRule="exact"/>
              <w:ind w:left="603"/>
              <w:rPr>
                <w:b/>
                <w:sz w:val="16"/>
              </w:rPr>
            </w:pPr>
            <w:r>
              <w:rPr>
                <w:b/>
                <w:sz w:val="16"/>
              </w:rPr>
              <w:t>$</w:t>
              <w:tab/>
              <w:t>$</w:t>
            </w:r>
          </w:p>
        </w:tc>
      </w:tr>
      <w:tr>
        <w:trPr>
          <w:trHeight w:val="418" w:hRule="exact"/>
        </w:trPr>
        <w:tc>
          <w:tcPr>
            <w:tcW w:w="282" w:type="dxa"/>
          </w:tcPr>
          <w:p>
            <w:pPr/>
          </w:p>
        </w:tc>
        <w:tc>
          <w:tcPr>
            <w:tcW w:w="7075" w:type="dxa"/>
          </w:tcPr>
          <w:p>
            <w:pPr>
              <w:pStyle w:val="TableParagraph"/>
              <w:spacing w:line="197" w:lineRule="exact"/>
              <w:ind w:left="147"/>
              <w:rPr>
                <w:b/>
                <w:sz w:val="18"/>
              </w:rPr>
            </w:pPr>
            <w:r>
              <w:rPr>
                <w:b/>
                <w:sz w:val="18"/>
              </w:rPr>
              <w:t>At 1 January 2016</w:t>
            </w:r>
          </w:p>
          <w:p>
            <w:pPr>
              <w:pStyle w:val="TableParagraph"/>
              <w:spacing w:line="207" w:lineRule="exact"/>
              <w:ind w:left="147"/>
              <w:rPr>
                <w:rFonts w:ascii="Microsoft Sans Serif"/>
                <w:sz w:val="18"/>
              </w:rPr>
            </w:pPr>
            <w:r>
              <w:rPr>
                <w:sz w:val="18"/>
              </w:rPr>
              <w:t>Valuation</w:t>
            </w:r>
            <w:r>
              <w:rPr>
                <w:rFonts w:ascii="Microsoft Sans Serif"/>
                <w:sz w:val="18"/>
              </w:rPr>
              <w:t> </w:t>
            </w:r>
          </w:p>
        </w:tc>
        <w:tc>
          <w:tcPr>
            <w:tcW w:w="2594" w:type="dxa"/>
          </w:tcPr>
          <w:p>
            <w:pPr>
              <w:pStyle w:val="TableParagraph"/>
              <w:spacing w:before="1"/>
              <w:rPr>
                <w:sz w:val="17"/>
              </w:rPr>
            </w:pPr>
          </w:p>
          <w:p>
            <w:pPr>
              <w:pStyle w:val="TableParagraph"/>
              <w:tabs>
                <w:tab w:pos="560" w:val="left" w:leader="none"/>
                <w:tab w:pos="1858" w:val="left" w:leader="none"/>
              </w:tabs>
              <w:ind w:right="83"/>
              <w:jc w:val="right"/>
              <w:rPr>
                <w:sz w:val="18"/>
              </w:rPr>
            </w:pPr>
            <w:r>
              <w:rPr>
                <w:rFonts w:ascii="Times New Roman"/>
                <w:sz w:val="18"/>
                <w:u w:val="single"/>
              </w:rPr>
              <w:t> </w:t>
              <w:tab/>
            </w:r>
            <w:r>
              <w:rPr>
                <w:sz w:val="18"/>
                <w:u w:val="single"/>
              </w:rPr>
              <w:t>778,827</w:t>
              <w:tab/>
            </w:r>
            <w:r>
              <w:rPr>
                <w:w w:val="95"/>
                <w:sz w:val="18"/>
                <w:u w:val="single"/>
              </w:rPr>
              <w:t>778,827</w:t>
            </w:r>
          </w:p>
        </w:tc>
      </w:tr>
      <w:tr>
        <w:trPr>
          <w:trHeight w:val="291" w:hRule="exact"/>
        </w:trPr>
        <w:tc>
          <w:tcPr>
            <w:tcW w:w="282" w:type="dxa"/>
          </w:tcPr>
          <w:p>
            <w:pPr/>
          </w:p>
        </w:tc>
        <w:tc>
          <w:tcPr>
            <w:tcW w:w="7075" w:type="dxa"/>
          </w:tcPr>
          <w:p>
            <w:pPr>
              <w:pStyle w:val="TableParagraph"/>
              <w:spacing w:line="202" w:lineRule="exact"/>
              <w:ind w:left="147"/>
              <w:rPr>
                <w:sz w:val="18"/>
              </w:rPr>
            </w:pPr>
            <w:r>
              <w:rPr>
                <w:sz w:val="18"/>
              </w:rPr>
              <w:t>Net book amount</w:t>
            </w:r>
          </w:p>
        </w:tc>
        <w:tc>
          <w:tcPr>
            <w:tcW w:w="2594" w:type="dxa"/>
          </w:tcPr>
          <w:p>
            <w:pPr>
              <w:pStyle w:val="TableParagraph"/>
              <w:tabs>
                <w:tab w:pos="560" w:val="left" w:leader="none"/>
                <w:tab w:pos="1858" w:val="left" w:leader="none"/>
              </w:tabs>
              <w:spacing w:line="202" w:lineRule="exact"/>
              <w:ind w:right="83"/>
              <w:jc w:val="right"/>
              <w:rPr>
                <w:sz w:val="18"/>
              </w:rPr>
            </w:pPr>
            <w:r>
              <w:rPr>
                <w:rFonts w:ascii="Times New Roman"/>
                <w:sz w:val="18"/>
                <w:u w:val="single"/>
              </w:rPr>
              <w:t> </w:t>
              <w:tab/>
            </w:r>
            <w:r>
              <w:rPr>
                <w:sz w:val="18"/>
                <w:u w:val="single"/>
              </w:rPr>
              <w:t>778,827</w:t>
              <w:tab/>
            </w:r>
            <w:r>
              <w:rPr>
                <w:w w:val="95"/>
                <w:sz w:val="18"/>
                <w:u w:val="single"/>
              </w:rPr>
              <w:t>778,827</w:t>
            </w:r>
          </w:p>
        </w:tc>
      </w:tr>
      <w:tr>
        <w:trPr>
          <w:trHeight w:val="492" w:hRule="exact"/>
        </w:trPr>
        <w:tc>
          <w:tcPr>
            <w:tcW w:w="282" w:type="dxa"/>
          </w:tcPr>
          <w:p>
            <w:pPr/>
          </w:p>
        </w:tc>
        <w:tc>
          <w:tcPr>
            <w:tcW w:w="7075" w:type="dxa"/>
          </w:tcPr>
          <w:p>
            <w:pPr>
              <w:pStyle w:val="TableParagraph"/>
              <w:spacing w:line="207" w:lineRule="exact" w:before="69"/>
              <w:ind w:left="147"/>
              <w:rPr>
                <w:b/>
                <w:sz w:val="18"/>
              </w:rPr>
            </w:pPr>
            <w:r>
              <w:rPr>
                <w:b/>
                <w:sz w:val="18"/>
              </w:rPr>
              <w:t>Year ended 31 December 2016</w:t>
            </w:r>
          </w:p>
          <w:p>
            <w:pPr>
              <w:pStyle w:val="TableParagraph"/>
              <w:spacing w:line="207" w:lineRule="exact"/>
              <w:ind w:left="147"/>
              <w:rPr>
                <w:rFonts w:ascii="Microsoft Sans Serif"/>
                <w:sz w:val="18"/>
              </w:rPr>
            </w:pPr>
            <w:r>
              <w:rPr>
                <w:sz w:val="18"/>
              </w:rPr>
              <w:t>Opening net book amount</w:t>
            </w:r>
            <w:r>
              <w:rPr>
                <w:rFonts w:ascii="Microsoft Sans Serif"/>
                <w:sz w:val="18"/>
              </w:rPr>
              <w:t> </w:t>
            </w:r>
          </w:p>
        </w:tc>
        <w:tc>
          <w:tcPr>
            <w:tcW w:w="2594" w:type="dxa"/>
          </w:tcPr>
          <w:p>
            <w:pPr>
              <w:pStyle w:val="TableParagraph"/>
              <w:spacing w:before="11"/>
              <w:rPr>
                <w:sz w:val="23"/>
              </w:rPr>
            </w:pPr>
          </w:p>
          <w:p>
            <w:pPr>
              <w:pStyle w:val="TableParagraph"/>
              <w:tabs>
                <w:tab w:pos="1297" w:val="left" w:leader="none"/>
              </w:tabs>
              <w:ind w:right="81"/>
              <w:jc w:val="right"/>
              <w:rPr>
                <w:sz w:val="18"/>
              </w:rPr>
            </w:pPr>
            <w:r>
              <w:rPr>
                <w:sz w:val="18"/>
              </w:rPr>
              <w:t>778,827</w:t>
              <w:tab/>
            </w:r>
            <w:r>
              <w:rPr>
                <w:spacing w:val="-1"/>
                <w:w w:val="95"/>
                <w:sz w:val="18"/>
              </w:rPr>
              <w:t>778,827</w:t>
            </w:r>
          </w:p>
        </w:tc>
      </w:tr>
      <w:tr>
        <w:trPr>
          <w:trHeight w:val="216" w:hRule="exact"/>
        </w:trPr>
        <w:tc>
          <w:tcPr>
            <w:tcW w:w="282" w:type="dxa"/>
          </w:tcPr>
          <w:p>
            <w:pPr/>
          </w:p>
        </w:tc>
        <w:tc>
          <w:tcPr>
            <w:tcW w:w="7075" w:type="dxa"/>
          </w:tcPr>
          <w:p>
            <w:pPr>
              <w:pStyle w:val="TableParagraph"/>
              <w:spacing w:line="197" w:lineRule="exact"/>
              <w:ind w:left="147"/>
              <w:rPr>
                <w:sz w:val="18"/>
              </w:rPr>
            </w:pPr>
            <w:r>
              <w:rPr>
                <w:sz w:val="18"/>
              </w:rPr>
              <w:t>Revaluation surplus</w:t>
            </w:r>
          </w:p>
        </w:tc>
        <w:tc>
          <w:tcPr>
            <w:tcW w:w="2594" w:type="dxa"/>
          </w:tcPr>
          <w:p>
            <w:pPr>
              <w:pStyle w:val="TableParagraph"/>
              <w:tabs>
                <w:tab w:pos="1298" w:val="left" w:leader="none"/>
              </w:tabs>
              <w:spacing w:line="197" w:lineRule="exact"/>
              <w:ind w:right="83"/>
              <w:jc w:val="right"/>
              <w:rPr>
                <w:sz w:val="18"/>
              </w:rPr>
            </w:pPr>
            <w:r>
              <w:rPr>
                <w:sz w:val="18"/>
              </w:rPr>
              <w:t>20,040</w:t>
              <w:tab/>
            </w:r>
            <w:r>
              <w:rPr>
                <w:w w:val="95"/>
                <w:sz w:val="18"/>
              </w:rPr>
              <w:t>20,040</w:t>
            </w:r>
          </w:p>
        </w:tc>
      </w:tr>
      <w:tr>
        <w:trPr>
          <w:trHeight w:val="221" w:hRule="exact"/>
        </w:trPr>
        <w:tc>
          <w:tcPr>
            <w:tcW w:w="282" w:type="dxa"/>
          </w:tcPr>
          <w:p>
            <w:pPr/>
          </w:p>
        </w:tc>
        <w:tc>
          <w:tcPr>
            <w:tcW w:w="7075" w:type="dxa"/>
          </w:tcPr>
          <w:p>
            <w:pPr>
              <w:pStyle w:val="TableParagraph"/>
              <w:spacing w:line="207" w:lineRule="exact"/>
              <w:ind w:left="147"/>
              <w:rPr>
                <w:sz w:val="18"/>
              </w:rPr>
            </w:pPr>
            <w:r>
              <w:rPr>
                <w:sz w:val="18"/>
              </w:rPr>
              <w:t>Additions</w:t>
            </w:r>
          </w:p>
        </w:tc>
        <w:tc>
          <w:tcPr>
            <w:tcW w:w="2594" w:type="dxa"/>
          </w:tcPr>
          <w:p>
            <w:pPr>
              <w:pStyle w:val="TableParagraph"/>
              <w:tabs>
                <w:tab w:pos="659" w:val="left" w:leader="none"/>
                <w:tab w:pos="1958" w:val="left" w:leader="none"/>
              </w:tabs>
              <w:spacing w:line="207" w:lineRule="exact"/>
              <w:ind w:right="83"/>
              <w:jc w:val="right"/>
              <w:rPr>
                <w:sz w:val="18"/>
              </w:rPr>
            </w:pPr>
            <w:r>
              <w:rPr>
                <w:rFonts w:ascii="Times New Roman"/>
                <w:sz w:val="18"/>
                <w:u w:val="single"/>
              </w:rPr>
              <w:t> </w:t>
              <w:tab/>
            </w:r>
            <w:r>
              <w:rPr>
                <w:sz w:val="18"/>
                <w:u w:val="single"/>
              </w:rPr>
              <w:t>31,575</w:t>
              <w:tab/>
            </w:r>
            <w:r>
              <w:rPr>
                <w:w w:val="95"/>
                <w:sz w:val="18"/>
                <w:u w:val="single"/>
              </w:rPr>
              <w:t>31,575</w:t>
            </w:r>
          </w:p>
        </w:tc>
      </w:tr>
      <w:tr>
        <w:trPr>
          <w:trHeight w:val="291" w:hRule="exact"/>
        </w:trPr>
        <w:tc>
          <w:tcPr>
            <w:tcW w:w="282" w:type="dxa"/>
          </w:tcPr>
          <w:p>
            <w:pPr/>
          </w:p>
        </w:tc>
        <w:tc>
          <w:tcPr>
            <w:tcW w:w="7075" w:type="dxa"/>
          </w:tcPr>
          <w:p>
            <w:pPr>
              <w:pStyle w:val="TableParagraph"/>
              <w:spacing w:line="201" w:lineRule="exact"/>
              <w:ind w:left="147"/>
              <w:rPr>
                <w:sz w:val="18"/>
              </w:rPr>
            </w:pPr>
            <w:r>
              <w:rPr>
                <w:sz w:val="18"/>
              </w:rPr>
              <w:t>Closing net book amount</w:t>
            </w:r>
          </w:p>
        </w:tc>
        <w:tc>
          <w:tcPr>
            <w:tcW w:w="2594" w:type="dxa"/>
          </w:tcPr>
          <w:p>
            <w:pPr>
              <w:pStyle w:val="TableParagraph"/>
              <w:tabs>
                <w:tab w:pos="560" w:val="left" w:leader="none"/>
                <w:tab w:pos="1858" w:val="left" w:leader="none"/>
              </w:tabs>
              <w:spacing w:line="201" w:lineRule="exact"/>
              <w:ind w:right="83"/>
              <w:jc w:val="right"/>
              <w:rPr>
                <w:sz w:val="18"/>
              </w:rPr>
            </w:pPr>
            <w:r>
              <w:rPr>
                <w:rFonts w:ascii="Times New Roman"/>
                <w:sz w:val="18"/>
                <w:u w:val="single"/>
              </w:rPr>
              <w:t> </w:t>
              <w:tab/>
            </w:r>
            <w:r>
              <w:rPr>
                <w:sz w:val="18"/>
                <w:u w:val="single"/>
              </w:rPr>
              <w:t>830,442</w:t>
              <w:tab/>
            </w:r>
            <w:r>
              <w:rPr>
                <w:w w:val="95"/>
                <w:sz w:val="18"/>
                <w:u w:val="single"/>
              </w:rPr>
              <w:t>830,442</w:t>
            </w:r>
          </w:p>
        </w:tc>
      </w:tr>
      <w:tr>
        <w:trPr>
          <w:trHeight w:val="286" w:hRule="exact"/>
        </w:trPr>
        <w:tc>
          <w:tcPr>
            <w:tcW w:w="282" w:type="dxa"/>
          </w:tcPr>
          <w:p>
            <w:pPr/>
          </w:p>
        </w:tc>
        <w:tc>
          <w:tcPr>
            <w:tcW w:w="7075" w:type="dxa"/>
          </w:tcPr>
          <w:p>
            <w:pPr>
              <w:pStyle w:val="TableParagraph"/>
              <w:spacing w:before="69"/>
              <w:ind w:left="147"/>
              <w:rPr>
                <w:b/>
                <w:sz w:val="18"/>
              </w:rPr>
            </w:pPr>
            <w:r>
              <w:rPr>
                <w:b/>
                <w:sz w:val="18"/>
              </w:rPr>
              <w:t>At 31 December 2016</w:t>
            </w:r>
          </w:p>
        </w:tc>
        <w:tc>
          <w:tcPr>
            <w:tcW w:w="2594" w:type="dxa"/>
          </w:tcPr>
          <w:p>
            <w:pPr/>
          </w:p>
        </w:tc>
      </w:tr>
      <w:tr>
        <w:trPr>
          <w:trHeight w:val="212" w:hRule="exact"/>
        </w:trPr>
        <w:tc>
          <w:tcPr>
            <w:tcW w:w="282" w:type="dxa"/>
          </w:tcPr>
          <w:p>
            <w:pPr/>
          </w:p>
        </w:tc>
        <w:tc>
          <w:tcPr>
            <w:tcW w:w="7075" w:type="dxa"/>
          </w:tcPr>
          <w:p>
            <w:pPr>
              <w:pStyle w:val="TableParagraph"/>
              <w:spacing w:line="197" w:lineRule="exact"/>
              <w:ind w:left="147"/>
              <w:rPr>
                <w:sz w:val="18"/>
              </w:rPr>
            </w:pPr>
            <w:r>
              <w:rPr>
                <w:sz w:val="18"/>
              </w:rPr>
              <w:t>Valuation</w:t>
            </w:r>
          </w:p>
        </w:tc>
        <w:tc>
          <w:tcPr>
            <w:tcW w:w="2594" w:type="dxa"/>
          </w:tcPr>
          <w:p>
            <w:pPr>
              <w:pStyle w:val="TableParagraph"/>
              <w:tabs>
                <w:tab w:pos="560" w:val="left" w:leader="none"/>
                <w:tab w:pos="1858" w:val="left" w:leader="none"/>
              </w:tabs>
              <w:spacing w:line="197" w:lineRule="exact"/>
              <w:ind w:right="83"/>
              <w:jc w:val="right"/>
              <w:rPr>
                <w:sz w:val="18"/>
              </w:rPr>
            </w:pPr>
            <w:r>
              <w:rPr>
                <w:rFonts w:ascii="Times New Roman"/>
                <w:sz w:val="18"/>
                <w:u w:val="single"/>
              </w:rPr>
              <w:t> </w:t>
              <w:tab/>
            </w:r>
            <w:r>
              <w:rPr>
                <w:sz w:val="18"/>
                <w:u w:val="single"/>
              </w:rPr>
              <w:t>830,442</w:t>
              <w:tab/>
            </w:r>
            <w:r>
              <w:rPr>
                <w:w w:val="95"/>
                <w:sz w:val="18"/>
                <w:u w:val="single"/>
              </w:rPr>
              <w:t>830,442</w:t>
            </w:r>
          </w:p>
        </w:tc>
      </w:tr>
      <w:tr>
        <w:trPr>
          <w:trHeight w:val="291" w:hRule="exact"/>
        </w:trPr>
        <w:tc>
          <w:tcPr>
            <w:tcW w:w="282" w:type="dxa"/>
          </w:tcPr>
          <w:p>
            <w:pPr/>
          </w:p>
        </w:tc>
        <w:tc>
          <w:tcPr>
            <w:tcW w:w="7075" w:type="dxa"/>
          </w:tcPr>
          <w:p>
            <w:pPr>
              <w:pStyle w:val="TableParagraph"/>
              <w:spacing w:line="201" w:lineRule="exact"/>
              <w:ind w:left="147"/>
              <w:rPr>
                <w:sz w:val="18"/>
              </w:rPr>
            </w:pPr>
            <w:r>
              <w:rPr>
                <w:sz w:val="18"/>
              </w:rPr>
              <w:t>Net book amount</w:t>
            </w:r>
          </w:p>
        </w:tc>
        <w:tc>
          <w:tcPr>
            <w:tcW w:w="2594" w:type="dxa"/>
          </w:tcPr>
          <w:p>
            <w:pPr>
              <w:pStyle w:val="TableParagraph"/>
              <w:tabs>
                <w:tab w:pos="560" w:val="left" w:leader="none"/>
                <w:tab w:pos="1858" w:val="left" w:leader="none"/>
              </w:tabs>
              <w:spacing w:line="201" w:lineRule="exact"/>
              <w:ind w:right="83"/>
              <w:jc w:val="right"/>
              <w:rPr>
                <w:sz w:val="18"/>
              </w:rPr>
            </w:pPr>
            <w:r>
              <w:rPr>
                <w:rFonts w:ascii="Times New Roman"/>
                <w:sz w:val="18"/>
                <w:u w:val="single"/>
              </w:rPr>
              <w:t> </w:t>
              <w:tab/>
            </w:r>
            <w:r>
              <w:rPr>
                <w:sz w:val="18"/>
                <w:u w:val="single"/>
              </w:rPr>
              <w:t>830,442</w:t>
              <w:tab/>
            </w:r>
            <w:r>
              <w:rPr>
                <w:w w:val="95"/>
                <w:sz w:val="18"/>
                <w:u w:val="single"/>
              </w:rPr>
              <w:t>830,442</w:t>
            </w:r>
          </w:p>
        </w:tc>
      </w:tr>
      <w:tr>
        <w:trPr>
          <w:trHeight w:val="294" w:hRule="exact"/>
        </w:trPr>
        <w:tc>
          <w:tcPr>
            <w:tcW w:w="282" w:type="dxa"/>
          </w:tcPr>
          <w:p>
            <w:pPr/>
          </w:p>
        </w:tc>
        <w:tc>
          <w:tcPr>
            <w:tcW w:w="7075" w:type="dxa"/>
          </w:tcPr>
          <w:p>
            <w:pPr>
              <w:pStyle w:val="TableParagraph"/>
              <w:spacing w:before="69"/>
              <w:ind w:left="147"/>
              <w:rPr>
                <w:b/>
                <w:sz w:val="18"/>
              </w:rPr>
            </w:pPr>
            <w:r>
              <w:rPr>
                <w:b/>
                <w:sz w:val="18"/>
              </w:rPr>
              <w:t>Year ended 31 December 2017</w:t>
            </w:r>
          </w:p>
        </w:tc>
        <w:tc>
          <w:tcPr>
            <w:tcW w:w="2594" w:type="dxa"/>
          </w:tcPr>
          <w:p>
            <w:pPr/>
          </w:p>
        </w:tc>
      </w:tr>
      <w:tr>
        <w:trPr>
          <w:trHeight w:val="218" w:hRule="exact"/>
        </w:trPr>
        <w:tc>
          <w:tcPr>
            <w:tcW w:w="282" w:type="dxa"/>
          </w:tcPr>
          <w:p>
            <w:pPr/>
          </w:p>
        </w:tc>
        <w:tc>
          <w:tcPr>
            <w:tcW w:w="7075" w:type="dxa"/>
          </w:tcPr>
          <w:p>
            <w:pPr>
              <w:pStyle w:val="TableParagraph"/>
              <w:spacing w:before="1"/>
              <w:ind w:left="147"/>
              <w:rPr>
                <w:rFonts w:ascii="Microsoft Sans Serif"/>
                <w:sz w:val="18"/>
              </w:rPr>
            </w:pPr>
            <w:r>
              <w:rPr>
                <w:sz w:val="18"/>
              </w:rPr>
              <w:t>Opening net book amount</w:t>
            </w:r>
            <w:r>
              <w:rPr>
                <w:rFonts w:ascii="Microsoft Sans Serif"/>
                <w:sz w:val="18"/>
              </w:rPr>
              <w:t> </w:t>
            </w:r>
          </w:p>
        </w:tc>
        <w:tc>
          <w:tcPr>
            <w:tcW w:w="2594" w:type="dxa"/>
          </w:tcPr>
          <w:p>
            <w:pPr>
              <w:pStyle w:val="TableParagraph"/>
              <w:tabs>
                <w:tab w:pos="1297" w:val="left" w:leader="none"/>
              </w:tabs>
              <w:spacing w:before="1"/>
              <w:ind w:right="81"/>
              <w:jc w:val="right"/>
              <w:rPr>
                <w:sz w:val="18"/>
              </w:rPr>
            </w:pPr>
            <w:r>
              <w:rPr>
                <w:sz w:val="18"/>
              </w:rPr>
              <w:t>830,442</w:t>
              <w:tab/>
            </w:r>
            <w:r>
              <w:rPr>
                <w:spacing w:val="-1"/>
                <w:w w:val="95"/>
                <w:sz w:val="18"/>
              </w:rPr>
              <w:t>830,442</w:t>
            </w:r>
          </w:p>
        </w:tc>
      </w:tr>
      <w:tr>
        <w:trPr>
          <w:trHeight w:val="206" w:hRule="exact"/>
        </w:trPr>
        <w:tc>
          <w:tcPr>
            <w:tcW w:w="282" w:type="dxa"/>
          </w:tcPr>
          <w:p>
            <w:pPr/>
          </w:p>
        </w:tc>
        <w:tc>
          <w:tcPr>
            <w:tcW w:w="7075" w:type="dxa"/>
          </w:tcPr>
          <w:p>
            <w:pPr>
              <w:pStyle w:val="TableParagraph"/>
              <w:spacing w:line="197" w:lineRule="exact"/>
              <w:ind w:left="147"/>
              <w:rPr>
                <w:sz w:val="18"/>
              </w:rPr>
            </w:pPr>
            <w:r>
              <w:rPr>
                <w:sz w:val="18"/>
              </w:rPr>
              <w:t>Revaluation surplus</w:t>
            </w:r>
          </w:p>
        </w:tc>
        <w:tc>
          <w:tcPr>
            <w:tcW w:w="2594" w:type="dxa"/>
          </w:tcPr>
          <w:p>
            <w:pPr>
              <w:pStyle w:val="TableParagraph"/>
              <w:tabs>
                <w:tab w:pos="1298" w:val="left" w:leader="none"/>
              </w:tabs>
              <w:spacing w:line="197" w:lineRule="exact"/>
              <w:ind w:right="85"/>
              <w:jc w:val="right"/>
              <w:rPr>
                <w:sz w:val="18"/>
              </w:rPr>
            </w:pPr>
            <w:r>
              <w:rPr>
                <w:sz w:val="18"/>
              </w:rPr>
              <w:t>-</w:t>
              <w:tab/>
            </w:r>
            <w:r>
              <w:rPr>
                <w:spacing w:val="-1"/>
                <w:sz w:val="18"/>
              </w:rPr>
              <w:t>-</w:t>
            </w:r>
          </w:p>
        </w:tc>
      </w:tr>
      <w:tr>
        <w:trPr>
          <w:trHeight w:val="212" w:hRule="exact"/>
        </w:trPr>
        <w:tc>
          <w:tcPr>
            <w:tcW w:w="282" w:type="dxa"/>
          </w:tcPr>
          <w:p>
            <w:pPr/>
          </w:p>
        </w:tc>
        <w:tc>
          <w:tcPr>
            <w:tcW w:w="7075" w:type="dxa"/>
          </w:tcPr>
          <w:p>
            <w:pPr>
              <w:pStyle w:val="TableParagraph"/>
              <w:spacing w:line="197" w:lineRule="exact"/>
              <w:ind w:left="147"/>
              <w:rPr>
                <w:sz w:val="18"/>
              </w:rPr>
            </w:pPr>
            <w:r>
              <w:rPr>
                <w:sz w:val="18"/>
              </w:rPr>
              <w:t>Additions</w:t>
            </w:r>
          </w:p>
        </w:tc>
        <w:tc>
          <w:tcPr>
            <w:tcW w:w="2594" w:type="dxa"/>
          </w:tcPr>
          <w:p>
            <w:pPr>
              <w:pStyle w:val="TableParagraph"/>
              <w:tabs>
                <w:tab w:pos="659" w:val="left" w:leader="none"/>
                <w:tab w:pos="1958" w:val="left" w:leader="none"/>
              </w:tabs>
              <w:spacing w:line="197" w:lineRule="exact"/>
              <w:ind w:right="83"/>
              <w:jc w:val="right"/>
              <w:rPr>
                <w:sz w:val="18"/>
              </w:rPr>
            </w:pPr>
            <w:r>
              <w:rPr>
                <w:rFonts w:ascii="Times New Roman"/>
                <w:sz w:val="18"/>
                <w:u w:val="single"/>
              </w:rPr>
              <w:t> </w:t>
              <w:tab/>
            </w:r>
            <w:r>
              <w:rPr>
                <w:sz w:val="18"/>
                <w:u w:val="single"/>
              </w:rPr>
              <w:t>30,730</w:t>
              <w:tab/>
            </w:r>
            <w:r>
              <w:rPr>
                <w:w w:val="95"/>
                <w:sz w:val="18"/>
                <w:u w:val="single"/>
              </w:rPr>
              <w:t>30,730</w:t>
            </w:r>
          </w:p>
        </w:tc>
      </w:tr>
      <w:tr>
        <w:trPr>
          <w:trHeight w:val="291" w:hRule="exact"/>
        </w:trPr>
        <w:tc>
          <w:tcPr>
            <w:tcW w:w="282" w:type="dxa"/>
          </w:tcPr>
          <w:p>
            <w:pPr/>
          </w:p>
        </w:tc>
        <w:tc>
          <w:tcPr>
            <w:tcW w:w="7075" w:type="dxa"/>
          </w:tcPr>
          <w:p>
            <w:pPr>
              <w:pStyle w:val="TableParagraph"/>
              <w:spacing w:line="201" w:lineRule="exact"/>
              <w:ind w:left="147"/>
              <w:rPr>
                <w:sz w:val="18"/>
              </w:rPr>
            </w:pPr>
            <w:r>
              <w:rPr>
                <w:sz w:val="18"/>
              </w:rPr>
              <w:t>Closing net book amount</w:t>
            </w:r>
          </w:p>
        </w:tc>
        <w:tc>
          <w:tcPr>
            <w:tcW w:w="2594" w:type="dxa"/>
          </w:tcPr>
          <w:p>
            <w:pPr>
              <w:pStyle w:val="TableParagraph"/>
              <w:tabs>
                <w:tab w:pos="560" w:val="left" w:leader="none"/>
                <w:tab w:pos="1858" w:val="left" w:leader="none"/>
              </w:tabs>
              <w:spacing w:line="201" w:lineRule="exact"/>
              <w:ind w:right="83"/>
              <w:jc w:val="right"/>
              <w:rPr>
                <w:sz w:val="18"/>
              </w:rPr>
            </w:pPr>
            <w:r>
              <w:rPr>
                <w:rFonts w:ascii="Times New Roman"/>
                <w:sz w:val="18"/>
                <w:u w:val="single"/>
              </w:rPr>
              <w:t> </w:t>
              <w:tab/>
            </w:r>
            <w:r>
              <w:rPr>
                <w:sz w:val="18"/>
                <w:u w:val="single"/>
              </w:rPr>
              <w:t>861,172</w:t>
              <w:tab/>
            </w:r>
            <w:r>
              <w:rPr>
                <w:w w:val="95"/>
                <w:sz w:val="18"/>
                <w:u w:val="single"/>
              </w:rPr>
              <w:t>861,172</w:t>
            </w:r>
          </w:p>
        </w:tc>
      </w:tr>
      <w:tr>
        <w:trPr>
          <w:trHeight w:val="286" w:hRule="exact"/>
        </w:trPr>
        <w:tc>
          <w:tcPr>
            <w:tcW w:w="282" w:type="dxa"/>
          </w:tcPr>
          <w:p>
            <w:pPr/>
          </w:p>
        </w:tc>
        <w:tc>
          <w:tcPr>
            <w:tcW w:w="7075" w:type="dxa"/>
          </w:tcPr>
          <w:p>
            <w:pPr>
              <w:pStyle w:val="TableParagraph"/>
              <w:spacing w:before="69"/>
              <w:ind w:left="147"/>
              <w:rPr>
                <w:b/>
                <w:sz w:val="18"/>
              </w:rPr>
            </w:pPr>
            <w:r>
              <w:rPr>
                <w:b/>
                <w:sz w:val="18"/>
              </w:rPr>
              <w:t>At 31 December 2017</w:t>
            </w:r>
          </w:p>
        </w:tc>
        <w:tc>
          <w:tcPr>
            <w:tcW w:w="2594" w:type="dxa"/>
          </w:tcPr>
          <w:p>
            <w:pPr/>
          </w:p>
        </w:tc>
      </w:tr>
      <w:tr>
        <w:trPr>
          <w:trHeight w:val="212" w:hRule="exact"/>
        </w:trPr>
        <w:tc>
          <w:tcPr>
            <w:tcW w:w="282" w:type="dxa"/>
          </w:tcPr>
          <w:p>
            <w:pPr/>
          </w:p>
        </w:tc>
        <w:tc>
          <w:tcPr>
            <w:tcW w:w="7075" w:type="dxa"/>
          </w:tcPr>
          <w:p>
            <w:pPr>
              <w:pStyle w:val="TableParagraph"/>
              <w:spacing w:line="197" w:lineRule="exact"/>
              <w:ind w:left="147"/>
              <w:rPr>
                <w:sz w:val="18"/>
              </w:rPr>
            </w:pPr>
            <w:r>
              <w:rPr>
                <w:sz w:val="18"/>
              </w:rPr>
              <w:t>Valuation</w:t>
            </w:r>
          </w:p>
        </w:tc>
        <w:tc>
          <w:tcPr>
            <w:tcW w:w="2594" w:type="dxa"/>
          </w:tcPr>
          <w:p>
            <w:pPr>
              <w:pStyle w:val="TableParagraph"/>
              <w:tabs>
                <w:tab w:pos="560" w:val="left" w:leader="none"/>
                <w:tab w:pos="1858" w:val="left" w:leader="none"/>
              </w:tabs>
              <w:spacing w:line="197" w:lineRule="exact"/>
              <w:ind w:right="83"/>
              <w:jc w:val="right"/>
              <w:rPr>
                <w:sz w:val="18"/>
              </w:rPr>
            </w:pPr>
            <w:r>
              <w:rPr>
                <w:rFonts w:ascii="Times New Roman"/>
                <w:sz w:val="18"/>
                <w:u w:val="single"/>
              </w:rPr>
              <w:t> </w:t>
              <w:tab/>
            </w:r>
            <w:r>
              <w:rPr>
                <w:sz w:val="18"/>
                <w:u w:val="single"/>
              </w:rPr>
              <w:t>861,172</w:t>
              <w:tab/>
            </w:r>
            <w:r>
              <w:rPr>
                <w:w w:val="95"/>
                <w:sz w:val="18"/>
                <w:u w:val="single"/>
              </w:rPr>
              <w:t>861,172</w:t>
            </w:r>
          </w:p>
        </w:tc>
      </w:tr>
      <w:tr>
        <w:trPr>
          <w:trHeight w:val="365" w:hRule="exact"/>
        </w:trPr>
        <w:tc>
          <w:tcPr>
            <w:tcW w:w="282" w:type="dxa"/>
          </w:tcPr>
          <w:p>
            <w:pPr/>
          </w:p>
        </w:tc>
        <w:tc>
          <w:tcPr>
            <w:tcW w:w="7075" w:type="dxa"/>
          </w:tcPr>
          <w:p>
            <w:pPr>
              <w:pStyle w:val="TableParagraph"/>
              <w:spacing w:line="201" w:lineRule="exact"/>
              <w:ind w:left="147"/>
              <w:rPr>
                <w:sz w:val="18"/>
              </w:rPr>
            </w:pPr>
            <w:r>
              <w:rPr>
                <w:sz w:val="18"/>
              </w:rPr>
              <w:t>Net book amount</w:t>
            </w:r>
          </w:p>
        </w:tc>
        <w:tc>
          <w:tcPr>
            <w:tcW w:w="2594" w:type="dxa"/>
          </w:tcPr>
          <w:p>
            <w:pPr>
              <w:pStyle w:val="TableParagraph"/>
              <w:tabs>
                <w:tab w:pos="560" w:val="left" w:leader="none"/>
                <w:tab w:pos="1858" w:val="left" w:leader="none"/>
              </w:tabs>
              <w:spacing w:line="201" w:lineRule="exact"/>
              <w:ind w:right="83"/>
              <w:jc w:val="right"/>
              <w:rPr>
                <w:sz w:val="18"/>
              </w:rPr>
            </w:pPr>
            <w:r>
              <w:rPr>
                <w:rFonts w:ascii="Times New Roman"/>
                <w:sz w:val="18"/>
                <w:u w:val="single"/>
              </w:rPr>
              <w:t> </w:t>
              <w:tab/>
            </w:r>
            <w:r>
              <w:rPr>
                <w:sz w:val="18"/>
                <w:u w:val="single"/>
              </w:rPr>
              <w:t>861,172</w:t>
              <w:tab/>
            </w:r>
            <w:r>
              <w:rPr>
                <w:w w:val="95"/>
                <w:sz w:val="18"/>
                <w:u w:val="single"/>
              </w:rPr>
              <w:t>861,172</w:t>
            </w:r>
          </w:p>
        </w:tc>
      </w:tr>
      <w:tr>
        <w:trPr>
          <w:trHeight w:val="374" w:hRule="exact"/>
        </w:trPr>
        <w:tc>
          <w:tcPr>
            <w:tcW w:w="282" w:type="dxa"/>
          </w:tcPr>
          <w:p>
            <w:pPr>
              <w:pStyle w:val="TableParagraph"/>
              <w:spacing w:before="143"/>
              <w:ind w:left="35"/>
              <w:rPr>
                <w:b/>
                <w:sz w:val="18"/>
              </w:rPr>
            </w:pPr>
            <w:r>
              <w:rPr>
                <w:b/>
                <w:w w:val="99"/>
                <w:sz w:val="18"/>
              </w:rPr>
              <w:t>9</w:t>
            </w:r>
          </w:p>
        </w:tc>
        <w:tc>
          <w:tcPr>
            <w:tcW w:w="7075" w:type="dxa"/>
          </w:tcPr>
          <w:p>
            <w:pPr>
              <w:pStyle w:val="TableParagraph"/>
              <w:spacing w:before="143"/>
              <w:ind w:left="148"/>
              <w:rPr>
                <w:b/>
                <w:sz w:val="18"/>
              </w:rPr>
            </w:pPr>
            <w:r>
              <w:rPr>
                <w:b/>
                <w:sz w:val="18"/>
              </w:rPr>
              <w:t>Reserves</w:t>
            </w:r>
          </w:p>
        </w:tc>
        <w:tc>
          <w:tcPr>
            <w:tcW w:w="2594" w:type="dxa"/>
          </w:tcPr>
          <w:p>
            <w:pPr/>
          </w:p>
        </w:tc>
      </w:tr>
      <w:tr>
        <w:trPr>
          <w:trHeight w:val="221" w:hRule="exact"/>
        </w:trPr>
        <w:tc>
          <w:tcPr>
            <w:tcW w:w="282" w:type="dxa"/>
          </w:tcPr>
          <w:p>
            <w:pPr/>
          </w:p>
        </w:tc>
        <w:tc>
          <w:tcPr>
            <w:tcW w:w="7075" w:type="dxa"/>
          </w:tcPr>
          <w:p>
            <w:pPr/>
          </w:p>
        </w:tc>
        <w:tc>
          <w:tcPr>
            <w:tcW w:w="2594" w:type="dxa"/>
          </w:tcPr>
          <w:p>
            <w:pPr>
              <w:pStyle w:val="TableParagraph"/>
              <w:tabs>
                <w:tab w:pos="1745" w:val="left" w:leader="none"/>
              </w:tabs>
              <w:spacing w:before="5"/>
              <w:ind w:left="448"/>
              <w:rPr>
                <w:b/>
                <w:sz w:val="18"/>
              </w:rPr>
            </w:pPr>
            <w:r>
              <w:rPr>
                <w:b/>
                <w:sz w:val="18"/>
              </w:rPr>
              <w:t>2017</w:t>
              <w:tab/>
              <w:t>2016</w:t>
            </w:r>
          </w:p>
        </w:tc>
      </w:tr>
      <w:tr>
        <w:trPr>
          <w:trHeight w:val="221" w:hRule="exact"/>
        </w:trPr>
        <w:tc>
          <w:tcPr>
            <w:tcW w:w="282" w:type="dxa"/>
          </w:tcPr>
          <w:p>
            <w:pPr/>
          </w:p>
        </w:tc>
        <w:tc>
          <w:tcPr>
            <w:tcW w:w="7075" w:type="dxa"/>
          </w:tcPr>
          <w:p>
            <w:pPr/>
          </w:p>
        </w:tc>
        <w:tc>
          <w:tcPr>
            <w:tcW w:w="2594" w:type="dxa"/>
          </w:tcPr>
          <w:p>
            <w:pPr>
              <w:pStyle w:val="TableParagraph"/>
              <w:tabs>
                <w:tab w:pos="1895" w:val="left" w:leader="none"/>
              </w:tabs>
              <w:spacing w:line="197" w:lineRule="exact"/>
              <w:ind w:left="598"/>
              <w:rPr>
                <w:b/>
                <w:sz w:val="18"/>
              </w:rPr>
            </w:pPr>
            <w:r>
              <w:rPr>
                <w:b/>
                <w:sz w:val="18"/>
              </w:rPr>
              <w:t>$</w:t>
              <w:tab/>
              <w:t>$</w:t>
            </w:r>
          </w:p>
        </w:tc>
      </w:tr>
      <w:tr>
        <w:trPr>
          <w:trHeight w:val="244" w:hRule="exact"/>
        </w:trPr>
        <w:tc>
          <w:tcPr>
            <w:tcW w:w="282" w:type="dxa"/>
          </w:tcPr>
          <w:p>
            <w:pPr/>
          </w:p>
        </w:tc>
        <w:tc>
          <w:tcPr>
            <w:tcW w:w="7075" w:type="dxa"/>
          </w:tcPr>
          <w:p>
            <w:pPr>
              <w:pStyle w:val="TableParagraph"/>
              <w:spacing w:before="6"/>
              <w:ind w:left="147"/>
              <w:rPr>
                <w:sz w:val="18"/>
              </w:rPr>
            </w:pPr>
            <w:r>
              <w:rPr>
                <w:sz w:val="18"/>
              </w:rPr>
              <w:t>Revaluation surplus - property, plant and equipment</w:t>
            </w:r>
          </w:p>
        </w:tc>
        <w:tc>
          <w:tcPr>
            <w:tcW w:w="2594" w:type="dxa"/>
            <w:tcBorders>
              <w:bottom w:val="single" w:sz="0" w:space="0" w:color="000000"/>
            </w:tcBorders>
          </w:tcPr>
          <w:p>
            <w:pPr>
              <w:pStyle w:val="TableParagraph"/>
              <w:tabs>
                <w:tab w:pos="1297" w:val="left" w:leader="none"/>
              </w:tabs>
              <w:spacing w:before="4"/>
              <w:ind w:right="84"/>
              <w:jc w:val="right"/>
              <w:rPr>
                <w:sz w:val="18"/>
              </w:rPr>
            </w:pPr>
            <w:r>
              <w:rPr>
                <w:b/>
                <w:sz w:val="18"/>
              </w:rPr>
              <w:t>195,247</w:t>
              <w:tab/>
            </w:r>
            <w:r>
              <w:rPr>
                <w:w w:val="95"/>
                <w:sz w:val="18"/>
              </w:rPr>
              <w:t>195,247</w:t>
            </w:r>
          </w:p>
        </w:tc>
      </w:tr>
      <w:tr>
        <w:trPr>
          <w:trHeight w:val="226" w:hRule="exact"/>
        </w:trPr>
        <w:tc>
          <w:tcPr>
            <w:tcW w:w="282" w:type="dxa"/>
          </w:tcPr>
          <w:p>
            <w:pPr/>
          </w:p>
        </w:tc>
        <w:tc>
          <w:tcPr>
            <w:tcW w:w="7075" w:type="dxa"/>
          </w:tcPr>
          <w:p>
            <w:pPr/>
          </w:p>
        </w:tc>
        <w:tc>
          <w:tcPr>
            <w:tcW w:w="2594" w:type="dxa"/>
            <w:tcBorders>
              <w:top w:val="single" w:sz="0" w:space="0" w:color="000000"/>
              <w:bottom w:val="single" w:sz="0" w:space="0" w:color="000000"/>
            </w:tcBorders>
          </w:tcPr>
          <w:p>
            <w:pPr>
              <w:pStyle w:val="TableParagraph"/>
              <w:tabs>
                <w:tab w:pos="1297" w:val="left" w:leader="none"/>
              </w:tabs>
              <w:spacing w:before="5"/>
              <w:ind w:right="84"/>
              <w:jc w:val="right"/>
              <w:rPr>
                <w:sz w:val="18"/>
              </w:rPr>
            </w:pPr>
            <w:r>
              <w:rPr>
                <w:b/>
                <w:sz w:val="18"/>
              </w:rPr>
              <w:t>195,247</w:t>
              <w:tab/>
            </w:r>
            <w:r>
              <w:rPr>
                <w:w w:val="95"/>
                <w:sz w:val="18"/>
              </w:rPr>
              <w:t>195,247</w:t>
            </w:r>
          </w:p>
        </w:tc>
      </w:tr>
      <w:tr>
        <w:trPr>
          <w:trHeight w:val="542" w:hRule="exact"/>
        </w:trPr>
        <w:tc>
          <w:tcPr>
            <w:tcW w:w="282" w:type="dxa"/>
          </w:tcPr>
          <w:p>
            <w:pPr/>
          </w:p>
        </w:tc>
        <w:tc>
          <w:tcPr>
            <w:tcW w:w="7075" w:type="dxa"/>
          </w:tcPr>
          <w:p>
            <w:pPr>
              <w:pStyle w:val="TableParagraph"/>
              <w:rPr>
                <w:sz w:val="18"/>
              </w:rPr>
            </w:pPr>
          </w:p>
          <w:p>
            <w:pPr>
              <w:pStyle w:val="TableParagraph"/>
              <w:spacing w:before="116"/>
              <w:ind w:left="147"/>
              <w:rPr>
                <w:b/>
                <w:sz w:val="18"/>
              </w:rPr>
            </w:pPr>
            <w:r>
              <w:rPr>
                <w:b/>
                <w:sz w:val="18"/>
              </w:rPr>
              <w:t>Movements</w:t>
            </w:r>
          </w:p>
        </w:tc>
        <w:tc>
          <w:tcPr>
            <w:tcW w:w="2594" w:type="dxa"/>
            <w:tcBorders>
              <w:top w:val="single" w:sz="0" w:space="0" w:color="000000"/>
            </w:tcBorders>
          </w:tcPr>
          <w:p>
            <w:pPr/>
          </w:p>
        </w:tc>
      </w:tr>
      <w:tr>
        <w:trPr>
          <w:trHeight w:val="209" w:hRule="exact"/>
        </w:trPr>
        <w:tc>
          <w:tcPr>
            <w:tcW w:w="282" w:type="dxa"/>
          </w:tcPr>
          <w:p>
            <w:pPr/>
          </w:p>
        </w:tc>
        <w:tc>
          <w:tcPr>
            <w:tcW w:w="7075" w:type="dxa"/>
          </w:tcPr>
          <w:p>
            <w:pPr/>
          </w:p>
        </w:tc>
        <w:tc>
          <w:tcPr>
            <w:tcW w:w="2594" w:type="dxa"/>
          </w:tcPr>
          <w:p>
            <w:pPr>
              <w:pStyle w:val="TableParagraph"/>
              <w:tabs>
                <w:tab w:pos="1732" w:val="left" w:leader="none"/>
              </w:tabs>
              <w:spacing w:line="200" w:lineRule="exact"/>
              <w:ind w:left="448"/>
              <w:rPr>
                <w:b/>
                <w:sz w:val="18"/>
              </w:rPr>
            </w:pPr>
            <w:r>
              <w:rPr>
                <w:b/>
                <w:sz w:val="18"/>
              </w:rPr>
              <w:t>2017</w:t>
              <w:tab/>
              <w:t>2016</w:t>
            </w:r>
          </w:p>
        </w:tc>
      </w:tr>
      <w:tr>
        <w:trPr>
          <w:trHeight w:val="413" w:hRule="exact"/>
        </w:trPr>
        <w:tc>
          <w:tcPr>
            <w:tcW w:w="282" w:type="dxa"/>
          </w:tcPr>
          <w:p>
            <w:pPr/>
          </w:p>
        </w:tc>
        <w:tc>
          <w:tcPr>
            <w:tcW w:w="7075" w:type="dxa"/>
          </w:tcPr>
          <w:p>
            <w:pPr>
              <w:pStyle w:val="TableParagraph"/>
              <w:spacing w:before="1"/>
              <w:rPr>
                <w:sz w:val="17"/>
              </w:rPr>
            </w:pPr>
          </w:p>
          <w:p>
            <w:pPr>
              <w:pStyle w:val="TableParagraph"/>
              <w:ind w:left="147"/>
              <w:rPr>
                <w:rFonts w:ascii="Microsoft Sans Serif"/>
                <w:sz w:val="18"/>
              </w:rPr>
            </w:pPr>
            <w:r>
              <w:rPr>
                <w:sz w:val="18"/>
              </w:rPr>
              <w:t>Revaluation surplus - property, plant and equipment</w:t>
            </w:r>
            <w:r>
              <w:rPr>
                <w:rFonts w:ascii="Microsoft Sans Serif"/>
                <w:sz w:val="18"/>
              </w:rPr>
              <w:t> </w:t>
            </w:r>
          </w:p>
        </w:tc>
        <w:tc>
          <w:tcPr>
            <w:tcW w:w="2594" w:type="dxa"/>
          </w:tcPr>
          <w:p>
            <w:pPr>
              <w:pStyle w:val="TableParagraph"/>
              <w:tabs>
                <w:tab w:pos="1882" w:val="left" w:leader="none"/>
              </w:tabs>
              <w:spacing w:line="197" w:lineRule="exact"/>
              <w:ind w:left="598"/>
              <w:rPr>
                <w:b/>
                <w:sz w:val="18"/>
              </w:rPr>
            </w:pPr>
            <w:r>
              <w:rPr>
                <w:b/>
                <w:sz w:val="18"/>
              </w:rPr>
              <w:t>$</w:t>
              <w:tab/>
              <w:t>$</w:t>
            </w:r>
          </w:p>
        </w:tc>
      </w:tr>
      <w:tr>
        <w:trPr>
          <w:trHeight w:val="206" w:hRule="exact"/>
        </w:trPr>
        <w:tc>
          <w:tcPr>
            <w:tcW w:w="282" w:type="dxa"/>
          </w:tcPr>
          <w:p>
            <w:pPr/>
          </w:p>
        </w:tc>
        <w:tc>
          <w:tcPr>
            <w:tcW w:w="7075" w:type="dxa"/>
          </w:tcPr>
          <w:p>
            <w:pPr>
              <w:pStyle w:val="TableParagraph"/>
              <w:spacing w:line="197" w:lineRule="exact"/>
              <w:ind w:left="147"/>
              <w:rPr>
                <w:sz w:val="18"/>
              </w:rPr>
            </w:pPr>
            <w:r>
              <w:rPr>
                <w:sz w:val="18"/>
              </w:rPr>
              <w:t>Balance 1 January</w:t>
            </w:r>
          </w:p>
        </w:tc>
        <w:tc>
          <w:tcPr>
            <w:tcW w:w="2594" w:type="dxa"/>
          </w:tcPr>
          <w:p>
            <w:pPr>
              <w:pStyle w:val="TableParagraph"/>
              <w:tabs>
                <w:tab w:pos="1298" w:val="left" w:leader="none"/>
              </w:tabs>
              <w:spacing w:line="197" w:lineRule="exact"/>
              <w:ind w:right="83"/>
              <w:jc w:val="right"/>
              <w:rPr>
                <w:sz w:val="18"/>
              </w:rPr>
            </w:pPr>
            <w:r>
              <w:rPr>
                <w:b/>
                <w:sz w:val="18"/>
              </w:rPr>
              <w:t>195,247</w:t>
              <w:tab/>
            </w:r>
            <w:r>
              <w:rPr>
                <w:w w:val="95"/>
                <w:sz w:val="18"/>
              </w:rPr>
              <w:t>175,207</w:t>
            </w:r>
          </w:p>
        </w:tc>
      </w:tr>
      <w:tr>
        <w:trPr>
          <w:trHeight w:val="212" w:hRule="exact"/>
        </w:trPr>
        <w:tc>
          <w:tcPr>
            <w:tcW w:w="282" w:type="dxa"/>
          </w:tcPr>
          <w:p>
            <w:pPr/>
          </w:p>
        </w:tc>
        <w:tc>
          <w:tcPr>
            <w:tcW w:w="7075" w:type="dxa"/>
          </w:tcPr>
          <w:p>
            <w:pPr>
              <w:pStyle w:val="TableParagraph"/>
              <w:spacing w:line="197" w:lineRule="exact"/>
              <w:ind w:left="147"/>
              <w:rPr>
                <w:sz w:val="18"/>
              </w:rPr>
            </w:pPr>
            <w:r>
              <w:rPr>
                <w:sz w:val="18"/>
              </w:rPr>
              <w:t>Revaluation - gross</w:t>
            </w:r>
          </w:p>
        </w:tc>
        <w:tc>
          <w:tcPr>
            <w:tcW w:w="2594" w:type="dxa"/>
          </w:tcPr>
          <w:p>
            <w:pPr>
              <w:pStyle w:val="TableParagraph"/>
              <w:tabs>
                <w:tab w:pos="1148" w:val="left" w:leader="none"/>
                <w:tab w:pos="1958" w:val="left" w:leader="none"/>
              </w:tabs>
              <w:spacing w:line="197" w:lineRule="exact"/>
              <w:ind w:right="83"/>
              <w:jc w:val="right"/>
              <w:rPr>
                <w:sz w:val="18"/>
              </w:rPr>
            </w:pPr>
            <w:r>
              <w:rPr>
                <w:rFonts w:ascii="Times New Roman"/>
                <w:sz w:val="18"/>
                <w:u w:val="single"/>
              </w:rPr>
              <w:t> </w:t>
              <w:tab/>
            </w:r>
            <w:r>
              <w:rPr>
                <w:b/>
                <w:sz w:val="18"/>
                <w:u w:val="single"/>
              </w:rPr>
              <w:t>-</w:t>
              <w:tab/>
            </w:r>
            <w:r>
              <w:rPr>
                <w:w w:val="95"/>
                <w:sz w:val="18"/>
                <w:u w:val="single"/>
              </w:rPr>
              <w:t>20,040</w:t>
            </w:r>
          </w:p>
        </w:tc>
      </w:tr>
      <w:tr>
        <w:trPr>
          <w:trHeight w:val="379" w:hRule="exact"/>
        </w:trPr>
        <w:tc>
          <w:tcPr>
            <w:tcW w:w="282" w:type="dxa"/>
          </w:tcPr>
          <w:p>
            <w:pPr/>
          </w:p>
        </w:tc>
        <w:tc>
          <w:tcPr>
            <w:tcW w:w="7075" w:type="dxa"/>
          </w:tcPr>
          <w:p>
            <w:pPr>
              <w:pStyle w:val="TableParagraph"/>
              <w:spacing w:line="201" w:lineRule="exact"/>
              <w:ind w:left="147"/>
              <w:rPr>
                <w:sz w:val="18"/>
              </w:rPr>
            </w:pPr>
            <w:r>
              <w:rPr>
                <w:sz w:val="18"/>
              </w:rPr>
              <w:t>Balance 31 December</w:t>
            </w:r>
          </w:p>
        </w:tc>
        <w:tc>
          <w:tcPr>
            <w:tcW w:w="2594" w:type="dxa"/>
          </w:tcPr>
          <w:p>
            <w:pPr>
              <w:pStyle w:val="TableParagraph"/>
              <w:tabs>
                <w:tab w:pos="560" w:val="left" w:leader="none"/>
                <w:tab w:pos="1858" w:val="left" w:leader="none"/>
              </w:tabs>
              <w:spacing w:line="201" w:lineRule="exact"/>
              <w:ind w:right="83"/>
              <w:jc w:val="right"/>
              <w:rPr>
                <w:sz w:val="18"/>
              </w:rPr>
            </w:pPr>
            <w:r>
              <w:rPr>
                <w:rFonts w:ascii="Times New Roman"/>
                <w:sz w:val="18"/>
                <w:u w:val="thick"/>
              </w:rPr>
              <w:t> </w:t>
              <w:tab/>
            </w:r>
            <w:r>
              <w:rPr>
                <w:b/>
                <w:sz w:val="18"/>
                <w:u w:val="thick"/>
              </w:rPr>
              <w:t>195,247</w:t>
              <w:tab/>
            </w:r>
            <w:r>
              <w:rPr>
                <w:w w:val="95"/>
                <w:sz w:val="18"/>
                <w:u w:val="thick"/>
              </w:rPr>
              <w:t>195,247</w:t>
            </w:r>
          </w:p>
        </w:tc>
      </w:tr>
      <w:tr>
        <w:trPr>
          <w:trHeight w:val="460" w:hRule="exact"/>
        </w:trPr>
        <w:tc>
          <w:tcPr>
            <w:tcW w:w="282" w:type="dxa"/>
          </w:tcPr>
          <w:p>
            <w:pPr/>
          </w:p>
        </w:tc>
        <w:tc>
          <w:tcPr>
            <w:tcW w:w="7075" w:type="dxa"/>
          </w:tcPr>
          <w:p>
            <w:pPr>
              <w:pStyle w:val="TableParagraph"/>
              <w:tabs>
                <w:tab w:pos="714" w:val="left" w:leader="none"/>
              </w:tabs>
              <w:spacing w:before="157"/>
              <w:ind w:left="148"/>
              <w:rPr>
                <w:b/>
                <w:sz w:val="18"/>
              </w:rPr>
            </w:pPr>
            <w:r>
              <w:rPr>
                <w:b/>
                <w:sz w:val="18"/>
              </w:rPr>
              <w:t>(a)</w:t>
              <w:tab/>
              <w:t>Nature and purpose of</w:t>
            </w:r>
            <w:r>
              <w:rPr>
                <w:b/>
                <w:spacing w:val="-1"/>
                <w:sz w:val="18"/>
              </w:rPr>
              <w:t> </w:t>
            </w:r>
            <w:r>
              <w:rPr>
                <w:b/>
                <w:sz w:val="18"/>
              </w:rPr>
              <w:t>reserves</w:t>
            </w:r>
          </w:p>
        </w:tc>
        <w:tc>
          <w:tcPr>
            <w:tcW w:w="2594" w:type="dxa"/>
          </w:tcPr>
          <w:p>
            <w:pPr/>
          </w:p>
        </w:tc>
      </w:tr>
    </w:tbl>
    <w:p>
      <w:pPr>
        <w:pStyle w:val="BodyText"/>
        <w:spacing w:before="4"/>
        <w:rPr>
          <w:sz w:val="10"/>
        </w:rPr>
      </w:pPr>
    </w:p>
    <w:p>
      <w:pPr>
        <w:pStyle w:val="BodyText"/>
        <w:spacing w:before="77"/>
        <w:ind w:left="544" w:right="19"/>
      </w:pPr>
      <w:r>
        <w:rPr/>
        <w:t>(i) Revaluation surplus - property, plant and equipment</w:t>
      </w:r>
    </w:p>
    <w:p>
      <w:pPr>
        <w:pStyle w:val="BodyText"/>
        <w:rPr>
          <w:sz w:val="25"/>
        </w:rPr>
      </w:pPr>
    </w:p>
    <w:p>
      <w:pPr>
        <w:pStyle w:val="BodyText"/>
        <w:ind w:left="544" w:right="160"/>
      </w:pPr>
      <w:r>
        <w:rPr/>
        <w:t>The property, plant and equipment revaluation reserve is used to record increments and decrements on the revaluation of non-current assets, as described in note 1(h).</w:t>
      </w:r>
    </w:p>
    <w:p>
      <w:pPr>
        <w:spacing w:after="0"/>
        <w:sectPr>
          <w:pgSz w:w="11910" w:h="16840"/>
          <w:pgMar w:header="1038" w:footer="507" w:top="2520" w:bottom="700" w:left="860" w:right="860"/>
        </w:sectPr>
      </w:pPr>
    </w:p>
    <w:p>
      <w:pPr>
        <w:pStyle w:val="BodyText"/>
        <w:spacing w:before="7"/>
        <w:rPr>
          <w:sz w:val="26"/>
        </w:rPr>
      </w:pPr>
    </w:p>
    <w:p>
      <w:pPr>
        <w:pStyle w:val="Heading9"/>
        <w:spacing w:before="77"/>
        <w:ind w:left="149" w:right="220"/>
      </w:pPr>
      <w:r>
        <w:rPr/>
        <w:t>10    Retained earnings</w:t>
      </w:r>
    </w:p>
    <w:p>
      <w:pPr>
        <w:pStyle w:val="BodyText"/>
        <w:spacing w:before="3"/>
        <w:rPr>
          <w:b/>
        </w:rPr>
      </w:pPr>
    </w:p>
    <w:p>
      <w:pPr>
        <w:spacing w:after="0"/>
        <w:sectPr>
          <w:pgSz w:w="11910" w:h="16840"/>
          <w:pgMar w:header="1038" w:footer="507" w:top="2520" w:bottom="700" w:left="860" w:right="920"/>
        </w:sectPr>
      </w:pPr>
    </w:p>
    <w:p>
      <w:pPr>
        <w:pStyle w:val="BodyText"/>
        <w:spacing w:before="77"/>
        <w:ind w:left="572" w:right="-19"/>
      </w:pPr>
      <w:r>
        <w:rPr/>
        <w:t>Movements in retained earnings were as follows:</w:t>
      </w:r>
    </w:p>
    <w:p>
      <w:pPr>
        <w:pStyle w:val="BodyText"/>
        <w:spacing w:before="7"/>
        <w:rPr>
          <w:sz w:val="24"/>
        </w:rPr>
      </w:pPr>
      <w:r>
        <w:rPr/>
        <w:br w:type="column"/>
      </w:r>
      <w:r>
        <w:rPr>
          <w:sz w:val="24"/>
        </w:rPr>
      </w:r>
    </w:p>
    <w:p>
      <w:pPr>
        <w:pStyle w:val="Heading9"/>
        <w:spacing w:line="207" w:lineRule="exact" w:before="1"/>
        <w:ind w:left="572"/>
        <w:jc w:val="center"/>
      </w:pPr>
      <w:r>
        <w:rPr/>
        <w:t>2017</w:t>
      </w:r>
    </w:p>
    <w:p>
      <w:pPr>
        <w:spacing w:line="207" w:lineRule="exact" w:before="0"/>
        <w:ind w:left="0" w:right="148" w:firstLine="0"/>
        <w:jc w:val="right"/>
        <w:rPr>
          <w:b/>
          <w:sz w:val="18"/>
        </w:rPr>
      </w:pPr>
      <w:r>
        <w:rPr>
          <w:b/>
          <w:w w:val="99"/>
          <w:sz w:val="18"/>
        </w:rPr>
        <w:t>$</w:t>
      </w:r>
    </w:p>
    <w:p>
      <w:pPr>
        <w:pStyle w:val="BodyText"/>
        <w:spacing w:before="7"/>
        <w:rPr>
          <w:b/>
          <w:sz w:val="24"/>
        </w:rPr>
      </w:pPr>
      <w:r>
        <w:rPr/>
        <w:br w:type="column"/>
      </w:r>
      <w:r>
        <w:rPr>
          <w:b/>
          <w:sz w:val="24"/>
        </w:rPr>
      </w:r>
    </w:p>
    <w:p>
      <w:pPr>
        <w:spacing w:line="207" w:lineRule="exact" w:before="1"/>
        <w:ind w:left="555" w:right="502" w:firstLine="0"/>
        <w:jc w:val="center"/>
        <w:rPr>
          <w:b/>
          <w:sz w:val="18"/>
        </w:rPr>
      </w:pPr>
      <w:r>
        <w:rPr>
          <w:b/>
          <w:sz w:val="18"/>
        </w:rPr>
        <w:t>2016</w:t>
      </w:r>
    </w:p>
    <w:p>
      <w:pPr>
        <w:spacing w:line="207" w:lineRule="exact" w:before="0"/>
        <w:ind w:left="52" w:right="0" w:firstLine="0"/>
        <w:jc w:val="center"/>
        <w:rPr>
          <w:b/>
          <w:sz w:val="18"/>
        </w:rPr>
      </w:pPr>
      <w:r>
        <w:rPr>
          <w:b/>
          <w:w w:val="99"/>
          <w:sz w:val="18"/>
        </w:rPr>
        <w:t>$</w:t>
      </w:r>
    </w:p>
    <w:p>
      <w:pPr>
        <w:spacing w:after="0" w:line="207" w:lineRule="exact"/>
        <w:jc w:val="center"/>
        <w:rPr>
          <w:sz w:val="18"/>
        </w:rPr>
        <w:sectPr>
          <w:type w:val="continuous"/>
          <w:pgSz w:w="11910" w:h="16840"/>
          <w:pgMar w:top="1580" w:bottom="280" w:left="860" w:right="920"/>
          <w:cols w:num="3" w:equalWidth="0">
            <w:col w:w="4465" w:space="2883"/>
            <w:col w:w="974" w:space="310"/>
            <w:col w:w="1498"/>
          </w:cols>
        </w:sectPr>
      </w:pPr>
    </w:p>
    <w:p>
      <w:pPr>
        <w:tabs>
          <w:tab w:pos="7881" w:val="left" w:leader="none"/>
          <w:tab w:pos="9180" w:val="left" w:leader="none"/>
        </w:tabs>
        <w:spacing w:line="206" w:lineRule="exact" w:before="0"/>
        <w:ind w:left="572" w:right="98" w:firstLine="0"/>
        <w:jc w:val="left"/>
        <w:rPr>
          <w:sz w:val="18"/>
        </w:rPr>
      </w:pPr>
      <w:r>
        <w:rPr>
          <w:sz w:val="18"/>
        </w:rPr>
        <w:t>Balance as at</w:t>
      </w:r>
      <w:r>
        <w:rPr>
          <w:spacing w:val="-1"/>
          <w:sz w:val="18"/>
        </w:rPr>
        <w:t> </w:t>
      </w:r>
      <w:r>
        <w:rPr>
          <w:sz w:val="18"/>
        </w:rPr>
        <w:t>1</w:t>
      </w:r>
      <w:r>
        <w:rPr>
          <w:spacing w:val="-1"/>
          <w:sz w:val="18"/>
        </w:rPr>
        <w:t> </w:t>
      </w:r>
      <w:r>
        <w:rPr>
          <w:sz w:val="18"/>
        </w:rPr>
        <w:t>January</w:t>
        <w:tab/>
      </w:r>
      <w:r>
        <w:rPr>
          <w:b/>
          <w:sz w:val="18"/>
        </w:rPr>
        <w:t>1,214,116</w:t>
        <w:tab/>
      </w:r>
      <w:r>
        <w:rPr>
          <w:sz w:val="18"/>
        </w:rPr>
        <w:t>1,074,995</w:t>
      </w:r>
    </w:p>
    <w:p>
      <w:pPr>
        <w:tabs>
          <w:tab w:pos="8031" w:val="left" w:leader="none"/>
          <w:tab w:pos="9330" w:val="left" w:leader="none"/>
        </w:tabs>
        <w:spacing w:line="207" w:lineRule="exact" w:before="0" w:after="22"/>
        <w:ind w:left="572" w:right="98" w:firstLine="0"/>
        <w:jc w:val="left"/>
        <w:rPr>
          <w:sz w:val="18"/>
        </w:rPr>
      </w:pPr>
      <w:r>
        <w:rPr>
          <w:sz w:val="18"/>
        </w:rPr>
        <w:t>Surplus for</w:t>
      </w:r>
      <w:r>
        <w:rPr>
          <w:spacing w:val="-1"/>
          <w:sz w:val="18"/>
        </w:rPr>
        <w:t> </w:t>
      </w:r>
      <w:r>
        <w:rPr>
          <w:sz w:val="18"/>
        </w:rPr>
        <w:t>the</w:t>
      </w:r>
      <w:r>
        <w:rPr>
          <w:spacing w:val="-1"/>
          <w:sz w:val="18"/>
        </w:rPr>
        <w:t> </w:t>
      </w:r>
      <w:r>
        <w:rPr>
          <w:sz w:val="18"/>
        </w:rPr>
        <w:t>year</w:t>
        <w:tab/>
      </w:r>
      <w:r>
        <w:rPr>
          <w:b/>
          <w:sz w:val="18"/>
        </w:rPr>
        <w:t>117,782</w:t>
        <w:tab/>
      </w:r>
      <w:r>
        <w:rPr>
          <w:sz w:val="18"/>
        </w:rPr>
        <w:t>139,121</w:t>
      </w: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6722"/>
        <w:gridCol w:w="2847"/>
      </w:tblGrid>
      <w:tr>
        <w:trPr>
          <w:trHeight w:val="568" w:hRule="exact"/>
        </w:trPr>
        <w:tc>
          <w:tcPr>
            <w:tcW w:w="333" w:type="dxa"/>
          </w:tcPr>
          <w:p>
            <w:pPr/>
          </w:p>
        </w:tc>
        <w:tc>
          <w:tcPr>
            <w:tcW w:w="6722" w:type="dxa"/>
          </w:tcPr>
          <w:p>
            <w:pPr>
              <w:pStyle w:val="TableParagraph"/>
              <w:spacing w:line="184" w:lineRule="exact"/>
              <w:ind w:left="125"/>
              <w:rPr>
                <w:sz w:val="18"/>
              </w:rPr>
            </w:pPr>
            <w:r>
              <w:rPr>
                <w:sz w:val="18"/>
              </w:rPr>
              <w:t>Trust distributions for the year</w:t>
            </w:r>
          </w:p>
          <w:p>
            <w:pPr>
              <w:pStyle w:val="TableParagraph"/>
              <w:spacing w:before="9"/>
              <w:ind w:left="125"/>
              <w:rPr>
                <w:sz w:val="18"/>
              </w:rPr>
            </w:pPr>
            <w:r>
              <w:rPr>
                <w:sz w:val="18"/>
              </w:rPr>
              <w:t>Balance as at 31 December</w:t>
            </w:r>
          </w:p>
        </w:tc>
        <w:tc>
          <w:tcPr>
            <w:tcW w:w="2847" w:type="dxa"/>
          </w:tcPr>
          <w:p>
            <w:pPr>
              <w:pStyle w:val="TableParagraph"/>
              <w:tabs>
                <w:tab w:pos="1450" w:val="left" w:leader="none"/>
                <w:tab w:pos="2748" w:val="left" w:leader="none"/>
              </w:tabs>
              <w:spacing w:line="184" w:lineRule="exact"/>
              <w:ind w:left="302"/>
              <w:rPr>
                <w:sz w:val="18"/>
              </w:rPr>
            </w:pPr>
            <w:r>
              <w:rPr>
                <w:rFonts w:ascii="Times New Roman"/>
                <w:sz w:val="18"/>
                <w:u w:val="single"/>
              </w:rPr>
              <w:t> </w:t>
              <w:tab/>
            </w:r>
            <w:r>
              <w:rPr>
                <w:b/>
                <w:sz w:val="18"/>
                <w:u w:val="single"/>
              </w:rPr>
              <w:t>-</w:t>
              <w:tab/>
            </w:r>
            <w:r>
              <w:rPr>
                <w:sz w:val="18"/>
                <w:u w:val="single"/>
              </w:rPr>
              <w:t>-</w:t>
            </w:r>
          </w:p>
          <w:p>
            <w:pPr>
              <w:pStyle w:val="TableParagraph"/>
              <w:tabs>
                <w:tab w:pos="712" w:val="left" w:leader="none"/>
                <w:tab w:pos="2010" w:val="left" w:leader="none"/>
              </w:tabs>
              <w:spacing w:before="9"/>
              <w:ind w:left="302"/>
              <w:rPr>
                <w:sz w:val="18"/>
              </w:rPr>
            </w:pPr>
            <w:r>
              <w:rPr>
                <w:rFonts w:ascii="Times New Roman"/>
                <w:sz w:val="18"/>
                <w:u w:val="thick"/>
              </w:rPr>
              <w:t> </w:t>
              <w:tab/>
            </w:r>
            <w:r>
              <w:rPr>
                <w:b/>
                <w:sz w:val="18"/>
                <w:u w:val="thick"/>
              </w:rPr>
              <w:t>1,331,898</w:t>
              <w:tab/>
            </w:r>
            <w:r>
              <w:rPr>
                <w:sz w:val="18"/>
                <w:u w:val="thick"/>
              </w:rPr>
              <w:t>1,214,116</w:t>
            </w:r>
          </w:p>
        </w:tc>
      </w:tr>
      <w:tr>
        <w:trPr>
          <w:trHeight w:val="1439" w:hRule="exact"/>
        </w:trPr>
        <w:tc>
          <w:tcPr>
            <w:tcW w:w="333" w:type="dxa"/>
          </w:tcPr>
          <w:p>
            <w:pPr>
              <w:pStyle w:val="TableParagraph"/>
              <w:spacing w:before="147"/>
              <w:ind w:left="35"/>
              <w:rPr>
                <w:b/>
                <w:sz w:val="18"/>
              </w:rPr>
            </w:pPr>
            <w:r>
              <w:rPr>
                <w:b/>
                <w:sz w:val="18"/>
              </w:rPr>
              <w:t>11</w:t>
            </w:r>
          </w:p>
          <w:p>
            <w:pPr>
              <w:pStyle w:val="TableParagraph"/>
              <w:rPr>
                <w:sz w:val="18"/>
              </w:rPr>
            </w:pPr>
          </w:p>
          <w:p>
            <w:pPr>
              <w:pStyle w:val="TableParagraph"/>
              <w:rPr>
                <w:sz w:val="18"/>
              </w:rPr>
            </w:pPr>
          </w:p>
          <w:p>
            <w:pPr>
              <w:pStyle w:val="TableParagraph"/>
              <w:rPr>
                <w:sz w:val="18"/>
              </w:rPr>
            </w:pPr>
          </w:p>
          <w:p>
            <w:pPr>
              <w:pStyle w:val="TableParagraph"/>
              <w:spacing w:before="161"/>
              <w:ind w:left="35"/>
              <w:rPr>
                <w:b/>
                <w:sz w:val="18"/>
              </w:rPr>
            </w:pPr>
            <w:r>
              <w:rPr>
                <w:b/>
                <w:sz w:val="18"/>
              </w:rPr>
              <w:t>12</w:t>
            </w:r>
          </w:p>
        </w:tc>
        <w:tc>
          <w:tcPr>
            <w:tcW w:w="6722" w:type="dxa"/>
          </w:tcPr>
          <w:p>
            <w:pPr>
              <w:pStyle w:val="TableParagraph"/>
              <w:spacing w:before="147"/>
              <w:ind w:left="97"/>
              <w:rPr>
                <w:b/>
                <w:sz w:val="18"/>
              </w:rPr>
            </w:pPr>
            <w:r>
              <w:rPr>
                <w:b/>
                <w:sz w:val="18"/>
              </w:rPr>
              <w:t>Commitments</w:t>
            </w:r>
          </w:p>
          <w:p>
            <w:pPr>
              <w:pStyle w:val="TableParagraph"/>
              <w:rPr>
                <w:sz w:val="25"/>
              </w:rPr>
            </w:pPr>
          </w:p>
          <w:p>
            <w:pPr>
              <w:pStyle w:val="TableParagraph"/>
              <w:ind w:left="125"/>
              <w:rPr>
                <w:sz w:val="18"/>
              </w:rPr>
            </w:pPr>
            <w:r>
              <w:rPr>
                <w:sz w:val="18"/>
              </w:rPr>
              <w:t>The Trust had no commitments at 31 December 2017 (31 December 2016: nil).</w:t>
            </w:r>
          </w:p>
          <w:p>
            <w:pPr>
              <w:pStyle w:val="TableParagraph"/>
              <w:rPr>
                <w:sz w:val="25"/>
              </w:rPr>
            </w:pPr>
          </w:p>
          <w:p>
            <w:pPr>
              <w:pStyle w:val="TableParagraph"/>
              <w:ind w:left="97"/>
              <w:rPr>
                <w:b/>
                <w:sz w:val="18"/>
              </w:rPr>
            </w:pPr>
            <w:r>
              <w:rPr>
                <w:b/>
                <w:sz w:val="18"/>
              </w:rPr>
              <w:t>Contingencies</w:t>
            </w:r>
          </w:p>
        </w:tc>
        <w:tc>
          <w:tcPr>
            <w:tcW w:w="2847" w:type="dxa"/>
          </w:tcPr>
          <w:p>
            <w:pPr/>
          </w:p>
        </w:tc>
      </w:tr>
    </w:tbl>
    <w:p>
      <w:pPr>
        <w:pStyle w:val="BodyText"/>
        <w:spacing w:before="10"/>
        <w:rPr>
          <w:sz w:val="9"/>
        </w:rPr>
      </w:pPr>
    </w:p>
    <w:p>
      <w:pPr>
        <w:pStyle w:val="BodyText"/>
        <w:spacing w:before="78"/>
        <w:ind w:left="572" w:right="220"/>
      </w:pPr>
      <w:r>
        <w:rPr/>
        <w:t>The Trust did not have any contingencies at 31 December 2017 (31 December 2016: nil).</w:t>
      </w:r>
    </w:p>
    <w:p>
      <w:pPr>
        <w:pStyle w:val="BodyText"/>
        <w:rPr>
          <w:sz w:val="25"/>
        </w:rPr>
      </w:pPr>
    </w:p>
    <w:p>
      <w:pPr>
        <w:pStyle w:val="Heading9"/>
        <w:numPr>
          <w:ilvl w:val="0"/>
          <w:numId w:val="96"/>
        </w:numPr>
        <w:tabs>
          <w:tab w:pos="546" w:val="left" w:leader="none"/>
        </w:tabs>
        <w:spacing w:line="240" w:lineRule="auto" w:before="0" w:after="0"/>
        <w:ind w:left="545" w:right="0" w:hanging="396"/>
        <w:jc w:val="left"/>
      </w:pPr>
      <w:r>
        <w:rPr/>
        <w:t>Key Management Personnel</w:t>
      </w:r>
      <w:r>
        <w:rPr>
          <w:spacing w:val="-2"/>
        </w:rPr>
        <w:t> </w:t>
      </w:r>
      <w:r>
        <w:rPr/>
        <w:t>Disclosures</w:t>
      </w:r>
    </w:p>
    <w:p>
      <w:pPr>
        <w:pStyle w:val="BodyText"/>
        <w:spacing w:before="7"/>
        <w:rPr>
          <w:b/>
          <w:sz w:val="26"/>
        </w:rPr>
      </w:pPr>
    </w:p>
    <w:p>
      <w:pPr>
        <w:pStyle w:val="ListParagraph"/>
        <w:numPr>
          <w:ilvl w:val="1"/>
          <w:numId w:val="96"/>
        </w:numPr>
        <w:tabs>
          <w:tab w:pos="1112" w:val="left" w:leader="none"/>
        </w:tabs>
        <w:spacing w:line="240" w:lineRule="auto" w:before="0" w:after="0"/>
        <w:ind w:left="1111" w:right="0" w:hanging="566"/>
        <w:jc w:val="left"/>
        <w:rPr>
          <w:b/>
          <w:sz w:val="18"/>
        </w:rPr>
      </w:pPr>
      <w:r>
        <w:rPr>
          <w:b/>
          <w:sz w:val="18"/>
        </w:rPr>
        <w:t>Names of responsible persons and executive</w:t>
      </w:r>
      <w:r>
        <w:rPr>
          <w:b/>
          <w:spacing w:val="-1"/>
          <w:sz w:val="18"/>
        </w:rPr>
        <w:t> </w:t>
      </w:r>
      <w:r>
        <w:rPr>
          <w:b/>
          <w:sz w:val="18"/>
        </w:rPr>
        <w:t>officers</w:t>
      </w:r>
    </w:p>
    <w:p>
      <w:pPr>
        <w:pStyle w:val="BodyText"/>
        <w:spacing w:before="4"/>
        <w:rPr>
          <w:b/>
          <w:sz w:val="25"/>
        </w:rPr>
      </w:pPr>
    </w:p>
    <w:p>
      <w:pPr>
        <w:pStyle w:val="BodyText"/>
        <w:ind w:left="544" w:right="220"/>
      </w:pPr>
      <w:r>
        <w:rPr/>
        <w:t>The following persons were responsible persons and executive officers of Whitlam Institute Within Western Sydney University Trust during the financial year:</w:t>
      </w:r>
    </w:p>
    <w:p>
      <w:pPr>
        <w:pStyle w:val="BodyText"/>
        <w:spacing w:before="11"/>
        <w:rPr>
          <w:sz w:val="24"/>
        </w:rPr>
      </w:pPr>
    </w:p>
    <w:p>
      <w:pPr>
        <w:pStyle w:val="ListParagraph"/>
        <w:numPr>
          <w:ilvl w:val="0"/>
          <w:numId w:val="97"/>
        </w:numPr>
        <w:tabs>
          <w:tab w:pos="783" w:val="left" w:leader="none"/>
        </w:tabs>
        <w:spacing w:line="240" w:lineRule="auto" w:before="0" w:after="0"/>
        <w:ind w:left="782" w:right="0" w:hanging="210"/>
        <w:jc w:val="left"/>
        <w:rPr>
          <w:sz w:val="18"/>
        </w:rPr>
      </w:pPr>
      <w:r>
        <w:rPr>
          <w:sz w:val="18"/>
        </w:rPr>
        <w:t>Names of Responsible</w:t>
      </w:r>
      <w:r>
        <w:rPr>
          <w:spacing w:val="-1"/>
          <w:sz w:val="18"/>
        </w:rPr>
        <w:t> </w:t>
      </w:r>
      <w:r>
        <w:rPr>
          <w:sz w:val="18"/>
        </w:rPr>
        <w:t>Persons</w:t>
      </w:r>
    </w:p>
    <w:p>
      <w:pPr>
        <w:pStyle w:val="BodyText"/>
      </w:pPr>
    </w:p>
    <w:p>
      <w:pPr>
        <w:pStyle w:val="BodyText"/>
        <w:spacing w:line="302" w:lineRule="auto" w:before="132"/>
        <w:ind w:left="572" w:right="5555"/>
      </w:pPr>
      <w:r>
        <w:rPr/>
        <w:t>Ms Leanne Smith - appointed 18 September 2017 Mr Eric Sidoti - resigned 15 September 2017</w:t>
      </w:r>
    </w:p>
    <w:p>
      <w:pPr>
        <w:pStyle w:val="BodyText"/>
        <w:spacing w:before="9"/>
        <w:rPr>
          <w:sz w:val="22"/>
        </w:rPr>
      </w:pPr>
    </w:p>
    <w:p>
      <w:pPr>
        <w:pStyle w:val="BodyText"/>
        <w:ind w:left="572" w:right="653"/>
      </w:pPr>
      <w:r>
        <w:rPr/>
        <w:t>All responsible persons of the Trust are employees of the Western Sydney University (parent entity) and are not remunerated by either the parent entity or the Trust for their executive responsibilities.</w:t>
      </w:r>
    </w:p>
    <w:p>
      <w:pPr>
        <w:pStyle w:val="BodyText"/>
        <w:rPr>
          <w:sz w:val="25"/>
        </w:rPr>
      </w:pPr>
    </w:p>
    <w:p>
      <w:pPr>
        <w:pStyle w:val="ListParagraph"/>
        <w:numPr>
          <w:ilvl w:val="0"/>
          <w:numId w:val="97"/>
        </w:numPr>
        <w:tabs>
          <w:tab w:pos="823" w:val="left" w:leader="none"/>
        </w:tabs>
        <w:spacing w:line="240" w:lineRule="auto" w:before="0" w:after="0"/>
        <w:ind w:left="822" w:right="0" w:hanging="250"/>
        <w:jc w:val="left"/>
        <w:rPr>
          <w:sz w:val="18"/>
        </w:rPr>
      </w:pPr>
      <w:r>
        <w:rPr>
          <w:sz w:val="18"/>
        </w:rPr>
        <w:t>Names of Executive</w:t>
      </w:r>
      <w:r>
        <w:rPr>
          <w:spacing w:val="-1"/>
          <w:sz w:val="18"/>
        </w:rPr>
        <w:t> </w:t>
      </w:r>
      <w:r>
        <w:rPr>
          <w:sz w:val="18"/>
        </w:rPr>
        <w:t>Officers</w:t>
      </w:r>
    </w:p>
    <w:p>
      <w:pPr>
        <w:pStyle w:val="BodyText"/>
      </w:pPr>
    </w:p>
    <w:p>
      <w:pPr>
        <w:pStyle w:val="BodyText"/>
        <w:spacing w:line="302" w:lineRule="auto" w:before="132"/>
        <w:ind w:left="572" w:right="7018"/>
      </w:pPr>
      <w:r>
        <w:rPr/>
        <w:t>The Hon. John Faulkner (Chair) Ms Patricia Amphlett OAM  Prof. Barney</w:t>
      </w:r>
      <w:r>
        <w:rPr>
          <w:spacing w:val="-1"/>
        </w:rPr>
        <w:t> </w:t>
      </w:r>
      <w:r>
        <w:rPr/>
        <w:t>Glover</w:t>
      </w:r>
    </w:p>
    <w:p>
      <w:pPr>
        <w:pStyle w:val="BodyText"/>
        <w:spacing w:line="302" w:lineRule="auto" w:before="2"/>
        <w:ind w:left="572" w:right="7737"/>
      </w:pPr>
      <w:r>
        <w:rPr/>
        <w:t>Ms Gabrielle Trainor Mr Talal Yassine OAM Ms Catherine Dovey Mr Cameron Clyne</w:t>
      </w:r>
    </w:p>
    <w:p>
      <w:pPr>
        <w:pStyle w:val="BodyText"/>
        <w:spacing w:line="302" w:lineRule="auto" w:before="2"/>
        <w:ind w:left="572" w:right="5415"/>
      </w:pPr>
      <w:r>
        <w:rPr/>
        <w:t>Dr Rebecca Huntley - appointed 6 February 2017 Ms Amanda McKenzie - appointed 6 February 2017 Mr John Wells - resigned 17 November 2017</w:t>
      </w:r>
    </w:p>
    <w:p>
      <w:pPr>
        <w:pStyle w:val="BodyText"/>
        <w:spacing w:before="9"/>
        <w:rPr>
          <w:sz w:val="22"/>
        </w:rPr>
      </w:pPr>
    </w:p>
    <w:p>
      <w:pPr>
        <w:pStyle w:val="BodyText"/>
        <w:ind w:left="572" w:right="263"/>
      </w:pPr>
      <w:r>
        <w:rPr/>
        <w:t>All executive officers of the Trust are not employees of the Western Sydney University (parent entity) except for Prof. Barney Glover and are not remunerated by either the parent entity or the Trust for their executive responsibilities.</w:t>
      </w:r>
    </w:p>
    <w:p>
      <w:pPr>
        <w:spacing w:after="0"/>
        <w:sectPr>
          <w:type w:val="continuous"/>
          <w:pgSz w:w="11910" w:h="16840"/>
          <w:pgMar w:top="1580" w:bottom="280" w:left="860" w:right="920"/>
        </w:sectPr>
      </w:pPr>
    </w:p>
    <w:p>
      <w:pPr>
        <w:pStyle w:val="BodyText"/>
        <w:spacing w:before="7"/>
        <w:rPr>
          <w:sz w:val="26"/>
        </w:rPr>
      </w:pPr>
    </w:p>
    <w:p>
      <w:pPr>
        <w:pStyle w:val="Heading9"/>
        <w:numPr>
          <w:ilvl w:val="0"/>
          <w:numId w:val="96"/>
        </w:numPr>
        <w:tabs>
          <w:tab w:pos="546" w:val="left" w:leader="none"/>
        </w:tabs>
        <w:spacing w:line="240" w:lineRule="auto" w:before="77" w:after="0"/>
        <w:ind w:left="545" w:right="0" w:hanging="396"/>
        <w:jc w:val="left"/>
      </w:pPr>
      <w:r>
        <w:rPr/>
        <w:t>Related party</w:t>
      </w:r>
      <w:r>
        <w:rPr>
          <w:spacing w:val="-1"/>
        </w:rPr>
        <w:t> </w:t>
      </w:r>
      <w:r>
        <w:rPr/>
        <w:t>transactions</w:t>
      </w:r>
    </w:p>
    <w:p>
      <w:pPr>
        <w:pStyle w:val="BodyText"/>
        <w:spacing w:before="7"/>
        <w:rPr>
          <w:b/>
          <w:sz w:val="26"/>
        </w:rPr>
      </w:pPr>
    </w:p>
    <w:p>
      <w:pPr>
        <w:pStyle w:val="ListParagraph"/>
        <w:numPr>
          <w:ilvl w:val="1"/>
          <w:numId w:val="96"/>
        </w:numPr>
        <w:tabs>
          <w:tab w:pos="1112" w:val="left" w:leader="none"/>
        </w:tabs>
        <w:spacing w:line="240" w:lineRule="auto" w:before="0" w:after="0"/>
        <w:ind w:left="1111" w:right="0" w:hanging="566"/>
        <w:jc w:val="left"/>
        <w:rPr>
          <w:b/>
          <w:sz w:val="18"/>
        </w:rPr>
      </w:pPr>
      <w:r>
        <w:rPr>
          <w:b/>
          <w:sz w:val="18"/>
        </w:rPr>
        <w:t>Parent entity</w:t>
      </w:r>
    </w:p>
    <w:p>
      <w:pPr>
        <w:pStyle w:val="BodyText"/>
        <w:spacing w:before="4"/>
        <w:rPr>
          <w:b/>
          <w:sz w:val="25"/>
        </w:rPr>
      </w:pPr>
    </w:p>
    <w:p>
      <w:pPr>
        <w:pStyle w:val="BodyText"/>
        <w:ind w:left="572" w:right="19"/>
      </w:pPr>
      <w:r>
        <w:rPr/>
        <w:t>The ultimate parent entity of the Trust is Western Sydney University.</w:t>
      </w:r>
    </w:p>
    <w:p>
      <w:pPr>
        <w:pStyle w:val="BodyText"/>
        <w:spacing w:before="11"/>
        <w:rPr>
          <w:sz w:val="19"/>
        </w:rPr>
      </w:pPr>
    </w:p>
    <w:p>
      <w:pPr>
        <w:spacing w:after="0"/>
        <w:rPr>
          <w:sz w:val="19"/>
        </w:rPr>
        <w:sectPr>
          <w:pgSz w:w="11910" w:h="16840"/>
          <w:pgMar w:header="1038" w:footer="507" w:top="2520" w:bottom="700" w:left="860" w:right="860"/>
        </w:sectPr>
      </w:pPr>
    </w:p>
    <w:p>
      <w:pPr>
        <w:pStyle w:val="Heading9"/>
        <w:numPr>
          <w:ilvl w:val="1"/>
          <w:numId w:val="96"/>
        </w:numPr>
        <w:tabs>
          <w:tab w:pos="1112" w:val="left" w:leader="none"/>
        </w:tabs>
        <w:spacing w:line="240" w:lineRule="auto" w:before="77" w:after="0"/>
        <w:ind w:left="1111" w:right="0" w:hanging="566"/>
        <w:jc w:val="left"/>
      </w:pPr>
      <w:r>
        <w:rPr/>
        <w:t>Transactions with related parties</w:t>
      </w:r>
    </w:p>
    <w:p>
      <w:pPr>
        <w:pStyle w:val="BodyText"/>
        <w:rPr>
          <w:b/>
        </w:rPr>
      </w:pPr>
      <w:r>
        <w:rPr/>
        <w:br w:type="column"/>
      </w:r>
      <w:r>
        <w:rPr>
          <w:b/>
        </w:rPr>
      </w:r>
    </w:p>
    <w:p>
      <w:pPr>
        <w:spacing w:before="115"/>
        <w:ind w:left="545" w:right="0" w:firstLine="0"/>
        <w:jc w:val="center"/>
        <w:rPr>
          <w:b/>
          <w:sz w:val="18"/>
        </w:rPr>
      </w:pPr>
      <w:r>
        <w:rPr>
          <w:b/>
          <w:sz w:val="18"/>
        </w:rPr>
        <w:t>2017</w:t>
      </w:r>
    </w:p>
    <w:p>
      <w:pPr>
        <w:spacing w:before="66"/>
        <w:ind w:left="0" w:right="148" w:firstLine="0"/>
        <w:jc w:val="right"/>
        <w:rPr>
          <w:b/>
          <w:sz w:val="18"/>
        </w:rPr>
      </w:pPr>
      <w:r>
        <w:rPr>
          <w:b/>
          <w:w w:val="99"/>
          <w:sz w:val="18"/>
        </w:rPr>
        <w:t>$</w:t>
      </w:r>
    </w:p>
    <w:p>
      <w:pPr>
        <w:pStyle w:val="BodyText"/>
        <w:rPr>
          <w:b/>
        </w:rPr>
      </w:pPr>
      <w:r>
        <w:rPr/>
        <w:br w:type="column"/>
      </w:r>
      <w:r>
        <w:rPr>
          <w:b/>
        </w:rPr>
      </w:r>
    </w:p>
    <w:p>
      <w:pPr>
        <w:spacing w:before="115"/>
        <w:ind w:left="529" w:right="548" w:firstLine="0"/>
        <w:jc w:val="center"/>
        <w:rPr>
          <w:b/>
          <w:sz w:val="18"/>
        </w:rPr>
      </w:pPr>
      <w:r>
        <w:rPr>
          <w:b/>
          <w:sz w:val="18"/>
        </w:rPr>
        <w:t>2016</w:t>
      </w:r>
    </w:p>
    <w:p>
      <w:pPr>
        <w:spacing w:before="66"/>
        <w:ind w:left="0" w:right="19" w:firstLine="0"/>
        <w:jc w:val="center"/>
        <w:rPr>
          <w:b/>
          <w:sz w:val="18"/>
        </w:rPr>
      </w:pPr>
      <w:r>
        <w:rPr>
          <w:b/>
          <w:w w:val="99"/>
          <w:sz w:val="18"/>
        </w:rPr>
        <w:t>$</w:t>
      </w:r>
    </w:p>
    <w:p>
      <w:pPr>
        <w:spacing w:after="0"/>
        <w:jc w:val="center"/>
        <w:rPr>
          <w:sz w:val="18"/>
        </w:rPr>
        <w:sectPr>
          <w:type w:val="continuous"/>
          <w:pgSz w:w="11910" w:h="16840"/>
          <w:pgMar w:top="1580" w:bottom="280" w:left="860" w:right="860"/>
          <w:cols w:num="3" w:equalWidth="0">
            <w:col w:w="3923" w:space="3452"/>
            <w:col w:w="946" w:space="351"/>
            <w:col w:w="1518"/>
          </w:cols>
        </w:sectPr>
      </w:pPr>
    </w:p>
    <w:p>
      <w:pPr>
        <w:pStyle w:val="BodyText"/>
        <w:tabs>
          <w:tab w:pos="8170" w:val="left" w:leader="none"/>
          <w:tab w:pos="9368" w:val="left" w:leader="none"/>
        </w:tabs>
        <w:spacing w:before="63"/>
        <w:ind w:left="572" w:right="19"/>
      </w:pPr>
      <w:r>
        <w:rPr/>
        <w:t>Matched Donations from the Ultimate</w:t>
      </w:r>
      <w:r>
        <w:rPr>
          <w:spacing w:val="-1"/>
        </w:rPr>
        <w:t> </w:t>
      </w:r>
      <w:r>
        <w:rPr/>
        <w:t>Parent</w:t>
      </w:r>
      <w:r>
        <w:rPr>
          <w:spacing w:val="-1"/>
        </w:rPr>
        <w:t> </w:t>
      </w:r>
      <w:r>
        <w:rPr/>
        <w:t>Entity</w:t>
        <w:tab/>
      </w:r>
      <w:r>
        <w:rPr>
          <w:b/>
        </w:rPr>
        <w:t>(8,290)</w:t>
        <w:tab/>
      </w:r>
      <w:r>
        <w:rPr/>
        <w:t>(10,804)</w:t>
      </w:r>
    </w:p>
    <w:p>
      <w:pPr>
        <w:pStyle w:val="BodyText"/>
        <w:tabs>
          <w:tab w:pos="8031" w:val="left" w:leader="none"/>
          <w:tab w:pos="9428" w:val="left" w:leader="none"/>
        </w:tabs>
        <w:spacing w:before="57"/>
        <w:ind w:left="572" w:right="19"/>
      </w:pPr>
      <w:r>
        <w:rPr/>
        <w:t>Payment to Ultimate</w:t>
      </w:r>
      <w:r>
        <w:rPr>
          <w:spacing w:val="-1"/>
        </w:rPr>
        <w:t> </w:t>
      </w:r>
      <w:r>
        <w:rPr/>
        <w:t>Parent</w:t>
      </w:r>
      <w:r>
        <w:rPr>
          <w:spacing w:val="-1"/>
        </w:rPr>
        <w:t> </w:t>
      </w:r>
      <w:r>
        <w:rPr/>
        <w:t>Entity</w:t>
        <w:tab/>
      </w:r>
      <w:r>
        <w:rPr>
          <w:b/>
        </w:rPr>
        <w:t>107,543</w:t>
        <w:tab/>
      </w:r>
      <w:r>
        <w:rPr/>
        <w:t>55,870</w:t>
      </w:r>
    </w:p>
    <w:p>
      <w:pPr>
        <w:pStyle w:val="BodyText"/>
      </w:pPr>
    </w:p>
    <w:p>
      <w:pPr>
        <w:pStyle w:val="Heading9"/>
        <w:numPr>
          <w:ilvl w:val="0"/>
          <w:numId w:val="96"/>
        </w:numPr>
        <w:tabs>
          <w:tab w:pos="544" w:val="left" w:leader="none"/>
        </w:tabs>
        <w:spacing w:line="240" w:lineRule="auto" w:before="127" w:after="0"/>
        <w:ind w:left="543" w:right="0" w:hanging="395"/>
        <w:jc w:val="left"/>
      </w:pPr>
      <w:r>
        <w:rPr/>
        <w:t>Economic</w:t>
      </w:r>
      <w:r>
        <w:rPr>
          <w:spacing w:val="-1"/>
        </w:rPr>
        <w:t> </w:t>
      </w:r>
      <w:r>
        <w:rPr/>
        <w:t>dependency</w:t>
      </w:r>
    </w:p>
    <w:p>
      <w:pPr>
        <w:pStyle w:val="BodyText"/>
        <w:rPr>
          <w:b/>
          <w:sz w:val="25"/>
        </w:rPr>
      </w:pPr>
    </w:p>
    <w:p>
      <w:pPr>
        <w:pStyle w:val="BodyText"/>
        <w:ind w:left="572" w:right="213"/>
      </w:pPr>
      <w:r>
        <w:rPr/>
        <w:t>The Trust is economically dependent on the Western Sydney University for the provision of office accommodation and support activities.</w:t>
      </w:r>
    </w:p>
    <w:p>
      <w:pPr>
        <w:pStyle w:val="BodyText"/>
        <w:spacing w:before="11"/>
        <w:rPr>
          <w:sz w:val="19"/>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2"/>
        <w:gridCol w:w="7025"/>
        <w:gridCol w:w="1502"/>
        <w:gridCol w:w="1093"/>
      </w:tblGrid>
      <w:tr>
        <w:trPr>
          <w:trHeight w:val="974" w:hRule="exact"/>
        </w:trPr>
        <w:tc>
          <w:tcPr>
            <w:tcW w:w="332" w:type="dxa"/>
          </w:tcPr>
          <w:p>
            <w:pPr>
              <w:pStyle w:val="TableParagraph"/>
              <w:spacing w:before="77"/>
              <w:ind w:left="35"/>
              <w:rPr>
                <w:b/>
                <w:sz w:val="18"/>
              </w:rPr>
            </w:pPr>
            <w:r>
              <w:rPr>
                <w:b/>
                <w:sz w:val="18"/>
              </w:rPr>
              <w:t>16</w:t>
            </w:r>
          </w:p>
        </w:tc>
        <w:tc>
          <w:tcPr>
            <w:tcW w:w="7025" w:type="dxa"/>
          </w:tcPr>
          <w:p>
            <w:pPr>
              <w:pStyle w:val="TableParagraph"/>
              <w:spacing w:before="77"/>
              <w:ind w:left="97"/>
              <w:rPr>
                <w:b/>
                <w:sz w:val="18"/>
              </w:rPr>
            </w:pPr>
            <w:r>
              <w:rPr>
                <w:b/>
                <w:sz w:val="18"/>
              </w:rPr>
              <w:t>Reconciliation of surplus/(deficit) to net cash provided by operating activities</w:t>
            </w:r>
          </w:p>
          <w:p>
            <w:pPr>
              <w:pStyle w:val="TableParagraph"/>
              <w:rPr>
                <w:sz w:val="18"/>
              </w:rPr>
            </w:pPr>
          </w:p>
          <w:p>
            <w:pPr>
              <w:pStyle w:val="TableParagraph"/>
              <w:spacing w:before="3"/>
              <w:rPr>
                <w:sz w:val="18"/>
              </w:rPr>
            </w:pPr>
          </w:p>
          <w:p>
            <w:pPr>
              <w:pStyle w:val="TableParagraph"/>
              <w:ind w:left="125"/>
              <w:rPr>
                <w:sz w:val="18"/>
              </w:rPr>
            </w:pPr>
            <w:r>
              <w:rPr>
                <w:sz w:val="18"/>
              </w:rPr>
              <w:t>Surplus for the year</w:t>
            </w:r>
          </w:p>
        </w:tc>
        <w:tc>
          <w:tcPr>
            <w:tcW w:w="1502" w:type="dxa"/>
          </w:tcPr>
          <w:p>
            <w:pPr>
              <w:pStyle w:val="TableParagraph"/>
              <w:rPr>
                <w:sz w:val="25"/>
              </w:rPr>
            </w:pPr>
          </w:p>
          <w:p>
            <w:pPr>
              <w:pStyle w:val="TableParagraph"/>
              <w:spacing w:line="207" w:lineRule="exact"/>
              <w:ind w:left="448" w:right="270"/>
              <w:rPr>
                <w:b/>
                <w:sz w:val="18"/>
              </w:rPr>
            </w:pPr>
            <w:r>
              <w:rPr>
                <w:b/>
                <w:sz w:val="18"/>
              </w:rPr>
              <w:t>2017</w:t>
            </w:r>
          </w:p>
          <w:p>
            <w:pPr>
              <w:pStyle w:val="TableParagraph"/>
              <w:ind w:left="560" w:right="270" w:firstLine="38"/>
              <w:rPr>
                <w:b/>
                <w:sz w:val="18"/>
              </w:rPr>
            </w:pPr>
            <w:r>
              <w:rPr>
                <w:b/>
                <w:sz w:val="18"/>
              </w:rPr>
              <w:t>$ 117,782</w:t>
            </w:r>
          </w:p>
        </w:tc>
        <w:tc>
          <w:tcPr>
            <w:tcW w:w="1093" w:type="dxa"/>
          </w:tcPr>
          <w:p>
            <w:pPr>
              <w:pStyle w:val="TableParagraph"/>
              <w:rPr>
                <w:sz w:val="25"/>
              </w:rPr>
            </w:pPr>
          </w:p>
          <w:p>
            <w:pPr>
              <w:pStyle w:val="TableParagraph"/>
              <w:spacing w:line="207" w:lineRule="exact"/>
              <w:ind w:left="212" w:right="440"/>
              <w:jc w:val="center"/>
              <w:rPr>
                <w:b/>
                <w:sz w:val="18"/>
              </w:rPr>
            </w:pPr>
            <w:r>
              <w:rPr>
                <w:b/>
                <w:sz w:val="18"/>
              </w:rPr>
              <w:t>2016</w:t>
            </w:r>
          </w:p>
          <w:p>
            <w:pPr>
              <w:pStyle w:val="TableParagraph"/>
              <w:spacing w:line="206" w:lineRule="exact"/>
              <w:ind w:right="228"/>
              <w:jc w:val="center"/>
              <w:rPr>
                <w:b/>
                <w:sz w:val="18"/>
              </w:rPr>
            </w:pPr>
            <w:r>
              <w:rPr>
                <w:b/>
                <w:w w:val="99"/>
                <w:sz w:val="18"/>
              </w:rPr>
              <w:t>$</w:t>
            </w:r>
          </w:p>
          <w:p>
            <w:pPr>
              <w:pStyle w:val="TableParagraph"/>
              <w:spacing w:line="207" w:lineRule="exact"/>
              <w:ind w:left="357"/>
              <w:rPr>
                <w:sz w:val="18"/>
              </w:rPr>
            </w:pPr>
            <w:r>
              <w:rPr>
                <w:sz w:val="18"/>
              </w:rPr>
              <w:t>139,121</w:t>
            </w:r>
          </w:p>
        </w:tc>
      </w:tr>
      <w:tr>
        <w:trPr>
          <w:trHeight w:val="483" w:hRule="exact"/>
        </w:trPr>
        <w:tc>
          <w:tcPr>
            <w:tcW w:w="332" w:type="dxa"/>
          </w:tcPr>
          <w:p>
            <w:pPr/>
          </w:p>
        </w:tc>
        <w:tc>
          <w:tcPr>
            <w:tcW w:w="7025" w:type="dxa"/>
          </w:tcPr>
          <w:p>
            <w:pPr>
              <w:pStyle w:val="TableParagraph"/>
              <w:spacing w:line="207" w:lineRule="exact" w:before="46"/>
              <w:ind w:left="126"/>
              <w:rPr>
                <w:b/>
                <w:sz w:val="18"/>
              </w:rPr>
            </w:pPr>
            <w:r>
              <w:rPr>
                <w:b/>
                <w:sz w:val="18"/>
              </w:rPr>
              <w:t>Changes in assets and liabilities:</w:t>
            </w:r>
          </w:p>
          <w:p>
            <w:pPr>
              <w:pStyle w:val="TableParagraph"/>
              <w:spacing w:line="207" w:lineRule="exact"/>
              <w:ind w:left="391"/>
              <w:rPr>
                <w:sz w:val="18"/>
              </w:rPr>
            </w:pPr>
            <w:r>
              <w:rPr>
                <w:sz w:val="18"/>
              </w:rPr>
              <w:t>- (increase)/decrease in trade and other receivables</w:t>
            </w:r>
          </w:p>
        </w:tc>
        <w:tc>
          <w:tcPr>
            <w:tcW w:w="1502" w:type="dxa"/>
          </w:tcPr>
          <w:p>
            <w:pPr>
              <w:pStyle w:val="TableParagraph"/>
              <w:rPr>
                <w:sz w:val="22"/>
              </w:rPr>
            </w:pPr>
          </w:p>
          <w:p>
            <w:pPr>
              <w:pStyle w:val="TableParagraph"/>
              <w:ind w:right="230"/>
              <w:jc w:val="right"/>
              <w:rPr>
                <w:b/>
                <w:sz w:val="18"/>
              </w:rPr>
            </w:pPr>
            <w:r>
              <w:rPr>
                <w:b/>
                <w:w w:val="95"/>
                <w:sz w:val="18"/>
              </w:rPr>
              <w:t>(52)</w:t>
            </w:r>
          </w:p>
        </w:tc>
        <w:tc>
          <w:tcPr>
            <w:tcW w:w="1093" w:type="dxa"/>
          </w:tcPr>
          <w:p>
            <w:pPr>
              <w:pStyle w:val="TableParagraph"/>
              <w:rPr>
                <w:sz w:val="22"/>
              </w:rPr>
            </w:pPr>
          </w:p>
          <w:p>
            <w:pPr>
              <w:pStyle w:val="TableParagraph"/>
              <w:ind w:right="24"/>
              <w:jc w:val="right"/>
              <w:rPr>
                <w:sz w:val="18"/>
              </w:rPr>
            </w:pPr>
            <w:r>
              <w:rPr>
                <w:w w:val="95"/>
                <w:sz w:val="18"/>
              </w:rPr>
              <w:t>(3,700)</w:t>
            </w:r>
          </w:p>
        </w:tc>
      </w:tr>
      <w:tr>
        <w:trPr>
          <w:trHeight w:val="250" w:hRule="exact"/>
        </w:trPr>
        <w:tc>
          <w:tcPr>
            <w:tcW w:w="332" w:type="dxa"/>
          </w:tcPr>
          <w:p>
            <w:pPr/>
          </w:p>
        </w:tc>
        <w:tc>
          <w:tcPr>
            <w:tcW w:w="7025" w:type="dxa"/>
          </w:tcPr>
          <w:p>
            <w:pPr>
              <w:pStyle w:val="TableParagraph"/>
              <w:spacing w:before="4"/>
              <w:ind w:left="390"/>
              <w:rPr>
                <w:sz w:val="18"/>
              </w:rPr>
            </w:pPr>
            <w:r>
              <w:rPr>
                <w:sz w:val="18"/>
              </w:rPr>
              <w:t>- (increase)/decrease in assets</w:t>
            </w:r>
          </w:p>
        </w:tc>
        <w:tc>
          <w:tcPr>
            <w:tcW w:w="1502" w:type="dxa"/>
          </w:tcPr>
          <w:p>
            <w:pPr>
              <w:pStyle w:val="TableParagraph"/>
              <w:spacing w:before="5"/>
              <w:ind w:right="229"/>
              <w:jc w:val="right"/>
              <w:rPr>
                <w:b/>
                <w:sz w:val="18"/>
              </w:rPr>
            </w:pPr>
            <w:r>
              <w:rPr>
                <w:b/>
                <w:w w:val="95"/>
                <w:sz w:val="18"/>
              </w:rPr>
              <w:t>(30,730)</w:t>
            </w:r>
          </w:p>
        </w:tc>
        <w:tc>
          <w:tcPr>
            <w:tcW w:w="1093" w:type="dxa"/>
          </w:tcPr>
          <w:p>
            <w:pPr>
              <w:pStyle w:val="TableParagraph"/>
              <w:spacing w:before="5"/>
              <w:ind w:right="23"/>
              <w:jc w:val="right"/>
              <w:rPr>
                <w:sz w:val="18"/>
              </w:rPr>
            </w:pPr>
            <w:r>
              <w:rPr>
                <w:w w:val="95"/>
                <w:sz w:val="18"/>
              </w:rPr>
              <w:t>(31,575)</w:t>
            </w:r>
          </w:p>
        </w:tc>
      </w:tr>
      <w:tr>
        <w:trPr>
          <w:trHeight w:val="259" w:hRule="exact"/>
        </w:trPr>
        <w:tc>
          <w:tcPr>
            <w:tcW w:w="332" w:type="dxa"/>
          </w:tcPr>
          <w:p>
            <w:pPr/>
          </w:p>
        </w:tc>
        <w:tc>
          <w:tcPr>
            <w:tcW w:w="7025" w:type="dxa"/>
          </w:tcPr>
          <w:p>
            <w:pPr>
              <w:pStyle w:val="TableParagraph"/>
              <w:spacing w:before="18"/>
              <w:ind w:left="390"/>
              <w:rPr>
                <w:sz w:val="18"/>
              </w:rPr>
            </w:pPr>
            <w:r>
              <w:rPr>
                <w:sz w:val="18"/>
              </w:rPr>
              <w:t>- increase/(decrease) in other liabilities</w:t>
            </w:r>
          </w:p>
        </w:tc>
        <w:tc>
          <w:tcPr>
            <w:tcW w:w="1502" w:type="dxa"/>
            <w:tcBorders>
              <w:bottom w:val="single" w:sz="0" w:space="0" w:color="000000"/>
            </w:tcBorders>
          </w:tcPr>
          <w:p>
            <w:pPr>
              <w:pStyle w:val="TableParagraph"/>
              <w:spacing w:before="19"/>
              <w:ind w:left="560"/>
              <w:rPr>
                <w:b/>
                <w:sz w:val="18"/>
              </w:rPr>
            </w:pPr>
            <w:r>
              <w:rPr>
                <w:b/>
                <w:sz w:val="18"/>
              </w:rPr>
              <w:t>103,964</w:t>
            </w:r>
          </w:p>
        </w:tc>
        <w:tc>
          <w:tcPr>
            <w:tcW w:w="1093" w:type="dxa"/>
            <w:tcBorders>
              <w:bottom w:val="single" w:sz="0" w:space="0" w:color="000000"/>
            </w:tcBorders>
          </w:tcPr>
          <w:p>
            <w:pPr>
              <w:pStyle w:val="TableParagraph"/>
              <w:spacing w:before="19"/>
              <w:ind w:right="24"/>
              <w:jc w:val="right"/>
              <w:rPr>
                <w:sz w:val="18"/>
              </w:rPr>
            </w:pPr>
            <w:r>
              <w:rPr>
                <w:w w:val="95"/>
                <w:sz w:val="18"/>
              </w:rPr>
              <w:t>(600)</w:t>
            </w:r>
          </w:p>
        </w:tc>
      </w:tr>
      <w:tr>
        <w:trPr>
          <w:trHeight w:val="221" w:hRule="exact"/>
        </w:trPr>
        <w:tc>
          <w:tcPr>
            <w:tcW w:w="332" w:type="dxa"/>
          </w:tcPr>
          <w:p>
            <w:pPr/>
          </w:p>
        </w:tc>
        <w:tc>
          <w:tcPr>
            <w:tcW w:w="7025" w:type="dxa"/>
          </w:tcPr>
          <w:p>
            <w:pPr>
              <w:pStyle w:val="TableParagraph"/>
              <w:spacing w:before="6"/>
              <w:ind w:left="126"/>
              <w:rPr>
                <w:sz w:val="18"/>
              </w:rPr>
            </w:pPr>
            <w:r>
              <w:rPr>
                <w:sz w:val="18"/>
              </w:rPr>
              <w:t>Net cash flows provided by operating activities</w:t>
            </w:r>
          </w:p>
        </w:tc>
        <w:tc>
          <w:tcPr>
            <w:tcW w:w="1502" w:type="dxa"/>
            <w:tcBorders>
              <w:top w:val="single" w:sz="0" w:space="0" w:color="000000"/>
              <w:bottom w:val="single" w:sz="0" w:space="0" w:color="000000"/>
            </w:tcBorders>
          </w:tcPr>
          <w:p>
            <w:pPr>
              <w:pStyle w:val="TableParagraph"/>
              <w:spacing w:before="5"/>
              <w:ind w:left="560"/>
              <w:rPr>
                <w:b/>
                <w:sz w:val="18"/>
              </w:rPr>
            </w:pPr>
            <w:r>
              <w:rPr>
                <w:b/>
                <w:sz w:val="18"/>
              </w:rPr>
              <w:t>190,964</w:t>
            </w:r>
          </w:p>
        </w:tc>
        <w:tc>
          <w:tcPr>
            <w:tcW w:w="1093" w:type="dxa"/>
            <w:tcBorders>
              <w:top w:val="single" w:sz="0" w:space="0" w:color="000000"/>
              <w:bottom w:val="single" w:sz="0" w:space="0" w:color="000000"/>
            </w:tcBorders>
          </w:tcPr>
          <w:p>
            <w:pPr>
              <w:pStyle w:val="TableParagraph"/>
              <w:spacing w:before="5"/>
              <w:ind w:right="83"/>
              <w:jc w:val="right"/>
              <w:rPr>
                <w:sz w:val="18"/>
              </w:rPr>
            </w:pPr>
            <w:r>
              <w:rPr>
                <w:w w:val="95"/>
                <w:sz w:val="18"/>
              </w:rPr>
              <w:t>103,246</w:t>
            </w:r>
          </w:p>
        </w:tc>
      </w:tr>
    </w:tbl>
    <w:p>
      <w:pPr>
        <w:pStyle w:val="BodyText"/>
        <w:rPr>
          <w:sz w:val="20"/>
        </w:rPr>
      </w:pPr>
    </w:p>
    <w:p>
      <w:pPr>
        <w:pStyle w:val="BodyText"/>
        <w:rPr>
          <w:sz w:val="20"/>
        </w:rPr>
      </w:pPr>
    </w:p>
    <w:p>
      <w:pPr>
        <w:pStyle w:val="BodyText"/>
        <w:spacing w:before="3"/>
        <w:rPr>
          <w:sz w:val="22"/>
        </w:rPr>
      </w:pPr>
    </w:p>
    <w:p>
      <w:pPr>
        <w:pStyle w:val="Heading9"/>
        <w:spacing w:before="77"/>
        <w:ind w:left="149" w:right="19"/>
      </w:pPr>
      <w:r>
        <w:rPr/>
        <w:t>17    Events occurring after the reporting date</w:t>
      </w:r>
    </w:p>
    <w:p>
      <w:pPr>
        <w:pStyle w:val="BodyText"/>
        <w:rPr>
          <w:b/>
          <w:sz w:val="25"/>
        </w:rPr>
      </w:pPr>
    </w:p>
    <w:p>
      <w:pPr>
        <w:pStyle w:val="BodyText"/>
        <w:ind w:left="572" w:right="113" w:hanging="1"/>
      </w:pPr>
      <w:r>
        <w:rPr/>
        <w:t>No matters or circumstances have arisen since the end of the financial year which significantly affected or may significantly affect the operations of the Trust, the results of those operations, or the state of affairs of the Trust in future financial years (2016: nil).</w:t>
      </w:r>
    </w:p>
    <w:p>
      <w:pPr>
        <w:pStyle w:val="BodyText"/>
      </w:pPr>
    </w:p>
    <w:p>
      <w:pPr>
        <w:pStyle w:val="BodyText"/>
      </w:pPr>
    </w:p>
    <w:p>
      <w:pPr>
        <w:pStyle w:val="BodyText"/>
      </w:pPr>
    </w:p>
    <w:p>
      <w:pPr>
        <w:pStyle w:val="BodyText"/>
        <w:spacing w:before="161"/>
        <w:ind w:left="572" w:right="19"/>
      </w:pPr>
      <w:r>
        <w:rPr/>
        <w:t>END OF AUDITED FINANCIAL STATEMENTS</w:t>
      </w:r>
    </w:p>
    <w:p>
      <w:pPr>
        <w:spacing w:after="0"/>
        <w:sectPr>
          <w:type w:val="continuous"/>
          <w:pgSz w:w="11910" w:h="16840"/>
          <w:pgMar w:top="1580" w:bottom="280" w:left="860" w:right="860"/>
        </w:sectPr>
      </w:pPr>
    </w:p>
    <w:p>
      <w:pPr>
        <w:pStyle w:val="BodyText"/>
        <w:spacing w:before="3"/>
        <w:rPr>
          <w:sz w:val="24"/>
        </w:rPr>
      </w:pPr>
    </w:p>
    <w:p>
      <w:pPr>
        <w:spacing w:before="64"/>
        <w:ind w:left="147" w:right="220" w:firstLine="0"/>
        <w:jc w:val="left"/>
        <w:rPr>
          <w:b/>
          <w:sz w:val="28"/>
        </w:rPr>
      </w:pPr>
      <w:r>
        <w:rPr>
          <w:b/>
          <w:sz w:val="28"/>
        </w:rPr>
        <w:t>Trustees' declaration</w:t>
      </w:r>
    </w:p>
    <w:p>
      <w:pPr>
        <w:pStyle w:val="BodyText"/>
        <w:rPr>
          <w:b/>
          <w:sz w:val="25"/>
        </w:rPr>
      </w:pPr>
    </w:p>
    <w:p>
      <w:pPr>
        <w:pStyle w:val="BodyText"/>
        <w:ind w:left="147" w:right="220"/>
      </w:pPr>
      <w:r>
        <w:rPr/>
        <w:t>In the Trustee's opinion:</w:t>
      </w:r>
    </w:p>
    <w:p>
      <w:pPr>
        <w:pStyle w:val="BodyText"/>
        <w:spacing w:before="6"/>
        <w:rPr>
          <w:sz w:val="19"/>
        </w:rPr>
      </w:pPr>
    </w:p>
    <w:p>
      <w:pPr>
        <w:pStyle w:val="ListParagraph"/>
        <w:numPr>
          <w:ilvl w:val="0"/>
          <w:numId w:val="98"/>
        </w:numPr>
        <w:tabs>
          <w:tab w:pos="541" w:val="left" w:leader="none"/>
        </w:tabs>
        <w:spacing w:line="240" w:lineRule="auto" w:before="0" w:after="0"/>
        <w:ind w:left="544" w:right="0" w:hanging="396"/>
        <w:jc w:val="left"/>
        <w:rPr>
          <w:sz w:val="18"/>
        </w:rPr>
      </w:pPr>
      <w:r>
        <w:rPr>
          <w:sz w:val="18"/>
        </w:rPr>
        <w:t>the financial statements and notes, as set out on pages 222 to</w:t>
      </w:r>
      <w:r>
        <w:rPr>
          <w:spacing w:val="-1"/>
          <w:sz w:val="18"/>
        </w:rPr>
        <w:t> </w:t>
      </w:r>
      <w:r>
        <w:rPr>
          <w:sz w:val="18"/>
        </w:rPr>
        <w:t>240:</w:t>
      </w:r>
    </w:p>
    <w:p>
      <w:pPr>
        <w:pStyle w:val="BodyText"/>
        <w:spacing w:before="4"/>
        <w:rPr>
          <w:sz w:val="25"/>
        </w:rPr>
      </w:pPr>
    </w:p>
    <w:p>
      <w:pPr>
        <w:pStyle w:val="ListParagraph"/>
        <w:numPr>
          <w:ilvl w:val="1"/>
          <w:numId w:val="98"/>
        </w:numPr>
        <w:tabs>
          <w:tab w:pos="942" w:val="left" w:leader="none"/>
        </w:tabs>
        <w:spacing w:line="207" w:lineRule="exact" w:before="0" w:after="0"/>
        <w:ind w:left="941" w:right="0" w:hanging="397"/>
        <w:jc w:val="left"/>
        <w:rPr>
          <w:i/>
          <w:sz w:val="18"/>
        </w:rPr>
      </w:pPr>
      <w:r>
        <w:rPr>
          <w:sz w:val="18"/>
        </w:rPr>
        <w:t>comply with Australian Accounting Standards and other interpretations, the </w:t>
      </w:r>
      <w:r>
        <w:rPr>
          <w:i/>
          <w:sz w:val="18"/>
        </w:rPr>
        <w:t>Public Finance and Audit Act</w:t>
      </w:r>
      <w:r>
        <w:rPr>
          <w:i/>
          <w:spacing w:val="-29"/>
          <w:sz w:val="18"/>
        </w:rPr>
        <w:t> </w:t>
      </w:r>
      <w:r>
        <w:rPr>
          <w:i/>
          <w:sz w:val="18"/>
        </w:rPr>
        <w:t>1983,</w:t>
      </w:r>
    </w:p>
    <w:p>
      <w:pPr>
        <w:spacing w:line="207" w:lineRule="exact" w:before="0"/>
        <w:ind w:left="941" w:right="220" w:firstLine="0"/>
        <w:jc w:val="left"/>
        <w:rPr>
          <w:sz w:val="18"/>
        </w:rPr>
      </w:pPr>
      <w:r>
        <w:rPr>
          <w:sz w:val="18"/>
        </w:rPr>
        <w:t>the </w:t>
      </w:r>
      <w:r>
        <w:rPr>
          <w:i/>
          <w:sz w:val="18"/>
        </w:rPr>
        <w:t>Public Finance and Audit Regulation 2015 </w:t>
      </w:r>
      <w:r>
        <w:rPr>
          <w:sz w:val="18"/>
        </w:rPr>
        <w:t>and other mandatory professional reporting requirements; and</w:t>
      </w:r>
    </w:p>
    <w:p>
      <w:pPr>
        <w:pStyle w:val="BodyText"/>
        <w:rPr>
          <w:sz w:val="25"/>
        </w:rPr>
      </w:pPr>
    </w:p>
    <w:p>
      <w:pPr>
        <w:pStyle w:val="ListParagraph"/>
        <w:numPr>
          <w:ilvl w:val="1"/>
          <w:numId w:val="98"/>
        </w:numPr>
        <w:tabs>
          <w:tab w:pos="942" w:val="left" w:leader="none"/>
        </w:tabs>
        <w:spacing w:line="240" w:lineRule="auto" w:before="0" w:after="0"/>
        <w:ind w:left="941" w:right="117" w:hanging="397"/>
        <w:jc w:val="left"/>
        <w:rPr>
          <w:sz w:val="18"/>
        </w:rPr>
      </w:pPr>
      <w:r>
        <w:rPr>
          <w:sz w:val="18"/>
        </w:rPr>
        <w:t>give a true and fair view of the Trust's financial position as at 31 December 2017 and financial performance for the financial year ended on that</w:t>
      </w:r>
      <w:r>
        <w:rPr>
          <w:spacing w:val="-1"/>
          <w:sz w:val="18"/>
        </w:rPr>
        <w:t> </w:t>
      </w:r>
      <w:r>
        <w:rPr>
          <w:sz w:val="18"/>
        </w:rPr>
        <w:t>date;</w:t>
      </w:r>
    </w:p>
    <w:p>
      <w:pPr>
        <w:pStyle w:val="BodyText"/>
        <w:spacing w:before="10"/>
        <w:rPr>
          <w:sz w:val="17"/>
        </w:rPr>
      </w:pPr>
    </w:p>
    <w:p>
      <w:pPr>
        <w:pStyle w:val="ListParagraph"/>
        <w:numPr>
          <w:ilvl w:val="0"/>
          <w:numId w:val="98"/>
        </w:numPr>
        <w:tabs>
          <w:tab w:pos="545" w:val="left" w:leader="none"/>
        </w:tabs>
        <w:spacing w:line="240" w:lineRule="auto" w:before="0" w:after="0"/>
        <w:ind w:left="544" w:right="179" w:hanging="396"/>
        <w:jc w:val="left"/>
        <w:rPr>
          <w:sz w:val="18"/>
        </w:rPr>
      </w:pPr>
      <w:r>
        <w:rPr>
          <w:sz w:val="18"/>
        </w:rPr>
        <w:t>There are reasonable grounds to believe that the Trust will be able to pay its debts as and when they become due</w:t>
      </w:r>
      <w:r>
        <w:rPr>
          <w:spacing w:val="-9"/>
          <w:sz w:val="18"/>
        </w:rPr>
        <w:t> </w:t>
      </w:r>
      <w:r>
        <w:rPr>
          <w:sz w:val="18"/>
        </w:rPr>
        <w:t>and payable.</w:t>
      </w:r>
    </w:p>
    <w:p>
      <w:pPr>
        <w:pStyle w:val="ListParagraph"/>
        <w:numPr>
          <w:ilvl w:val="0"/>
          <w:numId w:val="98"/>
        </w:numPr>
        <w:tabs>
          <w:tab w:pos="545" w:val="left" w:leader="none"/>
        </w:tabs>
        <w:spacing w:line="240" w:lineRule="auto" w:before="0" w:after="0"/>
        <w:ind w:left="544" w:right="104" w:hanging="396"/>
        <w:jc w:val="left"/>
        <w:rPr>
          <w:sz w:val="18"/>
        </w:rPr>
      </w:pPr>
      <w:r>
        <w:rPr>
          <w:sz w:val="18"/>
        </w:rPr>
        <w:t>We are not aware of any circumstances which would render any particulars in the financial statements to be misleading or</w:t>
      </w:r>
      <w:r>
        <w:rPr>
          <w:spacing w:val="-1"/>
          <w:sz w:val="18"/>
        </w:rPr>
        <w:t> </w:t>
      </w:r>
      <w:r>
        <w:rPr>
          <w:sz w:val="18"/>
        </w:rPr>
        <w:t>inaccurate.</w:t>
      </w:r>
    </w:p>
    <w:p>
      <w:pPr>
        <w:pStyle w:val="BodyText"/>
        <w:rPr>
          <w:sz w:val="25"/>
        </w:rPr>
      </w:pPr>
    </w:p>
    <w:p>
      <w:pPr>
        <w:pStyle w:val="BodyText"/>
        <w:spacing w:after="19"/>
        <w:ind w:left="148" w:right="637"/>
      </w:pPr>
      <w:r>
        <w:rPr/>
        <w:pict>
          <v:shape style="position:absolute;margin-left:48.716827pt;margin-top:21.692749pt;width:470.15pt;height:127.1pt;mso-position-horizontal-relative:page;mso-position-vertical-relative:paragraph;z-index:-1178800"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spacing w:before="1"/>
                    <w:rPr>
                      <w:sz w:val="25"/>
                    </w:rPr>
                  </w:pPr>
                </w:p>
                <w:p>
                  <w:pPr>
                    <w:pStyle w:val="BodyText"/>
                    <w:tabs>
                      <w:tab w:pos="5035" w:val="left" w:leader="none"/>
                    </w:tabs>
                    <w:spacing w:before="1"/>
                    <w:ind w:left="75"/>
                  </w:pPr>
                  <w:r>
                    <w:rPr/>
                    <w:t>Director ..................................................................</w:t>
                    <w:tab/>
                    <w:t>Director</w:t>
                  </w:r>
                  <w:r>
                    <w:rPr>
                      <w:spacing w:val="1"/>
                    </w:rPr>
                    <w:t> </w:t>
                  </w:r>
                  <w:r>
                    <w:rPr/>
                    <w:t>..................................................................</w:t>
                  </w:r>
                </w:p>
                <w:p>
                  <w:pPr>
                    <w:pStyle w:val="BodyText"/>
                    <w:tabs>
                      <w:tab w:pos="5035" w:val="left" w:leader="none"/>
                    </w:tabs>
                    <w:spacing w:before="28"/>
                    <w:ind w:left="75"/>
                  </w:pPr>
                  <w:r>
                    <w:rPr/>
                    <w:t>The Hon.</w:t>
                  </w:r>
                  <w:r>
                    <w:rPr>
                      <w:spacing w:val="-1"/>
                    </w:rPr>
                    <w:t> </w:t>
                  </w:r>
                  <w:r>
                    <w:rPr/>
                    <w:t>John</w:t>
                  </w:r>
                  <w:r>
                    <w:rPr>
                      <w:spacing w:val="-1"/>
                    </w:rPr>
                    <w:t> </w:t>
                  </w:r>
                  <w:r>
                    <w:rPr/>
                    <w:t>Faulkner</w:t>
                    <w:tab/>
                    <w:t>Ms Gabrielle</w:t>
                  </w:r>
                  <w:r>
                    <w:rPr>
                      <w:spacing w:val="-1"/>
                    </w:rPr>
                    <w:t> </w:t>
                  </w:r>
                  <w:r>
                    <w:rPr/>
                    <w:t>Trainor</w:t>
                  </w:r>
                </w:p>
                <w:p>
                  <w:pPr>
                    <w:pStyle w:val="BodyText"/>
                  </w:pPr>
                </w:p>
                <w:p>
                  <w:pPr>
                    <w:pStyle w:val="BodyText"/>
                    <w:spacing w:before="3"/>
                    <w:rPr>
                      <w:sz w:val="20"/>
                    </w:rPr>
                  </w:pPr>
                </w:p>
                <w:p>
                  <w:pPr>
                    <w:pStyle w:val="BodyText"/>
                    <w:ind w:left="33"/>
                  </w:pPr>
                  <w:r>
                    <w:rPr/>
                    <w:t>Dated 23 February 2018</w:t>
                  </w:r>
                </w:p>
              </w:txbxContent>
            </v:textbox>
            <w10:wrap type="none"/>
          </v:shape>
        </w:pict>
      </w:r>
      <w:r>
        <w:rPr/>
        <w:t>This declaration is made in accordance with a resolution of the Trustee Company, the Whitlam Institute with Western, pursuant to the </w:t>
      </w:r>
      <w:r>
        <w:rPr>
          <w:i/>
        </w:rPr>
        <w:t>Public Finance and Audit Act 1983</w:t>
      </w:r>
      <w:r>
        <w:rPr/>
        <w:t>.</w:t>
      </w:r>
    </w:p>
    <w:p>
      <w:pPr>
        <w:pStyle w:val="BodyText"/>
        <w:ind w:left="114"/>
        <w:rPr>
          <w:sz w:val="20"/>
        </w:rPr>
      </w:pPr>
      <w:r>
        <w:rPr>
          <w:sz w:val="20"/>
        </w:rPr>
        <w:drawing>
          <wp:inline distT="0" distB="0" distL="0" distR="0">
            <wp:extent cx="5845661" cy="1580197"/>
            <wp:effectExtent l="0" t="0" r="0" b="0"/>
            <wp:docPr id="65" name="image42.jpeg" descr=""/>
            <wp:cNvGraphicFramePr>
              <a:graphicFrameLocks noChangeAspect="1"/>
            </wp:cNvGraphicFramePr>
            <a:graphic>
              <a:graphicData uri="http://schemas.openxmlformats.org/drawingml/2006/picture">
                <pic:pic>
                  <pic:nvPicPr>
                    <pic:cNvPr id="66" name="image42.jpeg"/>
                    <pic:cNvPicPr/>
                  </pic:nvPicPr>
                  <pic:blipFill>
                    <a:blip r:embed="rId168" cstate="print"/>
                    <a:stretch>
                      <a:fillRect/>
                    </a:stretch>
                  </pic:blipFill>
                  <pic:spPr>
                    <a:xfrm>
                      <a:off x="0" y="0"/>
                      <a:ext cx="5845661" cy="1580197"/>
                    </a:xfrm>
                    <a:prstGeom prst="rect">
                      <a:avLst/>
                    </a:prstGeom>
                  </pic:spPr>
                </pic:pic>
              </a:graphicData>
            </a:graphic>
          </wp:inline>
        </w:drawing>
      </w:r>
      <w:r>
        <w:rPr>
          <w:sz w:val="20"/>
        </w:rPr>
      </w:r>
    </w:p>
    <w:p>
      <w:pPr>
        <w:spacing w:after="0"/>
        <w:rPr>
          <w:sz w:val="20"/>
        </w:rPr>
        <w:sectPr>
          <w:headerReference w:type="default" r:id="rId167"/>
          <w:pgSz w:w="11910" w:h="16840"/>
          <w:pgMar w:header="1038" w:footer="507" w:top="1560" w:bottom="700" w:left="860" w:right="920"/>
        </w:sectPr>
      </w:pPr>
    </w:p>
    <w:p>
      <w:pPr>
        <w:pStyle w:val="BodyText"/>
        <w:ind w:left="4427"/>
        <w:rPr>
          <w:sz w:val="20"/>
        </w:rPr>
      </w:pPr>
      <w:r>
        <w:rPr>
          <w:sz w:val="20"/>
        </w:rPr>
        <w:drawing>
          <wp:inline distT="0" distB="0" distL="0" distR="0">
            <wp:extent cx="1005045" cy="1060703"/>
            <wp:effectExtent l="0" t="0" r="0" b="0"/>
            <wp:docPr id="67" name="image38.png" descr=""/>
            <wp:cNvGraphicFramePr>
              <a:graphicFrameLocks noChangeAspect="1"/>
            </wp:cNvGraphicFramePr>
            <a:graphic>
              <a:graphicData uri="http://schemas.openxmlformats.org/drawingml/2006/picture">
                <pic:pic>
                  <pic:nvPicPr>
                    <pic:cNvPr id="68" name="image38.png"/>
                    <pic:cNvPicPr/>
                  </pic:nvPicPr>
                  <pic:blipFill>
                    <a:blip r:embed="rId147" cstate="print"/>
                    <a:stretch>
                      <a:fillRect/>
                    </a:stretch>
                  </pic:blipFill>
                  <pic:spPr>
                    <a:xfrm>
                      <a:off x="0" y="0"/>
                      <a:ext cx="1005045" cy="1060703"/>
                    </a:xfrm>
                    <a:prstGeom prst="rect">
                      <a:avLst/>
                    </a:prstGeom>
                  </pic:spPr>
                </pic:pic>
              </a:graphicData>
            </a:graphic>
          </wp:inline>
        </w:drawing>
      </w:r>
      <w:r>
        <w:rPr>
          <w:sz w:val="20"/>
        </w:rPr>
      </w:r>
    </w:p>
    <w:p>
      <w:pPr>
        <w:pStyle w:val="BodyText"/>
        <w:spacing w:before="7"/>
        <w:rPr>
          <w:sz w:val="24"/>
        </w:rPr>
      </w:pPr>
    </w:p>
    <w:p>
      <w:pPr>
        <w:spacing w:before="70"/>
        <w:ind w:left="2368" w:right="2368" w:firstLine="0"/>
        <w:jc w:val="center"/>
        <w:rPr>
          <w:b/>
          <w:sz w:val="24"/>
        </w:rPr>
      </w:pPr>
      <w:r>
        <w:rPr>
          <w:b/>
          <w:sz w:val="24"/>
        </w:rPr>
        <w:t>INDEPENDENT AUDITOR’S REPORT</w:t>
      </w:r>
    </w:p>
    <w:p>
      <w:pPr>
        <w:spacing w:before="172"/>
        <w:ind w:left="2367" w:right="2376" w:firstLine="0"/>
        <w:jc w:val="center"/>
        <w:rPr>
          <w:b/>
          <w:sz w:val="20"/>
        </w:rPr>
      </w:pPr>
      <w:r>
        <w:rPr>
          <w:b/>
          <w:sz w:val="20"/>
        </w:rPr>
        <w:t>Whitlam Institute within Western Sydney University Trust</w:t>
      </w:r>
    </w:p>
    <w:p>
      <w:pPr>
        <w:pStyle w:val="BodyText"/>
        <w:rPr>
          <w:b/>
          <w:sz w:val="20"/>
        </w:rPr>
      </w:pPr>
    </w:p>
    <w:p>
      <w:pPr>
        <w:pStyle w:val="BodyText"/>
        <w:rPr>
          <w:b/>
          <w:sz w:val="20"/>
        </w:rPr>
      </w:pPr>
    </w:p>
    <w:p>
      <w:pPr>
        <w:spacing w:line="249" w:lineRule="auto" w:before="128"/>
        <w:ind w:left="676" w:right="997" w:firstLine="0"/>
        <w:jc w:val="left"/>
        <w:rPr>
          <w:sz w:val="20"/>
        </w:rPr>
      </w:pPr>
      <w:r>
        <w:rPr>
          <w:sz w:val="20"/>
        </w:rPr>
        <w:t>To Members of the New South Wales Parliament and Members of Whitlam Institute within Western Sydney University Trust</w:t>
      </w:r>
    </w:p>
    <w:p>
      <w:pPr>
        <w:spacing w:before="162"/>
        <w:ind w:left="676" w:right="995" w:firstLine="0"/>
        <w:jc w:val="left"/>
        <w:rPr>
          <w:b/>
          <w:sz w:val="24"/>
        </w:rPr>
      </w:pPr>
      <w:r>
        <w:rPr>
          <w:b/>
          <w:sz w:val="24"/>
        </w:rPr>
        <w:t>Opinion</w:t>
      </w:r>
    </w:p>
    <w:p>
      <w:pPr>
        <w:spacing w:line="249" w:lineRule="auto" w:before="121"/>
        <w:ind w:left="676" w:right="728" w:firstLine="0"/>
        <w:jc w:val="left"/>
        <w:rPr>
          <w:sz w:val="20"/>
        </w:rPr>
      </w:pPr>
      <w:r>
        <w:rPr>
          <w:sz w:val="20"/>
        </w:rPr>
        <w:t>I have audited the accompanying financial statements of the Whitlam Institute within Western Sydney University Trust (the Trust), which comprise, the Statement of Comprehensive Income for the year ended 31 December 2017, the Statement of Financial Position as at 31 December 2017, Statement of Changes in Equity and Statement of Cash Flows for the year then ended, notes comprising a summary of significant accounting policies and other explanatory information, and the trustees’ declaration.</w:t>
      </w:r>
    </w:p>
    <w:p>
      <w:pPr>
        <w:spacing w:before="171"/>
        <w:ind w:left="676" w:right="995" w:firstLine="0"/>
        <w:jc w:val="left"/>
        <w:rPr>
          <w:sz w:val="20"/>
        </w:rPr>
      </w:pPr>
      <w:r>
        <w:rPr>
          <w:sz w:val="20"/>
        </w:rPr>
        <w:t>In my opinion the financial statements:</w:t>
      </w:r>
    </w:p>
    <w:p>
      <w:pPr>
        <w:pStyle w:val="BodyText"/>
        <w:spacing w:before="7"/>
        <w:rPr>
          <w:sz w:val="15"/>
        </w:rPr>
      </w:pPr>
    </w:p>
    <w:p>
      <w:pPr>
        <w:pStyle w:val="ListParagraph"/>
        <w:numPr>
          <w:ilvl w:val="0"/>
          <w:numId w:val="99"/>
        </w:numPr>
        <w:tabs>
          <w:tab w:pos="1243" w:val="left" w:leader="none"/>
        </w:tabs>
        <w:spacing w:line="249" w:lineRule="auto" w:before="1" w:after="0"/>
        <w:ind w:left="1242" w:right="1434" w:hanging="566"/>
        <w:jc w:val="left"/>
        <w:rPr>
          <w:sz w:val="20"/>
        </w:rPr>
      </w:pPr>
      <w:r>
        <w:rPr>
          <w:sz w:val="20"/>
        </w:rPr>
        <w:t>give a true and fair view of the Trust’s financial position as at 31 December 2017 and its performance for the year ended on that</w:t>
      </w:r>
      <w:r>
        <w:rPr>
          <w:spacing w:val="-9"/>
          <w:sz w:val="20"/>
        </w:rPr>
        <w:t> </w:t>
      </w:r>
      <w:r>
        <w:rPr>
          <w:sz w:val="20"/>
        </w:rPr>
        <w:t>date</w:t>
      </w:r>
    </w:p>
    <w:p>
      <w:pPr>
        <w:pStyle w:val="ListParagraph"/>
        <w:numPr>
          <w:ilvl w:val="0"/>
          <w:numId w:val="99"/>
        </w:numPr>
        <w:tabs>
          <w:tab w:pos="1243" w:val="left" w:leader="none"/>
        </w:tabs>
        <w:spacing w:line="240" w:lineRule="auto" w:before="61" w:after="0"/>
        <w:ind w:left="1242" w:right="0" w:hanging="566"/>
        <w:jc w:val="left"/>
        <w:rPr>
          <w:sz w:val="20"/>
        </w:rPr>
      </w:pPr>
      <w:r>
        <w:rPr>
          <w:sz w:val="20"/>
        </w:rPr>
        <w:t>comply with Australian Accounting</w:t>
      </w:r>
      <w:r>
        <w:rPr>
          <w:spacing w:val="-13"/>
          <w:sz w:val="20"/>
        </w:rPr>
        <w:t> </w:t>
      </w:r>
      <w:r>
        <w:rPr>
          <w:sz w:val="20"/>
        </w:rPr>
        <w:t>Standards</w:t>
      </w:r>
    </w:p>
    <w:p>
      <w:pPr>
        <w:pStyle w:val="ListParagraph"/>
        <w:numPr>
          <w:ilvl w:val="0"/>
          <w:numId w:val="99"/>
        </w:numPr>
        <w:tabs>
          <w:tab w:pos="1243" w:val="left" w:leader="none"/>
        </w:tabs>
        <w:spacing w:line="249" w:lineRule="auto" w:before="70" w:after="0"/>
        <w:ind w:left="1242" w:right="910" w:hanging="566"/>
        <w:jc w:val="left"/>
        <w:rPr>
          <w:sz w:val="20"/>
        </w:rPr>
      </w:pPr>
      <w:r>
        <w:rPr>
          <w:sz w:val="20"/>
        </w:rPr>
        <w:t>are in accordance with section 41 B of the </w:t>
      </w:r>
      <w:r>
        <w:rPr>
          <w:i/>
          <w:sz w:val="20"/>
        </w:rPr>
        <w:t>Public Finance and Audit Act 1983 </w:t>
      </w:r>
      <w:r>
        <w:rPr>
          <w:sz w:val="20"/>
        </w:rPr>
        <w:t>(PF&amp;A Act) and the Public Finance and Audit Regulation</w:t>
      </w:r>
      <w:r>
        <w:rPr>
          <w:spacing w:val="-12"/>
          <w:sz w:val="20"/>
        </w:rPr>
        <w:t> </w:t>
      </w:r>
      <w:r>
        <w:rPr>
          <w:sz w:val="20"/>
        </w:rPr>
        <w:t>2015.</w:t>
      </w:r>
    </w:p>
    <w:p>
      <w:pPr>
        <w:pStyle w:val="BodyText"/>
        <w:spacing w:before="4"/>
        <w:rPr>
          <w:sz w:val="26"/>
        </w:rPr>
      </w:pPr>
    </w:p>
    <w:p>
      <w:pPr>
        <w:spacing w:before="0"/>
        <w:ind w:left="676" w:right="995" w:firstLine="0"/>
        <w:jc w:val="left"/>
        <w:rPr>
          <w:sz w:val="20"/>
        </w:rPr>
      </w:pPr>
      <w:r>
        <w:rPr>
          <w:sz w:val="20"/>
        </w:rPr>
        <w:t>My opinion should be read in conjunction with the rest of this report.</w:t>
      </w:r>
    </w:p>
    <w:p>
      <w:pPr>
        <w:spacing w:before="172"/>
        <w:ind w:left="676" w:right="995" w:firstLine="0"/>
        <w:jc w:val="left"/>
        <w:rPr>
          <w:b/>
          <w:sz w:val="24"/>
        </w:rPr>
      </w:pPr>
      <w:r>
        <w:rPr>
          <w:b/>
          <w:sz w:val="24"/>
        </w:rPr>
        <w:t>Basis for Opinion</w:t>
      </w:r>
    </w:p>
    <w:p>
      <w:pPr>
        <w:spacing w:line="249" w:lineRule="auto" w:before="121"/>
        <w:ind w:left="676" w:right="782" w:firstLine="0"/>
        <w:jc w:val="left"/>
        <w:rPr>
          <w:sz w:val="20"/>
        </w:rPr>
      </w:pPr>
      <w:r>
        <w:rPr>
          <w:sz w:val="20"/>
        </w:rPr>
        <w:t>I conducted my audit in accordance with Australian Auditing Standards. My responsibilities under the standards are described in the ‘Auditor’s Responsibilities for the Audit of the Financial Statements’ section of my report.</w:t>
      </w:r>
    </w:p>
    <w:p>
      <w:pPr>
        <w:spacing w:before="171"/>
        <w:ind w:left="676" w:right="995" w:firstLine="0"/>
        <w:jc w:val="left"/>
        <w:rPr>
          <w:sz w:val="20"/>
        </w:rPr>
      </w:pPr>
      <w:r>
        <w:rPr>
          <w:sz w:val="20"/>
        </w:rPr>
        <w:t>I am independent of the Trust in accordance with the requirements of the:</w:t>
      </w:r>
    </w:p>
    <w:p>
      <w:pPr>
        <w:pStyle w:val="BodyText"/>
        <w:spacing w:before="7"/>
        <w:rPr>
          <w:sz w:val="15"/>
        </w:rPr>
      </w:pPr>
    </w:p>
    <w:p>
      <w:pPr>
        <w:pStyle w:val="ListParagraph"/>
        <w:numPr>
          <w:ilvl w:val="0"/>
          <w:numId w:val="99"/>
        </w:numPr>
        <w:tabs>
          <w:tab w:pos="1243" w:val="left" w:leader="none"/>
        </w:tabs>
        <w:spacing w:line="240" w:lineRule="auto" w:before="1" w:after="0"/>
        <w:ind w:left="1242" w:right="0" w:hanging="566"/>
        <w:jc w:val="left"/>
        <w:rPr>
          <w:sz w:val="20"/>
        </w:rPr>
      </w:pPr>
      <w:r>
        <w:rPr>
          <w:sz w:val="20"/>
        </w:rPr>
        <w:t>Australian Auditing</w:t>
      </w:r>
      <w:r>
        <w:rPr>
          <w:spacing w:val="-10"/>
          <w:sz w:val="20"/>
        </w:rPr>
        <w:t> </w:t>
      </w:r>
      <w:r>
        <w:rPr>
          <w:sz w:val="20"/>
        </w:rPr>
        <w:t>Standards</w:t>
      </w:r>
    </w:p>
    <w:p>
      <w:pPr>
        <w:pStyle w:val="ListParagraph"/>
        <w:numPr>
          <w:ilvl w:val="0"/>
          <w:numId w:val="99"/>
        </w:numPr>
        <w:tabs>
          <w:tab w:pos="1243" w:val="left" w:leader="none"/>
        </w:tabs>
        <w:spacing w:line="249" w:lineRule="auto" w:before="70" w:after="0"/>
        <w:ind w:left="1242" w:right="1627" w:hanging="566"/>
        <w:jc w:val="left"/>
        <w:rPr>
          <w:sz w:val="20"/>
        </w:rPr>
      </w:pPr>
      <w:r>
        <w:rPr>
          <w:sz w:val="20"/>
        </w:rPr>
        <w:t>Accounting Professional and Ethical Standards Board’s APES 110 ‘Code of Ethics</w:t>
      </w:r>
      <w:r>
        <w:rPr>
          <w:spacing w:val="-23"/>
          <w:sz w:val="20"/>
        </w:rPr>
        <w:t> </w:t>
      </w:r>
      <w:r>
        <w:rPr>
          <w:sz w:val="20"/>
        </w:rPr>
        <w:t>for Professional Accountants’ (APES</w:t>
      </w:r>
      <w:r>
        <w:rPr>
          <w:spacing w:val="-11"/>
          <w:sz w:val="20"/>
        </w:rPr>
        <w:t> </w:t>
      </w:r>
      <w:r>
        <w:rPr>
          <w:sz w:val="20"/>
        </w:rPr>
        <w:t>110).</w:t>
      </w:r>
    </w:p>
    <w:p>
      <w:pPr>
        <w:pStyle w:val="BodyText"/>
        <w:spacing w:before="2"/>
        <w:rPr>
          <w:sz w:val="17"/>
        </w:rPr>
      </w:pPr>
    </w:p>
    <w:p>
      <w:pPr>
        <w:spacing w:before="0"/>
        <w:ind w:left="676" w:right="995" w:firstLine="0"/>
        <w:jc w:val="left"/>
        <w:rPr>
          <w:sz w:val="20"/>
        </w:rPr>
      </w:pPr>
      <w:r>
        <w:rPr>
          <w:sz w:val="20"/>
        </w:rPr>
        <w:t>I have fulfilled my other ethical responsibilities in accordance with APES 110.</w:t>
      </w:r>
    </w:p>
    <w:p>
      <w:pPr>
        <w:pStyle w:val="BodyText"/>
        <w:spacing w:before="7"/>
        <w:rPr>
          <w:sz w:val="15"/>
        </w:rPr>
      </w:pPr>
    </w:p>
    <w:p>
      <w:pPr>
        <w:spacing w:line="252" w:lineRule="auto" w:before="1"/>
        <w:ind w:left="676" w:right="1195" w:firstLine="0"/>
        <w:jc w:val="left"/>
        <w:rPr>
          <w:sz w:val="20"/>
        </w:rPr>
      </w:pPr>
      <w:r>
        <w:rPr>
          <w:sz w:val="20"/>
        </w:rPr>
        <w:t>Parliament promotes independence by ensuring the Auditor-General and the Audit Office of New South Wales are not compromised in their roles by:</w:t>
      </w:r>
    </w:p>
    <w:p>
      <w:pPr>
        <w:pStyle w:val="ListParagraph"/>
        <w:numPr>
          <w:ilvl w:val="0"/>
          <w:numId w:val="99"/>
        </w:numPr>
        <w:tabs>
          <w:tab w:pos="1243" w:val="left" w:leader="none"/>
        </w:tabs>
        <w:spacing w:line="249" w:lineRule="auto" w:before="169" w:after="0"/>
        <w:ind w:left="1242" w:right="1232" w:hanging="566"/>
        <w:jc w:val="left"/>
        <w:rPr>
          <w:sz w:val="20"/>
        </w:rPr>
      </w:pPr>
      <w:r>
        <w:rPr>
          <w:sz w:val="20"/>
        </w:rPr>
        <w:t>providing that only Parliament, and not the executive government, can remove an Auditor- General</w:t>
      </w:r>
    </w:p>
    <w:p>
      <w:pPr>
        <w:pStyle w:val="ListParagraph"/>
        <w:numPr>
          <w:ilvl w:val="0"/>
          <w:numId w:val="99"/>
        </w:numPr>
        <w:tabs>
          <w:tab w:pos="1243" w:val="left" w:leader="none"/>
        </w:tabs>
        <w:spacing w:line="240" w:lineRule="auto" w:before="61" w:after="0"/>
        <w:ind w:left="1242" w:right="0" w:hanging="566"/>
        <w:jc w:val="left"/>
        <w:rPr>
          <w:sz w:val="20"/>
        </w:rPr>
      </w:pPr>
      <w:r>
        <w:rPr>
          <w:sz w:val="20"/>
        </w:rPr>
        <w:t>mandating the Auditor-General as auditor of public sector</w:t>
      </w:r>
      <w:r>
        <w:rPr>
          <w:spacing w:val="-16"/>
          <w:sz w:val="20"/>
        </w:rPr>
        <w:t> </w:t>
      </w:r>
      <w:r>
        <w:rPr>
          <w:sz w:val="20"/>
        </w:rPr>
        <w:t>agencies</w:t>
      </w:r>
    </w:p>
    <w:p>
      <w:pPr>
        <w:pStyle w:val="ListParagraph"/>
        <w:numPr>
          <w:ilvl w:val="0"/>
          <w:numId w:val="99"/>
        </w:numPr>
        <w:tabs>
          <w:tab w:pos="1243" w:val="left" w:leader="none"/>
        </w:tabs>
        <w:spacing w:line="240" w:lineRule="auto" w:before="70" w:after="0"/>
        <w:ind w:left="1242" w:right="0" w:hanging="566"/>
        <w:jc w:val="left"/>
        <w:rPr>
          <w:sz w:val="20"/>
        </w:rPr>
      </w:pPr>
      <w:r>
        <w:rPr>
          <w:sz w:val="20"/>
        </w:rPr>
        <w:t>precluding the Auditor-General from providing non-audit</w:t>
      </w:r>
      <w:r>
        <w:rPr>
          <w:spacing w:val="-19"/>
          <w:sz w:val="20"/>
        </w:rPr>
        <w:t> </w:t>
      </w:r>
      <w:r>
        <w:rPr>
          <w:sz w:val="20"/>
        </w:rPr>
        <w:t>services.</w:t>
      </w:r>
    </w:p>
    <w:p>
      <w:pPr>
        <w:pStyle w:val="BodyText"/>
        <w:spacing w:before="2"/>
      </w:pPr>
    </w:p>
    <w:p>
      <w:pPr>
        <w:spacing w:line="249" w:lineRule="auto" w:before="0"/>
        <w:ind w:left="676" w:right="1151" w:firstLine="0"/>
        <w:jc w:val="left"/>
        <w:rPr>
          <w:sz w:val="20"/>
        </w:rPr>
      </w:pPr>
      <w:r>
        <w:rPr>
          <w:sz w:val="20"/>
        </w:rPr>
        <w:t>I believe the audit evidence I have obtained is sufficient and appropriate to provide a basis for my audit opinion.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pPr>
      <w:r>
        <w:rPr/>
        <w:drawing>
          <wp:anchor distT="0" distB="0" distL="0" distR="0" allowOverlap="1" layoutInCell="1" locked="0" behindDoc="0" simplePos="0" relativeHeight="5248">
            <wp:simplePos x="0" y="0"/>
            <wp:positionH relativeFrom="page">
              <wp:posOffset>539750</wp:posOffset>
            </wp:positionH>
            <wp:positionV relativeFrom="paragraph">
              <wp:posOffset>157707</wp:posOffset>
            </wp:positionV>
            <wp:extent cx="6483350" cy="219456"/>
            <wp:effectExtent l="0" t="0" r="0" b="0"/>
            <wp:wrapTopAndBottom/>
            <wp:docPr id="69" name="image39.jpeg" descr=""/>
            <wp:cNvGraphicFramePr>
              <a:graphicFrameLocks noChangeAspect="1"/>
            </wp:cNvGraphicFramePr>
            <a:graphic>
              <a:graphicData uri="http://schemas.openxmlformats.org/drawingml/2006/picture">
                <pic:pic>
                  <pic:nvPicPr>
                    <pic:cNvPr id="70" name="image39.jpeg"/>
                    <pic:cNvPicPr/>
                  </pic:nvPicPr>
                  <pic:blipFill>
                    <a:blip r:embed="rId148" cstate="print"/>
                    <a:stretch>
                      <a:fillRect/>
                    </a:stretch>
                  </pic:blipFill>
                  <pic:spPr>
                    <a:xfrm>
                      <a:off x="0" y="0"/>
                      <a:ext cx="6483350" cy="219456"/>
                    </a:xfrm>
                    <a:prstGeom prst="rect">
                      <a:avLst/>
                    </a:prstGeom>
                  </pic:spPr>
                </pic:pic>
              </a:graphicData>
            </a:graphic>
          </wp:anchor>
        </w:drawing>
      </w:r>
    </w:p>
    <w:p>
      <w:pPr>
        <w:spacing w:after="0"/>
        <w:sectPr>
          <w:headerReference w:type="default" r:id="rId169"/>
          <w:pgSz w:w="11910" w:h="16840"/>
          <w:pgMar w:header="0" w:footer="507" w:top="700" w:bottom="700" w:left="740" w:right="740"/>
        </w:sectPr>
      </w:pPr>
    </w:p>
    <w:p>
      <w:pPr>
        <w:pStyle w:val="Heading4"/>
        <w:spacing w:before="58"/>
        <w:ind w:left="116" w:right="168"/>
      </w:pPr>
      <w:r>
        <w:rPr/>
        <w:t>Directors’ Responsibilities for the Financial Statements</w:t>
      </w:r>
    </w:p>
    <w:p>
      <w:pPr>
        <w:spacing w:line="249" w:lineRule="auto" w:before="124"/>
        <w:ind w:left="116" w:right="168" w:firstLine="0"/>
        <w:jc w:val="left"/>
        <w:rPr>
          <w:sz w:val="20"/>
        </w:rPr>
      </w:pPr>
      <w:r>
        <w:rPr>
          <w:sz w:val="20"/>
        </w:rPr>
        <w:t>The directors of the Trust are responsible for the preparation and fair presentation of the financial statements in accordance with Australian Accounting Standards, the PF&amp;A Act and for such internal control as the directors determine is necessary to enable the preparation and fair presentation of the financial statements that are free from material misstatement, whether due to fraud or error.</w:t>
      </w:r>
    </w:p>
    <w:p>
      <w:pPr>
        <w:spacing w:line="249" w:lineRule="auto" w:before="171"/>
        <w:ind w:left="116" w:right="168" w:firstLine="0"/>
        <w:jc w:val="left"/>
        <w:rPr>
          <w:sz w:val="20"/>
        </w:rPr>
      </w:pPr>
      <w:r>
        <w:rPr>
          <w:sz w:val="20"/>
        </w:rPr>
        <w:t>In preparing the financial statements, the directors are responsible for assessing the Trust’s ability to continue as a going concern, disclosing, as applicable, matters related to going concern and using the going concern basis of accounting unless the directors either intend to liquidate the Trust or to cease operations, or have no realistic alternative but to do so.</w:t>
      </w:r>
    </w:p>
    <w:p>
      <w:pPr>
        <w:spacing w:before="162"/>
        <w:ind w:left="116" w:right="168" w:firstLine="0"/>
        <w:jc w:val="left"/>
        <w:rPr>
          <w:b/>
          <w:sz w:val="24"/>
        </w:rPr>
      </w:pPr>
      <w:r>
        <w:rPr>
          <w:b/>
          <w:sz w:val="24"/>
        </w:rPr>
        <w:t>Auditor’s Responsibilities for the Audit of the Financial Statements</w:t>
      </w:r>
    </w:p>
    <w:p>
      <w:pPr>
        <w:spacing w:before="121"/>
        <w:ind w:left="116" w:right="168" w:firstLine="0"/>
        <w:jc w:val="left"/>
        <w:rPr>
          <w:sz w:val="20"/>
        </w:rPr>
      </w:pPr>
      <w:r>
        <w:rPr>
          <w:sz w:val="20"/>
        </w:rPr>
        <w:t>My objectives are to:</w:t>
      </w:r>
    </w:p>
    <w:p>
      <w:pPr>
        <w:pStyle w:val="BodyText"/>
        <w:spacing w:before="7"/>
        <w:rPr>
          <w:sz w:val="15"/>
        </w:rPr>
      </w:pPr>
    </w:p>
    <w:p>
      <w:pPr>
        <w:pStyle w:val="ListParagraph"/>
        <w:numPr>
          <w:ilvl w:val="0"/>
          <w:numId w:val="85"/>
        </w:numPr>
        <w:tabs>
          <w:tab w:pos="683" w:val="left" w:leader="none"/>
        </w:tabs>
        <w:spacing w:line="249" w:lineRule="auto" w:before="1" w:after="0"/>
        <w:ind w:left="682" w:right="370" w:hanging="566"/>
        <w:jc w:val="left"/>
        <w:rPr>
          <w:sz w:val="20"/>
        </w:rPr>
      </w:pPr>
      <w:r>
        <w:rPr>
          <w:sz w:val="20"/>
        </w:rPr>
        <w:t>obtain reasonable assurance about whether the financial statements as a whole are free</w:t>
      </w:r>
      <w:r>
        <w:rPr>
          <w:spacing w:val="-30"/>
          <w:sz w:val="20"/>
        </w:rPr>
        <w:t> </w:t>
      </w:r>
      <w:r>
        <w:rPr>
          <w:sz w:val="20"/>
        </w:rPr>
        <w:t>from material misstatement, whether due to fraud or</w:t>
      </w:r>
      <w:r>
        <w:rPr>
          <w:spacing w:val="-17"/>
          <w:sz w:val="20"/>
        </w:rPr>
        <w:t> </w:t>
      </w:r>
      <w:r>
        <w:rPr>
          <w:sz w:val="20"/>
        </w:rPr>
        <w:t>error</w:t>
      </w:r>
    </w:p>
    <w:p>
      <w:pPr>
        <w:pStyle w:val="ListParagraph"/>
        <w:numPr>
          <w:ilvl w:val="0"/>
          <w:numId w:val="85"/>
        </w:numPr>
        <w:tabs>
          <w:tab w:pos="683" w:val="left" w:leader="none"/>
        </w:tabs>
        <w:spacing w:line="240" w:lineRule="auto" w:before="61" w:after="0"/>
        <w:ind w:left="682" w:right="0" w:hanging="566"/>
        <w:jc w:val="left"/>
        <w:rPr>
          <w:sz w:val="20"/>
        </w:rPr>
      </w:pPr>
      <w:r>
        <w:rPr>
          <w:sz w:val="20"/>
        </w:rPr>
        <w:t>issue an Independent Auditor’s Report including </w:t>
      </w:r>
      <w:r>
        <w:rPr>
          <w:spacing w:val="3"/>
          <w:sz w:val="20"/>
        </w:rPr>
        <w:t>my</w:t>
      </w:r>
      <w:r>
        <w:rPr>
          <w:spacing w:val="-25"/>
          <w:sz w:val="20"/>
        </w:rPr>
        <w:t> </w:t>
      </w:r>
      <w:r>
        <w:rPr>
          <w:sz w:val="20"/>
        </w:rPr>
        <w:t>opinion.</w:t>
      </w:r>
    </w:p>
    <w:p>
      <w:pPr>
        <w:pStyle w:val="BodyText"/>
        <w:spacing w:before="11"/>
        <w:rPr>
          <w:sz w:val="17"/>
        </w:rPr>
      </w:pPr>
    </w:p>
    <w:p>
      <w:pPr>
        <w:spacing w:line="249" w:lineRule="auto" w:before="0"/>
        <w:ind w:left="116" w:right="534" w:firstLine="0"/>
        <w:jc w:val="left"/>
        <w:rPr>
          <w:sz w:val="20"/>
        </w:rPr>
      </w:pPr>
      <w:r>
        <w:rPr>
          <w:sz w:val="20"/>
        </w:rPr>
        <w:t>Reasonable assurance is a high level of assurance, but does not guarantee an audit conducted in accordance with Australian Auditing Standards will always detect material misstatements.</w:t>
      </w:r>
    </w:p>
    <w:p>
      <w:pPr>
        <w:spacing w:line="249" w:lineRule="auto" w:before="1"/>
        <w:ind w:left="116" w:right="96" w:firstLine="0"/>
        <w:jc w:val="left"/>
        <w:rPr>
          <w:sz w:val="20"/>
        </w:rPr>
      </w:pPr>
      <w:r>
        <w:rPr>
          <w:sz w:val="20"/>
        </w:rPr>
        <w:t>Misstatements can arise from fraud or error. Misstatements are considered material if, individually or in aggregate, they could reasonably be expected to influence the economic decisions users take based on the financial statements.</w:t>
      </w:r>
    </w:p>
    <w:p>
      <w:pPr>
        <w:spacing w:line="249" w:lineRule="auto" w:before="171"/>
        <w:ind w:left="116" w:right="102" w:firstLine="0"/>
        <w:jc w:val="left"/>
        <w:rPr>
          <w:sz w:val="20"/>
        </w:rPr>
      </w:pPr>
      <w:r>
        <w:rPr>
          <w:sz w:val="20"/>
        </w:rPr>
        <w:t>A description of my responsibilities for the audit of the financial statements is located at the Auditing and Assurance Standards Board website at: </w:t>
      </w:r>
      <w:hyperlink r:id="rId151">
        <w:r>
          <w:rPr>
            <w:color w:val="808080"/>
            <w:sz w:val="20"/>
            <w:u w:val="single" w:color="808080"/>
          </w:rPr>
          <w:t>http://www.auasb.gov.au/auditors_responsibilities/ar4.pdf.</w:t>
        </w:r>
      </w:hyperlink>
      <w:r>
        <w:rPr>
          <w:color w:val="808080"/>
          <w:sz w:val="20"/>
          <w:u w:val="single" w:color="808080"/>
        </w:rPr>
        <w:t> </w:t>
      </w:r>
      <w:r>
        <w:rPr>
          <w:sz w:val="20"/>
        </w:rPr>
        <w:t>The description forms part of my auditor’s report.</w:t>
      </w:r>
    </w:p>
    <w:p>
      <w:pPr>
        <w:spacing w:before="171"/>
        <w:ind w:left="116" w:right="168" w:firstLine="0"/>
        <w:jc w:val="left"/>
        <w:rPr>
          <w:sz w:val="20"/>
        </w:rPr>
      </w:pPr>
      <w:r>
        <w:rPr>
          <w:sz w:val="20"/>
        </w:rPr>
        <w:t>My opinion does not provide assurance:</w:t>
      </w:r>
    </w:p>
    <w:p>
      <w:pPr>
        <w:pStyle w:val="BodyText"/>
        <w:spacing w:before="7"/>
        <w:rPr>
          <w:sz w:val="15"/>
        </w:rPr>
      </w:pPr>
    </w:p>
    <w:p>
      <w:pPr>
        <w:pStyle w:val="ListParagraph"/>
        <w:numPr>
          <w:ilvl w:val="0"/>
          <w:numId w:val="85"/>
        </w:numPr>
        <w:tabs>
          <w:tab w:pos="683" w:val="left" w:leader="none"/>
        </w:tabs>
        <w:spacing w:line="240" w:lineRule="auto" w:before="1" w:after="0"/>
        <w:ind w:left="682" w:right="0" w:hanging="566"/>
        <w:jc w:val="left"/>
        <w:rPr>
          <w:sz w:val="20"/>
        </w:rPr>
      </w:pPr>
      <w:r>
        <w:rPr>
          <w:sz w:val="20"/>
        </w:rPr>
        <w:t>that the Trust carried out its activities effectively, efficiently and</w:t>
      </w:r>
      <w:r>
        <w:rPr>
          <w:spacing w:val="-21"/>
          <w:sz w:val="20"/>
        </w:rPr>
        <w:t> </w:t>
      </w:r>
      <w:r>
        <w:rPr>
          <w:sz w:val="20"/>
        </w:rPr>
        <w:t>economically</w:t>
      </w:r>
    </w:p>
    <w:p>
      <w:pPr>
        <w:pStyle w:val="ListParagraph"/>
        <w:numPr>
          <w:ilvl w:val="0"/>
          <w:numId w:val="85"/>
        </w:numPr>
        <w:tabs>
          <w:tab w:pos="683" w:val="left" w:leader="none"/>
        </w:tabs>
        <w:spacing w:line="249" w:lineRule="auto" w:before="70" w:after="0"/>
        <w:ind w:left="682" w:right="1146" w:hanging="566"/>
        <w:jc w:val="left"/>
        <w:rPr>
          <w:sz w:val="20"/>
        </w:rPr>
      </w:pPr>
      <w:r>
        <w:rPr>
          <w:sz w:val="20"/>
        </w:rPr>
        <w:t>about the security and controls over the electronic publication of the audited</w:t>
      </w:r>
      <w:r>
        <w:rPr>
          <w:spacing w:val="-27"/>
          <w:sz w:val="20"/>
        </w:rPr>
        <w:t> </w:t>
      </w:r>
      <w:r>
        <w:rPr>
          <w:sz w:val="20"/>
        </w:rPr>
        <w:t>financial statements on any website where they may be</w:t>
      </w:r>
      <w:r>
        <w:rPr>
          <w:spacing w:val="-12"/>
          <w:sz w:val="20"/>
        </w:rPr>
        <w:t> </w:t>
      </w:r>
      <w:r>
        <w:rPr>
          <w:sz w:val="20"/>
        </w:rPr>
        <w:t>presented</w:t>
      </w:r>
    </w:p>
    <w:p>
      <w:pPr>
        <w:pStyle w:val="ListParagraph"/>
        <w:numPr>
          <w:ilvl w:val="0"/>
          <w:numId w:val="85"/>
        </w:numPr>
        <w:tabs>
          <w:tab w:pos="683" w:val="left" w:leader="none"/>
        </w:tabs>
        <w:spacing w:line="240" w:lineRule="auto" w:before="61" w:after="0"/>
        <w:ind w:left="682" w:right="0" w:hanging="566"/>
        <w:jc w:val="left"/>
        <w:rPr>
          <w:sz w:val="20"/>
        </w:rPr>
      </w:pPr>
      <w:r>
        <w:rPr>
          <w:sz w:val="20"/>
        </w:rPr>
        <w:t>about any other information which may have been hyperlinked to/from the financial</w:t>
      </w:r>
      <w:r>
        <w:rPr>
          <w:spacing w:val="-21"/>
          <w:sz w:val="20"/>
        </w:rPr>
        <w:t> </w:t>
      </w:r>
      <w:r>
        <w:rPr>
          <w:sz w:val="20"/>
        </w:rPr>
        <w:t>statements.</w:t>
      </w:r>
    </w:p>
    <w:p>
      <w:pPr>
        <w:pStyle w:val="BodyText"/>
        <w:rPr>
          <w:sz w:val="20"/>
        </w:rPr>
      </w:pPr>
    </w:p>
    <w:p>
      <w:pPr>
        <w:pStyle w:val="BodyText"/>
        <w:spacing w:before="4"/>
        <w:rPr>
          <w:sz w:val="29"/>
        </w:rPr>
      </w:pPr>
      <w:r>
        <w:rPr/>
        <w:drawing>
          <wp:anchor distT="0" distB="0" distL="0" distR="0" allowOverlap="1" layoutInCell="1" locked="0" behindDoc="0" simplePos="0" relativeHeight="5272">
            <wp:simplePos x="0" y="0"/>
            <wp:positionH relativeFrom="page">
              <wp:posOffset>899794</wp:posOffset>
            </wp:positionH>
            <wp:positionV relativeFrom="paragraph">
              <wp:posOffset>239545</wp:posOffset>
            </wp:positionV>
            <wp:extent cx="1891385" cy="720089"/>
            <wp:effectExtent l="0" t="0" r="0" b="0"/>
            <wp:wrapTopAndBottom/>
            <wp:docPr id="71" name="image40.jpeg" descr="C:\Users\kcolah\AppData\Local\Microsoft\Windows\INetCache\Content.Word\David Daniels.png"/>
            <wp:cNvGraphicFramePr>
              <a:graphicFrameLocks noChangeAspect="1"/>
            </wp:cNvGraphicFramePr>
            <a:graphic>
              <a:graphicData uri="http://schemas.openxmlformats.org/drawingml/2006/picture">
                <pic:pic>
                  <pic:nvPicPr>
                    <pic:cNvPr id="72" name="image40.jpeg"/>
                    <pic:cNvPicPr/>
                  </pic:nvPicPr>
                  <pic:blipFill>
                    <a:blip r:embed="rId152" cstate="print"/>
                    <a:stretch>
                      <a:fillRect/>
                    </a:stretch>
                  </pic:blipFill>
                  <pic:spPr>
                    <a:xfrm>
                      <a:off x="0" y="0"/>
                      <a:ext cx="1891385" cy="720089"/>
                    </a:xfrm>
                    <a:prstGeom prst="rect">
                      <a:avLst/>
                    </a:prstGeom>
                  </pic:spPr>
                </pic:pic>
              </a:graphicData>
            </a:graphic>
          </wp:anchor>
        </w:drawing>
      </w:r>
    </w:p>
    <w:p>
      <w:pPr>
        <w:pStyle w:val="BodyText"/>
        <w:rPr>
          <w:sz w:val="20"/>
        </w:rPr>
      </w:pPr>
    </w:p>
    <w:p>
      <w:pPr>
        <w:pStyle w:val="BodyText"/>
        <w:spacing w:before="4"/>
        <w:rPr>
          <w:sz w:val="29"/>
        </w:rPr>
      </w:pPr>
    </w:p>
    <w:p>
      <w:pPr>
        <w:spacing w:before="0"/>
        <w:ind w:left="116" w:right="168" w:firstLine="0"/>
        <w:jc w:val="left"/>
        <w:rPr>
          <w:sz w:val="20"/>
        </w:rPr>
      </w:pPr>
      <w:r>
        <w:rPr>
          <w:sz w:val="20"/>
        </w:rPr>
        <w:t>David Daniels</w:t>
      </w:r>
    </w:p>
    <w:p>
      <w:pPr>
        <w:spacing w:before="10"/>
        <w:ind w:left="116" w:right="168" w:firstLine="0"/>
        <w:jc w:val="left"/>
        <w:rPr>
          <w:sz w:val="20"/>
        </w:rPr>
      </w:pPr>
      <w:r>
        <w:rPr>
          <w:sz w:val="20"/>
        </w:rPr>
        <w:t>Director, Financial Audit Services</w:t>
      </w:r>
    </w:p>
    <w:p>
      <w:pPr>
        <w:pStyle w:val="BodyText"/>
        <w:spacing w:before="8"/>
        <w:rPr>
          <w:sz w:val="15"/>
        </w:rPr>
      </w:pPr>
    </w:p>
    <w:p>
      <w:pPr>
        <w:spacing w:line="249" w:lineRule="auto" w:before="0"/>
        <w:ind w:left="116" w:right="7951" w:firstLine="0"/>
        <w:jc w:val="left"/>
        <w:rPr>
          <w:sz w:val="20"/>
        </w:rPr>
      </w:pPr>
      <w:r>
        <w:rPr>
          <w:sz w:val="20"/>
        </w:rPr>
        <w:t>1 March 2018 SYDNEY</w:t>
      </w:r>
    </w:p>
    <w:p>
      <w:pPr>
        <w:spacing w:after="0" w:line="249" w:lineRule="auto"/>
        <w:jc w:val="left"/>
        <w:rPr>
          <w:sz w:val="20"/>
        </w:rPr>
        <w:sectPr>
          <w:headerReference w:type="default" r:id="rId170"/>
          <w:footerReference w:type="default" r:id="rId171"/>
          <w:pgSz w:w="11910" w:h="16840"/>
          <w:pgMar w:header="0" w:footer="507" w:top="1340" w:bottom="700" w:left="1300" w:right="1300"/>
          <w:pgNumType w:start="24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spacing w:before="77"/>
        <w:ind w:left="3029" w:right="3029"/>
        <w:jc w:val="center"/>
      </w:pPr>
      <w:r>
        <w:rPr/>
        <w:t>This page is intentionally blank</w:t>
      </w:r>
    </w:p>
    <w:p>
      <w:pPr>
        <w:spacing w:after="0"/>
        <w:jc w:val="center"/>
        <w:sectPr>
          <w:headerReference w:type="default" r:id="rId172"/>
          <w:footerReference w:type="default" r:id="rId173"/>
          <w:pgSz w:w="11910" w:h="16840"/>
          <w:pgMar w:header="0" w:footer="307" w:top="1580" w:bottom="500" w:left="168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spacing w:line="1082" w:lineRule="exact" w:before="0"/>
        <w:ind w:left="119" w:right="0" w:firstLine="0"/>
        <w:jc w:val="left"/>
        <w:rPr>
          <w:b/>
          <w:sz w:val="96"/>
        </w:rPr>
      </w:pPr>
      <w:bookmarkStart w:name="8. Appendices" w:id="243"/>
      <w:bookmarkEnd w:id="243"/>
      <w:r>
        <w:rPr/>
      </w:r>
      <w:bookmarkStart w:name="0.Budget and Performance Indicatorss" w:id="244"/>
      <w:bookmarkEnd w:id="244"/>
      <w:r>
        <w:rPr/>
      </w:r>
      <w:bookmarkStart w:name="0.Budget and Performance Indicators" w:id="245"/>
      <w:bookmarkEnd w:id="245"/>
      <w:r>
        <w:rPr/>
      </w:r>
      <w:bookmarkStart w:name="1.Budget and Performance Indicators Cove" w:id="246"/>
      <w:bookmarkEnd w:id="246"/>
      <w:r>
        <w:rPr/>
      </w:r>
      <w:r>
        <w:rPr>
          <w:b/>
          <w:color w:val="231F20"/>
          <w:sz w:val="96"/>
        </w:rPr>
        <w:t>Appendices</w:t>
      </w:r>
    </w:p>
    <w:p>
      <w:pPr>
        <w:pStyle w:val="BodyText"/>
        <w:rPr>
          <w:b/>
          <w:sz w:val="20"/>
        </w:rPr>
      </w:pPr>
    </w:p>
    <w:p>
      <w:pPr>
        <w:pStyle w:val="BodyText"/>
        <w:spacing w:before="2"/>
        <w:rPr>
          <w:b/>
          <w:sz w:val="27"/>
        </w:rPr>
      </w:pPr>
    </w:p>
    <w:p>
      <w:pPr>
        <w:spacing w:before="49"/>
        <w:ind w:left="101" w:right="0" w:firstLine="0"/>
        <w:jc w:val="left"/>
        <w:rPr>
          <w:b/>
          <w:sz w:val="40"/>
        </w:rPr>
      </w:pPr>
      <w:r>
        <w:rPr>
          <w:b/>
          <w:color w:val="231F20"/>
          <w:sz w:val="40"/>
        </w:rPr>
        <w:t>Western Sydney University</w:t>
      </w:r>
    </w:p>
    <w:p>
      <w:pPr>
        <w:spacing w:after="0"/>
        <w:jc w:val="left"/>
        <w:rPr>
          <w:sz w:val="40"/>
        </w:rPr>
        <w:sectPr>
          <w:headerReference w:type="default" r:id="rId174"/>
          <w:footerReference w:type="default" r:id="rId175"/>
          <w:pgSz w:w="11910" w:h="16840"/>
          <w:pgMar w:header="0" w:footer="507" w:top="1600" w:bottom="700" w:left="1320" w:right="1680"/>
          <w:pgNumType w:start="245"/>
        </w:sectPr>
      </w:pPr>
    </w:p>
    <w:p>
      <w:pPr>
        <w:pStyle w:val="BodyText"/>
        <w:rPr>
          <w:b/>
          <w:sz w:val="20"/>
        </w:rPr>
      </w:pPr>
    </w:p>
    <w:p>
      <w:pPr>
        <w:pStyle w:val="BodyText"/>
        <w:rPr>
          <w:b/>
          <w:sz w:val="20"/>
        </w:rPr>
      </w:pPr>
    </w:p>
    <w:p>
      <w:pPr>
        <w:pStyle w:val="BodyText"/>
        <w:spacing w:before="9"/>
        <w:rPr>
          <w:b/>
          <w:sz w:val="17"/>
        </w:rPr>
      </w:pPr>
    </w:p>
    <w:p>
      <w:pPr>
        <w:pStyle w:val="Heading3"/>
        <w:ind w:left="102" w:right="0"/>
      </w:pPr>
      <w:bookmarkStart w:name="2.Annual Report 2017 Actual Comparison t" w:id="247"/>
      <w:bookmarkEnd w:id="247"/>
      <w:r>
        <w:rPr>
          <w:b w:val="0"/>
        </w:rPr>
      </w:r>
      <w:r>
        <w:rPr/>
        <w:t>2017 Actual to Budget Comparative Analysis</w:t>
      </w:r>
    </w:p>
    <w:p>
      <w:pPr>
        <w:pStyle w:val="BodyText"/>
        <w:spacing w:before="4"/>
        <w:rPr>
          <w:b/>
          <w:sz w:val="12"/>
        </w:rPr>
      </w:pPr>
    </w:p>
    <w:tbl>
      <w:tblPr>
        <w:tblW w:w="0" w:type="auto"/>
        <w:jc w:val="left"/>
        <w:tblInd w:w="48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29"/>
        <w:gridCol w:w="1288"/>
        <w:gridCol w:w="1283"/>
        <w:gridCol w:w="1135"/>
      </w:tblGrid>
      <w:tr>
        <w:trPr>
          <w:trHeight w:val="335" w:hRule="exact"/>
        </w:trPr>
        <w:tc>
          <w:tcPr>
            <w:tcW w:w="1129" w:type="dxa"/>
          </w:tcPr>
          <w:p>
            <w:pPr>
              <w:pStyle w:val="TableParagraph"/>
              <w:spacing w:before="77"/>
              <w:ind w:right="336"/>
              <w:jc w:val="right"/>
              <w:rPr>
                <w:b/>
                <w:sz w:val="18"/>
              </w:rPr>
            </w:pPr>
            <w:r>
              <w:rPr>
                <w:b/>
                <w:w w:val="95"/>
                <w:sz w:val="18"/>
              </w:rPr>
              <w:t>2017</w:t>
            </w:r>
          </w:p>
        </w:tc>
        <w:tc>
          <w:tcPr>
            <w:tcW w:w="1288" w:type="dxa"/>
          </w:tcPr>
          <w:p>
            <w:pPr>
              <w:pStyle w:val="TableParagraph"/>
              <w:spacing w:before="77"/>
              <w:ind w:right="220"/>
              <w:jc w:val="right"/>
              <w:rPr>
                <w:b/>
                <w:sz w:val="18"/>
              </w:rPr>
            </w:pPr>
            <w:r>
              <w:rPr>
                <w:b/>
                <w:sz w:val="18"/>
              </w:rPr>
              <w:t>2017</w:t>
            </w:r>
          </w:p>
        </w:tc>
        <w:tc>
          <w:tcPr>
            <w:tcW w:w="1283" w:type="dxa"/>
          </w:tcPr>
          <w:p>
            <w:pPr>
              <w:pStyle w:val="TableParagraph"/>
              <w:spacing w:before="77"/>
              <w:ind w:right="131"/>
              <w:jc w:val="right"/>
              <w:rPr>
                <w:b/>
                <w:i/>
                <w:sz w:val="18"/>
              </w:rPr>
            </w:pPr>
            <w:r>
              <w:rPr>
                <w:b/>
                <w:i/>
                <w:sz w:val="18"/>
              </w:rPr>
              <w:t>2017</w:t>
            </w:r>
          </w:p>
        </w:tc>
        <w:tc>
          <w:tcPr>
            <w:tcW w:w="1135" w:type="dxa"/>
          </w:tcPr>
          <w:p>
            <w:pPr>
              <w:pStyle w:val="TableParagraph"/>
              <w:spacing w:before="77"/>
              <w:ind w:right="68"/>
              <w:jc w:val="right"/>
              <w:rPr>
                <w:b/>
                <w:i/>
                <w:sz w:val="18"/>
              </w:rPr>
            </w:pPr>
            <w:r>
              <w:rPr>
                <w:b/>
                <w:i/>
                <w:w w:val="95"/>
                <w:sz w:val="18"/>
              </w:rPr>
              <w:t>2017</w:t>
            </w:r>
          </w:p>
        </w:tc>
      </w:tr>
      <w:tr>
        <w:trPr>
          <w:trHeight w:val="290" w:hRule="exact"/>
        </w:trPr>
        <w:tc>
          <w:tcPr>
            <w:tcW w:w="1129" w:type="dxa"/>
          </w:tcPr>
          <w:p>
            <w:pPr>
              <w:pStyle w:val="TableParagraph"/>
              <w:spacing w:before="32"/>
              <w:ind w:right="332"/>
              <w:jc w:val="right"/>
              <w:rPr>
                <w:b/>
                <w:sz w:val="18"/>
              </w:rPr>
            </w:pPr>
            <w:r>
              <w:rPr>
                <w:b/>
                <w:w w:val="95"/>
                <w:sz w:val="18"/>
              </w:rPr>
              <w:t>BUDGET</w:t>
            </w:r>
          </w:p>
        </w:tc>
        <w:tc>
          <w:tcPr>
            <w:tcW w:w="1288" w:type="dxa"/>
          </w:tcPr>
          <w:p>
            <w:pPr>
              <w:pStyle w:val="TableParagraph"/>
              <w:spacing w:before="32"/>
              <w:ind w:right="212"/>
              <w:jc w:val="right"/>
              <w:rPr>
                <w:b/>
                <w:sz w:val="18"/>
              </w:rPr>
            </w:pPr>
            <w:r>
              <w:rPr>
                <w:b/>
                <w:w w:val="95"/>
                <w:sz w:val="18"/>
              </w:rPr>
              <w:t>ACTUAL</w:t>
            </w:r>
          </w:p>
        </w:tc>
        <w:tc>
          <w:tcPr>
            <w:tcW w:w="1283" w:type="dxa"/>
          </w:tcPr>
          <w:p>
            <w:pPr>
              <w:pStyle w:val="TableParagraph"/>
              <w:spacing w:before="32"/>
              <w:ind w:right="126"/>
              <w:jc w:val="right"/>
              <w:rPr>
                <w:b/>
                <w:i/>
                <w:sz w:val="18"/>
              </w:rPr>
            </w:pPr>
            <w:r>
              <w:rPr>
                <w:b/>
                <w:i/>
                <w:w w:val="95"/>
                <w:sz w:val="18"/>
              </w:rPr>
              <w:t>VARIANCE</w:t>
            </w:r>
          </w:p>
        </w:tc>
        <w:tc>
          <w:tcPr>
            <w:tcW w:w="1135" w:type="dxa"/>
          </w:tcPr>
          <w:p>
            <w:pPr>
              <w:pStyle w:val="TableParagraph"/>
              <w:spacing w:before="32"/>
              <w:ind w:right="64"/>
              <w:jc w:val="right"/>
              <w:rPr>
                <w:b/>
                <w:i/>
                <w:sz w:val="18"/>
              </w:rPr>
            </w:pPr>
            <w:r>
              <w:rPr>
                <w:b/>
                <w:i/>
                <w:w w:val="95"/>
                <w:sz w:val="18"/>
              </w:rPr>
              <w:t>VARIANCE</w:t>
            </w:r>
          </w:p>
        </w:tc>
      </w:tr>
      <w:tr>
        <w:trPr>
          <w:trHeight w:val="335" w:hRule="exact"/>
        </w:trPr>
        <w:tc>
          <w:tcPr>
            <w:tcW w:w="1129" w:type="dxa"/>
          </w:tcPr>
          <w:p>
            <w:pPr>
              <w:pStyle w:val="TableParagraph"/>
              <w:spacing w:before="32"/>
              <w:ind w:right="336"/>
              <w:jc w:val="right"/>
              <w:rPr>
                <w:b/>
                <w:sz w:val="18"/>
              </w:rPr>
            </w:pPr>
            <w:r>
              <w:rPr>
                <w:b/>
                <w:w w:val="95"/>
                <w:sz w:val="18"/>
              </w:rPr>
              <w:t>$'000</w:t>
            </w:r>
          </w:p>
        </w:tc>
        <w:tc>
          <w:tcPr>
            <w:tcW w:w="1288" w:type="dxa"/>
          </w:tcPr>
          <w:p>
            <w:pPr>
              <w:pStyle w:val="TableParagraph"/>
              <w:spacing w:before="32"/>
              <w:ind w:right="221"/>
              <w:jc w:val="right"/>
              <w:rPr>
                <w:b/>
                <w:sz w:val="18"/>
              </w:rPr>
            </w:pPr>
            <w:r>
              <w:rPr>
                <w:b/>
                <w:w w:val="95"/>
                <w:sz w:val="18"/>
              </w:rPr>
              <w:t>$'000</w:t>
            </w:r>
          </w:p>
        </w:tc>
        <w:tc>
          <w:tcPr>
            <w:tcW w:w="1283" w:type="dxa"/>
          </w:tcPr>
          <w:p>
            <w:pPr>
              <w:pStyle w:val="TableParagraph"/>
              <w:spacing w:before="32"/>
              <w:ind w:right="129"/>
              <w:jc w:val="right"/>
              <w:rPr>
                <w:b/>
                <w:i/>
                <w:sz w:val="18"/>
              </w:rPr>
            </w:pPr>
            <w:r>
              <w:rPr>
                <w:b/>
                <w:i/>
                <w:w w:val="95"/>
                <w:sz w:val="18"/>
              </w:rPr>
              <w:t>$'000</w:t>
            </w:r>
          </w:p>
        </w:tc>
        <w:tc>
          <w:tcPr>
            <w:tcW w:w="1135" w:type="dxa"/>
          </w:tcPr>
          <w:p>
            <w:pPr>
              <w:pStyle w:val="TableParagraph"/>
              <w:spacing w:before="51"/>
              <w:ind w:right="33"/>
              <w:jc w:val="right"/>
              <w:rPr>
                <w:sz w:val="16"/>
              </w:rPr>
            </w:pPr>
            <w:r>
              <w:rPr>
                <w:w w:val="100"/>
                <w:sz w:val="16"/>
              </w:rPr>
              <w:t>%</w:t>
            </w:r>
          </w:p>
        </w:tc>
      </w:tr>
    </w:tbl>
    <w:p>
      <w:pPr>
        <w:pStyle w:val="Heading9"/>
        <w:spacing w:before="45" w:after="36"/>
        <w:ind w:left="153"/>
      </w:pPr>
      <w:r>
        <w:rPr/>
        <w:t>INCOME FROM CONTINUING OPERATIONS</w:t>
      </w:r>
    </w:p>
    <w:tbl>
      <w:tblPr>
        <w:tblW w:w="0" w:type="auto"/>
        <w:jc w:val="left"/>
        <w:tblInd w:w="12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68"/>
        <w:gridCol w:w="1476"/>
        <w:gridCol w:w="1330"/>
        <w:gridCol w:w="1436"/>
        <w:gridCol w:w="907"/>
      </w:tblGrid>
      <w:tr>
        <w:trPr>
          <w:trHeight w:val="668" w:hRule="exact"/>
        </w:trPr>
        <w:tc>
          <w:tcPr>
            <w:tcW w:w="4368" w:type="dxa"/>
          </w:tcPr>
          <w:p>
            <w:pPr>
              <w:pStyle w:val="TableParagraph"/>
              <w:spacing w:before="76"/>
              <w:ind w:left="340"/>
              <w:rPr>
                <w:b/>
                <w:sz w:val="18"/>
              </w:rPr>
            </w:pPr>
            <w:r>
              <w:rPr>
                <w:b/>
                <w:sz w:val="18"/>
              </w:rPr>
              <w:t>GOVERNMENT</w:t>
            </w:r>
          </w:p>
          <w:p>
            <w:pPr>
              <w:pStyle w:val="TableParagraph"/>
              <w:spacing w:before="155"/>
              <w:ind w:left="340"/>
              <w:rPr>
                <w:b/>
                <w:sz w:val="18"/>
              </w:rPr>
            </w:pPr>
            <w:r>
              <w:rPr>
                <w:b/>
                <w:sz w:val="18"/>
              </w:rPr>
              <w:t>ACADEMIC ACTIVITIES</w:t>
            </w:r>
          </w:p>
        </w:tc>
        <w:tc>
          <w:tcPr>
            <w:tcW w:w="1476" w:type="dxa"/>
          </w:tcPr>
          <w:p>
            <w:pPr>
              <w:pStyle w:val="TableParagraph"/>
              <w:spacing w:before="76"/>
              <w:ind w:right="375"/>
              <w:jc w:val="right"/>
              <w:rPr>
                <w:b/>
                <w:sz w:val="18"/>
              </w:rPr>
            </w:pPr>
            <w:r>
              <w:rPr>
                <w:b/>
                <w:w w:val="95"/>
                <w:sz w:val="18"/>
              </w:rPr>
              <w:t>554,690</w:t>
            </w:r>
          </w:p>
        </w:tc>
        <w:tc>
          <w:tcPr>
            <w:tcW w:w="1330" w:type="dxa"/>
          </w:tcPr>
          <w:p>
            <w:pPr>
              <w:pStyle w:val="TableParagraph"/>
              <w:spacing w:before="76"/>
              <w:ind w:right="301"/>
              <w:jc w:val="right"/>
              <w:rPr>
                <w:b/>
                <w:sz w:val="18"/>
              </w:rPr>
            </w:pPr>
            <w:r>
              <w:rPr>
                <w:b/>
                <w:w w:val="95"/>
                <w:sz w:val="18"/>
              </w:rPr>
              <w:t>539,414</w:t>
            </w:r>
          </w:p>
        </w:tc>
        <w:tc>
          <w:tcPr>
            <w:tcW w:w="1436" w:type="dxa"/>
          </w:tcPr>
          <w:p>
            <w:pPr>
              <w:pStyle w:val="TableParagraph"/>
              <w:spacing w:before="76"/>
              <w:ind w:right="362"/>
              <w:jc w:val="right"/>
              <w:rPr>
                <w:b/>
                <w:i/>
                <w:sz w:val="18"/>
              </w:rPr>
            </w:pPr>
            <w:r>
              <w:rPr>
                <w:b/>
                <w:i/>
                <w:w w:val="95"/>
                <w:sz w:val="18"/>
              </w:rPr>
              <w:t>(15,276)</w:t>
            </w:r>
          </w:p>
        </w:tc>
        <w:tc>
          <w:tcPr>
            <w:tcW w:w="907" w:type="dxa"/>
          </w:tcPr>
          <w:p>
            <w:pPr>
              <w:pStyle w:val="TableParagraph"/>
              <w:spacing w:before="95"/>
              <w:ind w:right="33"/>
              <w:jc w:val="right"/>
              <w:rPr>
                <w:b/>
                <w:sz w:val="16"/>
              </w:rPr>
            </w:pPr>
            <w:r>
              <w:rPr>
                <w:b/>
                <w:sz w:val="16"/>
              </w:rPr>
              <w:t>-2.8%</w:t>
            </w:r>
          </w:p>
        </w:tc>
      </w:tr>
      <w:tr>
        <w:trPr>
          <w:trHeight w:val="233" w:hRule="exact"/>
        </w:trPr>
        <w:tc>
          <w:tcPr>
            <w:tcW w:w="4368" w:type="dxa"/>
          </w:tcPr>
          <w:p>
            <w:pPr>
              <w:pStyle w:val="TableParagraph"/>
              <w:spacing w:before="3"/>
              <w:ind w:left="640"/>
              <w:rPr>
                <w:sz w:val="18"/>
              </w:rPr>
            </w:pPr>
            <w:r>
              <w:rPr>
                <w:sz w:val="18"/>
              </w:rPr>
              <w:t>International Onshore</w:t>
            </w:r>
          </w:p>
        </w:tc>
        <w:tc>
          <w:tcPr>
            <w:tcW w:w="1476" w:type="dxa"/>
          </w:tcPr>
          <w:p>
            <w:pPr>
              <w:pStyle w:val="TableParagraph"/>
              <w:spacing w:before="3"/>
              <w:ind w:right="375"/>
              <w:jc w:val="right"/>
              <w:rPr>
                <w:sz w:val="18"/>
              </w:rPr>
            </w:pPr>
            <w:r>
              <w:rPr>
                <w:w w:val="95"/>
                <w:sz w:val="18"/>
              </w:rPr>
              <w:t>88,843</w:t>
            </w:r>
          </w:p>
        </w:tc>
        <w:tc>
          <w:tcPr>
            <w:tcW w:w="1330" w:type="dxa"/>
          </w:tcPr>
          <w:p>
            <w:pPr>
              <w:pStyle w:val="TableParagraph"/>
              <w:spacing w:before="3"/>
              <w:ind w:right="302"/>
              <w:jc w:val="right"/>
              <w:rPr>
                <w:sz w:val="18"/>
              </w:rPr>
            </w:pPr>
            <w:r>
              <w:rPr>
                <w:w w:val="95"/>
                <w:sz w:val="18"/>
              </w:rPr>
              <w:t>96,362</w:t>
            </w:r>
          </w:p>
        </w:tc>
        <w:tc>
          <w:tcPr>
            <w:tcW w:w="1436" w:type="dxa"/>
          </w:tcPr>
          <w:p>
            <w:pPr>
              <w:pStyle w:val="TableParagraph"/>
              <w:spacing w:before="3"/>
              <w:ind w:right="363"/>
              <w:jc w:val="right"/>
              <w:rPr>
                <w:b/>
                <w:i/>
                <w:sz w:val="18"/>
              </w:rPr>
            </w:pPr>
            <w:r>
              <w:rPr>
                <w:b/>
                <w:i/>
                <w:w w:val="95"/>
                <w:sz w:val="18"/>
              </w:rPr>
              <w:t>7,519</w:t>
            </w:r>
          </w:p>
        </w:tc>
        <w:tc>
          <w:tcPr>
            <w:tcW w:w="907" w:type="dxa"/>
          </w:tcPr>
          <w:p>
            <w:pPr>
              <w:pStyle w:val="TableParagraph"/>
              <w:spacing w:before="22"/>
              <w:ind w:right="34"/>
              <w:jc w:val="right"/>
              <w:rPr>
                <w:b/>
                <w:sz w:val="16"/>
              </w:rPr>
            </w:pPr>
            <w:r>
              <w:rPr>
                <w:b/>
                <w:sz w:val="16"/>
              </w:rPr>
              <w:t>8.5%</w:t>
            </w:r>
          </w:p>
        </w:tc>
      </w:tr>
      <w:tr>
        <w:trPr>
          <w:trHeight w:val="233" w:hRule="exact"/>
        </w:trPr>
        <w:tc>
          <w:tcPr>
            <w:tcW w:w="4368" w:type="dxa"/>
          </w:tcPr>
          <w:p>
            <w:pPr>
              <w:pStyle w:val="TableParagraph"/>
              <w:spacing w:before="3"/>
              <w:ind w:left="640"/>
              <w:rPr>
                <w:sz w:val="18"/>
              </w:rPr>
            </w:pPr>
            <w:r>
              <w:rPr>
                <w:sz w:val="18"/>
              </w:rPr>
              <w:t>International Offshore</w:t>
            </w:r>
          </w:p>
        </w:tc>
        <w:tc>
          <w:tcPr>
            <w:tcW w:w="1476" w:type="dxa"/>
          </w:tcPr>
          <w:p>
            <w:pPr>
              <w:pStyle w:val="TableParagraph"/>
              <w:spacing w:before="3"/>
              <w:ind w:right="373"/>
              <w:jc w:val="right"/>
              <w:rPr>
                <w:sz w:val="18"/>
              </w:rPr>
            </w:pPr>
            <w:r>
              <w:rPr>
                <w:w w:val="95"/>
                <w:sz w:val="18"/>
              </w:rPr>
              <w:t>957</w:t>
            </w:r>
          </w:p>
        </w:tc>
        <w:tc>
          <w:tcPr>
            <w:tcW w:w="1330" w:type="dxa"/>
          </w:tcPr>
          <w:p>
            <w:pPr>
              <w:pStyle w:val="TableParagraph"/>
              <w:spacing w:before="3"/>
              <w:ind w:right="299"/>
              <w:jc w:val="right"/>
              <w:rPr>
                <w:sz w:val="18"/>
              </w:rPr>
            </w:pPr>
            <w:r>
              <w:rPr>
                <w:w w:val="95"/>
                <w:sz w:val="18"/>
              </w:rPr>
              <w:t>598</w:t>
            </w:r>
          </w:p>
        </w:tc>
        <w:tc>
          <w:tcPr>
            <w:tcW w:w="1436" w:type="dxa"/>
          </w:tcPr>
          <w:p>
            <w:pPr>
              <w:pStyle w:val="TableParagraph"/>
              <w:spacing w:before="3"/>
              <w:ind w:right="360"/>
              <w:jc w:val="right"/>
              <w:rPr>
                <w:b/>
                <w:i/>
                <w:sz w:val="18"/>
              </w:rPr>
            </w:pPr>
            <w:r>
              <w:rPr>
                <w:b/>
                <w:i/>
                <w:w w:val="95"/>
                <w:sz w:val="18"/>
              </w:rPr>
              <w:t>(359)</w:t>
            </w:r>
          </w:p>
        </w:tc>
        <w:tc>
          <w:tcPr>
            <w:tcW w:w="907" w:type="dxa"/>
          </w:tcPr>
          <w:p>
            <w:pPr>
              <w:pStyle w:val="TableParagraph"/>
              <w:spacing w:before="22"/>
              <w:ind w:right="33"/>
              <w:jc w:val="right"/>
              <w:rPr>
                <w:b/>
                <w:sz w:val="16"/>
              </w:rPr>
            </w:pPr>
            <w:r>
              <w:rPr>
                <w:b/>
                <w:sz w:val="16"/>
              </w:rPr>
              <w:t>-37.5%</w:t>
            </w:r>
          </w:p>
        </w:tc>
      </w:tr>
      <w:tr>
        <w:trPr>
          <w:trHeight w:val="233" w:hRule="exact"/>
        </w:trPr>
        <w:tc>
          <w:tcPr>
            <w:tcW w:w="4368" w:type="dxa"/>
          </w:tcPr>
          <w:p>
            <w:pPr>
              <w:pStyle w:val="TableParagraph"/>
              <w:spacing w:before="3"/>
              <w:ind w:left="640"/>
              <w:rPr>
                <w:sz w:val="18"/>
              </w:rPr>
            </w:pPr>
            <w:r>
              <w:rPr>
                <w:sz w:val="18"/>
              </w:rPr>
              <w:t>Local fee-paying</w:t>
            </w:r>
          </w:p>
        </w:tc>
        <w:tc>
          <w:tcPr>
            <w:tcW w:w="1476" w:type="dxa"/>
          </w:tcPr>
          <w:p>
            <w:pPr>
              <w:pStyle w:val="TableParagraph"/>
              <w:spacing w:before="3"/>
              <w:ind w:right="375"/>
              <w:jc w:val="right"/>
              <w:rPr>
                <w:sz w:val="18"/>
              </w:rPr>
            </w:pPr>
            <w:r>
              <w:rPr>
                <w:w w:val="95"/>
                <w:sz w:val="18"/>
              </w:rPr>
              <w:t>17,440</w:t>
            </w:r>
          </w:p>
        </w:tc>
        <w:tc>
          <w:tcPr>
            <w:tcW w:w="1330" w:type="dxa"/>
          </w:tcPr>
          <w:p>
            <w:pPr>
              <w:pStyle w:val="TableParagraph"/>
              <w:spacing w:before="3"/>
              <w:ind w:right="301"/>
              <w:jc w:val="right"/>
              <w:rPr>
                <w:sz w:val="18"/>
              </w:rPr>
            </w:pPr>
            <w:r>
              <w:rPr>
                <w:w w:val="95"/>
                <w:sz w:val="18"/>
              </w:rPr>
              <w:t>16,305</w:t>
            </w:r>
          </w:p>
        </w:tc>
        <w:tc>
          <w:tcPr>
            <w:tcW w:w="1436" w:type="dxa"/>
          </w:tcPr>
          <w:p>
            <w:pPr>
              <w:pStyle w:val="TableParagraph"/>
              <w:spacing w:before="3"/>
              <w:ind w:right="361"/>
              <w:jc w:val="right"/>
              <w:rPr>
                <w:b/>
                <w:i/>
                <w:sz w:val="18"/>
              </w:rPr>
            </w:pPr>
            <w:r>
              <w:rPr>
                <w:b/>
                <w:i/>
                <w:w w:val="95"/>
                <w:sz w:val="18"/>
              </w:rPr>
              <w:t>(1,135)</w:t>
            </w:r>
          </w:p>
        </w:tc>
        <w:tc>
          <w:tcPr>
            <w:tcW w:w="907" w:type="dxa"/>
          </w:tcPr>
          <w:p>
            <w:pPr>
              <w:pStyle w:val="TableParagraph"/>
              <w:spacing w:before="22"/>
              <w:ind w:right="33"/>
              <w:jc w:val="right"/>
              <w:rPr>
                <w:b/>
                <w:sz w:val="16"/>
              </w:rPr>
            </w:pPr>
            <w:r>
              <w:rPr>
                <w:b/>
                <w:sz w:val="16"/>
              </w:rPr>
              <w:t>-6.5%</w:t>
            </w:r>
          </w:p>
        </w:tc>
      </w:tr>
      <w:tr>
        <w:trPr>
          <w:trHeight w:val="233" w:hRule="exact"/>
        </w:trPr>
        <w:tc>
          <w:tcPr>
            <w:tcW w:w="4368" w:type="dxa"/>
          </w:tcPr>
          <w:p>
            <w:pPr>
              <w:pStyle w:val="TableParagraph"/>
              <w:spacing w:before="3"/>
              <w:ind w:left="640"/>
              <w:rPr>
                <w:sz w:val="18"/>
              </w:rPr>
            </w:pPr>
            <w:r>
              <w:rPr>
                <w:sz w:val="18"/>
              </w:rPr>
              <w:t>External Research Grants</w:t>
            </w:r>
          </w:p>
        </w:tc>
        <w:tc>
          <w:tcPr>
            <w:tcW w:w="1476" w:type="dxa"/>
          </w:tcPr>
          <w:p>
            <w:pPr>
              <w:pStyle w:val="TableParagraph"/>
              <w:spacing w:before="3"/>
              <w:ind w:right="375"/>
              <w:jc w:val="right"/>
              <w:rPr>
                <w:sz w:val="18"/>
              </w:rPr>
            </w:pPr>
            <w:r>
              <w:rPr>
                <w:w w:val="95"/>
                <w:sz w:val="18"/>
              </w:rPr>
              <w:t>36,285</w:t>
            </w:r>
          </w:p>
        </w:tc>
        <w:tc>
          <w:tcPr>
            <w:tcW w:w="1330" w:type="dxa"/>
          </w:tcPr>
          <w:p>
            <w:pPr>
              <w:pStyle w:val="TableParagraph"/>
              <w:spacing w:before="3"/>
              <w:ind w:right="301"/>
              <w:jc w:val="right"/>
              <w:rPr>
                <w:sz w:val="18"/>
              </w:rPr>
            </w:pPr>
            <w:r>
              <w:rPr>
                <w:w w:val="95"/>
                <w:sz w:val="18"/>
              </w:rPr>
              <w:t>29,169</w:t>
            </w:r>
          </w:p>
        </w:tc>
        <w:tc>
          <w:tcPr>
            <w:tcW w:w="1436" w:type="dxa"/>
          </w:tcPr>
          <w:p>
            <w:pPr>
              <w:pStyle w:val="TableParagraph"/>
              <w:spacing w:before="3"/>
              <w:ind w:right="361"/>
              <w:jc w:val="right"/>
              <w:rPr>
                <w:b/>
                <w:i/>
                <w:sz w:val="18"/>
              </w:rPr>
            </w:pPr>
            <w:r>
              <w:rPr>
                <w:b/>
                <w:i/>
                <w:w w:val="95"/>
                <w:sz w:val="18"/>
              </w:rPr>
              <w:t>(7,116)</w:t>
            </w:r>
          </w:p>
        </w:tc>
        <w:tc>
          <w:tcPr>
            <w:tcW w:w="907" w:type="dxa"/>
          </w:tcPr>
          <w:p>
            <w:pPr>
              <w:pStyle w:val="TableParagraph"/>
              <w:spacing w:before="22"/>
              <w:ind w:right="33"/>
              <w:jc w:val="right"/>
              <w:rPr>
                <w:b/>
                <w:sz w:val="16"/>
              </w:rPr>
            </w:pPr>
            <w:r>
              <w:rPr>
                <w:b/>
                <w:sz w:val="16"/>
              </w:rPr>
              <w:t>-19.6%</w:t>
            </w:r>
          </w:p>
        </w:tc>
      </w:tr>
      <w:tr>
        <w:trPr>
          <w:trHeight w:val="233" w:hRule="exact"/>
        </w:trPr>
        <w:tc>
          <w:tcPr>
            <w:tcW w:w="4368" w:type="dxa"/>
          </w:tcPr>
          <w:p>
            <w:pPr>
              <w:pStyle w:val="TableParagraph"/>
              <w:spacing w:before="3"/>
              <w:ind w:left="640"/>
              <w:rPr>
                <w:sz w:val="18"/>
              </w:rPr>
            </w:pPr>
            <w:r>
              <w:rPr>
                <w:sz w:val="18"/>
              </w:rPr>
              <w:t>Consulting, Contracting &amp; Royalties</w:t>
            </w:r>
          </w:p>
        </w:tc>
        <w:tc>
          <w:tcPr>
            <w:tcW w:w="1476" w:type="dxa"/>
          </w:tcPr>
          <w:p>
            <w:pPr>
              <w:pStyle w:val="TableParagraph"/>
              <w:spacing w:before="3"/>
              <w:ind w:right="374"/>
              <w:jc w:val="right"/>
              <w:rPr>
                <w:sz w:val="18"/>
              </w:rPr>
            </w:pPr>
            <w:r>
              <w:rPr>
                <w:w w:val="95"/>
                <w:sz w:val="18"/>
              </w:rPr>
              <w:t>4,066</w:t>
            </w:r>
          </w:p>
        </w:tc>
        <w:tc>
          <w:tcPr>
            <w:tcW w:w="1330" w:type="dxa"/>
          </w:tcPr>
          <w:p>
            <w:pPr>
              <w:pStyle w:val="TableParagraph"/>
              <w:spacing w:before="3"/>
              <w:ind w:right="300"/>
              <w:jc w:val="right"/>
              <w:rPr>
                <w:sz w:val="18"/>
              </w:rPr>
            </w:pPr>
            <w:r>
              <w:rPr>
                <w:w w:val="95"/>
                <w:sz w:val="18"/>
              </w:rPr>
              <w:t>3,058</w:t>
            </w:r>
          </w:p>
        </w:tc>
        <w:tc>
          <w:tcPr>
            <w:tcW w:w="1436" w:type="dxa"/>
          </w:tcPr>
          <w:p>
            <w:pPr>
              <w:pStyle w:val="TableParagraph"/>
              <w:spacing w:before="3"/>
              <w:ind w:right="361"/>
              <w:jc w:val="right"/>
              <w:rPr>
                <w:b/>
                <w:i/>
                <w:sz w:val="18"/>
              </w:rPr>
            </w:pPr>
            <w:r>
              <w:rPr>
                <w:b/>
                <w:i/>
                <w:w w:val="95"/>
                <w:sz w:val="18"/>
              </w:rPr>
              <w:t>(1,008)</w:t>
            </w:r>
          </w:p>
        </w:tc>
        <w:tc>
          <w:tcPr>
            <w:tcW w:w="907" w:type="dxa"/>
          </w:tcPr>
          <w:p>
            <w:pPr>
              <w:pStyle w:val="TableParagraph"/>
              <w:spacing w:before="22"/>
              <w:ind w:right="33"/>
              <w:jc w:val="right"/>
              <w:rPr>
                <w:b/>
                <w:sz w:val="16"/>
              </w:rPr>
            </w:pPr>
            <w:r>
              <w:rPr>
                <w:b/>
                <w:sz w:val="16"/>
              </w:rPr>
              <w:t>-24.8%</w:t>
            </w:r>
          </w:p>
        </w:tc>
      </w:tr>
      <w:tr>
        <w:trPr>
          <w:trHeight w:val="283" w:hRule="exact"/>
        </w:trPr>
        <w:tc>
          <w:tcPr>
            <w:tcW w:w="4368" w:type="dxa"/>
          </w:tcPr>
          <w:p>
            <w:pPr>
              <w:pStyle w:val="TableParagraph"/>
              <w:spacing w:before="3"/>
              <w:ind w:left="640"/>
              <w:rPr>
                <w:sz w:val="18"/>
              </w:rPr>
            </w:pPr>
            <w:r>
              <w:rPr>
                <w:sz w:val="18"/>
              </w:rPr>
              <w:t>Other Academic</w:t>
            </w:r>
          </w:p>
        </w:tc>
        <w:tc>
          <w:tcPr>
            <w:tcW w:w="1476" w:type="dxa"/>
          </w:tcPr>
          <w:p>
            <w:pPr>
              <w:pStyle w:val="TableParagraph"/>
              <w:spacing w:before="3"/>
              <w:ind w:right="375"/>
              <w:jc w:val="right"/>
              <w:rPr>
                <w:sz w:val="18"/>
              </w:rPr>
            </w:pPr>
            <w:r>
              <w:rPr>
                <w:w w:val="95"/>
                <w:sz w:val="18"/>
              </w:rPr>
              <w:t>44,936</w:t>
            </w:r>
          </w:p>
        </w:tc>
        <w:tc>
          <w:tcPr>
            <w:tcW w:w="1330" w:type="dxa"/>
          </w:tcPr>
          <w:p>
            <w:pPr>
              <w:pStyle w:val="TableParagraph"/>
              <w:spacing w:before="3"/>
              <w:ind w:right="301"/>
              <w:jc w:val="right"/>
              <w:rPr>
                <w:sz w:val="18"/>
              </w:rPr>
            </w:pPr>
            <w:r>
              <w:rPr>
                <w:w w:val="95"/>
                <w:sz w:val="18"/>
              </w:rPr>
              <w:t>42,824</w:t>
            </w:r>
          </w:p>
        </w:tc>
        <w:tc>
          <w:tcPr>
            <w:tcW w:w="1436" w:type="dxa"/>
          </w:tcPr>
          <w:p>
            <w:pPr>
              <w:pStyle w:val="TableParagraph"/>
              <w:spacing w:before="3"/>
              <w:ind w:right="361"/>
              <w:jc w:val="right"/>
              <w:rPr>
                <w:b/>
                <w:i/>
                <w:sz w:val="18"/>
              </w:rPr>
            </w:pPr>
            <w:r>
              <w:rPr>
                <w:b/>
                <w:i/>
                <w:w w:val="95"/>
                <w:sz w:val="18"/>
              </w:rPr>
              <w:t>(2,112)</w:t>
            </w:r>
          </w:p>
        </w:tc>
        <w:tc>
          <w:tcPr>
            <w:tcW w:w="907" w:type="dxa"/>
          </w:tcPr>
          <w:p>
            <w:pPr>
              <w:pStyle w:val="TableParagraph"/>
              <w:spacing w:before="22"/>
              <w:ind w:right="33"/>
              <w:jc w:val="right"/>
              <w:rPr>
                <w:b/>
                <w:sz w:val="16"/>
              </w:rPr>
            </w:pPr>
            <w:r>
              <w:rPr>
                <w:b/>
                <w:sz w:val="16"/>
              </w:rPr>
              <w:t>-4.7%</w:t>
            </w:r>
          </w:p>
        </w:tc>
      </w:tr>
      <w:tr>
        <w:trPr>
          <w:trHeight w:val="257" w:hRule="exact"/>
        </w:trPr>
        <w:tc>
          <w:tcPr>
            <w:tcW w:w="4368" w:type="dxa"/>
          </w:tcPr>
          <w:p>
            <w:pPr>
              <w:pStyle w:val="TableParagraph"/>
              <w:spacing w:before="54"/>
              <w:ind w:right="302"/>
              <w:jc w:val="right"/>
              <w:rPr>
                <w:b/>
                <w:sz w:val="18"/>
              </w:rPr>
            </w:pPr>
            <w:r>
              <w:rPr>
                <w:b/>
                <w:sz w:val="18"/>
              </w:rPr>
              <w:t>Sub Total</w:t>
            </w:r>
          </w:p>
        </w:tc>
        <w:tc>
          <w:tcPr>
            <w:tcW w:w="1476" w:type="dxa"/>
          </w:tcPr>
          <w:p>
            <w:pPr>
              <w:pStyle w:val="TableParagraph"/>
              <w:spacing w:before="54"/>
              <w:ind w:right="375"/>
              <w:jc w:val="right"/>
              <w:rPr>
                <w:b/>
                <w:sz w:val="18"/>
              </w:rPr>
            </w:pPr>
            <w:r>
              <w:rPr>
                <w:b/>
                <w:w w:val="95"/>
                <w:sz w:val="18"/>
              </w:rPr>
              <w:t>192,527</w:t>
            </w:r>
          </w:p>
        </w:tc>
        <w:tc>
          <w:tcPr>
            <w:tcW w:w="1330" w:type="dxa"/>
          </w:tcPr>
          <w:p>
            <w:pPr>
              <w:pStyle w:val="TableParagraph"/>
              <w:spacing w:before="54"/>
              <w:ind w:right="301"/>
              <w:jc w:val="right"/>
              <w:rPr>
                <w:b/>
                <w:sz w:val="18"/>
              </w:rPr>
            </w:pPr>
            <w:r>
              <w:rPr>
                <w:b/>
                <w:w w:val="95"/>
                <w:sz w:val="18"/>
              </w:rPr>
              <w:t>188,316</w:t>
            </w:r>
          </w:p>
        </w:tc>
        <w:tc>
          <w:tcPr>
            <w:tcW w:w="1436" w:type="dxa"/>
          </w:tcPr>
          <w:p>
            <w:pPr>
              <w:pStyle w:val="TableParagraph"/>
              <w:spacing w:before="54"/>
              <w:ind w:right="361"/>
              <w:jc w:val="right"/>
              <w:rPr>
                <w:b/>
                <w:i/>
                <w:sz w:val="18"/>
              </w:rPr>
            </w:pPr>
            <w:r>
              <w:rPr>
                <w:b/>
                <w:i/>
                <w:w w:val="95"/>
                <w:sz w:val="18"/>
              </w:rPr>
              <w:t>(4,211)</w:t>
            </w:r>
          </w:p>
        </w:tc>
        <w:tc>
          <w:tcPr>
            <w:tcW w:w="907" w:type="dxa"/>
          </w:tcPr>
          <w:p>
            <w:pPr>
              <w:pStyle w:val="TableParagraph"/>
              <w:spacing w:before="72"/>
              <w:ind w:right="33"/>
              <w:jc w:val="right"/>
              <w:rPr>
                <w:b/>
                <w:sz w:val="16"/>
              </w:rPr>
            </w:pPr>
            <w:r>
              <w:rPr>
                <w:b/>
                <w:sz w:val="16"/>
              </w:rPr>
              <w:t>-2.2%</w:t>
            </w:r>
          </w:p>
        </w:tc>
      </w:tr>
      <w:tr>
        <w:trPr>
          <w:trHeight w:val="389" w:hRule="exact"/>
        </w:trPr>
        <w:tc>
          <w:tcPr>
            <w:tcW w:w="4368" w:type="dxa"/>
          </w:tcPr>
          <w:p>
            <w:pPr>
              <w:pStyle w:val="TableParagraph"/>
              <w:spacing w:before="159"/>
              <w:ind w:left="340"/>
              <w:rPr>
                <w:b/>
                <w:sz w:val="18"/>
              </w:rPr>
            </w:pPr>
            <w:r>
              <w:rPr>
                <w:b/>
                <w:sz w:val="18"/>
              </w:rPr>
              <w:t>OTHER INCOME ACTIVITIES</w:t>
            </w:r>
          </w:p>
        </w:tc>
        <w:tc>
          <w:tcPr>
            <w:tcW w:w="1476" w:type="dxa"/>
          </w:tcPr>
          <w:p>
            <w:pPr/>
          </w:p>
        </w:tc>
        <w:tc>
          <w:tcPr>
            <w:tcW w:w="1330" w:type="dxa"/>
          </w:tcPr>
          <w:p>
            <w:pPr/>
          </w:p>
        </w:tc>
        <w:tc>
          <w:tcPr>
            <w:tcW w:w="1436" w:type="dxa"/>
          </w:tcPr>
          <w:p>
            <w:pPr/>
          </w:p>
        </w:tc>
        <w:tc>
          <w:tcPr>
            <w:tcW w:w="907" w:type="dxa"/>
          </w:tcPr>
          <w:p>
            <w:pPr/>
          </w:p>
        </w:tc>
      </w:tr>
      <w:tr>
        <w:trPr>
          <w:trHeight w:val="244" w:hRule="exact"/>
        </w:trPr>
        <w:tc>
          <w:tcPr>
            <w:tcW w:w="4368" w:type="dxa"/>
          </w:tcPr>
          <w:p>
            <w:pPr>
              <w:pStyle w:val="TableParagraph"/>
              <w:spacing w:before="3"/>
              <w:ind w:left="640"/>
              <w:rPr>
                <w:sz w:val="18"/>
              </w:rPr>
            </w:pPr>
            <w:r>
              <w:rPr>
                <w:sz w:val="18"/>
              </w:rPr>
              <w:t>Leases &amp; Other Commercial</w:t>
            </w:r>
          </w:p>
        </w:tc>
        <w:tc>
          <w:tcPr>
            <w:tcW w:w="1476" w:type="dxa"/>
          </w:tcPr>
          <w:p>
            <w:pPr>
              <w:pStyle w:val="TableParagraph"/>
              <w:spacing w:before="3"/>
              <w:ind w:right="374"/>
              <w:jc w:val="right"/>
              <w:rPr>
                <w:sz w:val="18"/>
              </w:rPr>
            </w:pPr>
            <w:r>
              <w:rPr>
                <w:w w:val="95"/>
                <w:sz w:val="18"/>
              </w:rPr>
              <w:t>9,440</w:t>
            </w:r>
          </w:p>
        </w:tc>
        <w:tc>
          <w:tcPr>
            <w:tcW w:w="1330" w:type="dxa"/>
          </w:tcPr>
          <w:p>
            <w:pPr>
              <w:pStyle w:val="TableParagraph"/>
              <w:spacing w:before="3"/>
              <w:ind w:right="300"/>
              <w:jc w:val="right"/>
              <w:rPr>
                <w:sz w:val="18"/>
              </w:rPr>
            </w:pPr>
            <w:r>
              <w:rPr>
                <w:w w:val="95"/>
                <w:sz w:val="18"/>
              </w:rPr>
              <w:t>9,991</w:t>
            </w:r>
          </w:p>
        </w:tc>
        <w:tc>
          <w:tcPr>
            <w:tcW w:w="1436" w:type="dxa"/>
          </w:tcPr>
          <w:p>
            <w:pPr>
              <w:pStyle w:val="TableParagraph"/>
              <w:spacing w:before="3"/>
              <w:ind w:right="362"/>
              <w:jc w:val="right"/>
              <w:rPr>
                <w:b/>
                <w:i/>
                <w:sz w:val="18"/>
              </w:rPr>
            </w:pPr>
            <w:r>
              <w:rPr>
                <w:b/>
                <w:i/>
                <w:w w:val="95"/>
                <w:sz w:val="18"/>
              </w:rPr>
              <w:t>551</w:t>
            </w:r>
          </w:p>
        </w:tc>
        <w:tc>
          <w:tcPr>
            <w:tcW w:w="907" w:type="dxa"/>
          </w:tcPr>
          <w:p>
            <w:pPr>
              <w:pStyle w:val="TableParagraph"/>
              <w:spacing w:before="22"/>
              <w:ind w:right="34"/>
              <w:jc w:val="right"/>
              <w:rPr>
                <w:b/>
                <w:sz w:val="16"/>
              </w:rPr>
            </w:pPr>
            <w:r>
              <w:rPr>
                <w:b/>
                <w:sz w:val="16"/>
              </w:rPr>
              <w:t>5.8%</w:t>
            </w:r>
          </w:p>
        </w:tc>
      </w:tr>
      <w:tr>
        <w:trPr>
          <w:trHeight w:val="254" w:hRule="exact"/>
        </w:trPr>
        <w:tc>
          <w:tcPr>
            <w:tcW w:w="4368" w:type="dxa"/>
          </w:tcPr>
          <w:p>
            <w:pPr>
              <w:pStyle w:val="TableParagraph"/>
              <w:spacing w:before="14"/>
              <w:ind w:left="640"/>
              <w:rPr>
                <w:sz w:val="18"/>
              </w:rPr>
            </w:pPr>
            <w:r>
              <w:rPr>
                <w:sz w:val="18"/>
              </w:rPr>
              <w:t>Investment Income</w:t>
            </w:r>
          </w:p>
        </w:tc>
        <w:tc>
          <w:tcPr>
            <w:tcW w:w="1476" w:type="dxa"/>
          </w:tcPr>
          <w:p>
            <w:pPr>
              <w:pStyle w:val="TableParagraph"/>
              <w:spacing w:before="14"/>
              <w:ind w:right="375"/>
              <w:jc w:val="right"/>
              <w:rPr>
                <w:sz w:val="18"/>
              </w:rPr>
            </w:pPr>
            <w:r>
              <w:rPr>
                <w:w w:val="95"/>
                <w:sz w:val="18"/>
              </w:rPr>
              <w:t>10,148</w:t>
            </w:r>
          </w:p>
        </w:tc>
        <w:tc>
          <w:tcPr>
            <w:tcW w:w="1330" w:type="dxa"/>
          </w:tcPr>
          <w:p>
            <w:pPr>
              <w:pStyle w:val="TableParagraph"/>
              <w:spacing w:before="14"/>
              <w:ind w:right="301"/>
              <w:jc w:val="right"/>
              <w:rPr>
                <w:sz w:val="18"/>
              </w:rPr>
            </w:pPr>
            <w:r>
              <w:rPr>
                <w:w w:val="95"/>
                <w:sz w:val="18"/>
              </w:rPr>
              <w:t>14,090</w:t>
            </w:r>
          </w:p>
        </w:tc>
        <w:tc>
          <w:tcPr>
            <w:tcW w:w="1436" w:type="dxa"/>
          </w:tcPr>
          <w:p>
            <w:pPr>
              <w:pStyle w:val="TableParagraph"/>
              <w:spacing w:before="14"/>
              <w:ind w:right="363"/>
              <w:jc w:val="right"/>
              <w:rPr>
                <w:b/>
                <w:i/>
                <w:sz w:val="18"/>
              </w:rPr>
            </w:pPr>
            <w:r>
              <w:rPr>
                <w:b/>
                <w:i/>
                <w:w w:val="95"/>
                <w:sz w:val="18"/>
              </w:rPr>
              <w:t>3,942</w:t>
            </w:r>
          </w:p>
        </w:tc>
        <w:tc>
          <w:tcPr>
            <w:tcW w:w="907" w:type="dxa"/>
          </w:tcPr>
          <w:p>
            <w:pPr>
              <w:pStyle w:val="TableParagraph"/>
              <w:spacing w:before="33"/>
              <w:ind w:right="33"/>
              <w:jc w:val="right"/>
              <w:rPr>
                <w:b/>
                <w:sz w:val="16"/>
              </w:rPr>
            </w:pPr>
            <w:r>
              <w:rPr>
                <w:b/>
                <w:sz w:val="16"/>
              </w:rPr>
              <w:t>38.8%</w:t>
            </w:r>
          </w:p>
        </w:tc>
      </w:tr>
      <w:tr>
        <w:trPr>
          <w:trHeight w:val="244" w:hRule="exact"/>
        </w:trPr>
        <w:tc>
          <w:tcPr>
            <w:tcW w:w="4368" w:type="dxa"/>
          </w:tcPr>
          <w:p>
            <w:pPr>
              <w:pStyle w:val="TableParagraph"/>
              <w:spacing w:before="14"/>
              <w:ind w:left="640"/>
              <w:rPr>
                <w:sz w:val="18"/>
              </w:rPr>
            </w:pPr>
            <w:r>
              <w:rPr>
                <w:sz w:val="18"/>
              </w:rPr>
              <w:t>Land/Property Development Projects</w:t>
            </w:r>
          </w:p>
        </w:tc>
        <w:tc>
          <w:tcPr>
            <w:tcW w:w="1476" w:type="dxa"/>
          </w:tcPr>
          <w:p>
            <w:pPr>
              <w:pStyle w:val="TableParagraph"/>
              <w:spacing w:before="14"/>
              <w:ind w:right="376"/>
              <w:jc w:val="right"/>
              <w:rPr>
                <w:sz w:val="18"/>
              </w:rPr>
            </w:pPr>
            <w:r>
              <w:rPr>
                <w:w w:val="95"/>
                <w:sz w:val="18"/>
              </w:rPr>
              <w:t>178,039</w:t>
            </w:r>
          </w:p>
        </w:tc>
        <w:tc>
          <w:tcPr>
            <w:tcW w:w="1330" w:type="dxa"/>
          </w:tcPr>
          <w:p>
            <w:pPr>
              <w:pStyle w:val="TableParagraph"/>
              <w:spacing w:before="14"/>
              <w:ind w:right="301"/>
              <w:jc w:val="right"/>
              <w:rPr>
                <w:sz w:val="18"/>
              </w:rPr>
            </w:pPr>
            <w:r>
              <w:rPr>
                <w:w w:val="95"/>
                <w:sz w:val="18"/>
              </w:rPr>
              <w:t>94,802</w:t>
            </w:r>
          </w:p>
        </w:tc>
        <w:tc>
          <w:tcPr>
            <w:tcW w:w="1436" w:type="dxa"/>
          </w:tcPr>
          <w:p>
            <w:pPr>
              <w:pStyle w:val="TableParagraph"/>
              <w:spacing w:before="14"/>
              <w:ind w:right="362"/>
              <w:jc w:val="right"/>
              <w:rPr>
                <w:b/>
                <w:i/>
                <w:sz w:val="18"/>
              </w:rPr>
            </w:pPr>
            <w:r>
              <w:rPr>
                <w:b/>
                <w:i/>
                <w:w w:val="95"/>
                <w:sz w:val="18"/>
              </w:rPr>
              <w:t>(83,237)</w:t>
            </w:r>
          </w:p>
        </w:tc>
        <w:tc>
          <w:tcPr>
            <w:tcW w:w="907" w:type="dxa"/>
          </w:tcPr>
          <w:p>
            <w:pPr>
              <w:pStyle w:val="TableParagraph"/>
              <w:spacing w:before="33"/>
              <w:ind w:right="33"/>
              <w:jc w:val="right"/>
              <w:rPr>
                <w:b/>
                <w:sz w:val="16"/>
              </w:rPr>
            </w:pPr>
            <w:r>
              <w:rPr>
                <w:b/>
                <w:sz w:val="16"/>
              </w:rPr>
              <w:t>-46.8%</w:t>
            </w:r>
          </w:p>
        </w:tc>
      </w:tr>
      <w:tr>
        <w:trPr>
          <w:trHeight w:val="262" w:hRule="exact"/>
        </w:trPr>
        <w:tc>
          <w:tcPr>
            <w:tcW w:w="4368" w:type="dxa"/>
          </w:tcPr>
          <w:p>
            <w:pPr>
              <w:pStyle w:val="TableParagraph"/>
              <w:spacing w:before="3"/>
              <w:ind w:left="640"/>
              <w:rPr>
                <w:sz w:val="18"/>
              </w:rPr>
            </w:pPr>
            <w:r>
              <w:rPr>
                <w:sz w:val="18"/>
              </w:rPr>
              <w:t>Other Incidental</w:t>
            </w:r>
          </w:p>
        </w:tc>
        <w:tc>
          <w:tcPr>
            <w:tcW w:w="1476" w:type="dxa"/>
          </w:tcPr>
          <w:p>
            <w:pPr>
              <w:pStyle w:val="TableParagraph"/>
              <w:spacing w:before="3"/>
              <w:ind w:right="374"/>
              <w:jc w:val="right"/>
              <w:rPr>
                <w:sz w:val="18"/>
              </w:rPr>
            </w:pPr>
            <w:r>
              <w:rPr>
                <w:w w:val="95"/>
                <w:sz w:val="18"/>
              </w:rPr>
              <w:t>9,993</w:t>
            </w:r>
          </w:p>
        </w:tc>
        <w:tc>
          <w:tcPr>
            <w:tcW w:w="1330" w:type="dxa"/>
          </w:tcPr>
          <w:p>
            <w:pPr>
              <w:pStyle w:val="TableParagraph"/>
              <w:spacing w:before="3"/>
              <w:ind w:right="300"/>
              <w:jc w:val="right"/>
              <w:rPr>
                <w:sz w:val="18"/>
              </w:rPr>
            </w:pPr>
            <w:r>
              <w:rPr>
                <w:w w:val="95"/>
                <w:sz w:val="18"/>
              </w:rPr>
              <w:t>12,563</w:t>
            </w:r>
          </w:p>
        </w:tc>
        <w:tc>
          <w:tcPr>
            <w:tcW w:w="1436" w:type="dxa"/>
          </w:tcPr>
          <w:p>
            <w:pPr>
              <w:pStyle w:val="TableParagraph"/>
              <w:spacing w:before="3"/>
              <w:ind w:right="363"/>
              <w:jc w:val="right"/>
              <w:rPr>
                <w:b/>
                <w:i/>
                <w:sz w:val="18"/>
              </w:rPr>
            </w:pPr>
            <w:r>
              <w:rPr>
                <w:b/>
                <w:i/>
                <w:w w:val="95"/>
                <w:sz w:val="18"/>
              </w:rPr>
              <w:t>2,570</w:t>
            </w:r>
          </w:p>
        </w:tc>
        <w:tc>
          <w:tcPr>
            <w:tcW w:w="907" w:type="dxa"/>
          </w:tcPr>
          <w:p>
            <w:pPr>
              <w:pStyle w:val="TableParagraph"/>
              <w:spacing w:before="22"/>
              <w:ind w:right="33"/>
              <w:jc w:val="right"/>
              <w:rPr>
                <w:b/>
                <w:sz w:val="16"/>
              </w:rPr>
            </w:pPr>
            <w:r>
              <w:rPr>
                <w:b/>
                <w:sz w:val="16"/>
              </w:rPr>
              <w:t>25.7%</w:t>
            </w:r>
          </w:p>
        </w:tc>
      </w:tr>
      <w:tr>
        <w:trPr>
          <w:trHeight w:val="235" w:hRule="exact"/>
        </w:trPr>
        <w:tc>
          <w:tcPr>
            <w:tcW w:w="4368" w:type="dxa"/>
          </w:tcPr>
          <w:p>
            <w:pPr>
              <w:pStyle w:val="TableParagraph"/>
              <w:spacing w:before="32"/>
              <w:ind w:right="302"/>
              <w:jc w:val="right"/>
              <w:rPr>
                <w:b/>
                <w:sz w:val="18"/>
              </w:rPr>
            </w:pPr>
            <w:r>
              <w:rPr>
                <w:b/>
                <w:sz w:val="18"/>
              </w:rPr>
              <w:t>Sub Total</w:t>
            </w:r>
          </w:p>
        </w:tc>
        <w:tc>
          <w:tcPr>
            <w:tcW w:w="1476" w:type="dxa"/>
          </w:tcPr>
          <w:p>
            <w:pPr>
              <w:pStyle w:val="TableParagraph"/>
              <w:spacing w:before="32"/>
              <w:ind w:right="375"/>
              <w:jc w:val="right"/>
              <w:rPr>
                <w:b/>
                <w:sz w:val="18"/>
              </w:rPr>
            </w:pPr>
            <w:r>
              <w:rPr>
                <w:b/>
                <w:w w:val="95"/>
                <w:sz w:val="18"/>
              </w:rPr>
              <w:t>207,620</w:t>
            </w:r>
          </w:p>
        </w:tc>
        <w:tc>
          <w:tcPr>
            <w:tcW w:w="1330" w:type="dxa"/>
          </w:tcPr>
          <w:p>
            <w:pPr>
              <w:pStyle w:val="TableParagraph"/>
              <w:spacing w:before="32"/>
              <w:ind w:right="301"/>
              <w:jc w:val="right"/>
              <w:rPr>
                <w:b/>
                <w:sz w:val="18"/>
              </w:rPr>
            </w:pPr>
            <w:r>
              <w:rPr>
                <w:b/>
                <w:w w:val="95"/>
                <w:sz w:val="18"/>
              </w:rPr>
              <w:t>131,446</w:t>
            </w:r>
          </w:p>
        </w:tc>
        <w:tc>
          <w:tcPr>
            <w:tcW w:w="1436" w:type="dxa"/>
          </w:tcPr>
          <w:p>
            <w:pPr>
              <w:pStyle w:val="TableParagraph"/>
              <w:spacing w:before="32"/>
              <w:ind w:right="362"/>
              <w:jc w:val="right"/>
              <w:rPr>
                <w:b/>
                <w:i/>
                <w:sz w:val="18"/>
              </w:rPr>
            </w:pPr>
            <w:r>
              <w:rPr>
                <w:b/>
                <w:i/>
                <w:w w:val="95"/>
                <w:sz w:val="18"/>
              </w:rPr>
              <w:t>(76,174)</w:t>
            </w:r>
          </w:p>
        </w:tc>
        <w:tc>
          <w:tcPr>
            <w:tcW w:w="907" w:type="dxa"/>
          </w:tcPr>
          <w:p>
            <w:pPr>
              <w:pStyle w:val="TableParagraph"/>
              <w:spacing w:before="51"/>
              <w:ind w:right="33"/>
              <w:jc w:val="right"/>
              <w:rPr>
                <w:b/>
                <w:sz w:val="16"/>
              </w:rPr>
            </w:pPr>
            <w:r>
              <w:rPr>
                <w:b/>
                <w:sz w:val="16"/>
              </w:rPr>
              <w:t>-36.7%</w:t>
            </w:r>
          </w:p>
        </w:tc>
      </w:tr>
      <w:tr>
        <w:trPr>
          <w:trHeight w:val="259" w:hRule="exact"/>
        </w:trPr>
        <w:tc>
          <w:tcPr>
            <w:tcW w:w="4368" w:type="dxa"/>
          </w:tcPr>
          <w:p>
            <w:pPr>
              <w:pStyle w:val="TableParagraph"/>
              <w:spacing w:before="30"/>
              <w:ind w:left="340"/>
              <w:rPr>
                <w:b/>
                <w:sz w:val="18"/>
              </w:rPr>
            </w:pPr>
            <w:r>
              <w:rPr>
                <w:b/>
                <w:sz w:val="18"/>
              </w:rPr>
              <w:t>ENTITIES</w:t>
            </w:r>
          </w:p>
        </w:tc>
        <w:tc>
          <w:tcPr>
            <w:tcW w:w="1476" w:type="dxa"/>
          </w:tcPr>
          <w:p>
            <w:pPr/>
          </w:p>
        </w:tc>
        <w:tc>
          <w:tcPr>
            <w:tcW w:w="1330" w:type="dxa"/>
          </w:tcPr>
          <w:p>
            <w:pPr/>
          </w:p>
        </w:tc>
        <w:tc>
          <w:tcPr>
            <w:tcW w:w="1436" w:type="dxa"/>
          </w:tcPr>
          <w:p>
            <w:pPr/>
          </w:p>
        </w:tc>
        <w:tc>
          <w:tcPr>
            <w:tcW w:w="907" w:type="dxa"/>
          </w:tcPr>
          <w:p>
            <w:pPr/>
          </w:p>
        </w:tc>
      </w:tr>
      <w:tr>
        <w:trPr>
          <w:trHeight w:val="233" w:hRule="exact"/>
        </w:trPr>
        <w:tc>
          <w:tcPr>
            <w:tcW w:w="4368" w:type="dxa"/>
          </w:tcPr>
          <w:p>
            <w:pPr>
              <w:pStyle w:val="TableParagraph"/>
              <w:spacing w:before="3"/>
              <w:ind w:left="640"/>
              <w:rPr>
                <w:sz w:val="18"/>
              </w:rPr>
            </w:pPr>
            <w:r>
              <w:rPr>
                <w:sz w:val="18"/>
              </w:rPr>
              <w:t>The College</w:t>
            </w:r>
          </w:p>
        </w:tc>
        <w:tc>
          <w:tcPr>
            <w:tcW w:w="1476" w:type="dxa"/>
          </w:tcPr>
          <w:p>
            <w:pPr>
              <w:pStyle w:val="TableParagraph"/>
              <w:spacing w:before="3"/>
              <w:ind w:right="375"/>
              <w:jc w:val="right"/>
              <w:rPr>
                <w:sz w:val="18"/>
              </w:rPr>
            </w:pPr>
            <w:r>
              <w:rPr>
                <w:w w:val="95"/>
                <w:sz w:val="18"/>
              </w:rPr>
              <w:t>63,013</w:t>
            </w:r>
          </w:p>
        </w:tc>
        <w:tc>
          <w:tcPr>
            <w:tcW w:w="1330" w:type="dxa"/>
          </w:tcPr>
          <w:p>
            <w:pPr>
              <w:pStyle w:val="TableParagraph"/>
              <w:spacing w:before="3"/>
              <w:ind w:right="302"/>
              <w:jc w:val="right"/>
              <w:rPr>
                <w:sz w:val="18"/>
              </w:rPr>
            </w:pPr>
            <w:r>
              <w:rPr>
                <w:w w:val="95"/>
                <w:sz w:val="18"/>
              </w:rPr>
              <w:t>59,607</w:t>
            </w:r>
          </w:p>
        </w:tc>
        <w:tc>
          <w:tcPr>
            <w:tcW w:w="1436" w:type="dxa"/>
          </w:tcPr>
          <w:p>
            <w:pPr>
              <w:pStyle w:val="TableParagraph"/>
              <w:spacing w:before="3"/>
              <w:ind w:right="361"/>
              <w:jc w:val="right"/>
              <w:rPr>
                <w:b/>
                <w:i/>
                <w:sz w:val="18"/>
              </w:rPr>
            </w:pPr>
            <w:r>
              <w:rPr>
                <w:b/>
                <w:i/>
                <w:w w:val="95"/>
                <w:sz w:val="18"/>
              </w:rPr>
              <w:t>(3,406)</w:t>
            </w:r>
          </w:p>
        </w:tc>
        <w:tc>
          <w:tcPr>
            <w:tcW w:w="907" w:type="dxa"/>
          </w:tcPr>
          <w:p>
            <w:pPr>
              <w:pStyle w:val="TableParagraph"/>
              <w:spacing w:before="22"/>
              <w:ind w:right="33"/>
              <w:jc w:val="right"/>
              <w:rPr>
                <w:b/>
                <w:sz w:val="16"/>
              </w:rPr>
            </w:pPr>
            <w:r>
              <w:rPr>
                <w:b/>
                <w:sz w:val="16"/>
              </w:rPr>
              <w:t>-5.4%</w:t>
            </w:r>
          </w:p>
        </w:tc>
      </w:tr>
      <w:tr>
        <w:trPr>
          <w:trHeight w:val="233" w:hRule="exact"/>
        </w:trPr>
        <w:tc>
          <w:tcPr>
            <w:tcW w:w="4368" w:type="dxa"/>
          </w:tcPr>
          <w:p>
            <w:pPr>
              <w:pStyle w:val="TableParagraph"/>
              <w:spacing w:before="3"/>
              <w:ind w:left="640"/>
              <w:rPr>
                <w:sz w:val="18"/>
              </w:rPr>
            </w:pPr>
            <w:r>
              <w:rPr>
                <w:sz w:val="18"/>
              </w:rPr>
              <w:t>Whitlam Institute</w:t>
            </w:r>
          </w:p>
        </w:tc>
        <w:tc>
          <w:tcPr>
            <w:tcW w:w="1476" w:type="dxa"/>
          </w:tcPr>
          <w:p>
            <w:pPr>
              <w:pStyle w:val="TableParagraph"/>
              <w:spacing w:before="3"/>
              <w:ind w:right="373"/>
              <w:jc w:val="right"/>
              <w:rPr>
                <w:sz w:val="18"/>
              </w:rPr>
            </w:pPr>
            <w:r>
              <w:rPr>
                <w:w w:val="95"/>
                <w:sz w:val="18"/>
              </w:rPr>
              <w:t>175</w:t>
            </w:r>
          </w:p>
        </w:tc>
        <w:tc>
          <w:tcPr>
            <w:tcW w:w="1330" w:type="dxa"/>
          </w:tcPr>
          <w:p>
            <w:pPr>
              <w:pStyle w:val="TableParagraph"/>
              <w:spacing w:before="3"/>
              <w:ind w:right="299"/>
              <w:jc w:val="right"/>
              <w:rPr>
                <w:sz w:val="18"/>
              </w:rPr>
            </w:pPr>
            <w:r>
              <w:rPr>
                <w:w w:val="95"/>
                <w:sz w:val="18"/>
              </w:rPr>
              <w:t>227</w:t>
            </w:r>
          </w:p>
        </w:tc>
        <w:tc>
          <w:tcPr>
            <w:tcW w:w="1436" w:type="dxa"/>
          </w:tcPr>
          <w:p>
            <w:pPr>
              <w:pStyle w:val="TableParagraph"/>
              <w:spacing w:before="3"/>
              <w:ind w:right="362"/>
              <w:jc w:val="right"/>
              <w:rPr>
                <w:b/>
                <w:i/>
                <w:sz w:val="18"/>
              </w:rPr>
            </w:pPr>
            <w:r>
              <w:rPr>
                <w:b/>
                <w:i/>
                <w:sz w:val="18"/>
              </w:rPr>
              <w:t>52</w:t>
            </w:r>
          </w:p>
        </w:tc>
        <w:tc>
          <w:tcPr>
            <w:tcW w:w="907" w:type="dxa"/>
          </w:tcPr>
          <w:p>
            <w:pPr>
              <w:pStyle w:val="TableParagraph"/>
              <w:spacing w:before="22"/>
              <w:ind w:right="33"/>
              <w:jc w:val="right"/>
              <w:rPr>
                <w:b/>
                <w:sz w:val="16"/>
              </w:rPr>
            </w:pPr>
            <w:r>
              <w:rPr>
                <w:b/>
                <w:sz w:val="16"/>
              </w:rPr>
              <w:t>29.7%</w:t>
            </w:r>
          </w:p>
        </w:tc>
      </w:tr>
      <w:tr>
        <w:trPr>
          <w:trHeight w:val="233" w:hRule="exact"/>
        </w:trPr>
        <w:tc>
          <w:tcPr>
            <w:tcW w:w="4368" w:type="dxa"/>
          </w:tcPr>
          <w:p>
            <w:pPr>
              <w:pStyle w:val="TableParagraph"/>
              <w:spacing w:before="3"/>
              <w:ind w:left="640"/>
              <w:rPr>
                <w:sz w:val="18"/>
              </w:rPr>
            </w:pPr>
            <w:r>
              <w:rPr>
                <w:sz w:val="18"/>
              </w:rPr>
              <w:t>ELL</w:t>
            </w:r>
          </w:p>
        </w:tc>
        <w:tc>
          <w:tcPr>
            <w:tcW w:w="1476" w:type="dxa"/>
          </w:tcPr>
          <w:p>
            <w:pPr>
              <w:pStyle w:val="TableParagraph"/>
              <w:spacing w:before="3"/>
              <w:ind w:right="374"/>
              <w:jc w:val="right"/>
              <w:rPr>
                <w:sz w:val="18"/>
              </w:rPr>
            </w:pPr>
            <w:r>
              <w:rPr>
                <w:w w:val="95"/>
                <w:sz w:val="18"/>
              </w:rPr>
              <w:t>6,864</w:t>
            </w:r>
          </w:p>
        </w:tc>
        <w:tc>
          <w:tcPr>
            <w:tcW w:w="1330" w:type="dxa"/>
          </w:tcPr>
          <w:p>
            <w:pPr>
              <w:pStyle w:val="TableParagraph"/>
              <w:spacing w:before="3"/>
              <w:ind w:right="300"/>
              <w:jc w:val="right"/>
              <w:rPr>
                <w:sz w:val="18"/>
              </w:rPr>
            </w:pPr>
            <w:r>
              <w:rPr>
                <w:w w:val="95"/>
                <w:sz w:val="18"/>
              </w:rPr>
              <w:t>7,042</w:t>
            </w:r>
          </w:p>
        </w:tc>
        <w:tc>
          <w:tcPr>
            <w:tcW w:w="1436" w:type="dxa"/>
          </w:tcPr>
          <w:p>
            <w:pPr>
              <w:pStyle w:val="TableParagraph"/>
              <w:spacing w:before="3"/>
              <w:ind w:right="362"/>
              <w:jc w:val="right"/>
              <w:rPr>
                <w:b/>
                <w:i/>
                <w:sz w:val="18"/>
              </w:rPr>
            </w:pPr>
            <w:r>
              <w:rPr>
                <w:b/>
                <w:i/>
                <w:w w:val="95"/>
                <w:sz w:val="18"/>
              </w:rPr>
              <w:t>178</w:t>
            </w:r>
          </w:p>
        </w:tc>
        <w:tc>
          <w:tcPr>
            <w:tcW w:w="907" w:type="dxa"/>
          </w:tcPr>
          <w:p>
            <w:pPr>
              <w:pStyle w:val="TableParagraph"/>
              <w:spacing w:before="22"/>
              <w:ind w:right="34"/>
              <w:jc w:val="right"/>
              <w:rPr>
                <w:b/>
                <w:sz w:val="16"/>
              </w:rPr>
            </w:pPr>
            <w:r>
              <w:rPr>
                <w:b/>
                <w:sz w:val="16"/>
              </w:rPr>
              <w:t>2.6%</w:t>
            </w:r>
          </w:p>
        </w:tc>
      </w:tr>
      <w:tr>
        <w:trPr>
          <w:trHeight w:val="582" w:hRule="exact"/>
        </w:trPr>
        <w:tc>
          <w:tcPr>
            <w:tcW w:w="4368" w:type="dxa"/>
          </w:tcPr>
          <w:p>
            <w:pPr>
              <w:pStyle w:val="TableParagraph"/>
              <w:spacing w:line="268" w:lineRule="auto" w:before="3"/>
              <w:ind w:left="640" w:right="1326"/>
              <w:rPr>
                <w:sz w:val="18"/>
              </w:rPr>
            </w:pPr>
            <w:r>
              <w:rPr>
                <w:sz w:val="18"/>
              </w:rPr>
              <w:t>Western Unlimited Adjustments on Consolidation</w:t>
            </w:r>
          </w:p>
        </w:tc>
        <w:tc>
          <w:tcPr>
            <w:tcW w:w="1476" w:type="dxa"/>
          </w:tcPr>
          <w:p>
            <w:pPr>
              <w:pStyle w:val="TableParagraph"/>
              <w:spacing w:before="3"/>
              <w:ind w:right="375"/>
              <w:jc w:val="right"/>
              <w:rPr>
                <w:sz w:val="18"/>
              </w:rPr>
            </w:pPr>
            <w:r>
              <w:rPr>
                <w:w w:val="95"/>
                <w:sz w:val="18"/>
              </w:rPr>
              <w:t>16,155</w:t>
            </w:r>
          </w:p>
        </w:tc>
        <w:tc>
          <w:tcPr>
            <w:tcW w:w="1330" w:type="dxa"/>
          </w:tcPr>
          <w:p>
            <w:pPr>
              <w:pStyle w:val="TableParagraph"/>
              <w:spacing w:before="3"/>
              <w:ind w:right="301"/>
              <w:jc w:val="right"/>
              <w:rPr>
                <w:sz w:val="18"/>
              </w:rPr>
            </w:pPr>
            <w:r>
              <w:rPr>
                <w:w w:val="95"/>
                <w:sz w:val="18"/>
              </w:rPr>
              <w:t>13,631</w:t>
            </w:r>
          </w:p>
        </w:tc>
        <w:tc>
          <w:tcPr>
            <w:tcW w:w="1436" w:type="dxa"/>
          </w:tcPr>
          <w:p>
            <w:pPr>
              <w:pStyle w:val="TableParagraph"/>
              <w:spacing w:before="3"/>
              <w:ind w:right="361"/>
              <w:jc w:val="right"/>
              <w:rPr>
                <w:b/>
                <w:i/>
                <w:sz w:val="18"/>
              </w:rPr>
            </w:pPr>
            <w:r>
              <w:rPr>
                <w:b/>
                <w:i/>
                <w:w w:val="95"/>
                <w:sz w:val="18"/>
              </w:rPr>
              <w:t>(2,524)</w:t>
            </w:r>
          </w:p>
        </w:tc>
        <w:tc>
          <w:tcPr>
            <w:tcW w:w="907" w:type="dxa"/>
          </w:tcPr>
          <w:p>
            <w:pPr>
              <w:pStyle w:val="TableParagraph"/>
              <w:spacing w:before="22"/>
              <w:ind w:right="33"/>
              <w:jc w:val="right"/>
              <w:rPr>
                <w:b/>
                <w:sz w:val="16"/>
              </w:rPr>
            </w:pPr>
            <w:r>
              <w:rPr>
                <w:b/>
                <w:sz w:val="16"/>
              </w:rPr>
              <w:t>-15.6%</w:t>
            </w:r>
          </w:p>
        </w:tc>
      </w:tr>
      <w:tr>
        <w:trPr>
          <w:trHeight w:val="466" w:hRule="exact"/>
        </w:trPr>
        <w:tc>
          <w:tcPr>
            <w:tcW w:w="4368" w:type="dxa"/>
          </w:tcPr>
          <w:p>
            <w:pPr>
              <w:pStyle w:val="TableParagraph"/>
              <w:spacing w:before="120"/>
              <w:ind w:right="302"/>
              <w:jc w:val="right"/>
              <w:rPr>
                <w:b/>
                <w:sz w:val="18"/>
              </w:rPr>
            </w:pPr>
            <w:r>
              <w:rPr>
                <w:b/>
                <w:sz w:val="18"/>
              </w:rPr>
              <w:t>Sub Total</w:t>
            </w:r>
          </w:p>
        </w:tc>
        <w:tc>
          <w:tcPr>
            <w:tcW w:w="1476" w:type="dxa"/>
          </w:tcPr>
          <w:p>
            <w:pPr>
              <w:pStyle w:val="TableParagraph"/>
              <w:spacing w:before="120"/>
              <w:ind w:right="375"/>
              <w:jc w:val="right"/>
              <w:rPr>
                <w:b/>
                <w:sz w:val="18"/>
              </w:rPr>
            </w:pPr>
            <w:r>
              <w:rPr>
                <w:b/>
                <w:w w:val="95"/>
                <w:sz w:val="18"/>
              </w:rPr>
              <w:t>86,207</w:t>
            </w:r>
          </w:p>
        </w:tc>
        <w:tc>
          <w:tcPr>
            <w:tcW w:w="1330" w:type="dxa"/>
          </w:tcPr>
          <w:p>
            <w:pPr>
              <w:pStyle w:val="TableParagraph"/>
              <w:spacing w:before="120"/>
              <w:ind w:right="300"/>
              <w:jc w:val="right"/>
              <w:rPr>
                <w:b/>
                <w:sz w:val="18"/>
              </w:rPr>
            </w:pPr>
            <w:r>
              <w:rPr>
                <w:b/>
                <w:w w:val="95"/>
                <w:sz w:val="18"/>
              </w:rPr>
              <w:t>80,507</w:t>
            </w:r>
          </w:p>
        </w:tc>
        <w:tc>
          <w:tcPr>
            <w:tcW w:w="1436" w:type="dxa"/>
          </w:tcPr>
          <w:p>
            <w:pPr>
              <w:pStyle w:val="TableParagraph"/>
              <w:spacing w:before="120"/>
              <w:ind w:right="361"/>
              <w:jc w:val="right"/>
              <w:rPr>
                <w:b/>
                <w:i/>
                <w:sz w:val="18"/>
              </w:rPr>
            </w:pPr>
            <w:r>
              <w:rPr>
                <w:b/>
                <w:i/>
                <w:w w:val="95"/>
                <w:sz w:val="18"/>
              </w:rPr>
              <w:t>(5,700)</w:t>
            </w:r>
          </w:p>
        </w:tc>
        <w:tc>
          <w:tcPr>
            <w:tcW w:w="907" w:type="dxa"/>
          </w:tcPr>
          <w:p>
            <w:pPr>
              <w:pStyle w:val="TableParagraph"/>
              <w:spacing w:before="138"/>
              <w:ind w:right="33"/>
              <w:jc w:val="right"/>
              <w:rPr>
                <w:b/>
                <w:sz w:val="16"/>
              </w:rPr>
            </w:pPr>
            <w:r>
              <w:rPr>
                <w:b/>
                <w:sz w:val="16"/>
              </w:rPr>
              <w:t>-6.6%</w:t>
            </w:r>
          </w:p>
        </w:tc>
      </w:tr>
      <w:tr>
        <w:trPr>
          <w:trHeight w:val="466" w:hRule="exact"/>
        </w:trPr>
        <w:tc>
          <w:tcPr>
            <w:tcW w:w="4368" w:type="dxa"/>
          </w:tcPr>
          <w:p>
            <w:pPr>
              <w:pStyle w:val="TableParagraph"/>
              <w:spacing w:before="119"/>
              <w:ind w:right="294"/>
              <w:jc w:val="right"/>
              <w:rPr>
                <w:b/>
                <w:sz w:val="18"/>
              </w:rPr>
            </w:pPr>
            <w:r>
              <w:rPr>
                <w:b/>
                <w:sz w:val="18"/>
              </w:rPr>
              <w:t>TOTAL SELF-GENERATED INCOME</w:t>
            </w:r>
          </w:p>
        </w:tc>
        <w:tc>
          <w:tcPr>
            <w:tcW w:w="1476" w:type="dxa"/>
          </w:tcPr>
          <w:p>
            <w:pPr>
              <w:pStyle w:val="TableParagraph"/>
              <w:spacing w:before="119"/>
              <w:ind w:right="375"/>
              <w:jc w:val="right"/>
              <w:rPr>
                <w:b/>
                <w:sz w:val="18"/>
              </w:rPr>
            </w:pPr>
            <w:r>
              <w:rPr>
                <w:b/>
                <w:w w:val="95"/>
                <w:sz w:val="18"/>
              </w:rPr>
              <w:t>486,354</w:t>
            </w:r>
          </w:p>
        </w:tc>
        <w:tc>
          <w:tcPr>
            <w:tcW w:w="1330" w:type="dxa"/>
          </w:tcPr>
          <w:p>
            <w:pPr>
              <w:pStyle w:val="TableParagraph"/>
              <w:spacing w:before="119"/>
              <w:ind w:right="301"/>
              <w:jc w:val="right"/>
              <w:rPr>
                <w:b/>
                <w:sz w:val="18"/>
              </w:rPr>
            </w:pPr>
            <w:r>
              <w:rPr>
                <w:b/>
                <w:w w:val="95"/>
                <w:sz w:val="18"/>
              </w:rPr>
              <w:t>400,269</w:t>
            </w:r>
          </w:p>
        </w:tc>
        <w:tc>
          <w:tcPr>
            <w:tcW w:w="1436" w:type="dxa"/>
          </w:tcPr>
          <w:p>
            <w:pPr>
              <w:pStyle w:val="TableParagraph"/>
              <w:spacing w:before="119"/>
              <w:ind w:right="362"/>
              <w:jc w:val="right"/>
              <w:rPr>
                <w:b/>
                <w:i/>
                <w:sz w:val="18"/>
              </w:rPr>
            </w:pPr>
            <w:r>
              <w:rPr>
                <w:b/>
                <w:i/>
                <w:w w:val="95"/>
                <w:sz w:val="18"/>
              </w:rPr>
              <w:t>(86,085)</w:t>
            </w:r>
          </w:p>
        </w:tc>
        <w:tc>
          <w:tcPr>
            <w:tcW w:w="907" w:type="dxa"/>
          </w:tcPr>
          <w:p>
            <w:pPr>
              <w:pStyle w:val="TableParagraph"/>
              <w:spacing w:before="138"/>
              <w:ind w:right="33"/>
              <w:jc w:val="right"/>
              <w:rPr>
                <w:b/>
                <w:sz w:val="16"/>
              </w:rPr>
            </w:pPr>
            <w:r>
              <w:rPr>
                <w:b/>
                <w:sz w:val="16"/>
              </w:rPr>
              <w:t>-17.7%</w:t>
            </w:r>
          </w:p>
        </w:tc>
      </w:tr>
      <w:tr>
        <w:trPr>
          <w:trHeight w:val="523" w:hRule="exact"/>
        </w:trPr>
        <w:tc>
          <w:tcPr>
            <w:tcW w:w="4368" w:type="dxa"/>
          </w:tcPr>
          <w:p>
            <w:pPr>
              <w:pStyle w:val="TableParagraph"/>
              <w:spacing w:before="120"/>
              <w:ind w:right="297"/>
              <w:jc w:val="right"/>
              <w:rPr>
                <w:b/>
                <w:sz w:val="18"/>
              </w:rPr>
            </w:pPr>
            <w:r>
              <w:rPr>
                <w:b/>
                <w:sz w:val="18"/>
              </w:rPr>
              <w:t>TOTAL INCOME</w:t>
            </w:r>
          </w:p>
        </w:tc>
        <w:tc>
          <w:tcPr>
            <w:tcW w:w="1476" w:type="dxa"/>
          </w:tcPr>
          <w:p>
            <w:pPr>
              <w:pStyle w:val="TableParagraph"/>
              <w:spacing w:before="120"/>
              <w:ind w:right="376"/>
              <w:jc w:val="right"/>
              <w:rPr>
                <w:b/>
                <w:sz w:val="18"/>
              </w:rPr>
            </w:pPr>
            <w:r>
              <w:rPr>
                <w:b/>
                <w:w w:val="95"/>
                <w:sz w:val="18"/>
              </w:rPr>
              <w:t>1,041,044</w:t>
            </w:r>
          </w:p>
        </w:tc>
        <w:tc>
          <w:tcPr>
            <w:tcW w:w="1330" w:type="dxa"/>
          </w:tcPr>
          <w:p>
            <w:pPr>
              <w:pStyle w:val="TableParagraph"/>
              <w:spacing w:before="120"/>
              <w:ind w:right="301"/>
              <w:jc w:val="right"/>
              <w:rPr>
                <w:b/>
                <w:sz w:val="18"/>
              </w:rPr>
            </w:pPr>
            <w:r>
              <w:rPr>
                <w:b/>
                <w:w w:val="95"/>
                <w:sz w:val="18"/>
              </w:rPr>
              <w:t>939,683</w:t>
            </w:r>
          </w:p>
        </w:tc>
        <w:tc>
          <w:tcPr>
            <w:tcW w:w="1436" w:type="dxa"/>
          </w:tcPr>
          <w:p>
            <w:pPr>
              <w:pStyle w:val="TableParagraph"/>
              <w:spacing w:before="120"/>
              <w:ind w:right="362"/>
              <w:jc w:val="right"/>
              <w:rPr>
                <w:b/>
                <w:i/>
                <w:sz w:val="18"/>
              </w:rPr>
            </w:pPr>
            <w:r>
              <w:rPr>
                <w:b/>
                <w:i/>
                <w:w w:val="95"/>
                <w:sz w:val="18"/>
              </w:rPr>
              <w:t>(101,361)</w:t>
            </w:r>
          </w:p>
        </w:tc>
        <w:tc>
          <w:tcPr>
            <w:tcW w:w="907" w:type="dxa"/>
          </w:tcPr>
          <w:p>
            <w:pPr>
              <w:pStyle w:val="TableParagraph"/>
              <w:spacing w:before="138"/>
              <w:ind w:right="33"/>
              <w:jc w:val="right"/>
              <w:rPr>
                <w:b/>
                <w:sz w:val="16"/>
              </w:rPr>
            </w:pPr>
            <w:r>
              <w:rPr>
                <w:b/>
                <w:sz w:val="16"/>
              </w:rPr>
              <w:t>-9.7%</w:t>
            </w:r>
          </w:p>
        </w:tc>
      </w:tr>
      <w:tr>
        <w:trPr>
          <w:trHeight w:val="407" w:hRule="exact"/>
        </w:trPr>
        <w:tc>
          <w:tcPr>
            <w:tcW w:w="4368" w:type="dxa"/>
          </w:tcPr>
          <w:p>
            <w:pPr>
              <w:pStyle w:val="TableParagraph"/>
              <w:spacing w:line="152" w:lineRule="exact"/>
              <w:rPr>
                <w:b/>
                <w:sz w:val="18"/>
              </w:rPr>
            </w:pPr>
            <w:r>
              <w:rPr>
                <w:b/>
                <w:sz w:val="18"/>
              </w:rPr>
              <w:t>EXPENSES FROM CONTINUING OPERATIONS</w:t>
            </w:r>
          </w:p>
          <w:p>
            <w:pPr>
              <w:pStyle w:val="TableParagraph"/>
              <w:spacing w:before="25"/>
              <w:ind w:left="614"/>
              <w:rPr>
                <w:sz w:val="18"/>
              </w:rPr>
            </w:pPr>
            <w:r>
              <w:rPr>
                <w:sz w:val="18"/>
              </w:rPr>
              <w:t>Schools</w:t>
            </w:r>
          </w:p>
        </w:tc>
        <w:tc>
          <w:tcPr>
            <w:tcW w:w="1476" w:type="dxa"/>
          </w:tcPr>
          <w:p>
            <w:pPr>
              <w:pStyle w:val="TableParagraph"/>
              <w:spacing w:before="4"/>
              <w:rPr>
                <w:b/>
                <w:sz w:val="15"/>
              </w:rPr>
            </w:pPr>
          </w:p>
          <w:p>
            <w:pPr>
              <w:pStyle w:val="TableParagraph"/>
              <w:spacing w:before="1"/>
              <w:ind w:right="375"/>
              <w:jc w:val="right"/>
              <w:rPr>
                <w:sz w:val="18"/>
              </w:rPr>
            </w:pPr>
            <w:r>
              <w:rPr>
                <w:w w:val="95"/>
                <w:sz w:val="18"/>
              </w:rPr>
              <w:t>226,429</w:t>
            </w:r>
          </w:p>
        </w:tc>
        <w:tc>
          <w:tcPr>
            <w:tcW w:w="1330" w:type="dxa"/>
          </w:tcPr>
          <w:p>
            <w:pPr>
              <w:pStyle w:val="TableParagraph"/>
              <w:spacing w:before="4"/>
              <w:rPr>
                <w:b/>
                <w:sz w:val="15"/>
              </w:rPr>
            </w:pPr>
          </w:p>
          <w:p>
            <w:pPr>
              <w:pStyle w:val="TableParagraph"/>
              <w:spacing w:before="1"/>
              <w:ind w:right="301"/>
              <w:jc w:val="right"/>
              <w:rPr>
                <w:sz w:val="18"/>
              </w:rPr>
            </w:pPr>
            <w:r>
              <w:rPr>
                <w:w w:val="95"/>
                <w:sz w:val="18"/>
              </w:rPr>
              <w:t>220,457</w:t>
            </w:r>
          </w:p>
        </w:tc>
        <w:tc>
          <w:tcPr>
            <w:tcW w:w="1436" w:type="dxa"/>
          </w:tcPr>
          <w:p>
            <w:pPr>
              <w:pStyle w:val="TableParagraph"/>
              <w:spacing w:before="4"/>
              <w:rPr>
                <w:b/>
                <w:sz w:val="15"/>
              </w:rPr>
            </w:pPr>
          </w:p>
          <w:p>
            <w:pPr>
              <w:pStyle w:val="TableParagraph"/>
              <w:spacing w:before="1"/>
              <w:ind w:right="363"/>
              <w:jc w:val="right"/>
              <w:rPr>
                <w:b/>
                <w:i/>
                <w:sz w:val="18"/>
              </w:rPr>
            </w:pPr>
            <w:r>
              <w:rPr>
                <w:b/>
                <w:i/>
                <w:w w:val="95"/>
                <w:sz w:val="18"/>
              </w:rPr>
              <w:t>5,972</w:t>
            </w:r>
          </w:p>
        </w:tc>
        <w:tc>
          <w:tcPr>
            <w:tcW w:w="907" w:type="dxa"/>
          </w:tcPr>
          <w:p>
            <w:pPr>
              <w:pStyle w:val="TableParagraph"/>
              <w:rPr>
                <w:b/>
                <w:sz w:val="17"/>
              </w:rPr>
            </w:pPr>
          </w:p>
          <w:p>
            <w:pPr>
              <w:pStyle w:val="TableParagraph"/>
              <w:ind w:right="34"/>
              <w:jc w:val="right"/>
              <w:rPr>
                <w:b/>
                <w:sz w:val="16"/>
              </w:rPr>
            </w:pPr>
            <w:r>
              <w:rPr>
                <w:b/>
                <w:sz w:val="16"/>
              </w:rPr>
              <w:t>2.6%</w:t>
            </w:r>
          </w:p>
        </w:tc>
      </w:tr>
      <w:tr>
        <w:trPr>
          <w:trHeight w:val="233" w:hRule="exact"/>
        </w:trPr>
        <w:tc>
          <w:tcPr>
            <w:tcW w:w="4368" w:type="dxa"/>
          </w:tcPr>
          <w:p>
            <w:pPr>
              <w:pStyle w:val="TableParagraph"/>
              <w:spacing w:before="3"/>
              <w:ind w:left="614"/>
              <w:rPr>
                <w:sz w:val="18"/>
              </w:rPr>
            </w:pPr>
            <w:r>
              <w:rPr>
                <w:sz w:val="18"/>
              </w:rPr>
              <w:t>Research</w:t>
            </w:r>
          </w:p>
        </w:tc>
        <w:tc>
          <w:tcPr>
            <w:tcW w:w="1476" w:type="dxa"/>
          </w:tcPr>
          <w:p>
            <w:pPr>
              <w:pStyle w:val="TableParagraph"/>
              <w:spacing w:before="3"/>
              <w:ind w:right="375"/>
              <w:jc w:val="right"/>
              <w:rPr>
                <w:sz w:val="18"/>
              </w:rPr>
            </w:pPr>
            <w:r>
              <w:rPr>
                <w:w w:val="95"/>
                <w:sz w:val="18"/>
              </w:rPr>
              <w:t>90,178</w:t>
            </w:r>
          </w:p>
        </w:tc>
        <w:tc>
          <w:tcPr>
            <w:tcW w:w="1330" w:type="dxa"/>
          </w:tcPr>
          <w:p>
            <w:pPr>
              <w:pStyle w:val="TableParagraph"/>
              <w:spacing w:before="3"/>
              <w:ind w:right="301"/>
              <w:jc w:val="right"/>
              <w:rPr>
                <w:sz w:val="18"/>
              </w:rPr>
            </w:pPr>
            <w:r>
              <w:rPr>
                <w:w w:val="95"/>
                <w:sz w:val="18"/>
              </w:rPr>
              <w:t>79,149</w:t>
            </w:r>
          </w:p>
        </w:tc>
        <w:tc>
          <w:tcPr>
            <w:tcW w:w="1436" w:type="dxa"/>
          </w:tcPr>
          <w:p>
            <w:pPr>
              <w:pStyle w:val="TableParagraph"/>
              <w:spacing w:before="3"/>
              <w:ind w:right="364"/>
              <w:jc w:val="right"/>
              <w:rPr>
                <w:b/>
                <w:i/>
                <w:sz w:val="18"/>
              </w:rPr>
            </w:pPr>
            <w:r>
              <w:rPr>
                <w:b/>
                <w:i/>
                <w:w w:val="95"/>
                <w:sz w:val="18"/>
              </w:rPr>
              <w:t>11,029</w:t>
            </w:r>
          </w:p>
        </w:tc>
        <w:tc>
          <w:tcPr>
            <w:tcW w:w="907" w:type="dxa"/>
          </w:tcPr>
          <w:p>
            <w:pPr>
              <w:pStyle w:val="TableParagraph"/>
              <w:spacing w:before="22"/>
              <w:ind w:right="33"/>
              <w:jc w:val="right"/>
              <w:rPr>
                <w:b/>
                <w:sz w:val="16"/>
              </w:rPr>
            </w:pPr>
            <w:r>
              <w:rPr>
                <w:b/>
                <w:sz w:val="16"/>
              </w:rPr>
              <w:t>12.2%</w:t>
            </w:r>
          </w:p>
        </w:tc>
      </w:tr>
      <w:tr>
        <w:trPr>
          <w:trHeight w:val="233" w:hRule="exact"/>
        </w:trPr>
        <w:tc>
          <w:tcPr>
            <w:tcW w:w="4368" w:type="dxa"/>
          </w:tcPr>
          <w:p>
            <w:pPr>
              <w:pStyle w:val="TableParagraph"/>
              <w:spacing w:before="3"/>
              <w:ind w:left="614"/>
              <w:rPr>
                <w:sz w:val="18"/>
              </w:rPr>
            </w:pPr>
            <w:r>
              <w:rPr>
                <w:sz w:val="18"/>
              </w:rPr>
              <w:t>Divisions</w:t>
            </w:r>
          </w:p>
        </w:tc>
        <w:tc>
          <w:tcPr>
            <w:tcW w:w="1476" w:type="dxa"/>
          </w:tcPr>
          <w:p>
            <w:pPr>
              <w:pStyle w:val="TableParagraph"/>
              <w:spacing w:before="3"/>
              <w:ind w:right="375"/>
              <w:jc w:val="right"/>
              <w:rPr>
                <w:sz w:val="18"/>
              </w:rPr>
            </w:pPr>
            <w:r>
              <w:rPr>
                <w:w w:val="95"/>
                <w:sz w:val="18"/>
              </w:rPr>
              <w:t>160,793</w:t>
            </w:r>
          </w:p>
        </w:tc>
        <w:tc>
          <w:tcPr>
            <w:tcW w:w="1330" w:type="dxa"/>
          </w:tcPr>
          <w:p>
            <w:pPr>
              <w:pStyle w:val="TableParagraph"/>
              <w:spacing w:before="3"/>
              <w:ind w:right="301"/>
              <w:jc w:val="right"/>
              <w:rPr>
                <w:sz w:val="18"/>
              </w:rPr>
            </w:pPr>
            <w:r>
              <w:rPr>
                <w:w w:val="95"/>
                <w:sz w:val="18"/>
              </w:rPr>
              <w:t>161,064</w:t>
            </w:r>
          </w:p>
        </w:tc>
        <w:tc>
          <w:tcPr>
            <w:tcW w:w="1436" w:type="dxa"/>
          </w:tcPr>
          <w:p>
            <w:pPr>
              <w:pStyle w:val="TableParagraph"/>
              <w:spacing w:before="3"/>
              <w:ind w:right="360"/>
              <w:jc w:val="right"/>
              <w:rPr>
                <w:b/>
                <w:i/>
                <w:sz w:val="18"/>
              </w:rPr>
            </w:pPr>
            <w:r>
              <w:rPr>
                <w:b/>
                <w:i/>
                <w:w w:val="95"/>
                <w:sz w:val="18"/>
              </w:rPr>
              <w:t>(271)</w:t>
            </w:r>
          </w:p>
        </w:tc>
        <w:tc>
          <w:tcPr>
            <w:tcW w:w="907" w:type="dxa"/>
          </w:tcPr>
          <w:p>
            <w:pPr>
              <w:pStyle w:val="TableParagraph"/>
              <w:spacing w:before="22"/>
              <w:ind w:right="33"/>
              <w:jc w:val="right"/>
              <w:rPr>
                <w:b/>
                <w:sz w:val="16"/>
              </w:rPr>
            </w:pPr>
            <w:r>
              <w:rPr>
                <w:b/>
                <w:sz w:val="16"/>
              </w:rPr>
              <w:t>-0.2%</w:t>
            </w:r>
          </w:p>
        </w:tc>
      </w:tr>
      <w:tr>
        <w:trPr>
          <w:trHeight w:val="233" w:hRule="exact"/>
        </w:trPr>
        <w:tc>
          <w:tcPr>
            <w:tcW w:w="4368" w:type="dxa"/>
          </w:tcPr>
          <w:p>
            <w:pPr>
              <w:pStyle w:val="TableParagraph"/>
              <w:spacing w:before="3"/>
              <w:ind w:left="614"/>
              <w:rPr>
                <w:sz w:val="18"/>
              </w:rPr>
            </w:pPr>
            <w:r>
              <w:rPr>
                <w:sz w:val="18"/>
              </w:rPr>
              <w:t>Entities</w:t>
            </w:r>
          </w:p>
        </w:tc>
        <w:tc>
          <w:tcPr>
            <w:tcW w:w="1476" w:type="dxa"/>
          </w:tcPr>
          <w:p>
            <w:pPr>
              <w:pStyle w:val="TableParagraph"/>
              <w:spacing w:before="3"/>
              <w:ind w:right="375"/>
              <w:jc w:val="right"/>
              <w:rPr>
                <w:sz w:val="18"/>
              </w:rPr>
            </w:pPr>
            <w:r>
              <w:rPr>
                <w:w w:val="95"/>
                <w:sz w:val="18"/>
              </w:rPr>
              <w:t>85,825</w:t>
            </w:r>
          </w:p>
        </w:tc>
        <w:tc>
          <w:tcPr>
            <w:tcW w:w="1330" w:type="dxa"/>
          </w:tcPr>
          <w:p>
            <w:pPr>
              <w:pStyle w:val="TableParagraph"/>
              <w:spacing w:before="3"/>
              <w:ind w:right="301"/>
              <w:jc w:val="right"/>
              <w:rPr>
                <w:sz w:val="18"/>
              </w:rPr>
            </w:pPr>
            <w:r>
              <w:rPr>
                <w:w w:val="95"/>
                <w:sz w:val="18"/>
              </w:rPr>
              <w:t>76,904</w:t>
            </w:r>
          </w:p>
        </w:tc>
        <w:tc>
          <w:tcPr>
            <w:tcW w:w="1436" w:type="dxa"/>
          </w:tcPr>
          <w:p>
            <w:pPr>
              <w:pStyle w:val="TableParagraph"/>
              <w:spacing w:before="3"/>
              <w:ind w:right="363"/>
              <w:jc w:val="right"/>
              <w:rPr>
                <w:b/>
                <w:i/>
                <w:sz w:val="18"/>
              </w:rPr>
            </w:pPr>
            <w:r>
              <w:rPr>
                <w:b/>
                <w:i/>
                <w:w w:val="95"/>
                <w:sz w:val="18"/>
              </w:rPr>
              <w:t>8,921</w:t>
            </w:r>
          </w:p>
        </w:tc>
        <w:tc>
          <w:tcPr>
            <w:tcW w:w="907" w:type="dxa"/>
          </w:tcPr>
          <w:p>
            <w:pPr>
              <w:pStyle w:val="TableParagraph"/>
              <w:spacing w:before="22"/>
              <w:ind w:right="33"/>
              <w:jc w:val="right"/>
              <w:rPr>
                <w:b/>
                <w:sz w:val="16"/>
              </w:rPr>
            </w:pPr>
            <w:r>
              <w:rPr>
                <w:b/>
                <w:sz w:val="16"/>
              </w:rPr>
              <w:t>10.4%</w:t>
            </w:r>
          </w:p>
        </w:tc>
      </w:tr>
      <w:tr>
        <w:trPr>
          <w:trHeight w:val="233" w:hRule="exact"/>
        </w:trPr>
        <w:tc>
          <w:tcPr>
            <w:tcW w:w="4368" w:type="dxa"/>
          </w:tcPr>
          <w:p>
            <w:pPr>
              <w:pStyle w:val="TableParagraph"/>
              <w:spacing w:before="3"/>
              <w:ind w:left="614"/>
              <w:rPr>
                <w:sz w:val="18"/>
              </w:rPr>
            </w:pPr>
            <w:r>
              <w:rPr>
                <w:sz w:val="18"/>
              </w:rPr>
              <w:t>Consulting &amp; Innovation</w:t>
            </w:r>
          </w:p>
        </w:tc>
        <w:tc>
          <w:tcPr>
            <w:tcW w:w="1476" w:type="dxa"/>
          </w:tcPr>
          <w:p>
            <w:pPr>
              <w:pStyle w:val="TableParagraph"/>
              <w:spacing w:before="3"/>
              <w:ind w:right="374"/>
              <w:jc w:val="right"/>
              <w:rPr>
                <w:sz w:val="18"/>
              </w:rPr>
            </w:pPr>
            <w:r>
              <w:rPr>
                <w:w w:val="95"/>
                <w:sz w:val="18"/>
              </w:rPr>
              <w:t>4,066</w:t>
            </w:r>
          </w:p>
        </w:tc>
        <w:tc>
          <w:tcPr>
            <w:tcW w:w="1330" w:type="dxa"/>
          </w:tcPr>
          <w:p>
            <w:pPr>
              <w:pStyle w:val="TableParagraph"/>
              <w:spacing w:before="3"/>
              <w:ind w:right="300"/>
              <w:jc w:val="right"/>
              <w:rPr>
                <w:sz w:val="18"/>
              </w:rPr>
            </w:pPr>
            <w:r>
              <w:rPr>
                <w:w w:val="95"/>
                <w:sz w:val="18"/>
              </w:rPr>
              <w:t>3,347</w:t>
            </w:r>
          </w:p>
        </w:tc>
        <w:tc>
          <w:tcPr>
            <w:tcW w:w="1436" w:type="dxa"/>
          </w:tcPr>
          <w:p>
            <w:pPr>
              <w:pStyle w:val="TableParagraph"/>
              <w:spacing w:before="3"/>
              <w:ind w:right="362"/>
              <w:jc w:val="right"/>
              <w:rPr>
                <w:b/>
                <w:i/>
                <w:sz w:val="18"/>
              </w:rPr>
            </w:pPr>
            <w:r>
              <w:rPr>
                <w:b/>
                <w:i/>
                <w:w w:val="95"/>
                <w:sz w:val="18"/>
              </w:rPr>
              <w:t>719</w:t>
            </w:r>
          </w:p>
        </w:tc>
        <w:tc>
          <w:tcPr>
            <w:tcW w:w="907" w:type="dxa"/>
          </w:tcPr>
          <w:p>
            <w:pPr>
              <w:pStyle w:val="TableParagraph"/>
              <w:spacing w:before="22"/>
              <w:ind w:right="33"/>
              <w:jc w:val="right"/>
              <w:rPr>
                <w:b/>
                <w:sz w:val="16"/>
              </w:rPr>
            </w:pPr>
            <w:r>
              <w:rPr>
                <w:b/>
                <w:sz w:val="16"/>
              </w:rPr>
              <w:t>17.7%</w:t>
            </w:r>
          </w:p>
        </w:tc>
      </w:tr>
      <w:tr>
        <w:trPr>
          <w:trHeight w:val="233" w:hRule="exact"/>
        </w:trPr>
        <w:tc>
          <w:tcPr>
            <w:tcW w:w="4368" w:type="dxa"/>
          </w:tcPr>
          <w:p>
            <w:pPr>
              <w:pStyle w:val="TableParagraph"/>
              <w:spacing w:before="3"/>
              <w:ind w:left="614"/>
              <w:rPr>
                <w:sz w:val="18"/>
              </w:rPr>
            </w:pPr>
            <w:r>
              <w:rPr>
                <w:sz w:val="18"/>
              </w:rPr>
              <w:t>University Wide</w:t>
            </w:r>
          </w:p>
        </w:tc>
        <w:tc>
          <w:tcPr>
            <w:tcW w:w="1476" w:type="dxa"/>
          </w:tcPr>
          <w:p>
            <w:pPr>
              <w:pStyle w:val="TableParagraph"/>
              <w:spacing w:before="3"/>
              <w:ind w:right="375"/>
              <w:jc w:val="right"/>
              <w:rPr>
                <w:sz w:val="18"/>
              </w:rPr>
            </w:pPr>
            <w:r>
              <w:rPr>
                <w:w w:val="95"/>
                <w:sz w:val="18"/>
              </w:rPr>
              <w:t>164,325</w:t>
            </w:r>
          </w:p>
        </w:tc>
        <w:tc>
          <w:tcPr>
            <w:tcW w:w="1330" w:type="dxa"/>
          </w:tcPr>
          <w:p>
            <w:pPr>
              <w:pStyle w:val="TableParagraph"/>
              <w:spacing w:before="3"/>
              <w:ind w:right="301"/>
              <w:jc w:val="right"/>
              <w:rPr>
                <w:sz w:val="18"/>
              </w:rPr>
            </w:pPr>
            <w:r>
              <w:rPr>
                <w:w w:val="95"/>
                <w:sz w:val="18"/>
              </w:rPr>
              <w:t>154,324</w:t>
            </w:r>
          </w:p>
        </w:tc>
        <w:tc>
          <w:tcPr>
            <w:tcW w:w="1436" w:type="dxa"/>
          </w:tcPr>
          <w:p>
            <w:pPr>
              <w:pStyle w:val="TableParagraph"/>
              <w:spacing w:before="3"/>
              <w:ind w:right="364"/>
              <w:jc w:val="right"/>
              <w:rPr>
                <w:b/>
                <w:i/>
                <w:sz w:val="18"/>
              </w:rPr>
            </w:pPr>
            <w:r>
              <w:rPr>
                <w:b/>
                <w:i/>
                <w:w w:val="95"/>
                <w:sz w:val="18"/>
              </w:rPr>
              <w:t>10,001</w:t>
            </w:r>
          </w:p>
        </w:tc>
        <w:tc>
          <w:tcPr>
            <w:tcW w:w="907" w:type="dxa"/>
          </w:tcPr>
          <w:p>
            <w:pPr>
              <w:pStyle w:val="TableParagraph"/>
              <w:spacing w:before="22"/>
              <w:ind w:right="34"/>
              <w:jc w:val="right"/>
              <w:rPr>
                <w:b/>
                <w:sz w:val="16"/>
              </w:rPr>
            </w:pPr>
            <w:r>
              <w:rPr>
                <w:b/>
                <w:sz w:val="16"/>
              </w:rPr>
              <w:t>6.1%</w:t>
            </w:r>
          </w:p>
        </w:tc>
      </w:tr>
      <w:tr>
        <w:trPr>
          <w:trHeight w:val="233" w:hRule="exact"/>
        </w:trPr>
        <w:tc>
          <w:tcPr>
            <w:tcW w:w="4368" w:type="dxa"/>
          </w:tcPr>
          <w:p>
            <w:pPr>
              <w:pStyle w:val="TableParagraph"/>
              <w:spacing w:before="3"/>
              <w:ind w:left="614"/>
              <w:rPr>
                <w:sz w:val="18"/>
              </w:rPr>
            </w:pPr>
            <w:r>
              <w:rPr>
                <w:sz w:val="18"/>
              </w:rPr>
              <w:t>Strategic Initiatives</w:t>
            </w:r>
          </w:p>
        </w:tc>
        <w:tc>
          <w:tcPr>
            <w:tcW w:w="1476" w:type="dxa"/>
          </w:tcPr>
          <w:p>
            <w:pPr>
              <w:pStyle w:val="TableParagraph"/>
              <w:spacing w:before="3"/>
              <w:ind w:right="375"/>
              <w:jc w:val="right"/>
              <w:rPr>
                <w:sz w:val="18"/>
              </w:rPr>
            </w:pPr>
            <w:r>
              <w:rPr>
                <w:w w:val="95"/>
                <w:sz w:val="18"/>
              </w:rPr>
              <w:t>51,898</w:t>
            </w:r>
          </w:p>
        </w:tc>
        <w:tc>
          <w:tcPr>
            <w:tcW w:w="1330" w:type="dxa"/>
          </w:tcPr>
          <w:p>
            <w:pPr>
              <w:pStyle w:val="TableParagraph"/>
              <w:spacing w:before="3"/>
              <w:ind w:right="301"/>
              <w:jc w:val="right"/>
              <w:rPr>
                <w:sz w:val="18"/>
              </w:rPr>
            </w:pPr>
            <w:r>
              <w:rPr>
                <w:w w:val="95"/>
                <w:sz w:val="18"/>
              </w:rPr>
              <w:t>46,479</w:t>
            </w:r>
          </w:p>
        </w:tc>
        <w:tc>
          <w:tcPr>
            <w:tcW w:w="1436" w:type="dxa"/>
          </w:tcPr>
          <w:p>
            <w:pPr>
              <w:pStyle w:val="TableParagraph"/>
              <w:spacing w:before="3"/>
              <w:ind w:right="363"/>
              <w:jc w:val="right"/>
              <w:rPr>
                <w:b/>
                <w:i/>
                <w:sz w:val="18"/>
              </w:rPr>
            </w:pPr>
            <w:r>
              <w:rPr>
                <w:b/>
                <w:i/>
                <w:w w:val="95"/>
                <w:sz w:val="18"/>
              </w:rPr>
              <w:t>5,419</w:t>
            </w:r>
          </w:p>
        </w:tc>
        <w:tc>
          <w:tcPr>
            <w:tcW w:w="907" w:type="dxa"/>
          </w:tcPr>
          <w:p>
            <w:pPr>
              <w:pStyle w:val="TableParagraph"/>
              <w:spacing w:before="22"/>
              <w:ind w:right="33"/>
              <w:jc w:val="right"/>
              <w:rPr>
                <w:b/>
                <w:sz w:val="16"/>
              </w:rPr>
            </w:pPr>
            <w:r>
              <w:rPr>
                <w:b/>
                <w:sz w:val="16"/>
              </w:rPr>
              <w:t>10.4%</w:t>
            </w:r>
          </w:p>
        </w:tc>
      </w:tr>
      <w:tr>
        <w:trPr>
          <w:trHeight w:val="233" w:hRule="exact"/>
        </w:trPr>
        <w:tc>
          <w:tcPr>
            <w:tcW w:w="4368" w:type="dxa"/>
          </w:tcPr>
          <w:p>
            <w:pPr>
              <w:pStyle w:val="TableParagraph"/>
              <w:spacing w:before="3"/>
              <w:ind w:left="614"/>
              <w:rPr>
                <w:sz w:val="18"/>
              </w:rPr>
            </w:pPr>
            <w:r>
              <w:rPr>
                <w:sz w:val="18"/>
              </w:rPr>
              <w:t>Minor Works (Expensed)</w:t>
            </w:r>
          </w:p>
        </w:tc>
        <w:tc>
          <w:tcPr>
            <w:tcW w:w="1476" w:type="dxa"/>
          </w:tcPr>
          <w:p>
            <w:pPr>
              <w:pStyle w:val="TableParagraph"/>
              <w:spacing w:before="3"/>
              <w:ind w:right="374"/>
              <w:jc w:val="right"/>
              <w:rPr>
                <w:sz w:val="18"/>
              </w:rPr>
            </w:pPr>
            <w:r>
              <w:rPr>
                <w:w w:val="95"/>
                <w:sz w:val="18"/>
              </w:rPr>
              <w:t>7,000</w:t>
            </w:r>
          </w:p>
        </w:tc>
        <w:tc>
          <w:tcPr>
            <w:tcW w:w="1330" w:type="dxa"/>
          </w:tcPr>
          <w:p>
            <w:pPr>
              <w:pStyle w:val="TableParagraph"/>
              <w:spacing w:before="3"/>
              <w:ind w:right="300"/>
              <w:jc w:val="right"/>
              <w:rPr>
                <w:sz w:val="18"/>
              </w:rPr>
            </w:pPr>
            <w:r>
              <w:rPr>
                <w:w w:val="95"/>
                <w:sz w:val="18"/>
              </w:rPr>
              <w:t>8,094</w:t>
            </w:r>
          </w:p>
        </w:tc>
        <w:tc>
          <w:tcPr>
            <w:tcW w:w="1436" w:type="dxa"/>
          </w:tcPr>
          <w:p>
            <w:pPr>
              <w:pStyle w:val="TableParagraph"/>
              <w:spacing w:before="3"/>
              <w:ind w:right="361"/>
              <w:jc w:val="right"/>
              <w:rPr>
                <w:b/>
                <w:i/>
                <w:sz w:val="18"/>
              </w:rPr>
            </w:pPr>
            <w:r>
              <w:rPr>
                <w:b/>
                <w:i/>
                <w:w w:val="95"/>
                <w:sz w:val="18"/>
              </w:rPr>
              <w:t>(1,094)</w:t>
            </w:r>
          </w:p>
        </w:tc>
        <w:tc>
          <w:tcPr>
            <w:tcW w:w="907" w:type="dxa"/>
          </w:tcPr>
          <w:p>
            <w:pPr>
              <w:pStyle w:val="TableParagraph"/>
              <w:spacing w:before="22"/>
              <w:ind w:right="33"/>
              <w:jc w:val="right"/>
              <w:rPr>
                <w:b/>
                <w:sz w:val="16"/>
              </w:rPr>
            </w:pPr>
            <w:r>
              <w:rPr>
                <w:b/>
                <w:sz w:val="16"/>
              </w:rPr>
              <w:t>-15.6%</w:t>
            </w:r>
          </w:p>
        </w:tc>
      </w:tr>
      <w:tr>
        <w:trPr>
          <w:trHeight w:val="233" w:hRule="exact"/>
        </w:trPr>
        <w:tc>
          <w:tcPr>
            <w:tcW w:w="4368" w:type="dxa"/>
          </w:tcPr>
          <w:p>
            <w:pPr>
              <w:pStyle w:val="TableParagraph"/>
              <w:spacing w:before="3"/>
              <w:ind w:left="614"/>
              <w:rPr>
                <w:sz w:val="18"/>
              </w:rPr>
            </w:pPr>
            <w:r>
              <w:rPr>
                <w:sz w:val="18"/>
              </w:rPr>
              <w:t>External Trust &amp; Tied Grants</w:t>
            </w:r>
          </w:p>
        </w:tc>
        <w:tc>
          <w:tcPr>
            <w:tcW w:w="1476" w:type="dxa"/>
          </w:tcPr>
          <w:p>
            <w:pPr>
              <w:pStyle w:val="TableParagraph"/>
              <w:spacing w:before="3"/>
              <w:ind w:right="376"/>
              <w:jc w:val="right"/>
              <w:rPr>
                <w:sz w:val="18"/>
              </w:rPr>
            </w:pPr>
            <w:r>
              <w:rPr>
                <w:w w:val="95"/>
                <w:sz w:val="18"/>
              </w:rPr>
              <w:t>16,422</w:t>
            </w:r>
          </w:p>
        </w:tc>
        <w:tc>
          <w:tcPr>
            <w:tcW w:w="1330" w:type="dxa"/>
          </w:tcPr>
          <w:p>
            <w:pPr>
              <w:pStyle w:val="TableParagraph"/>
              <w:spacing w:before="3"/>
              <w:ind w:right="300"/>
              <w:jc w:val="right"/>
              <w:rPr>
                <w:sz w:val="18"/>
              </w:rPr>
            </w:pPr>
            <w:r>
              <w:rPr>
                <w:w w:val="95"/>
                <w:sz w:val="18"/>
              </w:rPr>
              <w:t>22,347</w:t>
            </w:r>
          </w:p>
        </w:tc>
        <w:tc>
          <w:tcPr>
            <w:tcW w:w="1436" w:type="dxa"/>
          </w:tcPr>
          <w:p>
            <w:pPr>
              <w:pStyle w:val="TableParagraph"/>
              <w:spacing w:before="3"/>
              <w:ind w:right="361"/>
              <w:jc w:val="right"/>
              <w:rPr>
                <w:b/>
                <w:i/>
                <w:sz w:val="18"/>
              </w:rPr>
            </w:pPr>
            <w:r>
              <w:rPr>
                <w:b/>
                <w:i/>
                <w:w w:val="95"/>
                <w:sz w:val="18"/>
              </w:rPr>
              <w:t>(5,925)</w:t>
            </w:r>
          </w:p>
        </w:tc>
        <w:tc>
          <w:tcPr>
            <w:tcW w:w="907" w:type="dxa"/>
          </w:tcPr>
          <w:p>
            <w:pPr>
              <w:pStyle w:val="TableParagraph"/>
              <w:spacing w:before="22"/>
              <w:ind w:right="33"/>
              <w:jc w:val="right"/>
              <w:rPr>
                <w:b/>
                <w:sz w:val="16"/>
              </w:rPr>
            </w:pPr>
            <w:r>
              <w:rPr>
                <w:b/>
                <w:sz w:val="16"/>
              </w:rPr>
              <w:t>-36.1%</w:t>
            </w:r>
          </w:p>
        </w:tc>
      </w:tr>
      <w:tr>
        <w:trPr>
          <w:trHeight w:val="233" w:hRule="exact"/>
        </w:trPr>
        <w:tc>
          <w:tcPr>
            <w:tcW w:w="4368" w:type="dxa"/>
          </w:tcPr>
          <w:p>
            <w:pPr>
              <w:pStyle w:val="TableParagraph"/>
              <w:spacing w:before="3"/>
              <w:ind w:left="614"/>
              <w:rPr>
                <w:sz w:val="18"/>
              </w:rPr>
            </w:pPr>
            <w:r>
              <w:rPr>
                <w:sz w:val="18"/>
              </w:rPr>
              <w:t>Depreciation</w:t>
            </w:r>
          </w:p>
        </w:tc>
        <w:tc>
          <w:tcPr>
            <w:tcW w:w="1476" w:type="dxa"/>
          </w:tcPr>
          <w:p>
            <w:pPr>
              <w:pStyle w:val="TableParagraph"/>
              <w:spacing w:before="3"/>
              <w:ind w:right="375"/>
              <w:jc w:val="right"/>
              <w:rPr>
                <w:sz w:val="18"/>
              </w:rPr>
            </w:pPr>
            <w:r>
              <w:rPr>
                <w:w w:val="95"/>
                <w:sz w:val="18"/>
              </w:rPr>
              <w:t>45,402</w:t>
            </w:r>
          </w:p>
        </w:tc>
        <w:tc>
          <w:tcPr>
            <w:tcW w:w="1330" w:type="dxa"/>
          </w:tcPr>
          <w:p>
            <w:pPr>
              <w:pStyle w:val="TableParagraph"/>
              <w:spacing w:before="3"/>
              <w:ind w:right="301"/>
              <w:jc w:val="right"/>
              <w:rPr>
                <w:sz w:val="18"/>
              </w:rPr>
            </w:pPr>
            <w:r>
              <w:rPr>
                <w:w w:val="95"/>
                <w:sz w:val="18"/>
              </w:rPr>
              <w:t>48,834</w:t>
            </w:r>
          </w:p>
        </w:tc>
        <w:tc>
          <w:tcPr>
            <w:tcW w:w="1436" w:type="dxa"/>
          </w:tcPr>
          <w:p>
            <w:pPr>
              <w:pStyle w:val="TableParagraph"/>
              <w:spacing w:before="3"/>
              <w:ind w:right="361"/>
              <w:jc w:val="right"/>
              <w:rPr>
                <w:b/>
                <w:i/>
                <w:sz w:val="18"/>
              </w:rPr>
            </w:pPr>
            <w:r>
              <w:rPr>
                <w:b/>
                <w:i/>
                <w:w w:val="95"/>
                <w:sz w:val="18"/>
              </w:rPr>
              <w:t>(3,432)</w:t>
            </w:r>
          </w:p>
        </w:tc>
        <w:tc>
          <w:tcPr>
            <w:tcW w:w="907" w:type="dxa"/>
          </w:tcPr>
          <w:p>
            <w:pPr>
              <w:pStyle w:val="TableParagraph"/>
              <w:spacing w:before="22"/>
              <w:ind w:right="33"/>
              <w:jc w:val="right"/>
              <w:rPr>
                <w:b/>
                <w:sz w:val="16"/>
              </w:rPr>
            </w:pPr>
            <w:r>
              <w:rPr>
                <w:b/>
                <w:sz w:val="16"/>
              </w:rPr>
              <w:t>-7.6%</w:t>
            </w:r>
          </w:p>
        </w:tc>
      </w:tr>
      <w:tr>
        <w:trPr>
          <w:trHeight w:val="233" w:hRule="exact"/>
        </w:trPr>
        <w:tc>
          <w:tcPr>
            <w:tcW w:w="4368" w:type="dxa"/>
          </w:tcPr>
          <w:p>
            <w:pPr>
              <w:pStyle w:val="TableParagraph"/>
              <w:spacing w:before="3"/>
              <w:ind w:left="614"/>
              <w:rPr>
                <w:sz w:val="18"/>
              </w:rPr>
            </w:pPr>
            <w:r>
              <w:rPr>
                <w:sz w:val="18"/>
              </w:rPr>
              <w:t>Land Development Projects</w:t>
            </w:r>
          </w:p>
        </w:tc>
        <w:tc>
          <w:tcPr>
            <w:tcW w:w="1476" w:type="dxa"/>
          </w:tcPr>
          <w:p>
            <w:pPr>
              <w:pStyle w:val="TableParagraph"/>
              <w:spacing w:before="3"/>
              <w:ind w:right="376"/>
              <w:jc w:val="right"/>
              <w:rPr>
                <w:sz w:val="18"/>
              </w:rPr>
            </w:pPr>
            <w:r>
              <w:rPr>
                <w:w w:val="95"/>
                <w:sz w:val="18"/>
              </w:rPr>
              <w:t>109,516</w:t>
            </w:r>
          </w:p>
        </w:tc>
        <w:tc>
          <w:tcPr>
            <w:tcW w:w="1330" w:type="dxa"/>
          </w:tcPr>
          <w:p>
            <w:pPr>
              <w:pStyle w:val="TableParagraph"/>
              <w:spacing w:before="3"/>
              <w:ind w:right="301"/>
              <w:jc w:val="right"/>
              <w:rPr>
                <w:sz w:val="18"/>
              </w:rPr>
            </w:pPr>
            <w:r>
              <w:rPr>
                <w:w w:val="95"/>
                <w:sz w:val="18"/>
              </w:rPr>
              <w:t>62,685</w:t>
            </w:r>
          </w:p>
        </w:tc>
        <w:tc>
          <w:tcPr>
            <w:tcW w:w="1436" w:type="dxa"/>
          </w:tcPr>
          <w:p>
            <w:pPr>
              <w:pStyle w:val="TableParagraph"/>
              <w:spacing w:before="3"/>
              <w:ind w:right="364"/>
              <w:jc w:val="right"/>
              <w:rPr>
                <w:b/>
                <w:i/>
                <w:sz w:val="18"/>
              </w:rPr>
            </w:pPr>
            <w:r>
              <w:rPr>
                <w:b/>
                <w:i/>
                <w:w w:val="95"/>
                <w:sz w:val="18"/>
              </w:rPr>
              <w:t>46,831</w:t>
            </w:r>
          </w:p>
        </w:tc>
        <w:tc>
          <w:tcPr>
            <w:tcW w:w="907" w:type="dxa"/>
          </w:tcPr>
          <w:p>
            <w:pPr>
              <w:pStyle w:val="TableParagraph"/>
              <w:spacing w:before="22"/>
              <w:ind w:right="33"/>
              <w:jc w:val="right"/>
              <w:rPr>
                <w:b/>
                <w:sz w:val="16"/>
              </w:rPr>
            </w:pPr>
            <w:r>
              <w:rPr>
                <w:b/>
                <w:sz w:val="16"/>
              </w:rPr>
              <w:t>42.8%</w:t>
            </w:r>
          </w:p>
        </w:tc>
      </w:tr>
      <w:tr>
        <w:trPr>
          <w:trHeight w:val="306" w:hRule="exact"/>
        </w:trPr>
        <w:tc>
          <w:tcPr>
            <w:tcW w:w="4368" w:type="dxa"/>
          </w:tcPr>
          <w:p>
            <w:pPr>
              <w:pStyle w:val="TableParagraph"/>
              <w:spacing w:before="3"/>
              <w:ind w:left="614"/>
              <w:rPr>
                <w:sz w:val="18"/>
              </w:rPr>
            </w:pPr>
            <w:r>
              <w:rPr>
                <w:sz w:val="18"/>
              </w:rPr>
              <w:t>Adjustments on Consolidation</w:t>
            </w:r>
          </w:p>
        </w:tc>
        <w:tc>
          <w:tcPr>
            <w:tcW w:w="1476" w:type="dxa"/>
          </w:tcPr>
          <w:p>
            <w:pPr/>
          </w:p>
        </w:tc>
        <w:tc>
          <w:tcPr>
            <w:tcW w:w="1330" w:type="dxa"/>
          </w:tcPr>
          <w:p>
            <w:pPr>
              <w:pStyle w:val="TableParagraph"/>
              <w:spacing w:before="3"/>
              <w:ind w:right="300"/>
              <w:jc w:val="right"/>
              <w:rPr>
                <w:sz w:val="18"/>
              </w:rPr>
            </w:pPr>
            <w:r>
              <w:rPr>
                <w:w w:val="95"/>
                <w:sz w:val="18"/>
              </w:rPr>
              <w:t>3,935</w:t>
            </w:r>
          </w:p>
        </w:tc>
        <w:tc>
          <w:tcPr>
            <w:tcW w:w="1436" w:type="dxa"/>
          </w:tcPr>
          <w:p>
            <w:pPr/>
          </w:p>
        </w:tc>
        <w:tc>
          <w:tcPr>
            <w:tcW w:w="907" w:type="dxa"/>
          </w:tcPr>
          <w:p>
            <w:pPr/>
          </w:p>
        </w:tc>
      </w:tr>
    </w:tbl>
    <w:p>
      <w:pPr>
        <w:tabs>
          <w:tab w:pos="4942" w:val="left" w:leader="none"/>
          <w:tab w:pos="6346" w:val="left" w:leader="none"/>
          <w:tab w:pos="7819" w:val="left" w:leader="none"/>
          <w:tab w:pos="9240" w:val="left" w:leader="none"/>
        </w:tabs>
        <w:spacing w:before="59"/>
        <w:ind w:left="2266" w:right="0" w:firstLine="0"/>
        <w:jc w:val="left"/>
        <w:rPr>
          <w:b/>
          <w:sz w:val="16"/>
        </w:rPr>
      </w:pPr>
      <w:r>
        <w:rPr>
          <w:b/>
          <w:sz w:val="18"/>
        </w:rPr>
        <w:t>TOTAL EXPENDITURE</w:t>
        <w:tab/>
        <w:t>961,854</w:t>
        <w:tab/>
        <w:t>887,619</w:t>
        <w:tab/>
      </w:r>
      <w:r>
        <w:rPr>
          <w:b/>
          <w:i/>
          <w:sz w:val="18"/>
        </w:rPr>
        <w:t>74,235</w:t>
        <w:tab/>
      </w:r>
      <w:r>
        <w:rPr>
          <w:b/>
          <w:sz w:val="16"/>
        </w:rPr>
        <w:t>7.7%</w:t>
      </w:r>
    </w:p>
    <w:p>
      <w:pPr>
        <w:pStyle w:val="BodyText"/>
        <w:rPr>
          <w:b/>
        </w:rPr>
      </w:pPr>
    </w:p>
    <w:p>
      <w:pPr>
        <w:pStyle w:val="BodyText"/>
        <w:rPr>
          <w:b/>
        </w:rPr>
      </w:pPr>
    </w:p>
    <w:p>
      <w:pPr>
        <w:pStyle w:val="BodyText"/>
        <w:rPr>
          <w:b/>
        </w:rPr>
      </w:pPr>
    </w:p>
    <w:p>
      <w:pPr>
        <w:tabs>
          <w:tab w:pos="5043" w:val="left" w:leader="none"/>
          <w:tab w:pos="6447" w:val="left" w:leader="none"/>
          <w:tab w:pos="7702" w:val="left" w:leader="none"/>
          <w:tab w:pos="9099" w:val="left" w:leader="none"/>
        </w:tabs>
        <w:spacing w:before="0"/>
        <w:ind w:left="140" w:right="0" w:firstLine="0"/>
        <w:jc w:val="left"/>
        <w:rPr>
          <w:b/>
          <w:sz w:val="16"/>
        </w:rPr>
      </w:pPr>
      <w:r>
        <w:rPr>
          <w:b/>
          <w:sz w:val="18"/>
        </w:rPr>
        <w:t>NET OPERATING RESULT</w:t>
        <w:tab/>
      </w:r>
      <w:r>
        <w:rPr>
          <w:b/>
          <w:position w:val="1"/>
          <w:sz w:val="18"/>
        </w:rPr>
        <w:t>79,190</w:t>
        <w:tab/>
        <w:t>52,064</w:t>
        <w:tab/>
      </w:r>
      <w:r>
        <w:rPr>
          <w:b/>
          <w:i/>
          <w:position w:val="2"/>
          <w:sz w:val="18"/>
        </w:rPr>
        <w:t>(27,126)</w:t>
        <w:tab/>
      </w:r>
      <w:r>
        <w:rPr>
          <w:b/>
          <w:position w:val="2"/>
          <w:sz w:val="16"/>
        </w:rPr>
        <w:t>-34.3%</w:t>
      </w:r>
    </w:p>
    <w:p>
      <w:pPr>
        <w:spacing w:after="0"/>
        <w:jc w:val="left"/>
        <w:rPr>
          <w:sz w:val="16"/>
        </w:rPr>
        <w:sectPr>
          <w:headerReference w:type="default" r:id="rId176"/>
          <w:pgSz w:w="11910" w:h="16840"/>
          <w:pgMar w:header="693" w:footer="507" w:top="880" w:bottom="700" w:left="1300" w:right="860"/>
        </w:sectPr>
      </w:pPr>
    </w:p>
    <w:p>
      <w:pPr>
        <w:pStyle w:val="BodyText"/>
        <w:rPr>
          <w:b/>
          <w:sz w:val="20"/>
        </w:rPr>
      </w:pPr>
    </w:p>
    <w:p>
      <w:pPr>
        <w:pStyle w:val="BodyText"/>
        <w:rPr>
          <w:b/>
          <w:sz w:val="20"/>
        </w:rPr>
      </w:pPr>
    </w:p>
    <w:p>
      <w:pPr>
        <w:pStyle w:val="BodyText"/>
        <w:spacing w:before="1"/>
        <w:rPr>
          <w:b/>
          <w:sz w:val="12"/>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672"/>
        <w:gridCol w:w="1065"/>
      </w:tblGrid>
      <w:tr>
        <w:trPr>
          <w:trHeight w:val="838" w:hRule="exact"/>
        </w:trPr>
        <w:tc>
          <w:tcPr>
            <w:tcW w:w="5672" w:type="dxa"/>
          </w:tcPr>
          <w:p>
            <w:pPr>
              <w:pStyle w:val="TableParagraph"/>
              <w:spacing w:before="64"/>
              <w:ind w:left="49"/>
              <w:rPr>
                <w:b/>
                <w:sz w:val="28"/>
              </w:rPr>
            </w:pPr>
            <w:r>
              <w:rPr>
                <w:b/>
                <w:sz w:val="28"/>
              </w:rPr>
              <w:t>Western Sydney University 2018 Budget</w:t>
            </w:r>
          </w:p>
        </w:tc>
        <w:tc>
          <w:tcPr>
            <w:tcW w:w="1065" w:type="dxa"/>
          </w:tcPr>
          <w:p>
            <w:pPr>
              <w:pStyle w:val="TableParagraph"/>
              <w:rPr>
                <w:b/>
                <w:sz w:val="18"/>
              </w:rPr>
            </w:pPr>
          </w:p>
          <w:p>
            <w:pPr>
              <w:pStyle w:val="TableParagraph"/>
              <w:rPr>
                <w:b/>
                <w:sz w:val="18"/>
              </w:rPr>
            </w:pPr>
          </w:p>
          <w:p>
            <w:pPr>
              <w:pStyle w:val="TableParagraph"/>
              <w:spacing w:before="139"/>
              <w:ind w:right="89"/>
              <w:jc w:val="right"/>
              <w:rPr>
                <w:b/>
                <w:sz w:val="18"/>
              </w:rPr>
            </w:pPr>
            <w:r>
              <w:rPr>
                <w:b/>
                <w:w w:val="95"/>
                <w:sz w:val="18"/>
              </w:rPr>
              <w:t>2018</w:t>
            </w:r>
          </w:p>
        </w:tc>
      </w:tr>
      <w:tr>
        <w:trPr>
          <w:trHeight w:val="317" w:hRule="exact"/>
        </w:trPr>
        <w:tc>
          <w:tcPr>
            <w:tcW w:w="5672" w:type="dxa"/>
          </w:tcPr>
          <w:p>
            <w:pPr/>
          </w:p>
        </w:tc>
        <w:tc>
          <w:tcPr>
            <w:tcW w:w="1065" w:type="dxa"/>
          </w:tcPr>
          <w:p>
            <w:pPr>
              <w:pStyle w:val="TableParagraph"/>
              <w:spacing w:before="58"/>
              <w:ind w:right="33"/>
              <w:jc w:val="right"/>
              <w:rPr>
                <w:b/>
                <w:sz w:val="18"/>
              </w:rPr>
            </w:pPr>
            <w:r>
              <w:rPr>
                <w:b/>
                <w:w w:val="95"/>
                <w:sz w:val="18"/>
              </w:rPr>
              <w:t>BUDGET</w:t>
            </w:r>
          </w:p>
        </w:tc>
      </w:tr>
      <w:tr>
        <w:trPr>
          <w:trHeight w:val="306" w:hRule="exact"/>
        </w:trPr>
        <w:tc>
          <w:tcPr>
            <w:tcW w:w="5672" w:type="dxa"/>
          </w:tcPr>
          <w:p>
            <w:pPr/>
          </w:p>
        </w:tc>
        <w:tc>
          <w:tcPr>
            <w:tcW w:w="1065" w:type="dxa"/>
          </w:tcPr>
          <w:p>
            <w:pPr>
              <w:pStyle w:val="TableParagraph"/>
              <w:spacing w:before="32"/>
              <w:ind w:right="37"/>
              <w:jc w:val="right"/>
              <w:rPr>
                <w:b/>
                <w:sz w:val="18"/>
              </w:rPr>
            </w:pPr>
            <w:r>
              <w:rPr>
                <w:b/>
                <w:w w:val="95"/>
                <w:sz w:val="18"/>
              </w:rPr>
              <w:t>$'000</w:t>
            </w:r>
          </w:p>
        </w:tc>
      </w:tr>
      <w:tr>
        <w:trPr>
          <w:trHeight w:val="320" w:hRule="exact"/>
        </w:trPr>
        <w:tc>
          <w:tcPr>
            <w:tcW w:w="5672" w:type="dxa"/>
          </w:tcPr>
          <w:p>
            <w:pPr>
              <w:pStyle w:val="TableParagraph"/>
              <w:spacing w:before="48"/>
              <w:ind w:left="35"/>
              <w:rPr>
                <w:b/>
                <w:sz w:val="18"/>
              </w:rPr>
            </w:pPr>
            <w:r>
              <w:rPr>
                <w:b/>
                <w:sz w:val="18"/>
              </w:rPr>
              <w:t>INCOME FROM CONTINUING OPERATIONS</w:t>
            </w:r>
          </w:p>
        </w:tc>
        <w:tc>
          <w:tcPr>
            <w:tcW w:w="1065" w:type="dxa"/>
          </w:tcPr>
          <w:p>
            <w:pPr/>
          </w:p>
        </w:tc>
      </w:tr>
      <w:tr>
        <w:trPr>
          <w:trHeight w:val="354" w:hRule="exact"/>
        </w:trPr>
        <w:tc>
          <w:tcPr>
            <w:tcW w:w="5672" w:type="dxa"/>
          </w:tcPr>
          <w:p>
            <w:pPr>
              <w:pStyle w:val="TableParagraph"/>
              <w:spacing w:before="46"/>
              <w:ind w:left="349"/>
              <w:rPr>
                <w:b/>
                <w:sz w:val="18"/>
              </w:rPr>
            </w:pPr>
            <w:r>
              <w:rPr>
                <w:b/>
                <w:sz w:val="18"/>
              </w:rPr>
              <w:t>GOVERNMENT</w:t>
            </w:r>
          </w:p>
        </w:tc>
        <w:tc>
          <w:tcPr>
            <w:tcW w:w="1065" w:type="dxa"/>
          </w:tcPr>
          <w:p>
            <w:pPr>
              <w:pStyle w:val="TableParagraph"/>
              <w:spacing w:before="72"/>
              <w:ind w:right="39"/>
              <w:jc w:val="right"/>
              <w:rPr>
                <w:b/>
                <w:sz w:val="18"/>
              </w:rPr>
            </w:pPr>
            <w:r>
              <w:rPr>
                <w:b/>
                <w:w w:val="95"/>
                <w:sz w:val="18"/>
              </w:rPr>
              <w:t>547,924</w:t>
            </w:r>
          </w:p>
        </w:tc>
      </w:tr>
      <w:tr>
        <w:trPr>
          <w:trHeight w:val="284" w:hRule="exact"/>
        </w:trPr>
        <w:tc>
          <w:tcPr>
            <w:tcW w:w="5672" w:type="dxa"/>
          </w:tcPr>
          <w:p>
            <w:pPr>
              <w:pStyle w:val="TableParagraph"/>
              <w:spacing w:before="55"/>
              <w:ind w:left="349"/>
              <w:rPr>
                <w:b/>
                <w:sz w:val="18"/>
              </w:rPr>
            </w:pPr>
            <w:r>
              <w:rPr>
                <w:b/>
                <w:sz w:val="18"/>
              </w:rPr>
              <w:t>ACADEMIC ACTIVITIES</w:t>
            </w:r>
          </w:p>
        </w:tc>
        <w:tc>
          <w:tcPr>
            <w:tcW w:w="1065" w:type="dxa"/>
          </w:tcPr>
          <w:p>
            <w:pPr/>
          </w:p>
        </w:tc>
      </w:tr>
      <w:tr>
        <w:trPr>
          <w:trHeight w:val="246" w:hRule="exact"/>
        </w:trPr>
        <w:tc>
          <w:tcPr>
            <w:tcW w:w="5672" w:type="dxa"/>
          </w:tcPr>
          <w:p>
            <w:pPr>
              <w:pStyle w:val="TableParagraph"/>
              <w:spacing w:before="3"/>
              <w:ind w:left="649"/>
              <w:rPr>
                <w:sz w:val="18"/>
              </w:rPr>
            </w:pPr>
            <w:r>
              <w:rPr>
                <w:sz w:val="18"/>
              </w:rPr>
              <w:t>International Onshore</w:t>
            </w:r>
          </w:p>
        </w:tc>
        <w:tc>
          <w:tcPr>
            <w:tcW w:w="1065" w:type="dxa"/>
          </w:tcPr>
          <w:p>
            <w:pPr>
              <w:pStyle w:val="TableParagraph"/>
              <w:spacing w:before="29"/>
              <w:ind w:right="39"/>
              <w:jc w:val="right"/>
              <w:rPr>
                <w:sz w:val="18"/>
              </w:rPr>
            </w:pPr>
            <w:r>
              <w:rPr>
                <w:w w:val="95"/>
                <w:sz w:val="18"/>
              </w:rPr>
              <w:t>124,269</w:t>
            </w:r>
          </w:p>
        </w:tc>
      </w:tr>
      <w:tr>
        <w:trPr>
          <w:trHeight w:val="233" w:hRule="exact"/>
        </w:trPr>
        <w:tc>
          <w:tcPr>
            <w:tcW w:w="5672" w:type="dxa"/>
          </w:tcPr>
          <w:p>
            <w:pPr>
              <w:pStyle w:val="TableParagraph"/>
              <w:spacing w:line="197" w:lineRule="exact"/>
              <w:ind w:left="649"/>
              <w:rPr>
                <w:sz w:val="18"/>
              </w:rPr>
            </w:pPr>
            <w:r>
              <w:rPr>
                <w:sz w:val="18"/>
              </w:rPr>
              <w:t>International Offshore</w:t>
            </w:r>
          </w:p>
        </w:tc>
        <w:tc>
          <w:tcPr>
            <w:tcW w:w="1065" w:type="dxa"/>
          </w:tcPr>
          <w:p>
            <w:pPr>
              <w:pStyle w:val="TableParagraph"/>
              <w:spacing w:before="16"/>
              <w:ind w:right="36"/>
              <w:jc w:val="right"/>
              <w:rPr>
                <w:sz w:val="18"/>
              </w:rPr>
            </w:pPr>
            <w:r>
              <w:rPr>
                <w:w w:val="95"/>
                <w:sz w:val="18"/>
              </w:rPr>
              <w:t>727</w:t>
            </w:r>
          </w:p>
        </w:tc>
      </w:tr>
      <w:tr>
        <w:trPr>
          <w:trHeight w:val="233" w:hRule="exact"/>
        </w:trPr>
        <w:tc>
          <w:tcPr>
            <w:tcW w:w="5672" w:type="dxa"/>
          </w:tcPr>
          <w:p>
            <w:pPr>
              <w:pStyle w:val="TableParagraph"/>
              <w:spacing w:line="197" w:lineRule="exact"/>
              <w:ind w:left="649"/>
              <w:rPr>
                <w:sz w:val="18"/>
              </w:rPr>
            </w:pPr>
            <w:r>
              <w:rPr>
                <w:sz w:val="18"/>
              </w:rPr>
              <w:t>Local fee-paying</w:t>
            </w:r>
          </w:p>
        </w:tc>
        <w:tc>
          <w:tcPr>
            <w:tcW w:w="1065" w:type="dxa"/>
          </w:tcPr>
          <w:p>
            <w:pPr>
              <w:pStyle w:val="TableParagraph"/>
              <w:spacing w:before="16"/>
              <w:ind w:right="38"/>
              <w:jc w:val="right"/>
              <w:rPr>
                <w:sz w:val="18"/>
              </w:rPr>
            </w:pPr>
            <w:r>
              <w:rPr>
                <w:w w:val="95"/>
                <w:sz w:val="18"/>
              </w:rPr>
              <w:t>17,500</w:t>
            </w:r>
          </w:p>
        </w:tc>
      </w:tr>
      <w:tr>
        <w:trPr>
          <w:trHeight w:val="233" w:hRule="exact"/>
        </w:trPr>
        <w:tc>
          <w:tcPr>
            <w:tcW w:w="5672" w:type="dxa"/>
          </w:tcPr>
          <w:p>
            <w:pPr>
              <w:pStyle w:val="TableParagraph"/>
              <w:spacing w:line="197" w:lineRule="exact"/>
              <w:ind w:left="649"/>
              <w:rPr>
                <w:sz w:val="18"/>
              </w:rPr>
            </w:pPr>
            <w:r>
              <w:rPr>
                <w:sz w:val="18"/>
              </w:rPr>
              <w:t>External Research Grants</w:t>
            </w:r>
          </w:p>
        </w:tc>
        <w:tc>
          <w:tcPr>
            <w:tcW w:w="1065" w:type="dxa"/>
          </w:tcPr>
          <w:p>
            <w:pPr>
              <w:pStyle w:val="TableParagraph"/>
              <w:spacing w:before="16"/>
              <w:ind w:right="38"/>
              <w:jc w:val="right"/>
              <w:rPr>
                <w:sz w:val="18"/>
              </w:rPr>
            </w:pPr>
            <w:r>
              <w:rPr>
                <w:w w:val="95"/>
                <w:sz w:val="18"/>
              </w:rPr>
              <w:t>32,150</w:t>
            </w:r>
          </w:p>
        </w:tc>
      </w:tr>
      <w:tr>
        <w:trPr>
          <w:trHeight w:val="233" w:hRule="exact"/>
        </w:trPr>
        <w:tc>
          <w:tcPr>
            <w:tcW w:w="5672" w:type="dxa"/>
          </w:tcPr>
          <w:p>
            <w:pPr>
              <w:pStyle w:val="TableParagraph"/>
              <w:spacing w:line="197" w:lineRule="exact"/>
              <w:ind w:left="649"/>
              <w:rPr>
                <w:sz w:val="18"/>
              </w:rPr>
            </w:pPr>
            <w:r>
              <w:rPr>
                <w:sz w:val="18"/>
              </w:rPr>
              <w:t>Consulting, Contracting &amp; Royalties</w:t>
            </w:r>
          </w:p>
        </w:tc>
        <w:tc>
          <w:tcPr>
            <w:tcW w:w="1065" w:type="dxa"/>
          </w:tcPr>
          <w:p>
            <w:pPr>
              <w:pStyle w:val="TableParagraph"/>
              <w:spacing w:before="16"/>
              <w:ind w:right="38"/>
              <w:jc w:val="right"/>
              <w:rPr>
                <w:sz w:val="18"/>
              </w:rPr>
            </w:pPr>
            <w:r>
              <w:rPr>
                <w:w w:val="95"/>
                <w:sz w:val="18"/>
              </w:rPr>
              <w:t>1,693</w:t>
            </w:r>
          </w:p>
        </w:tc>
      </w:tr>
      <w:tr>
        <w:trPr>
          <w:trHeight w:val="283" w:hRule="exact"/>
        </w:trPr>
        <w:tc>
          <w:tcPr>
            <w:tcW w:w="5672" w:type="dxa"/>
          </w:tcPr>
          <w:p>
            <w:pPr>
              <w:pStyle w:val="TableParagraph"/>
              <w:spacing w:line="197" w:lineRule="exact"/>
              <w:ind w:left="649"/>
              <w:rPr>
                <w:sz w:val="18"/>
              </w:rPr>
            </w:pPr>
            <w:r>
              <w:rPr>
                <w:sz w:val="18"/>
              </w:rPr>
              <w:t>Other</w:t>
            </w:r>
          </w:p>
        </w:tc>
        <w:tc>
          <w:tcPr>
            <w:tcW w:w="1065" w:type="dxa"/>
          </w:tcPr>
          <w:p>
            <w:pPr>
              <w:pStyle w:val="TableParagraph"/>
              <w:spacing w:before="16"/>
              <w:ind w:right="38"/>
              <w:jc w:val="right"/>
              <w:rPr>
                <w:sz w:val="18"/>
              </w:rPr>
            </w:pPr>
            <w:r>
              <w:rPr>
                <w:w w:val="95"/>
                <w:sz w:val="18"/>
              </w:rPr>
              <w:t>47,824</w:t>
            </w:r>
          </w:p>
        </w:tc>
      </w:tr>
      <w:tr>
        <w:trPr>
          <w:trHeight w:val="270" w:hRule="exact"/>
        </w:trPr>
        <w:tc>
          <w:tcPr>
            <w:tcW w:w="5672" w:type="dxa"/>
          </w:tcPr>
          <w:p>
            <w:pPr>
              <w:pStyle w:val="TableParagraph"/>
              <w:spacing w:before="40"/>
              <w:ind w:left="3287"/>
              <w:rPr>
                <w:b/>
                <w:sz w:val="18"/>
              </w:rPr>
            </w:pPr>
            <w:r>
              <w:rPr>
                <w:b/>
                <w:sz w:val="18"/>
              </w:rPr>
              <w:t>Sub Total</w:t>
            </w:r>
          </w:p>
        </w:tc>
        <w:tc>
          <w:tcPr>
            <w:tcW w:w="1065" w:type="dxa"/>
          </w:tcPr>
          <w:p>
            <w:pPr>
              <w:pStyle w:val="TableParagraph"/>
              <w:spacing w:before="67"/>
              <w:ind w:right="39"/>
              <w:jc w:val="right"/>
              <w:rPr>
                <w:b/>
                <w:sz w:val="18"/>
              </w:rPr>
            </w:pPr>
            <w:r>
              <w:rPr>
                <w:b/>
                <w:w w:val="95"/>
                <w:sz w:val="18"/>
              </w:rPr>
              <w:t>224,163</w:t>
            </w:r>
          </w:p>
        </w:tc>
      </w:tr>
      <w:tr>
        <w:trPr>
          <w:trHeight w:val="363" w:hRule="exact"/>
        </w:trPr>
        <w:tc>
          <w:tcPr>
            <w:tcW w:w="5672" w:type="dxa"/>
          </w:tcPr>
          <w:p>
            <w:pPr>
              <w:pStyle w:val="TableParagraph"/>
              <w:spacing w:before="133"/>
              <w:ind w:left="349"/>
              <w:rPr>
                <w:b/>
                <w:sz w:val="18"/>
              </w:rPr>
            </w:pPr>
            <w:r>
              <w:rPr>
                <w:b/>
                <w:sz w:val="18"/>
              </w:rPr>
              <w:t>OTHER INCOME ACTIVITIES</w:t>
            </w:r>
          </w:p>
        </w:tc>
        <w:tc>
          <w:tcPr>
            <w:tcW w:w="1065" w:type="dxa"/>
          </w:tcPr>
          <w:p>
            <w:pPr/>
          </w:p>
        </w:tc>
      </w:tr>
      <w:tr>
        <w:trPr>
          <w:trHeight w:val="257" w:hRule="exact"/>
        </w:trPr>
        <w:tc>
          <w:tcPr>
            <w:tcW w:w="5672" w:type="dxa"/>
          </w:tcPr>
          <w:p>
            <w:pPr>
              <w:pStyle w:val="TableParagraph"/>
              <w:spacing w:before="3"/>
              <w:ind w:left="649"/>
              <w:rPr>
                <w:sz w:val="18"/>
              </w:rPr>
            </w:pPr>
            <w:r>
              <w:rPr>
                <w:sz w:val="18"/>
              </w:rPr>
              <w:t>Leases &amp; Other Commercial</w:t>
            </w:r>
          </w:p>
        </w:tc>
        <w:tc>
          <w:tcPr>
            <w:tcW w:w="1065" w:type="dxa"/>
          </w:tcPr>
          <w:p>
            <w:pPr>
              <w:pStyle w:val="TableParagraph"/>
              <w:spacing w:before="29"/>
              <w:ind w:right="38"/>
              <w:jc w:val="right"/>
              <w:rPr>
                <w:sz w:val="18"/>
              </w:rPr>
            </w:pPr>
            <w:r>
              <w:rPr>
                <w:w w:val="95"/>
                <w:sz w:val="18"/>
              </w:rPr>
              <w:t>10,874</w:t>
            </w:r>
          </w:p>
        </w:tc>
      </w:tr>
      <w:tr>
        <w:trPr>
          <w:trHeight w:val="254" w:hRule="exact"/>
        </w:trPr>
        <w:tc>
          <w:tcPr>
            <w:tcW w:w="5672" w:type="dxa"/>
          </w:tcPr>
          <w:p>
            <w:pPr>
              <w:pStyle w:val="TableParagraph"/>
              <w:spacing w:before="1"/>
              <w:ind w:left="649"/>
              <w:rPr>
                <w:sz w:val="18"/>
              </w:rPr>
            </w:pPr>
            <w:r>
              <w:rPr>
                <w:sz w:val="18"/>
              </w:rPr>
              <w:t>Investment Income</w:t>
            </w:r>
          </w:p>
        </w:tc>
        <w:tc>
          <w:tcPr>
            <w:tcW w:w="1065" w:type="dxa"/>
          </w:tcPr>
          <w:p>
            <w:pPr>
              <w:pStyle w:val="TableParagraph"/>
              <w:spacing w:before="27"/>
              <w:ind w:right="38"/>
              <w:jc w:val="right"/>
              <w:rPr>
                <w:sz w:val="18"/>
              </w:rPr>
            </w:pPr>
            <w:r>
              <w:rPr>
                <w:w w:val="95"/>
                <w:sz w:val="18"/>
              </w:rPr>
              <w:t>13,451</w:t>
            </w:r>
          </w:p>
        </w:tc>
      </w:tr>
      <w:tr>
        <w:trPr>
          <w:trHeight w:val="244" w:hRule="exact"/>
        </w:trPr>
        <w:tc>
          <w:tcPr>
            <w:tcW w:w="5672" w:type="dxa"/>
          </w:tcPr>
          <w:p>
            <w:pPr>
              <w:pStyle w:val="TableParagraph"/>
              <w:spacing w:before="1"/>
              <w:ind w:left="649"/>
              <w:rPr>
                <w:sz w:val="18"/>
              </w:rPr>
            </w:pPr>
            <w:r>
              <w:rPr>
                <w:sz w:val="18"/>
              </w:rPr>
              <w:t>Land/Property Development Projects</w:t>
            </w:r>
          </w:p>
        </w:tc>
        <w:tc>
          <w:tcPr>
            <w:tcW w:w="1065" w:type="dxa"/>
          </w:tcPr>
          <w:p>
            <w:pPr>
              <w:pStyle w:val="TableParagraph"/>
              <w:spacing w:before="27"/>
              <w:ind w:right="38"/>
              <w:jc w:val="right"/>
              <w:rPr>
                <w:sz w:val="18"/>
              </w:rPr>
            </w:pPr>
            <w:r>
              <w:rPr>
                <w:w w:val="95"/>
                <w:sz w:val="18"/>
              </w:rPr>
              <w:t>53,809</w:t>
            </w:r>
          </w:p>
        </w:tc>
      </w:tr>
      <w:tr>
        <w:trPr>
          <w:trHeight w:val="262" w:hRule="exact"/>
        </w:trPr>
        <w:tc>
          <w:tcPr>
            <w:tcW w:w="5672" w:type="dxa"/>
          </w:tcPr>
          <w:p>
            <w:pPr>
              <w:pStyle w:val="TableParagraph"/>
              <w:spacing w:line="197" w:lineRule="exact"/>
              <w:ind w:left="649"/>
              <w:rPr>
                <w:sz w:val="18"/>
              </w:rPr>
            </w:pPr>
            <w:r>
              <w:rPr>
                <w:sz w:val="18"/>
              </w:rPr>
              <w:t>Other Incidental</w:t>
            </w:r>
          </w:p>
        </w:tc>
        <w:tc>
          <w:tcPr>
            <w:tcW w:w="1065" w:type="dxa"/>
          </w:tcPr>
          <w:p>
            <w:pPr>
              <w:pStyle w:val="TableParagraph"/>
              <w:spacing w:before="16"/>
              <w:ind w:right="38"/>
              <w:jc w:val="right"/>
              <w:rPr>
                <w:sz w:val="18"/>
              </w:rPr>
            </w:pPr>
            <w:r>
              <w:rPr>
                <w:w w:val="95"/>
                <w:sz w:val="18"/>
              </w:rPr>
              <w:t>10,883</w:t>
            </w:r>
          </w:p>
        </w:tc>
      </w:tr>
      <w:tr>
        <w:trPr>
          <w:trHeight w:val="248" w:hRule="exact"/>
        </w:trPr>
        <w:tc>
          <w:tcPr>
            <w:tcW w:w="5672" w:type="dxa"/>
          </w:tcPr>
          <w:p>
            <w:pPr>
              <w:pStyle w:val="TableParagraph"/>
              <w:spacing w:before="19"/>
              <w:ind w:left="3287"/>
              <w:rPr>
                <w:b/>
                <w:sz w:val="18"/>
              </w:rPr>
            </w:pPr>
            <w:r>
              <w:rPr>
                <w:b/>
                <w:sz w:val="18"/>
              </w:rPr>
              <w:t>Sub Total</w:t>
            </w:r>
          </w:p>
        </w:tc>
        <w:tc>
          <w:tcPr>
            <w:tcW w:w="1065" w:type="dxa"/>
          </w:tcPr>
          <w:p>
            <w:pPr>
              <w:pStyle w:val="TableParagraph"/>
              <w:spacing w:before="45"/>
              <w:ind w:right="38"/>
              <w:jc w:val="right"/>
              <w:rPr>
                <w:b/>
                <w:sz w:val="18"/>
              </w:rPr>
            </w:pPr>
            <w:r>
              <w:rPr>
                <w:b/>
                <w:w w:val="95"/>
                <w:sz w:val="18"/>
              </w:rPr>
              <w:t>89,017</w:t>
            </w:r>
          </w:p>
        </w:tc>
      </w:tr>
      <w:tr>
        <w:trPr>
          <w:trHeight w:val="233" w:hRule="exact"/>
        </w:trPr>
        <w:tc>
          <w:tcPr>
            <w:tcW w:w="5672" w:type="dxa"/>
          </w:tcPr>
          <w:p>
            <w:pPr>
              <w:pStyle w:val="TableParagraph"/>
              <w:spacing w:before="3"/>
              <w:ind w:left="349"/>
              <w:rPr>
                <w:b/>
                <w:sz w:val="18"/>
              </w:rPr>
            </w:pPr>
            <w:r>
              <w:rPr>
                <w:b/>
                <w:sz w:val="18"/>
              </w:rPr>
              <w:t>ENTITIES</w:t>
            </w:r>
          </w:p>
        </w:tc>
        <w:tc>
          <w:tcPr>
            <w:tcW w:w="1065" w:type="dxa"/>
          </w:tcPr>
          <w:p>
            <w:pPr/>
          </w:p>
        </w:tc>
      </w:tr>
      <w:tr>
        <w:trPr>
          <w:trHeight w:val="246" w:hRule="exact"/>
        </w:trPr>
        <w:tc>
          <w:tcPr>
            <w:tcW w:w="5672" w:type="dxa"/>
          </w:tcPr>
          <w:p>
            <w:pPr>
              <w:pStyle w:val="TableParagraph"/>
              <w:spacing w:before="3"/>
              <w:ind w:left="649"/>
              <w:rPr>
                <w:sz w:val="18"/>
              </w:rPr>
            </w:pPr>
            <w:r>
              <w:rPr>
                <w:sz w:val="18"/>
              </w:rPr>
              <w:t>The College</w:t>
            </w:r>
          </w:p>
        </w:tc>
        <w:tc>
          <w:tcPr>
            <w:tcW w:w="1065" w:type="dxa"/>
          </w:tcPr>
          <w:p>
            <w:pPr>
              <w:pStyle w:val="TableParagraph"/>
              <w:spacing w:before="29"/>
              <w:ind w:right="38"/>
              <w:jc w:val="right"/>
              <w:rPr>
                <w:sz w:val="18"/>
              </w:rPr>
            </w:pPr>
            <w:r>
              <w:rPr>
                <w:w w:val="95"/>
                <w:sz w:val="18"/>
              </w:rPr>
              <w:t>63,657</w:t>
            </w:r>
          </w:p>
        </w:tc>
      </w:tr>
      <w:tr>
        <w:trPr>
          <w:trHeight w:val="233" w:hRule="exact"/>
        </w:trPr>
        <w:tc>
          <w:tcPr>
            <w:tcW w:w="5672" w:type="dxa"/>
          </w:tcPr>
          <w:p>
            <w:pPr>
              <w:pStyle w:val="TableParagraph"/>
              <w:spacing w:line="197" w:lineRule="exact"/>
              <w:ind w:left="649"/>
              <w:rPr>
                <w:sz w:val="18"/>
              </w:rPr>
            </w:pPr>
            <w:r>
              <w:rPr>
                <w:sz w:val="18"/>
              </w:rPr>
              <w:t>Whitlam Institute</w:t>
            </w:r>
          </w:p>
        </w:tc>
        <w:tc>
          <w:tcPr>
            <w:tcW w:w="1065" w:type="dxa"/>
          </w:tcPr>
          <w:p>
            <w:pPr>
              <w:pStyle w:val="TableParagraph"/>
              <w:spacing w:before="16"/>
              <w:ind w:right="36"/>
              <w:jc w:val="right"/>
              <w:rPr>
                <w:sz w:val="18"/>
              </w:rPr>
            </w:pPr>
            <w:r>
              <w:rPr>
                <w:w w:val="95"/>
                <w:sz w:val="18"/>
              </w:rPr>
              <w:t>177</w:t>
            </w:r>
          </w:p>
        </w:tc>
      </w:tr>
      <w:tr>
        <w:trPr>
          <w:trHeight w:val="233" w:hRule="exact"/>
        </w:trPr>
        <w:tc>
          <w:tcPr>
            <w:tcW w:w="5672" w:type="dxa"/>
          </w:tcPr>
          <w:p>
            <w:pPr>
              <w:pStyle w:val="TableParagraph"/>
              <w:spacing w:line="197" w:lineRule="exact"/>
              <w:ind w:left="649"/>
              <w:rPr>
                <w:sz w:val="18"/>
              </w:rPr>
            </w:pPr>
            <w:r>
              <w:rPr>
                <w:sz w:val="18"/>
              </w:rPr>
              <w:t>ELL</w:t>
            </w:r>
          </w:p>
        </w:tc>
        <w:tc>
          <w:tcPr>
            <w:tcW w:w="1065" w:type="dxa"/>
          </w:tcPr>
          <w:p>
            <w:pPr>
              <w:pStyle w:val="TableParagraph"/>
              <w:spacing w:before="16"/>
              <w:ind w:right="37"/>
              <w:jc w:val="right"/>
              <w:rPr>
                <w:sz w:val="18"/>
              </w:rPr>
            </w:pPr>
            <w:r>
              <w:rPr>
                <w:w w:val="95"/>
                <w:sz w:val="18"/>
              </w:rPr>
              <w:t>7,278</w:t>
            </w:r>
          </w:p>
        </w:tc>
      </w:tr>
      <w:tr>
        <w:trPr>
          <w:trHeight w:val="349" w:hRule="exact"/>
        </w:trPr>
        <w:tc>
          <w:tcPr>
            <w:tcW w:w="5672" w:type="dxa"/>
          </w:tcPr>
          <w:p>
            <w:pPr>
              <w:pStyle w:val="TableParagraph"/>
              <w:spacing w:line="197" w:lineRule="exact"/>
              <w:ind w:left="649"/>
              <w:rPr>
                <w:sz w:val="18"/>
              </w:rPr>
            </w:pPr>
            <w:r>
              <w:rPr>
                <w:sz w:val="18"/>
              </w:rPr>
              <w:t>Western Unlimited</w:t>
            </w:r>
          </w:p>
        </w:tc>
        <w:tc>
          <w:tcPr>
            <w:tcW w:w="1065" w:type="dxa"/>
          </w:tcPr>
          <w:p>
            <w:pPr>
              <w:pStyle w:val="TableParagraph"/>
              <w:spacing w:before="16"/>
              <w:ind w:right="37"/>
              <w:jc w:val="right"/>
              <w:rPr>
                <w:sz w:val="18"/>
              </w:rPr>
            </w:pPr>
            <w:r>
              <w:rPr>
                <w:w w:val="95"/>
                <w:sz w:val="18"/>
              </w:rPr>
              <w:t>9,473</w:t>
            </w:r>
          </w:p>
        </w:tc>
      </w:tr>
      <w:tr>
        <w:trPr>
          <w:trHeight w:val="466" w:hRule="exact"/>
        </w:trPr>
        <w:tc>
          <w:tcPr>
            <w:tcW w:w="5672" w:type="dxa"/>
          </w:tcPr>
          <w:p>
            <w:pPr>
              <w:pStyle w:val="TableParagraph"/>
              <w:spacing w:before="106"/>
              <w:ind w:left="3287"/>
              <w:rPr>
                <w:b/>
                <w:sz w:val="18"/>
              </w:rPr>
            </w:pPr>
            <w:r>
              <w:rPr>
                <w:b/>
                <w:sz w:val="18"/>
              </w:rPr>
              <w:t>Sub Total</w:t>
            </w:r>
          </w:p>
        </w:tc>
        <w:tc>
          <w:tcPr>
            <w:tcW w:w="1065" w:type="dxa"/>
          </w:tcPr>
          <w:p>
            <w:pPr>
              <w:pStyle w:val="TableParagraph"/>
              <w:spacing w:before="133"/>
              <w:ind w:right="38"/>
              <w:jc w:val="right"/>
              <w:rPr>
                <w:b/>
                <w:sz w:val="18"/>
              </w:rPr>
            </w:pPr>
            <w:r>
              <w:rPr>
                <w:b/>
                <w:w w:val="95"/>
                <w:sz w:val="18"/>
              </w:rPr>
              <w:t>80,585</w:t>
            </w:r>
          </w:p>
        </w:tc>
      </w:tr>
      <w:tr>
        <w:trPr>
          <w:trHeight w:val="466" w:hRule="exact"/>
        </w:trPr>
        <w:tc>
          <w:tcPr>
            <w:tcW w:w="5672" w:type="dxa"/>
          </w:tcPr>
          <w:p>
            <w:pPr>
              <w:pStyle w:val="TableParagraph"/>
              <w:spacing w:before="106"/>
              <w:ind w:left="1045"/>
              <w:rPr>
                <w:b/>
                <w:sz w:val="18"/>
              </w:rPr>
            </w:pPr>
            <w:r>
              <w:rPr>
                <w:b/>
                <w:sz w:val="18"/>
              </w:rPr>
              <w:t>TOTAL SELF-GENERATED INCOME</w:t>
            </w:r>
          </w:p>
        </w:tc>
        <w:tc>
          <w:tcPr>
            <w:tcW w:w="1065" w:type="dxa"/>
          </w:tcPr>
          <w:p>
            <w:pPr>
              <w:pStyle w:val="TableParagraph"/>
              <w:spacing w:before="133"/>
              <w:ind w:right="39"/>
              <w:jc w:val="right"/>
              <w:rPr>
                <w:b/>
                <w:sz w:val="18"/>
              </w:rPr>
            </w:pPr>
            <w:r>
              <w:rPr>
                <w:b/>
                <w:w w:val="95"/>
                <w:sz w:val="18"/>
              </w:rPr>
              <w:t>393,765</w:t>
            </w:r>
          </w:p>
        </w:tc>
      </w:tr>
      <w:tr>
        <w:trPr>
          <w:trHeight w:val="436" w:hRule="exact"/>
        </w:trPr>
        <w:tc>
          <w:tcPr>
            <w:tcW w:w="5672" w:type="dxa"/>
          </w:tcPr>
          <w:p>
            <w:pPr>
              <w:pStyle w:val="TableParagraph"/>
              <w:spacing w:before="106"/>
              <w:ind w:left="2742"/>
              <w:rPr>
                <w:b/>
                <w:sz w:val="18"/>
              </w:rPr>
            </w:pPr>
            <w:r>
              <w:rPr>
                <w:b/>
                <w:sz w:val="18"/>
              </w:rPr>
              <w:t>TOTAL INCOME</w:t>
            </w:r>
          </w:p>
        </w:tc>
        <w:tc>
          <w:tcPr>
            <w:tcW w:w="1065" w:type="dxa"/>
          </w:tcPr>
          <w:p>
            <w:pPr>
              <w:pStyle w:val="TableParagraph"/>
              <w:spacing w:before="133"/>
              <w:ind w:right="38"/>
              <w:jc w:val="right"/>
              <w:rPr>
                <w:b/>
                <w:sz w:val="18"/>
              </w:rPr>
            </w:pPr>
            <w:r>
              <w:rPr>
                <w:b/>
                <w:w w:val="95"/>
                <w:sz w:val="18"/>
              </w:rPr>
              <w:t>941,689</w:t>
            </w:r>
          </w:p>
        </w:tc>
      </w:tr>
    </w:tbl>
    <w:p>
      <w:pPr>
        <w:pStyle w:val="BodyText"/>
        <w:rPr>
          <w:b/>
          <w:sz w:val="20"/>
        </w:rPr>
      </w:pPr>
    </w:p>
    <w:p>
      <w:pPr>
        <w:pStyle w:val="BodyText"/>
        <w:spacing w:before="7"/>
        <w:rPr>
          <w:b/>
          <w:sz w:val="16"/>
        </w:rPr>
      </w:pPr>
    </w:p>
    <w:p>
      <w:pPr>
        <w:pStyle w:val="Heading9"/>
        <w:spacing w:before="78" w:after="38"/>
        <w:ind w:left="144"/>
      </w:pPr>
      <w:r>
        <w:rPr/>
        <w:t>EXPENSES FROM CONTINUING OPERATIONS</w:t>
      </w:r>
    </w:p>
    <w:tbl>
      <w:tblPr>
        <w:tblW w:w="0" w:type="auto"/>
        <w:jc w:val="left"/>
        <w:tblInd w:w="42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23"/>
        <w:gridCol w:w="2394"/>
      </w:tblGrid>
      <w:tr>
        <w:trPr>
          <w:trHeight w:val="319" w:hRule="exact"/>
        </w:trPr>
        <w:tc>
          <w:tcPr>
            <w:tcW w:w="4023" w:type="dxa"/>
          </w:tcPr>
          <w:p>
            <w:pPr>
              <w:pStyle w:val="TableParagraph"/>
              <w:spacing w:before="77"/>
              <w:ind w:left="35"/>
              <w:rPr>
                <w:sz w:val="18"/>
              </w:rPr>
            </w:pPr>
            <w:r>
              <w:rPr>
                <w:sz w:val="18"/>
              </w:rPr>
              <w:t>Schools</w:t>
            </w:r>
          </w:p>
        </w:tc>
        <w:tc>
          <w:tcPr>
            <w:tcW w:w="2394" w:type="dxa"/>
          </w:tcPr>
          <w:p>
            <w:pPr>
              <w:pStyle w:val="TableParagraph"/>
              <w:spacing w:before="103"/>
              <w:ind w:right="34"/>
              <w:jc w:val="right"/>
              <w:rPr>
                <w:sz w:val="18"/>
              </w:rPr>
            </w:pPr>
            <w:r>
              <w:rPr>
                <w:w w:val="95"/>
                <w:sz w:val="18"/>
              </w:rPr>
              <w:t>228,766</w:t>
            </w:r>
          </w:p>
        </w:tc>
      </w:tr>
      <w:tr>
        <w:trPr>
          <w:trHeight w:val="233" w:hRule="exact"/>
        </w:trPr>
        <w:tc>
          <w:tcPr>
            <w:tcW w:w="4023" w:type="dxa"/>
          </w:tcPr>
          <w:p>
            <w:pPr>
              <w:pStyle w:val="TableParagraph"/>
              <w:spacing w:line="197" w:lineRule="exact"/>
              <w:ind w:left="35"/>
              <w:rPr>
                <w:sz w:val="18"/>
              </w:rPr>
            </w:pPr>
            <w:r>
              <w:rPr>
                <w:sz w:val="18"/>
              </w:rPr>
              <w:t>Research</w:t>
            </w:r>
          </w:p>
        </w:tc>
        <w:tc>
          <w:tcPr>
            <w:tcW w:w="2394" w:type="dxa"/>
          </w:tcPr>
          <w:p>
            <w:pPr>
              <w:pStyle w:val="TableParagraph"/>
              <w:spacing w:before="16"/>
              <w:ind w:right="33"/>
              <w:jc w:val="right"/>
              <w:rPr>
                <w:sz w:val="18"/>
              </w:rPr>
            </w:pPr>
            <w:r>
              <w:rPr>
                <w:w w:val="95"/>
                <w:sz w:val="18"/>
              </w:rPr>
              <w:t>83,922</w:t>
            </w:r>
          </w:p>
        </w:tc>
      </w:tr>
      <w:tr>
        <w:trPr>
          <w:trHeight w:val="233" w:hRule="exact"/>
        </w:trPr>
        <w:tc>
          <w:tcPr>
            <w:tcW w:w="4023" w:type="dxa"/>
          </w:tcPr>
          <w:p>
            <w:pPr>
              <w:pStyle w:val="TableParagraph"/>
              <w:spacing w:line="197" w:lineRule="exact"/>
              <w:ind w:left="35"/>
              <w:rPr>
                <w:sz w:val="18"/>
              </w:rPr>
            </w:pPr>
            <w:r>
              <w:rPr>
                <w:sz w:val="18"/>
              </w:rPr>
              <w:t>Divisions</w:t>
            </w:r>
          </w:p>
        </w:tc>
        <w:tc>
          <w:tcPr>
            <w:tcW w:w="2394" w:type="dxa"/>
          </w:tcPr>
          <w:p>
            <w:pPr>
              <w:pStyle w:val="TableParagraph"/>
              <w:spacing w:before="16"/>
              <w:ind w:right="34"/>
              <w:jc w:val="right"/>
              <w:rPr>
                <w:sz w:val="18"/>
              </w:rPr>
            </w:pPr>
            <w:r>
              <w:rPr>
                <w:w w:val="95"/>
                <w:sz w:val="18"/>
              </w:rPr>
              <w:t>170,678</w:t>
            </w:r>
          </w:p>
        </w:tc>
      </w:tr>
      <w:tr>
        <w:trPr>
          <w:trHeight w:val="233" w:hRule="exact"/>
        </w:trPr>
        <w:tc>
          <w:tcPr>
            <w:tcW w:w="4023" w:type="dxa"/>
          </w:tcPr>
          <w:p>
            <w:pPr>
              <w:pStyle w:val="TableParagraph"/>
              <w:spacing w:line="197" w:lineRule="exact"/>
              <w:ind w:left="35"/>
              <w:rPr>
                <w:sz w:val="18"/>
              </w:rPr>
            </w:pPr>
            <w:r>
              <w:rPr>
                <w:sz w:val="18"/>
              </w:rPr>
              <w:t>Entities</w:t>
            </w:r>
          </w:p>
        </w:tc>
        <w:tc>
          <w:tcPr>
            <w:tcW w:w="2394" w:type="dxa"/>
          </w:tcPr>
          <w:p>
            <w:pPr>
              <w:pStyle w:val="TableParagraph"/>
              <w:spacing w:before="16"/>
              <w:ind w:right="33"/>
              <w:jc w:val="right"/>
              <w:rPr>
                <w:sz w:val="18"/>
              </w:rPr>
            </w:pPr>
            <w:r>
              <w:rPr>
                <w:w w:val="95"/>
                <w:sz w:val="18"/>
              </w:rPr>
              <w:t>80,697</w:t>
            </w:r>
          </w:p>
        </w:tc>
      </w:tr>
      <w:tr>
        <w:trPr>
          <w:trHeight w:val="233" w:hRule="exact"/>
        </w:trPr>
        <w:tc>
          <w:tcPr>
            <w:tcW w:w="4023" w:type="dxa"/>
          </w:tcPr>
          <w:p>
            <w:pPr>
              <w:pStyle w:val="TableParagraph"/>
              <w:spacing w:line="197" w:lineRule="exact"/>
              <w:ind w:left="35"/>
              <w:rPr>
                <w:sz w:val="18"/>
              </w:rPr>
            </w:pPr>
            <w:r>
              <w:rPr>
                <w:sz w:val="18"/>
              </w:rPr>
              <w:t>Consulting &amp; Innovation</w:t>
            </w:r>
          </w:p>
        </w:tc>
        <w:tc>
          <w:tcPr>
            <w:tcW w:w="2394" w:type="dxa"/>
          </w:tcPr>
          <w:p>
            <w:pPr>
              <w:pStyle w:val="TableParagraph"/>
              <w:spacing w:before="16"/>
              <w:ind w:right="33"/>
              <w:jc w:val="right"/>
              <w:rPr>
                <w:sz w:val="18"/>
              </w:rPr>
            </w:pPr>
            <w:r>
              <w:rPr>
                <w:w w:val="95"/>
                <w:sz w:val="18"/>
              </w:rPr>
              <w:t>2,307</w:t>
            </w:r>
          </w:p>
        </w:tc>
      </w:tr>
      <w:tr>
        <w:trPr>
          <w:trHeight w:val="233" w:hRule="exact"/>
        </w:trPr>
        <w:tc>
          <w:tcPr>
            <w:tcW w:w="4023" w:type="dxa"/>
          </w:tcPr>
          <w:p>
            <w:pPr>
              <w:pStyle w:val="TableParagraph"/>
              <w:spacing w:line="197" w:lineRule="exact"/>
              <w:ind w:left="35"/>
              <w:rPr>
                <w:sz w:val="18"/>
              </w:rPr>
            </w:pPr>
            <w:r>
              <w:rPr>
                <w:sz w:val="18"/>
              </w:rPr>
              <w:t>University Wide</w:t>
            </w:r>
          </w:p>
        </w:tc>
        <w:tc>
          <w:tcPr>
            <w:tcW w:w="2394" w:type="dxa"/>
          </w:tcPr>
          <w:p>
            <w:pPr>
              <w:pStyle w:val="TableParagraph"/>
              <w:spacing w:before="16"/>
              <w:ind w:right="34"/>
              <w:jc w:val="right"/>
              <w:rPr>
                <w:sz w:val="18"/>
              </w:rPr>
            </w:pPr>
            <w:r>
              <w:rPr>
                <w:w w:val="95"/>
                <w:sz w:val="18"/>
              </w:rPr>
              <w:t>183,492</w:t>
            </w:r>
          </w:p>
        </w:tc>
      </w:tr>
      <w:tr>
        <w:trPr>
          <w:trHeight w:val="233" w:hRule="exact"/>
        </w:trPr>
        <w:tc>
          <w:tcPr>
            <w:tcW w:w="4023" w:type="dxa"/>
          </w:tcPr>
          <w:p>
            <w:pPr>
              <w:pStyle w:val="TableParagraph"/>
              <w:spacing w:line="197" w:lineRule="exact"/>
              <w:ind w:left="35"/>
              <w:rPr>
                <w:sz w:val="18"/>
              </w:rPr>
            </w:pPr>
            <w:r>
              <w:rPr>
                <w:sz w:val="18"/>
              </w:rPr>
              <w:t>Strategic Initiatives</w:t>
            </w:r>
          </w:p>
        </w:tc>
        <w:tc>
          <w:tcPr>
            <w:tcW w:w="2394" w:type="dxa"/>
          </w:tcPr>
          <w:p>
            <w:pPr>
              <w:pStyle w:val="TableParagraph"/>
              <w:spacing w:before="16"/>
              <w:ind w:right="33"/>
              <w:jc w:val="right"/>
              <w:rPr>
                <w:sz w:val="18"/>
              </w:rPr>
            </w:pPr>
            <w:r>
              <w:rPr>
                <w:w w:val="95"/>
                <w:sz w:val="18"/>
              </w:rPr>
              <w:t>48,527</w:t>
            </w:r>
          </w:p>
        </w:tc>
      </w:tr>
      <w:tr>
        <w:trPr>
          <w:trHeight w:val="233" w:hRule="exact"/>
        </w:trPr>
        <w:tc>
          <w:tcPr>
            <w:tcW w:w="4023" w:type="dxa"/>
          </w:tcPr>
          <w:p>
            <w:pPr>
              <w:pStyle w:val="TableParagraph"/>
              <w:spacing w:line="197" w:lineRule="exact"/>
              <w:ind w:left="35"/>
              <w:rPr>
                <w:sz w:val="18"/>
              </w:rPr>
            </w:pPr>
            <w:r>
              <w:rPr>
                <w:sz w:val="18"/>
              </w:rPr>
              <w:t>Minor Works (Expensed)</w:t>
            </w:r>
          </w:p>
        </w:tc>
        <w:tc>
          <w:tcPr>
            <w:tcW w:w="2394" w:type="dxa"/>
          </w:tcPr>
          <w:p>
            <w:pPr>
              <w:pStyle w:val="TableParagraph"/>
              <w:spacing w:before="16"/>
              <w:ind w:right="33"/>
              <w:jc w:val="right"/>
              <w:rPr>
                <w:sz w:val="18"/>
              </w:rPr>
            </w:pPr>
            <w:r>
              <w:rPr>
                <w:w w:val="95"/>
                <w:sz w:val="18"/>
              </w:rPr>
              <w:t>8,500</w:t>
            </w:r>
          </w:p>
        </w:tc>
      </w:tr>
      <w:tr>
        <w:trPr>
          <w:trHeight w:val="233" w:hRule="exact"/>
        </w:trPr>
        <w:tc>
          <w:tcPr>
            <w:tcW w:w="4023" w:type="dxa"/>
          </w:tcPr>
          <w:p>
            <w:pPr>
              <w:pStyle w:val="TableParagraph"/>
              <w:spacing w:line="197" w:lineRule="exact"/>
              <w:ind w:left="35"/>
              <w:rPr>
                <w:sz w:val="18"/>
              </w:rPr>
            </w:pPr>
            <w:r>
              <w:rPr>
                <w:sz w:val="18"/>
              </w:rPr>
              <w:t>External Trust &amp; Tied Grants</w:t>
            </w:r>
          </w:p>
        </w:tc>
        <w:tc>
          <w:tcPr>
            <w:tcW w:w="2394" w:type="dxa"/>
          </w:tcPr>
          <w:p>
            <w:pPr>
              <w:pStyle w:val="TableParagraph"/>
              <w:spacing w:before="16"/>
              <w:ind w:right="33"/>
              <w:jc w:val="right"/>
              <w:rPr>
                <w:sz w:val="18"/>
              </w:rPr>
            </w:pPr>
            <w:r>
              <w:rPr>
                <w:w w:val="95"/>
                <w:sz w:val="18"/>
              </w:rPr>
              <w:t>21,391</w:t>
            </w:r>
          </w:p>
        </w:tc>
      </w:tr>
      <w:tr>
        <w:trPr>
          <w:trHeight w:val="233" w:hRule="exact"/>
        </w:trPr>
        <w:tc>
          <w:tcPr>
            <w:tcW w:w="4023" w:type="dxa"/>
          </w:tcPr>
          <w:p>
            <w:pPr>
              <w:pStyle w:val="TableParagraph"/>
              <w:spacing w:line="197" w:lineRule="exact"/>
              <w:ind w:left="35"/>
              <w:rPr>
                <w:sz w:val="18"/>
              </w:rPr>
            </w:pPr>
            <w:r>
              <w:rPr>
                <w:sz w:val="18"/>
              </w:rPr>
              <w:t>Depreciation</w:t>
            </w:r>
          </w:p>
        </w:tc>
        <w:tc>
          <w:tcPr>
            <w:tcW w:w="2394" w:type="dxa"/>
          </w:tcPr>
          <w:p>
            <w:pPr>
              <w:pStyle w:val="TableParagraph"/>
              <w:spacing w:before="16"/>
              <w:ind w:right="33"/>
              <w:jc w:val="right"/>
              <w:rPr>
                <w:sz w:val="18"/>
              </w:rPr>
            </w:pPr>
            <w:r>
              <w:rPr>
                <w:w w:val="95"/>
                <w:sz w:val="18"/>
              </w:rPr>
              <w:t>49,440</w:t>
            </w:r>
          </w:p>
        </w:tc>
      </w:tr>
      <w:tr>
        <w:trPr>
          <w:trHeight w:val="319" w:hRule="exact"/>
        </w:trPr>
        <w:tc>
          <w:tcPr>
            <w:tcW w:w="4023" w:type="dxa"/>
          </w:tcPr>
          <w:p>
            <w:pPr>
              <w:pStyle w:val="TableParagraph"/>
              <w:spacing w:line="197" w:lineRule="exact"/>
              <w:ind w:left="35"/>
              <w:rPr>
                <w:sz w:val="18"/>
              </w:rPr>
            </w:pPr>
            <w:r>
              <w:rPr>
                <w:sz w:val="18"/>
              </w:rPr>
              <w:t>Land Development Projects</w:t>
            </w:r>
          </w:p>
        </w:tc>
        <w:tc>
          <w:tcPr>
            <w:tcW w:w="2394" w:type="dxa"/>
          </w:tcPr>
          <w:p>
            <w:pPr>
              <w:pStyle w:val="TableParagraph"/>
              <w:spacing w:before="16"/>
              <w:ind w:right="33"/>
              <w:jc w:val="right"/>
              <w:rPr>
                <w:sz w:val="18"/>
              </w:rPr>
            </w:pPr>
            <w:r>
              <w:rPr>
                <w:w w:val="95"/>
                <w:sz w:val="18"/>
              </w:rPr>
              <w:t>29,746</w:t>
            </w:r>
          </w:p>
        </w:tc>
      </w:tr>
    </w:tbl>
    <w:p>
      <w:pPr>
        <w:tabs>
          <w:tab w:pos="6154" w:val="left" w:leader="none"/>
        </w:tabs>
        <w:spacing w:before="33"/>
        <w:ind w:left="2292" w:right="0" w:firstLine="0"/>
        <w:jc w:val="left"/>
        <w:rPr>
          <w:b/>
          <w:sz w:val="18"/>
        </w:rPr>
      </w:pPr>
      <w:r>
        <w:rPr>
          <w:b/>
          <w:sz w:val="18"/>
        </w:rPr>
        <w:t>TOTAL EXPENDITURE</w:t>
        <w:tab/>
      </w:r>
      <w:r>
        <w:rPr>
          <w:b/>
          <w:position w:val="-2"/>
          <w:sz w:val="18"/>
        </w:rPr>
        <w:t>907,466</w:t>
      </w:r>
    </w:p>
    <w:p>
      <w:pPr>
        <w:pStyle w:val="BodyText"/>
        <w:rPr>
          <w:b/>
          <w:sz w:val="20"/>
        </w:rPr>
      </w:pPr>
    </w:p>
    <w:p>
      <w:pPr>
        <w:pStyle w:val="BodyText"/>
        <w:spacing w:before="3"/>
        <w:rPr>
          <w:b/>
          <w:sz w:val="19"/>
        </w:rPr>
      </w:pPr>
    </w:p>
    <w:p>
      <w:pPr>
        <w:tabs>
          <w:tab w:pos="6255" w:val="left" w:leader="none"/>
        </w:tabs>
        <w:spacing w:before="0"/>
        <w:ind w:left="144" w:right="0" w:firstLine="0"/>
        <w:jc w:val="left"/>
        <w:rPr>
          <w:b/>
          <w:sz w:val="18"/>
        </w:rPr>
      </w:pPr>
      <w:r>
        <w:rPr>
          <w:b/>
          <w:sz w:val="18"/>
        </w:rPr>
        <w:t>NET REPORTED RESULT</w:t>
        <w:tab/>
      </w:r>
      <w:r>
        <w:rPr>
          <w:b/>
          <w:position w:val="-2"/>
          <w:sz w:val="18"/>
        </w:rPr>
        <w:t>34,223</w:t>
      </w:r>
    </w:p>
    <w:p>
      <w:pPr>
        <w:spacing w:after="0"/>
        <w:jc w:val="left"/>
        <w:rPr>
          <w:sz w:val="18"/>
        </w:rPr>
        <w:sectPr>
          <w:pgSz w:w="11910" w:h="16840"/>
          <w:pgMar w:header="693" w:footer="507" w:top="900" w:bottom="700" w:left="1300" w:right="1680"/>
        </w:sectPr>
      </w:pPr>
    </w:p>
    <w:p>
      <w:pPr>
        <w:pStyle w:val="BodyText"/>
        <w:rPr>
          <w:b/>
          <w:sz w:val="20"/>
        </w:rPr>
      </w:pPr>
    </w:p>
    <w:p>
      <w:pPr>
        <w:pStyle w:val="BodyText"/>
        <w:spacing w:before="2"/>
        <w:rPr>
          <w:b/>
          <w:sz w:val="26"/>
        </w:rPr>
      </w:pPr>
    </w:p>
    <w:p>
      <w:pPr>
        <w:spacing w:before="65"/>
        <w:ind w:left="199" w:right="113" w:firstLine="0"/>
        <w:jc w:val="left"/>
        <w:rPr>
          <w:b/>
          <w:sz w:val="28"/>
        </w:rPr>
      </w:pPr>
      <w:bookmarkStart w:name="3.AP Performance Indicators - Annual Rep" w:id="248"/>
      <w:bookmarkEnd w:id="248"/>
      <w:r>
        <w:rPr/>
      </w:r>
      <w:r>
        <w:rPr>
          <w:b/>
          <w:sz w:val="28"/>
        </w:rPr>
        <w:t>Accounts Payable Performance Indicators - 2017</w:t>
      </w:r>
    </w:p>
    <w:p>
      <w:pPr>
        <w:pStyle w:val="BodyText"/>
        <w:spacing w:before="7"/>
        <w:rPr>
          <w:b/>
          <w:sz w:val="28"/>
        </w:rPr>
      </w:pPr>
    </w:p>
    <w:p>
      <w:pPr>
        <w:pStyle w:val="BodyText"/>
        <w:spacing w:line="254" w:lineRule="auto" w:before="78"/>
        <w:ind w:left="203" w:right="113" w:hanging="1"/>
      </w:pPr>
      <w:r>
        <w:rPr/>
        <w:t>The University’s payment terms to creditors is 30 days. Any variation to these terms with due justification must be approved by the University Treasurer. University payment runs are fortnightly. The majority of payments are made via electronic transfer with the remainder being settled by cheque.</w:t>
      </w:r>
    </w:p>
    <w:p>
      <w:pPr>
        <w:pStyle w:val="BodyText"/>
        <w:rPr>
          <w:sz w:val="20"/>
        </w:rPr>
      </w:pPr>
    </w:p>
    <w:p>
      <w:pPr>
        <w:pStyle w:val="BodyText"/>
        <w:spacing w:before="4" w:after="1"/>
        <w:rPr>
          <w:sz w:val="12"/>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53"/>
        <w:gridCol w:w="1229"/>
        <w:gridCol w:w="1087"/>
        <w:gridCol w:w="1181"/>
        <w:gridCol w:w="1094"/>
      </w:tblGrid>
      <w:tr>
        <w:trPr>
          <w:trHeight w:val="769" w:hRule="exact"/>
        </w:trPr>
        <w:tc>
          <w:tcPr>
            <w:tcW w:w="4253" w:type="dxa"/>
          </w:tcPr>
          <w:p>
            <w:pPr>
              <w:pStyle w:val="TableParagraph"/>
              <w:spacing w:before="77"/>
              <w:ind w:left="35"/>
              <w:rPr>
                <w:b/>
                <w:sz w:val="18"/>
              </w:rPr>
            </w:pPr>
            <w:r>
              <w:rPr>
                <w:b/>
                <w:sz w:val="18"/>
              </w:rPr>
              <w:t>Accounts Payable Performance in 2017</w:t>
            </w:r>
          </w:p>
        </w:tc>
        <w:tc>
          <w:tcPr>
            <w:tcW w:w="1229" w:type="dxa"/>
          </w:tcPr>
          <w:p>
            <w:pPr>
              <w:pStyle w:val="TableParagraph"/>
              <w:rPr>
                <w:sz w:val="18"/>
              </w:rPr>
            </w:pPr>
          </w:p>
          <w:p>
            <w:pPr>
              <w:pStyle w:val="TableParagraph"/>
              <w:rPr>
                <w:sz w:val="18"/>
              </w:rPr>
            </w:pPr>
          </w:p>
          <w:p>
            <w:pPr>
              <w:pStyle w:val="TableParagraph"/>
              <w:spacing w:before="135"/>
              <w:ind w:left="354"/>
              <w:rPr>
                <w:b/>
                <w:sz w:val="17"/>
              </w:rPr>
            </w:pPr>
            <w:r>
              <w:rPr>
                <w:b/>
                <w:w w:val="105"/>
                <w:sz w:val="17"/>
              </w:rPr>
              <w:t>First</w:t>
            </w:r>
          </w:p>
        </w:tc>
        <w:tc>
          <w:tcPr>
            <w:tcW w:w="1087" w:type="dxa"/>
          </w:tcPr>
          <w:p>
            <w:pPr>
              <w:pStyle w:val="TableParagraph"/>
              <w:rPr>
                <w:sz w:val="18"/>
              </w:rPr>
            </w:pPr>
          </w:p>
          <w:p>
            <w:pPr>
              <w:pStyle w:val="TableParagraph"/>
              <w:rPr>
                <w:sz w:val="18"/>
              </w:rPr>
            </w:pPr>
          </w:p>
          <w:p>
            <w:pPr>
              <w:pStyle w:val="TableParagraph"/>
              <w:spacing w:before="135"/>
              <w:ind w:left="126"/>
              <w:rPr>
                <w:b/>
                <w:sz w:val="17"/>
              </w:rPr>
            </w:pPr>
            <w:r>
              <w:rPr>
                <w:b/>
                <w:w w:val="105"/>
                <w:sz w:val="17"/>
              </w:rPr>
              <w:t>Second</w:t>
            </w:r>
          </w:p>
        </w:tc>
        <w:tc>
          <w:tcPr>
            <w:tcW w:w="1181" w:type="dxa"/>
          </w:tcPr>
          <w:p>
            <w:pPr>
              <w:pStyle w:val="TableParagraph"/>
              <w:rPr>
                <w:sz w:val="18"/>
              </w:rPr>
            </w:pPr>
          </w:p>
          <w:p>
            <w:pPr>
              <w:pStyle w:val="TableParagraph"/>
              <w:rPr>
                <w:sz w:val="18"/>
              </w:rPr>
            </w:pPr>
          </w:p>
          <w:p>
            <w:pPr>
              <w:pStyle w:val="TableParagraph"/>
              <w:spacing w:before="135"/>
              <w:ind w:left="272"/>
              <w:rPr>
                <w:b/>
                <w:sz w:val="17"/>
              </w:rPr>
            </w:pPr>
            <w:r>
              <w:rPr>
                <w:b/>
                <w:w w:val="105"/>
                <w:sz w:val="17"/>
              </w:rPr>
              <w:t>Third</w:t>
            </w:r>
          </w:p>
        </w:tc>
        <w:tc>
          <w:tcPr>
            <w:tcW w:w="1094" w:type="dxa"/>
          </w:tcPr>
          <w:p>
            <w:pPr>
              <w:pStyle w:val="TableParagraph"/>
              <w:rPr>
                <w:sz w:val="18"/>
              </w:rPr>
            </w:pPr>
          </w:p>
          <w:p>
            <w:pPr>
              <w:pStyle w:val="TableParagraph"/>
              <w:rPr>
                <w:sz w:val="18"/>
              </w:rPr>
            </w:pPr>
          </w:p>
          <w:p>
            <w:pPr>
              <w:pStyle w:val="TableParagraph"/>
              <w:spacing w:before="135"/>
              <w:ind w:left="212"/>
              <w:rPr>
                <w:b/>
                <w:sz w:val="17"/>
              </w:rPr>
            </w:pPr>
            <w:r>
              <w:rPr>
                <w:b/>
                <w:w w:val="105"/>
                <w:sz w:val="17"/>
              </w:rPr>
              <w:t>Fourth</w:t>
            </w:r>
          </w:p>
        </w:tc>
      </w:tr>
      <w:tr>
        <w:trPr>
          <w:trHeight w:val="253" w:hRule="exact"/>
        </w:trPr>
        <w:tc>
          <w:tcPr>
            <w:tcW w:w="4253" w:type="dxa"/>
          </w:tcPr>
          <w:p>
            <w:pPr>
              <w:pStyle w:val="TableParagraph"/>
              <w:spacing w:before="21"/>
              <w:ind w:left="93"/>
              <w:rPr>
                <w:b/>
                <w:sz w:val="17"/>
              </w:rPr>
            </w:pPr>
            <w:r>
              <w:rPr>
                <w:b/>
                <w:w w:val="105"/>
                <w:sz w:val="17"/>
              </w:rPr>
              <w:t>Category</w:t>
            </w:r>
          </w:p>
        </w:tc>
        <w:tc>
          <w:tcPr>
            <w:tcW w:w="1229" w:type="dxa"/>
          </w:tcPr>
          <w:p>
            <w:pPr>
              <w:pStyle w:val="TableParagraph"/>
              <w:spacing w:before="9"/>
              <w:ind w:left="227"/>
              <w:rPr>
                <w:b/>
                <w:sz w:val="17"/>
              </w:rPr>
            </w:pPr>
            <w:r>
              <w:rPr>
                <w:b/>
                <w:w w:val="105"/>
                <w:sz w:val="17"/>
              </w:rPr>
              <w:t>Quarter</w:t>
            </w:r>
          </w:p>
        </w:tc>
        <w:tc>
          <w:tcPr>
            <w:tcW w:w="1087" w:type="dxa"/>
          </w:tcPr>
          <w:p>
            <w:pPr>
              <w:pStyle w:val="TableParagraph"/>
              <w:spacing w:before="9"/>
              <w:ind w:left="128"/>
              <w:rPr>
                <w:b/>
                <w:sz w:val="17"/>
              </w:rPr>
            </w:pPr>
            <w:r>
              <w:rPr>
                <w:b/>
                <w:w w:val="105"/>
                <w:sz w:val="17"/>
              </w:rPr>
              <w:t>Quarter</w:t>
            </w:r>
          </w:p>
        </w:tc>
        <w:tc>
          <w:tcPr>
            <w:tcW w:w="1181" w:type="dxa"/>
          </w:tcPr>
          <w:p>
            <w:pPr>
              <w:pStyle w:val="TableParagraph"/>
              <w:spacing w:before="9"/>
              <w:ind w:left="174"/>
              <w:rPr>
                <w:b/>
                <w:sz w:val="17"/>
              </w:rPr>
            </w:pPr>
            <w:r>
              <w:rPr>
                <w:b/>
                <w:w w:val="105"/>
                <w:sz w:val="17"/>
              </w:rPr>
              <w:t>Quarter</w:t>
            </w:r>
          </w:p>
        </w:tc>
        <w:tc>
          <w:tcPr>
            <w:tcW w:w="1094" w:type="dxa"/>
          </w:tcPr>
          <w:p>
            <w:pPr>
              <w:pStyle w:val="TableParagraph"/>
              <w:spacing w:before="9"/>
              <w:ind w:left="174"/>
              <w:rPr>
                <w:b/>
                <w:sz w:val="17"/>
              </w:rPr>
            </w:pPr>
            <w:r>
              <w:rPr>
                <w:b/>
                <w:w w:val="105"/>
                <w:sz w:val="17"/>
              </w:rPr>
              <w:t>Quarter</w:t>
            </w:r>
          </w:p>
        </w:tc>
      </w:tr>
      <w:tr>
        <w:trPr>
          <w:trHeight w:val="285" w:hRule="exact"/>
        </w:trPr>
        <w:tc>
          <w:tcPr>
            <w:tcW w:w="4253" w:type="dxa"/>
            <w:tcBorders>
              <w:bottom w:val="single" w:sz="7" w:space="0" w:color="000000"/>
            </w:tcBorders>
          </w:tcPr>
          <w:p>
            <w:pPr/>
          </w:p>
        </w:tc>
        <w:tc>
          <w:tcPr>
            <w:tcW w:w="1229" w:type="dxa"/>
            <w:tcBorders>
              <w:bottom w:val="single" w:sz="7" w:space="0" w:color="000000"/>
            </w:tcBorders>
          </w:tcPr>
          <w:p>
            <w:pPr>
              <w:pStyle w:val="TableParagraph"/>
              <w:spacing w:before="22"/>
              <w:ind w:right="128"/>
              <w:jc w:val="center"/>
              <w:rPr>
                <w:b/>
                <w:sz w:val="17"/>
              </w:rPr>
            </w:pPr>
            <w:r>
              <w:rPr>
                <w:b/>
                <w:w w:val="103"/>
                <w:sz w:val="17"/>
              </w:rPr>
              <w:t>$</w:t>
            </w:r>
          </w:p>
        </w:tc>
        <w:tc>
          <w:tcPr>
            <w:tcW w:w="1087" w:type="dxa"/>
            <w:tcBorders>
              <w:bottom w:val="single" w:sz="7" w:space="0" w:color="000000"/>
            </w:tcBorders>
          </w:tcPr>
          <w:p>
            <w:pPr>
              <w:pStyle w:val="TableParagraph"/>
              <w:spacing w:before="22"/>
              <w:ind w:right="179"/>
              <w:jc w:val="center"/>
              <w:rPr>
                <w:b/>
                <w:sz w:val="17"/>
              </w:rPr>
            </w:pPr>
            <w:r>
              <w:rPr>
                <w:b/>
                <w:w w:val="103"/>
                <w:sz w:val="17"/>
              </w:rPr>
              <w:t>$</w:t>
            </w:r>
          </w:p>
        </w:tc>
        <w:tc>
          <w:tcPr>
            <w:tcW w:w="1181" w:type="dxa"/>
            <w:tcBorders>
              <w:bottom w:val="single" w:sz="7" w:space="0" w:color="000000"/>
            </w:tcBorders>
          </w:tcPr>
          <w:p>
            <w:pPr>
              <w:pStyle w:val="TableParagraph"/>
              <w:spacing w:before="22"/>
              <w:ind w:right="186"/>
              <w:jc w:val="center"/>
              <w:rPr>
                <w:b/>
                <w:sz w:val="17"/>
              </w:rPr>
            </w:pPr>
            <w:r>
              <w:rPr>
                <w:b/>
                <w:w w:val="103"/>
                <w:sz w:val="17"/>
              </w:rPr>
              <w:t>$</w:t>
            </w:r>
          </w:p>
        </w:tc>
        <w:tc>
          <w:tcPr>
            <w:tcW w:w="1094" w:type="dxa"/>
            <w:tcBorders>
              <w:bottom w:val="single" w:sz="7" w:space="0" w:color="000000"/>
            </w:tcBorders>
          </w:tcPr>
          <w:p>
            <w:pPr>
              <w:pStyle w:val="TableParagraph"/>
              <w:spacing w:before="22"/>
              <w:ind w:right="99"/>
              <w:jc w:val="center"/>
              <w:rPr>
                <w:b/>
                <w:sz w:val="17"/>
              </w:rPr>
            </w:pPr>
            <w:r>
              <w:rPr>
                <w:b/>
                <w:w w:val="103"/>
                <w:sz w:val="17"/>
              </w:rPr>
              <w:t>$</w:t>
            </w:r>
          </w:p>
        </w:tc>
      </w:tr>
      <w:tr>
        <w:trPr>
          <w:trHeight w:val="566" w:hRule="exact"/>
        </w:trPr>
        <w:tc>
          <w:tcPr>
            <w:tcW w:w="4253" w:type="dxa"/>
            <w:tcBorders>
              <w:top w:val="single" w:sz="7" w:space="0" w:color="000000"/>
            </w:tcBorders>
          </w:tcPr>
          <w:p>
            <w:pPr>
              <w:pStyle w:val="TableParagraph"/>
              <w:rPr>
                <w:sz w:val="18"/>
              </w:rPr>
            </w:pPr>
          </w:p>
          <w:p>
            <w:pPr>
              <w:pStyle w:val="TableParagraph"/>
              <w:spacing w:before="104"/>
              <w:ind w:left="106"/>
              <w:rPr>
                <w:b/>
                <w:sz w:val="18"/>
              </w:rPr>
            </w:pPr>
            <w:r>
              <w:rPr>
                <w:b/>
                <w:sz w:val="17"/>
              </w:rPr>
              <w:t>1. </w:t>
            </w:r>
            <w:r>
              <w:rPr>
                <w:b/>
                <w:sz w:val="18"/>
              </w:rPr>
              <w:t>Schedule of Accounts Payable</w:t>
            </w:r>
          </w:p>
        </w:tc>
        <w:tc>
          <w:tcPr>
            <w:tcW w:w="1229" w:type="dxa"/>
            <w:tcBorders>
              <w:top w:val="single" w:sz="7" w:space="0" w:color="000000"/>
            </w:tcBorders>
          </w:tcPr>
          <w:p>
            <w:pPr/>
          </w:p>
        </w:tc>
        <w:tc>
          <w:tcPr>
            <w:tcW w:w="1087" w:type="dxa"/>
            <w:tcBorders>
              <w:top w:val="single" w:sz="7" w:space="0" w:color="000000"/>
            </w:tcBorders>
          </w:tcPr>
          <w:p>
            <w:pPr/>
          </w:p>
        </w:tc>
        <w:tc>
          <w:tcPr>
            <w:tcW w:w="1181" w:type="dxa"/>
            <w:tcBorders>
              <w:top w:val="single" w:sz="7" w:space="0" w:color="000000"/>
            </w:tcBorders>
          </w:tcPr>
          <w:p>
            <w:pPr/>
          </w:p>
        </w:tc>
        <w:tc>
          <w:tcPr>
            <w:tcW w:w="1094" w:type="dxa"/>
            <w:tcBorders>
              <w:top w:val="single" w:sz="7" w:space="0" w:color="000000"/>
            </w:tcBorders>
          </w:tcPr>
          <w:p>
            <w:pPr/>
          </w:p>
        </w:tc>
      </w:tr>
      <w:tr>
        <w:trPr>
          <w:trHeight w:val="250" w:hRule="exact"/>
        </w:trPr>
        <w:tc>
          <w:tcPr>
            <w:tcW w:w="4253" w:type="dxa"/>
          </w:tcPr>
          <w:p>
            <w:pPr>
              <w:pStyle w:val="TableParagraph"/>
              <w:spacing w:before="22"/>
              <w:ind w:left="103"/>
              <w:rPr>
                <w:sz w:val="16"/>
              </w:rPr>
            </w:pPr>
            <w:r>
              <w:rPr>
                <w:sz w:val="16"/>
              </w:rPr>
              <w:t>Paid within 30 days</w:t>
            </w:r>
          </w:p>
        </w:tc>
        <w:tc>
          <w:tcPr>
            <w:tcW w:w="1229" w:type="dxa"/>
          </w:tcPr>
          <w:p>
            <w:pPr>
              <w:pStyle w:val="TableParagraph"/>
              <w:spacing w:before="22"/>
              <w:ind w:left="264"/>
              <w:rPr>
                <w:sz w:val="16"/>
              </w:rPr>
            </w:pPr>
            <w:r>
              <w:rPr>
                <w:sz w:val="16"/>
              </w:rPr>
              <w:t>81,654,501</w:t>
            </w:r>
          </w:p>
        </w:tc>
        <w:tc>
          <w:tcPr>
            <w:tcW w:w="1087" w:type="dxa"/>
          </w:tcPr>
          <w:p>
            <w:pPr>
              <w:pStyle w:val="TableParagraph"/>
              <w:spacing w:before="22"/>
              <w:ind w:left="117"/>
              <w:rPr>
                <w:sz w:val="16"/>
              </w:rPr>
            </w:pPr>
            <w:r>
              <w:rPr>
                <w:sz w:val="16"/>
              </w:rPr>
              <w:t>60,898,674</w:t>
            </w:r>
          </w:p>
        </w:tc>
        <w:tc>
          <w:tcPr>
            <w:tcW w:w="1181" w:type="dxa"/>
          </w:tcPr>
          <w:p>
            <w:pPr>
              <w:pStyle w:val="TableParagraph"/>
              <w:spacing w:before="22"/>
              <w:ind w:left="211"/>
              <w:rPr>
                <w:sz w:val="16"/>
              </w:rPr>
            </w:pPr>
            <w:r>
              <w:rPr>
                <w:sz w:val="16"/>
              </w:rPr>
              <w:t>58,585,732</w:t>
            </w:r>
          </w:p>
        </w:tc>
        <w:tc>
          <w:tcPr>
            <w:tcW w:w="1094" w:type="dxa"/>
          </w:tcPr>
          <w:p>
            <w:pPr>
              <w:pStyle w:val="TableParagraph"/>
              <w:spacing w:before="22"/>
              <w:ind w:right="88"/>
              <w:jc w:val="right"/>
              <w:rPr>
                <w:sz w:val="16"/>
              </w:rPr>
            </w:pPr>
            <w:r>
              <w:rPr>
                <w:sz w:val="16"/>
              </w:rPr>
              <w:t>78,780,542</w:t>
            </w:r>
          </w:p>
        </w:tc>
      </w:tr>
      <w:tr>
        <w:trPr>
          <w:trHeight w:val="254" w:hRule="exact"/>
        </w:trPr>
        <w:tc>
          <w:tcPr>
            <w:tcW w:w="4253" w:type="dxa"/>
          </w:tcPr>
          <w:p>
            <w:pPr>
              <w:pStyle w:val="TableParagraph"/>
              <w:spacing w:before="26"/>
              <w:ind w:left="103"/>
              <w:rPr>
                <w:sz w:val="16"/>
              </w:rPr>
            </w:pPr>
            <w:r>
              <w:rPr>
                <w:sz w:val="16"/>
              </w:rPr>
              <w:t>Paid between 31-60 days</w:t>
            </w:r>
          </w:p>
        </w:tc>
        <w:tc>
          <w:tcPr>
            <w:tcW w:w="1229" w:type="dxa"/>
          </w:tcPr>
          <w:p>
            <w:pPr>
              <w:pStyle w:val="TableParagraph"/>
              <w:spacing w:before="26"/>
              <w:ind w:left="264"/>
              <w:rPr>
                <w:sz w:val="16"/>
              </w:rPr>
            </w:pPr>
            <w:r>
              <w:rPr>
                <w:sz w:val="16"/>
              </w:rPr>
              <w:t>24,307,584</w:t>
            </w:r>
          </w:p>
        </w:tc>
        <w:tc>
          <w:tcPr>
            <w:tcW w:w="1087" w:type="dxa"/>
          </w:tcPr>
          <w:p>
            <w:pPr>
              <w:pStyle w:val="TableParagraph"/>
              <w:spacing w:before="26"/>
              <w:ind w:left="117"/>
              <w:rPr>
                <w:sz w:val="16"/>
              </w:rPr>
            </w:pPr>
            <w:r>
              <w:rPr>
                <w:sz w:val="16"/>
              </w:rPr>
              <w:t>28,923,100</w:t>
            </w:r>
          </w:p>
        </w:tc>
        <w:tc>
          <w:tcPr>
            <w:tcW w:w="1181" w:type="dxa"/>
          </w:tcPr>
          <w:p>
            <w:pPr>
              <w:pStyle w:val="TableParagraph"/>
              <w:spacing w:before="26"/>
              <w:ind w:left="211"/>
              <w:rPr>
                <w:sz w:val="16"/>
              </w:rPr>
            </w:pPr>
            <w:r>
              <w:rPr>
                <w:sz w:val="16"/>
              </w:rPr>
              <w:t>38,766,503</w:t>
            </w:r>
          </w:p>
        </w:tc>
        <w:tc>
          <w:tcPr>
            <w:tcW w:w="1094" w:type="dxa"/>
          </w:tcPr>
          <w:p>
            <w:pPr>
              <w:pStyle w:val="TableParagraph"/>
              <w:spacing w:before="26"/>
              <w:ind w:right="88"/>
              <w:jc w:val="right"/>
              <w:rPr>
                <w:sz w:val="16"/>
              </w:rPr>
            </w:pPr>
            <w:r>
              <w:rPr>
                <w:w w:val="95"/>
                <w:sz w:val="16"/>
              </w:rPr>
              <w:t>40,786,619</w:t>
            </w:r>
          </w:p>
        </w:tc>
      </w:tr>
      <w:tr>
        <w:trPr>
          <w:trHeight w:val="254" w:hRule="exact"/>
        </w:trPr>
        <w:tc>
          <w:tcPr>
            <w:tcW w:w="4253" w:type="dxa"/>
          </w:tcPr>
          <w:p>
            <w:pPr>
              <w:pStyle w:val="TableParagraph"/>
              <w:spacing w:before="26"/>
              <w:ind w:left="103"/>
              <w:rPr>
                <w:sz w:val="16"/>
              </w:rPr>
            </w:pPr>
            <w:r>
              <w:rPr>
                <w:sz w:val="16"/>
              </w:rPr>
              <w:t>Paid between 61-90 days</w:t>
            </w:r>
          </w:p>
        </w:tc>
        <w:tc>
          <w:tcPr>
            <w:tcW w:w="1229" w:type="dxa"/>
          </w:tcPr>
          <w:p>
            <w:pPr>
              <w:pStyle w:val="TableParagraph"/>
              <w:spacing w:before="26"/>
              <w:ind w:left="352"/>
              <w:rPr>
                <w:sz w:val="16"/>
              </w:rPr>
            </w:pPr>
            <w:r>
              <w:rPr>
                <w:sz w:val="16"/>
              </w:rPr>
              <w:t>1,398,508</w:t>
            </w:r>
          </w:p>
        </w:tc>
        <w:tc>
          <w:tcPr>
            <w:tcW w:w="1087" w:type="dxa"/>
          </w:tcPr>
          <w:p>
            <w:pPr>
              <w:pStyle w:val="TableParagraph"/>
              <w:spacing w:before="26"/>
              <w:ind w:right="174"/>
              <w:jc w:val="right"/>
              <w:rPr>
                <w:sz w:val="16"/>
              </w:rPr>
            </w:pPr>
            <w:r>
              <w:rPr>
                <w:w w:val="95"/>
                <w:sz w:val="16"/>
              </w:rPr>
              <w:t>2,462,581</w:t>
            </w:r>
          </w:p>
        </w:tc>
        <w:tc>
          <w:tcPr>
            <w:tcW w:w="1181" w:type="dxa"/>
          </w:tcPr>
          <w:p>
            <w:pPr>
              <w:pStyle w:val="TableParagraph"/>
              <w:spacing w:before="26"/>
              <w:ind w:right="174"/>
              <w:jc w:val="right"/>
              <w:rPr>
                <w:sz w:val="16"/>
              </w:rPr>
            </w:pPr>
            <w:r>
              <w:rPr>
                <w:w w:val="95"/>
                <w:sz w:val="16"/>
              </w:rPr>
              <w:t>3,239,652</w:t>
            </w:r>
          </w:p>
        </w:tc>
        <w:tc>
          <w:tcPr>
            <w:tcW w:w="1094" w:type="dxa"/>
          </w:tcPr>
          <w:p>
            <w:pPr>
              <w:pStyle w:val="TableParagraph"/>
              <w:spacing w:before="26"/>
              <w:ind w:right="87"/>
              <w:jc w:val="right"/>
              <w:rPr>
                <w:sz w:val="16"/>
              </w:rPr>
            </w:pPr>
            <w:r>
              <w:rPr>
                <w:w w:val="95"/>
                <w:sz w:val="16"/>
              </w:rPr>
              <w:t>1,131,991</w:t>
            </w:r>
          </w:p>
        </w:tc>
      </w:tr>
      <w:tr>
        <w:trPr>
          <w:trHeight w:val="254" w:hRule="exact"/>
        </w:trPr>
        <w:tc>
          <w:tcPr>
            <w:tcW w:w="4253" w:type="dxa"/>
          </w:tcPr>
          <w:p>
            <w:pPr>
              <w:pStyle w:val="TableParagraph"/>
              <w:spacing w:before="26"/>
              <w:ind w:left="103"/>
              <w:rPr>
                <w:sz w:val="16"/>
              </w:rPr>
            </w:pPr>
            <w:r>
              <w:rPr>
                <w:sz w:val="16"/>
              </w:rPr>
              <w:t>Paid between 91-120 days</w:t>
            </w:r>
          </w:p>
        </w:tc>
        <w:tc>
          <w:tcPr>
            <w:tcW w:w="1229" w:type="dxa"/>
          </w:tcPr>
          <w:p>
            <w:pPr>
              <w:pStyle w:val="TableParagraph"/>
              <w:spacing w:before="26"/>
              <w:ind w:left="352"/>
              <w:rPr>
                <w:sz w:val="16"/>
              </w:rPr>
            </w:pPr>
            <w:r>
              <w:rPr>
                <w:sz w:val="16"/>
              </w:rPr>
              <w:t>1,199,832</w:t>
            </w:r>
          </w:p>
        </w:tc>
        <w:tc>
          <w:tcPr>
            <w:tcW w:w="1087" w:type="dxa"/>
          </w:tcPr>
          <w:p>
            <w:pPr>
              <w:pStyle w:val="TableParagraph"/>
              <w:spacing w:before="26"/>
              <w:ind w:right="174"/>
              <w:jc w:val="right"/>
              <w:rPr>
                <w:sz w:val="16"/>
              </w:rPr>
            </w:pPr>
            <w:r>
              <w:rPr>
                <w:w w:val="95"/>
                <w:sz w:val="16"/>
              </w:rPr>
              <w:t>686,760</w:t>
            </w:r>
          </w:p>
        </w:tc>
        <w:tc>
          <w:tcPr>
            <w:tcW w:w="1181" w:type="dxa"/>
          </w:tcPr>
          <w:p>
            <w:pPr>
              <w:pStyle w:val="TableParagraph"/>
              <w:spacing w:before="26"/>
              <w:ind w:right="174"/>
              <w:jc w:val="right"/>
              <w:rPr>
                <w:sz w:val="16"/>
              </w:rPr>
            </w:pPr>
            <w:r>
              <w:rPr>
                <w:w w:val="95"/>
                <w:sz w:val="16"/>
              </w:rPr>
              <w:t>858,530</w:t>
            </w:r>
          </w:p>
        </w:tc>
        <w:tc>
          <w:tcPr>
            <w:tcW w:w="1094" w:type="dxa"/>
          </w:tcPr>
          <w:p>
            <w:pPr>
              <w:pStyle w:val="TableParagraph"/>
              <w:spacing w:before="26"/>
              <w:ind w:right="87"/>
              <w:jc w:val="right"/>
              <w:rPr>
                <w:sz w:val="16"/>
              </w:rPr>
            </w:pPr>
            <w:r>
              <w:rPr>
                <w:w w:val="95"/>
                <w:sz w:val="16"/>
              </w:rPr>
              <w:t>624,649</w:t>
            </w:r>
          </w:p>
        </w:tc>
      </w:tr>
      <w:tr>
        <w:trPr>
          <w:trHeight w:val="254" w:hRule="exact"/>
        </w:trPr>
        <w:tc>
          <w:tcPr>
            <w:tcW w:w="4253" w:type="dxa"/>
          </w:tcPr>
          <w:p>
            <w:pPr>
              <w:pStyle w:val="TableParagraph"/>
              <w:spacing w:before="26"/>
              <w:ind w:left="103"/>
              <w:rPr>
                <w:sz w:val="16"/>
              </w:rPr>
            </w:pPr>
            <w:r>
              <w:rPr>
                <w:sz w:val="16"/>
              </w:rPr>
              <w:t>Paid more than 120 days</w:t>
            </w:r>
          </w:p>
        </w:tc>
        <w:tc>
          <w:tcPr>
            <w:tcW w:w="1229" w:type="dxa"/>
          </w:tcPr>
          <w:p>
            <w:pPr>
              <w:pStyle w:val="TableParagraph"/>
              <w:spacing w:before="26"/>
              <w:ind w:left="352"/>
              <w:rPr>
                <w:sz w:val="16"/>
              </w:rPr>
            </w:pPr>
            <w:r>
              <w:rPr>
                <w:sz w:val="16"/>
              </w:rPr>
              <w:t>1,855,353</w:t>
            </w:r>
          </w:p>
        </w:tc>
        <w:tc>
          <w:tcPr>
            <w:tcW w:w="1087" w:type="dxa"/>
          </w:tcPr>
          <w:p>
            <w:pPr>
              <w:pStyle w:val="TableParagraph"/>
              <w:spacing w:before="26"/>
              <w:ind w:right="174"/>
              <w:jc w:val="right"/>
              <w:rPr>
                <w:sz w:val="16"/>
              </w:rPr>
            </w:pPr>
            <w:r>
              <w:rPr>
                <w:w w:val="95"/>
                <w:sz w:val="16"/>
              </w:rPr>
              <w:t>1,540,374</w:t>
            </w:r>
          </w:p>
        </w:tc>
        <w:tc>
          <w:tcPr>
            <w:tcW w:w="1181" w:type="dxa"/>
          </w:tcPr>
          <w:p>
            <w:pPr>
              <w:pStyle w:val="TableParagraph"/>
              <w:spacing w:before="26"/>
              <w:ind w:right="174"/>
              <w:jc w:val="right"/>
              <w:rPr>
                <w:sz w:val="16"/>
              </w:rPr>
            </w:pPr>
            <w:r>
              <w:rPr>
                <w:w w:val="95"/>
                <w:sz w:val="16"/>
              </w:rPr>
              <w:t>814,831</w:t>
            </w:r>
          </w:p>
        </w:tc>
        <w:tc>
          <w:tcPr>
            <w:tcW w:w="1094" w:type="dxa"/>
          </w:tcPr>
          <w:p>
            <w:pPr>
              <w:pStyle w:val="TableParagraph"/>
              <w:spacing w:before="26"/>
              <w:ind w:right="86"/>
              <w:jc w:val="right"/>
              <w:rPr>
                <w:sz w:val="16"/>
              </w:rPr>
            </w:pPr>
            <w:r>
              <w:rPr>
                <w:w w:val="95"/>
                <w:sz w:val="16"/>
              </w:rPr>
              <w:t>575</w:t>
            </w:r>
          </w:p>
        </w:tc>
      </w:tr>
      <w:tr>
        <w:trPr>
          <w:trHeight w:val="375" w:hRule="exact"/>
        </w:trPr>
        <w:tc>
          <w:tcPr>
            <w:tcW w:w="4253" w:type="dxa"/>
          </w:tcPr>
          <w:p>
            <w:pPr>
              <w:pStyle w:val="TableParagraph"/>
              <w:spacing w:before="26"/>
              <w:ind w:left="103"/>
              <w:rPr>
                <w:b/>
                <w:sz w:val="16"/>
              </w:rPr>
            </w:pPr>
            <w:r>
              <w:rPr>
                <w:b/>
                <w:sz w:val="16"/>
              </w:rPr>
              <w:t>Total</w:t>
            </w:r>
          </w:p>
        </w:tc>
        <w:tc>
          <w:tcPr>
            <w:tcW w:w="1229" w:type="dxa"/>
          </w:tcPr>
          <w:p>
            <w:pPr>
              <w:pStyle w:val="TableParagraph"/>
              <w:spacing w:before="26"/>
              <w:ind w:left="175"/>
              <w:rPr>
                <w:b/>
                <w:sz w:val="16"/>
              </w:rPr>
            </w:pPr>
            <w:r>
              <w:rPr>
                <w:b/>
                <w:sz w:val="16"/>
              </w:rPr>
              <w:t>110,415,778</w:t>
            </w:r>
          </w:p>
        </w:tc>
        <w:tc>
          <w:tcPr>
            <w:tcW w:w="1087" w:type="dxa"/>
          </w:tcPr>
          <w:p>
            <w:pPr>
              <w:pStyle w:val="TableParagraph"/>
              <w:spacing w:before="26"/>
              <w:ind w:left="117"/>
              <w:rPr>
                <w:b/>
                <w:sz w:val="16"/>
              </w:rPr>
            </w:pPr>
            <w:r>
              <w:rPr>
                <w:b/>
                <w:sz w:val="16"/>
              </w:rPr>
              <w:t>94,511,490</w:t>
            </w:r>
          </w:p>
        </w:tc>
        <w:tc>
          <w:tcPr>
            <w:tcW w:w="1181" w:type="dxa"/>
          </w:tcPr>
          <w:p>
            <w:pPr>
              <w:pStyle w:val="TableParagraph"/>
              <w:spacing w:before="26"/>
              <w:ind w:left="122"/>
              <w:rPr>
                <w:b/>
                <w:sz w:val="16"/>
              </w:rPr>
            </w:pPr>
            <w:r>
              <w:rPr>
                <w:b/>
                <w:sz w:val="16"/>
              </w:rPr>
              <w:t>102,265,248</w:t>
            </w:r>
          </w:p>
        </w:tc>
        <w:tc>
          <w:tcPr>
            <w:tcW w:w="1094" w:type="dxa"/>
          </w:tcPr>
          <w:p>
            <w:pPr>
              <w:pStyle w:val="TableParagraph"/>
              <w:spacing w:before="26"/>
              <w:ind w:right="89"/>
              <w:jc w:val="right"/>
              <w:rPr>
                <w:b/>
                <w:sz w:val="16"/>
              </w:rPr>
            </w:pPr>
            <w:r>
              <w:rPr>
                <w:b/>
                <w:sz w:val="16"/>
              </w:rPr>
              <w:t>121,324,376</w:t>
            </w:r>
          </w:p>
        </w:tc>
      </w:tr>
      <w:tr>
        <w:trPr>
          <w:trHeight w:val="392" w:hRule="exact"/>
        </w:trPr>
        <w:tc>
          <w:tcPr>
            <w:tcW w:w="4253" w:type="dxa"/>
          </w:tcPr>
          <w:p>
            <w:pPr>
              <w:pStyle w:val="TableParagraph"/>
              <w:spacing w:before="145"/>
              <w:ind w:left="106"/>
              <w:rPr>
                <w:b/>
                <w:sz w:val="18"/>
              </w:rPr>
            </w:pPr>
            <w:r>
              <w:rPr>
                <w:b/>
                <w:sz w:val="17"/>
              </w:rPr>
              <w:t>2. </w:t>
            </w:r>
            <w:r>
              <w:rPr>
                <w:b/>
                <w:sz w:val="18"/>
              </w:rPr>
              <w:t>Accounts Paid on Time</w:t>
            </w:r>
          </w:p>
        </w:tc>
        <w:tc>
          <w:tcPr>
            <w:tcW w:w="1229" w:type="dxa"/>
          </w:tcPr>
          <w:p>
            <w:pPr/>
          </w:p>
        </w:tc>
        <w:tc>
          <w:tcPr>
            <w:tcW w:w="1087" w:type="dxa"/>
          </w:tcPr>
          <w:p>
            <w:pPr/>
          </w:p>
        </w:tc>
        <w:tc>
          <w:tcPr>
            <w:tcW w:w="1181" w:type="dxa"/>
          </w:tcPr>
          <w:p>
            <w:pPr/>
          </w:p>
        </w:tc>
        <w:tc>
          <w:tcPr>
            <w:tcW w:w="1094" w:type="dxa"/>
          </w:tcPr>
          <w:p>
            <w:pPr/>
          </w:p>
        </w:tc>
      </w:tr>
      <w:tr>
        <w:trPr>
          <w:trHeight w:val="221" w:hRule="exact"/>
        </w:trPr>
        <w:tc>
          <w:tcPr>
            <w:tcW w:w="4253" w:type="dxa"/>
          </w:tcPr>
          <w:p>
            <w:pPr>
              <w:pStyle w:val="TableParagraph"/>
              <w:spacing w:before="22"/>
              <w:ind w:left="103"/>
              <w:rPr>
                <w:sz w:val="16"/>
              </w:rPr>
            </w:pPr>
            <w:r>
              <w:rPr>
                <w:sz w:val="16"/>
              </w:rPr>
              <w:t>Target percentage of accounts paid on time</w:t>
            </w:r>
          </w:p>
        </w:tc>
        <w:tc>
          <w:tcPr>
            <w:tcW w:w="1229" w:type="dxa"/>
          </w:tcPr>
          <w:p>
            <w:pPr>
              <w:pStyle w:val="TableParagraph"/>
              <w:spacing w:before="22"/>
              <w:ind w:right="116"/>
              <w:jc w:val="right"/>
              <w:rPr>
                <w:sz w:val="16"/>
              </w:rPr>
            </w:pPr>
            <w:r>
              <w:rPr>
                <w:w w:val="95"/>
                <w:sz w:val="16"/>
              </w:rPr>
              <w:t>100.0%</w:t>
            </w:r>
          </w:p>
        </w:tc>
        <w:tc>
          <w:tcPr>
            <w:tcW w:w="1087" w:type="dxa"/>
          </w:tcPr>
          <w:p>
            <w:pPr>
              <w:pStyle w:val="TableParagraph"/>
              <w:spacing w:before="22"/>
              <w:ind w:right="121"/>
              <w:jc w:val="right"/>
              <w:rPr>
                <w:sz w:val="16"/>
              </w:rPr>
            </w:pPr>
            <w:r>
              <w:rPr>
                <w:w w:val="95"/>
                <w:sz w:val="16"/>
              </w:rPr>
              <w:t>100.0%</w:t>
            </w:r>
          </w:p>
        </w:tc>
        <w:tc>
          <w:tcPr>
            <w:tcW w:w="1181" w:type="dxa"/>
          </w:tcPr>
          <w:p>
            <w:pPr>
              <w:pStyle w:val="TableParagraph"/>
              <w:spacing w:before="22"/>
              <w:ind w:right="121"/>
              <w:jc w:val="right"/>
              <w:rPr>
                <w:sz w:val="16"/>
              </w:rPr>
            </w:pPr>
            <w:r>
              <w:rPr>
                <w:w w:val="95"/>
                <w:sz w:val="16"/>
              </w:rPr>
              <w:t>100.0%</w:t>
            </w:r>
          </w:p>
        </w:tc>
        <w:tc>
          <w:tcPr>
            <w:tcW w:w="1094" w:type="dxa"/>
          </w:tcPr>
          <w:p>
            <w:pPr>
              <w:pStyle w:val="TableParagraph"/>
              <w:spacing w:before="22"/>
              <w:ind w:right="34"/>
              <w:jc w:val="right"/>
              <w:rPr>
                <w:sz w:val="16"/>
              </w:rPr>
            </w:pPr>
            <w:r>
              <w:rPr>
                <w:w w:val="95"/>
                <w:sz w:val="16"/>
              </w:rPr>
              <w:t>100.0%</w:t>
            </w:r>
          </w:p>
        </w:tc>
      </w:tr>
      <w:tr>
        <w:trPr>
          <w:trHeight w:val="283" w:hRule="exact"/>
        </w:trPr>
        <w:tc>
          <w:tcPr>
            <w:tcW w:w="4253" w:type="dxa"/>
          </w:tcPr>
          <w:p>
            <w:pPr>
              <w:pStyle w:val="TableParagraph"/>
              <w:spacing w:before="10"/>
              <w:ind w:left="103"/>
              <w:rPr>
                <w:sz w:val="10"/>
              </w:rPr>
            </w:pPr>
            <w:r>
              <w:rPr>
                <w:sz w:val="16"/>
              </w:rPr>
              <w:t>Actual percentage of accounts paid on time</w:t>
            </w:r>
            <w:r>
              <w:rPr>
                <w:position w:val="8"/>
                <w:sz w:val="10"/>
              </w:rPr>
              <w:t>#</w:t>
            </w:r>
          </w:p>
        </w:tc>
        <w:tc>
          <w:tcPr>
            <w:tcW w:w="1229" w:type="dxa"/>
          </w:tcPr>
          <w:p>
            <w:pPr>
              <w:pStyle w:val="TableParagraph"/>
              <w:spacing w:before="55"/>
              <w:ind w:right="115"/>
              <w:jc w:val="right"/>
              <w:rPr>
                <w:sz w:val="16"/>
              </w:rPr>
            </w:pPr>
            <w:r>
              <w:rPr>
                <w:sz w:val="16"/>
              </w:rPr>
              <w:t>74.0%</w:t>
            </w:r>
          </w:p>
        </w:tc>
        <w:tc>
          <w:tcPr>
            <w:tcW w:w="1087" w:type="dxa"/>
          </w:tcPr>
          <w:p>
            <w:pPr>
              <w:pStyle w:val="TableParagraph"/>
              <w:spacing w:before="55"/>
              <w:ind w:right="120"/>
              <w:jc w:val="right"/>
              <w:rPr>
                <w:sz w:val="16"/>
              </w:rPr>
            </w:pPr>
            <w:r>
              <w:rPr>
                <w:sz w:val="16"/>
              </w:rPr>
              <w:t>64.4%</w:t>
            </w:r>
          </w:p>
        </w:tc>
        <w:tc>
          <w:tcPr>
            <w:tcW w:w="1181" w:type="dxa"/>
          </w:tcPr>
          <w:p>
            <w:pPr>
              <w:pStyle w:val="TableParagraph"/>
              <w:spacing w:before="55"/>
              <w:ind w:right="120"/>
              <w:jc w:val="right"/>
              <w:rPr>
                <w:sz w:val="16"/>
              </w:rPr>
            </w:pPr>
            <w:r>
              <w:rPr>
                <w:sz w:val="16"/>
              </w:rPr>
              <w:t>57.3%</w:t>
            </w:r>
          </w:p>
        </w:tc>
        <w:tc>
          <w:tcPr>
            <w:tcW w:w="1094" w:type="dxa"/>
          </w:tcPr>
          <w:p>
            <w:pPr>
              <w:pStyle w:val="TableParagraph"/>
              <w:spacing w:before="55"/>
              <w:ind w:right="33"/>
              <w:jc w:val="right"/>
              <w:rPr>
                <w:sz w:val="16"/>
              </w:rPr>
            </w:pPr>
            <w:r>
              <w:rPr>
                <w:sz w:val="16"/>
              </w:rPr>
              <w:t>64.9%</w:t>
            </w:r>
          </w:p>
        </w:tc>
      </w:tr>
      <w:tr>
        <w:trPr>
          <w:trHeight w:val="254" w:hRule="exact"/>
        </w:trPr>
        <w:tc>
          <w:tcPr>
            <w:tcW w:w="4253" w:type="dxa"/>
          </w:tcPr>
          <w:p>
            <w:pPr>
              <w:pStyle w:val="TableParagraph"/>
              <w:spacing w:before="26"/>
              <w:ind w:left="103"/>
              <w:rPr>
                <w:sz w:val="16"/>
              </w:rPr>
            </w:pPr>
            <w:r>
              <w:rPr>
                <w:sz w:val="16"/>
              </w:rPr>
              <w:t>Total dollar amount of accounts paid on time</w:t>
            </w:r>
          </w:p>
        </w:tc>
        <w:tc>
          <w:tcPr>
            <w:tcW w:w="1229" w:type="dxa"/>
          </w:tcPr>
          <w:p>
            <w:pPr>
              <w:pStyle w:val="TableParagraph"/>
              <w:spacing w:before="26"/>
              <w:ind w:left="264"/>
              <w:rPr>
                <w:sz w:val="16"/>
              </w:rPr>
            </w:pPr>
            <w:r>
              <w:rPr>
                <w:sz w:val="16"/>
              </w:rPr>
              <w:t>81,654,501</w:t>
            </w:r>
          </w:p>
        </w:tc>
        <w:tc>
          <w:tcPr>
            <w:tcW w:w="1087" w:type="dxa"/>
          </w:tcPr>
          <w:p>
            <w:pPr>
              <w:pStyle w:val="TableParagraph"/>
              <w:spacing w:before="26"/>
              <w:ind w:left="117"/>
              <w:rPr>
                <w:sz w:val="16"/>
              </w:rPr>
            </w:pPr>
            <w:r>
              <w:rPr>
                <w:sz w:val="16"/>
              </w:rPr>
              <w:t>60,898,674</w:t>
            </w:r>
          </w:p>
        </w:tc>
        <w:tc>
          <w:tcPr>
            <w:tcW w:w="1181" w:type="dxa"/>
          </w:tcPr>
          <w:p>
            <w:pPr>
              <w:pStyle w:val="TableParagraph"/>
              <w:spacing w:before="26"/>
              <w:ind w:left="211"/>
              <w:rPr>
                <w:sz w:val="16"/>
              </w:rPr>
            </w:pPr>
            <w:r>
              <w:rPr>
                <w:sz w:val="16"/>
              </w:rPr>
              <w:t>58,585,732</w:t>
            </w:r>
          </w:p>
        </w:tc>
        <w:tc>
          <w:tcPr>
            <w:tcW w:w="1094" w:type="dxa"/>
          </w:tcPr>
          <w:p>
            <w:pPr>
              <w:pStyle w:val="TableParagraph"/>
              <w:spacing w:before="26"/>
              <w:ind w:right="88"/>
              <w:jc w:val="right"/>
              <w:rPr>
                <w:sz w:val="16"/>
              </w:rPr>
            </w:pPr>
            <w:r>
              <w:rPr>
                <w:w w:val="95"/>
                <w:sz w:val="16"/>
              </w:rPr>
              <w:t>78,780,542</w:t>
            </w:r>
          </w:p>
        </w:tc>
      </w:tr>
      <w:tr>
        <w:trPr>
          <w:trHeight w:val="361" w:hRule="exact"/>
        </w:trPr>
        <w:tc>
          <w:tcPr>
            <w:tcW w:w="4253" w:type="dxa"/>
          </w:tcPr>
          <w:p>
            <w:pPr>
              <w:pStyle w:val="TableParagraph"/>
              <w:spacing w:before="26"/>
              <w:ind w:left="103"/>
              <w:rPr>
                <w:b/>
                <w:sz w:val="16"/>
              </w:rPr>
            </w:pPr>
            <w:r>
              <w:rPr>
                <w:b/>
                <w:sz w:val="16"/>
              </w:rPr>
              <w:t>Total dollar amount of accounts paid</w:t>
            </w:r>
          </w:p>
        </w:tc>
        <w:tc>
          <w:tcPr>
            <w:tcW w:w="1229" w:type="dxa"/>
          </w:tcPr>
          <w:p>
            <w:pPr>
              <w:pStyle w:val="TableParagraph"/>
              <w:spacing w:before="26"/>
              <w:ind w:left="176"/>
              <w:rPr>
                <w:b/>
                <w:sz w:val="16"/>
              </w:rPr>
            </w:pPr>
            <w:r>
              <w:rPr>
                <w:b/>
                <w:sz w:val="16"/>
              </w:rPr>
              <w:t>110,415,778</w:t>
            </w:r>
          </w:p>
        </w:tc>
        <w:tc>
          <w:tcPr>
            <w:tcW w:w="1087" w:type="dxa"/>
          </w:tcPr>
          <w:p>
            <w:pPr>
              <w:pStyle w:val="TableParagraph"/>
              <w:spacing w:before="26"/>
              <w:ind w:left="117"/>
              <w:rPr>
                <w:b/>
                <w:sz w:val="16"/>
              </w:rPr>
            </w:pPr>
            <w:r>
              <w:rPr>
                <w:b/>
                <w:sz w:val="16"/>
              </w:rPr>
              <w:t>94,511,490</w:t>
            </w:r>
          </w:p>
        </w:tc>
        <w:tc>
          <w:tcPr>
            <w:tcW w:w="1181" w:type="dxa"/>
          </w:tcPr>
          <w:p>
            <w:pPr>
              <w:pStyle w:val="TableParagraph"/>
              <w:spacing w:before="26"/>
              <w:ind w:left="122"/>
              <w:rPr>
                <w:b/>
                <w:sz w:val="16"/>
              </w:rPr>
            </w:pPr>
            <w:r>
              <w:rPr>
                <w:b/>
                <w:sz w:val="16"/>
              </w:rPr>
              <w:t>102,265,248</w:t>
            </w:r>
          </w:p>
        </w:tc>
        <w:tc>
          <w:tcPr>
            <w:tcW w:w="1094" w:type="dxa"/>
          </w:tcPr>
          <w:p>
            <w:pPr>
              <w:pStyle w:val="TableParagraph"/>
              <w:spacing w:before="26"/>
              <w:ind w:right="89"/>
              <w:jc w:val="right"/>
              <w:rPr>
                <w:b/>
                <w:sz w:val="16"/>
              </w:rPr>
            </w:pPr>
            <w:r>
              <w:rPr>
                <w:b/>
                <w:sz w:val="16"/>
              </w:rPr>
              <w:t>121,324,376</w:t>
            </w:r>
          </w:p>
        </w:tc>
      </w:tr>
      <w:tr>
        <w:trPr>
          <w:trHeight w:val="427" w:hRule="exact"/>
        </w:trPr>
        <w:tc>
          <w:tcPr>
            <w:tcW w:w="4253" w:type="dxa"/>
          </w:tcPr>
          <w:p>
            <w:pPr>
              <w:pStyle w:val="TableParagraph"/>
              <w:spacing w:before="7"/>
              <w:rPr>
                <w:sz w:val="12"/>
              </w:rPr>
            </w:pPr>
          </w:p>
          <w:p>
            <w:pPr>
              <w:pStyle w:val="TableParagraph"/>
              <w:ind w:left="94"/>
              <w:rPr>
                <w:sz w:val="14"/>
              </w:rPr>
            </w:pPr>
            <w:r>
              <w:rPr>
                <w:position w:val="7"/>
                <w:sz w:val="9"/>
              </w:rPr>
              <w:t># </w:t>
            </w:r>
            <w:r>
              <w:rPr>
                <w:sz w:val="14"/>
              </w:rPr>
              <w:t>based on invoice date, not date received in Accounts  Payable.</w:t>
            </w:r>
          </w:p>
        </w:tc>
        <w:tc>
          <w:tcPr>
            <w:tcW w:w="1229" w:type="dxa"/>
          </w:tcPr>
          <w:p>
            <w:pPr/>
          </w:p>
        </w:tc>
        <w:tc>
          <w:tcPr>
            <w:tcW w:w="1087" w:type="dxa"/>
          </w:tcPr>
          <w:p>
            <w:pPr/>
          </w:p>
        </w:tc>
        <w:tc>
          <w:tcPr>
            <w:tcW w:w="1181" w:type="dxa"/>
          </w:tcPr>
          <w:p>
            <w:pPr/>
          </w:p>
        </w:tc>
        <w:tc>
          <w:tcPr>
            <w:tcW w:w="1094" w:type="dxa"/>
          </w:tcPr>
          <w:p>
            <w:pPr/>
          </w:p>
        </w:tc>
      </w:tr>
    </w:tbl>
    <w:p>
      <w:pPr>
        <w:pStyle w:val="BodyText"/>
      </w:pPr>
    </w:p>
    <w:p>
      <w:pPr>
        <w:pStyle w:val="BodyText"/>
      </w:pPr>
    </w:p>
    <w:p>
      <w:pPr>
        <w:pStyle w:val="BodyText"/>
        <w:spacing w:before="7"/>
        <w:rPr>
          <w:sz w:val="14"/>
        </w:rPr>
      </w:pPr>
    </w:p>
    <w:p>
      <w:pPr>
        <w:pStyle w:val="Heading3"/>
        <w:spacing w:before="0"/>
        <w:ind w:left="209" w:right="113"/>
      </w:pPr>
      <w:r>
        <w:rPr/>
        <w:t>Investment Portfolio Performance - 2017</w:t>
      </w:r>
    </w:p>
    <w:p>
      <w:pPr>
        <w:pStyle w:val="BodyText"/>
        <w:spacing w:before="5"/>
        <w:rPr>
          <w:b/>
          <w:sz w:val="26"/>
        </w:rPr>
      </w:pPr>
    </w:p>
    <w:p>
      <w:pPr>
        <w:pStyle w:val="BodyText"/>
        <w:spacing w:line="266" w:lineRule="auto" w:before="77"/>
        <w:ind w:left="207" w:right="238"/>
      </w:pPr>
      <w:r>
        <w:rPr/>
        <w:t>The University had $107.9 million in investments at 31 December 2017 ($98.2 million at 31 December 2016). The University did not apply for any new investments in the Acadian Australian Equity High Yield Fund during 2017. The underperformance of the Acadian fund during 2017 is as a result of improved performance of higher risk and higher volatility sectors such as energy and materials to which the Acadian strategy has a lower exposure. The result has also been affected by the underperformance of some lower volatility sectors such as consumer staples, consumer discretionary and telecoms to which the Acadian strategy has a higher exposure. On an annualised basis the return since inception is 13.08% compared to the benchmark of 12.54%.</w:t>
      </w:r>
    </w:p>
    <w:p>
      <w:pPr>
        <w:pStyle w:val="BodyText"/>
        <w:spacing w:line="266" w:lineRule="auto"/>
        <w:ind w:left="207" w:right="238"/>
      </w:pPr>
      <w:r>
        <w:rPr/>
        <w:t>Distributions received were re-invested. Some units (total $1.2 million) of the fixed income portfolio managed by JBWere matured or were sold by the University during 2017. The University applied for new investments for the same value also during 2017. Investment performance of the fixed income portfolio was satisfactory and exceeded benchmark.  Distributions received were re-invested.</w:t>
      </w:r>
    </w:p>
    <w:p>
      <w:pPr>
        <w:pStyle w:val="BodyText"/>
        <w:spacing w:before="4" w:after="1"/>
        <w:rPr>
          <w:sz w:val="26"/>
        </w:rPr>
      </w:pPr>
    </w:p>
    <w:tbl>
      <w:tblPr>
        <w:tblW w:w="0" w:type="auto"/>
        <w:jc w:val="left"/>
        <w:tblInd w:w="1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34"/>
        <w:gridCol w:w="763"/>
        <w:gridCol w:w="787"/>
        <w:gridCol w:w="781"/>
        <w:gridCol w:w="769"/>
        <w:gridCol w:w="798"/>
        <w:gridCol w:w="753"/>
        <w:gridCol w:w="798"/>
        <w:gridCol w:w="752"/>
      </w:tblGrid>
      <w:tr>
        <w:trPr>
          <w:trHeight w:val="178" w:hRule="exact"/>
        </w:trPr>
        <w:tc>
          <w:tcPr>
            <w:tcW w:w="2734" w:type="dxa"/>
            <w:tcBorders>
              <w:bottom w:val="single" w:sz="5" w:space="0" w:color="000000"/>
              <w:right w:val="single" w:sz="5" w:space="0" w:color="000000"/>
            </w:tcBorders>
          </w:tcPr>
          <w:p>
            <w:pPr/>
          </w:p>
        </w:tc>
        <w:tc>
          <w:tcPr>
            <w:tcW w:w="1550" w:type="dxa"/>
            <w:gridSpan w:val="2"/>
            <w:tcBorders>
              <w:top w:val="single" w:sz="5" w:space="0" w:color="000000"/>
              <w:left w:val="single" w:sz="5" w:space="0" w:color="000000"/>
              <w:bottom w:val="single" w:sz="5" w:space="0" w:color="000000"/>
              <w:right w:val="single" w:sz="5" w:space="0" w:color="000000"/>
            </w:tcBorders>
          </w:tcPr>
          <w:p>
            <w:pPr>
              <w:pStyle w:val="TableParagraph"/>
              <w:spacing w:before="3"/>
              <w:ind w:left="11"/>
              <w:jc w:val="center"/>
              <w:rPr>
                <w:rFonts w:ascii="Calibri"/>
                <w:b/>
                <w:sz w:val="13"/>
              </w:rPr>
            </w:pPr>
            <w:r>
              <w:rPr>
                <w:rFonts w:ascii="Calibri"/>
                <w:b/>
                <w:w w:val="105"/>
                <w:sz w:val="13"/>
              </w:rPr>
              <w:t>2017</w:t>
            </w:r>
          </w:p>
        </w:tc>
        <w:tc>
          <w:tcPr>
            <w:tcW w:w="1550" w:type="dxa"/>
            <w:gridSpan w:val="2"/>
            <w:tcBorders>
              <w:top w:val="single" w:sz="5" w:space="0" w:color="000000"/>
              <w:left w:val="single" w:sz="5" w:space="0" w:color="000000"/>
              <w:bottom w:val="single" w:sz="5" w:space="0" w:color="000000"/>
              <w:right w:val="single" w:sz="5" w:space="0" w:color="000000"/>
            </w:tcBorders>
          </w:tcPr>
          <w:p>
            <w:pPr>
              <w:pStyle w:val="TableParagraph"/>
              <w:spacing w:before="3"/>
              <w:ind w:left="11"/>
              <w:jc w:val="center"/>
              <w:rPr>
                <w:rFonts w:ascii="Calibri"/>
                <w:b/>
                <w:sz w:val="13"/>
              </w:rPr>
            </w:pPr>
            <w:r>
              <w:rPr>
                <w:rFonts w:ascii="Calibri"/>
                <w:b/>
                <w:w w:val="105"/>
                <w:sz w:val="13"/>
              </w:rPr>
              <w:t>2016</w:t>
            </w:r>
          </w:p>
        </w:tc>
        <w:tc>
          <w:tcPr>
            <w:tcW w:w="1550" w:type="dxa"/>
            <w:gridSpan w:val="2"/>
            <w:tcBorders>
              <w:top w:val="single" w:sz="5" w:space="0" w:color="000000"/>
              <w:left w:val="single" w:sz="5" w:space="0" w:color="000000"/>
              <w:bottom w:val="single" w:sz="5" w:space="0" w:color="000000"/>
              <w:right w:val="single" w:sz="5" w:space="0" w:color="000000"/>
            </w:tcBorders>
          </w:tcPr>
          <w:p>
            <w:pPr>
              <w:pStyle w:val="TableParagraph"/>
              <w:spacing w:before="3"/>
              <w:ind w:left="11"/>
              <w:jc w:val="center"/>
              <w:rPr>
                <w:rFonts w:ascii="Calibri"/>
                <w:b/>
                <w:sz w:val="13"/>
              </w:rPr>
            </w:pPr>
            <w:r>
              <w:rPr>
                <w:rFonts w:ascii="Calibri"/>
                <w:b/>
                <w:w w:val="105"/>
                <w:sz w:val="13"/>
              </w:rPr>
              <w:t>2015</w:t>
            </w:r>
          </w:p>
        </w:tc>
        <w:tc>
          <w:tcPr>
            <w:tcW w:w="1550" w:type="dxa"/>
            <w:gridSpan w:val="2"/>
            <w:tcBorders>
              <w:top w:val="single" w:sz="5" w:space="0" w:color="000000"/>
              <w:left w:val="single" w:sz="5" w:space="0" w:color="000000"/>
              <w:bottom w:val="single" w:sz="5" w:space="0" w:color="000000"/>
              <w:right w:val="single" w:sz="5" w:space="0" w:color="000000"/>
            </w:tcBorders>
          </w:tcPr>
          <w:p>
            <w:pPr>
              <w:pStyle w:val="TableParagraph"/>
              <w:spacing w:before="3"/>
              <w:ind w:left="11"/>
              <w:jc w:val="center"/>
              <w:rPr>
                <w:rFonts w:ascii="Calibri"/>
                <w:b/>
                <w:sz w:val="13"/>
              </w:rPr>
            </w:pPr>
            <w:r>
              <w:rPr>
                <w:rFonts w:ascii="Calibri"/>
                <w:b/>
                <w:w w:val="105"/>
                <w:sz w:val="13"/>
              </w:rPr>
              <w:t>2014</w:t>
            </w:r>
          </w:p>
        </w:tc>
      </w:tr>
      <w:tr>
        <w:trPr>
          <w:trHeight w:val="533" w:hRule="exact"/>
        </w:trPr>
        <w:tc>
          <w:tcPr>
            <w:tcW w:w="2734" w:type="dxa"/>
            <w:tcBorders>
              <w:top w:val="single" w:sz="5" w:space="0" w:color="000000"/>
              <w:left w:val="single" w:sz="5" w:space="0" w:color="000000"/>
              <w:bottom w:val="single" w:sz="5" w:space="0" w:color="000000"/>
              <w:right w:val="single" w:sz="5" w:space="0" w:color="000000"/>
            </w:tcBorders>
          </w:tcPr>
          <w:p>
            <w:pPr>
              <w:pStyle w:val="TableParagraph"/>
              <w:spacing w:before="10"/>
              <w:rPr>
                <w:sz w:val="15"/>
              </w:rPr>
            </w:pPr>
          </w:p>
          <w:p>
            <w:pPr>
              <w:pStyle w:val="TableParagraph"/>
              <w:spacing w:before="1"/>
              <w:ind w:left="19"/>
              <w:rPr>
                <w:rFonts w:ascii="Calibri"/>
                <w:b/>
                <w:sz w:val="13"/>
              </w:rPr>
            </w:pPr>
            <w:r>
              <w:rPr>
                <w:rFonts w:ascii="Calibri"/>
                <w:b/>
                <w:w w:val="105"/>
                <w:sz w:val="13"/>
              </w:rPr>
              <w:t>Fund</w:t>
            </w:r>
          </w:p>
        </w:tc>
        <w:tc>
          <w:tcPr>
            <w:tcW w:w="1550" w:type="dxa"/>
            <w:gridSpan w:val="2"/>
            <w:tcBorders>
              <w:top w:val="single" w:sz="5" w:space="0" w:color="000000"/>
              <w:left w:val="single" w:sz="5" w:space="0" w:color="000000"/>
              <w:bottom w:val="single" w:sz="5" w:space="0" w:color="000000"/>
              <w:right w:val="single" w:sz="5" w:space="0" w:color="000000"/>
            </w:tcBorders>
          </w:tcPr>
          <w:p>
            <w:pPr>
              <w:pStyle w:val="TableParagraph"/>
              <w:tabs>
                <w:tab w:pos="775" w:val="left" w:leader="none"/>
              </w:tabs>
              <w:spacing w:before="6"/>
              <w:ind w:left="141"/>
              <w:jc w:val="center"/>
              <w:rPr>
                <w:rFonts w:ascii="Calibri"/>
                <w:b/>
                <w:sz w:val="13"/>
              </w:rPr>
            </w:pPr>
            <w:r>
              <w:rPr>
                <w:rFonts w:ascii="Calibri"/>
                <w:b/>
                <w:w w:val="105"/>
                <w:sz w:val="13"/>
              </w:rPr>
              <w:t>Actual</w:t>
              <w:tab/>
              <w:t>Benchmark</w:t>
            </w:r>
          </w:p>
          <w:p>
            <w:pPr>
              <w:pStyle w:val="TableParagraph"/>
              <w:tabs>
                <w:tab w:pos="775" w:val="left" w:leader="none"/>
              </w:tabs>
              <w:spacing w:before="19"/>
              <w:jc w:val="center"/>
              <w:rPr>
                <w:rFonts w:ascii="Calibri"/>
                <w:b/>
                <w:sz w:val="13"/>
              </w:rPr>
            </w:pPr>
            <w:r>
              <w:rPr>
                <w:rFonts w:ascii="Calibri"/>
                <w:b/>
                <w:w w:val="105"/>
                <w:sz w:val="13"/>
              </w:rPr>
              <w:t>Return</w:t>
              <w:tab/>
              <w:t>Return</w:t>
            </w:r>
          </w:p>
          <w:p>
            <w:pPr>
              <w:pStyle w:val="TableParagraph"/>
              <w:tabs>
                <w:tab w:pos="774" w:val="left" w:leader="none"/>
              </w:tabs>
              <w:spacing w:before="19"/>
              <w:ind w:left="1"/>
              <w:jc w:val="center"/>
              <w:rPr>
                <w:rFonts w:ascii="Calibri"/>
                <w:b/>
                <w:sz w:val="13"/>
              </w:rPr>
            </w:pPr>
            <w:r>
              <w:rPr>
                <w:rFonts w:ascii="Calibri"/>
                <w:b/>
                <w:w w:val="105"/>
                <w:sz w:val="13"/>
              </w:rPr>
              <w:t>%</w:t>
              <w:tab/>
              <w:t>%</w:t>
            </w:r>
          </w:p>
        </w:tc>
        <w:tc>
          <w:tcPr>
            <w:tcW w:w="1550" w:type="dxa"/>
            <w:gridSpan w:val="2"/>
            <w:tcBorders>
              <w:top w:val="single" w:sz="5" w:space="0" w:color="000000"/>
              <w:left w:val="single" w:sz="5" w:space="0" w:color="000000"/>
              <w:bottom w:val="single" w:sz="5" w:space="0" w:color="000000"/>
              <w:right w:val="single" w:sz="5" w:space="0" w:color="000000"/>
            </w:tcBorders>
          </w:tcPr>
          <w:p>
            <w:pPr>
              <w:pStyle w:val="TableParagraph"/>
              <w:tabs>
                <w:tab w:pos="775" w:val="left" w:leader="none"/>
              </w:tabs>
              <w:spacing w:before="6"/>
              <w:ind w:left="142"/>
              <w:jc w:val="center"/>
              <w:rPr>
                <w:rFonts w:ascii="Calibri"/>
                <w:b/>
                <w:sz w:val="13"/>
              </w:rPr>
            </w:pPr>
            <w:r>
              <w:rPr>
                <w:rFonts w:ascii="Calibri"/>
                <w:b/>
                <w:w w:val="105"/>
                <w:sz w:val="13"/>
              </w:rPr>
              <w:t>Actual</w:t>
              <w:tab/>
              <w:t>Benchmark</w:t>
            </w:r>
          </w:p>
          <w:p>
            <w:pPr>
              <w:pStyle w:val="TableParagraph"/>
              <w:tabs>
                <w:tab w:pos="775" w:val="left" w:leader="none"/>
              </w:tabs>
              <w:spacing w:before="19"/>
              <w:jc w:val="center"/>
              <w:rPr>
                <w:rFonts w:ascii="Calibri"/>
                <w:b/>
                <w:sz w:val="13"/>
              </w:rPr>
            </w:pPr>
            <w:r>
              <w:rPr>
                <w:rFonts w:ascii="Calibri"/>
                <w:b/>
                <w:w w:val="105"/>
                <w:sz w:val="13"/>
              </w:rPr>
              <w:t>Return</w:t>
              <w:tab/>
              <w:t>Return</w:t>
            </w:r>
          </w:p>
          <w:p>
            <w:pPr>
              <w:pStyle w:val="TableParagraph"/>
              <w:tabs>
                <w:tab w:pos="774" w:val="left" w:leader="none"/>
              </w:tabs>
              <w:spacing w:before="19"/>
              <w:ind w:left="1"/>
              <w:jc w:val="center"/>
              <w:rPr>
                <w:rFonts w:ascii="Calibri"/>
                <w:b/>
                <w:sz w:val="13"/>
              </w:rPr>
            </w:pPr>
            <w:r>
              <w:rPr>
                <w:rFonts w:ascii="Calibri"/>
                <w:b/>
                <w:w w:val="105"/>
                <w:sz w:val="13"/>
              </w:rPr>
              <w:t>%</w:t>
              <w:tab/>
              <w:t>%</w:t>
            </w:r>
          </w:p>
        </w:tc>
        <w:tc>
          <w:tcPr>
            <w:tcW w:w="1550" w:type="dxa"/>
            <w:gridSpan w:val="2"/>
            <w:tcBorders>
              <w:top w:val="single" w:sz="5" w:space="0" w:color="000000"/>
              <w:left w:val="single" w:sz="5" w:space="0" w:color="000000"/>
              <w:bottom w:val="single" w:sz="5" w:space="0" w:color="000000"/>
              <w:right w:val="single" w:sz="5" w:space="0" w:color="000000"/>
            </w:tcBorders>
          </w:tcPr>
          <w:p>
            <w:pPr>
              <w:pStyle w:val="TableParagraph"/>
              <w:tabs>
                <w:tab w:pos="775" w:val="left" w:leader="none"/>
              </w:tabs>
              <w:spacing w:before="6"/>
              <w:ind w:left="142"/>
              <w:jc w:val="center"/>
              <w:rPr>
                <w:rFonts w:ascii="Calibri"/>
                <w:b/>
                <w:sz w:val="13"/>
              </w:rPr>
            </w:pPr>
            <w:r>
              <w:rPr>
                <w:rFonts w:ascii="Calibri"/>
                <w:b/>
                <w:w w:val="105"/>
                <w:sz w:val="13"/>
              </w:rPr>
              <w:t>Actual</w:t>
              <w:tab/>
              <w:t>Benchmark</w:t>
            </w:r>
          </w:p>
          <w:p>
            <w:pPr>
              <w:pStyle w:val="TableParagraph"/>
              <w:tabs>
                <w:tab w:pos="775" w:val="left" w:leader="none"/>
              </w:tabs>
              <w:spacing w:before="19"/>
              <w:jc w:val="center"/>
              <w:rPr>
                <w:rFonts w:ascii="Calibri"/>
                <w:b/>
                <w:sz w:val="13"/>
              </w:rPr>
            </w:pPr>
            <w:r>
              <w:rPr>
                <w:rFonts w:ascii="Calibri"/>
                <w:b/>
                <w:w w:val="105"/>
                <w:sz w:val="13"/>
              </w:rPr>
              <w:t>Return</w:t>
              <w:tab/>
              <w:t>Return</w:t>
            </w:r>
          </w:p>
          <w:p>
            <w:pPr>
              <w:pStyle w:val="TableParagraph"/>
              <w:tabs>
                <w:tab w:pos="774" w:val="left" w:leader="none"/>
              </w:tabs>
              <w:spacing w:before="19"/>
              <w:ind w:left="1"/>
              <w:jc w:val="center"/>
              <w:rPr>
                <w:rFonts w:ascii="Calibri"/>
                <w:b/>
                <w:sz w:val="13"/>
              </w:rPr>
            </w:pPr>
            <w:r>
              <w:rPr>
                <w:rFonts w:ascii="Calibri"/>
                <w:b/>
                <w:w w:val="105"/>
                <w:sz w:val="13"/>
              </w:rPr>
              <w:t>%</w:t>
              <w:tab/>
              <w:t>%</w:t>
            </w:r>
          </w:p>
        </w:tc>
        <w:tc>
          <w:tcPr>
            <w:tcW w:w="1550" w:type="dxa"/>
            <w:gridSpan w:val="2"/>
            <w:tcBorders>
              <w:top w:val="single" w:sz="5" w:space="0" w:color="000000"/>
              <w:left w:val="single" w:sz="5" w:space="0" w:color="000000"/>
              <w:bottom w:val="single" w:sz="5" w:space="0" w:color="000000"/>
              <w:right w:val="single" w:sz="5" w:space="0" w:color="000000"/>
            </w:tcBorders>
          </w:tcPr>
          <w:p>
            <w:pPr>
              <w:pStyle w:val="TableParagraph"/>
              <w:tabs>
                <w:tab w:pos="775" w:val="left" w:leader="none"/>
              </w:tabs>
              <w:spacing w:before="6"/>
              <w:ind w:left="142"/>
              <w:jc w:val="center"/>
              <w:rPr>
                <w:rFonts w:ascii="Calibri"/>
                <w:b/>
                <w:sz w:val="13"/>
              </w:rPr>
            </w:pPr>
            <w:r>
              <w:rPr>
                <w:rFonts w:ascii="Calibri"/>
                <w:b/>
                <w:w w:val="105"/>
                <w:sz w:val="13"/>
              </w:rPr>
              <w:t>Actual</w:t>
              <w:tab/>
              <w:t>Benchmark</w:t>
            </w:r>
          </w:p>
          <w:p>
            <w:pPr>
              <w:pStyle w:val="TableParagraph"/>
              <w:tabs>
                <w:tab w:pos="775" w:val="left" w:leader="none"/>
              </w:tabs>
              <w:spacing w:before="19"/>
              <w:jc w:val="center"/>
              <w:rPr>
                <w:rFonts w:ascii="Calibri"/>
                <w:b/>
                <w:sz w:val="13"/>
              </w:rPr>
            </w:pPr>
            <w:r>
              <w:rPr>
                <w:rFonts w:ascii="Calibri"/>
                <w:b/>
                <w:w w:val="105"/>
                <w:sz w:val="13"/>
              </w:rPr>
              <w:t>Return</w:t>
              <w:tab/>
              <w:t>Return</w:t>
            </w:r>
          </w:p>
          <w:p>
            <w:pPr>
              <w:pStyle w:val="TableParagraph"/>
              <w:tabs>
                <w:tab w:pos="774" w:val="left" w:leader="none"/>
              </w:tabs>
              <w:spacing w:before="19"/>
              <w:ind w:left="2"/>
              <w:jc w:val="center"/>
              <w:rPr>
                <w:rFonts w:ascii="Calibri"/>
                <w:b/>
                <w:sz w:val="13"/>
              </w:rPr>
            </w:pPr>
            <w:r>
              <w:rPr>
                <w:rFonts w:ascii="Calibri"/>
                <w:b/>
                <w:w w:val="105"/>
                <w:sz w:val="13"/>
              </w:rPr>
              <w:t>%</w:t>
              <w:tab/>
              <w:t>%</w:t>
            </w:r>
          </w:p>
        </w:tc>
      </w:tr>
      <w:tr>
        <w:trPr>
          <w:trHeight w:val="184" w:hRule="exact"/>
        </w:trPr>
        <w:tc>
          <w:tcPr>
            <w:tcW w:w="2734" w:type="dxa"/>
            <w:tcBorders>
              <w:top w:val="single" w:sz="5" w:space="0" w:color="000000"/>
              <w:left w:val="single" w:sz="5" w:space="0" w:color="000000"/>
              <w:right w:val="single" w:sz="5" w:space="0" w:color="000000"/>
            </w:tcBorders>
          </w:tcPr>
          <w:p>
            <w:pPr>
              <w:pStyle w:val="TableParagraph"/>
              <w:spacing w:before="5"/>
              <w:ind w:left="19"/>
              <w:rPr>
                <w:rFonts w:ascii="Calibri" w:hAnsi="Calibri"/>
                <w:b/>
                <w:i/>
                <w:sz w:val="13"/>
              </w:rPr>
            </w:pPr>
            <w:r>
              <w:rPr>
                <w:rFonts w:ascii="Calibri" w:hAnsi="Calibri"/>
                <w:b/>
                <w:i/>
                <w:w w:val="105"/>
                <w:sz w:val="13"/>
              </w:rPr>
              <w:t>Other Financial Assets ‐ Non‐current</w:t>
            </w:r>
          </w:p>
        </w:tc>
        <w:tc>
          <w:tcPr>
            <w:tcW w:w="763" w:type="dxa"/>
            <w:tcBorders>
              <w:top w:val="single" w:sz="5" w:space="0" w:color="000000"/>
              <w:left w:val="single" w:sz="5" w:space="0" w:color="000000"/>
            </w:tcBorders>
          </w:tcPr>
          <w:p>
            <w:pPr/>
          </w:p>
        </w:tc>
        <w:tc>
          <w:tcPr>
            <w:tcW w:w="787" w:type="dxa"/>
            <w:tcBorders>
              <w:top w:val="single" w:sz="5" w:space="0" w:color="000000"/>
              <w:right w:val="single" w:sz="5" w:space="0" w:color="000000"/>
            </w:tcBorders>
          </w:tcPr>
          <w:p>
            <w:pPr/>
          </w:p>
        </w:tc>
        <w:tc>
          <w:tcPr>
            <w:tcW w:w="781" w:type="dxa"/>
            <w:tcBorders>
              <w:top w:val="single" w:sz="5" w:space="0" w:color="000000"/>
              <w:left w:val="single" w:sz="5" w:space="0" w:color="000000"/>
            </w:tcBorders>
          </w:tcPr>
          <w:p>
            <w:pPr/>
          </w:p>
        </w:tc>
        <w:tc>
          <w:tcPr>
            <w:tcW w:w="769" w:type="dxa"/>
            <w:tcBorders>
              <w:top w:val="single" w:sz="5" w:space="0" w:color="000000"/>
              <w:right w:val="single" w:sz="5" w:space="0" w:color="000000"/>
            </w:tcBorders>
          </w:tcPr>
          <w:p>
            <w:pPr/>
          </w:p>
        </w:tc>
        <w:tc>
          <w:tcPr>
            <w:tcW w:w="798" w:type="dxa"/>
            <w:tcBorders>
              <w:top w:val="single" w:sz="5" w:space="0" w:color="000000"/>
              <w:left w:val="single" w:sz="5" w:space="0" w:color="000000"/>
            </w:tcBorders>
          </w:tcPr>
          <w:p>
            <w:pPr/>
          </w:p>
        </w:tc>
        <w:tc>
          <w:tcPr>
            <w:tcW w:w="753" w:type="dxa"/>
            <w:tcBorders>
              <w:top w:val="single" w:sz="5" w:space="0" w:color="000000"/>
              <w:right w:val="single" w:sz="5" w:space="0" w:color="000000"/>
            </w:tcBorders>
          </w:tcPr>
          <w:p>
            <w:pPr/>
          </w:p>
        </w:tc>
        <w:tc>
          <w:tcPr>
            <w:tcW w:w="798" w:type="dxa"/>
            <w:tcBorders>
              <w:top w:val="single" w:sz="5" w:space="0" w:color="000000"/>
              <w:left w:val="single" w:sz="5" w:space="0" w:color="000000"/>
            </w:tcBorders>
          </w:tcPr>
          <w:p>
            <w:pPr/>
          </w:p>
        </w:tc>
        <w:tc>
          <w:tcPr>
            <w:tcW w:w="752" w:type="dxa"/>
            <w:tcBorders>
              <w:top w:val="single" w:sz="5" w:space="0" w:color="000000"/>
              <w:right w:val="single" w:sz="5" w:space="0" w:color="000000"/>
            </w:tcBorders>
          </w:tcPr>
          <w:p>
            <w:pPr/>
          </w:p>
        </w:tc>
      </w:tr>
      <w:tr>
        <w:trPr>
          <w:trHeight w:val="203" w:hRule="exact"/>
        </w:trPr>
        <w:tc>
          <w:tcPr>
            <w:tcW w:w="2734" w:type="dxa"/>
            <w:tcBorders>
              <w:left w:val="single" w:sz="5" w:space="0" w:color="000000"/>
              <w:right w:val="single" w:sz="5" w:space="0" w:color="000000"/>
            </w:tcBorders>
          </w:tcPr>
          <w:p>
            <w:pPr>
              <w:pStyle w:val="TableParagraph"/>
              <w:spacing w:line="185" w:lineRule="exact"/>
              <w:ind w:left="19"/>
              <w:rPr>
                <w:rFonts w:ascii="Calibri"/>
                <w:sz w:val="9"/>
              </w:rPr>
            </w:pPr>
            <w:r>
              <w:rPr>
                <w:rFonts w:ascii="Calibri"/>
                <w:w w:val="105"/>
                <w:sz w:val="13"/>
              </w:rPr>
              <w:t>Acadian Australian Equity High Yield Fund </w:t>
            </w:r>
            <w:r>
              <w:rPr>
                <w:rFonts w:ascii="Calibri"/>
                <w:w w:val="105"/>
                <w:position w:val="7"/>
                <w:sz w:val="9"/>
              </w:rPr>
              <w:t>4</w:t>
            </w:r>
          </w:p>
        </w:tc>
        <w:tc>
          <w:tcPr>
            <w:tcW w:w="763" w:type="dxa"/>
            <w:tcBorders>
              <w:left w:val="single" w:sz="5" w:space="0" w:color="000000"/>
            </w:tcBorders>
          </w:tcPr>
          <w:p>
            <w:pPr>
              <w:pStyle w:val="TableParagraph"/>
              <w:spacing w:before="29"/>
              <w:ind w:left="196" w:right="181"/>
              <w:jc w:val="center"/>
              <w:rPr>
                <w:rFonts w:ascii="Calibri"/>
                <w:sz w:val="13"/>
              </w:rPr>
            </w:pPr>
            <w:r>
              <w:rPr>
                <w:rFonts w:ascii="Calibri"/>
                <w:w w:val="105"/>
                <w:sz w:val="13"/>
              </w:rPr>
              <w:t>7.55%</w:t>
            </w:r>
          </w:p>
        </w:tc>
        <w:tc>
          <w:tcPr>
            <w:tcW w:w="787" w:type="dxa"/>
            <w:tcBorders>
              <w:right w:val="single" w:sz="5" w:space="0" w:color="000000"/>
            </w:tcBorders>
          </w:tcPr>
          <w:p>
            <w:pPr>
              <w:pStyle w:val="TableParagraph"/>
              <w:spacing w:before="29"/>
              <w:ind w:left="180" w:right="151"/>
              <w:jc w:val="center"/>
              <w:rPr>
                <w:rFonts w:ascii="Calibri"/>
                <w:sz w:val="13"/>
              </w:rPr>
            </w:pPr>
            <w:r>
              <w:rPr>
                <w:rFonts w:ascii="Calibri"/>
                <w:w w:val="105"/>
                <w:sz w:val="13"/>
              </w:rPr>
              <w:t>13.53%</w:t>
            </w:r>
          </w:p>
        </w:tc>
        <w:tc>
          <w:tcPr>
            <w:tcW w:w="781" w:type="dxa"/>
            <w:tcBorders>
              <w:left w:val="single" w:sz="5" w:space="0" w:color="000000"/>
            </w:tcBorders>
          </w:tcPr>
          <w:p>
            <w:pPr>
              <w:pStyle w:val="TableParagraph"/>
              <w:spacing w:before="29"/>
              <w:ind w:left="163" w:right="163"/>
              <w:jc w:val="center"/>
              <w:rPr>
                <w:rFonts w:ascii="Calibri"/>
                <w:sz w:val="13"/>
              </w:rPr>
            </w:pPr>
            <w:r>
              <w:rPr>
                <w:rFonts w:ascii="Calibri"/>
                <w:w w:val="105"/>
                <w:sz w:val="13"/>
              </w:rPr>
              <w:t>11.41%</w:t>
            </w:r>
          </w:p>
        </w:tc>
        <w:tc>
          <w:tcPr>
            <w:tcW w:w="769" w:type="dxa"/>
            <w:tcBorders>
              <w:right w:val="single" w:sz="5" w:space="0" w:color="000000"/>
            </w:tcBorders>
          </w:tcPr>
          <w:p>
            <w:pPr>
              <w:pStyle w:val="TableParagraph"/>
              <w:spacing w:before="29"/>
              <w:ind w:left="162" w:right="151"/>
              <w:jc w:val="center"/>
              <w:rPr>
                <w:rFonts w:ascii="Calibri"/>
                <w:sz w:val="13"/>
              </w:rPr>
            </w:pPr>
            <w:r>
              <w:rPr>
                <w:rFonts w:ascii="Calibri"/>
                <w:w w:val="105"/>
                <w:sz w:val="13"/>
              </w:rPr>
              <w:t>13.40%</w:t>
            </w:r>
          </w:p>
        </w:tc>
        <w:tc>
          <w:tcPr>
            <w:tcW w:w="798" w:type="dxa"/>
            <w:tcBorders>
              <w:left w:val="single" w:sz="5" w:space="0" w:color="000000"/>
            </w:tcBorders>
          </w:tcPr>
          <w:p>
            <w:pPr>
              <w:pStyle w:val="TableParagraph"/>
              <w:spacing w:before="29"/>
              <w:ind w:left="163" w:right="179"/>
              <w:jc w:val="center"/>
              <w:rPr>
                <w:rFonts w:ascii="Calibri"/>
                <w:sz w:val="13"/>
              </w:rPr>
            </w:pPr>
            <w:r>
              <w:rPr>
                <w:rFonts w:ascii="Calibri"/>
                <w:w w:val="105"/>
                <w:sz w:val="13"/>
              </w:rPr>
              <w:t>10.38%</w:t>
            </w:r>
          </w:p>
        </w:tc>
        <w:tc>
          <w:tcPr>
            <w:tcW w:w="753" w:type="dxa"/>
            <w:tcBorders>
              <w:right w:val="single" w:sz="5" w:space="0" w:color="000000"/>
            </w:tcBorders>
          </w:tcPr>
          <w:p>
            <w:pPr>
              <w:pStyle w:val="TableParagraph"/>
              <w:spacing w:before="29"/>
              <w:ind w:left="181" w:right="185"/>
              <w:jc w:val="center"/>
              <w:rPr>
                <w:rFonts w:ascii="Calibri"/>
                <w:sz w:val="13"/>
              </w:rPr>
            </w:pPr>
            <w:r>
              <w:rPr>
                <w:rFonts w:ascii="Calibri"/>
                <w:w w:val="105"/>
                <w:sz w:val="13"/>
              </w:rPr>
              <w:t>4.40%</w:t>
            </w:r>
          </w:p>
        </w:tc>
        <w:tc>
          <w:tcPr>
            <w:tcW w:w="798" w:type="dxa"/>
            <w:tcBorders>
              <w:left w:val="single" w:sz="5" w:space="0" w:color="000000"/>
            </w:tcBorders>
          </w:tcPr>
          <w:p>
            <w:pPr>
              <w:pStyle w:val="TableParagraph"/>
              <w:spacing w:before="29"/>
              <w:ind w:left="164" w:right="178"/>
              <w:jc w:val="center"/>
              <w:rPr>
                <w:rFonts w:ascii="Calibri"/>
                <w:sz w:val="13"/>
              </w:rPr>
            </w:pPr>
            <w:r>
              <w:rPr>
                <w:rFonts w:ascii="Calibri"/>
                <w:w w:val="105"/>
                <w:sz w:val="13"/>
              </w:rPr>
              <w:t>12.01%</w:t>
            </w:r>
          </w:p>
        </w:tc>
        <w:tc>
          <w:tcPr>
            <w:tcW w:w="752" w:type="dxa"/>
            <w:tcBorders>
              <w:right w:val="single" w:sz="5" w:space="0" w:color="000000"/>
            </w:tcBorders>
          </w:tcPr>
          <w:p>
            <w:pPr>
              <w:pStyle w:val="TableParagraph"/>
              <w:spacing w:before="29"/>
              <w:ind w:left="181" w:right="185"/>
              <w:jc w:val="center"/>
              <w:rPr>
                <w:rFonts w:ascii="Calibri"/>
                <w:sz w:val="13"/>
              </w:rPr>
            </w:pPr>
            <w:r>
              <w:rPr>
                <w:rFonts w:ascii="Calibri"/>
                <w:w w:val="105"/>
                <w:sz w:val="13"/>
              </w:rPr>
              <w:t>6.90%</w:t>
            </w:r>
          </w:p>
        </w:tc>
      </w:tr>
      <w:tr>
        <w:trPr>
          <w:trHeight w:val="204" w:hRule="exact"/>
        </w:trPr>
        <w:tc>
          <w:tcPr>
            <w:tcW w:w="2734" w:type="dxa"/>
            <w:tcBorders>
              <w:left w:val="single" w:sz="5" w:space="0" w:color="000000"/>
              <w:right w:val="single" w:sz="5" w:space="0" w:color="000000"/>
            </w:tcBorders>
          </w:tcPr>
          <w:p>
            <w:pPr>
              <w:pStyle w:val="TableParagraph"/>
              <w:spacing w:line="186" w:lineRule="exact"/>
              <w:ind w:left="19"/>
              <w:rPr>
                <w:rFonts w:ascii="Calibri" w:hAnsi="Calibri"/>
                <w:sz w:val="9"/>
              </w:rPr>
            </w:pPr>
            <w:r>
              <w:rPr>
                <w:rFonts w:ascii="Calibri" w:hAnsi="Calibri"/>
                <w:w w:val="105"/>
                <w:sz w:val="13"/>
              </w:rPr>
              <w:t>Held To Maturity ‐ JB Were </w:t>
            </w:r>
            <w:r>
              <w:rPr>
                <w:rFonts w:ascii="Calibri" w:hAnsi="Calibri"/>
                <w:w w:val="105"/>
                <w:position w:val="7"/>
                <w:sz w:val="9"/>
              </w:rPr>
              <w:t>5</w:t>
            </w:r>
          </w:p>
        </w:tc>
        <w:tc>
          <w:tcPr>
            <w:tcW w:w="763" w:type="dxa"/>
            <w:tcBorders>
              <w:left w:val="single" w:sz="5" w:space="0" w:color="000000"/>
            </w:tcBorders>
          </w:tcPr>
          <w:p>
            <w:pPr>
              <w:pStyle w:val="TableParagraph"/>
              <w:spacing w:before="30"/>
              <w:ind w:left="196" w:right="181"/>
              <w:jc w:val="center"/>
              <w:rPr>
                <w:rFonts w:ascii="Calibri"/>
                <w:sz w:val="13"/>
              </w:rPr>
            </w:pPr>
            <w:r>
              <w:rPr>
                <w:rFonts w:ascii="Calibri"/>
                <w:w w:val="105"/>
                <w:sz w:val="13"/>
              </w:rPr>
              <w:t>3.40%</w:t>
            </w:r>
          </w:p>
        </w:tc>
        <w:tc>
          <w:tcPr>
            <w:tcW w:w="787" w:type="dxa"/>
            <w:tcBorders>
              <w:right w:val="single" w:sz="5" w:space="0" w:color="000000"/>
            </w:tcBorders>
          </w:tcPr>
          <w:p>
            <w:pPr>
              <w:pStyle w:val="TableParagraph"/>
              <w:spacing w:before="30"/>
              <w:ind w:left="178" w:right="151"/>
              <w:jc w:val="center"/>
              <w:rPr>
                <w:rFonts w:ascii="Calibri"/>
                <w:sz w:val="13"/>
              </w:rPr>
            </w:pPr>
            <w:r>
              <w:rPr>
                <w:rFonts w:ascii="Calibri"/>
                <w:w w:val="105"/>
                <w:sz w:val="13"/>
              </w:rPr>
              <w:t>1.75%</w:t>
            </w:r>
          </w:p>
        </w:tc>
        <w:tc>
          <w:tcPr>
            <w:tcW w:w="781" w:type="dxa"/>
            <w:tcBorders>
              <w:left w:val="single" w:sz="5" w:space="0" w:color="000000"/>
            </w:tcBorders>
          </w:tcPr>
          <w:p>
            <w:pPr>
              <w:pStyle w:val="TableParagraph"/>
              <w:spacing w:before="30"/>
              <w:ind w:left="163" w:right="163"/>
              <w:jc w:val="center"/>
              <w:rPr>
                <w:rFonts w:ascii="Calibri"/>
                <w:sz w:val="13"/>
              </w:rPr>
            </w:pPr>
            <w:r>
              <w:rPr>
                <w:rFonts w:ascii="Calibri"/>
                <w:w w:val="105"/>
                <w:sz w:val="13"/>
              </w:rPr>
              <w:t>3.50%</w:t>
            </w:r>
          </w:p>
        </w:tc>
        <w:tc>
          <w:tcPr>
            <w:tcW w:w="769" w:type="dxa"/>
            <w:tcBorders>
              <w:right w:val="single" w:sz="5" w:space="0" w:color="000000"/>
            </w:tcBorders>
          </w:tcPr>
          <w:p>
            <w:pPr>
              <w:pStyle w:val="TableParagraph"/>
              <w:spacing w:before="30"/>
              <w:ind w:left="160" w:right="151"/>
              <w:jc w:val="center"/>
              <w:rPr>
                <w:rFonts w:ascii="Calibri"/>
                <w:sz w:val="13"/>
              </w:rPr>
            </w:pPr>
            <w:r>
              <w:rPr>
                <w:rFonts w:ascii="Calibri"/>
                <w:w w:val="105"/>
                <w:sz w:val="13"/>
              </w:rPr>
              <w:t>2.07%</w:t>
            </w:r>
          </w:p>
        </w:tc>
        <w:tc>
          <w:tcPr>
            <w:tcW w:w="798" w:type="dxa"/>
            <w:tcBorders>
              <w:left w:val="single" w:sz="5" w:space="0" w:color="000000"/>
            </w:tcBorders>
          </w:tcPr>
          <w:p>
            <w:pPr>
              <w:pStyle w:val="TableParagraph"/>
              <w:spacing w:before="30"/>
              <w:ind w:left="162" w:right="179"/>
              <w:jc w:val="center"/>
              <w:rPr>
                <w:rFonts w:ascii="Calibri"/>
                <w:sz w:val="13"/>
              </w:rPr>
            </w:pPr>
            <w:r>
              <w:rPr>
                <w:rFonts w:ascii="Calibri"/>
                <w:w w:val="105"/>
                <w:sz w:val="13"/>
              </w:rPr>
              <w:t>4.04%</w:t>
            </w:r>
          </w:p>
        </w:tc>
        <w:tc>
          <w:tcPr>
            <w:tcW w:w="753" w:type="dxa"/>
            <w:tcBorders>
              <w:right w:val="single" w:sz="5" w:space="0" w:color="000000"/>
            </w:tcBorders>
          </w:tcPr>
          <w:p>
            <w:pPr>
              <w:pStyle w:val="TableParagraph"/>
              <w:spacing w:before="30"/>
              <w:ind w:left="181" w:right="185"/>
              <w:jc w:val="center"/>
              <w:rPr>
                <w:rFonts w:ascii="Calibri"/>
                <w:sz w:val="13"/>
              </w:rPr>
            </w:pPr>
            <w:r>
              <w:rPr>
                <w:rFonts w:ascii="Calibri"/>
                <w:w w:val="105"/>
                <w:sz w:val="13"/>
              </w:rPr>
              <w:t>2.33%</w:t>
            </w:r>
          </w:p>
        </w:tc>
        <w:tc>
          <w:tcPr>
            <w:tcW w:w="798" w:type="dxa"/>
            <w:tcBorders>
              <w:left w:val="single" w:sz="5" w:space="0" w:color="000000"/>
            </w:tcBorders>
          </w:tcPr>
          <w:p>
            <w:pPr>
              <w:pStyle w:val="TableParagraph"/>
              <w:spacing w:before="30"/>
              <w:ind w:left="162" w:right="178"/>
              <w:jc w:val="center"/>
              <w:rPr>
                <w:rFonts w:ascii="Calibri"/>
                <w:sz w:val="13"/>
              </w:rPr>
            </w:pPr>
            <w:r>
              <w:rPr>
                <w:rFonts w:ascii="Calibri"/>
                <w:w w:val="105"/>
                <w:sz w:val="13"/>
              </w:rPr>
              <w:t>4.76%</w:t>
            </w:r>
          </w:p>
        </w:tc>
        <w:tc>
          <w:tcPr>
            <w:tcW w:w="752" w:type="dxa"/>
            <w:tcBorders>
              <w:right w:val="single" w:sz="5" w:space="0" w:color="000000"/>
            </w:tcBorders>
          </w:tcPr>
          <w:p>
            <w:pPr>
              <w:pStyle w:val="TableParagraph"/>
              <w:spacing w:before="30"/>
              <w:ind w:left="181" w:right="185"/>
              <w:jc w:val="center"/>
              <w:rPr>
                <w:rFonts w:ascii="Calibri"/>
                <w:sz w:val="13"/>
              </w:rPr>
            </w:pPr>
            <w:r>
              <w:rPr>
                <w:rFonts w:ascii="Calibri"/>
                <w:w w:val="105"/>
                <w:sz w:val="13"/>
              </w:rPr>
              <w:t>2.69%</w:t>
            </w:r>
          </w:p>
        </w:tc>
      </w:tr>
      <w:tr>
        <w:trPr>
          <w:trHeight w:val="376" w:hRule="exact"/>
        </w:trPr>
        <w:tc>
          <w:tcPr>
            <w:tcW w:w="2734" w:type="dxa"/>
            <w:tcBorders>
              <w:left w:val="single" w:sz="5" w:space="0" w:color="000000"/>
              <w:bottom w:val="single" w:sz="5" w:space="0" w:color="000000"/>
              <w:right w:val="single" w:sz="5" w:space="0" w:color="000000"/>
            </w:tcBorders>
          </w:tcPr>
          <w:p>
            <w:pPr>
              <w:pStyle w:val="TableParagraph"/>
              <w:spacing w:line="186" w:lineRule="exact"/>
              <w:ind w:left="19"/>
              <w:rPr>
                <w:rFonts w:ascii="Calibri"/>
                <w:sz w:val="9"/>
              </w:rPr>
            </w:pPr>
            <w:r>
              <w:rPr>
                <w:rFonts w:ascii="Calibri"/>
                <w:w w:val="105"/>
                <w:sz w:val="13"/>
              </w:rPr>
              <w:t>Unlisted Securities </w:t>
            </w:r>
            <w:r>
              <w:rPr>
                <w:rFonts w:ascii="Calibri"/>
                <w:w w:val="105"/>
                <w:position w:val="7"/>
                <w:sz w:val="9"/>
              </w:rPr>
              <w:t>6</w:t>
            </w:r>
          </w:p>
        </w:tc>
        <w:tc>
          <w:tcPr>
            <w:tcW w:w="763" w:type="dxa"/>
            <w:tcBorders>
              <w:left w:val="single" w:sz="5" w:space="0" w:color="000000"/>
              <w:bottom w:val="single" w:sz="5" w:space="0" w:color="000000"/>
            </w:tcBorders>
          </w:tcPr>
          <w:p>
            <w:pPr>
              <w:pStyle w:val="TableParagraph"/>
              <w:spacing w:before="30"/>
              <w:ind w:right="41"/>
              <w:jc w:val="center"/>
              <w:rPr>
                <w:rFonts w:ascii="Calibri" w:hAnsi="Calibri"/>
                <w:sz w:val="13"/>
              </w:rPr>
            </w:pPr>
            <w:r>
              <w:rPr>
                <w:rFonts w:ascii="Calibri" w:hAnsi="Calibri"/>
                <w:w w:val="105"/>
                <w:sz w:val="13"/>
              </w:rPr>
              <w:t>‐</w:t>
            </w:r>
          </w:p>
        </w:tc>
        <w:tc>
          <w:tcPr>
            <w:tcW w:w="787" w:type="dxa"/>
            <w:tcBorders>
              <w:bottom w:val="single" w:sz="5" w:space="0" w:color="000000"/>
              <w:right w:val="single" w:sz="5" w:space="0" w:color="000000"/>
            </w:tcBorders>
          </w:tcPr>
          <w:p>
            <w:pPr>
              <w:pStyle w:val="TableParagraph"/>
              <w:spacing w:before="30"/>
              <w:ind w:right="29"/>
              <w:jc w:val="center"/>
              <w:rPr>
                <w:rFonts w:ascii="Calibri" w:hAnsi="Calibri"/>
                <w:sz w:val="13"/>
              </w:rPr>
            </w:pPr>
            <w:r>
              <w:rPr>
                <w:rFonts w:ascii="Calibri" w:hAnsi="Calibri"/>
                <w:w w:val="105"/>
                <w:sz w:val="13"/>
              </w:rPr>
              <w:t>‐</w:t>
            </w:r>
          </w:p>
        </w:tc>
        <w:tc>
          <w:tcPr>
            <w:tcW w:w="781" w:type="dxa"/>
            <w:tcBorders>
              <w:left w:val="single" w:sz="5" w:space="0" w:color="000000"/>
              <w:bottom w:val="single" w:sz="5" w:space="0" w:color="000000"/>
            </w:tcBorders>
          </w:tcPr>
          <w:p>
            <w:pPr>
              <w:pStyle w:val="TableParagraph"/>
              <w:spacing w:before="30"/>
              <w:ind w:right="59"/>
              <w:jc w:val="center"/>
              <w:rPr>
                <w:rFonts w:ascii="Calibri" w:hAnsi="Calibri"/>
                <w:sz w:val="13"/>
              </w:rPr>
            </w:pPr>
            <w:r>
              <w:rPr>
                <w:rFonts w:ascii="Calibri" w:hAnsi="Calibri"/>
                <w:w w:val="105"/>
                <w:sz w:val="13"/>
              </w:rPr>
              <w:t>‐</w:t>
            </w:r>
          </w:p>
        </w:tc>
        <w:tc>
          <w:tcPr>
            <w:tcW w:w="769" w:type="dxa"/>
            <w:tcBorders>
              <w:bottom w:val="single" w:sz="5" w:space="0" w:color="000000"/>
              <w:right w:val="single" w:sz="5" w:space="0" w:color="000000"/>
            </w:tcBorders>
          </w:tcPr>
          <w:p>
            <w:pPr>
              <w:pStyle w:val="TableParagraph"/>
              <w:spacing w:before="30"/>
              <w:ind w:right="47"/>
              <w:jc w:val="center"/>
              <w:rPr>
                <w:rFonts w:ascii="Calibri" w:hAnsi="Calibri"/>
                <w:sz w:val="13"/>
              </w:rPr>
            </w:pPr>
            <w:r>
              <w:rPr>
                <w:rFonts w:ascii="Calibri" w:hAnsi="Calibri"/>
                <w:w w:val="105"/>
                <w:sz w:val="13"/>
              </w:rPr>
              <w:t>‐</w:t>
            </w:r>
          </w:p>
        </w:tc>
        <w:tc>
          <w:tcPr>
            <w:tcW w:w="798" w:type="dxa"/>
            <w:tcBorders>
              <w:left w:val="single" w:sz="5" w:space="0" w:color="000000"/>
              <w:bottom w:val="single" w:sz="5" w:space="0" w:color="000000"/>
            </w:tcBorders>
          </w:tcPr>
          <w:p>
            <w:pPr>
              <w:pStyle w:val="TableParagraph"/>
              <w:spacing w:before="30"/>
              <w:ind w:right="76"/>
              <w:jc w:val="center"/>
              <w:rPr>
                <w:rFonts w:ascii="Calibri" w:hAnsi="Calibri"/>
                <w:sz w:val="13"/>
              </w:rPr>
            </w:pPr>
            <w:r>
              <w:rPr>
                <w:rFonts w:ascii="Calibri" w:hAnsi="Calibri"/>
                <w:w w:val="105"/>
                <w:sz w:val="13"/>
              </w:rPr>
              <w:t>‐</w:t>
            </w:r>
          </w:p>
        </w:tc>
        <w:tc>
          <w:tcPr>
            <w:tcW w:w="753" w:type="dxa"/>
            <w:tcBorders>
              <w:bottom w:val="single" w:sz="5" w:space="0" w:color="000000"/>
              <w:right w:val="single" w:sz="5" w:space="0" w:color="000000"/>
            </w:tcBorders>
          </w:tcPr>
          <w:p>
            <w:pPr>
              <w:pStyle w:val="TableParagraph"/>
              <w:spacing w:before="30"/>
              <w:ind w:right="64"/>
              <w:jc w:val="center"/>
              <w:rPr>
                <w:rFonts w:ascii="Calibri" w:hAnsi="Calibri"/>
                <w:sz w:val="13"/>
              </w:rPr>
            </w:pPr>
            <w:r>
              <w:rPr>
                <w:rFonts w:ascii="Calibri" w:hAnsi="Calibri"/>
                <w:w w:val="105"/>
                <w:sz w:val="13"/>
              </w:rPr>
              <w:t>‐</w:t>
            </w:r>
          </w:p>
        </w:tc>
        <w:tc>
          <w:tcPr>
            <w:tcW w:w="798" w:type="dxa"/>
            <w:tcBorders>
              <w:left w:val="single" w:sz="5" w:space="0" w:color="000000"/>
              <w:bottom w:val="single" w:sz="5" w:space="0" w:color="000000"/>
            </w:tcBorders>
          </w:tcPr>
          <w:p>
            <w:pPr>
              <w:pStyle w:val="TableParagraph"/>
              <w:spacing w:before="30"/>
              <w:ind w:right="77"/>
              <w:jc w:val="center"/>
              <w:rPr>
                <w:rFonts w:ascii="Calibri" w:hAnsi="Calibri"/>
                <w:sz w:val="13"/>
              </w:rPr>
            </w:pPr>
            <w:r>
              <w:rPr>
                <w:rFonts w:ascii="Calibri" w:hAnsi="Calibri"/>
                <w:w w:val="105"/>
                <w:sz w:val="13"/>
              </w:rPr>
              <w:t>‐</w:t>
            </w:r>
          </w:p>
        </w:tc>
        <w:tc>
          <w:tcPr>
            <w:tcW w:w="752" w:type="dxa"/>
            <w:tcBorders>
              <w:bottom w:val="single" w:sz="5" w:space="0" w:color="000000"/>
              <w:right w:val="single" w:sz="5" w:space="0" w:color="000000"/>
            </w:tcBorders>
          </w:tcPr>
          <w:p>
            <w:pPr>
              <w:pStyle w:val="TableParagraph"/>
              <w:spacing w:before="30"/>
              <w:ind w:right="65"/>
              <w:jc w:val="center"/>
              <w:rPr>
                <w:rFonts w:ascii="Calibri" w:hAnsi="Calibri"/>
                <w:sz w:val="13"/>
              </w:rPr>
            </w:pPr>
            <w:r>
              <w:rPr>
                <w:rFonts w:ascii="Calibri" w:hAnsi="Calibri"/>
                <w:w w:val="105"/>
                <w:sz w:val="13"/>
              </w:rPr>
              <w:t>‐</w:t>
            </w:r>
          </w:p>
        </w:tc>
      </w:tr>
    </w:tbl>
    <w:p>
      <w:pPr>
        <w:pStyle w:val="BodyText"/>
        <w:spacing w:before="1"/>
        <w:rPr>
          <w:sz w:val="15"/>
        </w:rPr>
      </w:pPr>
    </w:p>
    <w:p>
      <w:pPr>
        <w:pStyle w:val="ListParagraph"/>
        <w:numPr>
          <w:ilvl w:val="0"/>
          <w:numId w:val="100"/>
        </w:numPr>
        <w:tabs>
          <w:tab w:pos="291" w:val="left" w:leader="none"/>
        </w:tabs>
        <w:spacing w:line="223" w:lineRule="exact" w:before="0" w:after="0"/>
        <w:ind w:left="290" w:right="0" w:hanging="100"/>
        <w:jc w:val="left"/>
        <w:rPr>
          <w:rFonts w:ascii="Calibri"/>
          <w:sz w:val="13"/>
        </w:rPr>
      </w:pPr>
      <w:r>
        <w:rPr>
          <w:rFonts w:ascii="Calibri"/>
          <w:w w:val="105"/>
          <w:sz w:val="13"/>
        </w:rPr>
        <w:t>- Acadian Australian Equity High Yield Fund - full year</w:t>
      </w:r>
      <w:r>
        <w:rPr>
          <w:rFonts w:ascii="Calibri"/>
          <w:spacing w:val="-18"/>
          <w:w w:val="105"/>
          <w:sz w:val="13"/>
        </w:rPr>
        <w:t> </w:t>
      </w:r>
      <w:r>
        <w:rPr>
          <w:rFonts w:ascii="Calibri"/>
          <w:w w:val="105"/>
          <w:sz w:val="13"/>
        </w:rPr>
        <w:t>performance</w:t>
      </w:r>
    </w:p>
    <w:p>
      <w:pPr>
        <w:pStyle w:val="ListParagraph"/>
        <w:numPr>
          <w:ilvl w:val="0"/>
          <w:numId w:val="100"/>
        </w:numPr>
        <w:tabs>
          <w:tab w:pos="291" w:val="left" w:leader="none"/>
        </w:tabs>
        <w:spacing w:line="217" w:lineRule="exact" w:before="0" w:after="0"/>
        <w:ind w:left="290" w:right="0" w:hanging="100"/>
        <w:jc w:val="left"/>
        <w:rPr>
          <w:rFonts w:ascii="Calibri"/>
          <w:sz w:val="13"/>
        </w:rPr>
      </w:pPr>
      <w:r>
        <w:rPr>
          <w:rFonts w:ascii="Calibri"/>
          <w:w w:val="105"/>
          <w:sz w:val="13"/>
        </w:rPr>
        <w:t>- Fixed income portfolio managed by JBWere - full year</w:t>
      </w:r>
      <w:r>
        <w:rPr>
          <w:rFonts w:ascii="Calibri"/>
          <w:spacing w:val="-18"/>
          <w:w w:val="105"/>
          <w:sz w:val="13"/>
        </w:rPr>
        <w:t> </w:t>
      </w:r>
      <w:r>
        <w:rPr>
          <w:rFonts w:ascii="Calibri"/>
          <w:w w:val="105"/>
          <w:sz w:val="13"/>
        </w:rPr>
        <w:t>performance</w:t>
      </w:r>
    </w:p>
    <w:p>
      <w:pPr>
        <w:pStyle w:val="ListParagraph"/>
        <w:numPr>
          <w:ilvl w:val="0"/>
          <w:numId w:val="100"/>
        </w:numPr>
        <w:tabs>
          <w:tab w:pos="291" w:val="left" w:leader="none"/>
        </w:tabs>
        <w:spacing w:line="223" w:lineRule="exact" w:before="0" w:after="0"/>
        <w:ind w:left="290" w:right="0" w:hanging="100"/>
        <w:jc w:val="left"/>
        <w:rPr>
          <w:rFonts w:ascii="Calibri"/>
          <w:sz w:val="13"/>
        </w:rPr>
      </w:pPr>
      <w:r>
        <w:rPr>
          <w:rFonts w:ascii="Calibri"/>
          <w:w w:val="105"/>
          <w:sz w:val="13"/>
        </w:rPr>
        <w:t>-</w:t>
      </w:r>
      <w:r>
        <w:rPr>
          <w:rFonts w:ascii="Calibri"/>
          <w:spacing w:val="-2"/>
          <w:w w:val="105"/>
          <w:sz w:val="13"/>
        </w:rPr>
        <w:t> </w:t>
      </w:r>
      <w:r>
        <w:rPr>
          <w:rFonts w:ascii="Calibri"/>
          <w:w w:val="105"/>
          <w:sz w:val="13"/>
        </w:rPr>
        <w:t>The</w:t>
      </w:r>
      <w:r>
        <w:rPr>
          <w:rFonts w:ascii="Calibri"/>
          <w:spacing w:val="-2"/>
          <w:w w:val="105"/>
          <w:sz w:val="13"/>
        </w:rPr>
        <w:t> </w:t>
      </w:r>
      <w:r>
        <w:rPr>
          <w:rFonts w:ascii="Calibri"/>
          <w:w w:val="105"/>
          <w:sz w:val="13"/>
        </w:rPr>
        <w:t>University</w:t>
      </w:r>
      <w:r>
        <w:rPr>
          <w:rFonts w:ascii="Calibri"/>
          <w:spacing w:val="-2"/>
          <w:w w:val="105"/>
          <w:sz w:val="13"/>
        </w:rPr>
        <w:t> </w:t>
      </w:r>
      <w:r>
        <w:rPr>
          <w:rFonts w:ascii="Calibri"/>
          <w:w w:val="105"/>
          <w:sz w:val="13"/>
        </w:rPr>
        <w:t>had</w:t>
      </w:r>
      <w:r>
        <w:rPr>
          <w:rFonts w:ascii="Calibri"/>
          <w:spacing w:val="-2"/>
          <w:w w:val="105"/>
          <w:sz w:val="13"/>
        </w:rPr>
        <w:t> </w:t>
      </w:r>
      <w:r>
        <w:rPr>
          <w:rFonts w:ascii="Calibri"/>
          <w:w w:val="105"/>
          <w:sz w:val="13"/>
        </w:rPr>
        <w:t>$16.5</w:t>
      </w:r>
      <w:r>
        <w:rPr>
          <w:rFonts w:ascii="Calibri"/>
          <w:spacing w:val="-2"/>
          <w:w w:val="105"/>
          <w:sz w:val="13"/>
        </w:rPr>
        <w:t> </w:t>
      </w:r>
      <w:r>
        <w:rPr>
          <w:rFonts w:ascii="Calibri"/>
          <w:w w:val="105"/>
          <w:sz w:val="13"/>
        </w:rPr>
        <w:t>million</w:t>
      </w:r>
      <w:r>
        <w:rPr>
          <w:rFonts w:ascii="Calibri"/>
          <w:spacing w:val="-2"/>
          <w:w w:val="105"/>
          <w:sz w:val="13"/>
        </w:rPr>
        <w:t> </w:t>
      </w:r>
      <w:r>
        <w:rPr>
          <w:rFonts w:ascii="Calibri"/>
          <w:w w:val="105"/>
          <w:sz w:val="13"/>
        </w:rPr>
        <w:t>in</w:t>
      </w:r>
      <w:r>
        <w:rPr>
          <w:rFonts w:ascii="Calibri"/>
          <w:spacing w:val="-2"/>
          <w:w w:val="105"/>
          <w:sz w:val="13"/>
        </w:rPr>
        <w:t> </w:t>
      </w:r>
      <w:r>
        <w:rPr>
          <w:rFonts w:ascii="Calibri"/>
          <w:w w:val="105"/>
          <w:sz w:val="13"/>
        </w:rPr>
        <w:t>unlisted</w:t>
      </w:r>
      <w:r>
        <w:rPr>
          <w:rFonts w:ascii="Calibri"/>
          <w:spacing w:val="-2"/>
          <w:w w:val="105"/>
          <w:sz w:val="13"/>
        </w:rPr>
        <w:t> </w:t>
      </w:r>
      <w:r>
        <w:rPr>
          <w:rFonts w:ascii="Calibri"/>
          <w:w w:val="105"/>
          <w:sz w:val="13"/>
        </w:rPr>
        <w:t>securities</w:t>
      </w:r>
      <w:r>
        <w:rPr>
          <w:rFonts w:ascii="Calibri"/>
          <w:spacing w:val="-2"/>
          <w:w w:val="105"/>
          <w:sz w:val="13"/>
        </w:rPr>
        <w:t> </w:t>
      </w:r>
      <w:r>
        <w:rPr>
          <w:rFonts w:ascii="Calibri"/>
          <w:w w:val="105"/>
          <w:sz w:val="13"/>
        </w:rPr>
        <w:t>as</w:t>
      </w:r>
      <w:r>
        <w:rPr>
          <w:rFonts w:ascii="Calibri"/>
          <w:spacing w:val="-2"/>
          <w:w w:val="105"/>
          <w:sz w:val="13"/>
        </w:rPr>
        <w:t> </w:t>
      </w:r>
      <w:r>
        <w:rPr>
          <w:rFonts w:ascii="Calibri"/>
          <w:w w:val="105"/>
          <w:sz w:val="13"/>
        </w:rPr>
        <w:t>at</w:t>
      </w:r>
      <w:r>
        <w:rPr>
          <w:rFonts w:ascii="Calibri"/>
          <w:spacing w:val="-2"/>
          <w:w w:val="105"/>
          <w:sz w:val="13"/>
        </w:rPr>
        <w:t> </w:t>
      </w:r>
      <w:r>
        <w:rPr>
          <w:rFonts w:ascii="Calibri"/>
          <w:w w:val="105"/>
          <w:sz w:val="13"/>
        </w:rPr>
        <w:t>31</w:t>
      </w:r>
      <w:r>
        <w:rPr>
          <w:rFonts w:ascii="Calibri"/>
          <w:spacing w:val="-2"/>
          <w:w w:val="105"/>
          <w:sz w:val="13"/>
        </w:rPr>
        <w:t> </w:t>
      </w:r>
      <w:r>
        <w:rPr>
          <w:rFonts w:ascii="Calibri"/>
          <w:w w:val="105"/>
          <w:sz w:val="13"/>
        </w:rPr>
        <w:t>December</w:t>
      </w:r>
      <w:r>
        <w:rPr>
          <w:rFonts w:ascii="Calibri"/>
          <w:spacing w:val="-2"/>
          <w:w w:val="105"/>
          <w:sz w:val="13"/>
        </w:rPr>
        <w:t> </w:t>
      </w:r>
      <w:r>
        <w:rPr>
          <w:rFonts w:ascii="Calibri"/>
          <w:w w:val="105"/>
          <w:sz w:val="13"/>
        </w:rPr>
        <w:t>2017</w:t>
      </w:r>
      <w:r>
        <w:rPr>
          <w:rFonts w:ascii="Calibri"/>
          <w:spacing w:val="-2"/>
          <w:w w:val="105"/>
          <w:sz w:val="13"/>
        </w:rPr>
        <w:t> </w:t>
      </w:r>
      <w:r>
        <w:rPr>
          <w:rFonts w:ascii="Calibri"/>
          <w:w w:val="105"/>
          <w:sz w:val="13"/>
        </w:rPr>
        <w:t>($11.3</w:t>
      </w:r>
      <w:r>
        <w:rPr>
          <w:rFonts w:ascii="Calibri"/>
          <w:spacing w:val="-2"/>
          <w:w w:val="105"/>
          <w:sz w:val="13"/>
        </w:rPr>
        <w:t> </w:t>
      </w:r>
      <w:r>
        <w:rPr>
          <w:rFonts w:ascii="Calibri"/>
          <w:w w:val="105"/>
          <w:sz w:val="13"/>
        </w:rPr>
        <w:t>million</w:t>
      </w:r>
      <w:r>
        <w:rPr>
          <w:rFonts w:ascii="Calibri"/>
          <w:spacing w:val="-2"/>
          <w:w w:val="105"/>
          <w:sz w:val="13"/>
        </w:rPr>
        <w:t> </w:t>
      </w:r>
      <w:r>
        <w:rPr>
          <w:rFonts w:ascii="Calibri"/>
          <w:w w:val="105"/>
          <w:sz w:val="13"/>
        </w:rPr>
        <w:t>at</w:t>
      </w:r>
      <w:r>
        <w:rPr>
          <w:rFonts w:ascii="Calibri"/>
          <w:spacing w:val="-2"/>
          <w:w w:val="105"/>
          <w:sz w:val="13"/>
        </w:rPr>
        <w:t> </w:t>
      </w:r>
      <w:r>
        <w:rPr>
          <w:rFonts w:ascii="Calibri"/>
          <w:w w:val="105"/>
          <w:sz w:val="13"/>
        </w:rPr>
        <w:t>31</w:t>
      </w:r>
      <w:r>
        <w:rPr>
          <w:rFonts w:ascii="Calibri"/>
          <w:spacing w:val="-2"/>
          <w:w w:val="105"/>
          <w:sz w:val="13"/>
        </w:rPr>
        <w:t> </w:t>
      </w:r>
      <w:r>
        <w:rPr>
          <w:rFonts w:ascii="Calibri"/>
          <w:w w:val="105"/>
          <w:sz w:val="13"/>
        </w:rPr>
        <w:t>December</w:t>
      </w:r>
      <w:r>
        <w:rPr>
          <w:rFonts w:ascii="Calibri"/>
          <w:spacing w:val="-2"/>
          <w:w w:val="105"/>
          <w:sz w:val="13"/>
        </w:rPr>
        <w:t> </w:t>
      </w:r>
      <w:r>
        <w:rPr>
          <w:rFonts w:ascii="Calibri"/>
          <w:w w:val="105"/>
          <w:sz w:val="13"/>
        </w:rPr>
        <w:t>2016)</w:t>
      </w:r>
      <w:r>
        <w:rPr>
          <w:rFonts w:ascii="Calibri"/>
          <w:spacing w:val="-2"/>
          <w:w w:val="105"/>
          <w:sz w:val="13"/>
        </w:rPr>
        <w:t> </w:t>
      </w:r>
      <w:r>
        <w:rPr>
          <w:rFonts w:ascii="Calibri"/>
          <w:w w:val="105"/>
          <w:sz w:val="13"/>
        </w:rPr>
        <w:t>which</w:t>
      </w:r>
      <w:r>
        <w:rPr>
          <w:rFonts w:ascii="Calibri"/>
          <w:spacing w:val="-2"/>
          <w:w w:val="105"/>
          <w:sz w:val="13"/>
        </w:rPr>
        <w:t> </w:t>
      </w:r>
      <w:r>
        <w:rPr>
          <w:rFonts w:ascii="Calibri"/>
          <w:w w:val="105"/>
          <w:sz w:val="13"/>
        </w:rPr>
        <w:t>are</w:t>
      </w:r>
      <w:r>
        <w:rPr>
          <w:rFonts w:ascii="Calibri"/>
          <w:spacing w:val="-2"/>
          <w:w w:val="105"/>
          <w:sz w:val="13"/>
        </w:rPr>
        <w:t> </w:t>
      </w:r>
      <w:r>
        <w:rPr>
          <w:rFonts w:ascii="Calibri"/>
          <w:w w:val="105"/>
          <w:sz w:val="13"/>
        </w:rPr>
        <w:t>not</w:t>
      </w:r>
      <w:r>
        <w:rPr>
          <w:rFonts w:ascii="Calibri"/>
          <w:spacing w:val="-2"/>
          <w:w w:val="105"/>
          <w:sz w:val="13"/>
        </w:rPr>
        <w:t> </w:t>
      </w:r>
      <w:r>
        <w:rPr>
          <w:rFonts w:ascii="Calibri"/>
          <w:w w:val="105"/>
          <w:sz w:val="13"/>
        </w:rPr>
        <w:t>measured</w:t>
      </w:r>
      <w:r>
        <w:rPr>
          <w:rFonts w:ascii="Calibri"/>
          <w:spacing w:val="-2"/>
          <w:w w:val="105"/>
          <w:sz w:val="13"/>
        </w:rPr>
        <w:t> </w:t>
      </w:r>
      <w:r>
        <w:rPr>
          <w:rFonts w:ascii="Calibri"/>
          <w:w w:val="105"/>
          <w:sz w:val="13"/>
        </w:rPr>
        <w:t>for</w:t>
      </w:r>
      <w:r>
        <w:rPr>
          <w:rFonts w:ascii="Calibri"/>
          <w:spacing w:val="-2"/>
          <w:w w:val="105"/>
          <w:sz w:val="13"/>
        </w:rPr>
        <w:t> </w:t>
      </w:r>
      <w:r>
        <w:rPr>
          <w:rFonts w:ascii="Calibri"/>
          <w:w w:val="105"/>
          <w:sz w:val="13"/>
        </w:rPr>
        <w:t>performance.</w:t>
      </w:r>
    </w:p>
    <w:p>
      <w:pPr>
        <w:spacing w:after="0" w:line="223" w:lineRule="exact"/>
        <w:jc w:val="left"/>
        <w:rPr>
          <w:rFonts w:ascii="Calibri"/>
          <w:sz w:val="13"/>
        </w:rPr>
        <w:sectPr>
          <w:pgSz w:w="11910" w:h="16840"/>
          <w:pgMar w:header="693" w:footer="507" w:top="900" w:bottom="700" w:left="1260" w:right="1320"/>
        </w:sectPr>
      </w:pPr>
    </w:p>
    <w:p>
      <w:pPr>
        <w:pStyle w:val="BodyText"/>
        <w:rPr>
          <w:rFonts w:ascii="Calibri"/>
          <w:sz w:val="20"/>
        </w:rPr>
      </w:pPr>
    </w:p>
    <w:p>
      <w:pPr>
        <w:pStyle w:val="BodyText"/>
        <w:rPr>
          <w:rFonts w:ascii="Calibri"/>
          <w:sz w:val="20"/>
        </w:rPr>
      </w:pPr>
    </w:p>
    <w:p>
      <w:pPr>
        <w:pStyle w:val="Heading3"/>
        <w:spacing w:before="190"/>
        <w:ind w:left="143" w:right="273"/>
      </w:pPr>
      <w:bookmarkStart w:name="Blank Page" w:id="249"/>
      <w:bookmarkEnd w:id="249"/>
      <w:r>
        <w:rPr>
          <w:b w:val="0"/>
        </w:rPr>
      </w:r>
      <w:r>
        <w:rPr/>
        <w:t>Promotion and Travel</w:t>
      </w:r>
    </w:p>
    <w:p>
      <w:pPr>
        <w:pStyle w:val="BodyText"/>
        <w:spacing w:line="259" w:lineRule="auto" w:before="171"/>
        <w:ind w:left="143" w:right="273"/>
      </w:pPr>
      <w:r>
        <w:rPr/>
        <w:t>For the 2017 year the total University expenditure for overseas travel was $5,258,759. Travel was for a variety of University related purposes including research collaboration, university promotion and development of new partnerships, presentation of papers at conferences, overseas joint university projects, academic development program, student practicums and International study exchange and tours.</w:t>
      </w:r>
    </w:p>
    <w:p>
      <w:pPr>
        <w:pStyle w:val="BodyText"/>
        <w:spacing w:line="259" w:lineRule="auto" w:before="108"/>
        <w:ind w:left="143" w:right="273"/>
      </w:pPr>
      <w:r>
        <w:rPr/>
        <w:t>All Travel was in accordance with the University Travel Policy </w:t>
      </w:r>
      <w:r>
        <w:rPr>
          <w:color w:val="0563C1"/>
          <w:u w:val="single" w:color="0563C1"/>
        </w:rPr>
        <w:t>https://policies.westernsydney.edu.au/document/view.current.php?id=268 </w:t>
      </w:r>
      <w:r>
        <w:rPr/>
        <w:t>which complies with regulations and guidelines of NSW Treasury.</w:t>
      </w:r>
    </w:p>
    <w:p>
      <w:pPr>
        <w:pStyle w:val="BodyText"/>
      </w:pPr>
    </w:p>
    <w:p>
      <w:pPr>
        <w:pStyle w:val="BodyText"/>
      </w:pPr>
    </w:p>
    <w:p>
      <w:pPr>
        <w:pStyle w:val="BodyText"/>
        <w:spacing w:before="4"/>
        <w:rPr>
          <w:sz w:val="16"/>
        </w:rPr>
      </w:pPr>
    </w:p>
    <w:p>
      <w:pPr>
        <w:pStyle w:val="Heading3"/>
        <w:spacing w:before="0"/>
        <w:ind w:left="143" w:right="273"/>
      </w:pPr>
      <w:r>
        <w:rPr/>
        <w:t>Credit Card Certification</w:t>
      </w:r>
    </w:p>
    <w:p>
      <w:pPr>
        <w:pStyle w:val="BodyText"/>
        <w:spacing w:line="259" w:lineRule="auto" w:before="158"/>
        <w:ind w:left="143" w:right="273"/>
      </w:pPr>
      <w:r>
        <w:rPr/>
        <w:t>Credit card use within Western Sydney University is in accordance with the University’s corporate credit card policy </w:t>
      </w:r>
      <w:r>
        <w:rPr>
          <w:color w:val="0563C1"/>
          <w:u w:val="single" w:color="0563C1"/>
        </w:rPr>
        <w:t>https://policies.westernsydney.edu.au/document/view.current.php?id=65 </w:t>
      </w:r>
      <w:r>
        <w:rPr/>
        <w:t>which complies with regulations and guidelines of NSW Treasury.</w:t>
      </w:r>
    </w:p>
    <w:p>
      <w:pPr>
        <w:pStyle w:val="BodyText"/>
        <w:spacing w:line="259" w:lineRule="auto" w:before="121"/>
        <w:ind w:left="143" w:right="1012"/>
      </w:pPr>
      <w:r>
        <w:rPr/>
        <w:t>Credit card usage is acquitted via the online Travel and Expense Management System and checked and authorised by the appropriate senior delegated officer.</w:t>
      </w:r>
    </w:p>
    <w:p>
      <w:pPr>
        <w:pStyle w:val="BodyText"/>
        <w:spacing w:line="259" w:lineRule="auto" w:before="161"/>
        <w:ind w:left="143" w:right="442"/>
      </w:pPr>
      <w:r>
        <w:rPr/>
        <w:t>The University conducts regular reviews of credit card usage and where a cardholder is found to be in contravention of the policy regulations by either misuse or non-cquittal in a timely manner, the credit card will be cancelled.</w:t>
      </w:r>
    </w:p>
    <w:p>
      <w:pPr>
        <w:pStyle w:val="BodyText"/>
        <w:rPr>
          <w:sz w:val="20"/>
        </w:rPr>
      </w:pPr>
    </w:p>
    <w:p>
      <w:pPr>
        <w:pStyle w:val="BodyText"/>
        <w:spacing w:before="1"/>
        <w:rPr>
          <w:sz w:val="21"/>
        </w:rPr>
      </w:pPr>
    </w:p>
    <w:p>
      <w:pPr>
        <w:pStyle w:val="Heading3"/>
        <w:spacing w:before="65"/>
        <w:ind w:left="158" w:right="273"/>
      </w:pPr>
      <w:r>
        <w:rPr/>
        <w:t>Funds Granted to Non-Government Community Organisations</w:t>
      </w:r>
    </w:p>
    <w:p>
      <w:pPr>
        <w:pStyle w:val="BodyText"/>
        <w:spacing w:before="179"/>
        <w:ind w:left="157" w:right="273"/>
      </w:pPr>
      <w:r>
        <w:rPr/>
        <w:t>During 2017 the University provided $33,337 in funding to non</w:t>
      </w:r>
      <w:r>
        <w:rPr>
          <w:rFonts w:ascii="Calibri"/>
        </w:rPr>
        <w:t>-</w:t>
      </w:r>
      <w:r>
        <w:rPr/>
        <w:t>government community organisations</w:t>
      </w:r>
    </w:p>
    <w:p>
      <w:pPr>
        <w:pStyle w:val="BodyText"/>
        <w:spacing w:after="1"/>
        <w:rPr>
          <w:sz w:val="22"/>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31"/>
        <w:gridCol w:w="1721"/>
        <w:gridCol w:w="4394"/>
        <w:gridCol w:w="1196"/>
      </w:tblGrid>
      <w:tr>
        <w:trPr>
          <w:trHeight w:val="425" w:hRule="exact"/>
        </w:trPr>
        <w:tc>
          <w:tcPr>
            <w:tcW w:w="1931" w:type="dxa"/>
          </w:tcPr>
          <w:p>
            <w:pPr>
              <w:pStyle w:val="TableParagraph"/>
              <w:spacing w:line="206" w:lineRule="exact" w:before="2"/>
              <w:ind w:left="103" w:right="287"/>
              <w:rPr>
                <w:b/>
                <w:sz w:val="18"/>
              </w:rPr>
            </w:pPr>
            <w:r>
              <w:rPr>
                <w:b/>
                <w:sz w:val="18"/>
              </w:rPr>
              <w:t>Name of recipient organisation</w:t>
            </w:r>
          </w:p>
        </w:tc>
        <w:tc>
          <w:tcPr>
            <w:tcW w:w="1721" w:type="dxa"/>
          </w:tcPr>
          <w:p>
            <w:pPr>
              <w:pStyle w:val="TableParagraph"/>
              <w:spacing w:line="206" w:lineRule="exact" w:before="2"/>
              <w:ind w:left="103" w:right="177"/>
              <w:rPr>
                <w:b/>
                <w:sz w:val="18"/>
              </w:rPr>
            </w:pPr>
            <w:r>
              <w:rPr>
                <w:b/>
                <w:sz w:val="18"/>
              </w:rPr>
              <w:t>Program area as per budget</w:t>
            </w:r>
          </w:p>
        </w:tc>
        <w:tc>
          <w:tcPr>
            <w:tcW w:w="4394" w:type="dxa"/>
          </w:tcPr>
          <w:p>
            <w:pPr>
              <w:pStyle w:val="TableParagraph"/>
              <w:spacing w:line="206" w:lineRule="exact" w:before="2"/>
              <w:ind w:left="103" w:right="381"/>
              <w:rPr>
                <w:b/>
                <w:sz w:val="18"/>
              </w:rPr>
            </w:pPr>
            <w:r>
              <w:rPr>
                <w:b/>
                <w:sz w:val="18"/>
              </w:rPr>
              <w:t>Nature and purpose of project including aims and target clients</w:t>
            </w:r>
          </w:p>
        </w:tc>
        <w:tc>
          <w:tcPr>
            <w:tcW w:w="1196" w:type="dxa"/>
          </w:tcPr>
          <w:p>
            <w:pPr>
              <w:pStyle w:val="TableParagraph"/>
              <w:spacing w:line="205" w:lineRule="exact"/>
              <w:ind w:right="101"/>
              <w:jc w:val="right"/>
              <w:rPr>
                <w:b/>
                <w:sz w:val="18"/>
              </w:rPr>
            </w:pPr>
            <w:r>
              <w:rPr>
                <w:b/>
                <w:sz w:val="18"/>
              </w:rPr>
              <w:t>Amount $</w:t>
            </w:r>
          </w:p>
        </w:tc>
      </w:tr>
      <w:tr>
        <w:trPr>
          <w:trHeight w:val="630" w:hRule="exact"/>
        </w:trPr>
        <w:tc>
          <w:tcPr>
            <w:tcW w:w="1931" w:type="dxa"/>
          </w:tcPr>
          <w:p>
            <w:pPr>
              <w:pStyle w:val="TableParagraph"/>
              <w:spacing w:line="206" w:lineRule="exact" w:before="2"/>
              <w:ind w:left="103" w:right="257"/>
              <w:rPr>
                <w:sz w:val="18"/>
              </w:rPr>
            </w:pPr>
            <w:r>
              <w:rPr>
                <w:sz w:val="18"/>
              </w:rPr>
              <w:t>Langtang Museum, Nepal</w:t>
            </w:r>
          </w:p>
        </w:tc>
        <w:tc>
          <w:tcPr>
            <w:tcW w:w="1721" w:type="dxa"/>
          </w:tcPr>
          <w:p>
            <w:pPr>
              <w:pStyle w:val="TableParagraph"/>
              <w:ind w:left="103" w:right="467"/>
              <w:rPr>
                <w:sz w:val="18"/>
              </w:rPr>
            </w:pPr>
            <w:r>
              <w:rPr>
                <w:sz w:val="18"/>
              </w:rPr>
              <w:t>Research and community engagement</w:t>
            </w:r>
          </w:p>
        </w:tc>
        <w:tc>
          <w:tcPr>
            <w:tcW w:w="4394" w:type="dxa"/>
          </w:tcPr>
          <w:p>
            <w:pPr>
              <w:pStyle w:val="TableParagraph"/>
              <w:ind w:left="103" w:right="199"/>
              <w:rPr>
                <w:sz w:val="18"/>
              </w:rPr>
            </w:pPr>
            <w:r>
              <w:rPr>
                <w:sz w:val="18"/>
              </w:rPr>
              <w:t>Following the earthquake to establish a museum to preserve cultural history and assist in reviving the economy by bringing tourists to the region</w:t>
            </w:r>
          </w:p>
        </w:tc>
        <w:tc>
          <w:tcPr>
            <w:tcW w:w="1196" w:type="dxa"/>
          </w:tcPr>
          <w:p>
            <w:pPr>
              <w:pStyle w:val="TableParagraph"/>
              <w:spacing w:line="205" w:lineRule="exact"/>
              <w:ind w:right="101"/>
              <w:jc w:val="right"/>
              <w:rPr>
                <w:sz w:val="18"/>
              </w:rPr>
            </w:pPr>
            <w:r>
              <w:rPr>
                <w:sz w:val="18"/>
              </w:rPr>
              <w:t>26,337</w:t>
            </w:r>
          </w:p>
        </w:tc>
      </w:tr>
      <w:tr>
        <w:trPr>
          <w:trHeight w:val="1045" w:hRule="exact"/>
        </w:trPr>
        <w:tc>
          <w:tcPr>
            <w:tcW w:w="1931" w:type="dxa"/>
          </w:tcPr>
          <w:p>
            <w:pPr>
              <w:pStyle w:val="TableParagraph"/>
              <w:ind w:left="103" w:right="287"/>
              <w:rPr>
                <w:sz w:val="18"/>
              </w:rPr>
            </w:pPr>
            <w:r>
              <w:rPr>
                <w:sz w:val="18"/>
              </w:rPr>
              <w:t>Western Sydney Homeless connect</w:t>
            </w:r>
          </w:p>
        </w:tc>
        <w:tc>
          <w:tcPr>
            <w:tcW w:w="1721" w:type="dxa"/>
          </w:tcPr>
          <w:p>
            <w:pPr>
              <w:pStyle w:val="TableParagraph"/>
              <w:ind w:left="103" w:right="567"/>
              <w:rPr>
                <w:sz w:val="18"/>
              </w:rPr>
            </w:pPr>
            <w:r>
              <w:rPr>
                <w:sz w:val="18"/>
              </w:rPr>
              <w:t>Community Engagement</w:t>
            </w:r>
          </w:p>
        </w:tc>
        <w:tc>
          <w:tcPr>
            <w:tcW w:w="4394" w:type="dxa"/>
          </w:tcPr>
          <w:p>
            <w:pPr>
              <w:pStyle w:val="TableParagraph"/>
              <w:ind w:left="103" w:right="270"/>
              <w:rPr>
                <w:sz w:val="18"/>
              </w:rPr>
            </w:pPr>
            <w:r>
              <w:rPr>
                <w:sz w:val="18"/>
              </w:rPr>
              <w:t>Providing free health checks to homeless community members in Western Sydney including blood pressure, blood sugar levels together with enhancing the clinical skills of WSU nursing students</w:t>
            </w:r>
          </w:p>
        </w:tc>
        <w:tc>
          <w:tcPr>
            <w:tcW w:w="1196" w:type="dxa"/>
          </w:tcPr>
          <w:p>
            <w:pPr>
              <w:pStyle w:val="TableParagraph"/>
              <w:spacing w:line="206" w:lineRule="exact"/>
              <w:ind w:right="102"/>
              <w:jc w:val="right"/>
              <w:rPr>
                <w:sz w:val="18"/>
              </w:rPr>
            </w:pPr>
            <w:r>
              <w:rPr>
                <w:sz w:val="18"/>
              </w:rPr>
              <w:t>1,500</w:t>
            </w:r>
          </w:p>
        </w:tc>
      </w:tr>
      <w:tr>
        <w:trPr>
          <w:trHeight w:val="631" w:hRule="exact"/>
        </w:trPr>
        <w:tc>
          <w:tcPr>
            <w:tcW w:w="1931" w:type="dxa"/>
          </w:tcPr>
          <w:p>
            <w:pPr>
              <w:pStyle w:val="TableParagraph"/>
              <w:ind w:left="103" w:right="317"/>
              <w:rPr>
                <w:sz w:val="18"/>
              </w:rPr>
            </w:pPr>
            <w:r>
              <w:rPr>
                <w:sz w:val="18"/>
              </w:rPr>
              <w:t>Country Education Foundation</w:t>
            </w:r>
          </w:p>
        </w:tc>
        <w:tc>
          <w:tcPr>
            <w:tcW w:w="1721" w:type="dxa"/>
          </w:tcPr>
          <w:p>
            <w:pPr>
              <w:pStyle w:val="TableParagraph"/>
              <w:ind w:left="103" w:right="567"/>
              <w:rPr>
                <w:sz w:val="18"/>
              </w:rPr>
            </w:pPr>
            <w:r>
              <w:rPr>
                <w:sz w:val="18"/>
              </w:rPr>
              <w:t>Community Engagement</w:t>
            </w:r>
          </w:p>
        </w:tc>
        <w:tc>
          <w:tcPr>
            <w:tcW w:w="4394" w:type="dxa"/>
          </w:tcPr>
          <w:p>
            <w:pPr>
              <w:pStyle w:val="TableParagraph"/>
              <w:ind w:left="103" w:right="109"/>
              <w:rPr>
                <w:sz w:val="18"/>
              </w:rPr>
            </w:pPr>
            <w:r>
              <w:rPr>
                <w:sz w:val="18"/>
              </w:rPr>
              <w:t>The foundation provides funds to school leavers who need a helping hand to transition from school</w:t>
            </w:r>
            <w:r>
              <w:rPr>
                <w:spacing w:val="-28"/>
                <w:sz w:val="18"/>
              </w:rPr>
              <w:t> </w:t>
            </w:r>
            <w:r>
              <w:rPr>
                <w:sz w:val="18"/>
              </w:rPr>
              <w:t>to higher education or the</w:t>
            </w:r>
            <w:r>
              <w:rPr>
                <w:spacing w:val="-21"/>
                <w:sz w:val="18"/>
              </w:rPr>
              <w:t> </w:t>
            </w:r>
            <w:r>
              <w:rPr>
                <w:sz w:val="18"/>
              </w:rPr>
              <w:t>workforce</w:t>
            </w:r>
          </w:p>
        </w:tc>
        <w:tc>
          <w:tcPr>
            <w:tcW w:w="1196" w:type="dxa"/>
          </w:tcPr>
          <w:p>
            <w:pPr>
              <w:pStyle w:val="TableParagraph"/>
              <w:spacing w:line="205" w:lineRule="exact"/>
              <w:ind w:right="102"/>
              <w:jc w:val="right"/>
              <w:rPr>
                <w:sz w:val="18"/>
              </w:rPr>
            </w:pPr>
            <w:r>
              <w:rPr>
                <w:sz w:val="18"/>
              </w:rPr>
              <w:t>5,500</w:t>
            </w:r>
          </w:p>
        </w:tc>
      </w:tr>
    </w:tbl>
    <w:p>
      <w:pPr>
        <w:spacing w:after="0" w:line="205" w:lineRule="exact"/>
        <w:jc w:val="right"/>
        <w:rPr>
          <w:sz w:val="18"/>
        </w:rPr>
        <w:sectPr>
          <w:pgSz w:w="11910" w:h="16840"/>
          <w:pgMar w:header="693" w:footer="507" w:top="920" w:bottom="700" w:left="1300" w:right="1120"/>
        </w:sectPr>
      </w:pPr>
    </w:p>
    <w:p>
      <w:pPr>
        <w:pStyle w:val="BodyText"/>
        <w:rPr>
          <w:sz w:val="20"/>
        </w:rPr>
      </w:pPr>
    </w:p>
    <w:p>
      <w:pPr>
        <w:pStyle w:val="BodyText"/>
        <w:spacing w:before="7"/>
        <w:rPr>
          <w:sz w:val="20"/>
        </w:rPr>
      </w:pPr>
    </w:p>
    <w:p>
      <w:pPr>
        <w:spacing w:before="59"/>
        <w:ind w:left="116" w:right="456" w:firstLine="0"/>
        <w:jc w:val="left"/>
        <w:rPr>
          <w:b/>
          <w:sz w:val="32"/>
        </w:rPr>
      </w:pPr>
      <w:bookmarkStart w:name="5.2017 Entity Information" w:id="250"/>
      <w:bookmarkEnd w:id="250"/>
      <w:r>
        <w:rPr/>
      </w:r>
      <w:r>
        <w:rPr>
          <w:b/>
          <w:color w:val="0D0D0D"/>
          <w:sz w:val="32"/>
        </w:rPr>
        <w:t>Controlled Entities</w:t>
      </w:r>
    </w:p>
    <w:p>
      <w:pPr>
        <w:pStyle w:val="BodyText"/>
        <w:rPr>
          <w:b/>
          <w:sz w:val="20"/>
        </w:rPr>
      </w:pPr>
    </w:p>
    <w:p>
      <w:pPr>
        <w:pStyle w:val="BodyText"/>
        <w:spacing w:before="7"/>
        <w:rPr>
          <w:b/>
          <w:sz w:val="16"/>
        </w:rPr>
      </w:pPr>
    </w:p>
    <w:p>
      <w:pPr>
        <w:pStyle w:val="Heading3"/>
        <w:ind w:left="138" w:right="456"/>
      </w:pPr>
      <w:r>
        <w:rPr>
          <w:color w:val="0D0D0D"/>
        </w:rPr>
        <w:t>Western Unlimited Ltd</w:t>
      </w:r>
    </w:p>
    <w:p>
      <w:pPr>
        <w:pStyle w:val="BodyText"/>
        <w:spacing w:line="207" w:lineRule="exact" w:before="206"/>
        <w:ind w:left="138" w:right="456"/>
      </w:pPr>
      <w:r>
        <w:rPr>
          <w:color w:val="0D0D0D"/>
          <w:u w:val="single" w:color="0D0D0D"/>
        </w:rPr>
        <w:t>Principal Objectives</w:t>
      </w:r>
    </w:p>
    <w:p>
      <w:pPr>
        <w:pStyle w:val="BodyText"/>
        <w:ind w:left="138" w:right="456"/>
      </w:pPr>
      <w:r>
        <w:rPr>
          <w:color w:val="0D0D0D"/>
        </w:rPr>
        <w:t>The principal objective of the company is to provide food and beverage, sporting and campus life facilities and services across all six of the Western Sydney University campuses.</w:t>
      </w:r>
    </w:p>
    <w:p>
      <w:pPr>
        <w:pStyle w:val="BodyText"/>
      </w:pPr>
    </w:p>
    <w:p>
      <w:pPr>
        <w:pStyle w:val="BodyText"/>
        <w:spacing w:line="207" w:lineRule="exact"/>
        <w:ind w:left="138" w:right="456"/>
      </w:pPr>
      <w:r>
        <w:rPr>
          <w:color w:val="0D0D0D"/>
          <w:u w:val="single" w:color="0D0D0D"/>
        </w:rPr>
        <w:t>Principal Activities and Strategic Projects</w:t>
      </w:r>
    </w:p>
    <w:p>
      <w:pPr>
        <w:pStyle w:val="BodyText"/>
        <w:ind w:left="138" w:right="227"/>
      </w:pPr>
      <w:r>
        <w:rPr>
          <w:color w:val="0D0D0D"/>
        </w:rPr>
        <w:t>The principal activity of the company during the 2017 financial year was the provision of campus life, clubs and societies, sports and fitness, food and beverage and other services to the Western Sydney University community including students, staff, alumni and residents of greater Western Sydney.</w:t>
      </w:r>
    </w:p>
    <w:p>
      <w:pPr>
        <w:pStyle w:val="BodyText"/>
      </w:pPr>
    </w:p>
    <w:p>
      <w:pPr>
        <w:pStyle w:val="BodyText"/>
        <w:ind w:left="138" w:right="456"/>
      </w:pPr>
      <w:r>
        <w:rPr>
          <w:color w:val="0D0D0D"/>
          <w:u w:val="single" w:color="0D0D0D"/>
        </w:rPr>
        <w:t>Performance measures</w:t>
      </w:r>
    </w:p>
    <w:p>
      <w:pPr>
        <w:pStyle w:val="BodyText"/>
        <w:spacing w:before="4"/>
        <w:rPr>
          <w:sz w:val="13"/>
        </w:rPr>
      </w:pPr>
    </w:p>
    <w:p>
      <w:pPr>
        <w:pStyle w:val="BodyText"/>
        <w:spacing w:before="77"/>
        <w:ind w:left="138" w:right="747"/>
      </w:pPr>
      <w:r>
        <w:rPr>
          <w:color w:val="0D0D0D"/>
        </w:rPr>
        <w:t>The performance measures of the company are financial and non-financial related to trading in community services.</w:t>
      </w:r>
    </w:p>
    <w:p>
      <w:pPr>
        <w:pStyle w:val="BodyText"/>
        <w:spacing w:before="2"/>
      </w:pPr>
    </w:p>
    <w:tbl>
      <w:tblPr>
        <w:tblW w:w="0" w:type="auto"/>
        <w:jc w:val="left"/>
        <w:tblInd w:w="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16"/>
        <w:gridCol w:w="1985"/>
        <w:gridCol w:w="1985"/>
        <w:gridCol w:w="1700"/>
      </w:tblGrid>
      <w:tr>
        <w:trPr>
          <w:trHeight w:val="600" w:hRule="exact"/>
        </w:trPr>
        <w:tc>
          <w:tcPr>
            <w:tcW w:w="3416" w:type="dxa"/>
          </w:tcPr>
          <w:p>
            <w:pPr>
              <w:pStyle w:val="TableParagraph"/>
              <w:spacing w:before="1"/>
              <w:rPr>
                <w:sz w:val="16"/>
              </w:rPr>
            </w:pPr>
          </w:p>
          <w:p>
            <w:pPr>
              <w:pStyle w:val="TableParagraph"/>
              <w:ind w:left="98"/>
              <w:rPr>
                <w:b/>
                <w:i/>
                <w:sz w:val="18"/>
              </w:rPr>
            </w:pPr>
            <w:r>
              <w:rPr>
                <w:b/>
                <w:i/>
                <w:sz w:val="18"/>
              </w:rPr>
              <w:t>Category</w:t>
            </w:r>
          </w:p>
        </w:tc>
        <w:tc>
          <w:tcPr>
            <w:tcW w:w="1985" w:type="dxa"/>
          </w:tcPr>
          <w:p>
            <w:pPr>
              <w:pStyle w:val="TableParagraph"/>
              <w:spacing w:before="1"/>
              <w:rPr>
                <w:sz w:val="16"/>
              </w:rPr>
            </w:pPr>
          </w:p>
          <w:p>
            <w:pPr>
              <w:pStyle w:val="TableParagraph"/>
              <w:ind w:right="49"/>
              <w:jc w:val="right"/>
              <w:rPr>
                <w:b/>
                <w:i/>
                <w:sz w:val="18"/>
              </w:rPr>
            </w:pPr>
            <w:r>
              <w:rPr>
                <w:b/>
                <w:i/>
                <w:sz w:val="18"/>
              </w:rPr>
              <w:t>FY 2017 Actual</w:t>
            </w:r>
          </w:p>
        </w:tc>
        <w:tc>
          <w:tcPr>
            <w:tcW w:w="1985" w:type="dxa"/>
          </w:tcPr>
          <w:p>
            <w:pPr>
              <w:pStyle w:val="TableParagraph"/>
              <w:spacing w:before="1"/>
              <w:rPr>
                <w:sz w:val="16"/>
              </w:rPr>
            </w:pPr>
          </w:p>
          <w:p>
            <w:pPr>
              <w:pStyle w:val="TableParagraph"/>
              <w:ind w:right="50"/>
              <w:jc w:val="right"/>
              <w:rPr>
                <w:b/>
                <w:i/>
                <w:sz w:val="18"/>
              </w:rPr>
            </w:pPr>
            <w:r>
              <w:rPr>
                <w:b/>
                <w:i/>
                <w:sz w:val="18"/>
              </w:rPr>
              <w:t>Annual 2017 Budget</w:t>
            </w:r>
          </w:p>
        </w:tc>
        <w:tc>
          <w:tcPr>
            <w:tcW w:w="1700" w:type="dxa"/>
          </w:tcPr>
          <w:p>
            <w:pPr>
              <w:pStyle w:val="TableParagraph"/>
              <w:spacing w:before="82"/>
              <w:ind w:left="857" w:right="32" w:hanging="179"/>
              <w:rPr>
                <w:b/>
                <w:i/>
                <w:sz w:val="18"/>
              </w:rPr>
            </w:pPr>
            <w:r>
              <w:rPr>
                <w:b/>
                <w:i/>
                <w:sz w:val="18"/>
              </w:rPr>
              <w:t>% Full year </w:t>
            </w:r>
            <w:r>
              <w:rPr>
                <w:b/>
                <w:i/>
                <w:sz w:val="18"/>
              </w:rPr>
              <w:t>achieved</w:t>
            </w:r>
          </w:p>
        </w:tc>
      </w:tr>
      <w:tr>
        <w:trPr>
          <w:trHeight w:val="290" w:hRule="exact"/>
        </w:trPr>
        <w:tc>
          <w:tcPr>
            <w:tcW w:w="3416" w:type="dxa"/>
          </w:tcPr>
          <w:p>
            <w:pPr>
              <w:pStyle w:val="TableParagraph"/>
              <w:spacing w:before="62"/>
              <w:ind w:left="98"/>
              <w:rPr>
                <w:sz w:val="18"/>
              </w:rPr>
            </w:pPr>
            <w:r>
              <w:rPr>
                <w:sz w:val="18"/>
              </w:rPr>
              <w:t>Revenue</w:t>
            </w:r>
          </w:p>
        </w:tc>
        <w:tc>
          <w:tcPr>
            <w:tcW w:w="1985" w:type="dxa"/>
          </w:tcPr>
          <w:p>
            <w:pPr>
              <w:pStyle w:val="TableParagraph"/>
              <w:spacing w:before="62"/>
              <w:ind w:right="50"/>
              <w:jc w:val="right"/>
              <w:rPr>
                <w:sz w:val="18"/>
              </w:rPr>
            </w:pPr>
            <w:r>
              <w:rPr>
                <w:sz w:val="18"/>
              </w:rPr>
              <w:t>$13,482,327</w:t>
            </w:r>
          </w:p>
        </w:tc>
        <w:tc>
          <w:tcPr>
            <w:tcW w:w="1985" w:type="dxa"/>
          </w:tcPr>
          <w:p>
            <w:pPr>
              <w:pStyle w:val="TableParagraph"/>
              <w:spacing w:before="62"/>
              <w:ind w:right="51"/>
              <w:jc w:val="right"/>
              <w:rPr>
                <w:sz w:val="18"/>
              </w:rPr>
            </w:pPr>
            <w:r>
              <w:rPr>
                <w:sz w:val="18"/>
              </w:rPr>
              <w:t>$16,154,627</w:t>
            </w:r>
          </w:p>
        </w:tc>
        <w:tc>
          <w:tcPr>
            <w:tcW w:w="1700" w:type="dxa"/>
          </w:tcPr>
          <w:p>
            <w:pPr>
              <w:pStyle w:val="TableParagraph"/>
              <w:spacing w:before="62"/>
              <w:ind w:right="52"/>
              <w:jc w:val="right"/>
              <w:rPr>
                <w:sz w:val="18"/>
              </w:rPr>
            </w:pPr>
            <w:r>
              <w:rPr>
                <w:sz w:val="18"/>
              </w:rPr>
              <w:t>83%</w:t>
            </w:r>
          </w:p>
        </w:tc>
      </w:tr>
      <w:tr>
        <w:trPr>
          <w:trHeight w:val="290" w:hRule="exact"/>
        </w:trPr>
        <w:tc>
          <w:tcPr>
            <w:tcW w:w="3416" w:type="dxa"/>
          </w:tcPr>
          <w:p>
            <w:pPr>
              <w:pStyle w:val="TableParagraph"/>
              <w:spacing w:before="61"/>
              <w:ind w:left="98"/>
              <w:rPr>
                <w:sz w:val="18"/>
              </w:rPr>
            </w:pPr>
            <w:r>
              <w:rPr>
                <w:sz w:val="18"/>
              </w:rPr>
              <w:t>Expenses</w:t>
            </w:r>
          </w:p>
        </w:tc>
        <w:tc>
          <w:tcPr>
            <w:tcW w:w="1985" w:type="dxa"/>
          </w:tcPr>
          <w:p>
            <w:pPr>
              <w:pStyle w:val="TableParagraph"/>
              <w:spacing w:before="61"/>
              <w:ind w:right="50"/>
              <w:jc w:val="right"/>
              <w:rPr>
                <w:sz w:val="18"/>
              </w:rPr>
            </w:pPr>
            <w:r>
              <w:rPr>
                <w:sz w:val="18"/>
              </w:rPr>
              <w:t>$10,372,913</w:t>
            </w:r>
          </w:p>
        </w:tc>
        <w:tc>
          <w:tcPr>
            <w:tcW w:w="1985" w:type="dxa"/>
          </w:tcPr>
          <w:p>
            <w:pPr>
              <w:pStyle w:val="TableParagraph"/>
              <w:spacing w:before="61"/>
              <w:ind w:right="51"/>
              <w:jc w:val="right"/>
              <w:rPr>
                <w:sz w:val="18"/>
              </w:rPr>
            </w:pPr>
            <w:r>
              <w:rPr>
                <w:sz w:val="18"/>
              </w:rPr>
              <w:t>$15,997,522</w:t>
            </w:r>
          </w:p>
        </w:tc>
        <w:tc>
          <w:tcPr>
            <w:tcW w:w="1700" w:type="dxa"/>
          </w:tcPr>
          <w:p>
            <w:pPr>
              <w:pStyle w:val="TableParagraph"/>
              <w:spacing w:before="61"/>
              <w:ind w:right="52"/>
              <w:jc w:val="right"/>
              <w:rPr>
                <w:sz w:val="18"/>
              </w:rPr>
            </w:pPr>
            <w:r>
              <w:rPr>
                <w:sz w:val="18"/>
              </w:rPr>
              <w:t>65%</w:t>
            </w:r>
          </w:p>
        </w:tc>
      </w:tr>
      <w:tr>
        <w:trPr>
          <w:trHeight w:val="289" w:hRule="exact"/>
        </w:trPr>
        <w:tc>
          <w:tcPr>
            <w:tcW w:w="3416" w:type="dxa"/>
          </w:tcPr>
          <w:p>
            <w:pPr>
              <w:pStyle w:val="TableParagraph"/>
              <w:spacing w:before="60"/>
              <w:ind w:left="98"/>
              <w:rPr>
                <w:b/>
                <w:sz w:val="18"/>
              </w:rPr>
            </w:pPr>
            <w:r>
              <w:rPr>
                <w:b/>
                <w:sz w:val="18"/>
              </w:rPr>
              <w:t>Operating Surplus/(Deficit)</w:t>
            </w:r>
          </w:p>
        </w:tc>
        <w:tc>
          <w:tcPr>
            <w:tcW w:w="1985" w:type="dxa"/>
          </w:tcPr>
          <w:p>
            <w:pPr>
              <w:pStyle w:val="TableParagraph"/>
              <w:spacing w:before="60"/>
              <w:ind w:right="50"/>
              <w:jc w:val="right"/>
              <w:rPr>
                <w:b/>
                <w:sz w:val="18"/>
              </w:rPr>
            </w:pPr>
            <w:r>
              <w:rPr>
                <w:b/>
                <w:sz w:val="18"/>
              </w:rPr>
              <w:t>$3,109,414</w:t>
            </w:r>
          </w:p>
        </w:tc>
        <w:tc>
          <w:tcPr>
            <w:tcW w:w="1985" w:type="dxa"/>
          </w:tcPr>
          <w:p>
            <w:pPr>
              <w:pStyle w:val="TableParagraph"/>
              <w:spacing w:before="60"/>
              <w:ind w:right="51"/>
              <w:jc w:val="right"/>
              <w:rPr>
                <w:b/>
                <w:sz w:val="18"/>
              </w:rPr>
            </w:pPr>
            <w:r>
              <w:rPr>
                <w:b/>
                <w:sz w:val="18"/>
              </w:rPr>
              <w:t>$157,105</w:t>
            </w:r>
          </w:p>
        </w:tc>
        <w:tc>
          <w:tcPr>
            <w:tcW w:w="1700" w:type="dxa"/>
          </w:tcPr>
          <w:p>
            <w:pPr>
              <w:pStyle w:val="TableParagraph"/>
              <w:spacing w:before="61"/>
              <w:ind w:right="52"/>
              <w:jc w:val="right"/>
              <w:rPr>
                <w:sz w:val="18"/>
              </w:rPr>
            </w:pPr>
            <w:r>
              <w:rPr>
                <w:sz w:val="18"/>
              </w:rPr>
              <w:t>0%</w:t>
            </w:r>
          </w:p>
        </w:tc>
      </w:tr>
      <w:tr>
        <w:trPr>
          <w:trHeight w:val="227" w:hRule="exact"/>
        </w:trPr>
        <w:tc>
          <w:tcPr>
            <w:tcW w:w="3416" w:type="dxa"/>
          </w:tcPr>
          <w:p>
            <w:pPr>
              <w:pStyle w:val="TableParagraph"/>
              <w:spacing w:line="206" w:lineRule="exact"/>
              <w:ind w:left="98"/>
              <w:rPr>
                <w:sz w:val="18"/>
              </w:rPr>
            </w:pPr>
            <w:r>
              <w:rPr>
                <w:sz w:val="18"/>
              </w:rPr>
              <w:t>Accumulated Retained Earnings</w:t>
            </w:r>
          </w:p>
        </w:tc>
        <w:tc>
          <w:tcPr>
            <w:tcW w:w="1985" w:type="dxa"/>
          </w:tcPr>
          <w:p>
            <w:pPr>
              <w:pStyle w:val="TableParagraph"/>
              <w:spacing w:line="206" w:lineRule="exact"/>
              <w:ind w:right="51"/>
              <w:jc w:val="right"/>
              <w:rPr>
                <w:sz w:val="18"/>
              </w:rPr>
            </w:pPr>
            <w:r>
              <w:rPr>
                <w:sz w:val="18"/>
              </w:rPr>
              <w:t>($1,229,830)</w:t>
            </w:r>
          </w:p>
        </w:tc>
        <w:tc>
          <w:tcPr>
            <w:tcW w:w="1985" w:type="dxa"/>
          </w:tcPr>
          <w:p>
            <w:pPr/>
          </w:p>
        </w:tc>
        <w:tc>
          <w:tcPr>
            <w:tcW w:w="1700" w:type="dxa"/>
          </w:tcPr>
          <w:p>
            <w:pPr/>
          </w:p>
        </w:tc>
      </w:tr>
    </w:tbl>
    <w:p>
      <w:pPr>
        <w:pStyle w:val="BodyText"/>
        <w:spacing w:before="3"/>
        <w:rPr>
          <w:sz w:val="11"/>
        </w:rPr>
      </w:pPr>
    </w:p>
    <w:p>
      <w:pPr>
        <w:pStyle w:val="BodyText"/>
        <w:spacing w:before="77"/>
        <w:ind w:left="138" w:right="106"/>
      </w:pPr>
      <w:r>
        <w:rPr/>
        <w:t>Financial KPI’s were achieved with the budgeted operating surplus being met due to forgiveness of debt obligation to the University totalling $3.935M.</w:t>
      </w:r>
    </w:p>
    <w:p>
      <w:pPr>
        <w:pStyle w:val="BodyText"/>
      </w:pPr>
    </w:p>
    <w:p>
      <w:pPr>
        <w:pStyle w:val="BodyText"/>
        <w:ind w:left="138" w:right="127"/>
      </w:pPr>
      <w:r>
        <w:rPr/>
        <w:t>Non-financial KPI’s related primarily to the centralisation of shared services, including Finance and Administration, IT, Visual Communications and Human Resources, and inventory reduction.</w:t>
      </w:r>
    </w:p>
    <w:p>
      <w:pPr>
        <w:pStyle w:val="BodyText"/>
      </w:pPr>
    </w:p>
    <w:p>
      <w:pPr>
        <w:pStyle w:val="BodyText"/>
        <w:ind w:left="138" w:right="758"/>
      </w:pPr>
      <w:r>
        <w:rPr>
          <w:color w:val="0D0D0D"/>
        </w:rPr>
        <w:t>As a key provider of student services Western Unlimited receives some ongoing financial support from the University.</w:t>
      </w:r>
    </w:p>
    <w:p>
      <w:pPr>
        <w:pStyle w:val="BodyText"/>
      </w:pPr>
    </w:p>
    <w:p>
      <w:pPr>
        <w:pStyle w:val="BodyText"/>
        <w:ind w:left="138" w:right="456"/>
      </w:pPr>
      <w:r>
        <w:rPr>
          <w:u w:val="single"/>
        </w:rPr>
        <w:t>Management and Operations</w:t>
      </w:r>
    </w:p>
    <w:p>
      <w:pPr>
        <w:pStyle w:val="BodyText"/>
        <w:ind w:left="138" w:right="207"/>
      </w:pPr>
      <w:r>
        <w:rPr/>
        <w:t>Western Unlimited Ltd is a wholly owned entity of Western Sydney University. An independent Board of Directors is responsible for the overall operations of the Company.</w:t>
      </w:r>
    </w:p>
    <w:p>
      <w:pPr>
        <w:pStyle w:val="BodyText"/>
      </w:pPr>
    </w:p>
    <w:p>
      <w:pPr>
        <w:pStyle w:val="Heading3"/>
        <w:spacing w:before="116"/>
        <w:ind w:left="138" w:right="456"/>
      </w:pPr>
      <w:r>
        <w:rPr>
          <w:color w:val="0D0D0D"/>
        </w:rPr>
        <w:t>Western Sydney University Early Learning Limited</w:t>
      </w:r>
    </w:p>
    <w:p>
      <w:pPr>
        <w:pStyle w:val="BodyText"/>
        <w:spacing w:line="207" w:lineRule="exact" w:before="206"/>
        <w:ind w:left="138" w:right="456"/>
      </w:pPr>
      <w:r>
        <w:rPr>
          <w:u w:val="single"/>
        </w:rPr>
        <w:t>Principal Objectives</w:t>
      </w:r>
    </w:p>
    <w:p>
      <w:pPr>
        <w:pStyle w:val="BodyText"/>
        <w:ind w:left="138" w:right="356"/>
      </w:pPr>
      <w:r>
        <w:rPr/>
        <w:t>The principal objective of the Company is to provide affordable, high quality early childhood care and education for the children of Western Sydney University staff, students and the local community.</w:t>
      </w:r>
    </w:p>
    <w:p>
      <w:pPr>
        <w:pStyle w:val="BodyText"/>
      </w:pPr>
    </w:p>
    <w:p>
      <w:pPr>
        <w:pStyle w:val="BodyText"/>
        <w:spacing w:line="207" w:lineRule="exact"/>
        <w:ind w:left="138" w:right="456"/>
      </w:pPr>
      <w:r>
        <w:rPr>
          <w:u w:val="single"/>
        </w:rPr>
        <w:t>Principal Activities and Strategic Projects</w:t>
      </w:r>
    </w:p>
    <w:p>
      <w:pPr>
        <w:pStyle w:val="BodyText"/>
        <w:ind w:left="184" w:right="106"/>
      </w:pPr>
      <w:r>
        <w:rPr>
          <w:color w:val="0D0D0D"/>
        </w:rPr>
        <w:t>To provide affordable, high quality early childhood care and education for the children of Western Sydney University staff, students and the local community. The provision of this service is campus based to enable staff, students and the local community the greatest opportunity to balance work and study commitments with childrearing.</w:t>
      </w:r>
    </w:p>
    <w:p>
      <w:pPr>
        <w:pStyle w:val="BodyText"/>
      </w:pPr>
    </w:p>
    <w:p>
      <w:pPr>
        <w:pStyle w:val="BodyText"/>
        <w:spacing w:line="207" w:lineRule="exact"/>
        <w:ind w:left="184" w:right="456"/>
      </w:pPr>
      <w:r>
        <w:rPr>
          <w:color w:val="0D0D0D"/>
          <w:u w:val="single" w:color="0D0D0D"/>
        </w:rPr>
        <w:t>Performance Measures</w:t>
      </w:r>
    </w:p>
    <w:p>
      <w:pPr>
        <w:pStyle w:val="BodyText"/>
        <w:ind w:left="184" w:right="106"/>
      </w:pPr>
      <w:r>
        <w:rPr>
          <w:color w:val="0D0D0D"/>
        </w:rPr>
        <w:t>The performance measures of the company are both financial and non-financial. The Company has adopted the following key performance indicators</w:t>
      </w:r>
    </w:p>
    <w:p>
      <w:pPr>
        <w:pStyle w:val="ListParagraph"/>
        <w:numPr>
          <w:ilvl w:val="1"/>
          <w:numId w:val="100"/>
        </w:numPr>
        <w:tabs>
          <w:tab w:pos="904" w:val="left" w:leader="none"/>
        </w:tabs>
        <w:spacing w:line="219" w:lineRule="exact" w:before="0" w:after="0"/>
        <w:ind w:left="904" w:right="0" w:hanging="360"/>
        <w:jc w:val="left"/>
        <w:rPr>
          <w:color w:val="0D0D0D"/>
          <w:sz w:val="18"/>
        </w:rPr>
      </w:pPr>
      <w:r>
        <w:rPr>
          <w:color w:val="0D0D0D"/>
          <w:sz w:val="18"/>
        </w:rPr>
        <w:t>Ensure</w:t>
      </w:r>
      <w:r>
        <w:rPr>
          <w:color w:val="0D0D0D"/>
          <w:spacing w:val="-4"/>
          <w:sz w:val="18"/>
        </w:rPr>
        <w:t> </w:t>
      </w:r>
      <w:r>
        <w:rPr>
          <w:color w:val="0D0D0D"/>
          <w:sz w:val="18"/>
        </w:rPr>
        <w:t>all</w:t>
      </w:r>
      <w:r>
        <w:rPr>
          <w:color w:val="0D0D0D"/>
          <w:spacing w:val="-4"/>
          <w:sz w:val="18"/>
        </w:rPr>
        <w:t> </w:t>
      </w:r>
      <w:r>
        <w:rPr>
          <w:color w:val="0D0D0D"/>
          <w:sz w:val="18"/>
        </w:rPr>
        <w:t>services</w:t>
      </w:r>
      <w:r>
        <w:rPr>
          <w:color w:val="0D0D0D"/>
          <w:spacing w:val="-4"/>
          <w:sz w:val="18"/>
        </w:rPr>
        <w:t> </w:t>
      </w:r>
      <w:r>
        <w:rPr>
          <w:color w:val="0D0D0D"/>
          <w:sz w:val="18"/>
        </w:rPr>
        <w:t>at</w:t>
      </w:r>
      <w:r>
        <w:rPr>
          <w:color w:val="0D0D0D"/>
          <w:spacing w:val="-4"/>
          <w:sz w:val="18"/>
        </w:rPr>
        <w:t> </w:t>
      </w:r>
      <w:r>
        <w:rPr>
          <w:color w:val="0D0D0D"/>
          <w:sz w:val="18"/>
        </w:rPr>
        <w:t>least</w:t>
      </w:r>
      <w:r>
        <w:rPr>
          <w:color w:val="0D0D0D"/>
          <w:spacing w:val="-4"/>
          <w:sz w:val="18"/>
        </w:rPr>
        <w:t> </w:t>
      </w:r>
      <w:r>
        <w:rPr>
          <w:color w:val="0D0D0D"/>
          <w:sz w:val="18"/>
        </w:rPr>
        <w:t>meet</w:t>
      </w:r>
      <w:r>
        <w:rPr>
          <w:color w:val="0D0D0D"/>
          <w:spacing w:val="-4"/>
          <w:sz w:val="18"/>
        </w:rPr>
        <w:t> </w:t>
      </w:r>
      <w:r>
        <w:rPr>
          <w:color w:val="0D0D0D"/>
          <w:sz w:val="18"/>
        </w:rPr>
        <w:t>Education</w:t>
      </w:r>
      <w:r>
        <w:rPr>
          <w:color w:val="0D0D0D"/>
          <w:spacing w:val="-3"/>
          <w:sz w:val="18"/>
        </w:rPr>
        <w:t> </w:t>
      </w:r>
      <w:r>
        <w:rPr>
          <w:color w:val="0D0D0D"/>
          <w:sz w:val="18"/>
        </w:rPr>
        <w:t>and</w:t>
      </w:r>
      <w:r>
        <w:rPr>
          <w:color w:val="0D0D0D"/>
          <w:spacing w:val="-4"/>
          <w:sz w:val="18"/>
        </w:rPr>
        <w:t> </w:t>
      </w:r>
      <w:r>
        <w:rPr>
          <w:color w:val="0D0D0D"/>
          <w:sz w:val="18"/>
        </w:rPr>
        <w:t>Care</w:t>
      </w:r>
      <w:r>
        <w:rPr>
          <w:color w:val="0D0D0D"/>
          <w:spacing w:val="-4"/>
          <w:sz w:val="18"/>
        </w:rPr>
        <w:t> </w:t>
      </w:r>
      <w:r>
        <w:rPr>
          <w:color w:val="0D0D0D"/>
          <w:sz w:val="18"/>
        </w:rPr>
        <w:t>National</w:t>
      </w:r>
      <w:r>
        <w:rPr>
          <w:color w:val="0D0D0D"/>
          <w:spacing w:val="-4"/>
          <w:sz w:val="18"/>
        </w:rPr>
        <w:t> </w:t>
      </w:r>
      <w:r>
        <w:rPr>
          <w:color w:val="0D0D0D"/>
          <w:sz w:val="18"/>
        </w:rPr>
        <w:t>Quality</w:t>
      </w:r>
      <w:r>
        <w:rPr>
          <w:color w:val="0D0D0D"/>
          <w:spacing w:val="-6"/>
          <w:sz w:val="18"/>
        </w:rPr>
        <w:t> </w:t>
      </w:r>
      <w:r>
        <w:rPr>
          <w:color w:val="0D0D0D"/>
          <w:sz w:val="18"/>
        </w:rPr>
        <w:t>Standards</w:t>
      </w:r>
    </w:p>
    <w:p>
      <w:pPr>
        <w:pStyle w:val="ListParagraph"/>
        <w:numPr>
          <w:ilvl w:val="1"/>
          <w:numId w:val="100"/>
        </w:numPr>
        <w:tabs>
          <w:tab w:pos="904" w:val="left" w:leader="none"/>
        </w:tabs>
        <w:spacing w:line="219" w:lineRule="exact" w:before="0" w:after="0"/>
        <w:ind w:left="904" w:right="0" w:hanging="360"/>
        <w:jc w:val="left"/>
        <w:rPr>
          <w:color w:val="0D0D0D"/>
          <w:sz w:val="18"/>
        </w:rPr>
      </w:pPr>
      <w:r>
        <w:rPr>
          <w:color w:val="0D0D0D"/>
          <w:sz w:val="18"/>
        </w:rPr>
        <w:t>Utilisation</w:t>
      </w:r>
      <w:r>
        <w:rPr>
          <w:color w:val="0D0D0D"/>
          <w:spacing w:val="-6"/>
          <w:sz w:val="18"/>
        </w:rPr>
        <w:t> </w:t>
      </w:r>
      <w:r>
        <w:rPr>
          <w:color w:val="0D0D0D"/>
          <w:sz w:val="18"/>
        </w:rPr>
        <w:t>rates</w:t>
      </w:r>
      <w:r>
        <w:rPr>
          <w:color w:val="0D0D0D"/>
          <w:spacing w:val="-6"/>
          <w:sz w:val="18"/>
        </w:rPr>
        <w:t> </w:t>
      </w:r>
      <w:r>
        <w:rPr>
          <w:color w:val="0D0D0D"/>
          <w:sz w:val="18"/>
        </w:rPr>
        <w:t>at</w:t>
      </w:r>
      <w:r>
        <w:rPr>
          <w:color w:val="0D0D0D"/>
          <w:spacing w:val="-6"/>
          <w:sz w:val="18"/>
        </w:rPr>
        <w:t> </w:t>
      </w:r>
      <w:r>
        <w:rPr>
          <w:color w:val="0D0D0D"/>
          <w:sz w:val="18"/>
        </w:rPr>
        <w:t>all</w:t>
      </w:r>
      <w:r>
        <w:rPr>
          <w:color w:val="0D0D0D"/>
          <w:spacing w:val="-6"/>
          <w:sz w:val="18"/>
        </w:rPr>
        <w:t> </w:t>
      </w:r>
      <w:r>
        <w:rPr>
          <w:color w:val="0D0D0D"/>
          <w:sz w:val="18"/>
        </w:rPr>
        <w:t>Centres</w:t>
      </w:r>
      <w:r>
        <w:rPr>
          <w:color w:val="0D0D0D"/>
          <w:spacing w:val="-5"/>
          <w:sz w:val="18"/>
        </w:rPr>
        <w:t> </w:t>
      </w:r>
      <w:r>
        <w:rPr>
          <w:color w:val="0D0D0D"/>
          <w:sz w:val="18"/>
        </w:rPr>
        <w:t>increasing</w:t>
      </w:r>
      <w:r>
        <w:rPr>
          <w:color w:val="0D0D0D"/>
          <w:spacing w:val="-6"/>
          <w:sz w:val="18"/>
        </w:rPr>
        <w:t> </w:t>
      </w:r>
      <w:r>
        <w:rPr>
          <w:color w:val="0D0D0D"/>
          <w:sz w:val="18"/>
        </w:rPr>
        <w:t>and</w:t>
      </w:r>
      <w:r>
        <w:rPr>
          <w:color w:val="0D0D0D"/>
          <w:spacing w:val="-5"/>
          <w:sz w:val="18"/>
        </w:rPr>
        <w:t> </w:t>
      </w:r>
      <w:r>
        <w:rPr>
          <w:color w:val="0D0D0D"/>
          <w:sz w:val="18"/>
        </w:rPr>
        <w:t>stabilising</w:t>
      </w:r>
    </w:p>
    <w:p>
      <w:pPr>
        <w:pStyle w:val="ListParagraph"/>
        <w:numPr>
          <w:ilvl w:val="1"/>
          <w:numId w:val="100"/>
        </w:numPr>
        <w:tabs>
          <w:tab w:pos="904" w:val="left" w:leader="none"/>
        </w:tabs>
        <w:spacing w:line="219" w:lineRule="exact" w:before="0" w:after="0"/>
        <w:ind w:left="904" w:right="0" w:hanging="360"/>
        <w:jc w:val="left"/>
        <w:rPr>
          <w:color w:val="0D0D0D"/>
          <w:sz w:val="18"/>
        </w:rPr>
      </w:pPr>
      <w:r>
        <w:rPr>
          <w:color w:val="0D0D0D"/>
          <w:sz w:val="18"/>
        </w:rPr>
        <w:t>Centralisation</w:t>
      </w:r>
      <w:r>
        <w:rPr>
          <w:color w:val="0D0D0D"/>
          <w:spacing w:val="-6"/>
          <w:sz w:val="18"/>
        </w:rPr>
        <w:t> </w:t>
      </w:r>
      <w:r>
        <w:rPr>
          <w:color w:val="0D0D0D"/>
          <w:sz w:val="18"/>
        </w:rPr>
        <w:t>of</w:t>
      </w:r>
      <w:r>
        <w:rPr>
          <w:color w:val="0D0D0D"/>
          <w:spacing w:val="-7"/>
          <w:sz w:val="18"/>
        </w:rPr>
        <w:t> </w:t>
      </w:r>
      <w:r>
        <w:rPr>
          <w:color w:val="0D0D0D"/>
          <w:sz w:val="18"/>
        </w:rPr>
        <w:t>the</w:t>
      </w:r>
      <w:r>
        <w:rPr>
          <w:color w:val="0D0D0D"/>
          <w:spacing w:val="-7"/>
          <w:sz w:val="18"/>
        </w:rPr>
        <w:t> </w:t>
      </w:r>
      <w:r>
        <w:rPr>
          <w:color w:val="0D0D0D"/>
          <w:sz w:val="18"/>
        </w:rPr>
        <w:t>Financial</w:t>
      </w:r>
      <w:r>
        <w:rPr>
          <w:color w:val="0D0D0D"/>
          <w:spacing w:val="-6"/>
          <w:sz w:val="18"/>
        </w:rPr>
        <w:t> </w:t>
      </w:r>
      <w:r>
        <w:rPr>
          <w:color w:val="0D0D0D"/>
          <w:sz w:val="18"/>
        </w:rPr>
        <w:t>and</w:t>
      </w:r>
      <w:r>
        <w:rPr>
          <w:color w:val="0D0D0D"/>
          <w:spacing w:val="-7"/>
          <w:sz w:val="18"/>
        </w:rPr>
        <w:t> </w:t>
      </w:r>
      <w:r>
        <w:rPr>
          <w:color w:val="0D0D0D"/>
          <w:sz w:val="18"/>
        </w:rPr>
        <w:t>Administrative</w:t>
      </w:r>
      <w:r>
        <w:rPr>
          <w:color w:val="0D0D0D"/>
          <w:spacing w:val="-7"/>
          <w:sz w:val="18"/>
        </w:rPr>
        <w:t> </w:t>
      </w:r>
      <w:r>
        <w:rPr>
          <w:color w:val="0D0D0D"/>
          <w:sz w:val="18"/>
        </w:rPr>
        <w:t>functions</w:t>
      </w:r>
    </w:p>
    <w:p>
      <w:pPr>
        <w:pStyle w:val="ListParagraph"/>
        <w:numPr>
          <w:ilvl w:val="1"/>
          <w:numId w:val="100"/>
        </w:numPr>
        <w:tabs>
          <w:tab w:pos="904" w:val="left" w:leader="none"/>
        </w:tabs>
        <w:spacing w:line="240" w:lineRule="auto" w:before="0" w:after="0"/>
        <w:ind w:left="904" w:right="635" w:hanging="360"/>
        <w:jc w:val="left"/>
        <w:rPr>
          <w:color w:val="0D0D0D"/>
          <w:sz w:val="18"/>
        </w:rPr>
      </w:pPr>
      <w:r>
        <w:rPr>
          <w:color w:val="0D0D0D"/>
          <w:sz w:val="18"/>
        </w:rPr>
        <w:t>Financial operations of the Company now consolidated into the University’s financial reporting and budgeting</w:t>
      </w:r>
      <w:r>
        <w:rPr>
          <w:color w:val="0D0D0D"/>
          <w:spacing w:val="-9"/>
          <w:sz w:val="18"/>
        </w:rPr>
        <w:t> </w:t>
      </w:r>
      <w:r>
        <w:rPr>
          <w:color w:val="0D0D0D"/>
          <w:sz w:val="18"/>
        </w:rPr>
        <w:t>cycle</w:t>
      </w:r>
    </w:p>
    <w:p>
      <w:pPr>
        <w:pStyle w:val="ListParagraph"/>
        <w:numPr>
          <w:ilvl w:val="1"/>
          <w:numId w:val="100"/>
        </w:numPr>
        <w:tabs>
          <w:tab w:pos="904" w:val="left" w:leader="none"/>
        </w:tabs>
        <w:spacing w:line="219" w:lineRule="exact" w:before="0" w:after="0"/>
        <w:ind w:left="904" w:right="0" w:hanging="360"/>
        <w:jc w:val="left"/>
        <w:rPr>
          <w:color w:val="0D0D0D"/>
          <w:sz w:val="18"/>
        </w:rPr>
      </w:pPr>
      <w:r>
        <w:rPr>
          <w:color w:val="0D0D0D"/>
          <w:sz w:val="18"/>
        </w:rPr>
        <w:t>Continuing</w:t>
      </w:r>
      <w:r>
        <w:rPr>
          <w:color w:val="0D0D0D"/>
          <w:spacing w:val="-5"/>
          <w:sz w:val="18"/>
        </w:rPr>
        <w:t> </w:t>
      </w:r>
      <w:r>
        <w:rPr>
          <w:color w:val="0D0D0D"/>
          <w:sz w:val="18"/>
        </w:rPr>
        <w:t>to</w:t>
      </w:r>
      <w:r>
        <w:rPr>
          <w:color w:val="0D0D0D"/>
          <w:spacing w:val="-5"/>
          <w:sz w:val="18"/>
        </w:rPr>
        <w:t> </w:t>
      </w:r>
      <w:r>
        <w:rPr>
          <w:color w:val="0D0D0D"/>
          <w:sz w:val="18"/>
        </w:rPr>
        <w:t>explore</w:t>
      </w:r>
      <w:r>
        <w:rPr>
          <w:color w:val="0D0D0D"/>
          <w:spacing w:val="-3"/>
          <w:sz w:val="18"/>
        </w:rPr>
        <w:t> </w:t>
      </w:r>
      <w:r>
        <w:rPr>
          <w:color w:val="0D0D0D"/>
          <w:sz w:val="18"/>
        </w:rPr>
        <w:t>ways</w:t>
      </w:r>
      <w:r>
        <w:rPr>
          <w:color w:val="0D0D0D"/>
          <w:spacing w:val="-5"/>
          <w:sz w:val="18"/>
        </w:rPr>
        <w:t> </w:t>
      </w:r>
      <w:r>
        <w:rPr>
          <w:color w:val="0D0D0D"/>
          <w:sz w:val="18"/>
        </w:rPr>
        <w:t>of</w:t>
      </w:r>
      <w:r>
        <w:rPr>
          <w:color w:val="0D0D0D"/>
          <w:spacing w:val="-5"/>
          <w:sz w:val="18"/>
        </w:rPr>
        <w:t> </w:t>
      </w:r>
      <w:r>
        <w:rPr>
          <w:color w:val="0D0D0D"/>
          <w:sz w:val="18"/>
        </w:rPr>
        <w:t>offering</w:t>
      </w:r>
      <w:r>
        <w:rPr>
          <w:color w:val="0D0D0D"/>
          <w:spacing w:val="-5"/>
          <w:sz w:val="18"/>
        </w:rPr>
        <w:t> </w:t>
      </w:r>
      <w:r>
        <w:rPr>
          <w:color w:val="0D0D0D"/>
          <w:sz w:val="18"/>
        </w:rPr>
        <w:t>casual</w:t>
      </w:r>
      <w:r>
        <w:rPr>
          <w:color w:val="0D0D0D"/>
          <w:spacing w:val="-5"/>
          <w:sz w:val="18"/>
        </w:rPr>
        <w:t> </w:t>
      </w:r>
      <w:r>
        <w:rPr>
          <w:color w:val="0D0D0D"/>
          <w:sz w:val="18"/>
        </w:rPr>
        <w:t>care</w:t>
      </w:r>
      <w:r>
        <w:rPr>
          <w:color w:val="0D0D0D"/>
          <w:spacing w:val="-5"/>
          <w:sz w:val="18"/>
        </w:rPr>
        <w:t> </w:t>
      </w:r>
      <w:r>
        <w:rPr>
          <w:color w:val="0D0D0D"/>
          <w:sz w:val="18"/>
        </w:rPr>
        <w:t>in</w:t>
      </w:r>
      <w:r>
        <w:rPr>
          <w:color w:val="0D0D0D"/>
          <w:spacing w:val="-5"/>
          <w:sz w:val="18"/>
        </w:rPr>
        <w:t> </w:t>
      </w:r>
      <w:r>
        <w:rPr>
          <w:color w:val="0D0D0D"/>
          <w:sz w:val="18"/>
        </w:rPr>
        <w:t>addition</w:t>
      </w:r>
      <w:r>
        <w:rPr>
          <w:color w:val="0D0D0D"/>
          <w:spacing w:val="-4"/>
          <w:sz w:val="18"/>
        </w:rPr>
        <w:t> </w:t>
      </w:r>
      <w:r>
        <w:rPr>
          <w:color w:val="0D0D0D"/>
          <w:sz w:val="18"/>
        </w:rPr>
        <w:t>to</w:t>
      </w:r>
      <w:r>
        <w:rPr>
          <w:color w:val="0D0D0D"/>
          <w:spacing w:val="-5"/>
          <w:sz w:val="18"/>
        </w:rPr>
        <w:t> </w:t>
      </w:r>
      <w:r>
        <w:rPr>
          <w:color w:val="0D0D0D"/>
          <w:sz w:val="18"/>
        </w:rPr>
        <w:t>permanent</w:t>
      </w:r>
      <w:r>
        <w:rPr>
          <w:color w:val="0D0D0D"/>
          <w:spacing w:val="-5"/>
          <w:sz w:val="18"/>
        </w:rPr>
        <w:t> </w:t>
      </w:r>
      <w:r>
        <w:rPr>
          <w:color w:val="0D0D0D"/>
          <w:sz w:val="18"/>
        </w:rPr>
        <w:t>placement</w:t>
      </w:r>
    </w:p>
    <w:p>
      <w:pPr>
        <w:pStyle w:val="ListParagraph"/>
        <w:numPr>
          <w:ilvl w:val="1"/>
          <w:numId w:val="100"/>
        </w:numPr>
        <w:tabs>
          <w:tab w:pos="904" w:val="left" w:leader="none"/>
        </w:tabs>
        <w:spacing w:line="219" w:lineRule="exact" w:before="0" w:after="0"/>
        <w:ind w:left="904" w:right="0" w:hanging="360"/>
        <w:jc w:val="left"/>
        <w:rPr>
          <w:color w:val="0D0D0D"/>
          <w:sz w:val="18"/>
        </w:rPr>
      </w:pPr>
      <w:r>
        <w:rPr>
          <w:color w:val="0D0D0D"/>
          <w:sz w:val="18"/>
        </w:rPr>
        <w:t>Community</w:t>
      </w:r>
      <w:r>
        <w:rPr>
          <w:color w:val="0D0D0D"/>
          <w:spacing w:val="-14"/>
          <w:sz w:val="18"/>
        </w:rPr>
        <w:t> </w:t>
      </w:r>
      <w:r>
        <w:rPr>
          <w:color w:val="0D0D0D"/>
          <w:sz w:val="18"/>
        </w:rPr>
        <w:t>Engagement</w:t>
      </w:r>
    </w:p>
    <w:p>
      <w:pPr>
        <w:spacing w:after="0" w:line="219" w:lineRule="exact"/>
        <w:jc w:val="left"/>
        <w:rPr>
          <w:sz w:val="18"/>
        </w:rPr>
        <w:sectPr>
          <w:pgSz w:w="11910" w:h="16840"/>
          <w:pgMar w:header="693" w:footer="507" w:top="900" w:bottom="700" w:left="1320" w:right="1240"/>
        </w:sectPr>
      </w:pPr>
    </w:p>
    <w:p>
      <w:pPr>
        <w:pStyle w:val="BodyText"/>
        <w:rPr>
          <w:sz w:val="20"/>
        </w:rPr>
      </w:pPr>
    </w:p>
    <w:p>
      <w:pPr>
        <w:pStyle w:val="BodyText"/>
        <w:spacing w:before="4"/>
        <w:rPr>
          <w:sz w:val="26"/>
        </w:rPr>
      </w:pPr>
    </w:p>
    <w:tbl>
      <w:tblPr>
        <w:tblW w:w="0" w:type="auto"/>
        <w:jc w:val="left"/>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16"/>
        <w:gridCol w:w="1985"/>
        <w:gridCol w:w="1985"/>
        <w:gridCol w:w="1700"/>
      </w:tblGrid>
      <w:tr>
        <w:trPr>
          <w:trHeight w:val="601" w:hRule="exact"/>
        </w:trPr>
        <w:tc>
          <w:tcPr>
            <w:tcW w:w="3416" w:type="dxa"/>
          </w:tcPr>
          <w:p>
            <w:pPr>
              <w:pStyle w:val="TableParagraph"/>
              <w:spacing w:before="2"/>
              <w:rPr>
                <w:sz w:val="16"/>
              </w:rPr>
            </w:pPr>
          </w:p>
          <w:p>
            <w:pPr>
              <w:pStyle w:val="TableParagraph"/>
              <w:ind w:left="98"/>
              <w:rPr>
                <w:b/>
                <w:i/>
                <w:sz w:val="18"/>
              </w:rPr>
            </w:pPr>
            <w:r>
              <w:rPr>
                <w:b/>
                <w:i/>
                <w:sz w:val="18"/>
              </w:rPr>
              <w:t>Category</w:t>
            </w:r>
          </w:p>
        </w:tc>
        <w:tc>
          <w:tcPr>
            <w:tcW w:w="1985" w:type="dxa"/>
          </w:tcPr>
          <w:p>
            <w:pPr>
              <w:pStyle w:val="TableParagraph"/>
              <w:spacing w:before="2"/>
              <w:rPr>
                <w:sz w:val="16"/>
              </w:rPr>
            </w:pPr>
          </w:p>
          <w:p>
            <w:pPr>
              <w:pStyle w:val="TableParagraph"/>
              <w:ind w:right="96"/>
              <w:jc w:val="right"/>
              <w:rPr>
                <w:b/>
                <w:i/>
                <w:sz w:val="18"/>
              </w:rPr>
            </w:pPr>
            <w:r>
              <w:rPr>
                <w:b/>
                <w:i/>
                <w:sz w:val="18"/>
              </w:rPr>
              <w:t>FY 2017 Actual</w:t>
            </w:r>
          </w:p>
        </w:tc>
        <w:tc>
          <w:tcPr>
            <w:tcW w:w="1985" w:type="dxa"/>
          </w:tcPr>
          <w:p>
            <w:pPr>
              <w:pStyle w:val="TableParagraph"/>
              <w:spacing w:before="2"/>
              <w:rPr>
                <w:sz w:val="16"/>
              </w:rPr>
            </w:pPr>
          </w:p>
          <w:p>
            <w:pPr>
              <w:pStyle w:val="TableParagraph"/>
              <w:ind w:right="97"/>
              <w:jc w:val="right"/>
              <w:rPr>
                <w:b/>
                <w:i/>
                <w:sz w:val="18"/>
              </w:rPr>
            </w:pPr>
            <w:r>
              <w:rPr>
                <w:b/>
                <w:i/>
                <w:sz w:val="18"/>
              </w:rPr>
              <w:t>Annual 2017 Budget</w:t>
            </w:r>
          </w:p>
        </w:tc>
        <w:tc>
          <w:tcPr>
            <w:tcW w:w="1700" w:type="dxa"/>
          </w:tcPr>
          <w:p>
            <w:pPr>
              <w:pStyle w:val="TableParagraph"/>
              <w:spacing w:before="82"/>
              <w:ind w:left="812" w:right="77" w:hanging="179"/>
              <w:rPr>
                <w:b/>
                <w:i/>
                <w:sz w:val="18"/>
              </w:rPr>
            </w:pPr>
            <w:r>
              <w:rPr>
                <w:b/>
                <w:i/>
                <w:sz w:val="18"/>
              </w:rPr>
              <w:t>% Full year </w:t>
            </w:r>
            <w:r>
              <w:rPr>
                <w:b/>
                <w:i/>
                <w:sz w:val="18"/>
              </w:rPr>
              <w:t>achieved</w:t>
            </w:r>
          </w:p>
        </w:tc>
      </w:tr>
      <w:tr>
        <w:trPr>
          <w:trHeight w:val="290" w:hRule="exact"/>
        </w:trPr>
        <w:tc>
          <w:tcPr>
            <w:tcW w:w="3416" w:type="dxa"/>
          </w:tcPr>
          <w:p>
            <w:pPr>
              <w:pStyle w:val="TableParagraph"/>
              <w:spacing w:before="61"/>
              <w:ind w:left="98"/>
              <w:rPr>
                <w:sz w:val="18"/>
              </w:rPr>
            </w:pPr>
            <w:r>
              <w:rPr>
                <w:sz w:val="18"/>
              </w:rPr>
              <w:t>Revenue</w:t>
            </w:r>
          </w:p>
        </w:tc>
        <w:tc>
          <w:tcPr>
            <w:tcW w:w="1985" w:type="dxa"/>
          </w:tcPr>
          <w:p>
            <w:pPr>
              <w:pStyle w:val="TableParagraph"/>
              <w:spacing w:before="61"/>
              <w:ind w:right="97"/>
              <w:jc w:val="right"/>
              <w:rPr>
                <w:sz w:val="18"/>
              </w:rPr>
            </w:pPr>
            <w:r>
              <w:rPr>
                <w:sz w:val="18"/>
              </w:rPr>
              <w:t>$7,041,702</w:t>
            </w:r>
          </w:p>
        </w:tc>
        <w:tc>
          <w:tcPr>
            <w:tcW w:w="1985" w:type="dxa"/>
          </w:tcPr>
          <w:p>
            <w:pPr>
              <w:pStyle w:val="TableParagraph"/>
              <w:spacing w:before="61"/>
              <w:ind w:right="98"/>
              <w:jc w:val="right"/>
              <w:rPr>
                <w:sz w:val="18"/>
              </w:rPr>
            </w:pPr>
            <w:r>
              <w:rPr>
                <w:sz w:val="18"/>
              </w:rPr>
              <w:t>$6,864,438</w:t>
            </w:r>
          </w:p>
        </w:tc>
        <w:tc>
          <w:tcPr>
            <w:tcW w:w="1700" w:type="dxa"/>
          </w:tcPr>
          <w:p>
            <w:pPr>
              <w:pStyle w:val="TableParagraph"/>
              <w:spacing w:before="61"/>
              <w:ind w:right="97"/>
              <w:jc w:val="right"/>
              <w:rPr>
                <w:sz w:val="18"/>
              </w:rPr>
            </w:pPr>
            <w:r>
              <w:rPr>
                <w:sz w:val="18"/>
              </w:rPr>
              <w:t>103%</w:t>
            </w:r>
          </w:p>
        </w:tc>
      </w:tr>
      <w:tr>
        <w:trPr>
          <w:trHeight w:val="289" w:hRule="exact"/>
        </w:trPr>
        <w:tc>
          <w:tcPr>
            <w:tcW w:w="3416" w:type="dxa"/>
          </w:tcPr>
          <w:p>
            <w:pPr>
              <w:pStyle w:val="TableParagraph"/>
              <w:spacing w:before="61"/>
              <w:ind w:left="98"/>
              <w:rPr>
                <w:sz w:val="18"/>
              </w:rPr>
            </w:pPr>
            <w:r>
              <w:rPr>
                <w:sz w:val="18"/>
              </w:rPr>
              <w:t>Expenses</w:t>
            </w:r>
          </w:p>
        </w:tc>
        <w:tc>
          <w:tcPr>
            <w:tcW w:w="1985" w:type="dxa"/>
          </w:tcPr>
          <w:p>
            <w:pPr>
              <w:pStyle w:val="TableParagraph"/>
              <w:spacing w:before="61"/>
              <w:ind w:right="97"/>
              <w:jc w:val="right"/>
              <w:rPr>
                <w:sz w:val="18"/>
              </w:rPr>
            </w:pPr>
            <w:r>
              <w:rPr>
                <w:sz w:val="18"/>
              </w:rPr>
              <w:t>$6,666,871</w:t>
            </w:r>
          </w:p>
        </w:tc>
        <w:tc>
          <w:tcPr>
            <w:tcW w:w="1985" w:type="dxa"/>
          </w:tcPr>
          <w:p>
            <w:pPr>
              <w:pStyle w:val="TableParagraph"/>
              <w:spacing w:before="61"/>
              <w:ind w:right="98"/>
              <w:jc w:val="right"/>
              <w:rPr>
                <w:sz w:val="18"/>
              </w:rPr>
            </w:pPr>
            <w:r>
              <w:rPr>
                <w:sz w:val="18"/>
              </w:rPr>
              <w:t>$6,707,707</w:t>
            </w:r>
          </w:p>
        </w:tc>
        <w:tc>
          <w:tcPr>
            <w:tcW w:w="1700" w:type="dxa"/>
          </w:tcPr>
          <w:p>
            <w:pPr>
              <w:pStyle w:val="TableParagraph"/>
              <w:spacing w:before="61"/>
              <w:ind w:right="97"/>
              <w:jc w:val="right"/>
              <w:rPr>
                <w:sz w:val="18"/>
              </w:rPr>
            </w:pPr>
            <w:r>
              <w:rPr>
                <w:sz w:val="18"/>
              </w:rPr>
              <w:t>99%</w:t>
            </w:r>
          </w:p>
        </w:tc>
      </w:tr>
      <w:tr>
        <w:trPr>
          <w:trHeight w:val="290" w:hRule="exact"/>
        </w:trPr>
        <w:tc>
          <w:tcPr>
            <w:tcW w:w="3416" w:type="dxa"/>
          </w:tcPr>
          <w:p>
            <w:pPr>
              <w:pStyle w:val="TableParagraph"/>
              <w:spacing w:before="60"/>
              <w:ind w:left="98"/>
              <w:rPr>
                <w:b/>
                <w:sz w:val="18"/>
              </w:rPr>
            </w:pPr>
            <w:r>
              <w:rPr>
                <w:b/>
                <w:sz w:val="18"/>
              </w:rPr>
              <w:t>Operating Surplus</w:t>
            </w:r>
          </w:p>
        </w:tc>
        <w:tc>
          <w:tcPr>
            <w:tcW w:w="1985" w:type="dxa"/>
          </w:tcPr>
          <w:p>
            <w:pPr>
              <w:pStyle w:val="TableParagraph"/>
              <w:spacing w:before="60"/>
              <w:ind w:right="97"/>
              <w:jc w:val="right"/>
              <w:rPr>
                <w:b/>
                <w:sz w:val="18"/>
              </w:rPr>
            </w:pPr>
            <w:r>
              <w:rPr>
                <w:b/>
                <w:sz w:val="18"/>
              </w:rPr>
              <w:t>$374,831</w:t>
            </w:r>
          </w:p>
        </w:tc>
        <w:tc>
          <w:tcPr>
            <w:tcW w:w="1985" w:type="dxa"/>
          </w:tcPr>
          <w:p>
            <w:pPr>
              <w:pStyle w:val="TableParagraph"/>
              <w:spacing w:before="60"/>
              <w:ind w:right="98"/>
              <w:jc w:val="right"/>
              <w:rPr>
                <w:b/>
                <w:sz w:val="18"/>
              </w:rPr>
            </w:pPr>
            <w:r>
              <w:rPr>
                <w:b/>
                <w:sz w:val="18"/>
              </w:rPr>
              <w:t>$156,731</w:t>
            </w:r>
          </w:p>
        </w:tc>
        <w:tc>
          <w:tcPr>
            <w:tcW w:w="1700" w:type="dxa"/>
          </w:tcPr>
          <w:p>
            <w:pPr>
              <w:pStyle w:val="TableParagraph"/>
              <w:spacing w:before="61"/>
              <w:ind w:right="97"/>
              <w:jc w:val="right"/>
              <w:rPr>
                <w:sz w:val="18"/>
              </w:rPr>
            </w:pPr>
            <w:r>
              <w:rPr>
                <w:sz w:val="18"/>
              </w:rPr>
              <w:t>0%</w:t>
            </w:r>
          </w:p>
        </w:tc>
      </w:tr>
      <w:tr>
        <w:trPr>
          <w:trHeight w:val="227" w:hRule="exact"/>
        </w:trPr>
        <w:tc>
          <w:tcPr>
            <w:tcW w:w="3416" w:type="dxa"/>
          </w:tcPr>
          <w:p>
            <w:pPr>
              <w:pStyle w:val="TableParagraph"/>
              <w:spacing w:line="206" w:lineRule="exact"/>
              <w:ind w:left="98"/>
              <w:rPr>
                <w:sz w:val="18"/>
              </w:rPr>
            </w:pPr>
            <w:r>
              <w:rPr>
                <w:sz w:val="18"/>
              </w:rPr>
              <w:t>Accumulated Retained Earnings</w:t>
            </w:r>
          </w:p>
        </w:tc>
        <w:tc>
          <w:tcPr>
            <w:tcW w:w="1985" w:type="dxa"/>
          </w:tcPr>
          <w:p>
            <w:pPr>
              <w:pStyle w:val="TableParagraph"/>
              <w:spacing w:line="206" w:lineRule="exact"/>
              <w:ind w:right="97"/>
              <w:jc w:val="right"/>
              <w:rPr>
                <w:sz w:val="18"/>
              </w:rPr>
            </w:pPr>
            <w:r>
              <w:rPr>
                <w:sz w:val="18"/>
              </w:rPr>
              <w:t>$1,428,886</w:t>
            </w:r>
          </w:p>
        </w:tc>
        <w:tc>
          <w:tcPr>
            <w:tcW w:w="1985" w:type="dxa"/>
          </w:tcPr>
          <w:p>
            <w:pPr/>
          </w:p>
        </w:tc>
        <w:tc>
          <w:tcPr>
            <w:tcW w:w="1700" w:type="dxa"/>
          </w:tcPr>
          <w:p>
            <w:pPr/>
          </w:p>
        </w:tc>
      </w:tr>
    </w:tbl>
    <w:p>
      <w:pPr>
        <w:pStyle w:val="BodyText"/>
        <w:spacing w:before="2"/>
        <w:rPr>
          <w:sz w:val="11"/>
        </w:rPr>
      </w:pPr>
    </w:p>
    <w:p>
      <w:pPr>
        <w:pStyle w:val="BodyText"/>
        <w:spacing w:before="77"/>
        <w:ind w:left="140" w:right="456"/>
      </w:pPr>
      <w:r>
        <w:rPr>
          <w:u w:val="single"/>
        </w:rPr>
        <w:t>Management and Operations</w:t>
      </w:r>
    </w:p>
    <w:p>
      <w:pPr>
        <w:pStyle w:val="BodyText"/>
        <w:ind w:left="140" w:right="216"/>
      </w:pPr>
      <w:r>
        <w:rPr/>
        <w:t>Western Sydney University Early Learning Limited is a wholly owned entity of the Western Sydney University. An independent Board of Directors is responsible for the overall operations of the Company.</w:t>
      </w:r>
    </w:p>
    <w:p>
      <w:pPr>
        <w:pStyle w:val="BodyText"/>
      </w:pPr>
    </w:p>
    <w:p>
      <w:pPr>
        <w:pStyle w:val="BodyText"/>
      </w:pPr>
    </w:p>
    <w:p>
      <w:pPr>
        <w:pStyle w:val="BodyText"/>
        <w:spacing w:before="1"/>
        <w:rPr>
          <w:sz w:val="17"/>
        </w:rPr>
      </w:pPr>
    </w:p>
    <w:p>
      <w:pPr>
        <w:pStyle w:val="Heading3"/>
        <w:spacing w:before="0"/>
        <w:ind w:left="140" w:right="2312"/>
      </w:pPr>
      <w:r>
        <w:rPr/>
        <w:t>Western Sydney University Enterprises Pty Limited (trading as Western Sydney University The College)</w:t>
      </w:r>
    </w:p>
    <w:p>
      <w:pPr>
        <w:pStyle w:val="BodyText"/>
        <w:spacing w:before="240"/>
        <w:ind w:left="140" w:right="456"/>
      </w:pPr>
      <w:r>
        <w:rPr>
          <w:u w:val="single"/>
        </w:rPr>
        <w:t>Principal Objectives</w:t>
      </w:r>
    </w:p>
    <w:p>
      <w:pPr>
        <w:pStyle w:val="BodyText"/>
        <w:spacing w:before="59"/>
        <w:ind w:left="140" w:right="235"/>
      </w:pPr>
      <w:r>
        <w:rPr/>
        <w:t>The principal objective of the company is to provide English and Academic Pathways programs to the University, complemented by other professional and community programs, consistent with Western Sydney University imperatives.</w:t>
      </w:r>
    </w:p>
    <w:p>
      <w:pPr>
        <w:pStyle w:val="BodyText"/>
      </w:pPr>
    </w:p>
    <w:p>
      <w:pPr>
        <w:pStyle w:val="BodyText"/>
        <w:spacing w:before="120"/>
        <w:ind w:left="140" w:right="456"/>
      </w:pPr>
      <w:r>
        <w:rPr>
          <w:u w:val="single"/>
        </w:rPr>
        <w:t>Principal Activities and Strategic Projects</w:t>
      </w:r>
    </w:p>
    <w:p>
      <w:pPr>
        <w:pStyle w:val="BodyText"/>
        <w:spacing w:before="60"/>
        <w:ind w:left="140" w:right="456"/>
      </w:pPr>
      <w:r>
        <w:rPr/>
        <w:t>The principal activities of the company are structured into the following three key areas:</w:t>
      </w:r>
    </w:p>
    <w:p>
      <w:pPr>
        <w:pStyle w:val="BodyText"/>
        <w:spacing w:before="11"/>
        <w:rPr>
          <w:sz w:val="17"/>
        </w:rPr>
      </w:pPr>
    </w:p>
    <w:p>
      <w:pPr>
        <w:pStyle w:val="ListParagraph"/>
        <w:numPr>
          <w:ilvl w:val="1"/>
          <w:numId w:val="100"/>
        </w:numPr>
        <w:tabs>
          <w:tab w:pos="860" w:val="left" w:leader="none"/>
        </w:tabs>
        <w:spacing w:line="240" w:lineRule="auto" w:before="0" w:after="0"/>
        <w:ind w:left="860" w:right="129" w:hanging="360"/>
        <w:jc w:val="left"/>
        <w:rPr>
          <w:sz w:val="18"/>
        </w:rPr>
      </w:pPr>
      <w:r>
        <w:rPr>
          <w:sz w:val="18"/>
        </w:rPr>
        <w:t>Academic Pathways which provides Foundation Studies and a variety of Diploma programs for students proceeding to an academic degree at Western Sydney University. The College continues to offer the Extended Four Term Diploma in addition to the existing University Foundation Studies and Diplomas courses (that are equivalent to first year University programs). The College also established the Western Sydney</w:t>
      </w:r>
      <w:r>
        <w:rPr>
          <w:spacing w:val="-6"/>
          <w:sz w:val="18"/>
        </w:rPr>
        <w:t> </w:t>
      </w:r>
      <w:r>
        <w:rPr>
          <w:sz w:val="18"/>
        </w:rPr>
        <w:t>University</w:t>
      </w:r>
      <w:r>
        <w:rPr>
          <w:spacing w:val="-7"/>
          <w:sz w:val="18"/>
        </w:rPr>
        <w:t> </w:t>
      </w:r>
      <w:r>
        <w:rPr>
          <w:sz w:val="18"/>
        </w:rPr>
        <w:t>International</w:t>
      </w:r>
      <w:r>
        <w:rPr>
          <w:spacing w:val="-5"/>
          <w:sz w:val="18"/>
        </w:rPr>
        <w:t> </w:t>
      </w:r>
      <w:r>
        <w:rPr>
          <w:sz w:val="18"/>
        </w:rPr>
        <w:t>College</w:t>
      </w:r>
      <w:r>
        <w:rPr>
          <w:spacing w:val="-5"/>
          <w:sz w:val="18"/>
        </w:rPr>
        <w:t> </w:t>
      </w:r>
      <w:r>
        <w:rPr>
          <w:sz w:val="18"/>
        </w:rPr>
        <w:t>(“the</w:t>
      </w:r>
      <w:r>
        <w:rPr>
          <w:spacing w:val="-5"/>
          <w:sz w:val="18"/>
        </w:rPr>
        <w:t> </w:t>
      </w:r>
      <w:r>
        <w:rPr>
          <w:sz w:val="18"/>
        </w:rPr>
        <w:t>International</w:t>
      </w:r>
      <w:r>
        <w:rPr>
          <w:spacing w:val="-5"/>
          <w:sz w:val="18"/>
        </w:rPr>
        <w:t> </w:t>
      </w:r>
      <w:r>
        <w:rPr>
          <w:sz w:val="18"/>
        </w:rPr>
        <w:t>College</w:t>
      </w:r>
      <w:r>
        <w:rPr>
          <w:spacing w:val="-5"/>
          <w:sz w:val="18"/>
        </w:rPr>
        <w:t> </w:t>
      </w:r>
      <w:r>
        <w:rPr>
          <w:sz w:val="18"/>
        </w:rPr>
        <w:t>as</w:t>
      </w:r>
      <w:r>
        <w:rPr>
          <w:spacing w:val="-5"/>
          <w:sz w:val="18"/>
        </w:rPr>
        <w:t> </w:t>
      </w:r>
      <w:r>
        <w:rPr>
          <w:sz w:val="18"/>
        </w:rPr>
        <w:t>a</w:t>
      </w:r>
      <w:r>
        <w:rPr>
          <w:spacing w:val="-5"/>
          <w:sz w:val="18"/>
        </w:rPr>
        <w:t> </w:t>
      </w:r>
      <w:r>
        <w:rPr>
          <w:sz w:val="18"/>
        </w:rPr>
        <w:t>joint</w:t>
      </w:r>
      <w:r>
        <w:rPr>
          <w:spacing w:val="-5"/>
          <w:sz w:val="18"/>
        </w:rPr>
        <w:t> </w:t>
      </w:r>
      <w:r>
        <w:rPr>
          <w:sz w:val="18"/>
        </w:rPr>
        <w:t>venture</w:t>
      </w:r>
      <w:r>
        <w:rPr>
          <w:spacing w:val="-4"/>
          <w:sz w:val="18"/>
        </w:rPr>
        <w:t> </w:t>
      </w:r>
      <w:r>
        <w:rPr>
          <w:sz w:val="18"/>
        </w:rPr>
        <w:t>with</w:t>
      </w:r>
      <w:r>
        <w:rPr>
          <w:spacing w:val="-5"/>
          <w:sz w:val="18"/>
        </w:rPr>
        <w:t> </w:t>
      </w:r>
      <w:r>
        <w:rPr>
          <w:sz w:val="18"/>
        </w:rPr>
        <w:t>Navitas</w:t>
      </w:r>
      <w:r>
        <w:rPr>
          <w:spacing w:val="-5"/>
          <w:sz w:val="18"/>
        </w:rPr>
        <w:t> </w:t>
      </w:r>
      <w:r>
        <w:rPr>
          <w:sz w:val="18"/>
        </w:rPr>
        <w:t>Ltd.</w:t>
      </w:r>
    </w:p>
    <w:p>
      <w:pPr>
        <w:pStyle w:val="ListParagraph"/>
        <w:numPr>
          <w:ilvl w:val="1"/>
          <w:numId w:val="100"/>
        </w:numPr>
        <w:tabs>
          <w:tab w:pos="860" w:val="left" w:leader="none"/>
        </w:tabs>
        <w:spacing w:line="240" w:lineRule="auto" w:before="0" w:after="0"/>
        <w:ind w:left="860" w:right="310" w:hanging="360"/>
        <w:jc w:val="left"/>
        <w:rPr>
          <w:sz w:val="18"/>
        </w:rPr>
      </w:pPr>
      <w:r>
        <w:rPr>
          <w:sz w:val="18"/>
        </w:rPr>
        <w:t>English Programs which enable international students to gain the academic English skills essential for university entrance. This unit also provides a diversity of programmes for international groups including industry</w:t>
      </w:r>
      <w:r>
        <w:rPr>
          <w:spacing w:val="-7"/>
          <w:sz w:val="18"/>
        </w:rPr>
        <w:t> </w:t>
      </w:r>
      <w:r>
        <w:rPr>
          <w:sz w:val="18"/>
        </w:rPr>
        <w:t>visits</w:t>
      </w:r>
      <w:r>
        <w:rPr>
          <w:spacing w:val="-5"/>
          <w:sz w:val="18"/>
        </w:rPr>
        <w:t> </w:t>
      </w:r>
      <w:r>
        <w:rPr>
          <w:sz w:val="18"/>
        </w:rPr>
        <w:t>and</w:t>
      </w:r>
      <w:r>
        <w:rPr>
          <w:spacing w:val="-5"/>
          <w:sz w:val="18"/>
        </w:rPr>
        <w:t> </w:t>
      </w:r>
      <w:r>
        <w:rPr>
          <w:sz w:val="18"/>
        </w:rPr>
        <w:t>cultural</w:t>
      </w:r>
      <w:r>
        <w:rPr>
          <w:spacing w:val="-5"/>
          <w:sz w:val="18"/>
        </w:rPr>
        <w:t> </w:t>
      </w:r>
      <w:r>
        <w:rPr>
          <w:sz w:val="18"/>
        </w:rPr>
        <w:t>immersion,</w:t>
      </w:r>
      <w:r>
        <w:rPr>
          <w:spacing w:val="-5"/>
          <w:sz w:val="18"/>
        </w:rPr>
        <w:t> </w:t>
      </w:r>
      <w:r>
        <w:rPr>
          <w:sz w:val="18"/>
        </w:rPr>
        <w:t>as</w:t>
      </w:r>
      <w:r>
        <w:rPr>
          <w:spacing w:val="-3"/>
          <w:sz w:val="18"/>
        </w:rPr>
        <w:t> </w:t>
      </w:r>
      <w:r>
        <w:rPr>
          <w:sz w:val="18"/>
        </w:rPr>
        <w:t>well</w:t>
      </w:r>
      <w:r>
        <w:rPr>
          <w:spacing w:val="-5"/>
          <w:sz w:val="18"/>
        </w:rPr>
        <w:t> </w:t>
      </w:r>
      <w:r>
        <w:rPr>
          <w:sz w:val="18"/>
        </w:rPr>
        <w:t>is</w:t>
      </w:r>
      <w:r>
        <w:rPr>
          <w:spacing w:val="-6"/>
          <w:sz w:val="18"/>
        </w:rPr>
        <w:t> </w:t>
      </w:r>
      <w:r>
        <w:rPr>
          <w:sz w:val="18"/>
        </w:rPr>
        <w:t>IELTS</w:t>
      </w:r>
      <w:r>
        <w:rPr>
          <w:spacing w:val="-5"/>
          <w:sz w:val="18"/>
        </w:rPr>
        <w:t> </w:t>
      </w:r>
      <w:r>
        <w:rPr>
          <w:sz w:val="18"/>
        </w:rPr>
        <w:t>and</w:t>
      </w:r>
      <w:r>
        <w:rPr>
          <w:spacing w:val="-5"/>
          <w:sz w:val="18"/>
        </w:rPr>
        <w:t> </w:t>
      </w:r>
      <w:r>
        <w:rPr>
          <w:sz w:val="18"/>
        </w:rPr>
        <w:t>other</w:t>
      </w:r>
      <w:r>
        <w:rPr>
          <w:spacing w:val="-5"/>
          <w:sz w:val="18"/>
        </w:rPr>
        <w:t> </w:t>
      </w:r>
      <w:r>
        <w:rPr>
          <w:sz w:val="18"/>
        </w:rPr>
        <w:t>English-language</w:t>
      </w:r>
      <w:r>
        <w:rPr>
          <w:spacing w:val="-5"/>
          <w:sz w:val="18"/>
        </w:rPr>
        <w:t> </w:t>
      </w:r>
      <w:r>
        <w:rPr>
          <w:sz w:val="18"/>
        </w:rPr>
        <w:t>assessment</w:t>
      </w:r>
      <w:r>
        <w:rPr>
          <w:spacing w:val="-5"/>
          <w:sz w:val="18"/>
        </w:rPr>
        <w:t> </w:t>
      </w:r>
      <w:r>
        <w:rPr>
          <w:sz w:val="18"/>
        </w:rPr>
        <w:t>tests.</w:t>
      </w:r>
    </w:p>
    <w:p>
      <w:pPr>
        <w:pStyle w:val="ListParagraph"/>
        <w:numPr>
          <w:ilvl w:val="1"/>
          <w:numId w:val="100"/>
        </w:numPr>
        <w:tabs>
          <w:tab w:pos="860" w:val="left" w:leader="none"/>
        </w:tabs>
        <w:spacing w:line="240" w:lineRule="auto" w:before="0" w:after="0"/>
        <w:ind w:left="860" w:right="147" w:hanging="360"/>
        <w:jc w:val="left"/>
        <w:rPr>
          <w:sz w:val="18"/>
        </w:rPr>
      </w:pPr>
      <w:r>
        <w:rPr>
          <w:sz w:val="18"/>
        </w:rPr>
        <w:t>Professional and Community Programs which delivers VET sector courses, acts as the College Registered Training Organisation (RTO), and conducts Property and Trust Management, SKILLMAX and HSC preparation</w:t>
      </w:r>
      <w:r>
        <w:rPr>
          <w:spacing w:val="-17"/>
          <w:sz w:val="18"/>
        </w:rPr>
        <w:t> </w:t>
      </w:r>
      <w:r>
        <w:rPr>
          <w:sz w:val="18"/>
        </w:rPr>
        <w:t>courses.</w:t>
      </w:r>
    </w:p>
    <w:p>
      <w:pPr>
        <w:pStyle w:val="BodyText"/>
      </w:pPr>
    </w:p>
    <w:p>
      <w:pPr>
        <w:pStyle w:val="BodyText"/>
        <w:ind w:left="139" w:right="766"/>
      </w:pPr>
      <w:r>
        <w:rPr/>
        <w:t>During the 2017 financial year the company undertook numerous strategic projects in accordance with the company’s overall objectives and principal activities.</w:t>
      </w:r>
    </w:p>
    <w:p>
      <w:pPr>
        <w:pStyle w:val="BodyText"/>
      </w:pPr>
    </w:p>
    <w:p>
      <w:pPr>
        <w:pStyle w:val="BodyText"/>
        <w:ind w:left="139" w:right="456"/>
      </w:pPr>
      <w:r>
        <w:rPr>
          <w:u w:val="single"/>
        </w:rPr>
        <w:t>Performance Measures</w:t>
      </w:r>
    </w:p>
    <w:p>
      <w:pPr>
        <w:pStyle w:val="BodyText"/>
        <w:spacing w:line="207" w:lineRule="exact"/>
        <w:ind w:left="140" w:right="456"/>
      </w:pPr>
      <w:r>
        <w:rPr/>
        <w:t>The performance measures of the Company are both financial and non-financial:</w:t>
      </w:r>
    </w:p>
    <w:p>
      <w:pPr>
        <w:pStyle w:val="ListParagraph"/>
        <w:numPr>
          <w:ilvl w:val="1"/>
          <w:numId w:val="100"/>
        </w:numPr>
        <w:tabs>
          <w:tab w:pos="860" w:val="left" w:leader="none"/>
        </w:tabs>
        <w:spacing w:line="240" w:lineRule="auto" w:before="0" w:after="0"/>
        <w:ind w:left="860" w:right="157" w:hanging="360"/>
        <w:jc w:val="left"/>
        <w:rPr>
          <w:sz w:val="18"/>
        </w:rPr>
      </w:pPr>
      <w:r>
        <w:rPr>
          <w:sz w:val="18"/>
        </w:rPr>
        <w:t>The Extended Diploma Program provides some challenges in the prediction of load/revenue for the year. Other</w:t>
      </w:r>
      <w:r>
        <w:rPr>
          <w:spacing w:val="-6"/>
          <w:sz w:val="18"/>
        </w:rPr>
        <w:t> </w:t>
      </w:r>
      <w:r>
        <w:rPr>
          <w:sz w:val="18"/>
        </w:rPr>
        <w:t>Academic</w:t>
      </w:r>
      <w:r>
        <w:rPr>
          <w:spacing w:val="-6"/>
          <w:sz w:val="18"/>
        </w:rPr>
        <w:t> </w:t>
      </w:r>
      <w:r>
        <w:rPr>
          <w:sz w:val="18"/>
        </w:rPr>
        <w:t>Pathway</w:t>
      </w:r>
      <w:r>
        <w:rPr>
          <w:spacing w:val="-6"/>
          <w:sz w:val="18"/>
        </w:rPr>
        <w:t> </w:t>
      </w:r>
      <w:r>
        <w:rPr>
          <w:sz w:val="18"/>
        </w:rPr>
        <w:t>Programs</w:t>
      </w:r>
      <w:r>
        <w:rPr>
          <w:spacing w:val="-6"/>
          <w:sz w:val="18"/>
        </w:rPr>
        <w:t> </w:t>
      </w:r>
      <w:r>
        <w:rPr>
          <w:sz w:val="18"/>
        </w:rPr>
        <w:t>performed</w:t>
      </w:r>
      <w:r>
        <w:rPr>
          <w:spacing w:val="-6"/>
          <w:sz w:val="18"/>
        </w:rPr>
        <w:t> </w:t>
      </w:r>
      <w:r>
        <w:rPr>
          <w:sz w:val="18"/>
        </w:rPr>
        <w:t>below</w:t>
      </w:r>
      <w:r>
        <w:rPr>
          <w:spacing w:val="-8"/>
          <w:sz w:val="18"/>
        </w:rPr>
        <w:t> </w:t>
      </w:r>
      <w:r>
        <w:rPr>
          <w:sz w:val="18"/>
        </w:rPr>
        <w:t>expected</w:t>
      </w:r>
      <w:r>
        <w:rPr>
          <w:spacing w:val="-6"/>
          <w:sz w:val="18"/>
        </w:rPr>
        <w:t> </w:t>
      </w:r>
      <w:r>
        <w:rPr>
          <w:sz w:val="18"/>
        </w:rPr>
        <w:t>projections.</w:t>
      </w:r>
    </w:p>
    <w:p>
      <w:pPr>
        <w:pStyle w:val="ListParagraph"/>
        <w:numPr>
          <w:ilvl w:val="1"/>
          <w:numId w:val="100"/>
        </w:numPr>
        <w:tabs>
          <w:tab w:pos="860" w:val="left" w:leader="none"/>
        </w:tabs>
        <w:spacing w:line="240" w:lineRule="auto" w:before="0" w:after="0"/>
        <w:ind w:left="860" w:right="408" w:hanging="360"/>
        <w:jc w:val="left"/>
        <w:rPr>
          <w:sz w:val="18"/>
        </w:rPr>
      </w:pPr>
      <w:r>
        <w:rPr>
          <w:sz w:val="18"/>
        </w:rPr>
        <w:t>Shift towards International College as preferred provider for international pathways along with general decrease</w:t>
      </w:r>
      <w:r>
        <w:rPr>
          <w:spacing w:val="-4"/>
          <w:sz w:val="18"/>
        </w:rPr>
        <w:t> </w:t>
      </w:r>
      <w:r>
        <w:rPr>
          <w:sz w:val="18"/>
        </w:rPr>
        <w:t>in</w:t>
      </w:r>
      <w:r>
        <w:rPr>
          <w:spacing w:val="-4"/>
          <w:sz w:val="18"/>
        </w:rPr>
        <w:t> </w:t>
      </w:r>
      <w:r>
        <w:rPr>
          <w:sz w:val="18"/>
        </w:rPr>
        <w:t>international</w:t>
      </w:r>
      <w:r>
        <w:rPr>
          <w:spacing w:val="-4"/>
          <w:sz w:val="18"/>
        </w:rPr>
        <w:t> </w:t>
      </w:r>
      <w:r>
        <w:rPr>
          <w:sz w:val="18"/>
        </w:rPr>
        <w:t>enrolments</w:t>
      </w:r>
      <w:r>
        <w:rPr>
          <w:spacing w:val="-4"/>
          <w:sz w:val="18"/>
        </w:rPr>
        <w:t> </w:t>
      </w:r>
      <w:r>
        <w:rPr>
          <w:sz w:val="18"/>
        </w:rPr>
        <w:t>is</w:t>
      </w:r>
      <w:r>
        <w:rPr>
          <w:spacing w:val="-4"/>
          <w:sz w:val="18"/>
        </w:rPr>
        <w:t> </w:t>
      </w:r>
      <w:r>
        <w:rPr>
          <w:sz w:val="18"/>
        </w:rPr>
        <w:t>having</w:t>
      </w:r>
      <w:r>
        <w:rPr>
          <w:spacing w:val="-4"/>
          <w:sz w:val="18"/>
        </w:rPr>
        <w:t> </w:t>
      </w:r>
      <w:r>
        <w:rPr>
          <w:sz w:val="18"/>
        </w:rPr>
        <w:t>an</w:t>
      </w:r>
      <w:r>
        <w:rPr>
          <w:spacing w:val="-4"/>
          <w:sz w:val="18"/>
        </w:rPr>
        <w:t> </w:t>
      </w:r>
      <w:r>
        <w:rPr>
          <w:sz w:val="18"/>
        </w:rPr>
        <w:t>impact</w:t>
      </w:r>
      <w:r>
        <w:rPr>
          <w:spacing w:val="-4"/>
          <w:sz w:val="18"/>
        </w:rPr>
        <w:t> </w:t>
      </w:r>
      <w:r>
        <w:rPr>
          <w:sz w:val="18"/>
        </w:rPr>
        <w:t>on</w:t>
      </w:r>
      <w:r>
        <w:rPr>
          <w:spacing w:val="-4"/>
          <w:sz w:val="18"/>
        </w:rPr>
        <w:t> </w:t>
      </w:r>
      <w:r>
        <w:rPr>
          <w:sz w:val="18"/>
        </w:rPr>
        <w:t>income.</w:t>
      </w:r>
    </w:p>
    <w:p>
      <w:pPr>
        <w:pStyle w:val="ListParagraph"/>
        <w:numPr>
          <w:ilvl w:val="1"/>
          <w:numId w:val="100"/>
        </w:numPr>
        <w:tabs>
          <w:tab w:pos="860" w:val="left" w:leader="none"/>
        </w:tabs>
        <w:spacing w:line="220" w:lineRule="exact" w:before="0" w:after="0"/>
        <w:ind w:left="860" w:right="0" w:hanging="360"/>
        <w:jc w:val="left"/>
        <w:rPr>
          <w:sz w:val="18"/>
        </w:rPr>
      </w:pPr>
      <w:r>
        <w:rPr>
          <w:sz w:val="18"/>
        </w:rPr>
        <w:t>English Programs continue to be affected by Visa</w:t>
      </w:r>
      <w:r>
        <w:rPr>
          <w:spacing w:val="-34"/>
          <w:sz w:val="18"/>
        </w:rPr>
        <w:t> </w:t>
      </w:r>
      <w:r>
        <w:rPr>
          <w:sz w:val="18"/>
        </w:rPr>
        <w:t>issues.</w:t>
      </w:r>
    </w:p>
    <w:p>
      <w:pPr>
        <w:pStyle w:val="BodyText"/>
        <w:spacing w:after="1"/>
      </w:pPr>
    </w:p>
    <w:tbl>
      <w:tblPr>
        <w:tblW w:w="0" w:type="auto"/>
        <w:jc w:val="left"/>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16"/>
        <w:gridCol w:w="1985"/>
        <w:gridCol w:w="1985"/>
        <w:gridCol w:w="1700"/>
      </w:tblGrid>
      <w:tr>
        <w:trPr>
          <w:trHeight w:val="601" w:hRule="exact"/>
        </w:trPr>
        <w:tc>
          <w:tcPr>
            <w:tcW w:w="3416" w:type="dxa"/>
          </w:tcPr>
          <w:p>
            <w:pPr>
              <w:pStyle w:val="TableParagraph"/>
              <w:spacing w:before="2"/>
              <w:rPr>
                <w:sz w:val="16"/>
              </w:rPr>
            </w:pPr>
          </w:p>
          <w:p>
            <w:pPr>
              <w:pStyle w:val="TableParagraph"/>
              <w:ind w:left="98"/>
              <w:rPr>
                <w:b/>
                <w:i/>
                <w:sz w:val="18"/>
              </w:rPr>
            </w:pPr>
            <w:r>
              <w:rPr>
                <w:b/>
                <w:i/>
                <w:sz w:val="18"/>
              </w:rPr>
              <w:t>Category</w:t>
            </w:r>
          </w:p>
        </w:tc>
        <w:tc>
          <w:tcPr>
            <w:tcW w:w="1985" w:type="dxa"/>
          </w:tcPr>
          <w:p>
            <w:pPr>
              <w:pStyle w:val="TableParagraph"/>
              <w:spacing w:before="2"/>
              <w:rPr>
                <w:sz w:val="16"/>
              </w:rPr>
            </w:pPr>
          </w:p>
          <w:p>
            <w:pPr>
              <w:pStyle w:val="TableParagraph"/>
              <w:ind w:right="49"/>
              <w:jc w:val="right"/>
              <w:rPr>
                <w:b/>
                <w:i/>
                <w:sz w:val="18"/>
              </w:rPr>
            </w:pPr>
            <w:r>
              <w:rPr>
                <w:b/>
                <w:i/>
                <w:sz w:val="18"/>
              </w:rPr>
              <w:t>FY 2017 Actual</w:t>
            </w:r>
          </w:p>
        </w:tc>
        <w:tc>
          <w:tcPr>
            <w:tcW w:w="1985" w:type="dxa"/>
          </w:tcPr>
          <w:p>
            <w:pPr>
              <w:pStyle w:val="TableParagraph"/>
              <w:spacing w:before="2"/>
              <w:rPr>
                <w:sz w:val="16"/>
              </w:rPr>
            </w:pPr>
          </w:p>
          <w:p>
            <w:pPr>
              <w:pStyle w:val="TableParagraph"/>
              <w:ind w:right="50"/>
              <w:jc w:val="right"/>
              <w:rPr>
                <w:b/>
                <w:i/>
                <w:sz w:val="18"/>
              </w:rPr>
            </w:pPr>
            <w:r>
              <w:rPr>
                <w:b/>
                <w:i/>
                <w:sz w:val="18"/>
              </w:rPr>
              <w:t>Annual 2017 Budget</w:t>
            </w:r>
          </w:p>
        </w:tc>
        <w:tc>
          <w:tcPr>
            <w:tcW w:w="1700" w:type="dxa"/>
          </w:tcPr>
          <w:p>
            <w:pPr>
              <w:pStyle w:val="TableParagraph"/>
              <w:spacing w:before="83"/>
              <w:ind w:left="857" w:right="32" w:hanging="179"/>
              <w:rPr>
                <w:b/>
                <w:i/>
                <w:sz w:val="18"/>
              </w:rPr>
            </w:pPr>
            <w:r>
              <w:rPr>
                <w:b/>
                <w:i/>
                <w:sz w:val="18"/>
              </w:rPr>
              <w:t>% Full year </w:t>
            </w:r>
            <w:r>
              <w:rPr>
                <w:b/>
                <w:i/>
                <w:sz w:val="18"/>
              </w:rPr>
              <w:t>achieved</w:t>
            </w:r>
          </w:p>
        </w:tc>
      </w:tr>
      <w:tr>
        <w:trPr>
          <w:trHeight w:val="290" w:hRule="exact"/>
        </w:trPr>
        <w:tc>
          <w:tcPr>
            <w:tcW w:w="3416" w:type="dxa"/>
          </w:tcPr>
          <w:p>
            <w:pPr>
              <w:pStyle w:val="TableParagraph"/>
              <w:spacing w:before="61"/>
              <w:ind w:left="98"/>
              <w:rPr>
                <w:sz w:val="18"/>
              </w:rPr>
            </w:pPr>
            <w:r>
              <w:rPr>
                <w:sz w:val="18"/>
              </w:rPr>
              <w:t>Revenue</w:t>
            </w:r>
          </w:p>
        </w:tc>
        <w:tc>
          <w:tcPr>
            <w:tcW w:w="1985" w:type="dxa"/>
          </w:tcPr>
          <w:p>
            <w:pPr>
              <w:pStyle w:val="TableParagraph"/>
              <w:spacing w:before="61"/>
              <w:ind w:right="50"/>
              <w:jc w:val="right"/>
              <w:rPr>
                <w:sz w:val="18"/>
              </w:rPr>
            </w:pPr>
            <w:r>
              <w:rPr>
                <w:sz w:val="18"/>
              </w:rPr>
              <w:t>$59,605,859</w:t>
            </w:r>
          </w:p>
        </w:tc>
        <w:tc>
          <w:tcPr>
            <w:tcW w:w="1985" w:type="dxa"/>
          </w:tcPr>
          <w:p>
            <w:pPr>
              <w:pStyle w:val="TableParagraph"/>
              <w:spacing w:before="61"/>
              <w:ind w:right="51"/>
              <w:jc w:val="right"/>
              <w:rPr>
                <w:sz w:val="18"/>
              </w:rPr>
            </w:pPr>
            <w:r>
              <w:rPr>
                <w:sz w:val="18"/>
              </w:rPr>
              <w:t>$63,012,721</w:t>
            </w:r>
          </w:p>
        </w:tc>
        <w:tc>
          <w:tcPr>
            <w:tcW w:w="1700" w:type="dxa"/>
          </w:tcPr>
          <w:p>
            <w:pPr>
              <w:pStyle w:val="TableParagraph"/>
              <w:spacing w:before="61"/>
              <w:ind w:right="52"/>
              <w:jc w:val="right"/>
              <w:rPr>
                <w:sz w:val="18"/>
              </w:rPr>
            </w:pPr>
            <w:r>
              <w:rPr>
                <w:sz w:val="18"/>
              </w:rPr>
              <w:t>95%</w:t>
            </w:r>
          </w:p>
        </w:tc>
      </w:tr>
      <w:tr>
        <w:trPr>
          <w:trHeight w:val="290" w:hRule="exact"/>
        </w:trPr>
        <w:tc>
          <w:tcPr>
            <w:tcW w:w="3416" w:type="dxa"/>
          </w:tcPr>
          <w:p>
            <w:pPr>
              <w:pStyle w:val="TableParagraph"/>
              <w:spacing w:before="61"/>
              <w:ind w:left="98"/>
              <w:rPr>
                <w:sz w:val="18"/>
              </w:rPr>
            </w:pPr>
            <w:r>
              <w:rPr>
                <w:sz w:val="18"/>
              </w:rPr>
              <w:t>Expenses</w:t>
            </w:r>
          </w:p>
        </w:tc>
        <w:tc>
          <w:tcPr>
            <w:tcW w:w="1985" w:type="dxa"/>
          </w:tcPr>
          <w:p>
            <w:pPr>
              <w:pStyle w:val="TableParagraph"/>
              <w:spacing w:before="61"/>
              <w:ind w:right="50"/>
              <w:jc w:val="right"/>
              <w:rPr>
                <w:sz w:val="18"/>
              </w:rPr>
            </w:pPr>
            <w:r>
              <w:rPr>
                <w:sz w:val="18"/>
              </w:rPr>
              <w:t>$59,605,859</w:t>
            </w:r>
          </w:p>
        </w:tc>
        <w:tc>
          <w:tcPr>
            <w:tcW w:w="1985" w:type="dxa"/>
          </w:tcPr>
          <w:p>
            <w:pPr>
              <w:pStyle w:val="TableParagraph"/>
              <w:spacing w:before="61"/>
              <w:ind w:right="51"/>
              <w:jc w:val="right"/>
              <w:rPr>
                <w:sz w:val="18"/>
              </w:rPr>
            </w:pPr>
            <w:r>
              <w:rPr>
                <w:sz w:val="18"/>
              </w:rPr>
              <w:t>$63,012,721</w:t>
            </w:r>
          </w:p>
        </w:tc>
        <w:tc>
          <w:tcPr>
            <w:tcW w:w="1700" w:type="dxa"/>
          </w:tcPr>
          <w:p>
            <w:pPr>
              <w:pStyle w:val="TableParagraph"/>
              <w:spacing w:before="61"/>
              <w:ind w:right="52"/>
              <w:jc w:val="right"/>
              <w:rPr>
                <w:sz w:val="18"/>
              </w:rPr>
            </w:pPr>
            <w:r>
              <w:rPr>
                <w:sz w:val="18"/>
              </w:rPr>
              <w:t>95%</w:t>
            </w:r>
          </w:p>
        </w:tc>
      </w:tr>
      <w:tr>
        <w:trPr>
          <w:trHeight w:val="289" w:hRule="exact"/>
        </w:trPr>
        <w:tc>
          <w:tcPr>
            <w:tcW w:w="3416" w:type="dxa"/>
          </w:tcPr>
          <w:p>
            <w:pPr>
              <w:pStyle w:val="TableParagraph"/>
              <w:spacing w:before="60"/>
              <w:ind w:left="98"/>
              <w:rPr>
                <w:b/>
                <w:sz w:val="18"/>
              </w:rPr>
            </w:pPr>
            <w:r>
              <w:rPr>
                <w:b/>
                <w:sz w:val="18"/>
              </w:rPr>
              <w:t>Operating Surplus</w:t>
            </w:r>
          </w:p>
        </w:tc>
        <w:tc>
          <w:tcPr>
            <w:tcW w:w="1985" w:type="dxa"/>
          </w:tcPr>
          <w:p>
            <w:pPr>
              <w:pStyle w:val="TableParagraph"/>
              <w:spacing w:before="60"/>
              <w:ind w:right="50"/>
              <w:jc w:val="right"/>
              <w:rPr>
                <w:b/>
                <w:sz w:val="18"/>
              </w:rPr>
            </w:pPr>
            <w:r>
              <w:rPr>
                <w:b/>
                <w:sz w:val="18"/>
              </w:rPr>
              <w:t>$0</w:t>
            </w:r>
          </w:p>
        </w:tc>
        <w:tc>
          <w:tcPr>
            <w:tcW w:w="1985" w:type="dxa"/>
          </w:tcPr>
          <w:p>
            <w:pPr>
              <w:pStyle w:val="TableParagraph"/>
              <w:spacing w:before="60"/>
              <w:ind w:right="52"/>
              <w:jc w:val="right"/>
              <w:rPr>
                <w:b/>
                <w:sz w:val="18"/>
              </w:rPr>
            </w:pPr>
            <w:r>
              <w:rPr>
                <w:b/>
                <w:sz w:val="18"/>
              </w:rPr>
              <w:t>$0</w:t>
            </w:r>
          </w:p>
        </w:tc>
        <w:tc>
          <w:tcPr>
            <w:tcW w:w="1700" w:type="dxa"/>
          </w:tcPr>
          <w:p>
            <w:pPr>
              <w:pStyle w:val="TableParagraph"/>
              <w:spacing w:before="61"/>
              <w:ind w:right="52"/>
              <w:jc w:val="right"/>
              <w:rPr>
                <w:sz w:val="18"/>
              </w:rPr>
            </w:pPr>
            <w:r>
              <w:rPr>
                <w:sz w:val="18"/>
              </w:rPr>
              <w:t>0%</w:t>
            </w:r>
          </w:p>
        </w:tc>
      </w:tr>
      <w:tr>
        <w:trPr>
          <w:trHeight w:val="227" w:hRule="exact"/>
        </w:trPr>
        <w:tc>
          <w:tcPr>
            <w:tcW w:w="3416" w:type="dxa"/>
          </w:tcPr>
          <w:p>
            <w:pPr>
              <w:pStyle w:val="TableParagraph"/>
              <w:spacing w:line="206" w:lineRule="exact"/>
              <w:ind w:left="98"/>
              <w:rPr>
                <w:sz w:val="18"/>
              </w:rPr>
            </w:pPr>
            <w:r>
              <w:rPr>
                <w:sz w:val="18"/>
              </w:rPr>
              <w:t>Accumulated Retained Earnings</w:t>
            </w:r>
          </w:p>
        </w:tc>
        <w:tc>
          <w:tcPr>
            <w:tcW w:w="1985" w:type="dxa"/>
          </w:tcPr>
          <w:p>
            <w:pPr>
              <w:pStyle w:val="TableParagraph"/>
              <w:spacing w:line="206" w:lineRule="exact"/>
              <w:ind w:right="50"/>
              <w:jc w:val="right"/>
              <w:rPr>
                <w:sz w:val="18"/>
              </w:rPr>
            </w:pPr>
            <w:r>
              <w:rPr>
                <w:sz w:val="18"/>
              </w:rPr>
              <w:t>$6,765,448</w:t>
            </w:r>
          </w:p>
        </w:tc>
        <w:tc>
          <w:tcPr>
            <w:tcW w:w="1985" w:type="dxa"/>
          </w:tcPr>
          <w:p>
            <w:pPr/>
          </w:p>
        </w:tc>
        <w:tc>
          <w:tcPr>
            <w:tcW w:w="1700" w:type="dxa"/>
          </w:tcPr>
          <w:p>
            <w:pPr/>
          </w:p>
        </w:tc>
      </w:tr>
    </w:tbl>
    <w:p>
      <w:pPr>
        <w:pStyle w:val="BodyText"/>
        <w:spacing w:before="8"/>
        <w:rPr>
          <w:sz w:val="21"/>
        </w:rPr>
      </w:pPr>
    </w:p>
    <w:p>
      <w:pPr>
        <w:pStyle w:val="BodyText"/>
        <w:spacing w:line="207" w:lineRule="exact" w:before="77"/>
        <w:ind w:left="140" w:right="456"/>
      </w:pPr>
      <w:r>
        <w:rPr>
          <w:u w:val="single"/>
        </w:rPr>
        <w:t>Management and Operations</w:t>
      </w:r>
    </w:p>
    <w:p>
      <w:pPr>
        <w:pStyle w:val="BodyText"/>
        <w:ind w:left="140" w:right="145"/>
      </w:pPr>
      <w:r>
        <w:rPr/>
        <w:t>Western Sydney University Enterprises Pty Limited (trading as Western Sydney University The College) is a wholly owned entity of the of Western Sydney University. An independent Board of Directors is responsible for the overall operations of the company and the day to day activities are managed by a Chief Executive Officer.</w:t>
      </w:r>
    </w:p>
    <w:p>
      <w:pPr>
        <w:spacing w:after="0"/>
        <w:sectPr>
          <w:pgSz w:w="11910" w:h="16840"/>
          <w:pgMar w:header="693" w:footer="507" w:top="900" w:bottom="700" w:left="1300" w:right="1260"/>
        </w:sectPr>
      </w:pPr>
    </w:p>
    <w:p>
      <w:pPr>
        <w:pStyle w:val="BodyText"/>
        <w:rPr>
          <w:sz w:val="20"/>
        </w:rPr>
      </w:pPr>
    </w:p>
    <w:p>
      <w:pPr>
        <w:pStyle w:val="BodyText"/>
        <w:spacing w:before="6"/>
        <w:rPr>
          <w:sz w:val="19"/>
        </w:rPr>
      </w:pPr>
    </w:p>
    <w:p>
      <w:pPr>
        <w:pStyle w:val="BodyText"/>
        <w:spacing w:before="77"/>
        <w:ind w:left="140" w:right="235"/>
      </w:pPr>
      <w:r>
        <w:rPr/>
        <w:t>The Board has oversight of the Academic Advisory Committee and the English and Professional and Community Programs Academic Advisory Committee. An Audit Committee of the Board was established in 2010 and has made a significant contribution to financial monitoring and reporting within the organisation.</w:t>
      </w:r>
    </w:p>
    <w:p>
      <w:pPr>
        <w:pStyle w:val="BodyText"/>
      </w:pPr>
    </w:p>
    <w:p>
      <w:pPr>
        <w:pStyle w:val="BodyText"/>
      </w:pPr>
    </w:p>
    <w:p>
      <w:pPr>
        <w:pStyle w:val="Heading3"/>
        <w:spacing w:before="157"/>
        <w:ind w:left="140" w:right="456"/>
      </w:pPr>
      <w:r>
        <w:rPr/>
        <w:t>Whitlam Institute within Western Sydney University Limited</w:t>
      </w:r>
    </w:p>
    <w:p>
      <w:pPr>
        <w:pStyle w:val="BodyText"/>
        <w:spacing w:line="207" w:lineRule="exact" w:before="118"/>
        <w:ind w:left="140" w:right="456"/>
      </w:pPr>
      <w:r>
        <w:rPr>
          <w:u w:val="single"/>
        </w:rPr>
        <w:t>Principal Objectives</w:t>
      </w:r>
    </w:p>
    <w:p>
      <w:pPr>
        <w:pStyle w:val="BodyText"/>
        <w:ind w:left="139" w:right="216"/>
      </w:pPr>
      <w:r>
        <w:rPr/>
        <w:t>The Whitlam Institute is a trustee of the Whitlam Institute within Western Sydney University Trust which was established by agreement between Western Sydney University and the Hon EG Whitlam in 2000. Its spirit is best captured in Gough’s own words when signing the Deed of Gift:</w:t>
      </w:r>
    </w:p>
    <w:p>
      <w:pPr>
        <w:pStyle w:val="BodyText"/>
        <w:spacing w:before="1"/>
      </w:pPr>
    </w:p>
    <w:p>
      <w:pPr>
        <w:spacing w:before="0"/>
        <w:ind w:left="140" w:right="135" w:firstLine="0"/>
        <w:jc w:val="left"/>
        <w:rPr>
          <w:i/>
          <w:sz w:val="18"/>
        </w:rPr>
      </w:pPr>
      <w:r>
        <w:rPr>
          <w:i/>
          <w:sz w:val="18"/>
        </w:rPr>
        <w:t>‘The greatest contribution that I hope to bestow is inspiration. That the work and causes championed in my </w:t>
      </w:r>
      <w:r>
        <w:rPr>
          <w:i/>
          <w:sz w:val="18"/>
        </w:rPr>
        <w:t>parliamentary career and the statesman service that followed, will provide the basis for ongoing research and advocacy from this university into the contemporary challenges that confront and can improve the quality of life for all Australians.’[December 2003]</w:t>
      </w:r>
    </w:p>
    <w:p>
      <w:pPr>
        <w:pStyle w:val="BodyText"/>
        <w:spacing w:before="118"/>
        <w:ind w:left="140" w:right="456"/>
      </w:pPr>
      <w:r>
        <w:rPr>
          <w:u w:val="single"/>
        </w:rPr>
        <w:t>Principal Activities and Strategic Projects</w:t>
      </w:r>
    </w:p>
    <w:p>
      <w:pPr>
        <w:pStyle w:val="BodyText"/>
        <w:ind w:left="140" w:right="115"/>
      </w:pPr>
      <w:r>
        <w:rPr/>
        <w:t>The Whitlam Institute works as an educator, policy influencer and research institute. It is also home to the Whitlam Prime Ministerial Collection and the Whitlam Reading Room which houses selected books and papers donated by Mr. Whitlam. The collection provides on-line access to papers held both at the Institute and in the National Archives. It maintains an active public education program.</w:t>
      </w:r>
    </w:p>
    <w:p>
      <w:pPr>
        <w:pStyle w:val="BodyText"/>
      </w:pPr>
    </w:p>
    <w:p>
      <w:pPr>
        <w:pStyle w:val="BodyText"/>
        <w:ind w:left="140" w:right="425"/>
      </w:pPr>
      <w:r>
        <w:rPr/>
        <w:t>The Institute's strategic program continues to expand in accordance with the intentions outlined in its current Strategic Plan 2016-2018 and subsequently amended in the mid-term review. The strategic priorities focus on:</w:t>
      </w:r>
    </w:p>
    <w:p>
      <w:pPr>
        <w:pStyle w:val="BodyText"/>
        <w:spacing w:before="11"/>
        <w:rPr>
          <w:sz w:val="17"/>
        </w:rPr>
      </w:pPr>
    </w:p>
    <w:p>
      <w:pPr>
        <w:pStyle w:val="ListParagraph"/>
        <w:numPr>
          <w:ilvl w:val="1"/>
          <w:numId w:val="100"/>
        </w:numPr>
        <w:tabs>
          <w:tab w:pos="850" w:val="left" w:leader="none"/>
        </w:tabs>
        <w:spacing w:line="219" w:lineRule="exact" w:before="0" w:after="0"/>
        <w:ind w:left="849" w:right="0" w:hanging="284"/>
        <w:jc w:val="left"/>
        <w:rPr>
          <w:sz w:val="18"/>
        </w:rPr>
      </w:pPr>
      <w:r>
        <w:rPr>
          <w:sz w:val="18"/>
        </w:rPr>
        <w:t>The historical</w:t>
      </w:r>
      <w:r>
        <w:rPr>
          <w:spacing w:val="-14"/>
          <w:sz w:val="18"/>
        </w:rPr>
        <w:t> </w:t>
      </w:r>
      <w:r>
        <w:rPr>
          <w:sz w:val="18"/>
        </w:rPr>
        <w:t>legacy;</w:t>
      </w:r>
    </w:p>
    <w:p>
      <w:pPr>
        <w:pStyle w:val="ListParagraph"/>
        <w:numPr>
          <w:ilvl w:val="1"/>
          <w:numId w:val="100"/>
        </w:numPr>
        <w:tabs>
          <w:tab w:pos="850" w:val="left" w:leader="none"/>
        </w:tabs>
        <w:spacing w:line="219" w:lineRule="exact" w:before="0" w:after="0"/>
        <w:ind w:left="849" w:right="0" w:hanging="284"/>
        <w:jc w:val="left"/>
        <w:rPr>
          <w:sz w:val="18"/>
        </w:rPr>
      </w:pPr>
      <w:r>
        <w:rPr>
          <w:sz w:val="18"/>
        </w:rPr>
        <w:t>Contemporary relevance through public policy</w:t>
      </w:r>
      <w:r>
        <w:rPr>
          <w:spacing w:val="-30"/>
          <w:sz w:val="18"/>
        </w:rPr>
        <w:t> </w:t>
      </w:r>
      <w:r>
        <w:rPr>
          <w:sz w:val="18"/>
        </w:rPr>
        <w:t>development;</w:t>
      </w:r>
    </w:p>
    <w:p>
      <w:pPr>
        <w:pStyle w:val="ListParagraph"/>
        <w:numPr>
          <w:ilvl w:val="1"/>
          <w:numId w:val="100"/>
        </w:numPr>
        <w:tabs>
          <w:tab w:pos="850" w:val="left" w:leader="none"/>
        </w:tabs>
        <w:spacing w:line="220" w:lineRule="exact" w:before="0" w:after="0"/>
        <w:ind w:left="849" w:right="0" w:hanging="284"/>
        <w:jc w:val="left"/>
        <w:rPr>
          <w:sz w:val="18"/>
        </w:rPr>
      </w:pPr>
      <w:r>
        <w:rPr>
          <w:sz w:val="18"/>
        </w:rPr>
        <w:t>The education and outreach</w:t>
      </w:r>
      <w:r>
        <w:rPr>
          <w:spacing w:val="-20"/>
          <w:sz w:val="18"/>
        </w:rPr>
        <w:t> </w:t>
      </w:r>
      <w:r>
        <w:rPr>
          <w:sz w:val="18"/>
        </w:rPr>
        <w:t>program;</w:t>
      </w:r>
    </w:p>
    <w:p>
      <w:pPr>
        <w:pStyle w:val="ListParagraph"/>
        <w:numPr>
          <w:ilvl w:val="1"/>
          <w:numId w:val="100"/>
        </w:numPr>
        <w:tabs>
          <w:tab w:pos="850" w:val="left" w:leader="none"/>
        </w:tabs>
        <w:spacing w:line="219" w:lineRule="exact" w:before="0" w:after="0"/>
        <w:ind w:left="849" w:right="0" w:hanging="284"/>
        <w:jc w:val="left"/>
        <w:rPr>
          <w:sz w:val="18"/>
        </w:rPr>
      </w:pPr>
      <w:r>
        <w:rPr>
          <w:sz w:val="18"/>
        </w:rPr>
        <w:t>Governance;</w:t>
      </w:r>
    </w:p>
    <w:p>
      <w:pPr>
        <w:pStyle w:val="ListParagraph"/>
        <w:numPr>
          <w:ilvl w:val="1"/>
          <w:numId w:val="100"/>
        </w:numPr>
        <w:tabs>
          <w:tab w:pos="850" w:val="left" w:leader="none"/>
        </w:tabs>
        <w:spacing w:line="219" w:lineRule="exact" w:before="0" w:after="0"/>
        <w:ind w:left="849" w:right="0" w:hanging="284"/>
        <w:jc w:val="left"/>
        <w:rPr>
          <w:sz w:val="18"/>
        </w:rPr>
      </w:pPr>
      <w:r>
        <w:rPr>
          <w:sz w:val="18"/>
        </w:rPr>
        <w:t>Organisation;</w:t>
      </w:r>
      <w:r>
        <w:rPr>
          <w:spacing w:val="-12"/>
          <w:sz w:val="18"/>
        </w:rPr>
        <w:t> </w:t>
      </w:r>
      <w:r>
        <w:rPr>
          <w:sz w:val="18"/>
        </w:rPr>
        <w:t>and</w:t>
      </w:r>
    </w:p>
    <w:p>
      <w:pPr>
        <w:pStyle w:val="ListParagraph"/>
        <w:numPr>
          <w:ilvl w:val="1"/>
          <w:numId w:val="100"/>
        </w:numPr>
        <w:tabs>
          <w:tab w:pos="850" w:val="left" w:leader="none"/>
        </w:tabs>
        <w:spacing w:line="220" w:lineRule="exact" w:before="0" w:after="0"/>
        <w:ind w:left="849" w:right="0" w:hanging="284"/>
        <w:jc w:val="left"/>
        <w:rPr>
          <w:sz w:val="18"/>
        </w:rPr>
      </w:pPr>
      <w:r>
        <w:rPr>
          <w:sz w:val="18"/>
        </w:rPr>
        <w:t>Resourcing.</w:t>
      </w:r>
    </w:p>
    <w:p>
      <w:pPr>
        <w:pStyle w:val="BodyText"/>
        <w:spacing w:before="10"/>
        <w:rPr>
          <w:sz w:val="17"/>
        </w:rPr>
      </w:pPr>
    </w:p>
    <w:p>
      <w:pPr>
        <w:pStyle w:val="BodyText"/>
        <w:spacing w:line="207" w:lineRule="exact"/>
        <w:ind w:left="139" w:right="456"/>
      </w:pPr>
      <w:r>
        <w:rPr>
          <w:u w:val="single"/>
        </w:rPr>
        <w:t>Performance Measures</w:t>
      </w:r>
    </w:p>
    <w:p>
      <w:pPr>
        <w:pStyle w:val="BodyText"/>
        <w:ind w:left="140" w:right="895"/>
      </w:pPr>
      <w:r>
        <w:rPr/>
        <w:t>The performance measures of the Company are primarily of a non-financial nature and are driven by the philanthropic nature of the trust and the role of the trustee.</w:t>
      </w:r>
    </w:p>
    <w:p>
      <w:pPr>
        <w:pStyle w:val="BodyText"/>
      </w:pPr>
    </w:p>
    <w:p>
      <w:pPr>
        <w:pStyle w:val="BodyText"/>
        <w:spacing w:line="207" w:lineRule="exact"/>
        <w:ind w:left="140" w:right="456"/>
      </w:pPr>
      <w:r>
        <w:rPr/>
        <w:t>The Whitlam Institute is guided by the ‘three great aims’ that drove the Whitlam Program of 1972. They are</w:t>
      </w:r>
    </w:p>
    <w:p>
      <w:pPr>
        <w:pStyle w:val="ListParagraph"/>
        <w:numPr>
          <w:ilvl w:val="1"/>
          <w:numId w:val="100"/>
        </w:numPr>
        <w:tabs>
          <w:tab w:pos="860" w:val="left" w:leader="none"/>
        </w:tabs>
        <w:spacing w:line="220" w:lineRule="exact" w:before="0" w:after="0"/>
        <w:ind w:left="860" w:right="0" w:hanging="360"/>
        <w:jc w:val="left"/>
        <w:rPr>
          <w:sz w:val="18"/>
        </w:rPr>
      </w:pPr>
      <w:r>
        <w:rPr>
          <w:sz w:val="18"/>
        </w:rPr>
        <w:t>to promote</w:t>
      </w:r>
      <w:r>
        <w:rPr>
          <w:spacing w:val="-11"/>
          <w:sz w:val="18"/>
        </w:rPr>
        <w:t> </w:t>
      </w:r>
      <w:r>
        <w:rPr>
          <w:sz w:val="18"/>
        </w:rPr>
        <w:t>equality</w:t>
      </w:r>
    </w:p>
    <w:p>
      <w:pPr>
        <w:pStyle w:val="ListParagraph"/>
        <w:numPr>
          <w:ilvl w:val="1"/>
          <w:numId w:val="100"/>
        </w:numPr>
        <w:tabs>
          <w:tab w:pos="860" w:val="left" w:leader="none"/>
        </w:tabs>
        <w:spacing w:line="219" w:lineRule="exact" w:before="0" w:after="0"/>
        <w:ind w:left="860" w:right="0" w:hanging="360"/>
        <w:jc w:val="left"/>
        <w:rPr>
          <w:sz w:val="18"/>
        </w:rPr>
      </w:pPr>
      <w:r>
        <w:rPr>
          <w:sz w:val="18"/>
        </w:rPr>
        <w:t>to</w:t>
      </w:r>
      <w:r>
        <w:rPr>
          <w:spacing w:val="-4"/>
          <w:sz w:val="18"/>
        </w:rPr>
        <w:t> </w:t>
      </w:r>
      <w:r>
        <w:rPr>
          <w:sz w:val="18"/>
        </w:rPr>
        <w:t>involve</w:t>
      </w:r>
      <w:r>
        <w:rPr>
          <w:spacing w:val="-4"/>
          <w:sz w:val="18"/>
        </w:rPr>
        <w:t> </w:t>
      </w:r>
      <w:r>
        <w:rPr>
          <w:sz w:val="18"/>
        </w:rPr>
        <w:t>the</w:t>
      </w:r>
      <w:r>
        <w:rPr>
          <w:spacing w:val="-4"/>
          <w:sz w:val="18"/>
        </w:rPr>
        <w:t> </w:t>
      </w:r>
      <w:r>
        <w:rPr>
          <w:sz w:val="18"/>
        </w:rPr>
        <w:t>people</w:t>
      </w:r>
      <w:r>
        <w:rPr>
          <w:spacing w:val="-4"/>
          <w:sz w:val="18"/>
        </w:rPr>
        <w:t> </w:t>
      </w:r>
      <w:r>
        <w:rPr>
          <w:sz w:val="18"/>
        </w:rPr>
        <w:t>of</w:t>
      </w:r>
      <w:r>
        <w:rPr>
          <w:spacing w:val="-4"/>
          <w:sz w:val="18"/>
        </w:rPr>
        <w:t> </w:t>
      </w:r>
      <w:r>
        <w:rPr>
          <w:sz w:val="18"/>
        </w:rPr>
        <w:t>Australia</w:t>
      </w:r>
      <w:r>
        <w:rPr>
          <w:spacing w:val="-4"/>
          <w:sz w:val="18"/>
        </w:rPr>
        <w:t> </w:t>
      </w:r>
      <w:r>
        <w:rPr>
          <w:sz w:val="18"/>
        </w:rPr>
        <w:t>in</w:t>
      </w:r>
      <w:r>
        <w:rPr>
          <w:spacing w:val="-4"/>
          <w:sz w:val="18"/>
        </w:rPr>
        <w:t> </w:t>
      </w:r>
      <w:r>
        <w:rPr>
          <w:sz w:val="18"/>
        </w:rPr>
        <w:t>the</w:t>
      </w:r>
      <w:r>
        <w:rPr>
          <w:spacing w:val="-4"/>
          <w:sz w:val="18"/>
        </w:rPr>
        <w:t> </w:t>
      </w:r>
      <w:r>
        <w:rPr>
          <w:sz w:val="18"/>
        </w:rPr>
        <w:t>decision-making</w:t>
      </w:r>
      <w:r>
        <w:rPr>
          <w:spacing w:val="-4"/>
          <w:sz w:val="18"/>
        </w:rPr>
        <w:t> </w:t>
      </w:r>
      <w:r>
        <w:rPr>
          <w:sz w:val="18"/>
        </w:rPr>
        <w:t>processes</w:t>
      </w:r>
      <w:r>
        <w:rPr>
          <w:spacing w:val="-4"/>
          <w:sz w:val="18"/>
        </w:rPr>
        <w:t> </w:t>
      </w:r>
      <w:r>
        <w:rPr>
          <w:sz w:val="18"/>
        </w:rPr>
        <w:t>of</w:t>
      </w:r>
      <w:r>
        <w:rPr>
          <w:spacing w:val="-4"/>
          <w:sz w:val="18"/>
        </w:rPr>
        <w:t> </w:t>
      </w:r>
      <w:r>
        <w:rPr>
          <w:sz w:val="18"/>
        </w:rPr>
        <w:t>our</w:t>
      </w:r>
      <w:r>
        <w:rPr>
          <w:spacing w:val="-4"/>
          <w:sz w:val="18"/>
        </w:rPr>
        <w:t> </w:t>
      </w:r>
      <w:r>
        <w:rPr>
          <w:sz w:val="18"/>
        </w:rPr>
        <w:t>land,</w:t>
      </w:r>
      <w:r>
        <w:rPr>
          <w:spacing w:val="-4"/>
          <w:sz w:val="18"/>
        </w:rPr>
        <w:t> </w:t>
      </w:r>
      <w:r>
        <w:rPr>
          <w:sz w:val="18"/>
        </w:rPr>
        <w:t>and</w:t>
      </w:r>
    </w:p>
    <w:p>
      <w:pPr>
        <w:pStyle w:val="ListParagraph"/>
        <w:numPr>
          <w:ilvl w:val="1"/>
          <w:numId w:val="100"/>
        </w:numPr>
        <w:tabs>
          <w:tab w:pos="860" w:val="left" w:leader="none"/>
        </w:tabs>
        <w:spacing w:line="219" w:lineRule="exact" w:before="0" w:after="0"/>
        <w:ind w:left="860" w:right="0" w:hanging="360"/>
        <w:jc w:val="left"/>
        <w:rPr>
          <w:sz w:val="18"/>
        </w:rPr>
      </w:pPr>
      <w:r>
        <w:rPr>
          <w:sz w:val="18"/>
        </w:rPr>
        <w:t>to</w:t>
      </w:r>
      <w:r>
        <w:rPr>
          <w:spacing w:val="-4"/>
          <w:sz w:val="18"/>
        </w:rPr>
        <w:t> </w:t>
      </w:r>
      <w:r>
        <w:rPr>
          <w:sz w:val="18"/>
        </w:rPr>
        <w:t>liberate</w:t>
      </w:r>
      <w:r>
        <w:rPr>
          <w:spacing w:val="-4"/>
          <w:sz w:val="18"/>
        </w:rPr>
        <w:t> </w:t>
      </w:r>
      <w:r>
        <w:rPr>
          <w:sz w:val="18"/>
        </w:rPr>
        <w:t>the</w:t>
      </w:r>
      <w:r>
        <w:rPr>
          <w:spacing w:val="-4"/>
          <w:sz w:val="18"/>
        </w:rPr>
        <w:t> </w:t>
      </w:r>
      <w:r>
        <w:rPr>
          <w:sz w:val="18"/>
        </w:rPr>
        <w:t>talents</w:t>
      </w:r>
      <w:r>
        <w:rPr>
          <w:spacing w:val="-4"/>
          <w:sz w:val="18"/>
        </w:rPr>
        <w:t> </w:t>
      </w:r>
      <w:r>
        <w:rPr>
          <w:sz w:val="18"/>
        </w:rPr>
        <w:t>and</w:t>
      </w:r>
      <w:r>
        <w:rPr>
          <w:spacing w:val="-4"/>
          <w:sz w:val="18"/>
        </w:rPr>
        <w:t> </w:t>
      </w:r>
      <w:r>
        <w:rPr>
          <w:sz w:val="18"/>
        </w:rPr>
        <w:t>uplift</w:t>
      </w:r>
      <w:r>
        <w:rPr>
          <w:spacing w:val="-4"/>
          <w:sz w:val="18"/>
        </w:rPr>
        <w:t> </w:t>
      </w:r>
      <w:r>
        <w:rPr>
          <w:sz w:val="18"/>
        </w:rPr>
        <w:t>the</w:t>
      </w:r>
      <w:r>
        <w:rPr>
          <w:spacing w:val="-4"/>
          <w:sz w:val="18"/>
        </w:rPr>
        <w:t> </w:t>
      </w:r>
      <w:r>
        <w:rPr>
          <w:sz w:val="18"/>
        </w:rPr>
        <w:t>horizons</w:t>
      </w:r>
      <w:r>
        <w:rPr>
          <w:spacing w:val="-3"/>
          <w:sz w:val="18"/>
        </w:rPr>
        <w:t> </w:t>
      </w:r>
      <w:r>
        <w:rPr>
          <w:sz w:val="18"/>
        </w:rPr>
        <w:t>of</w:t>
      </w:r>
      <w:r>
        <w:rPr>
          <w:spacing w:val="-4"/>
          <w:sz w:val="18"/>
        </w:rPr>
        <w:t> </w:t>
      </w:r>
      <w:r>
        <w:rPr>
          <w:sz w:val="18"/>
        </w:rPr>
        <w:t>the</w:t>
      </w:r>
      <w:r>
        <w:rPr>
          <w:spacing w:val="-4"/>
          <w:sz w:val="18"/>
        </w:rPr>
        <w:t> </w:t>
      </w:r>
      <w:r>
        <w:rPr>
          <w:sz w:val="18"/>
        </w:rPr>
        <w:t>Australian</w:t>
      </w:r>
      <w:r>
        <w:rPr>
          <w:spacing w:val="-5"/>
          <w:sz w:val="18"/>
        </w:rPr>
        <w:t> </w:t>
      </w:r>
      <w:r>
        <w:rPr>
          <w:sz w:val="18"/>
        </w:rPr>
        <w:t>people.</w:t>
      </w:r>
    </w:p>
    <w:p>
      <w:pPr>
        <w:pStyle w:val="BodyText"/>
        <w:rPr>
          <w:sz w:val="20"/>
        </w:rPr>
      </w:pPr>
    </w:p>
    <w:p>
      <w:pPr>
        <w:pStyle w:val="BodyText"/>
        <w:spacing w:before="1"/>
        <w:rPr>
          <w:sz w:val="16"/>
        </w:rPr>
      </w:pPr>
    </w:p>
    <w:tbl>
      <w:tblPr>
        <w:tblW w:w="0" w:type="auto"/>
        <w:jc w:val="left"/>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33"/>
        <w:gridCol w:w="1843"/>
        <w:gridCol w:w="2126"/>
        <w:gridCol w:w="1984"/>
      </w:tblGrid>
      <w:tr>
        <w:trPr>
          <w:trHeight w:val="520" w:hRule="exact"/>
        </w:trPr>
        <w:tc>
          <w:tcPr>
            <w:tcW w:w="3133" w:type="dxa"/>
          </w:tcPr>
          <w:p>
            <w:pPr>
              <w:pStyle w:val="TableParagraph"/>
              <w:spacing w:before="145"/>
              <w:ind w:left="98"/>
              <w:rPr>
                <w:b/>
                <w:i/>
                <w:sz w:val="18"/>
              </w:rPr>
            </w:pPr>
            <w:r>
              <w:rPr>
                <w:b/>
                <w:i/>
                <w:sz w:val="18"/>
              </w:rPr>
              <w:t>Category</w:t>
            </w:r>
          </w:p>
        </w:tc>
        <w:tc>
          <w:tcPr>
            <w:tcW w:w="1843" w:type="dxa"/>
          </w:tcPr>
          <w:p>
            <w:pPr>
              <w:pStyle w:val="TableParagraph"/>
              <w:spacing w:before="145"/>
              <w:ind w:right="50"/>
              <w:jc w:val="right"/>
              <w:rPr>
                <w:b/>
                <w:i/>
                <w:sz w:val="18"/>
              </w:rPr>
            </w:pPr>
            <w:r>
              <w:rPr>
                <w:b/>
                <w:i/>
                <w:sz w:val="18"/>
              </w:rPr>
              <w:t>FY 2017 Actual</w:t>
            </w:r>
          </w:p>
        </w:tc>
        <w:tc>
          <w:tcPr>
            <w:tcW w:w="2126" w:type="dxa"/>
          </w:tcPr>
          <w:p>
            <w:pPr>
              <w:pStyle w:val="TableParagraph"/>
              <w:spacing w:before="145"/>
              <w:ind w:right="50"/>
              <w:jc w:val="right"/>
              <w:rPr>
                <w:b/>
                <w:i/>
                <w:sz w:val="18"/>
              </w:rPr>
            </w:pPr>
            <w:r>
              <w:rPr>
                <w:b/>
                <w:i/>
                <w:sz w:val="18"/>
              </w:rPr>
              <w:t>Annual 2017 Budget</w:t>
            </w:r>
          </w:p>
        </w:tc>
        <w:tc>
          <w:tcPr>
            <w:tcW w:w="1984" w:type="dxa"/>
          </w:tcPr>
          <w:p>
            <w:pPr>
              <w:pStyle w:val="TableParagraph"/>
              <w:spacing w:before="145"/>
              <w:ind w:right="49"/>
              <w:jc w:val="right"/>
              <w:rPr>
                <w:b/>
                <w:i/>
                <w:sz w:val="18"/>
              </w:rPr>
            </w:pPr>
            <w:r>
              <w:rPr>
                <w:b/>
                <w:i/>
                <w:sz w:val="18"/>
              </w:rPr>
              <w:t>% Full year achieved</w:t>
            </w:r>
          </w:p>
        </w:tc>
      </w:tr>
      <w:tr>
        <w:trPr>
          <w:trHeight w:val="290" w:hRule="exact"/>
        </w:trPr>
        <w:tc>
          <w:tcPr>
            <w:tcW w:w="3133" w:type="dxa"/>
          </w:tcPr>
          <w:p>
            <w:pPr>
              <w:pStyle w:val="TableParagraph"/>
              <w:spacing w:before="61"/>
              <w:ind w:left="98"/>
              <w:rPr>
                <w:sz w:val="18"/>
              </w:rPr>
            </w:pPr>
            <w:r>
              <w:rPr>
                <w:sz w:val="18"/>
              </w:rPr>
              <w:t>Revenue</w:t>
            </w:r>
          </w:p>
        </w:tc>
        <w:tc>
          <w:tcPr>
            <w:tcW w:w="1843" w:type="dxa"/>
          </w:tcPr>
          <w:p>
            <w:pPr>
              <w:pStyle w:val="TableParagraph"/>
              <w:spacing w:before="61"/>
              <w:ind w:right="51"/>
              <w:jc w:val="right"/>
              <w:rPr>
                <w:sz w:val="18"/>
              </w:rPr>
            </w:pPr>
            <w:r>
              <w:rPr>
                <w:sz w:val="18"/>
              </w:rPr>
              <w:t>$226,972</w:t>
            </w:r>
          </w:p>
        </w:tc>
        <w:tc>
          <w:tcPr>
            <w:tcW w:w="2126" w:type="dxa"/>
          </w:tcPr>
          <w:p>
            <w:pPr>
              <w:pStyle w:val="TableParagraph"/>
              <w:spacing w:before="61"/>
              <w:ind w:right="51"/>
              <w:jc w:val="right"/>
              <w:rPr>
                <w:sz w:val="18"/>
              </w:rPr>
            </w:pPr>
            <w:r>
              <w:rPr>
                <w:sz w:val="18"/>
              </w:rPr>
              <w:t>$174,910</w:t>
            </w:r>
          </w:p>
        </w:tc>
        <w:tc>
          <w:tcPr>
            <w:tcW w:w="1984" w:type="dxa"/>
          </w:tcPr>
          <w:p>
            <w:pPr>
              <w:pStyle w:val="TableParagraph"/>
              <w:spacing w:before="61"/>
              <w:ind w:right="50"/>
              <w:jc w:val="right"/>
              <w:rPr>
                <w:sz w:val="18"/>
              </w:rPr>
            </w:pPr>
            <w:r>
              <w:rPr>
                <w:sz w:val="18"/>
              </w:rPr>
              <w:t>130%</w:t>
            </w:r>
          </w:p>
        </w:tc>
      </w:tr>
      <w:tr>
        <w:trPr>
          <w:trHeight w:val="290" w:hRule="exact"/>
        </w:trPr>
        <w:tc>
          <w:tcPr>
            <w:tcW w:w="3133" w:type="dxa"/>
          </w:tcPr>
          <w:p>
            <w:pPr>
              <w:pStyle w:val="TableParagraph"/>
              <w:spacing w:before="61"/>
              <w:ind w:left="98"/>
              <w:rPr>
                <w:sz w:val="18"/>
              </w:rPr>
            </w:pPr>
            <w:r>
              <w:rPr>
                <w:sz w:val="18"/>
              </w:rPr>
              <w:t>Expenses</w:t>
            </w:r>
          </w:p>
        </w:tc>
        <w:tc>
          <w:tcPr>
            <w:tcW w:w="1843" w:type="dxa"/>
          </w:tcPr>
          <w:p>
            <w:pPr>
              <w:pStyle w:val="TableParagraph"/>
              <w:spacing w:before="61"/>
              <w:ind w:right="51"/>
              <w:jc w:val="right"/>
              <w:rPr>
                <w:sz w:val="18"/>
              </w:rPr>
            </w:pPr>
            <w:r>
              <w:rPr>
                <w:sz w:val="18"/>
              </w:rPr>
              <w:t>$109,190</w:t>
            </w:r>
          </w:p>
        </w:tc>
        <w:tc>
          <w:tcPr>
            <w:tcW w:w="2126" w:type="dxa"/>
          </w:tcPr>
          <w:p>
            <w:pPr>
              <w:pStyle w:val="TableParagraph"/>
              <w:spacing w:before="61"/>
              <w:ind w:right="51"/>
              <w:jc w:val="right"/>
              <w:rPr>
                <w:sz w:val="18"/>
              </w:rPr>
            </w:pPr>
            <w:r>
              <w:rPr>
                <w:sz w:val="18"/>
              </w:rPr>
              <w:t>$107,648</w:t>
            </w:r>
          </w:p>
        </w:tc>
        <w:tc>
          <w:tcPr>
            <w:tcW w:w="1984" w:type="dxa"/>
          </w:tcPr>
          <w:p>
            <w:pPr>
              <w:pStyle w:val="TableParagraph"/>
              <w:spacing w:before="61"/>
              <w:ind w:right="50"/>
              <w:jc w:val="right"/>
              <w:rPr>
                <w:sz w:val="18"/>
              </w:rPr>
            </w:pPr>
            <w:r>
              <w:rPr>
                <w:sz w:val="18"/>
              </w:rPr>
              <w:t>101%</w:t>
            </w:r>
          </w:p>
        </w:tc>
      </w:tr>
      <w:tr>
        <w:trPr>
          <w:trHeight w:val="289" w:hRule="exact"/>
        </w:trPr>
        <w:tc>
          <w:tcPr>
            <w:tcW w:w="3133" w:type="dxa"/>
          </w:tcPr>
          <w:p>
            <w:pPr>
              <w:pStyle w:val="TableParagraph"/>
              <w:spacing w:before="60"/>
              <w:ind w:left="98"/>
              <w:rPr>
                <w:b/>
                <w:sz w:val="18"/>
              </w:rPr>
            </w:pPr>
            <w:r>
              <w:rPr>
                <w:b/>
                <w:sz w:val="18"/>
              </w:rPr>
              <w:t>Operating Surplus</w:t>
            </w:r>
          </w:p>
        </w:tc>
        <w:tc>
          <w:tcPr>
            <w:tcW w:w="1843" w:type="dxa"/>
          </w:tcPr>
          <w:p>
            <w:pPr>
              <w:pStyle w:val="TableParagraph"/>
              <w:spacing w:before="60"/>
              <w:ind w:right="51"/>
              <w:jc w:val="right"/>
              <w:rPr>
                <w:b/>
                <w:sz w:val="18"/>
              </w:rPr>
            </w:pPr>
            <w:r>
              <w:rPr>
                <w:b/>
                <w:sz w:val="18"/>
              </w:rPr>
              <w:t>$117,782</w:t>
            </w:r>
          </w:p>
        </w:tc>
        <w:tc>
          <w:tcPr>
            <w:tcW w:w="2126" w:type="dxa"/>
          </w:tcPr>
          <w:p>
            <w:pPr>
              <w:pStyle w:val="TableParagraph"/>
              <w:spacing w:before="60"/>
              <w:ind w:right="52"/>
              <w:jc w:val="right"/>
              <w:rPr>
                <w:b/>
                <w:sz w:val="18"/>
              </w:rPr>
            </w:pPr>
            <w:r>
              <w:rPr>
                <w:b/>
                <w:sz w:val="18"/>
              </w:rPr>
              <w:t>($67,262)</w:t>
            </w:r>
          </w:p>
        </w:tc>
        <w:tc>
          <w:tcPr>
            <w:tcW w:w="1984" w:type="dxa"/>
          </w:tcPr>
          <w:p>
            <w:pPr>
              <w:pStyle w:val="TableParagraph"/>
              <w:spacing w:before="61"/>
              <w:ind w:right="50"/>
              <w:jc w:val="right"/>
              <w:rPr>
                <w:sz w:val="18"/>
              </w:rPr>
            </w:pPr>
            <w:r>
              <w:rPr>
                <w:sz w:val="18"/>
              </w:rPr>
              <w:t>0%</w:t>
            </w:r>
          </w:p>
        </w:tc>
      </w:tr>
      <w:tr>
        <w:trPr>
          <w:trHeight w:val="227" w:hRule="exact"/>
        </w:trPr>
        <w:tc>
          <w:tcPr>
            <w:tcW w:w="3133" w:type="dxa"/>
          </w:tcPr>
          <w:p>
            <w:pPr>
              <w:pStyle w:val="TableParagraph"/>
              <w:spacing w:line="206" w:lineRule="exact"/>
              <w:ind w:left="98"/>
              <w:rPr>
                <w:sz w:val="18"/>
              </w:rPr>
            </w:pPr>
            <w:r>
              <w:rPr>
                <w:sz w:val="18"/>
              </w:rPr>
              <w:t>Accumulated Retained Earnings</w:t>
            </w:r>
          </w:p>
        </w:tc>
        <w:tc>
          <w:tcPr>
            <w:tcW w:w="1843" w:type="dxa"/>
          </w:tcPr>
          <w:p>
            <w:pPr>
              <w:pStyle w:val="TableParagraph"/>
              <w:spacing w:line="206" w:lineRule="exact"/>
              <w:ind w:right="52"/>
              <w:jc w:val="right"/>
              <w:rPr>
                <w:sz w:val="18"/>
              </w:rPr>
            </w:pPr>
            <w:r>
              <w:rPr>
                <w:sz w:val="18"/>
              </w:rPr>
              <w:t>$1,331,898</w:t>
            </w:r>
          </w:p>
        </w:tc>
        <w:tc>
          <w:tcPr>
            <w:tcW w:w="2126" w:type="dxa"/>
          </w:tcPr>
          <w:p>
            <w:pPr/>
          </w:p>
        </w:tc>
        <w:tc>
          <w:tcPr>
            <w:tcW w:w="1984" w:type="dxa"/>
          </w:tcPr>
          <w:p>
            <w:pPr/>
          </w:p>
        </w:tc>
      </w:tr>
    </w:tbl>
    <w:p>
      <w:pPr>
        <w:pStyle w:val="BodyText"/>
        <w:spacing w:before="2"/>
        <w:rPr>
          <w:sz w:val="29"/>
        </w:rPr>
      </w:pPr>
    </w:p>
    <w:p>
      <w:pPr>
        <w:pStyle w:val="BodyText"/>
        <w:spacing w:before="77"/>
        <w:ind w:left="140" w:right="456"/>
      </w:pPr>
      <w:r>
        <w:rPr>
          <w:u w:val="single"/>
        </w:rPr>
        <w:t>Management and Operations</w:t>
      </w:r>
    </w:p>
    <w:p>
      <w:pPr>
        <w:pStyle w:val="BodyText"/>
        <w:ind w:left="140" w:right="636"/>
      </w:pPr>
      <w:r>
        <w:rPr/>
        <w:t>The Whitlam Institute within Western Sydney University Limited is a wholly owned entity of Western Sydney University.</w:t>
      </w:r>
    </w:p>
    <w:p>
      <w:pPr>
        <w:pStyle w:val="BodyText"/>
        <w:spacing w:before="120"/>
        <w:ind w:left="140" w:right="1055"/>
      </w:pPr>
      <w:r>
        <w:rPr/>
        <w:t>The Whitlam Institute Board is politically bipartisan and consists of leaders in academia, business, and government organisations. The Board participates in the strategic development of the Institute.</w:t>
      </w:r>
    </w:p>
    <w:p>
      <w:pPr>
        <w:pStyle w:val="BodyText"/>
        <w:spacing w:before="119"/>
        <w:ind w:left="140" w:right="116"/>
      </w:pPr>
      <w:r>
        <w:rPr/>
        <w:t>The Whitlam Institute is led by its Director Leanne Smith. Its small secretariat is committed to the highest quality in all its activity whether that might be its policy and research work, outreach activity, public information program or events.</w:t>
      </w:r>
    </w:p>
    <w:p>
      <w:pPr>
        <w:spacing w:after="0"/>
        <w:sectPr>
          <w:pgSz w:w="11910" w:h="16840"/>
          <w:pgMar w:header="693" w:footer="507" w:top="900" w:bottom="700" w:left="1300" w:right="1260"/>
        </w:sectPr>
      </w:pPr>
    </w:p>
    <w:p>
      <w:pPr>
        <w:pStyle w:val="BodyText"/>
        <w:rPr>
          <w:sz w:val="20"/>
        </w:rPr>
      </w:pPr>
      <w:r>
        <w:rPr/>
        <w:pict>
          <v:shape style="position:absolute;margin-left:0pt;margin-top:.000015pt;width:595.3pt;height:841.9pt;mso-position-horizontal-relative:page;mso-position-vertical-relative:page;z-index:-1178704" type="#_x0000_t202" filled="false" stroked="false">
            <v:textbox inset="0,0,0,0">
              <w:txbxContent>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spacing w:before="6"/>
                    <w:rPr>
                      <w:rFonts w:ascii="Gotham Narrow Bold"/>
                      <w:b/>
                      <w:sz w:val="9"/>
                    </w:rPr>
                  </w:pPr>
                </w:p>
                <w:p>
                  <w:pPr>
                    <w:spacing w:before="0"/>
                    <w:ind w:left="907" w:right="0" w:firstLine="0"/>
                    <w:jc w:val="left"/>
                    <w:rPr>
                      <w:rFonts w:ascii="Gotham Narrow Book"/>
                      <w:b w:val="0"/>
                      <w:sz w:val="13"/>
                    </w:rPr>
                  </w:pPr>
                  <w:r>
                    <w:rPr>
                      <w:rFonts w:ascii="Gotham Narrow Book"/>
                      <w:b w:val="0"/>
                      <w:color w:val="231F20"/>
                      <w:sz w:val="13"/>
                    </w:rPr>
                    <w:t>ANNUAL REPORT 2017</w:t>
                  </w: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spacing w:before="11"/>
                    <w:rPr>
                      <w:rFonts w:ascii="Gotham Narrow Bold"/>
                      <w:b/>
                      <w:sz w:val="14"/>
                    </w:rPr>
                  </w:pPr>
                </w:p>
                <w:p>
                  <w:pPr>
                    <w:tabs>
                      <w:tab w:pos="9446" w:val="left" w:leader="none"/>
                    </w:tabs>
                    <w:spacing w:before="1"/>
                    <w:ind w:left="907" w:right="0" w:firstLine="0"/>
                    <w:jc w:val="left"/>
                    <w:rPr>
                      <w:rFonts w:ascii="Gotham Narrow Book"/>
                      <w:b w:val="0"/>
                      <w:sz w:val="13"/>
                    </w:rPr>
                  </w:pPr>
                  <w:r>
                    <w:rPr>
                      <w:rFonts w:ascii="Gotham Narrow Book"/>
                      <w:b w:val="0"/>
                      <w:color w:val="231F20"/>
                      <w:sz w:val="13"/>
                    </w:rPr>
                    <w:t>2</w:t>
                    <w:tab/>
                    <w:t>Western  Sydney University</w:t>
                  </w:r>
                </w:p>
              </w:txbxContent>
            </v:textbox>
            <w10:wrap type="none"/>
          </v:shape>
        </w:pict>
      </w:r>
    </w:p>
    <w:p>
      <w:pPr>
        <w:pStyle w:val="BodyText"/>
        <w:rPr>
          <w:sz w:val="20"/>
        </w:rPr>
      </w:pPr>
    </w:p>
    <w:p>
      <w:pPr>
        <w:pStyle w:val="BodyText"/>
        <w:rPr>
          <w:sz w:val="20"/>
        </w:rPr>
      </w:pPr>
    </w:p>
    <w:p>
      <w:pPr>
        <w:pStyle w:val="BodyText"/>
        <w:spacing w:before="8"/>
        <w:rPr>
          <w:sz w:val="29"/>
        </w:rPr>
      </w:pPr>
    </w:p>
    <w:p>
      <w:pPr>
        <w:spacing w:line="249" w:lineRule="auto" w:before="77"/>
        <w:ind w:left="3261" w:right="3259" w:firstLine="0"/>
        <w:jc w:val="center"/>
        <w:rPr>
          <w:rFonts w:ascii="Gotham Narrow Book"/>
          <w:b w:val="0"/>
          <w:sz w:val="16"/>
        </w:rPr>
      </w:pPr>
      <w:r>
        <w:rPr>
          <w:rFonts w:ascii="Gotham Narrow Book"/>
          <w:b w:val="0"/>
          <w:color w:val="FFFFFF"/>
          <w:sz w:val="16"/>
        </w:rPr>
        <w:t>Western Sydney University ABN 53 014 069 881</w:t>
      </w:r>
    </w:p>
    <w:p>
      <w:pPr>
        <w:spacing w:line="249" w:lineRule="auto" w:before="0"/>
        <w:ind w:left="3261" w:right="3259" w:firstLine="0"/>
        <w:jc w:val="center"/>
        <w:rPr>
          <w:rFonts w:ascii="Gotham Narrow Book"/>
          <w:b w:val="0"/>
          <w:sz w:val="16"/>
        </w:rPr>
      </w:pPr>
      <w:r>
        <w:rPr>
          <w:rFonts w:ascii="Gotham Narrow Book"/>
          <w:b w:val="0"/>
          <w:color w:val="FFFFFF"/>
          <w:sz w:val="16"/>
        </w:rPr>
        <w:t>CRICOS Provider No: 00917K Locked Bag 1797</w:t>
      </w:r>
    </w:p>
    <w:p>
      <w:pPr>
        <w:spacing w:before="0"/>
        <w:ind w:left="3029" w:right="3029" w:firstLine="0"/>
        <w:jc w:val="center"/>
        <w:rPr>
          <w:rFonts w:ascii="Gotham Narrow Book"/>
          <w:b w:val="0"/>
          <w:sz w:val="16"/>
        </w:rPr>
      </w:pPr>
      <w:r>
        <w:rPr>
          <w:rFonts w:ascii="Gotham Narrow Book"/>
          <w:b w:val="0"/>
          <w:color w:val="FFFFFF"/>
          <w:sz w:val="16"/>
        </w:rPr>
        <w:t>Penrith NSW 2751</w:t>
      </w:r>
    </w:p>
    <w:p>
      <w:pPr>
        <w:spacing w:before="8"/>
        <w:ind w:left="3029" w:right="3029" w:firstLine="0"/>
        <w:jc w:val="center"/>
        <w:rPr>
          <w:rFonts w:ascii="Gotham Narrow Book"/>
          <w:b w:val="0"/>
          <w:sz w:val="16"/>
        </w:rPr>
      </w:pPr>
      <w:r>
        <w:rPr>
          <w:rFonts w:ascii="Gotham Narrow Book"/>
          <w:b w:val="0"/>
          <w:color w:val="FFFFFF"/>
          <w:sz w:val="16"/>
        </w:rPr>
        <w:t>Tel: +61 2 9852 5222</w:t>
      </w: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20"/>
        </w:rPr>
      </w:pPr>
    </w:p>
    <w:p>
      <w:pPr>
        <w:pStyle w:val="BodyText"/>
        <w:rPr>
          <w:rFonts w:ascii="Gotham Narrow Book"/>
          <w:b w:val="0"/>
          <w:sz w:val="10"/>
        </w:rPr>
      </w:pPr>
      <w:r>
        <w:rPr/>
        <w:pict>
          <v:shape style="position:absolute;margin-left:269.126099pt;margin-top:7.995497pt;width:57.05pt;height:71.3pt;mso-position-horizontal-relative:page;mso-position-vertical-relative:paragraph;z-index:5296;mso-wrap-distance-left:0;mso-wrap-distance-right:0" coordorigin="5383,160" coordsize="1141,1426" path="m6523,160l5383,160,5383,1018,5394,1095,5425,1169,5472,1239,5530,1305,5597,1365,5667,1420,5738,1468,5805,1508,5863,1541,5910,1565,5941,1580,5953,1586,5964,1580,5995,1565,6042,1541,6101,1508,6167,1468,6238,1420,6309,1365,6375,1305,6434,1239,6469,1187,5685,1187,5497,388,6523,388,6523,160xm5952,640l5835,1133,5794,1142,5755,1155,5719,1169,5685,1187,6220,1187,6186,1169,6149,1155,6111,1142,6070,1133,5952,640xm6523,388l6408,388,6220,1187,6469,1187,6481,1169,6512,1095,6523,1018,6523,388xm5902,388l5615,388,5759,986,5902,388xm6290,388l6003,388,6149,986,6290,388xe" filled="true" fillcolor="#ffffff" stroked="false">
            <v:path arrowok="t"/>
            <v:fill type="solid"/>
            <w10:wrap type="topAndBottom"/>
          </v:shape>
        </w:pict>
      </w:r>
    </w:p>
    <w:p>
      <w:pPr>
        <w:pStyle w:val="BodyText"/>
        <w:spacing w:before="2"/>
        <w:rPr>
          <w:rFonts w:ascii="Gotham Narrow Book"/>
          <w:b w:val="0"/>
          <w:sz w:val="23"/>
        </w:rPr>
      </w:pPr>
    </w:p>
    <w:p>
      <w:pPr>
        <w:pStyle w:val="Heading4"/>
        <w:ind w:left="1273" w:right="1273"/>
        <w:jc w:val="center"/>
        <w:rPr>
          <w:rFonts w:ascii="Gotham Narrow Bold"/>
        </w:rPr>
      </w:pPr>
      <w:r>
        <w:rPr>
          <w:rFonts w:ascii="Gotham Narrow Bold"/>
          <w:color w:val="FFFFFF"/>
        </w:rPr>
        <w:t>WESTERNSYDNEY.EDU.AU</w:t>
      </w:r>
    </w:p>
    <w:sectPr>
      <w:headerReference w:type="default" r:id="rId177"/>
      <w:footerReference w:type="default" r:id="rId178"/>
      <w:pgSz w:w="11910" w:h="16840"/>
      <w:pgMar w:header="0" w:footer="0" w:top="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hronicle Text G1">
    <w:altName w:val="Chronicle Text G1"/>
    <w:charset w:val="0"/>
    <w:family w:val="modern"/>
    <w:pitch w:val="variable"/>
  </w:font>
  <w:font w:name="Symbol">
    <w:altName w:val="Symbol"/>
    <w:charset w:val="2"/>
    <w:family w:val="roman"/>
    <w:pitch w:val="variable"/>
  </w:font>
  <w:font w:name="Tahoma">
    <w:altName w:val="Tahoma"/>
    <w:charset w:val="0"/>
    <w:family w:val="swiss"/>
    <w:pitch w:val="variable"/>
  </w:font>
  <w:font w:name="Courier New">
    <w:altName w:val="Courier New"/>
    <w:charset w:val="0"/>
    <w:family w:val="modern"/>
    <w:pitch w:val="fixed"/>
  </w:font>
  <w:font w:name="Calibri">
    <w:altName w:val="Calibri"/>
    <w:charset w:val="0"/>
    <w:family w:val="swiss"/>
    <w:pitch w:val="variable"/>
  </w:font>
  <w:font w:name="Microsoft Sans Serif">
    <w:altName w:val="Microsoft Sans Serif"/>
    <w:charset w:val="0"/>
    <w:family w:val="swiss"/>
    <w:pitch w:val="variable"/>
  </w:font>
  <w:font w:name="Gotham Narrow Book">
    <w:altName w:val="Gotham Narrow Book"/>
    <w:charset w:val="0"/>
    <w:family w:val="modern"/>
    <w:pitch w:val="variable"/>
  </w:font>
  <w:font w:name="Gotham Narrow Bold">
    <w:altName w:val="Gotham Narrow Bold"/>
    <w:charset w:val="0"/>
    <w:family w:val="moder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type id="_x0000_t202" o:spt="202" coordsize="21600,21600" path="m,l,21600r21600,l21600,xe">
          <v:stroke joinstyle="miter"/>
          <v:path gradientshapeok="t" o:connecttype="rect"/>
        </v:shapetype>
        <v:shape style="position:absolute;margin-left:291.187012pt;margin-top:805.633545pt;width:12.9pt;height:10.15pt;mso-position-horizontal-relative:page;mso-position-vertical-relative:page;z-index:-118300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360596pt;margin-top:805.763977pt;width:12.4pt;height:10pt;mso-position-horizontal-relative:page;mso-position-vertical-relative:page;z-index:-1182184" type="#_x0000_t202" filled="false" stroked="false">
          <v:textbox inset="0,0,0,0">
            <w:txbxContent>
              <w:p>
                <w:pPr>
                  <w:spacing w:line="183" w:lineRule="exact" w:before="0"/>
                  <w:ind w:left="40" w:right="0" w:firstLine="0"/>
                  <w:jc w:val="left"/>
                  <w:rPr>
                    <w:rFonts w:ascii="Times New Roman"/>
                    <w:sz w:val="16"/>
                  </w:rPr>
                </w:pPr>
                <w:r>
                  <w:rPr/>
                  <w:fldChar w:fldCharType="begin"/>
                </w:r>
                <w:r>
                  <w:rPr>
                    <w:rFonts w:ascii="Times New Roman"/>
                    <w:w w:val="105"/>
                    <w:sz w:val="16"/>
                  </w:rPr>
                  <w:instrText> PAGE </w:instrText>
                </w:r>
                <w:r>
                  <w:rPr/>
                  <w:fldChar w:fldCharType="separate"/>
                </w:r>
                <w:r>
                  <w:rPr/>
                  <w:t>94</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60492pt;margin-top:805.633545pt;width:12.9pt;height:10pt;mso-position-horizontal-relative:page;mso-position-vertical-relative:page;z-index:-118216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95</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262085pt;margin-top:805.373962pt;width:17.4pt;height:10.5pt;mso-position-horizontal-relative:page;mso-position-vertical-relative:page;z-index:-1182112" type="#_x0000_t202" filled="false" stroked="false">
          <v:textbox inset="0,0,0,0">
            <w:txbxContent>
              <w:p>
                <w:pPr>
                  <w:spacing w:line="194" w:lineRule="exact" w:before="0"/>
                  <w:ind w:left="40" w:right="0" w:firstLine="0"/>
                  <w:jc w:val="left"/>
                  <w:rPr>
                    <w:rFonts w:ascii="Times New Roman"/>
                    <w:sz w:val="17"/>
                  </w:rPr>
                </w:pPr>
                <w:r>
                  <w:rPr/>
                  <w:fldChar w:fldCharType="begin"/>
                </w:r>
                <w:r>
                  <w:rPr>
                    <w:rFonts w:ascii="Times New Roman"/>
                    <w:color w:val="080808"/>
                    <w:w w:val="105"/>
                    <w:sz w:val="17"/>
                  </w:rPr>
                  <w:instrText> PAGE </w:instrText>
                </w:r>
                <w:r>
                  <w:rPr/>
                  <w:fldChar w:fldCharType="separate"/>
                </w:r>
                <w:r>
                  <w:rPr/>
                  <w:t>101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18208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102</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373962pt;width:18.25pt;height:10.5pt;mso-position-horizontal-relative:page;mso-position-vertical-relative:page;z-index:-1181968" type="#_x0000_t202" filled="false" stroked="false">
          <v:textbox inset="0,0,0,0">
            <w:txbxContent>
              <w:p>
                <w:pPr>
                  <w:spacing w:line="194" w:lineRule="exact" w:before="0"/>
                  <w:ind w:left="46" w:right="0" w:firstLine="0"/>
                  <w:jc w:val="left"/>
                  <w:rPr>
                    <w:rFonts w:ascii="Times New Roman"/>
                    <w:sz w:val="17"/>
                  </w:rPr>
                </w:pPr>
                <w:r>
                  <w:rPr/>
                  <w:fldChar w:fldCharType="begin"/>
                </w:r>
                <w:r>
                  <w:rPr>
                    <w:rFonts w:ascii="Times New Roman"/>
                    <w:w w:val="110"/>
                    <w:sz w:val="17"/>
                  </w:rPr>
                  <w:instrText> PAGE </w:instrText>
                </w:r>
                <w:r>
                  <w:rPr/>
                  <w:fldChar w:fldCharType="separate"/>
                </w:r>
                <w:r>
                  <w:rPr/>
                  <w:t>138</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262085pt;margin-top:805.373962pt;width:17.9pt;height:10.5pt;mso-position-horizontal-relative:page;mso-position-vertical-relative:page;z-index:-1181944" type="#_x0000_t202" filled="false" stroked="false">
          <v:textbox inset="0,0,0,0">
            <w:txbxContent>
              <w:p>
                <w:pPr>
                  <w:spacing w:line="194" w:lineRule="exact" w:before="0"/>
                  <w:ind w:left="40" w:right="0" w:firstLine="0"/>
                  <w:jc w:val="left"/>
                  <w:rPr>
                    <w:rFonts w:ascii="Times New Roman"/>
                    <w:sz w:val="17"/>
                  </w:rPr>
                </w:pPr>
                <w:r>
                  <w:rPr/>
                  <w:fldChar w:fldCharType="begin"/>
                </w:r>
                <w:r>
                  <w:rPr>
                    <w:rFonts w:ascii="Times New Roman"/>
                    <w:w w:val="110"/>
                    <w:sz w:val="17"/>
                  </w:rPr>
                  <w:instrText> PAGE </w:instrText>
                </w:r>
                <w:r>
                  <w:rPr/>
                  <w:fldChar w:fldCharType="separate"/>
                </w:r>
                <w:r>
                  <w:rPr/>
                  <w:t>138</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289.262085pt;margin-top:805.373962pt;width:16.650pt;height:10.5pt;mso-position-horizontal-relative:page;mso-position-vertical-relative:page;z-index:-1181920" type="#_x0000_t202" filled="false" stroked="false">
          <v:textbox inset="0,0,0,0">
            <w:txbxContent>
              <w:p>
                <w:pPr>
                  <w:spacing w:line="194" w:lineRule="exact" w:before="0"/>
                  <w:ind w:left="40" w:right="0" w:firstLine="0"/>
                  <w:jc w:val="left"/>
                  <w:rPr>
                    <w:rFonts w:ascii="Times New Roman"/>
                    <w:sz w:val="17"/>
                  </w:rPr>
                </w:pPr>
                <w:r>
                  <w:rPr/>
                  <w:fldChar w:fldCharType="begin"/>
                </w:r>
                <w:r>
                  <w:rPr>
                    <w:rFonts w:ascii="Times New Roman"/>
                    <w:w w:val="105"/>
                    <w:sz w:val="17"/>
                  </w:rPr>
                  <w:instrText> PAGE </w:instrText>
                </w:r>
                <w:r>
                  <w:rPr/>
                  <w:fldChar w:fldCharType="separate"/>
                </w:r>
                <w:r>
                  <w:rPr/>
                  <w:t>13</w:t>
                </w:r>
                <w:r>
                  <w:rPr/>
                  <w:fldChar w:fldCharType="end"/>
                </w:r>
                <w:r>
                  <w:rPr>
                    <w:rFonts w:ascii="Times New Roman"/>
                    <w:w w:val="105"/>
                    <w:sz w:val="17"/>
                  </w:rPr>
                  <w:t>9</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87012pt;margin-top:805.519531pt;width:12.9pt;height:10pt;mso-position-horizontal-relative:page;mso-position-vertical-relative:page;z-index:-118273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11</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9"/>
      </w:rPr>
    </w:pPr>
    <w:r>
      <w:rPr/>
      <w:pict>
        <v:shape style="position:absolute;margin-left:289.262085pt;margin-top:805.373962pt;width:16.650pt;height:10.5pt;mso-position-horizontal-relative:page;mso-position-vertical-relative:page;z-index:-1181896" type="#_x0000_t202" filled="false" stroked="false">
          <v:textbox inset="0,0,0,0">
            <w:txbxContent>
              <w:p>
                <w:pPr>
                  <w:spacing w:line="194" w:lineRule="exact" w:before="0"/>
                  <w:ind w:left="40" w:right="0" w:firstLine="0"/>
                  <w:jc w:val="left"/>
                  <w:rPr>
                    <w:rFonts w:ascii="Times New Roman"/>
                    <w:sz w:val="17"/>
                  </w:rPr>
                </w:pPr>
                <w:r>
                  <w:rPr/>
                  <w:fldChar w:fldCharType="begin"/>
                </w:r>
                <w:r>
                  <w:rPr>
                    <w:rFonts w:ascii="Times New Roman"/>
                    <w:w w:val="105"/>
                    <w:sz w:val="17"/>
                  </w:rPr>
                  <w:instrText> PAGE </w:instrText>
                </w:r>
                <w:r>
                  <w:rPr/>
                  <w:fldChar w:fldCharType="separate"/>
                </w:r>
                <w:r>
                  <w:rPr/>
                  <w:t>14</w:t>
                </w:r>
                <w:r>
                  <w:rPr/>
                  <w:fldChar w:fldCharType="end"/>
                </w:r>
                <w:r>
                  <w:rPr>
                    <w:rFonts w:ascii="Times New Roman"/>
                    <w:w w:val="105"/>
                    <w:sz w:val="17"/>
                  </w:rPr>
                  <w:t>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288.935974pt;margin-top:805.001648pt;width:18pt;height:10.9pt;mso-position-horizontal-relative:page;mso-position-vertical-relative:page;z-index:-1181872" type="#_x0000_t202" filled="false" stroked="false">
          <v:textbox inset="0,0,0,0">
            <w:txbxContent>
              <w:p>
                <w:pPr>
                  <w:spacing w:before="5"/>
                  <w:ind w:left="46" w:right="0" w:firstLine="0"/>
                  <w:jc w:val="left"/>
                  <w:rPr>
                    <w:rFonts w:ascii="Times New Roman"/>
                    <w:sz w:val="17"/>
                  </w:rPr>
                </w:pPr>
                <w:r>
                  <w:rPr/>
                  <w:fldChar w:fldCharType="begin"/>
                </w:r>
                <w:r>
                  <w:rPr>
                    <w:rFonts w:ascii="Times New Roman"/>
                    <w:w w:val="105"/>
                    <w:sz w:val="17"/>
                  </w:rPr>
                  <w:instrText> PAGE </w:instrText>
                </w:r>
                <w:r>
                  <w:rPr/>
                  <w:fldChar w:fldCharType="separate"/>
                </w:r>
                <w:r>
                  <w:rPr/>
                  <w:t>171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560791pt;margin-top:805.001648pt;width:16.7pt;height:10.5pt;mso-position-horizontal-relative:page;mso-position-vertical-relative:page;z-index:-1181848" type="#_x0000_t202" filled="false" stroked="false">
          <v:textbox inset="0,0,0,0">
            <w:txbxContent>
              <w:p>
                <w:pPr>
                  <w:spacing w:line="194" w:lineRule="exact" w:before="0"/>
                  <w:ind w:left="40" w:right="0" w:firstLine="0"/>
                  <w:jc w:val="left"/>
                  <w:rPr>
                    <w:rFonts w:ascii="Times New Roman"/>
                    <w:sz w:val="17"/>
                  </w:rPr>
                </w:pPr>
                <w:r>
                  <w:rPr/>
                  <w:fldChar w:fldCharType="begin"/>
                </w:r>
                <w:r>
                  <w:rPr>
                    <w:rFonts w:ascii="Times New Roman"/>
                    <w:color w:val="111111"/>
                    <w:w w:val="105"/>
                    <w:sz w:val="17"/>
                  </w:rPr>
                  <w:instrText> PAGE </w:instrText>
                </w:r>
                <w:r>
                  <w:rPr/>
                  <w:fldChar w:fldCharType="separate"/>
                </w:r>
                <w:r>
                  <w:rPr/>
                  <w:t>142</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262085pt;margin-top:805.373962pt;width:17.650pt;height:10.5pt;mso-position-horizontal-relative:page;mso-position-vertical-relative:page;z-index:-1181560" type="#_x0000_t202" filled="false" stroked="false">
          <v:textbox inset="0,0,0,0">
            <w:txbxContent>
              <w:p>
                <w:pPr>
                  <w:spacing w:line="194" w:lineRule="exact" w:before="0"/>
                  <w:ind w:left="40" w:right="0" w:firstLine="0"/>
                  <w:jc w:val="left"/>
                  <w:rPr>
                    <w:rFonts w:ascii="Times New Roman"/>
                    <w:sz w:val="17"/>
                  </w:rPr>
                </w:pPr>
                <w:r>
                  <w:rPr/>
                  <w:fldChar w:fldCharType="begin"/>
                </w:r>
                <w:r>
                  <w:rPr>
                    <w:rFonts w:ascii="Times New Roman"/>
                    <w:color w:val="010101"/>
                    <w:w w:val="105"/>
                    <w:sz w:val="17"/>
                  </w:rPr>
                  <w:instrText> PAGE </w:instrText>
                </w:r>
                <w:r>
                  <w:rPr/>
                  <w:fldChar w:fldCharType="separate"/>
                </w:r>
                <w:r>
                  <w:rPr/>
                  <w:t>172</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5"/>
      </w:rPr>
    </w:pPr>
    <w:r>
      <w:rPr/>
      <w:pict>
        <v:shape style="position:absolute;margin-left:290.262085pt;margin-top:805.373962pt;width:16.2pt;height:10.5pt;mso-position-horizontal-relative:page;mso-position-vertical-relative:page;z-index:-1181536" type="#_x0000_t202" filled="false" stroked="false">
          <v:textbox inset="0,0,0,0">
            <w:txbxContent>
              <w:p>
                <w:pPr>
                  <w:spacing w:line="194" w:lineRule="exact" w:before="0"/>
                  <w:ind w:left="20" w:right="0" w:firstLine="0"/>
                  <w:jc w:val="left"/>
                  <w:rPr>
                    <w:rFonts w:ascii="Times New Roman"/>
                    <w:sz w:val="17"/>
                  </w:rPr>
                </w:pPr>
                <w:r>
                  <w:rPr>
                    <w:rFonts w:ascii="Times New Roman"/>
                    <w:w w:val="110"/>
                    <w:sz w:val="17"/>
                  </w:rPr>
                  <w:t>173</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825989pt;margin-top:815.633484pt;width:15.35pt;height:10pt;mso-position-horizontal-relative:page;mso-position-vertical-relative:page;z-index:-1181512" type="#_x0000_t202" filled="false" stroked="false">
          <v:textbox inset="0,0,0,0">
            <w:txbxContent>
              <w:p>
                <w:pPr>
                  <w:spacing w:line="184" w:lineRule="exact" w:before="0"/>
                  <w:ind w:left="20" w:right="0" w:firstLine="0"/>
                  <w:jc w:val="left"/>
                  <w:rPr>
                    <w:sz w:val="16"/>
                  </w:rPr>
                </w:pPr>
                <w:r>
                  <w:rPr>
                    <w:sz w:val="16"/>
                  </w:rPr>
                  <w:t>174</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62494pt;margin-top:805.289978pt;width:18.05pt;height:10.4pt;mso-position-horizontal-relative:page;mso-position-vertical-relative:page;z-index:-1181488" type="#_x0000_t202" filled="false" stroked="false">
          <v:textbox inset="0,0,0,0">
            <w:txbxContent>
              <w:p>
                <w:pPr>
                  <w:spacing w:before="6"/>
                  <w:ind w:left="51" w:right="0" w:firstLine="0"/>
                  <w:jc w:val="left"/>
                  <w:rPr>
                    <w:rFonts w:ascii="Times New Roman"/>
                    <w:sz w:val="16"/>
                  </w:rPr>
                </w:pPr>
                <w:r>
                  <w:rPr/>
                  <w:fldChar w:fldCharType="begin"/>
                </w:r>
                <w:r>
                  <w:rPr>
                    <w:rFonts w:ascii="Times New Roman"/>
                    <w:w w:val="110"/>
                    <w:sz w:val="16"/>
                  </w:rPr>
                  <w:instrText> PAGE </w:instrText>
                </w:r>
                <w:r>
                  <w:rPr/>
                  <w:fldChar w:fldCharType="separate"/>
                </w:r>
                <w:r>
                  <w:rPr/>
                  <w:t>197</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560791pt;margin-top:805.403992pt;width:16.9pt;height:10pt;mso-position-horizontal-relative:page;mso-position-vertical-relative:page;z-index:-1181464" type="#_x0000_t202" filled="false" stroked="false">
          <v:textbox inset="0,0,0,0">
            <w:txbxContent>
              <w:p>
                <w:pPr>
                  <w:spacing w:line="183" w:lineRule="exact" w:before="0"/>
                  <w:ind w:left="40" w:right="0" w:firstLine="0"/>
                  <w:jc w:val="left"/>
                  <w:rPr>
                    <w:rFonts w:ascii="Times New Roman"/>
                    <w:sz w:val="16"/>
                  </w:rPr>
                </w:pPr>
                <w:r>
                  <w:rPr/>
                  <w:fldChar w:fldCharType="begin"/>
                </w:r>
                <w:r>
                  <w:rPr>
                    <w:rFonts w:ascii="Times New Roman"/>
                    <w:color w:val="1A1A1A"/>
                    <w:sz w:val="16"/>
                  </w:rPr>
                  <w:instrText> PAGE </w:instrText>
                </w:r>
                <w:r>
                  <w:rPr/>
                  <w:fldChar w:fldCharType="separate"/>
                </w:r>
                <w:r>
                  <w:rPr/>
                  <w:t>176</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560791pt;margin-top:805.763977pt;width:17.45pt;height:10pt;mso-position-horizontal-relative:page;mso-position-vertical-relative:page;z-index:-1180720" type="#_x0000_t202" filled="false" stroked="false">
          <v:textbox inset="0,0,0,0">
            <w:txbxContent>
              <w:p>
                <w:pPr>
                  <w:spacing w:line="183" w:lineRule="exact" w:before="0"/>
                  <w:ind w:left="40" w:right="0" w:firstLine="0"/>
                  <w:jc w:val="left"/>
                  <w:rPr>
                    <w:rFonts w:ascii="Times New Roman"/>
                    <w:sz w:val="16"/>
                  </w:rPr>
                </w:pPr>
                <w:r>
                  <w:rPr/>
                  <w:fldChar w:fldCharType="begin"/>
                </w:r>
                <w:r>
                  <w:rPr>
                    <w:rFonts w:ascii="Times New Roman"/>
                    <w:w w:val="110"/>
                    <w:sz w:val="16"/>
                  </w:rPr>
                  <w:instrText> PAGE </w:instrText>
                </w:r>
                <w:r>
                  <w:rPr/>
                  <w:fldChar w:fldCharType="separate"/>
                </w:r>
                <w:r>
                  <w:rPr/>
                  <w:t>197</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6"/>
      </w:rPr>
    </w:pPr>
    <w:r>
      <w:rPr/>
      <w:pict>
        <v:shape style="position:absolute;margin-left:290.560791pt;margin-top:805.403992pt;width:15.05pt;height:10pt;mso-position-horizontal-relative:page;mso-position-vertical-relative:page;z-index:-1180696" type="#_x0000_t202" filled="false" stroked="false">
          <v:textbox inset="0,0,0,0">
            <w:txbxContent>
              <w:p>
                <w:pPr>
                  <w:spacing w:line="183" w:lineRule="exact" w:before="0"/>
                  <w:ind w:left="20" w:right="-3" w:firstLine="0"/>
                  <w:jc w:val="left"/>
                  <w:rPr>
                    <w:rFonts w:ascii="Times New Roman"/>
                    <w:sz w:val="16"/>
                  </w:rPr>
                </w:pPr>
                <w:r>
                  <w:rPr>
                    <w:rFonts w:ascii="Times New Roman"/>
                    <w:color w:val="151515"/>
                    <w:w w:val="110"/>
                    <w:sz w:val="16"/>
                  </w:rPr>
                  <w:t>1</w:t>
                </w:r>
                <w:r>
                  <w:rPr>
                    <w:rFonts w:ascii="Times New Roman"/>
                    <w:color w:val="2D2D2D"/>
                    <w:w w:val="110"/>
                    <w:sz w:val="16"/>
                  </w:rPr>
                  <w:t>98</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4935pt;margin-top:558.906555pt;width:12.9pt;height:10pt;mso-position-horizontal-relative:page;mso-position-vertical-relative:page;z-index:-118256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45</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288.880005pt;margin-top:805.633545pt;width:19pt;height:10.85pt;mso-position-horizontal-relative:page;mso-position-vertical-relative:page;z-index:-1180672" type="#_x0000_t202" filled="false" stroked="false">
          <v:textbox inset="0,0,0,0">
            <w:txbxContent>
              <w:p>
                <w:pPr>
                  <w:spacing w:before="10"/>
                  <w:ind w:left="40" w:right="-35" w:firstLine="0"/>
                  <w:jc w:val="left"/>
                  <w:rPr>
                    <w:rFonts w:ascii="Courier New"/>
                    <w:sz w:val="17"/>
                  </w:rPr>
                </w:pPr>
                <w:r>
                  <w:rPr/>
                  <w:fldChar w:fldCharType="begin"/>
                </w:r>
                <w:r>
                  <w:rPr>
                    <w:rFonts w:ascii="Courier New"/>
                    <w:color w:val="050505"/>
                    <w:w w:val="115"/>
                    <w:sz w:val="17"/>
                  </w:rPr>
                  <w:instrText> PAGE </w:instrText>
                </w:r>
                <w:r>
                  <w:rPr/>
                  <w:fldChar w:fldCharType="separate"/>
                </w:r>
                <w:r>
                  <w:rPr/>
                  <w:t>206</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85992pt;margin-top:805.553528pt;width:17.350pt;height:10pt;mso-position-horizontal-relative:page;mso-position-vertical-relative:page;z-index:-118031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218</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18028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219</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18019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224</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18016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225</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4pt;height:10pt;mso-position-horizontal-relative:page;mso-position-vertical-relative:page;z-index:-118004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232</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85992pt;margin-top:805.553528pt;width:17.350pt;height:10pt;mso-position-horizontal-relative:page;mso-position-vertical-relative:page;z-index:-118000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243</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985992pt;margin-top:815.553467pt;width:15.35pt;height:10pt;mso-position-horizontal-relative:page;mso-position-vertical-relative:page;z-index:-1179976" type="#_x0000_t202" filled="false" stroked="false">
          <v:textbox inset="0,0,0,0">
            <w:txbxContent>
              <w:p>
                <w:pPr>
                  <w:spacing w:line="184" w:lineRule="exact" w:before="0"/>
                  <w:ind w:left="20" w:right="0" w:firstLine="0"/>
                  <w:jc w:val="left"/>
                  <w:rPr>
                    <w:sz w:val="16"/>
                  </w:rPr>
                </w:pPr>
                <w:r>
                  <w:rPr>
                    <w:sz w:val="16"/>
                  </w:rPr>
                  <w:t>244</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17995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245</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87012pt;margin-top:805.519531pt;width:12.9pt;height:10pt;mso-position-horizontal-relative:page;mso-position-vertical-relative:page;z-index:-118249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49</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87012pt;margin-top:805.519531pt;width:12.9pt;height:10pt;mso-position-horizontal-relative:page;mso-position-vertical-relative:page;z-index:-118237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73</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4935pt;margin-top:558.906555pt;width:12.9pt;height:10pt;mso-position-horizontal-relative:page;mso-position-vertical-relative:page;z-index:-118230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81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288.935974pt;margin-top:805.259949pt;width:17.75pt;height:10.5pt;mso-position-horizontal-relative:page;mso-position-vertical-relative:page;z-index:-1182232" type="#_x0000_t202" filled="false" stroked="false">
          <v:textbox inset="0,0,0,0">
            <w:txbxContent>
              <w:p>
                <w:pPr>
                  <w:spacing w:line="194" w:lineRule="exact" w:before="0"/>
                  <w:ind w:left="46" w:right="0" w:firstLine="0"/>
                  <w:jc w:val="left"/>
                  <w:rPr>
                    <w:rFonts w:ascii="Times New Roman"/>
                    <w:sz w:val="17"/>
                  </w:rPr>
                </w:pPr>
                <w:r>
                  <w:rPr/>
                  <w:fldChar w:fldCharType="begin"/>
                </w:r>
                <w:r>
                  <w:rPr>
                    <w:rFonts w:ascii="Times New Roman"/>
                    <w:color w:val="080808"/>
                    <w:w w:val="105"/>
                    <w:sz w:val="17"/>
                  </w:rPr>
                  <w:instrText> PAGE </w:instrText>
                </w:r>
                <w:r>
                  <w:rPr/>
                  <w:fldChar w:fldCharType="separate"/>
                </w:r>
                <w:r>
                  <w:rPr/>
                  <w:t>101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00061pt;margin-top:805.403992pt;width:13.3pt;height:10pt;mso-position-horizontal-relative:page;mso-position-vertical-relative:page;z-index:-1182208" type="#_x0000_t202" filled="false" stroked="false">
          <v:textbox inset="0,0,0,0">
            <w:txbxContent>
              <w:p>
                <w:pPr>
                  <w:spacing w:line="183" w:lineRule="exact" w:before="0"/>
                  <w:ind w:left="40" w:right="0" w:firstLine="0"/>
                  <w:jc w:val="left"/>
                  <w:rPr>
                    <w:rFonts w:ascii="Times New Roman"/>
                    <w:sz w:val="16"/>
                  </w:rPr>
                </w:pPr>
                <w:r>
                  <w:rPr/>
                  <w:fldChar w:fldCharType="begin"/>
                </w:r>
                <w:r>
                  <w:rPr>
                    <w:rFonts w:ascii="Times New Roman"/>
                    <w:color w:val="343434"/>
                    <w:w w:val="115"/>
                    <w:sz w:val="16"/>
                  </w:rPr>
                  <w:instrText> PAGE </w:instrText>
                </w:r>
                <w:r>
                  <w:rPr/>
                  <w:fldChar w:fldCharType="separate"/>
                </w:r>
                <w:r>
                  <w:rPr/>
                  <w:t>93</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143.75pt;height:13.05pt;mso-position-horizontal-relative:page;mso-position-vertical-relative:page;z-index:-1182976" type="#_x0000_t202" filled="false" stroked="false">
          <v:textbox inset="0,0,0,0">
            <w:txbxContent>
              <w:p>
                <w:pPr>
                  <w:spacing w:line="246" w:lineRule="exact" w:before="0"/>
                  <w:ind w:left="20" w:right="-2" w:firstLine="0"/>
                  <w:jc w:val="left"/>
                  <w:rPr>
                    <w:b/>
                    <w:sz w:val="22"/>
                  </w:rPr>
                </w:pPr>
                <w:r>
                  <w:rPr>
                    <w:b/>
                    <w:sz w:val="22"/>
                  </w:rPr>
                  <w:t>Western Sydney University</w:t>
                </w:r>
              </w:p>
            </w:txbxContent>
          </v:textbox>
          <w10:wrap type="none"/>
        </v:shape>
      </w:pict>
    </w:r>
    <w:r>
      <w:rPr/>
      <w:pict>
        <v:shape style="position:absolute;margin-left:49.400002pt;margin-top:80.829170pt;width:213.25pt;height:31.45pt;mso-position-horizontal-relative:page;mso-position-vertical-relative:page;z-index:-1182952" type="#_x0000_t202" filled="false" stroked="false">
          <v:textbox inset="0,0,0,0">
            <w:txbxContent>
              <w:p>
                <w:pPr>
                  <w:spacing w:line="307" w:lineRule="exact" w:before="0"/>
                  <w:ind w:left="20" w:right="0" w:firstLine="0"/>
                  <w:jc w:val="left"/>
                  <w:rPr>
                    <w:b/>
                    <w:sz w:val="28"/>
                  </w:rPr>
                </w:pPr>
                <w:r>
                  <w:rPr>
                    <w:b/>
                    <w:sz w:val="28"/>
                  </w:rPr>
                  <w:t>Statement of Changes in Equity</w:t>
                </w:r>
              </w:p>
              <w:p>
                <w:pPr>
                  <w:spacing w:before="53"/>
                  <w:ind w:left="20" w:right="0" w:firstLine="0"/>
                  <w:jc w:val="left"/>
                  <w:rPr>
                    <w:b/>
                    <w:sz w:val="22"/>
                  </w:rPr>
                </w:pPr>
                <w:r>
                  <w:rPr>
                    <w:b/>
                    <w:sz w:val="22"/>
                  </w:rPr>
                  <w:t>For the Year Ended 31 December 2017</w:t>
                </w:r>
              </w:p>
            </w:txbxContent>
          </v:textbox>
          <w10:wrap type="none"/>
        </v:shape>
      </w:pict>
    </w:r>
    <w:r>
      <w:rPr/>
      <w:pict>
        <v:shape style="position:absolute;margin-left:433.76001pt;margin-top:132.313156pt;width:40.65pt;height:35pt;mso-position-horizontal-relative:page;mso-position-vertical-relative:page;z-index:-1182928" type="#_x0000_t202" filled="false" stroked="false">
          <v:textbox inset="0,0,0,0">
            <w:txbxContent>
              <w:p>
                <w:pPr>
                  <w:spacing w:line="204" w:lineRule="exact" w:before="0"/>
                  <w:ind w:left="43" w:right="2" w:firstLine="0"/>
                  <w:jc w:val="left"/>
                  <w:rPr>
                    <w:b/>
                    <w:sz w:val="18"/>
                  </w:rPr>
                </w:pPr>
                <w:r>
                  <w:rPr>
                    <w:b/>
                    <w:sz w:val="18"/>
                  </w:rPr>
                  <w:t>Parent</w:t>
                </w:r>
              </w:p>
              <w:p>
                <w:pPr>
                  <w:spacing w:before="66"/>
                  <w:ind w:left="20" w:right="2" w:firstLine="4"/>
                  <w:jc w:val="left"/>
                  <w:rPr>
                    <w:b/>
                    <w:sz w:val="18"/>
                  </w:rPr>
                </w:pPr>
                <w:r>
                  <w:rPr>
                    <w:b/>
                    <w:sz w:val="18"/>
                  </w:rPr>
                  <w:t>Retained Earnings</w:t>
                </w:r>
              </w:p>
            </w:txbxContent>
          </v:textbox>
          <w10:wrap type="none"/>
        </v:shape>
      </w:pict>
    </w:r>
    <w:r>
      <w:rPr/>
      <w:pict>
        <v:shape style="position:absolute;margin-left:371.839996pt;margin-top:156.313156pt;width:42.05pt;height:11pt;mso-position-horizontal-relative:page;mso-position-vertical-relative:page;z-index:-1182904" type="#_x0000_t202" filled="false" stroked="false">
          <v:textbox inset="0,0,0,0">
            <w:txbxContent>
              <w:p>
                <w:pPr>
                  <w:spacing w:line="204" w:lineRule="exact" w:before="0"/>
                  <w:ind w:left="20" w:right="0" w:firstLine="0"/>
                  <w:jc w:val="left"/>
                  <w:rPr>
                    <w:b/>
                    <w:sz w:val="18"/>
                  </w:rPr>
                </w:pPr>
                <w:r>
                  <w:rPr>
                    <w:b/>
                    <w:sz w:val="18"/>
                  </w:rPr>
                  <w:t>Reserves</w:t>
                </w:r>
              </w:p>
            </w:txbxContent>
          </v:textbox>
          <w10:wrap type="none"/>
        </v:shape>
      </w:pict>
    </w:r>
    <w:r>
      <w:rPr/>
      <w:pict>
        <v:shape style="position:absolute;margin-left:502.880005pt;margin-top:156.313156pt;width:23.65pt;height:11pt;mso-position-horizontal-relative:page;mso-position-vertical-relative:page;z-index:-1182880" type="#_x0000_t202" filled="false" stroked="false">
          <v:textbox inset="0,0,0,0">
            <w:txbxContent>
              <w:p>
                <w:pPr>
                  <w:spacing w:line="204" w:lineRule="exact" w:before="0"/>
                  <w:ind w:left="20" w:right="0" w:firstLine="0"/>
                  <w:jc w:val="left"/>
                  <w:rPr>
                    <w:b/>
                    <w:sz w:val="18"/>
                  </w:rPr>
                </w:pPr>
                <w:r>
                  <w:rPr>
                    <w:b/>
                    <w:sz w:val="18"/>
                  </w:rPr>
                  <w:t>Total</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47137pt;width:143.75pt;height:13.05pt;mso-position-horizontal-relative:page;mso-position-vertical-relative:page;z-index:-1182352" type="#_x0000_t202" filled="false" stroked="false">
          <v:textbox inset="0,0,0,0">
            <w:txbxContent>
              <w:p>
                <w:pPr>
                  <w:spacing w:line="246" w:lineRule="exact" w:before="0"/>
                  <w:ind w:left="20" w:right="-2" w:firstLine="0"/>
                  <w:jc w:val="left"/>
                  <w:rPr>
                    <w:b/>
                    <w:sz w:val="22"/>
                  </w:rPr>
                </w:pPr>
                <w:r>
                  <w:rPr>
                    <w:b/>
                    <w:sz w:val="22"/>
                  </w:rPr>
                  <w:t>Western Sydney University</w:t>
                </w:r>
              </w:p>
            </w:txbxContent>
          </v:textbox>
          <w10:wrap type="none"/>
        </v:shape>
      </w:pict>
    </w:r>
    <w:r>
      <w:rPr/>
      <w:pict>
        <v:shape style="position:absolute;margin-left:49.400002pt;margin-top:80.816193pt;width:227.45pt;height:31.45pt;mso-position-horizontal-relative:page;mso-position-vertical-relative:page;z-index:-1182328" type="#_x0000_t202" filled="false" stroked="false">
          <v:textbox inset="0,0,0,0">
            <w:txbxContent>
              <w:p>
                <w:pPr>
                  <w:spacing w:line="307" w:lineRule="exact" w:before="0"/>
                  <w:ind w:left="20" w:right="0" w:firstLine="0"/>
                  <w:jc w:val="left"/>
                  <w:rPr>
                    <w:b/>
                    <w:sz w:val="28"/>
                  </w:rPr>
                </w:pPr>
                <w:r>
                  <w:rPr>
                    <w:b/>
                    <w:sz w:val="28"/>
                  </w:rPr>
                  <w:t>Notes to the Financial Statements</w:t>
                </w:r>
              </w:p>
              <w:p>
                <w:pPr>
                  <w:spacing w:before="53"/>
                  <w:ind w:left="20" w:right="0" w:firstLine="0"/>
                  <w:jc w:val="left"/>
                  <w:rPr>
                    <w:b/>
                    <w:sz w:val="22"/>
                  </w:rPr>
                </w:pPr>
                <w:r>
                  <w:rPr>
                    <w:b/>
                    <w:sz w:val="22"/>
                  </w:rPr>
                  <w:t>For the Year Ended 31 December 2017</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143.75pt;height:13.05pt;mso-position-horizontal-relative:page;mso-position-vertical-relative:page;z-index:-1182280" type="#_x0000_t202" filled="false" stroked="false">
          <v:textbox inset="0,0,0,0">
            <w:txbxContent>
              <w:p>
                <w:pPr>
                  <w:spacing w:line="246" w:lineRule="exact" w:before="0"/>
                  <w:ind w:left="20" w:right="-2" w:firstLine="0"/>
                  <w:jc w:val="left"/>
                  <w:rPr>
                    <w:b/>
                    <w:sz w:val="22"/>
                  </w:rPr>
                </w:pPr>
                <w:r>
                  <w:rPr>
                    <w:b/>
                    <w:sz w:val="22"/>
                  </w:rPr>
                  <w:t>Western Sydney University</w:t>
                </w:r>
              </w:p>
            </w:txbxContent>
          </v:textbox>
          <w10:wrap type="none"/>
        </v:shape>
      </w:pict>
    </w:r>
    <w:r>
      <w:rPr/>
      <w:pict>
        <v:shape style="position:absolute;margin-left:49.400002pt;margin-top:80.829170pt;width:227.45pt;height:31.45pt;mso-position-horizontal-relative:page;mso-position-vertical-relative:page;z-index:-1182256" type="#_x0000_t202" filled="false" stroked="false">
          <v:textbox inset="0,0,0,0">
            <w:txbxContent>
              <w:p>
                <w:pPr>
                  <w:spacing w:line="307" w:lineRule="exact" w:before="0"/>
                  <w:ind w:left="20" w:right="0" w:firstLine="0"/>
                  <w:jc w:val="left"/>
                  <w:rPr>
                    <w:b/>
                    <w:sz w:val="28"/>
                  </w:rPr>
                </w:pPr>
                <w:r>
                  <w:rPr>
                    <w:b/>
                    <w:sz w:val="28"/>
                  </w:rPr>
                  <w:t>Notes to the Financial Statements</w:t>
                </w:r>
              </w:p>
              <w:p>
                <w:pPr>
                  <w:spacing w:before="53"/>
                  <w:ind w:left="20" w:right="0" w:firstLine="0"/>
                  <w:jc w:val="left"/>
                  <w:rPr>
                    <w:b/>
                    <w:sz w:val="22"/>
                  </w:rPr>
                </w:pPr>
                <w:r>
                  <w:rPr>
                    <w:b/>
                    <w:sz w:val="22"/>
                  </w:rPr>
                  <w:t>For the Year Ended 31 December 2017</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495.05pt;height:36.6pt;mso-position-horizontal-relative:page;mso-position-vertical-relative:page;z-index:-1182136" type="#_x0000_t202" filled="false" stroked="false">
          <v:textbox inset="0,0,0,0">
            <w:txbxContent>
              <w:p>
                <w:pPr>
                  <w:spacing w:line="240" w:lineRule="auto" w:before="0"/>
                  <w:ind w:left="20" w:right="-17" w:hanging="1"/>
                  <w:jc w:val="left"/>
                  <w:rPr>
                    <w:b/>
                    <w:sz w:val="22"/>
                  </w:rPr>
                </w:pPr>
                <w:r>
                  <w:rPr>
                    <w:b/>
                    <w:sz w:val="22"/>
                  </w:rPr>
                  <w:t>Western Sydney University Enterprises Pty Limited Trading as Western Sydney University The College</w:t>
                </w:r>
              </w:p>
              <w:p>
                <w:pPr>
                  <w:spacing w:before="56"/>
                  <w:ind w:left="20" w:right="-17" w:firstLine="0"/>
                  <w:jc w:val="left"/>
                  <w:rPr>
                    <w:b/>
                    <w:sz w:val="14"/>
                  </w:rPr>
                </w:pPr>
                <w:r>
                  <w:rPr>
                    <w:b/>
                    <w:sz w:val="14"/>
                  </w:rPr>
                  <w:t>ABN: 44 003 474 468</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495.05pt;height:36.6pt;mso-position-horizontal-relative:page;mso-position-vertical-relative:page;z-index:-1182064" type="#_x0000_t202" filled="false" stroked="false">
          <v:textbox inset="0,0,0,0">
            <w:txbxContent>
              <w:p>
                <w:pPr>
                  <w:spacing w:line="240" w:lineRule="auto" w:before="0"/>
                  <w:ind w:left="20" w:right="-17" w:hanging="1"/>
                  <w:jc w:val="left"/>
                  <w:rPr>
                    <w:b/>
                    <w:sz w:val="22"/>
                  </w:rPr>
                </w:pPr>
                <w:r>
                  <w:rPr>
                    <w:b/>
                    <w:sz w:val="22"/>
                  </w:rPr>
                  <w:t>Western Sydney University Enterprises Pty Limited Trading as Western Sydney University The College</w:t>
                </w:r>
              </w:p>
              <w:p>
                <w:pPr>
                  <w:spacing w:before="56"/>
                  <w:ind w:left="20" w:right="-17" w:firstLine="0"/>
                  <w:jc w:val="left"/>
                  <w:rPr>
                    <w:b/>
                    <w:sz w:val="14"/>
                  </w:rPr>
                </w:pPr>
                <w:r>
                  <w:rPr>
                    <w:b/>
                    <w:sz w:val="14"/>
                  </w:rPr>
                  <w:t>ABN: 44 003 474 468</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495.05pt;height:36.6pt;mso-position-horizontal-relative:page;mso-position-vertical-relative:page;z-index:-1182040" type="#_x0000_t202" filled="false" stroked="false">
          <v:textbox inset="0,0,0,0">
            <w:txbxContent>
              <w:p>
                <w:pPr>
                  <w:spacing w:line="240" w:lineRule="auto" w:before="0"/>
                  <w:ind w:left="20" w:right="-17" w:hanging="1"/>
                  <w:jc w:val="left"/>
                  <w:rPr>
                    <w:b/>
                    <w:sz w:val="22"/>
                  </w:rPr>
                </w:pPr>
                <w:r>
                  <w:rPr>
                    <w:b/>
                    <w:sz w:val="22"/>
                  </w:rPr>
                  <w:t>Western Sydney University Enterprises Pty Limited Trading as Western Sydney University The College</w:t>
                </w:r>
              </w:p>
              <w:p>
                <w:pPr>
                  <w:spacing w:before="56"/>
                  <w:ind w:left="20" w:right="-17" w:firstLine="0"/>
                  <w:jc w:val="left"/>
                  <w:rPr>
                    <w:b/>
                    <w:sz w:val="14"/>
                  </w:rPr>
                </w:pPr>
                <w:r>
                  <w:rPr>
                    <w:b/>
                    <w:sz w:val="14"/>
                  </w:rPr>
                  <w:t>ABN: 44 003 474 468</w:t>
                </w:r>
              </w:p>
            </w:txbxContent>
          </v:textbox>
          <w10:wrap type="none"/>
        </v:shape>
      </w:pict>
    </w:r>
    <w:r>
      <w:rPr/>
      <w:pict>
        <v:shape style="position:absolute;margin-left:49.400002pt;margin-top:104.371498pt;width:226.55pt;height:31.55pt;mso-position-horizontal-relative:page;mso-position-vertical-relative:page;z-index:-1182016"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2017</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143.75pt;height:13.05pt;mso-position-horizontal-relative:page;mso-position-vertical-relative:page;z-index:-1182856" type="#_x0000_t202" filled="false" stroked="false">
          <v:textbox inset="0,0,0,0">
            <w:txbxContent>
              <w:p>
                <w:pPr>
                  <w:spacing w:line="246" w:lineRule="exact" w:before="0"/>
                  <w:ind w:left="20" w:right="-2" w:firstLine="0"/>
                  <w:jc w:val="left"/>
                  <w:rPr>
                    <w:b/>
                    <w:sz w:val="22"/>
                  </w:rPr>
                </w:pPr>
                <w:r>
                  <w:rPr>
                    <w:b/>
                    <w:sz w:val="22"/>
                  </w:rPr>
                  <w:t>Western Sydney University</w:t>
                </w:r>
              </w:p>
            </w:txbxContent>
          </v:textbox>
          <w10:wrap type="none"/>
        </v:shape>
      </w:pict>
    </w:r>
    <w:r>
      <w:rPr/>
      <w:pict>
        <v:shape style="position:absolute;margin-left:49.400002pt;margin-top:80.829170pt;width:213.25pt;height:31.45pt;mso-position-horizontal-relative:page;mso-position-vertical-relative:page;z-index:-1182832" type="#_x0000_t202" filled="false" stroked="false">
          <v:textbox inset="0,0,0,0">
            <w:txbxContent>
              <w:p>
                <w:pPr>
                  <w:spacing w:line="307" w:lineRule="exact" w:before="0"/>
                  <w:ind w:left="20" w:right="0" w:firstLine="0"/>
                  <w:jc w:val="left"/>
                  <w:rPr>
                    <w:b/>
                    <w:sz w:val="28"/>
                  </w:rPr>
                </w:pPr>
                <w:r>
                  <w:rPr>
                    <w:b/>
                    <w:sz w:val="28"/>
                  </w:rPr>
                  <w:t>Statement of Changes in Equity</w:t>
                </w:r>
              </w:p>
              <w:p>
                <w:pPr>
                  <w:spacing w:before="53"/>
                  <w:ind w:left="20" w:right="0" w:firstLine="0"/>
                  <w:jc w:val="left"/>
                  <w:rPr>
                    <w:b/>
                    <w:sz w:val="22"/>
                  </w:rPr>
                </w:pPr>
                <w:r>
                  <w:rPr>
                    <w:b/>
                    <w:sz w:val="22"/>
                  </w:rPr>
                  <w:t>For the Year Ended 31 December 2017</w:t>
                </w:r>
              </w:p>
            </w:txbxContent>
          </v:textbox>
          <w10:wrap type="none"/>
        </v:shape>
      </w:pict>
    </w:r>
    <w:r>
      <w:rPr/>
      <w:pict>
        <v:shape style="position:absolute;margin-left:420.440002pt;margin-top:132.313156pt;width:59.25pt;height:35pt;mso-position-horizontal-relative:page;mso-position-vertical-relative:page;z-index:-1182808" type="#_x0000_t202" filled="false" stroked="false">
          <v:textbox inset="0,0,0,0">
            <w:txbxContent>
              <w:p>
                <w:pPr>
                  <w:spacing w:line="204" w:lineRule="exact" w:before="0"/>
                  <w:ind w:left="20" w:right="0" w:firstLine="0"/>
                  <w:jc w:val="left"/>
                  <w:rPr>
                    <w:b/>
                    <w:sz w:val="18"/>
                  </w:rPr>
                </w:pPr>
                <w:r>
                  <w:rPr>
                    <w:b/>
                    <w:sz w:val="18"/>
                  </w:rPr>
                  <w:t>Consolidated</w:t>
                </w:r>
              </w:p>
              <w:p>
                <w:pPr>
                  <w:spacing w:before="66"/>
                  <w:ind w:left="286" w:right="108" w:firstLine="4"/>
                  <w:jc w:val="left"/>
                  <w:rPr>
                    <w:b/>
                    <w:sz w:val="18"/>
                  </w:rPr>
                </w:pPr>
                <w:r>
                  <w:rPr>
                    <w:b/>
                    <w:sz w:val="18"/>
                  </w:rPr>
                  <w:t>Retained Earnings</w:t>
                </w:r>
              </w:p>
            </w:txbxContent>
          </v:textbox>
          <w10:wrap type="none"/>
        </v:shape>
      </w:pict>
    </w:r>
    <w:r>
      <w:rPr/>
      <w:pict>
        <v:shape style="position:absolute;margin-left:371.839996pt;margin-top:156.313156pt;width:42.05pt;height:11pt;mso-position-horizontal-relative:page;mso-position-vertical-relative:page;z-index:-1182784" type="#_x0000_t202" filled="false" stroked="false">
          <v:textbox inset="0,0,0,0">
            <w:txbxContent>
              <w:p>
                <w:pPr>
                  <w:spacing w:line="204" w:lineRule="exact" w:before="0"/>
                  <w:ind w:left="20" w:right="0" w:firstLine="0"/>
                  <w:jc w:val="left"/>
                  <w:rPr>
                    <w:b/>
                    <w:sz w:val="18"/>
                  </w:rPr>
                </w:pPr>
                <w:r>
                  <w:rPr>
                    <w:b/>
                    <w:sz w:val="18"/>
                  </w:rPr>
                  <w:t>Reserves</w:t>
                </w:r>
              </w:p>
            </w:txbxContent>
          </v:textbox>
          <w10:wrap type="none"/>
        </v:shape>
      </w:pict>
    </w:r>
    <w:r>
      <w:rPr/>
      <w:pict>
        <v:shape style="position:absolute;margin-left:502.880005pt;margin-top:156.313156pt;width:23.65pt;height:11pt;mso-position-horizontal-relative:page;mso-position-vertical-relative:page;z-index:-1182760" type="#_x0000_t202" filled="false" stroked="false">
          <v:textbox inset="0,0,0,0">
            <w:txbxContent>
              <w:p>
                <w:pPr>
                  <w:spacing w:line="204" w:lineRule="exact" w:before="0"/>
                  <w:ind w:left="20" w:right="0" w:firstLine="0"/>
                  <w:jc w:val="left"/>
                  <w:rPr>
                    <w:b/>
                    <w:sz w:val="18"/>
                  </w:rPr>
                </w:pPr>
                <w:r>
                  <w:rPr>
                    <w:b/>
                    <w:sz w:val="18"/>
                  </w:rPr>
                  <w:t>Total</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495.05pt;height:36.6pt;mso-position-horizontal-relative:page;mso-position-vertical-relative:page;z-index:-1181992" type="#_x0000_t202" filled="false" stroked="false">
          <v:textbox inset="0,0,0,0">
            <w:txbxContent>
              <w:p>
                <w:pPr>
                  <w:spacing w:line="240" w:lineRule="auto" w:before="0"/>
                  <w:ind w:left="20" w:right="-17" w:hanging="1"/>
                  <w:jc w:val="left"/>
                  <w:rPr>
                    <w:b/>
                    <w:sz w:val="22"/>
                  </w:rPr>
                </w:pPr>
                <w:r>
                  <w:rPr>
                    <w:b/>
                    <w:sz w:val="22"/>
                  </w:rPr>
                  <w:t>Western Sydney University Enterprises Pty Limited Trading as Western Sydney University The College</w:t>
                </w:r>
              </w:p>
              <w:p>
                <w:pPr>
                  <w:spacing w:before="56"/>
                  <w:ind w:left="20" w:right="-17" w:firstLine="0"/>
                  <w:jc w:val="left"/>
                  <w:rPr>
                    <w:b/>
                    <w:sz w:val="14"/>
                  </w:rPr>
                </w:pPr>
                <w:r>
                  <w:rPr>
                    <w:b/>
                    <w:sz w:val="14"/>
                  </w:rPr>
                  <w:t>ABN: 44 003 474 468</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18.55pt;height:23.95pt;mso-position-horizontal-relative:page;mso-position-vertical-relative:page;z-index:-1181824" type="#_x0000_t202" filled="false" stroked="false">
          <v:textbox inset="0,0,0,0">
            <w:txbxContent>
              <w:p>
                <w:pPr>
                  <w:spacing w:line="245" w:lineRule="exact" w:before="0"/>
                  <w:ind w:left="20" w:right="-4" w:firstLine="0"/>
                  <w:jc w:val="left"/>
                  <w:rPr>
                    <w:b/>
                    <w:sz w:val="22"/>
                  </w:rPr>
                </w:pPr>
                <w:r>
                  <w:rPr>
                    <w:b/>
                    <w:sz w:val="22"/>
                  </w:rPr>
                  <w:t>Western Unlimited Ltd</w:t>
                </w:r>
              </w:p>
              <w:p>
                <w:pPr>
                  <w:spacing w:before="56"/>
                  <w:ind w:left="20" w:right="-4" w:firstLine="0"/>
                  <w:jc w:val="left"/>
                  <w:rPr>
                    <w:b/>
                    <w:sz w:val="14"/>
                  </w:rPr>
                </w:pPr>
                <w:r>
                  <w:rPr>
                    <w:b/>
                    <w:sz w:val="14"/>
                  </w:rPr>
                  <w:t>ABN 45 107 759 197</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143.75pt;height:13.05pt;mso-position-horizontal-relative:page;mso-position-vertical-relative:page;z-index:-1182712" type="#_x0000_t202" filled="false" stroked="false">
          <v:textbox inset="0,0,0,0">
            <w:txbxContent>
              <w:p>
                <w:pPr>
                  <w:spacing w:line="246" w:lineRule="exact" w:before="0"/>
                  <w:ind w:left="20" w:right="-2" w:firstLine="0"/>
                  <w:jc w:val="left"/>
                  <w:rPr>
                    <w:b/>
                    <w:sz w:val="22"/>
                  </w:rPr>
                </w:pPr>
                <w:r>
                  <w:rPr>
                    <w:b/>
                    <w:sz w:val="22"/>
                  </w:rPr>
                  <w:t>Western Sydney University</w:t>
                </w:r>
              </w:p>
            </w:txbxContent>
          </v:textbox>
          <w10:wrap type="none"/>
        </v:shape>
      </w:pict>
    </w:r>
    <w:r>
      <w:rPr/>
      <w:pict>
        <v:shape style="position:absolute;margin-left:49.400002pt;margin-top:80.829170pt;width:202.55pt;height:31.45pt;mso-position-horizontal-relative:page;mso-position-vertical-relative:page;z-index:-1182688" type="#_x0000_t202" filled="false" stroked="false">
          <v:textbox inset="0,0,0,0">
            <w:txbxContent>
              <w:p>
                <w:pPr>
                  <w:spacing w:line="307" w:lineRule="exact" w:before="0"/>
                  <w:ind w:left="20" w:right="0" w:firstLine="0"/>
                  <w:jc w:val="left"/>
                  <w:rPr>
                    <w:b/>
                    <w:sz w:val="28"/>
                  </w:rPr>
                </w:pPr>
                <w:r>
                  <w:rPr>
                    <w:b/>
                    <w:sz w:val="28"/>
                  </w:rPr>
                  <w:t>Statement of Cash Flows</w:t>
                </w:r>
              </w:p>
              <w:p>
                <w:pPr>
                  <w:spacing w:before="53"/>
                  <w:ind w:left="20" w:right="0" w:firstLine="0"/>
                  <w:jc w:val="left"/>
                  <w:rPr>
                    <w:b/>
                    <w:sz w:val="22"/>
                  </w:rPr>
                </w:pPr>
                <w:r>
                  <w:rPr>
                    <w:b/>
                    <w:sz w:val="22"/>
                  </w:rPr>
                  <w:t>For the Year Ended 31 December 2017</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18.55pt;height:23.95pt;mso-position-horizontal-relative:page;mso-position-vertical-relative:page;z-index:-1181800" type="#_x0000_t202" filled="false" stroked="false">
          <v:textbox inset="0,0,0,0">
            <w:txbxContent>
              <w:p>
                <w:pPr>
                  <w:spacing w:line="245" w:lineRule="exact" w:before="0"/>
                  <w:ind w:left="20" w:right="-4" w:firstLine="0"/>
                  <w:jc w:val="left"/>
                  <w:rPr>
                    <w:b/>
                    <w:sz w:val="22"/>
                  </w:rPr>
                </w:pPr>
                <w:r>
                  <w:rPr>
                    <w:b/>
                    <w:sz w:val="22"/>
                  </w:rPr>
                  <w:t>Western Unlimited Ltd</w:t>
                </w:r>
              </w:p>
              <w:p>
                <w:pPr>
                  <w:spacing w:before="56"/>
                  <w:ind w:left="20" w:right="-4" w:firstLine="0"/>
                  <w:jc w:val="left"/>
                  <w:rPr>
                    <w:b/>
                    <w:sz w:val="14"/>
                  </w:rPr>
                </w:pPr>
                <w:r>
                  <w:rPr>
                    <w:b/>
                    <w:sz w:val="14"/>
                  </w:rPr>
                  <w:t>ABN 45 107 759 197</w:t>
                </w:r>
              </w:p>
            </w:txbxContent>
          </v:textbox>
          <w10:wrap type="none"/>
        </v:shape>
      </w:pict>
    </w:r>
    <w:r>
      <w:rPr/>
      <w:pict>
        <v:shape style="position:absolute;margin-left:49.400002pt;margin-top:91.711502pt;width:226.55pt;height:31.55pt;mso-position-horizontal-relative:page;mso-position-vertical-relative:page;z-index:-1181776"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2017</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18.55pt;height:23.95pt;mso-position-horizontal-relative:page;mso-position-vertical-relative:page;z-index:-1181752" type="#_x0000_t202" filled="false" stroked="false">
          <v:textbox inset="0,0,0,0">
            <w:txbxContent>
              <w:p>
                <w:pPr>
                  <w:spacing w:line="245" w:lineRule="exact" w:before="0"/>
                  <w:ind w:left="20" w:right="-4" w:firstLine="0"/>
                  <w:jc w:val="left"/>
                  <w:rPr>
                    <w:b/>
                    <w:sz w:val="22"/>
                  </w:rPr>
                </w:pPr>
                <w:r>
                  <w:rPr>
                    <w:b/>
                    <w:sz w:val="22"/>
                  </w:rPr>
                  <w:t>Western Unlimited Ltd</w:t>
                </w:r>
              </w:p>
              <w:p>
                <w:pPr>
                  <w:spacing w:before="56"/>
                  <w:ind w:left="20" w:right="-4" w:firstLine="0"/>
                  <w:jc w:val="left"/>
                  <w:rPr>
                    <w:b/>
                    <w:sz w:val="14"/>
                  </w:rPr>
                </w:pPr>
                <w:r>
                  <w:rPr>
                    <w:b/>
                    <w:sz w:val="14"/>
                  </w:rPr>
                  <w:t>ABN 45 107 759 197</w:t>
                </w:r>
              </w:p>
            </w:txbxContent>
          </v:textbox>
          <w10:wrap type="none"/>
        </v:shape>
      </w:pict>
    </w:r>
    <w:r>
      <w:rPr/>
      <w:pict>
        <v:shape style="position:absolute;margin-left:49.400002pt;margin-top:91.711502pt;width:226.55pt;height:31.55pt;mso-position-horizontal-relative:page;mso-position-vertical-relative:page;z-index:-1181728"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2017</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18.55pt;height:23.95pt;mso-position-horizontal-relative:page;mso-position-vertical-relative:page;z-index:-1181704" type="#_x0000_t202" filled="false" stroked="false">
          <v:textbox inset="0,0,0,0">
            <w:txbxContent>
              <w:p>
                <w:pPr>
                  <w:spacing w:line="245" w:lineRule="exact" w:before="0"/>
                  <w:ind w:left="20" w:right="-4" w:firstLine="0"/>
                  <w:jc w:val="left"/>
                  <w:rPr>
                    <w:b/>
                    <w:sz w:val="22"/>
                  </w:rPr>
                </w:pPr>
                <w:r>
                  <w:rPr>
                    <w:b/>
                    <w:sz w:val="22"/>
                  </w:rPr>
                  <w:t>Western Unlimited Ltd</w:t>
                </w:r>
              </w:p>
              <w:p>
                <w:pPr>
                  <w:spacing w:before="56"/>
                  <w:ind w:left="20" w:right="-4" w:firstLine="0"/>
                  <w:jc w:val="left"/>
                  <w:rPr>
                    <w:b/>
                    <w:sz w:val="14"/>
                  </w:rPr>
                </w:pPr>
                <w:r>
                  <w:rPr>
                    <w:b/>
                    <w:sz w:val="14"/>
                  </w:rPr>
                  <w:t>ABN 45 107 759 197</w:t>
                </w:r>
              </w:p>
            </w:txbxContent>
          </v:textbox>
          <w10:wrap type="none"/>
        </v:shape>
      </w:pict>
    </w:r>
    <w:r>
      <w:rPr/>
      <w:pict>
        <v:shape style="position:absolute;margin-left:49.400002pt;margin-top:91.711502pt;width:226.55pt;height:31.55pt;mso-position-horizontal-relative:page;mso-position-vertical-relative:page;z-index:-1181680"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2017</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18.55pt;height:23.95pt;mso-position-horizontal-relative:page;mso-position-vertical-relative:page;z-index:-1181656" type="#_x0000_t202" filled="false" stroked="false">
          <v:textbox inset="0,0,0,0">
            <w:txbxContent>
              <w:p>
                <w:pPr>
                  <w:spacing w:line="245" w:lineRule="exact" w:before="0"/>
                  <w:ind w:left="20" w:right="-4" w:firstLine="0"/>
                  <w:jc w:val="left"/>
                  <w:rPr>
                    <w:b/>
                    <w:sz w:val="22"/>
                  </w:rPr>
                </w:pPr>
                <w:r>
                  <w:rPr>
                    <w:b/>
                    <w:sz w:val="22"/>
                  </w:rPr>
                  <w:t>Western Unlimited Ltd</w:t>
                </w:r>
              </w:p>
              <w:p>
                <w:pPr>
                  <w:spacing w:before="56"/>
                  <w:ind w:left="20" w:right="-4" w:firstLine="0"/>
                  <w:jc w:val="left"/>
                  <w:rPr>
                    <w:b/>
                    <w:sz w:val="14"/>
                  </w:rPr>
                </w:pPr>
                <w:r>
                  <w:rPr>
                    <w:b/>
                    <w:sz w:val="14"/>
                  </w:rPr>
                  <w:t>ABN 45 107 759 197</w:t>
                </w:r>
              </w:p>
            </w:txbxContent>
          </v:textbox>
          <w10:wrap type="none"/>
        </v:shape>
      </w:pict>
    </w:r>
    <w:r>
      <w:rPr/>
      <w:pict>
        <v:shape style="position:absolute;margin-left:49.400002pt;margin-top:91.711502pt;width:226.55pt;height:31.55pt;mso-position-horizontal-relative:page;mso-position-vertical-relative:page;z-index:-1181632"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2017</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18.55pt;height:23.95pt;mso-position-horizontal-relative:page;mso-position-vertical-relative:page;z-index:-1181608" type="#_x0000_t202" filled="false" stroked="false">
          <v:textbox inset="0,0,0,0">
            <w:txbxContent>
              <w:p>
                <w:pPr>
                  <w:spacing w:line="245" w:lineRule="exact" w:before="0"/>
                  <w:ind w:left="20" w:right="-4" w:firstLine="0"/>
                  <w:jc w:val="left"/>
                  <w:rPr>
                    <w:b/>
                    <w:sz w:val="22"/>
                  </w:rPr>
                </w:pPr>
                <w:r>
                  <w:rPr>
                    <w:b/>
                    <w:sz w:val="22"/>
                  </w:rPr>
                  <w:t>Western Unlimited Ltd</w:t>
                </w:r>
              </w:p>
              <w:p>
                <w:pPr>
                  <w:spacing w:before="56"/>
                  <w:ind w:left="20" w:right="-4" w:firstLine="0"/>
                  <w:jc w:val="left"/>
                  <w:rPr>
                    <w:b/>
                    <w:sz w:val="14"/>
                  </w:rPr>
                </w:pPr>
                <w:r>
                  <w:rPr>
                    <w:b/>
                    <w:sz w:val="14"/>
                  </w:rPr>
                  <w:t>ABN 45 107 759 197</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18.55pt;height:23.35pt;mso-position-horizontal-relative:page;mso-position-vertical-relative:page;z-index:-1181584" type="#_x0000_t202" filled="false" stroked="false">
          <v:textbox inset="0,0,0,0">
            <w:txbxContent>
              <w:p>
                <w:pPr>
                  <w:spacing w:line="244" w:lineRule="exact" w:before="0"/>
                  <w:ind w:left="20" w:right="-4" w:firstLine="0"/>
                  <w:jc w:val="left"/>
                  <w:rPr>
                    <w:b/>
                    <w:sz w:val="22"/>
                  </w:rPr>
                </w:pPr>
                <w:r>
                  <w:rPr>
                    <w:b/>
                    <w:sz w:val="22"/>
                  </w:rPr>
                  <w:t>Western Unlimited Ltd</w:t>
                </w:r>
              </w:p>
              <w:p>
                <w:pPr>
                  <w:spacing w:line="207" w:lineRule="exact" w:before="0"/>
                  <w:ind w:left="20" w:right="-4" w:firstLine="0"/>
                  <w:jc w:val="left"/>
                  <w:rPr>
                    <w:b/>
                    <w:sz w:val="18"/>
                  </w:rPr>
                </w:pPr>
                <w:r>
                  <w:rPr>
                    <w:b/>
                    <w:sz w:val="18"/>
                  </w:rPr>
                  <w:t>ABN 45 107 759 197</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143.75pt;height:13.05pt;mso-position-horizontal-relative:page;mso-position-vertical-relative:page;z-index:-1182664" type="#_x0000_t202" filled="false" stroked="false">
          <v:textbox inset="0,0,0,0">
            <w:txbxContent>
              <w:p>
                <w:pPr>
                  <w:spacing w:line="246" w:lineRule="exact" w:before="0"/>
                  <w:ind w:left="20" w:right="-2" w:firstLine="0"/>
                  <w:jc w:val="left"/>
                  <w:rPr>
                    <w:b/>
                    <w:sz w:val="22"/>
                  </w:rPr>
                </w:pPr>
                <w:r>
                  <w:rPr>
                    <w:b/>
                    <w:sz w:val="22"/>
                  </w:rPr>
                  <w:t>Western Sydney University</w:t>
                </w:r>
              </w:p>
            </w:txbxContent>
          </v:textbox>
          <w10:wrap type="none"/>
        </v:shape>
      </w:pict>
    </w:r>
    <w:r>
      <w:rPr/>
      <w:pict>
        <v:shape style="position:absolute;margin-left:49.400002pt;margin-top:80.829170pt;width:227.45pt;height:31.45pt;mso-position-horizontal-relative:page;mso-position-vertical-relative:page;z-index:-1182640" type="#_x0000_t202" filled="false" stroked="false">
          <v:textbox inset="0,0,0,0">
            <w:txbxContent>
              <w:p>
                <w:pPr>
                  <w:spacing w:line="307" w:lineRule="exact" w:before="0"/>
                  <w:ind w:left="20" w:right="0" w:firstLine="0"/>
                  <w:jc w:val="left"/>
                  <w:rPr>
                    <w:b/>
                    <w:sz w:val="28"/>
                  </w:rPr>
                </w:pPr>
                <w:r>
                  <w:rPr>
                    <w:b/>
                    <w:sz w:val="28"/>
                  </w:rPr>
                  <w:t>Notes to the Financial Statements</w:t>
                </w:r>
              </w:p>
              <w:p>
                <w:pPr>
                  <w:spacing w:before="53"/>
                  <w:ind w:left="20" w:right="0" w:firstLine="0"/>
                  <w:jc w:val="left"/>
                  <w:rPr>
                    <w:b/>
                    <w:sz w:val="22"/>
                  </w:rPr>
                </w:pPr>
                <w:r>
                  <w:rPr>
                    <w:b/>
                    <w:sz w:val="22"/>
                  </w:rPr>
                  <w:t>For the Year Ended 31 December 2017</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265.55pt;height:23.95pt;mso-position-horizontal-relative:page;mso-position-vertical-relative:page;z-index:-1181440" type="#_x0000_t202" filled="false" stroked="false">
          <v:textbox inset="0,0,0,0">
            <w:txbxContent>
              <w:p>
                <w:pPr>
                  <w:spacing w:line="246" w:lineRule="exact" w:before="0"/>
                  <w:ind w:left="20" w:right="0" w:firstLine="0"/>
                  <w:jc w:val="left"/>
                  <w:rPr>
                    <w:b/>
                    <w:sz w:val="22"/>
                  </w:rPr>
                </w:pPr>
                <w:r>
                  <w:rPr>
                    <w:b/>
                    <w:sz w:val="22"/>
                  </w:rPr>
                  <w:t>Western Sydney University Early Learning Limited</w:t>
                </w:r>
              </w:p>
              <w:p>
                <w:pPr>
                  <w:spacing w:before="55"/>
                  <w:ind w:left="20" w:right="0" w:firstLine="0"/>
                  <w:jc w:val="left"/>
                  <w:rPr>
                    <w:b/>
                    <w:sz w:val="14"/>
                  </w:rPr>
                </w:pPr>
                <w:r>
                  <w:rPr>
                    <w:b/>
                    <w:sz w:val="14"/>
                  </w:rPr>
                  <w:t>ABN 39155993445</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265.55pt;height:23.95pt;mso-position-horizontal-relative:page;mso-position-vertical-relative:page;z-index:-1181416" type="#_x0000_t202" filled="false" stroked="false">
          <v:textbox inset="0,0,0,0">
            <w:txbxContent>
              <w:p>
                <w:pPr>
                  <w:spacing w:line="246" w:lineRule="exact" w:before="0"/>
                  <w:ind w:left="20" w:right="0" w:firstLine="0"/>
                  <w:jc w:val="left"/>
                  <w:rPr>
                    <w:b/>
                    <w:sz w:val="22"/>
                  </w:rPr>
                </w:pPr>
                <w:r>
                  <w:rPr>
                    <w:b/>
                    <w:sz w:val="22"/>
                  </w:rPr>
                  <w:t>Western Sydney University Early Learning Limited</w:t>
                </w:r>
              </w:p>
              <w:p>
                <w:pPr>
                  <w:spacing w:before="55"/>
                  <w:ind w:left="20" w:right="0" w:firstLine="0"/>
                  <w:jc w:val="left"/>
                  <w:rPr>
                    <w:b/>
                    <w:sz w:val="14"/>
                  </w:rPr>
                </w:pPr>
                <w:r>
                  <w:rPr>
                    <w:b/>
                    <w:sz w:val="14"/>
                  </w:rPr>
                  <w:t>ABN 39155993445</w:t>
                </w:r>
              </w:p>
            </w:txbxContent>
          </v:textbox>
          <w10:wrap type="none"/>
        </v:shape>
      </w:pict>
    </w:r>
    <w:r>
      <w:rPr/>
      <w:pict>
        <v:shape style="position:absolute;margin-left:49.400002pt;margin-top:91.362213pt;width:199.9pt;height:29.45pt;mso-position-horizontal-relative:page;mso-position-vertical-relative:page;z-index:-1181392" type="#_x0000_t202" filled="false" stroked="false">
          <v:textbox inset="0,0,0,0">
            <w:txbxContent>
              <w:p>
                <w:pPr>
                  <w:spacing w:line="265" w:lineRule="exact" w:before="0"/>
                  <w:ind w:left="20" w:right="0" w:firstLine="0"/>
                  <w:jc w:val="left"/>
                  <w:rPr>
                    <w:b/>
                    <w:sz w:val="24"/>
                  </w:rPr>
                </w:pPr>
                <w:r>
                  <w:rPr>
                    <w:b/>
                    <w:sz w:val="24"/>
                  </w:rPr>
                  <w:t>Statement of Changes in Equity</w:t>
                </w:r>
              </w:p>
              <w:p>
                <w:pPr>
                  <w:spacing w:before="54"/>
                  <w:ind w:left="20" w:right="0" w:firstLine="0"/>
                  <w:jc w:val="left"/>
                  <w:rPr>
                    <w:b/>
                    <w:sz w:val="22"/>
                  </w:rPr>
                </w:pPr>
                <w:r>
                  <w:rPr>
                    <w:b/>
                    <w:sz w:val="22"/>
                  </w:rPr>
                  <w:t>For the year ended 31 December 2017</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265.55pt;height:23.95pt;mso-position-horizontal-relative:page;mso-position-vertical-relative:page;z-index:-1181368" type="#_x0000_t202" filled="false" stroked="false">
          <v:textbox inset="0,0,0,0">
            <w:txbxContent>
              <w:p>
                <w:pPr>
                  <w:spacing w:line="246" w:lineRule="exact" w:before="0"/>
                  <w:ind w:left="20" w:right="0" w:firstLine="0"/>
                  <w:jc w:val="left"/>
                  <w:rPr>
                    <w:b/>
                    <w:sz w:val="22"/>
                  </w:rPr>
                </w:pPr>
                <w:r>
                  <w:rPr>
                    <w:b/>
                    <w:sz w:val="22"/>
                  </w:rPr>
                  <w:t>Western Sydney University Early Learning Limited</w:t>
                </w:r>
              </w:p>
              <w:p>
                <w:pPr>
                  <w:spacing w:before="55"/>
                  <w:ind w:left="20" w:right="0" w:firstLine="0"/>
                  <w:jc w:val="left"/>
                  <w:rPr>
                    <w:b/>
                    <w:sz w:val="14"/>
                  </w:rPr>
                </w:pPr>
                <w:r>
                  <w:rPr>
                    <w:b/>
                    <w:sz w:val="14"/>
                  </w:rPr>
                  <w:t>ABN 39155993445</w:t>
                </w:r>
              </w:p>
            </w:txbxContent>
          </v:textbox>
          <w10:wrap type="none"/>
        </v:shape>
      </w:pict>
    </w:r>
    <w:r>
      <w:rPr/>
      <w:pict>
        <v:shape style="position:absolute;margin-left:49.400002pt;margin-top:91.362213pt;width:199.9pt;height:29.45pt;mso-position-horizontal-relative:page;mso-position-vertical-relative:page;z-index:-1181344" type="#_x0000_t202" filled="false" stroked="false">
          <v:textbox inset="0,0,0,0">
            <w:txbxContent>
              <w:p>
                <w:pPr>
                  <w:spacing w:line="265" w:lineRule="exact" w:before="0"/>
                  <w:ind w:left="20" w:right="0" w:firstLine="0"/>
                  <w:jc w:val="left"/>
                  <w:rPr>
                    <w:b/>
                    <w:sz w:val="24"/>
                  </w:rPr>
                </w:pPr>
                <w:r>
                  <w:rPr>
                    <w:b/>
                    <w:sz w:val="24"/>
                  </w:rPr>
                  <w:t>Statement of Cash Flows</w:t>
                </w:r>
              </w:p>
              <w:p>
                <w:pPr>
                  <w:spacing w:before="54"/>
                  <w:ind w:left="20" w:right="0" w:firstLine="0"/>
                  <w:jc w:val="left"/>
                  <w:rPr>
                    <w:b/>
                    <w:sz w:val="22"/>
                  </w:rPr>
                </w:pPr>
                <w:r>
                  <w:rPr>
                    <w:b/>
                    <w:sz w:val="22"/>
                  </w:rPr>
                  <w:t>For the year ended 31 December 2017</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265.55pt;height:23.95pt;mso-position-horizontal-relative:page;mso-position-vertical-relative:page;z-index:-1181320" type="#_x0000_t202" filled="false" stroked="false">
          <v:textbox inset="0,0,0,0">
            <w:txbxContent>
              <w:p>
                <w:pPr>
                  <w:spacing w:line="246" w:lineRule="exact" w:before="0"/>
                  <w:ind w:left="20" w:right="0" w:firstLine="0"/>
                  <w:jc w:val="left"/>
                  <w:rPr>
                    <w:b/>
                    <w:sz w:val="22"/>
                  </w:rPr>
                </w:pPr>
                <w:r>
                  <w:rPr>
                    <w:b/>
                    <w:sz w:val="22"/>
                  </w:rPr>
                  <w:t>Western Sydney University Early Learning Limited</w:t>
                </w:r>
              </w:p>
              <w:p>
                <w:pPr>
                  <w:spacing w:before="55"/>
                  <w:ind w:left="20" w:right="0" w:firstLine="0"/>
                  <w:jc w:val="left"/>
                  <w:rPr>
                    <w:b/>
                    <w:sz w:val="14"/>
                  </w:rPr>
                </w:pPr>
                <w:r>
                  <w:rPr>
                    <w:b/>
                    <w:sz w:val="14"/>
                  </w:rPr>
                  <w:t>ABN 39155993445</w:t>
                </w:r>
              </w:p>
            </w:txbxContent>
          </v:textbox>
          <w10:wrap type="none"/>
        </v:shape>
      </w:pict>
    </w:r>
    <w:r>
      <w:rPr/>
      <w:pict>
        <v:shape style="position:absolute;margin-left:49.400002pt;margin-top:91.362213pt;width:199.9pt;height:29.45pt;mso-position-horizontal-relative:page;mso-position-vertical-relative:page;z-index:-1181296" type="#_x0000_t202" filled="false" stroked="false">
          <v:textbox inset="0,0,0,0">
            <w:txbxContent>
              <w:p>
                <w:pPr>
                  <w:spacing w:line="265" w:lineRule="exact" w:before="0"/>
                  <w:ind w:left="20" w:right="0" w:firstLine="0"/>
                  <w:jc w:val="left"/>
                  <w:rPr>
                    <w:b/>
                    <w:sz w:val="24"/>
                  </w:rPr>
                </w:pPr>
                <w:r>
                  <w:rPr>
                    <w:b/>
                    <w:sz w:val="24"/>
                  </w:rPr>
                  <w:t>Notes to the Financial Statements</w:t>
                </w:r>
              </w:p>
              <w:p>
                <w:pPr>
                  <w:spacing w:before="54"/>
                  <w:ind w:left="20" w:right="0" w:firstLine="0"/>
                  <w:jc w:val="left"/>
                  <w:rPr>
                    <w:b/>
                    <w:sz w:val="22"/>
                  </w:rPr>
                </w:pPr>
                <w:r>
                  <w:rPr>
                    <w:b/>
                    <w:sz w:val="22"/>
                  </w:rPr>
                  <w:t>For the year ended 31 December 2017</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265.55pt;height:23.95pt;mso-position-horizontal-relative:page;mso-position-vertical-relative:page;z-index:-1181272" type="#_x0000_t202" filled="false" stroked="false">
          <v:textbox inset="0,0,0,0">
            <w:txbxContent>
              <w:p>
                <w:pPr>
                  <w:spacing w:line="246" w:lineRule="exact" w:before="0"/>
                  <w:ind w:left="20" w:right="0" w:firstLine="0"/>
                  <w:jc w:val="left"/>
                  <w:rPr>
                    <w:b/>
                    <w:sz w:val="22"/>
                  </w:rPr>
                </w:pPr>
                <w:r>
                  <w:rPr>
                    <w:b/>
                    <w:sz w:val="22"/>
                  </w:rPr>
                  <w:t>Western Sydney University Early Learning Limited</w:t>
                </w:r>
              </w:p>
              <w:p>
                <w:pPr>
                  <w:spacing w:before="55"/>
                  <w:ind w:left="20" w:right="0" w:firstLine="0"/>
                  <w:jc w:val="left"/>
                  <w:rPr>
                    <w:b/>
                    <w:sz w:val="14"/>
                  </w:rPr>
                </w:pPr>
                <w:r>
                  <w:rPr>
                    <w:b/>
                    <w:sz w:val="14"/>
                  </w:rPr>
                  <w:t>ABN 39155993445</w:t>
                </w:r>
              </w:p>
            </w:txbxContent>
          </v:textbox>
          <w10:wrap type="none"/>
        </v:shape>
      </w:pict>
    </w:r>
    <w:r>
      <w:rPr/>
      <w:pict>
        <v:shape style="position:absolute;margin-left:49.400002pt;margin-top:91.362213pt;width:199.9pt;height:29.45pt;mso-position-horizontal-relative:page;mso-position-vertical-relative:page;z-index:-1181248" type="#_x0000_t202" filled="false" stroked="false">
          <v:textbox inset="0,0,0,0">
            <w:txbxContent>
              <w:p>
                <w:pPr>
                  <w:spacing w:line="265" w:lineRule="exact" w:before="0"/>
                  <w:ind w:left="20" w:right="0" w:firstLine="0"/>
                  <w:jc w:val="left"/>
                  <w:rPr>
                    <w:b/>
                    <w:sz w:val="24"/>
                  </w:rPr>
                </w:pPr>
                <w:r>
                  <w:rPr>
                    <w:b/>
                    <w:sz w:val="24"/>
                  </w:rPr>
                  <w:t>Notes to the Financial Statements</w:t>
                </w:r>
              </w:p>
              <w:p>
                <w:pPr>
                  <w:spacing w:before="54"/>
                  <w:ind w:left="20" w:right="0" w:firstLine="0"/>
                  <w:jc w:val="left"/>
                  <w:rPr>
                    <w:b/>
                    <w:sz w:val="22"/>
                  </w:rPr>
                </w:pPr>
                <w:r>
                  <w:rPr>
                    <w:b/>
                    <w:sz w:val="22"/>
                  </w:rPr>
                  <w:t>For the year ended 31 December 2017</w:t>
                </w:r>
              </w:p>
            </w:txbxContent>
          </v:textbox>
          <w10:wrap type="none"/>
        </v:shape>
      </w:pict>
    </w:r>
    <w:r>
      <w:rPr/>
      <w:pict>
        <v:shape style="position:absolute;margin-left:49.400002pt;margin-top:134.593155pt;width:7.05pt;height:11pt;mso-position-horizontal-relative:page;mso-position-vertical-relative:page;z-index:-1181224" type="#_x0000_t202" filled="false" stroked="false">
          <v:textbox inset="0,0,0,0">
            <w:txbxContent>
              <w:p>
                <w:pPr>
                  <w:spacing w:line="204" w:lineRule="exact" w:before="0"/>
                  <w:ind w:left="20" w:right="0" w:firstLine="0"/>
                  <w:jc w:val="left"/>
                  <w:rPr>
                    <w:b/>
                    <w:sz w:val="18"/>
                  </w:rPr>
                </w:pPr>
                <w:r>
                  <w:rPr>
                    <w:b/>
                    <w:w w:val="99"/>
                    <w:sz w:val="18"/>
                  </w:rPr>
                  <w:t>1</w:t>
                </w:r>
              </w:p>
            </w:txbxContent>
          </v:textbox>
          <w10:wrap type="none"/>
        </v:shape>
      </w:pict>
    </w:r>
    <w:r>
      <w:rPr/>
      <w:pict>
        <v:shape style="position:absolute;margin-left:69.199997pt;margin-top:134.593155pt;width:240.25pt;height:11pt;mso-position-horizontal-relative:page;mso-position-vertical-relative:page;z-index:-1181200" type="#_x0000_t202" filled="false" stroked="false">
          <v:textbox inset="0,0,0,0">
            <w:txbxContent>
              <w:p>
                <w:pPr>
                  <w:spacing w:line="204" w:lineRule="exact" w:before="0"/>
                  <w:ind w:left="20" w:right="0" w:firstLine="0"/>
                  <w:jc w:val="left"/>
                  <w:rPr>
                    <w:b/>
                    <w:sz w:val="18"/>
                  </w:rPr>
                </w:pPr>
                <w:r>
                  <w:rPr>
                    <w:b/>
                    <w:sz w:val="18"/>
                  </w:rPr>
                  <w:t>Summary of significant accounting policies (continued)</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265.55pt;height:23.95pt;mso-position-horizontal-relative:page;mso-position-vertical-relative:page;z-index:-1181176" type="#_x0000_t202" filled="false" stroked="false">
          <v:textbox inset="0,0,0,0">
            <w:txbxContent>
              <w:p>
                <w:pPr>
                  <w:spacing w:line="246" w:lineRule="exact" w:before="0"/>
                  <w:ind w:left="20" w:right="0" w:firstLine="0"/>
                  <w:jc w:val="left"/>
                  <w:rPr>
                    <w:b/>
                    <w:sz w:val="22"/>
                  </w:rPr>
                </w:pPr>
                <w:r>
                  <w:rPr>
                    <w:b/>
                    <w:sz w:val="22"/>
                  </w:rPr>
                  <w:t>Western Sydney University Early Learning Limited</w:t>
                </w:r>
              </w:p>
              <w:p>
                <w:pPr>
                  <w:spacing w:before="55"/>
                  <w:ind w:left="20" w:right="0" w:firstLine="0"/>
                  <w:jc w:val="left"/>
                  <w:rPr>
                    <w:b/>
                    <w:sz w:val="14"/>
                  </w:rPr>
                </w:pPr>
                <w:r>
                  <w:rPr>
                    <w:b/>
                    <w:sz w:val="14"/>
                  </w:rPr>
                  <w:t>ABN 39155993445</w:t>
                </w:r>
              </w:p>
            </w:txbxContent>
          </v:textbox>
          <w10:wrap type="none"/>
        </v:shape>
      </w:pict>
    </w:r>
    <w:r>
      <w:rPr/>
      <w:pict>
        <v:shape style="position:absolute;margin-left:49.400002pt;margin-top:91.362213pt;width:199.9pt;height:29.45pt;mso-position-horizontal-relative:page;mso-position-vertical-relative:page;z-index:-1181152" type="#_x0000_t202" filled="false" stroked="false">
          <v:textbox inset="0,0,0,0">
            <w:txbxContent>
              <w:p>
                <w:pPr>
                  <w:spacing w:line="265" w:lineRule="exact" w:before="0"/>
                  <w:ind w:left="20" w:right="0" w:firstLine="0"/>
                  <w:jc w:val="left"/>
                  <w:rPr>
                    <w:b/>
                    <w:sz w:val="24"/>
                  </w:rPr>
                </w:pPr>
                <w:r>
                  <w:rPr>
                    <w:b/>
                    <w:sz w:val="24"/>
                  </w:rPr>
                  <w:t>Notes to the Financial Statements</w:t>
                </w:r>
              </w:p>
              <w:p>
                <w:pPr>
                  <w:spacing w:before="54"/>
                  <w:ind w:left="20" w:right="0" w:firstLine="0"/>
                  <w:jc w:val="left"/>
                  <w:rPr>
                    <w:b/>
                    <w:sz w:val="22"/>
                  </w:rPr>
                </w:pPr>
                <w:r>
                  <w:rPr>
                    <w:b/>
                    <w:sz w:val="22"/>
                  </w:rPr>
                  <w:t>For the year ended 31 December 2017</w:t>
                </w:r>
              </w:p>
            </w:txbxContent>
          </v:textbox>
          <w10:wrap type="none"/>
        </v:shape>
      </w:pict>
    </w:r>
    <w:r>
      <w:rPr/>
      <w:pict>
        <v:shape style="position:absolute;margin-left:49.400002pt;margin-top:134.593155pt;width:7.05pt;height:11pt;mso-position-horizontal-relative:page;mso-position-vertical-relative:page;z-index:-1181128" type="#_x0000_t202" filled="false" stroked="false">
          <v:textbox inset="0,0,0,0">
            <w:txbxContent>
              <w:p>
                <w:pPr>
                  <w:spacing w:line="204" w:lineRule="exact" w:before="0"/>
                  <w:ind w:left="20" w:right="0" w:firstLine="0"/>
                  <w:jc w:val="left"/>
                  <w:rPr>
                    <w:b/>
                    <w:sz w:val="18"/>
                  </w:rPr>
                </w:pPr>
                <w:r>
                  <w:rPr>
                    <w:b/>
                    <w:w w:val="99"/>
                    <w:sz w:val="18"/>
                  </w:rPr>
                  <w:t>1</w:t>
                </w:r>
              </w:p>
            </w:txbxContent>
          </v:textbox>
          <w10:wrap type="none"/>
        </v:shape>
      </w:pict>
    </w:r>
    <w:r>
      <w:rPr/>
      <w:pict>
        <v:shape style="position:absolute;margin-left:69.199997pt;margin-top:134.593155pt;width:240.25pt;height:11pt;mso-position-horizontal-relative:page;mso-position-vertical-relative:page;z-index:-1181104" type="#_x0000_t202" filled="false" stroked="false">
          <v:textbox inset="0,0,0,0">
            <w:txbxContent>
              <w:p>
                <w:pPr>
                  <w:spacing w:line="204" w:lineRule="exact" w:before="0"/>
                  <w:ind w:left="20" w:right="0" w:firstLine="0"/>
                  <w:jc w:val="left"/>
                  <w:rPr>
                    <w:b/>
                    <w:sz w:val="18"/>
                  </w:rPr>
                </w:pPr>
                <w:r>
                  <w:rPr>
                    <w:b/>
                    <w:sz w:val="18"/>
                  </w:rPr>
                  <w:t>Summary of significant accounting policies (continued)</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265.55pt;height:23.95pt;mso-position-horizontal-relative:page;mso-position-vertical-relative:page;z-index:-1181080" type="#_x0000_t202" filled="false" stroked="false">
          <v:textbox inset="0,0,0,0">
            <w:txbxContent>
              <w:p>
                <w:pPr>
                  <w:spacing w:line="246" w:lineRule="exact" w:before="0"/>
                  <w:ind w:left="20" w:right="0" w:firstLine="0"/>
                  <w:jc w:val="left"/>
                  <w:rPr>
                    <w:b/>
                    <w:sz w:val="22"/>
                  </w:rPr>
                </w:pPr>
                <w:r>
                  <w:rPr>
                    <w:b/>
                    <w:sz w:val="22"/>
                  </w:rPr>
                  <w:t>Western Sydney University Early Learning Limited</w:t>
                </w:r>
              </w:p>
              <w:p>
                <w:pPr>
                  <w:spacing w:before="55"/>
                  <w:ind w:left="20" w:right="0" w:firstLine="0"/>
                  <w:jc w:val="left"/>
                  <w:rPr>
                    <w:b/>
                    <w:sz w:val="14"/>
                  </w:rPr>
                </w:pPr>
                <w:r>
                  <w:rPr>
                    <w:b/>
                    <w:sz w:val="14"/>
                  </w:rPr>
                  <w:t>ABN 39155993445</w:t>
                </w:r>
              </w:p>
            </w:txbxContent>
          </v:textbox>
          <w10:wrap type="none"/>
        </v:shape>
      </w:pict>
    </w:r>
    <w:r>
      <w:rPr/>
      <w:pict>
        <v:shape style="position:absolute;margin-left:49.400002pt;margin-top:91.362213pt;width:199.9pt;height:29.45pt;mso-position-horizontal-relative:page;mso-position-vertical-relative:page;z-index:-1181056" type="#_x0000_t202" filled="false" stroked="false">
          <v:textbox inset="0,0,0,0">
            <w:txbxContent>
              <w:p>
                <w:pPr>
                  <w:spacing w:line="265" w:lineRule="exact" w:before="0"/>
                  <w:ind w:left="20" w:right="0" w:firstLine="0"/>
                  <w:jc w:val="left"/>
                  <w:rPr>
                    <w:b/>
                    <w:sz w:val="24"/>
                  </w:rPr>
                </w:pPr>
                <w:r>
                  <w:rPr>
                    <w:b/>
                    <w:sz w:val="24"/>
                  </w:rPr>
                  <w:t>Notes to the Financial Statements</w:t>
                </w:r>
              </w:p>
              <w:p>
                <w:pPr>
                  <w:spacing w:before="54"/>
                  <w:ind w:left="20" w:right="0" w:firstLine="0"/>
                  <w:jc w:val="left"/>
                  <w:rPr>
                    <w:b/>
                    <w:sz w:val="22"/>
                  </w:rPr>
                </w:pPr>
                <w:r>
                  <w:rPr>
                    <w:b/>
                    <w:sz w:val="22"/>
                  </w:rPr>
                  <w:t>For the year ended 31 December 2017</w:t>
                </w:r>
              </w:p>
            </w:txbxContent>
          </v:textbox>
          <w10:wrap type="none"/>
        </v:shape>
      </w:pict>
    </w:r>
    <w:r>
      <w:rPr/>
      <w:pict>
        <v:shape style="position:absolute;margin-left:49.400002pt;margin-top:134.593155pt;width:7.05pt;height:11pt;mso-position-horizontal-relative:page;mso-position-vertical-relative:page;z-index:-1181032" type="#_x0000_t202" filled="false" stroked="false">
          <v:textbox inset="0,0,0,0">
            <w:txbxContent>
              <w:p>
                <w:pPr>
                  <w:spacing w:line="204" w:lineRule="exact" w:before="0"/>
                  <w:ind w:left="20" w:right="0" w:firstLine="0"/>
                  <w:jc w:val="left"/>
                  <w:rPr>
                    <w:b/>
                    <w:sz w:val="18"/>
                  </w:rPr>
                </w:pPr>
                <w:r>
                  <w:rPr>
                    <w:b/>
                    <w:w w:val="99"/>
                    <w:sz w:val="18"/>
                  </w:rPr>
                  <w:t>1</w:t>
                </w:r>
              </w:p>
            </w:txbxContent>
          </v:textbox>
          <w10:wrap type="none"/>
        </v:shape>
      </w:pict>
    </w:r>
    <w:r>
      <w:rPr/>
      <w:pict>
        <v:shape style="position:absolute;margin-left:69.199997pt;margin-top:134.593155pt;width:240.25pt;height:11pt;mso-position-horizontal-relative:page;mso-position-vertical-relative:page;z-index:-1181008" type="#_x0000_t202" filled="false" stroked="false">
          <v:textbox inset="0,0,0,0">
            <w:txbxContent>
              <w:p>
                <w:pPr>
                  <w:spacing w:line="204" w:lineRule="exact" w:before="0"/>
                  <w:ind w:left="20" w:right="0" w:firstLine="0"/>
                  <w:jc w:val="left"/>
                  <w:rPr>
                    <w:b/>
                    <w:sz w:val="18"/>
                  </w:rPr>
                </w:pPr>
                <w:r>
                  <w:rPr>
                    <w:b/>
                    <w:sz w:val="18"/>
                  </w:rPr>
                  <w:t>Summary of significant accounting policies (continued)</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265.55pt;height:23.95pt;mso-position-horizontal-relative:page;mso-position-vertical-relative:page;z-index:-1180984" type="#_x0000_t202" filled="false" stroked="false">
          <v:textbox inset="0,0,0,0">
            <w:txbxContent>
              <w:p>
                <w:pPr>
                  <w:spacing w:line="246" w:lineRule="exact" w:before="0"/>
                  <w:ind w:left="20" w:right="0" w:firstLine="0"/>
                  <w:jc w:val="left"/>
                  <w:rPr>
                    <w:b/>
                    <w:sz w:val="22"/>
                  </w:rPr>
                </w:pPr>
                <w:r>
                  <w:rPr>
                    <w:b/>
                    <w:sz w:val="22"/>
                  </w:rPr>
                  <w:t>Western Sydney University Early Learning Limited</w:t>
                </w:r>
              </w:p>
              <w:p>
                <w:pPr>
                  <w:spacing w:before="55"/>
                  <w:ind w:left="20" w:right="0" w:firstLine="0"/>
                  <w:jc w:val="left"/>
                  <w:rPr>
                    <w:b/>
                    <w:sz w:val="14"/>
                  </w:rPr>
                </w:pPr>
                <w:r>
                  <w:rPr>
                    <w:b/>
                    <w:sz w:val="14"/>
                  </w:rPr>
                  <w:t>ABN 39155993445</w:t>
                </w:r>
              </w:p>
            </w:txbxContent>
          </v:textbox>
          <w10:wrap type="none"/>
        </v:shape>
      </w:pict>
    </w:r>
    <w:r>
      <w:rPr/>
      <w:pict>
        <v:shape style="position:absolute;margin-left:49.400002pt;margin-top:91.362213pt;width:199.9pt;height:29.45pt;mso-position-horizontal-relative:page;mso-position-vertical-relative:page;z-index:-1180960" type="#_x0000_t202" filled="false" stroked="false">
          <v:textbox inset="0,0,0,0">
            <w:txbxContent>
              <w:p>
                <w:pPr>
                  <w:spacing w:line="265" w:lineRule="exact" w:before="0"/>
                  <w:ind w:left="20" w:right="0" w:firstLine="0"/>
                  <w:jc w:val="left"/>
                  <w:rPr>
                    <w:b/>
                    <w:sz w:val="24"/>
                  </w:rPr>
                </w:pPr>
                <w:r>
                  <w:rPr>
                    <w:b/>
                    <w:sz w:val="24"/>
                  </w:rPr>
                  <w:t>Notes to the Financial Statements</w:t>
                </w:r>
              </w:p>
              <w:p>
                <w:pPr>
                  <w:spacing w:before="54"/>
                  <w:ind w:left="20" w:right="0" w:firstLine="0"/>
                  <w:jc w:val="left"/>
                  <w:rPr>
                    <w:b/>
                    <w:sz w:val="22"/>
                  </w:rPr>
                </w:pPr>
                <w:r>
                  <w:rPr>
                    <w:b/>
                    <w:sz w:val="22"/>
                  </w:rPr>
                  <w:t>For the year ended 31 December 2017</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47137pt;width:143.75pt;height:13.05pt;mso-position-horizontal-relative:page;mso-position-vertical-relative:page;z-index:-1182616" type="#_x0000_t202" filled="false" stroked="false">
          <v:textbox inset="0,0,0,0">
            <w:txbxContent>
              <w:p>
                <w:pPr>
                  <w:spacing w:line="246" w:lineRule="exact" w:before="0"/>
                  <w:ind w:left="20" w:right="-2" w:firstLine="0"/>
                  <w:jc w:val="left"/>
                  <w:rPr>
                    <w:b/>
                    <w:sz w:val="22"/>
                  </w:rPr>
                </w:pPr>
                <w:r>
                  <w:rPr>
                    <w:b/>
                    <w:sz w:val="22"/>
                  </w:rPr>
                  <w:t>Western Sydney University</w:t>
                </w:r>
              </w:p>
            </w:txbxContent>
          </v:textbox>
          <w10:wrap type="none"/>
        </v:shape>
      </w:pict>
    </w:r>
    <w:r>
      <w:rPr/>
      <w:pict>
        <v:shape style="position:absolute;margin-left:49.400002pt;margin-top:80.816193pt;width:227.45pt;height:31.45pt;mso-position-horizontal-relative:page;mso-position-vertical-relative:page;z-index:-1182592" type="#_x0000_t202" filled="false" stroked="false">
          <v:textbox inset="0,0,0,0">
            <w:txbxContent>
              <w:p>
                <w:pPr>
                  <w:spacing w:line="307" w:lineRule="exact" w:before="0"/>
                  <w:ind w:left="20" w:right="0" w:firstLine="0"/>
                  <w:jc w:val="left"/>
                  <w:rPr>
                    <w:b/>
                    <w:sz w:val="28"/>
                  </w:rPr>
                </w:pPr>
                <w:r>
                  <w:rPr>
                    <w:b/>
                    <w:sz w:val="28"/>
                  </w:rPr>
                  <w:t>Notes to the Financial Statements</w:t>
                </w:r>
              </w:p>
              <w:p>
                <w:pPr>
                  <w:spacing w:before="53"/>
                  <w:ind w:left="20" w:right="0" w:firstLine="0"/>
                  <w:jc w:val="left"/>
                  <w:rPr>
                    <w:b/>
                    <w:sz w:val="22"/>
                  </w:rPr>
                </w:pPr>
                <w:r>
                  <w:rPr>
                    <w:b/>
                    <w:sz w:val="22"/>
                  </w:rPr>
                  <w:t>For the Year Ended 31 December 2017</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265.55pt;height:23.95pt;mso-position-horizontal-relative:page;mso-position-vertical-relative:page;z-index:-1180936" type="#_x0000_t202" filled="false" stroked="false">
          <v:textbox inset="0,0,0,0">
            <w:txbxContent>
              <w:p>
                <w:pPr>
                  <w:spacing w:line="246" w:lineRule="exact" w:before="0"/>
                  <w:ind w:left="20" w:right="0" w:firstLine="0"/>
                  <w:jc w:val="left"/>
                  <w:rPr>
                    <w:b/>
                    <w:sz w:val="22"/>
                  </w:rPr>
                </w:pPr>
                <w:r>
                  <w:rPr>
                    <w:b/>
                    <w:sz w:val="22"/>
                  </w:rPr>
                  <w:t>Western Sydney University Early Learning Limited</w:t>
                </w:r>
              </w:p>
              <w:p>
                <w:pPr>
                  <w:spacing w:before="55"/>
                  <w:ind w:left="20" w:right="0" w:firstLine="0"/>
                  <w:jc w:val="left"/>
                  <w:rPr>
                    <w:b/>
                    <w:sz w:val="14"/>
                  </w:rPr>
                </w:pPr>
                <w:r>
                  <w:rPr>
                    <w:b/>
                    <w:sz w:val="14"/>
                  </w:rPr>
                  <w:t>ABN 39155993445</w:t>
                </w:r>
              </w:p>
            </w:txbxContent>
          </v:textbox>
          <w10:wrap type="none"/>
        </v:shape>
      </w:pict>
    </w:r>
    <w:r>
      <w:rPr/>
      <w:pict>
        <v:shape style="position:absolute;margin-left:49.400002pt;margin-top:91.362213pt;width:199.9pt;height:29.45pt;mso-position-horizontal-relative:page;mso-position-vertical-relative:page;z-index:-1180912" type="#_x0000_t202" filled="false" stroked="false">
          <v:textbox inset="0,0,0,0">
            <w:txbxContent>
              <w:p>
                <w:pPr>
                  <w:spacing w:line="265" w:lineRule="exact" w:before="0"/>
                  <w:ind w:left="20" w:right="0" w:firstLine="0"/>
                  <w:jc w:val="left"/>
                  <w:rPr>
                    <w:b/>
                    <w:sz w:val="24"/>
                  </w:rPr>
                </w:pPr>
                <w:r>
                  <w:rPr>
                    <w:b/>
                    <w:sz w:val="24"/>
                  </w:rPr>
                  <w:t>Notes to the Financial Statements</w:t>
                </w:r>
              </w:p>
              <w:p>
                <w:pPr>
                  <w:spacing w:before="54"/>
                  <w:ind w:left="20" w:right="0" w:firstLine="0"/>
                  <w:jc w:val="left"/>
                  <w:rPr>
                    <w:b/>
                    <w:sz w:val="22"/>
                  </w:rPr>
                </w:pPr>
                <w:r>
                  <w:rPr>
                    <w:b/>
                    <w:sz w:val="22"/>
                  </w:rPr>
                  <w:t>For the year ended 31 December 2017</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265.55pt;height:23.95pt;mso-position-horizontal-relative:page;mso-position-vertical-relative:page;z-index:-1180888" type="#_x0000_t202" filled="false" stroked="false">
          <v:textbox inset="0,0,0,0">
            <w:txbxContent>
              <w:p>
                <w:pPr>
                  <w:spacing w:line="246" w:lineRule="exact" w:before="0"/>
                  <w:ind w:left="20" w:right="0" w:firstLine="0"/>
                  <w:jc w:val="left"/>
                  <w:rPr>
                    <w:b/>
                    <w:sz w:val="22"/>
                  </w:rPr>
                </w:pPr>
                <w:r>
                  <w:rPr>
                    <w:b/>
                    <w:sz w:val="22"/>
                  </w:rPr>
                  <w:t>Western Sydney University Early Learning Limited</w:t>
                </w:r>
              </w:p>
              <w:p>
                <w:pPr>
                  <w:spacing w:before="55"/>
                  <w:ind w:left="20" w:right="0" w:firstLine="0"/>
                  <w:jc w:val="left"/>
                  <w:rPr>
                    <w:b/>
                    <w:sz w:val="14"/>
                  </w:rPr>
                </w:pPr>
                <w:r>
                  <w:rPr>
                    <w:b/>
                    <w:sz w:val="14"/>
                  </w:rPr>
                  <w:t>ABN 39155993445</w:t>
                </w:r>
              </w:p>
            </w:txbxContent>
          </v:textbox>
          <w10:wrap type="none"/>
        </v:shape>
      </w:pict>
    </w:r>
    <w:r>
      <w:rPr/>
      <w:pict>
        <v:shape style="position:absolute;margin-left:49.400002pt;margin-top:91.362213pt;width:199.9pt;height:29.45pt;mso-position-horizontal-relative:page;mso-position-vertical-relative:page;z-index:-1180864" type="#_x0000_t202" filled="false" stroked="false">
          <v:textbox inset="0,0,0,0">
            <w:txbxContent>
              <w:p>
                <w:pPr>
                  <w:spacing w:line="265" w:lineRule="exact" w:before="0"/>
                  <w:ind w:left="20" w:right="0" w:firstLine="0"/>
                  <w:jc w:val="left"/>
                  <w:rPr>
                    <w:b/>
                    <w:sz w:val="24"/>
                  </w:rPr>
                </w:pPr>
                <w:r>
                  <w:rPr>
                    <w:b/>
                    <w:sz w:val="24"/>
                  </w:rPr>
                  <w:t>Notes to the Financial Statements</w:t>
                </w:r>
              </w:p>
              <w:p>
                <w:pPr>
                  <w:spacing w:before="54"/>
                  <w:ind w:left="20" w:right="0" w:firstLine="0"/>
                  <w:jc w:val="left"/>
                  <w:rPr>
                    <w:b/>
                    <w:sz w:val="22"/>
                  </w:rPr>
                </w:pPr>
                <w:r>
                  <w:rPr>
                    <w:b/>
                    <w:sz w:val="22"/>
                  </w:rPr>
                  <w:t>For the year ended 31 December 2017</w:t>
                </w:r>
              </w:p>
            </w:txbxContent>
          </v:textbox>
          <w10:wrap type="none"/>
        </v:shape>
      </w:pict>
    </w:r>
    <w:r>
      <w:rPr/>
      <w:pict>
        <v:shape style="position:absolute;margin-left:49.400002pt;margin-top:134.593155pt;width:189.7pt;height:11pt;mso-position-horizontal-relative:page;mso-position-vertical-relative:page;z-index:-1180840" type="#_x0000_t202" filled="false" stroked="false">
          <v:textbox inset="0,0,0,0">
            <w:txbxContent>
              <w:p>
                <w:pPr>
                  <w:spacing w:line="204" w:lineRule="exact" w:before="0"/>
                  <w:ind w:left="20" w:right="0" w:firstLine="0"/>
                  <w:jc w:val="left"/>
                  <w:rPr>
                    <w:b/>
                    <w:sz w:val="18"/>
                  </w:rPr>
                </w:pPr>
                <w:r>
                  <w:rPr>
                    <w:b/>
                    <w:sz w:val="18"/>
                  </w:rPr>
                  <w:t>15    Financial risk management (continued)</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265.55pt;height:23.95pt;mso-position-horizontal-relative:page;mso-position-vertical-relative:page;z-index:-1180816" type="#_x0000_t202" filled="false" stroked="false">
          <v:textbox inset="0,0,0,0">
            <w:txbxContent>
              <w:p>
                <w:pPr>
                  <w:spacing w:line="246" w:lineRule="exact" w:before="0"/>
                  <w:ind w:left="20" w:right="0" w:firstLine="0"/>
                  <w:jc w:val="left"/>
                  <w:rPr>
                    <w:b/>
                    <w:sz w:val="22"/>
                  </w:rPr>
                </w:pPr>
                <w:r>
                  <w:rPr>
                    <w:b/>
                    <w:sz w:val="22"/>
                  </w:rPr>
                  <w:t>Western Sydney University Early Learning Limited</w:t>
                </w:r>
              </w:p>
              <w:p>
                <w:pPr>
                  <w:spacing w:before="55"/>
                  <w:ind w:left="20" w:right="0" w:firstLine="0"/>
                  <w:jc w:val="left"/>
                  <w:rPr>
                    <w:b/>
                    <w:sz w:val="14"/>
                  </w:rPr>
                </w:pPr>
                <w:r>
                  <w:rPr>
                    <w:b/>
                    <w:sz w:val="14"/>
                  </w:rPr>
                  <w:t>ABN 39155993445</w:t>
                </w:r>
              </w:p>
            </w:txbxContent>
          </v:textbox>
          <w10:wrap type="none"/>
        </v:shape>
      </w:pict>
    </w:r>
    <w:r>
      <w:rPr/>
      <w:pict>
        <v:shape style="position:absolute;margin-left:49.400002pt;margin-top:91.362213pt;width:199.9pt;height:29.45pt;mso-position-horizontal-relative:page;mso-position-vertical-relative:page;z-index:-1180792" type="#_x0000_t202" filled="false" stroked="false">
          <v:textbox inset="0,0,0,0">
            <w:txbxContent>
              <w:p>
                <w:pPr>
                  <w:spacing w:line="265" w:lineRule="exact" w:before="0"/>
                  <w:ind w:left="20" w:right="0" w:firstLine="0"/>
                  <w:jc w:val="left"/>
                  <w:rPr>
                    <w:b/>
                    <w:sz w:val="24"/>
                  </w:rPr>
                </w:pPr>
                <w:r>
                  <w:rPr>
                    <w:b/>
                    <w:sz w:val="24"/>
                  </w:rPr>
                  <w:t>Notes to the Financial Statements</w:t>
                </w:r>
              </w:p>
              <w:p>
                <w:pPr>
                  <w:spacing w:before="54"/>
                  <w:ind w:left="20" w:right="0" w:firstLine="0"/>
                  <w:jc w:val="left"/>
                  <w:rPr>
                    <w:b/>
                    <w:sz w:val="22"/>
                  </w:rPr>
                </w:pPr>
                <w:r>
                  <w:rPr>
                    <w:b/>
                    <w:sz w:val="22"/>
                  </w:rPr>
                  <w:t>For the year ended 31 December 2017</w:t>
                </w:r>
              </w:p>
            </w:txbxContent>
          </v:textbox>
          <w10:wrap type="none"/>
        </v:shape>
      </w:pict>
    </w:r>
    <w:r>
      <w:rPr/>
      <w:pict>
        <v:shape style="position:absolute;margin-left:49.400002pt;margin-top:134.593155pt;width:189.7pt;height:11pt;mso-position-horizontal-relative:page;mso-position-vertical-relative:page;z-index:-1180768" type="#_x0000_t202" filled="false" stroked="false">
          <v:textbox inset="0,0,0,0">
            <w:txbxContent>
              <w:p>
                <w:pPr>
                  <w:spacing w:line="204" w:lineRule="exact" w:before="0"/>
                  <w:ind w:left="20" w:right="0" w:firstLine="0"/>
                  <w:jc w:val="left"/>
                  <w:rPr>
                    <w:b/>
                    <w:sz w:val="18"/>
                  </w:rPr>
                </w:pPr>
                <w:r>
                  <w:rPr>
                    <w:b/>
                    <w:sz w:val="18"/>
                  </w:rPr>
                  <w:t>15    Financial risk management (continued)</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265.55pt;height:23.95pt;mso-position-horizontal-relative:page;mso-position-vertical-relative:page;z-index:-1180744" type="#_x0000_t202" filled="false" stroked="false">
          <v:textbox inset="0,0,0,0">
            <w:txbxContent>
              <w:p>
                <w:pPr>
                  <w:spacing w:line="246" w:lineRule="exact" w:before="0"/>
                  <w:ind w:left="20" w:right="0" w:firstLine="0"/>
                  <w:jc w:val="left"/>
                  <w:rPr>
                    <w:b/>
                    <w:sz w:val="22"/>
                  </w:rPr>
                </w:pPr>
                <w:r>
                  <w:rPr>
                    <w:b/>
                    <w:sz w:val="22"/>
                  </w:rPr>
                  <w:t>Western Sydney University Early Learning Limited</w:t>
                </w:r>
              </w:p>
              <w:p>
                <w:pPr>
                  <w:spacing w:before="55"/>
                  <w:ind w:left="20" w:right="0" w:firstLine="0"/>
                  <w:jc w:val="left"/>
                  <w:rPr>
                    <w:b/>
                    <w:sz w:val="14"/>
                  </w:rPr>
                </w:pPr>
                <w:r>
                  <w:rPr>
                    <w:b/>
                    <w:sz w:val="14"/>
                  </w:rPr>
                  <w:t>ABN 39155993445</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311.95pt;height:27.35pt;mso-position-horizontal-relative:page;mso-position-vertical-relative:page;z-index:-1180648" type="#_x0000_t202" filled="false" stroked="false">
          <v:textbox inset="0,0,0,0">
            <w:txbxContent>
              <w:p>
                <w:pPr>
                  <w:spacing w:line="245" w:lineRule="exact" w:before="0"/>
                  <w:ind w:left="20" w:right="-11" w:firstLine="0"/>
                  <w:jc w:val="left"/>
                  <w:rPr>
                    <w:b/>
                    <w:sz w:val="22"/>
                  </w:rPr>
                </w:pPr>
                <w:r>
                  <w:rPr>
                    <w:b/>
                    <w:sz w:val="22"/>
                  </w:rPr>
                  <w:t>Whitlam Institute within Western Sydney University Limited</w:t>
                </w:r>
              </w:p>
              <w:p>
                <w:pPr>
                  <w:spacing w:before="56"/>
                  <w:ind w:left="20" w:right="-11" w:firstLine="0"/>
                  <w:jc w:val="left"/>
                  <w:rPr>
                    <w:b/>
                    <w:sz w:val="20"/>
                  </w:rPr>
                </w:pPr>
                <w:r>
                  <w:rPr>
                    <w:b/>
                    <w:sz w:val="20"/>
                  </w:rPr>
                  <w:t>ABN: 50 100 342 309</w:t>
                </w:r>
              </w:p>
            </w:txbxContent>
          </v:textbox>
          <w10:wrap type="none"/>
        </v:shape>
      </w:pict>
    </w:r>
    <w:r>
      <w:rPr/>
      <w:pict>
        <v:shape style="position:absolute;margin-left:49.400002pt;margin-top:95.191498pt;width:199.2pt;height:31.55pt;mso-position-horizontal-relative:page;mso-position-vertical-relative:page;z-index:-1180624" type="#_x0000_t202" filled="false" stroked="false">
          <v:textbox inset="0,0,0,0">
            <w:txbxContent>
              <w:p>
                <w:pPr>
                  <w:spacing w:line="306" w:lineRule="exact" w:before="0"/>
                  <w:ind w:left="20" w:right="-6" w:firstLine="0"/>
                  <w:jc w:val="left"/>
                  <w:rPr>
                    <w:b/>
                    <w:sz w:val="28"/>
                  </w:rPr>
                </w:pPr>
                <w:r>
                  <w:rPr>
                    <w:b/>
                    <w:sz w:val="28"/>
                  </w:rPr>
                  <w:t>Director's report</w:t>
                </w:r>
              </w:p>
              <w:p>
                <w:pPr>
                  <w:spacing w:before="57"/>
                  <w:ind w:left="20" w:right="-6" w:firstLine="0"/>
                  <w:jc w:val="left"/>
                  <w:rPr>
                    <w:b/>
                    <w:sz w:val="22"/>
                  </w:rPr>
                </w:pPr>
                <w:r>
                  <w:rPr>
                    <w:b/>
                    <w:sz w:val="22"/>
                  </w:rPr>
                  <w:t>For the year ended 31 December 2017</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311.95pt;height:27.35pt;mso-position-horizontal-relative:page;mso-position-vertical-relative:page;z-index:-1180600" type="#_x0000_t202" filled="false" stroked="false">
          <v:textbox inset="0,0,0,0">
            <w:txbxContent>
              <w:p>
                <w:pPr>
                  <w:spacing w:line="245" w:lineRule="exact" w:before="0"/>
                  <w:ind w:left="20" w:right="-11" w:firstLine="0"/>
                  <w:jc w:val="left"/>
                  <w:rPr>
                    <w:b/>
                    <w:sz w:val="22"/>
                  </w:rPr>
                </w:pPr>
                <w:r>
                  <w:rPr>
                    <w:b/>
                    <w:sz w:val="22"/>
                  </w:rPr>
                  <w:t>Whitlam Institute within Western Sydney University Limited</w:t>
                </w:r>
              </w:p>
              <w:p>
                <w:pPr>
                  <w:spacing w:before="56"/>
                  <w:ind w:left="20" w:right="-11" w:firstLine="0"/>
                  <w:jc w:val="left"/>
                  <w:rPr>
                    <w:b/>
                    <w:sz w:val="20"/>
                  </w:rPr>
                </w:pPr>
                <w:r>
                  <w:rPr>
                    <w:b/>
                    <w:sz w:val="20"/>
                  </w:rPr>
                  <w:t>ABN: 50 100 342 309</w:t>
                </w:r>
              </w:p>
            </w:txbxContent>
          </v:textbox>
          <w10:wrap type="none"/>
        </v:shape>
      </w:pict>
    </w:r>
    <w:r>
      <w:rPr/>
      <w:pict>
        <v:shape style="position:absolute;margin-left:49.400002pt;margin-top:95.191498pt;width:199.2pt;height:31.55pt;mso-position-horizontal-relative:page;mso-position-vertical-relative:page;z-index:-1180576" type="#_x0000_t202" filled="false" stroked="false">
          <v:textbox inset="0,0,0,0">
            <w:txbxContent>
              <w:p>
                <w:pPr>
                  <w:spacing w:line="306" w:lineRule="exact" w:before="0"/>
                  <w:ind w:left="20" w:right="-6" w:firstLine="0"/>
                  <w:jc w:val="left"/>
                  <w:rPr>
                    <w:b/>
                    <w:sz w:val="28"/>
                  </w:rPr>
                </w:pPr>
                <w:r>
                  <w:rPr>
                    <w:b/>
                    <w:sz w:val="28"/>
                  </w:rPr>
                  <w:t>Director's report</w:t>
                </w:r>
              </w:p>
              <w:p>
                <w:pPr>
                  <w:spacing w:before="57"/>
                  <w:ind w:left="20" w:right="-6" w:firstLine="0"/>
                  <w:jc w:val="left"/>
                  <w:rPr>
                    <w:b/>
                    <w:sz w:val="22"/>
                  </w:rPr>
                </w:pPr>
                <w:r>
                  <w:rPr>
                    <w:b/>
                    <w:sz w:val="22"/>
                  </w:rPr>
                  <w:t>For the year ended 31 December 2017</w:t>
                </w:r>
              </w:p>
            </w:txbxContent>
          </v:textbox>
          <w10:wrap type="none"/>
        </v:shape>
      </w:pict>
    </w:r>
    <w:r>
      <w:rPr/>
      <w:pict>
        <v:shape style="position:absolute;margin-left:69.139999pt;margin-top:140.506866pt;width:157.5pt;height:11pt;mso-position-horizontal-relative:page;mso-position-vertical-relative:page;z-index:-1180552" type="#_x0000_t202" filled="false" stroked="false">
          <v:textbox inset="0,0,0,0">
            <w:txbxContent>
              <w:p>
                <w:pPr>
                  <w:spacing w:line="204" w:lineRule="exact" w:before="0"/>
                  <w:ind w:left="20" w:right="0" w:firstLine="0"/>
                  <w:jc w:val="left"/>
                  <w:rPr>
                    <w:b/>
                    <w:sz w:val="18"/>
                  </w:rPr>
                </w:pPr>
                <w:r>
                  <w:rPr>
                    <w:b/>
                    <w:sz w:val="18"/>
                  </w:rPr>
                  <w:t>Information on directors (continued)</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311.95pt;height:27.35pt;mso-position-horizontal-relative:page;mso-position-vertical-relative:page;z-index:-1180528" type="#_x0000_t202" filled="false" stroked="false">
          <v:textbox inset="0,0,0,0">
            <w:txbxContent>
              <w:p>
                <w:pPr>
                  <w:spacing w:line="245" w:lineRule="exact" w:before="0"/>
                  <w:ind w:left="20" w:right="-11" w:firstLine="0"/>
                  <w:jc w:val="left"/>
                  <w:rPr>
                    <w:b/>
                    <w:sz w:val="22"/>
                  </w:rPr>
                </w:pPr>
                <w:r>
                  <w:rPr>
                    <w:b/>
                    <w:sz w:val="22"/>
                  </w:rPr>
                  <w:t>Whitlam Institute within Western Sydney University Limited</w:t>
                </w:r>
              </w:p>
              <w:p>
                <w:pPr>
                  <w:spacing w:before="56"/>
                  <w:ind w:left="20" w:right="-11" w:firstLine="0"/>
                  <w:jc w:val="left"/>
                  <w:rPr>
                    <w:b/>
                    <w:sz w:val="20"/>
                  </w:rPr>
                </w:pPr>
                <w:r>
                  <w:rPr>
                    <w:b/>
                    <w:sz w:val="20"/>
                  </w:rPr>
                  <w:t>ABN: 50 100 342 309</w:t>
                </w:r>
              </w:p>
            </w:txbxContent>
          </v:textbox>
          <w10:wrap type="none"/>
        </v:shape>
      </w:pict>
    </w:r>
    <w:r>
      <w:rPr/>
      <w:pict>
        <v:shape style="position:absolute;margin-left:49.400002pt;margin-top:95.191498pt;width:199.2pt;height:31.55pt;mso-position-horizontal-relative:page;mso-position-vertical-relative:page;z-index:-1180504" type="#_x0000_t202" filled="false" stroked="false">
          <v:textbox inset="0,0,0,0">
            <w:txbxContent>
              <w:p>
                <w:pPr>
                  <w:spacing w:line="306" w:lineRule="exact" w:before="0"/>
                  <w:ind w:left="20" w:right="-6" w:firstLine="0"/>
                  <w:jc w:val="left"/>
                  <w:rPr>
                    <w:b/>
                    <w:sz w:val="28"/>
                  </w:rPr>
                </w:pPr>
                <w:r>
                  <w:rPr>
                    <w:b/>
                    <w:sz w:val="28"/>
                  </w:rPr>
                  <w:t>Director's report</w:t>
                </w:r>
              </w:p>
              <w:p>
                <w:pPr>
                  <w:spacing w:before="57"/>
                  <w:ind w:left="20" w:right="-6" w:firstLine="0"/>
                  <w:jc w:val="left"/>
                  <w:rPr>
                    <w:b/>
                    <w:sz w:val="22"/>
                  </w:rPr>
                </w:pPr>
                <w:r>
                  <w:rPr>
                    <w:b/>
                    <w:sz w:val="22"/>
                  </w:rPr>
                  <w:t>For the year ended 31 December 2017</w:t>
                </w:r>
              </w:p>
            </w:txbxContent>
          </v:textbox>
          <w10:wrap type="none"/>
        </v:shape>
      </w:pict>
    </w:r>
    <w:r>
      <w:rPr/>
      <w:pict>
        <v:shape style="position:absolute;margin-left:69.139999pt;margin-top:140.506866pt;width:157.5pt;height:11pt;mso-position-horizontal-relative:page;mso-position-vertical-relative:page;z-index:-1180480" type="#_x0000_t202" filled="false" stroked="false">
          <v:textbox inset="0,0,0,0">
            <w:txbxContent>
              <w:p>
                <w:pPr>
                  <w:spacing w:line="204" w:lineRule="exact" w:before="0"/>
                  <w:ind w:left="20" w:right="0" w:firstLine="0"/>
                  <w:jc w:val="left"/>
                  <w:rPr>
                    <w:b/>
                    <w:sz w:val="18"/>
                  </w:rPr>
                </w:pPr>
                <w:r>
                  <w:rPr>
                    <w:b/>
                    <w:sz w:val="18"/>
                  </w:rPr>
                  <w:t>Information on directors (continued)</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143.75pt;height:13.05pt;mso-position-horizontal-relative:page;mso-position-vertical-relative:page;z-index:-1182544" type="#_x0000_t202" filled="false" stroked="false">
          <v:textbox inset="0,0,0,0">
            <w:txbxContent>
              <w:p>
                <w:pPr>
                  <w:spacing w:line="246" w:lineRule="exact" w:before="0"/>
                  <w:ind w:left="20" w:right="-2" w:firstLine="0"/>
                  <w:jc w:val="left"/>
                  <w:rPr>
                    <w:b/>
                    <w:sz w:val="22"/>
                  </w:rPr>
                </w:pPr>
                <w:r>
                  <w:rPr>
                    <w:b/>
                    <w:sz w:val="22"/>
                  </w:rPr>
                  <w:t>Western Sydney University</w:t>
                </w:r>
              </w:p>
            </w:txbxContent>
          </v:textbox>
          <w10:wrap type="none"/>
        </v:shape>
      </w:pict>
    </w:r>
    <w:r>
      <w:rPr/>
      <w:pict>
        <v:shape style="position:absolute;margin-left:49.400002pt;margin-top:80.829170pt;width:227.45pt;height:31.45pt;mso-position-horizontal-relative:page;mso-position-vertical-relative:page;z-index:-1182520" type="#_x0000_t202" filled="false" stroked="false">
          <v:textbox inset="0,0,0,0">
            <w:txbxContent>
              <w:p>
                <w:pPr>
                  <w:spacing w:line="307" w:lineRule="exact" w:before="0"/>
                  <w:ind w:left="20" w:right="0" w:firstLine="0"/>
                  <w:jc w:val="left"/>
                  <w:rPr>
                    <w:b/>
                    <w:sz w:val="28"/>
                  </w:rPr>
                </w:pPr>
                <w:r>
                  <w:rPr>
                    <w:b/>
                    <w:sz w:val="28"/>
                  </w:rPr>
                  <w:t>Notes to the Financial Statements</w:t>
                </w:r>
              </w:p>
              <w:p>
                <w:pPr>
                  <w:spacing w:before="53"/>
                  <w:ind w:left="20" w:right="0" w:firstLine="0"/>
                  <w:jc w:val="left"/>
                  <w:rPr>
                    <w:b/>
                    <w:sz w:val="22"/>
                  </w:rPr>
                </w:pPr>
                <w:r>
                  <w:rPr>
                    <w:b/>
                    <w:sz w:val="22"/>
                  </w:rPr>
                  <w:t>For the Year Ended 31 December 2017</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311.95pt;height:27.35pt;mso-position-horizontal-relative:page;mso-position-vertical-relative:page;z-index:-1180456" type="#_x0000_t202" filled="false" stroked="false">
          <v:textbox inset="0,0,0,0">
            <w:txbxContent>
              <w:p>
                <w:pPr>
                  <w:spacing w:line="245" w:lineRule="exact" w:before="0"/>
                  <w:ind w:left="20" w:right="-11" w:firstLine="0"/>
                  <w:jc w:val="left"/>
                  <w:rPr>
                    <w:b/>
                    <w:sz w:val="22"/>
                  </w:rPr>
                </w:pPr>
                <w:r>
                  <w:rPr>
                    <w:b/>
                    <w:sz w:val="22"/>
                  </w:rPr>
                  <w:t>Whitlam Institute within Western Sydney University Limited</w:t>
                </w:r>
              </w:p>
              <w:p>
                <w:pPr>
                  <w:spacing w:before="56"/>
                  <w:ind w:left="20" w:right="-11" w:firstLine="0"/>
                  <w:jc w:val="left"/>
                  <w:rPr>
                    <w:b/>
                    <w:sz w:val="20"/>
                  </w:rPr>
                </w:pPr>
                <w:r>
                  <w:rPr>
                    <w:b/>
                    <w:sz w:val="20"/>
                  </w:rPr>
                  <w:t>ABN: 50 100 342 309</w:t>
                </w:r>
              </w:p>
            </w:txbxContent>
          </v:textbox>
          <w10:wrap type="none"/>
        </v:shape>
      </w:pict>
    </w:r>
    <w:r>
      <w:rPr/>
      <w:pict>
        <v:shape style="position:absolute;margin-left:49.400002pt;margin-top:95.191498pt;width:199.2pt;height:31.55pt;mso-position-horizontal-relative:page;mso-position-vertical-relative:page;z-index:-1180432" type="#_x0000_t202" filled="false" stroked="false">
          <v:textbox inset="0,0,0,0">
            <w:txbxContent>
              <w:p>
                <w:pPr>
                  <w:spacing w:line="306" w:lineRule="exact" w:before="0"/>
                  <w:ind w:left="20" w:right="-6" w:firstLine="0"/>
                  <w:jc w:val="left"/>
                  <w:rPr>
                    <w:b/>
                    <w:sz w:val="28"/>
                  </w:rPr>
                </w:pPr>
                <w:r>
                  <w:rPr>
                    <w:b/>
                    <w:sz w:val="28"/>
                  </w:rPr>
                  <w:t>Director's report</w:t>
                </w:r>
              </w:p>
              <w:p>
                <w:pPr>
                  <w:spacing w:before="57"/>
                  <w:ind w:left="20" w:right="-6" w:firstLine="0"/>
                  <w:jc w:val="left"/>
                  <w:rPr>
                    <w:b/>
                    <w:sz w:val="22"/>
                  </w:rPr>
                </w:pPr>
                <w:r>
                  <w:rPr>
                    <w:b/>
                    <w:sz w:val="22"/>
                  </w:rPr>
                  <w:t>For the year ended 31 December 2017</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311.95pt;height:27.35pt;mso-position-horizontal-relative:page;mso-position-vertical-relative:page;z-index:-1180408" type="#_x0000_t202" filled="false" stroked="false">
          <v:textbox inset="0,0,0,0">
            <w:txbxContent>
              <w:p>
                <w:pPr>
                  <w:spacing w:line="245" w:lineRule="exact" w:before="0"/>
                  <w:ind w:left="20" w:right="-11" w:firstLine="0"/>
                  <w:jc w:val="left"/>
                  <w:rPr>
                    <w:b/>
                    <w:sz w:val="22"/>
                  </w:rPr>
                </w:pPr>
                <w:r>
                  <w:rPr>
                    <w:b/>
                    <w:sz w:val="22"/>
                  </w:rPr>
                  <w:t>Whitlam Institute within Western Sydney University Limited</w:t>
                </w:r>
              </w:p>
              <w:p>
                <w:pPr>
                  <w:spacing w:before="56"/>
                  <w:ind w:left="20" w:right="-11" w:firstLine="0"/>
                  <w:jc w:val="left"/>
                  <w:rPr>
                    <w:b/>
                    <w:sz w:val="20"/>
                  </w:rPr>
                </w:pPr>
                <w:r>
                  <w:rPr>
                    <w:b/>
                    <w:sz w:val="20"/>
                  </w:rPr>
                  <w:t>ABN: 50 100 342 309</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311.95pt;height:27.35pt;mso-position-horizontal-relative:page;mso-position-vertical-relative:page;z-index:-1180384" type="#_x0000_t202" filled="false" stroked="false">
          <v:textbox inset="0,0,0,0">
            <w:txbxContent>
              <w:p>
                <w:pPr>
                  <w:spacing w:line="245" w:lineRule="exact" w:before="0"/>
                  <w:ind w:left="20" w:right="-11" w:firstLine="0"/>
                  <w:jc w:val="left"/>
                  <w:rPr>
                    <w:b/>
                    <w:sz w:val="22"/>
                  </w:rPr>
                </w:pPr>
                <w:r>
                  <w:rPr>
                    <w:b/>
                    <w:sz w:val="22"/>
                  </w:rPr>
                  <w:t>Whitlam Institute within Western Sydney University Limited</w:t>
                </w:r>
              </w:p>
              <w:p>
                <w:pPr>
                  <w:spacing w:before="56"/>
                  <w:ind w:left="20" w:right="-11" w:firstLine="0"/>
                  <w:jc w:val="left"/>
                  <w:rPr>
                    <w:b/>
                    <w:sz w:val="20"/>
                  </w:rPr>
                </w:pPr>
                <w:r>
                  <w:rPr>
                    <w:b/>
                    <w:sz w:val="20"/>
                  </w:rPr>
                  <w:t>ABN: 50 100 342 309</w:t>
                </w:r>
              </w:p>
            </w:txbxContent>
          </v:textbox>
          <w10:wrap type="none"/>
        </v:shape>
      </w:pict>
    </w:r>
    <w:r>
      <w:rPr/>
      <w:pict>
        <v:shape style="position:absolute;margin-left:49.400002pt;margin-top:95.191498pt;width:221.1pt;height:31.55pt;mso-position-horizontal-relative:page;mso-position-vertical-relative:page;z-index:-1180360"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2017</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311.95pt;height:27.35pt;mso-position-horizontal-relative:page;mso-position-vertical-relative:page;z-index:-1180336" type="#_x0000_t202" filled="false" stroked="false">
          <v:textbox inset="0,0,0,0">
            <w:txbxContent>
              <w:p>
                <w:pPr>
                  <w:spacing w:line="245" w:lineRule="exact" w:before="0"/>
                  <w:ind w:left="20" w:right="-11" w:firstLine="0"/>
                  <w:jc w:val="left"/>
                  <w:rPr>
                    <w:b/>
                    <w:sz w:val="22"/>
                  </w:rPr>
                </w:pPr>
                <w:r>
                  <w:rPr>
                    <w:b/>
                    <w:sz w:val="22"/>
                  </w:rPr>
                  <w:t>Whitlam Institute within Western Sydney University Limited</w:t>
                </w:r>
              </w:p>
              <w:p>
                <w:pPr>
                  <w:spacing w:before="56"/>
                  <w:ind w:left="20" w:right="-11" w:firstLine="0"/>
                  <w:jc w:val="left"/>
                  <w:rPr>
                    <w:b/>
                    <w:sz w:val="20"/>
                  </w:rPr>
                </w:pPr>
                <w:r>
                  <w:rPr>
                    <w:b/>
                    <w:sz w:val="20"/>
                  </w:rPr>
                  <w:t>ABN: 50 100 342 309</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95481pt;margin-top:50.882446pt;width:302.2pt;height:28.5pt;mso-position-horizontal-relative:page;mso-position-vertical-relative:page;z-index:-1180264" type="#_x0000_t202" filled="false" stroked="false">
          <v:textbox inset="0,0,0,0">
            <w:txbxContent>
              <w:p>
                <w:pPr>
                  <w:spacing w:line="245" w:lineRule="exact" w:before="0"/>
                  <w:ind w:left="20" w:right="-10" w:firstLine="0"/>
                  <w:jc w:val="left"/>
                  <w:rPr>
                    <w:b/>
                    <w:sz w:val="22"/>
                  </w:rPr>
                </w:pPr>
                <w:r>
                  <w:rPr>
                    <w:b/>
                    <w:sz w:val="22"/>
                  </w:rPr>
                  <w:t>Whitlam Institute Within Western Sydney University Trust</w:t>
                </w:r>
              </w:p>
              <w:p>
                <w:pPr>
                  <w:spacing w:before="56"/>
                  <w:ind w:left="20" w:right="-10" w:firstLine="0"/>
                  <w:jc w:val="left"/>
                  <w:rPr>
                    <w:b/>
                    <w:sz w:val="22"/>
                  </w:rPr>
                </w:pPr>
                <w:r>
                  <w:rPr>
                    <w:b/>
                    <w:sz w:val="22"/>
                  </w:rPr>
                  <w:t>ABN: 42 247 216 279</w:t>
                </w:r>
              </w:p>
            </w:txbxContent>
          </v:textbox>
          <w10:wrap type="none"/>
        </v:shape>
      </w:pict>
    </w:r>
    <w:r>
      <w:rPr/>
      <w:pict>
        <v:shape style="position:absolute;margin-left:49.400002pt;margin-top:96.331505pt;width:199.2pt;height:31.55pt;mso-position-horizontal-relative:page;mso-position-vertical-relative:page;z-index:-1180240" type="#_x0000_t202" filled="false" stroked="false">
          <v:textbox inset="0,0,0,0">
            <w:txbxContent>
              <w:p>
                <w:pPr>
                  <w:spacing w:line="306" w:lineRule="exact" w:before="0"/>
                  <w:ind w:left="20" w:right="-6" w:firstLine="0"/>
                  <w:jc w:val="left"/>
                  <w:rPr>
                    <w:b/>
                    <w:sz w:val="28"/>
                  </w:rPr>
                </w:pPr>
                <w:r>
                  <w:rPr>
                    <w:b/>
                    <w:sz w:val="28"/>
                  </w:rPr>
                  <w:t>Trustees' report</w:t>
                </w:r>
              </w:p>
              <w:p>
                <w:pPr>
                  <w:spacing w:before="57"/>
                  <w:ind w:left="20" w:right="-6" w:firstLine="0"/>
                  <w:jc w:val="left"/>
                  <w:rPr>
                    <w:b/>
                    <w:sz w:val="22"/>
                  </w:rPr>
                </w:pPr>
                <w:r>
                  <w:rPr>
                    <w:b/>
                    <w:sz w:val="22"/>
                  </w:rPr>
                  <w:t>For the year ended 31 December 2017</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95481pt;margin-top:50.882446pt;width:302.2pt;height:28.5pt;mso-position-horizontal-relative:page;mso-position-vertical-relative:page;z-index:-1180216" type="#_x0000_t202" filled="false" stroked="false">
          <v:textbox inset="0,0,0,0">
            <w:txbxContent>
              <w:p>
                <w:pPr>
                  <w:spacing w:line="245" w:lineRule="exact" w:before="0"/>
                  <w:ind w:left="20" w:right="-10" w:firstLine="0"/>
                  <w:jc w:val="left"/>
                  <w:rPr>
                    <w:b/>
                    <w:sz w:val="22"/>
                  </w:rPr>
                </w:pPr>
                <w:r>
                  <w:rPr>
                    <w:b/>
                    <w:sz w:val="22"/>
                  </w:rPr>
                  <w:t>Whitlam Institute Within Western Sydney University Trust</w:t>
                </w:r>
              </w:p>
              <w:p>
                <w:pPr>
                  <w:spacing w:before="56"/>
                  <w:ind w:left="20" w:right="-10" w:firstLine="0"/>
                  <w:jc w:val="left"/>
                  <w:rPr>
                    <w:b/>
                    <w:sz w:val="22"/>
                  </w:rPr>
                </w:pPr>
                <w:r>
                  <w:rPr>
                    <w:b/>
                    <w:sz w:val="22"/>
                  </w:rPr>
                  <w:t>ABN: 42 247 216 279</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143.75pt;height:13.05pt;mso-position-horizontal-relative:page;mso-position-vertical-relative:page;z-index:-1182472" type="#_x0000_t202" filled="false" stroked="false">
          <v:textbox inset="0,0,0,0">
            <w:txbxContent>
              <w:p>
                <w:pPr>
                  <w:spacing w:line="246" w:lineRule="exact" w:before="0"/>
                  <w:ind w:left="20" w:right="-2" w:firstLine="0"/>
                  <w:jc w:val="left"/>
                  <w:rPr>
                    <w:b/>
                    <w:sz w:val="22"/>
                  </w:rPr>
                </w:pPr>
                <w:r>
                  <w:rPr>
                    <w:b/>
                    <w:sz w:val="22"/>
                  </w:rPr>
                  <w:t>Western Sydney University</w:t>
                </w:r>
              </w:p>
            </w:txbxContent>
          </v:textbox>
          <w10:wrap type="none"/>
        </v:shape>
      </w:pict>
    </w:r>
    <w:r>
      <w:rPr/>
      <w:pict>
        <v:shape style="position:absolute;margin-left:49.400002pt;margin-top:80.829170pt;width:227.45pt;height:31.45pt;mso-position-horizontal-relative:page;mso-position-vertical-relative:page;z-index:-1182448" type="#_x0000_t202" filled="false" stroked="false">
          <v:textbox inset="0,0,0,0">
            <w:txbxContent>
              <w:p>
                <w:pPr>
                  <w:spacing w:line="307" w:lineRule="exact" w:before="0"/>
                  <w:ind w:left="20" w:right="0" w:firstLine="0"/>
                  <w:jc w:val="left"/>
                  <w:rPr>
                    <w:b/>
                    <w:sz w:val="28"/>
                  </w:rPr>
                </w:pPr>
                <w:r>
                  <w:rPr>
                    <w:b/>
                    <w:sz w:val="28"/>
                  </w:rPr>
                  <w:t>Notes to the Financial Statements</w:t>
                </w:r>
              </w:p>
              <w:p>
                <w:pPr>
                  <w:spacing w:before="53"/>
                  <w:ind w:left="20" w:right="0" w:firstLine="0"/>
                  <w:jc w:val="left"/>
                  <w:rPr>
                    <w:b/>
                    <w:sz w:val="22"/>
                  </w:rPr>
                </w:pPr>
                <w:r>
                  <w:rPr>
                    <w:b/>
                    <w:sz w:val="22"/>
                  </w:rPr>
                  <w:t>For the Year Ended 31 December 2017</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95481pt;margin-top:50.882446pt;width:302.2pt;height:28.5pt;mso-position-horizontal-relative:page;mso-position-vertical-relative:page;z-index:-1180144" type="#_x0000_t202" filled="false" stroked="false">
          <v:textbox inset="0,0,0,0">
            <w:txbxContent>
              <w:p>
                <w:pPr>
                  <w:spacing w:line="245" w:lineRule="exact" w:before="0"/>
                  <w:ind w:left="20" w:right="-10" w:firstLine="0"/>
                  <w:jc w:val="left"/>
                  <w:rPr>
                    <w:b/>
                    <w:sz w:val="22"/>
                  </w:rPr>
                </w:pPr>
                <w:r>
                  <w:rPr>
                    <w:b/>
                    <w:sz w:val="22"/>
                  </w:rPr>
                  <w:t>Whitlam Institute Within Western Sydney University Trust</w:t>
                </w:r>
              </w:p>
              <w:p>
                <w:pPr>
                  <w:spacing w:before="56"/>
                  <w:ind w:left="20" w:right="-10" w:firstLine="0"/>
                  <w:jc w:val="left"/>
                  <w:rPr>
                    <w:b/>
                    <w:sz w:val="22"/>
                  </w:rPr>
                </w:pPr>
                <w:r>
                  <w:rPr>
                    <w:b/>
                    <w:sz w:val="22"/>
                  </w:rPr>
                  <w:t>ABN: 42 247 216 279</w:t>
                </w:r>
              </w:p>
            </w:txbxContent>
          </v:textbox>
          <w10:wrap type="none"/>
        </v:shape>
      </w:pict>
    </w:r>
    <w:r>
      <w:rPr/>
      <w:pict>
        <v:shape style="position:absolute;margin-left:49.400002pt;margin-top:96.331505pt;width:221.1pt;height:31.55pt;mso-position-horizontal-relative:page;mso-position-vertical-relative:page;z-index:-1180120"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2017</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95481pt;margin-top:50.882446pt;width:302.2pt;height:28.5pt;mso-position-horizontal-relative:page;mso-position-vertical-relative:page;z-index:-1180096" type="#_x0000_t202" filled="false" stroked="false">
          <v:textbox inset="0,0,0,0">
            <w:txbxContent>
              <w:p>
                <w:pPr>
                  <w:spacing w:line="245" w:lineRule="exact" w:before="0"/>
                  <w:ind w:left="20" w:right="-10" w:firstLine="0"/>
                  <w:jc w:val="left"/>
                  <w:rPr>
                    <w:b/>
                    <w:sz w:val="22"/>
                  </w:rPr>
                </w:pPr>
                <w:r>
                  <w:rPr>
                    <w:b/>
                    <w:sz w:val="22"/>
                  </w:rPr>
                  <w:t>Whitlam Institute Within Western Sydney University Trust</w:t>
                </w:r>
              </w:p>
              <w:p>
                <w:pPr>
                  <w:spacing w:before="56"/>
                  <w:ind w:left="20" w:right="-10" w:firstLine="0"/>
                  <w:jc w:val="left"/>
                  <w:rPr>
                    <w:b/>
                    <w:sz w:val="22"/>
                  </w:rPr>
                </w:pPr>
                <w:r>
                  <w:rPr>
                    <w:b/>
                    <w:sz w:val="22"/>
                  </w:rPr>
                  <w:t>ABN: 42 247 216 279</w:t>
                </w:r>
              </w:p>
            </w:txbxContent>
          </v:textbox>
          <w10:wrap type="none"/>
        </v:shape>
      </w:pict>
    </w:r>
    <w:r>
      <w:rPr/>
      <w:pict>
        <v:shape style="position:absolute;margin-left:49.400002pt;margin-top:96.331505pt;width:221.1pt;height:31.55pt;mso-position-horizontal-relative:page;mso-position-vertical-relative:page;z-index:-1180072"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2017</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95481pt;margin-top:50.882446pt;width:302.2pt;height:28.5pt;mso-position-horizontal-relative:page;mso-position-vertical-relative:page;z-index:-1180024" type="#_x0000_t202" filled="false" stroked="false">
          <v:textbox inset="0,0,0,0">
            <w:txbxContent>
              <w:p>
                <w:pPr>
                  <w:spacing w:line="245" w:lineRule="exact" w:before="0"/>
                  <w:ind w:left="20" w:right="-10" w:firstLine="0"/>
                  <w:jc w:val="left"/>
                  <w:rPr>
                    <w:b/>
                    <w:sz w:val="22"/>
                  </w:rPr>
                </w:pPr>
                <w:r>
                  <w:rPr>
                    <w:b/>
                    <w:sz w:val="22"/>
                  </w:rPr>
                  <w:t>Whitlam Institute Within Western Sydney University Trust</w:t>
                </w:r>
              </w:p>
              <w:p>
                <w:pPr>
                  <w:spacing w:before="56"/>
                  <w:ind w:left="20" w:right="-10" w:firstLine="0"/>
                  <w:jc w:val="left"/>
                  <w:rPr>
                    <w:b/>
                    <w:sz w:val="22"/>
                  </w:rPr>
                </w:pPr>
                <w:r>
                  <w:rPr>
                    <w:b/>
                    <w:sz w:val="22"/>
                  </w:rPr>
                  <w:t>ABN: 42 247 216 279</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4.037994pt;margin-top:34.666168pt;width:48.95pt;height:11pt;mso-position-horizontal-relative:page;mso-position-vertical-relative:page;z-index:-1179928" type="#_x0000_t202" filled="false" stroked="false">
          <v:textbox inset="0,0,0,0">
            <w:txbxContent>
              <w:p>
                <w:pPr>
                  <w:pStyle w:val="BodyText"/>
                  <w:spacing w:line="204" w:lineRule="exact"/>
                  <w:ind w:left="20" w:right="-2"/>
                </w:pPr>
                <w:r>
                  <w:rPr/>
                  <w:t>Appendices</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1179904" filled="true" fillcolor="#231f20" stroked="false">
          <v:fill type="solid"/>
          <w10:wrap type="none"/>
        </v:rect>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60111pt;width:143.75pt;height:13.05pt;mso-position-horizontal-relative:page;mso-position-vertical-relative:page;z-index:-1182424" type="#_x0000_t202" filled="false" stroked="false">
          <v:textbox inset="0,0,0,0">
            <w:txbxContent>
              <w:p>
                <w:pPr>
                  <w:spacing w:line="246" w:lineRule="exact" w:before="0"/>
                  <w:ind w:left="20" w:right="-2" w:firstLine="0"/>
                  <w:jc w:val="left"/>
                  <w:rPr>
                    <w:b/>
                    <w:sz w:val="22"/>
                  </w:rPr>
                </w:pPr>
                <w:r>
                  <w:rPr>
                    <w:b/>
                    <w:sz w:val="22"/>
                  </w:rPr>
                  <w:t>Western Sydney University</w:t>
                </w:r>
              </w:p>
            </w:txbxContent>
          </v:textbox>
          <w10:wrap type="none"/>
        </v:shape>
      </w:pict>
    </w:r>
    <w:r>
      <w:rPr/>
      <w:pict>
        <v:shape style="position:absolute;margin-left:49.400002pt;margin-top:80.829170pt;width:227.45pt;height:31.45pt;mso-position-horizontal-relative:page;mso-position-vertical-relative:page;z-index:-1182400" type="#_x0000_t202" filled="false" stroked="false">
          <v:textbox inset="0,0,0,0">
            <w:txbxContent>
              <w:p>
                <w:pPr>
                  <w:spacing w:line="307" w:lineRule="exact" w:before="0"/>
                  <w:ind w:left="20" w:right="0" w:firstLine="0"/>
                  <w:jc w:val="left"/>
                  <w:rPr>
                    <w:b/>
                    <w:sz w:val="28"/>
                  </w:rPr>
                </w:pPr>
                <w:r>
                  <w:rPr>
                    <w:b/>
                    <w:sz w:val="28"/>
                  </w:rPr>
                  <w:t>Notes to the Financial Statements</w:t>
                </w:r>
              </w:p>
              <w:p>
                <w:pPr>
                  <w:spacing w:before="53"/>
                  <w:ind w:left="20" w:right="0" w:firstLine="0"/>
                  <w:jc w:val="left"/>
                  <w:rPr>
                    <w:b/>
                    <w:sz w:val="22"/>
                  </w:rPr>
                </w:pPr>
                <w:r>
                  <w:rPr>
                    <w:b/>
                    <w:sz w:val="22"/>
                  </w:rPr>
                  <w:t>For the Year Ended 31 December 2017</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3">
    <w:multiLevelType w:val="hybridMultilevel"/>
    <w:lvl w:ilvl="0">
      <w:start w:val="1"/>
      <w:numFmt w:val="bullet"/>
      <w:lvlText w:val=""/>
      <w:lvlJc w:val="left"/>
      <w:pPr>
        <w:ind w:left="1071" w:hanging="568"/>
      </w:pPr>
      <w:rPr>
        <w:rFonts w:hint="default" w:ascii="Symbol" w:hAnsi="Symbol" w:eastAsia="Symbol" w:cs="Symbol"/>
        <w:w w:val="100"/>
        <w:sz w:val="18"/>
        <w:szCs w:val="18"/>
      </w:rPr>
    </w:lvl>
    <w:lvl w:ilvl="1">
      <w:start w:val="1"/>
      <w:numFmt w:val="bullet"/>
      <w:lvlText w:val="•"/>
      <w:lvlJc w:val="left"/>
      <w:pPr>
        <w:ind w:left="1984" w:hanging="568"/>
      </w:pPr>
      <w:rPr>
        <w:rFonts w:hint="default"/>
      </w:rPr>
    </w:lvl>
    <w:lvl w:ilvl="2">
      <w:start w:val="1"/>
      <w:numFmt w:val="bullet"/>
      <w:lvlText w:val="•"/>
      <w:lvlJc w:val="left"/>
      <w:pPr>
        <w:ind w:left="2888" w:hanging="568"/>
      </w:pPr>
      <w:rPr>
        <w:rFonts w:hint="default"/>
      </w:rPr>
    </w:lvl>
    <w:lvl w:ilvl="3">
      <w:start w:val="1"/>
      <w:numFmt w:val="bullet"/>
      <w:lvlText w:val="•"/>
      <w:lvlJc w:val="left"/>
      <w:pPr>
        <w:ind w:left="3793" w:hanging="568"/>
      </w:pPr>
      <w:rPr>
        <w:rFonts w:hint="default"/>
      </w:rPr>
    </w:lvl>
    <w:lvl w:ilvl="4">
      <w:start w:val="1"/>
      <w:numFmt w:val="bullet"/>
      <w:lvlText w:val="•"/>
      <w:lvlJc w:val="left"/>
      <w:pPr>
        <w:ind w:left="4697" w:hanging="568"/>
      </w:pPr>
      <w:rPr>
        <w:rFonts w:hint="default"/>
      </w:rPr>
    </w:lvl>
    <w:lvl w:ilvl="5">
      <w:start w:val="1"/>
      <w:numFmt w:val="bullet"/>
      <w:lvlText w:val="•"/>
      <w:lvlJc w:val="left"/>
      <w:pPr>
        <w:ind w:left="5602" w:hanging="568"/>
      </w:pPr>
      <w:rPr>
        <w:rFonts w:hint="default"/>
      </w:rPr>
    </w:lvl>
    <w:lvl w:ilvl="6">
      <w:start w:val="1"/>
      <w:numFmt w:val="bullet"/>
      <w:lvlText w:val="•"/>
      <w:lvlJc w:val="left"/>
      <w:pPr>
        <w:ind w:left="6506" w:hanging="568"/>
      </w:pPr>
      <w:rPr>
        <w:rFonts w:hint="default"/>
      </w:rPr>
    </w:lvl>
    <w:lvl w:ilvl="7">
      <w:start w:val="1"/>
      <w:numFmt w:val="bullet"/>
      <w:lvlText w:val="•"/>
      <w:lvlJc w:val="left"/>
      <w:pPr>
        <w:ind w:left="7411" w:hanging="568"/>
      </w:pPr>
      <w:rPr>
        <w:rFonts w:hint="default"/>
      </w:rPr>
    </w:lvl>
    <w:lvl w:ilvl="8">
      <w:start w:val="1"/>
      <w:numFmt w:val="bullet"/>
      <w:lvlText w:val="•"/>
      <w:lvlJc w:val="left"/>
      <w:pPr>
        <w:ind w:left="8315" w:hanging="568"/>
      </w:pPr>
      <w:rPr>
        <w:rFonts w:hint="default"/>
      </w:rPr>
    </w:lvl>
  </w:abstractNum>
  <w:abstractNum w:abstractNumId="91">
    <w:multiLevelType w:val="hybridMultilevel"/>
    <w:lvl w:ilvl="0">
      <w:start w:val="1"/>
      <w:numFmt w:val="lowerLetter"/>
      <w:lvlText w:val="(%1)"/>
      <w:lvlJc w:val="left"/>
      <w:pPr>
        <w:ind w:left="1071" w:hanging="567"/>
        <w:jc w:val="left"/>
      </w:pPr>
      <w:rPr>
        <w:rFonts w:hint="default" w:ascii="Arial" w:hAnsi="Arial" w:eastAsia="Arial" w:cs="Arial"/>
        <w:b/>
        <w:bCs/>
        <w:w w:val="99"/>
        <w:sz w:val="18"/>
        <w:szCs w:val="18"/>
      </w:rPr>
    </w:lvl>
    <w:lvl w:ilvl="1">
      <w:start w:val="1"/>
      <w:numFmt w:val="bullet"/>
      <w:lvlText w:val="•"/>
      <w:lvlJc w:val="left"/>
      <w:pPr>
        <w:ind w:left="1968" w:hanging="567"/>
      </w:pPr>
      <w:rPr>
        <w:rFonts w:hint="default"/>
      </w:rPr>
    </w:lvl>
    <w:lvl w:ilvl="2">
      <w:start w:val="1"/>
      <w:numFmt w:val="bullet"/>
      <w:lvlText w:val="•"/>
      <w:lvlJc w:val="left"/>
      <w:pPr>
        <w:ind w:left="2856" w:hanging="567"/>
      </w:pPr>
      <w:rPr>
        <w:rFonts w:hint="default"/>
      </w:rPr>
    </w:lvl>
    <w:lvl w:ilvl="3">
      <w:start w:val="1"/>
      <w:numFmt w:val="bullet"/>
      <w:lvlText w:val="•"/>
      <w:lvlJc w:val="left"/>
      <w:pPr>
        <w:ind w:left="3745" w:hanging="567"/>
      </w:pPr>
      <w:rPr>
        <w:rFonts w:hint="default"/>
      </w:rPr>
    </w:lvl>
    <w:lvl w:ilvl="4">
      <w:start w:val="1"/>
      <w:numFmt w:val="bullet"/>
      <w:lvlText w:val="•"/>
      <w:lvlJc w:val="left"/>
      <w:pPr>
        <w:ind w:left="4633" w:hanging="567"/>
      </w:pPr>
      <w:rPr>
        <w:rFonts w:hint="default"/>
      </w:rPr>
    </w:lvl>
    <w:lvl w:ilvl="5">
      <w:start w:val="1"/>
      <w:numFmt w:val="bullet"/>
      <w:lvlText w:val="•"/>
      <w:lvlJc w:val="left"/>
      <w:pPr>
        <w:ind w:left="5522" w:hanging="567"/>
      </w:pPr>
      <w:rPr>
        <w:rFonts w:hint="default"/>
      </w:rPr>
    </w:lvl>
    <w:lvl w:ilvl="6">
      <w:start w:val="1"/>
      <w:numFmt w:val="bullet"/>
      <w:lvlText w:val="•"/>
      <w:lvlJc w:val="left"/>
      <w:pPr>
        <w:ind w:left="6410" w:hanging="567"/>
      </w:pPr>
      <w:rPr>
        <w:rFonts w:hint="default"/>
      </w:rPr>
    </w:lvl>
    <w:lvl w:ilvl="7">
      <w:start w:val="1"/>
      <w:numFmt w:val="bullet"/>
      <w:lvlText w:val="•"/>
      <w:lvlJc w:val="left"/>
      <w:pPr>
        <w:ind w:left="7299" w:hanging="567"/>
      </w:pPr>
      <w:rPr>
        <w:rFonts w:hint="default"/>
      </w:rPr>
    </w:lvl>
    <w:lvl w:ilvl="8">
      <w:start w:val="1"/>
      <w:numFmt w:val="bullet"/>
      <w:lvlText w:val="•"/>
      <w:lvlJc w:val="left"/>
      <w:pPr>
        <w:ind w:left="8187" w:hanging="567"/>
      </w:pPr>
      <w:rPr>
        <w:rFonts w:hint="default"/>
      </w:rPr>
    </w:lvl>
  </w:abstractNum>
  <w:abstractNum w:abstractNumId="90">
    <w:multiLevelType w:val="hybridMultilevel"/>
    <w:lvl w:ilvl="0">
      <w:start w:val="1"/>
      <w:numFmt w:val="lowerLetter"/>
      <w:lvlText w:val="(%1)"/>
      <w:lvlJc w:val="left"/>
      <w:pPr>
        <w:ind w:left="1057" w:hanging="270"/>
        <w:jc w:val="left"/>
      </w:pPr>
      <w:rPr>
        <w:rFonts w:hint="default" w:ascii="Arial" w:hAnsi="Arial" w:eastAsia="Arial" w:cs="Arial"/>
        <w:w w:val="99"/>
        <w:sz w:val="18"/>
        <w:szCs w:val="18"/>
      </w:rPr>
    </w:lvl>
    <w:lvl w:ilvl="1">
      <w:start w:val="1"/>
      <w:numFmt w:val="bullet"/>
      <w:lvlText w:val="•"/>
      <w:lvlJc w:val="left"/>
      <w:pPr>
        <w:ind w:left="1964" w:hanging="270"/>
      </w:pPr>
      <w:rPr>
        <w:rFonts w:hint="default"/>
      </w:rPr>
    </w:lvl>
    <w:lvl w:ilvl="2">
      <w:start w:val="1"/>
      <w:numFmt w:val="bullet"/>
      <w:lvlText w:val="•"/>
      <w:lvlJc w:val="left"/>
      <w:pPr>
        <w:ind w:left="2868" w:hanging="270"/>
      </w:pPr>
      <w:rPr>
        <w:rFonts w:hint="default"/>
      </w:rPr>
    </w:lvl>
    <w:lvl w:ilvl="3">
      <w:start w:val="1"/>
      <w:numFmt w:val="bullet"/>
      <w:lvlText w:val="•"/>
      <w:lvlJc w:val="left"/>
      <w:pPr>
        <w:ind w:left="3773" w:hanging="270"/>
      </w:pPr>
      <w:rPr>
        <w:rFonts w:hint="default"/>
      </w:rPr>
    </w:lvl>
    <w:lvl w:ilvl="4">
      <w:start w:val="1"/>
      <w:numFmt w:val="bullet"/>
      <w:lvlText w:val="•"/>
      <w:lvlJc w:val="left"/>
      <w:pPr>
        <w:ind w:left="4677" w:hanging="270"/>
      </w:pPr>
      <w:rPr>
        <w:rFonts w:hint="default"/>
      </w:rPr>
    </w:lvl>
    <w:lvl w:ilvl="5">
      <w:start w:val="1"/>
      <w:numFmt w:val="bullet"/>
      <w:lvlText w:val="•"/>
      <w:lvlJc w:val="left"/>
      <w:pPr>
        <w:ind w:left="5582" w:hanging="270"/>
      </w:pPr>
      <w:rPr>
        <w:rFonts w:hint="default"/>
      </w:rPr>
    </w:lvl>
    <w:lvl w:ilvl="6">
      <w:start w:val="1"/>
      <w:numFmt w:val="bullet"/>
      <w:lvlText w:val="•"/>
      <w:lvlJc w:val="left"/>
      <w:pPr>
        <w:ind w:left="6486" w:hanging="270"/>
      </w:pPr>
      <w:rPr>
        <w:rFonts w:hint="default"/>
      </w:rPr>
    </w:lvl>
    <w:lvl w:ilvl="7">
      <w:start w:val="1"/>
      <w:numFmt w:val="bullet"/>
      <w:lvlText w:val="•"/>
      <w:lvlJc w:val="left"/>
      <w:pPr>
        <w:ind w:left="7391" w:hanging="270"/>
      </w:pPr>
      <w:rPr>
        <w:rFonts w:hint="default"/>
      </w:rPr>
    </w:lvl>
    <w:lvl w:ilvl="8">
      <w:start w:val="1"/>
      <w:numFmt w:val="bullet"/>
      <w:lvlText w:val="•"/>
      <w:lvlJc w:val="left"/>
      <w:pPr>
        <w:ind w:left="8295" w:hanging="270"/>
      </w:pPr>
      <w:rPr>
        <w:rFonts w:hint="default"/>
      </w:rPr>
    </w:lvl>
  </w:abstractNum>
  <w:abstractNum w:abstractNumId="85">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bullet"/>
      <w:lvlText w:val="•"/>
      <w:lvlJc w:val="left"/>
      <w:pPr>
        <w:ind w:left="1986" w:hanging="567"/>
      </w:pPr>
      <w:rPr>
        <w:rFonts w:hint="default"/>
      </w:rPr>
    </w:lvl>
    <w:lvl w:ilvl="2">
      <w:start w:val="1"/>
      <w:numFmt w:val="bullet"/>
      <w:lvlText w:val="•"/>
      <w:lvlJc w:val="left"/>
      <w:pPr>
        <w:ind w:left="2892" w:hanging="567"/>
      </w:pPr>
      <w:rPr>
        <w:rFonts w:hint="default"/>
      </w:rPr>
    </w:lvl>
    <w:lvl w:ilvl="3">
      <w:start w:val="1"/>
      <w:numFmt w:val="bullet"/>
      <w:lvlText w:val="•"/>
      <w:lvlJc w:val="left"/>
      <w:pPr>
        <w:ind w:left="3799" w:hanging="567"/>
      </w:pPr>
      <w:rPr>
        <w:rFonts w:hint="default"/>
      </w:rPr>
    </w:lvl>
    <w:lvl w:ilvl="4">
      <w:start w:val="1"/>
      <w:numFmt w:val="bullet"/>
      <w:lvlText w:val="•"/>
      <w:lvlJc w:val="left"/>
      <w:pPr>
        <w:ind w:left="4705" w:hanging="567"/>
      </w:pPr>
      <w:rPr>
        <w:rFonts w:hint="default"/>
      </w:rPr>
    </w:lvl>
    <w:lvl w:ilvl="5">
      <w:start w:val="1"/>
      <w:numFmt w:val="bullet"/>
      <w:lvlText w:val="•"/>
      <w:lvlJc w:val="left"/>
      <w:pPr>
        <w:ind w:left="5612" w:hanging="567"/>
      </w:pPr>
      <w:rPr>
        <w:rFonts w:hint="default"/>
      </w:rPr>
    </w:lvl>
    <w:lvl w:ilvl="6">
      <w:start w:val="1"/>
      <w:numFmt w:val="bullet"/>
      <w:lvlText w:val="•"/>
      <w:lvlJc w:val="left"/>
      <w:pPr>
        <w:ind w:left="6518" w:hanging="567"/>
      </w:pPr>
      <w:rPr>
        <w:rFonts w:hint="default"/>
      </w:rPr>
    </w:lvl>
    <w:lvl w:ilvl="7">
      <w:start w:val="1"/>
      <w:numFmt w:val="bullet"/>
      <w:lvlText w:val="•"/>
      <w:lvlJc w:val="left"/>
      <w:pPr>
        <w:ind w:left="7425" w:hanging="567"/>
      </w:pPr>
      <w:rPr>
        <w:rFonts w:hint="default"/>
      </w:rPr>
    </w:lvl>
    <w:lvl w:ilvl="8">
      <w:start w:val="1"/>
      <w:numFmt w:val="bullet"/>
      <w:lvlText w:val="•"/>
      <w:lvlJc w:val="left"/>
      <w:pPr>
        <w:ind w:left="8331" w:hanging="567"/>
      </w:pPr>
      <w:rPr>
        <w:rFonts w:hint="default"/>
      </w:rPr>
    </w:lvl>
  </w:abstractNum>
  <w:abstractNum w:abstractNumId="79">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bullet"/>
      <w:lvlText w:val="•"/>
      <w:lvlJc w:val="left"/>
      <w:pPr>
        <w:ind w:left="1986" w:hanging="567"/>
      </w:pPr>
      <w:rPr>
        <w:rFonts w:hint="default"/>
      </w:rPr>
    </w:lvl>
    <w:lvl w:ilvl="2">
      <w:start w:val="1"/>
      <w:numFmt w:val="bullet"/>
      <w:lvlText w:val="•"/>
      <w:lvlJc w:val="left"/>
      <w:pPr>
        <w:ind w:left="2892" w:hanging="567"/>
      </w:pPr>
      <w:rPr>
        <w:rFonts w:hint="default"/>
      </w:rPr>
    </w:lvl>
    <w:lvl w:ilvl="3">
      <w:start w:val="1"/>
      <w:numFmt w:val="bullet"/>
      <w:lvlText w:val="•"/>
      <w:lvlJc w:val="left"/>
      <w:pPr>
        <w:ind w:left="3799" w:hanging="567"/>
      </w:pPr>
      <w:rPr>
        <w:rFonts w:hint="default"/>
      </w:rPr>
    </w:lvl>
    <w:lvl w:ilvl="4">
      <w:start w:val="1"/>
      <w:numFmt w:val="bullet"/>
      <w:lvlText w:val="•"/>
      <w:lvlJc w:val="left"/>
      <w:pPr>
        <w:ind w:left="4705" w:hanging="567"/>
      </w:pPr>
      <w:rPr>
        <w:rFonts w:hint="default"/>
      </w:rPr>
    </w:lvl>
    <w:lvl w:ilvl="5">
      <w:start w:val="1"/>
      <w:numFmt w:val="bullet"/>
      <w:lvlText w:val="•"/>
      <w:lvlJc w:val="left"/>
      <w:pPr>
        <w:ind w:left="5612" w:hanging="567"/>
      </w:pPr>
      <w:rPr>
        <w:rFonts w:hint="default"/>
      </w:rPr>
    </w:lvl>
    <w:lvl w:ilvl="6">
      <w:start w:val="1"/>
      <w:numFmt w:val="bullet"/>
      <w:lvlText w:val="•"/>
      <w:lvlJc w:val="left"/>
      <w:pPr>
        <w:ind w:left="6518" w:hanging="567"/>
      </w:pPr>
      <w:rPr>
        <w:rFonts w:hint="default"/>
      </w:rPr>
    </w:lvl>
    <w:lvl w:ilvl="7">
      <w:start w:val="1"/>
      <w:numFmt w:val="bullet"/>
      <w:lvlText w:val="•"/>
      <w:lvlJc w:val="left"/>
      <w:pPr>
        <w:ind w:left="7425" w:hanging="567"/>
      </w:pPr>
      <w:rPr>
        <w:rFonts w:hint="default"/>
      </w:rPr>
    </w:lvl>
    <w:lvl w:ilvl="8">
      <w:start w:val="1"/>
      <w:numFmt w:val="bullet"/>
      <w:lvlText w:val="•"/>
      <w:lvlJc w:val="left"/>
      <w:pPr>
        <w:ind w:left="8331" w:hanging="567"/>
      </w:pPr>
      <w:rPr>
        <w:rFonts w:hint="default"/>
      </w:rPr>
    </w:lvl>
  </w:abstractNum>
  <w:abstractNum w:abstractNumId="69">
    <w:multiLevelType w:val="hybridMultilevel"/>
    <w:lvl w:ilvl="0">
      <w:start w:val="1"/>
      <w:numFmt w:val="lowerLetter"/>
      <w:lvlText w:val="(%1)"/>
      <w:lvlJc w:val="left"/>
      <w:pPr>
        <w:ind w:left="807" w:hanging="270"/>
        <w:jc w:val="left"/>
      </w:pPr>
      <w:rPr>
        <w:rFonts w:hint="default" w:ascii="Arial" w:hAnsi="Arial" w:eastAsia="Arial" w:cs="Arial"/>
        <w:w w:val="99"/>
        <w:sz w:val="18"/>
        <w:szCs w:val="18"/>
      </w:rPr>
    </w:lvl>
    <w:lvl w:ilvl="1">
      <w:start w:val="1"/>
      <w:numFmt w:val="bullet"/>
      <w:lvlText w:val="•"/>
      <w:lvlJc w:val="left"/>
      <w:pPr>
        <w:ind w:left="1720" w:hanging="270"/>
      </w:pPr>
      <w:rPr>
        <w:rFonts w:hint="default"/>
      </w:rPr>
    </w:lvl>
    <w:lvl w:ilvl="2">
      <w:start w:val="1"/>
      <w:numFmt w:val="bullet"/>
      <w:lvlText w:val="•"/>
      <w:lvlJc w:val="left"/>
      <w:pPr>
        <w:ind w:left="2640" w:hanging="270"/>
      </w:pPr>
      <w:rPr>
        <w:rFonts w:hint="default"/>
      </w:rPr>
    </w:lvl>
    <w:lvl w:ilvl="3">
      <w:start w:val="1"/>
      <w:numFmt w:val="bullet"/>
      <w:lvlText w:val="•"/>
      <w:lvlJc w:val="left"/>
      <w:pPr>
        <w:ind w:left="3561" w:hanging="270"/>
      </w:pPr>
      <w:rPr>
        <w:rFonts w:hint="default"/>
      </w:rPr>
    </w:lvl>
    <w:lvl w:ilvl="4">
      <w:start w:val="1"/>
      <w:numFmt w:val="bullet"/>
      <w:lvlText w:val="•"/>
      <w:lvlJc w:val="left"/>
      <w:pPr>
        <w:ind w:left="4481" w:hanging="270"/>
      </w:pPr>
      <w:rPr>
        <w:rFonts w:hint="default"/>
      </w:rPr>
    </w:lvl>
    <w:lvl w:ilvl="5">
      <w:start w:val="1"/>
      <w:numFmt w:val="bullet"/>
      <w:lvlText w:val="•"/>
      <w:lvlJc w:val="left"/>
      <w:pPr>
        <w:ind w:left="5402" w:hanging="270"/>
      </w:pPr>
      <w:rPr>
        <w:rFonts w:hint="default"/>
      </w:rPr>
    </w:lvl>
    <w:lvl w:ilvl="6">
      <w:start w:val="1"/>
      <w:numFmt w:val="bullet"/>
      <w:lvlText w:val="•"/>
      <w:lvlJc w:val="left"/>
      <w:pPr>
        <w:ind w:left="6322" w:hanging="270"/>
      </w:pPr>
      <w:rPr>
        <w:rFonts w:hint="default"/>
      </w:rPr>
    </w:lvl>
    <w:lvl w:ilvl="7">
      <w:start w:val="1"/>
      <w:numFmt w:val="bullet"/>
      <w:lvlText w:val="•"/>
      <w:lvlJc w:val="left"/>
      <w:pPr>
        <w:ind w:left="7243" w:hanging="270"/>
      </w:pPr>
      <w:rPr>
        <w:rFonts w:hint="default"/>
      </w:rPr>
    </w:lvl>
    <w:lvl w:ilvl="8">
      <w:start w:val="1"/>
      <w:numFmt w:val="bullet"/>
      <w:lvlText w:val="•"/>
      <w:lvlJc w:val="left"/>
      <w:pPr>
        <w:ind w:left="8163" w:hanging="270"/>
      </w:pPr>
      <w:rPr>
        <w:rFonts w:hint="default"/>
      </w:rPr>
    </w:lvl>
  </w:abstractNum>
  <w:abstractNum w:abstractNumId="67">
    <w:multiLevelType w:val="hybridMultilevel"/>
    <w:lvl w:ilvl="0">
      <w:start w:val="1"/>
      <w:numFmt w:val="lowerLetter"/>
      <w:lvlText w:val="(%1)"/>
      <w:lvlJc w:val="left"/>
      <w:pPr>
        <w:ind w:left="1071" w:hanging="567"/>
        <w:jc w:val="left"/>
      </w:pPr>
      <w:rPr>
        <w:rFonts w:hint="default" w:ascii="Arial" w:hAnsi="Arial" w:eastAsia="Arial" w:cs="Arial"/>
        <w:b/>
        <w:bCs/>
        <w:w w:val="99"/>
        <w:sz w:val="18"/>
        <w:szCs w:val="18"/>
      </w:rPr>
    </w:lvl>
    <w:lvl w:ilvl="1">
      <w:start w:val="1"/>
      <w:numFmt w:val="bullet"/>
      <w:lvlText w:val="•"/>
      <w:lvlJc w:val="left"/>
      <w:pPr>
        <w:ind w:left="1986" w:hanging="567"/>
      </w:pPr>
      <w:rPr>
        <w:rFonts w:hint="default"/>
      </w:rPr>
    </w:lvl>
    <w:lvl w:ilvl="2">
      <w:start w:val="1"/>
      <w:numFmt w:val="bullet"/>
      <w:lvlText w:val="•"/>
      <w:lvlJc w:val="left"/>
      <w:pPr>
        <w:ind w:left="2892" w:hanging="567"/>
      </w:pPr>
      <w:rPr>
        <w:rFonts w:hint="default"/>
      </w:rPr>
    </w:lvl>
    <w:lvl w:ilvl="3">
      <w:start w:val="1"/>
      <w:numFmt w:val="bullet"/>
      <w:lvlText w:val="•"/>
      <w:lvlJc w:val="left"/>
      <w:pPr>
        <w:ind w:left="3799" w:hanging="567"/>
      </w:pPr>
      <w:rPr>
        <w:rFonts w:hint="default"/>
      </w:rPr>
    </w:lvl>
    <w:lvl w:ilvl="4">
      <w:start w:val="1"/>
      <w:numFmt w:val="bullet"/>
      <w:lvlText w:val="•"/>
      <w:lvlJc w:val="left"/>
      <w:pPr>
        <w:ind w:left="4705" w:hanging="567"/>
      </w:pPr>
      <w:rPr>
        <w:rFonts w:hint="default"/>
      </w:rPr>
    </w:lvl>
    <w:lvl w:ilvl="5">
      <w:start w:val="1"/>
      <w:numFmt w:val="bullet"/>
      <w:lvlText w:val="•"/>
      <w:lvlJc w:val="left"/>
      <w:pPr>
        <w:ind w:left="5612" w:hanging="567"/>
      </w:pPr>
      <w:rPr>
        <w:rFonts w:hint="default"/>
      </w:rPr>
    </w:lvl>
    <w:lvl w:ilvl="6">
      <w:start w:val="1"/>
      <w:numFmt w:val="bullet"/>
      <w:lvlText w:val="•"/>
      <w:lvlJc w:val="left"/>
      <w:pPr>
        <w:ind w:left="6518" w:hanging="567"/>
      </w:pPr>
      <w:rPr>
        <w:rFonts w:hint="default"/>
      </w:rPr>
    </w:lvl>
    <w:lvl w:ilvl="7">
      <w:start w:val="1"/>
      <w:numFmt w:val="bullet"/>
      <w:lvlText w:val="•"/>
      <w:lvlJc w:val="left"/>
      <w:pPr>
        <w:ind w:left="7425" w:hanging="567"/>
      </w:pPr>
      <w:rPr>
        <w:rFonts w:hint="default"/>
      </w:rPr>
    </w:lvl>
    <w:lvl w:ilvl="8">
      <w:start w:val="1"/>
      <w:numFmt w:val="bullet"/>
      <w:lvlText w:val="•"/>
      <w:lvlJc w:val="left"/>
      <w:pPr>
        <w:ind w:left="8331" w:hanging="567"/>
      </w:pPr>
      <w:rPr>
        <w:rFonts w:hint="default"/>
      </w:rPr>
    </w:lvl>
  </w:abstractNum>
  <w:abstractNum w:abstractNumId="66">
    <w:multiLevelType w:val="hybridMultilevel"/>
    <w:lvl w:ilvl="0">
      <w:start w:val="1"/>
      <w:numFmt w:val="lowerLetter"/>
      <w:lvlText w:val="(%1)"/>
      <w:lvlJc w:val="left"/>
      <w:pPr>
        <w:ind w:left="1111" w:hanging="567"/>
        <w:jc w:val="left"/>
      </w:pPr>
      <w:rPr>
        <w:rFonts w:hint="default" w:ascii="Arial" w:hAnsi="Arial" w:eastAsia="Arial" w:cs="Arial"/>
        <w:b/>
        <w:bCs/>
        <w:w w:val="99"/>
        <w:sz w:val="18"/>
        <w:szCs w:val="18"/>
      </w:rPr>
    </w:lvl>
    <w:lvl w:ilvl="1">
      <w:start w:val="1"/>
      <w:numFmt w:val="lowerRoman"/>
      <w:lvlText w:val="(%2)"/>
      <w:lvlJc w:val="left"/>
      <w:pPr>
        <w:ind w:left="1112" w:hanging="210"/>
        <w:jc w:val="left"/>
      </w:pPr>
      <w:rPr>
        <w:rFonts w:hint="default" w:ascii="Arial" w:hAnsi="Arial" w:eastAsia="Arial" w:cs="Arial"/>
        <w:w w:val="99"/>
        <w:sz w:val="18"/>
        <w:szCs w:val="18"/>
      </w:rPr>
    </w:lvl>
    <w:lvl w:ilvl="2">
      <w:start w:val="1"/>
      <w:numFmt w:val="bullet"/>
      <w:lvlText w:val="•"/>
      <w:lvlJc w:val="left"/>
      <w:pPr>
        <w:ind w:left="2932" w:hanging="210"/>
      </w:pPr>
      <w:rPr>
        <w:rFonts w:hint="default"/>
      </w:rPr>
    </w:lvl>
    <w:lvl w:ilvl="3">
      <w:start w:val="1"/>
      <w:numFmt w:val="bullet"/>
      <w:lvlText w:val="•"/>
      <w:lvlJc w:val="left"/>
      <w:pPr>
        <w:ind w:left="3839" w:hanging="210"/>
      </w:pPr>
      <w:rPr>
        <w:rFonts w:hint="default"/>
      </w:rPr>
    </w:lvl>
    <w:lvl w:ilvl="4">
      <w:start w:val="1"/>
      <w:numFmt w:val="bullet"/>
      <w:lvlText w:val="•"/>
      <w:lvlJc w:val="left"/>
      <w:pPr>
        <w:ind w:left="4745" w:hanging="210"/>
      </w:pPr>
      <w:rPr>
        <w:rFonts w:hint="default"/>
      </w:rPr>
    </w:lvl>
    <w:lvl w:ilvl="5">
      <w:start w:val="1"/>
      <w:numFmt w:val="bullet"/>
      <w:lvlText w:val="•"/>
      <w:lvlJc w:val="left"/>
      <w:pPr>
        <w:ind w:left="5652" w:hanging="210"/>
      </w:pPr>
      <w:rPr>
        <w:rFonts w:hint="default"/>
      </w:rPr>
    </w:lvl>
    <w:lvl w:ilvl="6">
      <w:start w:val="1"/>
      <w:numFmt w:val="bullet"/>
      <w:lvlText w:val="•"/>
      <w:lvlJc w:val="left"/>
      <w:pPr>
        <w:ind w:left="6558" w:hanging="210"/>
      </w:pPr>
      <w:rPr>
        <w:rFonts w:hint="default"/>
      </w:rPr>
    </w:lvl>
    <w:lvl w:ilvl="7">
      <w:start w:val="1"/>
      <w:numFmt w:val="bullet"/>
      <w:lvlText w:val="•"/>
      <w:lvlJc w:val="left"/>
      <w:pPr>
        <w:ind w:left="7465" w:hanging="210"/>
      </w:pPr>
      <w:rPr>
        <w:rFonts w:hint="default"/>
      </w:rPr>
    </w:lvl>
    <w:lvl w:ilvl="8">
      <w:start w:val="1"/>
      <w:numFmt w:val="bullet"/>
      <w:lvlText w:val="•"/>
      <w:lvlJc w:val="left"/>
      <w:pPr>
        <w:ind w:left="8371" w:hanging="210"/>
      </w:pPr>
      <w:rPr>
        <w:rFonts w:hint="default"/>
      </w:rPr>
    </w:lvl>
  </w:abstractNum>
  <w:abstractNum w:abstractNumId="60">
    <w:multiLevelType w:val="hybridMultilevel"/>
    <w:lvl w:ilvl="0">
      <w:start w:val="1"/>
      <w:numFmt w:val="lowerRoman"/>
      <w:lvlText w:val="(%1)"/>
      <w:lvlJc w:val="left"/>
      <w:pPr>
        <w:ind w:left="1070" w:hanging="567"/>
        <w:jc w:val="left"/>
      </w:pPr>
      <w:rPr>
        <w:rFonts w:hint="default" w:ascii="Arial" w:hAnsi="Arial" w:eastAsia="Arial" w:cs="Arial"/>
        <w:b/>
        <w:bCs/>
        <w:spacing w:val="-1"/>
        <w:w w:val="99"/>
        <w:sz w:val="18"/>
        <w:szCs w:val="18"/>
      </w:rPr>
    </w:lvl>
    <w:lvl w:ilvl="1">
      <w:start w:val="1"/>
      <w:numFmt w:val="bullet"/>
      <w:lvlText w:val="•"/>
      <w:lvlJc w:val="left"/>
      <w:pPr>
        <w:ind w:left="1988" w:hanging="567"/>
      </w:pPr>
      <w:rPr>
        <w:rFonts w:hint="default"/>
      </w:rPr>
    </w:lvl>
    <w:lvl w:ilvl="2">
      <w:start w:val="1"/>
      <w:numFmt w:val="bullet"/>
      <w:lvlText w:val="•"/>
      <w:lvlJc w:val="left"/>
      <w:pPr>
        <w:ind w:left="2896" w:hanging="567"/>
      </w:pPr>
      <w:rPr>
        <w:rFonts w:hint="default"/>
      </w:rPr>
    </w:lvl>
    <w:lvl w:ilvl="3">
      <w:start w:val="1"/>
      <w:numFmt w:val="bullet"/>
      <w:lvlText w:val="•"/>
      <w:lvlJc w:val="left"/>
      <w:pPr>
        <w:ind w:left="3805" w:hanging="567"/>
      </w:pPr>
      <w:rPr>
        <w:rFonts w:hint="default"/>
      </w:rPr>
    </w:lvl>
    <w:lvl w:ilvl="4">
      <w:start w:val="1"/>
      <w:numFmt w:val="bullet"/>
      <w:lvlText w:val="•"/>
      <w:lvlJc w:val="left"/>
      <w:pPr>
        <w:ind w:left="4713" w:hanging="567"/>
      </w:pPr>
      <w:rPr>
        <w:rFonts w:hint="default"/>
      </w:rPr>
    </w:lvl>
    <w:lvl w:ilvl="5">
      <w:start w:val="1"/>
      <w:numFmt w:val="bullet"/>
      <w:lvlText w:val="•"/>
      <w:lvlJc w:val="left"/>
      <w:pPr>
        <w:ind w:left="5622" w:hanging="567"/>
      </w:pPr>
      <w:rPr>
        <w:rFonts w:hint="default"/>
      </w:rPr>
    </w:lvl>
    <w:lvl w:ilvl="6">
      <w:start w:val="1"/>
      <w:numFmt w:val="bullet"/>
      <w:lvlText w:val="•"/>
      <w:lvlJc w:val="left"/>
      <w:pPr>
        <w:ind w:left="6530" w:hanging="567"/>
      </w:pPr>
      <w:rPr>
        <w:rFonts w:hint="default"/>
      </w:rPr>
    </w:lvl>
    <w:lvl w:ilvl="7">
      <w:start w:val="1"/>
      <w:numFmt w:val="bullet"/>
      <w:lvlText w:val="•"/>
      <w:lvlJc w:val="left"/>
      <w:pPr>
        <w:ind w:left="7439" w:hanging="567"/>
      </w:pPr>
      <w:rPr>
        <w:rFonts w:hint="default"/>
      </w:rPr>
    </w:lvl>
    <w:lvl w:ilvl="8">
      <w:start w:val="1"/>
      <w:numFmt w:val="bullet"/>
      <w:lvlText w:val="•"/>
      <w:lvlJc w:val="left"/>
      <w:pPr>
        <w:ind w:left="8347" w:hanging="567"/>
      </w:pPr>
      <w:rPr>
        <w:rFonts w:hint="default"/>
      </w:rPr>
    </w:lvl>
  </w:abstractNum>
  <w:abstractNum w:abstractNumId="58">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lowerRoman"/>
      <w:lvlText w:val="(%2)"/>
      <w:lvlJc w:val="left"/>
      <w:pPr>
        <w:ind w:left="1107" w:hanging="321"/>
        <w:jc w:val="left"/>
      </w:pPr>
      <w:rPr>
        <w:rFonts w:hint="default" w:ascii="Arial" w:hAnsi="Arial" w:eastAsia="Arial" w:cs="Arial"/>
        <w:b/>
        <w:bCs/>
        <w:w w:val="100"/>
        <w:sz w:val="18"/>
        <w:szCs w:val="18"/>
      </w:rPr>
    </w:lvl>
    <w:lvl w:ilvl="2">
      <w:start w:val="1"/>
      <w:numFmt w:val="bullet"/>
      <w:lvlText w:val="•"/>
      <w:lvlJc w:val="left"/>
      <w:pPr>
        <w:ind w:left="1640" w:hanging="321"/>
      </w:pPr>
      <w:rPr>
        <w:rFonts w:hint="default"/>
      </w:rPr>
    </w:lvl>
    <w:lvl w:ilvl="3">
      <w:start w:val="1"/>
      <w:numFmt w:val="bullet"/>
      <w:lvlText w:val="•"/>
      <w:lvlJc w:val="left"/>
      <w:pPr>
        <w:ind w:left="2700" w:hanging="321"/>
      </w:pPr>
      <w:rPr>
        <w:rFonts w:hint="default"/>
      </w:rPr>
    </w:lvl>
    <w:lvl w:ilvl="4">
      <w:start w:val="1"/>
      <w:numFmt w:val="bullet"/>
      <w:lvlText w:val="•"/>
      <w:lvlJc w:val="left"/>
      <w:pPr>
        <w:ind w:left="3761" w:hanging="321"/>
      </w:pPr>
      <w:rPr>
        <w:rFonts w:hint="default"/>
      </w:rPr>
    </w:lvl>
    <w:lvl w:ilvl="5">
      <w:start w:val="1"/>
      <w:numFmt w:val="bullet"/>
      <w:lvlText w:val="•"/>
      <w:lvlJc w:val="left"/>
      <w:pPr>
        <w:ind w:left="4821" w:hanging="321"/>
      </w:pPr>
      <w:rPr>
        <w:rFonts w:hint="default"/>
      </w:rPr>
    </w:lvl>
    <w:lvl w:ilvl="6">
      <w:start w:val="1"/>
      <w:numFmt w:val="bullet"/>
      <w:lvlText w:val="•"/>
      <w:lvlJc w:val="left"/>
      <w:pPr>
        <w:ind w:left="5882" w:hanging="321"/>
      </w:pPr>
      <w:rPr>
        <w:rFonts w:hint="default"/>
      </w:rPr>
    </w:lvl>
    <w:lvl w:ilvl="7">
      <w:start w:val="1"/>
      <w:numFmt w:val="bullet"/>
      <w:lvlText w:val="•"/>
      <w:lvlJc w:val="left"/>
      <w:pPr>
        <w:ind w:left="6942" w:hanging="321"/>
      </w:pPr>
      <w:rPr>
        <w:rFonts w:hint="default"/>
      </w:rPr>
    </w:lvl>
    <w:lvl w:ilvl="8">
      <w:start w:val="1"/>
      <w:numFmt w:val="bullet"/>
      <w:lvlText w:val="•"/>
      <w:lvlJc w:val="left"/>
      <w:pPr>
        <w:ind w:left="8003" w:hanging="321"/>
      </w:pPr>
      <w:rPr>
        <w:rFonts w:hint="default"/>
      </w:rPr>
    </w:lvl>
  </w:abstractNum>
  <w:abstractNum w:abstractNumId="52">
    <w:multiLevelType w:val="hybridMultilevel"/>
    <w:lvl w:ilvl="0">
      <w:start w:val="1"/>
      <w:numFmt w:val="lowerLetter"/>
      <w:lvlText w:val="(%1)"/>
      <w:lvlJc w:val="left"/>
      <w:pPr>
        <w:ind w:left="1071" w:hanging="567"/>
        <w:jc w:val="left"/>
      </w:pPr>
      <w:rPr>
        <w:rFonts w:hint="default" w:ascii="Arial" w:hAnsi="Arial" w:eastAsia="Arial" w:cs="Arial"/>
        <w:b/>
        <w:bCs/>
        <w:w w:val="99"/>
        <w:sz w:val="18"/>
        <w:szCs w:val="18"/>
      </w:rPr>
    </w:lvl>
    <w:lvl w:ilvl="1">
      <w:start w:val="1"/>
      <w:numFmt w:val="bullet"/>
      <w:lvlText w:val=""/>
      <w:lvlJc w:val="left"/>
      <w:pPr>
        <w:ind w:left="1639" w:hanging="567"/>
      </w:pPr>
      <w:rPr>
        <w:rFonts w:hint="default" w:ascii="Symbol" w:hAnsi="Symbol" w:eastAsia="Symbol" w:cs="Symbol"/>
        <w:w w:val="100"/>
        <w:sz w:val="18"/>
        <w:szCs w:val="18"/>
      </w:rPr>
    </w:lvl>
    <w:lvl w:ilvl="2">
      <w:start w:val="1"/>
      <w:numFmt w:val="bullet"/>
      <w:lvlText w:val="•"/>
      <w:lvlJc w:val="left"/>
      <w:pPr>
        <w:ind w:left="2580" w:hanging="567"/>
      </w:pPr>
      <w:rPr>
        <w:rFonts w:hint="default"/>
      </w:rPr>
    </w:lvl>
    <w:lvl w:ilvl="3">
      <w:start w:val="1"/>
      <w:numFmt w:val="bullet"/>
      <w:lvlText w:val="•"/>
      <w:lvlJc w:val="left"/>
      <w:pPr>
        <w:ind w:left="3520" w:hanging="567"/>
      </w:pPr>
      <w:rPr>
        <w:rFonts w:hint="default"/>
      </w:rPr>
    </w:lvl>
    <w:lvl w:ilvl="4">
      <w:start w:val="1"/>
      <w:numFmt w:val="bullet"/>
      <w:lvlText w:val="•"/>
      <w:lvlJc w:val="left"/>
      <w:pPr>
        <w:ind w:left="4461" w:hanging="567"/>
      </w:pPr>
      <w:rPr>
        <w:rFonts w:hint="default"/>
      </w:rPr>
    </w:lvl>
    <w:lvl w:ilvl="5">
      <w:start w:val="1"/>
      <w:numFmt w:val="bullet"/>
      <w:lvlText w:val="•"/>
      <w:lvlJc w:val="left"/>
      <w:pPr>
        <w:ind w:left="5401" w:hanging="567"/>
      </w:pPr>
      <w:rPr>
        <w:rFonts w:hint="default"/>
      </w:rPr>
    </w:lvl>
    <w:lvl w:ilvl="6">
      <w:start w:val="1"/>
      <w:numFmt w:val="bullet"/>
      <w:lvlText w:val="•"/>
      <w:lvlJc w:val="left"/>
      <w:pPr>
        <w:ind w:left="6342" w:hanging="567"/>
      </w:pPr>
      <w:rPr>
        <w:rFonts w:hint="default"/>
      </w:rPr>
    </w:lvl>
    <w:lvl w:ilvl="7">
      <w:start w:val="1"/>
      <w:numFmt w:val="bullet"/>
      <w:lvlText w:val="•"/>
      <w:lvlJc w:val="left"/>
      <w:pPr>
        <w:ind w:left="7282" w:hanging="567"/>
      </w:pPr>
      <w:rPr>
        <w:rFonts w:hint="default"/>
      </w:rPr>
    </w:lvl>
    <w:lvl w:ilvl="8">
      <w:start w:val="1"/>
      <w:numFmt w:val="bullet"/>
      <w:lvlText w:val="•"/>
      <w:lvlJc w:val="left"/>
      <w:pPr>
        <w:ind w:left="8223" w:hanging="567"/>
      </w:pPr>
      <w:rPr>
        <w:rFonts w:hint="default"/>
      </w:rPr>
    </w:lvl>
  </w:abstractNum>
  <w:abstractNum w:abstractNumId="46">
    <w:multiLevelType w:val="hybridMultilevel"/>
    <w:lvl w:ilvl="0">
      <w:start w:val="1"/>
      <w:numFmt w:val="lowerLetter"/>
      <w:lvlText w:val="(%1)"/>
      <w:lvlJc w:val="left"/>
      <w:pPr>
        <w:ind w:left="1111" w:hanging="567"/>
        <w:jc w:val="left"/>
      </w:pPr>
      <w:rPr>
        <w:rFonts w:hint="default" w:ascii="Arial" w:hAnsi="Arial" w:eastAsia="Arial" w:cs="Arial"/>
        <w:b/>
        <w:bCs/>
        <w:w w:val="99"/>
        <w:sz w:val="18"/>
        <w:szCs w:val="18"/>
      </w:rPr>
    </w:lvl>
    <w:lvl w:ilvl="1">
      <w:start w:val="1"/>
      <w:numFmt w:val="bullet"/>
      <w:lvlText w:val="•"/>
      <w:lvlJc w:val="left"/>
      <w:pPr>
        <w:ind w:left="2026" w:hanging="567"/>
      </w:pPr>
      <w:rPr>
        <w:rFonts w:hint="default"/>
      </w:rPr>
    </w:lvl>
    <w:lvl w:ilvl="2">
      <w:start w:val="1"/>
      <w:numFmt w:val="bullet"/>
      <w:lvlText w:val="•"/>
      <w:lvlJc w:val="left"/>
      <w:pPr>
        <w:ind w:left="2932" w:hanging="567"/>
      </w:pPr>
      <w:rPr>
        <w:rFonts w:hint="default"/>
      </w:rPr>
    </w:lvl>
    <w:lvl w:ilvl="3">
      <w:start w:val="1"/>
      <w:numFmt w:val="bullet"/>
      <w:lvlText w:val="•"/>
      <w:lvlJc w:val="left"/>
      <w:pPr>
        <w:ind w:left="3839" w:hanging="567"/>
      </w:pPr>
      <w:rPr>
        <w:rFonts w:hint="default"/>
      </w:rPr>
    </w:lvl>
    <w:lvl w:ilvl="4">
      <w:start w:val="1"/>
      <w:numFmt w:val="bullet"/>
      <w:lvlText w:val="•"/>
      <w:lvlJc w:val="left"/>
      <w:pPr>
        <w:ind w:left="4745" w:hanging="567"/>
      </w:pPr>
      <w:rPr>
        <w:rFonts w:hint="default"/>
      </w:rPr>
    </w:lvl>
    <w:lvl w:ilvl="5">
      <w:start w:val="1"/>
      <w:numFmt w:val="bullet"/>
      <w:lvlText w:val="•"/>
      <w:lvlJc w:val="left"/>
      <w:pPr>
        <w:ind w:left="5652" w:hanging="567"/>
      </w:pPr>
      <w:rPr>
        <w:rFonts w:hint="default"/>
      </w:rPr>
    </w:lvl>
    <w:lvl w:ilvl="6">
      <w:start w:val="1"/>
      <w:numFmt w:val="bullet"/>
      <w:lvlText w:val="•"/>
      <w:lvlJc w:val="left"/>
      <w:pPr>
        <w:ind w:left="6558" w:hanging="567"/>
      </w:pPr>
      <w:rPr>
        <w:rFonts w:hint="default"/>
      </w:rPr>
    </w:lvl>
    <w:lvl w:ilvl="7">
      <w:start w:val="1"/>
      <w:numFmt w:val="bullet"/>
      <w:lvlText w:val="•"/>
      <w:lvlJc w:val="left"/>
      <w:pPr>
        <w:ind w:left="7465" w:hanging="567"/>
      </w:pPr>
      <w:rPr>
        <w:rFonts w:hint="default"/>
      </w:rPr>
    </w:lvl>
    <w:lvl w:ilvl="8">
      <w:start w:val="1"/>
      <w:numFmt w:val="bullet"/>
      <w:lvlText w:val="•"/>
      <w:lvlJc w:val="left"/>
      <w:pPr>
        <w:ind w:left="8371" w:hanging="567"/>
      </w:pPr>
      <w:rPr>
        <w:rFonts w:hint="default"/>
      </w:rPr>
    </w:lvl>
  </w:abstractNum>
  <w:abstractNum w:abstractNumId="44">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lowerRoman"/>
      <w:lvlText w:val="(%2)"/>
      <w:lvlJc w:val="left"/>
      <w:pPr>
        <w:ind w:left="1517" w:hanging="448"/>
        <w:jc w:val="left"/>
      </w:pPr>
      <w:rPr>
        <w:rFonts w:hint="default" w:ascii="Arial" w:hAnsi="Arial" w:eastAsia="Arial" w:cs="Arial"/>
        <w:b/>
        <w:bCs/>
        <w:i/>
        <w:spacing w:val="-1"/>
        <w:w w:val="99"/>
        <w:sz w:val="18"/>
        <w:szCs w:val="18"/>
      </w:rPr>
    </w:lvl>
    <w:lvl w:ilvl="2">
      <w:start w:val="1"/>
      <w:numFmt w:val="bullet"/>
      <w:lvlText w:val="•"/>
      <w:lvlJc w:val="left"/>
      <w:pPr>
        <w:ind w:left="2478" w:hanging="448"/>
      </w:pPr>
      <w:rPr>
        <w:rFonts w:hint="default"/>
      </w:rPr>
    </w:lvl>
    <w:lvl w:ilvl="3">
      <w:start w:val="1"/>
      <w:numFmt w:val="bullet"/>
      <w:lvlText w:val="•"/>
      <w:lvlJc w:val="left"/>
      <w:pPr>
        <w:ind w:left="3436" w:hanging="448"/>
      </w:pPr>
      <w:rPr>
        <w:rFonts w:hint="default"/>
      </w:rPr>
    </w:lvl>
    <w:lvl w:ilvl="4">
      <w:start w:val="1"/>
      <w:numFmt w:val="bullet"/>
      <w:lvlText w:val="•"/>
      <w:lvlJc w:val="left"/>
      <w:pPr>
        <w:ind w:left="4394" w:hanging="448"/>
      </w:pPr>
      <w:rPr>
        <w:rFonts w:hint="default"/>
      </w:rPr>
    </w:lvl>
    <w:lvl w:ilvl="5">
      <w:start w:val="1"/>
      <w:numFmt w:val="bullet"/>
      <w:lvlText w:val="•"/>
      <w:lvlJc w:val="left"/>
      <w:pPr>
        <w:ind w:left="5353" w:hanging="448"/>
      </w:pPr>
      <w:rPr>
        <w:rFonts w:hint="default"/>
      </w:rPr>
    </w:lvl>
    <w:lvl w:ilvl="6">
      <w:start w:val="1"/>
      <w:numFmt w:val="bullet"/>
      <w:lvlText w:val="•"/>
      <w:lvlJc w:val="left"/>
      <w:pPr>
        <w:ind w:left="6311" w:hanging="448"/>
      </w:pPr>
      <w:rPr>
        <w:rFonts w:hint="default"/>
      </w:rPr>
    </w:lvl>
    <w:lvl w:ilvl="7">
      <w:start w:val="1"/>
      <w:numFmt w:val="bullet"/>
      <w:lvlText w:val="•"/>
      <w:lvlJc w:val="left"/>
      <w:pPr>
        <w:ind w:left="7269" w:hanging="448"/>
      </w:pPr>
      <w:rPr>
        <w:rFonts w:hint="default"/>
      </w:rPr>
    </w:lvl>
    <w:lvl w:ilvl="8">
      <w:start w:val="1"/>
      <w:numFmt w:val="bullet"/>
      <w:lvlText w:val="•"/>
      <w:lvlJc w:val="left"/>
      <w:pPr>
        <w:ind w:left="8227" w:hanging="448"/>
      </w:pPr>
      <w:rPr>
        <w:rFonts w:hint="default"/>
      </w:rPr>
    </w:lvl>
  </w:abstractNum>
  <w:abstractNum w:abstractNumId="30">
    <w:multiLevelType w:val="hybridMultilevel"/>
    <w:lvl w:ilvl="0">
      <w:start w:val="1"/>
      <w:numFmt w:val="lowerLetter"/>
      <w:lvlText w:val="(%1)"/>
      <w:lvlJc w:val="left"/>
      <w:pPr>
        <w:ind w:left="1070" w:hanging="567"/>
        <w:jc w:val="left"/>
      </w:pPr>
      <w:rPr>
        <w:rFonts w:hint="default" w:ascii="Arial" w:hAnsi="Arial" w:eastAsia="Arial" w:cs="Arial"/>
        <w:w w:val="99"/>
        <w:sz w:val="18"/>
        <w:szCs w:val="18"/>
      </w:rPr>
    </w:lvl>
    <w:lvl w:ilvl="1">
      <w:start w:val="1"/>
      <w:numFmt w:val="lowerRoman"/>
      <w:lvlText w:val="(%2)"/>
      <w:lvlJc w:val="left"/>
      <w:pPr>
        <w:ind w:left="1281" w:hanging="212"/>
        <w:jc w:val="left"/>
      </w:pPr>
      <w:rPr>
        <w:rFonts w:hint="default" w:ascii="Arial" w:hAnsi="Arial" w:eastAsia="Arial" w:cs="Arial"/>
        <w:w w:val="99"/>
        <w:sz w:val="18"/>
        <w:szCs w:val="18"/>
      </w:rPr>
    </w:lvl>
    <w:lvl w:ilvl="2">
      <w:start w:val="1"/>
      <w:numFmt w:val="bullet"/>
      <w:lvlText w:val="•"/>
      <w:lvlJc w:val="left"/>
      <w:pPr>
        <w:ind w:left="2253" w:hanging="212"/>
      </w:pPr>
      <w:rPr>
        <w:rFonts w:hint="default"/>
      </w:rPr>
    </w:lvl>
    <w:lvl w:ilvl="3">
      <w:start w:val="1"/>
      <w:numFmt w:val="bullet"/>
      <w:lvlText w:val="•"/>
      <w:lvlJc w:val="left"/>
      <w:pPr>
        <w:ind w:left="3227" w:hanging="212"/>
      </w:pPr>
      <w:rPr>
        <w:rFonts w:hint="default"/>
      </w:rPr>
    </w:lvl>
    <w:lvl w:ilvl="4">
      <w:start w:val="1"/>
      <w:numFmt w:val="bullet"/>
      <w:lvlText w:val="•"/>
      <w:lvlJc w:val="left"/>
      <w:pPr>
        <w:ind w:left="4201" w:hanging="212"/>
      </w:pPr>
      <w:rPr>
        <w:rFonts w:hint="default"/>
      </w:rPr>
    </w:lvl>
    <w:lvl w:ilvl="5">
      <w:start w:val="1"/>
      <w:numFmt w:val="bullet"/>
      <w:lvlText w:val="•"/>
      <w:lvlJc w:val="left"/>
      <w:pPr>
        <w:ind w:left="5175" w:hanging="212"/>
      </w:pPr>
      <w:rPr>
        <w:rFonts w:hint="default"/>
      </w:rPr>
    </w:lvl>
    <w:lvl w:ilvl="6">
      <w:start w:val="1"/>
      <w:numFmt w:val="bullet"/>
      <w:lvlText w:val="•"/>
      <w:lvlJc w:val="left"/>
      <w:pPr>
        <w:ind w:left="6149" w:hanging="212"/>
      </w:pPr>
      <w:rPr>
        <w:rFonts w:hint="default"/>
      </w:rPr>
    </w:lvl>
    <w:lvl w:ilvl="7">
      <w:start w:val="1"/>
      <w:numFmt w:val="bullet"/>
      <w:lvlText w:val="•"/>
      <w:lvlJc w:val="left"/>
      <w:pPr>
        <w:ind w:left="7123" w:hanging="212"/>
      </w:pPr>
      <w:rPr>
        <w:rFonts w:hint="default"/>
      </w:rPr>
    </w:lvl>
    <w:lvl w:ilvl="8">
      <w:start w:val="1"/>
      <w:numFmt w:val="bullet"/>
      <w:lvlText w:val="•"/>
      <w:lvlJc w:val="left"/>
      <w:pPr>
        <w:ind w:left="8097" w:hanging="212"/>
      </w:pPr>
      <w:rPr>
        <w:rFonts w:hint="default"/>
      </w:rPr>
    </w:lvl>
  </w:abstractNum>
  <w:abstractNum w:abstractNumId="26">
    <w:multiLevelType w:val="hybridMultilevel"/>
    <w:lvl w:ilvl="0">
      <w:start w:val="1"/>
      <w:numFmt w:val="lowerLetter"/>
      <w:lvlText w:val="(%1)"/>
      <w:lvlJc w:val="left"/>
      <w:pPr>
        <w:ind w:left="1110" w:hanging="567"/>
        <w:jc w:val="left"/>
      </w:pPr>
      <w:rPr>
        <w:rFonts w:hint="default" w:ascii="Arial" w:hAnsi="Arial" w:eastAsia="Arial" w:cs="Arial"/>
        <w:w w:val="99"/>
        <w:sz w:val="18"/>
        <w:szCs w:val="18"/>
      </w:rPr>
    </w:lvl>
    <w:lvl w:ilvl="1">
      <w:start w:val="1"/>
      <w:numFmt w:val="bullet"/>
      <w:lvlText w:val="•"/>
      <w:lvlJc w:val="left"/>
      <w:pPr>
        <w:ind w:left="2024" w:hanging="567"/>
      </w:pPr>
      <w:rPr>
        <w:rFonts w:hint="default"/>
      </w:rPr>
    </w:lvl>
    <w:lvl w:ilvl="2">
      <w:start w:val="1"/>
      <w:numFmt w:val="bullet"/>
      <w:lvlText w:val="•"/>
      <w:lvlJc w:val="left"/>
      <w:pPr>
        <w:ind w:left="2929" w:hanging="567"/>
      </w:pPr>
      <w:rPr>
        <w:rFonts w:hint="default"/>
      </w:rPr>
    </w:lvl>
    <w:lvl w:ilvl="3">
      <w:start w:val="1"/>
      <w:numFmt w:val="bullet"/>
      <w:lvlText w:val="•"/>
      <w:lvlJc w:val="left"/>
      <w:pPr>
        <w:ind w:left="3833" w:hanging="567"/>
      </w:pPr>
      <w:rPr>
        <w:rFonts w:hint="default"/>
      </w:rPr>
    </w:lvl>
    <w:lvl w:ilvl="4">
      <w:start w:val="1"/>
      <w:numFmt w:val="bullet"/>
      <w:lvlText w:val="•"/>
      <w:lvlJc w:val="left"/>
      <w:pPr>
        <w:ind w:left="4738" w:hanging="567"/>
      </w:pPr>
      <w:rPr>
        <w:rFonts w:hint="default"/>
      </w:rPr>
    </w:lvl>
    <w:lvl w:ilvl="5">
      <w:start w:val="1"/>
      <w:numFmt w:val="bullet"/>
      <w:lvlText w:val="•"/>
      <w:lvlJc w:val="left"/>
      <w:pPr>
        <w:ind w:left="5642" w:hanging="567"/>
      </w:pPr>
      <w:rPr>
        <w:rFonts w:hint="default"/>
      </w:rPr>
    </w:lvl>
    <w:lvl w:ilvl="6">
      <w:start w:val="1"/>
      <w:numFmt w:val="bullet"/>
      <w:lvlText w:val="•"/>
      <w:lvlJc w:val="left"/>
      <w:pPr>
        <w:ind w:left="6547" w:hanging="567"/>
      </w:pPr>
      <w:rPr>
        <w:rFonts w:hint="default"/>
      </w:rPr>
    </w:lvl>
    <w:lvl w:ilvl="7">
      <w:start w:val="1"/>
      <w:numFmt w:val="bullet"/>
      <w:lvlText w:val="•"/>
      <w:lvlJc w:val="left"/>
      <w:pPr>
        <w:ind w:left="7451" w:hanging="567"/>
      </w:pPr>
      <w:rPr>
        <w:rFonts w:hint="default"/>
      </w:rPr>
    </w:lvl>
    <w:lvl w:ilvl="8">
      <w:start w:val="1"/>
      <w:numFmt w:val="bullet"/>
      <w:lvlText w:val="•"/>
      <w:lvlJc w:val="left"/>
      <w:pPr>
        <w:ind w:left="8356" w:hanging="567"/>
      </w:pPr>
      <w:rPr>
        <w:rFonts w:hint="default"/>
      </w:rPr>
    </w:lvl>
  </w:abstractNum>
  <w:abstractNum w:abstractNumId="23">
    <w:multiLevelType w:val="hybridMultilevel"/>
    <w:lvl w:ilvl="0">
      <w:start w:val="1"/>
      <w:numFmt w:val="lowerLetter"/>
      <w:lvlText w:val="(%1)"/>
      <w:lvlJc w:val="left"/>
      <w:pPr>
        <w:ind w:left="1070" w:hanging="567"/>
        <w:jc w:val="left"/>
      </w:pPr>
      <w:rPr>
        <w:rFonts w:hint="default" w:ascii="Arial" w:hAnsi="Arial" w:eastAsia="Arial" w:cs="Arial"/>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9"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8"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7"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6" w:hanging="567"/>
      </w:pPr>
      <w:rPr>
        <w:rFonts w:hint="default"/>
      </w:rPr>
    </w:lvl>
  </w:abstractNum>
  <w:abstractNum w:abstractNumId="18">
    <w:multiLevelType w:val="hybridMultilevel"/>
    <w:lvl w:ilvl="0">
      <w:start w:val="1"/>
      <w:numFmt w:val="lowerRoman"/>
      <w:lvlText w:val="(%1)"/>
      <w:lvlJc w:val="left"/>
      <w:pPr>
        <w:ind w:left="766" w:hanging="212"/>
        <w:jc w:val="left"/>
      </w:pPr>
      <w:rPr>
        <w:rFonts w:hint="default" w:ascii="Arial" w:hAnsi="Arial" w:eastAsia="Arial" w:cs="Arial"/>
        <w:i/>
        <w:w w:val="99"/>
        <w:sz w:val="18"/>
        <w:szCs w:val="18"/>
      </w:rPr>
    </w:lvl>
    <w:lvl w:ilvl="1">
      <w:start w:val="1"/>
      <w:numFmt w:val="bullet"/>
      <w:lvlText w:val="•"/>
      <w:lvlJc w:val="left"/>
      <w:pPr>
        <w:ind w:left="1694" w:hanging="212"/>
      </w:pPr>
      <w:rPr>
        <w:rFonts w:hint="default"/>
      </w:rPr>
    </w:lvl>
    <w:lvl w:ilvl="2">
      <w:start w:val="1"/>
      <w:numFmt w:val="bullet"/>
      <w:lvlText w:val="•"/>
      <w:lvlJc w:val="left"/>
      <w:pPr>
        <w:ind w:left="2629" w:hanging="212"/>
      </w:pPr>
      <w:rPr>
        <w:rFonts w:hint="default"/>
      </w:rPr>
    </w:lvl>
    <w:lvl w:ilvl="3">
      <w:start w:val="1"/>
      <w:numFmt w:val="bullet"/>
      <w:lvlText w:val="•"/>
      <w:lvlJc w:val="left"/>
      <w:pPr>
        <w:ind w:left="3563" w:hanging="212"/>
      </w:pPr>
      <w:rPr>
        <w:rFonts w:hint="default"/>
      </w:rPr>
    </w:lvl>
    <w:lvl w:ilvl="4">
      <w:start w:val="1"/>
      <w:numFmt w:val="bullet"/>
      <w:lvlText w:val="•"/>
      <w:lvlJc w:val="left"/>
      <w:pPr>
        <w:ind w:left="4498" w:hanging="212"/>
      </w:pPr>
      <w:rPr>
        <w:rFonts w:hint="default"/>
      </w:rPr>
    </w:lvl>
    <w:lvl w:ilvl="5">
      <w:start w:val="1"/>
      <w:numFmt w:val="bullet"/>
      <w:lvlText w:val="•"/>
      <w:lvlJc w:val="left"/>
      <w:pPr>
        <w:ind w:left="5432" w:hanging="212"/>
      </w:pPr>
      <w:rPr>
        <w:rFonts w:hint="default"/>
      </w:rPr>
    </w:lvl>
    <w:lvl w:ilvl="6">
      <w:start w:val="1"/>
      <w:numFmt w:val="bullet"/>
      <w:lvlText w:val="•"/>
      <w:lvlJc w:val="left"/>
      <w:pPr>
        <w:ind w:left="6367" w:hanging="212"/>
      </w:pPr>
      <w:rPr>
        <w:rFonts w:hint="default"/>
      </w:rPr>
    </w:lvl>
    <w:lvl w:ilvl="7">
      <w:start w:val="1"/>
      <w:numFmt w:val="bullet"/>
      <w:lvlText w:val="•"/>
      <w:lvlJc w:val="left"/>
      <w:pPr>
        <w:ind w:left="7301" w:hanging="212"/>
      </w:pPr>
      <w:rPr>
        <w:rFonts w:hint="default"/>
      </w:rPr>
    </w:lvl>
    <w:lvl w:ilvl="8">
      <w:start w:val="1"/>
      <w:numFmt w:val="bullet"/>
      <w:lvlText w:val="•"/>
      <w:lvlJc w:val="left"/>
      <w:pPr>
        <w:ind w:left="8236" w:hanging="212"/>
      </w:pPr>
      <w:rPr>
        <w:rFonts w:hint="default"/>
      </w:rPr>
    </w:lvl>
  </w:abstractNum>
  <w:abstractNum w:abstractNumId="10">
    <w:multiLevelType w:val="hybridMultilevel"/>
    <w:lvl w:ilvl="0">
      <w:start w:val="1"/>
      <w:numFmt w:val="bullet"/>
      <w:lvlText w:val="-"/>
      <w:lvlJc w:val="left"/>
      <w:pPr>
        <w:ind w:left="716" w:hanging="162"/>
      </w:pPr>
      <w:rPr>
        <w:rFonts w:hint="default" w:ascii="Arial" w:hAnsi="Arial" w:eastAsia="Arial" w:cs="Arial"/>
        <w:w w:val="99"/>
        <w:sz w:val="18"/>
        <w:szCs w:val="18"/>
      </w:rPr>
    </w:lvl>
    <w:lvl w:ilvl="1">
      <w:start w:val="1"/>
      <w:numFmt w:val="bullet"/>
      <w:lvlText w:val="•"/>
      <w:lvlJc w:val="left"/>
      <w:pPr>
        <w:ind w:left="1658" w:hanging="162"/>
      </w:pPr>
      <w:rPr>
        <w:rFonts w:hint="default"/>
      </w:rPr>
    </w:lvl>
    <w:lvl w:ilvl="2">
      <w:start w:val="1"/>
      <w:numFmt w:val="bullet"/>
      <w:lvlText w:val="•"/>
      <w:lvlJc w:val="left"/>
      <w:pPr>
        <w:ind w:left="2597" w:hanging="162"/>
      </w:pPr>
      <w:rPr>
        <w:rFonts w:hint="default"/>
      </w:rPr>
    </w:lvl>
    <w:lvl w:ilvl="3">
      <w:start w:val="1"/>
      <w:numFmt w:val="bullet"/>
      <w:lvlText w:val="•"/>
      <w:lvlJc w:val="left"/>
      <w:pPr>
        <w:ind w:left="3535" w:hanging="162"/>
      </w:pPr>
      <w:rPr>
        <w:rFonts w:hint="default"/>
      </w:rPr>
    </w:lvl>
    <w:lvl w:ilvl="4">
      <w:start w:val="1"/>
      <w:numFmt w:val="bullet"/>
      <w:lvlText w:val="•"/>
      <w:lvlJc w:val="left"/>
      <w:pPr>
        <w:ind w:left="4474" w:hanging="162"/>
      </w:pPr>
      <w:rPr>
        <w:rFonts w:hint="default"/>
      </w:rPr>
    </w:lvl>
    <w:lvl w:ilvl="5">
      <w:start w:val="1"/>
      <w:numFmt w:val="bullet"/>
      <w:lvlText w:val="•"/>
      <w:lvlJc w:val="left"/>
      <w:pPr>
        <w:ind w:left="5412" w:hanging="162"/>
      </w:pPr>
      <w:rPr>
        <w:rFonts w:hint="default"/>
      </w:rPr>
    </w:lvl>
    <w:lvl w:ilvl="6">
      <w:start w:val="1"/>
      <w:numFmt w:val="bullet"/>
      <w:lvlText w:val="•"/>
      <w:lvlJc w:val="left"/>
      <w:pPr>
        <w:ind w:left="6351" w:hanging="162"/>
      </w:pPr>
      <w:rPr>
        <w:rFonts w:hint="default"/>
      </w:rPr>
    </w:lvl>
    <w:lvl w:ilvl="7">
      <w:start w:val="1"/>
      <w:numFmt w:val="bullet"/>
      <w:lvlText w:val="•"/>
      <w:lvlJc w:val="left"/>
      <w:pPr>
        <w:ind w:left="7289" w:hanging="162"/>
      </w:pPr>
      <w:rPr>
        <w:rFonts w:hint="default"/>
      </w:rPr>
    </w:lvl>
    <w:lvl w:ilvl="8">
      <w:start w:val="1"/>
      <w:numFmt w:val="bullet"/>
      <w:lvlText w:val="•"/>
      <w:lvlJc w:val="left"/>
      <w:pPr>
        <w:ind w:left="8228" w:hanging="162"/>
      </w:pPr>
      <w:rPr>
        <w:rFonts w:hint="default"/>
      </w:rPr>
    </w:lvl>
  </w:abstractNum>
  <w:abstractNum w:abstractNumId="6">
    <w:multiLevelType w:val="hybridMultilevel"/>
    <w:lvl w:ilvl="0">
      <w:start w:val="1"/>
      <w:numFmt w:val="bullet"/>
      <w:lvlText w:val="-"/>
      <w:lvlJc w:val="left"/>
      <w:pPr>
        <w:ind w:left="787" w:hanging="284"/>
      </w:pPr>
      <w:rPr>
        <w:rFonts w:hint="default" w:ascii="Arial" w:hAnsi="Arial" w:eastAsia="Arial" w:cs="Arial"/>
        <w:w w:val="99"/>
        <w:sz w:val="18"/>
        <w:szCs w:val="18"/>
      </w:rPr>
    </w:lvl>
    <w:lvl w:ilvl="1">
      <w:start w:val="1"/>
      <w:numFmt w:val="bullet"/>
      <w:lvlText w:val="•"/>
      <w:lvlJc w:val="left"/>
      <w:pPr>
        <w:ind w:left="1710" w:hanging="284"/>
      </w:pPr>
      <w:rPr>
        <w:rFonts w:hint="default"/>
      </w:rPr>
    </w:lvl>
    <w:lvl w:ilvl="2">
      <w:start w:val="1"/>
      <w:numFmt w:val="bullet"/>
      <w:lvlText w:val="•"/>
      <w:lvlJc w:val="left"/>
      <w:pPr>
        <w:ind w:left="2641" w:hanging="284"/>
      </w:pPr>
      <w:rPr>
        <w:rFonts w:hint="default"/>
      </w:rPr>
    </w:lvl>
    <w:lvl w:ilvl="3">
      <w:start w:val="1"/>
      <w:numFmt w:val="bullet"/>
      <w:lvlText w:val="•"/>
      <w:lvlJc w:val="left"/>
      <w:pPr>
        <w:ind w:left="3571" w:hanging="284"/>
      </w:pPr>
      <w:rPr>
        <w:rFonts w:hint="default"/>
      </w:rPr>
    </w:lvl>
    <w:lvl w:ilvl="4">
      <w:start w:val="1"/>
      <w:numFmt w:val="bullet"/>
      <w:lvlText w:val="•"/>
      <w:lvlJc w:val="left"/>
      <w:pPr>
        <w:ind w:left="4502" w:hanging="284"/>
      </w:pPr>
      <w:rPr>
        <w:rFonts w:hint="default"/>
      </w:rPr>
    </w:lvl>
    <w:lvl w:ilvl="5">
      <w:start w:val="1"/>
      <w:numFmt w:val="bullet"/>
      <w:lvlText w:val="•"/>
      <w:lvlJc w:val="left"/>
      <w:pPr>
        <w:ind w:left="5432" w:hanging="284"/>
      </w:pPr>
      <w:rPr>
        <w:rFonts w:hint="default"/>
      </w:rPr>
    </w:lvl>
    <w:lvl w:ilvl="6">
      <w:start w:val="1"/>
      <w:numFmt w:val="bullet"/>
      <w:lvlText w:val="•"/>
      <w:lvlJc w:val="left"/>
      <w:pPr>
        <w:ind w:left="6363" w:hanging="284"/>
      </w:pPr>
      <w:rPr>
        <w:rFonts w:hint="default"/>
      </w:rPr>
    </w:lvl>
    <w:lvl w:ilvl="7">
      <w:start w:val="1"/>
      <w:numFmt w:val="bullet"/>
      <w:lvlText w:val="•"/>
      <w:lvlJc w:val="left"/>
      <w:pPr>
        <w:ind w:left="7293" w:hanging="284"/>
      </w:pPr>
      <w:rPr>
        <w:rFonts w:hint="default"/>
      </w:rPr>
    </w:lvl>
    <w:lvl w:ilvl="8">
      <w:start w:val="1"/>
      <w:numFmt w:val="bullet"/>
      <w:lvlText w:val="•"/>
      <w:lvlJc w:val="left"/>
      <w:pPr>
        <w:ind w:left="8224" w:hanging="284"/>
      </w:pPr>
      <w:rPr>
        <w:rFonts w:hint="default"/>
      </w:rPr>
    </w:lvl>
  </w:abstractNum>
  <w:abstractNum w:abstractNumId="3">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lowerRoman"/>
      <w:lvlText w:val="%2."/>
      <w:lvlJc w:val="left"/>
      <w:pPr>
        <w:ind w:left="504" w:hanging="183"/>
        <w:jc w:val="left"/>
      </w:pPr>
      <w:rPr>
        <w:rFonts w:hint="default" w:ascii="Arial" w:hAnsi="Arial" w:eastAsia="Arial" w:cs="Arial"/>
        <w:spacing w:val="-9"/>
        <w:w w:val="99"/>
        <w:sz w:val="18"/>
        <w:szCs w:val="18"/>
      </w:rPr>
    </w:lvl>
    <w:lvl w:ilvl="2">
      <w:start w:val="1"/>
      <w:numFmt w:val="bullet"/>
      <w:lvlText w:val="•"/>
      <w:lvlJc w:val="left"/>
      <w:pPr>
        <w:ind w:left="2085" w:hanging="183"/>
      </w:pPr>
      <w:rPr>
        <w:rFonts w:hint="default"/>
      </w:rPr>
    </w:lvl>
    <w:lvl w:ilvl="3">
      <w:start w:val="1"/>
      <w:numFmt w:val="bullet"/>
      <w:lvlText w:val="•"/>
      <w:lvlJc w:val="left"/>
      <w:pPr>
        <w:ind w:left="3090" w:hanging="183"/>
      </w:pPr>
      <w:rPr>
        <w:rFonts w:hint="default"/>
      </w:rPr>
    </w:lvl>
    <w:lvl w:ilvl="4">
      <w:start w:val="1"/>
      <w:numFmt w:val="bullet"/>
      <w:lvlText w:val="•"/>
      <w:lvlJc w:val="left"/>
      <w:pPr>
        <w:ind w:left="4095" w:hanging="183"/>
      </w:pPr>
      <w:rPr>
        <w:rFonts w:hint="default"/>
      </w:rPr>
    </w:lvl>
    <w:lvl w:ilvl="5">
      <w:start w:val="1"/>
      <w:numFmt w:val="bullet"/>
      <w:lvlText w:val="•"/>
      <w:lvlJc w:val="left"/>
      <w:pPr>
        <w:ind w:left="5100" w:hanging="183"/>
      </w:pPr>
      <w:rPr>
        <w:rFonts w:hint="default"/>
      </w:rPr>
    </w:lvl>
    <w:lvl w:ilvl="6">
      <w:start w:val="1"/>
      <w:numFmt w:val="bullet"/>
      <w:lvlText w:val="•"/>
      <w:lvlJc w:val="left"/>
      <w:pPr>
        <w:ind w:left="6105" w:hanging="183"/>
      </w:pPr>
      <w:rPr>
        <w:rFonts w:hint="default"/>
      </w:rPr>
    </w:lvl>
    <w:lvl w:ilvl="7">
      <w:start w:val="1"/>
      <w:numFmt w:val="bullet"/>
      <w:lvlText w:val="•"/>
      <w:lvlJc w:val="left"/>
      <w:pPr>
        <w:ind w:left="7110" w:hanging="183"/>
      </w:pPr>
      <w:rPr>
        <w:rFonts w:hint="default"/>
      </w:rPr>
    </w:lvl>
    <w:lvl w:ilvl="8">
      <w:start w:val="1"/>
      <w:numFmt w:val="bullet"/>
      <w:lvlText w:val="•"/>
      <w:lvlJc w:val="left"/>
      <w:pPr>
        <w:ind w:left="8115" w:hanging="183"/>
      </w:pPr>
      <w:rPr>
        <w:rFonts w:hint="default"/>
      </w:rPr>
    </w:lvl>
  </w:abstractNum>
  <w:abstractNum w:abstractNumId="1">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9"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8"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7"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6" w:hanging="567"/>
      </w:pPr>
      <w:rPr>
        <w:rFonts w:hint="default"/>
      </w:rPr>
    </w:lvl>
  </w:abstractNum>
  <w:abstractNum w:abstractNumId="99">
    <w:multiLevelType w:val="hybridMultilevel"/>
    <w:lvl w:ilvl="0">
      <w:start w:val="4"/>
      <w:numFmt w:val="decimal"/>
      <w:lvlText w:val="%1"/>
      <w:lvlJc w:val="left"/>
      <w:pPr>
        <w:ind w:left="290" w:hanging="100"/>
        <w:jc w:val="left"/>
      </w:pPr>
      <w:rPr>
        <w:rFonts w:hint="default" w:ascii="Calibri" w:hAnsi="Calibri" w:eastAsia="Calibri" w:cs="Calibri"/>
        <w:w w:val="104"/>
        <w:position w:val="7"/>
        <w:sz w:val="13"/>
        <w:szCs w:val="13"/>
      </w:rPr>
    </w:lvl>
    <w:lvl w:ilvl="1">
      <w:start w:val="1"/>
      <w:numFmt w:val="bullet"/>
      <w:lvlText w:val=""/>
      <w:lvlJc w:val="left"/>
      <w:pPr>
        <w:ind w:left="904" w:hanging="360"/>
      </w:pPr>
      <w:rPr>
        <w:rFonts w:hint="default" w:ascii="Symbol" w:hAnsi="Symbol" w:eastAsia="Symbol" w:cs="Symbol"/>
        <w:w w:val="100"/>
      </w:rPr>
    </w:lvl>
    <w:lvl w:ilvl="2">
      <w:start w:val="1"/>
      <w:numFmt w:val="bullet"/>
      <w:lvlText w:val="•"/>
      <w:lvlJc w:val="left"/>
      <w:pPr>
        <w:ind w:left="1829" w:hanging="360"/>
      </w:pPr>
      <w:rPr>
        <w:rFonts w:hint="default"/>
      </w:rPr>
    </w:lvl>
    <w:lvl w:ilvl="3">
      <w:start w:val="1"/>
      <w:numFmt w:val="bullet"/>
      <w:lvlText w:val="•"/>
      <w:lvlJc w:val="left"/>
      <w:pPr>
        <w:ind w:left="2758" w:hanging="360"/>
      </w:pPr>
      <w:rPr>
        <w:rFonts w:hint="default"/>
      </w:rPr>
    </w:lvl>
    <w:lvl w:ilvl="4">
      <w:start w:val="1"/>
      <w:numFmt w:val="bullet"/>
      <w:lvlText w:val="•"/>
      <w:lvlJc w:val="left"/>
      <w:pPr>
        <w:ind w:left="3688" w:hanging="360"/>
      </w:pPr>
      <w:rPr>
        <w:rFonts w:hint="default"/>
      </w:rPr>
    </w:lvl>
    <w:lvl w:ilvl="5">
      <w:start w:val="1"/>
      <w:numFmt w:val="bullet"/>
      <w:lvlText w:val="•"/>
      <w:lvlJc w:val="left"/>
      <w:pPr>
        <w:ind w:left="4617" w:hanging="360"/>
      </w:pPr>
      <w:rPr>
        <w:rFonts w:hint="default"/>
      </w:rPr>
    </w:lvl>
    <w:lvl w:ilvl="6">
      <w:start w:val="1"/>
      <w:numFmt w:val="bullet"/>
      <w:lvlText w:val="•"/>
      <w:lvlJc w:val="left"/>
      <w:pPr>
        <w:ind w:left="5546" w:hanging="360"/>
      </w:pPr>
      <w:rPr>
        <w:rFonts w:hint="default"/>
      </w:rPr>
    </w:lvl>
    <w:lvl w:ilvl="7">
      <w:start w:val="1"/>
      <w:numFmt w:val="bullet"/>
      <w:lvlText w:val="•"/>
      <w:lvlJc w:val="left"/>
      <w:pPr>
        <w:ind w:left="6476" w:hanging="360"/>
      </w:pPr>
      <w:rPr>
        <w:rFonts w:hint="default"/>
      </w:rPr>
    </w:lvl>
    <w:lvl w:ilvl="8">
      <w:start w:val="1"/>
      <w:numFmt w:val="bullet"/>
      <w:lvlText w:val="•"/>
      <w:lvlJc w:val="left"/>
      <w:pPr>
        <w:ind w:left="7405" w:hanging="360"/>
      </w:pPr>
      <w:rPr>
        <w:rFonts w:hint="default"/>
      </w:rPr>
    </w:lvl>
  </w:abstractNum>
  <w:abstractNum w:abstractNumId="98">
    <w:multiLevelType w:val="hybridMultilevel"/>
    <w:lvl w:ilvl="0">
      <w:start w:val="1"/>
      <w:numFmt w:val="bullet"/>
      <w:lvlText w:val="•"/>
      <w:lvlJc w:val="left"/>
      <w:pPr>
        <w:ind w:left="1242" w:hanging="567"/>
      </w:pPr>
      <w:rPr>
        <w:rFonts w:hint="default" w:ascii="Arial" w:hAnsi="Arial" w:eastAsia="Arial" w:cs="Arial"/>
        <w:w w:val="99"/>
        <w:sz w:val="18"/>
        <w:szCs w:val="18"/>
      </w:rPr>
    </w:lvl>
    <w:lvl w:ilvl="1">
      <w:start w:val="1"/>
      <w:numFmt w:val="bullet"/>
      <w:lvlText w:val="•"/>
      <w:lvlJc w:val="left"/>
      <w:pPr>
        <w:ind w:left="2158" w:hanging="567"/>
      </w:pPr>
      <w:rPr>
        <w:rFonts w:hint="default"/>
      </w:rPr>
    </w:lvl>
    <w:lvl w:ilvl="2">
      <w:start w:val="1"/>
      <w:numFmt w:val="bullet"/>
      <w:lvlText w:val="•"/>
      <w:lvlJc w:val="left"/>
      <w:pPr>
        <w:ind w:left="3077" w:hanging="567"/>
      </w:pPr>
      <w:rPr>
        <w:rFonts w:hint="default"/>
      </w:rPr>
    </w:lvl>
    <w:lvl w:ilvl="3">
      <w:start w:val="1"/>
      <w:numFmt w:val="bullet"/>
      <w:lvlText w:val="•"/>
      <w:lvlJc w:val="left"/>
      <w:pPr>
        <w:ind w:left="3995" w:hanging="567"/>
      </w:pPr>
      <w:rPr>
        <w:rFonts w:hint="default"/>
      </w:rPr>
    </w:lvl>
    <w:lvl w:ilvl="4">
      <w:start w:val="1"/>
      <w:numFmt w:val="bullet"/>
      <w:lvlText w:val="•"/>
      <w:lvlJc w:val="left"/>
      <w:pPr>
        <w:ind w:left="4914" w:hanging="567"/>
      </w:pPr>
      <w:rPr>
        <w:rFonts w:hint="default"/>
      </w:rPr>
    </w:lvl>
    <w:lvl w:ilvl="5">
      <w:start w:val="1"/>
      <w:numFmt w:val="bullet"/>
      <w:lvlText w:val="•"/>
      <w:lvlJc w:val="left"/>
      <w:pPr>
        <w:ind w:left="5833" w:hanging="567"/>
      </w:pPr>
      <w:rPr>
        <w:rFonts w:hint="default"/>
      </w:rPr>
    </w:lvl>
    <w:lvl w:ilvl="6">
      <w:start w:val="1"/>
      <w:numFmt w:val="bullet"/>
      <w:lvlText w:val="•"/>
      <w:lvlJc w:val="left"/>
      <w:pPr>
        <w:ind w:left="6751" w:hanging="567"/>
      </w:pPr>
      <w:rPr>
        <w:rFonts w:hint="default"/>
      </w:rPr>
    </w:lvl>
    <w:lvl w:ilvl="7">
      <w:start w:val="1"/>
      <w:numFmt w:val="bullet"/>
      <w:lvlText w:val="•"/>
      <w:lvlJc w:val="left"/>
      <w:pPr>
        <w:ind w:left="7670" w:hanging="567"/>
      </w:pPr>
      <w:rPr>
        <w:rFonts w:hint="default"/>
      </w:rPr>
    </w:lvl>
    <w:lvl w:ilvl="8">
      <w:start w:val="1"/>
      <w:numFmt w:val="bullet"/>
      <w:lvlText w:val="•"/>
      <w:lvlJc w:val="left"/>
      <w:pPr>
        <w:ind w:left="8589" w:hanging="567"/>
      </w:pPr>
      <w:rPr>
        <w:rFonts w:hint="default"/>
      </w:rPr>
    </w:lvl>
  </w:abstractNum>
  <w:abstractNum w:abstractNumId="97">
    <w:multiLevelType w:val="hybridMultilevel"/>
    <w:lvl w:ilvl="0">
      <w:start w:val="1"/>
      <w:numFmt w:val="decimal"/>
      <w:lvlText w:val="%1."/>
      <w:lvlJc w:val="left"/>
      <w:pPr>
        <w:ind w:left="544" w:hanging="393"/>
        <w:jc w:val="left"/>
      </w:pPr>
      <w:rPr>
        <w:rFonts w:hint="default" w:ascii="Arial" w:hAnsi="Arial" w:eastAsia="Arial" w:cs="Arial"/>
        <w:w w:val="99"/>
        <w:sz w:val="18"/>
        <w:szCs w:val="18"/>
      </w:rPr>
    </w:lvl>
    <w:lvl w:ilvl="1">
      <w:start w:val="1"/>
      <w:numFmt w:val="lowerLetter"/>
      <w:lvlText w:val="%2."/>
      <w:lvlJc w:val="left"/>
      <w:pPr>
        <w:ind w:left="941" w:hanging="398"/>
        <w:jc w:val="left"/>
      </w:pPr>
      <w:rPr>
        <w:rFonts w:hint="default" w:ascii="Arial" w:hAnsi="Arial" w:eastAsia="Arial" w:cs="Arial"/>
        <w:spacing w:val="-17"/>
        <w:w w:val="99"/>
        <w:sz w:val="18"/>
        <w:szCs w:val="18"/>
      </w:rPr>
    </w:lvl>
    <w:lvl w:ilvl="2">
      <w:start w:val="1"/>
      <w:numFmt w:val="bullet"/>
      <w:lvlText w:val="•"/>
      <w:lvlJc w:val="left"/>
      <w:pPr>
        <w:ind w:left="1960" w:hanging="398"/>
      </w:pPr>
      <w:rPr>
        <w:rFonts w:hint="default"/>
      </w:rPr>
    </w:lvl>
    <w:lvl w:ilvl="3">
      <w:start w:val="1"/>
      <w:numFmt w:val="bullet"/>
      <w:lvlText w:val="•"/>
      <w:lvlJc w:val="left"/>
      <w:pPr>
        <w:ind w:left="2980" w:hanging="398"/>
      </w:pPr>
      <w:rPr>
        <w:rFonts w:hint="default"/>
      </w:rPr>
    </w:lvl>
    <w:lvl w:ilvl="4">
      <w:start w:val="1"/>
      <w:numFmt w:val="bullet"/>
      <w:lvlText w:val="•"/>
      <w:lvlJc w:val="left"/>
      <w:pPr>
        <w:ind w:left="4001" w:hanging="398"/>
      </w:pPr>
      <w:rPr>
        <w:rFonts w:hint="default"/>
      </w:rPr>
    </w:lvl>
    <w:lvl w:ilvl="5">
      <w:start w:val="1"/>
      <w:numFmt w:val="bullet"/>
      <w:lvlText w:val="•"/>
      <w:lvlJc w:val="left"/>
      <w:pPr>
        <w:ind w:left="5021" w:hanging="398"/>
      </w:pPr>
      <w:rPr>
        <w:rFonts w:hint="default"/>
      </w:rPr>
    </w:lvl>
    <w:lvl w:ilvl="6">
      <w:start w:val="1"/>
      <w:numFmt w:val="bullet"/>
      <w:lvlText w:val="•"/>
      <w:lvlJc w:val="left"/>
      <w:pPr>
        <w:ind w:left="6042" w:hanging="398"/>
      </w:pPr>
      <w:rPr>
        <w:rFonts w:hint="default"/>
      </w:rPr>
    </w:lvl>
    <w:lvl w:ilvl="7">
      <w:start w:val="1"/>
      <w:numFmt w:val="bullet"/>
      <w:lvlText w:val="•"/>
      <w:lvlJc w:val="left"/>
      <w:pPr>
        <w:ind w:left="7062" w:hanging="398"/>
      </w:pPr>
      <w:rPr>
        <w:rFonts w:hint="default"/>
      </w:rPr>
    </w:lvl>
    <w:lvl w:ilvl="8">
      <w:start w:val="1"/>
      <w:numFmt w:val="bullet"/>
      <w:lvlText w:val="•"/>
      <w:lvlJc w:val="left"/>
      <w:pPr>
        <w:ind w:left="8083" w:hanging="398"/>
      </w:pPr>
      <w:rPr>
        <w:rFonts w:hint="default"/>
      </w:rPr>
    </w:lvl>
  </w:abstractNum>
  <w:abstractNum w:abstractNumId="96">
    <w:multiLevelType w:val="hybridMultilevel"/>
    <w:lvl w:ilvl="0">
      <w:start w:val="1"/>
      <w:numFmt w:val="lowerRoman"/>
      <w:lvlText w:val="(%1)"/>
      <w:lvlJc w:val="left"/>
      <w:pPr>
        <w:ind w:left="782" w:hanging="210"/>
        <w:jc w:val="left"/>
      </w:pPr>
      <w:rPr>
        <w:rFonts w:hint="default" w:ascii="Arial" w:hAnsi="Arial" w:eastAsia="Arial" w:cs="Arial"/>
        <w:w w:val="99"/>
        <w:sz w:val="18"/>
        <w:szCs w:val="18"/>
      </w:rPr>
    </w:lvl>
    <w:lvl w:ilvl="1">
      <w:start w:val="1"/>
      <w:numFmt w:val="bullet"/>
      <w:lvlText w:val="•"/>
      <w:lvlJc w:val="left"/>
      <w:pPr>
        <w:ind w:left="1714" w:hanging="210"/>
      </w:pPr>
      <w:rPr>
        <w:rFonts w:hint="default"/>
      </w:rPr>
    </w:lvl>
    <w:lvl w:ilvl="2">
      <w:start w:val="1"/>
      <w:numFmt w:val="bullet"/>
      <w:lvlText w:val="•"/>
      <w:lvlJc w:val="left"/>
      <w:pPr>
        <w:ind w:left="2648" w:hanging="210"/>
      </w:pPr>
      <w:rPr>
        <w:rFonts w:hint="default"/>
      </w:rPr>
    </w:lvl>
    <w:lvl w:ilvl="3">
      <w:start w:val="1"/>
      <w:numFmt w:val="bullet"/>
      <w:lvlText w:val="•"/>
      <w:lvlJc w:val="left"/>
      <w:pPr>
        <w:ind w:left="3583" w:hanging="210"/>
      </w:pPr>
      <w:rPr>
        <w:rFonts w:hint="default"/>
      </w:rPr>
    </w:lvl>
    <w:lvl w:ilvl="4">
      <w:start w:val="1"/>
      <w:numFmt w:val="bullet"/>
      <w:lvlText w:val="•"/>
      <w:lvlJc w:val="left"/>
      <w:pPr>
        <w:ind w:left="4517" w:hanging="210"/>
      </w:pPr>
      <w:rPr>
        <w:rFonts w:hint="default"/>
      </w:rPr>
    </w:lvl>
    <w:lvl w:ilvl="5">
      <w:start w:val="1"/>
      <w:numFmt w:val="bullet"/>
      <w:lvlText w:val="•"/>
      <w:lvlJc w:val="left"/>
      <w:pPr>
        <w:ind w:left="5452" w:hanging="210"/>
      </w:pPr>
      <w:rPr>
        <w:rFonts w:hint="default"/>
      </w:rPr>
    </w:lvl>
    <w:lvl w:ilvl="6">
      <w:start w:val="1"/>
      <w:numFmt w:val="bullet"/>
      <w:lvlText w:val="•"/>
      <w:lvlJc w:val="left"/>
      <w:pPr>
        <w:ind w:left="6386" w:hanging="210"/>
      </w:pPr>
      <w:rPr>
        <w:rFonts w:hint="default"/>
      </w:rPr>
    </w:lvl>
    <w:lvl w:ilvl="7">
      <w:start w:val="1"/>
      <w:numFmt w:val="bullet"/>
      <w:lvlText w:val="•"/>
      <w:lvlJc w:val="left"/>
      <w:pPr>
        <w:ind w:left="7321" w:hanging="210"/>
      </w:pPr>
      <w:rPr>
        <w:rFonts w:hint="default"/>
      </w:rPr>
    </w:lvl>
    <w:lvl w:ilvl="8">
      <w:start w:val="1"/>
      <w:numFmt w:val="bullet"/>
      <w:lvlText w:val="•"/>
      <w:lvlJc w:val="left"/>
      <w:pPr>
        <w:ind w:left="8255" w:hanging="210"/>
      </w:pPr>
      <w:rPr>
        <w:rFonts w:hint="default"/>
      </w:rPr>
    </w:lvl>
  </w:abstractNum>
  <w:abstractNum w:abstractNumId="95">
    <w:multiLevelType w:val="hybridMultilevel"/>
    <w:lvl w:ilvl="0">
      <w:start w:val="13"/>
      <w:numFmt w:val="decimal"/>
      <w:lvlText w:val="%1"/>
      <w:lvlJc w:val="left"/>
      <w:pPr>
        <w:ind w:left="545" w:hanging="396"/>
        <w:jc w:val="left"/>
      </w:pPr>
      <w:rPr>
        <w:rFonts w:hint="default" w:ascii="Arial" w:hAnsi="Arial" w:eastAsia="Arial" w:cs="Arial"/>
        <w:b/>
        <w:bCs/>
        <w:w w:val="99"/>
        <w:sz w:val="18"/>
        <w:szCs w:val="18"/>
      </w:rPr>
    </w:lvl>
    <w:lvl w:ilvl="1">
      <w:start w:val="1"/>
      <w:numFmt w:val="lowerLetter"/>
      <w:lvlText w:val="(%2)"/>
      <w:lvlJc w:val="left"/>
      <w:pPr>
        <w:ind w:left="1111" w:hanging="567"/>
        <w:jc w:val="left"/>
      </w:pPr>
      <w:rPr>
        <w:rFonts w:hint="default" w:ascii="Arial" w:hAnsi="Arial" w:eastAsia="Arial" w:cs="Arial"/>
        <w:b/>
        <w:bCs/>
        <w:w w:val="99"/>
        <w:sz w:val="18"/>
        <w:szCs w:val="18"/>
      </w:rPr>
    </w:lvl>
    <w:lvl w:ilvl="2">
      <w:start w:val="1"/>
      <w:numFmt w:val="bullet"/>
      <w:lvlText w:val="•"/>
      <w:lvlJc w:val="left"/>
      <w:pPr>
        <w:ind w:left="2120" w:hanging="567"/>
      </w:pPr>
      <w:rPr>
        <w:rFonts w:hint="default"/>
      </w:rPr>
    </w:lvl>
    <w:lvl w:ilvl="3">
      <w:start w:val="1"/>
      <w:numFmt w:val="bullet"/>
      <w:lvlText w:val="•"/>
      <w:lvlJc w:val="left"/>
      <w:pPr>
        <w:ind w:left="3120" w:hanging="567"/>
      </w:pPr>
      <w:rPr>
        <w:rFonts w:hint="default"/>
      </w:rPr>
    </w:lvl>
    <w:lvl w:ilvl="4">
      <w:start w:val="1"/>
      <w:numFmt w:val="bullet"/>
      <w:lvlText w:val="•"/>
      <w:lvlJc w:val="left"/>
      <w:pPr>
        <w:ind w:left="4121" w:hanging="567"/>
      </w:pPr>
      <w:rPr>
        <w:rFonts w:hint="default"/>
      </w:rPr>
    </w:lvl>
    <w:lvl w:ilvl="5">
      <w:start w:val="1"/>
      <w:numFmt w:val="bullet"/>
      <w:lvlText w:val="•"/>
      <w:lvlJc w:val="left"/>
      <w:pPr>
        <w:ind w:left="5121" w:hanging="567"/>
      </w:pPr>
      <w:rPr>
        <w:rFonts w:hint="default"/>
      </w:rPr>
    </w:lvl>
    <w:lvl w:ilvl="6">
      <w:start w:val="1"/>
      <w:numFmt w:val="bullet"/>
      <w:lvlText w:val="•"/>
      <w:lvlJc w:val="left"/>
      <w:pPr>
        <w:ind w:left="6122" w:hanging="567"/>
      </w:pPr>
      <w:rPr>
        <w:rFonts w:hint="default"/>
      </w:rPr>
    </w:lvl>
    <w:lvl w:ilvl="7">
      <w:start w:val="1"/>
      <w:numFmt w:val="bullet"/>
      <w:lvlText w:val="•"/>
      <w:lvlJc w:val="left"/>
      <w:pPr>
        <w:ind w:left="7122" w:hanging="567"/>
      </w:pPr>
      <w:rPr>
        <w:rFonts w:hint="default"/>
      </w:rPr>
    </w:lvl>
    <w:lvl w:ilvl="8">
      <w:start w:val="1"/>
      <w:numFmt w:val="bullet"/>
      <w:lvlText w:val="•"/>
      <w:lvlJc w:val="left"/>
      <w:pPr>
        <w:ind w:left="8123" w:hanging="567"/>
      </w:pPr>
      <w:rPr>
        <w:rFonts w:hint="default"/>
      </w:rPr>
    </w:lvl>
  </w:abstractNum>
  <w:abstractNum w:abstractNumId="94">
    <w:multiLevelType w:val="hybridMultilevel"/>
    <w:lvl w:ilvl="0">
      <w:start w:val="1"/>
      <w:numFmt w:val="lowerLetter"/>
      <w:lvlText w:val="(%1)"/>
      <w:lvlJc w:val="left"/>
      <w:pPr>
        <w:ind w:left="1111" w:hanging="567"/>
        <w:jc w:val="left"/>
      </w:pPr>
      <w:rPr>
        <w:rFonts w:hint="default" w:ascii="Arial" w:hAnsi="Arial" w:eastAsia="Arial" w:cs="Arial"/>
        <w:b/>
        <w:bCs/>
        <w:w w:val="99"/>
        <w:sz w:val="18"/>
        <w:szCs w:val="18"/>
      </w:rPr>
    </w:lvl>
    <w:lvl w:ilvl="1">
      <w:start w:val="1"/>
      <w:numFmt w:val="bullet"/>
      <w:lvlText w:val="•"/>
      <w:lvlJc w:val="left"/>
      <w:pPr>
        <w:ind w:left="2026" w:hanging="567"/>
      </w:pPr>
      <w:rPr>
        <w:rFonts w:hint="default"/>
      </w:rPr>
    </w:lvl>
    <w:lvl w:ilvl="2">
      <w:start w:val="1"/>
      <w:numFmt w:val="bullet"/>
      <w:lvlText w:val="•"/>
      <w:lvlJc w:val="left"/>
      <w:pPr>
        <w:ind w:left="2932" w:hanging="567"/>
      </w:pPr>
      <w:rPr>
        <w:rFonts w:hint="default"/>
      </w:rPr>
    </w:lvl>
    <w:lvl w:ilvl="3">
      <w:start w:val="1"/>
      <w:numFmt w:val="bullet"/>
      <w:lvlText w:val="•"/>
      <w:lvlJc w:val="left"/>
      <w:pPr>
        <w:ind w:left="3839" w:hanging="567"/>
      </w:pPr>
      <w:rPr>
        <w:rFonts w:hint="default"/>
      </w:rPr>
    </w:lvl>
    <w:lvl w:ilvl="4">
      <w:start w:val="1"/>
      <w:numFmt w:val="bullet"/>
      <w:lvlText w:val="•"/>
      <w:lvlJc w:val="left"/>
      <w:pPr>
        <w:ind w:left="4745" w:hanging="567"/>
      </w:pPr>
      <w:rPr>
        <w:rFonts w:hint="default"/>
      </w:rPr>
    </w:lvl>
    <w:lvl w:ilvl="5">
      <w:start w:val="1"/>
      <w:numFmt w:val="bullet"/>
      <w:lvlText w:val="•"/>
      <w:lvlJc w:val="left"/>
      <w:pPr>
        <w:ind w:left="5652" w:hanging="567"/>
      </w:pPr>
      <w:rPr>
        <w:rFonts w:hint="default"/>
      </w:rPr>
    </w:lvl>
    <w:lvl w:ilvl="6">
      <w:start w:val="1"/>
      <w:numFmt w:val="bullet"/>
      <w:lvlText w:val="•"/>
      <w:lvlJc w:val="left"/>
      <w:pPr>
        <w:ind w:left="6558" w:hanging="567"/>
      </w:pPr>
      <w:rPr>
        <w:rFonts w:hint="default"/>
      </w:rPr>
    </w:lvl>
    <w:lvl w:ilvl="7">
      <w:start w:val="1"/>
      <w:numFmt w:val="bullet"/>
      <w:lvlText w:val="•"/>
      <w:lvlJc w:val="left"/>
      <w:pPr>
        <w:ind w:left="7465" w:hanging="567"/>
      </w:pPr>
      <w:rPr>
        <w:rFonts w:hint="default"/>
      </w:rPr>
    </w:lvl>
    <w:lvl w:ilvl="8">
      <w:start w:val="1"/>
      <w:numFmt w:val="bullet"/>
      <w:lvlText w:val="•"/>
      <w:lvlJc w:val="left"/>
      <w:pPr>
        <w:ind w:left="8371" w:hanging="567"/>
      </w:pPr>
      <w:rPr>
        <w:rFonts w:hint="default"/>
      </w:rPr>
    </w:lvl>
  </w:abstractNum>
  <w:abstractNum w:abstractNumId="92">
    <w:multiLevelType w:val="hybridMultilevel"/>
    <w:lvl w:ilvl="0">
      <w:start w:val="1"/>
      <w:numFmt w:val="lowerRoman"/>
      <w:lvlText w:val="(%1)"/>
      <w:lvlJc w:val="left"/>
      <w:pPr>
        <w:ind w:left="713" w:hanging="210"/>
        <w:jc w:val="left"/>
      </w:pPr>
      <w:rPr>
        <w:rFonts w:hint="default" w:ascii="Arial" w:hAnsi="Arial" w:eastAsia="Arial" w:cs="Arial"/>
        <w:w w:val="99"/>
        <w:sz w:val="18"/>
        <w:szCs w:val="18"/>
      </w:rPr>
    </w:lvl>
    <w:lvl w:ilvl="1">
      <w:start w:val="1"/>
      <w:numFmt w:val="bullet"/>
      <w:lvlText w:val="•"/>
      <w:lvlJc w:val="left"/>
      <w:pPr>
        <w:ind w:left="1644" w:hanging="210"/>
      </w:pPr>
      <w:rPr>
        <w:rFonts w:hint="default"/>
      </w:rPr>
    </w:lvl>
    <w:lvl w:ilvl="2">
      <w:start w:val="1"/>
      <w:numFmt w:val="bullet"/>
      <w:lvlText w:val="•"/>
      <w:lvlJc w:val="left"/>
      <w:pPr>
        <w:ind w:left="2568" w:hanging="210"/>
      </w:pPr>
      <w:rPr>
        <w:rFonts w:hint="default"/>
      </w:rPr>
    </w:lvl>
    <w:lvl w:ilvl="3">
      <w:start w:val="1"/>
      <w:numFmt w:val="bullet"/>
      <w:lvlText w:val="•"/>
      <w:lvlJc w:val="left"/>
      <w:pPr>
        <w:ind w:left="3493" w:hanging="210"/>
      </w:pPr>
      <w:rPr>
        <w:rFonts w:hint="default"/>
      </w:rPr>
    </w:lvl>
    <w:lvl w:ilvl="4">
      <w:start w:val="1"/>
      <w:numFmt w:val="bullet"/>
      <w:lvlText w:val="•"/>
      <w:lvlJc w:val="left"/>
      <w:pPr>
        <w:ind w:left="4417" w:hanging="210"/>
      </w:pPr>
      <w:rPr>
        <w:rFonts w:hint="default"/>
      </w:rPr>
    </w:lvl>
    <w:lvl w:ilvl="5">
      <w:start w:val="1"/>
      <w:numFmt w:val="bullet"/>
      <w:lvlText w:val="•"/>
      <w:lvlJc w:val="left"/>
      <w:pPr>
        <w:ind w:left="5342" w:hanging="210"/>
      </w:pPr>
      <w:rPr>
        <w:rFonts w:hint="default"/>
      </w:rPr>
    </w:lvl>
    <w:lvl w:ilvl="6">
      <w:start w:val="1"/>
      <w:numFmt w:val="bullet"/>
      <w:lvlText w:val="•"/>
      <w:lvlJc w:val="left"/>
      <w:pPr>
        <w:ind w:left="6266" w:hanging="210"/>
      </w:pPr>
      <w:rPr>
        <w:rFonts w:hint="default"/>
      </w:rPr>
    </w:lvl>
    <w:lvl w:ilvl="7">
      <w:start w:val="1"/>
      <w:numFmt w:val="bullet"/>
      <w:lvlText w:val="•"/>
      <w:lvlJc w:val="left"/>
      <w:pPr>
        <w:ind w:left="7191" w:hanging="210"/>
      </w:pPr>
      <w:rPr>
        <w:rFonts w:hint="default"/>
      </w:rPr>
    </w:lvl>
    <w:lvl w:ilvl="8">
      <w:start w:val="1"/>
      <w:numFmt w:val="bullet"/>
      <w:lvlText w:val="•"/>
      <w:lvlJc w:val="left"/>
      <w:pPr>
        <w:ind w:left="8115" w:hanging="210"/>
      </w:pPr>
      <w:rPr>
        <w:rFonts w:hint="default"/>
      </w:rPr>
    </w:lvl>
  </w:abstractNum>
  <w:abstractNum w:abstractNumId="89">
    <w:multiLevelType w:val="hybridMultilevel"/>
    <w:lvl w:ilvl="0">
      <w:start w:val="1"/>
      <w:numFmt w:val="lowerRoman"/>
      <w:lvlText w:val="(%1)"/>
      <w:lvlJc w:val="left"/>
      <w:pPr>
        <w:ind w:left="715" w:hanging="210"/>
        <w:jc w:val="left"/>
      </w:pPr>
      <w:rPr>
        <w:rFonts w:hint="default" w:ascii="Arial" w:hAnsi="Arial" w:eastAsia="Arial" w:cs="Arial"/>
        <w:w w:val="99"/>
        <w:sz w:val="18"/>
        <w:szCs w:val="18"/>
      </w:rPr>
    </w:lvl>
    <w:lvl w:ilvl="1">
      <w:start w:val="1"/>
      <w:numFmt w:val="bullet"/>
      <w:lvlText w:val="•"/>
      <w:lvlJc w:val="left"/>
      <w:pPr>
        <w:ind w:left="1658" w:hanging="210"/>
      </w:pPr>
      <w:rPr>
        <w:rFonts w:hint="default"/>
      </w:rPr>
    </w:lvl>
    <w:lvl w:ilvl="2">
      <w:start w:val="1"/>
      <w:numFmt w:val="bullet"/>
      <w:lvlText w:val="•"/>
      <w:lvlJc w:val="left"/>
      <w:pPr>
        <w:ind w:left="2596" w:hanging="210"/>
      </w:pPr>
      <w:rPr>
        <w:rFonts w:hint="default"/>
      </w:rPr>
    </w:lvl>
    <w:lvl w:ilvl="3">
      <w:start w:val="1"/>
      <w:numFmt w:val="bullet"/>
      <w:lvlText w:val="•"/>
      <w:lvlJc w:val="left"/>
      <w:pPr>
        <w:ind w:left="3535" w:hanging="210"/>
      </w:pPr>
      <w:rPr>
        <w:rFonts w:hint="default"/>
      </w:rPr>
    </w:lvl>
    <w:lvl w:ilvl="4">
      <w:start w:val="1"/>
      <w:numFmt w:val="bullet"/>
      <w:lvlText w:val="•"/>
      <w:lvlJc w:val="left"/>
      <w:pPr>
        <w:ind w:left="4473" w:hanging="210"/>
      </w:pPr>
      <w:rPr>
        <w:rFonts w:hint="default"/>
      </w:rPr>
    </w:lvl>
    <w:lvl w:ilvl="5">
      <w:start w:val="1"/>
      <w:numFmt w:val="bullet"/>
      <w:lvlText w:val="•"/>
      <w:lvlJc w:val="left"/>
      <w:pPr>
        <w:ind w:left="5412" w:hanging="210"/>
      </w:pPr>
      <w:rPr>
        <w:rFonts w:hint="default"/>
      </w:rPr>
    </w:lvl>
    <w:lvl w:ilvl="6">
      <w:start w:val="1"/>
      <w:numFmt w:val="bullet"/>
      <w:lvlText w:val="•"/>
      <w:lvlJc w:val="left"/>
      <w:pPr>
        <w:ind w:left="6350" w:hanging="210"/>
      </w:pPr>
      <w:rPr>
        <w:rFonts w:hint="default"/>
      </w:rPr>
    </w:lvl>
    <w:lvl w:ilvl="7">
      <w:start w:val="1"/>
      <w:numFmt w:val="bullet"/>
      <w:lvlText w:val="•"/>
      <w:lvlJc w:val="left"/>
      <w:pPr>
        <w:ind w:left="7289" w:hanging="210"/>
      </w:pPr>
      <w:rPr>
        <w:rFonts w:hint="default"/>
      </w:rPr>
    </w:lvl>
    <w:lvl w:ilvl="8">
      <w:start w:val="1"/>
      <w:numFmt w:val="bullet"/>
      <w:lvlText w:val="•"/>
      <w:lvlJc w:val="left"/>
      <w:pPr>
        <w:ind w:left="8227" w:hanging="210"/>
      </w:pPr>
      <w:rPr>
        <w:rFonts w:hint="default"/>
      </w:rPr>
    </w:lvl>
  </w:abstractNum>
  <w:abstractNum w:abstractNumId="88">
    <w:multiLevelType w:val="hybridMultilevel"/>
    <w:lvl w:ilvl="0">
      <w:start w:val="1"/>
      <w:numFmt w:val="lowerLetter"/>
      <w:lvlText w:val="(%1)"/>
      <w:lvlJc w:val="left"/>
      <w:pPr>
        <w:ind w:left="1071" w:hanging="567"/>
        <w:jc w:val="left"/>
      </w:pPr>
      <w:rPr>
        <w:rFonts w:hint="default" w:ascii="Arial" w:hAnsi="Arial" w:eastAsia="Arial" w:cs="Arial"/>
        <w:b/>
        <w:bCs/>
        <w:w w:val="99"/>
        <w:sz w:val="18"/>
        <w:szCs w:val="18"/>
      </w:rPr>
    </w:lvl>
    <w:lvl w:ilvl="1">
      <w:start w:val="1"/>
      <w:numFmt w:val="bullet"/>
      <w:lvlText w:val="•"/>
      <w:lvlJc w:val="left"/>
      <w:pPr>
        <w:ind w:left="1978" w:hanging="567"/>
      </w:pPr>
      <w:rPr>
        <w:rFonts w:hint="default"/>
      </w:rPr>
    </w:lvl>
    <w:lvl w:ilvl="2">
      <w:start w:val="1"/>
      <w:numFmt w:val="bullet"/>
      <w:lvlText w:val="•"/>
      <w:lvlJc w:val="left"/>
      <w:pPr>
        <w:ind w:left="2876" w:hanging="567"/>
      </w:pPr>
      <w:rPr>
        <w:rFonts w:hint="default"/>
      </w:rPr>
    </w:lvl>
    <w:lvl w:ilvl="3">
      <w:start w:val="1"/>
      <w:numFmt w:val="bullet"/>
      <w:lvlText w:val="•"/>
      <w:lvlJc w:val="left"/>
      <w:pPr>
        <w:ind w:left="3775" w:hanging="567"/>
      </w:pPr>
      <w:rPr>
        <w:rFonts w:hint="default"/>
      </w:rPr>
    </w:lvl>
    <w:lvl w:ilvl="4">
      <w:start w:val="1"/>
      <w:numFmt w:val="bullet"/>
      <w:lvlText w:val="•"/>
      <w:lvlJc w:val="left"/>
      <w:pPr>
        <w:ind w:left="4673" w:hanging="567"/>
      </w:pPr>
      <w:rPr>
        <w:rFonts w:hint="default"/>
      </w:rPr>
    </w:lvl>
    <w:lvl w:ilvl="5">
      <w:start w:val="1"/>
      <w:numFmt w:val="bullet"/>
      <w:lvlText w:val="•"/>
      <w:lvlJc w:val="left"/>
      <w:pPr>
        <w:ind w:left="5572" w:hanging="567"/>
      </w:pPr>
      <w:rPr>
        <w:rFonts w:hint="default"/>
      </w:rPr>
    </w:lvl>
    <w:lvl w:ilvl="6">
      <w:start w:val="1"/>
      <w:numFmt w:val="bullet"/>
      <w:lvlText w:val="•"/>
      <w:lvlJc w:val="left"/>
      <w:pPr>
        <w:ind w:left="6470" w:hanging="567"/>
      </w:pPr>
      <w:rPr>
        <w:rFonts w:hint="default"/>
      </w:rPr>
    </w:lvl>
    <w:lvl w:ilvl="7">
      <w:start w:val="1"/>
      <w:numFmt w:val="bullet"/>
      <w:lvlText w:val="•"/>
      <w:lvlJc w:val="left"/>
      <w:pPr>
        <w:ind w:left="7369" w:hanging="567"/>
      </w:pPr>
      <w:rPr>
        <w:rFonts w:hint="default"/>
      </w:rPr>
    </w:lvl>
    <w:lvl w:ilvl="8">
      <w:start w:val="1"/>
      <w:numFmt w:val="bullet"/>
      <w:lvlText w:val="•"/>
      <w:lvlJc w:val="left"/>
      <w:pPr>
        <w:ind w:left="8267" w:hanging="567"/>
      </w:pPr>
      <w:rPr>
        <w:rFonts w:hint="default"/>
      </w:rPr>
    </w:lvl>
  </w:abstractNum>
  <w:abstractNum w:abstractNumId="87">
    <w:multiLevelType w:val="hybridMultilevel"/>
    <w:lvl w:ilvl="0">
      <w:start w:val="1"/>
      <w:numFmt w:val="decimal"/>
      <w:lvlText w:val="%1"/>
      <w:lvlJc w:val="left"/>
      <w:pPr>
        <w:ind w:left="503" w:hanging="395"/>
        <w:jc w:val="left"/>
      </w:pPr>
      <w:rPr>
        <w:rFonts w:hint="default" w:ascii="Arial" w:hAnsi="Arial" w:eastAsia="Arial" w:cs="Arial"/>
        <w:b/>
        <w:bCs/>
        <w:w w:val="99"/>
        <w:sz w:val="18"/>
        <w:szCs w:val="18"/>
      </w:rPr>
    </w:lvl>
    <w:lvl w:ilvl="1">
      <w:start w:val="1"/>
      <w:numFmt w:val="decimal"/>
      <w:lvlText w:val="(%2)"/>
      <w:lvlJc w:val="left"/>
      <w:pPr>
        <w:ind w:left="1341" w:hanging="270"/>
        <w:jc w:val="left"/>
      </w:pPr>
      <w:rPr>
        <w:rFonts w:hint="default" w:ascii="Arial" w:hAnsi="Arial" w:eastAsia="Arial" w:cs="Arial"/>
        <w:w w:val="99"/>
        <w:sz w:val="18"/>
        <w:szCs w:val="18"/>
      </w:rPr>
    </w:lvl>
    <w:lvl w:ilvl="2">
      <w:start w:val="1"/>
      <w:numFmt w:val="bullet"/>
      <w:lvlText w:val="•"/>
      <w:lvlJc w:val="left"/>
      <w:pPr>
        <w:ind w:left="2309" w:hanging="270"/>
      </w:pPr>
      <w:rPr>
        <w:rFonts w:hint="default"/>
      </w:rPr>
    </w:lvl>
    <w:lvl w:ilvl="3">
      <w:start w:val="1"/>
      <w:numFmt w:val="bullet"/>
      <w:lvlText w:val="•"/>
      <w:lvlJc w:val="left"/>
      <w:pPr>
        <w:ind w:left="3278" w:hanging="270"/>
      </w:pPr>
      <w:rPr>
        <w:rFonts w:hint="default"/>
      </w:rPr>
    </w:lvl>
    <w:lvl w:ilvl="4">
      <w:start w:val="1"/>
      <w:numFmt w:val="bullet"/>
      <w:lvlText w:val="•"/>
      <w:lvlJc w:val="left"/>
      <w:pPr>
        <w:ind w:left="4248" w:hanging="270"/>
      </w:pPr>
      <w:rPr>
        <w:rFonts w:hint="default"/>
      </w:rPr>
    </w:lvl>
    <w:lvl w:ilvl="5">
      <w:start w:val="1"/>
      <w:numFmt w:val="bullet"/>
      <w:lvlText w:val="•"/>
      <w:lvlJc w:val="left"/>
      <w:pPr>
        <w:ind w:left="5217" w:hanging="270"/>
      </w:pPr>
      <w:rPr>
        <w:rFonts w:hint="default"/>
      </w:rPr>
    </w:lvl>
    <w:lvl w:ilvl="6">
      <w:start w:val="1"/>
      <w:numFmt w:val="bullet"/>
      <w:lvlText w:val="•"/>
      <w:lvlJc w:val="left"/>
      <w:pPr>
        <w:ind w:left="6186" w:hanging="270"/>
      </w:pPr>
      <w:rPr>
        <w:rFonts w:hint="default"/>
      </w:rPr>
    </w:lvl>
    <w:lvl w:ilvl="7">
      <w:start w:val="1"/>
      <w:numFmt w:val="bullet"/>
      <w:lvlText w:val="•"/>
      <w:lvlJc w:val="left"/>
      <w:pPr>
        <w:ind w:left="7156" w:hanging="270"/>
      </w:pPr>
      <w:rPr>
        <w:rFonts w:hint="default"/>
      </w:rPr>
    </w:lvl>
    <w:lvl w:ilvl="8">
      <w:start w:val="1"/>
      <w:numFmt w:val="bullet"/>
      <w:lvlText w:val="•"/>
      <w:lvlJc w:val="left"/>
      <w:pPr>
        <w:ind w:left="8125" w:hanging="270"/>
      </w:pPr>
      <w:rPr>
        <w:rFonts w:hint="default"/>
      </w:rPr>
    </w:lvl>
  </w:abstractNum>
  <w:abstractNum w:abstractNumId="86">
    <w:multiLevelType w:val="hybridMultilevel"/>
    <w:lvl w:ilvl="0">
      <w:start w:val="1"/>
      <w:numFmt w:val="lowerRoman"/>
      <w:lvlText w:val="(%1)"/>
      <w:lvlJc w:val="left"/>
      <w:pPr>
        <w:ind w:left="787" w:hanging="284"/>
        <w:jc w:val="left"/>
      </w:pPr>
      <w:rPr>
        <w:rFonts w:hint="default" w:ascii="Arial" w:hAnsi="Arial" w:eastAsia="Arial" w:cs="Arial"/>
        <w:w w:val="99"/>
        <w:sz w:val="18"/>
        <w:szCs w:val="18"/>
      </w:rPr>
    </w:lvl>
    <w:lvl w:ilvl="1">
      <w:start w:val="1"/>
      <w:numFmt w:val="bullet"/>
      <w:lvlText w:val="•"/>
      <w:lvlJc w:val="left"/>
      <w:pPr>
        <w:ind w:left="1716" w:hanging="284"/>
      </w:pPr>
      <w:rPr>
        <w:rFonts w:hint="default"/>
      </w:rPr>
    </w:lvl>
    <w:lvl w:ilvl="2">
      <w:start w:val="1"/>
      <w:numFmt w:val="bullet"/>
      <w:lvlText w:val="•"/>
      <w:lvlJc w:val="left"/>
      <w:pPr>
        <w:ind w:left="2652" w:hanging="284"/>
      </w:pPr>
      <w:rPr>
        <w:rFonts w:hint="default"/>
      </w:rPr>
    </w:lvl>
    <w:lvl w:ilvl="3">
      <w:start w:val="1"/>
      <w:numFmt w:val="bullet"/>
      <w:lvlText w:val="•"/>
      <w:lvlJc w:val="left"/>
      <w:pPr>
        <w:ind w:left="3589" w:hanging="284"/>
      </w:pPr>
      <w:rPr>
        <w:rFonts w:hint="default"/>
      </w:rPr>
    </w:lvl>
    <w:lvl w:ilvl="4">
      <w:start w:val="1"/>
      <w:numFmt w:val="bullet"/>
      <w:lvlText w:val="•"/>
      <w:lvlJc w:val="left"/>
      <w:pPr>
        <w:ind w:left="4525" w:hanging="284"/>
      </w:pPr>
      <w:rPr>
        <w:rFonts w:hint="default"/>
      </w:rPr>
    </w:lvl>
    <w:lvl w:ilvl="5">
      <w:start w:val="1"/>
      <w:numFmt w:val="bullet"/>
      <w:lvlText w:val="•"/>
      <w:lvlJc w:val="left"/>
      <w:pPr>
        <w:ind w:left="5462" w:hanging="284"/>
      </w:pPr>
      <w:rPr>
        <w:rFonts w:hint="default"/>
      </w:rPr>
    </w:lvl>
    <w:lvl w:ilvl="6">
      <w:start w:val="1"/>
      <w:numFmt w:val="bullet"/>
      <w:lvlText w:val="•"/>
      <w:lvlJc w:val="left"/>
      <w:pPr>
        <w:ind w:left="6398" w:hanging="284"/>
      </w:pPr>
      <w:rPr>
        <w:rFonts w:hint="default"/>
      </w:rPr>
    </w:lvl>
    <w:lvl w:ilvl="7">
      <w:start w:val="1"/>
      <w:numFmt w:val="bullet"/>
      <w:lvlText w:val="•"/>
      <w:lvlJc w:val="left"/>
      <w:pPr>
        <w:ind w:left="7335" w:hanging="284"/>
      </w:pPr>
      <w:rPr>
        <w:rFonts w:hint="default"/>
      </w:rPr>
    </w:lvl>
    <w:lvl w:ilvl="8">
      <w:start w:val="1"/>
      <w:numFmt w:val="bullet"/>
      <w:lvlText w:val="•"/>
      <w:lvlJc w:val="left"/>
      <w:pPr>
        <w:ind w:left="8271" w:hanging="284"/>
      </w:pPr>
      <w:rPr>
        <w:rFonts w:hint="default"/>
      </w:rPr>
    </w:lvl>
  </w:abstractNum>
  <w:abstractNum w:abstractNumId="84">
    <w:multiLevelType w:val="hybridMultilevel"/>
    <w:lvl w:ilvl="0">
      <w:start w:val="1"/>
      <w:numFmt w:val="bullet"/>
      <w:lvlText w:val="•"/>
      <w:lvlJc w:val="left"/>
      <w:pPr>
        <w:ind w:left="685" w:hanging="567"/>
      </w:pPr>
      <w:rPr>
        <w:rFonts w:hint="default" w:ascii="Arial" w:hAnsi="Arial" w:eastAsia="Arial" w:cs="Arial"/>
        <w:w w:val="99"/>
        <w:sz w:val="18"/>
        <w:szCs w:val="18"/>
      </w:rPr>
    </w:lvl>
    <w:lvl w:ilvl="1">
      <w:start w:val="1"/>
      <w:numFmt w:val="bullet"/>
      <w:lvlText w:val="•"/>
      <w:lvlJc w:val="left"/>
      <w:pPr>
        <w:ind w:left="1540" w:hanging="567"/>
      </w:pPr>
      <w:rPr>
        <w:rFonts w:hint="default"/>
      </w:rPr>
    </w:lvl>
    <w:lvl w:ilvl="2">
      <w:start w:val="1"/>
      <w:numFmt w:val="bullet"/>
      <w:lvlText w:val="•"/>
      <w:lvlJc w:val="left"/>
      <w:pPr>
        <w:ind w:left="2401" w:hanging="567"/>
      </w:pPr>
      <w:rPr>
        <w:rFonts w:hint="default"/>
      </w:rPr>
    </w:lvl>
    <w:lvl w:ilvl="3">
      <w:start w:val="1"/>
      <w:numFmt w:val="bullet"/>
      <w:lvlText w:val="•"/>
      <w:lvlJc w:val="left"/>
      <w:pPr>
        <w:ind w:left="3261" w:hanging="567"/>
      </w:pPr>
      <w:rPr>
        <w:rFonts w:hint="default"/>
      </w:rPr>
    </w:lvl>
    <w:lvl w:ilvl="4">
      <w:start w:val="1"/>
      <w:numFmt w:val="bullet"/>
      <w:lvlText w:val="•"/>
      <w:lvlJc w:val="left"/>
      <w:pPr>
        <w:ind w:left="4122" w:hanging="567"/>
      </w:pPr>
      <w:rPr>
        <w:rFonts w:hint="default"/>
      </w:rPr>
    </w:lvl>
    <w:lvl w:ilvl="5">
      <w:start w:val="1"/>
      <w:numFmt w:val="bullet"/>
      <w:lvlText w:val="•"/>
      <w:lvlJc w:val="left"/>
      <w:pPr>
        <w:ind w:left="4983" w:hanging="567"/>
      </w:pPr>
      <w:rPr>
        <w:rFonts w:hint="default"/>
      </w:rPr>
    </w:lvl>
    <w:lvl w:ilvl="6">
      <w:start w:val="1"/>
      <w:numFmt w:val="bullet"/>
      <w:lvlText w:val="•"/>
      <w:lvlJc w:val="left"/>
      <w:pPr>
        <w:ind w:left="5843" w:hanging="567"/>
      </w:pPr>
      <w:rPr>
        <w:rFonts w:hint="default"/>
      </w:rPr>
    </w:lvl>
    <w:lvl w:ilvl="7">
      <w:start w:val="1"/>
      <w:numFmt w:val="bullet"/>
      <w:lvlText w:val="•"/>
      <w:lvlJc w:val="left"/>
      <w:pPr>
        <w:ind w:left="6704" w:hanging="567"/>
      </w:pPr>
      <w:rPr>
        <w:rFonts w:hint="default"/>
      </w:rPr>
    </w:lvl>
    <w:lvl w:ilvl="8">
      <w:start w:val="1"/>
      <w:numFmt w:val="bullet"/>
      <w:lvlText w:val="•"/>
      <w:lvlJc w:val="left"/>
      <w:pPr>
        <w:ind w:left="7565" w:hanging="567"/>
      </w:pPr>
      <w:rPr>
        <w:rFonts w:hint="default"/>
      </w:rPr>
    </w:lvl>
  </w:abstractNum>
  <w:abstractNum w:abstractNumId="83">
    <w:multiLevelType w:val="hybridMultilevel"/>
    <w:lvl w:ilvl="0">
      <w:start w:val="1"/>
      <w:numFmt w:val="bullet"/>
      <w:lvlText w:val="•"/>
      <w:lvlJc w:val="left"/>
      <w:pPr>
        <w:ind w:left="1245" w:hanging="567"/>
      </w:pPr>
      <w:rPr>
        <w:rFonts w:hint="default" w:ascii="Arial" w:hAnsi="Arial" w:eastAsia="Arial" w:cs="Arial"/>
        <w:w w:val="99"/>
        <w:sz w:val="18"/>
        <w:szCs w:val="18"/>
      </w:rPr>
    </w:lvl>
    <w:lvl w:ilvl="1">
      <w:start w:val="1"/>
      <w:numFmt w:val="bullet"/>
      <w:lvlText w:val="-"/>
      <w:lvlJc w:val="left"/>
      <w:pPr>
        <w:ind w:left="1811" w:hanging="567"/>
      </w:pPr>
      <w:rPr>
        <w:rFonts w:hint="default" w:ascii="Courier New" w:hAnsi="Courier New" w:eastAsia="Courier New" w:cs="Courier New"/>
        <w:w w:val="99"/>
        <w:sz w:val="20"/>
        <w:szCs w:val="20"/>
      </w:rPr>
    </w:lvl>
    <w:lvl w:ilvl="2">
      <w:start w:val="1"/>
      <w:numFmt w:val="bullet"/>
      <w:lvlText w:val="•"/>
      <w:lvlJc w:val="left"/>
      <w:pPr>
        <w:ind w:left="2776" w:hanging="567"/>
      </w:pPr>
      <w:rPr>
        <w:rFonts w:hint="default"/>
      </w:rPr>
    </w:lvl>
    <w:lvl w:ilvl="3">
      <w:start w:val="1"/>
      <w:numFmt w:val="bullet"/>
      <w:lvlText w:val="•"/>
      <w:lvlJc w:val="left"/>
      <w:pPr>
        <w:ind w:left="3732" w:hanging="567"/>
      </w:pPr>
      <w:rPr>
        <w:rFonts w:hint="default"/>
      </w:rPr>
    </w:lvl>
    <w:lvl w:ilvl="4">
      <w:start w:val="1"/>
      <w:numFmt w:val="bullet"/>
      <w:lvlText w:val="•"/>
      <w:lvlJc w:val="left"/>
      <w:pPr>
        <w:ind w:left="4688" w:hanging="567"/>
      </w:pPr>
      <w:rPr>
        <w:rFonts w:hint="default"/>
      </w:rPr>
    </w:lvl>
    <w:lvl w:ilvl="5">
      <w:start w:val="1"/>
      <w:numFmt w:val="bullet"/>
      <w:lvlText w:val="•"/>
      <w:lvlJc w:val="left"/>
      <w:pPr>
        <w:ind w:left="5645" w:hanging="567"/>
      </w:pPr>
      <w:rPr>
        <w:rFonts w:hint="default"/>
      </w:rPr>
    </w:lvl>
    <w:lvl w:ilvl="6">
      <w:start w:val="1"/>
      <w:numFmt w:val="bullet"/>
      <w:lvlText w:val="•"/>
      <w:lvlJc w:val="left"/>
      <w:pPr>
        <w:ind w:left="6601" w:hanging="567"/>
      </w:pPr>
      <w:rPr>
        <w:rFonts w:hint="default"/>
      </w:rPr>
    </w:lvl>
    <w:lvl w:ilvl="7">
      <w:start w:val="1"/>
      <w:numFmt w:val="bullet"/>
      <w:lvlText w:val="•"/>
      <w:lvlJc w:val="left"/>
      <w:pPr>
        <w:ind w:left="7557" w:hanging="567"/>
      </w:pPr>
      <w:rPr>
        <w:rFonts w:hint="default"/>
      </w:rPr>
    </w:lvl>
    <w:lvl w:ilvl="8">
      <w:start w:val="1"/>
      <w:numFmt w:val="bullet"/>
      <w:lvlText w:val="•"/>
      <w:lvlJc w:val="left"/>
      <w:pPr>
        <w:ind w:left="8513" w:hanging="567"/>
      </w:pPr>
      <w:rPr>
        <w:rFonts w:hint="default"/>
      </w:rPr>
    </w:lvl>
  </w:abstractNum>
  <w:abstractNum w:abstractNumId="82">
    <w:multiLevelType w:val="hybridMultilevel"/>
    <w:lvl w:ilvl="0">
      <w:start w:val="1"/>
      <w:numFmt w:val="decimal"/>
      <w:lvlText w:val="%1."/>
      <w:lvlJc w:val="left"/>
      <w:pPr>
        <w:ind w:left="524" w:hanging="301"/>
        <w:jc w:val="left"/>
      </w:pPr>
      <w:rPr>
        <w:rFonts w:hint="default" w:ascii="Arial" w:hAnsi="Arial" w:eastAsia="Arial" w:cs="Arial"/>
        <w:spacing w:val="-11"/>
        <w:w w:val="99"/>
        <w:sz w:val="18"/>
        <w:szCs w:val="18"/>
      </w:rPr>
    </w:lvl>
    <w:lvl w:ilvl="1">
      <w:start w:val="1"/>
      <w:numFmt w:val="lowerLetter"/>
      <w:lvlText w:val="%2."/>
      <w:lvlJc w:val="left"/>
      <w:pPr>
        <w:ind w:left="921" w:hanging="397"/>
        <w:jc w:val="left"/>
      </w:pPr>
      <w:rPr>
        <w:rFonts w:hint="default" w:ascii="Arial" w:hAnsi="Arial" w:eastAsia="Arial" w:cs="Arial"/>
        <w:spacing w:val="-22"/>
        <w:w w:val="99"/>
        <w:sz w:val="18"/>
        <w:szCs w:val="18"/>
      </w:rPr>
    </w:lvl>
    <w:lvl w:ilvl="2">
      <w:start w:val="1"/>
      <w:numFmt w:val="bullet"/>
      <w:lvlText w:val="•"/>
      <w:lvlJc w:val="left"/>
      <w:pPr>
        <w:ind w:left="1947" w:hanging="397"/>
      </w:pPr>
      <w:rPr>
        <w:rFonts w:hint="default"/>
      </w:rPr>
    </w:lvl>
    <w:lvl w:ilvl="3">
      <w:start w:val="1"/>
      <w:numFmt w:val="bullet"/>
      <w:lvlText w:val="•"/>
      <w:lvlJc w:val="left"/>
      <w:pPr>
        <w:ind w:left="2974" w:hanging="397"/>
      </w:pPr>
      <w:rPr>
        <w:rFonts w:hint="default"/>
      </w:rPr>
    </w:lvl>
    <w:lvl w:ilvl="4">
      <w:start w:val="1"/>
      <w:numFmt w:val="bullet"/>
      <w:lvlText w:val="•"/>
      <w:lvlJc w:val="left"/>
      <w:pPr>
        <w:ind w:left="4001" w:hanging="397"/>
      </w:pPr>
      <w:rPr>
        <w:rFonts w:hint="default"/>
      </w:rPr>
    </w:lvl>
    <w:lvl w:ilvl="5">
      <w:start w:val="1"/>
      <w:numFmt w:val="bullet"/>
      <w:lvlText w:val="•"/>
      <w:lvlJc w:val="left"/>
      <w:pPr>
        <w:ind w:left="5028" w:hanging="397"/>
      </w:pPr>
      <w:rPr>
        <w:rFonts w:hint="default"/>
      </w:rPr>
    </w:lvl>
    <w:lvl w:ilvl="6">
      <w:start w:val="1"/>
      <w:numFmt w:val="bullet"/>
      <w:lvlText w:val="•"/>
      <w:lvlJc w:val="left"/>
      <w:pPr>
        <w:ind w:left="6055" w:hanging="397"/>
      </w:pPr>
      <w:rPr>
        <w:rFonts w:hint="default"/>
      </w:rPr>
    </w:lvl>
    <w:lvl w:ilvl="7">
      <w:start w:val="1"/>
      <w:numFmt w:val="bullet"/>
      <w:lvlText w:val="•"/>
      <w:lvlJc w:val="left"/>
      <w:pPr>
        <w:ind w:left="7082" w:hanging="397"/>
      </w:pPr>
      <w:rPr>
        <w:rFonts w:hint="default"/>
      </w:rPr>
    </w:lvl>
    <w:lvl w:ilvl="8">
      <w:start w:val="1"/>
      <w:numFmt w:val="bullet"/>
      <w:lvlText w:val="•"/>
      <w:lvlJc w:val="left"/>
      <w:pPr>
        <w:ind w:left="8110" w:hanging="397"/>
      </w:pPr>
      <w:rPr>
        <w:rFonts w:hint="default"/>
      </w:rPr>
    </w:lvl>
  </w:abstractNum>
  <w:abstractNum w:abstractNumId="81">
    <w:multiLevelType w:val="hybridMultilevel"/>
    <w:lvl w:ilvl="0">
      <w:start w:val="1"/>
      <w:numFmt w:val="bullet"/>
      <w:lvlText w:val="-"/>
      <w:lvlJc w:val="left"/>
      <w:pPr>
        <w:ind w:left="505" w:hanging="110"/>
      </w:pPr>
      <w:rPr>
        <w:rFonts w:hint="default" w:ascii="Arial" w:hAnsi="Arial" w:eastAsia="Arial" w:cs="Arial"/>
        <w:w w:val="99"/>
        <w:sz w:val="18"/>
        <w:szCs w:val="18"/>
      </w:rPr>
    </w:lvl>
    <w:lvl w:ilvl="1">
      <w:start w:val="1"/>
      <w:numFmt w:val="bullet"/>
      <w:lvlText w:val="•"/>
      <w:lvlJc w:val="left"/>
      <w:pPr>
        <w:ind w:left="1464" w:hanging="110"/>
      </w:pPr>
      <w:rPr>
        <w:rFonts w:hint="default"/>
      </w:rPr>
    </w:lvl>
    <w:lvl w:ilvl="2">
      <w:start w:val="1"/>
      <w:numFmt w:val="bullet"/>
      <w:lvlText w:val="•"/>
      <w:lvlJc w:val="left"/>
      <w:pPr>
        <w:ind w:left="2428" w:hanging="110"/>
      </w:pPr>
      <w:rPr>
        <w:rFonts w:hint="default"/>
      </w:rPr>
    </w:lvl>
    <w:lvl w:ilvl="3">
      <w:start w:val="1"/>
      <w:numFmt w:val="bullet"/>
      <w:lvlText w:val="•"/>
      <w:lvlJc w:val="left"/>
      <w:pPr>
        <w:ind w:left="3393" w:hanging="110"/>
      </w:pPr>
      <w:rPr>
        <w:rFonts w:hint="default"/>
      </w:rPr>
    </w:lvl>
    <w:lvl w:ilvl="4">
      <w:start w:val="1"/>
      <w:numFmt w:val="bullet"/>
      <w:lvlText w:val="•"/>
      <w:lvlJc w:val="left"/>
      <w:pPr>
        <w:ind w:left="4357" w:hanging="110"/>
      </w:pPr>
      <w:rPr>
        <w:rFonts w:hint="default"/>
      </w:rPr>
    </w:lvl>
    <w:lvl w:ilvl="5">
      <w:start w:val="1"/>
      <w:numFmt w:val="bullet"/>
      <w:lvlText w:val="•"/>
      <w:lvlJc w:val="left"/>
      <w:pPr>
        <w:ind w:left="5322" w:hanging="110"/>
      </w:pPr>
      <w:rPr>
        <w:rFonts w:hint="default"/>
      </w:rPr>
    </w:lvl>
    <w:lvl w:ilvl="6">
      <w:start w:val="1"/>
      <w:numFmt w:val="bullet"/>
      <w:lvlText w:val="•"/>
      <w:lvlJc w:val="left"/>
      <w:pPr>
        <w:ind w:left="6286" w:hanging="110"/>
      </w:pPr>
      <w:rPr>
        <w:rFonts w:hint="default"/>
      </w:rPr>
    </w:lvl>
    <w:lvl w:ilvl="7">
      <w:start w:val="1"/>
      <w:numFmt w:val="bullet"/>
      <w:lvlText w:val="•"/>
      <w:lvlJc w:val="left"/>
      <w:pPr>
        <w:ind w:left="7251" w:hanging="110"/>
      </w:pPr>
      <w:rPr>
        <w:rFonts w:hint="default"/>
      </w:rPr>
    </w:lvl>
    <w:lvl w:ilvl="8">
      <w:start w:val="1"/>
      <w:numFmt w:val="bullet"/>
      <w:lvlText w:val="•"/>
      <w:lvlJc w:val="left"/>
      <w:pPr>
        <w:ind w:left="8215" w:hanging="110"/>
      </w:pPr>
      <w:rPr>
        <w:rFonts w:hint="default"/>
      </w:rPr>
    </w:lvl>
  </w:abstractNum>
  <w:abstractNum w:abstractNumId="80">
    <w:multiLevelType w:val="hybridMultilevel"/>
    <w:lvl w:ilvl="0">
      <w:start w:val="1"/>
      <w:numFmt w:val="decimal"/>
      <w:lvlText w:val="%1"/>
      <w:lvlJc w:val="left"/>
      <w:pPr>
        <w:ind w:left="503" w:hanging="395"/>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b/>
        <w:bCs/>
        <w:w w:val="99"/>
        <w:sz w:val="18"/>
        <w:szCs w:val="18"/>
      </w:rPr>
    </w:lvl>
    <w:lvl w:ilvl="2">
      <w:start w:val="1"/>
      <w:numFmt w:val="lowerRoman"/>
      <w:lvlText w:val="%3."/>
      <w:lvlJc w:val="left"/>
      <w:pPr>
        <w:ind w:left="1212" w:hanging="141"/>
        <w:jc w:val="left"/>
      </w:pPr>
      <w:rPr>
        <w:rFonts w:hint="default" w:ascii="Arial" w:hAnsi="Arial" w:eastAsia="Arial" w:cs="Arial"/>
        <w:i/>
        <w:spacing w:val="-1"/>
        <w:w w:val="100"/>
        <w:sz w:val="18"/>
        <w:szCs w:val="18"/>
      </w:rPr>
    </w:lvl>
    <w:lvl w:ilvl="3">
      <w:start w:val="1"/>
      <w:numFmt w:val="bullet"/>
      <w:lvlText w:val="•"/>
      <w:lvlJc w:val="left"/>
      <w:pPr>
        <w:ind w:left="2335" w:hanging="141"/>
      </w:pPr>
      <w:rPr>
        <w:rFonts w:hint="default"/>
      </w:rPr>
    </w:lvl>
    <w:lvl w:ilvl="4">
      <w:start w:val="1"/>
      <w:numFmt w:val="bullet"/>
      <w:lvlText w:val="•"/>
      <w:lvlJc w:val="left"/>
      <w:pPr>
        <w:ind w:left="3451" w:hanging="141"/>
      </w:pPr>
      <w:rPr>
        <w:rFonts w:hint="default"/>
      </w:rPr>
    </w:lvl>
    <w:lvl w:ilvl="5">
      <w:start w:val="1"/>
      <w:numFmt w:val="bullet"/>
      <w:lvlText w:val="•"/>
      <w:lvlJc w:val="left"/>
      <w:pPr>
        <w:ind w:left="4566" w:hanging="141"/>
      </w:pPr>
      <w:rPr>
        <w:rFonts w:hint="default"/>
      </w:rPr>
    </w:lvl>
    <w:lvl w:ilvl="6">
      <w:start w:val="1"/>
      <w:numFmt w:val="bullet"/>
      <w:lvlText w:val="•"/>
      <w:lvlJc w:val="left"/>
      <w:pPr>
        <w:ind w:left="5682" w:hanging="141"/>
      </w:pPr>
      <w:rPr>
        <w:rFonts w:hint="default"/>
      </w:rPr>
    </w:lvl>
    <w:lvl w:ilvl="7">
      <w:start w:val="1"/>
      <w:numFmt w:val="bullet"/>
      <w:lvlText w:val="•"/>
      <w:lvlJc w:val="left"/>
      <w:pPr>
        <w:ind w:left="6797" w:hanging="141"/>
      </w:pPr>
      <w:rPr>
        <w:rFonts w:hint="default"/>
      </w:rPr>
    </w:lvl>
    <w:lvl w:ilvl="8">
      <w:start w:val="1"/>
      <w:numFmt w:val="bullet"/>
      <w:lvlText w:val="•"/>
      <w:lvlJc w:val="left"/>
      <w:pPr>
        <w:ind w:left="7913" w:hanging="141"/>
      </w:pPr>
      <w:rPr>
        <w:rFonts w:hint="default"/>
      </w:rPr>
    </w:lvl>
  </w:abstractNum>
  <w:abstractNum w:abstractNumId="78">
    <w:multiLevelType w:val="hybridMultilevel"/>
    <w:lvl w:ilvl="0">
      <w:start w:val="1"/>
      <w:numFmt w:val="lowerLetter"/>
      <w:lvlText w:val="(%1)"/>
      <w:lvlJc w:val="left"/>
      <w:pPr>
        <w:ind w:left="937" w:hanging="730"/>
        <w:jc w:val="left"/>
      </w:pPr>
      <w:rPr>
        <w:rFonts w:hint="default" w:ascii="Arial" w:hAnsi="Arial" w:eastAsia="Arial" w:cs="Arial"/>
        <w:w w:val="99"/>
        <w:sz w:val="18"/>
        <w:szCs w:val="18"/>
      </w:rPr>
    </w:lvl>
    <w:lvl w:ilvl="1">
      <w:start w:val="1"/>
      <w:numFmt w:val="bullet"/>
      <w:lvlText w:val="•"/>
      <w:lvlJc w:val="left"/>
      <w:pPr>
        <w:ind w:left="1860" w:hanging="730"/>
      </w:pPr>
      <w:rPr>
        <w:rFonts w:hint="default"/>
      </w:rPr>
    </w:lvl>
    <w:lvl w:ilvl="2">
      <w:start w:val="1"/>
      <w:numFmt w:val="bullet"/>
      <w:lvlText w:val="•"/>
      <w:lvlJc w:val="left"/>
      <w:pPr>
        <w:ind w:left="2781" w:hanging="730"/>
      </w:pPr>
      <w:rPr>
        <w:rFonts w:hint="default"/>
      </w:rPr>
    </w:lvl>
    <w:lvl w:ilvl="3">
      <w:start w:val="1"/>
      <w:numFmt w:val="bullet"/>
      <w:lvlText w:val="•"/>
      <w:lvlJc w:val="left"/>
      <w:pPr>
        <w:ind w:left="3701" w:hanging="730"/>
      </w:pPr>
      <w:rPr>
        <w:rFonts w:hint="default"/>
      </w:rPr>
    </w:lvl>
    <w:lvl w:ilvl="4">
      <w:start w:val="1"/>
      <w:numFmt w:val="bullet"/>
      <w:lvlText w:val="•"/>
      <w:lvlJc w:val="left"/>
      <w:pPr>
        <w:ind w:left="4622" w:hanging="730"/>
      </w:pPr>
      <w:rPr>
        <w:rFonts w:hint="default"/>
      </w:rPr>
    </w:lvl>
    <w:lvl w:ilvl="5">
      <w:start w:val="1"/>
      <w:numFmt w:val="bullet"/>
      <w:lvlText w:val="•"/>
      <w:lvlJc w:val="left"/>
      <w:pPr>
        <w:ind w:left="5542" w:hanging="730"/>
      </w:pPr>
      <w:rPr>
        <w:rFonts w:hint="default"/>
      </w:rPr>
    </w:lvl>
    <w:lvl w:ilvl="6">
      <w:start w:val="1"/>
      <w:numFmt w:val="bullet"/>
      <w:lvlText w:val="•"/>
      <w:lvlJc w:val="left"/>
      <w:pPr>
        <w:ind w:left="6463" w:hanging="730"/>
      </w:pPr>
      <w:rPr>
        <w:rFonts w:hint="default"/>
      </w:rPr>
    </w:lvl>
    <w:lvl w:ilvl="7">
      <w:start w:val="1"/>
      <w:numFmt w:val="bullet"/>
      <w:lvlText w:val="•"/>
      <w:lvlJc w:val="left"/>
      <w:pPr>
        <w:ind w:left="7383" w:hanging="730"/>
      </w:pPr>
      <w:rPr>
        <w:rFonts w:hint="default"/>
      </w:rPr>
    </w:lvl>
    <w:lvl w:ilvl="8">
      <w:start w:val="1"/>
      <w:numFmt w:val="bullet"/>
      <w:lvlText w:val="•"/>
      <w:lvlJc w:val="left"/>
      <w:pPr>
        <w:ind w:left="8304" w:hanging="730"/>
      </w:pPr>
      <w:rPr>
        <w:rFonts w:hint="default"/>
      </w:rPr>
    </w:lvl>
  </w:abstractNum>
  <w:abstractNum w:abstractNumId="77">
    <w:multiLevelType w:val="hybridMultilevel"/>
    <w:lvl w:ilvl="0">
      <w:start w:val="1"/>
      <w:numFmt w:val="bullet"/>
      <w:lvlText w:val="-"/>
      <w:lvlJc w:val="left"/>
      <w:pPr>
        <w:ind w:left="524" w:hanging="112"/>
      </w:pPr>
      <w:rPr>
        <w:rFonts w:hint="default" w:ascii="Arial" w:hAnsi="Arial" w:eastAsia="Arial" w:cs="Arial"/>
        <w:w w:val="99"/>
        <w:sz w:val="18"/>
        <w:szCs w:val="18"/>
      </w:rPr>
    </w:lvl>
    <w:lvl w:ilvl="1">
      <w:start w:val="1"/>
      <w:numFmt w:val="bullet"/>
      <w:lvlText w:val="•"/>
      <w:lvlJc w:val="left"/>
      <w:pPr>
        <w:ind w:left="1470" w:hanging="112"/>
      </w:pPr>
      <w:rPr>
        <w:rFonts w:hint="default"/>
      </w:rPr>
    </w:lvl>
    <w:lvl w:ilvl="2">
      <w:start w:val="1"/>
      <w:numFmt w:val="bullet"/>
      <w:lvlText w:val="•"/>
      <w:lvlJc w:val="left"/>
      <w:pPr>
        <w:ind w:left="2421" w:hanging="112"/>
      </w:pPr>
      <w:rPr>
        <w:rFonts w:hint="default"/>
      </w:rPr>
    </w:lvl>
    <w:lvl w:ilvl="3">
      <w:start w:val="1"/>
      <w:numFmt w:val="bullet"/>
      <w:lvlText w:val="•"/>
      <w:lvlJc w:val="left"/>
      <w:pPr>
        <w:ind w:left="3371" w:hanging="112"/>
      </w:pPr>
      <w:rPr>
        <w:rFonts w:hint="default"/>
      </w:rPr>
    </w:lvl>
    <w:lvl w:ilvl="4">
      <w:start w:val="1"/>
      <w:numFmt w:val="bullet"/>
      <w:lvlText w:val="•"/>
      <w:lvlJc w:val="left"/>
      <w:pPr>
        <w:ind w:left="4322" w:hanging="112"/>
      </w:pPr>
      <w:rPr>
        <w:rFonts w:hint="default"/>
      </w:rPr>
    </w:lvl>
    <w:lvl w:ilvl="5">
      <w:start w:val="1"/>
      <w:numFmt w:val="bullet"/>
      <w:lvlText w:val="•"/>
      <w:lvlJc w:val="left"/>
      <w:pPr>
        <w:ind w:left="5272" w:hanging="112"/>
      </w:pPr>
      <w:rPr>
        <w:rFonts w:hint="default"/>
      </w:rPr>
    </w:lvl>
    <w:lvl w:ilvl="6">
      <w:start w:val="1"/>
      <w:numFmt w:val="bullet"/>
      <w:lvlText w:val="•"/>
      <w:lvlJc w:val="left"/>
      <w:pPr>
        <w:ind w:left="6223" w:hanging="112"/>
      </w:pPr>
      <w:rPr>
        <w:rFonts w:hint="default"/>
      </w:rPr>
    </w:lvl>
    <w:lvl w:ilvl="7">
      <w:start w:val="1"/>
      <w:numFmt w:val="bullet"/>
      <w:lvlText w:val="•"/>
      <w:lvlJc w:val="left"/>
      <w:pPr>
        <w:ind w:left="7173" w:hanging="112"/>
      </w:pPr>
      <w:rPr>
        <w:rFonts w:hint="default"/>
      </w:rPr>
    </w:lvl>
    <w:lvl w:ilvl="8">
      <w:start w:val="1"/>
      <w:numFmt w:val="bullet"/>
      <w:lvlText w:val="•"/>
      <w:lvlJc w:val="left"/>
      <w:pPr>
        <w:ind w:left="8124" w:hanging="112"/>
      </w:pPr>
      <w:rPr>
        <w:rFonts w:hint="default"/>
      </w:rPr>
    </w:lvl>
  </w:abstractNum>
  <w:abstractNum w:abstractNumId="76">
    <w:multiLevelType w:val="hybridMultilevel"/>
    <w:lvl w:ilvl="0">
      <w:start w:val="1"/>
      <w:numFmt w:val="decimal"/>
      <w:lvlText w:val="%1."/>
      <w:lvlJc w:val="left"/>
      <w:pPr>
        <w:ind w:left="524" w:hanging="396"/>
        <w:jc w:val="left"/>
      </w:pPr>
      <w:rPr>
        <w:rFonts w:hint="default" w:ascii="Arial" w:hAnsi="Arial" w:eastAsia="Arial" w:cs="Arial"/>
        <w:w w:val="99"/>
        <w:sz w:val="18"/>
        <w:szCs w:val="18"/>
      </w:rPr>
    </w:lvl>
    <w:lvl w:ilvl="1">
      <w:start w:val="1"/>
      <w:numFmt w:val="lowerLetter"/>
      <w:lvlText w:val="%2."/>
      <w:lvlJc w:val="left"/>
      <w:pPr>
        <w:ind w:left="920" w:hanging="396"/>
        <w:jc w:val="left"/>
      </w:pPr>
      <w:rPr>
        <w:rFonts w:hint="default" w:ascii="Arial" w:hAnsi="Arial" w:eastAsia="Arial" w:cs="Arial"/>
        <w:w w:val="99"/>
        <w:sz w:val="18"/>
        <w:szCs w:val="18"/>
      </w:rPr>
    </w:lvl>
    <w:lvl w:ilvl="2">
      <w:start w:val="1"/>
      <w:numFmt w:val="bullet"/>
      <w:lvlText w:val="•"/>
      <w:lvlJc w:val="left"/>
      <w:pPr>
        <w:ind w:left="1931" w:hanging="396"/>
      </w:pPr>
      <w:rPr>
        <w:rFonts w:hint="default"/>
      </w:rPr>
    </w:lvl>
    <w:lvl w:ilvl="3">
      <w:start w:val="1"/>
      <w:numFmt w:val="bullet"/>
      <w:lvlText w:val="•"/>
      <w:lvlJc w:val="left"/>
      <w:pPr>
        <w:ind w:left="2943" w:hanging="396"/>
      </w:pPr>
      <w:rPr>
        <w:rFonts w:hint="default"/>
      </w:rPr>
    </w:lvl>
    <w:lvl w:ilvl="4">
      <w:start w:val="1"/>
      <w:numFmt w:val="bullet"/>
      <w:lvlText w:val="•"/>
      <w:lvlJc w:val="left"/>
      <w:pPr>
        <w:ind w:left="3955" w:hanging="396"/>
      </w:pPr>
      <w:rPr>
        <w:rFonts w:hint="default"/>
      </w:rPr>
    </w:lvl>
    <w:lvl w:ilvl="5">
      <w:start w:val="1"/>
      <w:numFmt w:val="bullet"/>
      <w:lvlText w:val="•"/>
      <w:lvlJc w:val="left"/>
      <w:pPr>
        <w:ind w:left="4966" w:hanging="396"/>
      </w:pPr>
      <w:rPr>
        <w:rFonts w:hint="default"/>
      </w:rPr>
    </w:lvl>
    <w:lvl w:ilvl="6">
      <w:start w:val="1"/>
      <w:numFmt w:val="bullet"/>
      <w:lvlText w:val="•"/>
      <w:lvlJc w:val="left"/>
      <w:pPr>
        <w:ind w:left="5978" w:hanging="396"/>
      </w:pPr>
      <w:rPr>
        <w:rFonts w:hint="default"/>
      </w:rPr>
    </w:lvl>
    <w:lvl w:ilvl="7">
      <w:start w:val="1"/>
      <w:numFmt w:val="bullet"/>
      <w:lvlText w:val="•"/>
      <w:lvlJc w:val="left"/>
      <w:pPr>
        <w:ind w:left="6990" w:hanging="396"/>
      </w:pPr>
      <w:rPr>
        <w:rFonts w:hint="default"/>
      </w:rPr>
    </w:lvl>
    <w:lvl w:ilvl="8">
      <w:start w:val="1"/>
      <w:numFmt w:val="bullet"/>
      <w:lvlText w:val="•"/>
      <w:lvlJc w:val="left"/>
      <w:pPr>
        <w:ind w:left="8002" w:hanging="396"/>
      </w:pPr>
      <w:rPr>
        <w:rFonts w:hint="default"/>
      </w:rPr>
    </w:lvl>
  </w:abstractNum>
  <w:abstractNum w:abstractNumId="75">
    <w:multiLevelType w:val="hybridMultilevel"/>
    <w:lvl w:ilvl="0">
      <w:start w:val="1"/>
      <w:numFmt w:val="bullet"/>
      <w:lvlText w:val=""/>
      <w:lvlJc w:val="left"/>
      <w:pPr>
        <w:ind w:left="1070" w:hanging="567"/>
      </w:pPr>
      <w:rPr>
        <w:rFonts w:hint="default" w:ascii="Symbol" w:hAnsi="Symbol" w:eastAsia="Symbol" w:cs="Symbol"/>
        <w:w w:val="100"/>
        <w:sz w:val="18"/>
        <w:szCs w:val="18"/>
      </w:rPr>
    </w:lvl>
    <w:lvl w:ilvl="1">
      <w:start w:val="1"/>
      <w:numFmt w:val="bullet"/>
      <w:lvlText w:val="•"/>
      <w:lvlJc w:val="left"/>
      <w:pPr>
        <w:ind w:left="1984" w:hanging="567"/>
      </w:pPr>
      <w:rPr>
        <w:rFonts w:hint="default"/>
      </w:rPr>
    </w:lvl>
    <w:lvl w:ilvl="2">
      <w:start w:val="1"/>
      <w:numFmt w:val="bullet"/>
      <w:lvlText w:val="•"/>
      <w:lvlJc w:val="left"/>
      <w:pPr>
        <w:ind w:left="2889"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8"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7"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6" w:hanging="567"/>
      </w:pPr>
      <w:rPr>
        <w:rFonts w:hint="default"/>
      </w:rPr>
    </w:lvl>
  </w:abstractNum>
  <w:abstractNum w:abstractNumId="74">
    <w:multiLevelType w:val="hybridMultilevel"/>
    <w:lvl w:ilvl="0">
      <w:start w:val="1"/>
      <w:numFmt w:val="lowerRoman"/>
      <w:lvlText w:val="(%1)"/>
      <w:lvlJc w:val="left"/>
      <w:pPr>
        <w:ind w:left="845" w:hanging="313"/>
        <w:jc w:val="left"/>
      </w:pPr>
      <w:rPr>
        <w:rFonts w:hint="default" w:ascii="Arial" w:hAnsi="Arial" w:eastAsia="Arial" w:cs="Arial"/>
        <w:w w:val="99"/>
        <w:sz w:val="18"/>
        <w:szCs w:val="18"/>
      </w:rPr>
    </w:lvl>
    <w:lvl w:ilvl="1">
      <w:start w:val="1"/>
      <w:numFmt w:val="bullet"/>
      <w:lvlText w:val="•"/>
      <w:lvlJc w:val="left"/>
      <w:pPr>
        <w:ind w:left="1768" w:hanging="313"/>
      </w:pPr>
      <w:rPr>
        <w:rFonts w:hint="default"/>
      </w:rPr>
    </w:lvl>
    <w:lvl w:ilvl="2">
      <w:start w:val="1"/>
      <w:numFmt w:val="bullet"/>
      <w:lvlText w:val="•"/>
      <w:lvlJc w:val="left"/>
      <w:pPr>
        <w:ind w:left="2697" w:hanging="313"/>
      </w:pPr>
      <w:rPr>
        <w:rFonts w:hint="default"/>
      </w:rPr>
    </w:lvl>
    <w:lvl w:ilvl="3">
      <w:start w:val="1"/>
      <w:numFmt w:val="bullet"/>
      <w:lvlText w:val="•"/>
      <w:lvlJc w:val="left"/>
      <w:pPr>
        <w:ind w:left="3625" w:hanging="313"/>
      </w:pPr>
      <w:rPr>
        <w:rFonts w:hint="default"/>
      </w:rPr>
    </w:lvl>
    <w:lvl w:ilvl="4">
      <w:start w:val="1"/>
      <w:numFmt w:val="bullet"/>
      <w:lvlText w:val="•"/>
      <w:lvlJc w:val="left"/>
      <w:pPr>
        <w:ind w:left="4554" w:hanging="313"/>
      </w:pPr>
      <w:rPr>
        <w:rFonts w:hint="default"/>
      </w:rPr>
    </w:lvl>
    <w:lvl w:ilvl="5">
      <w:start w:val="1"/>
      <w:numFmt w:val="bullet"/>
      <w:lvlText w:val="•"/>
      <w:lvlJc w:val="left"/>
      <w:pPr>
        <w:ind w:left="5482" w:hanging="313"/>
      </w:pPr>
      <w:rPr>
        <w:rFonts w:hint="default"/>
      </w:rPr>
    </w:lvl>
    <w:lvl w:ilvl="6">
      <w:start w:val="1"/>
      <w:numFmt w:val="bullet"/>
      <w:lvlText w:val="•"/>
      <w:lvlJc w:val="left"/>
      <w:pPr>
        <w:ind w:left="6411" w:hanging="313"/>
      </w:pPr>
      <w:rPr>
        <w:rFonts w:hint="default"/>
      </w:rPr>
    </w:lvl>
    <w:lvl w:ilvl="7">
      <w:start w:val="1"/>
      <w:numFmt w:val="bullet"/>
      <w:lvlText w:val="•"/>
      <w:lvlJc w:val="left"/>
      <w:pPr>
        <w:ind w:left="7339" w:hanging="313"/>
      </w:pPr>
      <w:rPr>
        <w:rFonts w:hint="default"/>
      </w:rPr>
    </w:lvl>
    <w:lvl w:ilvl="8">
      <w:start w:val="1"/>
      <w:numFmt w:val="bullet"/>
      <w:lvlText w:val="•"/>
      <w:lvlJc w:val="left"/>
      <w:pPr>
        <w:ind w:left="8268" w:hanging="313"/>
      </w:pPr>
      <w:rPr>
        <w:rFonts w:hint="default"/>
      </w:rPr>
    </w:lvl>
  </w:abstractNum>
  <w:abstractNum w:abstractNumId="73">
    <w:multiLevelType w:val="hybridMultilevel"/>
    <w:lvl w:ilvl="0">
      <w:start w:val="15"/>
      <w:numFmt w:val="decimal"/>
      <w:lvlText w:val="%1"/>
      <w:lvlJc w:val="left"/>
      <w:pPr>
        <w:ind w:left="504" w:hanging="396"/>
        <w:jc w:val="left"/>
      </w:pPr>
      <w:rPr>
        <w:rFonts w:hint="default" w:ascii="Arial" w:hAnsi="Arial" w:eastAsia="Arial" w:cs="Arial"/>
        <w:b/>
        <w:bCs/>
        <w:w w:val="99"/>
        <w:sz w:val="18"/>
        <w:szCs w:val="18"/>
      </w:rPr>
    </w:lvl>
    <w:lvl w:ilvl="1">
      <w:start w:val="1"/>
      <w:numFmt w:val="lowerLetter"/>
      <w:lvlText w:val="(%2)"/>
      <w:lvlJc w:val="left"/>
      <w:pPr>
        <w:ind w:left="1070" w:hanging="567"/>
        <w:jc w:val="left"/>
      </w:pPr>
      <w:rPr>
        <w:rFonts w:hint="default" w:ascii="Arial" w:hAnsi="Arial" w:eastAsia="Arial" w:cs="Arial"/>
        <w:b/>
        <w:bCs/>
        <w:w w:val="99"/>
        <w:sz w:val="18"/>
        <w:szCs w:val="18"/>
      </w:rPr>
    </w:lvl>
    <w:lvl w:ilvl="2">
      <w:start w:val="1"/>
      <w:numFmt w:val="bullet"/>
      <w:lvlText w:val="•"/>
      <w:lvlJc w:val="left"/>
      <w:pPr>
        <w:ind w:left="2085" w:hanging="567"/>
      </w:pPr>
      <w:rPr>
        <w:rFonts w:hint="default"/>
      </w:rPr>
    </w:lvl>
    <w:lvl w:ilvl="3">
      <w:start w:val="1"/>
      <w:numFmt w:val="bullet"/>
      <w:lvlText w:val="•"/>
      <w:lvlJc w:val="left"/>
      <w:pPr>
        <w:ind w:left="3090" w:hanging="567"/>
      </w:pPr>
      <w:rPr>
        <w:rFonts w:hint="default"/>
      </w:rPr>
    </w:lvl>
    <w:lvl w:ilvl="4">
      <w:start w:val="1"/>
      <w:numFmt w:val="bullet"/>
      <w:lvlText w:val="•"/>
      <w:lvlJc w:val="left"/>
      <w:pPr>
        <w:ind w:left="4095" w:hanging="567"/>
      </w:pPr>
      <w:rPr>
        <w:rFonts w:hint="default"/>
      </w:rPr>
    </w:lvl>
    <w:lvl w:ilvl="5">
      <w:start w:val="1"/>
      <w:numFmt w:val="bullet"/>
      <w:lvlText w:val="•"/>
      <w:lvlJc w:val="left"/>
      <w:pPr>
        <w:ind w:left="5100" w:hanging="567"/>
      </w:pPr>
      <w:rPr>
        <w:rFonts w:hint="default"/>
      </w:rPr>
    </w:lvl>
    <w:lvl w:ilvl="6">
      <w:start w:val="1"/>
      <w:numFmt w:val="bullet"/>
      <w:lvlText w:val="•"/>
      <w:lvlJc w:val="left"/>
      <w:pPr>
        <w:ind w:left="6105" w:hanging="567"/>
      </w:pPr>
      <w:rPr>
        <w:rFonts w:hint="default"/>
      </w:rPr>
    </w:lvl>
    <w:lvl w:ilvl="7">
      <w:start w:val="1"/>
      <w:numFmt w:val="bullet"/>
      <w:lvlText w:val="•"/>
      <w:lvlJc w:val="left"/>
      <w:pPr>
        <w:ind w:left="7110" w:hanging="567"/>
      </w:pPr>
      <w:rPr>
        <w:rFonts w:hint="default"/>
      </w:rPr>
    </w:lvl>
    <w:lvl w:ilvl="8">
      <w:start w:val="1"/>
      <w:numFmt w:val="bullet"/>
      <w:lvlText w:val="•"/>
      <w:lvlJc w:val="left"/>
      <w:pPr>
        <w:ind w:left="8115" w:hanging="567"/>
      </w:pPr>
      <w:rPr>
        <w:rFonts w:hint="default"/>
      </w:rPr>
    </w:lvl>
  </w:abstractNum>
  <w:abstractNum w:abstractNumId="72">
    <w:multiLevelType w:val="hybridMultilevel"/>
    <w:lvl w:ilvl="0">
      <w:start w:val="9"/>
      <w:numFmt w:val="decimal"/>
      <w:lvlText w:val="%1"/>
      <w:lvlJc w:val="left"/>
      <w:pPr>
        <w:ind w:left="504" w:hanging="396"/>
        <w:jc w:val="left"/>
      </w:pPr>
      <w:rPr>
        <w:rFonts w:hint="default" w:ascii="Arial" w:hAnsi="Arial" w:eastAsia="Arial" w:cs="Arial"/>
        <w:b/>
        <w:bCs/>
        <w:w w:val="99"/>
        <w:sz w:val="18"/>
        <w:szCs w:val="18"/>
      </w:rPr>
    </w:lvl>
    <w:lvl w:ilvl="1">
      <w:start w:val="1"/>
      <w:numFmt w:val="lowerLetter"/>
      <w:lvlText w:val="(%2)"/>
      <w:lvlJc w:val="left"/>
      <w:pPr>
        <w:ind w:left="1070" w:hanging="567"/>
        <w:jc w:val="left"/>
      </w:pPr>
      <w:rPr>
        <w:rFonts w:hint="default" w:ascii="Arial" w:hAnsi="Arial" w:eastAsia="Arial" w:cs="Arial"/>
        <w:b/>
        <w:bCs/>
        <w:w w:val="99"/>
        <w:sz w:val="18"/>
        <w:szCs w:val="18"/>
      </w:rPr>
    </w:lvl>
    <w:lvl w:ilvl="2">
      <w:start w:val="1"/>
      <w:numFmt w:val="bullet"/>
      <w:lvlText w:val="•"/>
      <w:lvlJc w:val="left"/>
      <w:pPr>
        <w:ind w:left="2042" w:hanging="567"/>
      </w:pPr>
      <w:rPr>
        <w:rFonts w:hint="default"/>
      </w:rPr>
    </w:lvl>
    <w:lvl w:ilvl="3">
      <w:start w:val="1"/>
      <w:numFmt w:val="bullet"/>
      <w:lvlText w:val="•"/>
      <w:lvlJc w:val="left"/>
      <w:pPr>
        <w:ind w:left="3005" w:hanging="567"/>
      </w:pPr>
      <w:rPr>
        <w:rFonts w:hint="default"/>
      </w:rPr>
    </w:lvl>
    <w:lvl w:ilvl="4">
      <w:start w:val="1"/>
      <w:numFmt w:val="bullet"/>
      <w:lvlText w:val="•"/>
      <w:lvlJc w:val="left"/>
      <w:pPr>
        <w:ind w:left="3968" w:hanging="567"/>
      </w:pPr>
      <w:rPr>
        <w:rFonts w:hint="default"/>
      </w:rPr>
    </w:lvl>
    <w:lvl w:ilvl="5">
      <w:start w:val="1"/>
      <w:numFmt w:val="bullet"/>
      <w:lvlText w:val="•"/>
      <w:lvlJc w:val="left"/>
      <w:pPr>
        <w:ind w:left="4931" w:hanging="567"/>
      </w:pPr>
      <w:rPr>
        <w:rFonts w:hint="default"/>
      </w:rPr>
    </w:lvl>
    <w:lvl w:ilvl="6">
      <w:start w:val="1"/>
      <w:numFmt w:val="bullet"/>
      <w:lvlText w:val="•"/>
      <w:lvlJc w:val="left"/>
      <w:pPr>
        <w:ind w:left="5894" w:hanging="567"/>
      </w:pPr>
      <w:rPr>
        <w:rFonts w:hint="default"/>
      </w:rPr>
    </w:lvl>
    <w:lvl w:ilvl="7">
      <w:start w:val="1"/>
      <w:numFmt w:val="bullet"/>
      <w:lvlText w:val="•"/>
      <w:lvlJc w:val="left"/>
      <w:pPr>
        <w:ind w:left="6856" w:hanging="567"/>
      </w:pPr>
      <w:rPr>
        <w:rFonts w:hint="default"/>
      </w:rPr>
    </w:lvl>
    <w:lvl w:ilvl="8">
      <w:start w:val="1"/>
      <w:numFmt w:val="bullet"/>
      <w:lvlText w:val="•"/>
      <w:lvlJc w:val="left"/>
      <w:pPr>
        <w:ind w:left="7819" w:hanging="567"/>
      </w:pPr>
      <w:rPr>
        <w:rFonts w:hint="default"/>
      </w:rPr>
    </w:lvl>
  </w:abstractNum>
  <w:abstractNum w:abstractNumId="71">
    <w:multiLevelType w:val="hybridMultilevel"/>
    <w:lvl w:ilvl="0">
      <w:start w:val="3"/>
      <w:numFmt w:val="lowerLetter"/>
      <w:lvlText w:val="(%1)"/>
      <w:lvlJc w:val="left"/>
      <w:pPr>
        <w:ind w:left="504" w:hanging="396"/>
        <w:jc w:val="left"/>
      </w:pPr>
      <w:rPr>
        <w:rFonts w:hint="default" w:ascii="Arial" w:hAnsi="Arial" w:eastAsia="Arial" w:cs="Arial"/>
        <w:b/>
        <w:bCs/>
        <w:w w:val="99"/>
        <w:sz w:val="18"/>
        <w:szCs w:val="18"/>
      </w:rPr>
    </w:lvl>
    <w:lvl w:ilvl="1">
      <w:start w:val="1"/>
      <w:numFmt w:val="lowerRoman"/>
      <w:lvlText w:val="(%2)"/>
      <w:lvlJc w:val="left"/>
      <w:pPr>
        <w:ind w:left="715" w:hanging="212"/>
        <w:jc w:val="left"/>
      </w:pPr>
      <w:rPr>
        <w:rFonts w:hint="default" w:ascii="Arial" w:hAnsi="Arial" w:eastAsia="Arial" w:cs="Arial"/>
        <w:w w:val="99"/>
        <w:sz w:val="18"/>
        <w:szCs w:val="18"/>
      </w:rPr>
    </w:lvl>
    <w:lvl w:ilvl="2">
      <w:start w:val="1"/>
      <w:numFmt w:val="bullet"/>
      <w:lvlText w:val="•"/>
      <w:lvlJc w:val="left"/>
      <w:pPr>
        <w:ind w:left="760" w:hanging="212"/>
      </w:pPr>
      <w:rPr>
        <w:rFonts w:hint="default"/>
      </w:rPr>
    </w:lvl>
    <w:lvl w:ilvl="3">
      <w:start w:val="1"/>
      <w:numFmt w:val="bullet"/>
      <w:lvlText w:val="•"/>
      <w:lvlJc w:val="left"/>
      <w:pPr>
        <w:ind w:left="1930" w:hanging="212"/>
      </w:pPr>
      <w:rPr>
        <w:rFonts w:hint="default"/>
      </w:rPr>
    </w:lvl>
    <w:lvl w:ilvl="4">
      <w:start w:val="1"/>
      <w:numFmt w:val="bullet"/>
      <w:lvlText w:val="•"/>
      <w:lvlJc w:val="left"/>
      <w:pPr>
        <w:ind w:left="3101" w:hanging="212"/>
      </w:pPr>
      <w:rPr>
        <w:rFonts w:hint="default"/>
      </w:rPr>
    </w:lvl>
    <w:lvl w:ilvl="5">
      <w:start w:val="1"/>
      <w:numFmt w:val="bullet"/>
      <w:lvlText w:val="•"/>
      <w:lvlJc w:val="left"/>
      <w:pPr>
        <w:ind w:left="4272" w:hanging="212"/>
      </w:pPr>
      <w:rPr>
        <w:rFonts w:hint="default"/>
      </w:rPr>
    </w:lvl>
    <w:lvl w:ilvl="6">
      <w:start w:val="1"/>
      <w:numFmt w:val="bullet"/>
      <w:lvlText w:val="•"/>
      <w:lvlJc w:val="left"/>
      <w:pPr>
        <w:ind w:left="5442" w:hanging="212"/>
      </w:pPr>
      <w:rPr>
        <w:rFonts w:hint="default"/>
      </w:rPr>
    </w:lvl>
    <w:lvl w:ilvl="7">
      <w:start w:val="1"/>
      <w:numFmt w:val="bullet"/>
      <w:lvlText w:val="•"/>
      <w:lvlJc w:val="left"/>
      <w:pPr>
        <w:ind w:left="6613" w:hanging="212"/>
      </w:pPr>
      <w:rPr>
        <w:rFonts w:hint="default"/>
      </w:rPr>
    </w:lvl>
    <w:lvl w:ilvl="8">
      <w:start w:val="1"/>
      <w:numFmt w:val="bullet"/>
      <w:lvlText w:val="•"/>
      <w:lvlJc w:val="left"/>
      <w:pPr>
        <w:ind w:left="7784" w:hanging="212"/>
      </w:pPr>
      <w:rPr>
        <w:rFonts w:hint="default"/>
      </w:rPr>
    </w:lvl>
  </w:abstractNum>
  <w:abstractNum w:abstractNumId="70">
    <w:multiLevelType w:val="hybridMultilevel"/>
    <w:lvl w:ilvl="0">
      <w:start w:val="1"/>
      <w:numFmt w:val="lowerLetter"/>
      <w:lvlText w:val="(%1)"/>
      <w:lvlJc w:val="left"/>
      <w:pPr>
        <w:ind w:left="504" w:hanging="396"/>
        <w:jc w:val="left"/>
      </w:pPr>
      <w:rPr>
        <w:rFonts w:hint="default" w:ascii="Arial" w:hAnsi="Arial" w:eastAsia="Arial" w:cs="Arial"/>
        <w:b/>
        <w:bCs/>
        <w:w w:val="99"/>
        <w:sz w:val="18"/>
        <w:szCs w:val="18"/>
      </w:rPr>
    </w:lvl>
    <w:lvl w:ilvl="1">
      <w:start w:val="1"/>
      <w:numFmt w:val="bullet"/>
      <w:lvlText w:val="-"/>
      <w:lvlJc w:val="left"/>
      <w:pPr>
        <w:ind w:left="504" w:hanging="112"/>
      </w:pPr>
      <w:rPr>
        <w:rFonts w:hint="default" w:ascii="Arial" w:hAnsi="Arial" w:eastAsia="Arial" w:cs="Arial"/>
        <w:w w:val="99"/>
        <w:sz w:val="18"/>
        <w:szCs w:val="18"/>
      </w:rPr>
    </w:lvl>
    <w:lvl w:ilvl="2">
      <w:start w:val="1"/>
      <w:numFmt w:val="bullet"/>
      <w:lvlText w:val="•"/>
      <w:lvlJc w:val="left"/>
      <w:pPr>
        <w:ind w:left="2417" w:hanging="112"/>
      </w:pPr>
      <w:rPr>
        <w:rFonts w:hint="default"/>
      </w:rPr>
    </w:lvl>
    <w:lvl w:ilvl="3">
      <w:start w:val="1"/>
      <w:numFmt w:val="bullet"/>
      <w:lvlText w:val="•"/>
      <w:lvlJc w:val="left"/>
      <w:pPr>
        <w:ind w:left="3375" w:hanging="112"/>
      </w:pPr>
      <w:rPr>
        <w:rFonts w:hint="default"/>
      </w:rPr>
    </w:lvl>
    <w:lvl w:ilvl="4">
      <w:start w:val="1"/>
      <w:numFmt w:val="bullet"/>
      <w:lvlText w:val="•"/>
      <w:lvlJc w:val="left"/>
      <w:pPr>
        <w:ind w:left="4334" w:hanging="112"/>
      </w:pPr>
      <w:rPr>
        <w:rFonts w:hint="default"/>
      </w:rPr>
    </w:lvl>
    <w:lvl w:ilvl="5">
      <w:start w:val="1"/>
      <w:numFmt w:val="bullet"/>
      <w:lvlText w:val="•"/>
      <w:lvlJc w:val="left"/>
      <w:pPr>
        <w:ind w:left="5292" w:hanging="112"/>
      </w:pPr>
      <w:rPr>
        <w:rFonts w:hint="default"/>
      </w:rPr>
    </w:lvl>
    <w:lvl w:ilvl="6">
      <w:start w:val="1"/>
      <w:numFmt w:val="bullet"/>
      <w:lvlText w:val="•"/>
      <w:lvlJc w:val="left"/>
      <w:pPr>
        <w:ind w:left="6251" w:hanging="112"/>
      </w:pPr>
      <w:rPr>
        <w:rFonts w:hint="default"/>
      </w:rPr>
    </w:lvl>
    <w:lvl w:ilvl="7">
      <w:start w:val="1"/>
      <w:numFmt w:val="bullet"/>
      <w:lvlText w:val="•"/>
      <w:lvlJc w:val="left"/>
      <w:pPr>
        <w:ind w:left="7209" w:hanging="112"/>
      </w:pPr>
      <w:rPr>
        <w:rFonts w:hint="default"/>
      </w:rPr>
    </w:lvl>
    <w:lvl w:ilvl="8">
      <w:start w:val="1"/>
      <w:numFmt w:val="bullet"/>
      <w:lvlText w:val="•"/>
      <w:lvlJc w:val="left"/>
      <w:pPr>
        <w:ind w:left="8168" w:hanging="112"/>
      </w:pPr>
      <w:rPr>
        <w:rFonts w:hint="default"/>
      </w:rPr>
    </w:lvl>
  </w:abstractNum>
  <w:abstractNum w:abstractNumId="68">
    <w:multiLevelType w:val="hybridMultilevel"/>
    <w:lvl w:ilvl="0">
      <w:start w:val="22"/>
      <w:numFmt w:val="decimal"/>
      <w:lvlText w:val="%1"/>
      <w:lvlJc w:val="left"/>
      <w:pPr>
        <w:ind w:left="505" w:hanging="396"/>
        <w:jc w:val="left"/>
      </w:pPr>
      <w:rPr>
        <w:rFonts w:hint="default" w:ascii="Arial" w:hAnsi="Arial" w:eastAsia="Arial" w:cs="Arial"/>
        <w:b/>
        <w:bCs/>
        <w:w w:val="99"/>
        <w:sz w:val="18"/>
        <w:szCs w:val="18"/>
      </w:rPr>
    </w:lvl>
    <w:lvl w:ilvl="1">
      <w:start w:val="1"/>
      <w:numFmt w:val="decimal"/>
      <w:lvlText w:val="%2."/>
      <w:lvlJc w:val="left"/>
      <w:pPr>
        <w:ind w:left="744" w:hanging="397"/>
        <w:jc w:val="left"/>
      </w:pPr>
      <w:rPr>
        <w:rFonts w:hint="default" w:ascii="Arial" w:hAnsi="Arial" w:eastAsia="Arial" w:cs="Arial"/>
        <w:w w:val="99"/>
        <w:sz w:val="18"/>
        <w:szCs w:val="18"/>
      </w:rPr>
    </w:lvl>
    <w:lvl w:ilvl="2">
      <w:start w:val="1"/>
      <w:numFmt w:val="lowerLetter"/>
      <w:lvlText w:val="%3."/>
      <w:lvlJc w:val="left"/>
      <w:pPr>
        <w:ind w:left="1141" w:hanging="398"/>
        <w:jc w:val="left"/>
      </w:pPr>
      <w:rPr>
        <w:rFonts w:hint="default" w:ascii="Arial" w:hAnsi="Arial" w:eastAsia="Arial" w:cs="Arial"/>
        <w:w w:val="99"/>
        <w:sz w:val="18"/>
        <w:szCs w:val="18"/>
      </w:rPr>
    </w:lvl>
    <w:lvl w:ilvl="3">
      <w:start w:val="1"/>
      <w:numFmt w:val="bullet"/>
      <w:lvlText w:val="•"/>
      <w:lvlJc w:val="left"/>
      <w:pPr>
        <w:ind w:left="2263" w:hanging="398"/>
      </w:pPr>
      <w:rPr>
        <w:rFonts w:hint="default"/>
      </w:rPr>
    </w:lvl>
    <w:lvl w:ilvl="4">
      <w:start w:val="1"/>
      <w:numFmt w:val="bullet"/>
      <w:lvlText w:val="•"/>
      <w:lvlJc w:val="left"/>
      <w:pPr>
        <w:ind w:left="3386" w:hanging="398"/>
      </w:pPr>
      <w:rPr>
        <w:rFonts w:hint="default"/>
      </w:rPr>
    </w:lvl>
    <w:lvl w:ilvl="5">
      <w:start w:val="1"/>
      <w:numFmt w:val="bullet"/>
      <w:lvlText w:val="•"/>
      <w:lvlJc w:val="left"/>
      <w:pPr>
        <w:ind w:left="4509" w:hanging="398"/>
      </w:pPr>
      <w:rPr>
        <w:rFonts w:hint="default"/>
      </w:rPr>
    </w:lvl>
    <w:lvl w:ilvl="6">
      <w:start w:val="1"/>
      <w:numFmt w:val="bullet"/>
      <w:lvlText w:val="•"/>
      <w:lvlJc w:val="left"/>
      <w:pPr>
        <w:ind w:left="5632" w:hanging="398"/>
      </w:pPr>
      <w:rPr>
        <w:rFonts w:hint="default"/>
      </w:rPr>
    </w:lvl>
    <w:lvl w:ilvl="7">
      <w:start w:val="1"/>
      <w:numFmt w:val="bullet"/>
      <w:lvlText w:val="•"/>
      <w:lvlJc w:val="left"/>
      <w:pPr>
        <w:ind w:left="6755" w:hanging="398"/>
      </w:pPr>
      <w:rPr>
        <w:rFonts w:hint="default"/>
      </w:rPr>
    </w:lvl>
    <w:lvl w:ilvl="8">
      <w:start w:val="1"/>
      <w:numFmt w:val="bullet"/>
      <w:lvlText w:val="•"/>
      <w:lvlJc w:val="left"/>
      <w:pPr>
        <w:ind w:left="7878" w:hanging="398"/>
      </w:pPr>
      <w:rPr>
        <w:rFonts w:hint="default"/>
      </w:rPr>
    </w:lvl>
  </w:abstractNum>
  <w:abstractNum w:abstractNumId="65">
    <w:multiLevelType w:val="hybridMultilevel"/>
    <w:lvl w:ilvl="0">
      <w:start w:val="9"/>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111" w:hanging="567"/>
        <w:jc w:val="left"/>
      </w:pPr>
      <w:rPr>
        <w:rFonts w:hint="default" w:ascii="Arial" w:hAnsi="Arial" w:eastAsia="Arial" w:cs="Arial"/>
        <w:b/>
        <w:bCs/>
        <w:w w:val="99"/>
        <w:sz w:val="18"/>
        <w:szCs w:val="18"/>
      </w:rPr>
    </w:lvl>
    <w:lvl w:ilvl="2">
      <w:start w:val="1"/>
      <w:numFmt w:val="bullet"/>
      <w:lvlText w:val="•"/>
      <w:lvlJc w:val="left"/>
      <w:pPr>
        <w:ind w:left="1199" w:hanging="567"/>
      </w:pPr>
      <w:rPr>
        <w:rFonts w:hint="default"/>
      </w:rPr>
    </w:lvl>
    <w:lvl w:ilvl="3">
      <w:start w:val="1"/>
      <w:numFmt w:val="bullet"/>
      <w:lvlText w:val="•"/>
      <w:lvlJc w:val="left"/>
      <w:pPr>
        <w:ind w:left="1278" w:hanging="567"/>
      </w:pPr>
      <w:rPr>
        <w:rFonts w:hint="default"/>
      </w:rPr>
    </w:lvl>
    <w:lvl w:ilvl="4">
      <w:start w:val="1"/>
      <w:numFmt w:val="bullet"/>
      <w:lvlText w:val="•"/>
      <w:lvlJc w:val="left"/>
      <w:pPr>
        <w:ind w:left="1358" w:hanging="567"/>
      </w:pPr>
      <w:rPr>
        <w:rFonts w:hint="default"/>
      </w:rPr>
    </w:lvl>
    <w:lvl w:ilvl="5">
      <w:start w:val="1"/>
      <w:numFmt w:val="bullet"/>
      <w:lvlText w:val="•"/>
      <w:lvlJc w:val="left"/>
      <w:pPr>
        <w:ind w:left="1437" w:hanging="567"/>
      </w:pPr>
      <w:rPr>
        <w:rFonts w:hint="default"/>
      </w:rPr>
    </w:lvl>
    <w:lvl w:ilvl="6">
      <w:start w:val="1"/>
      <w:numFmt w:val="bullet"/>
      <w:lvlText w:val="•"/>
      <w:lvlJc w:val="left"/>
      <w:pPr>
        <w:ind w:left="1516" w:hanging="567"/>
      </w:pPr>
      <w:rPr>
        <w:rFonts w:hint="default"/>
      </w:rPr>
    </w:lvl>
    <w:lvl w:ilvl="7">
      <w:start w:val="1"/>
      <w:numFmt w:val="bullet"/>
      <w:lvlText w:val="•"/>
      <w:lvlJc w:val="left"/>
      <w:pPr>
        <w:ind w:left="1596" w:hanging="567"/>
      </w:pPr>
      <w:rPr>
        <w:rFonts w:hint="default"/>
      </w:rPr>
    </w:lvl>
    <w:lvl w:ilvl="8">
      <w:start w:val="1"/>
      <w:numFmt w:val="bullet"/>
      <w:lvlText w:val="•"/>
      <w:lvlJc w:val="left"/>
      <w:pPr>
        <w:ind w:left="1675" w:hanging="567"/>
      </w:pPr>
      <w:rPr>
        <w:rFonts w:hint="default"/>
      </w:rPr>
    </w:lvl>
  </w:abstractNum>
  <w:abstractNum w:abstractNumId="64">
    <w:multiLevelType w:val="hybridMultilevel"/>
    <w:lvl w:ilvl="0">
      <w:start w:val="6"/>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b/>
        <w:bCs/>
        <w:w w:val="99"/>
        <w:sz w:val="18"/>
        <w:szCs w:val="18"/>
      </w:rPr>
    </w:lvl>
    <w:lvl w:ilvl="2">
      <w:start w:val="1"/>
      <w:numFmt w:val="bullet"/>
      <w:lvlText w:val="•"/>
      <w:lvlJc w:val="left"/>
      <w:pPr>
        <w:ind w:left="2087" w:hanging="567"/>
      </w:pPr>
      <w:rPr>
        <w:rFonts w:hint="default"/>
      </w:rPr>
    </w:lvl>
    <w:lvl w:ilvl="3">
      <w:start w:val="1"/>
      <w:numFmt w:val="bullet"/>
      <w:lvlText w:val="•"/>
      <w:lvlJc w:val="left"/>
      <w:pPr>
        <w:ind w:left="3094" w:hanging="567"/>
      </w:pPr>
      <w:rPr>
        <w:rFonts w:hint="default"/>
      </w:rPr>
    </w:lvl>
    <w:lvl w:ilvl="4">
      <w:start w:val="1"/>
      <w:numFmt w:val="bullet"/>
      <w:lvlText w:val="•"/>
      <w:lvlJc w:val="left"/>
      <w:pPr>
        <w:ind w:left="4101" w:hanging="567"/>
      </w:pPr>
      <w:rPr>
        <w:rFonts w:hint="default"/>
      </w:rPr>
    </w:lvl>
    <w:lvl w:ilvl="5">
      <w:start w:val="1"/>
      <w:numFmt w:val="bullet"/>
      <w:lvlText w:val="•"/>
      <w:lvlJc w:val="left"/>
      <w:pPr>
        <w:ind w:left="5108" w:hanging="567"/>
      </w:pPr>
      <w:rPr>
        <w:rFonts w:hint="default"/>
      </w:rPr>
    </w:lvl>
    <w:lvl w:ilvl="6">
      <w:start w:val="1"/>
      <w:numFmt w:val="bullet"/>
      <w:lvlText w:val="•"/>
      <w:lvlJc w:val="left"/>
      <w:pPr>
        <w:ind w:left="6115" w:hanging="567"/>
      </w:pPr>
      <w:rPr>
        <w:rFonts w:hint="default"/>
      </w:rPr>
    </w:lvl>
    <w:lvl w:ilvl="7">
      <w:start w:val="1"/>
      <w:numFmt w:val="bullet"/>
      <w:lvlText w:val="•"/>
      <w:lvlJc w:val="left"/>
      <w:pPr>
        <w:ind w:left="7122" w:hanging="567"/>
      </w:pPr>
      <w:rPr>
        <w:rFonts w:hint="default"/>
      </w:rPr>
    </w:lvl>
    <w:lvl w:ilvl="8">
      <w:start w:val="1"/>
      <w:numFmt w:val="bullet"/>
      <w:lvlText w:val="•"/>
      <w:lvlJc w:val="left"/>
      <w:pPr>
        <w:ind w:left="8130" w:hanging="567"/>
      </w:pPr>
      <w:rPr>
        <w:rFonts w:hint="default"/>
      </w:rPr>
    </w:lvl>
  </w:abstractNum>
  <w:abstractNum w:abstractNumId="63">
    <w:multiLevelType w:val="hybridMultilevel"/>
    <w:lvl w:ilvl="0">
      <w:start w:val="2"/>
      <w:numFmt w:val="decimal"/>
      <w:lvlText w:val="%1"/>
      <w:lvlJc w:val="left"/>
      <w:pPr>
        <w:ind w:left="505" w:hanging="396"/>
        <w:jc w:val="left"/>
      </w:pPr>
      <w:rPr>
        <w:rFonts w:hint="default" w:ascii="Arial" w:hAnsi="Arial" w:eastAsia="Arial" w:cs="Arial"/>
        <w:b/>
        <w:bCs/>
        <w:w w:val="99"/>
        <w:sz w:val="18"/>
        <w:szCs w:val="18"/>
      </w:rPr>
    </w:lvl>
    <w:lvl w:ilvl="1">
      <w:start w:val="1"/>
      <w:numFmt w:val="bullet"/>
      <w:lvlText w:val="•"/>
      <w:lvlJc w:val="left"/>
      <w:pPr>
        <w:ind w:left="1462" w:hanging="396"/>
      </w:pPr>
      <w:rPr>
        <w:rFonts w:hint="default"/>
      </w:rPr>
    </w:lvl>
    <w:lvl w:ilvl="2">
      <w:start w:val="1"/>
      <w:numFmt w:val="bullet"/>
      <w:lvlText w:val="•"/>
      <w:lvlJc w:val="left"/>
      <w:pPr>
        <w:ind w:left="2424" w:hanging="396"/>
      </w:pPr>
      <w:rPr>
        <w:rFonts w:hint="default"/>
      </w:rPr>
    </w:lvl>
    <w:lvl w:ilvl="3">
      <w:start w:val="1"/>
      <w:numFmt w:val="bullet"/>
      <w:lvlText w:val="•"/>
      <w:lvlJc w:val="left"/>
      <w:pPr>
        <w:ind w:left="3387" w:hanging="396"/>
      </w:pPr>
      <w:rPr>
        <w:rFonts w:hint="default"/>
      </w:rPr>
    </w:lvl>
    <w:lvl w:ilvl="4">
      <w:start w:val="1"/>
      <w:numFmt w:val="bullet"/>
      <w:lvlText w:val="•"/>
      <w:lvlJc w:val="left"/>
      <w:pPr>
        <w:ind w:left="4349" w:hanging="396"/>
      </w:pPr>
      <w:rPr>
        <w:rFonts w:hint="default"/>
      </w:rPr>
    </w:lvl>
    <w:lvl w:ilvl="5">
      <w:start w:val="1"/>
      <w:numFmt w:val="bullet"/>
      <w:lvlText w:val="•"/>
      <w:lvlJc w:val="left"/>
      <w:pPr>
        <w:ind w:left="5312" w:hanging="396"/>
      </w:pPr>
      <w:rPr>
        <w:rFonts w:hint="default"/>
      </w:rPr>
    </w:lvl>
    <w:lvl w:ilvl="6">
      <w:start w:val="1"/>
      <w:numFmt w:val="bullet"/>
      <w:lvlText w:val="•"/>
      <w:lvlJc w:val="left"/>
      <w:pPr>
        <w:ind w:left="6274" w:hanging="396"/>
      </w:pPr>
      <w:rPr>
        <w:rFonts w:hint="default"/>
      </w:rPr>
    </w:lvl>
    <w:lvl w:ilvl="7">
      <w:start w:val="1"/>
      <w:numFmt w:val="bullet"/>
      <w:lvlText w:val="•"/>
      <w:lvlJc w:val="left"/>
      <w:pPr>
        <w:ind w:left="7237" w:hanging="396"/>
      </w:pPr>
      <w:rPr>
        <w:rFonts w:hint="default"/>
      </w:rPr>
    </w:lvl>
    <w:lvl w:ilvl="8">
      <w:start w:val="1"/>
      <w:numFmt w:val="bullet"/>
      <w:lvlText w:val="•"/>
      <w:lvlJc w:val="left"/>
      <w:pPr>
        <w:ind w:left="8199" w:hanging="396"/>
      </w:pPr>
      <w:rPr>
        <w:rFonts w:hint="default"/>
      </w:rPr>
    </w:lvl>
  </w:abstractNum>
  <w:abstractNum w:abstractNumId="62">
    <w:multiLevelType w:val="hybridMultilevel"/>
    <w:lvl w:ilvl="0">
      <w:start w:val="2"/>
      <w:numFmt w:val="lowerLetter"/>
      <w:lvlText w:val="(%1)"/>
      <w:lvlJc w:val="left"/>
      <w:pPr>
        <w:ind w:left="1071" w:hanging="567"/>
        <w:jc w:val="left"/>
      </w:pPr>
      <w:rPr>
        <w:rFonts w:hint="default" w:ascii="Arial" w:hAnsi="Arial" w:eastAsia="Arial" w:cs="Arial"/>
        <w:b/>
        <w:bCs/>
        <w:w w:val="100"/>
        <w:sz w:val="18"/>
        <w:szCs w:val="18"/>
      </w:rPr>
    </w:lvl>
    <w:lvl w:ilvl="1">
      <w:start w:val="1"/>
      <w:numFmt w:val="bullet"/>
      <w:lvlText w:val="•"/>
      <w:lvlJc w:val="left"/>
      <w:pPr>
        <w:ind w:left="1986" w:hanging="567"/>
      </w:pPr>
      <w:rPr>
        <w:rFonts w:hint="default"/>
      </w:rPr>
    </w:lvl>
    <w:lvl w:ilvl="2">
      <w:start w:val="1"/>
      <w:numFmt w:val="bullet"/>
      <w:lvlText w:val="•"/>
      <w:lvlJc w:val="left"/>
      <w:pPr>
        <w:ind w:left="2892" w:hanging="567"/>
      </w:pPr>
      <w:rPr>
        <w:rFonts w:hint="default"/>
      </w:rPr>
    </w:lvl>
    <w:lvl w:ilvl="3">
      <w:start w:val="1"/>
      <w:numFmt w:val="bullet"/>
      <w:lvlText w:val="•"/>
      <w:lvlJc w:val="left"/>
      <w:pPr>
        <w:ind w:left="3799" w:hanging="567"/>
      </w:pPr>
      <w:rPr>
        <w:rFonts w:hint="default"/>
      </w:rPr>
    </w:lvl>
    <w:lvl w:ilvl="4">
      <w:start w:val="1"/>
      <w:numFmt w:val="bullet"/>
      <w:lvlText w:val="•"/>
      <w:lvlJc w:val="left"/>
      <w:pPr>
        <w:ind w:left="4705" w:hanging="567"/>
      </w:pPr>
      <w:rPr>
        <w:rFonts w:hint="default"/>
      </w:rPr>
    </w:lvl>
    <w:lvl w:ilvl="5">
      <w:start w:val="1"/>
      <w:numFmt w:val="bullet"/>
      <w:lvlText w:val="•"/>
      <w:lvlJc w:val="left"/>
      <w:pPr>
        <w:ind w:left="5612" w:hanging="567"/>
      </w:pPr>
      <w:rPr>
        <w:rFonts w:hint="default"/>
      </w:rPr>
    </w:lvl>
    <w:lvl w:ilvl="6">
      <w:start w:val="1"/>
      <w:numFmt w:val="bullet"/>
      <w:lvlText w:val="•"/>
      <w:lvlJc w:val="left"/>
      <w:pPr>
        <w:ind w:left="6518" w:hanging="567"/>
      </w:pPr>
      <w:rPr>
        <w:rFonts w:hint="default"/>
      </w:rPr>
    </w:lvl>
    <w:lvl w:ilvl="7">
      <w:start w:val="1"/>
      <w:numFmt w:val="bullet"/>
      <w:lvlText w:val="•"/>
      <w:lvlJc w:val="left"/>
      <w:pPr>
        <w:ind w:left="7425" w:hanging="567"/>
      </w:pPr>
      <w:rPr>
        <w:rFonts w:hint="default"/>
      </w:rPr>
    </w:lvl>
    <w:lvl w:ilvl="8">
      <w:start w:val="1"/>
      <w:numFmt w:val="bullet"/>
      <w:lvlText w:val="•"/>
      <w:lvlJc w:val="left"/>
      <w:pPr>
        <w:ind w:left="8331" w:hanging="567"/>
      </w:pPr>
      <w:rPr>
        <w:rFonts w:hint="default"/>
      </w:rPr>
    </w:lvl>
  </w:abstractNum>
  <w:abstractNum w:abstractNumId="61">
    <w:multiLevelType w:val="hybridMultilevel"/>
    <w:lvl w:ilvl="0">
      <w:start w:val="1"/>
      <w:numFmt w:val="decimal"/>
      <w:lvlText w:val="%1"/>
      <w:lvlJc w:val="left"/>
      <w:pPr>
        <w:ind w:left="503" w:hanging="395"/>
        <w:jc w:val="left"/>
      </w:pPr>
      <w:rPr>
        <w:rFonts w:hint="default" w:ascii="Arial" w:hAnsi="Arial" w:eastAsia="Arial" w:cs="Arial"/>
        <w:b/>
        <w:bCs/>
        <w:w w:val="99"/>
        <w:sz w:val="18"/>
        <w:szCs w:val="18"/>
      </w:rPr>
    </w:lvl>
    <w:lvl w:ilvl="1">
      <w:start w:val="1"/>
      <w:numFmt w:val="lowerRoman"/>
      <w:lvlText w:val="(%2)"/>
      <w:lvlJc w:val="left"/>
      <w:pPr>
        <w:ind w:left="714" w:hanging="210"/>
        <w:jc w:val="left"/>
      </w:pPr>
      <w:rPr>
        <w:rFonts w:hint="default" w:ascii="Arial" w:hAnsi="Arial" w:eastAsia="Arial" w:cs="Arial"/>
        <w:w w:val="99"/>
        <w:sz w:val="18"/>
        <w:szCs w:val="18"/>
      </w:rPr>
    </w:lvl>
    <w:lvl w:ilvl="2">
      <w:start w:val="1"/>
      <w:numFmt w:val="bullet"/>
      <w:lvlText w:val="•"/>
      <w:lvlJc w:val="left"/>
      <w:pPr>
        <w:ind w:left="1764" w:hanging="210"/>
      </w:pPr>
      <w:rPr>
        <w:rFonts w:hint="default"/>
      </w:rPr>
    </w:lvl>
    <w:lvl w:ilvl="3">
      <w:start w:val="1"/>
      <w:numFmt w:val="bullet"/>
      <w:lvlText w:val="•"/>
      <w:lvlJc w:val="left"/>
      <w:pPr>
        <w:ind w:left="2809" w:hanging="210"/>
      </w:pPr>
      <w:rPr>
        <w:rFonts w:hint="default"/>
      </w:rPr>
    </w:lvl>
    <w:lvl w:ilvl="4">
      <w:start w:val="1"/>
      <w:numFmt w:val="bullet"/>
      <w:lvlText w:val="•"/>
      <w:lvlJc w:val="left"/>
      <w:pPr>
        <w:ind w:left="3854" w:hanging="210"/>
      </w:pPr>
      <w:rPr>
        <w:rFonts w:hint="default"/>
      </w:rPr>
    </w:lvl>
    <w:lvl w:ilvl="5">
      <w:start w:val="1"/>
      <w:numFmt w:val="bullet"/>
      <w:lvlText w:val="•"/>
      <w:lvlJc w:val="left"/>
      <w:pPr>
        <w:ind w:left="4899" w:hanging="210"/>
      </w:pPr>
      <w:rPr>
        <w:rFonts w:hint="default"/>
      </w:rPr>
    </w:lvl>
    <w:lvl w:ilvl="6">
      <w:start w:val="1"/>
      <w:numFmt w:val="bullet"/>
      <w:lvlText w:val="•"/>
      <w:lvlJc w:val="left"/>
      <w:pPr>
        <w:ind w:left="5944" w:hanging="210"/>
      </w:pPr>
      <w:rPr>
        <w:rFonts w:hint="default"/>
      </w:rPr>
    </w:lvl>
    <w:lvl w:ilvl="7">
      <w:start w:val="1"/>
      <w:numFmt w:val="bullet"/>
      <w:lvlText w:val="•"/>
      <w:lvlJc w:val="left"/>
      <w:pPr>
        <w:ind w:left="6989" w:hanging="210"/>
      </w:pPr>
      <w:rPr>
        <w:rFonts w:hint="default"/>
      </w:rPr>
    </w:lvl>
    <w:lvl w:ilvl="8">
      <w:start w:val="1"/>
      <w:numFmt w:val="bullet"/>
      <w:lvlText w:val="•"/>
      <w:lvlJc w:val="left"/>
      <w:pPr>
        <w:ind w:left="8034" w:hanging="210"/>
      </w:pPr>
      <w:rPr>
        <w:rFonts w:hint="default"/>
      </w:rPr>
    </w:lvl>
  </w:abstractNum>
  <w:abstractNum w:abstractNumId="59">
    <w:multiLevelType w:val="hybridMultilevel"/>
    <w:lvl w:ilvl="0">
      <w:start w:val="1"/>
      <w:numFmt w:val="bullet"/>
      <w:lvlText w:val="-"/>
      <w:lvlJc w:val="left"/>
      <w:pPr>
        <w:ind w:left="613" w:hanging="110"/>
      </w:pPr>
      <w:rPr>
        <w:rFonts w:hint="default" w:ascii="Arial" w:hAnsi="Arial" w:eastAsia="Arial" w:cs="Arial"/>
        <w:spacing w:val="-19"/>
        <w:w w:val="99"/>
        <w:sz w:val="18"/>
        <w:szCs w:val="18"/>
      </w:rPr>
    </w:lvl>
    <w:lvl w:ilvl="1">
      <w:start w:val="1"/>
      <w:numFmt w:val="bullet"/>
      <w:lvlText w:val="•"/>
      <w:lvlJc w:val="left"/>
      <w:pPr>
        <w:ind w:left="1570" w:hanging="110"/>
      </w:pPr>
      <w:rPr>
        <w:rFonts w:hint="default"/>
      </w:rPr>
    </w:lvl>
    <w:lvl w:ilvl="2">
      <w:start w:val="1"/>
      <w:numFmt w:val="bullet"/>
      <w:lvlText w:val="•"/>
      <w:lvlJc w:val="left"/>
      <w:pPr>
        <w:ind w:left="2520" w:hanging="110"/>
      </w:pPr>
      <w:rPr>
        <w:rFonts w:hint="default"/>
      </w:rPr>
    </w:lvl>
    <w:lvl w:ilvl="3">
      <w:start w:val="1"/>
      <w:numFmt w:val="bullet"/>
      <w:lvlText w:val="•"/>
      <w:lvlJc w:val="left"/>
      <w:pPr>
        <w:ind w:left="3471" w:hanging="110"/>
      </w:pPr>
      <w:rPr>
        <w:rFonts w:hint="default"/>
      </w:rPr>
    </w:lvl>
    <w:lvl w:ilvl="4">
      <w:start w:val="1"/>
      <w:numFmt w:val="bullet"/>
      <w:lvlText w:val="•"/>
      <w:lvlJc w:val="left"/>
      <w:pPr>
        <w:ind w:left="4421" w:hanging="110"/>
      </w:pPr>
      <w:rPr>
        <w:rFonts w:hint="default"/>
      </w:rPr>
    </w:lvl>
    <w:lvl w:ilvl="5">
      <w:start w:val="1"/>
      <w:numFmt w:val="bullet"/>
      <w:lvlText w:val="•"/>
      <w:lvlJc w:val="left"/>
      <w:pPr>
        <w:ind w:left="5372" w:hanging="110"/>
      </w:pPr>
      <w:rPr>
        <w:rFonts w:hint="default"/>
      </w:rPr>
    </w:lvl>
    <w:lvl w:ilvl="6">
      <w:start w:val="1"/>
      <w:numFmt w:val="bullet"/>
      <w:lvlText w:val="•"/>
      <w:lvlJc w:val="left"/>
      <w:pPr>
        <w:ind w:left="6322" w:hanging="110"/>
      </w:pPr>
      <w:rPr>
        <w:rFonts w:hint="default"/>
      </w:rPr>
    </w:lvl>
    <w:lvl w:ilvl="7">
      <w:start w:val="1"/>
      <w:numFmt w:val="bullet"/>
      <w:lvlText w:val="•"/>
      <w:lvlJc w:val="left"/>
      <w:pPr>
        <w:ind w:left="7273" w:hanging="110"/>
      </w:pPr>
      <w:rPr>
        <w:rFonts w:hint="default"/>
      </w:rPr>
    </w:lvl>
    <w:lvl w:ilvl="8">
      <w:start w:val="1"/>
      <w:numFmt w:val="bullet"/>
      <w:lvlText w:val="•"/>
      <w:lvlJc w:val="left"/>
      <w:pPr>
        <w:ind w:left="8223" w:hanging="110"/>
      </w:pPr>
      <w:rPr>
        <w:rFonts w:hint="default"/>
      </w:rPr>
    </w:lvl>
  </w:abstractNum>
  <w:abstractNum w:abstractNumId="57">
    <w:multiLevelType w:val="hybridMultilevel"/>
    <w:lvl w:ilvl="0">
      <w:start w:val="20"/>
      <w:numFmt w:val="decimal"/>
      <w:lvlText w:val="%1"/>
      <w:lvlJc w:val="left"/>
      <w:pPr>
        <w:ind w:left="505" w:hanging="396"/>
        <w:jc w:val="left"/>
      </w:pPr>
      <w:rPr>
        <w:rFonts w:hint="default" w:ascii="Arial" w:hAnsi="Arial" w:eastAsia="Arial" w:cs="Arial"/>
        <w:b/>
        <w:bCs/>
        <w:w w:val="99"/>
        <w:sz w:val="18"/>
        <w:szCs w:val="18"/>
      </w:rPr>
    </w:lvl>
    <w:lvl w:ilvl="1">
      <w:start w:val="1"/>
      <w:numFmt w:val="bullet"/>
      <w:lvlText w:val="•"/>
      <w:lvlJc w:val="left"/>
      <w:pPr>
        <w:ind w:left="1464" w:hanging="396"/>
      </w:pPr>
      <w:rPr>
        <w:rFonts w:hint="default"/>
      </w:rPr>
    </w:lvl>
    <w:lvl w:ilvl="2">
      <w:start w:val="1"/>
      <w:numFmt w:val="bullet"/>
      <w:lvlText w:val="•"/>
      <w:lvlJc w:val="left"/>
      <w:pPr>
        <w:ind w:left="2428" w:hanging="396"/>
      </w:pPr>
      <w:rPr>
        <w:rFonts w:hint="default"/>
      </w:rPr>
    </w:lvl>
    <w:lvl w:ilvl="3">
      <w:start w:val="1"/>
      <w:numFmt w:val="bullet"/>
      <w:lvlText w:val="•"/>
      <w:lvlJc w:val="left"/>
      <w:pPr>
        <w:ind w:left="3393" w:hanging="396"/>
      </w:pPr>
      <w:rPr>
        <w:rFonts w:hint="default"/>
      </w:rPr>
    </w:lvl>
    <w:lvl w:ilvl="4">
      <w:start w:val="1"/>
      <w:numFmt w:val="bullet"/>
      <w:lvlText w:val="•"/>
      <w:lvlJc w:val="left"/>
      <w:pPr>
        <w:ind w:left="4357" w:hanging="396"/>
      </w:pPr>
      <w:rPr>
        <w:rFonts w:hint="default"/>
      </w:rPr>
    </w:lvl>
    <w:lvl w:ilvl="5">
      <w:start w:val="1"/>
      <w:numFmt w:val="bullet"/>
      <w:lvlText w:val="•"/>
      <w:lvlJc w:val="left"/>
      <w:pPr>
        <w:ind w:left="5322" w:hanging="396"/>
      </w:pPr>
      <w:rPr>
        <w:rFonts w:hint="default"/>
      </w:rPr>
    </w:lvl>
    <w:lvl w:ilvl="6">
      <w:start w:val="1"/>
      <w:numFmt w:val="bullet"/>
      <w:lvlText w:val="•"/>
      <w:lvlJc w:val="left"/>
      <w:pPr>
        <w:ind w:left="6286" w:hanging="396"/>
      </w:pPr>
      <w:rPr>
        <w:rFonts w:hint="default"/>
      </w:rPr>
    </w:lvl>
    <w:lvl w:ilvl="7">
      <w:start w:val="1"/>
      <w:numFmt w:val="bullet"/>
      <w:lvlText w:val="•"/>
      <w:lvlJc w:val="left"/>
      <w:pPr>
        <w:ind w:left="7251" w:hanging="396"/>
      </w:pPr>
      <w:rPr>
        <w:rFonts w:hint="default"/>
      </w:rPr>
    </w:lvl>
    <w:lvl w:ilvl="8">
      <w:start w:val="1"/>
      <w:numFmt w:val="bullet"/>
      <w:lvlText w:val="•"/>
      <w:lvlJc w:val="left"/>
      <w:pPr>
        <w:ind w:left="8215" w:hanging="396"/>
      </w:pPr>
      <w:rPr>
        <w:rFonts w:hint="default"/>
      </w:rPr>
    </w:lvl>
  </w:abstractNum>
  <w:abstractNum w:abstractNumId="56">
    <w:multiLevelType w:val="hybridMultilevel"/>
    <w:lvl w:ilvl="0">
      <w:start w:val="19"/>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b/>
        <w:bCs/>
        <w:w w:val="99"/>
        <w:sz w:val="18"/>
        <w:szCs w:val="18"/>
      </w:rPr>
    </w:lvl>
    <w:lvl w:ilvl="2">
      <w:start w:val="1"/>
      <w:numFmt w:val="lowerRoman"/>
      <w:lvlText w:val="(%3)"/>
      <w:lvlJc w:val="left"/>
      <w:pPr>
        <w:ind w:left="1248" w:hanging="210"/>
        <w:jc w:val="right"/>
      </w:pPr>
      <w:rPr>
        <w:rFonts w:hint="default" w:ascii="Arial" w:hAnsi="Arial" w:eastAsia="Arial" w:cs="Arial"/>
        <w:i/>
        <w:w w:val="99"/>
        <w:sz w:val="18"/>
        <w:szCs w:val="18"/>
      </w:rPr>
    </w:lvl>
    <w:lvl w:ilvl="3">
      <w:start w:val="1"/>
      <w:numFmt w:val="bullet"/>
      <w:lvlText w:val="•"/>
      <w:lvlJc w:val="left"/>
      <w:pPr>
        <w:ind w:left="2353" w:hanging="210"/>
      </w:pPr>
      <w:rPr>
        <w:rFonts w:hint="default"/>
      </w:rPr>
    </w:lvl>
    <w:lvl w:ilvl="4">
      <w:start w:val="1"/>
      <w:numFmt w:val="bullet"/>
      <w:lvlText w:val="•"/>
      <w:lvlJc w:val="left"/>
      <w:pPr>
        <w:ind w:left="3466" w:hanging="210"/>
      </w:pPr>
      <w:rPr>
        <w:rFonts w:hint="default"/>
      </w:rPr>
    </w:lvl>
    <w:lvl w:ilvl="5">
      <w:start w:val="1"/>
      <w:numFmt w:val="bullet"/>
      <w:lvlText w:val="•"/>
      <w:lvlJc w:val="left"/>
      <w:pPr>
        <w:ind w:left="4579" w:hanging="210"/>
      </w:pPr>
      <w:rPr>
        <w:rFonts w:hint="default"/>
      </w:rPr>
    </w:lvl>
    <w:lvl w:ilvl="6">
      <w:start w:val="1"/>
      <w:numFmt w:val="bullet"/>
      <w:lvlText w:val="•"/>
      <w:lvlJc w:val="left"/>
      <w:pPr>
        <w:ind w:left="5692" w:hanging="210"/>
      </w:pPr>
      <w:rPr>
        <w:rFonts w:hint="default"/>
      </w:rPr>
    </w:lvl>
    <w:lvl w:ilvl="7">
      <w:start w:val="1"/>
      <w:numFmt w:val="bullet"/>
      <w:lvlText w:val="•"/>
      <w:lvlJc w:val="left"/>
      <w:pPr>
        <w:ind w:left="6805" w:hanging="210"/>
      </w:pPr>
      <w:rPr>
        <w:rFonts w:hint="default"/>
      </w:rPr>
    </w:lvl>
    <w:lvl w:ilvl="8">
      <w:start w:val="1"/>
      <w:numFmt w:val="bullet"/>
      <w:lvlText w:val="•"/>
      <w:lvlJc w:val="left"/>
      <w:pPr>
        <w:ind w:left="7918" w:hanging="210"/>
      </w:pPr>
      <w:rPr>
        <w:rFonts w:hint="default"/>
      </w:rPr>
    </w:lvl>
  </w:abstractNum>
  <w:abstractNum w:abstractNumId="55">
    <w:multiLevelType w:val="hybridMultilevel"/>
    <w:lvl w:ilvl="0">
      <w:start w:val="1"/>
      <w:numFmt w:val="lowerLetter"/>
      <w:lvlText w:val="(%1)"/>
      <w:lvlJc w:val="left"/>
      <w:pPr>
        <w:ind w:left="1071" w:hanging="567"/>
        <w:jc w:val="left"/>
      </w:pPr>
      <w:rPr>
        <w:rFonts w:hint="default" w:ascii="Arial" w:hAnsi="Arial" w:eastAsia="Arial" w:cs="Arial"/>
        <w:b/>
        <w:bCs/>
        <w:w w:val="99"/>
        <w:sz w:val="18"/>
        <w:szCs w:val="18"/>
      </w:rPr>
    </w:lvl>
    <w:lvl w:ilvl="1">
      <w:start w:val="1"/>
      <w:numFmt w:val="bullet"/>
      <w:lvlText w:val="•"/>
      <w:lvlJc w:val="left"/>
      <w:pPr>
        <w:ind w:left="1980" w:hanging="567"/>
      </w:pPr>
      <w:rPr>
        <w:rFonts w:hint="default"/>
      </w:rPr>
    </w:lvl>
    <w:lvl w:ilvl="2">
      <w:start w:val="1"/>
      <w:numFmt w:val="bullet"/>
      <w:lvlText w:val="•"/>
      <w:lvlJc w:val="left"/>
      <w:pPr>
        <w:ind w:left="2880" w:hanging="567"/>
      </w:pPr>
      <w:rPr>
        <w:rFonts w:hint="default"/>
      </w:rPr>
    </w:lvl>
    <w:lvl w:ilvl="3">
      <w:start w:val="1"/>
      <w:numFmt w:val="bullet"/>
      <w:lvlText w:val="•"/>
      <w:lvlJc w:val="left"/>
      <w:pPr>
        <w:ind w:left="3781" w:hanging="567"/>
      </w:pPr>
      <w:rPr>
        <w:rFonts w:hint="default"/>
      </w:rPr>
    </w:lvl>
    <w:lvl w:ilvl="4">
      <w:start w:val="1"/>
      <w:numFmt w:val="bullet"/>
      <w:lvlText w:val="•"/>
      <w:lvlJc w:val="left"/>
      <w:pPr>
        <w:ind w:left="4681" w:hanging="567"/>
      </w:pPr>
      <w:rPr>
        <w:rFonts w:hint="default"/>
      </w:rPr>
    </w:lvl>
    <w:lvl w:ilvl="5">
      <w:start w:val="1"/>
      <w:numFmt w:val="bullet"/>
      <w:lvlText w:val="•"/>
      <w:lvlJc w:val="left"/>
      <w:pPr>
        <w:ind w:left="5582" w:hanging="567"/>
      </w:pPr>
      <w:rPr>
        <w:rFonts w:hint="default"/>
      </w:rPr>
    </w:lvl>
    <w:lvl w:ilvl="6">
      <w:start w:val="1"/>
      <w:numFmt w:val="bullet"/>
      <w:lvlText w:val="•"/>
      <w:lvlJc w:val="left"/>
      <w:pPr>
        <w:ind w:left="6482" w:hanging="567"/>
      </w:pPr>
      <w:rPr>
        <w:rFonts w:hint="default"/>
      </w:rPr>
    </w:lvl>
    <w:lvl w:ilvl="7">
      <w:start w:val="1"/>
      <w:numFmt w:val="bullet"/>
      <w:lvlText w:val="•"/>
      <w:lvlJc w:val="left"/>
      <w:pPr>
        <w:ind w:left="7383" w:hanging="567"/>
      </w:pPr>
      <w:rPr>
        <w:rFonts w:hint="default"/>
      </w:rPr>
    </w:lvl>
    <w:lvl w:ilvl="8">
      <w:start w:val="1"/>
      <w:numFmt w:val="bullet"/>
      <w:lvlText w:val="•"/>
      <w:lvlJc w:val="left"/>
      <w:pPr>
        <w:ind w:left="8283" w:hanging="567"/>
      </w:pPr>
      <w:rPr>
        <w:rFonts w:hint="default"/>
      </w:rPr>
    </w:lvl>
  </w:abstractNum>
  <w:abstractNum w:abstractNumId="54">
    <w:multiLevelType w:val="hybridMultilevel"/>
    <w:lvl w:ilvl="0">
      <w:start w:val="13"/>
      <w:numFmt w:val="decimal"/>
      <w:lvlText w:val="%1"/>
      <w:lvlJc w:val="left"/>
      <w:pPr>
        <w:ind w:left="504" w:hanging="396"/>
        <w:jc w:val="left"/>
      </w:pPr>
      <w:rPr>
        <w:rFonts w:hint="default" w:ascii="Arial" w:hAnsi="Arial" w:eastAsia="Arial" w:cs="Arial"/>
        <w:b/>
        <w:bCs/>
        <w:w w:val="99"/>
        <w:sz w:val="18"/>
        <w:szCs w:val="18"/>
      </w:rPr>
    </w:lvl>
    <w:lvl w:ilvl="1">
      <w:start w:val="1"/>
      <w:numFmt w:val="lowerLetter"/>
      <w:lvlText w:val="(%2)"/>
      <w:lvlJc w:val="left"/>
      <w:pPr>
        <w:ind w:left="775" w:hanging="270"/>
        <w:jc w:val="left"/>
      </w:pPr>
      <w:rPr>
        <w:rFonts w:hint="default" w:ascii="Arial" w:hAnsi="Arial" w:eastAsia="Arial" w:cs="Arial"/>
        <w:w w:val="99"/>
        <w:sz w:val="18"/>
        <w:szCs w:val="18"/>
      </w:rPr>
    </w:lvl>
    <w:lvl w:ilvl="2">
      <w:start w:val="1"/>
      <w:numFmt w:val="bullet"/>
      <w:lvlText w:val="•"/>
      <w:lvlJc w:val="left"/>
      <w:pPr>
        <w:ind w:left="922" w:hanging="270"/>
      </w:pPr>
      <w:rPr>
        <w:rFonts w:hint="default"/>
      </w:rPr>
    </w:lvl>
    <w:lvl w:ilvl="3">
      <w:start w:val="1"/>
      <w:numFmt w:val="bullet"/>
      <w:lvlText w:val="•"/>
      <w:lvlJc w:val="left"/>
      <w:pPr>
        <w:ind w:left="1065" w:hanging="270"/>
      </w:pPr>
      <w:rPr>
        <w:rFonts w:hint="default"/>
      </w:rPr>
    </w:lvl>
    <w:lvl w:ilvl="4">
      <w:start w:val="1"/>
      <w:numFmt w:val="bullet"/>
      <w:lvlText w:val="•"/>
      <w:lvlJc w:val="left"/>
      <w:pPr>
        <w:ind w:left="1208" w:hanging="270"/>
      </w:pPr>
      <w:rPr>
        <w:rFonts w:hint="default"/>
      </w:rPr>
    </w:lvl>
    <w:lvl w:ilvl="5">
      <w:start w:val="1"/>
      <w:numFmt w:val="bullet"/>
      <w:lvlText w:val="•"/>
      <w:lvlJc w:val="left"/>
      <w:pPr>
        <w:ind w:left="1351" w:hanging="270"/>
      </w:pPr>
      <w:rPr>
        <w:rFonts w:hint="default"/>
      </w:rPr>
    </w:lvl>
    <w:lvl w:ilvl="6">
      <w:start w:val="1"/>
      <w:numFmt w:val="bullet"/>
      <w:lvlText w:val="•"/>
      <w:lvlJc w:val="left"/>
      <w:pPr>
        <w:ind w:left="1494" w:hanging="270"/>
      </w:pPr>
      <w:rPr>
        <w:rFonts w:hint="default"/>
      </w:rPr>
    </w:lvl>
    <w:lvl w:ilvl="7">
      <w:start w:val="1"/>
      <w:numFmt w:val="bullet"/>
      <w:lvlText w:val="•"/>
      <w:lvlJc w:val="left"/>
      <w:pPr>
        <w:ind w:left="1637" w:hanging="270"/>
      </w:pPr>
      <w:rPr>
        <w:rFonts w:hint="default"/>
      </w:rPr>
    </w:lvl>
    <w:lvl w:ilvl="8">
      <w:start w:val="1"/>
      <w:numFmt w:val="bullet"/>
      <w:lvlText w:val="•"/>
      <w:lvlJc w:val="left"/>
      <w:pPr>
        <w:ind w:left="1780" w:hanging="270"/>
      </w:pPr>
      <w:rPr>
        <w:rFonts w:hint="default"/>
      </w:rPr>
    </w:lvl>
  </w:abstractNum>
  <w:abstractNum w:abstractNumId="53">
    <w:multiLevelType w:val="hybridMultilevel"/>
    <w:lvl w:ilvl="0">
      <w:start w:val="1"/>
      <w:numFmt w:val="lowerRoman"/>
      <w:lvlText w:val="%1."/>
      <w:lvlJc w:val="left"/>
      <w:pPr>
        <w:ind w:left="1212" w:hanging="141"/>
        <w:jc w:val="left"/>
      </w:pPr>
      <w:rPr>
        <w:rFonts w:hint="default" w:ascii="Arial" w:hAnsi="Arial" w:eastAsia="Arial" w:cs="Arial"/>
        <w:i/>
        <w:w w:val="99"/>
        <w:sz w:val="18"/>
        <w:szCs w:val="18"/>
      </w:rPr>
    </w:lvl>
    <w:lvl w:ilvl="1">
      <w:start w:val="1"/>
      <w:numFmt w:val="bullet"/>
      <w:lvlText w:val="•"/>
      <w:lvlJc w:val="left"/>
      <w:pPr>
        <w:ind w:left="2108" w:hanging="141"/>
      </w:pPr>
      <w:rPr>
        <w:rFonts w:hint="default"/>
      </w:rPr>
    </w:lvl>
    <w:lvl w:ilvl="2">
      <w:start w:val="1"/>
      <w:numFmt w:val="bullet"/>
      <w:lvlText w:val="•"/>
      <w:lvlJc w:val="left"/>
      <w:pPr>
        <w:ind w:left="2996" w:hanging="141"/>
      </w:pPr>
      <w:rPr>
        <w:rFonts w:hint="default"/>
      </w:rPr>
    </w:lvl>
    <w:lvl w:ilvl="3">
      <w:start w:val="1"/>
      <w:numFmt w:val="bullet"/>
      <w:lvlText w:val="•"/>
      <w:lvlJc w:val="left"/>
      <w:pPr>
        <w:ind w:left="3885" w:hanging="141"/>
      </w:pPr>
      <w:rPr>
        <w:rFonts w:hint="default"/>
      </w:rPr>
    </w:lvl>
    <w:lvl w:ilvl="4">
      <w:start w:val="1"/>
      <w:numFmt w:val="bullet"/>
      <w:lvlText w:val="•"/>
      <w:lvlJc w:val="left"/>
      <w:pPr>
        <w:ind w:left="4773" w:hanging="141"/>
      </w:pPr>
      <w:rPr>
        <w:rFonts w:hint="default"/>
      </w:rPr>
    </w:lvl>
    <w:lvl w:ilvl="5">
      <w:start w:val="1"/>
      <w:numFmt w:val="bullet"/>
      <w:lvlText w:val="•"/>
      <w:lvlJc w:val="left"/>
      <w:pPr>
        <w:ind w:left="5662" w:hanging="141"/>
      </w:pPr>
      <w:rPr>
        <w:rFonts w:hint="default"/>
      </w:rPr>
    </w:lvl>
    <w:lvl w:ilvl="6">
      <w:start w:val="1"/>
      <w:numFmt w:val="bullet"/>
      <w:lvlText w:val="•"/>
      <w:lvlJc w:val="left"/>
      <w:pPr>
        <w:ind w:left="6550" w:hanging="141"/>
      </w:pPr>
      <w:rPr>
        <w:rFonts w:hint="default"/>
      </w:rPr>
    </w:lvl>
    <w:lvl w:ilvl="7">
      <w:start w:val="1"/>
      <w:numFmt w:val="bullet"/>
      <w:lvlText w:val="•"/>
      <w:lvlJc w:val="left"/>
      <w:pPr>
        <w:ind w:left="7439" w:hanging="141"/>
      </w:pPr>
      <w:rPr>
        <w:rFonts w:hint="default"/>
      </w:rPr>
    </w:lvl>
    <w:lvl w:ilvl="8">
      <w:start w:val="1"/>
      <w:numFmt w:val="bullet"/>
      <w:lvlText w:val="•"/>
      <w:lvlJc w:val="left"/>
      <w:pPr>
        <w:ind w:left="8327" w:hanging="141"/>
      </w:pPr>
      <w:rPr>
        <w:rFonts w:hint="default"/>
      </w:rPr>
    </w:lvl>
  </w:abstractNum>
  <w:abstractNum w:abstractNumId="51">
    <w:multiLevelType w:val="hybridMultilevel"/>
    <w:lvl w:ilvl="0">
      <w:start w:val="1"/>
      <w:numFmt w:val="decimal"/>
      <w:lvlText w:val="(%1)"/>
      <w:lvlJc w:val="left"/>
      <w:pPr>
        <w:ind w:left="775" w:hanging="270"/>
        <w:jc w:val="left"/>
      </w:pPr>
      <w:rPr>
        <w:rFonts w:hint="default" w:ascii="Arial" w:hAnsi="Arial" w:eastAsia="Arial" w:cs="Arial"/>
        <w:w w:val="99"/>
        <w:sz w:val="18"/>
        <w:szCs w:val="18"/>
      </w:rPr>
    </w:lvl>
    <w:lvl w:ilvl="1">
      <w:start w:val="1"/>
      <w:numFmt w:val="bullet"/>
      <w:lvlText w:val="•"/>
      <w:lvlJc w:val="left"/>
      <w:pPr>
        <w:ind w:left="1716" w:hanging="270"/>
      </w:pPr>
      <w:rPr>
        <w:rFonts w:hint="default"/>
      </w:rPr>
    </w:lvl>
    <w:lvl w:ilvl="2">
      <w:start w:val="1"/>
      <w:numFmt w:val="bullet"/>
      <w:lvlText w:val="•"/>
      <w:lvlJc w:val="left"/>
      <w:pPr>
        <w:ind w:left="2652" w:hanging="270"/>
      </w:pPr>
      <w:rPr>
        <w:rFonts w:hint="default"/>
      </w:rPr>
    </w:lvl>
    <w:lvl w:ilvl="3">
      <w:start w:val="1"/>
      <w:numFmt w:val="bullet"/>
      <w:lvlText w:val="•"/>
      <w:lvlJc w:val="left"/>
      <w:pPr>
        <w:ind w:left="3589" w:hanging="270"/>
      </w:pPr>
      <w:rPr>
        <w:rFonts w:hint="default"/>
      </w:rPr>
    </w:lvl>
    <w:lvl w:ilvl="4">
      <w:start w:val="1"/>
      <w:numFmt w:val="bullet"/>
      <w:lvlText w:val="•"/>
      <w:lvlJc w:val="left"/>
      <w:pPr>
        <w:ind w:left="4525" w:hanging="270"/>
      </w:pPr>
      <w:rPr>
        <w:rFonts w:hint="default"/>
      </w:rPr>
    </w:lvl>
    <w:lvl w:ilvl="5">
      <w:start w:val="1"/>
      <w:numFmt w:val="bullet"/>
      <w:lvlText w:val="•"/>
      <w:lvlJc w:val="left"/>
      <w:pPr>
        <w:ind w:left="5462" w:hanging="270"/>
      </w:pPr>
      <w:rPr>
        <w:rFonts w:hint="default"/>
      </w:rPr>
    </w:lvl>
    <w:lvl w:ilvl="6">
      <w:start w:val="1"/>
      <w:numFmt w:val="bullet"/>
      <w:lvlText w:val="•"/>
      <w:lvlJc w:val="left"/>
      <w:pPr>
        <w:ind w:left="6398" w:hanging="270"/>
      </w:pPr>
      <w:rPr>
        <w:rFonts w:hint="default"/>
      </w:rPr>
    </w:lvl>
    <w:lvl w:ilvl="7">
      <w:start w:val="1"/>
      <w:numFmt w:val="bullet"/>
      <w:lvlText w:val="•"/>
      <w:lvlJc w:val="left"/>
      <w:pPr>
        <w:ind w:left="7335" w:hanging="270"/>
      </w:pPr>
      <w:rPr>
        <w:rFonts w:hint="default"/>
      </w:rPr>
    </w:lvl>
    <w:lvl w:ilvl="8">
      <w:start w:val="1"/>
      <w:numFmt w:val="bullet"/>
      <w:lvlText w:val="•"/>
      <w:lvlJc w:val="left"/>
      <w:pPr>
        <w:ind w:left="8271" w:hanging="270"/>
      </w:pPr>
      <w:rPr>
        <w:rFonts w:hint="default"/>
      </w:rPr>
    </w:lvl>
  </w:abstractNum>
  <w:abstractNum w:abstractNumId="50">
    <w:multiLevelType w:val="hybridMultilevel"/>
    <w:lvl w:ilvl="0">
      <w:start w:val="1"/>
      <w:numFmt w:val="bullet"/>
      <w:lvlText w:val="-"/>
      <w:lvlJc w:val="left"/>
      <w:pPr>
        <w:ind w:left="1225" w:hanging="110"/>
      </w:pPr>
      <w:rPr>
        <w:rFonts w:hint="default" w:ascii="Arial" w:hAnsi="Arial" w:eastAsia="Arial" w:cs="Arial"/>
        <w:w w:val="99"/>
        <w:sz w:val="18"/>
        <w:szCs w:val="18"/>
      </w:rPr>
    </w:lvl>
    <w:lvl w:ilvl="1">
      <w:start w:val="1"/>
      <w:numFmt w:val="bullet"/>
      <w:lvlText w:val="•"/>
      <w:lvlJc w:val="left"/>
      <w:pPr>
        <w:ind w:left="2112" w:hanging="110"/>
      </w:pPr>
      <w:rPr>
        <w:rFonts w:hint="default"/>
      </w:rPr>
    </w:lvl>
    <w:lvl w:ilvl="2">
      <w:start w:val="1"/>
      <w:numFmt w:val="bullet"/>
      <w:lvlText w:val="•"/>
      <w:lvlJc w:val="left"/>
      <w:pPr>
        <w:ind w:left="3004" w:hanging="110"/>
      </w:pPr>
      <w:rPr>
        <w:rFonts w:hint="default"/>
      </w:rPr>
    </w:lvl>
    <w:lvl w:ilvl="3">
      <w:start w:val="1"/>
      <w:numFmt w:val="bullet"/>
      <w:lvlText w:val="•"/>
      <w:lvlJc w:val="left"/>
      <w:pPr>
        <w:ind w:left="3897" w:hanging="110"/>
      </w:pPr>
      <w:rPr>
        <w:rFonts w:hint="default"/>
      </w:rPr>
    </w:lvl>
    <w:lvl w:ilvl="4">
      <w:start w:val="1"/>
      <w:numFmt w:val="bullet"/>
      <w:lvlText w:val="•"/>
      <w:lvlJc w:val="left"/>
      <w:pPr>
        <w:ind w:left="4789" w:hanging="110"/>
      </w:pPr>
      <w:rPr>
        <w:rFonts w:hint="default"/>
      </w:rPr>
    </w:lvl>
    <w:lvl w:ilvl="5">
      <w:start w:val="1"/>
      <w:numFmt w:val="bullet"/>
      <w:lvlText w:val="•"/>
      <w:lvlJc w:val="left"/>
      <w:pPr>
        <w:ind w:left="5682" w:hanging="110"/>
      </w:pPr>
      <w:rPr>
        <w:rFonts w:hint="default"/>
      </w:rPr>
    </w:lvl>
    <w:lvl w:ilvl="6">
      <w:start w:val="1"/>
      <w:numFmt w:val="bullet"/>
      <w:lvlText w:val="•"/>
      <w:lvlJc w:val="left"/>
      <w:pPr>
        <w:ind w:left="6574" w:hanging="110"/>
      </w:pPr>
      <w:rPr>
        <w:rFonts w:hint="default"/>
      </w:rPr>
    </w:lvl>
    <w:lvl w:ilvl="7">
      <w:start w:val="1"/>
      <w:numFmt w:val="bullet"/>
      <w:lvlText w:val="•"/>
      <w:lvlJc w:val="left"/>
      <w:pPr>
        <w:ind w:left="7467" w:hanging="110"/>
      </w:pPr>
      <w:rPr>
        <w:rFonts w:hint="default"/>
      </w:rPr>
    </w:lvl>
    <w:lvl w:ilvl="8">
      <w:start w:val="1"/>
      <w:numFmt w:val="bullet"/>
      <w:lvlText w:val="•"/>
      <w:lvlJc w:val="left"/>
      <w:pPr>
        <w:ind w:left="8359" w:hanging="110"/>
      </w:pPr>
      <w:rPr>
        <w:rFonts w:hint="default"/>
      </w:rPr>
    </w:lvl>
  </w:abstractNum>
  <w:abstractNum w:abstractNumId="49">
    <w:multiLevelType w:val="hybridMultilevel"/>
    <w:lvl w:ilvl="0">
      <w:start w:val="1"/>
      <w:numFmt w:val="bullet"/>
      <w:lvlText w:val="-"/>
      <w:lvlJc w:val="left"/>
      <w:pPr>
        <w:ind w:left="1227" w:hanging="110"/>
      </w:pPr>
      <w:rPr>
        <w:rFonts w:hint="default" w:ascii="Arial" w:hAnsi="Arial" w:eastAsia="Arial" w:cs="Arial"/>
        <w:w w:val="99"/>
        <w:sz w:val="18"/>
        <w:szCs w:val="18"/>
      </w:rPr>
    </w:lvl>
    <w:lvl w:ilvl="1">
      <w:start w:val="1"/>
      <w:numFmt w:val="bullet"/>
      <w:lvlText w:val="•"/>
      <w:lvlJc w:val="left"/>
      <w:pPr>
        <w:ind w:left="2112" w:hanging="110"/>
      </w:pPr>
      <w:rPr>
        <w:rFonts w:hint="default"/>
      </w:rPr>
    </w:lvl>
    <w:lvl w:ilvl="2">
      <w:start w:val="1"/>
      <w:numFmt w:val="bullet"/>
      <w:lvlText w:val="•"/>
      <w:lvlJc w:val="left"/>
      <w:pPr>
        <w:ind w:left="3004" w:hanging="110"/>
      </w:pPr>
      <w:rPr>
        <w:rFonts w:hint="default"/>
      </w:rPr>
    </w:lvl>
    <w:lvl w:ilvl="3">
      <w:start w:val="1"/>
      <w:numFmt w:val="bullet"/>
      <w:lvlText w:val="•"/>
      <w:lvlJc w:val="left"/>
      <w:pPr>
        <w:ind w:left="3897" w:hanging="110"/>
      </w:pPr>
      <w:rPr>
        <w:rFonts w:hint="default"/>
      </w:rPr>
    </w:lvl>
    <w:lvl w:ilvl="4">
      <w:start w:val="1"/>
      <w:numFmt w:val="bullet"/>
      <w:lvlText w:val="•"/>
      <w:lvlJc w:val="left"/>
      <w:pPr>
        <w:ind w:left="4789" w:hanging="110"/>
      </w:pPr>
      <w:rPr>
        <w:rFonts w:hint="default"/>
      </w:rPr>
    </w:lvl>
    <w:lvl w:ilvl="5">
      <w:start w:val="1"/>
      <w:numFmt w:val="bullet"/>
      <w:lvlText w:val="•"/>
      <w:lvlJc w:val="left"/>
      <w:pPr>
        <w:ind w:left="5682" w:hanging="110"/>
      </w:pPr>
      <w:rPr>
        <w:rFonts w:hint="default"/>
      </w:rPr>
    </w:lvl>
    <w:lvl w:ilvl="6">
      <w:start w:val="1"/>
      <w:numFmt w:val="bullet"/>
      <w:lvlText w:val="•"/>
      <w:lvlJc w:val="left"/>
      <w:pPr>
        <w:ind w:left="6574" w:hanging="110"/>
      </w:pPr>
      <w:rPr>
        <w:rFonts w:hint="default"/>
      </w:rPr>
    </w:lvl>
    <w:lvl w:ilvl="7">
      <w:start w:val="1"/>
      <w:numFmt w:val="bullet"/>
      <w:lvlText w:val="•"/>
      <w:lvlJc w:val="left"/>
      <w:pPr>
        <w:ind w:left="7467" w:hanging="110"/>
      </w:pPr>
      <w:rPr>
        <w:rFonts w:hint="default"/>
      </w:rPr>
    </w:lvl>
    <w:lvl w:ilvl="8">
      <w:start w:val="1"/>
      <w:numFmt w:val="bullet"/>
      <w:lvlText w:val="•"/>
      <w:lvlJc w:val="left"/>
      <w:pPr>
        <w:ind w:left="8359" w:hanging="110"/>
      </w:pPr>
      <w:rPr>
        <w:rFonts w:hint="default"/>
      </w:rPr>
    </w:lvl>
  </w:abstractNum>
  <w:abstractNum w:abstractNumId="48">
    <w:multiLevelType w:val="hybridMultilevel"/>
    <w:lvl w:ilvl="0">
      <w:start w:val="12"/>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b/>
        <w:bCs/>
        <w:w w:val="99"/>
        <w:sz w:val="18"/>
        <w:szCs w:val="18"/>
      </w:rPr>
    </w:lvl>
    <w:lvl w:ilvl="2">
      <w:start w:val="1"/>
      <w:numFmt w:val="bullet"/>
      <w:lvlText w:val="•"/>
      <w:lvlJc w:val="left"/>
      <w:pPr>
        <w:ind w:left="2087" w:hanging="567"/>
      </w:pPr>
      <w:rPr>
        <w:rFonts w:hint="default"/>
      </w:rPr>
    </w:lvl>
    <w:lvl w:ilvl="3">
      <w:start w:val="1"/>
      <w:numFmt w:val="bullet"/>
      <w:lvlText w:val="•"/>
      <w:lvlJc w:val="left"/>
      <w:pPr>
        <w:ind w:left="3094" w:hanging="567"/>
      </w:pPr>
      <w:rPr>
        <w:rFonts w:hint="default"/>
      </w:rPr>
    </w:lvl>
    <w:lvl w:ilvl="4">
      <w:start w:val="1"/>
      <w:numFmt w:val="bullet"/>
      <w:lvlText w:val="•"/>
      <w:lvlJc w:val="left"/>
      <w:pPr>
        <w:ind w:left="4101" w:hanging="567"/>
      </w:pPr>
      <w:rPr>
        <w:rFonts w:hint="default"/>
      </w:rPr>
    </w:lvl>
    <w:lvl w:ilvl="5">
      <w:start w:val="1"/>
      <w:numFmt w:val="bullet"/>
      <w:lvlText w:val="•"/>
      <w:lvlJc w:val="left"/>
      <w:pPr>
        <w:ind w:left="5108" w:hanging="567"/>
      </w:pPr>
      <w:rPr>
        <w:rFonts w:hint="default"/>
      </w:rPr>
    </w:lvl>
    <w:lvl w:ilvl="6">
      <w:start w:val="1"/>
      <w:numFmt w:val="bullet"/>
      <w:lvlText w:val="•"/>
      <w:lvlJc w:val="left"/>
      <w:pPr>
        <w:ind w:left="6115" w:hanging="567"/>
      </w:pPr>
      <w:rPr>
        <w:rFonts w:hint="default"/>
      </w:rPr>
    </w:lvl>
    <w:lvl w:ilvl="7">
      <w:start w:val="1"/>
      <w:numFmt w:val="bullet"/>
      <w:lvlText w:val="•"/>
      <w:lvlJc w:val="left"/>
      <w:pPr>
        <w:ind w:left="7122" w:hanging="567"/>
      </w:pPr>
      <w:rPr>
        <w:rFonts w:hint="default"/>
      </w:rPr>
    </w:lvl>
    <w:lvl w:ilvl="8">
      <w:start w:val="1"/>
      <w:numFmt w:val="bullet"/>
      <w:lvlText w:val="•"/>
      <w:lvlJc w:val="left"/>
      <w:pPr>
        <w:ind w:left="8130" w:hanging="567"/>
      </w:pPr>
      <w:rPr>
        <w:rFonts w:hint="default"/>
      </w:rPr>
    </w:lvl>
  </w:abstractNum>
  <w:abstractNum w:abstractNumId="47">
    <w:multiLevelType w:val="hybridMultilevel"/>
    <w:lvl w:ilvl="0">
      <w:start w:val="7"/>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b/>
        <w:bCs/>
        <w:w w:val="99"/>
        <w:sz w:val="18"/>
        <w:szCs w:val="18"/>
      </w:rPr>
    </w:lvl>
    <w:lvl w:ilvl="2">
      <w:start w:val="1"/>
      <w:numFmt w:val="bullet"/>
      <w:lvlText w:val="•"/>
      <w:lvlJc w:val="left"/>
      <w:pPr>
        <w:ind w:left="2087" w:hanging="567"/>
      </w:pPr>
      <w:rPr>
        <w:rFonts w:hint="default"/>
      </w:rPr>
    </w:lvl>
    <w:lvl w:ilvl="3">
      <w:start w:val="1"/>
      <w:numFmt w:val="bullet"/>
      <w:lvlText w:val="•"/>
      <w:lvlJc w:val="left"/>
      <w:pPr>
        <w:ind w:left="3094" w:hanging="567"/>
      </w:pPr>
      <w:rPr>
        <w:rFonts w:hint="default"/>
      </w:rPr>
    </w:lvl>
    <w:lvl w:ilvl="4">
      <w:start w:val="1"/>
      <w:numFmt w:val="bullet"/>
      <w:lvlText w:val="•"/>
      <w:lvlJc w:val="left"/>
      <w:pPr>
        <w:ind w:left="4101" w:hanging="567"/>
      </w:pPr>
      <w:rPr>
        <w:rFonts w:hint="default"/>
      </w:rPr>
    </w:lvl>
    <w:lvl w:ilvl="5">
      <w:start w:val="1"/>
      <w:numFmt w:val="bullet"/>
      <w:lvlText w:val="•"/>
      <w:lvlJc w:val="left"/>
      <w:pPr>
        <w:ind w:left="5108" w:hanging="567"/>
      </w:pPr>
      <w:rPr>
        <w:rFonts w:hint="default"/>
      </w:rPr>
    </w:lvl>
    <w:lvl w:ilvl="6">
      <w:start w:val="1"/>
      <w:numFmt w:val="bullet"/>
      <w:lvlText w:val="•"/>
      <w:lvlJc w:val="left"/>
      <w:pPr>
        <w:ind w:left="6115" w:hanging="567"/>
      </w:pPr>
      <w:rPr>
        <w:rFonts w:hint="default"/>
      </w:rPr>
    </w:lvl>
    <w:lvl w:ilvl="7">
      <w:start w:val="1"/>
      <w:numFmt w:val="bullet"/>
      <w:lvlText w:val="•"/>
      <w:lvlJc w:val="left"/>
      <w:pPr>
        <w:ind w:left="7122" w:hanging="567"/>
      </w:pPr>
      <w:rPr>
        <w:rFonts w:hint="default"/>
      </w:rPr>
    </w:lvl>
    <w:lvl w:ilvl="8">
      <w:start w:val="1"/>
      <w:numFmt w:val="bullet"/>
      <w:lvlText w:val="•"/>
      <w:lvlJc w:val="left"/>
      <w:pPr>
        <w:ind w:left="8130" w:hanging="567"/>
      </w:pPr>
      <w:rPr>
        <w:rFonts w:hint="default"/>
      </w:rPr>
    </w:lvl>
  </w:abstractNum>
  <w:abstractNum w:abstractNumId="45">
    <w:multiLevelType w:val="hybridMultilevel"/>
    <w:lvl w:ilvl="0">
      <w:start w:val="16"/>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bullet"/>
      <w:lvlText w:val="•"/>
      <w:lvlJc w:val="left"/>
      <w:pPr>
        <w:ind w:left="1980" w:hanging="567"/>
      </w:pPr>
      <w:rPr>
        <w:rFonts w:hint="default"/>
      </w:rPr>
    </w:lvl>
    <w:lvl w:ilvl="2">
      <w:start w:val="1"/>
      <w:numFmt w:val="bullet"/>
      <w:lvlText w:val="•"/>
      <w:lvlJc w:val="left"/>
      <w:pPr>
        <w:ind w:left="2880" w:hanging="567"/>
      </w:pPr>
      <w:rPr>
        <w:rFonts w:hint="default"/>
      </w:rPr>
    </w:lvl>
    <w:lvl w:ilvl="3">
      <w:start w:val="1"/>
      <w:numFmt w:val="bullet"/>
      <w:lvlText w:val="•"/>
      <w:lvlJc w:val="left"/>
      <w:pPr>
        <w:ind w:left="3781" w:hanging="567"/>
      </w:pPr>
      <w:rPr>
        <w:rFonts w:hint="default"/>
      </w:rPr>
    </w:lvl>
    <w:lvl w:ilvl="4">
      <w:start w:val="1"/>
      <w:numFmt w:val="bullet"/>
      <w:lvlText w:val="•"/>
      <w:lvlJc w:val="left"/>
      <w:pPr>
        <w:ind w:left="4681" w:hanging="567"/>
      </w:pPr>
      <w:rPr>
        <w:rFonts w:hint="default"/>
      </w:rPr>
    </w:lvl>
    <w:lvl w:ilvl="5">
      <w:start w:val="1"/>
      <w:numFmt w:val="bullet"/>
      <w:lvlText w:val="•"/>
      <w:lvlJc w:val="left"/>
      <w:pPr>
        <w:ind w:left="5582" w:hanging="567"/>
      </w:pPr>
      <w:rPr>
        <w:rFonts w:hint="default"/>
      </w:rPr>
    </w:lvl>
    <w:lvl w:ilvl="6">
      <w:start w:val="1"/>
      <w:numFmt w:val="bullet"/>
      <w:lvlText w:val="•"/>
      <w:lvlJc w:val="left"/>
      <w:pPr>
        <w:ind w:left="6482" w:hanging="567"/>
      </w:pPr>
      <w:rPr>
        <w:rFonts w:hint="default"/>
      </w:rPr>
    </w:lvl>
    <w:lvl w:ilvl="7">
      <w:start w:val="1"/>
      <w:numFmt w:val="bullet"/>
      <w:lvlText w:val="•"/>
      <w:lvlJc w:val="left"/>
      <w:pPr>
        <w:ind w:left="7383" w:hanging="567"/>
      </w:pPr>
      <w:rPr>
        <w:rFonts w:hint="default"/>
      </w:rPr>
    </w:lvl>
    <w:lvl w:ilvl="8">
      <w:start w:val="1"/>
      <w:numFmt w:val="bullet"/>
      <w:lvlText w:val="•"/>
      <w:lvlJc w:val="left"/>
      <w:pPr>
        <w:ind w:left="8283" w:hanging="567"/>
      </w:pPr>
      <w:rPr>
        <w:rFonts w:hint="default"/>
      </w:rPr>
    </w:lvl>
  </w:abstractNum>
  <w:abstractNum w:abstractNumId="43">
    <w:multiLevelType w:val="hybridMultilevel"/>
    <w:lvl w:ilvl="0">
      <w:start w:val="1"/>
      <w:numFmt w:val="lowerLetter"/>
      <w:lvlText w:val="(%1)"/>
      <w:lvlJc w:val="left"/>
      <w:pPr>
        <w:ind w:left="868" w:hanging="720"/>
        <w:jc w:val="left"/>
      </w:pPr>
      <w:rPr>
        <w:rFonts w:hint="default" w:ascii="Arial" w:hAnsi="Arial" w:eastAsia="Arial" w:cs="Arial"/>
        <w:w w:val="99"/>
        <w:sz w:val="18"/>
        <w:szCs w:val="18"/>
      </w:rPr>
    </w:lvl>
    <w:lvl w:ilvl="1">
      <w:start w:val="1"/>
      <w:numFmt w:val="bullet"/>
      <w:lvlText w:val="•"/>
      <w:lvlJc w:val="left"/>
      <w:pPr>
        <w:ind w:left="1786" w:hanging="720"/>
      </w:pPr>
      <w:rPr>
        <w:rFonts w:hint="default"/>
      </w:rPr>
    </w:lvl>
    <w:lvl w:ilvl="2">
      <w:start w:val="1"/>
      <w:numFmt w:val="bullet"/>
      <w:lvlText w:val="•"/>
      <w:lvlJc w:val="left"/>
      <w:pPr>
        <w:ind w:left="2712" w:hanging="720"/>
      </w:pPr>
      <w:rPr>
        <w:rFonts w:hint="default"/>
      </w:rPr>
    </w:lvl>
    <w:lvl w:ilvl="3">
      <w:start w:val="1"/>
      <w:numFmt w:val="bullet"/>
      <w:lvlText w:val="•"/>
      <w:lvlJc w:val="left"/>
      <w:pPr>
        <w:ind w:left="3639" w:hanging="720"/>
      </w:pPr>
      <w:rPr>
        <w:rFonts w:hint="default"/>
      </w:rPr>
    </w:lvl>
    <w:lvl w:ilvl="4">
      <w:start w:val="1"/>
      <w:numFmt w:val="bullet"/>
      <w:lvlText w:val="•"/>
      <w:lvlJc w:val="left"/>
      <w:pPr>
        <w:ind w:left="4565" w:hanging="720"/>
      </w:pPr>
      <w:rPr>
        <w:rFonts w:hint="default"/>
      </w:rPr>
    </w:lvl>
    <w:lvl w:ilvl="5">
      <w:start w:val="1"/>
      <w:numFmt w:val="bullet"/>
      <w:lvlText w:val="•"/>
      <w:lvlJc w:val="left"/>
      <w:pPr>
        <w:ind w:left="5492" w:hanging="720"/>
      </w:pPr>
      <w:rPr>
        <w:rFonts w:hint="default"/>
      </w:rPr>
    </w:lvl>
    <w:lvl w:ilvl="6">
      <w:start w:val="1"/>
      <w:numFmt w:val="bullet"/>
      <w:lvlText w:val="•"/>
      <w:lvlJc w:val="left"/>
      <w:pPr>
        <w:ind w:left="6418" w:hanging="720"/>
      </w:pPr>
      <w:rPr>
        <w:rFonts w:hint="default"/>
      </w:rPr>
    </w:lvl>
    <w:lvl w:ilvl="7">
      <w:start w:val="1"/>
      <w:numFmt w:val="bullet"/>
      <w:lvlText w:val="•"/>
      <w:lvlJc w:val="left"/>
      <w:pPr>
        <w:ind w:left="7345" w:hanging="720"/>
      </w:pPr>
      <w:rPr>
        <w:rFonts w:hint="default"/>
      </w:rPr>
    </w:lvl>
    <w:lvl w:ilvl="8">
      <w:start w:val="1"/>
      <w:numFmt w:val="bullet"/>
      <w:lvlText w:val="•"/>
      <w:lvlJc w:val="left"/>
      <w:pPr>
        <w:ind w:left="8271" w:hanging="720"/>
      </w:pPr>
      <w:rPr>
        <w:rFonts w:hint="default"/>
      </w:rPr>
    </w:lvl>
  </w:abstractNum>
  <w:abstractNum w:abstractNumId="42">
    <w:multiLevelType w:val="hybridMultilevel"/>
    <w:lvl w:ilvl="0">
      <w:start w:val="1"/>
      <w:numFmt w:val="decimal"/>
      <w:lvlText w:val="%1."/>
      <w:lvlJc w:val="left"/>
      <w:pPr>
        <w:ind w:left="544" w:hanging="397"/>
        <w:jc w:val="left"/>
      </w:pPr>
      <w:rPr>
        <w:rFonts w:hint="default" w:ascii="Arial" w:hAnsi="Arial" w:eastAsia="Arial" w:cs="Arial"/>
        <w:spacing w:val="-15"/>
        <w:w w:val="99"/>
        <w:sz w:val="18"/>
        <w:szCs w:val="18"/>
      </w:rPr>
    </w:lvl>
    <w:lvl w:ilvl="1">
      <w:start w:val="1"/>
      <w:numFmt w:val="lowerLetter"/>
      <w:lvlText w:val="(%2)"/>
      <w:lvlJc w:val="left"/>
      <w:pPr>
        <w:ind w:left="941" w:hanging="398"/>
        <w:jc w:val="left"/>
      </w:pPr>
      <w:rPr>
        <w:rFonts w:hint="default" w:ascii="Arial" w:hAnsi="Arial" w:eastAsia="Arial" w:cs="Arial"/>
        <w:w w:val="99"/>
        <w:sz w:val="18"/>
        <w:szCs w:val="18"/>
      </w:rPr>
    </w:lvl>
    <w:lvl w:ilvl="2">
      <w:start w:val="1"/>
      <w:numFmt w:val="bullet"/>
      <w:lvlText w:val="•"/>
      <w:lvlJc w:val="left"/>
      <w:pPr>
        <w:ind w:left="1960" w:hanging="398"/>
      </w:pPr>
      <w:rPr>
        <w:rFonts w:hint="default"/>
      </w:rPr>
    </w:lvl>
    <w:lvl w:ilvl="3">
      <w:start w:val="1"/>
      <w:numFmt w:val="bullet"/>
      <w:lvlText w:val="•"/>
      <w:lvlJc w:val="left"/>
      <w:pPr>
        <w:ind w:left="2980" w:hanging="398"/>
      </w:pPr>
      <w:rPr>
        <w:rFonts w:hint="default"/>
      </w:rPr>
    </w:lvl>
    <w:lvl w:ilvl="4">
      <w:start w:val="1"/>
      <w:numFmt w:val="bullet"/>
      <w:lvlText w:val="•"/>
      <w:lvlJc w:val="left"/>
      <w:pPr>
        <w:ind w:left="4001" w:hanging="398"/>
      </w:pPr>
      <w:rPr>
        <w:rFonts w:hint="default"/>
      </w:rPr>
    </w:lvl>
    <w:lvl w:ilvl="5">
      <w:start w:val="1"/>
      <w:numFmt w:val="bullet"/>
      <w:lvlText w:val="•"/>
      <w:lvlJc w:val="left"/>
      <w:pPr>
        <w:ind w:left="5021" w:hanging="398"/>
      </w:pPr>
      <w:rPr>
        <w:rFonts w:hint="default"/>
      </w:rPr>
    </w:lvl>
    <w:lvl w:ilvl="6">
      <w:start w:val="1"/>
      <w:numFmt w:val="bullet"/>
      <w:lvlText w:val="•"/>
      <w:lvlJc w:val="left"/>
      <w:pPr>
        <w:ind w:left="6042" w:hanging="398"/>
      </w:pPr>
      <w:rPr>
        <w:rFonts w:hint="default"/>
      </w:rPr>
    </w:lvl>
    <w:lvl w:ilvl="7">
      <w:start w:val="1"/>
      <w:numFmt w:val="bullet"/>
      <w:lvlText w:val="•"/>
      <w:lvlJc w:val="left"/>
      <w:pPr>
        <w:ind w:left="7062" w:hanging="398"/>
      </w:pPr>
      <w:rPr>
        <w:rFonts w:hint="default"/>
      </w:rPr>
    </w:lvl>
    <w:lvl w:ilvl="8">
      <w:start w:val="1"/>
      <w:numFmt w:val="bullet"/>
      <w:lvlText w:val="•"/>
      <w:lvlJc w:val="left"/>
      <w:pPr>
        <w:ind w:left="8083" w:hanging="398"/>
      </w:pPr>
      <w:rPr>
        <w:rFonts w:hint="default"/>
      </w:rPr>
    </w:lvl>
  </w:abstractNum>
  <w:abstractNum w:abstractNumId="41">
    <w:multiLevelType w:val="hybridMultilevel"/>
    <w:lvl w:ilvl="0">
      <w:start w:val="1"/>
      <w:numFmt w:val="decimal"/>
      <w:lvlText w:val="%1."/>
      <w:lvlJc w:val="left"/>
      <w:pPr>
        <w:ind w:left="502" w:hanging="395"/>
        <w:jc w:val="left"/>
      </w:pPr>
      <w:rPr>
        <w:rFonts w:hint="default" w:ascii="Arial" w:hAnsi="Arial" w:eastAsia="Arial" w:cs="Arial"/>
        <w:b/>
        <w:bCs/>
        <w:w w:val="100"/>
        <w:sz w:val="18"/>
        <w:szCs w:val="18"/>
      </w:rPr>
    </w:lvl>
    <w:lvl w:ilvl="1">
      <w:start w:val="1"/>
      <w:numFmt w:val="bullet"/>
      <w:lvlText w:val=""/>
      <w:lvlJc w:val="left"/>
      <w:pPr>
        <w:ind w:left="1070" w:hanging="567"/>
      </w:pPr>
      <w:rPr>
        <w:rFonts w:hint="default" w:ascii="Symbol" w:hAnsi="Symbol" w:eastAsia="Symbol" w:cs="Symbol"/>
        <w:w w:val="100"/>
        <w:sz w:val="18"/>
        <w:szCs w:val="18"/>
      </w:rPr>
    </w:lvl>
    <w:lvl w:ilvl="2">
      <w:start w:val="1"/>
      <w:numFmt w:val="bullet"/>
      <w:lvlText w:val="•"/>
      <w:lvlJc w:val="left"/>
      <w:pPr>
        <w:ind w:left="2080" w:hanging="567"/>
      </w:pPr>
      <w:rPr>
        <w:rFonts w:hint="default"/>
      </w:rPr>
    </w:lvl>
    <w:lvl w:ilvl="3">
      <w:start w:val="1"/>
      <w:numFmt w:val="bullet"/>
      <w:lvlText w:val="•"/>
      <w:lvlJc w:val="left"/>
      <w:pPr>
        <w:ind w:left="3080" w:hanging="567"/>
      </w:pPr>
      <w:rPr>
        <w:rFonts w:hint="default"/>
      </w:rPr>
    </w:lvl>
    <w:lvl w:ilvl="4">
      <w:start w:val="1"/>
      <w:numFmt w:val="bullet"/>
      <w:lvlText w:val="•"/>
      <w:lvlJc w:val="left"/>
      <w:pPr>
        <w:ind w:left="4081" w:hanging="567"/>
      </w:pPr>
      <w:rPr>
        <w:rFonts w:hint="default"/>
      </w:rPr>
    </w:lvl>
    <w:lvl w:ilvl="5">
      <w:start w:val="1"/>
      <w:numFmt w:val="bullet"/>
      <w:lvlText w:val="•"/>
      <w:lvlJc w:val="left"/>
      <w:pPr>
        <w:ind w:left="5081" w:hanging="567"/>
      </w:pPr>
      <w:rPr>
        <w:rFonts w:hint="default"/>
      </w:rPr>
    </w:lvl>
    <w:lvl w:ilvl="6">
      <w:start w:val="1"/>
      <w:numFmt w:val="bullet"/>
      <w:lvlText w:val="•"/>
      <w:lvlJc w:val="left"/>
      <w:pPr>
        <w:ind w:left="6082" w:hanging="567"/>
      </w:pPr>
      <w:rPr>
        <w:rFonts w:hint="default"/>
      </w:rPr>
    </w:lvl>
    <w:lvl w:ilvl="7">
      <w:start w:val="1"/>
      <w:numFmt w:val="bullet"/>
      <w:lvlText w:val="•"/>
      <w:lvlJc w:val="left"/>
      <w:pPr>
        <w:ind w:left="7082" w:hanging="567"/>
      </w:pPr>
      <w:rPr>
        <w:rFonts w:hint="default"/>
      </w:rPr>
    </w:lvl>
    <w:lvl w:ilvl="8">
      <w:start w:val="1"/>
      <w:numFmt w:val="bullet"/>
      <w:lvlText w:val="•"/>
      <w:lvlJc w:val="left"/>
      <w:pPr>
        <w:ind w:left="8083" w:hanging="567"/>
      </w:pPr>
      <w:rPr>
        <w:rFonts w:hint="default"/>
      </w:rPr>
    </w:lvl>
  </w:abstractNum>
  <w:abstractNum w:abstractNumId="40">
    <w:multiLevelType w:val="hybridMultilevel"/>
    <w:lvl w:ilvl="0">
      <w:start w:val="1"/>
      <w:numFmt w:val="bullet"/>
      <w:lvlText w:val="-"/>
      <w:lvlJc w:val="left"/>
      <w:pPr>
        <w:ind w:left="1070" w:hanging="111"/>
      </w:pPr>
      <w:rPr>
        <w:rFonts w:hint="default" w:ascii="Arial" w:hAnsi="Arial" w:eastAsia="Arial" w:cs="Arial"/>
        <w:w w:val="99"/>
        <w:sz w:val="18"/>
        <w:szCs w:val="18"/>
      </w:rPr>
    </w:lvl>
    <w:lvl w:ilvl="1">
      <w:start w:val="1"/>
      <w:numFmt w:val="bullet"/>
      <w:lvlText w:val="•"/>
      <w:lvlJc w:val="left"/>
      <w:pPr>
        <w:ind w:left="1984" w:hanging="111"/>
      </w:pPr>
      <w:rPr>
        <w:rFonts w:hint="default"/>
      </w:rPr>
    </w:lvl>
    <w:lvl w:ilvl="2">
      <w:start w:val="1"/>
      <w:numFmt w:val="bullet"/>
      <w:lvlText w:val="•"/>
      <w:lvlJc w:val="left"/>
      <w:pPr>
        <w:ind w:left="2889" w:hanging="111"/>
      </w:pPr>
      <w:rPr>
        <w:rFonts w:hint="default"/>
      </w:rPr>
    </w:lvl>
    <w:lvl w:ilvl="3">
      <w:start w:val="1"/>
      <w:numFmt w:val="bullet"/>
      <w:lvlText w:val="•"/>
      <w:lvlJc w:val="left"/>
      <w:pPr>
        <w:ind w:left="3793" w:hanging="111"/>
      </w:pPr>
      <w:rPr>
        <w:rFonts w:hint="default"/>
      </w:rPr>
    </w:lvl>
    <w:lvl w:ilvl="4">
      <w:start w:val="1"/>
      <w:numFmt w:val="bullet"/>
      <w:lvlText w:val="•"/>
      <w:lvlJc w:val="left"/>
      <w:pPr>
        <w:ind w:left="4698" w:hanging="111"/>
      </w:pPr>
      <w:rPr>
        <w:rFonts w:hint="default"/>
      </w:rPr>
    </w:lvl>
    <w:lvl w:ilvl="5">
      <w:start w:val="1"/>
      <w:numFmt w:val="bullet"/>
      <w:lvlText w:val="•"/>
      <w:lvlJc w:val="left"/>
      <w:pPr>
        <w:ind w:left="5602" w:hanging="111"/>
      </w:pPr>
      <w:rPr>
        <w:rFonts w:hint="default"/>
      </w:rPr>
    </w:lvl>
    <w:lvl w:ilvl="6">
      <w:start w:val="1"/>
      <w:numFmt w:val="bullet"/>
      <w:lvlText w:val="•"/>
      <w:lvlJc w:val="left"/>
      <w:pPr>
        <w:ind w:left="6507" w:hanging="111"/>
      </w:pPr>
      <w:rPr>
        <w:rFonts w:hint="default"/>
      </w:rPr>
    </w:lvl>
    <w:lvl w:ilvl="7">
      <w:start w:val="1"/>
      <w:numFmt w:val="bullet"/>
      <w:lvlText w:val="•"/>
      <w:lvlJc w:val="left"/>
      <w:pPr>
        <w:ind w:left="7411" w:hanging="111"/>
      </w:pPr>
      <w:rPr>
        <w:rFonts w:hint="default"/>
      </w:rPr>
    </w:lvl>
    <w:lvl w:ilvl="8">
      <w:start w:val="1"/>
      <w:numFmt w:val="bullet"/>
      <w:lvlText w:val="•"/>
      <w:lvlJc w:val="left"/>
      <w:pPr>
        <w:ind w:left="8316" w:hanging="111"/>
      </w:pPr>
      <w:rPr>
        <w:rFonts w:hint="default"/>
      </w:rPr>
    </w:lvl>
  </w:abstractNum>
  <w:abstractNum w:abstractNumId="39">
    <w:multiLevelType w:val="hybridMultilevel"/>
    <w:lvl w:ilvl="0">
      <w:start w:val="2"/>
      <w:numFmt w:val="lowerLetter"/>
      <w:lvlText w:val="(%1)"/>
      <w:lvlJc w:val="left"/>
      <w:pPr>
        <w:ind w:left="1070" w:hanging="567"/>
        <w:jc w:val="left"/>
      </w:pPr>
      <w:rPr>
        <w:rFonts w:hint="default" w:ascii="Arial" w:hAnsi="Arial" w:eastAsia="Arial" w:cs="Arial"/>
        <w:w w:val="99"/>
        <w:sz w:val="18"/>
        <w:szCs w:val="18"/>
      </w:rPr>
    </w:lvl>
    <w:lvl w:ilvl="1">
      <w:start w:val="1"/>
      <w:numFmt w:val="lowerRoman"/>
      <w:lvlText w:val="(%2)"/>
      <w:lvlJc w:val="left"/>
      <w:pPr>
        <w:ind w:left="1281" w:hanging="212"/>
        <w:jc w:val="left"/>
      </w:pPr>
      <w:rPr>
        <w:rFonts w:hint="default" w:ascii="Arial" w:hAnsi="Arial" w:eastAsia="Arial" w:cs="Arial"/>
        <w:w w:val="99"/>
        <w:sz w:val="18"/>
        <w:szCs w:val="18"/>
      </w:rPr>
    </w:lvl>
    <w:lvl w:ilvl="2">
      <w:start w:val="1"/>
      <w:numFmt w:val="bullet"/>
      <w:lvlText w:val="•"/>
      <w:lvlJc w:val="left"/>
      <w:pPr>
        <w:ind w:left="2260" w:hanging="212"/>
      </w:pPr>
      <w:rPr>
        <w:rFonts w:hint="default"/>
      </w:rPr>
    </w:lvl>
    <w:lvl w:ilvl="3">
      <w:start w:val="1"/>
      <w:numFmt w:val="bullet"/>
      <w:lvlText w:val="•"/>
      <w:lvlJc w:val="left"/>
      <w:pPr>
        <w:ind w:left="3241" w:hanging="212"/>
      </w:pPr>
      <w:rPr>
        <w:rFonts w:hint="default"/>
      </w:rPr>
    </w:lvl>
    <w:lvl w:ilvl="4">
      <w:start w:val="1"/>
      <w:numFmt w:val="bullet"/>
      <w:lvlText w:val="•"/>
      <w:lvlJc w:val="left"/>
      <w:pPr>
        <w:ind w:left="4221" w:hanging="212"/>
      </w:pPr>
      <w:rPr>
        <w:rFonts w:hint="default"/>
      </w:rPr>
    </w:lvl>
    <w:lvl w:ilvl="5">
      <w:start w:val="1"/>
      <w:numFmt w:val="bullet"/>
      <w:lvlText w:val="•"/>
      <w:lvlJc w:val="left"/>
      <w:pPr>
        <w:ind w:left="5202" w:hanging="212"/>
      </w:pPr>
      <w:rPr>
        <w:rFonts w:hint="default"/>
      </w:rPr>
    </w:lvl>
    <w:lvl w:ilvl="6">
      <w:start w:val="1"/>
      <w:numFmt w:val="bullet"/>
      <w:lvlText w:val="•"/>
      <w:lvlJc w:val="left"/>
      <w:pPr>
        <w:ind w:left="6183" w:hanging="212"/>
      </w:pPr>
      <w:rPr>
        <w:rFonts w:hint="default"/>
      </w:rPr>
    </w:lvl>
    <w:lvl w:ilvl="7">
      <w:start w:val="1"/>
      <w:numFmt w:val="bullet"/>
      <w:lvlText w:val="•"/>
      <w:lvlJc w:val="left"/>
      <w:pPr>
        <w:ind w:left="7163" w:hanging="212"/>
      </w:pPr>
      <w:rPr>
        <w:rFonts w:hint="default"/>
      </w:rPr>
    </w:lvl>
    <w:lvl w:ilvl="8">
      <w:start w:val="1"/>
      <w:numFmt w:val="bullet"/>
      <w:lvlText w:val="•"/>
      <w:lvlJc w:val="left"/>
      <w:pPr>
        <w:ind w:left="8144" w:hanging="212"/>
      </w:pPr>
      <w:rPr>
        <w:rFonts w:hint="default"/>
      </w:rPr>
    </w:lvl>
  </w:abstractNum>
  <w:abstractNum w:abstractNumId="38">
    <w:multiLevelType w:val="hybridMultilevel"/>
    <w:lvl w:ilvl="0">
      <w:start w:val="1"/>
      <w:numFmt w:val="lowerRoman"/>
      <w:lvlText w:val="(%1)"/>
      <w:lvlJc w:val="left"/>
      <w:pPr>
        <w:ind w:left="1281" w:hanging="212"/>
        <w:jc w:val="left"/>
      </w:pPr>
      <w:rPr>
        <w:rFonts w:hint="default" w:ascii="Arial" w:hAnsi="Arial" w:eastAsia="Arial" w:cs="Arial"/>
        <w:w w:val="99"/>
        <w:sz w:val="18"/>
        <w:szCs w:val="18"/>
      </w:rPr>
    </w:lvl>
    <w:lvl w:ilvl="1">
      <w:start w:val="1"/>
      <w:numFmt w:val="bullet"/>
      <w:lvlText w:val="•"/>
      <w:lvlJc w:val="left"/>
      <w:pPr>
        <w:ind w:left="2164" w:hanging="212"/>
      </w:pPr>
      <w:rPr>
        <w:rFonts w:hint="default"/>
      </w:rPr>
    </w:lvl>
    <w:lvl w:ilvl="2">
      <w:start w:val="1"/>
      <w:numFmt w:val="bullet"/>
      <w:lvlText w:val="•"/>
      <w:lvlJc w:val="left"/>
      <w:pPr>
        <w:ind w:left="3049" w:hanging="212"/>
      </w:pPr>
      <w:rPr>
        <w:rFonts w:hint="default"/>
      </w:rPr>
    </w:lvl>
    <w:lvl w:ilvl="3">
      <w:start w:val="1"/>
      <w:numFmt w:val="bullet"/>
      <w:lvlText w:val="•"/>
      <w:lvlJc w:val="left"/>
      <w:pPr>
        <w:ind w:left="3933" w:hanging="212"/>
      </w:pPr>
      <w:rPr>
        <w:rFonts w:hint="default"/>
      </w:rPr>
    </w:lvl>
    <w:lvl w:ilvl="4">
      <w:start w:val="1"/>
      <w:numFmt w:val="bullet"/>
      <w:lvlText w:val="•"/>
      <w:lvlJc w:val="left"/>
      <w:pPr>
        <w:ind w:left="4818" w:hanging="212"/>
      </w:pPr>
      <w:rPr>
        <w:rFonts w:hint="default"/>
      </w:rPr>
    </w:lvl>
    <w:lvl w:ilvl="5">
      <w:start w:val="1"/>
      <w:numFmt w:val="bullet"/>
      <w:lvlText w:val="•"/>
      <w:lvlJc w:val="left"/>
      <w:pPr>
        <w:ind w:left="5702" w:hanging="212"/>
      </w:pPr>
      <w:rPr>
        <w:rFonts w:hint="default"/>
      </w:rPr>
    </w:lvl>
    <w:lvl w:ilvl="6">
      <w:start w:val="1"/>
      <w:numFmt w:val="bullet"/>
      <w:lvlText w:val="•"/>
      <w:lvlJc w:val="left"/>
      <w:pPr>
        <w:ind w:left="6587" w:hanging="212"/>
      </w:pPr>
      <w:rPr>
        <w:rFonts w:hint="default"/>
      </w:rPr>
    </w:lvl>
    <w:lvl w:ilvl="7">
      <w:start w:val="1"/>
      <w:numFmt w:val="bullet"/>
      <w:lvlText w:val="•"/>
      <w:lvlJc w:val="left"/>
      <w:pPr>
        <w:ind w:left="7471" w:hanging="212"/>
      </w:pPr>
      <w:rPr>
        <w:rFonts w:hint="default"/>
      </w:rPr>
    </w:lvl>
    <w:lvl w:ilvl="8">
      <w:start w:val="1"/>
      <w:numFmt w:val="bullet"/>
      <w:lvlText w:val="•"/>
      <w:lvlJc w:val="left"/>
      <w:pPr>
        <w:ind w:left="8356" w:hanging="212"/>
      </w:pPr>
      <w:rPr>
        <w:rFonts w:hint="default"/>
      </w:rPr>
    </w:lvl>
  </w:abstractNum>
  <w:abstractNum w:abstractNumId="37">
    <w:multiLevelType w:val="hybridMultilevel"/>
    <w:lvl w:ilvl="0">
      <w:start w:val="4"/>
      <w:numFmt w:val="lowerLetter"/>
      <w:lvlText w:val="(%1)"/>
      <w:lvlJc w:val="left"/>
      <w:pPr>
        <w:ind w:left="1070" w:hanging="567"/>
        <w:jc w:val="left"/>
      </w:pPr>
      <w:rPr>
        <w:rFonts w:hint="default" w:ascii="Arial" w:hAnsi="Arial" w:eastAsia="Arial" w:cs="Arial"/>
        <w:w w:val="99"/>
        <w:sz w:val="18"/>
        <w:szCs w:val="18"/>
      </w:rPr>
    </w:lvl>
    <w:lvl w:ilvl="1">
      <w:start w:val="1"/>
      <w:numFmt w:val="lowerLetter"/>
      <w:lvlText w:val="(%2)"/>
      <w:lvlJc w:val="left"/>
      <w:pPr>
        <w:ind w:left="1277" w:hanging="208"/>
        <w:jc w:val="left"/>
      </w:pPr>
      <w:rPr>
        <w:rFonts w:hint="default" w:ascii="Arial" w:hAnsi="Arial" w:eastAsia="Arial" w:cs="Arial"/>
        <w:spacing w:val="-1"/>
        <w:w w:val="99"/>
        <w:sz w:val="14"/>
        <w:szCs w:val="14"/>
      </w:rPr>
    </w:lvl>
    <w:lvl w:ilvl="2">
      <w:start w:val="1"/>
      <w:numFmt w:val="bullet"/>
      <w:lvlText w:val="•"/>
      <w:lvlJc w:val="left"/>
      <w:pPr>
        <w:ind w:left="2813" w:hanging="208"/>
      </w:pPr>
      <w:rPr>
        <w:rFonts w:hint="default"/>
      </w:rPr>
    </w:lvl>
    <w:lvl w:ilvl="3">
      <w:start w:val="1"/>
      <w:numFmt w:val="bullet"/>
      <w:lvlText w:val="•"/>
      <w:lvlJc w:val="left"/>
      <w:pPr>
        <w:ind w:left="4346" w:hanging="208"/>
      </w:pPr>
      <w:rPr>
        <w:rFonts w:hint="default"/>
      </w:rPr>
    </w:lvl>
    <w:lvl w:ilvl="4">
      <w:start w:val="1"/>
      <w:numFmt w:val="bullet"/>
      <w:lvlText w:val="•"/>
      <w:lvlJc w:val="left"/>
      <w:pPr>
        <w:ind w:left="5879" w:hanging="208"/>
      </w:pPr>
      <w:rPr>
        <w:rFonts w:hint="default"/>
      </w:rPr>
    </w:lvl>
    <w:lvl w:ilvl="5">
      <w:start w:val="1"/>
      <w:numFmt w:val="bullet"/>
      <w:lvlText w:val="•"/>
      <w:lvlJc w:val="left"/>
      <w:pPr>
        <w:ind w:left="7412" w:hanging="208"/>
      </w:pPr>
      <w:rPr>
        <w:rFonts w:hint="default"/>
      </w:rPr>
    </w:lvl>
    <w:lvl w:ilvl="6">
      <w:start w:val="1"/>
      <w:numFmt w:val="bullet"/>
      <w:lvlText w:val="•"/>
      <w:lvlJc w:val="left"/>
      <w:pPr>
        <w:ind w:left="8945" w:hanging="208"/>
      </w:pPr>
      <w:rPr>
        <w:rFonts w:hint="default"/>
      </w:rPr>
    </w:lvl>
    <w:lvl w:ilvl="7">
      <w:start w:val="1"/>
      <w:numFmt w:val="bullet"/>
      <w:lvlText w:val="•"/>
      <w:lvlJc w:val="left"/>
      <w:pPr>
        <w:ind w:left="10478" w:hanging="208"/>
      </w:pPr>
      <w:rPr>
        <w:rFonts w:hint="default"/>
      </w:rPr>
    </w:lvl>
    <w:lvl w:ilvl="8">
      <w:start w:val="1"/>
      <w:numFmt w:val="bullet"/>
      <w:lvlText w:val="•"/>
      <w:lvlJc w:val="left"/>
      <w:pPr>
        <w:ind w:left="12011" w:hanging="208"/>
      </w:pPr>
      <w:rPr>
        <w:rFonts w:hint="default"/>
      </w:rPr>
    </w:lvl>
  </w:abstractNum>
  <w:abstractNum w:abstractNumId="36">
    <w:multiLevelType w:val="hybridMultilevel"/>
    <w:lvl w:ilvl="0">
      <w:start w:val="2"/>
      <w:numFmt w:val="lowerLetter"/>
      <w:lvlText w:val="(%1)"/>
      <w:lvlJc w:val="left"/>
      <w:pPr>
        <w:ind w:left="1070" w:hanging="567"/>
        <w:jc w:val="left"/>
      </w:pPr>
      <w:rPr>
        <w:rFonts w:hint="default" w:ascii="Arial" w:hAnsi="Arial" w:eastAsia="Arial" w:cs="Arial"/>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9"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8"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7"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6" w:hanging="567"/>
      </w:pPr>
      <w:rPr>
        <w:rFonts w:hint="default"/>
      </w:rPr>
    </w:lvl>
  </w:abstractNum>
  <w:abstractNum w:abstractNumId="35">
    <w:multiLevelType w:val="hybridMultilevel"/>
    <w:lvl w:ilvl="0">
      <w:start w:val="1"/>
      <w:numFmt w:val="lowerLetter"/>
      <w:lvlText w:val="(%1)"/>
      <w:lvlJc w:val="left"/>
      <w:pPr>
        <w:ind w:left="1070" w:hanging="567"/>
        <w:jc w:val="left"/>
      </w:pPr>
      <w:rPr>
        <w:rFonts w:hint="default" w:ascii="Arial" w:hAnsi="Arial" w:eastAsia="Arial" w:cs="Arial"/>
        <w:w w:val="99"/>
        <w:sz w:val="18"/>
        <w:szCs w:val="18"/>
      </w:rPr>
    </w:lvl>
    <w:lvl w:ilvl="1">
      <w:start w:val="1"/>
      <w:numFmt w:val="lowerRoman"/>
      <w:lvlText w:val="(%2)"/>
      <w:lvlJc w:val="left"/>
      <w:pPr>
        <w:ind w:left="1281" w:hanging="212"/>
        <w:jc w:val="left"/>
      </w:pPr>
      <w:rPr>
        <w:rFonts w:hint="default" w:ascii="Arial" w:hAnsi="Arial" w:eastAsia="Arial" w:cs="Arial"/>
        <w:w w:val="99"/>
        <w:sz w:val="18"/>
        <w:szCs w:val="18"/>
      </w:rPr>
    </w:lvl>
    <w:lvl w:ilvl="2">
      <w:start w:val="1"/>
      <w:numFmt w:val="bullet"/>
      <w:lvlText w:val="•"/>
      <w:lvlJc w:val="left"/>
      <w:pPr>
        <w:ind w:left="2262" w:hanging="212"/>
      </w:pPr>
      <w:rPr>
        <w:rFonts w:hint="default"/>
      </w:rPr>
    </w:lvl>
    <w:lvl w:ilvl="3">
      <w:start w:val="1"/>
      <w:numFmt w:val="bullet"/>
      <w:lvlText w:val="•"/>
      <w:lvlJc w:val="left"/>
      <w:pPr>
        <w:ind w:left="3245" w:hanging="212"/>
      </w:pPr>
      <w:rPr>
        <w:rFonts w:hint="default"/>
      </w:rPr>
    </w:lvl>
    <w:lvl w:ilvl="4">
      <w:start w:val="1"/>
      <w:numFmt w:val="bullet"/>
      <w:lvlText w:val="•"/>
      <w:lvlJc w:val="left"/>
      <w:pPr>
        <w:ind w:left="4228" w:hanging="212"/>
      </w:pPr>
      <w:rPr>
        <w:rFonts w:hint="default"/>
      </w:rPr>
    </w:lvl>
    <w:lvl w:ilvl="5">
      <w:start w:val="1"/>
      <w:numFmt w:val="bullet"/>
      <w:lvlText w:val="•"/>
      <w:lvlJc w:val="left"/>
      <w:pPr>
        <w:ind w:left="5211" w:hanging="212"/>
      </w:pPr>
      <w:rPr>
        <w:rFonts w:hint="default"/>
      </w:rPr>
    </w:lvl>
    <w:lvl w:ilvl="6">
      <w:start w:val="1"/>
      <w:numFmt w:val="bullet"/>
      <w:lvlText w:val="•"/>
      <w:lvlJc w:val="left"/>
      <w:pPr>
        <w:ind w:left="6194" w:hanging="212"/>
      </w:pPr>
      <w:rPr>
        <w:rFonts w:hint="default"/>
      </w:rPr>
    </w:lvl>
    <w:lvl w:ilvl="7">
      <w:start w:val="1"/>
      <w:numFmt w:val="bullet"/>
      <w:lvlText w:val="•"/>
      <w:lvlJc w:val="left"/>
      <w:pPr>
        <w:ind w:left="7176" w:hanging="212"/>
      </w:pPr>
      <w:rPr>
        <w:rFonts w:hint="default"/>
      </w:rPr>
    </w:lvl>
    <w:lvl w:ilvl="8">
      <w:start w:val="1"/>
      <w:numFmt w:val="bullet"/>
      <w:lvlText w:val="•"/>
      <w:lvlJc w:val="left"/>
      <w:pPr>
        <w:ind w:left="8159" w:hanging="212"/>
      </w:pPr>
      <w:rPr>
        <w:rFonts w:hint="default"/>
      </w:rPr>
    </w:lvl>
  </w:abstractNum>
  <w:abstractNum w:abstractNumId="34">
    <w:multiLevelType w:val="hybridMultilevel"/>
    <w:lvl w:ilvl="0">
      <w:start w:val="1"/>
      <w:numFmt w:val="lowerLetter"/>
      <w:lvlText w:val="(%1)"/>
      <w:lvlJc w:val="left"/>
      <w:pPr>
        <w:ind w:left="1070" w:hanging="567"/>
        <w:jc w:val="left"/>
      </w:pPr>
      <w:rPr>
        <w:rFonts w:hint="default" w:ascii="Arial" w:hAnsi="Arial" w:eastAsia="Arial" w:cs="Arial"/>
        <w:w w:val="99"/>
        <w:sz w:val="18"/>
        <w:szCs w:val="18"/>
      </w:rPr>
    </w:lvl>
    <w:lvl w:ilvl="1">
      <w:start w:val="1"/>
      <w:numFmt w:val="lowerRoman"/>
      <w:lvlText w:val="%2)"/>
      <w:lvlJc w:val="left"/>
      <w:pPr>
        <w:ind w:left="1070" w:hanging="152"/>
        <w:jc w:val="left"/>
      </w:pPr>
      <w:rPr>
        <w:rFonts w:hint="default" w:ascii="Arial" w:hAnsi="Arial" w:eastAsia="Arial" w:cs="Arial"/>
        <w:w w:val="99"/>
        <w:sz w:val="18"/>
        <w:szCs w:val="18"/>
      </w:rPr>
    </w:lvl>
    <w:lvl w:ilvl="2">
      <w:start w:val="1"/>
      <w:numFmt w:val="bullet"/>
      <w:lvlText w:val="•"/>
      <w:lvlJc w:val="left"/>
      <w:pPr>
        <w:ind w:left="2881" w:hanging="152"/>
      </w:pPr>
      <w:rPr>
        <w:rFonts w:hint="default"/>
      </w:rPr>
    </w:lvl>
    <w:lvl w:ilvl="3">
      <w:start w:val="1"/>
      <w:numFmt w:val="bullet"/>
      <w:lvlText w:val="•"/>
      <w:lvlJc w:val="left"/>
      <w:pPr>
        <w:ind w:left="3781" w:hanging="152"/>
      </w:pPr>
      <w:rPr>
        <w:rFonts w:hint="default"/>
      </w:rPr>
    </w:lvl>
    <w:lvl w:ilvl="4">
      <w:start w:val="1"/>
      <w:numFmt w:val="bullet"/>
      <w:lvlText w:val="•"/>
      <w:lvlJc w:val="left"/>
      <w:pPr>
        <w:ind w:left="4682" w:hanging="152"/>
      </w:pPr>
      <w:rPr>
        <w:rFonts w:hint="default"/>
      </w:rPr>
    </w:lvl>
    <w:lvl w:ilvl="5">
      <w:start w:val="1"/>
      <w:numFmt w:val="bullet"/>
      <w:lvlText w:val="•"/>
      <w:lvlJc w:val="left"/>
      <w:pPr>
        <w:ind w:left="5582" w:hanging="152"/>
      </w:pPr>
      <w:rPr>
        <w:rFonts w:hint="default"/>
      </w:rPr>
    </w:lvl>
    <w:lvl w:ilvl="6">
      <w:start w:val="1"/>
      <w:numFmt w:val="bullet"/>
      <w:lvlText w:val="•"/>
      <w:lvlJc w:val="left"/>
      <w:pPr>
        <w:ind w:left="6483" w:hanging="152"/>
      </w:pPr>
      <w:rPr>
        <w:rFonts w:hint="default"/>
      </w:rPr>
    </w:lvl>
    <w:lvl w:ilvl="7">
      <w:start w:val="1"/>
      <w:numFmt w:val="bullet"/>
      <w:lvlText w:val="•"/>
      <w:lvlJc w:val="left"/>
      <w:pPr>
        <w:ind w:left="7383" w:hanging="152"/>
      </w:pPr>
      <w:rPr>
        <w:rFonts w:hint="default"/>
      </w:rPr>
    </w:lvl>
    <w:lvl w:ilvl="8">
      <w:start w:val="1"/>
      <w:numFmt w:val="bullet"/>
      <w:lvlText w:val="•"/>
      <w:lvlJc w:val="left"/>
      <w:pPr>
        <w:ind w:left="8284" w:hanging="152"/>
      </w:pPr>
      <w:rPr>
        <w:rFonts w:hint="default"/>
      </w:rPr>
    </w:lvl>
  </w:abstractNum>
  <w:abstractNum w:abstractNumId="33">
    <w:multiLevelType w:val="hybridMultilevel"/>
    <w:lvl w:ilvl="0">
      <w:start w:val="34"/>
      <w:numFmt w:val="decimal"/>
      <w:lvlText w:val="%1"/>
      <w:lvlJc w:val="left"/>
      <w:pPr>
        <w:ind w:left="1070" w:hanging="567"/>
        <w:jc w:val="right"/>
      </w:pPr>
      <w:rPr>
        <w:rFonts w:hint="default" w:ascii="Arial" w:hAnsi="Arial" w:eastAsia="Arial" w:cs="Arial"/>
        <w:b/>
        <w:bCs/>
        <w:w w:val="99"/>
        <w:sz w:val="18"/>
        <w:szCs w:val="18"/>
      </w:rPr>
    </w:lvl>
    <w:lvl w:ilvl="1">
      <w:start w:val="1"/>
      <w:numFmt w:val="lowerLetter"/>
      <w:lvlText w:val="(%2)"/>
      <w:lvlJc w:val="left"/>
      <w:pPr>
        <w:ind w:left="1070" w:hanging="567"/>
        <w:jc w:val="left"/>
      </w:pPr>
      <w:rPr>
        <w:rFonts w:hint="default" w:ascii="Arial" w:hAnsi="Arial" w:eastAsia="Arial" w:cs="Arial"/>
        <w:w w:val="99"/>
        <w:sz w:val="18"/>
        <w:szCs w:val="18"/>
      </w:rPr>
    </w:lvl>
    <w:lvl w:ilvl="2">
      <w:start w:val="1"/>
      <w:numFmt w:val="bullet"/>
      <w:lvlText w:val=""/>
      <w:lvlJc w:val="left"/>
      <w:pPr>
        <w:ind w:left="1636" w:hanging="567"/>
      </w:pPr>
      <w:rPr>
        <w:rFonts w:hint="default" w:ascii="Symbol" w:hAnsi="Symbol" w:eastAsia="Symbol" w:cs="Symbol"/>
        <w:w w:val="100"/>
        <w:sz w:val="18"/>
        <w:szCs w:val="18"/>
      </w:rPr>
    </w:lvl>
    <w:lvl w:ilvl="3">
      <w:start w:val="1"/>
      <w:numFmt w:val="bullet"/>
      <w:lvlText w:val="•"/>
      <w:lvlJc w:val="left"/>
      <w:pPr>
        <w:ind w:left="2524" w:hanging="567"/>
      </w:pPr>
      <w:rPr>
        <w:rFonts w:hint="default"/>
      </w:rPr>
    </w:lvl>
    <w:lvl w:ilvl="4">
      <w:start w:val="1"/>
      <w:numFmt w:val="bullet"/>
      <w:lvlText w:val="•"/>
      <w:lvlJc w:val="left"/>
      <w:pPr>
        <w:ind w:left="2967" w:hanging="567"/>
      </w:pPr>
      <w:rPr>
        <w:rFonts w:hint="default"/>
      </w:rPr>
    </w:lvl>
    <w:lvl w:ilvl="5">
      <w:start w:val="1"/>
      <w:numFmt w:val="bullet"/>
      <w:lvlText w:val="•"/>
      <w:lvlJc w:val="left"/>
      <w:pPr>
        <w:ind w:left="3409" w:hanging="567"/>
      </w:pPr>
      <w:rPr>
        <w:rFonts w:hint="default"/>
      </w:rPr>
    </w:lvl>
    <w:lvl w:ilvl="6">
      <w:start w:val="1"/>
      <w:numFmt w:val="bullet"/>
      <w:lvlText w:val="•"/>
      <w:lvlJc w:val="left"/>
      <w:pPr>
        <w:ind w:left="3851" w:hanging="567"/>
      </w:pPr>
      <w:rPr>
        <w:rFonts w:hint="default"/>
      </w:rPr>
    </w:lvl>
    <w:lvl w:ilvl="7">
      <w:start w:val="1"/>
      <w:numFmt w:val="bullet"/>
      <w:lvlText w:val="•"/>
      <w:lvlJc w:val="left"/>
      <w:pPr>
        <w:ind w:left="4294" w:hanging="567"/>
      </w:pPr>
      <w:rPr>
        <w:rFonts w:hint="default"/>
      </w:rPr>
    </w:lvl>
    <w:lvl w:ilvl="8">
      <w:start w:val="1"/>
      <w:numFmt w:val="bullet"/>
      <w:lvlText w:val="•"/>
      <w:lvlJc w:val="left"/>
      <w:pPr>
        <w:ind w:left="4736" w:hanging="567"/>
      </w:pPr>
      <w:rPr>
        <w:rFonts w:hint="default"/>
      </w:rPr>
    </w:lvl>
  </w:abstractNum>
  <w:abstractNum w:abstractNumId="32">
    <w:multiLevelType w:val="hybridMultilevel"/>
    <w:lvl w:ilvl="0">
      <w:start w:val="31"/>
      <w:numFmt w:val="decimal"/>
      <w:lvlText w:val="%1"/>
      <w:lvlJc w:val="left"/>
      <w:pPr>
        <w:ind w:left="504" w:hanging="394"/>
        <w:jc w:val="left"/>
      </w:pPr>
      <w:rPr>
        <w:rFonts w:hint="default" w:ascii="Arial" w:hAnsi="Arial" w:eastAsia="Arial" w:cs="Arial"/>
        <w:b/>
        <w:bCs/>
        <w:w w:val="99"/>
        <w:sz w:val="18"/>
        <w:szCs w:val="18"/>
      </w:rPr>
    </w:lvl>
    <w:lvl w:ilvl="1">
      <w:start w:val="1"/>
      <w:numFmt w:val="lowerLetter"/>
      <w:lvlText w:val="(%2)"/>
      <w:lvlJc w:val="left"/>
      <w:pPr>
        <w:ind w:left="1070" w:hanging="567"/>
        <w:jc w:val="left"/>
      </w:pPr>
      <w:rPr>
        <w:rFonts w:hint="default" w:ascii="Arial" w:hAnsi="Arial" w:eastAsia="Arial" w:cs="Arial"/>
        <w:w w:val="99"/>
        <w:sz w:val="18"/>
        <w:szCs w:val="18"/>
      </w:rPr>
    </w:lvl>
    <w:lvl w:ilvl="2">
      <w:start w:val="1"/>
      <w:numFmt w:val="bullet"/>
      <w:lvlText w:val="•"/>
      <w:lvlJc w:val="left"/>
      <w:pPr>
        <w:ind w:left="2082" w:hanging="567"/>
      </w:pPr>
      <w:rPr>
        <w:rFonts w:hint="default"/>
      </w:rPr>
    </w:lvl>
    <w:lvl w:ilvl="3">
      <w:start w:val="1"/>
      <w:numFmt w:val="bullet"/>
      <w:lvlText w:val="•"/>
      <w:lvlJc w:val="left"/>
      <w:pPr>
        <w:ind w:left="3085" w:hanging="567"/>
      </w:pPr>
      <w:rPr>
        <w:rFonts w:hint="default"/>
      </w:rPr>
    </w:lvl>
    <w:lvl w:ilvl="4">
      <w:start w:val="1"/>
      <w:numFmt w:val="bullet"/>
      <w:lvlText w:val="•"/>
      <w:lvlJc w:val="left"/>
      <w:pPr>
        <w:ind w:left="4088" w:hanging="567"/>
      </w:pPr>
      <w:rPr>
        <w:rFonts w:hint="default"/>
      </w:rPr>
    </w:lvl>
    <w:lvl w:ilvl="5">
      <w:start w:val="1"/>
      <w:numFmt w:val="bullet"/>
      <w:lvlText w:val="•"/>
      <w:lvlJc w:val="left"/>
      <w:pPr>
        <w:ind w:left="5091" w:hanging="567"/>
      </w:pPr>
      <w:rPr>
        <w:rFonts w:hint="default"/>
      </w:rPr>
    </w:lvl>
    <w:lvl w:ilvl="6">
      <w:start w:val="1"/>
      <w:numFmt w:val="bullet"/>
      <w:lvlText w:val="•"/>
      <w:lvlJc w:val="left"/>
      <w:pPr>
        <w:ind w:left="6094" w:hanging="567"/>
      </w:pPr>
      <w:rPr>
        <w:rFonts w:hint="default"/>
      </w:rPr>
    </w:lvl>
    <w:lvl w:ilvl="7">
      <w:start w:val="1"/>
      <w:numFmt w:val="bullet"/>
      <w:lvlText w:val="•"/>
      <w:lvlJc w:val="left"/>
      <w:pPr>
        <w:ind w:left="7096" w:hanging="567"/>
      </w:pPr>
      <w:rPr>
        <w:rFonts w:hint="default"/>
      </w:rPr>
    </w:lvl>
    <w:lvl w:ilvl="8">
      <w:start w:val="1"/>
      <w:numFmt w:val="bullet"/>
      <w:lvlText w:val="•"/>
      <w:lvlJc w:val="left"/>
      <w:pPr>
        <w:ind w:left="8099" w:hanging="567"/>
      </w:pPr>
      <w:rPr>
        <w:rFonts w:hint="default"/>
      </w:rPr>
    </w:lvl>
  </w:abstractNum>
  <w:abstractNum w:abstractNumId="31">
    <w:multiLevelType w:val="hybridMultilevel"/>
    <w:lvl w:ilvl="0">
      <w:start w:val="1"/>
      <w:numFmt w:val="lowerLetter"/>
      <w:lvlText w:val="(%1)"/>
      <w:lvlJc w:val="left"/>
      <w:pPr>
        <w:ind w:left="1070" w:hanging="567"/>
        <w:jc w:val="left"/>
      </w:pPr>
      <w:rPr>
        <w:rFonts w:hint="default" w:ascii="Arial" w:hAnsi="Arial" w:eastAsia="Arial" w:cs="Arial"/>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9"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8"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7"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6" w:hanging="567"/>
      </w:pPr>
      <w:rPr>
        <w:rFonts w:hint="default"/>
      </w:rPr>
    </w:lvl>
  </w:abstractNum>
  <w:abstractNum w:abstractNumId="29">
    <w:multiLevelType w:val="hybridMultilevel"/>
    <w:lvl w:ilvl="0">
      <w:start w:val="2"/>
      <w:numFmt w:val="lowerLetter"/>
      <w:lvlText w:val="(%1)"/>
      <w:lvlJc w:val="left"/>
      <w:pPr>
        <w:ind w:left="1070" w:hanging="567"/>
        <w:jc w:val="left"/>
      </w:pPr>
      <w:rPr>
        <w:rFonts w:hint="default" w:ascii="Arial" w:hAnsi="Arial" w:eastAsia="Arial" w:cs="Arial"/>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9"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8"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7"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6" w:hanging="567"/>
      </w:pPr>
      <w:rPr>
        <w:rFonts w:hint="default"/>
      </w:rPr>
    </w:lvl>
  </w:abstractNum>
  <w:abstractNum w:abstractNumId="28">
    <w:multiLevelType w:val="hybridMultilevel"/>
    <w:lvl w:ilvl="0">
      <w:start w:val="26"/>
      <w:numFmt w:val="decimal"/>
      <w:lvlText w:val="%1"/>
      <w:lvlJc w:val="left"/>
      <w:pPr>
        <w:ind w:left="504" w:hanging="394"/>
        <w:jc w:val="left"/>
      </w:pPr>
      <w:rPr>
        <w:rFonts w:hint="default" w:ascii="Arial" w:hAnsi="Arial" w:eastAsia="Arial" w:cs="Arial"/>
        <w:b/>
        <w:bCs/>
        <w:w w:val="99"/>
        <w:sz w:val="18"/>
        <w:szCs w:val="18"/>
      </w:rPr>
    </w:lvl>
    <w:lvl w:ilvl="1">
      <w:start w:val="1"/>
      <w:numFmt w:val="lowerLetter"/>
      <w:lvlText w:val="(%2)"/>
      <w:lvlJc w:val="left"/>
      <w:pPr>
        <w:ind w:left="1070" w:hanging="567"/>
        <w:jc w:val="left"/>
      </w:pPr>
      <w:rPr>
        <w:rFonts w:hint="default" w:ascii="Arial" w:hAnsi="Arial" w:eastAsia="Arial" w:cs="Arial"/>
        <w:w w:val="99"/>
        <w:sz w:val="18"/>
        <w:szCs w:val="18"/>
      </w:rPr>
    </w:lvl>
    <w:lvl w:ilvl="2">
      <w:start w:val="1"/>
      <w:numFmt w:val="bullet"/>
      <w:lvlText w:val="•"/>
      <w:lvlJc w:val="left"/>
      <w:pPr>
        <w:ind w:left="2085" w:hanging="567"/>
      </w:pPr>
      <w:rPr>
        <w:rFonts w:hint="default"/>
      </w:rPr>
    </w:lvl>
    <w:lvl w:ilvl="3">
      <w:start w:val="1"/>
      <w:numFmt w:val="bullet"/>
      <w:lvlText w:val="•"/>
      <w:lvlJc w:val="left"/>
      <w:pPr>
        <w:ind w:left="3090" w:hanging="567"/>
      </w:pPr>
      <w:rPr>
        <w:rFonts w:hint="default"/>
      </w:rPr>
    </w:lvl>
    <w:lvl w:ilvl="4">
      <w:start w:val="1"/>
      <w:numFmt w:val="bullet"/>
      <w:lvlText w:val="•"/>
      <w:lvlJc w:val="left"/>
      <w:pPr>
        <w:ind w:left="4095" w:hanging="567"/>
      </w:pPr>
      <w:rPr>
        <w:rFonts w:hint="default"/>
      </w:rPr>
    </w:lvl>
    <w:lvl w:ilvl="5">
      <w:start w:val="1"/>
      <w:numFmt w:val="bullet"/>
      <w:lvlText w:val="•"/>
      <w:lvlJc w:val="left"/>
      <w:pPr>
        <w:ind w:left="5100" w:hanging="567"/>
      </w:pPr>
      <w:rPr>
        <w:rFonts w:hint="default"/>
      </w:rPr>
    </w:lvl>
    <w:lvl w:ilvl="6">
      <w:start w:val="1"/>
      <w:numFmt w:val="bullet"/>
      <w:lvlText w:val="•"/>
      <w:lvlJc w:val="left"/>
      <w:pPr>
        <w:ind w:left="6105" w:hanging="567"/>
      </w:pPr>
      <w:rPr>
        <w:rFonts w:hint="default"/>
      </w:rPr>
    </w:lvl>
    <w:lvl w:ilvl="7">
      <w:start w:val="1"/>
      <w:numFmt w:val="bullet"/>
      <w:lvlText w:val="•"/>
      <w:lvlJc w:val="left"/>
      <w:pPr>
        <w:ind w:left="7110" w:hanging="567"/>
      </w:pPr>
      <w:rPr>
        <w:rFonts w:hint="default"/>
      </w:rPr>
    </w:lvl>
    <w:lvl w:ilvl="8">
      <w:start w:val="1"/>
      <w:numFmt w:val="bullet"/>
      <w:lvlText w:val="•"/>
      <w:lvlJc w:val="left"/>
      <w:pPr>
        <w:ind w:left="8115" w:hanging="567"/>
      </w:pPr>
      <w:rPr>
        <w:rFonts w:hint="default"/>
      </w:rPr>
    </w:lvl>
  </w:abstractNum>
  <w:abstractNum w:abstractNumId="27">
    <w:multiLevelType w:val="hybridMultilevel"/>
    <w:lvl w:ilvl="0">
      <w:start w:val="1"/>
      <w:numFmt w:val="lowerRoman"/>
      <w:lvlText w:val="(%1)"/>
      <w:lvlJc w:val="left"/>
      <w:pPr>
        <w:ind w:left="827" w:hanging="284"/>
        <w:jc w:val="left"/>
      </w:pPr>
      <w:rPr>
        <w:rFonts w:hint="default" w:ascii="Arial" w:hAnsi="Arial" w:eastAsia="Arial" w:cs="Arial"/>
        <w:w w:val="99"/>
        <w:sz w:val="18"/>
        <w:szCs w:val="18"/>
      </w:rPr>
    </w:lvl>
    <w:lvl w:ilvl="1">
      <w:start w:val="1"/>
      <w:numFmt w:val="bullet"/>
      <w:lvlText w:val="•"/>
      <w:lvlJc w:val="left"/>
      <w:pPr>
        <w:ind w:left="1754" w:hanging="284"/>
      </w:pPr>
      <w:rPr>
        <w:rFonts w:hint="default"/>
      </w:rPr>
    </w:lvl>
    <w:lvl w:ilvl="2">
      <w:start w:val="1"/>
      <w:numFmt w:val="bullet"/>
      <w:lvlText w:val="•"/>
      <w:lvlJc w:val="left"/>
      <w:pPr>
        <w:ind w:left="2689" w:hanging="284"/>
      </w:pPr>
      <w:rPr>
        <w:rFonts w:hint="default"/>
      </w:rPr>
    </w:lvl>
    <w:lvl w:ilvl="3">
      <w:start w:val="1"/>
      <w:numFmt w:val="bullet"/>
      <w:lvlText w:val="•"/>
      <w:lvlJc w:val="left"/>
      <w:pPr>
        <w:ind w:left="3623" w:hanging="284"/>
      </w:pPr>
      <w:rPr>
        <w:rFonts w:hint="default"/>
      </w:rPr>
    </w:lvl>
    <w:lvl w:ilvl="4">
      <w:start w:val="1"/>
      <w:numFmt w:val="bullet"/>
      <w:lvlText w:val="•"/>
      <w:lvlJc w:val="left"/>
      <w:pPr>
        <w:ind w:left="4558" w:hanging="284"/>
      </w:pPr>
      <w:rPr>
        <w:rFonts w:hint="default"/>
      </w:rPr>
    </w:lvl>
    <w:lvl w:ilvl="5">
      <w:start w:val="1"/>
      <w:numFmt w:val="bullet"/>
      <w:lvlText w:val="•"/>
      <w:lvlJc w:val="left"/>
      <w:pPr>
        <w:ind w:left="5492" w:hanging="284"/>
      </w:pPr>
      <w:rPr>
        <w:rFonts w:hint="default"/>
      </w:rPr>
    </w:lvl>
    <w:lvl w:ilvl="6">
      <w:start w:val="1"/>
      <w:numFmt w:val="bullet"/>
      <w:lvlText w:val="•"/>
      <w:lvlJc w:val="left"/>
      <w:pPr>
        <w:ind w:left="6427" w:hanging="284"/>
      </w:pPr>
      <w:rPr>
        <w:rFonts w:hint="default"/>
      </w:rPr>
    </w:lvl>
    <w:lvl w:ilvl="7">
      <w:start w:val="1"/>
      <w:numFmt w:val="bullet"/>
      <w:lvlText w:val="•"/>
      <w:lvlJc w:val="left"/>
      <w:pPr>
        <w:ind w:left="7361" w:hanging="284"/>
      </w:pPr>
      <w:rPr>
        <w:rFonts w:hint="default"/>
      </w:rPr>
    </w:lvl>
    <w:lvl w:ilvl="8">
      <w:start w:val="1"/>
      <w:numFmt w:val="bullet"/>
      <w:lvlText w:val="•"/>
      <w:lvlJc w:val="left"/>
      <w:pPr>
        <w:ind w:left="8296" w:hanging="284"/>
      </w:pPr>
      <w:rPr>
        <w:rFonts w:hint="default"/>
      </w:rPr>
    </w:lvl>
  </w:abstractNum>
  <w:abstractNum w:abstractNumId="25">
    <w:multiLevelType w:val="hybridMultilevel"/>
    <w:lvl w:ilvl="0">
      <w:start w:val="19"/>
      <w:numFmt w:val="decimal"/>
      <w:lvlText w:val="%1"/>
      <w:lvlJc w:val="left"/>
      <w:pPr>
        <w:ind w:left="504" w:hanging="394"/>
        <w:jc w:val="left"/>
      </w:pPr>
      <w:rPr>
        <w:rFonts w:hint="default" w:ascii="Arial" w:hAnsi="Arial" w:eastAsia="Arial" w:cs="Arial"/>
        <w:b/>
        <w:bCs/>
        <w:w w:val="99"/>
        <w:sz w:val="18"/>
        <w:szCs w:val="18"/>
      </w:rPr>
    </w:lvl>
    <w:lvl w:ilvl="1">
      <w:start w:val="1"/>
      <w:numFmt w:val="bullet"/>
      <w:lvlText w:val="•"/>
      <w:lvlJc w:val="left"/>
      <w:pPr>
        <w:ind w:left="1080" w:hanging="394"/>
      </w:pPr>
      <w:rPr>
        <w:rFonts w:hint="default"/>
      </w:rPr>
    </w:lvl>
    <w:lvl w:ilvl="2">
      <w:start w:val="1"/>
      <w:numFmt w:val="bullet"/>
      <w:lvlText w:val="•"/>
      <w:lvlJc w:val="left"/>
      <w:pPr>
        <w:ind w:left="2085" w:hanging="394"/>
      </w:pPr>
      <w:rPr>
        <w:rFonts w:hint="default"/>
      </w:rPr>
    </w:lvl>
    <w:lvl w:ilvl="3">
      <w:start w:val="1"/>
      <w:numFmt w:val="bullet"/>
      <w:lvlText w:val="•"/>
      <w:lvlJc w:val="left"/>
      <w:pPr>
        <w:ind w:left="3090" w:hanging="394"/>
      </w:pPr>
      <w:rPr>
        <w:rFonts w:hint="default"/>
      </w:rPr>
    </w:lvl>
    <w:lvl w:ilvl="4">
      <w:start w:val="1"/>
      <w:numFmt w:val="bullet"/>
      <w:lvlText w:val="•"/>
      <w:lvlJc w:val="left"/>
      <w:pPr>
        <w:ind w:left="4095" w:hanging="394"/>
      </w:pPr>
      <w:rPr>
        <w:rFonts w:hint="default"/>
      </w:rPr>
    </w:lvl>
    <w:lvl w:ilvl="5">
      <w:start w:val="1"/>
      <w:numFmt w:val="bullet"/>
      <w:lvlText w:val="•"/>
      <w:lvlJc w:val="left"/>
      <w:pPr>
        <w:ind w:left="5100" w:hanging="394"/>
      </w:pPr>
      <w:rPr>
        <w:rFonts w:hint="default"/>
      </w:rPr>
    </w:lvl>
    <w:lvl w:ilvl="6">
      <w:start w:val="1"/>
      <w:numFmt w:val="bullet"/>
      <w:lvlText w:val="•"/>
      <w:lvlJc w:val="left"/>
      <w:pPr>
        <w:ind w:left="6105" w:hanging="394"/>
      </w:pPr>
      <w:rPr>
        <w:rFonts w:hint="default"/>
      </w:rPr>
    </w:lvl>
    <w:lvl w:ilvl="7">
      <w:start w:val="1"/>
      <w:numFmt w:val="bullet"/>
      <w:lvlText w:val="•"/>
      <w:lvlJc w:val="left"/>
      <w:pPr>
        <w:ind w:left="7110" w:hanging="394"/>
      </w:pPr>
      <w:rPr>
        <w:rFonts w:hint="default"/>
      </w:rPr>
    </w:lvl>
    <w:lvl w:ilvl="8">
      <w:start w:val="1"/>
      <w:numFmt w:val="bullet"/>
      <w:lvlText w:val="•"/>
      <w:lvlJc w:val="left"/>
      <w:pPr>
        <w:ind w:left="8115" w:hanging="394"/>
      </w:pPr>
      <w:rPr>
        <w:rFonts w:hint="default"/>
      </w:rPr>
    </w:lvl>
  </w:abstractNum>
  <w:abstractNum w:abstractNumId="24">
    <w:multiLevelType w:val="hybridMultilevel"/>
    <w:lvl w:ilvl="0">
      <w:start w:val="1"/>
      <w:numFmt w:val="lowerLetter"/>
      <w:lvlText w:val="(%1)"/>
      <w:lvlJc w:val="left"/>
      <w:pPr>
        <w:ind w:left="1070" w:hanging="567"/>
        <w:jc w:val="left"/>
      </w:pPr>
      <w:rPr>
        <w:rFonts w:hint="default" w:ascii="Arial" w:hAnsi="Arial" w:eastAsia="Arial" w:cs="Arial"/>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9"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8"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7"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6" w:hanging="567"/>
      </w:pPr>
      <w:rPr>
        <w:rFonts w:hint="default"/>
      </w:rPr>
    </w:lvl>
  </w:abstractNum>
  <w:abstractNum w:abstractNumId="22">
    <w:multiLevelType w:val="hybridMultilevel"/>
    <w:lvl w:ilvl="0">
      <w:start w:val="3"/>
      <w:numFmt w:val="lowerLetter"/>
      <w:lvlText w:val="(%1)"/>
      <w:lvlJc w:val="left"/>
      <w:pPr>
        <w:ind w:left="1070" w:hanging="567"/>
        <w:jc w:val="left"/>
      </w:pPr>
      <w:rPr>
        <w:rFonts w:hint="default" w:ascii="Arial" w:hAnsi="Arial" w:eastAsia="Arial" w:cs="Arial"/>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9"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8"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7"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6" w:hanging="567"/>
      </w:pPr>
      <w:rPr>
        <w:rFonts w:hint="default"/>
      </w:rPr>
    </w:lvl>
  </w:abstractNum>
  <w:abstractNum w:abstractNumId="21">
    <w:multiLevelType w:val="hybridMultilevel"/>
    <w:lvl w:ilvl="0">
      <w:start w:val="1"/>
      <w:numFmt w:val="decimal"/>
      <w:lvlText w:val="%1"/>
      <w:lvlJc w:val="left"/>
      <w:pPr>
        <w:ind w:left="504" w:hanging="394"/>
        <w:jc w:val="left"/>
      </w:pPr>
      <w:rPr>
        <w:rFonts w:hint="default" w:ascii="Arial" w:hAnsi="Arial" w:eastAsia="Arial" w:cs="Arial"/>
        <w:b/>
        <w:bCs/>
        <w:w w:val="99"/>
        <w:sz w:val="18"/>
        <w:szCs w:val="18"/>
      </w:rPr>
    </w:lvl>
    <w:lvl w:ilvl="1">
      <w:start w:val="1"/>
      <w:numFmt w:val="lowerLetter"/>
      <w:lvlText w:val="(%2)"/>
      <w:lvlJc w:val="left"/>
      <w:pPr>
        <w:ind w:left="1070" w:hanging="567"/>
        <w:jc w:val="left"/>
      </w:pPr>
      <w:rPr>
        <w:rFonts w:hint="default" w:ascii="Arial" w:hAnsi="Arial" w:eastAsia="Arial" w:cs="Arial"/>
        <w:w w:val="99"/>
        <w:sz w:val="18"/>
        <w:szCs w:val="18"/>
      </w:rPr>
    </w:lvl>
    <w:lvl w:ilvl="2">
      <w:start w:val="1"/>
      <w:numFmt w:val="bullet"/>
      <w:lvlText w:val="•"/>
      <w:lvlJc w:val="left"/>
      <w:pPr>
        <w:ind w:left="1120" w:hanging="567"/>
      </w:pPr>
      <w:rPr>
        <w:rFonts w:hint="default"/>
      </w:rPr>
    </w:lvl>
    <w:lvl w:ilvl="3">
      <w:start w:val="1"/>
      <w:numFmt w:val="bullet"/>
      <w:lvlText w:val="•"/>
      <w:lvlJc w:val="left"/>
      <w:pPr>
        <w:ind w:left="2245" w:hanging="567"/>
      </w:pPr>
      <w:rPr>
        <w:rFonts w:hint="default"/>
      </w:rPr>
    </w:lvl>
    <w:lvl w:ilvl="4">
      <w:start w:val="1"/>
      <w:numFmt w:val="bullet"/>
      <w:lvlText w:val="•"/>
      <w:lvlJc w:val="left"/>
      <w:pPr>
        <w:ind w:left="3371" w:hanging="567"/>
      </w:pPr>
      <w:rPr>
        <w:rFonts w:hint="default"/>
      </w:rPr>
    </w:lvl>
    <w:lvl w:ilvl="5">
      <w:start w:val="1"/>
      <w:numFmt w:val="bullet"/>
      <w:lvlText w:val="•"/>
      <w:lvlJc w:val="left"/>
      <w:pPr>
        <w:ind w:left="4497" w:hanging="567"/>
      </w:pPr>
      <w:rPr>
        <w:rFonts w:hint="default"/>
      </w:rPr>
    </w:lvl>
    <w:lvl w:ilvl="6">
      <w:start w:val="1"/>
      <w:numFmt w:val="bullet"/>
      <w:lvlText w:val="•"/>
      <w:lvlJc w:val="left"/>
      <w:pPr>
        <w:ind w:left="5622" w:hanging="567"/>
      </w:pPr>
      <w:rPr>
        <w:rFonts w:hint="default"/>
      </w:rPr>
    </w:lvl>
    <w:lvl w:ilvl="7">
      <w:start w:val="1"/>
      <w:numFmt w:val="bullet"/>
      <w:lvlText w:val="•"/>
      <w:lvlJc w:val="left"/>
      <w:pPr>
        <w:ind w:left="6748" w:hanging="567"/>
      </w:pPr>
      <w:rPr>
        <w:rFonts w:hint="default"/>
      </w:rPr>
    </w:lvl>
    <w:lvl w:ilvl="8">
      <w:start w:val="1"/>
      <w:numFmt w:val="bullet"/>
      <w:lvlText w:val="•"/>
      <w:lvlJc w:val="left"/>
      <w:pPr>
        <w:ind w:left="7874" w:hanging="567"/>
      </w:pPr>
      <w:rPr>
        <w:rFonts w:hint="default"/>
      </w:rPr>
    </w:lvl>
  </w:abstractNum>
  <w:abstractNum w:abstractNumId="20">
    <w:multiLevelType w:val="hybridMultilevel"/>
    <w:lvl w:ilvl="0">
      <w:start w:val="1"/>
      <w:numFmt w:val="lowerLetter"/>
      <w:lvlText w:val="(%1)"/>
      <w:lvlJc w:val="left"/>
      <w:pPr>
        <w:ind w:left="776" w:hanging="273"/>
        <w:jc w:val="left"/>
      </w:pPr>
      <w:rPr>
        <w:rFonts w:hint="default" w:ascii="Arial" w:hAnsi="Arial" w:eastAsia="Arial" w:cs="Arial"/>
        <w:w w:val="99"/>
        <w:sz w:val="18"/>
        <w:szCs w:val="18"/>
      </w:rPr>
    </w:lvl>
    <w:lvl w:ilvl="1">
      <w:start w:val="1"/>
      <w:numFmt w:val="bullet"/>
      <w:lvlText w:val="•"/>
      <w:lvlJc w:val="left"/>
      <w:pPr>
        <w:ind w:left="1706" w:hanging="273"/>
      </w:pPr>
      <w:rPr>
        <w:rFonts w:hint="default"/>
      </w:rPr>
    </w:lvl>
    <w:lvl w:ilvl="2">
      <w:start w:val="1"/>
      <w:numFmt w:val="bullet"/>
      <w:lvlText w:val="•"/>
      <w:lvlJc w:val="left"/>
      <w:pPr>
        <w:ind w:left="2633" w:hanging="273"/>
      </w:pPr>
      <w:rPr>
        <w:rFonts w:hint="default"/>
      </w:rPr>
    </w:lvl>
    <w:lvl w:ilvl="3">
      <w:start w:val="1"/>
      <w:numFmt w:val="bullet"/>
      <w:lvlText w:val="•"/>
      <w:lvlJc w:val="left"/>
      <w:pPr>
        <w:ind w:left="3559" w:hanging="273"/>
      </w:pPr>
      <w:rPr>
        <w:rFonts w:hint="default"/>
      </w:rPr>
    </w:lvl>
    <w:lvl w:ilvl="4">
      <w:start w:val="1"/>
      <w:numFmt w:val="bullet"/>
      <w:lvlText w:val="•"/>
      <w:lvlJc w:val="left"/>
      <w:pPr>
        <w:ind w:left="4486" w:hanging="273"/>
      </w:pPr>
      <w:rPr>
        <w:rFonts w:hint="default"/>
      </w:rPr>
    </w:lvl>
    <w:lvl w:ilvl="5">
      <w:start w:val="1"/>
      <w:numFmt w:val="bullet"/>
      <w:lvlText w:val="•"/>
      <w:lvlJc w:val="left"/>
      <w:pPr>
        <w:ind w:left="5412" w:hanging="273"/>
      </w:pPr>
      <w:rPr>
        <w:rFonts w:hint="default"/>
      </w:rPr>
    </w:lvl>
    <w:lvl w:ilvl="6">
      <w:start w:val="1"/>
      <w:numFmt w:val="bullet"/>
      <w:lvlText w:val="•"/>
      <w:lvlJc w:val="left"/>
      <w:pPr>
        <w:ind w:left="6339" w:hanging="273"/>
      </w:pPr>
      <w:rPr>
        <w:rFonts w:hint="default"/>
      </w:rPr>
    </w:lvl>
    <w:lvl w:ilvl="7">
      <w:start w:val="1"/>
      <w:numFmt w:val="bullet"/>
      <w:lvlText w:val="•"/>
      <w:lvlJc w:val="left"/>
      <w:pPr>
        <w:ind w:left="7265" w:hanging="273"/>
      </w:pPr>
      <w:rPr>
        <w:rFonts w:hint="default"/>
      </w:rPr>
    </w:lvl>
    <w:lvl w:ilvl="8">
      <w:start w:val="1"/>
      <w:numFmt w:val="bullet"/>
      <w:lvlText w:val="•"/>
      <w:lvlJc w:val="left"/>
      <w:pPr>
        <w:ind w:left="8192" w:hanging="273"/>
      </w:pPr>
      <w:rPr>
        <w:rFonts w:hint="default"/>
      </w:rPr>
    </w:lvl>
  </w:abstractNum>
  <w:abstractNum w:abstractNumId="19">
    <w:multiLevelType w:val="hybridMultilevel"/>
    <w:lvl w:ilvl="0">
      <w:start w:val="1"/>
      <w:numFmt w:val="lowerLetter"/>
      <w:lvlText w:val="(%1)"/>
      <w:lvlJc w:val="left"/>
      <w:pPr>
        <w:ind w:left="504" w:hanging="273"/>
        <w:jc w:val="left"/>
      </w:pPr>
      <w:rPr>
        <w:rFonts w:hint="default" w:ascii="Arial" w:hAnsi="Arial" w:eastAsia="Arial" w:cs="Arial"/>
        <w:w w:val="99"/>
        <w:sz w:val="18"/>
        <w:szCs w:val="18"/>
      </w:rPr>
    </w:lvl>
    <w:lvl w:ilvl="1">
      <w:start w:val="1"/>
      <w:numFmt w:val="bullet"/>
      <w:lvlText w:val="•"/>
      <w:lvlJc w:val="left"/>
      <w:pPr>
        <w:ind w:left="1460" w:hanging="273"/>
      </w:pPr>
      <w:rPr>
        <w:rFonts w:hint="default"/>
      </w:rPr>
    </w:lvl>
    <w:lvl w:ilvl="2">
      <w:start w:val="1"/>
      <w:numFmt w:val="bullet"/>
      <w:lvlText w:val="•"/>
      <w:lvlJc w:val="left"/>
      <w:pPr>
        <w:ind w:left="2421" w:hanging="273"/>
      </w:pPr>
      <w:rPr>
        <w:rFonts w:hint="default"/>
      </w:rPr>
    </w:lvl>
    <w:lvl w:ilvl="3">
      <w:start w:val="1"/>
      <w:numFmt w:val="bullet"/>
      <w:lvlText w:val="•"/>
      <w:lvlJc w:val="left"/>
      <w:pPr>
        <w:ind w:left="3381" w:hanging="273"/>
      </w:pPr>
      <w:rPr>
        <w:rFonts w:hint="default"/>
      </w:rPr>
    </w:lvl>
    <w:lvl w:ilvl="4">
      <w:start w:val="1"/>
      <w:numFmt w:val="bullet"/>
      <w:lvlText w:val="•"/>
      <w:lvlJc w:val="left"/>
      <w:pPr>
        <w:ind w:left="4342" w:hanging="273"/>
      </w:pPr>
      <w:rPr>
        <w:rFonts w:hint="default"/>
      </w:rPr>
    </w:lvl>
    <w:lvl w:ilvl="5">
      <w:start w:val="1"/>
      <w:numFmt w:val="bullet"/>
      <w:lvlText w:val="•"/>
      <w:lvlJc w:val="left"/>
      <w:pPr>
        <w:ind w:left="5302" w:hanging="273"/>
      </w:pPr>
      <w:rPr>
        <w:rFonts w:hint="default"/>
      </w:rPr>
    </w:lvl>
    <w:lvl w:ilvl="6">
      <w:start w:val="1"/>
      <w:numFmt w:val="bullet"/>
      <w:lvlText w:val="•"/>
      <w:lvlJc w:val="left"/>
      <w:pPr>
        <w:ind w:left="6263" w:hanging="273"/>
      </w:pPr>
      <w:rPr>
        <w:rFonts w:hint="default"/>
      </w:rPr>
    </w:lvl>
    <w:lvl w:ilvl="7">
      <w:start w:val="1"/>
      <w:numFmt w:val="bullet"/>
      <w:lvlText w:val="•"/>
      <w:lvlJc w:val="left"/>
      <w:pPr>
        <w:ind w:left="7223" w:hanging="273"/>
      </w:pPr>
      <w:rPr>
        <w:rFonts w:hint="default"/>
      </w:rPr>
    </w:lvl>
    <w:lvl w:ilvl="8">
      <w:start w:val="1"/>
      <w:numFmt w:val="bullet"/>
      <w:lvlText w:val="•"/>
      <w:lvlJc w:val="left"/>
      <w:pPr>
        <w:ind w:left="8184" w:hanging="273"/>
      </w:pPr>
      <w:rPr>
        <w:rFonts w:hint="default"/>
      </w:rPr>
    </w:lvl>
  </w:abstractNum>
  <w:abstractNum w:abstractNumId="17">
    <w:multiLevelType w:val="hybridMultilevel"/>
    <w:lvl w:ilvl="0">
      <w:start w:val="5"/>
      <w:numFmt w:val="lowerRoman"/>
      <w:lvlText w:val="(%1)"/>
      <w:lvlJc w:val="left"/>
      <w:pPr>
        <w:ind w:left="763" w:hanging="260"/>
        <w:jc w:val="left"/>
      </w:pPr>
      <w:rPr>
        <w:rFonts w:hint="default" w:ascii="Arial" w:hAnsi="Arial" w:eastAsia="Arial" w:cs="Arial"/>
        <w:spacing w:val="-2"/>
        <w:w w:val="99"/>
        <w:sz w:val="18"/>
        <w:szCs w:val="18"/>
      </w:rPr>
    </w:lvl>
    <w:lvl w:ilvl="1">
      <w:start w:val="1"/>
      <w:numFmt w:val="bullet"/>
      <w:lvlText w:val="•"/>
      <w:lvlJc w:val="left"/>
      <w:pPr>
        <w:ind w:left="1694" w:hanging="260"/>
      </w:pPr>
      <w:rPr>
        <w:rFonts w:hint="default"/>
      </w:rPr>
    </w:lvl>
    <w:lvl w:ilvl="2">
      <w:start w:val="1"/>
      <w:numFmt w:val="bullet"/>
      <w:lvlText w:val="•"/>
      <w:lvlJc w:val="left"/>
      <w:pPr>
        <w:ind w:left="2629" w:hanging="260"/>
      </w:pPr>
      <w:rPr>
        <w:rFonts w:hint="default"/>
      </w:rPr>
    </w:lvl>
    <w:lvl w:ilvl="3">
      <w:start w:val="1"/>
      <w:numFmt w:val="bullet"/>
      <w:lvlText w:val="•"/>
      <w:lvlJc w:val="left"/>
      <w:pPr>
        <w:ind w:left="3563" w:hanging="260"/>
      </w:pPr>
      <w:rPr>
        <w:rFonts w:hint="default"/>
      </w:rPr>
    </w:lvl>
    <w:lvl w:ilvl="4">
      <w:start w:val="1"/>
      <w:numFmt w:val="bullet"/>
      <w:lvlText w:val="•"/>
      <w:lvlJc w:val="left"/>
      <w:pPr>
        <w:ind w:left="4498" w:hanging="260"/>
      </w:pPr>
      <w:rPr>
        <w:rFonts w:hint="default"/>
      </w:rPr>
    </w:lvl>
    <w:lvl w:ilvl="5">
      <w:start w:val="1"/>
      <w:numFmt w:val="bullet"/>
      <w:lvlText w:val="•"/>
      <w:lvlJc w:val="left"/>
      <w:pPr>
        <w:ind w:left="5432" w:hanging="260"/>
      </w:pPr>
      <w:rPr>
        <w:rFonts w:hint="default"/>
      </w:rPr>
    </w:lvl>
    <w:lvl w:ilvl="6">
      <w:start w:val="1"/>
      <w:numFmt w:val="bullet"/>
      <w:lvlText w:val="•"/>
      <w:lvlJc w:val="left"/>
      <w:pPr>
        <w:ind w:left="6367" w:hanging="260"/>
      </w:pPr>
      <w:rPr>
        <w:rFonts w:hint="default"/>
      </w:rPr>
    </w:lvl>
    <w:lvl w:ilvl="7">
      <w:start w:val="1"/>
      <w:numFmt w:val="bullet"/>
      <w:lvlText w:val="•"/>
      <w:lvlJc w:val="left"/>
      <w:pPr>
        <w:ind w:left="7301" w:hanging="260"/>
      </w:pPr>
      <w:rPr>
        <w:rFonts w:hint="default"/>
      </w:rPr>
    </w:lvl>
    <w:lvl w:ilvl="8">
      <w:start w:val="1"/>
      <w:numFmt w:val="bullet"/>
      <w:lvlText w:val="•"/>
      <w:lvlJc w:val="left"/>
      <w:pPr>
        <w:ind w:left="8236" w:hanging="260"/>
      </w:pPr>
      <w:rPr>
        <w:rFonts w:hint="default"/>
      </w:rPr>
    </w:lvl>
  </w:abstractNum>
  <w:abstractNum w:abstractNumId="16">
    <w:multiLevelType w:val="hybridMultilevel"/>
    <w:lvl w:ilvl="0">
      <w:start w:val="24"/>
      <w:numFmt w:val="lowerLetter"/>
      <w:lvlText w:val="(%1)"/>
      <w:lvlJc w:val="left"/>
      <w:pPr>
        <w:ind w:left="1070" w:hanging="567"/>
        <w:jc w:val="left"/>
      </w:pPr>
      <w:rPr>
        <w:rFonts w:hint="default" w:ascii="Arial" w:hAnsi="Arial" w:eastAsia="Arial" w:cs="Arial"/>
        <w:b/>
        <w:bCs/>
        <w:w w:val="99"/>
        <w:sz w:val="18"/>
        <w:szCs w:val="18"/>
      </w:rPr>
    </w:lvl>
    <w:lvl w:ilvl="1">
      <w:start w:val="1"/>
      <w:numFmt w:val="bullet"/>
      <w:lvlText w:val="•"/>
      <w:lvlJc w:val="left"/>
      <w:pPr>
        <w:ind w:left="1982" w:hanging="567"/>
      </w:pPr>
      <w:rPr>
        <w:rFonts w:hint="default"/>
      </w:rPr>
    </w:lvl>
    <w:lvl w:ilvl="2">
      <w:start w:val="1"/>
      <w:numFmt w:val="bullet"/>
      <w:lvlText w:val="•"/>
      <w:lvlJc w:val="left"/>
      <w:pPr>
        <w:ind w:left="2885" w:hanging="567"/>
      </w:pPr>
      <w:rPr>
        <w:rFonts w:hint="default"/>
      </w:rPr>
    </w:lvl>
    <w:lvl w:ilvl="3">
      <w:start w:val="1"/>
      <w:numFmt w:val="bullet"/>
      <w:lvlText w:val="•"/>
      <w:lvlJc w:val="left"/>
      <w:pPr>
        <w:ind w:left="3787" w:hanging="567"/>
      </w:pPr>
      <w:rPr>
        <w:rFonts w:hint="default"/>
      </w:rPr>
    </w:lvl>
    <w:lvl w:ilvl="4">
      <w:start w:val="1"/>
      <w:numFmt w:val="bullet"/>
      <w:lvlText w:val="•"/>
      <w:lvlJc w:val="left"/>
      <w:pPr>
        <w:ind w:left="4690" w:hanging="567"/>
      </w:pPr>
      <w:rPr>
        <w:rFonts w:hint="default"/>
      </w:rPr>
    </w:lvl>
    <w:lvl w:ilvl="5">
      <w:start w:val="1"/>
      <w:numFmt w:val="bullet"/>
      <w:lvlText w:val="•"/>
      <w:lvlJc w:val="left"/>
      <w:pPr>
        <w:ind w:left="5592" w:hanging="567"/>
      </w:pPr>
      <w:rPr>
        <w:rFonts w:hint="default"/>
      </w:rPr>
    </w:lvl>
    <w:lvl w:ilvl="6">
      <w:start w:val="1"/>
      <w:numFmt w:val="bullet"/>
      <w:lvlText w:val="•"/>
      <w:lvlJc w:val="left"/>
      <w:pPr>
        <w:ind w:left="6495" w:hanging="567"/>
      </w:pPr>
      <w:rPr>
        <w:rFonts w:hint="default"/>
      </w:rPr>
    </w:lvl>
    <w:lvl w:ilvl="7">
      <w:start w:val="1"/>
      <w:numFmt w:val="bullet"/>
      <w:lvlText w:val="•"/>
      <w:lvlJc w:val="left"/>
      <w:pPr>
        <w:ind w:left="7397" w:hanging="567"/>
      </w:pPr>
      <w:rPr>
        <w:rFonts w:hint="default"/>
      </w:rPr>
    </w:lvl>
    <w:lvl w:ilvl="8">
      <w:start w:val="1"/>
      <w:numFmt w:val="bullet"/>
      <w:lvlText w:val="•"/>
      <w:lvlJc w:val="left"/>
      <w:pPr>
        <w:ind w:left="8300" w:hanging="567"/>
      </w:pPr>
      <w:rPr>
        <w:rFonts w:hint="default"/>
      </w:rPr>
    </w:lvl>
  </w:abstractNum>
  <w:abstractNum w:abstractNumId="15">
    <w:multiLevelType w:val="hybridMultilevel"/>
    <w:lvl w:ilvl="0">
      <w:start w:val="1"/>
      <w:numFmt w:val="lowerRoman"/>
      <w:lvlText w:val="(%1)"/>
      <w:lvlJc w:val="left"/>
      <w:pPr>
        <w:ind w:left="715" w:hanging="212"/>
        <w:jc w:val="left"/>
      </w:pPr>
      <w:rPr>
        <w:rFonts w:hint="default" w:ascii="Arial" w:hAnsi="Arial" w:eastAsia="Arial" w:cs="Arial"/>
        <w:w w:val="99"/>
        <w:sz w:val="18"/>
        <w:szCs w:val="18"/>
      </w:rPr>
    </w:lvl>
    <w:lvl w:ilvl="1">
      <w:start w:val="1"/>
      <w:numFmt w:val="bullet"/>
      <w:lvlText w:val="•"/>
      <w:lvlJc w:val="left"/>
      <w:pPr>
        <w:ind w:left="1662" w:hanging="212"/>
      </w:pPr>
      <w:rPr>
        <w:rFonts w:hint="default"/>
      </w:rPr>
    </w:lvl>
    <w:lvl w:ilvl="2">
      <w:start w:val="1"/>
      <w:numFmt w:val="bullet"/>
      <w:lvlText w:val="•"/>
      <w:lvlJc w:val="left"/>
      <w:pPr>
        <w:ind w:left="2605" w:hanging="212"/>
      </w:pPr>
      <w:rPr>
        <w:rFonts w:hint="default"/>
      </w:rPr>
    </w:lvl>
    <w:lvl w:ilvl="3">
      <w:start w:val="1"/>
      <w:numFmt w:val="bullet"/>
      <w:lvlText w:val="•"/>
      <w:lvlJc w:val="left"/>
      <w:pPr>
        <w:ind w:left="3547" w:hanging="212"/>
      </w:pPr>
      <w:rPr>
        <w:rFonts w:hint="default"/>
      </w:rPr>
    </w:lvl>
    <w:lvl w:ilvl="4">
      <w:start w:val="1"/>
      <w:numFmt w:val="bullet"/>
      <w:lvlText w:val="•"/>
      <w:lvlJc w:val="left"/>
      <w:pPr>
        <w:ind w:left="4490" w:hanging="212"/>
      </w:pPr>
      <w:rPr>
        <w:rFonts w:hint="default"/>
      </w:rPr>
    </w:lvl>
    <w:lvl w:ilvl="5">
      <w:start w:val="1"/>
      <w:numFmt w:val="bullet"/>
      <w:lvlText w:val="•"/>
      <w:lvlJc w:val="left"/>
      <w:pPr>
        <w:ind w:left="5432" w:hanging="212"/>
      </w:pPr>
      <w:rPr>
        <w:rFonts w:hint="default"/>
      </w:rPr>
    </w:lvl>
    <w:lvl w:ilvl="6">
      <w:start w:val="1"/>
      <w:numFmt w:val="bullet"/>
      <w:lvlText w:val="•"/>
      <w:lvlJc w:val="left"/>
      <w:pPr>
        <w:ind w:left="6375" w:hanging="212"/>
      </w:pPr>
      <w:rPr>
        <w:rFonts w:hint="default"/>
      </w:rPr>
    </w:lvl>
    <w:lvl w:ilvl="7">
      <w:start w:val="1"/>
      <w:numFmt w:val="bullet"/>
      <w:lvlText w:val="•"/>
      <w:lvlJc w:val="left"/>
      <w:pPr>
        <w:ind w:left="7317" w:hanging="212"/>
      </w:pPr>
      <w:rPr>
        <w:rFonts w:hint="default"/>
      </w:rPr>
    </w:lvl>
    <w:lvl w:ilvl="8">
      <w:start w:val="1"/>
      <w:numFmt w:val="bullet"/>
      <w:lvlText w:val="•"/>
      <w:lvlJc w:val="left"/>
      <w:pPr>
        <w:ind w:left="8260" w:hanging="212"/>
      </w:pPr>
      <w:rPr>
        <w:rFonts w:hint="default"/>
      </w:rPr>
    </w:lvl>
  </w:abstractNum>
  <w:abstractNum w:abstractNumId="14">
    <w:multiLevelType w:val="hybridMultilevel"/>
    <w:lvl w:ilvl="0">
      <w:start w:val="19"/>
      <w:numFmt w:val="lowerLetter"/>
      <w:lvlText w:val="(%1)"/>
      <w:lvlJc w:val="left"/>
      <w:pPr>
        <w:ind w:left="1070" w:hanging="567"/>
        <w:jc w:val="left"/>
      </w:pPr>
      <w:rPr>
        <w:rFonts w:hint="default" w:ascii="Arial" w:hAnsi="Arial" w:eastAsia="Arial" w:cs="Arial"/>
        <w:b/>
        <w:bCs/>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9"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8"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7"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6" w:hanging="567"/>
      </w:pPr>
      <w:rPr>
        <w:rFonts w:hint="default"/>
      </w:rPr>
    </w:lvl>
  </w:abstractNum>
  <w:abstractNum w:abstractNumId="13">
    <w:multiLevelType w:val="hybridMultilevel"/>
    <w:lvl w:ilvl="0">
      <w:start w:val="1"/>
      <w:numFmt w:val="lowerRoman"/>
      <w:lvlText w:val="(%1)"/>
      <w:lvlJc w:val="left"/>
      <w:pPr>
        <w:ind w:left="716" w:hanging="213"/>
        <w:jc w:val="left"/>
      </w:pPr>
      <w:rPr>
        <w:rFonts w:hint="default" w:ascii="Arial" w:hAnsi="Arial" w:eastAsia="Arial" w:cs="Arial"/>
        <w:w w:val="99"/>
        <w:sz w:val="18"/>
        <w:szCs w:val="18"/>
      </w:rPr>
    </w:lvl>
    <w:lvl w:ilvl="1">
      <w:start w:val="1"/>
      <w:numFmt w:val="bullet"/>
      <w:lvlText w:val="•"/>
      <w:lvlJc w:val="left"/>
      <w:pPr>
        <w:ind w:left="1660" w:hanging="213"/>
      </w:pPr>
      <w:rPr>
        <w:rFonts w:hint="default"/>
      </w:rPr>
    </w:lvl>
    <w:lvl w:ilvl="2">
      <w:start w:val="1"/>
      <w:numFmt w:val="bullet"/>
      <w:lvlText w:val="•"/>
      <w:lvlJc w:val="left"/>
      <w:pPr>
        <w:ind w:left="2601" w:hanging="213"/>
      </w:pPr>
      <w:rPr>
        <w:rFonts w:hint="default"/>
      </w:rPr>
    </w:lvl>
    <w:lvl w:ilvl="3">
      <w:start w:val="1"/>
      <w:numFmt w:val="bullet"/>
      <w:lvlText w:val="•"/>
      <w:lvlJc w:val="left"/>
      <w:pPr>
        <w:ind w:left="3541" w:hanging="213"/>
      </w:pPr>
      <w:rPr>
        <w:rFonts w:hint="default"/>
      </w:rPr>
    </w:lvl>
    <w:lvl w:ilvl="4">
      <w:start w:val="1"/>
      <w:numFmt w:val="bullet"/>
      <w:lvlText w:val="•"/>
      <w:lvlJc w:val="left"/>
      <w:pPr>
        <w:ind w:left="4482" w:hanging="213"/>
      </w:pPr>
      <w:rPr>
        <w:rFonts w:hint="default"/>
      </w:rPr>
    </w:lvl>
    <w:lvl w:ilvl="5">
      <w:start w:val="1"/>
      <w:numFmt w:val="bullet"/>
      <w:lvlText w:val="•"/>
      <w:lvlJc w:val="left"/>
      <w:pPr>
        <w:ind w:left="5422" w:hanging="213"/>
      </w:pPr>
      <w:rPr>
        <w:rFonts w:hint="default"/>
      </w:rPr>
    </w:lvl>
    <w:lvl w:ilvl="6">
      <w:start w:val="1"/>
      <w:numFmt w:val="bullet"/>
      <w:lvlText w:val="•"/>
      <w:lvlJc w:val="left"/>
      <w:pPr>
        <w:ind w:left="6363" w:hanging="213"/>
      </w:pPr>
      <w:rPr>
        <w:rFonts w:hint="default"/>
      </w:rPr>
    </w:lvl>
    <w:lvl w:ilvl="7">
      <w:start w:val="1"/>
      <w:numFmt w:val="bullet"/>
      <w:lvlText w:val="•"/>
      <w:lvlJc w:val="left"/>
      <w:pPr>
        <w:ind w:left="7303" w:hanging="213"/>
      </w:pPr>
      <w:rPr>
        <w:rFonts w:hint="default"/>
      </w:rPr>
    </w:lvl>
    <w:lvl w:ilvl="8">
      <w:start w:val="1"/>
      <w:numFmt w:val="bullet"/>
      <w:lvlText w:val="•"/>
      <w:lvlJc w:val="left"/>
      <w:pPr>
        <w:ind w:left="8244" w:hanging="213"/>
      </w:pPr>
      <w:rPr>
        <w:rFonts w:hint="default"/>
      </w:rPr>
    </w:lvl>
  </w:abstractNum>
  <w:abstractNum w:abstractNumId="12">
    <w:multiLevelType w:val="hybridMultilevel"/>
    <w:lvl w:ilvl="0">
      <w:start w:val="16"/>
      <w:numFmt w:val="lowerLetter"/>
      <w:lvlText w:val="(%1)"/>
      <w:lvlJc w:val="left"/>
      <w:pPr>
        <w:ind w:left="1070" w:hanging="567"/>
        <w:jc w:val="left"/>
      </w:pPr>
      <w:rPr>
        <w:rFonts w:hint="default" w:ascii="Arial" w:hAnsi="Arial" w:eastAsia="Arial" w:cs="Arial"/>
        <w:b/>
        <w:bCs/>
        <w:w w:val="100"/>
        <w:sz w:val="18"/>
        <w:szCs w:val="18"/>
      </w:rPr>
    </w:lvl>
    <w:lvl w:ilvl="1">
      <w:start w:val="1"/>
      <w:numFmt w:val="bullet"/>
      <w:lvlText w:val="•"/>
      <w:lvlJc w:val="left"/>
      <w:pPr>
        <w:ind w:left="1984" w:hanging="567"/>
      </w:pPr>
      <w:rPr>
        <w:rFonts w:hint="default"/>
      </w:rPr>
    </w:lvl>
    <w:lvl w:ilvl="2">
      <w:start w:val="1"/>
      <w:numFmt w:val="bullet"/>
      <w:lvlText w:val="•"/>
      <w:lvlJc w:val="left"/>
      <w:pPr>
        <w:ind w:left="2889"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8"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7"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6" w:hanging="567"/>
      </w:pPr>
      <w:rPr>
        <w:rFonts w:hint="default"/>
      </w:rPr>
    </w:lvl>
  </w:abstractNum>
  <w:abstractNum w:abstractNumId="11">
    <w:multiLevelType w:val="hybridMultilevel"/>
    <w:lvl w:ilvl="0">
      <w:start w:val="13"/>
      <w:numFmt w:val="lowerLetter"/>
      <w:lvlText w:val="(%1)"/>
      <w:lvlJc w:val="left"/>
      <w:pPr>
        <w:ind w:left="1636" w:hanging="567"/>
        <w:jc w:val="left"/>
      </w:pPr>
      <w:rPr>
        <w:rFonts w:hint="default" w:ascii="Arial" w:hAnsi="Arial" w:eastAsia="Arial" w:cs="Arial"/>
        <w:b/>
        <w:bCs/>
        <w:w w:val="99"/>
        <w:sz w:val="18"/>
        <w:szCs w:val="18"/>
      </w:rPr>
    </w:lvl>
    <w:lvl w:ilvl="1">
      <w:start w:val="1"/>
      <w:numFmt w:val="bullet"/>
      <w:lvlText w:val="•"/>
      <w:lvlJc w:val="left"/>
      <w:pPr>
        <w:ind w:left="2490" w:hanging="567"/>
      </w:pPr>
      <w:rPr>
        <w:rFonts w:hint="default"/>
      </w:rPr>
    </w:lvl>
    <w:lvl w:ilvl="2">
      <w:start w:val="1"/>
      <w:numFmt w:val="bullet"/>
      <w:lvlText w:val="•"/>
      <w:lvlJc w:val="left"/>
      <w:pPr>
        <w:ind w:left="3341" w:hanging="567"/>
      </w:pPr>
      <w:rPr>
        <w:rFonts w:hint="default"/>
      </w:rPr>
    </w:lvl>
    <w:lvl w:ilvl="3">
      <w:start w:val="1"/>
      <w:numFmt w:val="bullet"/>
      <w:lvlText w:val="•"/>
      <w:lvlJc w:val="left"/>
      <w:pPr>
        <w:ind w:left="4191" w:hanging="567"/>
      </w:pPr>
      <w:rPr>
        <w:rFonts w:hint="default"/>
      </w:rPr>
    </w:lvl>
    <w:lvl w:ilvl="4">
      <w:start w:val="1"/>
      <w:numFmt w:val="bullet"/>
      <w:lvlText w:val="•"/>
      <w:lvlJc w:val="left"/>
      <w:pPr>
        <w:ind w:left="5042" w:hanging="567"/>
      </w:pPr>
      <w:rPr>
        <w:rFonts w:hint="default"/>
      </w:rPr>
    </w:lvl>
    <w:lvl w:ilvl="5">
      <w:start w:val="1"/>
      <w:numFmt w:val="bullet"/>
      <w:lvlText w:val="•"/>
      <w:lvlJc w:val="left"/>
      <w:pPr>
        <w:ind w:left="5892" w:hanging="567"/>
      </w:pPr>
      <w:rPr>
        <w:rFonts w:hint="default"/>
      </w:rPr>
    </w:lvl>
    <w:lvl w:ilvl="6">
      <w:start w:val="1"/>
      <w:numFmt w:val="bullet"/>
      <w:lvlText w:val="•"/>
      <w:lvlJc w:val="left"/>
      <w:pPr>
        <w:ind w:left="6743" w:hanging="567"/>
      </w:pPr>
      <w:rPr>
        <w:rFonts w:hint="default"/>
      </w:rPr>
    </w:lvl>
    <w:lvl w:ilvl="7">
      <w:start w:val="1"/>
      <w:numFmt w:val="bullet"/>
      <w:lvlText w:val="•"/>
      <w:lvlJc w:val="left"/>
      <w:pPr>
        <w:ind w:left="7593" w:hanging="567"/>
      </w:pPr>
      <w:rPr>
        <w:rFonts w:hint="default"/>
      </w:rPr>
    </w:lvl>
    <w:lvl w:ilvl="8">
      <w:start w:val="1"/>
      <w:numFmt w:val="bullet"/>
      <w:lvlText w:val="•"/>
      <w:lvlJc w:val="left"/>
      <w:pPr>
        <w:ind w:left="8444" w:hanging="567"/>
      </w:pPr>
      <w:rPr>
        <w:rFonts w:hint="default"/>
      </w:rPr>
    </w:lvl>
  </w:abstractNum>
  <w:abstractNum w:abstractNumId="9">
    <w:multiLevelType w:val="hybridMultilevel"/>
    <w:lvl w:ilvl="0">
      <w:start w:val="1"/>
      <w:numFmt w:val="lowerRoman"/>
      <w:lvlText w:val="(%1)"/>
      <w:lvlJc w:val="left"/>
      <w:pPr>
        <w:ind w:left="715" w:hanging="212"/>
        <w:jc w:val="left"/>
      </w:pPr>
      <w:rPr>
        <w:rFonts w:hint="default" w:ascii="Arial" w:hAnsi="Arial" w:eastAsia="Arial" w:cs="Arial"/>
        <w:w w:val="99"/>
        <w:sz w:val="18"/>
        <w:szCs w:val="18"/>
      </w:rPr>
    </w:lvl>
    <w:lvl w:ilvl="1">
      <w:start w:val="1"/>
      <w:numFmt w:val="bullet"/>
      <w:lvlText w:val="•"/>
      <w:lvlJc w:val="left"/>
      <w:pPr>
        <w:ind w:left="1658" w:hanging="212"/>
      </w:pPr>
      <w:rPr>
        <w:rFonts w:hint="default"/>
      </w:rPr>
    </w:lvl>
    <w:lvl w:ilvl="2">
      <w:start w:val="1"/>
      <w:numFmt w:val="bullet"/>
      <w:lvlText w:val="•"/>
      <w:lvlJc w:val="left"/>
      <w:pPr>
        <w:ind w:left="2597" w:hanging="212"/>
      </w:pPr>
      <w:rPr>
        <w:rFonts w:hint="default"/>
      </w:rPr>
    </w:lvl>
    <w:lvl w:ilvl="3">
      <w:start w:val="1"/>
      <w:numFmt w:val="bullet"/>
      <w:lvlText w:val="•"/>
      <w:lvlJc w:val="left"/>
      <w:pPr>
        <w:ind w:left="3535" w:hanging="212"/>
      </w:pPr>
      <w:rPr>
        <w:rFonts w:hint="default"/>
      </w:rPr>
    </w:lvl>
    <w:lvl w:ilvl="4">
      <w:start w:val="1"/>
      <w:numFmt w:val="bullet"/>
      <w:lvlText w:val="•"/>
      <w:lvlJc w:val="left"/>
      <w:pPr>
        <w:ind w:left="4474" w:hanging="212"/>
      </w:pPr>
      <w:rPr>
        <w:rFonts w:hint="default"/>
      </w:rPr>
    </w:lvl>
    <w:lvl w:ilvl="5">
      <w:start w:val="1"/>
      <w:numFmt w:val="bullet"/>
      <w:lvlText w:val="•"/>
      <w:lvlJc w:val="left"/>
      <w:pPr>
        <w:ind w:left="5412" w:hanging="212"/>
      </w:pPr>
      <w:rPr>
        <w:rFonts w:hint="default"/>
      </w:rPr>
    </w:lvl>
    <w:lvl w:ilvl="6">
      <w:start w:val="1"/>
      <w:numFmt w:val="bullet"/>
      <w:lvlText w:val="•"/>
      <w:lvlJc w:val="left"/>
      <w:pPr>
        <w:ind w:left="6351" w:hanging="212"/>
      </w:pPr>
      <w:rPr>
        <w:rFonts w:hint="default"/>
      </w:rPr>
    </w:lvl>
    <w:lvl w:ilvl="7">
      <w:start w:val="1"/>
      <w:numFmt w:val="bullet"/>
      <w:lvlText w:val="•"/>
      <w:lvlJc w:val="left"/>
      <w:pPr>
        <w:ind w:left="7289" w:hanging="212"/>
      </w:pPr>
      <w:rPr>
        <w:rFonts w:hint="default"/>
      </w:rPr>
    </w:lvl>
    <w:lvl w:ilvl="8">
      <w:start w:val="1"/>
      <w:numFmt w:val="bullet"/>
      <w:lvlText w:val="•"/>
      <w:lvlJc w:val="left"/>
      <w:pPr>
        <w:ind w:left="8228" w:hanging="212"/>
      </w:pPr>
      <w:rPr>
        <w:rFonts w:hint="default"/>
      </w:rPr>
    </w:lvl>
  </w:abstractNum>
  <w:abstractNum w:abstractNumId="8">
    <w:multiLevelType w:val="hybridMultilevel"/>
    <w:lvl w:ilvl="0">
      <w:start w:val="4"/>
      <w:numFmt w:val="lowerLetter"/>
      <w:lvlText w:val="(%1)"/>
      <w:lvlJc w:val="left"/>
      <w:pPr>
        <w:ind w:left="1070" w:hanging="567"/>
        <w:jc w:val="left"/>
      </w:pPr>
      <w:rPr>
        <w:rFonts w:hint="default" w:ascii="Arial" w:hAnsi="Arial" w:eastAsia="Arial" w:cs="Arial"/>
        <w:b/>
        <w:bCs/>
        <w:w w:val="100"/>
        <w:sz w:val="18"/>
        <w:szCs w:val="18"/>
      </w:rPr>
    </w:lvl>
    <w:lvl w:ilvl="1">
      <w:start w:val="1"/>
      <w:numFmt w:val="bullet"/>
      <w:lvlText w:val="•"/>
      <w:lvlJc w:val="left"/>
      <w:pPr>
        <w:ind w:left="1984" w:hanging="567"/>
      </w:pPr>
      <w:rPr>
        <w:rFonts w:hint="default"/>
      </w:rPr>
    </w:lvl>
    <w:lvl w:ilvl="2">
      <w:start w:val="1"/>
      <w:numFmt w:val="bullet"/>
      <w:lvlText w:val="•"/>
      <w:lvlJc w:val="left"/>
      <w:pPr>
        <w:ind w:left="2889"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8"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7"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6" w:hanging="567"/>
      </w:pPr>
      <w:rPr>
        <w:rFonts w:hint="default"/>
      </w:rPr>
    </w:lvl>
  </w:abstractNum>
  <w:abstractNum w:abstractNumId="7">
    <w:multiLevelType w:val="hybridMultilevel"/>
    <w:lvl w:ilvl="0">
      <w:start w:val="1"/>
      <w:numFmt w:val="lowerRoman"/>
      <w:lvlText w:val="(%1)"/>
      <w:lvlJc w:val="left"/>
      <w:pPr>
        <w:ind w:left="715" w:hanging="212"/>
        <w:jc w:val="left"/>
      </w:pPr>
      <w:rPr>
        <w:rFonts w:hint="default" w:ascii="Arial" w:hAnsi="Arial" w:eastAsia="Arial" w:cs="Arial"/>
        <w:w w:val="99"/>
        <w:sz w:val="18"/>
        <w:szCs w:val="18"/>
      </w:rPr>
    </w:lvl>
    <w:lvl w:ilvl="1">
      <w:start w:val="1"/>
      <w:numFmt w:val="bullet"/>
      <w:lvlText w:val="•"/>
      <w:lvlJc w:val="left"/>
      <w:pPr>
        <w:ind w:left="1656" w:hanging="212"/>
      </w:pPr>
      <w:rPr>
        <w:rFonts w:hint="default"/>
      </w:rPr>
    </w:lvl>
    <w:lvl w:ilvl="2">
      <w:start w:val="1"/>
      <w:numFmt w:val="bullet"/>
      <w:lvlText w:val="•"/>
      <w:lvlJc w:val="left"/>
      <w:pPr>
        <w:ind w:left="2593" w:hanging="212"/>
      </w:pPr>
      <w:rPr>
        <w:rFonts w:hint="default"/>
      </w:rPr>
    </w:lvl>
    <w:lvl w:ilvl="3">
      <w:start w:val="1"/>
      <w:numFmt w:val="bullet"/>
      <w:lvlText w:val="•"/>
      <w:lvlJc w:val="left"/>
      <w:pPr>
        <w:ind w:left="3529" w:hanging="212"/>
      </w:pPr>
      <w:rPr>
        <w:rFonts w:hint="default"/>
      </w:rPr>
    </w:lvl>
    <w:lvl w:ilvl="4">
      <w:start w:val="1"/>
      <w:numFmt w:val="bullet"/>
      <w:lvlText w:val="•"/>
      <w:lvlJc w:val="left"/>
      <w:pPr>
        <w:ind w:left="4466" w:hanging="212"/>
      </w:pPr>
      <w:rPr>
        <w:rFonts w:hint="default"/>
      </w:rPr>
    </w:lvl>
    <w:lvl w:ilvl="5">
      <w:start w:val="1"/>
      <w:numFmt w:val="bullet"/>
      <w:lvlText w:val="•"/>
      <w:lvlJc w:val="left"/>
      <w:pPr>
        <w:ind w:left="5402" w:hanging="212"/>
      </w:pPr>
      <w:rPr>
        <w:rFonts w:hint="default"/>
      </w:rPr>
    </w:lvl>
    <w:lvl w:ilvl="6">
      <w:start w:val="1"/>
      <w:numFmt w:val="bullet"/>
      <w:lvlText w:val="•"/>
      <w:lvlJc w:val="left"/>
      <w:pPr>
        <w:ind w:left="6339" w:hanging="212"/>
      </w:pPr>
      <w:rPr>
        <w:rFonts w:hint="default"/>
      </w:rPr>
    </w:lvl>
    <w:lvl w:ilvl="7">
      <w:start w:val="1"/>
      <w:numFmt w:val="bullet"/>
      <w:lvlText w:val="•"/>
      <w:lvlJc w:val="left"/>
      <w:pPr>
        <w:ind w:left="7275" w:hanging="212"/>
      </w:pPr>
      <w:rPr>
        <w:rFonts w:hint="default"/>
      </w:rPr>
    </w:lvl>
    <w:lvl w:ilvl="8">
      <w:start w:val="1"/>
      <w:numFmt w:val="bullet"/>
      <w:lvlText w:val="•"/>
      <w:lvlJc w:val="left"/>
      <w:pPr>
        <w:ind w:left="8212" w:hanging="212"/>
      </w:pPr>
      <w:rPr>
        <w:rFonts w:hint="default"/>
      </w:rPr>
    </w:lvl>
  </w:abstractNum>
  <w:abstractNum w:abstractNumId="5">
    <w:multiLevelType w:val="hybridMultilevel"/>
    <w:lvl w:ilvl="0">
      <w:start w:val="2"/>
      <w:numFmt w:val="lowerLetter"/>
      <w:lvlText w:val="(%1)"/>
      <w:lvlJc w:val="left"/>
      <w:pPr>
        <w:ind w:left="1070" w:hanging="567"/>
        <w:jc w:val="left"/>
      </w:pPr>
      <w:rPr>
        <w:rFonts w:hint="default" w:ascii="Arial" w:hAnsi="Arial" w:eastAsia="Arial" w:cs="Arial"/>
        <w:b/>
        <w:bCs/>
        <w:w w:val="100"/>
        <w:sz w:val="18"/>
        <w:szCs w:val="18"/>
      </w:rPr>
    </w:lvl>
    <w:lvl w:ilvl="1">
      <w:start w:val="1"/>
      <w:numFmt w:val="bullet"/>
      <w:lvlText w:val="•"/>
      <w:lvlJc w:val="left"/>
      <w:pPr>
        <w:ind w:left="1980" w:hanging="567"/>
      </w:pPr>
      <w:rPr>
        <w:rFonts w:hint="default"/>
      </w:rPr>
    </w:lvl>
    <w:lvl w:ilvl="2">
      <w:start w:val="1"/>
      <w:numFmt w:val="bullet"/>
      <w:lvlText w:val="•"/>
      <w:lvlJc w:val="left"/>
      <w:pPr>
        <w:ind w:left="2881" w:hanging="567"/>
      </w:pPr>
      <w:rPr>
        <w:rFonts w:hint="default"/>
      </w:rPr>
    </w:lvl>
    <w:lvl w:ilvl="3">
      <w:start w:val="1"/>
      <w:numFmt w:val="bullet"/>
      <w:lvlText w:val="•"/>
      <w:lvlJc w:val="left"/>
      <w:pPr>
        <w:ind w:left="3781" w:hanging="567"/>
      </w:pPr>
      <w:rPr>
        <w:rFonts w:hint="default"/>
      </w:rPr>
    </w:lvl>
    <w:lvl w:ilvl="4">
      <w:start w:val="1"/>
      <w:numFmt w:val="bullet"/>
      <w:lvlText w:val="•"/>
      <w:lvlJc w:val="left"/>
      <w:pPr>
        <w:ind w:left="4682" w:hanging="567"/>
      </w:pPr>
      <w:rPr>
        <w:rFonts w:hint="default"/>
      </w:rPr>
    </w:lvl>
    <w:lvl w:ilvl="5">
      <w:start w:val="1"/>
      <w:numFmt w:val="bullet"/>
      <w:lvlText w:val="•"/>
      <w:lvlJc w:val="left"/>
      <w:pPr>
        <w:ind w:left="5582" w:hanging="567"/>
      </w:pPr>
      <w:rPr>
        <w:rFonts w:hint="default"/>
      </w:rPr>
    </w:lvl>
    <w:lvl w:ilvl="6">
      <w:start w:val="1"/>
      <w:numFmt w:val="bullet"/>
      <w:lvlText w:val="•"/>
      <w:lvlJc w:val="left"/>
      <w:pPr>
        <w:ind w:left="6483" w:hanging="567"/>
      </w:pPr>
      <w:rPr>
        <w:rFonts w:hint="default"/>
      </w:rPr>
    </w:lvl>
    <w:lvl w:ilvl="7">
      <w:start w:val="1"/>
      <w:numFmt w:val="bullet"/>
      <w:lvlText w:val="•"/>
      <w:lvlJc w:val="left"/>
      <w:pPr>
        <w:ind w:left="7383" w:hanging="567"/>
      </w:pPr>
      <w:rPr>
        <w:rFonts w:hint="default"/>
      </w:rPr>
    </w:lvl>
    <w:lvl w:ilvl="8">
      <w:start w:val="1"/>
      <w:numFmt w:val="bullet"/>
      <w:lvlText w:val="•"/>
      <w:lvlJc w:val="left"/>
      <w:pPr>
        <w:ind w:left="8284" w:hanging="567"/>
      </w:pPr>
      <w:rPr>
        <w:rFonts w:hint="default"/>
      </w:rPr>
    </w:lvl>
  </w:abstractNum>
  <w:abstractNum w:abstractNumId="4">
    <w:multiLevelType w:val="hybridMultilevel"/>
    <w:lvl w:ilvl="0">
      <w:start w:val="1"/>
      <w:numFmt w:val="lowerRoman"/>
      <w:lvlText w:val="(%1)"/>
      <w:lvlJc w:val="left"/>
      <w:pPr>
        <w:ind w:left="715" w:hanging="212"/>
        <w:jc w:val="left"/>
      </w:pPr>
      <w:rPr>
        <w:rFonts w:hint="default" w:ascii="Arial" w:hAnsi="Arial" w:eastAsia="Arial" w:cs="Arial"/>
        <w:w w:val="99"/>
        <w:sz w:val="18"/>
        <w:szCs w:val="18"/>
      </w:rPr>
    </w:lvl>
    <w:lvl w:ilvl="1">
      <w:start w:val="1"/>
      <w:numFmt w:val="bullet"/>
      <w:lvlText w:val="•"/>
      <w:lvlJc w:val="left"/>
      <w:pPr>
        <w:ind w:left="1660" w:hanging="212"/>
      </w:pPr>
      <w:rPr>
        <w:rFonts w:hint="default"/>
      </w:rPr>
    </w:lvl>
    <w:lvl w:ilvl="2">
      <w:start w:val="1"/>
      <w:numFmt w:val="bullet"/>
      <w:lvlText w:val="•"/>
      <w:lvlJc w:val="left"/>
      <w:pPr>
        <w:ind w:left="2601" w:hanging="212"/>
      </w:pPr>
      <w:rPr>
        <w:rFonts w:hint="default"/>
      </w:rPr>
    </w:lvl>
    <w:lvl w:ilvl="3">
      <w:start w:val="1"/>
      <w:numFmt w:val="bullet"/>
      <w:lvlText w:val="•"/>
      <w:lvlJc w:val="left"/>
      <w:pPr>
        <w:ind w:left="3541" w:hanging="212"/>
      </w:pPr>
      <w:rPr>
        <w:rFonts w:hint="default"/>
      </w:rPr>
    </w:lvl>
    <w:lvl w:ilvl="4">
      <w:start w:val="1"/>
      <w:numFmt w:val="bullet"/>
      <w:lvlText w:val="•"/>
      <w:lvlJc w:val="left"/>
      <w:pPr>
        <w:ind w:left="4482" w:hanging="212"/>
      </w:pPr>
      <w:rPr>
        <w:rFonts w:hint="default"/>
      </w:rPr>
    </w:lvl>
    <w:lvl w:ilvl="5">
      <w:start w:val="1"/>
      <w:numFmt w:val="bullet"/>
      <w:lvlText w:val="•"/>
      <w:lvlJc w:val="left"/>
      <w:pPr>
        <w:ind w:left="5422" w:hanging="212"/>
      </w:pPr>
      <w:rPr>
        <w:rFonts w:hint="default"/>
      </w:rPr>
    </w:lvl>
    <w:lvl w:ilvl="6">
      <w:start w:val="1"/>
      <w:numFmt w:val="bullet"/>
      <w:lvlText w:val="•"/>
      <w:lvlJc w:val="left"/>
      <w:pPr>
        <w:ind w:left="6363" w:hanging="212"/>
      </w:pPr>
      <w:rPr>
        <w:rFonts w:hint="default"/>
      </w:rPr>
    </w:lvl>
    <w:lvl w:ilvl="7">
      <w:start w:val="1"/>
      <w:numFmt w:val="bullet"/>
      <w:lvlText w:val="•"/>
      <w:lvlJc w:val="left"/>
      <w:pPr>
        <w:ind w:left="7303" w:hanging="212"/>
      </w:pPr>
      <w:rPr>
        <w:rFonts w:hint="default"/>
      </w:rPr>
    </w:lvl>
    <w:lvl w:ilvl="8">
      <w:start w:val="1"/>
      <w:numFmt w:val="bullet"/>
      <w:lvlText w:val="•"/>
      <w:lvlJc w:val="left"/>
      <w:pPr>
        <w:ind w:left="8244" w:hanging="212"/>
      </w:pPr>
      <w:rPr>
        <w:rFonts w:hint="default"/>
      </w:rPr>
    </w:lvl>
  </w:abstractNum>
  <w:abstractNum w:abstractNumId="2">
    <w:multiLevelType w:val="hybridMultilevel"/>
    <w:lvl w:ilvl="0">
      <w:start w:val="1"/>
      <w:numFmt w:val="bullet"/>
      <w:lvlText w:val="-"/>
      <w:lvlJc w:val="left"/>
      <w:pPr>
        <w:ind w:left="504" w:hanging="111"/>
      </w:pPr>
      <w:rPr>
        <w:rFonts w:hint="default" w:ascii="Arial" w:hAnsi="Arial" w:eastAsia="Arial" w:cs="Arial"/>
        <w:w w:val="99"/>
        <w:sz w:val="18"/>
        <w:szCs w:val="18"/>
      </w:rPr>
    </w:lvl>
    <w:lvl w:ilvl="1">
      <w:start w:val="1"/>
      <w:numFmt w:val="bullet"/>
      <w:lvlText w:val="•"/>
      <w:lvlJc w:val="left"/>
      <w:pPr>
        <w:ind w:left="1462" w:hanging="111"/>
      </w:pPr>
      <w:rPr>
        <w:rFonts w:hint="default"/>
      </w:rPr>
    </w:lvl>
    <w:lvl w:ilvl="2">
      <w:start w:val="1"/>
      <w:numFmt w:val="bullet"/>
      <w:lvlText w:val="•"/>
      <w:lvlJc w:val="left"/>
      <w:pPr>
        <w:ind w:left="2425" w:hanging="111"/>
      </w:pPr>
      <w:rPr>
        <w:rFonts w:hint="default"/>
      </w:rPr>
    </w:lvl>
    <w:lvl w:ilvl="3">
      <w:start w:val="1"/>
      <w:numFmt w:val="bullet"/>
      <w:lvlText w:val="•"/>
      <w:lvlJc w:val="left"/>
      <w:pPr>
        <w:ind w:left="3387" w:hanging="111"/>
      </w:pPr>
      <w:rPr>
        <w:rFonts w:hint="default"/>
      </w:rPr>
    </w:lvl>
    <w:lvl w:ilvl="4">
      <w:start w:val="1"/>
      <w:numFmt w:val="bullet"/>
      <w:lvlText w:val="•"/>
      <w:lvlJc w:val="left"/>
      <w:pPr>
        <w:ind w:left="4350" w:hanging="111"/>
      </w:pPr>
      <w:rPr>
        <w:rFonts w:hint="default"/>
      </w:rPr>
    </w:lvl>
    <w:lvl w:ilvl="5">
      <w:start w:val="1"/>
      <w:numFmt w:val="bullet"/>
      <w:lvlText w:val="•"/>
      <w:lvlJc w:val="left"/>
      <w:pPr>
        <w:ind w:left="5312" w:hanging="111"/>
      </w:pPr>
      <w:rPr>
        <w:rFonts w:hint="default"/>
      </w:rPr>
    </w:lvl>
    <w:lvl w:ilvl="6">
      <w:start w:val="1"/>
      <w:numFmt w:val="bullet"/>
      <w:lvlText w:val="•"/>
      <w:lvlJc w:val="left"/>
      <w:pPr>
        <w:ind w:left="6275" w:hanging="111"/>
      </w:pPr>
      <w:rPr>
        <w:rFonts w:hint="default"/>
      </w:rPr>
    </w:lvl>
    <w:lvl w:ilvl="7">
      <w:start w:val="1"/>
      <w:numFmt w:val="bullet"/>
      <w:lvlText w:val="•"/>
      <w:lvlJc w:val="left"/>
      <w:pPr>
        <w:ind w:left="7237" w:hanging="111"/>
      </w:pPr>
      <w:rPr>
        <w:rFonts w:hint="default"/>
      </w:rPr>
    </w:lvl>
    <w:lvl w:ilvl="8">
      <w:start w:val="1"/>
      <w:numFmt w:val="bullet"/>
      <w:lvlText w:val="•"/>
      <w:lvlJc w:val="left"/>
      <w:pPr>
        <w:ind w:left="8200" w:hanging="111"/>
      </w:pPr>
      <w:rPr>
        <w:rFonts w:hint="default"/>
      </w:rPr>
    </w:lvl>
  </w:abstractNum>
  <w:abstractNum w:abstractNumId="0">
    <w:multiLevelType w:val="hybridMultilevel"/>
    <w:lvl w:ilvl="0">
      <w:start w:val="1"/>
      <w:numFmt w:val="lowerLetter"/>
      <w:lvlText w:val="(%1)"/>
      <w:lvlJc w:val="left"/>
      <w:pPr>
        <w:ind w:left="128" w:hanging="272"/>
        <w:jc w:val="left"/>
      </w:pPr>
      <w:rPr>
        <w:rFonts w:hint="default" w:ascii="Arial" w:hAnsi="Arial" w:eastAsia="Arial" w:cs="Arial"/>
        <w:w w:val="99"/>
        <w:sz w:val="18"/>
        <w:szCs w:val="18"/>
      </w:rPr>
    </w:lvl>
    <w:lvl w:ilvl="1">
      <w:start w:val="1"/>
      <w:numFmt w:val="lowerRoman"/>
      <w:lvlText w:val="(%2)"/>
      <w:lvlJc w:val="left"/>
      <w:pPr>
        <w:ind w:left="900" w:hanging="396"/>
        <w:jc w:val="left"/>
      </w:pPr>
      <w:rPr>
        <w:rFonts w:hint="default" w:ascii="Arial" w:hAnsi="Arial" w:eastAsia="Arial" w:cs="Arial"/>
        <w:w w:val="99"/>
        <w:sz w:val="18"/>
        <w:szCs w:val="18"/>
      </w:rPr>
    </w:lvl>
    <w:lvl w:ilvl="2">
      <w:start w:val="1"/>
      <w:numFmt w:val="bullet"/>
      <w:lvlText w:val="•"/>
      <w:lvlJc w:val="left"/>
      <w:pPr>
        <w:ind w:left="1918" w:hanging="396"/>
      </w:pPr>
      <w:rPr>
        <w:rFonts w:hint="default"/>
      </w:rPr>
    </w:lvl>
    <w:lvl w:ilvl="3">
      <w:start w:val="1"/>
      <w:numFmt w:val="bullet"/>
      <w:lvlText w:val="•"/>
      <w:lvlJc w:val="left"/>
      <w:pPr>
        <w:ind w:left="2936" w:hanging="396"/>
      </w:pPr>
      <w:rPr>
        <w:rFonts w:hint="default"/>
      </w:rPr>
    </w:lvl>
    <w:lvl w:ilvl="4">
      <w:start w:val="1"/>
      <w:numFmt w:val="bullet"/>
      <w:lvlText w:val="•"/>
      <w:lvlJc w:val="left"/>
      <w:pPr>
        <w:ind w:left="3955" w:hanging="396"/>
      </w:pPr>
      <w:rPr>
        <w:rFonts w:hint="default"/>
      </w:rPr>
    </w:lvl>
    <w:lvl w:ilvl="5">
      <w:start w:val="1"/>
      <w:numFmt w:val="bullet"/>
      <w:lvlText w:val="•"/>
      <w:lvlJc w:val="left"/>
      <w:pPr>
        <w:ind w:left="4973" w:hanging="396"/>
      </w:pPr>
      <w:rPr>
        <w:rFonts w:hint="default"/>
      </w:rPr>
    </w:lvl>
    <w:lvl w:ilvl="6">
      <w:start w:val="1"/>
      <w:numFmt w:val="bullet"/>
      <w:lvlText w:val="•"/>
      <w:lvlJc w:val="left"/>
      <w:pPr>
        <w:ind w:left="5991" w:hanging="396"/>
      </w:pPr>
      <w:rPr>
        <w:rFonts w:hint="default"/>
      </w:rPr>
    </w:lvl>
    <w:lvl w:ilvl="7">
      <w:start w:val="1"/>
      <w:numFmt w:val="bullet"/>
      <w:lvlText w:val="•"/>
      <w:lvlJc w:val="left"/>
      <w:pPr>
        <w:ind w:left="7010" w:hanging="396"/>
      </w:pPr>
      <w:rPr>
        <w:rFonts w:hint="default"/>
      </w:rPr>
    </w:lvl>
    <w:lvl w:ilvl="8">
      <w:start w:val="1"/>
      <w:numFmt w:val="bullet"/>
      <w:lvlText w:val="•"/>
      <w:lvlJc w:val="left"/>
      <w:pPr>
        <w:ind w:left="8028" w:hanging="396"/>
      </w:pPr>
      <w:rPr>
        <w:rFonts w:hint="default"/>
      </w:rPr>
    </w:lvl>
  </w:abstractNum>
  <w:num w:numId="94">
    <w:abstractNumId w:val="93"/>
  </w:num>
  <w:num w:numId="92">
    <w:abstractNumId w:val="91"/>
  </w:num>
  <w:num w:numId="91">
    <w:abstractNumId w:val="90"/>
  </w:num>
  <w:num w:numId="86">
    <w:abstractNumId w:val="85"/>
  </w:num>
  <w:num w:numId="80">
    <w:abstractNumId w:val="79"/>
  </w:num>
  <w:num w:numId="70">
    <w:abstractNumId w:val="69"/>
  </w:num>
  <w:num w:numId="68">
    <w:abstractNumId w:val="67"/>
  </w:num>
  <w:num w:numId="67">
    <w:abstractNumId w:val="66"/>
  </w:num>
  <w:num w:numId="61">
    <w:abstractNumId w:val="60"/>
  </w:num>
  <w:num w:numId="59">
    <w:abstractNumId w:val="58"/>
  </w:num>
  <w:num w:numId="53">
    <w:abstractNumId w:val="52"/>
  </w:num>
  <w:num w:numId="47">
    <w:abstractNumId w:val="46"/>
  </w:num>
  <w:num w:numId="45">
    <w:abstractNumId w:val="44"/>
  </w:num>
  <w:num w:numId="31">
    <w:abstractNumId w:val="30"/>
  </w:num>
  <w:num w:numId="27">
    <w:abstractNumId w:val="26"/>
  </w:num>
  <w:num w:numId="24">
    <w:abstractNumId w:val="23"/>
  </w:num>
  <w:num w:numId="19">
    <w:abstractNumId w:val="18"/>
  </w:num>
  <w:num w:numId="11">
    <w:abstractNumId w:val="10"/>
  </w:num>
  <w:num w:numId="7">
    <w:abstractNumId w:val="6"/>
  </w:num>
  <w:num w:numId="4">
    <w:abstractNumId w:val="3"/>
  </w:num>
  <w:num w:numId="2">
    <w:abstractNumId w:val="1"/>
  </w:num>
  <w:num w:numId="100">
    <w:abstractNumId w:val="99"/>
  </w:num>
  <w:num w:numId="99">
    <w:abstractNumId w:val="98"/>
  </w:num>
  <w:num w:numId="98">
    <w:abstractNumId w:val="97"/>
  </w:num>
  <w:num w:numId="97">
    <w:abstractNumId w:val="96"/>
  </w:num>
  <w:num w:numId="96">
    <w:abstractNumId w:val="95"/>
  </w:num>
  <w:num w:numId="95">
    <w:abstractNumId w:val="94"/>
  </w:num>
  <w:num w:numId="93">
    <w:abstractNumId w:val="92"/>
  </w:num>
  <w:num w:numId="90">
    <w:abstractNumId w:val="89"/>
  </w:num>
  <w:num w:numId="89">
    <w:abstractNumId w:val="88"/>
  </w:num>
  <w:num w:numId="88">
    <w:abstractNumId w:val="87"/>
  </w:num>
  <w:num w:numId="87">
    <w:abstractNumId w:val="86"/>
  </w:num>
  <w:num w:numId="85">
    <w:abstractNumId w:val="84"/>
  </w:num>
  <w:num w:numId="84">
    <w:abstractNumId w:val="83"/>
  </w:num>
  <w:num w:numId="83">
    <w:abstractNumId w:val="82"/>
  </w:num>
  <w:num w:numId="82">
    <w:abstractNumId w:val="81"/>
  </w:num>
  <w:num w:numId="81">
    <w:abstractNumId w:val="80"/>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69">
    <w:abstractNumId w:val="68"/>
  </w:num>
  <w:num w:numId="66">
    <w:abstractNumId w:val="65"/>
  </w:num>
  <w:num w:numId="65">
    <w:abstractNumId w:val="64"/>
  </w:num>
  <w:num w:numId="64">
    <w:abstractNumId w:val="63"/>
  </w:num>
  <w:num w:numId="63">
    <w:abstractNumId w:val="62"/>
  </w:num>
  <w:num w:numId="62">
    <w:abstractNumId w:val="61"/>
  </w:num>
  <w:num w:numId="60">
    <w:abstractNumId w:val="59"/>
  </w:num>
  <w:num w:numId="58">
    <w:abstractNumId w:val="57"/>
  </w:num>
  <w:num w:numId="57">
    <w:abstractNumId w:val="56"/>
  </w:num>
  <w:num w:numId="56">
    <w:abstractNumId w:val="55"/>
  </w:num>
  <w:num w:numId="55">
    <w:abstractNumId w:val="54"/>
  </w:num>
  <w:num w:numId="54">
    <w:abstractNumId w:val="53"/>
  </w:num>
  <w:num w:numId="52">
    <w:abstractNumId w:val="51"/>
  </w:num>
  <w:num w:numId="51">
    <w:abstractNumId w:val="50"/>
  </w:num>
  <w:num w:numId="50">
    <w:abstractNumId w:val="49"/>
  </w:num>
  <w:num w:numId="49">
    <w:abstractNumId w:val="48"/>
  </w:num>
  <w:num w:numId="48">
    <w:abstractNumId w:val="47"/>
  </w:num>
  <w:num w:numId="46">
    <w:abstractNumId w:val="45"/>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0">
    <w:abstractNumId w:val="29"/>
  </w:num>
  <w:num w:numId="29">
    <w:abstractNumId w:val="28"/>
  </w:num>
  <w:num w:numId="28">
    <w:abstractNumId w:val="27"/>
  </w:num>
  <w:num w:numId="26">
    <w:abstractNumId w:val="25"/>
  </w:num>
  <w:num w:numId="25">
    <w:abstractNumId w:val="24"/>
  </w:num>
  <w:num w:numId="23">
    <w:abstractNumId w:val="22"/>
  </w:num>
  <w:num w:numId="22">
    <w:abstractNumId w:val="21"/>
  </w:num>
  <w:num w:numId="21">
    <w:abstractNumId w:val="20"/>
  </w:num>
  <w:num w:numId="20">
    <w:abstractNumId w:val="19"/>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0">
    <w:abstractNumId w:val="9"/>
  </w:num>
  <w:num w:numId="9">
    <w:abstractNumId w:val="8"/>
  </w:num>
  <w:num w:numId="8">
    <w:abstractNumId w:val="7"/>
  </w:num>
  <w:num w:numId="6">
    <w:abstractNumId w:val="5"/>
  </w:num>
  <w:num w:numId="5">
    <w:abstractNumId w:val="4"/>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31"/>
      <w:ind w:left="570"/>
    </w:pPr>
    <w:rPr>
      <w:rFonts w:ascii="Arial" w:hAnsi="Arial" w:eastAsia="Arial" w:cs="Arial"/>
      <w:b/>
      <w:bCs/>
      <w:sz w:val="18"/>
      <w:szCs w:val="18"/>
    </w:rPr>
  </w:style>
  <w:style w:styleId="TOC2" w:type="paragraph">
    <w:name w:val="TOC 2"/>
    <w:basedOn w:val="Normal"/>
    <w:uiPriority w:val="1"/>
    <w:qFormat/>
    <w:pPr>
      <w:spacing w:before="30"/>
      <w:ind w:left="570"/>
    </w:pPr>
    <w:rPr>
      <w:rFonts w:ascii="Arial" w:hAnsi="Arial" w:eastAsia="Arial" w:cs="Arial"/>
      <w:b/>
      <w:bCs/>
      <w:i/>
    </w:rPr>
  </w:style>
  <w:style w:styleId="BodyText" w:type="paragraph">
    <w:name w:val="Body Text"/>
    <w:basedOn w:val="Normal"/>
    <w:uiPriority w:val="1"/>
    <w:qFormat/>
    <w:pPr/>
    <w:rPr>
      <w:rFonts w:ascii="Arial" w:hAnsi="Arial" w:eastAsia="Arial" w:cs="Arial"/>
      <w:sz w:val="18"/>
      <w:szCs w:val="18"/>
    </w:rPr>
  </w:style>
  <w:style w:styleId="Heading1" w:type="paragraph">
    <w:name w:val="Heading 1"/>
    <w:basedOn w:val="Normal"/>
    <w:uiPriority w:val="1"/>
    <w:qFormat/>
    <w:pPr>
      <w:spacing w:before="28"/>
      <w:ind w:left="107"/>
      <w:outlineLvl w:val="1"/>
    </w:pPr>
    <w:rPr>
      <w:rFonts w:ascii="Arial" w:hAnsi="Arial" w:eastAsia="Arial" w:cs="Arial"/>
      <w:b/>
      <w:bCs/>
      <w:sz w:val="56"/>
      <w:szCs w:val="56"/>
    </w:rPr>
  </w:style>
  <w:style w:styleId="Heading2" w:type="paragraph">
    <w:name w:val="Heading 2"/>
    <w:basedOn w:val="Normal"/>
    <w:uiPriority w:val="1"/>
    <w:qFormat/>
    <w:pPr>
      <w:ind w:left="107" w:right="113"/>
      <w:outlineLvl w:val="2"/>
    </w:pPr>
    <w:rPr>
      <w:rFonts w:ascii="Arial" w:hAnsi="Arial" w:eastAsia="Arial" w:cs="Arial"/>
      <w:b/>
      <w:bCs/>
      <w:sz w:val="32"/>
      <w:szCs w:val="32"/>
    </w:rPr>
  </w:style>
  <w:style w:styleId="Heading3" w:type="paragraph">
    <w:name w:val="Heading 3"/>
    <w:basedOn w:val="Normal"/>
    <w:uiPriority w:val="1"/>
    <w:qFormat/>
    <w:pPr>
      <w:spacing w:before="64"/>
      <w:ind w:left="107" w:right="161"/>
      <w:outlineLvl w:val="3"/>
    </w:pPr>
    <w:rPr>
      <w:rFonts w:ascii="Arial" w:hAnsi="Arial" w:eastAsia="Arial" w:cs="Arial"/>
      <w:b/>
      <w:bCs/>
      <w:sz w:val="28"/>
      <w:szCs w:val="28"/>
    </w:rPr>
  </w:style>
  <w:style w:styleId="Heading4" w:type="paragraph">
    <w:name w:val="Heading 4"/>
    <w:basedOn w:val="Normal"/>
    <w:uiPriority w:val="1"/>
    <w:qFormat/>
    <w:pPr>
      <w:ind w:left="20"/>
      <w:outlineLvl w:val="4"/>
    </w:pPr>
    <w:rPr>
      <w:rFonts w:ascii="Arial" w:hAnsi="Arial" w:eastAsia="Arial" w:cs="Arial"/>
      <w:b/>
      <w:bCs/>
      <w:sz w:val="24"/>
      <w:szCs w:val="24"/>
    </w:rPr>
  </w:style>
  <w:style w:styleId="Heading5" w:type="paragraph">
    <w:name w:val="Heading 5"/>
    <w:basedOn w:val="Normal"/>
    <w:uiPriority w:val="1"/>
    <w:qFormat/>
    <w:pPr>
      <w:ind w:left="112" w:right="1613"/>
      <w:outlineLvl w:val="5"/>
    </w:pPr>
    <w:rPr>
      <w:rFonts w:ascii="Arial" w:hAnsi="Arial" w:eastAsia="Arial" w:cs="Arial"/>
      <w:b/>
      <w:bCs/>
      <w:sz w:val="23"/>
      <w:szCs w:val="23"/>
    </w:rPr>
  </w:style>
  <w:style w:styleId="Heading6" w:type="paragraph">
    <w:name w:val="Heading 6"/>
    <w:basedOn w:val="Normal"/>
    <w:uiPriority w:val="1"/>
    <w:qFormat/>
    <w:pPr>
      <w:spacing w:before="57"/>
      <w:ind w:left="20"/>
      <w:outlineLvl w:val="6"/>
    </w:pPr>
    <w:rPr>
      <w:rFonts w:ascii="Arial" w:hAnsi="Arial" w:eastAsia="Arial" w:cs="Arial"/>
      <w:b/>
      <w:bCs/>
      <w:sz w:val="22"/>
      <w:szCs w:val="22"/>
    </w:rPr>
  </w:style>
  <w:style w:styleId="Heading7" w:type="paragraph">
    <w:name w:val="Heading 7"/>
    <w:basedOn w:val="Normal"/>
    <w:uiPriority w:val="1"/>
    <w:qFormat/>
    <w:pPr>
      <w:spacing w:before="183"/>
      <w:ind w:left="156" w:right="885"/>
      <w:outlineLvl w:val="7"/>
    </w:pPr>
    <w:rPr>
      <w:rFonts w:ascii="Arial" w:hAnsi="Arial" w:eastAsia="Arial" w:cs="Arial"/>
      <w:b/>
      <w:bCs/>
      <w:sz w:val="19"/>
      <w:szCs w:val="19"/>
    </w:rPr>
  </w:style>
  <w:style w:styleId="Heading8" w:type="paragraph">
    <w:name w:val="Heading 8"/>
    <w:basedOn w:val="Normal"/>
    <w:uiPriority w:val="1"/>
    <w:qFormat/>
    <w:pPr>
      <w:ind w:left="112" w:right="1613"/>
      <w:outlineLvl w:val="8"/>
    </w:pPr>
    <w:rPr>
      <w:rFonts w:ascii="Arial" w:hAnsi="Arial" w:eastAsia="Arial" w:cs="Arial"/>
      <w:sz w:val="19"/>
      <w:szCs w:val="19"/>
    </w:rPr>
  </w:style>
  <w:style w:styleId="Heading9" w:type="paragraph">
    <w:name w:val="Heading 9"/>
    <w:basedOn w:val="Normal"/>
    <w:uiPriority w:val="1"/>
    <w:qFormat/>
    <w:pPr>
      <w:outlineLvl w:val="9"/>
    </w:pPr>
    <w:rPr>
      <w:rFonts w:ascii="Arial" w:hAnsi="Arial" w:eastAsia="Arial" w:cs="Arial"/>
      <w:b/>
      <w:bCs/>
      <w:sz w:val="18"/>
      <w:szCs w:val="18"/>
    </w:rPr>
  </w:style>
  <w:style w:styleId="ListParagraph" w:type="paragraph">
    <w:name w:val="List Paragraph"/>
    <w:basedOn w:val="Normal"/>
    <w:uiPriority w:val="1"/>
    <w:qFormat/>
    <w:pPr>
      <w:ind w:left="1070" w:hanging="566"/>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oter" Target="footer1.xml"/><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hyperlink" Target="mailto:mail@audit.nsw.gov.au"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header" Target="header4.xml"/><Relationship Id="rId20" Type="http://schemas.openxmlformats.org/officeDocument/2006/relationships/header" Target="header5.xml"/><Relationship Id="rId21" Type="http://schemas.openxmlformats.org/officeDocument/2006/relationships/footer" Target="footer3.xml"/><Relationship Id="rId22" Type="http://schemas.openxmlformats.org/officeDocument/2006/relationships/header" Target="header6.xml"/><Relationship Id="rId23" Type="http://schemas.openxmlformats.org/officeDocument/2006/relationships/footer" Target="footer4.xml"/><Relationship Id="rId24" Type="http://schemas.openxmlformats.org/officeDocument/2006/relationships/header" Target="header7.xml"/><Relationship Id="rId25" Type="http://schemas.openxmlformats.org/officeDocument/2006/relationships/header" Target="header8.xml"/><Relationship Id="rId26" Type="http://schemas.openxmlformats.org/officeDocument/2006/relationships/footer" Target="footer5.xml"/><Relationship Id="rId27" Type="http://schemas.openxmlformats.org/officeDocument/2006/relationships/header" Target="header9.xml"/><Relationship Id="rId28" Type="http://schemas.openxmlformats.org/officeDocument/2006/relationships/footer" Target="footer6.xml"/><Relationship Id="rId29" Type="http://schemas.openxmlformats.org/officeDocument/2006/relationships/header" Target="header10.xml"/><Relationship Id="rId30" Type="http://schemas.openxmlformats.org/officeDocument/2006/relationships/footer" Target="footer7.xml"/><Relationship Id="rId31" Type="http://schemas.openxmlformats.org/officeDocument/2006/relationships/header" Target="header11.xml"/><Relationship Id="rId32" Type="http://schemas.openxmlformats.org/officeDocument/2006/relationships/footer" Target="footer8.xml"/><Relationship Id="rId33" Type="http://schemas.openxmlformats.org/officeDocument/2006/relationships/header" Target="header12.xml"/><Relationship Id="rId34" Type="http://schemas.openxmlformats.org/officeDocument/2006/relationships/footer" Target="footer9.xml"/><Relationship Id="rId35" Type="http://schemas.openxmlformats.org/officeDocument/2006/relationships/image" Target="media/image9.jpeg"/><Relationship Id="rId36" Type="http://schemas.openxmlformats.org/officeDocument/2006/relationships/hyperlink" Target="mailto:mail@audit.nsw" TargetMode="External"/><Relationship Id="rId37" Type="http://schemas.openxmlformats.org/officeDocument/2006/relationships/header" Target="header13.xml"/><Relationship Id="rId38" Type="http://schemas.openxmlformats.org/officeDocument/2006/relationships/footer" Target="footer10.xml"/><Relationship Id="rId39" Type="http://schemas.openxmlformats.org/officeDocument/2006/relationships/hyperlink" Target="http://www.auasb.qov.au/auditorsresponsibilities/ar3.pdf" TargetMode="External"/><Relationship Id="rId40" Type="http://schemas.openxmlformats.org/officeDocument/2006/relationships/image" Target="media/image10.png"/><Relationship Id="rId41" Type="http://schemas.openxmlformats.org/officeDocument/2006/relationships/header" Target="header14.xml"/><Relationship Id="rId42" Type="http://schemas.openxmlformats.org/officeDocument/2006/relationships/footer" Target="footer11.xml"/><Relationship Id="rId43" Type="http://schemas.openxmlformats.org/officeDocument/2006/relationships/header" Target="header15.xml"/><Relationship Id="rId44" Type="http://schemas.openxmlformats.org/officeDocument/2006/relationships/image" Target="media/image11.jpeg"/><Relationship Id="rId45" Type="http://schemas.openxmlformats.org/officeDocument/2006/relationships/image" Target="media/image12.jpeg"/><Relationship Id="rId46" Type="http://schemas.openxmlformats.org/officeDocument/2006/relationships/image" Target="media/image13.jpeg"/><Relationship Id="rId47" Type="http://schemas.openxmlformats.org/officeDocument/2006/relationships/header" Target="header16.xml"/><Relationship Id="rId48" Type="http://schemas.openxmlformats.org/officeDocument/2006/relationships/footer" Target="footer12.xml"/><Relationship Id="rId49" Type="http://schemas.openxmlformats.org/officeDocument/2006/relationships/image" Target="media/image14.jpeg"/><Relationship Id="rId50" Type="http://schemas.openxmlformats.org/officeDocument/2006/relationships/image" Target="media/image15.jpeg"/><Relationship Id="rId51" Type="http://schemas.openxmlformats.org/officeDocument/2006/relationships/image" Target="media/image16.png"/><Relationship Id="rId52" Type="http://schemas.openxmlformats.org/officeDocument/2006/relationships/header" Target="header17.xml"/><Relationship Id="rId53" Type="http://schemas.openxmlformats.org/officeDocument/2006/relationships/footer" Target="footer13.xml"/><Relationship Id="rId54" Type="http://schemas.openxmlformats.org/officeDocument/2006/relationships/header" Target="header18.xml"/><Relationship Id="rId55" Type="http://schemas.openxmlformats.org/officeDocument/2006/relationships/header" Target="header19.xml"/><Relationship Id="rId56" Type="http://schemas.openxmlformats.org/officeDocument/2006/relationships/header" Target="header20.xml"/><Relationship Id="rId57" Type="http://schemas.openxmlformats.org/officeDocument/2006/relationships/footer" Target="footer14.xml"/><Relationship Id="rId58" Type="http://schemas.openxmlformats.org/officeDocument/2006/relationships/header" Target="header21.xml"/><Relationship Id="rId59" Type="http://schemas.openxmlformats.org/officeDocument/2006/relationships/footer" Target="footer15.xml"/><Relationship Id="rId60" Type="http://schemas.openxmlformats.org/officeDocument/2006/relationships/header" Target="header22.xml"/><Relationship Id="rId61" Type="http://schemas.openxmlformats.org/officeDocument/2006/relationships/footer" Target="footer16.xml"/><Relationship Id="rId62" Type="http://schemas.openxmlformats.org/officeDocument/2006/relationships/header" Target="header23.xml"/><Relationship Id="rId63" Type="http://schemas.openxmlformats.org/officeDocument/2006/relationships/footer" Target="footer17.xml"/><Relationship Id="rId64" Type="http://schemas.openxmlformats.org/officeDocument/2006/relationships/header" Target="header24.xml"/><Relationship Id="rId65" Type="http://schemas.openxmlformats.org/officeDocument/2006/relationships/footer" Target="footer18.xml"/><Relationship Id="rId66" Type="http://schemas.openxmlformats.org/officeDocument/2006/relationships/image" Target="media/image17.png"/><Relationship Id="rId67" Type="http://schemas.openxmlformats.org/officeDocument/2006/relationships/image" Target="media/image18.jpeg"/><Relationship Id="rId68" Type="http://schemas.openxmlformats.org/officeDocument/2006/relationships/hyperlink" Target="mailto:mai@audit.nsw.gov.au" TargetMode="External"/><Relationship Id="rId69" Type="http://schemas.openxmlformats.org/officeDocument/2006/relationships/header" Target="header25.xml"/><Relationship Id="rId70" Type="http://schemas.openxmlformats.org/officeDocument/2006/relationships/footer" Target="footer19.xml"/><Relationship Id="rId71" Type="http://schemas.openxmlformats.org/officeDocument/2006/relationships/hyperlink" Target="http://www.auasb.aov.au/auditorsresponsibilities/ar4.Pdf" TargetMode="External"/><Relationship Id="rId72" Type="http://schemas.openxmlformats.org/officeDocument/2006/relationships/header" Target="header26.xml"/><Relationship Id="rId73" Type="http://schemas.openxmlformats.org/officeDocument/2006/relationships/footer" Target="footer20.xml"/><Relationship Id="rId74" Type="http://schemas.openxmlformats.org/officeDocument/2006/relationships/image" Target="media/image19.jpeg"/><Relationship Id="rId75" Type="http://schemas.openxmlformats.org/officeDocument/2006/relationships/image" Target="media/image20.jpeg"/><Relationship Id="rId76" Type="http://schemas.openxmlformats.org/officeDocument/2006/relationships/header" Target="header27.xml"/><Relationship Id="rId77" Type="http://schemas.openxmlformats.org/officeDocument/2006/relationships/footer" Target="footer21.xml"/><Relationship Id="rId78" Type="http://schemas.openxmlformats.org/officeDocument/2006/relationships/header" Target="header28.xml"/><Relationship Id="rId79" Type="http://schemas.openxmlformats.org/officeDocument/2006/relationships/footer" Target="footer22.xml"/><Relationship Id="rId80" Type="http://schemas.openxmlformats.org/officeDocument/2006/relationships/image" Target="media/image21.jpeg"/><Relationship Id="rId81" Type="http://schemas.openxmlformats.org/officeDocument/2006/relationships/image" Target="media/image22.jpeg"/><Relationship Id="rId82" Type="http://schemas.openxmlformats.org/officeDocument/2006/relationships/hyperlink" Target="mailto:ma%2Cl@audil.nsw.gov" TargetMode="External"/><Relationship Id="rId83" Type="http://schemas.openxmlformats.org/officeDocument/2006/relationships/header" Target="header29.xml"/><Relationship Id="rId84" Type="http://schemas.openxmlformats.org/officeDocument/2006/relationships/header" Target="header30.xml"/><Relationship Id="rId85" Type="http://schemas.openxmlformats.org/officeDocument/2006/relationships/header" Target="header31.xml"/><Relationship Id="rId86" Type="http://schemas.openxmlformats.org/officeDocument/2006/relationships/header" Target="header32.xml"/><Relationship Id="rId87" Type="http://schemas.openxmlformats.org/officeDocument/2006/relationships/header" Target="header33.xml"/><Relationship Id="rId88" Type="http://schemas.openxmlformats.org/officeDocument/2006/relationships/header" Target="header34.xml"/><Relationship Id="rId89" Type="http://schemas.openxmlformats.org/officeDocument/2006/relationships/image" Target="media/image23.jpeg"/><Relationship Id="rId90" Type="http://schemas.openxmlformats.org/officeDocument/2006/relationships/image" Target="media/image24.jpeg"/><Relationship Id="rId91" Type="http://schemas.openxmlformats.org/officeDocument/2006/relationships/header" Target="header35.xml"/><Relationship Id="rId92" Type="http://schemas.openxmlformats.org/officeDocument/2006/relationships/image" Target="media/image25.jpeg"/><Relationship Id="rId93" Type="http://schemas.openxmlformats.org/officeDocument/2006/relationships/header" Target="header36.xml"/><Relationship Id="rId94" Type="http://schemas.openxmlformats.org/officeDocument/2006/relationships/image" Target="media/image26.jpeg"/><Relationship Id="rId95" Type="http://schemas.openxmlformats.org/officeDocument/2006/relationships/hyperlink" Target="mailto:mail@aud.nsw" TargetMode="External"/><Relationship Id="rId96" Type="http://schemas.openxmlformats.org/officeDocument/2006/relationships/header" Target="header37.xml"/><Relationship Id="rId97" Type="http://schemas.openxmlformats.org/officeDocument/2006/relationships/footer" Target="footer23.xml"/><Relationship Id="rId98" Type="http://schemas.openxmlformats.org/officeDocument/2006/relationships/header" Target="header38.xml"/><Relationship Id="rId99" Type="http://schemas.openxmlformats.org/officeDocument/2006/relationships/footer" Target="footer24.xml"/><Relationship Id="rId100" Type="http://schemas.openxmlformats.org/officeDocument/2006/relationships/hyperlink" Target="http://www.auasb.gov.au/auditorsresponsibilities/ar4.pdf" TargetMode="External"/><Relationship Id="rId101" Type="http://schemas.openxmlformats.org/officeDocument/2006/relationships/image" Target="media/image27.jpeg"/><Relationship Id="rId102" Type="http://schemas.openxmlformats.org/officeDocument/2006/relationships/image" Target="media/image28.jpeg"/><Relationship Id="rId103" Type="http://schemas.openxmlformats.org/officeDocument/2006/relationships/header" Target="header39.xml"/><Relationship Id="rId104" Type="http://schemas.openxmlformats.org/officeDocument/2006/relationships/footer" Target="footer25.xml"/><Relationship Id="rId105" Type="http://schemas.openxmlformats.org/officeDocument/2006/relationships/header" Target="header40.xml"/><Relationship Id="rId106" Type="http://schemas.openxmlformats.org/officeDocument/2006/relationships/footer" Target="footer26.xml"/><Relationship Id="rId107" Type="http://schemas.openxmlformats.org/officeDocument/2006/relationships/header" Target="header41.xml"/><Relationship Id="rId108" Type="http://schemas.openxmlformats.org/officeDocument/2006/relationships/footer" Target="footer27.xml"/><Relationship Id="rId109" Type="http://schemas.openxmlformats.org/officeDocument/2006/relationships/image" Target="media/image29.jpeg"/><Relationship Id="rId110" Type="http://schemas.openxmlformats.org/officeDocument/2006/relationships/header" Target="header42.xml"/><Relationship Id="rId111" Type="http://schemas.openxmlformats.org/officeDocument/2006/relationships/header" Target="header43.xml"/><Relationship Id="rId112" Type="http://schemas.openxmlformats.org/officeDocument/2006/relationships/header" Target="header44.xml"/><Relationship Id="rId113" Type="http://schemas.openxmlformats.org/officeDocument/2006/relationships/header" Target="header45.xml"/><Relationship Id="rId114" Type="http://schemas.openxmlformats.org/officeDocument/2006/relationships/header" Target="header46.xml"/><Relationship Id="rId115" Type="http://schemas.openxmlformats.org/officeDocument/2006/relationships/header" Target="header47.xml"/><Relationship Id="rId116" Type="http://schemas.openxmlformats.org/officeDocument/2006/relationships/header" Target="header48.xml"/><Relationship Id="rId117" Type="http://schemas.openxmlformats.org/officeDocument/2006/relationships/header" Target="header49.xml"/><Relationship Id="rId118" Type="http://schemas.openxmlformats.org/officeDocument/2006/relationships/header" Target="header50.xml"/><Relationship Id="rId119" Type="http://schemas.openxmlformats.org/officeDocument/2006/relationships/header" Target="header51.xml"/><Relationship Id="rId120" Type="http://schemas.openxmlformats.org/officeDocument/2006/relationships/header" Target="header52.xml"/><Relationship Id="rId121" Type="http://schemas.openxmlformats.org/officeDocument/2006/relationships/header" Target="header53.xml"/><Relationship Id="rId122" Type="http://schemas.openxmlformats.org/officeDocument/2006/relationships/image" Target="media/image30.jpeg"/><Relationship Id="rId123" Type="http://schemas.openxmlformats.org/officeDocument/2006/relationships/image" Target="media/image31.jpeg"/><Relationship Id="rId124" Type="http://schemas.openxmlformats.org/officeDocument/2006/relationships/header" Target="header54.xml"/><Relationship Id="rId125" Type="http://schemas.openxmlformats.org/officeDocument/2006/relationships/footer" Target="footer28.xml"/><Relationship Id="rId126" Type="http://schemas.openxmlformats.org/officeDocument/2006/relationships/image" Target="media/image32.png"/><Relationship Id="rId127" Type="http://schemas.openxmlformats.org/officeDocument/2006/relationships/header" Target="header55.xml"/><Relationship Id="rId128" Type="http://schemas.openxmlformats.org/officeDocument/2006/relationships/footer" Target="footer29.xml"/><Relationship Id="rId129" Type="http://schemas.openxmlformats.org/officeDocument/2006/relationships/hyperlink" Target="http://www.auasb.gov.au/auditorsresponsibilities/ar3.pdf" TargetMode="External"/><Relationship Id="rId130" Type="http://schemas.openxmlformats.org/officeDocument/2006/relationships/header" Target="header56.xml"/><Relationship Id="rId131" Type="http://schemas.openxmlformats.org/officeDocument/2006/relationships/footer" Target="footer30.xml"/><Relationship Id="rId132" Type="http://schemas.openxmlformats.org/officeDocument/2006/relationships/header" Target="header57.xml"/><Relationship Id="rId133" Type="http://schemas.openxmlformats.org/officeDocument/2006/relationships/header" Target="header58.xml"/><Relationship Id="rId134" Type="http://schemas.openxmlformats.org/officeDocument/2006/relationships/header" Target="header59.xml"/><Relationship Id="rId135" Type="http://schemas.openxmlformats.org/officeDocument/2006/relationships/header" Target="header60.xml"/><Relationship Id="rId136" Type="http://schemas.openxmlformats.org/officeDocument/2006/relationships/image" Target="media/image33.jpeg"/><Relationship Id="rId137" Type="http://schemas.openxmlformats.org/officeDocument/2006/relationships/header" Target="header61.xml"/><Relationship Id="rId138" Type="http://schemas.openxmlformats.org/officeDocument/2006/relationships/image" Target="media/image34.jpeg"/><Relationship Id="rId139" Type="http://schemas.openxmlformats.org/officeDocument/2006/relationships/image" Target="media/image35.jpeg"/><Relationship Id="rId140" Type="http://schemas.openxmlformats.org/officeDocument/2006/relationships/image" Target="media/image36.jpeg"/><Relationship Id="rId141" Type="http://schemas.openxmlformats.org/officeDocument/2006/relationships/hyperlink" Target="mailto:rnail@aud11.nsw.Q0v.au" TargetMode="External"/><Relationship Id="rId142" Type="http://schemas.openxmlformats.org/officeDocument/2006/relationships/header" Target="header62.xml"/><Relationship Id="rId143" Type="http://schemas.openxmlformats.org/officeDocument/2006/relationships/header" Target="header63.xml"/><Relationship Id="rId144" Type="http://schemas.openxmlformats.org/officeDocument/2006/relationships/header" Target="header64.xml"/><Relationship Id="rId145" Type="http://schemas.openxmlformats.org/officeDocument/2006/relationships/image" Target="media/image37.jpeg"/><Relationship Id="rId146" Type="http://schemas.openxmlformats.org/officeDocument/2006/relationships/header" Target="header65.xml"/><Relationship Id="rId147" Type="http://schemas.openxmlformats.org/officeDocument/2006/relationships/image" Target="media/image38.png"/><Relationship Id="rId148" Type="http://schemas.openxmlformats.org/officeDocument/2006/relationships/image" Target="media/image39.jpeg"/><Relationship Id="rId149" Type="http://schemas.openxmlformats.org/officeDocument/2006/relationships/header" Target="header66.xml"/><Relationship Id="rId150" Type="http://schemas.openxmlformats.org/officeDocument/2006/relationships/footer" Target="footer31.xml"/><Relationship Id="rId151" Type="http://schemas.openxmlformats.org/officeDocument/2006/relationships/hyperlink" Target="http://www.auasb.gov.au/auditors_responsibilities/ar4.pdf" TargetMode="External"/><Relationship Id="rId152" Type="http://schemas.openxmlformats.org/officeDocument/2006/relationships/image" Target="media/image40.jpeg"/><Relationship Id="rId153" Type="http://schemas.openxmlformats.org/officeDocument/2006/relationships/header" Target="header67.xml"/><Relationship Id="rId154" Type="http://schemas.openxmlformats.org/officeDocument/2006/relationships/footer" Target="footer32.xml"/><Relationship Id="rId155" Type="http://schemas.openxmlformats.org/officeDocument/2006/relationships/header" Target="header68.xml"/><Relationship Id="rId156" Type="http://schemas.openxmlformats.org/officeDocument/2006/relationships/image" Target="media/image41.jpeg"/><Relationship Id="rId157" Type="http://schemas.openxmlformats.org/officeDocument/2006/relationships/header" Target="header69.xml"/><Relationship Id="rId158" Type="http://schemas.openxmlformats.org/officeDocument/2006/relationships/header" Target="header70.xml"/><Relationship Id="rId159" Type="http://schemas.openxmlformats.org/officeDocument/2006/relationships/footer" Target="footer33.xml"/><Relationship Id="rId160" Type="http://schemas.openxmlformats.org/officeDocument/2006/relationships/header" Target="header71.xml"/><Relationship Id="rId161" Type="http://schemas.openxmlformats.org/officeDocument/2006/relationships/footer" Target="footer34.xml"/><Relationship Id="rId162" Type="http://schemas.openxmlformats.org/officeDocument/2006/relationships/header" Target="header72.xml"/><Relationship Id="rId163" Type="http://schemas.openxmlformats.org/officeDocument/2006/relationships/header" Target="header73.xml"/><Relationship Id="rId164" Type="http://schemas.openxmlformats.org/officeDocument/2006/relationships/footer" Target="footer35.xml"/><Relationship Id="rId165" Type="http://schemas.openxmlformats.org/officeDocument/2006/relationships/header" Target="header74.xml"/><Relationship Id="rId166" Type="http://schemas.openxmlformats.org/officeDocument/2006/relationships/footer" Target="footer36.xml"/><Relationship Id="rId167" Type="http://schemas.openxmlformats.org/officeDocument/2006/relationships/header" Target="header75.xml"/><Relationship Id="rId168" Type="http://schemas.openxmlformats.org/officeDocument/2006/relationships/image" Target="media/image42.jpeg"/><Relationship Id="rId169" Type="http://schemas.openxmlformats.org/officeDocument/2006/relationships/header" Target="header76.xml"/><Relationship Id="rId170" Type="http://schemas.openxmlformats.org/officeDocument/2006/relationships/header" Target="header77.xml"/><Relationship Id="rId171" Type="http://schemas.openxmlformats.org/officeDocument/2006/relationships/footer" Target="footer37.xml"/><Relationship Id="rId172" Type="http://schemas.openxmlformats.org/officeDocument/2006/relationships/header" Target="header78.xml"/><Relationship Id="rId173" Type="http://schemas.openxmlformats.org/officeDocument/2006/relationships/footer" Target="footer38.xml"/><Relationship Id="rId174" Type="http://schemas.openxmlformats.org/officeDocument/2006/relationships/header" Target="header79.xml"/><Relationship Id="rId175" Type="http://schemas.openxmlformats.org/officeDocument/2006/relationships/footer" Target="footer39.xml"/><Relationship Id="rId176" Type="http://schemas.openxmlformats.org/officeDocument/2006/relationships/header" Target="header80.xml"/><Relationship Id="rId177" Type="http://schemas.openxmlformats.org/officeDocument/2006/relationships/header" Target="header81.xml"/><Relationship Id="rId178" Type="http://schemas.openxmlformats.org/officeDocument/2006/relationships/footer" Target="footer40.xml"/><Relationship Id="rId17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2020-01-20T09:41:57Z</dcterms:created>
  <dcterms:modified xsi:type="dcterms:W3CDTF">2020-01-20T09:41:57Z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2018-04-27T00:00:00Z</vt:filetime>
  </property>
  <property fmtid="{D5CDD505-2E9C-101B-9397-08002B2CF9AE}" pid="3" name="Creator">
    <vt:lpwstr>Adobe InDesign CC 13.0 (Macintosh)</vt:lpwstr>
  </property>
  <property fmtid="{D5CDD505-2E9C-101B-9397-08002B2CF9AE}" pid="4" name="LastSaved">
    <vt:filetime>2020-01-19T00:00:00Z</vt:filetime>
  </property>
</Properties>
</file>